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23B" w:rsidRPr="00D55DC6" w:rsidRDefault="00D55DC6">
      <w:pPr>
        <w:widowControl/>
        <w:rPr>
          <w:rFonts w:eastAsia="標楷體"/>
          <w:b/>
          <w:sz w:val="28"/>
        </w:rPr>
      </w:pPr>
      <w:bookmarkStart w:id="0" w:name="_Toc192790798"/>
      <w:bookmarkStart w:id="1" w:name="_Toc288749202"/>
      <w:bookmarkStart w:id="2" w:name="_GoBack"/>
      <w:bookmarkEnd w:id="2"/>
      <w:r w:rsidRPr="00D55DC6">
        <w:rPr>
          <w:rFonts w:eastAsia="標楷體" w:hint="eastAsia"/>
          <w:b/>
          <w:sz w:val="28"/>
        </w:rPr>
        <w:t>行政院</w:t>
      </w:r>
      <w:r w:rsidRPr="00D55DC6">
        <w:rPr>
          <w:rFonts w:eastAsia="標楷體" w:hint="eastAsia"/>
          <w:b/>
          <w:sz w:val="28"/>
        </w:rPr>
        <w:t>104</w:t>
      </w:r>
      <w:r w:rsidRPr="00D55DC6">
        <w:rPr>
          <w:rFonts w:eastAsia="標楷體" w:hint="eastAsia"/>
          <w:b/>
          <w:sz w:val="28"/>
        </w:rPr>
        <w:t>年</w:t>
      </w:r>
      <w:r w:rsidRPr="00D55DC6">
        <w:rPr>
          <w:rFonts w:eastAsia="標楷體" w:hint="eastAsia"/>
          <w:b/>
          <w:sz w:val="28"/>
        </w:rPr>
        <w:t>5</w:t>
      </w:r>
      <w:r w:rsidRPr="00D55DC6">
        <w:rPr>
          <w:rFonts w:eastAsia="標楷體" w:hint="eastAsia"/>
          <w:b/>
          <w:sz w:val="28"/>
        </w:rPr>
        <w:t>月</w:t>
      </w:r>
      <w:r w:rsidRPr="00D55DC6">
        <w:rPr>
          <w:rFonts w:eastAsia="標楷體" w:hint="eastAsia"/>
          <w:b/>
          <w:sz w:val="28"/>
        </w:rPr>
        <w:t>21</w:t>
      </w:r>
      <w:r w:rsidRPr="00D55DC6">
        <w:rPr>
          <w:rFonts w:eastAsia="標楷體" w:hint="eastAsia"/>
          <w:b/>
          <w:sz w:val="28"/>
        </w:rPr>
        <w:t>日院臺交字第</w:t>
      </w:r>
      <w:r w:rsidRPr="00D55DC6">
        <w:rPr>
          <w:rFonts w:eastAsia="標楷體" w:hint="eastAsia"/>
          <w:b/>
          <w:sz w:val="28"/>
        </w:rPr>
        <w:t>1040025620</w:t>
      </w:r>
      <w:r w:rsidRPr="00D55DC6">
        <w:rPr>
          <w:rFonts w:eastAsia="標楷體" w:hint="eastAsia"/>
          <w:b/>
          <w:sz w:val="28"/>
        </w:rPr>
        <w:t>號函核定</w:t>
      </w:r>
    </w:p>
    <w:p w:rsidR="00A3023B" w:rsidRPr="00D55DC6" w:rsidRDefault="00A3023B">
      <w:pPr>
        <w:widowControl/>
        <w:rPr>
          <w:rFonts w:eastAsia="標楷體"/>
          <w:b/>
          <w:sz w:val="28"/>
        </w:rPr>
      </w:pPr>
    </w:p>
    <w:p w:rsidR="00D55DC6" w:rsidRPr="00D55DC6" w:rsidRDefault="00D55DC6">
      <w:pPr>
        <w:widowControl/>
        <w:rPr>
          <w:rFonts w:eastAsia="標楷體"/>
          <w:b/>
          <w:sz w:val="28"/>
        </w:rPr>
      </w:pPr>
    </w:p>
    <w:p w:rsidR="00D55DC6" w:rsidRPr="00D55DC6" w:rsidRDefault="00D55DC6">
      <w:pPr>
        <w:widowControl/>
        <w:rPr>
          <w:rFonts w:eastAsia="標楷體"/>
          <w:b/>
          <w:sz w:val="28"/>
        </w:rPr>
      </w:pPr>
    </w:p>
    <w:p w:rsidR="00D55DC6" w:rsidRPr="00D55DC6" w:rsidRDefault="00D55DC6">
      <w:pPr>
        <w:widowControl/>
        <w:rPr>
          <w:rFonts w:eastAsia="標楷體"/>
          <w:b/>
          <w:sz w:val="28"/>
        </w:rPr>
      </w:pPr>
    </w:p>
    <w:p w:rsidR="00A3023B" w:rsidRPr="00D55DC6" w:rsidRDefault="00A3023B">
      <w:pPr>
        <w:widowControl/>
        <w:rPr>
          <w:rFonts w:eastAsia="標楷體"/>
          <w:b/>
          <w:sz w:val="28"/>
        </w:rPr>
      </w:pPr>
    </w:p>
    <w:p w:rsidR="00A3023B" w:rsidRPr="00D55DC6" w:rsidRDefault="00A3023B">
      <w:pPr>
        <w:widowControl/>
        <w:rPr>
          <w:rFonts w:eastAsia="標楷體"/>
          <w:b/>
          <w:sz w:val="28"/>
        </w:rPr>
      </w:pPr>
    </w:p>
    <w:p w:rsidR="00A3023B" w:rsidRPr="00D55DC6" w:rsidRDefault="00A3023B" w:rsidP="00A3023B">
      <w:pPr>
        <w:widowControl/>
        <w:jc w:val="center"/>
        <w:rPr>
          <w:rFonts w:eastAsia="標楷體"/>
          <w:b/>
          <w:sz w:val="48"/>
        </w:rPr>
      </w:pPr>
      <w:r w:rsidRPr="00D55DC6">
        <w:rPr>
          <w:rFonts w:eastAsia="標楷體" w:hAnsi="標楷體"/>
          <w:b/>
          <w:sz w:val="48"/>
        </w:rPr>
        <w:t>重要觀光景點建設中程計畫</w:t>
      </w:r>
      <w:r w:rsidRPr="00D55DC6">
        <w:rPr>
          <w:rFonts w:eastAsia="標楷體"/>
          <w:b/>
          <w:sz w:val="48"/>
        </w:rPr>
        <w:t>(105-108</w:t>
      </w:r>
      <w:r w:rsidRPr="00D55DC6">
        <w:rPr>
          <w:rFonts w:eastAsia="標楷體" w:hAnsi="標楷體"/>
          <w:b/>
          <w:sz w:val="48"/>
        </w:rPr>
        <w:t>年</w:t>
      </w:r>
      <w:r w:rsidRPr="00D55DC6">
        <w:rPr>
          <w:rFonts w:eastAsia="標楷體"/>
          <w:b/>
          <w:sz w:val="48"/>
        </w:rPr>
        <w:t>)</w:t>
      </w:r>
    </w:p>
    <w:p w:rsidR="00A3023B" w:rsidRPr="00D55DC6" w:rsidRDefault="00A3023B" w:rsidP="00A3023B">
      <w:pPr>
        <w:widowControl/>
        <w:jc w:val="center"/>
        <w:rPr>
          <w:rFonts w:eastAsia="標楷體"/>
          <w:b/>
          <w:sz w:val="44"/>
        </w:rPr>
      </w:pPr>
      <w:r w:rsidRPr="00D55DC6">
        <w:rPr>
          <w:rFonts w:eastAsia="標楷體" w:hAnsi="標楷體"/>
          <w:b/>
          <w:sz w:val="44"/>
        </w:rPr>
        <w:t>（</w:t>
      </w:r>
      <w:r w:rsidR="00D55DC6" w:rsidRPr="00D55DC6">
        <w:rPr>
          <w:rFonts w:eastAsia="標楷體" w:hAnsi="標楷體" w:hint="eastAsia"/>
          <w:b/>
          <w:sz w:val="44"/>
        </w:rPr>
        <w:t>核定版</w:t>
      </w:r>
      <w:r w:rsidRPr="00D55DC6">
        <w:rPr>
          <w:rFonts w:eastAsia="標楷體" w:hAnsi="標楷體"/>
          <w:b/>
          <w:sz w:val="44"/>
        </w:rPr>
        <w:t>）</w:t>
      </w:r>
    </w:p>
    <w:p w:rsidR="00A3023B" w:rsidRPr="00D55DC6" w:rsidRDefault="00A3023B" w:rsidP="00A3023B">
      <w:pPr>
        <w:widowControl/>
        <w:jc w:val="center"/>
        <w:rPr>
          <w:rFonts w:eastAsia="標楷體"/>
          <w:b/>
          <w:sz w:val="44"/>
        </w:rPr>
      </w:pPr>
    </w:p>
    <w:p w:rsidR="00A01051" w:rsidRPr="00D55DC6" w:rsidRDefault="00A01051" w:rsidP="00A3023B">
      <w:pPr>
        <w:widowControl/>
        <w:jc w:val="center"/>
        <w:rPr>
          <w:rFonts w:eastAsia="標楷體"/>
          <w:b/>
          <w:sz w:val="44"/>
        </w:rPr>
      </w:pPr>
    </w:p>
    <w:p w:rsidR="00A01051" w:rsidRPr="00D55DC6" w:rsidRDefault="00A01051" w:rsidP="00A3023B">
      <w:pPr>
        <w:widowControl/>
        <w:jc w:val="center"/>
        <w:rPr>
          <w:rFonts w:eastAsia="標楷體"/>
          <w:b/>
          <w:sz w:val="44"/>
        </w:rPr>
      </w:pPr>
    </w:p>
    <w:p w:rsidR="00A3023B" w:rsidRPr="00D55DC6" w:rsidRDefault="00A3023B" w:rsidP="00A3023B">
      <w:pPr>
        <w:widowControl/>
        <w:jc w:val="center"/>
        <w:rPr>
          <w:rFonts w:eastAsia="標楷體"/>
          <w:b/>
          <w:sz w:val="44"/>
        </w:rPr>
      </w:pPr>
    </w:p>
    <w:p w:rsidR="00A3023B" w:rsidRPr="00D55DC6" w:rsidRDefault="00A3023B" w:rsidP="00A3023B">
      <w:pPr>
        <w:widowControl/>
        <w:jc w:val="center"/>
        <w:rPr>
          <w:rFonts w:eastAsia="標楷體"/>
          <w:b/>
          <w:sz w:val="44"/>
        </w:rPr>
      </w:pPr>
    </w:p>
    <w:p w:rsidR="00A3023B" w:rsidRPr="00D55DC6" w:rsidRDefault="00A3023B" w:rsidP="00A3023B">
      <w:pPr>
        <w:widowControl/>
        <w:jc w:val="center"/>
        <w:rPr>
          <w:rFonts w:eastAsia="標楷體"/>
          <w:b/>
          <w:sz w:val="44"/>
        </w:rPr>
      </w:pPr>
    </w:p>
    <w:p w:rsidR="00C4594F" w:rsidRPr="00D55DC6" w:rsidRDefault="00C4594F" w:rsidP="00A3023B">
      <w:pPr>
        <w:widowControl/>
        <w:jc w:val="center"/>
        <w:rPr>
          <w:rFonts w:eastAsia="標楷體"/>
          <w:b/>
          <w:sz w:val="44"/>
        </w:rPr>
      </w:pPr>
    </w:p>
    <w:p w:rsidR="00A3023B" w:rsidRPr="00D55DC6" w:rsidRDefault="00A3023B" w:rsidP="00A3023B">
      <w:pPr>
        <w:widowControl/>
        <w:jc w:val="center"/>
        <w:rPr>
          <w:rFonts w:eastAsia="標楷體"/>
          <w:b/>
          <w:sz w:val="44"/>
        </w:rPr>
      </w:pPr>
    </w:p>
    <w:p w:rsidR="00A3023B" w:rsidRPr="00D55DC6" w:rsidRDefault="00A3023B" w:rsidP="00A3023B">
      <w:pPr>
        <w:widowControl/>
        <w:jc w:val="center"/>
        <w:rPr>
          <w:rFonts w:eastAsia="標楷體"/>
          <w:b/>
          <w:sz w:val="44"/>
        </w:rPr>
      </w:pPr>
      <w:r w:rsidRPr="00D55DC6">
        <w:rPr>
          <w:rFonts w:eastAsia="標楷體"/>
          <w:b/>
          <w:noProof/>
          <w:sz w:val="36"/>
          <w:szCs w:val="28"/>
        </w:rPr>
        <w:drawing>
          <wp:inline distT="0" distB="0" distL="0" distR="0" wp14:anchorId="5B26C3C2" wp14:editId="7930E255">
            <wp:extent cx="1608542" cy="1120140"/>
            <wp:effectExtent l="0" t="0" r="0" b="381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tb.jpg"/>
                    <pic:cNvPicPr/>
                  </pic:nvPicPr>
                  <pic:blipFill rotWithShape="1">
                    <a:blip r:embed="rId9" cstate="print">
                      <a:extLst>
                        <a:ext uri="{28A0092B-C50C-407E-A947-70E740481C1C}">
                          <a14:useLocalDpi xmlns:a14="http://schemas.microsoft.com/office/drawing/2010/main" val="0"/>
                        </a:ext>
                      </a:extLst>
                    </a:blip>
                    <a:srcRect l="29651" t="51373" r="30242" b="7255"/>
                    <a:stretch/>
                  </pic:blipFill>
                  <pic:spPr bwMode="auto">
                    <a:xfrm>
                      <a:off x="0" y="0"/>
                      <a:ext cx="1609331" cy="1120689"/>
                    </a:xfrm>
                    <a:prstGeom prst="rect">
                      <a:avLst/>
                    </a:prstGeom>
                    <a:ln>
                      <a:noFill/>
                    </a:ln>
                    <a:extLst>
                      <a:ext uri="{53640926-AAD7-44D8-BBD7-CCE9431645EC}">
                        <a14:shadowObscured xmlns:a14="http://schemas.microsoft.com/office/drawing/2010/main"/>
                      </a:ext>
                    </a:extLst>
                  </pic:spPr>
                </pic:pic>
              </a:graphicData>
            </a:graphic>
          </wp:inline>
        </w:drawing>
      </w:r>
    </w:p>
    <w:p w:rsidR="0095435D" w:rsidRDefault="00A3023B" w:rsidP="00A3023B">
      <w:pPr>
        <w:widowControl/>
        <w:jc w:val="center"/>
        <w:rPr>
          <w:rFonts w:eastAsia="標楷體" w:hAnsi="標楷體"/>
          <w:b/>
          <w:sz w:val="28"/>
        </w:rPr>
      </w:pPr>
      <w:r w:rsidRPr="00D55DC6">
        <w:rPr>
          <w:rFonts w:eastAsia="標楷體"/>
          <w:b/>
          <w:sz w:val="28"/>
        </w:rPr>
        <w:t>10</w:t>
      </w:r>
      <w:r w:rsidR="00B5463B" w:rsidRPr="00D55DC6">
        <w:rPr>
          <w:rFonts w:eastAsia="標楷體"/>
          <w:b/>
          <w:sz w:val="28"/>
        </w:rPr>
        <w:t>4</w:t>
      </w:r>
      <w:r w:rsidRPr="00D55DC6">
        <w:rPr>
          <w:rFonts w:eastAsia="標楷體" w:hAnsi="標楷體"/>
          <w:b/>
          <w:sz w:val="28"/>
        </w:rPr>
        <w:t>年</w:t>
      </w:r>
      <w:r w:rsidR="00D55DC6" w:rsidRPr="00D55DC6">
        <w:rPr>
          <w:rFonts w:eastAsia="標楷體" w:hint="eastAsia"/>
          <w:b/>
          <w:sz w:val="28"/>
        </w:rPr>
        <w:t>5</w:t>
      </w:r>
      <w:r w:rsidRPr="00D55DC6">
        <w:rPr>
          <w:rFonts w:eastAsia="標楷體" w:hAnsi="標楷體"/>
          <w:b/>
          <w:sz w:val="28"/>
        </w:rPr>
        <w:t>月</w:t>
      </w:r>
    </w:p>
    <w:p w:rsidR="0095435D" w:rsidRDefault="0095435D">
      <w:pPr>
        <w:widowControl/>
        <w:rPr>
          <w:rFonts w:eastAsia="標楷體" w:hAnsi="標楷體"/>
          <w:b/>
          <w:sz w:val="28"/>
        </w:rPr>
      </w:pPr>
      <w:r>
        <w:rPr>
          <w:rFonts w:eastAsia="標楷體" w:hAnsi="標楷體"/>
          <w:b/>
          <w:sz w:val="28"/>
        </w:rPr>
        <w:br w:type="page"/>
      </w:r>
    </w:p>
    <w:p w:rsidR="00A3023B" w:rsidRPr="00D55DC6" w:rsidRDefault="00A3023B" w:rsidP="00A3023B">
      <w:pPr>
        <w:widowControl/>
        <w:jc w:val="center"/>
        <w:rPr>
          <w:rFonts w:eastAsia="標楷體"/>
          <w:b/>
          <w:sz w:val="28"/>
        </w:rPr>
      </w:pPr>
    </w:p>
    <w:p w:rsidR="0095435D" w:rsidRPr="0095435D" w:rsidRDefault="003F7B40" w:rsidP="0095435D">
      <w:pPr>
        <w:pStyle w:val="Default"/>
        <w:framePr w:w="12720" w:wrap="auto" w:vAnchor="page" w:hAnchor="page" w:x="1" w:y="1"/>
        <w:rPr>
          <w:rFonts w:eastAsiaTheme="minorEastAsia"/>
        </w:rPr>
      </w:pPr>
      <w:r w:rsidRPr="00D55DC6">
        <w:rPr>
          <w:rFonts w:eastAsia="標楷體"/>
          <w:b/>
          <w:noProof/>
          <w:sz w:val="28"/>
        </w:rPr>
        <w:lastRenderedPageBreak/>
        <mc:AlternateContent>
          <mc:Choice Requires="wps">
            <w:drawing>
              <wp:anchor distT="0" distB="0" distL="114300" distR="114300" simplePos="0" relativeHeight="251660288" behindDoc="0" locked="0" layoutInCell="1" allowOverlap="1" wp14:anchorId="11DE669F" wp14:editId="1C138D26">
                <wp:simplePos x="0" y="0"/>
                <wp:positionH relativeFrom="column">
                  <wp:posOffset>2728595</wp:posOffset>
                </wp:positionH>
                <wp:positionV relativeFrom="paragraph">
                  <wp:posOffset>1061085</wp:posOffset>
                </wp:positionV>
                <wp:extent cx="240030" cy="285750"/>
                <wp:effectExtent l="0" t="0" r="7620" b="0"/>
                <wp:wrapNone/>
                <wp:docPr id="22"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 cy="285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矩形 14" o:spid="_x0000_s1026" style="position:absolute;margin-left:214.85pt;margin-top:83.55pt;width:18.9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" fillcolor="white [3212]" stroked="f" strokeweight="2pt">
                <v:path arrowok="t"/>
              </v:rect>
            </w:pict>
          </mc:Fallback>
        </mc:AlternateContent>
      </w:r>
      <w:r w:rsidR="00A3023B" w:rsidRPr="00D55DC6">
        <w:rPr>
          <w:rFonts w:eastAsia="標楷體"/>
          <w:b/>
          <w:sz w:val="28"/>
        </w:rPr>
        <w:br w:type="page"/>
      </w:r>
      <w:r w:rsidRPr="00D55DC6">
        <w:rPr>
          <w:rFonts w:eastAsia="標楷體"/>
          <w:b/>
          <w:noProof/>
          <w:sz w:val="28"/>
        </w:rPr>
        <mc:AlternateContent>
          <mc:Choice Requires="wps">
            <w:drawing>
              <wp:anchor distT="0" distB="0" distL="114300" distR="114300" simplePos="0" relativeHeight="251662336" behindDoc="0" locked="0" layoutInCell="1" allowOverlap="1" wp14:anchorId="351AB32B" wp14:editId="5C5845CC">
                <wp:simplePos x="0" y="0"/>
                <wp:positionH relativeFrom="column">
                  <wp:posOffset>2840990</wp:posOffset>
                </wp:positionH>
                <wp:positionV relativeFrom="paragraph">
                  <wp:posOffset>9047480</wp:posOffset>
                </wp:positionV>
                <wp:extent cx="240030" cy="285750"/>
                <wp:effectExtent l="0" t="0" r="7620" b="0"/>
                <wp:wrapNone/>
                <wp:docPr id="21"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 cy="285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矩形 18" o:spid="_x0000_s1026" style="position:absolute;margin-left:223.7pt;margin-top:712.4pt;width:18.9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" fillcolor="white [3212]" stroked="f" strokeweight="2pt">
                <v:path arrowok="t"/>
              </v:rect>
            </w:pict>
          </mc:Fallback>
        </mc:AlternateContent>
      </w:r>
      <w:r w:rsidR="00A3023B" w:rsidRPr="00D55DC6">
        <w:rPr>
          <w:rFonts w:eastAsia="標楷體"/>
          <w:b/>
          <w:sz w:val="28"/>
        </w:rPr>
        <w:t xml:space="preserve">  </w:t>
      </w:r>
      <w:r w:rsidR="00A3023B" w:rsidRPr="00D55DC6">
        <w:rPr>
          <w:rFonts w:eastAsia="標楷體"/>
          <w:b/>
          <w:sz w:val="28"/>
        </w:rPr>
        <w:br w:type="page"/>
      </w:r>
      <w:r w:rsidR="0095435D">
        <w:rPr>
          <w:rFonts w:eastAsiaTheme="minorEastAsia"/>
          <w:noProof/>
        </w:rPr>
        <w:drawing>
          <wp:inline distT="0" distB="0" distL="0" distR="0">
            <wp:extent cx="7579995" cy="10683875"/>
            <wp:effectExtent l="0" t="0" r="1905" b="3175"/>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79995" cy="10683875"/>
                    </a:xfrm>
                    <a:prstGeom prst="rect">
                      <a:avLst/>
                    </a:prstGeom>
                    <a:noFill/>
                    <a:ln>
                      <a:noFill/>
                    </a:ln>
                  </pic:spPr>
                </pic:pic>
              </a:graphicData>
            </a:graphic>
          </wp:inline>
        </w:drawing>
      </w:r>
    </w:p>
    <w:p w:rsidR="0095435D" w:rsidRPr="0095435D" w:rsidRDefault="0095435D" w:rsidP="0095435D">
      <w:pPr>
        <w:framePr w:w="12720" w:wrap="auto" w:vAnchor="page" w:hAnchor="page" w:x="1" w:y="1"/>
        <w:autoSpaceDE w:val="0"/>
        <w:autoSpaceDN w:val="0"/>
        <w:adjustRightInd w:val="0"/>
        <w:rPr>
          <w:rFonts w:eastAsiaTheme="minorEastAsia"/>
          <w:color w:val="000000"/>
          <w:kern w:val="0"/>
        </w:rPr>
      </w:pPr>
    </w:p>
    <w:p w:rsidR="0095435D" w:rsidRPr="0095435D" w:rsidRDefault="0095435D" w:rsidP="0095435D">
      <w:pPr>
        <w:pageBreakBefore/>
        <w:framePr w:w="12720" w:wrap="auto" w:vAnchor="page" w:hAnchor="page" w:x="1" w:y="1"/>
        <w:autoSpaceDE w:val="0"/>
        <w:autoSpaceDN w:val="0"/>
        <w:adjustRightInd w:val="0"/>
        <w:rPr>
          <w:rFonts w:eastAsiaTheme="minorEastAsia"/>
          <w:color w:val="000000"/>
          <w:kern w:val="0"/>
        </w:rPr>
      </w:pPr>
      <w:r>
        <w:rPr>
          <w:rFonts w:eastAsiaTheme="minorEastAsia"/>
          <w:noProof/>
          <w:color w:val="000000"/>
          <w:kern w:val="0"/>
        </w:rPr>
        <w:lastRenderedPageBreak/>
        <w:drawing>
          <wp:inline distT="0" distB="0" distL="0" distR="0">
            <wp:extent cx="7579995" cy="10683875"/>
            <wp:effectExtent l="0" t="0" r="1905" b="317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79995" cy="10683875"/>
                    </a:xfrm>
                    <a:prstGeom prst="rect">
                      <a:avLst/>
                    </a:prstGeom>
                    <a:noFill/>
                    <a:ln>
                      <a:noFill/>
                    </a:ln>
                  </pic:spPr>
                </pic:pic>
              </a:graphicData>
            </a:graphic>
          </wp:inline>
        </w:drawing>
      </w:r>
    </w:p>
    <w:p w:rsidR="0095435D" w:rsidRPr="0095435D" w:rsidRDefault="0095435D" w:rsidP="0095435D">
      <w:pPr>
        <w:pageBreakBefore/>
        <w:framePr w:w="12720" w:wrap="auto" w:vAnchor="page" w:hAnchor="page" w:x="1" w:y="1"/>
        <w:autoSpaceDE w:val="0"/>
        <w:autoSpaceDN w:val="0"/>
        <w:adjustRightInd w:val="0"/>
        <w:rPr>
          <w:rFonts w:eastAsiaTheme="minorEastAsia"/>
          <w:color w:val="000000"/>
          <w:kern w:val="0"/>
        </w:rPr>
      </w:pPr>
      <w:r>
        <w:rPr>
          <w:rFonts w:eastAsiaTheme="minorEastAsia"/>
          <w:noProof/>
          <w:color w:val="000000"/>
          <w:kern w:val="0"/>
        </w:rPr>
        <w:lastRenderedPageBreak/>
        <w:drawing>
          <wp:inline distT="0" distB="0" distL="0" distR="0">
            <wp:extent cx="7411720" cy="10371455"/>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11720" cy="10371455"/>
                    </a:xfrm>
                    <a:prstGeom prst="rect">
                      <a:avLst/>
                    </a:prstGeom>
                    <a:noFill/>
                    <a:ln>
                      <a:noFill/>
                    </a:ln>
                  </pic:spPr>
                </pic:pic>
              </a:graphicData>
            </a:graphic>
          </wp:inline>
        </w:drawing>
      </w:r>
    </w:p>
    <w:p w:rsidR="0095435D" w:rsidRPr="0095435D" w:rsidRDefault="0095435D" w:rsidP="0095435D">
      <w:pPr>
        <w:pageBreakBefore/>
        <w:framePr w:w="12720" w:wrap="auto" w:vAnchor="page" w:hAnchor="page" w:x="1" w:y="1"/>
        <w:autoSpaceDE w:val="0"/>
        <w:autoSpaceDN w:val="0"/>
        <w:adjustRightInd w:val="0"/>
        <w:rPr>
          <w:rFonts w:eastAsiaTheme="minorEastAsia"/>
          <w:color w:val="000000"/>
          <w:kern w:val="0"/>
        </w:rPr>
      </w:pPr>
      <w:r>
        <w:rPr>
          <w:rFonts w:eastAsiaTheme="minorEastAsia"/>
          <w:noProof/>
          <w:color w:val="000000"/>
          <w:kern w:val="0"/>
        </w:rPr>
        <w:lastRenderedPageBreak/>
        <w:drawing>
          <wp:inline distT="0" distB="0" distL="0" distR="0">
            <wp:extent cx="7411720" cy="10058400"/>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11720" cy="10058400"/>
                    </a:xfrm>
                    <a:prstGeom prst="rect">
                      <a:avLst/>
                    </a:prstGeom>
                    <a:noFill/>
                    <a:ln>
                      <a:noFill/>
                    </a:ln>
                  </pic:spPr>
                </pic:pic>
              </a:graphicData>
            </a:graphic>
          </wp:inline>
        </w:drawing>
      </w:r>
    </w:p>
    <w:p w:rsidR="0095435D" w:rsidRPr="0095435D" w:rsidRDefault="0095435D" w:rsidP="0095435D">
      <w:pPr>
        <w:pageBreakBefore/>
        <w:framePr w:w="12720" w:wrap="auto" w:vAnchor="page" w:hAnchor="page" w:x="1" w:y="1"/>
        <w:autoSpaceDE w:val="0"/>
        <w:autoSpaceDN w:val="0"/>
        <w:adjustRightInd w:val="0"/>
        <w:rPr>
          <w:rFonts w:eastAsiaTheme="minorEastAsia"/>
          <w:color w:val="000000"/>
          <w:kern w:val="0"/>
        </w:rPr>
      </w:pPr>
      <w:r>
        <w:rPr>
          <w:rFonts w:eastAsiaTheme="minorEastAsia"/>
          <w:noProof/>
          <w:color w:val="000000"/>
          <w:kern w:val="0"/>
        </w:rPr>
        <w:lastRenderedPageBreak/>
        <w:drawing>
          <wp:inline distT="0" distB="0" distL="0" distR="0">
            <wp:extent cx="7555865" cy="10683875"/>
            <wp:effectExtent l="0" t="0" r="6985" b="317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55865" cy="10683875"/>
                    </a:xfrm>
                    <a:prstGeom prst="rect">
                      <a:avLst/>
                    </a:prstGeom>
                    <a:noFill/>
                    <a:ln>
                      <a:noFill/>
                    </a:ln>
                  </pic:spPr>
                </pic:pic>
              </a:graphicData>
            </a:graphic>
          </wp:inline>
        </w:drawing>
      </w:r>
    </w:p>
    <w:p w:rsidR="0095435D" w:rsidRPr="0095435D" w:rsidRDefault="0095435D" w:rsidP="0095435D">
      <w:pPr>
        <w:pageBreakBefore/>
        <w:framePr w:w="12720" w:wrap="auto" w:vAnchor="page" w:hAnchor="page" w:x="1" w:y="1"/>
        <w:autoSpaceDE w:val="0"/>
        <w:autoSpaceDN w:val="0"/>
        <w:adjustRightInd w:val="0"/>
        <w:rPr>
          <w:rFonts w:eastAsiaTheme="minorEastAsia"/>
          <w:color w:val="000000"/>
          <w:kern w:val="0"/>
        </w:rPr>
      </w:pPr>
      <w:r>
        <w:rPr>
          <w:rFonts w:eastAsiaTheme="minorEastAsia"/>
          <w:noProof/>
          <w:color w:val="000000"/>
          <w:kern w:val="0"/>
        </w:rPr>
        <w:lastRenderedPageBreak/>
        <w:drawing>
          <wp:inline distT="0" distB="0" distL="0" distR="0">
            <wp:extent cx="7555865" cy="10563860"/>
            <wp:effectExtent l="0" t="0" r="6985" b="889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55865" cy="10563860"/>
                    </a:xfrm>
                    <a:prstGeom prst="rect">
                      <a:avLst/>
                    </a:prstGeom>
                    <a:noFill/>
                    <a:ln>
                      <a:noFill/>
                    </a:ln>
                  </pic:spPr>
                </pic:pic>
              </a:graphicData>
            </a:graphic>
          </wp:inline>
        </w:drawing>
      </w:r>
    </w:p>
    <w:p w:rsidR="0095435D" w:rsidRDefault="0095435D">
      <w:pPr>
        <w:widowControl/>
        <w:rPr>
          <w:rFonts w:eastAsia="標楷體"/>
          <w:b/>
          <w:sz w:val="28"/>
        </w:rPr>
      </w:pPr>
    </w:p>
    <w:p w:rsidR="00EF4F6D" w:rsidRDefault="00EF4F6D" w:rsidP="00C57342">
      <w:pPr>
        <w:widowControl/>
        <w:ind w:leftChars="-295" w:left="-708"/>
        <w:rPr>
          <w:rFonts w:eastAsia="標楷體"/>
          <w:b/>
          <w:sz w:val="28"/>
        </w:rPr>
      </w:pPr>
    </w:p>
    <w:p w:rsidR="00C57342" w:rsidRDefault="00C57342">
      <w:pPr>
        <w:widowControl/>
        <w:rPr>
          <w:rFonts w:eastAsia="標楷體"/>
          <w:b/>
          <w:sz w:val="28"/>
        </w:rPr>
      </w:pPr>
    </w:p>
    <w:p w:rsidR="00C57342" w:rsidRDefault="00C57342">
      <w:pPr>
        <w:widowControl/>
        <w:rPr>
          <w:rFonts w:eastAsia="標楷體"/>
          <w:b/>
          <w:sz w:val="28"/>
        </w:rPr>
      </w:pPr>
    </w:p>
    <w:p w:rsidR="00A3023B" w:rsidRPr="00D55DC6" w:rsidRDefault="00A3023B">
      <w:pPr>
        <w:widowControl/>
        <w:rPr>
          <w:rFonts w:eastAsia="標楷體"/>
          <w:b/>
          <w:sz w:val="28"/>
        </w:rPr>
      </w:pPr>
    </w:p>
    <w:p w:rsidR="0038348F" w:rsidRPr="00D55DC6" w:rsidRDefault="0038348F" w:rsidP="00A3023B">
      <w:pPr>
        <w:widowControl/>
        <w:jc w:val="center"/>
        <w:rPr>
          <w:rFonts w:eastAsia="標楷體"/>
          <w:b/>
          <w:sz w:val="48"/>
        </w:rPr>
      </w:pPr>
    </w:p>
    <w:p w:rsidR="00A3023B" w:rsidRPr="00D55DC6" w:rsidRDefault="00A3023B" w:rsidP="00A3023B">
      <w:pPr>
        <w:widowControl/>
        <w:jc w:val="center"/>
        <w:rPr>
          <w:rFonts w:eastAsia="標楷體"/>
          <w:b/>
          <w:sz w:val="48"/>
        </w:rPr>
      </w:pPr>
      <w:r w:rsidRPr="00D55DC6">
        <w:rPr>
          <w:rFonts w:eastAsia="標楷體" w:hAnsi="標楷體"/>
          <w:b/>
          <w:sz w:val="48"/>
        </w:rPr>
        <w:t>目</w:t>
      </w:r>
      <w:r w:rsidRPr="00D55DC6">
        <w:rPr>
          <w:rFonts w:eastAsia="標楷體"/>
          <w:b/>
          <w:sz w:val="48"/>
        </w:rPr>
        <w:t xml:space="preserve">  </w:t>
      </w:r>
      <w:r w:rsidRPr="00D55DC6">
        <w:rPr>
          <w:rFonts w:eastAsia="標楷體" w:hAnsi="標楷體"/>
          <w:b/>
          <w:sz w:val="48"/>
        </w:rPr>
        <w:t>錄</w:t>
      </w:r>
    </w:p>
    <w:p w:rsidR="00330F3C" w:rsidRPr="00D55DC6" w:rsidRDefault="00330F3C" w:rsidP="00330F3C">
      <w:pPr>
        <w:widowControl/>
        <w:rPr>
          <w:rFonts w:eastAsia="標楷體"/>
          <w:b/>
          <w:sz w:val="40"/>
        </w:rPr>
      </w:pPr>
    </w:p>
    <w:p w:rsidR="00330F3C" w:rsidRPr="00D55DC6" w:rsidRDefault="00330F3C" w:rsidP="00330F3C">
      <w:pPr>
        <w:widowControl/>
        <w:rPr>
          <w:rFonts w:eastAsia="標楷體"/>
          <w:b/>
          <w:sz w:val="40"/>
        </w:rPr>
      </w:pPr>
      <w:r w:rsidRPr="00D55DC6">
        <w:rPr>
          <w:rFonts w:eastAsia="標楷體" w:hAnsi="標楷體"/>
          <w:b/>
          <w:sz w:val="40"/>
        </w:rPr>
        <w:t>總論</w:t>
      </w:r>
    </w:p>
    <w:p w:rsidR="00A3023B" w:rsidRPr="00D55DC6" w:rsidRDefault="00D85028" w:rsidP="009D33BA">
      <w:pPr>
        <w:pStyle w:val="1f"/>
        <w:tabs>
          <w:tab w:val="left" w:pos="960"/>
          <w:tab w:val="right" w:leader="dot" w:pos="9060"/>
        </w:tabs>
        <w:spacing w:beforeLines="50" w:before="180" w:line="0" w:lineRule="atLeast"/>
        <w:rPr>
          <w:rFonts w:eastAsia="標楷體"/>
          <w:noProof/>
          <w:sz w:val="32"/>
          <w:szCs w:val="32"/>
        </w:rPr>
      </w:pPr>
      <w:r w:rsidRPr="00D55DC6">
        <w:rPr>
          <w:rFonts w:eastAsia="標楷體"/>
          <w:b/>
          <w:sz w:val="32"/>
          <w:szCs w:val="32"/>
        </w:rPr>
        <w:fldChar w:fldCharType="begin"/>
      </w:r>
      <w:r w:rsidR="00A3023B" w:rsidRPr="00D55DC6">
        <w:rPr>
          <w:rFonts w:eastAsia="標楷體"/>
          <w:b/>
          <w:sz w:val="32"/>
          <w:szCs w:val="32"/>
        </w:rPr>
        <w:instrText xml:space="preserve"> TOC \h \z \t "</w:instrText>
      </w:r>
      <w:r w:rsidR="00A3023B" w:rsidRPr="00D55DC6">
        <w:rPr>
          <w:rFonts w:eastAsia="標楷體" w:hAnsi="標楷體"/>
          <w:b/>
          <w:sz w:val="32"/>
          <w:szCs w:val="32"/>
        </w:rPr>
        <w:instrText>大標題</w:instrText>
      </w:r>
      <w:r w:rsidR="00A3023B" w:rsidRPr="00D55DC6">
        <w:rPr>
          <w:rFonts w:eastAsia="標楷體"/>
          <w:b/>
          <w:sz w:val="32"/>
          <w:szCs w:val="32"/>
        </w:rPr>
        <w:instrText xml:space="preserve">,1" </w:instrText>
      </w:r>
      <w:r w:rsidRPr="00D55DC6">
        <w:rPr>
          <w:rFonts w:eastAsia="標楷體"/>
          <w:b/>
          <w:sz w:val="32"/>
          <w:szCs w:val="32"/>
        </w:rPr>
        <w:fldChar w:fldCharType="separate"/>
      </w:r>
      <w:hyperlink w:anchor="_Toc407181627" w:history="1">
        <w:r w:rsidR="00A3023B" w:rsidRPr="00D55DC6">
          <w:rPr>
            <w:rStyle w:val="affff8"/>
            <w:rFonts w:eastAsia="標楷體" w:hAnsi="標楷體"/>
            <w:b/>
            <w:noProof/>
            <w:color w:val="auto"/>
            <w:sz w:val="32"/>
            <w:szCs w:val="32"/>
            <w:u w:val="none"/>
          </w:rPr>
          <w:t>一、計畫緣起</w:t>
        </w:r>
        <w:r w:rsidR="00A3023B" w:rsidRPr="00D55DC6">
          <w:rPr>
            <w:rFonts w:eastAsia="標楷體"/>
            <w:noProof/>
            <w:webHidden/>
            <w:sz w:val="32"/>
            <w:szCs w:val="32"/>
          </w:rPr>
          <w:tab/>
        </w:r>
        <w:r w:rsidRPr="00D55DC6">
          <w:rPr>
            <w:rFonts w:eastAsia="標楷體"/>
            <w:noProof/>
            <w:webHidden/>
            <w:sz w:val="32"/>
            <w:szCs w:val="32"/>
          </w:rPr>
          <w:fldChar w:fldCharType="begin"/>
        </w:r>
        <w:r w:rsidR="00A3023B" w:rsidRPr="00D55DC6">
          <w:rPr>
            <w:rFonts w:eastAsia="標楷體"/>
            <w:noProof/>
            <w:webHidden/>
            <w:sz w:val="32"/>
            <w:szCs w:val="32"/>
          </w:rPr>
          <w:instrText xml:space="preserve"> PAGEREF _Toc407181627 \h </w:instrText>
        </w:r>
        <w:r w:rsidRPr="00D55DC6">
          <w:rPr>
            <w:rFonts w:eastAsia="標楷體"/>
            <w:noProof/>
            <w:webHidden/>
            <w:sz w:val="32"/>
            <w:szCs w:val="32"/>
          </w:rPr>
        </w:r>
        <w:r w:rsidRPr="00D55DC6">
          <w:rPr>
            <w:rFonts w:eastAsia="標楷體"/>
            <w:noProof/>
            <w:webHidden/>
            <w:sz w:val="32"/>
            <w:szCs w:val="32"/>
          </w:rPr>
          <w:fldChar w:fldCharType="separate"/>
        </w:r>
        <w:r w:rsidR="006B452A">
          <w:rPr>
            <w:rFonts w:eastAsia="標楷體"/>
            <w:noProof/>
            <w:webHidden/>
            <w:sz w:val="32"/>
            <w:szCs w:val="32"/>
          </w:rPr>
          <w:t>1</w:t>
        </w:r>
        <w:r w:rsidRPr="00D55DC6">
          <w:rPr>
            <w:rFonts w:eastAsia="標楷體"/>
            <w:noProof/>
            <w:webHidden/>
            <w:sz w:val="32"/>
            <w:szCs w:val="32"/>
          </w:rPr>
          <w:fldChar w:fldCharType="end"/>
        </w:r>
      </w:hyperlink>
    </w:p>
    <w:p w:rsidR="00A3023B" w:rsidRPr="00D55DC6" w:rsidRDefault="00E66302" w:rsidP="009D33BA">
      <w:pPr>
        <w:pStyle w:val="1f"/>
        <w:tabs>
          <w:tab w:val="left" w:pos="960"/>
          <w:tab w:val="right" w:leader="dot" w:pos="9060"/>
        </w:tabs>
        <w:spacing w:beforeLines="50" w:before="180" w:line="0" w:lineRule="atLeast"/>
        <w:rPr>
          <w:rFonts w:eastAsia="標楷體"/>
          <w:noProof/>
          <w:sz w:val="32"/>
          <w:szCs w:val="32"/>
        </w:rPr>
      </w:pPr>
      <w:hyperlink w:anchor="_Toc407181628" w:history="1">
        <w:r w:rsidR="00A3023B" w:rsidRPr="00D55DC6">
          <w:rPr>
            <w:rStyle w:val="affff8"/>
            <w:rFonts w:eastAsia="標楷體" w:hAnsi="標楷體"/>
            <w:b/>
            <w:noProof/>
            <w:color w:val="auto"/>
            <w:sz w:val="32"/>
            <w:szCs w:val="32"/>
            <w:u w:val="none"/>
          </w:rPr>
          <w:t>二、計畫目標及績效指標</w:t>
        </w:r>
        <w:r w:rsidR="00A3023B" w:rsidRPr="00D55DC6">
          <w:rPr>
            <w:rFonts w:eastAsia="標楷體"/>
            <w:noProof/>
            <w:webHidden/>
            <w:sz w:val="32"/>
            <w:szCs w:val="32"/>
          </w:rPr>
          <w:tab/>
        </w:r>
        <w:r w:rsidR="00D85028" w:rsidRPr="00D55DC6">
          <w:rPr>
            <w:rFonts w:eastAsia="標楷體"/>
            <w:noProof/>
            <w:webHidden/>
            <w:sz w:val="32"/>
            <w:szCs w:val="32"/>
          </w:rPr>
          <w:fldChar w:fldCharType="begin"/>
        </w:r>
        <w:r w:rsidR="00A3023B" w:rsidRPr="00D55DC6">
          <w:rPr>
            <w:rFonts w:eastAsia="標楷體"/>
            <w:noProof/>
            <w:webHidden/>
            <w:sz w:val="32"/>
            <w:szCs w:val="32"/>
          </w:rPr>
          <w:instrText xml:space="preserve"> PAGEREF _Toc407181628 \h </w:instrText>
        </w:r>
        <w:r w:rsidR="00D85028" w:rsidRPr="00D55DC6">
          <w:rPr>
            <w:rFonts w:eastAsia="標楷體"/>
            <w:noProof/>
            <w:webHidden/>
            <w:sz w:val="32"/>
            <w:szCs w:val="32"/>
          </w:rPr>
        </w:r>
        <w:r w:rsidR="00D85028" w:rsidRPr="00D55DC6">
          <w:rPr>
            <w:rFonts w:eastAsia="標楷體"/>
            <w:noProof/>
            <w:webHidden/>
            <w:sz w:val="32"/>
            <w:szCs w:val="32"/>
          </w:rPr>
          <w:fldChar w:fldCharType="separate"/>
        </w:r>
        <w:r w:rsidR="006B452A">
          <w:rPr>
            <w:rFonts w:eastAsia="標楷體"/>
            <w:noProof/>
            <w:webHidden/>
            <w:sz w:val="32"/>
            <w:szCs w:val="32"/>
          </w:rPr>
          <w:t>5</w:t>
        </w:r>
        <w:r w:rsidR="00D85028" w:rsidRPr="00D55DC6">
          <w:rPr>
            <w:rFonts w:eastAsia="標楷體"/>
            <w:noProof/>
            <w:webHidden/>
            <w:sz w:val="32"/>
            <w:szCs w:val="32"/>
          </w:rPr>
          <w:fldChar w:fldCharType="end"/>
        </w:r>
      </w:hyperlink>
    </w:p>
    <w:p w:rsidR="00A3023B" w:rsidRPr="00D55DC6" w:rsidRDefault="00E66302" w:rsidP="009D33BA">
      <w:pPr>
        <w:pStyle w:val="1f"/>
        <w:tabs>
          <w:tab w:val="left" w:pos="960"/>
          <w:tab w:val="right" w:leader="dot" w:pos="9060"/>
        </w:tabs>
        <w:spacing w:beforeLines="50" w:before="180" w:line="0" w:lineRule="atLeast"/>
        <w:rPr>
          <w:rFonts w:eastAsia="標楷體"/>
          <w:noProof/>
          <w:sz w:val="32"/>
          <w:szCs w:val="32"/>
        </w:rPr>
      </w:pPr>
      <w:hyperlink w:anchor="_Toc407181632" w:history="1">
        <w:r w:rsidR="00A3023B" w:rsidRPr="00D55DC6">
          <w:rPr>
            <w:rStyle w:val="affff8"/>
            <w:rFonts w:eastAsia="標楷體" w:hAnsi="標楷體"/>
            <w:b/>
            <w:noProof/>
            <w:color w:val="auto"/>
            <w:sz w:val="32"/>
            <w:szCs w:val="32"/>
            <w:u w:val="none"/>
          </w:rPr>
          <w:t>三、現行相關政策及方案之檢討</w:t>
        </w:r>
        <w:r w:rsidR="00A3023B" w:rsidRPr="00D55DC6">
          <w:rPr>
            <w:rFonts w:eastAsia="標楷體"/>
            <w:noProof/>
            <w:webHidden/>
            <w:sz w:val="32"/>
            <w:szCs w:val="32"/>
          </w:rPr>
          <w:tab/>
        </w:r>
        <w:r w:rsidR="00D85028" w:rsidRPr="00D55DC6">
          <w:rPr>
            <w:rFonts w:eastAsia="標楷體"/>
            <w:noProof/>
            <w:webHidden/>
            <w:sz w:val="32"/>
            <w:szCs w:val="32"/>
          </w:rPr>
          <w:fldChar w:fldCharType="begin"/>
        </w:r>
        <w:r w:rsidR="00A3023B" w:rsidRPr="00D55DC6">
          <w:rPr>
            <w:rFonts w:eastAsia="標楷體"/>
            <w:noProof/>
            <w:webHidden/>
            <w:sz w:val="32"/>
            <w:szCs w:val="32"/>
          </w:rPr>
          <w:instrText xml:space="preserve"> PAGEREF _Toc407181632 \h </w:instrText>
        </w:r>
        <w:r w:rsidR="00D85028" w:rsidRPr="00D55DC6">
          <w:rPr>
            <w:rFonts w:eastAsia="標楷體"/>
            <w:noProof/>
            <w:webHidden/>
            <w:sz w:val="32"/>
            <w:szCs w:val="32"/>
          </w:rPr>
        </w:r>
        <w:r w:rsidR="00D85028" w:rsidRPr="00D55DC6">
          <w:rPr>
            <w:rFonts w:eastAsia="標楷體"/>
            <w:noProof/>
            <w:webHidden/>
            <w:sz w:val="32"/>
            <w:szCs w:val="32"/>
          </w:rPr>
          <w:fldChar w:fldCharType="separate"/>
        </w:r>
        <w:r w:rsidR="006B452A">
          <w:rPr>
            <w:rFonts w:eastAsia="標楷體"/>
            <w:noProof/>
            <w:webHidden/>
            <w:sz w:val="32"/>
            <w:szCs w:val="32"/>
          </w:rPr>
          <w:t>8</w:t>
        </w:r>
        <w:r w:rsidR="00D85028" w:rsidRPr="00D55DC6">
          <w:rPr>
            <w:rFonts w:eastAsia="標楷體"/>
            <w:noProof/>
            <w:webHidden/>
            <w:sz w:val="32"/>
            <w:szCs w:val="32"/>
          </w:rPr>
          <w:fldChar w:fldCharType="end"/>
        </w:r>
      </w:hyperlink>
    </w:p>
    <w:p w:rsidR="00A3023B" w:rsidRPr="00D55DC6" w:rsidRDefault="00E66302" w:rsidP="009D33BA">
      <w:pPr>
        <w:pStyle w:val="1f"/>
        <w:tabs>
          <w:tab w:val="left" w:pos="960"/>
          <w:tab w:val="right" w:leader="dot" w:pos="9060"/>
        </w:tabs>
        <w:spacing w:beforeLines="50" w:before="180" w:line="0" w:lineRule="atLeast"/>
        <w:rPr>
          <w:rFonts w:eastAsia="標楷體"/>
          <w:noProof/>
          <w:sz w:val="32"/>
          <w:szCs w:val="32"/>
        </w:rPr>
      </w:pPr>
      <w:hyperlink w:anchor="_Toc407181633" w:history="1">
        <w:r w:rsidR="00A3023B" w:rsidRPr="00D55DC6">
          <w:rPr>
            <w:rStyle w:val="affff8"/>
            <w:rFonts w:eastAsia="標楷體" w:hAnsi="標楷體"/>
            <w:b/>
            <w:noProof/>
            <w:color w:val="auto"/>
            <w:sz w:val="32"/>
            <w:szCs w:val="32"/>
            <w:u w:val="none"/>
          </w:rPr>
          <w:t>四、執行策略及方法</w:t>
        </w:r>
        <w:r w:rsidR="00A3023B" w:rsidRPr="00D55DC6">
          <w:rPr>
            <w:rFonts w:eastAsia="標楷體"/>
            <w:noProof/>
            <w:webHidden/>
            <w:sz w:val="32"/>
            <w:szCs w:val="32"/>
          </w:rPr>
          <w:tab/>
        </w:r>
        <w:r w:rsidR="00D85028" w:rsidRPr="00D55DC6">
          <w:rPr>
            <w:rFonts w:eastAsia="標楷體"/>
            <w:noProof/>
            <w:webHidden/>
            <w:sz w:val="32"/>
            <w:szCs w:val="32"/>
          </w:rPr>
          <w:fldChar w:fldCharType="begin"/>
        </w:r>
        <w:r w:rsidR="00A3023B" w:rsidRPr="00D55DC6">
          <w:rPr>
            <w:rFonts w:eastAsia="標楷體"/>
            <w:noProof/>
            <w:webHidden/>
            <w:sz w:val="32"/>
            <w:szCs w:val="32"/>
          </w:rPr>
          <w:instrText xml:space="preserve"> PAGEREF _Toc407181633 \h </w:instrText>
        </w:r>
        <w:r w:rsidR="00D85028" w:rsidRPr="00D55DC6">
          <w:rPr>
            <w:rFonts w:eastAsia="標楷體"/>
            <w:noProof/>
            <w:webHidden/>
            <w:sz w:val="32"/>
            <w:szCs w:val="32"/>
          </w:rPr>
        </w:r>
        <w:r w:rsidR="00D85028" w:rsidRPr="00D55DC6">
          <w:rPr>
            <w:rFonts w:eastAsia="標楷體"/>
            <w:noProof/>
            <w:webHidden/>
            <w:sz w:val="32"/>
            <w:szCs w:val="32"/>
          </w:rPr>
          <w:fldChar w:fldCharType="separate"/>
        </w:r>
        <w:r w:rsidR="006B452A">
          <w:rPr>
            <w:rFonts w:eastAsia="標楷體"/>
            <w:noProof/>
            <w:webHidden/>
            <w:sz w:val="32"/>
            <w:szCs w:val="32"/>
          </w:rPr>
          <w:t>13</w:t>
        </w:r>
        <w:r w:rsidR="00D85028" w:rsidRPr="00D55DC6">
          <w:rPr>
            <w:rFonts w:eastAsia="標楷體"/>
            <w:noProof/>
            <w:webHidden/>
            <w:sz w:val="32"/>
            <w:szCs w:val="32"/>
          </w:rPr>
          <w:fldChar w:fldCharType="end"/>
        </w:r>
      </w:hyperlink>
    </w:p>
    <w:p w:rsidR="00A3023B" w:rsidRPr="00D55DC6" w:rsidRDefault="00E66302" w:rsidP="009D33BA">
      <w:pPr>
        <w:pStyle w:val="1f"/>
        <w:tabs>
          <w:tab w:val="left" w:pos="960"/>
          <w:tab w:val="right" w:leader="dot" w:pos="9060"/>
        </w:tabs>
        <w:spacing w:beforeLines="50" w:before="180" w:line="0" w:lineRule="atLeast"/>
        <w:rPr>
          <w:rFonts w:eastAsia="標楷體"/>
          <w:noProof/>
          <w:sz w:val="32"/>
          <w:szCs w:val="32"/>
        </w:rPr>
      </w:pPr>
      <w:hyperlink w:anchor="_Toc407181634" w:history="1">
        <w:r w:rsidR="00A3023B" w:rsidRPr="00D55DC6">
          <w:rPr>
            <w:rStyle w:val="affff8"/>
            <w:rFonts w:eastAsia="標楷體" w:hAnsi="標楷體"/>
            <w:b/>
            <w:noProof/>
            <w:color w:val="auto"/>
            <w:sz w:val="32"/>
            <w:szCs w:val="32"/>
            <w:u w:val="none"/>
          </w:rPr>
          <w:t>五、期程與資源需求</w:t>
        </w:r>
        <w:r w:rsidR="00A3023B" w:rsidRPr="00D55DC6">
          <w:rPr>
            <w:rFonts w:eastAsia="標楷體"/>
            <w:noProof/>
            <w:webHidden/>
            <w:sz w:val="32"/>
            <w:szCs w:val="32"/>
          </w:rPr>
          <w:tab/>
        </w:r>
        <w:r w:rsidR="00D85028" w:rsidRPr="00D55DC6">
          <w:rPr>
            <w:rFonts w:eastAsia="標楷體"/>
            <w:noProof/>
            <w:webHidden/>
            <w:sz w:val="32"/>
            <w:szCs w:val="32"/>
          </w:rPr>
          <w:fldChar w:fldCharType="begin"/>
        </w:r>
        <w:r w:rsidR="00A3023B" w:rsidRPr="00D55DC6">
          <w:rPr>
            <w:rFonts w:eastAsia="標楷體"/>
            <w:noProof/>
            <w:webHidden/>
            <w:sz w:val="32"/>
            <w:szCs w:val="32"/>
          </w:rPr>
          <w:instrText xml:space="preserve"> PAGEREF _Toc407181634 \h </w:instrText>
        </w:r>
        <w:r w:rsidR="00D85028" w:rsidRPr="00D55DC6">
          <w:rPr>
            <w:rFonts w:eastAsia="標楷體"/>
            <w:noProof/>
            <w:webHidden/>
            <w:sz w:val="32"/>
            <w:szCs w:val="32"/>
          </w:rPr>
        </w:r>
        <w:r w:rsidR="00D85028" w:rsidRPr="00D55DC6">
          <w:rPr>
            <w:rFonts w:eastAsia="標楷體"/>
            <w:noProof/>
            <w:webHidden/>
            <w:sz w:val="32"/>
            <w:szCs w:val="32"/>
          </w:rPr>
          <w:fldChar w:fldCharType="separate"/>
        </w:r>
        <w:r w:rsidR="006B452A">
          <w:rPr>
            <w:rFonts w:eastAsia="標楷體"/>
            <w:noProof/>
            <w:webHidden/>
            <w:sz w:val="32"/>
            <w:szCs w:val="32"/>
          </w:rPr>
          <w:t>17</w:t>
        </w:r>
        <w:r w:rsidR="00D85028" w:rsidRPr="00D55DC6">
          <w:rPr>
            <w:rFonts w:eastAsia="標楷體"/>
            <w:noProof/>
            <w:webHidden/>
            <w:sz w:val="32"/>
            <w:szCs w:val="32"/>
          </w:rPr>
          <w:fldChar w:fldCharType="end"/>
        </w:r>
      </w:hyperlink>
    </w:p>
    <w:p w:rsidR="00A3023B" w:rsidRPr="00D55DC6" w:rsidRDefault="00E66302" w:rsidP="009D33BA">
      <w:pPr>
        <w:pStyle w:val="1f"/>
        <w:tabs>
          <w:tab w:val="left" w:pos="960"/>
          <w:tab w:val="right" w:leader="dot" w:pos="9060"/>
        </w:tabs>
        <w:spacing w:beforeLines="50" w:before="180" w:line="0" w:lineRule="atLeast"/>
        <w:rPr>
          <w:rFonts w:eastAsia="標楷體"/>
          <w:noProof/>
          <w:sz w:val="32"/>
          <w:szCs w:val="32"/>
        </w:rPr>
      </w:pPr>
      <w:hyperlink w:anchor="_Toc407181635" w:history="1">
        <w:r w:rsidR="00A3023B" w:rsidRPr="00D55DC6">
          <w:rPr>
            <w:rStyle w:val="affff8"/>
            <w:rFonts w:eastAsia="標楷體" w:hAnsi="標楷體"/>
            <w:b/>
            <w:noProof/>
            <w:color w:val="auto"/>
            <w:sz w:val="32"/>
            <w:szCs w:val="32"/>
            <w:u w:val="none"/>
          </w:rPr>
          <w:t>六、預期效果及影響</w:t>
        </w:r>
        <w:r w:rsidR="00A3023B" w:rsidRPr="00D55DC6">
          <w:rPr>
            <w:rFonts w:eastAsia="標楷體"/>
            <w:noProof/>
            <w:webHidden/>
            <w:sz w:val="32"/>
            <w:szCs w:val="32"/>
          </w:rPr>
          <w:tab/>
        </w:r>
        <w:r w:rsidR="00D85028" w:rsidRPr="00D55DC6">
          <w:rPr>
            <w:rFonts w:eastAsia="標楷體"/>
            <w:noProof/>
            <w:webHidden/>
            <w:sz w:val="32"/>
            <w:szCs w:val="32"/>
          </w:rPr>
          <w:fldChar w:fldCharType="begin"/>
        </w:r>
        <w:r w:rsidR="00A3023B" w:rsidRPr="00D55DC6">
          <w:rPr>
            <w:rFonts w:eastAsia="標楷體"/>
            <w:noProof/>
            <w:webHidden/>
            <w:sz w:val="32"/>
            <w:szCs w:val="32"/>
          </w:rPr>
          <w:instrText xml:space="preserve"> PAGEREF _Toc407181635 \h </w:instrText>
        </w:r>
        <w:r w:rsidR="00D85028" w:rsidRPr="00D55DC6">
          <w:rPr>
            <w:rFonts w:eastAsia="標楷體"/>
            <w:noProof/>
            <w:webHidden/>
            <w:sz w:val="32"/>
            <w:szCs w:val="32"/>
          </w:rPr>
        </w:r>
        <w:r w:rsidR="00D85028" w:rsidRPr="00D55DC6">
          <w:rPr>
            <w:rFonts w:eastAsia="標楷體"/>
            <w:noProof/>
            <w:webHidden/>
            <w:sz w:val="32"/>
            <w:szCs w:val="32"/>
          </w:rPr>
          <w:fldChar w:fldCharType="separate"/>
        </w:r>
        <w:r w:rsidR="006B452A">
          <w:rPr>
            <w:rFonts w:eastAsia="標楷體"/>
            <w:noProof/>
            <w:webHidden/>
            <w:sz w:val="32"/>
            <w:szCs w:val="32"/>
          </w:rPr>
          <w:t>18</w:t>
        </w:r>
        <w:r w:rsidR="00D85028" w:rsidRPr="00D55DC6">
          <w:rPr>
            <w:rFonts w:eastAsia="標楷體"/>
            <w:noProof/>
            <w:webHidden/>
            <w:sz w:val="32"/>
            <w:szCs w:val="32"/>
          </w:rPr>
          <w:fldChar w:fldCharType="end"/>
        </w:r>
      </w:hyperlink>
    </w:p>
    <w:p w:rsidR="00A3023B" w:rsidRPr="00D55DC6" w:rsidRDefault="00E66302" w:rsidP="009D33BA">
      <w:pPr>
        <w:pStyle w:val="1f"/>
        <w:tabs>
          <w:tab w:val="left" w:pos="960"/>
          <w:tab w:val="right" w:leader="dot" w:pos="9060"/>
        </w:tabs>
        <w:spacing w:beforeLines="50" w:before="180" w:line="0" w:lineRule="atLeast"/>
        <w:rPr>
          <w:rFonts w:eastAsia="標楷體"/>
          <w:noProof/>
          <w:sz w:val="32"/>
          <w:szCs w:val="32"/>
        </w:rPr>
      </w:pPr>
      <w:hyperlink w:anchor="_Toc407181636" w:history="1">
        <w:r w:rsidR="00A3023B" w:rsidRPr="00D55DC6">
          <w:rPr>
            <w:rStyle w:val="affff8"/>
            <w:rFonts w:eastAsia="標楷體" w:hAnsi="標楷體"/>
            <w:b/>
            <w:noProof/>
            <w:color w:val="auto"/>
            <w:sz w:val="32"/>
            <w:szCs w:val="32"/>
            <w:u w:val="none"/>
          </w:rPr>
          <w:t>七、財務計畫</w:t>
        </w:r>
        <w:r w:rsidR="00A3023B" w:rsidRPr="00D55DC6">
          <w:rPr>
            <w:rFonts w:eastAsia="標楷體"/>
            <w:noProof/>
            <w:webHidden/>
            <w:sz w:val="32"/>
            <w:szCs w:val="32"/>
          </w:rPr>
          <w:tab/>
        </w:r>
        <w:r w:rsidR="00D85028" w:rsidRPr="00D55DC6">
          <w:rPr>
            <w:rFonts w:eastAsia="標楷體"/>
            <w:noProof/>
            <w:webHidden/>
            <w:sz w:val="32"/>
            <w:szCs w:val="32"/>
          </w:rPr>
          <w:fldChar w:fldCharType="begin"/>
        </w:r>
        <w:r w:rsidR="00A3023B" w:rsidRPr="00D55DC6">
          <w:rPr>
            <w:rFonts w:eastAsia="標楷體"/>
            <w:noProof/>
            <w:webHidden/>
            <w:sz w:val="32"/>
            <w:szCs w:val="32"/>
          </w:rPr>
          <w:instrText xml:space="preserve"> PAGEREF _Toc407181636 \h </w:instrText>
        </w:r>
        <w:r w:rsidR="00D85028" w:rsidRPr="00D55DC6">
          <w:rPr>
            <w:rFonts w:eastAsia="標楷體"/>
            <w:noProof/>
            <w:webHidden/>
            <w:sz w:val="32"/>
            <w:szCs w:val="32"/>
          </w:rPr>
        </w:r>
        <w:r w:rsidR="00D85028" w:rsidRPr="00D55DC6">
          <w:rPr>
            <w:rFonts w:eastAsia="標楷體"/>
            <w:noProof/>
            <w:webHidden/>
            <w:sz w:val="32"/>
            <w:szCs w:val="32"/>
          </w:rPr>
          <w:fldChar w:fldCharType="separate"/>
        </w:r>
        <w:r w:rsidR="006B452A">
          <w:rPr>
            <w:rFonts w:eastAsia="標楷體"/>
            <w:noProof/>
            <w:webHidden/>
            <w:sz w:val="32"/>
            <w:szCs w:val="32"/>
          </w:rPr>
          <w:t>19</w:t>
        </w:r>
        <w:r w:rsidR="00D85028" w:rsidRPr="00D55DC6">
          <w:rPr>
            <w:rFonts w:eastAsia="標楷體"/>
            <w:noProof/>
            <w:webHidden/>
            <w:sz w:val="32"/>
            <w:szCs w:val="32"/>
          </w:rPr>
          <w:fldChar w:fldCharType="end"/>
        </w:r>
      </w:hyperlink>
    </w:p>
    <w:p w:rsidR="00A3023B" w:rsidRPr="00D55DC6" w:rsidRDefault="00E66302" w:rsidP="009D33BA">
      <w:pPr>
        <w:pStyle w:val="1f"/>
        <w:tabs>
          <w:tab w:val="left" w:pos="960"/>
          <w:tab w:val="right" w:leader="dot" w:pos="9060"/>
        </w:tabs>
        <w:spacing w:beforeLines="50" w:before="180" w:line="0" w:lineRule="atLeast"/>
        <w:rPr>
          <w:rStyle w:val="affff8"/>
          <w:rFonts w:eastAsia="標楷體"/>
          <w:noProof/>
          <w:color w:val="auto"/>
          <w:sz w:val="32"/>
          <w:szCs w:val="32"/>
          <w:u w:val="none"/>
        </w:rPr>
      </w:pPr>
      <w:hyperlink w:anchor="_Toc407181639" w:history="1">
        <w:r w:rsidR="00A3023B" w:rsidRPr="00D55DC6">
          <w:rPr>
            <w:rStyle w:val="affff8"/>
            <w:rFonts w:eastAsia="標楷體" w:hAnsi="標楷體"/>
            <w:b/>
            <w:noProof/>
            <w:color w:val="auto"/>
            <w:sz w:val="32"/>
            <w:szCs w:val="32"/>
            <w:u w:val="none"/>
          </w:rPr>
          <w:t>八、附則</w:t>
        </w:r>
        <w:r w:rsidR="00A3023B" w:rsidRPr="00D55DC6">
          <w:rPr>
            <w:rFonts w:eastAsia="標楷體"/>
            <w:noProof/>
            <w:webHidden/>
            <w:sz w:val="32"/>
            <w:szCs w:val="32"/>
          </w:rPr>
          <w:tab/>
        </w:r>
        <w:r w:rsidR="00D85028" w:rsidRPr="00D55DC6">
          <w:rPr>
            <w:rFonts w:eastAsia="標楷體"/>
            <w:noProof/>
            <w:webHidden/>
            <w:sz w:val="32"/>
            <w:szCs w:val="32"/>
          </w:rPr>
          <w:fldChar w:fldCharType="begin"/>
        </w:r>
        <w:r w:rsidR="00A3023B" w:rsidRPr="00D55DC6">
          <w:rPr>
            <w:rFonts w:eastAsia="標楷體"/>
            <w:noProof/>
            <w:webHidden/>
            <w:sz w:val="32"/>
            <w:szCs w:val="32"/>
          </w:rPr>
          <w:instrText xml:space="preserve"> PAGEREF _Toc407181639 \h </w:instrText>
        </w:r>
        <w:r w:rsidR="00D85028" w:rsidRPr="00D55DC6">
          <w:rPr>
            <w:rFonts w:eastAsia="標楷體"/>
            <w:noProof/>
            <w:webHidden/>
            <w:sz w:val="32"/>
            <w:szCs w:val="32"/>
          </w:rPr>
        </w:r>
        <w:r w:rsidR="00D85028" w:rsidRPr="00D55DC6">
          <w:rPr>
            <w:rFonts w:eastAsia="標楷體"/>
            <w:noProof/>
            <w:webHidden/>
            <w:sz w:val="32"/>
            <w:szCs w:val="32"/>
          </w:rPr>
          <w:fldChar w:fldCharType="separate"/>
        </w:r>
        <w:r w:rsidR="006B452A">
          <w:rPr>
            <w:rFonts w:eastAsia="標楷體"/>
            <w:noProof/>
            <w:webHidden/>
            <w:sz w:val="32"/>
            <w:szCs w:val="32"/>
          </w:rPr>
          <w:t>20</w:t>
        </w:r>
        <w:r w:rsidR="00D85028" w:rsidRPr="00D55DC6">
          <w:rPr>
            <w:rFonts w:eastAsia="標楷體"/>
            <w:noProof/>
            <w:webHidden/>
            <w:sz w:val="32"/>
            <w:szCs w:val="32"/>
          </w:rPr>
          <w:fldChar w:fldCharType="end"/>
        </w:r>
      </w:hyperlink>
    </w:p>
    <w:p w:rsidR="00A3023B" w:rsidRPr="00D55DC6" w:rsidRDefault="00A3023B" w:rsidP="009D33BA">
      <w:pPr>
        <w:spacing w:beforeLines="50" w:before="180" w:line="0" w:lineRule="atLeast"/>
        <w:rPr>
          <w:rFonts w:eastAsia="標楷體"/>
          <w:noProof/>
          <w:sz w:val="32"/>
          <w:szCs w:val="32"/>
        </w:rPr>
      </w:pPr>
    </w:p>
    <w:p w:rsidR="0038348F" w:rsidRPr="00D55DC6" w:rsidRDefault="00E66302" w:rsidP="009D33BA">
      <w:pPr>
        <w:pStyle w:val="1f"/>
        <w:tabs>
          <w:tab w:val="left" w:pos="960"/>
          <w:tab w:val="right" w:leader="dot" w:pos="9060"/>
        </w:tabs>
        <w:spacing w:beforeLines="50" w:before="180" w:line="0" w:lineRule="atLeast"/>
        <w:rPr>
          <w:rStyle w:val="affff8"/>
          <w:rFonts w:eastAsia="標楷體"/>
          <w:noProof/>
          <w:color w:val="auto"/>
          <w:sz w:val="32"/>
          <w:szCs w:val="32"/>
          <w:u w:val="none"/>
        </w:rPr>
      </w:pPr>
      <w:hyperlink w:anchor="_Toc407181639" w:history="1">
        <w:r w:rsidR="0038348F" w:rsidRPr="00D55DC6">
          <w:rPr>
            <w:rStyle w:val="affff8"/>
            <w:rFonts w:eastAsia="標楷體" w:hAnsi="標楷體"/>
            <w:b/>
            <w:noProof/>
            <w:color w:val="auto"/>
            <w:sz w:val="32"/>
            <w:szCs w:val="32"/>
            <w:u w:val="none"/>
          </w:rPr>
          <w:t>附表</w:t>
        </w:r>
        <w:r w:rsidR="0038348F" w:rsidRPr="00D55DC6">
          <w:rPr>
            <w:rStyle w:val="affff8"/>
            <w:rFonts w:eastAsia="標楷體"/>
            <w:b/>
            <w:noProof/>
            <w:color w:val="auto"/>
            <w:sz w:val="32"/>
            <w:szCs w:val="32"/>
            <w:u w:val="none"/>
          </w:rPr>
          <w:t>1  105-108</w:t>
        </w:r>
        <w:r w:rsidR="0038348F" w:rsidRPr="00D55DC6">
          <w:rPr>
            <w:rStyle w:val="affff8"/>
            <w:rFonts w:eastAsia="標楷體" w:hAnsi="標楷體"/>
            <w:b/>
            <w:noProof/>
            <w:color w:val="auto"/>
            <w:sz w:val="32"/>
            <w:szCs w:val="32"/>
            <w:u w:val="none"/>
          </w:rPr>
          <w:t>年建設投資重點</w:t>
        </w:r>
        <w:r w:rsidR="0038348F" w:rsidRPr="00D55DC6">
          <w:rPr>
            <w:rFonts w:eastAsia="標楷體"/>
            <w:noProof/>
            <w:webHidden/>
            <w:sz w:val="32"/>
            <w:szCs w:val="32"/>
          </w:rPr>
          <w:tab/>
          <w:t>2</w:t>
        </w:r>
        <w:r w:rsidR="007F6ADC" w:rsidRPr="00D55DC6">
          <w:rPr>
            <w:rFonts w:eastAsia="標楷體" w:hint="eastAsia"/>
            <w:noProof/>
            <w:webHidden/>
            <w:sz w:val="32"/>
            <w:szCs w:val="32"/>
          </w:rPr>
          <w:t>1</w:t>
        </w:r>
      </w:hyperlink>
    </w:p>
    <w:p w:rsidR="0038348F" w:rsidRPr="00D55DC6" w:rsidRDefault="00E66302" w:rsidP="009D33BA">
      <w:pPr>
        <w:pStyle w:val="1f"/>
        <w:tabs>
          <w:tab w:val="left" w:pos="960"/>
          <w:tab w:val="right" w:leader="dot" w:pos="9060"/>
        </w:tabs>
        <w:spacing w:beforeLines="50" w:before="180" w:line="0" w:lineRule="atLeast"/>
        <w:rPr>
          <w:rStyle w:val="affff8"/>
          <w:rFonts w:eastAsia="標楷體"/>
          <w:noProof/>
          <w:color w:val="auto"/>
          <w:sz w:val="32"/>
          <w:szCs w:val="32"/>
          <w:u w:val="none"/>
        </w:rPr>
      </w:pPr>
      <w:hyperlink w:anchor="_Toc407181639" w:history="1">
        <w:r w:rsidR="0038348F" w:rsidRPr="00D55DC6">
          <w:rPr>
            <w:rFonts w:eastAsia="標楷體" w:hAnsi="標楷體"/>
            <w:b/>
            <w:noProof/>
            <w:sz w:val="32"/>
            <w:szCs w:val="32"/>
          </w:rPr>
          <w:t>附表</w:t>
        </w:r>
        <w:r w:rsidR="0038348F" w:rsidRPr="00D55DC6">
          <w:rPr>
            <w:rFonts w:eastAsia="標楷體"/>
            <w:b/>
            <w:noProof/>
            <w:sz w:val="32"/>
            <w:szCs w:val="32"/>
          </w:rPr>
          <w:t xml:space="preserve">2  </w:t>
        </w:r>
        <w:r w:rsidR="0038348F" w:rsidRPr="00D55DC6">
          <w:rPr>
            <w:rFonts w:eastAsia="標楷體" w:hAnsi="標楷體"/>
            <w:b/>
            <w:noProof/>
            <w:sz w:val="32"/>
            <w:szCs w:val="32"/>
          </w:rPr>
          <w:t>分年經費需求表</w:t>
        </w:r>
        <w:r w:rsidR="0038348F" w:rsidRPr="00D55DC6">
          <w:rPr>
            <w:rFonts w:eastAsia="標楷體"/>
            <w:noProof/>
            <w:webHidden/>
            <w:sz w:val="32"/>
            <w:szCs w:val="32"/>
          </w:rPr>
          <w:tab/>
          <w:t>2</w:t>
        </w:r>
      </w:hyperlink>
      <w:r w:rsidR="007F6ADC" w:rsidRPr="00D55DC6">
        <w:rPr>
          <w:rFonts w:eastAsia="標楷體" w:hint="eastAsia"/>
          <w:noProof/>
          <w:sz w:val="32"/>
          <w:szCs w:val="32"/>
        </w:rPr>
        <w:t>5</w:t>
      </w:r>
    </w:p>
    <w:p w:rsidR="0038348F" w:rsidRPr="00D55DC6" w:rsidRDefault="0038348F" w:rsidP="0038348F">
      <w:pPr>
        <w:rPr>
          <w:noProof/>
        </w:rPr>
      </w:pPr>
    </w:p>
    <w:p w:rsidR="0038348F" w:rsidRPr="00D55DC6" w:rsidRDefault="00E66302" w:rsidP="009D33BA">
      <w:pPr>
        <w:pStyle w:val="1f"/>
        <w:tabs>
          <w:tab w:val="left" w:pos="960"/>
          <w:tab w:val="right" w:leader="dot" w:pos="9060"/>
        </w:tabs>
        <w:spacing w:beforeLines="50" w:before="180" w:line="0" w:lineRule="atLeast"/>
        <w:rPr>
          <w:rStyle w:val="affff8"/>
          <w:rFonts w:eastAsia="標楷體"/>
          <w:noProof/>
          <w:color w:val="auto"/>
          <w:sz w:val="32"/>
          <w:szCs w:val="32"/>
          <w:u w:val="none"/>
        </w:rPr>
      </w:pPr>
      <w:hyperlink w:anchor="_Toc407181639" w:history="1">
        <w:r w:rsidR="0038348F" w:rsidRPr="00D55DC6">
          <w:rPr>
            <w:rFonts w:eastAsia="標楷體" w:hAnsi="標楷體"/>
            <w:b/>
            <w:noProof/>
            <w:sz w:val="32"/>
            <w:szCs w:val="32"/>
          </w:rPr>
          <w:t>附件</w:t>
        </w:r>
        <w:r w:rsidR="0038348F" w:rsidRPr="00D55DC6">
          <w:rPr>
            <w:rFonts w:eastAsia="標楷體"/>
            <w:b/>
            <w:noProof/>
            <w:sz w:val="32"/>
            <w:szCs w:val="32"/>
          </w:rPr>
          <w:t xml:space="preserve">1  </w:t>
        </w:r>
        <w:r w:rsidR="0038348F" w:rsidRPr="00D55DC6">
          <w:rPr>
            <w:rFonts w:eastAsia="標楷體" w:hAnsi="標楷體"/>
            <w:b/>
            <w:noProof/>
            <w:sz w:val="32"/>
            <w:szCs w:val="32"/>
          </w:rPr>
          <w:t>中長程個案計畫自評檢核表</w:t>
        </w:r>
        <w:r w:rsidR="0038348F" w:rsidRPr="00D55DC6">
          <w:rPr>
            <w:rFonts w:eastAsia="標楷體"/>
            <w:noProof/>
            <w:webHidden/>
            <w:sz w:val="32"/>
            <w:szCs w:val="32"/>
          </w:rPr>
          <w:tab/>
          <w:t>2</w:t>
        </w:r>
        <w:r w:rsidR="007F6ADC" w:rsidRPr="00D55DC6">
          <w:rPr>
            <w:rFonts w:eastAsia="標楷體" w:hint="eastAsia"/>
            <w:noProof/>
            <w:webHidden/>
            <w:sz w:val="32"/>
            <w:szCs w:val="32"/>
          </w:rPr>
          <w:t>7</w:t>
        </w:r>
      </w:hyperlink>
    </w:p>
    <w:p w:rsidR="0038348F" w:rsidRPr="00D55DC6" w:rsidRDefault="00E66302" w:rsidP="009D33BA">
      <w:pPr>
        <w:pStyle w:val="1f"/>
        <w:tabs>
          <w:tab w:val="left" w:pos="960"/>
          <w:tab w:val="right" w:leader="dot" w:pos="9060"/>
        </w:tabs>
        <w:spacing w:beforeLines="50" w:before="180" w:line="0" w:lineRule="atLeast"/>
        <w:rPr>
          <w:rStyle w:val="affff8"/>
          <w:rFonts w:eastAsia="標楷體"/>
          <w:noProof/>
          <w:color w:val="auto"/>
          <w:sz w:val="32"/>
          <w:szCs w:val="32"/>
          <w:u w:val="none"/>
        </w:rPr>
      </w:pPr>
      <w:hyperlink w:anchor="_Toc407181639" w:history="1">
        <w:r w:rsidR="0038348F" w:rsidRPr="00D55DC6">
          <w:rPr>
            <w:rFonts w:eastAsia="標楷體" w:hAnsi="標楷體"/>
            <w:b/>
            <w:noProof/>
            <w:sz w:val="32"/>
            <w:szCs w:val="32"/>
          </w:rPr>
          <w:t>附件</w:t>
        </w:r>
        <w:r w:rsidR="0038348F" w:rsidRPr="00D55DC6">
          <w:rPr>
            <w:rFonts w:eastAsia="標楷體"/>
            <w:b/>
            <w:noProof/>
            <w:sz w:val="32"/>
            <w:szCs w:val="32"/>
          </w:rPr>
          <w:t xml:space="preserve">2  </w:t>
        </w:r>
        <w:r w:rsidR="0038348F" w:rsidRPr="00D55DC6">
          <w:rPr>
            <w:rFonts w:eastAsia="標楷體" w:hAnsi="標楷體"/>
            <w:b/>
            <w:noProof/>
            <w:sz w:val="32"/>
            <w:szCs w:val="32"/>
          </w:rPr>
          <w:t>性別影響評估檢視表</w:t>
        </w:r>
        <w:r w:rsidR="0038348F" w:rsidRPr="00D55DC6">
          <w:rPr>
            <w:rFonts w:eastAsia="標楷體"/>
            <w:noProof/>
            <w:webHidden/>
            <w:sz w:val="32"/>
            <w:szCs w:val="32"/>
          </w:rPr>
          <w:tab/>
          <w:t>2</w:t>
        </w:r>
        <w:r w:rsidR="007F6ADC" w:rsidRPr="00D55DC6">
          <w:rPr>
            <w:rFonts w:eastAsia="標楷體" w:hint="eastAsia"/>
            <w:noProof/>
            <w:webHidden/>
            <w:sz w:val="32"/>
            <w:szCs w:val="32"/>
          </w:rPr>
          <w:t>9</w:t>
        </w:r>
      </w:hyperlink>
    </w:p>
    <w:p w:rsidR="0038348F" w:rsidRPr="00D55DC6" w:rsidRDefault="0038348F">
      <w:pPr>
        <w:widowControl/>
        <w:rPr>
          <w:rFonts w:eastAsia="標楷體"/>
          <w:noProof/>
          <w:sz w:val="32"/>
          <w:szCs w:val="32"/>
        </w:rPr>
      </w:pPr>
    </w:p>
    <w:p w:rsidR="0038348F" w:rsidRPr="00D55DC6" w:rsidRDefault="001D43F4">
      <w:pPr>
        <w:widowControl/>
        <w:rPr>
          <w:rFonts w:eastAsia="標楷體"/>
          <w:noProof/>
          <w:sz w:val="32"/>
          <w:szCs w:val="32"/>
        </w:rPr>
      </w:pPr>
      <w:r w:rsidRPr="00D55DC6">
        <w:rPr>
          <w:rFonts w:eastAsia="標楷體"/>
          <w:b/>
          <w:noProof/>
          <w:sz w:val="28"/>
        </w:rPr>
        <w:lastRenderedPageBreak/>
        <mc:AlternateContent>
          <mc:Choice Requires="wps">
            <w:drawing>
              <wp:anchor distT="0" distB="0" distL="114300" distR="114300" simplePos="0" relativeHeight="251669504" behindDoc="0" locked="0" layoutInCell="1" allowOverlap="1" wp14:anchorId="7B956FDC" wp14:editId="2EF140A3">
                <wp:simplePos x="0" y="0"/>
                <wp:positionH relativeFrom="column">
                  <wp:posOffset>2753360</wp:posOffset>
                </wp:positionH>
                <wp:positionV relativeFrom="paragraph">
                  <wp:posOffset>1084012</wp:posOffset>
                </wp:positionV>
                <wp:extent cx="240030" cy="285750"/>
                <wp:effectExtent l="0" t="0" r="7620" b="0"/>
                <wp:wrapNone/>
                <wp:docPr id="30"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 cy="28575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矩形 18" o:spid="_x0000_s1026" style="position:absolute;margin-left:216.8pt;margin-top:85.35pt;width:18.9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" fillcolor="window" stroked="f" strokeweight="2pt">
                <v:path arrowok="t"/>
              </v:rect>
            </w:pict>
          </mc:Fallback>
        </mc:AlternateContent>
      </w:r>
    </w:p>
    <w:p w:rsidR="0038348F" w:rsidRPr="00D55DC6" w:rsidRDefault="0038348F">
      <w:pPr>
        <w:widowControl/>
        <w:rPr>
          <w:rFonts w:eastAsia="標楷體"/>
          <w:noProof/>
          <w:sz w:val="32"/>
          <w:szCs w:val="32"/>
        </w:rPr>
      </w:pPr>
    </w:p>
    <w:p w:rsidR="0038348F" w:rsidRPr="00D55DC6" w:rsidRDefault="003F7B40">
      <w:pPr>
        <w:widowControl/>
        <w:rPr>
          <w:rFonts w:eastAsia="標楷體"/>
          <w:noProof/>
          <w:sz w:val="32"/>
          <w:szCs w:val="32"/>
        </w:rPr>
      </w:pPr>
      <w:r w:rsidRPr="00D55DC6">
        <w:rPr>
          <w:rFonts w:eastAsia="標楷體"/>
          <w:b/>
          <w:noProof/>
          <w:sz w:val="28"/>
        </w:rPr>
        <mc:AlternateContent>
          <mc:Choice Requires="wps">
            <w:drawing>
              <wp:anchor distT="0" distB="0" distL="114300" distR="114300" simplePos="0" relativeHeight="251664384" behindDoc="0" locked="0" layoutInCell="1" allowOverlap="1" wp14:anchorId="78496E79" wp14:editId="3420202D">
                <wp:simplePos x="0" y="0"/>
                <wp:positionH relativeFrom="column">
                  <wp:posOffset>2753360</wp:posOffset>
                </wp:positionH>
                <wp:positionV relativeFrom="paragraph">
                  <wp:posOffset>757555</wp:posOffset>
                </wp:positionV>
                <wp:extent cx="240030" cy="285750"/>
                <wp:effectExtent l="0" t="0" r="7620" b="0"/>
                <wp:wrapNone/>
                <wp:docPr id="19"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 cy="285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矩形 19" o:spid="_x0000_s1026" style="position:absolute;margin-left:216.8pt;margin-top:59.65pt;width:18.9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" fillcolor="white [3212]" stroked="f" strokeweight="2pt">
                <v:path arrowok="t"/>
              </v:rect>
            </w:pict>
          </mc:Fallback>
        </mc:AlternateContent>
      </w:r>
    </w:p>
    <w:p w:rsidR="0038348F" w:rsidRPr="00D55DC6" w:rsidRDefault="0038348F">
      <w:pPr>
        <w:widowControl/>
        <w:rPr>
          <w:rFonts w:eastAsia="標楷體"/>
          <w:noProof/>
          <w:sz w:val="32"/>
          <w:szCs w:val="32"/>
        </w:rPr>
      </w:pPr>
    </w:p>
    <w:p w:rsidR="0038348F" w:rsidRPr="00D55DC6" w:rsidRDefault="0038348F">
      <w:pPr>
        <w:widowControl/>
        <w:rPr>
          <w:rFonts w:eastAsia="標楷體"/>
          <w:noProof/>
          <w:sz w:val="32"/>
          <w:szCs w:val="32"/>
        </w:rPr>
      </w:pPr>
    </w:p>
    <w:p w:rsidR="00330F3C" w:rsidRPr="00D55DC6" w:rsidRDefault="00330F3C" w:rsidP="00330F3C">
      <w:pPr>
        <w:spacing w:before="50" w:line="0" w:lineRule="atLeast"/>
        <w:rPr>
          <w:rFonts w:eastAsia="標楷體"/>
          <w:noProof/>
          <w:sz w:val="32"/>
          <w:szCs w:val="32"/>
        </w:rPr>
      </w:pPr>
    </w:p>
    <w:p w:rsidR="00A3023B" w:rsidRPr="00D55DC6" w:rsidRDefault="00C51C62" w:rsidP="00330F3C">
      <w:pPr>
        <w:spacing w:before="50" w:line="0" w:lineRule="atLeast"/>
        <w:rPr>
          <w:rFonts w:eastAsia="標楷體"/>
          <w:b/>
          <w:noProof/>
          <w:sz w:val="40"/>
          <w:szCs w:val="32"/>
        </w:rPr>
      </w:pPr>
      <w:r w:rsidRPr="00D55DC6">
        <w:rPr>
          <w:rFonts w:eastAsia="標楷體" w:hAnsi="標楷體"/>
          <w:b/>
          <w:noProof/>
          <w:sz w:val="40"/>
          <w:szCs w:val="32"/>
        </w:rPr>
        <w:t>附錄</w:t>
      </w:r>
      <w:r w:rsidR="00330F3C" w:rsidRPr="00D55DC6">
        <w:rPr>
          <w:rFonts w:eastAsia="標楷體"/>
          <w:b/>
          <w:noProof/>
          <w:sz w:val="40"/>
          <w:szCs w:val="32"/>
        </w:rPr>
        <w:t xml:space="preserve">  </w:t>
      </w:r>
      <w:r w:rsidR="00330F3C" w:rsidRPr="00D55DC6">
        <w:rPr>
          <w:rFonts w:eastAsia="標楷體" w:hAnsi="標楷體"/>
          <w:b/>
          <w:noProof/>
          <w:sz w:val="40"/>
          <w:szCs w:val="32"/>
        </w:rPr>
        <w:t>各子計畫內容</w:t>
      </w:r>
    </w:p>
    <w:p w:rsidR="00330F3C" w:rsidRPr="00D55DC6" w:rsidRDefault="00330F3C" w:rsidP="00330F3C">
      <w:pPr>
        <w:spacing w:before="50" w:line="0" w:lineRule="atLeast"/>
        <w:rPr>
          <w:rFonts w:eastAsia="標楷體"/>
          <w:b/>
          <w:noProof/>
          <w:sz w:val="40"/>
          <w:szCs w:val="32"/>
        </w:rPr>
      </w:pPr>
    </w:p>
    <w:p w:rsidR="00A3023B" w:rsidRPr="00D55DC6" w:rsidRDefault="00E66302" w:rsidP="00330F3C">
      <w:pPr>
        <w:pStyle w:val="1f"/>
        <w:tabs>
          <w:tab w:val="left" w:pos="960"/>
          <w:tab w:val="right" w:leader="dot" w:pos="9060"/>
        </w:tabs>
        <w:spacing w:before="50" w:line="0" w:lineRule="atLeast"/>
        <w:rPr>
          <w:rFonts w:eastAsia="標楷體"/>
          <w:noProof/>
          <w:sz w:val="32"/>
          <w:szCs w:val="32"/>
        </w:rPr>
      </w:pPr>
      <w:hyperlink w:anchor="_Toc407181640" w:history="1">
        <w:r w:rsidR="00C51C62" w:rsidRPr="00D55DC6">
          <w:rPr>
            <w:rFonts w:eastAsia="標楷體" w:hAnsi="標楷體"/>
            <w:b/>
            <w:noProof/>
            <w:sz w:val="32"/>
            <w:szCs w:val="32"/>
          </w:rPr>
          <w:t>壹、東北角暨宜蘭海岸國家風景區建設計畫</w:t>
        </w:r>
        <w:r w:rsidR="00A3023B" w:rsidRPr="00D55DC6">
          <w:rPr>
            <w:rFonts w:eastAsia="標楷體"/>
            <w:noProof/>
            <w:webHidden/>
            <w:sz w:val="32"/>
            <w:szCs w:val="32"/>
          </w:rPr>
          <w:tab/>
        </w:r>
        <w:r w:rsidR="00D85028" w:rsidRPr="00D55DC6">
          <w:rPr>
            <w:rFonts w:eastAsia="標楷體"/>
            <w:noProof/>
            <w:webHidden/>
            <w:sz w:val="32"/>
            <w:szCs w:val="32"/>
          </w:rPr>
          <w:fldChar w:fldCharType="begin"/>
        </w:r>
        <w:r w:rsidR="00A3023B" w:rsidRPr="00D55DC6">
          <w:rPr>
            <w:rFonts w:eastAsia="標楷體"/>
            <w:noProof/>
            <w:webHidden/>
            <w:sz w:val="32"/>
            <w:szCs w:val="32"/>
          </w:rPr>
          <w:instrText xml:space="preserve"> PAGEREF _Toc407181640 \h </w:instrText>
        </w:r>
        <w:r w:rsidR="00D85028" w:rsidRPr="00D55DC6">
          <w:rPr>
            <w:rFonts w:eastAsia="標楷體"/>
            <w:noProof/>
            <w:webHidden/>
            <w:sz w:val="32"/>
            <w:szCs w:val="32"/>
          </w:rPr>
        </w:r>
        <w:r w:rsidR="00D85028" w:rsidRPr="00D55DC6">
          <w:rPr>
            <w:rFonts w:eastAsia="標楷體"/>
            <w:noProof/>
            <w:webHidden/>
            <w:sz w:val="32"/>
            <w:szCs w:val="32"/>
          </w:rPr>
          <w:fldChar w:fldCharType="separate"/>
        </w:r>
        <w:r w:rsidR="006B452A">
          <w:rPr>
            <w:rFonts w:eastAsia="標楷體"/>
            <w:noProof/>
            <w:webHidden/>
            <w:sz w:val="32"/>
            <w:szCs w:val="32"/>
          </w:rPr>
          <w:t>37</w:t>
        </w:r>
        <w:r w:rsidR="00D85028" w:rsidRPr="00D55DC6">
          <w:rPr>
            <w:rFonts w:eastAsia="標楷體"/>
            <w:noProof/>
            <w:webHidden/>
            <w:sz w:val="32"/>
            <w:szCs w:val="32"/>
          </w:rPr>
          <w:fldChar w:fldCharType="end"/>
        </w:r>
      </w:hyperlink>
    </w:p>
    <w:p w:rsidR="00A3023B" w:rsidRPr="00D55DC6" w:rsidRDefault="00E66302" w:rsidP="00330F3C">
      <w:pPr>
        <w:pStyle w:val="1f"/>
        <w:tabs>
          <w:tab w:val="left" w:pos="960"/>
          <w:tab w:val="right" w:leader="dot" w:pos="9060"/>
        </w:tabs>
        <w:spacing w:before="50" w:line="0" w:lineRule="atLeast"/>
        <w:rPr>
          <w:rFonts w:eastAsia="標楷體"/>
          <w:noProof/>
          <w:sz w:val="32"/>
          <w:szCs w:val="32"/>
        </w:rPr>
      </w:pPr>
      <w:hyperlink w:anchor="_Toc407181651" w:history="1">
        <w:r w:rsidR="00C51C62" w:rsidRPr="00D55DC6">
          <w:rPr>
            <w:rStyle w:val="affff8"/>
            <w:rFonts w:eastAsia="標楷體" w:hAnsi="標楷體"/>
            <w:b/>
            <w:noProof/>
            <w:color w:val="auto"/>
            <w:sz w:val="32"/>
            <w:szCs w:val="32"/>
            <w:u w:val="none"/>
          </w:rPr>
          <w:t>貳、北海岸及觀音山國家風景區建設計畫</w:t>
        </w:r>
        <w:r w:rsidR="00A3023B" w:rsidRPr="00D55DC6">
          <w:rPr>
            <w:rFonts w:eastAsia="標楷體"/>
            <w:noProof/>
            <w:webHidden/>
            <w:sz w:val="32"/>
            <w:szCs w:val="32"/>
          </w:rPr>
          <w:tab/>
        </w:r>
        <w:r w:rsidR="00D85028" w:rsidRPr="00D55DC6">
          <w:rPr>
            <w:rFonts w:eastAsia="標楷體"/>
            <w:noProof/>
            <w:webHidden/>
            <w:sz w:val="32"/>
            <w:szCs w:val="32"/>
          </w:rPr>
          <w:fldChar w:fldCharType="begin"/>
        </w:r>
        <w:r w:rsidR="00A3023B" w:rsidRPr="00D55DC6">
          <w:rPr>
            <w:rFonts w:eastAsia="標楷體"/>
            <w:noProof/>
            <w:webHidden/>
            <w:sz w:val="32"/>
            <w:szCs w:val="32"/>
          </w:rPr>
          <w:instrText xml:space="preserve"> PAGEREF _Toc407181651 \h </w:instrText>
        </w:r>
        <w:r w:rsidR="00D85028" w:rsidRPr="00D55DC6">
          <w:rPr>
            <w:rFonts w:eastAsia="標楷體"/>
            <w:noProof/>
            <w:webHidden/>
            <w:sz w:val="32"/>
            <w:szCs w:val="32"/>
          </w:rPr>
        </w:r>
        <w:r w:rsidR="00D85028" w:rsidRPr="00D55DC6">
          <w:rPr>
            <w:rFonts w:eastAsia="標楷體"/>
            <w:noProof/>
            <w:webHidden/>
            <w:sz w:val="32"/>
            <w:szCs w:val="32"/>
          </w:rPr>
          <w:fldChar w:fldCharType="separate"/>
        </w:r>
        <w:r w:rsidR="006B452A">
          <w:rPr>
            <w:rFonts w:eastAsia="標楷體"/>
            <w:noProof/>
            <w:webHidden/>
            <w:sz w:val="32"/>
            <w:szCs w:val="32"/>
          </w:rPr>
          <w:t>57</w:t>
        </w:r>
        <w:r w:rsidR="00D85028" w:rsidRPr="00D55DC6">
          <w:rPr>
            <w:rFonts w:eastAsia="標楷體"/>
            <w:noProof/>
            <w:webHidden/>
            <w:sz w:val="32"/>
            <w:szCs w:val="32"/>
          </w:rPr>
          <w:fldChar w:fldCharType="end"/>
        </w:r>
      </w:hyperlink>
    </w:p>
    <w:p w:rsidR="00A3023B" w:rsidRPr="00D55DC6" w:rsidRDefault="00E66302" w:rsidP="00330F3C">
      <w:pPr>
        <w:pStyle w:val="1f"/>
        <w:tabs>
          <w:tab w:val="left" w:pos="960"/>
          <w:tab w:val="right" w:leader="dot" w:pos="9060"/>
        </w:tabs>
        <w:spacing w:before="50" w:line="0" w:lineRule="atLeast"/>
        <w:rPr>
          <w:rFonts w:eastAsia="標楷體"/>
          <w:noProof/>
          <w:sz w:val="32"/>
          <w:szCs w:val="32"/>
        </w:rPr>
      </w:pPr>
      <w:hyperlink w:anchor="_Toc407181662" w:history="1">
        <w:r w:rsidR="00C51C62" w:rsidRPr="00D55DC6">
          <w:rPr>
            <w:rStyle w:val="affff8"/>
            <w:rFonts w:eastAsia="標楷體" w:hAnsi="標楷體"/>
            <w:b/>
            <w:noProof/>
            <w:color w:val="auto"/>
            <w:sz w:val="32"/>
            <w:szCs w:val="32"/>
            <w:u w:val="none"/>
          </w:rPr>
          <w:t>參、日月潭國家風景區建設計畫</w:t>
        </w:r>
        <w:r w:rsidR="00A3023B" w:rsidRPr="00D55DC6">
          <w:rPr>
            <w:rFonts w:eastAsia="標楷體"/>
            <w:noProof/>
            <w:webHidden/>
            <w:sz w:val="32"/>
            <w:szCs w:val="32"/>
          </w:rPr>
          <w:tab/>
        </w:r>
        <w:r w:rsidR="00D85028" w:rsidRPr="00D55DC6">
          <w:rPr>
            <w:rFonts w:eastAsia="標楷體"/>
            <w:noProof/>
            <w:webHidden/>
            <w:sz w:val="32"/>
            <w:szCs w:val="32"/>
          </w:rPr>
          <w:fldChar w:fldCharType="begin"/>
        </w:r>
        <w:r w:rsidR="00A3023B" w:rsidRPr="00D55DC6">
          <w:rPr>
            <w:rFonts w:eastAsia="標楷體"/>
            <w:noProof/>
            <w:webHidden/>
            <w:sz w:val="32"/>
            <w:szCs w:val="32"/>
          </w:rPr>
          <w:instrText xml:space="preserve"> PAGEREF _Toc407181662 \h </w:instrText>
        </w:r>
        <w:r w:rsidR="00D85028" w:rsidRPr="00D55DC6">
          <w:rPr>
            <w:rFonts w:eastAsia="標楷體"/>
            <w:noProof/>
            <w:webHidden/>
            <w:sz w:val="32"/>
            <w:szCs w:val="32"/>
          </w:rPr>
        </w:r>
        <w:r w:rsidR="00D85028" w:rsidRPr="00D55DC6">
          <w:rPr>
            <w:rFonts w:eastAsia="標楷體"/>
            <w:noProof/>
            <w:webHidden/>
            <w:sz w:val="32"/>
            <w:szCs w:val="32"/>
          </w:rPr>
          <w:fldChar w:fldCharType="separate"/>
        </w:r>
        <w:r w:rsidR="006B452A">
          <w:rPr>
            <w:rFonts w:eastAsia="標楷體"/>
            <w:noProof/>
            <w:webHidden/>
            <w:sz w:val="32"/>
            <w:szCs w:val="32"/>
          </w:rPr>
          <w:t>78</w:t>
        </w:r>
        <w:r w:rsidR="00D85028" w:rsidRPr="00D55DC6">
          <w:rPr>
            <w:rFonts w:eastAsia="標楷體"/>
            <w:noProof/>
            <w:webHidden/>
            <w:sz w:val="32"/>
            <w:szCs w:val="32"/>
          </w:rPr>
          <w:fldChar w:fldCharType="end"/>
        </w:r>
      </w:hyperlink>
    </w:p>
    <w:p w:rsidR="00A3023B" w:rsidRPr="00D55DC6" w:rsidRDefault="00E66302" w:rsidP="00330F3C">
      <w:pPr>
        <w:pStyle w:val="1f"/>
        <w:tabs>
          <w:tab w:val="right" w:leader="dot" w:pos="9060"/>
        </w:tabs>
        <w:spacing w:before="50" w:line="0" w:lineRule="atLeast"/>
        <w:rPr>
          <w:rFonts w:eastAsia="標楷體"/>
          <w:noProof/>
          <w:sz w:val="32"/>
          <w:szCs w:val="32"/>
        </w:rPr>
      </w:pPr>
      <w:hyperlink w:anchor="_Toc407181674" w:history="1">
        <w:r w:rsidR="00C51C62" w:rsidRPr="00D55DC6">
          <w:rPr>
            <w:rStyle w:val="affff8"/>
            <w:rFonts w:eastAsia="標楷體" w:hAnsi="標楷體"/>
            <w:b/>
            <w:bCs/>
            <w:noProof/>
            <w:color w:val="auto"/>
            <w:sz w:val="32"/>
            <w:szCs w:val="32"/>
            <w:u w:val="none"/>
          </w:rPr>
          <w:t>肆、參山國家風景區建設計畫</w:t>
        </w:r>
        <w:r w:rsidR="00A3023B" w:rsidRPr="00D55DC6">
          <w:rPr>
            <w:rFonts w:eastAsia="標楷體"/>
            <w:noProof/>
            <w:webHidden/>
            <w:sz w:val="32"/>
            <w:szCs w:val="32"/>
          </w:rPr>
          <w:tab/>
        </w:r>
        <w:r w:rsidR="00D85028" w:rsidRPr="00D55DC6">
          <w:rPr>
            <w:rFonts w:eastAsia="標楷體"/>
            <w:noProof/>
            <w:webHidden/>
            <w:sz w:val="32"/>
            <w:szCs w:val="32"/>
          </w:rPr>
          <w:fldChar w:fldCharType="begin"/>
        </w:r>
        <w:r w:rsidR="00A3023B" w:rsidRPr="00D55DC6">
          <w:rPr>
            <w:rFonts w:eastAsia="標楷體"/>
            <w:noProof/>
            <w:webHidden/>
            <w:sz w:val="32"/>
            <w:szCs w:val="32"/>
          </w:rPr>
          <w:instrText xml:space="preserve"> PAGEREF _Toc407181674 \h </w:instrText>
        </w:r>
        <w:r w:rsidR="00D85028" w:rsidRPr="00D55DC6">
          <w:rPr>
            <w:rFonts w:eastAsia="標楷體"/>
            <w:noProof/>
            <w:webHidden/>
            <w:sz w:val="32"/>
            <w:szCs w:val="32"/>
          </w:rPr>
        </w:r>
        <w:r w:rsidR="00D85028" w:rsidRPr="00D55DC6">
          <w:rPr>
            <w:rFonts w:eastAsia="標楷體"/>
            <w:noProof/>
            <w:webHidden/>
            <w:sz w:val="32"/>
            <w:szCs w:val="32"/>
          </w:rPr>
          <w:fldChar w:fldCharType="separate"/>
        </w:r>
        <w:r w:rsidR="006B452A">
          <w:rPr>
            <w:rFonts w:eastAsia="標楷體"/>
            <w:noProof/>
            <w:webHidden/>
            <w:sz w:val="32"/>
            <w:szCs w:val="32"/>
          </w:rPr>
          <w:t>94</w:t>
        </w:r>
        <w:r w:rsidR="00D85028" w:rsidRPr="00D55DC6">
          <w:rPr>
            <w:rFonts w:eastAsia="標楷體"/>
            <w:noProof/>
            <w:webHidden/>
            <w:sz w:val="32"/>
            <w:szCs w:val="32"/>
          </w:rPr>
          <w:fldChar w:fldCharType="end"/>
        </w:r>
      </w:hyperlink>
    </w:p>
    <w:p w:rsidR="00C51C62" w:rsidRPr="00D55DC6" w:rsidRDefault="00E66302" w:rsidP="00330F3C">
      <w:pPr>
        <w:pStyle w:val="1f"/>
        <w:tabs>
          <w:tab w:val="right" w:leader="dot" w:pos="9060"/>
        </w:tabs>
        <w:spacing w:before="50" w:line="0" w:lineRule="atLeast"/>
        <w:rPr>
          <w:rFonts w:eastAsia="標楷體"/>
          <w:noProof/>
          <w:sz w:val="32"/>
          <w:szCs w:val="32"/>
        </w:rPr>
      </w:pPr>
      <w:hyperlink w:anchor="_Toc407181674" w:history="1">
        <w:r w:rsidR="00C51C62" w:rsidRPr="00D55DC6">
          <w:rPr>
            <w:rStyle w:val="affff8"/>
            <w:rFonts w:eastAsia="標楷體" w:hAnsi="標楷體"/>
            <w:b/>
            <w:noProof/>
            <w:color w:val="auto"/>
            <w:sz w:val="32"/>
            <w:szCs w:val="32"/>
            <w:u w:val="none"/>
          </w:rPr>
          <w:t>伍</w:t>
        </w:r>
        <w:r w:rsidR="00C51C62" w:rsidRPr="00D55DC6">
          <w:rPr>
            <w:rStyle w:val="affff8"/>
            <w:rFonts w:eastAsia="標楷體" w:hAnsi="標楷體"/>
            <w:b/>
            <w:bCs/>
            <w:noProof/>
            <w:color w:val="auto"/>
            <w:sz w:val="32"/>
            <w:szCs w:val="32"/>
            <w:u w:val="none"/>
          </w:rPr>
          <w:t>、阿里山國家風景區建設計畫</w:t>
        </w:r>
        <w:r w:rsidR="00C51C62" w:rsidRPr="00D55DC6">
          <w:rPr>
            <w:rFonts w:eastAsia="標楷體"/>
            <w:noProof/>
            <w:webHidden/>
            <w:sz w:val="32"/>
            <w:szCs w:val="32"/>
          </w:rPr>
          <w:tab/>
          <w:t>11</w:t>
        </w:r>
      </w:hyperlink>
      <w:r w:rsidR="004C4EF0" w:rsidRPr="00D55DC6">
        <w:rPr>
          <w:rFonts w:eastAsia="標楷體" w:hint="eastAsia"/>
          <w:noProof/>
          <w:sz w:val="32"/>
          <w:szCs w:val="32"/>
        </w:rPr>
        <w:t>8</w:t>
      </w:r>
    </w:p>
    <w:p w:rsidR="00A3023B" w:rsidRPr="00D55DC6" w:rsidRDefault="00E66302" w:rsidP="00330F3C">
      <w:pPr>
        <w:pStyle w:val="1f"/>
        <w:tabs>
          <w:tab w:val="left" w:pos="960"/>
          <w:tab w:val="right" w:leader="dot" w:pos="9060"/>
        </w:tabs>
        <w:spacing w:before="50" w:line="0" w:lineRule="atLeast"/>
        <w:rPr>
          <w:rFonts w:eastAsia="標楷體"/>
          <w:noProof/>
          <w:sz w:val="32"/>
          <w:szCs w:val="32"/>
        </w:rPr>
      </w:pPr>
      <w:hyperlink w:anchor="_Toc407181697" w:history="1">
        <w:r w:rsidR="00C51C62" w:rsidRPr="00D55DC6">
          <w:rPr>
            <w:rStyle w:val="affff8"/>
            <w:rFonts w:eastAsia="標楷體" w:hAnsi="標楷體"/>
            <w:b/>
            <w:noProof/>
            <w:color w:val="auto"/>
            <w:sz w:val="32"/>
            <w:szCs w:val="32"/>
            <w:u w:val="none"/>
          </w:rPr>
          <w:t>陸、雲嘉南濱海國家風景區建設計畫</w:t>
        </w:r>
        <w:r w:rsidR="00A3023B" w:rsidRPr="00D55DC6">
          <w:rPr>
            <w:rFonts w:eastAsia="標楷體"/>
            <w:noProof/>
            <w:webHidden/>
            <w:sz w:val="32"/>
            <w:szCs w:val="32"/>
          </w:rPr>
          <w:tab/>
        </w:r>
        <w:r w:rsidR="00D85028" w:rsidRPr="00D55DC6">
          <w:rPr>
            <w:rFonts w:eastAsia="標楷體"/>
            <w:noProof/>
            <w:webHidden/>
            <w:sz w:val="32"/>
            <w:szCs w:val="32"/>
          </w:rPr>
          <w:fldChar w:fldCharType="begin"/>
        </w:r>
        <w:r w:rsidR="00A3023B" w:rsidRPr="00D55DC6">
          <w:rPr>
            <w:rFonts w:eastAsia="標楷體"/>
            <w:noProof/>
            <w:webHidden/>
            <w:sz w:val="32"/>
            <w:szCs w:val="32"/>
          </w:rPr>
          <w:instrText xml:space="preserve"> PAGEREF _Toc407181697 \h </w:instrText>
        </w:r>
        <w:r w:rsidR="00D85028" w:rsidRPr="00D55DC6">
          <w:rPr>
            <w:rFonts w:eastAsia="標楷體"/>
            <w:noProof/>
            <w:webHidden/>
            <w:sz w:val="32"/>
            <w:szCs w:val="32"/>
          </w:rPr>
        </w:r>
        <w:r w:rsidR="00D85028" w:rsidRPr="00D55DC6">
          <w:rPr>
            <w:rFonts w:eastAsia="標楷體"/>
            <w:noProof/>
            <w:webHidden/>
            <w:sz w:val="32"/>
            <w:szCs w:val="32"/>
          </w:rPr>
          <w:fldChar w:fldCharType="separate"/>
        </w:r>
        <w:r w:rsidR="006B452A">
          <w:rPr>
            <w:rFonts w:eastAsia="標楷體"/>
            <w:noProof/>
            <w:webHidden/>
            <w:sz w:val="32"/>
            <w:szCs w:val="32"/>
          </w:rPr>
          <w:t>137</w:t>
        </w:r>
        <w:r w:rsidR="00D85028" w:rsidRPr="00D55DC6">
          <w:rPr>
            <w:rFonts w:eastAsia="標楷體"/>
            <w:noProof/>
            <w:webHidden/>
            <w:sz w:val="32"/>
            <w:szCs w:val="32"/>
          </w:rPr>
          <w:fldChar w:fldCharType="end"/>
        </w:r>
      </w:hyperlink>
    </w:p>
    <w:p w:rsidR="00A3023B" w:rsidRPr="00D55DC6" w:rsidRDefault="00E66302" w:rsidP="00330F3C">
      <w:pPr>
        <w:pStyle w:val="1f"/>
        <w:tabs>
          <w:tab w:val="left" w:pos="960"/>
          <w:tab w:val="right" w:leader="dot" w:pos="9060"/>
        </w:tabs>
        <w:spacing w:before="50" w:line="0" w:lineRule="atLeast"/>
        <w:rPr>
          <w:rFonts w:eastAsia="標楷體"/>
          <w:noProof/>
          <w:sz w:val="32"/>
          <w:szCs w:val="32"/>
        </w:rPr>
      </w:pPr>
      <w:hyperlink w:anchor="_Toc407181698" w:history="1">
        <w:r w:rsidR="00C51C62" w:rsidRPr="00D55DC6">
          <w:rPr>
            <w:rStyle w:val="affff8"/>
            <w:rFonts w:eastAsia="標楷體" w:hAnsi="標楷體"/>
            <w:b/>
            <w:noProof/>
            <w:color w:val="auto"/>
            <w:sz w:val="32"/>
            <w:szCs w:val="32"/>
            <w:u w:val="none"/>
          </w:rPr>
          <w:t>柒、西拉雅國家風景區建設計畫</w:t>
        </w:r>
        <w:r w:rsidR="00A3023B" w:rsidRPr="00D55DC6">
          <w:rPr>
            <w:rFonts w:eastAsia="標楷體"/>
            <w:noProof/>
            <w:webHidden/>
            <w:sz w:val="32"/>
            <w:szCs w:val="32"/>
          </w:rPr>
          <w:tab/>
        </w:r>
        <w:r w:rsidR="00D85028" w:rsidRPr="00D55DC6">
          <w:rPr>
            <w:rFonts w:eastAsia="標楷體"/>
            <w:noProof/>
            <w:webHidden/>
            <w:sz w:val="32"/>
            <w:szCs w:val="32"/>
          </w:rPr>
          <w:fldChar w:fldCharType="begin"/>
        </w:r>
        <w:r w:rsidR="00A3023B" w:rsidRPr="00D55DC6">
          <w:rPr>
            <w:rFonts w:eastAsia="標楷體"/>
            <w:noProof/>
            <w:webHidden/>
            <w:sz w:val="32"/>
            <w:szCs w:val="32"/>
          </w:rPr>
          <w:instrText xml:space="preserve"> PAGEREF _Toc407181698 \h </w:instrText>
        </w:r>
        <w:r w:rsidR="00D85028" w:rsidRPr="00D55DC6">
          <w:rPr>
            <w:rFonts w:eastAsia="標楷體"/>
            <w:noProof/>
            <w:webHidden/>
            <w:sz w:val="32"/>
            <w:szCs w:val="32"/>
          </w:rPr>
        </w:r>
        <w:r w:rsidR="00D85028" w:rsidRPr="00D55DC6">
          <w:rPr>
            <w:rFonts w:eastAsia="標楷體"/>
            <w:noProof/>
            <w:webHidden/>
            <w:sz w:val="32"/>
            <w:szCs w:val="32"/>
          </w:rPr>
          <w:fldChar w:fldCharType="separate"/>
        </w:r>
        <w:r w:rsidR="006B452A">
          <w:rPr>
            <w:rFonts w:eastAsia="標楷體"/>
            <w:noProof/>
            <w:webHidden/>
            <w:sz w:val="32"/>
            <w:szCs w:val="32"/>
          </w:rPr>
          <w:t>152</w:t>
        </w:r>
        <w:r w:rsidR="00D85028" w:rsidRPr="00D55DC6">
          <w:rPr>
            <w:rFonts w:eastAsia="標楷體"/>
            <w:noProof/>
            <w:webHidden/>
            <w:sz w:val="32"/>
            <w:szCs w:val="32"/>
          </w:rPr>
          <w:fldChar w:fldCharType="end"/>
        </w:r>
      </w:hyperlink>
    </w:p>
    <w:p w:rsidR="00A3023B" w:rsidRPr="00D55DC6" w:rsidRDefault="00E66302" w:rsidP="00330F3C">
      <w:pPr>
        <w:pStyle w:val="1f"/>
        <w:tabs>
          <w:tab w:val="left" w:pos="960"/>
          <w:tab w:val="right" w:leader="dot" w:pos="9060"/>
        </w:tabs>
        <w:spacing w:before="50" w:line="0" w:lineRule="atLeast"/>
        <w:rPr>
          <w:rFonts w:eastAsia="標楷體"/>
          <w:noProof/>
          <w:sz w:val="32"/>
          <w:szCs w:val="32"/>
        </w:rPr>
      </w:pPr>
      <w:hyperlink w:anchor="_Toc407181699" w:history="1">
        <w:r w:rsidR="00C51C62" w:rsidRPr="00D55DC6">
          <w:rPr>
            <w:rStyle w:val="affff8"/>
            <w:rFonts w:eastAsia="標楷體" w:hAnsi="標楷體"/>
            <w:b/>
            <w:noProof/>
            <w:color w:val="auto"/>
            <w:sz w:val="32"/>
            <w:szCs w:val="32"/>
            <w:u w:val="none"/>
          </w:rPr>
          <w:t>捌、茂林國家風景區建設計畫</w:t>
        </w:r>
        <w:r w:rsidR="00A3023B" w:rsidRPr="00D55DC6">
          <w:rPr>
            <w:rFonts w:eastAsia="標楷體"/>
            <w:noProof/>
            <w:webHidden/>
            <w:sz w:val="32"/>
            <w:szCs w:val="32"/>
          </w:rPr>
          <w:tab/>
        </w:r>
        <w:r w:rsidR="00D85028" w:rsidRPr="00D55DC6">
          <w:rPr>
            <w:rFonts w:eastAsia="標楷體"/>
            <w:noProof/>
            <w:webHidden/>
            <w:sz w:val="32"/>
            <w:szCs w:val="32"/>
          </w:rPr>
          <w:fldChar w:fldCharType="begin"/>
        </w:r>
        <w:r w:rsidR="00A3023B" w:rsidRPr="00D55DC6">
          <w:rPr>
            <w:rFonts w:eastAsia="標楷體"/>
            <w:noProof/>
            <w:webHidden/>
            <w:sz w:val="32"/>
            <w:szCs w:val="32"/>
          </w:rPr>
          <w:instrText xml:space="preserve"> PAGEREF _Toc407181699 \h </w:instrText>
        </w:r>
        <w:r w:rsidR="00D85028" w:rsidRPr="00D55DC6">
          <w:rPr>
            <w:rFonts w:eastAsia="標楷體"/>
            <w:noProof/>
            <w:webHidden/>
            <w:sz w:val="32"/>
            <w:szCs w:val="32"/>
          </w:rPr>
        </w:r>
        <w:r w:rsidR="00D85028" w:rsidRPr="00D55DC6">
          <w:rPr>
            <w:rFonts w:eastAsia="標楷體"/>
            <w:noProof/>
            <w:webHidden/>
            <w:sz w:val="32"/>
            <w:szCs w:val="32"/>
          </w:rPr>
          <w:fldChar w:fldCharType="separate"/>
        </w:r>
        <w:r w:rsidR="006B452A">
          <w:rPr>
            <w:rFonts w:eastAsia="標楷體"/>
            <w:noProof/>
            <w:webHidden/>
            <w:sz w:val="32"/>
            <w:szCs w:val="32"/>
          </w:rPr>
          <w:t>168</w:t>
        </w:r>
        <w:r w:rsidR="00D85028" w:rsidRPr="00D55DC6">
          <w:rPr>
            <w:rFonts w:eastAsia="標楷體"/>
            <w:noProof/>
            <w:webHidden/>
            <w:sz w:val="32"/>
            <w:szCs w:val="32"/>
          </w:rPr>
          <w:fldChar w:fldCharType="end"/>
        </w:r>
      </w:hyperlink>
    </w:p>
    <w:p w:rsidR="00A3023B" w:rsidRPr="00D55DC6" w:rsidRDefault="00E66302" w:rsidP="00330F3C">
      <w:pPr>
        <w:pStyle w:val="1f"/>
        <w:tabs>
          <w:tab w:val="left" w:pos="960"/>
          <w:tab w:val="right" w:leader="dot" w:pos="9060"/>
        </w:tabs>
        <w:spacing w:before="50" w:line="0" w:lineRule="atLeast"/>
        <w:rPr>
          <w:rFonts w:eastAsia="標楷體"/>
          <w:noProof/>
          <w:sz w:val="32"/>
          <w:szCs w:val="32"/>
        </w:rPr>
      </w:pPr>
      <w:hyperlink w:anchor="_Toc407181712" w:history="1">
        <w:r w:rsidR="00C51C62" w:rsidRPr="00D55DC6">
          <w:rPr>
            <w:rStyle w:val="affff8"/>
            <w:rFonts w:eastAsia="標楷體" w:hAnsi="標楷體"/>
            <w:b/>
            <w:noProof/>
            <w:color w:val="auto"/>
            <w:sz w:val="32"/>
            <w:szCs w:val="32"/>
            <w:u w:val="none"/>
          </w:rPr>
          <w:t>玖、大鵬灣國家風景區建設計畫</w:t>
        </w:r>
        <w:r w:rsidR="00A3023B" w:rsidRPr="00D55DC6">
          <w:rPr>
            <w:rFonts w:eastAsia="標楷體"/>
            <w:noProof/>
            <w:webHidden/>
            <w:sz w:val="32"/>
            <w:szCs w:val="32"/>
          </w:rPr>
          <w:tab/>
        </w:r>
        <w:r w:rsidR="00D85028" w:rsidRPr="00D55DC6">
          <w:rPr>
            <w:rFonts w:eastAsia="標楷體"/>
            <w:noProof/>
            <w:webHidden/>
            <w:sz w:val="32"/>
            <w:szCs w:val="32"/>
          </w:rPr>
          <w:fldChar w:fldCharType="begin"/>
        </w:r>
        <w:r w:rsidR="00A3023B" w:rsidRPr="00D55DC6">
          <w:rPr>
            <w:rFonts w:eastAsia="標楷體"/>
            <w:noProof/>
            <w:webHidden/>
            <w:sz w:val="32"/>
            <w:szCs w:val="32"/>
          </w:rPr>
          <w:instrText xml:space="preserve"> PAGEREF _Toc407181712 \h </w:instrText>
        </w:r>
        <w:r w:rsidR="00D85028" w:rsidRPr="00D55DC6">
          <w:rPr>
            <w:rFonts w:eastAsia="標楷體"/>
            <w:noProof/>
            <w:webHidden/>
            <w:sz w:val="32"/>
            <w:szCs w:val="32"/>
          </w:rPr>
        </w:r>
        <w:r w:rsidR="00D85028" w:rsidRPr="00D55DC6">
          <w:rPr>
            <w:rFonts w:eastAsia="標楷體"/>
            <w:noProof/>
            <w:webHidden/>
            <w:sz w:val="32"/>
            <w:szCs w:val="32"/>
          </w:rPr>
          <w:fldChar w:fldCharType="separate"/>
        </w:r>
        <w:r w:rsidR="006B452A">
          <w:rPr>
            <w:rFonts w:eastAsia="標楷體"/>
            <w:noProof/>
            <w:webHidden/>
            <w:sz w:val="32"/>
            <w:szCs w:val="32"/>
          </w:rPr>
          <w:t>185</w:t>
        </w:r>
        <w:r w:rsidR="00D85028" w:rsidRPr="00D55DC6">
          <w:rPr>
            <w:rFonts w:eastAsia="標楷體"/>
            <w:noProof/>
            <w:webHidden/>
            <w:sz w:val="32"/>
            <w:szCs w:val="32"/>
          </w:rPr>
          <w:fldChar w:fldCharType="end"/>
        </w:r>
      </w:hyperlink>
    </w:p>
    <w:p w:rsidR="00A3023B" w:rsidRPr="00D55DC6" w:rsidRDefault="00E66302" w:rsidP="00330F3C">
      <w:pPr>
        <w:pStyle w:val="1f"/>
        <w:tabs>
          <w:tab w:val="left" w:pos="960"/>
          <w:tab w:val="right" w:leader="dot" w:pos="9060"/>
        </w:tabs>
        <w:spacing w:before="50" w:line="0" w:lineRule="atLeast"/>
        <w:rPr>
          <w:rFonts w:eastAsia="標楷體"/>
          <w:noProof/>
          <w:sz w:val="32"/>
          <w:szCs w:val="32"/>
        </w:rPr>
      </w:pPr>
      <w:hyperlink w:anchor="_Toc407181723" w:history="1">
        <w:r w:rsidR="00C51C62" w:rsidRPr="00D55DC6">
          <w:rPr>
            <w:rStyle w:val="affff8"/>
            <w:rFonts w:eastAsia="標楷體" w:hAnsi="標楷體"/>
            <w:b/>
            <w:noProof/>
            <w:color w:val="auto"/>
            <w:sz w:val="32"/>
            <w:szCs w:val="32"/>
            <w:u w:val="none"/>
          </w:rPr>
          <w:t>拾、東部海岸國家風景區建設計畫</w:t>
        </w:r>
        <w:r w:rsidR="00A3023B" w:rsidRPr="00D55DC6">
          <w:rPr>
            <w:rFonts w:eastAsia="標楷體"/>
            <w:noProof/>
            <w:webHidden/>
            <w:sz w:val="32"/>
            <w:szCs w:val="32"/>
          </w:rPr>
          <w:tab/>
        </w:r>
        <w:r w:rsidR="00D85028" w:rsidRPr="00D55DC6">
          <w:rPr>
            <w:rFonts w:eastAsia="標楷體"/>
            <w:noProof/>
            <w:webHidden/>
            <w:sz w:val="32"/>
            <w:szCs w:val="32"/>
          </w:rPr>
          <w:fldChar w:fldCharType="begin"/>
        </w:r>
        <w:r w:rsidR="00A3023B" w:rsidRPr="00D55DC6">
          <w:rPr>
            <w:rFonts w:eastAsia="標楷體"/>
            <w:noProof/>
            <w:webHidden/>
            <w:sz w:val="32"/>
            <w:szCs w:val="32"/>
          </w:rPr>
          <w:instrText xml:space="preserve"> PAGEREF _Toc407181723 \h </w:instrText>
        </w:r>
        <w:r w:rsidR="00D85028" w:rsidRPr="00D55DC6">
          <w:rPr>
            <w:rFonts w:eastAsia="標楷體"/>
            <w:noProof/>
            <w:webHidden/>
            <w:sz w:val="32"/>
            <w:szCs w:val="32"/>
          </w:rPr>
        </w:r>
        <w:r w:rsidR="00D85028" w:rsidRPr="00D55DC6">
          <w:rPr>
            <w:rFonts w:eastAsia="標楷體"/>
            <w:noProof/>
            <w:webHidden/>
            <w:sz w:val="32"/>
            <w:szCs w:val="32"/>
          </w:rPr>
          <w:fldChar w:fldCharType="separate"/>
        </w:r>
        <w:r w:rsidR="006B452A">
          <w:rPr>
            <w:rFonts w:eastAsia="標楷體"/>
            <w:noProof/>
            <w:webHidden/>
            <w:sz w:val="32"/>
            <w:szCs w:val="32"/>
          </w:rPr>
          <w:t>206</w:t>
        </w:r>
        <w:r w:rsidR="00D85028" w:rsidRPr="00D55DC6">
          <w:rPr>
            <w:rFonts w:eastAsia="標楷體"/>
            <w:noProof/>
            <w:webHidden/>
            <w:sz w:val="32"/>
            <w:szCs w:val="32"/>
          </w:rPr>
          <w:fldChar w:fldCharType="end"/>
        </w:r>
      </w:hyperlink>
    </w:p>
    <w:p w:rsidR="00A3023B" w:rsidRPr="00D55DC6" w:rsidRDefault="00E66302" w:rsidP="00330F3C">
      <w:pPr>
        <w:pStyle w:val="1f"/>
        <w:tabs>
          <w:tab w:val="left" w:pos="960"/>
          <w:tab w:val="right" w:leader="dot" w:pos="9060"/>
        </w:tabs>
        <w:spacing w:before="50" w:line="0" w:lineRule="atLeast"/>
        <w:rPr>
          <w:rFonts w:eastAsia="標楷體"/>
          <w:noProof/>
          <w:sz w:val="32"/>
          <w:szCs w:val="32"/>
        </w:rPr>
      </w:pPr>
      <w:hyperlink w:anchor="_Toc407181736" w:history="1">
        <w:r w:rsidR="00C51C62" w:rsidRPr="00D55DC6">
          <w:rPr>
            <w:rStyle w:val="affff8"/>
            <w:rFonts w:eastAsia="標楷體" w:hAnsi="標楷體"/>
            <w:b/>
            <w:bCs/>
            <w:noProof/>
            <w:color w:val="auto"/>
            <w:sz w:val="32"/>
            <w:szCs w:val="32"/>
            <w:u w:val="none"/>
          </w:rPr>
          <w:t>拾壹、花東縱谷國家風景區建設計畫</w:t>
        </w:r>
        <w:r w:rsidR="00A3023B" w:rsidRPr="00D55DC6">
          <w:rPr>
            <w:rFonts w:eastAsia="標楷體"/>
            <w:noProof/>
            <w:webHidden/>
            <w:sz w:val="32"/>
            <w:szCs w:val="32"/>
          </w:rPr>
          <w:tab/>
        </w:r>
        <w:r w:rsidR="00D85028" w:rsidRPr="00D55DC6">
          <w:rPr>
            <w:rFonts w:eastAsia="標楷體"/>
            <w:noProof/>
            <w:webHidden/>
            <w:sz w:val="32"/>
            <w:szCs w:val="32"/>
          </w:rPr>
          <w:fldChar w:fldCharType="begin"/>
        </w:r>
        <w:r w:rsidR="00A3023B" w:rsidRPr="00D55DC6">
          <w:rPr>
            <w:rFonts w:eastAsia="標楷體"/>
            <w:noProof/>
            <w:webHidden/>
            <w:sz w:val="32"/>
            <w:szCs w:val="32"/>
          </w:rPr>
          <w:instrText xml:space="preserve"> PAGEREF _Toc407181736 \h </w:instrText>
        </w:r>
        <w:r w:rsidR="00D85028" w:rsidRPr="00D55DC6">
          <w:rPr>
            <w:rFonts w:eastAsia="標楷體"/>
            <w:noProof/>
            <w:webHidden/>
            <w:sz w:val="32"/>
            <w:szCs w:val="32"/>
          </w:rPr>
        </w:r>
        <w:r w:rsidR="00D85028" w:rsidRPr="00D55DC6">
          <w:rPr>
            <w:rFonts w:eastAsia="標楷體"/>
            <w:noProof/>
            <w:webHidden/>
            <w:sz w:val="32"/>
            <w:szCs w:val="32"/>
          </w:rPr>
          <w:fldChar w:fldCharType="separate"/>
        </w:r>
        <w:r w:rsidR="006B452A">
          <w:rPr>
            <w:rFonts w:eastAsia="標楷體"/>
            <w:noProof/>
            <w:webHidden/>
            <w:sz w:val="32"/>
            <w:szCs w:val="32"/>
          </w:rPr>
          <w:t>220</w:t>
        </w:r>
        <w:r w:rsidR="00D85028" w:rsidRPr="00D55DC6">
          <w:rPr>
            <w:rFonts w:eastAsia="標楷體"/>
            <w:noProof/>
            <w:webHidden/>
            <w:sz w:val="32"/>
            <w:szCs w:val="32"/>
          </w:rPr>
          <w:fldChar w:fldCharType="end"/>
        </w:r>
      </w:hyperlink>
    </w:p>
    <w:p w:rsidR="00A3023B" w:rsidRPr="00D55DC6" w:rsidRDefault="00E66302" w:rsidP="00330F3C">
      <w:pPr>
        <w:pStyle w:val="1f"/>
        <w:tabs>
          <w:tab w:val="left" w:pos="960"/>
          <w:tab w:val="right" w:leader="dot" w:pos="9060"/>
        </w:tabs>
        <w:spacing w:before="50" w:line="0" w:lineRule="atLeast"/>
        <w:rPr>
          <w:rFonts w:eastAsia="標楷體"/>
          <w:noProof/>
          <w:sz w:val="32"/>
          <w:szCs w:val="32"/>
        </w:rPr>
      </w:pPr>
      <w:hyperlink w:anchor="_Toc407181737" w:history="1">
        <w:r w:rsidR="00C51C62" w:rsidRPr="00D55DC6">
          <w:rPr>
            <w:rStyle w:val="affff8"/>
            <w:rFonts w:eastAsia="標楷體" w:hAnsi="標楷體"/>
            <w:b/>
            <w:noProof/>
            <w:color w:val="auto"/>
            <w:sz w:val="32"/>
            <w:szCs w:val="32"/>
            <w:u w:val="none"/>
          </w:rPr>
          <w:t>拾貳、澎湖國家風景區建設計畫</w:t>
        </w:r>
        <w:r w:rsidR="00A3023B" w:rsidRPr="00D55DC6">
          <w:rPr>
            <w:rFonts w:eastAsia="標楷體"/>
            <w:noProof/>
            <w:webHidden/>
            <w:sz w:val="32"/>
            <w:szCs w:val="32"/>
          </w:rPr>
          <w:tab/>
        </w:r>
        <w:r w:rsidR="00D85028" w:rsidRPr="00D55DC6">
          <w:rPr>
            <w:rFonts w:eastAsia="標楷體"/>
            <w:noProof/>
            <w:webHidden/>
            <w:sz w:val="32"/>
            <w:szCs w:val="32"/>
          </w:rPr>
          <w:fldChar w:fldCharType="begin"/>
        </w:r>
        <w:r w:rsidR="00A3023B" w:rsidRPr="00D55DC6">
          <w:rPr>
            <w:rFonts w:eastAsia="標楷體"/>
            <w:noProof/>
            <w:webHidden/>
            <w:sz w:val="32"/>
            <w:szCs w:val="32"/>
          </w:rPr>
          <w:instrText xml:space="preserve"> PAGEREF _Toc407181737 \h </w:instrText>
        </w:r>
        <w:r w:rsidR="00D85028" w:rsidRPr="00D55DC6">
          <w:rPr>
            <w:rFonts w:eastAsia="標楷體"/>
            <w:noProof/>
            <w:webHidden/>
            <w:sz w:val="32"/>
            <w:szCs w:val="32"/>
          </w:rPr>
        </w:r>
        <w:r w:rsidR="00D85028" w:rsidRPr="00D55DC6">
          <w:rPr>
            <w:rFonts w:eastAsia="標楷體"/>
            <w:noProof/>
            <w:webHidden/>
            <w:sz w:val="32"/>
            <w:szCs w:val="32"/>
          </w:rPr>
          <w:fldChar w:fldCharType="separate"/>
        </w:r>
        <w:r w:rsidR="006B452A">
          <w:rPr>
            <w:rFonts w:eastAsia="標楷體"/>
            <w:noProof/>
            <w:webHidden/>
            <w:sz w:val="32"/>
            <w:szCs w:val="32"/>
          </w:rPr>
          <w:t>239</w:t>
        </w:r>
        <w:r w:rsidR="00D85028" w:rsidRPr="00D55DC6">
          <w:rPr>
            <w:rFonts w:eastAsia="標楷體"/>
            <w:noProof/>
            <w:webHidden/>
            <w:sz w:val="32"/>
            <w:szCs w:val="32"/>
          </w:rPr>
          <w:fldChar w:fldCharType="end"/>
        </w:r>
      </w:hyperlink>
    </w:p>
    <w:p w:rsidR="00A3023B" w:rsidRPr="00D55DC6" w:rsidRDefault="00E66302" w:rsidP="00330F3C">
      <w:pPr>
        <w:pStyle w:val="1f"/>
        <w:tabs>
          <w:tab w:val="left" w:pos="960"/>
          <w:tab w:val="right" w:leader="dot" w:pos="9060"/>
        </w:tabs>
        <w:spacing w:before="50" w:line="0" w:lineRule="atLeast"/>
        <w:rPr>
          <w:rFonts w:eastAsia="標楷體"/>
          <w:noProof/>
          <w:sz w:val="32"/>
          <w:szCs w:val="32"/>
        </w:rPr>
      </w:pPr>
      <w:hyperlink w:anchor="_Toc407181738" w:history="1">
        <w:r w:rsidR="00C51C62" w:rsidRPr="00D55DC6">
          <w:rPr>
            <w:rStyle w:val="affff8"/>
            <w:rFonts w:eastAsia="標楷體" w:hAnsi="標楷體"/>
            <w:b/>
            <w:noProof/>
            <w:color w:val="auto"/>
            <w:sz w:val="32"/>
            <w:szCs w:val="32"/>
            <w:u w:val="none"/>
          </w:rPr>
          <w:t>拾參、馬祖國家風景區建設計畫</w:t>
        </w:r>
        <w:r w:rsidR="00A3023B" w:rsidRPr="00D55DC6">
          <w:rPr>
            <w:rFonts w:eastAsia="標楷體"/>
            <w:noProof/>
            <w:webHidden/>
            <w:sz w:val="32"/>
            <w:szCs w:val="32"/>
          </w:rPr>
          <w:tab/>
        </w:r>
        <w:r w:rsidR="00D85028" w:rsidRPr="00D55DC6">
          <w:rPr>
            <w:rFonts w:eastAsia="標楷體"/>
            <w:noProof/>
            <w:webHidden/>
            <w:sz w:val="32"/>
            <w:szCs w:val="32"/>
          </w:rPr>
          <w:fldChar w:fldCharType="begin"/>
        </w:r>
        <w:r w:rsidR="00A3023B" w:rsidRPr="00D55DC6">
          <w:rPr>
            <w:rFonts w:eastAsia="標楷體"/>
            <w:noProof/>
            <w:webHidden/>
            <w:sz w:val="32"/>
            <w:szCs w:val="32"/>
          </w:rPr>
          <w:instrText xml:space="preserve"> PAGEREF _Toc407181738 \h </w:instrText>
        </w:r>
        <w:r w:rsidR="00D85028" w:rsidRPr="00D55DC6">
          <w:rPr>
            <w:rFonts w:eastAsia="標楷體"/>
            <w:noProof/>
            <w:webHidden/>
            <w:sz w:val="32"/>
            <w:szCs w:val="32"/>
          </w:rPr>
        </w:r>
        <w:r w:rsidR="00D85028" w:rsidRPr="00D55DC6">
          <w:rPr>
            <w:rFonts w:eastAsia="標楷體"/>
            <w:noProof/>
            <w:webHidden/>
            <w:sz w:val="32"/>
            <w:szCs w:val="32"/>
          </w:rPr>
          <w:fldChar w:fldCharType="separate"/>
        </w:r>
        <w:r w:rsidR="006B452A">
          <w:rPr>
            <w:rFonts w:eastAsia="標楷體"/>
            <w:noProof/>
            <w:webHidden/>
            <w:sz w:val="32"/>
            <w:szCs w:val="32"/>
          </w:rPr>
          <w:t>256</w:t>
        </w:r>
        <w:r w:rsidR="00D85028" w:rsidRPr="00D55DC6">
          <w:rPr>
            <w:rFonts w:eastAsia="標楷體"/>
            <w:noProof/>
            <w:webHidden/>
            <w:sz w:val="32"/>
            <w:szCs w:val="32"/>
          </w:rPr>
          <w:fldChar w:fldCharType="end"/>
        </w:r>
      </w:hyperlink>
    </w:p>
    <w:p w:rsidR="00A3023B" w:rsidRPr="00D55DC6" w:rsidRDefault="00D85028" w:rsidP="00330F3C">
      <w:pPr>
        <w:spacing w:before="50" w:line="0" w:lineRule="atLeast"/>
        <w:rPr>
          <w:rFonts w:eastAsia="標楷體"/>
          <w:b/>
          <w:sz w:val="28"/>
        </w:rPr>
      </w:pPr>
      <w:r w:rsidRPr="00D55DC6">
        <w:rPr>
          <w:rFonts w:eastAsia="標楷體"/>
          <w:b/>
          <w:sz w:val="32"/>
          <w:szCs w:val="32"/>
        </w:rPr>
        <w:fldChar w:fldCharType="end"/>
      </w:r>
    </w:p>
    <w:p w:rsidR="00A3023B" w:rsidRPr="00D55DC6" w:rsidRDefault="00A3023B" w:rsidP="0038165F">
      <w:pPr>
        <w:rPr>
          <w:rFonts w:eastAsia="標楷體"/>
          <w:b/>
          <w:sz w:val="28"/>
        </w:rPr>
      </w:pPr>
    </w:p>
    <w:p w:rsidR="00A3023B" w:rsidRPr="00D55DC6" w:rsidRDefault="00A3023B" w:rsidP="0038165F">
      <w:pPr>
        <w:rPr>
          <w:rFonts w:eastAsia="標楷體"/>
          <w:b/>
          <w:sz w:val="28"/>
        </w:rPr>
      </w:pPr>
    </w:p>
    <w:p w:rsidR="00A3023B" w:rsidRPr="00D55DC6" w:rsidRDefault="001D43F4" w:rsidP="0038165F">
      <w:pPr>
        <w:rPr>
          <w:rFonts w:eastAsia="標楷體"/>
          <w:b/>
          <w:sz w:val="28"/>
        </w:rPr>
        <w:sectPr w:rsidR="00A3023B" w:rsidRPr="00D55DC6" w:rsidSect="0038165F">
          <w:headerReference w:type="even" r:id="rId16"/>
          <w:headerReference w:type="default" r:id="rId17"/>
          <w:footerReference w:type="even" r:id="rId18"/>
          <w:footerReference w:type="default" r:id="rId19"/>
          <w:headerReference w:type="first" r:id="rId20"/>
          <w:footerReference w:type="first" r:id="rId21"/>
          <w:pgSz w:w="11906" w:h="16838" w:code="9"/>
          <w:pgMar w:top="1418" w:right="1418" w:bottom="1418" w:left="1418" w:header="567" w:footer="567" w:gutter="0"/>
          <w:cols w:space="425"/>
          <w:docGrid w:type="linesAndChars" w:linePitch="360"/>
        </w:sectPr>
      </w:pPr>
      <w:r w:rsidRPr="00D55DC6">
        <w:rPr>
          <w:rFonts w:eastAsia="標楷體"/>
          <w:b/>
          <w:noProof/>
          <w:sz w:val="28"/>
        </w:rPr>
        <mc:AlternateContent>
          <mc:Choice Requires="wps">
            <w:drawing>
              <wp:anchor distT="0" distB="0" distL="114300" distR="114300" simplePos="0" relativeHeight="251671552" behindDoc="0" locked="0" layoutInCell="1" allowOverlap="1" wp14:anchorId="4FF3CF82" wp14:editId="576C94CD">
                <wp:simplePos x="0" y="0"/>
                <wp:positionH relativeFrom="column">
                  <wp:posOffset>2992755</wp:posOffset>
                </wp:positionH>
                <wp:positionV relativeFrom="paragraph">
                  <wp:posOffset>1567815</wp:posOffset>
                </wp:positionV>
                <wp:extent cx="240030" cy="285750"/>
                <wp:effectExtent l="0" t="0" r="7620" b="0"/>
                <wp:wrapNone/>
                <wp:docPr id="31"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 cy="28575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矩形 18" o:spid="_x0000_s1026" style="position:absolute;margin-left:235.65pt;margin-top:123.45pt;width:18.9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" fillcolor="window" stroked="f" strokeweight="2pt">
                <v:path arrowok="t"/>
              </v:rect>
            </w:pict>
          </mc:Fallback>
        </mc:AlternateContent>
      </w:r>
      <w:r w:rsidR="003F7B40" w:rsidRPr="00D55DC6">
        <w:rPr>
          <w:rFonts w:eastAsia="標楷體"/>
          <w:b/>
          <w:noProof/>
          <w:sz w:val="28"/>
        </w:rPr>
        <mc:AlternateContent>
          <mc:Choice Requires="wps">
            <w:drawing>
              <wp:anchor distT="0" distB="0" distL="114300" distR="114300" simplePos="0" relativeHeight="251667456" behindDoc="0" locked="0" layoutInCell="1" allowOverlap="1" wp14:anchorId="5C0FD837" wp14:editId="66E692AA">
                <wp:simplePos x="0" y="0"/>
                <wp:positionH relativeFrom="column">
                  <wp:posOffset>2753360</wp:posOffset>
                </wp:positionH>
                <wp:positionV relativeFrom="paragraph">
                  <wp:posOffset>2647315</wp:posOffset>
                </wp:positionV>
                <wp:extent cx="240030" cy="285750"/>
                <wp:effectExtent l="0" t="0" r="7620" b="0"/>
                <wp:wrapNone/>
                <wp:docPr id="18"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 cy="285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矩形 14" o:spid="_x0000_s1026" style="position:absolute;margin-left:216.8pt;margin-top:208.45pt;width:18.9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" fillcolor="white [3212]" stroked="f" strokeweight="2pt">
                <v:path arrowok="t"/>
              </v:rect>
            </w:pict>
          </mc:Fallback>
        </mc:AlternateContent>
      </w:r>
      <w:r w:rsidR="003F7B40" w:rsidRPr="00D55DC6">
        <w:rPr>
          <w:rFonts w:eastAsia="標楷體"/>
          <w:b/>
          <w:noProof/>
          <w:sz w:val="28"/>
        </w:rPr>
        <mc:AlternateContent>
          <mc:Choice Requires="wps">
            <w:drawing>
              <wp:anchor distT="0" distB="0" distL="114300" distR="114300" simplePos="0" relativeHeight="251666432" behindDoc="0" locked="0" layoutInCell="1" allowOverlap="1" wp14:anchorId="3695780C" wp14:editId="1F2B3A9B">
                <wp:simplePos x="0" y="0"/>
                <wp:positionH relativeFrom="column">
                  <wp:posOffset>2753360</wp:posOffset>
                </wp:positionH>
                <wp:positionV relativeFrom="paragraph">
                  <wp:posOffset>1828165</wp:posOffset>
                </wp:positionV>
                <wp:extent cx="240030" cy="285750"/>
                <wp:effectExtent l="0" t="0" r="7620" b="0"/>
                <wp:wrapNone/>
                <wp:docPr id="20" name="矩形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 cy="285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矩形 20" o:spid="_x0000_s1026" style="position:absolute;margin-left:216.8pt;margin-top:143.95pt;width:18.9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" fillcolor="white [3212]" stroked="f" strokeweight="2pt">
                <v:path arrowok="t"/>
              </v:rect>
            </w:pict>
          </mc:Fallback>
        </mc:AlternateContent>
      </w:r>
    </w:p>
    <w:p w:rsidR="00FA7F7B" w:rsidRPr="00D55DC6" w:rsidRDefault="00A01051" w:rsidP="0038165F">
      <w:pPr>
        <w:rPr>
          <w:rFonts w:eastAsia="標楷體" w:hAnsi="標楷體"/>
          <w:b/>
          <w:sz w:val="32"/>
        </w:rPr>
      </w:pPr>
      <w:r w:rsidRPr="00D55DC6">
        <w:rPr>
          <w:rFonts w:eastAsia="標楷體" w:hAnsi="標楷體"/>
          <w:b/>
          <w:sz w:val="32"/>
        </w:rPr>
        <w:lastRenderedPageBreak/>
        <w:t>總論</w:t>
      </w:r>
      <w:r w:rsidRPr="00D55DC6">
        <w:rPr>
          <w:rFonts w:eastAsia="標楷體"/>
          <w:b/>
          <w:sz w:val="32"/>
        </w:rPr>
        <w:t xml:space="preserve">  </w:t>
      </w:r>
      <w:r w:rsidR="00FA7F7B" w:rsidRPr="00D55DC6">
        <w:rPr>
          <w:rFonts w:eastAsia="標楷體" w:hAnsi="標楷體"/>
          <w:b/>
          <w:sz w:val="32"/>
        </w:rPr>
        <w:t>重要觀光景點建設中程計畫（</w:t>
      </w:r>
      <w:r w:rsidR="00FA7F7B" w:rsidRPr="00D55DC6">
        <w:rPr>
          <w:rFonts w:eastAsia="標楷體"/>
          <w:b/>
          <w:sz w:val="32"/>
        </w:rPr>
        <w:t>105-108</w:t>
      </w:r>
      <w:r w:rsidR="00FA7F7B" w:rsidRPr="00D55DC6">
        <w:rPr>
          <w:rFonts w:eastAsia="標楷體" w:hAnsi="標楷體"/>
          <w:b/>
          <w:sz w:val="32"/>
        </w:rPr>
        <w:t>年）</w:t>
      </w:r>
    </w:p>
    <w:p w:rsidR="00514642" w:rsidRPr="00D55DC6" w:rsidRDefault="00514642" w:rsidP="0038165F">
      <w:pPr>
        <w:rPr>
          <w:rFonts w:eastAsia="標楷體"/>
          <w:b/>
          <w:sz w:val="32"/>
        </w:rPr>
      </w:pPr>
    </w:p>
    <w:p w:rsidR="00F5461E" w:rsidRPr="00D55DC6" w:rsidRDefault="00F5461E" w:rsidP="0038165F">
      <w:pPr>
        <w:pStyle w:val="a"/>
        <w:ind w:left="709" w:hanging="709"/>
        <w:rPr>
          <w:b/>
        </w:rPr>
      </w:pPr>
      <w:bookmarkStart w:id="3" w:name="_Toc407181627"/>
      <w:r w:rsidRPr="00D55DC6">
        <w:rPr>
          <w:b/>
        </w:rPr>
        <w:t>計畫緣起</w:t>
      </w:r>
      <w:bookmarkEnd w:id="3"/>
    </w:p>
    <w:p w:rsidR="00F5461E" w:rsidRPr="00D55DC6" w:rsidRDefault="00F5461E" w:rsidP="0038165F">
      <w:pPr>
        <w:pStyle w:val="af2"/>
        <w:numPr>
          <w:ilvl w:val="0"/>
          <w:numId w:val="2"/>
        </w:numPr>
        <w:snapToGrid w:val="0"/>
        <w:spacing w:line="460" w:lineRule="exact"/>
        <w:ind w:leftChars="0"/>
        <w:jc w:val="both"/>
        <w:rPr>
          <w:rFonts w:eastAsia="標楷體"/>
          <w:b/>
          <w:sz w:val="28"/>
          <w:szCs w:val="28"/>
        </w:rPr>
      </w:pPr>
      <w:r w:rsidRPr="00D55DC6">
        <w:rPr>
          <w:rFonts w:eastAsia="標楷體"/>
          <w:b/>
          <w:sz w:val="28"/>
          <w:szCs w:val="28"/>
        </w:rPr>
        <w:t>依據</w:t>
      </w:r>
    </w:p>
    <w:p w:rsidR="005D3E8E" w:rsidRPr="00D55DC6" w:rsidRDefault="005D3E8E" w:rsidP="0038165F">
      <w:pPr>
        <w:pStyle w:val="af2"/>
        <w:numPr>
          <w:ilvl w:val="0"/>
          <w:numId w:val="9"/>
        </w:numPr>
        <w:snapToGrid w:val="0"/>
        <w:spacing w:line="460" w:lineRule="exact"/>
        <w:ind w:leftChars="0" w:left="851" w:hanging="266"/>
        <w:jc w:val="both"/>
        <w:rPr>
          <w:rFonts w:eastAsia="標楷體"/>
          <w:sz w:val="28"/>
          <w:szCs w:val="28"/>
        </w:rPr>
      </w:pPr>
      <w:r w:rsidRPr="00D55DC6">
        <w:rPr>
          <w:rFonts w:eastAsia="標楷體"/>
          <w:sz w:val="28"/>
          <w:szCs w:val="28"/>
        </w:rPr>
        <w:t>為有效發揮政府重大公共建設計畫觀光次類別經費之投資效益，強化具體投資成果，延續「重要觀光景點建設中程計畫（</w:t>
      </w:r>
      <w:r w:rsidRPr="00D55DC6">
        <w:rPr>
          <w:rFonts w:eastAsia="標楷體"/>
          <w:sz w:val="28"/>
          <w:szCs w:val="28"/>
        </w:rPr>
        <w:t>101</w:t>
      </w:r>
      <w:r w:rsidRPr="00D55DC6">
        <w:rPr>
          <w:rFonts w:eastAsia="標楷體"/>
          <w:sz w:val="28"/>
          <w:szCs w:val="28"/>
        </w:rPr>
        <w:t>至</w:t>
      </w:r>
      <w:r w:rsidRPr="00D55DC6">
        <w:rPr>
          <w:rFonts w:eastAsia="標楷體"/>
          <w:sz w:val="28"/>
          <w:szCs w:val="28"/>
        </w:rPr>
        <w:t>104</w:t>
      </w:r>
      <w:r w:rsidRPr="00D55DC6">
        <w:rPr>
          <w:rFonts w:eastAsia="標楷體"/>
          <w:sz w:val="28"/>
          <w:szCs w:val="28"/>
        </w:rPr>
        <w:t>年）」（行政院</w:t>
      </w:r>
      <w:r w:rsidRPr="00D55DC6">
        <w:rPr>
          <w:rFonts w:eastAsia="標楷體"/>
          <w:sz w:val="28"/>
          <w:szCs w:val="28"/>
        </w:rPr>
        <w:t>100</w:t>
      </w:r>
      <w:r w:rsidRPr="00D55DC6">
        <w:rPr>
          <w:rFonts w:eastAsia="標楷體"/>
          <w:sz w:val="28"/>
          <w:szCs w:val="28"/>
        </w:rPr>
        <w:t>年</w:t>
      </w:r>
      <w:r w:rsidRPr="00D55DC6">
        <w:rPr>
          <w:rFonts w:eastAsia="標楷體"/>
          <w:sz w:val="28"/>
          <w:szCs w:val="28"/>
        </w:rPr>
        <w:t>8</w:t>
      </w:r>
      <w:r w:rsidRPr="00D55DC6">
        <w:rPr>
          <w:rFonts w:eastAsia="標楷體"/>
          <w:sz w:val="28"/>
          <w:szCs w:val="28"/>
        </w:rPr>
        <w:t>月</w:t>
      </w:r>
      <w:r w:rsidRPr="00D55DC6">
        <w:rPr>
          <w:rFonts w:eastAsia="標楷體"/>
          <w:sz w:val="28"/>
          <w:szCs w:val="28"/>
        </w:rPr>
        <w:t>22</w:t>
      </w:r>
      <w:r w:rsidRPr="00D55DC6">
        <w:rPr>
          <w:rFonts w:eastAsia="標楷體"/>
          <w:sz w:val="28"/>
          <w:szCs w:val="28"/>
        </w:rPr>
        <w:t>日院臺交字第</w:t>
      </w:r>
      <w:r w:rsidRPr="00D55DC6">
        <w:rPr>
          <w:rFonts w:eastAsia="標楷體"/>
          <w:sz w:val="28"/>
          <w:szCs w:val="28"/>
        </w:rPr>
        <w:t>1000044174</w:t>
      </w:r>
      <w:r w:rsidRPr="00D55DC6">
        <w:rPr>
          <w:rFonts w:eastAsia="標楷體"/>
          <w:sz w:val="28"/>
          <w:szCs w:val="28"/>
        </w:rPr>
        <w:t>號函核定）建設成果，並調整以</w:t>
      </w:r>
      <w:r w:rsidRPr="00D55DC6">
        <w:rPr>
          <w:rFonts w:eastAsia="標楷體"/>
          <w:sz w:val="28"/>
          <w:szCs w:val="28"/>
        </w:rPr>
        <w:t>1.</w:t>
      </w:r>
      <w:r w:rsidRPr="00D55DC6">
        <w:rPr>
          <w:rFonts w:eastAsia="標楷體"/>
          <w:sz w:val="28"/>
          <w:szCs w:val="28"/>
        </w:rPr>
        <w:t>國際觀光重要景點建設、</w:t>
      </w:r>
      <w:r w:rsidRPr="00D55DC6">
        <w:rPr>
          <w:rFonts w:eastAsia="標楷體"/>
          <w:sz w:val="28"/>
          <w:szCs w:val="28"/>
        </w:rPr>
        <w:t>2.</w:t>
      </w:r>
      <w:r w:rsidRPr="00D55DC6">
        <w:rPr>
          <w:rFonts w:eastAsia="標楷體"/>
          <w:sz w:val="28"/>
          <w:szCs w:val="28"/>
        </w:rPr>
        <w:t>國內觀光重要景點建設、</w:t>
      </w:r>
      <w:r w:rsidRPr="00D55DC6">
        <w:rPr>
          <w:rFonts w:eastAsia="標楷體"/>
          <w:sz w:val="28"/>
          <w:szCs w:val="28"/>
        </w:rPr>
        <w:t>3.</w:t>
      </w:r>
      <w:r w:rsidRPr="00D55DC6">
        <w:rPr>
          <w:rFonts w:eastAsia="標楷體"/>
          <w:sz w:val="28"/>
          <w:szCs w:val="28"/>
        </w:rPr>
        <w:t>國家風景區經營管理維護等投資重點與優先順序，研擬「重要觀光景點建設中程計畫</w:t>
      </w:r>
      <w:r w:rsidRPr="00D55DC6">
        <w:rPr>
          <w:rFonts w:eastAsia="標楷體"/>
          <w:sz w:val="28"/>
          <w:szCs w:val="28"/>
        </w:rPr>
        <w:t>(105-108</w:t>
      </w:r>
      <w:r w:rsidRPr="00D55DC6">
        <w:rPr>
          <w:rFonts w:eastAsia="標楷體"/>
          <w:sz w:val="28"/>
          <w:szCs w:val="28"/>
        </w:rPr>
        <w:t>年</w:t>
      </w:r>
      <w:r w:rsidRPr="00D55DC6">
        <w:rPr>
          <w:rFonts w:eastAsia="標楷體"/>
          <w:sz w:val="28"/>
          <w:szCs w:val="28"/>
        </w:rPr>
        <w:t>)</w:t>
      </w:r>
      <w:r w:rsidRPr="00D55DC6">
        <w:rPr>
          <w:rFonts w:eastAsia="標楷體"/>
          <w:sz w:val="28"/>
          <w:szCs w:val="28"/>
        </w:rPr>
        <w:t>」。</w:t>
      </w:r>
    </w:p>
    <w:p w:rsidR="005D3E8E" w:rsidRPr="00D55DC6" w:rsidRDefault="005D3E8E" w:rsidP="0038165F">
      <w:pPr>
        <w:pStyle w:val="af2"/>
        <w:numPr>
          <w:ilvl w:val="0"/>
          <w:numId w:val="9"/>
        </w:numPr>
        <w:snapToGrid w:val="0"/>
        <w:spacing w:line="460" w:lineRule="exact"/>
        <w:ind w:leftChars="0" w:left="851" w:hanging="266"/>
        <w:jc w:val="both"/>
        <w:rPr>
          <w:rFonts w:eastAsia="標楷體"/>
          <w:sz w:val="28"/>
          <w:szCs w:val="28"/>
        </w:rPr>
      </w:pPr>
      <w:r w:rsidRPr="00D55DC6">
        <w:rPr>
          <w:rFonts w:eastAsia="標楷體"/>
          <w:sz w:val="28"/>
          <w:szCs w:val="28"/>
        </w:rPr>
        <w:t>依據行政院</w:t>
      </w:r>
      <w:r w:rsidRPr="00D55DC6">
        <w:rPr>
          <w:rFonts w:eastAsia="標楷體"/>
          <w:sz w:val="28"/>
          <w:szCs w:val="28"/>
        </w:rPr>
        <w:t>103</w:t>
      </w:r>
      <w:r w:rsidRPr="00D55DC6">
        <w:rPr>
          <w:rFonts w:eastAsia="標楷體"/>
          <w:sz w:val="28"/>
          <w:szCs w:val="28"/>
        </w:rPr>
        <w:t>年</w:t>
      </w:r>
      <w:r w:rsidRPr="00D55DC6">
        <w:rPr>
          <w:rFonts w:eastAsia="標楷體"/>
          <w:sz w:val="28"/>
          <w:szCs w:val="28"/>
        </w:rPr>
        <w:t>10</w:t>
      </w:r>
      <w:r w:rsidRPr="00D55DC6">
        <w:rPr>
          <w:rFonts w:eastAsia="標楷體"/>
          <w:sz w:val="28"/>
          <w:szCs w:val="28"/>
        </w:rPr>
        <w:t>月</w:t>
      </w:r>
      <w:r w:rsidRPr="00D55DC6">
        <w:rPr>
          <w:rFonts w:eastAsia="標楷體"/>
          <w:sz w:val="28"/>
          <w:szCs w:val="28"/>
        </w:rPr>
        <w:t>15</w:t>
      </w:r>
      <w:r w:rsidRPr="00D55DC6">
        <w:rPr>
          <w:rFonts w:eastAsia="標楷體"/>
          <w:sz w:val="28"/>
          <w:szCs w:val="28"/>
        </w:rPr>
        <w:t>日院臺交字第</w:t>
      </w:r>
      <w:r w:rsidRPr="00D55DC6">
        <w:rPr>
          <w:rFonts w:eastAsia="標楷體"/>
          <w:sz w:val="28"/>
          <w:szCs w:val="28"/>
        </w:rPr>
        <w:t>1030058303</w:t>
      </w:r>
      <w:r w:rsidRPr="00D55DC6">
        <w:rPr>
          <w:rFonts w:eastAsia="標楷體"/>
          <w:sz w:val="28"/>
          <w:szCs w:val="28"/>
        </w:rPr>
        <w:t>號函核定</w:t>
      </w:r>
      <w:r w:rsidR="00A330DA" w:rsidRPr="00D55DC6">
        <w:rPr>
          <w:rFonts w:eastAsia="標楷體"/>
          <w:sz w:val="28"/>
          <w:szCs w:val="28"/>
        </w:rPr>
        <w:t>「日月潭等</w:t>
      </w:r>
      <w:r w:rsidR="00A330DA" w:rsidRPr="00D55DC6">
        <w:rPr>
          <w:rFonts w:eastAsia="標楷體"/>
          <w:sz w:val="28"/>
          <w:szCs w:val="28"/>
        </w:rPr>
        <w:t>6</w:t>
      </w:r>
      <w:r w:rsidR="00A330DA" w:rsidRPr="00D55DC6">
        <w:rPr>
          <w:rFonts w:eastAsia="標楷體"/>
          <w:sz w:val="28"/>
          <w:szCs w:val="28"/>
        </w:rPr>
        <w:t>處國家風景區整體發展暨財務計畫」（包含</w:t>
      </w:r>
      <w:r w:rsidR="008F53AB" w:rsidRPr="00D55DC6">
        <w:rPr>
          <w:rFonts w:eastAsia="標楷體"/>
          <w:sz w:val="28"/>
          <w:szCs w:val="28"/>
        </w:rPr>
        <w:t>日月潭、</w:t>
      </w:r>
      <w:r w:rsidRPr="00D55DC6">
        <w:rPr>
          <w:rFonts w:eastAsia="標楷體"/>
          <w:sz w:val="28"/>
          <w:szCs w:val="28"/>
        </w:rPr>
        <w:t>東北角暨宜蘭海岸</w:t>
      </w:r>
      <w:r w:rsidR="00A330DA" w:rsidRPr="00D55DC6">
        <w:rPr>
          <w:rFonts w:eastAsia="標楷體"/>
          <w:sz w:val="28"/>
          <w:szCs w:val="28"/>
        </w:rPr>
        <w:t>、</w:t>
      </w:r>
      <w:r w:rsidR="008F53AB" w:rsidRPr="00D55DC6">
        <w:rPr>
          <w:rFonts w:eastAsia="標楷體"/>
          <w:sz w:val="28"/>
          <w:szCs w:val="28"/>
        </w:rPr>
        <w:t>北海岸及觀音山、阿里山、參山、雲嘉南濱海）</w:t>
      </w:r>
      <w:r w:rsidRPr="00D55DC6">
        <w:rPr>
          <w:rFonts w:eastAsia="標楷體"/>
          <w:sz w:val="28"/>
          <w:szCs w:val="28"/>
        </w:rPr>
        <w:t>之意旨辦理。</w:t>
      </w:r>
      <w:r w:rsidR="00EB07A6" w:rsidRPr="00D55DC6">
        <w:rPr>
          <w:rFonts w:eastAsia="標楷體"/>
          <w:sz w:val="28"/>
          <w:szCs w:val="28"/>
        </w:rPr>
        <w:t xml:space="preserve"> </w:t>
      </w:r>
    </w:p>
    <w:p w:rsidR="004278F4" w:rsidRPr="00D55DC6" w:rsidRDefault="004278F4" w:rsidP="0038165F">
      <w:pPr>
        <w:pStyle w:val="af2"/>
        <w:snapToGrid w:val="0"/>
        <w:spacing w:line="460" w:lineRule="exact"/>
        <w:ind w:leftChars="0" w:left="851"/>
        <w:jc w:val="both"/>
        <w:rPr>
          <w:rFonts w:eastAsia="標楷體"/>
          <w:sz w:val="28"/>
          <w:szCs w:val="28"/>
        </w:rPr>
      </w:pPr>
    </w:p>
    <w:p w:rsidR="00F5461E" w:rsidRPr="00D55DC6" w:rsidRDefault="00F5461E" w:rsidP="0038165F">
      <w:pPr>
        <w:pStyle w:val="af2"/>
        <w:numPr>
          <w:ilvl w:val="0"/>
          <w:numId w:val="2"/>
        </w:numPr>
        <w:snapToGrid w:val="0"/>
        <w:spacing w:line="460" w:lineRule="exact"/>
        <w:ind w:leftChars="0"/>
        <w:jc w:val="both"/>
        <w:rPr>
          <w:rFonts w:eastAsia="標楷體"/>
          <w:b/>
          <w:sz w:val="28"/>
          <w:szCs w:val="28"/>
        </w:rPr>
      </w:pPr>
      <w:r w:rsidRPr="00D55DC6">
        <w:rPr>
          <w:rFonts w:eastAsia="標楷體"/>
          <w:b/>
          <w:sz w:val="28"/>
          <w:szCs w:val="28"/>
        </w:rPr>
        <w:t>未來環境預測</w:t>
      </w:r>
    </w:p>
    <w:p w:rsidR="003E7BF0" w:rsidRPr="00D55DC6" w:rsidRDefault="003E7BF0" w:rsidP="0038165F">
      <w:pPr>
        <w:pStyle w:val="af2"/>
        <w:numPr>
          <w:ilvl w:val="0"/>
          <w:numId w:val="11"/>
        </w:numPr>
        <w:snapToGrid w:val="0"/>
        <w:spacing w:line="460" w:lineRule="exact"/>
        <w:ind w:leftChars="0" w:hanging="297"/>
        <w:jc w:val="both"/>
        <w:rPr>
          <w:rFonts w:eastAsia="標楷體"/>
          <w:sz w:val="28"/>
          <w:szCs w:val="28"/>
        </w:rPr>
      </w:pPr>
      <w:r w:rsidRPr="00D55DC6">
        <w:rPr>
          <w:rFonts w:eastAsia="標楷體"/>
          <w:sz w:val="28"/>
          <w:szCs w:val="28"/>
        </w:rPr>
        <w:t>根據</w:t>
      </w:r>
      <w:r w:rsidRPr="00D55DC6">
        <w:rPr>
          <w:rFonts w:eastAsia="標楷體"/>
          <w:sz w:val="28"/>
          <w:szCs w:val="28"/>
        </w:rPr>
        <w:t>OECD</w:t>
      </w:r>
      <w:r w:rsidRPr="00D55DC6">
        <w:rPr>
          <w:rFonts w:eastAsia="標楷體"/>
          <w:sz w:val="28"/>
          <w:szCs w:val="28"/>
        </w:rPr>
        <w:t>發布之「</w:t>
      </w:r>
      <w:r w:rsidRPr="00D55DC6">
        <w:rPr>
          <w:rFonts w:eastAsia="標楷體"/>
          <w:sz w:val="28"/>
          <w:szCs w:val="28"/>
        </w:rPr>
        <w:t>2014</w:t>
      </w:r>
      <w:r w:rsidRPr="00D55DC6">
        <w:rPr>
          <w:rFonts w:eastAsia="標楷體"/>
          <w:sz w:val="28"/>
          <w:szCs w:val="28"/>
        </w:rPr>
        <w:t>年觀光產業趨勢與政策」報告，全球觀光旅遊版圖持續擴張成長且顯現結構性轉變；最重要的趨向是新興經濟體的國際旅遊人數及消費顯著成長，且旅遊方式及消費型態日趨多元化，為推動全球觀光旅遊的重要引擎。臺灣為亞洲重要的旅遊目的地國，新興經濟體對全球及亞洲觀光旅遊市場成長的貢獻愈大，愈有利於我國擴大對新興市場的營銷，帶動總體發展。此外，新興經濟體國際觀光旅</w:t>
      </w:r>
      <w:r w:rsidR="000D22B3" w:rsidRPr="00D55DC6">
        <w:rPr>
          <w:rFonts w:eastAsia="標楷體"/>
          <w:sz w:val="28"/>
          <w:szCs w:val="28"/>
        </w:rPr>
        <w:t>遊</w:t>
      </w:r>
      <w:r w:rsidRPr="00D55DC6">
        <w:rPr>
          <w:rFonts w:eastAsia="標楷體"/>
          <w:sz w:val="28"/>
          <w:szCs w:val="28"/>
        </w:rPr>
        <w:t>模式也</w:t>
      </w:r>
      <w:r w:rsidR="000D22B3" w:rsidRPr="00D55DC6">
        <w:rPr>
          <w:rFonts w:eastAsia="標楷體"/>
          <w:sz w:val="28"/>
          <w:szCs w:val="28"/>
        </w:rPr>
        <w:t>逐</w:t>
      </w:r>
      <w:r w:rsidRPr="00D55DC6">
        <w:rPr>
          <w:rFonts w:eastAsia="標楷體"/>
          <w:sz w:val="28"/>
          <w:szCs w:val="28"/>
        </w:rPr>
        <w:t>漸朝散客化（非團</w:t>
      </w:r>
      <w:r w:rsidR="000D22B3" w:rsidRPr="00D55DC6">
        <w:rPr>
          <w:rFonts w:eastAsia="標楷體"/>
          <w:sz w:val="28"/>
          <w:szCs w:val="28"/>
        </w:rPr>
        <w:t>體</w:t>
      </w:r>
      <w:r w:rsidRPr="00D55DC6">
        <w:rPr>
          <w:rFonts w:eastAsia="標楷體"/>
          <w:sz w:val="28"/>
          <w:szCs w:val="28"/>
        </w:rPr>
        <w:t>旅遊）及文化體驗消費方向轉變，</w:t>
      </w:r>
      <w:r w:rsidRPr="00D55DC6">
        <w:rPr>
          <w:rFonts w:eastAsia="標楷體"/>
          <w:sz w:val="28"/>
          <w:szCs w:val="28"/>
        </w:rPr>
        <w:t>55</w:t>
      </w:r>
      <w:r w:rsidRPr="00D55DC6">
        <w:rPr>
          <w:rFonts w:eastAsia="標楷體"/>
          <w:sz w:val="28"/>
          <w:szCs w:val="28"/>
        </w:rPr>
        <w:t>歲以上高齡人口參與旅遊活動的比率大幅上升中。</w:t>
      </w:r>
    </w:p>
    <w:p w:rsidR="003E7BF0" w:rsidRPr="00D55DC6" w:rsidRDefault="003E7BF0" w:rsidP="0038165F">
      <w:pPr>
        <w:pStyle w:val="af2"/>
        <w:numPr>
          <w:ilvl w:val="0"/>
          <w:numId w:val="11"/>
        </w:numPr>
        <w:snapToGrid w:val="0"/>
        <w:spacing w:line="460" w:lineRule="exact"/>
        <w:ind w:leftChars="0" w:hanging="297"/>
        <w:jc w:val="both"/>
        <w:rPr>
          <w:rFonts w:eastAsia="標楷體"/>
          <w:sz w:val="28"/>
          <w:szCs w:val="28"/>
        </w:rPr>
      </w:pPr>
      <w:r w:rsidRPr="00D55DC6">
        <w:rPr>
          <w:rFonts w:eastAsia="標楷體"/>
          <w:sz w:val="28"/>
          <w:szCs w:val="28"/>
        </w:rPr>
        <w:t>根據世界觀光旅遊委員會（</w:t>
      </w:r>
      <w:r w:rsidRPr="00D55DC6">
        <w:rPr>
          <w:rFonts w:eastAsia="標楷體"/>
          <w:sz w:val="28"/>
          <w:szCs w:val="28"/>
        </w:rPr>
        <w:t>WTTC</w:t>
      </w:r>
      <w:r w:rsidRPr="00D55DC6">
        <w:rPr>
          <w:rFonts w:eastAsia="標楷體"/>
          <w:sz w:val="28"/>
          <w:szCs w:val="28"/>
        </w:rPr>
        <w:t>）指出，未來十年全球觀光旅遊業成長率將持續超過全球經濟成長率，對整體經濟的貢獻可望由</w:t>
      </w:r>
      <w:r w:rsidRPr="00D55DC6">
        <w:rPr>
          <w:rFonts w:eastAsia="標楷體"/>
          <w:sz w:val="28"/>
          <w:szCs w:val="28"/>
        </w:rPr>
        <w:t>2013</w:t>
      </w:r>
      <w:r w:rsidRPr="00D55DC6">
        <w:rPr>
          <w:rFonts w:eastAsia="標楷體"/>
          <w:sz w:val="28"/>
          <w:szCs w:val="28"/>
        </w:rPr>
        <w:t>年的</w:t>
      </w:r>
      <w:r w:rsidRPr="00D55DC6">
        <w:rPr>
          <w:rFonts w:eastAsia="標楷體"/>
          <w:sz w:val="28"/>
          <w:szCs w:val="28"/>
        </w:rPr>
        <w:t>9.5%</w:t>
      </w:r>
      <w:r w:rsidRPr="00D55DC6">
        <w:rPr>
          <w:rFonts w:eastAsia="標楷體"/>
          <w:sz w:val="28"/>
          <w:szCs w:val="28"/>
        </w:rPr>
        <w:t>增至</w:t>
      </w:r>
      <w:r w:rsidRPr="00D55DC6">
        <w:rPr>
          <w:rFonts w:eastAsia="標楷體"/>
          <w:sz w:val="28"/>
          <w:szCs w:val="28"/>
        </w:rPr>
        <w:t>2024</w:t>
      </w:r>
      <w:r w:rsidRPr="00D55DC6">
        <w:rPr>
          <w:rFonts w:eastAsia="標楷體"/>
          <w:sz w:val="28"/>
          <w:szCs w:val="28"/>
        </w:rPr>
        <w:t>年的</w:t>
      </w:r>
      <w:r w:rsidRPr="00D55DC6">
        <w:rPr>
          <w:rFonts w:eastAsia="標楷體"/>
          <w:sz w:val="28"/>
          <w:szCs w:val="28"/>
        </w:rPr>
        <w:t>10.3%</w:t>
      </w:r>
      <w:r w:rsidRPr="00D55DC6">
        <w:rPr>
          <w:rFonts w:eastAsia="標楷體"/>
          <w:sz w:val="28"/>
          <w:szCs w:val="28"/>
        </w:rPr>
        <w:t>；主要驅動力來自新興市場（尤其是亞洲地區）的需求及觀光旅遊業消費支出上升。</w:t>
      </w:r>
    </w:p>
    <w:p w:rsidR="00713583" w:rsidRPr="00D55DC6" w:rsidRDefault="003E7BF0" w:rsidP="0038165F">
      <w:pPr>
        <w:pStyle w:val="af2"/>
        <w:numPr>
          <w:ilvl w:val="0"/>
          <w:numId w:val="11"/>
        </w:numPr>
        <w:snapToGrid w:val="0"/>
        <w:spacing w:line="460" w:lineRule="exact"/>
        <w:ind w:leftChars="0" w:hanging="297"/>
        <w:jc w:val="both"/>
        <w:rPr>
          <w:rFonts w:eastAsia="標楷體"/>
          <w:sz w:val="28"/>
          <w:szCs w:val="28"/>
        </w:rPr>
      </w:pPr>
      <w:r w:rsidRPr="00D55DC6">
        <w:rPr>
          <w:rFonts w:eastAsia="標楷體"/>
          <w:sz w:val="28"/>
          <w:szCs w:val="28"/>
        </w:rPr>
        <w:lastRenderedPageBreak/>
        <w:t>依據交通部觀光局公務統計，來臺旅客成長強勁，自</w:t>
      </w:r>
      <w:r w:rsidRPr="00D55DC6">
        <w:rPr>
          <w:rFonts w:eastAsia="標楷體"/>
          <w:sz w:val="28"/>
          <w:szCs w:val="28"/>
        </w:rPr>
        <w:t>2008</w:t>
      </w:r>
      <w:r w:rsidRPr="00D55DC6">
        <w:rPr>
          <w:rFonts w:eastAsia="標楷體"/>
          <w:sz w:val="28"/>
          <w:szCs w:val="28"/>
        </w:rPr>
        <w:t>年</w:t>
      </w:r>
      <w:r w:rsidRPr="00D55DC6">
        <w:rPr>
          <w:rFonts w:eastAsia="標楷體"/>
          <w:sz w:val="28"/>
          <w:szCs w:val="28"/>
        </w:rPr>
        <w:t>384.5</w:t>
      </w:r>
      <w:r w:rsidRPr="00D55DC6">
        <w:rPr>
          <w:rFonts w:eastAsia="標楷體"/>
          <w:sz w:val="28"/>
          <w:szCs w:val="28"/>
        </w:rPr>
        <w:t>萬人次連翻倍增至</w:t>
      </w:r>
      <w:r w:rsidRPr="00D55DC6">
        <w:rPr>
          <w:rFonts w:eastAsia="標楷體"/>
          <w:sz w:val="28"/>
          <w:szCs w:val="28"/>
        </w:rPr>
        <w:t>2014</w:t>
      </w:r>
      <w:r w:rsidRPr="00D55DC6">
        <w:rPr>
          <w:rFonts w:eastAsia="標楷體"/>
          <w:sz w:val="28"/>
          <w:szCs w:val="28"/>
        </w:rPr>
        <w:t>年</w:t>
      </w:r>
      <w:r w:rsidR="000A4367" w:rsidRPr="00D55DC6">
        <w:rPr>
          <w:rFonts w:eastAsia="標楷體"/>
          <w:sz w:val="28"/>
          <w:szCs w:val="28"/>
        </w:rPr>
        <w:t>991</w:t>
      </w:r>
      <w:r w:rsidRPr="00D55DC6">
        <w:rPr>
          <w:rFonts w:eastAsia="標楷體"/>
          <w:sz w:val="28"/>
          <w:szCs w:val="28"/>
        </w:rPr>
        <w:t>萬人次，已連續</w:t>
      </w:r>
      <w:r w:rsidR="000A4367" w:rsidRPr="00D55DC6">
        <w:rPr>
          <w:rFonts w:eastAsia="標楷體"/>
          <w:sz w:val="28"/>
          <w:szCs w:val="28"/>
        </w:rPr>
        <w:t>6</w:t>
      </w:r>
      <w:r w:rsidRPr="00D55DC6">
        <w:rPr>
          <w:rFonts w:eastAsia="標楷體"/>
          <w:sz w:val="28"/>
          <w:szCs w:val="28"/>
        </w:rPr>
        <w:t>年，以年年破百萬人次門檻的速度，大幅成長，以此趨勢預測，將於</w:t>
      </w:r>
      <w:r w:rsidRPr="00D55DC6">
        <w:rPr>
          <w:rFonts w:eastAsia="標楷體"/>
          <w:sz w:val="28"/>
          <w:szCs w:val="28"/>
        </w:rPr>
        <w:t>2015</w:t>
      </w:r>
      <w:r w:rsidRPr="00D55DC6">
        <w:rPr>
          <w:rFonts w:eastAsia="標楷體"/>
          <w:sz w:val="28"/>
          <w:szCs w:val="28"/>
        </w:rPr>
        <w:t>年來臺旅客突破</w:t>
      </w:r>
      <w:r w:rsidRPr="00D55DC6">
        <w:rPr>
          <w:rFonts w:eastAsia="標楷體"/>
          <w:sz w:val="28"/>
          <w:szCs w:val="28"/>
        </w:rPr>
        <w:t>1,000</w:t>
      </w:r>
      <w:r w:rsidRPr="00D55DC6">
        <w:rPr>
          <w:rFonts w:eastAsia="標楷體"/>
          <w:sz w:val="28"/>
          <w:szCs w:val="28"/>
        </w:rPr>
        <w:t>萬人次。從</w:t>
      </w:r>
      <w:r w:rsidR="006A671F" w:rsidRPr="00D55DC6">
        <w:rPr>
          <w:rFonts w:eastAsia="標楷體"/>
          <w:sz w:val="28"/>
          <w:szCs w:val="28"/>
        </w:rPr>
        <w:t>201</w:t>
      </w:r>
      <w:r w:rsidR="007E4C7A" w:rsidRPr="00D55DC6">
        <w:rPr>
          <w:rFonts w:eastAsia="標楷體"/>
          <w:sz w:val="28"/>
          <w:szCs w:val="28"/>
        </w:rPr>
        <w:t>4</w:t>
      </w:r>
      <w:r w:rsidR="006A671F" w:rsidRPr="00D55DC6">
        <w:rPr>
          <w:rFonts w:eastAsia="標楷體"/>
          <w:sz w:val="28"/>
          <w:szCs w:val="28"/>
        </w:rPr>
        <w:t>年</w:t>
      </w:r>
      <w:r w:rsidRPr="00D55DC6">
        <w:rPr>
          <w:rFonts w:eastAsia="標楷體"/>
          <w:sz w:val="28"/>
          <w:szCs w:val="28"/>
        </w:rPr>
        <w:t>來臺客源市場觀察，</w:t>
      </w:r>
      <w:r w:rsidR="006A671F" w:rsidRPr="00D55DC6">
        <w:rPr>
          <w:rFonts w:eastAsia="標楷體"/>
          <w:sz w:val="28"/>
          <w:szCs w:val="28"/>
        </w:rPr>
        <w:t>超過八成的客源來自</w:t>
      </w:r>
      <w:r w:rsidRPr="00D55DC6">
        <w:rPr>
          <w:rFonts w:eastAsia="標楷體"/>
          <w:sz w:val="28"/>
          <w:szCs w:val="28"/>
        </w:rPr>
        <w:t>亞洲地區</w:t>
      </w:r>
      <w:r w:rsidR="006A671F" w:rsidRPr="00D55DC6">
        <w:rPr>
          <w:rFonts w:eastAsia="標楷體"/>
          <w:sz w:val="28"/>
          <w:szCs w:val="28"/>
        </w:rPr>
        <w:t>，以</w:t>
      </w:r>
      <w:r w:rsidRPr="00D55DC6">
        <w:rPr>
          <w:rFonts w:eastAsia="標楷體"/>
          <w:sz w:val="28"/>
          <w:szCs w:val="28"/>
        </w:rPr>
        <w:t>中國大陸</w:t>
      </w:r>
      <w:r w:rsidR="006A671F" w:rsidRPr="00D55DC6">
        <w:rPr>
          <w:rFonts w:eastAsia="標楷體"/>
          <w:sz w:val="28"/>
          <w:szCs w:val="28"/>
        </w:rPr>
        <w:t>（</w:t>
      </w:r>
      <w:r w:rsidR="00451765" w:rsidRPr="00D55DC6">
        <w:rPr>
          <w:rFonts w:eastAsia="標楷體" w:hint="eastAsia"/>
          <w:sz w:val="28"/>
          <w:szCs w:val="28"/>
        </w:rPr>
        <w:t>占</w:t>
      </w:r>
      <w:r w:rsidR="006A671F" w:rsidRPr="00D55DC6">
        <w:rPr>
          <w:rFonts w:eastAsia="標楷體"/>
          <w:sz w:val="28"/>
          <w:szCs w:val="28"/>
        </w:rPr>
        <w:t>40%</w:t>
      </w:r>
      <w:r w:rsidR="006A671F" w:rsidRPr="00D55DC6">
        <w:rPr>
          <w:rFonts w:eastAsia="標楷體"/>
          <w:sz w:val="28"/>
          <w:szCs w:val="28"/>
        </w:rPr>
        <w:t>）</w:t>
      </w:r>
      <w:r w:rsidRPr="00D55DC6">
        <w:rPr>
          <w:rFonts w:eastAsia="標楷體"/>
          <w:sz w:val="28"/>
          <w:szCs w:val="28"/>
        </w:rPr>
        <w:t>、日本</w:t>
      </w:r>
      <w:r w:rsidR="006A671F" w:rsidRPr="00D55DC6">
        <w:rPr>
          <w:rFonts w:eastAsia="標楷體"/>
          <w:sz w:val="28"/>
          <w:szCs w:val="28"/>
        </w:rPr>
        <w:t>（</w:t>
      </w:r>
      <w:r w:rsidR="00451765" w:rsidRPr="00D55DC6">
        <w:rPr>
          <w:rFonts w:eastAsia="標楷體" w:hint="eastAsia"/>
          <w:sz w:val="28"/>
          <w:szCs w:val="28"/>
        </w:rPr>
        <w:t>占</w:t>
      </w:r>
      <w:r w:rsidR="006A671F" w:rsidRPr="00D55DC6">
        <w:rPr>
          <w:rFonts w:eastAsia="標楷體"/>
          <w:sz w:val="28"/>
          <w:szCs w:val="28"/>
        </w:rPr>
        <w:t>17%</w:t>
      </w:r>
      <w:r w:rsidR="006A671F" w:rsidRPr="00D55DC6">
        <w:rPr>
          <w:rFonts w:eastAsia="標楷體"/>
          <w:sz w:val="28"/>
          <w:szCs w:val="28"/>
        </w:rPr>
        <w:t>）</w:t>
      </w:r>
      <w:r w:rsidRPr="00D55DC6">
        <w:rPr>
          <w:rFonts w:eastAsia="標楷體"/>
          <w:sz w:val="28"/>
          <w:szCs w:val="28"/>
        </w:rPr>
        <w:t>及港澳</w:t>
      </w:r>
      <w:r w:rsidR="00451765" w:rsidRPr="00D55DC6">
        <w:rPr>
          <w:rFonts w:eastAsia="標楷體"/>
          <w:sz w:val="28"/>
          <w:szCs w:val="28"/>
        </w:rPr>
        <w:t>（</w:t>
      </w:r>
      <w:r w:rsidR="00451765" w:rsidRPr="00D55DC6">
        <w:rPr>
          <w:rFonts w:eastAsia="標楷體" w:hint="eastAsia"/>
          <w:sz w:val="28"/>
          <w:szCs w:val="28"/>
        </w:rPr>
        <w:t>占</w:t>
      </w:r>
      <w:r w:rsidR="006A671F" w:rsidRPr="00D55DC6">
        <w:rPr>
          <w:rFonts w:eastAsia="標楷體"/>
          <w:sz w:val="28"/>
          <w:szCs w:val="28"/>
        </w:rPr>
        <w:t>14%</w:t>
      </w:r>
      <w:r w:rsidR="006A671F" w:rsidRPr="00D55DC6">
        <w:rPr>
          <w:rFonts w:eastAsia="標楷體"/>
          <w:sz w:val="28"/>
          <w:szCs w:val="28"/>
        </w:rPr>
        <w:t>）為前三大客源</w:t>
      </w:r>
      <w:r w:rsidRPr="00D55DC6">
        <w:rPr>
          <w:rFonts w:eastAsia="標楷體"/>
          <w:sz w:val="28"/>
          <w:szCs w:val="28"/>
        </w:rPr>
        <w:t>市場，而各目標市場皆均衡成長，以韓國成長</w:t>
      </w:r>
      <w:r w:rsidR="006A671F" w:rsidRPr="00D55DC6">
        <w:rPr>
          <w:rFonts w:eastAsia="標楷體"/>
          <w:sz w:val="28"/>
          <w:szCs w:val="28"/>
        </w:rPr>
        <w:t>5</w:t>
      </w:r>
      <w:r w:rsidR="000A4367" w:rsidRPr="00D55DC6">
        <w:rPr>
          <w:rFonts w:eastAsia="標楷體"/>
          <w:sz w:val="28"/>
          <w:szCs w:val="28"/>
        </w:rPr>
        <w:t>0</w:t>
      </w:r>
      <w:r w:rsidR="006A671F" w:rsidRPr="00D55DC6">
        <w:rPr>
          <w:rFonts w:eastAsia="標楷體"/>
          <w:sz w:val="28"/>
          <w:szCs w:val="28"/>
        </w:rPr>
        <w:t>%</w:t>
      </w:r>
      <w:r w:rsidRPr="00D55DC6">
        <w:rPr>
          <w:rFonts w:eastAsia="標楷體"/>
          <w:sz w:val="28"/>
          <w:szCs w:val="28"/>
        </w:rPr>
        <w:t>最高、中國大陸成長</w:t>
      </w:r>
      <w:r w:rsidRPr="00D55DC6">
        <w:rPr>
          <w:rFonts w:eastAsia="標楷體"/>
          <w:sz w:val="28"/>
          <w:szCs w:val="28"/>
        </w:rPr>
        <w:t>3</w:t>
      </w:r>
      <w:r w:rsidR="006A671F" w:rsidRPr="00D55DC6">
        <w:rPr>
          <w:rFonts w:eastAsia="標楷體"/>
          <w:sz w:val="28"/>
          <w:szCs w:val="28"/>
        </w:rPr>
        <w:t>8</w:t>
      </w:r>
      <w:r w:rsidRPr="00D55DC6">
        <w:rPr>
          <w:rFonts w:eastAsia="標楷體"/>
          <w:sz w:val="28"/>
          <w:szCs w:val="28"/>
        </w:rPr>
        <w:t>%</w:t>
      </w:r>
      <w:r w:rsidRPr="00D55DC6">
        <w:rPr>
          <w:rFonts w:eastAsia="標楷體"/>
          <w:sz w:val="28"/>
          <w:szCs w:val="28"/>
        </w:rPr>
        <w:t>次之，而長程線也有</w:t>
      </w:r>
      <w:r w:rsidRPr="00D55DC6">
        <w:rPr>
          <w:rFonts w:eastAsia="標楷體"/>
          <w:sz w:val="28"/>
          <w:szCs w:val="28"/>
        </w:rPr>
        <w:t>2</w:t>
      </w:r>
      <w:r w:rsidRPr="00D55DC6">
        <w:rPr>
          <w:rFonts w:eastAsia="標楷體"/>
          <w:sz w:val="28"/>
          <w:szCs w:val="28"/>
        </w:rPr>
        <w:t>位數成長的亮麗表現，包含</w:t>
      </w:r>
      <w:r w:rsidR="000A4367" w:rsidRPr="00D55DC6">
        <w:rPr>
          <w:rFonts w:eastAsia="標楷體"/>
          <w:sz w:val="28"/>
          <w:szCs w:val="28"/>
        </w:rPr>
        <w:t>紐澳市場成長</w:t>
      </w:r>
      <w:r w:rsidR="000A4367" w:rsidRPr="00D55DC6">
        <w:rPr>
          <w:rFonts w:eastAsia="標楷體"/>
          <w:sz w:val="28"/>
          <w:szCs w:val="28"/>
        </w:rPr>
        <w:t>19.73%</w:t>
      </w:r>
      <w:r w:rsidR="000A4367" w:rsidRPr="00D55DC6">
        <w:rPr>
          <w:rFonts w:eastAsia="標楷體"/>
          <w:sz w:val="28"/>
          <w:szCs w:val="28"/>
        </w:rPr>
        <w:t>、歐洲市場成長</w:t>
      </w:r>
      <w:r w:rsidR="000A4367" w:rsidRPr="00D55DC6">
        <w:rPr>
          <w:rFonts w:eastAsia="標楷體"/>
          <w:sz w:val="28"/>
          <w:szCs w:val="28"/>
        </w:rPr>
        <w:t>18.75%</w:t>
      </w:r>
      <w:r w:rsidR="000A4367" w:rsidRPr="00D55DC6">
        <w:rPr>
          <w:rFonts w:eastAsia="標楷體"/>
          <w:sz w:val="28"/>
          <w:szCs w:val="28"/>
        </w:rPr>
        <w:t>、美國市場成長</w:t>
      </w:r>
      <w:r w:rsidR="000A4367" w:rsidRPr="00D55DC6">
        <w:rPr>
          <w:rFonts w:eastAsia="標楷體"/>
          <w:sz w:val="28"/>
          <w:szCs w:val="28"/>
        </w:rPr>
        <w:t>10.78%</w:t>
      </w:r>
      <w:r w:rsidRPr="00D55DC6">
        <w:rPr>
          <w:rFonts w:eastAsia="標楷體"/>
          <w:sz w:val="28"/>
          <w:szCs w:val="28"/>
        </w:rPr>
        <w:t>。</w:t>
      </w:r>
      <w:r w:rsidR="006A671F" w:rsidRPr="00D55DC6">
        <w:rPr>
          <w:rFonts w:eastAsia="標楷體"/>
          <w:sz w:val="28"/>
          <w:szCs w:val="28"/>
        </w:rPr>
        <w:t>因此，面臨日益增加的來臺旅遊需求，</w:t>
      </w:r>
      <w:r w:rsidRPr="00D55DC6">
        <w:rPr>
          <w:rFonts w:eastAsia="標楷體"/>
          <w:sz w:val="28"/>
          <w:szCs w:val="28"/>
        </w:rPr>
        <w:t>未來</w:t>
      </w:r>
      <w:r w:rsidR="006A671F" w:rsidRPr="00D55DC6">
        <w:rPr>
          <w:rFonts w:eastAsia="標楷體"/>
          <w:sz w:val="28"/>
          <w:szCs w:val="28"/>
        </w:rPr>
        <w:t>更</w:t>
      </w:r>
      <w:r w:rsidRPr="00D55DC6">
        <w:rPr>
          <w:rFonts w:eastAsia="標楷體"/>
          <w:sz w:val="28"/>
          <w:szCs w:val="28"/>
        </w:rPr>
        <w:t>應積極提升</w:t>
      </w:r>
      <w:r w:rsidR="006A671F" w:rsidRPr="00D55DC6">
        <w:rPr>
          <w:rFonts w:eastAsia="標楷體"/>
          <w:sz w:val="28"/>
          <w:szCs w:val="28"/>
        </w:rPr>
        <w:t>國內</w:t>
      </w:r>
      <w:r w:rsidRPr="00D55DC6">
        <w:rPr>
          <w:rFonts w:eastAsia="標楷體"/>
          <w:sz w:val="28"/>
          <w:szCs w:val="28"/>
        </w:rPr>
        <w:t>重要觀光景點</w:t>
      </w:r>
      <w:r w:rsidR="006A671F" w:rsidRPr="00D55DC6">
        <w:rPr>
          <w:rFonts w:eastAsia="標楷體"/>
          <w:sz w:val="28"/>
          <w:szCs w:val="28"/>
        </w:rPr>
        <w:t>服務品質，朝向國際化發展，並重視多元的旅遊需求，提供多樣化、有特色的遊憩體驗。</w:t>
      </w:r>
    </w:p>
    <w:p w:rsidR="00514642" w:rsidRPr="00D55DC6" w:rsidRDefault="00514642" w:rsidP="0038165F">
      <w:pPr>
        <w:pStyle w:val="af2"/>
        <w:snapToGrid w:val="0"/>
        <w:spacing w:line="460" w:lineRule="exact"/>
        <w:ind w:leftChars="0" w:left="864"/>
        <w:jc w:val="both"/>
        <w:rPr>
          <w:rFonts w:eastAsia="標楷體"/>
          <w:sz w:val="28"/>
          <w:szCs w:val="28"/>
        </w:rPr>
      </w:pPr>
    </w:p>
    <w:p w:rsidR="00F5461E" w:rsidRPr="00D55DC6" w:rsidRDefault="00F5461E" w:rsidP="0038165F">
      <w:pPr>
        <w:pStyle w:val="af2"/>
        <w:numPr>
          <w:ilvl w:val="0"/>
          <w:numId w:val="2"/>
        </w:numPr>
        <w:snapToGrid w:val="0"/>
        <w:spacing w:line="460" w:lineRule="exact"/>
        <w:ind w:leftChars="0"/>
        <w:jc w:val="both"/>
        <w:rPr>
          <w:rFonts w:eastAsia="標楷體"/>
          <w:b/>
          <w:sz w:val="28"/>
          <w:szCs w:val="28"/>
        </w:rPr>
      </w:pPr>
      <w:r w:rsidRPr="00D55DC6">
        <w:rPr>
          <w:rFonts w:eastAsia="標楷體"/>
          <w:b/>
          <w:sz w:val="28"/>
          <w:szCs w:val="28"/>
        </w:rPr>
        <w:t>問題評析</w:t>
      </w:r>
    </w:p>
    <w:p w:rsidR="00633FC4" w:rsidRPr="00D55DC6" w:rsidRDefault="00633FC4" w:rsidP="0038165F">
      <w:pPr>
        <w:pStyle w:val="af2"/>
        <w:numPr>
          <w:ilvl w:val="0"/>
          <w:numId w:val="12"/>
        </w:numPr>
        <w:snapToGrid w:val="0"/>
        <w:spacing w:line="460" w:lineRule="exact"/>
        <w:ind w:leftChars="0" w:hanging="297"/>
        <w:jc w:val="both"/>
        <w:rPr>
          <w:rFonts w:eastAsia="標楷體"/>
          <w:b/>
          <w:sz w:val="28"/>
          <w:szCs w:val="28"/>
        </w:rPr>
      </w:pPr>
      <w:bookmarkStart w:id="4" w:name="_Toc245810220"/>
      <w:bookmarkStart w:id="5" w:name="_Toc200857855"/>
      <w:bookmarkStart w:id="6" w:name="_Toc195430480"/>
      <w:bookmarkStart w:id="7" w:name="_Toc192790776"/>
      <w:bookmarkStart w:id="8" w:name="_Toc185925786"/>
      <w:bookmarkStart w:id="9" w:name="_Toc185397846"/>
      <w:r w:rsidRPr="00D55DC6">
        <w:rPr>
          <w:rFonts w:eastAsia="標楷體"/>
          <w:b/>
          <w:sz w:val="28"/>
          <w:szCs w:val="28"/>
        </w:rPr>
        <w:t>觀光</w:t>
      </w:r>
      <w:r w:rsidR="00133D5D" w:rsidRPr="00D55DC6">
        <w:rPr>
          <w:rFonts w:eastAsia="標楷體"/>
          <w:b/>
          <w:sz w:val="28"/>
          <w:szCs w:val="28"/>
        </w:rPr>
        <w:t>遊憩</w:t>
      </w:r>
      <w:r w:rsidRPr="00D55DC6">
        <w:rPr>
          <w:rFonts w:eastAsia="標楷體"/>
          <w:b/>
          <w:sz w:val="28"/>
          <w:szCs w:val="28"/>
        </w:rPr>
        <w:t>需求</w:t>
      </w:r>
      <w:r w:rsidR="00133D5D" w:rsidRPr="00D55DC6">
        <w:rPr>
          <w:rFonts w:eastAsia="標楷體"/>
          <w:b/>
          <w:sz w:val="28"/>
          <w:szCs w:val="28"/>
        </w:rPr>
        <w:t>日益</w:t>
      </w:r>
      <w:r w:rsidRPr="00D55DC6">
        <w:rPr>
          <w:rFonts w:eastAsia="標楷體"/>
          <w:b/>
          <w:sz w:val="28"/>
          <w:szCs w:val="28"/>
        </w:rPr>
        <w:t>增加，</w:t>
      </w:r>
      <w:r w:rsidR="003E0B7B" w:rsidRPr="00D55DC6">
        <w:rPr>
          <w:rFonts w:eastAsia="標楷體"/>
          <w:b/>
          <w:sz w:val="28"/>
          <w:szCs w:val="28"/>
        </w:rPr>
        <w:t>觀光建設需與時俱進</w:t>
      </w:r>
      <w:r w:rsidRPr="00D55DC6">
        <w:rPr>
          <w:rFonts w:eastAsia="標楷體"/>
          <w:b/>
          <w:sz w:val="28"/>
          <w:szCs w:val="28"/>
        </w:rPr>
        <w:t>：</w:t>
      </w:r>
    </w:p>
    <w:p w:rsidR="00133D5D" w:rsidRPr="00D55DC6" w:rsidRDefault="00385F77" w:rsidP="0038165F">
      <w:pPr>
        <w:snapToGrid w:val="0"/>
        <w:spacing w:line="460" w:lineRule="exact"/>
        <w:ind w:leftChars="400" w:left="960" w:firstLineChars="235" w:firstLine="658"/>
        <w:jc w:val="both"/>
        <w:rPr>
          <w:rFonts w:eastAsia="標楷體"/>
          <w:bCs/>
          <w:iCs/>
          <w:sz w:val="28"/>
          <w:szCs w:val="28"/>
        </w:rPr>
      </w:pPr>
      <w:r w:rsidRPr="00D55DC6">
        <w:rPr>
          <w:rFonts w:eastAsia="標楷體"/>
          <w:bCs/>
          <w:iCs/>
          <w:sz w:val="28"/>
          <w:szCs w:val="28"/>
        </w:rPr>
        <w:t>國內</w:t>
      </w:r>
      <w:r w:rsidR="00E31581" w:rsidRPr="00D55DC6">
        <w:rPr>
          <w:rFonts w:eastAsia="標楷體"/>
          <w:bCs/>
          <w:iCs/>
          <w:sz w:val="28"/>
          <w:szCs w:val="28"/>
        </w:rPr>
        <w:t>13</w:t>
      </w:r>
      <w:r w:rsidR="00E31581" w:rsidRPr="00D55DC6">
        <w:rPr>
          <w:rFonts w:eastAsia="標楷體"/>
          <w:bCs/>
          <w:iCs/>
          <w:sz w:val="28"/>
          <w:szCs w:val="28"/>
        </w:rPr>
        <w:t>處</w:t>
      </w:r>
      <w:r w:rsidR="00133D5D" w:rsidRPr="00D55DC6">
        <w:rPr>
          <w:rFonts w:eastAsia="標楷體"/>
          <w:bCs/>
          <w:iCs/>
          <w:sz w:val="28"/>
          <w:szCs w:val="28"/>
        </w:rPr>
        <w:t>國家風景區</w:t>
      </w:r>
      <w:r w:rsidR="00E31581" w:rsidRPr="00D55DC6">
        <w:rPr>
          <w:rFonts w:eastAsia="標楷體"/>
          <w:bCs/>
          <w:iCs/>
          <w:sz w:val="28"/>
          <w:szCs w:val="28"/>
        </w:rPr>
        <w:t>整體</w:t>
      </w:r>
      <w:r w:rsidR="00133D5D" w:rsidRPr="00D55DC6">
        <w:rPr>
          <w:rFonts w:eastAsia="標楷體"/>
          <w:bCs/>
          <w:iCs/>
          <w:sz w:val="28"/>
          <w:szCs w:val="28"/>
        </w:rPr>
        <w:t>遊客量</w:t>
      </w:r>
      <w:r w:rsidRPr="00D55DC6">
        <w:rPr>
          <w:rFonts w:eastAsia="標楷體"/>
          <w:bCs/>
          <w:iCs/>
          <w:sz w:val="28"/>
          <w:szCs w:val="28"/>
        </w:rPr>
        <w:t>呈現大幅成長的趨勢</w:t>
      </w:r>
      <w:r w:rsidR="00133D5D" w:rsidRPr="00D55DC6">
        <w:rPr>
          <w:rFonts w:eastAsia="標楷體"/>
          <w:bCs/>
          <w:iCs/>
          <w:sz w:val="28"/>
          <w:szCs w:val="28"/>
        </w:rPr>
        <w:t>，</w:t>
      </w:r>
      <w:r w:rsidR="00E31581" w:rsidRPr="00D55DC6">
        <w:rPr>
          <w:rFonts w:eastAsia="標楷體"/>
          <w:bCs/>
          <w:iCs/>
          <w:sz w:val="28"/>
          <w:szCs w:val="28"/>
        </w:rPr>
        <w:t>從</w:t>
      </w:r>
      <w:r w:rsidR="00E31581" w:rsidRPr="00D55DC6">
        <w:rPr>
          <w:rFonts w:eastAsia="標楷體"/>
          <w:bCs/>
          <w:iCs/>
          <w:sz w:val="28"/>
          <w:szCs w:val="28"/>
        </w:rPr>
        <w:t>97</w:t>
      </w:r>
      <w:r w:rsidR="00E31581" w:rsidRPr="00D55DC6">
        <w:rPr>
          <w:rFonts w:eastAsia="標楷體"/>
          <w:bCs/>
          <w:iCs/>
          <w:sz w:val="28"/>
          <w:szCs w:val="28"/>
        </w:rPr>
        <w:t>年</w:t>
      </w:r>
      <w:r w:rsidR="00E31581" w:rsidRPr="00D55DC6">
        <w:rPr>
          <w:rFonts w:eastAsia="標楷體"/>
          <w:bCs/>
          <w:iCs/>
          <w:sz w:val="28"/>
          <w:szCs w:val="28"/>
        </w:rPr>
        <w:t>2,886</w:t>
      </w:r>
      <w:r w:rsidR="00E31581" w:rsidRPr="00D55DC6">
        <w:rPr>
          <w:rFonts w:eastAsia="標楷體"/>
          <w:bCs/>
          <w:iCs/>
          <w:sz w:val="28"/>
          <w:szCs w:val="28"/>
        </w:rPr>
        <w:t>萬人次提高至</w:t>
      </w:r>
      <w:r w:rsidR="00E31581" w:rsidRPr="00D55DC6">
        <w:rPr>
          <w:rFonts w:eastAsia="標楷體"/>
          <w:bCs/>
          <w:iCs/>
          <w:sz w:val="28"/>
          <w:szCs w:val="28"/>
        </w:rPr>
        <w:t>102</w:t>
      </w:r>
      <w:r w:rsidR="00E31581" w:rsidRPr="00D55DC6">
        <w:rPr>
          <w:rFonts w:eastAsia="標楷體"/>
          <w:bCs/>
          <w:iCs/>
          <w:sz w:val="28"/>
          <w:szCs w:val="28"/>
        </w:rPr>
        <w:t>年</w:t>
      </w:r>
      <w:r w:rsidR="00E31581" w:rsidRPr="00D55DC6">
        <w:rPr>
          <w:rFonts w:eastAsia="標楷體"/>
          <w:bCs/>
          <w:iCs/>
          <w:sz w:val="28"/>
          <w:szCs w:val="28"/>
        </w:rPr>
        <w:t>3,89</w:t>
      </w:r>
      <w:r w:rsidR="00474C2C" w:rsidRPr="00D55DC6">
        <w:rPr>
          <w:rFonts w:eastAsia="標楷體"/>
          <w:bCs/>
          <w:iCs/>
          <w:sz w:val="28"/>
          <w:szCs w:val="28"/>
        </w:rPr>
        <w:t>1</w:t>
      </w:r>
      <w:r w:rsidR="00E31581" w:rsidRPr="00D55DC6">
        <w:rPr>
          <w:rFonts w:eastAsia="標楷體"/>
          <w:bCs/>
          <w:iCs/>
          <w:sz w:val="28"/>
          <w:szCs w:val="28"/>
        </w:rPr>
        <w:t>萬人次，成長</w:t>
      </w:r>
      <w:r w:rsidR="00E31581" w:rsidRPr="00D55DC6">
        <w:rPr>
          <w:rFonts w:eastAsia="標楷體"/>
          <w:bCs/>
          <w:iCs/>
          <w:sz w:val="28"/>
          <w:szCs w:val="28"/>
        </w:rPr>
        <w:t>35</w:t>
      </w:r>
      <w:r w:rsidR="00E31581" w:rsidRPr="00D55DC6">
        <w:rPr>
          <w:rFonts w:eastAsia="標楷體"/>
          <w:bCs/>
          <w:iCs/>
          <w:sz w:val="28"/>
          <w:szCs w:val="28"/>
        </w:rPr>
        <w:t>％，預估</w:t>
      </w:r>
      <w:r w:rsidR="00E31581" w:rsidRPr="00D55DC6">
        <w:rPr>
          <w:rFonts w:eastAsia="標楷體"/>
          <w:bCs/>
          <w:iCs/>
          <w:sz w:val="28"/>
          <w:szCs w:val="28"/>
        </w:rPr>
        <w:t>103</w:t>
      </w:r>
      <w:r w:rsidR="00E31581" w:rsidRPr="00D55DC6">
        <w:rPr>
          <w:rFonts w:eastAsia="標楷體"/>
          <w:bCs/>
          <w:iCs/>
          <w:sz w:val="28"/>
          <w:szCs w:val="28"/>
        </w:rPr>
        <w:t>年將突破</w:t>
      </w:r>
      <w:r w:rsidR="00E31581" w:rsidRPr="00D55DC6">
        <w:rPr>
          <w:rFonts w:eastAsia="標楷體"/>
          <w:bCs/>
          <w:iCs/>
          <w:sz w:val="28"/>
          <w:szCs w:val="28"/>
        </w:rPr>
        <w:t>4,000</w:t>
      </w:r>
      <w:r w:rsidR="00E31581" w:rsidRPr="00D55DC6">
        <w:rPr>
          <w:rFonts w:eastAsia="標楷體"/>
          <w:bCs/>
          <w:iCs/>
          <w:sz w:val="28"/>
          <w:szCs w:val="28"/>
        </w:rPr>
        <w:t>萬人次，其中，國際旅客</w:t>
      </w:r>
      <w:r w:rsidRPr="00D55DC6">
        <w:rPr>
          <w:rFonts w:eastAsia="標楷體"/>
          <w:bCs/>
          <w:iCs/>
          <w:sz w:val="28"/>
          <w:szCs w:val="28"/>
        </w:rPr>
        <w:t>也從</w:t>
      </w:r>
      <w:r w:rsidRPr="00D55DC6">
        <w:rPr>
          <w:rFonts w:eastAsia="標楷體"/>
          <w:bCs/>
          <w:iCs/>
          <w:sz w:val="28"/>
          <w:szCs w:val="28"/>
        </w:rPr>
        <w:t>97</w:t>
      </w:r>
      <w:r w:rsidRPr="00D55DC6">
        <w:rPr>
          <w:rFonts w:eastAsia="標楷體"/>
          <w:bCs/>
          <w:iCs/>
          <w:sz w:val="28"/>
          <w:szCs w:val="28"/>
        </w:rPr>
        <w:t>年</w:t>
      </w:r>
      <w:r w:rsidRPr="00D55DC6">
        <w:rPr>
          <w:rFonts w:eastAsia="標楷體"/>
          <w:bCs/>
          <w:iCs/>
          <w:sz w:val="28"/>
          <w:szCs w:val="28"/>
        </w:rPr>
        <w:t>110</w:t>
      </w:r>
      <w:r w:rsidRPr="00D55DC6">
        <w:rPr>
          <w:rFonts w:eastAsia="標楷體"/>
          <w:bCs/>
          <w:iCs/>
          <w:sz w:val="28"/>
          <w:szCs w:val="28"/>
        </w:rPr>
        <w:t>萬人次提升至</w:t>
      </w:r>
      <w:r w:rsidRPr="00D55DC6">
        <w:rPr>
          <w:rFonts w:eastAsia="標楷體"/>
          <w:bCs/>
          <w:iCs/>
          <w:sz w:val="28"/>
          <w:szCs w:val="28"/>
        </w:rPr>
        <w:t>102</w:t>
      </w:r>
      <w:r w:rsidRPr="00D55DC6">
        <w:rPr>
          <w:rFonts w:eastAsia="標楷體"/>
          <w:bCs/>
          <w:iCs/>
          <w:sz w:val="28"/>
          <w:szCs w:val="28"/>
        </w:rPr>
        <w:t>年</w:t>
      </w:r>
      <w:r w:rsidRPr="00D55DC6">
        <w:rPr>
          <w:rFonts w:eastAsia="標楷體"/>
          <w:bCs/>
          <w:iCs/>
          <w:sz w:val="28"/>
          <w:szCs w:val="28"/>
        </w:rPr>
        <w:t>737</w:t>
      </w:r>
      <w:r w:rsidRPr="00D55DC6">
        <w:rPr>
          <w:rFonts w:eastAsia="標楷體"/>
          <w:bCs/>
          <w:iCs/>
          <w:sz w:val="28"/>
          <w:szCs w:val="28"/>
        </w:rPr>
        <w:t>萬人次，成長</w:t>
      </w:r>
      <w:r w:rsidRPr="00D55DC6">
        <w:rPr>
          <w:rFonts w:eastAsia="標楷體"/>
          <w:bCs/>
          <w:iCs/>
          <w:sz w:val="28"/>
          <w:szCs w:val="28"/>
        </w:rPr>
        <w:t>6.7</w:t>
      </w:r>
      <w:r w:rsidRPr="00D55DC6">
        <w:rPr>
          <w:rFonts w:eastAsia="標楷體"/>
          <w:bCs/>
          <w:iCs/>
          <w:sz w:val="28"/>
          <w:szCs w:val="28"/>
        </w:rPr>
        <w:t>倍，國際旅客的佔</w:t>
      </w:r>
      <w:r w:rsidR="00E31581" w:rsidRPr="00D55DC6">
        <w:rPr>
          <w:rFonts w:eastAsia="標楷體"/>
          <w:bCs/>
          <w:iCs/>
          <w:sz w:val="28"/>
          <w:szCs w:val="28"/>
        </w:rPr>
        <w:t>比亦從</w:t>
      </w:r>
      <w:r w:rsidR="00E31581" w:rsidRPr="00D55DC6">
        <w:rPr>
          <w:rFonts w:eastAsia="標楷體"/>
          <w:bCs/>
          <w:iCs/>
          <w:sz w:val="28"/>
          <w:szCs w:val="28"/>
        </w:rPr>
        <w:t>97</w:t>
      </w:r>
      <w:r w:rsidR="00E31581" w:rsidRPr="00D55DC6">
        <w:rPr>
          <w:rFonts w:eastAsia="標楷體"/>
          <w:bCs/>
          <w:iCs/>
          <w:sz w:val="28"/>
          <w:szCs w:val="28"/>
        </w:rPr>
        <w:t>年</w:t>
      </w:r>
      <w:r w:rsidR="00E31581" w:rsidRPr="00D55DC6">
        <w:rPr>
          <w:rFonts w:eastAsia="標楷體"/>
          <w:bCs/>
          <w:iCs/>
          <w:sz w:val="28"/>
          <w:szCs w:val="28"/>
        </w:rPr>
        <w:t>4%</w:t>
      </w:r>
      <w:r w:rsidRPr="00D55DC6">
        <w:rPr>
          <w:rFonts w:eastAsia="標楷體"/>
          <w:bCs/>
          <w:iCs/>
          <w:sz w:val="28"/>
          <w:szCs w:val="28"/>
        </w:rPr>
        <w:t>大幅</w:t>
      </w:r>
      <w:r w:rsidR="00E31581" w:rsidRPr="00D55DC6">
        <w:rPr>
          <w:rFonts w:eastAsia="標楷體"/>
          <w:bCs/>
          <w:iCs/>
          <w:sz w:val="28"/>
          <w:szCs w:val="28"/>
        </w:rPr>
        <w:t>提升至</w:t>
      </w:r>
      <w:r w:rsidR="00E31581" w:rsidRPr="00D55DC6">
        <w:rPr>
          <w:rFonts w:eastAsia="標楷體"/>
          <w:bCs/>
          <w:iCs/>
          <w:sz w:val="28"/>
          <w:szCs w:val="28"/>
        </w:rPr>
        <w:t>102</w:t>
      </w:r>
      <w:r w:rsidR="00E31581" w:rsidRPr="00D55DC6">
        <w:rPr>
          <w:rFonts w:eastAsia="標楷體"/>
          <w:bCs/>
          <w:iCs/>
          <w:sz w:val="28"/>
          <w:szCs w:val="28"/>
        </w:rPr>
        <w:t>年</w:t>
      </w:r>
      <w:r w:rsidR="00E31581" w:rsidRPr="00D55DC6">
        <w:rPr>
          <w:rFonts w:eastAsia="標楷體"/>
          <w:bCs/>
          <w:iCs/>
          <w:sz w:val="28"/>
          <w:szCs w:val="28"/>
        </w:rPr>
        <w:t>18</w:t>
      </w:r>
      <w:r w:rsidRPr="00D55DC6">
        <w:rPr>
          <w:rFonts w:eastAsia="標楷體"/>
          <w:bCs/>
          <w:iCs/>
          <w:sz w:val="28"/>
          <w:szCs w:val="28"/>
        </w:rPr>
        <w:t>%</w:t>
      </w:r>
      <w:r w:rsidRPr="00D55DC6">
        <w:rPr>
          <w:rFonts w:eastAsia="標楷體"/>
          <w:bCs/>
          <w:iCs/>
          <w:sz w:val="28"/>
          <w:szCs w:val="28"/>
        </w:rPr>
        <w:t>。顯見，臺灣即將於</w:t>
      </w:r>
      <w:r w:rsidRPr="00D55DC6">
        <w:rPr>
          <w:rFonts w:eastAsia="標楷體"/>
          <w:bCs/>
          <w:iCs/>
          <w:sz w:val="28"/>
          <w:szCs w:val="28"/>
        </w:rPr>
        <w:t>104</w:t>
      </w:r>
      <w:r w:rsidRPr="00D55DC6">
        <w:rPr>
          <w:rFonts w:eastAsia="標楷體"/>
          <w:bCs/>
          <w:iCs/>
          <w:sz w:val="28"/>
          <w:szCs w:val="28"/>
        </w:rPr>
        <w:t>年邁向千萬觀光大國之際，國內觀光遊憩需求將快速成長，</w:t>
      </w:r>
      <w:r w:rsidR="003E0B7B" w:rsidRPr="00D55DC6">
        <w:rPr>
          <w:rFonts w:eastAsia="標楷體"/>
          <w:bCs/>
          <w:iCs/>
          <w:sz w:val="28"/>
          <w:szCs w:val="28"/>
        </w:rPr>
        <w:t>觀光遊憩需求將更趨多元，因此，既有觀光</w:t>
      </w:r>
      <w:r w:rsidRPr="00D55DC6">
        <w:rPr>
          <w:rFonts w:eastAsia="標楷體"/>
          <w:bCs/>
          <w:iCs/>
          <w:sz w:val="28"/>
          <w:szCs w:val="28"/>
        </w:rPr>
        <w:t>景點</w:t>
      </w:r>
      <w:r w:rsidR="003E0B7B" w:rsidRPr="00D55DC6">
        <w:rPr>
          <w:rFonts w:eastAsia="標楷體"/>
          <w:bCs/>
          <w:iCs/>
          <w:sz w:val="28"/>
          <w:szCs w:val="28"/>
        </w:rPr>
        <w:t>服務</w:t>
      </w:r>
      <w:r w:rsidRPr="00D55DC6">
        <w:rPr>
          <w:rFonts w:eastAsia="標楷體"/>
          <w:bCs/>
          <w:iCs/>
          <w:sz w:val="28"/>
          <w:szCs w:val="28"/>
        </w:rPr>
        <w:t>設施</w:t>
      </w:r>
      <w:r w:rsidR="003E0B7B" w:rsidRPr="00D55DC6">
        <w:rPr>
          <w:rFonts w:eastAsia="標楷體"/>
          <w:bCs/>
          <w:iCs/>
          <w:sz w:val="28"/>
          <w:szCs w:val="28"/>
        </w:rPr>
        <w:t>需與時俱進，持續投入觀光景點建設，以塑造旅遊亮點，提升遊憩品質，提供多元遊憩體驗。</w:t>
      </w:r>
    </w:p>
    <w:p w:rsidR="00133D5D" w:rsidRPr="00D55DC6" w:rsidRDefault="00385F77" w:rsidP="0038165F">
      <w:pPr>
        <w:pStyle w:val="af2"/>
        <w:numPr>
          <w:ilvl w:val="0"/>
          <w:numId w:val="12"/>
        </w:numPr>
        <w:snapToGrid w:val="0"/>
        <w:spacing w:line="460" w:lineRule="exact"/>
        <w:ind w:leftChars="0" w:hanging="297"/>
        <w:jc w:val="both"/>
        <w:rPr>
          <w:rFonts w:eastAsia="標楷體"/>
          <w:b/>
          <w:sz w:val="28"/>
          <w:szCs w:val="28"/>
        </w:rPr>
      </w:pPr>
      <w:bookmarkStart w:id="10" w:name="_Toc245810212"/>
      <w:bookmarkStart w:id="11" w:name="_Toc200857847"/>
      <w:bookmarkStart w:id="12" w:name="_Toc195430472"/>
      <w:bookmarkStart w:id="13" w:name="_Toc192790767"/>
      <w:bookmarkStart w:id="14" w:name="_Toc185925777"/>
      <w:bookmarkStart w:id="15" w:name="_Toc185397837"/>
      <w:r w:rsidRPr="00D55DC6">
        <w:rPr>
          <w:rFonts w:eastAsia="標楷體"/>
          <w:b/>
          <w:sz w:val="28"/>
          <w:szCs w:val="28"/>
        </w:rPr>
        <w:t>觀光景點</w:t>
      </w:r>
      <w:r w:rsidR="003E0B7B" w:rsidRPr="00D55DC6">
        <w:rPr>
          <w:rFonts w:eastAsia="標楷體"/>
          <w:b/>
          <w:sz w:val="28"/>
          <w:szCs w:val="28"/>
        </w:rPr>
        <w:t>分級策略見效</w:t>
      </w:r>
      <w:r w:rsidR="00133D5D" w:rsidRPr="00D55DC6">
        <w:rPr>
          <w:rFonts w:eastAsia="標楷體"/>
          <w:b/>
          <w:sz w:val="28"/>
          <w:szCs w:val="28"/>
        </w:rPr>
        <w:t>，</w:t>
      </w:r>
      <w:r w:rsidR="003E0B7B" w:rsidRPr="00D55DC6">
        <w:rPr>
          <w:rFonts w:eastAsia="標楷體"/>
          <w:b/>
          <w:sz w:val="28"/>
          <w:szCs w:val="28"/>
        </w:rPr>
        <w:t>分級方式宜</w:t>
      </w:r>
      <w:r w:rsidR="00133D5D" w:rsidRPr="00D55DC6">
        <w:rPr>
          <w:rFonts w:eastAsia="標楷體"/>
          <w:b/>
          <w:sz w:val="28"/>
          <w:szCs w:val="28"/>
        </w:rPr>
        <w:t>適時調整：</w:t>
      </w:r>
      <w:bookmarkEnd w:id="10"/>
      <w:bookmarkEnd w:id="11"/>
      <w:bookmarkEnd w:id="12"/>
      <w:bookmarkEnd w:id="13"/>
      <w:bookmarkEnd w:id="14"/>
      <w:bookmarkEnd w:id="15"/>
    </w:p>
    <w:p w:rsidR="00AC0FC8" w:rsidRPr="00D55DC6" w:rsidRDefault="00133D5D" w:rsidP="00AC0FC8">
      <w:pPr>
        <w:snapToGrid w:val="0"/>
        <w:spacing w:line="460" w:lineRule="exact"/>
        <w:ind w:leftChars="400" w:left="960" w:firstLineChars="235" w:firstLine="658"/>
        <w:jc w:val="both"/>
        <w:rPr>
          <w:rFonts w:eastAsia="標楷體"/>
          <w:bCs/>
          <w:iCs/>
          <w:sz w:val="28"/>
          <w:szCs w:val="28"/>
        </w:rPr>
      </w:pPr>
      <w:r w:rsidRPr="00D55DC6">
        <w:rPr>
          <w:rFonts w:eastAsia="標楷體"/>
          <w:bCs/>
          <w:iCs/>
          <w:sz w:val="28"/>
          <w:szCs w:val="28"/>
        </w:rPr>
        <w:t>「重要觀光景點建設中程計畫」自</w:t>
      </w:r>
      <w:r w:rsidRPr="00D55DC6">
        <w:rPr>
          <w:rFonts w:eastAsia="標楷體"/>
          <w:bCs/>
          <w:iCs/>
          <w:sz w:val="28"/>
          <w:szCs w:val="28"/>
        </w:rPr>
        <w:t>97</w:t>
      </w:r>
      <w:r w:rsidRPr="00D55DC6">
        <w:rPr>
          <w:rFonts w:eastAsia="標楷體"/>
          <w:bCs/>
          <w:iCs/>
          <w:sz w:val="28"/>
          <w:szCs w:val="28"/>
        </w:rPr>
        <w:t>年推動至今，採用「集中資源、景點分級」之概念，將觀光景點分為國際、國內、地方等三級，已循序完善重要觀光景點服務設施，並將具國際潛力之國內觀光重要景點逐步提升為國際觀光重要景點，對於提升重要觀光景點旅遊品質、滿足分眾客群遊憩需求及維護旅遊安全等目標，奠下良好發展基礎。為蓄積千萬觀光大國之接待能量，需持</w:t>
      </w:r>
      <w:r w:rsidRPr="00D55DC6">
        <w:rPr>
          <w:rFonts w:eastAsia="標楷體"/>
          <w:bCs/>
          <w:iCs/>
          <w:sz w:val="28"/>
          <w:szCs w:val="28"/>
        </w:rPr>
        <w:lastRenderedPageBreak/>
        <w:t>續推動觀光建設</w:t>
      </w:r>
      <w:bookmarkStart w:id="16" w:name="_Toc200857850"/>
      <w:bookmarkStart w:id="17" w:name="_Toc195430475"/>
      <w:bookmarkStart w:id="18" w:name="_Toc192790770"/>
      <w:bookmarkStart w:id="19" w:name="_Toc185925780"/>
      <w:bookmarkStart w:id="20" w:name="_Toc185397840"/>
      <w:r w:rsidRPr="00D55DC6">
        <w:rPr>
          <w:rFonts w:eastAsia="標楷體"/>
          <w:bCs/>
          <w:iCs/>
          <w:sz w:val="28"/>
          <w:szCs w:val="28"/>
        </w:rPr>
        <w:t>，並考量國家風景區的實質發展定位，以及日益增加的來臺旅客需求，本計畫將調整景點分級方式，由原有國際、國內、地方三級，改為國際、國內二級</w:t>
      </w:r>
      <w:r w:rsidR="00AC0FC8" w:rsidRPr="00D55DC6">
        <w:rPr>
          <w:rFonts w:eastAsia="標楷體" w:hint="eastAsia"/>
          <w:bCs/>
          <w:iCs/>
          <w:sz w:val="28"/>
          <w:szCs w:val="28"/>
        </w:rPr>
        <w:t>，並</w:t>
      </w:r>
      <w:r w:rsidR="00AC0FC8" w:rsidRPr="00D55DC6">
        <w:rPr>
          <w:rFonts w:eastAsia="標楷體"/>
          <w:sz w:val="28"/>
          <w:szCs w:val="28"/>
        </w:rPr>
        <w:t>積極整合零星景點為遊憩區型態景點，</w:t>
      </w:r>
      <w:r w:rsidR="00AC0FC8" w:rsidRPr="00D55DC6">
        <w:rPr>
          <w:rFonts w:eastAsia="標楷體" w:hint="eastAsia"/>
          <w:sz w:val="28"/>
          <w:szCs w:val="28"/>
        </w:rPr>
        <w:t>將</w:t>
      </w:r>
      <w:r w:rsidR="00AC0FC8" w:rsidRPr="00D55DC6">
        <w:rPr>
          <w:rFonts w:eastAsia="標楷體"/>
          <w:sz w:val="28"/>
          <w:szCs w:val="28"/>
        </w:rPr>
        <w:t>具國際潛力之國內景點轉型成國際景點</w:t>
      </w:r>
      <w:r w:rsidR="00AC0FC8" w:rsidRPr="00D55DC6">
        <w:rPr>
          <w:rFonts w:eastAsia="標楷體" w:hint="eastAsia"/>
          <w:sz w:val="28"/>
          <w:szCs w:val="28"/>
        </w:rPr>
        <w:t>。</w:t>
      </w:r>
    </w:p>
    <w:bookmarkEnd w:id="16"/>
    <w:bookmarkEnd w:id="17"/>
    <w:bookmarkEnd w:id="18"/>
    <w:bookmarkEnd w:id="19"/>
    <w:bookmarkEnd w:id="20"/>
    <w:p w:rsidR="00633FC4" w:rsidRPr="00D55DC6" w:rsidRDefault="00633FC4" w:rsidP="0038165F">
      <w:pPr>
        <w:pStyle w:val="af2"/>
        <w:numPr>
          <w:ilvl w:val="0"/>
          <w:numId w:val="12"/>
        </w:numPr>
        <w:snapToGrid w:val="0"/>
        <w:spacing w:line="460" w:lineRule="exact"/>
        <w:ind w:leftChars="0" w:hanging="297"/>
        <w:jc w:val="both"/>
        <w:rPr>
          <w:rFonts w:eastAsia="標楷體"/>
          <w:b/>
          <w:sz w:val="28"/>
          <w:szCs w:val="28"/>
        </w:rPr>
      </w:pPr>
      <w:r w:rsidRPr="00D55DC6">
        <w:rPr>
          <w:rFonts w:eastAsia="標楷體"/>
          <w:b/>
          <w:sz w:val="28"/>
          <w:szCs w:val="28"/>
        </w:rPr>
        <w:t>觀光景點遊客過度集中，</w:t>
      </w:r>
      <w:r w:rsidR="00986AA3" w:rsidRPr="00D55DC6">
        <w:rPr>
          <w:rFonts w:eastAsia="標楷體"/>
          <w:b/>
          <w:sz w:val="28"/>
          <w:szCs w:val="28"/>
        </w:rPr>
        <w:t>環境承載已</w:t>
      </w:r>
      <w:r w:rsidR="003E0B7B" w:rsidRPr="00D55DC6">
        <w:rPr>
          <w:rFonts w:eastAsia="標楷體"/>
          <w:b/>
          <w:sz w:val="28"/>
          <w:szCs w:val="28"/>
        </w:rPr>
        <w:t>負擔</w:t>
      </w:r>
      <w:r w:rsidR="00986AA3" w:rsidRPr="00D55DC6">
        <w:rPr>
          <w:rFonts w:eastAsia="標楷體"/>
          <w:b/>
          <w:sz w:val="28"/>
          <w:szCs w:val="28"/>
        </w:rPr>
        <w:t>過重</w:t>
      </w:r>
      <w:r w:rsidRPr="00D55DC6">
        <w:rPr>
          <w:rFonts w:eastAsia="標楷體"/>
          <w:b/>
          <w:sz w:val="28"/>
          <w:szCs w:val="28"/>
        </w:rPr>
        <w:t>：</w:t>
      </w:r>
    </w:p>
    <w:p w:rsidR="00633FC4" w:rsidRPr="00D55DC6" w:rsidRDefault="00633FC4" w:rsidP="0038165F">
      <w:pPr>
        <w:snapToGrid w:val="0"/>
        <w:spacing w:line="460" w:lineRule="exact"/>
        <w:ind w:leftChars="400" w:left="960" w:firstLineChars="235" w:firstLine="658"/>
        <w:jc w:val="both"/>
        <w:rPr>
          <w:rFonts w:eastAsia="標楷體"/>
          <w:bCs/>
          <w:iCs/>
          <w:sz w:val="28"/>
          <w:szCs w:val="28"/>
        </w:rPr>
      </w:pPr>
      <w:r w:rsidRPr="00D55DC6">
        <w:rPr>
          <w:rFonts w:eastAsia="標楷體"/>
          <w:bCs/>
          <w:iCs/>
          <w:sz w:val="28"/>
          <w:szCs w:val="28"/>
        </w:rPr>
        <w:t>目前遊客仍過度集中於特定假日及熱門景點，常造成遊憩環境承載壓力日增，尤其開放大陸地區人民來臺觀光以來，部分熱門景點如野柳地質公園、日月潭環潭核心區、阿里山森林遊樂區及奮起湖等旅客流量暴增，衝擊遊憩品質。因此，本計畫除將延續前期景點建設成果，合理建構核心景點服務接待能量外，更將積極規劃</w:t>
      </w:r>
      <w:r w:rsidR="000D22B3" w:rsidRPr="00D55DC6">
        <w:rPr>
          <w:rFonts w:eastAsia="標楷體"/>
          <w:bCs/>
          <w:iCs/>
          <w:sz w:val="28"/>
          <w:szCs w:val="28"/>
        </w:rPr>
        <w:t>拓展</w:t>
      </w:r>
      <w:r w:rsidRPr="00D55DC6">
        <w:rPr>
          <w:rFonts w:eastAsia="標楷體"/>
          <w:bCs/>
          <w:iCs/>
          <w:sz w:val="28"/>
          <w:szCs w:val="28"/>
        </w:rPr>
        <w:t>周邊副核心景點及</w:t>
      </w:r>
      <w:r w:rsidR="000D22B3" w:rsidRPr="00D55DC6">
        <w:rPr>
          <w:rFonts w:eastAsia="標楷體"/>
          <w:bCs/>
          <w:iCs/>
          <w:sz w:val="28"/>
          <w:szCs w:val="28"/>
        </w:rPr>
        <w:t>串聯成</w:t>
      </w:r>
      <w:r w:rsidRPr="00D55DC6">
        <w:rPr>
          <w:rFonts w:eastAsia="標楷體"/>
          <w:bCs/>
          <w:iCs/>
          <w:sz w:val="28"/>
          <w:szCs w:val="28"/>
        </w:rPr>
        <w:t>遊程，以發揮蛋黃集客、蛋白分流之效益，另透過合宜之總量管制及分流等措施，控制遊憩區之最佳賞遊品質。</w:t>
      </w:r>
    </w:p>
    <w:p w:rsidR="00633FC4" w:rsidRPr="00D55DC6" w:rsidRDefault="00633FC4" w:rsidP="0038165F">
      <w:pPr>
        <w:pStyle w:val="af2"/>
        <w:numPr>
          <w:ilvl w:val="0"/>
          <w:numId w:val="12"/>
        </w:numPr>
        <w:snapToGrid w:val="0"/>
        <w:spacing w:line="460" w:lineRule="exact"/>
        <w:ind w:leftChars="0" w:hanging="297"/>
        <w:jc w:val="both"/>
        <w:rPr>
          <w:rFonts w:eastAsia="標楷體"/>
          <w:b/>
          <w:sz w:val="28"/>
          <w:szCs w:val="28"/>
        </w:rPr>
      </w:pPr>
      <w:r w:rsidRPr="00D55DC6">
        <w:rPr>
          <w:rFonts w:eastAsia="標楷體"/>
          <w:b/>
          <w:sz w:val="28"/>
          <w:szCs w:val="28"/>
        </w:rPr>
        <w:t>觀光景點偏重硬體建設，</w:t>
      </w:r>
      <w:r w:rsidR="00986AA3" w:rsidRPr="00D55DC6">
        <w:rPr>
          <w:rFonts w:eastAsia="標楷體"/>
          <w:b/>
          <w:sz w:val="28"/>
          <w:szCs w:val="28"/>
        </w:rPr>
        <w:t>軟體建設應一併考量</w:t>
      </w:r>
      <w:r w:rsidRPr="00D55DC6">
        <w:rPr>
          <w:rFonts w:eastAsia="標楷體"/>
          <w:b/>
          <w:sz w:val="28"/>
          <w:szCs w:val="28"/>
        </w:rPr>
        <w:t>：</w:t>
      </w:r>
    </w:p>
    <w:p w:rsidR="00633FC4" w:rsidRPr="00D55DC6" w:rsidRDefault="00633FC4" w:rsidP="0038165F">
      <w:pPr>
        <w:snapToGrid w:val="0"/>
        <w:spacing w:line="460" w:lineRule="exact"/>
        <w:ind w:leftChars="400" w:left="960" w:firstLineChars="235" w:firstLine="658"/>
        <w:jc w:val="both"/>
        <w:rPr>
          <w:rFonts w:eastAsia="標楷體"/>
          <w:bCs/>
          <w:iCs/>
          <w:sz w:val="28"/>
          <w:szCs w:val="28"/>
        </w:rPr>
      </w:pPr>
      <w:r w:rsidRPr="00D55DC6">
        <w:rPr>
          <w:rFonts w:eastAsia="標楷體"/>
          <w:bCs/>
          <w:iCs/>
          <w:sz w:val="28"/>
          <w:szCs w:val="28"/>
        </w:rPr>
        <w:t>過去觀光景點建設著重硬體建設，卻缺乏後續設施維護、經營管理等軟體建設的需求，常見觀光景點完成硬體建設後，因缺乏維護經費，造成設施毀壞、老舊、頹圮、未能與時俱進等問題，影響民眾對政府施政觀感。因此，本計畫將以觀光景點「永續經營」的理念，兼顧軟、硬體建設需求，在硬體建設的同時，考量到後續經營管理等需求，持續編列經常門費用，加強觀光景點後續養護及設施零星修護等經營管理工作，以提升景觀美質及服務水準</w:t>
      </w:r>
      <w:r w:rsidR="00451765" w:rsidRPr="00D55DC6">
        <w:rPr>
          <w:rFonts w:eastAsia="標楷體" w:hint="eastAsia"/>
          <w:bCs/>
          <w:iCs/>
          <w:sz w:val="28"/>
          <w:szCs w:val="28"/>
        </w:rPr>
        <w:t>，</w:t>
      </w:r>
      <w:r w:rsidR="00BD51B2" w:rsidRPr="00D55DC6">
        <w:rPr>
          <w:rFonts w:eastAsia="標楷體"/>
          <w:bCs/>
          <w:iCs/>
          <w:sz w:val="28"/>
          <w:szCs w:val="28"/>
        </w:rPr>
        <w:t>並應兼顧女性、無障礙、銀髮族等各族群需求，健全無縫隙交通接駁服務，營造友善旅遊環境。</w:t>
      </w:r>
    </w:p>
    <w:p w:rsidR="00633FC4" w:rsidRPr="00D55DC6" w:rsidRDefault="00633FC4" w:rsidP="0038165F">
      <w:pPr>
        <w:pStyle w:val="af2"/>
        <w:numPr>
          <w:ilvl w:val="0"/>
          <w:numId w:val="12"/>
        </w:numPr>
        <w:snapToGrid w:val="0"/>
        <w:spacing w:line="460" w:lineRule="exact"/>
        <w:ind w:leftChars="0" w:hanging="297"/>
        <w:jc w:val="both"/>
        <w:rPr>
          <w:rFonts w:eastAsia="標楷體"/>
          <w:b/>
          <w:sz w:val="28"/>
          <w:szCs w:val="28"/>
        </w:rPr>
      </w:pPr>
      <w:r w:rsidRPr="00D55DC6">
        <w:rPr>
          <w:rFonts w:eastAsia="標楷體"/>
          <w:b/>
          <w:sz w:val="28"/>
          <w:szCs w:val="28"/>
        </w:rPr>
        <w:t>觀光</w:t>
      </w:r>
      <w:r w:rsidR="003E0B7B" w:rsidRPr="00D55DC6">
        <w:rPr>
          <w:rFonts w:eastAsia="標楷體"/>
          <w:b/>
          <w:sz w:val="28"/>
          <w:szCs w:val="28"/>
        </w:rPr>
        <w:t>資源條件差異極大</w:t>
      </w:r>
      <w:r w:rsidRPr="00D55DC6">
        <w:rPr>
          <w:rFonts w:eastAsia="標楷體"/>
          <w:b/>
          <w:sz w:val="28"/>
          <w:szCs w:val="28"/>
        </w:rPr>
        <w:t>，</w:t>
      </w:r>
      <w:r w:rsidR="00986AA3" w:rsidRPr="00D55DC6">
        <w:rPr>
          <w:rFonts w:eastAsia="標楷體"/>
          <w:b/>
          <w:sz w:val="28"/>
          <w:szCs w:val="28"/>
        </w:rPr>
        <w:t>發展策略需</w:t>
      </w:r>
      <w:r w:rsidRPr="00D55DC6">
        <w:rPr>
          <w:rFonts w:eastAsia="標楷體"/>
          <w:b/>
          <w:sz w:val="28"/>
          <w:szCs w:val="28"/>
        </w:rPr>
        <w:t>因地制宜：</w:t>
      </w:r>
    </w:p>
    <w:p w:rsidR="00986AA3" w:rsidRPr="00D55DC6" w:rsidRDefault="00633FC4" w:rsidP="0038165F">
      <w:pPr>
        <w:snapToGrid w:val="0"/>
        <w:spacing w:line="460" w:lineRule="exact"/>
        <w:ind w:leftChars="400" w:left="960" w:firstLineChars="235" w:firstLine="658"/>
        <w:jc w:val="both"/>
        <w:rPr>
          <w:rFonts w:eastAsia="標楷體"/>
          <w:bCs/>
          <w:iCs/>
          <w:sz w:val="28"/>
          <w:szCs w:val="28"/>
        </w:rPr>
      </w:pPr>
      <w:r w:rsidRPr="00D55DC6">
        <w:rPr>
          <w:rFonts w:eastAsia="標楷體"/>
          <w:bCs/>
          <w:iCs/>
          <w:sz w:val="28"/>
          <w:szCs w:val="28"/>
        </w:rPr>
        <w:t>各地觀光資源</w:t>
      </w:r>
      <w:r w:rsidR="00986AA3" w:rsidRPr="00D55DC6">
        <w:rPr>
          <w:rFonts w:eastAsia="標楷體"/>
          <w:bCs/>
          <w:iCs/>
          <w:sz w:val="28"/>
          <w:szCs w:val="28"/>
        </w:rPr>
        <w:t>條件不同、</w:t>
      </w:r>
      <w:r w:rsidRPr="00D55DC6">
        <w:rPr>
          <w:rFonts w:eastAsia="標楷體"/>
          <w:bCs/>
          <w:iCs/>
          <w:sz w:val="28"/>
          <w:szCs w:val="28"/>
        </w:rPr>
        <w:t>異質性高，</w:t>
      </w:r>
      <w:r w:rsidR="00986AA3" w:rsidRPr="00D55DC6">
        <w:rPr>
          <w:rFonts w:eastAsia="標楷體"/>
          <w:bCs/>
          <w:iCs/>
          <w:sz w:val="28"/>
          <w:szCs w:val="28"/>
        </w:rPr>
        <w:t>各項發展策略無法一體適用，</w:t>
      </w:r>
      <w:r w:rsidRPr="00D55DC6">
        <w:rPr>
          <w:rFonts w:eastAsia="標楷體"/>
          <w:bCs/>
          <w:iCs/>
          <w:sz w:val="28"/>
          <w:szCs w:val="28"/>
        </w:rPr>
        <w:t>需因地制宜、訂定合理的發展策略。</w:t>
      </w:r>
      <w:r w:rsidR="00986AA3" w:rsidRPr="00D55DC6">
        <w:rPr>
          <w:rFonts w:eastAsia="標楷體"/>
          <w:bCs/>
          <w:iCs/>
          <w:sz w:val="28"/>
          <w:szCs w:val="28"/>
        </w:rPr>
        <w:t>因此，本計畫將針對</w:t>
      </w:r>
      <w:r w:rsidR="00986AA3" w:rsidRPr="00D55DC6">
        <w:rPr>
          <w:rFonts w:eastAsia="標楷體"/>
          <w:bCs/>
          <w:iCs/>
          <w:sz w:val="28"/>
          <w:szCs w:val="28"/>
        </w:rPr>
        <w:t>13</w:t>
      </w:r>
      <w:r w:rsidR="00986AA3" w:rsidRPr="00D55DC6">
        <w:rPr>
          <w:rFonts w:eastAsia="標楷體"/>
          <w:bCs/>
          <w:iCs/>
          <w:sz w:val="28"/>
          <w:szCs w:val="28"/>
        </w:rPr>
        <w:t>處國家風景區個別檢討發展課題及執行策略，並加強地方特色的營造，深化區域旅遊內涵，建設具深度與廣度的觀光景點，並以觀光作為載具，跨領域結合相關部會觀光資源，扶植當地產業發展，營造當地旅遊特色。</w:t>
      </w:r>
    </w:p>
    <w:bookmarkEnd w:id="4"/>
    <w:bookmarkEnd w:id="5"/>
    <w:bookmarkEnd w:id="6"/>
    <w:bookmarkEnd w:id="7"/>
    <w:bookmarkEnd w:id="8"/>
    <w:bookmarkEnd w:id="9"/>
    <w:p w:rsidR="00022B27" w:rsidRPr="00D55DC6" w:rsidRDefault="00022B27" w:rsidP="0038165F">
      <w:pPr>
        <w:pStyle w:val="af2"/>
        <w:numPr>
          <w:ilvl w:val="0"/>
          <w:numId w:val="12"/>
        </w:numPr>
        <w:snapToGrid w:val="0"/>
        <w:spacing w:line="460" w:lineRule="exact"/>
        <w:ind w:leftChars="0" w:hanging="297"/>
        <w:jc w:val="both"/>
        <w:rPr>
          <w:rFonts w:eastAsia="標楷體"/>
          <w:b/>
          <w:sz w:val="28"/>
          <w:szCs w:val="28"/>
        </w:rPr>
      </w:pPr>
      <w:r w:rsidRPr="00D55DC6">
        <w:rPr>
          <w:rFonts w:eastAsia="標楷體"/>
          <w:b/>
          <w:sz w:val="28"/>
          <w:szCs w:val="28"/>
        </w:rPr>
        <w:lastRenderedPageBreak/>
        <w:t>觀光建設應</w:t>
      </w:r>
      <w:r w:rsidR="0047623C" w:rsidRPr="00D55DC6">
        <w:rPr>
          <w:rFonts w:eastAsia="標楷體"/>
          <w:b/>
          <w:sz w:val="28"/>
          <w:szCs w:val="28"/>
        </w:rPr>
        <w:t>朝</w:t>
      </w:r>
      <w:r w:rsidRPr="00D55DC6">
        <w:rPr>
          <w:rFonts w:eastAsia="標楷體"/>
          <w:b/>
          <w:sz w:val="28"/>
          <w:szCs w:val="28"/>
        </w:rPr>
        <w:t>跨域整合，提高</w:t>
      </w:r>
      <w:r w:rsidR="0047623C" w:rsidRPr="00D55DC6">
        <w:rPr>
          <w:rFonts w:eastAsia="標楷體"/>
          <w:b/>
          <w:sz w:val="28"/>
          <w:szCs w:val="28"/>
        </w:rPr>
        <w:t>財務</w:t>
      </w:r>
      <w:r w:rsidRPr="00D55DC6">
        <w:rPr>
          <w:rFonts w:eastAsia="標楷體"/>
          <w:b/>
          <w:sz w:val="28"/>
          <w:szCs w:val="28"/>
        </w:rPr>
        <w:t>自償能力</w:t>
      </w:r>
    </w:p>
    <w:p w:rsidR="00022B27" w:rsidRPr="00D55DC6" w:rsidRDefault="00022B27" w:rsidP="0038165F">
      <w:pPr>
        <w:snapToGrid w:val="0"/>
        <w:spacing w:line="460" w:lineRule="exact"/>
        <w:ind w:leftChars="400" w:left="960" w:firstLineChars="235" w:firstLine="658"/>
        <w:jc w:val="both"/>
        <w:rPr>
          <w:rFonts w:eastAsia="標楷體"/>
          <w:bCs/>
          <w:iCs/>
          <w:sz w:val="28"/>
          <w:szCs w:val="28"/>
        </w:rPr>
      </w:pPr>
      <w:r w:rsidRPr="00D55DC6">
        <w:rPr>
          <w:rFonts w:eastAsia="標楷體"/>
          <w:bCs/>
          <w:iCs/>
          <w:sz w:val="28"/>
          <w:szCs w:val="28"/>
        </w:rPr>
        <w:t>觀光建設能振興經濟、擴大內需，平衡區域發展，建立區域特色經濟，帶動民間投資，促進就業，提升生產及文化生活環境品質。惟考量國家財政資源日形緊絀，未來觀光建設必須落實行政院核定「跨域加值公共建設財務規劃方案」，以推動跨域加值合作及</w:t>
      </w:r>
      <w:r w:rsidR="0047623C" w:rsidRPr="00D55DC6">
        <w:rPr>
          <w:rFonts w:eastAsia="標楷體"/>
          <w:bCs/>
          <w:iCs/>
          <w:sz w:val="28"/>
          <w:szCs w:val="28"/>
        </w:rPr>
        <w:t>多元</w:t>
      </w:r>
      <w:r w:rsidRPr="00D55DC6">
        <w:rPr>
          <w:rFonts w:eastAsia="標楷體"/>
          <w:bCs/>
          <w:iCs/>
          <w:sz w:val="28"/>
          <w:szCs w:val="28"/>
        </w:rPr>
        <w:t>創新財務作法，透過整合型開發計畫，將外部效益內部化，提高計畫自償性、挹注公共建設經費及籌措未來營運財源，減輕政府財政負擔。</w:t>
      </w:r>
      <w:r w:rsidR="00AC0FC8" w:rsidRPr="00D55DC6">
        <w:rPr>
          <w:rFonts w:eastAsia="標楷體" w:hint="eastAsia"/>
          <w:bCs/>
          <w:iCs/>
          <w:sz w:val="28"/>
          <w:szCs w:val="28"/>
        </w:rPr>
        <w:t>因此，持續將各單點建設擴大觀光服務層面為旅遊線與面之串連及創新加值，並強化跨部會、跨中央與地方之資源整合、分工營運及跨域合作平臺。</w:t>
      </w:r>
    </w:p>
    <w:p w:rsidR="003F7B40" w:rsidRPr="00D55DC6" w:rsidRDefault="003F7B40" w:rsidP="0038165F">
      <w:pPr>
        <w:snapToGrid w:val="0"/>
        <w:spacing w:line="460" w:lineRule="exact"/>
        <w:ind w:leftChars="400" w:left="960" w:firstLineChars="235" w:firstLine="658"/>
        <w:jc w:val="both"/>
        <w:rPr>
          <w:rFonts w:eastAsia="標楷體"/>
          <w:bCs/>
          <w:iCs/>
          <w:sz w:val="28"/>
          <w:szCs w:val="28"/>
        </w:rPr>
      </w:pPr>
    </w:p>
    <w:p w:rsidR="00F5461E" w:rsidRPr="00D55DC6" w:rsidRDefault="00F5461E" w:rsidP="0038165F">
      <w:pPr>
        <w:pStyle w:val="af2"/>
        <w:numPr>
          <w:ilvl w:val="0"/>
          <w:numId w:val="2"/>
        </w:numPr>
        <w:snapToGrid w:val="0"/>
        <w:spacing w:line="460" w:lineRule="exact"/>
        <w:ind w:leftChars="0"/>
        <w:jc w:val="both"/>
        <w:rPr>
          <w:rFonts w:eastAsia="標楷體"/>
          <w:b/>
          <w:sz w:val="28"/>
          <w:szCs w:val="28"/>
        </w:rPr>
      </w:pPr>
      <w:r w:rsidRPr="00D55DC6">
        <w:rPr>
          <w:rFonts w:eastAsia="標楷體"/>
          <w:b/>
          <w:sz w:val="28"/>
          <w:szCs w:val="28"/>
        </w:rPr>
        <w:t>社會參與及政策溝通情形</w:t>
      </w:r>
    </w:p>
    <w:p w:rsidR="007808B4" w:rsidRPr="00D55DC6" w:rsidRDefault="00A7726B" w:rsidP="0038165F">
      <w:pPr>
        <w:snapToGrid w:val="0"/>
        <w:spacing w:line="460" w:lineRule="exact"/>
        <w:ind w:leftChars="400" w:left="960" w:firstLineChars="235" w:firstLine="658"/>
        <w:jc w:val="both"/>
        <w:rPr>
          <w:rFonts w:eastAsia="標楷體"/>
          <w:bCs/>
          <w:iCs/>
          <w:sz w:val="28"/>
          <w:szCs w:val="28"/>
        </w:rPr>
      </w:pPr>
      <w:r w:rsidRPr="00D55DC6">
        <w:rPr>
          <w:rFonts w:eastAsia="標楷體"/>
          <w:bCs/>
          <w:iCs/>
          <w:sz w:val="28"/>
          <w:szCs w:val="28"/>
        </w:rPr>
        <w:t>為使國家風景區有計畫的整體性發展，循序</w:t>
      </w:r>
      <w:r w:rsidR="00CB5418" w:rsidRPr="00D55DC6">
        <w:rPr>
          <w:rFonts w:eastAsia="標楷體"/>
          <w:bCs/>
          <w:iCs/>
          <w:sz w:val="28"/>
          <w:szCs w:val="28"/>
        </w:rPr>
        <w:t>盤整及規劃</w:t>
      </w:r>
      <w:r w:rsidRPr="00D55DC6">
        <w:rPr>
          <w:rFonts w:eastAsia="標楷體"/>
          <w:bCs/>
          <w:iCs/>
          <w:sz w:val="28"/>
          <w:szCs w:val="28"/>
        </w:rPr>
        <w:t>各項公共服務設</w:t>
      </w:r>
      <w:r w:rsidR="00143D43" w:rsidRPr="00D55DC6">
        <w:rPr>
          <w:rFonts w:eastAsia="標楷體"/>
          <w:bCs/>
          <w:iCs/>
          <w:sz w:val="28"/>
          <w:szCs w:val="28"/>
        </w:rPr>
        <w:t>施</w:t>
      </w:r>
      <w:r w:rsidRPr="00D55DC6">
        <w:rPr>
          <w:rFonts w:eastAsia="標楷體"/>
          <w:bCs/>
          <w:iCs/>
          <w:sz w:val="28"/>
          <w:szCs w:val="28"/>
        </w:rPr>
        <w:t>，以發揮最大之</w:t>
      </w:r>
      <w:r w:rsidR="00CB5418" w:rsidRPr="00D55DC6">
        <w:rPr>
          <w:rFonts w:eastAsia="標楷體"/>
          <w:bCs/>
          <w:iCs/>
          <w:sz w:val="28"/>
          <w:szCs w:val="28"/>
        </w:rPr>
        <w:t>效用</w:t>
      </w:r>
      <w:r w:rsidRPr="00D55DC6">
        <w:rPr>
          <w:rFonts w:eastAsia="標楷體"/>
          <w:bCs/>
          <w:iCs/>
          <w:sz w:val="28"/>
          <w:szCs w:val="28"/>
        </w:rPr>
        <w:t>，除辦理全區性之</w:t>
      </w:r>
      <w:r w:rsidR="00022B27" w:rsidRPr="00D55DC6">
        <w:rPr>
          <w:rFonts w:eastAsia="標楷體"/>
          <w:bCs/>
          <w:iCs/>
          <w:sz w:val="28"/>
          <w:szCs w:val="28"/>
        </w:rPr>
        <w:t>「</w:t>
      </w:r>
      <w:r w:rsidRPr="00D55DC6">
        <w:rPr>
          <w:rFonts w:eastAsia="標楷體"/>
          <w:bCs/>
          <w:iCs/>
          <w:sz w:val="28"/>
          <w:szCs w:val="28"/>
        </w:rPr>
        <w:t>整體觀光發展</w:t>
      </w:r>
      <w:r w:rsidR="00022B27" w:rsidRPr="00D55DC6">
        <w:rPr>
          <w:rFonts w:eastAsia="標楷體"/>
          <w:bCs/>
          <w:iCs/>
          <w:sz w:val="28"/>
          <w:szCs w:val="28"/>
        </w:rPr>
        <w:t>計畫」</w:t>
      </w:r>
      <w:r w:rsidRPr="00D55DC6">
        <w:rPr>
          <w:rFonts w:eastAsia="標楷體"/>
          <w:bCs/>
          <w:iCs/>
          <w:sz w:val="28"/>
          <w:szCs w:val="28"/>
        </w:rPr>
        <w:t>作為指導方針，為</w:t>
      </w:r>
      <w:r w:rsidR="00CB5418" w:rsidRPr="00D55DC6">
        <w:rPr>
          <w:rFonts w:eastAsia="標楷體"/>
          <w:bCs/>
          <w:iCs/>
          <w:sz w:val="28"/>
          <w:szCs w:val="28"/>
        </w:rPr>
        <w:t>廣納地方政府及地方民意，使整體計畫更能因地制</w:t>
      </w:r>
      <w:r w:rsidR="00DB3D25" w:rsidRPr="00D55DC6">
        <w:rPr>
          <w:rFonts w:eastAsia="標楷體"/>
          <w:bCs/>
          <w:iCs/>
          <w:sz w:val="28"/>
          <w:szCs w:val="28"/>
        </w:rPr>
        <w:t>宜</w:t>
      </w:r>
      <w:r w:rsidRPr="00D55DC6">
        <w:rPr>
          <w:rFonts w:eastAsia="標楷體"/>
          <w:bCs/>
          <w:iCs/>
          <w:sz w:val="28"/>
          <w:szCs w:val="28"/>
        </w:rPr>
        <w:t>，降低政策推行</w:t>
      </w:r>
      <w:r w:rsidR="00626841" w:rsidRPr="00D55DC6">
        <w:rPr>
          <w:rFonts w:eastAsia="標楷體"/>
          <w:bCs/>
          <w:iCs/>
          <w:sz w:val="28"/>
          <w:szCs w:val="28"/>
        </w:rPr>
        <w:t>之民怨與阻力</w:t>
      </w:r>
      <w:r w:rsidRPr="00D55DC6">
        <w:rPr>
          <w:rFonts w:eastAsia="標楷體"/>
          <w:bCs/>
          <w:iCs/>
          <w:sz w:val="28"/>
          <w:szCs w:val="28"/>
        </w:rPr>
        <w:t>，各項研究規劃，於舉辦各期審查會議時，依</w:t>
      </w:r>
      <w:r w:rsidR="00626841" w:rsidRPr="00D55DC6">
        <w:rPr>
          <w:rFonts w:eastAsia="標楷體"/>
          <w:bCs/>
          <w:iCs/>
          <w:sz w:val="28"/>
          <w:szCs w:val="28"/>
        </w:rPr>
        <w:t>實際</w:t>
      </w:r>
      <w:r w:rsidRPr="00D55DC6">
        <w:rPr>
          <w:rFonts w:eastAsia="標楷體"/>
          <w:bCs/>
          <w:iCs/>
          <w:sz w:val="28"/>
          <w:szCs w:val="28"/>
        </w:rPr>
        <w:t>需要，邀集</w:t>
      </w:r>
      <w:r w:rsidR="00626841" w:rsidRPr="00D55DC6">
        <w:rPr>
          <w:rFonts w:eastAsia="標楷體"/>
          <w:bCs/>
          <w:iCs/>
          <w:sz w:val="28"/>
          <w:szCs w:val="28"/>
        </w:rPr>
        <w:t>有關之專家學者、</w:t>
      </w:r>
      <w:r w:rsidRPr="00D55DC6">
        <w:rPr>
          <w:rFonts w:eastAsia="標楷體"/>
          <w:bCs/>
          <w:iCs/>
          <w:sz w:val="28"/>
          <w:szCs w:val="28"/>
        </w:rPr>
        <w:t>主管機關、地方</w:t>
      </w:r>
      <w:r w:rsidR="004278F4" w:rsidRPr="00D55DC6">
        <w:rPr>
          <w:rFonts w:eastAsia="標楷體"/>
          <w:bCs/>
          <w:iCs/>
          <w:sz w:val="28"/>
          <w:szCs w:val="28"/>
        </w:rPr>
        <w:t>代表及意見領袖</w:t>
      </w:r>
      <w:r w:rsidRPr="00D55DC6">
        <w:rPr>
          <w:rFonts w:eastAsia="標楷體"/>
          <w:bCs/>
          <w:iCs/>
          <w:sz w:val="28"/>
          <w:szCs w:val="28"/>
        </w:rPr>
        <w:t>、民間團體及協會等</w:t>
      </w:r>
      <w:r w:rsidR="00626841" w:rsidRPr="00D55DC6">
        <w:rPr>
          <w:rFonts w:eastAsia="標楷體"/>
          <w:bCs/>
          <w:iCs/>
          <w:sz w:val="28"/>
          <w:szCs w:val="28"/>
        </w:rPr>
        <w:t>舉辦座談會、說明會</w:t>
      </w:r>
      <w:r w:rsidRPr="00D55DC6">
        <w:rPr>
          <w:rFonts w:eastAsia="標楷體"/>
          <w:bCs/>
          <w:iCs/>
          <w:sz w:val="28"/>
          <w:szCs w:val="28"/>
        </w:rPr>
        <w:t>，形成政策發展共識。</w:t>
      </w:r>
      <w:r w:rsidR="004278F4" w:rsidRPr="00D55DC6">
        <w:rPr>
          <w:rFonts w:eastAsia="標楷體"/>
          <w:bCs/>
          <w:iCs/>
          <w:sz w:val="28"/>
          <w:szCs w:val="28"/>
        </w:rPr>
        <w:t>另外，</w:t>
      </w:r>
      <w:r w:rsidR="007808B4" w:rsidRPr="00D55DC6">
        <w:rPr>
          <w:rFonts w:eastAsia="標楷體"/>
          <w:bCs/>
          <w:iCs/>
          <w:sz w:val="28"/>
          <w:szCs w:val="28"/>
        </w:rPr>
        <w:t>積極</w:t>
      </w:r>
      <w:r w:rsidR="008B467A" w:rsidRPr="00D55DC6">
        <w:rPr>
          <w:rFonts w:eastAsia="標楷體"/>
          <w:bCs/>
          <w:iCs/>
          <w:sz w:val="28"/>
          <w:szCs w:val="28"/>
        </w:rPr>
        <w:t>與</w:t>
      </w:r>
      <w:r w:rsidR="007808B4" w:rsidRPr="00D55DC6">
        <w:rPr>
          <w:rFonts w:eastAsia="標楷體"/>
          <w:bCs/>
          <w:iCs/>
          <w:sz w:val="28"/>
          <w:szCs w:val="28"/>
        </w:rPr>
        <w:t>相關機關或</w:t>
      </w:r>
      <w:r w:rsidR="008B467A" w:rsidRPr="00D55DC6">
        <w:rPr>
          <w:rFonts w:eastAsia="標楷體"/>
          <w:bCs/>
          <w:iCs/>
          <w:sz w:val="28"/>
          <w:szCs w:val="28"/>
        </w:rPr>
        <w:t>地方政府</w:t>
      </w:r>
      <w:r w:rsidR="007808B4" w:rsidRPr="00D55DC6">
        <w:rPr>
          <w:rFonts w:eastAsia="標楷體"/>
          <w:bCs/>
          <w:iCs/>
          <w:sz w:val="28"/>
          <w:szCs w:val="28"/>
        </w:rPr>
        <w:t>建置</w:t>
      </w:r>
      <w:r w:rsidR="008B467A" w:rsidRPr="00D55DC6">
        <w:rPr>
          <w:rFonts w:eastAsia="標楷體"/>
          <w:bCs/>
          <w:iCs/>
          <w:sz w:val="28"/>
          <w:szCs w:val="28"/>
        </w:rPr>
        <w:t>溝通平台，</w:t>
      </w:r>
      <w:r w:rsidR="007808B4" w:rsidRPr="00D55DC6">
        <w:rPr>
          <w:rFonts w:eastAsia="標楷體"/>
          <w:bCs/>
          <w:iCs/>
          <w:sz w:val="28"/>
          <w:szCs w:val="28"/>
        </w:rPr>
        <w:t>如：與原民會之「交通部觀光局原住民族地區觀光推動會」、與縣市政府之「觀光聯繫會報」、</w:t>
      </w:r>
      <w:r w:rsidR="004278F4" w:rsidRPr="00D55DC6">
        <w:rPr>
          <w:rFonts w:eastAsia="標楷體"/>
          <w:bCs/>
          <w:iCs/>
          <w:sz w:val="28"/>
          <w:szCs w:val="28"/>
        </w:rPr>
        <w:t>「協調會報」等，協商解決觀光發展課題，如有無法解決者，則邀集相關單位召開「專案會議」，必要時，</w:t>
      </w:r>
      <w:r w:rsidR="000D22B3" w:rsidRPr="00D55DC6">
        <w:rPr>
          <w:rFonts w:eastAsia="標楷體"/>
          <w:bCs/>
          <w:iCs/>
          <w:sz w:val="28"/>
          <w:szCs w:val="28"/>
        </w:rPr>
        <w:t>視個案性質，</w:t>
      </w:r>
      <w:r w:rsidR="004278F4" w:rsidRPr="00D55DC6">
        <w:rPr>
          <w:rFonts w:eastAsia="標楷體"/>
          <w:bCs/>
          <w:iCs/>
          <w:sz w:val="28"/>
          <w:szCs w:val="28"/>
        </w:rPr>
        <w:t>報請「</w:t>
      </w:r>
      <w:r w:rsidR="000D22B3" w:rsidRPr="00D55DC6">
        <w:rPr>
          <w:rFonts w:eastAsia="標楷體"/>
          <w:bCs/>
          <w:iCs/>
          <w:sz w:val="28"/>
          <w:szCs w:val="28"/>
        </w:rPr>
        <w:t>行政院</w:t>
      </w:r>
      <w:r w:rsidR="004278F4" w:rsidRPr="00D55DC6">
        <w:rPr>
          <w:rFonts w:eastAsia="標楷體"/>
          <w:bCs/>
          <w:iCs/>
          <w:sz w:val="28"/>
          <w:szCs w:val="28"/>
        </w:rPr>
        <w:t>國家發展委員會」或「行政院觀光發展推動委員會」協助解決。</w:t>
      </w:r>
    </w:p>
    <w:p w:rsidR="0014772B" w:rsidRPr="00D55DC6" w:rsidRDefault="0014772B" w:rsidP="0038165F">
      <w:pPr>
        <w:snapToGrid w:val="0"/>
        <w:spacing w:line="460" w:lineRule="exact"/>
        <w:ind w:leftChars="400" w:left="960" w:firstLineChars="235" w:firstLine="658"/>
        <w:jc w:val="both"/>
        <w:rPr>
          <w:rFonts w:eastAsia="標楷體"/>
          <w:bCs/>
          <w:iCs/>
          <w:sz w:val="28"/>
          <w:szCs w:val="28"/>
        </w:rPr>
      </w:pPr>
    </w:p>
    <w:p w:rsidR="0014772B" w:rsidRPr="00D55DC6" w:rsidRDefault="0014772B" w:rsidP="0038165F">
      <w:pPr>
        <w:snapToGrid w:val="0"/>
        <w:spacing w:line="460" w:lineRule="exact"/>
        <w:ind w:leftChars="400" w:left="960" w:firstLineChars="235" w:firstLine="658"/>
        <w:jc w:val="both"/>
        <w:rPr>
          <w:rFonts w:eastAsia="標楷體"/>
          <w:bCs/>
          <w:iCs/>
          <w:sz w:val="28"/>
          <w:szCs w:val="28"/>
        </w:rPr>
      </w:pPr>
    </w:p>
    <w:p w:rsidR="0014772B" w:rsidRPr="00D55DC6" w:rsidRDefault="0014772B" w:rsidP="0038165F">
      <w:pPr>
        <w:snapToGrid w:val="0"/>
        <w:spacing w:line="460" w:lineRule="exact"/>
        <w:ind w:leftChars="400" w:left="960" w:firstLineChars="235" w:firstLine="658"/>
        <w:jc w:val="both"/>
        <w:rPr>
          <w:rFonts w:eastAsia="標楷體"/>
          <w:bCs/>
          <w:iCs/>
          <w:sz w:val="28"/>
          <w:szCs w:val="28"/>
        </w:rPr>
      </w:pPr>
    </w:p>
    <w:p w:rsidR="0014772B" w:rsidRPr="00D55DC6" w:rsidRDefault="0014772B" w:rsidP="0038165F">
      <w:pPr>
        <w:snapToGrid w:val="0"/>
        <w:spacing w:line="460" w:lineRule="exact"/>
        <w:ind w:leftChars="400" w:left="960" w:firstLineChars="235" w:firstLine="658"/>
        <w:jc w:val="both"/>
        <w:rPr>
          <w:rFonts w:eastAsia="標楷體"/>
          <w:bCs/>
          <w:iCs/>
          <w:sz w:val="28"/>
          <w:szCs w:val="28"/>
        </w:rPr>
      </w:pPr>
    </w:p>
    <w:p w:rsidR="008C7B4E" w:rsidRPr="00D55DC6" w:rsidRDefault="008C7B4E" w:rsidP="0038165F">
      <w:pPr>
        <w:snapToGrid w:val="0"/>
        <w:spacing w:line="460" w:lineRule="exact"/>
        <w:ind w:leftChars="400" w:left="960" w:firstLineChars="235" w:firstLine="658"/>
        <w:jc w:val="both"/>
        <w:rPr>
          <w:rFonts w:eastAsia="標楷體"/>
          <w:bCs/>
          <w:iCs/>
          <w:sz w:val="28"/>
          <w:szCs w:val="28"/>
        </w:rPr>
      </w:pPr>
    </w:p>
    <w:p w:rsidR="0014772B" w:rsidRPr="00D55DC6" w:rsidRDefault="0014772B" w:rsidP="0038165F">
      <w:pPr>
        <w:snapToGrid w:val="0"/>
        <w:spacing w:line="460" w:lineRule="exact"/>
        <w:ind w:leftChars="400" w:left="960" w:firstLineChars="235" w:firstLine="658"/>
        <w:jc w:val="both"/>
        <w:rPr>
          <w:rFonts w:eastAsia="標楷體"/>
          <w:bCs/>
          <w:iCs/>
          <w:sz w:val="28"/>
          <w:szCs w:val="28"/>
        </w:rPr>
      </w:pPr>
    </w:p>
    <w:p w:rsidR="00F5461E" w:rsidRPr="00D55DC6" w:rsidRDefault="00F5461E" w:rsidP="0038165F">
      <w:pPr>
        <w:pStyle w:val="a"/>
        <w:ind w:left="709" w:hanging="709"/>
        <w:rPr>
          <w:b/>
        </w:rPr>
      </w:pPr>
      <w:bookmarkStart w:id="21" w:name="_Toc407181628"/>
      <w:r w:rsidRPr="00D55DC6">
        <w:rPr>
          <w:b/>
        </w:rPr>
        <w:lastRenderedPageBreak/>
        <w:t>計畫目標</w:t>
      </w:r>
      <w:r w:rsidR="00AE6430" w:rsidRPr="00D55DC6">
        <w:rPr>
          <w:b/>
        </w:rPr>
        <w:t>及績效指標</w:t>
      </w:r>
      <w:bookmarkEnd w:id="21"/>
    </w:p>
    <w:p w:rsidR="001A3296" w:rsidRPr="00D55DC6" w:rsidRDefault="001A3296" w:rsidP="001A3296">
      <w:pPr>
        <w:pStyle w:val="a"/>
        <w:numPr>
          <w:ilvl w:val="0"/>
          <w:numId w:val="0"/>
        </w:numPr>
        <w:ind w:left="709"/>
        <w:rPr>
          <w:b/>
        </w:rPr>
      </w:pPr>
    </w:p>
    <w:p w:rsidR="002B3D0C" w:rsidRPr="00D55DC6" w:rsidRDefault="002B3D0C" w:rsidP="0038165F">
      <w:pPr>
        <w:pStyle w:val="af2"/>
        <w:numPr>
          <w:ilvl w:val="0"/>
          <w:numId w:val="3"/>
        </w:numPr>
        <w:snapToGrid w:val="0"/>
        <w:spacing w:line="460" w:lineRule="exact"/>
        <w:ind w:leftChars="0"/>
        <w:jc w:val="both"/>
        <w:rPr>
          <w:rFonts w:eastAsia="標楷體"/>
          <w:b/>
          <w:sz w:val="28"/>
          <w:szCs w:val="28"/>
        </w:rPr>
      </w:pPr>
      <w:r w:rsidRPr="00D55DC6">
        <w:rPr>
          <w:rFonts w:eastAsia="標楷體"/>
          <w:b/>
          <w:sz w:val="28"/>
          <w:szCs w:val="28"/>
        </w:rPr>
        <w:t>目標說明</w:t>
      </w:r>
    </w:p>
    <w:p w:rsidR="002C0CD1" w:rsidRPr="00D55DC6" w:rsidRDefault="002C0CD1" w:rsidP="0038165F">
      <w:pPr>
        <w:pStyle w:val="af2"/>
        <w:numPr>
          <w:ilvl w:val="0"/>
          <w:numId w:val="13"/>
        </w:numPr>
        <w:snapToGrid w:val="0"/>
        <w:spacing w:line="460" w:lineRule="exact"/>
        <w:ind w:leftChars="0" w:hanging="297"/>
        <w:jc w:val="both"/>
        <w:rPr>
          <w:rFonts w:eastAsia="標楷體"/>
          <w:sz w:val="28"/>
          <w:szCs w:val="28"/>
        </w:rPr>
      </w:pPr>
      <w:bookmarkStart w:id="22" w:name="_Toc185397851"/>
      <w:bookmarkStart w:id="23" w:name="_Toc185925791"/>
      <w:bookmarkStart w:id="24" w:name="_Toc192790781"/>
      <w:bookmarkStart w:id="25" w:name="_Toc195430485"/>
      <w:bookmarkStart w:id="26" w:name="_Toc200857860"/>
      <w:bookmarkStart w:id="27" w:name="_Toc288749174"/>
      <w:r w:rsidRPr="00D55DC6">
        <w:rPr>
          <w:rFonts w:eastAsia="標楷體"/>
          <w:sz w:val="28"/>
          <w:szCs w:val="28"/>
        </w:rPr>
        <w:t>延續前期中長程計畫建設成果，強化既有重要觀光景點設施維護及經營管理作為，持續提升旅遊品質並滿足分眾客群旅憩需求。</w:t>
      </w:r>
    </w:p>
    <w:p w:rsidR="00AC0FC8" w:rsidRPr="00D55DC6" w:rsidRDefault="00AC0FC8" w:rsidP="00AC0FC8">
      <w:pPr>
        <w:pStyle w:val="af2"/>
        <w:numPr>
          <w:ilvl w:val="0"/>
          <w:numId w:val="13"/>
        </w:numPr>
        <w:snapToGrid w:val="0"/>
        <w:spacing w:line="460" w:lineRule="exact"/>
        <w:ind w:leftChars="0" w:hanging="297"/>
        <w:jc w:val="both"/>
        <w:rPr>
          <w:rFonts w:eastAsia="標楷體"/>
          <w:sz w:val="28"/>
          <w:szCs w:val="28"/>
        </w:rPr>
      </w:pPr>
      <w:bookmarkStart w:id="28" w:name="_Toc288749175"/>
      <w:bookmarkStart w:id="29" w:name="_Toc185397850"/>
      <w:bookmarkStart w:id="30" w:name="_Toc185925790"/>
      <w:bookmarkStart w:id="31" w:name="_Toc192790780"/>
      <w:bookmarkStart w:id="32" w:name="_Toc195430484"/>
      <w:bookmarkStart w:id="33" w:name="_Toc200857859"/>
      <w:r w:rsidRPr="00D55DC6">
        <w:rPr>
          <w:rFonts w:eastAsia="標楷體"/>
          <w:sz w:val="28"/>
          <w:szCs w:val="28"/>
        </w:rPr>
        <w:t>採用集中資源、景點分級觀念，建設具代表性之重要觀光景點共</w:t>
      </w:r>
      <w:r w:rsidRPr="00D55DC6">
        <w:rPr>
          <w:rFonts w:eastAsia="標楷體"/>
          <w:sz w:val="28"/>
          <w:szCs w:val="28"/>
        </w:rPr>
        <w:t>235</w:t>
      </w:r>
      <w:r w:rsidRPr="00D55DC6">
        <w:rPr>
          <w:rFonts w:eastAsia="標楷體"/>
          <w:sz w:val="28"/>
          <w:szCs w:val="28"/>
        </w:rPr>
        <w:t>處</w:t>
      </w:r>
      <w:bookmarkEnd w:id="28"/>
      <w:bookmarkEnd w:id="29"/>
      <w:bookmarkEnd w:id="30"/>
      <w:bookmarkEnd w:id="31"/>
      <w:bookmarkEnd w:id="32"/>
      <w:bookmarkEnd w:id="33"/>
      <w:r w:rsidRPr="00D55DC6">
        <w:rPr>
          <w:rFonts w:eastAsia="標楷體"/>
          <w:sz w:val="28"/>
          <w:szCs w:val="28"/>
        </w:rPr>
        <w:t>。</w:t>
      </w:r>
    </w:p>
    <w:p w:rsidR="00AC0FC8" w:rsidRPr="00D55DC6" w:rsidRDefault="002C0CD1" w:rsidP="0038165F">
      <w:pPr>
        <w:pStyle w:val="af2"/>
        <w:numPr>
          <w:ilvl w:val="0"/>
          <w:numId w:val="13"/>
        </w:numPr>
        <w:snapToGrid w:val="0"/>
        <w:spacing w:line="460" w:lineRule="exact"/>
        <w:ind w:leftChars="0" w:hanging="297"/>
        <w:jc w:val="both"/>
        <w:rPr>
          <w:rFonts w:eastAsia="標楷體"/>
          <w:sz w:val="28"/>
          <w:szCs w:val="28"/>
        </w:rPr>
      </w:pPr>
      <w:r w:rsidRPr="00D55DC6">
        <w:rPr>
          <w:rFonts w:eastAsia="標楷體"/>
          <w:sz w:val="28"/>
          <w:szCs w:val="28"/>
        </w:rPr>
        <w:t>逐步提升景點服務能量，積極整合零星景點為遊憩區型態景點，並建設具國際潛力之國內景點轉型成國際景點，以吸引國際遊客參訪。</w:t>
      </w:r>
      <w:bookmarkEnd w:id="22"/>
      <w:bookmarkEnd w:id="23"/>
      <w:bookmarkEnd w:id="24"/>
      <w:bookmarkEnd w:id="25"/>
      <w:bookmarkEnd w:id="26"/>
      <w:bookmarkEnd w:id="27"/>
    </w:p>
    <w:p w:rsidR="002C0CD1" w:rsidRPr="00D55DC6" w:rsidRDefault="002C0CD1" w:rsidP="0038165F">
      <w:pPr>
        <w:pStyle w:val="af2"/>
        <w:numPr>
          <w:ilvl w:val="0"/>
          <w:numId w:val="13"/>
        </w:numPr>
        <w:snapToGrid w:val="0"/>
        <w:spacing w:line="460" w:lineRule="exact"/>
        <w:ind w:leftChars="0" w:hanging="297"/>
        <w:jc w:val="both"/>
        <w:rPr>
          <w:rFonts w:eastAsia="標楷體"/>
          <w:sz w:val="28"/>
          <w:szCs w:val="28"/>
        </w:rPr>
      </w:pPr>
      <w:bookmarkStart w:id="34" w:name="_Toc185397854"/>
      <w:bookmarkStart w:id="35" w:name="_Toc185925794"/>
      <w:bookmarkStart w:id="36" w:name="_Toc192790782"/>
      <w:bookmarkStart w:id="37" w:name="_Toc195430486"/>
      <w:bookmarkStart w:id="38" w:name="_Toc200857861"/>
      <w:bookmarkStart w:id="39" w:name="_Toc288749176"/>
      <w:r w:rsidRPr="00D55DC6">
        <w:rPr>
          <w:rFonts w:eastAsia="標楷體"/>
          <w:sz w:val="28"/>
          <w:szCs w:val="28"/>
        </w:rPr>
        <w:t>國家風景區遊客人數從</w:t>
      </w:r>
      <w:r w:rsidRPr="00D55DC6">
        <w:rPr>
          <w:rFonts w:eastAsia="標楷體"/>
          <w:sz w:val="28"/>
          <w:szCs w:val="28"/>
        </w:rPr>
        <w:t>105</w:t>
      </w:r>
      <w:r w:rsidRPr="00D55DC6">
        <w:rPr>
          <w:rFonts w:eastAsia="標楷體"/>
          <w:sz w:val="28"/>
          <w:szCs w:val="28"/>
        </w:rPr>
        <w:t>年</w:t>
      </w:r>
      <w:r w:rsidRPr="00D55DC6">
        <w:rPr>
          <w:rFonts w:eastAsia="標楷體"/>
          <w:sz w:val="28"/>
          <w:szCs w:val="28"/>
        </w:rPr>
        <w:t>4,3</w:t>
      </w:r>
      <w:r w:rsidR="00502E0C" w:rsidRPr="00D55DC6">
        <w:rPr>
          <w:rFonts w:eastAsia="標楷體"/>
          <w:sz w:val="28"/>
          <w:szCs w:val="28"/>
        </w:rPr>
        <w:t>48</w:t>
      </w:r>
      <w:r w:rsidRPr="00D55DC6">
        <w:rPr>
          <w:rFonts w:eastAsia="標楷體"/>
          <w:sz w:val="28"/>
          <w:szCs w:val="28"/>
        </w:rPr>
        <w:t>萬人次成長至</w:t>
      </w:r>
      <w:r w:rsidRPr="00D55DC6">
        <w:rPr>
          <w:rFonts w:eastAsia="標楷體"/>
          <w:sz w:val="28"/>
          <w:szCs w:val="28"/>
        </w:rPr>
        <w:t>108</w:t>
      </w:r>
      <w:r w:rsidRPr="00D55DC6">
        <w:rPr>
          <w:rFonts w:eastAsia="標楷體"/>
          <w:sz w:val="28"/>
          <w:szCs w:val="28"/>
        </w:rPr>
        <w:t>年</w:t>
      </w:r>
      <w:r w:rsidRPr="00D55DC6">
        <w:rPr>
          <w:rFonts w:eastAsia="標楷體"/>
          <w:sz w:val="28"/>
          <w:szCs w:val="28"/>
        </w:rPr>
        <w:t>4,6</w:t>
      </w:r>
      <w:r w:rsidR="00474C2C" w:rsidRPr="00D55DC6">
        <w:rPr>
          <w:rFonts w:eastAsia="標楷體"/>
          <w:sz w:val="28"/>
          <w:szCs w:val="28"/>
        </w:rPr>
        <w:t>6</w:t>
      </w:r>
      <w:r w:rsidR="00502E0C" w:rsidRPr="00D55DC6">
        <w:rPr>
          <w:rFonts w:eastAsia="標楷體"/>
          <w:sz w:val="28"/>
          <w:szCs w:val="28"/>
        </w:rPr>
        <w:t>5</w:t>
      </w:r>
      <w:r w:rsidRPr="00D55DC6">
        <w:rPr>
          <w:rFonts w:eastAsia="標楷體"/>
          <w:sz w:val="28"/>
          <w:szCs w:val="28"/>
        </w:rPr>
        <w:t>萬人次。</w:t>
      </w:r>
      <w:bookmarkEnd w:id="34"/>
      <w:bookmarkEnd w:id="35"/>
      <w:bookmarkEnd w:id="36"/>
      <w:bookmarkEnd w:id="37"/>
      <w:bookmarkEnd w:id="38"/>
      <w:bookmarkEnd w:id="39"/>
    </w:p>
    <w:p w:rsidR="001A3296" w:rsidRPr="00D55DC6" w:rsidRDefault="001A3296" w:rsidP="0038165F">
      <w:pPr>
        <w:pStyle w:val="21"/>
        <w:spacing w:line="460" w:lineRule="exact"/>
        <w:ind w:leftChars="384" w:left="1216" w:hangingChars="105" w:hanging="294"/>
        <w:rPr>
          <w:rFonts w:ascii="Times New Roman" w:hAnsi="Times New Roman"/>
          <w:b w:val="0"/>
          <w:sz w:val="28"/>
          <w:szCs w:val="28"/>
        </w:rPr>
      </w:pPr>
    </w:p>
    <w:p w:rsidR="00514642" w:rsidRPr="00D55DC6" w:rsidRDefault="00514642" w:rsidP="0038165F">
      <w:pPr>
        <w:pStyle w:val="21"/>
        <w:spacing w:line="460" w:lineRule="exact"/>
        <w:ind w:leftChars="384" w:left="1216" w:hangingChars="105" w:hanging="294"/>
        <w:rPr>
          <w:rFonts w:ascii="Times New Roman" w:hAnsi="Times New Roman"/>
          <w:b w:val="0"/>
          <w:sz w:val="28"/>
          <w:szCs w:val="28"/>
        </w:rPr>
      </w:pPr>
    </w:p>
    <w:p w:rsidR="002B3D0C" w:rsidRPr="00D55DC6" w:rsidRDefault="002B3D0C" w:rsidP="0038165F">
      <w:pPr>
        <w:pStyle w:val="af2"/>
        <w:numPr>
          <w:ilvl w:val="0"/>
          <w:numId w:val="3"/>
        </w:numPr>
        <w:snapToGrid w:val="0"/>
        <w:spacing w:line="460" w:lineRule="exact"/>
        <w:ind w:leftChars="0"/>
        <w:jc w:val="both"/>
        <w:rPr>
          <w:rFonts w:eastAsia="標楷體"/>
          <w:b/>
          <w:sz w:val="28"/>
          <w:szCs w:val="28"/>
        </w:rPr>
      </w:pPr>
      <w:r w:rsidRPr="00D55DC6">
        <w:rPr>
          <w:rFonts w:eastAsia="標楷體"/>
          <w:b/>
          <w:sz w:val="28"/>
          <w:szCs w:val="28"/>
        </w:rPr>
        <w:t>達成目標之限制</w:t>
      </w:r>
    </w:p>
    <w:p w:rsidR="002C0CD1" w:rsidRPr="00D55DC6" w:rsidRDefault="002C0CD1" w:rsidP="0038165F">
      <w:pPr>
        <w:pStyle w:val="af2"/>
        <w:numPr>
          <w:ilvl w:val="0"/>
          <w:numId w:val="14"/>
        </w:numPr>
        <w:snapToGrid w:val="0"/>
        <w:spacing w:line="460" w:lineRule="exact"/>
        <w:ind w:leftChars="0" w:hanging="297"/>
        <w:jc w:val="both"/>
        <w:rPr>
          <w:rFonts w:eastAsia="標楷體"/>
          <w:sz w:val="28"/>
          <w:szCs w:val="28"/>
        </w:rPr>
      </w:pPr>
      <w:bookmarkStart w:id="40" w:name="_Toc288749179"/>
      <w:r w:rsidRPr="00D55DC6">
        <w:rPr>
          <w:rFonts w:eastAsia="標楷體"/>
          <w:b/>
          <w:sz w:val="28"/>
          <w:szCs w:val="28"/>
        </w:rPr>
        <w:t>觀光發展管理事權及觀念待整合</w:t>
      </w:r>
      <w:r w:rsidRPr="00D55DC6">
        <w:rPr>
          <w:rFonts w:eastAsia="標楷體"/>
          <w:sz w:val="28"/>
          <w:szCs w:val="28"/>
        </w:rPr>
        <w:t>：景點開發建設事涉眾多公部門權責單位，需持續透過工作圈機制，統合相關權責單位，以發揮綜效；若有未能解決之問題，將提報行政院觀光發展推動委員會協助解決。此外，民眾及業者對觀光發展多仍有本位觀念與認知落差，且現有住民對既得利益的堅持，常需耗費可觀溝通協調時程，影響觀光發展步調，需透過產業聯盟及說明會等場合，加強與地方溝通，並辦理相關的教育訓練及輔導等工作，期能提昇整體服務品質。</w:t>
      </w:r>
      <w:bookmarkEnd w:id="40"/>
    </w:p>
    <w:p w:rsidR="002C0CD1" w:rsidRPr="00D55DC6" w:rsidRDefault="002C0CD1" w:rsidP="0038165F">
      <w:pPr>
        <w:pStyle w:val="af2"/>
        <w:numPr>
          <w:ilvl w:val="0"/>
          <w:numId w:val="14"/>
        </w:numPr>
        <w:snapToGrid w:val="0"/>
        <w:spacing w:line="460" w:lineRule="exact"/>
        <w:ind w:leftChars="0" w:hanging="297"/>
        <w:jc w:val="both"/>
        <w:rPr>
          <w:rFonts w:eastAsia="標楷體"/>
          <w:sz w:val="28"/>
          <w:szCs w:val="28"/>
        </w:rPr>
      </w:pPr>
      <w:bookmarkStart w:id="41" w:name="_Toc288749180"/>
      <w:r w:rsidRPr="00D55DC6">
        <w:rPr>
          <w:rFonts w:eastAsia="標楷體"/>
          <w:b/>
          <w:sz w:val="28"/>
          <w:szCs w:val="28"/>
        </w:rPr>
        <w:t>原住民地區開發限制</w:t>
      </w:r>
      <w:r w:rsidRPr="00D55DC6">
        <w:rPr>
          <w:rFonts w:eastAsia="標楷體"/>
          <w:sz w:val="28"/>
          <w:szCs w:val="28"/>
        </w:rPr>
        <w:t>：部分景點位於原住民族地區，因多屬國有土地，在無法取得土地價款下，地主多不願意提供土地辦理開發。此外，原住民族基本法公布實施後，規定政府或私人於原住民族土地內從事土地開發、資源利用、生態保育及學術研究，均應諮詢並取得原住民族同意或參與，原住民得分享相關利益；復區內原住民族自主意志高，在在衝擊相關建設用地取得，進而影響相關建設時程。目前觀光局有日月潭、參山、阿里山、花東縱谷、東部海岸、茂林、西拉雅等</w:t>
      </w:r>
      <w:r w:rsidRPr="00D55DC6">
        <w:rPr>
          <w:rFonts w:eastAsia="標楷體"/>
          <w:sz w:val="28"/>
          <w:szCs w:val="28"/>
        </w:rPr>
        <w:t>7</w:t>
      </w:r>
      <w:r w:rsidRPr="00D55DC6">
        <w:rPr>
          <w:rFonts w:eastAsia="標楷體"/>
          <w:sz w:val="28"/>
          <w:szCs w:val="28"/>
        </w:rPr>
        <w:t>個管理處因部分轄管涉原住民地區或事務，均已設立共</w:t>
      </w:r>
      <w:r w:rsidRPr="00D55DC6">
        <w:rPr>
          <w:rFonts w:eastAsia="標楷體"/>
          <w:sz w:val="28"/>
          <w:szCs w:val="28"/>
        </w:rPr>
        <w:lastRenderedPageBreak/>
        <w:t>管委員會調處相關事務，同時透過相關會議及地方說明會等，加強與其協調溝通，期能減少公共建設推動的阻力。</w:t>
      </w:r>
      <w:bookmarkEnd w:id="41"/>
    </w:p>
    <w:p w:rsidR="002C0CD1" w:rsidRPr="00D55DC6" w:rsidRDefault="002C0CD1" w:rsidP="0038165F">
      <w:pPr>
        <w:pStyle w:val="af2"/>
        <w:numPr>
          <w:ilvl w:val="0"/>
          <w:numId w:val="14"/>
        </w:numPr>
        <w:snapToGrid w:val="0"/>
        <w:spacing w:line="460" w:lineRule="exact"/>
        <w:ind w:leftChars="0" w:hanging="297"/>
        <w:jc w:val="both"/>
        <w:rPr>
          <w:rFonts w:eastAsia="標楷體"/>
          <w:sz w:val="28"/>
          <w:szCs w:val="28"/>
        </w:rPr>
      </w:pPr>
      <w:bookmarkStart w:id="42" w:name="_Toc288749181"/>
      <w:r w:rsidRPr="00D55DC6">
        <w:rPr>
          <w:rFonts w:eastAsia="標楷體"/>
          <w:b/>
          <w:sz w:val="28"/>
          <w:szCs w:val="28"/>
        </w:rPr>
        <w:t>建設用地取得限制</w:t>
      </w:r>
      <w:r w:rsidRPr="00D55DC6">
        <w:rPr>
          <w:rFonts w:eastAsia="標楷體"/>
          <w:sz w:val="28"/>
          <w:szCs w:val="28"/>
        </w:rPr>
        <w:t>：部分土地位處保護區、森林區、山坡地保育區或水源水質保護區，觀光設施開發受限，地權取得、地用變更耗時費力，延緩觀光建設期程。需提早規劃建設期程，並加強與相關主管機關溝通解決。</w:t>
      </w:r>
      <w:bookmarkEnd w:id="42"/>
    </w:p>
    <w:p w:rsidR="002C0CD1" w:rsidRPr="00D55DC6" w:rsidRDefault="002C0CD1" w:rsidP="0038165F">
      <w:pPr>
        <w:pStyle w:val="af2"/>
        <w:numPr>
          <w:ilvl w:val="0"/>
          <w:numId w:val="14"/>
        </w:numPr>
        <w:snapToGrid w:val="0"/>
        <w:spacing w:line="460" w:lineRule="exact"/>
        <w:ind w:leftChars="0" w:hanging="297"/>
        <w:jc w:val="both"/>
        <w:rPr>
          <w:rFonts w:eastAsia="標楷體"/>
          <w:sz w:val="28"/>
          <w:szCs w:val="28"/>
        </w:rPr>
      </w:pPr>
      <w:bookmarkStart w:id="43" w:name="_Toc288749182"/>
      <w:r w:rsidRPr="00D55DC6">
        <w:rPr>
          <w:rFonts w:eastAsia="標楷體"/>
          <w:b/>
          <w:sz w:val="28"/>
          <w:szCs w:val="28"/>
        </w:rPr>
        <w:t>自然地理環境限制</w:t>
      </w:r>
      <w:r w:rsidRPr="00D55DC6">
        <w:rPr>
          <w:rFonts w:eastAsia="標楷體"/>
          <w:sz w:val="28"/>
          <w:szCs w:val="28"/>
        </w:rPr>
        <w:t>：部分景點常因天候不佳而造成聯外交通中斷、或因聯外道路路幅狹小、易受天災坍塌，而影響遊客前往，或因地區水源不足、缺乏污水處理設施等，致觀光發展受限。宜針對環境本質推動適宜性的規劃建設，並作適當的承載量之規劃及管制。</w:t>
      </w:r>
      <w:bookmarkEnd w:id="43"/>
    </w:p>
    <w:p w:rsidR="002C0CD1" w:rsidRPr="00D55DC6" w:rsidRDefault="002C0CD1" w:rsidP="0038165F">
      <w:pPr>
        <w:pStyle w:val="af2"/>
        <w:numPr>
          <w:ilvl w:val="0"/>
          <w:numId w:val="14"/>
        </w:numPr>
        <w:snapToGrid w:val="0"/>
        <w:spacing w:line="460" w:lineRule="exact"/>
        <w:ind w:leftChars="0" w:hanging="297"/>
        <w:jc w:val="both"/>
        <w:rPr>
          <w:rFonts w:eastAsia="標楷體"/>
          <w:sz w:val="28"/>
          <w:szCs w:val="28"/>
        </w:rPr>
      </w:pPr>
      <w:r w:rsidRPr="00D55DC6">
        <w:rPr>
          <w:rFonts w:eastAsia="標楷體"/>
          <w:b/>
          <w:sz w:val="28"/>
          <w:szCs w:val="28"/>
        </w:rPr>
        <w:t>海域與濱海陸地地區開發限制</w:t>
      </w:r>
      <w:r w:rsidRPr="00D55DC6">
        <w:rPr>
          <w:rFonts w:eastAsia="標楷體"/>
          <w:sz w:val="28"/>
          <w:szCs w:val="28"/>
        </w:rPr>
        <w:t>：依海岸法草案定義，海域地區分為濱海陸地及近岸海域二類，北海岸風景區範圍均在其範圍內，待海岸法公告實施後，將依相關規定辦理，未來朝向濱海生態觀光發展。</w:t>
      </w:r>
    </w:p>
    <w:p w:rsidR="002C0CD1" w:rsidRPr="00D55DC6" w:rsidRDefault="002C0CD1" w:rsidP="0038165F">
      <w:pPr>
        <w:pStyle w:val="af2"/>
        <w:numPr>
          <w:ilvl w:val="0"/>
          <w:numId w:val="14"/>
        </w:numPr>
        <w:snapToGrid w:val="0"/>
        <w:spacing w:line="460" w:lineRule="exact"/>
        <w:ind w:leftChars="0" w:hanging="297"/>
        <w:jc w:val="both"/>
        <w:rPr>
          <w:rFonts w:eastAsia="標楷體"/>
          <w:sz w:val="28"/>
          <w:szCs w:val="28"/>
        </w:rPr>
      </w:pPr>
      <w:bookmarkStart w:id="44" w:name="_Toc288749183"/>
      <w:r w:rsidRPr="00D55DC6">
        <w:rPr>
          <w:rFonts w:eastAsia="標楷體"/>
          <w:b/>
          <w:sz w:val="28"/>
          <w:szCs w:val="28"/>
        </w:rPr>
        <w:t>開發行為法規限制</w:t>
      </w:r>
      <w:r w:rsidRPr="00D55DC6">
        <w:rPr>
          <w:rFonts w:eastAsia="標楷體"/>
          <w:sz w:val="28"/>
          <w:szCs w:val="28"/>
        </w:rPr>
        <w:t>：部分開發案需辦理都市計畫變更或環境影響評估，因審議過程繁複，時程不易掌握，常影響景點之開發建設。將寬列計畫推動期程，並積極推動相關應辦事項。</w:t>
      </w:r>
      <w:bookmarkEnd w:id="44"/>
    </w:p>
    <w:p w:rsidR="002C0CD1" w:rsidRPr="00D55DC6" w:rsidRDefault="002C0CD1" w:rsidP="0038165F">
      <w:pPr>
        <w:pStyle w:val="af2"/>
        <w:numPr>
          <w:ilvl w:val="0"/>
          <w:numId w:val="14"/>
        </w:numPr>
        <w:snapToGrid w:val="0"/>
        <w:spacing w:line="460" w:lineRule="exact"/>
        <w:ind w:leftChars="0" w:hanging="297"/>
        <w:jc w:val="both"/>
        <w:rPr>
          <w:rFonts w:eastAsia="標楷體"/>
          <w:sz w:val="28"/>
          <w:szCs w:val="28"/>
        </w:rPr>
      </w:pPr>
      <w:bookmarkStart w:id="45" w:name="_Toc288749184"/>
      <w:r w:rsidRPr="00D55DC6">
        <w:rPr>
          <w:rFonts w:eastAsia="標楷體"/>
          <w:b/>
          <w:sz w:val="28"/>
          <w:szCs w:val="28"/>
        </w:rPr>
        <w:t>民間投資意願不易掌握</w:t>
      </w:r>
      <w:r w:rsidRPr="00D55DC6">
        <w:rPr>
          <w:rFonts w:eastAsia="標楷體"/>
          <w:sz w:val="28"/>
          <w:szCs w:val="28"/>
        </w:rPr>
        <w:t>：部分地區（如花東、澎湖、馬祖）因交通不穩定、淡、旺季明顯，造成客源不穩定，影響民間投資意願。</w:t>
      </w:r>
      <w:bookmarkEnd w:id="45"/>
    </w:p>
    <w:p w:rsidR="00474C2C" w:rsidRPr="00D55DC6" w:rsidRDefault="00474C2C" w:rsidP="0038165F">
      <w:pPr>
        <w:pStyle w:val="af2"/>
        <w:snapToGrid w:val="0"/>
        <w:spacing w:line="460" w:lineRule="exact"/>
        <w:ind w:leftChars="0" w:left="864"/>
        <w:jc w:val="both"/>
        <w:rPr>
          <w:rFonts w:eastAsia="標楷體"/>
          <w:sz w:val="28"/>
          <w:szCs w:val="28"/>
        </w:rPr>
      </w:pPr>
    </w:p>
    <w:p w:rsidR="001A3296" w:rsidRPr="00D55DC6" w:rsidRDefault="001A3296" w:rsidP="0038165F">
      <w:pPr>
        <w:pStyle w:val="af2"/>
        <w:snapToGrid w:val="0"/>
        <w:spacing w:line="460" w:lineRule="exact"/>
        <w:ind w:leftChars="0" w:left="864"/>
        <w:jc w:val="both"/>
        <w:rPr>
          <w:rFonts w:eastAsia="標楷體"/>
          <w:sz w:val="28"/>
          <w:szCs w:val="28"/>
        </w:rPr>
      </w:pPr>
    </w:p>
    <w:p w:rsidR="001A3296" w:rsidRPr="00D55DC6" w:rsidRDefault="001A3296" w:rsidP="0038165F">
      <w:pPr>
        <w:pStyle w:val="af2"/>
        <w:snapToGrid w:val="0"/>
        <w:spacing w:line="460" w:lineRule="exact"/>
        <w:ind w:leftChars="0" w:left="864"/>
        <w:jc w:val="both"/>
        <w:rPr>
          <w:rFonts w:eastAsia="標楷體"/>
          <w:sz w:val="28"/>
          <w:szCs w:val="28"/>
        </w:rPr>
      </w:pPr>
    </w:p>
    <w:p w:rsidR="001A3296" w:rsidRPr="00D55DC6" w:rsidRDefault="001A3296" w:rsidP="0038165F">
      <w:pPr>
        <w:pStyle w:val="af2"/>
        <w:snapToGrid w:val="0"/>
        <w:spacing w:line="460" w:lineRule="exact"/>
        <w:ind w:leftChars="0" w:left="864"/>
        <w:jc w:val="both"/>
        <w:rPr>
          <w:rFonts w:eastAsia="標楷體"/>
          <w:sz w:val="28"/>
          <w:szCs w:val="28"/>
        </w:rPr>
      </w:pPr>
    </w:p>
    <w:p w:rsidR="001A3296" w:rsidRPr="00D55DC6" w:rsidRDefault="001A3296" w:rsidP="0038165F">
      <w:pPr>
        <w:pStyle w:val="af2"/>
        <w:snapToGrid w:val="0"/>
        <w:spacing w:line="460" w:lineRule="exact"/>
        <w:ind w:leftChars="0" w:left="864"/>
        <w:jc w:val="both"/>
        <w:rPr>
          <w:rFonts w:eastAsia="標楷體"/>
          <w:sz w:val="28"/>
          <w:szCs w:val="28"/>
        </w:rPr>
      </w:pPr>
    </w:p>
    <w:p w:rsidR="0014772B" w:rsidRPr="00D55DC6" w:rsidRDefault="0014772B" w:rsidP="0038165F">
      <w:pPr>
        <w:pStyle w:val="af2"/>
        <w:snapToGrid w:val="0"/>
        <w:spacing w:line="460" w:lineRule="exact"/>
        <w:ind w:leftChars="0" w:left="864"/>
        <w:jc w:val="both"/>
        <w:rPr>
          <w:rFonts w:eastAsia="標楷體"/>
          <w:sz w:val="28"/>
          <w:szCs w:val="28"/>
        </w:rPr>
      </w:pPr>
    </w:p>
    <w:p w:rsidR="001A3296" w:rsidRPr="00D55DC6" w:rsidRDefault="001A3296" w:rsidP="0038165F">
      <w:pPr>
        <w:pStyle w:val="af2"/>
        <w:snapToGrid w:val="0"/>
        <w:spacing w:line="460" w:lineRule="exact"/>
        <w:ind w:leftChars="0" w:left="864"/>
        <w:jc w:val="both"/>
        <w:rPr>
          <w:rFonts w:eastAsia="標楷體"/>
          <w:sz w:val="28"/>
          <w:szCs w:val="28"/>
        </w:rPr>
      </w:pPr>
    </w:p>
    <w:p w:rsidR="001A3296" w:rsidRPr="00D55DC6" w:rsidRDefault="001A3296" w:rsidP="0038165F">
      <w:pPr>
        <w:pStyle w:val="af2"/>
        <w:snapToGrid w:val="0"/>
        <w:spacing w:line="460" w:lineRule="exact"/>
        <w:ind w:leftChars="0" w:left="864"/>
        <w:jc w:val="both"/>
        <w:rPr>
          <w:rFonts w:eastAsia="標楷體"/>
          <w:sz w:val="28"/>
          <w:szCs w:val="28"/>
        </w:rPr>
      </w:pPr>
    </w:p>
    <w:p w:rsidR="001A3296" w:rsidRPr="00D55DC6" w:rsidRDefault="001A3296" w:rsidP="0038165F">
      <w:pPr>
        <w:pStyle w:val="af2"/>
        <w:snapToGrid w:val="0"/>
        <w:spacing w:line="460" w:lineRule="exact"/>
        <w:ind w:leftChars="0" w:left="864"/>
        <w:jc w:val="both"/>
        <w:rPr>
          <w:rFonts w:eastAsia="標楷體"/>
          <w:sz w:val="28"/>
          <w:szCs w:val="28"/>
        </w:rPr>
      </w:pPr>
    </w:p>
    <w:p w:rsidR="001A3296" w:rsidRPr="00D55DC6" w:rsidRDefault="001A3296" w:rsidP="0038165F">
      <w:pPr>
        <w:pStyle w:val="af2"/>
        <w:snapToGrid w:val="0"/>
        <w:spacing w:line="460" w:lineRule="exact"/>
        <w:ind w:leftChars="0" w:left="864"/>
        <w:jc w:val="both"/>
        <w:rPr>
          <w:rFonts w:eastAsia="標楷體"/>
          <w:sz w:val="28"/>
          <w:szCs w:val="28"/>
        </w:rPr>
      </w:pPr>
    </w:p>
    <w:p w:rsidR="001A3296" w:rsidRPr="00D55DC6" w:rsidRDefault="001A3296" w:rsidP="0038165F">
      <w:pPr>
        <w:pStyle w:val="af2"/>
        <w:snapToGrid w:val="0"/>
        <w:spacing w:line="460" w:lineRule="exact"/>
        <w:ind w:leftChars="0" w:left="864"/>
        <w:jc w:val="both"/>
        <w:rPr>
          <w:rFonts w:eastAsia="標楷體"/>
          <w:sz w:val="28"/>
          <w:szCs w:val="28"/>
        </w:rPr>
      </w:pPr>
    </w:p>
    <w:p w:rsidR="00610F7F" w:rsidRPr="00D55DC6" w:rsidRDefault="002B3D0C" w:rsidP="0038165F">
      <w:pPr>
        <w:pStyle w:val="af2"/>
        <w:numPr>
          <w:ilvl w:val="0"/>
          <w:numId w:val="3"/>
        </w:numPr>
        <w:snapToGrid w:val="0"/>
        <w:spacing w:line="460" w:lineRule="exact"/>
        <w:ind w:leftChars="0"/>
        <w:jc w:val="both"/>
        <w:rPr>
          <w:rFonts w:eastAsia="標楷體"/>
          <w:b/>
          <w:sz w:val="28"/>
          <w:szCs w:val="28"/>
        </w:rPr>
      </w:pPr>
      <w:r w:rsidRPr="00D55DC6">
        <w:rPr>
          <w:rFonts w:eastAsia="標楷體"/>
          <w:b/>
          <w:sz w:val="28"/>
          <w:szCs w:val="28"/>
        </w:rPr>
        <w:lastRenderedPageBreak/>
        <w:t>績效指標、衡量標準及目標值</w:t>
      </w:r>
    </w:p>
    <w:p w:rsidR="0008781F" w:rsidRPr="00D55DC6" w:rsidRDefault="0008781F" w:rsidP="0008781F">
      <w:pPr>
        <w:pStyle w:val="af2"/>
        <w:snapToGrid w:val="0"/>
        <w:spacing w:line="460" w:lineRule="exact"/>
        <w:ind w:leftChars="0" w:left="864"/>
        <w:jc w:val="both"/>
        <w:rPr>
          <w:rFonts w:eastAsia="標楷體"/>
          <w:b/>
          <w:sz w:val="28"/>
          <w:szCs w:val="28"/>
        </w:rPr>
      </w:pPr>
    </w:p>
    <w:tbl>
      <w:tblPr>
        <w:tblW w:w="9639" w:type="dxa"/>
        <w:tblInd w:w="170" w:type="dxa"/>
        <w:tblCellMar>
          <w:left w:w="0" w:type="dxa"/>
          <w:right w:w="0" w:type="dxa"/>
        </w:tblCellMar>
        <w:tblLook w:val="04A0" w:firstRow="1" w:lastRow="0" w:firstColumn="1" w:lastColumn="0" w:noHBand="0" w:noVBand="1"/>
      </w:tblPr>
      <w:tblGrid>
        <w:gridCol w:w="413"/>
        <w:gridCol w:w="1530"/>
        <w:gridCol w:w="891"/>
        <w:gridCol w:w="1339"/>
        <w:gridCol w:w="1016"/>
        <w:gridCol w:w="1017"/>
        <w:gridCol w:w="1016"/>
        <w:gridCol w:w="1017"/>
        <w:gridCol w:w="1400"/>
      </w:tblGrid>
      <w:tr w:rsidR="001D0350" w:rsidRPr="00D55DC6" w:rsidTr="002C0CD1">
        <w:trPr>
          <w:trHeight w:val="345"/>
          <w:tblHeader/>
        </w:trPr>
        <w:tc>
          <w:tcPr>
            <w:tcW w:w="413" w:type="dxa"/>
            <w:vMerge w:val="restar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2C0CD1" w:rsidRPr="00D55DC6" w:rsidRDefault="002C0CD1" w:rsidP="0038165F">
            <w:pPr>
              <w:spacing w:line="320" w:lineRule="exact"/>
              <w:jc w:val="center"/>
              <w:rPr>
                <w:rFonts w:eastAsia="標楷體"/>
                <w:sz w:val="28"/>
                <w:szCs w:val="28"/>
              </w:rPr>
            </w:pPr>
            <w:r w:rsidRPr="00D55DC6">
              <w:rPr>
                <w:rFonts w:eastAsia="標楷體"/>
                <w:sz w:val="28"/>
                <w:szCs w:val="28"/>
              </w:rPr>
              <w:t>項目</w:t>
            </w:r>
          </w:p>
        </w:tc>
        <w:tc>
          <w:tcPr>
            <w:tcW w:w="1530" w:type="dxa"/>
            <w:vMerge w:val="restar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2C0CD1" w:rsidRPr="00D55DC6" w:rsidRDefault="002C0CD1" w:rsidP="0038165F">
            <w:pPr>
              <w:spacing w:line="320" w:lineRule="exact"/>
              <w:jc w:val="center"/>
              <w:rPr>
                <w:rFonts w:eastAsia="標楷體"/>
                <w:sz w:val="28"/>
                <w:szCs w:val="28"/>
              </w:rPr>
            </w:pPr>
            <w:r w:rsidRPr="00D55DC6">
              <w:rPr>
                <w:rFonts w:eastAsia="標楷體"/>
                <w:sz w:val="28"/>
                <w:szCs w:val="28"/>
              </w:rPr>
              <w:t>衡量指標</w:t>
            </w:r>
          </w:p>
        </w:tc>
        <w:tc>
          <w:tcPr>
            <w:tcW w:w="2230"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C0CD1" w:rsidRPr="00D55DC6" w:rsidRDefault="002C0CD1" w:rsidP="0038165F">
            <w:pPr>
              <w:spacing w:line="320" w:lineRule="exact"/>
              <w:jc w:val="center"/>
              <w:rPr>
                <w:rFonts w:eastAsia="標楷體"/>
                <w:sz w:val="28"/>
                <w:szCs w:val="28"/>
              </w:rPr>
            </w:pPr>
            <w:r w:rsidRPr="00D55DC6">
              <w:rPr>
                <w:rFonts w:eastAsia="標楷體"/>
                <w:sz w:val="28"/>
                <w:szCs w:val="28"/>
              </w:rPr>
              <w:t>衡量基準</w:t>
            </w:r>
          </w:p>
        </w:tc>
        <w:tc>
          <w:tcPr>
            <w:tcW w:w="5466" w:type="dxa"/>
            <w:gridSpan w:val="5"/>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C0CD1" w:rsidRPr="00D55DC6" w:rsidRDefault="002C0CD1" w:rsidP="0038165F">
            <w:pPr>
              <w:spacing w:line="320" w:lineRule="exact"/>
              <w:jc w:val="center"/>
              <w:rPr>
                <w:rFonts w:eastAsia="標楷體"/>
                <w:sz w:val="28"/>
                <w:szCs w:val="28"/>
              </w:rPr>
            </w:pPr>
            <w:r w:rsidRPr="00D55DC6">
              <w:rPr>
                <w:rFonts w:eastAsia="標楷體"/>
                <w:sz w:val="28"/>
                <w:szCs w:val="28"/>
              </w:rPr>
              <w:t>預期目標值</w:t>
            </w:r>
          </w:p>
        </w:tc>
      </w:tr>
      <w:tr w:rsidR="001D0350" w:rsidRPr="00D55DC6" w:rsidTr="00875CE0">
        <w:trPr>
          <w:trHeight w:val="645"/>
          <w:tblHead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C0CD1" w:rsidRPr="00D55DC6" w:rsidRDefault="002C0CD1" w:rsidP="0038165F">
            <w:pPr>
              <w:spacing w:line="320" w:lineRule="exact"/>
              <w:rPr>
                <w:rFonts w:eastAsia="標楷體"/>
                <w:sz w:val="28"/>
                <w:szCs w:val="28"/>
              </w:rPr>
            </w:pPr>
          </w:p>
        </w:tc>
        <w:tc>
          <w:tcPr>
            <w:tcW w:w="1530" w:type="dxa"/>
            <w:vMerge/>
            <w:tcBorders>
              <w:top w:val="single" w:sz="8" w:space="0" w:color="auto"/>
              <w:left w:val="nil"/>
              <w:bottom w:val="single" w:sz="8" w:space="0" w:color="auto"/>
              <w:right w:val="single" w:sz="8" w:space="0" w:color="auto"/>
            </w:tcBorders>
            <w:vAlign w:val="center"/>
            <w:hideMark/>
          </w:tcPr>
          <w:p w:rsidR="002C0CD1" w:rsidRPr="00D55DC6" w:rsidRDefault="002C0CD1" w:rsidP="0038165F">
            <w:pPr>
              <w:spacing w:line="320" w:lineRule="exact"/>
              <w:rPr>
                <w:rFonts w:eastAsia="標楷體"/>
                <w:sz w:val="28"/>
                <w:szCs w:val="28"/>
              </w:rPr>
            </w:pPr>
          </w:p>
        </w:tc>
        <w:tc>
          <w:tcPr>
            <w:tcW w:w="891" w:type="dxa"/>
            <w:tcBorders>
              <w:top w:val="nil"/>
              <w:left w:val="nil"/>
              <w:bottom w:val="single" w:sz="8" w:space="0" w:color="auto"/>
              <w:right w:val="single" w:sz="8" w:space="0" w:color="auto"/>
            </w:tcBorders>
            <w:tcMar>
              <w:top w:w="0" w:type="dxa"/>
              <w:left w:w="28" w:type="dxa"/>
              <w:bottom w:w="0" w:type="dxa"/>
              <w:right w:w="28" w:type="dxa"/>
            </w:tcMar>
            <w:hideMark/>
          </w:tcPr>
          <w:p w:rsidR="002C0CD1" w:rsidRPr="00D55DC6" w:rsidRDefault="002C0CD1" w:rsidP="0038165F">
            <w:pPr>
              <w:spacing w:line="320" w:lineRule="exact"/>
              <w:jc w:val="center"/>
              <w:rPr>
                <w:rFonts w:eastAsia="標楷體"/>
                <w:sz w:val="28"/>
                <w:szCs w:val="28"/>
              </w:rPr>
            </w:pPr>
            <w:r w:rsidRPr="00D55DC6">
              <w:rPr>
                <w:rFonts w:eastAsia="標楷體"/>
                <w:sz w:val="28"/>
                <w:szCs w:val="28"/>
              </w:rPr>
              <w:t>102</w:t>
            </w:r>
            <w:r w:rsidRPr="00D55DC6">
              <w:rPr>
                <w:rFonts w:eastAsia="標楷體"/>
                <w:sz w:val="28"/>
                <w:szCs w:val="28"/>
              </w:rPr>
              <w:t>年</w:t>
            </w:r>
          </w:p>
        </w:tc>
        <w:tc>
          <w:tcPr>
            <w:tcW w:w="1339" w:type="dxa"/>
            <w:tcBorders>
              <w:top w:val="nil"/>
              <w:left w:val="nil"/>
              <w:bottom w:val="single" w:sz="8" w:space="0" w:color="auto"/>
              <w:right w:val="single" w:sz="8" w:space="0" w:color="auto"/>
            </w:tcBorders>
            <w:tcMar>
              <w:top w:w="0" w:type="dxa"/>
              <w:left w:w="28" w:type="dxa"/>
              <w:bottom w:w="0" w:type="dxa"/>
              <w:right w:w="28" w:type="dxa"/>
            </w:tcMar>
            <w:hideMark/>
          </w:tcPr>
          <w:p w:rsidR="002C0CD1" w:rsidRPr="00D55DC6" w:rsidRDefault="002C0CD1" w:rsidP="00F85718">
            <w:pPr>
              <w:spacing w:line="320" w:lineRule="exact"/>
              <w:jc w:val="center"/>
              <w:rPr>
                <w:rFonts w:eastAsia="標楷體"/>
                <w:sz w:val="28"/>
                <w:szCs w:val="28"/>
              </w:rPr>
            </w:pPr>
            <w:r w:rsidRPr="00D55DC6">
              <w:rPr>
                <w:rFonts w:eastAsia="標楷體"/>
                <w:sz w:val="28"/>
                <w:szCs w:val="28"/>
              </w:rPr>
              <w:t>103</w:t>
            </w:r>
            <w:r w:rsidRPr="00D55DC6">
              <w:rPr>
                <w:rFonts w:eastAsia="標楷體"/>
                <w:sz w:val="28"/>
                <w:szCs w:val="28"/>
              </w:rPr>
              <w:t>年</w:t>
            </w:r>
          </w:p>
        </w:tc>
        <w:tc>
          <w:tcPr>
            <w:tcW w:w="1016" w:type="dxa"/>
            <w:tcBorders>
              <w:top w:val="nil"/>
              <w:left w:val="nil"/>
              <w:bottom w:val="single" w:sz="8" w:space="0" w:color="auto"/>
              <w:right w:val="single" w:sz="8" w:space="0" w:color="auto"/>
            </w:tcBorders>
            <w:tcMar>
              <w:top w:w="0" w:type="dxa"/>
              <w:left w:w="28" w:type="dxa"/>
              <w:bottom w:w="0" w:type="dxa"/>
              <w:right w:w="28" w:type="dxa"/>
            </w:tcMar>
            <w:hideMark/>
          </w:tcPr>
          <w:p w:rsidR="002C0CD1" w:rsidRPr="00D55DC6" w:rsidRDefault="002C0CD1" w:rsidP="0038165F">
            <w:pPr>
              <w:spacing w:line="320" w:lineRule="exact"/>
              <w:jc w:val="center"/>
              <w:rPr>
                <w:rFonts w:eastAsia="標楷體"/>
                <w:sz w:val="28"/>
                <w:szCs w:val="28"/>
              </w:rPr>
            </w:pPr>
            <w:r w:rsidRPr="00D55DC6">
              <w:rPr>
                <w:rFonts w:eastAsia="標楷體"/>
                <w:sz w:val="28"/>
                <w:szCs w:val="28"/>
              </w:rPr>
              <w:t>105</w:t>
            </w:r>
            <w:r w:rsidRPr="00D55DC6">
              <w:rPr>
                <w:rFonts w:eastAsia="標楷體"/>
                <w:sz w:val="28"/>
                <w:szCs w:val="28"/>
              </w:rPr>
              <w:t>年</w:t>
            </w:r>
          </w:p>
        </w:tc>
        <w:tc>
          <w:tcPr>
            <w:tcW w:w="1017" w:type="dxa"/>
            <w:tcBorders>
              <w:top w:val="nil"/>
              <w:left w:val="nil"/>
              <w:bottom w:val="single" w:sz="8" w:space="0" w:color="auto"/>
              <w:right w:val="single" w:sz="8" w:space="0" w:color="auto"/>
            </w:tcBorders>
            <w:tcMar>
              <w:top w:w="0" w:type="dxa"/>
              <w:left w:w="28" w:type="dxa"/>
              <w:bottom w:w="0" w:type="dxa"/>
              <w:right w:w="28" w:type="dxa"/>
            </w:tcMar>
            <w:hideMark/>
          </w:tcPr>
          <w:p w:rsidR="002C0CD1" w:rsidRPr="00D55DC6" w:rsidRDefault="002C0CD1" w:rsidP="0038165F">
            <w:pPr>
              <w:spacing w:line="320" w:lineRule="exact"/>
              <w:jc w:val="center"/>
              <w:rPr>
                <w:rFonts w:eastAsia="標楷體"/>
                <w:sz w:val="28"/>
                <w:szCs w:val="28"/>
              </w:rPr>
            </w:pPr>
            <w:r w:rsidRPr="00D55DC6">
              <w:rPr>
                <w:rFonts w:eastAsia="標楷體"/>
                <w:sz w:val="28"/>
                <w:szCs w:val="28"/>
              </w:rPr>
              <w:t>106</w:t>
            </w:r>
            <w:r w:rsidRPr="00D55DC6">
              <w:rPr>
                <w:rFonts w:eastAsia="標楷體"/>
                <w:sz w:val="28"/>
                <w:szCs w:val="28"/>
              </w:rPr>
              <w:t>年</w:t>
            </w:r>
          </w:p>
        </w:tc>
        <w:tc>
          <w:tcPr>
            <w:tcW w:w="1016" w:type="dxa"/>
            <w:tcBorders>
              <w:top w:val="nil"/>
              <w:left w:val="nil"/>
              <w:bottom w:val="single" w:sz="8" w:space="0" w:color="auto"/>
              <w:right w:val="single" w:sz="8" w:space="0" w:color="auto"/>
            </w:tcBorders>
            <w:tcMar>
              <w:top w:w="0" w:type="dxa"/>
              <w:left w:w="28" w:type="dxa"/>
              <w:bottom w:w="0" w:type="dxa"/>
              <w:right w:w="28" w:type="dxa"/>
            </w:tcMar>
            <w:hideMark/>
          </w:tcPr>
          <w:p w:rsidR="002C0CD1" w:rsidRPr="00D55DC6" w:rsidRDefault="002C0CD1" w:rsidP="0038165F">
            <w:pPr>
              <w:spacing w:line="320" w:lineRule="exact"/>
              <w:jc w:val="center"/>
              <w:rPr>
                <w:rFonts w:eastAsia="標楷體"/>
                <w:sz w:val="28"/>
                <w:szCs w:val="28"/>
              </w:rPr>
            </w:pPr>
            <w:r w:rsidRPr="00D55DC6">
              <w:rPr>
                <w:rFonts w:eastAsia="標楷體"/>
                <w:sz w:val="28"/>
                <w:szCs w:val="28"/>
              </w:rPr>
              <w:t>107</w:t>
            </w:r>
            <w:r w:rsidRPr="00D55DC6">
              <w:rPr>
                <w:rFonts w:eastAsia="標楷體"/>
                <w:sz w:val="28"/>
                <w:szCs w:val="28"/>
              </w:rPr>
              <w:t>年</w:t>
            </w:r>
          </w:p>
        </w:tc>
        <w:tc>
          <w:tcPr>
            <w:tcW w:w="1017" w:type="dxa"/>
            <w:tcBorders>
              <w:top w:val="nil"/>
              <w:left w:val="nil"/>
              <w:bottom w:val="single" w:sz="8" w:space="0" w:color="auto"/>
              <w:right w:val="single" w:sz="8" w:space="0" w:color="auto"/>
            </w:tcBorders>
            <w:tcMar>
              <w:top w:w="0" w:type="dxa"/>
              <w:left w:w="28" w:type="dxa"/>
              <w:bottom w:w="0" w:type="dxa"/>
              <w:right w:w="28" w:type="dxa"/>
            </w:tcMar>
            <w:hideMark/>
          </w:tcPr>
          <w:p w:rsidR="002C0CD1" w:rsidRPr="00D55DC6" w:rsidRDefault="002C0CD1" w:rsidP="0038165F">
            <w:pPr>
              <w:spacing w:line="320" w:lineRule="exact"/>
              <w:jc w:val="center"/>
              <w:rPr>
                <w:rFonts w:eastAsia="標楷體"/>
                <w:sz w:val="28"/>
                <w:szCs w:val="28"/>
              </w:rPr>
            </w:pPr>
            <w:r w:rsidRPr="00D55DC6">
              <w:rPr>
                <w:rFonts w:eastAsia="標楷體"/>
                <w:sz w:val="28"/>
                <w:szCs w:val="28"/>
              </w:rPr>
              <w:t>108</w:t>
            </w:r>
            <w:r w:rsidRPr="00D55DC6">
              <w:rPr>
                <w:rFonts w:eastAsia="標楷體"/>
                <w:sz w:val="28"/>
                <w:szCs w:val="28"/>
              </w:rPr>
              <w:t>年</w:t>
            </w:r>
          </w:p>
        </w:tc>
        <w:tc>
          <w:tcPr>
            <w:tcW w:w="1400" w:type="dxa"/>
            <w:tcBorders>
              <w:top w:val="nil"/>
              <w:left w:val="nil"/>
              <w:bottom w:val="single" w:sz="8" w:space="0" w:color="auto"/>
              <w:right w:val="single" w:sz="8" w:space="0" w:color="auto"/>
            </w:tcBorders>
          </w:tcPr>
          <w:p w:rsidR="002C0CD1" w:rsidRPr="00D55DC6" w:rsidRDefault="002C0CD1" w:rsidP="0038165F">
            <w:pPr>
              <w:spacing w:line="320" w:lineRule="exact"/>
              <w:jc w:val="center"/>
              <w:rPr>
                <w:rFonts w:eastAsia="標楷體"/>
                <w:sz w:val="28"/>
                <w:szCs w:val="28"/>
              </w:rPr>
            </w:pPr>
            <w:r w:rsidRPr="00D55DC6">
              <w:rPr>
                <w:rFonts w:eastAsia="標楷體"/>
                <w:sz w:val="28"/>
                <w:szCs w:val="28"/>
              </w:rPr>
              <w:t>105-108</w:t>
            </w:r>
            <w:r w:rsidRPr="00D55DC6">
              <w:rPr>
                <w:rFonts w:eastAsia="標楷體"/>
                <w:sz w:val="28"/>
                <w:szCs w:val="28"/>
              </w:rPr>
              <w:t>年</w:t>
            </w:r>
          </w:p>
          <w:p w:rsidR="002C0CD1" w:rsidRPr="00D55DC6" w:rsidRDefault="00AE6430" w:rsidP="0038165F">
            <w:pPr>
              <w:spacing w:line="320" w:lineRule="exact"/>
              <w:jc w:val="center"/>
              <w:rPr>
                <w:rFonts w:eastAsia="標楷體"/>
                <w:sz w:val="28"/>
                <w:szCs w:val="28"/>
              </w:rPr>
            </w:pPr>
            <w:r w:rsidRPr="00D55DC6">
              <w:rPr>
                <w:rFonts w:eastAsia="標楷體"/>
                <w:sz w:val="28"/>
                <w:szCs w:val="28"/>
              </w:rPr>
              <w:t>4</w:t>
            </w:r>
            <w:r w:rsidRPr="00D55DC6">
              <w:rPr>
                <w:rFonts w:eastAsia="標楷體"/>
                <w:sz w:val="28"/>
                <w:szCs w:val="28"/>
              </w:rPr>
              <w:t>年</w:t>
            </w:r>
            <w:r w:rsidR="002C0CD1" w:rsidRPr="00D55DC6">
              <w:rPr>
                <w:rFonts w:eastAsia="標楷體"/>
                <w:sz w:val="28"/>
                <w:szCs w:val="28"/>
              </w:rPr>
              <w:t>合計</w:t>
            </w:r>
          </w:p>
        </w:tc>
      </w:tr>
      <w:tr w:rsidR="001D0350" w:rsidRPr="00D55DC6" w:rsidTr="002C0CD1">
        <w:trPr>
          <w:trHeight w:val="675"/>
        </w:trPr>
        <w:tc>
          <w:tcPr>
            <w:tcW w:w="413"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C0CD1" w:rsidRPr="00D55DC6" w:rsidRDefault="0008781F" w:rsidP="0038165F">
            <w:pPr>
              <w:spacing w:line="320" w:lineRule="exact"/>
              <w:jc w:val="center"/>
              <w:rPr>
                <w:rFonts w:eastAsia="標楷體"/>
                <w:sz w:val="28"/>
                <w:szCs w:val="28"/>
              </w:rPr>
            </w:pPr>
            <w:r w:rsidRPr="00D55DC6">
              <w:rPr>
                <w:rFonts w:eastAsia="標楷體" w:hint="eastAsia"/>
                <w:sz w:val="28"/>
                <w:szCs w:val="28"/>
              </w:rPr>
              <w:t>1</w:t>
            </w:r>
          </w:p>
        </w:tc>
        <w:tc>
          <w:tcPr>
            <w:tcW w:w="1530" w:type="dxa"/>
            <w:tcBorders>
              <w:top w:val="nil"/>
              <w:left w:val="nil"/>
              <w:bottom w:val="single" w:sz="8" w:space="0" w:color="auto"/>
              <w:right w:val="single" w:sz="8" w:space="0" w:color="auto"/>
            </w:tcBorders>
            <w:tcMar>
              <w:top w:w="0" w:type="dxa"/>
              <w:left w:w="28" w:type="dxa"/>
              <w:bottom w:w="0" w:type="dxa"/>
              <w:right w:w="28" w:type="dxa"/>
            </w:tcMar>
            <w:hideMark/>
          </w:tcPr>
          <w:p w:rsidR="002C0CD1" w:rsidRPr="00D55DC6" w:rsidRDefault="002C0CD1" w:rsidP="0038165F">
            <w:pPr>
              <w:spacing w:line="320" w:lineRule="exact"/>
              <w:rPr>
                <w:rFonts w:eastAsia="標楷體"/>
                <w:sz w:val="28"/>
                <w:szCs w:val="28"/>
              </w:rPr>
            </w:pPr>
            <w:r w:rsidRPr="00D55DC6">
              <w:rPr>
                <w:rFonts w:eastAsia="標楷體"/>
                <w:sz w:val="28"/>
                <w:szCs w:val="28"/>
              </w:rPr>
              <w:t>重要觀光景點建設完成數</w:t>
            </w:r>
            <w:r w:rsidRPr="00D55DC6">
              <w:rPr>
                <w:rFonts w:eastAsia="標楷體"/>
                <w:sz w:val="28"/>
                <w:szCs w:val="28"/>
              </w:rPr>
              <w:t>(</w:t>
            </w:r>
            <w:r w:rsidRPr="00D55DC6">
              <w:rPr>
                <w:rFonts w:eastAsia="標楷體"/>
                <w:sz w:val="28"/>
                <w:szCs w:val="28"/>
              </w:rPr>
              <w:t>處</w:t>
            </w:r>
            <w:r w:rsidRPr="00D55DC6">
              <w:rPr>
                <w:rFonts w:eastAsia="標楷體"/>
                <w:sz w:val="28"/>
                <w:szCs w:val="28"/>
              </w:rPr>
              <w:t>)</w:t>
            </w:r>
          </w:p>
        </w:tc>
        <w:tc>
          <w:tcPr>
            <w:tcW w:w="891"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2C0CD1" w:rsidRPr="00D55DC6" w:rsidRDefault="002C0CD1" w:rsidP="0038165F">
            <w:pPr>
              <w:spacing w:line="320" w:lineRule="exact"/>
              <w:jc w:val="center"/>
              <w:rPr>
                <w:rFonts w:eastAsia="標楷體"/>
                <w:sz w:val="28"/>
                <w:szCs w:val="28"/>
              </w:rPr>
            </w:pPr>
            <w:r w:rsidRPr="00D55DC6">
              <w:rPr>
                <w:rFonts w:eastAsia="標楷體"/>
                <w:sz w:val="28"/>
                <w:szCs w:val="28"/>
              </w:rPr>
              <w:t>60</w:t>
            </w:r>
          </w:p>
        </w:tc>
        <w:tc>
          <w:tcPr>
            <w:tcW w:w="1339"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2C0CD1" w:rsidRPr="00D55DC6" w:rsidRDefault="002C0CD1" w:rsidP="0038165F">
            <w:pPr>
              <w:spacing w:line="320" w:lineRule="exact"/>
              <w:jc w:val="center"/>
              <w:rPr>
                <w:rFonts w:eastAsia="標楷體"/>
                <w:sz w:val="28"/>
                <w:szCs w:val="28"/>
              </w:rPr>
            </w:pPr>
            <w:r w:rsidRPr="00D55DC6">
              <w:rPr>
                <w:rFonts w:eastAsia="標楷體"/>
                <w:sz w:val="28"/>
                <w:szCs w:val="28"/>
              </w:rPr>
              <w:t>57</w:t>
            </w:r>
          </w:p>
        </w:tc>
        <w:tc>
          <w:tcPr>
            <w:tcW w:w="1016" w:type="dxa"/>
            <w:tcBorders>
              <w:top w:val="nil"/>
              <w:left w:val="nil"/>
              <w:bottom w:val="single" w:sz="8" w:space="0" w:color="auto"/>
              <w:right w:val="single" w:sz="8" w:space="0" w:color="auto"/>
            </w:tcBorders>
            <w:tcMar>
              <w:top w:w="0" w:type="dxa"/>
              <w:left w:w="28" w:type="dxa"/>
              <w:bottom w:w="0" w:type="dxa"/>
              <w:right w:w="28" w:type="dxa"/>
            </w:tcMar>
            <w:vAlign w:val="center"/>
          </w:tcPr>
          <w:p w:rsidR="002C0CD1" w:rsidRPr="00D55DC6" w:rsidRDefault="002C0CD1" w:rsidP="0038165F">
            <w:pPr>
              <w:spacing w:line="320" w:lineRule="exact"/>
              <w:jc w:val="center"/>
              <w:rPr>
                <w:rFonts w:eastAsia="標楷體"/>
                <w:sz w:val="28"/>
                <w:szCs w:val="28"/>
              </w:rPr>
            </w:pPr>
            <w:r w:rsidRPr="00D55DC6">
              <w:rPr>
                <w:rFonts w:eastAsia="標楷體"/>
                <w:sz w:val="28"/>
                <w:szCs w:val="28"/>
              </w:rPr>
              <w:t>60</w:t>
            </w:r>
          </w:p>
        </w:tc>
        <w:tc>
          <w:tcPr>
            <w:tcW w:w="1017" w:type="dxa"/>
            <w:tcBorders>
              <w:top w:val="nil"/>
              <w:left w:val="nil"/>
              <w:bottom w:val="single" w:sz="8" w:space="0" w:color="auto"/>
              <w:right w:val="single" w:sz="8" w:space="0" w:color="auto"/>
            </w:tcBorders>
            <w:tcMar>
              <w:top w:w="0" w:type="dxa"/>
              <w:left w:w="28" w:type="dxa"/>
              <w:bottom w:w="0" w:type="dxa"/>
              <w:right w:w="28" w:type="dxa"/>
            </w:tcMar>
            <w:vAlign w:val="center"/>
          </w:tcPr>
          <w:p w:rsidR="002C0CD1" w:rsidRPr="00D55DC6" w:rsidRDefault="002C0CD1" w:rsidP="0038165F">
            <w:pPr>
              <w:spacing w:line="320" w:lineRule="exact"/>
              <w:jc w:val="center"/>
              <w:rPr>
                <w:rFonts w:eastAsia="標楷體"/>
                <w:sz w:val="28"/>
                <w:szCs w:val="28"/>
              </w:rPr>
            </w:pPr>
            <w:r w:rsidRPr="00D55DC6">
              <w:rPr>
                <w:rFonts w:eastAsia="標楷體"/>
                <w:sz w:val="28"/>
                <w:szCs w:val="28"/>
              </w:rPr>
              <w:t>56</w:t>
            </w:r>
          </w:p>
        </w:tc>
        <w:tc>
          <w:tcPr>
            <w:tcW w:w="1016" w:type="dxa"/>
            <w:tcBorders>
              <w:top w:val="nil"/>
              <w:left w:val="nil"/>
              <w:bottom w:val="single" w:sz="8" w:space="0" w:color="auto"/>
              <w:right w:val="single" w:sz="8" w:space="0" w:color="auto"/>
            </w:tcBorders>
            <w:tcMar>
              <w:top w:w="0" w:type="dxa"/>
              <w:left w:w="28" w:type="dxa"/>
              <w:bottom w:w="0" w:type="dxa"/>
              <w:right w:w="28" w:type="dxa"/>
            </w:tcMar>
            <w:vAlign w:val="center"/>
          </w:tcPr>
          <w:p w:rsidR="002C0CD1" w:rsidRPr="00D55DC6" w:rsidRDefault="002C0CD1" w:rsidP="0038165F">
            <w:pPr>
              <w:spacing w:line="320" w:lineRule="exact"/>
              <w:jc w:val="center"/>
              <w:rPr>
                <w:rFonts w:eastAsia="標楷體"/>
                <w:sz w:val="28"/>
                <w:szCs w:val="28"/>
              </w:rPr>
            </w:pPr>
            <w:r w:rsidRPr="00D55DC6">
              <w:rPr>
                <w:rFonts w:eastAsia="標楷體"/>
                <w:sz w:val="28"/>
                <w:szCs w:val="28"/>
              </w:rPr>
              <w:t>56</w:t>
            </w:r>
          </w:p>
        </w:tc>
        <w:tc>
          <w:tcPr>
            <w:tcW w:w="1017" w:type="dxa"/>
            <w:tcBorders>
              <w:top w:val="nil"/>
              <w:left w:val="nil"/>
              <w:bottom w:val="single" w:sz="8" w:space="0" w:color="auto"/>
              <w:right w:val="single" w:sz="8" w:space="0" w:color="auto"/>
            </w:tcBorders>
            <w:tcMar>
              <w:top w:w="0" w:type="dxa"/>
              <w:left w:w="28" w:type="dxa"/>
              <w:bottom w:w="0" w:type="dxa"/>
              <w:right w:w="28" w:type="dxa"/>
            </w:tcMar>
            <w:vAlign w:val="center"/>
          </w:tcPr>
          <w:p w:rsidR="002C0CD1" w:rsidRPr="00D55DC6" w:rsidRDefault="002C0CD1" w:rsidP="0038165F">
            <w:pPr>
              <w:spacing w:line="320" w:lineRule="exact"/>
              <w:jc w:val="center"/>
              <w:rPr>
                <w:rFonts w:eastAsia="標楷體"/>
                <w:sz w:val="28"/>
                <w:szCs w:val="28"/>
              </w:rPr>
            </w:pPr>
            <w:r w:rsidRPr="00D55DC6">
              <w:rPr>
                <w:rFonts w:eastAsia="標楷體"/>
                <w:sz w:val="28"/>
                <w:szCs w:val="28"/>
              </w:rPr>
              <w:t>63</w:t>
            </w:r>
          </w:p>
        </w:tc>
        <w:tc>
          <w:tcPr>
            <w:tcW w:w="1400" w:type="dxa"/>
            <w:tcBorders>
              <w:top w:val="nil"/>
              <w:left w:val="nil"/>
              <w:bottom w:val="single" w:sz="8" w:space="0" w:color="auto"/>
              <w:right w:val="single" w:sz="8" w:space="0" w:color="auto"/>
            </w:tcBorders>
            <w:vAlign w:val="center"/>
          </w:tcPr>
          <w:p w:rsidR="002C0CD1" w:rsidRPr="00D55DC6" w:rsidRDefault="002C0CD1" w:rsidP="0038165F">
            <w:pPr>
              <w:spacing w:line="320" w:lineRule="exact"/>
              <w:jc w:val="center"/>
              <w:rPr>
                <w:rFonts w:eastAsia="標楷體"/>
                <w:sz w:val="28"/>
                <w:szCs w:val="28"/>
              </w:rPr>
            </w:pPr>
            <w:r w:rsidRPr="00D55DC6">
              <w:rPr>
                <w:rFonts w:eastAsia="標楷體"/>
                <w:sz w:val="28"/>
                <w:szCs w:val="28"/>
              </w:rPr>
              <w:t>235</w:t>
            </w:r>
          </w:p>
        </w:tc>
      </w:tr>
      <w:tr w:rsidR="001D0350" w:rsidRPr="00D55DC6" w:rsidTr="002C0CD1">
        <w:trPr>
          <w:trHeight w:val="675"/>
        </w:trPr>
        <w:tc>
          <w:tcPr>
            <w:tcW w:w="413" w:type="dxa"/>
            <w:tcBorders>
              <w:top w:val="nil"/>
              <w:left w:val="single" w:sz="8" w:space="0" w:color="auto"/>
              <w:bottom w:val="single" w:sz="4" w:space="0" w:color="auto"/>
              <w:right w:val="single" w:sz="8" w:space="0" w:color="auto"/>
            </w:tcBorders>
            <w:tcMar>
              <w:top w:w="0" w:type="dxa"/>
              <w:left w:w="28" w:type="dxa"/>
              <w:bottom w:w="0" w:type="dxa"/>
              <w:right w:w="28" w:type="dxa"/>
            </w:tcMar>
            <w:hideMark/>
          </w:tcPr>
          <w:p w:rsidR="00474C2C" w:rsidRPr="00D55DC6" w:rsidRDefault="0008781F" w:rsidP="0038165F">
            <w:pPr>
              <w:spacing w:line="320" w:lineRule="exact"/>
              <w:jc w:val="center"/>
              <w:rPr>
                <w:rFonts w:eastAsia="標楷體"/>
                <w:sz w:val="28"/>
                <w:szCs w:val="28"/>
              </w:rPr>
            </w:pPr>
            <w:r w:rsidRPr="00D55DC6">
              <w:rPr>
                <w:rFonts w:eastAsia="標楷體" w:hint="eastAsia"/>
                <w:sz w:val="28"/>
                <w:szCs w:val="28"/>
              </w:rPr>
              <w:t>2</w:t>
            </w:r>
          </w:p>
        </w:tc>
        <w:tc>
          <w:tcPr>
            <w:tcW w:w="1530" w:type="dxa"/>
            <w:tcBorders>
              <w:top w:val="nil"/>
              <w:left w:val="nil"/>
              <w:bottom w:val="single" w:sz="4" w:space="0" w:color="auto"/>
              <w:right w:val="single" w:sz="8" w:space="0" w:color="auto"/>
            </w:tcBorders>
            <w:tcMar>
              <w:top w:w="0" w:type="dxa"/>
              <w:left w:w="28" w:type="dxa"/>
              <w:bottom w:w="0" w:type="dxa"/>
              <w:right w:w="28" w:type="dxa"/>
            </w:tcMar>
            <w:hideMark/>
          </w:tcPr>
          <w:p w:rsidR="00474C2C" w:rsidRPr="00D55DC6" w:rsidRDefault="00474C2C" w:rsidP="0038165F">
            <w:pPr>
              <w:spacing w:line="320" w:lineRule="exact"/>
              <w:rPr>
                <w:rFonts w:eastAsia="標楷體"/>
                <w:sz w:val="28"/>
                <w:szCs w:val="28"/>
              </w:rPr>
            </w:pPr>
            <w:r w:rsidRPr="00D55DC6">
              <w:rPr>
                <w:rFonts w:eastAsia="標楷體"/>
                <w:sz w:val="28"/>
                <w:szCs w:val="28"/>
              </w:rPr>
              <w:t>參訪國家風景區遊客人數</w:t>
            </w:r>
            <w:r w:rsidRPr="00D55DC6">
              <w:rPr>
                <w:rFonts w:eastAsia="標楷體"/>
                <w:sz w:val="28"/>
                <w:szCs w:val="28"/>
              </w:rPr>
              <w:t>(</w:t>
            </w:r>
            <w:r w:rsidRPr="00D55DC6">
              <w:rPr>
                <w:rFonts w:eastAsia="標楷體"/>
                <w:sz w:val="28"/>
                <w:szCs w:val="28"/>
              </w:rPr>
              <w:t>萬人</w:t>
            </w:r>
            <w:r w:rsidRPr="00D55DC6">
              <w:rPr>
                <w:rFonts w:eastAsia="標楷體"/>
                <w:sz w:val="28"/>
                <w:szCs w:val="28"/>
              </w:rPr>
              <w:t xml:space="preserve">) </w:t>
            </w:r>
          </w:p>
        </w:tc>
        <w:tc>
          <w:tcPr>
            <w:tcW w:w="891" w:type="dxa"/>
            <w:tcBorders>
              <w:top w:val="nil"/>
              <w:left w:val="nil"/>
              <w:bottom w:val="single" w:sz="4" w:space="0" w:color="auto"/>
              <w:right w:val="single" w:sz="8" w:space="0" w:color="auto"/>
            </w:tcBorders>
            <w:tcMar>
              <w:top w:w="0" w:type="dxa"/>
              <w:left w:w="28" w:type="dxa"/>
              <w:bottom w:w="0" w:type="dxa"/>
              <w:right w:w="28" w:type="dxa"/>
            </w:tcMar>
            <w:vAlign w:val="center"/>
          </w:tcPr>
          <w:p w:rsidR="00474C2C" w:rsidRPr="00D55DC6" w:rsidRDefault="00474C2C" w:rsidP="0038165F">
            <w:pPr>
              <w:jc w:val="center"/>
              <w:rPr>
                <w:b/>
                <w:bCs/>
                <w:sz w:val="28"/>
              </w:rPr>
            </w:pPr>
            <w:r w:rsidRPr="00D55DC6">
              <w:rPr>
                <w:b/>
                <w:bCs/>
                <w:sz w:val="28"/>
              </w:rPr>
              <w:t>3,891</w:t>
            </w:r>
          </w:p>
        </w:tc>
        <w:tc>
          <w:tcPr>
            <w:tcW w:w="1339" w:type="dxa"/>
            <w:tcBorders>
              <w:top w:val="nil"/>
              <w:left w:val="nil"/>
              <w:bottom w:val="single" w:sz="4" w:space="0" w:color="auto"/>
              <w:right w:val="single" w:sz="8" w:space="0" w:color="auto"/>
            </w:tcBorders>
            <w:tcMar>
              <w:top w:w="0" w:type="dxa"/>
              <w:left w:w="28" w:type="dxa"/>
              <w:bottom w:w="0" w:type="dxa"/>
              <w:right w:w="28" w:type="dxa"/>
            </w:tcMar>
            <w:vAlign w:val="center"/>
          </w:tcPr>
          <w:p w:rsidR="00122F6F" w:rsidRPr="00D55DC6" w:rsidRDefault="00474C2C" w:rsidP="00F85718">
            <w:pPr>
              <w:spacing w:line="0" w:lineRule="atLeast"/>
              <w:jc w:val="center"/>
              <w:rPr>
                <w:b/>
                <w:bCs/>
                <w:sz w:val="28"/>
              </w:rPr>
            </w:pPr>
            <w:r w:rsidRPr="00D55DC6">
              <w:rPr>
                <w:b/>
                <w:bCs/>
                <w:sz w:val="28"/>
              </w:rPr>
              <w:t>4,139</w:t>
            </w:r>
          </w:p>
          <w:p w:rsidR="00474C2C" w:rsidRPr="00D55DC6" w:rsidRDefault="00122F6F" w:rsidP="00F85718">
            <w:pPr>
              <w:spacing w:line="0" w:lineRule="atLeast"/>
              <w:jc w:val="center"/>
              <w:rPr>
                <w:b/>
                <w:bCs/>
                <w:sz w:val="28"/>
              </w:rPr>
            </w:pPr>
            <w:r w:rsidRPr="00D55DC6">
              <w:rPr>
                <w:rFonts w:eastAsia="標楷體"/>
                <w:sz w:val="28"/>
                <w:szCs w:val="28"/>
              </w:rPr>
              <w:t>（預估）</w:t>
            </w:r>
          </w:p>
        </w:tc>
        <w:tc>
          <w:tcPr>
            <w:tcW w:w="1016" w:type="dxa"/>
            <w:tcBorders>
              <w:top w:val="nil"/>
              <w:left w:val="nil"/>
              <w:bottom w:val="single" w:sz="4" w:space="0" w:color="auto"/>
              <w:right w:val="single" w:sz="8" w:space="0" w:color="auto"/>
            </w:tcBorders>
            <w:tcMar>
              <w:top w:w="0" w:type="dxa"/>
              <w:left w:w="28" w:type="dxa"/>
              <w:bottom w:w="0" w:type="dxa"/>
              <w:right w:w="28" w:type="dxa"/>
            </w:tcMar>
            <w:vAlign w:val="center"/>
          </w:tcPr>
          <w:p w:rsidR="00474C2C" w:rsidRPr="00D55DC6" w:rsidRDefault="00304776" w:rsidP="0038165F">
            <w:pPr>
              <w:jc w:val="center"/>
              <w:rPr>
                <w:b/>
                <w:bCs/>
                <w:sz w:val="28"/>
              </w:rPr>
            </w:pPr>
            <w:r w:rsidRPr="00D55DC6">
              <w:rPr>
                <w:b/>
                <w:bCs/>
                <w:sz w:val="28"/>
              </w:rPr>
              <w:t>4,348</w:t>
            </w:r>
          </w:p>
        </w:tc>
        <w:tc>
          <w:tcPr>
            <w:tcW w:w="1017" w:type="dxa"/>
            <w:tcBorders>
              <w:top w:val="nil"/>
              <w:left w:val="nil"/>
              <w:bottom w:val="single" w:sz="4" w:space="0" w:color="auto"/>
              <w:right w:val="single" w:sz="8" w:space="0" w:color="auto"/>
            </w:tcBorders>
            <w:tcMar>
              <w:top w:w="0" w:type="dxa"/>
              <w:left w:w="28" w:type="dxa"/>
              <w:bottom w:w="0" w:type="dxa"/>
              <w:right w:w="28" w:type="dxa"/>
            </w:tcMar>
            <w:vAlign w:val="center"/>
          </w:tcPr>
          <w:p w:rsidR="00474C2C" w:rsidRPr="00D55DC6" w:rsidRDefault="00304776" w:rsidP="0038165F">
            <w:pPr>
              <w:jc w:val="center"/>
              <w:rPr>
                <w:b/>
                <w:bCs/>
                <w:sz w:val="28"/>
              </w:rPr>
            </w:pPr>
            <w:r w:rsidRPr="00D55DC6">
              <w:rPr>
                <w:b/>
                <w:bCs/>
                <w:sz w:val="28"/>
              </w:rPr>
              <w:t>4,451</w:t>
            </w:r>
          </w:p>
        </w:tc>
        <w:tc>
          <w:tcPr>
            <w:tcW w:w="1016" w:type="dxa"/>
            <w:tcBorders>
              <w:top w:val="nil"/>
              <w:left w:val="nil"/>
              <w:bottom w:val="single" w:sz="4" w:space="0" w:color="auto"/>
              <w:right w:val="single" w:sz="8" w:space="0" w:color="auto"/>
            </w:tcBorders>
            <w:tcMar>
              <w:top w:w="0" w:type="dxa"/>
              <w:left w:w="28" w:type="dxa"/>
              <w:bottom w:w="0" w:type="dxa"/>
              <w:right w:w="28" w:type="dxa"/>
            </w:tcMar>
            <w:vAlign w:val="center"/>
          </w:tcPr>
          <w:p w:rsidR="00474C2C" w:rsidRPr="00D55DC6" w:rsidRDefault="00304776" w:rsidP="0038165F">
            <w:pPr>
              <w:jc w:val="center"/>
              <w:rPr>
                <w:b/>
                <w:bCs/>
                <w:sz w:val="28"/>
              </w:rPr>
            </w:pPr>
            <w:r w:rsidRPr="00D55DC6">
              <w:rPr>
                <w:b/>
                <w:bCs/>
                <w:sz w:val="28"/>
              </w:rPr>
              <w:t>4,549</w:t>
            </w:r>
          </w:p>
        </w:tc>
        <w:tc>
          <w:tcPr>
            <w:tcW w:w="1017" w:type="dxa"/>
            <w:tcBorders>
              <w:top w:val="nil"/>
              <w:left w:val="nil"/>
              <w:bottom w:val="single" w:sz="4" w:space="0" w:color="auto"/>
              <w:right w:val="single" w:sz="8" w:space="0" w:color="auto"/>
            </w:tcBorders>
            <w:tcMar>
              <w:top w:w="0" w:type="dxa"/>
              <w:left w:w="28" w:type="dxa"/>
              <w:bottom w:w="0" w:type="dxa"/>
              <w:right w:w="28" w:type="dxa"/>
            </w:tcMar>
            <w:vAlign w:val="center"/>
          </w:tcPr>
          <w:p w:rsidR="00474C2C" w:rsidRPr="00D55DC6" w:rsidRDefault="00304776" w:rsidP="0038165F">
            <w:pPr>
              <w:jc w:val="center"/>
              <w:rPr>
                <w:b/>
                <w:bCs/>
                <w:sz w:val="28"/>
              </w:rPr>
            </w:pPr>
            <w:r w:rsidRPr="00D55DC6">
              <w:rPr>
                <w:b/>
                <w:bCs/>
                <w:sz w:val="28"/>
              </w:rPr>
              <w:t>4,665</w:t>
            </w:r>
          </w:p>
        </w:tc>
        <w:tc>
          <w:tcPr>
            <w:tcW w:w="1400" w:type="dxa"/>
            <w:tcBorders>
              <w:top w:val="nil"/>
              <w:left w:val="nil"/>
              <w:bottom w:val="single" w:sz="4" w:space="0" w:color="auto"/>
              <w:right w:val="single" w:sz="8" w:space="0" w:color="auto"/>
            </w:tcBorders>
            <w:vAlign w:val="center"/>
          </w:tcPr>
          <w:p w:rsidR="00474C2C" w:rsidRPr="00D55DC6" w:rsidRDefault="00304776" w:rsidP="0038165F">
            <w:pPr>
              <w:spacing w:line="320" w:lineRule="exact"/>
              <w:jc w:val="center"/>
              <w:rPr>
                <w:b/>
                <w:bCs/>
                <w:sz w:val="28"/>
              </w:rPr>
            </w:pPr>
            <w:r w:rsidRPr="00D55DC6">
              <w:rPr>
                <w:b/>
                <w:bCs/>
                <w:sz w:val="28"/>
              </w:rPr>
              <w:t>18,013</w:t>
            </w:r>
          </w:p>
        </w:tc>
      </w:tr>
      <w:tr w:rsidR="001D0350" w:rsidRPr="00D55DC6" w:rsidTr="002C0CD1">
        <w:trPr>
          <w:trHeight w:val="675"/>
        </w:trPr>
        <w:tc>
          <w:tcPr>
            <w:tcW w:w="4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474C2C" w:rsidRPr="00D55DC6" w:rsidRDefault="0008781F" w:rsidP="0038165F">
            <w:pPr>
              <w:spacing w:line="320" w:lineRule="exact"/>
              <w:jc w:val="center"/>
              <w:rPr>
                <w:rFonts w:eastAsia="標楷體"/>
                <w:sz w:val="28"/>
                <w:szCs w:val="28"/>
              </w:rPr>
            </w:pPr>
            <w:r w:rsidRPr="00D55DC6">
              <w:rPr>
                <w:rFonts w:eastAsia="標楷體" w:hint="eastAsia"/>
                <w:sz w:val="28"/>
                <w:szCs w:val="28"/>
              </w:rPr>
              <w:t>3</w:t>
            </w:r>
          </w:p>
        </w:tc>
        <w:tc>
          <w:tcPr>
            <w:tcW w:w="153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474C2C" w:rsidRPr="00D55DC6" w:rsidRDefault="00474C2C" w:rsidP="0038165F">
            <w:pPr>
              <w:spacing w:line="320" w:lineRule="exact"/>
              <w:rPr>
                <w:rFonts w:eastAsia="標楷體"/>
                <w:sz w:val="28"/>
                <w:szCs w:val="28"/>
              </w:rPr>
            </w:pPr>
            <w:r w:rsidRPr="00D55DC6">
              <w:rPr>
                <w:rFonts w:eastAsia="標楷體"/>
                <w:sz w:val="28"/>
                <w:szCs w:val="28"/>
              </w:rPr>
              <w:t>國家風景區觀光產值</w:t>
            </w:r>
            <w:r w:rsidRPr="00D55DC6">
              <w:rPr>
                <w:rFonts w:eastAsia="標楷體"/>
                <w:sz w:val="28"/>
                <w:szCs w:val="28"/>
              </w:rPr>
              <w:t>(</w:t>
            </w:r>
            <w:r w:rsidRPr="00D55DC6">
              <w:rPr>
                <w:rFonts w:eastAsia="標楷體"/>
                <w:sz w:val="28"/>
                <w:szCs w:val="28"/>
              </w:rPr>
              <w:t>億元</w:t>
            </w:r>
            <w:r w:rsidRPr="00D55DC6">
              <w:rPr>
                <w:rFonts w:eastAsia="標楷體"/>
                <w:sz w:val="28"/>
                <w:szCs w:val="28"/>
              </w:rPr>
              <w:t>)</w:t>
            </w:r>
          </w:p>
        </w:tc>
        <w:tc>
          <w:tcPr>
            <w:tcW w:w="89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74C2C" w:rsidRPr="00D55DC6" w:rsidRDefault="00474C2C" w:rsidP="0038165F">
            <w:pPr>
              <w:jc w:val="center"/>
              <w:rPr>
                <w:b/>
                <w:bCs/>
                <w:sz w:val="28"/>
              </w:rPr>
            </w:pPr>
            <w:r w:rsidRPr="00D55DC6">
              <w:rPr>
                <w:b/>
                <w:bCs/>
                <w:sz w:val="28"/>
              </w:rPr>
              <w:t>895</w:t>
            </w:r>
          </w:p>
        </w:tc>
        <w:tc>
          <w:tcPr>
            <w:tcW w:w="13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74C2C" w:rsidRPr="00D55DC6" w:rsidRDefault="00491DA3" w:rsidP="00F85718">
            <w:pPr>
              <w:spacing w:line="0" w:lineRule="atLeast"/>
              <w:jc w:val="center"/>
              <w:rPr>
                <w:b/>
                <w:bCs/>
                <w:sz w:val="28"/>
              </w:rPr>
            </w:pPr>
            <w:r w:rsidRPr="00D55DC6">
              <w:rPr>
                <w:b/>
                <w:bCs/>
                <w:sz w:val="28"/>
              </w:rPr>
              <w:t>942</w:t>
            </w:r>
          </w:p>
          <w:p w:rsidR="00122F6F" w:rsidRPr="00D55DC6" w:rsidRDefault="00F85718" w:rsidP="00F85718">
            <w:pPr>
              <w:spacing w:line="0" w:lineRule="atLeast"/>
              <w:jc w:val="center"/>
              <w:rPr>
                <w:rFonts w:ascii="標楷體" w:eastAsia="標楷體" w:hAnsi="標楷體"/>
                <w:bCs/>
                <w:sz w:val="28"/>
              </w:rPr>
            </w:pPr>
            <w:r w:rsidRPr="00D55DC6">
              <w:rPr>
                <w:rFonts w:ascii="標楷體" w:eastAsia="標楷體" w:hAnsi="標楷體"/>
                <w:bCs/>
                <w:sz w:val="28"/>
              </w:rPr>
              <w:t>（預估）</w:t>
            </w:r>
          </w:p>
        </w:tc>
        <w:tc>
          <w:tcPr>
            <w:tcW w:w="10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74C2C" w:rsidRPr="00D55DC6" w:rsidRDefault="00491DA3" w:rsidP="0038165F">
            <w:pPr>
              <w:jc w:val="center"/>
              <w:rPr>
                <w:b/>
                <w:bCs/>
                <w:sz w:val="28"/>
              </w:rPr>
            </w:pPr>
            <w:r w:rsidRPr="00D55DC6">
              <w:rPr>
                <w:b/>
                <w:bCs/>
                <w:sz w:val="28"/>
              </w:rPr>
              <w:t>988</w:t>
            </w:r>
          </w:p>
        </w:tc>
        <w:tc>
          <w:tcPr>
            <w:tcW w:w="10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74C2C" w:rsidRPr="00D55DC6" w:rsidRDefault="00491DA3" w:rsidP="0038165F">
            <w:pPr>
              <w:jc w:val="center"/>
              <w:rPr>
                <w:b/>
                <w:bCs/>
                <w:sz w:val="28"/>
              </w:rPr>
            </w:pPr>
            <w:r w:rsidRPr="00D55DC6">
              <w:rPr>
                <w:b/>
                <w:bCs/>
                <w:sz w:val="28"/>
              </w:rPr>
              <w:t>1,023</w:t>
            </w:r>
          </w:p>
        </w:tc>
        <w:tc>
          <w:tcPr>
            <w:tcW w:w="10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74C2C" w:rsidRPr="00D55DC6" w:rsidRDefault="00491DA3" w:rsidP="0038165F">
            <w:pPr>
              <w:jc w:val="center"/>
              <w:rPr>
                <w:b/>
                <w:bCs/>
                <w:sz w:val="28"/>
              </w:rPr>
            </w:pPr>
            <w:r w:rsidRPr="00D55DC6">
              <w:rPr>
                <w:b/>
                <w:bCs/>
                <w:sz w:val="28"/>
              </w:rPr>
              <w:t>1,053</w:t>
            </w:r>
          </w:p>
        </w:tc>
        <w:tc>
          <w:tcPr>
            <w:tcW w:w="10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74C2C" w:rsidRPr="00D55DC6" w:rsidRDefault="00491DA3" w:rsidP="004A3FAE">
            <w:pPr>
              <w:jc w:val="center"/>
              <w:rPr>
                <w:b/>
                <w:bCs/>
                <w:sz w:val="28"/>
              </w:rPr>
            </w:pPr>
            <w:r w:rsidRPr="00D55DC6">
              <w:rPr>
                <w:b/>
                <w:bCs/>
                <w:sz w:val="28"/>
              </w:rPr>
              <w:t>1,09</w:t>
            </w:r>
            <w:r w:rsidR="004A3FAE" w:rsidRPr="00D55DC6">
              <w:rPr>
                <w:b/>
                <w:bCs/>
                <w:sz w:val="28"/>
              </w:rPr>
              <w:t>0</w:t>
            </w:r>
          </w:p>
        </w:tc>
        <w:tc>
          <w:tcPr>
            <w:tcW w:w="1400" w:type="dxa"/>
            <w:tcBorders>
              <w:top w:val="single" w:sz="4" w:space="0" w:color="auto"/>
              <w:left w:val="single" w:sz="4" w:space="0" w:color="auto"/>
              <w:bottom w:val="single" w:sz="4" w:space="0" w:color="auto"/>
              <w:right w:val="single" w:sz="4" w:space="0" w:color="auto"/>
            </w:tcBorders>
            <w:vAlign w:val="center"/>
          </w:tcPr>
          <w:p w:rsidR="00474C2C" w:rsidRPr="00D55DC6" w:rsidRDefault="00491DA3" w:rsidP="004A3FAE">
            <w:pPr>
              <w:spacing w:line="320" w:lineRule="exact"/>
              <w:jc w:val="center"/>
              <w:rPr>
                <w:b/>
                <w:bCs/>
                <w:sz w:val="28"/>
              </w:rPr>
            </w:pPr>
            <w:r w:rsidRPr="00D55DC6">
              <w:rPr>
                <w:b/>
                <w:bCs/>
                <w:sz w:val="28"/>
              </w:rPr>
              <w:t>4,15</w:t>
            </w:r>
            <w:r w:rsidR="004A3FAE" w:rsidRPr="00D55DC6">
              <w:rPr>
                <w:b/>
                <w:bCs/>
                <w:sz w:val="28"/>
              </w:rPr>
              <w:t>4</w:t>
            </w:r>
          </w:p>
        </w:tc>
      </w:tr>
      <w:tr w:rsidR="001D0350" w:rsidRPr="00D55DC6" w:rsidTr="002C0CD1">
        <w:trPr>
          <w:trHeight w:val="675"/>
        </w:trPr>
        <w:tc>
          <w:tcPr>
            <w:tcW w:w="4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5D6A74" w:rsidRPr="00D55DC6" w:rsidRDefault="0008781F" w:rsidP="0038165F">
            <w:pPr>
              <w:spacing w:line="320" w:lineRule="exact"/>
              <w:jc w:val="center"/>
              <w:rPr>
                <w:rFonts w:eastAsia="標楷體"/>
                <w:sz w:val="28"/>
                <w:szCs w:val="28"/>
              </w:rPr>
            </w:pPr>
            <w:r w:rsidRPr="00D55DC6">
              <w:rPr>
                <w:rFonts w:eastAsia="標楷體" w:hint="eastAsia"/>
                <w:sz w:val="28"/>
                <w:szCs w:val="28"/>
              </w:rPr>
              <w:t>4</w:t>
            </w:r>
          </w:p>
        </w:tc>
        <w:tc>
          <w:tcPr>
            <w:tcW w:w="153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5D6A74" w:rsidRPr="00D55DC6" w:rsidRDefault="005D6A74" w:rsidP="0038165F">
            <w:pPr>
              <w:spacing w:line="320" w:lineRule="exact"/>
              <w:rPr>
                <w:rFonts w:eastAsia="標楷體"/>
                <w:sz w:val="28"/>
                <w:szCs w:val="28"/>
              </w:rPr>
            </w:pPr>
            <w:r w:rsidRPr="00D55DC6">
              <w:rPr>
                <w:rFonts w:eastAsia="標楷體"/>
                <w:sz w:val="28"/>
                <w:szCs w:val="28"/>
              </w:rPr>
              <w:t>性別友善設施完成數</w:t>
            </w:r>
            <w:r w:rsidRPr="00D55DC6">
              <w:rPr>
                <w:rFonts w:eastAsia="標楷體"/>
                <w:sz w:val="28"/>
                <w:szCs w:val="28"/>
              </w:rPr>
              <w:t>(</w:t>
            </w:r>
            <w:r w:rsidRPr="00D55DC6">
              <w:rPr>
                <w:rFonts w:eastAsia="標楷體"/>
                <w:sz w:val="28"/>
                <w:szCs w:val="28"/>
              </w:rPr>
              <w:t>處</w:t>
            </w:r>
            <w:r w:rsidRPr="00D55DC6">
              <w:rPr>
                <w:rFonts w:eastAsia="標楷體"/>
                <w:sz w:val="28"/>
                <w:szCs w:val="28"/>
              </w:rPr>
              <w:t>)</w:t>
            </w:r>
          </w:p>
        </w:tc>
        <w:tc>
          <w:tcPr>
            <w:tcW w:w="89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5D6A74" w:rsidRPr="00D55DC6" w:rsidRDefault="00076B98" w:rsidP="0038165F">
            <w:pPr>
              <w:jc w:val="center"/>
              <w:rPr>
                <w:b/>
                <w:bCs/>
                <w:sz w:val="28"/>
              </w:rPr>
            </w:pPr>
            <w:r w:rsidRPr="00D55DC6">
              <w:rPr>
                <w:b/>
                <w:bCs/>
                <w:sz w:val="28"/>
              </w:rPr>
              <w:t>14</w:t>
            </w:r>
          </w:p>
        </w:tc>
        <w:tc>
          <w:tcPr>
            <w:tcW w:w="13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5D6A74" w:rsidRPr="00D55DC6" w:rsidRDefault="00076B98" w:rsidP="002A3B8B">
            <w:pPr>
              <w:jc w:val="center"/>
              <w:rPr>
                <w:b/>
                <w:bCs/>
                <w:sz w:val="28"/>
              </w:rPr>
            </w:pPr>
            <w:r w:rsidRPr="00D55DC6">
              <w:rPr>
                <w:b/>
                <w:bCs/>
                <w:sz w:val="28"/>
              </w:rPr>
              <w:t>20</w:t>
            </w:r>
          </w:p>
        </w:tc>
        <w:tc>
          <w:tcPr>
            <w:tcW w:w="10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5D6A74" w:rsidRPr="00D55DC6" w:rsidRDefault="00076B98" w:rsidP="002A3B8B">
            <w:pPr>
              <w:jc w:val="center"/>
              <w:rPr>
                <w:b/>
                <w:bCs/>
                <w:sz w:val="28"/>
              </w:rPr>
            </w:pPr>
            <w:r w:rsidRPr="00D55DC6">
              <w:rPr>
                <w:b/>
                <w:bCs/>
                <w:sz w:val="28"/>
              </w:rPr>
              <w:t>17</w:t>
            </w:r>
          </w:p>
        </w:tc>
        <w:tc>
          <w:tcPr>
            <w:tcW w:w="10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5D6A74" w:rsidRPr="00D55DC6" w:rsidRDefault="00076B98" w:rsidP="002A3B8B">
            <w:pPr>
              <w:jc w:val="center"/>
              <w:rPr>
                <w:b/>
                <w:bCs/>
                <w:sz w:val="28"/>
              </w:rPr>
            </w:pPr>
            <w:r w:rsidRPr="00D55DC6">
              <w:rPr>
                <w:b/>
                <w:bCs/>
                <w:sz w:val="28"/>
              </w:rPr>
              <w:t>16</w:t>
            </w:r>
          </w:p>
        </w:tc>
        <w:tc>
          <w:tcPr>
            <w:tcW w:w="10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5D6A74" w:rsidRPr="00D55DC6" w:rsidRDefault="00076B98" w:rsidP="002A3B8B">
            <w:pPr>
              <w:jc w:val="center"/>
              <w:rPr>
                <w:b/>
                <w:bCs/>
                <w:sz w:val="28"/>
              </w:rPr>
            </w:pPr>
            <w:r w:rsidRPr="00D55DC6">
              <w:rPr>
                <w:b/>
                <w:bCs/>
                <w:sz w:val="28"/>
              </w:rPr>
              <w:t>18</w:t>
            </w:r>
          </w:p>
        </w:tc>
        <w:tc>
          <w:tcPr>
            <w:tcW w:w="10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5D6A74" w:rsidRPr="00D55DC6" w:rsidRDefault="00076B98" w:rsidP="002A3B8B">
            <w:pPr>
              <w:jc w:val="center"/>
              <w:rPr>
                <w:b/>
                <w:bCs/>
                <w:sz w:val="28"/>
              </w:rPr>
            </w:pPr>
            <w:r w:rsidRPr="00D55DC6">
              <w:rPr>
                <w:b/>
                <w:bCs/>
                <w:sz w:val="28"/>
              </w:rPr>
              <w:t>17</w:t>
            </w:r>
          </w:p>
        </w:tc>
        <w:tc>
          <w:tcPr>
            <w:tcW w:w="1400" w:type="dxa"/>
            <w:tcBorders>
              <w:top w:val="single" w:sz="4" w:space="0" w:color="auto"/>
              <w:left w:val="single" w:sz="4" w:space="0" w:color="auto"/>
              <w:bottom w:val="single" w:sz="4" w:space="0" w:color="auto"/>
              <w:right w:val="single" w:sz="4" w:space="0" w:color="auto"/>
            </w:tcBorders>
            <w:vAlign w:val="center"/>
          </w:tcPr>
          <w:p w:rsidR="005D6A74" w:rsidRPr="00D55DC6" w:rsidRDefault="00076B98" w:rsidP="002A3B8B">
            <w:pPr>
              <w:jc w:val="center"/>
              <w:rPr>
                <w:b/>
                <w:bCs/>
                <w:sz w:val="28"/>
              </w:rPr>
            </w:pPr>
            <w:r w:rsidRPr="00D55DC6">
              <w:rPr>
                <w:b/>
                <w:bCs/>
                <w:sz w:val="28"/>
              </w:rPr>
              <w:t>68</w:t>
            </w:r>
          </w:p>
        </w:tc>
      </w:tr>
      <w:tr w:rsidR="008C2BBF" w:rsidRPr="00D55DC6" w:rsidTr="002C0CD1">
        <w:trPr>
          <w:trHeight w:val="675"/>
        </w:trPr>
        <w:tc>
          <w:tcPr>
            <w:tcW w:w="41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8C2BBF" w:rsidRPr="00D55DC6" w:rsidRDefault="0008781F" w:rsidP="0038165F">
            <w:pPr>
              <w:spacing w:line="320" w:lineRule="exact"/>
              <w:jc w:val="center"/>
              <w:rPr>
                <w:rFonts w:eastAsia="標楷體"/>
                <w:sz w:val="28"/>
                <w:szCs w:val="28"/>
              </w:rPr>
            </w:pPr>
            <w:r w:rsidRPr="00D55DC6">
              <w:rPr>
                <w:rFonts w:eastAsia="標楷體" w:hint="eastAsia"/>
                <w:sz w:val="28"/>
                <w:szCs w:val="28"/>
              </w:rPr>
              <w:t>5</w:t>
            </w:r>
          </w:p>
        </w:tc>
        <w:tc>
          <w:tcPr>
            <w:tcW w:w="153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8C2BBF" w:rsidRPr="00D55DC6" w:rsidRDefault="008C2BBF" w:rsidP="008C2BBF">
            <w:pPr>
              <w:spacing w:line="320" w:lineRule="exact"/>
              <w:rPr>
                <w:rFonts w:eastAsia="標楷體"/>
                <w:sz w:val="28"/>
                <w:szCs w:val="28"/>
              </w:rPr>
            </w:pPr>
            <w:r w:rsidRPr="00D55DC6">
              <w:rPr>
                <w:rFonts w:eastAsia="標楷體"/>
                <w:sz w:val="28"/>
                <w:szCs w:val="28"/>
              </w:rPr>
              <w:t>轄區經管設施公共意外責任險</w:t>
            </w:r>
            <w:r w:rsidRPr="00D55DC6">
              <w:rPr>
                <w:rFonts w:eastAsia="標楷體" w:hint="eastAsia"/>
                <w:sz w:val="28"/>
                <w:szCs w:val="28"/>
              </w:rPr>
              <w:t>確定</w:t>
            </w:r>
            <w:r w:rsidRPr="00D55DC6">
              <w:rPr>
                <w:rFonts w:eastAsia="標楷體"/>
                <w:sz w:val="28"/>
                <w:szCs w:val="28"/>
              </w:rPr>
              <w:t>理賠件數上限</w:t>
            </w:r>
            <w:r w:rsidRPr="00D55DC6">
              <w:rPr>
                <w:rFonts w:eastAsia="標楷體"/>
                <w:sz w:val="28"/>
                <w:szCs w:val="28"/>
              </w:rPr>
              <w:t>(</w:t>
            </w:r>
            <w:r w:rsidRPr="00D55DC6">
              <w:rPr>
                <w:rFonts w:eastAsia="標楷體"/>
                <w:sz w:val="28"/>
                <w:szCs w:val="28"/>
              </w:rPr>
              <w:t>件</w:t>
            </w:r>
            <w:r w:rsidRPr="00D55DC6">
              <w:rPr>
                <w:rFonts w:eastAsia="標楷體"/>
                <w:sz w:val="28"/>
                <w:szCs w:val="28"/>
              </w:rPr>
              <w:t>)</w:t>
            </w:r>
          </w:p>
        </w:tc>
        <w:tc>
          <w:tcPr>
            <w:tcW w:w="89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8C2BBF" w:rsidRPr="00D55DC6" w:rsidRDefault="008C2BBF">
            <w:pPr>
              <w:jc w:val="center"/>
              <w:rPr>
                <w:b/>
                <w:bCs/>
                <w:sz w:val="28"/>
              </w:rPr>
            </w:pPr>
            <w:r w:rsidRPr="00D55DC6">
              <w:rPr>
                <w:rFonts w:hint="eastAsia"/>
                <w:b/>
                <w:bCs/>
                <w:sz w:val="28"/>
              </w:rPr>
              <w:t>-</w:t>
            </w:r>
          </w:p>
        </w:tc>
        <w:tc>
          <w:tcPr>
            <w:tcW w:w="133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8C2BBF" w:rsidRPr="00D55DC6" w:rsidRDefault="008C2BBF">
            <w:pPr>
              <w:jc w:val="center"/>
              <w:rPr>
                <w:b/>
                <w:bCs/>
                <w:sz w:val="28"/>
              </w:rPr>
            </w:pPr>
            <w:r w:rsidRPr="00D55DC6">
              <w:rPr>
                <w:rFonts w:hint="eastAsia"/>
                <w:b/>
                <w:bCs/>
                <w:sz w:val="28"/>
              </w:rPr>
              <w:t>-</w:t>
            </w:r>
          </w:p>
        </w:tc>
        <w:tc>
          <w:tcPr>
            <w:tcW w:w="10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8C2BBF" w:rsidRPr="00D55DC6" w:rsidRDefault="00EF3159">
            <w:pPr>
              <w:jc w:val="center"/>
              <w:rPr>
                <w:b/>
                <w:bCs/>
                <w:sz w:val="28"/>
              </w:rPr>
            </w:pPr>
            <w:r w:rsidRPr="00D55DC6">
              <w:rPr>
                <w:rFonts w:hint="eastAsia"/>
                <w:b/>
                <w:bCs/>
                <w:sz w:val="28"/>
              </w:rPr>
              <w:t>34</w:t>
            </w:r>
          </w:p>
        </w:tc>
        <w:tc>
          <w:tcPr>
            <w:tcW w:w="10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8C2BBF" w:rsidRPr="00D55DC6" w:rsidRDefault="00EF3159">
            <w:pPr>
              <w:jc w:val="center"/>
              <w:rPr>
                <w:b/>
                <w:bCs/>
                <w:sz w:val="28"/>
              </w:rPr>
            </w:pPr>
            <w:r w:rsidRPr="00D55DC6">
              <w:rPr>
                <w:rFonts w:hint="eastAsia"/>
                <w:b/>
                <w:bCs/>
                <w:sz w:val="28"/>
              </w:rPr>
              <w:t>32</w:t>
            </w:r>
          </w:p>
        </w:tc>
        <w:tc>
          <w:tcPr>
            <w:tcW w:w="101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8C2BBF" w:rsidRPr="00D55DC6" w:rsidRDefault="00EF3159" w:rsidP="009331E0">
            <w:pPr>
              <w:jc w:val="center"/>
              <w:rPr>
                <w:b/>
                <w:bCs/>
                <w:sz w:val="28"/>
              </w:rPr>
            </w:pPr>
            <w:r w:rsidRPr="00D55DC6">
              <w:rPr>
                <w:rFonts w:hint="eastAsia"/>
                <w:b/>
                <w:bCs/>
                <w:sz w:val="28"/>
              </w:rPr>
              <w:t>31</w:t>
            </w:r>
          </w:p>
        </w:tc>
        <w:tc>
          <w:tcPr>
            <w:tcW w:w="101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8C2BBF" w:rsidRPr="00D55DC6" w:rsidRDefault="00EF3159">
            <w:pPr>
              <w:jc w:val="center"/>
              <w:rPr>
                <w:b/>
                <w:bCs/>
                <w:sz w:val="28"/>
              </w:rPr>
            </w:pPr>
            <w:r w:rsidRPr="00D55DC6">
              <w:rPr>
                <w:rFonts w:hint="eastAsia"/>
                <w:b/>
                <w:bCs/>
                <w:sz w:val="28"/>
              </w:rPr>
              <w:t>26</w:t>
            </w:r>
          </w:p>
        </w:tc>
        <w:tc>
          <w:tcPr>
            <w:tcW w:w="1400" w:type="dxa"/>
            <w:tcBorders>
              <w:top w:val="single" w:sz="4" w:space="0" w:color="auto"/>
              <w:left w:val="single" w:sz="4" w:space="0" w:color="auto"/>
              <w:bottom w:val="single" w:sz="4" w:space="0" w:color="auto"/>
              <w:right w:val="single" w:sz="4" w:space="0" w:color="auto"/>
            </w:tcBorders>
            <w:vAlign w:val="center"/>
          </w:tcPr>
          <w:p w:rsidR="008C2BBF" w:rsidRPr="00D55DC6" w:rsidRDefault="009331E0" w:rsidP="00EF3159">
            <w:pPr>
              <w:jc w:val="center"/>
              <w:rPr>
                <w:b/>
                <w:bCs/>
                <w:sz w:val="28"/>
              </w:rPr>
            </w:pPr>
            <w:r w:rsidRPr="00D55DC6">
              <w:rPr>
                <w:rFonts w:hint="eastAsia"/>
                <w:b/>
                <w:bCs/>
                <w:sz w:val="28"/>
              </w:rPr>
              <w:t>1</w:t>
            </w:r>
            <w:r w:rsidR="00EF3159" w:rsidRPr="00D55DC6">
              <w:rPr>
                <w:rFonts w:hint="eastAsia"/>
                <w:b/>
                <w:bCs/>
                <w:sz w:val="28"/>
              </w:rPr>
              <w:t>23</w:t>
            </w:r>
          </w:p>
        </w:tc>
      </w:tr>
    </w:tbl>
    <w:p w:rsidR="0052320B" w:rsidRPr="00D55DC6" w:rsidRDefault="0052320B" w:rsidP="0038165F">
      <w:pPr>
        <w:pStyle w:val="a"/>
        <w:numPr>
          <w:ilvl w:val="0"/>
          <w:numId w:val="0"/>
        </w:numPr>
        <w:spacing w:line="320" w:lineRule="exact"/>
        <w:ind w:rightChars="-236" w:right="-566"/>
      </w:pPr>
      <w:bookmarkStart w:id="46" w:name="_Toc407181629"/>
    </w:p>
    <w:p w:rsidR="0052320B" w:rsidRPr="00D55DC6" w:rsidRDefault="0052320B" w:rsidP="0038165F">
      <w:pPr>
        <w:pStyle w:val="a"/>
        <w:numPr>
          <w:ilvl w:val="0"/>
          <w:numId w:val="0"/>
        </w:numPr>
        <w:spacing w:line="320" w:lineRule="exact"/>
        <w:ind w:rightChars="-236" w:right="-566"/>
      </w:pPr>
    </w:p>
    <w:p w:rsidR="00875CE0" w:rsidRPr="00D55DC6" w:rsidRDefault="00875CE0" w:rsidP="0038165F">
      <w:pPr>
        <w:pStyle w:val="a"/>
        <w:numPr>
          <w:ilvl w:val="0"/>
          <w:numId w:val="0"/>
        </w:numPr>
        <w:spacing w:line="320" w:lineRule="exact"/>
        <w:ind w:rightChars="-236" w:right="-566"/>
      </w:pPr>
      <w:r w:rsidRPr="00D55DC6">
        <w:t>備註：</w:t>
      </w:r>
      <w:bookmarkEnd w:id="46"/>
    </w:p>
    <w:p w:rsidR="001370BE" w:rsidRPr="00D55DC6" w:rsidRDefault="0008781F" w:rsidP="0008781F">
      <w:pPr>
        <w:pStyle w:val="a"/>
        <w:numPr>
          <w:ilvl w:val="0"/>
          <w:numId w:val="0"/>
        </w:numPr>
        <w:spacing w:line="320" w:lineRule="exact"/>
        <w:ind w:leftChars="58" w:left="425" w:rightChars="-236" w:right="-566" w:hangingChars="102" w:hanging="286"/>
      </w:pPr>
      <w:bookmarkStart w:id="47" w:name="_Toc407181631"/>
      <w:r w:rsidRPr="00D55DC6">
        <w:rPr>
          <w:rFonts w:hint="eastAsia"/>
        </w:rPr>
        <w:t>1</w:t>
      </w:r>
      <w:r w:rsidR="00875CE0" w:rsidRPr="00D55DC6">
        <w:t>.</w:t>
      </w:r>
      <w:r w:rsidR="001370BE" w:rsidRPr="00D55DC6">
        <w:t>重要觀光景點建設完成數</w:t>
      </w:r>
      <w:r w:rsidR="001370BE" w:rsidRPr="00D55DC6">
        <w:t>(</w:t>
      </w:r>
      <w:r w:rsidR="001370BE" w:rsidRPr="00D55DC6">
        <w:t>處</w:t>
      </w:r>
      <w:r w:rsidR="001370BE" w:rsidRPr="00D55DC6">
        <w:t>):</w:t>
      </w:r>
      <w:r w:rsidR="001370BE" w:rsidRPr="00D55DC6">
        <w:t>依各國家風景區每年預計完成重要觀光景點數目標值加總。</w:t>
      </w:r>
    </w:p>
    <w:p w:rsidR="00CF2E6F" w:rsidRPr="00D55DC6" w:rsidRDefault="0008781F" w:rsidP="0008781F">
      <w:pPr>
        <w:pStyle w:val="a"/>
        <w:numPr>
          <w:ilvl w:val="0"/>
          <w:numId w:val="0"/>
        </w:numPr>
        <w:spacing w:line="320" w:lineRule="exact"/>
        <w:ind w:leftChars="58" w:left="425" w:rightChars="-236" w:right="-566" w:hangingChars="102" w:hanging="286"/>
      </w:pPr>
      <w:r w:rsidRPr="00D55DC6">
        <w:rPr>
          <w:rFonts w:hint="eastAsia"/>
        </w:rPr>
        <w:t>2</w:t>
      </w:r>
      <w:r w:rsidR="001370BE" w:rsidRPr="00D55DC6">
        <w:t>.</w:t>
      </w:r>
      <w:r w:rsidR="00875CE0" w:rsidRPr="00D55DC6">
        <w:t>參訪國家風景區遊客人數</w:t>
      </w:r>
      <w:r w:rsidR="00875CE0" w:rsidRPr="00D55DC6">
        <w:t>(</w:t>
      </w:r>
      <w:r w:rsidR="00875CE0" w:rsidRPr="00D55DC6">
        <w:t>萬人</w:t>
      </w:r>
      <w:r w:rsidR="00875CE0" w:rsidRPr="00D55DC6">
        <w:t>)</w:t>
      </w:r>
      <w:r w:rsidR="00875CE0" w:rsidRPr="00D55DC6">
        <w:t>：依據交通部觀光局</w:t>
      </w:r>
      <w:r w:rsidR="001370BE" w:rsidRPr="00D55DC6">
        <w:t>或所轄</w:t>
      </w:r>
      <w:r w:rsidR="00875CE0" w:rsidRPr="00D55DC6">
        <w:t>「國家風景區遊客調查報告」資料推估。</w:t>
      </w:r>
      <w:bookmarkEnd w:id="47"/>
    </w:p>
    <w:p w:rsidR="001370BE" w:rsidRPr="00D55DC6" w:rsidRDefault="0008781F" w:rsidP="0008781F">
      <w:pPr>
        <w:pStyle w:val="a"/>
        <w:numPr>
          <w:ilvl w:val="0"/>
          <w:numId w:val="0"/>
        </w:numPr>
        <w:spacing w:line="320" w:lineRule="exact"/>
        <w:ind w:leftChars="58" w:left="425" w:rightChars="-236" w:right="-566" w:hangingChars="102" w:hanging="286"/>
      </w:pPr>
      <w:r w:rsidRPr="00D55DC6">
        <w:rPr>
          <w:rFonts w:hint="eastAsia"/>
        </w:rPr>
        <w:t>3</w:t>
      </w:r>
      <w:r w:rsidR="001370BE" w:rsidRPr="00D55DC6">
        <w:t>.</w:t>
      </w:r>
      <w:r w:rsidR="001370BE" w:rsidRPr="00D55DC6">
        <w:t>國家風景區觀光產值（新臺幣億元）：依各國家風景區之（各年度之遊客人次</w:t>
      </w:r>
      <w:r w:rsidR="001370BE" w:rsidRPr="00D55DC6">
        <w:t>x</w:t>
      </w:r>
      <w:r w:rsidR="001370BE" w:rsidRPr="00D55DC6">
        <w:t>每人每日平均消費</w:t>
      </w:r>
      <w:r w:rsidR="001370BE" w:rsidRPr="00D55DC6">
        <w:t>x</w:t>
      </w:r>
      <w:r w:rsidR="001370BE" w:rsidRPr="00D55DC6">
        <w:t>停留天數）估算加總。</w:t>
      </w:r>
    </w:p>
    <w:p w:rsidR="001370BE" w:rsidRPr="00D55DC6" w:rsidRDefault="0008781F" w:rsidP="0008781F">
      <w:pPr>
        <w:pStyle w:val="a"/>
        <w:numPr>
          <w:ilvl w:val="0"/>
          <w:numId w:val="0"/>
        </w:numPr>
        <w:spacing w:line="320" w:lineRule="exact"/>
        <w:ind w:leftChars="58" w:left="425" w:rightChars="-236" w:right="-566" w:hangingChars="102" w:hanging="286"/>
      </w:pPr>
      <w:r w:rsidRPr="00D55DC6">
        <w:rPr>
          <w:rFonts w:hint="eastAsia"/>
        </w:rPr>
        <w:t>4</w:t>
      </w:r>
      <w:r w:rsidR="001370BE" w:rsidRPr="00D55DC6">
        <w:t>.</w:t>
      </w:r>
      <w:r w:rsidR="001370BE" w:rsidRPr="00D55DC6">
        <w:t>性別友善設施完成數（處）：依各國家風景區以性別考量改善設施完成數加總。</w:t>
      </w:r>
    </w:p>
    <w:p w:rsidR="001370BE" w:rsidRPr="00D55DC6" w:rsidRDefault="0008781F" w:rsidP="0008781F">
      <w:pPr>
        <w:pStyle w:val="a"/>
        <w:numPr>
          <w:ilvl w:val="0"/>
          <w:numId w:val="0"/>
        </w:numPr>
        <w:spacing w:line="320" w:lineRule="exact"/>
        <w:ind w:leftChars="58" w:left="425" w:rightChars="-236" w:right="-566" w:hangingChars="102" w:hanging="286"/>
      </w:pPr>
      <w:r w:rsidRPr="00D55DC6">
        <w:rPr>
          <w:rFonts w:hint="eastAsia"/>
        </w:rPr>
        <w:t>5</w:t>
      </w:r>
      <w:r w:rsidR="001370BE" w:rsidRPr="00D55DC6">
        <w:t>.</w:t>
      </w:r>
      <w:r w:rsidR="005C51C2" w:rsidRPr="00D55DC6">
        <w:t>轄區經管設施公共意外責任險確</w:t>
      </w:r>
      <w:r w:rsidR="005C51C2" w:rsidRPr="00D55DC6">
        <w:rPr>
          <w:rFonts w:hint="eastAsia"/>
        </w:rPr>
        <w:t>定</w:t>
      </w:r>
      <w:r w:rsidR="002F5D4E" w:rsidRPr="00D55DC6">
        <w:t>理賠件數上限</w:t>
      </w:r>
      <w:r w:rsidR="001370BE" w:rsidRPr="00D55DC6">
        <w:t>(</w:t>
      </w:r>
      <w:r w:rsidR="001370BE" w:rsidRPr="00D55DC6">
        <w:t>件</w:t>
      </w:r>
      <w:r w:rsidR="001370BE" w:rsidRPr="00D55DC6">
        <w:t>)</w:t>
      </w:r>
      <w:r w:rsidR="001370BE" w:rsidRPr="00D55DC6">
        <w:t>：依各國家風景區轄區經管設施公共意外責任險</w:t>
      </w:r>
      <w:r w:rsidR="008C2BBF" w:rsidRPr="00D55DC6">
        <w:rPr>
          <w:rFonts w:hint="eastAsia"/>
        </w:rPr>
        <w:t>確定</w:t>
      </w:r>
      <w:r w:rsidR="00DD6816" w:rsidRPr="00D55DC6">
        <w:t>理賠</w:t>
      </w:r>
      <w:r w:rsidR="00EB48E8" w:rsidRPr="00D55DC6">
        <w:t>件數</w:t>
      </w:r>
      <w:r w:rsidR="00585644" w:rsidRPr="00D55DC6">
        <w:t>以</w:t>
      </w:r>
      <w:r w:rsidR="001370BE" w:rsidRPr="00D55DC6">
        <w:t>不得超過目標值上限</w:t>
      </w:r>
      <w:r w:rsidR="00585644" w:rsidRPr="00D55DC6">
        <w:t>為目標</w:t>
      </w:r>
      <w:r w:rsidR="001370BE" w:rsidRPr="00D55DC6">
        <w:t>。</w:t>
      </w:r>
    </w:p>
    <w:p w:rsidR="001370BE" w:rsidRPr="00D55DC6" w:rsidRDefault="001370BE" w:rsidP="0038165F">
      <w:pPr>
        <w:pStyle w:val="a"/>
        <w:numPr>
          <w:ilvl w:val="0"/>
          <w:numId w:val="0"/>
        </w:numPr>
        <w:spacing w:line="320" w:lineRule="exact"/>
        <w:ind w:leftChars="58" w:left="279" w:rightChars="-236" w:right="-566" w:hangingChars="50" w:hanging="140"/>
        <w:rPr>
          <w:b/>
        </w:rPr>
      </w:pPr>
    </w:p>
    <w:p w:rsidR="00CF2E6F" w:rsidRPr="00D55DC6" w:rsidRDefault="00CF2E6F" w:rsidP="0052320B">
      <w:pPr>
        <w:pStyle w:val="a"/>
        <w:numPr>
          <w:ilvl w:val="0"/>
          <w:numId w:val="0"/>
        </w:numPr>
        <w:rPr>
          <w:b/>
        </w:rPr>
      </w:pPr>
    </w:p>
    <w:p w:rsidR="0052320B" w:rsidRPr="00D55DC6" w:rsidRDefault="0052320B" w:rsidP="0052320B">
      <w:pPr>
        <w:pStyle w:val="a"/>
        <w:numPr>
          <w:ilvl w:val="0"/>
          <w:numId w:val="0"/>
        </w:numPr>
        <w:rPr>
          <w:b/>
        </w:rPr>
      </w:pPr>
    </w:p>
    <w:p w:rsidR="0008781F" w:rsidRPr="00D55DC6" w:rsidRDefault="0008781F" w:rsidP="0052320B">
      <w:pPr>
        <w:pStyle w:val="a"/>
        <w:numPr>
          <w:ilvl w:val="0"/>
          <w:numId w:val="0"/>
        </w:numPr>
        <w:rPr>
          <w:b/>
        </w:rPr>
      </w:pPr>
    </w:p>
    <w:p w:rsidR="0008781F" w:rsidRPr="00D55DC6" w:rsidRDefault="0008781F" w:rsidP="0052320B">
      <w:pPr>
        <w:pStyle w:val="a"/>
        <w:numPr>
          <w:ilvl w:val="0"/>
          <w:numId w:val="0"/>
        </w:numPr>
        <w:rPr>
          <w:b/>
        </w:rPr>
      </w:pPr>
    </w:p>
    <w:p w:rsidR="002B3D0C" w:rsidRPr="00D55DC6" w:rsidRDefault="002B3D0C" w:rsidP="0038165F">
      <w:pPr>
        <w:pStyle w:val="a"/>
        <w:ind w:left="709" w:hanging="709"/>
        <w:rPr>
          <w:b/>
        </w:rPr>
      </w:pPr>
      <w:bookmarkStart w:id="48" w:name="_Toc407181632"/>
      <w:r w:rsidRPr="00D55DC6">
        <w:rPr>
          <w:b/>
        </w:rPr>
        <w:lastRenderedPageBreak/>
        <w:t>現行相關政策及方案之檢討</w:t>
      </w:r>
      <w:bookmarkEnd w:id="48"/>
    </w:p>
    <w:p w:rsidR="008C2BBF" w:rsidRPr="00D55DC6" w:rsidRDefault="008C2BBF" w:rsidP="008C2BBF">
      <w:pPr>
        <w:pStyle w:val="af2"/>
        <w:numPr>
          <w:ilvl w:val="0"/>
          <w:numId w:val="6"/>
        </w:numPr>
        <w:snapToGrid w:val="0"/>
        <w:spacing w:line="460" w:lineRule="exact"/>
        <w:ind w:leftChars="0"/>
        <w:jc w:val="both"/>
        <w:rPr>
          <w:rFonts w:eastAsia="標楷體"/>
          <w:sz w:val="28"/>
          <w:szCs w:val="28"/>
        </w:rPr>
      </w:pPr>
      <w:r w:rsidRPr="00D55DC6">
        <w:rPr>
          <w:rFonts w:eastAsia="標楷體" w:hint="eastAsia"/>
          <w:b/>
          <w:sz w:val="28"/>
          <w:szCs w:val="28"/>
        </w:rPr>
        <w:t>觀光大國行動方案</w:t>
      </w:r>
      <w:r w:rsidRPr="00D55DC6">
        <w:rPr>
          <w:rFonts w:eastAsia="標楷體" w:hint="eastAsia"/>
          <w:b/>
          <w:sz w:val="28"/>
          <w:szCs w:val="28"/>
        </w:rPr>
        <w:t xml:space="preserve"> </w:t>
      </w:r>
      <w:r w:rsidRPr="00D55DC6">
        <w:rPr>
          <w:rFonts w:eastAsia="標楷體"/>
          <w:b/>
          <w:sz w:val="28"/>
          <w:szCs w:val="28"/>
        </w:rPr>
        <w:t>(10</w:t>
      </w:r>
      <w:r w:rsidRPr="00D55DC6">
        <w:rPr>
          <w:rFonts w:eastAsia="標楷體" w:hint="eastAsia"/>
          <w:b/>
          <w:sz w:val="28"/>
          <w:szCs w:val="28"/>
        </w:rPr>
        <w:t>4</w:t>
      </w:r>
      <w:r w:rsidRPr="00D55DC6">
        <w:rPr>
          <w:rFonts w:eastAsia="標楷體"/>
          <w:b/>
          <w:sz w:val="28"/>
          <w:szCs w:val="28"/>
        </w:rPr>
        <w:t>-10</w:t>
      </w:r>
      <w:r w:rsidRPr="00D55DC6">
        <w:rPr>
          <w:rFonts w:eastAsia="標楷體" w:hint="eastAsia"/>
          <w:b/>
          <w:sz w:val="28"/>
          <w:szCs w:val="28"/>
        </w:rPr>
        <w:t>7</w:t>
      </w:r>
      <w:r w:rsidRPr="00D55DC6">
        <w:rPr>
          <w:rFonts w:eastAsia="標楷體"/>
          <w:b/>
          <w:sz w:val="28"/>
          <w:szCs w:val="28"/>
        </w:rPr>
        <w:t>年</w:t>
      </w:r>
      <w:r w:rsidRPr="00D55DC6">
        <w:rPr>
          <w:rFonts w:eastAsia="標楷體"/>
          <w:b/>
          <w:sz w:val="28"/>
          <w:szCs w:val="28"/>
        </w:rPr>
        <w:t>)</w:t>
      </w:r>
      <w:r w:rsidRPr="00D55DC6">
        <w:rPr>
          <w:rFonts w:eastAsia="標楷體" w:hint="eastAsia"/>
          <w:b/>
          <w:sz w:val="28"/>
          <w:szCs w:val="28"/>
        </w:rPr>
        <w:t xml:space="preserve"> (</w:t>
      </w:r>
      <w:r w:rsidRPr="00D55DC6">
        <w:rPr>
          <w:rFonts w:eastAsia="標楷體" w:hint="eastAsia"/>
          <w:b/>
          <w:sz w:val="28"/>
          <w:szCs w:val="28"/>
        </w:rPr>
        <w:t>草案</w:t>
      </w:r>
      <w:r w:rsidRPr="00D55DC6">
        <w:rPr>
          <w:rFonts w:eastAsia="標楷體" w:hint="eastAsia"/>
          <w:b/>
          <w:sz w:val="28"/>
          <w:szCs w:val="28"/>
        </w:rPr>
        <w:t>)</w:t>
      </w:r>
    </w:p>
    <w:p w:rsidR="008C2BBF" w:rsidRPr="00D55DC6" w:rsidRDefault="008C2BBF" w:rsidP="008C2BBF">
      <w:pPr>
        <w:snapToGrid w:val="0"/>
        <w:spacing w:line="460" w:lineRule="exact"/>
        <w:ind w:leftChars="400" w:left="960" w:firstLineChars="235" w:firstLine="658"/>
        <w:jc w:val="both"/>
        <w:rPr>
          <w:rFonts w:eastAsia="標楷體"/>
          <w:bCs/>
          <w:iCs/>
          <w:sz w:val="28"/>
          <w:szCs w:val="28"/>
        </w:rPr>
      </w:pPr>
      <w:r w:rsidRPr="00D55DC6">
        <w:rPr>
          <w:rFonts w:eastAsia="標楷體" w:hint="eastAsia"/>
          <w:bCs/>
          <w:iCs/>
          <w:sz w:val="28"/>
          <w:szCs w:val="28"/>
        </w:rPr>
        <w:t>「觀光大國行動方案」係擘劃</w:t>
      </w:r>
      <w:r w:rsidR="009F4F40" w:rsidRPr="00D55DC6">
        <w:rPr>
          <w:rFonts w:eastAsia="標楷體" w:hint="eastAsia"/>
          <w:bCs/>
          <w:iCs/>
          <w:sz w:val="28"/>
          <w:szCs w:val="28"/>
        </w:rPr>
        <w:t>中程</w:t>
      </w:r>
      <w:r w:rsidRPr="00D55DC6">
        <w:rPr>
          <w:rFonts w:eastAsia="標楷體" w:hint="eastAsia"/>
          <w:bCs/>
          <w:iCs/>
          <w:sz w:val="28"/>
          <w:szCs w:val="28"/>
        </w:rPr>
        <w:t>觀光發展藍圖的上位計畫，秉持「質量優化、價值提升」的核心理念，以「優質、特色、智慧、永續」等</w:t>
      </w:r>
      <w:r w:rsidRPr="00D55DC6">
        <w:rPr>
          <w:rFonts w:eastAsia="標楷體" w:hint="eastAsia"/>
          <w:bCs/>
          <w:iCs/>
          <w:sz w:val="28"/>
          <w:szCs w:val="28"/>
        </w:rPr>
        <w:t>4</w:t>
      </w:r>
      <w:r w:rsidRPr="00D55DC6">
        <w:rPr>
          <w:rFonts w:eastAsia="標楷體" w:hint="eastAsia"/>
          <w:bCs/>
          <w:iCs/>
          <w:sz w:val="28"/>
          <w:szCs w:val="28"/>
        </w:rPr>
        <w:t>大執行策略，積極優化觀光產業及人才、整合及行銷特色產品、引導智慧觀光加值應用、推廣綠色及關懷旅遊，全方位提升臺灣觀光價值，提振國際觀光競爭力，打造觀光質量優化、處處皆可觀光的觀光大國。預估</w:t>
      </w:r>
      <w:r w:rsidRPr="00D55DC6">
        <w:rPr>
          <w:rFonts w:eastAsia="標楷體" w:hint="eastAsia"/>
          <w:bCs/>
          <w:iCs/>
          <w:sz w:val="28"/>
          <w:szCs w:val="28"/>
        </w:rPr>
        <w:t>107</w:t>
      </w:r>
      <w:r w:rsidRPr="00D55DC6">
        <w:rPr>
          <w:rFonts w:eastAsia="標楷體" w:hint="eastAsia"/>
          <w:bCs/>
          <w:iCs/>
          <w:sz w:val="28"/>
          <w:szCs w:val="28"/>
        </w:rPr>
        <w:t>年來臺旅客達</w:t>
      </w:r>
      <w:r w:rsidRPr="00D55DC6">
        <w:rPr>
          <w:rFonts w:eastAsia="標楷體" w:hint="eastAsia"/>
          <w:bCs/>
          <w:iCs/>
          <w:sz w:val="28"/>
          <w:szCs w:val="28"/>
        </w:rPr>
        <w:t>1,230</w:t>
      </w:r>
      <w:r w:rsidRPr="00D55DC6">
        <w:rPr>
          <w:rFonts w:eastAsia="標楷體" w:hint="eastAsia"/>
          <w:bCs/>
          <w:iCs/>
          <w:sz w:val="28"/>
          <w:szCs w:val="28"/>
        </w:rPr>
        <w:t>萬人次，觀光外匯收入</w:t>
      </w:r>
      <w:r w:rsidRPr="00D55DC6">
        <w:rPr>
          <w:rFonts w:eastAsia="標楷體" w:hint="eastAsia"/>
          <w:bCs/>
          <w:iCs/>
          <w:sz w:val="28"/>
          <w:szCs w:val="28"/>
        </w:rPr>
        <w:t>5,470</w:t>
      </w:r>
      <w:r w:rsidRPr="00D55DC6">
        <w:rPr>
          <w:rFonts w:eastAsia="標楷體" w:hint="eastAsia"/>
          <w:bCs/>
          <w:iCs/>
          <w:sz w:val="28"/>
          <w:szCs w:val="28"/>
        </w:rPr>
        <w:t>億元。</w:t>
      </w:r>
    </w:p>
    <w:p w:rsidR="008C2BBF" w:rsidRPr="00D55DC6" w:rsidRDefault="008C2BBF" w:rsidP="008C2BBF">
      <w:pPr>
        <w:snapToGrid w:val="0"/>
        <w:spacing w:line="460" w:lineRule="exact"/>
        <w:ind w:leftChars="400" w:left="960" w:firstLineChars="235" w:firstLine="658"/>
        <w:jc w:val="both"/>
        <w:rPr>
          <w:rFonts w:eastAsia="標楷體"/>
          <w:bCs/>
          <w:iCs/>
          <w:sz w:val="28"/>
          <w:szCs w:val="28"/>
        </w:rPr>
      </w:pPr>
      <w:r w:rsidRPr="00D55DC6">
        <w:rPr>
          <w:rFonts w:eastAsia="標楷體" w:hint="eastAsia"/>
          <w:bCs/>
          <w:iCs/>
          <w:sz w:val="28"/>
          <w:szCs w:val="28"/>
        </w:rPr>
        <w:t>其中「特色觀光」策略，包含「跨域亮點及特色加值整備計畫」，係補助地方政府打造所轄跨域亮點及特色加值景點，提升整體觀光遊憩設施服務水準。</w:t>
      </w:r>
    </w:p>
    <w:p w:rsidR="008C2BBF" w:rsidRPr="00D55DC6" w:rsidRDefault="008C2BBF" w:rsidP="008C2BBF">
      <w:pPr>
        <w:pStyle w:val="a"/>
        <w:numPr>
          <w:ilvl w:val="0"/>
          <w:numId w:val="0"/>
        </w:numPr>
        <w:rPr>
          <w:b/>
        </w:rPr>
      </w:pPr>
    </w:p>
    <w:p w:rsidR="008F2166" w:rsidRPr="00D55DC6" w:rsidRDefault="009A67C3" w:rsidP="0038165F">
      <w:pPr>
        <w:pStyle w:val="af2"/>
        <w:numPr>
          <w:ilvl w:val="0"/>
          <w:numId w:val="6"/>
        </w:numPr>
        <w:snapToGrid w:val="0"/>
        <w:spacing w:line="460" w:lineRule="exact"/>
        <w:ind w:leftChars="0"/>
        <w:jc w:val="both"/>
        <w:rPr>
          <w:rFonts w:eastAsia="標楷體"/>
          <w:sz w:val="28"/>
          <w:szCs w:val="28"/>
        </w:rPr>
      </w:pPr>
      <w:r w:rsidRPr="00D55DC6">
        <w:rPr>
          <w:rFonts w:eastAsia="標楷體"/>
          <w:b/>
          <w:sz w:val="28"/>
          <w:szCs w:val="28"/>
        </w:rPr>
        <w:t>重要觀光景點建設中程計畫</w:t>
      </w:r>
      <w:r w:rsidRPr="00D55DC6">
        <w:rPr>
          <w:rFonts w:eastAsia="標楷體"/>
          <w:b/>
          <w:sz w:val="28"/>
          <w:szCs w:val="28"/>
        </w:rPr>
        <w:t>(101-104</w:t>
      </w:r>
      <w:r w:rsidRPr="00D55DC6">
        <w:rPr>
          <w:rFonts w:eastAsia="標楷體"/>
          <w:b/>
          <w:sz w:val="28"/>
          <w:szCs w:val="28"/>
        </w:rPr>
        <w:t>年</w:t>
      </w:r>
      <w:r w:rsidRPr="00D55DC6">
        <w:rPr>
          <w:rFonts w:eastAsia="標楷體"/>
          <w:b/>
          <w:sz w:val="28"/>
          <w:szCs w:val="28"/>
        </w:rPr>
        <w:t>)</w:t>
      </w:r>
      <w:r w:rsidR="0052320B" w:rsidRPr="00D55DC6">
        <w:rPr>
          <w:rFonts w:eastAsia="標楷體"/>
          <w:b/>
          <w:sz w:val="28"/>
          <w:szCs w:val="28"/>
        </w:rPr>
        <w:t xml:space="preserve">　（截至</w:t>
      </w:r>
      <w:r w:rsidR="0052320B" w:rsidRPr="00D55DC6">
        <w:rPr>
          <w:rFonts w:eastAsia="標楷體"/>
          <w:b/>
          <w:sz w:val="28"/>
          <w:szCs w:val="28"/>
        </w:rPr>
        <w:t>103</w:t>
      </w:r>
      <w:r w:rsidR="0052320B" w:rsidRPr="00D55DC6">
        <w:rPr>
          <w:rFonts w:eastAsia="標楷體"/>
          <w:b/>
          <w:sz w:val="28"/>
          <w:szCs w:val="28"/>
        </w:rPr>
        <w:t>年</w:t>
      </w:r>
      <w:r w:rsidR="0052320B" w:rsidRPr="00D55DC6">
        <w:rPr>
          <w:rFonts w:eastAsia="標楷體"/>
          <w:b/>
          <w:sz w:val="28"/>
          <w:szCs w:val="28"/>
        </w:rPr>
        <w:t>12</w:t>
      </w:r>
      <w:r w:rsidR="0052320B" w:rsidRPr="00D55DC6">
        <w:rPr>
          <w:rFonts w:eastAsia="標楷體"/>
          <w:b/>
          <w:sz w:val="28"/>
          <w:szCs w:val="28"/>
        </w:rPr>
        <w:t>月止）</w:t>
      </w:r>
    </w:p>
    <w:p w:rsidR="009A67C3" w:rsidRPr="00D55DC6" w:rsidRDefault="009A67C3" w:rsidP="0038165F">
      <w:pPr>
        <w:pStyle w:val="af2"/>
        <w:numPr>
          <w:ilvl w:val="0"/>
          <w:numId w:val="7"/>
        </w:numPr>
        <w:snapToGrid w:val="0"/>
        <w:spacing w:line="460" w:lineRule="exact"/>
        <w:ind w:leftChars="0"/>
        <w:jc w:val="both"/>
        <w:rPr>
          <w:rFonts w:eastAsia="標楷體"/>
          <w:b/>
          <w:sz w:val="28"/>
          <w:szCs w:val="28"/>
        </w:rPr>
      </w:pPr>
      <w:r w:rsidRPr="00D55DC6">
        <w:rPr>
          <w:rFonts w:eastAsia="標楷體"/>
          <w:b/>
          <w:sz w:val="28"/>
          <w:szCs w:val="28"/>
        </w:rPr>
        <w:t>預算執行情形</w:t>
      </w:r>
      <w:r w:rsidR="001C1B22" w:rsidRPr="00D55DC6">
        <w:rPr>
          <w:rFonts w:eastAsia="標楷體"/>
          <w:b/>
          <w:sz w:val="28"/>
          <w:szCs w:val="28"/>
        </w:rPr>
        <w:t xml:space="preserve">                                  </w:t>
      </w:r>
      <w:r w:rsidR="001C1B22" w:rsidRPr="00D55DC6">
        <w:rPr>
          <w:rFonts w:eastAsia="標楷體"/>
          <w:sz w:val="28"/>
          <w:szCs w:val="28"/>
        </w:rPr>
        <w:t xml:space="preserve"> </w:t>
      </w:r>
      <w:r w:rsidR="001C1B22" w:rsidRPr="00D55DC6">
        <w:rPr>
          <w:rFonts w:eastAsia="標楷體"/>
          <w:sz w:val="28"/>
          <w:szCs w:val="28"/>
        </w:rPr>
        <w:t>單位：億元</w:t>
      </w:r>
    </w:p>
    <w:tbl>
      <w:tblPr>
        <w:tblStyle w:val="a6"/>
        <w:tblW w:w="9684" w:type="dxa"/>
        <w:tblInd w:w="250" w:type="dxa"/>
        <w:tblLook w:val="04A0" w:firstRow="1" w:lastRow="0" w:firstColumn="1" w:lastColumn="0" w:noHBand="0" w:noVBand="1"/>
      </w:tblPr>
      <w:tblGrid>
        <w:gridCol w:w="456"/>
        <w:gridCol w:w="4505"/>
        <w:gridCol w:w="1701"/>
        <w:gridCol w:w="1843"/>
        <w:gridCol w:w="1179"/>
      </w:tblGrid>
      <w:tr w:rsidR="001D0350" w:rsidRPr="00D55DC6" w:rsidTr="00875CE0">
        <w:trPr>
          <w:tblHeader/>
        </w:trPr>
        <w:tc>
          <w:tcPr>
            <w:tcW w:w="456" w:type="dxa"/>
          </w:tcPr>
          <w:p w:rsidR="00BB5392" w:rsidRPr="00D55DC6" w:rsidRDefault="00BB5392" w:rsidP="0038165F">
            <w:pPr>
              <w:snapToGrid w:val="0"/>
              <w:jc w:val="both"/>
              <w:rPr>
                <w:rFonts w:eastAsia="標楷體"/>
                <w:szCs w:val="28"/>
              </w:rPr>
            </w:pPr>
          </w:p>
        </w:tc>
        <w:tc>
          <w:tcPr>
            <w:tcW w:w="4505" w:type="dxa"/>
            <w:vAlign w:val="center"/>
          </w:tcPr>
          <w:p w:rsidR="00BB5392" w:rsidRPr="00D55DC6" w:rsidRDefault="00BB5392" w:rsidP="0038165F">
            <w:pPr>
              <w:snapToGrid w:val="0"/>
              <w:jc w:val="center"/>
              <w:rPr>
                <w:rFonts w:eastAsia="標楷體"/>
                <w:szCs w:val="28"/>
              </w:rPr>
            </w:pPr>
            <w:r w:rsidRPr="00D55DC6">
              <w:rPr>
                <w:rFonts w:eastAsia="標楷體"/>
                <w:szCs w:val="28"/>
              </w:rPr>
              <w:t>計畫名稱</w:t>
            </w:r>
          </w:p>
        </w:tc>
        <w:tc>
          <w:tcPr>
            <w:tcW w:w="1701" w:type="dxa"/>
          </w:tcPr>
          <w:p w:rsidR="00BB5392" w:rsidRPr="00D55DC6" w:rsidRDefault="00BB5392" w:rsidP="0038165F">
            <w:pPr>
              <w:snapToGrid w:val="0"/>
              <w:jc w:val="center"/>
              <w:rPr>
                <w:rFonts w:eastAsia="標楷體"/>
                <w:szCs w:val="28"/>
              </w:rPr>
            </w:pPr>
            <w:r w:rsidRPr="00D55DC6">
              <w:rPr>
                <w:rFonts w:eastAsia="標楷體"/>
                <w:szCs w:val="28"/>
              </w:rPr>
              <w:t>總累計編列數</w:t>
            </w:r>
            <w:r w:rsidRPr="00D55DC6">
              <w:rPr>
                <w:rFonts w:eastAsia="標楷體"/>
                <w:szCs w:val="28"/>
              </w:rPr>
              <w:t>(A)</w:t>
            </w:r>
          </w:p>
        </w:tc>
        <w:tc>
          <w:tcPr>
            <w:tcW w:w="1843" w:type="dxa"/>
          </w:tcPr>
          <w:p w:rsidR="00BB5392" w:rsidRPr="00D55DC6" w:rsidRDefault="00BB5392" w:rsidP="0038165F">
            <w:pPr>
              <w:snapToGrid w:val="0"/>
              <w:jc w:val="center"/>
              <w:rPr>
                <w:rFonts w:eastAsia="標楷體"/>
                <w:szCs w:val="28"/>
              </w:rPr>
            </w:pPr>
            <w:r w:rsidRPr="00D55DC6">
              <w:rPr>
                <w:rFonts w:eastAsia="標楷體"/>
                <w:szCs w:val="28"/>
              </w:rPr>
              <w:t>總累計</w:t>
            </w:r>
            <w:r w:rsidR="00331A13" w:rsidRPr="00D55DC6">
              <w:rPr>
                <w:rFonts w:eastAsia="標楷體"/>
                <w:szCs w:val="28"/>
              </w:rPr>
              <w:t>實</w:t>
            </w:r>
            <w:r w:rsidRPr="00D55DC6">
              <w:rPr>
                <w:rFonts w:eastAsia="標楷體"/>
                <w:szCs w:val="28"/>
              </w:rPr>
              <w:t>支數</w:t>
            </w:r>
            <w:r w:rsidRPr="00D55DC6">
              <w:rPr>
                <w:rFonts w:eastAsia="標楷體"/>
                <w:szCs w:val="28"/>
              </w:rPr>
              <w:t>(B)</w:t>
            </w:r>
          </w:p>
        </w:tc>
        <w:tc>
          <w:tcPr>
            <w:tcW w:w="1179" w:type="dxa"/>
          </w:tcPr>
          <w:p w:rsidR="00BB5392" w:rsidRPr="00D55DC6" w:rsidRDefault="00BB5392" w:rsidP="0038165F">
            <w:pPr>
              <w:snapToGrid w:val="0"/>
              <w:jc w:val="center"/>
              <w:rPr>
                <w:rFonts w:eastAsia="標楷體"/>
                <w:szCs w:val="28"/>
              </w:rPr>
            </w:pPr>
            <w:r w:rsidRPr="00D55DC6">
              <w:rPr>
                <w:rFonts w:eastAsia="標楷體"/>
                <w:szCs w:val="28"/>
              </w:rPr>
              <w:t>支用比</w:t>
            </w:r>
          </w:p>
          <w:p w:rsidR="00BB5392" w:rsidRPr="00D55DC6" w:rsidRDefault="00BB5392" w:rsidP="0038165F">
            <w:pPr>
              <w:snapToGrid w:val="0"/>
              <w:jc w:val="center"/>
              <w:rPr>
                <w:rFonts w:eastAsia="標楷體"/>
                <w:szCs w:val="28"/>
              </w:rPr>
            </w:pPr>
            <w:r w:rsidRPr="00D55DC6">
              <w:rPr>
                <w:rFonts w:eastAsia="標楷體"/>
                <w:szCs w:val="28"/>
              </w:rPr>
              <w:t>(B/A%)</w:t>
            </w:r>
          </w:p>
        </w:tc>
      </w:tr>
      <w:tr w:rsidR="001D0350" w:rsidRPr="00D55DC6" w:rsidTr="00CF2E6F">
        <w:tc>
          <w:tcPr>
            <w:tcW w:w="456" w:type="dxa"/>
          </w:tcPr>
          <w:p w:rsidR="00B1254B" w:rsidRPr="00D55DC6" w:rsidRDefault="00B1254B" w:rsidP="0038165F">
            <w:pPr>
              <w:snapToGrid w:val="0"/>
              <w:jc w:val="both"/>
              <w:rPr>
                <w:rFonts w:eastAsia="標楷體"/>
                <w:szCs w:val="28"/>
              </w:rPr>
            </w:pPr>
            <w:r w:rsidRPr="00D55DC6">
              <w:rPr>
                <w:rFonts w:eastAsia="標楷體"/>
                <w:szCs w:val="28"/>
              </w:rPr>
              <w:t>1</w:t>
            </w:r>
          </w:p>
        </w:tc>
        <w:tc>
          <w:tcPr>
            <w:tcW w:w="4505" w:type="dxa"/>
          </w:tcPr>
          <w:p w:rsidR="00B1254B" w:rsidRPr="00D55DC6" w:rsidRDefault="00B1254B" w:rsidP="00DF3286">
            <w:pPr>
              <w:snapToGrid w:val="0"/>
              <w:jc w:val="both"/>
              <w:rPr>
                <w:rFonts w:eastAsia="標楷體"/>
                <w:szCs w:val="28"/>
              </w:rPr>
            </w:pPr>
            <w:r w:rsidRPr="00D55DC6">
              <w:rPr>
                <w:rFonts w:eastAsia="標楷體"/>
                <w:szCs w:val="28"/>
              </w:rPr>
              <w:t>東北角暨宜蘭海岸</w:t>
            </w:r>
          </w:p>
        </w:tc>
        <w:tc>
          <w:tcPr>
            <w:tcW w:w="1701" w:type="dxa"/>
          </w:tcPr>
          <w:p w:rsidR="00B1254B" w:rsidRPr="00D55DC6" w:rsidRDefault="00B45614" w:rsidP="0038165F">
            <w:pPr>
              <w:jc w:val="center"/>
            </w:pPr>
            <w:r w:rsidRPr="00D55DC6">
              <w:t>4.50498</w:t>
            </w:r>
          </w:p>
        </w:tc>
        <w:tc>
          <w:tcPr>
            <w:tcW w:w="1843" w:type="dxa"/>
          </w:tcPr>
          <w:p w:rsidR="00B1254B" w:rsidRPr="00D55DC6" w:rsidRDefault="00B45614" w:rsidP="0038165F">
            <w:pPr>
              <w:jc w:val="center"/>
            </w:pPr>
            <w:r w:rsidRPr="00D55DC6">
              <w:t>4.19438</w:t>
            </w:r>
          </w:p>
        </w:tc>
        <w:tc>
          <w:tcPr>
            <w:tcW w:w="1179" w:type="dxa"/>
          </w:tcPr>
          <w:p w:rsidR="00B1254B" w:rsidRPr="00D55DC6" w:rsidRDefault="00B45614" w:rsidP="0038165F">
            <w:pPr>
              <w:jc w:val="center"/>
            </w:pPr>
            <w:r w:rsidRPr="00D55DC6">
              <w:t>93.11%</w:t>
            </w:r>
          </w:p>
        </w:tc>
      </w:tr>
      <w:tr w:rsidR="001D0350" w:rsidRPr="00D55DC6" w:rsidTr="00CF2E6F">
        <w:tc>
          <w:tcPr>
            <w:tcW w:w="456" w:type="dxa"/>
          </w:tcPr>
          <w:p w:rsidR="00BB5392" w:rsidRPr="00D55DC6" w:rsidRDefault="00BB5392" w:rsidP="0038165F">
            <w:pPr>
              <w:snapToGrid w:val="0"/>
              <w:jc w:val="both"/>
              <w:rPr>
                <w:rFonts w:eastAsia="標楷體"/>
                <w:szCs w:val="28"/>
              </w:rPr>
            </w:pPr>
            <w:r w:rsidRPr="00D55DC6">
              <w:rPr>
                <w:rFonts w:eastAsia="標楷體"/>
                <w:szCs w:val="28"/>
              </w:rPr>
              <w:t>2</w:t>
            </w:r>
          </w:p>
        </w:tc>
        <w:tc>
          <w:tcPr>
            <w:tcW w:w="4505" w:type="dxa"/>
            <w:vAlign w:val="center"/>
          </w:tcPr>
          <w:p w:rsidR="00BB5392" w:rsidRPr="00D55DC6" w:rsidRDefault="00BB5392" w:rsidP="0038165F">
            <w:pPr>
              <w:widowControl/>
              <w:rPr>
                <w:rFonts w:eastAsia="標楷體"/>
                <w:kern w:val="0"/>
                <w:lang w:bidi="sa-IN"/>
              </w:rPr>
            </w:pPr>
            <w:r w:rsidRPr="00D55DC6">
              <w:rPr>
                <w:rFonts w:eastAsia="標楷體"/>
                <w:kern w:val="0"/>
                <w:lang w:bidi="sa-IN"/>
              </w:rPr>
              <w:t>北海岸及觀音山國家風景區建設計畫</w:t>
            </w:r>
          </w:p>
        </w:tc>
        <w:tc>
          <w:tcPr>
            <w:tcW w:w="1701" w:type="dxa"/>
          </w:tcPr>
          <w:p w:rsidR="00BB5392" w:rsidRPr="00D55DC6" w:rsidRDefault="003C3F9D" w:rsidP="0038165F">
            <w:pPr>
              <w:jc w:val="center"/>
            </w:pPr>
            <w:r w:rsidRPr="00D55DC6">
              <w:t>4.59500</w:t>
            </w:r>
          </w:p>
        </w:tc>
        <w:tc>
          <w:tcPr>
            <w:tcW w:w="1843" w:type="dxa"/>
          </w:tcPr>
          <w:p w:rsidR="00BB5392" w:rsidRPr="00D55DC6" w:rsidRDefault="003C3F9D" w:rsidP="0038165F">
            <w:pPr>
              <w:jc w:val="center"/>
            </w:pPr>
            <w:r w:rsidRPr="00D55DC6">
              <w:t>4.72834</w:t>
            </w:r>
          </w:p>
        </w:tc>
        <w:tc>
          <w:tcPr>
            <w:tcW w:w="1179" w:type="dxa"/>
          </w:tcPr>
          <w:p w:rsidR="00BB5392" w:rsidRPr="00D55DC6" w:rsidRDefault="003C3F9D" w:rsidP="0038165F">
            <w:pPr>
              <w:jc w:val="center"/>
            </w:pPr>
            <w:r w:rsidRPr="00D55DC6">
              <w:t>100.00%</w:t>
            </w:r>
          </w:p>
        </w:tc>
      </w:tr>
      <w:tr w:rsidR="001D0350" w:rsidRPr="00D55DC6" w:rsidTr="00CF2E6F">
        <w:tc>
          <w:tcPr>
            <w:tcW w:w="456" w:type="dxa"/>
          </w:tcPr>
          <w:p w:rsidR="00BB5392" w:rsidRPr="00D55DC6" w:rsidRDefault="00BB5392" w:rsidP="0038165F">
            <w:pPr>
              <w:snapToGrid w:val="0"/>
              <w:jc w:val="both"/>
              <w:rPr>
                <w:rFonts w:eastAsia="標楷體"/>
                <w:szCs w:val="28"/>
              </w:rPr>
            </w:pPr>
            <w:r w:rsidRPr="00D55DC6">
              <w:rPr>
                <w:rFonts w:eastAsia="標楷體"/>
                <w:szCs w:val="28"/>
              </w:rPr>
              <w:t>3</w:t>
            </w:r>
          </w:p>
        </w:tc>
        <w:tc>
          <w:tcPr>
            <w:tcW w:w="4505" w:type="dxa"/>
            <w:vAlign w:val="center"/>
          </w:tcPr>
          <w:p w:rsidR="00BB5392" w:rsidRPr="00D55DC6" w:rsidRDefault="00BB5392" w:rsidP="0038165F">
            <w:pPr>
              <w:widowControl/>
              <w:rPr>
                <w:rFonts w:eastAsia="標楷體"/>
                <w:kern w:val="0"/>
                <w:lang w:bidi="sa-IN"/>
              </w:rPr>
            </w:pPr>
            <w:r w:rsidRPr="00D55DC6">
              <w:rPr>
                <w:rFonts w:eastAsia="標楷體"/>
                <w:kern w:val="0"/>
                <w:lang w:bidi="sa-IN"/>
              </w:rPr>
              <w:t>日月潭國家風景區建設計畫</w:t>
            </w:r>
          </w:p>
        </w:tc>
        <w:tc>
          <w:tcPr>
            <w:tcW w:w="1701" w:type="dxa"/>
          </w:tcPr>
          <w:p w:rsidR="00BB5392" w:rsidRPr="00D55DC6" w:rsidRDefault="001370BE" w:rsidP="0038165F">
            <w:pPr>
              <w:jc w:val="center"/>
            </w:pPr>
            <w:r w:rsidRPr="00D55DC6">
              <w:t>8.21391</w:t>
            </w:r>
          </w:p>
        </w:tc>
        <w:tc>
          <w:tcPr>
            <w:tcW w:w="1843" w:type="dxa"/>
          </w:tcPr>
          <w:p w:rsidR="00BB5392" w:rsidRPr="00D55DC6" w:rsidRDefault="001370BE" w:rsidP="0038165F">
            <w:pPr>
              <w:jc w:val="center"/>
            </w:pPr>
            <w:r w:rsidRPr="00D55DC6">
              <w:t>8.11765</w:t>
            </w:r>
          </w:p>
        </w:tc>
        <w:tc>
          <w:tcPr>
            <w:tcW w:w="1179" w:type="dxa"/>
          </w:tcPr>
          <w:p w:rsidR="00BB5392" w:rsidRPr="00D55DC6" w:rsidRDefault="001370BE" w:rsidP="0038165F">
            <w:pPr>
              <w:jc w:val="center"/>
            </w:pPr>
            <w:r w:rsidRPr="00D55DC6">
              <w:t>98.83%</w:t>
            </w:r>
          </w:p>
        </w:tc>
      </w:tr>
      <w:tr w:rsidR="001D0350" w:rsidRPr="00D55DC6" w:rsidTr="00CF2E6F">
        <w:tc>
          <w:tcPr>
            <w:tcW w:w="456" w:type="dxa"/>
          </w:tcPr>
          <w:p w:rsidR="00BB5392" w:rsidRPr="00D55DC6" w:rsidRDefault="00BB5392" w:rsidP="0038165F">
            <w:pPr>
              <w:snapToGrid w:val="0"/>
              <w:jc w:val="both"/>
              <w:rPr>
                <w:rFonts w:eastAsia="標楷體"/>
                <w:szCs w:val="28"/>
              </w:rPr>
            </w:pPr>
            <w:r w:rsidRPr="00D55DC6">
              <w:rPr>
                <w:rFonts w:eastAsia="標楷體"/>
                <w:szCs w:val="28"/>
              </w:rPr>
              <w:t>4</w:t>
            </w:r>
          </w:p>
        </w:tc>
        <w:tc>
          <w:tcPr>
            <w:tcW w:w="4505" w:type="dxa"/>
            <w:vAlign w:val="center"/>
          </w:tcPr>
          <w:p w:rsidR="00BB5392" w:rsidRPr="00D55DC6" w:rsidRDefault="00D3304B" w:rsidP="0038165F">
            <w:pPr>
              <w:widowControl/>
              <w:rPr>
                <w:rFonts w:eastAsia="標楷體"/>
                <w:kern w:val="0"/>
                <w:lang w:bidi="sa-IN"/>
              </w:rPr>
            </w:pPr>
            <w:r w:rsidRPr="00D55DC6">
              <w:rPr>
                <w:rFonts w:eastAsia="標楷體"/>
                <w:kern w:val="0"/>
                <w:lang w:bidi="sa-IN"/>
              </w:rPr>
              <w:t>參山國家風景區建設計畫</w:t>
            </w:r>
          </w:p>
        </w:tc>
        <w:tc>
          <w:tcPr>
            <w:tcW w:w="1701" w:type="dxa"/>
          </w:tcPr>
          <w:p w:rsidR="00BB5392" w:rsidRPr="00D55DC6" w:rsidRDefault="003C3F9D" w:rsidP="0038165F">
            <w:pPr>
              <w:jc w:val="center"/>
            </w:pPr>
            <w:r w:rsidRPr="00D55DC6">
              <w:t>4.50845</w:t>
            </w:r>
          </w:p>
        </w:tc>
        <w:tc>
          <w:tcPr>
            <w:tcW w:w="1843" w:type="dxa"/>
          </w:tcPr>
          <w:p w:rsidR="00BB5392" w:rsidRPr="00D55DC6" w:rsidRDefault="003C3F9D" w:rsidP="0038165F">
            <w:pPr>
              <w:jc w:val="center"/>
            </w:pPr>
            <w:r w:rsidRPr="00D55DC6">
              <w:t>4.50845</w:t>
            </w:r>
          </w:p>
        </w:tc>
        <w:tc>
          <w:tcPr>
            <w:tcW w:w="1179" w:type="dxa"/>
          </w:tcPr>
          <w:p w:rsidR="00BB5392" w:rsidRPr="00D55DC6" w:rsidRDefault="003C3F9D" w:rsidP="000972A9">
            <w:pPr>
              <w:jc w:val="center"/>
            </w:pPr>
            <w:r w:rsidRPr="00D55DC6">
              <w:t>100.00%</w:t>
            </w:r>
          </w:p>
        </w:tc>
      </w:tr>
      <w:tr w:rsidR="001D0350" w:rsidRPr="00D55DC6" w:rsidTr="00CF2E6F">
        <w:tc>
          <w:tcPr>
            <w:tcW w:w="456" w:type="dxa"/>
          </w:tcPr>
          <w:p w:rsidR="00D3304B" w:rsidRPr="00D55DC6" w:rsidRDefault="00D3304B" w:rsidP="0038165F">
            <w:pPr>
              <w:snapToGrid w:val="0"/>
              <w:jc w:val="both"/>
              <w:rPr>
                <w:rFonts w:eastAsia="標楷體"/>
                <w:szCs w:val="28"/>
              </w:rPr>
            </w:pPr>
            <w:r w:rsidRPr="00D55DC6">
              <w:rPr>
                <w:rFonts w:eastAsia="標楷體"/>
                <w:szCs w:val="28"/>
              </w:rPr>
              <w:t>5</w:t>
            </w:r>
          </w:p>
        </w:tc>
        <w:tc>
          <w:tcPr>
            <w:tcW w:w="4505" w:type="dxa"/>
            <w:vAlign w:val="center"/>
          </w:tcPr>
          <w:p w:rsidR="00D3304B" w:rsidRPr="00D55DC6" w:rsidRDefault="00D3304B" w:rsidP="0038165F">
            <w:pPr>
              <w:widowControl/>
              <w:rPr>
                <w:rFonts w:eastAsia="標楷體"/>
                <w:kern w:val="0"/>
                <w:lang w:bidi="sa-IN"/>
              </w:rPr>
            </w:pPr>
            <w:r w:rsidRPr="00D55DC6">
              <w:rPr>
                <w:rFonts w:eastAsia="標楷體"/>
                <w:kern w:val="0"/>
                <w:lang w:bidi="sa-IN"/>
              </w:rPr>
              <w:t>阿里山國家風景區建設計畫</w:t>
            </w:r>
          </w:p>
        </w:tc>
        <w:tc>
          <w:tcPr>
            <w:tcW w:w="1701" w:type="dxa"/>
            <w:vAlign w:val="center"/>
          </w:tcPr>
          <w:p w:rsidR="00D3304B" w:rsidRPr="00D55DC6" w:rsidRDefault="00B45614" w:rsidP="0038165F">
            <w:pPr>
              <w:jc w:val="center"/>
            </w:pPr>
            <w:r w:rsidRPr="00D55DC6">
              <w:t>8.20858</w:t>
            </w:r>
          </w:p>
        </w:tc>
        <w:tc>
          <w:tcPr>
            <w:tcW w:w="1843" w:type="dxa"/>
          </w:tcPr>
          <w:p w:rsidR="00D3304B" w:rsidRPr="00D55DC6" w:rsidRDefault="00B45614" w:rsidP="0038165F">
            <w:pPr>
              <w:jc w:val="center"/>
            </w:pPr>
            <w:r w:rsidRPr="00D55DC6">
              <w:t>8.20391</w:t>
            </w:r>
          </w:p>
        </w:tc>
        <w:tc>
          <w:tcPr>
            <w:tcW w:w="1179" w:type="dxa"/>
          </w:tcPr>
          <w:p w:rsidR="00D3304B" w:rsidRPr="00D55DC6" w:rsidRDefault="00B45614" w:rsidP="0038165F">
            <w:pPr>
              <w:jc w:val="center"/>
            </w:pPr>
            <w:r w:rsidRPr="00D55DC6">
              <w:t>99.94%</w:t>
            </w:r>
          </w:p>
        </w:tc>
      </w:tr>
      <w:tr w:rsidR="001D0350" w:rsidRPr="00D55DC6" w:rsidTr="00CF2E6F">
        <w:tc>
          <w:tcPr>
            <w:tcW w:w="456" w:type="dxa"/>
          </w:tcPr>
          <w:p w:rsidR="00D3304B" w:rsidRPr="00D55DC6" w:rsidRDefault="00D3304B" w:rsidP="0038165F">
            <w:pPr>
              <w:snapToGrid w:val="0"/>
              <w:jc w:val="both"/>
              <w:rPr>
                <w:rFonts w:eastAsia="標楷體"/>
                <w:szCs w:val="28"/>
              </w:rPr>
            </w:pPr>
            <w:r w:rsidRPr="00D55DC6">
              <w:rPr>
                <w:rFonts w:eastAsia="標楷體"/>
                <w:szCs w:val="28"/>
              </w:rPr>
              <w:t>6</w:t>
            </w:r>
          </w:p>
        </w:tc>
        <w:tc>
          <w:tcPr>
            <w:tcW w:w="4505" w:type="dxa"/>
            <w:vAlign w:val="center"/>
          </w:tcPr>
          <w:p w:rsidR="00D3304B" w:rsidRPr="00D55DC6" w:rsidRDefault="00D3304B" w:rsidP="0038165F">
            <w:pPr>
              <w:widowControl/>
              <w:rPr>
                <w:rFonts w:eastAsia="標楷體"/>
                <w:kern w:val="0"/>
                <w:lang w:bidi="sa-IN"/>
              </w:rPr>
            </w:pPr>
            <w:r w:rsidRPr="00D55DC6">
              <w:rPr>
                <w:rFonts w:eastAsia="標楷體"/>
                <w:kern w:val="0"/>
                <w:sz w:val="22"/>
                <w:lang w:bidi="sa-IN"/>
              </w:rPr>
              <w:t>雲嘉南濱海國家風景區建設計畫</w:t>
            </w:r>
          </w:p>
        </w:tc>
        <w:tc>
          <w:tcPr>
            <w:tcW w:w="1701" w:type="dxa"/>
            <w:vAlign w:val="center"/>
          </w:tcPr>
          <w:p w:rsidR="00D3304B" w:rsidRPr="00D55DC6" w:rsidRDefault="003C3F9D" w:rsidP="0038165F">
            <w:pPr>
              <w:jc w:val="center"/>
            </w:pPr>
            <w:r w:rsidRPr="00D55DC6">
              <w:t>4.73720</w:t>
            </w:r>
          </w:p>
        </w:tc>
        <w:tc>
          <w:tcPr>
            <w:tcW w:w="1843" w:type="dxa"/>
          </w:tcPr>
          <w:p w:rsidR="00D3304B" w:rsidRPr="00D55DC6" w:rsidRDefault="003C3F9D" w:rsidP="0038165F">
            <w:pPr>
              <w:jc w:val="center"/>
            </w:pPr>
            <w:r w:rsidRPr="00D55DC6">
              <w:t>4.73720</w:t>
            </w:r>
          </w:p>
        </w:tc>
        <w:tc>
          <w:tcPr>
            <w:tcW w:w="1179" w:type="dxa"/>
          </w:tcPr>
          <w:p w:rsidR="00D3304B" w:rsidRPr="00D55DC6" w:rsidRDefault="003C3F9D" w:rsidP="0038165F">
            <w:pPr>
              <w:jc w:val="center"/>
            </w:pPr>
            <w:r w:rsidRPr="00D55DC6">
              <w:t>100.00%</w:t>
            </w:r>
          </w:p>
        </w:tc>
      </w:tr>
      <w:tr w:rsidR="001D0350" w:rsidRPr="00D55DC6" w:rsidTr="00CF2E6F">
        <w:tc>
          <w:tcPr>
            <w:tcW w:w="456" w:type="dxa"/>
          </w:tcPr>
          <w:p w:rsidR="00D3304B" w:rsidRPr="00D55DC6" w:rsidRDefault="00D3304B" w:rsidP="0038165F">
            <w:pPr>
              <w:snapToGrid w:val="0"/>
              <w:jc w:val="both"/>
              <w:rPr>
                <w:rFonts w:eastAsia="標楷體"/>
                <w:szCs w:val="28"/>
              </w:rPr>
            </w:pPr>
            <w:r w:rsidRPr="00D55DC6">
              <w:rPr>
                <w:rFonts w:eastAsia="標楷體"/>
                <w:szCs w:val="28"/>
              </w:rPr>
              <w:t>7</w:t>
            </w:r>
          </w:p>
        </w:tc>
        <w:tc>
          <w:tcPr>
            <w:tcW w:w="4505" w:type="dxa"/>
            <w:vAlign w:val="center"/>
          </w:tcPr>
          <w:p w:rsidR="00D3304B" w:rsidRPr="00D55DC6" w:rsidRDefault="00D3304B" w:rsidP="0038165F">
            <w:pPr>
              <w:widowControl/>
              <w:rPr>
                <w:rFonts w:eastAsia="標楷體"/>
                <w:kern w:val="0"/>
                <w:lang w:bidi="sa-IN"/>
              </w:rPr>
            </w:pPr>
            <w:r w:rsidRPr="00D55DC6">
              <w:rPr>
                <w:rFonts w:eastAsia="標楷體"/>
                <w:kern w:val="0"/>
                <w:lang w:bidi="sa-IN"/>
              </w:rPr>
              <w:t>西拉雅國家風景區建設計畫</w:t>
            </w:r>
          </w:p>
        </w:tc>
        <w:tc>
          <w:tcPr>
            <w:tcW w:w="1701" w:type="dxa"/>
            <w:vAlign w:val="center"/>
          </w:tcPr>
          <w:p w:rsidR="00D3304B" w:rsidRPr="00D55DC6" w:rsidRDefault="003C3F9D" w:rsidP="0038165F">
            <w:pPr>
              <w:jc w:val="center"/>
            </w:pPr>
            <w:r w:rsidRPr="00D55DC6">
              <w:t>3.32349</w:t>
            </w:r>
          </w:p>
        </w:tc>
        <w:tc>
          <w:tcPr>
            <w:tcW w:w="1843" w:type="dxa"/>
          </w:tcPr>
          <w:p w:rsidR="00D3304B" w:rsidRPr="00D55DC6" w:rsidRDefault="003C3F9D" w:rsidP="000972A9">
            <w:pPr>
              <w:jc w:val="center"/>
            </w:pPr>
            <w:r w:rsidRPr="00D55DC6">
              <w:t>3.28826</w:t>
            </w:r>
          </w:p>
        </w:tc>
        <w:tc>
          <w:tcPr>
            <w:tcW w:w="1179" w:type="dxa"/>
          </w:tcPr>
          <w:p w:rsidR="00D3304B" w:rsidRPr="00D55DC6" w:rsidRDefault="003C3F9D" w:rsidP="000972A9">
            <w:pPr>
              <w:jc w:val="center"/>
            </w:pPr>
            <w:r w:rsidRPr="00D55DC6">
              <w:t>98.94%</w:t>
            </w:r>
          </w:p>
        </w:tc>
      </w:tr>
      <w:tr w:rsidR="001D0350" w:rsidRPr="00D55DC6" w:rsidTr="00CF2E6F">
        <w:tc>
          <w:tcPr>
            <w:tcW w:w="456" w:type="dxa"/>
          </w:tcPr>
          <w:p w:rsidR="00D3304B" w:rsidRPr="00D55DC6" w:rsidRDefault="00D3304B" w:rsidP="0038165F">
            <w:pPr>
              <w:snapToGrid w:val="0"/>
              <w:jc w:val="both"/>
              <w:rPr>
                <w:rFonts w:eastAsia="標楷體"/>
                <w:szCs w:val="28"/>
              </w:rPr>
            </w:pPr>
            <w:r w:rsidRPr="00D55DC6">
              <w:rPr>
                <w:rFonts w:eastAsia="標楷體"/>
                <w:szCs w:val="28"/>
              </w:rPr>
              <w:t>8</w:t>
            </w:r>
          </w:p>
        </w:tc>
        <w:tc>
          <w:tcPr>
            <w:tcW w:w="4505" w:type="dxa"/>
            <w:vAlign w:val="center"/>
          </w:tcPr>
          <w:p w:rsidR="00D3304B" w:rsidRPr="00D55DC6" w:rsidRDefault="00D3304B" w:rsidP="0038165F">
            <w:pPr>
              <w:widowControl/>
              <w:rPr>
                <w:rFonts w:eastAsia="標楷體"/>
                <w:kern w:val="0"/>
                <w:lang w:bidi="sa-IN"/>
              </w:rPr>
            </w:pPr>
            <w:r w:rsidRPr="00D55DC6">
              <w:rPr>
                <w:rFonts w:eastAsia="標楷體"/>
                <w:kern w:val="0"/>
                <w:lang w:bidi="sa-IN"/>
              </w:rPr>
              <w:t>茂林國家風景區建設計畫</w:t>
            </w:r>
          </w:p>
        </w:tc>
        <w:tc>
          <w:tcPr>
            <w:tcW w:w="1701" w:type="dxa"/>
            <w:vAlign w:val="center"/>
          </w:tcPr>
          <w:p w:rsidR="00D3304B" w:rsidRPr="00D55DC6" w:rsidRDefault="003C3F9D" w:rsidP="0038165F">
            <w:pPr>
              <w:jc w:val="center"/>
            </w:pPr>
            <w:r w:rsidRPr="00D55DC6">
              <w:t>5.59196</w:t>
            </w:r>
          </w:p>
        </w:tc>
        <w:tc>
          <w:tcPr>
            <w:tcW w:w="1843" w:type="dxa"/>
          </w:tcPr>
          <w:p w:rsidR="00D3304B" w:rsidRPr="00D55DC6" w:rsidRDefault="003C3F9D" w:rsidP="0038165F">
            <w:pPr>
              <w:jc w:val="center"/>
            </w:pPr>
            <w:r w:rsidRPr="00D55DC6">
              <w:t>5.55651</w:t>
            </w:r>
          </w:p>
        </w:tc>
        <w:tc>
          <w:tcPr>
            <w:tcW w:w="1179" w:type="dxa"/>
          </w:tcPr>
          <w:p w:rsidR="00D3304B" w:rsidRPr="00D55DC6" w:rsidRDefault="003C3F9D" w:rsidP="0038165F">
            <w:pPr>
              <w:jc w:val="center"/>
            </w:pPr>
            <w:r w:rsidRPr="00D55DC6">
              <w:t>99.37%</w:t>
            </w:r>
          </w:p>
        </w:tc>
      </w:tr>
      <w:tr w:rsidR="001D0350" w:rsidRPr="00D55DC6" w:rsidTr="00CF2E6F">
        <w:tc>
          <w:tcPr>
            <w:tcW w:w="456" w:type="dxa"/>
          </w:tcPr>
          <w:p w:rsidR="00D3304B" w:rsidRPr="00D55DC6" w:rsidRDefault="00D3304B" w:rsidP="0038165F">
            <w:pPr>
              <w:snapToGrid w:val="0"/>
              <w:jc w:val="both"/>
              <w:rPr>
                <w:rFonts w:eastAsia="標楷體"/>
                <w:szCs w:val="28"/>
              </w:rPr>
            </w:pPr>
            <w:r w:rsidRPr="00D55DC6">
              <w:rPr>
                <w:rFonts w:eastAsia="標楷體"/>
                <w:szCs w:val="28"/>
              </w:rPr>
              <w:t>9</w:t>
            </w:r>
          </w:p>
        </w:tc>
        <w:tc>
          <w:tcPr>
            <w:tcW w:w="4505" w:type="dxa"/>
            <w:vAlign w:val="center"/>
          </w:tcPr>
          <w:p w:rsidR="00D3304B" w:rsidRPr="00D55DC6" w:rsidRDefault="00D3304B" w:rsidP="0038165F">
            <w:pPr>
              <w:widowControl/>
              <w:rPr>
                <w:rFonts w:eastAsia="標楷體"/>
                <w:kern w:val="0"/>
                <w:lang w:bidi="sa-IN"/>
              </w:rPr>
            </w:pPr>
            <w:r w:rsidRPr="00D55DC6">
              <w:rPr>
                <w:rFonts w:eastAsia="標楷體"/>
                <w:kern w:val="0"/>
                <w:lang w:bidi="sa-IN"/>
              </w:rPr>
              <w:t>大鵬灣國家風景區建設計畫</w:t>
            </w:r>
          </w:p>
        </w:tc>
        <w:tc>
          <w:tcPr>
            <w:tcW w:w="1701" w:type="dxa"/>
          </w:tcPr>
          <w:p w:rsidR="00D3304B" w:rsidRPr="00D55DC6" w:rsidRDefault="003C3F9D" w:rsidP="0038165F">
            <w:pPr>
              <w:jc w:val="center"/>
            </w:pPr>
            <w:r w:rsidRPr="00D55DC6">
              <w:t>7.29404</w:t>
            </w:r>
          </w:p>
        </w:tc>
        <w:tc>
          <w:tcPr>
            <w:tcW w:w="1843" w:type="dxa"/>
          </w:tcPr>
          <w:p w:rsidR="00D3304B" w:rsidRPr="00D55DC6" w:rsidRDefault="003C3F9D" w:rsidP="0038165F">
            <w:pPr>
              <w:jc w:val="center"/>
            </w:pPr>
            <w:r w:rsidRPr="00D55DC6">
              <w:t>7.29404</w:t>
            </w:r>
          </w:p>
        </w:tc>
        <w:tc>
          <w:tcPr>
            <w:tcW w:w="1179" w:type="dxa"/>
          </w:tcPr>
          <w:p w:rsidR="00D3304B" w:rsidRPr="00D55DC6" w:rsidRDefault="003C3F9D" w:rsidP="0038165F">
            <w:pPr>
              <w:jc w:val="center"/>
            </w:pPr>
            <w:r w:rsidRPr="00D55DC6">
              <w:t>100.00%</w:t>
            </w:r>
          </w:p>
        </w:tc>
      </w:tr>
      <w:tr w:rsidR="001D0350" w:rsidRPr="00D55DC6" w:rsidTr="00CF2E6F">
        <w:tc>
          <w:tcPr>
            <w:tcW w:w="456" w:type="dxa"/>
          </w:tcPr>
          <w:p w:rsidR="00D3304B" w:rsidRPr="00D55DC6" w:rsidRDefault="00D3304B" w:rsidP="0038165F">
            <w:pPr>
              <w:snapToGrid w:val="0"/>
              <w:jc w:val="both"/>
              <w:rPr>
                <w:rFonts w:eastAsia="標楷體"/>
                <w:szCs w:val="28"/>
              </w:rPr>
            </w:pPr>
            <w:r w:rsidRPr="00D55DC6">
              <w:rPr>
                <w:rFonts w:eastAsia="標楷體"/>
                <w:szCs w:val="28"/>
              </w:rPr>
              <w:t>10</w:t>
            </w:r>
          </w:p>
        </w:tc>
        <w:tc>
          <w:tcPr>
            <w:tcW w:w="4505" w:type="dxa"/>
            <w:vAlign w:val="center"/>
          </w:tcPr>
          <w:p w:rsidR="00D3304B" w:rsidRPr="00D55DC6" w:rsidRDefault="00D3304B" w:rsidP="0038165F">
            <w:pPr>
              <w:widowControl/>
              <w:rPr>
                <w:rFonts w:eastAsia="標楷體"/>
                <w:kern w:val="0"/>
                <w:lang w:bidi="sa-IN"/>
              </w:rPr>
            </w:pPr>
            <w:r w:rsidRPr="00D55DC6">
              <w:rPr>
                <w:rFonts w:eastAsia="標楷體"/>
                <w:kern w:val="0"/>
                <w:lang w:bidi="sa-IN"/>
              </w:rPr>
              <w:t>東部海岸國家風景區建設計畫</w:t>
            </w:r>
          </w:p>
        </w:tc>
        <w:tc>
          <w:tcPr>
            <w:tcW w:w="1701" w:type="dxa"/>
          </w:tcPr>
          <w:p w:rsidR="00D3304B" w:rsidRPr="00D55DC6" w:rsidRDefault="00B45614" w:rsidP="0038165F">
            <w:pPr>
              <w:jc w:val="center"/>
            </w:pPr>
            <w:r w:rsidRPr="00D55DC6">
              <w:t>5.95096</w:t>
            </w:r>
          </w:p>
        </w:tc>
        <w:tc>
          <w:tcPr>
            <w:tcW w:w="1843" w:type="dxa"/>
          </w:tcPr>
          <w:p w:rsidR="00D3304B" w:rsidRPr="00D55DC6" w:rsidRDefault="00B45614" w:rsidP="000972A9">
            <w:pPr>
              <w:jc w:val="center"/>
            </w:pPr>
            <w:r w:rsidRPr="00D55DC6">
              <w:t>6.00010</w:t>
            </w:r>
          </w:p>
        </w:tc>
        <w:tc>
          <w:tcPr>
            <w:tcW w:w="1179" w:type="dxa"/>
          </w:tcPr>
          <w:p w:rsidR="00D3304B" w:rsidRPr="00D55DC6" w:rsidRDefault="00B45614" w:rsidP="000972A9">
            <w:pPr>
              <w:jc w:val="center"/>
            </w:pPr>
            <w:r w:rsidRPr="00D55DC6">
              <w:t>100.00%</w:t>
            </w:r>
          </w:p>
        </w:tc>
      </w:tr>
      <w:tr w:rsidR="001D0350" w:rsidRPr="00D55DC6" w:rsidTr="00986223">
        <w:tc>
          <w:tcPr>
            <w:tcW w:w="456" w:type="dxa"/>
          </w:tcPr>
          <w:p w:rsidR="008A3D8B" w:rsidRPr="00D55DC6" w:rsidRDefault="008A3D8B" w:rsidP="0038165F">
            <w:pPr>
              <w:snapToGrid w:val="0"/>
              <w:jc w:val="both"/>
              <w:rPr>
                <w:rFonts w:eastAsia="標楷體"/>
                <w:szCs w:val="28"/>
              </w:rPr>
            </w:pPr>
            <w:r w:rsidRPr="00D55DC6">
              <w:rPr>
                <w:rFonts w:eastAsia="標楷體"/>
                <w:szCs w:val="28"/>
              </w:rPr>
              <w:t>11</w:t>
            </w:r>
          </w:p>
        </w:tc>
        <w:tc>
          <w:tcPr>
            <w:tcW w:w="4505" w:type="dxa"/>
            <w:vAlign w:val="center"/>
          </w:tcPr>
          <w:p w:rsidR="008A3D8B" w:rsidRPr="00D55DC6" w:rsidRDefault="008A3D8B" w:rsidP="0038165F">
            <w:pPr>
              <w:widowControl/>
              <w:rPr>
                <w:rFonts w:eastAsia="標楷體"/>
                <w:kern w:val="0"/>
                <w:lang w:bidi="sa-IN"/>
              </w:rPr>
            </w:pPr>
            <w:r w:rsidRPr="00D55DC6">
              <w:rPr>
                <w:rFonts w:eastAsia="標楷體"/>
                <w:kern w:val="0"/>
                <w:lang w:bidi="sa-IN"/>
              </w:rPr>
              <w:t>花東縱谷國家風景區建設計畫</w:t>
            </w:r>
          </w:p>
        </w:tc>
        <w:tc>
          <w:tcPr>
            <w:tcW w:w="1701" w:type="dxa"/>
            <w:vAlign w:val="center"/>
          </w:tcPr>
          <w:p w:rsidR="008A3D8B" w:rsidRPr="00D55DC6" w:rsidRDefault="001370BE" w:rsidP="00986223">
            <w:pPr>
              <w:jc w:val="center"/>
            </w:pPr>
            <w:r w:rsidRPr="00D55DC6">
              <w:t>3.70524</w:t>
            </w:r>
          </w:p>
        </w:tc>
        <w:tc>
          <w:tcPr>
            <w:tcW w:w="1843" w:type="dxa"/>
            <w:vAlign w:val="center"/>
          </w:tcPr>
          <w:p w:rsidR="008A3D8B" w:rsidRPr="00D55DC6" w:rsidRDefault="001370BE" w:rsidP="00986223">
            <w:pPr>
              <w:jc w:val="center"/>
            </w:pPr>
            <w:r w:rsidRPr="00D55DC6">
              <w:t>3.69450</w:t>
            </w:r>
          </w:p>
        </w:tc>
        <w:tc>
          <w:tcPr>
            <w:tcW w:w="1179" w:type="dxa"/>
            <w:vAlign w:val="center"/>
          </w:tcPr>
          <w:p w:rsidR="008A3D8B" w:rsidRPr="00D55DC6" w:rsidRDefault="001370BE" w:rsidP="00986223">
            <w:pPr>
              <w:jc w:val="center"/>
            </w:pPr>
            <w:r w:rsidRPr="00D55DC6">
              <w:t>99.71%</w:t>
            </w:r>
          </w:p>
        </w:tc>
      </w:tr>
      <w:tr w:rsidR="001D0350" w:rsidRPr="00D55DC6" w:rsidTr="00CF2E6F">
        <w:tc>
          <w:tcPr>
            <w:tcW w:w="456" w:type="dxa"/>
          </w:tcPr>
          <w:p w:rsidR="00D3304B" w:rsidRPr="00D55DC6" w:rsidRDefault="00D3304B" w:rsidP="0038165F">
            <w:pPr>
              <w:snapToGrid w:val="0"/>
              <w:jc w:val="both"/>
              <w:rPr>
                <w:rFonts w:eastAsia="標楷體"/>
                <w:szCs w:val="28"/>
              </w:rPr>
            </w:pPr>
            <w:r w:rsidRPr="00D55DC6">
              <w:rPr>
                <w:rFonts w:eastAsia="標楷體"/>
                <w:szCs w:val="28"/>
              </w:rPr>
              <w:t>12</w:t>
            </w:r>
          </w:p>
        </w:tc>
        <w:tc>
          <w:tcPr>
            <w:tcW w:w="4505" w:type="dxa"/>
            <w:vAlign w:val="center"/>
          </w:tcPr>
          <w:p w:rsidR="00D3304B" w:rsidRPr="00D55DC6" w:rsidRDefault="00D3304B" w:rsidP="0038165F">
            <w:pPr>
              <w:widowControl/>
              <w:rPr>
                <w:rFonts w:eastAsia="標楷體"/>
                <w:kern w:val="0"/>
                <w:lang w:bidi="sa-IN"/>
              </w:rPr>
            </w:pPr>
            <w:r w:rsidRPr="00D55DC6">
              <w:rPr>
                <w:rFonts w:eastAsia="標楷體"/>
                <w:kern w:val="0"/>
                <w:lang w:bidi="sa-IN"/>
              </w:rPr>
              <w:t>澎湖國家風景區建設計畫</w:t>
            </w:r>
          </w:p>
        </w:tc>
        <w:tc>
          <w:tcPr>
            <w:tcW w:w="1701" w:type="dxa"/>
          </w:tcPr>
          <w:p w:rsidR="00D3304B" w:rsidRPr="00D55DC6" w:rsidRDefault="00B45614" w:rsidP="0038165F">
            <w:pPr>
              <w:jc w:val="center"/>
            </w:pPr>
            <w:r w:rsidRPr="00D55DC6">
              <w:t>4.04768</w:t>
            </w:r>
          </w:p>
        </w:tc>
        <w:tc>
          <w:tcPr>
            <w:tcW w:w="1843" w:type="dxa"/>
          </w:tcPr>
          <w:p w:rsidR="00D3304B" w:rsidRPr="00D55DC6" w:rsidRDefault="00B45614" w:rsidP="0038165F">
            <w:pPr>
              <w:jc w:val="center"/>
            </w:pPr>
            <w:r w:rsidRPr="00D55DC6">
              <w:t>4.04767</w:t>
            </w:r>
          </w:p>
        </w:tc>
        <w:tc>
          <w:tcPr>
            <w:tcW w:w="1179" w:type="dxa"/>
          </w:tcPr>
          <w:p w:rsidR="00D3304B" w:rsidRPr="00D55DC6" w:rsidRDefault="00B45614" w:rsidP="000972A9">
            <w:pPr>
              <w:jc w:val="center"/>
            </w:pPr>
            <w:r w:rsidRPr="00D55DC6">
              <w:t>100.00%</w:t>
            </w:r>
          </w:p>
        </w:tc>
      </w:tr>
      <w:tr w:rsidR="001D0350" w:rsidRPr="00D55DC6" w:rsidTr="00CF2E6F">
        <w:tc>
          <w:tcPr>
            <w:tcW w:w="456" w:type="dxa"/>
          </w:tcPr>
          <w:p w:rsidR="00D3304B" w:rsidRPr="00D55DC6" w:rsidRDefault="00D3304B" w:rsidP="0038165F">
            <w:pPr>
              <w:snapToGrid w:val="0"/>
              <w:jc w:val="both"/>
              <w:rPr>
                <w:rFonts w:eastAsia="標楷體"/>
                <w:szCs w:val="28"/>
              </w:rPr>
            </w:pPr>
            <w:r w:rsidRPr="00D55DC6">
              <w:rPr>
                <w:rFonts w:eastAsia="標楷體"/>
                <w:szCs w:val="28"/>
              </w:rPr>
              <w:t>13</w:t>
            </w:r>
          </w:p>
        </w:tc>
        <w:tc>
          <w:tcPr>
            <w:tcW w:w="4505" w:type="dxa"/>
            <w:vAlign w:val="center"/>
          </w:tcPr>
          <w:p w:rsidR="00D3304B" w:rsidRPr="00D55DC6" w:rsidRDefault="00D3304B" w:rsidP="0038165F">
            <w:pPr>
              <w:widowControl/>
              <w:rPr>
                <w:rFonts w:eastAsia="標楷體"/>
                <w:kern w:val="0"/>
                <w:lang w:bidi="sa-IN"/>
              </w:rPr>
            </w:pPr>
            <w:r w:rsidRPr="00D55DC6">
              <w:rPr>
                <w:rFonts w:eastAsia="標楷體"/>
                <w:kern w:val="0"/>
                <w:lang w:bidi="sa-IN"/>
              </w:rPr>
              <w:t>馬祖國家風景區建設計畫</w:t>
            </w:r>
          </w:p>
        </w:tc>
        <w:tc>
          <w:tcPr>
            <w:tcW w:w="1701" w:type="dxa"/>
          </w:tcPr>
          <w:p w:rsidR="00D3304B" w:rsidRPr="00D55DC6" w:rsidRDefault="00B45614" w:rsidP="0038165F">
            <w:pPr>
              <w:jc w:val="center"/>
            </w:pPr>
            <w:r w:rsidRPr="00D55DC6">
              <w:t>4.23480</w:t>
            </w:r>
          </w:p>
        </w:tc>
        <w:tc>
          <w:tcPr>
            <w:tcW w:w="1843" w:type="dxa"/>
          </w:tcPr>
          <w:p w:rsidR="00D3304B" w:rsidRPr="00D55DC6" w:rsidRDefault="00B45614" w:rsidP="000972A9">
            <w:pPr>
              <w:jc w:val="center"/>
            </w:pPr>
            <w:r w:rsidRPr="00D55DC6">
              <w:t>4.23052</w:t>
            </w:r>
          </w:p>
        </w:tc>
        <w:tc>
          <w:tcPr>
            <w:tcW w:w="1179" w:type="dxa"/>
          </w:tcPr>
          <w:p w:rsidR="00D3304B" w:rsidRPr="00D55DC6" w:rsidRDefault="00B45614" w:rsidP="000972A9">
            <w:pPr>
              <w:jc w:val="center"/>
            </w:pPr>
            <w:r w:rsidRPr="00D55DC6">
              <w:t>99.89%</w:t>
            </w:r>
          </w:p>
        </w:tc>
      </w:tr>
      <w:tr w:rsidR="001D0350" w:rsidRPr="00D55DC6" w:rsidTr="00CF2E6F">
        <w:tc>
          <w:tcPr>
            <w:tcW w:w="456" w:type="dxa"/>
          </w:tcPr>
          <w:p w:rsidR="00D3304B" w:rsidRPr="00D55DC6" w:rsidRDefault="00D3304B" w:rsidP="0038165F">
            <w:pPr>
              <w:snapToGrid w:val="0"/>
              <w:jc w:val="both"/>
              <w:rPr>
                <w:rFonts w:eastAsia="標楷體"/>
                <w:szCs w:val="28"/>
              </w:rPr>
            </w:pPr>
            <w:r w:rsidRPr="00D55DC6">
              <w:rPr>
                <w:rFonts w:eastAsia="標楷體"/>
                <w:szCs w:val="28"/>
              </w:rPr>
              <w:t>14</w:t>
            </w:r>
          </w:p>
        </w:tc>
        <w:tc>
          <w:tcPr>
            <w:tcW w:w="4505" w:type="dxa"/>
            <w:vAlign w:val="center"/>
          </w:tcPr>
          <w:p w:rsidR="00D3304B" w:rsidRPr="00D55DC6" w:rsidRDefault="00D3304B" w:rsidP="0038165F">
            <w:pPr>
              <w:widowControl/>
              <w:rPr>
                <w:rFonts w:eastAsia="標楷體"/>
                <w:kern w:val="0"/>
                <w:lang w:bidi="sa-IN"/>
              </w:rPr>
            </w:pPr>
            <w:r w:rsidRPr="00D55DC6">
              <w:rPr>
                <w:rFonts w:eastAsia="標楷體"/>
                <w:kern w:val="0"/>
                <w:lang w:bidi="sa-IN"/>
              </w:rPr>
              <w:t>整備觀光遊憩設施建設計畫</w:t>
            </w:r>
          </w:p>
        </w:tc>
        <w:tc>
          <w:tcPr>
            <w:tcW w:w="1701" w:type="dxa"/>
          </w:tcPr>
          <w:p w:rsidR="00D3304B" w:rsidRPr="00D55DC6" w:rsidRDefault="00B45614" w:rsidP="000972A9">
            <w:pPr>
              <w:jc w:val="center"/>
            </w:pPr>
            <w:r w:rsidRPr="00D55DC6">
              <w:t>19.49992</w:t>
            </w:r>
          </w:p>
        </w:tc>
        <w:tc>
          <w:tcPr>
            <w:tcW w:w="1843" w:type="dxa"/>
          </w:tcPr>
          <w:p w:rsidR="00D3304B" w:rsidRPr="00D55DC6" w:rsidRDefault="00B45614" w:rsidP="0038165F">
            <w:pPr>
              <w:jc w:val="center"/>
            </w:pPr>
            <w:r w:rsidRPr="00D55DC6">
              <w:t>19.14496</w:t>
            </w:r>
          </w:p>
        </w:tc>
        <w:tc>
          <w:tcPr>
            <w:tcW w:w="1179" w:type="dxa"/>
          </w:tcPr>
          <w:p w:rsidR="00D3304B" w:rsidRPr="00D55DC6" w:rsidRDefault="00B45614" w:rsidP="000972A9">
            <w:pPr>
              <w:jc w:val="center"/>
            </w:pPr>
            <w:r w:rsidRPr="00D55DC6">
              <w:t>98.18%</w:t>
            </w:r>
          </w:p>
        </w:tc>
      </w:tr>
      <w:tr w:rsidR="001D0350" w:rsidRPr="00D55DC6" w:rsidTr="00C676DD">
        <w:tc>
          <w:tcPr>
            <w:tcW w:w="4961" w:type="dxa"/>
            <w:gridSpan w:val="2"/>
            <w:vAlign w:val="center"/>
          </w:tcPr>
          <w:p w:rsidR="000972A9" w:rsidRPr="00D55DC6" w:rsidRDefault="000972A9" w:rsidP="0038165F">
            <w:pPr>
              <w:snapToGrid w:val="0"/>
              <w:jc w:val="center"/>
              <w:rPr>
                <w:rFonts w:eastAsia="標楷體"/>
                <w:szCs w:val="28"/>
              </w:rPr>
            </w:pPr>
            <w:r w:rsidRPr="00D55DC6">
              <w:rPr>
                <w:rFonts w:eastAsia="標楷體"/>
                <w:szCs w:val="28"/>
              </w:rPr>
              <w:t>合　　計</w:t>
            </w:r>
          </w:p>
        </w:tc>
        <w:tc>
          <w:tcPr>
            <w:tcW w:w="1701" w:type="dxa"/>
            <w:vAlign w:val="center"/>
          </w:tcPr>
          <w:p w:rsidR="000972A9" w:rsidRPr="00D55DC6" w:rsidRDefault="00B45614" w:rsidP="000972A9">
            <w:pPr>
              <w:jc w:val="center"/>
            </w:pPr>
            <w:r w:rsidRPr="00D55DC6">
              <w:t>88.41621</w:t>
            </w:r>
          </w:p>
        </w:tc>
        <w:tc>
          <w:tcPr>
            <w:tcW w:w="1843" w:type="dxa"/>
            <w:vAlign w:val="center"/>
          </w:tcPr>
          <w:p w:rsidR="000972A9" w:rsidRPr="00D55DC6" w:rsidRDefault="00B45614" w:rsidP="000972A9">
            <w:pPr>
              <w:jc w:val="center"/>
            </w:pPr>
            <w:r w:rsidRPr="00D55DC6">
              <w:t>87.74649</w:t>
            </w:r>
          </w:p>
        </w:tc>
        <w:tc>
          <w:tcPr>
            <w:tcW w:w="1179" w:type="dxa"/>
            <w:vAlign w:val="center"/>
          </w:tcPr>
          <w:p w:rsidR="000972A9" w:rsidRPr="00D55DC6" w:rsidRDefault="00B45614" w:rsidP="000972A9">
            <w:pPr>
              <w:jc w:val="center"/>
            </w:pPr>
            <w:r w:rsidRPr="00D55DC6">
              <w:t>99.24%</w:t>
            </w:r>
          </w:p>
        </w:tc>
      </w:tr>
    </w:tbl>
    <w:p w:rsidR="001E0BF2" w:rsidRPr="00D55DC6" w:rsidRDefault="00BB5392" w:rsidP="0038165F">
      <w:pPr>
        <w:snapToGrid w:val="0"/>
        <w:ind w:leftChars="295" w:left="1315" w:hangingChars="253" w:hanging="607"/>
        <w:jc w:val="both"/>
        <w:rPr>
          <w:rFonts w:eastAsia="標楷體"/>
          <w:szCs w:val="28"/>
        </w:rPr>
      </w:pPr>
      <w:r w:rsidRPr="00D55DC6">
        <w:rPr>
          <w:rFonts w:eastAsia="標楷體"/>
          <w:szCs w:val="28"/>
        </w:rPr>
        <w:t>註</w:t>
      </w:r>
      <w:r w:rsidR="001E0BF2" w:rsidRPr="00D55DC6">
        <w:rPr>
          <w:rFonts w:eastAsia="標楷體" w:hint="eastAsia"/>
          <w:szCs w:val="28"/>
        </w:rPr>
        <w:t xml:space="preserve">1. </w:t>
      </w:r>
      <w:r w:rsidR="008C2BBF" w:rsidRPr="00D55DC6">
        <w:rPr>
          <w:rFonts w:eastAsia="標楷體" w:hint="eastAsia"/>
          <w:szCs w:val="28"/>
        </w:rPr>
        <w:t>依據「</w:t>
      </w:r>
      <w:r w:rsidR="001E0BF2" w:rsidRPr="00D55DC6">
        <w:rPr>
          <w:rFonts w:eastAsia="標楷體" w:hint="eastAsia"/>
          <w:szCs w:val="28"/>
        </w:rPr>
        <w:t>行政院政府施政計畫管理資訊網</w:t>
      </w:r>
      <w:r w:rsidR="008C2BBF" w:rsidRPr="00D55DC6">
        <w:rPr>
          <w:rFonts w:eastAsia="標楷體" w:hint="eastAsia"/>
          <w:szCs w:val="28"/>
        </w:rPr>
        <w:t>」管考系統資料</w:t>
      </w:r>
      <w:r w:rsidR="001E0BF2" w:rsidRPr="00D55DC6">
        <w:rPr>
          <w:rFonts w:eastAsia="標楷體" w:hint="eastAsia"/>
          <w:szCs w:val="28"/>
        </w:rPr>
        <w:t>。</w:t>
      </w:r>
    </w:p>
    <w:p w:rsidR="00BB5392" w:rsidRPr="00D55DC6" w:rsidRDefault="001E0BF2" w:rsidP="0038165F">
      <w:pPr>
        <w:snapToGrid w:val="0"/>
        <w:ind w:leftChars="295" w:left="1315" w:hangingChars="253" w:hanging="607"/>
        <w:jc w:val="both"/>
        <w:rPr>
          <w:rFonts w:eastAsia="標楷體"/>
          <w:szCs w:val="28"/>
        </w:rPr>
      </w:pPr>
      <w:r w:rsidRPr="00D55DC6">
        <w:rPr>
          <w:rFonts w:eastAsia="標楷體" w:hint="eastAsia"/>
          <w:szCs w:val="28"/>
        </w:rPr>
        <w:t xml:space="preserve">   2</w:t>
      </w:r>
      <w:r w:rsidR="00BB5392" w:rsidRPr="00D55DC6">
        <w:rPr>
          <w:rFonts w:eastAsia="標楷體"/>
          <w:szCs w:val="28"/>
        </w:rPr>
        <w:t>.</w:t>
      </w:r>
      <w:r w:rsidR="00BB5392" w:rsidRPr="00D55DC6">
        <w:rPr>
          <w:rFonts w:eastAsia="標楷體"/>
          <w:szCs w:val="28"/>
        </w:rPr>
        <w:t>「總累計編列數</w:t>
      </w:r>
      <w:r w:rsidR="00BB5392" w:rsidRPr="00D55DC6">
        <w:rPr>
          <w:rFonts w:eastAsia="標楷體"/>
          <w:szCs w:val="28"/>
        </w:rPr>
        <w:t>(A)</w:t>
      </w:r>
      <w:r w:rsidR="00BB5392" w:rsidRPr="00D55DC6">
        <w:rPr>
          <w:rFonts w:eastAsia="標楷體"/>
          <w:szCs w:val="28"/>
        </w:rPr>
        <w:t>」為</w:t>
      </w:r>
      <w:r w:rsidR="00BB5392" w:rsidRPr="00D55DC6">
        <w:rPr>
          <w:rFonts w:eastAsia="標楷體"/>
          <w:szCs w:val="28"/>
        </w:rPr>
        <w:t>101</w:t>
      </w:r>
      <w:r w:rsidR="00BB5392" w:rsidRPr="00D55DC6">
        <w:rPr>
          <w:rFonts w:eastAsia="標楷體"/>
          <w:szCs w:val="28"/>
        </w:rPr>
        <w:t>年</w:t>
      </w:r>
      <w:r w:rsidR="00BB5392" w:rsidRPr="00D55DC6">
        <w:rPr>
          <w:rFonts w:eastAsia="標楷體"/>
          <w:szCs w:val="28"/>
        </w:rPr>
        <w:t>1</w:t>
      </w:r>
      <w:r w:rsidR="00BB5392" w:rsidRPr="00D55DC6">
        <w:rPr>
          <w:rFonts w:eastAsia="標楷體"/>
          <w:szCs w:val="28"/>
        </w:rPr>
        <w:t>月至</w:t>
      </w:r>
      <w:r w:rsidR="00BB5392" w:rsidRPr="00D55DC6">
        <w:rPr>
          <w:rFonts w:eastAsia="標楷體"/>
          <w:szCs w:val="28"/>
        </w:rPr>
        <w:t>103</w:t>
      </w:r>
      <w:r w:rsidR="00BB5392" w:rsidRPr="00D55DC6">
        <w:rPr>
          <w:rFonts w:eastAsia="標楷體"/>
          <w:szCs w:val="28"/>
        </w:rPr>
        <w:t>年</w:t>
      </w:r>
      <w:r w:rsidR="0027353C" w:rsidRPr="00D55DC6">
        <w:rPr>
          <w:rFonts w:eastAsia="標楷體"/>
          <w:szCs w:val="28"/>
        </w:rPr>
        <w:t>1</w:t>
      </w:r>
      <w:r w:rsidR="001370BE" w:rsidRPr="00D55DC6">
        <w:rPr>
          <w:rFonts w:eastAsia="標楷體"/>
          <w:szCs w:val="28"/>
        </w:rPr>
        <w:t>2</w:t>
      </w:r>
      <w:r w:rsidR="00BB5392" w:rsidRPr="00D55DC6">
        <w:rPr>
          <w:rFonts w:eastAsia="標楷體"/>
          <w:szCs w:val="28"/>
        </w:rPr>
        <w:t>月</w:t>
      </w:r>
      <w:r w:rsidR="00331A13" w:rsidRPr="00D55DC6">
        <w:rPr>
          <w:rFonts w:eastAsia="標楷體"/>
          <w:szCs w:val="28"/>
        </w:rPr>
        <w:t>累計</w:t>
      </w:r>
      <w:r w:rsidR="00BB5392" w:rsidRPr="00D55DC6">
        <w:rPr>
          <w:rFonts w:eastAsia="標楷體"/>
          <w:szCs w:val="28"/>
        </w:rPr>
        <w:t>實際可支用數。</w:t>
      </w:r>
    </w:p>
    <w:p w:rsidR="005967D4" w:rsidRPr="00D55DC6" w:rsidRDefault="00BB5392" w:rsidP="0038165F">
      <w:pPr>
        <w:snapToGrid w:val="0"/>
        <w:jc w:val="both"/>
        <w:rPr>
          <w:rFonts w:eastAsia="標楷體"/>
          <w:szCs w:val="28"/>
        </w:rPr>
      </w:pPr>
      <w:r w:rsidRPr="00D55DC6">
        <w:rPr>
          <w:rFonts w:eastAsia="標楷體"/>
          <w:szCs w:val="28"/>
        </w:rPr>
        <w:t xml:space="preserve">      </w:t>
      </w:r>
      <w:r w:rsidR="00331A13" w:rsidRPr="00D55DC6">
        <w:rPr>
          <w:rFonts w:eastAsia="標楷體"/>
          <w:szCs w:val="28"/>
        </w:rPr>
        <w:t xml:space="preserve">   </w:t>
      </w:r>
      <w:r w:rsidR="001E0BF2" w:rsidRPr="00D55DC6">
        <w:rPr>
          <w:rFonts w:eastAsia="標楷體" w:hint="eastAsia"/>
          <w:szCs w:val="28"/>
        </w:rPr>
        <w:t>3</w:t>
      </w:r>
      <w:r w:rsidRPr="00D55DC6">
        <w:rPr>
          <w:rFonts w:eastAsia="標楷體"/>
          <w:szCs w:val="28"/>
        </w:rPr>
        <w:t>.</w:t>
      </w:r>
      <w:r w:rsidRPr="00D55DC6">
        <w:rPr>
          <w:rFonts w:eastAsia="標楷體"/>
          <w:szCs w:val="28"/>
        </w:rPr>
        <w:t>「總累計</w:t>
      </w:r>
      <w:r w:rsidR="00331A13" w:rsidRPr="00D55DC6">
        <w:rPr>
          <w:rFonts w:eastAsia="標楷體"/>
          <w:szCs w:val="28"/>
        </w:rPr>
        <w:t>實支</w:t>
      </w:r>
      <w:r w:rsidRPr="00D55DC6">
        <w:rPr>
          <w:rFonts w:eastAsia="標楷體"/>
          <w:szCs w:val="28"/>
        </w:rPr>
        <w:t>數</w:t>
      </w:r>
      <w:r w:rsidRPr="00D55DC6">
        <w:rPr>
          <w:rFonts w:eastAsia="標楷體"/>
          <w:szCs w:val="28"/>
        </w:rPr>
        <w:t>(B)</w:t>
      </w:r>
      <w:r w:rsidRPr="00D55DC6">
        <w:rPr>
          <w:rFonts w:eastAsia="標楷體"/>
          <w:szCs w:val="28"/>
        </w:rPr>
        <w:t>」為</w:t>
      </w:r>
      <w:r w:rsidR="00331A13" w:rsidRPr="00D55DC6">
        <w:rPr>
          <w:rFonts w:eastAsia="標楷體"/>
          <w:szCs w:val="28"/>
        </w:rPr>
        <w:t>101</w:t>
      </w:r>
      <w:r w:rsidR="00331A13" w:rsidRPr="00D55DC6">
        <w:rPr>
          <w:rFonts w:eastAsia="標楷體"/>
          <w:szCs w:val="28"/>
        </w:rPr>
        <w:t>年</w:t>
      </w:r>
      <w:r w:rsidR="00331A13" w:rsidRPr="00D55DC6">
        <w:rPr>
          <w:rFonts w:eastAsia="標楷體"/>
          <w:szCs w:val="28"/>
        </w:rPr>
        <w:t>1</w:t>
      </w:r>
      <w:r w:rsidR="00331A13" w:rsidRPr="00D55DC6">
        <w:rPr>
          <w:rFonts w:eastAsia="標楷體"/>
          <w:szCs w:val="28"/>
        </w:rPr>
        <w:t>月至</w:t>
      </w:r>
      <w:r w:rsidR="00331A13" w:rsidRPr="00D55DC6">
        <w:rPr>
          <w:rFonts w:eastAsia="標楷體"/>
          <w:szCs w:val="28"/>
        </w:rPr>
        <w:t>103</w:t>
      </w:r>
      <w:r w:rsidR="00331A13" w:rsidRPr="00D55DC6">
        <w:rPr>
          <w:rFonts w:eastAsia="標楷體"/>
          <w:szCs w:val="28"/>
        </w:rPr>
        <w:t>年</w:t>
      </w:r>
      <w:r w:rsidR="0027353C" w:rsidRPr="00D55DC6">
        <w:rPr>
          <w:rFonts w:eastAsia="標楷體"/>
          <w:szCs w:val="28"/>
        </w:rPr>
        <w:t>1</w:t>
      </w:r>
      <w:r w:rsidR="001370BE" w:rsidRPr="00D55DC6">
        <w:rPr>
          <w:rFonts w:eastAsia="標楷體"/>
          <w:szCs w:val="28"/>
        </w:rPr>
        <w:t>2</w:t>
      </w:r>
      <w:r w:rsidR="00331A13" w:rsidRPr="00D55DC6">
        <w:rPr>
          <w:rFonts w:eastAsia="標楷體"/>
          <w:szCs w:val="28"/>
        </w:rPr>
        <w:t>月累計實支數。</w:t>
      </w:r>
    </w:p>
    <w:p w:rsidR="009C725A" w:rsidRPr="00D55DC6" w:rsidRDefault="009C725A" w:rsidP="0038165F">
      <w:pPr>
        <w:pStyle w:val="af2"/>
        <w:numPr>
          <w:ilvl w:val="0"/>
          <w:numId w:val="7"/>
        </w:numPr>
        <w:snapToGrid w:val="0"/>
        <w:spacing w:line="460" w:lineRule="exact"/>
        <w:ind w:leftChars="0"/>
        <w:jc w:val="both"/>
        <w:rPr>
          <w:rFonts w:eastAsia="標楷體"/>
          <w:b/>
          <w:sz w:val="28"/>
          <w:szCs w:val="28"/>
        </w:rPr>
      </w:pPr>
      <w:r w:rsidRPr="00D55DC6">
        <w:rPr>
          <w:rFonts w:eastAsia="標楷體"/>
          <w:b/>
          <w:sz w:val="28"/>
          <w:szCs w:val="28"/>
        </w:rPr>
        <w:lastRenderedPageBreak/>
        <w:t>重要執行成果</w:t>
      </w:r>
      <w:r w:rsidRPr="00D55DC6">
        <w:rPr>
          <w:rFonts w:eastAsia="標楷體"/>
          <w:b/>
          <w:sz w:val="28"/>
          <w:szCs w:val="28"/>
        </w:rPr>
        <w:t xml:space="preserve"> </w:t>
      </w:r>
    </w:p>
    <w:p w:rsidR="009C725A" w:rsidRPr="00D55DC6" w:rsidRDefault="004C3796" w:rsidP="0038165F">
      <w:pPr>
        <w:snapToGrid w:val="0"/>
        <w:spacing w:line="460" w:lineRule="exact"/>
        <w:ind w:firstLineChars="303" w:firstLine="849"/>
        <w:jc w:val="both"/>
        <w:rPr>
          <w:rFonts w:eastAsia="標楷體"/>
          <w:b/>
          <w:sz w:val="28"/>
          <w:szCs w:val="28"/>
        </w:rPr>
      </w:pPr>
      <w:r w:rsidRPr="00D55DC6">
        <w:rPr>
          <w:rFonts w:eastAsia="標楷體"/>
          <w:b/>
          <w:sz w:val="28"/>
          <w:szCs w:val="28"/>
        </w:rPr>
        <w:t>2-1.</w:t>
      </w:r>
      <w:r w:rsidR="009C725A" w:rsidRPr="00D55DC6">
        <w:rPr>
          <w:rFonts w:eastAsia="標楷體"/>
          <w:b/>
          <w:sz w:val="28"/>
          <w:szCs w:val="28"/>
        </w:rPr>
        <w:t>國際觀光重要景點建設</w:t>
      </w:r>
    </w:p>
    <w:p w:rsidR="00335E82" w:rsidRPr="00D55DC6" w:rsidRDefault="004C3796" w:rsidP="0038165F">
      <w:pPr>
        <w:pStyle w:val="af2"/>
        <w:snapToGrid w:val="0"/>
        <w:spacing w:line="460" w:lineRule="exact"/>
        <w:ind w:leftChars="605" w:left="2167" w:hangingChars="255" w:hanging="715"/>
        <w:jc w:val="both"/>
        <w:rPr>
          <w:rFonts w:eastAsia="標楷體"/>
          <w:bCs/>
          <w:sz w:val="28"/>
          <w:szCs w:val="28"/>
        </w:rPr>
      </w:pPr>
      <w:r w:rsidRPr="00D55DC6">
        <w:rPr>
          <w:rFonts w:eastAsia="標楷體"/>
          <w:b/>
          <w:bCs/>
          <w:sz w:val="28"/>
          <w:szCs w:val="28"/>
        </w:rPr>
        <w:t>2-1-1.</w:t>
      </w:r>
      <w:r w:rsidR="00CC6FF5" w:rsidRPr="00D55DC6">
        <w:rPr>
          <w:rFonts w:eastAsia="標楷體"/>
          <w:b/>
          <w:bCs/>
          <w:sz w:val="28"/>
          <w:szCs w:val="28"/>
        </w:rPr>
        <w:t>完成</w:t>
      </w:r>
      <w:r w:rsidR="002A5895" w:rsidRPr="00D55DC6">
        <w:rPr>
          <w:rFonts w:eastAsia="標楷體"/>
          <w:b/>
          <w:bCs/>
          <w:sz w:val="28"/>
          <w:szCs w:val="28"/>
        </w:rPr>
        <w:t>福隆遊憩區</w:t>
      </w:r>
      <w:r w:rsidR="00CC6FF5" w:rsidRPr="00D55DC6">
        <w:rPr>
          <w:rFonts w:eastAsia="標楷體"/>
          <w:b/>
          <w:bCs/>
          <w:sz w:val="28"/>
          <w:szCs w:val="28"/>
        </w:rPr>
        <w:t>（</w:t>
      </w:r>
      <w:r w:rsidR="00D85F7E" w:rsidRPr="00D55DC6">
        <w:rPr>
          <w:rFonts w:eastAsia="標楷體"/>
          <w:bCs/>
          <w:sz w:val="28"/>
          <w:szCs w:val="28"/>
        </w:rPr>
        <w:t>南雅至龍洞岬登山步道、龍洞遊艇港周邊設施、龍門鹽寮自行車道</w:t>
      </w:r>
      <w:r w:rsidR="00CC6FF5" w:rsidRPr="00D55DC6">
        <w:rPr>
          <w:rFonts w:eastAsia="標楷體"/>
          <w:b/>
          <w:bCs/>
          <w:sz w:val="28"/>
          <w:szCs w:val="28"/>
        </w:rPr>
        <w:t>）、外澳及宜蘭濱海遊憩區（</w:t>
      </w:r>
      <w:r w:rsidR="00D85F7E" w:rsidRPr="00D55DC6">
        <w:rPr>
          <w:rFonts w:eastAsia="標楷體"/>
          <w:bCs/>
          <w:sz w:val="28"/>
          <w:szCs w:val="28"/>
        </w:rPr>
        <w:t>壯圍旅遊服務園區及周邊園區興建工程、南方澳漁港景觀區改善</w:t>
      </w:r>
      <w:r w:rsidR="00CC6FF5" w:rsidRPr="00D55DC6">
        <w:rPr>
          <w:rFonts w:eastAsia="標楷體"/>
          <w:b/>
          <w:bCs/>
          <w:sz w:val="28"/>
          <w:szCs w:val="28"/>
        </w:rPr>
        <w:t>）</w:t>
      </w:r>
      <w:r w:rsidR="00CC6FF5" w:rsidRPr="00D55DC6">
        <w:rPr>
          <w:rFonts w:eastAsia="標楷體"/>
          <w:bCs/>
          <w:sz w:val="28"/>
          <w:szCs w:val="28"/>
        </w:rPr>
        <w:t>服務設施改善</w:t>
      </w:r>
      <w:r w:rsidR="00BE1115" w:rsidRPr="00D55DC6">
        <w:rPr>
          <w:rFonts w:eastAsia="標楷體"/>
          <w:bCs/>
          <w:sz w:val="28"/>
          <w:szCs w:val="28"/>
        </w:rPr>
        <w:t>（東北角暨宜蘭海岸國家風景區）</w:t>
      </w:r>
      <w:r w:rsidR="00335E82" w:rsidRPr="00D55DC6">
        <w:rPr>
          <w:rFonts w:eastAsia="標楷體"/>
          <w:bCs/>
          <w:sz w:val="28"/>
          <w:szCs w:val="28"/>
        </w:rPr>
        <w:t>。</w:t>
      </w:r>
    </w:p>
    <w:p w:rsidR="00335E82" w:rsidRPr="00D55DC6" w:rsidRDefault="00BE1115" w:rsidP="0038165F">
      <w:pPr>
        <w:pStyle w:val="af2"/>
        <w:snapToGrid w:val="0"/>
        <w:spacing w:line="460" w:lineRule="exact"/>
        <w:ind w:leftChars="605" w:left="2167" w:hangingChars="255" w:hanging="715"/>
        <w:jc w:val="both"/>
        <w:rPr>
          <w:rFonts w:eastAsia="標楷體"/>
          <w:bCs/>
          <w:sz w:val="28"/>
          <w:szCs w:val="28"/>
        </w:rPr>
      </w:pPr>
      <w:r w:rsidRPr="00D55DC6">
        <w:rPr>
          <w:rFonts w:eastAsia="標楷體"/>
          <w:b/>
          <w:bCs/>
          <w:sz w:val="28"/>
          <w:szCs w:val="28"/>
        </w:rPr>
        <w:t>2-1-2.</w:t>
      </w:r>
      <w:r w:rsidRPr="00D55DC6">
        <w:rPr>
          <w:rFonts w:eastAsia="標楷體"/>
          <w:b/>
          <w:bCs/>
          <w:sz w:val="28"/>
          <w:szCs w:val="28"/>
        </w:rPr>
        <w:t>完成白沙灣</w:t>
      </w:r>
      <w:r w:rsidR="004915CD" w:rsidRPr="00D55DC6">
        <w:rPr>
          <w:rFonts w:eastAsia="標楷體"/>
          <w:b/>
          <w:bCs/>
          <w:sz w:val="28"/>
          <w:szCs w:val="28"/>
        </w:rPr>
        <w:t>遊憩區</w:t>
      </w:r>
      <w:r w:rsidRPr="00D55DC6">
        <w:rPr>
          <w:rFonts w:eastAsia="標楷體"/>
          <w:bCs/>
          <w:sz w:val="28"/>
          <w:szCs w:val="28"/>
        </w:rPr>
        <w:t>（</w:t>
      </w:r>
      <w:r w:rsidR="00D811BB" w:rsidRPr="00D55DC6">
        <w:rPr>
          <w:rFonts w:eastAsia="標楷體"/>
          <w:bCs/>
          <w:sz w:val="28"/>
          <w:szCs w:val="28"/>
        </w:rPr>
        <w:t>白沙灣公共設施及周邊景觀</w:t>
      </w:r>
      <w:r w:rsidRPr="00D55DC6">
        <w:rPr>
          <w:rFonts w:eastAsia="標楷體"/>
          <w:bCs/>
          <w:sz w:val="28"/>
          <w:szCs w:val="28"/>
        </w:rPr>
        <w:t>）</w:t>
      </w:r>
      <w:r w:rsidRPr="00D55DC6">
        <w:rPr>
          <w:rFonts w:eastAsia="標楷體"/>
          <w:b/>
          <w:bCs/>
          <w:sz w:val="28"/>
          <w:szCs w:val="28"/>
        </w:rPr>
        <w:t>、金山獅頭山及中角</w:t>
      </w:r>
      <w:r w:rsidR="004915CD" w:rsidRPr="00D55DC6">
        <w:rPr>
          <w:rFonts w:eastAsia="標楷體"/>
          <w:b/>
          <w:bCs/>
          <w:sz w:val="28"/>
          <w:szCs w:val="28"/>
        </w:rPr>
        <w:t>遊憩區</w:t>
      </w:r>
      <w:r w:rsidRPr="00D55DC6">
        <w:rPr>
          <w:rFonts w:eastAsia="標楷體"/>
          <w:bCs/>
          <w:sz w:val="28"/>
          <w:szCs w:val="28"/>
        </w:rPr>
        <w:t>、</w:t>
      </w:r>
      <w:r w:rsidRPr="00D55DC6">
        <w:rPr>
          <w:rFonts w:eastAsia="標楷體"/>
          <w:b/>
          <w:bCs/>
          <w:sz w:val="28"/>
          <w:szCs w:val="28"/>
        </w:rPr>
        <w:t>萬里及野柳遊憩區</w:t>
      </w:r>
      <w:r w:rsidRPr="00D55DC6">
        <w:rPr>
          <w:rFonts w:eastAsia="標楷體"/>
          <w:bCs/>
          <w:sz w:val="28"/>
          <w:szCs w:val="28"/>
        </w:rPr>
        <w:t>（</w:t>
      </w:r>
      <w:r w:rsidR="00D811BB" w:rsidRPr="00D55DC6">
        <w:rPr>
          <w:rFonts w:eastAsia="標楷體"/>
          <w:bCs/>
          <w:sz w:val="28"/>
          <w:szCs w:val="28"/>
        </w:rPr>
        <w:t>野柳地質公園</w:t>
      </w:r>
      <w:r w:rsidRPr="00D55DC6">
        <w:rPr>
          <w:rFonts w:eastAsia="標楷體"/>
          <w:bCs/>
          <w:sz w:val="28"/>
          <w:szCs w:val="28"/>
        </w:rPr>
        <w:t>）環境改善（北海岸及觀音山國家風景區）</w:t>
      </w:r>
      <w:r w:rsidR="007C2E5C" w:rsidRPr="00D55DC6">
        <w:rPr>
          <w:rFonts w:eastAsia="標楷體"/>
          <w:bCs/>
          <w:sz w:val="28"/>
          <w:szCs w:val="28"/>
        </w:rPr>
        <w:t>。</w:t>
      </w:r>
    </w:p>
    <w:p w:rsidR="00D811BB" w:rsidRPr="00D55DC6" w:rsidRDefault="00D811BB" w:rsidP="0038165F">
      <w:pPr>
        <w:pStyle w:val="af2"/>
        <w:snapToGrid w:val="0"/>
        <w:spacing w:line="460" w:lineRule="exact"/>
        <w:ind w:leftChars="605" w:left="2167" w:hangingChars="255" w:hanging="715"/>
        <w:jc w:val="both"/>
        <w:rPr>
          <w:rFonts w:eastAsia="標楷體"/>
          <w:bCs/>
          <w:sz w:val="28"/>
          <w:szCs w:val="28"/>
        </w:rPr>
      </w:pPr>
      <w:r w:rsidRPr="00D55DC6">
        <w:rPr>
          <w:rFonts w:eastAsia="標楷體"/>
          <w:b/>
          <w:bCs/>
          <w:sz w:val="28"/>
          <w:szCs w:val="28"/>
        </w:rPr>
        <w:t>2-1-3.</w:t>
      </w:r>
      <w:r w:rsidR="00BE1115" w:rsidRPr="00D55DC6">
        <w:rPr>
          <w:rFonts w:eastAsia="標楷體"/>
          <w:bCs/>
          <w:sz w:val="28"/>
          <w:szCs w:val="28"/>
        </w:rPr>
        <w:t>完成</w:t>
      </w:r>
      <w:r w:rsidR="00BE1115" w:rsidRPr="00D55DC6">
        <w:rPr>
          <w:rFonts w:eastAsia="標楷體"/>
          <w:b/>
          <w:bCs/>
          <w:sz w:val="28"/>
          <w:szCs w:val="28"/>
        </w:rPr>
        <w:t>日月潭環潭遊憩區</w:t>
      </w:r>
      <w:r w:rsidRPr="00D55DC6">
        <w:rPr>
          <w:rFonts w:eastAsia="標楷體"/>
          <w:bCs/>
          <w:sz w:val="28"/>
          <w:szCs w:val="28"/>
        </w:rPr>
        <w:t>（</w:t>
      </w:r>
      <w:r w:rsidR="004915CD" w:rsidRPr="00D55DC6">
        <w:rPr>
          <w:rFonts w:eastAsia="標楷體"/>
          <w:bCs/>
          <w:sz w:val="28"/>
          <w:szCs w:val="28"/>
        </w:rPr>
        <w:t>竹石園生態研習中心、環潭步道暨自行車道</w:t>
      </w:r>
      <w:r w:rsidRPr="00D55DC6">
        <w:rPr>
          <w:rFonts w:eastAsia="標楷體"/>
          <w:bCs/>
          <w:sz w:val="28"/>
          <w:szCs w:val="28"/>
        </w:rPr>
        <w:t>）</w:t>
      </w:r>
      <w:r w:rsidR="00397CE7" w:rsidRPr="00D55DC6">
        <w:rPr>
          <w:rFonts w:eastAsia="標楷體"/>
          <w:bCs/>
          <w:sz w:val="28"/>
          <w:szCs w:val="28"/>
        </w:rPr>
        <w:t>周邊</w:t>
      </w:r>
      <w:r w:rsidR="00BE1115" w:rsidRPr="00D55DC6">
        <w:rPr>
          <w:rFonts w:eastAsia="標楷體"/>
          <w:bCs/>
          <w:sz w:val="28"/>
          <w:szCs w:val="28"/>
        </w:rPr>
        <w:t>設施及景觀改善（日月潭國家風景區）</w:t>
      </w:r>
      <w:r w:rsidRPr="00D55DC6">
        <w:rPr>
          <w:rFonts w:eastAsia="標楷體"/>
          <w:bCs/>
          <w:sz w:val="28"/>
          <w:szCs w:val="28"/>
        </w:rPr>
        <w:t>。</w:t>
      </w:r>
    </w:p>
    <w:p w:rsidR="00D811BB" w:rsidRPr="00D55DC6" w:rsidRDefault="00D811BB" w:rsidP="0038165F">
      <w:pPr>
        <w:pStyle w:val="af2"/>
        <w:snapToGrid w:val="0"/>
        <w:spacing w:line="460" w:lineRule="exact"/>
        <w:ind w:leftChars="605" w:left="2167" w:hangingChars="255" w:hanging="715"/>
        <w:jc w:val="both"/>
        <w:rPr>
          <w:rFonts w:eastAsia="標楷體"/>
          <w:bCs/>
          <w:sz w:val="28"/>
          <w:szCs w:val="28"/>
        </w:rPr>
      </w:pPr>
      <w:r w:rsidRPr="00D55DC6">
        <w:rPr>
          <w:rFonts w:eastAsia="標楷體"/>
          <w:b/>
          <w:bCs/>
          <w:sz w:val="28"/>
          <w:szCs w:val="28"/>
        </w:rPr>
        <w:t>2-1-4.</w:t>
      </w:r>
      <w:r w:rsidR="007309D3" w:rsidRPr="00D55DC6">
        <w:rPr>
          <w:rFonts w:eastAsia="標楷體"/>
          <w:bCs/>
          <w:sz w:val="28"/>
          <w:szCs w:val="28"/>
        </w:rPr>
        <w:t>完成</w:t>
      </w:r>
      <w:r w:rsidRPr="00D55DC6">
        <w:rPr>
          <w:rFonts w:eastAsia="標楷體"/>
          <w:b/>
          <w:bCs/>
          <w:sz w:val="28"/>
          <w:szCs w:val="28"/>
        </w:rPr>
        <w:t>南庄遊憩區</w:t>
      </w:r>
      <w:r w:rsidR="00E638C3" w:rsidRPr="00D55DC6">
        <w:rPr>
          <w:rFonts w:eastAsia="標楷體"/>
          <w:bCs/>
          <w:sz w:val="28"/>
          <w:szCs w:val="28"/>
        </w:rPr>
        <w:t>（東河吊橋、永興吊橋整修及周邊環境改善、南庄遊客中心、公廁、無障礙及公共服務設施改善）及</w:t>
      </w:r>
      <w:r w:rsidRPr="00D55DC6">
        <w:rPr>
          <w:rFonts w:eastAsia="標楷體"/>
          <w:b/>
          <w:bCs/>
          <w:sz w:val="28"/>
          <w:szCs w:val="28"/>
        </w:rPr>
        <w:t>谷關遊憩區</w:t>
      </w:r>
      <w:r w:rsidR="00E638C3" w:rsidRPr="00D55DC6">
        <w:rPr>
          <w:rFonts w:eastAsia="標楷體"/>
          <w:bCs/>
          <w:sz w:val="28"/>
          <w:szCs w:val="28"/>
        </w:rPr>
        <w:t>（捎來步道改善、谷關無障礙設施）環境改善</w:t>
      </w:r>
      <w:r w:rsidRPr="00D55DC6">
        <w:rPr>
          <w:rFonts w:eastAsia="標楷體"/>
          <w:bCs/>
          <w:sz w:val="28"/>
          <w:szCs w:val="28"/>
        </w:rPr>
        <w:t>（參山國家風景區）。</w:t>
      </w:r>
    </w:p>
    <w:p w:rsidR="00BE1115" w:rsidRPr="00D55DC6" w:rsidRDefault="00D811BB" w:rsidP="0038165F">
      <w:pPr>
        <w:pStyle w:val="af2"/>
        <w:snapToGrid w:val="0"/>
        <w:spacing w:line="460" w:lineRule="exact"/>
        <w:ind w:leftChars="605" w:left="2167" w:hangingChars="255" w:hanging="715"/>
        <w:jc w:val="both"/>
        <w:rPr>
          <w:rFonts w:eastAsia="標楷體"/>
          <w:bCs/>
          <w:sz w:val="28"/>
          <w:szCs w:val="28"/>
        </w:rPr>
      </w:pPr>
      <w:r w:rsidRPr="00D55DC6">
        <w:rPr>
          <w:rFonts w:eastAsia="標楷體"/>
          <w:b/>
          <w:bCs/>
          <w:sz w:val="28"/>
          <w:szCs w:val="28"/>
        </w:rPr>
        <w:t>2-</w:t>
      </w:r>
      <w:r w:rsidRPr="00D55DC6">
        <w:rPr>
          <w:rFonts w:eastAsia="標楷體"/>
          <w:bCs/>
          <w:sz w:val="28"/>
          <w:szCs w:val="28"/>
        </w:rPr>
        <w:t>1-5.</w:t>
      </w:r>
      <w:r w:rsidR="00BE1115" w:rsidRPr="00D55DC6">
        <w:rPr>
          <w:rFonts w:eastAsia="標楷體"/>
          <w:bCs/>
          <w:sz w:val="28"/>
          <w:szCs w:val="28"/>
        </w:rPr>
        <w:t>完成</w:t>
      </w:r>
      <w:r w:rsidR="00BE1115" w:rsidRPr="00D55DC6">
        <w:rPr>
          <w:rFonts w:eastAsia="標楷體"/>
          <w:b/>
          <w:bCs/>
          <w:sz w:val="28"/>
          <w:szCs w:val="28"/>
        </w:rPr>
        <w:t>臺</w:t>
      </w:r>
      <w:r w:rsidR="00BE1115" w:rsidRPr="00D55DC6">
        <w:rPr>
          <w:rFonts w:eastAsia="標楷體"/>
          <w:b/>
          <w:bCs/>
          <w:sz w:val="28"/>
          <w:szCs w:val="28"/>
        </w:rPr>
        <w:t>18</w:t>
      </w:r>
      <w:r w:rsidR="00BE1115" w:rsidRPr="00D55DC6">
        <w:rPr>
          <w:rFonts w:eastAsia="標楷體"/>
          <w:b/>
          <w:bCs/>
          <w:sz w:val="28"/>
          <w:szCs w:val="28"/>
        </w:rPr>
        <w:t>線遊憩系統</w:t>
      </w:r>
      <w:r w:rsidR="000E1FB9" w:rsidRPr="00D55DC6">
        <w:rPr>
          <w:rFonts w:eastAsia="標楷體"/>
          <w:bCs/>
          <w:sz w:val="28"/>
          <w:szCs w:val="28"/>
        </w:rPr>
        <w:t>（觸口行政暨遊客中心、</w:t>
      </w:r>
      <w:r w:rsidR="00A43131" w:rsidRPr="00D55DC6">
        <w:rPr>
          <w:rFonts w:eastAsia="標楷體"/>
          <w:bCs/>
          <w:sz w:val="28"/>
          <w:szCs w:val="28"/>
        </w:rPr>
        <w:t>頂石棹步道、</w:t>
      </w:r>
      <w:r w:rsidR="000E1FB9" w:rsidRPr="00D55DC6">
        <w:rPr>
          <w:rFonts w:eastAsia="標楷體"/>
          <w:bCs/>
          <w:sz w:val="28"/>
          <w:szCs w:val="28"/>
        </w:rPr>
        <w:t>阿里山愛情絲路）</w:t>
      </w:r>
      <w:r w:rsidR="00521822" w:rsidRPr="00D55DC6">
        <w:rPr>
          <w:rFonts w:eastAsia="標楷體"/>
          <w:bCs/>
          <w:sz w:val="28"/>
          <w:szCs w:val="28"/>
        </w:rPr>
        <w:t>服務設施</w:t>
      </w:r>
      <w:r w:rsidR="00BE1115" w:rsidRPr="00D55DC6">
        <w:rPr>
          <w:rFonts w:eastAsia="標楷體"/>
          <w:bCs/>
          <w:sz w:val="28"/>
          <w:szCs w:val="28"/>
        </w:rPr>
        <w:t>（阿里山國家風景區）</w:t>
      </w:r>
      <w:r w:rsidRPr="00D55DC6">
        <w:rPr>
          <w:rFonts w:eastAsia="標楷體"/>
          <w:bCs/>
          <w:sz w:val="28"/>
          <w:szCs w:val="28"/>
        </w:rPr>
        <w:t>。</w:t>
      </w:r>
    </w:p>
    <w:p w:rsidR="00D811BB" w:rsidRPr="00D55DC6" w:rsidRDefault="00D811BB" w:rsidP="0038165F">
      <w:pPr>
        <w:pStyle w:val="af2"/>
        <w:snapToGrid w:val="0"/>
        <w:spacing w:line="460" w:lineRule="exact"/>
        <w:ind w:leftChars="605" w:left="2167" w:hangingChars="255" w:hanging="715"/>
        <w:jc w:val="both"/>
        <w:rPr>
          <w:rFonts w:eastAsia="標楷體"/>
          <w:bCs/>
          <w:sz w:val="28"/>
          <w:szCs w:val="28"/>
        </w:rPr>
      </w:pPr>
      <w:r w:rsidRPr="00D55DC6">
        <w:rPr>
          <w:rFonts w:eastAsia="標楷體"/>
          <w:b/>
          <w:bCs/>
          <w:sz w:val="28"/>
          <w:szCs w:val="28"/>
        </w:rPr>
        <w:t>2-</w:t>
      </w:r>
      <w:r w:rsidRPr="00D55DC6">
        <w:rPr>
          <w:rFonts w:eastAsia="標楷體"/>
          <w:bCs/>
          <w:sz w:val="28"/>
          <w:szCs w:val="28"/>
        </w:rPr>
        <w:t>1-6.</w:t>
      </w:r>
      <w:r w:rsidRPr="00D55DC6">
        <w:rPr>
          <w:rFonts w:eastAsia="標楷體"/>
          <w:bCs/>
          <w:sz w:val="28"/>
          <w:szCs w:val="28"/>
        </w:rPr>
        <w:t>完成</w:t>
      </w:r>
      <w:r w:rsidR="000E1FB9" w:rsidRPr="00D55DC6">
        <w:rPr>
          <w:rFonts w:eastAsia="標楷體"/>
          <w:b/>
          <w:bCs/>
          <w:sz w:val="28"/>
          <w:szCs w:val="28"/>
        </w:rPr>
        <w:t>北門地區</w:t>
      </w:r>
      <w:r w:rsidR="000E1FB9" w:rsidRPr="00D55DC6">
        <w:rPr>
          <w:rFonts w:eastAsia="標楷體"/>
          <w:bCs/>
          <w:sz w:val="28"/>
          <w:szCs w:val="28"/>
        </w:rPr>
        <w:t>（北門遊客中心、</w:t>
      </w:r>
      <w:r w:rsidR="00521822" w:rsidRPr="00D55DC6">
        <w:rPr>
          <w:rFonts w:eastAsia="標楷體"/>
          <w:bCs/>
          <w:sz w:val="28"/>
          <w:szCs w:val="28"/>
        </w:rPr>
        <w:t>北門</w:t>
      </w:r>
      <w:r w:rsidR="000E1FB9" w:rsidRPr="00D55DC6">
        <w:rPr>
          <w:rFonts w:eastAsia="標楷體"/>
          <w:bCs/>
          <w:sz w:val="28"/>
          <w:szCs w:val="28"/>
        </w:rPr>
        <w:t>婚紗美地）、</w:t>
      </w:r>
      <w:r w:rsidRPr="00D55DC6">
        <w:rPr>
          <w:rFonts w:eastAsia="標楷體"/>
          <w:b/>
          <w:bCs/>
          <w:sz w:val="28"/>
          <w:szCs w:val="28"/>
        </w:rPr>
        <w:t>七股地區</w:t>
      </w:r>
      <w:r w:rsidR="000E1FB9" w:rsidRPr="00D55DC6">
        <w:rPr>
          <w:rFonts w:eastAsia="標楷體"/>
          <w:bCs/>
          <w:sz w:val="28"/>
          <w:szCs w:val="28"/>
        </w:rPr>
        <w:t>（七股遊客中心、臺灣鹽博物館周邊、戀愛意象）</w:t>
      </w:r>
      <w:r w:rsidRPr="00D55DC6">
        <w:rPr>
          <w:rFonts w:eastAsia="標楷體"/>
          <w:bCs/>
          <w:sz w:val="28"/>
          <w:szCs w:val="28"/>
        </w:rPr>
        <w:t>周邊遊憩區服務設施改善（雲嘉南濱海國家風景區）。</w:t>
      </w:r>
    </w:p>
    <w:p w:rsidR="00D811BB" w:rsidRPr="00D55DC6" w:rsidRDefault="00D811BB" w:rsidP="0038165F">
      <w:pPr>
        <w:pStyle w:val="af2"/>
        <w:snapToGrid w:val="0"/>
        <w:spacing w:line="460" w:lineRule="exact"/>
        <w:ind w:leftChars="605" w:left="2167" w:hangingChars="255" w:hanging="715"/>
        <w:jc w:val="both"/>
        <w:rPr>
          <w:rFonts w:eastAsia="標楷體"/>
          <w:bCs/>
          <w:sz w:val="28"/>
          <w:szCs w:val="28"/>
        </w:rPr>
      </w:pPr>
      <w:r w:rsidRPr="00D55DC6">
        <w:rPr>
          <w:rFonts w:eastAsia="標楷體"/>
          <w:b/>
          <w:bCs/>
          <w:sz w:val="28"/>
          <w:szCs w:val="28"/>
        </w:rPr>
        <w:t>2-</w:t>
      </w:r>
      <w:r w:rsidRPr="00D55DC6">
        <w:rPr>
          <w:rFonts w:eastAsia="標楷體"/>
          <w:bCs/>
          <w:sz w:val="28"/>
          <w:szCs w:val="28"/>
        </w:rPr>
        <w:t>1-7.</w:t>
      </w:r>
      <w:r w:rsidRPr="00D55DC6">
        <w:rPr>
          <w:rFonts w:eastAsia="標楷體"/>
          <w:bCs/>
          <w:sz w:val="28"/>
          <w:szCs w:val="28"/>
        </w:rPr>
        <w:t>完成</w:t>
      </w:r>
      <w:r w:rsidRPr="00D55DC6">
        <w:rPr>
          <w:rFonts w:eastAsia="標楷體"/>
          <w:b/>
          <w:bCs/>
          <w:sz w:val="28"/>
          <w:szCs w:val="28"/>
        </w:rPr>
        <w:t>關子嶺溫泉療養圈</w:t>
      </w:r>
      <w:r w:rsidR="000E1FB9" w:rsidRPr="00D55DC6">
        <w:rPr>
          <w:rFonts w:eastAsia="標楷體"/>
          <w:bCs/>
          <w:sz w:val="28"/>
          <w:szCs w:val="28"/>
        </w:rPr>
        <w:t>（嶺頂公園、紅葉公園、水火同源景觀設施）</w:t>
      </w:r>
      <w:r w:rsidRPr="00D55DC6">
        <w:rPr>
          <w:rFonts w:eastAsia="標楷體"/>
          <w:bCs/>
          <w:sz w:val="28"/>
          <w:szCs w:val="28"/>
        </w:rPr>
        <w:t>、</w:t>
      </w:r>
      <w:r w:rsidRPr="00D55DC6">
        <w:rPr>
          <w:rFonts w:eastAsia="標楷體"/>
          <w:b/>
          <w:bCs/>
          <w:sz w:val="28"/>
          <w:szCs w:val="28"/>
        </w:rPr>
        <w:t>烏山頭歷史懷舊旅遊圈</w:t>
      </w:r>
      <w:r w:rsidR="000E1FB9" w:rsidRPr="00D55DC6">
        <w:rPr>
          <w:rFonts w:eastAsia="標楷體"/>
          <w:bCs/>
          <w:sz w:val="28"/>
          <w:szCs w:val="28"/>
        </w:rPr>
        <w:t>（管線地下化）</w:t>
      </w:r>
      <w:r w:rsidRPr="00D55DC6">
        <w:rPr>
          <w:rFonts w:eastAsia="標楷體"/>
          <w:bCs/>
          <w:sz w:val="28"/>
          <w:szCs w:val="28"/>
        </w:rPr>
        <w:t>環境改善（西拉雅國家風景區）。</w:t>
      </w:r>
    </w:p>
    <w:p w:rsidR="00D811BB" w:rsidRPr="00D55DC6" w:rsidRDefault="00D811BB" w:rsidP="0038165F">
      <w:pPr>
        <w:pStyle w:val="af2"/>
        <w:snapToGrid w:val="0"/>
        <w:spacing w:line="460" w:lineRule="exact"/>
        <w:ind w:leftChars="605" w:left="2166" w:hangingChars="255" w:hanging="714"/>
        <w:jc w:val="both"/>
        <w:rPr>
          <w:rFonts w:eastAsia="標楷體"/>
          <w:bCs/>
          <w:sz w:val="28"/>
          <w:szCs w:val="28"/>
        </w:rPr>
      </w:pPr>
      <w:r w:rsidRPr="00D55DC6">
        <w:rPr>
          <w:rFonts w:eastAsia="標楷體"/>
          <w:bCs/>
          <w:sz w:val="28"/>
          <w:szCs w:val="28"/>
        </w:rPr>
        <w:t>2-1-8.</w:t>
      </w:r>
      <w:r w:rsidRPr="00D55DC6">
        <w:rPr>
          <w:rFonts w:eastAsia="標楷體"/>
          <w:bCs/>
          <w:sz w:val="28"/>
          <w:szCs w:val="28"/>
        </w:rPr>
        <w:t>完善</w:t>
      </w:r>
      <w:r w:rsidRPr="00D55DC6">
        <w:rPr>
          <w:rFonts w:eastAsia="標楷體"/>
          <w:b/>
          <w:bCs/>
          <w:sz w:val="28"/>
          <w:szCs w:val="28"/>
        </w:rPr>
        <w:t>新威茂林遊憩區</w:t>
      </w:r>
      <w:r w:rsidR="000E1FB9" w:rsidRPr="00D55DC6">
        <w:rPr>
          <w:rFonts w:eastAsia="標楷體"/>
          <w:bCs/>
          <w:sz w:val="28"/>
          <w:szCs w:val="28"/>
        </w:rPr>
        <w:t>（</w:t>
      </w:r>
      <w:r w:rsidR="00E5732D" w:rsidRPr="00D55DC6">
        <w:rPr>
          <w:rFonts w:eastAsia="標楷體"/>
          <w:bCs/>
          <w:sz w:val="28"/>
          <w:szCs w:val="28"/>
        </w:rPr>
        <w:t>茂林紫蝶視聽</w:t>
      </w:r>
      <w:r w:rsidR="00E5732D" w:rsidRPr="00D55DC6">
        <w:rPr>
          <w:rFonts w:eastAsia="標楷體"/>
          <w:bCs/>
          <w:sz w:val="28"/>
          <w:szCs w:val="28"/>
        </w:rPr>
        <w:t>3D</w:t>
      </w:r>
      <w:r w:rsidR="00E5732D" w:rsidRPr="00D55DC6">
        <w:rPr>
          <w:rFonts w:eastAsia="標楷體"/>
          <w:bCs/>
          <w:sz w:val="28"/>
          <w:szCs w:val="28"/>
        </w:rPr>
        <w:t>館、多納高吊橋圖騰及照明</w:t>
      </w:r>
      <w:r w:rsidR="00CC2AB0" w:rsidRPr="00D55DC6">
        <w:rPr>
          <w:rFonts w:eastAsia="標楷體"/>
          <w:bCs/>
          <w:sz w:val="28"/>
          <w:szCs w:val="28"/>
        </w:rPr>
        <w:t>意象</w:t>
      </w:r>
      <w:r w:rsidR="00E5732D" w:rsidRPr="00D55DC6">
        <w:rPr>
          <w:rFonts w:eastAsia="標楷體"/>
          <w:bCs/>
          <w:sz w:val="28"/>
          <w:szCs w:val="28"/>
        </w:rPr>
        <w:t>塑造</w:t>
      </w:r>
      <w:r w:rsidR="000E1FB9" w:rsidRPr="00D55DC6">
        <w:rPr>
          <w:rFonts w:eastAsia="標楷體"/>
          <w:bCs/>
          <w:sz w:val="28"/>
          <w:szCs w:val="28"/>
        </w:rPr>
        <w:t>）</w:t>
      </w:r>
      <w:r w:rsidRPr="00D55DC6">
        <w:rPr>
          <w:rFonts w:eastAsia="標楷體"/>
          <w:bCs/>
          <w:sz w:val="28"/>
          <w:szCs w:val="28"/>
        </w:rPr>
        <w:t>及</w:t>
      </w:r>
      <w:r w:rsidRPr="00D55DC6">
        <w:rPr>
          <w:rFonts w:eastAsia="標楷體"/>
          <w:b/>
          <w:bCs/>
          <w:sz w:val="28"/>
          <w:szCs w:val="28"/>
        </w:rPr>
        <w:t>賽嘉航空園區</w:t>
      </w:r>
      <w:r w:rsidR="000E1FB9" w:rsidRPr="00D55DC6">
        <w:rPr>
          <w:rFonts w:eastAsia="標楷體"/>
          <w:bCs/>
          <w:sz w:val="28"/>
          <w:szCs w:val="28"/>
        </w:rPr>
        <w:t>（</w:t>
      </w:r>
      <w:r w:rsidR="00E5732D" w:rsidRPr="00D55DC6">
        <w:rPr>
          <w:rFonts w:eastAsia="標楷體"/>
          <w:bCs/>
          <w:sz w:val="28"/>
          <w:szCs w:val="28"/>
        </w:rPr>
        <w:t>賽嘉樂園風雨操場</w:t>
      </w:r>
      <w:r w:rsidR="000E1FB9" w:rsidRPr="00D55DC6">
        <w:rPr>
          <w:rFonts w:eastAsia="標楷體"/>
          <w:bCs/>
          <w:sz w:val="28"/>
          <w:szCs w:val="28"/>
        </w:rPr>
        <w:t>）</w:t>
      </w:r>
      <w:r w:rsidRPr="00D55DC6">
        <w:rPr>
          <w:rFonts w:eastAsia="標楷體"/>
          <w:bCs/>
          <w:sz w:val="28"/>
          <w:szCs w:val="28"/>
        </w:rPr>
        <w:t>服務設施（茂林國家風景區）。</w:t>
      </w:r>
    </w:p>
    <w:p w:rsidR="00D811BB" w:rsidRPr="00D55DC6" w:rsidRDefault="00D811BB" w:rsidP="0038165F">
      <w:pPr>
        <w:pStyle w:val="af2"/>
        <w:snapToGrid w:val="0"/>
        <w:spacing w:line="460" w:lineRule="exact"/>
        <w:ind w:leftChars="605" w:left="2166" w:hangingChars="255" w:hanging="714"/>
        <w:jc w:val="both"/>
        <w:rPr>
          <w:rFonts w:eastAsia="標楷體"/>
          <w:bCs/>
          <w:sz w:val="28"/>
          <w:szCs w:val="28"/>
        </w:rPr>
      </w:pPr>
      <w:r w:rsidRPr="00D55DC6">
        <w:rPr>
          <w:rFonts w:eastAsia="標楷體"/>
          <w:bCs/>
          <w:sz w:val="28"/>
          <w:szCs w:val="28"/>
        </w:rPr>
        <w:t>2-1-9.</w:t>
      </w:r>
      <w:r w:rsidR="00BE1115" w:rsidRPr="00D55DC6">
        <w:rPr>
          <w:rFonts w:eastAsia="標楷體"/>
          <w:bCs/>
          <w:sz w:val="28"/>
          <w:szCs w:val="28"/>
        </w:rPr>
        <w:t>建構</w:t>
      </w:r>
      <w:r w:rsidR="00BE1115" w:rsidRPr="00D55DC6">
        <w:rPr>
          <w:rFonts w:eastAsia="標楷體"/>
          <w:b/>
          <w:bCs/>
          <w:sz w:val="28"/>
          <w:szCs w:val="28"/>
        </w:rPr>
        <w:t>大鵬灣環灣遊憩區</w:t>
      </w:r>
      <w:r w:rsidR="00CF6BCF" w:rsidRPr="00D55DC6">
        <w:rPr>
          <w:rFonts w:eastAsia="標楷體"/>
          <w:bCs/>
          <w:sz w:val="28"/>
          <w:szCs w:val="28"/>
        </w:rPr>
        <w:t>（</w:t>
      </w:r>
      <w:r w:rsidR="00CC2AB0" w:rsidRPr="00D55DC6">
        <w:rPr>
          <w:rFonts w:eastAsia="標楷體"/>
          <w:bCs/>
          <w:sz w:val="28"/>
          <w:szCs w:val="28"/>
        </w:rPr>
        <w:t>濱灣公園外堤護岸</w:t>
      </w:r>
      <w:r w:rsidR="007F369F" w:rsidRPr="00D55DC6">
        <w:rPr>
          <w:rFonts w:eastAsia="標楷體"/>
          <w:bCs/>
          <w:sz w:val="28"/>
          <w:szCs w:val="28"/>
        </w:rPr>
        <w:t>及臨時休憩區</w:t>
      </w:r>
      <w:r w:rsidR="00CC2AB0" w:rsidRPr="00D55DC6">
        <w:rPr>
          <w:rFonts w:eastAsia="標楷體"/>
          <w:bCs/>
          <w:sz w:val="28"/>
          <w:szCs w:val="28"/>
        </w:rPr>
        <w:t>、環灣道路拓寬、青洲濱海遊憩區</w:t>
      </w:r>
      <w:r w:rsidR="007F369F" w:rsidRPr="00D55DC6">
        <w:rPr>
          <w:rFonts w:eastAsia="標楷體"/>
          <w:bCs/>
          <w:sz w:val="28"/>
          <w:szCs w:val="28"/>
        </w:rPr>
        <w:t>景觀、自行車道及</w:t>
      </w:r>
      <w:r w:rsidR="007F369F" w:rsidRPr="00D55DC6">
        <w:rPr>
          <w:rFonts w:eastAsia="標楷體"/>
          <w:bCs/>
          <w:sz w:val="28"/>
          <w:szCs w:val="28"/>
        </w:rPr>
        <w:lastRenderedPageBreak/>
        <w:t>步道整修、溼地公園服務設施</w:t>
      </w:r>
      <w:r w:rsidR="00CF6BCF" w:rsidRPr="00D55DC6">
        <w:rPr>
          <w:rFonts w:eastAsia="標楷體"/>
          <w:bCs/>
          <w:sz w:val="28"/>
          <w:szCs w:val="28"/>
        </w:rPr>
        <w:t>）</w:t>
      </w:r>
      <w:r w:rsidR="00BE1115" w:rsidRPr="00D55DC6">
        <w:rPr>
          <w:rFonts w:eastAsia="標楷體"/>
          <w:bCs/>
          <w:sz w:val="28"/>
          <w:szCs w:val="28"/>
        </w:rPr>
        <w:t>為具國際級船舶水上活動觀光</w:t>
      </w:r>
      <w:r w:rsidR="00EA38C5" w:rsidRPr="00D55DC6">
        <w:rPr>
          <w:rFonts w:eastAsia="標楷體"/>
          <w:bCs/>
          <w:sz w:val="28"/>
          <w:szCs w:val="28"/>
        </w:rPr>
        <w:t>度假</w:t>
      </w:r>
      <w:r w:rsidRPr="00D55DC6">
        <w:rPr>
          <w:rFonts w:eastAsia="標楷體"/>
          <w:bCs/>
          <w:sz w:val="28"/>
          <w:szCs w:val="28"/>
        </w:rPr>
        <w:t>區，維護生物多樣性棲息環境、形塑水岸綠廊（大鵬灣國家風景區）。</w:t>
      </w:r>
    </w:p>
    <w:p w:rsidR="00D811BB" w:rsidRPr="00D55DC6" w:rsidRDefault="00D811BB" w:rsidP="0038165F">
      <w:pPr>
        <w:pStyle w:val="af2"/>
        <w:snapToGrid w:val="0"/>
        <w:spacing w:line="460" w:lineRule="exact"/>
        <w:ind w:leftChars="605" w:left="2267" w:hangingChars="291" w:hanging="815"/>
        <w:jc w:val="both"/>
        <w:rPr>
          <w:rFonts w:eastAsia="標楷體"/>
          <w:bCs/>
          <w:sz w:val="28"/>
          <w:szCs w:val="28"/>
        </w:rPr>
      </w:pPr>
      <w:r w:rsidRPr="00D55DC6">
        <w:rPr>
          <w:rFonts w:eastAsia="標楷體"/>
          <w:bCs/>
          <w:sz w:val="28"/>
          <w:szCs w:val="28"/>
        </w:rPr>
        <w:t>2-1-10.</w:t>
      </w:r>
      <w:r w:rsidRPr="00D55DC6">
        <w:rPr>
          <w:rFonts w:eastAsia="標楷體"/>
          <w:bCs/>
          <w:sz w:val="28"/>
          <w:szCs w:val="28"/>
        </w:rPr>
        <w:t>完成</w:t>
      </w:r>
      <w:r w:rsidRPr="00D55DC6">
        <w:rPr>
          <w:rFonts w:eastAsia="標楷體"/>
          <w:b/>
          <w:bCs/>
          <w:sz w:val="28"/>
          <w:szCs w:val="28"/>
        </w:rPr>
        <w:t>綠島系統</w:t>
      </w:r>
      <w:r w:rsidR="007F369F" w:rsidRPr="00D55DC6">
        <w:rPr>
          <w:rFonts w:eastAsia="標楷體"/>
          <w:bCs/>
          <w:sz w:val="28"/>
          <w:szCs w:val="28"/>
        </w:rPr>
        <w:t>（</w:t>
      </w:r>
      <w:r w:rsidR="000841FD" w:rsidRPr="00D55DC6">
        <w:rPr>
          <w:rFonts w:eastAsia="標楷體"/>
          <w:bCs/>
          <w:sz w:val="28"/>
          <w:szCs w:val="28"/>
        </w:rPr>
        <w:t>朝日溫泉停車場、旅服中心設施</w:t>
      </w:r>
      <w:r w:rsidR="007F369F" w:rsidRPr="00D55DC6">
        <w:rPr>
          <w:rFonts w:eastAsia="標楷體"/>
          <w:bCs/>
          <w:sz w:val="28"/>
          <w:szCs w:val="28"/>
        </w:rPr>
        <w:t>）</w:t>
      </w:r>
      <w:r w:rsidRPr="00D55DC6">
        <w:rPr>
          <w:rFonts w:eastAsia="標楷體"/>
          <w:bCs/>
          <w:sz w:val="28"/>
          <w:szCs w:val="28"/>
        </w:rPr>
        <w:t>、</w:t>
      </w:r>
      <w:r w:rsidRPr="00D55DC6">
        <w:rPr>
          <w:rFonts w:eastAsia="標楷體"/>
          <w:b/>
          <w:bCs/>
          <w:sz w:val="28"/>
          <w:szCs w:val="28"/>
        </w:rPr>
        <w:t>小野柳</w:t>
      </w:r>
      <w:r w:rsidRPr="00D55DC6">
        <w:rPr>
          <w:rFonts w:eastAsia="標楷體"/>
          <w:b/>
          <w:bCs/>
          <w:sz w:val="28"/>
          <w:szCs w:val="28"/>
        </w:rPr>
        <w:t>/</w:t>
      </w:r>
      <w:r w:rsidRPr="00D55DC6">
        <w:rPr>
          <w:rFonts w:eastAsia="標楷體"/>
          <w:b/>
          <w:bCs/>
          <w:sz w:val="28"/>
          <w:szCs w:val="28"/>
        </w:rPr>
        <w:t>都蘭系統</w:t>
      </w:r>
      <w:r w:rsidR="007F369F" w:rsidRPr="00D55DC6">
        <w:rPr>
          <w:rFonts w:eastAsia="標楷體"/>
          <w:bCs/>
          <w:sz w:val="28"/>
          <w:szCs w:val="28"/>
        </w:rPr>
        <w:t>（</w:t>
      </w:r>
      <w:r w:rsidR="000841FD" w:rsidRPr="00D55DC6">
        <w:rPr>
          <w:rFonts w:eastAsia="標楷體"/>
          <w:bCs/>
          <w:sz w:val="28"/>
          <w:szCs w:val="28"/>
        </w:rPr>
        <w:t>友善環境、水往上流部落市集環境</w:t>
      </w:r>
      <w:r w:rsidR="007F369F" w:rsidRPr="00D55DC6">
        <w:rPr>
          <w:rFonts w:eastAsia="標楷體"/>
          <w:bCs/>
          <w:sz w:val="28"/>
          <w:szCs w:val="28"/>
        </w:rPr>
        <w:t>）</w:t>
      </w:r>
      <w:r w:rsidRPr="00D55DC6">
        <w:rPr>
          <w:rFonts w:eastAsia="標楷體"/>
          <w:bCs/>
          <w:sz w:val="28"/>
          <w:szCs w:val="28"/>
        </w:rPr>
        <w:t>、</w:t>
      </w:r>
      <w:r w:rsidRPr="00D55DC6">
        <w:rPr>
          <w:rFonts w:eastAsia="標楷體"/>
          <w:b/>
          <w:bCs/>
          <w:sz w:val="28"/>
          <w:szCs w:val="28"/>
        </w:rPr>
        <w:t>成功</w:t>
      </w:r>
      <w:r w:rsidRPr="00D55DC6">
        <w:rPr>
          <w:rFonts w:eastAsia="標楷體"/>
          <w:b/>
          <w:bCs/>
          <w:sz w:val="28"/>
          <w:szCs w:val="28"/>
        </w:rPr>
        <w:t>/</w:t>
      </w:r>
      <w:r w:rsidRPr="00D55DC6">
        <w:rPr>
          <w:rFonts w:eastAsia="標楷體"/>
          <w:b/>
          <w:bCs/>
          <w:sz w:val="28"/>
          <w:szCs w:val="28"/>
        </w:rPr>
        <w:t>三仙臺系統</w:t>
      </w:r>
      <w:r w:rsidR="007F369F" w:rsidRPr="00D55DC6">
        <w:rPr>
          <w:rFonts w:eastAsia="標楷體"/>
          <w:bCs/>
          <w:sz w:val="28"/>
          <w:szCs w:val="28"/>
        </w:rPr>
        <w:t>（</w:t>
      </w:r>
      <w:r w:rsidR="000841FD" w:rsidRPr="00D55DC6">
        <w:rPr>
          <w:rFonts w:eastAsia="標楷體"/>
          <w:bCs/>
          <w:sz w:val="28"/>
          <w:szCs w:val="28"/>
        </w:rPr>
        <w:t>都歷遊客中心展示室、阿美</w:t>
      </w:r>
      <w:r w:rsidR="00F14092" w:rsidRPr="00D55DC6">
        <w:rPr>
          <w:rFonts w:eastAsia="標楷體"/>
          <w:bCs/>
          <w:sz w:val="28"/>
          <w:szCs w:val="28"/>
        </w:rPr>
        <w:t>族</w:t>
      </w:r>
      <w:r w:rsidR="000841FD" w:rsidRPr="00D55DC6">
        <w:rPr>
          <w:rFonts w:eastAsia="標楷體"/>
          <w:bCs/>
          <w:sz w:val="28"/>
          <w:szCs w:val="28"/>
        </w:rPr>
        <w:t>民俗中心設施、新建三仙臺公廁</w:t>
      </w:r>
      <w:r w:rsidR="007F369F" w:rsidRPr="00D55DC6">
        <w:rPr>
          <w:rFonts w:eastAsia="標楷體"/>
          <w:bCs/>
          <w:sz w:val="28"/>
          <w:szCs w:val="28"/>
        </w:rPr>
        <w:t>）</w:t>
      </w:r>
      <w:r w:rsidR="000841FD" w:rsidRPr="00D55DC6">
        <w:rPr>
          <w:rFonts w:eastAsia="標楷體"/>
          <w:bCs/>
          <w:sz w:val="28"/>
          <w:szCs w:val="28"/>
        </w:rPr>
        <w:t>服務設施</w:t>
      </w:r>
      <w:r w:rsidRPr="00D55DC6">
        <w:rPr>
          <w:rFonts w:eastAsia="標楷體"/>
          <w:bCs/>
          <w:sz w:val="28"/>
          <w:szCs w:val="28"/>
        </w:rPr>
        <w:t>改善（東部海岸國家風景區）。</w:t>
      </w:r>
    </w:p>
    <w:p w:rsidR="00BE1115" w:rsidRPr="00D55DC6" w:rsidRDefault="00D811BB" w:rsidP="0038165F">
      <w:pPr>
        <w:pStyle w:val="af2"/>
        <w:snapToGrid w:val="0"/>
        <w:spacing w:line="460" w:lineRule="exact"/>
        <w:ind w:leftChars="605" w:left="2268" w:hangingChars="291" w:hanging="816"/>
        <w:jc w:val="both"/>
        <w:rPr>
          <w:rFonts w:eastAsia="標楷體"/>
          <w:bCs/>
          <w:sz w:val="28"/>
          <w:szCs w:val="28"/>
        </w:rPr>
      </w:pPr>
      <w:r w:rsidRPr="00D55DC6">
        <w:rPr>
          <w:rFonts w:eastAsia="標楷體"/>
          <w:b/>
          <w:bCs/>
          <w:sz w:val="28"/>
          <w:szCs w:val="28"/>
        </w:rPr>
        <w:t>2-1</w:t>
      </w:r>
      <w:r w:rsidRPr="00D55DC6">
        <w:rPr>
          <w:rFonts w:eastAsia="標楷體"/>
          <w:bCs/>
          <w:sz w:val="28"/>
          <w:szCs w:val="28"/>
        </w:rPr>
        <w:t>-11.</w:t>
      </w:r>
      <w:r w:rsidR="00BE1115" w:rsidRPr="00D55DC6">
        <w:rPr>
          <w:rFonts w:eastAsia="標楷體"/>
          <w:bCs/>
          <w:sz w:val="28"/>
          <w:szCs w:val="28"/>
        </w:rPr>
        <w:t>形塑花蓮</w:t>
      </w:r>
      <w:r w:rsidR="00BE1115" w:rsidRPr="00D55DC6">
        <w:rPr>
          <w:rFonts w:eastAsia="標楷體"/>
          <w:b/>
          <w:bCs/>
          <w:sz w:val="28"/>
          <w:szCs w:val="28"/>
        </w:rPr>
        <w:t>鯉魚潭</w:t>
      </w:r>
      <w:r w:rsidR="007F369F" w:rsidRPr="00D55DC6">
        <w:rPr>
          <w:rFonts w:eastAsia="標楷體"/>
          <w:bCs/>
          <w:sz w:val="28"/>
          <w:szCs w:val="28"/>
        </w:rPr>
        <w:t>（遊客中心周邊服務設施、潭北無障礙設施）</w:t>
      </w:r>
      <w:r w:rsidR="00BE1115" w:rsidRPr="00D55DC6">
        <w:rPr>
          <w:rFonts w:eastAsia="標楷體"/>
          <w:bCs/>
          <w:sz w:val="28"/>
          <w:szCs w:val="28"/>
        </w:rPr>
        <w:t>為國際級親水休閒活動遊憩空間；完善</w:t>
      </w:r>
      <w:r w:rsidR="00BE1115" w:rsidRPr="00D55DC6">
        <w:rPr>
          <w:rFonts w:eastAsia="標楷體"/>
          <w:b/>
          <w:bCs/>
          <w:sz w:val="28"/>
          <w:szCs w:val="28"/>
        </w:rPr>
        <w:t>鹿野高臺</w:t>
      </w:r>
      <w:r w:rsidR="0097560C" w:rsidRPr="00D55DC6">
        <w:rPr>
          <w:rFonts w:eastAsia="標楷體"/>
          <w:bCs/>
          <w:sz w:val="28"/>
          <w:szCs w:val="28"/>
        </w:rPr>
        <w:t>（人車分道暨周邊景觀、鹿野龍田自行車道鐵馬驛站）</w:t>
      </w:r>
      <w:r w:rsidR="00BE1115" w:rsidRPr="00D55DC6">
        <w:rPr>
          <w:rFonts w:eastAsia="標楷體"/>
          <w:bCs/>
          <w:sz w:val="28"/>
          <w:szCs w:val="28"/>
        </w:rPr>
        <w:t>、</w:t>
      </w:r>
      <w:r w:rsidR="00BE1115" w:rsidRPr="00D55DC6">
        <w:rPr>
          <w:rFonts w:eastAsia="標楷體"/>
          <w:b/>
          <w:bCs/>
          <w:sz w:val="28"/>
          <w:szCs w:val="28"/>
        </w:rPr>
        <w:t>羅山及六十石山地區</w:t>
      </w:r>
      <w:r w:rsidR="0097560C" w:rsidRPr="00D55DC6">
        <w:rPr>
          <w:rFonts w:eastAsia="標楷體"/>
          <w:bCs/>
          <w:sz w:val="28"/>
          <w:szCs w:val="28"/>
        </w:rPr>
        <w:t>（周邊公共服設施）</w:t>
      </w:r>
      <w:r w:rsidR="00BE1115" w:rsidRPr="00D55DC6">
        <w:rPr>
          <w:rFonts w:eastAsia="標楷體"/>
          <w:bCs/>
          <w:sz w:val="28"/>
          <w:szCs w:val="28"/>
        </w:rPr>
        <w:t>、</w:t>
      </w:r>
      <w:r w:rsidR="00BE1115" w:rsidRPr="00D55DC6">
        <w:rPr>
          <w:rFonts w:eastAsia="標楷體"/>
          <w:b/>
          <w:bCs/>
          <w:sz w:val="28"/>
          <w:szCs w:val="28"/>
        </w:rPr>
        <w:t>自</w:t>
      </w:r>
      <w:r w:rsidRPr="00D55DC6">
        <w:rPr>
          <w:rFonts w:eastAsia="標楷體"/>
          <w:b/>
          <w:bCs/>
          <w:sz w:val="28"/>
          <w:szCs w:val="28"/>
        </w:rPr>
        <w:t>行車系統</w:t>
      </w:r>
      <w:r w:rsidR="004D6BC3" w:rsidRPr="00D55DC6">
        <w:rPr>
          <w:rFonts w:eastAsia="標楷體"/>
          <w:b/>
          <w:bCs/>
          <w:sz w:val="28"/>
          <w:szCs w:val="28"/>
        </w:rPr>
        <w:t>（</w:t>
      </w:r>
      <w:r w:rsidR="004D6BC3" w:rsidRPr="00D55DC6">
        <w:rPr>
          <w:rFonts w:eastAsia="標楷體"/>
          <w:bCs/>
          <w:sz w:val="28"/>
          <w:szCs w:val="28"/>
        </w:rPr>
        <w:t>鯉魚潭至慕谷慕魚、池上大波池、東里舊車站鐵馬驛站等自行車道</w:t>
      </w:r>
      <w:r w:rsidR="004D6BC3" w:rsidRPr="00D55DC6">
        <w:rPr>
          <w:rFonts w:eastAsia="標楷體"/>
          <w:b/>
          <w:bCs/>
          <w:sz w:val="28"/>
          <w:szCs w:val="28"/>
        </w:rPr>
        <w:t>）</w:t>
      </w:r>
      <w:r w:rsidRPr="00D55DC6">
        <w:rPr>
          <w:rFonts w:eastAsia="標楷體"/>
          <w:bCs/>
          <w:sz w:val="28"/>
          <w:szCs w:val="28"/>
        </w:rPr>
        <w:t>遊憩設施</w:t>
      </w:r>
      <w:r w:rsidR="00BE1115" w:rsidRPr="00D55DC6">
        <w:rPr>
          <w:rFonts w:eastAsia="標楷體"/>
          <w:bCs/>
          <w:sz w:val="28"/>
          <w:szCs w:val="28"/>
        </w:rPr>
        <w:t>（花東縱谷國家風景區）</w:t>
      </w:r>
      <w:r w:rsidRPr="00D55DC6">
        <w:rPr>
          <w:rFonts w:eastAsia="標楷體"/>
          <w:bCs/>
          <w:sz w:val="28"/>
          <w:szCs w:val="28"/>
        </w:rPr>
        <w:t>。</w:t>
      </w:r>
    </w:p>
    <w:p w:rsidR="00D811BB" w:rsidRPr="00D55DC6" w:rsidRDefault="00D811BB" w:rsidP="0038165F">
      <w:pPr>
        <w:pStyle w:val="af2"/>
        <w:snapToGrid w:val="0"/>
        <w:spacing w:line="460" w:lineRule="exact"/>
        <w:ind w:leftChars="605" w:left="2267" w:hangingChars="291" w:hanging="815"/>
        <w:jc w:val="both"/>
        <w:rPr>
          <w:rFonts w:eastAsia="標楷體"/>
          <w:bCs/>
          <w:sz w:val="28"/>
          <w:szCs w:val="28"/>
        </w:rPr>
      </w:pPr>
      <w:r w:rsidRPr="00D55DC6">
        <w:rPr>
          <w:rFonts w:eastAsia="標楷體"/>
          <w:bCs/>
          <w:sz w:val="28"/>
          <w:szCs w:val="28"/>
        </w:rPr>
        <w:t>2-1-12.</w:t>
      </w:r>
      <w:r w:rsidR="00BE1115" w:rsidRPr="00D55DC6">
        <w:rPr>
          <w:rFonts w:eastAsia="標楷體"/>
          <w:bCs/>
          <w:sz w:val="28"/>
          <w:szCs w:val="28"/>
        </w:rPr>
        <w:t>完成</w:t>
      </w:r>
      <w:r w:rsidR="00BE1115" w:rsidRPr="00D55DC6">
        <w:rPr>
          <w:rFonts w:eastAsia="標楷體"/>
          <w:b/>
          <w:bCs/>
          <w:sz w:val="28"/>
          <w:szCs w:val="28"/>
        </w:rPr>
        <w:t>隘門遊憩區</w:t>
      </w:r>
      <w:r w:rsidR="00DF7C4A" w:rsidRPr="00D55DC6">
        <w:rPr>
          <w:rFonts w:eastAsia="標楷體"/>
          <w:b/>
          <w:bCs/>
          <w:sz w:val="28"/>
          <w:szCs w:val="28"/>
        </w:rPr>
        <w:t>（</w:t>
      </w:r>
      <w:r w:rsidR="00DF7C4A" w:rsidRPr="00D55DC6">
        <w:rPr>
          <w:rFonts w:eastAsia="標楷體"/>
          <w:bCs/>
          <w:sz w:val="28"/>
          <w:szCs w:val="28"/>
        </w:rPr>
        <w:t>隘門、林投沙灘意象及服務設施</w:t>
      </w:r>
      <w:r w:rsidR="00DF7C4A" w:rsidRPr="00D55DC6">
        <w:rPr>
          <w:rFonts w:eastAsia="標楷體"/>
          <w:b/>
          <w:bCs/>
          <w:sz w:val="28"/>
          <w:szCs w:val="28"/>
        </w:rPr>
        <w:t>）</w:t>
      </w:r>
      <w:r w:rsidR="00BE1115" w:rsidRPr="00D55DC6">
        <w:rPr>
          <w:rFonts w:eastAsia="標楷體"/>
          <w:bCs/>
          <w:sz w:val="28"/>
          <w:szCs w:val="28"/>
        </w:rPr>
        <w:t>、</w:t>
      </w:r>
      <w:r w:rsidR="00BE1115" w:rsidRPr="00D55DC6">
        <w:rPr>
          <w:rFonts w:eastAsia="標楷體"/>
          <w:b/>
          <w:bCs/>
          <w:sz w:val="28"/>
          <w:szCs w:val="28"/>
        </w:rPr>
        <w:t>中屯風力園區</w:t>
      </w:r>
      <w:r w:rsidR="00BE1115" w:rsidRPr="00D55DC6">
        <w:rPr>
          <w:rFonts w:eastAsia="標楷體"/>
          <w:bCs/>
          <w:sz w:val="28"/>
          <w:szCs w:val="28"/>
        </w:rPr>
        <w:t>、</w:t>
      </w:r>
      <w:r w:rsidR="00BE1115" w:rsidRPr="00D55DC6">
        <w:rPr>
          <w:rFonts w:eastAsia="標楷體"/>
          <w:b/>
          <w:bCs/>
          <w:sz w:val="28"/>
          <w:szCs w:val="28"/>
        </w:rPr>
        <w:t>古堡遊憩區及漁翁島燈塔遊憩區</w:t>
      </w:r>
      <w:r w:rsidR="00052151" w:rsidRPr="00D55DC6">
        <w:rPr>
          <w:rFonts w:eastAsia="標楷體"/>
          <w:bCs/>
          <w:sz w:val="28"/>
          <w:szCs w:val="28"/>
        </w:rPr>
        <w:t>（古堡遊憩區、西嶼西台、東昌及東台營區）</w:t>
      </w:r>
      <w:r w:rsidR="00BE1115" w:rsidRPr="00D55DC6">
        <w:rPr>
          <w:rFonts w:eastAsia="標楷體"/>
          <w:bCs/>
          <w:sz w:val="28"/>
          <w:szCs w:val="28"/>
        </w:rPr>
        <w:t>、</w:t>
      </w:r>
      <w:r w:rsidR="00BE1115" w:rsidRPr="00D55DC6">
        <w:rPr>
          <w:rFonts w:eastAsia="標楷體"/>
          <w:b/>
          <w:bCs/>
          <w:sz w:val="28"/>
          <w:szCs w:val="28"/>
        </w:rPr>
        <w:t>吉貝遊憩區</w:t>
      </w:r>
      <w:r w:rsidR="00052151" w:rsidRPr="00D55DC6">
        <w:rPr>
          <w:rFonts w:eastAsia="標楷體"/>
          <w:bCs/>
          <w:sz w:val="28"/>
          <w:szCs w:val="28"/>
        </w:rPr>
        <w:t>（吉貝及赤崁浮動碼頭周邊、新建吉貝浮動碼頭）</w:t>
      </w:r>
      <w:r w:rsidR="00BE1115" w:rsidRPr="00D55DC6">
        <w:rPr>
          <w:rFonts w:eastAsia="標楷體"/>
          <w:bCs/>
          <w:sz w:val="28"/>
          <w:szCs w:val="28"/>
        </w:rPr>
        <w:t>、</w:t>
      </w:r>
      <w:r w:rsidR="00BE1115" w:rsidRPr="00D55DC6">
        <w:rPr>
          <w:rFonts w:eastAsia="標楷體"/>
          <w:b/>
          <w:bCs/>
          <w:sz w:val="28"/>
          <w:szCs w:val="28"/>
        </w:rPr>
        <w:t>桶盤嶼地質公園及虎井嶼遊憩區</w:t>
      </w:r>
      <w:r w:rsidR="00052151" w:rsidRPr="00D55DC6">
        <w:rPr>
          <w:rFonts w:eastAsia="標楷體"/>
          <w:bCs/>
          <w:sz w:val="28"/>
          <w:szCs w:val="28"/>
        </w:rPr>
        <w:t>（菜園及桶盤遊憩區、虎井北迴歸線地標）等環境營造及服務設施</w:t>
      </w:r>
      <w:r w:rsidR="00BE1115" w:rsidRPr="00D55DC6">
        <w:rPr>
          <w:rFonts w:eastAsia="標楷體"/>
          <w:bCs/>
          <w:sz w:val="28"/>
          <w:szCs w:val="28"/>
        </w:rPr>
        <w:t>改善（澎湖國家風景區）</w:t>
      </w:r>
      <w:r w:rsidRPr="00D55DC6">
        <w:rPr>
          <w:rFonts w:eastAsia="標楷體"/>
          <w:bCs/>
          <w:sz w:val="28"/>
          <w:szCs w:val="28"/>
        </w:rPr>
        <w:t>。</w:t>
      </w:r>
    </w:p>
    <w:p w:rsidR="00BE1115" w:rsidRPr="00D55DC6" w:rsidRDefault="00D811BB" w:rsidP="0038165F">
      <w:pPr>
        <w:pStyle w:val="af2"/>
        <w:snapToGrid w:val="0"/>
        <w:spacing w:line="460" w:lineRule="exact"/>
        <w:ind w:leftChars="605" w:left="2267" w:hangingChars="291" w:hanging="815"/>
        <w:jc w:val="both"/>
        <w:rPr>
          <w:rFonts w:eastAsia="標楷體"/>
          <w:bCs/>
          <w:sz w:val="28"/>
          <w:szCs w:val="28"/>
        </w:rPr>
      </w:pPr>
      <w:r w:rsidRPr="00D55DC6">
        <w:rPr>
          <w:rFonts w:eastAsia="標楷體"/>
          <w:bCs/>
          <w:sz w:val="28"/>
          <w:szCs w:val="28"/>
        </w:rPr>
        <w:t>2-1-13.</w:t>
      </w:r>
      <w:r w:rsidR="00BE1115" w:rsidRPr="00D55DC6">
        <w:rPr>
          <w:rFonts w:eastAsia="標楷體"/>
          <w:bCs/>
          <w:sz w:val="28"/>
          <w:szCs w:val="28"/>
        </w:rPr>
        <w:t>推動</w:t>
      </w:r>
      <w:r w:rsidR="00BE1115" w:rsidRPr="00D55DC6">
        <w:rPr>
          <w:rFonts w:eastAsia="標楷體"/>
          <w:b/>
          <w:bCs/>
          <w:sz w:val="28"/>
          <w:szCs w:val="28"/>
        </w:rPr>
        <w:t>北竿系統</w:t>
      </w:r>
      <w:r w:rsidR="00052151" w:rsidRPr="00D55DC6">
        <w:rPr>
          <w:rFonts w:eastAsia="標楷體"/>
          <w:b/>
          <w:bCs/>
          <w:sz w:val="28"/>
          <w:szCs w:val="28"/>
        </w:rPr>
        <w:t>（</w:t>
      </w:r>
      <w:r w:rsidR="00E00E79" w:rsidRPr="00D55DC6">
        <w:rPr>
          <w:rFonts w:eastAsia="標楷體"/>
          <w:bCs/>
          <w:sz w:val="28"/>
          <w:szCs w:val="28"/>
        </w:rPr>
        <w:t>戰爭和平紀念公園主題館販賣區及遊客中心增建、</w:t>
      </w:r>
      <w:r w:rsidR="00E00E79" w:rsidRPr="00D55DC6">
        <w:rPr>
          <w:rFonts w:eastAsia="標楷體"/>
          <w:bCs/>
          <w:sz w:val="28"/>
          <w:szCs w:val="28"/>
        </w:rPr>
        <w:t>08</w:t>
      </w:r>
      <w:r w:rsidR="00E00E79" w:rsidRPr="00D55DC6">
        <w:rPr>
          <w:rFonts w:eastAsia="標楷體"/>
          <w:bCs/>
          <w:sz w:val="28"/>
          <w:szCs w:val="28"/>
        </w:rPr>
        <w:t>、</w:t>
      </w:r>
      <w:r w:rsidR="00E00E79" w:rsidRPr="00D55DC6">
        <w:rPr>
          <w:rFonts w:eastAsia="標楷體"/>
          <w:bCs/>
          <w:sz w:val="28"/>
          <w:szCs w:val="28"/>
        </w:rPr>
        <w:t>12</w:t>
      </w:r>
      <w:r w:rsidR="00E00E79" w:rsidRPr="00D55DC6">
        <w:rPr>
          <w:rFonts w:eastAsia="標楷體"/>
          <w:bCs/>
          <w:sz w:val="28"/>
          <w:szCs w:val="28"/>
        </w:rPr>
        <w:t>據點營舍整修再利用、大坵遊憩區）</w:t>
      </w:r>
      <w:r w:rsidR="00052151" w:rsidRPr="00D55DC6">
        <w:rPr>
          <w:rFonts w:eastAsia="標楷體"/>
          <w:bCs/>
          <w:sz w:val="28"/>
          <w:szCs w:val="28"/>
        </w:rPr>
        <w:t>環境整建</w:t>
      </w:r>
      <w:r w:rsidR="00BE1115" w:rsidRPr="00D55DC6">
        <w:rPr>
          <w:rFonts w:eastAsia="標楷體"/>
          <w:bCs/>
          <w:sz w:val="28"/>
          <w:szCs w:val="28"/>
        </w:rPr>
        <w:t>，發展</w:t>
      </w:r>
      <w:r w:rsidR="00E00E79" w:rsidRPr="00D55DC6">
        <w:rPr>
          <w:rFonts w:eastAsia="標楷體"/>
          <w:bCs/>
          <w:sz w:val="28"/>
          <w:szCs w:val="28"/>
        </w:rPr>
        <w:t>戰地及</w:t>
      </w:r>
      <w:r w:rsidR="00BE1115" w:rsidRPr="00D55DC6">
        <w:rPr>
          <w:rFonts w:eastAsia="標楷體"/>
          <w:bCs/>
          <w:sz w:val="28"/>
          <w:szCs w:val="28"/>
        </w:rPr>
        <w:t>生態</w:t>
      </w:r>
      <w:r w:rsidR="00E00E79" w:rsidRPr="00D55DC6">
        <w:rPr>
          <w:rFonts w:eastAsia="標楷體"/>
          <w:bCs/>
          <w:sz w:val="28"/>
          <w:szCs w:val="28"/>
        </w:rPr>
        <w:t>遊程</w:t>
      </w:r>
      <w:r w:rsidR="00BE1115" w:rsidRPr="00D55DC6">
        <w:rPr>
          <w:rFonts w:eastAsia="標楷體"/>
          <w:bCs/>
          <w:sz w:val="28"/>
          <w:szCs w:val="28"/>
        </w:rPr>
        <w:t>體驗（馬祖國家風景區）</w:t>
      </w:r>
      <w:r w:rsidRPr="00D55DC6">
        <w:rPr>
          <w:rFonts w:eastAsia="標楷體"/>
          <w:bCs/>
          <w:sz w:val="28"/>
          <w:szCs w:val="28"/>
        </w:rPr>
        <w:t>。</w:t>
      </w:r>
    </w:p>
    <w:p w:rsidR="00875CE0" w:rsidRPr="00D55DC6" w:rsidRDefault="00875CE0" w:rsidP="0038165F">
      <w:pPr>
        <w:pStyle w:val="af2"/>
        <w:snapToGrid w:val="0"/>
        <w:spacing w:line="460" w:lineRule="exact"/>
        <w:ind w:leftChars="605" w:left="2267" w:hangingChars="291" w:hanging="815"/>
        <w:jc w:val="both"/>
        <w:rPr>
          <w:rFonts w:eastAsia="標楷體"/>
          <w:bCs/>
          <w:sz w:val="28"/>
          <w:szCs w:val="28"/>
        </w:rPr>
      </w:pPr>
    </w:p>
    <w:p w:rsidR="005967D4" w:rsidRPr="00D55DC6" w:rsidRDefault="005967D4" w:rsidP="0038165F">
      <w:pPr>
        <w:pStyle w:val="af2"/>
        <w:snapToGrid w:val="0"/>
        <w:spacing w:line="460" w:lineRule="exact"/>
        <w:ind w:leftChars="605" w:left="2267" w:hangingChars="291" w:hanging="815"/>
        <w:jc w:val="both"/>
        <w:rPr>
          <w:rFonts w:eastAsia="標楷體"/>
          <w:bCs/>
          <w:sz w:val="28"/>
          <w:szCs w:val="28"/>
        </w:rPr>
      </w:pPr>
    </w:p>
    <w:p w:rsidR="009C725A" w:rsidRPr="00D55DC6" w:rsidRDefault="004C3796" w:rsidP="0038165F">
      <w:pPr>
        <w:snapToGrid w:val="0"/>
        <w:spacing w:line="460" w:lineRule="exact"/>
        <w:ind w:firstLineChars="303" w:firstLine="849"/>
        <w:jc w:val="both"/>
        <w:rPr>
          <w:rFonts w:eastAsia="標楷體"/>
          <w:b/>
          <w:sz w:val="28"/>
          <w:szCs w:val="28"/>
        </w:rPr>
      </w:pPr>
      <w:r w:rsidRPr="00D55DC6">
        <w:rPr>
          <w:rFonts w:eastAsia="標楷體"/>
          <w:b/>
          <w:sz w:val="28"/>
          <w:szCs w:val="28"/>
        </w:rPr>
        <w:t>2-2.</w:t>
      </w:r>
      <w:r w:rsidR="009C725A" w:rsidRPr="00D55DC6">
        <w:rPr>
          <w:rFonts w:eastAsia="標楷體"/>
          <w:b/>
          <w:sz w:val="28"/>
          <w:szCs w:val="28"/>
        </w:rPr>
        <w:t>國內觀光重要景點建設</w:t>
      </w:r>
    </w:p>
    <w:p w:rsidR="00BE1115" w:rsidRPr="00D55DC6" w:rsidRDefault="00E00E79" w:rsidP="0038165F">
      <w:pPr>
        <w:pStyle w:val="af2"/>
        <w:snapToGrid w:val="0"/>
        <w:spacing w:line="460" w:lineRule="exact"/>
        <w:ind w:leftChars="605" w:left="2166" w:hangingChars="255" w:hanging="714"/>
        <w:jc w:val="both"/>
        <w:rPr>
          <w:rFonts w:eastAsia="標楷體"/>
          <w:bCs/>
          <w:sz w:val="28"/>
          <w:szCs w:val="28"/>
        </w:rPr>
      </w:pPr>
      <w:r w:rsidRPr="00D55DC6">
        <w:rPr>
          <w:rFonts w:eastAsia="標楷體"/>
          <w:bCs/>
          <w:sz w:val="28"/>
          <w:szCs w:val="28"/>
        </w:rPr>
        <w:t>2-2-1.</w:t>
      </w:r>
      <w:r w:rsidR="00BE1115" w:rsidRPr="00D55DC6">
        <w:rPr>
          <w:rFonts w:eastAsia="標楷體"/>
          <w:bCs/>
          <w:sz w:val="28"/>
          <w:szCs w:val="28"/>
        </w:rPr>
        <w:tab/>
      </w:r>
      <w:r w:rsidR="00BE1115" w:rsidRPr="00D55DC6">
        <w:rPr>
          <w:rFonts w:eastAsia="標楷體"/>
          <w:bCs/>
          <w:sz w:val="28"/>
          <w:szCs w:val="28"/>
        </w:rPr>
        <w:t>改善</w:t>
      </w:r>
      <w:r w:rsidR="00BE1115" w:rsidRPr="00D55DC6">
        <w:rPr>
          <w:rFonts w:eastAsia="標楷體"/>
          <w:b/>
          <w:bCs/>
          <w:sz w:val="28"/>
          <w:szCs w:val="28"/>
        </w:rPr>
        <w:t>宜蘭濱海遊憩區周邊</w:t>
      </w:r>
      <w:r w:rsidR="002A7DC0" w:rsidRPr="00D55DC6">
        <w:rPr>
          <w:rFonts w:eastAsia="標楷體"/>
          <w:bCs/>
          <w:sz w:val="28"/>
          <w:szCs w:val="28"/>
        </w:rPr>
        <w:t>（</w:t>
      </w:r>
      <w:r w:rsidR="004270E3" w:rsidRPr="00D55DC6">
        <w:rPr>
          <w:rFonts w:eastAsia="標楷體"/>
          <w:bCs/>
          <w:sz w:val="28"/>
          <w:szCs w:val="28"/>
        </w:rPr>
        <w:t>頂寮公園環湖步道</w:t>
      </w:r>
      <w:r w:rsidR="002A7DC0" w:rsidRPr="00D55DC6">
        <w:rPr>
          <w:rFonts w:eastAsia="標楷體"/>
          <w:bCs/>
          <w:sz w:val="28"/>
          <w:szCs w:val="28"/>
        </w:rPr>
        <w:t>）</w:t>
      </w:r>
      <w:r w:rsidR="00BE1115" w:rsidRPr="00D55DC6">
        <w:rPr>
          <w:rFonts w:eastAsia="標楷體"/>
          <w:bCs/>
          <w:sz w:val="28"/>
          <w:szCs w:val="28"/>
        </w:rPr>
        <w:t>遊憩服務設施（東北角暨宜蘭海岸國家風景）。</w:t>
      </w:r>
    </w:p>
    <w:p w:rsidR="00BE1115" w:rsidRPr="00D55DC6" w:rsidRDefault="002A7DC0" w:rsidP="0038165F">
      <w:pPr>
        <w:pStyle w:val="af2"/>
        <w:snapToGrid w:val="0"/>
        <w:spacing w:line="460" w:lineRule="exact"/>
        <w:ind w:leftChars="605" w:left="2166" w:hangingChars="255" w:hanging="714"/>
        <w:jc w:val="both"/>
        <w:rPr>
          <w:rFonts w:eastAsia="標楷體"/>
          <w:bCs/>
          <w:sz w:val="28"/>
          <w:szCs w:val="28"/>
        </w:rPr>
      </w:pPr>
      <w:r w:rsidRPr="00D55DC6">
        <w:rPr>
          <w:rFonts w:eastAsia="標楷體"/>
          <w:bCs/>
          <w:sz w:val="28"/>
          <w:szCs w:val="28"/>
        </w:rPr>
        <w:lastRenderedPageBreak/>
        <w:t>2-2-2.</w:t>
      </w:r>
      <w:r w:rsidR="00BE1115" w:rsidRPr="00D55DC6">
        <w:rPr>
          <w:rFonts w:eastAsia="標楷體"/>
          <w:bCs/>
          <w:sz w:val="28"/>
          <w:szCs w:val="28"/>
        </w:rPr>
        <w:t>北海岸</w:t>
      </w:r>
      <w:r w:rsidR="00BE1115" w:rsidRPr="00D55DC6">
        <w:rPr>
          <w:rFonts w:eastAsia="標楷體"/>
          <w:b/>
          <w:bCs/>
          <w:sz w:val="28"/>
          <w:szCs w:val="28"/>
        </w:rPr>
        <w:t>三芝遊憩區</w:t>
      </w:r>
      <w:r w:rsidRPr="00D55DC6">
        <w:rPr>
          <w:rFonts w:eastAsia="標楷體"/>
          <w:bCs/>
          <w:sz w:val="28"/>
          <w:szCs w:val="28"/>
        </w:rPr>
        <w:t>（三芝遊客中心及濱海步道）</w:t>
      </w:r>
      <w:r w:rsidR="00BE1115" w:rsidRPr="00D55DC6">
        <w:rPr>
          <w:rFonts w:eastAsia="標楷體"/>
          <w:bCs/>
          <w:sz w:val="28"/>
          <w:szCs w:val="28"/>
        </w:rPr>
        <w:t>、</w:t>
      </w:r>
      <w:r w:rsidR="00BE1115" w:rsidRPr="00D55DC6">
        <w:rPr>
          <w:rFonts w:eastAsia="標楷體"/>
          <w:b/>
          <w:bCs/>
          <w:sz w:val="28"/>
          <w:szCs w:val="28"/>
        </w:rPr>
        <w:t>石門遊憩區</w:t>
      </w:r>
      <w:r w:rsidRPr="00D55DC6">
        <w:rPr>
          <w:rFonts w:eastAsia="標楷體"/>
          <w:bCs/>
          <w:sz w:val="28"/>
          <w:szCs w:val="28"/>
        </w:rPr>
        <w:t>（石門遊憩據點環境）</w:t>
      </w:r>
      <w:r w:rsidR="00BE1115" w:rsidRPr="00D55DC6">
        <w:rPr>
          <w:rFonts w:eastAsia="標楷體"/>
          <w:bCs/>
          <w:sz w:val="28"/>
          <w:szCs w:val="28"/>
        </w:rPr>
        <w:t>及</w:t>
      </w:r>
      <w:r w:rsidR="00BE1115" w:rsidRPr="00D55DC6">
        <w:rPr>
          <w:rFonts w:eastAsia="標楷體"/>
          <w:b/>
          <w:bCs/>
          <w:sz w:val="28"/>
          <w:szCs w:val="28"/>
        </w:rPr>
        <w:t>觀音山遊憩區</w:t>
      </w:r>
      <w:r w:rsidRPr="00D55DC6">
        <w:rPr>
          <w:rFonts w:eastAsia="標楷體"/>
          <w:bCs/>
          <w:sz w:val="28"/>
          <w:szCs w:val="28"/>
        </w:rPr>
        <w:t>（觀音山步道及周邊環境）</w:t>
      </w:r>
      <w:r w:rsidR="00BE1115" w:rsidRPr="00D55DC6">
        <w:rPr>
          <w:rFonts w:eastAsia="標楷體"/>
          <w:bCs/>
          <w:sz w:val="28"/>
          <w:szCs w:val="28"/>
        </w:rPr>
        <w:t>之遊憩據點設施更新改善（北海岸及觀音山國家風景區）。</w:t>
      </w:r>
    </w:p>
    <w:p w:rsidR="00BE1115" w:rsidRPr="00D55DC6" w:rsidRDefault="002A7DC0" w:rsidP="0038165F">
      <w:pPr>
        <w:pStyle w:val="af2"/>
        <w:snapToGrid w:val="0"/>
        <w:spacing w:line="460" w:lineRule="exact"/>
        <w:ind w:leftChars="605" w:left="2166" w:hangingChars="255" w:hanging="714"/>
        <w:jc w:val="both"/>
        <w:rPr>
          <w:rFonts w:eastAsia="標楷體"/>
          <w:bCs/>
          <w:sz w:val="28"/>
          <w:szCs w:val="28"/>
        </w:rPr>
      </w:pPr>
      <w:r w:rsidRPr="00D55DC6">
        <w:rPr>
          <w:rFonts w:eastAsia="標楷體"/>
          <w:bCs/>
          <w:sz w:val="28"/>
          <w:szCs w:val="28"/>
        </w:rPr>
        <w:t>2-2-3.</w:t>
      </w:r>
      <w:r w:rsidR="00BE1115" w:rsidRPr="00D55DC6">
        <w:rPr>
          <w:rFonts w:eastAsia="標楷體"/>
          <w:bCs/>
          <w:sz w:val="28"/>
          <w:szCs w:val="28"/>
        </w:rPr>
        <w:t>完善</w:t>
      </w:r>
      <w:r w:rsidRPr="00D55DC6">
        <w:rPr>
          <w:rFonts w:eastAsia="標楷體"/>
          <w:b/>
          <w:bCs/>
          <w:sz w:val="28"/>
          <w:szCs w:val="28"/>
        </w:rPr>
        <w:t>水里溪遊憩區</w:t>
      </w:r>
      <w:r w:rsidRPr="00D55DC6">
        <w:rPr>
          <w:rFonts w:eastAsia="標楷體"/>
          <w:bCs/>
          <w:sz w:val="28"/>
          <w:szCs w:val="28"/>
        </w:rPr>
        <w:t>（車埕遊客中心及街道、綠色隧道）、</w:t>
      </w:r>
      <w:r w:rsidR="00BE1115" w:rsidRPr="00D55DC6">
        <w:rPr>
          <w:rFonts w:eastAsia="標楷體"/>
          <w:b/>
          <w:bCs/>
          <w:sz w:val="28"/>
          <w:szCs w:val="28"/>
        </w:rPr>
        <w:t>頭社遊憩區</w:t>
      </w:r>
      <w:r w:rsidRPr="00D55DC6">
        <w:rPr>
          <w:rFonts w:eastAsia="標楷體"/>
          <w:bCs/>
          <w:sz w:val="28"/>
          <w:szCs w:val="28"/>
        </w:rPr>
        <w:t>（魚池尖山步道、桃米、頭社）</w:t>
      </w:r>
      <w:r w:rsidR="00BE1115" w:rsidRPr="00D55DC6">
        <w:rPr>
          <w:rFonts w:eastAsia="標楷體"/>
          <w:bCs/>
          <w:sz w:val="28"/>
          <w:szCs w:val="28"/>
        </w:rPr>
        <w:t>服務設施，提升服務品質（日月潭國家風景區）。</w:t>
      </w:r>
    </w:p>
    <w:p w:rsidR="00B96093" w:rsidRPr="00D55DC6" w:rsidRDefault="002A7DC0" w:rsidP="0038165F">
      <w:pPr>
        <w:pStyle w:val="af2"/>
        <w:snapToGrid w:val="0"/>
        <w:spacing w:line="460" w:lineRule="exact"/>
        <w:ind w:leftChars="605" w:left="2166" w:hangingChars="255" w:hanging="714"/>
        <w:jc w:val="both"/>
        <w:rPr>
          <w:rFonts w:eastAsia="標楷體"/>
          <w:bCs/>
          <w:sz w:val="28"/>
          <w:szCs w:val="28"/>
        </w:rPr>
      </w:pPr>
      <w:r w:rsidRPr="00D55DC6">
        <w:rPr>
          <w:rFonts w:eastAsia="標楷體"/>
          <w:bCs/>
          <w:sz w:val="28"/>
          <w:szCs w:val="28"/>
        </w:rPr>
        <w:t>2-2-4.</w:t>
      </w:r>
      <w:r w:rsidR="00E638C3" w:rsidRPr="00D55DC6">
        <w:rPr>
          <w:rFonts w:eastAsia="標楷體"/>
          <w:bCs/>
          <w:sz w:val="28"/>
          <w:szCs w:val="28"/>
        </w:rPr>
        <w:t>改善</w:t>
      </w:r>
      <w:r w:rsidR="00B96093" w:rsidRPr="00D55DC6">
        <w:rPr>
          <w:rFonts w:eastAsia="標楷體"/>
          <w:b/>
          <w:bCs/>
          <w:sz w:val="28"/>
          <w:szCs w:val="28"/>
        </w:rPr>
        <w:t>獅頭山</w:t>
      </w:r>
      <w:r w:rsidRPr="00D55DC6">
        <w:rPr>
          <w:rFonts w:eastAsia="標楷體"/>
          <w:bCs/>
          <w:sz w:val="28"/>
          <w:szCs w:val="28"/>
        </w:rPr>
        <w:t>（</w:t>
      </w:r>
      <w:r w:rsidR="00E638C3" w:rsidRPr="00D55DC6">
        <w:rPr>
          <w:rFonts w:eastAsia="標楷體"/>
          <w:bCs/>
          <w:sz w:val="28"/>
          <w:szCs w:val="28"/>
        </w:rPr>
        <w:t>峨眉湖細茅埔吊橋、湖環湖步道及周邊環境、獅山遊客中心、公廁、無障礙設施</w:t>
      </w:r>
      <w:r w:rsidRPr="00D55DC6">
        <w:rPr>
          <w:rFonts w:eastAsia="標楷體"/>
          <w:bCs/>
          <w:sz w:val="28"/>
          <w:szCs w:val="28"/>
        </w:rPr>
        <w:t>）</w:t>
      </w:r>
      <w:r w:rsidR="00B96093" w:rsidRPr="00D55DC6">
        <w:rPr>
          <w:rFonts w:eastAsia="標楷體"/>
          <w:bCs/>
          <w:sz w:val="28"/>
          <w:szCs w:val="28"/>
        </w:rPr>
        <w:t>及</w:t>
      </w:r>
      <w:r w:rsidR="00B96093" w:rsidRPr="00D55DC6">
        <w:rPr>
          <w:rFonts w:eastAsia="標楷體"/>
          <w:b/>
          <w:bCs/>
          <w:sz w:val="28"/>
          <w:szCs w:val="28"/>
        </w:rPr>
        <w:t>八卦山</w:t>
      </w:r>
      <w:r w:rsidRPr="00D55DC6">
        <w:rPr>
          <w:rFonts w:eastAsia="標楷體"/>
          <w:bCs/>
          <w:sz w:val="28"/>
          <w:szCs w:val="28"/>
        </w:rPr>
        <w:t>（</w:t>
      </w:r>
      <w:r w:rsidR="0027085D" w:rsidRPr="00D55DC6">
        <w:rPr>
          <w:rFonts w:eastAsia="標楷體"/>
          <w:bCs/>
          <w:sz w:val="28"/>
          <w:szCs w:val="28"/>
        </w:rPr>
        <w:t>高鐵橋下自行車道延伸、芬園挑水古道、芬園休閒體健園區</w:t>
      </w:r>
      <w:r w:rsidR="0027085D" w:rsidRPr="00D55DC6">
        <w:rPr>
          <w:rFonts w:eastAsia="標楷體"/>
          <w:bCs/>
          <w:sz w:val="28"/>
          <w:szCs w:val="28"/>
        </w:rPr>
        <w:t>(</w:t>
      </w:r>
      <w:r w:rsidR="0027085D" w:rsidRPr="00D55DC6">
        <w:rPr>
          <w:rFonts w:eastAsia="標楷體"/>
          <w:bCs/>
          <w:sz w:val="28"/>
          <w:szCs w:val="28"/>
        </w:rPr>
        <w:t>就是愛茘枝樂園</w:t>
      </w:r>
      <w:r w:rsidR="0027085D" w:rsidRPr="00D55DC6">
        <w:rPr>
          <w:rFonts w:eastAsia="標楷體"/>
          <w:bCs/>
          <w:sz w:val="28"/>
          <w:szCs w:val="28"/>
        </w:rPr>
        <w:t>)</w:t>
      </w:r>
      <w:r w:rsidR="0027085D" w:rsidRPr="00D55DC6">
        <w:rPr>
          <w:rFonts w:eastAsia="標楷體"/>
          <w:bCs/>
          <w:sz w:val="28"/>
          <w:szCs w:val="28"/>
        </w:rPr>
        <w:t>周邊景觀、遊客中心導覽、親子公廁及穆斯林友善設施</w:t>
      </w:r>
      <w:r w:rsidRPr="00D55DC6">
        <w:rPr>
          <w:rFonts w:eastAsia="標楷體"/>
          <w:bCs/>
          <w:sz w:val="28"/>
          <w:szCs w:val="28"/>
        </w:rPr>
        <w:t>）</w:t>
      </w:r>
      <w:r w:rsidR="00B96093" w:rsidRPr="00D55DC6">
        <w:rPr>
          <w:rFonts w:eastAsia="標楷體"/>
          <w:bCs/>
          <w:sz w:val="28"/>
          <w:szCs w:val="28"/>
        </w:rPr>
        <w:t>周邊環境與公共服務設施（參山國家風景區）。</w:t>
      </w:r>
    </w:p>
    <w:p w:rsidR="00BE1115" w:rsidRPr="00D55DC6" w:rsidRDefault="002A7DC0" w:rsidP="0038165F">
      <w:pPr>
        <w:pStyle w:val="af2"/>
        <w:snapToGrid w:val="0"/>
        <w:spacing w:line="460" w:lineRule="exact"/>
        <w:ind w:leftChars="605" w:left="2166" w:hangingChars="255" w:hanging="714"/>
        <w:jc w:val="both"/>
        <w:rPr>
          <w:rFonts w:eastAsia="標楷體"/>
          <w:bCs/>
          <w:sz w:val="28"/>
          <w:szCs w:val="28"/>
        </w:rPr>
      </w:pPr>
      <w:r w:rsidRPr="00D55DC6">
        <w:rPr>
          <w:rFonts w:eastAsia="標楷體"/>
          <w:bCs/>
          <w:sz w:val="28"/>
          <w:szCs w:val="28"/>
        </w:rPr>
        <w:t>2-2-5.</w:t>
      </w:r>
      <w:r w:rsidR="00BE1115" w:rsidRPr="00D55DC6">
        <w:rPr>
          <w:rFonts w:eastAsia="標楷體"/>
          <w:bCs/>
          <w:sz w:val="28"/>
          <w:szCs w:val="28"/>
        </w:rPr>
        <w:t>完成</w:t>
      </w:r>
      <w:r w:rsidR="00BE1115" w:rsidRPr="00D55DC6">
        <w:rPr>
          <w:rFonts w:eastAsia="標楷體"/>
          <w:b/>
          <w:bCs/>
          <w:sz w:val="28"/>
          <w:szCs w:val="28"/>
        </w:rPr>
        <w:t>鄒族文化遊憩系統</w:t>
      </w:r>
      <w:r w:rsidRPr="00D55DC6">
        <w:rPr>
          <w:rFonts w:eastAsia="標楷體"/>
          <w:bCs/>
          <w:sz w:val="28"/>
          <w:szCs w:val="28"/>
        </w:rPr>
        <w:t>（</w:t>
      </w:r>
      <w:r w:rsidR="00753973" w:rsidRPr="00D55DC6">
        <w:rPr>
          <w:rFonts w:eastAsia="標楷體"/>
          <w:bCs/>
          <w:sz w:val="28"/>
          <w:szCs w:val="28"/>
        </w:rPr>
        <w:t>達邦鄒族自然與文化中心、特富野庫巴周邊環境、樂野福山古道、山美達娜伊谷遊憩設施</w:t>
      </w:r>
      <w:r w:rsidRPr="00D55DC6">
        <w:rPr>
          <w:rFonts w:eastAsia="標楷體"/>
          <w:bCs/>
          <w:sz w:val="28"/>
          <w:szCs w:val="28"/>
        </w:rPr>
        <w:t>）</w:t>
      </w:r>
      <w:r w:rsidR="00BE1115" w:rsidRPr="00D55DC6">
        <w:rPr>
          <w:rFonts w:eastAsia="標楷體"/>
          <w:bCs/>
          <w:sz w:val="28"/>
          <w:szCs w:val="28"/>
        </w:rPr>
        <w:t>、</w:t>
      </w:r>
      <w:r w:rsidR="00BE1115" w:rsidRPr="00D55DC6">
        <w:rPr>
          <w:rFonts w:eastAsia="標楷體"/>
          <w:b/>
          <w:bCs/>
          <w:sz w:val="28"/>
          <w:szCs w:val="28"/>
        </w:rPr>
        <w:t>西北廊道遊憩系統</w:t>
      </w:r>
      <w:r w:rsidRPr="00D55DC6">
        <w:rPr>
          <w:rFonts w:eastAsia="標楷體"/>
          <w:bCs/>
          <w:sz w:val="28"/>
          <w:szCs w:val="28"/>
        </w:rPr>
        <w:t>（</w:t>
      </w:r>
      <w:r w:rsidR="00753973" w:rsidRPr="00D55DC6">
        <w:rPr>
          <w:rFonts w:eastAsia="標楷體"/>
          <w:bCs/>
          <w:sz w:val="28"/>
          <w:szCs w:val="28"/>
        </w:rPr>
        <w:t>文峰遊客中心、豐山、來吉遊憩設施、瑞峰進學步道、瑞里青年嶺步道</w:t>
      </w:r>
      <w:r w:rsidRPr="00D55DC6">
        <w:rPr>
          <w:rFonts w:eastAsia="標楷體"/>
          <w:bCs/>
          <w:sz w:val="28"/>
          <w:szCs w:val="28"/>
        </w:rPr>
        <w:t>）</w:t>
      </w:r>
      <w:r w:rsidR="00BE1115" w:rsidRPr="00D55DC6">
        <w:rPr>
          <w:rFonts w:eastAsia="標楷體"/>
          <w:bCs/>
          <w:sz w:val="28"/>
          <w:szCs w:val="28"/>
        </w:rPr>
        <w:t>等周邊設施及環境改善（阿里山國家風景區）。</w:t>
      </w:r>
    </w:p>
    <w:p w:rsidR="00B96093" w:rsidRPr="00D55DC6" w:rsidRDefault="002A7DC0" w:rsidP="0038165F">
      <w:pPr>
        <w:pStyle w:val="af2"/>
        <w:snapToGrid w:val="0"/>
        <w:spacing w:line="460" w:lineRule="exact"/>
        <w:ind w:leftChars="605" w:left="2166" w:hangingChars="255" w:hanging="714"/>
        <w:jc w:val="both"/>
        <w:rPr>
          <w:rFonts w:eastAsia="標楷體"/>
          <w:bCs/>
          <w:sz w:val="28"/>
          <w:szCs w:val="28"/>
        </w:rPr>
      </w:pPr>
      <w:r w:rsidRPr="00D55DC6">
        <w:rPr>
          <w:rFonts w:eastAsia="標楷體"/>
          <w:bCs/>
          <w:sz w:val="28"/>
          <w:szCs w:val="28"/>
        </w:rPr>
        <w:t>2-2-6.</w:t>
      </w:r>
      <w:r w:rsidR="00B96093" w:rsidRPr="00D55DC6">
        <w:rPr>
          <w:rFonts w:eastAsia="標楷體"/>
          <w:bCs/>
          <w:sz w:val="28"/>
          <w:szCs w:val="28"/>
        </w:rPr>
        <w:t>完成</w:t>
      </w:r>
      <w:r w:rsidR="00B96093" w:rsidRPr="00D55DC6">
        <w:rPr>
          <w:rFonts w:eastAsia="標楷體"/>
          <w:b/>
          <w:bCs/>
          <w:sz w:val="28"/>
          <w:szCs w:val="28"/>
        </w:rPr>
        <w:t>雲嘉南濱海遊憩區</w:t>
      </w:r>
      <w:r w:rsidRPr="00D55DC6">
        <w:rPr>
          <w:rFonts w:eastAsia="標楷體"/>
          <w:bCs/>
          <w:sz w:val="28"/>
          <w:szCs w:val="28"/>
        </w:rPr>
        <w:t>（</w:t>
      </w:r>
      <w:r w:rsidR="0096155E" w:rsidRPr="00D55DC6">
        <w:rPr>
          <w:rFonts w:eastAsia="標楷體"/>
          <w:bCs/>
          <w:sz w:val="28"/>
          <w:szCs w:val="28"/>
        </w:rPr>
        <w:t>布袋東石、將軍、安南、口湖四湖地區</w:t>
      </w:r>
      <w:r w:rsidRPr="00D55DC6">
        <w:rPr>
          <w:rFonts w:eastAsia="標楷體"/>
          <w:bCs/>
          <w:sz w:val="28"/>
          <w:szCs w:val="28"/>
        </w:rPr>
        <w:t>）</w:t>
      </w:r>
      <w:r w:rsidR="00B96093" w:rsidRPr="00D55DC6">
        <w:rPr>
          <w:rFonts w:eastAsia="標楷體"/>
          <w:bCs/>
          <w:sz w:val="28"/>
          <w:szCs w:val="28"/>
        </w:rPr>
        <w:t>服務設施</w:t>
      </w:r>
      <w:r w:rsidR="0096155E" w:rsidRPr="00D55DC6">
        <w:rPr>
          <w:rFonts w:eastAsia="標楷體"/>
          <w:bCs/>
          <w:sz w:val="28"/>
          <w:szCs w:val="28"/>
        </w:rPr>
        <w:t>暨景觀</w:t>
      </w:r>
      <w:r w:rsidR="00B96093" w:rsidRPr="00D55DC6">
        <w:rPr>
          <w:rFonts w:eastAsia="標楷體"/>
          <w:bCs/>
          <w:sz w:val="28"/>
          <w:szCs w:val="28"/>
        </w:rPr>
        <w:t>改善（雲嘉南濱海國家風景區）。</w:t>
      </w:r>
    </w:p>
    <w:p w:rsidR="00B96093" w:rsidRPr="00D55DC6" w:rsidRDefault="002A7DC0" w:rsidP="0038165F">
      <w:pPr>
        <w:pStyle w:val="af2"/>
        <w:snapToGrid w:val="0"/>
        <w:spacing w:line="460" w:lineRule="exact"/>
        <w:ind w:leftChars="605" w:left="2166" w:hangingChars="255" w:hanging="714"/>
        <w:jc w:val="both"/>
        <w:rPr>
          <w:rFonts w:eastAsia="標楷體"/>
          <w:bCs/>
          <w:sz w:val="28"/>
          <w:szCs w:val="28"/>
        </w:rPr>
      </w:pPr>
      <w:r w:rsidRPr="00D55DC6">
        <w:rPr>
          <w:rFonts w:eastAsia="標楷體"/>
          <w:bCs/>
          <w:sz w:val="28"/>
          <w:szCs w:val="28"/>
        </w:rPr>
        <w:t>2-2-7.</w:t>
      </w:r>
      <w:r w:rsidR="00B96093" w:rsidRPr="00D55DC6">
        <w:rPr>
          <w:rFonts w:eastAsia="標楷體"/>
          <w:bCs/>
          <w:sz w:val="28"/>
          <w:szCs w:val="28"/>
        </w:rPr>
        <w:t>完成</w:t>
      </w:r>
      <w:r w:rsidR="00B96093" w:rsidRPr="00D55DC6">
        <w:rPr>
          <w:rFonts w:eastAsia="標楷體"/>
          <w:b/>
          <w:bCs/>
          <w:sz w:val="28"/>
          <w:szCs w:val="28"/>
        </w:rPr>
        <w:t>西拉雅探索園區</w:t>
      </w:r>
      <w:r w:rsidRPr="00D55DC6">
        <w:rPr>
          <w:rFonts w:eastAsia="標楷體"/>
          <w:bCs/>
          <w:sz w:val="28"/>
          <w:szCs w:val="28"/>
        </w:rPr>
        <w:t>（</w:t>
      </w:r>
      <w:r w:rsidR="0096155E" w:rsidRPr="00D55DC6">
        <w:rPr>
          <w:rFonts w:eastAsia="標楷體"/>
          <w:bCs/>
          <w:sz w:val="28"/>
          <w:szCs w:val="28"/>
        </w:rPr>
        <w:t>二寮觀景臺、南化遊客中心及觀景臺</w:t>
      </w:r>
      <w:r w:rsidRPr="00D55DC6">
        <w:rPr>
          <w:rFonts w:eastAsia="標楷體"/>
          <w:bCs/>
          <w:sz w:val="28"/>
          <w:szCs w:val="28"/>
        </w:rPr>
        <w:t>）</w:t>
      </w:r>
      <w:r w:rsidR="00B96093" w:rsidRPr="00D55DC6">
        <w:rPr>
          <w:rFonts w:eastAsia="標楷體"/>
          <w:bCs/>
          <w:sz w:val="28"/>
          <w:szCs w:val="28"/>
        </w:rPr>
        <w:t>、</w:t>
      </w:r>
      <w:r w:rsidR="00B96093" w:rsidRPr="00D55DC6">
        <w:rPr>
          <w:rFonts w:eastAsia="標楷體"/>
          <w:b/>
          <w:bCs/>
          <w:sz w:val="28"/>
          <w:szCs w:val="28"/>
        </w:rPr>
        <w:t>西拉雅芒果酒莊</w:t>
      </w:r>
      <w:r w:rsidRPr="00D55DC6">
        <w:rPr>
          <w:rFonts w:eastAsia="標楷體"/>
          <w:bCs/>
          <w:sz w:val="28"/>
          <w:szCs w:val="28"/>
        </w:rPr>
        <w:t>（</w:t>
      </w:r>
      <w:r w:rsidR="0096155E" w:rsidRPr="00D55DC6">
        <w:rPr>
          <w:rFonts w:eastAsia="標楷體"/>
          <w:bCs/>
          <w:sz w:val="28"/>
          <w:szCs w:val="28"/>
        </w:rPr>
        <w:t>南化生態農場</w:t>
      </w:r>
      <w:r w:rsidRPr="00D55DC6">
        <w:rPr>
          <w:rFonts w:eastAsia="標楷體"/>
          <w:bCs/>
          <w:sz w:val="28"/>
          <w:szCs w:val="28"/>
        </w:rPr>
        <w:t>）</w:t>
      </w:r>
      <w:r w:rsidR="00B96093" w:rsidRPr="00D55DC6">
        <w:rPr>
          <w:rFonts w:eastAsia="標楷體"/>
          <w:bCs/>
          <w:sz w:val="28"/>
          <w:szCs w:val="28"/>
        </w:rPr>
        <w:t>環境改善（西拉雅國家風景區）。</w:t>
      </w:r>
    </w:p>
    <w:p w:rsidR="00B96093" w:rsidRPr="00D55DC6" w:rsidRDefault="002A7DC0" w:rsidP="0038165F">
      <w:pPr>
        <w:pStyle w:val="af2"/>
        <w:snapToGrid w:val="0"/>
        <w:spacing w:line="460" w:lineRule="exact"/>
        <w:ind w:leftChars="605" w:left="2166" w:hangingChars="255" w:hanging="714"/>
        <w:jc w:val="both"/>
        <w:rPr>
          <w:rFonts w:eastAsia="標楷體"/>
          <w:bCs/>
          <w:sz w:val="28"/>
          <w:szCs w:val="28"/>
        </w:rPr>
      </w:pPr>
      <w:r w:rsidRPr="00D55DC6">
        <w:rPr>
          <w:rFonts w:eastAsia="標楷體"/>
          <w:bCs/>
          <w:sz w:val="28"/>
          <w:szCs w:val="28"/>
        </w:rPr>
        <w:t>2-2-8.</w:t>
      </w:r>
      <w:r w:rsidR="00301F63" w:rsidRPr="00D55DC6">
        <w:rPr>
          <w:rFonts w:eastAsia="標楷體"/>
          <w:bCs/>
          <w:sz w:val="28"/>
          <w:szCs w:val="28"/>
        </w:rPr>
        <w:t>完善</w:t>
      </w:r>
      <w:r w:rsidR="00B96093" w:rsidRPr="00D55DC6">
        <w:rPr>
          <w:rFonts w:eastAsia="標楷體"/>
          <w:b/>
          <w:bCs/>
          <w:sz w:val="28"/>
          <w:szCs w:val="28"/>
        </w:rPr>
        <w:t>屏北遊憩區</w:t>
      </w:r>
      <w:r w:rsidRPr="00D55DC6">
        <w:rPr>
          <w:rFonts w:eastAsia="標楷體"/>
          <w:bCs/>
          <w:sz w:val="28"/>
          <w:szCs w:val="28"/>
        </w:rPr>
        <w:t>（</w:t>
      </w:r>
      <w:r w:rsidR="00EF3EA0" w:rsidRPr="00D55DC6">
        <w:rPr>
          <w:rFonts w:eastAsia="標楷體"/>
          <w:bCs/>
          <w:sz w:val="28"/>
          <w:szCs w:val="28"/>
        </w:rPr>
        <w:t>涼山遊憩區、</w:t>
      </w:r>
      <w:r w:rsidR="00301F63" w:rsidRPr="00D55DC6">
        <w:rPr>
          <w:rFonts w:eastAsia="標楷體"/>
          <w:bCs/>
          <w:sz w:val="28"/>
          <w:szCs w:val="28"/>
        </w:rPr>
        <w:t>安波自行車道、霧台神山瀑布周邊</w:t>
      </w:r>
      <w:r w:rsidRPr="00D55DC6">
        <w:rPr>
          <w:rFonts w:eastAsia="標楷體"/>
          <w:bCs/>
          <w:sz w:val="28"/>
          <w:szCs w:val="28"/>
        </w:rPr>
        <w:t>）</w:t>
      </w:r>
      <w:r w:rsidR="00B96093" w:rsidRPr="00D55DC6">
        <w:rPr>
          <w:rFonts w:eastAsia="標楷體"/>
          <w:bCs/>
          <w:sz w:val="28"/>
          <w:szCs w:val="28"/>
        </w:rPr>
        <w:t>及</w:t>
      </w:r>
      <w:r w:rsidR="00B96093" w:rsidRPr="00D55DC6">
        <w:rPr>
          <w:rFonts w:eastAsia="標楷體"/>
          <w:b/>
          <w:bCs/>
          <w:sz w:val="28"/>
          <w:szCs w:val="28"/>
        </w:rPr>
        <w:t>荖濃遊憩區</w:t>
      </w:r>
      <w:r w:rsidRPr="00D55DC6">
        <w:rPr>
          <w:rFonts w:eastAsia="標楷體"/>
          <w:bCs/>
          <w:sz w:val="28"/>
          <w:szCs w:val="28"/>
        </w:rPr>
        <w:t>（</w:t>
      </w:r>
      <w:r w:rsidR="00301F63" w:rsidRPr="00D55DC6">
        <w:rPr>
          <w:rFonts w:eastAsia="標楷體"/>
          <w:bCs/>
          <w:sz w:val="28"/>
          <w:szCs w:val="28"/>
        </w:rPr>
        <w:t>不老、寶來、</w:t>
      </w:r>
      <w:r w:rsidR="00301F63" w:rsidRPr="00D55DC6">
        <w:rPr>
          <w:rFonts w:eastAsia="標楷體"/>
          <w:bCs/>
          <w:sz w:val="28"/>
          <w:szCs w:val="28"/>
        </w:rPr>
        <w:t>18</w:t>
      </w:r>
      <w:r w:rsidR="00301F63" w:rsidRPr="00D55DC6">
        <w:rPr>
          <w:rFonts w:eastAsia="標楷體"/>
          <w:bCs/>
          <w:sz w:val="28"/>
          <w:szCs w:val="28"/>
        </w:rPr>
        <w:t>羅漢山服務區</w:t>
      </w:r>
      <w:r w:rsidRPr="00D55DC6">
        <w:rPr>
          <w:rFonts w:eastAsia="標楷體"/>
          <w:bCs/>
          <w:sz w:val="28"/>
          <w:szCs w:val="28"/>
        </w:rPr>
        <w:t>）</w:t>
      </w:r>
      <w:r w:rsidR="00B96093" w:rsidRPr="00D55DC6">
        <w:rPr>
          <w:rFonts w:eastAsia="標楷體"/>
          <w:bCs/>
          <w:sz w:val="28"/>
          <w:szCs w:val="28"/>
        </w:rPr>
        <w:t>服務</w:t>
      </w:r>
      <w:r w:rsidR="00301F63" w:rsidRPr="00D55DC6">
        <w:rPr>
          <w:rFonts w:eastAsia="標楷體"/>
          <w:bCs/>
          <w:sz w:val="28"/>
          <w:szCs w:val="28"/>
        </w:rPr>
        <w:t>設施</w:t>
      </w:r>
      <w:r w:rsidR="00B96093" w:rsidRPr="00D55DC6">
        <w:rPr>
          <w:rFonts w:eastAsia="標楷體"/>
          <w:bCs/>
          <w:sz w:val="28"/>
          <w:szCs w:val="28"/>
        </w:rPr>
        <w:t>（茂林國家風景區）。</w:t>
      </w:r>
    </w:p>
    <w:p w:rsidR="00BE1115" w:rsidRPr="00D55DC6" w:rsidRDefault="002A7DC0" w:rsidP="0038165F">
      <w:pPr>
        <w:pStyle w:val="af2"/>
        <w:snapToGrid w:val="0"/>
        <w:spacing w:line="460" w:lineRule="exact"/>
        <w:ind w:leftChars="605" w:left="2166" w:hangingChars="255" w:hanging="714"/>
        <w:jc w:val="both"/>
        <w:rPr>
          <w:rFonts w:eastAsia="標楷體"/>
          <w:bCs/>
          <w:sz w:val="28"/>
          <w:szCs w:val="28"/>
        </w:rPr>
      </w:pPr>
      <w:r w:rsidRPr="00D55DC6">
        <w:rPr>
          <w:rFonts w:eastAsia="標楷體"/>
          <w:bCs/>
          <w:sz w:val="28"/>
          <w:szCs w:val="28"/>
        </w:rPr>
        <w:t>2-2-9.</w:t>
      </w:r>
      <w:r w:rsidR="00EA6AEA" w:rsidRPr="00D55DC6">
        <w:rPr>
          <w:rFonts w:eastAsia="標楷體"/>
          <w:bCs/>
          <w:sz w:val="28"/>
          <w:szCs w:val="28"/>
        </w:rPr>
        <w:t>改善</w:t>
      </w:r>
      <w:r w:rsidR="00BE1115" w:rsidRPr="00D55DC6">
        <w:rPr>
          <w:rFonts w:eastAsia="標楷體"/>
          <w:b/>
          <w:bCs/>
          <w:sz w:val="28"/>
          <w:szCs w:val="28"/>
        </w:rPr>
        <w:t>小琉球</w:t>
      </w:r>
      <w:r w:rsidRPr="00D55DC6">
        <w:rPr>
          <w:rFonts w:eastAsia="標楷體"/>
          <w:bCs/>
          <w:sz w:val="28"/>
          <w:szCs w:val="28"/>
        </w:rPr>
        <w:t>（</w:t>
      </w:r>
      <w:r w:rsidR="00A22992" w:rsidRPr="00D55DC6">
        <w:rPr>
          <w:rFonts w:eastAsia="標楷體"/>
          <w:bCs/>
          <w:sz w:val="28"/>
          <w:szCs w:val="28"/>
        </w:rPr>
        <w:t>山豬溝步道、旭日亭步道、碧雲寺廁所</w:t>
      </w:r>
      <w:r w:rsidRPr="00D55DC6">
        <w:rPr>
          <w:rFonts w:eastAsia="標楷體"/>
          <w:bCs/>
          <w:sz w:val="28"/>
          <w:szCs w:val="28"/>
        </w:rPr>
        <w:t>）</w:t>
      </w:r>
      <w:r w:rsidR="00E04FA6" w:rsidRPr="00D55DC6">
        <w:rPr>
          <w:rFonts w:eastAsia="標楷體"/>
          <w:bCs/>
          <w:sz w:val="28"/>
          <w:szCs w:val="28"/>
        </w:rPr>
        <w:t>服務設施及景觀</w:t>
      </w:r>
      <w:r w:rsidR="00EA6AEA" w:rsidRPr="00D55DC6">
        <w:rPr>
          <w:rFonts w:eastAsia="標楷體"/>
          <w:bCs/>
          <w:sz w:val="28"/>
          <w:szCs w:val="28"/>
        </w:rPr>
        <w:t>環境</w:t>
      </w:r>
      <w:r w:rsidR="00E04FA6" w:rsidRPr="00D55DC6">
        <w:rPr>
          <w:rFonts w:eastAsia="標楷體"/>
          <w:bCs/>
          <w:sz w:val="28"/>
          <w:szCs w:val="28"/>
        </w:rPr>
        <w:t>，</w:t>
      </w:r>
      <w:r w:rsidR="00A22992" w:rsidRPr="00D55DC6">
        <w:rPr>
          <w:rFonts w:eastAsia="標楷體"/>
          <w:bCs/>
          <w:sz w:val="28"/>
          <w:szCs w:val="28"/>
        </w:rPr>
        <w:t>並完成小琉球海景休閒</w:t>
      </w:r>
      <w:r w:rsidR="00EA38C5" w:rsidRPr="00D55DC6">
        <w:rPr>
          <w:rFonts w:eastAsia="標楷體"/>
          <w:bCs/>
          <w:sz w:val="28"/>
          <w:szCs w:val="28"/>
        </w:rPr>
        <w:t>度假</w:t>
      </w:r>
      <w:r w:rsidR="00A22992" w:rsidRPr="00D55DC6">
        <w:rPr>
          <w:rFonts w:eastAsia="標楷體"/>
          <w:bCs/>
          <w:sz w:val="28"/>
          <w:szCs w:val="28"/>
        </w:rPr>
        <w:t>區委外經營，</w:t>
      </w:r>
      <w:r w:rsidR="00E04FA6" w:rsidRPr="00D55DC6">
        <w:rPr>
          <w:rFonts w:eastAsia="標楷體"/>
          <w:bCs/>
          <w:sz w:val="28"/>
          <w:szCs w:val="28"/>
        </w:rPr>
        <w:t>打造小琉球</w:t>
      </w:r>
      <w:r w:rsidR="00A22992" w:rsidRPr="00D55DC6">
        <w:rPr>
          <w:rFonts w:eastAsia="標楷體"/>
          <w:bCs/>
          <w:sz w:val="28"/>
          <w:szCs w:val="28"/>
        </w:rPr>
        <w:t>為</w:t>
      </w:r>
      <w:r w:rsidR="00BE1115" w:rsidRPr="00D55DC6">
        <w:rPr>
          <w:rFonts w:eastAsia="標楷體"/>
          <w:bCs/>
          <w:sz w:val="28"/>
          <w:szCs w:val="28"/>
        </w:rPr>
        <w:t>自然純淨的慢活</w:t>
      </w:r>
      <w:r w:rsidR="00EA38C5" w:rsidRPr="00D55DC6">
        <w:rPr>
          <w:rFonts w:eastAsia="標楷體"/>
          <w:bCs/>
          <w:sz w:val="28"/>
          <w:szCs w:val="28"/>
        </w:rPr>
        <w:t>度假</w:t>
      </w:r>
      <w:r w:rsidR="00BE1115" w:rsidRPr="00D55DC6">
        <w:rPr>
          <w:rFonts w:eastAsia="標楷體"/>
          <w:bCs/>
          <w:sz w:val="28"/>
          <w:szCs w:val="28"/>
        </w:rPr>
        <w:t>勝地（大鵬</w:t>
      </w:r>
      <w:r w:rsidR="00BE1115" w:rsidRPr="00D55DC6">
        <w:rPr>
          <w:rFonts w:eastAsia="標楷體"/>
          <w:bCs/>
          <w:sz w:val="28"/>
          <w:szCs w:val="28"/>
        </w:rPr>
        <w:lastRenderedPageBreak/>
        <w:t>灣國家風景區）。</w:t>
      </w:r>
    </w:p>
    <w:p w:rsidR="002A7DC0" w:rsidRPr="00D55DC6" w:rsidRDefault="002A7DC0" w:rsidP="0038165F">
      <w:pPr>
        <w:pStyle w:val="af2"/>
        <w:snapToGrid w:val="0"/>
        <w:spacing w:line="460" w:lineRule="exact"/>
        <w:ind w:leftChars="605" w:left="2267" w:hangingChars="291" w:hanging="815"/>
        <w:jc w:val="both"/>
        <w:rPr>
          <w:rFonts w:eastAsia="標楷體"/>
          <w:bCs/>
          <w:sz w:val="28"/>
          <w:szCs w:val="28"/>
        </w:rPr>
      </w:pPr>
      <w:r w:rsidRPr="00D55DC6">
        <w:rPr>
          <w:rFonts w:eastAsia="標楷體"/>
          <w:bCs/>
          <w:sz w:val="28"/>
          <w:szCs w:val="28"/>
        </w:rPr>
        <w:t>2-2-10.</w:t>
      </w:r>
      <w:r w:rsidR="00B96093" w:rsidRPr="00D55DC6">
        <w:rPr>
          <w:rFonts w:eastAsia="標楷體"/>
          <w:bCs/>
          <w:sz w:val="28"/>
          <w:szCs w:val="28"/>
        </w:rPr>
        <w:t>完成</w:t>
      </w:r>
      <w:r w:rsidR="00B96093" w:rsidRPr="00D55DC6">
        <w:rPr>
          <w:rFonts w:eastAsia="標楷體"/>
          <w:b/>
          <w:bCs/>
          <w:sz w:val="28"/>
          <w:szCs w:val="28"/>
        </w:rPr>
        <w:t>石梯</w:t>
      </w:r>
      <w:r w:rsidR="00B96093" w:rsidRPr="00D55DC6">
        <w:rPr>
          <w:rFonts w:eastAsia="標楷體"/>
          <w:b/>
          <w:bCs/>
          <w:sz w:val="28"/>
          <w:szCs w:val="28"/>
        </w:rPr>
        <w:t>/</w:t>
      </w:r>
      <w:r w:rsidR="00B96093" w:rsidRPr="00D55DC6">
        <w:rPr>
          <w:rFonts w:eastAsia="標楷體"/>
          <w:b/>
          <w:bCs/>
          <w:sz w:val="28"/>
          <w:szCs w:val="28"/>
        </w:rPr>
        <w:t>秀姑巒系統</w:t>
      </w:r>
      <w:r w:rsidRPr="00D55DC6">
        <w:rPr>
          <w:rFonts w:eastAsia="標楷體"/>
          <w:bCs/>
          <w:sz w:val="28"/>
          <w:szCs w:val="28"/>
        </w:rPr>
        <w:t>（</w:t>
      </w:r>
      <w:r w:rsidR="000841FD" w:rsidRPr="00D55DC6">
        <w:rPr>
          <w:rFonts w:eastAsia="標楷體"/>
          <w:bCs/>
          <w:sz w:val="28"/>
          <w:szCs w:val="28"/>
        </w:rPr>
        <w:t>八仙洞及奚卜蘭遊憩區周邊</w:t>
      </w:r>
      <w:r w:rsidRPr="00D55DC6">
        <w:rPr>
          <w:rFonts w:eastAsia="標楷體"/>
          <w:bCs/>
          <w:sz w:val="28"/>
          <w:szCs w:val="28"/>
        </w:rPr>
        <w:t>）環境改善（東部海岸國家風景區）</w:t>
      </w:r>
    </w:p>
    <w:p w:rsidR="00BE1115" w:rsidRPr="00D55DC6" w:rsidRDefault="002A7DC0" w:rsidP="0038165F">
      <w:pPr>
        <w:pStyle w:val="af2"/>
        <w:snapToGrid w:val="0"/>
        <w:spacing w:line="460" w:lineRule="exact"/>
        <w:ind w:leftChars="605" w:left="2267" w:hangingChars="291" w:hanging="815"/>
        <w:jc w:val="both"/>
        <w:rPr>
          <w:rFonts w:eastAsia="標楷體"/>
          <w:bCs/>
          <w:sz w:val="28"/>
          <w:szCs w:val="28"/>
        </w:rPr>
      </w:pPr>
      <w:r w:rsidRPr="00D55DC6">
        <w:rPr>
          <w:rFonts w:eastAsia="標楷體"/>
          <w:bCs/>
          <w:sz w:val="28"/>
          <w:szCs w:val="28"/>
        </w:rPr>
        <w:t>2-2-11.</w:t>
      </w:r>
      <w:r w:rsidR="00BE1115" w:rsidRPr="00D55DC6">
        <w:rPr>
          <w:rFonts w:eastAsia="標楷體"/>
          <w:bCs/>
          <w:sz w:val="28"/>
          <w:szCs w:val="28"/>
        </w:rPr>
        <w:t>建構</w:t>
      </w:r>
      <w:r w:rsidR="00BE1115" w:rsidRPr="00D55DC6">
        <w:rPr>
          <w:rFonts w:eastAsia="標楷體"/>
          <w:b/>
          <w:bCs/>
          <w:sz w:val="28"/>
          <w:szCs w:val="28"/>
        </w:rPr>
        <w:t>花東優質景觀路廊</w:t>
      </w:r>
      <w:r w:rsidRPr="00D55DC6">
        <w:rPr>
          <w:rFonts w:eastAsia="標楷體"/>
          <w:bCs/>
          <w:sz w:val="28"/>
          <w:szCs w:val="28"/>
        </w:rPr>
        <w:t>（</w:t>
      </w:r>
      <w:r w:rsidR="000B002E" w:rsidRPr="00D55DC6">
        <w:rPr>
          <w:rFonts w:eastAsia="標楷體"/>
          <w:bCs/>
          <w:sz w:val="28"/>
          <w:szCs w:val="28"/>
        </w:rPr>
        <w:t>整修池上、卑南、利吉、鶴岡遊客中心、北回歸線暨周邊設施</w:t>
      </w:r>
      <w:r w:rsidRPr="00D55DC6">
        <w:rPr>
          <w:rFonts w:eastAsia="標楷體"/>
          <w:bCs/>
          <w:sz w:val="28"/>
          <w:szCs w:val="28"/>
        </w:rPr>
        <w:t>）</w:t>
      </w:r>
      <w:r w:rsidR="00BE1115" w:rsidRPr="00D55DC6">
        <w:rPr>
          <w:rFonts w:eastAsia="標楷體"/>
          <w:bCs/>
          <w:sz w:val="28"/>
          <w:szCs w:val="28"/>
        </w:rPr>
        <w:t>，發展深度旅遊環境（花東縱谷國家風景區）。</w:t>
      </w:r>
    </w:p>
    <w:p w:rsidR="002A7DC0" w:rsidRPr="00D55DC6" w:rsidRDefault="002A7DC0" w:rsidP="0038165F">
      <w:pPr>
        <w:pStyle w:val="af2"/>
        <w:snapToGrid w:val="0"/>
        <w:spacing w:line="460" w:lineRule="exact"/>
        <w:ind w:leftChars="605" w:left="2267" w:hangingChars="291" w:hanging="815"/>
        <w:jc w:val="both"/>
        <w:rPr>
          <w:rFonts w:eastAsia="標楷體"/>
          <w:bCs/>
          <w:sz w:val="28"/>
          <w:szCs w:val="28"/>
        </w:rPr>
      </w:pPr>
      <w:r w:rsidRPr="00D55DC6">
        <w:rPr>
          <w:rFonts w:eastAsia="標楷體"/>
          <w:bCs/>
          <w:sz w:val="28"/>
          <w:szCs w:val="28"/>
        </w:rPr>
        <w:t>2-2-12.</w:t>
      </w:r>
      <w:r w:rsidR="00BE1115" w:rsidRPr="00D55DC6">
        <w:rPr>
          <w:rFonts w:eastAsia="標楷體"/>
          <w:bCs/>
          <w:sz w:val="28"/>
          <w:szCs w:val="28"/>
        </w:rPr>
        <w:t>完成</w:t>
      </w:r>
      <w:r w:rsidR="00BE1115" w:rsidRPr="00D55DC6">
        <w:rPr>
          <w:rFonts w:eastAsia="標楷體"/>
          <w:b/>
          <w:bCs/>
          <w:sz w:val="28"/>
          <w:szCs w:val="28"/>
        </w:rPr>
        <w:t>馬公觀光都市及菜園遊憩區</w:t>
      </w:r>
      <w:r w:rsidRPr="00D55DC6">
        <w:rPr>
          <w:rFonts w:eastAsia="標楷體"/>
          <w:bCs/>
          <w:sz w:val="28"/>
          <w:szCs w:val="28"/>
        </w:rPr>
        <w:t>（</w:t>
      </w:r>
      <w:r w:rsidR="00052151" w:rsidRPr="00D55DC6">
        <w:rPr>
          <w:rFonts w:eastAsia="標楷體"/>
          <w:bCs/>
          <w:sz w:val="28"/>
          <w:szCs w:val="28"/>
        </w:rPr>
        <w:t>澎湖遊客中心設施改善、菜園及桶盤遊憩區環境整理</w:t>
      </w:r>
      <w:r w:rsidRPr="00D55DC6">
        <w:rPr>
          <w:rFonts w:eastAsia="標楷體"/>
          <w:bCs/>
          <w:sz w:val="28"/>
          <w:szCs w:val="28"/>
        </w:rPr>
        <w:t>）</w:t>
      </w:r>
      <w:r w:rsidR="00BE1115" w:rsidRPr="00D55DC6">
        <w:rPr>
          <w:rFonts w:eastAsia="標楷體"/>
          <w:bCs/>
          <w:sz w:val="28"/>
          <w:szCs w:val="28"/>
        </w:rPr>
        <w:t>、</w:t>
      </w:r>
      <w:r w:rsidR="00BE1115" w:rsidRPr="00D55DC6">
        <w:rPr>
          <w:rFonts w:eastAsia="標楷體"/>
          <w:b/>
          <w:bCs/>
          <w:sz w:val="28"/>
          <w:szCs w:val="28"/>
        </w:rPr>
        <w:t>白沙遊憩區</w:t>
      </w:r>
      <w:r w:rsidRPr="00D55DC6">
        <w:rPr>
          <w:rFonts w:eastAsia="標楷體"/>
          <w:bCs/>
          <w:sz w:val="28"/>
          <w:szCs w:val="28"/>
        </w:rPr>
        <w:t>（</w:t>
      </w:r>
      <w:r w:rsidR="00052151" w:rsidRPr="00D55DC6">
        <w:rPr>
          <w:rFonts w:eastAsia="標楷體"/>
          <w:bCs/>
          <w:sz w:val="28"/>
          <w:szCs w:val="28"/>
        </w:rPr>
        <w:t>鳥嶼金山殿廟前廣場整建、通梁跨海大橋橋頭公園綠美化</w:t>
      </w:r>
      <w:r w:rsidRPr="00D55DC6">
        <w:rPr>
          <w:rFonts w:eastAsia="標楷體"/>
          <w:bCs/>
          <w:sz w:val="28"/>
          <w:szCs w:val="28"/>
        </w:rPr>
        <w:t>）</w:t>
      </w:r>
      <w:r w:rsidR="00BE1115" w:rsidRPr="00D55DC6">
        <w:rPr>
          <w:rFonts w:eastAsia="標楷體"/>
          <w:bCs/>
          <w:sz w:val="28"/>
          <w:szCs w:val="28"/>
        </w:rPr>
        <w:t>、</w:t>
      </w:r>
      <w:r w:rsidR="00BE1115" w:rsidRPr="00D55DC6">
        <w:rPr>
          <w:rFonts w:eastAsia="標楷體"/>
          <w:b/>
          <w:bCs/>
          <w:sz w:val="28"/>
          <w:szCs w:val="28"/>
        </w:rPr>
        <w:t>望安中社及天臺山遊憩區</w:t>
      </w:r>
      <w:r w:rsidRPr="00D55DC6">
        <w:rPr>
          <w:rFonts w:eastAsia="標楷體"/>
          <w:bCs/>
          <w:sz w:val="28"/>
          <w:szCs w:val="28"/>
        </w:rPr>
        <w:t>（</w:t>
      </w:r>
      <w:r w:rsidR="00052151" w:rsidRPr="00D55DC6">
        <w:rPr>
          <w:rFonts w:eastAsia="標楷體"/>
          <w:bCs/>
          <w:sz w:val="28"/>
          <w:szCs w:val="28"/>
        </w:rPr>
        <w:t>望安中社停車場及公廁整建工程、望安天臺山遊憩區、望安鴛鴦窟服務設施、望安網垵口公廁整建、望安綠蠵龜觀光保育中心內裝整修</w:t>
      </w:r>
      <w:r w:rsidRPr="00D55DC6">
        <w:rPr>
          <w:rFonts w:eastAsia="標楷體"/>
          <w:bCs/>
          <w:sz w:val="28"/>
          <w:szCs w:val="28"/>
        </w:rPr>
        <w:t>）</w:t>
      </w:r>
      <w:r w:rsidR="00BE1115" w:rsidRPr="00D55DC6">
        <w:rPr>
          <w:rFonts w:eastAsia="標楷體"/>
          <w:bCs/>
          <w:sz w:val="28"/>
          <w:szCs w:val="28"/>
        </w:rPr>
        <w:t>、</w:t>
      </w:r>
      <w:r w:rsidR="00BE1115" w:rsidRPr="00D55DC6">
        <w:rPr>
          <w:rFonts w:eastAsia="標楷體"/>
          <w:b/>
          <w:bCs/>
          <w:sz w:val="28"/>
          <w:szCs w:val="28"/>
        </w:rPr>
        <w:t>七美南滬港區及愛情園區</w:t>
      </w:r>
      <w:r w:rsidRPr="00D55DC6">
        <w:rPr>
          <w:rFonts w:eastAsia="標楷體"/>
          <w:bCs/>
          <w:sz w:val="28"/>
          <w:szCs w:val="28"/>
        </w:rPr>
        <w:t>（</w:t>
      </w:r>
      <w:r w:rsidR="00052151" w:rsidRPr="00D55DC6">
        <w:rPr>
          <w:rFonts w:eastAsia="標楷體"/>
          <w:bCs/>
          <w:sz w:val="28"/>
          <w:szCs w:val="28"/>
        </w:rPr>
        <w:t>七美雙心石滬動線、七美人塚據點、大獅龍埕風景區</w:t>
      </w:r>
      <w:r w:rsidRPr="00D55DC6">
        <w:rPr>
          <w:rFonts w:eastAsia="標楷體"/>
          <w:bCs/>
          <w:sz w:val="28"/>
          <w:szCs w:val="28"/>
        </w:rPr>
        <w:t>）</w:t>
      </w:r>
      <w:r w:rsidR="00052151" w:rsidRPr="00D55DC6">
        <w:rPr>
          <w:rFonts w:eastAsia="標楷體"/>
          <w:bCs/>
          <w:sz w:val="28"/>
          <w:szCs w:val="28"/>
        </w:rPr>
        <w:t>等設施整建及</w:t>
      </w:r>
      <w:r w:rsidR="00BE1115" w:rsidRPr="00D55DC6">
        <w:rPr>
          <w:rFonts w:eastAsia="標楷體"/>
          <w:bCs/>
          <w:sz w:val="28"/>
          <w:szCs w:val="28"/>
        </w:rPr>
        <w:t>景觀改善（澎湖國家風景區）</w:t>
      </w:r>
      <w:r w:rsidR="00052151" w:rsidRPr="00D55DC6">
        <w:rPr>
          <w:rFonts w:eastAsia="標楷體"/>
          <w:bCs/>
          <w:sz w:val="28"/>
          <w:szCs w:val="28"/>
        </w:rPr>
        <w:t>。</w:t>
      </w:r>
    </w:p>
    <w:p w:rsidR="00BE1115" w:rsidRPr="00D55DC6" w:rsidRDefault="002A7DC0" w:rsidP="0038165F">
      <w:pPr>
        <w:pStyle w:val="af2"/>
        <w:snapToGrid w:val="0"/>
        <w:spacing w:line="460" w:lineRule="exact"/>
        <w:ind w:leftChars="605" w:left="2267" w:hangingChars="291" w:hanging="815"/>
        <w:jc w:val="both"/>
        <w:rPr>
          <w:rFonts w:eastAsia="標楷體"/>
          <w:bCs/>
          <w:sz w:val="28"/>
          <w:szCs w:val="28"/>
        </w:rPr>
      </w:pPr>
      <w:r w:rsidRPr="00D55DC6">
        <w:rPr>
          <w:rFonts w:eastAsia="標楷體"/>
          <w:bCs/>
          <w:sz w:val="28"/>
          <w:szCs w:val="28"/>
        </w:rPr>
        <w:t>2-2-13.</w:t>
      </w:r>
      <w:r w:rsidR="00206C21" w:rsidRPr="00D55DC6">
        <w:rPr>
          <w:rFonts w:eastAsia="標楷體"/>
          <w:bCs/>
          <w:sz w:val="28"/>
          <w:szCs w:val="28"/>
        </w:rPr>
        <w:t>完成</w:t>
      </w:r>
      <w:r w:rsidR="00BE1115" w:rsidRPr="00D55DC6">
        <w:rPr>
          <w:rFonts w:eastAsia="標楷體"/>
          <w:bCs/>
          <w:sz w:val="28"/>
          <w:szCs w:val="28"/>
        </w:rPr>
        <w:t>馬祖</w:t>
      </w:r>
      <w:r w:rsidR="00BE1115" w:rsidRPr="00D55DC6">
        <w:rPr>
          <w:rFonts w:eastAsia="標楷體"/>
          <w:b/>
          <w:bCs/>
          <w:sz w:val="28"/>
          <w:szCs w:val="28"/>
        </w:rPr>
        <w:t>南竿系統</w:t>
      </w:r>
      <w:r w:rsidRPr="00D55DC6">
        <w:rPr>
          <w:rFonts w:eastAsia="標楷體"/>
          <w:bCs/>
          <w:sz w:val="28"/>
          <w:szCs w:val="28"/>
        </w:rPr>
        <w:t>（</w:t>
      </w:r>
      <w:r w:rsidR="00206C21" w:rsidRPr="00D55DC6">
        <w:rPr>
          <w:rFonts w:eastAsia="標楷體"/>
          <w:bCs/>
          <w:sz w:val="28"/>
          <w:szCs w:val="28"/>
        </w:rPr>
        <w:t>媽祖宗教園區眺望臺、大北海遊憩區整體環境、南竿遊客中心簡報及展覽設施</w:t>
      </w:r>
      <w:r w:rsidRPr="00D55DC6">
        <w:rPr>
          <w:rFonts w:eastAsia="標楷體"/>
          <w:bCs/>
          <w:sz w:val="28"/>
          <w:szCs w:val="28"/>
        </w:rPr>
        <w:t>）</w:t>
      </w:r>
      <w:r w:rsidR="00206C21" w:rsidRPr="00D55DC6">
        <w:rPr>
          <w:rFonts w:eastAsia="標楷體"/>
          <w:bCs/>
          <w:sz w:val="28"/>
          <w:szCs w:val="28"/>
        </w:rPr>
        <w:t>服務設施</w:t>
      </w:r>
      <w:r w:rsidR="00BE1115" w:rsidRPr="00D55DC6">
        <w:rPr>
          <w:rFonts w:eastAsia="標楷體"/>
          <w:bCs/>
          <w:sz w:val="28"/>
          <w:szCs w:val="28"/>
        </w:rPr>
        <w:t>（馬祖國家風景區）。</w:t>
      </w:r>
    </w:p>
    <w:p w:rsidR="00052151" w:rsidRPr="00D55DC6" w:rsidRDefault="00052151" w:rsidP="0038165F">
      <w:pPr>
        <w:pStyle w:val="af2"/>
        <w:snapToGrid w:val="0"/>
        <w:spacing w:line="460" w:lineRule="exact"/>
        <w:ind w:leftChars="605" w:left="2167" w:hangingChars="255" w:hanging="715"/>
        <w:jc w:val="both"/>
        <w:rPr>
          <w:rFonts w:eastAsia="標楷體"/>
          <w:b/>
          <w:bCs/>
          <w:sz w:val="28"/>
          <w:szCs w:val="28"/>
        </w:rPr>
      </w:pPr>
    </w:p>
    <w:p w:rsidR="009C725A" w:rsidRPr="00D55DC6" w:rsidRDefault="004C3796" w:rsidP="0038165F">
      <w:pPr>
        <w:snapToGrid w:val="0"/>
        <w:spacing w:line="460" w:lineRule="exact"/>
        <w:ind w:firstLineChars="303" w:firstLine="849"/>
        <w:jc w:val="both"/>
        <w:rPr>
          <w:rFonts w:eastAsia="標楷體"/>
          <w:b/>
          <w:sz w:val="28"/>
          <w:szCs w:val="28"/>
        </w:rPr>
      </w:pPr>
      <w:r w:rsidRPr="00D55DC6">
        <w:rPr>
          <w:rFonts w:eastAsia="標楷體"/>
          <w:b/>
          <w:sz w:val="28"/>
          <w:szCs w:val="28"/>
        </w:rPr>
        <w:t>2-3.</w:t>
      </w:r>
      <w:r w:rsidR="009C725A" w:rsidRPr="00D55DC6">
        <w:rPr>
          <w:rFonts w:eastAsia="標楷體"/>
          <w:b/>
          <w:sz w:val="28"/>
          <w:szCs w:val="28"/>
        </w:rPr>
        <w:t>地方觀光重要景點建設</w:t>
      </w:r>
    </w:p>
    <w:p w:rsidR="0027085D" w:rsidRPr="00D55DC6" w:rsidRDefault="0027085D" w:rsidP="0038165F">
      <w:pPr>
        <w:pStyle w:val="af2"/>
        <w:snapToGrid w:val="0"/>
        <w:spacing w:line="460" w:lineRule="exact"/>
        <w:ind w:leftChars="605" w:left="2166" w:hangingChars="255" w:hanging="714"/>
        <w:jc w:val="both"/>
        <w:rPr>
          <w:rFonts w:eastAsia="標楷體"/>
          <w:bCs/>
          <w:sz w:val="28"/>
          <w:szCs w:val="28"/>
        </w:rPr>
      </w:pPr>
      <w:r w:rsidRPr="00D55DC6">
        <w:rPr>
          <w:rFonts w:eastAsia="標楷體"/>
          <w:bCs/>
          <w:sz w:val="28"/>
          <w:szCs w:val="28"/>
        </w:rPr>
        <w:t>2-3-1.</w:t>
      </w:r>
      <w:r w:rsidRPr="00D55DC6">
        <w:rPr>
          <w:rFonts w:eastAsia="標楷體"/>
          <w:bCs/>
          <w:sz w:val="28"/>
          <w:szCs w:val="28"/>
        </w:rPr>
        <w:tab/>
      </w:r>
      <w:r w:rsidRPr="00D55DC6">
        <w:rPr>
          <w:rFonts w:eastAsia="標楷體"/>
          <w:bCs/>
          <w:sz w:val="28"/>
          <w:szCs w:val="28"/>
        </w:rPr>
        <w:t>完成</w:t>
      </w:r>
      <w:r w:rsidR="00987BD2" w:rsidRPr="00D55DC6">
        <w:rPr>
          <w:rFonts w:eastAsia="標楷體"/>
          <w:b/>
          <w:bCs/>
          <w:sz w:val="28"/>
          <w:szCs w:val="28"/>
        </w:rPr>
        <w:t>鹽寮海濱公園設施、大溪海堤步道串聯等旅遊線環境美化</w:t>
      </w:r>
      <w:r w:rsidRPr="00D55DC6">
        <w:rPr>
          <w:rFonts w:eastAsia="標楷體"/>
          <w:bCs/>
          <w:sz w:val="28"/>
          <w:szCs w:val="28"/>
        </w:rPr>
        <w:t>（東北角暨宜蘭海岸國家風景</w:t>
      </w:r>
      <w:r w:rsidR="00020348" w:rsidRPr="00D55DC6">
        <w:rPr>
          <w:rFonts w:eastAsia="標楷體"/>
          <w:bCs/>
          <w:sz w:val="28"/>
          <w:szCs w:val="28"/>
        </w:rPr>
        <w:t>區</w:t>
      </w:r>
      <w:r w:rsidRPr="00D55DC6">
        <w:rPr>
          <w:rFonts w:eastAsia="標楷體"/>
          <w:bCs/>
          <w:sz w:val="28"/>
          <w:szCs w:val="28"/>
        </w:rPr>
        <w:t>）。</w:t>
      </w:r>
    </w:p>
    <w:p w:rsidR="0027085D" w:rsidRPr="00D55DC6" w:rsidRDefault="0027085D" w:rsidP="0038165F">
      <w:pPr>
        <w:pStyle w:val="af2"/>
        <w:snapToGrid w:val="0"/>
        <w:spacing w:line="460" w:lineRule="exact"/>
        <w:ind w:leftChars="605" w:left="2166" w:hangingChars="255" w:hanging="714"/>
        <w:jc w:val="both"/>
        <w:rPr>
          <w:rFonts w:eastAsia="標楷體"/>
          <w:bCs/>
          <w:sz w:val="28"/>
          <w:szCs w:val="28"/>
        </w:rPr>
      </w:pPr>
      <w:r w:rsidRPr="00D55DC6">
        <w:rPr>
          <w:rFonts w:eastAsia="標楷體"/>
          <w:bCs/>
          <w:sz w:val="28"/>
          <w:szCs w:val="28"/>
        </w:rPr>
        <w:t>2-3-2.</w:t>
      </w:r>
      <w:r w:rsidR="00020348" w:rsidRPr="00D55DC6">
        <w:rPr>
          <w:rFonts w:eastAsia="標楷體"/>
          <w:bCs/>
          <w:sz w:val="28"/>
          <w:szCs w:val="28"/>
        </w:rPr>
        <w:t>完成</w:t>
      </w:r>
      <w:r w:rsidR="00020348" w:rsidRPr="00D55DC6">
        <w:rPr>
          <w:rFonts w:eastAsia="標楷體"/>
          <w:b/>
          <w:bCs/>
          <w:sz w:val="28"/>
          <w:szCs w:val="28"/>
        </w:rPr>
        <w:t>北海岸</w:t>
      </w:r>
      <w:r w:rsidRPr="00D55DC6">
        <w:rPr>
          <w:rFonts w:eastAsia="標楷體"/>
          <w:b/>
          <w:bCs/>
          <w:sz w:val="28"/>
          <w:szCs w:val="28"/>
        </w:rPr>
        <w:t>自行車道系統</w:t>
      </w:r>
      <w:r w:rsidR="00020348" w:rsidRPr="00D55DC6">
        <w:rPr>
          <w:rFonts w:eastAsia="標楷體"/>
          <w:b/>
          <w:bCs/>
          <w:sz w:val="28"/>
          <w:szCs w:val="28"/>
        </w:rPr>
        <w:t>（</w:t>
      </w:r>
      <w:r w:rsidR="00020348" w:rsidRPr="00D55DC6">
        <w:rPr>
          <w:rFonts w:eastAsia="標楷體"/>
          <w:bCs/>
          <w:sz w:val="28"/>
          <w:szCs w:val="28"/>
        </w:rPr>
        <w:t>金山萬里、白沙灣麟山鼻、三芝石門）</w:t>
      </w:r>
      <w:r w:rsidR="00020348" w:rsidRPr="00D55DC6">
        <w:rPr>
          <w:rFonts w:eastAsia="標楷體"/>
          <w:b/>
          <w:bCs/>
          <w:sz w:val="28"/>
          <w:szCs w:val="28"/>
        </w:rPr>
        <w:t>、龜吼地區及</w:t>
      </w:r>
      <w:r w:rsidRPr="00D55DC6">
        <w:rPr>
          <w:rFonts w:eastAsia="標楷體"/>
          <w:b/>
          <w:bCs/>
          <w:sz w:val="28"/>
          <w:szCs w:val="28"/>
        </w:rPr>
        <w:t>臺</w:t>
      </w:r>
      <w:r w:rsidRPr="00D55DC6">
        <w:rPr>
          <w:rFonts w:eastAsia="標楷體"/>
          <w:b/>
          <w:bCs/>
          <w:sz w:val="28"/>
          <w:szCs w:val="28"/>
        </w:rPr>
        <w:t>2</w:t>
      </w:r>
      <w:r w:rsidRPr="00D55DC6">
        <w:rPr>
          <w:rFonts w:eastAsia="標楷體"/>
          <w:b/>
          <w:bCs/>
          <w:sz w:val="28"/>
          <w:szCs w:val="28"/>
        </w:rPr>
        <w:t>線路廊景觀改善</w:t>
      </w:r>
      <w:r w:rsidR="00020348" w:rsidRPr="00D55DC6">
        <w:rPr>
          <w:rFonts w:eastAsia="標楷體"/>
          <w:bCs/>
          <w:sz w:val="28"/>
          <w:szCs w:val="28"/>
        </w:rPr>
        <w:t>（北海岸及觀音山國家風景區）</w:t>
      </w:r>
      <w:r w:rsidRPr="00D55DC6">
        <w:rPr>
          <w:rFonts w:eastAsia="標楷體"/>
          <w:bCs/>
          <w:sz w:val="28"/>
          <w:szCs w:val="28"/>
        </w:rPr>
        <w:t>。</w:t>
      </w:r>
    </w:p>
    <w:p w:rsidR="0027085D" w:rsidRPr="00D55DC6" w:rsidRDefault="0027085D" w:rsidP="0038165F">
      <w:pPr>
        <w:pStyle w:val="af2"/>
        <w:snapToGrid w:val="0"/>
        <w:spacing w:line="460" w:lineRule="exact"/>
        <w:ind w:leftChars="605" w:left="2166" w:hangingChars="255" w:hanging="714"/>
        <w:jc w:val="both"/>
        <w:rPr>
          <w:rFonts w:eastAsia="標楷體"/>
          <w:bCs/>
          <w:sz w:val="28"/>
          <w:szCs w:val="28"/>
        </w:rPr>
      </w:pPr>
      <w:r w:rsidRPr="00D55DC6">
        <w:rPr>
          <w:rFonts w:eastAsia="標楷體"/>
          <w:bCs/>
          <w:sz w:val="28"/>
          <w:szCs w:val="28"/>
        </w:rPr>
        <w:t>2-3-3.</w:t>
      </w:r>
      <w:r w:rsidR="00020348" w:rsidRPr="00D55DC6">
        <w:rPr>
          <w:rFonts w:eastAsia="標楷體"/>
          <w:bCs/>
          <w:sz w:val="28"/>
          <w:szCs w:val="28"/>
        </w:rPr>
        <w:t>辦理</w:t>
      </w:r>
      <w:r w:rsidR="00020348" w:rsidRPr="00D55DC6">
        <w:rPr>
          <w:rFonts w:eastAsia="標楷體"/>
          <w:b/>
          <w:bCs/>
          <w:sz w:val="28"/>
          <w:szCs w:val="28"/>
        </w:rPr>
        <w:t>地利遊客中心</w:t>
      </w:r>
      <w:r w:rsidR="00020348" w:rsidRPr="00D55DC6">
        <w:rPr>
          <w:rFonts w:eastAsia="標楷體"/>
          <w:bCs/>
          <w:sz w:val="28"/>
          <w:szCs w:val="28"/>
        </w:rPr>
        <w:t>等濁水溪遊憩系統景觀改善</w:t>
      </w:r>
      <w:r w:rsidRPr="00D55DC6">
        <w:rPr>
          <w:rFonts w:eastAsia="標楷體"/>
          <w:bCs/>
          <w:sz w:val="28"/>
          <w:szCs w:val="28"/>
        </w:rPr>
        <w:t>（日月潭國家風景區）。</w:t>
      </w:r>
    </w:p>
    <w:p w:rsidR="0027085D" w:rsidRPr="00D55DC6" w:rsidRDefault="0027085D" w:rsidP="0038165F">
      <w:pPr>
        <w:pStyle w:val="af2"/>
        <w:snapToGrid w:val="0"/>
        <w:spacing w:line="460" w:lineRule="exact"/>
        <w:ind w:leftChars="605" w:left="2166" w:hangingChars="255" w:hanging="714"/>
        <w:jc w:val="both"/>
        <w:rPr>
          <w:rFonts w:eastAsia="標楷體"/>
          <w:bCs/>
          <w:sz w:val="28"/>
          <w:szCs w:val="28"/>
        </w:rPr>
      </w:pPr>
      <w:r w:rsidRPr="00D55DC6">
        <w:rPr>
          <w:rFonts w:eastAsia="標楷體"/>
          <w:bCs/>
          <w:sz w:val="28"/>
          <w:szCs w:val="28"/>
        </w:rPr>
        <w:t>2-3-</w:t>
      </w:r>
      <w:r w:rsidR="00020348" w:rsidRPr="00D55DC6">
        <w:rPr>
          <w:rFonts w:eastAsia="標楷體"/>
          <w:bCs/>
          <w:sz w:val="28"/>
          <w:szCs w:val="28"/>
        </w:rPr>
        <w:t>4</w:t>
      </w:r>
      <w:r w:rsidRPr="00D55DC6">
        <w:rPr>
          <w:rFonts w:eastAsia="標楷體"/>
          <w:bCs/>
          <w:sz w:val="28"/>
          <w:szCs w:val="28"/>
        </w:rPr>
        <w:t>.</w:t>
      </w:r>
      <w:r w:rsidR="00753973" w:rsidRPr="00D55DC6">
        <w:rPr>
          <w:rFonts w:eastAsia="標楷體"/>
          <w:bCs/>
          <w:sz w:val="28"/>
          <w:szCs w:val="28"/>
        </w:rPr>
        <w:t>完成</w:t>
      </w:r>
      <w:r w:rsidR="00020348" w:rsidRPr="00D55DC6">
        <w:rPr>
          <w:rFonts w:eastAsia="標楷體"/>
          <w:b/>
          <w:bCs/>
          <w:sz w:val="28"/>
          <w:szCs w:val="28"/>
        </w:rPr>
        <w:t>梨山遊憩區</w:t>
      </w:r>
      <w:r w:rsidR="00753973" w:rsidRPr="00D55DC6">
        <w:rPr>
          <w:rFonts w:eastAsia="標楷體"/>
          <w:bCs/>
          <w:sz w:val="28"/>
          <w:szCs w:val="28"/>
        </w:rPr>
        <w:t>四季賞花園區</w:t>
      </w:r>
      <w:r w:rsidR="00753973" w:rsidRPr="00D55DC6">
        <w:rPr>
          <w:rFonts w:eastAsia="標楷體"/>
          <w:bCs/>
          <w:sz w:val="28"/>
          <w:szCs w:val="28"/>
        </w:rPr>
        <w:t>(</w:t>
      </w:r>
      <w:r w:rsidR="00753973" w:rsidRPr="00D55DC6">
        <w:rPr>
          <w:rFonts w:eastAsia="標楷體"/>
          <w:bCs/>
          <w:sz w:val="28"/>
          <w:szCs w:val="28"/>
        </w:rPr>
        <w:t>楓之谷</w:t>
      </w:r>
      <w:r w:rsidR="00753973" w:rsidRPr="00D55DC6">
        <w:rPr>
          <w:rFonts w:eastAsia="標楷體"/>
          <w:bCs/>
          <w:sz w:val="28"/>
          <w:szCs w:val="28"/>
        </w:rPr>
        <w:t>-1956</w:t>
      </w:r>
      <w:r w:rsidR="00753973" w:rsidRPr="00D55DC6">
        <w:rPr>
          <w:rFonts w:eastAsia="標楷體"/>
          <w:bCs/>
          <w:sz w:val="28"/>
          <w:szCs w:val="28"/>
        </w:rPr>
        <w:t>祕密花園</w:t>
      </w:r>
      <w:r w:rsidR="00753973" w:rsidRPr="00D55DC6">
        <w:rPr>
          <w:rFonts w:eastAsia="標楷體"/>
          <w:bCs/>
          <w:sz w:val="28"/>
          <w:szCs w:val="28"/>
        </w:rPr>
        <w:t>)</w:t>
      </w:r>
      <w:r w:rsidR="00753973" w:rsidRPr="00D55DC6">
        <w:rPr>
          <w:rFonts w:eastAsia="標楷體"/>
          <w:bCs/>
          <w:sz w:val="28"/>
          <w:szCs w:val="28"/>
        </w:rPr>
        <w:t>整體景觀改善、福壽山農場旁櫻花步道、梨山遊客中心、梨山文物陳列館廣場及周邊環境、梨山賓館基礎設施改</w:t>
      </w:r>
      <w:r w:rsidR="00753973" w:rsidRPr="00D55DC6">
        <w:rPr>
          <w:rFonts w:eastAsia="標楷體"/>
          <w:bCs/>
          <w:sz w:val="28"/>
          <w:szCs w:val="28"/>
        </w:rPr>
        <w:lastRenderedPageBreak/>
        <w:t>善</w:t>
      </w:r>
      <w:r w:rsidR="00020348" w:rsidRPr="00D55DC6">
        <w:rPr>
          <w:rFonts w:eastAsia="標楷體"/>
          <w:bCs/>
          <w:sz w:val="28"/>
          <w:szCs w:val="28"/>
        </w:rPr>
        <w:t>、</w:t>
      </w:r>
      <w:r w:rsidR="00753973" w:rsidRPr="00D55DC6">
        <w:rPr>
          <w:rFonts w:eastAsia="標楷體"/>
          <w:b/>
          <w:bCs/>
          <w:sz w:val="28"/>
          <w:szCs w:val="28"/>
        </w:rPr>
        <w:t>百果山遊憩區</w:t>
      </w:r>
      <w:r w:rsidR="00753973" w:rsidRPr="00D55DC6">
        <w:rPr>
          <w:rFonts w:eastAsia="標楷體"/>
          <w:bCs/>
          <w:sz w:val="28"/>
          <w:szCs w:val="28"/>
        </w:rPr>
        <w:t>周邊環境</w:t>
      </w:r>
      <w:r w:rsidR="00020348" w:rsidRPr="00D55DC6">
        <w:rPr>
          <w:rFonts w:eastAsia="標楷體"/>
          <w:bCs/>
          <w:sz w:val="28"/>
          <w:szCs w:val="28"/>
        </w:rPr>
        <w:t>環境改善</w:t>
      </w:r>
      <w:r w:rsidRPr="00D55DC6">
        <w:rPr>
          <w:rFonts w:eastAsia="標楷體"/>
          <w:bCs/>
          <w:sz w:val="28"/>
          <w:szCs w:val="28"/>
        </w:rPr>
        <w:t>（</w:t>
      </w:r>
      <w:r w:rsidR="00020348" w:rsidRPr="00D55DC6">
        <w:rPr>
          <w:rFonts w:eastAsia="標楷體"/>
          <w:bCs/>
          <w:sz w:val="28"/>
          <w:szCs w:val="28"/>
        </w:rPr>
        <w:t>參山</w:t>
      </w:r>
      <w:r w:rsidRPr="00D55DC6">
        <w:rPr>
          <w:rFonts w:eastAsia="標楷體"/>
          <w:bCs/>
          <w:sz w:val="28"/>
          <w:szCs w:val="28"/>
        </w:rPr>
        <w:t>國家風景區）。</w:t>
      </w:r>
    </w:p>
    <w:p w:rsidR="00020348" w:rsidRPr="00D55DC6" w:rsidRDefault="00020348" w:rsidP="0038165F">
      <w:pPr>
        <w:pStyle w:val="af2"/>
        <w:snapToGrid w:val="0"/>
        <w:spacing w:line="460" w:lineRule="exact"/>
        <w:ind w:leftChars="605" w:left="2166" w:hangingChars="255" w:hanging="714"/>
        <w:jc w:val="both"/>
        <w:rPr>
          <w:rFonts w:eastAsia="標楷體"/>
          <w:bCs/>
          <w:sz w:val="28"/>
          <w:szCs w:val="28"/>
        </w:rPr>
      </w:pPr>
      <w:r w:rsidRPr="00D55DC6">
        <w:rPr>
          <w:rFonts w:eastAsia="標楷體"/>
          <w:bCs/>
          <w:sz w:val="28"/>
          <w:szCs w:val="28"/>
        </w:rPr>
        <w:t>2-3-5.</w:t>
      </w:r>
      <w:r w:rsidR="00753973" w:rsidRPr="00D55DC6">
        <w:rPr>
          <w:rFonts w:eastAsia="標楷體"/>
          <w:bCs/>
          <w:sz w:val="28"/>
          <w:szCs w:val="28"/>
        </w:rPr>
        <w:t>完成</w:t>
      </w:r>
      <w:r w:rsidRPr="00D55DC6">
        <w:rPr>
          <w:rFonts w:eastAsia="標楷體"/>
          <w:b/>
          <w:bCs/>
          <w:sz w:val="28"/>
          <w:szCs w:val="28"/>
        </w:rPr>
        <w:t>光華</w:t>
      </w:r>
      <w:r w:rsidR="00753973" w:rsidRPr="00D55DC6">
        <w:rPr>
          <w:rFonts w:eastAsia="標楷體"/>
          <w:b/>
          <w:bCs/>
          <w:sz w:val="28"/>
          <w:szCs w:val="28"/>
        </w:rPr>
        <w:t>頂笨仔及驛馬溪</w:t>
      </w:r>
      <w:r w:rsidR="00753973" w:rsidRPr="00D55DC6">
        <w:rPr>
          <w:rFonts w:eastAsia="標楷體"/>
          <w:bCs/>
          <w:sz w:val="28"/>
          <w:szCs w:val="28"/>
        </w:rPr>
        <w:t>等</w:t>
      </w:r>
      <w:r w:rsidRPr="00D55DC6">
        <w:rPr>
          <w:rFonts w:eastAsia="標楷體"/>
          <w:bCs/>
          <w:sz w:val="28"/>
          <w:szCs w:val="28"/>
        </w:rPr>
        <w:t>遊憩設施及景觀改善（阿里山國家風景區）。</w:t>
      </w:r>
    </w:p>
    <w:p w:rsidR="0027085D" w:rsidRPr="00D55DC6" w:rsidRDefault="0027085D" w:rsidP="0038165F">
      <w:pPr>
        <w:pStyle w:val="af2"/>
        <w:snapToGrid w:val="0"/>
        <w:spacing w:line="460" w:lineRule="exact"/>
        <w:ind w:leftChars="605" w:left="2166" w:hangingChars="255" w:hanging="714"/>
        <w:jc w:val="both"/>
        <w:rPr>
          <w:rFonts w:eastAsia="標楷體"/>
          <w:bCs/>
          <w:sz w:val="28"/>
          <w:szCs w:val="28"/>
        </w:rPr>
      </w:pPr>
      <w:r w:rsidRPr="00D55DC6">
        <w:rPr>
          <w:rFonts w:eastAsia="標楷體"/>
          <w:bCs/>
          <w:sz w:val="28"/>
          <w:szCs w:val="28"/>
        </w:rPr>
        <w:t>2-3-6.</w:t>
      </w:r>
      <w:r w:rsidR="0096155E" w:rsidRPr="00D55DC6">
        <w:rPr>
          <w:rFonts w:eastAsia="標楷體"/>
          <w:bCs/>
          <w:sz w:val="28"/>
          <w:szCs w:val="28"/>
        </w:rPr>
        <w:t>完成</w:t>
      </w:r>
      <w:r w:rsidR="0096155E" w:rsidRPr="00D55DC6">
        <w:rPr>
          <w:rFonts w:eastAsia="標楷體"/>
          <w:b/>
          <w:bCs/>
          <w:sz w:val="28"/>
          <w:szCs w:val="28"/>
        </w:rPr>
        <w:t>雲嘉南</w:t>
      </w:r>
      <w:r w:rsidR="00020348" w:rsidRPr="00D55DC6">
        <w:rPr>
          <w:rFonts w:eastAsia="標楷體"/>
          <w:b/>
          <w:bCs/>
          <w:sz w:val="28"/>
          <w:szCs w:val="28"/>
        </w:rPr>
        <w:t>各遊憩次系統</w:t>
      </w:r>
      <w:r w:rsidR="00020348" w:rsidRPr="00D55DC6">
        <w:rPr>
          <w:rFonts w:eastAsia="標楷體"/>
          <w:bCs/>
          <w:sz w:val="28"/>
          <w:szCs w:val="28"/>
        </w:rPr>
        <w:t>綠美化、遊憩設施</w:t>
      </w:r>
      <w:r w:rsidR="0096155E" w:rsidRPr="00D55DC6">
        <w:rPr>
          <w:rFonts w:eastAsia="標楷體"/>
          <w:bCs/>
          <w:sz w:val="28"/>
          <w:szCs w:val="28"/>
        </w:rPr>
        <w:t>景觀</w:t>
      </w:r>
      <w:r w:rsidR="00020348" w:rsidRPr="00D55DC6">
        <w:rPr>
          <w:rFonts w:eastAsia="標楷體"/>
          <w:bCs/>
          <w:sz w:val="28"/>
          <w:szCs w:val="28"/>
        </w:rPr>
        <w:t>改善</w:t>
      </w:r>
      <w:r w:rsidRPr="00D55DC6">
        <w:rPr>
          <w:rFonts w:eastAsia="標楷體"/>
          <w:bCs/>
          <w:sz w:val="28"/>
          <w:szCs w:val="28"/>
        </w:rPr>
        <w:t>（雲嘉南濱海國家風景區）。</w:t>
      </w:r>
    </w:p>
    <w:p w:rsidR="0027085D" w:rsidRPr="00D55DC6" w:rsidRDefault="0027085D" w:rsidP="0038165F">
      <w:pPr>
        <w:pStyle w:val="af2"/>
        <w:snapToGrid w:val="0"/>
        <w:spacing w:line="460" w:lineRule="exact"/>
        <w:ind w:leftChars="605" w:left="2166" w:hangingChars="255" w:hanging="714"/>
        <w:jc w:val="both"/>
        <w:rPr>
          <w:rFonts w:eastAsia="標楷體"/>
          <w:bCs/>
          <w:sz w:val="28"/>
          <w:szCs w:val="28"/>
        </w:rPr>
      </w:pPr>
      <w:r w:rsidRPr="00D55DC6">
        <w:rPr>
          <w:rFonts w:eastAsia="標楷體"/>
          <w:bCs/>
          <w:sz w:val="28"/>
          <w:szCs w:val="28"/>
        </w:rPr>
        <w:t>2-3-7.</w:t>
      </w:r>
      <w:r w:rsidRPr="00D55DC6">
        <w:rPr>
          <w:rFonts w:eastAsia="標楷體"/>
          <w:bCs/>
          <w:sz w:val="28"/>
          <w:szCs w:val="28"/>
        </w:rPr>
        <w:t>完成</w:t>
      </w:r>
      <w:r w:rsidR="00020348" w:rsidRPr="00D55DC6">
        <w:rPr>
          <w:rFonts w:eastAsia="標楷體"/>
          <w:b/>
          <w:bCs/>
          <w:sz w:val="28"/>
          <w:szCs w:val="28"/>
        </w:rPr>
        <w:t>文化藝術體驗區</w:t>
      </w:r>
      <w:r w:rsidR="0096155E" w:rsidRPr="00D55DC6">
        <w:rPr>
          <w:rFonts w:eastAsia="標楷體"/>
          <w:bCs/>
          <w:sz w:val="28"/>
          <w:szCs w:val="28"/>
        </w:rPr>
        <w:t>（曾文管理站、白馬亭）</w:t>
      </w:r>
      <w:r w:rsidR="00020348" w:rsidRPr="00D55DC6">
        <w:rPr>
          <w:rFonts w:eastAsia="標楷體"/>
          <w:bCs/>
          <w:sz w:val="28"/>
          <w:szCs w:val="28"/>
        </w:rPr>
        <w:t>及</w:t>
      </w:r>
      <w:r w:rsidR="00020348" w:rsidRPr="00D55DC6">
        <w:rPr>
          <w:rFonts w:eastAsia="標楷體"/>
          <w:b/>
          <w:bCs/>
          <w:sz w:val="28"/>
          <w:szCs w:val="28"/>
        </w:rPr>
        <w:t>生態棲地體驗區</w:t>
      </w:r>
      <w:r w:rsidR="0096155E" w:rsidRPr="00D55DC6">
        <w:rPr>
          <w:rFonts w:eastAsia="標楷體"/>
          <w:bCs/>
          <w:sz w:val="28"/>
          <w:szCs w:val="28"/>
        </w:rPr>
        <w:t>（臺</w:t>
      </w:r>
      <w:r w:rsidR="0096155E" w:rsidRPr="00D55DC6">
        <w:rPr>
          <w:rFonts w:eastAsia="標楷體"/>
          <w:bCs/>
          <w:sz w:val="28"/>
          <w:szCs w:val="28"/>
        </w:rPr>
        <w:t>3</w:t>
      </w:r>
      <w:r w:rsidR="0096155E" w:rsidRPr="00D55DC6">
        <w:rPr>
          <w:rFonts w:eastAsia="標楷體"/>
          <w:bCs/>
          <w:sz w:val="28"/>
          <w:szCs w:val="28"/>
        </w:rPr>
        <w:t>線</w:t>
      </w:r>
      <w:r w:rsidR="00EF3EA0" w:rsidRPr="00D55DC6">
        <w:rPr>
          <w:rFonts w:eastAsia="標楷體"/>
          <w:bCs/>
          <w:sz w:val="28"/>
          <w:szCs w:val="28"/>
        </w:rPr>
        <w:t>348K</w:t>
      </w:r>
      <w:r w:rsidR="00EF3EA0" w:rsidRPr="00D55DC6">
        <w:rPr>
          <w:rFonts w:eastAsia="標楷體"/>
          <w:bCs/>
          <w:sz w:val="28"/>
          <w:szCs w:val="28"/>
        </w:rPr>
        <w:t>服務設施、梅嶺老梅區、梅峰古道、伍龍步道</w:t>
      </w:r>
      <w:r w:rsidR="0096155E" w:rsidRPr="00D55DC6">
        <w:rPr>
          <w:rFonts w:eastAsia="標楷體"/>
          <w:bCs/>
          <w:sz w:val="28"/>
          <w:szCs w:val="28"/>
        </w:rPr>
        <w:t>）</w:t>
      </w:r>
      <w:r w:rsidR="00020348" w:rsidRPr="00D55DC6">
        <w:rPr>
          <w:rFonts w:eastAsia="標楷體"/>
          <w:bCs/>
          <w:sz w:val="28"/>
          <w:szCs w:val="28"/>
        </w:rPr>
        <w:t>景觀改善</w:t>
      </w:r>
      <w:r w:rsidRPr="00D55DC6">
        <w:rPr>
          <w:rFonts w:eastAsia="標楷體"/>
          <w:bCs/>
          <w:sz w:val="28"/>
          <w:szCs w:val="28"/>
        </w:rPr>
        <w:t>環境改善（西拉雅國家風景區）。</w:t>
      </w:r>
    </w:p>
    <w:p w:rsidR="0027085D" w:rsidRPr="00D55DC6" w:rsidRDefault="0027085D" w:rsidP="0038165F">
      <w:pPr>
        <w:pStyle w:val="af2"/>
        <w:snapToGrid w:val="0"/>
        <w:spacing w:line="460" w:lineRule="exact"/>
        <w:ind w:leftChars="605" w:left="2166" w:hangingChars="255" w:hanging="714"/>
        <w:jc w:val="both"/>
        <w:rPr>
          <w:rFonts w:eastAsia="標楷體"/>
          <w:bCs/>
          <w:sz w:val="28"/>
          <w:szCs w:val="28"/>
        </w:rPr>
      </w:pPr>
      <w:r w:rsidRPr="00D55DC6">
        <w:rPr>
          <w:rFonts w:eastAsia="標楷體"/>
          <w:bCs/>
          <w:sz w:val="28"/>
          <w:szCs w:val="28"/>
        </w:rPr>
        <w:t>2-3-8.</w:t>
      </w:r>
      <w:r w:rsidR="00A22992" w:rsidRPr="00D55DC6">
        <w:rPr>
          <w:rFonts w:eastAsia="標楷體"/>
          <w:bCs/>
          <w:sz w:val="28"/>
          <w:szCs w:val="28"/>
        </w:rPr>
        <w:t>整建</w:t>
      </w:r>
      <w:r w:rsidR="00A22992" w:rsidRPr="00D55DC6">
        <w:rPr>
          <w:rFonts w:eastAsia="標楷體"/>
          <w:b/>
          <w:bCs/>
          <w:sz w:val="28"/>
          <w:szCs w:val="28"/>
        </w:rPr>
        <w:t>屏北遊憩系統</w:t>
      </w:r>
      <w:r w:rsidR="00A22992" w:rsidRPr="00D55DC6">
        <w:rPr>
          <w:rFonts w:eastAsia="標楷體"/>
          <w:bCs/>
          <w:sz w:val="28"/>
          <w:szCs w:val="28"/>
        </w:rPr>
        <w:t>安通</w:t>
      </w:r>
      <w:r w:rsidR="00020348" w:rsidRPr="00D55DC6">
        <w:rPr>
          <w:rFonts w:eastAsia="標楷體"/>
          <w:bCs/>
          <w:sz w:val="28"/>
          <w:szCs w:val="28"/>
        </w:rPr>
        <w:t>自行車道</w:t>
      </w:r>
      <w:r w:rsidRPr="00D55DC6">
        <w:rPr>
          <w:rFonts w:eastAsia="標楷體"/>
          <w:bCs/>
          <w:sz w:val="28"/>
          <w:szCs w:val="28"/>
        </w:rPr>
        <w:t>（茂林國家風景區）。</w:t>
      </w:r>
    </w:p>
    <w:p w:rsidR="0027085D" w:rsidRPr="00D55DC6" w:rsidRDefault="0027085D" w:rsidP="0038165F">
      <w:pPr>
        <w:pStyle w:val="af2"/>
        <w:snapToGrid w:val="0"/>
        <w:spacing w:line="460" w:lineRule="exact"/>
        <w:ind w:leftChars="605" w:left="2267" w:hangingChars="291" w:hanging="815"/>
        <w:jc w:val="both"/>
        <w:rPr>
          <w:rFonts w:eastAsia="標楷體"/>
          <w:bCs/>
          <w:sz w:val="28"/>
          <w:szCs w:val="28"/>
        </w:rPr>
      </w:pPr>
      <w:r w:rsidRPr="00D55DC6">
        <w:rPr>
          <w:rFonts w:eastAsia="標楷體"/>
          <w:bCs/>
          <w:sz w:val="28"/>
          <w:szCs w:val="28"/>
        </w:rPr>
        <w:t>2-3-</w:t>
      </w:r>
      <w:r w:rsidR="00E04FA6" w:rsidRPr="00D55DC6">
        <w:rPr>
          <w:rFonts w:eastAsia="標楷體"/>
          <w:bCs/>
          <w:sz w:val="28"/>
          <w:szCs w:val="28"/>
        </w:rPr>
        <w:t>9</w:t>
      </w:r>
      <w:r w:rsidRPr="00D55DC6">
        <w:rPr>
          <w:rFonts w:eastAsia="標楷體"/>
          <w:bCs/>
          <w:sz w:val="28"/>
          <w:szCs w:val="28"/>
        </w:rPr>
        <w:t>.</w:t>
      </w:r>
      <w:r w:rsidR="000841FD" w:rsidRPr="00D55DC6">
        <w:rPr>
          <w:rFonts w:eastAsia="標楷體"/>
          <w:bCs/>
          <w:sz w:val="28"/>
          <w:szCs w:val="28"/>
        </w:rPr>
        <w:t>完成</w:t>
      </w:r>
      <w:r w:rsidR="00020348" w:rsidRPr="00D55DC6">
        <w:rPr>
          <w:rFonts w:eastAsia="標楷體"/>
          <w:b/>
          <w:bCs/>
          <w:sz w:val="28"/>
          <w:szCs w:val="28"/>
        </w:rPr>
        <w:t>磯崎</w:t>
      </w:r>
      <w:r w:rsidR="00020348" w:rsidRPr="00D55DC6">
        <w:rPr>
          <w:rFonts w:eastAsia="標楷體"/>
          <w:b/>
          <w:bCs/>
          <w:sz w:val="28"/>
          <w:szCs w:val="28"/>
        </w:rPr>
        <w:t>/</w:t>
      </w:r>
      <w:r w:rsidR="00020348" w:rsidRPr="00D55DC6">
        <w:rPr>
          <w:rFonts w:eastAsia="標楷體"/>
          <w:b/>
          <w:bCs/>
          <w:sz w:val="28"/>
          <w:szCs w:val="28"/>
        </w:rPr>
        <w:t>鹽寮系統</w:t>
      </w:r>
      <w:r w:rsidR="000841FD" w:rsidRPr="00D55DC6">
        <w:rPr>
          <w:rFonts w:eastAsia="標楷體"/>
          <w:bCs/>
          <w:sz w:val="28"/>
          <w:szCs w:val="28"/>
        </w:rPr>
        <w:t>（東海岸觀海樓及磯崎遊憩區）設施整修</w:t>
      </w:r>
      <w:r w:rsidRPr="00D55DC6">
        <w:rPr>
          <w:rFonts w:eastAsia="標楷體"/>
          <w:bCs/>
          <w:sz w:val="28"/>
          <w:szCs w:val="28"/>
        </w:rPr>
        <w:t>（東部海岸國家風景區）</w:t>
      </w:r>
    </w:p>
    <w:p w:rsidR="0027085D" w:rsidRPr="00D55DC6" w:rsidRDefault="0027085D" w:rsidP="0038165F">
      <w:pPr>
        <w:pStyle w:val="af2"/>
        <w:snapToGrid w:val="0"/>
        <w:spacing w:line="460" w:lineRule="exact"/>
        <w:ind w:leftChars="605" w:left="2267" w:hangingChars="291" w:hanging="815"/>
        <w:jc w:val="both"/>
        <w:rPr>
          <w:rFonts w:eastAsia="標楷體"/>
          <w:bCs/>
          <w:sz w:val="28"/>
          <w:szCs w:val="28"/>
        </w:rPr>
      </w:pPr>
      <w:r w:rsidRPr="00D55DC6">
        <w:rPr>
          <w:rFonts w:eastAsia="標楷體"/>
          <w:bCs/>
          <w:sz w:val="28"/>
          <w:szCs w:val="28"/>
        </w:rPr>
        <w:t>2-3-1</w:t>
      </w:r>
      <w:r w:rsidR="00E04FA6" w:rsidRPr="00D55DC6">
        <w:rPr>
          <w:rFonts w:eastAsia="標楷體"/>
          <w:bCs/>
          <w:sz w:val="28"/>
          <w:szCs w:val="28"/>
        </w:rPr>
        <w:t>0</w:t>
      </w:r>
      <w:r w:rsidRPr="00D55DC6">
        <w:rPr>
          <w:rFonts w:eastAsia="標楷體"/>
          <w:bCs/>
          <w:sz w:val="28"/>
          <w:szCs w:val="28"/>
        </w:rPr>
        <w:t>.</w:t>
      </w:r>
      <w:r w:rsidR="000B002E" w:rsidRPr="00D55DC6">
        <w:rPr>
          <w:rFonts w:eastAsia="標楷體"/>
          <w:bCs/>
          <w:sz w:val="28"/>
          <w:szCs w:val="28"/>
        </w:rPr>
        <w:t>完成</w:t>
      </w:r>
      <w:r w:rsidR="00020348" w:rsidRPr="00D55DC6">
        <w:rPr>
          <w:rFonts w:eastAsia="標楷體"/>
          <w:b/>
          <w:bCs/>
          <w:sz w:val="28"/>
          <w:szCs w:val="28"/>
        </w:rPr>
        <w:t>部落</w:t>
      </w:r>
      <w:r w:rsidR="000B002E" w:rsidRPr="00D55DC6">
        <w:rPr>
          <w:rFonts w:eastAsia="標楷體"/>
          <w:b/>
          <w:bCs/>
          <w:sz w:val="28"/>
          <w:szCs w:val="28"/>
        </w:rPr>
        <w:t>觀光設施</w:t>
      </w:r>
      <w:r w:rsidR="000B002E" w:rsidRPr="00D55DC6">
        <w:rPr>
          <w:rFonts w:eastAsia="標楷體"/>
          <w:bCs/>
          <w:sz w:val="28"/>
          <w:szCs w:val="28"/>
        </w:rPr>
        <w:t>改善，包含崙天、樂合、福音、長良部落跳舞場及部落周邊環境設施</w:t>
      </w:r>
      <w:r w:rsidRPr="00D55DC6">
        <w:rPr>
          <w:rFonts w:eastAsia="標楷體"/>
          <w:bCs/>
          <w:sz w:val="28"/>
          <w:szCs w:val="28"/>
        </w:rPr>
        <w:t>（花東縱谷國家風景區）。</w:t>
      </w:r>
    </w:p>
    <w:p w:rsidR="0027085D" w:rsidRPr="00D55DC6" w:rsidRDefault="0027085D" w:rsidP="0038165F">
      <w:pPr>
        <w:pStyle w:val="af2"/>
        <w:snapToGrid w:val="0"/>
        <w:spacing w:line="460" w:lineRule="exact"/>
        <w:ind w:leftChars="605" w:left="2267" w:hangingChars="291" w:hanging="815"/>
        <w:jc w:val="both"/>
        <w:rPr>
          <w:rFonts w:eastAsia="標楷體"/>
          <w:bCs/>
          <w:sz w:val="28"/>
          <w:szCs w:val="28"/>
        </w:rPr>
      </w:pPr>
      <w:r w:rsidRPr="00D55DC6">
        <w:rPr>
          <w:rFonts w:eastAsia="標楷體"/>
          <w:bCs/>
          <w:sz w:val="28"/>
          <w:szCs w:val="28"/>
        </w:rPr>
        <w:t>2-3-1</w:t>
      </w:r>
      <w:r w:rsidR="00E04FA6" w:rsidRPr="00D55DC6">
        <w:rPr>
          <w:rFonts w:eastAsia="標楷體"/>
          <w:bCs/>
          <w:sz w:val="28"/>
          <w:szCs w:val="28"/>
        </w:rPr>
        <w:t>1</w:t>
      </w:r>
      <w:r w:rsidRPr="00D55DC6">
        <w:rPr>
          <w:rFonts w:eastAsia="標楷體"/>
          <w:bCs/>
          <w:sz w:val="28"/>
          <w:szCs w:val="28"/>
        </w:rPr>
        <w:t>.</w:t>
      </w:r>
      <w:r w:rsidR="00020348" w:rsidRPr="00D55DC6">
        <w:rPr>
          <w:rFonts w:eastAsia="標楷體"/>
          <w:bCs/>
          <w:sz w:val="28"/>
          <w:szCs w:val="28"/>
        </w:rPr>
        <w:t>完成</w:t>
      </w:r>
      <w:r w:rsidR="00020348" w:rsidRPr="00D55DC6">
        <w:rPr>
          <w:rFonts w:eastAsia="標楷體"/>
          <w:b/>
          <w:bCs/>
          <w:sz w:val="28"/>
          <w:szCs w:val="28"/>
        </w:rPr>
        <w:t>東引系統</w:t>
      </w:r>
      <w:r w:rsidR="00206C21" w:rsidRPr="00D55DC6">
        <w:rPr>
          <w:rFonts w:eastAsia="標楷體"/>
          <w:bCs/>
          <w:sz w:val="28"/>
          <w:szCs w:val="28"/>
        </w:rPr>
        <w:t>（</w:t>
      </w:r>
      <w:r w:rsidR="00020348" w:rsidRPr="00D55DC6">
        <w:rPr>
          <w:rFonts w:eastAsia="標楷體"/>
          <w:bCs/>
          <w:sz w:val="28"/>
          <w:szCs w:val="28"/>
        </w:rPr>
        <w:t>中柱港海堤景觀、蔣公行館周邊景觀美化</w:t>
      </w:r>
      <w:r w:rsidR="00206C21" w:rsidRPr="00D55DC6">
        <w:rPr>
          <w:rFonts w:eastAsia="標楷體"/>
          <w:bCs/>
          <w:sz w:val="28"/>
          <w:szCs w:val="28"/>
        </w:rPr>
        <w:t>）</w:t>
      </w:r>
      <w:r w:rsidR="00020348" w:rsidRPr="00D55DC6">
        <w:rPr>
          <w:rFonts w:eastAsia="標楷體"/>
          <w:bCs/>
          <w:sz w:val="28"/>
          <w:szCs w:val="28"/>
        </w:rPr>
        <w:t>及</w:t>
      </w:r>
      <w:r w:rsidR="00020348" w:rsidRPr="00D55DC6">
        <w:rPr>
          <w:rFonts w:eastAsia="標楷體"/>
          <w:b/>
          <w:bCs/>
          <w:sz w:val="28"/>
          <w:szCs w:val="28"/>
        </w:rPr>
        <w:t>莒光系統</w:t>
      </w:r>
      <w:r w:rsidR="00206C21" w:rsidRPr="00D55DC6">
        <w:rPr>
          <w:rFonts w:eastAsia="標楷體"/>
          <w:bCs/>
          <w:sz w:val="28"/>
          <w:szCs w:val="28"/>
        </w:rPr>
        <w:t>（</w:t>
      </w:r>
      <w:r w:rsidR="00020348" w:rsidRPr="00D55DC6">
        <w:rPr>
          <w:rFonts w:eastAsia="標楷體"/>
          <w:bCs/>
          <w:sz w:val="28"/>
          <w:szCs w:val="28"/>
        </w:rPr>
        <w:t>60</w:t>
      </w:r>
      <w:r w:rsidR="00020348" w:rsidRPr="00D55DC6">
        <w:rPr>
          <w:rFonts w:eastAsia="標楷體"/>
          <w:bCs/>
          <w:sz w:val="28"/>
          <w:szCs w:val="28"/>
        </w:rPr>
        <w:t>戰備步道、東洋山、坤坵、田沃一四哨步道、</w:t>
      </w:r>
      <w:r w:rsidR="00020348" w:rsidRPr="00D55DC6">
        <w:rPr>
          <w:rFonts w:eastAsia="標楷體"/>
          <w:bCs/>
          <w:sz w:val="28"/>
          <w:szCs w:val="28"/>
        </w:rPr>
        <w:t>85</w:t>
      </w:r>
      <w:r w:rsidR="00020348" w:rsidRPr="00D55DC6">
        <w:rPr>
          <w:rFonts w:eastAsia="標楷體"/>
          <w:bCs/>
          <w:sz w:val="28"/>
          <w:szCs w:val="28"/>
        </w:rPr>
        <w:t>高地</w:t>
      </w:r>
      <w:r w:rsidR="00206C21" w:rsidRPr="00D55DC6">
        <w:rPr>
          <w:rFonts w:eastAsia="標楷體"/>
          <w:bCs/>
          <w:sz w:val="28"/>
          <w:szCs w:val="28"/>
        </w:rPr>
        <w:t>）環境改善</w:t>
      </w:r>
      <w:r w:rsidRPr="00D55DC6">
        <w:rPr>
          <w:rFonts w:eastAsia="標楷體"/>
          <w:bCs/>
          <w:sz w:val="28"/>
          <w:szCs w:val="28"/>
        </w:rPr>
        <w:t>（馬祖國家風景區）。</w:t>
      </w:r>
    </w:p>
    <w:p w:rsidR="00052151" w:rsidRPr="00D55DC6" w:rsidRDefault="00052151" w:rsidP="0038165F">
      <w:pPr>
        <w:pStyle w:val="af2"/>
        <w:snapToGrid w:val="0"/>
        <w:spacing w:line="460" w:lineRule="exact"/>
        <w:ind w:leftChars="605" w:left="2167" w:hangingChars="255" w:hanging="715"/>
        <w:jc w:val="both"/>
        <w:rPr>
          <w:rFonts w:eastAsia="標楷體"/>
          <w:b/>
          <w:bCs/>
          <w:sz w:val="28"/>
          <w:szCs w:val="28"/>
        </w:rPr>
      </w:pPr>
    </w:p>
    <w:p w:rsidR="00CF2E6F" w:rsidRPr="00D55DC6" w:rsidRDefault="00CF2E6F" w:rsidP="0038165F">
      <w:pPr>
        <w:pStyle w:val="af2"/>
        <w:snapToGrid w:val="0"/>
        <w:spacing w:line="460" w:lineRule="exact"/>
        <w:ind w:leftChars="605" w:left="2167" w:hangingChars="255" w:hanging="715"/>
        <w:jc w:val="both"/>
        <w:rPr>
          <w:rFonts w:eastAsia="標楷體"/>
          <w:b/>
          <w:bCs/>
          <w:sz w:val="28"/>
          <w:szCs w:val="28"/>
        </w:rPr>
      </w:pPr>
    </w:p>
    <w:p w:rsidR="002B3D0C" w:rsidRPr="00D55DC6" w:rsidRDefault="002B3D0C" w:rsidP="0038165F">
      <w:pPr>
        <w:pStyle w:val="a"/>
        <w:ind w:left="709" w:hanging="709"/>
        <w:rPr>
          <w:b/>
        </w:rPr>
      </w:pPr>
      <w:bookmarkStart w:id="49" w:name="_Toc407181633"/>
      <w:r w:rsidRPr="00D55DC6">
        <w:rPr>
          <w:b/>
        </w:rPr>
        <w:t>執行策略及方法</w:t>
      </w:r>
      <w:bookmarkEnd w:id="49"/>
    </w:p>
    <w:p w:rsidR="00E45FCD" w:rsidRPr="00D55DC6" w:rsidRDefault="00E45FCD" w:rsidP="0038165F">
      <w:pPr>
        <w:pStyle w:val="af2"/>
        <w:numPr>
          <w:ilvl w:val="0"/>
          <w:numId w:val="4"/>
        </w:numPr>
        <w:snapToGrid w:val="0"/>
        <w:spacing w:line="460" w:lineRule="exact"/>
        <w:ind w:leftChars="0"/>
        <w:jc w:val="both"/>
        <w:rPr>
          <w:rFonts w:eastAsia="標楷體"/>
          <w:b/>
          <w:sz w:val="28"/>
          <w:szCs w:val="28"/>
        </w:rPr>
      </w:pPr>
      <w:r w:rsidRPr="00D55DC6">
        <w:rPr>
          <w:rFonts w:eastAsia="標楷體"/>
          <w:b/>
          <w:sz w:val="28"/>
          <w:szCs w:val="28"/>
        </w:rPr>
        <w:t>執行策略</w:t>
      </w:r>
    </w:p>
    <w:p w:rsidR="008D745B" w:rsidRPr="00D55DC6" w:rsidRDefault="008D745B" w:rsidP="0038165F">
      <w:pPr>
        <w:pStyle w:val="af2"/>
        <w:numPr>
          <w:ilvl w:val="0"/>
          <w:numId w:val="15"/>
        </w:numPr>
        <w:snapToGrid w:val="0"/>
        <w:spacing w:line="460" w:lineRule="exact"/>
        <w:ind w:leftChars="0"/>
        <w:jc w:val="both"/>
        <w:rPr>
          <w:rFonts w:eastAsia="標楷體"/>
          <w:sz w:val="28"/>
          <w:szCs w:val="28"/>
        </w:rPr>
      </w:pPr>
      <w:r w:rsidRPr="00D55DC6">
        <w:rPr>
          <w:rFonts w:eastAsia="標楷體" w:hint="eastAsia"/>
          <w:b/>
          <w:sz w:val="28"/>
          <w:szCs w:val="28"/>
        </w:rPr>
        <w:t>景點分級、擴大服務</w:t>
      </w:r>
      <w:r w:rsidRPr="00D55DC6">
        <w:rPr>
          <w:rFonts w:eastAsia="標楷體" w:hint="eastAsia"/>
          <w:sz w:val="28"/>
          <w:szCs w:val="28"/>
        </w:rPr>
        <w:t>：</w:t>
      </w:r>
    </w:p>
    <w:p w:rsidR="008D745B" w:rsidRPr="00D55DC6" w:rsidRDefault="00641048" w:rsidP="008D745B">
      <w:pPr>
        <w:pStyle w:val="af2"/>
        <w:numPr>
          <w:ilvl w:val="1"/>
          <w:numId w:val="15"/>
        </w:numPr>
        <w:snapToGrid w:val="0"/>
        <w:spacing w:line="460" w:lineRule="exact"/>
        <w:ind w:leftChars="0"/>
        <w:jc w:val="both"/>
        <w:rPr>
          <w:rFonts w:eastAsia="標楷體"/>
          <w:sz w:val="28"/>
          <w:szCs w:val="28"/>
        </w:rPr>
      </w:pPr>
      <w:r w:rsidRPr="00D55DC6">
        <w:rPr>
          <w:rFonts w:eastAsia="標楷體"/>
          <w:sz w:val="28"/>
          <w:szCs w:val="28"/>
        </w:rPr>
        <w:t>依據遊客遊憩動向</w:t>
      </w:r>
      <w:r w:rsidR="00DB729E" w:rsidRPr="00D55DC6">
        <w:rPr>
          <w:rFonts w:eastAsia="標楷體"/>
          <w:sz w:val="28"/>
          <w:szCs w:val="28"/>
        </w:rPr>
        <w:t>分布</w:t>
      </w:r>
      <w:r w:rsidRPr="00D55DC6">
        <w:rPr>
          <w:rFonts w:eastAsia="標楷體"/>
          <w:sz w:val="28"/>
          <w:szCs w:val="28"/>
        </w:rPr>
        <w:t>、遊憩區發展潛力及資源特色等基礎資料，將各國家風景區內不同遊憩資源劃分等級進行開發建設；並採用景點分級、集中投資之觀念，分級整建具代</w:t>
      </w:r>
      <w:r w:rsidR="008D745B" w:rsidRPr="00D55DC6">
        <w:rPr>
          <w:rFonts w:eastAsia="標楷體"/>
          <w:sz w:val="28"/>
          <w:szCs w:val="28"/>
        </w:rPr>
        <w:t>表性之國內景點及國際景點，全方位提升旅遊接待能量</w:t>
      </w:r>
      <w:r w:rsidR="008D745B" w:rsidRPr="00D55DC6">
        <w:rPr>
          <w:rFonts w:eastAsia="標楷體" w:hint="eastAsia"/>
          <w:sz w:val="28"/>
          <w:szCs w:val="28"/>
        </w:rPr>
        <w:t>。</w:t>
      </w:r>
    </w:p>
    <w:p w:rsidR="00641048" w:rsidRPr="00D55DC6" w:rsidRDefault="00641048" w:rsidP="008D745B">
      <w:pPr>
        <w:pStyle w:val="af2"/>
        <w:numPr>
          <w:ilvl w:val="1"/>
          <w:numId w:val="15"/>
        </w:numPr>
        <w:snapToGrid w:val="0"/>
        <w:spacing w:line="460" w:lineRule="exact"/>
        <w:ind w:leftChars="0"/>
        <w:jc w:val="both"/>
        <w:rPr>
          <w:rFonts w:eastAsia="標楷體"/>
          <w:sz w:val="28"/>
          <w:szCs w:val="28"/>
        </w:rPr>
      </w:pPr>
      <w:r w:rsidRPr="00D55DC6">
        <w:rPr>
          <w:rFonts w:eastAsia="標楷體"/>
          <w:sz w:val="28"/>
          <w:szCs w:val="28"/>
        </w:rPr>
        <w:t>積極整合零星地方景點為遊憩區型態之國內景點，將具國際潛力之國內景點轉型成國際景點，</w:t>
      </w:r>
      <w:r w:rsidR="008D745B" w:rsidRPr="00D55DC6">
        <w:rPr>
          <w:rFonts w:eastAsia="標楷體" w:hint="eastAsia"/>
          <w:sz w:val="28"/>
          <w:szCs w:val="28"/>
        </w:rPr>
        <w:t>將各單點建設擴大觀光服務層</w:t>
      </w:r>
      <w:r w:rsidR="008D745B" w:rsidRPr="00D55DC6">
        <w:rPr>
          <w:rFonts w:eastAsia="標楷體" w:hint="eastAsia"/>
          <w:sz w:val="28"/>
          <w:szCs w:val="28"/>
        </w:rPr>
        <w:lastRenderedPageBreak/>
        <w:t>面為旅遊線與面之串連，</w:t>
      </w:r>
      <w:r w:rsidRPr="00D55DC6">
        <w:rPr>
          <w:rFonts w:eastAsia="標楷體"/>
          <w:sz w:val="28"/>
          <w:szCs w:val="28"/>
        </w:rPr>
        <w:t>以逐步提升景點服務水準，並規劃多樣化的特色遊程，吸引遊客參訪，延長停留時間。</w:t>
      </w:r>
    </w:p>
    <w:p w:rsidR="00C55AEE" w:rsidRPr="00D55DC6" w:rsidRDefault="008D745B" w:rsidP="0038165F">
      <w:pPr>
        <w:pStyle w:val="af2"/>
        <w:numPr>
          <w:ilvl w:val="0"/>
          <w:numId w:val="15"/>
        </w:numPr>
        <w:snapToGrid w:val="0"/>
        <w:spacing w:line="460" w:lineRule="exact"/>
        <w:ind w:leftChars="0"/>
        <w:jc w:val="both"/>
        <w:rPr>
          <w:rFonts w:eastAsia="標楷體"/>
          <w:sz w:val="28"/>
          <w:szCs w:val="28"/>
        </w:rPr>
      </w:pPr>
      <w:r w:rsidRPr="00D55DC6">
        <w:rPr>
          <w:rFonts w:eastAsia="標楷體" w:hint="eastAsia"/>
          <w:b/>
          <w:sz w:val="28"/>
          <w:szCs w:val="28"/>
        </w:rPr>
        <w:t>總量管制、引導分流</w:t>
      </w:r>
      <w:r w:rsidRPr="00D55DC6">
        <w:rPr>
          <w:rFonts w:eastAsia="標楷體" w:hint="eastAsia"/>
          <w:sz w:val="28"/>
          <w:szCs w:val="28"/>
        </w:rPr>
        <w:t>：</w:t>
      </w:r>
    </w:p>
    <w:p w:rsidR="00641048" w:rsidRPr="00D55DC6" w:rsidRDefault="008D745B" w:rsidP="00C55AEE">
      <w:pPr>
        <w:pStyle w:val="af2"/>
        <w:snapToGrid w:val="0"/>
        <w:spacing w:line="460" w:lineRule="exact"/>
        <w:ind w:leftChars="0" w:left="785"/>
        <w:jc w:val="both"/>
        <w:rPr>
          <w:rFonts w:eastAsia="標楷體"/>
          <w:sz w:val="28"/>
          <w:szCs w:val="28"/>
        </w:rPr>
      </w:pPr>
      <w:r w:rsidRPr="00D55DC6">
        <w:rPr>
          <w:rFonts w:eastAsia="標楷體" w:hint="eastAsia"/>
          <w:sz w:val="28"/>
          <w:szCs w:val="28"/>
        </w:rPr>
        <w:t>針對熱門景點</w:t>
      </w:r>
      <w:r w:rsidR="00641048" w:rsidRPr="00D55DC6">
        <w:rPr>
          <w:rFonts w:eastAsia="標楷體"/>
          <w:sz w:val="28"/>
          <w:szCs w:val="28"/>
        </w:rPr>
        <w:t>建立合宜之總量管制及分流機制，紓解遊憩環境承載壓力過大之景點，並採深度旅遊或拓展副核心景點建設及</w:t>
      </w:r>
      <w:r w:rsidR="006B2992" w:rsidRPr="00D55DC6">
        <w:rPr>
          <w:rFonts w:eastAsia="標楷體"/>
          <w:sz w:val="28"/>
          <w:szCs w:val="28"/>
        </w:rPr>
        <w:t>串聯成</w:t>
      </w:r>
      <w:r w:rsidR="00641048" w:rsidRPr="00D55DC6">
        <w:rPr>
          <w:rFonts w:eastAsia="標楷體"/>
          <w:sz w:val="28"/>
          <w:szCs w:val="28"/>
        </w:rPr>
        <w:t>遊程，發揮蛋黃集客、蛋白分流之效益。</w:t>
      </w:r>
    </w:p>
    <w:p w:rsidR="008D745B" w:rsidRPr="00D55DC6" w:rsidRDefault="008D745B" w:rsidP="0038165F">
      <w:pPr>
        <w:pStyle w:val="af2"/>
        <w:numPr>
          <w:ilvl w:val="0"/>
          <w:numId w:val="15"/>
        </w:numPr>
        <w:snapToGrid w:val="0"/>
        <w:spacing w:line="460" w:lineRule="exact"/>
        <w:ind w:leftChars="0"/>
        <w:jc w:val="both"/>
        <w:rPr>
          <w:rFonts w:eastAsia="標楷體"/>
          <w:sz w:val="28"/>
          <w:szCs w:val="28"/>
        </w:rPr>
      </w:pPr>
      <w:r w:rsidRPr="00D55DC6">
        <w:rPr>
          <w:rFonts w:eastAsia="標楷體" w:hint="eastAsia"/>
          <w:b/>
          <w:sz w:val="28"/>
          <w:szCs w:val="28"/>
        </w:rPr>
        <w:t>經營管理、配套發展</w:t>
      </w:r>
      <w:r w:rsidRPr="00D55DC6">
        <w:rPr>
          <w:rFonts w:eastAsia="標楷體" w:hint="eastAsia"/>
          <w:sz w:val="28"/>
          <w:szCs w:val="28"/>
        </w:rPr>
        <w:t>：</w:t>
      </w:r>
    </w:p>
    <w:p w:rsidR="008D745B" w:rsidRPr="00D55DC6" w:rsidRDefault="00641048" w:rsidP="008D745B">
      <w:pPr>
        <w:pStyle w:val="af2"/>
        <w:numPr>
          <w:ilvl w:val="1"/>
          <w:numId w:val="15"/>
        </w:numPr>
        <w:snapToGrid w:val="0"/>
        <w:spacing w:line="460" w:lineRule="exact"/>
        <w:ind w:leftChars="0"/>
        <w:jc w:val="both"/>
        <w:rPr>
          <w:rFonts w:eastAsia="標楷體"/>
          <w:sz w:val="28"/>
          <w:szCs w:val="28"/>
        </w:rPr>
      </w:pPr>
      <w:r w:rsidRPr="00D55DC6">
        <w:rPr>
          <w:rFonts w:eastAsia="標楷體"/>
          <w:sz w:val="28"/>
          <w:szCs w:val="28"/>
        </w:rPr>
        <w:t>建構國際級友善旅遊環境，體貼無障礙、銀髮族、兩性、幼童、穆斯林等不同族群之需求差異，以通用設計、綠建築等概念建置友善旅遊服務設施，並佐以各式指標、導引、解說系統與旅遊安全救助系統，全面落實友善旅遊之目標。</w:t>
      </w:r>
    </w:p>
    <w:p w:rsidR="00641048" w:rsidRPr="00D55DC6" w:rsidRDefault="00641048" w:rsidP="008D745B">
      <w:pPr>
        <w:pStyle w:val="af2"/>
        <w:numPr>
          <w:ilvl w:val="1"/>
          <w:numId w:val="15"/>
        </w:numPr>
        <w:snapToGrid w:val="0"/>
        <w:spacing w:line="460" w:lineRule="exact"/>
        <w:ind w:leftChars="0"/>
        <w:jc w:val="both"/>
        <w:rPr>
          <w:rFonts w:eastAsia="標楷體"/>
          <w:sz w:val="28"/>
          <w:szCs w:val="28"/>
        </w:rPr>
      </w:pPr>
      <w:r w:rsidRPr="00D55DC6">
        <w:rPr>
          <w:rFonts w:eastAsia="標楷體"/>
          <w:sz w:val="28"/>
          <w:szCs w:val="28"/>
        </w:rPr>
        <w:t>健全無縫隙交通接駁系統，並配合低碳政策，持續推展步道、自行車道、電動船及電動巴士等綠色運具，提升轉運、接駁的公共運輸能量。</w:t>
      </w:r>
    </w:p>
    <w:p w:rsidR="008D745B" w:rsidRPr="00D55DC6" w:rsidRDefault="008D745B" w:rsidP="0038165F">
      <w:pPr>
        <w:pStyle w:val="af2"/>
        <w:numPr>
          <w:ilvl w:val="0"/>
          <w:numId w:val="15"/>
        </w:numPr>
        <w:snapToGrid w:val="0"/>
        <w:spacing w:line="460" w:lineRule="exact"/>
        <w:ind w:leftChars="0"/>
        <w:jc w:val="both"/>
        <w:rPr>
          <w:rFonts w:eastAsia="標楷體"/>
          <w:b/>
          <w:sz w:val="28"/>
          <w:szCs w:val="28"/>
        </w:rPr>
      </w:pPr>
      <w:r w:rsidRPr="00D55DC6">
        <w:rPr>
          <w:rFonts w:eastAsia="標楷體" w:hint="eastAsia"/>
          <w:b/>
          <w:sz w:val="28"/>
          <w:szCs w:val="28"/>
        </w:rPr>
        <w:t>跨域整合、提高自償：</w:t>
      </w:r>
    </w:p>
    <w:p w:rsidR="008D745B" w:rsidRPr="00D55DC6" w:rsidRDefault="008D745B" w:rsidP="008D745B">
      <w:pPr>
        <w:pStyle w:val="af2"/>
        <w:numPr>
          <w:ilvl w:val="1"/>
          <w:numId w:val="15"/>
        </w:numPr>
        <w:snapToGrid w:val="0"/>
        <w:spacing w:line="460" w:lineRule="exact"/>
        <w:ind w:leftChars="0"/>
        <w:jc w:val="both"/>
        <w:rPr>
          <w:rFonts w:eastAsia="標楷體"/>
          <w:sz w:val="28"/>
          <w:szCs w:val="28"/>
        </w:rPr>
      </w:pPr>
      <w:r w:rsidRPr="00D55DC6">
        <w:rPr>
          <w:rFonts w:eastAsia="標楷體" w:hint="eastAsia"/>
          <w:sz w:val="28"/>
          <w:szCs w:val="28"/>
        </w:rPr>
        <w:t>強化跨部會、跨中央與地方之資源整合、分工營運及跨域合作平臺。</w:t>
      </w:r>
    </w:p>
    <w:p w:rsidR="00641048" w:rsidRPr="00D55DC6" w:rsidRDefault="00C55AEE" w:rsidP="008D745B">
      <w:pPr>
        <w:pStyle w:val="af2"/>
        <w:numPr>
          <w:ilvl w:val="1"/>
          <w:numId w:val="15"/>
        </w:numPr>
        <w:snapToGrid w:val="0"/>
        <w:spacing w:line="460" w:lineRule="exact"/>
        <w:ind w:leftChars="0"/>
        <w:jc w:val="both"/>
        <w:rPr>
          <w:rFonts w:eastAsia="標楷體"/>
          <w:sz w:val="28"/>
          <w:szCs w:val="28"/>
        </w:rPr>
      </w:pPr>
      <w:r w:rsidRPr="00D55DC6">
        <w:rPr>
          <w:rFonts w:eastAsia="標楷體" w:hint="eastAsia"/>
          <w:sz w:val="28"/>
          <w:szCs w:val="28"/>
        </w:rPr>
        <w:t>透過</w:t>
      </w:r>
      <w:r w:rsidR="00641048" w:rsidRPr="00D55DC6">
        <w:rPr>
          <w:rFonts w:eastAsia="標楷體"/>
          <w:sz w:val="28"/>
          <w:szCs w:val="28"/>
        </w:rPr>
        <w:t>跨域合作</w:t>
      </w:r>
      <w:r w:rsidRPr="00D55DC6">
        <w:rPr>
          <w:rFonts w:eastAsia="標楷體" w:hint="eastAsia"/>
          <w:sz w:val="28"/>
          <w:szCs w:val="28"/>
        </w:rPr>
        <w:t>，</w:t>
      </w:r>
      <w:r w:rsidR="00641048" w:rsidRPr="00D55DC6">
        <w:rPr>
          <w:rFonts w:eastAsia="標楷體"/>
          <w:sz w:val="28"/>
          <w:szCs w:val="28"/>
        </w:rPr>
        <w:t>尋求公私部門合作機會，並</w:t>
      </w:r>
      <w:r w:rsidRPr="00D55DC6">
        <w:rPr>
          <w:rFonts w:eastAsia="標楷體" w:hint="eastAsia"/>
          <w:sz w:val="28"/>
          <w:szCs w:val="28"/>
        </w:rPr>
        <w:t>活化與開發</w:t>
      </w:r>
      <w:r w:rsidR="00641048" w:rsidRPr="00D55DC6">
        <w:rPr>
          <w:rFonts w:eastAsia="標楷體"/>
          <w:sz w:val="28"/>
          <w:szCs w:val="28"/>
        </w:rPr>
        <w:t>國家風景區景點，推動設施出租、促參案件、使用者付費、跨域加值合作等創新財務作法，以提升計畫自償率及整體觀光效益。</w:t>
      </w:r>
    </w:p>
    <w:p w:rsidR="008D745B" w:rsidRPr="00D55DC6" w:rsidRDefault="008D745B" w:rsidP="0014772B">
      <w:pPr>
        <w:pStyle w:val="af2"/>
        <w:numPr>
          <w:ilvl w:val="0"/>
          <w:numId w:val="15"/>
        </w:numPr>
        <w:snapToGrid w:val="0"/>
        <w:spacing w:line="460" w:lineRule="exact"/>
        <w:ind w:leftChars="0"/>
        <w:jc w:val="both"/>
        <w:rPr>
          <w:rFonts w:eastAsia="標楷體"/>
          <w:sz w:val="28"/>
          <w:szCs w:val="28"/>
        </w:rPr>
      </w:pPr>
      <w:r w:rsidRPr="00D55DC6">
        <w:rPr>
          <w:rFonts w:eastAsia="標楷體" w:hint="eastAsia"/>
          <w:b/>
          <w:sz w:val="28"/>
          <w:szCs w:val="28"/>
        </w:rPr>
        <w:t>區域均衡、智慧觀光</w:t>
      </w:r>
      <w:r w:rsidRPr="00D55DC6">
        <w:rPr>
          <w:rFonts w:eastAsia="標楷體" w:hint="eastAsia"/>
          <w:sz w:val="28"/>
          <w:szCs w:val="28"/>
        </w:rPr>
        <w:t>：</w:t>
      </w:r>
    </w:p>
    <w:p w:rsidR="008D745B" w:rsidRPr="00D55DC6" w:rsidRDefault="00D46C18" w:rsidP="008D745B">
      <w:pPr>
        <w:pStyle w:val="af2"/>
        <w:numPr>
          <w:ilvl w:val="1"/>
          <w:numId w:val="15"/>
        </w:numPr>
        <w:snapToGrid w:val="0"/>
        <w:spacing w:line="460" w:lineRule="exact"/>
        <w:ind w:leftChars="0"/>
        <w:jc w:val="both"/>
        <w:rPr>
          <w:rFonts w:eastAsia="標楷體"/>
          <w:sz w:val="28"/>
          <w:szCs w:val="28"/>
        </w:rPr>
      </w:pPr>
      <w:r w:rsidRPr="00D55DC6">
        <w:rPr>
          <w:rFonts w:eastAsia="標楷體" w:hint="eastAsia"/>
          <w:sz w:val="28"/>
          <w:szCs w:val="28"/>
        </w:rPr>
        <w:t>落實區域均衡發展，</w:t>
      </w:r>
      <w:r w:rsidR="0014772B" w:rsidRPr="00D55DC6">
        <w:rPr>
          <w:rFonts w:eastAsia="標楷體" w:hint="eastAsia"/>
          <w:sz w:val="28"/>
          <w:szCs w:val="28"/>
        </w:rPr>
        <w:t>配合國發會推動「藍色經濟發展構想」、「花東產業六級化發展方案」等政策，積極落實於南部及東部之國家風景區建設計畫</w:t>
      </w:r>
      <w:r w:rsidR="008D745B" w:rsidRPr="00D55DC6">
        <w:rPr>
          <w:rFonts w:eastAsia="標楷體" w:hint="eastAsia"/>
          <w:sz w:val="28"/>
          <w:szCs w:val="28"/>
        </w:rPr>
        <w:t>。</w:t>
      </w:r>
    </w:p>
    <w:p w:rsidR="0014772B" w:rsidRPr="00D55DC6" w:rsidRDefault="0014772B" w:rsidP="008D745B">
      <w:pPr>
        <w:pStyle w:val="af2"/>
        <w:numPr>
          <w:ilvl w:val="1"/>
          <w:numId w:val="15"/>
        </w:numPr>
        <w:snapToGrid w:val="0"/>
        <w:spacing w:line="460" w:lineRule="exact"/>
        <w:ind w:leftChars="0"/>
        <w:jc w:val="both"/>
        <w:rPr>
          <w:rFonts w:eastAsia="標楷體"/>
          <w:sz w:val="28"/>
          <w:szCs w:val="28"/>
        </w:rPr>
      </w:pPr>
      <w:r w:rsidRPr="00D55DC6">
        <w:rPr>
          <w:rFonts w:eastAsia="標楷體" w:hint="eastAsia"/>
          <w:sz w:val="28"/>
          <w:szCs w:val="28"/>
        </w:rPr>
        <w:t>配合「智慧國土」政策，將「智慧觀光」概念納入相關建設計畫中，俾利即時掌握觀光資源變動，以有效解讀、分析及解決問題。</w:t>
      </w:r>
    </w:p>
    <w:p w:rsidR="006F439B" w:rsidRPr="00D55DC6" w:rsidRDefault="006F439B" w:rsidP="0038165F">
      <w:pPr>
        <w:pStyle w:val="af2"/>
        <w:snapToGrid w:val="0"/>
        <w:spacing w:line="460" w:lineRule="exact"/>
        <w:ind w:leftChars="0" w:left="864"/>
        <w:jc w:val="both"/>
        <w:rPr>
          <w:rFonts w:eastAsia="標楷體"/>
          <w:b/>
          <w:sz w:val="28"/>
          <w:szCs w:val="28"/>
        </w:rPr>
      </w:pPr>
    </w:p>
    <w:p w:rsidR="00D46C18" w:rsidRPr="00D55DC6" w:rsidRDefault="00D46C18" w:rsidP="0038165F">
      <w:pPr>
        <w:pStyle w:val="af2"/>
        <w:snapToGrid w:val="0"/>
        <w:spacing w:line="460" w:lineRule="exact"/>
        <w:ind w:leftChars="0" w:left="864"/>
        <w:jc w:val="both"/>
        <w:rPr>
          <w:rFonts w:eastAsia="標楷體"/>
          <w:b/>
          <w:sz w:val="28"/>
          <w:szCs w:val="28"/>
        </w:rPr>
      </w:pPr>
    </w:p>
    <w:p w:rsidR="00C55AEE" w:rsidRPr="00D55DC6" w:rsidRDefault="00C55AEE" w:rsidP="0038165F">
      <w:pPr>
        <w:pStyle w:val="af2"/>
        <w:snapToGrid w:val="0"/>
        <w:spacing w:line="460" w:lineRule="exact"/>
        <w:ind w:leftChars="0" w:left="864"/>
        <w:jc w:val="both"/>
        <w:rPr>
          <w:rFonts w:eastAsia="標楷體"/>
          <w:b/>
          <w:sz w:val="28"/>
          <w:szCs w:val="28"/>
        </w:rPr>
      </w:pPr>
    </w:p>
    <w:p w:rsidR="002B3D0C" w:rsidRPr="00D55DC6" w:rsidRDefault="002B3D0C" w:rsidP="0038165F">
      <w:pPr>
        <w:pStyle w:val="af2"/>
        <w:numPr>
          <w:ilvl w:val="0"/>
          <w:numId w:val="4"/>
        </w:numPr>
        <w:snapToGrid w:val="0"/>
        <w:spacing w:line="460" w:lineRule="exact"/>
        <w:ind w:leftChars="0"/>
        <w:jc w:val="both"/>
        <w:rPr>
          <w:rFonts w:eastAsia="標楷體"/>
          <w:b/>
          <w:sz w:val="28"/>
          <w:szCs w:val="28"/>
        </w:rPr>
      </w:pPr>
      <w:r w:rsidRPr="00D55DC6">
        <w:rPr>
          <w:rFonts w:eastAsia="標楷體"/>
          <w:b/>
          <w:sz w:val="28"/>
          <w:szCs w:val="28"/>
        </w:rPr>
        <w:lastRenderedPageBreak/>
        <w:t>主要工作項目</w:t>
      </w:r>
      <w:r w:rsidR="0098266D" w:rsidRPr="00D55DC6">
        <w:rPr>
          <w:rFonts w:eastAsia="標楷體"/>
          <w:b/>
          <w:sz w:val="28"/>
          <w:szCs w:val="28"/>
        </w:rPr>
        <w:t xml:space="preserve"> </w:t>
      </w:r>
    </w:p>
    <w:p w:rsidR="006F163A" w:rsidRPr="00D55DC6" w:rsidRDefault="006F163A" w:rsidP="0038165F">
      <w:pPr>
        <w:spacing w:line="460" w:lineRule="exact"/>
        <w:ind w:left="864" w:firstLineChars="216" w:firstLine="605"/>
        <w:rPr>
          <w:rFonts w:eastAsia="標楷體"/>
          <w:b/>
          <w:sz w:val="28"/>
          <w:szCs w:val="28"/>
        </w:rPr>
      </w:pPr>
      <w:r w:rsidRPr="00D55DC6">
        <w:rPr>
          <w:rFonts w:eastAsia="標楷體"/>
          <w:sz w:val="28"/>
          <w:szCs w:val="28"/>
        </w:rPr>
        <w:t>本計畫依各遊憩區發展潛力，劃分為國際觀光重要景點建設、國內觀光重要景點建設</w:t>
      </w:r>
      <w:r w:rsidRPr="00D55DC6">
        <w:rPr>
          <w:rFonts w:eastAsia="標楷體"/>
          <w:sz w:val="28"/>
          <w:szCs w:val="28"/>
        </w:rPr>
        <w:t>2</w:t>
      </w:r>
      <w:r w:rsidRPr="00D55DC6">
        <w:rPr>
          <w:rFonts w:eastAsia="標楷體"/>
          <w:sz w:val="28"/>
          <w:szCs w:val="28"/>
        </w:rPr>
        <w:t>項進行開發建設</w:t>
      </w:r>
      <w:r w:rsidR="000C2A04" w:rsidRPr="00D55DC6">
        <w:rPr>
          <w:rFonts w:eastAsia="標楷體"/>
          <w:sz w:val="28"/>
          <w:szCs w:val="28"/>
        </w:rPr>
        <w:t>，並以北、中、南、東、離島之五大分區</w:t>
      </w:r>
      <w:r w:rsidR="006B2992" w:rsidRPr="00D55DC6">
        <w:rPr>
          <w:rFonts w:eastAsia="標楷體"/>
          <w:sz w:val="28"/>
          <w:szCs w:val="28"/>
        </w:rPr>
        <w:t>區位</w:t>
      </w:r>
      <w:r w:rsidR="000C2A04" w:rsidRPr="00D55DC6">
        <w:rPr>
          <w:rFonts w:eastAsia="標楷體"/>
          <w:sz w:val="28"/>
          <w:szCs w:val="28"/>
        </w:rPr>
        <w:t>，依序說明如下：</w:t>
      </w:r>
    </w:p>
    <w:p w:rsidR="00AA45A8" w:rsidRPr="00D55DC6" w:rsidRDefault="00AA45A8" w:rsidP="0038165F">
      <w:pPr>
        <w:pStyle w:val="af2"/>
        <w:numPr>
          <w:ilvl w:val="2"/>
          <w:numId w:val="10"/>
        </w:numPr>
        <w:snapToGrid w:val="0"/>
        <w:spacing w:line="460" w:lineRule="exact"/>
        <w:ind w:leftChars="0" w:left="1134" w:hanging="283"/>
        <w:jc w:val="both"/>
        <w:rPr>
          <w:rFonts w:eastAsia="標楷體"/>
          <w:b/>
          <w:sz w:val="28"/>
          <w:szCs w:val="28"/>
        </w:rPr>
      </w:pPr>
      <w:r w:rsidRPr="00D55DC6">
        <w:rPr>
          <w:rFonts w:eastAsia="標楷體"/>
          <w:b/>
          <w:sz w:val="28"/>
          <w:szCs w:val="28"/>
        </w:rPr>
        <w:t>國際觀光重要景點建設</w:t>
      </w:r>
    </w:p>
    <w:p w:rsidR="000C2A04" w:rsidRPr="00D55DC6" w:rsidRDefault="000C2A04" w:rsidP="0038165F">
      <w:pPr>
        <w:pStyle w:val="af2"/>
        <w:numPr>
          <w:ilvl w:val="1"/>
          <w:numId w:val="17"/>
        </w:numPr>
        <w:snapToGrid w:val="0"/>
        <w:spacing w:line="460" w:lineRule="exact"/>
        <w:ind w:leftChars="0" w:left="1701"/>
        <w:jc w:val="both"/>
        <w:rPr>
          <w:rFonts w:eastAsia="標楷體"/>
          <w:sz w:val="28"/>
          <w:szCs w:val="28"/>
        </w:rPr>
      </w:pPr>
      <w:r w:rsidRPr="00D55DC6">
        <w:rPr>
          <w:rFonts w:eastAsia="標楷體"/>
          <w:sz w:val="28"/>
          <w:szCs w:val="28"/>
        </w:rPr>
        <w:t>強化鼻頭龍洞遊憩區、福隆遊憩區、外澳遊憩區及宜蘭濱海遊憩核心區服務設施品質（東北角暨宜蘭海岸國家風景區）。</w:t>
      </w:r>
    </w:p>
    <w:p w:rsidR="000C2A04" w:rsidRPr="00D55DC6" w:rsidRDefault="000C2A04" w:rsidP="0038165F">
      <w:pPr>
        <w:pStyle w:val="af2"/>
        <w:numPr>
          <w:ilvl w:val="1"/>
          <w:numId w:val="17"/>
        </w:numPr>
        <w:snapToGrid w:val="0"/>
        <w:spacing w:line="460" w:lineRule="exact"/>
        <w:ind w:leftChars="0" w:left="1701"/>
        <w:jc w:val="both"/>
        <w:rPr>
          <w:rFonts w:eastAsia="標楷體"/>
          <w:sz w:val="28"/>
          <w:szCs w:val="28"/>
        </w:rPr>
      </w:pPr>
      <w:r w:rsidRPr="00D55DC6">
        <w:rPr>
          <w:rFonts w:eastAsia="標楷體"/>
          <w:sz w:val="28"/>
          <w:szCs w:val="28"/>
        </w:rPr>
        <w:t>完成白沙灣遊憩區、金山中角遊憩區、野柳遊憩區及基隆遊憩區服務設施及環境改善（北海岸及觀音山國家風景區）。</w:t>
      </w:r>
    </w:p>
    <w:p w:rsidR="000C2A04" w:rsidRPr="00D55DC6" w:rsidRDefault="000C2A04" w:rsidP="0038165F">
      <w:pPr>
        <w:pStyle w:val="af2"/>
        <w:numPr>
          <w:ilvl w:val="1"/>
          <w:numId w:val="17"/>
        </w:numPr>
        <w:snapToGrid w:val="0"/>
        <w:spacing w:line="460" w:lineRule="exact"/>
        <w:ind w:leftChars="0" w:left="1701"/>
        <w:jc w:val="both"/>
        <w:rPr>
          <w:rFonts w:eastAsia="標楷體"/>
          <w:sz w:val="28"/>
          <w:szCs w:val="28"/>
        </w:rPr>
      </w:pPr>
      <w:r w:rsidRPr="00D55DC6">
        <w:rPr>
          <w:rFonts w:eastAsia="標楷體"/>
          <w:sz w:val="28"/>
          <w:szCs w:val="28"/>
        </w:rPr>
        <w:t>完善日月潭環潭遊憩區人車分道系統、碼頭岸基服務設施、水社、向山、伊達邵、慈恩塔文化園區等環潭遊憩系統周邊景觀改善及公共設施新</w:t>
      </w:r>
      <w:r w:rsidRPr="00D55DC6">
        <w:rPr>
          <w:rFonts w:eastAsia="標楷體"/>
          <w:sz w:val="28"/>
          <w:szCs w:val="28"/>
        </w:rPr>
        <w:t>(</w:t>
      </w:r>
      <w:r w:rsidRPr="00D55DC6">
        <w:rPr>
          <w:rFonts w:eastAsia="標楷體"/>
          <w:sz w:val="28"/>
          <w:szCs w:val="28"/>
        </w:rPr>
        <w:t>整</w:t>
      </w:r>
      <w:r w:rsidRPr="00D55DC6">
        <w:rPr>
          <w:rFonts w:eastAsia="標楷體"/>
          <w:sz w:val="28"/>
          <w:szCs w:val="28"/>
        </w:rPr>
        <w:t>)</w:t>
      </w:r>
      <w:r w:rsidRPr="00D55DC6">
        <w:rPr>
          <w:rFonts w:eastAsia="標楷體"/>
          <w:sz w:val="28"/>
          <w:szCs w:val="28"/>
        </w:rPr>
        <w:t>建（日月潭國家風景區）。</w:t>
      </w:r>
    </w:p>
    <w:p w:rsidR="000C2A04" w:rsidRPr="00D55DC6" w:rsidRDefault="000C2A04" w:rsidP="0038165F">
      <w:pPr>
        <w:pStyle w:val="af2"/>
        <w:numPr>
          <w:ilvl w:val="1"/>
          <w:numId w:val="17"/>
        </w:numPr>
        <w:snapToGrid w:val="0"/>
        <w:spacing w:line="460" w:lineRule="exact"/>
        <w:ind w:leftChars="0" w:left="1701"/>
        <w:jc w:val="both"/>
        <w:rPr>
          <w:rFonts w:eastAsia="標楷體"/>
          <w:sz w:val="28"/>
          <w:szCs w:val="28"/>
        </w:rPr>
      </w:pPr>
      <w:r w:rsidRPr="00D55DC6">
        <w:rPr>
          <w:rFonts w:eastAsia="標楷體"/>
          <w:sz w:val="28"/>
          <w:szCs w:val="28"/>
        </w:rPr>
        <w:t>強化南庄、谷關及松柏嶺遊憩區旅遊服務設施及環境改善（參山國家風景區）。</w:t>
      </w:r>
    </w:p>
    <w:p w:rsidR="000C2A04" w:rsidRPr="00D55DC6" w:rsidRDefault="000C2A04" w:rsidP="00A43131">
      <w:pPr>
        <w:pStyle w:val="af2"/>
        <w:numPr>
          <w:ilvl w:val="1"/>
          <w:numId w:val="17"/>
        </w:numPr>
        <w:snapToGrid w:val="0"/>
        <w:spacing w:line="460" w:lineRule="exact"/>
        <w:ind w:leftChars="0" w:left="1701"/>
        <w:jc w:val="both"/>
        <w:rPr>
          <w:rFonts w:eastAsia="標楷體"/>
          <w:sz w:val="28"/>
          <w:szCs w:val="28"/>
        </w:rPr>
      </w:pPr>
      <w:r w:rsidRPr="00D55DC6">
        <w:rPr>
          <w:rFonts w:eastAsia="標楷體"/>
          <w:sz w:val="28"/>
          <w:szCs w:val="28"/>
        </w:rPr>
        <w:t>完善臺</w:t>
      </w:r>
      <w:r w:rsidRPr="00D55DC6">
        <w:rPr>
          <w:rFonts w:eastAsia="標楷體"/>
          <w:sz w:val="28"/>
          <w:szCs w:val="28"/>
        </w:rPr>
        <w:t>18</w:t>
      </w:r>
      <w:r w:rsidRPr="00D55DC6">
        <w:rPr>
          <w:rFonts w:eastAsia="標楷體"/>
          <w:sz w:val="28"/>
          <w:szCs w:val="28"/>
        </w:rPr>
        <w:t>線遊憩系統入口門戶與旅遊路廊之營造，推動</w:t>
      </w:r>
      <w:r w:rsidR="00A43131" w:rsidRPr="00D55DC6">
        <w:rPr>
          <w:rFonts w:eastAsia="標楷體"/>
          <w:sz w:val="28"/>
          <w:szCs w:val="28"/>
        </w:rPr>
        <w:t>觸口、隙頂、奮起湖、石棹、頂湖、光華</w:t>
      </w:r>
      <w:r w:rsidRPr="00D55DC6">
        <w:rPr>
          <w:rFonts w:eastAsia="標楷體"/>
          <w:sz w:val="28"/>
          <w:szCs w:val="28"/>
        </w:rPr>
        <w:t>等亮點旅遊環境與特色景觀營造（阿里山國家風景區）。</w:t>
      </w:r>
    </w:p>
    <w:p w:rsidR="000C2A04" w:rsidRPr="00D55DC6" w:rsidRDefault="000C2A04" w:rsidP="0038165F">
      <w:pPr>
        <w:pStyle w:val="af2"/>
        <w:numPr>
          <w:ilvl w:val="1"/>
          <w:numId w:val="17"/>
        </w:numPr>
        <w:snapToGrid w:val="0"/>
        <w:spacing w:line="460" w:lineRule="exact"/>
        <w:ind w:leftChars="0" w:left="1701"/>
        <w:jc w:val="both"/>
        <w:rPr>
          <w:rFonts w:eastAsia="標楷體"/>
          <w:sz w:val="28"/>
          <w:szCs w:val="28"/>
        </w:rPr>
      </w:pPr>
      <w:r w:rsidRPr="00D55DC6">
        <w:rPr>
          <w:rFonts w:eastAsia="標楷體"/>
          <w:sz w:val="28"/>
          <w:szCs w:val="28"/>
        </w:rPr>
        <w:t>完成北門及將軍七股地區服務設施改善（雲嘉南濱海國家風景區）。</w:t>
      </w:r>
    </w:p>
    <w:p w:rsidR="000C2A04" w:rsidRPr="00D55DC6" w:rsidRDefault="000C2A04" w:rsidP="0038165F">
      <w:pPr>
        <w:pStyle w:val="af2"/>
        <w:numPr>
          <w:ilvl w:val="1"/>
          <w:numId w:val="17"/>
        </w:numPr>
        <w:snapToGrid w:val="0"/>
        <w:spacing w:line="460" w:lineRule="exact"/>
        <w:ind w:leftChars="0" w:left="1701"/>
        <w:jc w:val="both"/>
        <w:rPr>
          <w:rFonts w:eastAsia="標楷體"/>
          <w:sz w:val="28"/>
          <w:szCs w:val="28"/>
        </w:rPr>
      </w:pPr>
      <w:r w:rsidRPr="00D55DC6">
        <w:rPr>
          <w:rFonts w:eastAsia="標楷體"/>
          <w:sz w:val="28"/>
          <w:szCs w:val="28"/>
        </w:rPr>
        <w:t>完善關子嶺及烏山頭遊憩區景觀改善暨西拉雅行政中心及遊客中心新建（西拉雅國家風景區）。</w:t>
      </w:r>
    </w:p>
    <w:p w:rsidR="000C2A04" w:rsidRPr="00D55DC6" w:rsidRDefault="000C2A04" w:rsidP="0038165F">
      <w:pPr>
        <w:pStyle w:val="af2"/>
        <w:numPr>
          <w:ilvl w:val="1"/>
          <w:numId w:val="17"/>
        </w:numPr>
        <w:snapToGrid w:val="0"/>
        <w:spacing w:line="460" w:lineRule="exact"/>
        <w:ind w:leftChars="0" w:left="1701"/>
        <w:jc w:val="both"/>
        <w:rPr>
          <w:rFonts w:eastAsia="標楷體"/>
          <w:sz w:val="28"/>
          <w:szCs w:val="28"/>
        </w:rPr>
      </w:pPr>
      <w:r w:rsidRPr="00D55DC6">
        <w:rPr>
          <w:rFonts w:eastAsia="標楷體"/>
          <w:sz w:val="28"/>
          <w:szCs w:val="28"/>
        </w:rPr>
        <w:t>完善新威茂林及賽嘉遊憩區服務設施改善暨新威遊客暨行政管理中心新建（茂林國家風景區）。</w:t>
      </w:r>
    </w:p>
    <w:p w:rsidR="000C2A04" w:rsidRPr="00D55DC6" w:rsidRDefault="000C2A04" w:rsidP="0038165F">
      <w:pPr>
        <w:pStyle w:val="af2"/>
        <w:numPr>
          <w:ilvl w:val="1"/>
          <w:numId w:val="17"/>
        </w:numPr>
        <w:snapToGrid w:val="0"/>
        <w:spacing w:line="460" w:lineRule="exact"/>
        <w:ind w:leftChars="0" w:left="1701"/>
        <w:jc w:val="both"/>
        <w:rPr>
          <w:rFonts w:eastAsia="標楷體"/>
          <w:sz w:val="28"/>
          <w:szCs w:val="28"/>
        </w:rPr>
      </w:pPr>
      <w:r w:rsidRPr="00D55DC6">
        <w:rPr>
          <w:rFonts w:eastAsia="標楷體"/>
          <w:sz w:val="28"/>
          <w:szCs w:val="28"/>
        </w:rPr>
        <w:t>建設大鵬灣國家風景區為具國際級船舶水上活動觀光</w:t>
      </w:r>
      <w:r w:rsidR="00EA38C5" w:rsidRPr="00D55DC6">
        <w:rPr>
          <w:rFonts w:eastAsia="標楷體"/>
          <w:sz w:val="28"/>
          <w:szCs w:val="28"/>
        </w:rPr>
        <w:t>度假</w:t>
      </w:r>
      <w:r w:rsidRPr="00D55DC6">
        <w:rPr>
          <w:rFonts w:eastAsia="標楷體"/>
          <w:sz w:val="28"/>
          <w:szCs w:val="28"/>
        </w:rPr>
        <w:t>區，推動各項基礎建設及</w:t>
      </w:r>
      <w:r w:rsidRPr="00D55DC6">
        <w:rPr>
          <w:rFonts w:eastAsia="標楷體"/>
          <w:sz w:val="28"/>
          <w:szCs w:val="28"/>
        </w:rPr>
        <w:t>BOT</w:t>
      </w:r>
      <w:r w:rsidRPr="00D55DC6">
        <w:rPr>
          <w:rFonts w:eastAsia="標楷體"/>
          <w:sz w:val="28"/>
          <w:szCs w:val="28"/>
        </w:rPr>
        <w:t>開發建設、打造濱灣公園成為水上活動、船舶活動地新亮點（大鵬灣國家風景區）。</w:t>
      </w:r>
    </w:p>
    <w:p w:rsidR="000C2A04" w:rsidRPr="00D55DC6" w:rsidRDefault="000C2A04" w:rsidP="0038165F">
      <w:pPr>
        <w:pStyle w:val="af2"/>
        <w:numPr>
          <w:ilvl w:val="1"/>
          <w:numId w:val="17"/>
        </w:numPr>
        <w:snapToGrid w:val="0"/>
        <w:spacing w:line="460" w:lineRule="exact"/>
        <w:ind w:leftChars="0" w:left="1843" w:hanging="622"/>
        <w:jc w:val="both"/>
        <w:rPr>
          <w:rFonts w:eastAsia="標楷體"/>
          <w:sz w:val="28"/>
          <w:szCs w:val="28"/>
        </w:rPr>
      </w:pPr>
      <w:r w:rsidRPr="00D55DC6">
        <w:rPr>
          <w:rFonts w:eastAsia="標楷體"/>
          <w:sz w:val="28"/>
          <w:szCs w:val="28"/>
        </w:rPr>
        <w:t>強化綠島、小野柳</w:t>
      </w:r>
      <w:r w:rsidRPr="00D55DC6">
        <w:rPr>
          <w:rFonts w:eastAsia="標楷體"/>
          <w:sz w:val="28"/>
          <w:szCs w:val="28"/>
        </w:rPr>
        <w:t>/</w:t>
      </w:r>
      <w:r w:rsidRPr="00D55DC6">
        <w:rPr>
          <w:rFonts w:eastAsia="標楷體"/>
          <w:sz w:val="28"/>
          <w:szCs w:val="28"/>
        </w:rPr>
        <w:t>都蘭、成功</w:t>
      </w:r>
      <w:r w:rsidRPr="00D55DC6">
        <w:rPr>
          <w:rFonts w:eastAsia="標楷體"/>
          <w:sz w:val="28"/>
          <w:szCs w:val="28"/>
        </w:rPr>
        <w:t>/</w:t>
      </w:r>
      <w:r w:rsidRPr="00D55DC6">
        <w:rPr>
          <w:rFonts w:eastAsia="標楷體"/>
          <w:sz w:val="28"/>
          <w:szCs w:val="28"/>
        </w:rPr>
        <w:t>三仙台及石梯</w:t>
      </w:r>
      <w:r w:rsidRPr="00D55DC6">
        <w:rPr>
          <w:rFonts w:eastAsia="標楷體"/>
          <w:sz w:val="28"/>
          <w:szCs w:val="28"/>
        </w:rPr>
        <w:t>/</w:t>
      </w:r>
      <w:r w:rsidRPr="00D55DC6">
        <w:rPr>
          <w:rFonts w:eastAsia="標楷體"/>
          <w:sz w:val="28"/>
          <w:szCs w:val="28"/>
        </w:rPr>
        <w:t>秀姑巒公共設施及</w:t>
      </w:r>
      <w:r w:rsidR="00397CE7" w:rsidRPr="00D55DC6">
        <w:rPr>
          <w:rFonts w:eastAsia="標楷體"/>
          <w:sz w:val="28"/>
          <w:szCs w:val="28"/>
        </w:rPr>
        <w:t>周邊</w:t>
      </w:r>
      <w:r w:rsidRPr="00D55DC6">
        <w:rPr>
          <w:rFonts w:eastAsia="標楷體"/>
          <w:sz w:val="28"/>
          <w:szCs w:val="28"/>
        </w:rPr>
        <w:t>景觀改善（東部海岸國家風景區）。</w:t>
      </w:r>
    </w:p>
    <w:p w:rsidR="000C2A04" w:rsidRPr="00D55DC6" w:rsidRDefault="000C2A04" w:rsidP="0038165F">
      <w:pPr>
        <w:pStyle w:val="af2"/>
        <w:numPr>
          <w:ilvl w:val="1"/>
          <w:numId w:val="17"/>
        </w:numPr>
        <w:snapToGrid w:val="0"/>
        <w:spacing w:line="460" w:lineRule="exact"/>
        <w:ind w:leftChars="0" w:left="1843" w:hanging="622"/>
        <w:jc w:val="both"/>
        <w:rPr>
          <w:rFonts w:eastAsia="標楷體"/>
          <w:sz w:val="28"/>
          <w:szCs w:val="28"/>
        </w:rPr>
      </w:pPr>
      <w:r w:rsidRPr="00D55DC6">
        <w:rPr>
          <w:rFonts w:eastAsia="標楷體"/>
          <w:sz w:val="28"/>
          <w:szCs w:val="28"/>
        </w:rPr>
        <w:t>建置鯉魚潭風景區無障礙設施及周邊環境、鹿野龍田地區</w:t>
      </w:r>
      <w:r w:rsidRPr="00D55DC6">
        <w:rPr>
          <w:rFonts w:eastAsia="標楷體"/>
          <w:sz w:val="28"/>
          <w:szCs w:val="28"/>
        </w:rPr>
        <w:lastRenderedPageBreak/>
        <w:t>空域活動設施改善（花東縱谷國家風景區）。</w:t>
      </w:r>
    </w:p>
    <w:p w:rsidR="000C2A04" w:rsidRPr="00D55DC6" w:rsidRDefault="000C2A04" w:rsidP="0038165F">
      <w:pPr>
        <w:pStyle w:val="af2"/>
        <w:numPr>
          <w:ilvl w:val="1"/>
          <w:numId w:val="17"/>
        </w:numPr>
        <w:snapToGrid w:val="0"/>
        <w:spacing w:line="460" w:lineRule="exact"/>
        <w:ind w:leftChars="0" w:left="1843" w:hanging="622"/>
        <w:jc w:val="both"/>
        <w:rPr>
          <w:rFonts w:eastAsia="標楷體"/>
          <w:sz w:val="28"/>
          <w:szCs w:val="28"/>
        </w:rPr>
      </w:pPr>
      <w:r w:rsidRPr="00D55DC6">
        <w:rPr>
          <w:rFonts w:eastAsia="標楷體"/>
          <w:sz w:val="28"/>
          <w:szCs w:val="28"/>
        </w:rPr>
        <w:t>完成澎湖遊客中心、隘門遊憩區、吉貝遊憩區、桶盤嶼地質公園及望安綠蠵龜保育中心設施改善（澎湖國家風景區）。</w:t>
      </w:r>
    </w:p>
    <w:p w:rsidR="000C2A04" w:rsidRPr="00D55DC6" w:rsidRDefault="000C2A04" w:rsidP="0038165F">
      <w:pPr>
        <w:pStyle w:val="af2"/>
        <w:numPr>
          <w:ilvl w:val="1"/>
          <w:numId w:val="17"/>
        </w:numPr>
        <w:snapToGrid w:val="0"/>
        <w:spacing w:line="460" w:lineRule="exact"/>
        <w:ind w:leftChars="0" w:left="1843" w:hanging="622"/>
        <w:jc w:val="both"/>
        <w:rPr>
          <w:rFonts w:eastAsia="標楷體"/>
          <w:sz w:val="28"/>
          <w:szCs w:val="28"/>
        </w:rPr>
      </w:pPr>
      <w:r w:rsidRPr="00D55DC6">
        <w:rPr>
          <w:rFonts w:eastAsia="標楷體"/>
          <w:sz w:val="28"/>
          <w:szCs w:val="28"/>
        </w:rPr>
        <w:t>建置南竿系統為具國際觀光潛力之重要景點，擴充媽祖宗教文化園區服務設施；北竿遊憩系統發展軍事遊憩及生態體驗，營造芹壁聚落深度體驗旅遊環境（馬祖國家風景區）。</w:t>
      </w:r>
    </w:p>
    <w:p w:rsidR="000C2A04" w:rsidRPr="00D55DC6" w:rsidRDefault="000C2A04" w:rsidP="0038165F">
      <w:pPr>
        <w:spacing w:line="460" w:lineRule="exact"/>
        <w:ind w:left="360"/>
        <w:jc w:val="both"/>
        <w:rPr>
          <w:rFonts w:eastAsia="標楷體"/>
          <w:sz w:val="28"/>
          <w:szCs w:val="28"/>
        </w:rPr>
      </w:pPr>
    </w:p>
    <w:p w:rsidR="000C2A04" w:rsidRPr="00D55DC6" w:rsidRDefault="000C2A04" w:rsidP="0038165F">
      <w:pPr>
        <w:pStyle w:val="af2"/>
        <w:numPr>
          <w:ilvl w:val="2"/>
          <w:numId w:val="10"/>
        </w:numPr>
        <w:snapToGrid w:val="0"/>
        <w:spacing w:line="460" w:lineRule="exact"/>
        <w:ind w:leftChars="0" w:left="1134" w:hanging="283"/>
        <w:jc w:val="both"/>
        <w:rPr>
          <w:rFonts w:eastAsia="標楷體"/>
          <w:b/>
          <w:sz w:val="28"/>
          <w:szCs w:val="28"/>
        </w:rPr>
      </w:pPr>
      <w:r w:rsidRPr="00D55DC6">
        <w:rPr>
          <w:rFonts w:eastAsia="標楷體"/>
          <w:b/>
          <w:sz w:val="28"/>
          <w:szCs w:val="28"/>
        </w:rPr>
        <w:t>國內觀光重要景點</w:t>
      </w:r>
    </w:p>
    <w:p w:rsidR="000C2A04" w:rsidRPr="00D55DC6" w:rsidRDefault="000C2A04" w:rsidP="0038165F">
      <w:pPr>
        <w:numPr>
          <w:ilvl w:val="0"/>
          <w:numId w:val="16"/>
        </w:numPr>
        <w:tabs>
          <w:tab w:val="clear" w:pos="840"/>
          <w:tab w:val="num" w:pos="1701"/>
        </w:tabs>
        <w:spacing w:line="460" w:lineRule="exact"/>
        <w:ind w:left="1701" w:hanging="567"/>
        <w:jc w:val="both"/>
        <w:rPr>
          <w:rFonts w:eastAsia="標楷體"/>
          <w:sz w:val="28"/>
          <w:szCs w:val="28"/>
        </w:rPr>
      </w:pPr>
      <w:r w:rsidRPr="00D55DC6">
        <w:rPr>
          <w:rFonts w:eastAsia="標楷體"/>
          <w:sz w:val="28"/>
          <w:szCs w:val="28"/>
        </w:rPr>
        <w:t>南雅鹽寮遊憩區、大里大溪遊憩區及宜蘭海岸遊憩區周邊景點設施品質改善（東北角暨宜蘭海岸國家風景區）。</w:t>
      </w:r>
    </w:p>
    <w:p w:rsidR="000C2A04" w:rsidRPr="00D55DC6" w:rsidRDefault="000C2A04" w:rsidP="0038165F">
      <w:pPr>
        <w:numPr>
          <w:ilvl w:val="0"/>
          <w:numId w:val="16"/>
        </w:numPr>
        <w:tabs>
          <w:tab w:val="clear" w:pos="840"/>
          <w:tab w:val="num" w:pos="1701"/>
        </w:tabs>
        <w:spacing w:line="460" w:lineRule="exact"/>
        <w:ind w:left="1701" w:hanging="567"/>
        <w:jc w:val="both"/>
        <w:rPr>
          <w:rFonts w:eastAsia="標楷體"/>
          <w:sz w:val="28"/>
          <w:szCs w:val="28"/>
        </w:rPr>
      </w:pPr>
      <w:r w:rsidRPr="00D55DC6">
        <w:rPr>
          <w:rFonts w:eastAsia="標楷體"/>
          <w:sz w:val="28"/>
          <w:szCs w:val="28"/>
        </w:rPr>
        <w:t>三芝石門及觀音山遊憩區服務設施及環境景觀改善，賡續辦理自行車道路網延伸及路廊景觀改善（北海岸及觀音山國家風景區）。</w:t>
      </w:r>
    </w:p>
    <w:p w:rsidR="000C2A04" w:rsidRPr="00D55DC6" w:rsidRDefault="000C2A04" w:rsidP="0038165F">
      <w:pPr>
        <w:numPr>
          <w:ilvl w:val="0"/>
          <w:numId w:val="16"/>
        </w:numPr>
        <w:tabs>
          <w:tab w:val="clear" w:pos="840"/>
          <w:tab w:val="num" w:pos="1701"/>
        </w:tabs>
        <w:spacing w:line="460" w:lineRule="exact"/>
        <w:ind w:left="1701" w:hanging="567"/>
        <w:jc w:val="both"/>
        <w:rPr>
          <w:rFonts w:eastAsia="標楷體"/>
          <w:sz w:val="28"/>
          <w:szCs w:val="28"/>
        </w:rPr>
      </w:pPr>
      <w:r w:rsidRPr="00D55DC6">
        <w:rPr>
          <w:rFonts w:eastAsia="標楷體"/>
          <w:sz w:val="28"/>
          <w:szCs w:val="28"/>
        </w:rPr>
        <w:t>埔里、集集水里及濁水溪遊憩系統周邊景觀改善及公共設施新</w:t>
      </w:r>
      <w:r w:rsidRPr="00D55DC6">
        <w:rPr>
          <w:rFonts w:eastAsia="標楷體"/>
          <w:sz w:val="28"/>
          <w:szCs w:val="28"/>
        </w:rPr>
        <w:t>(</w:t>
      </w:r>
      <w:r w:rsidRPr="00D55DC6">
        <w:rPr>
          <w:rFonts w:eastAsia="標楷體"/>
          <w:sz w:val="28"/>
          <w:szCs w:val="28"/>
        </w:rPr>
        <w:t>整</w:t>
      </w:r>
      <w:r w:rsidRPr="00D55DC6">
        <w:rPr>
          <w:rFonts w:eastAsia="標楷體"/>
          <w:sz w:val="28"/>
          <w:szCs w:val="28"/>
        </w:rPr>
        <w:t>)</w:t>
      </w:r>
      <w:r w:rsidRPr="00D55DC6">
        <w:rPr>
          <w:rFonts w:eastAsia="標楷體"/>
          <w:sz w:val="28"/>
          <w:szCs w:val="28"/>
        </w:rPr>
        <w:t>建（日月潭國家風景區）。</w:t>
      </w:r>
    </w:p>
    <w:p w:rsidR="000C2A04" w:rsidRPr="00D55DC6" w:rsidRDefault="000C2A04" w:rsidP="0038165F">
      <w:pPr>
        <w:numPr>
          <w:ilvl w:val="0"/>
          <w:numId w:val="16"/>
        </w:numPr>
        <w:tabs>
          <w:tab w:val="clear" w:pos="840"/>
          <w:tab w:val="num" w:pos="1701"/>
        </w:tabs>
        <w:spacing w:line="460" w:lineRule="exact"/>
        <w:ind w:left="1701" w:hanging="567"/>
        <w:jc w:val="both"/>
        <w:rPr>
          <w:rFonts w:eastAsia="標楷體"/>
          <w:sz w:val="28"/>
          <w:szCs w:val="28"/>
        </w:rPr>
      </w:pPr>
      <w:r w:rsidRPr="00D55DC6">
        <w:rPr>
          <w:rFonts w:eastAsia="標楷體"/>
          <w:sz w:val="28"/>
          <w:szCs w:val="28"/>
        </w:rPr>
        <w:t>獅頭山、八卦山及梨山遊憩區旅遊服務設施改善，轄區沿線休憩據點公共服務設施改善、景觀綠美化及入口意象改善（參山國家風景區）。</w:t>
      </w:r>
    </w:p>
    <w:p w:rsidR="000C2A04" w:rsidRPr="00D55DC6" w:rsidRDefault="000C2A04" w:rsidP="0038165F">
      <w:pPr>
        <w:numPr>
          <w:ilvl w:val="0"/>
          <w:numId w:val="16"/>
        </w:numPr>
        <w:tabs>
          <w:tab w:val="clear" w:pos="840"/>
          <w:tab w:val="num" w:pos="1701"/>
        </w:tabs>
        <w:spacing w:line="460" w:lineRule="exact"/>
        <w:ind w:left="1701" w:hanging="567"/>
        <w:jc w:val="both"/>
        <w:rPr>
          <w:rFonts w:eastAsia="標楷體"/>
          <w:sz w:val="28"/>
          <w:szCs w:val="28"/>
        </w:rPr>
      </w:pPr>
      <w:r w:rsidRPr="00D55DC6">
        <w:rPr>
          <w:rFonts w:eastAsia="標楷體"/>
          <w:sz w:val="28"/>
          <w:szCs w:val="28"/>
        </w:rPr>
        <w:t>鄒族文化及西北廊道遊憩系統服務設施與景觀改善（阿里山國家風景區）。</w:t>
      </w:r>
    </w:p>
    <w:p w:rsidR="000C2A04" w:rsidRPr="00D55DC6" w:rsidRDefault="000C2A04" w:rsidP="0038165F">
      <w:pPr>
        <w:numPr>
          <w:ilvl w:val="0"/>
          <w:numId w:val="16"/>
        </w:numPr>
        <w:tabs>
          <w:tab w:val="clear" w:pos="840"/>
          <w:tab w:val="num" w:pos="1701"/>
        </w:tabs>
        <w:spacing w:line="460" w:lineRule="exact"/>
        <w:ind w:left="1701" w:hanging="567"/>
        <w:jc w:val="both"/>
        <w:rPr>
          <w:rFonts w:eastAsia="標楷體"/>
          <w:sz w:val="28"/>
          <w:szCs w:val="28"/>
        </w:rPr>
      </w:pPr>
      <w:r w:rsidRPr="00D55DC6">
        <w:rPr>
          <w:rFonts w:eastAsia="標楷體"/>
          <w:sz w:val="28"/>
          <w:szCs w:val="28"/>
        </w:rPr>
        <w:t>東石布袋及四湖口湖地區服務設施改善（雲嘉南濱海國家風景區）。</w:t>
      </w:r>
    </w:p>
    <w:p w:rsidR="000C2A04" w:rsidRPr="00D55DC6" w:rsidRDefault="000C2A04" w:rsidP="0038165F">
      <w:pPr>
        <w:numPr>
          <w:ilvl w:val="0"/>
          <w:numId w:val="16"/>
        </w:numPr>
        <w:tabs>
          <w:tab w:val="clear" w:pos="840"/>
          <w:tab w:val="num" w:pos="1701"/>
        </w:tabs>
        <w:spacing w:line="460" w:lineRule="exact"/>
        <w:ind w:left="1701" w:hanging="567"/>
        <w:jc w:val="both"/>
        <w:rPr>
          <w:rFonts w:eastAsia="標楷體"/>
          <w:sz w:val="28"/>
          <w:szCs w:val="28"/>
        </w:rPr>
      </w:pPr>
      <w:r w:rsidRPr="00D55DC6">
        <w:rPr>
          <w:rFonts w:eastAsia="標楷體"/>
          <w:sz w:val="28"/>
          <w:szCs w:val="28"/>
        </w:rPr>
        <w:t>曾文</w:t>
      </w:r>
      <w:r w:rsidRPr="00D55DC6">
        <w:rPr>
          <w:rFonts w:eastAsia="標楷體"/>
          <w:sz w:val="28"/>
          <w:szCs w:val="28"/>
        </w:rPr>
        <w:t>/</w:t>
      </w:r>
      <w:r w:rsidRPr="00D55DC6">
        <w:rPr>
          <w:rFonts w:eastAsia="標楷體"/>
          <w:sz w:val="28"/>
          <w:szCs w:val="28"/>
        </w:rPr>
        <w:t>中埔、左鎮及虎頭埤遊憩區景觀改善及公共設施新</w:t>
      </w:r>
      <w:r w:rsidRPr="00D55DC6">
        <w:rPr>
          <w:rFonts w:eastAsia="標楷體"/>
          <w:sz w:val="28"/>
          <w:szCs w:val="28"/>
        </w:rPr>
        <w:t>(</w:t>
      </w:r>
      <w:r w:rsidRPr="00D55DC6">
        <w:rPr>
          <w:rFonts w:eastAsia="標楷體"/>
          <w:sz w:val="28"/>
          <w:szCs w:val="28"/>
        </w:rPr>
        <w:t>整</w:t>
      </w:r>
      <w:r w:rsidRPr="00D55DC6">
        <w:rPr>
          <w:rFonts w:eastAsia="標楷體"/>
          <w:sz w:val="28"/>
          <w:szCs w:val="28"/>
        </w:rPr>
        <w:t>)</w:t>
      </w:r>
      <w:r w:rsidRPr="00D55DC6">
        <w:rPr>
          <w:rFonts w:eastAsia="標楷體"/>
          <w:sz w:val="28"/>
          <w:szCs w:val="28"/>
        </w:rPr>
        <w:t>建（西拉雅國家風景區）。</w:t>
      </w:r>
    </w:p>
    <w:p w:rsidR="000C2A04" w:rsidRPr="00D55DC6" w:rsidRDefault="000C2A04" w:rsidP="0038165F">
      <w:pPr>
        <w:numPr>
          <w:ilvl w:val="0"/>
          <w:numId w:val="16"/>
        </w:numPr>
        <w:tabs>
          <w:tab w:val="clear" w:pos="840"/>
          <w:tab w:val="num" w:pos="1701"/>
        </w:tabs>
        <w:spacing w:line="460" w:lineRule="exact"/>
        <w:ind w:left="1701" w:hanging="567"/>
        <w:jc w:val="both"/>
        <w:rPr>
          <w:rFonts w:eastAsia="標楷體"/>
          <w:sz w:val="28"/>
          <w:szCs w:val="28"/>
        </w:rPr>
      </w:pPr>
      <w:r w:rsidRPr="00D55DC6">
        <w:rPr>
          <w:rFonts w:eastAsia="標楷體"/>
          <w:sz w:val="28"/>
          <w:szCs w:val="28"/>
        </w:rPr>
        <w:t>荖濃及屏北遊憩系統服務設施改善（茂林國家風景區）。</w:t>
      </w:r>
    </w:p>
    <w:p w:rsidR="000C2A04" w:rsidRPr="00D55DC6" w:rsidRDefault="000C2A04" w:rsidP="0038165F">
      <w:pPr>
        <w:numPr>
          <w:ilvl w:val="0"/>
          <w:numId w:val="16"/>
        </w:numPr>
        <w:tabs>
          <w:tab w:val="clear" w:pos="840"/>
          <w:tab w:val="num" w:pos="1701"/>
        </w:tabs>
        <w:spacing w:line="460" w:lineRule="exact"/>
        <w:ind w:left="1701" w:hanging="567"/>
        <w:jc w:val="both"/>
        <w:rPr>
          <w:rFonts w:eastAsia="標楷體"/>
          <w:sz w:val="28"/>
          <w:szCs w:val="28"/>
        </w:rPr>
      </w:pPr>
      <w:r w:rsidRPr="00D55DC6">
        <w:rPr>
          <w:rFonts w:eastAsia="標楷體"/>
          <w:sz w:val="28"/>
          <w:szCs w:val="28"/>
        </w:rPr>
        <w:t>建立小琉球為珊瑚礁生態學習島、推動小琉球潮間帶管制及「濱海休閒</w:t>
      </w:r>
      <w:r w:rsidR="00EA38C5" w:rsidRPr="00D55DC6">
        <w:rPr>
          <w:rFonts w:eastAsia="標楷體"/>
          <w:sz w:val="28"/>
          <w:szCs w:val="28"/>
        </w:rPr>
        <w:t>度假</w:t>
      </w:r>
      <w:r w:rsidRPr="00D55DC6">
        <w:rPr>
          <w:rFonts w:eastAsia="標楷體"/>
          <w:sz w:val="28"/>
          <w:szCs w:val="28"/>
        </w:rPr>
        <w:t>區」民間參與（大鵬灣國家風景區）。</w:t>
      </w:r>
    </w:p>
    <w:p w:rsidR="000C2A04" w:rsidRPr="00D55DC6" w:rsidRDefault="000C2A04" w:rsidP="0038165F">
      <w:pPr>
        <w:numPr>
          <w:ilvl w:val="0"/>
          <w:numId w:val="16"/>
        </w:numPr>
        <w:tabs>
          <w:tab w:val="clear" w:pos="840"/>
          <w:tab w:val="num" w:pos="1843"/>
        </w:tabs>
        <w:spacing w:line="460" w:lineRule="exact"/>
        <w:ind w:left="1843" w:hanging="709"/>
        <w:jc w:val="both"/>
        <w:rPr>
          <w:rFonts w:eastAsia="標楷體"/>
          <w:sz w:val="28"/>
          <w:szCs w:val="28"/>
        </w:rPr>
      </w:pPr>
      <w:r w:rsidRPr="00D55DC6">
        <w:rPr>
          <w:rFonts w:eastAsia="標楷體"/>
          <w:sz w:val="28"/>
          <w:szCs w:val="28"/>
        </w:rPr>
        <w:t>磯崎</w:t>
      </w:r>
      <w:r w:rsidRPr="00D55DC6">
        <w:rPr>
          <w:rFonts w:eastAsia="標楷體"/>
          <w:sz w:val="28"/>
          <w:szCs w:val="28"/>
        </w:rPr>
        <w:t>/</w:t>
      </w:r>
      <w:r w:rsidRPr="00D55DC6">
        <w:rPr>
          <w:rFonts w:eastAsia="標楷體"/>
          <w:sz w:val="28"/>
          <w:szCs w:val="28"/>
        </w:rPr>
        <w:t>鹽寮系統公共設施及</w:t>
      </w:r>
      <w:r w:rsidR="00397CE7" w:rsidRPr="00D55DC6">
        <w:rPr>
          <w:rFonts w:eastAsia="標楷體"/>
          <w:sz w:val="28"/>
          <w:szCs w:val="28"/>
        </w:rPr>
        <w:t>周邊</w:t>
      </w:r>
      <w:r w:rsidRPr="00D55DC6">
        <w:rPr>
          <w:rFonts w:eastAsia="標楷體"/>
          <w:sz w:val="28"/>
          <w:szCs w:val="28"/>
        </w:rPr>
        <w:t>景觀改善（東部海岸國家風</w:t>
      </w:r>
      <w:r w:rsidRPr="00D55DC6">
        <w:rPr>
          <w:rFonts w:eastAsia="標楷體"/>
          <w:sz w:val="28"/>
          <w:szCs w:val="28"/>
        </w:rPr>
        <w:lastRenderedPageBreak/>
        <w:t>景區）。</w:t>
      </w:r>
    </w:p>
    <w:p w:rsidR="000C2A04" w:rsidRPr="00D55DC6" w:rsidRDefault="000C2A04" w:rsidP="0038165F">
      <w:pPr>
        <w:numPr>
          <w:ilvl w:val="0"/>
          <w:numId w:val="16"/>
        </w:numPr>
        <w:tabs>
          <w:tab w:val="clear" w:pos="840"/>
          <w:tab w:val="num" w:pos="1843"/>
        </w:tabs>
        <w:spacing w:line="460" w:lineRule="exact"/>
        <w:ind w:left="1843" w:hanging="709"/>
        <w:jc w:val="both"/>
        <w:rPr>
          <w:rFonts w:eastAsia="標楷體"/>
          <w:sz w:val="28"/>
          <w:szCs w:val="28"/>
        </w:rPr>
      </w:pPr>
      <w:r w:rsidRPr="00D55DC6">
        <w:rPr>
          <w:rFonts w:eastAsia="標楷體"/>
          <w:sz w:val="28"/>
          <w:szCs w:val="28"/>
        </w:rPr>
        <w:t>形塑花東景觀廊道及綠美化、原住民族地區觀光發展場域規劃建置、建構友善自行車旅遊環境及轄內遊憩據點公共設施及周邊環境改善（花東縱谷國家風景區）。</w:t>
      </w:r>
    </w:p>
    <w:p w:rsidR="000C2A04" w:rsidRPr="00D55DC6" w:rsidRDefault="000C2A04" w:rsidP="0038165F">
      <w:pPr>
        <w:numPr>
          <w:ilvl w:val="0"/>
          <w:numId w:val="16"/>
        </w:numPr>
        <w:tabs>
          <w:tab w:val="clear" w:pos="840"/>
          <w:tab w:val="num" w:pos="1843"/>
        </w:tabs>
        <w:spacing w:line="460" w:lineRule="exact"/>
        <w:ind w:left="1843" w:hanging="709"/>
        <w:jc w:val="both"/>
        <w:rPr>
          <w:rFonts w:eastAsia="標楷體"/>
          <w:sz w:val="28"/>
          <w:szCs w:val="28"/>
        </w:rPr>
      </w:pPr>
      <w:r w:rsidRPr="00D55DC6">
        <w:rPr>
          <w:rFonts w:eastAsia="標楷體"/>
          <w:sz w:val="28"/>
          <w:szCs w:val="28"/>
        </w:rPr>
        <w:t>菜園休閒漁業區、蛇頭山遊憩區、奎壁山地質公園、岐頭遊客中心、北海遊客中心及七美燈塔遊憩服務設施改善（澎湖國家風景區）。</w:t>
      </w:r>
    </w:p>
    <w:p w:rsidR="000C2A04" w:rsidRPr="00D55DC6" w:rsidRDefault="000C2A04" w:rsidP="0038165F">
      <w:pPr>
        <w:numPr>
          <w:ilvl w:val="0"/>
          <w:numId w:val="16"/>
        </w:numPr>
        <w:tabs>
          <w:tab w:val="clear" w:pos="840"/>
          <w:tab w:val="num" w:pos="1843"/>
        </w:tabs>
        <w:spacing w:line="460" w:lineRule="exact"/>
        <w:ind w:left="1843" w:hanging="709"/>
        <w:jc w:val="both"/>
        <w:rPr>
          <w:rFonts w:eastAsia="標楷體"/>
          <w:sz w:val="28"/>
          <w:szCs w:val="28"/>
        </w:rPr>
      </w:pPr>
      <w:r w:rsidRPr="00D55DC6">
        <w:rPr>
          <w:rFonts w:eastAsia="標楷體"/>
          <w:sz w:val="28"/>
          <w:szCs w:val="28"/>
        </w:rPr>
        <w:t>東引及莒光遊憩系統遊憩設施改善（馬祖國家風景區）。</w:t>
      </w:r>
    </w:p>
    <w:p w:rsidR="00BA1B35" w:rsidRPr="00D55DC6" w:rsidRDefault="00BA1B35" w:rsidP="0038165F">
      <w:pPr>
        <w:pStyle w:val="af2"/>
        <w:suppressAutoHyphens/>
        <w:spacing w:line="460" w:lineRule="exact"/>
        <w:ind w:leftChars="496" w:left="1765" w:hangingChars="205" w:hanging="575"/>
        <w:rPr>
          <w:rFonts w:eastAsia="標楷體"/>
          <w:b/>
          <w:sz w:val="28"/>
          <w:szCs w:val="28"/>
        </w:rPr>
      </w:pPr>
    </w:p>
    <w:p w:rsidR="003E4EAA" w:rsidRPr="00D55DC6" w:rsidRDefault="003E4EAA" w:rsidP="0038165F">
      <w:pPr>
        <w:pStyle w:val="af2"/>
        <w:numPr>
          <w:ilvl w:val="2"/>
          <w:numId w:val="10"/>
        </w:numPr>
        <w:snapToGrid w:val="0"/>
        <w:spacing w:line="460" w:lineRule="exact"/>
        <w:ind w:leftChars="0" w:left="1134" w:hanging="283"/>
        <w:jc w:val="both"/>
        <w:rPr>
          <w:rFonts w:eastAsia="標楷體"/>
          <w:b/>
          <w:sz w:val="28"/>
          <w:szCs w:val="28"/>
        </w:rPr>
      </w:pPr>
      <w:r w:rsidRPr="00D55DC6">
        <w:rPr>
          <w:rFonts w:eastAsia="標楷體"/>
          <w:b/>
          <w:sz w:val="28"/>
          <w:szCs w:val="28"/>
        </w:rPr>
        <w:t>國家風景區經營管理</w:t>
      </w:r>
    </w:p>
    <w:p w:rsidR="004B6B13" w:rsidRPr="00D55DC6" w:rsidRDefault="00921EB1" w:rsidP="0038165F">
      <w:pPr>
        <w:pStyle w:val="af2"/>
        <w:snapToGrid w:val="0"/>
        <w:spacing w:line="460" w:lineRule="exact"/>
        <w:ind w:leftChars="502" w:left="1695" w:hangingChars="175" w:hanging="490"/>
        <w:jc w:val="both"/>
        <w:rPr>
          <w:rFonts w:eastAsia="標楷體"/>
          <w:sz w:val="28"/>
          <w:szCs w:val="28"/>
        </w:rPr>
      </w:pPr>
      <w:r w:rsidRPr="00D55DC6">
        <w:rPr>
          <w:rFonts w:eastAsia="標楷體"/>
          <w:sz w:val="28"/>
          <w:szCs w:val="28"/>
        </w:rPr>
        <w:t>3-1.</w:t>
      </w:r>
      <w:r w:rsidR="004B6B13" w:rsidRPr="00D55DC6">
        <w:rPr>
          <w:rFonts w:eastAsia="標楷體"/>
          <w:sz w:val="28"/>
          <w:szCs w:val="28"/>
        </w:rPr>
        <w:t>用地取得</w:t>
      </w:r>
      <w:r w:rsidR="003C3ABC" w:rsidRPr="00D55DC6">
        <w:rPr>
          <w:rFonts w:eastAsia="標楷體"/>
          <w:sz w:val="28"/>
          <w:szCs w:val="28"/>
        </w:rPr>
        <w:t>：依建設需要辦理土地撥用、協議價購或徵收，以及地上物清理等。</w:t>
      </w:r>
    </w:p>
    <w:p w:rsidR="003C3ABC" w:rsidRPr="00D55DC6" w:rsidRDefault="00921EB1" w:rsidP="0038165F">
      <w:pPr>
        <w:pStyle w:val="af2"/>
        <w:snapToGrid w:val="0"/>
        <w:spacing w:line="460" w:lineRule="exact"/>
        <w:ind w:leftChars="502" w:left="1695" w:hangingChars="175" w:hanging="490"/>
        <w:jc w:val="both"/>
        <w:rPr>
          <w:rFonts w:eastAsia="標楷體"/>
          <w:sz w:val="28"/>
          <w:szCs w:val="28"/>
        </w:rPr>
      </w:pPr>
      <w:r w:rsidRPr="00D55DC6">
        <w:rPr>
          <w:rFonts w:eastAsia="標楷體"/>
          <w:sz w:val="28"/>
          <w:szCs w:val="28"/>
        </w:rPr>
        <w:t>3-2.</w:t>
      </w:r>
      <w:r w:rsidR="004B6B13" w:rsidRPr="00D55DC6">
        <w:rPr>
          <w:rFonts w:eastAsia="標楷體"/>
          <w:sz w:val="28"/>
          <w:szCs w:val="28"/>
        </w:rPr>
        <w:t>先期規劃設計</w:t>
      </w:r>
      <w:r w:rsidR="003C3ABC" w:rsidRPr="00D55DC6">
        <w:rPr>
          <w:rFonts w:eastAsia="標楷體"/>
          <w:sz w:val="28"/>
          <w:szCs w:val="28"/>
        </w:rPr>
        <w:t>：辦理遊憩據點各項先期規劃、資源調查、開發經營管理策略研究及工程建設設計。</w:t>
      </w:r>
    </w:p>
    <w:p w:rsidR="003C3ABC" w:rsidRPr="00D55DC6" w:rsidRDefault="00921EB1" w:rsidP="0038165F">
      <w:pPr>
        <w:pStyle w:val="af2"/>
        <w:snapToGrid w:val="0"/>
        <w:spacing w:line="460" w:lineRule="exact"/>
        <w:ind w:leftChars="502" w:left="1695" w:hangingChars="175" w:hanging="490"/>
        <w:jc w:val="both"/>
        <w:rPr>
          <w:rFonts w:eastAsia="標楷體"/>
          <w:sz w:val="28"/>
          <w:szCs w:val="28"/>
        </w:rPr>
      </w:pPr>
      <w:r w:rsidRPr="00D55DC6">
        <w:rPr>
          <w:rFonts w:eastAsia="標楷體"/>
          <w:sz w:val="28"/>
          <w:szCs w:val="28"/>
        </w:rPr>
        <w:t>3-3.</w:t>
      </w:r>
      <w:r w:rsidR="004B6B13" w:rsidRPr="00D55DC6">
        <w:rPr>
          <w:rFonts w:eastAsia="標楷體"/>
          <w:sz w:val="28"/>
          <w:szCs w:val="28"/>
        </w:rPr>
        <w:t>環境維護及設施維持</w:t>
      </w:r>
      <w:r w:rsidR="003C3ABC" w:rsidRPr="00D55DC6">
        <w:rPr>
          <w:rFonts w:eastAsia="標楷體"/>
          <w:sz w:val="28"/>
          <w:szCs w:val="28"/>
        </w:rPr>
        <w:t>：</w:t>
      </w:r>
      <w:r w:rsidR="00121639" w:rsidRPr="00D55DC6">
        <w:rPr>
          <w:rFonts w:eastAsia="標楷體"/>
          <w:sz w:val="28"/>
          <w:szCs w:val="28"/>
        </w:rPr>
        <w:t>各遊憩據點清潔維護採勞務外包方式辦理，建築物與設施定期巡查及保養，以提升遊客安全。</w:t>
      </w:r>
    </w:p>
    <w:p w:rsidR="00BA1B35" w:rsidRPr="00D55DC6" w:rsidRDefault="00921EB1" w:rsidP="0038165F">
      <w:pPr>
        <w:pStyle w:val="af2"/>
        <w:snapToGrid w:val="0"/>
        <w:spacing w:line="460" w:lineRule="exact"/>
        <w:ind w:leftChars="502" w:left="1695" w:hangingChars="175" w:hanging="490"/>
        <w:jc w:val="both"/>
        <w:rPr>
          <w:rFonts w:eastAsia="標楷體"/>
          <w:sz w:val="28"/>
          <w:szCs w:val="28"/>
        </w:rPr>
      </w:pPr>
      <w:r w:rsidRPr="00D55DC6">
        <w:rPr>
          <w:rFonts w:eastAsia="標楷體"/>
          <w:sz w:val="28"/>
          <w:szCs w:val="28"/>
        </w:rPr>
        <w:t>3-4.</w:t>
      </w:r>
      <w:r w:rsidR="004B6B13" w:rsidRPr="00D55DC6">
        <w:rPr>
          <w:rFonts w:eastAsia="標楷體"/>
          <w:sz w:val="28"/>
          <w:szCs w:val="28"/>
        </w:rPr>
        <w:t>全區災害復舊及一般零星工程</w:t>
      </w:r>
      <w:r w:rsidR="003C3ABC" w:rsidRPr="00D55DC6">
        <w:rPr>
          <w:rFonts w:eastAsia="標楷體"/>
          <w:sz w:val="28"/>
          <w:szCs w:val="28"/>
        </w:rPr>
        <w:t>：</w:t>
      </w:r>
      <w:r w:rsidR="00BA1B35" w:rsidRPr="00D55DC6">
        <w:rPr>
          <w:rFonts w:eastAsia="標楷體"/>
          <w:sz w:val="28"/>
          <w:szCs w:val="28"/>
        </w:rPr>
        <w:t>辦理全區遊憩景點災害緊急修復及興辦其他零星工程等，改善休憩景點設施，豐富遊憩內涵，提升整體旅遊環境品質。</w:t>
      </w:r>
    </w:p>
    <w:p w:rsidR="007822A7" w:rsidRPr="00D55DC6" w:rsidRDefault="007822A7" w:rsidP="0038165F">
      <w:pPr>
        <w:snapToGrid w:val="0"/>
        <w:spacing w:line="0" w:lineRule="atLeast"/>
        <w:ind w:leftChars="700" w:left="1904" w:hangingChars="80" w:hanging="224"/>
        <w:jc w:val="both"/>
        <w:rPr>
          <w:rFonts w:eastAsia="標楷體"/>
          <w:sz w:val="28"/>
          <w:szCs w:val="28"/>
        </w:rPr>
      </w:pPr>
    </w:p>
    <w:p w:rsidR="004B6B13" w:rsidRPr="00D55DC6" w:rsidRDefault="0098266D" w:rsidP="0038165F">
      <w:pPr>
        <w:pStyle w:val="af2"/>
        <w:numPr>
          <w:ilvl w:val="2"/>
          <w:numId w:val="10"/>
        </w:numPr>
        <w:snapToGrid w:val="0"/>
        <w:spacing w:line="460" w:lineRule="exact"/>
        <w:ind w:leftChars="0" w:left="1276" w:hanging="394"/>
        <w:jc w:val="both"/>
        <w:rPr>
          <w:rFonts w:eastAsia="標楷體"/>
          <w:b/>
          <w:sz w:val="28"/>
          <w:szCs w:val="28"/>
        </w:rPr>
      </w:pPr>
      <w:r w:rsidRPr="00D55DC6">
        <w:rPr>
          <w:rFonts w:eastAsia="標楷體"/>
          <w:b/>
          <w:sz w:val="28"/>
          <w:szCs w:val="28"/>
        </w:rPr>
        <w:t>提升觀光建設自償性</w:t>
      </w:r>
      <w:r w:rsidRPr="00D55DC6">
        <w:rPr>
          <w:rFonts w:eastAsia="標楷體"/>
          <w:b/>
          <w:sz w:val="28"/>
          <w:szCs w:val="28"/>
        </w:rPr>
        <w:t xml:space="preserve"> </w:t>
      </w:r>
    </w:p>
    <w:p w:rsidR="008F2CFF" w:rsidRPr="00D55DC6" w:rsidRDefault="000C2A04" w:rsidP="0038165F">
      <w:pPr>
        <w:pStyle w:val="af2"/>
        <w:snapToGrid w:val="0"/>
        <w:spacing w:line="460" w:lineRule="exact"/>
        <w:ind w:leftChars="530" w:left="1275" w:hangingChars="1" w:hanging="3"/>
        <w:jc w:val="both"/>
        <w:rPr>
          <w:rFonts w:eastAsia="標楷體"/>
          <w:sz w:val="28"/>
          <w:szCs w:val="28"/>
        </w:rPr>
      </w:pPr>
      <w:r w:rsidRPr="00D55DC6">
        <w:rPr>
          <w:rFonts w:eastAsia="標楷體"/>
          <w:sz w:val="28"/>
          <w:szCs w:val="28"/>
        </w:rPr>
        <w:t>透過</w:t>
      </w:r>
      <w:r w:rsidR="008F2CFF" w:rsidRPr="00D55DC6">
        <w:rPr>
          <w:rFonts w:eastAsia="標楷體"/>
          <w:sz w:val="28"/>
          <w:szCs w:val="28"/>
        </w:rPr>
        <w:t>設施出租</w:t>
      </w:r>
      <w:r w:rsidRPr="00D55DC6">
        <w:rPr>
          <w:rFonts w:eastAsia="標楷體"/>
          <w:sz w:val="28"/>
          <w:szCs w:val="28"/>
        </w:rPr>
        <w:t>、推動重大促參案件、使用者付費、跨域合作等角度，積極提升觀光建設自償能力。</w:t>
      </w:r>
    </w:p>
    <w:p w:rsidR="005967D4" w:rsidRPr="00D55DC6" w:rsidRDefault="005967D4" w:rsidP="0038165F">
      <w:pPr>
        <w:pStyle w:val="af2"/>
        <w:snapToGrid w:val="0"/>
        <w:spacing w:line="460" w:lineRule="exact"/>
        <w:ind w:leftChars="530" w:left="1275" w:hangingChars="1" w:hanging="3"/>
        <w:jc w:val="both"/>
        <w:rPr>
          <w:rFonts w:eastAsia="標楷體"/>
          <w:sz w:val="28"/>
          <w:szCs w:val="28"/>
        </w:rPr>
      </w:pPr>
    </w:p>
    <w:p w:rsidR="00D46C18" w:rsidRPr="00D55DC6" w:rsidRDefault="00D46C18" w:rsidP="0038165F">
      <w:pPr>
        <w:pStyle w:val="af2"/>
        <w:snapToGrid w:val="0"/>
        <w:spacing w:line="460" w:lineRule="exact"/>
        <w:ind w:leftChars="530" w:left="1275" w:hangingChars="1" w:hanging="3"/>
        <w:jc w:val="both"/>
        <w:rPr>
          <w:rFonts w:eastAsia="標楷體"/>
          <w:sz w:val="28"/>
          <w:szCs w:val="28"/>
        </w:rPr>
      </w:pPr>
    </w:p>
    <w:p w:rsidR="002B3D0C" w:rsidRPr="00D55DC6" w:rsidRDefault="002B3D0C" w:rsidP="0038165F">
      <w:pPr>
        <w:pStyle w:val="a"/>
        <w:ind w:left="709" w:hanging="709"/>
        <w:rPr>
          <w:b/>
        </w:rPr>
      </w:pPr>
      <w:bookmarkStart w:id="50" w:name="_Toc407181634"/>
      <w:r w:rsidRPr="00D55DC6">
        <w:rPr>
          <w:b/>
        </w:rPr>
        <w:t>期程與資源需求</w:t>
      </w:r>
      <w:bookmarkEnd w:id="50"/>
    </w:p>
    <w:p w:rsidR="00443CF9" w:rsidRPr="00D55DC6" w:rsidRDefault="002B3D0C" w:rsidP="0038165F">
      <w:pPr>
        <w:pStyle w:val="af2"/>
        <w:numPr>
          <w:ilvl w:val="0"/>
          <w:numId w:val="18"/>
        </w:numPr>
        <w:snapToGrid w:val="0"/>
        <w:spacing w:line="460" w:lineRule="exact"/>
        <w:ind w:leftChars="0"/>
        <w:jc w:val="both"/>
        <w:rPr>
          <w:rFonts w:eastAsia="標楷體"/>
          <w:b/>
          <w:sz w:val="28"/>
          <w:szCs w:val="28"/>
        </w:rPr>
      </w:pPr>
      <w:r w:rsidRPr="00D55DC6">
        <w:rPr>
          <w:rFonts w:eastAsia="標楷體"/>
          <w:b/>
          <w:sz w:val="28"/>
          <w:szCs w:val="28"/>
        </w:rPr>
        <w:t>計畫期程</w:t>
      </w:r>
    </w:p>
    <w:p w:rsidR="00443CF9" w:rsidRPr="00D55DC6" w:rsidRDefault="00443CF9" w:rsidP="0038165F">
      <w:pPr>
        <w:pStyle w:val="af2"/>
        <w:snapToGrid w:val="0"/>
        <w:spacing w:line="460" w:lineRule="exact"/>
        <w:ind w:leftChars="0" w:left="851" w:hanging="56"/>
        <w:jc w:val="both"/>
        <w:rPr>
          <w:rFonts w:eastAsia="標楷體"/>
          <w:sz w:val="28"/>
          <w:szCs w:val="28"/>
        </w:rPr>
      </w:pPr>
      <w:r w:rsidRPr="00D55DC6">
        <w:rPr>
          <w:rFonts w:eastAsia="標楷體"/>
          <w:sz w:val="28"/>
          <w:szCs w:val="28"/>
        </w:rPr>
        <w:t>自</w:t>
      </w:r>
      <w:r w:rsidRPr="00D55DC6">
        <w:rPr>
          <w:rFonts w:eastAsia="標楷體"/>
          <w:sz w:val="28"/>
          <w:szCs w:val="28"/>
        </w:rPr>
        <w:t>105</w:t>
      </w:r>
      <w:r w:rsidRPr="00D55DC6">
        <w:rPr>
          <w:rFonts w:eastAsia="標楷體"/>
          <w:sz w:val="28"/>
          <w:szCs w:val="28"/>
        </w:rPr>
        <w:t>年至</w:t>
      </w:r>
      <w:r w:rsidRPr="00D55DC6">
        <w:rPr>
          <w:rFonts w:eastAsia="標楷體"/>
          <w:sz w:val="28"/>
          <w:szCs w:val="28"/>
        </w:rPr>
        <w:t>108</w:t>
      </w:r>
      <w:r w:rsidRPr="00D55DC6">
        <w:rPr>
          <w:rFonts w:eastAsia="標楷體"/>
          <w:sz w:val="28"/>
          <w:szCs w:val="28"/>
        </w:rPr>
        <w:t>年。</w:t>
      </w:r>
    </w:p>
    <w:p w:rsidR="002B3D0C" w:rsidRPr="00D55DC6" w:rsidRDefault="002B3D0C" w:rsidP="0038165F">
      <w:pPr>
        <w:pStyle w:val="af2"/>
        <w:numPr>
          <w:ilvl w:val="0"/>
          <w:numId w:val="18"/>
        </w:numPr>
        <w:snapToGrid w:val="0"/>
        <w:spacing w:line="460" w:lineRule="exact"/>
        <w:ind w:leftChars="0"/>
        <w:jc w:val="both"/>
        <w:rPr>
          <w:rFonts w:eastAsia="標楷體"/>
          <w:b/>
          <w:sz w:val="28"/>
          <w:szCs w:val="28"/>
        </w:rPr>
      </w:pPr>
      <w:r w:rsidRPr="00D55DC6">
        <w:rPr>
          <w:rFonts w:eastAsia="標楷體"/>
          <w:b/>
          <w:sz w:val="28"/>
          <w:szCs w:val="28"/>
        </w:rPr>
        <w:t>所需資源說明</w:t>
      </w:r>
    </w:p>
    <w:p w:rsidR="0085796C" w:rsidRPr="00D55DC6" w:rsidRDefault="00353603" w:rsidP="004C13F1">
      <w:pPr>
        <w:pStyle w:val="af2"/>
        <w:snapToGrid w:val="0"/>
        <w:spacing w:line="460" w:lineRule="exact"/>
        <w:ind w:leftChars="0" w:left="851"/>
        <w:jc w:val="both"/>
        <w:rPr>
          <w:rFonts w:eastAsia="標楷體"/>
          <w:sz w:val="28"/>
          <w:szCs w:val="28"/>
        </w:rPr>
      </w:pPr>
      <w:r w:rsidRPr="00D55DC6">
        <w:rPr>
          <w:rFonts w:eastAsia="標楷體"/>
          <w:sz w:val="28"/>
          <w:szCs w:val="28"/>
        </w:rPr>
        <w:t>本計畫總經費</w:t>
      </w:r>
      <w:r w:rsidR="00A4343D" w:rsidRPr="00D55DC6">
        <w:rPr>
          <w:rFonts w:eastAsia="標楷體"/>
          <w:sz w:val="28"/>
          <w:szCs w:val="28"/>
        </w:rPr>
        <w:t>為</w:t>
      </w:r>
      <w:r w:rsidR="00514642" w:rsidRPr="00D55DC6">
        <w:rPr>
          <w:rFonts w:eastAsia="標楷體" w:hint="eastAsia"/>
          <w:sz w:val="28"/>
          <w:szCs w:val="28"/>
        </w:rPr>
        <w:t>132</w:t>
      </w:r>
      <w:r w:rsidR="00A4343D" w:rsidRPr="00D55DC6">
        <w:rPr>
          <w:rFonts w:eastAsia="標楷體"/>
          <w:sz w:val="28"/>
          <w:szCs w:val="28"/>
        </w:rPr>
        <w:t>.51</w:t>
      </w:r>
      <w:r w:rsidR="000A5CD6" w:rsidRPr="00D55DC6">
        <w:rPr>
          <w:rFonts w:eastAsia="標楷體"/>
          <w:sz w:val="28"/>
          <w:szCs w:val="28"/>
        </w:rPr>
        <w:t>億元</w:t>
      </w:r>
      <w:r w:rsidR="006F439B" w:rsidRPr="00D55DC6">
        <w:rPr>
          <w:rFonts w:eastAsia="標楷體" w:hint="eastAsia"/>
          <w:sz w:val="28"/>
          <w:szCs w:val="28"/>
        </w:rPr>
        <w:t>。</w:t>
      </w:r>
    </w:p>
    <w:p w:rsidR="002B3D0C" w:rsidRPr="00D55DC6" w:rsidRDefault="002B3D0C" w:rsidP="0038165F">
      <w:pPr>
        <w:pStyle w:val="af2"/>
        <w:numPr>
          <w:ilvl w:val="0"/>
          <w:numId w:val="18"/>
        </w:numPr>
        <w:snapToGrid w:val="0"/>
        <w:spacing w:line="460" w:lineRule="exact"/>
        <w:ind w:leftChars="0"/>
        <w:jc w:val="both"/>
        <w:rPr>
          <w:rFonts w:eastAsia="標楷體"/>
          <w:b/>
          <w:sz w:val="28"/>
          <w:szCs w:val="28"/>
        </w:rPr>
      </w:pPr>
      <w:r w:rsidRPr="00D55DC6">
        <w:rPr>
          <w:rFonts w:eastAsia="標楷體"/>
          <w:b/>
          <w:sz w:val="28"/>
          <w:szCs w:val="28"/>
        </w:rPr>
        <w:lastRenderedPageBreak/>
        <w:t>經費來源及計算基準</w:t>
      </w:r>
    </w:p>
    <w:p w:rsidR="00443CF9" w:rsidRPr="00D55DC6" w:rsidRDefault="00577979" w:rsidP="0038165F">
      <w:pPr>
        <w:pStyle w:val="af2"/>
        <w:numPr>
          <w:ilvl w:val="1"/>
          <w:numId w:val="18"/>
        </w:numPr>
        <w:spacing w:line="460" w:lineRule="exact"/>
        <w:ind w:leftChars="0" w:left="1148" w:hanging="280"/>
        <w:rPr>
          <w:rFonts w:eastAsia="標楷體"/>
          <w:b/>
          <w:sz w:val="28"/>
          <w:szCs w:val="28"/>
        </w:rPr>
      </w:pPr>
      <w:r w:rsidRPr="00D55DC6">
        <w:rPr>
          <w:rFonts w:eastAsia="標楷體"/>
          <w:b/>
          <w:sz w:val="28"/>
          <w:szCs w:val="28"/>
        </w:rPr>
        <w:t>經費來源</w:t>
      </w:r>
    </w:p>
    <w:p w:rsidR="00C06810" w:rsidRPr="00D55DC6" w:rsidRDefault="00C11E4C" w:rsidP="0038165F">
      <w:pPr>
        <w:pStyle w:val="af2"/>
        <w:spacing w:line="460" w:lineRule="exact"/>
        <w:ind w:leftChars="0" w:left="1120" w:firstLineChars="5" w:firstLine="14"/>
        <w:jc w:val="both"/>
        <w:rPr>
          <w:rFonts w:eastAsia="標楷體"/>
          <w:sz w:val="28"/>
          <w:szCs w:val="28"/>
        </w:rPr>
      </w:pPr>
      <w:r w:rsidRPr="00D55DC6">
        <w:rPr>
          <w:rFonts w:eastAsia="標楷體"/>
          <w:sz w:val="28"/>
          <w:szCs w:val="28"/>
        </w:rPr>
        <w:t>逐年編列中央公務預算（</w:t>
      </w:r>
      <w:r w:rsidR="006F439B" w:rsidRPr="00D55DC6">
        <w:rPr>
          <w:rFonts w:eastAsia="標楷體"/>
          <w:sz w:val="28"/>
          <w:szCs w:val="28"/>
        </w:rPr>
        <w:t>公共建設計畫－觀光次類別）</w:t>
      </w:r>
      <w:r w:rsidR="0084532A" w:rsidRPr="00D55DC6">
        <w:rPr>
          <w:rFonts w:eastAsia="標楷體" w:hint="eastAsia"/>
          <w:sz w:val="28"/>
          <w:szCs w:val="28"/>
        </w:rPr>
        <w:t>及</w:t>
      </w:r>
      <w:r w:rsidR="006F439B" w:rsidRPr="00D55DC6">
        <w:rPr>
          <w:rFonts w:eastAsia="標楷體" w:hint="eastAsia"/>
          <w:sz w:val="28"/>
          <w:szCs w:val="28"/>
        </w:rPr>
        <w:t>觀光發展基金支應</w:t>
      </w:r>
      <w:r w:rsidR="00CC1B8F" w:rsidRPr="00D55DC6">
        <w:rPr>
          <w:rFonts w:eastAsia="標楷體" w:hint="eastAsia"/>
          <w:sz w:val="28"/>
          <w:szCs w:val="28"/>
        </w:rPr>
        <w:t>。</w:t>
      </w:r>
      <w:r w:rsidR="00705699" w:rsidRPr="00D55DC6">
        <w:rPr>
          <w:rFonts w:eastAsia="標楷體" w:hint="eastAsia"/>
          <w:sz w:val="28"/>
          <w:szCs w:val="28"/>
        </w:rPr>
        <w:t>中央公務預算核編上限為</w:t>
      </w:r>
      <w:r w:rsidR="00705699" w:rsidRPr="00D55DC6">
        <w:rPr>
          <w:rFonts w:eastAsia="標楷體" w:hint="eastAsia"/>
          <w:sz w:val="28"/>
          <w:szCs w:val="28"/>
        </w:rPr>
        <w:t>112.6335</w:t>
      </w:r>
      <w:r w:rsidR="009F1A88" w:rsidRPr="00D55DC6">
        <w:rPr>
          <w:rFonts w:eastAsia="標楷體" w:hint="eastAsia"/>
          <w:sz w:val="28"/>
          <w:szCs w:val="28"/>
        </w:rPr>
        <w:t>億</w:t>
      </w:r>
      <w:r w:rsidR="00705699" w:rsidRPr="00D55DC6">
        <w:rPr>
          <w:rFonts w:eastAsia="標楷體" w:hint="eastAsia"/>
          <w:sz w:val="28"/>
          <w:szCs w:val="28"/>
        </w:rPr>
        <w:t>元，另</w:t>
      </w:r>
      <w:r w:rsidR="00CC1B8F" w:rsidRPr="00D55DC6">
        <w:rPr>
          <w:rFonts w:eastAsia="標楷體" w:hint="eastAsia"/>
          <w:sz w:val="28"/>
          <w:szCs w:val="28"/>
        </w:rPr>
        <w:t>觀光發展基金</w:t>
      </w:r>
      <w:r w:rsidR="00CC1B8F" w:rsidRPr="00D55DC6">
        <w:rPr>
          <w:rFonts w:eastAsia="標楷體" w:hint="eastAsia"/>
          <w:sz w:val="28"/>
          <w:szCs w:val="28"/>
        </w:rPr>
        <w:t>4</w:t>
      </w:r>
      <w:r w:rsidR="00CC1B8F" w:rsidRPr="00D55DC6">
        <w:rPr>
          <w:rFonts w:eastAsia="標楷體" w:hint="eastAsia"/>
          <w:sz w:val="28"/>
          <w:szCs w:val="28"/>
        </w:rPr>
        <w:t>年自籌</w:t>
      </w:r>
      <w:r w:rsidR="00EE0C87" w:rsidRPr="00D55DC6">
        <w:rPr>
          <w:rFonts w:eastAsia="標楷體" w:hint="eastAsia"/>
          <w:sz w:val="28"/>
          <w:szCs w:val="28"/>
        </w:rPr>
        <w:t>比例</w:t>
      </w:r>
      <w:r w:rsidR="00CC1B8F" w:rsidRPr="00D55DC6">
        <w:rPr>
          <w:rFonts w:eastAsia="標楷體" w:hint="eastAsia"/>
          <w:sz w:val="28"/>
          <w:szCs w:val="28"/>
        </w:rPr>
        <w:t>原則達</w:t>
      </w:r>
      <w:r w:rsidR="00CC1B8F" w:rsidRPr="00D55DC6">
        <w:rPr>
          <w:rFonts w:eastAsia="標楷體" w:hint="eastAsia"/>
          <w:sz w:val="28"/>
          <w:szCs w:val="28"/>
        </w:rPr>
        <w:t>15%</w:t>
      </w:r>
      <w:r w:rsidR="00CC1B8F" w:rsidRPr="00D55DC6">
        <w:rPr>
          <w:rFonts w:eastAsia="標楷體" w:hint="eastAsia"/>
          <w:sz w:val="28"/>
          <w:szCs w:val="28"/>
        </w:rPr>
        <w:t>。</w:t>
      </w:r>
    </w:p>
    <w:p w:rsidR="00577979" w:rsidRPr="00D55DC6" w:rsidRDefault="00577979" w:rsidP="0038165F">
      <w:pPr>
        <w:pStyle w:val="af2"/>
        <w:numPr>
          <w:ilvl w:val="1"/>
          <w:numId w:val="18"/>
        </w:numPr>
        <w:spacing w:line="460" w:lineRule="exact"/>
        <w:ind w:leftChars="0" w:left="1148" w:hanging="280"/>
        <w:rPr>
          <w:rFonts w:eastAsia="標楷體"/>
          <w:b/>
          <w:sz w:val="28"/>
          <w:szCs w:val="28"/>
        </w:rPr>
      </w:pPr>
      <w:r w:rsidRPr="00D55DC6">
        <w:rPr>
          <w:rFonts w:eastAsia="標楷體"/>
          <w:b/>
          <w:sz w:val="28"/>
          <w:szCs w:val="28"/>
        </w:rPr>
        <w:t>計算基準</w:t>
      </w:r>
    </w:p>
    <w:p w:rsidR="00312428" w:rsidRPr="00D55DC6" w:rsidRDefault="00C11E4C" w:rsidP="004C13F1">
      <w:pPr>
        <w:pStyle w:val="af2"/>
        <w:spacing w:line="460" w:lineRule="exact"/>
        <w:ind w:leftChars="0" w:left="1120" w:firstLineChars="5" w:firstLine="14"/>
        <w:jc w:val="both"/>
        <w:rPr>
          <w:rFonts w:eastAsia="標楷體"/>
          <w:sz w:val="28"/>
          <w:szCs w:val="28"/>
        </w:rPr>
      </w:pPr>
      <w:r w:rsidRPr="00D55DC6">
        <w:rPr>
          <w:rFonts w:eastAsia="標楷體"/>
          <w:sz w:val="28"/>
          <w:szCs w:val="28"/>
        </w:rPr>
        <w:t>本計畫</w:t>
      </w:r>
      <w:r w:rsidR="00312428" w:rsidRPr="00D55DC6">
        <w:rPr>
          <w:rFonts w:eastAsia="標楷體"/>
          <w:sz w:val="28"/>
          <w:szCs w:val="28"/>
        </w:rPr>
        <w:t>經費係參照營建物價、土地公告現值</w:t>
      </w:r>
      <w:r w:rsidR="006F439B" w:rsidRPr="00D55DC6">
        <w:rPr>
          <w:rFonts w:eastAsia="標楷體" w:hint="eastAsia"/>
          <w:sz w:val="28"/>
          <w:szCs w:val="28"/>
        </w:rPr>
        <w:t>、近年相當規模之工程發包金額</w:t>
      </w:r>
      <w:r w:rsidR="00312428" w:rsidRPr="00D55DC6">
        <w:rPr>
          <w:rFonts w:eastAsia="標楷體"/>
          <w:sz w:val="28"/>
          <w:szCs w:val="28"/>
        </w:rPr>
        <w:t>及行政院主計處「</w:t>
      </w:r>
      <w:r w:rsidR="00312428" w:rsidRPr="00D55DC6">
        <w:rPr>
          <w:rFonts w:eastAsia="標楷體"/>
          <w:sz w:val="28"/>
          <w:szCs w:val="28"/>
        </w:rPr>
        <w:t>103</w:t>
      </w:r>
      <w:r w:rsidR="00312428" w:rsidRPr="00D55DC6">
        <w:rPr>
          <w:rFonts w:eastAsia="標楷體"/>
          <w:sz w:val="28"/>
          <w:szCs w:val="28"/>
        </w:rPr>
        <w:t>年度中央政府總預算附屬單位預算編製作業手冊」計算。</w:t>
      </w:r>
    </w:p>
    <w:p w:rsidR="009E5757" w:rsidRPr="00D55DC6" w:rsidRDefault="009E5757" w:rsidP="0038165F">
      <w:pPr>
        <w:pStyle w:val="af2"/>
        <w:numPr>
          <w:ilvl w:val="0"/>
          <w:numId w:val="18"/>
        </w:numPr>
        <w:snapToGrid w:val="0"/>
        <w:spacing w:line="460" w:lineRule="exact"/>
        <w:ind w:leftChars="0"/>
        <w:jc w:val="both"/>
        <w:rPr>
          <w:rFonts w:eastAsia="標楷體"/>
          <w:b/>
          <w:sz w:val="28"/>
          <w:szCs w:val="28"/>
        </w:rPr>
      </w:pPr>
      <w:r w:rsidRPr="00D55DC6">
        <w:rPr>
          <w:rFonts w:eastAsia="標楷體"/>
          <w:b/>
          <w:sz w:val="28"/>
          <w:szCs w:val="28"/>
        </w:rPr>
        <w:t>經費需求</w:t>
      </w:r>
      <w:r w:rsidRPr="00D55DC6">
        <w:rPr>
          <w:rFonts w:eastAsia="標楷體"/>
          <w:b/>
          <w:sz w:val="28"/>
          <w:szCs w:val="28"/>
        </w:rPr>
        <w:t>(</w:t>
      </w:r>
      <w:r w:rsidRPr="00D55DC6">
        <w:rPr>
          <w:rFonts w:eastAsia="標楷體"/>
          <w:b/>
          <w:sz w:val="28"/>
          <w:szCs w:val="28"/>
        </w:rPr>
        <w:t>含分年經費</w:t>
      </w:r>
      <w:r w:rsidRPr="00D55DC6">
        <w:rPr>
          <w:rFonts w:eastAsia="標楷體"/>
          <w:b/>
          <w:sz w:val="28"/>
          <w:szCs w:val="28"/>
        </w:rPr>
        <w:t>)</w:t>
      </w:r>
      <w:r w:rsidRPr="00D55DC6">
        <w:rPr>
          <w:rFonts w:eastAsia="標楷體"/>
          <w:b/>
          <w:sz w:val="28"/>
          <w:szCs w:val="28"/>
        </w:rPr>
        <w:t>及與中程歲出概算額度配合情形</w:t>
      </w:r>
    </w:p>
    <w:p w:rsidR="005B1612" w:rsidRPr="00D55DC6" w:rsidRDefault="00431870" w:rsidP="00431870">
      <w:pPr>
        <w:pStyle w:val="af2"/>
        <w:spacing w:line="460" w:lineRule="exact"/>
        <w:ind w:leftChars="0" w:left="851" w:firstLineChars="5" w:firstLine="14"/>
        <w:jc w:val="both"/>
        <w:rPr>
          <w:rFonts w:eastAsia="標楷體"/>
          <w:sz w:val="28"/>
          <w:szCs w:val="28"/>
        </w:rPr>
      </w:pPr>
      <w:r w:rsidRPr="00D55DC6">
        <w:rPr>
          <w:rFonts w:eastAsia="標楷體"/>
          <w:sz w:val="28"/>
          <w:szCs w:val="28"/>
        </w:rPr>
        <w:t>本計畫經費需求（含分年經費）均與</w:t>
      </w:r>
      <w:r w:rsidR="008672BF" w:rsidRPr="00D55DC6">
        <w:rPr>
          <w:rFonts w:eastAsia="標楷體"/>
          <w:sz w:val="28"/>
          <w:szCs w:val="28"/>
        </w:rPr>
        <w:t>中程歲出概算</w:t>
      </w:r>
      <w:r w:rsidR="009E5757" w:rsidRPr="00D55DC6">
        <w:rPr>
          <w:rFonts w:eastAsia="標楷體"/>
          <w:sz w:val="28"/>
          <w:szCs w:val="28"/>
        </w:rPr>
        <w:t>額度</w:t>
      </w:r>
      <w:r w:rsidRPr="00D55DC6">
        <w:rPr>
          <w:rFonts w:eastAsia="標楷體"/>
          <w:sz w:val="28"/>
          <w:szCs w:val="28"/>
        </w:rPr>
        <w:t>相符。</w:t>
      </w:r>
      <w:r w:rsidR="009E5757" w:rsidRPr="00D55DC6">
        <w:rPr>
          <w:rFonts w:eastAsia="標楷體"/>
          <w:sz w:val="28"/>
          <w:szCs w:val="28"/>
        </w:rPr>
        <w:t>分年</w:t>
      </w:r>
      <w:r w:rsidR="008672BF" w:rsidRPr="00D55DC6">
        <w:rPr>
          <w:rFonts w:eastAsia="標楷體"/>
          <w:sz w:val="28"/>
          <w:szCs w:val="28"/>
        </w:rPr>
        <w:t>經費</w:t>
      </w:r>
      <w:r w:rsidR="009E5757" w:rsidRPr="00D55DC6">
        <w:rPr>
          <w:rFonts w:eastAsia="標楷體"/>
          <w:sz w:val="28"/>
          <w:szCs w:val="28"/>
        </w:rPr>
        <w:t>需求</w:t>
      </w:r>
      <w:r w:rsidR="008672BF" w:rsidRPr="00D55DC6">
        <w:rPr>
          <w:rFonts w:eastAsia="標楷體"/>
          <w:sz w:val="28"/>
          <w:szCs w:val="28"/>
        </w:rPr>
        <w:t>詳如附表</w:t>
      </w:r>
      <w:r w:rsidR="008672BF" w:rsidRPr="00D55DC6">
        <w:rPr>
          <w:rFonts w:eastAsia="標楷體"/>
          <w:sz w:val="28"/>
          <w:szCs w:val="28"/>
        </w:rPr>
        <w:t>2</w:t>
      </w:r>
      <w:r w:rsidR="008672BF" w:rsidRPr="00D55DC6">
        <w:rPr>
          <w:rFonts w:eastAsia="標楷體"/>
          <w:sz w:val="28"/>
          <w:szCs w:val="28"/>
        </w:rPr>
        <w:t>。</w:t>
      </w:r>
    </w:p>
    <w:p w:rsidR="00A56CBE" w:rsidRPr="00D55DC6" w:rsidRDefault="00A56CBE" w:rsidP="00431870">
      <w:pPr>
        <w:pStyle w:val="af2"/>
        <w:spacing w:line="460" w:lineRule="exact"/>
        <w:ind w:leftChars="0" w:left="851" w:firstLineChars="5" w:firstLine="14"/>
        <w:jc w:val="both"/>
        <w:rPr>
          <w:rFonts w:eastAsia="標楷體"/>
          <w:sz w:val="28"/>
          <w:szCs w:val="28"/>
        </w:rPr>
      </w:pPr>
    </w:p>
    <w:p w:rsidR="00D46C18" w:rsidRPr="00D55DC6" w:rsidRDefault="00D46C18" w:rsidP="00431870">
      <w:pPr>
        <w:pStyle w:val="af2"/>
        <w:spacing w:line="460" w:lineRule="exact"/>
        <w:ind w:leftChars="0" w:left="851" w:firstLineChars="5" w:firstLine="14"/>
        <w:jc w:val="both"/>
        <w:rPr>
          <w:rFonts w:eastAsia="標楷體"/>
          <w:sz w:val="28"/>
          <w:szCs w:val="28"/>
        </w:rPr>
      </w:pPr>
    </w:p>
    <w:p w:rsidR="00D46C18" w:rsidRPr="00D55DC6" w:rsidRDefault="00D46C18" w:rsidP="00431870">
      <w:pPr>
        <w:pStyle w:val="af2"/>
        <w:spacing w:line="460" w:lineRule="exact"/>
        <w:ind w:leftChars="0" w:left="851" w:firstLineChars="5" w:firstLine="14"/>
        <w:jc w:val="both"/>
        <w:rPr>
          <w:rFonts w:eastAsia="標楷體"/>
          <w:sz w:val="28"/>
          <w:szCs w:val="28"/>
        </w:rPr>
      </w:pPr>
    </w:p>
    <w:p w:rsidR="002B3D0C" w:rsidRPr="00D55DC6" w:rsidRDefault="002B3D0C" w:rsidP="0038165F">
      <w:pPr>
        <w:pStyle w:val="a"/>
        <w:ind w:left="709" w:hanging="709"/>
        <w:rPr>
          <w:b/>
        </w:rPr>
      </w:pPr>
      <w:bookmarkStart w:id="51" w:name="_Toc407181635"/>
      <w:r w:rsidRPr="00D55DC6">
        <w:rPr>
          <w:b/>
        </w:rPr>
        <w:t>預期效果及影響</w:t>
      </w:r>
      <w:bookmarkEnd w:id="51"/>
    </w:p>
    <w:p w:rsidR="008672BF" w:rsidRPr="00D55DC6" w:rsidRDefault="00763655" w:rsidP="0038165F">
      <w:pPr>
        <w:pStyle w:val="af2"/>
        <w:numPr>
          <w:ilvl w:val="0"/>
          <w:numId w:val="19"/>
        </w:numPr>
        <w:snapToGrid w:val="0"/>
        <w:spacing w:line="460" w:lineRule="exact"/>
        <w:ind w:leftChars="0"/>
        <w:jc w:val="both"/>
        <w:rPr>
          <w:rFonts w:eastAsia="標楷體"/>
          <w:sz w:val="28"/>
          <w:szCs w:val="28"/>
        </w:rPr>
      </w:pPr>
      <w:r w:rsidRPr="00D55DC6">
        <w:rPr>
          <w:rFonts w:eastAsia="標楷體" w:hint="eastAsia"/>
          <w:sz w:val="28"/>
          <w:szCs w:val="28"/>
        </w:rPr>
        <w:t>有效提升國家風景區重要觀光景點服務水準，</w:t>
      </w:r>
      <w:r w:rsidR="008672BF" w:rsidRPr="00D55DC6">
        <w:rPr>
          <w:rFonts w:eastAsia="標楷體"/>
          <w:sz w:val="28"/>
          <w:szCs w:val="28"/>
        </w:rPr>
        <w:t>打造具國際級魅力風景據點，吸引國際遊客造訪旅遊。</w:t>
      </w:r>
    </w:p>
    <w:p w:rsidR="00431870" w:rsidRPr="00D55DC6" w:rsidRDefault="00431870" w:rsidP="00431870">
      <w:pPr>
        <w:pStyle w:val="af2"/>
        <w:numPr>
          <w:ilvl w:val="0"/>
          <w:numId w:val="19"/>
        </w:numPr>
        <w:snapToGrid w:val="0"/>
        <w:spacing w:line="460" w:lineRule="exact"/>
        <w:ind w:leftChars="0"/>
        <w:jc w:val="both"/>
        <w:rPr>
          <w:rFonts w:eastAsia="標楷體"/>
          <w:sz w:val="28"/>
          <w:szCs w:val="28"/>
        </w:rPr>
      </w:pPr>
      <w:r w:rsidRPr="00D55DC6">
        <w:rPr>
          <w:rFonts w:eastAsia="標楷體"/>
          <w:sz w:val="28"/>
          <w:szCs w:val="28"/>
        </w:rPr>
        <w:t>結合周邊遊憩系統，以活絡地方觀光產業並繁榮地方經濟</w:t>
      </w:r>
      <w:r w:rsidR="00763655" w:rsidRPr="00D55DC6">
        <w:rPr>
          <w:rFonts w:eastAsia="標楷體" w:hint="eastAsia"/>
          <w:sz w:val="28"/>
          <w:szCs w:val="28"/>
        </w:rPr>
        <w:t>，帶動觀光發展，提升觀光產值</w:t>
      </w:r>
      <w:r w:rsidRPr="00D55DC6">
        <w:rPr>
          <w:rFonts w:eastAsia="標楷體"/>
          <w:sz w:val="28"/>
          <w:szCs w:val="28"/>
        </w:rPr>
        <w:t>。</w:t>
      </w:r>
    </w:p>
    <w:p w:rsidR="008672BF" w:rsidRPr="00D55DC6" w:rsidRDefault="008672BF" w:rsidP="0038165F">
      <w:pPr>
        <w:pStyle w:val="af2"/>
        <w:numPr>
          <w:ilvl w:val="0"/>
          <w:numId w:val="19"/>
        </w:numPr>
        <w:snapToGrid w:val="0"/>
        <w:spacing w:line="460" w:lineRule="exact"/>
        <w:ind w:leftChars="0"/>
        <w:jc w:val="both"/>
        <w:rPr>
          <w:rFonts w:eastAsia="標楷體"/>
          <w:sz w:val="28"/>
          <w:szCs w:val="28"/>
        </w:rPr>
      </w:pPr>
      <w:r w:rsidRPr="00D55DC6">
        <w:rPr>
          <w:rFonts w:eastAsia="標楷體"/>
          <w:sz w:val="28"/>
          <w:szCs w:val="28"/>
        </w:rPr>
        <w:t>妥為開發觀光資源，提供</w:t>
      </w:r>
      <w:r w:rsidR="00431870" w:rsidRPr="00D55DC6">
        <w:rPr>
          <w:rFonts w:eastAsia="標楷體"/>
          <w:sz w:val="28"/>
          <w:szCs w:val="28"/>
        </w:rPr>
        <w:t>高品質</w:t>
      </w:r>
      <w:r w:rsidRPr="00D55DC6">
        <w:rPr>
          <w:rFonts w:eastAsia="標楷體"/>
          <w:sz w:val="28"/>
          <w:szCs w:val="28"/>
        </w:rPr>
        <w:t>旅遊環境與多樣性遊憩空間，並塑造具地方特色之旅遊環境，提供高品質之遊憩體驗。</w:t>
      </w:r>
    </w:p>
    <w:p w:rsidR="008672BF" w:rsidRPr="00D55DC6" w:rsidRDefault="008672BF" w:rsidP="0038165F">
      <w:pPr>
        <w:pStyle w:val="af2"/>
        <w:numPr>
          <w:ilvl w:val="0"/>
          <w:numId w:val="19"/>
        </w:numPr>
        <w:snapToGrid w:val="0"/>
        <w:spacing w:line="460" w:lineRule="exact"/>
        <w:ind w:leftChars="0"/>
        <w:jc w:val="both"/>
        <w:rPr>
          <w:rFonts w:eastAsia="標楷體"/>
          <w:sz w:val="28"/>
          <w:szCs w:val="28"/>
        </w:rPr>
      </w:pPr>
      <w:r w:rsidRPr="00D55DC6">
        <w:rPr>
          <w:rFonts w:eastAsia="標楷體"/>
          <w:sz w:val="28"/>
          <w:szCs w:val="28"/>
        </w:rPr>
        <w:t>吸引民間配合國家重大公共工程建設，投入財力、物力與專業人力，以促進地方繁榮，並提昇國家觀光事業整體競爭力。</w:t>
      </w:r>
    </w:p>
    <w:p w:rsidR="008672BF" w:rsidRPr="00D55DC6" w:rsidRDefault="008672BF" w:rsidP="00763655">
      <w:pPr>
        <w:pStyle w:val="af2"/>
        <w:snapToGrid w:val="0"/>
        <w:spacing w:line="460" w:lineRule="exact"/>
        <w:ind w:leftChars="0" w:left="864"/>
        <w:jc w:val="both"/>
        <w:rPr>
          <w:rFonts w:eastAsia="標楷體"/>
          <w:sz w:val="28"/>
          <w:szCs w:val="28"/>
        </w:rPr>
      </w:pPr>
    </w:p>
    <w:p w:rsidR="00763655" w:rsidRPr="00D55DC6" w:rsidRDefault="00763655" w:rsidP="00763655">
      <w:pPr>
        <w:pStyle w:val="af2"/>
        <w:snapToGrid w:val="0"/>
        <w:spacing w:line="460" w:lineRule="exact"/>
        <w:ind w:leftChars="0" w:left="864"/>
        <w:jc w:val="both"/>
        <w:rPr>
          <w:rFonts w:eastAsia="標楷體"/>
          <w:sz w:val="28"/>
          <w:szCs w:val="28"/>
        </w:rPr>
      </w:pPr>
    </w:p>
    <w:p w:rsidR="006B324A" w:rsidRPr="00D55DC6" w:rsidRDefault="006B324A" w:rsidP="0038165F">
      <w:pPr>
        <w:pStyle w:val="af2"/>
        <w:snapToGrid w:val="0"/>
        <w:spacing w:line="460" w:lineRule="exact"/>
        <w:ind w:leftChars="0" w:left="864"/>
        <w:rPr>
          <w:rFonts w:eastAsia="標楷體"/>
          <w:sz w:val="28"/>
          <w:szCs w:val="28"/>
        </w:rPr>
      </w:pPr>
    </w:p>
    <w:p w:rsidR="005967D4" w:rsidRPr="00D55DC6" w:rsidRDefault="005967D4" w:rsidP="0038165F">
      <w:pPr>
        <w:pStyle w:val="af2"/>
        <w:snapToGrid w:val="0"/>
        <w:spacing w:line="460" w:lineRule="exact"/>
        <w:ind w:leftChars="0" w:left="864"/>
        <w:rPr>
          <w:rFonts w:eastAsia="標楷體"/>
          <w:sz w:val="28"/>
          <w:szCs w:val="28"/>
        </w:rPr>
      </w:pPr>
    </w:p>
    <w:p w:rsidR="005967D4" w:rsidRPr="00D55DC6" w:rsidRDefault="005967D4" w:rsidP="0038165F">
      <w:pPr>
        <w:pStyle w:val="af2"/>
        <w:snapToGrid w:val="0"/>
        <w:spacing w:line="460" w:lineRule="exact"/>
        <w:ind w:leftChars="0" w:left="864"/>
        <w:rPr>
          <w:rFonts w:eastAsia="標楷體"/>
          <w:sz w:val="28"/>
          <w:szCs w:val="28"/>
        </w:rPr>
      </w:pPr>
    </w:p>
    <w:p w:rsidR="00D46C18" w:rsidRPr="00D55DC6" w:rsidRDefault="00D46C18" w:rsidP="0038165F">
      <w:pPr>
        <w:pStyle w:val="af2"/>
        <w:snapToGrid w:val="0"/>
        <w:spacing w:line="460" w:lineRule="exact"/>
        <w:ind w:leftChars="0" w:left="864"/>
        <w:rPr>
          <w:rFonts w:eastAsia="標楷體"/>
          <w:sz w:val="28"/>
          <w:szCs w:val="28"/>
        </w:rPr>
      </w:pPr>
    </w:p>
    <w:p w:rsidR="002B3D0C" w:rsidRPr="00D55DC6" w:rsidRDefault="002B3D0C" w:rsidP="0038165F">
      <w:pPr>
        <w:pStyle w:val="a"/>
        <w:ind w:left="709" w:hanging="709"/>
        <w:rPr>
          <w:b/>
        </w:rPr>
      </w:pPr>
      <w:bookmarkStart w:id="52" w:name="_Toc407181636"/>
      <w:r w:rsidRPr="00D55DC6">
        <w:rPr>
          <w:b/>
        </w:rPr>
        <w:lastRenderedPageBreak/>
        <w:t>財務計畫</w:t>
      </w:r>
      <w:bookmarkEnd w:id="52"/>
    </w:p>
    <w:p w:rsidR="00F8612D" w:rsidRPr="00D55DC6" w:rsidRDefault="00F8612D" w:rsidP="0038165F">
      <w:pPr>
        <w:pStyle w:val="af2"/>
        <w:numPr>
          <w:ilvl w:val="0"/>
          <w:numId w:val="8"/>
        </w:numPr>
        <w:snapToGrid w:val="0"/>
        <w:spacing w:line="460" w:lineRule="exact"/>
        <w:ind w:leftChars="0"/>
        <w:jc w:val="both"/>
        <w:rPr>
          <w:rFonts w:eastAsia="標楷體"/>
          <w:b/>
          <w:sz w:val="28"/>
          <w:szCs w:val="28"/>
        </w:rPr>
      </w:pPr>
      <w:r w:rsidRPr="00D55DC6">
        <w:rPr>
          <w:rFonts w:eastAsia="標楷體"/>
          <w:b/>
          <w:sz w:val="28"/>
          <w:szCs w:val="28"/>
        </w:rPr>
        <w:t>財務計畫核定情形</w:t>
      </w:r>
    </w:p>
    <w:p w:rsidR="002E1472" w:rsidRPr="00D55DC6" w:rsidRDefault="00B36105" w:rsidP="0038165F">
      <w:pPr>
        <w:pStyle w:val="a"/>
        <w:numPr>
          <w:ilvl w:val="0"/>
          <w:numId w:val="0"/>
        </w:numPr>
        <w:ind w:left="910" w:firstLineChars="205" w:firstLine="574"/>
      </w:pPr>
      <w:bookmarkStart w:id="53" w:name="_Toc407181637"/>
      <w:r w:rsidRPr="00D55DC6">
        <w:t>依據行政院</w:t>
      </w:r>
      <w:r w:rsidRPr="00D55DC6">
        <w:t>103</w:t>
      </w:r>
      <w:r w:rsidRPr="00D55DC6">
        <w:t>年</w:t>
      </w:r>
      <w:r w:rsidRPr="00D55DC6">
        <w:t>10</w:t>
      </w:r>
      <w:r w:rsidRPr="00D55DC6">
        <w:t>月</w:t>
      </w:r>
      <w:r w:rsidRPr="00D55DC6">
        <w:t>15</w:t>
      </w:r>
      <w:r w:rsidRPr="00D55DC6">
        <w:t>日院臺交字第</w:t>
      </w:r>
      <w:r w:rsidRPr="00D55DC6">
        <w:t>1030058303</w:t>
      </w:r>
      <w:r w:rsidRPr="00D55DC6">
        <w:t>號函核定「日月潭等</w:t>
      </w:r>
      <w:r w:rsidRPr="00D55DC6">
        <w:t>6</w:t>
      </w:r>
      <w:r w:rsidRPr="00D55DC6">
        <w:t>處國家風景區整體發展暨財務計畫」，包含東北角暨宜蘭海岸、北海岸及觀音山、日月潭、參山、阿里山、雲嘉南濱海等</w:t>
      </w:r>
      <w:r w:rsidRPr="00D55DC6">
        <w:t>6</w:t>
      </w:r>
      <w:r w:rsidRPr="00D55DC6">
        <w:t>處國家風景區建設計畫</w:t>
      </w:r>
      <w:r w:rsidRPr="00D55DC6">
        <w:t>20</w:t>
      </w:r>
      <w:r w:rsidRPr="00D55DC6">
        <w:t>年期（</w:t>
      </w:r>
      <w:r w:rsidRPr="00D55DC6">
        <w:t>103-122</w:t>
      </w:r>
      <w:r w:rsidRPr="00D55DC6">
        <w:t>年）自償率均以</w:t>
      </w:r>
      <w:r w:rsidRPr="00D55DC6">
        <w:t>25%</w:t>
      </w:r>
      <w:r w:rsidRPr="00D55DC6">
        <w:t>為目標。其餘西拉雅、茂林、大鵬灣、東部海岸、花東縱谷、澎湖、馬祖等</w:t>
      </w:r>
      <w:r w:rsidRPr="00D55DC6">
        <w:t>7</w:t>
      </w:r>
      <w:r w:rsidRPr="00D55DC6">
        <w:t>處國家風景區建設計畫之財務計畫係自行評估，</w:t>
      </w:r>
      <w:r w:rsidRPr="00D55DC6">
        <w:t>20</w:t>
      </w:r>
      <w:r w:rsidRPr="00D55DC6">
        <w:t>年期（</w:t>
      </w:r>
      <w:r w:rsidRPr="00D55DC6">
        <w:t>103-122</w:t>
      </w:r>
      <w:r w:rsidRPr="00D55DC6">
        <w:t>年）自償率多數介於</w:t>
      </w:r>
      <w:r w:rsidRPr="00D55DC6">
        <w:t>6%</w:t>
      </w:r>
      <w:r w:rsidRPr="00D55DC6">
        <w:t>至</w:t>
      </w:r>
      <w:r w:rsidRPr="00D55DC6">
        <w:t>15%</w:t>
      </w:r>
      <w:r w:rsidRPr="00D55DC6">
        <w:t>區間。</w:t>
      </w:r>
      <w:bookmarkEnd w:id="53"/>
    </w:p>
    <w:p w:rsidR="00F8612D" w:rsidRPr="00D55DC6" w:rsidRDefault="00F8612D" w:rsidP="0038165F">
      <w:pPr>
        <w:pStyle w:val="af2"/>
        <w:numPr>
          <w:ilvl w:val="0"/>
          <w:numId w:val="8"/>
        </w:numPr>
        <w:snapToGrid w:val="0"/>
        <w:spacing w:line="460" w:lineRule="exact"/>
        <w:ind w:leftChars="0"/>
        <w:jc w:val="both"/>
        <w:rPr>
          <w:rFonts w:eastAsia="標楷體"/>
          <w:b/>
          <w:sz w:val="28"/>
          <w:szCs w:val="28"/>
        </w:rPr>
      </w:pPr>
      <w:r w:rsidRPr="00D55DC6">
        <w:rPr>
          <w:rFonts w:eastAsia="標楷體"/>
          <w:b/>
          <w:sz w:val="28"/>
          <w:szCs w:val="28"/>
        </w:rPr>
        <w:t>財務</w:t>
      </w:r>
      <w:r w:rsidR="00B36105" w:rsidRPr="00D55DC6">
        <w:rPr>
          <w:rFonts w:eastAsia="標楷體"/>
          <w:b/>
          <w:sz w:val="28"/>
          <w:szCs w:val="28"/>
        </w:rPr>
        <w:t>計畫自償率</w:t>
      </w:r>
    </w:p>
    <w:p w:rsidR="00D46C18" w:rsidRPr="00D55DC6" w:rsidRDefault="001A6A34" w:rsidP="00D46C18">
      <w:pPr>
        <w:pStyle w:val="a"/>
        <w:numPr>
          <w:ilvl w:val="0"/>
          <w:numId w:val="0"/>
        </w:numPr>
        <w:ind w:left="910" w:firstLineChars="205" w:firstLine="574"/>
      </w:pPr>
      <w:bookmarkStart w:id="54" w:name="_Toc407181638"/>
      <w:r w:rsidRPr="00D55DC6">
        <w:t>透</w:t>
      </w:r>
      <w:r w:rsidR="00522E6E" w:rsidRPr="00D55DC6">
        <w:t>過推動設施出租、重大促參案件、使用者付費</w:t>
      </w:r>
      <w:r w:rsidR="00B36105" w:rsidRPr="00D55DC6">
        <w:t>（含</w:t>
      </w:r>
      <w:r w:rsidR="00076DA2" w:rsidRPr="00D55DC6">
        <w:t>清潔費、停泊費</w:t>
      </w:r>
      <w:r w:rsidR="00B36105" w:rsidRPr="00D55DC6">
        <w:t>、環境教育費）</w:t>
      </w:r>
      <w:r w:rsidR="00522E6E" w:rsidRPr="00D55DC6">
        <w:t>、跨域合作等</w:t>
      </w:r>
      <w:r w:rsidR="00B36105" w:rsidRPr="00D55DC6">
        <w:t>多元財源</w:t>
      </w:r>
      <w:r w:rsidR="00522E6E" w:rsidRPr="00D55DC6">
        <w:t>方向，積極提升</w:t>
      </w:r>
      <w:r w:rsidR="00F8612D" w:rsidRPr="00D55DC6">
        <w:t>計畫</w:t>
      </w:r>
      <w:r w:rsidR="00522E6E" w:rsidRPr="00D55DC6">
        <w:t>自償率。</w:t>
      </w:r>
      <w:r w:rsidR="00D75933" w:rsidRPr="00D55DC6">
        <w:t>經滾動式檢討，</w:t>
      </w:r>
      <w:r w:rsidR="00B36105" w:rsidRPr="00D55DC6">
        <w:t>以</w:t>
      </w:r>
      <w:r w:rsidR="00B36105" w:rsidRPr="00D55DC6">
        <w:t>2.88%</w:t>
      </w:r>
      <w:r w:rsidR="00B36105" w:rsidRPr="00D55DC6">
        <w:t>折現率（參考中央銀行公告五大銀行基本利率）計算，</w:t>
      </w:r>
      <w:r w:rsidR="00B36105" w:rsidRPr="00D55DC6">
        <w:t>13</w:t>
      </w:r>
      <w:r w:rsidR="00B36105" w:rsidRPr="00D55DC6">
        <w:t>處國家風景區建設計畫之</w:t>
      </w:r>
      <w:r w:rsidR="00B36105" w:rsidRPr="00D55DC6">
        <w:t>20</w:t>
      </w:r>
      <w:r w:rsidR="00B36105" w:rsidRPr="00D55DC6">
        <w:t>年期（</w:t>
      </w:r>
      <w:r w:rsidR="00B36105" w:rsidRPr="00D55DC6">
        <w:t>103-122</w:t>
      </w:r>
      <w:r w:rsidR="00B36105" w:rsidRPr="00D55DC6">
        <w:t>年）計畫投資現值預估為</w:t>
      </w:r>
      <w:r w:rsidR="008E2EE2" w:rsidRPr="00D55DC6">
        <w:t>40</w:t>
      </w:r>
      <w:r w:rsidR="00BB7B91" w:rsidRPr="00D55DC6">
        <w:rPr>
          <w:rFonts w:hint="eastAsia"/>
        </w:rPr>
        <w:t>1</w:t>
      </w:r>
      <w:r w:rsidR="0055117F" w:rsidRPr="00D55DC6">
        <w:t>.</w:t>
      </w:r>
      <w:r w:rsidR="00BB7B91" w:rsidRPr="00D55DC6">
        <w:rPr>
          <w:rFonts w:hint="eastAsia"/>
        </w:rPr>
        <w:t>26</w:t>
      </w:r>
      <w:r w:rsidR="00B36105" w:rsidRPr="00D55DC6">
        <w:t>億元，而收益現值預估為</w:t>
      </w:r>
      <w:r w:rsidR="00B36105" w:rsidRPr="00D55DC6">
        <w:t>8</w:t>
      </w:r>
      <w:r w:rsidR="00D75933" w:rsidRPr="00D55DC6">
        <w:t>2</w:t>
      </w:r>
      <w:r w:rsidR="00B36105" w:rsidRPr="00D55DC6">
        <w:t>.</w:t>
      </w:r>
      <w:r w:rsidR="008E2EE2" w:rsidRPr="00D55DC6">
        <w:t>5</w:t>
      </w:r>
      <w:r w:rsidR="00CF12FE" w:rsidRPr="00D55DC6">
        <w:rPr>
          <w:rFonts w:hint="eastAsia"/>
        </w:rPr>
        <w:t>1</w:t>
      </w:r>
      <w:r w:rsidR="00B36105" w:rsidRPr="00D55DC6">
        <w:t>億元，整體計畫自償率為</w:t>
      </w:r>
      <w:r w:rsidR="00B36105" w:rsidRPr="00D55DC6">
        <w:t>20.</w:t>
      </w:r>
      <w:r w:rsidR="00BB7B91" w:rsidRPr="00D55DC6">
        <w:rPr>
          <w:rFonts w:hint="eastAsia"/>
        </w:rPr>
        <w:t>56</w:t>
      </w:r>
      <w:r w:rsidR="00B36105" w:rsidRPr="00D55DC6">
        <w:t>％</w:t>
      </w:r>
      <w:r w:rsidR="00270E33" w:rsidRPr="00D55DC6">
        <w:rPr>
          <w:rFonts w:hint="eastAsia"/>
        </w:rPr>
        <w:t>，</w:t>
      </w:r>
      <w:r w:rsidR="00792E66" w:rsidRPr="00D55DC6">
        <w:t>彙整如下表。</w:t>
      </w:r>
      <w:bookmarkEnd w:id="54"/>
    </w:p>
    <w:p w:rsidR="00D46C18" w:rsidRPr="00D55DC6" w:rsidRDefault="00D46C18" w:rsidP="00D46C18">
      <w:pPr>
        <w:pStyle w:val="a"/>
        <w:numPr>
          <w:ilvl w:val="0"/>
          <w:numId w:val="0"/>
        </w:numPr>
        <w:ind w:left="910" w:firstLineChars="205" w:firstLine="574"/>
      </w:pPr>
    </w:p>
    <w:p w:rsidR="00076DA2" w:rsidRPr="00D55DC6" w:rsidRDefault="00522E6E" w:rsidP="0038165F">
      <w:pPr>
        <w:keepNext/>
        <w:ind w:rightChars="-316" w:right="-758"/>
        <w:rPr>
          <w:rFonts w:eastAsia="標楷體"/>
          <w:sz w:val="20"/>
          <w:szCs w:val="20"/>
        </w:rPr>
      </w:pPr>
      <w:bookmarkStart w:id="55" w:name="_Toc398126384"/>
      <w:r w:rsidRPr="00D55DC6">
        <w:rPr>
          <w:rFonts w:eastAsia="標楷體"/>
        </w:rPr>
        <w:t>表</w:t>
      </w:r>
      <w:r w:rsidRPr="00D55DC6">
        <w:rPr>
          <w:rFonts w:eastAsia="標楷體"/>
        </w:rPr>
        <w:t xml:space="preserve">  </w:t>
      </w:r>
      <w:r w:rsidR="00481A29" w:rsidRPr="00D55DC6">
        <w:rPr>
          <w:rFonts w:eastAsia="標楷體"/>
        </w:rPr>
        <w:t>20</w:t>
      </w:r>
      <w:r w:rsidR="00481A29" w:rsidRPr="00D55DC6">
        <w:rPr>
          <w:rFonts w:eastAsia="標楷體"/>
        </w:rPr>
        <w:t>年期</w:t>
      </w:r>
      <w:r w:rsidR="00792E66" w:rsidRPr="00D55DC6">
        <w:rPr>
          <w:rFonts w:eastAsia="標楷體"/>
        </w:rPr>
        <w:t>財務計畫</w:t>
      </w:r>
      <w:r w:rsidR="00481A29" w:rsidRPr="00D55DC6">
        <w:rPr>
          <w:rFonts w:eastAsia="標楷體"/>
        </w:rPr>
        <w:t>之</w:t>
      </w:r>
      <w:r w:rsidR="00792E66" w:rsidRPr="00D55DC6">
        <w:rPr>
          <w:rFonts w:eastAsia="標楷體"/>
        </w:rPr>
        <w:t>收支情形及自償率彙整表</w:t>
      </w:r>
      <w:r w:rsidRPr="00D55DC6">
        <w:rPr>
          <w:rFonts w:eastAsia="標楷體"/>
        </w:rPr>
        <w:t xml:space="preserve">    </w:t>
      </w:r>
      <w:r w:rsidR="001A6A34" w:rsidRPr="00D55DC6">
        <w:rPr>
          <w:rFonts w:eastAsia="標楷體"/>
        </w:rPr>
        <w:t xml:space="preserve">　　　　　　　　</w:t>
      </w:r>
      <w:r w:rsidRPr="00D55DC6">
        <w:rPr>
          <w:rFonts w:eastAsia="標楷體"/>
        </w:rPr>
        <w:t xml:space="preserve"> </w:t>
      </w:r>
      <w:r w:rsidRPr="00D55DC6">
        <w:rPr>
          <w:rFonts w:eastAsia="標楷體"/>
          <w:sz w:val="20"/>
          <w:szCs w:val="20"/>
        </w:rPr>
        <w:t>（單位：</w:t>
      </w:r>
      <w:r w:rsidR="00424819" w:rsidRPr="00D55DC6">
        <w:rPr>
          <w:rFonts w:eastAsia="標楷體"/>
          <w:sz w:val="20"/>
          <w:szCs w:val="20"/>
        </w:rPr>
        <w:t>億</w:t>
      </w:r>
      <w:r w:rsidRPr="00D55DC6">
        <w:rPr>
          <w:rFonts w:eastAsia="標楷體"/>
          <w:sz w:val="20"/>
          <w:szCs w:val="20"/>
        </w:rPr>
        <w:t>元）</w:t>
      </w:r>
      <w:bookmarkEnd w:id="55"/>
    </w:p>
    <w:tbl>
      <w:tblPr>
        <w:tblW w:w="9100" w:type="dxa"/>
        <w:tblInd w:w="13" w:type="dxa"/>
        <w:tblLayout w:type="fixed"/>
        <w:tblCellMar>
          <w:left w:w="28" w:type="dxa"/>
          <w:right w:w="28" w:type="dxa"/>
        </w:tblCellMar>
        <w:tblLook w:val="04A0" w:firstRow="1" w:lastRow="0" w:firstColumn="1" w:lastColumn="0" w:noHBand="0" w:noVBand="1"/>
      </w:tblPr>
      <w:tblGrid>
        <w:gridCol w:w="1433"/>
        <w:gridCol w:w="1247"/>
        <w:gridCol w:w="1247"/>
        <w:gridCol w:w="1248"/>
        <w:gridCol w:w="1247"/>
        <w:gridCol w:w="1248"/>
        <w:gridCol w:w="1430"/>
      </w:tblGrid>
      <w:tr w:rsidR="001D0350" w:rsidRPr="00D55DC6" w:rsidTr="00792E66">
        <w:trPr>
          <w:trHeight w:val="324"/>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6105" w:rsidRPr="00D55DC6" w:rsidRDefault="00B36105" w:rsidP="0038165F">
            <w:pPr>
              <w:widowControl/>
              <w:rPr>
                <w:rFonts w:eastAsia="標楷體"/>
                <w:kern w:val="0"/>
              </w:rPr>
            </w:pPr>
            <w:r w:rsidRPr="00D55DC6">
              <w:rPr>
                <w:rFonts w:eastAsia="標楷體"/>
                <w:kern w:val="0"/>
              </w:rPr>
              <w:t>建設計畫</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B36105" w:rsidRPr="00D55DC6" w:rsidRDefault="00B36105" w:rsidP="0038165F">
            <w:pPr>
              <w:widowControl/>
              <w:jc w:val="center"/>
              <w:rPr>
                <w:rFonts w:eastAsia="標楷體"/>
                <w:kern w:val="0"/>
              </w:rPr>
            </w:pPr>
            <w:r w:rsidRPr="00D55DC6">
              <w:rPr>
                <w:rFonts w:eastAsia="標楷體"/>
                <w:kern w:val="0"/>
              </w:rPr>
              <w:t>投資經費</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B36105" w:rsidRPr="00D55DC6" w:rsidRDefault="00B36105" w:rsidP="0038165F">
            <w:pPr>
              <w:widowControl/>
              <w:jc w:val="center"/>
              <w:rPr>
                <w:rFonts w:eastAsia="標楷體"/>
                <w:kern w:val="0"/>
              </w:rPr>
            </w:pPr>
            <w:r w:rsidRPr="00D55DC6">
              <w:rPr>
                <w:rFonts w:eastAsia="標楷體"/>
                <w:kern w:val="0"/>
              </w:rPr>
              <w:t>收益經費</w:t>
            </w:r>
          </w:p>
        </w:tc>
        <w:tc>
          <w:tcPr>
            <w:tcW w:w="1248" w:type="dxa"/>
            <w:tcBorders>
              <w:top w:val="single" w:sz="4" w:space="0" w:color="auto"/>
              <w:left w:val="nil"/>
              <w:bottom w:val="single" w:sz="4" w:space="0" w:color="auto"/>
              <w:right w:val="single" w:sz="4" w:space="0" w:color="auto"/>
            </w:tcBorders>
            <w:shd w:val="clear" w:color="auto" w:fill="auto"/>
            <w:noWrap/>
            <w:vAlign w:val="center"/>
            <w:hideMark/>
          </w:tcPr>
          <w:p w:rsidR="00B36105" w:rsidRPr="00D55DC6" w:rsidRDefault="00B36105" w:rsidP="0038165F">
            <w:pPr>
              <w:widowControl/>
              <w:jc w:val="center"/>
              <w:rPr>
                <w:rFonts w:eastAsia="標楷體"/>
                <w:kern w:val="0"/>
              </w:rPr>
            </w:pPr>
            <w:r w:rsidRPr="00D55DC6">
              <w:rPr>
                <w:rFonts w:eastAsia="標楷體"/>
                <w:kern w:val="0"/>
              </w:rPr>
              <w:t>收支比</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B36105" w:rsidRPr="00D55DC6" w:rsidRDefault="00B36105" w:rsidP="0038165F">
            <w:pPr>
              <w:widowControl/>
              <w:jc w:val="center"/>
              <w:rPr>
                <w:rFonts w:eastAsia="標楷體"/>
                <w:kern w:val="0"/>
              </w:rPr>
            </w:pPr>
            <w:r w:rsidRPr="00D55DC6">
              <w:rPr>
                <w:rFonts w:eastAsia="標楷體"/>
                <w:kern w:val="0"/>
              </w:rPr>
              <w:t>投資現值</w:t>
            </w:r>
          </w:p>
        </w:tc>
        <w:tc>
          <w:tcPr>
            <w:tcW w:w="1248" w:type="dxa"/>
            <w:tcBorders>
              <w:top w:val="single" w:sz="4" w:space="0" w:color="auto"/>
              <w:left w:val="nil"/>
              <w:bottom w:val="single" w:sz="4" w:space="0" w:color="auto"/>
              <w:right w:val="single" w:sz="4" w:space="0" w:color="auto"/>
            </w:tcBorders>
            <w:shd w:val="clear" w:color="auto" w:fill="auto"/>
            <w:noWrap/>
            <w:vAlign w:val="center"/>
            <w:hideMark/>
          </w:tcPr>
          <w:p w:rsidR="00B36105" w:rsidRPr="00D55DC6" w:rsidRDefault="00B36105" w:rsidP="0038165F">
            <w:pPr>
              <w:widowControl/>
              <w:jc w:val="center"/>
              <w:rPr>
                <w:rFonts w:eastAsia="標楷體"/>
                <w:kern w:val="0"/>
              </w:rPr>
            </w:pPr>
            <w:r w:rsidRPr="00D55DC6">
              <w:rPr>
                <w:rFonts w:eastAsia="標楷體"/>
                <w:kern w:val="0"/>
              </w:rPr>
              <w:t>收益現值</w:t>
            </w:r>
          </w:p>
        </w:tc>
        <w:tc>
          <w:tcPr>
            <w:tcW w:w="1430" w:type="dxa"/>
            <w:tcBorders>
              <w:top w:val="single" w:sz="4" w:space="0" w:color="auto"/>
              <w:left w:val="nil"/>
              <w:bottom w:val="single" w:sz="4" w:space="0" w:color="auto"/>
              <w:right w:val="single" w:sz="4" w:space="0" w:color="auto"/>
            </w:tcBorders>
            <w:shd w:val="clear" w:color="auto" w:fill="auto"/>
            <w:noWrap/>
            <w:vAlign w:val="center"/>
            <w:hideMark/>
          </w:tcPr>
          <w:p w:rsidR="00B36105" w:rsidRPr="00D55DC6" w:rsidRDefault="00B36105" w:rsidP="0038165F">
            <w:pPr>
              <w:widowControl/>
              <w:jc w:val="center"/>
              <w:rPr>
                <w:rFonts w:eastAsia="標楷體"/>
                <w:b/>
                <w:kern w:val="0"/>
              </w:rPr>
            </w:pPr>
            <w:r w:rsidRPr="00D55DC6">
              <w:rPr>
                <w:rFonts w:eastAsia="標楷體"/>
                <w:b/>
                <w:kern w:val="0"/>
              </w:rPr>
              <w:t>計畫自償率</w:t>
            </w:r>
          </w:p>
        </w:tc>
      </w:tr>
      <w:tr w:rsidR="001D0350" w:rsidRPr="00D55DC6" w:rsidTr="00792E66">
        <w:trPr>
          <w:trHeight w:val="324"/>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BB7B91" w:rsidRPr="00D55DC6" w:rsidRDefault="00BB7B91" w:rsidP="0038165F">
            <w:pPr>
              <w:widowControl/>
              <w:rPr>
                <w:rFonts w:eastAsia="標楷體"/>
                <w:b/>
                <w:kern w:val="0"/>
              </w:rPr>
            </w:pPr>
            <w:r w:rsidRPr="00D55DC6">
              <w:rPr>
                <w:rFonts w:eastAsia="標楷體"/>
                <w:b/>
                <w:kern w:val="0"/>
              </w:rPr>
              <w:t>1.</w:t>
            </w:r>
            <w:r w:rsidRPr="00D55DC6">
              <w:rPr>
                <w:rFonts w:eastAsia="標楷體"/>
                <w:b/>
                <w:kern w:val="0"/>
              </w:rPr>
              <w:t>東北角</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94" w:right="226"/>
              <w:jc w:val="right"/>
              <w:rPr>
                <w:rFonts w:ascii="新細明體" w:hAnsi="新細明體" w:cs="新細明體"/>
              </w:rPr>
            </w:pPr>
            <w:r w:rsidRPr="00D55DC6">
              <w:rPr>
                <w:rFonts w:hint="eastAsia"/>
              </w:rPr>
              <w:t>38.32</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41" w:right="338"/>
              <w:jc w:val="right"/>
              <w:rPr>
                <w:rFonts w:ascii="新細明體" w:hAnsi="新細明體" w:cs="新細明體"/>
              </w:rPr>
            </w:pPr>
            <w:r w:rsidRPr="00D55DC6">
              <w:rPr>
                <w:rFonts w:hint="eastAsia"/>
              </w:rPr>
              <w:t>11.15</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pPr>
              <w:jc w:val="center"/>
              <w:rPr>
                <w:rFonts w:ascii="新細明體" w:hAnsi="新細明體" w:cs="新細明體"/>
              </w:rPr>
            </w:pPr>
            <w:r w:rsidRPr="00D55DC6">
              <w:rPr>
                <w:rFonts w:hint="eastAsia"/>
              </w:rPr>
              <w:t>29.10%</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17" w:right="281"/>
              <w:jc w:val="right"/>
              <w:rPr>
                <w:rFonts w:ascii="新細明體" w:hAnsi="新細明體" w:cs="新細明體"/>
              </w:rPr>
            </w:pPr>
            <w:r w:rsidRPr="00D55DC6">
              <w:rPr>
                <w:rFonts w:hint="eastAsia"/>
              </w:rPr>
              <w:t>29.15</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06" w:right="254"/>
              <w:jc w:val="right"/>
              <w:rPr>
                <w:rFonts w:ascii="新細明體" w:hAnsi="新細明體" w:cs="新細明體"/>
              </w:rPr>
            </w:pPr>
            <w:r w:rsidRPr="00D55DC6">
              <w:rPr>
                <w:rFonts w:hint="eastAsia"/>
              </w:rPr>
              <w:t>8.02</w:t>
            </w:r>
          </w:p>
        </w:tc>
        <w:tc>
          <w:tcPr>
            <w:tcW w:w="1430"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B7B91">
            <w:pPr>
              <w:ind w:rightChars="111" w:right="266"/>
              <w:jc w:val="right"/>
              <w:rPr>
                <w:rFonts w:ascii="新細明體" w:hAnsi="新細明體" w:cs="新細明體"/>
              </w:rPr>
            </w:pPr>
            <w:r w:rsidRPr="00D55DC6">
              <w:rPr>
                <w:rFonts w:hint="eastAsia"/>
              </w:rPr>
              <w:t>27.53%</w:t>
            </w:r>
          </w:p>
        </w:tc>
      </w:tr>
      <w:tr w:rsidR="001D0350" w:rsidRPr="00D55DC6" w:rsidTr="00792E66">
        <w:trPr>
          <w:trHeight w:val="324"/>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BB7B91" w:rsidRPr="00D55DC6" w:rsidRDefault="00BB7B91" w:rsidP="0038165F">
            <w:pPr>
              <w:widowControl/>
              <w:rPr>
                <w:rFonts w:eastAsia="標楷體"/>
                <w:b/>
                <w:kern w:val="0"/>
              </w:rPr>
            </w:pPr>
            <w:r w:rsidRPr="00D55DC6">
              <w:rPr>
                <w:rFonts w:eastAsia="標楷體"/>
                <w:b/>
                <w:kern w:val="0"/>
              </w:rPr>
              <w:t>2.</w:t>
            </w:r>
            <w:r w:rsidRPr="00D55DC6">
              <w:rPr>
                <w:rFonts w:eastAsia="標楷體"/>
                <w:b/>
                <w:kern w:val="0"/>
              </w:rPr>
              <w:t>北觀</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94" w:right="226"/>
              <w:jc w:val="right"/>
              <w:rPr>
                <w:rFonts w:ascii="新細明體" w:hAnsi="新細明體" w:cs="新細明體"/>
              </w:rPr>
            </w:pPr>
            <w:r w:rsidRPr="00D55DC6">
              <w:rPr>
                <w:rFonts w:hint="eastAsia"/>
              </w:rPr>
              <w:t>49.80</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41" w:right="338"/>
              <w:jc w:val="right"/>
              <w:rPr>
                <w:rFonts w:ascii="新細明體" w:hAnsi="新細明體" w:cs="新細明體"/>
              </w:rPr>
            </w:pPr>
            <w:r w:rsidRPr="00D55DC6">
              <w:rPr>
                <w:rFonts w:hint="eastAsia"/>
              </w:rPr>
              <w:t>14.10</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pPr>
              <w:jc w:val="center"/>
              <w:rPr>
                <w:rFonts w:ascii="新細明體" w:hAnsi="新細明體" w:cs="新細明體"/>
              </w:rPr>
            </w:pPr>
            <w:r w:rsidRPr="00D55DC6">
              <w:rPr>
                <w:rFonts w:hint="eastAsia"/>
              </w:rPr>
              <w:t>28.31%</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17" w:right="281"/>
              <w:jc w:val="right"/>
              <w:rPr>
                <w:rFonts w:ascii="新細明體" w:hAnsi="新細明體" w:cs="新細明體"/>
              </w:rPr>
            </w:pPr>
            <w:r w:rsidRPr="00D55DC6">
              <w:rPr>
                <w:rFonts w:hint="eastAsia"/>
              </w:rPr>
              <w:t>38.00</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06" w:right="254"/>
              <w:jc w:val="right"/>
              <w:rPr>
                <w:rFonts w:ascii="新細明體" w:hAnsi="新細明體" w:cs="新細明體"/>
              </w:rPr>
            </w:pPr>
            <w:r w:rsidRPr="00D55DC6">
              <w:rPr>
                <w:rFonts w:hint="eastAsia"/>
              </w:rPr>
              <w:t>10.35</w:t>
            </w:r>
          </w:p>
        </w:tc>
        <w:tc>
          <w:tcPr>
            <w:tcW w:w="1430"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B7B91">
            <w:pPr>
              <w:ind w:rightChars="111" w:right="266"/>
              <w:jc w:val="right"/>
              <w:rPr>
                <w:rFonts w:ascii="新細明體" w:hAnsi="新細明體" w:cs="新細明體"/>
              </w:rPr>
            </w:pPr>
            <w:r w:rsidRPr="00D55DC6">
              <w:rPr>
                <w:rFonts w:hint="eastAsia"/>
              </w:rPr>
              <w:t>27.23%</w:t>
            </w:r>
          </w:p>
        </w:tc>
      </w:tr>
      <w:tr w:rsidR="001D0350" w:rsidRPr="00D55DC6" w:rsidTr="00792E66">
        <w:trPr>
          <w:trHeight w:val="324"/>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BB7B91" w:rsidRPr="00D55DC6" w:rsidRDefault="00BB7B91" w:rsidP="0038165F">
            <w:pPr>
              <w:widowControl/>
              <w:rPr>
                <w:rFonts w:eastAsia="標楷體"/>
                <w:b/>
                <w:kern w:val="0"/>
              </w:rPr>
            </w:pPr>
            <w:r w:rsidRPr="00D55DC6">
              <w:rPr>
                <w:rFonts w:eastAsia="標楷體"/>
                <w:b/>
                <w:kern w:val="0"/>
              </w:rPr>
              <w:t>3.</w:t>
            </w:r>
            <w:r w:rsidRPr="00D55DC6">
              <w:rPr>
                <w:rFonts w:eastAsia="標楷體"/>
                <w:b/>
                <w:kern w:val="0"/>
              </w:rPr>
              <w:t>日月潭</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94" w:right="226"/>
              <w:jc w:val="right"/>
              <w:rPr>
                <w:rFonts w:ascii="新細明體" w:hAnsi="新細明體" w:cs="新細明體"/>
              </w:rPr>
            </w:pPr>
            <w:r w:rsidRPr="00D55DC6">
              <w:rPr>
                <w:rFonts w:hint="eastAsia"/>
              </w:rPr>
              <w:t>51.81</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41" w:right="338"/>
              <w:jc w:val="right"/>
              <w:rPr>
                <w:rFonts w:ascii="新細明體" w:hAnsi="新細明體" w:cs="新細明體"/>
              </w:rPr>
            </w:pPr>
            <w:r w:rsidRPr="00D55DC6">
              <w:rPr>
                <w:rFonts w:hint="eastAsia"/>
              </w:rPr>
              <w:t>13.57</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pPr>
              <w:jc w:val="center"/>
              <w:rPr>
                <w:rFonts w:ascii="新細明體" w:hAnsi="新細明體" w:cs="新細明體"/>
              </w:rPr>
            </w:pPr>
            <w:r w:rsidRPr="00D55DC6">
              <w:rPr>
                <w:rFonts w:hint="eastAsia"/>
              </w:rPr>
              <w:t>26.18%</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17" w:right="281"/>
              <w:jc w:val="right"/>
              <w:rPr>
                <w:rFonts w:ascii="新細明體" w:hAnsi="新細明體" w:cs="新細明體"/>
              </w:rPr>
            </w:pPr>
            <w:r w:rsidRPr="00D55DC6">
              <w:rPr>
                <w:rFonts w:hint="eastAsia"/>
              </w:rPr>
              <w:t>39.32</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06" w:right="254"/>
              <w:jc w:val="right"/>
              <w:rPr>
                <w:rFonts w:ascii="新細明體" w:hAnsi="新細明體" w:cs="新細明體"/>
              </w:rPr>
            </w:pPr>
            <w:r w:rsidRPr="00D55DC6">
              <w:rPr>
                <w:rFonts w:hint="eastAsia"/>
              </w:rPr>
              <w:t>9.83</w:t>
            </w:r>
          </w:p>
        </w:tc>
        <w:tc>
          <w:tcPr>
            <w:tcW w:w="1430"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B7B91">
            <w:pPr>
              <w:ind w:rightChars="111" w:right="266"/>
              <w:jc w:val="right"/>
              <w:rPr>
                <w:rFonts w:ascii="新細明體" w:hAnsi="新細明體" w:cs="新細明體"/>
              </w:rPr>
            </w:pPr>
            <w:r w:rsidRPr="00D55DC6">
              <w:rPr>
                <w:rFonts w:hint="eastAsia"/>
              </w:rPr>
              <w:t>25.00%</w:t>
            </w:r>
          </w:p>
        </w:tc>
      </w:tr>
      <w:tr w:rsidR="001D0350" w:rsidRPr="00D55DC6" w:rsidTr="00792E66">
        <w:trPr>
          <w:trHeight w:val="324"/>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BB7B91" w:rsidRPr="00D55DC6" w:rsidRDefault="00BB7B91" w:rsidP="0038165F">
            <w:pPr>
              <w:widowControl/>
              <w:rPr>
                <w:rFonts w:eastAsia="標楷體"/>
                <w:b/>
                <w:kern w:val="0"/>
              </w:rPr>
            </w:pPr>
            <w:r w:rsidRPr="00D55DC6">
              <w:rPr>
                <w:rFonts w:eastAsia="標楷體"/>
                <w:b/>
                <w:kern w:val="0"/>
              </w:rPr>
              <w:t>4.</w:t>
            </w:r>
            <w:r w:rsidRPr="00D55DC6">
              <w:rPr>
                <w:rFonts w:eastAsia="標楷體"/>
                <w:b/>
                <w:kern w:val="0"/>
              </w:rPr>
              <w:t>參山</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94" w:right="226"/>
              <w:jc w:val="right"/>
              <w:rPr>
                <w:rFonts w:ascii="新細明體" w:hAnsi="新細明體" w:cs="新細明體"/>
              </w:rPr>
            </w:pPr>
            <w:r w:rsidRPr="00D55DC6">
              <w:rPr>
                <w:rFonts w:hint="eastAsia"/>
              </w:rPr>
              <w:t>27.02</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41" w:right="338"/>
              <w:jc w:val="right"/>
              <w:rPr>
                <w:rFonts w:ascii="新細明體" w:hAnsi="新細明體" w:cs="新細明體"/>
              </w:rPr>
            </w:pPr>
            <w:r w:rsidRPr="00D55DC6">
              <w:rPr>
                <w:rFonts w:hint="eastAsia"/>
              </w:rPr>
              <w:t>7.59</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pPr>
              <w:jc w:val="center"/>
              <w:rPr>
                <w:rFonts w:ascii="新細明體" w:hAnsi="新細明體" w:cs="新細明體"/>
              </w:rPr>
            </w:pPr>
            <w:r w:rsidRPr="00D55DC6">
              <w:rPr>
                <w:rFonts w:hint="eastAsia"/>
              </w:rPr>
              <w:t>28.08%</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17" w:right="281"/>
              <w:jc w:val="right"/>
              <w:rPr>
                <w:rFonts w:ascii="新細明體" w:hAnsi="新細明體" w:cs="新細明體"/>
              </w:rPr>
            </w:pPr>
            <w:r w:rsidRPr="00D55DC6">
              <w:rPr>
                <w:rFonts w:hint="eastAsia"/>
              </w:rPr>
              <w:t>21.16</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06" w:right="254"/>
              <w:jc w:val="right"/>
              <w:rPr>
                <w:rFonts w:ascii="新細明體" w:hAnsi="新細明體" w:cs="新細明體"/>
              </w:rPr>
            </w:pPr>
            <w:r w:rsidRPr="00D55DC6">
              <w:rPr>
                <w:rFonts w:hint="eastAsia"/>
              </w:rPr>
              <w:t>5.30</w:t>
            </w:r>
          </w:p>
        </w:tc>
        <w:tc>
          <w:tcPr>
            <w:tcW w:w="1430"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B7B91">
            <w:pPr>
              <w:ind w:rightChars="111" w:right="266"/>
              <w:jc w:val="right"/>
              <w:rPr>
                <w:rFonts w:ascii="新細明體" w:hAnsi="新細明體" w:cs="新細明體"/>
              </w:rPr>
            </w:pPr>
            <w:r w:rsidRPr="00D55DC6">
              <w:rPr>
                <w:rFonts w:hint="eastAsia"/>
              </w:rPr>
              <w:t>25.04%</w:t>
            </w:r>
          </w:p>
        </w:tc>
      </w:tr>
      <w:tr w:rsidR="001D0350" w:rsidRPr="00D55DC6" w:rsidTr="00792E66">
        <w:trPr>
          <w:trHeight w:val="324"/>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BB7B91" w:rsidRPr="00D55DC6" w:rsidRDefault="00BB7B91" w:rsidP="0038165F">
            <w:pPr>
              <w:widowControl/>
              <w:rPr>
                <w:rFonts w:eastAsia="標楷體"/>
                <w:b/>
                <w:kern w:val="0"/>
              </w:rPr>
            </w:pPr>
            <w:r w:rsidRPr="00D55DC6">
              <w:rPr>
                <w:rFonts w:eastAsia="標楷體"/>
                <w:b/>
                <w:kern w:val="0"/>
              </w:rPr>
              <w:t>5.</w:t>
            </w:r>
            <w:r w:rsidRPr="00D55DC6">
              <w:rPr>
                <w:rFonts w:eastAsia="標楷體"/>
                <w:b/>
                <w:kern w:val="0"/>
              </w:rPr>
              <w:t>阿里山</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94" w:right="226"/>
              <w:jc w:val="right"/>
              <w:rPr>
                <w:rFonts w:ascii="新細明體" w:hAnsi="新細明體" w:cs="新細明體"/>
              </w:rPr>
            </w:pPr>
            <w:r w:rsidRPr="00D55DC6">
              <w:rPr>
                <w:rFonts w:hint="eastAsia"/>
              </w:rPr>
              <w:t>53.80</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41" w:right="338"/>
              <w:jc w:val="right"/>
              <w:rPr>
                <w:rFonts w:ascii="新細明體" w:hAnsi="新細明體" w:cs="新細明體"/>
              </w:rPr>
            </w:pPr>
            <w:r w:rsidRPr="00D55DC6">
              <w:rPr>
                <w:rFonts w:hint="eastAsia"/>
              </w:rPr>
              <w:t>14.51</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pPr>
              <w:jc w:val="center"/>
              <w:rPr>
                <w:rFonts w:ascii="新細明體" w:hAnsi="新細明體" w:cs="新細明體"/>
              </w:rPr>
            </w:pPr>
            <w:r w:rsidRPr="00D55DC6">
              <w:rPr>
                <w:rFonts w:hint="eastAsia"/>
              </w:rPr>
              <w:t>26.97%</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17" w:right="281"/>
              <w:jc w:val="right"/>
              <w:rPr>
                <w:rFonts w:ascii="新細明體" w:hAnsi="新細明體" w:cs="新細明體"/>
              </w:rPr>
            </w:pPr>
            <w:r w:rsidRPr="00D55DC6">
              <w:rPr>
                <w:rFonts w:hint="eastAsia"/>
              </w:rPr>
              <w:t>41.04</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06" w:right="254"/>
              <w:jc w:val="right"/>
              <w:rPr>
                <w:rFonts w:ascii="新細明體" w:hAnsi="新細明體" w:cs="新細明體"/>
              </w:rPr>
            </w:pPr>
            <w:r w:rsidRPr="00D55DC6">
              <w:rPr>
                <w:rFonts w:hint="eastAsia"/>
              </w:rPr>
              <w:t>10.37</w:t>
            </w:r>
          </w:p>
        </w:tc>
        <w:tc>
          <w:tcPr>
            <w:tcW w:w="1430"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B7B91">
            <w:pPr>
              <w:ind w:rightChars="111" w:right="266"/>
              <w:jc w:val="right"/>
              <w:rPr>
                <w:rFonts w:ascii="新細明體" w:hAnsi="新細明體" w:cs="新細明體"/>
              </w:rPr>
            </w:pPr>
            <w:r w:rsidRPr="00D55DC6">
              <w:rPr>
                <w:rFonts w:hint="eastAsia"/>
              </w:rPr>
              <w:t>25.27%</w:t>
            </w:r>
          </w:p>
        </w:tc>
      </w:tr>
      <w:tr w:rsidR="001D0350" w:rsidRPr="00D55DC6" w:rsidTr="00792E66">
        <w:trPr>
          <w:trHeight w:val="324"/>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BB7B91" w:rsidRPr="00D55DC6" w:rsidRDefault="00BB7B91" w:rsidP="0038165F">
            <w:pPr>
              <w:widowControl/>
              <w:rPr>
                <w:rFonts w:eastAsia="標楷體"/>
                <w:b/>
                <w:kern w:val="0"/>
              </w:rPr>
            </w:pPr>
            <w:r w:rsidRPr="00D55DC6">
              <w:rPr>
                <w:rFonts w:eastAsia="標楷體"/>
                <w:b/>
                <w:kern w:val="0"/>
              </w:rPr>
              <w:t>6.</w:t>
            </w:r>
            <w:r w:rsidRPr="00D55DC6">
              <w:rPr>
                <w:rFonts w:eastAsia="標楷體"/>
                <w:b/>
                <w:kern w:val="0"/>
              </w:rPr>
              <w:t>雲嘉南</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94" w:right="226"/>
              <w:jc w:val="right"/>
              <w:rPr>
                <w:rFonts w:ascii="新細明體" w:hAnsi="新細明體" w:cs="新細明體"/>
              </w:rPr>
            </w:pPr>
            <w:r w:rsidRPr="00D55DC6">
              <w:rPr>
                <w:rFonts w:hint="eastAsia"/>
              </w:rPr>
              <w:t>47.31</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41" w:right="338"/>
              <w:jc w:val="right"/>
              <w:rPr>
                <w:rFonts w:ascii="新細明體" w:hAnsi="新細明體" w:cs="新細明體"/>
              </w:rPr>
            </w:pPr>
            <w:r w:rsidRPr="00D55DC6">
              <w:rPr>
                <w:rFonts w:hint="eastAsia"/>
              </w:rPr>
              <w:t>13.63</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pPr>
              <w:jc w:val="center"/>
              <w:rPr>
                <w:rFonts w:ascii="新細明體" w:hAnsi="新細明體" w:cs="新細明體"/>
              </w:rPr>
            </w:pPr>
            <w:r w:rsidRPr="00D55DC6">
              <w:rPr>
                <w:rFonts w:hint="eastAsia"/>
              </w:rPr>
              <w:t>28.81%</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17" w:right="281"/>
              <w:jc w:val="right"/>
              <w:rPr>
                <w:rFonts w:ascii="新細明體" w:hAnsi="新細明體" w:cs="新細明體"/>
              </w:rPr>
            </w:pPr>
            <w:r w:rsidRPr="00D55DC6">
              <w:rPr>
                <w:rFonts w:hint="eastAsia"/>
              </w:rPr>
              <w:t>36.07</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06" w:right="254"/>
              <w:jc w:val="right"/>
              <w:rPr>
                <w:rFonts w:ascii="新細明體" w:hAnsi="新細明體" w:cs="新細明體"/>
              </w:rPr>
            </w:pPr>
            <w:r w:rsidRPr="00D55DC6">
              <w:rPr>
                <w:rFonts w:hint="eastAsia"/>
              </w:rPr>
              <w:t>9.49</w:t>
            </w:r>
          </w:p>
        </w:tc>
        <w:tc>
          <w:tcPr>
            <w:tcW w:w="1430"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B7B91">
            <w:pPr>
              <w:ind w:rightChars="111" w:right="266"/>
              <w:jc w:val="right"/>
              <w:rPr>
                <w:rFonts w:ascii="新細明體" w:hAnsi="新細明體" w:cs="新細明體"/>
              </w:rPr>
            </w:pPr>
            <w:r w:rsidRPr="00D55DC6">
              <w:rPr>
                <w:rFonts w:hint="eastAsia"/>
              </w:rPr>
              <w:t>26.31%</w:t>
            </w:r>
          </w:p>
        </w:tc>
      </w:tr>
      <w:tr w:rsidR="001D0350" w:rsidRPr="00D55DC6" w:rsidTr="00792E66">
        <w:trPr>
          <w:trHeight w:val="324"/>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BB7B91" w:rsidRPr="00D55DC6" w:rsidRDefault="00BB7B91" w:rsidP="0038165F">
            <w:pPr>
              <w:widowControl/>
              <w:rPr>
                <w:rFonts w:eastAsia="標楷體"/>
                <w:kern w:val="0"/>
              </w:rPr>
            </w:pPr>
            <w:r w:rsidRPr="00D55DC6">
              <w:rPr>
                <w:rFonts w:eastAsia="標楷體"/>
                <w:kern w:val="0"/>
              </w:rPr>
              <w:t>7.</w:t>
            </w:r>
            <w:r w:rsidRPr="00D55DC6">
              <w:rPr>
                <w:rFonts w:eastAsia="標楷體"/>
                <w:kern w:val="0"/>
              </w:rPr>
              <w:t>西拉雅</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94" w:right="226"/>
              <w:jc w:val="right"/>
              <w:rPr>
                <w:rFonts w:ascii="新細明體" w:hAnsi="新細明體" w:cs="新細明體"/>
              </w:rPr>
            </w:pPr>
            <w:r w:rsidRPr="00D55DC6">
              <w:rPr>
                <w:rFonts w:hint="eastAsia"/>
              </w:rPr>
              <w:t>30.22</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41" w:right="338"/>
              <w:jc w:val="right"/>
              <w:rPr>
                <w:rFonts w:ascii="新細明體" w:hAnsi="新細明體" w:cs="新細明體"/>
              </w:rPr>
            </w:pPr>
            <w:r w:rsidRPr="00D55DC6">
              <w:rPr>
                <w:rFonts w:hint="eastAsia"/>
              </w:rPr>
              <w:t>3.11</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pPr>
              <w:jc w:val="center"/>
              <w:rPr>
                <w:rFonts w:ascii="新細明體" w:hAnsi="新細明體" w:cs="新細明體"/>
              </w:rPr>
            </w:pPr>
            <w:r w:rsidRPr="00D55DC6">
              <w:rPr>
                <w:rFonts w:hint="eastAsia"/>
              </w:rPr>
              <w:t>10.28%</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17" w:right="281"/>
              <w:jc w:val="right"/>
              <w:rPr>
                <w:rFonts w:ascii="新細明體" w:hAnsi="新細明體" w:cs="新細明體"/>
              </w:rPr>
            </w:pPr>
            <w:r w:rsidRPr="00D55DC6">
              <w:rPr>
                <w:rFonts w:hint="eastAsia"/>
              </w:rPr>
              <w:t>22.77</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06" w:right="254"/>
              <w:jc w:val="right"/>
              <w:rPr>
                <w:rFonts w:ascii="新細明體" w:hAnsi="新細明體" w:cs="新細明體"/>
              </w:rPr>
            </w:pPr>
            <w:r w:rsidRPr="00D55DC6">
              <w:rPr>
                <w:rFonts w:hint="eastAsia"/>
              </w:rPr>
              <w:t>2.18</w:t>
            </w:r>
          </w:p>
        </w:tc>
        <w:tc>
          <w:tcPr>
            <w:tcW w:w="1430"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B7B91">
            <w:pPr>
              <w:ind w:rightChars="111" w:right="266"/>
              <w:jc w:val="right"/>
              <w:rPr>
                <w:rFonts w:ascii="新細明體" w:hAnsi="新細明體" w:cs="新細明體"/>
              </w:rPr>
            </w:pPr>
            <w:r w:rsidRPr="00D55DC6">
              <w:rPr>
                <w:rFonts w:hint="eastAsia"/>
              </w:rPr>
              <w:t>9.57%</w:t>
            </w:r>
          </w:p>
        </w:tc>
      </w:tr>
      <w:tr w:rsidR="001D0350" w:rsidRPr="00D55DC6" w:rsidTr="00792E66">
        <w:trPr>
          <w:trHeight w:val="324"/>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BB7B91" w:rsidRPr="00D55DC6" w:rsidRDefault="00BB7B91" w:rsidP="0038165F">
            <w:pPr>
              <w:widowControl/>
              <w:rPr>
                <w:rFonts w:eastAsia="標楷體"/>
                <w:kern w:val="0"/>
              </w:rPr>
            </w:pPr>
            <w:r w:rsidRPr="00D55DC6">
              <w:rPr>
                <w:rFonts w:eastAsia="標楷體"/>
                <w:kern w:val="0"/>
              </w:rPr>
              <w:t>8.</w:t>
            </w:r>
            <w:r w:rsidRPr="00D55DC6">
              <w:rPr>
                <w:rFonts w:eastAsia="標楷體"/>
                <w:kern w:val="0"/>
              </w:rPr>
              <w:t>茂林</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94" w:right="226"/>
              <w:jc w:val="right"/>
              <w:rPr>
                <w:rFonts w:ascii="新細明體" w:hAnsi="新細明體" w:cs="新細明體"/>
              </w:rPr>
            </w:pPr>
            <w:r w:rsidRPr="00D55DC6">
              <w:rPr>
                <w:rFonts w:hint="eastAsia"/>
              </w:rPr>
              <w:t>30.82</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41" w:right="338"/>
              <w:jc w:val="right"/>
              <w:rPr>
                <w:rFonts w:ascii="新細明體" w:hAnsi="新細明體" w:cs="新細明體"/>
              </w:rPr>
            </w:pPr>
            <w:r w:rsidRPr="00D55DC6">
              <w:rPr>
                <w:rFonts w:hint="eastAsia"/>
              </w:rPr>
              <w:t>5.49</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pPr>
              <w:jc w:val="center"/>
              <w:rPr>
                <w:rFonts w:ascii="新細明體" w:hAnsi="新細明體" w:cs="新細明體"/>
              </w:rPr>
            </w:pPr>
            <w:r w:rsidRPr="00D55DC6">
              <w:rPr>
                <w:rFonts w:hint="eastAsia"/>
              </w:rPr>
              <w:t>17.83%</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17" w:right="281"/>
              <w:jc w:val="right"/>
              <w:rPr>
                <w:rFonts w:ascii="新細明體" w:hAnsi="新細明體" w:cs="新細明體"/>
              </w:rPr>
            </w:pPr>
            <w:r w:rsidRPr="00D55DC6">
              <w:rPr>
                <w:rFonts w:hint="eastAsia"/>
              </w:rPr>
              <w:t>24.50</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06" w:right="254"/>
              <w:jc w:val="right"/>
              <w:rPr>
                <w:rFonts w:ascii="新細明體" w:hAnsi="新細明體" w:cs="新細明體"/>
              </w:rPr>
            </w:pPr>
            <w:r w:rsidRPr="00D55DC6">
              <w:rPr>
                <w:rFonts w:hint="eastAsia"/>
              </w:rPr>
              <w:t>3.80</w:t>
            </w:r>
          </w:p>
        </w:tc>
        <w:tc>
          <w:tcPr>
            <w:tcW w:w="1430"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B7B91">
            <w:pPr>
              <w:ind w:rightChars="111" w:right="266"/>
              <w:jc w:val="right"/>
              <w:rPr>
                <w:rFonts w:ascii="新細明體" w:hAnsi="新細明體" w:cs="新細明體"/>
              </w:rPr>
            </w:pPr>
            <w:r w:rsidRPr="00D55DC6">
              <w:rPr>
                <w:rFonts w:hint="eastAsia"/>
              </w:rPr>
              <w:t>15.52%</w:t>
            </w:r>
          </w:p>
        </w:tc>
      </w:tr>
      <w:tr w:rsidR="001D0350" w:rsidRPr="00D55DC6" w:rsidTr="00792E66">
        <w:trPr>
          <w:trHeight w:val="324"/>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BB7B91" w:rsidRPr="00D55DC6" w:rsidRDefault="00BB7B91" w:rsidP="0038165F">
            <w:pPr>
              <w:widowControl/>
              <w:rPr>
                <w:rFonts w:eastAsia="標楷體"/>
                <w:kern w:val="0"/>
              </w:rPr>
            </w:pPr>
            <w:r w:rsidRPr="00D55DC6">
              <w:rPr>
                <w:rFonts w:eastAsia="標楷體"/>
                <w:kern w:val="0"/>
              </w:rPr>
              <w:t>9.</w:t>
            </w:r>
            <w:r w:rsidRPr="00D55DC6">
              <w:rPr>
                <w:rFonts w:eastAsia="標楷體"/>
                <w:kern w:val="0"/>
              </w:rPr>
              <w:t>大鵬灣</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94" w:right="226"/>
              <w:jc w:val="right"/>
              <w:rPr>
                <w:rFonts w:ascii="新細明體" w:hAnsi="新細明體" w:cs="新細明體"/>
              </w:rPr>
            </w:pPr>
            <w:r w:rsidRPr="00D55DC6">
              <w:rPr>
                <w:rFonts w:hint="eastAsia"/>
              </w:rPr>
              <w:t>56.51</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41" w:right="338"/>
              <w:jc w:val="right"/>
              <w:rPr>
                <w:rFonts w:ascii="新細明體" w:hAnsi="新細明體" w:cs="新細明體"/>
              </w:rPr>
            </w:pPr>
            <w:r w:rsidRPr="00D55DC6">
              <w:rPr>
                <w:rFonts w:hint="eastAsia"/>
              </w:rPr>
              <w:t>16.79</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pPr>
              <w:jc w:val="center"/>
              <w:rPr>
                <w:rFonts w:ascii="新細明體" w:hAnsi="新細明體" w:cs="新細明體"/>
              </w:rPr>
            </w:pPr>
            <w:r w:rsidRPr="00D55DC6">
              <w:rPr>
                <w:rFonts w:hint="eastAsia"/>
              </w:rPr>
              <w:t>29.70%</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17" w:right="281"/>
              <w:jc w:val="right"/>
              <w:rPr>
                <w:rFonts w:ascii="新細明體" w:hAnsi="新細明體" w:cs="新細明體"/>
              </w:rPr>
            </w:pPr>
            <w:r w:rsidRPr="00D55DC6">
              <w:rPr>
                <w:rFonts w:hint="eastAsia"/>
              </w:rPr>
              <w:t>43.37</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06" w:right="254"/>
              <w:jc w:val="right"/>
              <w:rPr>
                <w:rFonts w:ascii="新細明體" w:hAnsi="新細明體" w:cs="新細明體"/>
              </w:rPr>
            </w:pPr>
            <w:r w:rsidRPr="00D55DC6">
              <w:rPr>
                <w:rFonts w:hint="eastAsia"/>
              </w:rPr>
              <w:t>12.08</w:t>
            </w:r>
          </w:p>
        </w:tc>
        <w:tc>
          <w:tcPr>
            <w:tcW w:w="1430"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B7B91">
            <w:pPr>
              <w:ind w:rightChars="111" w:right="266"/>
              <w:jc w:val="right"/>
              <w:rPr>
                <w:rFonts w:ascii="新細明體" w:hAnsi="新細明體" w:cs="新細明體"/>
              </w:rPr>
            </w:pPr>
            <w:r w:rsidRPr="00D55DC6">
              <w:rPr>
                <w:rFonts w:hint="eastAsia"/>
              </w:rPr>
              <w:t>27.86%</w:t>
            </w:r>
          </w:p>
        </w:tc>
      </w:tr>
      <w:tr w:rsidR="001D0350" w:rsidRPr="00D55DC6" w:rsidTr="00792E66">
        <w:trPr>
          <w:trHeight w:val="324"/>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BB7B91" w:rsidRPr="00D55DC6" w:rsidRDefault="00BB7B91" w:rsidP="0038165F">
            <w:pPr>
              <w:widowControl/>
              <w:rPr>
                <w:rFonts w:eastAsia="標楷體"/>
                <w:kern w:val="0"/>
              </w:rPr>
            </w:pPr>
            <w:r w:rsidRPr="00D55DC6">
              <w:rPr>
                <w:rFonts w:eastAsia="標楷體"/>
                <w:kern w:val="0"/>
              </w:rPr>
              <w:t>10.</w:t>
            </w:r>
            <w:r w:rsidRPr="00D55DC6">
              <w:rPr>
                <w:rFonts w:eastAsia="標楷體"/>
                <w:kern w:val="0"/>
              </w:rPr>
              <w:t>東部海岸</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94" w:right="226"/>
              <w:jc w:val="right"/>
              <w:rPr>
                <w:rFonts w:ascii="新細明體" w:hAnsi="新細明體" w:cs="新細明體"/>
              </w:rPr>
            </w:pPr>
            <w:r w:rsidRPr="00D55DC6">
              <w:rPr>
                <w:rFonts w:hint="eastAsia"/>
              </w:rPr>
              <w:t>46.26</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41" w:right="338"/>
              <w:jc w:val="right"/>
              <w:rPr>
                <w:rFonts w:ascii="新細明體" w:hAnsi="新細明體" w:cs="新細明體"/>
              </w:rPr>
            </w:pPr>
            <w:r w:rsidRPr="00D55DC6">
              <w:rPr>
                <w:rFonts w:hint="eastAsia"/>
              </w:rPr>
              <w:t>4.42</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pPr>
              <w:jc w:val="center"/>
              <w:rPr>
                <w:rFonts w:ascii="新細明體" w:hAnsi="新細明體" w:cs="新細明體"/>
              </w:rPr>
            </w:pPr>
            <w:r w:rsidRPr="00D55DC6">
              <w:rPr>
                <w:rFonts w:hint="eastAsia"/>
              </w:rPr>
              <w:t>9.55%</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17" w:right="281"/>
              <w:jc w:val="right"/>
              <w:rPr>
                <w:rFonts w:ascii="新細明體" w:hAnsi="新細明體" w:cs="新細明體"/>
              </w:rPr>
            </w:pPr>
            <w:r w:rsidRPr="00D55DC6">
              <w:rPr>
                <w:rFonts w:hint="eastAsia"/>
              </w:rPr>
              <w:t>34.84</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06" w:right="254"/>
              <w:jc w:val="right"/>
              <w:rPr>
                <w:rFonts w:ascii="新細明體" w:hAnsi="新細明體" w:cs="新細明體"/>
              </w:rPr>
            </w:pPr>
            <w:r w:rsidRPr="00D55DC6">
              <w:rPr>
                <w:rFonts w:hint="eastAsia"/>
              </w:rPr>
              <w:t>3.20</w:t>
            </w:r>
          </w:p>
        </w:tc>
        <w:tc>
          <w:tcPr>
            <w:tcW w:w="1430"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B7B91">
            <w:pPr>
              <w:ind w:rightChars="111" w:right="266"/>
              <w:jc w:val="right"/>
              <w:rPr>
                <w:rFonts w:ascii="新細明體" w:hAnsi="新細明體" w:cs="新細明體"/>
              </w:rPr>
            </w:pPr>
            <w:r w:rsidRPr="00D55DC6">
              <w:rPr>
                <w:rFonts w:hint="eastAsia"/>
              </w:rPr>
              <w:t>9.17%</w:t>
            </w:r>
          </w:p>
        </w:tc>
      </w:tr>
      <w:tr w:rsidR="001D0350" w:rsidRPr="00D55DC6" w:rsidTr="00792E66">
        <w:trPr>
          <w:trHeight w:val="324"/>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BB7B91" w:rsidRPr="00D55DC6" w:rsidRDefault="00BB7B91" w:rsidP="0038165F">
            <w:pPr>
              <w:widowControl/>
              <w:rPr>
                <w:rFonts w:eastAsia="標楷體"/>
                <w:kern w:val="0"/>
              </w:rPr>
            </w:pPr>
            <w:r w:rsidRPr="00D55DC6">
              <w:rPr>
                <w:rFonts w:eastAsia="標楷體"/>
                <w:kern w:val="0"/>
              </w:rPr>
              <w:t>11.</w:t>
            </w:r>
            <w:r w:rsidRPr="00D55DC6">
              <w:rPr>
                <w:rFonts w:eastAsia="標楷體"/>
                <w:kern w:val="0"/>
              </w:rPr>
              <w:t>花東縱谷</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94" w:right="226"/>
              <w:jc w:val="right"/>
              <w:rPr>
                <w:rFonts w:ascii="新細明體" w:hAnsi="新細明體" w:cs="新細明體"/>
              </w:rPr>
            </w:pPr>
            <w:r w:rsidRPr="00D55DC6">
              <w:rPr>
                <w:rFonts w:hint="eastAsia"/>
              </w:rPr>
              <w:t>31.51</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41" w:right="338"/>
              <w:jc w:val="right"/>
              <w:rPr>
                <w:rFonts w:ascii="新細明體" w:hAnsi="新細明體" w:cs="新細明體"/>
              </w:rPr>
            </w:pPr>
            <w:r w:rsidRPr="00D55DC6">
              <w:rPr>
                <w:rFonts w:hint="eastAsia"/>
              </w:rPr>
              <w:t>4.03</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pPr>
              <w:jc w:val="center"/>
              <w:rPr>
                <w:rFonts w:ascii="新細明體" w:hAnsi="新細明體" w:cs="新細明體"/>
              </w:rPr>
            </w:pPr>
            <w:r w:rsidRPr="00D55DC6">
              <w:rPr>
                <w:rFonts w:hint="eastAsia"/>
              </w:rPr>
              <w:t>12.80%</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17" w:right="281"/>
              <w:jc w:val="right"/>
              <w:rPr>
                <w:rFonts w:ascii="新細明體" w:hAnsi="新細明體" w:cs="新細明體"/>
              </w:rPr>
            </w:pPr>
            <w:r w:rsidRPr="00D55DC6">
              <w:rPr>
                <w:rFonts w:hint="eastAsia"/>
              </w:rPr>
              <w:t>24.69</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06" w:right="254"/>
              <w:jc w:val="right"/>
              <w:rPr>
                <w:rFonts w:ascii="新細明體" w:hAnsi="新細明體" w:cs="新細明體"/>
              </w:rPr>
            </w:pPr>
            <w:r w:rsidRPr="00D55DC6">
              <w:rPr>
                <w:rFonts w:hint="eastAsia"/>
              </w:rPr>
              <w:t>2.84</w:t>
            </w:r>
          </w:p>
        </w:tc>
        <w:tc>
          <w:tcPr>
            <w:tcW w:w="1430"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B7B91">
            <w:pPr>
              <w:ind w:rightChars="111" w:right="266"/>
              <w:jc w:val="right"/>
              <w:rPr>
                <w:rFonts w:ascii="新細明體" w:hAnsi="新細明體" w:cs="新細明體"/>
              </w:rPr>
            </w:pPr>
            <w:r w:rsidRPr="00D55DC6">
              <w:rPr>
                <w:rFonts w:hint="eastAsia"/>
              </w:rPr>
              <w:t>11.50%</w:t>
            </w:r>
          </w:p>
        </w:tc>
      </w:tr>
      <w:tr w:rsidR="001D0350" w:rsidRPr="00D55DC6" w:rsidTr="00792E66">
        <w:trPr>
          <w:trHeight w:val="324"/>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BB7B91" w:rsidRPr="00D55DC6" w:rsidRDefault="00BB7B91" w:rsidP="0038165F">
            <w:pPr>
              <w:widowControl/>
              <w:rPr>
                <w:rFonts w:eastAsia="標楷體"/>
                <w:kern w:val="0"/>
              </w:rPr>
            </w:pPr>
            <w:r w:rsidRPr="00D55DC6">
              <w:rPr>
                <w:rFonts w:eastAsia="標楷體"/>
                <w:kern w:val="0"/>
              </w:rPr>
              <w:t>12.</w:t>
            </w:r>
            <w:r w:rsidRPr="00D55DC6">
              <w:rPr>
                <w:rFonts w:eastAsia="標楷體"/>
                <w:kern w:val="0"/>
              </w:rPr>
              <w:t>澎湖</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94" w:right="226"/>
              <w:jc w:val="right"/>
              <w:rPr>
                <w:rFonts w:ascii="新細明體" w:hAnsi="新細明體" w:cs="新細明體"/>
              </w:rPr>
            </w:pPr>
            <w:r w:rsidRPr="00D55DC6">
              <w:rPr>
                <w:rFonts w:hint="eastAsia"/>
              </w:rPr>
              <w:t>32.70</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41" w:right="338"/>
              <w:jc w:val="right"/>
              <w:rPr>
                <w:rFonts w:ascii="新細明體" w:hAnsi="新細明體" w:cs="新細明體"/>
              </w:rPr>
            </w:pPr>
            <w:r w:rsidRPr="00D55DC6">
              <w:rPr>
                <w:rFonts w:hint="eastAsia"/>
              </w:rPr>
              <w:t>5.45</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pPr>
              <w:jc w:val="center"/>
              <w:rPr>
                <w:rFonts w:ascii="新細明體" w:hAnsi="新細明體" w:cs="新細明體"/>
              </w:rPr>
            </w:pPr>
            <w:r w:rsidRPr="00D55DC6">
              <w:rPr>
                <w:rFonts w:hint="eastAsia"/>
              </w:rPr>
              <w:t>16.67%</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17" w:right="281"/>
              <w:jc w:val="right"/>
              <w:rPr>
                <w:rFonts w:ascii="新細明體" w:hAnsi="新細明體" w:cs="新細明體"/>
              </w:rPr>
            </w:pPr>
            <w:r w:rsidRPr="00D55DC6">
              <w:rPr>
                <w:rFonts w:hint="eastAsia"/>
              </w:rPr>
              <w:t>24.82</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06" w:right="254"/>
              <w:jc w:val="right"/>
              <w:rPr>
                <w:rFonts w:ascii="新細明體" w:hAnsi="新細明體" w:cs="新細明體"/>
              </w:rPr>
            </w:pPr>
            <w:r w:rsidRPr="00D55DC6">
              <w:rPr>
                <w:rFonts w:hint="eastAsia"/>
              </w:rPr>
              <w:t>3.75</w:t>
            </w:r>
          </w:p>
        </w:tc>
        <w:tc>
          <w:tcPr>
            <w:tcW w:w="1430"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B7B91">
            <w:pPr>
              <w:ind w:rightChars="111" w:right="266"/>
              <w:jc w:val="right"/>
              <w:rPr>
                <w:rFonts w:ascii="新細明體" w:hAnsi="新細明體" w:cs="新細明體"/>
              </w:rPr>
            </w:pPr>
            <w:r w:rsidRPr="00D55DC6">
              <w:rPr>
                <w:rFonts w:hint="eastAsia"/>
              </w:rPr>
              <w:t>15.10%</w:t>
            </w:r>
          </w:p>
        </w:tc>
      </w:tr>
      <w:tr w:rsidR="001D0350" w:rsidRPr="00D55DC6" w:rsidTr="00792E66">
        <w:trPr>
          <w:trHeight w:val="324"/>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BB7B91" w:rsidRPr="00D55DC6" w:rsidRDefault="00BB7B91" w:rsidP="0038165F">
            <w:pPr>
              <w:widowControl/>
              <w:rPr>
                <w:rFonts w:eastAsia="標楷體"/>
                <w:kern w:val="0"/>
              </w:rPr>
            </w:pPr>
            <w:r w:rsidRPr="00D55DC6">
              <w:rPr>
                <w:rFonts w:eastAsia="標楷體"/>
                <w:kern w:val="0"/>
              </w:rPr>
              <w:t>13.</w:t>
            </w:r>
            <w:r w:rsidRPr="00D55DC6">
              <w:rPr>
                <w:rFonts w:eastAsia="標楷體"/>
                <w:kern w:val="0"/>
              </w:rPr>
              <w:t>馬祖</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94" w:right="226"/>
              <w:jc w:val="right"/>
              <w:rPr>
                <w:rFonts w:ascii="新細明體" w:hAnsi="新細明體" w:cs="新細明體"/>
              </w:rPr>
            </w:pPr>
            <w:r w:rsidRPr="00D55DC6">
              <w:rPr>
                <w:rFonts w:hint="eastAsia"/>
              </w:rPr>
              <w:t>27.35</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41" w:right="338"/>
              <w:jc w:val="right"/>
              <w:rPr>
                <w:rFonts w:ascii="新細明體" w:hAnsi="新細明體" w:cs="新細明體"/>
              </w:rPr>
            </w:pPr>
            <w:r w:rsidRPr="00D55DC6">
              <w:rPr>
                <w:rFonts w:hint="eastAsia"/>
              </w:rPr>
              <w:t>1.87</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pPr>
              <w:jc w:val="center"/>
              <w:rPr>
                <w:rFonts w:ascii="新細明體" w:hAnsi="新細明體" w:cs="新細明體"/>
              </w:rPr>
            </w:pPr>
            <w:r w:rsidRPr="00D55DC6">
              <w:rPr>
                <w:rFonts w:hint="eastAsia"/>
              </w:rPr>
              <w:t>6.83%</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17" w:right="281"/>
              <w:jc w:val="right"/>
              <w:rPr>
                <w:rFonts w:ascii="新細明體" w:hAnsi="新細明體" w:cs="新細明體"/>
              </w:rPr>
            </w:pPr>
            <w:r w:rsidRPr="00D55DC6">
              <w:rPr>
                <w:rFonts w:hint="eastAsia"/>
              </w:rPr>
              <w:t>21.52</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06" w:right="254"/>
              <w:jc w:val="right"/>
              <w:rPr>
                <w:rFonts w:ascii="新細明體" w:hAnsi="新細明體" w:cs="新細明體"/>
              </w:rPr>
            </w:pPr>
            <w:r w:rsidRPr="00D55DC6">
              <w:rPr>
                <w:rFonts w:hint="eastAsia"/>
              </w:rPr>
              <w:t>1.30</w:t>
            </w:r>
          </w:p>
        </w:tc>
        <w:tc>
          <w:tcPr>
            <w:tcW w:w="1430"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B7B91">
            <w:pPr>
              <w:ind w:rightChars="111" w:right="266"/>
              <w:jc w:val="right"/>
              <w:rPr>
                <w:rFonts w:ascii="新細明體" w:hAnsi="新細明體" w:cs="新細明體"/>
              </w:rPr>
            </w:pPr>
            <w:r w:rsidRPr="00D55DC6">
              <w:rPr>
                <w:rFonts w:hint="eastAsia"/>
              </w:rPr>
              <w:t>6.06%</w:t>
            </w:r>
          </w:p>
        </w:tc>
      </w:tr>
      <w:tr w:rsidR="001D0350" w:rsidRPr="00D55DC6" w:rsidTr="00792E66">
        <w:trPr>
          <w:trHeight w:val="324"/>
        </w:trPr>
        <w:tc>
          <w:tcPr>
            <w:tcW w:w="1433" w:type="dxa"/>
            <w:tcBorders>
              <w:top w:val="nil"/>
              <w:left w:val="single" w:sz="4" w:space="0" w:color="auto"/>
              <w:bottom w:val="single" w:sz="4" w:space="0" w:color="auto"/>
              <w:right w:val="single" w:sz="4" w:space="0" w:color="auto"/>
            </w:tcBorders>
            <w:shd w:val="clear" w:color="auto" w:fill="auto"/>
            <w:noWrap/>
            <w:vAlign w:val="center"/>
            <w:hideMark/>
          </w:tcPr>
          <w:p w:rsidR="00BB7B91" w:rsidRPr="00D55DC6" w:rsidRDefault="00BB7B91" w:rsidP="0038165F">
            <w:pPr>
              <w:widowControl/>
              <w:jc w:val="center"/>
              <w:rPr>
                <w:rFonts w:eastAsia="標楷體"/>
                <w:bCs/>
                <w:kern w:val="0"/>
              </w:rPr>
            </w:pPr>
            <w:r w:rsidRPr="00D55DC6">
              <w:rPr>
                <w:rFonts w:eastAsia="標楷體"/>
                <w:bCs/>
                <w:kern w:val="0"/>
              </w:rPr>
              <w:t>合計</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94" w:right="226"/>
              <w:jc w:val="right"/>
              <w:rPr>
                <w:rFonts w:ascii="新細明體" w:hAnsi="新細明體" w:cs="新細明體"/>
              </w:rPr>
            </w:pPr>
            <w:r w:rsidRPr="00D55DC6">
              <w:rPr>
                <w:rFonts w:hint="eastAsia"/>
              </w:rPr>
              <w:t>523.42</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41" w:right="338"/>
              <w:jc w:val="right"/>
              <w:rPr>
                <w:rFonts w:ascii="新細明體" w:hAnsi="新細明體" w:cs="新細明體"/>
              </w:rPr>
            </w:pPr>
            <w:r w:rsidRPr="00D55DC6">
              <w:rPr>
                <w:rFonts w:hint="eastAsia"/>
              </w:rPr>
              <w:t>115.70</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pPr>
              <w:jc w:val="center"/>
              <w:rPr>
                <w:rFonts w:ascii="新細明體" w:hAnsi="新細明體" w:cs="新細明體"/>
              </w:rPr>
            </w:pPr>
            <w:r w:rsidRPr="00D55DC6">
              <w:rPr>
                <w:rFonts w:hint="eastAsia"/>
              </w:rPr>
              <w:t>22.10%</w:t>
            </w:r>
          </w:p>
        </w:tc>
        <w:tc>
          <w:tcPr>
            <w:tcW w:w="1247"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17" w:right="281"/>
              <w:jc w:val="right"/>
              <w:rPr>
                <w:rFonts w:ascii="新細明體" w:hAnsi="新細明體" w:cs="新細明體"/>
              </w:rPr>
            </w:pPr>
            <w:r w:rsidRPr="00D55DC6">
              <w:rPr>
                <w:rFonts w:hint="eastAsia"/>
              </w:rPr>
              <w:t>401.26</w:t>
            </w:r>
          </w:p>
        </w:tc>
        <w:tc>
          <w:tcPr>
            <w:tcW w:w="1248"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560F1">
            <w:pPr>
              <w:ind w:rightChars="106" w:right="254"/>
              <w:jc w:val="right"/>
              <w:rPr>
                <w:rFonts w:ascii="新細明體" w:hAnsi="新細明體" w:cs="新細明體"/>
              </w:rPr>
            </w:pPr>
            <w:r w:rsidRPr="00D55DC6">
              <w:rPr>
                <w:rFonts w:hint="eastAsia"/>
              </w:rPr>
              <w:t>82.51</w:t>
            </w:r>
          </w:p>
        </w:tc>
        <w:tc>
          <w:tcPr>
            <w:tcW w:w="1430" w:type="dxa"/>
            <w:tcBorders>
              <w:top w:val="nil"/>
              <w:left w:val="nil"/>
              <w:bottom w:val="single" w:sz="4" w:space="0" w:color="auto"/>
              <w:right w:val="single" w:sz="4" w:space="0" w:color="auto"/>
            </w:tcBorders>
            <w:shd w:val="clear" w:color="auto" w:fill="auto"/>
            <w:noWrap/>
            <w:vAlign w:val="center"/>
            <w:hideMark/>
          </w:tcPr>
          <w:p w:rsidR="00BB7B91" w:rsidRPr="00D55DC6" w:rsidRDefault="00BB7B91" w:rsidP="00BB7B91">
            <w:pPr>
              <w:ind w:rightChars="111" w:right="266"/>
              <w:jc w:val="right"/>
              <w:rPr>
                <w:rFonts w:ascii="新細明體" w:hAnsi="新細明體" w:cs="新細明體"/>
              </w:rPr>
            </w:pPr>
            <w:r w:rsidRPr="00D55DC6">
              <w:rPr>
                <w:rFonts w:hint="eastAsia"/>
              </w:rPr>
              <w:t>20.56%</w:t>
            </w:r>
          </w:p>
        </w:tc>
      </w:tr>
    </w:tbl>
    <w:p w:rsidR="002B3D0C" w:rsidRPr="00D55DC6" w:rsidRDefault="002B3D0C" w:rsidP="0038165F">
      <w:pPr>
        <w:pStyle w:val="a"/>
        <w:ind w:left="709" w:hanging="709"/>
        <w:rPr>
          <w:b/>
        </w:rPr>
      </w:pPr>
      <w:bookmarkStart w:id="56" w:name="_Toc407181639"/>
      <w:r w:rsidRPr="00D55DC6">
        <w:rPr>
          <w:b/>
        </w:rPr>
        <w:lastRenderedPageBreak/>
        <w:t>附則</w:t>
      </w:r>
      <w:bookmarkEnd w:id="56"/>
    </w:p>
    <w:p w:rsidR="002B3D0C" w:rsidRPr="00D55DC6" w:rsidRDefault="00F5461E" w:rsidP="0038165F">
      <w:pPr>
        <w:pStyle w:val="af2"/>
        <w:numPr>
          <w:ilvl w:val="0"/>
          <w:numId w:val="5"/>
        </w:numPr>
        <w:snapToGrid w:val="0"/>
        <w:spacing w:line="460" w:lineRule="exact"/>
        <w:ind w:leftChars="0"/>
        <w:jc w:val="both"/>
        <w:rPr>
          <w:rFonts w:eastAsia="標楷體"/>
          <w:b/>
          <w:sz w:val="28"/>
          <w:szCs w:val="28"/>
        </w:rPr>
      </w:pPr>
      <w:r w:rsidRPr="00D55DC6">
        <w:rPr>
          <w:rFonts w:eastAsia="標楷體"/>
          <w:b/>
          <w:sz w:val="28"/>
          <w:szCs w:val="28"/>
        </w:rPr>
        <w:t>替</w:t>
      </w:r>
      <w:r w:rsidR="002B3D0C" w:rsidRPr="00D55DC6">
        <w:rPr>
          <w:rFonts w:eastAsia="標楷體"/>
          <w:b/>
          <w:sz w:val="28"/>
          <w:szCs w:val="28"/>
        </w:rPr>
        <w:t>選方案之分析及評估</w:t>
      </w:r>
    </w:p>
    <w:p w:rsidR="006A6008" w:rsidRPr="00D55DC6" w:rsidRDefault="006A6008" w:rsidP="0038165F">
      <w:pPr>
        <w:widowControl/>
        <w:spacing w:line="460" w:lineRule="exact"/>
        <w:ind w:leftChars="354" w:left="850" w:firstLineChars="11" w:firstLine="31"/>
        <w:rPr>
          <w:rFonts w:eastAsia="標楷體"/>
          <w:kern w:val="0"/>
          <w:sz w:val="28"/>
          <w:szCs w:val="28"/>
        </w:rPr>
      </w:pPr>
      <w:r w:rsidRPr="00D55DC6">
        <w:rPr>
          <w:rFonts w:eastAsia="標楷體"/>
          <w:kern w:val="0"/>
          <w:sz w:val="28"/>
          <w:szCs w:val="28"/>
        </w:rPr>
        <w:t xml:space="preserve">    </w:t>
      </w:r>
      <w:r w:rsidRPr="00D55DC6">
        <w:rPr>
          <w:rFonts w:eastAsia="標楷體"/>
          <w:kern w:val="0"/>
          <w:sz w:val="28"/>
          <w:szCs w:val="28"/>
        </w:rPr>
        <w:t>計畫推動過程如遇特殊因素致部分執行成效無法如期達成，將</w:t>
      </w:r>
      <w:r w:rsidR="007531E1" w:rsidRPr="00D55DC6">
        <w:rPr>
          <w:rFonts w:eastAsia="標楷體"/>
          <w:kern w:val="0"/>
          <w:sz w:val="28"/>
          <w:szCs w:val="28"/>
        </w:rPr>
        <w:t>透過先期作業計畫及年度作業計畫</w:t>
      </w:r>
      <w:r w:rsidRPr="00D55DC6">
        <w:rPr>
          <w:rFonts w:eastAsia="標楷體"/>
          <w:kern w:val="0"/>
          <w:sz w:val="28"/>
          <w:szCs w:val="28"/>
        </w:rPr>
        <w:t>滾動式修正計畫內容</w:t>
      </w:r>
      <w:r w:rsidR="007531E1" w:rsidRPr="00D55DC6">
        <w:rPr>
          <w:rFonts w:eastAsia="標楷體"/>
          <w:kern w:val="0"/>
          <w:sz w:val="28"/>
          <w:szCs w:val="28"/>
        </w:rPr>
        <w:t>予以推動</w:t>
      </w:r>
      <w:r w:rsidRPr="00D55DC6">
        <w:rPr>
          <w:rFonts w:eastAsia="標楷體"/>
          <w:kern w:val="0"/>
          <w:sz w:val="28"/>
          <w:szCs w:val="28"/>
        </w:rPr>
        <w:t>；若遇</w:t>
      </w:r>
      <w:r w:rsidR="00F556DC" w:rsidRPr="00D55DC6">
        <w:rPr>
          <w:rFonts w:eastAsia="標楷體"/>
          <w:kern w:val="0"/>
          <w:sz w:val="28"/>
          <w:szCs w:val="28"/>
        </w:rPr>
        <w:t>不可抗力或</w:t>
      </w:r>
      <w:r w:rsidRPr="00D55DC6">
        <w:rPr>
          <w:rFonts w:eastAsia="標楷體"/>
          <w:kern w:val="0"/>
          <w:sz w:val="28"/>
          <w:szCs w:val="28"/>
        </w:rPr>
        <w:t>經費拮</w:t>
      </w:r>
      <w:r w:rsidR="00B309E2" w:rsidRPr="00D55DC6">
        <w:rPr>
          <w:rFonts w:eastAsia="標楷體" w:hint="eastAsia"/>
          <w:kern w:val="0"/>
          <w:sz w:val="28"/>
          <w:szCs w:val="28"/>
        </w:rPr>
        <w:t>据</w:t>
      </w:r>
      <w:r w:rsidR="00F556DC" w:rsidRPr="00D55DC6">
        <w:rPr>
          <w:rFonts w:eastAsia="標楷體"/>
          <w:kern w:val="0"/>
          <w:sz w:val="28"/>
          <w:szCs w:val="28"/>
        </w:rPr>
        <w:t>等因素</w:t>
      </w:r>
      <w:r w:rsidRPr="00D55DC6">
        <w:rPr>
          <w:rFonts w:eastAsia="標楷體"/>
          <w:kern w:val="0"/>
          <w:sz w:val="28"/>
          <w:szCs w:val="28"/>
        </w:rPr>
        <w:t>，將檢討經費運用方式，改採優先運用在國際觀光重要景點及國內觀光重要景點建設為主，風景區經營管理費用為輔之策略，作為替代方案，以建立永續觀光發展。</w:t>
      </w:r>
    </w:p>
    <w:p w:rsidR="002B3D0C" w:rsidRPr="00D55DC6" w:rsidRDefault="002B3D0C" w:rsidP="0038165F">
      <w:pPr>
        <w:pStyle w:val="af2"/>
        <w:numPr>
          <w:ilvl w:val="0"/>
          <w:numId w:val="5"/>
        </w:numPr>
        <w:snapToGrid w:val="0"/>
        <w:spacing w:line="460" w:lineRule="exact"/>
        <w:ind w:leftChars="0"/>
        <w:jc w:val="both"/>
        <w:rPr>
          <w:rFonts w:eastAsia="標楷體"/>
          <w:b/>
          <w:sz w:val="28"/>
          <w:szCs w:val="28"/>
        </w:rPr>
      </w:pPr>
      <w:r w:rsidRPr="00D55DC6">
        <w:rPr>
          <w:rFonts w:eastAsia="標楷體"/>
          <w:b/>
          <w:sz w:val="28"/>
          <w:szCs w:val="28"/>
        </w:rPr>
        <w:t>風險評估</w:t>
      </w:r>
      <w:r w:rsidR="00F556DC" w:rsidRPr="00D55DC6">
        <w:rPr>
          <w:rFonts w:eastAsia="標楷體"/>
          <w:b/>
          <w:sz w:val="28"/>
          <w:szCs w:val="28"/>
        </w:rPr>
        <w:t xml:space="preserve"> </w:t>
      </w:r>
    </w:p>
    <w:p w:rsidR="00982D0D" w:rsidRPr="00D55DC6" w:rsidRDefault="00A33814" w:rsidP="0038165F">
      <w:pPr>
        <w:tabs>
          <w:tab w:val="left" w:pos="851"/>
        </w:tabs>
        <w:snapToGrid w:val="0"/>
        <w:spacing w:line="460" w:lineRule="exact"/>
        <w:ind w:leftChars="353" w:left="848" w:hanging="1"/>
        <w:jc w:val="both"/>
        <w:rPr>
          <w:rFonts w:eastAsia="標楷體"/>
          <w:kern w:val="0"/>
          <w:sz w:val="28"/>
          <w:szCs w:val="28"/>
        </w:rPr>
      </w:pPr>
      <w:r w:rsidRPr="00D55DC6">
        <w:rPr>
          <w:rFonts w:eastAsia="標楷體"/>
          <w:kern w:val="0"/>
          <w:sz w:val="28"/>
          <w:szCs w:val="28"/>
        </w:rPr>
        <w:t xml:space="preserve">    </w:t>
      </w:r>
      <w:r w:rsidRPr="00D55DC6">
        <w:rPr>
          <w:rFonts w:eastAsia="標楷體"/>
          <w:kern w:val="0"/>
          <w:sz w:val="28"/>
          <w:szCs w:val="28"/>
        </w:rPr>
        <w:t>管理處依據國家風景區之業務特性，進行風險項目辨識，</w:t>
      </w:r>
      <w:r w:rsidR="00312428" w:rsidRPr="00D55DC6">
        <w:rPr>
          <w:rFonts w:eastAsia="標楷體"/>
          <w:kern w:val="0"/>
          <w:sz w:val="28"/>
          <w:szCs w:val="28"/>
        </w:rPr>
        <w:t>並針對</w:t>
      </w:r>
      <w:r w:rsidRPr="00D55DC6">
        <w:rPr>
          <w:rFonts w:eastAsia="標楷體"/>
          <w:kern w:val="0"/>
          <w:sz w:val="28"/>
          <w:szCs w:val="28"/>
        </w:rPr>
        <w:t>風險評估結果，</w:t>
      </w:r>
      <w:r w:rsidR="00312428" w:rsidRPr="00D55DC6">
        <w:rPr>
          <w:rFonts w:eastAsia="標楷體"/>
          <w:kern w:val="0"/>
          <w:sz w:val="28"/>
          <w:szCs w:val="28"/>
        </w:rPr>
        <w:t>提出相對應控制作業</w:t>
      </w:r>
      <w:r w:rsidRPr="00D55DC6">
        <w:rPr>
          <w:rFonts w:eastAsia="標楷體"/>
          <w:kern w:val="0"/>
          <w:sz w:val="28"/>
          <w:szCs w:val="28"/>
        </w:rPr>
        <w:t>。</w:t>
      </w:r>
    </w:p>
    <w:p w:rsidR="002B3D0C" w:rsidRPr="00D55DC6" w:rsidRDefault="002B3D0C" w:rsidP="0038165F">
      <w:pPr>
        <w:pStyle w:val="af2"/>
        <w:numPr>
          <w:ilvl w:val="0"/>
          <w:numId w:val="5"/>
        </w:numPr>
        <w:snapToGrid w:val="0"/>
        <w:spacing w:line="460" w:lineRule="exact"/>
        <w:ind w:leftChars="0"/>
        <w:jc w:val="both"/>
        <w:rPr>
          <w:rFonts w:eastAsia="標楷體"/>
          <w:b/>
          <w:sz w:val="28"/>
          <w:szCs w:val="28"/>
        </w:rPr>
      </w:pPr>
      <w:r w:rsidRPr="00D55DC6">
        <w:rPr>
          <w:rFonts w:eastAsia="標楷體"/>
          <w:b/>
          <w:sz w:val="28"/>
          <w:szCs w:val="28"/>
        </w:rPr>
        <w:t>相關機關配合事項</w:t>
      </w:r>
    </w:p>
    <w:p w:rsidR="00BD3024" w:rsidRPr="00D55DC6" w:rsidRDefault="00D60F88" w:rsidP="0038165F">
      <w:pPr>
        <w:tabs>
          <w:tab w:val="left" w:pos="851"/>
        </w:tabs>
        <w:snapToGrid w:val="0"/>
        <w:spacing w:line="460" w:lineRule="exact"/>
        <w:ind w:leftChars="353" w:left="848" w:hanging="1"/>
        <w:jc w:val="both"/>
        <w:rPr>
          <w:rFonts w:eastAsia="標楷體"/>
          <w:sz w:val="28"/>
          <w:szCs w:val="28"/>
        </w:rPr>
      </w:pPr>
      <w:r w:rsidRPr="00D55DC6">
        <w:rPr>
          <w:rFonts w:eastAsia="標楷體"/>
          <w:sz w:val="28"/>
          <w:szCs w:val="28"/>
        </w:rPr>
        <w:t xml:space="preserve">    </w:t>
      </w:r>
      <w:r w:rsidRPr="00D55DC6">
        <w:rPr>
          <w:rFonts w:eastAsia="標楷體"/>
          <w:sz w:val="28"/>
          <w:szCs w:val="28"/>
        </w:rPr>
        <w:t>各子計畫</w:t>
      </w:r>
      <w:r w:rsidR="00D758E7" w:rsidRPr="00D55DC6">
        <w:rPr>
          <w:rFonts w:eastAsia="標楷體"/>
          <w:sz w:val="28"/>
          <w:szCs w:val="28"/>
        </w:rPr>
        <w:t>將</w:t>
      </w:r>
      <w:r w:rsidRPr="00D55DC6">
        <w:rPr>
          <w:rFonts w:eastAsia="標楷體"/>
          <w:sz w:val="28"/>
          <w:szCs w:val="28"/>
        </w:rPr>
        <w:t>依實際推動需要，</w:t>
      </w:r>
      <w:r w:rsidR="00E336A1" w:rsidRPr="00D55DC6">
        <w:rPr>
          <w:rFonts w:eastAsia="標楷體"/>
          <w:sz w:val="28"/>
          <w:szCs w:val="28"/>
        </w:rPr>
        <w:t>各自</w:t>
      </w:r>
      <w:r w:rsidR="00D758E7" w:rsidRPr="00D55DC6">
        <w:rPr>
          <w:rFonts w:eastAsia="標楷體"/>
          <w:sz w:val="28"/>
          <w:szCs w:val="28"/>
        </w:rPr>
        <w:t>協調</w:t>
      </w:r>
      <w:r w:rsidR="00D758E7" w:rsidRPr="00D55DC6">
        <w:rPr>
          <w:rFonts w:eastAsia="標楷體"/>
          <w:b/>
          <w:sz w:val="28"/>
          <w:szCs w:val="28"/>
        </w:rPr>
        <w:t>交通部公路總局</w:t>
      </w:r>
      <w:r w:rsidR="00D758E7" w:rsidRPr="00D55DC6">
        <w:rPr>
          <w:rFonts w:eastAsia="標楷體"/>
          <w:sz w:val="28"/>
          <w:szCs w:val="28"/>
        </w:rPr>
        <w:t>(</w:t>
      </w:r>
      <w:r w:rsidR="00D758E7" w:rsidRPr="00D55DC6">
        <w:rPr>
          <w:rFonts w:eastAsia="標楷體"/>
          <w:sz w:val="28"/>
          <w:szCs w:val="28"/>
        </w:rPr>
        <w:t>聯外道路景觀維護</w:t>
      </w:r>
      <w:r w:rsidR="00D758E7" w:rsidRPr="00D55DC6">
        <w:rPr>
          <w:rFonts w:eastAsia="標楷體"/>
          <w:sz w:val="28"/>
          <w:szCs w:val="28"/>
        </w:rPr>
        <w:t>)</w:t>
      </w:r>
      <w:r w:rsidR="00D758E7" w:rsidRPr="00D55DC6">
        <w:rPr>
          <w:rFonts w:eastAsia="標楷體"/>
          <w:sz w:val="28"/>
          <w:szCs w:val="28"/>
        </w:rPr>
        <w:t>、</w:t>
      </w:r>
      <w:r w:rsidR="00D758E7" w:rsidRPr="00D55DC6">
        <w:rPr>
          <w:rFonts w:eastAsia="標楷體"/>
          <w:b/>
          <w:sz w:val="28"/>
          <w:szCs w:val="28"/>
        </w:rPr>
        <w:t>臺灣鐵路管理局</w:t>
      </w:r>
      <w:r w:rsidR="00D758E7" w:rsidRPr="00D55DC6">
        <w:rPr>
          <w:rFonts w:eastAsia="標楷體"/>
          <w:sz w:val="28"/>
          <w:szCs w:val="28"/>
        </w:rPr>
        <w:t>(</w:t>
      </w:r>
      <w:r w:rsidR="00D758E7" w:rsidRPr="00D55DC6">
        <w:rPr>
          <w:rFonts w:eastAsia="標楷體"/>
          <w:sz w:val="28"/>
          <w:szCs w:val="28"/>
        </w:rPr>
        <w:t>車站旅客服務設施、鐵路沿線景觀</w:t>
      </w:r>
      <w:r w:rsidR="00D758E7" w:rsidRPr="00D55DC6">
        <w:rPr>
          <w:rFonts w:eastAsia="標楷體"/>
          <w:sz w:val="28"/>
          <w:szCs w:val="28"/>
        </w:rPr>
        <w:t>)</w:t>
      </w:r>
      <w:r w:rsidR="00D758E7" w:rsidRPr="00D55DC6">
        <w:rPr>
          <w:rFonts w:eastAsia="標楷體"/>
          <w:sz w:val="28"/>
          <w:szCs w:val="28"/>
        </w:rPr>
        <w:t>、</w:t>
      </w:r>
      <w:r w:rsidR="00E336A1" w:rsidRPr="00D55DC6">
        <w:rPr>
          <w:rFonts w:eastAsia="標楷體"/>
          <w:b/>
          <w:sz w:val="28"/>
          <w:szCs w:val="28"/>
        </w:rPr>
        <w:t>航港局</w:t>
      </w:r>
      <w:r w:rsidR="00E336A1" w:rsidRPr="00D55DC6">
        <w:rPr>
          <w:rFonts w:eastAsia="標楷體"/>
          <w:sz w:val="28"/>
          <w:szCs w:val="28"/>
        </w:rPr>
        <w:t>(</w:t>
      </w:r>
      <w:r w:rsidR="00E336A1" w:rsidRPr="00D55DC6">
        <w:rPr>
          <w:rFonts w:eastAsia="標楷體"/>
          <w:sz w:val="28"/>
          <w:szCs w:val="28"/>
        </w:rPr>
        <w:t>國際郵輪碼頭設施、海運航班調配</w:t>
      </w:r>
      <w:r w:rsidR="00E336A1" w:rsidRPr="00D55DC6">
        <w:rPr>
          <w:rFonts w:eastAsia="標楷體"/>
          <w:sz w:val="28"/>
          <w:szCs w:val="28"/>
        </w:rPr>
        <w:t>)</w:t>
      </w:r>
      <w:r w:rsidR="00E336A1" w:rsidRPr="00D55DC6">
        <w:rPr>
          <w:rFonts w:eastAsia="標楷體"/>
          <w:sz w:val="28"/>
          <w:szCs w:val="28"/>
        </w:rPr>
        <w:t>、</w:t>
      </w:r>
      <w:r w:rsidR="00E336A1" w:rsidRPr="00D55DC6">
        <w:rPr>
          <w:rFonts w:eastAsia="標楷體"/>
          <w:b/>
          <w:sz w:val="28"/>
          <w:szCs w:val="28"/>
        </w:rPr>
        <w:t>民航局</w:t>
      </w:r>
      <w:r w:rsidR="00E336A1" w:rsidRPr="00D55DC6">
        <w:rPr>
          <w:rFonts w:eastAsia="標楷體"/>
          <w:sz w:val="28"/>
          <w:szCs w:val="28"/>
        </w:rPr>
        <w:t>(</w:t>
      </w:r>
      <w:r w:rsidR="00E336A1" w:rsidRPr="00D55DC6">
        <w:rPr>
          <w:rFonts w:eastAsia="標楷體"/>
          <w:sz w:val="28"/>
          <w:szCs w:val="28"/>
        </w:rPr>
        <w:t>離島空運航班調配</w:t>
      </w:r>
      <w:r w:rsidR="00E336A1" w:rsidRPr="00D55DC6">
        <w:rPr>
          <w:rFonts w:eastAsia="標楷體"/>
          <w:sz w:val="28"/>
          <w:szCs w:val="28"/>
        </w:rPr>
        <w:t>)</w:t>
      </w:r>
      <w:r w:rsidR="00E336A1" w:rsidRPr="00D55DC6">
        <w:rPr>
          <w:rFonts w:eastAsia="標楷體"/>
          <w:sz w:val="28"/>
          <w:szCs w:val="28"/>
        </w:rPr>
        <w:t>、</w:t>
      </w:r>
      <w:r w:rsidRPr="00D55DC6">
        <w:rPr>
          <w:rFonts w:eastAsia="標楷體"/>
          <w:b/>
          <w:sz w:val="28"/>
          <w:szCs w:val="28"/>
        </w:rPr>
        <w:t>內政部營建署</w:t>
      </w:r>
      <w:r w:rsidR="003F4358" w:rsidRPr="00D55DC6">
        <w:rPr>
          <w:rFonts w:eastAsia="標楷體"/>
          <w:sz w:val="28"/>
          <w:szCs w:val="28"/>
        </w:rPr>
        <w:t>(</w:t>
      </w:r>
      <w:r w:rsidR="003F4358" w:rsidRPr="00D55DC6">
        <w:rPr>
          <w:rFonts w:eastAsia="標楷體"/>
          <w:sz w:val="28"/>
          <w:szCs w:val="28"/>
        </w:rPr>
        <w:t>都市計畫變更</w:t>
      </w:r>
      <w:r w:rsidR="003F4358" w:rsidRPr="00D55DC6">
        <w:rPr>
          <w:rFonts w:eastAsia="標楷體"/>
          <w:sz w:val="28"/>
          <w:szCs w:val="28"/>
        </w:rPr>
        <w:t>)</w:t>
      </w:r>
      <w:r w:rsidRPr="00D55DC6">
        <w:rPr>
          <w:rFonts w:eastAsia="標楷體"/>
          <w:sz w:val="28"/>
          <w:szCs w:val="28"/>
        </w:rPr>
        <w:t>、</w:t>
      </w:r>
      <w:r w:rsidR="00D758E7" w:rsidRPr="00D55DC6">
        <w:rPr>
          <w:rFonts w:eastAsia="標楷體"/>
          <w:b/>
          <w:sz w:val="28"/>
          <w:szCs w:val="28"/>
        </w:rPr>
        <w:t>文化部</w:t>
      </w:r>
      <w:r w:rsidR="00D758E7" w:rsidRPr="00D55DC6">
        <w:rPr>
          <w:rFonts w:eastAsia="標楷體"/>
          <w:sz w:val="28"/>
          <w:szCs w:val="28"/>
        </w:rPr>
        <w:t>(</w:t>
      </w:r>
      <w:r w:rsidR="00D758E7" w:rsidRPr="00D55DC6">
        <w:rPr>
          <w:rFonts w:eastAsia="標楷體"/>
          <w:sz w:val="28"/>
          <w:szCs w:val="28"/>
        </w:rPr>
        <w:t>文化資產及歷史建築活化</w:t>
      </w:r>
      <w:r w:rsidR="00E336A1" w:rsidRPr="00D55DC6">
        <w:rPr>
          <w:rFonts w:eastAsia="標楷體"/>
          <w:sz w:val="28"/>
          <w:szCs w:val="28"/>
        </w:rPr>
        <w:t>、城鄉風貌改善</w:t>
      </w:r>
      <w:r w:rsidR="00D758E7" w:rsidRPr="00D55DC6">
        <w:rPr>
          <w:rFonts w:eastAsia="標楷體"/>
          <w:sz w:val="28"/>
          <w:szCs w:val="28"/>
        </w:rPr>
        <w:t>)</w:t>
      </w:r>
      <w:r w:rsidR="00D758E7" w:rsidRPr="00D55DC6">
        <w:rPr>
          <w:rFonts w:eastAsia="標楷體"/>
          <w:sz w:val="28"/>
          <w:szCs w:val="28"/>
        </w:rPr>
        <w:t>、</w:t>
      </w:r>
      <w:r w:rsidR="003F4358" w:rsidRPr="00D55DC6">
        <w:rPr>
          <w:rFonts w:eastAsia="標楷體"/>
          <w:b/>
          <w:sz w:val="28"/>
          <w:szCs w:val="28"/>
        </w:rPr>
        <w:t>財政部</w:t>
      </w:r>
      <w:r w:rsidRPr="00D55DC6">
        <w:rPr>
          <w:rFonts w:eastAsia="標楷體"/>
          <w:b/>
          <w:sz w:val="28"/>
          <w:szCs w:val="28"/>
        </w:rPr>
        <w:t>國有財產署</w:t>
      </w:r>
      <w:r w:rsidR="003F4358" w:rsidRPr="00D55DC6">
        <w:rPr>
          <w:rFonts w:eastAsia="標楷體"/>
          <w:sz w:val="28"/>
          <w:szCs w:val="28"/>
        </w:rPr>
        <w:t>(</w:t>
      </w:r>
      <w:r w:rsidR="003F4358" w:rsidRPr="00D55DC6">
        <w:rPr>
          <w:rFonts w:eastAsia="標楷體"/>
          <w:sz w:val="28"/>
          <w:szCs w:val="28"/>
        </w:rPr>
        <w:t>公有地</w:t>
      </w:r>
      <w:r w:rsidR="00D758E7" w:rsidRPr="00D55DC6">
        <w:rPr>
          <w:rFonts w:eastAsia="標楷體"/>
          <w:sz w:val="28"/>
          <w:szCs w:val="28"/>
        </w:rPr>
        <w:t>取得</w:t>
      </w:r>
      <w:r w:rsidR="003F4358" w:rsidRPr="00D55DC6">
        <w:rPr>
          <w:rFonts w:eastAsia="標楷體"/>
          <w:sz w:val="28"/>
          <w:szCs w:val="28"/>
        </w:rPr>
        <w:t>)</w:t>
      </w:r>
      <w:r w:rsidRPr="00D55DC6">
        <w:rPr>
          <w:rFonts w:eastAsia="標楷體"/>
          <w:sz w:val="28"/>
          <w:szCs w:val="28"/>
        </w:rPr>
        <w:t>、</w:t>
      </w:r>
      <w:r w:rsidR="00E336A1" w:rsidRPr="00D55DC6">
        <w:rPr>
          <w:rFonts w:eastAsia="標楷體"/>
          <w:b/>
          <w:sz w:val="28"/>
          <w:szCs w:val="28"/>
        </w:rPr>
        <w:t>國防部軍備局</w:t>
      </w:r>
      <w:r w:rsidR="00E336A1" w:rsidRPr="00D55DC6">
        <w:rPr>
          <w:rFonts w:eastAsia="標楷體"/>
          <w:sz w:val="28"/>
          <w:szCs w:val="28"/>
        </w:rPr>
        <w:t>(</w:t>
      </w:r>
      <w:r w:rsidR="00E336A1" w:rsidRPr="00D55DC6">
        <w:rPr>
          <w:rFonts w:eastAsia="標楷體"/>
          <w:sz w:val="28"/>
          <w:szCs w:val="28"/>
        </w:rPr>
        <w:t>閒置營區釋出</w:t>
      </w:r>
      <w:r w:rsidR="00E336A1" w:rsidRPr="00D55DC6">
        <w:rPr>
          <w:rFonts w:eastAsia="標楷體"/>
          <w:sz w:val="28"/>
          <w:szCs w:val="28"/>
        </w:rPr>
        <w:t>)</w:t>
      </w:r>
      <w:r w:rsidR="00E336A1" w:rsidRPr="00D55DC6">
        <w:rPr>
          <w:rFonts w:eastAsia="標楷體"/>
          <w:sz w:val="28"/>
          <w:szCs w:val="28"/>
        </w:rPr>
        <w:t>、</w:t>
      </w:r>
      <w:r w:rsidR="00E336A1" w:rsidRPr="00D55DC6">
        <w:rPr>
          <w:rFonts w:eastAsia="標楷體"/>
          <w:b/>
          <w:sz w:val="28"/>
          <w:szCs w:val="28"/>
        </w:rPr>
        <w:t>國家發展委員會</w:t>
      </w:r>
      <w:r w:rsidR="00E336A1" w:rsidRPr="00D55DC6">
        <w:rPr>
          <w:rFonts w:eastAsia="標楷體"/>
          <w:sz w:val="28"/>
          <w:szCs w:val="28"/>
        </w:rPr>
        <w:t>(</w:t>
      </w:r>
      <w:r w:rsidR="00E336A1" w:rsidRPr="00D55DC6">
        <w:rPr>
          <w:rFonts w:eastAsia="標楷體"/>
          <w:sz w:val="28"/>
          <w:szCs w:val="28"/>
        </w:rPr>
        <w:t>離島重大建設投資案件審定</w:t>
      </w:r>
      <w:r w:rsidR="00E336A1" w:rsidRPr="00D55DC6">
        <w:rPr>
          <w:rFonts w:eastAsia="標楷體"/>
          <w:sz w:val="28"/>
          <w:szCs w:val="28"/>
        </w:rPr>
        <w:t>)</w:t>
      </w:r>
      <w:r w:rsidR="00E336A1" w:rsidRPr="00D55DC6">
        <w:rPr>
          <w:rFonts w:eastAsia="標楷體"/>
          <w:sz w:val="28"/>
          <w:szCs w:val="28"/>
        </w:rPr>
        <w:t>、</w:t>
      </w:r>
      <w:r w:rsidRPr="00D55DC6">
        <w:rPr>
          <w:rFonts w:eastAsia="標楷體"/>
          <w:b/>
          <w:sz w:val="28"/>
          <w:szCs w:val="28"/>
        </w:rPr>
        <w:t>行政院農</w:t>
      </w:r>
      <w:r w:rsidR="00D758E7" w:rsidRPr="00D55DC6">
        <w:rPr>
          <w:rFonts w:eastAsia="標楷體"/>
          <w:b/>
          <w:sz w:val="28"/>
          <w:szCs w:val="28"/>
        </w:rPr>
        <w:t>業</w:t>
      </w:r>
      <w:r w:rsidRPr="00D55DC6">
        <w:rPr>
          <w:rFonts w:eastAsia="標楷體"/>
          <w:b/>
          <w:sz w:val="28"/>
          <w:szCs w:val="28"/>
        </w:rPr>
        <w:t>委</w:t>
      </w:r>
      <w:r w:rsidR="00D758E7" w:rsidRPr="00D55DC6">
        <w:rPr>
          <w:rFonts w:eastAsia="標楷體"/>
          <w:b/>
          <w:sz w:val="28"/>
          <w:szCs w:val="28"/>
        </w:rPr>
        <w:t>員</w:t>
      </w:r>
      <w:r w:rsidRPr="00D55DC6">
        <w:rPr>
          <w:rFonts w:eastAsia="標楷體"/>
          <w:b/>
          <w:sz w:val="28"/>
          <w:szCs w:val="28"/>
        </w:rPr>
        <w:t>會</w:t>
      </w:r>
      <w:r w:rsidR="003F4358" w:rsidRPr="00D55DC6">
        <w:rPr>
          <w:rFonts w:eastAsia="標楷體"/>
          <w:b/>
          <w:sz w:val="28"/>
          <w:szCs w:val="28"/>
        </w:rPr>
        <w:t>林務局</w:t>
      </w:r>
      <w:r w:rsidR="003F4358" w:rsidRPr="00D55DC6">
        <w:rPr>
          <w:rFonts w:eastAsia="標楷體"/>
          <w:sz w:val="28"/>
          <w:szCs w:val="28"/>
        </w:rPr>
        <w:t>(</w:t>
      </w:r>
      <w:r w:rsidR="003F4358" w:rsidRPr="00D55DC6">
        <w:rPr>
          <w:rFonts w:eastAsia="標楷體"/>
          <w:sz w:val="28"/>
          <w:szCs w:val="28"/>
        </w:rPr>
        <w:t>林班地</w:t>
      </w:r>
      <w:r w:rsidR="00D758E7" w:rsidRPr="00D55DC6">
        <w:rPr>
          <w:rFonts w:eastAsia="標楷體"/>
          <w:sz w:val="28"/>
          <w:szCs w:val="28"/>
        </w:rPr>
        <w:t>解編</w:t>
      </w:r>
      <w:r w:rsidR="003F4358" w:rsidRPr="00D55DC6">
        <w:rPr>
          <w:rFonts w:eastAsia="標楷體"/>
          <w:sz w:val="28"/>
          <w:szCs w:val="28"/>
        </w:rPr>
        <w:t>)</w:t>
      </w:r>
      <w:r w:rsidRPr="00D55DC6">
        <w:rPr>
          <w:rFonts w:eastAsia="標楷體"/>
          <w:sz w:val="28"/>
          <w:szCs w:val="28"/>
        </w:rPr>
        <w:t>、</w:t>
      </w:r>
      <w:r w:rsidR="003F4358" w:rsidRPr="00D55DC6">
        <w:rPr>
          <w:rFonts w:eastAsia="標楷體"/>
          <w:b/>
          <w:sz w:val="28"/>
          <w:szCs w:val="28"/>
        </w:rPr>
        <w:t>原</w:t>
      </w:r>
      <w:r w:rsidR="00D758E7" w:rsidRPr="00D55DC6">
        <w:rPr>
          <w:rFonts w:eastAsia="標楷體"/>
          <w:b/>
          <w:sz w:val="28"/>
          <w:szCs w:val="28"/>
        </w:rPr>
        <w:t>住</w:t>
      </w:r>
      <w:r w:rsidR="003F4358" w:rsidRPr="00D55DC6">
        <w:rPr>
          <w:rFonts w:eastAsia="標楷體"/>
          <w:b/>
          <w:sz w:val="28"/>
          <w:szCs w:val="28"/>
        </w:rPr>
        <w:t>民</w:t>
      </w:r>
      <w:r w:rsidR="00B309E2" w:rsidRPr="00D55DC6">
        <w:rPr>
          <w:rFonts w:eastAsia="標楷體" w:hint="eastAsia"/>
          <w:b/>
          <w:sz w:val="28"/>
          <w:szCs w:val="28"/>
        </w:rPr>
        <w:t>族</w:t>
      </w:r>
      <w:r w:rsidR="00D758E7" w:rsidRPr="00D55DC6">
        <w:rPr>
          <w:rFonts w:eastAsia="標楷體"/>
          <w:b/>
          <w:sz w:val="28"/>
          <w:szCs w:val="28"/>
        </w:rPr>
        <w:t>委員</w:t>
      </w:r>
      <w:r w:rsidR="003F4358" w:rsidRPr="00D55DC6">
        <w:rPr>
          <w:rFonts w:eastAsia="標楷體"/>
          <w:b/>
          <w:sz w:val="28"/>
          <w:szCs w:val="28"/>
        </w:rPr>
        <w:t>會</w:t>
      </w:r>
      <w:r w:rsidR="003F4358" w:rsidRPr="00D55DC6">
        <w:rPr>
          <w:rFonts w:eastAsia="標楷體"/>
          <w:sz w:val="28"/>
          <w:szCs w:val="28"/>
        </w:rPr>
        <w:t>(</w:t>
      </w:r>
      <w:r w:rsidR="003F4358" w:rsidRPr="00D55DC6">
        <w:rPr>
          <w:rFonts w:eastAsia="標楷體"/>
          <w:sz w:val="28"/>
          <w:szCs w:val="28"/>
        </w:rPr>
        <w:t>原住民保留地</w:t>
      </w:r>
      <w:r w:rsidR="003F4358" w:rsidRPr="00D55DC6">
        <w:rPr>
          <w:rFonts w:eastAsia="標楷體"/>
          <w:sz w:val="28"/>
          <w:szCs w:val="28"/>
        </w:rPr>
        <w:t>)</w:t>
      </w:r>
      <w:r w:rsidR="003F4358" w:rsidRPr="00D55DC6">
        <w:rPr>
          <w:rFonts w:eastAsia="標楷體"/>
          <w:sz w:val="28"/>
          <w:szCs w:val="28"/>
        </w:rPr>
        <w:t>、</w:t>
      </w:r>
      <w:r w:rsidR="00D758E7" w:rsidRPr="00D55DC6">
        <w:rPr>
          <w:rFonts w:eastAsia="標楷體"/>
          <w:b/>
          <w:sz w:val="28"/>
          <w:szCs w:val="28"/>
        </w:rPr>
        <w:t>行政院海岸巡防署</w:t>
      </w:r>
      <w:r w:rsidR="00E567B6" w:rsidRPr="00D55DC6">
        <w:rPr>
          <w:rFonts w:eastAsia="標楷體"/>
          <w:b/>
          <w:sz w:val="28"/>
          <w:szCs w:val="28"/>
        </w:rPr>
        <w:t>及內政部消防署</w:t>
      </w:r>
      <w:r w:rsidR="00D758E7" w:rsidRPr="00D55DC6">
        <w:rPr>
          <w:rFonts w:eastAsia="標楷體"/>
          <w:sz w:val="28"/>
          <w:szCs w:val="28"/>
        </w:rPr>
        <w:t>(</w:t>
      </w:r>
      <w:r w:rsidR="00D758E7" w:rsidRPr="00D55DC6">
        <w:rPr>
          <w:rFonts w:eastAsia="標楷體"/>
          <w:sz w:val="28"/>
          <w:szCs w:val="28"/>
        </w:rPr>
        <w:t>水域活動及緊急救難</w:t>
      </w:r>
      <w:r w:rsidR="00D758E7" w:rsidRPr="00D55DC6">
        <w:rPr>
          <w:rFonts w:eastAsia="標楷體"/>
          <w:sz w:val="28"/>
          <w:szCs w:val="28"/>
        </w:rPr>
        <w:t>)</w:t>
      </w:r>
      <w:r w:rsidR="00E336A1" w:rsidRPr="00D55DC6">
        <w:rPr>
          <w:rFonts w:eastAsia="標楷體"/>
          <w:sz w:val="28"/>
          <w:szCs w:val="28"/>
        </w:rPr>
        <w:t>、</w:t>
      </w:r>
      <w:r w:rsidR="00E336A1" w:rsidRPr="00D55DC6">
        <w:rPr>
          <w:rFonts w:eastAsia="標楷體"/>
          <w:b/>
          <w:sz w:val="28"/>
          <w:szCs w:val="28"/>
        </w:rPr>
        <w:t>經濟部轄下臺灣電力股份有限公司</w:t>
      </w:r>
      <w:r w:rsidR="00E336A1" w:rsidRPr="00D55DC6">
        <w:rPr>
          <w:rFonts w:eastAsia="標楷體"/>
          <w:sz w:val="28"/>
          <w:szCs w:val="28"/>
        </w:rPr>
        <w:t>(</w:t>
      </w:r>
      <w:r w:rsidR="00E336A1" w:rsidRPr="00D55DC6">
        <w:rPr>
          <w:rFonts w:eastAsia="標楷體"/>
          <w:sz w:val="28"/>
          <w:szCs w:val="28"/>
        </w:rPr>
        <w:t>設施用電申請</w:t>
      </w:r>
      <w:r w:rsidR="00E336A1" w:rsidRPr="00D55DC6">
        <w:rPr>
          <w:rFonts w:eastAsia="標楷體"/>
          <w:sz w:val="28"/>
          <w:szCs w:val="28"/>
        </w:rPr>
        <w:t>)</w:t>
      </w:r>
      <w:r w:rsidR="00E336A1" w:rsidRPr="00D55DC6">
        <w:rPr>
          <w:rFonts w:eastAsia="標楷體"/>
          <w:sz w:val="28"/>
          <w:szCs w:val="28"/>
        </w:rPr>
        <w:t>、</w:t>
      </w:r>
      <w:r w:rsidR="00E336A1" w:rsidRPr="00D55DC6">
        <w:rPr>
          <w:rFonts w:eastAsia="標楷體"/>
          <w:b/>
          <w:sz w:val="28"/>
          <w:szCs w:val="28"/>
        </w:rPr>
        <w:t>臺灣自來水股份有限公司</w:t>
      </w:r>
      <w:r w:rsidR="00E336A1" w:rsidRPr="00D55DC6">
        <w:rPr>
          <w:rFonts w:eastAsia="標楷體"/>
          <w:sz w:val="28"/>
          <w:szCs w:val="28"/>
        </w:rPr>
        <w:t>(</w:t>
      </w:r>
      <w:r w:rsidR="00E336A1" w:rsidRPr="00D55DC6">
        <w:rPr>
          <w:rFonts w:eastAsia="標楷體"/>
          <w:sz w:val="28"/>
          <w:szCs w:val="28"/>
        </w:rPr>
        <w:t>設施用水申請</w:t>
      </w:r>
      <w:r w:rsidR="00E336A1" w:rsidRPr="00D55DC6">
        <w:rPr>
          <w:rFonts w:eastAsia="標楷體"/>
          <w:sz w:val="28"/>
          <w:szCs w:val="28"/>
        </w:rPr>
        <w:t>)</w:t>
      </w:r>
      <w:r w:rsidR="00D758E7" w:rsidRPr="00D55DC6">
        <w:rPr>
          <w:rFonts w:eastAsia="標楷體"/>
          <w:sz w:val="28"/>
          <w:szCs w:val="28"/>
        </w:rPr>
        <w:t>、</w:t>
      </w:r>
      <w:r w:rsidR="003F4358" w:rsidRPr="00D55DC6">
        <w:rPr>
          <w:rFonts w:eastAsia="標楷體"/>
          <w:sz w:val="28"/>
          <w:szCs w:val="28"/>
        </w:rPr>
        <w:t>相關</w:t>
      </w:r>
      <w:r w:rsidR="00E336A1" w:rsidRPr="00D55DC6">
        <w:rPr>
          <w:rFonts w:eastAsia="標楷體"/>
          <w:b/>
          <w:sz w:val="28"/>
          <w:szCs w:val="28"/>
        </w:rPr>
        <w:t>縣市</w:t>
      </w:r>
      <w:r w:rsidR="00BD3024" w:rsidRPr="00D55DC6">
        <w:rPr>
          <w:rFonts w:eastAsia="標楷體"/>
          <w:b/>
          <w:sz w:val="28"/>
          <w:szCs w:val="28"/>
        </w:rPr>
        <w:t>政府</w:t>
      </w:r>
      <w:r w:rsidR="003F4358" w:rsidRPr="00D55DC6">
        <w:rPr>
          <w:rFonts w:eastAsia="標楷體"/>
          <w:sz w:val="28"/>
          <w:szCs w:val="28"/>
        </w:rPr>
        <w:t>(</w:t>
      </w:r>
      <w:r w:rsidR="00E336A1" w:rsidRPr="00D55DC6">
        <w:rPr>
          <w:rFonts w:eastAsia="標楷體"/>
          <w:sz w:val="28"/>
          <w:szCs w:val="28"/>
        </w:rPr>
        <w:t>基隆市、</w:t>
      </w:r>
      <w:r w:rsidR="003F4358" w:rsidRPr="00D55DC6">
        <w:rPr>
          <w:rFonts w:eastAsia="標楷體"/>
          <w:sz w:val="28"/>
          <w:szCs w:val="28"/>
        </w:rPr>
        <w:t>新北市、</w:t>
      </w:r>
      <w:r w:rsidR="00E336A1" w:rsidRPr="00D55DC6">
        <w:rPr>
          <w:rFonts w:eastAsia="標楷體"/>
          <w:sz w:val="28"/>
          <w:szCs w:val="28"/>
        </w:rPr>
        <w:t>宜蘭縣、</w:t>
      </w:r>
      <w:r w:rsidR="003F4358" w:rsidRPr="00D55DC6">
        <w:rPr>
          <w:rFonts w:eastAsia="標楷體"/>
          <w:sz w:val="28"/>
          <w:szCs w:val="28"/>
        </w:rPr>
        <w:t>新竹縣、</w:t>
      </w:r>
      <w:r w:rsidR="00E336A1" w:rsidRPr="00D55DC6">
        <w:rPr>
          <w:rFonts w:eastAsia="標楷體"/>
          <w:sz w:val="28"/>
          <w:szCs w:val="28"/>
        </w:rPr>
        <w:t>苗栗縣、</w:t>
      </w:r>
      <w:r w:rsidR="003F4358" w:rsidRPr="00D55DC6">
        <w:rPr>
          <w:rFonts w:eastAsia="標楷體"/>
          <w:sz w:val="28"/>
          <w:szCs w:val="28"/>
        </w:rPr>
        <w:t>臺中市、彰化縣、南投縣</w:t>
      </w:r>
      <w:r w:rsidR="00D758E7" w:rsidRPr="00D55DC6">
        <w:rPr>
          <w:rFonts w:eastAsia="標楷體"/>
          <w:sz w:val="28"/>
          <w:szCs w:val="28"/>
        </w:rPr>
        <w:t>、雲林縣、嘉義縣、臺南市、高雄市、屏東縣、花蓮縣、臺東縣、澎湖縣、連江縣</w:t>
      </w:r>
      <w:r w:rsidR="00E336A1" w:rsidRPr="00D55DC6">
        <w:rPr>
          <w:rFonts w:eastAsia="標楷體"/>
          <w:sz w:val="28"/>
          <w:szCs w:val="28"/>
        </w:rPr>
        <w:t>等</w:t>
      </w:r>
      <w:r w:rsidR="00E336A1" w:rsidRPr="00D55DC6">
        <w:rPr>
          <w:rFonts w:eastAsia="標楷體"/>
          <w:sz w:val="28"/>
          <w:szCs w:val="28"/>
        </w:rPr>
        <w:t>)</w:t>
      </w:r>
      <w:r w:rsidR="00E336A1" w:rsidRPr="00D55DC6">
        <w:rPr>
          <w:rFonts w:eastAsia="標楷體"/>
          <w:sz w:val="28"/>
          <w:szCs w:val="28"/>
        </w:rPr>
        <w:t>等單位</w:t>
      </w:r>
      <w:r w:rsidRPr="00D55DC6">
        <w:rPr>
          <w:rFonts w:eastAsia="標楷體"/>
          <w:sz w:val="28"/>
          <w:szCs w:val="28"/>
        </w:rPr>
        <w:t>協助</w:t>
      </w:r>
      <w:r w:rsidR="00E336A1" w:rsidRPr="00D55DC6">
        <w:rPr>
          <w:rFonts w:eastAsia="標楷體"/>
          <w:sz w:val="28"/>
          <w:szCs w:val="28"/>
        </w:rPr>
        <w:t>相關計畫推動事宜</w:t>
      </w:r>
      <w:r w:rsidR="00BD3024" w:rsidRPr="00D55DC6">
        <w:rPr>
          <w:rFonts w:eastAsia="標楷體"/>
          <w:sz w:val="28"/>
          <w:szCs w:val="28"/>
        </w:rPr>
        <w:t>。</w:t>
      </w:r>
    </w:p>
    <w:p w:rsidR="002B3D0C" w:rsidRPr="00D55DC6" w:rsidRDefault="002B3D0C" w:rsidP="0038165F">
      <w:pPr>
        <w:pStyle w:val="af2"/>
        <w:numPr>
          <w:ilvl w:val="0"/>
          <w:numId w:val="5"/>
        </w:numPr>
        <w:snapToGrid w:val="0"/>
        <w:spacing w:line="460" w:lineRule="exact"/>
        <w:ind w:leftChars="0"/>
        <w:jc w:val="both"/>
        <w:rPr>
          <w:rFonts w:eastAsia="標楷體"/>
          <w:b/>
          <w:sz w:val="28"/>
          <w:szCs w:val="28"/>
        </w:rPr>
      </w:pPr>
      <w:r w:rsidRPr="00D55DC6">
        <w:rPr>
          <w:rFonts w:eastAsia="標楷體"/>
          <w:b/>
          <w:sz w:val="28"/>
          <w:szCs w:val="28"/>
        </w:rPr>
        <w:t>中長程個案計畫自評檢核表及性別影響評估檢視表</w:t>
      </w:r>
      <w:r w:rsidR="00C676DD" w:rsidRPr="00D55DC6">
        <w:rPr>
          <w:rFonts w:eastAsia="標楷體"/>
          <w:b/>
          <w:sz w:val="28"/>
          <w:szCs w:val="28"/>
        </w:rPr>
        <w:t>（詳附件</w:t>
      </w:r>
      <w:r w:rsidR="00C676DD" w:rsidRPr="00D55DC6">
        <w:rPr>
          <w:rFonts w:eastAsia="標楷體"/>
          <w:b/>
          <w:sz w:val="28"/>
          <w:szCs w:val="28"/>
        </w:rPr>
        <w:t>1</w:t>
      </w:r>
      <w:r w:rsidR="00C676DD" w:rsidRPr="00D55DC6">
        <w:rPr>
          <w:rFonts w:eastAsia="標楷體"/>
          <w:b/>
          <w:sz w:val="28"/>
          <w:szCs w:val="28"/>
        </w:rPr>
        <w:t>、</w:t>
      </w:r>
      <w:r w:rsidR="00C676DD" w:rsidRPr="00D55DC6">
        <w:rPr>
          <w:rFonts w:eastAsia="標楷體"/>
          <w:b/>
          <w:sz w:val="28"/>
          <w:szCs w:val="28"/>
        </w:rPr>
        <w:t>2</w:t>
      </w:r>
      <w:r w:rsidR="00C676DD" w:rsidRPr="00D55DC6">
        <w:rPr>
          <w:rFonts w:eastAsia="標楷體"/>
          <w:b/>
          <w:sz w:val="28"/>
          <w:szCs w:val="28"/>
        </w:rPr>
        <w:t>）</w:t>
      </w:r>
    </w:p>
    <w:p w:rsidR="003F394C" w:rsidRPr="00D55DC6" w:rsidRDefault="003F394C" w:rsidP="003F394C">
      <w:pPr>
        <w:pStyle w:val="af2"/>
        <w:numPr>
          <w:ilvl w:val="0"/>
          <w:numId w:val="5"/>
        </w:numPr>
        <w:snapToGrid w:val="0"/>
        <w:spacing w:line="460" w:lineRule="exact"/>
        <w:ind w:leftChars="0"/>
        <w:jc w:val="both"/>
        <w:rPr>
          <w:rFonts w:eastAsia="標楷體"/>
          <w:b/>
          <w:sz w:val="28"/>
          <w:szCs w:val="28"/>
        </w:rPr>
      </w:pPr>
      <w:r w:rsidRPr="00D55DC6">
        <w:rPr>
          <w:rFonts w:eastAsia="標楷體"/>
          <w:b/>
          <w:sz w:val="28"/>
          <w:szCs w:val="28"/>
        </w:rPr>
        <w:t>其他有關事項</w:t>
      </w:r>
      <w:r w:rsidRPr="00D55DC6">
        <w:rPr>
          <w:rFonts w:eastAsia="標楷體"/>
          <w:b/>
          <w:sz w:val="28"/>
          <w:szCs w:val="28"/>
        </w:rPr>
        <w:t xml:space="preserve"> </w:t>
      </w:r>
      <w:r w:rsidRPr="00D55DC6">
        <w:rPr>
          <w:rFonts w:eastAsia="標楷體"/>
          <w:b/>
          <w:sz w:val="28"/>
          <w:szCs w:val="28"/>
        </w:rPr>
        <w:t>（依據行政院</w:t>
      </w:r>
      <w:r w:rsidRPr="00D55DC6">
        <w:rPr>
          <w:rFonts w:eastAsia="標楷體"/>
          <w:b/>
          <w:sz w:val="28"/>
          <w:szCs w:val="28"/>
        </w:rPr>
        <w:t>102</w:t>
      </w:r>
      <w:r w:rsidRPr="00D55DC6">
        <w:rPr>
          <w:rFonts w:eastAsia="標楷體"/>
          <w:b/>
          <w:sz w:val="28"/>
          <w:szCs w:val="28"/>
        </w:rPr>
        <w:t>年</w:t>
      </w:r>
      <w:r w:rsidRPr="00D55DC6">
        <w:rPr>
          <w:rFonts w:eastAsia="標楷體"/>
          <w:b/>
          <w:sz w:val="28"/>
          <w:szCs w:val="28"/>
        </w:rPr>
        <w:t>9</w:t>
      </w:r>
      <w:r w:rsidRPr="00D55DC6">
        <w:rPr>
          <w:rFonts w:eastAsia="標楷體"/>
          <w:b/>
          <w:sz w:val="28"/>
          <w:szCs w:val="28"/>
        </w:rPr>
        <w:t>月</w:t>
      </w:r>
      <w:r w:rsidRPr="00D55DC6">
        <w:rPr>
          <w:rFonts w:eastAsia="標楷體"/>
          <w:b/>
          <w:sz w:val="28"/>
          <w:szCs w:val="28"/>
        </w:rPr>
        <w:t>14</w:t>
      </w:r>
      <w:r w:rsidRPr="00D55DC6">
        <w:rPr>
          <w:rFonts w:eastAsia="標楷體"/>
          <w:b/>
          <w:sz w:val="28"/>
          <w:szCs w:val="28"/>
        </w:rPr>
        <w:t>日訂定之「公共建設計畫及周邊整合規劃申請與審查作業要點」納入事項）</w:t>
      </w:r>
    </w:p>
    <w:p w:rsidR="000A6F2E" w:rsidRPr="00D55DC6" w:rsidRDefault="0025111F" w:rsidP="000A6F2E">
      <w:pPr>
        <w:pStyle w:val="af2"/>
        <w:snapToGrid w:val="0"/>
        <w:spacing w:line="460" w:lineRule="exact"/>
        <w:ind w:firstLineChars="150" w:firstLine="420"/>
        <w:jc w:val="both"/>
        <w:rPr>
          <w:rFonts w:eastAsia="標楷體"/>
          <w:sz w:val="28"/>
          <w:szCs w:val="28"/>
        </w:rPr>
      </w:pPr>
      <w:r w:rsidRPr="00D55DC6">
        <w:rPr>
          <w:rFonts w:eastAsia="標楷體"/>
          <w:sz w:val="28"/>
          <w:szCs w:val="28"/>
        </w:rPr>
        <w:t>自償率相關規定</w:t>
      </w:r>
      <w:r w:rsidR="003F394C" w:rsidRPr="00D55DC6">
        <w:rPr>
          <w:rFonts w:eastAsia="標楷體"/>
          <w:sz w:val="28"/>
          <w:szCs w:val="28"/>
        </w:rPr>
        <w:t>依據「</w:t>
      </w:r>
      <w:r w:rsidR="000A6F2E" w:rsidRPr="00D55DC6">
        <w:rPr>
          <w:rFonts w:eastAsia="標楷體" w:hint="eastAsia"/>
          <w:sz w:val="28"/>
          <w:szCs w:val="28"/>
        </w:rPr>
        <w:t>交通部觀光局所屬國家風景區暨補助地方</w:t>
      </w:r>
    </w:p>
    <w:p w:rsidR="003F394C" w:rsidRPr="00D55DC6" w:rsidRDefault="000A6F2E" w:rsidP="000A6F2E">
      <w:pPr>
        <w:pStyle w:val="af2"/>
        <w:snapToGrid w:val="0"/>
        <w:spacing w:line="460" w:lineRule="exact"/>
        <w:ind w:leftChars="0" w:left="864"/>
        <w:jc w:val="both"/>
        <w:rPr>
          <w:rFonts w:eastAsia="標楷體"/>
          <w:sz w:val="28"/>
          <w:szCs w:val="28"/>
        </w:rPr>
      </w:pPr>
      <w:r w:rsidRPr="00D55DC6">
        <w:rPr>
          <w:rFonts w:eastAsia="標楷體" w:hint="eastAsia"/>
          <w:sz w:val="28"/>
          <w:szCs w:val="28"/>
        </w:rPr>
        <w:t>觀光建設計畫財務規劃審查作業要點</w:t>
      </w:r>
      <w:r w:rsidR="003F394C" w:rsidRPr="00D55DC6">
        <w:rPr>
          <w:rFonts w:eastAsia="標楷體"/>
          <w:sz w:val="28"/>
          <w:szCs w:val="28"/>
        </w:rPr>
        <w:t>」</w:t>
      </w:r>
      <w:r w:rsidRPr="00D55DC6">
        <w:rPr>
          <w:rFonts w:eastAsia="標楷體" w:hint="eastAsia"/>
          <w:sz w:val="28"/>
          <w:szCs w:val="28"/>
        </w:rPr>
        <w:t>規定</w:t>
      </w:r>
      <w:r w:rsidR="003F394C" w:rsidRPr="00D55DC6">
        <w:rPr>
          <w:rFonts w:eastAsia="標楷體"/>
          <w:sz w:val="28"/>
          <w:szCs w:val="28"/>
        </w:rPr>
        <w:t>辦理。</w:t>
      </w:r>
    </w:p>
    <w:bookmarkEnd w:id="0"/>
    <w:bookmarkEnd w:id="1"/>
    <w:p w:rsidR="00481A29" w:rsidRPr="00D55DC6" w:rsidRDefault="00481A29" w:rsidP="0038165F">
      <w:pPr>
        <w:widowControl/>
        <w:rPr>
          <w:rFonts w:eastAsia="標楷體"/>
          <w:b/>
          <w:sz w:val="36"/>
          <w:szCs w:val="32"/>
        </w:rPr>
      </w:pPr>
      <w:r w:rsidRPr="00D55DC6">
        <w:rPr>
          <w:sz w:val="36"/>
        </w:rPr>
        <w:br w:type="page"/>
      </w:r>
    </w:p>
    <w:p w:rsidR="008C12C1" w:rsidRPr="00D55DC6" w:rsidRDefault="008C12C1" w:rsidP="000664AF">
      <w:pPr>
        <w:pStyle w:val="12"/>
        <w:rPr>
          <w:rFonts w:hAnsi="Times New Roman"/>
          <w:color w:val="auto"/>
        </w:rPr>
      </w:pPr>
      <w:r w:rsidRPr="00D55DC6">
        <w:rPr>
          <w:rFonts w:hAnsi="Times New Roman"/>
          <w:color w:val="auto"/>
        </w:rPr>
        <w:lastRenderedPageBreak/>
        <w:t>附表</w:t>
      </w:r>
      <w:r w:rsidRPr="00D55DC6">
        <w:rPr>
          <w:rFonts w:hAnsi="Times New Roman"/>
          <w:color w:val="auto"/>
        </w:rPr>
        <w:t>1   10</w:t>
      </w:r>
      <w:r w:rsidR="00234A59" w:rsidRPr="00D55DC6">
        <w:rPr>
          <w:rFonts w:hAnsi="Times New Roman"/>
          <w:color w:val="auto"/>
        </w:rPr>
        <w:t>5</w:t>
      </w:r>
      <w:r w:rsidRPr="00D55DC6">
        <w:rPr>
          <w:rFonts w:hAnsi="Times New Roman"/>
          <w:color w:val="auto"/>
        </w:rPr>
        <w:t>-10</w:t>
      </w:r>
      <w:r w:rsidR="00234A59" w:rsidRPr="00D55DC6">
        <w:rPr>
          <w:rFonts w:hAnsi="Times New Roman"/>
          <w:color w:val="auto"/>
        </w:rPr>
        <w:t>8</w:t>
      </w:r>
      <w:r w:rsidRPr="00D55DC6">
        <w:rPr>
          <w:rFonts w:hAnsi="Times New Roman"/>
          <w:color w:val="auto"/>
        </w:rPr>
        <w:t>年建設投資重點</w:t>
      </w:r>
    </w:p>
    <w:tbl>
      <w:tblPr>
        <w:tblW w:w="965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3"/>
        <w:gridCol w:w="981"/>
        <w:gridCol w:w="2693"/>
        <w:gridCol w:w="2693"/>
        <w:gridCol w:w="2552"/>
      </w:tblGrid>
      <w:tr w:rsidR="001D0350" w:rsidRPr="00D55DC6" w:rsidTr="008672BF">
        <w:trPr>
          <w:trHeight w:val="345"/>
          <w:tblHeader/>
        </w:trPr>
        <w:tc>
          <w:tcPr>
            <w:tcW w:w="733" w:type="dxa"/>
            <w:vAlign w:val="center"/>
          </w:tcPr>
          <w:p w:rsidR="008672BF" w:rsidRPr="00D55DC6" w:rsidRDefault="008672BF" w:rsidP="0038165F">
            <w:pPr>
              <w:widowControl/>
              <w:spacing w:line="240" w:lineRule="atLeast"/>
              <w:ind w:leftChars="-6" w:left="-14"/>
              <w:jc w:val="center"/>
              <w:rPr>
                <w:rFonts w:eastAsia="標楷體"/>
                <w:b/>
                <w:kern w:val="0"/>
              </w:rPr>
            </w:pPr>
            <w:r w:rsidRPr="00D55DC6">
              <w:rPr>
                <w:rFonts w:eastAsia="標楷體"/>
                <w:b/>
                <w:kern w:val="0"/>
                <w:szCs w:val="22"/>
              </w:rPr>
              <w:t>計畫</w:t>
            </w:r>
          </w:p>
        </w:tc>
        <w:tc>
          <w:tcPr>
            <w:tcW w:w="981" w:type="dxa"/>
            <w:noWrap/>
            <w:vAlign w:val="center"/>
          </w:tcPr>
          <w:p w:rsidR="008672BF" w:rsidRPr="00D55DC6" w:rsidRDefault="008672BF" w:rsidP="0038165F">
            <w:pPr>
              <w:widowControl/>
              <w:spacing w:line="240" w:lineRule="atLeast"/>
              <w:rPr>
                <w:rFonts w:eastAsia="標楷體"/>
                <w:b/>
                <w:kern w:val="0"/>
              </w:rPr>
            </w:pPr>
            <w:r w:rsidRPr="00D55DC6">
              <w:rPr>
                <w:rFonts w:eastAsia="標楷體"/>
                <w:b/>
                <w:kern w:val="0"/>
                <w:sz w:val="22"/>
                <w:szCs w:val="22"/>
              </w:rPr>
              <w:t>執行機關</w:t>
            </w:r>
          </w:p>
        </w:tc>
        <w:tc>
          <w:tcPr>
            <w:tcW w:w="2693" w:type="dxa"/>
            <w:noWrap/>
            <w:vAlign w:val="center"/>
          </w:tcPr>
          <w:p w:rsidR="008672BF" w:rsidRPr="00D55DC6" w:rsidRDefault="008672BF" w:rsidP="0038165F">
            <w:pPr>
              <w:widowControl/>
              <w:spacing w:line="0" w:lineRule="atLeast"/>
              <w:jc w:val="center"/>
              <w:rPr>
                <w:rFonts w:eastAsia="標楷體"/>
                <w:b/>
                <w:kern w:val="0"/>
              </w:rPr>
            </w:pPr>
            <w:r w:rsidRPr="00D55DC6">
              <w:rPr>
                <w:rFonts w:eastAsia="標楷體"/>
                <w:b/>
                <w:kern w:val="0"/>
                <w:szCs w:val="22"/>
              </w:rPr>
              <w:t>國際觀光重要景點</w:t>
            </w:r>
          </w:p>
        </w:tc>
        <w:tc>
          <w:tcPr>
            <w:tcW w:w="2693" w:type="dxa"/>
            <w:noWrap/>
            <w:vAlign w:val="center"/>
          </w:tcPr>
          <w:p w:rsidR="008672BF" w:rsidRPr="00D55DC6" w:rsidRDefault="008672BF" w:rsidP="0038165F">
            <w:pPr>
              <w:widowControl/>
              <w:spacing w:line="0" w:lineRule="atLeast"/>
              <w:jc w:val="center"/>
              <w:rPr>
                <w:rFonts w:eastAsia="標楷體"/>
                <w:b/>
                <w:kern w:val="0"/>
              </w:rPr>
            </w:pPr>
            <w:r w:rsidRPr="00D55DC6">
              <w:rPr>
                <w:rFonts w:eastAsia="標楷體"/>
                <w:b/>
                <w:kern w:val="0"/>
                <w:szCs w:val="22"/>
              </w:rPr>
              <w:t>國內觀光重要景點</w:t>
            </w:r>
          </w:p>
        </w:tc>
        <w:tc>
          <w:tcPr>
            <w:tcW w:w="2552" w:type="dxa"/>
            <w:noWrap/>
            <w:vAlign w:val="center"/>
          </w:tcPr>
          <w:p w:rsidR="008672BF" w:rsidRPr="00D55DC6" w:rsidRDefault="008672BF" w:rsidP="0038165F">
            <w:pPr>
              <w:widowControl/>
              <w:spacing w:line="0" w:lineRule="atLeast"/>
              <w:jc w:val="center"/>
              <w:rPr>
                <w:rFonts w:eastAsia="標楷體"/>
                <w:b/>
                <w:kern w:val="0"/>
              </w:rPr>
            </w:pPr>
            <w:r w:rsidRPr="00D55DC6">
              <w:rPr>
                <w:rFonts w:eastAsia="標楷體"/>
                <w:b/>
                <w:kern w:val="0"/>
                <w:szCs w:val="22"/>
              </w:rPr>
              <w:t>國家風景區經營管理</w:t>
            </w:r>
          </w:p>
        </w:tc>
      </w:tr>
      <w:tr w:rsidR="001D0350" w:rsidRPr="00D55DC6" w:rsidTr="008672BF">
        <w:trPr>
          <w:trHeight w:val="345"/>
        </w:trPr>
        <w:tc>
          <w:tcPr>
            <w:tcW w:w="733" w:type="dxa"/>
          </w:tcPr>
          <w:p w:rsidR="008672BF" w:rsidRPr="00D55DC6" w:rsidRDefault="008672BF" w:rsidP="0038165F">
            <w:pPr>
              <w:widowControl/>
              <w:spacing w:line="0" w:lineRule="atLeast"/>
              <w:rPr>
                <w:rFonts w:eastAsia="標楷體"/>
                <w:bCs/>
                <w:kern w:val="0"/>
                <w:sz w:val="22"/>
                <w:szCs w:val="22"/>
              </w:rPr>
            </w:pPr>
            <w:r w:rsidRPr="00D55DC6">
              <w:rPr>
                <w:rFonts w:eastAsia="標楷體"/>
                <w:bCs/>
                <w:kern w:val="0"/>
                <w:sz w:val="22"/>
                <w:szCs w:val="22"/>
              </w:rPr>
              <w:t>東北角暨宜蘭海岸國家風景區建設計畫</w:t>
            </w:r>
          </w:p>
        </w:tc>
        <w:tc>
          <w:tcPr>
            <w:tcW w:w="981" w:type="dxa"/>
            <w:noWrap/>
          </w:tcPr>
          <w:p w:rsidR="008672BF" w:rsidRPr="00D55DC6" w:rsidRDefault="008672BF" w:rsidP="0038165F">
            <w:pPr>
              <w:widowControl/>
              <w:spacing w:line="0" w:lineRule="atLeast"/>
              <w:rPr>
                <w:rFonts w:eastAsia="標楷體"/>
                <w:kern w:val="0"/>
                <w:sz w:val="22"/>
                <w:szCs w:val="22"/>
              </w:rPr>
            </w:pPr>
            <w:r w:rsidRPr="00D55DC6">
              <w:rPr>
                <w:rFonts w:eastAsia="標楷體"/>
                <w:kern w:val="0"/>
                <w:sz w:val="22"/>
                <w:szCs w:val="22"/>
              </w:rPr>
              <w:t>東北角</w:t>
            </w:r>
            <w:r w:rsidRPr="00D55DC6">
              <w:rPr>
                <w:rFonts w:eastAsia="標楷體"/>
                <w:bCs/>
                <w:kern w:val="0"/>
                <w:sz w:val="22"/>
                <w:szCs w:val="22"/>
              </w:rPr>
              <w:t>暨宜蘭海岸國家風景區</w:t>
            </w:r>
            <w:r w:rsidRPr="00D55DC6">
              <w:rPr>
                <w:rFonts w:eastAsia="標楷體"/>
                <w:kern w:val="0"/>
                <w:sz w:val="22"/>
                <w:szCs w:val="22"/>
              </w:rPr>
              <w:t>管理處</w:t>
            </w:r>
          </w:p>
        </w:tc>
        <w:tc>
          <w:tcPr>
            <w:tcW w:w="2693"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龍洞地質公園地區、龍洞灣岬地區、龍洞南口地區設施改善工程。</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ab/>
            </w:r>
            <w:r w:rsidRPr="00D55DC6">
              <w:rPr>
                <w:rFonts w:eastAsia="標楷體"/>
                <w:kern w:val="0"/>
                <w:sz w:val="22"/>
                <w:szCs w:val="22"/>
              </w:rPr>
              <w:t>福隆地區、舊草嶺隧道環狀自行車道地區、雙溪河地區設施改善工程。</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3.</w:t>
            </w:r>
            <w:r w:rsidRPr="00D55DC6">
              <w:rPr>
                <w:rFonts w:eastAsia="標楷體"/>
                <w:kern w:val="0"/>
                <w:sz w:val="22"/>
                <w:szCs w:val="22"/>
              </w:rPr>
              <w:tab/>
            </w:r>
            <w:r w:rsidRPr="00D55DC6">
              <w:rPr>
                <w:rFonts w:eastAsia="標楷體"/>
                <w:kern w:val="0"/>
                <w:sz w:val="22"/>
                <w:szCs w:val="22"/>
              </w:rPr>
              <w:t>外澳服務區、龜山島及烏石港周邊地區、壯圍旅遊園區地區、蘇澳冷泉地區、南方澳遊客中心地區、內埤地區等設施及周邊環境改善工程。</w:t>
            </w:r>
          </w:p>
        </w:tc>
        <w:tc>
          <w:tcPr>
            <w:tcW w:w="2693"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ab/>
            </w:r>
            <w:r w:rsidRPr="00D55DC6">
              <w:rPr>
                <w:rFonts w:eastAsia="標楷體"/>
                <w:kern w:val="0"/>
                <w:sz w:val="22"/>
                <w:szCs w:val="22"/>
              </w:rPr>
              <w:t>南雅地區、金沙灣地區、鹽寮龍門地區等環境及設施改善工程。</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ab/>
            </w:r>
            <w:r w:rsidRPr="00D55DC6">
              <w:rPr>
                <w:rFonts w:eastAsia="標楷體"/>
                <w:kern w:val="0"/>
                <w:sz w:val="22"/>
                <w:szCs w:val="22"/>
              </w:rPr>
              <w:t>石城地區、大里地區、大溪地區沿線景點改善工程等。</w:t>
            </w:r>
          </w:p>
          <w:p w:rsidR="008672BF" w:rsidRPr="00D55DC6" w:rsidRDefault="008672BF" w:rsidP="0038165F">
            <w:pPr>
              <w:widowControl/>
              <w:spacing w:line="0" w:lineRule="atLeast"/>
              <w:ind w:left="220" w:hangingChars="100" w:hanging="220"/>
              <w:jc w:val="both"/>
              <w:rPr>
                <w:rFonts w:eastAsia="標楷體"/>
                <w:b/>
                <w:bCs/>
                <w:kern w:val="0"/>
                <w:sz w:val="22"/>
                <w:szCs w:val="22"/>
              </w:rPr>
            </w:pPr>
            <w:r w:rsidRPr="00D55DC6">
              <w:rPr>
                <w:rFonts w:eastAsia="標楷體"/>
                <w:kern w:val="0"/>
                <w:sz w:val="22"/>
                <w:szCs w:val="22"/>
              </w:rPr>
              <w:t>3.</w:t>
            </w:r>
            <w:r w:rsidRPr="00D55DC6">
              <w:rPr>
                <w:rFonts w:eastAsia="標楷體"/>
                <w:kern w:val="0"/>
                <w:sz w:val="22"/>
                <w:szCs w:val="22"/>
              </w:rPr>
              <w:tab/>
            </w:r>
            <w:r w:rsidRPr="00D55DC6">
              <w:rPr>
                <w:rFonts w:eastAsia="標楷體"/>
                <w:kern w:val="0"/>
                <w:sz w:val="22"/>
                <w:szCs w:val="22"/>
              </w:rPr>
              <w:t>濱海自行車道休憩設施、沿線景點設施改善等。</w:t>
            </w:r>
          </w:p>
        </w:tc>
        <w:tc>
          <w:tcPr>
            <w:tcW w:w="2552"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ab/>
            </w:r>
            <w:r w:rsidRPr="00D55DC6">
              <w:rPr>
                <w:rFonts w:eastAsia="標楷體"/>
                <w:kern w:val="0"/>
                <w:sz w:val="22"/>
                <w:szCs w:val="22"/>
              </w:rPr>
              <w:t>經常門</w:t>
            </w:r>
            <w:r w:rsidRPr="00D55DC6">
              <w:rPr>
                <w:rFonts w:eastAsia="標楷體"/>
                <w:kern w:val="0"/>
                <w:sz w:val="22"/>
                <w:szCs w:val="22"/>
              </w:rPr>
              <w:t>-</w:t>
            </w:r>
            <w:r w:rsidRPr="00D55DC6">
              <w:rPr>
                <w:rFonts w:eastAsia="標楷體"/>
                <w:kern w:val="0"/>
                <w:sz w:val="22"/>
                <w:szCs w:val="22"/>
              </w:rPr>
              <w:t>綠美化養護及設施零星修護。</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ab/>
            </w:r>
            <w:r w:rsidRPr="00D55DC6">
              <w:rPr>
                <w:rFonts w:eastAsia="標楷體"/>
                <w:kern w:val="0"/>
                <w:sz w:val="22"/>
                <w:szCs w:val="22"/>
              </w:rPr>
              <w:t>用地取得。</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3.</w:t>
            </w:r>
            <w:r w:rsidRPr="00D55DC6">
              <w:rPr>
                <w:rFonts w:eastAsia="標楷體"/>
                <w:kern w:val="0"/>
                <w:sz w:val="22"/>
                <w:szCs w:val="22"/>
              </w:rPr>
              <w:tab/>
            </w:r>
            <w:r w:rsidRPr="00D55DC6">
              <w:rPr>
                <w:rFonts w:eastAsia="標楷體"/>
                <w:kern w:val="0"/>
                <w:sz w:val="22"/>
                <w:szCs w:val="22"/>
              </w:rPr>
              <w:t>先期規劃設計。</w:t>
            </w:r>
          </w:p>
          <w:p w:rsidR="008672BF" w:rsidRPr="00D55DC6" w:rsidRDefault="008672BF" w:rsidP="0038165F">
            <w:pPr>
              <w:widowControl/>
              <w:spacing w:line="0" w:lineRule="atLeast"/>
              <w:ind w:left="220" w:hangingChars="100" w:hanging="220"/>
              <w:jc w:val="both"/>
              <w:rPr>
                <w:rFonts w:eastAsia="標楷體"/>
                <w:b/>
                <w:kern w:val="0"/>
                <w:szCs w:val="22"/>
              </w:rPr>
            </w:pPr>
            <w:r w:rsidRPr="00D55DC6">
              <w:rPr>
                <w:rFonts w:eastAsia="標楷體"/>
                <w:kern w:val="0"/>
                <w:sz w:val="22"/>
                <w:szCs w:val="22"/>
              </w:rPr>
              <w:t>4.</w:t>
            </w:r>
            <w:r w:rsidRPr="00D55DC6">
              <w:rPr>
                <w:rFonts w:eastAsia="標楷體"/>
                <w:kern w:val="0"/>
                <w:sz w:val="22"/>
                <w:szCs w:val="22"/>
              </w:rPr>
              <w:tab/>
            </w:r>
            <w:r w:rsidRPr="00D55DC6">
              <w:rPr>
                <w:rFonts w:eastAsia="標楷體"/>
                <w:kern w:val="0"/>
                <w:sz w:val="22"/>
                <w:szCs w:val="22"/>
              </w:rPr>
              <w:t>環境及設施整修。</w:t>
            </w:r>
          </w:p>
        </w:tc>
      </w:tr>
      <w:tr w:rsidR="001D0350" w:rsidRPr="00D55DC6" w:rsidTr="008672BF">
        <w:trPr>
          <w:trHeight w:val="345"/>
        </w:trPr>
        <w:tc>
          <w:tcPr>
            <w:tcW w:w="733" w:type="dxa"/>
          </w:tcPr>
          <w:p w:rsidR="008672BF" w:rsidRPr="00D55DC6" w:rsidRDefault="008672BF" w:rsidP="0038165F">
            <w:pPr>
              <w:widowControl/>
              <w:spacing w:line="0" w:lineRule="atLeast"/>
              <w:rPr>
                <w:rFonts w:eastAsia="標楷體"/>
                <w:bCs/>
                <w:kern w:val="0"/>
                <w:sz w:val="22"/>
                <w:szCs w:val="22"/>
              </w:rPr>
            </w:pPr>
            <w:r w:rsidRPr="00D55DC6">
              <w:rPr>
                <w:rFonts w:eastAsia="標楷體"/>
                <w:bCs/>
                <w:kern w:val="0"/>
                <w:sz w:val="22"/>
                <w:szCs w:val="22"/>
              </w:rPr>
              <w:t>北海岸及觀音山國家風景區建設計畫</w:t>
            </w:r>
          </w:p>
        </w:tc>
        <w:tc>
          <w:tcPr>
            <w:tcW w:w="981" w:type="dxa"/>
            <w:noWrap/>
          </w:tcPr>
          <w:p w:rsidR="008672BF" w:rsidRPr="00D55DC6" w:rsidRDefault="008672BF" w:rsidP="0038165F">
            <w:pPr>
              <w:widowControl/>
              <w:spacing w:line="0" w:lineRule="atLeast"/>
              <w:rPr>
                <w:rFonts w:eastAsia="標楷體"/>
                <w:kern w:val="0"/>
                <w:sz w:val="22"/>
                <w:szCs w:val="22"/>
              </w:rPr>
            </w:pPr>
            <w:r w:rsidRPr="00D55DC6">
              <w:rPr>
                <w:rFonts w:eastAsia="標楷體"/>
                <w:kern w:val="0"/>
                <w:sz w:val="22"/>
                <w:szCs w:val="22"/>
              </w:rPr>
              <w:t>北海岸及觀音山管理處</w:t>
            </w:r>
          </w:p>
        </w:tc>
        <w:tc>
          <w:tcPr>
            <w:tcW w:w="2693"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ab/>
            </w:r>
            <w:r w:rsidRPr="00D55DC6">
              <w:rPr>
                <w:rFonts w:eastAsia="標楷體"/>
                <w:kern w:val="0"/>
                <w:sz w:val="22"/>
                <w:szCs w:val="22"/>
              </w:rPr>
              <w:t>白沙灣遊憩區：辦理白沙月灣景點增闢、白沙灣遊憩區既有設施改善。</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ab/>
            </w:r>
            <w:r w:rsidRPr="00D55DC6">
              <w:rPr>
                <w:rFonts w:eastAsia="標楷體"/>
                <w:kern w:val="0"/>
                <w:sz w:val="22"/>
                <w:szCs w:val="22"/>
              </w:rPr>
              <w:t>金山中角遊憩區：辦理獅頭山公園步道及服務設施改善、金山遊客中心停車場及周邊設施改善、員潭溪獨木舟基地營造、中角沙珠灣周邊設施及景觀改善。</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3.</w:t>
            </w:r>
            <w:r w:rsidRPr="00D55DC6">
              <w:rPr>
                <w:rFonts w:eastAsia="標楷體"/>
                <w:kern w:val="0"/>
                <w:sz w:val="22"/>
                <w:szCs w:val="22"/>
              </w:rPr>
              <w:tab/>
            </w:r>
            <w:r w:rsidRPr="00D55DC6">
              <w:rPr>
                <w:rFonts w:eastAsia="標楷體"/>
                <w:kern w:val="0"/>
                <w:sz w:val="22"/>
                <w:szCs w:val="22"/>
              </w:rPr>
              <w:t>野柳遊憩區：野柳核心區整體環境改善、增闢野柳入口轉運站及周邊景觀及設施改善、翡翠灣周邊設施及景觀改善。</w:t>
            </w:r>
          </w:p>
          <w:p w:rsidR="008672BF" w:rsidRPr="00D55DC6" w:rsidRDefault="008672BF" w:rsidP="0038165F">
            <w:pPr>
              <w:widowControl/>
              <w:spacing w:line="0" w:lineRule="atLeast"/>
              <w:ind w:left="220" w:hangingChars="100" w:hanging="220"/>
              <w:jc w:val="both"/>
              <w:rPr>
                <w:rFonts w:eastAsia="標楷體"/>
                <w:b/>
                <w:kern w:val="0"/>
                <w:szCs w:val="22"/>
              </w:rPr>
            </w:pPr>
            <w:r w:rsidRPr="00D55DC6">
              <w:rPr>
                <w:rFonts w:eastAsia="標楷體"/>
                <w:kern w:val="0"/>
                <w:sz w:val="22"/>
                <w:szCs w:val="22"/>
              </w:rPr>
              <w:t>4.</w:t>
            </w:r>
            <w:r w:rsidRPr="00D55DC6">
              <w:rPr>
                <w:rFonts w:eastAsia="標楷體"/>
                <w:kern w:val="0"/>
                <w:sz w:val="22"/>
                <w:szCs w:val="22"/>
              </w:rPr>
              <w:tab/>
            </w:r>
            <w:r w:rsidRPr="00D55DC6">
              <w:rPr>
                <w:rFonts w:eastAsia="標楷體"/>
                <w:kern w:val="0"/>
                <w:sz w:val="22"/>
                <w:szCs w:val="22"/>
              </w:rPr>
              <w:t>基隆遊憩區：基隆遊客服務中心建置、情人湖及外木山遊憩區設施及景觀改善、和平島地質公園步道及景觀改善。</w:t>
            </w:r>
          </w:p>
        </w:tc>
        <w:tc>
          <w:tcPr>
            <w:tcW w:w="2693"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ab/>
            </w:r>
            <w:r w:rsidRPr="00D55DC6">
              <w:rPr>
                <w:rFonts w:eastAsia="標楷體"/>
                <w:kern w:val="0"/>
                <w:sz w:val="22"/>
                <w:szCs w:val="22"/>
              </w:rPr>
              <w:t>三芝石門遊憩區：淺水灣資訊服務站建置、三芝遊憩區既有設施改善工程、石門洞及富貴角周邊服務設施改善。</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ab/>
            </w:r>
            <w:r w:rsidRPr="00D55DC6">
              <w:rPr>
                <w:rFonts w:eastAsia="標楷體"/>
                <w:kern w:val="0"/>
                <w:sz w:val="22"/>
                <w:szCs w:val="22"/>
              </w:rPr>
              <w:t>觀音山遊憩區：觀音山景點服務設施、步道及環境景觀改善。</w:t>
            </w:r>
          </w:p>
          <w:p w:rsidR="008672BF" w:rsidRPr="00D55DC6" w:rsidRDefault="008672BF" w:rsidP="0038165F">
            <w:pPr>
              <w:widowControl/>
              <w:spacing w:line="0" w:lineRule="atLeast"/>
              <w:ind w:left="220" w:hangingChars="100" w:hanging="220"/>
              <w:jc w:val="both"/>
              <w:rPr>
                <w:rFonts w:eastAsia="標楷體"/>
                <w:b/>
                <w:kern w:val="0"/>
                <w:szCs w:val="22"/>
              </w:rPr>
            </w:pPr>
            <w:r w:rsidRPr="00D55DC6">
              <w:rPr>
                <w:rFonts w:eastAsia="標楷體"/>
                <w:kern w:val="0"/>
                <w:sz w:val="22"/>
                <w:szCs w:val="22"/>
              </w:rPr>
              <w:t>3.</w:t>
            </w:r>
            <w:r w:rsidRPr="00D55DC6">
              <w:rPr>
                <w:rFonts w:eastAsia="標楷體"/>
                <w:kern w:val="0"/>
                <w:sz w:val="22"/>
                <w:szCs w:val="22"/>
              </w:rPr>
              <w:tab/>
            </w:r>
            <w:r w:rsidRPr="00D55DC6">
              <w:rPr>
                <w:rFonts w:eastAsia="標楷體"/>
                <w:kern w:val="0"/>
                <w:sz w:val="22"/>
                <w:szCs w:val="22"/>
              </w:rPr>
              <w:t>自行車路網延伸及路廊周邊景觀改善：自行車道串連，建置環狀自行車路網、路廊周邊景觀改善。</w:t>
            </w:r>
          </w:p>
        </w:tc>
        <w:tc>
          <w:tcPr>
            <w:tcW w:w="2552"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經常門</w:t>
            </w:r>
            <w:r w:rsidRPr="00D55DC6">
              <w:rPr>
                <w:rFonts w:eastAsia="標楷體"/>
                <w:kern w:val="0"/>
                <w:sz w:val="22"/>
                <w:szCs w:val="22"/>
              </w:rPr>
              <w:t>-</w:t>
            </w:r>
            <w:r w:rsidRPr="00D55DC6">
              <w:rPr>
                <w:rFonts w:eastAsia="標楷體"/>
                <w:kern w:val="0"/>
                <w:sz w:val="22"/>
                <w:szCs w:val="22"/>
              </w:rPr>
              <w:t>綠美化養護及設施零星修護。</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土地取得。</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3.</w:t>
            </w:r>
            <w:r w:rsidRPr="00D55DC6">
              <w:rPr>
                <w:rFonts w:eastAsia="標楷體"/>
                <w:kern w:val="0"/>
                <w:sz w:val="22"/>
                <w:szCs w:val="22"/>
              </w:rPr>
              <w:t>先期規劃設計。</w:t>
            </w:r>
          </w:p>
          <w:p w:rsidR="008672BF" w:rsidRPr="00D55DC6" w:rsidRDefault="008672BF" w:rsidP="0038165F">
            <w:pPr>
              <w:widowControl/>
              <w:spacing w:line="0" w:lineRule="atLeast"/>
              <w:ind w:left="220" w:hangingChars="100" w:hanging="220"/>
              <w:jc w:val="both"/>
              <w:rPr>
                <w:rFonts w:eastAsia="標楷體"/>
                <w:b/>
                <w:kern w:val="0"/>
                <w:szCs w:val="22"/>
              </w:rPr>
            </w:pPr>
            <w:r w:rsidRPr="00D55DC6">
              <w:rPr>
                <w:rFonts w:eastAsia="標楷體"/>
                <w:kern w:val="0"/>
                <w:sz w:val="22"/>
                <w:szCs w:val="22"/>
              </w:rPr>
              <w:t>4.</w:t>
            </w:r>
            <w:r w:rsidRPr="00D55DC6">
              <w:rPr>
                <w:rFonts w:eastAsia="標楷體"/>
                <w:kern w:val="0"/>
                <w:sz w:val="22"/>
                <w:szCs w:val="22"/>
              </w:rPr>
              <w:t>環境及設施整修。</w:t>
            </w:r>
          </w:p>
        </w:tc>
      </w:tr>
      <w:tr w:rsidR="001D0350" w:rsidRPr="00D55DC6" w:rsidTr="008672BF">
        <w:trPr>
          <w:trHeight w:val="345"/>
        </w:trPr>
        <w:tc>
          <w:tcPr>
            <w:tcW w:w="733" w:type="dxa"/>
          </w:tcPr>
          <w:p w:rsidR="008672BF" w:rsidRPr="00D55DC6" w:rsidRDefault="008672BF" w:rsidP="0038165F">
            <w:pPr>
              <w:widowControl/>
              <w:spacing w:line="0" w:lineRule="atLeast"/>
              <w:rPr>
                <w:rFonts w:eastAsia="標楷體"/>
                <w:kern w:val="0"/>
                <w:sz w:val="22"/>
                <w:szCs w:val="22"/>
              </w:rPr>
            </w:pPr>
            <w:r w:rsidRPr="00D55DC6">
              <w:rPr>
                <w:rFonts w:eastAsia="標楷體"/>
                <w:kern w:val="0"/>
                <w:sz w:val="22"/>
                <w:szCs w:val="22"/>
              </w:rPr>
              <w:t>日月潭國家風景區建設計畫</w:t>
            </w:r>
          </w:p>
        </w:tc>
        <w:tc>
          <w:tcPr>
            <w:tcW w:w="981" w:type="dxa"/>
            <w:noWrap/>
          </w:tcPr>
          <w:p w:rsidR="008672BF" w:rsidRPr="00D55DC6" w:rsidRDefault="008672BF" w:rsidP="0038165F">
            <w:pPr>
              <w:widowControl/>
              <w:spacing w:line="0" w:lineRule="atLeast"/>
              <w:rPr>
                <w:rFonts w:eastAsia="標楷體"/>
                <w:kern w:val="0"/>
                <w:sz w:val="22"/>
                <w:szCs w:val="22"/>
              </w:rPr>
            </w:pPr>
            <w:r w:rsidRPr="00D55DC6">
              <w:rPr>
                <w:rFonts w:eastAsia="標楷體"/>
                <w:kern w:val="0"/>
                <w:sz w:val="22"/>
                <w:szCs w:val="22"/>
              </w:rPr>
              <w:t>日月潭國家風景區管理處</w:t>
            </w:r>
          </w:p>
        </w:tc>
        <w:tc>
          <w:tcPr>
            <w:tcW w:w="2693" w:type="dxa"/>
            <w:noWrap/>
          </w:tcPr>
          <w:p w:rsidR="008672BF" w:rsidRPr="00D55DC6" w:rsidRDefault="008672BF" w:rsidP="0038165F">
            <w:pPr>
              <w:widowControl/>
              <w:spacing w:line="0" w:lineRule="atLeast"/>
              <w:jc w:val="both"/>
              <w:rPr>
                <w:rFonts w:eastAsia="標楷體"/>
                <w:kern w:val="0"/>
                <w:sz w:val="22"/>
                <w:szCs w:val="22"/>
              </w:rPr>
            </w:pPr>
            <w:r w:rsidRPr="00D55DC6">
              <w:rPr>
                <w:rFonts w:eastAsia="標楷體"/>
                <w:kern w:val="0"/>
                <w:sz w:val="22"/>
                <w:szCs w:val="22"/>
              </w:rPr>
              <w:t>環潭遊憩系統：水社、伊達邵、向山等環潭地區公共設施及</w:t>
            </w:r>
            <w:r w:rsidR="00397CE7" w:rsidRPr="00D55DC6">
              <w:rPr>
                <w:rFonts w:eastAsia="標楷體"/>
                <w:kern w:val="0"/>
                <w:sz w:val="22"/>
                <w:szCs w:val="22"/>
              </w:rPr>
              <w:t>周邊</w:t>
            </w:r>
            <w:r w:rsidRPr="00D55DC6">
              <w:rPr>
                <w:rFonts w:eastAsia="標楷體"/>
                <w:kern w:val="0"/>
                <w:sz w:val="22"/>
                <w:szCs w:val="22"/>
              </w:rPr>
              <w:t>景觀改善。</w:t>
            </w:r>
          </w:p>
        </w:tc>
        <w:tc>
          <w:tcPr>
            <w:tcW w:w="2693"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埔里魚池遊憩系統：埔里、頭社等地區公共設施興建、景觀改善及自行車道整建等。</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集集水里遊憩系統：集集、綠色隧道、水里等地區公共設施興建、景觀改善及自行車道整建等。</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3.</w:t>
            </w:r>
            <w:r w:rsidRPr="00D55DC6">
              <w:rPr>
                <w:rFonts w:eastAsia="標楷體"/>
                <w:kern w:val="0"/>
                <w:sz w:val="22"/>
                <w:szCs w:val="22"/>
              </w:rPr>
              <w:t>濁水溪遊憩系統：潭南、地利、雙龍等地區公共設施興建、景觀改善及自行車道整建等。</w:t>
            </w:r>
          </w:p>
        </w:tc>
        <w:tc>
          <w:tcPr>
            <w:tcW w:w="2552"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經常門</w:t>
            </w:r>
            <w:r w:rsidRPr="00D55DC6">
              <w:rPr>
                <w:rFonts w:eastAsia="標楷體"/>
                <w:kern w:val="0"/>
                <w:sz w:val="22"/>
                <w:szCs w:val="22"/>
              </w:rPr>
              <w:t>-</w:t>
            </w:r>
            <w:r w:rsidRPr="00D55DC6">
              <w:rPr>
                <w:rFonts w:eastAsia="標楷體"/>
                <w:kern w:val="0"/>
                <w:sz w:val="22"/>
                <w:szCs w:val="22"/>
              </w:rPr>
              <w:t>綠美化養護及設施零星修護、污水廠操作維護及新增管線。</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土地取得。</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3.</w:t>
            </w:r>
            <w:r w:rsidRPr="00D55DC6">
              <w:rPr>
                <w:rFonts w:eastAsia="標楷體"/>
                <w:kern w:val="0"/>
                <w:sz w:val="22"/>
                <w:szCs w:val="22"/>
              </w:rPr>
              <w:t>先期規劃設計。</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4.</w:t>
            </w:r>
            <w:r w:rsidRPr="00D55DC6">
              <w:rPr>
                <w:rFonts w:eastAsia="標楷體"/>
                <w:kern w:val="0"/>
                <w:sz w:val="22"/>
                <w:szCs w:val="22"/>
              </w:rPr>
              <w:t>環境及設施整修</w:t>
            </w:r>
            <w:r w:rsidRPr="00D55DC6">
              <w:rPr>
                <w:rFonts w:eastAsia="標楷體"/>
                <w:kern w:val="0"/>
                <w:sz w:val="22"/>
                <w:szCs w:val="22"/>
              </w:rPr>
              <w:t xml:space="preserve"> </w:t>
            </w:r>
            <w:r w:rsidRPr="00D55DC6">
              <w:rPr>
                <w:rFonts w:eastAsia="標楷體"/>
                <w:kern w:val="0"/>
                <w:sz w:val="22"/>
                <w:szCs w:val="22"/>
              </w:rPr>
              <w:t>。</w:t>
            </w:r>
          </w:p>
        </w:tc>
      </w:tr>
      <w:tr w:rsidR="001D0350" w:rsidRPr="00D55DC6" w:rsidTr="008672BF">
        <w:trPr>
          <w:trHeight w:val="345"/>
        </w:trPr>
        <w:tc>
          <w:tcPr>
            <w:tcW w:w="733" w:type="dxa"/>
          </w:tcPr>
          <w:p w:rsidR="008672BF" w:rsidRPr="00D55DC6" w:rsidRDefault="008672BF" w:rsidP="0038165F">
            <w:pPr>
              <w:widowControl/>
              <w:spacing w:line="0" w:lineRule="atLeast"/>
              <w:rPr>
                <w:rFonts w:eastAsia="標楷體"/>
                <w:bCs/>
                <w:kern w:val="0"/>
                <w:sz w:val="22"/>
                <w:szCs w:val="22"/>
              </w:rPr>
            </w:pPr>
            <w:r w:rsidRPr="00D55DC6">
              <w:rPr>
                <w:sz w:val="22"/>
                <w:szCs w:val="22"/>
              </w:rPr>
              <w:lastRenderedPageBreak/>
              <w:br w:type="page"/>
            </w:r>
            <w:r w:rsidRPr="00D55DC6">
              <w:rPr>
                <w:rFonts w:eastAsia="標楷體"/>
                <w:kern w:val="0"/>
                <w:sz w:val="22"/>
                <w:szCs w:val="22"/>
              </w:rPr>
              <w:t>參山</w:t>
            </w:r>
            <w:r w:rsidRPr="00D55DC6">
              <w:rPr>
                <w:rFonts w:eastAsia="標楷體"/>
                <w:bCs/>
                <w:kern w:val="0"/>
                <w:sz w:val="22"/>
                <w:szCs w:val="22"/>
              </w:rPr>
              <w:t>國家風景區建設計畫</w:t>
            </w:r>
          </w:p>
        </w:tc>
        <w:tc>
          <w:tcPr>
            <w:tcW w:w="981" w:type="dxa"/>
            <w:noWrap/>
          </w:tcPr>
          <w:p w:rsidR="008672BF" w:rsidRPr="00D55DC6" w:rsidRDefault="008672BF" w:rsidP="0038165F">
            <w:pPr>
              <w:widowControl/>
              <w:spacing w:line="0" w:lineRule="atLeast"/>
              <w:rPr>
                <w:rFonts w:eastAsia="標楷體"/>
                <w:kern w:val="0"/>
                <w:sz w:val="22"/>
                <w:szCs w:val="22"/>
              </w:rPr>
            </w:pPr>
            <w:r w:rsidRPr="00D55DC6">
              <w:rPr>
                <w:rFonts w:eastAsia="標楷體"/>
                <w:kern w:val="0"/>
                <w:sz w:val="22"/>
                <w:szCs w:val="22"/>
              </w:rPr>
              <w:t>參山管理處</w:t>
            </w:r>
          </w:p>
        </w:tc>
        <w:tc>
          <w:tcPr>
            <w:tcW w:w="2693"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南庄遊憩區：辦理蓬萊溪自然生態園區周邊步道沿線景觀及導覽設施改善、南庄遊客中心周邊環境景觀暨公共服務設施改善等建設。</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谷關遊憩區：辦理谷關遊憩區環境綠美化及相關服務設施改善、谷關溫泉區周邊步道整建及公共服務設施改善等建設。</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3.</w:t>
            </w:r>
            <w:r w:rsidRPr="00D55DC6">
              <w:rPr>
                <w:rFonts w:eastAsia="標楷體"/>
                <w:kern w:val="0"/>
                <w:sz w:val="22"/>
                <w:szCs w:val="22"/>
              </w:rPr>
              <w:t>松柏嶺遊憩區：辦理松柏嶺、百果山等遊憩地區環境及公共服務設施改善等。</w:t>
            </w:r>
          </w:p>
        </w:tc>
        <w:tc>
          <w:tcPr>
            <w:tcW w:w="2693"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獅頭山遊憩區：辦理獅頭山風景區公共服務設施及步道串聯整修改善等。</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梨山遊憩區：辦理梨山賓館及梨山文物陳列館周邊景觀環境及公共服務設施等改建設。</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3.</w:t>
            </w:r>
            <w:r w:rsidRPr="00D55DC6">
              <w:rPr>
                <w:rFonts w:eastAsia="標楷體"/>
                <w:kern w:val="0"/>
                <w:sz w:val="22"/>
                <w:szCs w:val="22"/>
              </w:rPr>
              <w:t>八卦山遊憩區：辦理八卦山風景區自行車道系統暨公共服務設施、清水岩遊憩區等改善建設。</w:t>
            </w:r>
          </w:p>
        </w:tc>
        <w:tc>
          <w:tcPr>
            <w:tcW w:w="2552"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經常門</w:t>
            </w:r>
            <w:r w:rsidRPr="00D55DC6">
              <w:rPr>
                <w:rFonts w:eastAsia="標楷體"/>
                <w:kern w:val="0"/>
                <w:sz w:val="22"/>
                <w:szCs w:val="22"/>
              </w:rPr>
              <w:t>-</w:t>
            </w:r>
            <w:r w:rsidRPr="00D55DC6">
              <w:rPr>
                <w:rFonts w:eastAsia="標楷體"/>
                <w:kern w:val="0"/>
                <w:sz w:val="22"/>
                <w:szCs w:val="22"/>
              </w:rPr>
              <w:t>綠美化養護及設施零星修護。</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先期規劃設計。</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3.</w:t>
            </w:r>
            <w:r w:rsidRPr="00D55DC6">
              <w:rPr>
                <w:rFonts w:eastAsia="標楷體"/>
                <w:kern w:val="0"/>
                <w:sz w:val="22"/>
                <w:szCs w:val="22"/>
              </w:rPr>
              <w:t>環境及設施整修。</w:t>
            </w:r>
          </w:p>
        </w:tc>
      </w:tr>
      <w:tr w:rsidR="001D0350" w:rsidRPr="00D55DC6" w:rsidTr="008672BF">
        <w:trPr>
          <w:trHeight w:val="345"/>
        </w:trPr>
        <w:tc>
          <w:tcPr>
            <w:tcW w:w="733" w:type="dxa"/>
          </w:tcPr>
          <w:p w:rsidR="008672BF" w:rsidRPr="00D55DC6" w:rsidRDefault="008672BF" w:rsidP="0038165F">
            <w:pPr>
              <w:widowControl/>
              <w:spacing w:line="0" w:lineRule="atLeast"/>
              <w:rPr>
                <w:rFonts w:eastAsia="標楷體"/>
                <w:bCs/>
                <w:kern w:val="0"/>
                <w:sz w:val="22"/>
                <w:szCs w:val="22"/>
              </w:rPr>
            </w:pPr>
            <w:r w:rsidRPr="00D55DC6">
              <w:rPr>
                <w:sz w:val="22"/>
                <w:szCs w:val="22"/>
              </w:rPr>
              <w:br w:type="page"/>
            </w:r>
            <w:r w:rsidRPr="00D55DC6">
              <w:rPr>
                <w:rFonts w:eastAsia="標楷體"/>
                <w:bCs/>
                <w:kern w:val="0"/>
                <w:sz w:val="22"/>
                <w:szCs w:val="22"/>
              </w:rPr>
              <w:t>阿里山國家風景區建設計畫</w:t>
            </w:r>
          </w:p>
        </w:tc>
        <w:tc>
          <w:tcPr>
            <w:tcW w:w="981" w:type="dxa"/>
            <w:noWrap/>
          </w:tcPr>
          <w:p w:rsidR="008672BF" w:rsidRPr="00D55DC6" w:rsidRDefault="008672BF" w:rsidP="0038165F">
            <w:pPr>
              <w:widowControl/>
              <w:spacing w:line="0" w:lineRule="atLeast"/>
              <w:rPr>
                <w:rFonts w:eastAsia="標楷體"/>
                <w:kern w:val="0"/>
                <w:sz w:val="22"/>
                <w:szCs w:val="22"/>
              </w:rPr>
            </w:pPr>
            <w:r w:rsidRPr="00D55DC6">
              <w:rPr>
                <w:rFonts w:eastAsia="標楷體"/>
                <w:kern w:val="0"/>
                <w:sz w:val="22"/>
                <w:szCs w:val="22"/>
              </w:rPr>
              <w:t>阿里山管理處</w:t>
            </w:r>
          </w:p>
        </w:tc>
        <w:tc>
          <w:tcPr>
            <w:tcW w:w="2693" w:type="dxa"/>
            <w:noWrap/>
          </w:tcPr>
          <w:p w:rsidR="008672BF" w:rsidRPr="00D55DC6" w:rsidRDefault="008672BF" w:rsidP="0038165F">
            <w:pPr>
              <w:widowControl/>
              <w:spacing w:line="0" w:lineRule="atLeast"/>
              <w:jc w:val="both"/>
              <w:rPr>
                <w:rFonts w:eastAsia="標楷體"/>
                <w:kern w:val="0"/>
                <w:sz w:val="22"/>
                <w:szCs w:val="22"/>
              </w:rPr>
            </w:pPr>
            <w:r w:rsidRPr="00D55DC6">
              <w:rPr>
                <w:rFonts w:eastAsia="標楷體"/>
                <w:kern w:val="0"/>
                <w:sz w:val="22"/>
                <w:szCs w:val="22"/>
              </w:rPr>
              <w:t>臺</w:t>
            </w:r>
            <w:r w:rsidRPr="00D55DC6">
              <w:rPr>
                <w:rFonts w:eastAsia="標楷體"/>
                <w:kern w:val="0"/>
                <w:sz w:val="22"/>
                <w:szCs w:val="22"/>
              </w:rPr>
              <w:t>18</w:t>
            </w:r>
            <w:r w:rsidRPr="00D55DC6">
              <w:rPr>
                <w:rFonts w:eastAsia="標楷體"/>
                <w:kern w:val="0"/>
                <w:sz w:val="22"/>
                <w:szCs w:val="22"/>
              </w:rPr>
              <w:t>線遊憩系統：觸口、牛埔仔、龍美、鞍頂、隙頂、巃頭、奮起湖、石棹、頂湖、光華、半天岩等地區周邊遊憩設施與景觀改善。</w:t>
            </w:r>
          </w:p>
        </w:tc>
        <w:tc>
          <w:tcPr>
            <w:tcW w:w="2693"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鄒族文化遊憩系統：達邦、特富野、里佳、樂野、山美、新美、茶山等地區周邊遊憩設施與景觀改善。</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西北廊道遊憩系統：豐山、來吉、太和、瑞里、瑞峰、仁壽、金獅、文峰、太平、太興、碧湖、龍眼等地區周邊遊憩設施與景觀改善。</w:t>
            </w:r>
          </w:p>
        </w:tc>
        <w:tc>
          <w:tcPr>
            <w:tcW w:w="2552"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經常門</w:t>
            </w:r>
            <w:r w:rsidRPr="00D55DC6">
              <w:rPr>
                <w:rFonts w:eastAsia="標楷體"/>
                <w:kern w:val="0"/>
                <w:sz w:val="22"/>
                <w:szCs w:val="22"/>
              </w:rPr>
              <w:t>-</w:t>
            </w:r>
            <w:r w:rsidRPr="00D55DC6">
              <w:rPr>
                <w:rFonts w:eastAsia="標楷體"/>
                <w:kern w:val="0"/>
                <w:sz w:val="22"/>
                <w:szCs w:val="22"/>
              </w:rPr>
              <w:t>綠美化養護及設施零星修護。</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土地取得。</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3.</w:t>
            </w:r>
            <w:r w:rsidRPr="00D55DC6">
              <w:rPr>
                <w:rFonts w:eastAsia="標楷體"/>
                <w:kern w:val="0"/>
                <w:sz w:val="22"/>
                <w:szCs w:val="22"/>
              </w:rPr>
              <w:t>先期規劃設計。</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4.</w:t>
            </w:r>
            <w:r w:rsidRPr="00D55DC6">
              <w:rPr>
                <w:rFonts w:eastAsia="標楷體"/>
                <w:kern w:val="0"/>
                <w:sz w:val="22"/>
                <w:szCs w:val="22"/>
              </w:rPr>
              <w:t>環境及設施整修。</w:t>
            </w:r>
          </w:p>
        </w:tc>
      </w:tr>
      <w:tr w:rsidR="001D0350" w:rsidRPr="00D55DC6" w:rsidTr="008672BF">
        <w:trPr>
          <w:trHeight w:val="345"/>
        </w:trPr>
        <w:tc>
          <w:tcPr>
            <w:tcW w:w="733" w:type="dxa"/>
          </w:tcPr>
          <w:p w:rsidR="008672BF" w:rsidRPr="00D55DC6" w:rsidRDefault="008672BF" w:rsidP="0038165F">
            <w:pPr>
              <w:widowControl/>
              <w:spacing w:line="0" w:lineRule="atLeast"/>
              <w:rPr>
                <w:rFonts w:eastAsia="標楷體"/>
                <w:bCs/>
                <w:kern w:val="0"/>
                <w:sz w:val="22"/>
                <w:szCs w:val="22"/>
              </w:rPr>
            </w:pPr>
            <w:r w:rsidRPr="00D55DC6">
              <w:rPr>
                <w:sz w:val="22"/>
                <w:szCs w:val="22"/>
              </w:rPr>
              <w:br w:type="page"/>
            </w:r>
            <w:r w:rsidRPr="00D55DC6">
              <w:rPr>
                <w:rFonts w:eastAsia="標楷體"/>
                <w:kern w:val="0"/>
                <w:sz w:val="22"/>
                <w:szCs w:val="22"/>
              </w:rPr>
              <w:t>雲嘉南</w:t>
            </w:r>
            <w:r w:rsidR="00C163E7" w:rsidRPr="00D55DC6">
              <w:rPr>
                <w:rFonts w:eastAsia="標楷體" w:hint="eastAsia"/>
                <w:kern w:val="0"/>
                <w:sz w:val="22"/>
                <w:szCs w:val="22"/>
              </w:rPr>
              <w:t>濱海</w:t>
            </w:r>
            <w:r w:rsidRPr="00D55DC6">
              <w:rPr>
                <w:rFonts w:eastAsia="標楷體"/>
                <w:bCs/>
                <w:kern w:val="0"/>
                <w:sz w:val="22"/>
                <w:szCs w:val="22"/>
              </w:rPr>
              <w:t>國家風景區建設計畫</w:t>
            </w:r>
          </w:p>
        </w:tc>
        <w:tc>
          <w:tcPr>
            <w:tcW w:w="981" w:type="dxa"/>
            <w:noWrap/>
          </w:tcPr>
          <w:p w:rsidR="008672BF" w:rsidRPr="00D55DC6" w:rsidRDefault="008672BF" w:rsidP="0038165F">
            <w:pPr>
              <w:widowControl/>
              <w:spacing w:line="0" w:lineRule="atLeast"/>
              <w:rPr>
                <w:rFonts w:eastAsia="標楷體"/>
                <w:kern w:val="0"/>
                <w:sz w:val="22"/>
                <w:szCs w:val="22"/>
              </w:rPr>
            </w:pPr>
            <w:r w:rsidRPr="00D55DC6">
              <w:rPr>
                <w:rFonts w:eastAsia="標楷體"/>
                <w:kern w:val="0"/>
                <w:sz w:val="22"/>
                <w:szCs w:val="22"/>
              </w:rPr>
              <w:t>雲嘉南管理處</w:t>
            </w:r>
          </w:p>
        </w:tc>
        <w:tc>
          <w:tcPr>
            <w:tcW w:w="2693"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ab/>
            </w:r>
            <w:r w:rsidRPr="00D55DC6">
              <w:rPr>
                <w:rFonts w:eastAsia="標楷體"/>
                <w:kern w:val="0"/>
                <w:sz w:val="22"/>
                <w:szCs w:val="22"/>
              </w:rPr>
              <w:t>北門地區服務設施改善：辦理北門婚紗美地、井仔腳周邊服務設施暨景觀改善等工程。</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ab/>
            </w:r>
            <w:r w:rsidRPr="00D55DC6">
              <w:rPr>
                <w:rFonts w:eastAsia="標楷體"/>
                <w:kern w:val="0"/>
                <w:sz w:val="22"/>
                <w:szCs w:val="22"/>
              </w:rPr>
              <w:t>將軍七股地區服務設施改善：七股遊客中心周邊及戀愛意象相關服務設施暨景觀改善等工程。</w:t>
            </w:r>
          </w:p>
        </w:tc>
        <w:tc>
          <w:tcPr>
            <w:tcW w:w="2693"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ab/>
            </w:r>
            <w:r w:rsidRPr="00D55DC6">
              <w:rPr>
                <w:rFonts w:eastAsia="標楷體"/>
                <w:kern w:val="0"/>
                <w:sz w:val="22"/>
                <w:szCs w:val="22"/>
              </w:rPr>
              <w:t>東石布袋地區服務設施改善：辦理結婚意象相關、東石布袋地區周邊服務設施暨景觀改善等工程。</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ab/>
            </w:r>
            <w:r w:rsidRPr="00D55DC6">
              <w:rPr>
                <w:rFonts w:eastAsia="標楷體"/>
                <w:kern w:val="0"/>
                <w:sz w:val="22"/>
                <w:szCs w:val="22"/>
              </w:rPr>
              <w:t>四湖口湖地區服務設施改善：辦理</w:t>
            </w:r>
            <w:r w:rsidR="000431FE" w:rsidRPr="00D55DC6">
              <w:rPr>
                <w:rFonts w:eastAsia="標楷體"/>
                <w:kern w:val="0"/>
                <w:sz w:val="22"/>
                <w:szCs w:val="22"/>
              </w:rPr>
              <w:t>幸福</w:t>
            </w:r>
            <w:r w:rsidRPr="00D55DC6">
              <w:rPr>
                <w:rFonts w:eastAsia="標楷體"/>
                <w:kern w:val="0"/>
                <w:sz w:val="22"/>
                <w:szCs w:val="22"/>
              </w:rPr>
              <w:t>、失戀意象相關及四湖口湖施暨景觀改善等工程。</w:t>
            </w:r>
          </w:p>
        </w:tc>
        <w:tc>
          <w:tcPr>
            <w:tcW w:w="2552"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經常門</w:t>
            </w:r>
            <w:r w:rsidRPr="00D55DC6">
              <w:rPr>
                <w:rFonts w:eastAsia="標楷體"/>
                <w:kern w:val="0"/>
                <w:sz w:val="22"/>
                <w:szCs w:val="22"/>
              </w:rPr>
              <w:t>-</w:t>
            </w:r>
            <w:r w:rsidRPr="00D55DC6">
              <w:rPr>
                <w:rFonts w:eastAsia="標楷體"/>
                <w:kern w:val="0"/>
                <w:sz w:val="22"/>
                <w:szCs w:val="22"/>
              </w:rPr>
              <w:t>綠美化養護及設施零星修護。</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土地取得。</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3.</w:t>
            </w:r>
            <w:r w:rsidRPr="00D55DC6">
              <w:rPr>
                <w:rFonts w:eastAsia="標楷體"/>
                <w:kern w:val="0"/>
                <w:sz w:val="22"/>
                <w:szCs w:val="22"/>
              </w:rPr>
              <w:t>先期規劃設計。</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4.</w:t>
            </w:r>
            <w:r w:rsidRPr="00D55DC6">
              <w:rPr>
                <w:rFonts w:eastAsia="標楷體"/>
                <w:kern w:val="0"/>
                <w:sz w:val="22"/>
                <w:szCs w:val="22"/>
              </w:rPr>
              <w:t>環境及設施整修。</w:t>
            </w:r>
          </w:p>
        </w:tc>
      </w:tr>
      <w:tr w:rsidR="001D0350" w:rsidRPr="00D55DC6" w:rsidTr="008672BF">
        <w:trPr>
          <w:trHeight w:val="345"/>
        </w:trPr>
        <w:tc>
          <w:tcPr>
            <w:tcW w:w="733" w:type="dxa"/>
            <w:tcBorders>
              <w:top w:val="single" w:sz="4" w:space="0" w:color="auto"/>
              <w:left w:val="single" w:sz="4" w:space="0" w:color="auto"/>
              <w:bottom w:val="single" w:sz="4" w:space="0" w:color="auto"/>
              <w:right w:val="single" w:sz="4" w:space="0" w:color="auto"/>
            </w:tcBorders>
          </w:tcPr>
          <w:p w:rsidR="008672BF" w:rsidRPr="00D55DC6" w:rsidRDefault="008672BF" w:rsidP="0038165F">
            <w:pPr>
              <w:widowControl/>
              <w:spacing w:line="0" w:lineRule="atLeast"/>
              <w:rPr>
                <w:sz w:val="22"/>
                <w:szCs w:val="22"/>
              </w:rPr>
            </w:pPr>
            <w:r w:rsidRPr="00D55DC6">
              <w:rPr>
                <w:sz w:val="22"/>
                <w:szCs w:val="22"/>
              </w:rPr>
              <w:br w:type="page"/>
            </w:r>
            <w:r w:rsidRPr="00D55DC6">
              <w:rPr>
                <w:rFonts w:eastAsia="標楷體"/>
                <w:bCs/>
                <w:kern w:val="0"/>
                <w:sz w:val="22"/>
                <w:szCs w:val="22"/>
              </w:rPr>
              <w:t>西拉雅國家風景區建設計畫</w:t>
            </w:r>
          </w:p>
        </w:tc>
        <w:tc>
          <w:tcPr>
            <w:tcW w:w="981" w:type="dxa"/>
            <w:tcBorders>
              <w:top w:val="single" w:sz="4" w:space="0" w:color="auto"/>
              <w:left w:val="single" w:sz="4" w:space="0" w:color="auto"/>
              <w:bottom w:val="single" w:sz="4" w:space="0" w:color="auto"/>
              <w:right w:val="single" w:sz="4" w:space="0" w:color="auto"/>
            </w:tcBorders>
            <w:noWrap/>
          </w:tcPr>
          <w:p w:rsidR="008672BF" w:rsidRPr="00D55DC6" w:rsidRDefault="008672BF" w:rsidP="0038165F">
            <w:pPr>
              <w:widowControl/>
              <w:spacing w:line="0" w:lineRule="atLeast"/>
              <w:rPr>
                <w:rFonts w:eastAsia="標楷體"/>
                <w:kern w:val="0"/>
                <w:sz w:val="22"/>
                <w:szCs w:val="22"/>
              </w:rPr>
            </w:pPr>
            <w:r w:rsidRPr="00D55DC6">
              <w:rPr>
                <w:rFonts w:eastAsia="標楷體"/>
                <w:kern w:val="0"/>
                <w:sz w:val="22"/>
                <w:szCs w:val="22"/>
              </w:rPr>
              <w:t>西拉雅管理處</w:t>
            </w:r>
          </w:p>
        </w:tc>
        <w:tc>
          <w:tcPr>
            <w:tcW w:w="2693" w:type="dxa"/>
            <w:tcBorders>
              <w:top w:val="single" w:sz="4" w:space="0" w:color="auto"/>
              <w:left w:val="single" w:sz="4" w:space="0" w:color="auto"/>
              <w:bottom w:val="single" w:sz="4" w:space="0" w:color="auto"/>
              <w:right w:val="single" w:sz="4" w:space="0" w:color="auto"/>
            </w:tcBorders>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關子嶺遊憩區：辦理關子嶺溫泉區、嶺頂資訊站、白河東山產業廊道等周邊景觀改善及公共設施新建及整建。</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烏山頭遊憩區：辦理西拉雅行政中心、西拉雅遊客中心及資訊站、烏山頭資訊站及水庫等周邊景觀改善及公共設施新建及整建。</w:t>
            </w:r>
          </w:p>
        </w:tc>
        <w:tc>
          <w:tcPr>
            <w:tcW w:w="2693" w:type="dxa"/>
            <w:tcBorders>
              <w:top w:val="single" w:sz="4" w:space="0" w:color="auto"/>
              <w:left w:val="single" w:sz="4" w:space="0" w:color="auto"/>
              <w:bottom w:val="single" w:sz="4" w:space="0" w:color="auto"/>
              <w:right w:val="single" w:sz="4" w:space="0" w:color="auto"/>
            </w:tcBorders>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曾文</w:t>
            </w:r>
            <w:r w:rsidRPr="00D55DC6">
              <w:rPr>
                <w:rFonts w:eastAsia="標楷體"/>
                <w:kern w:val="0"/>
                <w:sz w:val="22"/>
                <w:szCs w:val="22"/>
              </w:rPr>
              <w:t>/</w:t>
            </w:r>
            <w:r w:rsidRPr="00D55DC6">
              <w:rPr>
                <w:rFonts w:eastAsia="標楷體"/>
                <w:kern w:val="0"/>
                <w:sz w:val="22"/>
                <w:szCs w:val="22"/>
              </w:rPr>
              <w:t>中埔遊憩區：辦理大埔、中埔、梅嶺等周邊景觀改善及公共設施新建及整建。</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左鎮遊憩區：辦理二寮觀日亭、南化生態農場、南化遊客中心暨資訊站等周邊景觀改善及公共設施新建及整建。</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3.</w:t>
            </w:r>
            <w:r w:rsidRPr="00D55DC6">
              <w:rPr>
                <w:rFonts w:eastAsia="標楷體"/>
                <w:kern w:val="0"/>
                <w:sz w:val="22"/>
                <w:szCs w:val="22"/>
              </w:rPr>
              <w:t>虎頭埤遊憩區：虎頭埤等周邊景觀改善及公共設施新建及整建。</w:t>
            </w:r>
          </w:p>
        </w:tc>
        <w:tc>
          <w:tcPr>
            <w:tcW w:w="2552" w:type="dxa"/>
            <w:tcBorders>
              <w:top w:val="single" w:sz="4" w:space="0" w:color="auto"/>
              <w:left w:val="single" w:sz="4" w:space="0" w:color="auto"/>
              <w:bottom w:val="single" w:sz="4" w:space="0" w:color="auto"/>
              <w:right w:val="single" w:sz="4" w:space="0" w:color="auto"/>
            </w:tcBorders>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經常門</w:t>
            </w:r>
            <w:r w:rsidRPr="00D55DC6">
              <w:rPr>
                <w:rFonts w:eastAsia="標楷體"/>
                <w:kern w:val="0"/>
                <w:sz w:val="22"/>
                <w:szCs w:val="22"/>
              </w:rPr>
              <w:t>-</w:t>
            </w:r>
            <w:r w:rsidRPr="00D55DC6">
              <w:rPr>
                <w:rFonts w:eastAsia="標楷體"/>
                <w:kern w:val="0"/>
                <w:sz w:val="22"/>
                <w:szCs w:val="22"/>
              </w:rPr>
              <w:t>綠美化養護及設施零星修護。</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土地取得。</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3.</w:t>
            </w:r>
            <w:r w:rsidRPr="00D55DC6">
              <w:rPr>
                <w:rFonts w:eastAsia="標楷體"/>
                <w:kern w:val="0"/>
                <w:sz w:val="22"/>
                <w:szCs w:val="22"/>
              </w:rPr>
              <w:t>先期規劃設計。</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4.</w:t>
            </w:r>
            <w:r w:rsidRPr="00D55DC6">
              <w:rPr>
                <w:rFonts w:eastAsia="標楷體"/>
                <w:kern w:val="0"/>
                <w:sz w:val="22"/>
                <w:szCs w:val="22"/>
              </w:rPr>
              <w:t>環境及設施整修。</w:t>
            </w:r>
          </w:p>
          <w:p w:rsidR="008672BF" w:rsidRPr="00D55DC6" w:rsidRDefault="008672BF" w:rsidP="0038165F">
            <w:pPr>
              <w:widowControl/>
              <w:spacing w:line="0" w:lineRule="atLeast"/>
              <w:ind w:left="220" w:hangingChars="100" w:hanging="220"/>
              <w:jc w:val="both"/>
              <w:rPr>
                <w:rFonts w:eastAsia="標楷體"/>
                <w:kern w:val="0"/>
                <w:sz w:val="22"/>
                <w:szCs w:val="22"/>
              </w:rPr>
            </w:pPr>
          </w:p>
        </w:tc>
      </w:tr>
      <w:tr w:rsidR="001D0350" w:rsidRPr="00D55DC6" w:rsidTr="008672BF">
        <w:trPr>
          <w:trHeight w:val="345"/>
        </w:trPr>
        <w:tc>
          <w:tcPr>
            <w:tcW w:w="733" w:type="dxa"/>
            <w:tcBorders>
              <w:top w:val="single" w:sz="4" w:space="0" w:color="auto"/>
              <w:left w:val="single" w:sz="4" w:space="0" w:color="auto"/>
              <w:bottom w:val="single" w:sz="4" w:space="0" w:color="auto"/>
              <w:right w:val="single" w:sz="4" w:space="0" w:color="auto"/>
            </w:tcBorders>
          </w:tcPr>
          <w:p w:rsidR="008672BF" w:rsidRPr="00D55DC6" w:rsidRDefault="008672BF" w:rsidP="0038165F">
            <w:pPr>
              <w:widowControl/>
              <w:spacing w:line="0" w:lineRule="atLeast"/>
              <w:rPr>
                <w:sz w:val="22"/>
                <w:szCs w:val="22"/>
              </w:rPr>
            </w:pPr>
            <w:r w:rsidRPr="00D55DC6">
              <w:rPr>
                <w:sz w:val="22"/>
                <w:szCs w:val="22"/>
              </w:rPr>
              <w:lastRenderedPageBreak/>
              <w:br w:type="page"/>
            </w:r>
            <w:r w:rsidRPr="00D55DC6">
              <w:rPr>
                <w:rFonts w:eastAsia="標楷體"/>
                <w:bCs/>
                <w:kern w:val="0"/>
                <w:sz w:val="22"/>
                <w:szCs w:val="22"/>
              </w:rPr>
              <w:t>茂林國家風景區建設計畫</w:t>
            </w:r>
          </w:p>
        </w:tc>
        <w:tc>
          <w:tcPr>
            <w:tcW w:w="981" w:type="dxa"/>
            <w:tcBorders>
              <w:top w:val="single" w:sz="4" w:space="0" w:color="auto"/>
              <w:left w:val="single" w:sz="4" w:space="0" w:color="auto"/>
              <w:bottom w:val="single" w:sz="4" w:space="0" w:color="auto"/>
              <w:right w:val="single" w:sz="4" w:space="0" w:color="auto"/>
            </w:tcBorders>
            <w:noWrap/>
          </w:tcPr>
          <w:p w:rsidR="008672BF" w:rsidRPr="00D55DC6" w:rsidRDefault="008672BF" w:rsidP="0038165F">
            <w:pPr>
              <w:widowControl/>
              <w:spacing w:line="0" w:lineRule="atLeast"/>
              <w:rPr>
                <w:rFonts w:eastAsia="標楷體"/>
                <w:kern w:val="0"/>
                <w:sz w:val="22"/>
                <w:szCs w:val="22"/>
              </w:rPr>
            </w:pPr>
            <w:r w:rsidRPr="00D55DC6">
              <w:rPr>
                <w:rFonts w:eastAsia="標楷體"/>
                <w:kern w:val="0"/>
                <w:sz w:val="22"/>
                <w:szCs w:val="22"/>
              </w:rPr>
              <w:t>茂林管理處</w:t>
            </w:r>
          </w:p>
        </w:tc>
        <w:tc>
          <w:tcPr>
            <w:tcW w:w="2693" w:type="dxa"/>
            <w:tcBorders>
              <w:top w:val="single" w:sz="4" w:space="0" w:color="auto"/>
              <w:left w:val="single" w:sz="4" w:space="0" w:color="auto"/>
              <w:bottom w:val="single" w:sz="4" w:space="0" w:color="auto"/>
              <w:right w:val="single" w:sz="4" w:space="0" w:color="auto"/>
            </w:tcBorders>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ab/>
            </w:r>
            <w:r w:rsidRPr="00D55DC6">
              <w:rPr>
                <w:rFonts w:eastAsia="標楷體"/>
                <w:kern w:val="0"/>
                <w:sz w:val="22"/>
                <w:szCs w:val="22"/>
              </w:rPr>
              <w:t>新威茂林遊憩區：新威遊客暨行政管理中心、茂林紫蝶幽谷生態園區、茂林谷、情人谷遊憩區、多納溫泉區、及多納傳統部落石板屋。</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ab/>
            </w:r>
            <w:r w:rsidRPr="00D55DC6">
              <w:rPr>
                <w:rFonts w:eastAsia="標楷體"/>
                <w:kern w:val="0"/>
                <w:sz w:val="22"/>
                <w:szCs w:val="22"/>
              </w:rPr>
              <w:t>賽嘉遊憩區：賽嘉無動力飛行場園區。</w:t>
            </w:r>
          </w:p>
        </w:tc>
        <w:tc>
          <w:tcPr>
            <w:tcW w:w="2693" w:type="dxa"/>
            <w:tcBorders>
              <w:top w:val="single" w:sz="4" w:space="0" w:color="auto"/>
              <w:left w:val="single" w:sz="4" w:space="0" w:color="auto"/>
              <w:bottom w:val="single" w:sz="4" w:space="0" w:color="auto"/>
              <w:right w:val="single" w:sz="4" w:space="0" w:color="auto"/>
            </w:tcBorders>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ab/>
            </w:r>
            <w:r w:rsidRPr="00D55DC6">
              <w:rPr>
                <w:rFonts w:eastAsia="標楷體"/>
                <w:kern w:val="0"/>
                <w:sz w:val="22"/>
                <w:szCs w:val="22"/>
              </w:rPr>
              <w:t>荖濃遊憩系統：寶來不老溫泉區、竹林遊憩區、</w:t>
            </w:r>
            <w:r w:rsidRPr="00D55DC6">
              <w:rPr>
                <w:rFonts w:eastAsia="標楷體"/>
                <w:kern w:val="0"/>
                <w:sz w:val="22"/>
                <w:szCs w:val="22"/>
              </w:rPr>
              <w:t>18</w:t>
            </w:r>
            <w:r w:rsidRPr="00D55DC6">
              <w:rPr>
                <w:rFonts w:eastAsia="標楷體"/>
                <w:kern w:val="0"/>
                <w:sz w:val="22"/>
                <w:szCs w:val="22"/>
              </w:rPr>
              <w:t>羅漢山服務區。</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ab/>
            </w:r>
            <w:r w:rsidRPr="00D55DC6">
              <w:rPr>
                <w:rFonts w:eastAsia="標楷體"/>
                <w:kern w:val="0"/>
                <w:sz w:val="22"/>
                <w:szCs w:val="22"/>
              </w:rPr>
              <w:t>屏北遊憩系統：霧台谷川神山及岩板部落、舊筏灣部落、瑪家自行車道、沿山綠色旅遊廊道、南管理站、三地門工藝特色街坊及自行車道。</w:t>
            </w:r>
          </w:p>
        </w:tc>
        <w:tc>
          <w:tcPr>
            <w:tcW w:w="2552" w:type="dxa"/>
            <w:tcBorders>
              <w:top w:val="single" w:sz="4" w:space="0" w:color="auto"/>
              <w:left w:val="single" w:sz="4" w:space="0" w:color="auto"/>
              <w:bottom w:val="single" w:sz="4" w:space="0" w:color="auto"/>
              <w:right w:val="single" w:sz="4" w:space="0" w:color="auto"/>
            </w:tcBorders>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經常門</w:t>
            </w:r>
            <w:r w:rsidRPr="00D55DC6">
              <w:rPr>
                <w:rFonts w:eastAsia="標楷體"/>
                <w:kern w:val="0"/>
                <w:sz w:val="22"/>
                <w:szCs w:val="22"/>
              </w:rPr>
              <w:t>-</w:t>
            </w:r>
            <w:r w:rsidRPr="00D55DC6">
              <w:rPr>
                <w:rFonts w:eastAsia="標楷體"/>
                <w:kern w:val="0"/>
                <w:sz w:val="22"/>
                <w:szCs w:val="22"/>
              </w:rPr>
              <w:t>綠美化養護及設施零星修護。</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土地取得。</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3.</w:t>
            </w:r>
            <w:r w:rsidRPr="00D55DC6">
              <w:rPr>
                <w:rFonts w:eastAsia="標楷體"/>
                <w:kern w:val="0"/>
                <w:sz w:val="22"/>
                <w:szCs w:val="22"/>
              </w:rPr>
              <w:t>先期規劃設計。</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4.</w:t>
            </w:r>
            <w:r w:rsidRPr="00D55DC6">
              <w:rPr>
                <w:rFonts w:eastAsia="標楷體"/>
                <w:kern w:val="0"/>
                <w:sz w:val="22"/>
                <w:szCs w:val="22"/>
              </w:rPr>
              <w:t>環境及設施整修。</w:t>
            </w:r>
          </w:p>
        </w:tc>
      </w:tr>
      <w:tr w:rsidR="001D0350" w:rsidRPr="00D55DC6" w:rsidTr="008672BF">
        <w:trPr>
          <w:trHeight w:val="345"/>
        </w:trPr>
        <w:tc>
          <w:tcPr>
            <w:tcW w:w="733" w:type="dxa"/>
          </w:tcPr>
          <w:p w:rsidR="008672BF" w:rsidRPr="00D55DC6" w:rsidRDefault="008672BF" w:rsidP="0038165F">
            <w:pPr>
              <w:widowControl/>
              <w:spacing w:line="0" w:lineRule="atLeast"/>
              <w:rPr>
                <w:rFonts w:eastAsia="標楷體"/>
                <w:bCs/>
                <w:kern w:val="0"/>
                <w:sz w:val="22"/>
                <w:szCs w:val="22"/>
              </w:rPr>
            </w:pPr>
            <w:r w:rsidRPr="00D55DC6">
              <w:rPr>
                <w:sz w:val="22"/>
                <w:szCs w:val="22"/>
              </w:rPr>
              <w:br w:type="page"/>
            </w:r>
            <w:r w:rsidRPr="00D55DC6">
              <w:rPr>
                <w:rFonts w:eastAsia="標楷體"/>
                <w:bCs/>
                <w:kern w:val="0"/>
                <w:sz w:val="22"/>
                <w:szCs w:val="22"/>
              </w:rPr>
              <w:t>大鵬灣國家風景區建設計畫</w:t>
            </w:r>
          </w:p>
        </w:tc>
        <w:tc>
          <w:tcPr>
            <w:tcW w:w="981" w:type="dxa"/>
            <w:noWrap/>
          </w:tcPr>
          <w:p w:rsidR="008672BF" w:rsidRPr="00D55DC6" w:rsidRDefault="008672BF" w:rsidP="0038165F">
            <w:pPr>
              <w:widowControl/>
              <w:spacing w:line="0" w:lineRule="atLeast"/>
              <w:rPr>
                <w:rFonts w:eastAsia="標楷體"/>
                <w:kern w:val="0"/>
                <w:sz w:val="22"/>
                <w:szCs w:val="22"/>
              </w:rPr>
            </w:pPr>
            <w:r w:rsidRPr="00D55DC6">
              <w:rPr>
                <w:rFonts w:eastAsia="標楷體"/>
                <w:kern w:val="0"/>
                <w:sz w:val="22"/>
                <w:szCs w:val="22"/>
              </w:rPr>
              <w:t>大鵬灣管理處</w:t>
            </w:r>
          </w:p>
        </w:tc>
        <w:tc>
          <w:tcPr>
            <w:tcW w:w="2693" w:type="dxa"/>
            <w:noWrap/>
          </w:tcPr>
          <w:p w:rsidR="008672BF" w:rsidRPr="00D55DC6" w:rsidRDefault="008672BF" w:rsidP="0038165F">
            <w:pPr>
              <w:widowControl/>
              <w:spacing w:line="0" w:lineRule="atLeast"/>
              <w:jc w:val="both"/>
              <w:rPr>
                <w:rFonts w:eastAsia="標楷體"/>
                <w:kern w:val="0"/>
                <w:sz w:val="22"/>
                <w:szCs w:val="22"/>
              </w:rPr>
            </w:pPr>
            <w:r w:rsidRPr="00D55DC6">
              <w:rPr>
                <w:rFonts w:eastAsia="標楷體"/>
                <w:kern w:val="0"/>
                <w:sz w:val="22"/>
                <w:szCs w:val="22"/>
              </w:rPr>
              <w:t>大鵬灣風景特定區：辦理濱灣公園遊憩區景觀改善、潮口及航道疏濬、青洲濱海遊憩區設施改善、環灣綠帶及周邊景觀改善、濕地公園服務設施、潮口護岸及遊憩服務設施等</w:t>
            </w:r>
          </w:p>
        </w:tc>
        <w:tc>
          <w:tcPr>
            <w:tcW w:w="2693" w:type="dxa"/>
            <w:noWrap/>
          </w:tcPr>
          <w:p w:rsidR="008672BF" w:rsidRPr="00D55DC6" w:rsidRDefault="008672BF" w:rsidP="0038165F">
            <w:pPr>
              <w:widowControl/>
              <w:spacing w:line="0" w:lineRule="atLeast"/>
              <w:jc w:val="both"/>
              <w:rPr>
                <w:rFonts w:eastAsia="標楷體"/>
                <w:kern w:val="0"/>
                <w:sz w:val="22"/>
                <w:szCs w:val="22"/>
              </w:rPr>
            </w:pPr>
            <w:r w:rsidRPr="00D55DC6">
              <w:rPr>
                <w:rFonts w:eastAsia="標楷體"/>
                <w:kern w:val="0"/>
                <w:sz w:val="22"/>
                <w:szCs w:val="22"/>
              </w:rPr>
              <w:t>琉球風景特定區：營造珊瑚生態學習島，改善交通及遊憩景觀。</w:t>
            </w:r>
          </w:p>
        </w:tc>
        <w:tc>
          <w:tcPr>
            <w:tcW w:w="2552"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經常門</w:t>
            </w:r>
            <w:r w:rsidRPr="00D55DC6">
              <w:rPr>
                <w:rFonts w:eastAsia="標楷體"/>
                <w:kern w:val="0"/>
                <w:sz w:val="22"/>
                <w:szCs w:val="22"/>
              </w:rPr>
              <w:t>-</w:t>
            </w:r>
            <w:r w:rsidRPr="00D55DC6">
              <w:rPr>
                <w:rFonts w:eastAsia="標楷體"/>
                <w:kern w:val="0"/>
                <w:sz w:val="22"/>
                <w:szCs w:val="22"/>
              </w:rPr>
              <w:t>綠美化養護及設施零星修護。</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土地取得。</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3.</w:t>
            </w:r>
            <w:r w:rsidRPr="00D55DC6">
              <w:rPr>
                <w:rFonts w:eastAsia="標楷體"/>
                <w:kern w:val="0"/>
                <w:sz w:val="22"/>
                <w:szCs w:val="22"/>
              </w:rPr>
              <w:t>先期規劃設計。</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4.</w:t>
            </w:r>
            <w:r w:rsidRPr="00D55DC6">
              <w:rPr>
                <w:rFonts w:eastAsia="標楷體"/>
                <w:kern w:val="0"/>
                <w:sz w:val="22"/>
                <w:szCs w:val="22"/>
              </w:rPr>
              <w:t>環境及設施整修。</w:t>
            </w:r>
          </w:p>
        </w:tc>
      </w:tr>
      <w:tr w:rsidR="001D0350" w:rsidRPr="00D55DC6" w:rsidTr="008672BF">
        <w:trPr>
          <w:trHeight w:val="345"/>
        </w:trPr>
        <w:tc>
          <w:tcPr>
            <w:tcW w:w="733" w:type="dxa"/>
          </w:tcPr>
          <w:p w:rsidR="008672BF" w:rsidRPr="00D55DC6" w:rsidRDefault="008672BF" w:rsidP="0038165F">
            <w:pPr>
              <w:widowControl/>
              <w:spacing w:line="0" w:lineRule="atLeast"/>
              <w:rPr>
                <w:rFonts w:eastAsia="標楷體"/>
                <w:bCs/>
                <w:kern w:val="0"/>
                <w:sz w:val="22"/>
                <w:szCs w:val="22"/>
              </w:rPr>
            </w:pPr>
            <w:r w:rsidRPr="00D55DC6">
              <w:rPr>
                <w:sz w:val="22"/>
                <w:szCs w:val="22"/>
              </w:rPr>
              <w:br w:type="page"/>
            </w:r>
            <w:r w:rsidRPr="00D55DC6">
              <w:rPr>
                <w:rFonts w:eastAsia="標楷體"/>
                <w:kern w:val="0"/>
                <w:sz w:val="22"/>
                <w:szCs w:val="22"/>
              </w:rPr>
              <w:t>東部海岸</w:t>
            </w:r>
            <w:r w:rsidRPr="00D55DC6">
              <w:rPr>
                <w:rFonts w:eastAsia="標楷體"/>
                <w:bCs/>
                <w:kern w:val="0"/>
                <w:sz w:val="22"/>
                <w:szCs w:val="22"/>
              </w:rPr>
              <w:t>國家風景區建設計畫</w:t>
            </w:r>
          </w:p>
        </w:tc>
        <w:tc>
          <w:tcPr>
            <w:tcW w:w="981" w:type="dxa"/>
            <w:noWrap/>
          </w:tcPr>
          <w:p w:rsidR="008672BF" w:rsidRPr="00D55DC6" w:rsidRDefault="008672BF" w:rsidP="0038165F">
            <w:pPr>
              <w:widowControl/>
              <w:spacing w:line="0" w:lineRule="atLeast"/>
              <w:rPr>
                <w:rFonts w:eastAsia="標楷體"/>
                <w:kern w:val="0"/>
                <w:sz w:val="22"/>
                <w:szCs w:val="22"/>
              </w:rPr>
            </w:pPr>
            <w:r w:rsidRPr="00D55DC6">
              <w:rPr>
                <w:rFonts w:eastAsia="標楷體"/>
                <w:kern w:val="0"/>
                <w:sz w:val="22"/>
                <w:szCs w:val="22"/>
              </w:rPr>
              <w:t>東部海岸管理處</w:t>
            </w:r>
          </w:p>
        </w:tc>
        <w:tc>
          <w:tcPr>
            <w:tcW w:w="2693" w:type="dxa"/>
            <w:noWrap/>
          </w:tcPr>
          <w:p w:rsidR="008672BF" w:rsidRPr="00D55DC6" w:rsidRDefault="008672BF" w:rsidP="0038165F">
            <w:pPr>
              <w:widowControl/>
              <w:spacing w:line="0" w:lineRule="atLeast"/>
              <w:jc w:val="both"/>
              <w:rPr>
                <w:rFonts w:eastAsia="標楷體"/>
                <w:kern w:val="0"/>
                <w:sz w:val="22"/>
                <w:szCs w:val="22"/>
              </w:rPr>
            </w:pPr>
            <w:r w:rsidRPr="00D55DC6">
              <w:rPr>
                <w:rFonts w:eastAsia="標楷體"/>
                <w:kern w:val="0"/>
                <w:sz w:val="22"/>
                <w:szCs w:val="22"/>
              </w:rPr>
              <w:t>綠島系統、小野柳</w:t>
            </w:r>
            <w:r w:rsidRPr="00D55DC6">
              <w:rPr>
                <w:rFonts w:eastAsia="標楷體"/>
                <w:kern w:val="0"/>
                <w:sz w:val="22"/>
                <w:szCs w:val="22"/>
              </w:rPr>
              <w:t>/</w:t>
            </w:r>
            <w:r w:rsidRPr="00D55DC6">
              <w:rPr>
                <w:rFonts w:eastAsia="標楷體"/>
                <w:kern w:val="0"/>
                <w:sz w:val="22"/>
                <w:szCs w:val="22"/>
              </w:rPr>
              <w:t>都蘭系統、成功</w:t>
            </w:r>
            <w:r w:rsidRPr="00D55DC6">
              <w:rPr>
                <w:rFonts w:eastAsia="標楷體"/>
                <w:kern w:val="0"/>
                <w:sz w:val="22"/>
                <w:szCs w:val="22"/>
              </w:rPr>
              <w:t>/</w:t>
            </w:r>
            <w:r w:rsidRPr="00D55DC6">
              <w:rPr>
                <w:rFonts w:eastAsia="標楷體"/>
                <w:kern w:val="0"/>
                <w:sz w:val="22"/>
                <w:szCs w:val="22"/>
              </w:rPr>
              <w:t>三仙臺及石梯</w:t>
            </w:r>
            <w:r w:rsidRPr="00D55DC6">
              <w:rPr>
                <w:rFonts w:eastAsia="標楷體"/>
                <w:kern w:val="0"/>
                <w:sz w:val="22"/>
                <w:szCs w:val="22"/>
              </w:rPr>
              <w:t>/</w:t>
            </w:r>
            <w:r w:rsidRPr="00D55DC6">
              <w:rPr>
                <w:rFonts w:eastAsia="標楷體"/>
                <w:kern w:val="0"/>
                <w:sz w:val="22"/>
                <w:szCs w:val="22"/>
              </w:rPr>
              <w:t>秀姑巒系統系統公共設施及</w:t>
            </w:r>
            <w:r w:rsidR="00397CE7" w:rsidRPr="00D55DC6">
              <w:rPr>
                <w:rFonts w:eastAsia="標楷體"/>
                <w:kern w:val="0"/>
                <w:sz w:val="22"/>
                <w:szCs w:val="22"/>
              </w:rPr>
              <w:t>周邊</w:t>
            </w:r>
            <w:r w:rsidRPr="00D55DC6">
              <w:rPr>
                <w:rFonts w:eastAsia="標楷體"/>
                <w:kern w:val="0"/>
                <w:sz w:val="22"/>
                <w:szCs w:val="22"/>
              </w:rPr>
              <w:t>景觀改善</w:t>
            </w:r>
          </w:p>
        </w:tc>
        <w:tc>
          <w:tcPr>
            <w:tcW w:w="2693" w:type="dxa"/>
            <w:noWrap/>
          </w:tcPr>
          <w:p w:rsidR="008672BF" w:rsidRPr="00D55DC6" w:rsidRDefault="008672BF" w:rsidP="0038165F">
            <w:pPr>
              <w:widowControl/>
              <w:spacing w:line="0" w:lineRule="atLeast"/>
              <w:jc w:val="both"/>
              <w:rPr>
                <w:rFonts w:eastAsia="標楷體"/>
                <w:kern w:val="0"/>
                <w:sz w:val="22"/>
                <w:szCs w:val="22"/>
              </w:rPr>
            </w:pPr>
            <w:r w:rsidRPr="00D55DC6">
              <w:rPr>
                <w:rFonts w:eastAsia="標楷體"/>
                <w:kern w:val="0"/>
                <w:sz w:val="22"/>
                <w:szCs w:val="22"/>
              </w:rPr>
              <w:t>磯崎</w:t>
            </w:r>
            <w:r w:rsidRPr="00D55DC6">
              <w:rPr>
                <w:rFonts w:eastAsia="標楷體"/>
                <w:kern w:val="0"/>
                <w:sz w:val="22"/>
                <w:szCs w:val="22"/>
              </w:rPr>
              <w:t>/</w:t>
            </w:r>
            <w:r w:rsidRPr="00D55DC6">
              <w:rPr>
                <w:rFonts w:eastAsia="標楷體"/>
                <w:kern w:val="0"/>
                <w:sz w:val="22"/>
                <w:szCs w:val="22"/>
              </w:rPr>
              <w:t>鹽寮系統公共設施及</w:t>
            </w:r>
            <w:r w:rsidR="00397CE7" w:rsidRPr="00D55DC6">
              <w:rPr>
                <w:rFonts w:eastAsia="標楷體"/>
                <w:kern w:val="0"/>
                <w:sz w:val="22"/>
                <w:szCs w:val="22"/>
              </w:rPr>
              <w:t>周邊</w:t>
            </w:r>
            <w:r w:rsidRPr="00D55DC6">
              <w:rPr>
                <w:rFonts w:eastAsia="標楷體"/>
                <w:kern w:val="0"/>
                <w:sz w:val="22"/>
                <w:szCs w:val="22"/>
              </w:rPr>
              <w:t>景觀改善</w:t>
            </w:r>
          </w:p>
        </w:tc>
        <w:tc>
          <w:tcPr>
            <w:tcW w:w="2552"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經常門</w:t>
            </w:r>
            <w:r w:rsidRPr="00D55DC6">
              <w:rPr>
                <w:rFonts w:eastAsia="標楷體"/>
                <w:kern w:val="0"/>
                <w:sz w:val="22"/>
                <w:szCs w:val="22"/>
              </w:rPr>
              <w:t>-</w:t>
            </w:r>
            <w:r w:rsidRPr="00D55DC6">
              <w:rPr>
                <w:rFonts w:eastAsia="標楷體"/>
                <w:kern w:val="0"/>
                <w:sz w:val="22"/>
                <w:szCs w:val="22"/>
              </w:rPr>
              <w:t>綠美化養護及設施零星修護</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土地取得</w:t>
            </w:r>
            <w:r w:rsidRPr="00D55DC6">
              <w:rPr>
                <w:rFonts w:eastAsia="標楷體"/>
                <w:kern w:val="0"/>
                <w:sz w:val="22"/>
                <w:szCs w:val="22"/>
              </w:rPr>
              <w:t xml:space="preserve"> </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3.</w:t>
            </w:r>
            <w:r w:rsidRPr="00D55DC6">
              <w:rPr>
                <w:rFonts w:eastAsia="標楷體"/>
                <w:kern w:val="0"/>
                <w:sz w:val="22"/>
                <w:szCs w:val="22"/>
              </w:rPr>
              <w:t>先期規劃設計</w:t>
            </w:r>
            <w:r w:rsidRPr="00D55DC6">
              <w:rPr>
                <w:rFonts w:eastAsia="標楷體"/>
                <w:kern w:val="0"/>
                <w:sz w:val="22"/>
                <w:szCs w:val="22"/>
              </w:rPr>
              <w:t xml:space="preserve"> </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4.</w:t>
            </w:r>
            <w:r w:rsidRPr="00D55DC6">
              <w:rPr>
                <w:rFonts w:eastAsia="標楷體"/>
                <w:kern w:val="0"/>
                <w:sz w:val="22"/>
                <w:szCs w:val="22"/>
              </w:rPr>
              <w:t>環境及設施整修</w:t>
            </w:r>
          </w:p>
        </w:tc>
      </w:tr>
      <w:tr w:rsidR="001D0350" w:rsidRPr="00D55DC6" w:rsidTr="008672BF">
        <w:trPr>
          <w:trHeight w:val="345"/>
        </w:trPr>
        <w:tc>
          <w:tcPr>
            <w:tcW w:w="733" w:type="dxa"/>
          </w:tcPr>
          <w:p w:rsidR="008672BF" w:rsidRPr="00D55DC6" w:rsidRDefault="008672BF" w:rsidP="0038165F">
            <w:pPr>
              <w:widowControl/>
              <w:spacing w:line="0" w:lineRule="atLeast"/>
              <w:rPr>
                <w:rFonts w:eastAsia="標楷體"/>
                <w:bCs/>
                <w:kern w:val="0"/>
                <w:sz w:val="22"/>
                <w:szCs w:val="22"/>
              </w:rPr>
            </w:pPr>
            <w:r w:rsidRPr="00D55DC6">
              <w:rPr>
                <w:sz w:val="22"/>
                <w:szCs w:val="22"/>
              </w:rPr>
              <w:br w:type="page"/>
            </w:r>
            <w:r w:rsidRPr="00D55DC6">
              <w:rPr>
                <w:rFonts w:eastAsia="標楷體"/>
                <w:kern w:val="0"/>
                <w:sz w:val="22"/>
                <w:szCs w:val="22"/>
              </w:rPr>
              <w:t>花東縱谷</w:t>
            </w:r>
            <w:r w:rsidRPr="00D55DC6">
              <w:rPr>
                <w:rFonts w:eastAsia="標楷體"/>
                <w:bCs/>
                <w:kern w:val="0"/>
                <w:sz w:val="22"/>
                <w:szCs w:val="22"/>
              </w:rPr>
              <w:t>國家風景區建設計畫</w:t>
            </w:r>
          </w:p>
        </w:tc>
        <w:tc>
          <w:tcPr>
            <w:tcW w:w="981" w:type="dxa"/>
            <w:noWrap/>
          </w:tcPr>
          <w:p w:rsidR="008672BF" w:rsidRPr="00D55DC6" w:rsidRDefault="008672BF" w:rsidP="0038165F">
            <w:pPr>
              <w:widowControl/>
              <w:spacing w:line="0" w:lineRule="atLeast"/>
              <w:rPr>
                <w:rFonts w:eastAsia="標楷體"/>
                <w:kern w:val="0"/>
                <w:sz w:val="22"/>
                <w:szCs w:val="22"/>
              </w:rPr>
            </w:pPr>
            <w:r w:rsidRPr="00D55DC6">
              <w:rPr>
                <w:rFonts w:eastAsia="標楷體"/>
                <w:kern w:val="0"/>
                <w:sz w:val="22"/>
                <w:szCs w:val="22"/>
              </w:rPr>
              <w:t>花東縱谷管理處</w:t>
            </w:r>
          </w:p>
        </w:tc>
        <w:tc>
          <w:tcPr>
            <w:tcW w:w="2693" w:type="dxa"/>
            <w:noWrap/>
          </w:tcPr>
          <w:p w:rsidR="008672BF" w:rsidRPr="00D55DC6" w:rsidRDefault="008672BF" w:rsidP="0038165F">
            <w:pPr>
              <w:widowControl/>
              <w:spacing w:line="0" w:lineRule="atLeast"/>
              <w:jc w:val="both"/>
              <w:rPr>
                <w:rFonts w:eastAsia="標楷體"/>
                <w:kern w:val="0"/>
                <w:sz w:val="22"/>
                <w:szCs w:val="22"/>
              </w:rPr>
            </w:pPr>
            <w:r w:rsidRPr="00D55DC6">
              <w:rPr>
                <w:rFonts w:eastAsia="標楷體"/>
                <w:kern w:val="0"/>
                <w:sz w:val="22"/>
                <w:szCs w:val="22"/>
              </w:rPr>
              <w:t>鯉魚潭風景區：全區無障碍、環境自行車、管理站暨遊客中心新建等。</w:t>
            </w:r>
          </w:p>
          <w:p w:rsidR="008672BF" w:rsidRPr="00D55DC6" w:rsidRDefault="008672BF" w:rsidP="0038165F">
            <w:pPr>
              <w:widowControl/>
              <w:spacing w:line="0" w:lineRule="atLeast"/>
              <w:jc w:val="both"/>
              <w:rPr>
                <w:rFonts w:eastAsia="標楷體"/>
                <w:kern w:val="0"/>
                <w:sz w:val="22"/>
                <w:szCs w:val="22"/>
              </w:rPr>
            </w:pPr>
            <w:r w:rsidRPr="00D55DC6">
              <w:rPr>
                <w:rFonts w:eastAsia="標楷體"/>
                <w:kern w:val="0"/>
                <w:sz w:val="22"/>
                <w:szCs w:val="22"/>
              </w:rPr>
              <w:t>鹿野龍田地區：自行車暨公共服務設施改善、遊客中心暨空域設施改善、飛行觀光暨周邊據點改善等。</w:t>
            </w:r>
          </w:p>
        </w:tc>
        <w:tc>
          <w:tcPr>
            <w:tcW w:w="2693"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花東景觀廊道及綠美化。</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原住民族地區觀光發展場域規劃建置。</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3.</w:t>
            </w:r>
            <w:r w:rsidRPr="00D55DC6">
              <w:rPr>
                <w:rFonts w:eastAsia="標楷體"/>
                <w:kern w:val="0"/>
                <w:sz w:val="22"/>
                <w:szCs w:val="22"/>
              </w:rPr>
              <w:t>友善自行車旅遊環境。</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4.</w:t>
            </w:r>
            <w:r w:rsidRPr="00D55DC6">
              <w:rPr>
                <w:rFonts w:eastAsia="標楷體"/>
                <w:kern w:val="0"/>
                <w:sz w:val="22"/>
                <w:szCs w:val="22"/>
              </w:rPr>
              <w:t>遊憩據點公共設施及環境改善。</w:t>
            </w:r>
          </w:p>
        </w:tc>
        <w:tc>
          <w:tcPr>
            <w:tcW w:w="2552"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經常門</w:t>
            </w:r>
            <w:r w:rsidRPr="00D55DC6">
              <w:rPr>
                <w:rFonts w:eastAsia="標楷體"/>
                <w:kern w:val="0"/>
                <w:sz w:val="22"/>
                <w:szCs w:val="22"/>
              </w:rPr>
              <w:t>-</w:t>
            </w:r>
            <w:r w:rsidRPr="00D55DC6">
              <w:rPr>
                <w:rFonts w:eastAsia="標楷體"/>
                <w:kern w:val="0"/>
                <w:sz w:val="22"/>
                <w:szCs w:val="22"/>
              </w:rPr>
              <w:t>綠美化養護及設施零星修護。</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土地取得。</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3.</w:t>
            </w:r>
            <w:r w:rsidRPr="00D55DC6">
              <w:rPr>
                <w:rFonts w:eastAsia="標楷體"/>
                <w:kern w:val="0"/>
                <w:sz w:val="22"/>
                <w:szCs w:val="22"/>
              </w:rPr>
              <w:t>先期規劃設計。</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4.</w:t>
            </w:r>
            <w:r w:rsidRPr="00D55DC6">
              <w:rPr>
                <w:rFonts w:eastAsia="標楷體"/>
                <w:kern w:val="0"/>
                <w:sz w:val="22"/>
                <w:szCs w:val="22"/>
              </w:rPr>
              <w:t>環境及設施整修。</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5.</w:t>
            </w:r>
            <w:r w:rsidRPr="00D55DC6">
              <w:rPr>
                <w:rFonts w:eastAsia="標楷體"/>
                <w:kern w:val="0"/>
                <w:sz w:val="22"/>
                <w:szCs w:val="22"/>
              </w:rPr>
              <w:t>全區災害復舊及一般零星工程。</w:t>
            </w:r>
          </w:p>
        </w:tc>
      </w:tr>
      <w:tr w:rsidR="001D0350" w:rsidRPr="00D55DC6" w:rsidTr="008672BF">
        <w:trPr>
          <w:trHeight w:val="345"/>
        </w:trPr>
        <w:tc>
          <w:tcPr>
            <w:tcW w:w="733" w:type="dxa"/>
          </w:tcPr>
          <w:p w:rsidR="008672BF" w:rsidRPr="00D55DC6" w:rsidRDefault="008672BF" w:rsidP="0038165F">
            <w:pPr>
              <w:widowControl/>
              <w:spacing w:line="0" w:lineRule="atLeast"/>
              <w:rPr>
                <w:rFonts w:eastAsia="標楷體"/>
                <w:bCs/>
                <w:kern w:val="0"/>
                <w:sz w:val="22"/>
                <w:szCs w:val="22"/>
              </w:rPr>
            </w:pPr>
            <w:r w:rsidRPr="00D55DC6">
              <w:br w:type="page"/>
            </w:r>
            <w:r w:rsidRPr="00D55DC6">
              <w:rPr>
                <w:rFonts w:eastAsia="標楷體"/>
                <w:bCs/>
                <w:kern w:val="0"/>
                <w:sz w:val="22"/>
                <w:szCs w:val="22"/>
              </w:rPr>
              <w:t>澎湖國家風景區建設計畫</w:t>
            </w:r>
          </w:p>
        </w:tc>
        <w:tc>
          <w:tcPr>
            <w:tcW w:w="981" w:type="dxa"/>
            <w:noWrap/>
          </w:tcPr>
          <w:p w:rsidR="008672BF" w:rsidRPr="00D55DC6" w:rsidRDefault="008672BF" w:rsidP="0038165F">
            <w:pPr>
              <w:widowControl/>
              <w:spacing w:line="0" w:lineRule="atLeast"/>
              <w:rPr>
                <w:rFonts w:eastAsia="標楷體"/>
                <w:kern w:val="0"/>
                <w:sz w:val="22"/>
                <w:szCs w:val="22"/>
              </w:rPr>
            </w:pPr>
            <w:r w:rsidRPr="00D55DC6">
              <w:rPr>
                <w:rFonts w:eastAsia="標楷體"/>
                <w:kern w:val="0"/>
                <w:sz w:val="22"/>
                <w:szCs w:val="22"/>
              </w:rPr>
              <w:t>澎湖管理處</w:t>
            </w:r>
          </w:p>
        </w:tc>
        <w:tc>
          <w:tcPr>
            <w:tcW w:w="2693"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馬公本島系統：馬公觀光都市</w:t>
            </w:r>
            <w:r w:rsidRPr="00D55DC6">
              <w:rPr>
                <w:rFonts w:eastAsia="標楷體"/>
                <w:kern w:val="0"/>
                <w:sz w:val="22"/>
                <w:szCs w:val="22"/>
              </w:rPr>
              <w:t>(</w:t>
            </w:r>
            <w:r w:rsidRPr="00D55DC6">
              <w:rPr>
                <w:rFonts w:eastAsia="標楷體"/>
                <w:kern w:val="0"/>
                <w:sz w:val="22"/>
                <w:szCs w:val="22"/>
              </w:rPr>
              <w:t>澎湖遊客中心設施改善工程、澎湖遊客中心內裝改善工程</w:t>
            </w:r>
            <w:r w:rsidRPr="00D55DC6">
              <w:rPr>
                <w:rFonts w:eastAsia="標楷體"/>
                <w:kern w:val="0"/>
                <w:sz w:val="22"/>
                <w:szCs w:val="22"/>
              </w:rPr>
              <w:t>)</w:t>
            </w:r>
            <w:r w:rsidRPr="00D55DC6">
              <w:rPr>
                <w:rFonts w:eastAsia="標楷體"/>
                <w:kern w:val="0"/>
                <w:sz w:val="22"/>
                <w:szCs w:val="22"/>
              </w:rPr>
              <w:t>、湖西次系統</w:t>
            </w:r>
            <w:r w:rsidRPr="00D55DC6">
              <w:rPr>
                <w:rFonts w:eastAsia="標楷體"/>
                <w:kern w:val="0"/>
                <w:sz w:val="22"/>
                <w:szCs w:val="22"/>
              </w:rPr>
              <w:t>(</w:t>
            </w:r>
            <w:r w:rsidRPr="00D55DC6">
              <w:rPr>
                <w:rFonts w:eastAsia="標楷體"/>
                <w:kern w:val="0"/>
                <w:sz w:val="22"/>
                <w:szCs w:val="22"/>
              </w:rPr>
              <w:t>隘門遊憩區沙灘聯外道路興建工程</w:t>
            </w:r>
            <w:r w:rsidRPr="00D55DC6">
              <w:rPr>
                <w:rFonts w:eastAsia="標楷體"/>
                <w:kern w:val="0"/>
                <w:sz w:val="22"/>
                <w:szCs w:val="22"/>
              </w:rPr>
              <w:t>)</w:t>
            </w:r>
            <w:r w:rsidRPr="00D55DC6">
              <w:rPr>
                <w:rFonts w:eastAsia="標楷體"/>
                <w:kern w:val="0"/>
                <w:sz w:val="22"/>
                <w:szCs w:val="22"/>
              </w:rPr>
              <w:t>、白沙次系統</w:t>
            </w:r>
            <w:r w:rsidRPr="00D55DC6">
              <w:rPr>
                <w:rFonts w:eastAsia="標楷體"/>
                <w:kern w:val="0"/>
                <w:sz w:val="22"/>
                <w:szCs w:val="22"/>
              </w:rPr>
              <w:t>(</w:t>
            </w:r>
            <w:r w:rsidRPr="00D55DC6">
              <w:rPr>
                <w:rFonts w:eastAsia="標楷體"/>
                <w:kern w:val="0"/>
                <w:sz w:val="22"/>
                <w:szCs w:val="22"/>
              </w:rPr>
              <w:t>通梁古榕遊憩設施及停車場改善工程、中屯風力園區服務設施改善工程</w:t>
            </w:r>
            <w:r w:rsidRPr="00D55DC6">
              <w:rPr>
                <w:rFonts w:eastAsia="標楷體"/>
                <w:kern w:val="0"/>
                <w:sz w:val="22"/>
                <w:szCs w:val="22"/>
              </w:rPr>
              <w:t>)</w:t>
            </w:r>
            <w:r w:rsidRPr="00D55DC6">
              <w:rPr>
                <w:rFonts w:eastAsia="標楷體"/>
                <w:kern w:val="0"/>
                <w:sz w:val="22"/>
                <w:szCs w:val="22"/>
              </w:rPr>
              <w:t>、西嶼次系統</w:t>
            </w:r>
            <w:r w:rsidRPr="00D55DC6">
              <w:rPr>
                <w:rFonts w:eastAsia="標楷體"/>
                <w:kern w:val="0"/>
                <w:sz w:val="22"/>
                <w:szCs w:val="22"/>
              </w:rPr>
              <w:t>(</w:t>
            </w:r>
            <w:r w:rsidRPr="00D55DC6">
              <w:rPr>
                <w:rFonts w:eastAsia="標楷體"/>
                <w:kern w:val="0"/>
                <w:sz w:val="22"/>
                <w:szCs w:val="22"/>
              </w:rPr>
              <w:t>二崁古厝行人徒步區改善工程</w:t>
            </w:r>
            <w:r w:rsidRPr="00D55DC6">
              <w:rPr>
                <w:rFonts w:eastAsia="標楷體"/>
                <w:kern w:val="0"/>
                <w:sz w:val="22"/>
                <w:szCs w:val="22"/>
              </w:rPr>
              <w:t>)</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北海系統：北海次系統</w:t>
            </w:r>
            <w:r w:rsidRPr="00D55DC6">
              <w:rPr>
                <w:rFonts w:eastAsia="標楷體"/>
                <w:kern w:val="0"/>
                <w:sz w:val="22"/>
                <w:szCs w:val="22"/>
              </w:rPr>
              <w:t>(</w:t>
            </w:r>
            <w:r w:rsidRPr="00D55DC6">
              <w:rPr>
                <w:rFonts w:eastAsia="標楷體"/>
                <w:kern w:val="0"/>
                <w:sz w:val="22"/>
                <w:szCs w:val="22"/>
              </w:rPr>
              <w:t>吉貝沙尾服務設施改善工程、吉貝遊憩區服務設施整建工程</w:t>
            </w:r>
            <w:r w:rsidRPr="00D55DC6">
              <w:rPr>
                <w:rFonts w:eastAsia="標楷體"/>
                <w:kern w:val="0"/>
                <w:sz w:val="22"/>
                <w:szCs w:val="22"/>
              </w:rPr>
              <w:t>)</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3.</w:t>
            </w:r>
            <w:r w:rsidRPr="00D55DC6">
              <w:rPr>
                <w:rFonts w:eastAsia="標楷體"/>
                <w:kern w:val="0"/>
                <w:sz w:val="22"/>
                <w:szCs w:val="22"/>
              </w:rPr>
              <w:t>南海系統：虎井桶盤次系統</w:t>
            </w:r>
            <w:r w:rsidRPr="00D55DC6">
              <w:rPr>
                <w:rFonts w:eastAsia="標楷體"/>
                <w:kern w:val="0"/>
                <w:sz w:val="22"/>
                <w:szCs w:val="22"/>
              </w:rPr>
              <w:t>(</w:t>
            </w:r>
            <w:r w:rsidRPr="00D55DC6">
              <w:rPr>
                <w:rFonts w:eastAsia="標楷體"/>
                <w:kern w:val="0"/>
                <w:sz w:val="22"/>
                <w:szCs w:val="22"/>
              </w:rPr>
              <w:t>虎井遊憩區環境及設施改善工程、桶盤嶼地質公園環境及設施改善工</w:t>
            </w:r>
            <w:r w:rsidRPr="00D55DC6">
              <w:rPr>
                <w:rFonts w:eastAsia="標楷體"/>
                <w:kern w:val="0"/>
                <w:sz w:val="22"/>
                <w:szCs w:val="22"/>
              </w:rPr>
              <w:lastRenderedPageBreak/>
              <w:t>程、桶盤嶼地質公園浮動碼頭及公廁改善工程</w:t>
            </w:r>
            <w:r w:rsidRPr="00D55DC6">
              <w:rPr>
                <w:rFonts w:eastAsia="標楷體"/>
                <w:kern w:val="0"/>
                <w:sz w:val="22"/>
                <w:szCs w:val="22"/>
              </w:rPr>
              <w:t>)</w:t>
            </w:r>
            <w:r w:rsidRPr="00D55DC6">
              <w:rPr>
                <w:rFonts w:eastAsia="標楷體"/>
                <w:kern w:val="0"/>
                <w:sz w:val="22"/>
                <w:szCs w:val="22"/>
              </w:rPr>
              <w:t>、望安次系統</w:t>
            </w:r>
            <w:r w:rsidRPr="00D55DC6">
              <w:rPr>
                <w:rFonts w:eastAsia="標楷體"/>
                <w:kern w:val="0"/>
                <w:sz w:val="22"/>
                <w:szCs w:val="22"/>
              </w:rPr>
              <w:t>(</w:t>
            </w:r>
            <w:r w:rsidRPr="00D55DC6">
              <w:rPr>
                <w:rFonts w:eastAsia="標楷體"/>
                <w:kern w:val="0"/>
                <w:sz w:val="22"/>
                <w:szCs w:val="22"/>
              </w:rPr>
              <w:t>望安綠蠵龜保育中心景觀改善工程</w:t>
            </w:r>
            <w:r w:rsidRPr="00D55DC6">
              <w:rPr>
                <w:rFonts w:eastAsia="標楷體"/>
                <w:kern w:val="0"/>
                <w:sz w:val="22"/>
                <w:szCs w:val="22"/>
              </w:rPr>
              <w:t>)</w:t>
            </w:r>
          </w:p>
        </w:tc>
        <w:tc>
          <w:tcPr>
            <w:tcW w:w="2693"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lastRenderedPageBreak/>
              <w:t>1.</w:t>
            </w:r>
            <w:r w:rsidRPr="00D55DC6">
              <w:rPr>
                <w:rFonts w:eastAsia="標楷體"/>
                <w:kern w:val="0"/>
                <w:sz w:val="22"/>
                <w:szCs w:val="22"/>
              </w:rPr>
              <w:t>馬公本島系統：馬公觀光都市</w:t>
            </w:r>
            <w:r w:rsidRPr="00D55DC6">
              <w:rPr>
                <w:rFonts w:eastAsia="標楷體"/>
                <w:kern w:val="0"/>
                <w:sz w:val="22"/>
                <w:szCs w:val="22"/>
              </w:rPr>
              <w:t>(</w:t>
            </w:r>
            <w:r w:rsidRPr="00D55DC6">
              <w:rPr>
                <w:rFonts w:eastAsia="標楷體"/>
                <w:kern w:val="0"/>
                <w:sz w:val="22"/>
                <w:szCs w:val="22"/>
              </w:rPr>
              <w:t>菜園休閒漁業區環境及設施改善工程</w:t>
            </w:r>
            <w:r w:rsidRPr="00D55DC6">
              <w:rPr>
                <w:rFonts w:eastAsia="標楷體"/>
                <w:kern w:val="0"/>
                <w:sz w:val="22"/>
                <w:szCs w:val="22"/>
              </w:rPr>
              <w:t>)</w:t>
            </w:r>
            <w:r w:rsidRPr="00D55DC6">
              <w:rPr>
                <w:rFonts w:eastAsia="標楷體"/>
                <w:kern w:val="0"/>
                <w:sz w:val="22"/>
                <w:szCs w:val="22"/>
              </w:rPr>
              <w:t>、澎南次系統</w:t>
            </w:r>
            <w:r w:rsidRPr="00D55DC6">
              <w:rPr>
                <w:rFonts w:eastAsia="標楷體"/>
                <w:kern w:val="0"/>
                <w:sz w:val="22"/>
                <w:szCs w:val="22"/>
              </w:rPr>
              <w:t>(</w:t>
            </w:r>
            <w:r w:rsidRPr="00D55DC6">
              <w:rPr>
                <w:rFonts w:eastAsia="標楷體"/>
                <w:kern w:val="0"/>
                <w:sz w:val="22"/>
                <w:szCs w:val="22"/>
              </w:rPr>
              <w:t>蛇頭山遊憩區設施改善工程</w:t>
            </w:r>
            <w:r w:rsidRPr="00D55DC6">
              <w:rPr>
                <w:rFonts w:eastAsia="標楷體"/>
                <w:kern w:val="0"/>
                <w:sz w:val="22"/>
                <w:szCs w:val="22"/>
              </w:rPr>
              <w:t>)</w:t>
            </w:r>
            <w:r w:rsidRPr="00D55DC6">
              <w:rPr>
                <w:rFonts w:eastAsia="標楷體"/>
                <w:kern w:val="0"/>
                <w:sz w:val="22"/>
                <w:szCs w:val="22"/>
              </w:rPr>
              <w:t>、湖西次系統</w:t>
            </w:r>
            <w:r w:rsidRPr="00D55DC6">
              <w:rPr>
                <w:rFonts w:eastAsia="標楷體"/>
                <w:kern w:val="0"/>
                <w:sz w:val="22"/>
                <w:szCs w:val="22"/>
              </w:rPr>
              <w:t>(</w:t>
            </w:r>
            <w:r w:rsidRPr="00D55DC6">
              <w:rPr>
                <w:rFonts w:eastAsia="標楷體"/>
                <w:kern w:val="0"/>
                <w:sz w:val="22"/>
                <w:szCs w:val="22"/>
              </w:rPr>
              <w:t>奎壁山地質公園環境及設施改善工程</w:t>
            </w:r>
            <w:r w:rsidRPr="00D55DC6">
              <w:rPr>
                <w:rFonts w:eastAsia="標楷體"/>
                <w:kern w:val="0"/>
                <w:sz w:val="22"/>
                <w:szCs w:val="22"/>
              </w:rPr>
              <w:t>)</w:t>
            </w:r>
            <w:r w:rsidRPr="00D55DC6">
              <w:rPr>
                <w:rFonts w:eastAsia="標楷體"/>
                <w:kern w:val="0"/>
                <w:sz w:val="22"/>
                <w:szCs w:val="22"/>
              </w:rPr>
              <w:t>、白沙次系統</w:t>
            </w:r>
            <w:r w:rsidRPr="00D55DC6">
              <w:rPr>
                <w:rFonts w:eastAsia="標楷體"/>
                <w:kern w:val="0"/>
                <w:sz w:val="22"/>
                <w:szCs w:val="22"/>
              </w:rPr>
              <w:t>(</w:t>
            </w:r>
            <w:r w:rsidRPr="00D55DC6">
              <w:rPr>
                <w:rFonts w:eastAsia="標楷體"/>
                <w:kern w:val="0"/>
                <w:sz w:val="22"/>
                <w:szCs w:val="22"/>
              </w:rPr>
              <w:t>岐頭遊客中心</w:t>
            </w:r>
            <w:r w:rsidR="00397CE7" w:rsidRPr="00D55DC6">
              <w:rPr>
                <w:rFonts w:eastAsia="標楷體"/>
                <w:kern w:val="0"/>
                <w:sz w:val="22"/>
                <w:szCs w:val="22"/>
              </w:rPr>
              <w:t>周邊</w:t>
            </w:r>
            <w:r w:rsidRPr="00D55DC6">
              <w:rPr>
                <w:rFonts w:eastAsia="標楷體"/>
                <w:kern w:val="0"/>
                <w:sz w:val="22"/>
                <w:szCs w:val="22"/>
              </w:rPr>
              <w:t>停車場設施改善工程</w:t>
            </w:r>
            <w:r w:rsidRPr="00D55DC6">
              <w:rPr>
                <w:rFonts w:eastAsia="標楷體"/>
                <w:kern w:val="0"/>
                <w:sz w:val="22"/>
                <w:szCs w:val="22"/>
              </w:rPr>
              <w:t>)</w:t>
            </w:r>
            <w:r w:rsidRPr="00D55DC6">
              <w:rPr>
                <w:rFonts w:eastAsia="標楷體"/>
                <w:kern w:val="0"/>
                <w:sz w:val="22"/>
                <w:szCs w:val="22"/>
              </w:rPr>
              <w:t>、西嶼次系統</w:t>
            </w:r>
            <w:r w:rsidRPr="00D55DC6">
              <w:rPr>
                <w:rFonts w:eastAsia="標楷體"/>
                <w:kern w:val="0"/>
                <w:sz w:val="22"/>
                <w:szCs w:val="22"/>
              </w:rPr>
              <w:t>(</w:t>
            </w:r>
            <w:r w:rsidRPr="00D55DC6">
              <w:rPr>
                <w:rFonts w:eastAsia="標楷體"/>
                <w:kern w:val="0"/>
                <w:sz w:val="22"/>
                <w:szCs w:val="22"/>
              </w:rPr>
              <w:t>小池水庫</w:t>
            </w:r>
            <w:r w:rsidR="00397CE7" w:rsidRPr="00D55DC6">
              <w:rPr>
                <w:rFonts w:eastAsia="標楷體"/>
                <w:kern w:val="0"/>
                <w:sz w:val="22"/>
                <w:szCs w:val="22"/>
              </w:rPr>
              <w:t>周邊</w:t>
            </w:r>
            <w:r w:rsidRPr="00D55DC6">
              <w:rPr>
                <w:rFonts w:eastAsia="標楷體"/>
                <w:kern w:val="0"/>
                <w:sz w:val="22"/>
                <w:szCs w:val="22"/>
              </w:rPr>
              <w:t>景觀改善工程、清涼彈藥庫聯外步道工程、王屋營區環境及設施改善工程、內垵沙灘遊憩及服務設施改善工程</w:t>
            </w:r>
            <w:r w:rsidRPr="00D55DC6">
              <w:rPr>
                <w:rFonts w:eastAsia="標楷體"/>
                <w:kern w:val="0"/>
                <w:sz w:val="22"/>
                <w:szCs w:val="22"/>
              </w:rPr>
              <w:t>)</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北海系統：北海次系統</w:t>
            </w:r>
            <w:r w:rsidRPr="00D55DC6">
              <w:rPr>
                <w:rFonts w:eastAsia="標楷體"/>
                <w:kern w:val="0"/>
                <w:sz w:val="22"/>
                <w:szCs w:val="22"/>
              </w:rPr>
              <w:t>(</w:t>
            </w:r>
            <w:r w:rsidRPr="00D55DC6">
              <w:rPr>
                <w:rFonts w:eastAsia="標楷體"/>
                <w:kern w:val="0"/>
                <w:sz w:val="22"/>
                <w:szCs w:val="22"/>
              </w:rPr>
              <w:t>北海遊客中心</w:t>
            </w:r>
            <w:r w:rsidR="00397CE7" w:rsidRPr="00D55DC6">
              <w:rPr>
                <w:rFonts w:eastAsia="標楷體"/>
                <w:kern w:val="0"/>
                <w:sz w:val="22"/>
                <w:szCs w:val="22"/>
              </w:rPr>
              <w:t>周邊</w:t>
            </w:r>
            <w:r w:rsidRPr="00D55DC6">
              <w:rPr>
                <w:rFonts w:eastAsia="標楷體"/>
                <w:kern w:val="0"/>
                <w:sz w:val="22"/>
                <w:szCs w:val="22"/>
              </w:rPr>
              <w:t>設施景觀改善工程</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3.</w:t>
            </w:r>
            <w:r w:rsidRPr="00D55DC6">
              <w:rPr>
                <w:rFonts w:eastAsia="標楷體"/>
                <w:kern w:val="0"/>
                <w:sz w:val="22"/>
                <w:szCs w:val="22"/>
              </w:rPr>
              <w:t>南海系統：望安次系統</w:t>
            </w:r>
            <w:r w:rsidRPr="00D55DC6">
              <w:rPr>
                <w:rFonts w:eastAsia="標楷體"/>
                <w:kern w:val="0"/>
                <w:sz w:val="22"/>
                <w:szCs w:val="22"/>
              </w:rPr>
              <w:t>(</w:t>
            </w:r>
            <w:r w:rsidRPr="00D55DC6">
              <w:rPr>
                <w:rFonts w:eastAsia="標楷體"/>
                <w:kern w:val="0"/>
                <w:sz w:val="22"/>
                <w:szCs w:val="22"/>
              </w:rPr>
              <w:t>望</w:t>
            </w:r>
            <w:r w:rsidRPr="00D55DC6">
              <w:rPr>
                <w:rFonts w:eastAsia="標楷體"/>
                <w:kern w:val="0"/>
                <w:sz w:val="22"/>
                <w:szCs w:val="22"/>
              </w:rPr>
              <w:lastRenderedPageBreak/>
              <w:t>安鴛鴦窟環境及設施改善、望安中社停車場及公廁整建工程</w:t>
            </w:r>
            <w:r w:rsidRPr="00D55DC6">
              <w:rPr>
                <w:rFonts w:eastAsia="標楷體"/>
                <w:kern w:val="0"/>
                <w:sz w:val="22"/>
                <w:szCs w:val="22"/>
              </w:rPr>
              <w:t>)</w:t>
            </w:r>
            <w:r w:rsidRPr="00D55DC6">
              <w:rPr>
                <w:rFonts w:eastAsia="標楷體"/>
                <w:kern w:val="0"/>
                <w:sz w:val="22"/>
                <w:szCs w:val="22"/>
              </w:rPr>
              <w:t>、七美次系統</w:t>
            </w:r>
            <w:r w:rsidRPr="00D55DC6">
              <w:rPr>
                <w:rFonts w:eastAsia="標楷體"/>
                <w:kern w:val="0"/>
                <w:sz w:val="22"/>
                <w:szCs w:val="22"/>
              </w:rPr>
              <w:t>(</w:t>
            </w:r>
            <w:r w:rsidRPr="00D55DC6">
              <w:rPr>
                <w:rFonts w:eastAsia="標楷體"/>
                <w:kern w:val="0"/>
                <w:sz w:val="22"/>
                <w:szCs w:val="22"/>
              </w:rPr>
              <w:t>七美遊客中心新建工程、七美燈塔遊憩服務設施改善工程、七美西濱海岸</w:t>
            </w:r>
            <w:r w:rsidR="00397CE7" w:rsidRPr="00D55DC6">
              <w:rPr>
                <w:rFonts w:eastAsia="標楷體"/>
                <w:kern w:val="0"/>
                <w:sz w:val="22"/>
                <w:szCs w:val="22"/>
              </w:rPr>
              <w:t>周邊</w:t>
            </w:r>
            <w:r w:rsidRPr="00D55DC6">
              <w:rPr>
                <w:rFonts w:eastAsia="標楷體"/>
                <w:kern w:val="0"/>
                <w:sz w:val="22"/>
                <w:szCs w:val="22"/>
              </w:rPr>
              <w:t>設施環境改善工程</w:t>
            </w:r>
            <w:r w:rsidRPr="00D55DC6">
              <w:rPr>
                <w:rFonts w:eastAsia="標楷體"/>
                <w:kern w:val="0"/>
                <w:sz w:val="22"/>
                <w:szCs w:val="22"/>
              </w:rPr>
              <w:t>)</w:t>
            </w:r>
          </w:p>
        </w:tc>
        <w:tc>
          <w:tcPr>
            <w:tcW w:w="2552"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lastRenderedPageBreak/>
              <w:t>1.</w:t>
            </w:r>
            <w:r w:rsidRPr="00D55DC6">
              <w:rPr>
                <w:rFonts w:eastAsia="標楷體"/>
                <w:kern w:val="0"/>
                <w:sz w:val="22"/>
                <w:szCs w:val="22"/>
              </w:rPr>
              <w:t>經常門</w:t>
            </w:r>
            <w:r w:rsidRPr="00D55DC6">
              <w:rPr>
                <w:rFonts w:eastAsia="標楷體"/>
                <w:kern w:val="0"/>
                <w:sz w:val="22"/>
                <w:szCs w:val="22"/>
              </w:rPr>
              <w:t>-</w:t>
            </w:r>
            <w:r w:rsidRPr="00D55DC6">
              <w:rPr>
                <w:rFonts w:eastAsia="標楷體"/>
                <w:kern w:val="0"/>
                <w:sz w:val="22"/>
                <w:szCs w:val="22"/>
              </w:rPr>
              <w:t>綠美化養護及設施零星修護</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土地取得</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3.</w:t>
            </w:r>
            <w:r w:rsidRPr="00D55DC6">
              <w:rPr>
                <w:rFonts w:eastAsia="標楷體"/>
                <w:kern w:val="0"/>
                <w:sz w:val="22"/>
                <w:szCs w:val="22"/>
              </w:rPr>
              <w:t>先期規劃設計</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4.</w:t>
            </w:r>
            <w:r w:rsidRPr="00D55DC6">
              <w:rPr>
                <w:rFonts w:eastAsia="標楷體"/>
                <w:kern w:val="0"/>
                <w:sz w:val="22"/>
                <w:szCs w:val="22"/>
              </w:rPr>
              <w:t>環境及設施整修</w:t>
            </w:r>
          </w:p>
        </w:tc>
      </w:tr>
      <w:tr w:rsidR="00B5463B" w:rsidRPr="00D55DC6" w:rsidTr="008672BF">
        <w:trPr>
          <w:trHeight w:val="345"/>
        </w:trPr>
        <w:tc>
          <w:tcPr>
            <w:tcW w:w="733" w:type="dxa"/>
          </w:tcPr>
          <w:p w:rsidR="008672BF" w:rsidRPr="00D55DC6" w:rsidRDefault="008672BF" w:rsidP="0038165F">
            <w:pPr>
              <w:widowControl/>
              <w:spacing w:line="0" w:lineRule="atLeast"/>
              <w:rPr>
                <w:rFonts w:eastAsia="標楷體"/>
                <w:bCs/>
                <w:kern w:val="0"/>
                <w:sz w:val="22"/>
                <w:szCs w:val="22"/>
              </w:rPr>
            </w:pPr>
            <w:r w:rsidRPr="00D55DC6">
              <w:rPr>
                <w:sz w:val="22"/>
                <w:szCs w:val="22"/>
              </w:rPr>
              <w:lastRenderedPageBreak/>
              <w:br w:type="page"/>
            </w:r>
            <w:r w:rsidRPr="00D55DC6">
              <w:rPr>
                <w:rFonts w:eastAsia="標楷體"/>
                <w:kern w:val="0"/>
                <w:sz w:val="22"/>
                <w:szCs w:val="22"/>
              </w:rPr>
              <w:t>馬祖</w:t>
            </w:r>
            <w:r w:rsidRPr="00D55DC6">
              <w:rPr>
                <w:rFonts w:eastAsia="標楷體"/>
                <w:bCs/>
                <w:kern w:val="0"/>
                <w:sz w:val="22"/>
                <w:szCs w:val="22"/>
              </w:rPr>
              <w:t>國家風景區建設計畫</w:t>
            </w:r>
          </w:p>
        </w:tc>
        <w:tc>
          <w:tcPr>
            <w:tcW w:w="981" w:type="dxa"/>
            <w:noWrap/>
          </w:tcPr>
          <w:p w:rsidR="008672BF" w:rsidRPr="00D55DC6" w:rsidRDefault="008672BF" w:rsidP="0038165F">
            <w:pPr>
              <w:widowControl/>
              <w:spacing w:line="0" w:lineRule="atLeast"/>
              <w:rPr>
                <w:rFonts w:eastAsia="標楷體"/>
                <w:kern w:val="0"/>
                <w:sz w:val="22"/>
                <w:szCs w:val="22"/>
              </w:rPr>
            </w:pPr>
            <w:r w:rsidRPr="00D55DC6">
              <w:rPr>
                <w:rFonts w:eastAsia="標楷體"/>
                <w:kern w:val="0"/>
                <w:sz w:val="22"/>
                <w:szCs w:val="22"/>
              </w:rPr>
              <w:t>馬祖管理處</w:t>
            </w:r>
          </w:p>
        </w:tc>
        <w:tc>
          <w:tcPr>
            <w:tcW w:w="2693"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南竿遊憩系統：大北海遊憩區各遊憩據點暨周邊景觀整建工程</w:t>
            </w:r>
            <w:r w:rsidRPr="00D55DC6">
              <w:rPr>
                <w:rFonts w:eastAsia="標楷體"/>
                <w:kern w:val="0"/>
                <w:sz w:val="22"/>
                <w:szCs w:val="22"/>
              </w:rPr>
              <w:t>(</w:t>
            </w:r>
            <w:r w:rsidRPr="00D55DC6">
              <w:rPr>
                <w:rFonts w:eastAsia="標楷體"/>
                <w:kern w:val="0"/>
                <w:sz w:val="22"/>
                <w:szCs w:val="22"/>
              </w:rPr>
              <w:t>宗教文化園區服務空間、</w:t>
            </w:r>
            <w:r w:rsidRPr="00D55DC6">
              <w:rPr>
                <w:rFonts w:eastAsia="標楷體"/>
                <w:kern w:val="0"/>
                <w:sz w:val="22"/>
                <w:szCs w:val="22"/>
              </w:rPr>
              <w:t>46</w:t>
            </w:r>
            <w:r w:rsidRPr="00D55DC6">
              <w:rPr>
                <w:rFonts w:eastAsia="標楷體"/>
                <w:kern w:val="0"/>
                <w:sz w:val="22"/>
                <w:szCs w:val="22"/>
              </w:rPr>
              <w:t>據點及鐵板營區、聯保廠舊營舍區域、四維生態</w:t>
            </w:r>
            <w:r w:rsidR="00EA38C5" w:rsidRPr="00D55DC6">
              <w:rPr>
                <w:rFonts w:eastAsia="標楷體"/>
                <w:kern w:val="0"/>
                <w:sz w:val="22"/>
                <w:szCs w:val="22"/>
              </w:rPr>
              <w:t>度假</w:t>
            </w:r>
            <w:r w:rsidRPr="00D55DC6">
              <w:rPr>
                <w:rFonts w:eastAsia="標楷體"/>
                <w:kern w:val="0"/>
                <w:sz w:val="22"/>
                <w:szCs w:val="22"/>
              </w:rPr>
              <w:t>園區及周邊景點設施改善、大北海遊憩區促參作業相關配合工程</w:t>
            </w:r>
            <w:r w:rsidRPr="00D55DC6">
              <w:rPr>
                <w:rFonts w:eastAsia="標楷體"/>
                <w:kern w:val="0"/>
                <w:sz w:val="22"/>
                <w:szCs w:val="22"/>
              </w:rPr>
              <w:t xml:space="preserve">) </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北竿遊憩系統：戰爭和平紀念公園主題館暨周邊景觀整建工程</w:t>
            </w:r>
            <w:r w:rsidRPr="00D55DC6">
              <w:rPr>
                <w:rFonts w:eastAsia="標楷體"/>
                <w:kern w:val="0"/>
                <w:sz w:val="22"/>
                <w:szCs w:val="22"/>
              </w:rPr>
              <w:t>(</w:t>
            </w:r>
            <w:r w:rsidRPr="00D55DC6">
              <w:rPr>
                <w:rFonts w:eastAsia="標楷體"/>
                <w:kern w:val="0"/>
                <w:sz w:val="22"/>
                <w:szCs w:val="22"/>
              </w:rPr>
              <w:t>遊客中心及周邊設施、坂里據點、北海坑道、大澳山景觀維護、芹壁聚落深度體驗旅遊環境營造等工程</w:t>
            </w:r>
            <w:r w:rsidRPr="00D55DC6">
              <w:rPr>
                <w:rFonts w:eastAsia="標楷體"/>
                <w:kern w:val="0"/>
                <w:sz w:val="22"/>
                <w:szCs w:val="22"/>
              </w:rPr>
              <w:t>)</w:t>
            </w:r>
          </w:p>
        </w:tc>
        <w:tc>
          <w:tcPr>
            <w:tcW w:w="2693"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東引遊憩系統：東引地區景點整建工程</w:t>
            </w:r>
            <w:r w:rsidRPr="00D55DC6">
              <w:rPr>
                <w:rFonts w:eastAsia="標楷體"/>
                <w:kern w:val="0"/>
                <w:sz w:val="22"/>
                <w:szCs w:val="22"/>
              </w:rPr>
              <w:t>(</w:t>
            </w:r>
            <w:r w:rsidRPr="00D55DC6">
              <w:rPr>
                <w:rFonts w:eastAsia="標楷體"/>
                <w:kern w:val="0"/>
                <w:sz w:val="22"/>
                <w:szCs w:val="22"/>
              </w:rPr>
              <w:t>遊客中心及周邊設施、后澳周邊景點設施、燕秀澳周邊景點串聯改善等工程</w:t>
            </w:r>
            <w:r w:rsidRPr="00D55DC6">
              <w:rPr>
                <w:rFonts w:eastAsia="標楷體"/>
                <w:kern w:val="0"/>
                <w:sz w:val="22"/>
                <w:szCs w:val="22"/>
              </w:rPr>
              <w:t>)</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莒光遊憩系統：莒光地區景點整建工程</w:t>
            </w:r>
            <w:r w:rsidRPr="00D55DC6">
              <w:rPr>
                <w:rFonts w:eastAsia="標楷體"/>
                <w:kern w:val="0"/>
                <w:sz w:val="22"/>
                <w:szCs w:val="22"/>
              </w:rPr>
              <w:t>(</w:t>
            </w:r>
            <w:r w:rsidRPr="00D55DC6">
              <w:rPr>
                <w:rFonts w:eastAsia="標楷體"/>
                <w:kern w:val="0"/>
                <w:sz w:val="22"/>
                <w:szCs w:val="22"/>
              </w:rPr>
              <w:t>山海一家周邊景點設施整建、東莒大砲連軍事意象營造、配合整體發展計畫辦理東莒地區軍方移撥據點整建等工程</w:t>
            </w:r>
            <w:r w:rsidRPr="00D55DC6">
              <w:rPr>
                <w:rFonts w:eastAsia="標楷體"/>
                <w:kern w:val="0"/>
                <w:sz w:val="22"/>
                <w:szCs w:val="22"/>
              </w:rPr>
              <w:t>)</w:t>
            </w:r>
          </w:p>
        </w:tc>
        <w:tc>
          <w:tcPr>
            <w:tcW w:w="2552" w:type="dxa"/>
            <w:noWrap/>
          </w:tcPr>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1.</w:t>
            </w:r>
            <w:r w:rsidRPr="00D55DC6">
              <w:rPr>
                <w:rFonts w:eastAsia="標楷體"/>
                <w:kern w:val="0"/>
                <w:sz w:val="22"/>
                <w:szCs w:val="22"/>
              </w:rPr>
              <w:t>經常門</w:t>
            </w:r>
            <w:r w:rsidRPr="00D55DC6">
              <w:rPr>
                <w:rFonts w:eastAsia="標楷體"/>
                <w:kern w:val="0"/>
                <w:sz w:val="22"/>
                <w:szCs w:val="22"/>
              </w:rPr>
              <w:t>-</w:t>
            </w:r>
            <w:r w:rsidRPr="00D55DC6">
              <w:rPr>
                <w:rFonts w:eastAsia="標楷體"/>
                <w:kern w:val="0"/>
                <w:sz w:val="22"/>
                <w:szCs w:val="22"/>
              </w:rPr>
              <w:t>綠美化養護及設施零星修護</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2.</w:t>
            </w:r>
            <w:r w:rsidRPr="00D55DC6">
              <w:rPr>
                <w:rFonts w:eastAsia="標楷體"/>
                <w:kern w:val="0"/>
                <w:sz w:val="22"/>
                <w:szCs w:val="22"/>
              </w:rPr>
              <w:t>土地取得</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3.</w:t>
            </w:r>
            <w:r w:rsidRPr="00D55DC6">
              <w:rPr>
                <w:rFonts w:eastAsia="標楷體"/>
                <w:kern w:val="0"/>
                <w:sz w:val="22"/>
                <w:szCs w:val="22"/>
              </w:rPr>
              <w:t>先期規劃設計</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4.</w:t>
            </w:r>
            <w:r w:rsidRPr="00D55DC6">
              <w:rPr>
                <w:rFonts w:eastAsia="標楷體"/>
                <w:kern w:val="0"/>
                <w:sz w:val="22"/>
                <w:szCs w:val="22"/>
              </w:rPr>
              <w:t>環境及設施整修</w:t>
            </w:r>
          </w:p>
          <w:p w:rsidR="008672BF" w:rsidRPr="00D55DC6" w:rsidRDefault="008672BF" w:rsidP="0038165F">
            <w:pPr>
              <w:widowControl/>
              <w:spacing w:line="0" w:lineRule="atLeast"/>
              <w:ind w:left="220" w:hangingChars="100" w:hanging="220"/>
              <w:jc w:val="both"/>
              <w:rPr>
                <w:rFonts w:eastAsia="標楷體"/>
                <w:kern w:val="0"/>
                <w:sz w:val="22"/>
                <w:szCs w:val="22"/>
              </w:rPr>
            </w:pPr>
            <w:r w:rsidRPr="00D55DC6">
              <w:rPr>
                <w:rFonts w:eastAsia="標楷體"/>
                <w:kern w:val="0"/>
                <w:sz w:val="22"/>
                <w:szCs w:val="22"/>
              </w:rPr>
              <w:t>5.</w:t>
            </w:r>
            <w:r w:rsidRPr="00D55DC6">
              <w:rPr>
                <w:rFonts w:eastAsia="標楷體"/>
                <w:kern w:val="0"/>
                <w:sz w:val="22"/>
                <w:szCs w:val="22"/>
              </w:rPr>
              <w:t>馬祖地區特色建築風貌改善補助</w:t>
            </w:r>
          </w:p>
        </w:tc>
      </w:tr>
    </w:tbl>
    <w:p w:rsidR="00F53D5E" w:rsidRPr="00D55DC6" w:rsidRDefault="00F53D5E" w:rsidP="000664AF">
      <w:pPr>
        <w:pStyle w:val="12"/>
        <w:rPr>
          <w:rFonts w:hAnsi="Times New Roman"/>
          <w:color w:val="auto"/>
        </w:rPr>
      </w:pPr>
    </w:p>
    <w:p w:rsidR="005702EE" w:rsidRPr="00D55DC6" w:rsidRDefault="005702EE" w:rsidP="000664AF">
      <w:pPr>
        <w:pStyle w:val="12"/>
        <w:rPr>
          <w:rFonts w:hAnsi="Times New Roman"/>
          <w:color w:val="auto"/>
        </w:rPr>
      </w:pPr>
    </w:p>
    <w:p w:rsidR="005702EE" w:rsidRPr="00D55DC6" w:rsidRDefault="005702EE" w:rsidP="000664AF">
      <w:pPr>
        <w:pStyle w:val="12"/>
        <w:rPr>
          <w:rFonts w:hAnsi="Times New Roman"/>
          <w:color w:val="auto"/>
        </w:rPr>
      </w:pPr>
    </w:p>
    <w:p w:rsidR="005702EE" w:rsidRPr="00D55DC6" w:rsidRDefault="005702EE" w:rsidP="000664AF">
      <w:pPr>
        <w:pStyle w:val="12"/>
        <w:rPr>
          <w:rFonts w:hAnsi="Times New Roman"/>
          <w:color w:val="auto"/>
        </w:rPr>
      </w:pPr>
    </w:p>
    <w:p w:rsidR="005702EE" w:rsidRPr="00D55DC6" w:rsidRDefault="005702EE" w:rsidP="000664AF">
      <w:pPr>
        <w:pStyle w:val="12"/>
        <w:rPr>
          <w:rFonts w:hAnsi="Times New Roman"/>
          <w:color w:val="auto"/>
        </w:rPr>
      </w:pPr>
    </w:p>
    <w:p w:rsidR="000664AF" w:rsidRPr="00D55DC6" w:rsidRDefault="000664AF">
      <w:pPr>
        <w:widowControl/>
        <w:rPr>
          <w:rFonts w:eastAsia="標楷體"/>
          <w:b/>
          <w:sz w:val="32"/>
          <w:szCs w:val="32"/>
        </w:rPr>
      </w:pPr>
      <w:r w:rsidRPr="00D55DC6">
        <w:br w:type="page"/>
      </w:r>
    </w:p>
    <w:p w:rsidR="00234A59" w:rsidRPr="00D55DC6" w:rsidRDefault="00234A59" w:rsidP="000664AF">
      <w:pPr>
        <w:pStyle w:val="12"/>
        <w:rPr>
          <w:rFonts w:hAnsi="Times New Roman"/>
          <w:color w:val="auto"/>
          <w:sz w:val="28"/>
        </w:rPr>
      </w:pPr>
      <w:r w:rsidRPr="00D55DC6">
        <w:rPr>
          <w:rFonts w:hAnsi="Times New Roman"/>
          <w:color w:val="auto"/>
        </w:rPr>
        <w:lastRenderedPageBreak/>
        <w:t>附表</w:t>
      </w:r>
      <w:r w:rsidRPr="00D55DC6">
        <w:rPr>
          <w:rFonts w:hAnsi="Times New Roman"/>
          <w:color w:val="auto"/>
        </w:rPr>
        <w:t xml:space="preserve">2   </w:t>
      </w:r>
      <w:r w:rsidRPr="00D55DC6">
        <w:rPr>
          <w:rFonts w:hAnsi="Times New Roman"/>
          <w:color w:val="auto"/>
        </w:rPr>
        <w:t>分年經費需求表</w:t>
      </w:r>
      <w:r w:rsidR="00DA5D99" w:rsidRPr="00D55DC6">
        <w:rPr>
          <w:rFonts w:hAnsi="Times New Roman"/>
          <w:color w:val="auto"/>
        </w:rPr>
        <w:t xml:space="preserve">     </w:t>
      </w:r>
      <w:r w:rsidR="00DA5D99" w:rsidRPr="00D55DC6">
        <w:rPr>
          <w:rFonts w:hAnsi="Times New Roman"/>
          <w:color w:val="auto"/>
          <w:sz w:val="36"/>
        </w:rPr>
        <w:t xml:space="preserve">  </w:t>
      </w:r>
      <w:r w:rsidR="00564B26" w:rsidRPr="00D55DC6">
        <w:rPr>
          <w:rFonts w:hAnsi="Times New Roman"/>
          <w:color w:val="auto"/>
          <w:sz w:val="36"/>
        </w:rPr>
        <w:t xml:space="preserve"> </w:t>
      </w:r>
      <w:r w:rsidR="00DA5D99" w:rsidRPr="00D55DC6">
        <w:rPr>
          <w:rFonts w:hAnsi="Times New Roman"/>
          <w:color w:val="auto"/>
          <w:sz w:val="36"/>
        </w:rPr>
        <w:t xml:space="preserve">        </w:t>
      </w:r>
      <w:r w:rsidR="00BE6699" w:rsidRPr="00D55DC6">
        <w:rPr>
          <w:rFonts w:hAnsi="Times New Roman"/>
          <w:color w:val="auto"/>
          <w:sz w:val="36"/>
        </w:rPr>
        <w:t xml:space="preserve">　</w:t>
      </w:r>
      <w:r w:rsidR="00DA5D99" w:rsidRPr="00D55DC6">
        <w:rPr>
          <w:rFonts w:hAnsi="Times New Roman"/>
          <w:color w:val="auto"/>
          <w:sz w:val="36"/>
        </w:rPr>
        <w:t xml:space="preserve">  </w:t>
      </w:r>
      <w:r w:rsidR="00DA5D99" w:rsidRPr="00D55DC6">
        <w:rPr>
          <w:rFonts w:hAnsi="Times New Roman"/>
          <w:color w:val="auto"/>
          <w:sz w:val="28"/>
        </w:rPr>
        <w:t>單位：億元</w:t>
      </w:r>
    </w:p>
    <w:tbl>
      <w:tblPr>
        <w:tblW w:w="10065"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4"/>
        <w:gridCol w:w="960"/>
        <w:gridCol w:w="851"/>
        <w:gridCol w:w="883"/>
        <w:gridCol w:w="851"/>
        <w:gridCol w:w="850"/>
        <w:gridCol w:w="959"/>
        <w:gridCol w:w="883"/>
        <w:gridCol w:w="959"/>
        <w:gridCol w:w="884"/>
        <w:gridCol w:w="923"/>
        <w:gridCol w:w="778"/>
      </w:tblGrid>
      <w:tr w:rsidR="001D0350" w:rsidRPr="00D55DC6" w:rsidTr="004C13F1">
        <w:trPr>
          <w:trHeight w:val="324"/>
          <w:tblHeader/>
        </w:trPr>
        <w:tc>
          <w:tcPr>
            <w:tcW w:w="284" w:type="dxa"/>
            <w:vMerge w:val="restart"/>
          </w:tcPr>
          <w:p w:rsidR="00BE6699" w:rsidRPr="00D55DC6" w:rsidRDefault="00BE6699" w:rsidP="0038165F">
            <w:pPr>
              <w:widowControl/>
              <w:jc w:val="center"/>
              <w:rPr>
                <w:rFonts w:eastAsia="標楷體"/>
                <w:b/>
                <w:bCs/>
                <w:kern w:val="0"/>
              </w:rPr>
            </w:pPr>
            <w:bookmarkStart w:id="57" w:name="_Toc288749200"/>
          </w:p>
        </w:tc>
        <w:tc>
          <w:tcPr>
            <w:tcW w:w="960" w:type="dxa"/>
            <w:vMerge w:val="restart"/>
            <w:shd w:val="clear" w:color="auto" w:fill="auto"/>
            <w:vAlign w:val="center"/>
            <w:hideMark/>
          </w:tcPr>
          <w:p w:rsidR="00BE6699" w:rsidRPr="00D55DC6" w:rsidRDefault="00BE6699" w:rsidP="0038165F">
            <w:pPr>
              <w:widowControl/>
              <w:spacing w:line="0" w:lineRule="atLeast"/>
              <w:jc w:val="center"/>
              <w:rPr>
                <w:rFonts w:eastAsia="標楷體"/>
                <w:b/>
                <w:bCs/>
                <w:kern w:val="0"/>
              </w:rPr>
            </w:pPr>
            <w:r w:rsidRPr="00D55DC6">
              <w:rPr>
                <w:rFonts w:eastAsia="標楷體"/>
                <w:b/>
                <w:bCs/>
                <w:kern w:val="0"/>
              </w:rPr>
              <w:t>計畫</w:t>
            </w:r>
          </w:p>
          <w:p w:rsidR="00BE6699" w:rsidRPr="00D55DC6" w:rsidRDefault="00BE6699" w:rsidP="0038165F">
            <w:pPr>
              <w:widowControl/>
              <w:spacing w:line="0" w:lineRule="atLeast"/>
              <w:jc w:val="center"/>
              <w:rPr>
                <w:rFonts w:eastAsia="標楷體"/>
                <w:b/>
                <w:bCs/>
                <w:kern w:val="0"/>
              </w:rPr>
            </w:pPr>
            <w:r w:rsidRPr="00D55DC6">
              <w:rPr>
                <w:rFonts w:eastAsia="標楷體"/>
                <w:b/>
                <w:bCs/>
                <w:kern w:val="0"/>
              </w:rPr>
              <w:t>名稱</w:t>
            </w:r>
          </w:p>
        </w:tc>
        <w:tc>
          <w:tcPr>
            <w:tcW w:w="1734" w:type="dxa"/>
            <w:gridSpan w:val="2"/>
            <w:shd w:val="clear" w:color="auto" w:fill="auto"/>
            <w:vAlign w:val="center"/>
            <w:hideMark/>
          </w:tcPr>
          <w:p w:rsidR="00BE6699" w:rsidRPr="00D55DC6" w:rsidRDefault="00BE6699" w:rsidP="0038165F">
            <w:pPr>
              <w:widowControl/>
              <w:jc w:val="center"/>
              <w:rPr>
                <w:b/>
                <w:bCs/>
                <w:kern w:val="0"/>
              </w:rPr>
            </w:pPr>
            <w:r w:rsidRPr="00D55DC6">
              <w:rPr>
                <w:b/>
                <w:bCs/>
                <w:kern w:val="0"/>
              </w:rPr>
              <w:t>105</w:t>
            </w:r>
            <w:r w:rsidRPr="00D55DC6">
              <w:rPr>
                <w:rFonts w:eastAsia="標楷體"/>
                <w:b/>
                <w:bCs/>
                <w:kern w:val="0"/>
              </w:rPr>
              <w:t>年度</w:t>
            </w:r>
          </w:p>
        </w:tc>
        <w:tc>
          <w:tcPr>
            <w:tcW w:w="1701" w:type="dxa"/>
            <w:gridSpan w:val="2"/>
            <w:shd w:val="clear" w:color="auto" w:fill="auto"/>
            <w:vAlign w:val="center"/>
            <w:hideMark/>
          </w:tcPr>
          <w:p w:rsidR="00BE6699" w:rsidRPr="00D55DC6" w:rsidRDefault="00BE6699" w:rsidP="0038165F">
            <w:pPr>
              <w:widowControl/>
              <w:jc w:val="center"/>
              <w:rPr>
                <w:b/>
                <w:bCs/>
                <w:kern w:val="0"/>
              </w:rPr>
            </w:pPr>
            <w:r w:rsidRPr="00D55DC6">
              <w:rPr>
                <w:b/>
                <w:bCs/>
                <w:kern w:val="0"/>
              </w:rPr>
              <w:t>106</w:t>
            </w:r>
            <w:r w:rsidRPr="00D55DC6">
              <w:rPr>
                <w:rFonts w:eastAsia="標楷體"/>
                <w:b/>
                <w:bCs/>
                <w:kern w:val="0"/>
              </w:rPr>
              <w:t>年度</w:t>
            </w:r>
          </w:p>
        </w:tc>
        <w:tc>
          <w:tcPr>
            <w:tcW w:w="1842" w:type="dxa"/>
            <w:gridSpan w:val="2"/>
            <w:shd w:val="clear" w:color="auto" w:fill="auto"/>
            <w:noWrap/>
            <w:vAlign w:val="center"/>
            <w:hideMark/>
          </w:tcPr>
          <w:p w:rsidR="00BE6699" w:rsidRPr="00D55DC6" w:rsidRDefault="00BE6699" w:rsidP="0038165F">
            <w:pPr>
              <w:widowControl/>
              <w:jc w:val="center"/>
              <w:rPr>
                <w:b/>
                <w:bCs/>
                <w:kern w:val="0"/>
              </w:rPr>
            </w:pPr>
            <w:r w:rsidRPr="00D55DC6">
              <w:rPr>
                <w:b/>
                <w:bCs/>
                <w:kern w:val="0"/>
              </w:rPr>
              <w:t>107</w:t>
            </w:r>
            <w:r w:rsidRPr="00D55DC6">
              <w:rPr>
                <w:rFonts w:eastAsia="標楷體"/>
                <w:b/>
                <w:bCs/>
                <w:kern w:val="0"/>
              </w:rPr>
              <w:t>年度</w:t>
            </w:r>
          </w:p>
        </w:tc>
        <w:tc>
          <w:tcPr>
            <w:tcW w:w="1843" w:type="dxa"/>
            <w:gridSpan w:val="2"/>
            <w:shd w:val="clear" w:color="auto" w:fill="auto"/>
            <w:noWrap/>
            <w:vAlign w:val="center"/>
            <w:hideMark/>
          </w:tcPr>
          <w:p w:rsidR="00BE6699" w:rsidRPr="00D55DC6" w:rsidRDefault="00BE6699" w:rsidP="0038165F">
            <w:pPr>
              <w:widowControl/>
              <w:jc w:val="center"/>
              <w:rPr>
                <w:b/>
                <w:bCs/>
                <w:kern w:val="0"/>
              </w:rPr>
            </w:pPr>
            <w:r w:rsidRPr="00D55DC6">
              <w:rPr>
                <w:b/>
                <w:bCs/>
                <w:kern w:val="0"/>
              </w:rPr>
              <w:t>108</w:t>
            </w:r>
            <w:r w:rsidRPr="00D55DC6">
              <w:rPr>
                <w:rFonts w:eastAsia="標楷體"/>
                <w:b/>
                <w:bCs/>
                <w:kern w:val="0"/>
              </w:rPr>
              <w:t>年度</w:t>
            </w:r>
          </w:p>
        </w:tc>
        <w:tc>
          <w:tcPr>
            <w:tcW w:w="1701" w:type="dxa"/>
            <w:gridSpan w:val="2"/>
            <w:shd w:val="clear" w:color="auto" w:fill="auto"/>
            <w:noWrap/>
            <w:vAlign w:val="center"/>
            <w:hideMark/>
          </w:tcPr>
          <w:p w:rsidR="00BE6699" w:rsidRPr="00D55DC6" w:rsidRDefault="00BE6699" w:rsidP="0038165F">
            <w:pPr>
              <w:widowControl/>
              <w:jc w:val="center"/>
              <w:rPr>
                <w:rFonts w:eastAsia="標楷體"/>
                <w:b/>
                <w:bCs/>
                <w:kern w:val="0"/>
              </w:rPr>
            </w:pPr>
            <w:r w:rsidRPr="00D55DC6">
              <w:rPr>
                <w:rFonts w:eastAsia="標楷體"/>
                <w:b/>
                <w:bCs/>
                <w:kern w:val="0"/>
              </w:rPr>
              <w:t>合計</w:t>
            </w:r>
          </w:p>
        </w:tc>
      </w:tr>
      <w:tr w:rsidR="001D0350" w:rsidRPr="00D55DC6" w:rsidTr="004C13F1">
        <w:trPr>
          <w:trHeight w:val="324"/>
          <w:tblHeader/>
        </w:trPr>
        <w:tc>
          <w:tcPr>
            <w:tcW w:w="284" w:type="dxa"/>
            <w:vMerge/>
          </w:tcPr>
          <w:p w:rsidR="00BE6699" w:rsidRPr="00D55DC6" w:rsidRDefault="00BE6699" w:rsidP="0038165F">
            <w:pPr>
              <w:widowControl/>
              <w:rPr>
                <w:rFonts w:eastAsia="標楷體"/>
                <w:b/>
                <w:bCs/>
                <w:kern w:val="0"/>
              </w:rPr>
            </w:pPr>
          </w:p>
        </w:tc>
        <w:tc>
          <w:tcPr>
            <w:tcW w:w="960" w:type="dxa"/>
            <w:vMerge/>
            <w:vAlign w:val="center"/>
            <w:hideMark/>
          </w:tcPr>
          <w:p w:rsidR="00BE6699" w:rsidRPr="00D55DC6" w:rsidRDefault="00BE6699" w:rsidP="0038165F">
            <w:pPr>
              <w:widowControl/>
              <w:spacing w:line="0" w:lineRule="atLeast"/>
              <w:rPr>
                <w:rFonts w:eastAsia="標楷體"/>
                <w:b/>
                <w:bCs/>
                <w:kern w:val="0"/>
              </w:rPr>
            </w:pPr>
          </w:p>
        </w:tc>
        <w:tc>
          <w:tcPr>
            <w:tcW w:w="851" w:type="dxa"/>
            <w:shd w:val="clear" w:color="auto" w:fill="auto"/>
            <w:noWrap/>
            <w:vAlign w:val="center"/>
            <w:hideMark/>
          </w:tcPr>
          <w:p w:rsidR="00BE6699" w:rsidRPr="00D55DC6" w:rsidRDefault="00BE6699" w:rsidP="0038165F">
            <w:pPr>
              <w:widowControl/>
              <w:jc w:val="center"/>
              <w:rPr>
                <w:b/>
                <w:bCs/>
                <w:kern w:val="0"/>
                <w:sz w:val="20"/>
                <w:szCs w:val="20"/>
              </w:rPr>
            </w:pPr>
            <w:r w:rsidRPr="00D55DC6">
              <w:rPr>
                <w:b/>
                <w:bCs/>
                <w:kern w:val="0"/>
                <w:sz w:val="20"/>
                <w:szCs w:val="20"/>
              </w:rPr>
              <w:t>(</w:t>
            </w:r>
            <w:r w:rsidRPr="00D55DC6">
              <w:rPr>
                <w:rFonts w:eastAsia="標楷體"/>
                <w:b/>
                <w:bCs/>
                <w:kern w:val="0"/>
                <w:sz w:val="20"/>
                <w:szCs w:val="20"/>
              </w:rPr>
              <w:t>資本門</w:t>
            </w:r>
            <w:r w:rsidRPr="00D55DC6">
              <w:rPr>
                <w:b/>
                <w:bCs/>
                <w:kern w:val="0"/>
                <w:sz w:val="20"/>
                <w:szCs w:val="20"/>
              </w:rPr>
              <w:t>)</w:t>
            </w:r>
          </w:p>
        </w:tc>
        <w:tc>
          <w:tcPr>
            <w:tcW w:w="883" w:type="dxa"/>
            <w:vMerge w:val="restart"/>
            <w:shd w:val="clear" w:color="auto" w:fill="auto"/>
            <w:vAlign w:val="center"/>
            <w:hideMark/>
          </w:tcPr>
          <w:p w:rsidR="00BE6699" w:rsidRPr="00D55DC6" w:rsidRDefault="00BE6699" w:rsidP="0038165F">
            <w:pPr>
              <w:widowControl/>
              <w:jc w:val="center"/>
              <w:rPr>
                <w:rFonts w:eastAsia="標楷體"/>
                <w:b/>
                <w:bCs/>
                <w:kern w:val="0"/>
                <w:sz w:val="22"/>
                <w:szCs w:val="22"/>
              </w:rPr>
            </w:pPr>
            <w:r w:rsidRPr="00D55DC6">
              <w:rPr>
                <w:rFonts w:eastAsia="標楷體"/>
                <w:b/>
                <w:bCs/>
                <w:kern w:val="0"/>
                <w:sz w:val="22"/>
                <w:szCs w:val="22"/>
              </w:rPr>
              <w:t>經資門</w:t>
            </w:r>
          </w:p>
        </w:tc>
        <w:tc>
          <w:tcPr>
            <w:tcW w:w="851" w:type="dxa"/>
            <w:shd w:val="clear" w:color="auto" w:fill="auto"/>
            <w:noWrap/>
            <w:vAlign w:val="center"/>
            <w:hideMark/>
          </w:tcPr>
          <w:p w:rsidR="00BE6699" w:rsidRPr="00D55DC6" w:rsidRDefault="00BE6699" w:rsidP="0038165F">
            <w:pPr>
              <w:widowControl/>
              <w:jc w:val="center"/>
              <w:rPr>
                <w:b/>
                <w:bCs/>
                <w:kern w:val="0"/>
                <w:sz w:val="20"/>
                <w:szCs w:val="20"/>
              </w:rPr>
            </w:pPr>
            <w:r w:rsidRPr="00D55DC6">
              <w:rPr>
                <w:b/>
                <w:bCs/>
                <w:kern w:val="0"/>
                <w:sz w:val="20"/>
                <w:szCs w:val="20"/>
              </w:rPr>
              <w:t>(</w:t>
            </w:r>
            <w:r w:rsidRPr="00D55DC6">
              <w:rPr>
                <w:rFonts w:eastAsia="標楷體"/>
                <w:b/>
                <w:bCs/>
                <w:kern w:val="0"/>
                <w:sz w:val="20"/>
                <w:szCs w:val="20"/>
              </w:rPr>
              <w:t>資本門</w:t>
            </w:r>
            <w:r w:rsidRPr="00D55DC6">
              <w:rPr>
                <w:b/>
                <w:bCs/>
                <w:kern w:val="0"/>
                <w:sz w:val="20"/>
                <w:szCs w:val="20"/>
              </w:rPr>
              <w:t>)</w:t>
            </w:r>
          </w:p>
        </w:tc>
        <w:tc>
          <w:tcPr>
            <w:tcW w:w="850" w:type="dxa"/>
            <w:vMerge w:val="restart"/>
            <w:shd w:val="clear" w:color="auto" w:fill="auto"/>
            <w:vAlign w:val="center"/>
            <w:hideMark/>
          </w:tcPr>
          <w:p w:rsidR="00BE6699" w:rsidRPr="00D55DC6" w:rsidRDefault="00BE6699" w:rsidP="0038165F">
            <w:pPr>
              <w:widowControl/>
              <w:jc w:val="center"/>
              <w:rPr>
                <w:rFonts w:eastAsia="標楷體"/>
                <w:b/>
                <w:bCs/>
                <w:kern w:val="0"/>
                <w:sz w:val="22"/>
                <w:szCs w:val="22"/>
              </w:rPr>
            </w:pPr>
            <w:r w:rsidRPr="00D55DC6">
              <w:rPr>
                <w:rFonts w:eastAsia="標楷體"/>
                <w:b/>
                <w:bCs/>
                <w:kern w:val="0"/>
                <w:sz w:val="22"/>
                <w:szCs w:val="22"/>
              </w:rPr>
              <w:t>經資門</w:t>
            </w:r>
          </w:p>
        </w:tc>
        <w:tc>
          <w:tcPr>
            <w:tcW w:w="959" w:type="dxa"/>
            <w:shd w:val="clear" w:color="auto" w:fill="auto"/>
            <w:noWrap/>
            <w:vAlign w:val="center"/>
            <w:hideMark/>
          </w:tcPr>
          <w:p w:rsidR="00BE6699" w:rsidRPr="00D55DC6" w:rsidRDefault="00BE6699" w:rsidP="0038165F">
            <w:pPr>
              <w:widowControl/>
              <w:jc w:val="center"/>
              <w:rPr>
                <w:b/>
                <w:bCs/>
                <w:kern w:val="0"/>
                <w:sz w:val="20"/>
                <w:szCs w:val="20"/>
              </w:rPr>
            </w:pPr>
            <w:r w:rsidRPr="00D55DC6">
              <w:rPr>
                <w:b/>
                <w:bCs/>
                <w:kern w:val="0"/>
                <w:sz w:val="20"/>
                <w:szCs w:val="20"/>
              </w:rPr>
              <w:t>(</w:t>
            </w:r>
            <w:r w:rsidRPr="00D55DC6">
              <w:rPr>
                <w:rFonts w:eastAsia="標楷體"/>
                <w:b/>
                <w:bCs/>
                <w:kern w:val="0"/>
                <w:sz w:val="20"/>
                <w:szCs w:val="20"/>
              </w:rPr>
              <w:t>資本門</w:t>
            </w:r>
            <w:r w:rsidRPr="00D55DC6">
              <w:rPr>
                <w:b/>
                <w:bCs/>
                <w:kern w:val="0"/>
                <w:sz w:val="20"/>
                <w:szCs w:val="20"/>
              </w:rPr>
              <w:t>)</w:t>
            </w:r>
          </w:p>
        </w:tc>
        <w:tc>
          <w:tcPr>
            <w:tcW w:w="883" w:type="dxa"/>
            <w:vMerge w:val="restart"/>
            <w:shd w:val="clear" w:color="auto" w:fill="auto"/>
            <w:vAlign w:val="center"/>
            <w:hideMark/>
          </w:tcPr>
          <w:p w:rsidR="00BE6699" w:rsidRPr="00D55DC6" w:rsidRDefault="00BE6699" w:rsidP="0038165F">
            <w:pPr>
              <w:widowControl/>
              <w:jc w:val="center"/>
              <w:rPr>
                <w:rFonts w:eastAsia="標楷體"/>
                <w:b/>
                <w:bCs/>
                <w:kern w:val="0"/>
                <w:sz w:val="22"/>
                <w:szCs w:val="22"/>
              </w:rPr>
            </w:pPr>
            <w:r w:rsidRPr="00D55DC6">
              <w:rPr>
                <w:rFonts w:eastAsia="標楷體"/>
                <w:b/>
                <w:bCs/>
                <w:kern w:val="0"/>
                <w:sz w:val="22"/>
                <w:szCs w:val="22"/>
              </w:rPr>
              <w:t>經資門</w:t>
            </w:r>
          </w:p>
        </w:tc>
        <w:tc>
          <w:tcPr>
            <w:tcW w:w="959" w:type="dxa"/>
            <w:shd w:val="clear" w:color="auto" w:fill="auto"/>
            <w:noWrap/>
            <w:vAlign w:val="center"/>
            <w:hideMark/>
          </w:tcPr>
          <w:p w:rsidR="00BE6699" w:rsidRPr="00D55DC6" w:rsidRDefault="00BE6699" w:rsidP="0038165F">
            <w:pPr>
              <w:widowControl/>
              <w:jc w:val="center"/>
              <w:rPr>
                <w:b/>
                <w:bCs/>
                <w:kern w:val="0"/>
                <w:sz w:val="20"/>
                <w:szCs w:val="20"/>
              </w:rPr>
            </w:pPr>
            <w:r w:rsidRPr="00D55DC6">
              <w:rPr>
                <w:b/>
                <w:bCs/>
                <w:kern w:val="0"/>
                <w:sz w:val="20"/>
                <w:szCs w:val="20"/>
              </w:rPr>
              <w:t>(</w:t>
            </w:r>
            <w:r w:rsidRPr="00D55DC6">
              <w:rPr>
                <w:rFonts w:eastAsia="標楷體"/>
                <w:b/>
                <w:bCs/>
                <w:kern w:val="0"/>
                <w:sz w:val="20"/>
                <w:szCs w:val="20"/>
              </w:rPr>
              <w:t>資本門</w:t>
            </w:r>
            <w:r w:rsidRPr="00D55DC6">
              <w:rPr>
                <w:b/>
                <w:bCs/>
                <w:kern w:val="0"/>
                <w:sz w:val="20"/>
                <w:szCs w:val="20"/>
              </w:rPr>
              <w:t>)</w:t>
            </w:r>
          </w:p>
        </w:tc>
        <w:tc>
          <w:tcPr>
            <w:tcW w:w="884" w:type="dxa"/>
            <w:vMerge w:val="restart"/>
            <w:shd w:val="clear" w:color="auto" w:fill="auto"/>
            <w:vAlign w:val="center"/>
            <w:hideMark/>
          </w:tcPr>
          <w:p w:rsidR="00BE6699" w:rsidRPr="00D55DC6" w:rsidRDefault="00BE6699" w:rsidP="0038165F">
            <w:pPr>
              <w:widowControl/>
              <w:jc w:val="center"/>
              <w:rPr>
                <w:rFonts w:eastAsia="標楷體"/>
                <w:b/>
                <w:bCs/>
                <w:kern w:val="0"/>
                <w:sz w:val="22"/>
                <w:szCs w:val="22"/>
              </w:rPr>
            </w:pPr>
            <w:r w:rsidRPr="00D55DC6">
              <w:rPr>
                <w:rFonts w:eastAsia="標楷體"/>
                <w:b/>
                <w:bCs/>
                <w:kern w:val="0"/>
                <w:sz w:val="22"/>
                <w:szCs w:val="22"/>
              </w:rPr>
              <w:t>經資門</w:t>
            </w:r>
          </w:p>
        </w:tc>
        <w:tc>
          <w:tcPr>
            <w:tcW w:w="923" w:type="dxa"/>
            <w:shd w:val="clear" w:color="auto" w:fill="auto"/>
            <w:noWrap/>
            <w:vAlign w:val="center"/>
            <w:hideMark/>
          </w:tcPr>
          <w:p w:rsidR="00BE6699" w:rsidRPr="00D55DC6" w:rsidRDefault="00BE6699" w:rsidP="0038165F">
            <w:pPr>
              <w:widowControl/>
              <w:jc w:val="center"/>
              <w:rPr>
                <w:b/>
                <w:bCs/>
                <w:kern w:val="0"/>
                <w:sz w:val="20"/>
                <w:szCs w:val="20"/>
              </w:rPr>
            </w:pPr>
            <w:r w:rsidRPr="00D55DC6">
              <w:rPr>
                <w:b/>
                <w:bCs/>
                <w:kern w:val="0"/>
                <w:sz w:val="20"/>
                <w:szCs w:val="20"/>
              </w:rPr>
              <w:t>(</w:t>
            </w:r>
            <w:r w:rsidRPr="00D55DC6">
              <w:rPr>
                <w:rFonts w:eastAsia="標楷體"/>
                <w:b/>
                <w:bCs/>
                <w:kern w:val="0"/>
                <w:sz w:val="20"/>
                <w:szCs w:val="20"/>
              </w:rPr>
              <w:t>資本門</w:t>
            </w:r>
            <w:r w:rsidRPr="00D55DC6">
              <w:rPr>
                <w:b/>
                <w:bCs/>
                <w:kern w:val="0"/>
                <w:sz w:val="20"/>
                <w:szCs w:val="20"/>
              </w:rPr>
              <w:t>)</w:t>
            </w:r>
          </w:p>
        </w:tc>
        <w:tc>
          <w:tcPr>
            <w:tcW w:w="778" w:type="dxa"/>
            <w:vMerge w:val="restart"/>
            <w:shd w:val="clear" w:color="auto" w:fill="auto"/>
            <w:vAlign w:val="center"/>
            <w:hideMark/>
          </w:tcPr>
          <w:p w:rsidR="00BE6699" w:rsidRPr="00D55DC6" w:rsidRDefault="00BE6699" w:rsidP="0038165F">
            <w:pPr>
              <w:widowControl/>
              <w:jc w:val="center"/>
              <w:rPr>
                <w:rFonts w:eastAsia="標楷體"/>
                <w:b/>
                <w:bCs/>
                <w:kern w:val="0"/>
                <w:sz w:val="22"/>
                <w:szCs w:val="22"/>
              </w:rPr>
            </w:pPr>
            <w:r w:rsidRPr="00D55DC6">
              <w:rPr>
                <w:rFonts w:eastAsia="標楷體"/>
                <w:b/>
                <w:bCs/>
                <w:kern w:val="0"/>
                <w:sz w:val="22"/>
                <w:szCs w:val="22"/>
              </w:rPr>
              <w:t>經資門</w:t>
            </w:r>
          </w:p>
        </w:tc>
      </w:tr>
      <w:tr w:rsidR="001D0350" w:rsidRPr="00D55DC6" w:rsidTr="004C13F1">
        <w:trPr>
          <w:trHeight w:val="336"/>
          <w:tblHeader/>
        </w:trPr>
        <w:tc>
          <w:tcPr>
            <w:tcW w:w="284" w:type="dxa"/>
            <w:vMerge/>
          </w:tcPr>
          <w:p w:rsidR="00BE6699" w:rsidRPr="00D55DC6" w:rsidRDefault="00BE6699" w:rsidP="0038165F">
            <w:pPr>
              <w:widowControl/>
              <w:rPr>
                <w:rFonts w:eastAsia="標楷體"/>
                <w:b/>
                <w:bCs/>
                <w:kern w:val="0"/>
              </w:rPr>
            </w:pPr>
          </w:p>
        </w:tc>
        <w:tc>
          <w:tcPr>
            <w:tcW w:w="960" w:type="dxa"/>
            <w:vMerge/>
            <w:vAlign w:val="center"/>
            <w:hideMark/>
          </w:tcPr>
          <w:p w:rsidR="00BE6699" w:rsidRPr="00D55DC6" w:rsidRDefault="00BE6699" w:rsidP="0038165F">
            <w:pPr>
              <w:widowControl/>
              <w:spacing w:line="0" w:lineRule="atLeast"/>
              <w:rPr>
                <w:rFonts w:eastAsia="標楷體"/>
                <w:b/>
                <w:bCs/>
                <w:kern w:val="0"/>
              </w:rPr>
            </w:pPr>
          </w:p>
        </w:tc>
        <w:tc>
          <w:tcPr>
            <w:tcW w:w="851" w:type="dxa"/>
            <w:shd w:val="clear" w:color="000000" w:fill="FFFF99"/>
            <w:noWrap/>
            <w:vAlign w:val="center"/>
            <w:hideMark/>
          </w:tcPr>
          <w:p w:rsidR="00BE6699" w:rsidRPr="00D55DC6" w:rsidRDefault="00BE6699" w:rsidP="0038165F">
            <w:pPr>
              <w:widowControl/>
              <w:jc w:val="center"/>
              <w:rPr>
                <w:b/>
                <w:bCs/>
                <w:kern w:val="0"/>
                <w:sz w:val="20"/>
                <w:szCs w:val="20"/>
              </w:rPr>
            </w:pPr>
            <w:r w:rsidRPr="00D55DC6">
              <w:rPr>
                <w:b/>
                <w:bCs/>
                <w:kern w:val="0"/>
                <w:sz w:val="20"/>
                <w:szCs w:val="20"/>
              </w:rPr>
              <w:t>(</w:t>
            </w:r>
            <w:r w:rsidRPr="00D55DC6">
              <w:rPr>
                <w:rFonts w:eastAsia="標楷體"/>
                <w:b/>
                <w:bCs/>
                <w:kern w:val="0"/>
                <w:sz w:val="20"/>
                <w:szCs w:val="20"/>
              </w:rPr>
              <w:t>經常門</w:t>
            </w:r>
            <w:r w:rsidRPr="00D55DC6">
              <w:rPr>
                <w:b/>
                <w:bCs/>
                <w:kern w:val="0"/>
                <w:sz w:val="20"/>
                <w:szCs w:val="20"/>
              </w:rPr>
              <w:t>)</w:t>
            </w:r>
          </w:p>
        </w:tc>
        <w:tc>
          <w:tcPr>
            <w:tcW w:w="883" w:type="dxa"/>
            <w:vMerge/>
            <w:vAlign w:val="center"/>
            <w:hideMark/>
          </w:tcPr>
          <w:p w:rsidR="00BE6699" w:rsidRPr="00D55DC6" w:rsidRDefault="00BE6699" w:rsidP="0038165F">
            <w:pPr>
              <w:widowControl/>
              <w:rPr>
                <w:rFonts w:eastAsia="標楷體"/>
                <w:b/>
                <w:bCs/>
                <w:kern w:val="0"/>
                <w:sz w:val="22"/>
                <w:szCs w:val="22"/>
              </w:rPr>
            </w:pPr>
          </w:p>
        </w:tc>
        <w:tc>
          <w:tcPr>
            <w:tcW w:w="851" w:type="dxa"/>
            <w:shd w:val="clear" w:color="000000" w:fill="FFFF99"/>
            <w:noWrap/>
            <w:vAlign w:val="center"/>
            <w:hideMark/>
          </w:tcPr>
          <w:p w:rsidR="00BE6699" w:rsidRPr="00D55DC6" w:rsidRDefault="00BE6699" w:rsidP="0038165F">
            <w:pPr>
              <w:widowControl/>
              <w:jc w:val="center"/>
              <w:rPr>
                <w:b/>
                <w:bCs/>
                <w:kern w:val="0"/>
                <w:sz w:val="20"/>
                <w:szCs w:val="20"/>
              </w:rPr>
            </w:pPr>
            <w:r w:rsidRPr="00D55DC6">
              <w:rPr>
                <w:b/>
                <w:bCs/>
                <w:kern w:val="0"/>
                <w:sz w:val="20"/>
                <w:szCs w:val="20"/>
              </w:rPr>
              <w:t>(</w:t>
            </w:r>
            <w:r w:rsidRPr="00D55DC6">
              <w:rPr>
                <w:rFonts w:eastAsia="標楷體"/>
                <w:b/>
                <w:bCs/>
                <w:kern w:val="0"/>
                <w:sz w:val="20"/>
                <w:szCs w:val="20"/>
              </w:rPr>
              <w:t>經常門</w:t>
            </w:r>
            <w:r w:rsidRPr="00D55DC6">
              <w:rPr>
                <w:b/>
                <w:bCs/>
                <w:kern w:val="0"/>
                <w:sz w:val="20"/>
                <w:szCs w:val="20"/>
              </w:rPr>
              <w:t>)</w:t>
            </w:r>
          </w:p>
        </w:tc>
        <w:tc>
          <w:tcPr>
            <w:tcW w:w="850" w:type="dxa"/>
            <w:vMerge/>
            <w:vAlign w:val="center"/>
            <w:hideMark/>
          </w:tcPr>
          <w:p w:rsidR="00BE6699" w:rsidRPr="00D55DC6" w:rsidRDefault="00BE6699" w:rsidP="0038165F">
            <w:pPr>
              <w:widowControl/>
              <w:rPr>
                <w:rFonts w:eastAsia="標楷體"/>
                <w:b/>
                <w:bCs/>
                <w:kern w:val="0"/>
                <w:sz w:val="22"/>
                <w:szCs w:val="22"/>
              </w:rPr>
            </w:pPr>
          </w:p>
        </w:tc>
        <w:tc>
          <w:tcPr>
            <w:tcW w:w="959" w:type="dxa"/>
            <w:shd w:val="clear" w:color="000000" w:fill="FFFF99"/>
            <w:noWrap/>
            <w:vAlign w:val="center"/>
            <w:hideMark/>
          </w:tcPr>
          <w:p w:rsidR="00BE6699" w:rsidRPr="00D55DC6" w:rsidRDefault="00BE6699" w:rsidP="0038165F">
            <w:pPr>
              <w:widowControl/>
              <w:jc w:val="center"/>
              <w:rPr>
                <w:b/>
                <w:bCs/>
                <w:kern w:val="0"/>
                <w:sz w:val="20"/>
                <w:szCs w:val="20"/>
              </w:rPr>
            </w:pPr>
            <w:r w:rsidRPr="00D55DC6">
              <w:rPr>
                <w:b/>
                <w:bCs/>
                <w:kern w:val="0"/>
                <w:sz w:val="20"/>
                <w:szCs w:val="20"/>
              </w:rPr>
              <w:t>(</w:t>
            </w:r>
            <w:r w:rsidRPr="00D55DC6">
              <w:rPr>
                <w:rFonts w:eastAsia="標楷體"/>
                <w:b/>
                <w:bCs/>
                <w:kern w:val="0"/>
                <w:sz w:val="20"/>
                <w:szCs w:val="20"/>
              </w:rPr>
              <w:t>經常門</w:t>
            </w:r>
            <w:r w:rsidRPr="00D55DC6">
              <w:rPr>
                <w:b/>
                <w:bCs/>
                <w:kern w:val="0"/>
                <w:sz w:val="20"/>
                <w:szCs w:val="20"/>
              </w:rPr>
              <w:t>)</w:t>
            </w:r>
          </w:p>
        </w:tc>
        <w:tc>
          <w:tcPr>
            <w:tcW w:w="883" w:type="dxa"/>
            <w:vMerge/>
            <w:vAlign w:val="center"/>
            <w:hideMark/>
          </w:tcPr>
          <w:p w:rsidR="00BE6699" w:rsidRPr="00D55DC6" w:rsidRDefault="00BE6699" w:rsidP="0038165F">
            <w:pPr>
              <w:widowControl/>
              <w:rPr>
                <w:rFonts w:eastAsia="標楷體"/>
                <w:b/>
                <w:bCs/>
                <w:kern w:val="0"/>
                <w:sz w:val="22"/>
                <w:szCs w:val="22"/>
              </w:rPr>
            </w:pPr>
          </w:p>
        </w:tc>
        <w:tc>
          <w:tcPr>
            <w:tcW w:w="959" w:type="dxa"/>
            <w:shd w:val="clear" w:color="000000" w:fill="FFFF99"/>
            <w:noWrap/>
            <w:vAlign w:val="center"/>
            <w:hideMark/>
          </w:tcPr>
          <w:p w:rsidR="00BE6699" w:rsidRPr="00D55DC6" w:rsidRDefault="00BE6699" w:rsidP="0038165F">
            <w:pPr>
              <w:widowControl/>
              <w:jc w:val="center"/>
              <w:rPr>
                <w:b/>
                <w:bCs/>
                <w:kern w:val="0"/>
                <w:sz w:val="20"/>
                <w:szCs w:val="20"/>
              </w:rPr>
            </w:pPr>
            <w:r w:rsidRPr="00D55DC6">
              <w:rPr>
                <w:b/>
                <w:bCs/>
                <w:kern w:val="0"/>
                <w:sz w:val="20"/>
                <w:szCs w:val="20"/>
              </w:rPr>
              <w:t>(</w:t>
            </w:r>
            <w:r w:rsidRPr="00D55DC6">
              <w:rPr>
                <w:rFonts w:eastAsia="標楷體"/>
                <w:b/>
                <w:bCs/>
                <w:kern w:val="0"/>
                <w:sz w:val="20"/>
                <w:szCs w:val="20"/>
              </w:rPr>
              <w:t>經常門</w:t>
            </w:r>
            <w:r w:rsidRPr="00D55DC6">
              <w:rPr>
                <w:b/>
                <w:bCs/>
                <w:kern w:val="0"/>
                <w:sz w:val="20"/>
                <w:szCs w:val="20"/>
              </w:rPr>
              <w:t>)</w:t>
            </w:r>
          </w:p>
        </w:tc>
        <w:tc>
          <w:tcPr>
            <w:tcW w:w="884" w:type="dxa"/>
            <w:vMerge/>
            <w:vAlign w:val="center"/>
            <w:hideMark/>
          </w:tcPr>
          <w:p w:rsidR="00BE6699" w:rsidRPr="00D55DC6" w:rsidRDefault="00BE6699" w:rsidP="0038165F">
            <w:pPr>
              <w:widowControl/>
              <w:rPr>
                <w:rFonts w:eastAsia="標楷體"/>
                <w:b/>
                <w:bCs/>
                <w:kern w:val="0"/>
                <w:sz w:val="22"/>
                <w:szCs w:val="22"/>
              </w:rPr>
            </w:pPr>
          </w:p>
        </w:tc>
        <w:tc>
          <w:tcPr>
            <w:tcW w:w="923" w:type="dxa"/>
            <w:shd w:val="clear" w:color="000000" w:fill="FFFF99"/>
            <w:noWrap/>
            <w:vAlign w:val="center"/>
            <w:hideMark/>
          </w:tcPr>
          <w:p w:rsidR="00BE6699" w:rsidRPr="00D55DC6" w:rsidRDefault="00BE6699" w:rsidP="0038165F">
            <w:pPr>
              <w:widowControl/>
              <w:jc w:val="center"/>
              <w:rPr>
                <w:b/>
                <w:bCs/>
                <w:kern w:val="0"/>
                <w:sz w:val="20"/>
                <w:szCs w:val="20"/>
              </w:rPr>
            </w:pPr>
            <w:r w:rsidRPr="00D55DC6">
              <w:rPr>
                <w:b/>
                <w:bCs/>
                <w:kern w:val="0"/>
                <w:sz w:val="20"/>
                <w:szCs w:val="20"/>
              </w:rPr>
              <w:t>(</w:t>
            </w:r>
            <w:r w:rsidRPr="00D55DC6">
              <w:rPr>
                <w:rFonts w:eastAsia="標楷體"/>
                <w:b/>
                <w:bCs/>
                <w:kern w:val="0"/>
                <w:sz w:val="20"/>
                <w:szCs w:val="20"/>
              </w:rPr>
              <w:t>經常門</w:t>
            </w:r>
            <w:r w:rsidRPr="00D55DC6">
              <w:rPr>
                <w:b/>
                <w:bCs/>
                <w:kern w:val="0"/>
                <w:sz w:val="20"/>
                <w:szCs w:val="20"/>
              </w:rPr>
              <w:t>)</w:t>
            </w:r>
          </w:p>
        </w:tc>
        <w:tc>
          <w:tcPr>
            <w:tcW w:w="778" w:type="dxa"/>
            <w:vMerge/>
            <w:vAlign w:val="center"/>
            <w:hideMark/>
          </w:tcPr>
          <w:p w:rsidR="00BE6699" w:rsidRPr="00D55DC6" w:rsidRDefault="00BE6699" w:rsidP="0038165F">
            <w:pPr>
              <w:widowControl/>
              <w:rPr>
                <w:rFonts w:eastAsia="標楷體"/>
                <w:b/>
                <w:bCs/>
                <w:kern w:val="0"/>
                <w:sz w:val="22"/>
                <w:szCs w:val="22"/>
              </w:rPr>
            </w:pPr>
          </w:p>
        </w:tc>
      </w:tr>
      <w:tr w:rsidR="001D0350" w:rsidRPr="00D55DC6" w:rsidTr="004C13F1">
        <w:trPr>
          <w:trHeight w:val="645"/>
        </w:trPr>
        <w:tc>
          <w:tcPr>
            <w:tcW w:w="284" w:type="dxa"/>
            <w:vMerge w:val="restart"/>
          </w:tcPr>
          <w:p w:rsidR="00BE6699" w:rsidRPr="00D55DC6" w:rsidRDefault="00BE6699" w:rsidP="0038165F">
            <w:pPr>
              <w:widowControl/>
              <w:rPr>
                <w:rFonts w:eastAsia="標楷體"/>
                <w:kern w:val="0"/>
                <w:sz w:val="20"/>
                <w:szCs w:val="20"/>
              </w:rPr>
            </w:pPr>
            <w:r w:rsidRPr="00D55DC6">
              <w:rPr>
                <w:rFonts w:eastAsia="標楷體"/>
                <w:kern w:val="0"/>
                <w:sz w:val="20"/>
                <w:szCs w:val="20"/>
              </w:rPr>
              <w:t>1</w:t>
            </w:r>
          </w:p>
        </w:tc>
        <w:tc>
          <w:tcPr>
            <w:tcW w:w="960" w:type="dxa"/>
            <w:vMerge w:val="restart"/>
            <w:shd w:val="clear" w:color="auto" w:fill="auto"/>
            <w:vAlign w:val="center"/>
            <w:hideMark/>
          </w:tcPr>
          <w:p w:rsidR="00BE6699" w:rsidRPr="00D55DC6" w:rsidRDefault="00BE6699" w:rsidP="0038165F">
            <w:pPr>
              <w:widowControl/>
              <w:spacing w:line="0" w:lineRule="atLeast"/>
              <w:rPr>
                <w:rFonts w:eastAsia="標楷體"/>
                <w:kern w:val="0"/>
                <w:sz w:val="20"/>
                <w:szCs w:val="20"/>
              </w:rPr>
            </w:pPr>
            <w:r w:rsidRPr="00D55DC6">
              <w:rPr>
                <w:rFonts w:eastAsia="標楷體"/>
                <w:kern w:val="0"/>
                <w:sz w:val="20"/>
                <w:szCs w:val="20"/>
              </w:rPr>
              <w:t>東北角暨宜蘭海岸國家風景區建設計畫</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2.14</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2.30</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2.14</w:t>
            </w:r>
          </w:p>
        </w:tc>
        <w:tc>
          <w:tcPr>
            <w:tcW w:w="850"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2.30</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2.14</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2.30</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2.14</w:t>
            </w:r>
          </w:p>
        </w:tc>
        <w:tc>
          <w:tcPr>
            <w:tcW w:w="884"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2.30</w:t>
            </w:r>
          </w:p>
        </w:tc>
        <w:tc>
          <w:tcPr>
            <w:tcW w:w="923" w:type="dxa"/>
            <w:shd w:val="clear" w:color="auto" w:fill="auto"/>
            <w:noWrap/>
            <w:vAlign w:val="center"/>
            <w:hideMark/>
          </w:tcPr>
          <w:p w:rsidR="00BE6699" w:rsidRPr="00D55DC6" w:rsidRDefault="00BE6699" w:rsidP="0038165F">
            <w:pPr>
              <w:widowControl/>
              <w:jc w:val="right"/>
              <w:rPr>
                <w:kern w:val="0"/>
              </w:rPr>
            </w:pPr>
            <w:r w:rsidRPr="00D55DC6">
              <w:rPr>
                <w:kern w:val="0"/>
              </w:rPr>
              <w:t>8.56</w:t>
            </w:r>
          </w:p>
        </w:tc>
        <w:tc>
          <w:tcPr>
            <w:tcW w:w="778"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9.20</w:t>
            </w:r>
          </w:p>
        </w:tc>
      </w:tr>
      <w:tr w:rsidR="001D0350" w:rsidRPr="00D55DC6" w:rsidTr="004C13F1">
        <w:trPr>
          <w:trHeight w:val="646"/>
        </w:trPr>
        <w:tc>
          <w:tcPr>
            <w:tcW w:w="284" w:type="dxa"/>
            <w:vMerge/>
          </w:tcPr>
          <w:p w:rsidR="00BE6699" w:rsidRPr="00D55DC6" w:rsidRDefault="00BE6699" w:rsidP="0038165F">
            <w:pPr>
              <w:widowControl/>
              <w:rPr>
                <w:rFonts w:eastAsia="標楷體"/>
                <w:kern w:val="0"/>
                <w:sz w:val="20"/>
                <w:szCs w:val="20"/>
              </w:rPr>
            </w:pPr>
          </w:p>
        </w:tc>
        <w:tc>
          <w:tcPr>
            <w:tcW w:w="960" w:type="dxa"/>
            <w:vMerge/>
            <w:vAlign w:val="center"/>
            <w:hideMark/>
          </w:tcPr>
          <w:p w:rsidR="00BE6699" w:rsidRPr="00D55DC6" w:rsidRDefault="00BE6699" w:rsidP="0038165F">
            <w:pPr>
              <w:widowControl/>
              <w:spacing w:line="0" w:lineRule="atLeast"/>
              <w:rPr>
                <w:rFonts w:eastAsia="標楷體"/>
                <w:kern w:val="0"/>
                <w:sz w:val="20"/>
                <w:szCs w:val="2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0.16</w:t>
            </w:r>
          </w:p>
        </w:tc>
        <w:tc>
          <w:tcPr>
            <w:tcW w:w="883" w:type="dxa"/>
            <w:vMerge/>
            <w:vAlign w:val="center"/>
            <w:hideMark/>
          </w:tcPr>
          <w:p w:rsidR="00BE6699" w:rsidRPr="00D55DC6" w:rsidRDefault="00BE6699" w:rsidP="0038165F">
            <w:pPr>
              <w:widowControl/>
              <w:rPr>
                <w:kern w:val="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0.16</w:t>
            </w:r>
          </w:p>
        </w:tc>
        <w:tc>
          <w:tcPr>
            <w:tcW w:w="850"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0.16</w:t>
            </w:r>
          </w:p>
        </w:tc>
        <w:tc>
          <w:tcPr>
            <w:tcW w:w="883"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0.16</w:t>
            </w:r>
          </w:p>
        </w:tc>
        <w:tc>
          <w:tcPr>
            <w:tcW w:w="884" w:type="dxa"/>
            <w:vMerge/>
            <w:vAlign w:val="center"/>
            <w:hideMark/>
          </w:tcPr>
          <w:p w:rsidR="00BE6699" w:rsidRPr="00D55DC6" w:rsidRDefault="00BE6699" w:rsidP="0038165F">
            <w:pPr>
              <w:widowControl/>
              <w:rPr>
                <w:kern w:val="0"/>
              </w:rPr>
            </w:pPr>
          </w:p>
        </w:tc>
        <w:tc>
          <w:tcPr>
            <w:tcW w:w="923" w:type="dxa"/>
            <w:shd w:val="clear" w:color="000000" w:fill="FFFF99"/>
            <w:noWrap/>
            <w:vAlign w:val="center"/>
            <w:hideMark/>
          </w:tcPr>
          <w:p w:rsidR="00BE6699" w:rsidRPr="00D55DC6" w:rsidRDefault="00BE6699" w:rsidP="0038165F">
            <w:pPr>
              <w:widowControl/>
              <w:jc w:val="right"/>
              <w:rPr>
                <w:kern w:val="0"/>
              </w:rPr>
            </w:pPr>
            <w:r w:rsidRPr="00D55DC6">
              <w:rPr>
                <w:kern w:val="0"/>
              </w:rPr>
              <w:t>0.64</w:t>
            </w:r>
          </w:p>
        </w:tc>
        <w:tc>
          <w:tcPr>
            <w:tcW w:w="778" w:type="dxa"/>
            <w:vMerge/>
            <w:vAlign w:val="center"/>
            <w:hideMark/>
          </w:tcPr>
          <w:p w:rsidR="00BE6699" w:rsidRPr="00D55DC6" w:rsidRDefault="00BE6699" w:rsidP="0038165F">
            <w:pPr>
              <w:widowControl/>
              <w:rPr>
                <w:kern w:val="0"/>
              </w:rPr>
            </w:pPr>
          </w:p>
        </w:tc>
      </w:tr>
      <w:tr w:rsidR="001D0350" w:rsidRPr="00D55DC6" w:rsidTr="004C13F1">
        <w:trPr>
          <w:trHeight w:val="515"/>
        </w:trPr>
        <w:tc>
          <w:tcPr>
            <w:tcW w:w="284" w:type="dxa"/>
            <w:vMerge w:val="restart"/>
          </w:tcPr>
          <w:p w:rsidR="00BE6699" w:rsidRPr="00D55DC6" w:rsidRDefault="00BE6699" w:rsidP="0038165F">
            <w:pPr>
              <w:widowControl/>
              <w:rPr>
                <w:rFonts w:eastAsia="標楷體"/>
                <w:kern w:val="0"/>
                <w:sz w:val="20"/>
                <w:szCs w:val="20"/>
              </w:rPr>
            </w:pPr>
            <w:r w:rsidRPr="00D55DC6">
              <w:rPr>
                <w:rFonts w:eastAsia="標楷體"/>
                <w:kern w:val="0"/>
                <w:sz w:val="20"/>
                <w:szCs w:val="20"/>
              </w:rPr>
              <w:t>2</w:t>
            </w:r>
          </w:p>
        </w:tc>
        <w:tc>
          <w:tcPr>
            <w:tcW w:w="960" w:type="dxa"/>
            <w:vMerge w:val="restart"/>
            <w:shd w:val="clear" w:color="auto" w:fill="auto"/>
            <w:vAlign w:val="center"/>
            <w:hideMark/>
          </w:tcPr>
          <w:p w:rsidR="00BE6699" w:rsidRPr="00D55DC6" w:rsidRDefault="00BE6699" w:rsidP="0038165F">
            <w:pPr>
              <w:widowControl/>
              <w:spacing w:line="0" w:lineRule="atLeast"/>
              <w:rPr>
                <w:rFonts w:eastAsia="標楷體"/>
                <w:kern w:val="0"/>
                <w:sz w:val="20"/>
                <w:szCs w:val="20"/>
              </w:rPr>
            </w:pPr>
            <w:r w:rsidRPr="00D55DC6">
              <w:rPr>
                <w:rFonts w:eastAsia="標楷體"/>
                <w:kern w:val="0"/>
                <w:sz w:val="20"/>
                <w:szCs w:val="20"/>
              </w:rPr>
              <w:t>北海岸及觀音山國家風景區建設計畫</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2.33</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2.55</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2.31</w:t>
            </w:r>
          </w:p>
        </w:tc>
        <w:tc>
          <w:tcPr>
            <w:tcW w:w="850"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2.55</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2.11</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2.35</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3.56</w:t>
            </w:r>
          </w:p>
        </w:tc>
        <w:tc>
          <w:tcPr>
            <w:tcW w:w="884"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3.80</w:t>
            </w:r>
          </w:p>
        </w:tc>
        <w:tc>
          <w:tcPr>
            <w:tcW w:w="923" w:type="dxa"/>
            <w:shd w:val="clear" w:color="auto" w:fill="auto"/>
            <w:noWrap/>
            <w:vAlign w:val="center"/>
            <w:hideMark/>
          </w:tcPr>
          <w:p w:rsidR="00BE6699" w:rsidRPr="00D55DC6" w:rsidRDefault="00BE6699" w:rsidP="0038165F">
            <w:pPr>
              <w:widowControl/>
              <w:jc w:val="right"/>
              <w:rPr>
                <w:kern w:val="0"/>
              </w:rPr>
            </w:pPr>
            <w:r w:rsidRPr="00D55DC6">
              <w:rPr>
                <w:kern w:val="0"/>
              </w:rPr>
              <w:t>10.31</w:t>
            </w:r>
          </w:p>
        </w:tc>
        <w:tc>
          <w:tcPr>
            <w:tcW w:w="778"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11.25</w:t>
            </w:r>
          </w:p>
        </w:tc>
      </w:tr>
      <w:tr w:rsidR="001D0350" w:rsidRPr="00D55DC6" w:rsidTr="004C13F1">
        <w:trPr>
          <w:trHeight w:val="516"/>
        </w:trPr>
        <w:tc>
          <w:tcPr>
            <w:tcW w:w="284" w:type="dxa"/>
            <w:vMerge/>
          </w:tcPr>
          <w:p w:rsidR="00BE6699" w:rsidRPr="00D55DC6" w:rsidRDefault="00BE6699" w:rsidP="0038165F">
            <w:pPr>
              <w:widowControl/>
              <w:rPr>
                <w:rFonts w:eastAsia="標楷體"/>
                <w:kern w:val="0"/>
                <w:sz w:val="20"/>
                <w:szCs w:val="20"/>
              </w:rPr>
            </w:pPr>
          </w:p>
        </w:tc>
        <w:tc>
          <w:tcPr>
            <w:tcW w:w="960" w:type="dxa"/>
            <w:vMerge/>
            <w:vAlign w:val="center"/>
            <w:hideMark/>
          </w:tcPr>
          <w:p w:rsidR="00BE6699" w:rsidRPr="00D55DC6" w:rsidRDefault="00BE6699" w:rsidP="0038165F">
            <w:pPr>
              <w:widowControl/>
              <w:spacing w:line="0" w:lineRule="atLeast"/>
              <w:rPr>
                <w:rFonts w:eastAsia="標楷體"/>
                <w:kern w:val="0"/>
                <w:sz w:val="20"/>
                <w:szCs w:val="2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0.22</w:t>
            </w:r>
          </w:p>
        </w:tc>
        <w:tc>
          <w:tcPr>
            <w:tcW w:w="883" w:type="dxa"/>
            <w:vMerge/>
            <w:vAlign w:val="center"/>
            <w:hideMark/>
          </w:tcPr>
          <w:p w:rsidR="00BE6699" w:rsidRPr="00D55DC6" w:rsidRDefault="00BE6699" w:rsidP="0038165F">
            <w:pPr>
              <w:widowControl/>
              <w:rPr>
                <w:kern w:val="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0.24</w:t>
            </w:r>
          </w:p>
        </w:tc>
        <w:tc>
          <w:tcPr>
            <w:tcW w:w="850"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0.24</w:t>
            </w:r>
          </w:p>
        </w:tc>
        <w:tc>
          <w:tcPr>
            <w:tcW w:w="883"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0.24</w:t>
            </w:r>
          </w:p>
        </w:tc>
        <w:tc>
          <w:tcPr>
            <w:tcW w:w="884" w:type="dxa"/>
            <w:vMerge/>
            <w:vAlign w:val="center"/>
            <w:hideMark/>
          </w:tcPr>
          <w:p w:rsidR="00BE6699" w:rsidRPr="00D55DC6" w:rsidRDefault="00BE6699" w:rsidP="0038165F">
            <w:pPr>
              <w:widowControl/>
              <w:rPr>
                <w:kern w:val="0"/>
              </w:rPr>
            </w:pPr>
          </w:p>
        </w:tc>
        <w:tc>
          <w:tcPr>
            <w:tcW w:w="923" w:type="dxa"/>
            <w:shd w:val="clear" w:color="000000" w:fill="FFFF99"/>
            <w:noWrap/>
            <w:vAlign w:val="center"/>
            <w:hideMark/>
          </w:tcPr>
          <w:p w:rsidR="00BE6699" w:rsidRPr="00D55DC6" w:rsidRDefault="00BE6699" w:rsidP="0038165F">
            <w:pPr>
              <w:widowControl/>
              <w:jc w:val="right"/>
              <w:rPr>
                <w:kern w:val="0"/>
              </w:rPr>
            </w:pPr>
            <w:r w:rsidRPr="00D55DC6">
              <w:rPr>
                <w:kern w:val="0"/>
              </w:rPr>
              <w:t>0.94</w:t>
            </w:r>
          </w:p>
        </w:tc>
        <w:tc>
          <w:tcPr>
            <w:tcW w:w="778" w:type="dxa"/>
            <w:vMerge/>
            <w:vAlign w:val="center"/>
            <w:hideMark/>
          </w:tcPr>
          <w:p w:rsidR="00BE6699" w:rsidRPr="00D55DC6" w:rsidRDefault="00BE6699" w:rsidP="0038165F">
            <w:pPr>
              <w:widowControl/>
              <w:rPr>
                <w:kern w:val="0"/>
              </w:rPr>
            </w:pPr>
          </w:p>
        </w:tc>
      </w:tr>
      <w:tr w:rsidR="001D0350" w:rsidRPr="00D55DC6" w:rsidTr="004C13F1">
        <w:trPr>
          <w:trHeight w:val="426"/>
        </w:trPr>
        <w:tc>
          <w:tcPr>
            <w:tcW w:w="284" w:type="dxa"/>
            <w:vMerge w:val="restart"/>
          </w:tcPr>
          <w:p w:rsidR="00BE6699" w:rsidRPr="00D55DC6" w:rsidRDefault="00BE6699" w:rsidP="0038165F">
            <w:pPr>
              <w:widowControl/>
              <w:rPr>
                <w:rFonts w:eastAsia="標楷體"/>
                <w:kern w:val="0"/>
                <w:sz w:val="20"/>
                <w:szCs w:val="20"/>
              </w:rPr>
            </w:pPr>
            <w:r w:rsidRPr="00D55DC6">
              <w:rPr>
                <w:rFonts w:eastAsia="標楷體"/>
                <w:kern w:val="0"/>
                <w:sz w:val="20"/>
                <w:szCs w:val="20"/>
              </w:rPr>
              <w:t>3</w:t>
            </w:r>
          </w:p>
        </w:tc>
        <w:tc>
          <w:tcPr>
            <w:tcW w:w="960" w:type="dxa"/>
            <w:vMerge w:val="restart"/>
            <w:shd w:val="clear" w:color="auto" w:fill="auto"/>
            <w:vAlign w:val="center"/>
            <w:hideMark/>
          </w:tcPr>
          <w:p w:rsidR="00BE6699" w:rsidRPr="00D55DC6" w:rsidRDefault="00BE6699" w:rsidP="0038165F">
            <w:pPr>
              <w:widowControl/>
              <w:spacing w:line="0" w:lineRule="atLeast"/>
              <w:rPr>
                <w:rFonts w:eastAsia="標楷體"/>
                <w:kern w:val="0"/>
                <w:sz w:val="20"/>
                <w:szCs w:val="20"/>
              </w:rPr>
            </w:pPr>
            <w:r w:rsidRPr="00D55DC6">
              <w:rPr>
                <w:rFonts w:eastAsia="標楷體"/>
                <w:kern w:val="0"/>
                <w:sz w:val="20"/>
                <w:szCs w:val="20"/>
              </w:rPr>
              <w:t>日月潭國家風景區建設計畫</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2.56</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2.83</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2.43</w:t>
            </w:r>
          </w:p>
        </w:tc>
        <w:tc>
          <w:tcPr>
            <w:tcW w:w="850"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2.70</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2.57</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2.84</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2.54</w:t>
            </w:r>
          </w:p>
        </w:tc>
        <w:tc>
          <w:tcPr>
            <w:tcW w:w="884"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2.81</w:t>
            </w:r>
          </w:p>
        </w:tc>
        <w:tc>
          <w:tcPr>
            <w:tcW w:w="923" w:type="dxa"/>
            <w:shd w:val="clear" w:color="auto" w:fill="auto"/>
            <w:noWrap/>
            <w:vAlign w:val="center"/>
            <w:hideMark/>
          </w:tcPr>
          <w:p w:rsidR="00BE6699" w:rsidRPr="00D55DC6" w:rsidRDefault="00BE6699" w:rsidP="0038165F">
            <w:pPr>
              <w:widowControl/>
              <w:jc w:val="right"/>
              <w:rPr>
                <w:kern w:val="0"/>
              </w:rPr>
            </w:pPr>
            <w:r w:rsidRPr="00D55DC6">
              <w:rPr>
                <w:kern w:val="0"/>
              </w:rPr>
              <w:t>10.10</w:t>
            </w:r>
          </w:p>
        </w:tc>
        <w:tc>
          <w:tcPr>
            <w:tcW w:w="778"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11.18</w:t>
            </w:r>
          </w:p>
        </w:tc>
      </w:tr>
      <w:tr w:rsidR="001D0350" w:rsidRPr="00D55DC6" w:rsidTr="004C13F1">
        <w:trPr>
          <w:trHeight w:val="426"/>
        </w:trPr>
        <w:tc>
          <w:tcPr>
            <w:tcW w:w="284" w:type="dxa"/>
            <w:vMerge/>
          </w:tcPr>
          <w:p w:rsidR="00BE6699" w:rsidRPr="00D55DC6" w:rsidRDefault="00BE6699" w:rsidP="0038165F">
            <w:pPr>
              <w:widowControl/>
              <w:rPr>
                <w:rFonts w:eastAsia="標楷體"/>
                <w:kern w:val="0"/>
                <w:sz w:val="20"/>
                <w:szCs w:val="20"/>
              </w:rPr>
            </w:pPr>
          </w:p>
        </w:tc>
        <w:tc>
          <w:tcPr>
            <w:tcW w:w="960" w:type="dxa"/>
            <w:vMerge/>
            <w:vAlign w:val="center"/>
            <w:hideMark/>
          </w:tcPr>
          <w:p w:rsidR="00BE6699" w:rsidRPr="00D55DC6" w:rsidRDefault="00BE6699" w:rsidP="0038165F">
            <w:pPr>
              <w:widowControl/>
              <w:spacing w:line="0" w:lineRule="atLeast"/>
              <w:rPr>
                <w:rFonts w:eastAsia="標楷體"/>
                <w:kern w:val="0"/>
                <w:sz w:val="20"/>
                <w:szCs w:val="2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0.27</w:t>
            </w:r>
          </w:p>
        </w:tc>
        <w:tc>
          <w:tcPr>
            <w:tcW w:w="883" w:type="dxa"/>
            <w:vMerge/>
            <w:vAlign w:val="center"/>
            <w:hideMark/>
          </w:tcPr>
          <w:p w:rsidR="00BE6699" w:rsidRPr="00D55DC6" w:rsidRDefault="00BE6699" w:rsidP="0038165F">
            <w:pPr>
              <w:widowControl/>
              <w:rPr>
                <w:kern w:val="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0.27</w:t>
            </w:r>
          </w:p>
        </w:tc>
        <w:tc>
          <w:tcPr>
            <w:tcW w:w="850"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0.27</w:t>
            </w:r>
          </w:p>
        </w:tc>
        <w:tc>
          <w:tcPr>
            <w:tcW w:w="883"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0.27</w:t>
            </w:r>
          </w:p>
        </w:tc>
        <w:tc>
          <w:tcPr>
            <w:tcW w:w="884" w:type="dxa"/>
            <w:vMerge/>
            <w:vAlign w:val="center"/>
            <w:hideMark/>
          </w:tcPr>
          <w:p w:rsidR="00BE6699" w:rsidRPr="00D55DC6" w:rsidRDefault="00BE6699" w:rsidP="0038165F">
            <w:pPr>
              <w:widowControl/>
              <w:rPr>
                <w:kern w:val="0"/>
              </w:rPr>
            </w:pPr>
          </w:p>
        </w:tc>
        <w:tc>
          <w:tcPr>
            <w:tcW w:w="923" w:type="dxa"/>
            <w:shd w:val="clear" w:color="000000" w:fill="FFFF99"/>
            <w:noWrap/>
            <w:vAlign w:val="center"/>
            <w:hideMark/>
          </w:tcPr>
          <w:p w:rsidR="00BE6699" w:rsidRPr="00D55DC6" w:rsidRDefault="00BE6699" w:rsidP="0038165F">
            <w:pPr>
              <w:widowControl/>
              <w:jc w:val="right"/>
              <w:rPr>
                <w:kern w:val="0"/>
              </w:rPr>
            </w:pPr>
            <w:r w:rsidRPr="00D55DC6">
              <w:rPr>
                <w:kern w:val="0"/>
              </w:rPr>
              <w:t>1.08</w:t>
            </w:r>
          </w:p>
        </w:tc>
        <w:tc>
          <w:tcPr>
            <w:tcW w:w="778" w:type="dxa"/>
            <w:vMerge/>
            <w:vAlign w:val="center"/>
            <w:hideMark/>
          </w:tcPr>
          <w:p w:rsidR="00BE6699" w:rsidRPr="00D55DC6" w:rsidRDefault="00BE6699" w:rsidP="0038165F">
            <w:pPr>
              <w:widowControl/>
              <w:rPr>
                <w:kern w:val="0"/>
              </w:rPr>
            </w:pPr>
          </w:p>
        </w:tc>
      </w:tr>
      <w:tr w:rsidR="001D0350" w:rsidRPr="00D55DC6" w:rsidTr="004C13F1">
        <w:trPr>
          <w:trHeight w:val="436"/>
        </w:trPr>
        <w:tc>
          <w:tcPr>
            <w:tcW w:w="284" w:type="dxa"/>
            <w:vMerge w:val="restart"/>
          </w:tcPr>
          <w:p w:rsidR="00BE6699" w:rsidRPr="00D55DC6" w:rsidRDefault="00BE6699" w:rsidP="0038165F">
            <w:pPr>
              <w:widowControl/>
              <w:rPr>
                <w:rFonts w:eastAsia="標楷體"/>
                <w:kern w:val="0"/>
                <w:sz w:val="20"/>
                <w:szCs w:val="20"/>
              </w:rPr>
            </w:pPr>
            <w:r w:rsidRPr="00D55DC6">
              <w:rPr>
                <w:rFonts w:eastAsia="標楷體"/>
                <w:kern w:val="0"/>
                <w:sz w:val="20"/>
                <w:szCs w:val="20"/>
              </w:rPr>
              <w:t>4</w:t>
            </w:r>
          </w:p>
        </w:tc>
        <w:tc>
          <w:tcPr>
            <w:tcW w:w="960" w:type="dxa"/>
            <w:vMerge w:val="restart"/>
            <w:shd w:val="clear" w:color="auto" w:fill="auto"/>
            <w:vAlign w:val="center"/>
            <w:hideMark/>
          </w:tcPr>
          <w:p w:rsidR="00BE6699" w:rsidRPr="00D55DC6" w:rsidRDefault="00BE6699" w:rsidP="0038165F">
            <w:pPr>
              <w:widowControl/>
              <w:spacing w:line="0" w:lineRule="atLeast"/>
              <w:rPr>
                <w:rFonts w:eastAsia="標楷體"/>
                <w:kern w:val="0"/>
                <w:sz w:val="20"/>
                <w:szCs w:val="20"/>
              </w:rPr>
            </w:pPr>
            <w:r w:rsidRPr="00D55DC6">
              <w:rPr>
                <w:rFonts w:eastAsia="標楷體"/>
                <w:kern w:val="0"/>
                <w:sz w:val="20"/>
                <w:szCs w:val="20"/>
              </w:rPr>
              <w:t>參山國家風景區管理處</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1.62</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1.80</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1.62</w:t>
            </w:r>
          </w:p>
        </w:tc>
        <w:tc>
          <w:tcPr>
            <w:tcW w:w="850"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1.80</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1.62</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1.80</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1.62</w:t>
            </w:r>
          </w:p>
        </w:tc>
        <w:tc>
          <w:tcPr>
            <w:tcW w:w="884"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1.80</w:t>
            </w:r>
          </w:p>
        </w:tc>
        <w:tc>
          <w:tcPr>
            <w:tcW w:w="923" w:type="dxa"/>
            <w:shd w:val="clear" w:color="auto" w:fill="auto"/>
            <w:noWrap/>
            <w:vAlign w:val="center"/>
            <w:hideMark/>
          </w:tcPr>
          <w:p w:rsidR="00BE6699" w:rsidRPr="00D55DC6" w:rsidRDefault="00BE6699" w:rsidP="0038165F">
            <w:pPr>
              <w:widowControl/>
              <w:jc w:val="right"/>
              <w:rPr>
                <w:kern w:val="0"/>
              </w:rPr>
            </w:pPr>
            <w:r w:rsidRPr="00D55DC6">
              <w:rPr>
                <w:kern w:val="0"/>
              </w:rPr>
              <w:t>6.48</w:t>
            </w:r>
          </w:p>
        </w:tc>
        <w:tc>
          <w:tcPr>
            <w:tcW w:w="778"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7.20</w:t>
            </w:r>
          </w:p>
        </w:tc>
      </w:tr>
      <w:tr w:rsidR="001D0350" w:rsidRPr="00D55DC6" w:rsidTr="004C13F1">
        <w:trPr>
          <w:trHeight w:val="367"/>
        </w:trPr>
        <w:tc>
          <w:tcPr>
            <w:tcW w:w="284" w:type="dxa"/>
            <w:vMerge/>
          </w:tcPr>
          <w:p w:rsidR="00BE6699" w:rsidRPr="00D55DC6" w:rsidRDefault="00BE6699" w:rsidP="0038165F">
            <w:pPr>
              <w:widowControl/>
              <w:rPr>
                <w:rFonts w:eastAsia="標楷體"/>
                <w:kern w:val="0"/>
                <w:sz w:val="20"/>
                <w:szCs w:val="20"/>
              </w:rPr>
            </w:pPr>
          </w:p>
        </w:tc>
        <w:tc>
          <w:tcPr>
            <w:tcW w:w="960" w:type="dxa"/>
            <w:vMerge/>
            <w:vAlign w:val="center"/>
            <w:hideMark/>
          </w:tcPr>
          <w:p w:rsidR="00BE6699" w:rsidRPr="00D55DC6" w:rsidRDefault="00BE6699" w:rsidP="0038165F">
            <w:pPr>
              <w:widowControl/>
              <w:spacing w:line="0" w:lineRule="atLeast"/>
              <w:rPr>
                <w:rFonts w:eastAsia="標楷體"/>
                <w:kern w:val="0"/>
                <w:sz w:val="20"/>
                <w:szCs w:val="2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0.18</w:t>
            </w:r>
          </w:p>
        </w:tc>
        <w:tc>
          <w:tcPr>
            <w:tcW w:w="883" w:type="dxa"/>
            <w:vMerge/>
            <w:vAlign w:val="center"/>
            <w:hideMark/>
          </w:tcPr>
          <w:p w:rsidR="00BE6699" w:rsidRPr="00D55DC6" w:rsidRDefault="00BE6699" w:rsidP="0038165F">
            <w:pPr>
              <w:widowControl/>
              <w:rPr>
                <w:kern w:val="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0.18</w:t>
            </w:r>
          </w:p>
        </w:tc>
        <w:tc>
          <w:tcPr>
            <w:tcW w:w="850"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0.18</w:t>
            </w:r>
          </w:p>
        </w:tc>
        <w:tc>
          <w:tcPr>
            <w:tcW w:w="883"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0.18</w:t>
            </w:r>
          </w:p>
        </w:tc>
        <w:tc>
          <w:tcPr>
            <w:tcW w:w="884" w:type="dxa"/>
            <w:vMerge/>
            <w:vAlign w:val="center"/>
            <w:hideMark/>
          </w:tcPr>
          <w:p w:rsidR="00BE6699" w:rsidRPr="00D55DC6" w:rsidRDefault="00BE6699" w:rsidP="0038165F">
            <w:pPr>
              <w:widowControl/>
              <w:rPr>
                <w:kern w:val="0"/>
              </w:rPr>
            </w:pPr>
          </w:p>
        </w:tc>
        <w:tc>
          <w:tcPr>
            <w:tcW w:w="923" w:type="dxa"/>
            <w:shd w:val="clear" w:color="000000" w:fill="FFFF99"/>
            <w:noWrap/>
            <w:vAlign w:val="center"/>
            <w:hideMark/>
          </w:tcPr>
          <w:p w:rsidR="00BE6699" w:rsidRPr="00D55DC6" w:rsidRDefault="00BE6699" w:rsidP="0038165F">
            <w:pPr>
              <w:widowControl/>
              <w:jc w:val="right"/>
              <w:rPr>
                <w:kern w:val="0"/>
              </w:rPr>
            </w:pPr>
            <w:r w:rsidRPr="00D55DC6">
              <w:rPr>
                <w:kern w:val="0"/>
              </w:rPr>
              <w:t>0.72</w:t>
            </w:r>
          </w:p>
        </w:tc>
        <w:tc>
          <w:tcPr>
            <w:tcW w:w="778" w:type="dxa"/>
            <w:vMerge/>
            <w:vAlign w:val="center"/>
            <w:hideMark/>
          </w:tcPr>
          <w:p w:rsidR="00BE6699" w:rsidRPr="00D55DC6" w:rsidRDefault="00BE6699" w:rsidP="0038165F">
            <w:pPr>
              <w:widowControl/>
              <w:rPr>
                <w:kern w:val="0"/>
              </w:rPr>
            </w:pPr>
          </w:p>
        </w:tc>
      </w:tr>
      <w:tr w:rsidR="001D0350" w:rsidRPr="00D55DC6" w:rsidTr="004C13F1">
        <w:trPr>
          <w:trHeight w:val="118"/>
        </w:trPr>
        <w:tc>
          <w:tcPr>
            <w:tcW w:w="284" w:type="dxa"/>
            <w:vMerge w:val="restart"/>
          </w:tcPr>
          <w:p w:rsidR="00BE6699" w:rsidRPr="00D55DC6" w:rsidRDefault="00BE6699" w:rsidP="0038165F">
            <w:pPr>
              <w:widowControl/>
              <w:rPr>
                <w:rFonts w:eastAsia="標楷體"/>
                <w:kern w:val="0"/>
                <w:sz w:val="20"/>
                <w:szCs w:val="20"/>
              </w:rPr>
            </w:pPr>
            <w:r w:rsidRPr="00D55DC6">
              <w:rPr>
                <w:rFonts w:eastAsia="標楷體"/>
                <w:kern w:val="0"/>
                <w:sz w:val="20"/>
                <w:szCs w:val="20"/>
              </w:rPr>
              <w:t>5</w:t>
            </w:r>
          </w:p>
        </w:tc>
        <w:tc>
          <w:tcPr>
            <w:tcW w:w="960" w:type="dxa"/>
            <w:vMerge w:val="restart"/>
            <w:shd w:val="clear" w:color="auto" w:fill="auto"/>
            <w:vAlign w:val="center"/>
            <w:hideMark/>
          </w:tcPr>
          <w:p w:rsidR="00BE6699" w:rsidRPr="00D55DC6" w:rsidRDefault="00BE6699" w:rsidP="0038165F">
            <w:pPr>
              <w:widowControl/>
              <w:spacing w:line="0" w:lineRule="atLeast"/>
              <w:rPr>
                <w:rFonts w:eastAsia="標楷體"/>
                <w:kern w:val="0"/>
                <w:sz w:val="20"/>
                <w:szCs w:val="20"/>
              </w:rPr>
            </w:pPr>
            <w:r w:rsidRPr="00D55DC6">
              <w:rPr>
                <w:rFonts w:eastAsia="標楷體"/>
                <w:kern w:val="0"/>
                <w:sz w:val="20"/>
                <w:szCs w:val="20"/>
              </w:rPr>
              <w:t>阿里山國家風景區建設計畫</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2.81</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3.06</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2.85</w:t>
            </w:r>
          </w:p>
        </w:tc>
        <w:tc>
          <w:tcPr>
            <w:tcW w:w="850"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3.10</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3.10</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3.35</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2.95</w:t>
            </w:r>
          </w:p>
        </w:tc>
        <w:tc>
          <w:tcPr>
            <w:tcW w:w="884"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3.20</w:t>
            </w:r>
          </w:p>
        </w:tc>
        <w:tc>
          <w:tcPr>
            <w:tcW w:w="923" w:type="dxa"/>
            <w:shd w:val="clear" w:color="auto" w:fill="auto"/>
            <w:noWrap/>
            <w:vAlign w:val="center"/>
            <w:hideMark/>
          </w:tcPr>
          <w:p w:rsidR="00BE6699" w:rsidRPr="00D55DC6" w:rsidRDefault="00BE6699" w:rsidP="0038165F">
            <w:pPr>
              <w:widowControl/>
              <w:jc w:val="right"/>
              <w:rPr>
                <w:kern w:val="0"/>
              </w:rPr>
            </w:pPr>
            <w:r w:rsidRPr="00D55DC6">
              <w:rPr>
                <w:kern w:val="0"/>
              </w:rPr>
              <w:t>11.71</w:t>
            </w:r>
          </w:p>
        </w:tc>
        <w:tc>
          <w:tcPr>
            <w:tcW w:w="778"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12.71</w:t>
            </w:r>
          </w:p>
        </w:tc>
      </w:tr>
      <w:tr w:rsidR="001D0350" w:rsidRPr="00D55DC6" w:rsidTr="004C13F1">
        <w:trPr>
          <w:trHeight w:val="58"/>
        </w:trPr>
        <w:tc>
          <w:tcPr>
            <w:tcW w:w="284" w:type="dxa"/>
            <w:vMerge/>
          </w:tcPr>
          <w:p w:rsidR="00BE6699" w:rsidRPr="00D55DC6" w:rsidRDefault="00BE6699" w:rsidP="0038165F">
            <w:pPr>
              <w:widowControl/>
              <w:rPr>
                <w:rFonts w:eastAsia="標楷體"/>
                <w:kern w:val="0"/>
                <w:sz w:val="20"/>
                <w:szCs w:val="20"/>
              </w:rPr>
            </w:pPr>
          </w:p>
        </w:tc>
        <w:tc>
          <w:tcPr>
            <w:tcW w:w="960" w:type="dxa"/>
            <w:vMerge/>
            <w:vAlign w:val="center"/>
            <w:hideMark/>
          </w:tcPr>
          <w:p w:rsidR="00BE6699" w:rsidRPr="00D55DC6" w:rsidRDefault="00BE6699" w:rsidP="0038165F">
            <w:pPr>
              <w:widowControl/>
              <w:spacing w:line="0" w:lineRule="atLeast"/>
              <w:rPr>
                <w:rFonts w:eastAsia="標楷體"/>
                <w:kern w:val="0"/>
                <w:sz w:val="20"/>
                <w:szCs w:val="2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0.25</w:t>
            </w:r>
          </w:p>
        </w:tc>
        <w:tc>
          <w:tcPr>
            <w:tcW w:w="883" w:type="dxa"/>
            <w:vMerge/>
            <w:vAlign w:val="center"/>
            <w:hideMark/>
          </w:tcPr>
          <w:p w:rsidR="00BE6699" w:rsidRPr="00D55DC6" w:rsidRDefault="00BE6699" w:rsidP="0038165F">
            <w:pPr>
              <w:widowControl/>
              <w:rPr>
                <w:kern w:val="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0.25</w:t>
            </w:r>
          </w:p>
        </w:tc>
        <w:tc>
          <w:tcPr>
            <w:tcW w:w="850"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0.25</w:t>
            </w:r>
          </w:p>
        </w:tc>
        <w:tc>
          <w:tcPr>
            <w:tcW w:w="883"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0.25</w:t>
            </w:r>
          </w:p>
        </w:tc>
        <w:tc>
          <w:tcPr>
            <w:tcW w:w="884" w:type="dxa"/>
            <w:vMerge/>
            <w:vAlign w:val="center"/>
            <w:hideMark/>
          </w:tcPr>
          <w:p w:rsidR="00BE6699" w:rsidRPr="00D55DC6" w:rsidRDefault="00BE6699" w:rsidP="0038165F">
            <w:pPr>
              <w:widowControl/>
              <w:rPr>
                <w:kern w:val="0"/>
              </w:rPr>
            </w:pPr>
          </w:p>
        </w:tc>
        <w:tc>
          <w:tcPr>
            <w:tcW w:w="923" w:type="dxa"/>
            <w:shd w:val="clear" w:color="000000" w:fill="FFFF99"/>
            <w:noWrap/>
            <w:vAlign w:val="center"/>
            <w:hideMark/>
          </w:tcPr>
          <w:p w:rsidR="00BE6699" w:rsidRPr="00D55DC6" w:rsidRDefault="00BE6699" w:rsidP="0038165F">
            <w:pPr>
              <w:widowControl/>
              <w:jc w:val="right"/>
              <w:rPr>
                <w:kern w:val="0"/>
              </w:rPr>
            </w:pPr>
            <w:r w:rsidRPr="00D55DC6">
              <w:rPr>
                <w:kern w:val="0"/>
              </w:rPr>
              <w:t>1.00</w:t>
            </w:r>
          </w:p>
        </w:tc>
        <w:tc>
          <w:tcPr>
            <w:tcW w:w="778" w:type="dxa"/>
            <w:vMerge/>
            <w:vAlign w:val="center"/>
            <w:hideMark/>
          </w:tcPr>
          <w:p w:rsidR="00BE6699" w:rsidRPr="00D55DC6" w:rsidRDefault="00BE6699" w:rsidP="0038165F">
            <w:pPr>
              <w:widowControl/>
              <w:rPr>
                <w:kern w:val="0"/>
              </w:rPr>
            </w:pPr>
          </w:p>
        </w:tc>
      </w:tr>
      <w:tr w:rsidR="001D0350" w:rsidRPr="00D55DC6" w:rsidTr="004C13F1">
        <w:trPr>
          <w:trHeight w:val="514"/>
        </w:trPr>
        <w:tc>
          <w:tcPr>
            <w:tcW w:w="284" w:type="dxa"/>
            <w:vMerge w:val="restart"/>
          </w:tcPr>
          <w:p w:rsidR="00BE6699" w:rsidRPr="00D55DC6" w:rsidRDefault="00BE6699" w:rsidP="0038165F">
            <w:pPr>
              <w:widowControl/>
              <w:rPr>
                <w:rFonts w:eastAsia="標楷體"/>
                <w:kern w:val="0"/>
                <w:sz w:val="20"/>
                <w:szCs w:val="20"/>
              </w:rPr>
            </w:pPr>
            <w:r w:rsidRPr="00D55DC6">
              <w:rPr>
                <w:rFonts w:eastAsia="標楷體"/>
                <w:kern w:val="0"/>
                <w:sz w:val="20"/>
                <w:szCs w:val="20"/>
              </w:rPr>
              <w:t>6</w:t>
            </w:r>
          </w:p>
        </w:tc>
        <w:tc>
          <w:tcPr>
            <w:tcW w:w="960" w:type="dxa"/>
            <w:vMerge w:val="restart"/>
            <w:shd w:val="clear" w:color="auto" w:fill="auto"/>
            <w:vAlign w:val="center"/>
            <w:hideMark/>
          </w:tcPr>
          <w:p w:rsidR="00BE6699" w:rsidRPr="00D55DC6" w:rsidRDefault="00BE6699" w:rsidP="0038165F">
            <w:pPr>
              <w:widowControl/>
              <w:spacing w:line="0" w:lineRule="atLeast"/>
              <w:rPr>
                <w:rFonts w:eastAsia="標楷體"/>
                <w:kern w:val="0"/>
                <w:sz w:val="20"/>
                <w:szCs w:val="20"/>
              </w:rPr>
            </w:pPr>
            <w:r w:rsidRPr="00D55DC6">
              <w:rPr>
                <w:rFonts w:eastAsia="標楷體"/>
                <w:kern w:val="0"/>
                <w:sz w:val="20"/>
                <w:szCs w:val="20"/>
              </w:rPr>
              <w:t>雲嘉南濱海國家風景區建設計畫</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2.70</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3.00</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2.70</w:t>
            </w:r>
          </w:p>
        </w:tc>
        <w:tc>
          <w:tcPr>
            <w:tcW w:w="850"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3.00</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2.70</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3.00</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2.70</w:t>
            </w:r>
          </w:p>
        </w:tc>
        <w:tc>
          <w:tcPr>
            <w:tcW w:w="884"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3.00</w:t>
            </w:r>
          </w:p>
        </w:tc>
        <w:tc>
          <w:tcPr>
            <w:tcW w:w="923" w:type="dxa"/>
            <w:shd w:val="clear" w:color="auto" w:fill="auto"/>
            <w:noWrap/>
            <w:vAlign w:val="center"/>
            <w:hideMark/>
          </w:tcPr>
          <w:p w:rsidR="00BE6699" w:rsidRPr="00D55DC6" w:rsidRDefault="00BE6699" w:rsidP="0038165F">
            <w:pPr>
              <w:widowControl/>
              <w:jc w:val="right"/>
              <w:rPr>
                <w:kern w:val="0"/>
              </w:rPr>
            </w:pPr>
            <w:r w:rsidRPr="00D55DC6">
              <w:rPr>
                <w:kern w:val="0"/>
              </w:rPr>
              <w:t>10.80</w:t>
            </w:r>
          </w:p>
        </w:tc>
        <w:tc>
          <w:tcPr>
            <w:tcW w:w="778"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12.00</w:t>
            </w:r>
          </w:p>
        </w:tc>
      </w:tr>
      <w:tr w:rsidR="001D0350" w:rsidRPr="00D55DC6" w:rsidTr="004C13F1">
        <w:trPr>
          <w:trHeight w:val="514"/>
        </w:trPr>
        <w:tc>
          <w:tcPr>
            <w:tcW w:w="284" w:type="dxa"/>
            <w:vMerge/>
          </w:tcPr>
          <w:p w:rsidR="00BE6699" w:rsidRPr="00D55DC6" w:rsidRDefault="00BE6699" w:rsidP="0038165F">
            <w:pPr>
              <w:widowControl/>
              <w:rPr>
                <w:rFonts w:eastAsia="標楷體"/>
                <w:kern w:val="0"/>
                <w:sz w:val="20"/>
                <w:szCs w:val="20"/>
              </w:rPr>
            </w:pPr>
          </w:p>
        </w:tc>
        <w:tc>
          <w:tcPr>
            <w:tcW w:w="960" w:type="dxa"/>
            <w:vMerge/>
            <w:vAlign w:val="center"/>
            <w:hideMark/>
          </w:tcPr>
          <w:p w:rsidR="00BE6699" w:rsidRPr="00D55DC6" w:rsidRDefault="00BE6699" w:rsidP="0038165F">
            <w:pPr>
              <w:widowControl/>
              <w:spacing w:line="0" w:lineRule="atLeast"/>
              <w:rPr>
                <w:rFonts w:eastAsia="標楷體"/>
                <w:kern w:val="0"/>
                <w:sz w:val="20"/>
                <w:szCs w:val="2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0.30</w:t>
            </w:r>
          </w:p>
        </w:tc>
        <w:tc>
          <w:tcPr>
            <w:tcW w:w="883" w:type="dxa"/>
            <w:vMerge/>
            <w:vAlign w:val="center"/>
            <w:hideMark/>
          </w:tcPr>
          <w:p w:rsidR="00BE6699" w:rsidRPr="00D55DC6" w:rsidRDefault="00BE6699" w:rsidP="0038165F">
            <w:pPr>
              <w:widowControl/>
              <w:rPr>
                <w:kern w:val="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0.30</w:t>
            </w:r>
          </w:p>
        </w:tc>
        <w:tc>
          <w:tcPr>
            <w:tcW w:w="850"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0.30</w:t>
            </w:r>
          </w:p>
        </w:tc>
        <w:tc>
          <w:tcPr>
            <w:tcW w:w="883"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0.30</w:t>
            </w:r>
          </w:p>
        </w:tc>
        <w:tc>
          <w:tcPr>
            <w:tcW w:w="884" w:type="dxa"/>
            <w:vMerge/>
            <w:vAlign w:val="center"/>
            <w:hideMark/>
          </w:tcPr>
          <w:p w:rsidR="00BE6699" w:rsidRPr="00D55DC6" w:rsidRDefault="00BE6699" w:rsidP="0038165F">
            <w:pPr>
              <w:widowControl/>
              <w:rPr>
                <w:kern w:val="0"/>
              </w:rPr>
            </w:pPr>
          </w:p>
        </w:tc>
        <w:tc>
          <w:tcPr>
            <w:tcW w:w="923" w:type="dxa"/>
            <w:shd w:val="clear" w:color="000000" w:fill="FFFF99"/>
            <w:noWrap/>
            <w:vAlign w:val="center"/>
            <w:hideMark/>
          </w:tcPr>
          <w:p w:rsidR="00BE6699" w:rsidRPr="00D55DC6" w:rsidRDefault="00BE6699" w:rsidP="0038165F">
            <w:pPr>
              <w:widowControl/>
              <w:jc w:val="right"/>
              <w:rPr>
                <w:kern w:val="0"/>
              </w:rPr>
            </w:pPr>
            <w:r w:rsidRPr="00D55DC6">
              <w:rPr>
                <w:kern w:val="0"/>
              </w:rPr>
              <w:t>1.20</w:t>
            </w:r>
          </w:p>
        </w:tc>
        <w:tc>
          <w:tcPr>
            <w:tcW w:w="778" w:type="dxa"/>
            <w:vMerge/>
            <w:vAlign w:val="center"/>
            <w:hideMark/>
          </w:tcPr>
          <w:p w:rsidR="00BE6699" w:rsidRPr="00D55DC6" w:rsidRDefault="00BE6699" w:rsidP="0038165F">
            <w:pPr>
              <w:widowControl/>
              <w:rPr>
                <w:kern w:val="0"/>
              </w:rPr>
            </w:pPr>
          </w:p>
        </w:tc>
      </w:tr>
      <w:tr w:rsidR="001D0350" w:rsidRPr="00D55DC6" w:rsidTr="004C13F1">
        <w:trPr>
          <w:trHeight w:val="426"/>
        </w:trPr>
        <w:tc>
          <w:tcPr>
            <w:tcW w:w="284" w:type="dxa"/>
            <w:vMerge w:val="restart"/>
          </w:tcPr>
          <w:p w:rsidR="00BE6699" w:rsidRPr="00D55DC6" w:rsidRDefault="00BE6699" w:rsidP="0038165F">
            <w:pPr>
              <w:widowControl/>
              <w:rPr>
                <w:rFonts w:eastAsia="標楷體"/>
                <w:kern w:val="0"/>
                <w:sz w:val="20"/>
                <w:szCs w:val="20"/>
              </w:rPr>
            </w:pPr>
            <w:r w:rsidRPr="00D55DC6">
              <w:rPr>
                <w:rFonts w:eastAsia="標楷體"/>
                <w:kern w:val="0"/>
                <w:sz w:val="20"/>
                <w:szCs w:val="20"/>
              </w:rPr>
              <w:t>7</w:t>
            </w:r>
          </w:p>
        </w:tc>
        <w:tc>
          <w:tcPr>
            <w:tcW w:w="960" w:type="dxa"/>
            <w:vMerge w:val="restart"/>
            <w:shd w:val="clear" w:color="auto" w:fill="auto"/>
            <w:vAlign w:val="center"/>
            <w:hideMark/>
          </w:tcPr>
          <w:p w:rsidR="00BE6699" w:rsidRPr="00D55DC6" w:rsidRDefault="00BE6699" w:rsidP="0038165F">
            <w:pPr>
              <w:widowControl/>
              <w:spacing w:line="0" w:lineRule="atLeast"/>
              <w:rPr>
                <w:rFonts w:eastAsia="標楷體"/>
                <w:kern w:val="0"/>
                <w:sz w:val="20"/>
                <w:szCs w:val="20"/>
              </w:rPr>
            </w:pPr>
            <w:r w:rsidRPr="00D55DC6">
              <w:rPr>
                <w:rFonts w:eastAsia="標楷體"/>
                <w:kern w:val="0"/>
                <w:sz w:val="20"/>
                <w:szCs w:val="20"/>
              </w:rPr>
              <w:t>西拉雅國家風景區建設計畫</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1.40</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1.50</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1.40</w:t>
            </w:r>
          </w:p>
        </w:tc>
        <w:tc>
          <w:tcPr>
            <w:tcW w:w="850"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1.50</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1.35</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1.50</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1.35</w:t>
            </w:r>
          </w:p>
        </w:tc>
        <w:tc>
          <w:tcPr>
            <w:tcW w:w="884"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1.50</w:t>
            </w:r>
          </w:p>
        </w:tc>
        <w:tc>
          <w:tcPr>
            <w:tcW w:w="923" w:type="dxa"/>
            <w:shd w:val="clear" w:color="auto" w:fill="auto"/>
            <w:noWrap/>
            <w:vAlign w:val="center"/>
            <w:hideMark/>
          </w:tcPr>
          <w:p w:rsidR="00BE6699" w:rsidRPr="00D55DC6" w:rsidRDefault="00BE6699" w:rsidP="0038165F">
            <w:pPr>
              <w:widowControl/>
              <w:jc w:val="right"/>
              <w:rPr>
                <w:kern w:val="0"/>
              </w:rPr>
            </w:pPr>
            <w:r w:rsidRPr="00D55DC6">
              <w:rPr>
                <w:kern w:val="0"/>
              </w:rPr>
              <w:t>5.50</w:t>
            </w:r>
          </w:p>
        </w:tc>
        <w:tc>
          <w:tcPr>
            <w:tcW w:w="778"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6.00</w:t>
            </w:r>
          </w:p>
        </w:tc>
      </w:tr>
      <w:tr w:rsidR="001D0350" w:rsidRPr="00D55DC6" w:rsidTr="004C13F1">
        <w:trPr>
          <w:trHeight w:val="426"/>
        </w:trPr>
        <w:tc>
          <w:tcPr>
            <w:tcW w:w="284" w:type="dxa"/>
            <w:vMerge/>
          </w:tcPr>
          <w:p w:rsidR="00BE6699" w:rsidRPr="00D55DC6" w:rsidRDefault="00BE6699" w:rsidP="0038165F">
            <w:pPr>
              <w:widowControl/>
              <w:rPr>
                <w:rFonts w:eastAsia="標楷體"/>
                <w:kern w:val="0"/>
                <w:sz w:val="20"/>
                <w:szCs w:val="20"/>
              </w:rPr>
            </w:pPr>
          </w:p>
        </w:tc>
        <w:tc>
          <w:tcPr>
            <w:tcW w:w="960" w:type="dxa"/>
            <w:vMerge/>
            <w:vAlign w:val="center"/>
            <w:hideMark/>
          </w:tcPr>
          <w:p w:rsidR="00BE6699" w:rsidRPr="00D55DC6" w:rsidRDefault="00BE6699" w:rsidP="0038165F">
            <w:pPr>
              <w:widowControl/>
              <w:spacing w:line="0" w:lineRule="atLeast"/>
              <w:rPr>
                <w:rFonts w:eastAsia="標楷體"/>
                <w:kern w:val="0"/>
                <w:sz w:val="20"/>
                <w:szCs w:val="2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0.10</w:t>
            </w:r>
          </w:p>
        </w:tc>
        <w:tc>
          <w:tcPr>
            <w:tcW w:w="883" w:type="dxa"/>
            <w:vMerge/>
            <w:vAlign w:val="center"/>
            <w:hideMark/>
          </w:tcPr>
          <w:p w:rsidR="00BE6699" w:rsidRPr="00D55DC6" w:rsidRDefault="00BE6699" w:rsidP="0038165F">
            <w:pPr>
              <w:widowControl/>
              <w:rPr>
                <w:kern w:val="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0.10</w:t>
            </w:r>
          </w:p>
        </w:tc>
        <w:tc>
          <w:tcPr>
            <w:tcW w:w="850"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0.15</w:t>
            </w:r>
          </w:p>
        </w:tc>
        <w:tc>
          <w:tcPr>
            <w:tcW w:w="883"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0.15</w:t>
            </w:r>
          </w:p>
        </w:tc>
        <w:tc>
          <w:tcPr>
            <w:tcW w:w="884" w:type="dxa"/>
            <w:vMerge/>
            <w:vAlign w:val="center"/>
            <w:hideMark/>
          </w:tcPr>
          <w:p w:rsidR="00BE6699" w:rsidRPr="00D55DC6" w:rsidRDefault="00BE6699" w:rsidP="0038165F">
            <w:pPr>
              <w:widowControl/>
              <w:rPr>
                <w:kern w:val="0"/>
              </w:rPr>
            </w:pPr>
          </w:p>
        </w:tc>
        <w:tc>
          <w:tcPr>
            <w:tcW w:w="923" w:type="dxa"/>
            <w:shd w:val="clear" w:color="000000" w:fill="FFFF99"/>
            <w:noWrap/>
            <w:vAlign w:val="center"/>
            <w:hideMark/>
          </w:tcPr>
          <w:p w:rsidR="00BE6699" w:rsidRPr="00D55DC6" w:rsidRDefault="00BE6699" w:rsidP="0038165F">
            <w:pPr>
              <w:widowControl/>
              <w:jc w:val="right"/>
              <w:rPr>
                <w:kern w:val="0"/>
              </w:rPr>
            </w:pPr>
            <w:r w:rsidRPr="00D55DC6">
              <w:rPr>
                <w:kern w:val="0"/>
              </w:rPr>
              <w:t>0.50</w:t>
            </w:r>
          </w:p>
        </w:tc>
        <w:tc>
          <w:tcPr>
            <w:tcW w:w="778" w:type="dxa"/>
            <w:vMerge/>
            <w:vAlign w:val="center"/>
            <w:hideMark/>
          </w:tcPr>
          <w:p w:rsidR="00BE6699" w:rsidRPr="00D55DC6" w:rsidRDefault="00BE6699" w:rsidP="0038165F">
            <w:pPr>
              <w:widowControl/>
              <w:rPr>
                <w:kern w:val="0"/>
              </w:rPr>
            </w:pPr>
          </w:p>
        </w:tc>
      </w:tr>
      <w:tr w:rsidR="001D0350" w:rsidRPr="00D55DC6" w:rsidTr="004C13F1">
        <w:trPr>
          <w:trHeight w:val="426"/>
        </w:trPr>
        <w:tc>
          <w:tcPr>
            <w:tcW w:w="284" w:type="dxa"/>
            <w:vMerge w:val="restart"/>
          </w:tcPr>
          <w:p w:rsidR="00BE6699" w:rsidRPr="00D55DC6" w:rsidRDefault="00BE6699" w:rsidP="0038165F">
            <w:pPr>
              <w:widowControl/>
              <w:rPr>
                <w:rFonts w:eastAsia="標楷體"/>
                <w:kern w:val="0"/>
                <w:sz w:val="20"/>
                <w:szCs w:val="20"/>
              </w:rPr>
            </w:pPr>
            <w:r w:rsidRPr="00D55DC6">
              <w:rPr>
                <w:rFonts w:eastAsia="標楷體"/>
                <w:kern w:val="0"/>
                <w:sz w:val="20"/>
                <w:szCs w:val="20"/>
              </w:rPr>
              <w:t>8</w:t>
            </w:r>
          </w:p>
        </w:tc>
        <w:tc>
          <w:tcPr>
            <w:tcW w:w="960" w:type="dxa"/>
            <w:vMerge w:val="restart"/>
            <w:shd w:val="clear" w:color="auto" w:fill="auto"/>
            <w:vAlign w:val="center"/>
            <w:hideMark/>
          </w:tcPr>
          <w:p w:rsidR="00BE6699" w:rsidRPr="00D55DC6" w:rsidRDefault="00BE6699" w:rsidP="0038165F">
            <w:pPr>
              <w:widowControl/>
              <w:spacing w:line="0" w:lineRule="atLeast"/>
              <w:rPr>
                <w:rFonts w:eastAsia="標楷體"/>
                <w:kern w:val="0"/>
                <w:sz w:val="20"/>
                <w:szCs w:val="20"/>
              </w:rPr>
            </w:pPr>
            <w:r w:rsidRPr="00D55DC6">
              <w:rPr>
                <w:rFonts w:eastAsia="標楷體"/>
                <w:kern w:val="0"/>
                <w:sz w:val="20"/>
                <w:szCs w:val="20"/>
              </w:rPr>
              <w:t>茂林國家風景區建設計畫</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2.35</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2.40</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2.45</w:t>
            </w:r>
          </w:p>
        </w:tc>
        <w:tc>
          <w:tcPr>
            <w:tcW w:w="850"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2.50</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2.43</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2.48</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2.01</w:t>
            </w:r>
          </w:p>
        </w:tc>
        <w:tc>
          <w:tcPr>
            <w:tcW w:w="884"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2.06</w:t>
            </w:r>
          </w:p>
        </w:tc>
        <w:tc>
          <w:tcPr>
            <w:tcW w:w="923" w:type="dxa"/>
            <w:shd w:val="clear" w:color="auto" w:fill="auto"/>
            <w:noWrap/>
            <w:vAlign w:val="center"/>
            <w:hideMark/>
          </w:tcPr>
          <w:p w:rsidR="00BE6699" w:rsidRPr="00D55DC6" w:rsidRDefault="00BE6699" w:rsidP="0038165F">
            <w:pPr>
              <w:widowControl/>
              <w:jc w:val="right"/>
              <w:rPr>
                <w:kern w:val="0"/>
              </w:rPr>
            </w:pPr>
            <w:r w:rsidRPr="00D55DC6">
              <w:rPr>
                <w:kern w:val="0"/>
              </w:rPr>
              <w:t>9.24</w:t>
            </w:r>
          </w:p>
        </w:tc>
        <w:tc>
          <w:tcPr>
            <w:tcW w:w="778"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9.44</w:t>
            </w:r>
          </w:p>
        </w:tc>
      </w:tr>
      <w:tr w:rsidR="001D0350" w:rsidRPr="00D55DC6" w:rsidTr="004C13F1">
        <w:trPr>
          <w:trHeight w:val="426"/>
        </w:trPr>
        <w:tc>
          <w:tcPr>
            <w:tcW w:w="284" w:type="dxa"/>
            <w:vMerge/>
          </w:tcPr>
          <w:p w:rsidR="00BE6699" w:rsidRPr="00D55DC6" w:rsidRDefault="00BE6699" w:rsidP="0038165F">
            <w:pPr>
              <w:widowControl/>
              <w:rPr>
                <w:rFonts w:eastAsia="標楷體"/>
                <w:kern w:val="0"/>
                <w:sz w:val="20"/>
                <w:szCs w:val="20"/>
              </w:rPr>
            </w:pPr>
          </w:p>
        </w:tc>
        <w:tc>
          <w:tcPr>
            <w:tcW w:w="960" w:type="dxa"/>
            <w:vMerge/>
            <w:vAlign w:val="center"/>
            <w:hideMark/>
          </w:tcPr>
          <w:p w:rsidR="00BE6699" w:rsidRPr="00D55DC6" w:rsidRDefault="00BE6699" w:rsidP="0038165F">
            <w:pPr>
              <w:widowControl/>
              <w:spacing w:line="0" w:lineRule="atLeast"/>
              <w:rPr>
                <w:rFonts w:eastAsia="標楷體"/>
                <w:kern w:val="0"/>
                <w:sz w:val="20"/>
                <w:szCs w:val="2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0.05</w:t>
            </w:r>
          </w:p>
        </w:tc>
        <w:tc>
          <w:tcPr>
            <w:tcW w:w="883" w:type="dxa"/>
            <w:vMerge/>
            <w:vAlign w:val="center"/>
            <w:hideMark/>
          </w:tcPr>
          <w:p w:rsidR="00BE6699" w:rsidRPr="00D55DC6" w:rsidRDefault="00BE6699" w:rsidP="0038165F">
            <w:pPr>
              <w:widowControl/>
              <w:rPr>
                <w:kern w:val="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0.05</w:t>
            </w:r>
          </w:p>
        </w:tc>
        <w:tc>
          <w:tcPr>
            <w:tcW w:w="850"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0.05</w:t>
            </w:r>
          </w:p>
        </w:tc>
        <w:tc>
          <w:tcPr>
            <w:tcW w:w="883"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0.05</w:t>
            </w:r>
          </w:p>
        </w:tc>
        <w:tc>
          <w:tcPr>
            <w:tcW w:w="884" w:type="dxa"/>
            <w:vMerge/>
            <w:vAlign w:val="center"/>
            <w:hideMark/>
          </w:tcPr>
          <w:p w:rsidR="00BE6699" w:rsidRPr="00D55DC6" w:rsidRDefault="00BE6699" w:rsidP="0038165F">
            <w:pPr>
              <w:widowControl/>
              <w:rPr>
                <w:kern w:val="0"/>
              </w:rPr>
            </w:pPr>
          </w:p>
        </w:tc>
        <w:tc>
          <w:tcPr>
            <w:tcW w:w="923" w:type="dxa"/>
            <w:shd w:val="clear" w:color="000000" w:fill="FFFF99"/>
            <w:noWrap/>
            <w:vAlign w:val="center"/>
            <w:hideMark/>
          </w:tcPr>
          <w:p w:rsidR="00BE6699" w:rsidRPr="00D55DC6" w:rsidRDefault="00BE6699" w:rsidP="000D29AB">
            <w:pPr>
              <w:widowControl/>
              <w:jc w:val="right"/>
              <w:rPr>
                <w:kern w:val="0"/>
              </w:rPr>
            </w:pPr>
            <w:r w:rsidRPr="00D55DC6">
              <w:rPr>
                <w:kern w:val="0"/>
              </w:rPr>
              <w:t>0.</w:t>
            </w:r>
            <w:r w:rsidR="000D29AB" w:rsidRPr="00D55DC6">
              <w:rPr>
                <w:kern w:val="0"/>
              </w:rPr>
              <w:t>20</w:t>
            </w:r>
          </w:p>
        </w:tc>
        <w:tc>
          <w:tcPr>
            <w:tcW w:w="778" w:type="dxa"/>
            <w:vMerge/>
            <w:vAlign w:val="center"/>
            <w:hideMark/>
          </w:tcPr>
          <w:p w:rsidR="00BE6699" w:rsidRPr="00D55DC6" w:rsidRDefault="00BE6699" w:rsidP="0038165F">
            <w:pPr>
              <w:widowControl/>
              <w:rPr>
                <w:kern w:val="0"/>
              </w:rPr>
            </w:pPr>
          </w:p>
        </w:tc>
      </w:tr>
      <w:tr w:rsidR="001D0350" w:rsidRPr="00D55DC6" w:rsidTr="004C13F1">
        <w:trPr>
          <w:trHeight w:val="426"/>
        </w:trPr>
        <w:tc>
          <w:tcPr>
            <w:tcW w:w="284" w:type="dxa"/>
            <w:vMerge w:val="restart"/>
          </w:tcPr>
          <w:p w:rsidR="00BE6699" w:rsidRPr="00D55DC6" w:rsidRDefault="00BE6699" w:rsidP="0038165F">
            <w:pPr>
              <w:widowControl/>
              <w:rPr>
                <w:rFonts w:eastAsia="標楷體"/>
                <w:kern w:val="0"/>
                <w:sz w:val="20"/>
                <w:szCs w:val="20"/>
              </w:rPr>
            </w:pPr>
            <w:r w:rsidRPr="00D55DC6">
              <w:rPr>
                <w:rFonts w:eastAsia="標楷體"/>
                <w:kern w:val="0"/>
                <w:sz w:val="20"/>
                <w:szCs w:val="20"/>
              </w:rPr>
              <w:t>9</w:t>
            </w:r>
          </w:p>
        </w:tc>
        <w:tc>
          <w:tcPr>
            <w:tcW w:w="960" w:type="dxa"/>
            <w:vMerge w:val="restart"/>
            <w:shd w:val="clear" w:color="auto" w:fill="auto"/>
            <w:vAlign w:val="center"/>
            <w:hideMark/>
          </w:tcPr>
          <w:p w:rsidR="00BE6699" w:rsidRPr="00D55DC6" w:rsidRDefault="00BE6699" w:rsidP="0038165F">
            <w:pPr>
              <w:widowControl/>
              <w:spacing w:line="0" w:lineRule="atLeast"/>
              <w:rPr>
                <w:rFonts w:eastAsia="標楷體"/>
                <w:kern w:val="0"/>
                <w:sz w:val="20"/>
                <w:szCs w:val="20"/>
              </w:rPr>
            </w:pPr>
            <w:r w:rsidRPr="00D55DC6">
              <w:rPr>
                <w:rFonts w:eastAsia="標楷體"/>
                <w:kern w:val="0"/>
                <w:sz w:val="20"/>
                <w:szCs w:val="20"/>
              </w:rPr>
              <w:t>大鵬灣國家風景區建設計畫</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4.50</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4.70</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4.85</w:t>
            </w:r>
          </w:p>
        </w:tc>
        <w:tc>
          <w:tcPr>
            <w:tcW w:w="850"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5.05</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3.30</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3.50</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3.20</w:t>
            </w:r>
          </w:p>
        </w:tc>
        <w:tc>
          <w:tcPr>
            <w:tcW w:w="884"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3.40</w:t>
            </w:r>
          </w:p>
        </w:tc>
        <w:tc>
          <w:tcPr>
            <w:tcW w:w="923" w:type="dxa"/>
            <w:shd w:val="clear" w:color="auto" w:fill="auto"/>
            <w:noWrap/>
            <w:vAlign w:val="center"/>
            <w:hideMark/>
          </w:tcPr>
          <w:p w:rsidR="00BE6699" w:rsidRPr="00D55DC6" w:rsidRDefault="00BE6699" w:rsidP="0038165F">
            <w:pPr>
              <w:widowControl/>
              <w:jc w:val="right"/>
              <w:rPr>
                <w:kern w:val="0"/>
              </w:rPr>
            </w:pPr>
            <w:r w:rsidRPr="00D55DC6">
              <w:rPr>
                <w:kern w:val="0"/>
              </w:rPr>
              <w:t>15.85</w:t>
            </w:r>
          </w:p>
        </w:tc>
        <w:tc>
          <w:tcPr>
            <w:tcW w:w="778"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16.65</w:t>
            </w:r>
          </w:p>
        </w:tc>
      </w:tr>
      <w:tr w:rsidR="001D0350" w:rsidRPr="00D55DC6" w:rsidTr="004C13F1">
        <w:trPr>
          <w:trHeight w:val="426"/>
        </w:trPr>
        <w:tc>
          <w:tcPr>
            <w:tcW w:w="284" w:type="dxa"/>
            <w:vMerge/>
          </w:tcPr>
          <w:p w:rsidR="00BE6699" w:rsidRPr="00D55DC6" w:rsidRDefault="00BE6699" w:rsidP="0038165F">
            <w:pPr>
              <w:widowControl/>
              <w:rPr>
                <w:rFonts w:eastAsia="標楷體"/>
                <w:kern w:val="0"/>
                <w:sz w:val="20"/>
                <w:szCs w:val="20"/>
              </w:rPr>
            </w:pPr>
          </w:p>
        </w:tc>
        <w:tc>
          <w:tcPr>
            <w:tcW w:w="960" w:type="dxa"/>
            <w:vMerge/>
            <w:vAlign w:val="center"/>
            <w:hideMark/>
          </w:tcPr>
          <w:p w:rsidR="00BE6699" w:rsidRPr="00D55DC6" w:rsidRDefault="00BE6699" w:rsidP="0038165F">
            <w:pPr>
              <w:widowControl/>
              <w:spacing w:line="0" w:lineRule="atLeast"/>
              <w:rPr>
                <w:rFonts w:eastAsia="標楷體"/>
                <w:kern w:val="0"/>
                <w:sz w:val="20"/>
                <w:szCs w:val="2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0.20</w:t>
            </w:r>
          </w:p>
        </w:tc>
        <w:tc>
          <w:tcPr>
            <w:tcW w:w="883" w:type="dxa"/>
            <w:vMerge/>
            <w:vAlign w:val="center"/>
            <w:hideMark/>
          </w:tcPr>
          <w:p w:rsidR="00BE6699" w:rsidRPr="00D55DC6" w:rsidRDefault="00BE6699" w:rsidP="0038165F">
            <w:pPr>
              <w:widowControl/>
              <w:rPr>
                <w:kern w:val="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0.20</w:t>
            </w:r>
          </w:p>
        </w:tc>
        <w:tc>
          <w:tcPr>
            <w:tcW w:w="850"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0.20</w:t>
            </w:r>
          </w:p>
        </w:tc>
        <w:tc>
          <w:tcPr>
            <w:tcW w:w="883"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0.20</w:t>
            </w:r>
          </w:p>
        </w:tc>
        <w:tc>
          <w:tcPr>
            <w:tcW w:w="884" w:type="dxa"/>
            <w:vMerge/>
            <w:vAlign w:val="center"/>
            <w:hideMark/>
          </w:tcPr>
          <w:p w:rsidR="00BE6699" w:rsidRPr="00D55DC6" w:rsidRDefault="00BE6699" w:rsidP="0038165F">
            <w:pPr>
              <w:widowControl/>
              <w:rPr>
                <w:kern w:val="0"/>
              </w:rPr>
            </w:pPr>
          </w:p>
        </w:tc>
        <w:tc>
          <w:tcPr>
            <w:tcW w:w="923" w:type="dxa"/>
            <w:shd w:val="clear" w:color="000000" w:fill="FFFF99"/>
            <w:noWrap/>
            <w:vAlign w:val="center"/>
            <w:hideMark/>
          </w:tcPr>
          <w:p w:rsidR="00BE6699" w:rsidRPr="00D55DC6" w:rsidRDefault="00BE6699" w:rsidP="0038165F">
            <w:pPr>
              <w:widowControl/>
              <w:jc w:val="right"/>
              <w:rPr>
                <w:kern w:val="0"/>
              </w:rPr>
            </w:pPr>
            <w:r w:rsidRPr="00D55DC6">
              <w:rPr>
                <w:kern w:val="0"/>
              </w:rPr>
              <w:t>0.80</w:t>
            </w:r>
          </w:p>
        </w:tc>
        <w:tc>
          <w:tcPr>
            <w:tcW w:w="778" w:type="dxa"/>
            <w:vMerge/>
            <w:vAlign w:val="center"/>
            <w:hideMark/>
          </w:tcPr>
          <w:p w:rsidR="00BE6699" w:rsidRPr="00D55DC6" w:rsidRDefault="00BE6699" w:rsidP="0038165F">
            <w:pPr>
              <w:widowControl/>
              <w:rPr>
                <w:kern w:val="0"/>
              </w:rPr>
            </w:pPr>
          </w:p>
        </w:tc>
      </w:tr>
      <w:tr w:rsidR="001D0350" w:rsidRPr="00D55DC6" w:rsidTr="004C13F1">
        <w:trPr>
          <w:trHeight w:val="588"/>
        </w:trPr>
        <w:tc>
          <w:tcPr>
            <w:tcW w:w="284" w:type="dxa"/>
            <w:vMerge w:val="restart"/>
          </w:tcPr>
          <w:p w:rsidR="00BE6699" w:rsidRPr="00D55DC6" w:rsidRDefault="00BE6699" w:rsidP="0038165F">
            <w:pPr>
              <w:widowControl/>
              <w:rPr>
                <w:rFonts w:eastAsia="標楷體"/>
                <w:kern w:val="0"/>
                <w:sz w:val="20"/>
                <w:szCs w:val="20"/>
              </w:rPr>
            </w:pPr>
            <w:r w:rsidRPr="00D55DC6">
              <w:rPr>
                <w:rFonts w:eastAsia="標楷體"/>
                <w:kern w:val="0"/>
                <w:sz w:val="20"/>
                <w:szCs w:val="20"/>
              </w:rPr>
              <w:t>10</w:t>
            </w:r>
          </w:p>
        </w:tc>
        <w:tc>
          <w:tcPr>
            <w:tcW w:w="960" w:type="dxa"/>
            <w:vMerge w:val="restart"/>
            <w:shd w:val="clear" w:color="auto" w:fill="auto"/>
            <w:vAlign w:val="center"/>
            <w:hideMark/>
          </w:tcPr>
          <w:p w:rsidR="00BE6699" w:rsidRPr="00D55DC6" w:rsidRDefault="00BE6699" w:rsidP="0038165F">
            <w:pPr>
              <w:widowControl/>
              <w:spacing w:line="0" w:lineRule="atLeast"/>
              <w:rPr>
                <w:rFonts w:eastAsia="標楷體"/>
                <w:kern w:val="0"/>
                <w:sz w:val="20"/>
                <w:szCs w:val="20"/>
              </w:rPr>
            </w:pPr>
            <w:r w:rsidRPr="00D55DC6">
              <w:rPr>
                <w:rFonts w:eastAsia="標楷體"/>
                <w:kern w:val="0"/>
                <w:sz w:val="20"/>
                <w:szCs w:val="20"/>
              </w:rPr>
              <w:t>東部海岸國家風景區建設計畫</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2.10</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2.30</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2.10</w:t>
            </w:r>
          </w:p>
        </w:tc>
        <w:tc>
          <w:tcPr>
            <w:tcW w:w="850"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2.30</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2.10</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2.30</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2.10</w:t>
            </w:r>
          </w:p>
        </w:tc>
        <w:tc>
          <w:tcPr>
            <w:tcW w:w="884"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2.30</w:t>
            </w:r>
          </w:p>
        </w:tc>
        <w:tc>
          <w:tcPr>
            <w:tcW w:w="923" w:type="dxa"/>
            <w:shd w:val="clear" w:color="auto" w:fill="auto"/>
            <w:noWrap/>
            <w:vAlign w:val="center"/>
            <w:hideMark/>
          </w:tcPr>
          <w:p w:rsidR="00BE6699" w:rsidRPr="00D55DC6" w:rsidRDefault="00BE6699" w:rsidP="0038165F">
            <w:pPr>
              <w:widowControl/>
              <w:jc w:val="right"/>
              <w:rPr>
                <w:kern w:val="0"/>
              </w:rPr>
            </w:pPr>
            <w:r w:rsidRPr="00D55DC6">
              <w:rPr>
                <w:kern w:val="0"/>
              </w:rPr>
              <w:t>8.40</w:t>
            </w:r>
          </w:p>
        </w:tc>
        <w:tc>
          <w:tcPr>
            <w:tcW w:w="778"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9.20</w:t>
            </w:r>
          </w:p>
        </w:tc>
      </w:tr>
      <w:tr w:rsidR="001D0350" w:rsidRPr="00D55DC6" w:rsidTr="004C13F1">
        <w:trPr>
          <w:trHeight w:val="588"/>
        </w:trPr>
        <w:tc>
          <w:tcPr>
            <w:tcW w:w="284" w:type="dxa"/>
            <w:vMerge/>
          </w:tcPr>
          <w:p w:rsidR="00BE6699" w:rsidRPr="00D55DC6" w:rsidRDefault="00BE6699" w:rsidP="0038165F">
            <w:pPr>
              <w:widowControl/>
              <w:rPr>
                <w:rFonts w:eastAsia="標楷體"/>
                <w:kern w:val="0"/>
                <w:sz w:val="20"/>
                <w:szCs w:val="20"/>
              </w:rPr>
            </w:pPr>
          </w:p>
        </w:tc>
        <w:tc>
          <w:tcPr>
            <w:tcW w:w="960" w:type="dxa"/>
            <w:vMerge/>
            <w:vAlign w:val="center"/>
            <w:hideMark/>
          </w:tcPr>
          <w:p w:rsidR="00BE6699" w:rsidRPr="00D55DC6" w:rsidRDefault="00BE6699" w:rsidP="0038165F">
            <w:pPr>
              <w:widowControl/>
              <w:spacing w:line="0" w:lineRule="atLeast"/>
              <w:rPr>
                <w:rFonts w:eastAsia="標楷體"/>
                <w:kern w:val="0"/>
                <w:sz w:val="20"/>
                <w:szCs w:val="2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0.20</w:t>
            </w:r>
          </w:p>
        </w:tc>
        <w:tc>
          <w:tcPr>
            <w:tcW w:w="883" w:type="dxa"/>
            <w:vMerge/>
            <w:vAlign w:val="center"/>
            <w:hideMark/>
          </w:tcPr>
          <w:p w:rsidR="00BE6699" w:rsidRPr="00D55DC6" w:rsidRDefault="00BE6699" w:rsidP="0038165F">
            <w:pPr>
              <w:widowControl/>
              <w:rPr>
                <w:kern w:val="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0.20</w:t>
            </w:r>
          </w:p>
        </w:tc>
        <w:tc>
          <w:tcPr>
            <w:tcW w:w="850"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0.20</w:t>
            </w:r>
          </w:p>
        </w:tc>
        <w:tc>
          <w:tcPr>
            <w:tcW w:w="883"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0.20</w:t>
            </w:r>
          </w:p>
        </w:tc>
        <w:tc>
          <w:tcPr>
            <w:tcW w:w="884" w:type="dxa"/>
            <w:vMerge/>
            <w:vAlign w:val="center"/>
            <w:hideMark/>
          </w:tcPr>
          <w:p w:rsidR="00BE6699" w:rsidRPr="00D55DC6" w:rsidRDefault="00BE6699" w:rsidP="0038165F">
            <w:pPr>
              <w:widowControl/>
              <w:rPr>
                <w:kern w:val="0"/>
              </w:rPr>
            </w:pPr>
          </w:p>
        </w:tc>
        <w:tc>
          <w:tcPr>
            <w:tcW w:w="923" w:type="dxa"/>
            <w:shd w:val="clear" w:color="000000" w:fill="FFFF99"/>
            <w:noWrap/>
            <w:vAlign w:val="center"/>
            <w:hideMark/>
          </w:tcPr>
          <w:p w:rsidR="00BE6699" w:rsidRPr="00D55DC6" w:rsidRDefault="00BE6699" w:rsidP="0038165F">
            <w:pPr>
              <w:widowControl/>
              <w:jc w:val="right"/>
              <w:rPr>
                <w:kern w:val="0"/>
              </w:rPr>
            </w:pPr>
            <w:r w:rsidRPr="00D55DC6">
              <w:rPr>
                <w:kern w:val="0"/>
              </w:rPr>
              <w:t>0.80</w:t>
            </w:r>
          </w:p>
        </w:tc>
        <w:tc>
          <w:tcPr>
            <w:tcW w:w="778" w:type="dxa"/>
            <w:vMerge/>
            <w:vAlign w:val="center"/>
            <w:hideMark/>
          </w:tcPr>
          <w:p w:rsidR="00BE6699" w:rsidRPr="00D55DC6" w:rsidRDefault="00BE6699" w:rsidP="0038165F">
            <w:pPr>
              <w:widowControl/>
              <w:rPr>
                <w:kern w:val="0"/>
              </w:rPr>
            </w:pPr>
          </w:p>
        </w:tc>
      </w:tr>
      <w:tr w:rsidR="001D0350" w:rsidRPr="00D55DC6" w:rsidTr="004C13F1">
        <w:trPr>
          <w:trHeight w:val="588"/>
        </w:trPr>
        <w:tc>
          <w:tcPr>
            <w:tcW w:w="284" w:type="dxa"/>
            <w:vMerge w:val="restart"/>
          </w:tcPr>
          <w:p w:rsidR="00BE6699" w:rsidRPr="00D55DC6" w:rsidRDefault="00BE6699" w:rsidP="0038165F">
            <w:pPr>
              <w:widowControl/>
              <w:rPr>
                <w:rFonts w:eastAsia="標楷體"/>
                <w:kern w:val="0"/>
                <w:sz w:val="20"/>
                <w:szCs w:val="20"/>
              </w:rPr>
            </w:pPr>
            <w:r w:rsidRPr="00D55DC6">
              <w:rPr>
                <w:rFonts w:eastAsia="標楷體"/>
                <w:kern w:val="0"/>
                <w:sz w:val="20"/>
                <w:szCs w:val="20"/>
              </w:rPr>
              <w:t>11</w:t>
            </w:r>
          </w:p>
        </w:tc>
        <w:tc>
          <w:tcPr>
            <w:tcW w:w="960" w:type="dxa"/>
            <w:vMerge w:val="restart"/>
            <w:shd w:val="clear" w:color="auto" w:fill="auto"/>
            <w:vAlign w:val="center"/>
            <w:hideMark/>
          </w:tcPr>
          <w:p w:rsidR="00BE6699" w:rsidRPr="00D55DC6" w:rsidRDefault="00BE6699" w:rsidP="0038165F">
            <w:pPr>
              <w:widowControl/>
              <w:spacing w:line="0" w:lineRule="atLeast"/>
              <w:rPr>
                <w:rFonts w:eastAsia="標楷體"/>
                <w:kern w:val="0"/>
                <w:sz w:val="20"/>
                <w:szCs w:val="20"/>
              </w:rPr>
            </w:pPr>
            <w:r w:rsidRPr="00D55DC6">
              <w:rPr>
                <w:rFonts w:eastAsia="標楷體"/>
                <w:kern w:val="0"/>
                <w:sz w:val="20"/>
                <w:szCs w:val="20"/>
              </w:rPr>
              <w:t>花東縱谷國家風景區建設計畫</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2.70</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3.00</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2.70</w:t>
            </w:r>
          </w:p>
        </w:tc>
        <w:tc>
          <w:tcPr>
            <w:tcW w:w="850"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3.00</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2.70</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3.00</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2.70</w:t>
            </w:r>
          </w:p>
        </w:tc>
        <w:tc>
          <w:tcPr>
            <w:tcW w:w="884"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3.00</w:t>
            </w:r>
          </w:p>
        </w:tc>
        <w:tc>
          <w:tcPr>
            <w:tcW w:w="923" w:type="dxa"/>
            <w:shd w:val="clear" w:color="auto" w:fill="auto"/>
            <w:noWrap/>
            <w:vAlign w:val="center"/>
            <w:hideMark/>
          </w:tcPr>
          <w:p w:rsidR="00BE6699" w:rsidRPr="00D55DC6" w:rsidRDefault="00BE6699" w:rsidP="0038165F">
            <w:pPr>
              <w:widowControl/>
              <w:jc w:val="right"/>
              <w:rPr>
                <w:kern w:val="0"/>
              </w:rPr>
            </w:pPr>
            <w:r w:rsidRPr="00D55DC6">
              <w:rPr>
                <w:kern w:val="0"/>
              </w:rPr>
              <w:t>10.80</w:t>
            </w:r>
          </w:p>
        </w:tc>
        <w:tc>
          <w:tcPr>
            <w:tcW w:w="778"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12.00</w:t>
            </w:r>
          </w:p>
        </w:tc>
      </w:tr>
      <w:tr w:rsidR="001D0350" w:rsidRPr="00D55DC6" w:rsidTr="004C13F1">
        <w:trPr>
          <w:trHeight w:val="588"/>
        </w:trPr>
        <w:tc>
          <w:tcPr>
            <w:tcW w:w="284" w:type="dxa"/>
            <w:vMerge/>
          </w:tcPr>
          <w:p w:rsidR="00BE6699" w:rsidRPr="00D55DC6" w:rsidRDefault="00BE6699" w:rsidP="0038165F">
            <w:pPr>
              <w:widowControl/>
              <w:rPr>
                <w:rFonts w:eastAsia="標楷體"/>
                <w:kern w:val="0"/>
                <w:sz w:val="20"/>
                <w:szCs w:val="20"/>
              </w:rPr>
            </w:pPr>
          </w:p>
        </w:tc>
        <w:tc>
          <w:tcPr>
            <w:tcW w:w="960" w:type="dxa"/>
            <w:vMerge/>
            <w:vAlign w:val="center"/>
            <w:hideMark/>
          </w:tcPr>
          <w:p w:rsidR="00BE6699" w:rsidRPr="00D55DC6" w:rsidRDefault="00BE6699" w:rsidP="0038165F">
            <w:pPr>
              <w:widowControl/>
              <w:spacing w:line="0" w:lineRule="atLeast"/>
              <w:rPr>
                <w:rFonts w:eastAsia="標楷體"/>
                <w:kern w:val="0"/>
                <w:sz w:val="20"/>
                <w:szCs w:val="2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0.30</w:t>
            </w:r>
          </w:p>
        </w:tc>
        <w:tc>
          <w:tcPr>
            <w:tcW w:w="883" w:type="dxa"/>
            <w:vMerge/>
            <w:vAlign w:val="center"/>
            <w:hideMark/>
          </w:tcPr>
          <w:p w:rsidR="00BE6699" w:rsidRPr="00D55DC6" w:rsidRDefault="00BE6699" w:rsidP="0038165F">
            <w:pPr>
              <w:widowControl/>
              <w:rPr>
                <w:kern w:val="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0.30</w:t>
            </w:r>
          </w:p>
        </w:tc>
        <w:tc>
          <w:tcPr>
            <w:tcW w:w="850"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0.30</w:t>
            </w:r>
          </w:p>
        </w:tc>
        <w:tc>
          <w:tcPr>
            <w:tcW w:w="883"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0.30</w:t>
            </w:r>
          </w:p>
        </w:tc>
        <w:tc>
          <w:tcPr>
            <w:tcW w:w="884" w:type="dxa"/>
            <w:vMerge/>
            <w:vAlign w:val="center"/>
            <w:hideMark/>
          </w:tcPr>
          <w:p w:rsidR="00BE6699" w:rsidRPr="00D55DC6" w:rsidRDefault="00BE6699" w:rsidP="0038165F">
            <w:pPr>
              <w:widowControl/>
              <w:rPr>
                <w:kern w:val="0"/>
              </w:rPr>
            </w:pPr>
          </w:p>
        </w:tc>
        <w:tc>
          <w:tcPr>
            <w:tcW w:w="923" w:type="dxa"/>
            <w:shd w:val="clear" w:color="000000" w:fill="FFFF99"/>
            <w:noWrap/>
            <w:vAlign w:val="center"/>
            <w:hideMark/>
          </w:tcPr>
          <w:p w:rsidR="00BE6699" w:rsidRPr="00D55DC6" w:rsidRDefault="00BE6699" w:rsidP="0038165F">
            <w:pPr>
              <w:widowControl/>
              <w:jc w:val="right"/>
              <w:rPr>
                <w:kern w:val="0"/>
              </w:rPr>
            </w:pPr>
            <w:r w:rsidRPr="00D55DC6">
              <w:rPr>
                <w:kern w:val="0"/>
              </w:rPr>
              <w:t>1.20</w:t>
            </w:r>
          </w:p>
        </w:tc>
        <w:tc>
          <w:tcPr>
            <w:tcW w:w="778" w:type="dxa"/>
            <w:vMerge/>
            <w:vAlign w:val="center"/>
            <w:hideMark/>
          </w:tcPr>
          <w:p w:rsidR="00BE6699" w:rsidRPr="00D55DC6" w:rsidRDefault="00BE6699" w:rsidP="0038165F">
            <w:pPr>
              <w:widowControl/>
              <w:rPr>
                <w:kern w:val="0"/>
              </w:rPr>
            </w:pPr>
          </w:p>
        </w:tc>
      </w:tr>
      <w:tr w:rsidR="001D0350" w:rsidRPr="00D55DC6" w:rsidTr="004C13F1">
        <w:trPr>
          <w:trHeight w:val="472"/>
        </w:trPr>
        <w:tc>
          <w:tcPr>
            <w:tcW w:w="284" w:type="dxa"/>
            <w:vMerge w:val="restart"/>
          </w:tcPr>
          <w:p w:rsidR="00BE6699" w:rsidRPr="00D55DC6" w:rsidRDefault="00BE6699" w:rsidP="0038165F">
            <w:pPr>
              <w:widowControl/>
              <w:rPr>
                <w:rFonts w:eastAsia="標楷體"/>
                <w:kern w:val="0"/>
                <w:sz w:val="20"/>
                <w:szCs w:val="20"/>
              </w:rPr>
            </w:pPr>
            <w:r w:rsidRPr="00D55DC6">
              <w:rPr>
                <w:rFonts w:eastAsia="標楷體"/>
                <w:kern w:val="0"/>
                <w:sz w:val="20"/>
                <w:szCs w:val="20"/>
              </w:rPr>
              <w:t>12</w:t>
            </w:r>
          </w:p>
        </w:tc>
        <w:tc>
          <w:tcPr>
            <w:tcW w:w="960" w:type="dxa"/>
            <w:vMerge w:val="restart"/>
            <w:shd w:val="clear" w:color="auto" w:fill="auto"/>
            <w:vAlign w:val="center"/>
            <w:hideMark/>
          </w:tcPr>
          <w:p w:rsidR="00BE6699" w:rsidRPr="00D55DC6" w:rsidRDefault="00BE6699" w:rsidP="0038165F">
            <w:pPr>
              <w:widowControl/>
              <w:spacing w:line="0" w:lineRule="atLeast"/>
              <w:rPr>
                <w:rFonts w:eastAsia="標楷體"/>
                <w:kern w:val="0"/>
                <w:sz w:val="20"/>
                <w:szCs w:val="20"/>
              </w:rPr>
            </w:pPr>
            <w:r w:rsidRPr="00D55DC6">
              <w:rPr>
                <w:rFonts w:eastAsia="標楷體"/>
                <w:kern w:val="0"/>
                <w:sz w:val="20"/>
                <w:szCs w:val="20"/>
              </w:rPr>
              <w:t>澎湖國家風景區建設計畫</w:t>
            </w:r>
          </w:p>
        </w:tc>
        <w:tc>
          <w:tcPr>
            <w:tcW w:w="851" w:type="dxa"/>
            <w:shd w:val="clear" w:color="auto" w:fill="auto"/>
            <w:noWrap/>
            <w:vAlign w:val="center"/>
            <w:hideMark/>
          </w:tcPr>
          <w:p w:rsidR="00BE6699" w:rsidRPr="00D55DC6" w:rsidRDefault="00BE6699" w:rsidP="0038165F">
            <w:pPr>
              <w:widowControl/>
              <w:jc w:val="right"/>
              <w:rPr>
                <w:rFonts w:eastAsia="標楷體"/>
                <w:kern w:val="0"/>
              </w:rPr>
            </w:pPr>
            <w:r w:rsidRPr="00D55DC6">
              <w:rPr>
                <w:rFonts w:eastAsia="標楷體"/>
                <w:kern w:val="0"/>
              </w:rPr>
              <w:t>1.88</w:t>
            </w:r>
          </w:p>
        </w:tc>
        <w:tc>
          <w:tcPr>
            <w:tcW w:w="883" w:type="dxa"/>
            <w:vMerge w:val="restart"/>
            <w:shd w:val="clear" w:color="auto" w:fill="auto"/>
            <w:noWrap/>
            <w:vAlign w:val="center"/>
            <w:hideMark/>
          </w:tcPr>
          <w:p w:rsidR="00BE6699" w:rsidRPr="00D55DC6" w:rsidRDefault="00BE6699" w:rsidP="0038165F">
            <w:pPr>
              <w:widowControl/>
              <w:jc w:val="right"/>
              <w:rPr>
                <w:rFonts w:eastAsia="標楷體"/>
                <w:kern w:val="0"/>
              </w:rPr>
            </w:pPr>
            <w:r w:rsidRPr="00D55DC6">
              <w:rPr>
                <w:rFonts w:eastAsia="標楷體"/>
                <w:kern w:val="0"/>
              </w:rPr>
              <w:t>1.98</w:t>
            </w:r>
          </w:p>
        </w:tc>
        <w:tc>
          <w:tcPr>
            <w:tcW w:w="851" w:type="dxa"/>
            <w:shd w:val="clear" w:color="auto" w:fill="auto"/>
            <w:noWrap/>
            <w:vAlign w:val="center"/>
            <w:hideMark/>
          </w:tcPr>
          <w:p w:rsidR="00BE6699" w:rsidRPr="00D55DC6" w:rsidRDefault="00BE6699" w:rsidP="0038165F">
            <w:pPr>
              <w:widowControl/>
              <w:jc w:val="right"/>
              <w:rPr>
                <w:rFonts w:eastAsia="標楷體"/>
                <w:kern w:val="0"/>
              </w:rPr>
            </w:pPr>
            <w:r w:rsidRPr="00D55DC6">
              <w:rPr>
                <w:rFonts w:eastAsia="標楷體"/>
                <w:kern w:val="0"/>
              </w:rPr>
              <w:t>1.90</w:t>
            </w:r>
          </w:p>
        </w:tc>
        <w:tc>
          <w:tcPr>
            <w:tcW w:w="850" w:type="dxa"/>
            <w:vMerge w:val="restart"/>
            <w:shd w:val="clear" w:color="auto" w:fill="auto"/>
            <w:noWrap/>
            <w:vAlign w:val="center"/>
            <w:hideMark/>
          </w:tcPr>
          <w:p w:rsidR="00BE6699" w:rsidRPr="00D55DC6" w:rsidRDefault="00BE6699" w:rsidP="0038165F">
            <w:pPr>
              <w:widowControl/>
              <w:jc w:val="right"/>
              <w:rPr>
                <w:rFonts w:eastAsia="標楷體"/>
                <w:kern w:val="0"/>
              </w:rPr>
            </w:pPr>
            <w:r w:rsidRPr="00D55DC6">
              <w:rPr>
                <w:rFonts w:eastAsia="標楷體"/>
                <w:kern w:val="0"/>
              </w:rPr>
              <w:t>2.00</w:t>
            </w:r>
          </w:p>
        </w:tc>
        <w:tc>
          <w:tcPr>
            <w:tcW w:w="959" w:type="dxa"/>
            <w:shd w:val="clear" w:color="auto" w:fill="auto"/>
            <w:noWrap/>
            <w:vAlign w:val="center"/>
            <w:hideMark/>
          </w:tcPr>
          <w:p w:rsidR="00BE6699" w:rsidRPr="00D55DC6" w:rsidRDefault="00BE6699" w:rsidP="0038165F">
            <w:pPr>
              <w:widowControl/>
              <w:jc w:val="right"/>
              <w:rPr>
                <w:rFonts w:eastAsia="標楷體"/>
                <w:kern w:val="0"/>
              </w:rPr>
            </w:pPr>
            <w:r w:rsidRPr="00D55DC6">
              <w:rPr>
                <w:rFonts w:eastAsia="標楷體"/>
                <w:kern w:val="0"/>
              </w:rPr>
              <w:t>1.90</w:t>
            </w:r>
          </w:p>
        </w:tc>
        <w:tc>
          <w:tcPr>
            <w:tcW w:w="883" w:type="dxa"/>
            <w:vMerge w:val="restart"/>
            <w:shd w:val="clear" w:color="auto" w:fill="auto"/>
            <w:noWrap/>
            <w:vAlign w:val="center"/>
            <w:hideMark/>
          </w:tcPr>
          <w:p w:rsidR="00BE6699" w:rsidRPr="00D55DC6" w:rsidRDefault="00BE6699" w:rsidP="0038165F">
            <w:pPr>
              <w:widowControl/>
              <w:jc w:val="right"/>
              <w:rPr>
                <w:rFonts w:eastAsia="標楷體"/>
                <w:kern w:val="0"/>
              </w:rPr>
            </w:pPr>
            <w:r w:rsidRPr="00D55DC6">
              <w:rPr>
                <w:rFonts w:eastAsia="標楷體"/>
                <w:kern w:val="0"/>
              </w:rPr>
              <w:t>2.00</w:t>
            </w:r>
          </w:p>
        </w:tc>
        <w:tc>
          <w:tcPr>
            <w:tcW w:w="959" w:type="dxa"/>
            <w:shd w:val="clear" w:color="auto" w:fill="auto"/>
            <w:noWrap/>
            <w:vAlign w:val="center"/>
            <w:hideMark/>
          </w:tcPr>
          <w:p w:rsidR="00BE6699" w:rsidRPr="00D55DC6" w:rsidRDefault="00BE6699" w:rsidP="0038165F">
            <w:pPr>
              <w:widowControl/>
              <w:jc w:val="right"/>
              <w:rPr>
                <w:rFonts w:eastAsia="標楷體"/>
                <w:kern w:val="0"/>
              </w:rPr>
            </w:pPr>
            <w:r w:rsidRPr="00D55DC6">
              <w:rPr>
                <w:rFonts w:eastAsia="標楷體"/>
                <w:kern w:val="0"/>
              </w:rPr>
              <w:t>1.92</w:t>
            </w:r>
          </w:p>
        </w:tc>
        <w:tc>
          <w:tcPr>
            <w:tcW w:w="884" w:type="dxa"/>
            <w:vMerge w:val="restart"/>
            <w:shd w:val="clear" w:color="auto" w:fill="auto"/>
            <w:noWrap/>
            <w:vAlign w:val="center"/>
            <w:hideMark/>
          </w:tcPr>
          <w:p w:rsidR="00BE6699" w:rsidRPr="00D55DC6" w:rsidRDefault="00BE6699" w:rsidP="0038165F">
            <w:pPr>
              <w:widowControl/>
              <w:jc w:val="right"/>
              <w:rPr>
                <w:rFonts w:eastAsia="標楷體"/>
                <w:kern w:val="0"/>
              </w:rPr>
            </w:pPr>
            <w:r w:rsidRPr="00D55DC6">
              <w:rPr>
                <w:rFonts w:eastAsia="標楷體"/>
                <w:kern w:val="0"/>
              </w:rPr>
              <w:t>2.02</w:t>
            </w:r>
          </w:p>
        </w:tc>
        <w:tc>
          <w:tcPr>
            <w:tcW w:w="923" w:type="dxa"/>
            <w:shd w:val="clear" w:color="auto" w:fill="auto"/>
            <w:noWrap/>
            <w:vAlign w:val="center"/>
            <w:hideMark/>
          </w:tcPr>
          <w:p w:rsidR="00BE6699" w:rsidRPr="00D55DC6" w:rsidRDefault="00BE6699" w:rsidP="0038165F">
            <w:pPr>
              <w:widowControl/>
              <w:jc w:val="right"/>
              <w:rPr>
                <w:rFonts w:eastAsia="標楷體"/>
                <w:kern w:val="0"/>
              </w:rPr>
            </w:pPr>
            <w:r w:rsidRPr="00D55DC6">
              <w:rPr>
                <w:rFonts w:eastAsia="標楷體"/>
                <w:kern w:val="0"/>
              </w:rPr>
              <w:t>7.60</w:t>
            </w:r>
          </w:p>
        </w:tc>
        <w:tc>
          <w:tcPr>
            <w:tcW w:w="778" w:type="dxa"/>
            <w:vMerge w:val="restart"/>
            <w:shd w:val="clear" w:color="auto" w:fill="auto"/>
            <w:noWrap/>
            <w:vAlign w:val="center"/>
            <w:hideMark/>
          </w:tcPr>
          <w:p w:rsidR="00BE6699" w:rsidRPr="00D55DC6" w:rsidRDefault="00BE6699" w:rsidP="0038165F">
            <w:pPr>
              <w:widowControl/>
              <w:jc w:val="right"/>
              <w:rPr>
                <w:rFonts w:eastAsia="標楷體"/>
                <w:kern w:val="0"/>
              </w:rPr>
            </w:pPr>
            <w:r w:rsidRPr="00D55DC6">
              <w:rPr>
                <w:rFonts w:eastAsia="標楷體"/>
                <w:kern w:val="0"/>
              </w:rPr>
              <w:t>8.00</w:t>
            </w:r>
          </w:p>
        </w:tc>
      </w:tr>
      <w:tr w:rsidR="001D0350" w:rsidRPr="00D55DC6" w:rsidTr="004C13F1">
        <w:trPr>
          <w:trHeight w:val="472"/>
        </w:trPr>
        <w:tc>
          <w:tcPr>
            <w:tcW w:w="284" w:type="dxa"/>
            <w:vMerge/>
          </w:tcPr>
          <w:p w:rsidR="00BE6699" w:rsidRPr="00D55DC6" w:rsidRDefault="00BE6699" w:rsidP="0038165F">
            <w:pPr>
              <w:widowControl/>
              <w:rPr>
                <w:rFonts w:eastAsia="標楷體"/>
                <w:kern w:val="0"/>
                <w:sz w:val="20"/>
                <w:szCs w:val="20"/>
              </w:rPr>
            </w:pPr>
          </w:p>
        </w:tc>
        <w:tc>
          <w:tcPr>
            <w:tcW w:w="960" w:type="dxa"/>
            <w:vMerge/>
            <w:vAlign w:val="center"/>
            <w:hideMark/>
          </w:tcPr>
          <w:p w:rsidR="00BE6699" w:rsidRPr="00D55DC6" w:rsidRDefault="00BE6699" w:rsidP="0038165F">
            <w:pPr>
              <w:widowControl/>
              <w:spacing w:line="0" w:lineRule="atLeast"/>
              <w:rPr>
                <w:rFonts w:eastAsia="標楷體"/>
                <w:kern w:val="0"/>
                <w:sz w:val="20"/>
                <w:szCs w:val="20"/>
              </w:rPr>
            </w:pPr>
          </w:p>
        </w:tc>
        <w:tc>
          <w:tcPr>
            <w:tcW w:w="851" w:type="dxa"/>
            <w:shd w:val="clear" w:color="000000" w:fill="FFFF99"/>
            <w:noWrap/>
            <w:vAlign w:val="center"/>
            <w:hideMark/>
          </w:tcPr>
          <w:p w:rsidR="00BE6699" w:rsidRPr="00D55DC6" w:rsidRDefault="00BE6699" w:rsidP="0038165F">
            <w:pPr>
              <w:widowControl/>
              <w:jc w:val="right"/>
              <w:rPr>
                <w:rFonts w:eastAsia="標楷體"/>
                <w:kern w:val="0"/>
              </w:rPr>
            </w:pPr>
            <w:r w:rsidRPr="00D55DC6">
              <w:rPr>
                <w:rFonts w:eastAsia="標楷體"/>
                <w:kern w:val="0"/>
              </w:rPr>
              <w:t>0.10</w:t>
            </w:r>
          </w:p>
        </w:tc>
        <w:tc>
          <w:tcPr>
            <w:tcW w:w="883" w:type="dxa"/>
            <w:vMerge/>
            <w:vAlign w:val="center"/>
            <w:hideMark/>
          </w:tcPr>
          <w:p w:rsidR="00BE6699" w:rsidRPr="00D55DC6" w:rsidRDefault="00BE6699" w:rsidP="0038165F">
            <w:pPr>
              <w:widowControl/>
              <w:rPr>
                <w:rFonts w:eastAsia="標楷體"/>
                <w:kern w:val="0"/>
              </w:rPr>
            </w:pPr>
          </w:p>
        </w:tc>
        <w:tc>
          <w:tcPr>
            <w:tcW w:w="851" w:type="dxa"/>
            <w:shd w:val="clear" w:color="000000" w:fill="FFFF99"/>
            <w:noWrap/>
            <w:vAlign w:val="center"/>
            <w:hideMark/>
          </w:tcPr>
          <w:p w:rsidR="00BE6699" w:rsidRPr="00D55DC6" w:rsidRDefault="00BE6699" w:rsidP="0038165F">
            <w:pPr>
              <w:widowControl/>
              <w:jc w:val="right"/>
              <w:rPr>
                <w:rFonts w:eastAsia="標楷體"/>
                <w:kern w:val="0"/>
              </w:rPr>
            </w:pPr>
            <w:r w:rsidRPr="00D55DC6">
              <w:rPr>
                <w:rFonts w:eastAsia="標楷體"/>
                <w:kern w:val="0"/>
              </w:rPr>
              <w:t>0.10</w:t>
            </w:r>
          </w:p>
        </w:tc>
        <w:tc>
          <w:tcPr>
            <w:tcW w:w="850" w:type="dxa"/>
            <w:vMerge/>
            <w:vAlign w:val="center"/>
            <w:hideMark/>
          </w:tcPr>
          <w:p w:rsidR="00BE6699" w:rsidRPr="00D55DC6" w:rsidRDefault="00BE6699" w:rsidP="0038165F">
            <w:pPr>
              <w:widowControl/>
              <w:rPr>
                <w:rFonts w:eastAsia="標楷體"/>
                <w:kern w:val="0"/>
              </w:rPr>
            </w:pPr>
          </w:p>
        </w:tc>
        <w:tc>
          <w:tcPr>
            <w:tcW w:w="959" w:type="dxa"/>
            <w:shd w:val="clear" w:color="000000" w:fill="FFFF99"/>
            <w:noWrap/>
            <w:vAlign w:val="center"/>
            <w:hideMark/>
          </w:tcPr>
          <w:p w:rsidR="00BE6699" w:rsidRPr="00D55DC6" w:rsidRDefault="00BE6699" w:rsidP="0038165F">
            <w:pPr>
              <w:widowControl/>
              <w:jc w:val="right"/>
              <w:rPr>
                <w:rFonts w:eastAsia="標楷體"/>
                <w:kern w:val="0"/>
              </w:rPr>
            </w:pPr>
            <w:r w:rsidRPr="00D55DC6">
              <w:rPr>
                <w:rFonts w:eastAsia="標楷體"/>
                <w:kern w:val="0"/>
              </w:rPr>
              <w:t>0.10</w:t>
            </w:r>
          </w:p>
        </w:tc>
        <w:tc>
          <w:tcPr>
            <w:tcW w:w="883" w:type="dxa"/>
            <w:vMerge/>
            <w:vAlign w:val="center"/>
            <w:hideMark/>
          </w:tcPr>
          <w:p w:rsidR="00BE6699" w:rsidRPr="00D55DC6" w:rsidRDefault="00BE6699" w:rsidP="0038165F">
            <w:pPr>
              <w:widowControl/>
              <w:rPr>
                <w:rFonts w:eastAsia="標楷體"/>
                <w:kern w:val="0"/>
              </w:rPr>
            </w:pPr>
          </w:p>
        </w:tc>
        <w:tc>
          <w:tcPr>
            <w:tcW w:w="959" w:type="dxa"/>
            <w:shd w:val="clear" w:color="000000" w:fill="FFFF99"/>
            <w:noWrap/>
            <w:vAlign w:val="center"/>
            <w:hideMark/>
          </w:tcPr>
          <w:p w:rsidR="00BE6699" w:rsidRPr="00D55DC6" w:rsidRDefault="00BE6699" w:rsidP="0038165F">
            <w:pPr>
              <w:widowControl/>
              <w:jc w:val="right"/>
              <w:rPr>
                <w:rFonts w:eastAsia="標楷體"/>
                <w:kern w:val="0"/>
              </w:rPr>
            </w:pPr>
            <w:r w:rsidRPr="00D55DC6">
              <w:rPr>
                <w:rFonts w:eastAsia="標楷體"/>
                <w:kern w:val="0"/>
              </w:rPr>
              <w:t>0.10</w:t>
            </w:r>
          </w:p>
        </w:tc>
        <w:tc>
          <w:tcPr>
            <w:tcW w:w="884" w:type="dxa"/>
            <w:vMerge/>
            <w:vAlign w:val="center"/>
            <w:hideMark/>
          </w:tcPr>
          <w:p w:rsidR="00BE6699" w:rsidRPr="00D55DC6" w:rsidRDefault="00BE6699" w:rsidP="0038165F">
            <w:pPr>
              <w:widowControl/>
              <w:rPr>
                <w:rFonts w:eastAsia="標楷體"/>
                <w:kern w:val="0"/>
              </w:rPr>
            </w:pPr>
          </w:p>
        </w:tc>
        <w:tc>
          <w:tcPr>
            <w:tcW w:w="923" w:type="dxa"/>
            <w:shd w:val="clear" w:color="000000" w:fill="FFFF99"/>
            <w:noWrap/>
            <w:vAlign w:val="center"/>
            <w:hideMark/>
          </w:tcPr>
          <w:p w:rsidR="00BE6699" w:rsidRPr="00D55DC6" w:rsidRDefault="00BE6699" w:rsidP="0038165F">
            <w:pPr>
              <w:widowControl/>
              <w:jc w:val="right"/>
              <w:rPr>
                <w:rFonts w:eastAsia="標楷體"/>
                <w:kern w:val="0"/>
              </w:rPr>
            </w:pPr>
            <w:r w:rsidRPr="00D55DC6">
              <w:rPr>
                <w:rFonts w:eastAsia="標楷體"/>
                <w:kern w:val="0"/>
              </w:rPr>
              <w:t>0.40</w:t>
            </w:r>
          </w:p>
        </w:tc>
        <w:tc>
          <w:tcPr>
            <w:tcW w:w="778" w:type="dxa"/>
            <w:vMerge/>
            <w:vAlign w:val="center"/>
            <w:hideMark/>
          </w:tcPr>
          <w:p w:rsidR="00BE6699" w:rsidRPr="00D55DC6" w:rsidRDefault="00BE6699" w:rsidP="0038165F">
            <w:pPr>
              <w:widowControl/>
              <w:rPr>
                <w:rFonts w:eastAsia="標楷體"/>
                <w:kern w:val="0"/>
              </w:rPr>
            </w:pPr>
          </w:p>
        </w:tc>
      </w:tr>
      <w:tr w:rsidR="001D0350" w:rsidRPr="00D55DC6" w:rsidTr="004C13F1">
        <w:trPr>
          <w:trHeight w:val="472"/>
        </w:trPr>
        <w:tc>
          <w:tcPr>
            <w:tcW w:w="284" w:type="dxa"/>
            <w:vMerge w:val="restart"/>
          </w:tcPr>
          <w:p w:rsidR="00BE6699" w:rsidRPr="00D55DC6" w:rsidRDefault="00BE6699" w:rsidP="0038165F">
            <w:pPr>
              <w:widowControl/>
              <w:rPr>
                <w:rFonts w:eastAsia="標楷體"/>
                <w:kern w:val="0"/>
                <w:sz w:val="20"/>
                <w:szCs w:val="20"/>
              </w:rPr>
            </w:pPr>
            <w:r w:rsidRPr="00D55DC6">
              <w:rPr>
                <w:rFonts w:eastAsia="標楷體"/>
                <w:kern w:val="0"/>
                <w:sz w:val="20"/>
                <w:szCs w:val="20"/>
              </w:rPr>
              <w:lastRenderedPageBreak/>
              <w:t>13</w:t>
            </w:r>
          </w:p>
        </w:tc>
        <w:tc>
          <w:tcPr>
            <w:tcW w:w="960" w:type="dxa"/>
            <w:vMerge w:val="restart"/>
            <w:shd w:val="clear" w:color="auto" w:fill="auto"/>
            <w:vAlign w:val="center"/>
            <w:hideMark/>
          </w:tcPr>
          <w:p w:rsidR="00BE6699" w:rsidRPr="00D55DC6" w:rsidRDefault="00BE6699" w:rsidP="0038165F">
            <w:pPr>
              <w:widowControl/>
              <w:spacing w:line="0" w:lineRule="atLeast"/>
              <w:rPr>
                <w:kern w:val="0"/>
                <w:sz w:val="20"/>
                <w:szCs w:val="20"/>
              </w:rPr>
            </w:pPr>
            <w:r w:rsidRPr="00D55DC6">
              <w:rPr>
                <w:rFonts w:eastAsia="標楷體"/>
                <w:kern w:val="0"/>
                <w:sz w:val="20"/>
                <w:szCs w:val="20"/>
              </w:rPr>
              <w:t>馬祖國家風景區建設計畫</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2.25</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2.32</w:t>
            </w:r>
          </w:p>
        </w:tc>
        <w:tc>
          <w:tcPr>
            <w:tcW w:w="851" w:type="dxa"/>
            <w:shd w:val="clear" w:color="auto" w:fill="auto"/>
            <w:noWrap/>
            <w:vAlign w:val="center"/>
            <w:hideMark/>
          </w:tcPr>
          <w:p w:rsidR="00BE6699" w:rsidRPr="00D55DC6" w:rsidRDefault="00BE6699" w:rsidP="0038165F">
            <w:pPr>
              <w:widowControl/>
              <w:jc w:val="right"/>
              <w:rPr>
                <w:kern w:val="0"/>
              </w:rPr>
            </w:pPr>
            <w:r w:rsidRPr="00D55DC6">
              <w:rPr>
                <w:kern w:val="0"/>
              </w:rPr>
              <w:t>1.75</w:t>
            </w:r>
          </w:p>
        </w:tc>
        <w:tc>
          <w:tcPr>
            <w:tcW w:w="850"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1.82</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1.85</w:t>
            </w:r>
          </w:p>
        </w:tc>
        <w:tc>
          <w:tcPr>
            <w:tcW w:w="883"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1.92</w:t>
            </w:r>
          </w:p>
        </w:tc>
        <w:tc>
          <w:tcPr>
            <w:tcW w:w="959" w:type="dxa"/>
            <w:shd w:val="clear" w:color="auto" w:fill="auto"/>
            <w:noWrap/>
            <w:vAlign w:val="center"/>
            <w:hideMark/>
          </w:tcPr>
          <w:p w:rsidR="00BE6699" w:rsidRPr="00D55DC6" w:rsidRDefault="00BE6699" w:rsidP="0038165F">
            <w:pPr>
              <w:widowControl/>
              <w:jc w:val="right"/>
              <w:rPr>
                <w:kern w:val="0"/>
              </w:rPr>
            </w:pPr>
            <w:r w:rsidRPr="00D55DC6">
              <w:rPr>
                <w:kern w:val="0"/>
              </w:rPr>
              <w:t>1.55</w:t>
            </w:r>
          </w:p>
        </w:tc>
        <w:tc>
          <w:tcPr>
            <w:tcW w:w="884"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1.62</w:t>
            </w:r>
          </w:p>
        </w:tc>
        <w:tc>
          <w:tcPr>
            <w:tcW w:w="923" w:type="dxa"/>
            <w:shd w:val="clear" w:color="auto" w:fill="auto"/>
            <w:noWrap/>
            <w:vAlign w:val="center"/>
            <w:hideMark/>
          </w:tcPr>
          <w:p w:rsidR="00BE6699" w:rsidRPr="00D55DC6" w:rsidRDefault="00BE6699" w:rsidP="0038165F">
            <w:pPr>
              <w:widowControl/>
              <w:jc w:val="right"/>
              <w:rPr>
                <w:kern w:val="0"/>
              </w:rPr>
            </w:pPr>
            <w:r w:rsidRPr="00D55DC6">
              <w:rPr>
                <w:kern w:val="0"/>
              </w:rPr>
              <w:t>7.40</w:t>
            </w:r>
          </w:p>
        </w:tc>
        <w:tc>
          <w:tcPr>
            <w:tcW w:w="778" w:type="dxa"/>
            <w:vMerge w:val="restart"/>
            <w:shd w:val="clear" w:color="auto" w:fill="auto"/>
            <w:noWrap/>
            <w:vAlign w:val="center"/>
            <w:hideMark/>
          </w:tcPr>
          <w:p w:rsidR="00BE6699" w:rsidRPr="00D55DC6" w:rsidRDefault="00BE6699" w:rsidP="0038165F">
            <w:pPr>
              <w:widowControl/>
              <w:jc w:val="right"/>
              <w:rPr>
                <w:kern w:val="0"/>
              </w:rPr>
            </w:pPr>
            <w:r w:rsidRPr="00D55DC6">
              <w:rPr>
                <w:kern w:val="0"/>
              </w:rPr>
              <w:t>7.68</w:t>
            </w:r>
          </w:p>
        </w:tc>
      </w:tr>
      <w:tr w:rsidR="001D0350" w:rsidRPr="00D55DC6" w:rsidTr="004C13F1">
        <w:trPr>
          <w:trHeight w:val="472"/>
        </w:trPr>
        <w:tc>
          <w:tcPr>
            <w:tcW w:w="284" w:type="dxa"/>
            <w:vMerge/>
          </w:tcPr>
          <w:p w:rsidR="00BE6699" w:rsidRPr="00D55DC6" w:rsidRDefault="00BE6699" w:rsidP="0038165F">
            <w:pPr>
              <w:widowControl/>
              <w:rPr>
                <w:kern w:val="0"/>
                <w:sz w:val="20"/>
                <w:szCs w:val="20"/>
              </w:rPr>
            </w:pPr>
          </w:p>
        </w:tc>
        <w:tc>
          <w:tcPr>
            <w:tcW w:w="960" w:type="dxa"/>
            <w:vMerge/>
            <w:vAlign w:val="center"/>
            <w:hideMark/>
          </w:tcPr>
          <w:p w:rsidR="00BE6699" w:rsidRPr="00D55DC6" w:rsidRDefault="00BE6699" w:rsidP="0038165F">
            <w:pPr>
              <w:widowControl/>
              <w:spacing w:line="0" w:lineRule="atLeast"/>
              <w:rPr>
                <w:kern w:val="0"/>
                <w:sz w:val="20"/>
                <w:szCs w:val="2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0.07</w:t>
            </w:r>
          </w:p>
        </w:tc>
        <w:tc>
          <w:tcPr>
            <w:tcW w:w="883" w:type="dxa"/>
            <w:vMerge/>
            <w:vAlign w:val="center"/>
            <w:hideMark/>
          </w:tcPr>
          <w:p w:rsidR="00BE6699" w:rsidRPr="00D55DC6" w:rsidRDefault="00BE6699" w:rsidP="0038165F">
            <w:pPr>
              <w:widowControl/>
              <w:rPr>
                <w:kern w:val="0"/>
              </w:rPr>
            </w:pPr>
          </w:p>
        </w:tc>
        <w:tc>
          <w:tcPr>
            <w:tcW w:w="851" w:type="dxa"/>
            <w:shd w:val="clear" w:color="000000" w:fill="FFFF99"/>
            <w:noWrap/>
            <w:vAlign w:val="center"/>
            <w:hideMark/>
          </w:tcPr>
          <w:p w:rsidR="00BE6699" w:rsidRPr="00D55DC6" w:rsidRDefault="00BE6699" w:rsidP="0038165F">
            <w:pPr>
              <w:widowControl/>
              <w:jc w:val="right"/>
              <w:rPr>
                <w:kern w:val="0"/>
              </w:rPr>
            </w:pPr>
            <w:r w:rsidRPr="00D55DC6">
              <w:rPr>
                <w:kern w:val="0"/>
              </w:rPr>
              <w:t>0.07</w:t>
            </w:r>
          </w:p>
        </w:tc>
        <w:tc>
          <w:tcPr>
            <w:tcW w:w="850"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0.07</w:t>
            </w:r>
          </w:p>
        </w:tc>
        <w:tc>
          <w:tcPr>
            <w:tcW w:w="883" w:type="dxa"/>
            <w:vMerge/>
            <w:vAlign w:val="center"/>
            <w:hideMark/>
          </w:tcPr>
          <w:p w:rsidR="00BE6699" w:rsidRPr="00D55DC6" w:rsidRDefault="00BE6699" w:rsidP="0038165F">
            <w:pPr>
              <w:widowControl/>
              <w:rPr>
                <w:kern w:val="0"/>
              </w:rPr>
            </w:pPr>
          </w:p>
        </w:tc>
        <w:tc>
          <w:tcPr>
            <w:tcW w:w="959" w:type="dxa"/>
            <w:shd w:val="clear" w:color="000000" w:fill="FFFF99"/>
            <w:noWrap/>
            <w:vAlign w:val="center"/>
            <w:hideMark/>
          </w:tcPr>
          <w:p w:rsidR="00BE6699" w:rsidRPr="00D55DC6" w:rsidRDefault="00BE6699" w:rsidP="0038165F">
            <w:pPr>
              <w:widowControl/>
              <w:jc w:val="right"/>
              <w:rPr>
                <w:kern w:val="0"/>
              </w:rPr>
            </w:pPr>
            <w:r w:rsidRPr="00D55DC6">
              <w:rPr>
                <w:kern w:val="0"/>
              </w:rPr>
              <w:t>0.07</w:t>
            </w:r>
          </w:p>
        </w:tc>
        <w:tc>
          <w:tcPr>
            <w:tcW w:w="884" w:type="dxa"/>
            <w:vMerge/>
            <w:vAlign w:val="center"/>
            <w:hideMark/>
          </w:tcPr>
          <w:p w:rsidR="00BE6699" w:rsidRPr="00D55DC6" w:rsidRDefault="00BE6699" w:rsidP="0038165F">
            <w:pPr>
              <w:widowControl/>
              <w:rPr>
                <w:kern w:val="0"/>
              </w:rPr>
            </w:pPr>
          </w:p>
        </w:tc>
        <w:tc>
          <w:tcPr>
            <w:tcW w:w="923" w:type="dxa"/>
            <w:shd w:val="clear" w:color="000000" w:fill="FFFF99"/>
            <w:noWrap/>
            <w:vAlign w:val="center"/>
            <w:hideMark/>
          </w:tcPr>
          <w:p w:rsidR="00BE6699" w:rsidRPr="00D55DC6" w:rsidRDefault="00BE6699" w:rsidP="0038165F">
            <w:pPr>
              <w:widowControl/>
              <w:jc w:val="right"/>
              <w:rPr>
                <w:kern w:val="0"/>
              </w:rPr>
            </w:pPr>
            <w:r w:rsidRPr="00D55DC6">
              <w:rPr>
                <w:kern w:val="0"/>
              </w:rPr>
              <w:t>0.28</w:t>
            </w:r>
          </w:p>
        </w:tc>
        <w:tc>
          <w:tcPr>
            <w:tcW w:w="778" w:type="dxa"/>
            <w:vMerge/>
            <w:vAlign w:val="center"/>
            <w:hideMark/>
          </w:tcPr>
          <w:p w:rsidR="00BE6699" w:rsidRPr="00D55DC6" w:rsidRDefault="00BE6699" w:rsidP="0038165F">
            <w:pPr>
              <w:widowControl/>
              <w:rPr>
                <w:kern w:val="0"/>
              </w:rPr>
            </w:pPr>
          </w:p>
        </w:tc>
      </w:tr>
      <w:tr w:rsidR="001D0350" w:rsidRPr="00D55DC6" w:rsidTr="00514642">
        <w:trPr>
          <w:trHeight w:val="324"/>
        </w:trPr>
        <w:tc>
          <w:tcPr>
            <w:tcW w:w="284" w:type="dxa"/>
            <w:vMerge w:val="restart"/>
          </w:tcPr>
          <w:p w:rsidR="00514642" w:rsidRPr="00D55DC6" w:rsidRDefault="00514642" w:rsidP="0038165F">
            <w:pPr>
              <w:widowControl/>
              <w:jc w:val="center"/>
              <w:rPr>
                <w:rFonts w:eastAsia="標楷體"/>
                <w:kern w:val="0"/>
              </w:rPr>
            </w:pPr>
          </w:p>
        </w:tc>
        <w:tc>
          <w:tcPr>
            <w:tcW w:w="960" w:type="dxa"/>
            <w:vMerge w:val="restart"/>
            <w:shd w:val="clear" w:color="auto" w:fill="auto"/>
            <w:vAlign w:val="center"/>
            <w:hideMark/>
          </w:tcPr>
          <w:p w:rsidR="00514642" w:rsidRPr="00D55DC6" w:rsidRDefault="00514642" w:rsidP="0038165F">
            <w:pPr>
              <w:widowControl/>
              <w:spacing w:line="0" w:lineRule="atLeast"/>
              <w:jc w:val="center"/>
              <w:rPr>
                <w:rFonts w:eastAsia="標楷體"/>
                <w:kern w:val="0"/>
                <w:sz w:val="20"/>
                <w:szCs w:val="20"/>
              </w:rPr>
            </w:pPr>
            <w:r w:rsidRPr="00D55DC6">
              <w:rPr>
                <w:rFonts w:eastAsia="標楷體"/>
                <w:kern w:val="0"/>
              </w:rPr>
              <w:t>合計</w:t>
            </w:r>
          </w:p>
        </w:tc>
        <w:tc>
          <w:tcPr>
            <w:tcW w:w="851" w:type="dxa"/>
            <w:shd w:val="clear" w:color="auto" w:fill="auto"/>
            <w:noWrap/>
            <w:vAlign w:val="center"/>
          </w:tcPr>
          <w:p w:rsidR="00514642" w:rsidRPr="00D55DC6" w:rsidRDefault="00514642">
            <w:pPr>
              <w:jc w:val="right"/>
            </w:pPr>
            <w:r w:rsidRPr="00D55DC6">
              <w:t>31.34</w:t>
            </w:r>
          </w:p>
        </w:tc>
        <w:tc>
          <w:tcPr>
            <w:tcW w:w="883" w:type="dxa"/>
            <w:vMerge w:val="restart"/>
            <w:shd w:val="clear" w:color="auto" w:fill="auto"/>
            <w:noWrap/>
            <w:vAlign w:val="center"/>
          </w:tcPr>
          <w:p w:rsidR="00514642" w:rsidRPr="00D55DC6" w:rsidRDefault="00514642">
            <w:pPr>
              <w:jc w:val="right"/>
            </w:pPr>
            <w:r w:rsidRPr="00D55DC6">
              <w:t>33.74</w:t>
            </w:r>
          </w:p>
        </w:tc>
        <w:tc>
          <w:tcPr>
            <w:tcW w:w="851" w:type="dxa"/>
            <w:shd w:val="clear" w:color="auto" w:fill="auto"/>
            <w:noWrap/>
            <w:vAlign w:val="center"/>
          </w:tcPr>
          <w:p w:rsidR="00514642" w:rsidRPr="00D55DC6" w:rsidRDefault="00514642">
            <w:pPr>
              <w:jc w:val="right"/>
            </w:pPr>
            <w:r w:rsidRPr="00D55DC6">
              <w:t>31.20</w:t>
            </w:r>
          </w:p>
        </w:tc>
        <w:tc>
          <w:tcPr>
            <w:tcW w:w="850" w:type="dxa"/>
            <w:vMerge w:val="restart"/>
            <w:shd w:val="clear" w:color="auto" w:fill="auto"/>
            <w:noWrap/>
            <w:vAlign w:val="center"/>
          </w:tcPr>
          <w:p w:rsidR="00514642" w:rsidRPr="00D55DC6" w:rsidRDefault="00514642">
            <w:pPr>
              <w:jc w:val="right"/>
            </w:pPr>
            <w:r w:rsidRPr="00D55DC6">
              <w:t>33.62</w:t>
            </w:r>
          </w:p>
        </w:tc>
        <w:tc>
          <w:tcPr>
            <w:tcW w:w="959" w:type="dxa"/>
            <w:shd w:val="clear" w:color="auto" w:fill="auto"/>
            <w:noWrap/>
            <w:vAlign w:val="center"/>
          </w:tcPr>
          <w:p w:rsidR="00514642" w:rsidRPr="00D55DC6" w:rsidRDefault="00514642">
            <w:pPr>
              <w:jc w:val="right"/>
            </w:pPr>
            <w:r w:rsidRPr="00D55DC6">
              <w:t>29.87</w:t>
            </w:r>
          </w:p>
        </w:tc>
        <w:tc>
          <w:tcPr>
            <w:tcW w:w="883" w:type="dxa"/>
            <w:vMerge w:val="restart"/>
            <w:shd w:val="clear" w:color="auto" w:fill="auto"/>
            <w:noWrap/>
            <w:vAlign w:val="center"/>
          </w:tcPr>
          <w:p w:rsidR="00514642" w:rsidRPr="00D55DC6" w:rsidRDefault="00514642">
            <w:pPr>
              <w:jc w:val="right"/>
            </w:pPr>
            <w:r w:rsidRPr="00D55DC6">
              <w:t>32.34</w:t>
            </w:r>
          </w:p>
        </w:tc>
        <w:tc>
          <w:tcPr>
            <w:tcW w:w="959" w:type="dxa"/>
            <w:shd w:val="clear" w:color="auto" w:fill="auto"/>
            <w:noWrap/>
            <w:vAlign w:val="center"/>
          </w:tcPr>
          <w:p w:rsidR="00514642" w:rsidRPr="00D55DC6" w:rsidRDefault="00514642">
            <w:pPr>
              <w:jc w:val="right"/>
            </w:pPr>
            <w:r w:rsidRPr="00D55DC6">
              <w:t>30.34</w:t>
            </w:r>
          </w:p>
        </w:tc>
        <w:tc>
          <w:tcPr>
            <w:tcW w:w="884" w:type="dxa"/>
            <w:vMerge w:val="restart"/>
            <w:shd w:val="clear" w:color="auto" w:fill="auto"/>
            <w:noWrap/>
            <w:vAlign w:val="center"/>
          </w:tcPr>
          <w:p w:rsidR="00514642" w:rsidRPr="00D55DC6" w:rsidRDefault="00514642">
            <w:pPr>
              <w:jc w:val="right"/>
            </w:pPr>
            <w:r w:rsidRPr="00D55DC6">
              <w:t>32.81</w:t>
            </w:r>
          </w:p>
        </w:tc>
        <w:tc>
          <w:tcPr>
            <w:tcW w:w="923" w:type="dxa"/>
            <w:shd w:val="clear" w:color="auto" w:fill="auto"/>
            <w:noWrap/>
            <w:vAlign w:val="center"/>
          </w:tcPr>
          <w:p w:rsidR="00514642" w:rsidRPr="00D55DC6" w:rsidRDefault="00514642">
            <w:pPr>
              <w:jc w:val="right"/>
            </w:pPr>
            <w:r w:rsidRPr="00D55DC6">
              <w:t>122.75</w:t>
            </w:r>
          </w:p>
        </w:tc>
        <w:tc>
          <w:tcPr>
            <w:tcW w:w="778" w:type="dxa"/>
            <w:vMerge w:val="restart"/>
            <w:shd w:val="clear" w:color="auto" w:fill="auto"/>
            <w:noWrap/>
            <w:vAlign w:val="center"/>
          </w:tcPr>
          <w:p w:rsidR="00514642" w:rsidRPr="00D55DC6" w:rsidRDefault="00514642">
            <w:pPr>
              <w:jc w:val="right"/>
            </w:pPr>
            <w:r w:rsidRPr="00D55DC6">
              <w:t>132.51</w:t>
            </w:r>
          </w:p>
        </w:tc>
      </w:tr>
      <w:tr w:rsidR="001D0350" w:rsidRPr="00D55DC6" w:rsidTr="00514642">
        <w:trPr>
          <w:trHeight w:val="324"/>
        </w:trPr>
        <w:tc>
          <w:tcPr>
            <w:tcW w:w="284" w:type="dxa"/>
            <w:vMerge/>
          </w:tcPr>
          <w:p w:rsidR="00514642" w:rsidRPr="00D55DC6" w:rsidRDefault="00514642" w:rsidP="0038165F">
            <w:pPr>
              <w:widowControl/>
              <w:rPr>
                <w:rFonts w:eastAsia="標楷體"/>
                <w:kern w:val="0"/>
                <w:sz w:val="20"/>
                <w:szCs w:val="20"/>
              </w:rPr>
            </w:pPr>
          </w:p>
        </w:tc>
        <w:tc>
          <w:tcPr>
            <w:tcW w:w="960" w:type="dxa"/>
            <w:vMerge/>
            <w:vAlign w:val="center"/>
            <w:hideMark/>
          </w:tcPr>
          <w:p w:rsidR="00514642" w:rsidRPr="00D55DC6" w:rsidRDefault="00514642" w:rsidP="0038165F">
            <w:pPr>
              <w:widowControl/>
              <w:spacing w:line="0" w:lineRule="atLeast"/>
              <w:rPr>
                <w:rFonts w:eastAsia="標楷體"/>
                <w:kern w:val="0"/>
                <w:sz w:val="20"/>
                <w:szCs w:val="20"/>
              </w:rPr>
            </w:pPr>
          </w:p>
        </w:tc>
        <w:tc>
          <w:tcPr>
            <w:tcW w:w="851" w:type="dxa"/>
            <w:shd w:val="clear" w:color="000000" w:fill="FFFF99"/>
            <w:noWrap/>
            <w:vAlign w:val="center"/>
          </w:tcPr>
          <w:p w:rsidR="00514642" w:rsidRPr="00D55DC6" w:rsidRDefault="00514642" w:rsidP="0038165F">
            <w:pPr>
              <w:widowControl/>
              <w:jc w:val="right"/>
              <w:rPr>
                <w:kern w:val="0"/>
              </w:rPr>
            </w:pPr>
            <w:r w:rsidRPr="00D55DC6">
              <w:t>2.40</w:t>
            </w:r>
          </w:p>
        </w:tc>
        <w:tc>
          <w:tcPr>
            <w:tcW w:w="883" w:type="dxa"/>
            <w:vMerge/>
            <w:vAlign w:val="center"/>
          </w:tcPr>
          <w:p w:rsidR="00514642" w:rsidRPr="00D55DC6" w:rsidRDefault="00514642" w:rsidP="0038165F">
            <w:pPr>
              <w:widowControl/>
              <w:rPr>
                <w:kern w:val="0"/>
              </w:rPr>
            </w:pPr>
          </w:p>
        </w:tc>
        <w:tc>
          <w:tcPr>
            <w:tcW w:w="851" w:type="dxa"/>
            <w:shd w:val="clear" w:color="000000" w:fill="FFFF99"/>
            <w:noWrap/>
            <w:vAlign w:val="center"/>
          </w:tcPr>
          <w:p w:rsidR="00514642" w:rsidRPr="00D55DC6" w:rsidRDefault="00514642" w:rsidP="0038165F">
            <w:pPr>
              <w:widowControl/>
              <w:jc w:val="right"/>
              <w:rPr>
                <w:kern w:val="0"/>
              </w:rPr>
            </w:pPr>
            <w:r w:rsidRPr="00D55DC6">
              <w:t>2.42</w:t>
            </w:r>
          </w:p>
        </w:tc>
        <w:tc>
          <w:tcPr>
            <w:tcW w:w="850" w:type="dxa"/>
            <w:vMerge/>
            <w:vAlign w:val="center"/>
          </w:tcPr>
          <w:p w:rsidR="00514642" w:rsidRPr="00D55DC6" w:rsidRDefault="00514642" w:rsidP="0038165F">
            <w:pPr>
              <w:widowControl/>
              <w:rPr>
                <w:kern w:val="0"/>
              </w:rPr>
            </w:pPr>
          </w:p>
        </w:tc>
        <w:tc>
          <w:tcPr>
            <w:tcW w:w="959" w:type="dxa"/>
            <w:shd w:val="clear" w:color="000000" w:fill="FFFF99"/>
            <w:noWrap/>
            <w:vAlign w:val="center"/>
          </w:tcPr>
          <w:p w:rsidR="00514642" w:rsidRPr="00D55DC6" w:rsidRDefault="00514642" w:rsidP="0038165F">
            <w:pPr>
              <w:widowControl/>
              <w:jc w:val="right"/>
              <w:rPr>
                <w:kern w:val="0"/>
              </w:rPr>
            </w:pPr>
            <w:r w:rsidRPr="00D55DC6">
              <w:t>2.47</w:t>
            </w:r>
          </w:p>
        </w:tc>
        <w:tc>
          <w:tcPr>
            <w:tcW w:w="883" w:type="dxa"/>
            <w:vMerge/>
            <w:vAlign w:val="center"/>
          </w:tcPr>
          <w:p w:rsidR="00514642" w:rsidRPr="00D55DC6" w:rsidRDefault="00514642" w:rsidP="0038165F">
            <w:pPr>
              <w:widowControl/>
              <w:rPr>
                <w:kern w:val="0"/>
              </w:rPr>
            </w:pPr>
          </w:p>
        </w:tc>
        <w:tc>
          <w:tcPr>
            <w:tcW w:w="959" w:type="dxa"/>
            <w:shd w:val="clear" w:color="000000" w:fill="FFFF99"/>
            <w:noWrap/>
            <w:vAlign w:val="center"/>
          </w:tcPr>
          <w:p w:rsidR="00514642" w:rsidRPr="00D55DC6" w:rsidRDefault="00514642" w:rsidP="0038165F">
            <w:pPr>
              <w:widowControl/>
              <w:jc w:val="right"/>
              <w:rPr>
                <w:kern w:val="0"/>
              </w:rPr>
            </w:pPr>
            <w:r w:rsidRPr="00D55DC6">
              <w:t>2.47</w:t>
            </w:r>
          </w:p>
        </w:tc>
        <w:tc>
          <w:tcPr>
            <w:tcW w:w="884" w:type="dxa"/>
            <w:vMerge/>
            <w:vAlign w:val="center"/>
          </w:tcPr>
          <w:p w:rsidR="00514642" w:rsidRPr="00D55DC6" w:rsidRDefault="00514642" w:rsidP="0038165F">
            <w:pPr>
              <w:widowControl/>
              <w:rPr>
                <w:kern w:val="0"/>
              </w:rPr>
            </w:pPr>
          </w:p>
        </w:tc>
        <w:tc>
          <w:tcPr>
            <w:tcW w:w="923" w:type="dxa"/>
            <w:shd w:val="clear" w:color="000000" w:fill="FFFF99"/>
            <w:noWrap/>
            <w:vAlign w:val="center"/>
          </w:tcPr>
          <w:p w:rsidR="00514642" w:rsidRPr="00D55DC6" w:rsidRDefault="00514642" w:rsidP="0038165F">
            <w:pPr>
              <w:widowControl/>
              <w:jc w:val="right"/>
              <w:rPr>
                <w:kern w:val="0"/>
              </w:rPr>
            </w:pPr>
            <w:r w:rsidRPr="00D55DC6">
              <w:t>9.76</w:t>
            </w:r>
          </w:p>
        </w:tc>
        <w:tc>
          <w:tcPr>
            <w:tcW w:w="778" w:type="dxa"/>
            <w:vMerge/>
            <w:vAlign w:val="center"/>
            <w:hideMark/>
          </w:tcPr>
          <w:p w:rsidR="00514642" w:rsidRPr="00D55DC6" w:rsidRDefault="00514642" w:rsidP="0038165F">
            <w:pPr>
              <w:widowControl/>
              <w:rPr>
                <w:kern w:val="0"/>
              </w:rPr>
            </w:pPr>
          </w:p>
        </w:tc>
      </w:tr>
    </w:tbl>
    <w:p w:rsidR="00BE6699" w:rsidRPr="00D55DC6" w:rsidRDefault="00BE6699" w:rsidP="0038165F">
      <w:pPr>
        <w:widowControl/>
        <w:rPr>
          <w:rFonts w:eastAsia="標楷體"/>
          <w:b/>
          <w:sz w:val="32"/>
          <w:szCs w:val="32"/>
        </w:rPr>
      </w:pPr>
    </w:p>
    <w:bookmarkEnd w:id="57"/>
    <w:p w:rsidR="00C676DD" w:rsidRPr="00D55DC6" w:rsidRDefault="007531E1" w:rsidP="000664AF">
      <w:pPr>
        <w:pStyle w:val="12"/>
        <w:rPr>
          <w:rFonts w:hAnsi="Times New Roman"/>
          <w:color w:val="auto"/>
        </w:rPr>
      </w:pPr>
      <w:r w:rsidRPr="00D55DC6">
        <w:rPr>
          <w:rFonts w:hAnsi="Times New Roman"/>
          <w:color w:val="auto"/>
        </w:rPr>
        <w:br w:type="page"/>
      </w:r>
      <w:r w:rsidR="000664AF" w:rsidRPr="00D55DC6">
        <w:rPr>
          <w:rFonts w:hAnsi="Times New Roman"/>
          <w:color w:val="auto"/>
        </w:rPr>
        <w:lastRenderedPageBreak/>
        <w:t>附件</w:t>
      </w:r>
      <w:r w:rsidR="000664AF" w:rsidRPr="00D55DC6">
        <w:rPr>
          <w:rFonts w:hAnsi="Times New Roman"/>
          <w:color w:val="auto"/>
        </w:rPr>
        <w:t xml:space="preserve">1  </w:t>
      </w:r>
      <w:r w:rsidR="000664AF" w:rsidRPr="00D55DC6">
        <w:rPr>
          <w:rFonts w:hAnsi="Times New Roman"/>
          <w:color w:val="auto"/>
        </w:rPr>
        <w:t>中長程個案計畫自評檢核表</w:t>
      </w:r>
    </w:p>
    <w:tbl>
      <w:tblPr>
        <w:tblW w:w="104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3855"/>
        <w:gridCol w:w="709"/>
        <w:gridCol w:w="570"/>
        <w:gridCol w:w="709"/>
        <w:gridCol w:w="567"/>
        <w:gridCol w:w="1981"/>
      </w:tblGrid>
      <w:tr w:rsidR="001D0350" w:rsidRPr="00D55DC6" w:rsidTr="00C676DD">
        <w:trPr>
          <w:tblHeader/>
        </w:trPr>
        <w:tc>
          <w:tcPr>
            <w:tcW w:w="2065" w:type="dxa"/>
            <w:vMerge w:val="restart"/>
            <w:shd w:val="clear" w:color="auto" w:fill="auto"/>
            <w:vAlign w:val="center"/>
          </w:tcPr>
          <w:p w:rsidR="00C676DD" w:rsidRPr="00D55DC6" w:rsidRDefault="00C676DD" w:rsidP="00C676DD">
            <w:pPr>
              <w:snapToGrid w:val="0"/>
              <w:spacing w:line="200" w:lineRule="atLeast"/>
              <w:ind w:left="222" w:hanging="222"/>
              <w:jc w:val="center"/>
              <w:rPr>
                <w:rFonts w:eastAsia="標楷體"/>
                <w:sz w:val="22"/>
                <w:szCs w:val="22"/>
              </w:rPr>
            </w:pPr>
            <w:r w:rsidRPr="00D55DC6">
              <w:rPr>
                <w:rFonts w:eastAsia="標楷體"/>
                <w:sz w:val="22"/>
                <w:szCs w:val="22"/>
              </w:rPr>
              <w:t>檢視項目</w:t>
            </w:r>
          </w:p>
        </w:tc>
        <w:tc>
          <w:tcPr>
            <w:tcW w:w="3855" w:type="dxa"/>
            <w:vMerge w:val="restart"/>
            <w:tcBorders>
              <w:right w:val="single" w:sz="4" w:space="0" w:color="auto"/>
            </w:tcBorders>
            <w:shd w:val="clear" w:color="auto" w:fill="auto"/>
            <w:vAlign w:val="center"/>
          </w:tcPr>
          <w:p w:rsidR="00C676DD" w:rsidRPr="00D55DC6" w:rsidRDefault="00C676DD" w:rsidP="00C676DD">
            <w:pPr>
              <w:snapToGrid w:val="0"/>
              <w:spacing w:line="200" w:lineRule="atLeast"/>
              <w:ind w:left="222" w:hanging="222"/>
              <w:jc w:val="center"/>
              <w:rPr>
                <w:rFonts w:eastAsia="標楷體"/>
                <w:sz w:val="22"/>
                <w:szCs w:val="22"/>
              </w:rPr>
            </w:pPr>
            <w:r w:rsidRPr="00D55DC6">
              <w:rPr>
                <w:rFonts w:eastAsia="標楷體"/>
                <w:sz w:val="22"/>
                <w:szCs w:val="22"/>
              </w:rPr>
              <w:t>內　容　重　點</w:t>
            </w:r>
          </w:p>
          <w:p w:rsidR="00C676DD" w:rsidRPr="00D55DC6" w:rsidRDefault="00C676DD" w:rsidP="00C676DD">
            <w:pPr>
              <w:snapToGrid w:val="0"/>
              <w:spacing w:line="200" w:lineRule="atLeast"/>
              <w:ind w:left="222" w:hanging="222"/>
              <w:jc w:val="center"/>
              <w:rPr>
                <w:rFonts w:eastAsia="標楷體"/>
                <w:sz w:val="22"/>
                <w:szCs w:val="22"/>
              </w:rPr>
            </w:pPr>
            <w:r w:rsidRPr="00D55DC6">
              <w:rPr>
                <w:rFonts w:eastAsia="標楷體"/>
                <w:sz w:val="22"/>
                <w:szCs w:val="22"/>
              </w:rPr>
              <w:t>(</w:t>
            </w:r>
            <w:r w:rsidRPr="00D55DC6">
              <w:rPr>
                <w:rFonts w:eastAsia="標楷體"/>
                <w:sz w:val="22"/>
                <w:szCs w:val="22"/>
              </w:rPr>
              <w:t>內容是否依下列原則撰擬</w:t>
            </w:r>
            <w:r w:rsidRPr="00D55DC6">
              <w:rPr>
                <w:rFonts w:eastAsia="標楷體"/>
                <w:sz w:val="22"/>
                <w:szCs w:val="22"/>
              </w:rPr>
              <w:t>)</w:t>
            </w:r>
          </w:p>
        </w:tc>
        <w:tc>
          <w:tcPr>
            <w:tcW w:w="1279" w:type="dxa"/>
            <w:gridSpan w:val="2"/>
            <w:tcBorders>
              <w:top w:val="single" w:sz="4" w:space="0" w:color="auto"/>
              <w:left w:val="single" w:sz="4" w:space="0" w:color="auto"/>
              <w:bottom w:val="single" w:sz="4" w:space="0" w:color="auto"/>
              <w:right w:val="double" w:sz="4" w:space="0" w:color="auto"/>
            </w:tcBorders>
            <w:shd w:val="clear" w:color="auto" w:fill="auto"/>
          </w:tcPr>
          <w:p w:rsidR="00C676DD" w:rsidRPr="00D55DC6" w:rsidRDefault="00C676DD" w:rsidP="00C676DD">
            <w:pPr>
              <w:snapToGrid w:val="0"/>
              <w:spacing w:line="200" w:lineRule="atLeast"/>
              <w:ind w:leftChars="-45" w:left="114" w:rightChars="-82" w:right="-197" w:hanging="222"/>
              <w:jc w:val="center"/>
              <w:rPr>
                <w:rFonts w:eastAsia="標楷體"/>
                <w:sz w:val="22"/>
                <w:szCs w:val="22"/>
              </w:rPr>
            </w:pPr>
            <w:r w:rsidRPr="00D55DC6">
              <w:rPr>
                <w:rFonts w:eastAsia="標楷體"/>
                <w:sz w:val="22"/>
                <w:szCs w:val="22"/>
              </w:rPr>
              <w:t>主辦機關</w:t>
            </w:r>
          </w:p>
        </w:tc>
        <w:tc>
          <w:tcPr>
            <w:tcW w:w="1276" w:type="dxa"/>
            <w:gridSpan w:val="2"/>
            <w:tcBorders>
              <w:left w:val="double" w:sz="4" w:space="0" w:color="auto"/>
              <w:bottom w:val="single" w:sz="4" w:space="0" w:color="auto"/>
              <w:right w:val="double" w:sz="4" w:space="0" w:color="auto"/>
            </w:tcBorders>
            <w:shd w:val="clear" w:color="auto" w:fill="auto"/>
          </w:tcPr>
          <w:p w:rsidR="00C676DD" w:rsidRPr="00D55DC6" w:rsidRDefault="00C676DD" w:rsidP="00C676DD">
            <w:pPr>
              <w:snapToGrid w:val="0"/>
              <w:spacing w:line="200" w:lineRule="atLeast"/>
              <w:ind w:leftChars="-34" w:left="-3" w:hangingChars="36" w:hanging="79"/>
              <w:jc w:val="center"/>
              <w:rPr>
                <w:rFonts w:eastAsia="標楷體"/>
                <w:sz w:val="22"/>
                <w:szCs w:val="22"/>
              </w:rPr>
            </w:pPr>
            <w:r w:rsidRPr="00D55DC6">
              <w:rPr>
                <w:rFonts w:eastAsia="標楷體"/>
                <w:sz w:val="22"/>
                <w:szCs w:val="22"/>
              </w:rPr>
              <w:t>主管機關</w:t>
            </w:r>
          </w:p>
        </w:tc>
        <w:tc>
          <w:tcPr>
            <w:tcW w:w="1981" w:type="dxa"/>
            <w:vMerge w:val="restart"/>
            <w:tcBorders>
              <w:left w:val="double" w:sz="4" w:space="0" w:color="auto"/>
            </w:tcBorders>
            <w:shd w:val="clear" w:color="auto" w:fill="auto"/>
            <w:vAlign w:val="center"/>
          </w:tcPr>
          <w:p w:rsidR="00C676DD" w:rsidRPr="00D55DC6" w:rsidRDefault="00C676DD" w:rsidP="00C676DD">
            <w:pPr>
              <w:snapToGrid w:val="0"/>
              <w:spacing w:line="200" w:lineRule="atLeast"/>
              <w:ind w:left="222" w:hanging="222"/>
              <w:jc w:val="center"/>
              <w:rPr>
                <w:rFonts w:eastAsia="標楷體"/>
                <w:sz w:val="22"/>
                <w:szCs w:val="22"/>
              </w:rPr>
            </w:pPr>
            <w:r w:rsidRPr="00D55DC6">
              <w:rPr>
                <w:rFonts w:eastAsia="標楷體"/>
                <w:sz w:val="22"/>
                <w:szCs w:val="22"/>
              </w:rPr>
              <w:t>備註</w:t>
            </w:r>
          </w:p>
        </w:tc>
      </w:tr>
      <w:tr w:rsidR="001D0350" w:rsidRPr="00D55DC6" w:rsidTr="00C676DD">
        <w:trPr>
          <w:trHeight w:val="124"/>
          <w:tblHeader/>
        </w:trPr>
        <w:tc>
          <w:tcPr>
            <w:tcW w:w="2065" w:type="dxa"/>
            <w:vMerge/>
            <w:shd w:val="clear" w:color="auto" w:fill="auto"/>
            <w:vAlign w:val="center"/>
          </w:tcPr>
          <w:p w:rsidR="00C676DD" w:rsidRPr="00D55DC6" w:rsidRDefault="00C676DD" w:rsidP="00C676DD">
            <w:pPr>
              <w:snapToGrid w:val="0"/>
              <w:spacing w:line="200" w:lineRule="atLeast"/>
              <w:ind w:left="222" w:hanging="222"/>
              <w:jc w:val="center"/>
              <w:rPr>
                <w:rFonts w:eastAsia="標楷體"/>
                <w:sz w:val="22"/>
                <w:szCs w:val="22"/>
              </w:rPr>
            </w:pPr>
          </w:p>
        </w:tc>
        <w:tc>
          <w:tcPr>
            <w:tcW w:w="3855" w:type="dxa"/>
            <w:vMerge/>
            <w:tcBorders>
              <w:right w:val="single" w:sz="4" w:space="0" w:color="auto"/>
            </w:tcBorders>
            <w:shd w:val="clear" w:color="auto" w:fill="auto"/>
          </w:tcPr>
          <w:p w:rsidR="00C676DD" w:rsidRPr="00D55DC6" w:rsidRDefault="00C676DD" w:rsidP="00C676DD">
            <w:pPr>
              <w:snapToGrid w:val="0"/>
              <w:spacing w:line="200" w:lineRule="atLeast"/>
              <w:ind w:left="222" w:hanging="222"/>
              <w:jc w:val="center"/>
              <w:rPr>
                <w:rFonts w:eastAsia="標楷體"/>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C676DD" w:rsidRPr="00D55DC6" w:rsidRDefault="00C676DD" w:rsidP="00C676DD">
            <w:pPr>
              <w:snapToGrid w:val="0"/>
              <w:spacing w:line="200" w:lineRule="atLeast"/>
              <w:ind w:left="222" w:hanging="222"/>
              <w:jc w:val="center"/>
              <w:rPr>
                <w:rFonts w:eastAsia="標楷體"/>
                <w:sz w:val="22"/>
                <w:szCs w:val="22"/>
              </w:rPr>
            </w:pPr>
            <w:r w:rsidRPr="00D55DC6">
              <w:rPr>
                <w:rFonts w:eastAsia="標楷體"/>
                <w:sz w:val="22"/>
                <w:szCs w:val="22"/>
              </w:rPr>
              <w:t>是</w:t>
            </w:r>
          </w:p>
        </w:tc>
        <w:tc>
          <w:tcPr>
            <w:tcW w:w="570" w:type="dxa"/>
            <w:tcBorders>
              <w:top w:val="single" w:sz="4" w:space="0" w:color="auto"/>
              <w:left w:val="single" w:sz="4" w:space="0" w:color="auto"/>
              <w:bottom w:val="single" w:sz="4" w:space="0" w:color="auto"/>
              <w:right w:val="double" w:sz="4" w:space="0" w:color="auto"/>
            </w:tcBorders>
            <w:shd w:val="clear" w:color="auto" w:fill="auto"/>
          </w:tcPr>
          <w:p w:rsidR="00C676DD" w:rsidRPr="00D55DC6" w:rsidRDefault="00C676DD" w:rsidP="00C676DD">
            <w:pPr>
              <w:snapToGrid w:val="0"/>
              <w:spacing w:line="200" w:lineRule="atLeast"/>
              <w:ind w:left="222" w:hanging="222"/>
              <w:jc w:val="center"/>
              <w:rPr>
                <w:rFonts w:eastAsia="標楷體"/>
                <w:sz w:val="22"/>
                <w:szCs w:val="22"/>
              </w:rPr>
            </w:pPr>
            <w:r w:rsidRPr="00D55DC6">
              <w:rPr>
                <w:rFonts w:eastAsia="標楷體"/>
                <w:sz w:val="22"/>
                <w:szCs w:val="22"/>
              </w:rPr>
              <w:t>否</w:t>
            </w:r>
          </w:p>
        </w:tc>
        <w:tc>
          <w:tcPr>
            <w:tcW w:w="709" w:type="dxa"/>
            <w:tcBorders>
              <w:left w:val="double" w:sz="4" w:space="0" w:color="auto"/>
              <w:bottom w:val="single" w:sz="4" w:space="0" w:color="auto"/>
              <w:right w:val="single" w:sz="4" w:space="0" w:color="auto"/>
            </w:tcBorders>
            <w:shd w:val="clear" w:color="auto" w:fill="auto"/>
          </w:tcPr>
          <w:p w:rsidR="00C676DD" w:rsidRPr="00D55DC6" w:rsidRDefault="00C676DD" w:rsidP="00C676DD">
            <w:pPr>
              <w:snapToGrid w:val="0"/>
              <w:spacing w:line="200" w:lineRule="atLeast"/>
              <w:ind w:left="222" w:hanging="222"/>
              <w:jc w:val="center"/>
              <w:rPr>
                <w:rFonts w:eastAsia="標楷體"/>
                <w:sz w:val="22"/>
                <w:szCs w:val="22"/>
              </w:rPr>
            </w:pPr>
            <w:r w:rsidRPr="00D55DC6">
              <w:rPr>
                <w:rFonts w:eastAsia="標楷體"/>
                <w:sz w:val="22"/>
                <w:szCs w:val="22"/>
              </w:rPr>
              <w:t>是</w:t>
            </w:r>
          </w:p>
        </w:tc>
        <w:tc>
          <w:tcPr>
            <w:tcW w:w="567" w:type="dxa"/>
            <w:tcBorders>
              <w:left w:val="single" w:sz="4" w:space="0" w:color="auto"/>
              <w:bottom w:val="single" w:sz="4" w:space="0" w:color="auto"/>
              <w:right w:val="double" w:sz="4" w:space="0" w:color="auto"/>
            </w:tcBorders>
            <w:shd w:val="clear" w:color="auto" w:fill="auto"/>
          </w:tcPr>
          <w:p w:rsidR="00C676DD" w:rsidRPr="00D55DC6" w:rsidRDefault="00C676DD" w:rsidP="00C676DD">
            <w:pPr>
              <w:snapToGrid w:val="0"/>
              <w:spacing w:line="200" w:lineRule="atLeast"/>
              <w:ind w:left="222" w:hanging="222"/>
              <w:jc w:val="center"/>
              <w:rPr>
                <w:rFonts w:eastAsia="標楷體"/>
                <w:sz w:val="22"/>
                <w:szCs w:val="22"/>
              </w:rPr>
            </w:pPr>
            <w:r w:rsidRPr="00D55DC6">
              <w:rPr>
                <w:rFonts w:eastAsia="標楷體"/>
                <w:sz w:val="22"/>
                <w:szCs w:val="22"/>
              </w:rPr>
              <w:t>否</w:t>
            </w:r>
          </w:p>
        </w:tc>
        <w:tc>
          <w:tcPr>
            <w:tcW w:w="1981" w:type="dxa"/>
            <w:vMerge/>
            <w:tcBorders>
              <w:left w:val="double" w:sz="4" w:space="0" w:color="auto"/>
            </w:tcBorders>
            <w:shd w:val="clear" w:color="auto" w:fill="auto"/>
            <w:vAlign w:val="center"/>
          </w:tcPr>
          <w:p w:rsidR="00C676DD" w:rsidRPr="00D55DC6" w:rsidRDefault="00C676DD" w:rsidP="00C676DD">
            <w:pPr>
              <w:snapToGrid w:val="0"/>
              <w:spacing w:line="200" w:lineRule="atLeast"/>
              <w:ind w:left="222" w:hanging="222"/>
              <w:jc w:val="center"/>
              <w:rPr>
                <w:rFonts w:eastAsia="標楷體"/>
                <w:sz w:val="22"/>
                <w:szCs w:val="22"/>
              </w:rPr>
            </w:pPr>
          </w:p>
        </w:tc>
      </w:tr>
      <w:tr w:rsidR="001D0350" w:rsidRPr="00D55DC6" w:rsidTr="00C676DD">
        <w:trPr>
          <w:trHeight w:val="712"/>
        </w:trPr>
        <w:tc>
          <w:tcPr>
            <w:tcW w:w="2065" w:type="dxa"/>
            <w:vMerge w:val="restart"/>
            <w:shd w:val="clear" w:color="auto" w:fill="auto"/>
          </w:tcPr>
          <w:p w:rsidR="008C30A2" w:rsidRPr="00D55DC6" w:rsidRDefault="008C30A2" w:rsidP="00C676DD">
            <w:pPr>
              <w:snapToGrid w:val="0"/>
              <w:spacing w:line="200" w:lineRule="atLeast"/>
              <w:ind w:left="218" w:hangingChars="99" w:hanging="218"/>
              <w:jc w:val="both"/>
              <w:rPr>
                <w:rFonts w:eastAsia="標楷體"/>
                <w:sz w:val="22"/>
                <w:szCs w:val="22"/>
              </w:rPr>
            </w:pPr>
            <w:r w:rsidRPr="00D55DC6">
              <w:rPr>
                <w:rFonts w:eastAsia="標楷體"/>
                <w:sz w:val="22"/>
                <w:szCs w:val="22"/>
              </w:rPr>
              <w:t>1</w:t>
            </w:r>
            <w:r w:rsidRPr="00D55DC6">
              <w:rPr>
                <w:rFonts w:eastAsia="標楷體"/>
                <w:sz w:val="22"/>
                <w:szCs w:val="22"/>
              </w:rPr>
              <w:t>、計畫書格式</w:t>
            </w:r>
          </w:p>
        </w:tc>
        <w:tc>
          <w:tcPr>
            <w:tcW w:w="3855" w:type="dxa"/>
            <w:shd w:val="clear" w:color="auto" w:fill="auto"/>
          </w:tcPr>
          <w:p w:rsidR="008C30A2" w:rsidRPr="00D55DC6" w:rsidRDefault="008C30A2" w:rsidP="00C676DD">
            <w:pPr>
              <w:snapToGrid w:val="0"/>
              <w:spacing w:line="200" w:lineRule="atLeast"/>
              <w:ind w:left="275" w:hangingChars="125" w:hanging="275"/>
              <w:jc w:val="both"/>
              <w:rPr>
                <w:rFonts w:eastAsia="標楷體"/>
                <w:sz w:val="22"/>
                <w:szCs w:val="22"/>
              </w:rPr>
            </w:pPr>
            <w:r w:rsidRPr="00D55DC6">
              <w:rPr>
                <w:rFonts w:eastAsia="標楷體"/>
                <w:sz w:val="22"/>
                <w:szCs w:val="22"/>
              </w:rPr>
              <w:t>(1)</w:t>
            </w:r>
            <w:r w:rsidRPr="00D55DC6">
              <w:rPr>
                <w:rFonts w:eastAsia="標楷體"/>
                <w:sz w:val="22"/>
                <w:szCs w:val="22"/>
              </w:rPr>
              <w:t>計畫內容應包括項目是否均已填列</w:t>
            </w:r>
            <w:r w:rsidRPr="00D55DC6">
              <w:rPr>
                <w:rFonts w:eastAsia="標楷體"/>
                <w:sz w:val="22"/>
                <w:szCs w:val="22"/>
              </w:rPr>
              <w:t>(</w:t>
            </w:r>
            <w:r w:rsidRPr="00D55DC6">
              <w:rPr>
                <w:rFonts w:eastAsia="標楷體"/>
                <w:sz w:val="22"/>
                <w:szCs w:val="22"/>
              </w:rPr>
              <w:t>「行政院所屬各機關中長程個案計畫編審要點」（以下簡稱編審要點）第</w:t>
            </w:r>
            <w:r w:rsidRPr="00D55DC6">
              <w:rPr>
                <w:rFonts w:eastAsia="標楷體"/>
                <w:sz w:val="22"/>
                <w:szCs w:val="22"/>
              </w:rPr>
              <w:t>5</w:t>
            </w:r>
            <w:r w:rsidRPr="00D55DC6">
              <w:rPr>
                <w:rFonts w:eastAsia="標楷體"/>
                <w:sz w:val="22"/>
                <w:szCs w:val="22"/>
              </w:rPr>
              <w:t>點、第</w:t>
            </w:r>
            <w:r w:rsidRPr="00D55DC6">
              <w:rPr>
                <w:rFonts w:eastAsia="標楷體"/>
                <w:sz w:val="22"/>
                <w:szCs w:val="22"/>
              </w:rPr>
              <w:t>12</w:t>
            </w:r>
            <w:r w:rsidRPr="00D55DC6">
              <w:rPr>
                <w:rFonts w:eastAsia="標楷體"/>
                <w:sz w:val="22"/>
                <w:szCs w:val="22"/>
              </w:rPr>
              <w:t>點</w:t>
            </w:r>
            <w:r w:rsidRPr="00D55DC6">
              <w:rPr>
                <w:rFonts w:eastAsia="標楷體"/>
                <w:sz w:val="22"/>
                <w:szCs w:val="22"/>
              </w:rPr>
              <w:t>)</w:t>
            </w:r>
          </w:p>
        </w:tc>
        <w:tc>
          <w:tcPr>
            <w:tcW w:w="709" w:type="dxa"/>
            <w:tcBorders>
              <w:right w:val="sing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570" w:type="dxa"/>
            <w:tcBorders>
              <w:left w:val="single" w:sz="4" w:space="0" w:color="auto"/>
              <w:right w:val="doub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p>
        </w:tc>
        <w:tc>
          <w:tcPr>
            <w:tcW w:w="709" w:type="dxa"/>
            <w:tcBorders>
              <w:left w:val="double" w:sz="4" w:space="0" w:color="auto"/>
              <w:right w:val="sing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567" w:type="dxa"/>
            <w:tcBorders>
              <w:left w:val="single" w:sz="4" w:space="0" w:color="auto"/>
              <w:right w:val="doub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p>
        </w:tc>
        <w:tc>
          <w:tcPr>
            <w:tcW w:w="1981" w:type="dxa"/>
            <w:vMerge w:val="restart"/>
            <w:tcBorders>
              <w:left w:val="double" w:sz="4" w:space="0" w:color="auto"/>
            </w:tcBorders>
            <w:shd w:val="clear" w:color="auto" w:fill="auto"/>
          </w:tcPr>
          <w:p w:rsidR="008C30A2" w:rsidRPr="00D55DC6" w:rsidRDefault="008C30A2" w:rsidP="00C676DD">
            <w:pPr>
              <w:snapToGrid w:val="0"/>
              <w:spacing w:line="200" w:lineRule="atLeast"/>
              <w:ind w:rightChars="14" w:right="34"/>
              <w:jc w:val="both"/>
              <w:rPr>
                <w:rFonts w:eastAsia="標楷體"/>
                <w:sz w:val="22"/>
                <w:szCs w:val="22"/>
              </w:rPr>
            </w:pPr>
          </w:p>
        </w:tc>
      </w:tr>
      <w:tr w:rsidR="001D0350" w:rsidRPr="00D55DC6" w:rsidTr="00C676DD">
        <w:trPr>
          <w:trHeight w:val="712"/>
        </w:trPr>
        <w:tc>
          <w:tcPr>
            <w:tcW w:w="2065" w:type="dxa"/>
            <w:vMerge/>
            <w:shd w:val="clear" w:color="auto" w:fill="auto"/>
          </w:tcPr>
          <w:p w:rsidR="008C30A2" w:rsidRPr="00D55DC6" w:rsidRDefault="008C30A2" w:rsidP="00C676DD">
            <w:pPr>
              <w:snapToGrid w:val="0"/>
              <w:spacing w:line="200" w:lineRule="atLeast"/>
              <w:ind w:left="218" w:hangingChars="99" w:hanging="218"/>
              <w:jc w:val="both"/>
              <w:rPr>
                <w:rFonts w:eastAsia="標楷體"/>
                <w:sz w:val="22"/>
                <w:szCs w:val="22"/>
              </w:rPr>
            </w:pPr>
          </w:p>
        </w:tc>
        <w:tc>
          <w:tcPr>
            <w:tcW w:w="3855" w:type="dxa"/>
            <w:shd w:val="clear" w:color="auto" w:fill="auto"/>
          </w:tcPr>
          <w:p w:rsidR="008C30A2" w:rsidRPr="00D55DC6" w:rsidRDefault="008C30A2" w:rsidP="00C676DD">
            <w:pPr>
              <w:snapToGrid w:val="0"/>
              <w:spacing w:line="200" w:lineRule="atLeast"/>
              <w:ind w:left="275" w:hangingChars="125" w:hanging="275"/>
              <w:jc w:val="both"/>
              <w:rPr>
                <w:rFonts w:eastAsia="標楷體"/>
                <w:sz w:val="22"/>
                <w:szCs w:val="22"/>
              </w:rPr>
            </w:pPr>
            <w:r w:rsidRPr="00D55DC6">
              <w:rPr>
                <w:rFonts w:eastAsia="標楷體"/>
                <w:sz w:val="22"/>
                <w:szCs w:val="22"/>
              </w:rPr>
              <w:t>(2)</w:t>
            </w:r>
            <w:r w:rsidRPr="00D55DC6">
              <w:rPr>
                <w:rFonts w:eastAsia="標楷體"/>
                <w:sz w:val="22"/>
                <w:szCs w:val="22"/>
              </w:rPr>
              <w:t>延續性計畫是否辦理前期計畫執行成效評估，並提出總結評估報告</w:t>
            </w:r>
            <w:r w:rsidRPr="00D55DC6">
              <w:rPr>
                <w:rFonts w:eastAsia="標楷體"/>
                <w:sz w:val="22"/>
                <w:szCs w:val="22"/>
              </w:rPr>
              <w:t>(</w:t>
            </w:r>
            <w:r w:rsidRPr="00D55DC6">
              <w:rPr>
                <w:rFonts w:eastAsia="標楷體"/>
                <w:sz w:val="22"/>
                <w:szCs w:val="22"/>
              </w:rPr>
              <w:t>編審要點第</w:t>
            </w:r>
            <w:r w:rsidRPr="00D55DC6">
              <w:rPr>
                <w:rFonts w:eastAsia="標楷體"/>
                <w:sz w:val="22"/>
                <w:szCs w:val="22"/>
              </w:rPr>
              <w:t>5</w:t>
            </w:r>
            <w:r w:rsidRPr="00D55DC6">
              <w:rPr>
                <w:rFonts w:eastAsia="標楷體"/>
                <w:sz w:val="22"/>
                <w:szCs w:val="22"/>
              </w:rPr>
              <w:t>點、第</w:t>
            </w:r>
            <w:r w:rsidRPr="00D55DC6">
              <w:rPr>
                <w:rFonts w:eastAsia="標楷體"/>
                <w:sz w:val="22"/>
                <w:szCs w:val="22"/>
              </w:rPr>
              <w:t>13</w:t>
            </w:r>
            <w:r w:rsidRPr="00D55DC6">
              <w:rPr>
                <w:rFonts w:eastAsia="標楷體"/>
                <w:sz w:val="22"/>
                <w:szCs w:val="22"/>
              </w:rPr>
              <w:t>點</w:t>
            </w:r>
            <w:r w:rsidRPr="00D55DC6">
              <w:rPr>
                <w:rFonts w:eastAsia="標楷體"/>
                <w:sz w:val="22"/>
                <w:szCs w:val="22"/>
              </w:rPr>
              <w:t>)</w:t>
            </w:r>
          </w:p>
        </w:tc>
        <w:tc>
          <w:tcPr>
            <w:tcW w:w="709" w:type="dxa"/>
            <w:tcBorders>
              <w:right w:val="sing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570" w:type="dxa"/>
            <w:tcBorders>
              <w:left w:val="single" w:sz="4" w:space="0" w:color="auto"/>
              <w:right w:val="doub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p>
        </w:tc>
        <w:tc>
          <w:tcPr>
            <w:tcW w:w="709" w:type="dxa"/>
            <w:tcBorders>
              <w:left w:val="double" w:sz="4" w:space="0" w:color="auto"/>
              <w:right w:val="sing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567" w:type="dxa"/>
            <w:tcBorders>
              <w:left w:val="single" w:sz="4" w:space="0" w:color="auto"/>
              <w:right w:val="doub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p>
        </w:tc>
        <w:tc>
          <w:tcPr>
            <w:tcW w:w="1981" w:type="dxa"/>
            <w:vMerge/>
            <w:tcBorders>
              <w:left w:val="double" w:sz="4" w:space="0" w:color="auto"/>
            </w:tcBorders>
            <w:shd w:val="clear" w:color="auto" w:fill="auto"/>
          </w:tcPr>
          <w:p w:rsidR="008C30A2" w:rsidRPr="00D55DC6" w:rsidRDefault="008C30A2" w:rsidP="00C676DD">
            <w:pPr>
              <w:snapToGrid w:val="0"/>
              <w:spacing w:line="200" w:lineRule="atLeast"/>
              <w:ind w:left="222" w:hanging="222"/>
              <w:rPr>
                <w:rFonts w:eastAsia="標楷體"/>
                <w:sz w:val="22"/>
                <w:szCs w:val="22"/>
              </w:rPr>
            </w:pPr>
          </w:p>
        </w:tc>
      </w:tr>
      <w:tr w:rsidR="001D0350" w:rsidRPr="00D55DC6" w:rsidTr="00C676DD">
        <w:trPr>
          <w:trHeight w:val="1012"/>
        </w:trPr>
        <w:tc>
          <w:tcPr>
            <w:tcW w:w="2065" w:type="dxa"/>
            <w:vMerge/>
            <w:tcBorders>
              <w:bottom w:val="single" w:sz="4" w:space="0" w:color="auto"/>
            </w:tcBorders>
            <w:shd w:val="clear" w:color="auto" w:fill="auto"/>
          </w:tcPr>
          <w:p w:rsidR="008C30A2" w:rsidRPr="00D55DC6" w:rsidRDefault="008C30A2" w:rsidP="00C676DD">
            <w:pPr>
              <w:snapToGrid w:val="0"/>
              <w:spacing w:line="200" w:lineRule="atLeast"/>
              <w:ind w:left="218" w:hangingChars="99" w:hanging="218"/>
              <w:jc w:val="both"/>
              <w:rPr>
                <w:rFonts w:eastAsia="標楷體"/>
                <w:sz w:val="22"/>
                <w:szCs w:val="22"/>
              </w:rPr>
            </w:pPr>
          </w:p>
        </w:tc>
        <w:tc>
          <w:tcPr>
            <w:tcW w:w="3855" w:type="dxa"/>
            <w:shd w:val="clear" w:color="auto" w:fill="auto"/>
          </w:tcPr>
          <w:p w:rsidR="008C30A2" w:rsidRPr="00D55DC6" w:rsidRDefault="008C30A2" w:rsidP="00C676DD">
            <w:pPr>
              <w:snapToGrid w:val="0"/>
              <w:spacing w:line="200" w:lineRule="atLeast"/>
              <w:ind w:left="275" w:hangingChars="125" w:hanging="275"/>
              <w:jc w:val="both"/>
              <w:rPr>
                <w:rFonts w:eastAsia="標楷體"/>
                <w:sz w:val="22"/>
                <w:szCs w:val="22"/>
              </w:rPr>
            </w:pPr>
            <w:r w:rsidRPr="00D55DC6">
              <w:rPr>
                <w:rFonts w:eastAsia="標楷體"/>
                <w:sz w:val="22"/>
                <w:szCs w:val="22"/>
              </w:rPr>
              <w:t>(3)</w:t>
            </w:r>
            <w:r w:rsidRPr="00D55DC6">
              <w:rPr>
                <w:rFonts w:eastAsia="標楷體"/>
                <w:sz w:val="22"/>
                <w:szCs w:val="22"/>
              </w:rPr>
              <w:t>是否依據「跨域加值公共建設財務規劃方案」之精神提具相關財務策略規劃檢核表？並依據各類審查作業規定提具相關書件</w:t>
            </w:r>
          </w:p>
        </w:tc>
        <w:tc>
          <w:tcPr>
            <w:tcW w:w="709" w:type="dxa"/>
            <w:tcBorders>
              <w:right w:val="sing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570" w:type="dxa"/>
            <w:tcBorders>
              <w:left w:val="single" w:sz="4" w:space="0" w:color="auto"/>
              <w:right w:val="doub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p>
        </w:tc>
        <w:tc>
          <w:tcPr>
            <w:tcW w:w="709" w:type="dxa"/>
            <w:tcBorders>
              <w:left w:val="double" w:sz="4" w:space="0" w:color="auto"/>
              <w:right w:val="sing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567" w:type="dxa"/>
            <w:tcBorders>
              <w:left w:val="single" w:sz="4" w:space="0" w:color="auto"/>
              <w:right w:val="doub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p>
        </w:tc>
        <w:tc>
          <w:tcPr>
            <w:tcW w:w="1981" w:type="dxa"/>
            <w:vMerge/>
            <w:tcBorders>
              <w:left w:val="double" w:sz="4" w:space="0" w:color="auto"/>
            </w:tcBorders>
            <w:shd w:val="clear" w:color="auto" w:fill="auto"/>
          </w:tcPr>
          <w:p w:rsidR="008C30A2" w:rsidRPr="00D55DC6" w:rsidRDefault="008C30A2" w:rsidP="00C676DD">
            <w:pPr>
              <w:snapToGrid w:val="0"/>
              <w:spacing w:line="200" w:lineRule="atLeast"/>
              <w:ind w:left="222" w:hanging="222"/>
              <w:rPr>
                <w:rFonts w:eastAsia="標楷體"/>
                <w:sz w:val="22"/>
                <w:szCs w:val="22"/>
              </w:rPr>
            </w:pPr>
          </w:p>
        </w:tc>
      </w:tr>
      <w:tr w:rsidR="001D0350" w:rsidRPr="00D55DC6" w:rsidTr="00C676DD">
        <w:tc>
          <w:tcPr>
            <w:tcW w:w="2065" w:type="dxa"/>
            <w:tcBorders>
              <w:bottom w:val="nil"/>
            </w:tcBorders>
            <w:shd w:val="clear" w:color="auto" w:fill="auto"/>
          </w:tcPr>
          <w:p w:rsidR="008C30A2" w:rsidRPr="00D55DC6" w:rsidRDefault="008C30A2" w:rsidP="00C676DD">
            <w:pPr>
              <w:snapToGrid w:val="0"/>
              <w:spacing w:line="200" w:lineRule="atLeast"/>
              <w:ind w:left="321" w:hangingChars="146" w:hanging="321"/>
              <w:jc w:val="both"/>
              <w:rPr>
                <w:rFonts w:eastAsia="標楷體"/>
                <w:sz w:val="22"/>
                <w:szCs w:val="22"/>
              </w:rPr>
            </w:pPr>
            <w:r w:rsidRPr="00D55DC6">
              <w:rPr>
                <w:rFonts w:eastAsia="標楷體"/>
                <w:sz w:val="22"/>
                <w:szCs w:val="22"/>
              </w:rPr>
              <w:t>2</w:t>
            </w:r>
            <w:r w:rsidRPr="00D55DC6">
              <w:rPr>
                <w:rFonts w:eastAsia="標楷體"/>
                <w:sz w:val="22"/>
                <w:szCs w:val="22"/>
              </w:rPr>
              <w:t>、民間參與可行性評估</w:t>
            </w:r>
          </w:p>
        </w:tc>
        <w:tc>
          <w:tcPr>
            <w:tcW w:w="3855" w:type="dxa"/>
            <w:shd w:val="clear" w:color="auto" w:fill="auto"/>
          </w:tcPr>
          <w:p w:rsidR="008C30A2" w:rsidRPr="00D55DC6" w:rsidRDefault="008C30A2" w:rsidP="00C676DD">
            <w:pPr>
              <w:snapToGrid w:val="0"/>
              <w:spacing w:line="200" w:lineRule="atLeast"/>
              <w:rPr>
                <w:rFonts w:eastAsia="標楷體"/>
                <w:sz w:val="22"/>
                <w:szCs w:val="22"/>
              </w:rPr>
            </w:pPr>
            <w:r w:rsidRPr="00D55DC6">
              <w:rPr>
                <w:rFonts w:eastAsia="標楷體"/>
                <w:sz w:val="22"/>
                <w:szCs w:val="22"/>
              </w:rPr>
              <w:t>是否填寫「促參預評估檢核表」評估（依「公共建設促參預評估機制」）</w:t>
            </w:r>
          </w:p>
        </w:tc>
        <w:tc>
          <w:tcPr>
            <w:tcW w:w="709" w:type="dxa"/>
            <w:tcBorders>
              <w:right w:val="sing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570" w:type="dxa"/>
            <w:tcBorders>
              <w:top w:val="single" w:sz="4" w:space="0" w:color="auto"/>
              <w:left w:val="single" w:sz="4" w:space="0" w:color="auto"/>
              <w:bottom w:val="single" w:sz="4" w:space="0" w:color="auto"/>
              <w:right w:val="doub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p>
        </w:tc>
        <w:tc>
          <w:tcPr>
            <w:tcW w:w="709" w:type="dxa"/>
            <w:tcBorders>
              <w:left w:val="double" w:sz="4" w:space="0" w:color="auto"/>
              <w:right w:val="sing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567" w:type="dxa"/>
            <w:tcBorders>
              <w:left w:val="single" w:sz="4" w:space="0" w:color="auto"/>
              <w:right w:val="doub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p>
        </w:tc>
        <w:tc>
          <w:tcPr>
            <w:tcW w:w="1981" w:type="dxa"/>
            <w:tcBorders>
              <w:left w:val="double" w:sz="4" w:space="0" w:color="auto"/>
            </w:tcBorders>
            <w:shd w:val="clear" w:color="auto" w:fill="auto"/>
          </w:tcPr>
          <w:p w:rsidR="008C30A2" w:rsidRPr="00D55DC6" w:rsidRDefault="008C30A2" w:rsidP="000664AF">
            <w:pPr>
              <w:snapToGrid w:val="0"/>
              <w:spacing w:line="200" w:lineRule="atLeast"/>
              <w:ind w:left="222" w:hanging="222"/>
              <w:rPr>
                <w:rFonts w:eastAsia="標楷體"/>
                <w:sz w:val="22"/>
                <w:szCs w:val="22"/>
              </w:rPr>
            </w:pPr>
            <w:r w:rsidRPr="00D55DC6">
              <w:rPr>
                <w:rFonts w:eastAsia="標楷體"/>
                <w:sz w:val="22"/>
                <w:szCs w:val="22"/>
              </w:rPr>
              <w:t>依個案需求辦理</w:t>
            </w:r>
          </w:p>
        </w:tc>
      </w:tr>
      <w:tr w:rsidR="001D0350" w:rsidRPr="00D55DC6" w:rsidTr="00C676DD">
        <w:tc>
          <w:tcPr>
            <w:tcW w:w="2065" w:type="dxa"/>
            <w:vMerge w:val="restart"/>
            <w:shd w:val="clear" w:color="auto" w:fill="auto"/>
          </w:tcPr>
          <w:p w:rsidR="008C30A2" w:rsidRPr="00D55DC6" w:rsidRDefault="008C30A2" w:rsidP="00C676DD">
            <w:pPr>
              <w:snapToGrid w:val="0"/>
              <w:spacing w:line="200" w:lineRule="atLeast"/>
              <w:ind w:left="321" w:hangingChars="146" w:hanging="321"/>
              <w:jc w:val="both"/>
              <w:rPr>
                <w:rFonts w:eastAsia="標楷體"/>
                <w:sz w:val="22"/>
                <w:szCs w:val="22"/>
              </w:rPr>
            </w:pPr>
            <w:r w:rsidRPr="00D55DC6">
              <w:rPr>
                <w:rFonts w:eastAsia="標楷體"/>
                <w:sz w:val="22"/>
                <w:szCs w:val="22"/>
              </w:rPr>
              <w:t>3</w:t>
            </w:r>
            <w:r w:rsidRPr="00D55DC6">
              <w:rPr>
                <w:rFonts w:eastAsia="標楷體"/>
                <w:sz w:val="22"/>
                <w:szCs w:val="22"/>
              </w:rPr>
              <w:t>、經濟及財務效益評估</w:t>
            </w:r>
          </w:p>
        </w:tc>
        <w:tc>
          <w:tcPr>
            <w:tcW w:w="3855" w:type="dxa"/>
            <w:shd w:val="clear" w:color="auto" w:fill="auto"/>
          </w:tcPr>
          <w:p w:rsidR="008C30A2" w:rsidRPr="00D55DC6" w:rsidRDefault="008C30A2" w:rsidP="00C676DD">
            <w:pPr>
              <w:snapToGrid w:val="0"/>
              <w:spacing w:line="200" w:lineRule="atLeast"/>
              <w:ind w:left="275" w:hangingChars="125" w:hanging="275"/>
              <w:jc w:val="both"/>
              <w:rPr>
                <w:rFonts w:eastAsia="標楷體"/>
                <w:sz w:val="22"/>
                <w:szCs w:val="22"/>
              </w:rPr>
            </w:pPr>
            <w:r w:rsidRPr="00D55DC6">
              <w:rPr>
                <w:rFonts w:eastAsia="標楷體"/>
                <w:sz w:val="22"/>
                <w:szCs w:val="22"/>
              </w:rPr>
              <w:t>(1)</w:t>
            </w:r>
            <w:r w:rsidRPr="00D55DC6">
              <w:rPr>
                <w:rFonts w:eastAsia="標楷體"/>
                <w:sz w:val="22"/>
                <w:szCs w:val="22"/>
              </w:rPr>
              <w:t>是否研提選擇及替代方案之成本效益分析報告</w:t>
            </w:r>
            <w:r w:rsidRPr="00D55DC6">
              <w:rPr>
                <w:rFonts w:eastAsia="標楷體"/>
                <w:sz w:val="22"/>
                <w:szCs w:val="22"/>
              </w:rPr>
              <w:t>(</w:t>
            </w:r>
            <w:r w:rsidRPr="00D55DC6">
              <w:rPr>
                <w:rFonts w:eastAsia="標楷體"/>
                <w:sz w:val="22"/>
                <w:szCs w:val="22"/>
              </w:rPr>
              <w:t>「預算法」第</w:t>
            </w:r>
            <w:r w:rsidRPr="00D55DC6">
              <w:rPr>
                <w:rFonts w:eastAsia="標楷體"/>
                <w:sz w:val="22"/>
                <w:szCs w:val="22"/>
              </w:rPr>
              <w:t>34</w:t>
            </w:r>
            <w:r w:rsidRPr="00D55DC6">
              <w:rPr>
                <w:rFonts w:eastAsia="標楷體"/>
                <w:sz w:val="22"/>
                <w:szCs w:val="22"/>
              </w:rPr>
              <w:t>條</w:t>
            </w:r>
            <w:r w:rsidRPr="00D55DC6">
              <w:rPr>
                <w:rFonts w:eastAsia="標楷體"/>
                <w:sz w:val="22"/>
                <w:szCs w:val="22"/>
              </w:rPr>
              <w:t>)</w:t>
            </w:r>
          </w:p>
        </w:tc>
        <w:tc>
          <w:tcPr>
            <w:tcW w:w="709" w:type="dxa"/>
            <w:tcBorders>
              <w:bottom w:val="single" w:sz="4" w:space="0" w:color="auto"/>
              <w:right w:val="sing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570" w:type="dxa"/>
            <w:tcBorders>
              <w:top w:val="single" w:sz="4" w:space="0" w:color="auto"/>
              <w:left w:val="single" w:sz="4" w:space="0" w:color="auto"/>
              <w:bottom w:val="single" w:sz="4" w:space="0" w:color="auto"/>
              <w:right w:val="doub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p>
        </w:tc>
        <w:tc>
          <w:tcPr>
            <w:tcW w:w="709" w:type="dxa"/>
            <w:tcBorders>
              <w:left w:val="double" w:sz="4" w:space="0" w:color="auto"/>
              <w:bottom w:val="single" w:sz="4" w:space="0" w:color="auto"/>
              <w:right w:val="sing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567" w:type="dxa"/>
            <w:tcBorders>
              <w:left w:val="single" w:sz="4" w:space="0" w:color="auto"/>
              <w:bottom w:val="single" w:sz="4" w:space="0" w:color="auto"/>
              <w:right w:val="doub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p>
        </w:tc>
        <w:tc>
          <w:tcPr>
            <w:tcW w:w="1981" w:type="dxa"/>
            <w:vMerge w:val="restart"/>
            <w:tcBorders>
              <w:left w:val="double" w:sz="4" w:space="0" w:color="auto"/>
            </w:tcBorders>
            <w:shd w:val="clear" w:color="auto" w:fill="auto"/>
          </w:tcPr>
          <w:p w:rsidR="008C30A2" w:rsidRPr="00D55DC6" w:rsidRDefault="008C30A2" w:rsidP="00C676DD">
            <w:pPr>
              <w:snapToGrid w:val="0"/>
              <w:spacing w:line="200" w:lineRule="atLeast"/>
              <w:jc w:val="both"/>
              <w:rPr>
                <w:rFonts w:eastAsia="標楷體"/>
                <w:sz w:val="22"/>
                <w:szCs w:val="22"/>
              </w:rPr>
            </w:pPr>
          </w:p>
        </w:tc>
      </w:tr>
      <w:tr w:rsidR="001D0350" w:rsidRPr="00D55DC6" w:rsidTr="00C676DD">
        <w:tc>
          <w:tcPr>
            <w:tcW w:w="2065" w:type="dxa"/>
            <w:vMerge/>
            <w:shd w:val="clear" w:color="auto" w:fill="auto"/>
          </w:tcPr>
          <w:p w:rsidR="008C30A2" w:rsidRPr="00D55DC6" w:rsidRDefault="008C30A2" w:rsidP="00C676DD">
            <w:pPr>
              <w:snapToGrid w:val="0"/>
              <w:spacing w:line="200" w:lineRule="atLeast"/>
              <w:ind w:left="218" w:hangingChars="99" w:hanging="218"/>
              <w:jc w:val="both"/>
              <w:rPr>
                <w:rFonts w:eastAsia="標楷體"/>
                <w:sz w:val="22"/>
                <w:szCs w:val="22"/>
              </w:rPr>
            </w:pPr>
          </w:p>
        </w:tc>
        <w:tc>
          <w:tcPr>
            <w:tcW w:w="3855" w:type="dxa"/>
            <w:shd w:val="clear" w:color="auto" w:fill="auto"/>
          </w:tcPr>
          <w:p w:rsidR="008C30A2" w:rsidRPr="00D55DC6" w:rsidRDefault="008C30A2" w:rsidP="00C676DD">
            <w:pPr>
              <w:snapToGrid w:val="0"/>
              <w:spacing w:line="200" w:lineRule="atLeast"/>
              <w:rPr>
                <w:rFonts w:eastAsia="標楷體"/>
                <w:sz w:val="22"/>
                <w:szCs w:val="22"/>
              </w:rPr>
            </w:pPr>
            <w:r w:rsidRPr="00D55DC6">
              <w:rPr>
                <w:rFonts w:eastAsia="標楷體"/>
                <w:sz w:val="22"/>
                <w:szCs w:val="22"/>
              </w:rPr>
              <w:t>(2)</w:t>
            </w:r>
            <w:r w:rsidRPr="00D55DC6">
              <w:rPr>
                <w:rFonts w:eastAsia="標楷體"/>
                <w:sz w:val="22"/>
                <w:szCs w:val="22"/>
              </w:rPr>
              <w:t>是否研提完整財務計畫</w:t>
            </w:r>
          </w:p>
        </w:tc>
        <w:tc>
          <w:tcPr>
            <w:tcW w:w="709" w:type="dxa"/>
            <w:tcBorders>
              <w:bottom w:val="single" w:sz="4" w:space="0" w:color="auto"/>
              <w:right w:val="sing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570" w:type="dxa"/>
            <w:tcBorders>
              <w:top w:val="single" w:sz="4" w:space="0" w:color="auto"/>
              <w:left w:val="single" w:sz="4" w:space="0" w:color="auto"/>
              <w:bottom w:val="single" w:sz="4" w:space="0" w:color="auto"/>
              <w:right w:val="doub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p>
        </w:tc>
        <w:tc>
          <w:tcPr>
            <w:tcW w:w="709" w:type="dxa"/>
            <w:tcBorders>
              <w:left w:val="double" w:sz="4" w:space="0" w:color="auto"/>
              <w:bottom w:val="single" w:sz="4" w:space="0" w:color="auto"/>
              <w:right w:val="sing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567" w:type="dxa"/>
            <w:tcBorders>
              <w:left w:val="single" w:sz="4" w:space="0" w:color="auto"/>
              <w:bottom w:val="single" w:sz="4" w:space="0" w:color="auto"/>
              <w:right w:val="doub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p>
        </w:tc>
        <w:tc>
          <w:tcPr>
            <w:tcW w:w="1981" w:type="dxa"/>
            <w:vMerge/>
            <w:tcBorders>
              <w:left w:val="double" w:sz="4" w:space="0" w:color="auto"/>
            </w:tcBorders>
            <w:shd w:val="clear" w:color="auto" w:fill="auto"/>
          </w:tcPr>
          <w:p w:rsidR="008C30A2" w:rsidRPr="00D55DC6" w:rsidRDefault="008C30A2" w:rsidP="00C676DD">
            <w:pPr>
              <w:snapToGrid w:val="0"/>
              <w:spacing w:line="200" w:lineRule="atLeast"/>
              <w:ind w:left="222" w:hanging="222"/>
              <w:rPr>
                <w:rFonts w:eastAsia="標楷體"/>
                <w:sz w:val="22"/>
                <w:szCs w:val="22"/>
              </w:rPr>
            </w:pPr>
          </w:p>
        </w:tc>
      </w:tr>
      <w:tr w:rsidR="001D0350" w:rsidRPr="00D55DC6" w:rsidTr="00C676DD">
        <w:trPr>
          <w:trHeight w:val="595"/>
        </w:trPr>
        <w:tc>
          <w:tcPr>
            <w:tcW w:w="2065" w:type="dxa"/>
            <w:vMerge w:val="restart"/>
            <w:shd w:val="clear" w:color="auto" w:fill="auto"/>
          </w:tcPr>
          <w:p w:rsidR="008C30A2" w:rsidRPr="00D55DC6" w:rsidRDefault="008C30A2" w:rsidP="00C676DD">
            <w:pPr>
              <w:snapToGrid w:val="0"/>
              <w:spacing w:line="200" w:lineRule="atLeast"/>
              <w:ind w:left="321" w:hangingChars="146" w:hanging="321"/>
              <w:jc w:val="both"/>
              <w:rPr>
                <w:rFonts w:eastAsia="標楷體"/>
                <w:sz w:val="22"/>
                <w:szCs w:val="22"/>
              </w:rPr>
            </w:pPr>
            <w:r w:rsidRPr="00D55DC6">
              <w:rPr>
                <w:rFonts w:eastAsia="標楷體"/>
                <w:sz w:val="22"/>
                <w:szCs w:val="22"/>
              </w:rPr>
              <w:t>4</w:t>
            </w:r>
            <w:r w:rsidRPr="00D55DC6">
              <w:rPr>
                <w:rFonts w:eastAsia="標楷體"/>
                <w:sz w:val="22"/>
                <w:szCs w:val="22"/>
              </w:rPr>
              <w:t>、財源籌措及資金運用</w:t>
            </w:r>
          </w:p>
        </w:tc>
        <w:tc>
          <w:tcPr>
            <w:tcW w:w="3855" w:type="dxa"/>
            <w:shd w:val="clear" w:color="auto" w:fill="auto"/>
          </w:tcPr>
          <w:p w:rsidR="008C30A2" w:rsidRPr="00D55DC6" w:rsidRDefault="008C30A2" w:rsidP="00C676DD">
            <w:pPr>
              <w:snapToGrid w:val="0"/>
              <w:spacing w:line="200" w:lineRule="atLeast"/>
              <w:ind w:left="275" w:hangingChars="125" w:hanging="275"/>
              <w:jc w:val="both"/>
              <w:rPr>
                <w:rFonts w:eastAsia="標楷體"/>
                <w:sz w:val="22"/>
                <w:szCs w:val="22"/>
              </w:rPr>
            </w:pPr>
            <w:r w:rsidRPr="00D55DC6">
              <w:rPr>
                <w:rFonts w:eastAsia="標楷體"/>
                <w:sz w:val="22"/>
                <w:szCs w:val="22"/>
              </w:rPr>
              <w:t>(1)</w:t>
            </w:r>
            <w:r w:rsidRPr="00D55DC6">
              <w:rPr>
                <w:rFonts w:eastAsia="標楷體"/>
                <w:sz w:val="22"/>
                <w:szCs w:val="22"/>
              </w:rPr>
              <w:t>經費需求合理性</w:t>
            </w:r>
            <w:r w:rsidRPr="00D55DC6">
              <w:rPr>
                <w:rFonts w:eastAsia="標楷體"/>
                <w:sz w:val="22"/>
                <w:szCs w:val="22"/>
              </w:rPr>
              <w:t>(</w:t>
            </w:r>
            <w:r w:rsidRPr="00D55DC6">
              <w:rPr>
                <w:rFonts w:eastAsia="標楷體"/>
                <w:sz w:val="22"/>
                <w:szCs w:val="22"/>
              </w:rPr>
              <w:t>經費估算依據如單價、數量等計算內容</w:t>
            </w:r>
            <w:r w:rsidRPr="00D55DC6">
              <w:rPr>
                <w:rFonts w:eastAsia="標楷體"/>
                <w:sz w:val="22"/>
                <w:szCs w:val="22"/>
              </w:rPr>
              <w:t>)</w:t>
            </w:r>
          </w:p>
        </w:tc>
        <w:tc>
          <w:tcPr>
            <w:tcW w:w="709" w:type="dxa"/>
            <w:tcBorders>
              <w:right w:val="sing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r w:rsidRPr="00D55DC6">
              <w:rPr>
                <w:rFonts w:ascii="標楷體" w:eastAsia="標楷體" w:hAnsi="標楷體"/>
                <w:sz w:val="28"/>
                <w:szCs w:val="22"/>
              </w:rPr>
              <w:t xml:space="preserve">　　　</w:t>
            </w:r>
          </w:p>
        </w:tc>
        <w:tc>
          <w:tcPr>
            <w:tcW w:w="570" w:type="dxa"/>
            <w:tcBorders>
              <w:left w:val="single" w:sz="4" w:space="0" w:color="auto"/>
              <w:right w:val="doub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r w:rsidRPr="00D55DC6">
              <w:rPr>
                <w:rFonts w:ascii="標楷體" w:eastAsia="標楷體" w:hAnsi="標楷體"/>
                <w:sz w:val="28"/>
                <w:szCs w:val="22"/>
              </w:rPr>
              <w:t xml:space="preserve"> </w:t>
            </w:r>
          </w:p>
        </w:tc>
        <w:tc>
          <w:tcPr>
            <w:tcW w:w="709" w:type="dxa"/>
            <w:tcBorders>
              <w:right w:val="sing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r w:rsidRPr="00D55DC6">
              <w:rPr>
                <w:rFonts w:ascii="標楷體" w:eastAsia="標楷體" w:hAnsi="標楷體"/>
                <w:sz w:val="28"/>
                <w:szCs w:val="22"/>
              </w:rPr>
              <w:t xml:space="preserve">　　　</w:t>
            </w:r>
          </w:p>
        </w:tc>
        <w:tc>
          <w:tcPr>
            <w:tcW w:w="567" w:type="dxa"/>
            <w:tcBorders>
              <w:left w:val="single" w:sz="4" w:space="0" w:color="auto"/>
              <w:right w:val="doub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r w:rsidRPr="00D55DC6">
              <w:rPr>
                <w:rFonts w:ascii="標楷體" w:eastAsia="標楷體" w:hAnsi="標楷體"/>
                <w:sz w:val="28"/>
                <w:szCs w:val="22"/>
              </w:rPr>
              <w:t xml:space="preserve"> </w:t>
            </w:r>
          </w:p>
        </w:tc>
        <w:tc>
          <w:tcPr>
            <w:tcW w:w="1981" w:type="dxa"/>
            <w:vMerge w:val="restart"/>
            <w:tcBorders>
              <w:left w:val="double" w:sz="4" w:space="0" w:color="auto"/>
            </w:tcBorders>
            <w:shd w:val="clear" w:color="auto" w:fill="auto"/>
          </w:tcPr>
          <w:p w:rsidR="008C30A2" w:rsidRPr="00D55DC6" w:rsidRDefault="008C30A2" w:rsidP="00C676DD">
            <w:pPr>
              <w:spacing w:line="200" w:lineRule="atLeast"/>
              <w:jc w:val="both"/>
              <w:rPr>
                <w:rFonts w:eastAsia="標楷體"/>
              </w:rPr>
            </w:pPr>
          </w:p>
        </w:tc>
      </w:tr>
      <w:tr w:rsidR="001D0350" w:rsidRPr="00D55DC6" w:rsidTr="00C676DD">
        <w:trPr>
          <w:trHeight w:val="595"/>
        </w:trPr>
        <w:tc>
          <w:tcPr>
            <w:tcW w:w="2065" w:type="dxa"/>
            <w:vMerge/>
            <w:shd w:val="clear" w:color="auto" w:fill="auto"/>
          </w:tcPr>
          <w:p w:rsidR="008C30A2" w:rsidRPr="00D55DC6" w:rsidRDefault="008C30A2" w:rsidP="00C676DD">
            <w:pPr>
              <w:snapToGrid w:val="0"/>
              <w:spacing w:line="200" w:lineRule="atLeast"/>
              <w:ind w:left="359" w:hangingChars="163" w:hanging="359"/>
              <w:jc w:val="both"/>
              <w:rPr>
                <w:rFonts w:eastAsia="標楷體"/>
                <w:sz w:val="22"/>
                <w:szCs w:val="22"/>
              </w:rPr>
            </w:pPr>
          </w:p>
        </w:tc>
        <w:tc>
          <w:tcPr>
            <w:tcW w:w="3855" w:type="dxa"/>
            <w:shd w:val="clear" w:color="auto" w:fill="auto"/>
          </w:tcPr>
          <w:p w:rsidR="008C30A2" w:rsidRPr="00D55DC6" w:rsidRDefault="008C30A2" w:rsidP="00C676DD">
            <w:pPr>
              <w:snapToGrid w:val="0"/>
              <w:spacing w:line="200" w:lineRule="atLeast"/>
              <w:ind w:left="275" w:hangingChars="125" w:hanging="275"/>
              <w:jc w:val="both"/>
              <w:rPr>
                <w:rFonts w:eastAsia="標楷體"/>
                <w:sz w:val="22"/>
                <w:szCs w:val="22"/>
              </w:rPr>
            </w:pPr>
            <w:r w:rsidRPr="00D55DC6">
              <w:rPr>
                <w:rFonts w:eastAsia="標楷體"/>
                <w:sz w:val="22"/>
                <w:szCs w:val="22"/>
              </w:rPr>
              <w:t>(2)</w:t>
            </w:r>
            <w:r w:rsidRPr="00D55DC6">
              <w:rPr>
                <w:rFonts w:eastAsia="標楷體"/>
                <w:sz w:val="22"/>
                <w:szCs w:val="22"/>
              </w:rPr>
              <w:t>資金籌措：依「跨域加值公共建設財務規劃方案」精神，將影響區域進行整合規劃，並將外部效益內部化</w:t>
            </w:r>
          </w:p>
        </w:tc>
        <w:tc>
          <w:tcPr>
            <w:tcW w:w="709" w:type="dxa"/>
            <w:tcBorders>
              <w:right w:val="sing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570" w:type="dxa"/>
            <w:tcBorders>
              <w:left w:val="single" w:sz="4" w:space="0" w:color="auto"/>
              <w:right w:val="doub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p>
        </w:tc>
        <w:tc>
          <w:tcPr>
            <w:tcW w:w="709" w:type="dxa"/>
            <w:tcBorders>
              <w:right w:val="sing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567" w:type="dxa"/>
            <w:tcBorders>
              <w:left w:val="single" w:sz="4" w:space="0" w:color="auto"/>
              <w:right w:val="doub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p>
        </w:tc>
        <w:tc>
          <w:tcPr>
            <w:tcW w:w="1981" w:type="dxa"/>
            <w:vMerge/>
            <w:tcBorders>
              <w:left w:val="double" w:sz="4" w:space="0" w:color="auto"/>
            </w:tcBorders>
            <w:shd w:val="clear" w:color="auto" w:fill="auto"/>
          </w:tcPr>
          <w:p w:rsidR="008C30A2" w:rsidRPr="00D55DC6" w:rsidRDefault="008C30A2" w:rsidP="00C676DD">
            <w:pPr>
              <w:snapToGrid w:val="0"/>
              <w:spacing w:line="200" w:lineRule="atLeast"/>
              <w:jc w:val="both"/>
              <w:rPr>
                <w:rFonts w:eastAsia="標楷體"/>
                <w:sz w:val="22"/>
                <w:szCs w:val="22"/>
              </w:rPr>
            </w:pPr>
          </w:p>
        </w:tc>
      </w:tr>
      <w:tr w:rsidR="001D0350" w:rsidRPr="00D55DC6" w:rsidTr="00C676DD">
        <w:trPr>
          <w:trHeight w:val="595"/>
        </w:trPr>
        <w:tc>
          <w:tcPr>
            <w:tcW w:w="2065" w:type="dxa"/>
            <w:vMerge/>
            <w:shd w:val="clear" w:color="auto" w:fill="auto"/>
          </w:tcPr>
          <w:p w:rsidR="008C30A2" w:rsidRPr="00D55DC6" w:rsidRDefault="008C30A2" w:rsidP="00C676DD">
            <w:pPr>
              <w:snapToGrid w:val="0"/>
              <w:spacing w:line="200" w:lineRule="atLeast"/>
              <w:ind w:left="218" w:hangingChars="99" w:hanging="218"/>
              <w:jc w:val="both"/>
              <w:rPr>
                <w:rFonts w:eastAsia="標楷體"/>
                <w:sz w:val="22"/>
                <w:szCs w:val="22"/>
              </w:rPr>
            </w:pPr>
          </w:p>
        </w:tc>
        <w:tc>
          <w:tcPr>
            <w:tcW w:w="3855" w:type="dxa"/>
            <w:shd w:val="clear" w:color="auto" w:fill="auto"/>
          </w:tcPr>
          <w:p w:rsidR="008C30A2" w:rsidRPr="00D55DC6" w:rsidRDefault="008C30A2" w:rsidP="00C676DD">
            <w:pPr>
              <w:snapToGrid w:val="0"/>
              <w:spacing w:line="200" w:lineRule="atLeast"/>
              <w:ind w:left="350" w:hangingChars="159" w:hanging="350"/>
              <w:jc w:val="both"/>
              <w:rPr>
                <w:rFonts w:eastAsia="標楷體"/>
                <w:sz w:val="22"/>
                <w:szCs w:val="22"/>
              </w:rPr>
            </w:pPr>
            <w:r w:rsidRPr="00D55DC6">
              <w:rPr>
                <w:rFonts w:eastAsia="標楷體"/>
                <w:sz w:val="22"/>
                <w:szCs w:val="22"/>
              </w:rPr>
              <w:t>(3)</w:t>
            </w:r>
            <w:r w:rsidRPr="00D55DC6">
              <w:rPr>
                <w:rFonts w:eastAsia="標楷體"/>
                <w:sz w:val="22"/>
                <w:szCs w:val="22"/>
              </w:rPr>
              <w:t>經費負擔原則：</w:t>
            </w:r>
          </w:p>
          <w:p w:rsidR="008C30A2" w:rsidRPr="00D55DC6" w:rsidRDefault="008C30A2" w:rsidP="00C676DD">
            <w:pPr>
              <w:snapToGrid w:val="0"/>
              <w:spacing w:line="200" w:lineRule="atLeast"/>
              <w:ind w:leftChars="54" w:left="361" w:hangingChars="105" w:hanging="231"/>
              <w:jc w:val="both"/>
              <w:rPr>
                <w:rFonts w:eastAsia="標楷體"/>
                <w:sz w:val="22"/>
                <w:szCs w:val="22"/>
              </w:rPr>
            </w:pPr>
            <w:r w:rsidRPr="00D55DC6">
              <w:rPr>
                <w:rFonts w:eastAsia="標楷體"/>
                <w:sz w:val="22"/>
                <w:szCs w:val="22"/>
              </w:rPr>
              <w:t>a.</w:t>
            </w:r>
            <w:r w:rsidRPr="00D55DC6">
              <w:rPr>
                <w:rFonts w:eastAsia="標楷體"/>
                <w:sz w:val="22"/>
                <w:szCs w:val="22"/>
              </w:rPr>
              <w:t>中央主辦計畫：中央主管相關法令規定</w:t>
            </w:r>
          </w:p>
          <w:p w:rsidR="008C30A2" w:rsidRPr="00D55DC6" w:rsidRDefault="008C30A2" w:rsidP="00C676DD">
            <w:pPr>
              <w:snapToGrid w:val="0"/>
              <w:spacing w:line="200" w:lineRule="atLeast"/>
              <w:ind w:leftChars="61" w:left="351" w:hangingChars="93" w:hanging="205"/>
              <w:jc w:val="both"/>
              <w:rPr>
                <w:rFonts w:eastAsia="標楷體"/>
                <w:sz w:val="22"/>
                <w:szCs w:val="22"/>
              </w:rPr>
            </w:pPr>
            <w:r w:rsidRPr="00D55DC6">
              <w:rPr>
                <w:rFonts w:eastAsia="標楷體"/>
                <w:sz w:val="22"/>
                <w:szCs w:val="22"/>
              </w:rPr>
              <w:t>b.</w:t>
            </w:r>
            <w:r w:rsidRPr="00D55DC6">
              <w:rPr>
                <w:rFonts w:eastAsia="標楷體"/>
                <w:sz w:val="22"/>
                <w:szCs w:val="22"/>
              </w:rPr>
              <w:t>補助型計畫：中央對直轄市及縣</w:t>
            </w:r>
            <w:r w:rsidRPr="00D55DC6">
              <w:rPr>
                <w:rFonts w:eastAsia="標楷體"/>
                <w:sz w:val="22"/>
                <w:szCs w:val="22"/>
              </w:rPr>
              <w:t>(</w:t>
            </w:r>
            <w:r w:rsidRPr="00D55DC6">
              <w:rPr>
                <w:rFonts w:eastAsia="標楷體"/>
                <w:sz w:val="22"/>
                <w:szCs w:val="22"/>
              </w:rPr>
              <w:t>市</w:t>
            </w:r>
            <w:r w:rsidRPr="00D55DC6">
              <w:rPr>
                <w:rFonts w:eastAsia="標楷體"/>
                <w:sz w:val="22"/>
                <w:szCs w:val="22"/>
              </w:rPr>
              <w:t>)</w:t>
            </w:r>
            <w:r w:rsidRPr="00D55DC6">
              <w:rPr>
                <w:rFonts w:eastAsia="標楷體"/>
                <w:sz w:val="22"/>
                <w:szCs w:val="22"/>
              </w:rPr>
              <w:t>政府補助辦法、依「跨域加值公共建設財務規劃方案」之精神所擬訂各類審查及補助規定</w:t>
            </w:r>
          </w:p>
        </w:tc>
        <w:tc>
          <w:tcPr>
            <w:tcW w:w="709" w:type="dxa"/>
            <w:tcBorders>
              <w:right w:val="sing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570" w:type="dxa"/>
            <w:tcBorders>
              <w:left w:val="single" w:sz="4" w:space="0" w:color="auto"/>
              <w:right w:val="doub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p>
        </w:tc>
        <w:tc>
          <w:tcPr>
            <w:tcW w:w="709" w:type="dxa"/>
            <w:tcBorders>
              <w:right w:val="sing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567" w:type="dxa"/>
            <w:tcBorders>
              <w:left w:val="single" w:sz="4" w:space="0" w:color="auto"/>
              <w:right w:val="doub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p>
        </w:tc>
        <w:tc>
          <w:tcPr>
            <w:tcW w:w="1981" w:type="dxa"/>
            <w:vMerge/>
            <w:tcBorders>
              <w:left w:val="double" w:sz="4" w:space="0" w:color="auto"/>
            </w:tcBorders>
            <w:shd w:val="clear" w:color="auto" w:fill="auto"/>
          </w:tcPr>
          <w:p w:rsidR="008C30A2" w:rsidRPr="00D55DC6" w:rsidRDefault="008C30A2" w:rsidP="00C676DD">
            <w:pPr>
              <w:snapToGrid w:val="0"/>
              <w:spacing w:line="200" w:lineRule="atLeast"/>
              <w:ind w:left="222" w:hanging="222"/>
              <w:rPr>
                <w:rFonts w:eastAsia="標楷體"/>
                <w:sz w:val="22"/>
                <w:szCs w:val="22"/>
              </w:rPr>
            </w:pPr>
          </w:p>
        </w:tc>
      </w:tr>
      <w:tr w:rsidR="001D0350" w:rsidRPr="00D55DC6" w:rsidTr="00C676DD">
        <w:trPr>
          <w:trHeight w:val="1495"/>
        </w:trPr>
        <w:tc>
          <w:tcPr>
            <w:tcW w:w="2065" w:type="dxa"/>
            <w:vMerge/>
            <w:shd w:val="clear" w:color="auto" w:fill="auto"/>
          </w:tcPr>
          <w:p w:rsidR="008C30A2" w:rsidRPr="00D55DC6" w:rsidRDefault="008C30A2" w:rsidP="00C676DD">
            <w:pPr>
              <w:snapToGrid w:val="0"/>
              <w:spacing w:line="200" w:lineRule="atLeast"/>
              <w:ind w:left="218" w:hangingChars="99" w:hanging="218"/>
              <w:jc w:val="both"/>
              <w:rPr>
                <w:rFonts w:eastAsia="標楷體"/>
                <w:sz w:val="22"/>
                <w:szCs w:val="22"/>
              </w:rPr>
            </w:pPr>
          </w:p>
        </w:tc>
        <w:tc>
          <w:tcPr>
            <w:tcW w:w="3855" w:type="dxa"/>
            <w:shd w:val="clear" w:color="auto" w:fill="auto"/>
          </w:tcPr>
          <w:p w:rsidR="008C30A2" w:rsidRPr="00D55DC6" w:rsidRDefault="008C30A2" w:rsidP="00C676DD">
            <w:pPr>
              <w:snapToGrid w:val="0"/>
              <w:spacing w:line="200" w:lineRule="atLeast"/>
              <w:ind w:left="275" w:hangingChars="125" w:hanging="275"/>
              <w:jc w:val="both"/>
              <w:rPr>
                <w:rFonts w:eastAsia="標楷體"/>
                <w:sz w:val="22"/>
                <w:szCs w:val="22"/>
              </w:rPr>
            </w:pPr>
            <w:r w:rsidRPr="00D55DC6">
              <w:rPr>
                <w:rFonts w:eastAsia="標楷體"/>
                <w:sz w:val="22"/>
                <w:szCs w:val="22"/>
              </w:rPr>
              <w:t>(4)</w:t>
            </w:r>
            <w:r w:rsidRPr="00D55DC6">
              <w:rPr>
                <w:rFonts w:eastAsia="標楷體"/>
                <w:sz w:val="22"/>
                <w:szCs w:val="22"/>
              </w:rPr>
              <w:t>年度預算之安排及能量估算：所需經費能否於中程歲出概算額度內容納加以檢討，如無法納編者，應檢討調減一定比率之舊有經費支應；如仍有不敷，須檢附以前年度預算執行、檢討不經濟支出及自行檢討調整結果等經費審查之相關文件</w:t>
            </w:r>
          </w:p>
        </w:tc>
        <w:tc>
          <w:tcPr>
            <w:tcW w:w="709" w:type="dxa"/>
            <w:tcBorders>
              <w:right w:val="sing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570" w:type="dxa"/>
            <w:tcBorders>
              <w:left w:val="single" w:sz="4" w:space="0" w:color="auto"/>
              <w:right w:val="doub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p>
        </w:tc>
        <w:tc>
          <w:tcPr>
            <w:tcW w:w="709" w:type="dxa"/>
            <w:tcBorders>
              <w:right w:val="sing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567" w:type="dxa"/>
            <w:tcBorders>
              <w:left w:val="single" w:sz="4" w:space="0" w:color="auto"/>
              <w:right w:val="doub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p>
        </w:tc>
        <w:tc>
          <w:tcPr>
            <w:tcW w:w="1981" w:type="dxa"/>
            <w:vMerge/>
            <w:tcBorders>
              <w:left w:val="double" w:sz="4" w:space="0" w:color="auto"/>
            </w:tcBorders>
            <w:shd w:val="clear" w:color="auto" w:fill="auto"/>
          </w:tcPr>
          <w:p w:rsidR="008C30A2" w:rsidRPr="00D55DC6" w:rsidRDefault="008C30A2" w:rsidP="00C676DD">
            <w:pPr>
              <w:snapToGrid w:val="0"/>
              <w:spacing w:line="200" w:lineRule="atLeast"/>
              <w:ind w:left="222" w:hanging="222"/>
              <w:rPr>
                <w:rFonts w:eastAsia="標楷體"/>
                <w:sz w:val="22"/>
                <w:szCs w:val="22"/>
              </w:rPr>
            </w:pPr>
          </w:p>
        </w:tc>
      </w:tr>
      <w:tr w:rsidR="001D0350" w:rsidRPr="00D55DC6" w:rsidTr="00C676DD">
        <w:trPr>
          <w:trHeight w:val="597"/>
        </w:trPr>
        <w:tc>
          <w:tcPr>
            <w:tcW w:w="2065" w:type="dxa"/>
            <w:vMerge/>
            <w:shd w:val="clear" w:color="auto" w:fill="auto"/>
          </w:tcPr>
          <w:p w:rsidR="008C30A2" w:rsidRPr="00D55DC6" w:rsidRDefault="008C30A2" w:rsidP="00C676DD">
            <w:pPr>
              <w:snapToGrid w:val="0"/>
              <w:spacing w:line="200" w:lineRule="atLeast"/>
              <w:ind w:left="218" w:hangingChars="99" w:hanging="218"/>
              <w:jc w:val="both"/>
              <w:rPr>
                <w:rFonts w:eastAsia="標楷體"/>
                <w:sz w:val="22"/>
                <w:szCs w:val="22"/>
              </w:rPr>
            </w:pPr>
          </w:p>
        </w:tc>
        <w:tc>
          <w:tcPr>
            <w:tcW w:w="3855" w:type="dxa"/>
            <w:shd w:val="clear" w:color="auto" w:fill="auto"/>
          </w:tcPr>
          <w:p w:rsidR="008C30A2" w:rsidRPr="00D55DC6" w:rsidRDefault="008C30A2" w:rsidP="00C676DD">
            <w:pPr>
              <w:snapToGrid w:val="0"/>
              <w:spacing w:line="200" w:lineRule="atLeast"/>
              <w:ind w:left="275" w:hangingChars="125" w:hanging="275"/>
              <w:jc w:val="both"/>
              <w:rPr>
                <w:rFonts w:eastAsia="標楷體"/>
                <w:sz w:val="22"/>
                <w:szCs w:val="22"/>
              </w:rPr>
            </w:pPr>
            <w:r w:rsidRPr="00D55DC6">
              <w:rPr>
                <w:rFonts w:eastAsia="標楷體"/>
                <w:sz w:val="22"/>
                <w:szCs w:val="22"/>
              </w:rPr>
              <w:t>(5)</w:t>
            </w:r>
            <w:r w:rsidRPr="00D55DC6">
              <w:rPr>
                <w:rFonts w:eastAsia="標楷體"/>
                <w:sz w:val="22"/>
                <w:szCs w:val="22"/>
              </w:rPr>
              <w:t>經資比</w:t>
            </w:r>
            <w:r w:rsidRPr="00D55DC6">
              <w:rPr>
                <w:rFonts w:eastAsia="標楷體"/>
                <w:sz w:val="22"/>
                <w:szCs w:val="22"/>
              </w:rPr>
              <w:t>1</w:t>
            </w:r>
            <w:r w:rsidRPr="00D55DC6">
              <w:rPr>
                <w:rFonts w:eastAsia="標楷體"/>
                <w:sz w:val="22"/>
                <w:szCs w:val="22"/>
              </w:rPr>
              <w:t>：</w:t>
            </w:r>
            <w:r w:rsidRPr="00D55DC6">
              <w:rPr>
                <w:rFonts w:eastAsia="標楷體"/>
                <w:sz w:val="22"/>
                <w:szCs w:val="22"/>
              </w:rPr>
              <w:t>2</w:t>
            </w:r>
            <w:r w:rsidRPr="00D55DC6">
              <w:rPr>
                <w:rFonts w:eastAsia="標楷體"/>
                <w:sz w:val="22"/>
                <w:szCs w:val="22"/>
              </w:rPr>
              <w:t>（「政府公共建設計畫先期作業實施要點」第</w:t>
            </w:r>
            <w:r w:rsidRPr="00D55DC6">
              <w:rPr>
                <w:rFonts w:eastAsia="標楷體"/>
                <w:sz w:val="22"/>
                <w:szCs w:val="22"/>
              </w:rPr>
              <w:t>2</w:t>
            </w:r>
            <w:r w:rsidRPr="00D55DC6">
              <w:rPr>
                <w:rFonts w:eastAsia="標楷體"/>
                <w:sz w:val="22"/>
                <w:szCs w:val="22"/>
              </w:rPr>
              <w:t>點）</w:t>
            </w:r>
          </w:p>
        </w:tc>
        <w:tc>
          <w:tcPr>
            <w:tcW w:w="709" w:type="dxa"/>
            <w:tcBorders>
              <w:bottom w:val="single" w:sz="4" w:space="0" w:color="auto"/>
              <w:right w:val="sing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570" w:type="dxa"/>
            <w:tcBorders>
              <w:left w:val="single" w:sz="4" w:space="0" w:color="auto"/>
              <w:bottom w:val="single" w:sz="4" w:space="0" w:color="auto"/>
              <w:right w:val="doub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p>
        </w:tc>
        <w:tc>
          <w:tcPr>
            <w:tcW w:w="709" w:type="dxa"/>
            <w:tcBorders>
              <w:bottom w:val="single" w:sz="4" w:space="0" w:color="auto"/>
              <w:right w:val="sing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567" w:type="dxa"/>
            <w:tcBorders>
              <w:left w:val="single" w:sz="4" w:space="0" w:color="auto"/>
              <w:bottom w:val="single" w:sz="4" w:space="0" w:color="auto"/>
              <w:right w:val="doub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p>
        </w:tc>
        <w:tc>
          <w:tcPr>
            <w:tcW w:w="1981" w:type="dxa"/>
            <w:vMerge/>
            <w:tcBorders>
              <w:left w:val="double" w:sz="4" w:space="0" w:color="auto"/>
            </w:tcBorders>
            <w:shd w:val="clear" w:color="auto" w:fill="auto"/>
          </w:tcPr>
          <w:p w:rsidR="008C30A2" w:rsidRPr="00D55DC6" w:rsidRDefault="008C30A2" w:rsidP="00C676DD">
            <w:pPr>
              <w:snapToGrid w:val="0"/>
              <w:spacing w:line="200" w:lineRule="atLeast"/>
              <w:ind w:left="222" w:hanging="222"/>
              <w:rPr>
                <w:rFonts w:eastAsia="標楷體"/>
                <w:sz w:val="22"/>
                <w:szCs w:val="22"/>
              </w:rPr>
            </w:pPr>
          </w:p>
        </w:tc>
      </w:tr>
      <w:tr w:rsidR="001D0350" w:rsidRPr="00D55DC6" w:rsidTr="00C676DD">
        <w:trPr>
          <w:trHeight w:val="597"/>
        </w:trPr>
        <w:tc>
          <w:tcPr>
            <w:tcW w:w="2065" w:type="dxa"/>
            <w:vMerge/>
            <w:shd w:val="clear" w:color="auto" w:fill="auto"/>
          </w:tcPr>
          <w:p w:rsidR="008C30A2" w:rsidRPr="00D55DC6" w:rsidRDefault="008C30A2" w:rsidP="00C676DD">
            <w:pPr>
              <w:snapToGrid w:val="0"/>
              <w:spacing w:line="200" w:lineRule="atLeast"/>
              <w:ind w:left="218" w:hangingChars="99" w:hanging="218"/>
              <w:jc w:val="both"/>
              <w:rPr>
                <w:rFonts w:eastAsia="標楷體"/>
                <w:sz w:val="22"/>
                <w:szCs w:val="22"/>
              </w:rPr>
            </w:pPr>
          </w:p>
        </w:tc>
        <w:tc>
          <w:tcPr>
            <w:tcW w:w="3855" w:type="dxa"/>
            <w:shd w:val="clear" w:color="auto" w:fill="auto"/>
          </w:tcPr>
          <w:p w:rsidR="008C30A2" w:rsidRPr="00D55DC6" w:rsidRDefault="008C30A2" w:rsidP="00C676DD">
            <w:pPr>
              <w:snapToGrid w:val="0"/>
              <w:spacing w:line="200" w:lineRule="atLeast"/>
              <w:ind w:left="275" w:hangingChars="125" w:hanging="275"/>
              <w:jc w:val="both"/>
              <w:rPr>
                <w:rFonts w:eastAsia="標楷體"/>
                <w:sz w:val="22"/>
                <w:szCs w:val="22"/>
              </w:rPr>
            </w:pPr>
            <w:r w:rsidRPr="00D55DC6">
              <w:rPr>
                <w:rFonts w:eastAsia="標楷體"/>
                <w:sz w:val="22"/>
                <w:szCs w:val="22"/>
              </w:rPr>
              <w:t>(6)</w:t>
            </w:r>
            <w:r w:rsidRPr="00D55DC6">
              <w:rPr>
                <w:rFonts w:eastAsia="標楷體"/>
                <w:sz w:val="22"/>
                <w:szCs w:val="22"/>
              </w:rPr>
              <w:t>屬具自償性者，是否透過基金協助資金調度</w:t>
            </w:r>
          </w:p>
        </w:tc>
        <w:tc>
          <w:tcPr>
            <w:tcW w:w="709" w:type="dxa"/>
            <w:tcBorders>
              <w:bottom w:val="single" w:sz="4" w:space="0" w:color="auto"/>
              <w:right w:val="sing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p>
        </w:tc>
        <w:tc>
          <w:tcPr>
            <w:tcW w:w="570" w:type="dxa"/>
            <w:tcBorders>
              <w:left w:val="single" w:sz="4" w:space="0" w:color="auto"/>
              <w:bottom w:val="single" w:sz="4" w:space="0" w:color="auto"/>
              <w:right w:val="doub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709" w:type="dxa"/>
            <w:tcBorders>
              <w:bottom w:val="single" w:sz="4" w:space="0" w:color="auto"/>
              <w:right w:val="sing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p>
        </w:tc>
        <w:tc>
          <w:tcPr>
            <w:tcW w:w="567" w:type="dxa"/>
            <w:tcBorders>
              <w:left w:val="single" w:sz="4" w:space="0" w:color="auto"/>
              <w:bottom w:val="single" w:sz="4" w:space="0" w:color="auto"/>
              <w:right w:val="doub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1981" w:type="dxa"/>
            <w:vMerge/>
            <w:tcBorders>
              <w:left w:val="double" w:sz="4" w:space="0" w:color="auto"/>
            </w:tcBorders>
            <w:shd w:val="clear" w:color="auto" w:fill="auto"/>
          </w:tcPr>
          <w:p w:rsidR="008C30A2" w:rsidRPr="00D55DC6" w:rsidRDefault="008C30A2" w:rsidP="00C676DD">
            <w:pPr>
              <w:snapToGrid w:val="0"/>
              <w:spacing w:line="200" w:lineRule="atLeast"/>
              <w:ind w:left="222" w:hanging="222"/>
              <w:rPr>
                <w:rFonts w:eastAsia="標楷體"/>
                <w:sz w:val="22"/>
                <w:szCs w:val="22"/>
              </w:rPr>
            </w:pPr>
          </w:p>
        </w:tc>
      </w:tr>
      <w:tr w:rsidR="001D0350" w:rsidRPr="00D55DC6" w:rsidTr="00C676DD">
        <w:trPr>
          <w:trHeight w:val="321"/>
        </w:trPr>
        <w:tc>
          <w:tcPr>
            <w:tcW w:w="2065" w:type="dxa"/>
            <w:shd w:val="clear" w:color="auto" w:fill="auto"/>
          </w:tcPr>
          <w:p w:rsidR="008C30A2" w:rsidRPr="00D55DC6" w:rsidRDefault="008C30A2" w:rsidP="00C676DD">
            <w:pPr>
              <w:snapToGrid w:val="0"/>
              <w:spacing w:line="200" w:lineRule="atLeast"/>
              <w:ind w:left="321" w:hangingChars="146" w:hanging="321"/>
              <w:jc w:val="both"/>
              <w:rPr>
                <w:rFonts w:eastAsia="標楷體"/>
                <w:sz w:val="22"/>
                <w:szCs w:val="22"/>
              </w:rPr>
            </w:pPr>
            <w:r w:rsidRPr="00D55DC6">
              <w:rPr>
                <w:rFonts w:eastAsia="標楷體"/>
                <w:sz w:val="22"/>
                <w:szCs w:val="22"/>
              </w:rPr>
              <w:t>5</w:t>
            </w:r>
            <w:r w:rsidRPr="00D55DC6">
              <w:rPr>
                <w:rFonts w:eastAsia="標楷體"/>
                <w:sz w:val="22"/>
                <w:szCs w:val="22"/>
              </w:rPr>
              <w:t>、人力運用</w:t>
            </w:r>
          </w:p>
        </w:tc>
        <w:tc>
          <w:tcPr>
            <w:tcW w:w="3855" w:type="dxa"/>
            <w:shd w:val="clear" w:color="auto" w:fill="auto"/>
          </w:tcPr>
          <w:p w:rsidR="008C30A2" w:rsidRPr="00D55DC6" w:rsidRDefault="008C30A2" w:rsidP="00C676DD">
            <w:pPr>
              <w:snapToGrid w:val="0"/>
              <w:spacing w:line="200" w:lineRule="atLeast"/>
              <w:ind w:left="440" w:hangingChars="200" w:hanging="440"/>
              <w:rPr>
                <w:rFonts w:eastAsia="標楷體"/>
                <w:sz w:val="22"/>
                <w:szCs w:val="22"/>
              </w:rPr>
            </w:pPr>
            <w:r w:rsidRPr="00D55DC6">
              <w:rPr>
                <w:rFonts w:eastAsia="標楷體"/>
                <w:sz w:val="22"/>
                <w:szCs w:val="22"/>
              </w:rPr>
              <w:t>(1)</w:t>
            </w:r>
            <w:r w:rsidRPr="00D55DC6">
              <w:rPr>
                <w:rFonts w:eastAsia="標楷體"/>
                <w:sz w:val="22"/>
                <w:szCs w:val="22"/>
              </w:rPr>
              <w:t>能否運用現有人力辦理</w:t>
            </w:r>
          </w:p>
        </w:tc>
        <w:tc>
          <w:tcPr>
            <w:tcW w:w="709" w:type="dxa"/>
            <w:tcBorders>
              <w:right w:val="sing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570" w:type="dxa"/>
            <w:tcBorders>
              <w:left w:val="single" w:sz="4" w:space="0" w:color="auto"/>
              <w:right w:val="double" w:sz="4" w:space="0" w:color="auto"/>
            </w:tcBorders>
            <w:shd w:val="clear" w:color="auto" w:fill="auto"/>
          </w:tcPr>
          <w:p w:rsidR="008C30A2" w:rsidRPr="00D55DC6" w:rsidRDefault="008C30A2" w:rsidP="00C676DD">
            <w:pPr>
              <w:snapToGrid w:val="0"/>
              <w:spacing w:line="200" w:lineRule="atLeast"/>
              <w:ind w:left="222" w:hanging="222"/>
              <w:rPr>
                <w:rFonts w:ascii="標楷體" w:eastAsia="標楷體" w:hAnsi="標楷體"/>
                <w:sz w:val="28"/>
                <w:szCs w:val="22"/>
              </w:rPr>
            </w:pPr>
          </w:p>
        </w:tc>
        <w:tc>
          <w:tcPr>
            <w:tcW w:w="709" w:type="dxa"/>
            <w:tcBorders>
              <w:left w:val="double" w:sz="4" w:space="0" w:color="auto"/>
              <w:right w:val="sing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r w:rsidRPr="00D55DC6">
              <w:rPr>
                <w:rFonts w:ascii="標楷體" w:eastAsia="標楷體" w:hAnsi="標楷體"/>
                <w:b/>
                <w:bCs/>
                <w:sz w:val="28"/>
              </w:rPr>
              <w:t>ˇ</w:t>
            </w:r>
          </w:p>
        </w:tc>
        <w:tc>
          <w:tcPr>
            <w:tcW w:w="567" w:type="dxa"/>
            <w:tcBorders>
              <w:left w:val="single" w:sz="4" w:space="0" w:color="auto"/>
              <w:right w:val="double" w:sz="4" w:space="0" w:color="auto"/>
            </w:tcBorders>
            <w:shd w:val="clear" w:color="auto" w:fill="auto"/>
          </w:tcPr>
          <w:p w:rsidR="008C30A2" w:rsidRPr="00D55DC6" w:rsidRDefault="008C30A2" w:rsidP="00B5463B">
            <w:pPr>
              <w:snapToGrid w:val="0"/>
              <w:spacing w:line="200" w:lineRule="atLeast"/>
              <w:ind w:left="222" w:hanging="222"/>
              <w:rPr>
                <w:rFonts w:ascii="標楷體" w:eastAsia="標楷體" w:hAnsi="標楷體"/>
                <w:sz w:val="28"/>
                <w:szCs w:val="22"/>
              </w:rPr>
            </w:pPr>
          </w:p>
        </w:tc>
        <w:tc>
          <w:tcPr>
            <w:tcW w:w="1981" w:type="dxa"/>
            <w:tcBorders>
              <w:left w:val="double" w:sz="4" w:space="0" w:color="auto"/>
            </w:tcBorders>
            <w:shd w:val="clear" w:color="auto" w:fill="auto"/>
          </w:tcPr>
          <w:p w:rsidR="008C30A2" w:rsidRPr="00D55DC6" w:rsidRDefault="008C30A2" w:rsidP="00C676DD">
            <w:pPr>
              <w:snapToGrid w:val="0"/>
              <w:spacing w:line="200" w:lineRule="atLeast"/>
              <w:ind w:left="222" w:hanging="222"/>
              <w:rPr>
                <w:rFonts w:eastAsia="標楷體"/>
                <w:sz w:val="22"/>
                <w:szCs w:val="22"/>
              </w:rPr>
            </w:pPr>
          </w:p>
        </w:tc>
      </w:tr>
    </w:tbl>
    <w:p w:rsidR="008C30A2" w:rsidRPr="00D55DC6" w:rsidRDefault="008C30A2"/>
    <w:p w:rsidR="007F6ADC" w:rsidRPr="00D55DC6" w:rsidRDefault="00446F55" w:rsidP="00DE5B86">
      <w:pPr>
        <w:spacing w:beforeLines="50" w:before="180"/>
        <w:ind w:leftChars="-355" w:left="-3" w:rightChars="-414" w:right="-994" w:hangingChars="386" w:hanging="849"/>
        <w:rPr>
          <w:rFonts w:eastAsia="標楷體"/>
          <w:b/>
          <w:noProof/>
          <w:sz w:val="32"/>
          <w:szCs w:val="32"/>
        </w:rPr>
      </w:pPr>
      <w:r w:rsidRPr="00D55DC6">
        <w:rPr>
          <w:rFonts w:ascii="標楷體" w:eastAsia="標楷體" w:hAnsi="標楷體"/>
          <w:noProof/>
          <w:sz w:val="22"/>
          <w:szCs w:val="22"/>
        </w:rPr>
        <w:lastRenderedPageBreak/>
        <w:drawing>
          <wp:inline distT="0" distB="0" distL="0" distR="0" wp14:anchorId="58740268" wp14:editId="758D2F29">
            <wp:extent cx="6955277" cy="8871439"/>
            <wp:effectExtent l="0" t="0" r="0" b="6350"/>
            <wp:docPr id="23" name="圖片 23" descr="C:\Users\joyce\Desktop\重要觀光景點建設中程計劃(105-108)-自評表用印_頁面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yce\Desktop\重要觀光景點建設中程計劃(105-108)-自評表用印_頁面_2.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287" t="5272" r="2145" b="11319"/>
                    <a:stretch/>
                  </pic:blipFill>
                  <pic:spPr bwMode="auto">
                    <a:xfrm>
                      <a:off x="0" y="0"/>
                      <a:ext cx="6958933" cy="8876102"/>
                    </a:xfrm>
                    <a:prstGeom prst="rect">
                      <a:avLst/>
                    </a:prstGeom>
                    <a:noFill/>
                    <a:ln>
                      <a:noFill/>
                    </a:ln>
                    <a:extLst>
                      <a:ext uri="{53640926-AAD7-44D8-BBD7-CCE9431645EC}">
                        <a14:shadowObscured xmlns:a14="http://schemas.microsoft.com/office/drawing/2010/main"/>
                      </a:ext>
                    </a:extLst>
                  </pic:spPr>
                </pic:pic>
              </a:graphicData>
            </a:graphic>
          </wp:inline>
        </w:drawing>
      </w:r>
    </w:p>
    <w:p w:rsidR="000664AF" w:rsidRPr="00D55DC6" w:rsidRDefault="000664AF" w:rsidP="000664AF">
      <w:pPr>
        <w:pStyle w:val="12"/>
        <w:rPr>
          <w:rFonts w:hAnsi="Times New Roman"/>
          <w:color w:val="auto"/>
        </w:rPr>
      </w:pPr>
      <w:r w:rsidRPr="00D55DC6">
        <w:rPr>
          <w:rFonts w:hAnsi="Times New Roman"/>
          <w:color w:val="auto"/>
        </w:rPr>
        <w:lastRenderedPageBreak/>
        <w:t>附件</w:t>
      </w:r>
      <w:r w:rsidRPr="00D55DC6">
        <w:rPr>
          <w:rFonts w:hAnsi="Times New Roman"/>
          <w:color w:val="auto"/>
        </w:rPr>
        <w:t xml:space="preserve">2   </w:t>
      </w:r>
      <w:r w:rsidRPr="00D55DC6">
        <w:rPr>
          <w:rFonts w:hAnsi="Times New Roman"/>
          <w:color w:val="auto"/>
        </w:rPr>
        <w:t>中長程個案計畫性別影響評估檢視表</w:t>
      </w:r>
    </w:p>
    <w:p w:rsidR="00E61FF7" w:rsidRPr="00D55DC6" w:rsidRDefault="00E61FF7" w:rsidP="00E61FF7">
      <w:pPr>
        <w:kinsoku w:val="0"/>
        <w:spacing w:after="120" w:line="360" w:lineRule="exact"/>
        <w:ind w:leftChars="-300" w:left="337" w:hangingChars="440" w:hanging="1057"/>
        <w:rPr>
          <w:rFonts w:ascii="標楷體" w:eastAsia="標楷體" w:hAnsi="標楷體"/>
          <w:b/>
          <w:bdr w:val="single" w:sz="4" w:space="0" w:color="auto"/>
        </w:rPr>
      </w:pPr>
      <w:r w:rsidRPr="00D55DC6">
        <w:rPr>
          <w:rFonts w:ascii="標楷體" w:eastAsia="標楷體" w:hAnsi="標楷體"/>
          <w:b/>
        </w:rPr>
        <w:t>【第一部分】：本部分由機關人員填寫</w:t>
      </w:r>
    </w:p>
    <w:tbl>
      <w:tblPr>
        <w:tblW w:w="107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2"/>
        <w:gridCol w:w="649"/>
        <w:gridCol w:w="346"/>
        <w:gridCol w:w="271"/>
        <w:gridCol w:w="220"/>
        <w:gridCol w:w="226"/>
        <w:gridCol w:w="151"/>
        <w:gridCol w:w="56"/>
        <w:gridCol w:w="13"/>
        <w:gridCol w:w="1076"/>
        <w:gridCol w:w="539"/>
        <w:gridCol w:w="1301"/>
        <w:gridCol w:w="43"/>
        <w:gridCol w:w="6"/>
        <w:gridCol w:w="3844"/>
      </w:tblGrid>
      <w:tr w:rsidR="001D0350" w:rsidRPr="00D55DC6" w:rsidTr="00742A58">
        <w:trPr>
          <w:trHeight w:val="453"/>
        </w:trPr>
        <w:tc>
          <w:tcPr>
            <w:tcW w:w="10723" w:type="dxa"/>
            <w:gridSpan w:val="15"/>
            <w:tcBorders>
              <w:top w:val="thinThickSmallGap" w:sz="24" w:space="0" w:color="auto"/>
              <w:bottom w:val="single" w:sz="4" w:space="0" w:color="auto"/>
            </w:tcBorders>
            <w:vAlign w:val="center"/>
          </w:tcPr>
          <w:p w:rsidR="00E61FF7" w:rsidRPr="00D55DC6" w:rsidRDefault="00E61FF7" w:rsidP="00742A58">
            <w:pPr>
              <w:spacing w:line="240" w:lineRule="atLeast"/>
              <w:jc w:val="center"/>
              <w:rPr>
                <w:rFonts w:ascii="標楷體" w:eastAsia="標楷體" w:hAnsi="標楷體"/>
                <w:b/>
              </w:rPr>
            </w:pPr>
            <w:r w:rsidRPr="00D55DC6">
              <w:rPr>
                <w:rFonts w:ascii="標楷體" w:eastAsia="標楷體" w:hAnsi="標楷體"/>
                <w:b/>
              </w:rPr>
              <w:t xml:space="preserve">填表日期： </w:t>
            </w:r>
            <w:r w:rsidRPr="00D55DC6">
              <w:rPr>
                <w:rFonts w:ascii="標楷體" w:eastAsia="標楷體" w:hAnsi="標楷體"/>
                <w:b/>
                <w:bCs/>
              </w:rPr>
              <w:t xml:space="preserve"> </w:t>
            </w:r>
            <w:r w:rsidRPr="00D55DC6">
              <w:rPr>
                <w:rFonts w:ascii="標楷體" w:eastAsia="標楷體" w:hAnsi="標楷體" w:hint="eastAsia"/>
                <w:b/>
                <w:bCs/>
              </w:rPr>
              <w:t>103</w:t>
            </w:r>
            <w:r w:rsidRPr="00D55DC6">
              <w:rPr>
                <w:rFonts w:ascii="標楷體" w:eastAsia="標楷體" w:hAnsi="標楷體"/>
                <w:b/>
                <w:bCs/>
              </w:rPr>
              <w:t xml:space="preserve">  年  </w:t>
            </w:r>
            <w:r w:rsidRPr="00D55DC6">
              <w:rPr>
                <w:rFonts w:ascii="標楷體" w:eastAsia="標楷體" w:hAnsi="標楷體" w:hint="eastAsia"/>
                <w:b/>
                <w:bCs/>
              </w:rPr>
              <w:t>12</w:t>
            </w:r>
            <w:r w:rsidRPr="00D55DC6">
              <w:rPr>
                <w:rFonts w:ascii="標楷體" w:eastAsia="標楷體" w:hAnsi="標楷體"/>
                <w:b/>
                <w:bCs/>
              </w:rPr>
              <w:t xml:space="preserve"> 月  </w:t>
            </w:r>
            <w:r w:rsidRPr="00D55DC6">
              <w:rPr>
                <w:rFonts w:ascii="標楷體" w:eastAsia="標楷體" w:hAnsi="標楷體" w:hint="eastAsia"/>
                <w:b/>
                <w:bCs/>
              </w:rPr>
              <w:t>24</w:t>
            </w:r>
            <w:r w:rsidRPr="00D55DC6">
              <w:rPr>
                <w:rFonts w:ascii="標楷體" w:eastAsia="標楷體" w:hAnsi="標楷體"/>
                <w:b/>
                <w:bCs/>
              </w:rPr>
              <w:t xml:space="preserve"> </w:t>
            </w:r>
            <w:r w:rsidRPr="00D55DC6">
              <w:rPr>
                <w:rFonts w:ascii="標楷體" w:eastAsia="標楷體" w:hAnsi="標楷體" w:hint="eastAsia"/>
                <w:b/>
                <w:bCs/>
              </w:rPr>
              <w:t xml:space="preserve"> </w:t>
            </w:r>
            <w:r w:rsidRPr="00D55DC6">
              <w:rPr>
                <w:rFonts w:ascii="標楷體" w:eastAsia="標楷體" w:hAnsi="標楷體"/>
                <w:b/>
                <w:bCs/>
              </w:rPr>
              <w:t>日</w:t>
            </w:r>
          </w:p>
        </w:tc>
      </w:tr>
      <w:tr w:rsidR="001D0350" w:rsidRPr="00D55DC6" w:rsidTr="00742A58">
        <w:trPr>
          <w:trHeight w:val="633"/>
        </w:trPr>
        <w:tc>
          <w:tcPr>
            <w:tcW w:w="3694" w:type="dxa"/>
            <w:gridSpan w:val="6"/>
            <w:tcBorders>
              <w:top w:val="single" w:sz="4" w:space="0" w:color="auto"/>
              <w:left w:val="single" w:sz="4" w:space="0" w:color="auto"/>
              <w:bottom w:val="nil"/>
              <w:right w:val="nil"/>
            </w:tcBorders>
          </w:tcPr>
          <w:p w:rsidR="00E61FF7" w:rsidRPr="00D55DC6" w:rsidRDefault="00E61FF7" w:rsidP="00742A58">
            <w:pPr>
              <w:spacing w:line="400" w:lineRule="exact"/>
              <w:ind w:leftChars="-28" w:left="-67"/>
              <w:jc w:val="both"/>
              <w:rPr>
                <w:rFonts w:ascii="標楷體" w:eastAsia="標楷體" w:hAnsi="標楷體"/>
                <w:b/>
              </w:rPr>
            </w:pPr>
            <w:r w:rsidRPr="00D55DC6">
              <w:rPr>
                <w:rFonts w:ascii="標楷體" w:eastAsia="標楷體" w:hAnsi="標楷體"/>
                <w:b/>
              </w:rPr>
              <w:t>填表人姓名：</w:t>
            </w:r>
            <w:r w:rsidRPr="00D55DC6">
              <w:rPr>
                <w:rFonts w:ascii="標楷體" w:eastAsia="標楷體" w:hAnsi="標楷體" w:hint="eastAsia"/>
                <w:b/>
              </w:rPr>
              <w:t>歐陽忻憶</w:t>
            </w:r>
            <w:r w:rsidRPr="00D55DC6">
              <w:rPr>
                <w:rFonts w:ascii="標楷體" w:eastAsia="標楷體" w:hAnsi="標楷體"/>
                <w:b/>
              </w:rPr>
              <w:t xml:space="preserve">                               </w:t>
            </w:r>
            <w:r w:rsidRPr="00D55DC6">
              <w:rPr>
                <w:rFonts w:ascii="標楷體" w:eastAsia="標楷體" w:hAnsi="標楷體"/>
              </w:rPr>
              <w:t xml:space="preserve">                                                  </w:t>
            </w:r>
          </w:p>
        </w:tc>
        <w:tc>
          <w:tcPr>
            <w:tcW w:w="7029" w:type="dxa"/>
            <w:gridSpan w:val="9"/>
            <w:vMerge w:val="restart"/>
            <w:tcBorders>
              <w:top w:val="single" w:sz="4" w:space="0" w:color="auto"/>
              <w:left w:val="nil"/>
              <w:right w:val="single" w:sz="4" w:space="0" w:color="auto"/>
            </w:tcBorders>
          </w:tcPr>
          <w:p w:rsidR="00E61FF7" w:rsidRPr="00D55DC6" w:rsidRDefault="00E61FF7" w:rsidP="00742A58">
            <w:pPr>
              <w:spacing w:line="400" w:lineRule="exact"/>
              <w:ind w:leftChars="-28" w:left="-67"/>
              <w:jc w:val="both"/>
              <w:rPr>
                <w:rFonts w:ascii="標楷體" w:eastAsia="標楷體" w:hAnsi="標楷體"/>
                <w:b/>
              </w:rPr>
            </w:pPr>
            <w:r w:rsidRPr="00D55DC6">
              <w:rPr>
                <w:rFonts w:ascii="標楷體" w:eastAsia="標楷體" w:hAnsi="標楷體" w:hint="eastAsia"/>
                <w:b/>
              </w:rPr>
              <w:t xml:space="preserve">職稱：專員　　　　　　　</w:t>
            </w:r>
            <w:r w:rsidRPr="00D55DC6">
              <w:rPr>
                <w:rFonts w:ascii="標楷體" w:eastAsia="標楷體" w:hAnsi="標楷體"/>
                <w:b/>
              </w:rPr>
              <w:t xml:space="preserve"> </w:t>
            </w:r>
            <w:r w:rsidRPr="00D55DC6">
              <w:rPr>
                <w:rFonts w:ascii="標楷體" w:eastAsia="標楷體" w:hAnsi="標楷體" w:hint="eastAsia"/>
                <w:b/>
              </w:rPr>
              <w:t>身份：▓</w:t>
            </w:r>
            <w:r w:rsidRPr="00D55DC6">
              <w:rPr>
                <w:rFonts w:ascii="標楷體" w:eastAsia="標楷體" w:hAnsi="標楷體" w:hint="eastAsia"/>
              </w:rPr>
              <w:t>業務單位人員</w:t>
            </w:r>
            <w:r w:rsidRPr="00D55DC6">
              <w:rPr>
                <w:rFonts w:ascii="標楷體" w:eastAsia="標楷體" w:hAnsi="標楷體" w:hint="eastAsia"/>
                <w:b/>
              </w:rPr>
              <w:t xml:space="preserve">　</w:t>
            </w:r>
          </w:p>
          <w:p w:rsidR="00E61FF7" w:rsidRPr="00D55DC6" w:rsidRDefault="00E61FF7" w:rsidP="00742A58">
            <w:pPr>
              <w:spacing w:line="400" w:lineRule="exact"/>
              <w:ind w:leftChars="-28" w:left="-67"/>
              <w:jc w:val="both"/>
              <w:rPr>
                <w:rFonts w:ascii="標楷體" w:eastAsia="標楷體" w:hAnsi="標楷體"/>
              </w:rPr>
            </w:pPr>
            <w:r w:rsidRPr="00D55DC6">
              <w:rPr>
                <w:rFonts w:ascii="標楷體" w:eastAsia="標楷體" w:hAnsi="標楷體"/>
                <w:b/>
              </w:rPr>
              <w:t>e-mail</w:t>
            </w:r>
            <w:r w:rsidRPr="00D55DC6">
              <w:rPr>
                <w:rFonts w:ascii="標楷體" w:eastAsia="標楷體" w:hAnsi="標楷體" w:hint="eastAsia"/>
                <w:b/>
              </w:rPr>
              <w:t>：</w:t>
            </w:r>
            <w:hyperlink r:id="rId23" w:history="1">
              <w:r w:rsidRPr="00D55DC6">
                <w:rPr>
                  <w:rStyle w:val="affff8"/>
                  <w:rFonts w:ascii="標楷體" w:eastAsia="標楷體" w:hAnsi="標楷體" w:hint="eastAsia"/>
                  <w:b/>
                  <w:color w:val="auto"/>
                  <w:u w:val="none"/>
                </w:rPr>
                <w:t>joyce</w:t>
              </w:r>
              <w:r w:rsidRPr="00D55DC6">
                <w:rPr>
                  <w:rStyle w:val="affff8"/>
                  <w:rFonts w:ascii="標楷體" w:eastAsia="標楷體" w:hAnsi="標楷體"/>
                  <w:b/>
                  <w:color w:val="auto"/>
                  <w:u w:val="none"/>
                </w:rPr>
                <w:t>@tbroc.gov.tw</w:t>
              </w:r>
            </w:hyperlink>
            <w:r w:rsidRPr="00D55DC6">
              <w:rPr>
                <w:rFonts w:ascii="標楷體" w:eastAsia="標楷體" w:hAnsi="標楷體"/>
              </w:rPr>
              <w:t xml:space="preserve"> </w:t>
            </w:r>
            <w:r w:rsidRPr="00D55DC6">
              <w:rPr>
                <w:rFonts w:ascii="標楷體" w:eastAsia="標楷體" w:hAnsi="標楷體" w:hint="eastAsia"/>
              </w:rPr>
              <w:t xml:space="preserve"> </w:t>
            </w:r>
            <w:r w:rsidRPr="00D55DC6">
              <w:rPr>
                <w:rFonts w:ascii="標楷體" w:eastAsia="標楷體" w:hAnsi="標楷體"/>
              </w:rPr>
              <w:t xml:space="preserve">   </w:t>
            </w:r>
            <w:r w:rsidRPr="00D55DC6">
              <w:rPr>
                <w:rFonts w:ascii="標楷體" w:eastAsia="標楷體" w:hAnsi="標楷體" w:hint="eastAsia"/>
              </w:rPr>
              <w:t>□非業務單位人員</w:t>
            </w:r>
          </w:p>
          <w:p w:rsidR="00E61FF7" w:rsidRPr="00D55DC6" w:rsidRDefault="00E61FF7" w:rsidP="00742A58">
            <w:pPr>
              <w:spacing w:line="400" w:lineRule="exact"/>
              <w:ind w:firstLineChars="1400" w:firstLine="3360"/>
              <w:jc w:val="both"/>
              <w:rPr>
                <w:rFonts w:ascii="標楷體" w:eastAsia="標楷體" w:hAnsi="標楷體"/>
                <w:b/>
              </w:rPr>
            </w:pPr>
            <w:r w:rsidRPr="00D55DC6">
              <w:rPr>
                <w:rFonts w:ascii="標楷體" w:eastAsia="標楷體" w:hAnsi="標楷體" w:hint="eastAsia"/>
              </w:rPr>
              <w:t>（請說明：______________   ）</w:t>
            </w:r>
          </w:p>
        </w:tc>
      </w:tr>
      <w:tr w:rsidR="001D0350" w:rsidRPr="00D55DC6" w:rsidTr="00742A58">
        <w:trPr>
          <w:trHeight w:val="542"/>
        </w:trPr>
        <w:tc>
          <w:tcPr>
            <w:tcW w:w="3694" w:type="dxa"/>
            <w:gridSpan w:val="6"/>
            <w:tcBorders>
              <w:top w:val="nil"/>
              <w:left w:val="single" w:sz="4" w:space="0" w:color="auto"/>
              <w:bottom w:val="single" w:sz="4" w:space="0" w:color="auto"/>
              <w:right w:val="nil"/>
            </w:tcBorders>
          </w:tcPr>
          <w:p w:rsidR="00E61FF7" w:rsidRPr="00D55DC6" w:rsidRDefault="00E61FF7" w:rsidP="00742A58">
            <w:pPr>
              <w:spacing w:line="400" w:lineRule="exact"/>
              <w:ind w:leftChars="-28" w:left="-67"/>
              <w:jc w:val="both"/>
              <w:rPr>
                <w:rFonts w:ascii="標楷體" w:eastAsia="標楷體" w:hAnsi="標楷體"/>
                <w:b/>
              </w:rPr>
            </w:pPr>
            <w:r w:rsidRPr="00D55DC6">
              <w:rPr>
                <w:rFonts w:ascii="標楷體" w:eastAsia="標楷體" w:hAnsi="標楷體"/>
                <w:b/>
              </w:rPr>
              <w:t>電話：</w:t>
            </w:r>
            <w:r w:rsidRPr="00D55DC6">
              <w:rPr>
                <w:rFonts w:ascii="標楷體" w:eastAsia="標楷體" w:hAnsi="標楷體" w:hint="eastAsia"/>
                <w:b/>
              </w:rPr>
              <w:t>02-2349-1500#8111</w:t>
            </w:r>
          </w:p>
        </w:tc>
        <w:tc>
          <w:tcPr>
            <w:tcW w:w="7029" w:type="dxa"/>
            <w:gridSpan w:val="9"/>
            <w:vMerge/>
            <w:tcBorders>
              <w:left w:val="nil"/>
              <w:bottom w:val="single" w:sz="4" w:space="0" w:color="auto"/>
              <w:right w:val="single" w:sz="4" w:space="0" w:color="auto"/>
            </w:tcBorders>
          </w:tcPr>
          <w:p w:rsidR="00E61FF7" w:rsidRPr="00D55DC6" w:rsidRDefault="00E61FF7" w:rsidP="00742A58">
            <w:pPr>
              <w:spacing w:line="400" w:lineRule="exact"/>
              <w:ind w:leftChars="-28" w:left="-67"/>
              <w:jc w:val="both"/>
              <w:rPr>
                <w:rFonts w:ascii="標楷體" w:eastAsia="標楷體" w:hAnsi="標楷體"/>
                <w:b/>
              </w:rPr>
            </w:pPr>
          </w:p>
        </w:tc>
      </w:tr>
      <w:tr w:rsidR="001D0350" w:rsidRPr="00D55DC6" w:rsidTr="00742A58">
        <w:trPr>
          <w:trHeight w:val="2268"/>
        </w:trPr>
        <w:tc>
          <w:tcPr>
            <w:tcW w:w="10723" w:type="dxa"/>
            <w:gridSpan w:val="15"/>
            <w:tcBorders>
              <w:top w:val="single" w:sz="4" w:space="0" w:color="auto"/>
              <w:bottom w:val="thickThinSmallGap" w:sz="24" w:space="0" w:color="auto"/>
            </w:tcBorders>
          </w:tcPr>
          <w:p w:rsidR="00E61FF7" w:rsidRPr="00D55DC6" w:rsidRDefault="00E61FF7" w:rsidP="00742A58">
            <w:pPr>
              <w:spacing w:line="240" w:lineRule="atLeast"/>
              <w:jc w:val="center"/>
              <w:rPr>
                <w:rFonts w:ascii="標楷體" w:eastAsia="標楷體" w:hAnsi="標楷體"/>
                <w:b/>
              </w:rPr>
            </w:pPr>
            <w:r w:rsidRPr="00D55DC6">
              <w:rPr>
                <w:rFonts w:ascii="標楷體" w:eastAsia="標楷體" w:hAnsi="標楷體"/>
                <w:b/>
              </w:rPr>
              <w:t>填  表  説  明</w:t>
            </w:r>
          </w:p>
          <w:p w:rsidR="00E61FF7" w:rsidRPr="00D55DC6" w:rsidRDefault="00E61FF7" w:rsidP="00742A58">
            <w:pPr>
              <w:adjustRightInd w:val="0"/>
              <w:spacing w:line="300" w:lineRule="atLeast"/>
              <w:ind w:leftChars="1" w:left="461" w:rightChars="40" w:right="96" w:hangingChars="191" w:hanging="459"/>
              <w:jc w:val="both"/>
              <w:rPr>
                <w:rFonts w:ascii="標楷體" w:eastAsia="標楷體" w:hAnsi="標楷體"/>
                <w:b/>
              </w:rPr>
            </w:pPr>
            <w:r w:rsidRPr="00D55DC6">
              <w:rPr>
                <w:rFonts w:ascii="標楷體" w:eastAsia="標楷體" w:hAnsi="標楷體"/>
                <w:b/>
              </w:rPr>
              <w:t>一、行政院所屬各機關之中長程個案計畫除因物價調整而需修正計畫經費，或僅計畫期程變更外，皆應填具本表。</w:t>
            </w:r>
          </w:p>
          <w:p w:rsidR="00E61FF7" w:rsidRPr="00D55DC6" w:rsidRDefault="00E61FF7" w:rsidP="00742A58">
            <w:pPr>
              <w:adjustRightInd w:val="0"/>
              <w:spacing w:line="300" w:lineRule="atLeast"/>
              <w:ind w:leftChars="1" w:left="461" w:rightChars="40" w:right="96" w:hangingChars="191" w:hanging="459"/>
              <w:jc w:val="both"/>
              <w:rPr>
                <w:rFonts w:ascii="標楷體" w:eastAsia="標楷體" w:hAnsi="標楷體"/>
                <w:b/>
              </w:rPr>
            </w:pPr>
            <w:r w:rsidRPr="00D55DC6">
              <w:rPr>
                <w:rFonts w:ascii="標楷體" w:eastAsia="標楷體" w:hAnsi="標楷體" w:hint="eastAsia"/>
                <w:b/>
              </w:rPr>
              <w:t>二、「主管機關」欄請填列中央二級主管機關，「主辦機關」欄請填列擬案機關（單位）。</w:t>
            </w:r>
          </w:p>
          <w:p w:rsidR="00E61FF7" w:rsidRPr="00D55DC6" w:rsidRDefault="00E61FF7" w:rsidP="00742A58">
            <w:pPr>
              <w:adjustRightInd w:val="0"/>
              <w:spacing w:line="300" w:lineRule="atLeast"/>
              <w:ind w:leftChars="1" w:left="461" w:rightChars="40" w:right="96" w:hangingChars="191" w:hanging="459"/>
              <w:jc w:val="both"/>
              <w:rPr>
                <w:rFonts w:ascii="標楷體" w:eastAsia="標楷體" w:hAnsi="標楷體"/>
                <w:b/>
              </w:rPr>
            </w:pPr>
            <w:r w:rsidRPr="00D55DC6">
              <w:rPr>
                <w:rFonts w:ascii="標楷體" w:eastAsia="標楷體" w:hAnsi="標楷體" w:hint="eastAsia"/>
                <w:b/>
              </w:rPr>
              <w:t>三</w:t>
            </w:r>
            <w:r w:rsidRPr="00D55DC6">
              <w:rPr>
                <w:rFonts w:ascii="標楷體" w:eastAsia="標楷體" w:hAnsi="標楷體"/>
                <w:b/>
              </w:rPr>
              <w:t>、建議各單位於計畫研擬初期，即徵詢性別平等專家學者</w:t>
            </w:r>
            <w:r w:rsidRPr="00D55DC6">
              <w:rPr>
                <w:rFonts w:ascii="標楷體" w:eastAsia="標楷體" w:hAnsi="標楷體" w:hint="eastAsia"/>
                <w:b/>
              </w:rPr>
              <w:t>或各部會性別平等專案小組之</w:t>
            </w:r>
            <w:r w:rsidRPr="00D55DC6">
              <w:rPr>
                <w:rFonts w:ascii="標楷體" w:eastAsia="標楷體" w:hAnsi="標楷體"/>
                <w:b/>
              </w:rPr>
              <w:t>意見；計畫研擬完成後，應併同本表送請民間性別平等專家學者進行程序參與，參酌其意見修正計畫內容，並填寫「</w:t>
            </w:r>
            <w:r w:rsidRPr="00D55DC6">
              <w:rPr>
                <w:rFonts w:ascii="標楷體" w:eastAsia="標楷體" w:hAnsi="標楷體" w:hint="eastAsia"/>
                <w:b/>
              </w:rPr>
              <w:t>拾、</w:t>
            </w:r>
            <w:r w:rsidRPr="00D55DC6">
              <w:rPr>
                <w:rFonts w:ascii="標楷體" w:eastAsia="標楷體" w:hAnsi="標楷體"/>
                <w:b/>
              </w:rPr>
              <w:t>評估結果」後通知程序參與者。</w:t>
            </w:r>
          </w:p>
        </w:tc>
      </w:tr>
      <w:tr w:rsidR="001D0350" w:rsidRPr="00D55DC6" w:rsidTr="00742A58">
        <w:trPr>
          <w:trHeight w:val="480"/>
        </w:trPr>
        <w:tc>
          <w:tcPr>
            <w:tcW w:w="1982" w:type="dxa"/>
            <w:tcBorders>
              <w:top w:val="thickThinSmallGap" w:sz="24" w:space="0" w:color="auto"/>
            </w:tcBorders>
            <w:vAlign w:val="center"/>
          </w:tcPr>
          <w:p w:rsidR="00E61FF7" w:rsidRPr="00D55DC6" w:rsidRDefault="00E61FF7" w:rsidP="00742A58">
            <w:pPr>
              <w:adjustRightInd w:val="0"/>
              <w:snapToGrid w:val="0"/>
              <w:spacing w:line="360" w:lineRule="atLeast"/>
              <w:ind w:leftChars="-45" w:left="-108"/>
              <w:jc w:val="both"/>
              <w:rPr>
                <w:rFonts w:ascii="標楷體" w:eastAsia="標楷體" w:hAnsi="標楷體"/>
                <w:b/>
              </w:rPr>
            </w:pPr>
            <w:r w:rsidRPr="00D55DC6">
              <w:rPr>
                <w:rFonts w:ascii="標楷體" w:eastAsia="標楷體" w:hAnsi="標楷體"/>
                <w:b/>
              </w:rPr>
              <w:t>壹、計畫名稱</w:t>
            </w:r>
          </w:p>
        </w:tc>
        <w:tc>
          <w:tcPr>
            <w:tcW w:w="8741" w:type="dxa"/>
            <w:gridSpan w:val="14"/>
            <w:vAlign w:val="center"/>
          </w:tcPr>
          <w:p w:rsidR="00E61FF7" w:rsidRPr="00D55DC6" w:rsidRDefault="00E61FF7" w:rsidP="00742A58">
            <w:pPr>
              <w:spacing w:before="120" w:after="120" w:line="360" w:lineRule="exact"/>
              <w:jc w:val="both"/>
              <w:rPr>
                <w:rFonts w:ascii="標楷體" w:eastAsia="標楷體" w:hAnsi="標楷體"/>
                <w:b/>
              </w:rPr>
            </w:pPr>
            <w:r w:rsidRPr="00D55DC6">
              <w:rPr>
                <w:rFonts w:ascii="標楷體" w:eastAsia="標楷體" w:hAnsi="標楷體" w:hint="eastAsia"/>
                <w:b/>
              </w:rPr>
              <w:t>重要觀光景點建設中程計畫（105-108年）</w:t>
            </w:r>
          </w:p>
        </w:tc>
      </w:tr>
      <w:tr w:rsidR="001D0350" w:rsidRPr="00D55DC6" w:rsidTr="00742A58">
        <w:tc>
          <w:tcPr>
            <w:tcW w:w="1982" w:type="dxa"/>
            <w:vAlign w:val="center"/>
          </w:tcPr>
          <w:p w:rsidR="00E61FF7" w:rsidRPr="00D55DC6" w:rsidRDefault="00E61FF7" w:rsidP="00742A58">
            <w:pPr>
              <w:adjustRightInd w:val="0"/>
              <w:snapToGrid w:val="0"/>
              <w:spacing w:line="360" w:lineRule="atLeast"/>
              <w:ind w:leftChars="-45" w:left="-108"/>
              <w:jc w:val="both"/>
              <w:rPr>
                <w:rFonts w:ascii="標楷體" w:eastAsia="標楷體" w:hAnsi="標楷體"/>
                <w:b/>
              </w:rPr>
            </w:pPr>
            <w:r w:rsidRPr="00D55DC6">
              <w:rPr>
                <w:rFonts w:ascii="標楷體" w:eastAsia="標楷體" w:hAnsi="標楷體"/>
                <w:b/>
              </w:rPr>
              <w:t>貳、主管機關</w:t>
            </w:r>
          </w:p>
        </w:tc>
        <w:tc>
          <w:tcPr>
            <w:tcW w:w="3008" w:type="dxa"/>
            <w:gridSpan w:val="9"/>
            <w:vAlign w:val="center"/>
          </w:tcPr>
          <w:p w:rsidR="00E61FF7" w:rsidRPr="00D55DC6" w:rsidRDefault="00E61FF7" w:rsidP="00742A58">
            <w:pPr>
              <w:spacing w:before="120" w:after="120" w:line="360" w:lineRule="exact"/>
              <w:jc w:val="both"/>
              <w:rPr>
                <w:rFonts w:ascii="標楷體" w:eastAsia="標楷體" w:hAnsi="標楷體"/>
                <w:b/>
              </w:rPr>
            </w:pPr>
            <w:r w:rsidRPr="00D55DC6">
              <w:rPr>
                <w:rFonts w:ascii="標楷體" w:eastAsia="標楷體" w:hAnsi="標楷體" w:hint="eastAsia"/>
                <w:b/>
              </w:rPr>
              <w:t>交通部</w:t>
            </w:r>
          </w:p>
        </w:tc>
        <w:tc>
          <w:tcPr>
            <w:tcW w:w="1883" w:type="dxa"/>
            <w:gridSpan w:val="3"/>
            <w:vAlign w:val="center"/>
          </w:tcPr>
          <w:p w:rsidR="00E61FF7" w:rsidRPr="00D55DC6" w:rsidRDefault="00E61FF7" w:rsidP="00742A58">
            <w:pPr>
              <w:spacing w:before="120" w:after="120" w:line="360" w:lineRule="exact"/>
              <w:ind w:leftChars="-45" w:left="-108" w:rightChars="-45" w:right="-108"/>
              <w:jc w:val="both"/>
              <w:rPr>
                <w:rFonts w:ascii="標楷體" w:eastAsia="標楷體" w:hAnsi="標楷體"/>
                <w:b/>
              </w:rPr>
            </w:pPr>
            <w:r w:rsidRPr="00D55DC6">
              <w:rPr>
                <w:rFonts w:ascii="標楷體" w:eastAsia="標楷體" w:hAnsi="標楷體"/>
                <w:b/>
              </w:rPr>
              <w:t>主辦機關</w:t>
            </w:r>
            <w:r w:rsidRPr="00D55DC6">
              <w:rPr>
                <w:rFonts w:ascii="標楷體" w:eastAsia="標楷體" w:hAnsi="標楷體" w:hint="eastAsia"/>
                <w:b/>
              </w:rPr>
              <w:t>（單位）</w:t>
            </w:r>
          </w:p>
        </w:tc>
        <w:tc>
          <w:tcPr>
            <w:tcW w:w="3850" w:type="dxa"/>
            <w:gridSpan w:val="2"/>
            <w:vAlign w:val="center"/>
          </w:tcPr>
          <w:p w:rsidR="00E61FF7" w:rsidRPr="00D55DC6" w:rsidRDefault="00E61FF7" w:rsidP="00742A58">
            <w:pPr>
              <w:adjustRightInd w:val="0"/>
              <w:snapToGrid w:val="0"/>
              <w:spacing w:line="240" w:lineRule="atLeast"/>
              <w:jc w:val="both"/>
              <w:rPr>
                <w:rFonts w:ascii="標楷體" w:eastAsia="標楷體" w:hAnsi="標楷體"/>
                <w:b/>
              </w:rPr>
            </w:pPr>
            <w:r w:rsidRPr="00D55DC6">
              <w:rPr>
                <w:rFonts w:ascii="標楷體" w:eastAsia="標楷體" w:hAnsi="標楷體" w:hint="eastAsia"/>
                <w:b/>
              </w:rPr>
              <w:t>交通部觀光局暨所屬管理處</w:t>
            </w:r>
          </w:p>
        </w:tc>
      </w:tr>
      <w:tr w:rsidR="001D0350" w:rsidRPr="00D55DC6" w:rsidTr="00742A58">
        <w:trPr>
          <w:trHeight w:val="491"/>
        </w:trPr>
        <w:tc>
          <w:tcPr>
            <w:tcW w:w="6873" w:type="dxa"/>
            <w:gridSpan w:val="13"/>
            <w:vAlign w:val="center"/>
          </w:tcPr>
          <w:p w:rsidR="00E61FF7" w:rsidRPr="00D55DC6" w:rsidRDefault="00E61FF7" w:rsidP="00742A58">
            <w:pPr>
              <w:adjustRightInd w:val="0"/>
              <w:snapToGrid w:val="0"/>
              <w:spacing w:line="360" w:lineRule="atLeast"/>
              <w:ind w:leftChars="-45" w:left="-108"/>
              <w:jc w:val="both"/>
              <w:rPr>
                <w:rFonts w:ascii="標楷體" w:eastAsia="標楷體" w:hAnsi="標楷體"/>
                <w:b/>
              </w:rPr>
            </w:pPr>
            <w:r w:rsidRPr="00D55DC6">
              <w:rPr>
                <w:rFonts w:ascii="標楷體" w:eastAsia="標楷體" w:hAnsi="標楷體"/>
                <w:b/>
              </w:rPr>
              <w:t>參、計畫內容涉及領域：</w:t>
            </w:r>
          </w:p>
        </w:tc>
        <w:tc>
          <w:tcPr>
            <w:tcW w:w="3850" w:type="dxa"/>
            <w:gridSpan w:val="2"/>
            <w:vAlign w:val="center"/>
          </w:tcPr>
          <w:p w:rsidR="00E61FF7" w:rsidRPr="00D55DC6" w:rsidRDefault="00E61FF7" w:rsidP="00742A58">
            <w:pPr>
              <w:adjustRightInd w:val="0"/>
              <w:snapToGrid w:val="0"/>
              <w:spacing w:line="240" w:lineRule="atLeast"/>
              <w:jc w:val="center"/>
              <w:rPr>
                <w:rFonts w:ascii="標楷體" w:eastAsia="標楷體" w:hAnsi="標楷體"/>
                <w:b/>
              </w:rPr>
            </w:pPr>
            <w:r w:rsidRPr="00D55DC6">
              <w:rPr>
                <w:rFonts w:ascii="標楷體" w:eastAsia="標楷體" w:hAnsi="標楷體"/>
                <w:b/>
              </w:rPr>
              <w:t>勾選（可複選）</w:t>
            </w:r>
          </w:p>
        </w:tc>
      </w:tr>
      <w:tr w:rsidR="001D0350" w:rsidRPr="00D55DC6" w:rsidTr="00742A58">
        <w:trPr>
          <w:trHeight w:val="369"/>
        </w:trPr>
        <w:tc>
          <w:tcPr>
            <w:tcW w:w="6873" w:type="dxa"/>
            <w:gridSpan w:val="13"/>
            <w:vAlign w:val="center"/>
          </w:tcPr>
          <w:p w:rsidR="00E61FF7" w:rsidRPr="00D55DC6" w:rsidRDefault="00E61FF7" w:rsidP="00742A58">
            <w:pPr>
              <w:adjustRightInd w:val="0"/>
              <w:snapToGrid w:val="0"/>
              <w:spacing w:line="240" w:lineRule="atLeast"/>
              <w:jc w:val="both"/>
              <w:rPr>
                <w:rFonts w:ascii="標楷體" w:eastAsia="標楷體" w:hAnsi="標楷體"/>
                <w:b/>
              </w:rPr>
            </w:pPr>
            <w:r w:rsidRPr="00D55DC6">
              <w:rPr>
                <w:rFonts w:ascii="標楷體" w:eastAsia="標楷體" w:hAnsi="標楷體"/>
              </w:rPr>
              <w:t>3-1 權力、決策、影響力領域</w:t>
            </w:r>
          </w:p>
        </w:tc>
        <w:tc>
          <w:tcPr>
            <w:tcW w:w="3850" w:type="dxa"/>
            <w:gridSpan w:val="2"/>
            <w:vAlign w:val="center"/>
          </w:tcPr>
          <w:p w:rsidR="00E61FF7" w:rsidRPr="00D55DC6" w:rsidRDefault="00E61FF7" w:rsidP="00742A58">
            <w:pPr>
              <w:adjustRightInd w:val="0"/>
              <w:snapToGrid w:val="0"/>
              <w:spacing w:line="240" w:lineRule="atLeast"/>
              <w:jc w:val="both"/>
              <w:rPr>
                <w:rFonts w:ascii="標楷體" w:eastAsia="標楷體" w:hAnsi="標楷體"/>
                <w:b/>
              </w:rPr>
            </w:pPr>
          </w:p>
        </w:tc>
      </w:tr>
      <w:tr w:rsidR="001D0350" w:rsidRPr="00D55DC6" w:rsidTr="00742A58">
        <w:trPr>
          <w:trHeight w:val="369"/>
        </w:trPr>
        <w:tc>
          <w:tcPr>
            <w:tcW w:w="6873" w:type="dxa"/>
            <w:gridSpan w:val="13"/>
            <w:vAlign w:val="center"/>
          </w:tcPr>
          <w:p w:rsidR="00E61FF7" w:rsidRPr="00D55DC6" w:rsidRDefault="00E61FF7" w:rsidP="00742A58">
            <w:pPr>
              <w:adjustRightInd w:val="0"/>
              <w:snapToGrid w:val="0"/>
              <w:spacing w:line="240" w:lineRule="atLeast"/>
              <w:jc w:val="both"/>
              <w:rPr>
                <w:rFonts w:ascii="標楷體" w:eastAsia="標楷體" w:hAnsi="標楷體"/>
                <w:b/>
              </w:rPr>
            </w:pPr>
            <w:r w:rsidRPr="00D55DC6">
              <w:rPr>
                <w:rFonts w:ascii="標楷體" w:eastAsia="標楷體" w:hAnsi="標楷體"/>
              </w:rPr>
              <w:t>3-2 就業、經濟、福利領域</w:t>
            </w:r>
          </w:p>
        </w:tc>
        <w:tc>
          <w:tcPr>
            <w:tcW w:w="3850" w:type="dxa"/>
            <w:gridSpan w:val="2"/>
            <w:vAlign w:val="center"/>
          </w:tcPr>
          <w:p w:rsidR="00E61FF7" w:rsidRPr="00D55DC6" w:rsidRDefault="00E61FF7" w:rsidP="00742A58">
            <w:pPr>
              <w:adjustRightInd w:val="0"/>
              <w:snapToGrid w:val="0"/>
              <w:spacing w:line="240" w:lineRule="atLeast"/>
              <w:jc w:val="both"/>
              <w:rPr>
                <w:rFonts w:ascii="標楷體" w:eastAsia="標楷體" w:hAnsi="標楷體"/>
                <w:b/>
              </w:rPr>
            </w:pPr>
          </w:p>
        </w:tc>
      </w:tr>
      <w:tr w:rsidR="001D0350" w:rsidRPr="00D55DC6" w:rsidTr="00742A58">
        <w:trPr>
          <w:trHeight w:val="369"/>
        </w:trPr>
        <w:tc>
          <w:tcPr>
            <w:tcW w:w="6873" w:type="dxa"/>
            <w:gridSpan w:val="13"/>
            <w:vAlign w:val="center"/>
          </w:tcPr>
          <w:p w:rsidR="00E61FF7" w:rsidRPr="00D55DC6" w:rsidRDefault="00E61FF7" w:rsidP="00742A58">
            <w:pPr>
              <w:adjustRightInd w:val="0"/>
              <w:snapToGrid w:val="0"/>
              <w:spacing w:line="240" w:lineRule="atLeast"/>
              <w:jc w:val="both"/>
              <w:rPr>
                <w:rFonts w:ascii="標楷體" w:eastAsia="標楷體" w:hAnsi="標楷體"/>
                <w:b/>
              </w:rPr>
            </w:pPr>
            <w:r w:rsidRPr="00D55DC6">
              <w:rPr>
                <w:rFonts w:ascii="標楷體" w:eastAsia="標楷體" w:hAnsi="標楷體"/>
              </w:rPr>
              <w:t>3-3 人口、婚姻、家庭領域</w:t>
            </w:r>
          </w:p>
        </w:tc>
        <w:tc>
          <w:tcPr>
            <w:tcW w:w="3850" w:type="dxa"/>
            <w:gridSpan w:val="2"/>
            <w:vAlign w:val="center"/>
          </w:tcPr>
          <w:p w:rsidR="00E61FF7" w:rsidRPr="00D55DC6" w:rsidRDefault="00E61FF7" w:rsidP="00742A58">
            <w:pPr>
              <w:adjustRightInd w:val="0"/>
              <w:snapToGrid w:val="0"/>
              <w:spacing w:line="240" w:lineRule="atLeast"/>
              <w:jc w:val="both"/>
              <w:rPr>
                <w:rFonts w:ascii="標楷體" w:eastAsia="標楷體" w:hAnsi="標楷體"/>
                <w:b/>
              </w:rPr>
            </w:pPr>
          </w:p>
        </w:tc>
      </w:tr>
      <w:tr w:rsidR="001D0350" w:rsidRPr="00D55DC6" w:rsidTr="00742A58">
        <w:trPr>
          <w:trHeight w:val="369"/>
        </w:trPr>
        <w:tc>
          <w:tcPr>
            <w:tcW w:w="6873" w:type="dxa"/>
            <w:gridSpan w:val="13"/>
            <w:vAlign w:val="center"/>
          </w:tcPr>
          <w:p w:rsidR="00E61FF7" w:rsidRPr="00D55DC6" w:rsidRDefault="00E61FF7" w:rsidP="00742A58">
            <w:pPr>
              <w:adjustRightInd w:val="0"/>
              <w:snapToGrid w:val="0"/>
              <w:spacing w:line="240" w:lineRule="atLeast"/>
              <w:jc w:val="both"/>
              <w:rPr>
                <w:rFonts w:ascii="標楷體" w:eastAsia="標楷體" w:hAnsi="標楷體"/>
                <w:b/>
              </w:rPr>
            </w:pPr>
            <w:r w:rsidRPr="00D55DC6">
              <w:rPr>
                <w:rFonts w:ascii="標楷體" w:eastAsia="標楷體" w:hAnsi="標楷體"/>
              </w:rPr>
              <w:t>3-4 教育、文化、媒體領域</w:t>
            </w:r>
          </w:p>
        </w:tc>
        <w:tc>
          <w:tcPr>
            <w:tcW w:w="3850" w:type="dxa"/>
            <w:gridSpan w:val="2"/>
            <w:vAlign w:val="center"/>
          </w:tcPr>
          <w:p w:rsidR="00E61FF7" w:rsidRPr="00D55DC6" w:rsidRDefault="00E61FF7" w:rsidP="00742A58">
            <w:pPr>
              <w:adjustRightInd w:val="0"/>
              <w:snapToGrid w:val="0"/>
              <w:spacing w:line="240" w:lineRule="atLeast"/>
              <w:jc w:val="both"/>
              <w:rPr>
                <w:rFonts w:ascii="標楷體" w:eastAsia="標楷體" w:hAnsi="標楷體"/>
                <w:b/>
              </w:rPr>
            </w:pPr>
          </w:p>
        </w:tc>
      </w:tr>
      <w:tr w:rsidR="001D0350" w:rsidRPr="00D55DC6" w:rsidTr="00742A58">
        <w:trPr>
          <w:trHeight w:val="369"/>
        </w:trPr>
        <w:tc>
          <w:tcPr>
            <w:tcW w:w="6873" w:type="dxa"/>
            <w:gridSpan w:val="13"/>
            <w:vAlign w:val="center"/>
          </w:tcPr>
          <w:p w:rsidR="00E61FF7" w:rsidRPr="00D55DC6" w:rsidRDefault="00E61FF7" w:rsidP="00742A58">
            <w:pPr>
              <w:adjustRightInd w:val="0"/>
              <w:snapToGrid w:val="0"/>
              <w:spacing w:line="240" w:lineRule="atLeast"/>
              <w:jc w:val="both"/>
              <w:rPr>
                <w:rFonts w:ascii="標楷體" w:eastAsia="標楷體" w:hAnsi="標楷體"/>
                <w:b/>
              </w:rPr>
            </w:pPr>
            <w:r w:rsidRPr="00D55DC6">
              <w:rPr>
                <w:rFonts w:ascii="標楷體" w:eastAsia="標楷體" w:hAnsi="標楷體"/>
              </w:rPr>
              <w:t>3-5</w:t>
            </w:r>
            <w:r w:rsidRPr="00D55DC6">
              <w:rPr>
                <w:rFonts w:ascii="標楷體" w:eastAsia="標楷體" w:hAnsi="標楷體" w:hint="eastAsia"/>
              </w:rPr>
              <w:t xml:space="preserve"> </w:t>
            </w:r>
            <w:r w:rsidRPr="00D55DC6">
              <w:rPr>
                <w:rFonts w:ascii="標楷體" w:eastAsia="標楷體" w:hAnsi="標楷體"/>
              </w:rPr>
              <w:t>人身安全、司法領域</w:t>
            </w:r>
          </w:p>
        </w:tc>
        <w:tc>
          <w:tcPr>
            <w:tcW w:w="3850" w:type="dxa"/>
            <w:gridSpan w:val="2"/>
            <w:vAlign w:val="center"/>
          </w:tcPr>
          <w:p w:rsidR="00E61FF7" w:rsidRPr="00D55DC6" w:rsidRDefault="00E61FF7" w:rsidP="00742A58">
            <w:pPr>
              <w:adjustRightInd w:val="0"/>
              <w:snapToGrid w:val="0"/>
              <w:spacing w:line="240" w:lineRule="atLeast"/>
              <w:jc w:val="both"/>
              <w:rPr>
                <w:rFonts w:ascii="標楷體" w:eastAsia="標楷體" w:hAnsi="標楷體"/>
                <w:b/>
              </w:rPr>
            </w:pPr>
          </w:p>
        </w:tc>
      </w:tr>
      <w:tr w:rsidR="001D0350" w:rsidRPr="00D55DC6" w:rsidTr="00742A58">
        <w:trPr>
          <w:trHeight w:val="369"/>
        </w:trPr>
        <w:tc>
          <w:tcPr>
            <w:tcW w:w="6873" w:type="dxa"/>
            <w:gridSpan w:val="13"/>
            <w:vAlign w:val="center"/>
          </w:tcPr>
          <w:p w:rsidR="00E61FF7" w:rsidRPr="00D55DC6" w:rsidRDefault="00E61FF7" w:rsidP="00742A58">
            <w:pPr>
              <w:adjustRightInd w:val="0"/>
              <w:snapToGrid w:val="0"/>
              <w:spacing w:line="240" w:lineRule="atLeast"/>
              <w:jc w:val="both"/>
              <w:rPr>
                <w:rFonts w:ascii="標楷體" w:eastAsia="標楷體" w:hAnsi="標楷體"/>
                <w:b/>
              </w:rPr>
            </w:pPr>
            <w:r w:rsidRPr="00D55DC6">
              <w:rPr>
                <w:rFonts w:ascii="標楷體" w:eastAsia="標楷體" w:hAnsi="標楷體"/>
              </w:rPr>
              <w:t>3-6</w:t>
            </w:r>
            <w:r w:rsidRPr="00D55DC6">
              <w:rPr>
                <w:rFonts w:ascii="標楷體" w:eastAsia="標楷體" w:hAnsi="標楷體" w:hint="eastAsia"/>
              </w:rPr>
              <w:t xml:space="preserve"> </w:t>
            </w:r>
            <w:r w:rsidRPr="00D55DC6">
              <w:rPr>
                <w:rFonts w:ascii="標楷體" w:eastAsia="標楷體" w:hAnsi="標楷體"/>
              </w:rPr>
              <w:t>健康、醫療、照顧領域</w:t>
            </w:r>
          </w:p>
        </w:tc>
        <w:tc>
          <w:tcPr>
            <w:tcW w:w="3850" w:type="dxa"/>
            <w:gridSpan w:val="2"/>
            <w:vAlign w:val="center"/>
          </w:tcPr>
          <w:p w:rsidR="00E61FF7" w:rsidRPr="00D55DC6" w:rsidRDefault="00E61FF7" w:rsidP="00742A58">
            <w:pPr>
              <w:adjustRightInd w:val="0"/>
              <w:snapToGrid w:val="0"/>
              <w:spacing w:line="240" w:lineRule="atLeast"/>
              <w:jc w:val="both"/>
              <w:rPr>
                <w:rFonts w:ascii="標楷體" w:eastAsia="標楷體" w:hAnsi="標楷體"/>
                <w:b/>
              </w:rPr>
            </w:pPr>
          </w:p>
        </w:tc>
      </w:tr>
      <w:tr w:rsidR="001D0350" w:rsidRPr="00D55DC6" w:rsidTr="00742A58">
        <w:trPr>
          <w:trHeight w:val="369"/>
        </w:trPr>
        <w:tc>
          <w:tcPr>
            <w:tcW w:w="6873" w:type="dxa"/>
            <w:gridSpan w:val="13"/>
            <w:vAlign w:val="center"/>
          </w:tcPr>
          <w:p w:rsidR="00E61FF7" w:rsidRPr="00D55DC6" w:rsidRDefault="00E61FF7" w:rsidP="00742A58">
            <w:pPr>
              <w:adjustRightInd w:val="0"/>
              <w:snapToGrid w:val="0"/>
              <w:spacing w:line="240" w:lineRule="atLeast"/>
              <w:jc w:val="both"/>
              <w:rPr>
                <w:rFonts w:ascii="標楷體" w:eastAsia="標楷體" w:hAnsi="標楷體"/>
                <w:b/>
              </w:rPr>
            </w:pPr>
            <w:r w:rsidRPr="00D55DC6">
              <w:rPr>
                <w:rFonts w:ascii="標楷體" w:eastAsia="標楷體" w:hAnsi="標楷體"/>
              </w:rPr>
              <w:t>3-7</w:t>
            </w:r>
            <w:r w:rsidRPr="00D55DC6">
              <w:rPr>
                <w:rFonts w:ascii="標楷體" w:eastAsia="標楷體" w:hAnsi="標楷體" w:hint="eastAsia"/>
              </w:rPr>
              <w:t xml:space="preserve"> </w:t>
            </w:r>
            <w:r w:rsidRPr="00D55DC6">
              <w:rPr>
                <w:rFonts w:ascii="標楷體" w:eastAsia="標楷體" w:hAnsi="標楷體"/>
              </w:rPr>
              <w:t>環境、能源、科技領域</w:t>
            </w:r>
          </w:p>
        </w:tc>
        <w:tc>
          <w:tcPr>
            <w:tcW w:w="3850" w:type="dxa"/>
            <w:gridSpan w:val="2"/>
            <w:vAlign w:val="center"/>
          </w:tcPr>
          <w:p w:rsidR="00E61FF7" w:rsidRPr="00D55DC6" w:rsidRDefault="00E61FF7" w:rsidP="00742A58">
            <w:pPr>
              <w:adjustRightInd w:val="0"/>
              <w:snapToGrid w:val="0"/>
              <w:spacing w:line="240" w:lineRule="atLeast"/>
              <w:jc w:val="both"/>
              <w:rPr>
                <w:rFonts w:ascii="標楷體" w:eastAsia="標楷體" w:hAnsi="標楷體"/>
                <w:b/>
              </w:rPr>
            </w:pPr>
            <w:r w:rsidRPr="00D55DC6">
              <w:rPr>
                <w:rFonts w:ascii="標楷體" w:eastAsia="標楷體" w:hAnsi="標楷體" w:hint="eastAsia"/>
              </w:rPr>
              <w:t>V   觀光、休閒、公共建設領域</w:t>
            </w:r>
          </w:p>
        </w:tc>
      </w:tr>
      <w:tr w:rsidR="001D0350" w:rsidRPr="00D55DC6" w:rsidTr="00742A58">
        <w:trPr>
          <w:trHeight w:val="369"/>
        </w:trPr>
        <w:tc>
          <w:tcPr>
            <w:tcW w:w="6873" w:type="dxa"/>
            <w:gridSpan w:val="13"/>
            <w:tcBorders>
              <w:bottom w:val="thickThinSmallGap" w:sz="24" w:space="0" w:color="auto"/>
            </w:tcBorders>
            <w:vAlign w:val="center"/>
          </w:tcPr>
          <w:p w:rsidR="00E61FF7" w:rsidRPr="00D55DC6" w:rsidRDefault="00E61FF7" w:rsidP="00742A58">
            <w:pPr>
              <w:adjustRightInd w:val="0"/>
              <w:snapToGrid w:val="0"/>
              <w:spacing w:line="240" w:lineRule="atLeast"/>
              <w:jc w:val="both"/>
              <w:rPr>
                <w:rFonts w:ascii="標楷體" w:eastAsia="標楷體" w:hAnsi="標楷體"/>
              </w:rPr>
            </w:pPr>
            <w:r w:rsidRPr="00D55DC6">
              <w:rPr>
                <w:rFonts w:ascii="標楷體" w:eastAsia="標楷體" w:hAnsi="標楷體"/>
              </w:rPr>
              <w:t>3-8</w:t>
            </w:r>
            <w:r w:rsidRPr="00D55DC6">
              <w:rPr>
                <w:rFonts w:ascii="標楷體" w:eastAsia="標楷體" w:hAnsi="標楷體" w:hint="eastAsia"/>
              </w:rPr>
              <w:t xml:space="preserve"> </w:t>
            </w:r>
            <w:r w:rsidRPr="00D55DC6">
              <w:rPr>
                <w:rFonts w:ascii="標楷體" w:eastAsia="標楷體" w:hAnsi="標楷體"/>
              </w:rPr>
              <w:t>其他（勾選「其他」欄位者，請簡述計畫涉及領域）</w:t>
            </w:r>
          </w:p>
        </w:tc>
        <w:tc>
          <w:tcPr>
            <w:tcW w:w="3850" w:type="dxa"/>
            <w:gridSpan w:val="2"/>
            <w:tcBorders>
              <w:bottom w:val="thickThinSmallGap" w:sz="24" w:space="0" w:color="auto"/>
            </w:tcBorders>
            <w:vAlign w:val="center"/>
          </w:tcPr>
          <w:p w:rsidR="00E61FF7" w:rsidRPr="00D55DC6" w:rsidRDefault="00E61FF7" w:rsidP="00742A58">
            <w:pPr>
              <w:adjustRightInd w:val="0"/>
              <w:snapToGrid w:val="0"/>
              <w:spacing w:line="240" w:lineRule="atLeast"/>
              <w:jc w:val="both"/>
              <w:rPr>
                <w:rFonts w:ascii="標楷體" w:eastAsia="標楷體" w:hAnsi="標楷體"/>
                <w:b/>
              </w:rPr>
            </w:pPr>
          </w:p>
        </w:tc>
      </w:tr>
      <w:tr w:rsidR="001D0350" w:rsidRPr="00D55DC6" w:rsidTr="00742A58">
        <w:trPr>
          <w:trHeight w:val="480"/>
        </w:trPr>
        <w:tc>
          <w:tcPr>
            <w:tcW w:w="10723" w:type="dxa"/>
            <w:gridSpan w:val="15"/>
            <w:tcBorders>
              <w:top w:val="thickThinSmallGap" w:sz="24" w:space="0" w:color="auto"/>
            </w:tcBorders>
            <w:vAlign w:val="center"/>
          </w:tcPr>
          <w:p w:rsidR="00E61FF7" w:rsidRPr="00D55DC6" w:rsidRDefault="00E61FF7" w:rsidP="00742A58">
            <w:pPr>
              <w:adjustRightInd w:val="0"/>
              <w:snapToGrid w:val="0"/>
              <w:spacing w:line="360" w:lineRule="atLeast"/>
              <w:ind w:leftChars="-45" w:left="-108"/>
              <w:jc w:val="both"/>
              <w:rPr>
                <w:rFonts w:ascii="標楷體" w:eastAsia="標楷體" w:hAnsi="標楷體"/>
              </w:rPr>
            </w:pPr>
            <w:r w:rsidRPr="00D55DC6">
              <w:rPr>
                <w:rFonts w:ascii="標楷體" w:eastAsia="標楷體" w:hAnsi="標楷體"/>
                <w:b/>
              </w:rPr>
              <w:t>肆、問題與需求評估</w:t>
            </w:r>
          </w:p>
        </w:tc>
      </w:tr>
      <w:tr w:rsidR="001D0350" w:rsidRPr="00D55DC6" w:rsidTr="00742A58">
        <w:trPr>
          <w:trHeight w:val="302"/>
        </w:trPr>
        <w:tc>
          <w:tcPr>
            <w:tcW w:w="3468" w:type="dxa"/>
            <w:gridSpan w:val="5"/>
            <w:shd w:val="clear" w:color="auto" w:fill="auto"/>
            <w:vAlign w:val="center"/>
          </w:tcPr>
          <w:p w:rsidR="00E61FF7" w:rsidRPr="00D55DC6" w:rsidRDefault="00E61FF7" w:rsidP="00742A58">
            <w:pPr>
              <w:adjustRightInd w:val="0"/>
              <w:snapToGrid w:val="0"/>
              <w:spacing w:line="240" w:lineRule="atLeast"/>
              <w:ind w:leftChars="-15" w:left="346" w:hangingChars="159" w:hanging="382"/>
              <w:jc w:val="center"/>
              <w:rPr>
                <w:rFonts w:ascii="標楷體" w:eastAsia="標楷體" w:hAnsi="標楷體"/>
                <w:b/>
              </w:rPr>
            </w:pPr>
            <w:r w:rsidRPr="00D55DC6">
              <w:rPr>
                <w:rFonts w:ascii="標楷體" w:eastAsia="標楷體" w:hAnsi="標楷體"/>
                <w:b/>
                <w:bCs/>
              </w:rPr>
              <w:t>項　目</w:t>
            </w:r>
          </w:p>
        </w:tc>
        <w:tc>
          <w:tcPr>
            <w:tcW w:w="3411" w:type="dxa"/>
            <w:gridSpan w:val="9"/>
            <w:shd w:val="clear" w:color="auto" w:fill="auto"/>
            <w:vAlign w:val="center"/>
          </w:tcPr>
          <w:p w:rsidR="00E61FF7" w:rsidRPr="00D55DC6" w:rsidRDefault="00E61FF7" w:rsidP="00742A58">
            <w:pPr>
              <w:adjustRightInd w:val="0"/>
              <w:snapToGrid w:val="0"/>
              <w:spacing w:line="240" w:lineRule="atLeast"/>
              <w:ind w:leftChars="-44" w:left="72" w:rightChars="-45" w:right="-108" w:hangingChars="74" w:hanging="178"/>
              <w:jc w:val="center"/>
              <w:rPr>
                <w:rFonts w:ascii="標楷體" w:eastAsia="標楷體" w:hAnsi="標楷體"/>
              </w:rPr>
            </w:pPr>
            <w:r w:rsidRPr="00D55DC6">
              <w:rPr>
                <w:rFonts w:ascii="標楷體" w:eastAsia="標楷體" w:hAnsi="標楷體"/>
                <w:b/>
                <w:bCs/>
              </w:rPr>
              <w:t>說　明</w:t>
            </w:r>
          </w:p>
        </w:tc>
        <w:tc>
          <w:tcPr>
            <w:tcW w:w="3844" w:type="dxa"/>
            <w:shd w:val="clear" w:color="auto" w:fill="auto"/>
            <w:vAlign w:val="center"/>
          </w:tcPr>
          <w:p w:rsidR="00E61FF7" w:rsidRPr="00D55DC6" w:rsidRDefault="00E61FF7" w:rsidP="00742A58">
            <w:pPr>
              <w:adjustRightInd w:val="0"/>
              <w:snapToGrid w:val="0"/>
              <w:spacing w:line="240" w:lineRule="atLeast"/>
              <w:ind w:leftChars="-44" w:left="-106" w:rightChars="-45" w:right="-108"/>
              <w:jc w:val="center"/>
              <w:rPr>
                <w:rFonts w:ascii="標楷體" w:eastAsia="標楷體" w:hAnsi="標楷體"/>
              </w:rPr>
            </w:pPr>
            <w:r w:rsidRPr="00D55DC6">
              <w:rPr>
                <w:rFonts w:ascii="標楷體" w:eastAsia="標楷體" w:hAnsi="標楷體"/>
                <w:b/>
                <w:bCs/>
              </w:rPr>
              <w:t>備　註</w:t>
            </w:r>
          </w:p>
        </w:tc>
      </w:tr>
      <w:tr w:rsidR="001D0350" w:rsidRPr="00D55DC6" w:rsidTr="00742A58">
        <w:trPr>
          <w:trHeight w:val="302"/>
        </w:trPr>
        <w:tc>
          <w:tcPr>
            <w:tcW w:w="3468" w:type="dxa"/>
            <w:gridSpan w:val="5"/>
            <w:shd w:val="clear" w:color="auto" w:fill="auto"/>
            <w:vAlign w:val="center"/>
          </w:tcPr>
          <w:p w:rsidR="00E61FF7" w:rsidRPr="00D55DC6" w:rsidRDefault="00E61FF7" w:rsidP="00742A58">
            <w:pPr>
              <w:spacing w:before="60" w:after="60" w:line="300" w:lineRule="exact"/>
              <w:ind w:left="435" w:hangingChars="181" w:hanging="435"/>
              <w:jc w:val="both"/>
              <w:rPr>
                <w:rFonts w:ascii="標楷體" w:eastAsia="標楷體" w:hAnsi="標楷體"/>
                <w:b/>
              </w:rPr>
            </w:pPr>
            <w:r w:rsidRPr="00D55DC6">
              <w:rPr>
                <w:rFonts w:ascii="標楷體" w:eastAsia="標楷體" w:hAnsi="標楷體"/>
                <w:b/>
              </w:rPr>
              <w:t>4-1計畫之現況問題與需求概述</w:t>
            </w:r>
          </w:p>
        </w:tc>
        <w:tc>
          <w:tcPr>
            <w:tcW w:w="3411" w:type="dxa"/>
            <w:gridSpan w:val="9"/>
            <w:shd w:val="clear" w:color="auto" w:fill="auto"/>
            <w:vAlign w:val="center"/>
          </w:tcPr>
          <w:p w:rsidR="00E61FF7" w:rsidRPr="00D55DC6" w:rsidRDefault="00E61FF7" w:rsidP="00742A58">
            <w:pPr>
              <w:spacing w:line="320" w:lineRule="exact"/>
              <w:ind w:left="252" w:hangingChars="105" w:hanging="252"/>
              <w:jc w:val="both"/>
              <w:rPr>
                <w:rFonts w:ascii="標楷體" w:eastAsia="標楷體" w:hAnsi="標楷體"/>
              </w:rPr>
            </w:pPr>
            <w:r w:rsidRPr="00D55DC6">
              <w:rPr>
                <w:rFonts w:ascii="標楷體" w:eastAsia="標楷體" w:hAnsi="標楷體" w:hint="eastAsia"/>
              </w:rPr>
              <w:t>1.為延續「重要觀光景點建設中程計畫（101至</w:t>
            </w:r>
            <w:r w:rsidRPr="00D55DC6">
              <w:rPr>
                <w:rFonts w:ascii="標楷體" w:eastAsia="標楷體" w:hAnsi="標楷體"/>
              </w:rPr>
              <w:t>10</w:t>
            </w:r>
            <w:r w:rsidRPr="00D55DC6">
              <w:rPr>
                <w:rFonts w:ascii="標楷體" w:eastAsia="標楷體" w:hAnsi="標楷體" w:hint="eastAsia"/>
              </w:rPr>
              <w:t>4年）」建設成果，持續提升觀光景點旅遊服務設施品質，研擬「重要觀光景點建設中程計畫</w:t>
            </w:r>
            <w:r w:rsidRPr="00D55DC6">
              <w:rPr>
                <w:rFonts w:ascii="標楷體" w:eastAsia="標楷體" w:hAnsi="標楷體"/>
              </w:rPr>
              <w:t>(10</w:t>
            </w:r>
            <w:r w:rsidRPr="00D55DC6">
              <w:rPr>
                <w:rFonts w:ascii="標楷體" w:eastAsia="標楷體" w:hAnsi="標楷體" w:hint="eastAsia"/>
              </w:rPr>
              <w:t>5</w:t>
            </w:r>
            <w:r w:rsidRPr="00D55DC6">
              <w:rPr>
                <w:rFonts w:ascii="標楷體" w:eastAsia="標楷體" w:hAnsi="標楷體"/>
              </w:rPr>
              <w:t>-10</w:t>
            </w:r>
            <w:r w:rsidRPr="00D55DC6">
              <w:rPr>
                <w:rFonts w:ascii="標楷體" w:eastAsia="標楷體" w:hAnsi="標楷體" w:hint="eastAsia"/>
              </w:rPr>
              <w:t>8年</w:t>
            </w:r>
            <w:r w:rsidRPr="00D55DC6">
              <w:rPr>
                <w:rFonts w:ascii="標楷體" w:eastAsia="標楷體" w:hAnsi="標楷體"/>
              </w:rPr>
              <w:t>)</w:t>
            </w:r>
            <w:r w:rsidRPr="00D55DC6">
              <w:rPr>
                <w:rFonts w:ascii="標楷體" w:eastAsia="標楷體" w:hAnsi="標楷體" w:hint="eastAsia"/>
              </w:rPr>
              <w:t>」，逐步提升景點服務能量，積極整合零星景點為遊憩區型態景點，</w:t>
            </w:r>
            <w:r w:rsidRPr="00D55DC6">
              <w:rPr>
                <w:rFonts w:ascii="標楷體" w:eastAsia="標楷體" w:hAnsi="標楷體" w:hint="eastAsia"/>
              </w:rPr>
              <w:lastRenderedPageBreak/>
              <w:t>並建設具國際潛力之國內景點轉型成國際景點，有效營造優質友善旅遊環境，以吸引國際遊客參訪。</w:t>
            </w:r>
          </w:p>
          <w:p w:rsidR="00E61FF7" w:rsidRPr="00D55DC6" w:rsidRDefault="00E61FF7" w:rsidP="00742A58">
            <w:pPr>
              <w:spacing w:line="320" w:lineRule="exact"/>
              <w:ind w:left="252" w:hangingChars="105" w:hanging="252"/>
              <w:jc w:val="both"/>
              <w:rPr>
                <w:rFonts w:ascii="標楷體" w:eastAsia="標楷體" w:hAnsi="標楷體"/>
              </w:rPr>
            </w:pPr>
            <w:r w:rsidRPr="00D55DC6">
              <w:rPr>
                <w:rFonts w:ascii="標楷體" w:eastAsia="標楷體" w:hAnsi="標楷體" w:hint="eastAsia"/>
              </w:rPr>
              <w:t>2.</w:t>
            </w:r>
            <w:r w:rsidRPr="00D55DC6">
              <w:rPr>
                <w:rFonts w:ascii="標楷體" w:eastAsia="標楷體" w:hAnsi="標楷體"/>
              </w:rPr>
              <w:t>依交通部觀光局</w:t>
            </w:r>
            <w:r w:rsidRPr="00D55DC6">
              <w:rPr>
                <w:rFonts w:ascii="標楷體" w:eastAsia="標楷體" w:hAnsi="標楷體" w:hint="eastAsia"/>
              </w:rPr>
              <w:t>102</w:t>
            </w:r>
            <w:r w:rsidRPr="00D55DC6">
              <w:rPr>
                <w:rFonts w:ascii="標楷體" w:eastAsia="標楷體" w:hAnsi="標楷體"/>
              </w:rPr>
              <w:t>年國家風景區遊客調查報告，</w:t>
            </w:r>
            <w:r w:rsidRPr="00D55DC6">
              <w:rPr>
                <w:rFonts w:ascii="標楷體" w:eastAsia="標楷體" w:hAnsi="標楷體" w:hint="eastAsia"/>
              </w:rPr>
              <w:t>抽樣到訪風景區遊客之</w:t>
            </w:r>
            <w:r w:rsidRPr="00D55DC6">
              <w:rPr>
                <w:rFonts w:ascii="標楷體" w:eastAsia="標楷體" w:hAnsi="標楷體"/>
              </w:rPr>
              <w:t>男女比率為男性佔5</w:t>
            </w:r>
            <w:r w:rsidRPr="00D55DC6">
              <w:rPr>
                <w:rFonts w:ascii="標楷體" w:eastAsia="標楷體" w:hAnsi="標楷體" w:hint="eastAsia"/>
              </w:rPr>
              <w:t>0.7</w:t>
            </w:r>
            <w:r w:rsidRPr="00D55DC6">
              <w:rPr>
                <w:rFonts w:ascii="標楷體" w:eastAsia="標楷體" w:hAnsi="標楷體"/>
              </w:rPr>
              <w:t>%</w:t>
            </w:r>
            <w:r w:rsidRPr="00D55DC6">
              <w:rPr>
                <w:rFonts w:ascii="標楷體" w:eastAsia="標楷體" w:hAnsi="標楷體" w:hint="eastAsia"/>
              </w:rPr>
              <w:t>、</w:t>
            </w:r>
            <w:r w:rsidRPr="00D55DC6">
              <w:rPr>
                <w:rFonts w:ascii="標楷體" w:eastAsia="標楷體" w:hAnsi="標楷體"/>
              </w:rPr>
              <w:t>女性佔4</w:t>
            </w:r>
            <w:r w:rsidRPr="00D55DC6">
              <w:rPr>
                <w:rFonts w:ascii="標楷體" w:eastAsia="標楷體" w:hAnsi="標楷體" w:hint="eastAsia"/>
              </w:rPr>
              <w:t>9.3</w:t>
            </w:r>
            <w:r w:rsidRPr="00D55DC6">
              <w:rPr>
                <w:rFonts w:ascii="標楷體" w:eastAsia="標楷體" w:hAnsi="標楷體"/>
              </w:rPr>
              <w:t>%，性別差異</w:t>
            </w:r>
            <w:r w:rsidRPr="00D55DC6">
              <w:rPr>
                <w:rFonts w:ascii="標楷體" w:eastAsia="標楷體" w:hAnsi="標楷體" w:hint="eastAsia"/>
              </w:rPr>
              <w:t>雖</w:t>
            </w:r>
            <w:r w:rsidRPr="00D55DC6">
              <w:rPr>
                <w:rFonts w:ascii="標楷體" w:eastAsia="標楷體" w:hAnsi="標楷體"/>
              </w:rPr>
              <w:t>不明顯，惟規劃建設仍須考量</w:t>
            </w:r>
            <w:r w:rsidRPr="00D55DC6">
              <w:rPr>
                <w:rFonts w:ascii="標楷體" w:eastAsia="標楷體" w:hAnsi="標楷體" w:hint="eastAsia"/>
              </w:rPr>
              <w:t>女性、年長者和行動不便者</w:t>
            </w:r>
            <w:r w:rsidRPr="00D55DC6">
              <w:rPr>
                <w:rFonts w:ascii="標楷體" w:eastAsia="標楷體" w:hAnsi="標楷體"/>
              </w:rPr>
              <w:t>等不同族群之</w:t>
            </w:r>
            <w:r w:rsidRPr="00D55DC6">
              <w:rPr>
                <w:rFonts w:ascii="標楷體" w:eastAsia="標楷體" w:hAnsi="標楷體" w:hint="eastAsia"/>
              </w:rPr>
              <w:t>需求</w:t>
            </w:r>
            <w:r w:rsidRPr="00D55DC6">
              <w:rPr>
                <w:rFonts w:ascii="標楷體" w:eastAsia="標楷體" w:hAnsi="標楷體"/>
              </w:rPr>
              <w:t>。</w:t>
            </w:r>
          </w:p>
        </w:tc>
        <w:tc>
          <w:tcPr>
            <w:tcW w:w="3844" w:type="dxa"/>
            <w:vAlign w:val="center"/>
          </w:tcPr>
          <w:p w:rsidR="00E61FF7" w:rsidRPr="00D55DC6" w:rsidRDefault="00E61FF7" w:rsidP="00742A58">
            <w:pPr>
              <w:adjustRightInd w:val="0"/>
              <w:snapToGrid w:val="0"/>
              <w:spacing w:line="320" w:lineRule="exact"/>
              <w:ind w:leftChars="-20" w:left="-48" w:rightChars="-15" w:right="-36"/>
              <w:jc w:val="both"/>
              <w:rPr>
                <w:rFonts w:ascii="標楷體" w:eastAsia="標楷體" w:hAnsi="標楷體"/>
              </w:rPr>
            </w:pPr>
            <w:r w:rsidRPr="00D55DC6">
              <w:rPr>
                <w:rFonts w:ascii="標楷體" w:eastAsia="標楷體" w:hAnsi="標楷體"/>
              </w:rPr>
              <w:lastRenderedPageBreak/>
              <w:t>簡要說明計畫之現況問題與需求。</w:t>
            </w:r>
          </w:p>
        </w:tc>
      </w:tr>
      <w:tr w:rsidR="001D0350" w:rsidRPr="00D55DC6" w:rsidTr="00742A58">
        <w:trPr>
          <w:trHeight w:val="2511"/>
        </w:trPr>
        <w:tc>
          <w:tcPr>
            <w:tcW w:w="3468" w:type="dxa"/>
            <w:gridSpan w:val="5"/>
            <w:shd w:val="clear" w:color="auto" w:fill="auto"/>
            <w:vAlign w:val="center"/>
          </w:tcPr>
          <w:p w:rsidR="00E61FF7" w:rsidRPr="00D55DC6" w:rsidRDefault="00E61FF7" w:rsidP="00742A58">
            <w:pPr>
              <w:spacing w:before="60" w:after="60" w:line="300" w:lineRule="exact"/>
              <w:ind w:left="382" w:hangingChars="159" w:hanging="382"/>
              <w:jc w:val="both"/>
              <w:rPr>
                <w:rFonts w:ascii="標楷體" w:eastAsia="標楷體" w:hAnsi="標楷體"/>
                <w:b/>
              </w:rPr>
            </w:pPr>
            <w:r w:rsidRPr="00D55DC6">
              <w:rPr>
                <w:rFonts w:ascii="標楷體" w:eastAsia="標楷體" w:hAnsi="標楷體"/>
                <w:b/>
              </w:rPr>
              <w:lastRenderedPageBreak/>
              <w:t>4-2和本計畫相關之性別統計與性別</w:t>
            </w:r>
            <w:r w:rsidRPr="00D55DC6">
              <w:rPr>
                <w:rFonts w:ascii="標楷體" w:eastAsia="標楷體" w:hAnsi="標楷體" w:cs="Gautami"/>
                <w:b/>
                <w:bCs/>
              </w:rPr>
              <w:t>分析</w:t>
            </w:r>
          </w:p>
        </w:tc>
        <w:tc>
          <w:tcPr>
            <w:tcW w:w="3411" w:type="dxa"/>
            <w:gridSpan w:val="9"/>
            <w:shd w:val="clear" w:color="auto" w:fill="auto"/>
            <w:vAlign w:val="center"/>
          </w:tcPr>
          <w:p w:rsidR="00E61FF7" w:rsidRPr="00D55DC6" w:rsidRDefault="00E61FF7" w:rsidP="00742A58">
            <w:pPr>
              <w:spacing w:line="320" w:lineRule="exact"/>
              <w:jc w:val="both"/>
              <w:rPr>
                <w:rFonts w:ascii="標楷體" w:eastAsia="標楷體" w:hAnsi="標楷體"/>
              </w:rPr>
            </w:pPr>
            <w:r w:rsidRPr="00D55DC6">
              <w:rPr>
                <w:rFonts w:ascii="標楷體" w:eastAsia="標楷體" w:hAnsi="標楷體" w:hint="eastAsia"/>
              </w:rPr>
              <w:t>依交通部觀光局102年國家風景區遊客調查報告，抽樣到訪風景區遊客之男女比率為男性佔50.7%、女性佔49.3%，性別差異雖不明顯，惟規劃建設仍須考量女性、年長者和行動不便者等不同族群之需求。</w:t>
            </w:r>
          </w:p>
        </w:tc>
        <w:tc>
          <w:tcPr>
            <w:tcW w:w="3844" w:type="dxa"/>
            <w:vAlign w:val="center"/>
          </w:tcPr>
          <w:p w:rsidR="00E61FF7" w:rsidRPr="00D55DC6" w:rsidRDefault="00E61FF7" w:rsidP="00742A58">
            <w:pPr>
              <w:adjustRightInd w:val="0"/>
              <w:snapToGrid w:val="0"/>
              <w:spacing w:line="320" w:lineRule="exact"/>
              <w:ind w:leftChars="4" w:left="207" w:rightChars="-10" w:right="-24" w:hangingChars="82" w:hanging="197"/>
              <w:jc w:val="both"/>
              <w:rPr>
                <w:rFonts w:ascii="標楷體" w:eastAsia="標楷體" w:hAnsi="標楷體"/>
              </w:rPr>
            </w:pPr>
            <w:r w:rsidRPr="00D55DC6">
              <w:rPr>
                <w:rFonts w:ascii="標楷體" w:eastAsia="標楷體" w:hAnsi="標楷體"/>
              </w:rPr>
              <w:t>1.透過相關資料庫、圖書等各種途徑蒐集既有的性別統計與性別分析。</w:t>
            </w:r>
          </w:p>
          <w:p w:rsidR="00E61FF7" w:rsidRPr="00D55DC6" w:rsidRDefault="00E61FF7" w:rsidP="00742A58">
            <w:pPr>
              <w:adjustRightInd w:val="0"/>
              <w:snapToGrid w:val="0"/>
              <w:spacing w:line="320" w:lineRule="exact"/>
              <w:ind w:leftChars="4" w:left="207" w:rightChars="-10" w:right="-24" w:hangingChars="82" w:hanging="197"/>
              <w:jc w:val="both"/>
              <w:rPr>
                <w:rFonts w:ascii="標楷體" w:eastAsia="標楷體" w:hAnsi="標楷體"/>
              </w:rPr>
            </w:pPr>
            <w:r w:rsidRPr="00D55DC6">
              <w:rPr>
                <w:rFonts w:ascii="標楷體" w:eastAsia="標楷體" w:hAnsi="標楷體"/>
              </w:rPr>
              <w:t>2.性別統計與性別分析應儘量顧及不同性別、性傾向及性別認同者之年齡、族群、地區等面向。</w:t>
            </w:r>
          </w:p>
        </w:tc>
      </w:tr>
      <w:tr w:rsidR="001D0350" w:rsidRPr="00D55DC6" w:rsidTr="00742A58">
        <w:trPr>
          <w:trHeight w:val="1838"/>
        </w:trPr>
        <w:tc>
          <w:tcPr>
            <w:tcW w:w="3468" w:type="dxa"/>
            <w:gridSpan w:val="5"/>
            <w:shd w:val="clear" w:color="auto" w:fill="auto"/>
            <w:vAlign w:val="center"/>
          </w:tcPr>
          <w:p w:rsidR="00E61FF7" w:rsidRPr="00D55DC6" w:rsidRDefault="00E61FF7" w:rsidP="00742A58">
            <w:pPr>
              <w:spacing w:before="60" w:after="60" w:line="300" w:lineRule="exact"/>
              <w:ind w:left="382" w:hangingChars="159" w:hanging="382"/>
              <w:jc w:val="both"/>
              <w:rPr>
                <w:rFonts w:ascii="標楷體" w:eastAsia="標楷體" w:hAnsi="標楷體"/>
                <w:b/>
              </w:rPr>
            </w:pPr>
            <w:r w:rsidRPr="00D55DC6">
              <w:rPr>
                <w:rFonts w:ascii="標楷體" w:eastAsia="標楷體" w:hAnsi="標楷體"/>
                <w:b/>
              </w:rPr>
              <w:t>4-3建議未來需要強化與本計畫相關的性別統計與性別分析及其方法</w:t>
            </w:r>
          </w:p>
        </w:tc>
        <w:tc>
          <w:tcPr>
            <w:tcW w:w="3411" w:type="dxa"/>
            <w:gridSpan w:val="9"/>
            <w:shd w:val="clear" w:color="auto" w:fill="auto"/>
            <w:vAlign w:val="center"/>
          </w:tcPr>
          <w:p w:rsidR="00E61FF7" w:rsidRPr="00D55DC6" w:rsidRDefault="00E61FF7" w:rsidP="00742A58">
            <w:pPr>
              <w:adjustRightInd w:val="0"/>
              <w:snapToGrid w:val="0"/>
              <w:spacing w:line="320" w:lineRule="exact"/>
              <w:ind w:leftChars="-14" w:left="-34" w:rightChars="-45" w:right="-108"/>
              <w:jc w:val="both"/>
              <w:rPr>
                <w:rFonts w:ascii="標楷體" w:eastAsia="標楷體" w:hAnsi="標楷體"/>
              </w:rPr>
            </w:pPr>
            <w:r w:rsidRPr="00D55DC6">
              <w:rPr>
                <w:rFonts w:ascii="標楷體" w:eastAsia="標楷體" w:hAnsi="標楷體" w:hint="eastAsia"/>
              </w:rPr>
              <w:t>後續相關觀光資源規劃調查研究如涉及遊客需求或感受，將納入性別變項，並針對調查結果有差異部分進行性別分析，以滿足不同性別旅客之遊憩設施需求。</w:t>
            </w:r>
          </w:p>
        </w:tc>
        <w:tc>
          <w:tcPr>
            <w:tcW w:w="3844" w:type="dxa"/>
            <w:vAlign w:val="center"/>
          </w:tcPr>
          <w:p w:rsidR="00E61FF7" w:rsidRPr="00D55DC6" w:rsidRDefault="00E61FF7" w:rsidP="00742A58">
            <w:pPr>
              <w:adjustRightInd w:val="0"/>
              <w:snapToGrid w:val="0"/>
              <w:spacing w:line="320" w:lineRule="exact"/>
              <w:ind w:leftChars="-18" w:left="-43"/>
              <w:jc w:val="both"/>
              <w:rPr>
                <w:rFonts w:ascii="標楷體" w:eastAsia="標楷體" w:hAnsi="標楷體"/>
              </w:rPr>
            </w:pPr>
            <w:r w:rsidRPr="00D55DC6">
              <w:rPr>
                <w:rFonts w:ascii="標楷體" w:eastAsia="標楷體" w:hAnsi="標楷體"/>
              </w:rPr>
              <w:t>說明需要強化的性別統計類別及方法，包括由業務單位釐清性別統計的定義及範圍，向主計單位建議分析項目或編列經費委託調查，並提出確保執行的方法。</w:t>
            </w:r>
          </w:p>
        </w:tc>
      </w:tr>
      <w:tr w:rsidR="001D0350" w:rsidRPr="00D55DC6" w:rsidTr="00742A58">
        <w:trPr>
          <w:trHeight w:val="2828"/>
        </w:trPr>
        <w:tc>
          <w:tcPr>
            <w:tcW w:w="3468" w:type="dxa"/>
            <w:gridSpan w:val="5"/>
            <w:vAlign w:val="center"/>
          </w:tcPr>
          <w:p w:rsidR="00E61FF7" w:rsidRPr="00D55DC6" w:rsidRDefault="00E61FF7" w:rsidP="00742A58">
            <w:pPr>
              <w:spacing w:before="60" w:after="60" w:line="300" w:lineRule="exact"/>
              <w:ind w:left="435" w:hangingChars="181" w:hanging="435"/>
              <w:jc w:val="both"/>
              <w:rPr>
                <w:rFonts w:ascii="標楷體" w:eastAsia="標楷體" w:hAnsi="標楷體"/>
              </w:rPr>
            </w:pPr>
            <w:r w:rsidRPr="00D55DC6">
              <w:rPr>
                <w:rFonts w:ascii="標楷體" w:eastAsia="標楷體" w:hAnsi="標楷體"/>
                <w:b/>
              </w:rPr>
              <w:t>伍、計畫目標概述（併同敘明性別目標）</w:t>
            </w:r>
          </w:p>
        </w:tc>
        <w:tc>
          <w:tcPr>
            <w:tcW w:w="7255" w:type="dxa"/>
            <w:gridSpan w:val="10"/>
            <w:vAlign w:val="center"/>
          </w:tcPr>
          <w:p w:rsidR="00E61FF7" w:rsidRPr="00D55DC6" w:rsidRDefault="00E61FF7" w:rsidP="00742A58">
            <w:pPr>
              <w:spacing w:line="320" w:lineRule="exact"/>
              <w:ind w:left="252" w:hangingChars="105" w:hanging="252"/>
              <w:jc w:val="both"/>
              <w:rPr>
                <w:rFonts w:ascii="標楷體" w:eastAsia="標楷體" w:hAnsi="標楷體"/>
              </w:rPr>
            </w:pPr>
            <w:r w:rsidRPr="00D55DC6">
              <w:rPr>
                <w:rFonts w:ascii="標楷體" w:eastAsia="標楷體" w:hAnsi="標楷體" w:hint="eastAsia"/>
              </w:rPr>
              <w:t>1.延續前期中長程計畫建設成果，強化既有重要觀光景點設施維護及經營管理作為，持續提升旅遊品質並滿足分眾客群旅憩需求。</w:t>
            </w:r>
          </w:p>
          <w:p w:rsidR="00E61FF7" w:rsidRPr="00D55DC6" w:rsidRDefault="00E61FF7" w:rsidP="00742A58">
            <w:pPr>
              <w:spacing w:line="320" w:lineRule="exact"/>
              <w:ind w:left="252" w:hangingChars="105" w:hanging="252"/>
              <w:jc w:val="both"/>
              <w:rPr>
                <w:rFonts w:ascii="標楷體" w:eastAsia="標楷體" w:hAnsi="標楷體"/>
              </w:rPr>
            </w:pPr>
            <w:r w:rsidRPr="00D55DC6">
              <w:rPr>
                <w:rFonts w:ascii="標楷體" w:eastAsia="標楷體" w:hAnsi="標楷體" w:hint="eastAsia"/>
              </w:rPr>
              <w:t>2.</w:t>
            </w:r>
            <w:r w:rsidRPr="00D55DC6">
              <w:rPr>
                <w:rFonts w:ascii="標楷體" w:eastAsia="標楷體" w:hAnsi="標楷體"/>
              </w:rPr>
              <w:t>逐步提升景點服務能量，積極整合零星景點為遊憩區型態景點，並建設具國際潛力之國內景點轉型成國際景點，以吸引國際遊客參訪。</w:t>
            </w:r>
          </w:p>
          <w:p w:rsidR="00E61FF7" w:rsidRPr="00D55DC6" w:rsidRDefault="00E61FF7" w:rsidP="00742A58">
            <w:pPr>
              <w:spacing w:line="320" w:lineRule="exact"/>
              <w:ind w:left="252" w:hangingChars="105" w:hanging="252"/>
              <w:jc w:val="both"/>
              <w:rPr>
                <w:rFonts w:ascii="標楷體" w:eastAsia="標楷體" w:hAnsi="標楷體"/>
              </w:rPr>
            </w:pPr>
            <w:r w:rsidRPr="00D55DC6">
              <w:rPr>
                <w:rFonts w:ascii="標楷體" w:eastAsia="標楷體" w:hAnsi="標楷體" w:hint="eastAsia"/>
              </w:rPr>
              <w:t>3.</w:t>
            </w:r>
            <w:r w:rsidRPr="00D55DC6">
              <w:rPr>
                <w:rFonts w:ascii="標楷體" w:eastAsia="標楷體" w:hAnsi="標楷體"/>
              </w:rPr>
              <w:t>採用</w:t>
            </w:r>
            <w:r w:rsidRPr="00D55DC6">
              <w:rPr>
                <w:rFonts w:ascii="標楷體" w:eastAsia="標楷體" w:hAnsi="標楷體" w:hint="eastAsia"/>
              </w:rPr>
              <w:t>集中資源、</w:t>
            </w:r>
            <w:r w:rsidRPr="00D55DC6">
              <w:rPr>
                <w:rFonts w:ascii="標楷體" w:eastAsia="標楷體" w:hAnsi="標楷體"/>
              </w:rPr>
              <w:t>景點分級觀念，</w:t>
            </w:r>
            <w:r w:rsidRPr="00D55DC6">
              <w:rPr>
                <w:rFonts w:ascii="標楷體" w:eastAsia="標楷體" w:hAnsi="標楷體" w:hint="eastAsia"/>
              </w:rPr>
              <w:t>建設</w:t>
            </w:r>
            <w:r w:rsidRPr="00D55DC6">
              <w:rPr>
                <w:rFonts w:ascii="標楷體" w:eastAsia="標楷體" w:hAnsi="標楷體"/>
              </w:rPr>
              <w:t>具代表性國際景點</w:t>
            </w:r>
            <w:r w:rsidRPr="00D55DC6">
              <w:rPr>
                <w:rFonts w:ascii="標楷體" w:eastAsia="標楷體" w:hAnsi="標楷體" w:hint="eastAsia"/>
              </w:rPr>
              <w:t>，提升</w:t>
            </w:r>
            <w:r w:rsidRPr="00D55DC6">
              <w:rPr>
                <w:rFonts w:ascii="標楷體" w:eastAsia="標楷體" w:hAnsi="標楷體"/>
              </w:rPr>
              <w:t>國家風景區遊客人數</w:t>
            </w:r>
            <w:r w:rsidRPr="00D55DC6">
              <w:rPr>
                <w:rFonts w:ascii="標楷體" w:eastAsia="標楷體" w:hAnsi="標楷體" w:hint="eastAsia"/>
              </w:rPr>
              <w:t>。</w:t>
            </w:r>
          </w:p>
          <w:p w:rsidR="00E61FF7" w:rsidRPr="00D55DC6" w:rsidRDefault="00E61FF7" w:rsidP="00742A58">
            <w:pPr>
              <w:spacing w:line="320" w:lineRule="exact"/>
              <w:ind w:left="252" w:hangingChars="105" w:hanging="252"/>
              <w:jc w:val="both"/>
              <w:rPr>
                <w:rFonts w:ascii="標楷體" w:eastAsia="標楷體" w:hAnsi="標楷體"/>
              </w:rPr>
            </w:pPr>
            <w:r w:rsidRPr="00D55DC6">
              <w:rPr>
                <w:rFonts w:ascii="標楷體" w:eastAsia="標楷體" w:hAnsi="標楷體" w:hint="eastAsia"/>
              </w:rPr>
              <w:t>4.性別友善目標為「性別友善設施完成數」105-108年合計68處。</w:t>
            </w:r>
          </w:p>
        </w:tc>
      </w:tr>
      <w:tr w:rsidR="001D0350" w:rsidRPr="00D55DC6" w:rsidTr="00742A58">
        <w:trPr>
          <w:trHeight w:val="2259"/>
        </w:trPr>
        <w:tc>
          <w:tcPr>
            <w:tcW w:w="3468" w:type="dxa"/>
            <w:gridSpan w:val="5"/>
            <w:vAlign w:val="center"/>
          </w:tcPr>
          <w:p w:rsidR="00E61FF7" w:rsidRPr="00D55DC6" w:rsidRDefault="00E61FF7" w:rsidP="00742A58">
            <w:pPr>
              <w:spacing w:before="60" w:after="60" w:line="300" w:lineRule="exact"/>
              <w:ind w:left="507" w:hangingChars="211" w:hanging="507"/>
              <w:jc w:val="both"/>
              <w:rPr>
                <w:rFonts w:ascii="標楷體" w:eastAsia="標楷體" w:hAnsi="標楷體"/>
                <w:b/>
              </w:rPr>
            </w:pPr>
            <w:r w:rsidRPr="00D55DC6">
              <w:rPr>
                <w:rFonts w:ascii="標楷體" w:eastAsia="標楷體" w:hAnsi="標楷體"/>
                <w:b/>
              </w:rPr>
              <w:t>陸、性別參與情形或改善方法（計畫於研擬、決策、發展、執行之過程中，不同性別者之參與機制，如計畫相關組織或機制，性別比例是否達1/3）</w:t>
            </w:r>
          </w:p>
        </w:tc>
        <w:tc>
          <w:tcPr>
            <w:tcW w:w="7255" w:type="dxa"/>
            <w:gridSpan w:val="10"/>
            <w:vAlign w:val="center"/>
          </w:tcPr>
          <w:p w:rsidR="00E61FF7" w:rsidRPr="00D55DC6" w:rsidRDefault="00E61FF7" w:rsidP="00742A58">
            <w:pPr>
              <w:spacing w:line="320" w:lineRule="exact"/>
              <w:ind w:left="252" w:hangingChars="105" w:hanging="252"/>
              <w:jc w:val="both"/>
              <w:rPr>
                <w:rFonts w:ascii="標楷體" w:eastAsia="標楷體" w:hAnsi="標楷體"/>
              </w:rPr>
            </w:pPr>
            <w:r w:rsidRPr="00D55DC6">
              <w:rPr>
                <w:rFonts w:ascii="標楷體" w:eastAsia="標楷體" w:hAnsi="標楷體" w:hint="eastAsia"/>
              </w:rPr>
              <w:t>1.本計畫主要辦理遊憩區環境設施改善，倘未來</w:t>
            </w:r>
            <w:r w:rsidRPr="00D55DC6">
              <w:rPr>
                <w:rFonts w:ascii="標楷體" w:eastAsia="標楷體" w:hAnsi="標楷體"/>
              </w:rPr>
              <w:t>涉及公共空間規</w:t>
            </w:r>
            <w:r w:rsidRPr="00D55DC6">
              <w:rPr>
                <w:rFonts w:ascii="標楷體" w:eastAsia="標楷體" w:hAnsi="標楷體" w:hint="eastAsia"/>
              </w:rPr>
              <w:t>劃</w:t>
            </w:r>
            <w:r w:rsidRPr="00D55DC6">
              <w:rPr>
                <w:rFonts w:ascii="標楷體" w:eastAsia="標楷體" w:hAnsi="標楷體"/>
              </w:rPr>
              <w:t>時，</w:t>
            </w:r>
            <w:r w:rsidRPr="00D55DC6">
              <w:rPr>
                <w:rFonts w:ascii="標楷體" w:eastAsia="標楷體" w:hAnsi="標楷體" w:hint="eastAsia"/>
              </w:rPr>
              <w:t>以及各項設施之興設皆於規劃設計及施工等不同階段，將性別因素納入考量，</w:t>
            </w:r>
            <w:r w:rsidRPr="00D55DC6">
              <w:rPr>
                <w:rFonts w:ascii="標楷體" w:eastAsia="標楷體" w:hAnsi="標楷體"/>
              </w:rPr>
              <w:t>如廁所整修</w:t>
            </w:r>
            <w:r w:rsidRPr="00D55DC6">
              <w:rPr>
                <w:rFonts w:ascii="標楷體" w:eastAsia="標楷體" w:hAnsi="標楷體" w:hint="eastAsia"/>
              </w:rPr>
              <w:t>、夜間照明</w:t>
            </w:r>
            <w:r w:rsidRPr="00D55DC6">
              <w:rPr>
                <w:rFonts w:ascii="標楷體" w:eastAsia="標楷體" w:hAnsi="標楷體"/>
              </w:rPr>
              <w:t>等會將性別問題列入考量，以落實性</w:t>
            </w:r>
            <w:r w:rsidRPr="00D55DC6">
              <w:rPr>
                <w:rFonts w:ascii="標楷體" w:eastAsia="標楷體" w:hAnsi="標楷體" w:hint="eastAsia"/>
              </w:rPr>
              <w:t>別</w:t>
            </w:r>
            <w:r w:rsidRPr="00D55DC6">
              <w:rPr>
                <w:rFonts w:ascii="標楷體" w:eastAsia="標楷體" w:hAnsi="標楷體"/>
              </w:rPr>
              <w:t>平等及建立婦</w:t>
            </w:r>
            <w:r w:rsidRPr="00D55DC6">
              <w:rPr>
                <w:rFonts w:ascii="標楷體" w:eastAsia="標楷體" w:hAnsi="標楷體" w:hint="eastAsia"/>
              </w:rPr>
              <w:t>幼</w:t>
            </w:r>
            <w:r w:rsidRPr="00D55DC6">
              <w:rPr>
                <w:rFonts w:ascii="標楷體" w:eastAsia="標楷體" w:hAnsi="標楷體"/>
              </w:rPr>
              <w:t>親善環境。</w:t>
            </w:r>
          </w:p>
          <w:p w:rsidR="00E61FF7" w:rsidRPr="00D55DC6" w:rsidRDefault="00E61FF7" w:rsidP="00742A58">
            <w:pPr>
              <w:spacing w:line="320" w:lineRule="exact"/>
              <w:ind w:left="252" w:hangingChars="105" w:hanging="252"/>
              <w:jc w:val="both"/>
              <w:rPr>
                <w:rFonts w:ascii="標楷體" w:eastAsia="標楷體" w:hAnsi="標楷體"/>
              </w:rPr>
            </w:pPr>
            <w:r w:rsidRPr="00D55DC6">
              <w:rPr>
                <w:rFonts w:ascii="標楷體" w:eastAsia="標楷體" w:hAnsi="標楷體" w:hint="eastAsia"/>
              </w:rPr>
              <w:t>2.本計畫係由副首長召開研商會議確認，決策過程參與者共42位，其中25位男性、17位女性，女性性別參與比例為40%，超過1/3。</w:t>
            </w:r>
          </w:p>
        </w:tc>
      </w:tr>
      <w:tr w:rsidR="001D0350" w:rsidRPr="00D55DC6" w:rsidTr="00742A58">
        <w:trPr>
          <w:trHeight w:val="748"/>
        </w:trPr>
        <w:tc>
          <w:tcPr>
            <w:tcW w:w="10723" w:type="dxa"/>
            <w:gridSpan w:val="15"/>
            <w:tcBorders>
              <w:top w:val="thickThinSmallGap" w:sz="24" w:space="0" w:color="auto"/>
            </w:tcBorders>
            <w:vAlign w:val="center"/>
          </w:tcPr>
          <w:p w:rsidR="00E61FF7" w:rsidRPr="00D55DC6" w:rsidRDefault="00E61FF7" w:rsidP="00742A58">
            <w:pPr>
              <w:adjustRightInd w:val="0"/>
              <w:snapToGrid w:val="0"/>
              <w:spacing w:line="240" w:lineRule="atLeast"/>
              <w:ind w:left="-111" w:rightChars="-45" w:right="-108"/>
              <w:rPr>
                <w:rFonts w:ascii="標楷體" w:eastAsia="標楷體" w:hAnsi="標楷體"/>
                <w:b/>
              </w:rPr>
            </w:pPr>
            <w:r w:rsidRPr="00D55DC6">
              <w:rPr>
                <w:rFonts w:ascii="標楷體" w:eastAsia="標楷體" w:hAnsi="標楷體"/>
                <w:b/>
              </w:rPr>
              <w:lastRenderedPageBreak/>
              <w:t>柒、受益對象</w:t>
            </w:r>
          </w:p>
          <w:p w:rsidR="00E61FF7" w:rsidRPr="00D55DC6" w:rsidRDefault="00E61FF7" w:rsidP="00742A58">
            <w:pPr>
              <w:adjustRightInd w:val="0"/>
              <w:snapToGrid w:val="0"/>
              <w:spacing w:line="240" w:lineRule="atLeast"/>
              <w:ind w:left="57" w:rightChars="7" w:right="17" w:hanging="165"/>
              <w:jc w:val="both"/>
              <w:rPr>
                <w:rFonts w:ascii="標楷體" w:eastAsia="標楷體" w:hAnsi="標楷體"/>
              </w:rPr>
            </w:pPr>
            <w:r w:rsidRPr="00D55DC6">
              <w:rPr>
                <w:rFonts w:ascii="標楷體" w:eastAsia="標楷體" w:hAnsi="標楷體"/>
              </w:rPr>
              <w:t>1.若7-1至7-3任一指標評定「是」者，應繼續填列「捌、評估內容」8-1至8-9及「第二部分－程序參與」；如7-1至7-3皆評定為「否」者，則免填「捌、評估內容」8-1至8-9，逕填寫「第二部分－程序參與」，惟若經程序參與後，</w:t>
            </w:r>
            <w:r w:rsidRPr="00D55DC6" w:rsidDel="0092397F">
              <w:rPr>
                <w:rFonts w:ascii="標楷體" w:eastAsia="標楷體" w:hAnsi="標楷體"/>
              </w:rPr>
              <w:t xml:space="preserve"> </w:t>
            </w:r>
            <w:r w:rsidRPr="00D55DC6">
              <w:rPr>
                <w:rFonts w:ascii="標楷體" w:eastAsia="標楷體" w:hAnsi="標楷體" w:hint="eastAsia"/>
              </w:rPr>
              <w:t>10</w:t>
            </w:r>
            <w:r w:rsidRPr="00D55DC6">
              <w:rPr>
                <w:rFonts w:ascii="標楷體" w:eastAsia="標楷體" w:hAnsi="標楷體"/>
              </w:rPr>
              <w:t>-5「計畫與性別關</w:t>
            </w:r>
            <w:r w:rsidRPr="00D55DC6">
              <w:rPr>
                <w:rFonts w:ascii="標楷體" w:eastAsia="標楷體" w:hAnsi="標楷體" w:hint="eastAsia"/>
              </w:rPr>
              <w:t>聯</w:t>
            </w:r>
            <w:r w:rsidRPr="00D55DC6">
              <w:rPr>
                <w:rFonts w:ascii="標楷體" w:eastAsia="標楷體" w:hAnsi="標楷體"/>
              </w:rPr>
              <w:t>之程度」評定為「</w:t>
            </w:r>
            <w:r w:rsidRPr="00D55DC6">
              <w:rPr>
                <w:rFonts w:ascii="標楷體" w:eastAsia="標楷體" w:hAnsi="標楷體" w:hint="eastAsia"/>
              </w:rPr>
              <w:t>有</w:t>
            </w:r>
            <w:r w:rsidRPr="00D55DC6">
              <w:rPr>
                <w:rFonts w:ascii="標楷體" w:eastAsia="標楷體" w:hAnsi="標楷體"/>
              </w:rPr>
              <w:t>關」者，則需</w:t>
            </w:r>
            <w:r w:rsidRPr="00D55DC6">
              <w:rPr>
                <w:rFonts w:ascii="標楷體" w:eastAsia="標楷體" w:hAnsi="標楷體" w:hint="eastAsia"/>
              </w:rPr>
              <w:t>修正第一部分「柒、受益對象」7-1至7-3，並</w:t>
            </w:r>
            <w:r w:rsidRPr="00D55DC6">
              <w:rPr>
                <w:rFonts w:ascii="標楷體" w:eastAsia="標楷體" w:hAnsi="標楷體"/>
              </w:rPr>
              <w:t>補填列「捌、評估內容」8-1至8-9。</w:t>
            </w:r>
          </w:p>
          <w:p w:rsidR="00E61FF7" w:rsidRPr="00D55DC6" w:rsidRDefault="00E61FF7" w:rsidP="00742A58">
            <w:pPr>
              <w:adjustRightInd w:val="0"/>
              <w:snapToGrid w:val="0"/>
              <w:spacing w:line="240" w:lineRule="atLeast"/>
              <w:ind w:left="57" w:rightChars="7" w:right="17" w:hanging="165"/>
              <w:rPr>
                <w:rFonts w:ascii="標楷體" w:eastAsia="標楷體" w:hAnsi="標楷體"/>
                <w:b/>
              </w:rPr>
            </w:pPr>
            <w:r w:rsidRPr="00D55DC6">
              <w:rPr>
                <w:rFonts w:ascii="標楷體" w:eastAsia="標楷體" w:hAnsi="標楷體"/>
              </w:rPr>
              <w:t>2.本項不論評定結果為「是」或「否」，皆需填寫評定原因</w:t>
            </w:r>
            <w:r w:rsidRPr="00D55DC6">
              <w:rPr>
                <w:rFonts w:ascii="標楷體" w:eastAsia="標楷體" w:hAnsi="標楷體" w:hint="eastAsia"/>
              </w:rPr>
              <w:t>，應有量化或質化說明，不得僅列示「無涉性別」、「與性別無關」或「性別一律平等」</w:t>
            </w:r>
            <w:r w:rsidRPr="00D55DC6">
              <w:rPr>
                <w:rFonts w:ascii="標楷體" w:eastAsia="標楷體" w:hAnsi="標楷體"/>
              </w:rPr>
              <w:t>。</w:t>
            </w:r>
          </w:p>
        </w:tc>
      </w:tr>
      <w:tr w:rsidR="001D0350" w:rsidRPr="00D55DC6" w:rsidTr="00742A58">
        <w:trPr>
          <w:trHeight w:val="313"/>
        </w:trPr>
        <w:tc>
          <w:tcPr>
            <w:tcW w:w="2631" w:type="dxa"/>
            <w:gridSpan w:val="2"/>
            <w:vMerge w:val="restart"/>
            <w:vAlign w:val="center"/>
          </w:tcPr>
          <w:p w:rsidR="00E61FF7" w:rsidRPr="00D55DC6" w:rsidRDefault="00E61FF7" w:rsidP="00742A58">
            <w:pPr>
              <w:adjustRightInd w:val="0"/>
              <w:snapToGrid w:val="0"/>
              <w:spacing w:line="260" w:lineRule="exact"/>
              <w:jc w:val="center"/>
              <w:rPr>
                <w:rFonts w:ascii="標楷體" w:eastAsia="標楷體" w:hAnsi="標楷體"/>
                <w:b/>
                <w:bCs/>
              </w:rPr>
            </w:pPr>
            <w:r w:rsidRPr="00D55DC6">
              <w:rPr>
                <w:rFonts w:ascii="標楷體" w:eastAsia="標楷體" w:hAnsi="標楷體"/>
                <w:b/>
                <w:bCs/>
              </w:rPr>
              <w:t>項　目</w:t>
            </w:r>
          </w:p>
        </w:tc>
        <w:tc>
          <w:tcPr>
            <w:tcW w:w="1270" w:type="dxa"/>
            <w:gridSpan w:val="6"/>
            <w:vAlign w:val="center"/>
          </w:tcPr>
          <w:p w:rsidR="00E61FF7" w:rsidRPr="00D55DC6" w:rsidRDefault="00E61FF7" w:rsidP="00742A58">
            <w:pPr>
              <w:adjustRightInd w:val="0"/>
              <w:snapToGrid w:val="0"/>
              <w:spacing w:line="260" w:lineRule="exact"/>
              <w:ind w:leftChars="-32" w:left="390" w:right="-114" w:hangingChars="212" w:hanging="467"/>
              <w:jc w:val="center"/>
              <w:rPr>
                <w:rFonts w:ascii="標楷體" w:eastAsia="標楷體" w:hAnsi="標楷體"/>
                <w:b/>
                <w:bCs/>
                <w:sz w:val="22"/>
              </w:rPr>
            </w:pPr>
            <w:r w:rsidRPr="00D55DC6">
              <w:rPr>
                <w:rFonts w:ascii="標楷體" w:eastAsia="標楷體" w:hAnsi="標楷體"/>
                <w:b/>
                <w:bCs/>
                <w:sz w:val="22"/>
              </w:rPr>
              <w:t>評定結果</w:t>
            </w:r>
          </w:p>
          <w:p w:rsidR="00E61FF7" w:rsidRPr="00D55DC6" w:rsidRDefault="00E61FF7" w:rsidP="00742A58">
            <w:pPr>
              <w:adjustRightInd w:val="0"/>
              <w:snapToGrid w:val="0"/>
              <w:spacing w:line="260" w:lineRule="exact"/>
              <w:ind w:leftChars="-32" w:left="389" w:right="-114" w:hangingChars="212" w:hanging="466"/>
              <w:jc w:val="center"/>
              <w:rPr>
                <w:rFonts w:ascii="標楷體" w:eastAsia="標楷體" w:hAnsi="標楷體"/>
                <w:bCs/>
                <w:sz w:val="22"/>
              </w:rPr>
            </w:pPr>
            <w:r w:rsidRPr="00D55DC6">
              <w:rPr>
                <w:rFonts w:ascii="標楷體" w:eastAsia="標楷體" w:hAnsi="標楷體"/>
                <w:bCs/>
                <w:sz w:val="22"/>
              </w:rPr>
              <w:t>(請勾選)</w:t>
            </w:r>
          </w:p>
        </w:tc>
        <w:tc>
          <w:tcPr>
            <w:tcW w:w="2929" w:type="dxa"/>
            <w:gridSpan w:val="4"/>
            <w:vMerge w:val="restart"/>
            <w:vAlign w:val="center"/>
          </w:tcPr>
          <w:p w:rsidR="00E61FF7" w:rsidRPr="00D55DC6" w:rsidRDefault="00E61FF7" w:rsidP="00742A58">
            <w:pPr>
              <w:spacing w:line="260" w:lineRule="exact"/>
              <w:ind w:left="252" w:hangingChars="105" w:hanging="252"/>
              <w:jc w:val="center"/>
              <w:rPr>
                <w:rFonts w:ascii="標楷體" w:eastAsia="標楷體" w:hAnsi="標楷體"/>
                <w:b/>
              </w:rPr>
            </w:pPr>
            <w:r w:rsidRPr="00D55DC6">
              <w:rPr>
                <w:rFonts w:ascii="標楷體" w:eastAsia="標楷體" w:hAnsi="標楷體"/>
                <w:b/>
              </w:rPr>
              <w:t>評定原因</w:t>
            </w:r>
          </w:p>
        </w:tc>
        <w:tc>
          <w:tcPr>
            <w:tcW w:w="3893" w:type="dxa"/>
            <w:gridSpan w:val="3"/>
            <w:vMerge w:val="restart"/>
            <w:vAlign w:val="center"/>
          </w:tcPr>
          <w:p w:rsidR="00E61FF7" w:rsidRPr="00D55DC6" w:rsidRDefault="00E61FF7" w:rsidP="00742A58">
            <w:pPr>
              <w:adjustRightInd w:val="0"/>
              <w:snapToGrid w:val="0"/>
              <w:spacing w:line="260" w:lineRule="exact"/>
              <w:jc w:val="center"/>
              <w:rPr>
                <w:rFonts w:ascii="標楷體" w:eastAsia="標楷體" w:hAnsi="標楷體"/>
                <w:b/>
                <w:bCs/>
              </w:rPr>
            </w:pPr>
            <w:r w:rsidRPr="00D55DC6">
              <w:rPr>
                <w:rFonts w:ascii="標楷體" w:eastAsia="標楷體" w:hAnsi="標楷體"/>
                <w:b/>
                <w:bCs/>
              </w:rPr>
              <w:t>備　註</w:t>
            </w:r>
          </w:p>
        </w:tc>
      </w:tr>
      <w:tr w:rsidR="001D0350" w:rsidRPr="00D55DC6" w:rsidTr="00742A58">
        <w:trPr>
          <w:trHeight w:val="312"/>
        </w:trPr>
        <w:tc>
          <w:tcPr>
            <w:tcW w:w="2631" w:type="dxa"/>
            <w:gridSpan w:val="2"/>
            <w:vMerge/>
            <w:vAlign w:val="center"/>
          </w:tcPr>
          <w:p w:rsidR="00E61FF7" w:rsidRPr="00D55DC6" w:rsidRDefault="00E61FF7" w:rsidP="00742A58">
            <w:pPr>
              <w:adjustRightInd w:val="0"/>
              <w:snapToGrid w:val="0"/>
              <w:spacing w:line="260" w:lineRule="exact"/>
              <w:ind w:left="432" w:hangingChars="180" w:hanging="432"/>
              <w:jc w:val="center"/>
              <w:rPr>
                <w:rFonts w:ascii="標楷體" w:eastAsia="標楷體" w:hAnsi="標楷體"/>
                <w:b/>
              </w:rPr>
            </w:pPr>
          </w:p>
        </w:tc>
        <w:tc>
          <w:tcPr>
            <w:tcW w:w="617" w:type="dxa"/>
            <w:gridSpan w:val="2"/>
            <w:vAlign w:val="center"/>
          </w:tcPr>
          <w:p w:rsidR="00E61FF7" w:rsidRPr="00D55DC6" w:rsidRDefault="00E61FF7" w:rsidP="00742A58">
            <w:pPr>
              <w:adjustRightInd w:val="0"/>
              <w:snapToGrid w:val="0"/>
              <w:spacing w:line="260" w:lineRule="exact"/>
              <w:ind w:left="432" w:hangingChars="180" w:hanging="432"/>
              <w:jc w:val="center"/>
              <w:rPr>
                <w:rFonts w:ascii="標楷體" w:eastAsia="標楷體" w:hAnsi="標楷體"/>
                <w:b/>
                <w:bCs/>
              </w:rPr>
            </w:pPr>
            <w:r w:rsidRPr="00D55DC6">
              <w:rPr>
                <w:rFonts w:ascii="標楷體" w:eastAsia="標楷體" w:hAnsi="標楷體"/>
                <w:b/>
                <w:bCs/>
              </w:rPr>
              <w:t>是</w:t>
            </w:r>
          </w:p>
        </w:tc>
        <w:tc>
          <w:tcPr>
            <w:tcW w:w="653" w:type="dxa"/>
            <w:gridSpan w:val="4"/>
            <w:vAlign w:val="center"/>
          </w:tcPr>
          <w:p w:rsidR="00E61FF7" w:rsidRPr="00D55DC6" w:rsidRDefault="00E61FF7" w:rsidP="00742A58">
            <w:pPr>
              <w:adjustRightInd w:val="0"/>
              <w:snapToGrid w:val="0"/>
              <w:spacing w:line="260" w:lineRule="exact"/>
              <w:ind w:left="432" w:hangingChars="180" w:hanging="432"/>
              <w:jc w:val="center"/>
              <w:rPr>
                <w:rFonts w:ascii="標楷體" w:eastAsia="標楷體" w:hAnsi="標楷體"/>
                <w:b/>
                <w:bCs/>
              </w:rPr>
            </w:pPr>
            <w:r w:rsidRPr="00D55DC6">
              <w:rPr>
                <w:rFonts w:ascii="標楷體" w:eastAsia="標楷體" w:hAnsi="標楷體"/>
                <w:b/>
                <w:bCs/>
              </w:rPr>
              <w:t>否</w:t>
            </w:r>
          </w:p>
        </w:tc>
        <w:tc>
          <w:tcPr>
            <w:tcW w:w="2929" w:type="dxa"/>
            <w:gridSpan w:val="4"/>
            <w:vMerge/>
            <w:vAlign w:val="center"/>
          </w:tcPr>
          <w:p w:rsidR="00E61FF7" w:rsidRPr="00D55DC6" w:rsidRDefault="00E61FF7" w:rsidP="00742A58">
            <w:pPr>
              <w:adjustRightInd w:val="0"/>
              <w:snapToGrid w:val="0"/>
              <w:spacing w:line="260" w:lineRule="exact"/>
              <w:ind w:left="432" w:hangingChars="180" w:hanging="432"/>
              <w:jc w:val="both"/>
              <w:rPr>
                <w:rFonts w:ascii="標楷體" w:eastAsia="標楷體" w:hAnsi="標楷體"/>
                <w:b/>
              </w:rPr>
            </w:pPr>
          </w:p>
        </w:tc>
        <w:tc>
          <w:tcPr>
            <w:tcW w:w="3893" w:type="dxa"/>
            <w:gridSpan w:val="3"/>
            <w:vMerge/>
            <w:vAlign w:val="center"/>
          </w:tcPr>
          <w:p w:rsidR="00E61FF7" w:rsidRPr="00D55DC6" w:rsidRDefault="00E61FF7" w:rsidP="00742A58">
            <w:pPr>
              <w:spacing w:line="260" w:lineRule="exact"/>
              <w:ind w:left="252" w:hangingChars="105" w:hanging="252"/>
              <w:jc w:val="both"/>
              <w:rPr>
                <w:rFonts w:ascii="標楷體" w:eastAsia="標楷體" w:hAnsi="標楷體"/>
                <w:b/>
              </w:rPr>
            </w:pPr>
          </w:p>
        </w:tc>
      </w:tr>
      <w:tr w:rsidR="001D0350" w:rsidRPr="00D55DC6" w:rsidTr="00742A58">
        <w:trPr>
          <w:trHeight w:val="1111"/>
        </w:trPr>
        <w:tc>
          <w:tcPr>
            <w:tcW w:w="2631" w:type="dxa"/>
            <w:gridSpan w:val="2"/>
            <w:vAlign w:val="center"/>
          </w:tcPr>
          <w:p w:rsidR="00E61FF7" w:rsidRPr="00D55DC6" w:rsidRDefault="00E61FF7" w:rsidP="00742A58">
            <w:pPr>
              <w:spacing w:before="60" w:after="60" w:line="300" w:lineRule="exact"/>
              <w:ind w:left="452" w:hangingChars="188" w:hanging="452"/>
              <w:jc w:val="both"/>
              <w:rPr>
                <w:rFonts w:ascii="標楷體" w:eastAsia="標楷體" w:hAnsi="標楷體" w:cs="Gautami"/>
                <w:b/>
              </w:rPr>
            </w:pPr>
            <w:r w:rsidRPr="00D55DC6">
              <w:rPr>
                <w:rFonts w:ascii="標楷體" w:eastAsia="標楷體" w:hAnsi="標楷體" w:cs="Gautami"/>
                <w:b/>
              </w:rPr>
              <w:t>7-</w:t>
            </w:r>
            <w:r w:rsidRPr="00D55DC6">
              <w:rPr>
                <w:rFonts w:ascii="標楷體" w:eastAsia="標楷體" w:hAnsi="標楷體" w:cs="Gautami" w:hint="eastAsia"/>
                <w:b/>
              </w:rPr>
              <w:t xml:space="preserve">1 </w:t>
            </w:r>
            <w:r w:rsidRPr="00D55DC6">
              <w:rPr>
                <w:rFonts w:ascii="標楷體" w:eastAsia="標楷體" w:hAnsi="標楷體" w:cs="Gautami"/>
                <w:b/>
              </w:rPr>
              <w:t>以特定性別、性傾向或性別認同者為受益對象</w:t>
            </w:r>
          </w:p>
        </w:tc>
        <w:tc>
          <w:tcPr>
            <w:tcW w:w="617" w:type="dxa"/>
            <w:gridSpan w:val="2"/>
            <w:vAlign w:val="center"/>
          </w:tcPr>
          <w:p w:rsidR="00E61FF7" w:rsidRPr="00D55DC6" w:rsidRDefault="00E61FF7" w:rsidP="00742A58">
            <w:pPr>
              <w:spacing w:line="240" w:lineRule="exact"/>
              <w:jc w:val="both"/>
              <w:rPr>
                <w:rFonts w:ascii="標楷體" w:eastAsia="標楷體" w:hAnsi="標楷體" w:cs="Gautami"/>
                <w:sz w:val="22"/>
              </w:rPr>
            </w:pPr>
          </w:p>
        </w:tc>
        <w:tc>
          <w:tcPr>
            <w:tcW w:w="653" w:type="dxa"/>
            <w:gridSpan w:val="4"/>
            <w:vAlign w:val="center"/>
          </w:tcPr>
          <w:p w:rsidR="00E61FF7" w:rsidRPr="00D55DC6" w:rsidRDefault="00E61FF7" w:rsidP="00742A58">
            <w:pPr>
              <w:adjustRightInd w:val="0"/>
              <w:snapToGrid w:val="0"/>
              <w:jc w:val="center"/>
              <w:rPr>
                <w:rFonts w:ascii="標楷體" w:eastAsia="標楷體" w:hAnsi="標楷體"/>
                <w:b/>
                <w:bCs/>
              </w:rPr>
            </w:pPr>
            <w:r w:rsidRPr="00D55DC6">
              <w:rPr>
                <w:rFonts w:ascii="標楷體" w:eastAsia="標楷體" w:hAnsi="標楷體" w:hint="eastAsia"/>
                <w:b/>
                <w:bCs/>
              </w:rPr>
              <w:t>ˇ</w:t>
            </w:r>
          </w:p>
        </w:tc>
        <w:tc>
          <w:tcPr>
            <w:tcW w:w="2929" w:type="dxa"/>
            <w:gridSpan w:val="4"/>
          </w:tcPr>
          <w:p w:rsidR="00E61FF7" w:rsidRPr="00D55DC6" w:rsidRDefault="00E61FF7" w:rsidP="00742A58">
            <w:pPr>
              <w:spacing w:before="60" w:after="60" w:line="300" w:lineRule="exact"/>
              <w:jc w:val="both"/>
              <w:rPr>
                <w:rFonts w:ascii="標楷體" w:eastAsia="標楷體" w:hAnsi="標楷體"/>
              </w:rPr>
            </w:pPr>
            <w:r w:rsidRPr="00D55DC6">
              <w:rPr>
                <w:rFonts w:ascii="標楷體" w:eastAsia="標楷體" w:hAnsi="標楷體" w:hint="eastAsia"/>
              </w:rPr>
              <w:t>受益對象為所有參訪遊客，無特定性別、性傾向或性別認同者。</w:t>
            </w:r>
          </w:p>
        </w:tc>
        <w:tc>
          <w:tcPr>
            <w:tcW w:w="3893" w:type="dxa"/>
            <w:gridSpan w:val="3"/>
            <w:shd w:val="clear" w:color="auto" w:fill="auto"/>
            <w:vAlign w:val="center"/>
          </w:tcPr>
          <w:p w:rsidR="00E61FF7" w:rsidRPr="00D55DC6" w:rsidRDefault="00E61FF7" w:rsidP="00742A58">
            <w:pPr>
              <w:adjustRightInd w:val="0"/>
              <w:snapToGrid w:val="0"/>
              <w:spacing w:line="240" w:lineRule="atLeast"/>
              <w:ind w:leftChars="-8" w:left="-9" w:hangingChars="4" w:hanging="10"/>
              <w:jc w:val="both"/>
              <w:rPr>
                <w:rFonts w:ascii="標楷體" w:eastAsia="標楷體" w:hAnsi="標楷體"/>
              </w:rPr>
            </w:pPr>
            <w:r w:rsidRPr="00D55DC6">
              <w:rPr>
                <w:rFonts w:ascii="標楷體" w:eastAsia="標楷體" w:hAnsi="標楷體"/>
              </w:rPr>
              <w:t>如受益對象以男性或女性為主，或以同性戀、異性戀或雙性戀為主，或個人自認屬於男性或女性者，請評定為「是」。</w:t>
            </w:r>
          </w:p>
        </w:tc>
      </w:tr>
      <w:tr w:rsidR="001D0350" w:rsidRPr="00D55DC6" w:rsidTr="00742A58">
        <w:trPr>
          <w:trHeight w:val="1910"/>
        </w:trPr>
        <w:tc>
          <w:tcPr>
            <w:tcW w:w="2631" w:type="dxa"/>
            <w:gridSpan w:val="2"/>
            <w:vAlign w:val="center"/>
          </w:tcPr>
          <w:p w:rsidR="00E61FF7" w:rsidRPr="00D55DC6" w:rsidRDefault="00E61FF7" w:rsidP="00742A58">
            <w:pPr>
              <w:spacing w:before="60" w:after="60" w:line="300" w:lineRule="exact"/>
              <w:ind w:left="452" w:hangingChars="188" w:hanging="452"/>
              <w:jc w:val="both"/>
              <w:rPr>
                <w:rFonts w:ascii="標楷體" w:eastAsia="標楷體" w:hAnsi="標楷體" w:cs="Gautami"/>
                <w:b/>
              </w:rPr>
            </w:pPr>
            <w:r w:rsidRPr="00D55DC6">
              <w:rPr>
                <w:rFonts w:ascii="標楷體" w:eastAsia="標楷體" w:hAnsi="標楷體" w:cs="Gautami"/>
                <w:b/>
              </w:rPr>
              <w:t>7-2受</w:t>
            </w:r>
            <w:r w:rsidRPr="00D55DC6">
              <w:rPr>
                <w:rFonts w:ascii="標楷體" w:eastAsia="標楷體" w:hAnsi="標楷體" w:cs="Gautami"/>
                <w:b/>
                <w:bCs/>
              </w:rPr>
              <w:t>益對象無區別，</w:t>
            </w:r>
            <w:r w:rsidRPr="00D55DC6">
              <w:rPr>
                <w:rFonts w:ascii="標楷體" w:eastAsia="標楷體" w:hAnsi="標楷體"/>
                <w:b/>
              </w:rPr>
              <w:t>但計畫內容</w:t>
            </w:r>
            <w:r w:rsidRPr="00D55DC6">
              <w:rPr>
                <w:rFonts w:ascii="標楷體" w:eastAsia="標楷體" w:hAnsi="標楷體" w:cs="Gautami"/>
                <w:b/>
                <w:bCs/>
              </w:rPr>
              <w:t>涉及一般</w:t>
            </w:r>
            <w:r w:rsidRPr="00D55DC6">
              <w:rPr>
                <w:rFonts w:ascii="標楷體" w:eastAsia="標楷體" w:hAnsi="標楷體" w:cs="Gautami"/>
                <w:b/>
              </w:rPr>
              <w:t>社會</w:t>
            </w:r>
            <w:r w:rsidRPr="00D55DC6">
              <w:rPr>
                <w:rFonts w:ascii="標楷體" w:eastAsia="標楷體" w:hAnsi="標楷體" w:cs="Gautami"/>
                <w:b/>
                <w:bCs/>
              </w:rPr>
              <w:t>認知既存的性別偏見，或統計資料顯示性別比例差距過大者</w:t>
            </w:r>
          </w:p>
        </w:tc>
        <w:tc>
          <w:tcPr>
            <w:tcW w:w="617" w:type="dxa"/>
            <w:gridSpan w:val="2"/>
            <w:vAlign w:val="center"/>
          </w:tcPr>
          <w:p w:rsidR="00E61FF7" w:rsidRPr="00D55DC6" w:rsidRDefault="00E61FF7" w:rsidP="00742A58">
            <w:pPr>
              <w:adjustRightInd w:val="0"/>
              <w:snapToGrid w:val="0"/>
              <w:jc w:val="center"/>
              <w:rPr>
                <w:rFonts w:ascii="標楷體" w:eastAsia="標楷體" w:hAnsi="標楷體" w:cs="Gautami"/>
                <w:b/>
                <w:bCs/>
              </w:rPr>
            </w:pPr>
          </w:p>
          <w:p w:rsidR="00E61FF7" w:rsidRPr="00D55DC6" w:rsidRDefault="00E61FF7" w:rsidP="00742A58">
            <w:pPr>
              <w:adjustRightInd w:val="0"/>
              <w:snapToGrid w:val="0"/>
              <w:jc w:val="center"/>
              <w:rPr>
                <w:rFonts w:ascii="標楷體" w:eastAsia="標楷體" w:hAnsi="標楷體" w:cs="Gautami"/>
                <w:b/>
                <w:bCs/>
              </w:rPr>
            </w:pPr>
          </w:p>
          <w:p w:rsidR="00E61FF7" w:rsidRPr="00D55DC6" w:rsidRDefault="00E61FF7" w:rsidP="00742A58">
            <w:pPr>
              <w:spacing w:line="240" w:lineRule="exact"/>
              <w:jc w:val="both"/>
              <w:rPr>
                <w:rFonts w:ascii="標楷體" w:eastAsia="標楷體" w:hAnsi="標楷體" w:cs="Gautami"/>
                <w:b/>
                <w:bCs/>
              </w:rPr>
            </w:pPr>
          </w:p>
        </w:tc>
        <w:tc>
          <w:tcPr>
            <w:tcW w:w="653" w:type="dxa"/>
            <w:gridSpan w:val="4"/>
            <w:vAlign w:val="center"/>
          </w:tcPr>
          <w:p w:rsidR="00E61FF7" w:rsidRPr="00D55DC6" w:rsidRDefault="00E61FF7" w:rsidP="00742A58">
            <w:pPr>
              <w:adjustRightInd w:val="0"/>
              <w:snapToGrid w:val="0"/>
              <w:jc w:val="center"/>
              <w:rPr>
                <w:rFonts w:ascii="標楷體" w:eastAsia="標楷體" w:hAnsi="標楷體"/>
                <w:b/>
                <w:bCs/>
              </w:rPr>
            </w:pPr>
            <w:r w:rsidRPr="00D55DC6">
              <w:rPr>
                <w:rFonts w:ascii="標楷體" w:eastAsia="標楷體" w:hAnsi="標楷體" w:hint="eastAsia"/>
                <w:b/>
                <w:bCs/>
              </w:rPr>
              <w:t>ˇ</w:t>
            </w:r>
          </w:p>
        </w:tc>
        <w:tc>
          <w:tcPr>
            <w:tcW w:w="2929" w:type="dxa"/>
            <w:gridSpan w:val="4"/>
          </w:tcPr>
          <w:p w:rsidR="00E61FF7" w:rsidRPr="00D55DC6" w:rsidRDefault="00E61FF7" w:rsidP="00742A58">
            <w:pPr>
              <w:spacing w:before="60" w:after="60" w:line="300" w:lineRule="exact"/>
              <w:jc w:val="both"/>
              <w:rPr>
                <w:rFonts w:ascii="標楷體" w:eastAsia="標楷體" w:hAnsi="標楷體"/>
              </w:rPr>
            </w:pPr>
            <w:r w:rsidRPr="00D55DC6">
              <w:rPr>
                <w:rFonts w:ascii="標楷體" w:eastAsia="標楷體" w:hAnsi="標楷體" w:hint="eastAsia"/>
              </w:rPr>
              <w:t>受益對象未限於特定性別人口群。</w:t>
            </w:r>
          </w:p>
        </w:tc>
        <w:tc>
          <w:tcPr>
            <w:tcW w:w="3893" w:type="dxa"/>
            <w:gridSpan w:val="3"/>
            <w:shd w:val="clear" w:color="auto" w:fill="auto"/>
            <w:vAlign w:val="center"/>
          </w:tcPr>
          <w:p w:rsidR="00E61FF7" w:rsidRPr="00D55DC6" w:rsidRDefault="00E61FF7" w:rsidP="00742A58">
            <w:pPr>
              <w:adjustRightInd w:val="0"/>
              <w:snapToGrid w:val="0"/>
              <w:spacing w:line="240" w:lineRule="atLeast"/>
              <w:ind w:leftChars="-8" w:left="-9" w:hangingChars="4" w:hanging="10"/>
              <w:jc w:val="both"/>
              <w:rPr>
                <w:rFonts w:ascii="標楷體" w:eastAsia="標楷體" w:hAnsi="標楷體"/>
              </w:rPr>
            </w:pPr>
            <w:r w:rsidRPr="00D55DC6">
              <w:rPr>
                <w:rFonts w:ascii="標楷體" w:eastAsia="標楷體" w:hAnsi="標楷體"/>
              </w:rPr>
              <w:t>如受益對象雖未限於特定性別人口群，但計畫內容涉及性別偏見、性別比例差距或隔離等</w:t>
            </w:r>
            <w:r w:rsidRPr="00D55DC6">
              <w:rPr>
                <w:rFonts w:ascii="標楷體" w:eastAsia="標楷體" w:hAnsi="標楷體" w:hint="eastAsia"/>
              </w:rPr>
              <w:t>之</w:t>
            </w:r>
            <w:r w:rsidRPr="00D55DC6">
              <w:rPr>
                <w:rFonts w:ascii="標楷體" w:eastAsia="標楷體" w:hAnsi="標楷體"/>
              </w:rPr>
              <w:t>可能性者，請評定為「是」。</w:t>
            </w:r>
          </w:p>
        </w:tc>
      </w:tr>
      <w:tr w:rsidR="001D0350" w:rsidRPr="00D55DC6" w:rsidTr="00742A58">
        <w:trPr>
          <w:trHeight w:val="1846"/>
        </w:trPr>
        <w:tc>
          <w:tcPr>
            <w:tcW w:w="2631" w:type="dxa"/>
            <w:gridSpan w:val="2"/>
            <w:tcBorders>
              <w:bottom w:val="thickThinSmallGap" w:sz="24" w:space="0" w:color="auto"/>
            </w:tcBorders>
            <w:vAlign w:val="center"/>
          </w:tcPr>
          <w:p w:rsidR="00E61FF7" w:rsidRPr="00D55DC6" w:rsidRDefault="00E61FF7" w:rsidP="00742A58">
            <w:pPr>
              <w:spacing w:before="60" w:after="60" w:line="300" w:lineRule="exact"/>
              <w:ind w:left="452" w:hangingChars="188" w:hanging="452"/>
              <w:jc w:val="both"/>
              <w:rPr>
                <w:rFonts w:ascii="標楷體" w:eastAsia="標楷體" w:hAnsi="標楷體" w:cs="Gautami"/>
                <w:b/>
              </w:rPr>
            </w:pPr>
            <w:r w:rsidRPr="00D55DC6">
              <w:rPr>
                <w:rFonts w:ascii="標楷體" w:eastAsia="標楷體" w:hAnsi="標楷體" w:cs="Gautami"/>
                <w:b/>
              </w:rPr>
              <w:t xml:space="preserve">7-3 </w:t>
            </w:r>
            <w:r w:rsidRPr="00D55DC6">
              <w:rPr>
                <w:rFonts w:ascii="標楷體" w:eastAsia="標楷體" w:hAnsi="標楷體" w:cs="Gautami"/>
                <w:b/>
                <w:bCs/>
              </w:rPr>
              <w:t>公共建設之空間規劃與</w:t>
            </w:r>
            <w:r w:rsidRPr="00D55DC6">
              <w:rPr>
                <w:rFonts w:ascii="標楷體" w:eastAsia="標楷體" w:hAnsi="標楷體"/>
                <w:b/>
              </w:rPr>
              <w:t>工程設計</w:t>
            </w:r>
            <w:r w:rsidRPr="00D55DC6">
              <w:rPr>
                <w:rFonts w:ascii="標楷體" w:eastAsia="標楷體" w:hAnsi="標楷體" w:cs="Gautami"/>
                <w:b/>
                <w:bCs/>
              </w:rPr>
              <w:t>涉及對不同性別、性傾向或性別認同者權益相關者</w:t>
            </w:r>
          </w:p>
        </w:tc>
        <w:tc>
          <w:tcPr>
            <w:tcW w:w="617" w:type="dxa"/>
            <w:gridSpan w:val="2"/>
            <w:tcBorders>
              <w:bottom w:val="thickThinSmallGap" w:sz="24" w:space="0" w:color="auto"/>
            </w:tcBorders>
            <w:vAlign w:val="center"/>
          </w:tcPr>
          <w:p w:rsidR="00E61FF7" w:rsidRPr="00D55DC6" w:rsidRDefault="00E61FF7" w:rsidP="00742A58">
            <w:pPr>
              <w:spacing w:line="240" w:lineRule="exact"/>
              <w:jc w:val="both"/>
              <w:rPr>
                <w:rFonts w:ascii="標楷體" w:eastAsia="標楷體" w:hAnsi="標楷體" w:cs="Gautami"/>
                <w:sz w:val="22"/>
              </w:rPr>
            </w:pPr>
          </w:p>
          <w:p w:rsidR="00E61FF7" w:rsidRPr="00D55DC6" w:rsidRDefault="00E61FF7" w:rsidP="00742A58">
            <w:pPr>
              <w:spacing w:line="240" w:lineRule="exact"/>
              <w:jc w:val="both"/>
              <w:rPr>
                <w:rFonts w:ascii="標楷體" w:eastAsia="標楷體" w:hAnsi="標楷體" w:cs="Gautami"/>
                <w:sz w:val="22"/>
              </w:rPr>
            </w:pPr>
            <w:r w:rsidRPr="00D55DC6">
              <w:rPr>
                <w:rFonts w:ascii="標楷體" w:eastAsia="標楷體" w:hAnsi="標楷體" w:hint="eastAsia"/>
                <w:b/>
                <w:bCs/>
              </w:rPr>
              <w:t>ˇ</w:t>
            </w:r>
          </w:p>
          <w:p w:rsidR="00E61FF7" w:rsidRPr="00D55DC6" w:rsidRDefault="00E61FF7" w:rsidP="00742A58">
            <w:pPr>
              <w:spacing w:line="240" w:lineRule="exact"/>
              <w:jc w:val="both"/>
              <w:rPr>
                <w:rFonts w:ascii="標楷體" w:eastAsia="標楷體" w:hAnsi="標楷體" w:cs="Gautami"/>
                <w:sz w:val="22"/>
              </w:rPr>
            </w:pPr>
          </w:p>
        </w:tc>
        <w:tc>
          <w:tcPr>
            <w:tcW w:w="653" w:type="dxa"/>
            <w:gridSpan w:val="4"/>
            <w:tcBorders>
              <w:bottom w:val="thickThinSmallGap" w:sz="24" w:space="0" w:color="auto"/>
            </w:tcBorders>
            <w:vAlign w:val="center"/>
          </w:tcPr>
          <w:p w:rsidR="00E61FF7" w:rsidRPr="00D55DC6" w:rsidRDefault="00E61FF7" w:rsidP="00742A58">
            <w:pPr>
              <w:adjustRightInd w:val="0"/>
              <w:snapToGrid w:val="0"/>
              <w:jc w:val="center"/>
              <w:rPr>
                <w:rFonts w:ascii="標楷體" w:eastAsia="標楷體" w:hAnsi="標楷體"/>
                <w:b/>
                <w:bCs/>
              </w:rPr>
            </w:pPr>
          </w:p>
        </w:tc>
        <w:tc>
          <w:tcPr>
            <w:tcW w:w="2929" w:type="dxa"/>
            <w:gridSpan w:val="4"/>
            <w:tcBorders>
              <w:bottom w:val="thickThinSmallGap" w:sz="24" w:space="0" w:color="auto"/>
            </w:tcBorders>
          </w:tcPr>
          <w:p w:rsidR="00E61FF7" w:rsidRPr="00D55DC6" w:rsidRDefault="00E61FF7" w:rsidP="00742A58">
            <w:pPr>
              <w:spacing w:before="60" w:after="60" w:line="300" w:lineRule="exact"/>
              <w:jc w:val="both"/>
              <w:rPr>
                <w:rFonts w:ascii="標楷體" w:eastAsia="標楷體" w:hAnsi="標楷體"/>
              </w:rPr>
            </w:pPr>
            <w:r w:rsidRPr="00D55DC6">
              <w:rPr>
                <w:rFonts w:ascii="標楷體" w:eastAsia="標楷體" w:hAnsi="標楷體" w:hint="eastAsia"/>
              </w:rPr>
              <w:t>考量性別需求，設施工程涉及綠帶步道、護欄、自行車道、步道等，應審慎規劃鋪設材質、護欄高度及考量夜間照明安全，涉及公廁工程，則採男女廁1:3規劃，並設置無性別獨立式親子廁所、安全區位、反偵孔偵測器、緊急按鈕、無障礙設施等，建立性別親善環境。</w:t>
            </w:r>
          </w:p>
        </w:tc>
        <w:tc>
          <w:tcPr>
            <w:tcW w:w="3893" w:type="dxa"/>
            <w:gridSpan w:val="3"/>
            <w:tcBorders>
              <w:bottom w:val="thickThinSmallGap" w:sz="24" w:space="0" w:color="auto"/>
            </w:tcBorders>
            <w:shd w:val="clear" w:color="auto" w:fill="auto"/>
            <w:vAlign w:val="center"/>
          </w:tcPr>
          <w:p w:rsidR="00E61FF7" w:rsidRPr="00D55DC6" w:rsidRDefault="00E61FF7" w:rsidP="00742A58">
            <w:pPr>
              <w:adjustRightInd w:val="0"/>
              <w:snapToGrid w:val="0"/>
              <w:spacing w:line="240" w:lineRule="atLeast"/>
              <w:ind w:leftChars="-8" w:left="-9" w:hangingChars="4" w:hanging="10"/>
              <w:jc w:val="both"/>
              <w:rPr>
                <w:rFonts w:ascii="標楷體" w:eastAsia="標楷體" w:hAnsi="標楷體"/>
                <w:b/>
              </w:rPr>
            </w:pPr>
            <w:r w:rsidRPr="00D55DC6">
              <w:rPr>
                <w:rFonts w:ascii="標楷體" w:eastAsia="標楷體" w:hAnsi="標楷體"/>
              </w:rPr>
              <w:t>如公共建設之空間規劃與工程設計涉及不同性別、性傾向或性別認同者使用便利及合理性、區位安全性，或消除空間死角，或考慮特殊使用需求者之可能性者，請評定為「是」。</w:t>
            </w:r>
          </w:p>
        </w:tc>
      </w:tr>
      <w:tr w:rsidR="001D0350" w:rsidRPr="00D55DC6" w:rsidTr="00742A58">
        <w:trPr>
          <w:trHeight w:val="690"/>
        </w:trPr>
        <w:tc>
          <w:tcPr>
            <w:tcW w:w="10723" w:type="dxa"/>
            <w:gridSpan w:val="15"/>
            <w:tcBorders>
              <w:top w:val="thickThinSmallGap" w:sz="24" w:space="0" w:color="auto"/>
            </w:tcBorders>
            <w:vAlign w:val="center"/>
          </w:tcPr>
          <w:p w:rsidR="00E61FF7" w:rsidRPr="00D55DC6" w:rsidRDefault="00E61FF7" w:rsidP="00742A58">
            <w:pPr>
              <w:adjustRightInd w:val="0"/>
              <w:snapToGrid w:val="0"/>
              <w:spacing w:line="240" w:lineRule="atLeast"/>
              <w:ind w:leftChars="-46" w:left="-110"/>
              <w:jc w:val="both"/>
              <w:rPr>
                <w:rFonts w:ascii="標楷體" w:eastAsia="標楷體" w:hAnsi="標楷體"/>
                <w:b/>
              </w:rPr>
            </w:pPr>
            <w:r w:rsidRPr="00D55DC6">
              <w:rPr>
                <w:rFonts w:ascii="標楷體" w:eastAsia="標楷體" w:hAnsi="標楷體"/>
                <w:b/>
              </w:rPr>
              <w:t>捌、評估內容</w:t>
            </w:r>
          </w:p>
          <w:p w:rsidR="00E61FF7" w:rsidRPr="00D55DC6" w:rsidRDefault="00E61FF7" w:rsidP="00742A58">
            <w:pPr>
              <w:adjustRightInd w:val="0"/>
              <w:snapToGrid w:val="0"/>
              <w:spacing w:line="240" w:lineRule="atLeast"/>
              <w:ind w:leftChars="-46" w:left="-110"/>
              <w:jc w:val="both"/>
              <w:rPr>
                <w:rFonts w:ascii="標楷體" w:eastAsia="標楷體" w:hAnsi="標楷體"/>
                <w:b/>
              </w:rPr>
            </w:pPr>
            <w:r w:rsidRPr="00D55DC6">
              <w:rPr>
                <w:rFonts w:ascii="標楷體" w:eastAsia="標楷體" w:hAnsi="標楷體"/>
                <w:b/>
              </w:rPr>
              <w:t>（一）資源</w:t>
            </w:r>
            <w:r w:rsidRPr="00D55DC6">
              <w:rPr>
                <w:rFonts w:ascii="標楷體" w:eastAsia="標楷體" w:hAnsi="標楷體" w:hint="eastAsia"/>
                <w:b/>
              </w:rPr>
              <w:t>與過程</w:t>
            </w:r>
          </w:p>
        </w:tc>
      </w:tr>
      <w:tr w:rsidR="001D0350" w:rsidRPr="00D55DC6" w:rsidTr="00742A58">
        <w:trPr>
          <w:trHeight w:val="302"/>
        </w:trPr>
        <w:tc>
          <w:tcPr>
            <w:tcW w:w="3914" w:type="dxa"/>
            <w:gridSpan w:val="9"/>
            <w:shd w:val="clear" w:color="auto" w:fill="auto"/>
          </w:tcPr>
          <w:p w:rsidR="00E61FF7" w:rsidRPr="00D55DC6" w:rsidRDefault="00E61FF7" w:rsidP="00742A58">
            <w:pPr>
              <w:adjustRightInd w:val="0"/>
              <w:snapToGrid w:val="0"/>
              <w:spacing w:line="240" w:lineRule="atLeast"/>
              <w:ind w:leftChars="-15" w:left="346" w:hangingChars="159" w:hanging="382"/>
              <w:jc w:val="center"/>
              <w:rPr>
                <w:rFonts w:ascii="標楷體" w:eastAsia="標楷體" w:hAnsi="標楷體"/>
                <w:b/>
              </w:rPr>
            </w:pPr>
            <w:r w:rsidRPr="00D55DC6">
              <w:rPr>
                <w:rFonts w:ascii="標楷體" w:eastAsia="標楷體" w:hAnsi="標楷體"/>
                <w:b/>
                <w:bCs/>
              </w:rPr>
              <w:t>項　目</w:t>
            </w:r>
          </w:p>
        </w:tc>
        <w:tc>
          <w:tcPr>
            <w:tcW w:w="2916" w:type="dxa"/>
            <w:gridSpan w:val="3"/>
            <w:shd w:val="clear" w:color="auto" w:fill="auto"/>
          </w:tcPr>
          <w:p w:rsidR="00E61FF7" w:rsidRPr="00D55DC6" w:rsidRDefault="00E61FF7" w:rsidP="00742A58">
            <w:pPr>
              <w:adjustRightInd w:val="0"/>
              <w:snapToGrid w:val="0"/>
              <w:spacing w:line="240" w:lineRule="atLeast"/>
              <w:ind w:leftChars="-44" w:left="72" w:rightChars="-45" w:right="-108" w:hangingChars="74" w:hanging="178"/>
              <w:jc w:val="center"/>
              <w:rPr>
                <w:rFonts w:ascii="標楷體" w:eastAsia="標楷體" w:hAnsi="標楷體"/>
              </w:rPr>
            </w:pPr>
            <w:r w:rsidRPr="00D55DC6">
              <w:rPr>
                <w:rFonts w:ascii="標楷體" w:eastAsia="標楷體" w:hAnsi="標楷體"/>
                <w:b/>
                <w:bCs/>
              </w:rPr>
              <w:t>說　明</w:t>
            </w:r>
          </w:p>
        </w:tc>
        <w:tc>
          <w:tcPr>
            <w:tcW w:w="3893" w:type="dxa"/>
            <w:gridSpan w:val="3"/>
            <w:shd w:val="clear" w:color="auto" w:fill="auto"/>
          </w:tcPr>
          <w:p w:rsidR="00E61FF7" w:rsidRPr="00D55DC6" w:rsidRDefault="00E61FF7" w:rsidP="00742A58">
            <w:pPr>
              <w:adjustRightInd w:val="0"/>
              <w:snapToGrid w:val="0"/>
              <w:spacing w:line="240" w:lineRule="atLeast"/>
              <w:ind w:leftChars="-44" w:left="72" w:rightChars="-45" w:right="-108" w:hangingChars="74" w:hanging="178"/>
              <w:jc w:val="center"/>
              <w:rPr>
                <w:rFonts w:ascii="標楷體" w:eastAsia="標楷體" w:hAnsi="標楷體"/>
              </w:rPr>
            </w:pPr>
            <w:r w:rsidRPr="00D55DC6">
              <w:rPr>
                <w:rFonts w:ascii="標楷體" w:eastAsia="標楷體" w:hAnsi="標楷體"/>
                <w:b/>
                <w:bCs/>
              </w:rPr>
              <w:t>備　註</w:t>
            </w:r>
          </w:p>
        </w:tc>
      </w:tr>
      <w:tr w:rsidR="001D0350" w:rsidRPr="00D55DC6" w:rsidTr="00742A58">
        <w:trPr>
          <w:trHeight w:val="1477"/>
        </w:trPr>
        <w:tc>
          <w:tcPr>
            <w:tcW w:w="3914" w:type="dxa"/>
            <w:gridSpan w:val="9"/>
            <w:shd w:val="clear" w:color="auto" w:fill="auto"/>
            <w:vAlign w:val="center"/>
          </w:tcPr>
          <w:p w:rsidR="00E61FF7" w:rsidRPr="00D55DC6" w:rsidRDefault="00E61FF7" w:rsidP="00742A58">
            <w:pPr>
              <w:adjustRightInd w:val="0"/>
              <w:snapToGrid w:val="0"/>
              <w:spacing w:line="240" w:lineRule="atLeast"/>
              <w:ind w:leftChars="33" w:left="535" w:hangingChars="190" w:hanging="456"/>
              <w:jc w:val="both"/>
              <w:rPr>
                <w:rFonts w:ascii="標楷體" w:eastAsia="標楷體" w:hAnsi="標楷體"/>
              </w:rPr>
            </w:pPr>
            <w:r w:rsidRPr="00D55DC6">
              <w:rPr>
                <w:rFonts w:ascii="標楷體" w:eastAsia="標楷體" w:hAnsi="標楷體"/>
                <w:b/>
              </w:rPr>
              <w:t>8-1經費配置</w:t>
            </w:r>
            <w:r w:rsidRPr="00D55DC6">
              <w:rPr>
                <w:rFonts w:ascii="標楷體" w:eastAsia="標楷體" w:hAnsi="標楷體"/>
              </w:rPr>
              <w:t>：計畫如何</w:t>
            </w:r>
            <w:r w:rsidRPr="00D55DC6">
              <w:rPr>
                <w:rFonts w:ascii="標楷體" w:eastAsia="標楷體" w:hAnsi="標楷體" w:hint="eastAsia"/>
              </w:rPr>
              <w:t>編列或</w:t>
            </w:r>
            <w:r w:rsidRPr="00D55DC6">
              <w:rPr>
                <w:rFonts w:ascii="標楷體" w:eastAsia="標楷體" w:hAnsi="標楷體"/>
              </w:rPr>
              <w:t>調整預算配置，以回應性別需求與達成性別目標</w:t>
            </w:r>
          </w:p>
        </w:tc>
        <w:tc>
          <w:tcPr>
            <w:tcW w:w="2916" w:type="dxa"/>
            <w:gridSpan w:val="3"/>
            <w:shd w:val="clear" w:color="auto" w:fill="auto"/>
          </w:tcPr>
          <w:p w:rsidR="00E61FF7" w:rsidRPr="00D55DC6" w:rsidRDefault="00E61FF7" w:rsidP="00742A58">
            <w:pPr>
              <w:spacing w:before="60" w:after="60" w:line="300" w:lineRule="exact"/>
              <w:jc w:val="both"/>
              <w:rPr>
                <w:rFonts w:ascii="標楷體" w:eastAsia="標楷體" w:hAnsi="標楷體"/>
              </w:rPr>
            </w:pPr>
            <w:r w:rsidRPr="00D55DC6">
              <w:rPr>
                <w:rFonts w:ascii="標楷體" w:eastAsia="標楷體" w:hAnsi="標楷體" w:hint="eastAsia"/>
              </w:rPr>
              <w:t>考量性別需求，增加景點之無障礙設施、安全設施、遊客中心之公廁、育嬰室等空間規劃配置與經費編列。</w:t>
            </w:r>
          </w:p>
        </w:tc>
        <w:tc>
          <w:tcPr>
            <w:tcW w:w="3893" w:type="dxa"/>
            <w:gridSpan w:val="3"/>
            <w:shd w:val="clear" w:color="auto" w:fill="auto"/>
            <w:vAlign w:val="center"/>
          </w:tcPr>
          <w:p w:rsidR="00E61FF7" w:rsidRPr="00D55DC6" w:rsidRDefault="00E61FF7" w:rsidP="00742A58">
            <w:pPr>
              <w:adjustRightInd w:val="0"/>
              <w:snapToGrid w:val="0"/>
              <w:spacing w:line="240" w:lineRule="atLeast"/>
              <w:ind w:leftChars="-8" w:left="-9" w:hangingChars="4" w:hanging="10"/>
              <w:jc w:val="both"/>
              <w:rPr>
                <w:rFonts w:ascii="標楷體" w:eastAsia="標楷體" w:hAnsi="標楷體"/>
              </w:rPr>
            </w:pPr>
            <w:r w:rsidRPr="00D55DC6">
              <w:rPr>
                <w:rFonts w:ascii="標楷體" w:eastAsia="標楷體" w:hAnsi="標楷體"/>
              </w:rPr>
              <w:t>說明該計畫所編列經費如何針對性別差異，回應性別需求。</w:t>
            </w:r>
          </w:p>
        </w:tc>
      </w:tr>
      <w:tr w:rsidR="001D0350" w:rsidRPr="00D55DC6" w:rsidTr="00742A58">
        <w:trPr>
          <w:trHeight w:val="132"/>
        </w:trPr>
        <w:tc>
          <w:tcPr>
            <w:tcW w:w="3914" w:type="dxa"/>
            <w:gridSpan w:val="9"/>
            <w:shd w:val="clear" w:color="auto" w:fill="auto"/>
            <w:vAlign w:val="center"/>
          </w:tcPr>
          <w:p w:rsidR="00E61FF7" w:rsidRPr="00D55DC6" w:rsidRDefault="00E61FF7" w:rsidP="00742A58">
            <w:pPr>
              <w:adjustRightInd w:val="0"/>
              <w:snapToGrid w:val="0"/>
              <w:spacing w:line="240" w:lineRule="atLeast"/>
              <w:ind w:leftChars="33" w:left="535" w:hangingChars="190" w:hanging="456"/>
              <w:jc w:val="both"/>
              <w:rPr>
                <w:rFonts w:ascii="標楷體" w:eastAsia="標楷體" w:hAnsi="標楷體"/>
              </w:rPr>
            </w:pPr>
            <w:r w:rsidRPr="00D55DC6">
              <w:rPr>
                <w:rFonts w:ascii="標楷體" w:eastAsia="標楷體" w:hAnsi="標楷體"/>
                <w:b/>
              </w:rPr>
              <w:t>8-2執行策略</w:t>
            </w:r>
            <w:r w:rsidRPr="00D55DC6">
              <w:rPr>
                <w:rFonts w:ascii="標楷體" w:eastAsia="標楷體" w:hAnsi="標楷體"/>
              </w:rPr>
              <w:t>：計畫如何縮小不同性別、性傾向或性別認同者差異之迫切性與需求性</w:t>
            </w:r>
          </w:p>
        </w:tc>
        <w:tc>
          <w:tcPr>
            <w:tcW w:w="2916" w:type="dxa"/>
            <w:gridSpan w:val="3"/>
            <w:shd w:val="clear" w:color="auto" w:fill="auto"/>
          </w:tcPr>
          <w:p w:rsidR="00E61FF7" w:rsidRPr="00D55DC6" w:rsidRDefault="00E61FF7" w:rsidP="00742A58">
            <w:pPr>
              <w:spacing w:line="320" w:lineRule="exact"/>
              <w:ind w:left="252" w:hangingChars="105" w:hanging="252"/>
              <w:jc w:val="both"/>
              <w:rPr>
                <w:rFonts w:ascii="標楷體" w:eastAsia="標楷體" w:hAnsi="標楷體"/>
                <w:bCs/>
              </w:rPr>
            </w:pPr>
            <w:r w:rsidRPr="00D55DC6">
              <w:rPr>
                <w:rFonts w:ascii="標楷體" w:eastAsia="標楷體" w:hAnsi="標楷體" w:hint="eastAsia"/>
              </w:rPr>
              <w:t>1.本計畫配合</w:t>
            </w:r>
            <w:r w:rsidRPr="00D55DC6">
              <w:rPr>
                <w:rFonts w:ascii="標楷體" w:eastAsia="標楷體" w:hAnsi="標楷體" w:hint="eastAsia"/>
                <w:bCs/>
              </w:rPr>
              <w:t>性別影響評估，考量婦幼安全，審慎規劃步道鋪設</w:t>
            </w:r>
            <w:r w:rsidRPr="00D55DC6">
              <w:rPr>
                <w:rFonts w:ascii="標楷體" w:eastAsia="標楷體" w:hAnsi="標楷體" w:hint="eastAsia"/>
              </w:rPr>
              <w:t>材質</w:t>
            </w:r>
            <w:r w:rsidRPr="00D55DC6">
              <w:rPr>
                <w:rFonts w:ascii="標楷體" w:eastAsia="標楷體" w:hAnsi="標楷體" w:hint="eastAsia"/>
                <w:bCs/>
              </w:rPr>
              <w:t>、護欄高度、夜間照明、</w:t>
            </w:r>
            <w:r w:rsidRPr="00D55DC6">
              <w:rPr>
                <w:rFonts w:ascii="標楷體" w:eastAsia="標楷體" w:hAnsi="標楷體" w:hint="eastAsia"/>
                <w:bCs/>
              </w:rPr>
              <w:lastRenderedPageBreak/>
              <w:t>公廁空間規劃等相關友善設施。</w:t>
            </w:r>
          </w:p>
          <w:p w:rsidR="00E61FF7" w:rsidRPr="00D55DC6" w:rsidRDefault="00E61FF7" w:rsidP="00742A58">
            <w:pPr>
              <w:spacing w:line="320" w:lineRule="exact"/>
              <w:ind w:left="252" w:hangingChars="105" w:hanging="252"/>
              <w:jc w:val="both"/>
              <w:rPr>
                <w:rFonts w:ascii="標楷體" w:eastAsia="標楷體" w:hAnsi="標楷體"/>
              </w:rPr>
            </w:pPr>
            <w:r w:rsidRPr="00D55DC6">
              <w:rPr>
                <w:rFonts w:ascii="標楷體" w:eastAsia="標楷體" w:hAnsi="標楷體" w:hint="eastAsia"/>
                <w:bCs/>
              </w:rPr>
              <w:t>2.景點建設將避免結婚意象設施及景觀有複製性別刻板印象或扭曲物化女性情形；相關推廣活動將避免導致參與者誤解我國結婚禮俗未具性別平等觀念的情形。</w:t>
            </w:r>
          </w:p>
        </w:tc>
        <w:tc>
          <w:tcPr>
            <w:tcW w:w="3893" w:type="dxa"/>
            <w:gridSpan w:val="3"/>
            <w:shd w:val="clear" w:color="auto" w:fill="auto"/>
            <w:vAlign w:val="center"/>
          </w:tcPr>
          <w:p w:rsidR="00E61FF7" w:rsidRPr="00D55DC6" w:rsidRDefault="00E61FF7" w:rsidP="00742A58">
            <w:pPr>
              <w:adjustRightInd w:val="0"/>
              <w:snapToGrid w:val="0"/>
              <w:spacing w:line="240" w:lineRule="atLeast"/>
              <w:ind w:leftChars="-8" w:left="-9" w:hangingChars="4" w:hanging="10"/>
              <w:jc w:val="both"/>
              <w:rPr>
                <w:rFonts w:ascii="標楷體" w:eastAsia="標楷體" w:hAnsi="標楷體"/>
              </w:rPr>
            </w:pPr>
            <w:r w:rsidRPr="00D55DC6">
              <w:rPr>
                <w:rFonts w:ascii="標楷體" w:eastAsia="標楷體" w:hAnsi="標楷體"/>
              </w:rPr>
              <w:lastRenderedPageBreak/>
              <w:t>計畫如何設計執行策略，以回應性別需求與達成性別目標。</w:t>
            </w:r>
          </w:p>
        </w:tc>
      </w:tr>
      <w:tr w:rsidR="001D0350" w:rsidRPr="00D55DC6" w:rsidTr="00742A58">
        <w:trPr>
          <w:trHeight w:val="720"/>
        </w:trPr>
        <w:tc>
          <w:tcPr>
            <w:tcW w:w="3914" w:type="dxa"/>
            <w:gridSpan w:val="9"/>
            <w:shd w:val="clear" w:color="auto" w:fill="auto"/>
            <w:vAlign w:val="center"/>
          </w:tcPr>
          <w:p w:rsidR="00E61FF7" w:rsidRPr="00D55DC6" w:rsidRDefault="00E61FF7" w:rsidP="00742A58">
            <w:pPr>
              <w:adjustRightInd w:val="0"/>
              <w:snapToGrid w:val="0"/>
              <w:spacing w:line="240" w:lineRule="atLeast"/>
              <w:ind w:leftChars="33" w:left="535" w:hangingChars="190" w:hanging="456"/>
              <w:jc w:val="both"/>
              <w:rPr>
                <w:rFonts w:ascii="標楷體" w:eastAsia="標楷體" w:hAnsi="標楷體"/>
              </w:rPr>
            </w:pPr>
            <w:r w:rsidRPr="00D55DC6">
              <w:rPr>
                <w:rFonts w:ascii="標楷體" w:eastAsia="標楷體" w:hAnsi="標楷體"/>
                <w:b/>
              </w:rPr>
              <w:lastRenderedPageBreak/>
              <w:t>8-3宣導傳播</w:t>
            </w:r>
            <w:r w:rsidRPr="00D55DC6">
              <w:rPr>
                <w:rFonts w:ascii="標楷體" w:eastAsia="標楷體" w:hAnsi="標楷體"/>
              </w:rPr>
              <w:t>：計畫宣導方式如何顧及弱勢性別資訊獲取能力或使用習慣之差異</w:t>
            </w:r>
          </w:p>
        </w:tc>
        <w:tc>
          <w:tcPr>
            <w:tcW w:w="2916" w:type="dxa"/>
            <w:gridSpan w:val="3"/>
            <w:shd w:val="clear" w:color="auto" w:fill="auto"/>
          </w:tcPr>
          <w:p w:rsidR="00E61FF7" w:rsidRPr="00D55DC6" w:rsidRDefault="00E61FF7" w:rsidP="00742A58">
            <w:pPr>
              <w:spacing w:line="320" w:lineRule="exact"/>
              <w:ind w:left="252" w:hangingChars="105" w:hanging="252"/>
              <w:jc w:val="both"/>
              <w:rPr>
                <w:rFonts w:ascii="標楷體" w:eastAsia="標楷體" w:hAnsi="標楷體"/>
              </w:rPr>
            </w:pPr>
            <w:r w:rsidRPr="00D55DC6">
              <w:rPr>
                <w:rFonts w:ascii="標楷體" w:eastAsia="標楷體" w:hAnsi="標楷體" w:hint="eastAsia"/>
              </w:rPr>
              <w:t>1.公廁設施標誌(男廁、女廁、無障礙廁所或便所形式)，採用一般通用的圖示，符合使用者便於資訊獲取，並滿足其使用習慣。</w:t>
            </w:r>
          </w:p>
          <w:p w:rsidR="00E61FF7" w:rsidRPr="00D55DC6" w:rsidRDefault="00E61FF7" w:rsidP="00742A58">
            <w:pPr>
              <w:spacing w:line="320" w:lineRule="exact"/>
              <w:ind w:left="252" w:hangingChars="105" w:hanging="252"/>
              <w:jc w:val="both"/>
              <w:rPr>
                <w:rFonts w:ascii="標楷體" w:eastAsia="標楷體" w:hAnsi="標楷體"/>
              </w:rPr>
            </w:pPr>
            <w:r w:rsidRPr="00D55DC6">
              <w:rPr>
                <w:rFonts w:ascii="標楷體" w:eastAsia="標楷體" w:hAnsi="標楷體" w:hint="eastAsia"/>
              </w:rPr>
              <w:t>2.於廁所標示安全說明、呼救方式等。</w:t>
            </w:r>
          </w:p>
          <w:p w:rsidR="00E61FF7" w:rsidRPr="00D55DC6" w:rsidRDefault="00E61FF7" w:rsidP="00742A58">
            <w:pPr>
              <w:spacing w:line="320" w:lineRule="exact"/>
              <w:ind w:left="252" w:hangingChars="105" w:hanging="252"/>
              <w:jc w:val="both"/>
              <w:rPr>
                <w:rFonts w:ascii="標楷體" w:eastAsia="標楷體" w:hAnsi="標楷體"/>
              </w:rPr>
            </w:pPr>
            <w:r w:rsidRPr="00D55DC6">
              <w:rPr>
                <w:rFonts w:ascii="標楷體" w:eastAsia="標楷體" w:hAnsi="標楷體" w:hint="eastAsia"/>
              </w:rPr>
              <w:t>3.加強辦理公務人員性別主流化訓練講習課程。</w:t>
            </w:r>
          </w:p>
          <w:p w:rsidR="00E61FF7" w:rsidRPr="00D55DC6" w:rsidRDefault="00E61FF7" w:rsidP="00742A58">
            <w:pPr>
              <w:spacing w:line="320" w:lineRule="exact"/>
              <w:ind w:left="252" w:hangingChars="105" w:hanging="252"/>
              <w:jc w:val="both"/>
              <w:rPr>
                <w:rFonts w:ascii="標楷體" w:eastAsia="標楷體" w:hAnsi="標楷體"/>
              </w:rPr>
            </w:pPr>
            <w:r w:rsidRPr="00D55DC6">
              <w:rPr>
                <w:rFonts w:ascii="標楷體" w:eastAsia="標楷體" w:hAnsi="標楷體" w:hint="eastAsia"/>
              </w:rPr>
              <w:t>4.相關建設或工作如涉及進行說明會、座談或或村里民大會，及辦理導覽(解說)人員培訓、志工招募、社區輔導工作坊時，說明所設計之多元宣導傳播方式，以顧及不同性別者取得訊息之便利性。</w:t>
            </w:r>
          </w:p>
        </w:tc>
        <w:tc>
          <w:tcPr>
            <w:tcW w:w="3893" w:type="dxa"/>
            <w:gridSpan w:val="3"/>
            <w:shd w:val="clear" w:color="auto" w:fill="auto"/>
            <w:vAlign w:val="center"/>
          </w:tcPr>
          <w:p w:rsidR="00E61FF7" w:rsidRPr="00D55DC6" w:rsidRDefault="00E61FF7" w:rsidP="00742A58">
            <w:pPr>
              <w:adjustRightInd w:val="0"/>
              <w:snapToGrid w:val="0"/>
              <w:spacing w:line="240" w:lineRule="atLeast"/>
              <w:ind w:leftChars="-8" w:left="-9" w:hangingChars="4" w:hanging="10"/>
              <w:jc w:val="both"/>
              <w:rPr>
                <w:rFonts w:ascii="標楷體" w:eastAsia="標楷體" w:hAnsi="標楷體"/>
              </w:rPr>
            </w:pPr>
            <w:r w:rsidRPr="00D55DC6">
              <w:rPr>
                <w:rFonts w:ascii="標楷體" w:eastAsia="標楷體" w:hAnsi="標楷體"/>
              </w:rPr>
              <w:t>說明傳佈訊息給目標對象所採用的方式，是否針對不同背景的目標對象採取不同傳播方法的設計。</w:t>
            </w:r>
          </w:p>
        </w:tc>
      </w:tr>
      <w:tr w:rsidR="001D0350" w:rsidRPr="00D55DC6" w:rsidTr="00742A58">
        <w:trPr>
          <w:trHeight w:val="720"/>
        </w:trPr>
        <w:tc>
          <w:tcPr>
            <w:tcW w:w="3914" w:type="dxa"/>
            <w:gridSpan w:val="9"/>
            <w:shd w:val="clear" w:color="auto" w:fill="auto"/>
            <w:vAlign w:val="center"/>
          </w:tcPr>
          <w:p w:rsidR="00E61FF7" w:rsidRPr="00D55DC6" w:rsidRDefault="00E61FF7" w:rsidP="00742A58">
            <w:pPr>
              <w:adjustRightInd w:val="0"/>
              <w:snapToGrid w:val="0"/>
              <w:spacing w:line="240" w:lineRule="atLeast"/>
              <w:ind w:leftChars="33" w:left="535" w:hangingChars="190" w:hanging="456"/>
              <w:jc w:val="both"/>
              <w:rPr>
                <w:rFonts w:ascii="標楷體" w:eastAsia="標楷體" w:hAnsi="標楷體"/>
              </w:rPr>
            </w:pPr>
            <w:r w:rsidRPr="00D55DC6">
              <w:rPr>
                <w:rFonts w:ascii="標楷體" w:eastAsia="標楷體" w:hAnsi="標楷體"/>
                <w:b/>
              </w:rPr>
              <w:t>8-4性別友善措施</w:t>
            </w:r>
            <w:r w:rsidRPr="00D55DC6">
              <w:rPr>
                <w:rFonts w:ascii="標楷體" w:eastAsia="標楷體" w:hAnsi="標楷體"/>
              </w:rPr>
              <w:t>：搭配其他對不同性別、性傾向或性別認同者之友善措施或方案</w:t>
            </w:r>
          </w:p>
        </w:tc>
        <w:tc>
          <w:tcPr>
            <w:tcW w:w="2916" w:type="dxa"/>
            <w:gridSpan w:val="3"/>
            <w:shd w:val="clear" w:color="auto" w:fill="auto"/>
          </w:tcPr>
          <w:p w:rsidR="00E61FF7" w:rsidRPr="00D55DC6" w:rsidRDefault="00E61FF7" w:rsidP="00742A58">
            <w:pPr>
              <w:spacing w:line="320" w:lineRule="exact"/>
              <w:ind w:left="252" w:hangingChars="105" w:hanging="252"/>
              <w:jc w:val="both"/>
              <w:rPr>
                <w:rFonts w:ascii="標楷體" w:eastAsia="標楷體" w:hAnsi="標楷體"/>
              </w:rPr>
            </w:pPr>
            <w:r w:rsidRPr="00D55DC6">
              <w:rPr>
                <w:rFonts w:ascii="標楷體" w:eastAsia="標楷體" w:hAnsi="標楷體" w:hint="eastAsia"/>
              </w:rPr>
              <w:t>1.設置親子廁所、無障礙設施、反偵孔</w:t>
            </w:r>
            <w:r w:rsidRPr="00D55DC6">
              <w:rPr>
                <w:rFonts w:ascii="標楷體" w:eastAsia="標楷體" w:hAnsi="標楷體" w:hint="eastAsia"/>
                <w:bCs/>
              </w:rPr>
              <w:t>偵測</w:t>
            </w:r>
            <w:r w:rsidRPr="00D55DC6">
              <w:rPr>
                <w:rFonts w:ascii="標楷體" w:eastAsia="標楷體" w:hAnsi="標楷體" w:hint="eastAsia"/>
              </w:rPr>
              <w:t>器、緊急按鈕、廁所使用時會有音樂之設施。</w:t>
            </w:r>
          </w:p>
          <w:p w:rsidR="00E61FF7" w:rsidRPr="00D55DC6" w:rsidRDefault="00E61FF7" w:rsidP="00742A58">
            <w:pPr>
              <w:spacing w:line="320" w:lineRule="exact"/>
              <w:ind w:left="252" w:hangingChars="105" w:hanging="252"/>
              <w:jc w:val="both"/>
              <w:rPr>
                <w:rFonts w:ascii="標楷體" w:eastAsia="標楷體" w:hAnsi="標楷體"/>
              </w:rPr>
            </w:pPr>
            <w:r w:rsidRPr="00D55DC6">
              <w:rPr>
                <w:rFonts w:ascii="標楷體" w:eastAsia="標楷體" w:hAnsi="標楷體" w:hint="eastAsia"/>
              </w:rPr>
              <w:t>2.相關計畫涉及增改建停車場者，將考量規劃設計友善懷孕婦女及育兒家庭之設施。</w:t>
            </w:r>
          </w:p>
          <w:p w:rsidR="00E61FF7" w:rsidRPr="00D55DC6" w:rsidRDefault="00E61FF7" w:rsidP="00742A58">
            <w:pPr>
              <w:spacing w:line="320" w:lineRule="exact"/>
              <w:ind w:left="252" w:hangingChars="105" w:hanging="252"/>
              <w:jc w:val="both"/>
              <w:rPr>
                <w:rFonts w:ascii="標楷體" w:eastAsia="標楷體" w:hAnsi="標楷體"/>
              </w:rPr>
            </w:pPr>
            <w:r w:rsidRPr="00D55DC6">
              <w:rPr>
                <w:rFonts w:ascii="標楷體" w:eastAsia="標楷體" w:hAnsi="標楷體" w:hint="eastAsia"/>
              </w:rPr>
              <w:t>3.前往國家風景區旅客，如多屬女性及弱勢族群較仰賴大眾運輸系統做為交通工具者，將考量規劃串連景點及交通場站的大眾交通運輸接駁系統。</w:t>
            </w:r>
          </w:p>
        </w:tc>
        <w:tc>
          <w:tcPr>
            <w:tcW w:w="3893" w:type="dxa"/>
            <w:gridSpan w:val="3"/>
            <w:shd w:val="clear" w:color="auto" w:fill="auto"/>
            <w:vAlign w:val="center"/>
          </w:tcPr>
          <w:p w:rsidR="00E61FF7" w:rsidRPr="00D55DC6" w:rsidRDefault="00E61FF7" w:rsidP="00742A58">
            <w:pPr>
              <w:adjustRightInd w:val="0"/>
              <w:snapToGrid w:val="0"/>
              <w:spacing w:line="240" w:lineRule="atLeast"/>
              <w:ind w:leftChars="-8" w:left="-9" w:hangingChars="4" w:hanging="10"/>
              <w:jc w:val="both"/>
              <w:rPr>
                <w:rFonts w:ascii="標楷體" w:eastAsia="標楷體" w:hAnsi="標楷體"/>
              </w:rPr>
            </w:pPr>
            <w:r w:rsidRPr="00D55DC6">
              <w:rPr>
                <w:rFonts w:ascii="標楷體" w:eastAsia="標楷體" w:hAnsi="標楷體"/>
              </w:rPr>
              <w:t>說明計畫之性別友善措施或方案。</w:t>
            </w:r>
          </w:p>
        </w:tc>
      </w:tr>
      <w:tr w:rsidR="001D0350" w:rsidRPr="00D55DC6" w:rsidTr="00742A58">
        <w:trPr>
          <w:trHeight w:val="417"/>
        </w:trPr>
        <w:tc>
          <w:tcPr>
            <w:tcW w:w="10723" w:type="dxa"/>
            <w:gridSpan w:val="15"/>
            <w:vAlign w:val="center"/>
          </w:tcPr>
          <w:p w:rsidR="00E61FF7" w:rsidRPr="00D55DC6" w:rsidRDefault="00E61FF7" w:rsidP="00742A58">
            <w:pPr>
              <w:adjustRightInd w:val="0"/>
              <w:snapToGrid w:val="0"/>
              <w:spacing w:line="240" w:lineRule="atLeast"/>
              <w:ind w:leftChars="-46" w:left="-110"/>
              <w:jc w:val="both"/>
              <w:rPr>
                <w:rFonts w:ascii="標楷體" w:eastAsia="標楷體" w:hAnsi="標楷體"/>
                <w:b/>
              </w:rPr>
            </w:pPr>
            <w:r w:rsidRPr="00D55DC6">
              <w:rPr>
                <w:rFonts w:ascii="標楷體" w:eastAsia="標楷體" w:hAnsi="標楷體"/>
                <w:b/>
              </w:rPr>
              <w:lastRenderedPageBreak/>
              <w:br w:type="page"/>
              <w:t>（二）效益評估</w:t>
            </w:r>
          </w:p>
        </w:tc>
      </w:tr>
      <w:tr w:rsidR="001D0350" w:rsidRPr="00D55DC6" w:rsidTr="00742A58">
        <w:trPr>
          <w:trHeight w:val="353"/>
        </w:trPr>
        <w:tc>
          <w:tcPr>
            <w:tcW w:w="3845" w:type="dxa"/>
            <w:gridSpan w:val="7"/>
            <w:shd w:val="clear" w:color="auto" w:fill="auto"/>
            <w:vAlign w:val="center"/>
          </w:tcPr>
          <w:p w:rsidR="00E61FF7" w:rsidRPr="00D55DC6" w:rsidRDefault="00E61FF7" w:rsidP="00742A58">
            <w:pPr>
              <w:adjustRightInd w:val="0"/>
              <w:snapToGrid w:val="0"/>
              <w:spacing w:line="240" w:lineRule="atLeast"/>
              <w:ind w:leftChars="-15" w:left="346" w:hangingChars="159" w:hanging="382"/>
              <w:jc w:val="center"/>
              <w:rPr>
                <w:rFonts w:ascii="標楷體" w:eastAsia="標楷體" w:hAnsi="標楷體"/>
                <w:b/>
              </w:rPr>
            </w:pPr>
            <w:r w:rsidRPr="00D55DC6">
              <w:rPr>
                <w:rFonts w:ascii="標楷體" w:eastAsia="標楷體" w:hAnsi="標楷體"/>
                <w:b/>
                <w:bCs/>
              </w:rPr>
              <w:t>項　目</w:t>
            </w:r>
          </w:p>
        </w:tc>
        <w:tc>
          <w:tcPr>
            <w:tcW w:w="2985" w:type="dxa"/>
            <w:gridSpan w:val="5"/>
            <w:shd w:val="clear" w:color="auto" w:fill="auto"/>
            <w:vAlign w:val="center"/>
          </w:tcPr>
          <w:p w:rsidR="00E61FF7" w:rsidRPr="00D55DC6" w:rsidRDefault="00E61FF7" w:rsidP="00742A58">
            <w:pPr>
              <w:adjustRightInd w:val="0"/>
              <w:snapToGrid w:val="0"/>
              <w:spacing w:line="240" w:lineRule="atLeast"/>
              <w:ind w:leftChars="-44" w:left="72" w:rightChars="-45" w:right="-108" w:hangingChars="74" w:hanging="178"/>
              <w:jc w:val="center"/>
              <w:rPr>
                <w:rFonts w:ascii="標楷體" w:eastAsia="標楷體" w:hAnsi="標楷體"/>
              </w:rPr>
            </w:pPr>
            <w:r w:rsidRPr="00D55DC6">
              <w:rPr>
                <w:rFonts w:ascii="標楷體" w:eastAsia="標楷體" w:hAnsi="標楷體"/>
                <w:b/>
                <w:bCs/>
              </w:rPr>
              <w:t>說　明</w:t>
            </w:r>
          </w:p>
        </w:tc>
        <w:tc>
          <w:tcPr>
            <w:tcW w:w="3893" w:type="dxa"/>
            <w:gridSpan w:val="3"/>
            <w:shd w:val="clear" w:color="auto" w:fill="auto"/>
            <w:vAlign w:val="center"/>
          </w:tcPr>
          <w:p w:rsidR="00E61FF7" w:rsidRPr="00D55DC6" w:rsidRDefault="00E61FF7" w:rsidP="00742A58">
            <w:pPr>
              <w:adjustRightInd w:val="0"/>
              <w:snapToGrid w:val="0"/>
              <w:spacing w:line="240" w:lineRule="atLeast"/>
              <w:ind w:leftChars="-44" w:left="72" w:rightChars="-45" w:right="-108" w:hangingChars="74" w:hanging="178"/>
              <w:jc w:val="center"/>
              <w:rPr>
                <w:rFonts w:ascii="標楷體" w:eastAsia="標楷體" w:hAnsi="標楷體"/>
              </w:rPr>
            </w:pPr>
            <w:r w:rsidRPr="00D55DC6">
              <w:rPr>
                <w:rFonts w:ascii="標楷體" w:eastAsia="標楷體" w:hAnsi="標楷體"/>
                <w:b/>
                <w:bCs/>
              </w:rPr>
              <w:t>備　註</w:t>
            </w:r>
          </w:p>
        </w:tc>
      </w:tr>
      <w:tr w:rsidR="001D0350" w:rsidRPr="00D55DC6" w:rsidTr="00742A58">
        <w:trPr>
          <w:trHeight w:val="1211"/>
        </w:trPr>
        <w:tc>
          <w:tcPr>
            <w:tcW w:w="3845" w:type="dxa"/>
            <w:gridSpan w:val="7"/>
            <w:shd w:val="clear" w:color="auto" w:fill="auto"/>
            <w:vAlign w:val="center"/>
          </w:tcPr>
          <w:p w:rsidR="00E61FF7" w:rsidRPr="00D55DC6" w:rsidRDefault="00E61FF7" w:rsidP="00742A58">
            <w:pPr>
              <w:adjustRightInd w:val="0"/>
              <w:snapToGrid w:val="0"/>
              <w:spacing w:line="240" w:lineRule="atLeast"/>
              <w:ind w:leftChars="33" w:left="521" w:rightChars="-9" w:right="-22" w:hangingChars="184" w:hanging="442"/>
              <w:jc w:val="both"/>
              <w:rPr>
                <w:rFonts w:ascii="標楷體" w:eastAsia="標楷體" w:hAnsi="標楷體"/>
              </w:rPr>
            </w:pPr>
            <w:r w:rsidRPr="00D55DC6">
              <w:rPr>
                <w:rFonts w:ascii="標楷體" w:eastAsia="標楷體" w:hAnsi="標楷體"/>
                <w:b/>
              </w:rPr>
              <w:t>8-5落實法規政策</w:t>
            </w:r>
            <w:r w:rsidRPr="00D55DC6">
              <w:rPr>
                <w:rFonts w:ascii="標楷體" w:eastAsia="標楷體" w:hAnsi="標楷體"/>
              </w:rPr>
              <w:t>：計畫符合相關法規政策之情形</w:t>
            </w:r>
          </w:p>
        </w:tc>
        <w:tc>
          <w:tcPr>
            <w:tcW w:w="2985" w:type="dxa"/>
            <w:gridSpan w:val="5"/>
            <w:shd w:val="clear" w:color="auto" w:fill="auto"/>
          </w:tcPr>
          <w:p w:rsidR="00E61FF7" w:rsidRPr="00D55DC6" w:rsidRDefault="00E61FF7" w:rsidP="00742A58">
            <w:pPr>
              <w:spacing w:before="60" w:after="60" w:line="300" w:lineRule="exact"/>
              <w:ind w:left="300" w:hangingChars="125" w:hanging="300"/>
              <w:jc w:val="both"/>
              <w:rPr>
                <w:rFonts w:ascii="標楷體" w:eastAsia="標楷體" w:hAnsi="標楷體"/>
              </w:rPr>
            </w:pPr>
            <w:r w:rsidRPr="00D55DC6">
              <w:rPr>
                <w:rFonts w:ascii="標楷體" w:eastAsia="標楷體" w:hAnsi="標楷體" w:hint="eastAsia"/>
              </w:rPr>
              <w:t>1.本計畫將強化照明、無障礙設施環境、監視器、哺集乳室及親子廁所等，有助於落實「性別平等政策綱領」環境、能源與科技篇所強調性別友善之公共空間規劃與設計。</w:t>
            </w:r>
          </w:p>
          <w:p w:rsidR="00E61FF7" w:rsidRPr="00D55DC6" w:rsidRDefault="00E61FF7" w:rsidP="00742A58">
            <w:pPr>
              <w:spacing w:before="60" w:after="60" w:line="300" w:lineRule="exact"/>
              <w:ind w:left="300" w:hangingChars="125" w:hanging="300"/>
              <w:jc w:val="both"/>
              <w:rPr>
                <w:rFonts w:ascii="標楷體" w:eastAsia="標楷體" w:hAnsi="標楷體"/>
              </w:rPr>
            </w:pPr>
            <w:r w:rsidRPr="00D55DC6">
              <w:rPr>
                <w:rFonts w:ascii="標楷體" w:eastAsia="標楷體" w:hAnsi="標楷體" w:hint="eastAsia"/>
              </w:rPr>
              <w:t>2.本計畫決策者任一性別不得低於三分之一之規定符合CEDAW第7條有關保證婦女與男子平等餐與政府政策制訂的權利之理念。</w:t>
            </w:r>
          </w:p>
        </w:tc>
        <w:tc>
          <w:tcPr>
            <w:tcW w:w="3893" w:type="dxa"/>
            <w:gridSpan w:val="3"/>
            <w:shd w:val="clear" w:color="auto" w:fill="auto"/>
            <w:vAlign w:val="center"/>
          </w:tcPr>
          <w:p w:rsidR="00E61FF7" w:rsidRPr="00D55DC6" w:rsidRDefault="00E61FF7" w:rsidP="00742A58">
            <w:pPr>
              <w:adjustRightInd w:val="0"/>
              <w:snapToGrid w:val="0"/>
              <w:spacing w:line="240" w:lineRule="atLeast"/>
              <w:ind w:leftChars="-8" w:left="-9" w:hangingChars="4" w:hanging="10"/>
              <w:jc w:val="both"/>
              <w:rPr>
                <w:rFonts w:ascii="標楷體" w:eastAsia="標楷體" w:hAnsi="標楷體"/>
              </w:rPr>
            </w:pPr>
            <w:r w:rsidRPr="00D55DC6">
              <w:rPr>
                <w:rFonts w:ascii="標楷體" w:eastAsia="標楷體" w:hAnsi="標楷體"/>
              </w:rPr>
              <w:t>說明計畫如何落實憲法、法律、性別平等政策綱領、性別主流化政策</w:t>
            </w:r>
            <w:r w:rsidRPr="00D55DC6">
              <w:rPr>
                <w:rFonts w:ascii="標楷體" w:eastAsia="標楷體" w:hAnsi="標楷體" w:hint="eastAsia"/>
              </w:rPr>
              <w:t>及CEDAW</w:t>
            </w:r>
            <w:r w:rsidRPr="00D55DC6">
              <w:rPr>
                <w:rFonts w:ascii="標楷體" w:eastAsia="標楷體" w:hAnsi="標楷體"/>
              </w:rPr>
              <w:t>之基本精神，可參考行政院性</w:t>
            </w:r>
            <w:r w:rsidRPr="00D55DC6">
              <w:rPr>
                <w:rFonts w:ascii="標楷體" w:eastAsia="標楷體" w:hAnsi="標楷體" w:hint="eastAsia"/>
              </w:rPr>
              <w:t>別</w:t>
            </w:r>
            <w:r w:rsidRPr="00D55DC6">
              <w:rPr>
                <w:rFonts w:ascii="標楷體" w:eastAsia="標楷體" w:hAnsi="標楷體"/>
              </w:rPr>
              <w:t>平等會網站</w:t>
            </w:r>
            <w:r w:rsidRPr="00D55DC6">
              <w:rPr>
                <w:rFonts w:ascii="標楷體" w:eastAsia="標楷體" w:hAnsi="標楷體" w:hint="eastAsia"/>
              </w:rPr>
              <w:t>(</w:t>
            </w:r>
            <w:hyperlink r:id="rId24" w:history="1">
              <w:r w:rsidRPr="00D55DC6">
                <w:rPr>
                  <w:rStyle w:val="affff8"/>
                  <w:rFonts w:ascii="標楷體" w:eastAsia="標楷體" w:hAnsi="標楷體"/>
                  <w:color w:val="auto"/>
                  <w:u w:val="none"/>
                </w:rPr>
                <w:t>http://www.gec.ey.gov.tw/</w:t>
              </w:r>
            </w:hyperlink>
            <w:r w:rsidRPr="00D55DC6">
              <w:rPr>
                <w:rFonts w:ascii="標楷體" w:eastAsia="標楷體" w:hAnsi="標楷體" w:hint="eastAsia"/>
              </w:rPr>
              <w:t>)。</w:t>
            </w:r>
          </w:p>
        </w:tc>
      </w:tr>
      <w:tr w:rsidR="001D0350" w:rsidRPr="00D55DC6" w:rsidTr="00742A58">
        <w:trPr>
          <w:trHeight w:val="446"/>
        </w:trPr>
        <w:tc>
          <w:tcPr>
            <w:tcW w:w="3845" w:type="dxa"/>
            <w:gridSpan w:val="7"/>
            <w:shd w:val="clear" w:color="auto" w:fill="auto"/>
            <w:vAlign w:val="center"/>
          </w:tcPr>
          <w:p w:rsidR="00E61FF7" w:rsidRPr="00D55DC6" w:rsidRDefault="00E61FF7" w:rsidP="00742A58">
            <w:pPr>
              <w:adjustRightInd w:val="0"/>
              <w:snapToGrid w:val="0"/>
              <w:spacing w:line="240" w:lineRule="atLeast"/>
              <w:ind w:leftChars="33" w:left="521" w:rightChars="-9" w:right="-22" w:hangingChars="184" w:hanging="442"/>
              <w:jc w:val="both"/>
              <w:rPr>
                <w:rFonts w:ascii="標楷體" w:eastAsia="標楷體" w:hAnsi="標楷體"/>
                <w:b/>
              </w:rPr>
            </w:pPr>
            <w:r w:rsidRPr="00D55DC6">
              <w:rPr>
                <w:rFonts w:ascii="標楷體" w:eastAsia="標楷體" w:hAnsi="標楷體"/>
                <w:b/>
              </w:rPr>
              <w:t>8-6預防或消除性別隔離</w:t>
            </w:r>
            <w:r w:rsidRPr="00D55DC6">
              <w:rPr>
                <w:rFonts w:ascii="標楷體" w:eastAsia="標楷體" w:hAnsi="標楷體"/>
              </w:rPr>
              <w:t>：計畫如何預防或消除性別隔離</w:t>
            </w:r>
          </w:p>
        </w:tc>
        <w:tc>
          <w:tcPr>
            <w:tcW w:w="2985" w:type="dxa"/>
            <w:gridSpan w:val="5"/>
            <w:shd w:val="clear" w:color="auto" w:fill="auto"/>
          </w:tcPr>
          <w:p w:rsidR="00E61FF7" w:rsidRPr="00D55DC6" w:rsidRDefault="00E61FF7" w:rsidP="00742A58">
            <w:pPr>
              <w:spacing w:before="60" w:after="60" w:line="300" w:lineRule="exact"/>
              <w:jc w:val="both"/>
              <w:rPr>
                <w:rFonts w:ascii="標楷體" w:eastAsia="標楷體" w:hAnsi="標楷體"/>
                <w:bCs/>
              </w:rPr>
            </w:pPr>
            <w:r w:rsidRPr="00D55DC6">
              <w:rPr>
                <w:rFonts w:ascii="標楷體" w:eastAsia="標楷體" w:hAnsi="標楷體" w:hint="eastAsia"/>
                <w:bCs/>
              </w:rPr>
              <w:t>為考量攜帶幼兒者不一定為女性，於設置親子廁所及育嬰室等設施時，將以獨立式無性別空間方式規劃，以提供男性帶小孩如廁、餵奶之需求，消除刻板印象之效果。</w:t>
            </w:r>
          </w:p>
        </w:tc>
        <w:tc>
          <w:tcPr>
            <w:tcW w:w="3893" w:type="dxa"/>
            <w:gridSpan w:val="3"/>
            <w:shd w:val="clear" w:color="auto" w:fill="auto"/>
            <w:vAlign w:val="center"/>
          </w:tcPr>
          <w:p w:rsidR="00E61FF7" w:rsidRPr="00D55DC6" w:rsidRDefault="00E61FF7" w:rsidP="00742A58">
            <w:pPr>
              <w:adjustRightInd w:val="0"/>
              <w:snapToGrid w:val="0"/>
              <w:spacing w:line="240" w:lineRule="atLeast"/>
              <w:ind w:leftChars="-8" w:left="-9" w:hangingChars="4" w:hanging="10"/>
              <w:jc w:val="both"/>
              <w:rPr>
                <w:rFonts w:ascii="標楷體" w:eastAsia="標楷體" w:hAnsi="標楷體"/>
              </w:rPr>
            </w:pPr>
            <w:r w:rsidRPr="00D55DC6">
              <w:rPr>
                <w:rFonts w:ascii="標楷體" w:eastAsia="標楷體" w:hAnsi="標楷體"/>
              </w:rPr>
              <w:t>說明計畫如何預防或消除傳統文化對不同性別、性傾向或性別認同者之限制或僵化期待。</w:t>
            </w:r>
          </w:p>
        </w:tc>
      </w:tr>
      <w:tr w:rsidR="001D0350" w:rsidRPr="00D55DC6" w:rsidTr="00742A58">
        <w:trPr>
          <w:trHeight w:val="446"/>
        </w:trPr>
        <w:tc>
          <w:tcPr>
            <w:tcW w:w="3845" w:type="dxa"/>
            <w:gridSpan w:val="7"/>
            <w:shd w:val="clear" w:color="auto" w:fill="auto"/>
            <w:vAlign w:val="center"/>
          </w:tcPr>
          <w:p w:rsidR="00E61FF7" w:rsidRPr="00D55DC6" w:rsidRDefault="00E61FF7" w:rsidP="00742A58">
            <w:pPr>
              <w:adjustRightInd w:val="0"/>
              <w:snapToGrid w:val="0"/>
              <w:spacing w:line="240" w:lineRule="atLeast"/>
              <w:ind w:leftChars="33" w:left="521" w:rightChars="-9" w:right="-22" w:hangingChars="184" w:hanging="442"/>
              <w:jc w:val="both"/>
              <w:rPr>
                <w:rFonts w:ascii="標楷體" w:eastAsia="標楷體" w:hAnsi="標楷體"/>
                <w:b/>
              </w:rPr>
            </w:pPr>
            <w:r w:rsidRPr="00D55DC6">
              <w:rPr>
                <w:rFonts w:ascii="標楷體" w:eastAsia="標楷體" w:hAnsi="標楷體"/>
                <w:b/>
              </w:rPr>
              <w:t>8-7 平等取得社會資源：</w:t>
            </w:r>
            <w:r w:rsidRPr="00D55DC6">
              <w:rPr>
                <w:rFonts w:ascii="標楷體" w:eastAsia="標楷體" w:hAnsi="標楷體"/>
              </w:rPr>
              <w:t>計畫如何提升平等獲取社會資源機會</w:t>
            </w:r>
          </w:p>
        </w:tc>
        <w:tc>
          <w:tcPr>
            <w:tcW w:w="2985" w:type="dxa"/>
            <w:gridSpan w:val="5"/>
            <w:shd w:val="clear" w:color="auto" w:fill="auto"/>
          </w:tcPr>
          <w:p w:rsidR="00E61FF7" w:rsidRPr="00D55DC6" w:rsidRDefault="00E61FF7" w:rsidP="00742A58">
            <w:pPr>
              <w:spacing w:before="60" w:after="60" w:line="300" w:lineRule="exact"/>
              <w:jc w:val="both"/>
              <w:rPr>
                <w:rFonts w:ascii="標楷體" w:eastAsia="標楷體" w:hAnsi="標楷體"/>
                <w:bCs/>
              </w:rPr>
            </w:pPr>
            <w:r w:rsidRPr="00D55DC6">
              <w:rPr>
                <w:rFonts w:ascii="標楷體" w:eastAsia="標楷體" w:hAnsi="標楷體" w:hint="eastAsia"/>
                <w:bCs/>
              </w:rPr>
              <w:t>設置獨立式無性別空間親子廁所，以提升不同性別、性傾向或性別認同者平等獲取社會資源機會。</w:t>
            </w:r>
          </w:p>
        </w:tc>
        <w:tc>
          <w:tcPr>
            <w:tcW w:w="3893" w:type="dxa"/>
            <w:gridSpan w:val="3"/>
            <w:shd w:val="clear" w:color="auto" w:fill="auto"/>
            <w:vAlign w:val="center"/>
          </w:tcPr>
          <w:p w:rsidR="00E61FF7" w:rsidRPr="00D55DC6" w:rsidRDefault="00E61FF7" w:rsidP="00742A58">
            <w:pPr>
              <w:adjustRightInd w:val="0"/>
              <w:snapToGrid w:val="0"/>
              <w:spacing w:line="240" w:lineRule="atLeast"/>
              <w:ind w:leftChars="-8" w:left="-9" w:hangingChars="4" w:hanging="10"/>
              <w:jc w:val="both"/>
              <w:rPr>
                <w:rFonts w:ascii="標楷體" w:eastAsia="標楷體" w:hAnsi="標楷體"/>
              </w:rPr>
            </w:pPr>
            <w:r w:rsidRPr="00D55DC6">
              <w:rPr>
                <w:rFonts w:ascii="標楷體" w:eastAsia="標楷體" w:hAnsi="標楷體"/>
              </w:rPr>
              <w:t>說明計畫如何提供不同性別、性傾向或性別認同者平等機會獲取社會資源，提升其參與社會及公共事務之機會。</w:t>
            </w:r>
          </w:p>
        </w:tc>
      </w:tr>
      <w:tr w:rsidR="001D0350" w:rsidRPr="00D55DC6" w:rsidTr="00742A58">
        <w:trPr>
          <w:trHeight w:val="446"/>
        </w:trPr>
        <w:tc>
          <w:tcPr>
            <w:tcW w:w="3845" w:type="dxa"/>
            <w:gridSpan w:val="7"/>
            <w:shd w:val="clear" w:color="auto" w:fill="auto"/>
            <w:vAlign w:val="center"/>
          </w:tcPr>
          <w:p w:rsidR="00E61FF7" w:rsidRPr="00D55DC6" w:rsidRDefault="00E61FF7" w:rsidP="00742A58">
            <w:pPr>
              <w:adjustRightInd w:val="0"/>
              <w:snapToGrid w:val="0"/>
              <w:spacing w:line="240" w:lineRule="atLeast"/>
              <w:ind w:leftChars="33" w:left="521" w:rightChars="-9" w:right="-22" w:hangingChars="184" w:hanging="442"/>
              <w:jc w:val="both"/>
              <w:rPr>
                <w:rFonts w:ascii="標楷體" w:eastAsia="標楷體" w:hAnsi="標楷體"/>
                <w:b/>
              </w:rPr>
            </w:pPr>
            <w:r w:rsidRPr="00D55DC6">
              <w:rPr>
                <w:rFonts w:ascii="標楷體" w:eastAsia="標楷體" w:hAnsi="標楷體"/>
                <w:b/>
              </w:rPr>
              <w:t>8-8空間與工程效益</w:t>
            </w:r>
            <w:r w:rsidRPr="00D55DC6">
              <w:rPr>
                <w:rFonts w:ascii="標楷體" w:eastAsia="標楷體" w:hAnsi="標楷體"/>
              </w:rPr>
              <w:t>：軟硬體的公共空間之空間規劃與工程設計，在空間使用性、安全性、友善性上之具體效益</w:t>
            </w:r>
          </w:p>
        </w:tc>
        <w:tc>
          <w:tcPr>
            <w:tcW w:w="2985" w:type="dxa"/>
            <w:gridSpan w:val="5"/>
            <w:shd w:val="clear" w:color="auto" w:fill="auto"/>
            <w:vAlign w:val="center"/>
          </w:tcPr>
          <w:p w:rsidR="00E61FF7" w:rsidRPr="00D55DC6" w:rsidRDefault="00E61FF7" w:rsidP="00742A58">
            <w:pPr>
              <w:adjustRightInd w:val="0"/>
              <w:snapToGrid w:val="0"/>
              <w:spacing w:line="240" w:lineRule="atLeast"/>
              <w:ind w:leftChars="4" w:left="204" w:hangingChars="81" w:hanging="194"/>
              <w:jc w:val="both"/>
              <w:rPr>
                <w:rFonts w:ascii="標楷體" w:eastAsia="標楷體" w:hAnsi="標楷體"/>
              </w:rPr>
            </w:pPr>
            <w:r w:rsidRPr="00D55DC6">
              <w:rPr>
                <w:rFonts w:ascii="標楷體" w:eastAsia="標楷體" w:hAnsi="標楷體" w:hint="eastAsia"/>
              </w:rPr>
              <w:t>1.考量男女</w:t>
            </w:r>
            <w:r w:rsidRPr="00D55DC6">
              <w:rPr>
                <w:rFonts w:ascii="標楷體" w:eastAsia="標楷體" w:hAnsi="標楷體"/>
              </w:rPr>
              <w:t>如廁次數與時間不</w:t>
            </w:r>
            <w:r w:rsidRPr="00D55DC6">
              <w:rPr>
                <w:rFonts w:ascii="標楷體" w:eastAsia="標楷體" w:hAnsi="標楷體" w:hint="eastAsia"/>
              </w:rPr>
              <w:t>同</w:t>
            </w:r>
            <w:r w:rsidRPr="00D55DC6">
              <w:rPr>
                <w:rFonts w:ascii="標楷體" w:eastAsia="標楷體" w:hAnsi="標楷體"/>
              </w:rPr>
              <w:t>，廁所工程擬採男女廁1比3規劃，即女廁數量比男廁多出2倍，並設置親子廁所，以落實性</w:t>
            </w:r>
            <w:r w:rsidRPr="00D55DC6">
              <w:rPr>
                <w:rFonts w:ascii="標楷體" w:eastAsia="標楷體" w:hAnsi="標楷體" w:hint="eastAsia"/>
              </w:rPr>
              <w:t>別</w:t>
            </w:r>
            <w:r w:rsidRPr="00D55DC6">
              <w:rPr>
                <w:rFonts w:ascii="標楷體" w:eastAsia="標楷體" w:hAnsi="標楷體"/>
              </w:rPr>
              <w:t>平等及建</w:t>
            </w:r>
            <w:r w:rsidRPr="00D55DC6">
              <w:rPr>
                <w:rFonts w:ascii="標楷體" w:eastAsia="標楷體" w:hAnsi="標楷體" w:hint="eastAsia"/>
              </w:rPr>
              <w:t>立</w:t>
            </w:r>
            <w:r w:rsidRPr="00D55DC6">
              <w:rPr>
                <w:rFonts w:ascii="標楷體" w:eastAsia="標楷體" w:hAnsi="標楷體"/>
              </w:rPr>
              <w:t>婦</w:t>
            </w:r>
            <w:r w:rsidRPr="00D55DC6">
              <w:rPr>
                <w:rFonts w:ascii="標楷體" w:eastAsia="標楷體" w:hAnsi="標楷體" w:hint="eastAsia"/>
              </w:rPr>
              <w:t>幼</w:t>
            </w:r>
            <w:r w:rsidRPr="00D55DC6">
              <w:rPr>
                <w:rFonts w:ascii="標楷體" w:eastAsia="標楷體" w:hAnsi="標楷體"/>
              </w:rPr>
              <w:t>親善環境。</w:t>
            </w:r>
          </w:p>
          <w:p w:rsidR="00E61FF7" w:rsidRPr="00D55DC6" w:rsidRDefault="00E61FF7" w:rsidP="00742A58">
            <w:pPr>
              <w:adjustRightInd w:val="0"/>
              <w:snapToGrid w:val="0"/>
              <w:spacing w:line="240" w:lineRule="atLeast"/>
              <w:ind w:leftChars="4" w:left="204" w:hangingChars="81" w:hanging="194"/>
              <w:jc w:val="both"/>
              <w:rPr>
                <w:rFonts w:ascii="標楷體" w:eastAsia="標楷體" w:hAnsi="標楷體"/>
              </w:rPr>
            </w:pPr>
            <w:r w:rsidRPr="00D55DC6">
              <w:rPr>
                <w:rFonts w:ascii="標楷體" w:eastAsia="標楷體" w:hAnsi="標楷體" w:hint="eastAsia"/>
              </w:rPr>
              <w:t>2.本計畫配合性別影響評估，考量婦幼安全，審慎規劃步道鋪設材質、護欄高度、公廁空間規劃等相關友善設施。</w:t>
            </w:r>
          </w:p>
        </w:tc>
        <w:tc>
          <w:tcPr>
            <w:tcW w:w="3893" w:type="dxa"/>
            <w:gridSpan w:val="3"/>
            <w:shd w:val="clear" w:color="auto" w:fill="auto"/>
            <w:vAlign w:val="center"/>
          </w:tcPr>
          <w:p w:rsidR="00E61FF7" w:rsidRPr="00D55DC6" w:rsidRDefault="00E61FF7" w:rsidP="00742A58">
            <w:pPr>
              <w:adjustRightInd w:val="0"/>
              <w:snapToGrid w:val="0"/>
              <w:spacing w:line="240" w:lineRule="atLeast"/>
              <w:ind w:leftChars="4" w:left="204" w:hangingChars="81" w:hanging="194"/>
              <w:jc w:val="both"/>
              <w:rPr>
                <w:rFonts w:ascii="標楷體" w:eastAsia="標楷體" w:hAnsi="標楷體"/>
              </w:rPr>
            </w:pPr>
            <w:r w:rsidRPr="00D55DC6">
              <w:rPr>
                <w:rFonts w:ascii="標楷體" w:eastAsia="標楷體" w:hAnsi="標楷體"/>
              </w:rPr>
              <w:t>1.使用性：兼顧不同生理差異所產生的不同需求。</w:t>
            </w:r>
          </w:p>
          <w:p w:rsidR="00E61FF7" w:rsidRPr="00D55DC6" w:rsidRDefault="00E61FF7" w:rsidP="00742A58">
            <w:pPr>
              <w:adjustRightInd w:val="0"/>
              <w:snapToGrid w:val="0"/>
              <w:spacing w:line="240" w:lineRule="atLeast"/>
              <w:ind w:leftChars="4" w:left="204" w:hangingChars="81" w:hanging="194"/>
              <w:jc w:val="both"/>
              <w:rPr>
                <w:rFonts w:ascii="標楷體" w:eastAsia="標楷體" w:hAnsi="標楷體"/>
              </w:rPr>
            </w:pPr>
            <w:r w:rsidRPr="00D55DC6">
              <w:rPr>
                <w:rFonts w:ascii="標楷體" w:eastAsia="標楷體" w:hAnsi="標楷體"/>
              </w:rPr>
              <w:t>2.安全性：消除空間死角、相關安全設施。</w:t>
            </w:r>
          </w:p>
          <w:p w:rsidR="00E61FF7" w:rsidRPr="00D55DC6" w:rsidRDefault="00E61FF7" w:rsidP="00742A58">
            <w:pPr>
              <w:adjustRightInd w:val="0"/>
              <w:snapToGrid w:val="0"/>
              <w:spacing w:line="240" w:lineRule="atLeast"/>
              <w:ind w:leftChars="4" w:left="204" w:hangingChars="81" w:hanging="194"/>
              <w:jc w:val="both"/>
              <w:rPr>
                <w:rFonts w:ascii="標楷體" w:eastAsia="標楷體" w:hAnsi="標楷體"/>
              </w:rPr>
            </w:pPr>
            <w:r w:rsidRPr="00D55DC6">
              <w:rPr>
                <w:rFonts w:ascii="標楷體" w:eastAsia="標楷體" w:hAnsi="標楷體"/>
              </w:rPr>
              <w:t>3.友善性：兼顧性別、性傾向或性別認同者之特殊使用需求。</w:t>
            </w:r>
          </w:p>
        </w:tc>
      </w:tr>
      <w:tr w:rsidR="001D0350" w:rsidRPr="00D55DC6" w:rsidTr="00742A58">
        <w:trPr>
          <w:trHeight w:val="3032"/>
        </w:trPr>
        <w:tc>
          <w:tcPr>
            <w:tcW w:w="3845" w:type="dxa"/>
            <w:gridSpan w:val="7"/>
            <w:tcBorders>
              <w:bottom w:val="thickThinSmallGap" w:sz="24" w:space="0" w:color="auto"/>
            </w:tcBorders>
            <w:shd w:val="clear" w:color="auto" w:fill="auto"/>
            <w:vAlign w:val="center"/>
          </w:tcPr>
          <w:p w:rsidR="00E61FF7" w:rsidRPr="00D55DC6" w:rsidRDefault="00E61FF7" w:rsidP="00742A58">
            <w:pPr>
              <w:adjustRightInd w:val="0"/>
              <w:snapToGrid w:val="0"/>
              <w:spacing w:line="240" w:lineRule="atLeast"/>
              <w:ind w:leftChars="33" w:left="521" w:rightChars="-9" w:right="-22" w:hangingChars="184" w:hanging="442"/>
              <w:jc w:val="both"/>
              <w:rPr>
                <w:rFonts w:ascii="標楷體" w:eastAsia="標楷體" w:hAnsi="標楷體"/>
              </w:rPr>
            </w:pPr>
            <w:r w:rsidRPr="00D55DC6">
              <w:rPr>
                <w:rFonts w:ascii="標楷體" w:eastAsia="標楷體" w:hAnsi="標楷體"/>
                <w:b/>
              </w:rPr>
              <w:lastRenderedPageBreak/>
              <w:t>8-9設立考核指標與機制</w:t>
            </w:r>
            <w:r w:rsidRPr="00D55DC6">
              <w:rPr>
                <w:rFonts w:ascii="標楷體" w:eastAsia="標楷體" w:hAnsi="標楷體"/>
              </w:rPr>
              <w:t>：計畫如何設立性別敏感指標，並且透過制度化的機制，以便監督計畫的影響程度</w:t>
            </w:r>
          </w:p>
        </w:tc>
        <w:tc>
          <w:tcPr>
            <w:tcW w:w="2985" w:type="dxa"/>
            <w:gridSpan w:val="5"/>
            <w:tcBorders>
              <w:bottom w:val="thickThinSmallGap" w:sz="24" w:space="0" w:color="auto"/>
            </w:tcBorders>
            <w:shd w:val="clear" w:color="auto" w:fill="auto"/>
            <w:vAlign w:val="center"/>
          </w:tcPr>
          <w:p w:rsidR="00E61FF7" w:rsidRPr="00D55DC6" w:rsidRDefault="00E61FF7" w:rsidP="00742A58">
            <w:pPr>
              <w:adjustRightInd w:val="0"/>
              <w:snapToGrid w:val="0"/>
              <w:spacing w:line="240" w:lineRule="atLeast"/>
              <w:ind w:rightChars="-45" w:right="-108"/>
              <w:jc w:val="both"/>
              <w:rPr>
                <w:rFonts w:ascii="標楷體" w:eastAsia="標楷體" w:hAnsi="標楷體"/>
              </w:rPr>
            </w:pPr>
            <w:r w:rsidRPr="00D55DC6">
              <w:rPr>
                <w:rFonts w:ascii="標楷體" w:eastAsia="標楷體" w:hAnsi="標楷體" w:hint="eastAsia"/>
              </w:rPr>
              <w:t>本計畫設定「性別友善設施完成數」為考核指標。</w:t>
            </w:r>
          </w:p>
        </w:tc>
        <w:tc>
          <w:tcPr>
            <w:tcW w:w="3893" w:type="dxa"/>
            <w:gridSpan w:val="3"/>
            <w:tcBorders>
              <w:bottom w:val="thickThinSmallGap" w:sz="24" w:space="0" w:color="auto"/>
            </w:tcBorders>
            <w:shd w:val="clear" w:color="auto" w:fill="auto"/>
            <w:vAlign w:val="center"/>
          </w:tcPr>
          <w:p w:rsidR="00E61FF7" w:rsidRPr="00D55DC6" w:rsidRDefault="00E61FF7" w:rsidP="00742A58">
            <w:pPr>
              <w:adjustRightInd w:val="0"/>
              <w:snapToGrid w:val="0"/>
              <w:spacing w:line="240" w:lineRule="atLeast"/>
              <w:ind w:leftChars="4" w:left="204" w:hangingChars="81" w:hanging="194"/>
              <w:jc w:val="both"/>
              <w:rPr>
                <w:rFonts w:ascii="標楷體" w:eastAsia="標楷體" w:hAnsi="標楷體"/>
              </w:rPr>
            </w:pPr>
            <w:r w:rsidRPr="00D55DC6">
              <w:rPr>
                <w:rFonts w:ascii="標楷體" w:eastAsia="標楷體" w:hAnsi="標楷體"/>
              </w:rPr>
              <w:t>1.為衡量性別目標達成情形，計畫如何訂定相關預期績效指標及評估基準（績效指標，後續請依「行政院所屬各機關</w:t>
            </w:r>
            <w:r w:rsidRPr="00D55DC6">
              <w:rPr>
                <w:rFonts w:ascii="標楷體" w:eastAsia="標楷體" w:hAnsi="標楷體" w:hint="eastAsia"/>
              </w:rPr>
              <w:t>個案</w:t>
            </w:r>
            <w:r w:rsidRPr="00D55DC6">
              <w:rPr>
                <w:rFonts w:ascii="標楷體" w:eastAsia="標楷體" w:hAnsi="標楷體"/>
              </w:rPr>
              <w:t>計畫管制</w:t>
            </w:r>
            <w:r w:rsidRPr="00D55DC6">
              <w:rPr>
                <w:rFonts w:ascii="標楷體" w:eastAsia="標楷體" w:hAnsi="標楷體" w:hint="eastAsia"/>
              </w:rPr>
              <w:t>評核</w:t>
            </w:r>
            <w:r w:rsidRPr="00D55DC6">
              <w:rPr>
                <w:rFonts w:ascii="標楷體" w:eastAsia="標楷體" w:hAnsi="標楷體"/>
              </w:rPr>
              <w:t>作業要點」納入年度管制作業計畫評核）。</w:t>
            </w:r>
          </w:p>
          <w:p w:rsidR="00E61FF7" w:rsidRPr="00D55DC6" w:rsidRDefault="00E61FF7" w:rsidP="00742A58">
            <w:pPr>
              <w:adjustRightInd w:val="0"/>
              <w:snapToGrid w:val="0"/>
              <w:spacing w:line="240" w:lineRule="atLeast"/>
              <w:ind w:leftChars="4" w:left="204" w:hangingChars="81" w:hanging="194"/>
              <w:jc w:val="both"/>
              <w:rPr>
                <w:rFonts w:ascii="標楷體" w:eastAsia="標楷體" w:hAnsi="標楷體"/>
              </w:rPr>
            </w:pPr>
            <w:r w:rsidRPr="00D55DC6">
              <w:rPr>
                <w:rFonts w:ascii="標楷體" w:eastAsia="標楷體" w:hAnsi="標楷體"/>
              </w:rPr>
              <w:t>2.說明性別敏感指標，並考量不同性別、性傾向或性別認同者之年齡、族群、地區等面向。</w:t>
            </w:r>
          </w:p>
        </w:tc>
      </w:tr>
      <w:tr w:rsidR="001D0350" w:rsidRPr="00D55DC6" w:rsidTr="00742A58">
        <w:trPr>
          <w:trHeight w:val="606"/>
        </w:trPr>
        <w:tc>
          <w:tcPr>
            <w:tcW w:w="10723" w:type="dxa"/>
            <w:gridSpan w:val="15"/>
            <w:tcBorders>
              <w:top w:val="thickThinSmallGap" w:sz="24" w:space="0" w:color="auto"/>
              <w:left w:val="single" w:sz="4" w:space="0" w:color="auto"/>
              <w:bottom w:val="single" w:sz="8" w:space="0" w:color="auto"/>
              <w:right w:val="single" w:sz="4" w:space="0" w:color="auto"/>
            </w:tcBorders>
            <w:shd w:val="clear" w:color="auto" w:fill="auto"/>
            <w:vAlign w:val="center"/>
          </w:tcPr>
          <w:p w:rsidR="00E61FF7" w:rsidRPr="00D55DC6" w:rsidRDefault="00E61FF7" w:rsidP="00742A58">
            <w:pPr>
              <w:spacing w:before="60" w:after="60" w:line="300" w:lineRule="exact"/>
              <w:ind w:left="1670" w:hangingChars="695" w:hanging="1670"/>
              <w:jc w:val="both"/>
              <w:rPr>
                <w:rFonts w:ascii="標楷體" w:eastAsia="標楷體" w:hAnsi="標楷體"/>
                <w:b/>
              </w:rPr>
            </w:pPr>
            <w:r w:rsidRPr="00D55DC6">
              <w:rPr>
                <w:rFonts w:ascii="標楷體" w:eastAsia="標楷體" w:hAnsi="標楷體" w:hint="eastAsia"/>
                <w:b/>
              </w:rPr>
              <w:t>玖</w:t>
            </w:r>
            <w:r w:rsidRPr="00D55DC6">
              <w:rPr>
                <w:rFonts w:ascii="標楷體" w:eastAsia="標楷體" w:hAnsi="標楷體"/>
                <w:b/>
              </w:rPr>
              <w:t>、評估結果：請填表人依據性別平等專家學者意見之檢視意見提出綜合說明，包括對「第二部分、程序參與」主要意見參採情形、採納意見之計畫調整情形、無法採納意見之理由或替代規劃等。</w:t>
            </w:r>
          </w:p>
        </w:tc>
      </w:tr>
      <w:tr w:rsidR="001D0350" w:rsidRPr="00D55DC6" w:rsidTr="00742A58">
        <w:trPr>
          <w:trHeight w:val="796"/>
        </w:trPr>
        <w:tc>
          <w:tcPr>
            <w:tcW w:w="2977" w:type="dxa"/>
            <w:gridSpan w:val="3"/>
            <w:tcBorders>
              <w:top w:val="single" w:sz="8" w:space="0" w:color="auto"/>
            </w:tcBorders>
            <w:shd w:val="clear" w:color="auto" w:fill="auto"/>
            <w:vAlign w:val="center"/>
          </w:tcPr>
          <w:p w:rsidR="00E61FF7" w:rsidRPr="00D55DC6" w:rsidRDefault="00E61FF7" w:rsidP="00742A58">
            <w:pPr>
              <w:adjustRightInd w:val="0"/>
              <w:snapToGrid w:val="0"/>
              <w:spacing w:line="360" w:lineRule="atLeast"/>
              <w:ind w:leftChars="22" w:left="433" w:rightChars="-45" w:right="-108" w:hangingChars="158" w:hanging="380"/>
              <w:rPr>
                <w:rFonts w:ascii="標楷體" w:eastAsia="標楷體" w:hAnsi="標楷體"/>
                <w:b/>
              </w:rPr>
            </w:pPr>
            <w:r w:rsidRPr="00D55DC6">
              <w:rPr>
                <w:rFonts w:ascii="標楷體" w:eastAsia="標楷體" w:hAnsi="標楷體" w:hint="eastAsia"/>
                <w:b/>
              </w:rPr>
              <w:t>9</w:t>
            </w:r>
            <w:r w:rsidRPr="00D55DC6">
              <w:rPr>
                <w:rFonts w:ascii="標楷體" w:eastAsia="標楷體" w:hAnsi="標楷體"/>
                <w:b/>
              </w:rPr>
              <w:t>-1評估結果之綜合說明</w:t>
            </w:r>
          </w:p>
        </w:tc>
        <w:tc>
          <w:tcPr>
            <w:tcW w:w="7746" w:type="dxa"/>
            <w:gridSpan w:val="12"/>
            <w:tcBorders>
              <w:top w:val="single" w:sz="8" w:space="0" w:color="auto"/>
            </w:tcBorders>
            <w:shd w:val="clear" w:color="auto" w:fill="auto"/>
          </w:tcPr>
          <w:p w:rsidR="00E61FF7" w:rsidRPr="00D55DC6" w:rsidRDefault="00E61FF7" w:rsidP="00742A58">
            <w:pPr>
              <w:adjustRightInd w:val="0"/>
              <w:snapToGrid w:val="0"/>
              <w:spacing w:line="360" w:lineRule="atLeast"/>
              <w:ind w:leftChars="14" w:left="34" w:rightChars="-45" w:right="-108"/>
              <w:rPr>
                <w:rFonts w:ascii="標楷體" w:eastAsia="標楷體" w:hAnsi="標楷體"/>
                <w:b/>
              </w:rPr>
            </w:pPr>
            <w:r w:rsidRPr="00D55DC6">
              <w:rPr>
                <w:rFonts w:ascii="標楷體" w:eastAsia="標楷體" w:hAnsi="標楷體" w:hint="eastAsia"/>
                <w:b/>
              </w:rPr>
              <w:t>本案經程序參與由專家學者提供審查意見顯示本計畫之相關資料尚屬完整，但均有改善空間，本局均參採納入修正；有關參與時機及方式之合宜性，評估結果為適切。</w:t>
            </w:r>
          </w:p>
        </w:tc>
      </w:tr>
      <w:tr w:rsidR="001D0350" w:rsidRPr="00D55DC6" w:rsidTr="00742A58">
        <w:trPr>
          <w:trHeight w:val="708"/>
        </w:trPr>
        <w:tc>
          <w:tcPr>
            <w:tcW w:w="2977" w:type="dxa"/>
            <w:gridSpan w:val="3"/>
            <w:vMerge w:val="restart"/>
            <w:shd w:val="clear" w:color="auto" w:fill="auto"/>
            <w:vAlign w:val="center"/>
          </w:tcPr>
          <w:p w:rsidR="00E61FF7" w:rsidRPr="00D55DC6" w:rsidRDefault="00E61FF7" w:rsidP="00742A58">
            <w:pPr>
              <w:adjustRightInd w:val="0"/>
              <w:snapToGrid w:val="0"/>
              <w:spacing w:line="360" w:lineRule="atLeast"/>
              <w:ind w:leftChars="22" w:left="433" w:rightChars="-45" w:right="-108" w:hangingChars="158" w:hanging="380"/>
              <w:rPr>
                <w:rFonts w:ascii="標楷體" w:eastAsia="標楷體" w:hAnsi="標楷體"/>
                <w:b/>
              </w:rPr>
            </w:pPr>
            <w:r w:rsidRPr="00D55DC6">
              <w:rPr>
                <w:rFonts w:ascii="標楷體" w:eastAsia="標楷體" w:hAnsi="標楷體" w:hint="eastAsia"/>
                <w:b/>
              </w:rPr>
              <w:t>9</w:t>
            </w:r>
            <w:r w:rsidRPr="00D55DC6">
              <w:rPr>
                <w:rFonts w:ascii="標楷體" w:eastAsia="標楷體" w:hAnsi="標楷體"/>
                <w:b/>
              </w:rPr>
              <w:t>-2參採情形</w:t>
            </w:r>
          </w:p>
        </w:tc>
        <w:tc>
          <w:tcPr>
            <w:tcW w:w="2552" w:type="dxa"/>
            <w:gridSpan w:val="8"/>
            <w:shd w:val="clear" w:color="auto" w:fill="auto"/>
          </w:tcPr>
          <w:p w:rsidR="00E61FF7" w:rsidRPr="00D55DC6" w:rsidRDefault="00E61FF7" w:rsidP="00742A58">
            <w:pPr>
              <w:adjustRightInd w:val="0"/>
              <w:snapToGrid w:val="0"/>
              <w:spacing w:line="360" w:lineRule="atLeast"/>
              <w:ind w:leftChars="21" w:left="771" w:rightChars="-45" w:right="-108" w:hangingChars="300" w:hanging="721"/>
              <w:rPr>
                <w:rFonts w:ascii="標楷體" w:eastAsia="標楷體" w:hAnsi="標楷體"/>
                <w:b/>
              </w:rPr>
            </w:pPr>
            <w:r w:rsidRPr="00D55DC6">
              <w:rPr>
                <w:rFonts w:ascii="標楷體" w:eastAsia="標楷體" w:hAnsi="標楷體" w:hint="eastAsia"/>
                <w:b/>
              </w:rPr>
              <w:t>9</w:t>
            </w:r>
            <w:r w:rsidRPr="00D55DC6">
              <w:rPr>
                <w:rFonts w:ascii="標楷體" w:eastAsia="標楷體" w:hAnsi="標楷體"/>
                <w:b/>
              </w:rPr>
              <w:t>-2-1說明採納意見後之計畫調整</w:t>
            </w:r>
          </w:p>
        </w:tc>
        <w:tc>
          <w:tcPr>
            <w:tcW w:w="5194" w:type="dxa"/>
            <w:gridSpan w:val="4"/>
            <w:shd w:val="clear" w:color="auto" w:fill="auto"/>
          </w:tcPr>
          <w:p w:rsidR="00E61FF7" w:rsidRPr="00D55DC6" w:rsidRDefault="00E61FF7" w:rsidP="004865C1">
            <w:pPr>
              <w:pStyle w:val="af2"/>
              <w:numPr>
                <w:ilvl w:val="0"/>
                <w:numId w:val="229"/>
              </w:numPr>
              <w:adjustRightInd w:val="0"/>
              <w:snapToGrid w:val="0"/>
              <w:spacing w:line="360" w:lineRule="atLeast"/>
              <w:ind w:leftChars="0" w:left="317" w:rightChars="-45" w:right="-108" w:hanging="317"/>
              <w:rPr>
                <w:rFonts w:ascii="標楷體" w:eastAsia="標楷體" w:hAnsi="標楷體"/>
                <w:b/>
              </w:rPr>
            </w:pPr>
            <w:r w:rsidRPr="00D55DC6">
              <w:rPr>
                <w:rFonts w:ascii="標楷體" w:eastAsia="標楷體" w:hAnsi="標楷體" w:hint="eastAsia"/>
                <w:b/>
              </w:rPr>
              <w:t>有關10-6及10-9意見，將於未來另案辦理「國家風景區遊客調查報告」時，將以性別為區隔變數進行差異性比較分析，了解不同性別的滿意度差異；若在預算支持下，將增加產業調查，以了解不同性別者因政策推動下，就業與創業的趨勢變化。</w:t>
            </w:r>
          </w:p>
          <w:p w:rsidR="00E61FF7" w:rsidRPr="00D55DC6" w:rsidRDefault="00E61FF7" w:rsidP="004865C1">
            <w:pPr>
              <w:pStyle w:val="af2"/>
              <w:numPr>
                <w:ilvl w:val="0"/>
                <w:numId w:val="229"/>
              </w:numPr>
              <w:adjustRightInd w:val="0"/>
              <w:snapToGrid w:val="0"/>
              <w:spacing w:line="360" w:lineRule="atLeast"/>
              <w:ind w:leftChars="0" w:left="317" w:rightChars="-45" w:right="-108" w:hanging="317"/>
              <w:rPr>
                <w:rFonts w:ascii="標楷體" w:eastAsia="標楷體" w:hAnsi="標楷體"/>
                <w:b/>
              </w:rPr>
            </w:pPr>
            <w:r w:rsidRPr="00D55DC6">
              <w:rPr>
                <w:rFonts w:ascii="標楷體" w:eastAsia="標楷體" w:hAnsi="標楷體" w:hint="eastAsia"/>
                <w:b/>
              </w:rPr>
              <w:t>有關10-7意見，已訂定「性別友善設施完成數」為性別目標。</w:t>
            </w:r>
          </w:p>
          <w:p w:rsidR="00E61FF7" w:rsidRPr="00D55DC6" w:rsidRDefault="00E61FF7" w:rsidP="004865C1">
            <w:pPr>
              <w:pStyle w:val="af2"/>
              <w:numPr>
                <w:ilvl w:val="0"/>
                <w:numId w:val="229"/>
              </w:numPr>
              <w:adjustRightInd w:val="0"/>
              <w:snapToGrid w:val="0"/>
              <w:spacing w:line="360" w:lineRule="atLeast"/>
              <w:ind w:leftChars="0" w:left="317" w:rightChars="-45" w:right="-108" w:hanging="317"/>
              <w:rPr>
                <w:rFonts w:ascii="標楷體" w:eastAsia="標楷體" w:hAnsi="標楷體"/>
                <w:b/>
              </w:rPr>
            </w:pPr>
            <w:r w:rsidRPr="00D55DC6">
              <w:rPr>
                <w:rFonts w:ascii="標楷體" w:eastAsia="標楷體" w:hAnsi="標楷體" w:hint="eastAsia"/>
                <w:b/>
              </w:rPr>
              <w:t>有關10-8及10-10意見，將於遊憩區環境改善時，強化性別友善設施營運管理面(如無障礙旅遊環境、性別友善設施)，落實性別友善環境建立。</w:t>
            </w:r>
          </w:p>
        </w:tc>
      </w:tr>
      <w:tr w:rsidR="001D0350" w:rsidRPr="00D55DC6" w:rsidTr="00742A58">
        <w:trPr>
          <w:trHeight w:val="693"/>
        </w:trPr>
        <w:tc>
          <w:tcPr>
            <w:tcW w:w="2977" w:type="dxa"/>
            <w:gridSpan w:val="3"/>
            <w:vMerge/>
            <w:shd w:val="clear" w:color="auto" w:fill="auto"/>
          </w:tcPr>
          <w:p w:rsidR="00E61FF7" w:rsidRPr="00D55DC6" w:rsidRDefault="00E61FF7" w:rsidP="00742A58">
            <w:pPr>
              <w:adjustRightInd w:val="0"/>
              <w:snapToGrid w:val="0"/>
              <w:spacing w:line="360" w:lineRule="atLeast"/>
              <w:ind w:leftChars="22" w:left="433" w:rightChars="-45" w:right="-108" w:hangingChars="158" w:hanging="380"/>
              <w:rPr>
                <w:rFonts w:ascii="標楷體" w:eastAsia="標楷體" w:hAnsi="標楷體"/>
                <w:b/>
              </w:rPr>
            </w:pPr>
          </w:p>
        </w:tc>
        <w:tc>
          <w:tcPr>
            <w:tcW w:w="2552" w:type="dxa"/>
            <w:gridSpan w:val="8"/>
            <w:shd w:val="clear" w:color="auto" w:fill="auto"/>
          </w:tcPr>
          <w:p w:rsidR="00E61FF7" w:rsidRPr="00D55DC6" w:rsidRDefault="00E61FF7" w:rsidP="00742A58">
            <w:pPr>
              <w:adjustRightInd w:val="0"/>
              <w:snapToGrid w:val="0"/>
              <w:spacing w:line="360" w:lineRule="atLeast"/>
              <w:ind w:leftChars="21" w:left="771" w:rightChars="-45" w:right="-108" w:hangingChars="300" w:hanging="721"/>
              <w:rPr>
                <w:rFonts w:ascii="標楷體" w:eastAsia="標楷體" w:hAnsi="標楷體"/>
                <w:b/>
              </w:rPr>
            </w:pPr>
            <w:r w:rsidRPr="00D55DC6">
              <w:rPr>
                <w:rFonts w:ascii="標楷體" w:eastAsia="標楷體" w:hAnsi="標楷體" w:hint="eastAsia"/>
                <w:b/>
              </w:rPr>
              <w:t>9</w:t>
            </w:r>
            <w:r w:rsidRPr="00D55DC6">
              <w:rPr>
                <w:rFonts w:ascii="標楷體" w:eastAsia="標楷體" w:hAnsi="標楷體"/>
                <w:b/>
              </w:rPr>
              <w:t>-2-2說明未參採之理由或替代規劃</w:t>
            </w:r>
          </w:p>
        </w:tc>
        <w:tc>
          <w:tcPr>
            <w:tcW w:w="5194" w:type="dxa"/>
            <w:gridSpan w:val="4"/>
            <w:shd w:val="clear" w:color="auto" w:fill="auto"/>
          </w:tcPr>
          <w:p w:rsidR="00E61FF7" w:rsidRPr="00D55DC6" w:rsidRDefault="00E61FF7" w:rsidP="00742A58">
            <w:pPr>
              <w:adjustRightInd w:val="0"/>
              <w:snapToGrid w:val="0"/>
              <w:spacing w:line="360" w:lineRule="atLeast"/>
              <w:ind w:rightChars="-45" w:right="-108"/>
              <w:rPr>
                <w:rFonts w:ascii="標楷體" w:eastAsia="標楷體" w:hAnsi="標楷體"/>
                <w:b/>
              </w:rPr>
            </w:pPr>
            <w:r w:rsidRPr="00D55DC6">
              <w:rPr>
                <w:rFonts w:ascii="標楷體" w:eastAsia="標楷體" w:hAnsi="標楷體" w:hint="eastAsia"/>
                <w:b/>
              </w:rPr>
              <w:t>有關10-11「平等取得社會資源，包括工程計畫招標、工作就業等面向，建議納入」之意見，因涉及政府採購法招標規定，將視情參採辦理。</w:t>
            </w:r>
          </w:p>
        </w:tc>
      </w:tr>
      <w:tr w:rsidR="001D0350" w:rsidRPr="00D55DC6" w:rsidTr="00742A58">
        <w:trPr>
          <w:trHeight w:val="740"/>
        </w:trPr>
        <w:tc>
          <w:tcPr>
            <w:tcW w:w="10723" w:type="dxa"/>
            <w:gridSpan w:val="15"/>
            <w:tcBorders>
              <w:bottom w:val="thinThickSmallGap" w:sz="24" w:space="0" w:color="auto"/>
            </w:tcBorders>
            <w:shd w:val="clear" w:color="auto" w:fill="auto"/>
          </w:tcPr>
          <w:p w:rsidR="00E61FF7" w:rsidRPr="00D55DC6" w:rsidRDefault="00E61FF7" w:rsidP="00742A58">
            <w:pPr>
              <w:adjustRightInd w:val="0"/>
              <w:snapToGrid w:val="0"/>
              <w:spacing w:line="360" w:lineRule="atLeast"/>
              <w:ind w:leftChars="23" w:left="538" w:rightChars="-45" w:right="-108" w:hangingChars="201" w:hanging="483"/>
              <w:rPr>
                <w:rFonts w:ascii="標楷體" w:eastAsia="標楷體" w:hAnsi="標楷體"/>
                <w:b/>
              </w:rPr>
            </w:pPr>
            <w:r w:rsidRPr="00D55DC6">
              <w:rPr>
                <w:rFonts w:ascii="標楷體" w:eastAsia="標楷體" w:hAnsi="標楷體" w:hint="eastAsia"/>
                <w:b/>
              </w:rPr>
              <w:t>9</w:t>
            </w:r>
            <w:r w:rsidRPr="00D55DC6">
              <w:rPr>
                <w:rFonts w:ascii="標楷體" w:eastAsia="標楷體" w:hAnsi="標楷體"/>
                <w:b/>
              </w:rPr>
              <w:t>-3通知程序參與之專家學者本計畫的評估結果：</w:t>
            </w:r>
          </w:p>
          <w:p w:rsidR="00E61FF7" w:rsidRPr="00D55DC6" w:rsidRDefault="00E61FF7" w:rsidP="00742A58">
            <w:pPr>
              <w:adjustRightInd w:val="0"/>
              <w:snapToGrid w:val="0"/>
              <w:spacing w:line="360" w:lineRule="atLeast"/>
              <w:ind w:leftChars="186" w:left="458" w:right="-108" w:hangingChars="5" w:hanging="12"/>
              <w:jc w:val="both"/>
              <w:rPr>
                <w:rFonts w:ascii="標楷體" w:eastAsia="標楷體" w:hAnsi="標楷體"/>
                <w:b/>
                <w:strike/>
              </w:rPr>
            </w:pPr>
            <w:r w:rsidRPr="00D55DC6">
              <w:rPr>
                <w:rFonts w:ascii="標楷體" w:eastAsia="標楷體" w:hAnsi="標楷體"/>
                <w:b/>
              </w:rPr>
              <w:t xml:space="preserve">已於 </w:t>
            </w:r>
            <w:r w:rsidRPr="00D55DC6">
              <w:rPr>
                <w:rFonts w:ascii="標楷體" w:eastAsia="標楷體" w:hAnsi="標楷體" w:hint="eastAsia"/>
                <w:b/>
              </w:rPr>
              <w:t>104</w:t>
            </w:r>
            <w:r w:rsidRPr="00D55DC6">
              <w:rPr>
                <w:rFonts w:ascii="標楷體" w:eastAsia="標楷體" w:hAnsi="標楷體"/>
                <w:b/>
              </w:rPr>
              <w:t xml:space="preserve"> 年 </w:t>
            </w:r>
            <w:r w:rsidRPr="00D55DC6">
              <w:rPr>
                <w:rFonts w:ascii="標楷體" w:eastAsia="標楷體" w:hAnsi="標楷體" w:hint="eastAsia"/>
                <w:b/>
              </w:rPr>
              <w:t>2</w:t>
            </w:r>
            <w:r w:rsidRPr="00D55DC6">
              <w:rPr>
                <w:rFonts w:ascii="標楷體" w:eastAsia="標楷體" w:hAnsi="標楷體"/>
                <w:b/>
              </w:rPr>
              <w:t xml:space="preserve"> 月</w:t>
            </w:r>
            <w:r w:rsidRPr="00D55DC6">
              <w:rPr>
                <w:rFonts w:ascii="標楷體" w:eastAsia="標楷體" w:hAnsi="標楷體" w:hint="eastAsia"/>
                <w:b/>
              </w:rPr>
              <w:t>24</w:t>
            </w:r>
            <w:r w:rsidRPr="00D55DC6">
              <w:rPr>
                <w:rFonts w:ascii="標楷體" w:eastAsia="標楷體" w:hAnsi="標楷體"/>
                <w:b/>
              </w:rPr>
              <w:t>日將「評估結果」通知程序參與者審閱</w:t>
            </w:r>
          </w:p>
        </w:tc>
      </w:tr>
    </w:tbl>
    <w:p w:rsidR="00E61FF7" w:rsidRPr="00D55DC6" w:rsidRDefault="00E61FF7" w:rsidP="004865C1">
      <w:pPr>
        <w:numPr>
          <w:ilvl w:val="0"/>
          <w:numId w:val="222"/>
        </w:numPr>
        <w:tabs>
          <w:tab w:val="clear" w:pos="360"/>
        </w:tabs>
        <w:adjustRightInd w:val="0"/>
        <w:snapToGrid w:val="0"/>
        <w:spacing w:line="240" w:lineRule="atLeast"/>
        <w:ind w:leftChars="-413" w:left="-565" w:rightChars="-437" w:right="-1049" w:hanging="426"/>
        <w:jc w:val="both"/>
        <w:rPr>
          <w:rFonts w:ascii="標楷體" w:eastAsia="標楷體" w:hAnsi="標楷體"/>
          <w:b/>
        </w:rPr>
      </w:pPr>
      <w:r w:rsidRPr="00D55DC6">
        <w:rPr>
          <w:rFonts w:ascii="標楷體" w:eastAsia="標楷體" w:hAnsi="標楷體"/>
          <w:b/>
        </w:rPr>
        <w:t>請</w:t>
      </w:r>
      <w:r w:rsidRPr="00D55DC6">
        <w:rPr>
          <w:rFonts w:ascii="標楷體" w:eastAsia="標楷體" w:hAnsi="標楷體" w:hint="eastAsia"/>
          <w:b/>
        </w:rPr>
        <w:t>機關</w:t>
      </w:r>
      <w:r w:rsidRPr="00D55DC6">
        <w:rPr>
          <w:rFonts w:ascii="標楷體" w:eastAsia="標楷體" w:hAnsi="標楷體"/>
          <w:b/>
        </w:rPr>
        <w:t>填表人於填完「第一部分」</w:t>
      </w:r>
      <w:r w:rsidRPr="00D55DC6">
        <w:rPr>
          <w:rFonts w:ascii="標楷體" w:eastAsia="標楷體" w:hAnsi="標楷體" w:hint="eastAsia"/>
          <w:b/>
        </w:rPr>
        <w:t>第壹項至第捌項</w:t>
      </w:r>
      <w:r w:rsidRPr="00D55DC6">
        <w:rPr>
          <w:rFonts w:ascii="標楷體" w:eastAsia="標楷體" w:hAnsi="標楷體"/>
          <w:b/>
        </w:rPr>
        <w:t>後，</w:t>
      </w:r>
      <w:r w:rsidRPr="00D55DC6">
        <w:rPr>
          <w:rFonts w:ascii="標楷體" w:eastAsia="標楷體" w:hAnsi="標楷體" w:hint="eastAsia"/>
          <w:b/>
        </w:rPr>
        <w:t>由</w:t>
      </w:r>
      <w:r w:rsidRPr="00D55DC6">
        <w:rPr>
          <w:rFonts w:ascii="標楷體" w:eastAsia="標楷體" w:hAnsi="標楷體"/>
          <w:b/>
        </w:rPr>
        <w:t>民間性別平等專家學者</w:t>
      </w:r>
      <w:r w:rsidRPr="00D55DC6">
        <w:rPr>
          <w:rFonts w:ascii="標楷體" w:eastAsia="標楷體" w:hAnsi="標楷體" w:hint="eastAsia"/>
          <w:b/>
        </w:rPr>
        <w:t>進行</w:t>
      </w:r>
      <w:r w:rsidRPr="00D55DC6">
        <w:rPr>
          <w:rFonts w:ascii="標楷體" w:eastAsia="標楷體" w:hAnsi="標楷體"/>
          <w:b/>
        </w:rPr>
        <w:t>「第二部分－程序參與」</w:t>
      </w:r>
      <w:r w:rsidRPr="00D55DC6">
        <w:rPr>
          <w:rFonts w:ascii="標楷體" w:eastAsia="標楷體" w:hAnsi="標楷體" w:hint="eastAsia"/>
          <w:b/>
        </w:rPr>
        <w:t>項目</w:t>
      </w:r>
      <w:r w:rsidRPr="00D55DC6">
        <w:rPr>
          <w:rFonts w:ascii="標楷體" w:eastAsia="標楷體" w:hAnsi="標楷體"/>
          <w:b/>
        </w:rPr>
        <w:t>，完成「第二部分－程序參與」</w:t>
      </w:r>
      <w:r w:rsidRPr="00D55DC6">
        <w:rPr>
          <w:rFonts w:ascii="標楷體" w:eastAsia="標楷體" w:hAnsi="標楷體" w:hint="eastAsia"/>
          <w:b/>
        </w:rPr>
        <w:t>後</w:t>
      </w:r>
      <w:r w:rsidRPr="00D55DC6">
        <w:rPr>
          <w:rFonts w:ascii="標楷體" w:eastAsia="標楷體" w:hAnsi="標楷體"/>
          <w:b/>
        </w:rPr>
        <w:t>，再</w:t>
      </w:r>
      <w:r w:rsidRPr="00D55DC6">
        <w:rPr>
          <w:rFonts w:ascii="標楷體" w:eastAsia="標楷體" w:hAnsi="標楷體" w:hint="eastAsia"/>
          <w:b/>
        </w:rPr>
        <w:t>由機關填表人</w:t>
      </w:r>
      <w:r w:rsidRPr="00D55DC6">
        <w:rPr>
          <w:rFonts w:ascii="標楷體" w:eastAsia="標楷體" w:hAnsi="標楷體"/>
          <w:b/>
        </w:rPr>
        <w:t>依據「第二部分－程序參與」之主要意見，續填「第一部分－</w:t>
      </w:r>
      <w:r w:rsidRPr="00D55DC6">
        <w:rPr>
          <w:rFonts w:ascii="標楷體" w:eastAsia="標楷體" w:hAnsi="標楷體" w:hint="eastAsia"/>
          <w:b/>
        </w:rPr>
        <w:t>玖、</w:t>
      </w:r>
      <w:r w:rsidRPr="00D55DC6">
        <w:rPr>
          <w:rFonts w:ascii="標楷體" w:eastAsia="標楷體" w:hAnsi="標楷體"/>
          <w:b/>
        </w:rPr>
        <w:t>評估結果」。</w:t>
      </w:r>
    </w:p>
    <w:p w:rsidR="00E61FF7" w:rsidRPr="00D55DC6" w:rsidRDefault="00E61FF7" w:rsidP="004865C1">
      <w:pPr>
        <w:numPr>
          <w:ilvl w:val="0"/>
          <w:numId w:val="222"/>
        </w:numPr>
        <w:tabs>
          <w:tab w:val="clear" w:pos="360"/>
        </w:tabs>
        <w:adjustRightInd w:val="0"/>
        <w:snapToGrid w:val="0"/>
        <w:spacing w:line="240" w:lineRule="atLeast"/>
        <w:ind w:leftChars="-413" w:left="-565" w:rightChars="-437" w:right="-1049" w:hanging="426"/>
        <w:jc w:val="both"/>
        <w:rPr>
          <w:rFonts w:ascii="標楷體" w:eastAsia="標楷體" w:hAnsi="標楷體"/>
          <w:b/>
        </w:rPr>
      </w:pPr>
      <w:r w:rsidRPr="00D55DC6">
        <w:rPr>
          <w:rFonts w:ascii="標楷體" w:eastAsia="標楷體" w:hAnsi="標楷體" w:hint="eastAsia"/>
          <w:b/>
        </w:rPr>
        <w:t>「</w:t>
      </w:r>
      <w:r w:rsidRPr="00D55DC6">
        <w:rPr>
          <w:rFonts w:ascii="標楷體" w:eastAsia="標楷體" w:hAnsi="標楷體"/>
          <w:b/>
        </w:rPr>
        <w:t>第二部分－程序參與」之</w:t>
      </w:r>
      <w:r w:rsidRPr="00D55DC6">
        <w:rPr>
          <w:rFonts w:ascii="標楷體" w:eastAsia="標楷體" w:hAnsi="標楷體" w:hint="eastAsia"/>
          <w:b/>
        </w:rPr>
        <w:t>10</w:t>
      </w:r>
      <w:r w:rsidRPr="00D55DC6">
        <w:rPr>
          <w:rFonts w:ascii="標楷體" w:eastAsia="標楷體" w:hAnsi="標楷體"/>
          <w:b/>
        </w:rPr>
        <w:t>-5「計畫與性別關</w:t>
      </w:r>
      <w:r w:rsidRPr="00D55DC6">
        <w:rPr>
          <w:rFonts w:ascii="標楷體" w:eastAsia="標楷體" w:hAnsi="標楷體" w:hint="eastAsia"/>
          <w:b/>
        </w:rPr>
        <w:t>聯</w:t>
      </w:r>
      <w:r w:rsidRPr="00D55DC6">
        <w:rPr>
          <w:rFonts w:ascii="標楷體" w:eastAsia="標楷體" w:hAnsi="標楷體"/>
          <w:b/>
        </w:rPr>
        <w:t>之程度」</w:t>
      </w:r>
      <w:r w:rsidRPr="00D55DC6">
        <w:rPr>
          <w:rFonts w:ascii="標楷體" w:eastAsia="標楷體" w:hAnsi="標楷體" w:hint="eastAsia"/>
          <w:b/>
        </w:rPr>
        <w:t>經性別平等專家學者</w:t>
      </w:r>
      <w:r w:rsidRPr="00D55DC6">
        <w:rPr>
          <w:rFonts w:ascii="標楷體" w:eastAsia="標楷體" w:hAnsi="標楷體"/>
          <w:b/>
        </w:rPr>
        <w:t>評定為「</w:t>
      </w:r>
      <w:r w:rsidRPr="00D55DC6">
        <w:rPr>
          <w:rFonts w:ascii="標楷體" w:eastAsia="標楷體" w:hAnsi="標楷體" w:hint="eastAsia"/>
          <w:b/>
        </w:rPr>
        <w:t>有</w:t>
      </w:r>
      <w:r w:rsidRPr="00D55DC6">
        <w:rPr>
          <w:rFonts w:ascii="標楷體" w:eastAsia="標楷體" w:hAnsi="標楷體"/>
          <w:b/>
        </w:rPr>
        <w:t>關」者，請</w:t>
      </w:r>
      <w:r w:rsidRPr="00D55DC6">
        <w:rPr>
          <w:rFonts w:ascii="標楷體" w:eastAsia="標楷體" w:hAnsi="標楷體" w:hint="eastAsia"/>
          <w:b/>
        </w:rPr>
        <w:t>機關</w:t>
      </w:r>
      <w:r w:rsidRPr="00D55DC6">
        <w:rPr>
          <w:rFonts w:ascii="標楷體" w:eastAsia="標楷體" w:hAnsi="標楷體"/>
          <w:b/>
        </w:rPr>
        <w:t>填表人依據</w:t>
      </w:r>
      <w:r w:rsidRPr="00D55DC6">
        <w:rPr>
          <w:rFonts w:ascii="標楷體" w:eastAsia="標楷體" w:hAnsi="標楷體" w:hint="eastAsia"/>
          <w:b/>
        </w:rPr>
        <w:t>其</w:t>
      </w:r>
      <w:r w:rsidRPr="00D55DC6">
        <w:rPr>
          <w:rFonts w:ascii="標楷體" w:eastAsia="標楷體" w:hAnsi="標楷體"/>
          <w:b/>
        </w:rPr>
        <w:t>檢視意見填列</w:t>
      </w:r>
      <w:r w:rsidRPr="00D55DC6">
        <w:rPr>
          <w:rFonts w:ascii="標楷體" w:eastAsia="標楷體" w:hAnsi="標楷體" w:hint="eastAsia"/>
          <w:b/>
        </w:rPr>
        <w:t>「</w:t>
      </w:r>
      <w:r w:rsidRPr="00D55DC6">
        <w:rPr>
          <w:rFonts w:ascii="標楷體" w:eastAsia="標楷體" w:hAnsi="標楷體"/>
          <w:b/>
        </w:rPr>
        <w:t>第一部分－</w:t>
      </w:r>
      <w:r w:rsidRPr="00D55DC6">
        <w:rPr>
          <w:rFonts w:ascii="標楷體" w:eastAsia="標楷體" w:hAnsi="標楷體" w:hint="eastAsia"/>
          <w:b/>
        </w:rPr>
        <w:t>玖、</w:t>
      </w:r>
      <w:r w:rsidRPr="00D55DC6">
        <w:rPr>
          <w:rFonts w:ascii="標楷體" w:eastAsia="標楷體" w:hAnsi="標楷體"/>
          <w:b/>
        </w:rPr>
        <w:t>評估結果</w:t>
      </w:r>
      <w:r w:rsidRPr="00D55DC6">
        <w:rPr>
          <w:rFonts w:ascii="標楷體" w:eastAsia="標楷體" w:hAnsi="標楷體" w:hint="eastAsia"/>
          <w:b/>
        </w:rPr>
        <w:t>」9</w:t>
      </w:r>
      <w:r w:rsidRPr="00D55DC6">
        <w:rPr>
          <w:rFonts w:ascii="標楷體" w:eastAsia="標楷體" w:hAnsi="標楷體"/>
          <w:b/>
        </w:rPr>
        <w:t>-1至</w:t>
      </w:r>
      <w:r w:rsidRPr="00D55DC6">
        <w:rPr>
          <w:rFonts w:ascii="標楷體" w:eastAsia="標楷體" w:hAnsi="標楷體" w:hint="eastAsia"/>
          <w:b/>
        </w:rPr>
        <w:t>9</w:t>
      </w:r>
      <w:r w:rsidRPr="00D55DC6">
        <w:rPr>
          <w:rFonts w:ascii="標楷體" w:eastAsia="標楷體" w:hAnsi="標楷體"/>
          <w:b/>
        </w:rPr>
        <w:t>-3</w:t>
      </w:r>
      <w:r w:rsidRPr="00D55DC6">
        <w:rPr>
          <w:rFonts w:ascii="標楷體" w:eastAsia="標楷體" w:hAnsi="標楷體" w:hint="eastAsia"/>
          <w:b/>
        </w:rPr>
        <w:t>；若經評定為「無關」者，則9-1至9-3免填</w:t>
      </w:r>
      <w:r w:rsidRPr="00D55DC6">
        <w:rPr>
          <w:rFonts w:ascii="標楷體" w:eastAsia="標楷體" w:hAnsi="標楷體"/>
          <w:b/>
        </w:rPr>
        <w:t>。</w:t>
      </w:r>
    </w:p>
    <w:p w:rsidR="00E61FF7" w:rsidRPr="00D55DC6" w:rsidRDefault="00E61FF7" w:rsidP="004865C1">
      <w:pPr>
        <w:numPr>
          <w:ilvl w:val="0"/>
          <w:numId w:val="222"/>
        </w:numPr>
        <w:tabs>
          <w:tab w:val="clear" w:pos="360"/>
        </w:tabs>
        <w:adjustRightInd w:val="0"/>
        <w:snapToGrid w:val="0"/>
        <w:spacing w:line="240" w:lineRule="atLeast"/>
        <w:ind w:leftChars="-413" w:left="-565" w:rightChars="-437" w:right="-1049" w:hanging="426"/>
        <w:jc w:val="both"/>
        <w:rPr>
          <w:rFonts w:ascii="標楷體" w:eastAsia="標楷體" w:hAnsi="標楷體"/>
          <w:b/>
        </w:rPr>
      </w:pPr>
      <w:r w:rsidRPr="00D55DC6">
        <w:rPr>
          <w:rFonts w:ascii="標楷體" w:eastAsia="標楷體" w:hAnsi="標楷體" w:hint="eastAsia"/>
          <w:b/>
        </w:rPr>
        <w:t>若以上有１項未完成，表示計畫案在研擬時未考量性別，應退回主管（辦）機關重新辦理。</w:t>
      </w:r>
    </w:p>
    <w:p w:rsidR="00E61FF7" w:rsidRPr="00D55DC6" w:rsidRDefault="00E61FF7" w:rsidP="00E61FF7">
      <w:pPr>
        <w:spacing w:line="460" w:lineRule="exact"/>
        <w:ind w:leftChars="-225" w:left="1" w:hangingChars="225" w:hanging="541"/>
        <w:rPr>
          <w:rFonts w:ascii="標楷體" w:eastAsia="標楷體" w:hAnsi="標楷體"/>
          <w:b/>
        </w:rPr>
      </w:pPr>
      <w:r w:rsidRPr="00D55DC6">
        <w:rPr>
          <w:rFonts w:ascii="標楷體" w:eastAsia="標楷體" w:hAnsi="標楷體"/>
          <w:b/>
        </w:rPr>
        <w:br w:type="page"/>
      </w:r>
      <w:r w:rsidRPr="00D55DC6">
        <w:rPr>
          <w:rFonts w:ascii="標楷體" w:eastAsia="標楷體" w:hAnsi="標楷體"/>
          <w:b/>
        </w:rPr>
        <w:lastRenderedPageBreak/>
        <w:t>【第二部分－程序參與】：本部分由民間性別平等專家學者填寫</w:t>
      </w:r>
    </w:p>
    <w:tbl>
      <w:tblPr>
        <w:tblpPr w:leftFromText="180" w:rightFromText="180" w:vertAnchor="text" w:horzAnchor="margin" w:tblpXSpec="center" w:tblpY="262"/>
        <w:tblW w:w="10173" w:type="dxa"/>
        <w:tblBorders>
          <w:top w:val="single" w:sz="4" w:space="0" w:color="auto"/>
          <w:left w:val="single" w:sz="4" w:space="0" w:color="auto"/>
          <w:bottom w:val="thickThinSmallGap" w:sz="2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1418"/>
        <w:gridCol w:w="1687"/>
        <w:gridCol w:w="1857"/>
        <w:gridCol w:w="2268"/>
      </w:tblGrid>
      <w:tr w:rsidR="001D0350" w:rsidRPr="00D55DC6" w:rsidTr="00742A58">
        <w:trPr>
          <w:cantSplit/>
          <w:trHeight w:val="446"/>
        </w:trPr>
        <w:tc>
          <w:tcPr>
            <w:tcW w:w="10173" w:type="dxa"/>
            <w:gridSpan w:val="5"/>
            <w:tcBorders>
              <w:top w:val="thinThickSmallGap" w:sz="24" w:space="0" w:color="auto"/>
            </w:tcBorders>
            <w:shd w:val="clear" w:color="auto" w:fill="auto"/>
          </w:tcPr>
          <w:p w:rsidR="00E61FF7" w:rsidRPr="00D55DC6" w:rsidRDefault="00E61FF7" w:rsidP="00742A58">
            <w:pPr>
              <w:adjustRightInd w:val="0"/>
              <w:snapToGrid w:val="0"/>
              <w:spacing w:line="240" w:lineRule="atLeast"/>
              <w:ind w:leftChars="-42" w:left="1639" w:rightChars="-45" w:right="-108" w:hangingChars="725" w:hanging="1740"/>
              <w:rPr>
                <w:rFonts w:ascii="標楷體" w:eastAsia="標楷體" w:hAnsi="標楷體"/>
              </w:rPr>
            </w:pPr>
            <w:r w:rsidRPr="00D55DC6">
              <w:rPr>
                <w:rFonts w:ascii="標楷體" w:eastAsia="標楷體" w:hAnsi="標楷體"/>
              </w:rPr>
              <w:br w:type="page"/>
            </w:r>
            <w:r w:rsidRPr="00D55DC6">
              <w:rPr>
                <w:rFonts w:ascii="標楷體" w:eastAsia="標楷體" w:hAnsi="標楷體" w:hint="eastAsia"/>
                <w:b/>
              </w:rPr>
              <w:t>拾</w:t>
            </w:r>
            <w:r w:rsidRPr="00D55DC6">
              <w:rPr>
                <w:rFonts w:ascii="標楷體" w:eastAsia="標楷體" w:hAnsi="標楷體"/>
                <w:b/>
              </w:rPr>
              <w:t>、程序參與：</w:t>
            </w:r>
            <w:r w:rsidRPr="00D55DC6">
              <w:rPr>
                <w:rFonts w:ascii="標楷體" w:eastAsia="標楷體" w:hAnsi="標楷體"/>
              </w:rPr>
              <w:t>若採用書面意見的方式，至少應徵詢</w:t>
            </w:r>
            <w:r w:rsidRPr="00D55DC6">
              <w:rPr>
                <w:rFonts w:ascii="標楷體" w:eastAsia="標楷體" w:hAnsi="標楷體" w:hint="eastAsia"/>
              </w:rPr>
              <w:t>1</w:t>
            </w:r>
            <w:r w:rsidRPr="00D55DC6">
              <w:rPr>
                <w:rFonts w:ascii="標楷體" w:eastAsia="標楷體" w:hAnsi="標楷體"/>
              </w:rPr>
              <w:t>位以上民間性別平等專家學者意見；民間專家學者資料可至台灣國家婦女館網站參閱</w:t>
            </w:r>
            <w:r w:rsidRPr="00D55DC6">
              <w:rPr>
                <w:rFonts w:ascii="標楷體" w:eastAsia="標楷體" w:hAnsi="標楷體" w:hint="eastAsia"/>
              </w:rPr>
              <w:t>(</w:t>
            </w:r>
            <w:hyperlink r:id="rId25" w:history="1">
              <w:r w:rsidRPr="00D55DC6">
                <w:rPr>
                  <w:rFonts w:ascii="標楷體" w:eastAsia="標楷體" w:hAnsi="標楷體"/>
                </w:rPr>
                <w:t>http://www.taiwanwomencenter.org.tw/</w:t>
              </w:r>
            </w:hyperlink>
            <w:r w:rsidRPr="00D55DC6">
              <w:rPr>
                <w:rFonts w:ascii="標楷體" w:eastAsia="標楷體" w:hAnsi="標楷體" w:hint="eastAsia"/>
              </w:rPr>
              <w:t>)</w:t>
            </w:r>
            <w:r w:rsidRPr="00D55DC6">
              <w:rPr>
                <w:rFonts w:ascii="標楷體" w:eastAsia="標楷體" w:hAnsi="標楷體"/>
              </w:rPr>
              <w:t>。</w:t>
            </w:r>
          </w:p>
        </w:tc>
      </w:tr>
      <w:tr w:rsidR="001D0350" w:rsidRPr="00D55DC6" w:rsidTr="00742A58">
        <w:trPr>
          <w:cantSplit/>
          <w:trHeight w:val="446"/>
        </w:trPr>
        <w:tc>
          <w:tcPr>
            <w:tcW w:w="10173" w:type="dxa"/>
            <w:gridSpan w:val="5"/>
            <w:shd w:val="clear" w:color="auto" w:fill="auto"/>
            <w:vAlign w:val="center"/>
          </w:tcPr>
          <w:p w:rsidR="00E61FF7" w:rsidRPr="00D55DC6" w:rsidRDefault="00E61FF7" w:rsidP="00742A58">
            <w:pPr>
              <w:adjustRightInd w:val="0"/>
              <w:snapToGrid w:val="0"/>
              <w:spacing w:line="240" w:lineRule="atLeast"/>
              <w:ind w:leftChars="-45" w:left="70" w:rightChars="-45" w:right="-108" w:hangingChars="74" w:hanging="178"/>
              <w:jc w:val="both"/>
              <w:rPr>
                <w:rFonts w:ascii="標楷體" w:eastAsia="標楷體" w:hAnsi="標楷體"/>
                <w:b/>
              </w:rPr>
            </w:pPr>
            <w:r w:rsidRPr="00D55DC6">
              <w:rPr>
                <w:rFonts w:ascii="標楷體" w:eastAsia="標楷體" w:hAnsi="標楷體"/>
                <w:b/>
              </w:rPr>
              <w:t>（一）基本資料</w:t>
            </w:r>
          </w:p>
        </w:tc>
      </w:tr>
      <w:tr w:rsidR="001D0350" w:rsidRPr="00D55DC6" w:rsidTr="00742A58">
        <w:trPr>
          <w:cantSplit/>
          <w:trHeight w:val="446"/>
        </w:trPr>
        <w:tc>
          <w:tcPr>
            <w:tcW w:w="2943" w:type="dxa"/>
            <w:shd w:val="clear" w:color="auto" w:fill="auto"/>
            <w:vAlign w:val="center"/>
          </w:tcPr>
          <w:p w:rsidR="00E61FF7" w:rsidRPr="00D55DC6" w:rsidRDefault="00E61FF7" w:rsidP="00742A58">
            <w:pPr>
              <w:adjustRightInd w:val="0"/>
              <w:snapToGrid w:val="0"/>
              <w:spacing w:line="360" w:lineRule="atLeast"/>
              <w:ind w:leftChars="-6" w:left="490" w:rightChars="-45" w:right="-108" w:hangingChars="210" w:hanging="504"/>
              <w:rPr>
                <w:rFonts w:ascii="標楷體" w:eastAsia="標楷體" w:hAnsi="標楷體"/>
                <w:b/>
              </w:rPr>
            </w:pPr>
            <w:r w:rsidRPr="00D55DC6">
              <w:rPr>
                <w:rFonts w:ascii="標楷體" w:eastAsia="標楷體" w:hAnsi="標楷體" w:hint="eastAsia"/>
                <w:b/>
              </w:rPr>
              <w:t>10</w:t>
            </w:r>
            <w:r w:rsidRPr="00D55DC6">
              <w:rPr>
                <w:rFonts w:ascii="標楷體" w:eastAsia="標楷體" w:hAnsi="標楷體"/>
                <w:b/>
              </w:rPr>
              <w:t>-1程序參與期程或時間</w:t>
            </w:r>
          </w:p>
        </w:tc>
        <w:tc>
          <w:tcPr>
            <w:tcW w:w="7230" w:type="dxa"/>
            <w:gridSpan w:val="4"/>
            <w:shd w:val="clear" w:color="auto" w:fill="auto"/>
            <w:vAlign w:val="center"/>
          </w:tcPr>
          <w:p w:rsidR="00E61FF7" w:rsidRPr="00D55DC6" w:rsidRDefault="00E61FF7" w:rsidP="00742A58">
            <w:pPr>
              <w:adjustRightInd w:val="0"/>
              <w:snapToGrid w:val="0"/>
              <w:spacing w:line="240" w:lineRule="atLeast"/>
              <w:ind w:leftChars="-45" w:left="-108" w:rightChars="-45" w:right="-108" w:firstLineChars="100" w:firstLine="240"/>
              <w:jc w:val="both"/>
              <w:rPr>
                <w:rFonts w:ascii="標楷體" w:eastAsia="標楷體" w:hAnsi="標楷體"/>
                <w:b/>
              </w:rPr>
            </w:pPr>
            <w:r w:rsidRPr="00D55DC6">
              <w:rPr>
                <w:rFonts w:ascii="標楷體" w:eastAsia="標楷體" w:hAnsi="標楷體" w:hint="eastAsia"/>
              </w:rPr>
              <w:t>104</w:t>
            </w:r>
            <w:r w:rsidRPr="00D55DC6">
              <w:rPr>
                <w:rFonts w:ascii="標楷體" w:eastAsia="標楷體" w:hAnsi="標楷體"/>
              </w:rPr>
              <w:t>年</w:t>
            </w:r>
            <w:r w:rsidRPr="00D55DC6">
              <w:rPr>
                <w:rFonts w:ascii="標楷體" w:eastAsia="標楷體" w:hAnsi="標楷體" w:hint="eastAsia"/>
              </w:rPr>
              <w:t>1</w:t>
            </w:r>
            <w:r w:rsidRPr="00D55DC6">
              <w:rPr>
                <w:rFonts w:ascii="標楷體" w:eastAsia="標楷體" w:hAnsi="標楷體"/>
              </w:rPr>
              <w:t>月</w:t>
            </w:r>
            <w:r w:rsidRPr="00D55DC6">
              <w:rPr>
                <w:rFonts w:ascii="標楷體" w:eastAsia="標楷體" w:hAnsi="標楷體" w:hint="eastAsia"/>
              </w:rPr>
              <w:t>7</w:t>
            </w:r>
            <w:r w:rsidRPr="00D55DC6">
              <w:rPr>
                <w:rFonts w:ascii="標楷體" w:eastAsia="標楷體" w:hAnsi="標楷體"/>
              </w:rPr>
              <w:t xml:space="preserve">日至 </w:t>
            </w:r>
            <w:r w:rsidRPr="00D55DC6">
              <w:rPr>
                <w:rFonts w:ascii="標楷體" w:eastAsia="標楷體" w:hAnsi="標楷體" w:hint="eastAsia"/>
              </w:rPr>
              <w:t>104</w:t>
            </w:r>
            <w:r w:rsidRPr="00D55DC6">
              <w:rPr>
                <w:rFonts w:ascii="標楷體" w:eastAsia="標楷體" w:hAnsi="標楷體"/>
              </w:rPr>
              <w:t>年</w:t>
            </w:r>
            <w:r w:rsidRPr="00D55DC6">
              <w:rPr>
                <w:rFonts w:ascii="標楷體" w:eastAsia="標楷體" w:hAnsi="標楷體" w:hint="eastAsia"/>
              </w:rPr>
              <w:t xml:space="preserve"> 1</w:t>
            </w:r>
            <w:r w:rsidRPr="00D55DC6">
              <w:rPr>
                <w:rFonts w:ascii="標楷體" w:eastAsia="標楷體" w:hAnsi="標楷體"/>
              </w:rPr>
              <w:t xml:space="preserve"> 月 </w:t>
            </w:r>
            <w:r w:rsidRPr="00D55DC6">
              <w:rPr>
                <w:rFonts w:ascii="標楷體" w:eastAsia="標楷體" w:hAnsi="標楷體" w:hint="eastAsia"/>
              </w:rPr>
              <w:t>13</w:t>
            </w:r>
            <w:r w:rsidRPr="00D55DC6">
              <w:rPr>
                <w:rFonts w:ascii="標楷體" w:eastAsia="標楷體" w:hAnsi="標楷體"/>
              </w:rPr>
              <w:t xml:space="preserve"> 日</w:t>
            </w:r>
          </w:p>
        </w:tc>
      </w:tr>
      <w:tr w:rsidR="001D0350" w:rsidRPr="00D55DC6" w:rsidTr="00742A58">
        <w:trPr>
          <w:cantSplit/>
          <w:trHeight w:val="446"/>
        </w:trPr>
        <w:tc>
          <w:tcPr>
            <w:tcW w:w="2943" w:type="dxa"/>
            <w:shd w:val="clear" w:color="auto" w:fill="auto"/>
            <w:vAlign w:val="center"/>
          </w:tcPr>
          <w:p w:rsidR="00E61FF7" w:rsidRPr="00D55DC6" w:rsidRDefault="00E61FF7" w:rsidP="00742A58">
            <w:pPr>
              <w:adjustRightInd w:val="0"/>
              <w:snapToGrid w:val="0"/>
              <w:spacing w:line="360" w:lineRule="atLeast"/>
              <w:ind w:leftChars="-5" w:left="569" w:rightChars="13" w:right="31" w:hangingChars="242" w:hanging="581"/>
              <w:rPr>
                <w:rFonts w:ascii="標楷體" w:eastAsia="標楷體" w:hAnsi="標楷體"/>
                <w:b/>
              </w:rPr>
            </w:pPr>
            <w:r w:rsidRPr="00D55DC6">
              <w:rPr>
                <w:rFonts w:ascii="標楷體" w:eastAsia="標楷體" w:hAnsi="標楷體" w:hint="eastAsia"/>
                <w:b/>
              </w:rPr>
              <w:t>10</w:t>
            </w:r>
            <w:r w:rsidRPr="00D55DC6">
              <w:rPr>
                <w:rFonts w:ascii="標楷體" w:eastAsia="標楷體" w:hAnsi="標楷體"/>
                <w:b/>
              </w:rPr>
              <w:t>-2參與者姓名、職稱、服務單位及其專長領域</w:t>
            </w:r>
          </w:p>
        </w:tc>
        <w:tc>
          <w:tcPr>
            <w:tcW w:w="7230" w:type="dxa"/>
            <w:gridSpan w:val="4"/>
            <w:shd w:val="clear" w:color="auto" w:fill="auto"/>
          </w:tcPr>
          <w:p w:rsidR="00E61FF7" w:rsidRPr="00D55DC6" w:rsidRDefault="00E61FF7" w:rsidP="00742A58">
            <w:pPr>
              <w:adjustRightInd w:val="0"/>
              <w:snapToGrid w:val="0"/>
              <w:spacing w:line="240" w:lineRule="atLeast"/>
              <w:ind w:leftChars="-45" w:left="70" w:rightChars="-45" w:right="-108" w:hangingChars="74" w:hanging="178"/>
              <w:rPr>
                <w:rFonts w:ascii="標楷體" w:eastAsia="標楷體" w:hAnsi="標楷體"/>
              </w:rPr>
            </w:pPr>
            <w:r w:rsidRPr="00D55DC6">
              <w:rPr>
                <w:rFonts w:ascii="標楷體" w:eastAsia="標楷體" w:hAnsi="標楷體" w:hint="eastAsia"/>
              </w:rPr>
              <w:t xml:space="preserve"> 葉文健  開南大學空運管理學系  副教授兼系主任</w:t>
            </w:r>
          </w:p>
          <w:p w:rsidR="00E61FF7" w:rsidRPr="00D55DC6" w:rsidRDefault="00E61FF7" w:rsidP="00742A58">
            <w:pPr>
              <w:adjustRightInd w:val="0"/>
              <w:snapToGrid w:val="0"/>
              <w:spacing w:line="240" w:lineRule="atLeast"/>
              <w:ind w:leftChars="-45" w:left="70" w:rightChars="-45" w:right="-108" w:hangingChars="74" w:hanging="178"/>
              <w:rPr>
                <w:rFonts w:ascii="標楷體" w:eastAsia="標楷體" w:hAnsi="標楷體"/>
              </w:rPr>
            </w:pPr>
            <w:r w:rsidRPr="00D55DC6">
              <w:rPr>
                <w:rFonts w:ascii="標楷體" w:eastAsia="標楷體" w:hAnsi="標楷體" w:hint="eastAsia"/>
              </w:rPr>
              <w:t xml:space="preserve"> 航空運輸、安全管理、性別影響評估</w:t>
            </w:r>
          </w:p>
        </w:tc>
      </w:tr>
      <w:tr w:rsidR="001D0350" w:rsidRPr="00D55DC6" w:rsidTr="00742A58">
        <w:trPr>
          <w:cantSplit/>
          <w:trHeight w:val="446"/>
        </w:trPr>
        <w:tc>
          <w:tcPr>
            <w:tcW w:w="2943" w:type="dxa"/>
            <w:shd w:val="clear" w:color="auto" w:fill="auto"/>
            <w:vAlign w:val="center"/>
          </w:tcPr>
          <w:p w:rsidR="00E61FF7" w:rsidRPr="00D55DC6" w:rsidRDefault="00E61FF7" w:rsidP="00742A58">
            <w:pPr>
              <w:adjustRightInd w:val="0"/>
              <w:snapToGrid w:val="0"/>
              <w:spacing w:line="360" w:lineRule="atLeast"/>
              <w:ind w:leftChars="-6" w:left="490" w:rightChars="-45" w:right="-108" w:hangingChars="210" w:hanging="504"/>
              <w:rPr>
                <w:rFonts w:ascii="標楷體" w:eastAsia="標楷體" w:hAnsi="標楷體"/>
                <w:b/>
              </w:rPr>
            </w:pPr>
            <w:r w:rsidRPr="00D55DC6">
              <w:rPr>
                <w:rFonts w:ascii="標楷體" w:eastAsia="標楷體" w:hAnsi="標楷體" w:hint="eastAsia"/>
                <w:b/>
              </w:rPr>
              <w:t>10</w:t>
            </w:r>
            <w:r w:rsidRPr="00D55DC6">
              <w:rPr>
                <w:rFonts w:ascii="標楷體" w:eastAsia="標楷體" w:hAnsi="標楷體"/>
                <w:b/>
              </w:rPr>
              <w:t>-3參與方式</w:t>
            </w:r>
          </w:p>
        </w:tc>
        <w:tc>
          <w:tcPr>
            <w:tcW w:w="7230" w:type="dxa"/>
            <w:gridSpan w:val="4"/>
            <w:shd w:val="clear" w:color="auto" w:fill="auto"/>
            <w:vAlign w:val="center"/>
          </w:tcPr>
          <w:p w:rsidR="00E61FF7" w:rsidRPr="00D55DC6" w:rsidRDefault="00E61FF7" w:rsidP="00742A58">
            <w:pPr>
              <w:adjustRightInd w:val="0"/>
              <w:snapToGrid w:val="0"/>
              <w:spacing w:line="240" w:lineRule="atLeast"/>
              <w:ind w:leftChars="-10" w:left="-24" w:rightChars="-45" w:right="-108"/>
              <w:jc w:val="both"/>
              <w:rPr>
                <w:rFonts w:ascii="標楷體" w:eastAsia="標楷體" w:hAnsi="標楷體"/>
              </w:rPr>
            </w:pPr>
            <w:r w:rsidRPr="00D55DC6">
              <w:rPr>
                <w:rFonts w:ascii="標楷體" w:eastAsia="標楷體" w:hAnsi="標楷體"/>
              </w:rPr>
              <w:t xml:space="preserve">□計畫研商會議  □性別平等專案小組　</w:t>
            </w:r>
            <w:r w:rsidRPr="00D55DC6">
              <w:rPr>
                <w:rFonts w:ascii="標楷體" w:eastAsia="標楷體" w:hAnsi="標楷體"/>
                <w:sz w:val="28"/>
                <w:szCs w:val="28"/>
              </w:rPr>
              <w:sym w:font="Wingdings" w:char="F0FE"/>
            </w:r>
            <w:r w:rsidRPr="00D55DC6">
              <w:rPr>
                <w:rFonts w:ascii="標楷體" w:eastAsia="標楷體" w:hAnsi="標楷體"/>
              </w:rPr>
              <w:t>書面意見</w:t>
            </w:r>
          </w:p>
        </w:tc>
      </w:tr>
      <w:tr w:rsidR="001D0350" w:rsidRPr="00D55DC6" w:rsidTr="00742A58">
        <w:trPr>
          <w:cantSplit/>
          <w:trHeight w:val="471"/>
        </w:trPr>
        <w:tc>
          <w:tcPr>
            <w:tcW w:w="2943" w:type="dxa"/>
            <w:vMerge w:val="restart"/>
            <w:shd w:val="clear" w:color="auto" w:fill="auto"/>
            <w:vAlign w:val="center"/>
          </w:tcPr>
          <w:p w:rsidR="00E61FF7" w:rsidRPr="00D55DC6" w:rsidRDefault="00E61FF7" w:rsidP="00742A58">
            <w:pPr>
              <w:adjustRightInd w:val="0"/>
              <w:snapToGrid w:val="0"/>
              <w:spacing w:line="360" w:lineRule="atLeast"/>
              <w:ind w:leftChars="-6" w:left="567" w:rightChars="-45" w:right="-108" w:hangingChars="242" w:hanging="581"/>
              <w:rPr>
                <w:rFonts w:ascii="標楷體" w:eastAsia="標楷體" w:hAnsi="標楷體"/>
                <w:b/>
              </w:rPr>
            </w:pPr>
            <w:r w:rsidRPr="00D55DC6">
              <w:rPr>
                <w:rFonts w:ascii="標楷體" w:eastAsia="標楷體" w:hAnsi="標楷體" w:hint="eastAsia"/>
                <w:b/>
              </w:rPr>
              <w:t>10</w:t>
            </w:r>
            <w:r w:rsidRPr="00D55DC6">
              <w:rPr>
                <w:rFonts w:ascii="標楷體" w:eastAsia="標楷體" w:hAnsi="標楷體"/>
                <w:b/>
              </w:rPr>
              <w:t>-4業務單位所提供之資料</w:t>
            </w:r>
          </w:p>
        </w:tc>
        <w:tc>
          <w:tcPr>
            <w:tcW w:w="3105" w:type="dxa"/>
            <w:gridSpan w:val="2"/>
            <w:shd w:val="clear" w:color="auto" w:fill="auto"/>
            <w:vAlign w:val="center"/>
          </w:tcPr>
          <w:p w:rsidR="00E61FF7" w:rsidRPr="00D55DC6" w:rsidRDefault="00E61FF7" w:rsidP="00742A58">
            <w:pPr>
              <w:adjustRightInd w:val="0"/>
              <w:snapToGrid w:val="0"/>
              <w:spacing w:line="240" w:lineRule="atLeast"/>
              <w:ind w:leftChars="-45" w:left="-108" w:rightChars="-45" w:right="-108"/>
              <w:jc w:val="center"/>
              <w:rPr>
                <w:rFonts w:ascii="標楷體" w:eastAsia="標楷體" w:hAnsi="標楷體"/>
              </w:rPr>
            </w:pPr>
            <w:r w:rsidRPr="00D55DC6">
              <w:rPr>
                <w:rFonts w:ascii="標楷體" w:eastAsia="標楷體" w:hAnsi="標楷體"/>
              </w:rPr>
              <w:t>相關統計資料</w:t>
            </w:r>
          </w:p>
        </w:tc>
        <w:tc>
          <w:tcPr>
            <w:tcW w:w="1857" w:type="dxa"/>
            <w:shd w:val="clear" w:color="auto" w:fill="auto"/>
            <w:vAlign w:val="center"/>
          </w:tcPr>
          <w:p w:rsidR="00E61FF7" w:rsidRPr="00D55DC6" w:rsidRDefault="00E61FF7" w:rsidP="00742A58">
            <w:pPr>
              <w:adjustRightInd w:val="0"/>
              <w:snapToGrid w:val="0"/>
              <w:spacing w:line="240" w:lineRule="atLeast"/>
              <w:ind w:leftChars="-45" w:left="-108" w:rightChars="-45" w:right="-108"/>
              <w:jc w:val="center"/>
              <w:rPr>
                <w:rFonts w:ascii="標楷體" w:eastAsia="標楷體" w:hAnsi="標楷體"/>
              </w:rPr>
            </w:pPr>
            <w:r w:rsidRPr="00D55DC6">
              <w:rPr>
                <w:rFonts w:ascii="標楷體" w:eastAsia="標楷體" w:hAnsi="標楷體"/>
              </w:rPr>
              <w:t>計畫書</w:t>
            </w:r>
          </w:p>
        </w:tc>
        <w:tc>
          <w:tcPr>
            <w:tcW w:w="2268" w:type="dxa"/>
            <w:shd w:val="clear" w:color="auto" w:fill="auto"/>
            <w:vAlign w:val="center"/>
          </w:tcPr>
          <w:p w:rsidR="00E61FF7" w:rsidRPr="00D55DC6" w:rsidRDefault="00E61FF7" w:rsidP="00742A58">
            <w:pPr>
              <w:adjustRightInd w:val="0"/>
              <w:snapToGrid w:val="0"/>
              <w:spacing w:line="240" w:lineRule="atLeast"/>
              <w:ind w:leftChars="-45" w:left="-108" w:rightChars="-45" w:right="-108"/>
              <w:jc w:val="center"/>
              <w:rPr>
                <w:rFonts w:ascii="標楷體" w:eastAsia="標楷體" w:hAnsi="標楷體"/>
              </w:rPr>
            </w:pPr>
            <w:r w:rsidRPr="00D55DC6">
              <w:rPr>
                <w:rFonts w:ascii="標楷體" w:eastAsia="標楷體" w:hAnsi="標楷體"/>
              </w:rPr>
              <w:t>計畫書</w:t>
            </w:r>
            <w:r w:rsidRPr="00D55DC6">
              <w:rPr>
                <w:rFonts w:ascii="標楷體" w:eastAsia="標楷體" w:hAnsi="標楷體" w:hint="eastAsia"/>
              </w:rPr>
              <w:t>涵</w:t>
            </w:r>
            <w:r w:rsidRPr="00D55DC6">
              <w:rPr>
                <w:rFonts w:ascii="標楷體" w:eastAsia="標楷體" w:hAnsi="標楷體"/>
              </w:rPr>
              <w:t>納其他初評結果</w:t>
            </w:r>
          </w:p>
        </w:tc>
      </w:tr>
      <w:tr w:rsidR="001D0350" w:rsidRPr="00D55DC6" w:rsidTr="00742A58">
        <w:trPr>
          <w:cantSplit/>
          <w:trHeight w:val="446"/>
        </w:trPr>
        <w:tc>
          <w:tcPr>
            <w:tcW w:w="2943" w:type="dxa"/>
            <w:vMerge/>
            <w:shd w:val="clear" w:color="auto" w:fill="auto"/>
          </w:tcPr>
          <w:p w:rsidR="00E61FF7" w:rsidRPr="00D55DC6" w:rsidRDefault="00E61FF7" w:rsidP="00742A58">
            <w:pPr>
              <w:adjustRightInd w:val="0"/>
              <w:snapToGrid w:val="0"/>
              <w:spacing w:line="240" w:lineRule="atLeast"/>
              <w:ind w:leftChars="-45" w:left="-108" w:rightChars="-45" w:right="-108"/>
              <w:rPr>
                <w:rFonts w:ascii="標楷體" w:eastAsia="標楷體" w:hAnsi="標楷體"/>
                <w:b/>
              </w:rPr>
            </w:pPr>
          </w:p>
        </w:tc>
        <w:tc>
          <w:tcPr>
            <w:tcW w:w="3105" w:type="dxa"/>
            <w:gridSpan w:val="2"/>
            <w:shd w:val="clear" w:color="auto" w:fill="auto"/>
          </w:tcPr>
          <w:p w:rsidR="00E61FF7" w:rsidRPr="00D55DC6" w:rsidRDefault="00E61FF7" w:rsidP="00742A58">
            <w:pPr>
              <w:adjustRightInd w:val="0"/>
              <w:snapToGrid w:val="0"/>
              <w:spacing w:line="240" w:lineRule="atLeast"/>
              <w:ind w:left="406" w:rightChars="-45" w:right="-108" w:hangingChars="145" w:hanging="406"/>
              <w:rPr>
                <w:rFonts w:ascii="標楷體" w:eastAsia="標楷體" w:hAnsi="標楷體"/>
              </w:rPr>
            </w:pPr>
            <w:r w:rsidRPr="00D55DC6">
              <w:rPr>
                <w:rFonts w:ascii="標楷體" w:eastAsia="標楷體" w:hAnsi="標楷體"/>
                <w:sz w:val="28"/>
                <w:szCs w:val="28"/>
              </w:rPr>
              <w:sym w:font="Wingdings" w:char="F0FE"/>
            </w:r>
            <w:r w:rsidRPr="00D55DC6">
              <w:rPr>
                <w:rFonts w:ascii="標楷體" w:eastAsia="標楷體" w:hAnsi="標楷體"/>
              </w:rPr>
              <w:t xml:space="preserve">有 □很完整  </w:t>
            </w:r>
          </w:p>
          <w:p w:rsidR="00E61FF7" w:rsidRPr="00D55DC6" w:rsidRDefault="00E61FF7" w:rsidP="00742A58">
            <w:pPr>
              <w:adjustRightInd w:val="0"/>
              <w:snapToGrid w:val="0"/>
              <w:spacing w:line="240" w:lineRule="atLeast"/>
              <w:ind w:leftChars="206" w:left="494" w:rightChars="-45" w:right="-108" w:firstLine="1"/>
              <w:rPr>
                <w:rFonts w:ascii="標楷體" w:eastAsia="標楷體" w:hAnsi="標楷體"/>
              </w:rPr>
            </w:pPr>
            <w:r w:rsidRPr="00D55DC6">
              <w:rPr>
                <w:rFonts w:ascii="標楷體" w:eastAsia="標楷體" w:hAnsi="標楷體"/>
              </w:rPr>
              <w:t xml:space="preserve"> </w:t>
            </w:r>
            <w:r w:rsidRPr="00D55DC6">
              <w:rPr>
                <w:rFonts w:ascii="標楷體" w:eastAsia="標楷體" w:hAnsi="標楷體"/>
                <w:sz w:val="28"/>
                <w:szCs w:val="28"/>
              </w:rPr>
              <w:sym w:font="Wingdings" w:char="F0FE"/>
            </w:r>
            <w:r w:rsidRPr="00D55DC6">
              <w:rPr>
                <w:rFonts w:ascii="標楷體" w:eastAsia="標楷體" w:hAnsi="標楷體"/>
              </w:rPr>
              <w:t>可更完整</w:t>
            </w:r>
          </w:p>
          <w:p w:rsidR="00E61FF7" w:rsidRPr="00D55DC6" w:rsidRDefault="00E61FF7" w:rsidP="00742A58">
            <w:pPr>
              <w:adjustRightInd w:val="0"/>
              <w:snapToGrid w:val="0"/>
              <w:spacing w:line="240" w:lineRule="atLeast"/>
              <w:ind w:leftChars="205" w:left="876" w:rightChars="-45" w:right="-108" w:hangingChars="160" w:hanging="384"/>
              <w:rPr>
                <w:rFonts w:ascii="標楷體" w:eastAsia="標楷體" w:hAnsi="標楷體"/>
              </w:rPr>
            </w:pPr>
            <w:r w:rsidRPr="00D55DC6">
              <w:rPr>
                <w:rFonts w:ascii="標楷體" w:eastAsia="標楷體" w:hAnsi="標楷體"/>
              </w:rPr>
              <w:t xml:space="preserve"> □現有資料不足須設法補足</w:t>
            </w:r>
          </w:p>
          <w:p w:rsidR="00E61FF7" w:rsidRPr="00D55DC6" w:rsidRDefault="00E61FF7" w:rsidP="00742A58">
            <w:pPr>
              <w:adjustRightInd w:val="0"/>
              <w:snapToGrid w:val="0"/>
              <w:spacing w:line="240" w:lineRule="atLeast"/>
              <w:ind w:leftChars="-4" w:left="-10" w:rightChars="-45" w:right="-108"/>
              <w:rPr>
                <w:rFonts w:ascii="標楷體" w:eastAsia="標楷體" w:hAnsi="標楷體"/>
              </w:rPr>
            </w:pPr>
            <w:r w:rsidRPr="00D55DC6">
              <w:rPr>
                <w:rFonts w:ascii="標楷體" w:eastAsia="標楷體" w:hAnsi="標楷體"/>
              </w:rPr>
              <w:t>□無 □應可設法找尋</w:t>
            </w:r>
          </w:p>
          <w:p w:rsidR="00E61FF7" w:rsidRPr="00D55DC6" w:rsidRDefault="00E61FF7" w:rsidP="00742A58">
            <w:pPr>
              <w:adjustRightInd w:val="0"/>
              <w:snapToGrid w:val="0"/>
              <w:spacing w:line="240" w:lineRule="atLeast"/>
              <w:ind w:leftChars="234" w:left="562" w:rightChars="-45" w:right="-108" w:firstLineChars="14" w:firstLine="34"/>
              <w:rPr>
                <w:rFonts w:ascii="標楷體" w:eastAsia="標楷體" w:hAnsi="標楷體"/>
              </w:rPr>
            </w:pPr>
            <w:r w:rsidRPr="00D55DC6">
              <w:rPr>
                <w:rFonts w:ascii="標楷體" w:eastAsia="標楷體" w:hAnsi="標楷體"/>
              </w:rPr>
              <w:t>□現狀與未來皆有困難</w:t>
            </w:r>
          </w:p>
        </w:tc>
        <w:tc>
          <w:tcPr>
            <w:tcW w:w="1857" w:type="dxa"/>
            <w:shd w:val="clear" w:color="auto" w:fill="auto"/>
          </w:tcPr>
          <w:p w:rsidR="00E61FF7" w:rsidRPr="00D55DC6" w:rsidRDefault="00E61FF7" w:rsidP="00742A58">
            <w:pPr>
              <w:adjustRightInd w:val="0"/>
              <w:snapToGrid w:val="0"/>
              <w:spacing w:line="240" w:lineRule="atLeast"/>
              <w:ind w:leftChars="-52" w:left="-125" w:rightChars="-45" w:right="-108" w:firstLineChars="40" w:firstLine="96"/>
              <w:rPr>
                <w:rFonts w:ascii="標楷體" w:eastAsia="標楷體" w:hAnsi="標楷體"/>
              </w:rPr>
            </w:pPr>
            <w:r w:rsidRPr="00D55DC6">
              <w:rPr>
                <w:rFonts w:ascii="標楷體" w:eastAsia="標楷體" w:hAnsi="標楷體"/>
              </w:rPr>
              <w:t>□有，</w:t>
            </w:r>
            <w:r w:rsidRPr="00D55DC6">
              <w:rPr>
                <w:rFonts w:ascii="標楷體" w:eastAsia="標楷體" w:hAnsi="標楷體"/>
              </w:rPr>
              <w:br/>
              <w:t xml:space="preserve">   且具性別目標</w:t>
            </w:r>
          </w:p>
          <w:p w:rsidR="00E61FF7" w:rsidRPr="00D55DC6" w:rsidRDefault="00E61FF7" w:rsidP="00742A58">
            <w:pPr>
              <w:adjustRightInd w:val="0"/>
              <w:snapToGrid w:val="0"/>
              <w:spacing w:line="240" w:lineRule="atLeast"/>
              <w:ind w:leftChars="-52" w:left="-125" w:rightChars="-45" w:right="-108" w:firstLineChars="40" w:firstLine="112"/>
              <w:rPr>
                <w:rFonts w:ascii="標楷體" w:eastAsia="標楷體" w:hAnsi="標楷體"/>
              </w:rPr>
            </w:pPr>
            <w:r w:rsidRPr="00D55DC6">
              <w:rPr>
                <w:rFonts w:ascii="標楷體" w:eastAsia="標楷體" w:hAnsi="標楷體"/>
                <w:sz w:val="28"/>
                <w:szCs w:val="28"/>
              </w:rPr>
              <w:sym w:font="Wingdings" w:char="F0FE"/>
            </w:r>
            <w:r w:rsidRPr="00D55DC6">
              <w:rPr>
                <w:rFonts w:ascii="標楷體" w:eastAsia="標楷體" w:hAnsi="標楷體"/>
              </w:rPr>
              <w:t>有，</w:t>
            </w:r>
            <w:r w:rsidRPr="00D55DC6">
              <w:rPr>
                <w:rFonts w:ascii="標楷體" w:eastAsia="標楷體" w:hAnsi="標楷體"/>
              </w:rPr>
              <w:br/>
              <w:t xml:space="preserve">   但無性別目標</w:t>
            </w:r>
          </w:p>
          <w:p w:rsidR="00E61FF7" w:rsidRPr="00D55DC6" w:rsidRDefault="00E61FF7" w:rsidP="00742A58">
            <w:pPr>
              <w:adjustRightInd w:val="0"/>
              <w:snapToGrid w:val="0"/>
              <w:spacing w:line="240" w:lineRule="atLeast"/>
              <w:ind w:leftChars="-52" w:left="-125" w:rightChars="-45" w:right="-108" w:firstLineChars="40" w:firstLine="96"/>
              <w:rPr>
                <w:rFonts w:ascii="標楷體" w:eastAsia="標楷體" w:hAnsi="標楷體"/>
              </w:rPr>
            </w:pPr>
            <w:r w:rsidRPr="00D55DC6">
              <w:rPr>
                <w:rFonts w:ascii="標楷體" w:eastAsia="標楷體" w:hAnsi="標楷體"/>
              </w:rPr>
              <w:t>□無</w:t>
            </w:r>
          </w:p>
        </w:tc>
        <w:tc>
          <w:tcPr>
            <w:tcW w:w="2268" w:type="dxa"/>
            <w:shd w:val="clear" w:color="auto" w:fill="auto"/>
          </w:tcPr>
          <w:p w:rsidR="00E61FF7" w:rsidRPr="00D55DC6" w:rsidRDefault="00E61FF7" w:rsidP="00742A58">
            <w:pPr>
              <w:adjustRightInd w:val="0"/>
              <w:snapToGrid w:val="0"/>
              <w:spacing w:line="240" w:lineRule="atLeast"/>
              <w:ind w:leftChars="5" w:left="12" w:rightChars="-45" w:right="-108"/>
              <w:rPr>
                <w:rFonts w:ascii="標楷體" w:eastAsia="標楷體" w:hAnsi="標楷體"/>
              </w:rPr>
            </w:pPr>
            <w:r w:rsidRPr="00D55DC6">
              <w:rPr>
                <w:rFonts w:ascii="標楷體" w:eastAsia="標楷體" w:hAnsi="標楷體"/>
              </w:rPr>
              <w:t>□有，</w:t>
            </w:r>
            <w:r w:rsidRPr="00D55DC6">
              <w:rPr>
                <w:rFonts w:ascii="標楷體" w:eastAsia="標楷體" w:hAnsi="標楷體"/>
              </w:rPr>
              <w:br/>
              <w:t xml:space="preserve">  已很完整  </w:t>
            </w:r>
          </w:p>
          <w:p w:rsidR="00E61FF7" w:rsidRPr="00D55DC6" w:rsidRDefault="00E61FF7" w:rsidP="00742A58">
            <w:pPr>
              <w:adjustRightInd w:val="0"/>
              <w:snapToGrid w:val="0"/>
              <w:spacing w:line="240" w:lineRule="atLeast"/>
              <w:ind w:leftChars="5" w:left="12" w:rightChars="-45" w:right="-108"/>
              <w:rPr>
                <w:rFonts w:ascii="標楷體" w:eastAsia="標楷體" w:hAnsi="標楷體"/>
              </w:rPr>
            </w:pPr>
            <w:r w:rsidRPr="00D55DC6">
              <w:rPr>
                <w:rFonts w:ascii="標楷體" w:eastAsia="標楷體" w:hAnsi="標楷體"/>
              </w:rPr>
              <w:t>□有，</w:t>
            </w:r>
            <w:r w:rsidRPr="00D55DC6">
              <w:rPr>
                <w:rFonts w:ascii="標楷體" w:eastAsia="標楷體" w:hAnsi="標楷體"/>
              </w:rPr>
              <w:br/>
              <w:t xml:space="preserve">  但仍有改善空間</w:t>
            </w:r>
          </w:p>
          <w:p w:rsidR="00E61FF7" w:rsidRPr="00D55DC6" w:rsidRDefault="00E61FF7" w:rsidP="00742A58">
            <w:pPr>
              <w:adjustRightInd w:val="0"/>
              <w:snapToGrid w:val="0"/>
              <w:spacing w:line="240" w:lineRule="atLeast"/>
              <w:ind w:leftChars="5" w:left="12" w:rightChars="-45" w:right="-108"/>
              <w:rPr>
                <w:rFonts w:ascii="標楷體" w:eastAsia="標楷體" w:hAnsi="標楷體"/>
              </w:rPr>
            </w:pPr>
            <w:r w:rsidRPr="00D55DC6">
              <w:rPr>
                <w:rFonts w:ascii="標楷體" w:eastAsia="標楷體" w:hAnsi="標楷體"/>
                <w:sz w:val="28"/>
                <w:szCs w:val="28"/>
              </w:rPr>
              <w:sym w:font="Wingdings" w:char="F0FE"/>
            </w:r>
            <w:r w:rsidRPr="00D55DC6">
              <w:rPr>
                <w:rFonts w:ascii="標楷體" w:eastAsia="標楷體" w:hAnsi="標楷體"/>
              </w:rPr>
              <w:t>無</w:t>
            </w:r>
          </w:p>
        </w:tc>
      </w:tr>
      <w:tr w:rsidR="001D0350" w:rsidRPr="00D55DC6" w:rsidTr="00742A58">
        <w:trPr>
          <w:cantSplit/>
          <w:trHeight w:val="677"/>
        </w:trPr>
        <w:tc>
          <w:tcPr>
            <w:tcW w:w="2943" w:type="dxa"/>
            <w:shd w:val="clear" w:color="auto" w:fill="auto"/>
            <w:vAlign w:val="center"/>
          </w:tcPr>
          <w:p w:rsidR="00E61FF7" w:rsidRPr="00D55DC6" w:rsidRDefault="00E61FF7" w:rsidP="00742A58">
            <w:pPr>
              <w:adjustRightInd w:val="0"/>
              <w:snapToGrid w:val="0"/>
              <w:spacing w:line="360" w:lineRule="atLeast"/>
              <w:ind w:leftChars="-6" w:left="567" w:rightChars="-45" w:right="-108" w:hangingChars="242" w:hanging="581"/>
              <w:rPr>
                <w:rFonts w:ascii="標楷體" w:eastAsia="標楷體" w:hAnsi="標楷體"/>
                <w:b/>
              </w:rPr>
            </w:pPr>
            <w:r w:rsidRPr="00D55DC6">
              <w:rPr>
                <w:rFonts w:ascii="標楷體" w:eastAsia="標楷體" w:hAnsi="標楷體" w:hint="eastAsia"/>
                <w:b/>
              </w:rPr>
              <w:t>10</w:t>
            </w:r>
            <w:r w:rsidRPr="00D55DC6">
              <w:rPr>
                <w:rFonts w:ascii="標楷體" w:eastAsia="標楷體" w:hAnsi="標楷體"/>
                <w:b/>
              </w:rPr>
              <w:t>-5計畫與性別關</w:t>
            </w:r>
            <w:r w:rsidRPr="00D55DC6">
              <w:rPr>
                <w:rFonts w:ascii="標楷體" w:eastAsia="標楷體" w:hAnsi="標楷體" w:hint="eastAsia"/>
                <w:b/>
              </w:rPr>
              <w:t>聯</w:t>
            </w:r>
            <w:r w:rsidRPr="00D55DC6">
              <w:rPr>
                <w:rFonts w:ascii="標楷體" w:eastAsia="標楷體" w:hAnsi="標楷體"/>
                <w:b/>
              </w:rPr>
              <w:t>之程度</w:t>
            </w:r>
          </w:p>
        </w:tc>
        <w:tc>
          <w:tcPr>
            <w:tcW w:w="7230" w:type="dxa"/>
            <w:gridSpan w:val="4"/>
            <w:shd w:val="clear" w:color="auto" w:fill="auto"/>
          </w:tcPr>
          <w:p w:rsidR="00E61FF7" w:rsidRPr="00D55DC6" w:rsidRDefault="00E61FF7" w:rsidP="00742A58">
            <w:pPr>
              <w:adjustRightInd w:val="0"/>
              <w:snapToGrid w:val="0"/>
              <w:spacing w:line="240" w:lineRule="atLeast"/>
              <w:ind w:leftChars="-10" w:left="-24" w:rightChars="-45" w:right="-108"/>
              <w:rPr>
                <w:rFonts w:ascii="標楷體" w:eastAsia="標楷體" w:hAnsi="標楷體"/>
              </w:rPr>
            </w:pPr>
            <w:r w:rsidRPr="00D55DC6">
              <w:rPr>
                <w:rFonts w:ascii="標楷體" w:eastAsia="標楷體" w:hAnsi="標楷體"/>
                <w:sz w:val="28"/>
                <w:szCs w:val="28"/>
              </w:rPr>
              <w:sym w:font="Wingdings" w:char="F0FE"/>
            </w:r>
            <w:r w:rsidRPr="00D55DC6">
              <w:rPr>
                <w:rFonts w:ascii="標楷體" w:eastAsia="標楷體" w:hAnsi="標楷體" w:hint="eastAsia"/>
              </w:rPr>
              <w:t>有</w:t>
            </w:r>
            <w:r w:rsidRPr="00D55DC6">
              <w:rPr>
                <w:rFonts w:ascii="標楷體" w:eastAsia="標楷體" w:hAnsi="標楷體"/>
              </w:rPr>
              <w:t>關          □</w:t>
            </w:r>
            <w:r w:rsidRPr="00D55DC6">
              <w:rPr>
                <w:rFonts w:ascii="標楷體" w:eastAsia="標楷體" w:hAnsi="標楷體" w:hint="eastAsia"/>
              </w:rPr>
              <w:t>無</w:t>
            </w:r>
            <w:r w:rsidRPr="00D55DC6">
              <w:rPr>
                <w:rFonts w:ascii="標楷體" w:eastAsia="標楷體" w:hAnsi="標楷體"/>
              </w:rPr>
              <w:t xml:space="preserve">關   </w:t>
            </w:r>
          </w:p>
          <w:p w:rsidR="00E61FF7" w:rsidRPr="00D55DC6" w:rsidRDefault="00E61FF7" w:rsidP="00742A58">
            <w:pPr>
              <w:adjustRightInd w:val="0"/>
              <w:snapToGrid w:val="0"/>
              <w:spacing w:line="240" w:lineRule="atLeast"/>
              <w:ind w:rightChars="-10" w:right="-24"/>
              <w:rPr>
                <w:rFonts w:ascii="標楷體" w:eastAsia="標楷體" w:hAnsi="標楷體"/>
                <w:b/>
              </w:rPr>
            </w:pPr>
            <w:r w:rsidRPr="00D55DC6">
              <w:rPr>
                <w:rFonts w:ascii="標楷體" w:eastAsia="標楷體" w:hAnsi="標楷體"/>
                <w:b/>
              </w:rPr>
              <w:t>（</w:t>
            </w:r>
            <w:r w:rsidRPr="00D55DC6">
              <w:rPr>
                <w:rFonts w:ascii="標楷體" w:eastAsia="標楷體" w:hAnsi="標楷體" w:hint="eastAsia"/>
                <w:b/>
              </w:rPr>
              <w:t>若</w:t>
            </w:r>
            <w:r w:rsidRPr="00D55DC6">
              <w:rPr>
                <w:rFonts w:ascii="標楷體" w:eastAsia="標楷體" w:hAnsi="標楷體"/>
                <w:b/>
              </w:rPr>
              <w:t>性別平等專家學者認為第一部分「柒、受益對象」7-1至7-3任</w:t>
            </w:r>
            <w:r w:rsidRPr="00D55DC6">
              <w:rPr>
                <w:rFonts w:ascii="標楷體" w:eastAsia="標楷體" w:hAnsi="標楷體" w:hint="eastAsia"/>
                <w:b/>
              </w:rPr>
              <w:t>一指標應評定為「是」者，則勾選「有關」；若7-1至7-3均評定「否」者，則勾選「無關」</w:t>
            </w:r>
            <w:r w:rsidRPr="00D55DC6">
              <w:rPr>
                <w:rFonts w:ascii="標楷體" w:eastAsia="標楷體" w:hAnsi="標楷體"/>
                <w:b/>
              </w:rPr>
              <w:t>）</w:t>
            </w:r>
            <w:r w:rsidRPr="00D55DC6">
              <w:rPr>
                <w:rFonts w:ascii="標楷體" w:eastAsia="標楷體" w:hAnsi="標楷體" w:hint="eastAsia"/>
                <w:b/>
              </w:rPr>
              <w:t>。</w:t>
            </w:r>
          </w:p>
        </w:tc>
      </w:tr>
      <w:tr w:rsidR="001D0350" w:rsidRPr="00D55DC6" w:rsidTr="00742A58">
        <w:trPr>
          <w:cantSplit/>
          <w:trHeight w:val="446"/>
        </w:trPr>
        <w:tc>
          <w:tcPr>
            <w:tcW w:w="10173" w:type="dxa"/>
            <w:gridSpan w:val="5"/>
            <w:shd w:val="clear" w:color="auto" w:fill="auto"/>
          </w:tcPr>
          <w:p w:rsidR="00E61FF7" w:rsidRPr="00D55DC6" w:rsidRDefault="00E61FF7" w:rsidP="00742A58">
            <w:pPr>
              <w:adjustRightInd w:val="0"/>
              <w:snapToGrid w:val="0"/>
              <w:spacing w:line="240" w:lineRule="atLeast"/>
              <w:ind w:leftChars="-58" w:left="606" w:rightChars="7" w:right="17" w:hangingChars="310" w:hanging="745"/>
              <w:rPr>
                <w:rFonts w:ascii="標楷體" w:eastAsia="標楷體" w:hAnsi="標楷體"/>
                <w:b/>
              </w:rPr>
            </w:pPr>
            <w:r w:rsidRPr="00D55DC6">
              <w:rPr>
                <w:rFonts w:ascii="標楷體" w:eastAsia="標楷體" w:hAnsi="標楷體"/>
                <w:b/>
              </w:rPr>
              <w:t>（二）主要意見：就前述各項（問題與需求評估、性別目標、參與機制之設計、資源投入及效益評估）說明之合宜性提出檢視意見，並提供綜合意見。</w:t>
            </w:r>
          </w:p>
        </w:tc>
      </w:tr>
      <w:tr w:rsidR="001D0350" w:rsidRPr="00D55DC6" w:rsidTr="00742A58">
        <w:trPr>
          <w:cantSplit/>
          <w:trHeight w:val="361"/>
        </w:trPr>
        <w:tc>
          <w:tcPr>
            <w:tcW w:w="4361" w:type="dxa"/>
            <w:gridSpan w:val="2"/>
            <w:shd w:val="clear" w:color="auto" w:fill="auto"/>
          </w:tcPr>
          <w:p w:rsidR="00E61FF7" w:rsidRPr="00D55DC6" w:rsidRDefault="00E61FF7" w:rsidP="00742A58">
            <w:pPr>
              <w:adjustRightInd w:val="0"/>
              <w:snapToGrid w:val="0"/>
              <w:spacing w:line="360" w:lineRule="atLeast"/>
              <w:ind w:leftChars="-6" w:left="462" w:rightChars="-45" w:right="-108" w:hangingChars="198" w:hanging="476"/>
              <w:rPr>
                <w:rFonts w:ascii="標楷體" w:eastAsia="標楷體" w:hAnsi="標楷體"/>
                <w:b/>
              </w:rPr>
            </w:pPr>
            <w:r w:rsidRPr="00D55DC6">
              <w:rPr>
                <w:rFonts w:ascii="標楷體" w:eastAsia="標楷體" w:hAnsi="標楷體" w:hint="eastAsia"/>
                <w:b/>
              </w:rPr>
              <w:t>10</w:t>
            </w:r>
            <w:r w:rsidRPr="00D55DC6">
              <w:rPr>
                <w:rFonts w:ascii="標楷體" w:eastAsia="標楷體" w:hAnsi="標楷體"/>
                <w:b/>
              </w:rPr>
              <w:t>-6</w:t>
            </w:r>
            <w:r w:rsidRPr="00D55DC6">
              <w:rPr>
                <w:rFonts w:ascii="標楷體" w:eastAsia="標楷體" w:hAnsi="標楷體" w:hint="eastAsia"/>
                <w:b/>
              </w:rPr>
              <w:t xml:space="preserve"> </w:t>
            </w:r>
            <w:r w:rsidRPr="00D55DC6">
              <w:rPr>
                <w:rFonts w:ascii="標楷體" w:eastAsia="標楷體" w:hAnsi="標楷體"/>
                <w:b/>
              </w:rPr>
              <w:t>問題與需求評估說明之合宜性</w:t>
            </w:r>
          </w:p>
        </w:tc>
        <w:tc>
          <w:tcPr>
            <w:tcW w:w="5812" w:type="dxa"/>
            <w:gridSpan w:val="3"/>
            <w:shd w:val="clear" w:color="auto" w:fill="auto"/>
          </w:tcPr>
          <w:p w:rsidR="00E61FF7" w:rsidRPr="00D55DC6" w:rsidRDefault="00E61FF7" w:rsidP="004865C1">
            <w:pPr>
              <w:pStyle w:val="af2"/>
              <w:numPr>
                <w:ilvl w:val="0"/>
                <w:numId w:val="225"/>
              </w:numPr>
              <w:adjustRightInd w:val="0"/>
              <w:snapToGrid w:val="0"/>
              <w:spacing w:line="360" w:lineRule="atLeast"/>
              <w:ind w:leftChars="0" w:rightChars="-45" w:right="-108"/>
              <w:rPr>
                <w:rFonts w:ascii="標楷體" w:eastAsia="標楷體" w:hAnsi="標楷體"/>
              </w:rPr>
            </w:pPr>
            <w:r w:rsidRPr="00D55DC6">
              <w:rPr>
                <w:rFonts w:ascii="標楷體" w:eastAsia="標楷體" w:hAnsi="標楷體" w:hint="eastAsia"/>
              </w:rPr>
              <w:t>針對性別議題的現況說明與需求不夠明確，雖有完整的「國家風景區遊客調查報告」作為性別統計基礎，但是缺乏深入的分析。建議，以原計畫調查資料為基礎，以性別為區隔變數進行差異性比較分析，了解不同性別對於旅遊風景區的滿意度差異。</w:t>
            </w:r>
          </w:p>
          <w:p w:rsidR="00E61FF7" w:rsidRPr="00D55DC6" w:rsidRDefault="00E61FF7" w:rsidP="004865C1">
            <w:pPr>
              <w:pStyle w:val="af2"/>
              <w:numPr>
                <w:ilvl w:val="0"/>
                <w:numId w:val="225"/>
              </w:numPr>
              <w:adjustRightInd w:val="0"/>
              <w:snapToGrid w:val="0"/>
              <w:spacing w:line="360" w:lineRule="atLeast"/>
              <w:ind w:leftChars="0" w:rightChars="-45" w:right="-108"/>
              <w:rPr>
                <w:rFonts w:ascii="標楷體" w:eastAsia="標楷體" w:hAnsi="標楷體"/>
              </w:rPr>
            </w:pPr>
            <w:r w:rsidRPr="00D55DC6">
              <w:rPr>
                <w:rFonts w:ascii="標楷體" w:eastAsia="標楷體" w:hAnsi="標楷體" w:hint="eastAsia"/>
              </w:rPr>
              <w:t>除現有遊客對風景區的旅遊滿意度調查外，建議未來補充產業調查，了解不同性別者因政策推動下，就業與創業的趨勢變化。</w:t>
            </w:r>
          </w:p>
        </w:tc>
      </w:tr>
      <w:tr w:rsidR="001D0350" w:rsidRPr="00D55DC6" w:rsidTr="00742A58">
        <w:trPr>
          <w:cantSplit/>
          <w:trHeight w:val="343"/>
        </w:trPr>
        <w:tc>
          <w:tcPr>
            <w:tcW w:w="4361" w:type="dxa"/>
            <w:gridSpan w:val="2"/>
            <w:shd w:val="clear" w:color="auto" w:fill="auto"/>
          </w:tcPr>
          <w:p w:rsidR="00E61FF7" w:rsidRPr="00D55DC6" w:rsidRDefault="00E61FF7" w:rsidP="00742A58">
            <w:pPr>
              <w:adjustRightInd w:val="0"/>
              <w:snapToGrid w:val="0"/>
              <w:spacing w:line="360" w:lineRule="atLeast"/>
              <w:ind w:leftChars="-6" w:left="462" w:rightChars="-45" w:right="-108" w:hangingChars="198" w:hanging="476"/>
              <w:rPr>
                <w:rFonts w:ascii="標楷體" w:eastAsia="標楷體" w:hAnsi="標楷體"/>
                <w:b/>
              </w:rPr>
            </w:pPr>
            <w:r w:rsidRPr="00D55DC6">
              <w:rPr>
                <w:rFonts w:ascii="標楷體" w:eastAsia="標楷體" w:hAnsi="標楷體" w:hint="eastAsia"/>
                <w:b/>
              </w:rPr>
              <w:t>10</w:t>
            </w:r>
            <w:r w:rsidRPr="00D55DC6">
              <w:rPr>
                <w:rFonts w:ascii="標楷體" w:eastAsia="標楷體" w:hAnsi="標楷體"/>
                <w:b/>
              </w:rPr>
              <w:t>-7</w:t>
            </w:r>
            <w:r w:rsidRPr="00D55DC6">
              <w:rPr>
                <w:rFonts w:ascii="標楷體" w:eastAsia="標楷體" w:hAnsi="標楷體" w:hint="eastAsia"/>
                <w:b/>
              </w:rPr>
              <w:t xml:space="preserve"> </w:t>
            </w:r>
            <w:r w:rsidRPr="00D55DC6">
              <w:rPr>
                <w:rFonts w:ascii="標楷體" w:eastAsia="標楷體" w:hAnsi="標楷體"/>
                <w:b/>
              </w:rPr>
              <w:t>性別目標說明之合宜性</w:t>
            </w:r>
          </w:p>
        </w:tc>
        <w:tc>
          <w:tcPr>
            <w:tcW w:w="5812" w:type="dxa"/>
            <w:gridSpan w:val="3"/>
            <w:shd w:val="clear" w:color="auto" w:fill="auto"/>
          </w:tcPr>
          <w:p w:rsidR="00E61FF7" w:rsidRPr="00D55DC6" w:rsidRDefault="00E61FF7" w:rsidP="00742A58">
            <w:pPr>
              <w:adjustRightInd w:val="0"/>
              <w:snapToGrid w:val="0"/>
              <w:spacing w:line="360" w:lineRule="atLeast"/>
              <w:ind w:leftChars="-45" w:left="-108" w:rightChars="-45" w:right="-108"/>
              <w:rPr>
                <w:rFonts w:ascii="標楷體" w:eastAsia="標楷體" w:hAnsi="標楷體"/>
              </w:rPr>
            </w:pPr>
            <w:r w:rsidRPr="00D55DC6">
              <w:rPr>
                <w:rFonts w:ascii="標楷體" w:eastAsia="標楷體" w:hAnsi="標楷體" w:hint="eastAsia"/>
              </w:rPr>
              <w:t>除原有計畫目標，缺乏性別目標的訂定。</w:t>
            </w:r>
          </w:p>
        </w:tc>
      </w:tr>
      <w:tr w:rsidR="001D0350" w:rsidRPr="00D55DC6" w:rsidTr="00742A58">
        <w:trPr>
          <w:cantSplit/>
          <w:trHeight w:val="289"/>
        </w:trPr>
        <w:tc>
          <w:tcPr>
            <w:tcW w:w="4361" w:type="dxa"/>
            <w:gridSpan w:val="2"/>
            <w:shd w:val="clear" w:color="auto" w:fill="auto"/>
          </w:tcPr>
          <w:p w:rsidR="00E61FF7" w:rsidRPr="00D55DC6" w:rsidRDefault="00E61FF7" w:rsidP="00742A58">
            <w:pPr>
              <w:adjustRightInd w:val="0"/>
              <w:snapToGrid w:val="0"/>
              <w:spacing w:line="360" w:lineRule="atLeast"/>
              <w:ind w:leftChars="-6" w:left="462" w:rightChars="-45" w:right="-108" w:hangingChars="198" w:hanging="476"/>
              <w:rPr>
                <w:rFonts w:ascii="標楷體" w:eastAsia="標楷體" w:hAnsi="標楷體"/>
                <w:b/>
              </w:rPr>
            </w:pPr>
            <w:r w:rsidRPr="00D55DC6">
              <w:rPr>
                <w:rFonts w:ascii="標楷體" w:eastAsia="標楷體" w:hAnsi="標楷體" w:hint="eastAsia"/>
                <w:b/>
              </w:rPr>
              <w:t>10</w:t>
            </w:r>
            <w:r w:rsidRPr="00D55DC6">
              <w:rPr>
                <w:rFonts w:ascii="標楷體" w:eastAsia="標楷體" w:hAnsi="標楷體"/>
                <w:b/>
              </w:rPr>
              <w:t>-8</w:t>
            </w:r>
            <w:r w:rsidRPr="00D55DC6">
              <w:rPr>
                <w:rFonts w:ascii="標楷體" w:eastAsia="標楷體" w:hAnsi="標楷體" w:hint="eastAsia"/>
                <w:b/>
              </w:rPr>
              <w:t xml:space="preserve"> </w:t>
            </w:r>
            <w:r w:rsidRPr="00D55DC6">
              <w:rPr>
                <w:rFonts w:ascii="標楷體" w:eastAsia="標楷體" w:hAnsi="標楷體"/>
                <w:b/>
              </w:rPr>
              <w:t>性別參與情形或改善方法之合宜性</w:t>
            </w:r>
          </w:p>
        </w:tc>
        <w:tc>
          <w:tcPr>
            <w:tcW w:w="5812" w:type="dxa"/>
            <w:gridSpan w:val="3"/>
            <w:shd w:val="clear" w:color="auto" w:fill="auto"/>
          </w:tcPr>
          <w:p w:rsidR="00E61FF7" w:rsidRPr="00D55DC6" w:rsidRDefault="00E61FF7" w:rsidP="004865C1">
            <w:pPr>
              <w:pStyle w:val="af2"/>
              <w:numPr>
                <w:ilvl w:val="0"/>
                <w:numId w:val="226"/>
              </w:numPr>
              <w:adjustRightInd w:val="0"/>
              <w:snapToGrid w:val="0"/>
              <w:spacing w:line="360" w:lineRule="atLeast"/>
              <w:ind w:leftChars="0" w:rightChars="-45" w:right="-108"/>
              <w:rPr>
                <w:rFonts w:ascii="標楷體" w:eastAsia="標楷體" w:hAnsi="標楷體"/>
              </w:rPr>
            </w:pPr>
            <w:r w:rsidRPr="00D55DC6">
              <w:rPr>
                <w:rFonts w:ascii="標楷體" w:eastAsia="標楷體" w:hAnsi="標楷體" w:hint="eastAsia"/>
              </w:rPr>
              <w:t>既有決策參與比例符合任一性別不低於1/3之要求。</w:t>
            </w:r>
          </w:p>
          <w:p w:rsidR="00E61FF7" w:rsidRPr="00D55DC6" w:rsidRDefault="00E61FF7" w:rsidP="004865C1">
            <w:pPr>
              <w:pStyle w:val="af2"/>
              <w:numPr>
                <w:ilvl w:val="0"/>
                <w:numId w:val="226"/>
              </w:numPr>
              <w:adjustRightInd w:val="0"/>
              <w:snapToGrid w:val="0"/>
              <w:spacing w:line="360" w:lineRule="atLeast"/>
              <w:ind w:leftChars="0" w:rightChars="-45" w:right="-108"/>
              <w:rPr>
                <w:rFonts w:ascii="標楷體" w:eastAsia="標楷體" w:hAnsi="標楷體"/>
              </w:rPr>
            </w:pPr>
            <w:r w:rsidRPr="00D55DC6">
              <w:rPr>
                <w:rFonts w:ascii="標楷體" w:eastAsia="標楷體" w:hAnsi="標楷體" w:hint="eastAsia"/>
              </w:rPr>
              <w:t>遊憩區環境改善，除硬體設施面的改善，建議針對營運管理面予以強化，落實性別友善環境建立。</w:t>
            </w:r>
          </w:p>
        </w:tc>
      </w:tr>
      <w:tr w:rsidR="001D0350" w:rsidRPr="00D55DC6" w:rsidTr="00742A58">
        <w:trPr>
          <w:cantSplit/>
          <w:trHeight w:val="289"/>
        </w:trPr>
        <w:tc>
          <w:tcPr>
            <w:tcW w:w="4361" w:type="dxa"/>
            <w:gridSpan w:val="2"/>
            <w:shd w:val="clear" w:color="auto" w:fill="auto"/>
          </w:tcPr>
          <w:p w:rsidR="00E61FF7" w:rsidRPr="00D55DC6" w:rsidRDefault="00E61FF7" w:rsidP="00742A58">
            <w:pPr>
              <w:adjustRightInd w:val="0"/>
              <w:snapToGrid w:val="0"/>
              <w:spacing w:line="360" w:lineRule="atLeast"/>
              <w:ind w:leftChars="-6" w:left="462" w:rightChars="-45" w:right="-108" w:hangingChars="198" w:hanging="476"/>
              <w:rPr>
                <w:rFonts w:ascii="標楷體" w:eastAsia="標楷體" w:hAnsi="標楷體"/>
                <w:b/>
              </w:rPr>
            </w:pPr>
            <w:r w:rsidRPr="00D55DC6">
              <w:rPr>
                <w:rFonts w:ascii="標楷體" w:eastAsia="標楷體" w:hAnsi="標楷體" w:hint="eastAsia"/>
                <w:b/>
              </w:rPr>
              <w:lastRenderedPageBreak/>
              <w:t>10</w:t>
            </w:r>
            <w:r w:rsidRPr="00D55DC6">
              <w:rPr>
                <w:rFonts w:ascii="標楷體" w:eastAsia="標楷體" w:hAnsi="標楷體"/>
                <w:b/>
              </w:rPr>
              <w:t>-9</w:t>
            </w:r>
            <w:r w:rsidRPr="00D55DC6">
              <w:rPr>
                <w:rFonts w:ascii="標楷體" w:eastAsia="標楷體" w:hAnsi="標楷體" w:hint="eastAsia"/>
                <w:b/>
              </w:rPr>
              <w:t xml:space="preserve"> </w:t>
            </w:r>
            <w:r w:rsidRPr="00D55DC6">
              <w:rPr>
                <w:rFonts w:ascii="標楷體" w:eastAsia="標楷體" w:hAnsi="標楷體"/>
                <w:b/>
              </w:rPr>
              <w:t>受益對象之合宜性</w:t>
            </w:r>
          </w:p>
        </w:tc>
        <w:tc>
          <w:tcPr>
            <w:tcW w:w="5812" w:type="dxa"/>
            <w:gridSpan w:val="3"/>
            <w:shd w:val="clear" w:color="auto" w:fill="auto"/>
          </w:tcPr>
          <w:p w:rsidR="00E61FF7" w:rsidRPr="00D55DC6" w:rsidRDefault="00E61FF7" w:rsidP="004865C1">
            <w:pPr>
              <w:pStyle w:val="af2"/>
              <w:numPr>
                <w:ilvl w:val="0"/>
                <w:numId w:val="227"/>
              </w:numPr>
              <w:adjustRightInd w:val="0"/>
              <w:snapToGrid w:val="0"/>
              <w:spacing w:line="360" w:lineRule="atLeast"/>
              <w:ind w:leftChars="0" w:rightChars="-45" w:right="-108"/>
              <w:rPr>
                <w:rFonts w:ascii="標楷體" w:eastAsia="標楷體" w:hAnsi="標楷體"/>
              </w:rPr>
            </w:pPr>
            <w:r w:rsidRPr="00D55DC6">
              <w:rPr>
                <w:rFonts w:ascii="標楷體" w:eastAsia="標楷體" w:hAnsi="標楷體" w:hint="eastAsia"/>
              </w:rPr>
              <w:t>就計畫內容來看，受益對象涉及7-3項之空間規劃與工程設計，目前填寫應屬合宜。</w:t>
            </w:r>
          </w:p>
          <w:p w:rsidR="00E61FF7" w:rsidRPr="00D55DC6" w:rsidRDefault="00E61FF7" w:rsidP="004865C1">
            <w:pPr>
              <w:pStyle w:val="af2"/>
              <w:numPr>
                <w:ilvl w:val="0"/>
                <w:numId w:val="227"/>
              </w:numPr>
              <w:adjustRightInd w:val="0"/>
              <w:snapToGrid w:val="0"/>
              <w:spacing w:line="360" w:lineRule="atLeast"/>
              <w:ind w:leftChars="0" w:rightChars="-45" w:right="-108"/>
              <w:rPr>
                <w:rFonts w:ascii="標楷體" w:eastAsia="標楷體" w:hAnsi="標楷體"/>
              </w:rPr>
            </w:pPr>
            <w:r w:rsidRPr="00D55DC6">
              <w:rPr>
                <w:rFonts w:ascii="標楷體" w:eastAsia="標楷體" w:hAnsi="標楷體" w:hint="eastAsia"/>
              </w:rPr>
              <w:t>若現有調查報告經性別統計交叉分析比較後，不同性別對於風景區的滿意度或需求具有顯著差異時，則應增加7-2項。</w:t>
            </w:r>
          </w:p>
        </w:tc>
      </w:tr>
      <w:tr w:rsidR="001D0350" w:rsidRPr="00D55DC6" w:rsidTr="00742A58">
        <w:trPr>
          <w:cantSplit/>
          <w:trHeight w:val="289"/>
        </w:trPr>
        <w:tc>
          <w:tcPr>
            <w:tcW w:w="4361" w:type="dxa"/>
            <w:gridSpan w:val="2"/>
            <w:shd w:val="clear" w:color="auto" w:fill="auto"/>
          </w:tcPr>
          <w:p w:rsidR="00E61FF7" w:rsidRPr="00D55DC6" w:rsidRDefault="00E61FF7" w:rsidP="00742A58">
            <w:pPr>
              <w:adjustRightInd w:val="0"/>
              <w:snapToGrid w:val="0"/>
              <w:spacing w:line="360" w:lineRule="atLeast"/>
              <w:ind w:leftChars="-6" w:left="462" w:rightChars="-45" w:right="-108" w:hangingChars="198" w:hanging="476"/>
              <w:rPr>
                <w:rFonts w:ascii="標楷體" w:eastAsia="標楷體" w:hAnsi="標楷體"/>
                <w:b/>
              </w:rPr>
            </w:pPr>
            <w:r w:rsidRPr="00D55DC6">
              <w:rPr>
                <w:rFonts w:ascii="標楷體" w:eastAsia="標楷體" w:hAnsi="標楷體" w:hint="eastAsia"/>
                <w:b/>
              </w:rPr>
              <w:t>10</w:t>
            </w:r>
            <w:r w:rsidRPr="00D55DC6">
              <w:rPr>
                <w:rFonts w:ascii="標楷體" w:eastAsia="標楷體" w:hAnsi="標楷體"/>
                <w:b/>
              </w:rPr>
              <w:t>-10資</w:t>
            </w:r>
            <w:r w:rsidRPr="00D55DC6">
              <w:rPr>
                <w:rFonts w:ascii="標楷體" w:eastAsia="標楷體" w:hAnsi="標楷體" w:hint="eastAsia"/>
                <w:b/>
              </w:rPr>
              <w:t>源與過程</w:t>
            </w:r>
            <w:r w:rsidRPr="00D55DC6">
              <w:rPr>
                <w:rFonts w:ascii="標楷體" w:eastAsia="標楷體" w:hAnsi="標楷體"/>
                <w:b/>
              </w:rPr>
              <w:t>說明之合宜性</w:t>
            </w:r>
          </w:p>
        </w:tc>
        <w:tc>
          <w:tcPr>
            <w:tcW w:w="5812" w:type="dxa"/>
            <w:gridSpan w:val="3"/>
            <w:shd w:val="clear" w:color="auto" w:fill="auto"/>
          </w:tcPr>
          <w:p w:rsidR="00E61FF7" w:rsidRPr="00D55DC6" w:rsidRDefault="00E61FF7" w:rsidP="004865C1">
            <w:pPr>
              <w:pStyle w:val="af2"/>
              <w:numPr>
                <w:ilvl w:val="0"/>
                <w:numId w:val="228"/>
              </w:numPr>
              <w:adjustRightInd w:val="0"/>
              <w:snapToGrid w:val="0"/>
              <w:spacing w:line="360" w:lineRule="atLeast"/>
              <w:ind w:leftChars="0" w:rightChars="-45" w:right="-108"/>
              <w:rPr>
                <w:rFonts w:ascii="標楷體" w:eastAsia="標楷體" w:hAnsi="標楷體"/>
              </w:rPr>
            </w:pPr>
            <w:r w:rsidRPr="00D55DC6">
              <w:rPr>
                <w:rFonts w:ascii="標楷體" w:eastAsia="標楷體" w:hAnsi="標楷體" w:hint="eastAsia"/>
              </w:rPr>
              <w:t>經費配置：應針對性別需求與目標，除硬體空間規劃外，如何強化性別友善的營運管理，以及不同性別者使用意向的相關調查研究，建議適切補充。</w:t>
            </w:r>
          </w:p>
          <w:p w:rsidR="00E61FF7" w:rsidRPr="00D55DC6" w:rsidRDefault="00E61FF7" w:rsidP="004865C1">
            <w:pPr>
              <w:pStyle w:val="af2"/>
              <w:numPr>
                <w:ilvl w:val="0"/>
                <w:numId w:val="228"/>
              </w:numPr>
              <w:adjustRightInd w:val="0"/>
              <w:snapToGrid w:val="0"/>
              <w:spacing w:line="360" w:lineRule="atLeast"/>
              <w:ind w:leftChars="0" w:rightChars="-45" w:right="-108"/>
              <w:rPr>
                <w:rFonts w:ascii="標楷體" w:eastAsia="標楷體" w:hAnsi="標楷體"/>
              </w:rPr>
            </w:pPr>
            <w:r w:rsidRPr="00D55DC6">
              <w:rPr>
                <w:rFonts w:ascii="標楷體" w:eastAsia="標楷體" w:hAnsi="標楷體" w:hint="eastAsia"/>
              </w:rPr>
              <w:t>執行策略：現有改善作法偏重一般性的空間規劃與設施，建議針對修訂後之性別目標與需求，一一對應，訂定改善作法。</w:t>
            </w:r>
          </w:p>
          <w:p w:rsidR="00E61FF7" w:rsidRPr="00D55DC6" w:rsidRDefault="00E61FF7" w:rsidP="004865C1">
            <w:pPr>
              <w:pStyle w:val="af2"/>
              <w:numPr>
                <w:ilvl w:val="0"/>
                <w:numId w:val="228"/>
              </w:numPr>
              <w:adjustRightInd w:val="0"/>
              <w:snapToGrid w:val="0"/>
              <w:spacing w:line="360" w:lineRule="atLeast"/>
              <w:ind w:leftChars="0" w:rightChars="-45" w:right="-108"/>
              <w:rPr>
                <w:rFonts w:ascii="標楷體" w:eastAsia="標楷體" w:hAnsi="標楷體"/>
              </w:rPr>
            </w:pPr>
            <w:r w:rsidRPr="00D55DC6">
              <w:rPr>
                <w:rFonts w:ascii="標楷體" w:eastAsia="標楷體" w:hAnsi="標楷體" w:hint="eastAsia"/>
              </w:rPr>
              <w:t>宣導傳播：除了園區內的設施告示標誌，應該包含全國各風景區的電子或紙本推廣介紹製作，聯外交通接駁與無縫銜接改善。</w:t>
            </w:r>
          </w:p>
        </w:tc>
      </w:tr>
      <w:tr w:rsidR="001D0350" w:rsidRPr="00D55DC6" w:rsidTr="00742A58">
        <w:trPr>
          <w:cantSplit/>
          <w:trHeight w:val="289"/>
        </w:trPr>
        <w:tc>
          <w:tcPr>
            <w:tcW w:w="4361" w:type="dxa"/>
            <w:gridSpan w:val="2"/>
            <w:shd w:val="clear" w:color="auto" w:fill="auto"/>
          </w:tcPr>
          <w:p w:rsidR="00E61FF7" w:rsidRPr="00D55DC6" w:rsidRDefault="00E61FF7" w:rsidP="00742A58">
            <w:pPr>
              <w:adjustRightInd w:val="0"/>
              <w:snapToGrid w:val="0"/>
              <w:spacing w:line="360" w:lineRule="atLeast"/>
              <w:ind w:leftChars="-6" w:left="462" w:rightChars="-45" w:right="-108" w:hangingChars="198" w:hanging="476"/>
              <w:rPr>
                <w:rFonts w:ascii="標楷體" w:eastAsia="標楷體" w:hAnsi="標楷體"/>
                <w:b/>
              </w:rPr>
            </w:pPr>
            <w:r w:rsidRPr="00D55DC6">
              <w:rPr>
                <w:rFonts w:ascii="標楷體" w:eastAsia="標楷體" w:hAnsi="標楷體" w:hint="eastAsia"/>
                <w:b/>
              </w:rPr>
              <w:t>10</w:t>
            </w:r>
            <w:r w:rsidRPr="00D55DC6">
              <w:rPr>
                <w:rFonts w:ascii="標楷體" w:eastAsia="標楷體" w:hAnsi="標楷體"/>
                <w:b/>
              </w:rPr>
              <w:t>-11效益評估說明之合宜性</w:t>
            </w:r>
          </w:p>
        </w:tc>
        <w:tc>
          <w:tcPr>
            <w:tcW w:w="5812" w:type="dxa"/>
            <w:gridSpan w:val="3"/>
            <w:shd w:val="clear" w:color="auto" w:fill="auto"/>
          </w:tcPr>
          <w:p w:rsidR="00E61FF7" w:rsidRPr="00D55DC6" w:rsidRDefault="00E61FF7" w:rsidP="00742A58">
            <w:pPr>
              <w:adjustRightInd w:val="0"/>
              <w:snapToGrid w:val="0"/>
              <w:spacing w:line="360" w:lineRule="atLeast"/>
              <w:ind w:rightChars="-45" w:right="-108"/>
              <w:rPr>
                <w:rFonts w:ascii="標楷體" w:eastAsia="標楷體" w:hAnsi="標楷體"/>
              </w:rPr>
            </w:pPr>
            <w:r w:rsidRPr="00D55DC6">
              <w:rPr>
                <w:rFonts w:ascii="標楷體" w:eastAsia="標楷體" w:hAnsi="標楷體" w:hint="eastAsia"/>
              </w:rPr>
              <w:t>就整體計畫而言，不應該只有廁所、育嬰室等設施空間面的探討，還有平等取得社會資源，包括工程計畫招標、工作就業等層面，建議納入。</w:t>
            </w:r>
          </w:p>
          <w:p w:rsidR="00E61FF7" w:rsidRPr="00D55DC6" w:rsidRDefault="00E61FF7" w:rsidP="00742A58">
            <w:pPr>
              <w:adjustRightInd w:val="0"/>
              <w:snapToGrid w:val="0"/>
              <w:spacing w:line="360" w:lineRule="atLeast"/>
              <w:ind w:rightChars="-45" w:right="-108"/>
              <w:rPr>
                <w:rFonts w:ascii="標楷體" w:eastAsia="標楷體" w:hAnsi="標楷體"/>
              </w:rPr>
            </w:pPr>
            <w:r w:rsidRPr="00D55DC6">
              <w:rPr>
                <w:rFonts w:ascii="標楷體" w:eastAsia="標楷體" w:hAnsi="標楷體" w:hint="eastAsia"/>
              </w:rPr>
              <w:t>相關考核指標，建議適切納入後續國家風景區調查計畫之調查性目中，作為持續改進的依據。</w:t>
            </w:r>
          </w:p>
        </w:tc>
      </w:tr>
      <w:tr w:rsidR="001D0350" w:rsidRPr="00D55DC6" w:rsidTr="00742A58">
        <w:trPr>
          <w:cantSplit/>
          <w:trHeight w:val="381"/>
        </w:trPr>
        <w:tc>
          <w:tcPr>
            <w:tcW w:w="4361" w:type="dxa"/>
            <w:gridSpan w:val="2"/>
            <w:shd w:val="clear" w:color="auto" w:fill="auto"/>
          </w:tcPr>
          <w:p w:rsidR="00E61FF7" w:rsidRPr="00D55DC6" w:rsidRDefault="00E61FF7" w:rsidP="00742A58">
            <w:pPr>
              <w:adjustRightInd w:val="0"/>
              <w:snapToGrid w:val="0"/>
              <w:spacing w:line="360" w:lineRule="atLeast"/>
              <w:ind w:leftChars="-6" w:left="462" w:rightChars="-45" w:right="-108" w:hangingChars="198" w:hanging="476"/>
              <w:rPr>
                <w:rFonts w:ascii="標楷體" w:eastAsia="標楷體" w:hAnsi="標楷體"/>
                <w:b/>
              </w:rPr>
            </w:pPr>
            <w:r w:rsidRPr="00D55DC6">
              <w:rPr>
                <w:rFonts w:ascii="標楷體" w:eastAsia="標楷體" w:hAnsi="標楷體" w:hint="eastAsia"/>
                <w:b/>
              </w:rPr>
              <w:t>10</w:t>
            </w:r>
            <w:r w:rsidRPr="00D55DC6">
              <w:rPr>
                <w:rFonts w:ascii="標楷體" w:eastAsia="標楷體" w:hAnsi="標楷體"/>
                <w:b/>
              </w:rPr>
              <w:t>-12綜合性檢視意見</w:t>
            </w:r>
          </w:p>
        </w:tc>
        <w:tc>
          <w:tcPr>
            <w:tcW w:w="5812" w:type="dxa"/>
            <w:gridSpan w:val="3"/>
            <w:shd w:val="clear" w:color="auto" w:fill="auto"/>
          </w:tcPr>
          <w:p w:rsidR="00E61FF7" w:rsidRPr="00D55DC6" w:rsidRDefault="00E61FF7" w:rsidP="00742A58">
            <w:pPr>
              <w:adjustRightInd w:val="0"/>
              <w:snapToGrid w:val="0"/>
              <w:spacing w:line="360" w:lineRule="atLeast"/>
              <w:ind w:rightChars="-45" w:right="-108"/>
              <w:rPr>
                <w:rFonts w:ascii="標楷體" w:eastAsia="標楷體" w:hAnsi="標楷體"/>
              </w:rPr>
            </w:pPr>
            <w:r w:rsidRPr="00D55DC6">
              <w:rPr>
                <w:rFonts w:ascii="標楷體" w:eastAsia="標楷體" w:hAnsi="標楷體" w:hint="eastAsia"/>
              </w:rPr>
              <w:t>整體性別影響評估檢視表之填寫尚可，建議善用既有統計資料，強化性別分析部分</w:t>
            </w:r>
            <w:r w:rsidRPr="00D55DC6">
              <w:rPr>
                <w:rFonts w:ascii="標楷體" w:eastAsia="標楷體" w:hAnsi="標楷體"/>
              </w:rPr>
              <w:t>，</w:t>
            </w:r>
            <w:r w:rsidRPr="00D55DC6">
              <w:rPr>
                <w:rFonts w:ascii="標楷體" w:eastAsia="標楷體" w:hAnsi="標楷體" w:hint="eastAsia"/>
              </w:rPr>
              <w:t>深入了解不同性別旅客，對於風景區相關旅遊特性，強化性別需求與目標之訂定。</w:t>
            </w:r>
          </w:p>
        </w:tc>
      </w:tr>
      <w:tr w:rsidR="001D0350" w:rsidRPr="00D55DC6" w:rsidTr="00742A58">
        <w:trPr>
          <w:cantSplit/>
          <w:trHeight w:val="446"/>
        </w:trPr>
        <w:tc>
          <w:tcPr>
            <w:tcW w:w="10173" w:type="dxa"/>
            <w:gridSpan w:val="5"/>
            <w:shd w:val="clear" w:color="auto" w:fill="auto"/>
            <w:vAlign w:val="center"/>
          </w:tcPr>
          <w:p w:rsidR="00E61FF7" w:rsidRPr="00D55DC6" w:rsidRDefault="00E61FF7" w:rsidP="00742A58">
            <w:pPr>
              <w:adjustRightInd w:val="0"/>
              <w:snapToGrid w:val="0"/>
              <w:spacing w:line="240" w:lineRule="atLeast"/>
              <w:ind w:leftChars="-45" w:left="-108" w:rightChars="-45" w:right="-108"/>
              <w:jc w:val="both"/>
              <w:rPr>
                <w:rFonts w:ascii="標楷體" w:eastAsia="標楷體" w:hAnsi="標楷體"/>
                <w:b/>
              </w:rPr>
            </w:pPr>
            <w:r w:rsidRPr="00D55DC6">
              <w:rPr>
                <w:rFonts w:ascii="標楷體" w:eastAsia="標楷體" w:hAnsi="標楷體"/>
                <w:b/>
              </w:rPr>
              <w:t>（三）參與時機及方式之合宜性</w:t>
            </w:r>
          </w:p>
          <w:p w:rsidR="00E61FF7" w:rsidRPr="00D55DC6" w:rsidRDefault="00E61FF7" w:rsidP="00742A58">
            <w:pPr>
              <w:adjustRightInd w:val="0"/>
              <w:snapToGrid w:val="0"/>
              <w:spacing w:line="360" w:lineRule="atLeast"/>
              <w:ind w:leftChars="295" w:left="708" w:rightChars="-45" w:right="-108"/>
              <w:rPr>
                <w:rFonts w:ascii="標楷體" w:eastAsia="標楷體" w:hAnsi="標楷體"/>
              </w:rPr>
            </w:pPr>
            <w:r w:rsidRPr="00D55DC6">
              <w:rPr>
                <w:rFonts w:ascii="標楷體" w:eastAsia="標楷體" w:hAnsi="標楷體" w:hint="eastAsia"/>
              </w:rPr>
              <w:t>整體參與時機尚可，建議未來可以在計畫書撰寫時，透過性別統計與分析，增加相關議題的發掘與討論。</w:t>
            </w:r>
          </w:p>
          <w:p w:rsidR="00E61FF7" w:rsidRPr="00D55DC6" w:rsidRDefault="00E61FF7" w:rsidP="00742A58">
            <w:pPr>
              <w:adjustRightInd w:val="0"/>
              <w:snapToGrid w:val="0"/>
              <w:spacing w:line="240" w:lineRule="atLeast"/>
              <w:ind w:leftChars="-45" w:left="-108" w:rightChars="-45" w:right="-108"/>
              <w:jc w:val="both"/>
              <w:rPr>
                <w:rFonts w:ascii="標楷體" w:eastAsia="標楷體" w:hAnsi="標楷體"/>
                <w:b/>
              </w:rPr>
            </w:pPr>
          </w:p>
        </w:tc>
      </w:tr>
      <w:tr w:rsidR="001D0350" w:rsidRPr="00D55DC6" w:rsidTr="00742A58">
        <w:trPr>
          <w:cantSplit/>
          <w:trHeight w:val="649"/>
        </w:trPr>
        <w:tc>
          <w:tcPr>
            <w:tcW w:w="10173" w:type="dxa"/>
            <w:gridSpan w:val="5"/>
            <w:shd w:val="clear" w:color="auto" w:fill="auto"/>
          </w:tcPr>
          <w:p w:rsidR="00E61FF7" w:rsidRPr="00D55DC6" w:rsidRDefault="00E61FF7" w:rsidP="00742A58">
            <w:pPr>
              <w:adjustRightInd w:val="0"/>
              <w:snapToGrid w:val="0"/>
              <w:spacing w:line="240" w:lineRule="atLeast"/>
              <w:ind w:rightChars="-45" w:right="-108"/>
              <w:rPr>
                <w:rFonts w:ascii="標楷體" w:eastAsia="標楷體" w:hAnsi="標楷體"/>
                <w:b/>
              </w:rPr>
            </w:pPr>
            <w:r w:rsidRPr="00D55DC6">
              <w:rPr>
                <w:rFonts w:ascii="標楷體" w:eastAsia="標楷體" w:hAnsi="標楷體"/>
                <w:b/>
              </w:rPr>
              <w:t>本人同意恪遵保密義務，未經部會同意不得逕自對外公開所評估之計畫草案。</w:t>
            </w:r>
            <w:r w:rsidRPr="00D55DC6">
              <w:rPr>
                <w:rFonts w:ascii="標楷體" w:eastAsia="標楷體" w:hAnsi="標楷體"/>
                <w:b/>
              </w:rPr>
              <w:br/>
              <w:t>（簽章，簽名或打字皆可）</w:t>
            </w:r>
          </w:p>
          <w:p w:rsidR="00E61FF7" w:rsidRPr="00D55DC6" w:rsidRDefault="00E61FF7" w:rsidP="00742A58">
            <w:pPr>
              <w:adjustRightInd w:val="0"/>
              <w:snapToGrid w:val="0"/>
              <w:spacing w:line="240" w:lineRule="atLeast"/>
              <w:ind w:rightChars="-45" w:right="-108"/>
              <w:rPr>
                <w:rFonts w:ascii="標楷體" w:eastAsia="標楷體" w:hAnsi="標楷體"/>
              </w:rPr>
            </w:pPr>
          </w:p>
          <w:p w:rsidR="00E61FF7" w:rsidRPr="00D55DC6" w:rsidRDefault="00E61FF7" w:rsidP="00742A58">
            <w:pPr>
              <w:adjustRightInd w:val="0"/>
              <w:snapToGrid w:val="0"/>
              <w:spacing w:line="240" w:lineRule="atLeast"/>
              <w:ind w:rightChars="-45" w:right="-108"/>
              <w:rPr>
                <w:rFonts w:ascii="標楷體" w:eastAsia="標楷體" w:hAnsi="標楷體"/>
                <w:b/>
              </w:rPr>
            </w:pPr>
            <w:r w:rsidRPr="00D55DC6">
              <w:rPr>
                <w:rFonts w:ascii="標楷體" w:eastAsia="標楷體" w:hAnsi="標楷體" w:hint="eastAsia"/>
              </w:rPr>
              <w:t>葉文健</w:t>
            </w:r>
          </w:p>
        </w:tc>
      </w:tr>
    </w:tbl>
    <w:p w:rsidR="00E61FF7" w:rsidRPr="00D55DC6" w:rsidRDefault="00E61FF7" w:rsidP="00E61FF7">
      <w:pPr>
        <w:kinsoku w:val="0"/>
        <w:spacing w:after="120" w:line="360" w:lineRule="exact"/>
        <w:rPr>
          <w:rFonts w:ascii="標楷體" w:eastAsia="標楷體" w:hAnsi="標楷體"/>
        </w:rPr>
      </w:pPr>
    </w:p>
    <w:p w:rsidR="00E61FF7" w:rsidRPr="00D55DC6" w:rsidRDefault="00E61FF7" w:rsidP="00E61FF7">
      <w:pPr>
        <w:widowControl/>
        <w:jc w:val="both"/>
      </w:pPr>
    </w:p>
    <w:p w:rsidR="00C676DD" w:rsidRPr="00D55DC6" w:rsidRDefault="00C676DD" w:rsidP="00C676DD">
      <w:pPr>
        <w:widowControl/>
        <w:jc w:val="both"/>
        <w:rPr>
          <w:rFonts w:eastAsia="標楷體"/>
          <w:b/>
          <w:sz w:val="32"/>
          <w:szCs w:val="32"/>
        </w:rPr>
      </w:pPr>
      <w:r w:rsidRPr="00D55DC6">
        <w:rPr>
          <w:rFonts w:eastAsia="標楷體"/>
          <w:b/>
          <w:sz w:val="32"/>
          <w:szCs w:val="32"/>
        </w:rPr>
        <w:br w:type="page"/>
      </w:r>
    </w:p>
    <w:p w:rsidR="00BE6699" w:rsidRPr="00D55DC6" w:rsidRDefault="00261ADB" w:rsidP="0038165F">
      <w:pPr>
        <w:widowControl/>
        <w:rPr>
          <w:rFonts w:eastAsia="標楷體"/>
          <w:b/>
          <w:sz w:val="32"/>
          <w:szCs w:val="32"/>
        </w:rPr>
      </w:pPr>
      <w:r w:rsidRPr="00D55DC6">
        <w:rPr>
          <w:rFonts w:eastAsia="標楷體"/>
          <w:b/>
          <w:sz w:val="32"/>
          <w:szCs w:val="32"/>
        </w:rPr>
        <w:lastRenderedPageBreak/>
        <w:t>附錄</w:t>
      </w:r>
      <w:r w:rsidRPr="00D55DC6">
        <w:rPr>
          <w:rFonts w:eastAsia="標楷體"/>
          <w:b/>
          <w:sz w:val="32"/>
          <w:szCs w:val="32"/>
        </w:rPr>
        <w:t xml:space="preserve">  </w:t>
      </w:r>
      <w:r w:rsidRPr="00D55DC6">
        <w:rPr>
          <w:rFonts w:eastAsia="標楷體"/>
          <w:b/>
          <w:sz w:val="32"/>
          <w:szCs w:val="32"/>
        </w:rPr>
        <w:t>各子計畫內容</w:t>
      </w:r>
    </w:p>
    <w:p w:rsidR="00261ADB" w:rsidRPr="00D55DC6" w:rsidRDefault="00261ADB" w:rsidP="0038165F">
      <w:pPr>
        <w:widowControl/>
        <w:rPr>
          <w:rFonts w:eastAsia="標楷體"/>
          <w:b/>
          <w:sz w:val="32"/>
          <w:szCs w:val="32"/>
        </w:rPr>
      </w:pPr>
      <w:r w:rsidRPr="00D55DC6">
        <w:rPr>
          <w:rFonts w:eastAsia="標楷體"/>
          <w:b/>
          <w:sz w:val="32"/>
          <w:szCs w:val="32"/>
        </w:rPr>
        <w:t>壹、東北角暨宜蘭海岸國家風景區建設計畫</w:t>
      </w:r>
    </w:p>
    <w:p w:rsidR="00261ADB" w:rsidRPr="00D55DC6" w:rsidRDefault="00261ADB" w:rsidP="0038165F">
      <w:pPr>
        <w:pStyle w:val="a"/>
        <w:numPr>
          <w:ilvl w:val="0"/>
          <w:numId w:val="20"/>
        </w:numPr>
        <w:ind w:left="709" w:hanging="709"/>
        <w:rPr>
          <w:b/>
        </w:rPr>
      </w:pPr>
      <w:bookmarkStart w:id="58" w:name="_Toc407181640"/>
      <w:r w:rsidRPr="00D55DC6">
        <w:rPr>
          <w:b/>
        </w:rPr>
        <w:t>計畫緣起</w:t>
      </w:r>
      <w:bookmarkEnd w:id="58"/>
    </w:p>
    <w:p w:rsidR="00261ADB" w:rsidRPr="00D55DC6" w:rsidRDefault="00261ADB" w:rsidP="0038165F">
      <w:pPr>
        <w:pStyle w:val="af2"/>
        <w:numPr>
          <w:ilvl w:val="0"/>
          <w:numId w:val="21"/>
        </w:numPr>
        <w:snapToGrid w:val="0"/>
        <w:spacing w:line="460" w:lineRule="exact"/>
        <w:ind w:leftChars="0"/>
        <w:jc w:val="both"/>
        <w:rPr>
          <w:rFonts w:eastAsia="標楷體"/>
          <w:b/>
          <w:sz w:val="28"/>
          <w:szCs w:val="28"/>
        </w:rPr>
      </w:pPr>
      <w:r w:rsidRPr="00D55DC6">
        <w:rPr>
          <w:rFonts w:eastAsia="標楷體"/>
          <w:b/>
          <w:sz w:val="28"/>
          <w:szCs w:val="28"/>
        </w:rPr>
        <w:t>依據</w:t>
      </w:r>
    </w:p>
    <w:p w:rsidR="00261ADB" w:rsidRPr="00D55DC6" w:rsidRDefault="00261ADB" w:rsidP="0038165F">
      <w:pPr>
        <w:pStyle w:val="af2"/>
        <w:numPr>
          <w:ilvl w:val="0"/>
          <w:numId w:val="22"/>
        </w:numPr>
        <w:snapToGrid w:val="0"/>
        <w:spacing w:line="460" w:lineRule="exact"/>
        <w:ind w:leftChars="0" w:left="1176" w:hanging="266"/>
        <w:jc w:val="both"/>
        <w:rPr>
          <w:rFonts w:eastAsia="標楷體"/>
          <w:sz w:val="28"/>
          <w:szCs w:val="28"/>
        </w:rPr>
      </w:pPr>
      <w:r w:rsidRPr="00D55DC6">
        <w:rPr>
          <w:rFonts w:eastAsia="標楷體"/>
          <w:sz w:val="28"/>
          <w:szCs w:val="28"/>
        </w:rPr>
        <w:t>為有效發揮政府重大公共建設計畫觀光次類別經費之投資效益，強化具體投資成果，延續「重要觀光景點建設中程計畫（</w:t>
      </w:r>
      <w:r w:rsidRPr="00D55DC6">
        <w:rPr>
          <w:rFonts w:eastAsia="標楷體"/>
          <w:sz w:val="28"/>
          <w:szCs w:val="28"/>
        </w:rPr>
        <w:t>101</w:t>
      </w:r>
      <w:r w:rsidRPr="00D55DC6">
        <w:rPr>
          <w:rFonts w:eastAsia="標楷體"/>
          <w:sz w:val="28"/>
          <w:szCs w:val="28"/>
        </w:rPr>
        <w:t>至</w:t>
      </w:r>
      <w:r w:rsidRPr="00D55DC6">
        <w:rPr>
          <w:rFonts w:eastAsia="標楷體"/>
          <w:sz w:val="28"/>
          <w:szCs w:val="28"/>
        </w:rPr>
        <w:t>104</w:t>
      </w:r>
      <w:r w:rsidRPr="00D55DC6">
        <w:rPr>
          <w:rFonts w:eastAsia="標楷體"/>
          <w:sz w:val="28"/>
          <w:szCs w:val="28"/>
        </w:rPr>
        <w:t>年）」（行政院</w:t>
      </w:r>
      <w:r w:rsidRPr="00D55DC6">
        <w:rPr>
          <w:rFonts w:eastAsia="標楷體"/>
          <w:sz w:val="28"/>
          <w:szCs w:val="28"/>
        </w:rPr>
        <w:t>100</w:t>
      </w:r>
      <w:r w:rsidRPr="00D55DC6">
        <w:rPr>
          <w:rFonts w:eastAsia="標楷體"/>
          <w:sz w:val="28"/>
          <w:szCs w:val="28"/>
        </w:rPr>
        <w:t>年</w:t>
      </w:r>
      <w:r w:rsidRPr="00D55DC6">
        <w:rPr>
          <w:rFonts w:eastAsia="標楷體"/>
          <w:sz w:val="28"/>
          <w:szCs w:val="28"/>
        </w:rPr>
        <w:t>8</w:t>
      </w:r>
      <w:r w:rsidRPr="00D55DC6">
        <w:rPr>
          <w:rFonts w:eastAsia="標楷體"/>
          <w:sz w:val="28"/>
          <w:szCs w:val="28"/>
        </w:rPr>
        <w:t>月</w:t>
      </w:r>
      <w:r w:rsidRPr="00D55DC6">
        <w:rPr>
          <w:rFonts w:eastAsia="標楷體"/>
          <w:sz w:val="28"/>
          <w:szCs w:val="28"/>
        </w:rPr>
        <w:t>22</w:t>
      </w:r>
      <w:r w:rsidRPr="00D55DC6">
        <w:rPr>
          <w:rFonts w:eastAsia="標楷體"/>
          <w:sz w:val="28"/>
          <w:szCs w:val="28"/>
        </w:rPr>
        <w:t>日院臺交字第</w:t>
      </w:r>
      <w:r w:rsidRPr="00D55DC6">
        <w:rPr>
          <w:rFonts w:eastAsia="標楷體"/>
          <w:sz w:val="28"/>
          <w:szCs w:val="28"/>
        </w:rPr>
        <w:t>1000044174</w:t>
      </w:r>
      <w:r w:rsidRPr="00D55DC6">
        <w:rPr>
          <w:rFonts w:eastAsia="標楷體"/>
          <w:sz w:val="28"/>
          <w:szCs w:val="28"/>
        </w:rPr>
        <w:t>號函核定）建設成果，並調整以</w:t>
      </w:r>
      <w:r w:rsidRPr="00D55DC6">
        <w:rPr>
          <w:rFonts w:eastAsia="標楷體"/>
          <w:sz w:val="28"/>
          <w:szCs w:val="28"/>
        </w:rPr>
        <w:t>1.</w:t>
      </w:r>
      <w:r w:rsidRPr="00D55DC6">
        <w:rPr>
          <w:rFonts w:eastAsia="標楷體"/>
          <w:sz w:val="28"/>
          <w:szCs w:val="28"/>
        </w:rPr>
        <w:t>國際觀光重要景點建設、</w:t>
      </w:r>
      <w:r w:rsidRPr="00D55DC6">
        <w:rPr>
          <w:rFonts w:eastAsia="標楷體"/>
          <w:sz w:val="28"/>
          <w:szCs w:val="28"/>
        </w:rPr>
        <w:t>2.</w:t>
      </w:r>
      <w:r w:rsidRPr="00D55DC6">
        <w:rPr>
          <w:rFonts w:eastAsia="標楷體"/>
          <w:sz w:val="28"/>
          <w:szCs w:val="28"/>
        </w:rPr>
        <w:t>國內觀光重要景點建設、</w:t>
      </w:r>
      <w:r w:rsidRPr="00D55DC6">
        <w:rPr>
          <w:rFonts w:eastAsia="標楷體"/>
          <w:sz w:val="28"/>
          <w:szCs w:val="28"/>
        </w:rPr>
        <w:t>3.</w:t>
      </w:r>
      <w:r w:rsidRPr="00D55DC6">
        <w:rPr>
          <w:rFonts w:eastAsia="標楷體"/>
          <w:sz w:val="28"/>
          <w:szCs w:val="28"/>
        </w:rPr>
        <w:t>國家風景區經營管理維護等投資重點與優先順序，研擬「重要觀光景點建設中程計畫</w:t>
      </w:r>
      <w:r w:rsidRPr="00D55DC6">
        <w:rPr>
          <w:rFonts w:eastAsia="標楷體"/>
          <w:sz w:val="28"/>
          <w:szCs w:val="28"/>
        </w:rPr>
        <w:t>(105-108</w:t>
      </w:r>
      <w:r w:rsidRPr="00D55DC6">
        <w:rPr>
          <w:rFonts w:eastAsia="標楷體"/>
          <w:sz w:val="28"/>
          <w:szCs w:val="28"/>
        </w:rPr>
        <w:t>年</w:t>
      </w:r>
      <w:r w:rsidRPr="00D55DC6">
        <w:rPr>
          <w:rFonts w:eastAsia="標楷體"/>
          <w:sz w:val="28"/>
          <w:szCs w:val="28"/>
        </w:rPr>
        <w:t>)</w:t>
      </w:r>
      <w:r w:rsidRPr="00D55DC6">
        <w:rPr>
          <w:rFonts w:eastAsia="標楷體"/>
          <w:sz w:val="28"/>
          <w:szCs w:val="28"/>
        </w:rPr>
        <w:t>」。</w:t>
      </w:r>
    </w:p>
    <w:p w:rsidR="00261ADB" w:rsidRPr="00D55DC6" w:rsidRDefault="00261ADB" w:rsidP="0038165F">
      <w:pPr>
        <w:pStyle w:val="af2"/>
        <w:numPr>
          <w:ilvl w:val="0"/>
          <w:numId w:val="22"/>
        </w:numPr>
        <w:snapToGrid w:val="0"/>
        <w:spacing w:line="460" w:lineRule="exact"/>
        <w:ind w:leftChars="0" w:left="1176" w:hanging="266"/>
        <w:jc w:val="both"/>
        <w:rPr>
          <w:rFonts w:eastAsia="標楷體"/>
          <w:sz w:val="28"/>
          <w:szCs w:val="28"/>
        </w:rPr>
      </w:pPr>
      <w:r w:rsidRPr="00D55DC6">
        <w:rPr>
          <w:rFonts w:eastAsia="標楷體"/>
          <w:sz w:val="28"/>
          <w:szCs w:val="28"/>
        </w:rPr>
        <w:t>依據行政院</w:t>
      </w:r>
      <w:r w:rsidRPr="00D55DC6">
        <w:rPr>
          <w:rFonts w:eastAsia="標楷體"/>
          <w:sz w:val="28"/>
          <w:szCs w:val="28"/>
        </w:rPr>
        <w:t>103</w:t>
      </w:r>
      <w:r w:rsidRPr="00D55DC6">
        <w:rPr>
          <w:rFonts w:eastAsia="標楷體"/>
          <w:sz w:val="28"/>
          <w:szCs w:val="28"/>
        </w:rPr>
        <w:t>年</w:t>
      </w:r>
      <w:r w:rsidRPr="00D55DC6">
        <w:rPr>
          <w:rFonts w:eastAsia="標楷體"/>
          <w:sz w:val="28"/>
          <w:szCs w:val="28"/>
        </w:rPr>
        <w:t>10</w:t>
      </w:r>
      <w:r w:rsidRPr="00D55DC6">
        <w:rPr>
          <w:rFonts w:eastAsia="標楷體"/>
          <w:sz w:val="28"/>
          <w:szCs w:val="28"/>
        </w:rPr>
        <w:t>月</w:t>
      </w:r>
      <w:r w:rsidRPr="00D55DC6">
        <w:rPr>
          <w:rFonts w:eastAsia="標楷體"/>
          <w:sz w:val="28"/>
          <w:szCs w:val="28"/>
        </w:rPr>
        <w:t>15</w:t>
      </w:r>
      <w:r w:rsidRPr="00D55DC6">
        <w:rPr>
          <w:rFonts w:eastAsia="標楷體"/>
          <w:sz w:val="28"/>
          <w:szCs w:val="28"/>
        </w:rPr>
        <w:t>日院臺交字第</w:t>
      </w:r>
      <w:r w:rsidRPr="00D55DC6">
        <w:rPr>
          <w:rFonts w:eastAsia="標楷體"/>
          <w:sz w:val="28"/>
          <w:szCs w:val="28"/>
        </w:rPr>
        <w:t>1030058303</w:t>
      </w:r>
      <w:r w:rsidRPr="00D55DC6">
        <w:rPr>
          <w:rFonts w:eastAsia="標楷體"/>
          <w:sz w:val="28"/>
          <w:szCs w:val="28"/>
        </w:rPr>
        <w:t>號函核定「</w:t>
      </w:r>
      <w:r w:rsidR="000E303F" w:rsidRPr="00D55DC6">
        <w:rPr>
          <w:rFonts w:eastAsia="標楷體"/>
          <w:sz w:val="28"/>
          <w:szCs w:val="28"/>
        </w:rPr>
        <w:t>日月潭等</w:t>
      </w:r>
      <w:r w:rsidR="000E303F" w:rsidRPr="00D55DC6">
        <w:rPr>
          <w:rFonts w:eastAsia="標楷體"/>
          <w:sz w:val="28"/>
          <w:szCs w:val="28"/>
        </w:rPr>
        <w:t>6</w:t>
      </w:r>
      <w:r w:rsidR="000E303F" w:rsidRPr="00D55DC6">
        <w:rPr>
          <w:rFonts w:eastAsia="標楷體"/>
          <w:sz w:val="28"/>
          <w:szCs w:val="28"/>
        </w:rPr>
        <w:t>處國家風景區整體發展暨財務計畫」（包含日月潭、東北角暨宜蘭海岸、北海岸及觀音山、阿里山、參山、雲嘉南濱海）</w:t>
      </w:r>
      <w:r w:rsidRPr="00D55DC6">
        <w:rPr>
          <w:rFonts w:eastAsia="標楷體"/>
          <w:sz w:val="28"/>
          <w:szCs w:val="28"/>
        </w:rPr>
        <w:t>之意旨辦理。</w:t>
      </w:r>
    </w:p>
    <w:p w:rsidR="00261ADB" w:rsidRPr="00D55DC6" w:rsidRDefault="00261ADB" w:rsidP="0038165F">
      <w:pPr>
        <w:pStyle w:val="af2"/>
        <w:numPr>
          <w:ilvl w:val="0"/>
          <w:numId w:val="21"/>
        </w:numPr>
        <w:snapToGrid w:val="0"/>
        <w:spacing w:line="460" w:lineRule="exact"/>
        <w:ind w:leftChars="0"/>
        <w:jc w:val="both"/>
        <w:rPr>
          <w:rFonts w:eastAsia="標楷體"/>
          <w:b/>
          <w:sz w:val="28"/>
          <w:szCs w:val="28"/>
        </w:rPr>
      </w:pPr>
      <w:r w:rsidRPr="00D55DC6">
        <w:rPr>
          <w:rFonts w:eastAsia="標楷體"/>
          <w:b/>
          <w:sz w:val="28"/>
          <w:szCs w:val="28"/>
        </w:rPr>
        <w:t>未來環境預測</w:t>
      </w:r>
    </w:p>
    <w:p w:rsidR="00261ADB" w:rsidRPr="00D55DC6" w:rsidRDefault="00261ADB" w:rsidP="0038165F">
      <w:pPr>
        <w:pStyle w:val="af2"/>
        <w:numPr>
          <w:ilvl w:val="0"/>
          <w:numId w:val="23"/>
        </w:numPr>
        <w:snapToGrid w:val="0"/>
        <w:spacing w:line="460" w:lineRule="exact"/>
        <w:ind w:leftChars="0" w:left="1232" w:hanging="322"/>
        <w:jc w:val="both"/>
        <w:rPr>
          <w:rFonts w:eastAsia="標楷體"/>
          <w:sz w:val="28"/>
          <w:szCs w:val="28"/>
        </w:rPr>
      </w:pPr>
      <w:r w:rsidRPr="00D55DC6">
        <w:rPr>
          <w:rFonts w:eastAsia="標楷體"/>
          <w:sz w:val="28"/>
          <w:szCs w:val="28"/>
        </w:rPr>
        <w:t>東北角暨宜蘭海岸國家風景區遊憩需求預測：目前依據刻正進行的「東北角暨宜蘭海岸國家風景區整體發展計畫暨財務計畫」，推估至</w:t>
      </w:r>
      <w:r w:rsidRPr="00D55DC6">
        <w:rPr>
          <w:rFonts w:eastAsia="標楷體"/>
          <w:sz w:val="28"/>
          <w:szCs w:val="28"/>
        </w:rPr>
        <w:t>112</w:t>
      </w:r>
      <w:r w:rsidRPr="00D55DC6">
        <w:rPr>
          <w:rFonts w:eastAsia="標楷體"/>
          <w:sz w:val="28"/>
          <w:szCs w:val="28"/>
        </w:rPr>
        <w:t>年遊憩需求分述如下：</w:t>
      </w:r>
    </w:p>
    <w:p w:rsidR="00261ADB" w:rsidRPr="00D55DC6" w:rsidRDefault="00261ADB" w:rsidP="0038165F">
      <w:pPr>
        <w:pStyle w:val="af2"/>
        <w:numPr>
          <w:ilvl w:val="0"/>
          <w:numId w:val="24"/>
        </w:numPr>
        <w:tabs>
          <w:tab w:val="left" w:pos="1701"/>
        </w:tabs>
        <w:snapToGrid w:val="0"/>
        <w:spacing w:line="460" w:lineRule="exact"/>
        <w:ind w:leftChars="0" w:left="1560" w:hanging="322"/>
        <w:jc w:val="both"/>
        <w:rPr>
          <w:rFonts w:eastAsia="標楷體"/>
          <w:sz w:val="28"/>
          <w:szCs w:val="28"/>
        </w:rPr>
      </w:pPr>
      <w:r w:rsidRPr="00D55DC6">
        <w:rPr>
          <w:rFonts w:eastAsia="標楷體"/>
          <w:sz w:val="28"/>
          <w:szCs w:val="28"/>
        </w:rPr>
        <w:t>遊客人數：</w:t>
      </w:r>
    </w:p>
    <w:p w:rsidR="00261ADB" w:rsidRPr="00D55DC6" w:rsidRDefault="00261ADB" w:rsidP="0038165F">
      <w:pPr>
        <w:pStyle w:val="af2"/>
        <w:snapToGrid w:val="0"/>
        <w:spacing w:line="460" w:lineRule="exact"/>
        <w:ind w:leftChars="0" w:left="1540" w:firstLineChars="205" w:firstLine="574"/>
        <w:jc w:val="both"/>
        <w:rPr>
          <w:rFonts w:eastAsia="標楷體"/>
          <w:sz w:val="28"/>
          <w:szCs w:val="28"/>
        </w:rPr>
      </w:pPr>
      <w:r w:rsidRPr="00D55DC6">
        <w:rPr>
          <w:rFonts w:eastAsia="標楷體"/>
          <w:sz w:val="28"/>
          <w:szCs w:val="28"/>
        </w:rPr>
        <w:t>東北角暨宜蘭海岸國家風景區管理處全區年遊客量推估至</w:t>
      </w:r>
      <w:r w:rsidRPr="00D55DC6">
        <w:rPr>
          <w:rFonts w:eastAsia="標楷體"/>
          <w:sz w:val="28"/>
          <w:szCs w:val="28"/>
        </w:rPr>
        <w:t>112</w:t>
      </w:r>
      <w:r w:rsidRPr="00D55DC6">
        <w:rPr>
          <w:rFonts w:eastAsia="標楷體"/>
          <w:sz w:val="28"/>
          <w:szCs w:val="28"/>
        </w:rPr>
        <w:t>年約</w:t>
      </w:r>
      <w:r w:rsidRPr="00D55DC6">
        <w:rPr>
          <w:rFonts w:eastAsia="標楷體"/>
          <w:sz w:val="28"/>
          <w:szCs w:val="28"/>
        </w:rPr>
        <w:t>488.6</w:t>
      </w:r>
      <w:r w:rsidRPr="00D55DC6">
        <w:rPr>
          <w:rFonts w:eastAsia="標楷體"/>
          <w:sz w:val="28"/>
          <w:szCs w:val="28"/>
        </w:rPr>
        <w:t>萬人次；各遊憩系統遊客量依鼻頭龍洞、福隆地區、外澳地區、宜蘭濱海遊憩區系統分別為</w:t>
      </w:r>
      <w:r w:rsidRPr="00D55DC6">
        <w:rPr>
          <w:rFonts w:eastAsia="標楷體"/>
          <w:sz w:val="28"/>
          <w:szCs w:val="28"/>
        </w:rPr>
        <w:t>24.9</w:t>
      </w:r>
      <w:r w:rsidRPr="00D55DC6">
        <w:rPr>
          <w:rFonts w:eastAsia="標楷體"/>
          <w:sz w:val="28"/>
          <w:szCs w:val="28"/>
        </w:rPr>
        <w:t>萬人次、</w:t>
      </w:r>
      <w:r w:rsidRPr="00D55DC6">
        <w:rPr>
          <w:rFonts w:eastAsia="標楷體"/>
          <w:sz w:val="28"/>
          <w:szCs w:val="28"/>
        </w:rPr>
        <w:t>217.4</w:t>
      </w:r>
      <w:r w:rsidRPr="00D55DC6">
        <w:rPr>
          <w:rFonts w:eastAsia="標楷體"/>
          <w:sz w:val="28"/>
          <w:szCs w:val="28"/>
        </w:rPr>
        <w:t>萬人次、</w:t>
      </w:r>
      <w:r w:rsidRPr="00D55DC6">
        <w:rPr>
          <w:rFonts w:eastAsia="標楷體"/>
          <w:sz w:val="28"/>
          <w:szCs w:val="28"/>
        </w:rPr>
        <w:t>81.6</w:t>
      </w:r>
      <w:r w:rsidRPr="00D55DC6">
        <w:rPr>
          <w:rFonts w:eastAsia="標楷體"/>
          <w:sz w:val="28"/>
          <w:szCs w:val="28"/>
        </w:rPr>
        <w:t>萬人次及</w:t>
      </w:r>
      <w:r w:rsidRPr="00D55DC6">
        <w:rPr>
          <w:rFonts w:eastAsia="標楷體"/>
          <w:sz w:val="28"/>
          <w:szCs w:val="28"/>
        </w:rPr>
        <w:t>164.5</w:t>
      </w:r>
      <w:r w:rsidRPr="00D55DC6">
        <w:rPr>
          <w:rFonts w:eastAsia="標楷體"/>
          <w:sz w:val="28"/>
          <w:szCs w:val="28"/>
        </w:rPr>
        <w:t>萬人次。與</w:t>
      </w:r>
      <w:r w:rsidRPr="00D55DC6">
        <w:rPr>
          <w:rFonts w:eastAsia="標楷體"/>
          <w:sz w:val="28"/>
          <w:szCs w:val="28"/>
        </w:rPr>
        <w:t>102</w:t>
      </w:r>
      <w:r w:rsidRPr="00D55DC6">
        <w:rPr>
          <w:rFonts w:eastAsia="標楷體"/>
          <w:sz w:val="28"/>
          <w:szCs w:val="28"/>
        </w:rPr>
        <w:t>年遊客量約</w:t>
      </w:r>
      <w:r w:rsidRPr="00D55DC6">
        <w:rPr>
          <w:rFonts w:eastAsia="標楷體"/>
          <w:sz w:val="28"/>
          <w:szCs w:val="28"/>
        </w:rPr>
        <w:t>418</w:t>
      </w:r>
      <w:r w:rsidRPr="00D55DC6">
        <w:rPr>
          <w:rFonts w:eastAsia="標楷體"/>
          <w:sz w:val="28"/>
          <w:szCs w:val="28"/>
        </w:rPr>
        <w:t>萬人次相較，成長</w:t>
      </w:r>
      <w:r w:rsidRPr="00D55DC6">
        <w:rPr>
          <w:rFonts w:eastAsia="標楷體"/>
          <w:sz w:val="28"/>
          <w:szCs w:val="28"/>
        </w:rPr>
        <w:t>16.89%</w:t>
      </w:r>
      <w:r w:rsidRPr="00D55DC6">
        <w:rPr>
          <w:rFonts w:eastAsia="標楷體"/>
          <w:sz w:val="28"/>
          <w:szCs w:val="28"/>
        </w:rPr>
        <w:t>。相關公共設施服務在「量」上應配合增加外，在「質」的方面予以提升為發展目標，依全區整體發展規劃，進行計畫性地分期分年建設。</w:t>
      </w:r>
    </w:p>
    <w:p w:rsidR="00261ADB" w:rsidRPr="00D55DC6" w:rsidRDefault="00261ADB" w:rsidP="0038165F">
      <w:pPr>
        <w:pStyle w:val="af2"/>
        <w:numPr>
          <w:ilvl w:val="0"/>
          <w:numId w:val="24"/>
        </w:numPr>
        <w:tabs>
          <w:tab w:val="left" w:pos="1701"/>
        </w:tabs>
        <w:snapToGrid w:val="0"/>
        <w:spacing w:line="460" w:lineRule="exact"/>
        <w:ind w:leftChars="0" w:left="1560" w:hanging="322"/>
        <w:jc w:val="both"/>
        <w:rPr>
          <w:rFonts w:eastAsia="標楷體"/>
          <w:sz w:val="28"/>
          <w:szCs w:val="28"/>
        </w:rPr>
      </w:pPr>
      <w:r w:rsidRPr="00D55DC6">
        <w:rPr>
          <w:rFonts w:eastAsia="標楷體"/>
          <w:sz w:val="28"/>
          <w:szCs w:val="28"/>
        </w:rPr>
        <w:t>遊客住宿需求</w:t>
      </w:r>
    </w:p>
    <w:p w:rsidR="00261ADB" w:rsidRPr="00D55DC6" w:rsidRDefault="00261ADB" w:rsidP="0038165F">
      <w:pPr>
        <w:pStyle w:val="af2"/>
        <w:snapToGrid w:val="0"/>
        <w:spacing w:line="460" w:lineRule="exact"/>
        <w:ind w:leftChars="0" w:left="1540" w:firstLineChars="205" w:firstLine="574"/>
        <w:jc w:val="both"/>
        <w:rPr>
          <w:rFonts w:eastAsia="標楷體"/>
          <w:sz w:val="28"/>
          <w:szCs w:val="28"/>
        </w:rPr>
      </w:pPr>
      <w:r w:rsidRPr="00D55DC6">
        <w:rPr>
          <w:rFonts w:eastAsia="標楷體"/>
          <w:sz w:val="28"/>
          <w:szCs w:val="28"/>
        </w:rPr>
        <w:t>東北角地區推估民國</w:t>
      </w:r>
      <w:r w:rsidRPr="00D55DC6">
        <w:rPr>
          <w:rFonts w:eastAsia="標楷體"/>
          <w:sz w:val="28"/>
          <w:szCs w:val="28"/>
        </w:rPr>
        <w:t>112</w:t>
      </w:r>
      <w:r w:rsidRPr="00D55DC6">
        <w:rPr>
          <w:rFonts w:eastAsia="標楷體"/>
          <w:sz w:val="28"/>
          <w:szCs w:val="28"/>
        </w:rPr>
        <w:t>年房間需求數</w:t>
      </w:r>
      <w:r w:rsidRPr="00D55DC6">
        <w:rPr>
          <w:rFonts w:eastAsia="標楷體"/>
          <w:sz w:val="28"/>
          <w:szCs w:val="28"/>
        </w:rPr>
        <w:t>2,511</w:t>
      </w:r>
      <w:r w:rsidRPr="00D55DC6">
        <w:rPr>
          <w:rFonts w:eastAsia="標楷體"/>
          <w:sz w:val="28"/>
          <w:szCs w:val="28"/>
        </w:rPr>
        <w:t>間</w:t>
      </w:r>
      <w:r w:rsidRPr="00D55DC6">
        <w:rPr>
          <w:rFonts w:eastAsia="標楷體"/>
          <w:sz w:val="28"/>
          <w:szCs w:val="28"/>
        </w:rPr>
        <w:t>/</w:t>
      </w:r>
      <w:r w:rsidRPr="00D55DC6">
        <w:rPr>
          <w:rFonts w:eastAsia="標楷體"/>
          <w:sz w:val="28"/>
          <w:szCs w:val="28"/>
        </w:rPr>
        <w:t>天</w:t>
      </w:r>
      <w:r w:rsidRPr="00D55DC6">
        <w:rPr>
          <w:rFonts w:eastAsia="標楷體"/>
          <w:sz w:val="28"/>
          <w:szCs w:val="28"/>
        </w:rPr>
        <w:t>(</w:t>
      </w:r>
      <w:r w:rsidRPr="00D55DC6">
        <w:rPr>
          <w:rFonts w:eastAsia="標楷體"/>
          <w:sz w:val="28"/>
          <w:szCs w:val="28"/>
        </w:rPr>
        <w:t>新北市</w:t>
      </w:r>
      <w:r w:rsidRPr="00D55DC6">
        <w:rPr>
          <w:rFonts w:eastAsia="標楷體"/>
          <w:sz w:val="28"/>
          <w:szCs w:val="28"/>
        </w:rPr>
        <w:t>1,405</w:t>
      </w:r>
      <w:r w:rsidRPr="00D55DC6">
        <w:rPr>
          <w:rFonts w:eastAsia="標楷體"/>
          <w:sz w:val="28"/>
          <w:szCs w:val="28"/>
        </w:rPr>
        <w:t>間，宜蘭縣</w:t>
      </w:r>
      <w:r w:rsidRPr="00D55DC6">
        <w:rPr>
          <w:rFonts w:eastAsia="標楷體"/>
          <w:sz w:val="28"/>
          <w:szCs w:val="28"/>
        </w:rPr>
        <w:t>1,106</w:t>
      </w:r>
      <w:r w:rsidRPr="00D55DC6">
        <w:rPr>
          <w:rFonts w:eastAsia="標楷體"/>
          <w:sz w:val="28"/>
          <w:szCs w:val="28"/>
        </w:rPr>
        <w:t>間</w:t>
      </w:r>
      <w:r w:rsidRPr="00D55DC6">
        <w:rPr>
          <w:rFonts w:eastAsia="標楷體"/>
          <w:sz w:val="28"/>
          <w:szCs w:val="28"/>
        </w:rPr>
        <w:t>)</w:t>
      </w:r>
      <w:r w:rsidRPr="00D55DC6">
        <w:rPr>
          <w:rFonts w:eastAsia="標楷體"/>
          <w:sz w:val="28"/>
          <w:szCs w:val="28"/>
        </w:rPr>
        <w:t>，扣除現有總房間數</w:t>
      </w:r>
      <w:r w:rsidRPr="00D55DC6">
        <w:rPr>
          <w:rFonts w:eastAsia="標楷體"/>
          <w:sz w:val="28"/>
          <w:szCs w:val="28"/>
        </w:rPr>
        <w:t>2,271</w:t>
      </w:r>
      <w:r w:rsidRPr="00D55DC6">
        <w:rPr>
          <w:rFonts w:eastAsia="標楷體"/>
          <w:sz w:val="28"/>
          <w:szCs w:val="28"/>
        </w:rPr>
        <w:t>間</w:t>
      </w:r>
      <w:r w:rsidRPr="00D55DC6">
        <w:rPr>
          <w:rFonts w:eastAsia="標楷體"/>
          <w:sz w:val="28"/>
          <w:szCs w:val="28"/>
        </w:rPr>
        <w:t>(</w:t>
      </w:r>
      <w:r w:rsidRPr="00D55DC6">
        <w:rPr>
          <w:rFonts w:eastAsia="標楷體"/>
          <w:sz w:val="28"/>
          <w:szCs w:val="28"/>
        </w:rPr>
        <w:t>新</w:t>
      </w:r>
      <w:r w:rsidRPr="00D55DC6">
        <w:rPr>
          <w:rFonts w:eastAsia="標楷體"/>
          <w:sz w:val="28"/>
          <w:szCs w:val="28"/>
        </w:rPr>
        <w:lastRenderedPageBreak/>
        <w:t>北市</w:t>
      </w:r>
      <w:r w:rsidRPr="00D55DC6">
        <w:rPr>
          <w:rFonts w:eastAsia="標楷體"/>
          <w:sz w:val="28"/>
          <w:szCs w:val="28"/>
        </w:rPr>
        <w:t>177</w:t>
      </w:r>
      <w:r w:rsidRPr="00D55DC6">
        <w:rPr>
          <w:rFonts w:eastAsia="標楷體"/>
          <w:sz w:val="28"/>
          <w:szCs w:val="28"/>
        </w:rPr>
        <w:t>間，宜蘭縣</w:t>
      </w:r>
      <w:r w:rsidRPr="00D55DC6">
        <w:rPr>
          <w:rFonts w:eastAsia="標楷體"/>
          <w:sz w:val="28"/>
          <w:szCs w:val="28"/>
        </w:rPr>
        <w:t>2,094</w:t>
      </w:r>
      <w:r w:rsidRPr="00D55DC6">
        <w:rPr>
          <w:rFonts w:eastAsia="標楷體"/>
          <w:sz w:val="28"/>
          <w:szCs w:val="28"/>
        </w:rPr>
        <w:t>間</w:t>
      </w:r>
      <w:r w:rsidRPr="00D55DC6">
        <w:rPr>
          <w:rFonts w:eastAsia="標楷體"/>
          <w:sz w:val="28"/>
          <w:szCs w:val="28"/>
        </w:rPr>
        <w:t>)</w:t>
      </w:r>
      <w:r w:rsidRPr="00D55DC6">
        <w:rPr>
          <w:rFonts w:eastAsia="標楷體"/>
          <w:sz w:val="28"/>
          <w:szCs w:val="28"/>
        </w:rPr>
        <w:t>，得知目標年東北角全區尖峰日房間數量可能面臨不足，預計缺少</w:t>
      </w:r>
      <w:r w:rsidRPr="00D55DC6">
        <w:rPr>
          <w:rFonts w:eastAsia="標楷體"/>
          <w:sz w:val="28"/>
          <w:szCs w:val="28"/>
        </w:rPr>
        <w:t>240</w:t>
      </w:r>
      <w:r w:rsidRPr="00D55DC6">
        <w:rPr>
          <w:rFonts w:eastAsia="標楷體"/>
          <w:sz w:val="28"/>
          <w:szCs w:val="28"/>
        </w:rPr>
        <w:t>間。</w:t>
      </w:r>
    </w:p>
    <w:p w:rsidR="00261ADB" w:rsidRPr="00D55DC6" w:rsidRDefault="00261ADB" w:rsidP="0038165F">
      <w:pPr>
        <w:pStyle w:val="af2"/>
        <w:snapToGrid w:val="0"/>
        <w:spacing w:line="460" w:lineRule="exact"/>
        <w:ind w:leftChars="0" w:left="1540" w:firstLineChars="205" w:firstLine="574"/>
        <w:jc w:val="both"/>
        <w:rPr>
          <w:rFonts w:eastAsia="標楷體"/>
          <w:sz w:val="28"/>
          <w:szCs w:val="28"/>
        </w:rPr>
      </w:pPr>
      <w:r w:rsidRPr="00D55DC6">
        <w:rPr>
          <w:rFonts w:eastAsia="標楷體"/>
          <w:sz w:val="28"/>
          <w:szCs w:val="28"/>
        </w:rPr>
        <w:t>240</w:t>
      </w:r>
      <w:r w:rsidRPr="00D55DC6">
        <w:rPr>
          <w:rFonts w:eastAsia="標楷體"/>
          <w:sz w:val="28"/>
          <w:szCs w:val="28"/>
        </w:rPr>
        <w:t>間為</w:t>
      </w:r>
      <w:r w:rsidRPr="00D55DC6">
        <w:rPr>
          <w:rFonts w:eastAsia="標楷體"/>
          <w:sz w:val="28"/>
          <w:szCs w:val="28"/>
        </w:rPr>
        <w:t>112</w:t>
      </w:r>
      <w:r w:rsidRPr="00D55DC6">
        <w:rPr>
          <w:rFonts w:eastAsia="標楷體"/>
          <w:sz w:val="28"/>
          <w:szCs w:val="28"/>
        </w:rPr>
        <w:t>年需補足之房間數最小值，若以新北市及宜蘭縣遊客屬性不同之觀點為基礎，將兩地區之房間數量分開計算，預估目標年東北角地區新北市仍缺乏</w:t>
      </w:r>
      <w:r w:rsidRPr="00D55DC6">
        <w:rPr>
          <w:rFonts w:eastAsia="標楷體"/>
          <w:sz w:val="28"/>
          <w:szCs w:val="28"/>
        </w:rPr>
        <w:t>1228</w:t>
      </w:r>
      <w:r w:rsidRPr="00D55DC6">
        <w:rPr>
          <w:rFonts w:eastAsia="標楷體"/>
          <w:sz w:val="28"/>
          <w:szCs w:val="28"/>
        </w:rPr>
        <w:t>間，宜蘭縣房間數則已超出遊客需求量</w:t>
      </w:r>
      <w:r w:rsidRPr="00D55DC6">
        <w:rPr>
          <w:rFonts w:eastAsia="標楷體"/>
          <w:sz w:val="28"/>
          <w:szCs w:val="28"/>
        </w:rPr>
        <w:t>988</w:t>
      </w:r>
      <w:r w:rsidRPr="00D55DC6">
        <w:rPr>
          <w:rFonts w:eastAsia="標楷體"/>
          <w:sz w:val="28"/>
          <w:szCs w:val="28"/>
        </w:rPr>
        <w:t>間。</w:t>
      </w:r>
    </w:p>
    <w:p w:rsidR="00261ADB" w:rsidRPr="00D55DC6" w:rsidRDefault="00261ADB" w:rsidP="0038165F">
      <w:pPr>
        <w:pStyle w:val="af2"/>
        <w:numPr>
          <w:ilvl w:val="0"/>
          <w:numId w:val="24"/>
        </w:numPr>
        <w:tabs>
          <w:tab w:val="left" w:pos="1701"/>
        </w:tabs>
        <w:snapToGrid w:val="0"/>
        <w:spacing w:line="460" w:lineRule="exact"/>
        <w:ind w:leftChars="0" w:left="1560" w:hanging="322"/>
        <w:jc w:val="both"/>
        <w:rPr>
          <w:rFonts w:eastAsia="標楷體"/>
          <w:sz w:val="28"/>
          <w:szCs w:val="28"/>
        </w:rPr>
      </w:pPr>
      <w:r w:rsidRPr="00D55DC6">
        <w:rPr>
          <w:rFonts w:eastAsia="標楷體"/>
          <w:sz w:val="28"/>
          <w:szCs w:val="28"/>
        </w:rPr>
        <w:t>公共設施需求分析</w:t>
      </w:r>
    </w:p>
    <w:p w:rsidR="00261ADB" w:rsidRPr="00D55DC6" w:rsidRDefault="00261ADB" w:rsidP="0038165F">
      <w:pPr>
        <w:pStyle w:val="af2"/>
        <w:snapToGrid w:val="0"/>
        <w:spacing w:line="460" w:lineRule="exact"/>
        <w:ind w:leftChars="0" w:left="1596" w:firstLineChars="205" w:firstLine="574"/>
        <w:jc w:val="both"/>
        <w:rPr>
          <w:rFonts w:eastAsia="標楷體"/>
          <w:sz w:val="28"/>
          <w:szCs w:val="28"/>
        </w:rPr>
      </w:pPr>
      <w:r w:rsidRPr="00D55DC6">
        <w:rPr>
          <w:rFonts w:eastAsia="標楷體"/>
          <w:sz w:val="28"/>
          <w:szCs w:val="28"/>
        </w:rPr>
        <w:t>福隆遊憩系統</w:t>
      </w:r>
      <w:r w:rsidRPr="00D55DC6">
        <w:rPr>
          <w:rFonts w:eastAsia="標楷體"/>
          <w:sz w:val="28"/>
          <w:szCs w:val="28"/>
        </w:rPr>
        <w:t>(</w:t>
      </w:r>
      <w:r w:rsidRPr="00D55DC6">
        <w:rPr>
          <w:rFonts w:eastAsia="標楷體"/>
          <w:sz w:val="28"/>
          <w:szCs w:val="28"/>
        </w:rPr>
        <w:t>含草嶺古道</w:t>
      </w:r>
      <w:r w:rsidRPr="00D55DC6">
        <w:rPr>
          <w:rFonts w:eastAsia="標楷體"/>
          <w:sz w:val="28"/>
          <w:szCs w:val="28"/>
        </w:rPr>
        <w:t>)</w:t>
      </w:r>
      <w:r w:rsidRPr="00D55DC6">
        <w:rPr>
          <w:rFonts w:eastAsia="標楷體"/>
          <w:sz w:val="28"/>
          <w:szCs w:val="28"/>
        </w:rPr>
        <w:t>缺少</w:t>
      </w:r>
      <w:r w:rsidRPr="00D55DC6">
        <w:rPr>
          <w:rFonts w:eastAsia="標楷體"/>
          <w:sz w:val="28"/>
          <w:szCs w:val="28"/>
        </w:rPr>
        <w:t>113</w:t>
      </w:r>
      <w:r w:rsidRPr="00D55DC6">
        <w:rPr>
          <w:rFonts w:eastAsia="標楷體"/>
          <w:sz w:val="28"/>
          <w:szCs w:val="28"/>
        </w:rPr>
        <w:t>個自小客車停車位及</w:t>
      </w:r>
      <w:r w:rsidRPr="00D55DC6">
        <w:rPr>
          <w:rFonts w:eastAsia="標楷體"/>
          <w:sz w:val="28"/>
          <w:szCs w:val="28"/>
        </w:rPr>
        <w:t>18</w:t>
      </w:r>
      <w:r w:rsidRPr="00D55DC6">
        <w:rPr>
          <w:rFonts w:eastAsia="標楷體"/>
          <w:sz w:val="28"/>
          <w:szCs w:val="28"/>
        </w:rPr>
        <w:t>個遊覽車停車位。</w:t>
      </w:r>
    </w:p>
    <w:p w:rsidR="00261ADB" w:rsidRPr="00D55DC6" w:rsidRDefault="00261ADB" w:rsidP="0038165F">
      <w:pPr>
        <w:pStyle w:val="af2"/>
        <w:numPr>
          <w:ilvl w:val="0"/>
          <w:numId w:val="23"/>
        </w:numPr>
        <w:snapToGrid w:val="0"/>
        <w:spacing w:line="460" w:lineRule="exact"/>
        <w:ind w:leftChars="0" w:left="1176" w:hanging="266"/>
        <w:jc w:val="both"/>
        <w:rPr>
          <w:rFonts w:eastAsia="標楷體"/>
          <w:sz w:val="28"/>
          <w:szCs w:val="28"/>
        </w:rPr>
      </w:pPr>
      <w:r w:rsidRPr="00D55DC6">
        <w:rPr>
          <w:rFonts w:eastAsia="標楷體"/>
          <w:sz w:val="28"/>
          <w:szCs w:val="28"/>
        </w:rPr>
        <w:t>近年來政府財政狀況益形緊絀，行政院國家發展委員會因應推動「跨域加值公共建設財務規劃方案」，故未來國家風景區之建設計畫將落實使用者付費理念及活化現有觀光景點，提升公共建設之投資回報率及未來觀光發展基金之收益，包括既有設施出租、鼓勵民間投資促參計畫、產品開發及品牌授權、收取觀光景點之清潔費、服務費。並與新北市、宜蘭縣政府跨域加值計畫區內之公共建設，並透過委託經營、公共設施共同經營與收費、公有土地共同開發等合作方向，達到跨域加值的最高效益。</w:t>
      </w:r>
    </w:p>
    <w:p w:rsidR="00261ADB" w:rsidRPr="00D55DC6" w:rsidRDefault="00261ADB" w:rsidP="0038165F">
      <w:pPr>
        <w:pStyle w:val="af2"/>
        <w:numPr>
          <w:ilvl w:val="0"/>
          <w:numId w:val="23"/>
        </w:numPr>
        <w:snapToGrid w:val="0"/>
        <w:spacing w:line="460" w:lineRule="exact"/>
        <w:ind w:leftChars="0" w:left="1176" w:hanging="266"/>
        <w:jc w:val="both"/>
        <w:rPr>
          <w:rFonts w:eastAsia="標楷體"/>
          <w:sz w:val="28"/>
          <w:szCs w:val="28"/>
        </w:rPr>
      </w:pPr>
      <w:r w:rsidRPr="00D55DC6">
        <w:rPr>
          <w:rFonts w:eastAsia="標楷體"/>
          <w:sz w:val="28"/>
          <w:szCs w:val="28"/>
        </w:rPr>
        <w:t>遊憩資源開發將朝向永續、綠色觀光為發展目標，未來「優質」、「特色」、「智慧」及「永續」觀光將是發展主軸，未來發展遊憩景點，將以最適宜規模（環境控管），並由環境條件達到開發建設與自然保育並重雙贏的管理價值，發展綠色交通及多元「行」的體驗，串聯全區自行車道，發展公路、自行車、健行登山及水路活動、空域活動，以及形塑引入適宜性陸海空三域活動，以提供永續、優質、特色、安全、友善的環境為目標，達到親山、親水、親海、親文化及親生活。</w:t>
      </w:r>
    </w:p>
    <w:p w:rsidR="00261ADB" w:rsidRPr="00D55DC6" w:rsidRDefault="00261ADB" w:rsidP="0038165F">
      <w:pPr>
        <w:pStyle w:val="af2"/>
        <w:numPr>
          <w:ilvl w:val="0"/>
          <w:numId w:val="21"/>
        </w:numPr>
        <w:snapToGrid w:val="0"/>
        <w:spacing w:line="460" w:lineRule="exact"/>
        <w:ind w:leftChars="0"/>
        <w:jc w:val="both"/>
        <w:rPr>
          <w:rFonts w:eastAsia="標楷體"/>
          <w:b/>
          <w:sz w:val="28"/>
          <w:szCs w:val="28"/>
        </w:rPr>
      </w:pPr>
      <w:r w:rsidRPr="00D55DC6">
        <w:rPr>
          <w:rFonts w:eastAsia="標楷體"/>
          <w:b/>
          <w:sz w:val="28"/>
          <w:szCs w:val="28"/>
        </w:rPr>
        <w:t>問題評析</w:t>
      </w:r>
    </w:p>
    <w:p w:rsidR="00261ADB" w:rsidRPr="00D55DC6" w:rsidRDefault="00261ADB" w:rsidP="00F37248">
      <w:pPr>
        <w:pStyle w:val="af2"/>
        <w:autoSpaceDE w:val="0"/>
        <w:autoSpaceDN w:val="0"/>
        <w:adjustRightInd w:val="0"/>
        <w:spacing w:line="460" w:lineRule="exact"/>
        <w:ind w:leftChars="335" w:left="849" w:hangingChars="16" w:hanging="45"/>
        <w:rPr>
          <w:rFonts w:eastAsia="標楷體"/>
          <w:kern w:val="0"/>
          <w:sz w:val="28"/>
          <w:szCs w:val="28"/>
        </w:rPr>
      </w:pPr>
      <w:r w:rsidRPr="00D55DC6">
        <w:rPr>
          <w:rFonts w:eastAsia="標楷體"/>
          <w:kern w:val="0"/>
          <w:sz w:val="28"/>
          <w:szCs w:val="28"/>
        </w:rPr>
        <w:t>目前轄區面臨遊憩活動、交通運輸及財務控管等三大層面課題：</w:t>
      </w:r>
    </w:p>
    <w:p w:rsidR="00261ADB" w:rsidRPr="00D55DC6" w:rsidRDefault="00261ADB" w:rsidP="0038165F">
      <w:pPr>
        <w:pStyle w:val="af2"/>
        <w:numPr>
          <w:ilvl w:val="0"/>
          <w:numId w:val="25"/>
        </w:numPr>
        <w:autoSpaceDE w:val="0"/>
        <w:autoSpaceDN w:val="0"/>
        <w:adjustRightInd w:val="0"/>
        <w:spacing w:line="460" w:lineRule="exact"/>
        <w:ind w:leftChars="0" w:left="1276" w:hanging="366"/>
        <w:rPr>
          <w:rFonts w:eastAsia="標楷體"/>
          <w:b/>
          <w:kern w:val="0"/>
          <w:sz w:val="28"/>
          <w:szCs w:val="28"/>
        </w:rPr>
      </w:pPr>
      <w:r w:rsidRPr="00D55DC6">
        <w:rPr>
          <w:rFonts w:eastAsia="標楷體"/>
          <w:b/>
          <w:kern w:val="0"/>
          <w:sz w:val="28"/>
          <w:szCs w:val="28"/>
        </w:rPr>
        <w:t>遊憩活動課題</w:t>
      </w:r>
    </w:p>
    <w:p w:rsidR="00261ADB" w:rsidRPr="00D55DC6" w:rsidRDefault="00261ADB" w:rsidP="0038165F">
      <w:pPr>
        <w:pStyle w:val="af2"/>
        <w:numPr>
          <w:ilvl w:val="0"/>
          <w:numId w:val="26"/>
        </w:numPr>
        <w:tabs>
          <w:tab w:val="left" w:pos="2044"/>
        </w:tabs>
        <w:autoSpaceDE w:val="0"/>
        <w:autoSpaceDN w:val="0"/>
        <w:adjustRightInd w:val="0"/>
        <w:spacing w:line="460" w:lineRule="exact"/>
        <w:ind w:leftChars="0" w:left="2044" w:hanging="546"/>
        <w:rPr>
          <w:rFonts w:eastAsia="標楷體"/>
          <w:kern w:val="0"/>
          <w:sz w:val="28"/>
          <w:szCs w:val="28"/>
        </w:rPr>
      </w:pPr>
      <w:r w:rsidRPr="00D55DC6">
        <w:rPr>
          <w:rFonts w:eastAsia="標楷體"/>
          <w:b/>
          <w:kern w:val="0"/>
          <w:sz w:val="28"/>
          <w:szCs w:val="28"/>
        </w:rPr>
        <w:t>因應國際旅遊趨勢朝向生態旅遊發展，東北角地區相關可利用資源及環境條件仍未充份運用</w:t>
      </w:r>
      <w:r w:rsidRPr="00D55DC6">
        <w:rPr>
          <w:rFonts w:eastAsia="標楷體"/>
          <w:kern w:val="0"/>
          <w:sz w:val="28"/>
          <w:szCs w:val="28"/>
        </w:rPr>
        <w:t>。國際旅遊市場未來旅</w:t>
      </w:r>
      <w:r w:rsidRPr="00D55DC6">
        <w:rPr>
          <w:rFonts w:eastAsia="標楷體"/>
          <w:kern w:val="0"/>
          <w:sz w:val="28"/>
          <w:szCs w:val="28"/>
        </w:rPr>
        <w:lastRenderedPageBreak/>
        <w:t>遊趨勢將以文化旅遊及生態旅遊為重點，國人普遍偏好的遊憩活動，高居第一的為自然賞景活動，尤其是海岸地質景觀的觀賞，而東北角地區正擁有此海景資源的優勢，加上東北角地區鄰近大台北，都市人利用周末假期進行接觸自然環境的活動漸增，因此應運用地方資源優勢朝短暫旅遊模式發展。未來將朝向整合區內現有自然與人文觀光遊憩資源，發展東北角獨特的深度及度假旅遊型態。</w:t>
      </w:r>
    </w:p>
    <w:p w:rsidR="00261ADB" w:rsidRPr="00D55DC6" w:rsidRDefault="00261ADB" w:rsidP="0038165F">
      <w:pPr>
        <w:pStyle w:val="af2"/>
        <w:numPr>
          <w:ilvl w:val="0"/>
          <w:numId w:val="26"/>
        </w:numPr>
        <w:tabs>
          <w:tab w:val="left" w:pos="2044"/>
        </w:tabs>
        <w:autoSpaceDE w:val="0"/>
        <w:autoSpaceDN w:val="0"/>
        <w:adjustRightInd w:val="0"/>
        <w:spacing w:line="460" w:lineRule="exact"/>
        <w:ind w:leftChars="0" w:left="2044" w:hanging="546"/>
        <w:rPr>
          <w:rFonts w:eastAsia="標楷體"/>
          <w:kern w:val="0"/>
          <w:sz w:val="28"/>
          <w:szCs w:val="28"/>
        </w:rPr>
      </w:pPr>
      <w:r w:rsidRPr="00D55DC6">
        <w:rPr>
          <w:rFonts w:eastAsia="標楷體"/>
          <w:b/>
          <w:kern w:val="0"/>
          <w:sz w:val="28"/>
          <w:szCs w:val="28"/>
        </w:rPr>
        <w:t>遊客多集中於部分時段及據點，在特殊焦點活動舉辦時期，單一據點的遊客量已超出環境承載量，造成服務品質不佳。</w:t>
      </w:r>
      <w:r w:rsidRPr="00D55DC6">
        <w:rPr>
          <w:rFonts w:eastAsia="標楷體"/>
          <w:kern w:val="0"/>
          <w:sz w:val="28"/>
          <w:szCs w:val="28"/>
        </w:rPr>
        <w:t>由於既有知名景點的腹地有限，加上近期推廣陸客參與台灣好行黃金福隆線，易造成遊客過度集中於特定遊憩據點或特殊焦點活動（如：草嶺古道芒花季出現步道擁塞的情況），造成服務品質下降，應規劃機制來進行遊客分流，維持各遊憩據點遊憩服務品質。</w:t>
      </w:r>
    </w:p>
    <w:p w:rsidR="00261ADB" w:rsidRPr="00D55DC6" w:rsidRDefault="00261ADB" w:rsidP="0038165F">
      <w:pPr>
        <w:pStyle w:val="af2"/>
        <w:numPr>
          <w:ilvl w:val="0"/>
          <w:numId w:val="25"/>
        </w:numPr>
        <w:autoSpaceDE w:val="0"/>
        <w:autoSpaceDN w:val="0"/>
        <w:adjustRightInd w:val="0"/>
        <w:spacing w:line="460" w:lineRule="exact"/>
        <w:ind w:leftChars="0" w:left="1276" w:hanging="366"/>
        <w:rPr>
          <w:rFonts w:eastAsia="標楷體"/>
          <w:b/>
          <w:kern w:val="0"/>
          <w:sz w:val="28"/>
          <w:szCs w:val="28"/>
        </w:rPr>
      </w:pPr>
      <w:r w:rsidRPr="00D55DC6">
        <w:rPr>
          <w:rFonts w:eastAsia="標楷體"/>
          <w:b/>
          <w:kern w:val="0"/>
          <w:sz w:val="28"/>
          <w:szCs w:val="28"/>
        </w:rPr>
        <w:t>交通運輸課題</w:t>
      </w:r>
    </w:p>
    <w:p w:rsidR="00261ADB" w:rsidRPr="00D55DC6" w:rsidRDefault="00261ADB" w:rsidP="0038165F">
      <w:pPr>
        <w:pStyle w:val="af2"/>
        <w:numPr>
          <w:ilvl w:val="0"/>
          <w:numId w:val="27"/>
        </w:numPr>
        <w:tabs>
          <w:tab w:val="left" w:pos="1582"/>
        </w:tabs>
        <w:autoSpaceDE w:val="0"/>
        <w:autoSpaceDN w:val="0"/>
        <w:adjustRightInd w:val="0"/>
        <w:spacing w:line="460" w:lineRule="exact"/>
        <w:ind w:leftChars="0" w:left="1918" w:hanging="420"/>
        <w:rPr>
          <w:rFonts w:eastAsia="標楷體"/>
          <w:kern w:val="0"/>
          <w:sz w:val="28"/>
          <w:szCs w:val="28"/>
        </w:rPr>
      </w:pPr>
      <w:r w:rsidRPr="00D55DC6">
        <w:rPr>
          <w:rFonts w:eastAsia="標楷體"/>
          <w:b/>
          <w:kern w:val="0"/>
          <w:sz w:val="28"/>
          <w:szCs w:val="28"/>
        </w:rPr>
        <w:t>區內南北狹長，缺乏公共運輸連接新北市及宜蘭區域內遊憩據點。</w:t>
      </w:r>
      <w:r w:rsidRPr="00D55DC6">
        <w:rPr>
          <w:rFonts w:eastAsia="標楷體"/>
          <w:kern w:val="0"/>
          <w:sz w:val="28"/>
          <w:szCs w:val="28"/>
        </w:rPr>
        <w:t>轄區內雖有台</w:t>
      </w:r>
      <w:r w:rsidRPr="00D55DC6">
        <w:rPr>
          <w:rFonts w:eastAsia="標楷體"/>
          <w:kern w:val="0"/>
          <w:sz w:val="28"/>
          <w:szCs w:val="28"/>
        </w:rPr>
        <w:t>2</w:t>
      </w:r>
      <w:r w:rsidRPr="00D55DC6">
        <w:rPr>
          <w:rFonts w:eastAsia="標楷體"/>
          <w:kern w:val="0"/>
          <w:sz w:val="28"/>
          <w:szCs w:val="28"/>
        </w:rPr>
        <w:t>省道，但在新北市及宜蘭各火車站及景點之間缺乏大眾運輸接駁，目前僅有台灣好行福隆黃金線、礁溪縣及冬山河線，若要在轄區內各景點間遊玩需多次轉乘方能抵達。未來應朝向配合北宜直鐵的通車及公車系統等來強化各鐵路車站的轉乘服務</w:t>
      </w:r>
    </w:p>
    <w:p w:rsidR="00261ADB" w:rsidRPr="00D55DC6" w:rsidRDefault="00261ADB" w:rsidP="0038165F">
      <w:pPr>
        <w:pStyle w:val="af2"/>
        <w:numPr>
          <w:ilvl w:val="0"/>
          <w:numId w:val="27"/>
        </w:numPr>
        <w:autoSpaceDE w:val="0"/>
        <w:autoSpaceDN w:val="0"/>
        <w:adjustRightInd w:val="0"/>
        <w:spacing w:line="460" w:lineRule="exact"/>
        <w:ind w:leftChars="0" w:left="1918" w:hanging="420"/>
        <w:rPr>
          <w:rFonts w:eastAsia="標楷體"/>
          <w:b/>
          <w:kern w:val="0"/>
          <w:sz w:val="28"/>
          <w:szCs w:val="28"/>
        </w:rPr>
      </w:pPr>
      <w:r w:rsidRPr="00D55DC6">
        <w:rPr>
          <w:rFonts w:eastAsia="標楷體"/>
          <w:b/>
          <w:kern w:val="0"/>
          <w:sz w:val="28"/>
          <w:szCs w:val="28"/>
        </w:rPr>
        <w:t>轄區內自行車道路段分散，未整合串連。</w:t>
      </w:r>
      <w:r w:rsidRPr="00D55DC6">
        <w:rPr>
          <w:rFonts w:eastAsia="標楷體"/>
          <w:kern w:val="0"/>
          <w:sz w:val="28"/>
          <w:szCs w:val="28"/>
        </w:rPr>
        <w:t>轄區內自行車道包含龍門鹽寮自行車道、草嶺自行車道、宜蘭濱海自行車道等等，但各路段自行車道未串連整合，需使用公路連接或繞道而行。將來以分期發展整合轄區內自行車道路廊，並針對重要據點發展自行車道租借服務或休憩驛站。</w:t>
      </w:r>
    </w:p>
    <w:p w:rsidR="00261ADB" w:rsidRPr="00D55DC6" w:rsidRDefault="00261ADB" w:rsidP="0038165F">
      <w:pPr>
        <w:pStyle w:val="af2"/>
        <w:numPr>
          <w:ilvl w:val="0"/>
          <w:numId w:val="25"/>
        </w:numPr>
        <w:autoSpaceDE w:val="0"/>
        <w:autoSpaceDN w:val="0"/>
        <w:adjustRightInd w:val="0"/>
        <w:spacing w:line="460" w:lineRule="exact"/>
        <w:ind w:leftChars="0" w:left="1276" w:hanging="366"/>
        <w:rPr>
          <w:rFonts w:eastAsia="標楷體"/>
          <w:b/>
          <w:kern w:val="0"/>
          <w:sz w:val="28"/>
          <w:szCs w:val="28"/>
        </w:rPr>
      </w:pPr>
      <w:r w:rsidRPr="00D55DC6">
        <w:rPr>
          <w:rFonts w:eastAsia="標楷體"/>
          <w:b/>
          <w:kern w:val="0"/>
          <w:sz w:val="28"/>
          <w:szCs w:val="28"/>
        </w:rPr>
        <w:t>財務控管課題</w:t>
      </w:r>
    </w:p>
    <w:p w:rsidR="00261ADB" w:rsidRPr="00D55DC6" w:rsidRDefault="00261ADB" w:rsidP="0038165F">
      <w:pPr>
        <w:snapToGrid w:val="0"/>
        <w:spacing w:line="460" w:lineRule="exact"/>
        <w:ind w:leftChars="548" w:left="1315" w:firstLineChars="210" w:firstLine="588"/>
        <w:jc w:val="both"/>
        <w:rPr>
          <w:rFonts w:eastAsia="標楷體"/>
          <w:kern w:val="0"/>
          <w:sz w:val="28"/>
          <w:szCs w:val="28"/>
        </w:rPr>
      </w:pPr>
      <w:r w:rsidRPr="00D55DC6">
        <w:rPr>
          <w:rFonts w:eastAsia="標楷體"/>
          <w:kern w:val="0"/>
          <w:sz w:val="28"/>
          <w:szCs w:val="28"/>
        </w:rPr>
        <w:t>外部效益大於內部效益，而外部效益無法在建設收入上呈現，所以需要增加據點收入，以使用者付費或跨域加值等方式（</w:t>
      </w:r>
      <w:r w:rsidRPr="00D55DC6">
        <w:rPr>
          <w:rFonts w:eastAsia="標楷體"/>
          <w:kern w:val="0"/>
          <w:sz w:val="28"/>
          <w:szCs w:val="28"/>
        </w:rPr>
        <w:t>EX</w:t>
      </w:r>
      <w:r w:rsidRPr="00D55DC6">
        <w:rPr>
          <w:rFonts w:eastAsia="標楷體"/>
          <w:kern w:val="0"/>
          <w:sz w:val="28"/>
          <w:szCs w:val="28"/>
        </w:rPr>
        <w:t>：蘇澳冷泉等），提高自償性。</w:t>
      </w:r>
    </w:p>
    <w:p w:rsidR="00261ADB" w:rsidRPr="00D55DC6" w:rsidRDefault="00261ADB" w:rsidP="0038165F">
      <w:pPr>
        <w:pStyle w:val="af2"/>
        <w:numPr>
          <w:ilvl w:val="0"/>
          <w:numId w:val="21"/>
        </w:numPr>
        <w:snapToGrid w:val="0"/>
        <w:spacing w:line="460" w:lineRule="exact"/>
        <w:ind w:leftChars="0"/>
        <w:jc w:val="both"/>
        <w:rPr>
          <w:rFonts w:eastAsia="標楷體"/>
          <w:b/>
          <w:sz w:val="28"/>
          <w:szCs w:val="28"/>
        </w:rPr>
      </w:pPr>
      <w:r w:rsidRPr="00D55DC6">
        <w:rPr>
          <w:rFonts w:eastAsia="標楷體"/>
          <w:b/>
          <w:sz w:val="28"/>
          <w:szCs w:val="28"/>
        </w:rPr>
        <w:lastRenderedPageBreak/>
        <w:t>社會參與及政策溝通情形</w:t>
      </w:r>
    </w:p>
    <w:p w:rsidR="00261ADB" w:rsidRPr="00D55DC6" w:rsidRDefault="00261ADB" w:rsidP="0038165F">
      <w:pPr>
        <w:pStyle w:val="af2"/>
        <w:snapToGrid w:val="0"/>
        <w:spacing w:line="460" w:lineRule="exact"/>
        <w:ind w:leftChars="0" w:left="864" w:firstLineChars="191" w:firstLine="535"/>
        <w:jc w:val="both"/>
        <w:rPr>
          <w:rFonts w:eastAsia="標楷體"/>
          <w:sz w:val="28"/>
          <w:szCs w:val="28"/>
        </w:rPr>
      </w:pPr>
      <w:r w:rsidRPr="00D55DC6">
        <w:rPr>
          <w:rFonts w:eastAsia="標楷體"/>
          <w:sz w:val="28"/>
          <w:szCs w:val="28"/>
        </w:rPr>
        <w:t>為使國家風景區有計畫的整體性發展，循序盤整及規劃各項公共服務設施，以發揮最大之效用，除辦理全區性之整體觀光發展規劃作為指導方針，為廣納地方政府及地方民意，使整體計畫更能因地制質，降低政策推行之民怨與阻力，各項研究規劃，於舉辦各期審查會議時，依實際需要，邀集有關之專家學者、主管機關、地方單位及代表、民間團體及協會等舉辦座談會、說明會，形成政策發展共識。另外，與地方政府溝通平台方面，與新北市政府及宜蘭縣政府成立工作平台，曾分別就水域磯釣管理及外澳經管問題就溝通協調，以及分工合作，未來將持續地方政府合作，以利於推動各項業務。</w:t>
      </w:r>
    </w:p>
    <w:p w:rsidR="00F37248" w:rsidRPr="00D55DC6" w:rsidRDefault="00F37248" w:rsidP="0038165F">
      <w:pPr>
        <w:pStyle w:val="a"/>
        <w:numPr>
          <w:ilvl w:val="0"/>
          <w:numId w:val="0"/>
        </w:numPr>
        <w:ind w:left="709"/>
      </w:pPr>
    </w:p>
    <w:p w:rsidR="00261ADB" w:rsidRPr="00D55DC6" w:rsidRDefault="00261ADB" w:rsidP="0038165F">
      <w:pPr>
        <w:pStyle w:val="a"/>
        <w:numPr>
          <w:ilvl w:val="0"/>
          <w:numId w:val="20"/>
        </w:numPr>
        <w:ind w:left="709" w:hanging="709"/>
        <w:rPr>
          <w:b/>
        </w:rPr>
      </w:pPr>
      <w:bookmarkStart w:id="59" w:name="_Toc407181641"/>
      <w:r w:rsidRPr="00D55DC6">
        <w:rPr>
          <w:b/>
        </w:rPr>
        <w:t>計畫目標</w:t>
      </w:r>
      <w:bookmarkEnd w:id="59"/>
    </w:p>
    <w:p w:rsidR="00261ADB" w:rsidRPr="00D55DC6" w:rsidRDefault="00261ADB" w:rsidP="0038165F">
      <w:pPr>
        <w:pStyle w:val="af2"/>
        <w:numPr>
          <w:ilvl w:val="0"/>
          <w:numId w:val="28"/>
        </w:numPr>
        <w:snapToGrid w:val="0"/>
        <w:spacing w:line="460" w:lineRule="exact"/>
        <w:ind w:leftChars="0"/>
        <w:jc w:val="both"/>
        <w:rPr>
          <w:rFonts w:eastAsia="標楷體"/>
          <w:b/>
          <w:sz w:val="28"/>
          <w:szCs w:val="28"/>
        </w:rPr>
      </w:pPr>
      <w:r w:rsidRPr="00D55DC6">
        <w:rPr>
          <w:rFonts w:eastAsia="標楷體"/>
          <w:b/>
          <w:sz w:val="28"/>
          <w:szCs w:val="28"/>
        </w:rPr>
        <w:t>目標說明</w:t>
      </w:r>
    </w:p>
    <w:p w:rsidR="00261ADB" w:rsidRPr="00D55DC6" w:rsidRDefault="00261ADB" w:rsidP="0038165F">
      <w:pPr>
        <w:pStyle w:val="21"/>
        <w:spacing w:line="460" w:lineRule="exact"/>
        <w:ind w:leftChars="384" w:left="1216" w:hangingChars="105" w:hanging="294"/>
        <w:rPr>
          <w:rFonts w:ascii="Times New Roman" w:hAnsi="Times New Roman"/>
          <w:sz w:val="28"/>
          <w:szCs w:val="28"/>
        </w:rPr>
      </w:pPr>
      <w:r w:rsidRPr="00D55DC6">
        <w:rPr>
          <w:rFonts w:ascii="Times New Roman" w:hAnsi="Times New Roman"/>
          <w:sz w:val="28"/>
          <w:szCs w:val="28"/>
        </w:rPr>
        <w:t>1.</w:t>
      </w:r>
      <w:bookmarkStart w:id="60" w:name="_Toc288749204"/>
      <w:r w:rsidRPr="00D55DC6">
        <w:rPr>
          <w:rFonts w:ascii="Times New Roman" w:hAnsi="Times New Roman"/>
          <w:b w:val="0"/>
          <w:sz w:val="28"/>
          <w:szCs w:val="28"/>
        </w:rPr>
        <w:t>善用東北角自然地質、生態、人文，發展優質觀光，</w:t>
      </w:r>
      <w:r w:rsidRPr="00D55DC6">
        <w:rPr>
          <w:rFonts w:ascii="Times New Roman" w:hAnsi="Times New Roman"/>
          <w:sz w:val="28"/>
          <w:szCs w:val="28"/>
        </w:rPr>
        <w:t>建構「安全、永續、幸福」海岸</w:t>
      </w:r>
      <w:r w:rsidRPr="00D55DC6">
        <w:rPr>
          <w:rFonts w:ascii="Times New Roman" w:hAnsi="Times New Roman"/>
          <w:b w:val="0"/>
          <w:sz w:val="28"/>
          <w:szCs w:val="28"/>
        </w:rPr>
        <w:t>，協同地方政府與民間合作，共同發展地方觀光產業，拓展觀光據點，發展深具當地特色及優質的觀光品牌。</w:t>
      </w:r>
    </w:p>
    <w:p w:rsidR="00261ADB" w:rsidRPr="00D55DC6" w:rsidRDefault="00261ADB" w:rsidP="0038165F">
      <w:pPr>
        <w:pStyle w:val="21"/>
        <w:spacing w:line="460" w:lineRule="exact"/>
        <w:ind w:leftChars="384" w:left="1216" w:hangingChars="105" w:hanging="294"/>
        <w:rPr>
          <w:rFonts w:ascii="Times New Roman" w:hAnsi="Times New Roman"/>
          <w:b w:val="0"/>
          <w:sz w:val="28"/>
          <w:szCs w:val="28"/>
        </w:rPr>
      </w:pPr>
      <w:bookmarkStart w:id="61" w:name="_Toc288749205"/>
      <w:bookmarkEnd w:id="60"/>
      <w:r w:rsidRPr="00D55DC6">
        <w:rPr>
          <w:rFonts w:ascii="Times New Roman" w:hAnsi="Times New Roman"/>
          <w:sz w:val="28"/>
          <w:szCs w:val="28"/>
        </w:rPr>
        <w:t>2.</w:t>
      </w:r>
      <w:r w:rsidRPr="00D55DC6">
        <w:rPr>
          <w:rFonts w:ascii="Times New Roman" w:hAnsi="Times New Roman"/>
          <w:b w:val="0"/>
          <w:sz w:val="28"/>
          <w:szCs w:val="28"/>
        </w:rPr>
        <w:t>塑造宜蘭濱海遊憩區新地標，配合區域資源特色發展的綠色觀光，推動壯圍旅遊服務園區成為綠色遊憩體驗及永續觀光示範的新亮點。</w:t>
      </w:r>
    </w:p>
    <w:p w:rsidR="00261ADB" w:rsidRPr="00D55DC6" w:rsidRDefault="00261ADB" w:rsidP="0038165F">
      <w:pPr>
        <w:pStyle w:val="21"/>
        <w:spacing w:line="460" w:lineRule="exact"/>
        <w:ind w:leftChars="384" w:left="1216" w:hangingChars="105" w:hanging="294"/>
        <w:rPr>
          <w:rFonts w:ascii="Times New Roman" w:hAnsi="Times New Roman"/>
          <w:b w:val="0"/>
          <w:sz w:val="28"/>
          <w:szCs w:val="28"/>
        </w:rPr>
      </w:pPr>
      <w:r w:rsidRPr="00D55DC6">
        <w:rPr>
          <w:rFonts w:ascii="Times New Roman" w:hAnsi="Times New Roman"/>
          <w:sz w:val="28"/>
          <w:szCs w:val="28"/>
        </w:rPr>
        <w:t>3.</w:t>
      </w:r>
      <w:r w:rsidRPr="00D55DC6">
        <w:rPr>
          <w:rFonts w:ascii="Times New Roman" w:hAnsi="Times New Roman"/>
          <w:b w:val="0"/>
          <w:sz w:val="28"/>
          <w:szCs w:val="28"/>
        </w:rPr>
        <w:t>強化創造地方跨域加值，鼓勵產業聯盟，結合在地旅遊、民宿、美食等，營造國際觀光魅力旗艦景點。</w:t>
      </w:r>
      <w:bookmarkEnd w:id="61"/>
    </w:p>
    <w:p w:rsidR="00261ADB" w:rsidRPr="00D55DC6" w:rsidRDefault="00261ADB" w:rsidP="0038165F">
      <w:pPr>
        <w:pStyle w:val="21"/>
        <w:spacing w:line="460" w:lineRule="exact"/>
        <w:ind w:leftChars="384" w:left="1216" w:hangingChars="105" w:hanging="294"/>
        <w:rPr>
          <w:rFonts w:ascii="Times New Roman" w:hAnsi="Times New Roman"/>
          <w:b w:val="0"/>
          <w:sz w:val="28"/>
          <w:szCs w:val="28"/>
        </w:rPr>
      </w:pPr>
      <w:bookmarkStart w:id="62" w:name="_Toc288749206"/>
      <w:r w:rsidRPr="00D55DC6">
        <w:rPr>
          <w:rFonts w:ascii="Times New Roman" w:hAnsi="Times New Roman"/>
          <w:sz w:val="28"/>
          <w:szCs w:val="28"/>
        </w:rPr>
        <w:t>4.</w:t>
      </w:r>
      <w:r w:rsidRPr="00D55DC6">
        <w:rPr>
          <w:rFonts w:ascii="Times New Roman" w:hAnsi="Times New Roman"/>
          <w:b w:val="0"/>
          <w:sz w:val="28"/>
          <w:szCs w:val="28"/>
        </w:rPr>
        <w:t>提昇旅遊軟硬體服務品質，加強特色節慶活動，及網路、社群及多媒體推廣行銷，遊客人數由</w:t>
      </w:r>
      <w:r w:rsidRPr="00D55DC6">
        <w:rPr>
          <w:rFonts w:ascii="Times New Roman" w:hAnsi="Times New Roman"/>
          <w:b w:val="0"/>
          <w:sz w:val="28"/>
          <w:szCs w:val="28"/>
        </w:rPr>
        <w:t>105</w:t>
      </w:r>
      <w:r w:rsidRPr="00D55DC6">
        <w:rPr>
          <w:rFonts w:ascii="Times New Roman" w:hAnsi="Times New Roman"/>
          <w:b w:val="0"/>
          <w:sz w:val="28"/>
          <w:szCs w:val="28"/>
        </w:rPr>
        <w:t>年</w:t>
      </w:r>
      <w:r w:rsidRPr="00D55DC6">
        <w:rPr>
          <w:rFonts w:ascii="Times New Roman" w:hAnsi="Times New Roman"/>
          <w:b w:val="0"/>
          <w:sz w:val="28"/>
          <w:szCs w:val="28"/>
        </w:rPr>
        <w:t>433</w:t>
      </w:r>
      <w:r w:rsidRPr="00D55DC6">
        <w:rPr>
          <w:rFonts w:ascii="Times New Roman" w:hAnsi="Times New Roman"/>
          <w:b w:val="0"/>
          <w:sz w:val="28"/>
          <w:szCs w:val="28"/>
        </w:rPr>
        <w:t>萬人次提升至</w:t>
      </w:r>
      <w:r w:rsidRPr="00D55DC6">
        <w:rPr>
          <w:rFonts w:ascii="Times New Roman" w:hAnsi="Times New Roman"/>
          <w:b w:val="0"/>
          <w:sz w:val="28"/>
          <w:szCs w:val="28"/>
        </w:rPr>
        <w:t>108</w:t>
      </w:r>
      <w:r w:rsidRPr="00D55DC6">
        <w:rPr>
          <w:rFonts w:ascii="Times New Roman" w:hAnsi="Times New Roman"/>
          <w:b w:val="0"/>
          <w:sz w:val="28"/>
          <w:szCs w:val="28"/>
        </w:rPr>
        <w:t>年</w:t>
      </w:r>
      <w:r w:rsidRPr="00D55DC6">
        <w:rPr>
          <w:rFonts w:ascii="Times New Roman" w:hAnsi="Times New Roman"/>
          <w:b w:val="0"/>
          <w:sz w:val="28"/>
          <w:szCs w:val="28"/>
        </w:rPr>
        <w:t>457</w:t>
      </w:r>
      <w:r w:rsidRPr="00D55DC6">
        <w:rPr>
          <w:rFonts w:ascii="Times New Roman" w:hAnsi="Times New Roman"/>
          <w:b w:val="0"/>
          <w:sz w:val="28"/>
          <w:szCs w:val="28"/>
        </w:rPr>
        <w:t>萬人次，成長</w:t>
      </w:r>
      <w:r w:rsidRPr="00D55DC6">
        <w:rPr>
          <w:rFonts w:ascii="Times New Roman" w:hAnsi="Times New Roman"/>
          <w:b w:val="0"/>
          <w:sz w:val="28"/>
          <w:szCs w:val="28"/>
        </w:rPr>
        <w:t>5.5%</w:t>
      </w:r>
      <w:bookmarkStart w:id="63" w:name="_Toc288749207"/>
      <w:bookmarkEnd w:id="62"/>
      <w:r w:rsidRPr="00D55DC6">
        <w:rPr>
          <w:rFonts w:ascii="Times New Roman" w:hAnsi="Times New Roman"/>
          <w:b w:val="0"/>
          <w:sz w:val="28"/>
          <w:szCs w:val="28"/>
        </w:rPr>
        <w:t>。</w:t>
      </w:r>
      <w:bookmarkEnd w:id="63"/>
    </w:p>
    <w:p w:rsidR="000B4A7F" w:rsidRPr="00D55DC6" w:rsidRDefault="000B4A7F" w:rsidP="0038165F">
      <w:pPr>
        <w:pStyle w:val="21"/>
        <w:spacing w:line="460" w:lineRule="exact"/>
        <w:ind w:leftChars="384" w:left="1216" w:hangingChars="105" w:hanging="294"/>
        <w:rPr>
          <w:rFonts w:ascii="Times New Roman" w:hAnsi="Times New Roman"/>
          <w:b w:val="0"/>
          <w:sz w:val="28"/>
          <w:szCs w:val="28"/>
        </w:rPr>
      </w:pPr>
    </w:p>
    <w:p w:rsidR="00261ADB" w:rsidRPr="00D55DC6" w:rsidRDefault="00261ADB" w:rsidP="0038165F">
      <w:pPr>
        <w:pStyle w:val="af2"/>
        <w:numPr>
          <w:ilvl w:val="0"/>
          <w:numId w:val="28"/>
        </w:numPr>
        <w:snapToGrid w:val="0"/>
        <w:spacing w:line="460" w:lineRule="exact"/>
        <w:ind w:leftChars="0"/>
        <w:jc w:val="both"/>
        <w:rPr>
          <w:rFonts w:eastAsia="標楷體"/>
          <w:b/>
          <w:sz w:val="28"/>
          <w:szCs w:val="28"/>
        </w:rPr>
      </w:pPr>
      <w:r w:rsidRPr="00D55DC6">
        <w:rPr>
          <w:rFonts w:eastAsia="標楷體"/>
          <w:b/>
          <w:sz w:val="28"/>
          <w:szCs w:val="28"/>
        </w:rPr>
        <w:t>達成目標之限制</w:t>
      </w:r>
    </w:p>
    <w:p w:rsidR="00261ADB" w:rsidRPr="00D55DC6" w:rsidRDefault="00261ADB" w:rsidP="0038165F">
      <w:pPr>
        <w:pStyle w:val="af2"/>
        <w:numPr>
          <w:ilvl w:val="0"/>
          <w:numId w:val="29"/>
        </w:numPr>
        <w:snapToGrid w:val="0"/>
        <w:spacing w:line="460" w:lineRule="exact"/>
        <w:ind w:leftChars="0" w:hanging="297"/>
        <w:jc w:val="both"/>
        <w:rPr>
          <w:rFonts w:eastAsia="標楷體"/>
          <w:sz w:val="28"/>
          <w:szCs w:val="28"/>
        </w:rPr>
      </w:pPr>
      <w:r w:rsidRPr="00D55DC6">
        <w:rPr>
          <w:rFonts w:eastAsia="標楷體"/>
          <w:sz w:val="28"/>
          <w:szCs w:val="28"/>
        </w:rPr>
        <w:t>觀光發展管理事權及觀念待整合：景點開發建設事涉眾多公部門權責單位，需逐案透過協調溝通，統合相關權責單位，達發展共識。</w:t>
      </w:r>
      <w:r w:rsidRPr="00D55DC6">
        <w:rPr>
          <w:rFonts w:eastAsia="標楷體"/>
          <w:sz w:val="28"/>
          <w:szCs w:val="28"/>
        </w:rPr>
        <w:lastRenderedPageBreak/>
        <w:t>若有未能解決之問題，將提報行政院觀光發展推動委員會協助解決；此外，民眾及業者對觀光發展多仍有本位觀念與認知落差，且現有住民對既得利益的堅持，常需耗費溝通協調時程，影響觀光發展步調。需透過產業座談、村里民大會等場合，加強與地方溝通，並辦理相關的教育訓練及輔導等工作，期能提昇整體服務品質。</w:t>
      </w:r>
    </w:p>
    <w:p w:rsidR="00261ADB" w:rsidRPr="00D55DC6" w:rsidRDefault="00261ADB" w:rsidP="0038165F">
      <w:pPr>
        <w:pStyle w:val="af2"/>
        <w:numPr>
          <w:ilvl w:val="0"/>
          <w:numId w:val="29"/>
        </w:numPr>
        <w:snapToGrid w:val="0"/>
        <w:spacing w:line="460" w:lineRule="exact"/>
        <w:ind w:leftChars="0" w:hanging="297"/>
        <w:jc w:val="both"/>
        <w:rPr>
          <w:rFonts w:eastAsia="標楷體"/>
          <w:sz w:val="28"/>
          <w:szCs w:val="28"/>
        </w:rPr>
      </w:pPr>
      <w:r w:rsidRPr="00D55DC6">
        <w:rPr>
          <w:rFonts w:eastAsia="標楷體"/>
          <w:sz w:val="28"/>
          <w:szCs w:val="28"/>
        </w:rPr>
        <w:t>建設用地取得限制：部分土地位處保安林、保護區、森林區、山坡地保育區或水源水質保護區，觀光設施開發受限，地權取得、地用變更耗時費力，延緩觀光建設期程。需提早規劃建設期程，並加強與相關主管機關溝通解決。</w:t>
      </w:r>
    </w:p>
    <w:p w:rsidR="00261ADB" w:rsidRPr="00D55DC6" w:rsidRDefault="00261ADB" w:rsidP="0038165F">
      <w:pPr>
        <w:pStyle w:val="af2"/>
        <w:numPr>
          <w:ilvl w:val="0"/>
          <w:numId w:val="29"/>
        </w:numPr>
        <w:snapToGrid w:val="0"/>
        <w:spacing w:line="460" w:lineRule="exact"/>
        <w:ind w:leftChars="0" w:hanging="297"/>
        <w:jc w:val="both"/>
        <w:rPr>
          <w:rFonts w:eastAsia="標楷體"/>
          <w:sz w:val="28"/>
          <w:szCs w:val="28"/>
        </w:rPr>
      </w:pPr>
      <w:r w:rsidRPr="00D55DC6">
        <w:rPr>
          <w:rFonts w:eastAsia="標楷體"/>
          <w:sz w:val="28"/>
          <w:szCs w:val="28"/>
        </w:rPr>
        <w:t>自然地理環境限制：部分熱門景點因發展腹地有限，遊客量、交通易產生擁擠現象，宜針對環境本質推動適宜性的規劃建設，並作適當的承載量規劃及管制。</w:t>
      </w:r>
    </w:p>
    <w:p w:rsidR="00261ADB" w:rsidRPr="00D55DC6" w:rsidRDefault="00261ADB" w:rsidP="0038165F">
      <w:pPr>
        <w:pStyle w:val="af2"/>
        <w:numPr>
          <w:ilvl w:val="0"/>
          <w:numId w:val="29"/>
        </w:numPr>
        <w:snapToGrid w:val="0"/>
        <w:spacing w:line="460" w:lineRule="exact"/>
        <w:ind w:leftChars="0" w:hanging="297"/>
        <w:jc w:val="both"/>
        <w:rPr>
          <w:rFonts w:eastAsia="標楷體"/>
          <w:sz w:val="28"/>
          <w:szCs w:val="28"/>
        </w:rPr>
      </w:pPr>
      <w:r w:rsidRPr="00D55DC6">
        <w:rPr>
          <w:rFonts w:eastAsia="標楷體"/>
          <w:sz w:val="28"/>
          <w:szCs w:val="28"/>
        </w:rPr>
        <w:t>開發行為法規限制：部分開發案需辦理都市計畫變更或環境影響評估，因審議過程繁複，時程不易掌握，常影響景點之開發建設。將寬列計畫推動期程，並積極推動相關應辦事項。</w:t>
      </w:r>
    </w:p>
    <w:p w:rsidR="00261ADB" w:rsidRPr="00D55DC6" w:rsidRDefault="00261ADB" w:rsidP="0038165F">
      <w:pPr>
        <w:pStyle w:val="af2"/>
        <w:numPr>
          <w:ilvl w:val="0"/>
          <w:numId w:val="29"/>
        </w:numPr>
        <w:snapToGrid w:val="0"/>
        <w:spacing w:line="460" w:lineRule="exact"/>
        <w:ind w:leftChars="0" w:hanging="297"/>
        <w:jc w:val="both"/>
        <w:rPr>
          <w:rFonts w:eastAsia="標楷體"/>
          <w:sz w:val="28"/>
          <w:szCs w:val="28"/>
        </w:rPr>
      </w:pPr>
      <w:r w:rsidRPr="00D55DC6">
        <w:rPr>
          <w:rFonts w:eastAsia="標楷體"/>
          <w:sz w:val="28"/>
          <w:szCs w:val="28"/>
        </w:rPr>
        <w:t>整體市場環境的變遷，面對觀光產業劇烈競爭，對於委託業者經營的衝擊日趨劇烈，為突破現有的觀光效能，增加投資風險，業者經營成效將直接影響觀光景點收益。針對業者營運情形，宜適時予以輔導及協助。</w:t>
      </w:r>
    </w:p>
    <w:p w:rsidR="000B4A7F" w:rsidRPr="00D55DC6" w:rsidRDefault="000B4A7F" w:rsidP="000725AB">
      <w:pPr>
        <w:pStyle w:val="af2"/>
        <w:snapToGrid w:val="0"/>
        <w:spacing w:line="460" w:lineRule="exact"/>
        <w:ind w:leftChars="0" w:left="864"/>
        <w:jc w:val="both"/>
        <w:rPr>
          <w:rFonts w:eastAsia="標楷體"/>
          <w:sz w:val="28"/>
          <w:szCs w:val="28"/>
        </w:rPr>
      </w:pPr>
    </w:p>
    <w:p w:rsidR="00261ADB" w:rsidRPr="00D55DC6" w:rsidRDefault="00261ADB" w:rsidP="0038165F">
      <w:pPr>
        <w:pStyle w:val="af2"/>
        <w:numPr>
          <w:ilvl w:val="0"/>
          <w:numId w:val="28"/>
        </w:numPr>
        <w:snapToGrid w:val="0"/>
        <w:spacing w:line="460" w:lineRule="exact"/>
        <w:ind w:leftChars="0"/>
        <w:jc w:val="both"/>
        <w:rPr>
          <w:rFonts w:eastAsia="標楷體"/>
          <w:b/>
          <w:sz w:val="28"/>
          <w:szCs w:val="28"/>
        </w:rPr>
      </w:pPr>
      <w:r w:rsidRPr="00D55DC6">
        <w:rPr>
          <w:rFonts w:eastAsia="標楷體"/>
          <w:b/>
          <w:sz w:val="28"/>
          <w:szCs w:val="28"/>
        </w:rPr>
        <w:t>績效指標、衡量標準及目標值</w:t>
      </w:r>
    </w:p>
    <w:p w:rsidR="00261ADB" w:rsidRPr="00D55DC6" w:rsidRDefault="00261ADB" w:rsidP="0038165F">
      <w:pPr>
        <w:pStyle w:val="af2"/>
        <w:snapToGrid w:val="0"/>
        <w:spacing w:line="460" w:lineRule="exact"/>
        <w:ind w:leftChars="0" w:left="864" w:right="840"/>
        <w:jc w:val="right"/>
        <w:rPr>
          <w:rFonts w:eastAsia="標楷體"/>
          <w:sz w:val="28"/>
          <w:szCs w:val="28"/>
        </w:rPr>
      </w:pPr>
    </w:p>
    <w:tbl>
      <w:tblPr>
        <w:tblW w:w="7740" w:type="dxa"/>
        <w:tblInd w:w="879" w:type="dxa"/>
        <w:tblCellMar>
          <w:left w:w="0" w:type="dxa"/>
          <w:right w:w="0" w:type="dxa"/>
        </w:tblCellMar>
        <w:tblLook w:val="04A0" w:firstRow="1" w:lastRow="0" w:firstColumn="1" w:lastColumn="0" w:noHBand="0" w:noVBand="1"/>
      </w:tblPr>
      <w:tblGrid>
        <w:gridCol w:w="425"/>
        <w:gridCol w:w="2124"/>
        <w:gridCol w:w="865"/>
        <w:gridCol w:w="867"/>
        <w:gridCol w:w="864"/>
        <w:gridCol w:w="865"/>
        <w:gridCol w:w="864"/>
        <w:gridCol w:w="866"/>
      </w:tblGrid>
      <w:tr w:rsidR="001D0350" w:rsidRPr="00D55DC6" w:rsidTr="00261ADB">
        <w:trPr>
          <w:trHeight w:val="345"/>
          <w:tblHeader/>
        </w:trPr>
        <w:tc>
          <w:tcPr>
            <w:tcW w:w="425" w:type="dxa"/>
            <w:vMerge w:val="restar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項目</w:t>
            </w:r>
          </w:p>
        </w:tc>
        <w:tc>
          <w:tcPr>
            <w:tcW w:w="2124" w:type="dxa"/>
            <w:vMerge w:val="restar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衡量指標</w:t>
            </w:r>
          </w:p>
        </w:tc>
        <w:tc>
          <w:tcPr>
            <w:tcW w:w="1732"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衡量基準</w:t>
            </w:r>
          </w:p>
        </w:tc>
        <w:tc>
          <w:tcPr>
            <w:tcW w:w="3459" w:type="dxa"/>
            <w:gridSpan w:val="4"/>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預期目標值</w:t>
            </w:r>
          </w:p>
        </w:tc>
      </w:tr>
      <w:tr w:rsidR="001D0350" w:rsidRPr="00D55DC6" w:rsidTr="00261ADB">
        <w:trPr>
          <w:trHeight w:val="345"/>
          <w:tblHead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61ADB" w:rsidRPr="00D55DC6" w:rsidRDefault="00261ADB" w:rsidP="0038165F">
            <w:pPr>
              <w:widowControl/>
              <w:rPr>
                <w:rFonts w:eastAsia="標楷體"/>
                <w:sz w:val="28"/>
                <w:szCs w:val="28"/>
              </w:rPr>
            </w:pPr>
          </w:p>
        </w:tc>
        <w:tc>
          <w:tcPr>
            <w:tcW w:w="0" w:type="auto"/>
            <w:vMerge/>
            <w:tcBorders>
              <w:top w:val="single" w:sz="8" w:space="0" w:color="auto"/>
              <w:left w:val="nil"/>
              <w:bottom w:val="single" w:sz="8" w:space="0" w:color="auto"/>
              <w:right w:val="single" w:sz="8" w:space="0" w:color="auto"/>
            </w:tcBorders>
            <w:vAlign w:val="center"/>
            <w:hideMark/>
          </w:tcPr>
          <w:p w:rsidR="00261ADB" w:rsidRPr="00D55DC6" w:rsidRDefault="00261ADB" w:rsidP="0038165F">
            <w:pPr>
              <w:widowControl/>
              <w:rPr>
                <w:rFonts w:eastAsia="標楷體"/>
                <w:sz w:val="28"/>
                <w:szCs w:val="28"/>
              </w:rPr>
            </w:pPr>
          </w:p>
        </w:tc>
        <w:tc>
          <w:tcPr>
            <w:tcW w:w="865" w:type="dxa"/>
            <w:tcBorders>
              <w:top w:val="nil"/>
              <w:left w:val="nil"/>
              <w:bottom w:val="single" w:sz="8" w:space="0" w:color="auto"/>
              <w:right w:val="single" w:sz="8" w:space="0" w:color="auto"/>
            </w:tcBorders>
            <w:tcMar>
              <w:top w:w="0" w:type="dxa"/>
              <w:left w:w="28" w:type="dxa"/>
              <w:bottom w:w="0" w:type="dxa"/>
              <w:right w:w="28" w:type="dxa"/>
            </w:tcMa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102</w:t>
            </w:r>
            <w:r w:rsidRPr="00D55DC6">
              <w:rPr>
                <w:rFonts w:eastAsia="標楷體"/>
                <w:sz w:val="28"/>
                <w:szCs w:val="28"/>
              </w:rPr>
              <w:t>年</w:t>
            </w:r>
          </w:p>
        </w:tc>
        <w:tc>
          <w:tcPr>
            <w:tcW w:w="867" w:type="dxa"/>
            <w:tcBorders>
              <w:top w:val="nil"/>
              <w:left w:val="nil"/>
              <w:bottom w:val="single" w:sz="8" w:space="0" w:color="auto"/>
              <w:right w:val="single" w:sz="8" w:space="0" w:color="auto"/>
            </w:tcBorders>
            <w:tcMar>
              <w:top w:w="0" w:type="dxa"/>
              <w:left w:w="28" w:type="dxa"/>
              <w:bottom w:w="0" w:type="dxa"/>
              <w:right w:w="28" w:type="dxa"/>
            </w:tcMa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103</w:t>
            </w:r>
            <w:r w:rsidRPr="00D55DC6">
              <w:rPr>
                <w:rFonts w:eastAsia="標楷體"/>
                <w:sz w:val="28"/>
                <w:szCs w:val="28"/>
              </w:rPr>
              <w:t>年</w:t>
            </w:r>
          </w:p>
        </w:tc>
        <w:tc>
          <w:tcPr>
            <w:tcW w:w="864" w:type="dxa"/>
            <w:tcBorders>
              <w:top w:val="nil"/>
              <w:left w:val="nil"/>
              <w:bottom w:val="single" w:sz="8" w:space="0" w:color="auto"/>
              <w:right w:val="single" w:sz="8" w:space="0" w:color="auto"/>
            </w:tcBorders>
            <w:tcMar>
              <w:top w:w="0" w:type="dxa"/>
              <w:left w:w="28" w:type="dxa"/>
              <w:bottom w:w="0" w:type="dxa"/>
              <w:right w:w="28" w:type="dxa"/>
            </w:tcMa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105</w:t>
            </w:r>
            <w:r w:rsidRPr="00D55DC6">
              <w:rPr>
                <w:rFonts w:eastAsia="標楷體"/>
                <w:sz w:val="28"/>
                <w:szCs w:val="28"/>
              </w:rPr>
              <w:t>年</w:t>
            </w:r>
          </w:p>
        </w:tc>
        <w:tc>
          <w:tcPr>
            <w:tcW w:w="865" w:type="dxa"/>
            <w:tcBorders>
              <w:top w:val="nil"/>
              <w:left w:val="nil"/>
              <w:bottom w:val="single" w:sz="8" w:space="0" w:color="auto"/>
              <w:right w:val="single" w:sz="8" w:space="0" w:color="auto"/>
            </w:tcBorders>
            <w:tcMar>
              <w:top w:w="0" w:type="dxa"/>
              <w:left w:w="28" w:type="dxa"/>
              <w:bottom w:w="0" w:type="dxa"/>
              <w:right w:w="28" w:type="dxa"/>
            </w:tcMa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106</w:t>
            </w:r>
            <w:r w:rsidRPr="00D55DC6">
              <w:rPr>
                <w:rFonts w:eastAsia="標楷體"/>
                <w:sz w:val="28"/>
                <w:szCs w:val="28"/>
              </w:rPr>
              <w:t>年</w:t>
            </w:r>
          </w:p>
        </w:tc>
        <w:tc>
          <w:tcPr>
            <w:tcW w:w="864" w:type="dxa"/>
            <w:tcBorders>
              <w:top w:val="nil"/>
              <w:left w:val="nil"/>
              <w:bottom w:val="single" w:sz="8" w:space="0" w:color="auto"/>
              <w:right w:val="single" w:sz="8" w:space="0" w:color="auto"/>
            </w:tcBorders>
            <w:tcMar>
              <w:top w:w="0" w:type="dxa"/>
              <w:left w:w="28" w:type="dxa"/>
              <w:bottom w:w="0" w:type="dxa"/>
              <w:right w:w="28" w:type="dxa"/>
            </w:tcMa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107</w:t>
            </w:r>
            <w:r w:rsidRPr="00D55DC6">
              <w:rPr>
                <w:rFonts w:eastAsia="標楷體"/>
                <w:sz w:val="28"/>
                <w:szCs w:val="28"/>
              </w:rPr>
              <w:t>年</w:t>
            </w:r>
          </w:p>
        </w:tc>
        <w:tc>
          <w:tcPr>
            <w:tcW w:w="866" w:type="dxa"/>
            <w:tcBorders>
              <w:top w:val="nil"/>
              <w:left w:val="nil"/>
              <w:bottom w:val="single" w:sz="8" w:space="0" w:color="auto"/>
              <w:right w:val="single" w:sz="8" w:space="0" w:color="auto"/>
            </w:tcBorders>
            <w:tcMar>
              <w:top w:w="0" w:type="dxa"/>
              <w:left w:w="28" w:type="dxa"/>
              <w:bottom w:w="0" w:type="dxa"/>
              <w:right w:w="28" w:type="dxa"/>
            </w:tcMa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108</w:t>
            </w:r>
            <w:r w:rsidRPr="00D55DC6">
              <w:rPr>
                <w:rFonts w:eastAsia="標楷體"/>
                <w:sz w:val="28"/>
                <w:szCs w:val="28"/>
              </w:rPr>
              <w:t>年</w:t>
            </w:r>
          </w:p>
        </w:tc>
      </w:tr>
      <w:tr w:rsidR="001D0350" w:rsidRPr="00D55DC6" w:rsidTr="00261ADB">
        <w:trPr>
          <w:trHeight w:val="675"/>
        </w:trPr>
        <w:tc>
          <w:tcPr>
            <w:tcW w:w="425" w:type="dxa"/>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1</w:t>
            </w:r>
          </w:p>
        </w:tc>
        <w:tc>
          <w:tcPr>
            <w:tcW w:w="2124" w:type="dxa"/>
            <w:tcBorders>
              <w:top w:val="nil"/>
              <w:left w:val="nil"/>
              <w:bottom w:val="single" w:sz="8" w:space="0" w:color="auto"/>
              <w:right w:val="single" w:sz="8" w:space="0" w:color="auto"/>
            </w:tcBorders>
            <w:tcMar>
              <w:top w:w="0" w:type="dxa"/>
              <w:left w:w="28" w:type="dxa"/>
              <w:bottom w:w="0" w:type="dxa"/>
              <w:right w:w="28" w:type="dxa"/>
            </w:tcMar>
            <w:hideMark/>
          </w:tcPr>
          <w:p w:rsidR="00261ADB" w:rsidRPr="00D55DC6" w:rsidRDefault="00261ADB" w:rsidP="0038165F">
            <w:pPr>
              <w:spacing w:line="400" w:lineRule="exact"/>
              <w:jc w:val="both"/>
              <w:rPr>
                <w:rFonts w:eastAsia="標楷體"/>
                <w:sz w:val="28"/>
                <w:szCs w:val="28"/>
              </w:rPr>
            </w:pPr>
            <w:r w:rsidRPr="00D55DC6">
              <w:rPr>
                <w:rFonts w:eastAsia="標楷體"/>
                <w:sz w:val="28"/>
                <w:szCs w:val="28"/>
              </w:rPr>
              <w:t>重要觀光景點建設完成數</w:t>
            </w:r>
            <w:r w:rsidRPr="00D55DC6">
              <w:rPr>
                <w:rFonts w:eastAsia="標楷體"/>
                <w:sz w:val="28"/>
                <w:szCs w:val="28"/>
              </w:rPr>
              <w:t>(</w:t>
            </w:r>
            <w:r w:rsidRPr="00D55DC6">
              <w:rPr>
                <w:rFonts w:eastAsia="標楷體"/>
                <w:sz w:val="28"/>
                <w:szCs w:val="28"/>
              </w:rPr>
              <w:t>處</w:t>
            </w:r>
            <w:r w:rsidRPr="00D55DC6">
              <w:rPr>
                <w:rFonts w:eastAsia="標楷體"/>
                <w:sz w:val="28"/>
                <w:szCs w:val="28"/>
              </w:rPr>
              <w:t>)</w:t>
            </w:r>
          </w:p>
        </w:tc>
        <w:tc>
          <w:tcPr>
            <w:tcW w:w="86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5</w:t>
            </w:r>
          </w:p>
        </w:tc>
        <w:tc>
          <w:tcPr>
            <w:tcW w:w="867"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5</w:t>
            </w:r>
          </w:p>
        </w:tc>
        <w:tc>
          <w:tcPr>
            <w:tcW w:w="864"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5</w:t>
            </w:r>
          </w:p>
        </w:tc>
        <w:tc>
          <w:tcPr>
            <w:tcW w:w="865"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5</w:t>
            </w:r>
          </w:p>
        </w:tc>
        <w:tc>
          <w:tcPr>
            <w:tcW w:w="864"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5</w:t>
            </w:r>
          </w:p>
        </w:tc>
        <w:tc>
          <w:tcPr>
            <w:tcW w:w="866"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6</w:t>
            </w:r>
          </w:p>
        </w:tc>
      </w:tr>
      <w:tr w:rsidR="001D0350" w:rsidRPr="00D55DC6" w:rsidTr="00261ADB">
        <w:trPr>
          <w:trHeight w:val="675"/>
        </w:trPr>
        <w:tc>
          <w:tcPr>
            <w:tcW w:w="425" w:type="dxa"/>
            <w:tcBorders>
              <w:top w:val="nil"/>
              <w:left w:val="single" w:sz="8" w:space="0" w:color="auto"/>
              <w:bottom w:val="single" w:sz="4" w:space="0" w:color="auto"/>
              <w:right w:val="single" w:sz="8" w:space="0" w:color="auto"/>
            </w:tcBorders>
            <w:tcMar>
              <w:top w:w="0" w:type="dxa"/>
              <w:left w:w="28" w:type="dxa"/>
              <w:bottom w:w="0" w:type="dxa"/>
              <w:right w:w="28" w:type="dxa"/>
            </w:tcMa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2</w:t>
            </w:r>
          </w:p>
        </w:tc>
        <w:tc>
          <w:tcPr>
            <w:tcW w:w="2124" w:type="dxa"/>
            <w:tcBorders>
              <w:top w:val="nil"/>
              <w:left w:val="nil"/>
              <w:bottom w:val="single" w:sz="4" w:space="0" w:color="auto"/>
              <w:right w:val="single" w:sz="8" w:space="0" w:color="auto"/>
            </w:tcBorders>
            <w:tcMar>
              <w:top w:w="0" w:type="dxa"/>
              <w:left w:w="28" w:type="dxa"/>
              <w:bottom w:w="0" w:type="dxa"/>
              <w:right w:w="28" w:type="dxa"/>
            </w:tcMar>
            <w:hideMark/>
          </w:tcPr>
          <w:p w:rsidR="00261ADB" w:rsidRPr="00D55DC6" w:rsidRDefault="00261ADB" w:rsidP="0038165F">
            <w:pPr>
              <w:spacing w:line="400" w:lineRule="exact"/>
              <w:jc w:val="both"/>
              <w:rPr>
                <w:rFonts w:eastAsia="標楷體"/>
                <w:sz w:val="28"/>
                <w:szCs w:val="28"/>
              </w:rPr>
            </w:pPr>
            <w:r w:rsidRPr="00D55DC6">
              <w:rPr>
                <w:rFonts w:eastAsia="標楷體"/>
                <w:sz w:val="28"/>
                <w:szCs w:val="28"/>
              </w:rPr>
              <w:t>參訪國家風景區遊客人數</w:t>
            </w:r>
            <w:r w:rsidRPr="00D55DC6">
              <w:rPr>
                <w:rFonts w:eastAsia="標楷體"/>
                <w:sz w:val="28"/>
                <w:szCs w:val="28"/>
              </w:rPr>
              <w:t>(</w:t>
            </w:r>
            <w:r w:rsidRPr="00D55DC6">
              <w:rPr>
                <w:rFonts w:eastAsia="標楷體"/>
                <w:sz w:val="28"/>
                <w:szCs w:val="28"/>
              </w:rPr>
              <w:t>萬人</w:t>
            </w:r>
            <w:r w:rsidRPr="00D55DC6">
              <w:rPr>
                <w:rFonts w:eastAsia="標楷體"/>
                <w:sz w:val="28"/>
                <w:szCs w:val="28"/>
              </w:rPr>
              <w:t xml:space="preserve">) </w:t>
            </w:r>
          </w:p>
        </w:tc>
        <w:tc>
          <w:tcPr>
            <w:tcW w:w="865" w:type="dxa"/>
            <w:tcBorders>
              <w:top w:val="nil"/>
              <w:left w:val="nil"/>
              <w:bottom w:val="single" w:sz="4" w:space="0" w:color="auto"/>
              <w:right w:val="single" w:sz="8" w:space="0" w:color="auto"/>
            </w:tcBorders>
            <w:tcMar>
              <w:top w:w="0" w:type="dxa"/>
              <w:left w:w="28" w:type="dxa"/>
              <w:bottom w:w="0" w:type="dxa"/>
              <w:right w:w="28" w:type="dxa"/>
            </w:tcMar>
            <w:vAlign w:val="cente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420</w:t>
            </w:r>
          </w:p>
        </w:tc>
        <w:tc>
          <w:tcPr>
            <w:tcW w:w="867" w:type="dxa"/>
            <w:tcBorders>
              <w:top w:val="nil"/>
              <w:left w:val="nil"/>
              <w:bottom w:val="single" w:sz="4" w:space="0" w:color="auto"/>
              <w:right w:val="single" w:sz="8" w:space="0" w:color="auto"/>
            </w:tcBorders>
            <w:tcMar>
              <w:top w:w="0" w:type="dxa"/>
              <w:left w:w="28" w:type="dxa"/>
              <w:bottom w:w="0" w:type="dxa"/>
              <w:right w:w="28" w:type="dxa"/>
            </w:tcMar>
            <w:vAlign w:val="cente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430</w:t>
            </w:r>
          </w:p>
        </w:tc>
        <w:tc>
          <w:tcPr>
            <w:tcW w:w="864" w:type="dxa"/>
            <w:tcBorders>
              <w:top w:val="nil"/>
              <w:left w:val="nil"/>
              <w:bottom w:val="single" w:sz="4" w:space="0" w:color="auto"/>
              <w:right w:val="single" w:sz="8" w:space="0" w:color="auto"/>
            </w:tcBorders>
            <w:tcMar>
              <w:top w:w="0" w:type="dxa"/>
              <w:left w:w="28" w:type="dxa"/>
              <w:bottom w:w="0" w:type="dxa"/>
              <w:right w:w="28" w:type="dxa"/>
            </w:tcMar>
            <w:vAlign w:val="cente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433</w:t>
            </w:r>
          </w:p>
        </w:tc>
        <w:tc>
          <w:tcPr>
            <w:tcW w:w="865" w:type="dxa"/>
            <w:tcBorders>
              <w:top w:val="nil"/>
              <w:left w:val="nil"/>
              <w:bottom w:val="single" w:sz="4" w:space="0" w:color="auto"/>
              <w:right w:val="single" w:sz="8" w:space="0" w:color="auto"/>
            </w:tcBorders>
            <w:tcMar>
              <w:top w:w="0" w:type="dxa"/>
              <w:left w:w="28" w:type="dxa"/>
              <w:bottom w:w="0" w:type="dxa"/>
              <w:right w:w="28" w:type="dxa"/>
            </w:tcMar>
            <w:vAlign w:val="cente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441</w:t>
            </w:r>
          </w:p>
        </w:tc>
        <w:tc>
          <w:tcPr>
            <w:tcW w:w="864" w:type="dxa"/>
            <w:tcBorders>
              <w:top w:val="nil"/>
              <w:left w:val="nil"/>
              <w:bottom w:val="single" w:sz="4" w:space="0" w:color="auto"/>
              <w:right w:val="single" w:sz="8" w:space="0" w:color="auto"/>
            </w:tcBorders>
            <w:tcMar>
              <w:top w:w="0" w:type="dxa"/>
              <w:left w:w="28" w:type="dxa"/>
              <w:bottom w:w="0" w:type="dxa"/>
              <w:right w:w="28" w:type="dxa"/>
            </w:tcMar>
            <w:vAlign w:val="cente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449</w:t>
            </w:r>
          </w:p>
        </w:tc>
        <w:tc>
          <w:tcPr>
            <w:tcW w:w="866" w:type="dxa"/>
            <w:tcBorders>
              <w:top w:val="nil"/>
              <w:left w:val="nil"/>
              <w:bottom w:val="single" w:sz="4" w:space="0" w:color="auto"/>
              <w:right w:val="single" w:sz="8" w:space="0" w:color="auto"/>
            </w:tcBorders>
            <w:tcMar>
              <w:top w:w="0" w:type="dxa"/>
              <w:left w:w="28" w:type="dxa"/>
              <w:bottom w:w="0" w:type="dxa"/>
              <w:right w:w="28" w:type="dxa"/>
            </w:tcMar>
            <w:vAlign w:val="center"/>
            <w:hideMark/>
          </w:tcPr>
          <w:p w:rsidR="00261ADB" w:rsidRPr="00D55DC6" w:rsidRDefault="00261ADB" w:rsidP="0038165F">
            <w:pPr>
              <w:spacing w:line="400" w:lineRule="exact"/>
              <w:jc w:val="center"/>
              <w:rPr>
                <w:rFonts w:eastAsia="標楷體"/>
                <w:sz w:val="28"/>
                <w:szCs w:val="28"/>
              </w:rPr>
            </w:pPr>
            <w:r w:rsidRPr="00D55DC6">
              <w:rPr>
                <w:rFonts w:eastAsia="標楷體"/>
                <w:sz w:val="28"/>
                <w:szCs w:val="28"/>
              </w:rPr>
              <w:t>457</w:t>
            </w:r>
          </w:p>
        </w:tc>
      </w:tr>
      <w:tr w:rsidR="001D0350" w:rsidRPr="00D55DC6" w:rsidTr="00F37248">
        <w:trPr>
          <w:trHeight w:val="249"/>
        </w:trPr>
        <w:tc>
          <w:tcPr>
            <w:tcW w:w="42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292881" w:rsidRPr="00D55DC6" w:rsidRDefault="00292881" w:rsidP="0038165F">
            <w:pPr>
              <w:spacing w:line="400" w:lineRule="exact"/>
              <w:jc w:val="center"/>
              <w:rPr>
                <w:rFonts w:eastAsia="標楷體"/>
                <w:sz w:val="28"/>
                <w:szCs w:val="28"/>
              </w:rPr>
            </w:pPr>
            <w:r w:rsidRPr="00D55DC6">
              <w:rPr>
                <w:rFonts w:eastAsia="標楷體"/>
                <w:sz w:val="28"/>
                <w:szCs w:val="28"/>
              </w:rPr>
              <w:t>3</w:t>
            </w:r>
          </w:p>
        </w:tc>
        <w:tc>
          <w:tcPr>
            <w:tcW w:w="212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92881" w:rsidRPr="00D55DC6" w:rsidRDefault="00292881" w:rsidP="0038165F">
            <w:pPr>
              <w:spacing w:line="400" w:lineRule="exact"/>
              <w:jc w:val="both"/>
              <w:rPr>
                <w:rFonts w:eastAsia="標楷體"/>
                <w:sz w:val="28"/>
                <w:szCs w:val="28"/>
              </w:rPr>
            </w:pPr>
            <w:r w:rsidRPr="00D55DC6">
              <w:rPr>
                <w:rFonts w:eastAsia="標楷體"/>
                <w:sz w:val="28"/>
                <w:szCs w:val="28"/>
              </w:rPr>
              <w:t>觀光產值</w:t>
            </w:r>
            <w:r w:rsidRPr="00D55DC6">
              <w:rPr>
                <w:rFonts w:eastAsia="標楷體"/>
                <w:sz w:val="28"/>
                <w:szCs w:val="28"/>
              </w:rPr>
              <w:t>(</w:t>
            </w:r>
            <w:r w:rsidRPr="00D55DC6">
              <w:rPr>
                <w:rFonts w:eastAsia="標楷體"/>
                <w:sz w:val="28"/>
                <w:szCs w:val="28"/>
              </w:rPr>
              <w:t>億元</w:t>
            </w:r>
            <w:r w:rsidRPr="00D55DC6">
              <w:rPr>
                <w:rFonts w:eastAsia="標楷體"/>
                <w:sz w:val="28"/>
                <w:szCs w:val="28"/>
              </w:rPr>
              <w:t>)</w:t>
            </w:r>
          </w:p>
        </w:tc>
        <w:tc>
          <w:tcPr>
            <w:tcW w:w="86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2881" w:rsidRPr="00D55DC6" w:rsidRDefault="00292881" w:rsidP="0038165F">
            <w:pPr>
              <w:spacing w:line="400" w:lineRule="exact"/>
              <w:jc w:val="center"/>
              <w:rPr>
                <w:rFonts w:eastAsia="標楷體"/>
                <w:sz w:val="28"/>
                <w:szCs w:val="28"/>
              </w:rPr>
            </w:pPr>
            <w:r w:rsidRPr="00D55DC6">
              <w:rPr>
                <w:rFonts w:eastAsia="標楷體"/>
                <w:sz w:val="28"/>
                <w:szCs w:val="28"/>
              </w:rPr>
              <w:t>56</w:t>
            </w:r>
          </w:p>
        </w:tc>
        <w:tc>
          <w:tcPr>
            <w:tcW w:w="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2881" w:rsidRPr="00D55DC6" w:rsidRDefault="00292881" w:rsidP="0038165F">
            <w:pPr>
              <w:spacing w:line="400" w:lineRule="exact"/>
              <w:jc w:val="center"/>
              <w:rPr>
                <w:rFonts w:eastAsia="標楷體"/>
                <w:sz w:val="28"/>
                <w:szCs w:val="28"/>
              </w:rPr>
            </w:pPr>
            <w:r w:rsidRPr="00D55DC6">
              <w:rPr>
                <w:rFonts w:eastAsia="標楷體"/>
                <w:sz w:val="28"/>
                <w:szCs w:val="28"/>
              </w:rPr>
              <w:t>57</w:t>
            </w:r>
          </w:p>
        </w:tc>
        <w:tc>
          <w:tcPr>
            <w:tcW w:w="86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2881" w:rsidRPr="00D55DC6" w:rsidRDefault="00292881" w:rsidP="0038165F">
            <w:pPr>
              <w:spacing w:line="400" w:lineRule="exact"/>
              <w:jc w:val="center"/>
              <w:rPr>
                <w:rFonts w:eastAsia="標楷體"/>
                <w:sz w:val="28"/>
                <w:szCs w:val="28"/>
              </w:rPr>
            </w:pPr>
            <w:r w:rsidRPr="00D55DC6">
              <w:rPr>
                <w:rFonts w:eastAsia="標楷體"/>
                <w:sz w:val="28"/>
                <w:szCs w:val="28"/>
              </w:rPr>
              <w:t>58</w:t>
            </w:r>
          </w:p>
        </w:tc>
        <w:tc>
          <w:tcPr>
            <w:tcW w:w="86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2881" w:rsidRPr="00D55DC6" w:rsidRDefault="00292881" w:rsidP="0038165F">
            <w:pPr>
              <w:spacing w:line="400" w:lineRule="exact"/>
              <w:jc w:val="center"/>
              <w:rPr>
                <w:rFonts w:eastAsia="標楷體"/>
                <w:sz w:val="28"/>
                <w:szCs w:val="28"/>
              </w:rPr>
            </w:pPr>
            <w:r w:rsidRPr="00D55DC6">
              <w:rPr>
                <w:rFonts w:eastAsia="標楷體"/>
                <w:sz w:val="28"/>
                <w:szCs w:val="28"/>
              </w:rPr>
              <w:t>60</w:t>
            </w:r>
          </w:p>
        </w:tc>
        <w:tc>
          <w:tcPr>
            <w:tcW w:w="86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2881" w:rsidRPr="00D55DC6" w:rsidRDefault="00292881" w:rsidP="0038165F">
            <w:pPr>
              <w:spacing w:line="400" w:lineRule="exact"/>
              <w:jc w:val="center"/>
              <w:rPr>
                <w:rFonts w:eastAsia="標楷體"/>
                <w:sz w:val="28"/>
                <w:szCs w:val="28"/>
              </w:rPr>
            </w:pPr>
            <w:r w:rsidRPr="00D55DC6">
              <w:rPr>
                <w:rFonts w:eastAsia="標楷體"/>
                <w:sz w:val="28"/>
                <w:szCs w:val="28"/>
              </w:rPr>
              <w:t>61</w:t>
            </w:r>
          </w:p>
        </w:tc>
        <w:tc>
          <w:tcPr>
            <w:tcW w:w="86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92881" w:rsidRPr="00D55DC6" w:rsidRDefault="00292881" w:rsidP="0038165F">
            <w:pPr>
              <w:spacing w:line="400" w:lineRule="exact"/>
              <w:jc w:val="center"/>
              <w:rPr>
                <w:rFonts w:eastAsia="標楷體"/>
                <w:sz w:val="28"/>
                <w:szCs w:val="28"/>
              </w:rPr>
            </w:pPr>
            <w:r w:rsidRPr="00D55DC6">
              <w:rPr>
                <w:rFonts w:eastAsia="標楷體"/>
                <w:sz w:val="28"/>
                <w:szCs w:val="28"/>
              </w:rPr>
              <w:t>62</w:t>
            </w:r>
          </w:p>
        </w:tc>
      </w:tr>
      <w:tr w:rsidR="001D0350" w:rsidRPr="00D55DC6" w:rsidTr="00292881">
        <w:trPr>
          <w:trHeight w:val="675"/>
        </w:trPr>
        <w:tc>
          <w:tcPr>
            <w:tcW w:w="42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F37248" w:rsidRPr="00D55DC6" w:rsidRDefault="00F37248" w:rsidP="0038165F">
            <w:pPr>
              <w:spacing w:line="400" w:lineRule="exact"/>
              <w:jc w:val="center"/>
              <w:rPr>
                <w:rFonts w:eastAsia="標楷體"/>
                <w:sz w:val="28"/>
                <w:szCs w:val="28"/>
              </w:rPr>
            </w:pPr>
            <w:r w:rsidRPr="00D55DC6">
              <w:rPr>
                <w:rFonts w:eastAsia="標楷體"/>
                <w:sz w:val="28"/>
                <w:szCs w:val="28"/>
              </w:rPr>
              <w:t>4</w:t>
            </w:r>
          </w:p>
        </w:tc>
        <w:tc>
          <w:tcPr>
            <w:tcW w:w="212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F37248" w:rsidRPr="00D55DC6" w:rsidRDefault="00F37248" w:rsidP="0038165F">
            <w:pPr>
              <w:spacing w:line="400" w:lineRule="exact"/>
              <w:jc w:val="both"/>
              <w:rPr>
                <w:rFonts w:eastAsia="標楷體"/>
                <w:sz w:val="28"/>
                <w:szCs w:val="28"/>
              </w:rPr>
            </w:pPr>
            <w:r w:rsidRPr="00D55DC6">
              <w:rPr>
                <w:rFonts w:eastAsia="標楷體"/>
                <w:sz w:val="28"/>
                <w:szCs w:val="28"/>
              </w:rPr>
              <w:t>性別友善設施完成數</w:t>
            </w:r>
            <w:r w:rsidRPr="00D55DC6">
              <w:rPr>
                <w:rFonts w:eastAsia="標楷體"/>
                <w:sz w:val="28"/>
                <w:szCs w:val="28"/>
              </w:rPr>
              <w:t>(</w:t>
            </w:r>
            <w:r w:rsidRPr="00D55DC6">
              <w:rPr>
                <w:rFonts w:eastAsia="標楷體"/>
                <w:sz w:val="28"/>
                <w:szCs w:val="28"/>
              </w:rPr>
              <w:t>處</w:t>
            </w:r>
            <w:r w:rsidRPr="00D55DC6">
              <w:rPr>
                <w:rFonts w:eastAsia="標楷體"/>
                <w:sz w:val="28"/>
                <w:szCs w:val="28"/>
              </w:rPr>
              <w:t>)</w:t>
            </w:r>
          </w:p>
        </w:tc>
        <w:tc>
          <w:tcPr>
            <w:tcW w:w="86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37248" w:rsidRPr="00D55DC6" w:rsidRDefault="00E852D0" w:rsidP="0038165F">
            <w:pPr>
              <w:spacing w:line="400" w:lineRule="exact"/>
              <w:jc w:val="center"/>
              <w:rPr>
                <w:rFonts w:eastAsia="標楷體"/>
                <w:sz w:val="28"/>
                <w:szCs w:val="28"/>
              </w:rPr>
            </w:pPr>
            <w:r w:rsidRPr="00D55DC6">
              <w:rPr>
                <w:rFonts w:eastAsia="標楷體"/>
                <w:sz w:val="28"/>
                <w:szCs w:val="28"/>
              </w:rPr>
              <w:t>1</w:t>
            </w:r>
          </w:p>
        </w:tc>
        <w:tc>
          <w:tcPr>
            <w:tcW w:w="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37248" w:rsidRPr="00D55DC6" w:rsidRDefault="00E852D0" w:rsidP="0038165F">
            <w:pPr>
              <w:spacing w:line="400" w:lineRule="exact"/>
              <w:jc w:val="center"/>
              <w:rPr>
                <w:rFonts w:eastAsia="標楷體"/>
                <w:sz w:val="28"/>
                <w:szCs w:val="28"/>
              </w:rPr>
            </w:pPr>
            <w:r w:rsidRPr="00D55DC6">
              <w:rPr>
                <w:rFonts w:eastAsia="標楷體"/>
                <w:sz w:val="28"/>
                <w:szCs w:val="28"/>
              </w:rPr>
              <w:t>1</w:t>
            </w:r>
          </w:p>
        </w:tc>
        <w:tc>
          <w:tcPr>
            <w:tcW w:w="86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37248" w:rsidRPr="00D55DC6" w:rsidRDefault="00E852D0" w:rsidP="0038165F">
            <w:pPr>
              <w:spacing w:line="400" w:lineRule="exact"/>
              <w:jc w:val="center"/>
              <w:rPr>
                <w:rFonts w:eastAsia="標楷體"/>
                <w:sz w:val="28"/>
                <w:szCs w:val="28"/>
              </w:rPr>
            </w:pPr>
            <w:r w:rsidRPr="00D55DC6">
              <w:rPr>
                <w:rFonts w:eastAsia="標楷體"/>
                <w:sz w:val="28"/>
                <w:szCs w:val="28"/>
              </w:rPr>
              <w:t>2</w:t>
            </w:r>
          </w:p>
        </w:tc>
        <w:tc>
          <w:tcPr>
            <w:tcW w:w="86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37248" w:rsidRPr="00D55DC6" w:rsidRDefault="00E852D0" w:rsidP="0038165F">
            <w:pPr>
              <w:spacing w:line="400" w:lineRule="exact"/>
              <w:jc w:val="center"/>
              <w:rPr>
                <w:rFonts w:eastAsia="標楷體"/>
                <w:sz w:val="28"/>
                <w:szCs w:val="28"/>
              </w:rPr>
            </w:pPr>
            <w:r w:rsidRPr="00D55DC6">
              <w:rPr>
                <w:rFonts w:eastAsia="標楷體"/>
                <w:sz w:val="28"/>
                <w:szCs w:val="28"/>
              </w:rPr>
              <w:t>2</w:t>
            </w:r>
          </w:p>
        </w:tc>
        <w:tc>
          <w:tcPr>
            <w:tcW w:w="86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37248" w:rsidRPr="00D55DC6" w:rsidRDefault="00E852D0" w:rsidP="0038165F">
            <w:pPr>
              <w:spacing w:line="400" w:lineRule="exact"/>
              <w:jc w:val="center"/>
              <w:rPr>
                <w:rFonts w:eastAsia="標楷體"/>
                <w:sz w:val="28"/>
                <w:szCs w:val="28"/>
              </w:rPr>
            </w:pPr>
            <w:r w:rsidRPr="00D55DC6">
              <w:rPr>
                <w:rFonts w:eastAsia="標楷體"/>
                <w:sz w:val="28"/>
                <w:szCs w:val="28"/>
              </w:rPr>
              <w:t>2</w:t>
            </w:r>
          </w:p>
        </w:tc>
        <w:tc>
          <w:tcPr>
            <w:tcW w:w="86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F37248" w:rsidRPr="00D55DC6" w:rsidRDefault="00E852D0" w:rsidP="0038165F">
            <w:pPr>
              <w:spacing w:line="400" w:lineRule="exact"/>
              <w:jc w:val="center"/>
              <w:rPr>
                <w:rFonts w:eastAsia="標楷體"/>
                <w:sz w:val="28"/>
                <w:szCs w:val="28"/>
              </w:rPr>
            </w:pPr>
            <w:r w:rsidRPr="00D55DC6">
              <w:rPr>
                <w:rFonts w:eastAsia="標楷體"/>
                <w:sz w:val="28"/>
                <w:szCs w:val="28"/>
              </w:rPr>
              <w:t>3</w:t>
            </w:r>
          </w:p>
        </w:tc>
      </w:tr>
      <w:tr w:rsidR="002F5D4E" w:rsidRPr="00D55DC6" w:rsidTr="00292881">
        <w:trPr>
          <w:trHeight w:val="675"/>
        </w:trPr>
        <w:tc>
          <w:tcPr>
            <w:tcW w:w="42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F5D4E" w:rsidRPr="00D55DC6" w:rsidRDefault="002F5D4E" w:rsidP="0038165F">
            <w:pPr>
              <w:spacing w:line="400" w:lineRule="exact"/>
              <w:jc w:val="center"/>
              <w:rPr>
                <w:rFonts w:eastAsia="標楷體"/>
                <w:sz w:val="28"/>
                <w:szCs w:val="28"/>
              </w:rPr>
            </w:pPr>
            <w:r w:rsidRPr="00D55DC6">
              <w:rPr>
                <w:rFonts w:eastAsia="標楷體"/>
                <w:sz w:val="28"/>
                <w:szCs w:val="28"/>
              </w:rPr>
              <w:lastRenderedPageBreak/>
              <w:t>5</w:t>
            </w:r>
          </w:p>
        </w:tc>
        <w:tc>
          <w:tcPr>
            <w:tcW w:w="212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F5D4E" w:rsidRPr="00D55DC6" w:rsidRDefault="002F5D4E" w:rsidP="0038165F">
            <w:pPr>
              <w:spacing w:line="400" w:lineRule="exact"/>
              <w:jc w:val="both"/>
              <w:rPr>
                <w:rFonts w:eastAsia="標楷體"/>
                <w:sz w:val="28"/>
                <w:szCs w:val="28"/>
              </w:rPr>
            </w:pPr>
            <w:r w:rsidRPr="00D55DC6">
              <w:rPr>
                <w:rFonts w:eastAsia="標楷體"/>
                <w:sz w:val="28"/>
                <w:szCs w:val="28"/>
              </w:rPr>
              <w:t>轄區經管設施公共意外責任險確</w:t>
            </w:r>
            <w:r w:rsidR="005C51C2" w:rsidRPr="00D55DC6">
              <w:rPr>
                <w:rFonts w:eastAsia="標楷體" w:hint="eastAsia"/>
                <w:sz w:val="28"/>
                <w:szCs w:val="28"/>
              </w:rPr>
              <w:t>定</w:t>
            </w:r>
            <w:r w:rsidRPr="00D55DC6">
              <w:rPr>
                <w:rFonts w:eastAsia="標楷體"/>
                <w:sz w:val="28"/>
                <w:szCs w:val="28"/>
              </w:rPr>
              <w:t>理賠件數上限</w:t>
            </w:r>
            <w:r w:rsidRPr="00D55DC6">
              <w:rPr>
                <w:rFonts w:eastAsia="標楷體"/>
                <w:sz w:val="28"/>
                <w:szCs w:val="28"/>
              </w:rPr>
              <w:t>(</w:t>
            </w:r>
            <w:r w:rsidRPr="00D55DC6">
              <w:rPr>
                <w:rFonts w:eastAsia="標楷體"/>
                <w:sz w:val="28"/>
                <w:szCs w:val="28"/>
              </w:rPr>
              <w:t>件</w:t>
            </w:r>
            <w:r w:rsidRPr="00D55DC6">
              <w:rPr>
                <w:rFonts w:eastAsia="標楷體"/>
                <w:sz w:val="28"/>
                <w:szCs w:val="28"/>
              </w:rPr>
              <w:t>)</w:t>
            </w:r>
          </w:p>
        </w:tc>
        <w:tc>
          <w:tcPr>
            <w:tcW w:w="86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F5D4E" w:rsidRPr="00D55DC6" w:rsidRDefault="00DF1B27">
            <w:pPr>
              <w:jc w:val="center"/>
              <w:rPr>
                <w:rFonts w:ascii="新細明體" w:hAnsi="新細明體" w:cs="新細明體"/>
                <w:sz w:val="28"/>
              </w:rPr>
            </w:pPr>
            <w:r w:rsidRPr="00D55DC6">
              <w:rPr>
                <w:rFonts w:ascii="新細明體" w:hAnsi="新細明體" w:cs="新細明體" w:hint="eastAsia"/>
                <w:sz w:val="28"/>
              </w:rPr>
              <w:t>-</w:t>
            </w:r>
          </w:p>
        </w:tc>
        <w:tc>
          <w:tcPr>
            <w:tcW w:w="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F5D4E" w:rsidRPr="00D55DC6" w:rsidRDefault="00DF1B27">
            <w:pPr>
              <w:jc w:val="center"/>
              <w:rPr>
                <w:rFonts w:ascii="新細明體" w:hAnsi="新細明體" w:cs="新細明體"/>
                <w:sz w:val="28"/>
              </w:rPr>
            </w:pPr>
            <w:r w:rsidRPr="00D55DC6">
              <w:rPr>
                <w:rFonts w:ascii="新細明體" w:hAnsi="新細明體" w:cs="新細明體" w:hint="eastAsia"/>
                <w:sz w:val="28"/>
              </w:rPr>
              <w:t>-</w:t>
            </w:r>
          </w:p>
        </w:tc>
        <w:tc>
          <w:tcPr>
            <w:tcW w:w="86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F5D4E" w:rsidRPr="00D55DC6" w:rsidRDefault="002F5D4E">
            <w:pPr>
              <w:jc w:val="center"/>
              <w:rPr>
                <w:rFonts w:ascii="新細明體" w:hAnsi="新細明體" w:cs="新細明體"/>
                <w:sz w:val="28"/>
              </w:rPr>
            </w:pPr>
            <w:r w:rsidRPr="00D55DC6">
              <w:rPr>
                <w:rFonts w:hint="eastAsia"/>
                <w:sz w:val="28"/>
              </w:rPr>
              <w:t>2</w:t>
            </w:r>
          </w:p>
        </w:tc>
        <w:tc>
          <w:tcPr>
            <w:tcW w:w="86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F5D4E" w:rsidRPr="00D55DC6" w:rsidRDefault="002F5D4E">
            <w:pPr>
              <w:jc w:val="center"/>
              <w:rPr>
                <w:rFonts w:ascii="新細明體" w:hAnsi="新細明體" w:cs="新細明體"/>
                <w:sz w:val="28"/>
              </w:rPr>
            </w:pPr>
            <w:r w:rsidRPr="00D55DC6">
              <w:rPr>
                <w:rFonts w:hint="eastAsia"/>
                <w:sz w:val="28"/>
              </w:rPr>
              <w:t>2</w:t>
            </w:r>
          </w:p>
        </w:tc>
        <w:tc>
          <w:tcPr>
            <w:tcW w:w="86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F5D4E" w:rsidRPr="00D55DC6" w:rsidRDefault="002F5D4E">
            <w:pPr>
              <w:jc w:val="center"/>
              <w:rPr>
                <w:rFonts w:ascii="新細明體" w:hAnsi="新細明體" w:cs="新細明體"/>
                <w:sz w:val="28"/>
              </w:rPr>
            </w:pPr>
            <w:r w:rsidRPr="00D55DC6">
              <w:rPr>
                <w:rFonts w:hint="eastAsia"/>
                <w:sz w:val="28"/>
              </w:rPr>
              <w:t>2</w:t>
            </w:r>
          </w:p>
        </w:tc>
        <w:tc>
          <w:tcPr>
            <w:tcW w:w="86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F5D4E" w:rsidRPr="00D55DC6" w:rsidRDefault="005C51C2">
            <w:pPr>
              <w:jc w:val="center"/>
              <w:rPr>
                <w:rFonts w:ascii="新細明體" w:hAnsi="新細明體" w:cs="新細明體"/>
                <w:sz w:val="28"/>
              </w:rPr>
            </w:pPr>
            <w:r w:rsidRPr="00D55DC6">
              <w:rPr>
                <w:rFonts w:hint="eastAsia"/>
                <w:sz w:val="28"/>
              </w:rPr>
              <w:t>2</w:t>
            </w:r>
          </w:p>
        </w:tc>
      </w:tr>
    </w:tbl>
    <w:p w:rsidR="00900BF1" w:rsidRPr="00D55DC6" w:rsidRDefault="00900BF1" w:rsidP="00F37248">
      <w:pPr>
        <w:snapToGrid w:val="0"/>
        <w:spacing w:line="460" w:lineRule="exact"/>
        <w:jc w:val="both"/>
        <w:rPr>
          <w:rFonts w:eastAsia="標楷體"/>
          <w:sz w:val="28"/>
          <w:szCs w:val="28"/>
        </w:rPr>
      </w:pPr>
    </w:p>
    <w:p w:rsidR="00261ADB" w:rsidRPr="00D55DC6" w:rsidRDefault="00261ADB" w:rsidP="0038165F">
      <w:pPr>
        <w:pStyle w:val="a"/>
        <w:numPr>
          <w:ilvl w:val="0"/>
          <w:numId w:val="20"/>
        </w:numPr>
        <w:ind w:left="709" w:hanging="709"/>
        <w:rPr>
          <w:b/>
        </w:rPr>
      </w:pPr>
      <w:bookmarkStart w:id="64" w:name="_Toc407181642"/>
      <w:r w:rsidRPr="00D55DC6">
        <w:rPr>
          <w:b/>
        </w:rPr>
        <w:t>現行相關政策及方案之檢討</w:t>
      </w:r>
      <w:bookmarkEnd w:id="64"/>
    </w:p>
    <w:p w:rsidR="00261ADB" w:rsidRPr="00D55DC6" w:rsidRDefault="00261ADB" w:rsidP="0038165F">
      <w:pPr>
        <w:pStyle w:val="af2"/>
        <w:numPr>
          <w:ilvl w:val="0"/>
          <w:numId w:val="30"/>
        </w:numPr>
        <w:snapToGrid w:val="0"/>
        <w:spacing w:line="460" w:lineRule="exact"/>
        <w:ind w:leftChars="0"/>
        <w:jc w:val="both"/>
        <w:rPr>
          <w:rFonts w:eastAsia="標楷體"/>
          <w:sz w:val="28"/>
          <w:szCs w:val="28"/>
        </w:rPr>
      </w:pPr>
      <w:r w:rsidRPr="00D55DC6">
        <w:rPr>
          <w:rFonts w:eastAsia="標楷體"/>
          <w:b/>
          <w:sz w:val="28"/>
          <w:szCs w:val="28"/>
        </w:rPr>
        <w:t>重要觀光景點建設中程計畫</w:t>
      </w:r>
      <w:r w:rsidRPr="00D55DC6">
        <w:rPr>
          <w:rFonts w:eastAsia="標楷體"/>
          <w:b/>
          <w:sz w:val="28"/>
          <w:szCs w:val="28"/>
        </w:rPr>
        <w:t>(101-104</w:t>
      </w:r>
      <w:r w:rsidRPr="00D55DC6">
        <w:rPr>
          <w:rFonts w:eastAsia="標楷體"/>
          <w:b/>
          <w:sz w:val="28"/>
          <w:szCs w:val="28"/>
        </w:rPr>
        <w:t>年</w:t>
      </w:r>
      <w:r w:rsidRPr="00D55DC6">
        <w:rPr>
          <w:rFonts w:eastAsia="標楷體"/>
          <w:b/>
          <w:sz w:val="28"/>
          <w:szCs w:val="28"/>
        </w:rPr>
        <w:t>)</w:t>
      </w:r>
    </w:p>
    <w:p w:rsidR="00261ADB" w:rsidRPr="00D55DC6" w:rsidRDefault="00261ADB" w:rsidP="0038165F">
      <w:pPr>
        <w:pStyle w:val="af2"/>
        <w:numPr>
          <w:ilvl w:val="0"/>
          <w:numId w:val="31"/>
        </w:numPr>
        <w:snapToGrid w:val="0"/>
        <w:spacing w:line="460" w:lineRule="exact"/>
        <w:ind w:leftChars="0"/>
        <w:jc w:val="both"/>
        <w:rPr>
          <w:rFonts w:eastAsia="標楷體"/>
          <w:b/>
          <w:sz w:val="28"/>
          <w:szCs w:val="28"/>
        </w:rPr>
      </w:pPr>
      <w:r w:rsidRPr="00D55DC6">
        <w:rPr>
          <w:rFonts w:eastAsia="標楷體"/>
          <w:b/>
          <w:sz w:val="28"/>
          <w:szCs w:val="28"/>
        </w:rPr>
        <w:t>預算執行情形</w:t>
      </w:r>
    </w:p>
    <w:p w:rsidR="00261ADB" w:rsidRPr="00D55DC6" w:rsidRDefault="00261ADB" w:rsidP="0038165F">
      <w:pPr>
        <w:pStyle w:val="af2"/>
        <w:snapToGrid w:val="0"/>
        <w:spacing w:line="460" w:lineRule="exact"/>
        <w:ind w:leftChars="0" w:left="785"/>
        <w:jc w:val="both"/>
        <w:rPr>
          <w:rFonts w:eastAsia="標楷體"/>
          <w:sz w:val="28"/>
          <w:szCs w:val="28"/>
        </w:rPr>
      </w:pPr>
      <w:r w:rsidRPr="00D55DC6">
        <w:rPr>
          <w:rFonts w:eastAsia="標楷體"/>
          <w:sz w:val="28"/>
          <w:szCs w:val="28"/>
        </w:rPr>
        <w:t>101</w:t>
      </w:r>
      <w:r w:rsidRPr="00D55DC6">
        <w:rPr>
          <w:rFonts w:eastAsia="標楷體"/>
          <w:sz w:val="28"/>
          <w:szCs w:val="28"/>
        </w:rPr>
        <w:t>年至</w:t>
      </w:r>
      <w:r w:rsidRPr="00D55DC6">
        <w:rPr>
          <w:rFonts w:eastAsia="標楷體"/>
          <w:sz w:val="28"/>
          <w:szCs w:val="28"/>
        </w:rPr>
        <w:t>103</w:t>
      </w:r>
      <w:r w:rsidRPr="00D55DC6">
        <w:rPr>
          <w:rFonts w:eastAsia="標楷體"/>
          <w:sz w:val="28"/>
          <w:szCs w:val="28"/>
        </w:rPr>
        <w:t>年</w:t>
      </w:r>
      <w:r w:rsidR="00325209" w:rsidRPr="00D55DC6">
        <w:rPr>
          <w:rFonts w:eastAsia="標楷體"/>
          <w:sz w:val="28"/>
          <w:szCs w:val="28"/>
        </w:rPr>
        <w:t>1</w:t>
      </w:r>
      <w:r w:rsidR="00E667FF" w:rsidRPr="00D55DC6">
        <w:rPr>
          <w:rFonts w:eastAsia="標楷體"/>
          <w:sz w:val="28"/>
          <w:szCs w:val="28"/>
        </w:rPr>
        <w:t>2</w:t>
      </w:r>
      <w:r w:rsidRPr="00D55DC6">
        <w:rPr>
          <w:rFonts w:eastAsia="標楷體"/>
          <w:sz w:val="28"/>
          <w:szCs w:val="28"/>
        </w:rPr>
        <w:t>月總累計編列數計</w:t>
      </w:r>
    </w:p>
    <w:tbl>
      <w:tblPr>
        <w:tblStyle w:val="a6"/>
        <w:tblW w:w="0" w:type="auto"/>
        <w:tblInd w:w="817" w:type="dxa"/>
        <w:tblLook w:val="04A0" w:firstRow="1" w:lastRow="0" w:firstColumn="1" w:lastColumn="0" w:noHBand="0" w:noVBand="1"/>
      </w:tblPr>
      <w:tblGrid>
        <w:gridCol w:w="3513"/>
        <w:gridCol w:w="1701"/>
        <w:gridCol w:w="1701"/>
        <w:gridCol w:w="1082"/>
      </w:tblGrid>
      <w:tr w:rsidR="001D0350" w:rsidRPr="00D55DC6" w:rsidTr="00261ADB">
        <w:tc>
          <w:tcPr>
            <w:tcW w:w="3513" w:type="dxa"/>
            <w:tcBorders>
              <w:top w:val="single" w:sz="4" w:space="0" w:color="auto"/>
              <w:left w:val="single" w:sz="4" w:space="0" w:color="auto"/>
              <w:bottom w:val="single" w:sz="4" w:space="0" w:color="auto"/>
              <w:right w:val="single" w:sz="4" w:space="0" w:color="auto"/>
            </w:tcBorders>
            <w:vAlign w:val="center"/>
            <w:hideMark/>
          </w:tcPr>
          <w:p w:rsidR="00325209" w:rsidRPr="00D55DC6" w:rsidRDefault="00325209" w:rsidP="0038165F">
            <w:pPr>
              <w:snapToGrid w:val="0"/>
              <w:jc w:val="center"/>
              <w:rPr>
                <w:rFonts w:eastAsia="標楷體"/>
                <w:szCs w:val="28"/>
              </w:rPr>
            </w:pPr>
            <w:r w:rsidRPr="00D55DC6">
              <w:rPr>
                <w:rFonts w:eastAsia="標楷體"/>
                <w:szCs w:val="28"/>
              </w:rPr>
              <w:t>計畫名稱</w:t>
            </w:r>
          </w:p>
        </w:tc>
        <w:tc>
          <w:tcPr>
            <w:tcW w:w="1701" w:type="dxa"/>
            <w:tcBorders>
              <w:top w:val="single" w:sz="4" w:space="0" w:color="auto"/>
              <w:left w:val="single" w:sz="4" w:space="0" w:color="auto"/>
              <w:bottom w:val="single" w:sz="4" w:space="0" w:color="auto"/>
              <w:right w:val="single" w:sz="4" w:space="0" w:color="auto"/>
            </w:tcBorders>
            <w:hideMark/>
          </w:tcPr>
          <w:p w:rsidR="00325209" w:rsidRPr="00D55DC6" w:rsidRDefault="00325209" w:rsidP="0038165F">
            <w:pPr>
              <w:snapToGrid w:val="0"/>
              <w:jc w:val="center"/>
              <w:rPr>
                <w:rFonts w:eastAsia="標楷體"/>
                <w:szCs w:val="28"/>
              </w:rPr>
            </w:pPr>
            <w:r w:rsidRPr="00D55DC6">
              <w:rPr>
                <w:rFonts w:eastAsia="標楷體"/>
                <w:szCs w:val="28"/>
              </w:rPr>
              <w:t>總累計編列數</w:t>
            </w:r>
            <w:r w:rsidRPr="00D55DC6">
              <w:rPr>
                <w:rFonts w:eastAsia="標楷體"/>
                <w:szCs w:val="28"/>
              </w:rPr>
              <w:t>(A)</w:t>
            </w:r>
          </w:p>
        </w:tc>
        <w:tc>
          <w:tcPr>
            <w:tcW w:w="1701" w:type="dxa"/>
            <w:tcBorders>
              <w:top w:val="single" w:sz="4" w:space="0" w:color="auto"/>
              <w:left w:val="single" w:sz="4" w:space="0" w:color="auto"/>
              <w:bottom w:val="single" w:sz="4" w:space="0" w:color="auto"/>
              <w:right w:val="single" w:sz="4" w:space="0" w:color="auto"/>
            </w:tcBorders>
            <w:hideMark/>
          </w:tcPr>
          <w:p w:rsidR="00325209" w:rsidRPr="00D55DC6" w:rsidRDefault="00325209" w:rsidP="0038165F">
            <w:pPr>
              <w:snapToGrid w:val="0"/>
              <w:jc w:val="center"/>
              <w:rPr>
                <w:rFonts w:eastAsia="標楷體"/>
                <w:szCs w:val="28"/>
              </w:rPr>
            </w:pPr>
            <w:r w:rsidRPr="00D55DC6">
              <w:rPr>
                <w:rFonts w:eastAsia="標楷體"/>
                <w:szCs w:val="28"/>
              </w:rPr>
              <w:t>總累計實支數</w:t>
            </w:r>
            <w:r w:rsidRPr="00D55DC6">
              <w:rPr>
                <w:rFonts w:eastAsia="標楷體"/>
                <w:szCs w:val="28"/>
              </w:rPr>
              <w:t>(B)</w:t>
            </w:r>
          </w:p>
        </w:tc>
        <w:tc>
          <w:tcPr>
            <w:tcW w:w="1082" w:type="dxa"/>
            <w:tcBorders>
              <w:top w:val="single" w:sz="4" w:space="0" w:color="auto"/>
              <w:left w:val="single" w:sz="4" w:space="0" w:color="auto"/>
              <w:bottom w:val="single" w:sz="4" w:space="0" w:color="auto"/>
              <w:right w:val="single" w:sz="4" w:space="0" w:color="auto"/>
            </w:tcBorders>
            <w:hideMark/>
          </w:tcPr>
          <w:p w:rsidR="00325209" w:rsidRPr="00D55DC6" w:rsidRDefault="00325209" w:rsidP="0038165F">
            <w:pPr>
              <w:snapToGrid w:val="0"/>
              <w:jc w:val="center"/>
              <w:rPr>
                <w:rFonts w:eastAsia="標楷體"/>
                <w:szCs w:val="28"/>
              </w:rPr>
            </w:pPr>
            <w:r w:rsidRPr="00D55DC6">
              <w:rPr>
                <w:rFonts w:eastAsia="標楷體"/>
                <w:szCs w:val="28"/>
              </w:rPr>
              <w:t>支用比</w:t>
            </w:r>
          </w:p>
          <w:p w:rsidR="00325209" w:rsidRPr="00D55DC6" w:rsidRDefault="00325209" w:rsidP="0038165F">
            <w:pPr>
              <w:snapToGrid w:val="0"/>
              <w:jc w:val="center"/>
              <w:rPr>
                <w:rFonts w:eastAsia="標楷體"/>
                <w:szCs w:val="28"/>
              </w:rPr>
            </w:pPr>
            <w:r w:rsidRPr="00D55DC6">
              <w:rPr>
                <w:rFonts w:eastAsia="標楷體"/>
                <w:szCs w:val="28"/>
              </w:rPr>
              <w:t>(B/A%)</w:t>
            </w:r>
          </w:p>
        </w:tc>
      </w:tr>
      <w:tr w:rsidR="001D0350" w:rsidRPr="00D55DC6" w:rsidTr="00261ADB">
        <w:tc>
          <w:tcPr>
            <w:tcW w:w="3513" w:type="dxa"/>
            <w:tcBorders>
              <w:top w:val="single" w:sz="4" w:space="0" w:color="auto"/>
              <w:left w:val="single" w:sz="4" w:space="0" w:color="auto"/>
              <w:bottom w:val="single" w:sz="4" w:space="0" w:color="auto"/>
              <w:right w:val="single" w:sz="4" w:space="0" w:color="auto"/>
            </w:tcBorders>
            <w:hideMark/>
          </w:tcPr>
          <w:p w:rsidR="00E667FF" w:rsidRPr="00D55DC6" w:rsidRDefault="00E667FF" w:rsidP="0038165F">
            <w:pPr>
              <w:snapToGrid w:val="0"/>
              <w:jc w:val="both"/>
              <w:rPr>
                <w:rFonts w:eastAsia="標楷體"/>
                <w:szCs w:val="28"/>
              </w:rPr>
            </w:pPr>
            <w:r w:rsidRPr="00D55DC6">
              <w:rPr>
                <w:rFonts w:eastAsia="標楷體"/>
                <w:szCs w:val="28"/>
              </w:rPr>
              <w:t>東北角暨宜蘭海岸國家風景區建設計畫</w:t>
            </w:r>
          </w:p>
        </w:tc>
        <w:tc>
          <w:tcPr>
            <w:tcW w:w="1701" w:type="dxa"/>
            <w:tcBorders>
              <w:top w:val="single" w:sz="4" w:space="0" w:color="auto"/>
              <w:left w:val="single" w:sz="4" w:space="0" w:color="auto"/>
              <w:bottom w:val="single" w:sz="4" w:space="0" w:color="auto"/>
              <w:right w:val="single" w:sz="4" w:space="0" w:color="auto"/>
            </w:tcBorders>
            <w:hideMark/>
          </w:tcPr>
          <w:p w:rsidR="00E667FF" w:rsidRPr="00D55DC6" w:rsidRDefault="00E667FF">
            <w:pPr>
              <w:jc w:val="center"/>
            </w:pPr>
            <w:r w:rsidRPr="00D55DC6">
              <w:t xml:space="preserve">4.50498 </w:t>
            </w:r>
          </w:p>
        </w:tc>
        <w:tc>
          <w:tcPr>
            <w:tcW w:w="1701" w:type="dxa"/>
            <w:tcBorders>
              <w:top w:val="single" w:sz="4" w:space="0" w:color="auto"/>
              <w:left w:val="single" w:sz="4" w:space="0" w:color="auto"/>
              <w:bottom w:val="single" w:sz="4" w:space="0" w:color="auto"/>
              <w:right w:val="single" w:sz="4" w:space="0" w:color="auto"/>
            </w:tcBorders>
            <w:hideMark/>
          </w:tcPr>
          <w:p w:rsidR="00E667FF" w:rsidRPr="00D55DC6" w:rsidRDefault="00E667FF">
            <w:pPr>
              <w:jc w:val="center"/>
            </w:pPr>
            <w:r w:rsidRPr="00D55DC6">
              <w:t xml:space="preserve">4.19438 </w:t>
            </w:r>
          </w:p>
        </w:tc>
        <w:tc>
          <w:tcPr>
            <w:tcW w:w="1082" w:type="dxa"/>
            <w:tcBorders>
              <w:top w:val="single" w:sz="4" w:space="0" w:color="auto"/>
              <w:left w:val="single" w:sz="4" w:space="0" w:color="auto"/>
              <w:bottom w:val="single" w:sz="4" w:space="0" w:color="auto"/>
              <w:right w:val="single" w:sz="4" w:space="0" w:color="auto"/>
            </w:tcBorders>
            <w:hideMark/>
          </w:tcPr>
          <w:p w:rsidR="00E667FF" w:rsidRPr="00D55DC6" w:rsidRDefault="00E667FF">
            <w:pPr>
              <w:jc w:val="center"/>
            </w:pPr>
            <w:r w:rsidRPr="00D55DC6">
              <w:t>93.11%</w:t>
            </w:r>
          </w:p>
        </w:tc>
      </w:tr>
    </w:tbl>
    <w:p w:rsidR="00261ADB" w:rsidRPr="00D55DC6" w:rsidRDefault="00261ADB" w:rsidP="0038165F">
      <w:pPr>
        <w:snapToGrid w:val="0"/>
        <w:ind w:leftChars="295" w:left="1315" w:hangingChars="253" w:hanging="607"/>
        <w:jc w:val="both"/>
        <w:rPr>
          <w:rFonts w:eastAsia="標楷體"/>
          <w:szCs w:val="28"/>
        </w:rPr>
      </w:pPr>
      <w:r w:rsidRPr="00D55DC6">
        <w:rPr>
          <w:rFonts w:eastAsia="標楷體"/>
          <w:szCs w:val="28"/>
        </w:rPr>
        <w:t>註</w:t>
      </w:r>
      <w:r w:rsidRPr="00D55DC6">
        <w:rPr>
          <w:rFonts w:eastAsia="標楷體"/>
          <w:szCs w:val="28"/>
        </w:rPr>
        <w:t xml:space="preserve"> 1.</w:t>
      </w:r>
      <w:r w:rsidRPr="00D55DC6">
        <w:rPr>
          <w:rFonts w:eastAsia="標楷體"/>
          <w:szCs w:val="28"/>
        </w:rPr>
        <w:t>「總累計編列數</w:t>
      </w:r>
      <w:r w:rsidRPr="00D55DC6">
        <w:rPr>
          <w:rFonts w:eastAsia="標楷體"/>
          <w:szCs w:val="28"/>
        </w:rPr>
        <w:t>(A)</w:t>
      </w:r>
      <w:r w:rsidRPr="00D55DC6">
        <w:rPr>
          <w:rFonts w:eastAsia="標楷體"/>
          <w:szCs w:val="28"/>
        </w:rPr>
        <w:t>」為</w:t>
      </w:r>
      <w:r w:rsidRPr="00D55DC6">
        <w:rPr>
          <w:rFonts w:eastAsia="標楷體"/>
          <w:szCs w:val="28"/>
        </w:rPr>
        <w:t>101</w:t>
      </w:r>
      <w:r w:rsidRPr="00D55DC6">
        <w:rPr>
          <w:rFonts w:eastAsia="標楷體"/>
          <w:szCs w:val="28"/>
        </w:rPr>
        <w:t>年</w:t>
      </w:r>
      <w:r w:rsidRPr="00D55DC6">
        <w:rPr>
          <w:rFonts w:eastAsia="標楷體"/>
          <w:szCs w:val="28"/>
        </w:rPr>
        <w:t>1</w:t>
      </w:r>
      <w:r w:rsidRPr="00D55DC6">
        <w:rPr>
          <w:rFonts w:eastAsia="標楷體"/>
          <w:szCs w:val="28"/>
        </w:rPr>
        <w:t>月至</w:t>
      </w:r>
      <w:r w:rsidRPr="00D55DC6">
        <w:rPr>
          <w:rFonts w:eastAsia="標楷體"/>
          <w:szCs w:val="28"/>
        </w:rPr>
        <w:t>103</w:t>
      </w:r>
      <w:r w:rsidRPr="00D55DC6">
        <w:rPr>
          <w:rFonts w:eastAsia="標楷體"/>
          <w:szCs w:val="28"/>
        </w:rPr>
        <w:t>年</w:t>
      </w:r>
      <w:r w:rsidRPr="00D55DC6">
        <w:rPr>
          <w:rFonts w:eastAsia="標楷體"/>
          <w:szCs w:val="28"/>
        </w:rPr>
        <w:t>1</w:t>
      </w:r>
      <w:r w:rsidR="00E667FF" w:rsidRPr="00D55DC6">
        <w:rPr>
          <w:rFonts w:eastAsia="標楷體"/>
          <w:szCs w:val="28"/>
        </w:rPr>
        <w:t>2</w:t>
      </w:r>
      <w:r w:rsidRPr="00D55DC6">
        <w:rPr>
          <w:rFonts w:eastAsia="標楷體"/>
          <w:szCs w:val="28"/>
        </w:rPr>
        <w:t>月累計實際可支用數。</w:t>
      </w:r>
    </w:p>
    <w:p w:rsidR="00261ADB" w:rsidRPr="00D55DC6" w:rsidRDefault="00261ADB" w:rsidP="0038165F">
      <w:pPr>
        <w:snapToGrid w:val="0"/>
        <w:jc w:val="both"/>
        <w:rPr>
          <w:rFonts w:eastAsia="標楷體"/>
          <w:szCs w:val="28"/>
        </w:rPr>
      </w:pPr>
      <w:r w:rsidRPr="00D55DC6">
        <w:rPr>
          <w:rFonts w:eastAsia="標楷體"/>
          <w:szCs w:val="28"/>
        </w:rPr>
        <w:t xml:space="preserve">         2.</w:t>
      </w:r>
      <w:r w:rsidRPr="00D55DC6">
        <w:rPr>
          <w:rFonts w:eastAsia="標楷體"/>
          <w:szCs w:val="28"/>
        </w:rPr>
        <w:t>「總累計實支數</w:t>
      </w:r>
      <w:r w:rsidRPr="00D55DC6">
        <w:rPr>
          <w:rFonts w:eastAsia="標楷體"/>
          <w:szCs w:val="28"/>
        </w:rPr>
        <w:t>(B)</w:t>
      </w:r>
      <w:r w:rsidRPr="00D55DC6">
        <w:rPr>
          <w:rFonts w:eastAsia="標楷體"/>
          <w:szCs w:val="28"/>
        </w:rPr>
        <w:t>」為</w:t>
      </w:r>
      <w:r w:rsidRPr="00D55DC6">
        <w:rPr>
          <w:rFonts w:eastAsia="標楷體"/>
          <w:szCs w:val="28"/>
        </w:rPr>
        <w:t>101</w:t>
      </w:r>
      <w:r w:rsidRPr="00D55DC6">
        <w:rPr>
          <w:rFonts w:eastAsia="標楷體"/>
          <w:szCs w:val="28"/>
        </w:rPr>
        <w:t>年</w:t>
      </w:r>
      <w:r w:rsidRPr="00D55DC6">
        <w:rPr>
          <w:rFonts w:eastAsia="標楷體"/>
          <w:szCs w:val="28"/>
        </w:rPr>
        <w:t>1</w:t>
      </w:r>
      <w:r w:rsidRPr="00D55DC6">
        <w:rPr>
          <w:rFonts w:eastAsia="標楷體"/>
          <w:szCs w:val="28"/>
        </w:rPr>
        <w:t>月至</w:t>
      </w:r>
      <w:r w:rsidRPr="00D55DC6">
        <w:rPr>
          <w:rFonts w:eastAsia="標楷體"/>
          <w:szCs w:val="28"/>
        </w:rPr>
        <w:t>103</w:t>
      </w:r>
      <w:r w:rsidRPr="00D55DC6">
        <w:rPr>
          <w:rFonts w:eastAsia="標楷體"/>
          <w:szCs w:val="28"/>
        </w:rPr>
        <w:t>年</w:t>
      </w:r>
      <w:r w:rsidRPr="00D55DC6">
        <w:rPr>
          <w:rFonts w:eastAsia="標楷體"/>
          <w:szCs w:val="28"/>
        </w:rPr>
        <w:t>1</w:t>
      </w:r>
      <w:r w:rsidR="00E667FF" w:rsidRPr="00D55DC6">
        <w:rPr>
          <w:rFonts w:eastAsia="標楷體"/>
          <w:szCs w:val="28"/>
        </w:rPr>
        <w:t>2</w:t>
      </w:r>
      <w:r w:rsidRPr="00D55DC6">
        <w:rPr>
          <w:rFonts w:eastAsia="標楷體"/>
          <w:szCs w:val="28"/>
        </w:rPr>
        <w:t>月累計實支數。</w:t>
      </w:r>
    </w:p>
    <w:p w:rsidR="00261ADB" w:rsidRPr="00D55DC6" w:rsidRDefault="00261ADB" w:rsidP="0038165F">
      <w:pPr>
        <w:snapToGrid w:val="0"/>
        <w:jc w:val="both"/>
        <w:rPr>
          <w:rFonts w:eastAsia="標楷體"/>
          <w:szCs w:val="28"/>
        </w:rPr>
      </w:pPr>
    </w:p>
    <w:p w:rsidR="00261ADB" w:rsidRPr="00D55DC6" w:rsidRDefault="00261ADB" w:rsidP="0038165F">
      <w:pPr>
        <w:pStyle w:val="af2"/>
        <w:numPr>
          <w:ilvl w:val="0"/>
          <w:numId w:val="31"/>
        </w:numPr>
        <w:snapToGrid w:val="0"/>
        <w:spacing w:line="460" w:lineRule="exact"/>
        <w:ind w:leftChars="0"/>
        <w:jc w:val="both"/>
        <w:rPr>
          <w:rFonts w:eastAsia="標楷體"/>
          <w:b/>
          <w:sz w:val="28"/>
          <w:szCs w:val="28"/>
        </w:rPr>
      </w:pPr>
      <w:r w:rsidRPr="00D55DC6">
        <w:rPr>
          <w:rFonts w:eastAsia="標楷體"/>
          <w:b/>
          <w:sz w:val="28"/>
          <w:szCs w:val="28"/>
        </w:rPr>
        <w:t>重要執行成果</w:t>
      </w:r>
      <w:r w:rsidRPr="00D55DC6">
        <w:rPr>
          <w:rFonts w:eastAsia="標楷體"/>
          <w:b/>
          <w:sz w:val="28"/>
          <w:szCs w:val="28"/>
        </w:rPr>
        <w:t xml:space="preserve"> </w:t>
      </w:r>
    </w:p>
    <w:p w:rsidR="00261ADB" w:rsidRPr="00D55DC6" w:rsidRDefault="00261ADB" w:rsidP="0038165F">
      <w:pPr>
        <w:snapToGrid w:val="0"/>
        <w:spacing w:line="460" w:lineRule="exact"/>
        <w:ind w:firstLineChars="354" w:firstLine="992"/>
        <w:jc w:val="both"/>
        <w:rPr>
          <w:rFonts w:eastAsia="標楷體"/>
          <w:b/>
          <w:sz w:val="28"/>
          <w:szCs w:val="28"/>
        </w:rPr>
      </w:pPr>
      <w:r w:rsidRPr="00D55DC6">
        <w:rPr>
          <w:rFonts w:eastAsia="標楷體"/>
          <w:b/>
          <w:sz w:val="28"/>
          <w:szCs w:val="28"/>
        </w:rPr>
        <w:t>2-1</w:t>
      </w:r>
      <w:r w:rsidR="004F11A6" w:rsidRPr="00D55DC6">
        <w:rPr>
          <w:rFonts w:eastAsia="標楷體"/>
          <w:b/>
          <w:sz w:val="28"/>
          <w:szCs w:val="28"/>
        </w:rPr>
        <w:t>.</w:t>
      </w:r>
      <w:r w:rsidRPr="00D55DC6">
        <w:rPr>
          <w:rFonts w:eastAsia="標楷體"/>
          <w:b/>
          <w:sz w:val="28"/>
          <w:szCs w:val="28"/>
        </w:rPr>
        <w:t>國際觀光重要景點建設：</w:t>
      </w:r>
    </w:p>
    <w:p w:rsidR="00261ADB" w:rsidRPr="00D55DC6" w:rsidRDefault="00261ADB" w:rsidP="0038165F">
      <w:pPr>
        <w:snapToGrid w:val="0"/>
        <w:spacing w:line="460" w:lineRule="exact"/>
        <w:ind w:leftChars="650" w:left="2409" w:hangingChars="303" w:hanging="849"/>
        <w:jc w:val="both"/>
        <w:rPr>
          <w:rFonts w:eastAsia="標楷體"/>
          <w:sz w:val="28"/>
          <w:szCs w:val="28"/>
        </w:rPr>
      </w:pPr>
      <w:r w:rsidRPr="00D55DC6">
        <w:rPr>
          <w:rFonts w:eastAsia="標楷體"/>
          <w:b/>
          <w:sz w:val="28"/>
          <w:szCs w:val="28"/>
        </w:rPr>
        <w:t>2-1-1.</w:t>
      </w:r>
      <w:r w:rsidRPr="00D55DC6">
        <w:rPr>
          <w:rFonts w:eastAsia="標楷體"/>
          <w:b/>
          <w:sz w:val="28"/>
          <w:szCs w:val="28"/>
        </w:rPr>
        <w:t>福隆遊憩區服務設施改善</w:t>
      </w:r>
      <w:r w:rsidRPr="00D55DC6">
        <w:rPr>
          <w:rFonts w:eastAsia="標楷體"/>
          <w:sz w:val="28"/>
          <w:szCs w:val="28"/>
        </w:rPr>
        <w:t>：鼻頭步道整修工程（南雅至龍洞岬登山步道工程）、龍洞遊艇港周邊設施改善工程、龍門鹽寮自行車道興建工程</w:t>
      </w:r>
      <w:r w:rsidRPr="00D55DC6">
        <w:rPr>
          <w:rFonts w:eastAsia="標楷體"/>
          <w:sz w:val="28"/>
          <w:szCs w:val="28"/>
        </w:rPr>
        <w:t>(</w:t>
      </w:r>
      <w:r w:rsidRPr="00D55DC6">
        <w:rPr>
          <w:rFonts w:eastAsia="標楷體"/>
          <w:sz w:val="28"/>
          <w:szCs w:val="28"/>
        </w:rPr>
        <w:t>龍門吊橋至台二線間及龍門鹽寮環狀連結</w:t>
      </w:r>
      <w:r w:rsidRPr="00D55DC6">
        <w:rPr>
          <w:rFonts w:eastAsia="標楷體"/>
          <w:sz w:val="28"/>
          <w:szCs w:val="28"/>
        </w:rPr>
        <w:t>)</w:t>
      </w:r>
      <w:r w:rsidRPr="00D55DC6">
        <w:rPr>
          <w:rFonts w:eastAsia="標楷體"/>
          <w:sz w:val="28"/>
          <w:szCs w:val="28"/>
        </w:rPr>
        <w:t>等</w:t>
      </w:r>
      <w:r w:rsidRPr="00D55DC6">
        <w:rPr>
          <w:rFonts w:eastAsia="標楷體"/>
          <w:sz w:val="28"/>
          <w:szCs w:val="28"/>
        </w:rPr>
        <w:t>3</w:t>
      </w:r>
      <w:r w:rsidRPr="00D55DC6">
        <w:rPr>
          <w:rFonts w:eastAsia="標楷體"/>
          <w:sz w:val="28"/>
          <w:szCs w:val="28"/>
        </w:rPr>
        <w:t>處。</w:t>
      </w:r>
    </w:p>
    <w:p w:rsidR="00261ADB" w:rsidRPr="00D55DC6" w:rsidRDefault="00261ADB" w:rsidP="0038165F">
      <w:pPr>
        <w:snapToGrid w:val="0"/>
        <w:spacing w:line="460" w:lineRule="exact"/>
        <w:ind w:leftChars="650" w:left="2409" w:hangingChars="303" w:hanging="849"/>
        <w:jc w:val="both"/>
        <w:rPr>
          <w:rFonts w:eastAsia="標楷體"/>
          <w:sz w:val="28"/>
          <w:szCs w:val="28"/>
        </w:rPr>
      </w:pPr>
      <w:r w:rsidRPr="00D55DC6">
        <w:rPr>
          <w:rFonts w:eastAsia="標楷體"/>
          <w:b/>
          <w:sz w:val="28"/>
          <w:szCs w:val="28"/>
        </w:rPr>
        <w:t>2-1-2.</w:t>
      </w:r>
      <w:r w:rsidRPr="00D55DC6">
        <w:rPr>
          <w:rFonts w:eastAsia="標楷體"/>
          <w:b/>
          <w:sz w:val="28"/>
          <w:szCs w:val="28"/>
        </w:rPr>
        <w:t>外澳及宜蘭濱海遊憩區服務設施改善</w:t>
      </w:r>
      <w:r w:rsidRPr="00D55DC6">
        <w:rPr>
          <w:rFonts w:eastAsia="標楷體"/>
          <w:sz w:val="28"/>
          <w:szCs w:val="28"/>
        </w:rPr>
        <w:t>：壯圍旅遊服務園區及周邊園區興建工程</w:t>
      </w:r>
      <w:r w:rsidRPr="00D55DC6">
        <w:rPr>
          <w:rFonts w:eastAsia="標楷體"/>
          <w:sz w:val="28"/>
          <w:szCs w:val="28"/>
        </w:rPr>
        <w:t>(</w:t>
      </w:r>
      <w:r w:rsidRPr="00D55DC6">
        <w:rPr>
          <w:rFonts w:eastAsia="標楷體"/>
          <w:sz w:val="28"/>
          <w:szCs w:val="28"/>
        </w:rPr>
        <w:t>第一期</w:t>
      </w:r>
      <w:r w:rsidRPr="00D55DC6">
        <w:rPr>
          <w:rFonts w:eastAsia="標楷體"/>
          <w:sz w:val="28"/>
          <w:szCs w:val="28"/>
        </w:rPr>
        <w:t>)</w:t>
      </w:r>
      <w:r w:rsidRPr="00D55DC6">
        <w:rPr>
          <w:rFonts w:eastAsia="標楷體"/>
          <w:sz w:val="28"/>
          <w:szCs w:val="28"/>
        </w:rPr>
        <w:t>、蘇澳公路入口意象工程</w:t>
      </w:r>
      <w:r w:rsidRPr="00D55DC6">
        <w:rPr>
          <w:rFonts w:eastAsia="標楷體"/>
          <w:sz w:val="28"/>
          <w:szCs w:val="28"/>
        </w:rPr>
        <w:t>(</w:t>
      </w:r>
      <w:r w:rsidRPr="00D55DC6">
        <w:rPr>
          <w:rFonts w:eastAsia="標楷體"/>
          <w:sz w:val="28"/>
          <w:szCs w:val="28"/>
        </w:rPr>
        <w:t>南方澳漁港景觀區改善</w:t>
      </w:r>
      <w:r w:rsidRPr="00D55DC6">
        <w:rPr>
          <w:rFonts w:eastAsia="標楷體"/>
          <w:sz w:val="28"/>
          <w:szCs w:val="28"/>
        </w:rPr>
        <w:t>)</w:t>
      </w:r>
      <w:r w:rsidRPr="00D55DC6">
        <w:rPr>
          <w:rFonts w:eastAsia="標楷體"/>
          <w:sz w:val="28"/>
          <w:szCs w:val="28"/>
        </w:rPr>
        <w:t>、壯圍旅遊服務園區周邊及停車場工程等</w:t>
      </w:r>
      <w:r w:rsidRPr="00D55DC6">
        <w:rPr>
          <w:rFonts w:eastAsia="標楷體"/>
          <w:sz w:val="28"/>
          <w:szCs w:val="28"/>
        </w:rPr>
        <w:t>3</w:t>
      </w:r>
      <w:r w:rsidRPr="00D55DC6">
        <w:rPr>
          <w:rFonts w:eastAsia="標楷體"/>
          <w:sz w:val="28"/>
          <w:szCs w:val="28"/>
        </w:rPr>
        <w:t>處。</w:t>
      </w:r>
    </w:p>
    <w:p w:rsidR="00261ADB" w:rsidRPr="00D55DC6" w:rsidRDefault="00261ADB" w:rsidP="0038165F">
      <w:pPr>
        <w:snapToGrid w:val="0"/>
        <w:spacing w:line="460" w:lineRule="exact"/>
        <w:ind w:firstLineChars="354" w:firstLine="992"/>
        <w:jc w:val="both"/>
        <w:rPr>
          <w:rFonts w:eastAsia="標楷體"/>
          <w:b/>
          <w:sz w:val="28"/>
          <w:szCs w:val="28"/>
        </w:rPr>
      </w:pPr>
      <w:r w:rsidRPr="00D55DC6">
        <w:rPr>
          <w:rFonts w:eastAsia="標楷體"/>
          <w:b/>
          <w:sz w:val="28"/>
          <w:szCs w:val="28"/>
        </w:rPr>
        <w:t>2-2</w:t>
      </w:r>
      <w:r w:rsidR="004F11A6" w:rsidRPr="00D55DC6">
        <w:rPr>
          <w:rFonts w:eastAsia="標楷體"/>
          <w:b/>
          <w:sz w:val="28"/>
          <w:szCs w:val="28"/>
        </w:rPr>
        <w:t>.</w:t>
      </w:r>
      <w:r w:rsidRPr="00D55DC6">
        <w:rPr>
          <w:rFonts w:eastAsia="標楷體"/>
          <w:b/>
          <w:sz w:val="28"/>
          <w:szCs w:val="28"/>
        </w:rPr>
        <w:t>辦理國內觀光重要景點建設：</w:t>
      </w:r>
    </w:p>
    <w:p w:rsidR="00261ADB" w:rsidRPr="00D55DC6" w:rsidRDefault="00261ADB" w:rsidP="0038165F">
      <w:pPr>
        <w:snapToGrid w:val="0"/>
        <w:spacing w:line="460" w:lineRule="exact"/>
        <w:ind w:leftChars="648" w:left="1561" w:hangingChars="2" w:hanging="6"/>
        <w:jc w:val="both"/>
        <w:rPr>
          <w:rFonts w:eastAsia="標楷體"/>
          <w:sz w:val="28"/>
          <w:szCs w:val="28"/>
        </w:rPr>
      </w:pPr>
      <w:r w:rsidRPr="00D55DC6">
        <w:rPr>
          <w:rFonts w:eastAsia="標楷體"/>
          <w:b/>
          <w:sz w:val="28"/>
          <w:szCs w:val="28"/>
        </w:rPr>
        <w:t>宜蘭濱海遊憩區周邊服務設施</w:t>
      </w:r>
      <w:r w:rsidR="004F11A6" w:rsidRPr="00D55DC6">
        <w:rPr>
          <w:rFonts w:eastAsia="標楷體"/>
          <w:sz w:val="28"/>
          <w:szCs w:val="28"/>
        </w:rPr>
        <w:t>：頂寮公園環湖步道銜接工程</w:t>
      </w:r>
      <w:r w:rsidRPr="00D55DC6">
        <w:rPr>
          <w:rFonts w:eastAsia="標楷體"/>
          <w:sz w:val="28"/>
          <w:szCs w:val="28"/>
        </w:rPr>
        <w:t>等</w:t>
      </w:r>
      <w:r w:rsidRPr="00D55DC6">
        <w:rPr>
          <w:rFonts w:eastAsia="標楷體"/>
          <w:sz w:val="28"/>
          <w:szCs w:val="28"/>
        </w:rPr>
        <w:t>1</w:t>
      </w:r>
      <w:r w:rsidRPr="00D55DC6">
        <w:rPr>
          <w:rFonts w:eastAsia="標楷體"/>
          <w:sz w:val="28"/>
          <w:szCs w:val="28"/>
        </w:rPr>
        <w:t>處</w:t>
      </w:r>
      <w:r w:rsidR="004F11A6" w:rsidRPr="00D55DC6">
        <w:rPr>
          <w:rFonts w:eastAsia="標楷體"/>
          <w:sz w:val="28"/>
          <w:szCs w:val="28"/>
        </w:rPr>
        <w:t>。</w:t>
      </w:r>
    </w:p>
    <w:p w:rsidR="00261ADB" w:rsidRPr="00D55DC6" w:rsidRDefault="00261ADB" w:rsidP="0038165F">
      <w:pPr>
        <w:snapToGrid w:val="0"/>
        <w:spacing w:line="460" w:lineRule="exact"/>
        <w:ind w:firstLineChars="354" w:firstLine="992"/>
        <w:jc w:val="both"/>
        <w:rPr>
          <w:rFonts w:eastAsia="標楷體"/>
          <w:b/>
          <w:sz w:val="28"/>
          <w:szCs w:val="28"/>
        </w:rPr>
      </w:pPr>
      <w:r w:rsidRPr="00D55DC6">
        <w:rPr>
          <w:rFonts w:eastAsia="標楷體"/>
          <w:b/>
          <w:sz w:val="28"/>
          <w:szCs w:val="28"/>
        </w:rPr>
        <w:t>2-3.</w:t>
      </w:r>
      <w:r w:rsidRPr="00D55DC6">
        <w:rPr>
          <w:rFonts w:eastAsia="標楷體"/>
          <w:b/>
          <w:sz w:val="28"/>
          <w:szCs w:val="28"/>
        </w:rPr>
        <w:t>地方觀光重要景點建設</w:t>
      </w:r>
    </w:p>
    <w:p w:rsidR="00261ADB" w:rsidRPr="00D55DC6" w:rsidRDefault="00261ADB" w:rsidP="0038165F">
      <w:pPr>
        <w:snapToGrid w:val="0"/>
        <w:spacing w:line="460" w:lineRule="exact"/>
        <w:ind w:leftChars="676" w:left="1622" w:firstLineChars="5" w:firstLine="14"/>
        <w:jc w:val="both"/>
        <w:rPr>
          <w:rFonts w:eastAsia="標楷體"/>
          <w:b/>
          <w:sz w:val="28"/>
          <w:szCs w:val="28"/>
        </w:rPr>
      </w:pPr>
      <w:r w:rsidRPr="00D55DC6">
        <w:rPr>
          <w:rFonts w:eastAsia="標楷體"/>
          <w:b/>
          <w:sz w:val="28"/>
          <w:szCs w:val="28"/>
        </w:rPr>
        <w:t>旅遊線沿線零星環境設施改善</w:t>
      </w:r>
      <w:r w:rsidRPr="00D55DC6">
        <w:rPr>
          <w:rFonts w:eastAsia="標楷體"/>
          <w:sz w:val="28"/>
          <w:szCs w:val="28"/>
        </w:rPr>
        <w:t>：鹽寮海濱公園設施改善工程、</w:t>
      </w:r>
      <w:r w:rsidRPr="00D55DC6">
        <w:rPr>
          <w:rFonts w:eastAsia="標楷體"/>
          <w:sz w:val="28"/>
          <w:szCs w:val="28"/>
        </w:rPr>
        <w:lastRenderedPageBreak/>
        <w:t>大溪海堤步道串聯工程、</w:t>
      </w:r>
      <w:r w:rsidRPr="00D55DC6">
        <w:rPr>
          <w:rFonts w:eastAsia="標楷體"/>
          <w:sz w:val="28"/>
          <w:szCs w:val="28"/>
        </w:rPr>
        <w:t>103</w:t>
      </w:r>
      <w:r w:rsidRPr="00D55DC6">
        <w:rPr>
          <w:rFonts w:eastAsia="標楷體"/>
          <w:sz w:val="28"/>
          <w:szCs w:val="28"/>
        </w:rPr>
        <w:t>年度遊憩景點設施維護工程等</w:t>
      </w:r>
      <w:r w:rsidRPr="00D55DC6">
        <w:rPr>
          <w:rFonts w:eastAsia="標楷體"/>
          <w:sz w:val="28"/>
          <w:szCs w:val="28"/>
        </w:rPr>
        <w:t>3</w:t>
      </w:r>
      <w:r w:rsidRPr="00D55DC6">
        <w:rPr>
          <w:rFonts w:eastAsia="標楷體"/>
          <w:sz w:val="28"/>
          <w:szCs w:val="28"/>
        </w:rPr>
        <w:t>處。</w:t>
      </w:r>
    </w:p>
    <w:p w:rsidR="00261ADB" w:rsidRPr="00D55DC6" w:rsidRDefault="00261ADB" w:rsidP="0038165F">
      <w:pPr>
        <w:snapToGrid w:val="0"/>
        <w:spacing w:line="460" w:lineRule="exact"/>
        <w:ind w:firstLineChars="303" w:firstLine="849"/>
        <w:jc w:val="both"/>
        <w:rPr>
          <w:rFonts w:eastAsia="標楷體"/>
          <w:b/>
          <w:sz w:val="28"/>
          <w:szCs w:val="28"/>
        </w:rPr>
      </w:pPr>
      <w:r w:rsidRPr="00D55DC6">
        <w:rPr>
          <w:rFonts w:eastAsia="標楷體"/>
          <w:b/>
          <w:sz w:val="28"/>
          <w:szCs w:val="28"/>
        </w:rPr>
        <w:t>2-4.</w:t>
      </w:r>
      <w:r w:rsidRPr="00D55DC6">
        <w:rPr>
          <w:rFonts w:eastAsia="標楷體"/>
          <w:b/>
          <w:sz w:val="28"/>
          <w:szCs w:val="28"/>
        </w:rPr>
        <w:t>經營管理及行銷推廣</w:t>
      </w:r>
    </w:p>
    <w:p w:rsidR="00261ADB" w:rsidRPr="00D55DC6" w:rsidRDefault="004F11A6" w:rsidP="0038165F">
      <w:pPr>
        <w:snapToGrid w:val="0"/>
        <w:spacing w:line="460" w:lineRule="exact"/>
        <w:ind w:leftChars="650" w:left="2409" w:hangingChars="303" w:hanging="849"/>
        <w:jc w:val="both"/>
        <w:rPr>
          <w:rFonts w:eastAsia="標楷體"/>
          <w:sz w:val="28"/>
          <w:szCs w:val="28"/>
        </w:rPr>
      </w:pPr>
      <w:r w:rsidRPr="00D55DC6">
        <w:rPr>
          <w:rFonts w:eastAsia="標楷體"/>
          <w:b/>
          <w:sz w:val="28"/>
          <w:szCs w:val="28"/>
        </w:rPr>
        <w:t>2-4-1.</w:t>
      </w:r>
      <w:r w:rsidR="00261ADB" w:rsidRPr="00D55DC6">
        <w:rPr>
          <w:rFonts w:eastAsia="標楷體"/>
          <w:b/>
          <w:sz w:val="28"/>
          <w:szCs w:val="28"/>
        </w:rPr>
        <w:t>用地取得</w:t>
      </w:r>
      <w:r w:rsidR="00261ADB" w:rsidRPr="00D55DC6">
        <w:rPr>
          <w:rFonts w:eastAsia="標楷體"/>
          <w:sz w:val="28"/>
          <w:szCs w:val="28"/>
        </w:rPr>
        <w:t>：完成宜蘭濱海遊憩區沿線遊憩服務設施</w:t>
      </w:r>
      <w:r w:rsidR="00261ADB" w:rsidRPr="00D55DC6">
        <w:rPr>
          <w:rFonts w:eastAsia="標楷體"/>
          <w:sz w:val="28"/>
          <w:szCs w:val="28"/>
        </w:rPr>
        <w:t>(</w:t>
      </w:r>
      <w:r w:rsidR="00261ADB" w:rsidRPr="00D55DC6">
        <w:rPr>
          <w:rFonts w:eastAsia="標楷體"/>
          <w:sz w:val="28"/>
          <w:szCs w:val="28"/>
        </w:rPr>
        <w:t>如壯圍旅遊服務園區</w:t>
      </w:r>
      <w:r w:rsidR="00261ADB" w:rsidRPr="00D55DC6">
        <w:rPr>
          <w:rFonts w:eastAsia="標楷體"/>
          <w:sz w:val="28"/>
          <w:szCs w:val="28"/>
        </w:rPr>
        <w:t>)</w:t>
      </w:r>
      <w:r w:rsidR="00261ADB" w:rsidRPr="00D55DC6">
        <w:rPr>
          <w:rFonts w:eastAsia="標楷體"/>
          <w:sz w:val="28"/>
          <w:szCs w:val="28"/>
        </w:rPr>
        <w:t>、龍洞遊憩區鼻頭龍洞地質區</w:t>
      </w:r>
      <w:r w:rsidR="00261ADB" w:rsidRPr="00D55DC6">
        <w:rPr>
          <w:rFonts w:eastAsia="標楷體"/>
          <w:sz w:val="28"/>
          <w:szCs w:val="28"/>
        </w:rPr>
        <w:t>(</w:t>
      </w:r>
      <w:r w:rsidR="00261ADB" w:rsidRPr="00D55DC6">
        <w:rPr>
          <w:rFonts w:eastAsia="標楷體"/>
          <w:sz w:val="28"/>
          <w:szCs w:val="28"/>
        </w:rPr>
        <w:t>地質保護區</w:t>
      </w:r>
      <w:r w:rsidR="00261ADB" w:rsidRPr="00D55DC6">
        <w:rPr>
          <w:rFonts w:eastAsia="標楷體"/>
          <w:sz w:val="28"/>
          <w:szCs w:val="28"/>
        </w:rPr>
        <w:t>)</w:t>
      </w:r>
      <w:r w:rsidR="00261ADB" w:rsidRPr="00D55DC6">
        <w:rPr>
          <w:rFonts w:eastAsia="標楷體"/>
          <w:sz w:val="28"/>
          <w:szCs w:val="28"/>
        </w:rPr>
        <w:t>及福隆遊憩區</w:t>
      </w:r>
      <w:r w:rsidR="00261ADB" w:rsidRPr="00D55DC6">
        <w:rPr>
          <w:rFonts w:eastAsia="標楷體"/>
          <w:sz w:val="28"/>
          <w:szCs w:val="28"/>
        </w:rPr>
        <w:t>(</w:t>
      </w:r>
      <w:r w:rsidR="00261ADB" w:rsidRPr="00D55DC6">
        <w:rPr>
          <w:rFonts w:eastAsia="標楷體"/>
          <w:sz w:val="28"/>
          <w:szCs w:val="28"/>
        </w:rPr>
        <w:t>龍門露營區</w:t>
      </w:r>
      <w:r w:rsidR="00261ADB" w:rsidRPr="00D55DC6">
        <w:rPr>
          <w:rFonts w:eastAsia="標楷體"/>
          <w:sz w:val="28"/>
          <w:szCs w:val="28"/>
        </w:rPr>
        <w:t>)</w:t>
      </w:r>
      <w:r w:rsidR="00261ADB" w:rsidRPr="00D55DC6">
        <w:rPr>
          <w:rFonts w:eastAsia="標楷體"/>
          <w:sz w:val="28"/>
          <w:szCs w:val="28"/>
        </w:rPr>
        <w:t>等用地之取得。</w:t>
      </w:r>
    </w:p>
    <w:p w:rsidR="00261ADB" w:rsidRPr="00D55DC6" w:rsidRDefault="004F11A6" w:rsidP="0038165F">
      <w:pPr>
        <w:snapToGrid w:val="0"/>
        <w:spacing w:line="460" w:lineRule="exact"/>
        <w:ind w:leftChars="650" w:left="2409" w:hangingChars="303" w:hanging="849"/>
        <w:jc w:val="both"/>
        <w:rPr>
          <w:rFonts w:eastAsia="標楷體"/>
          <w:sz w:val="28"/>
          <w:szCs w:val="28"/>
        </w:rPr>
      </w:pPr>
      <w:r w:rsidRPr="00D55DC6">
        <w:rPr>
          <w:rFonts w:eastAsia="標楷體"/>
          <w:b/>
          <w:sz w:val="28"/>
          <w:szCs w:val="28"/>
        </w:rPr>
        <w:t>2-4-2.</w:t>
      </w:r>
      <w:r w:rsidR="00261ADB" w:rsidRPr="00D55DC6">
        <w:rPr>
          <w:rFonts w:eastAsia="標楷體"/>
          <w:b/>
          <w:sz w:val="28"/>
          <w:szCs w:val="28"/>
        </w:rPr>
        <w:t>先期規劃設計</w:t>
      </w:r>
      <w:r w:rsidR="00261ADB" w:rsidRPr="00D55DC6">
        <w:rPr>
          <w:rFonts w:eastAsia="標楷體"/>
          <w:sz w:val="28"/>
          <w:szCs w:val="28"/>
        </w:rPr>
        <w:t>：辦理蘇澳冷泉園區再造整體規劃、鹽寮海濱公園再造整體規劃、轄區入口意象整體規劃、轄區整體發展計畫及財務計畫、壯圍旅遊服務園區設施興建工程</w:t>
      </w:r>
      <w:r w:rsidR="00261ADB" w:rsidRPr="00D55DC6">
        <w:rPr>
          <w:rFonts w:eastAsia="標楷體"/>
          <w:sz w:val="28"/>
          <w:szCs w:val="28"/>
        </w:rPr>
        <w:t>(</w:t>
      </w:r>
      <w:r w:rsidR="00261ADB" w:rsidRPr="00D55DC6">
        <w:rPr>
          <w:rFonts w:eastAsia="標楷體"/>
          <w:sz w:val="28"/>
          <w:szCs w:val="28"/>
        </w:rPr>
        <w:t>第一期</w:t>
      </w:r>
      <w:r w:rsidR="00261ADB" w:rsidRPr="00D55DC6">
        <w:rPr>
          <w:rFonts w:eastAsia="標楷體"/>
          <w:sz w:val="28"/>
          <w:szCs w:val="28"/>
        </w:rPr>
        <w:t>)</w:t>
      </w:r>
      <w:r w:rsidR="00261ADB" w:rsidRPr="00D55DC6">
        <w:rPr>
          <w:rFonts w:eastAsia="標楷體"/>
          <w:sz w:val="28"/>
          <w:szCs w:val="28"/>
        </w:rPr>
        <w:t>規畫設計、龜山島南岸碼頭海域調查及設施改善計劃委託案及龜山島再造整體規畫委託技術服務案等案。</w:t>
      </w:r>
    </w:p>
    <w:p w:rsidR="00261ADB" w:rsidRPr="00D55DC6" w:rsidRDefault="004F11A6" w:rsidP="0038165F">
      <w:pPr>
        <w:snapToGrid w:val="0"/>
        <w:spacing w:line="460" w:lineRule="exact"/>
        <w:ind w:leftChars="650" w:left="2409" w:hangingChars="303" w:hanging="849"/>
        <w:jc w:val="both"/>
        <w:rPr>
          <w:rFonts w:eastAsia="標楷體"/>
          <w:sz w:val="28"/>
          <w:szCs w:val="28"/>
        </w:rPr>
      </w:pPr>
      <w:r w:rsidRPr="00D55DC6">
        <w:rPr>
          <w:rFonts w:eastAsia="標楷體"/>
          <w:b/>
          <w:sz w:val="28"/>
          <w:szCs w:val="28"/>
        </w:rPr>
        <w:t>2-4-3.</w:t>
      </w:r>
      <w:r w:rsidR="00261ADB" w:rsidRPr="00D55DC6">
        <w:rPr>
          <w:rFonts w:eastAsia="標楷體"/>
          <w:b/>
          <w:sz w:val="28"/>
          <w:szCs w:val="28"/>
        </w:rPr>
        <w:t>旅遊服務系統</w:t>
      </w:r>
      <w:r w:rsidR="00261ADB" w:rsidRPr="00D55DC6">
        <w:rPr>
          <w:rFonts w:eastAsia="標楷體"/>
          <w:sz w:val="28"/>
          <w:szCs w:val="28"/>
        </w:rPr>
        <w:t>：辦理解說展示設施、導覽解說及道路指標牌示等建置更新。</w:t>
      </w:r>
    </w:p>
    <w:p w:rsidR="00261ADB" w:rsidRPr="00D55DC6" w:rsidRDefault="004F11A6" w:rsidP="0038165F">
      <w:pPr>
        <w:snapToGrid w:val="0"/>
        <w:spacing w:line="460" w:lineRule="exact"/>
        <w:ind w:leftChars="650" w:left="2409" w:hangingChars="303" w:hanging="849"/>
        <w:jc w:val="both"/>
        <w:rPr>
          <w:rFonts w:eastAsia="標楷體"/>
          <w:sz w:val="28"/>
          <w:szCs w:val="28"/>
        </w:rPr>
      </w:pPr>
      <w:r w:rsidRPr="00D55DC6">
        <w:rPr>
          <w:rFonts w:eastAsia="標楷體"/>
          <w:b/>
          <w:sz w:val="28"/>
          <w:szCs w:val="28"/>
        </w:rPr>
        <w:t>2-4-4.</w:t>
      </w:r>
      <w:r w:rsidR="00261ADB" w:rsidRPr="00D55DC6">
        <w:rPr>
          <w:rFonts w:eastAsia="標楷體"/>
          <w:b/>
          <w:sz w:val="28"/>
          <w:szCs w:val="28"/>
        </w:rPr>
        <w:t>環境維護及設施維持</w:t>
      </w:r>
      <w:r w:rsidR="00261ADB" w:rsidRPr="00D55DC6">
        <w:rPr>
          <w:rFonts w:eastAsia="標楷體"/>
          <w:sz w:val="28"/>
          <w:szCs w:val="28"/>
        </w:rPr>
        <w:t>：提升整體旅遊環境品質，改善環境景觀美化及設施維護。</w:t>
      </w:r>
    </w:p>
    <w:p w:rsidR="00261ADB" w:rsidRPr="00D55DC6" w:rsidRDefault="004F11A6" w:rsidP="0038165F">
      <w:pPr>
        <w:snapToGrid w:val="0"/>
        <w:spacing w:line="460" w:lineRule="exact"/>
        <w:ind w:leftChars="650" w:left="2409" w:hangingChars="303" w:hanging="849"/>
        <w:jc w:val="both"/>
        <w:rPr>
          <w:rFonts w:eastAsia="標楷體"/>
          <w:sz w:val="28"/>
          <w:szCs w:val="28"/>
        </w:rPr>
      </w:pPr>
      <w:r w:rsidRPr="00D55DC6">
        <w:rPr>
          <w:rFonts w:eastAsia="標楷體"/>
          <w:b/>
          <w:sz w:val="28"/>
          <w:szCs w:val="28"/>
        </w:rPr>
        <w:t>2-4-5.</w:t>
      </w:r>
      <w:r w:rsidR="00261ADB" w:rsidRPr="00D55DC6">
        <w:rPr>
          <w:rFonts w:eastAsia="標楷體"/>
          <w:b/>
          <w:sz w:val="28"/>
          <w:szCs w:val="28"/>
        </w:rPr>
        <w:t>全區災害復舊及一般零星工程</w:t>
      </w:r>
      <w:r w:rsidR="00261ADB" w:rsidRPr="00D55DC6">
        <w:rPr>
          <w:rFonts w:eastAsia="標楷體"/>
          <w:sz w:val="28"/>
          <w:szCs w:val="28"/>
        </w:rPr>
        <w:t>：興辦其他零星工程，組構帶狀休憩景點，豐富遊憩內涵，提升整體旅遊環境品質。</w:t>
      </w:r>
    </w:p>
    <w:p w:rsidR="00261ADB" w:rsidRPr="00D55DC6" w:rsidRDefault="00261ADB" w:rsidP="0038165F">
      <w:pPr>
        <w:snapToGrid w:val="0"/>
        <w:spacing w:line="460" w:lineRule="exact"/>
        <w:ind w:firstLineChars="303" w:firstLine="849"/>
        <w:jc w:val="both"/>
        <w:rPr>
          <w:rFonts w:eastAsia="標楷體"/>
          <w:b/>
          <w:sz w:val="28"/>
          <w:szCs w:val="28"/>
        </w:rPr>
      </w:pPr>
      <w:r w:rsidRPr="00D55DC6">
        <w:rPr>
          <w:rFonts w:eastAsia="標楷體"/>
          <w:b/>
          <w:sz w:val="28"/>
          <w:szCs w:val="28"/>
        </w:rPr>
        <w:t>2-5.</w:t>
      </w:r>
      <w:r w:rsidRPr="00D55DC6">
        <w:rPr>
          <w:rFonts w:eastAsia="標楷體"/>
          <w:b/>
          <w:sz w:val="28"/>
          <w:szCs w:val="28"/>
        </w:rPr>
        <w:t>經營管理及行銷推廣</w:t>
      </w:r>
    </w:p>
    <w:p w:rsidR="00900BF1" w:rsidRPr="00D55DC6" w:rsidRDefault="00261ADB" w:rsidP="0038165F">
      <w:pPr>
        <w:pStyle w:val="af2"/>
        <w:snapToGrid w:val="0"/>
        <w:spacing w:line="460" w:lineRule="exact"/>
        <w:ind w:leftChars="605" w:left="2167" w:hangingChars="255" w:hanging="715"/>
        <w:jc w:val="both"/>
        <w:rPr>
          <w:rFonts w:eastAsia="標楷體"/>
          <w:b/>
          <w:bCs/>
          <w:sz w:val="28"/>
          <w:szCs w:val="28"/>
        </w:rPr>
      </w:pPr>
      <w:r w:rsidRPr="00D55DC6">
        <w:rPr>
          <w:rFonts w:eastAsia="標楷體"/>
          <w:b/>
          <w:bCs/>
          <w:sz w:val="28"/>
          <w:szCs w:val="28"/>
        </w:rPr>
        <w:t>2-5-1.</w:t>
      </w:r>
      <w:r w:rsidRPr="00D55DC6">
        <w:rPr>
          <w:rFonts w:eastAsia="標楷體"/>
          <w:b/>
          <w:bCs/>
          <w:sz w:val="28"/>
          <w:szCs w:val="28"/>
        </w:rPr>
        <w:t>強化優質旅遊環境：</w:t>
      </w:r>
    </w:p>
    <w:p w:rsidR="00261ADB" w:rsidRPr="00D55DC6" w:rsidRDefault="00900BF1" w:rsidP="0038165F">
      <w:pPr>
        <w:pStyle w:val="af2"/>
        <w:snapToGrid w:val="0"/>
        <w:spacing w:line="460" w:lineRule="exact"/>
        <w:ind w:leftChars="705" w:left="2693" w:hangingChars="357" w:hanging="1001"/>
        <w:jc w:val="both"/>
        <w:rPr>
          <w:rFonts w:eastAsia="標楷體"/>
          <w:b/>
          <w:bCs/>
          <w:sz w:val="28"/>
          <w:szCs w:val="28"/>
        </w:rPr>
      </w:pPr>
      <w:r w:rsidRPr="00D55DC6">
        <w:rPr>
          <w:rFonts w:eastAsia="標楷體"/>
          <w:b/>
          <w:bCs/>
          <w:sz w:val="28"/>
          <w:szCs w:val="28"/>
        </w:rPr>
        <w:t>2-5-1-1.</w:t>
      </w:r>
      <w:r w:rsidR="00261ADB" w:rsidRPr="00D55DC6">
        <w:rPr>
          <w:rFonts w:eastAsia="標楷體"/>
          <w:b/>
          <w:sz w:val="28"/>
          <w:szCs w:val="28"/>
        </w:rPr>
        <w:t>減量計畫</w:t>
      </w:r>
      <w:r w:rsidR="00261ADB" w:rsidRPr="00D55DC6">
        <w:rPr>
          <w:rFonts w:eastAsia="標楷體"/>
          <w:sz w:val="28"/>
          <w:szCs w:val="28"/>
        </w:rPr>
        <w:t>：加強海岸漂流物清理及再利用工作、改善不良景觀、加強閒置空間、設施再利用及出租。</w:t>
      </w:r>
    </w:p>
    <w:p w:rsidR="00261ADB" w:rsidRPr="00D55DC6" w:rsidRDefault="00900BF1" w:rsidP="0038165F">
      <w:pPr>
        <w:pStyle w:val="af2"/>
        <w:snapToGrid w:val="0"/>
        <w:spacing w:line="460" w:lineRule="exact"/>
        <w:ind w:leftChars="705" w:left="2693" w:hangingChars="357" w:hanging="1001"/>
        <w:jc w:val="both"/>
        <w:rPr>
          <w:rFonts w:eastAsia="標楷體"/>
          <w:sz w:val="28"/>
          <w:szCs w:val="28"/>
        </w:rPr>
      </w:pPr>
      <w:r w:rsidRPr="00D55DC6">
        <w:rPr>
          <w:rFonts w:eastAsia="標楷體"/>
          <w:b/>
          <w:sz w:val="28"/>
          <w:szCs w:val="28"/>
        </w:rPr>
        <w:t>2-5-1-2.</w:t>
      </w:r>
      <w:r w:rsidR="00261ADB" w:rsidRPr="00D55DC6">
        <w:rPr>
          <w:rFonts w:eastAsia="標楷體"/>
          <w:b/>
          <w:sz w:val="28"/>
          <w:szCs w:val="28"/>
        </w:rPr>
        <w:t>賡續建設改善環境</w:t>
      </w:r>
      <w:r w:rsidR="00261ADB" w:rsidRPr="00D55DC6">
        <w:rPr>
          <w:rFonts w:eastAsia="標楷體"/>
          <w:sz w:val="28"/>
          <w:szCs w:val="28"/>
        </w:rPr>
        <w:t>：辦理景點</w:t>
      </w:r>
      <w:r w:rsidR="00397CE7" w:rsidRPr="00D55DC6">
        <w:rPr>
          <w:rFonts w:eastAsia="標楷體"/>
          <w:sz w:val="28"/>
          <w:szCs w:val="28"/>
        </w:rPr>
        <w:t>周邊</w:t>
      </w:r>
      <w:r w:rsidR="00261ADB" w:rsidRPr="00D55DC6">
        <w:rPr>
          <w:rFonts w:eastAsia="標楷體"/>
          <w:sz w:val="28"/>
          <w:szCs w:val="28"/>
        </w:rPr>
        <w:t>環境改善、加強綠美化工作。</w:t>
      </w:r>
    </w:p>
    <w:p w:rsidR="00261ADB" w:rsidRPr="00D55DC6" w:rsidRDefault="00261ADB" w:rsidP="0038165F">
      <w:pPr>
        <w:pStyle w:val="af2"/>
        <w:snapToGrid w:val="0"/>
        <w:spacing w:line="460" w:lineRule="exact"/>
        <w:ind w:leftChars="605" w:left="2167" w:hangingChars="255" w:hanging="715"/>
        <w:jc w:val="both"/>
        <w:rPr>
          <w:rFonts w:eastAsia="標楷體"/>
          <w:b/>
          <w:bCs/>
          <w:sz w:val="28"/>
          <w:szCs w:val="28"/>
        </w:rPr>
      </w:pPr>
      <w:r w:rsidRPr="00D55DC6">
        <w:rPr>
          <w:rFonts w:eastAsia="標楷體"/>
          <w:b/>
          <w:bCs/>
          <w:sz w:val="28"/>
          <w:szCs w:val="28"/>
        </w:rPr>
        <w:t>2-5-2.</w:t>
      </w:r>
      <w:r w:rsidRPr="00D55DC6">
        <w:rPr>
          <w:rFonts w:eastAsia="標楷體"/>
          <w:b/>
          <w:bCs/>
          <w:sz w:val="28"/>
          <w:szCs w:val="28"/>
        </w:rPr>
        <w:t>創新行銷推廣</w:t>
      </w:r>
    </w:p>
    <w:p w:rsidR="00261ADB" w:rsidRPr="00D55DC6" w:rsidRDefault="00900BF1" w:rsidP="0038165F">
      <w:pPr>
        <w:pStyle w:val="af2"/>
        <w:snapToGrid w:val="0"/>
        <w:spacing w:line="460" w:lineRule="exact"/>
        <w:ind w:leftChars="705" w:left="2693" w:hangingChars="357" w:hanging="1001"/>
        <w:jc w:val="both"/>
        <w:rPr>
          <w:rFonts w:eastAsia="標楷體"/>
          <w:b/>
          <w:sz w:val="28"/>
          <w:szCs w:val="28"/>
        </w:rPr>
      </w:pPr>
      <w:r w:rsidRPr="00D55DC6">
        <w:rPr>
          <w:rFonts w:eastAsia="標楷體"/>
          <w:b/>
          <w:sz w:val="28"/>
          <w:szCs w:val="28"/>
        </w:rPr>
        <w:t>2-5-2-1.</w:t>
      </w:r>
      <w:r w:rsidR="00261ADB" w:rsidRPr="00D55DC6">
        <w:rPr>
          <w:rFonts w:eastAsia="標楷體"/>
          <w:b/>
          <w:sz w:val="28"/>
          <w:szCs w:val="28"/>
        </w:rPr>
        <w:t>舉辦多樣化活動與國際接軌：</w:t>
      </w:r>
      <w:r w:rsidR="00261ADB" w:rsidRPr="00D55DC6">
        <w:rPr>
          <w:rFonts w:eastAsia="標楷體"/>
          <w:sz w:val="28"/>
          <w:szCs w:val="28"/>
        </w:rPr>
        <w:t>如舉辦迎曙光音樂會、騎遇東北角單車逍遙遊、貢寮海洋音樂祭、福隆國際沙雕藝術季、草嶺古道芒花季、龍洞四季灣遊艇嘉年華等活動等，吸引大量遊客及國際人士前來，</w:t>
      </w:r>
      <w:r w:rsidR="00261ADB" w:rsidRPr="00D55DC6">
        <w:rPr>
          <w:rFonts w:eastAsia="標楷體"/>
          <w:sz w:val="28"/>
          <w:szCs w:val="28"/>
        </w:rPr>
        <w:lastRenderedPageBreak/>
        <w:t>帶動周邊觀光產業及經濟產值提升。</w:t>
      </w:r>
    </w:p>
    <w:p w:rsidR="00261ADB" w:rsidRPr="00D55DC6" w:rsidRDefault="00900BF1" w:rsidP="0038165F">
      <w:pPr>
        <w:pStyle w:val="af2"/>
        <w:snapToGrid w:val="0"/>
        <w:spacing w:line="460" w:lineRule="exact"/>
        <w:ind w:leftChars="705" w:left="2693" w:hangingChars="357" w:hanging="1001"/>
        <w:jc w:val="both"/>
        <w:rPr>
          <w:rFonts w:eastAsia="標楷體"/>
          <w:b/>
          <w:sz w:val="28"/>
          <w:szCs w:val="28"/>
        </w:rPr>
      </w:pPr>
      <w:r w:rsidRPr="00D55DC6">
        <w:rPr>
          <w:rFonts w:eastAsia="標楷體"/>
          <w:b/>
          <w:sz w:val="28"/>
          <w:szCs w:val="28"/>
        </w:rPr>
        <w:t>2-5-2-2.</w:t>
      </w:r>
      <w:r w:rsidR="00261ADB" w:rsidRPr="00D55DC6">
        <w:rPr>
          <w:rFonts w:eastAsia="標楷體"/>
          <w:b/>
          <w:sz w:val="28"/>
          <w:szCs w:val="28"/>
        </w:rPr>
        <w:t>深化遊憩主題：</w:t>
      </w:r>
      <w:r w:rsidR="00261ADB" w:rsidRPr="00D55DC6">
        <w:rPr>
          <w:rFonts w:eastAsia="標楷體"/>
          <w:sz w:val="28"/>
          <w:szCs w:val="28"/>
        </w:rPr>
        <w:t>加強產業結合、引進民間企業資源，管理處現有部分觀光據點，將以出借、出租、委託經營或辦理民間機構參與投資等方式，如福隆濱海旅館區興建暨營運案、石城縣界公園、外澳遊憩區、龍洞灣公園、龍洞南口海洋公園、鹽寮濱海公園、龍門露營區、大溪停車場等委外案，更能使公有財產利用民間企業投資參與將資產再生或活化、深耕臺灣文化觀光產業並國際化行銷。</w:t>
      </w:r>
    </w:p>
    <w:p w:rsidR="00261ADB" w:rsidRPr="00D55DC6" w:rsidRDefault="00900BF1" w:rsidP="0038165F">
      <w:pPr>
        <w:pStyle w:val="af2"/>
        <w:snapToGrid w:val="0"/>
        <w:spacing w:line="460" w:lineRule="exact"/>
        <w:ind w:leftChars="705" w:left="2693" w:hangingChars="357" w:hanging="1001"/>
        <w:jc w:val="both"/>
        <w:rPr>
          <w:rFonts w:eastAsia="標楷體"/>
          <w:b/>
          <w:sz w:val="28"/>
          <w:szCs w:val="28"/>
        </w:rPr>
      </w:pPr>
      <w:r w:rsidRPr="00D55DC6">
        <w:rPr>
          <w:rFonts w:eastAsia="標楷體"/>
          <w:b/>
          <w:sz w:val="28"/>
          <w:szCs w:val="28"/>
        </w:rPr>
        <w:t>2-5-2-3.</w:t>
      </w:r>
      <w:r w:rsidR="00261ADB" w:rsidRPr="00D55DC6">
        <w:rPr>
          <w:rFonts w:eastAsia="標楷體"/>
          <w:b/>
          <w:sz w:val="28"/>
          <w:szCs w:val="28"/>
        </w:rPr>
        <w:t>多元化的行銷管道：</w:t>
      </w:r>
      <w:r w:rsidR="00261ADB" w:rsidRPr="00D55DC6">
        <w:rPr>
          <w:rFonts w:eastAsia="標楷體"/>
          <w:sz w:val="28"/>
          <w:szCs w:val="28"/>
        </w:rPr>
        <w:t>委託拍攝「宜蘭濱海建設成果簡介」多媒體影帶作觀光遊憩推廣及</w:t>
      </w:r>
      <w:r w:rsidR="00261ADB" w:rsidRPr="00D55DC6">
        <w:rPr>
          <w:rFonts w:eastAsia="標楷體"/>
          <w:b/>
          <w:sz w:val="28"/>
          <w:szCs w:val="28"/>
        </w:rPr>
        <w:t>成果</w:t>
      </w:r>
      <w:r w:rsidR="00261ADB" w:rsidRPr="00D55DC6">
        <w:rPr>
          <w:rFonts w:eastAsia="標楷體"/>
          <w:sz w:val="28"/>
          <w:szCs w:val="28"/>
        </w:rPr>
        <w:t>攝影製作加強互動式行銷，網站改版強化行銷景點、活動及相關產業、台灣好行黃金福隆線套票網站整合行銷，並製作摺頁、導覽地圖、書籍等，以及協助電視台拍攝景點行銷轄區特色。</w:t>
      </w:r>
    </w:p>
    <w:p w:rsidR="00261ADB" w:rsidRPr="00D55DC6" w:rsidRDefault="00261ADB" w:rsidP="0038165F">
      <w:pPr>
        <w:pStyle w:val="af2"/>
        <w:snapToGrid w:val="0"/>
        <w:spacing w:line="460" w:lineRule="exact"/>
        <w:ind w:leftChars="0" w:left="1145"/>
        <w:jc w:val="both"/>
        <w:rPr>
          <w:rFonts w:eastAsia="標楷體"/>
          <w:sz w:val="28"/>
          <w:szCs w:val="28"/>
        </w:rPr>
      </w:pPr>
    </w:p>
    <w:p w:rsidR="00261ADB" w:rsidRPr="00D55DC6" w:rsidRDefault="00261ADB" w:rsidP="0038165F">
      <w:pPr>
        <w:pStyle w:val="a"/>
        <w:numPr>
          <w:ilvl w:val="0"/>
          <w:numId w:val="20"/>
        </w:numPr>
        <w:ind w:left="709" w:hanging="709"/>
        <w:rPr>
          <w:b/>
        </w:rPr>
      </w:pPr>
      <w:bookmarkStart w:id="65" w:name="_Toc407181643"/>
      <w:r w:rsidRPr="00D55DC6">
        <w:rPr>
          <w:b/>
        </w:rPr>
        <w:t>執行策略及方法</w:t>
      </w:r>
      <w:bookmarkEnd w:id="65"/>
    </w:p>
    <w:p w:rsidR="00261ADB" w:rsidRPr="00D55DC6" w:rsidRDefault="00261ADB" w:rsidP="0038165F">
      <w:pPr>
        <w:pStyle w:val="af2"/>
        <w:numPr>
          <w:ilvl w:val="0"/>
          <w:numId w:val="32"/>
        </w:numPr>
        <w:snapToGrid w:val="0"/>
        <w:spacing w:line="460" w:lineRule="exact"/>
        <w:ind w:leftChars="0"/>
        <w:jc w:val="both"/>
        <w:rPr>
          <w:rFonts w:eastAsia="標楷體"/>
          <w:b/>
          <w:sz w:val="28"/>
          <w:szCs w:val="28"/>
        </w:rPr>
      </w:pPr>
      <w:r w:rsidRPr="00D55DC6">
        <w:rPr>
          <w:rFonts w:eastAsia="標楷體"/>
          <w:b/>
          <w:sz w:val="28"/>
          <w:szCs w:val="28"/>
        </w:rPr>
        <w:t>執行策略</w:t>
      </w:r>
    </w:p>
    <w:p w:rsidR="00261ADB" w:rsidRPr="00D55DC6" w:rsidRDefault="00261ADB" w:rsidP="0038165F">
      <w:pPr>
        <w:pStyle w:val="af2"/>
        <w:numPr>
          <w:ilvl w:val="1"/>
          <w:numId w:val="32"/>
        </w:numPr>
        <w:snapToGrid w:val="0"/>
        <w:spacing w:line="460" w:lineRule="exact"/>
        <w:ind w:leftChars="0"/>
        <w:jc w:val="both"/>
        <w:rPr>
          <w:rFonts w:eastAsia="標楷體"/>
          <w:b/>
          <w:sz w:val="28"/>
          <w:szCs w:val="28"/>
        </w:rPr>
      </w:pPr>
      <w:r w:rsidRPr="00D55DC6">
        <w:rPr>
          <w:rFonts w:eastAsia="標楷體"/>
          <w:b/>
          <w:sz w:val="28"/>
          <w:szCs w:val="28"/>
        </w:rPr>
        <w:t>跨域加值</w:t>
      </w:r>
      <w:r w:rsidRPr="00D55DC6">
        <w:rPr>
          <w:b/>
          <w:sz w:val="28"/>
          <w:szCs w:val="28"/>
        </w:rPr>
        <w:t>：</w:t>
      </w:r>
      <w:r w:rsidR="00325209" w:rsidRPr="00D55DC6">
        <w:rPr>
          <w:rFonts w:eastAsia="標楷體"/>
          <w:b/>
          <w:sz w:val="28"/>
          <w:szCs w:val="28"/>
        </w:rPr>
        <w:t>以大東北角理念與新北市政府、宜蘭縣政府、臺</w:t>
      </w:r>
      <w:r w:rsidRPr="00D55DC6">
        <w:rPr>
          <w:rFonts w:eastAsia="標楷體"/>
          <w:b/>
          <w:sz w:val="28"/>
          <w:szCs w:val="28"/>
        </w:rPr>
        <w:t>鐵、大專院校等策略聯盟，合作創造多元收益。</w:t>
      </w:r>
    </w:p>
    <w:p w:rsidR="00261ADB" w:rsidRPr="00D55DC6" w:rsidRDefault="00261ADB" w:rsidP="0038165F">
      <w:pPr>
        <w:pStyle w:val="af2"/>
        <w:tabs>
          <w:tab w:val="left" w:pos="1418"/>
        </w:tabs>
        <w:autoSpaceDE w:val="0"/>
        <w:autoSpaceDN w:val="0"/>
        <w:adjustRightInd w:val="0"/>
        <w:spacing w:line="460" w:lineRule="exact"/>
        <w:ind w:leftChars="366" w:left="1416" w:hangingChars="192" w:hanging="538"/>
        <w:jc w:val="both"/>
        <w:rPr>
          <w:rFonts w:eastAsia="標楷體"/>
          <w:kern w:val="0"/>
          <w:sz w:val="28"/>
          <w:szCs w:val="28"/>
        </w:rPr>
      </w:pPr>
      <w:r w:rsidRPr="00D55DC6">
        <w:rPr>
          <w:rFonts w:eastAsia="標楷體"/>
          <w:kern w:val="0"/>
          <w:sz w:val="28"/>
          <w:szCs w:val="28"/>
        </w:rPr>
        <w:t>(1)</w:t>
      </w:r>
      <w:r w:rsidR="004F11A6" w:rsidRPr="00D55DC6">
        <w:rPr>
          <w:rFonts w:eastAsia="標楷體"/>
          <w:kern w:val="0"/>
          <w:sz w:val="28"/>
          <w:szCs w:val="28"/>
        </w:rPr>
        <w:t xml:space="preserve"> </w:t>
      </w:r>
      <w:r w:rsidRPr="00D55DC6">
        <w:rPr>
          <w:rFonts w:eastAsia="標楷體"/>
          <w:kern w:val="0"/>
          <w:sz w:val="28"/>
          <w:szCs w:val="28"/>
        </w:rPr>
        <w:t>在業務管理工作上，建立東北角暨宜蘭海岸國家風景區觀光發展平台，以利機關間橫向之聯繫，避免資源的耗損與浪費。</w:t>
      </w:r>
    </w:p>
    <w:p w:rsidR="00261ADB" w:rsidRPr="00D55DC6" w:rsidRDefault="00261ADB" w:rsidP="0038165F">
      <w:pPr>
        <w:pStyle w:val="af2"/>
        <w:tabs>
          <w:tab w:val="left" w:pos="1418"/>
        </w:tabs>
        <w:autoSpaceDE w:val="0"/>
        <w:autoSpaceDN w:val="0"/>
        <w:adjustRightInd w:val="0"/>
        <w:spacing w:line="460" w:lineRule="exact"/>
        <w:ind w:leftChars="366" w:left="1416" w:hangingChars="192" w:hanging="538"/>
        <w:jc w:val="both"/>
        <w:rPr>
          <w:rFonts w:eastAsia="標楷體"/>
          <w:kern w:val="0"/>
          <w:sz w:val="28"/>
          <w:szCs w:val="28"/>
        </w:rPr>
      </w:pPr>
      <w:r w:rsidRPr="00D55DC6">
        <w:rPr>
          <w:rFonts w:eastAsia="標楷體"/>
          <w:kern w:val="0"/>
          <w:sz w:val="28"/>
          <w:szCs w:val="28"/>
        </w:rPr>
        <w:t>(2)</w:t>
      </w:r>
      <w:r w:rsidR="004F11A6" w:rsidRPr="00D55DC6">
        <w:rPr>
          <w:rFonts w:eastAsia="標楷體"/>
          <w:kern w:val="0"/>
          <w:sz w:val="28"/>
          <w:szCs w:val="28"/>
        </w:rPr>
        <w:t xml:space="preserve"> </w:t>
      </w:r>
      <w:r w:rsidRPr="00D55DC6">
        <w:rPr>
          <w:rFonts w:eastAsia="標楷體"/>
          <w:kern w:val="0"/>
          <w:sz w:val="28"/>
          <w:szCs w:val="28"/>
        </w:rPr>
        <w:t>建構民間投資訊息窗口，預期規劃最適宜之土地利用開發方案，藉由強化具有商業經營價值的空間與設施委託民間經營來創造租金或權利金收益，如福隆及外澳地區目前停車場空間不足，將規劃採用多目標使用及民間參與的方式增加停車空間，並達到財務自償性。</w:t>
      </w:r>
    </w:p>
    <w:p w:rsidR="00261ADB" w:rsidRPr="00D55DC6" w:rsidRDefault="00261ADB" w:rsidP="0038165F">
      <w:pPr>
        <w:pStyle w:val="af2"/>
        <w:numPr>
          <w:ilvl w:val="1"/>
          <w:numId w:val="32"/>
        </w:numPr>
        <w:snapToGrid w:val="0"/>
        <w:spacing w:line="460" w:lineRule="exact"/>
        <w:ind w:leftChars="0"/>
        <w:jc w:val="both"/>
        <w:rPr>
          <w:rFonts w:eastAsia="標楷體"/>
          <w:b/>
          <w:sz w:val="28"/>
          <w:szCs w:val="28"/>
        </w:rPr>
      </w:pPr>
      <w:r w:rsidRPr="00D55DC6">
        <w:rPr>
          <w:rFonts w:eastAsia="標楷體"/>
          <w:b/>
          <w:sz w:val="28"/>
          <w:szCs w:val="28"/>
        </w:rPr>
        <w:t>智慧觀光：透過雲端平台、智慧手機、多媒體及自動化停車管理系統強化遊客服務與管理。</w:t>
      </w:r>
    </w:p>
    <w:p w:rsidR="00261ADB" w:rsidRPr="00D55DC6" w:rsidRDefault="00261ADB" w:rsidP="0038165F">
      <w:pPr>
        <w:pStyle w:val="af2"/>
        <w:autoSpaceDE w:val="0"/>
        <w:autoSpaceDN w:val="0"/>
        <w:adjustRightInd w:val="0"/>
        <w:spacing w:line="460" w:lineRule="exact"/>
        <w:ind w:leftChars="0" w:left="882" w:firstLineChars="220" w:firstLine="616"/>
        <w:rPr>
          <w:rFonts w:eastAsia="標楷體"/>
          <w:kern w:val="0"/>
          <w:sz w:val="28"/>
          <w:szCs w:val="28"/>
        </w:rPr>
      </w:pPr>
      <w:r w:rsidRPr="00D55DC6">
        <w:rPr>
          <w:rFonts w:eastAsia="標楷體"/>
          <w:kern w:val="0"/>
          <w:sz w:val="28"/>
          <w:szCs w:val="28"/>
        </w:rPr>
        <w:t>設置自動化管理機制來進行遊客分流，於道路各重要出入口及</w:t>
      </w:r>
      <w:r w:rsidRPr="00D55DC6">
        <w:rPr>
          <w:rFonts w:eastAsia="標楷體"/>
          <w:kern w:val="0"/>
          <w:sz w:val="28"/>
          <w:szCs w:val="28"/>
        </w:rPr>
        <w:lastRenderedPageBreak/>
        <w:t>網站、手機</w:t>
      </w:r>
      <w:r w:rsidRPr="00D55DC6">
        <w:rPr>
          <w:rFonts w:eastAsia="標楷體"/>
          <w:kern w:val="0"/>
          <w:sz w:val="28"/>
          <w:szCs w:val="28"/>
        </w:rPr>
        <w:t>APP</w:t>
      </w:r>
      <w:r w:rsidRPr="00D55DC6">
        <w:rPr>
          <w:rFonts w:eastAsia="標楷體"/>
          <w:kern w:val="0"/>
          <w:sz w:val="28"/>
          <w:szCs w:val="28"/>
        </w:rPr>
        <w:t>程式上公開遊客量、熱門遊憩據點周圍景點等相關資訊，讓民眾可以方便地即時獲得第一手消息，以降低遊憩據點之衝擊，維持各遊憩據點遊憩服務品質。</w:t>
      </w:r>
    </w:p>
    <w:p w:rsidR="00261ADB" w:rsidRPr="00D55DC6" w:rsidRDefault="00261ADB" w:rsidP="0038165F">
      <w:pPr>
        <w:pStyle w:val="af2"/>
        <w:numPr>
          <w:ilvl w:val="0"/>
          <w:numId w:val="31"/>
        </w:numPr>
        <w:snapToGrid w:val="0"/>
        <w:spacing w:line="460" w:lineRule="exact"/>
        <w:ind w:leftChars="0"/>
        <w:jc w:val="both"/>
        <w:rPr>
          <w:rFonts w:eastAsia="標楷體"/>
          <w:sz w:val="28"/>
          <w:szCs w:val="28"/>
        </w:rPr>
      </w:pPr>
      <w:r w:rsidRPr="00D55DC6">
        <w:rPr>
          <w:rFonts w:eastAsia="標楷體"/>
          <w:b/>
          <w:sz w:val="28"/>
          <w:szCs w:val="28"/>
        </w:rPr>
        <w:t>旅人環境</w:t>
      </w:r>
      <w:r w:rsidR="00325209" w:rsidRPr="00D55DC6">
        <w:rPr>
          <w:rFonts w:eastAsia="標楷體"/>
          <w:b/>
          <w:sz w:val="28"/>
          <w:szCs w:val="28"/>
        </w:rPr>
        <w:t>：</w:t>
      </w:r>
      <w:r w:rsidRPr="00D55DC6">
        <w:rPr>
          <w:rFonts w:eastAsia="標楷體"/>
          <w:b/>
          <w:sz w:val="28"/>
          <w:szCs w:val="28"/>
        </w:rPr>
        <w:t>結合產官學動能，為東北角灣澳漁村、宜蘭濱海農漁村及漁港，培植優秀觀光人才，及規劃發展新的旅遊路線及在地產業，提升地方聚落素質。</w:t>
      </w:r>
    </w:p>
    <w:p w:rsidR="00261ADB" w:rsidRPr="00D55DC6" w:rsidRDefault="00261ADB" w:rsidP="0038165F">
      <w:pPr>
        <w:pStyle w:val="af2"/>
        <w:tabs>
          <w:tab w:val="left" w:pos="1418"/>
        </w:tabs>
        <w:autoSpaceDE w:val="0"/>
        <w:autoSpaceDN w:val="0"/>
        <w:adjustRightInd w:val="0"/>
        <w:spacing w:line="460" w:lineRule="exact"/>
        <w:ind w:leftChars="366" w:left="1416" w:hangingChars="192" w:hanging="538"/>
        <w:jc w:val="both"/>
        <w:rPr>
          <w:rFonts w:eastAsia="標楷體"/>
          <w:kern w:val="0"/>
          <w:sz w:val="28"/>
          <w:szCs w:val="28"/>
        </w:rPr>
      </w:pPr>
      <w:r w:rsidRPr="00D55DC6">
        <w:rPr>
          <w:rFonts w:eastAsia="標楷體"/>
          <w:kern w:val="0"/>
          <w:sz w:val="28"/>
          <w:szCs w:val="28"/>
        </w:rPr>
        <w:t>(1)</w:t>
      </w:r>
      <w:r w:rsidR="004F11A6" w:rsidRPr="00D55DC6">
        <w:rPr>
          <w:rFonts w:eastAsia="標楷體"/>
          <w:kern w:val="0"/>
          <w:sz w:val="28"/>
          <w:szCs w:val="28"/>
        </w:rPr>
        <w:t xml:space="preserve"> </w:t>
      </w:r>
      <w:r w:rsidRPr="00D55DC6">
        <w:rPr>
          <w:rFonts w:eastAsia="標楷體"/>
          <w:kern w:val="0"/>
          <w:sz w:val="28"/>
          <w:szCs w:val="28"/>
        </w:rPr>
        <w:t>由於東北角地區的區位優勢，加上開放陸客旅遊，使熱門景點的遊客量勢必只增不減，因此應採分級建設模式，將各遊憩據點依據資源價值及區位進行規模分級及總量管制</w:t>
      </w:r>
    </w:p>
    <w:p w:rsidR="00261ADB" w:rsidRPr="00D55DC6" w:rsidRDefault="00261ADB" w:rsidP="0038165F">
      <w:pPr>
        <w:pStyle w:val="af2"/>
        <w:tabs>
          <w:tab w:val="left" w:pos="1418"/>
        </w:tabs>
        <w:autoSpaceDE w:val="0"/>
        <w:autoSpaceDN w:val="0"/>
        <w:adjustRightInd w:val="0"/>
        <w:spacing w:line="460" w:lineRule="exact"/>
        <w:ind w:leftChars="366" w:left="1416" w:hangingChars="192" w:hanging="538"/>
        <w:jc w:val="both"/>
        <w:rPr>
          <w:rFonts w:eastAsia="標楷體"/>
          <w:kern w:val="0"/>
          <w:sz w:val="28"/>
          <w:szCs w:val="28"/>
        </w:rPr>
      </w:pPr>
      <w:r w:rsidRPr="00D55DC6">
        <w:rPr>
          <w:rFonts w:eastAsia="標楷體"/>
          <w:kern w:val="0"/>
          <w:sz w:val="28"/>
          <w:szCs w:val="28"/>
        </w:rPr>
        <w:t>(2)</w:t>
      </w:r>
      <w:r w:rsidR="004F11A6" w:rsidRPr="00D55DC6">
        <w:rPr>
          <w:rFonts w:eastAsia="標楷體"/>
          <w:kern w:val="0"/>
          <w:sz w:val="28"/>
          <w:szCs w:val="28"/>
        </w:rPr>
        <w:t xml:space="preserve"> </w:t>
      </w:r>
      <w:r w:rsidRPr="00D55DC6">
        <w:rPr>
          <w:rFonts w:eastAsia="標楷體"/>
          <w:kern w:val="0"/>
          <w:sz w:val="28"/>
          <w:szCs w:val="28"/>
        </w:rPr>
        <w:t>除現有海域遊憩活動外，可運用東北角地區的海域山林資源，發展以修身養性為主軸的度假旅遊型態，強調緩慢、放鬆的旅遊調性，如同私房景點的概念，據點區域式地提供外地者一個放假可以慢遊的地點，如</w:t>
      </w:r>
      <w:r w:rsidR="00EA38C5" w:rsidRPr="00D55DC6">
        <w:rPr>
          <w:rFonts w:eastAsia="標楷體"/>
          <w:kern w:val="0"/>
          <w:sz w:val="28"/>
          <w:szCs w:val="28"/>
        </w:rPr>
        <w:t>度假</w:t>
      </w:r>
      <w:r w:rsidRPr="00D55DC6">
        <w:rPr>
          <w:rFonts w:eastAsia="標楷體"/>
          <w:kern w:val="0"/>
          <w:sz w:val="28"/>
          <w:szCs w:val="28"/>
        </w:rPr>
        <w:t>會館、養生村、田園農村等，藉此與海域遊憩活動有所區隔，發展東北角獨特的度假旅遊型態，作為東北角國際觀光行銷的主打旅遊活動之一。</w:t>
      </w:r>
    </w:p>
    <w:p w:rsidR="00261ADB" w:rsidRPr="00D55DC6" w:rsidRDefault="00261ADB" w:rsidP="0038165F">
      <w:pPr>
        <w:pStyle w:val="af2"/>
        <w:tabs>
          <w:tab w:val="left" w:pos="1418"/>
        </w:tabs>
        <w:autoSpaceDE w:val="0"/>
        <w:autoSpaceDN w:val="0"/>
        <w:adjustRightInd w:val="0"/>
        <w:spacing w:line="460" w:lineRule="exact"/>
        <w:ind w:leftChars="366" w:left="1416" w:hangingChars="192" w:hanging="538"/>
        <w:jc w:val="both"/>
        <w:rPr>
          <w:rFonts w:eastAsia="標楷體"/>
          <w:kern w:val="0"/>
          <w:sz w:val="28"/>
          <w:szCs w:val="28"/>
        </w:rPr>
      </w:pPr>
      <w:r w:rsidRPr="00D55DC6">
        <w:rPr>
          <w:rFonts w:eastAsia="標楷體"/>
          <w:kern w:val="0"/>
          <w:sz w:val="28"/>
          <w:szCs w:val="28"/>
        </w:rPr>
        <w:t>(3)</w:t>
      </w:r>
      <w:r w:rsidR="004F11A6" w:rsidRPr="00D55DC6">
        <w:rPr>
          <w:rFonts w:eastAsia="標楷體"/>
          <w:kern w:val="0"/>
          <w:sz w:val="28"/>
          <w:szCs w:val="28"/>
        </w:rPr>
        <w:t xml:space="preserve"> </w:t>
      </w:r>
      <w:r w:rsidRPr="00D55DC6">
        <w:rPr>
          <w:rFonts w:eastAsia="標楷體"/>
          <w:kern w:val="0"/>
          <w:sz w:val="28"/>
          <w:szCs w:val="28"/>
        </w:rPr>
        <w:t>以五大遊憩系統作為主要發展區，未來北宜直鐵的通車，可透過配合新北市及宜蘭的公車系統或輔導計程車業者發展小型包車旅遊，來強化各鐵路車站的轉乘服務。自行車道串連部份，應分期發展整合轄區內自行車道路廊，將各遊憩系統地方特色應用於自行車道的硬體設施建構上，並針對重要據點發展公有自行車道租借服務或自行車道休憩驛站。</w:t>
      </w:r>
    </w:p>
    <w:p w:rsidR="00261ADB" w:rsidRPr="00D55DC6" w:rsidRDefault="00261ADB" w:rsidP="0038165F">
      <w:pPr>
        <w:pStyle w:val="af2"/>
        <w:numPr>
          <w:ilvl w:val="0"/>
          <w:numId w:val="31"/>
        </w:numPr>
        <w:snapToGrid w:val="0"/>
        <w:spacing w:line="460" w:lineRule="exact"/>
        <w:ind w:leftChars="0"/>
        <w:jc w:val="both"/>
        <w:rPr>
          <w:rFonts w:eastAsia="標楷體"/>
          <w:b/>
          <w:sz w:val="28"/>
          <w:szCs w:val="28"/>
        </w:rPr>
      </w:pPr>
      <w:r w:rsidRPr="00D55DC6">
        <w:rPr>
          <w:rFonts w:eastAsia="標楷體"/>
          <w:b/>
          <w:sz w:val="28"/>
          <w:szCs w:val="28"/>
        </w:rPr>
        <w:t>環教認證</w:t>
      </w:r>
      <w:r w:rsidR="00325209" w:rsidRPr="00D55DC6">
        <w:rPr>
          <w:rFonts w:eastAsia="標楷體"/>
          <w:b/>
          <w:sz w:val="28"/>
          <w:szCs w:val="28"/>
        </w:rPr>
        <w:t>：</w:t>
      </w:r>
      <w:r w:rsidRPr="00D55DC6">
        <w:rPr>
          <w:rFonts w:eastAsia="標楷體"/>
          <w:b/>
          <w:sz w:val="28"/>
          <w:szCs w:val="28"/>
        </w:rPr>
        <w:t>將東北角國際級天然資源透過認證打造國際級魅力軟實力</w:t>
      </w:r>
      <w:r w:rsidRPr="00D55DC6">
        <w:rPr>
          <w:rFonts w:eastAsia="標楷體"/>
          <w:b/>
          <w:sz w:val="28"/>
          <w:szCs w:val="28"/>
        </w:rPr>
        <w:t>(</w:t>
      </w:r>
      <w:r w:rsidRPr="00D55DC6">
        <w:rPr>
          <w:rFonts w:eastAsia="標楷體"/>
          <w:b/>
          <w:sz w:val="28"/>
          <w:szCs w:val="28"/>
        </w:rPr>
        <w:t>地質公園、永續旅遊</w:t>
      </w:r>
      <w:r w:rsidRPr="00D55DC6">
        <w:rPr>
          <w:rFonts w:eastAsia="標楷體"/>
          <w:b/>
          <w:sz w:val="28"/>
          <w:szCs w:val="28"/>
        </w:rPr>
        <w:t>)</w:t>
      </w:r>
      <w:r w:rsidRPr="00D55DC6">
        <w:rPr>
          <w:rFonts w:eastAsia="標楷體"/>
          <w:b/>
          <w:sz w:val="28"/>
          <w:szCs w:val="28"/>
        </w:rPr>
        <w:t>。</w:t>
      </w:r>
    </w:p>
    <w:p w:rsidR="00261ADB" w:rsidRPr="00D55DC6" w:rsidRDefault="00261ADB" w:rsidP="0038165F">
      <w:pPr>
        <w:pStyle w:val="af2"/>
        <w:autoSpaceDE w:val="0"/>
        <w:autoSpaceDN w:val="0"/>
        <w:adjustRightInd w:val="0"/>
        <w:spacing w:line="460" w:lineRule="exact"/>
        <w:ind w:leftChars="0" w:left="798" w:firstLineChars="205" w:firstLine="574"/>
        <w:rPr>
          <w:rFonts w:eastAsia="標楷體"/>
          <w:kern w:val="0"/>
          <w:sz w:val="28"/>
          <w:szCs w:val="28"/>
        </w:rPr>
      </w:pPr>
      <w:r w:rsidRPr="00D55DC6">
        <w:rPr>
          <w:rFonts w:eastAsia="標楷體"/>
          <w:kern w:val="0"/>
          <w:sz w:val="28"/>
          <w:szCs w:val="28"/>
        </w:rPr>
        <w:t>整合區內現有自然與人文觀光遊憩資源，依據食衣住行育樂等不同面向規劃與之契合的生態旅遊，推出一日及二日主題式遊程，依此深化各種主題遊程的內容，使東北角地區的旅遊不再只是遊憩據點的走馬看花，更包含了環境教育見習、夜間生態觀察等活動，與國際觀光趨勢接軌，推展深度生態旅行。</w:t>
      </w:r>
    </w:p>
    <w:p w:rsidR="00261ADB" w:rsidRPr="00D55DC6" w:rsidRDefault="00261ADB" w:rsidP="0038165F">
      <w:pPr>
        <w:pStyle w:val="af2"/>
        <w:numPr>
          <w:ilvl w:val="0"/>
          <w:numId w:val="31"/>
        </w:numPr>
        <w:snapToGrid w:val="0"/>
        <w:spacing w:line="460" w:lineRule="exact"/>
        <w:ind w:leftChars="0"/>
        <w:jc w:val="both"/>
        <w:rPr>
          <w:rFonts w:eastAsia="標楷體"/>
          <w:b/>
          <w:sz w:val="28"/>
          <w:szCs w:val="28"/>
        </w:rPr>
      </w:pPr>
      <w:r w:rsidRPr="00D55DC6">
        <w:rPr>
          <w:rFonts w:eastAsia="標楷體"/>
          <w:b/>
          <w:sz w:val="28"/>
          <w:szCs w:val="28"/>
        </w:rPr>
        <w:t>創意行銷</w:t>
      </w:r>
      <w:r w:rsidRPr="00D55DC6">
        <w:rPr>
          <w:rFonts w:eastAsia="標楷體"/>
          <w:b/>
          <w:sz w:val="28"/>
          <w:szCs w:val="28"/>
        </w:rPr>
        <w:t>:</w:t>
      </w:r>
      <w:r w:rsidRPr="00D55DC6">
        <w:rPr>
          <w:rFonts w:eastAsia="標楷體"/>
          <w:b/>
          <w:sz w:val="28"/>
          <w:szCs w:val="28"/>
        </w:rPr>
        <w:t>創造優良服務環境及在地創意商品，提升地方產業，並加強連結產業與地方政府共同行銷宣傳。</w:t>
      </w:r>
    </w:p>
    <w:p w:rsidR="00261ADB" w:rsidRPr="00D55DC6" w:rsidRDefault="00261ADB" w:rsidP="0038165F">
      <w:pPr>
        <w:pStyle w:val="af2"/>
        <w:tabs>
          <w:tab w:val="left" w:pos="1418"/>
        </w:tabs>
        <w:autoSpaceDE w:val="0"/>
        <w:autoSpaceDN w:val="0"/>
        <w:adjustRightInd w:val="0"/>
        <w:spacing w:line="460" w:lineRule="exact"/>
        <w:ind w:leftChars="366" w:left="1416" w:hangingChars="192" w:hanging="538"/>
        <w:jc w:val="both"/>
        <w:rPr>
          <w:rFonts w:eastAsia="標楷體"/>
          <w:kern w:val="0"/>
          <w:sz w:val="28"/>
          <w:szCs w:val="28"/>
        </w:rPr>
      </w:pPr>
      <w:r w:rsidRPr="00D55DC6">
        <w:rPr>
          <w:rFonts w:eastAsia="標楷體"/>
          <w:kern w:val="0"/>
          <w:sz w:val="28"/>
          <w:szCs w:val="28"/>
        </w:rPr>
        <w:lastRenderedPageBreak/>
        <w:t>(1)</w:t>
      </w:r>
      <w:r w:rsidR="004F11A6" w:rsidRPr="00D55DC6">
        <w:rPr>
          <w:rFonts w:eastAsia="標楷體"/>
          <w:kern w:val="0"/>
          <w:sz w:val="28"/>
          <w:szCs w:val="28"/>
        </w:rPr>
        <w:t xml:space="preserve"> </w:t>
      </w:r>
      <w:r w:rsidRPr="00D55DC6">
        <w:rPr>
          <w:rFonts w:eastAsia="標楷體"/>
          <w:kern w:val="0"/>
          <w:sz w:val="28"/>
          <w:szCs w:val="28"/>
        </w:rPr>
        <w:t>開拓更多元化的主題節慶活動，引入不同故事做主題行銷，藉此分散單一活動帶來的遊客衝擊。</w:t>
      </w:r>
    </w:p>
    <w:p w:rsidR="00261ADB" w:rsidRPr="00D55DC6" w:rsidRDefault="00261ADB" w:rsidP="0038165F">
      <w:pPr>
        <w:pStyle w:val="af2"/>
        <w:tabs>
          <w:tab w:val="left" w:pos="1418"/>
        </w:tabs>
        <w:autoSpaceDE w:val="0"/>
        <w:autoSpaceDN w:val="0"/>
        <w:adjustRightInd w:val="0"/>
        <w:spacing w:line="460" w:lineRule="exact"/>
        <w:ind w:leftChars="366" w:left="1416" w:hangingChars="192" w:hanging="538"/>
        <w:jc w:val="both"/>
        <w:rPr>
          <w:rFonts w:eastAsia="標楷體"/>
          <w:kern w:val="0"/>
          <w:sz w:val="28"/>
          <w:szCs w:val="28"/>
        </w:rPr>
      </w:pPr>
      <w:r w:rsidRPr="00D55DC6">
        <w:rPr>
          <w:rFonts w:eastAsia="標楷體"/>
          <w:kern w:val="0"/>
          <w:sz w:val="28"/>
          <w:szCs w:val="28"/>
        </w:rPr>
        <w:t>(2)</w:t>
      </w:r>
      <w:r w:rsidR="004F11A6" w:rsidRPr="00D55DC6">
        <w:rPr>
          <w:rFonts w:eastAsia="標楷體"/>
          <w:kern w:val="0"/>
          <w:sz w:val="28"/>
          <w:szCs w:val="28"/>
        </w:rPr>
        <w:t xml:space="preserve"> </w:t>
      </w:r>
      <w:r w:rsidRPr="00D55DC6">
        <w:rPr>
          <w:rFonts w:eastAsia="標楷體"/>
          <w:kern w:val="0"/>
          <w:sz w:val="28"/>
          <w:szCs w:val="28"/>
        </w:rPr>
        <w:t>開發旅遊商品，建構特色品牌，增加觀光旅遊收益，並可在市場健全與時機成熟後收取授權費。</w:t>
      </w:r>
    </w:p>
    <w:p w:rsidR="00261ADB" w:rsidRPr="00D55DC6" w:rsidRDefault="00261ADB" w:rsidP="0038165F">
      <w:pPr>
        <w:pStyle w:val="af2"/>
        <w:snapToGrid w:val="0"/>
        <w:spacing w:line="460" w:lineRule="exact"/>
        <w:ind w:leftChars="0" w:left="864"/>
        <w:jc w:val="both"/>
        <w:rPr>
          <w:rFonts w:eastAsia="標楷體"/>
          <w:b/>
          <w:sz w:val="28"/>
          <w:szCs w:val="28"/>
        </w:rPr>
      </w:pPr>
    </w:p>
    <w:p w:rsidR="00F37248" w:rsidRPr="00D55DC6" w:rsidRDefault="00F37248" w:rsidP="0038165F">
      <w:pPr>
        <w:pStyle w:val="af2"/>
        <w:snapToGrid w:val="0"/>
        <w:spacing w:line="460" w:lineRule="exact"/>
        <w:ind w:leftChars="0" w:left="864"/>
        <w:jc w:val="both"/>
        <w:rPr>
          <w:rFonts w:eastAsia="標楷體"/>
          <w:b/>
          <w:sz w:val="28"/>
          <w:szCs w:val="28"/>
        </w:rPr>
      </w:pPr>
    </w:p>
    <w:p w:rsidR="00261ADB" w:rsidRPr="00D55DC6" w:rsidRDefault="00261ADB" w:rsidP="0038165F">
      <w:pPr>
        <w:pStyle w:val="af2"/>
        <w:numPr>
          <w:ilvl w:val="0"/>
          <w:numId w:val="32"/>
        </w:numPr>
        <w:snapToGrid w:val="0"/>
        <w:spacing w:line="460" w:lineRule="exact"/>
        <w:ind w:leftChars="0"/>
        <w:jc w:val="both"/>
        <w:rPr>
          <w:rFonts w:eastAsia="標楷體"/>
          <w:b/>
          <w:sz w:val="28"/>
          <w:szCs w:val="28"/>
        </w:rPr>
      </w:pPr>
      <w:r w:rsidRPr="00D55DC6">
        <w:rPr>
          <w:rFonts w:eastAsia="標楷體"/>
          <w:b/>
          <w:sz w:val="28"/>
          <w:szCs w:val="28"/>
        </w:rPr>
        <w:t>主要工作項目</w:t>
      </w:r>
    </w:p>
    <w:p w:rsidR="00261ADB" w:rsidRPr="00D55DC6" w:rsidRDefault="00261ADB" w:rsidP="0038165F">
      <w:pPr>
        <w:spacing w:line="460" w:lineRule="exact"/>
        <w:ind w:left="864" w:firstLineChars="216" w:firstLine="605"/>
        <w:rPr>
          <w:rFonts w:eastAsia="標楷體"/>
          <w:b/>
          <w:sz w:val="28"/>
          <w:szCs w:val="28"/>
        </w:rPr>
      </w:pPr>
      <w:r w:rsidRPr="00D55DC6">
        <w:rPr>
          <w:rFonts w:eastAsia="標楷體"/>
          <w:sz w:val="28"/>
          <w:szCs w:val="28"/>
        </w:rPr>
        <w:t>本計畫依各遊憩區發展潛力，劃分為國際觀光重要景點建設、國內觀光重要景點建設</w:t>
      </w:r>
      <w:r w:rsidRPr="00D55DC6">
        <w:rPr>
          <w:rFonts w:eastAsia="標楷體"/>
          <w:sz w:val="28"/>
          <w:szCs w:val="28"/>
        </w:rPr>
        <w:t>2</w:t>
      </w:r>
      <w:r w:rsidRPr="00D55DC6">
        <w:rPr>
          <w:rFonts w:eastAsia="標楷體"/>
          <w:sz w:val="28"/>
          <w:szCs w:val="28"/>
        </w:rPr>
        <w:t>項進行開發建設。</w:t>
      </w:r>
    </w:p>
    <w:p w:rsidR="00261ADB" w:rsidRPr="00D55DC6" w:rsidRDefault="00261ADB" w:rsidP="0038165F">
      <w:pPr>
        <w:pStyle w:val="af2"/>
        <w:numPr>
          <w:ilvl w:val="2"/>
          <w:numId w:val="33"/>
        </w:numPr>
        <w:snapToGrid w:val="0"/>
        <w:spacing w:line="460" w:lineRule="exact"/>
        <w:ind w:leftChars="0" w:left="1134" w:hanging="252"/>
        <w:jc w:val="both"/>
        <w:rPr>
          <w:rFonts w:eastAsia="標楷體"/>
          <w:b/>
          <w:sz w:val="28"/>
          <w:szCs w:val="28"/>
        </w:rPr>
      </w:pPr>
      <w:r w:rsidRPr="00D55DC6">
        <w:rPr>
          <w:rFonts w:eastAsia="標楷體"/>
          <w:b/>
          <w:sz w:val="28"/>
          <w:szCs w:val="28"/>
        </w:rPr>
        <w:t>國際觀光重要景點建設</w:t>
      </w:r>
    </w:p>
    <w:p w:rsidR="00261ADB" w:rsidRPr="00D55DC6" w:rsidRDefault="00261ADB" w:rsidP="0038165F">
      <w:pPr>
        <w:pStyle w:val="af2"/>
        <w:suppressAutoHyphens/>
        <w:spacing w:line="460" w:lineRule="exact"/>
        <w:ind w:leftChars="495" w:left="1777" w:hangingChars="210" w:hanging="589"/>
        <w:rPr>
          <w:rFonts w:eastAsia="標楷體"/>
          <w:sz w:val="28"/>
          <w:szCs w:val="28"/>
        </w:rPr>
      </w:pPr>
      <w:r w:rsidRPr="00D55DC6">
        <w:rPr>
          <w:rFonts w:eastAsia="標楷體"/>
          <w:b/>
          <w:sz w:val="28"/>
          <w:szCs w:val="28"/>
        </w:rPr>
        <w:t>1-1.</w:t>
      </w:r>
      <w:r w:rsidRPr="00D55DC6">
        <w:rPr>
          <w:rFonts w:eastAsia="標楷體"/>
          <w:b/>
          <w:sz w:val="28"/>
          <w:szCs w:val="28"/>
        </w:rPr>
        <w:t>鼻頭龍洞遊憩區：</w:t>
      </w:r>
      <w:r w:rsidRPr="00D55DC6">
        <w:rPr>
          <w:rFonts w:eastAsia="標楷體"/>
          <w:sz w:val="28"/>
          <w:szCs w:val="28"/>
        </w:rPr>
        <w:t>龍洞地質公園地區、龍洞灣岬地區、龍洞南口地區設施改善工程。</w:t>
      </w:r>
    </w:p>
    <w:p w:rsidR="00261ADB" w:rsidRPr="00D55DC6" w:rsidRDefault="00261ADB" w:rsidP="0038165F">
      <w:pPr>
        <w:suppressAutoHyphens/>
        <w:spacing w:line="460" w:lineRule="exact"/>
        <w:ind w:leftChars="495" w:left="1777" w:hangingChars="210" w:hanging="589"/>
        <w:rPr>
          <w:rFonts w:eastAsia="標楷體"/>
          <w:sz w:val="28"/>
          <w:szCs w:val="28"/>
        </w:rPr>
      </w:pPr>
      <w:r w:rsidRPr="00D55DC6">
        <w:rPr>
          <w:rFonts w:eastAsia="標楷體"/>
          <w:b/>
          <w:sz w:val="28"/>
          <w:szCs w:val="28"/>
        </w:rPr>
        <w:t>1-2.</w:t>
      </w:r>
      <w:r w:rsidRPr="00D55DC6">
        <w:rPr>
          <w:rFonts w:eastAsia="標楷體"/>
          <w:b/>
          <w:sz w:val="28"/>
          <w:szCs w:val="28"/>
        </w:rPr>
        <w:t>福隆遊憩區：</w:t>
      </w:r>
      <w:r w:rsidRPr="00D55DC6">
        <w:rPr>
          <w:rFonts w:eastAsia="標楷體"/>
          <w:sz w:val="28"/>
          <w:szCs w:val="28"/>
        </w:rPr>
        <w:t>福隆地區、舊草嶺隧道環狀自行車道地區、雙溪河地區設施改善工程。</w:t>
      </w:r>
    </w:p>
    <w:p w:rsidR="00261ADB" w:rsidRPr="00D55DC6" w:rsidRDefault="00261ADB" w:rsidP="0038165F">
      <w:pPr>
        <w:pStyle w:val="af2"/>
        <w:suppressAutoHyphens/>
        <w:spacing w:line="460" w:lineRule="exact"/>
        <w:ind w:leftChars="495" w:left="1777" w:hangingChars="210" w:hanging="589"/>
        <w:rPr>
          <w:rFonts w:eastAsia="標楷體"/>
          <w:sz w:val="28"/>
          <w:szCs w:val="28"/>
        </w:rPr>
      </w:pPr>
      <w:r w:rsidRPr="00D55DC6">
        <w:rPr>
          <w:rFonts w:eastAsia="標楷體"/>
          <w:b/>
          <w:sz w:val="28"/>
          <w:szCs w:val="28"/>
        </w:rPr>
        <w:t>1-3.</w:t>
      </w:r>
      <w:r w:rsidRPr="00D55DC6">
        <w:rPr>
          <w:rFonts w:eastAsia="標楷體"/>
          <w:b/>
          <w:sz w:val="28"/>
          <w:szCs w:val="28"/>
        </w:rPr>
        <w:t>外澳遊憩區：</w:t>
      </w:r>
      <w:r w:rsidRPr="00D55DC6">
        <w:rPr>
          <w:rFonts w:eastAsia="標楷體"/>
          <w:sz w:val="28"/>
          <w:szCs w:val="28"/>
        </w:rPr>
        <w:t>外澳服務區、龜山島及烏石港周邊地區環境改善工程。</w:t>
      </w:r>
    </w:p>
    <w:p w:rsidR="00261ADB" w:rsidRPr="00D55DC6" w:rsidRDefault="00261ADB" w:rsidP="0038165F">
      <w:pPr>
        <w:pStyle w:val="af2"/>
        <w:suppressAutoHyphens/>
        <w:spacing w:line="460" w:lineRule="exact"/>
        <w:ind w:leftChars="495" w:left="1777" w:hangingChars="210" w:hanging="589"/>
        <w:rPr>
          <w:rFonts w:eastAsia="標楷體"/>
          <w:sz w:val="32"/>
          <w:szCs w:val="28"/>
        </w:rPr>
      </w:pPr>
      <w:r w:rsidRPr="00D55DC6">
        <w:rPr>
          <w:rFonts w:eastAsia="標楷體"/>
          <w:b/>
          <w:sz w:val="28"/>
          <w:szCs w:val="28"/>
        </w:rPr>
        <w:t>1-4.</w:t>
      </w:r>
      <w:r w:rsidRPr="00D55DC6">
        <w:rPr>
          <w:rFonts w:eastAsia="標楷體"/>
          <w:b/>
          <w:sz w:val="28"/>
          <w:szCs w:val="28"/>
        </w:rPr>
        <w:t>宜蘭濱海遊憩區：</w:t>
      </w:r>
      <w:r w:rsidRPr="00D55DC6">
        <w:rPr>
          <w:rFonts w:eastAsia="標楷體"/>
          <w:sz w:val="28"/>
          <w:szCs w:val="28"/>
        </w:rPr>
        <w:t>壯圍旅遊園區地區、蘇澳冷泉地區、南方澳遊客中心地區、內埤地區等設施及周邊環境改善工程。</w:t>
      </w:r>
    </w:p>
    <w:p w:rsidR="00261ADB" w:rsidRPr="00D55DC6" w:rsidRDefault="00261ADB" w:rsidP="0038165F">
      <w:pPr>
        <w:pStyle w:val="af2"/>
        <w:numPr>
          <w:ilvl w:val="2"/>
          <w:numId w:val="33"/>
        </w:numPr>
        <w:snapToGrid w:val="0"/>
        <w:spacing w:line="460" w:lineRule="exact"/>
        <w:ind w:leftChars="0" w:left="1134" w:hanging="252"/>
        <w:jc w:val="both"/>
        <w:rPr>
          <w:rFonts w:eastAsia="標楷體"/>
          <w:b/>
          <w:sz w:val="28"/>
          <w:szCs w:val="28"/>
        </w:rPr>
      </w:pPr>
      <w:r w:rsidRPr="00D55DC6">
        <w:rPr>
          <w:rFonts w:eastAsia="標楷體"/>
          <w:b/>
          <w:sz w:val="28"/>
          <w:szCs w:val="28"/>
        </w:rPr>
        <w:t>國內觀光重要景點建設</w:t>
      </w:r>
    </w:p>
    <w:p w:rsidR="00261ADB" w:rsidRPr="00D55DC6" w:rsidRDefault="00261ADB" w:rsidP="0038165F">
      <w:pPr>
        <w:pStyle w:val="af2"/>
        <w:suppressAutoHyphens/>
        <w:spacing w:line="460" w:lineRule="exact"/>
        <w:ind w:leftChars="496" w:left="1765" w:hangingChars="205" w:hanging="575"/>
        <w:rPr>
          <w:rFonts w:eastAsia="標楷體"/>
          <w:sz w:val="28"/>
          <w:szCs w:val="28"/>
        </w:rPr>
      </w:pPr>
      <w:r w:rsidRPr="00D55DC6">
        <w:rPr>
          <w:rFonts w:eastAsia="標楷體"/>
          <w:b/>
          <w:sz w:val="28"/>
          <w:szCs w:val="28"/>
        </w:rPr>
        <w:t>2-1.</w:t>
      </w:r>
      <w:r w:rsidRPr="00D55DC6">
        <w:rPr>
          <w:rFonts w:eastAsia="標楷體"/>
          <w:b/>
          <w:sz w:val="28"/>
          <w:szCs w:val="28"/>
        </w:rPr>
        <w:t>南雅鹽寮遊憩區：</w:t>
      </w:r>
      <w:r w:rsidRPr="00D55DC6">
        <w:rPr>
          <w:rFonts w:eastAsia="標楷體"/>
          <w:sz w:val="28"/>
          <w:szCs w:val="28"/>
        </w:rPr>
        <w:t>南雅地區、金沙灣地區、鹽寮龍門地區等環境及設施改善工程。</w:t>
      </w:r>
    </w:p>
    <w:p w:rsidR="00261ADB" w:rsidRPr="00D55DC6" w:rsidRDefault="00261ADB" w:rsidP="0038165F">
      <w:pPr>
        <w:pStyle w:val="af2"/>
        <w:suppressAutoHyphens/>
        <w:spacing w:line="460" w:lineRule="exact"/>
        <w:ind w:leftChars="496" w:left="1765" w:hangingChars="205" w:hanging="575"/>
        <w:rPr>
          <w:rFonts w:eastAsia="標楷體"/>
          <w:b/>
          <w:sz w:val="28"/>
          <w:szCs w:val="28"/>
        </w:rPr>
      </w:pPr>
      <w:r w:rsidRPr="00D55DC6">
        <w:rPr>
          <w:rFonts w:eastAsia="標楷體"/>
          <w:b/>
          <w:sz w:val="28"/>
          <w:szCs w:val="28"/>
        </w:rPr>
        <w:t>2-2.</w:t>
      </w:r>
      <w:r w:rsidRPr="00D55DC6">
        <w:rPr>
          <w:rFonts w:eastAsia="標楷體"/>
          <w:b/>
          <w:sz w:val="28"/>
          <w:szCs w:val="28"/>
        </w:rPr>
        <w:t>大里大溪遊憩區：</w:t>
      </w:r>
      <w:r w:rsidRPr="00D55DC6">
        <w:rPr>
          <w:rFonts w:eastAsia="標楷體"/>
          <w:sz w:val="28"/>
          <w:szCs w:val="28"/>
        </w:rPr>
        <w:t>石城地區、大里地區、大溪地區沿線景點改善工程等。</w:t>
      </w:r>
    </w:p>
    <w:p w:rsidR="00261ADB" w:rsidRPr="00D55DC6" w:rsidRDefault="00261ADB" w:rsidP="0038165F">
      <w:pPr>
        <w:pStyle w:val="af2"/>
        <w:suppressAutoHyphens/>
        <w:spacing w:line="460" w:lineRule="exact"/>
        <w:ind w:leftChars="496" w:left="1765" w:hangingChars="205" w:hanging="575"/>
        <w:rPr>
          <w:rFonts w:eastAsia="標楷體"/>
          <w:b/>
          <w:sz w:val="28"/>
          <w:szCs w:val="28"/>
        </w:rPr>
      </w:pPr>
      <w:r w:rsidRPr="00D55DC6">
        <w:rPr>
          <w:rFonts w:eastAsia="標楷體"/>
          <w:b/>
          <w:sz w:val="28"/>
          <w:szCs w:val="28"/>
        </w:rPr>
        <w:t>2-3.</w:t>
      </w:r>
      <w:r w:rsidRPr="00D55DC6">
        <w:rPr>
          <w:rFonts w:eastAsia="標楷體"/>
          <w:b/>
          <w:sz w:val="28"/>
          <w:szCs w:val="28"/>
        </w:rPr>
        <w:t>宜蘭海岸遊憩區：</w:t>
      </w:r>
      <w:r w:rsidRPr="00D55DC6">
        <w:rPr>
          <w:rFonts w:eastAsia="標楷體"/>
          <w:sz w:val="28"/>
          <w:szCs w:val="28"/>
        </w:rPr>
        <w:t>濱海自行車道休憩設施、沿線景點設施改善等。</w:t>
      </w:r>
    </w:p>
    <w:p w:rsidR="00261ADB" w:rsidRPr="00D55DC6" w:rsidRDefault="00261ADB" w:rsidP="0038165F">
      <w:pPr>
        <w:pStyle w:val="af2"/>
        <w:numPr>
          <w:ilvl w:val="2"/>
          <w:numId w:val="33"/>
        </w:numPr>
        <w:snapToGrid w:val="0"/>
        <w:spacing w:line="460" w:lineRule="exact"/>
        <w:ind w:leftChars="0" w:left="1134" w:hanging="252"/>
        <w:jc w:val="both"/>
        <w:rPr>
          <w:rFonts w:eastAsia="標楷體"/>
          <w:b/>
          <w:sz w:val="28"/>
          <w:szCs w:val="28"/>
        </w:rPr>
      </w:pPr>
      <w:r w:rsidRPr="00D55DC6">
        <w:rPr>
          <w:rFonts w:eastAsia="標楷體"/>
          <w:b/>
          <w:sz w:val="28"/>
          <w:szCs w:val="28"/>
        </w:rPr>
        <w:t>國家風景區經營管理</w:t>
      </w:r>
    </w:p>
    <w:p w:rsidR="00261ADB" w:rsidRPr="00D55DC6" w:rsidRDefault="00261ADB" w:rsidP="0038165F">
      <w:pPr>
        <w:pStyle w:val="af2"/>
        <w:snapToGrid w:val="0"/>
        <w:spacing w:line="460" w:lineRule="exact"/>
        <w:ind w:leftChars="502" w:left="1695" w:hangingChars="175" w:hanging="490"/>
        <w:jc w:val="both"/>
        <w:rPr>
          <w:rFonts w:eastAsia="標楷體"/>
          <w:sz w:val="28"/>
          <w:szCs w:val="28"/>
        </w:rPr>
      </w:pPr>
      <w:r w:rsidRPr="00D55DC6">
        <w:rPr>
          <w:rFonts w:eastAsia="標楷體"/>
          <w:b/>
          <w:sz w:val="28"/>
          <w:szCs w:val="28"/>
        </w:rPr>
        <w:t>3-1.</w:t>
      </w:r>
      <w:r w:rsidRPr="00D55DC6">
        <w:rPr>
          <w:rFonts w:eastAsia="標楷體"/>
          <w:b/>
          <w:sz w:val="28"/>
          <w:szCs w:val="28"/>
        </w:rPr>
        <w:t>用地取得</w:t>
      </w:r>
      <w:r w:rsidRPr="00D55DC6">
        <w:rPr>
          <w:rFonts w:eastAsia="標楷體"/>
          <w:sz w:val="28"/>
          <w:szCs w:val="28"/>
        </w:rPr>
        <w:t>：依建設需要辦理土地撥用、協議價購或徵收，以及地上物清理等。</w:t>
      </w:r>
    </w:p>
    <w:p w:rsidR="00261ADB" w:rsidRPr="00D55DC6" w:rsidRDefault="00261ADB" w:rsidP="0038165F">
      <w:pPr>
        <w:pStyle w:val="af2"/>
        <w:snapToGrid w:val="0"/>
        <w:spacing w:line="460" w:lineRule="exact"/>
        <w:ind w:leftChars="502" w:left="1695" w:hangingChars="175" w:hanging="490"/>
        <w:jc w:val="both"/>
        <w:rPr>
          <w:rFonts w:eastAsia="標楷體"/>
          <w:sz w:val="28"/>
          <w:szCs w:val="28"/>
        </w:rPr>
      </w:pPr>
      <w:r w:rsidRPr="00D55DC6">
        <w:rPr>
          <w:rFonts w:eastAsia="標楷體"/>
          <w:b/>
          <w:sz w:val="28"/>
          <w:szCs w:val="28"/>
        </w:rPr>
        <w:t>3-2.</w:t>
      </w:r>
      <w:r w:rsidRPr="00D55DC6">
        <w:rPr>
          <w:rFonts w:eastAsia="標楷體"/>
          <w:b/>
          <w:sz w:val="28"/>
          <w:szCs w:val="28"/>
        </w:rPr>
        <w:t>先期規劃設計</w:t>
      </w:r>
      <w:r w:rsidRPr="00D55DC6">
        <w:rPr>
          <w:rFonts w:eastAsia="標楷體"/>
          <w:sz w:val="28"/>
          <w:szCs w:val="28"/>
        </w:rPr>
        <w:t>：辦理遊憩據點各項先期規劃、資源調查、開發經營管理策略研究及工程建設設計。</w:t>
      </w:r>
    </w:p>
    <w:p w:rsidR="00261ADB" w:rsidRPr="00D55DC6" w:rsidRDefault="00261ADB" w:rsidP="0038165F">
      <w:pPr>
        <w:pStyle w:val="af2"/>
        <w:snapToGrid w:val="0"/>
        <w:spacing w:line="460" w:lineRule="exact"/>
        <w:ind w:leftChars="502" w:left="1695" w:hangingChars="175" w:hanging="490"/>
        <w:jc w:val="both"/>
        <w:rPr>
          <w:rFonts w:eastAsia="標楷體"/>
          <w:sz w:val="28"/>
          <w:szCs w:val="28"/>
        </w:rPr>
      </w:pPr>
      <w:r w:rsidRPr="00D55DC6">
        <w:rPr>
          <w:rFonts w:eastAsia="標楷體"/>
          <w:b/>
          <w:sz w:val="28"/>
          <w:szCs w:val="28"/>
        </w:rPr>
        <w:lastRenderedPageBreak/>
        <w:t>3-3.</w:t>
      </w:r>
      <w:r w:rsidRPr="00D55DC6">
        <w:rPr>
          <w:rFonts w:eastAsia="標楷體"/>
          <w:b/>
          <w:sz w:val="28"/>
          <w:szCs w:val="28"/>
        </w:rPr>
        <w:t>環境維護及設施維持</w:t>
      </w:r>
      <w:r w:rsidRPr="00D55DC6">
        <w:rPr>
          <w:rFonts w:eastAsia="標楷體"/>
          <w:sz w:val="28"/>
          <w:szCs w:val="28"/>
        </w:rPr>
        <w:t>：各遊憩據點清潔維護採勞務外包方式辦理，建築物與設施定期巡查及保養，以提升遊客安全。</w:t>
      </w:r>
    </w:p>
    <w:p w:rsidR="00261ADB" w:rsidRPr="00D55DC6" w:rsidRDefault="00261ADB" w:rsidP="0038165F">
      <w:pPr>
        <w:pStyle w:val="af2"/>
        <w:snapToGrid w:val="0"/>
        <w:spacing w:line="460" w:lineRule="exact"/>
        <w:ind w:leftChars="502" w:left="1695" w:hangingChars="175" w:hanging="490"/>
        <w:jc w:val="both"/>
        <w:rPr>
          <w:rFonts w:eastAsia="標楷體"/>
          <w:sz w:val="28"/>
          <w:szCs w:val="28"/>
        </w:rPr>
      </w:pPr>
      <w:r w:rsidRPr="00D55DC6">
        <w:rPr>
          <w:rFonts w:eastAsia="標楷體"/>
          <w:b/>
          <w:sz w:val="28"/>
          <w:szCs w:val="28"/>
        </w:rPr>
        <w:t>3-4.</w:t>
      </w:r>
      <w:r w:rsidRPr="00D55DC6">
        <w:rPr>
          <w:rFonts w:eastAsia="標楷體"/>
          <w:b/>
          <w:sz w:val="28"/>
          <w:szCs w:val="28"/>
        </w:rPr>
        <w:t>全區災害復舊及一般零星工程</w:t>
      </w:r>
      <w:r w:rsidRPr="00D55DC6">
        <w:rPr>
          <w:rFonts w:eastAsia="標楷體"/>
          <w:sz w:val="28"/>
          <w:szCs w:val="28"/>
        </w:rPr>
        <w:t>：辦理全區遊憩景點災害緊急修復及興辦其他零星工程等，改善休憩景點設施，豐富遊憩內涵，提升整體旅遊環境品質。</w:t>
      </w:r>
    </w:p>
    <w:p w:rsidR="00261ADB" w:rsidRPr="00D55DC6" w:rsidRDefault="00261ADB" w:rsidP="0038165F">
      <w:pPr>
        <w:pStyle w:val="af2"/>
        <w:numPr>
          <w:ilvl w:val="2"/>
          <w:numId w:val="33"/>
        </w:numPr>
        <w:snapToGrid w:val="0"/>
        <w:spacing w:line="460" w:lineRule="exact"/>
        <w:ind w:leftChars="0" w:left="1276" w:hanging="394"/>
        <w:jc w:val="both"/>
        <w:rPr>
          <w:rFonts w:eastAsia="標楷體"/>
          <w:b/>
          <w:sz w:val="28"/>
          <w:szCs w:val="28"/>
        </w:rPr>
      </w:pPr>
      <w:r w:rsidRPr="00D55DC6">
        <w:rPr>
          <w:rFonts w:eastAsia="標楷體"/>
          <w:b/>
          <w:sz w:val="28"/>
          <w:szCs w:val="28"/>
        </w:rPr>
        <w:t>經營管理及行銷推廣</w:t>
      </w:r>
    </w:p>
    <w:p w:rsidR="00261ADB" w:rsidRPr="00D55DC6" w:rsidRDefault="00261ADB" w:rsidP="0038165F">
      <w:pPr>
        <w:pStyle w:val="af2"/>
        <w:snapToGrid w:val="0"/>
        <w:spacing w:line="460" w:lineRule="exact"/>
        <w:ind w:leftChars="501" w:left="3963" w:hangingChars="985" w:hanging="2761"/>
        <w:jc w:val="both"/>
        <w:rPr>
          <w:rFonts w:eastAsia="標楷體"/>
          <w:sz w:val="28"/>
          <w:szCs w:val="28"/>
        </w:rPr>
      </w:pPr>
      <w:r w:rsidRPr="00D55DC6">
        <w:rPr>
          <w:rFonts w:eastAsia="標楷體"/>
          <w:b/>
          <w:sz w:val="28"/>
          <w:szCs w:val="28"/>
        </w:rPr>
        <w:t>4-1.</w:t>
      </w:r>
      <w:r w:rsidRPr="00D55DC6">
        <w:rPr>
          <w:rFonts w:eastAsia="標楷體"/>
          <w:b/>
          <w:sz w:val="28"/>
          <w:szCs w:val="28"/>
        </w:rPr>
        <w:t>經營管理</w:t>
      </w:r>
      <w:r w:rsidRPr="00D55DC6">
        <w:rPr>
          <w:rFonts w:eastAsia="標楷體"/>
          <w:sz w:val="28"/>
          <w:szCs w:val="28"/>
        </w:rPr>
        <w:t>：</w:t>
      </w:r>
    </w:p>
    <w:p w:rsidR="00261ADB" w:rsidRPr="00D55DC6" w:rsidRDefault="00031A7D" w:rsidP="0038165F">
      <w:pPr>
        <w:snapToGrid w:val="0"/>
        <w:spacing w:line="460" w:lineRule="exact"/>
        <w:ind w:leftChars="699" w:left="2410" w:hangingChars="261" w:hanging="732"/>
        <w:jc w:val="both"/>
        <w:rPr>
          <w:rFonts w:eastAsia="標楷體"/>
          <w:sz w:val="28"/>
          <w:szCs w:val="28"/>
        </w:rPr>
      </w:pPr>
      <w:r w:rsidRPr="00D55DC6">
        <w:rPr>
          <w:rFonts w:eastAsia="標楷體"/>
          <w:b/>
          <w:sz w:val="28"/>
          <w:szCs w:val="28"/>
        </w:rPr>
        <w:t>4-1-1.</w:t>
      </w:r>
      <w:r w:rsidR="00261ADB" w:rsidRPr="00D55DC6">
        <w:rPr>
          <w:rFonts w:eastAsia="標楷體"/>
          <w:b/>
          <w:sz w:val="28"/>
          <w:szCs w:val="28"/>
        </w:rPr>
        <w:t>跨域合作的觀光發展平台</w:t>
      </w:r>
      <w:r w:rsidR="00261ADB" w:rsidRPr="00D55DC6">
        <w:rPr>
          <w:rFonts w:eastAsia="標楷體"/>
          <w:sz w:val="28"/>
          <w:szCs w:val="28"/>
        </w:rPr>
        <w:t>：為推動觀光發展，提升遊憩服務品質，與相關之主管部門就各項事務建立協商機制，成立平台，形成觀光推動共識，有計畫改善各項設施，共創優質旅遊環境與投資。</w:t>
      </w:r>
    </w:p>
    <w:p w:rsidR="00261ADB" w:rsidRPr="00D55DC6" w:rsidRDefault="00031A7D" w:rsidP="0038165F">
      <w:pPr>
        <w:snapToGrid w:val="0"/>
        <w:spacing w:line="460" w:lineRule="exact"/>
        <w:ind w:leftChars="699" w:left="2410" w:hangingChars="261" w:hanging="732"/>
        <w:jc w:val="both"/>
        <w:rPr>
          <w:rFonts w:eastAsia="標楷體"/>
          <w:sz w:val="28"/>
          <w:szCs w:val="28"/>
        </w:rPr>
      </w:pPr>
      <w:r w:rsidRPr="00D55DC6">
        <w:rPr>
          <w:rFonts w:eastAsia="標楷體"/>
          <w:b/>
          <w:sz w:val="28"/>
          <w:szCs w:val="28"/>
        </w:rPr>
        <w:t>4-1-2</w:t>
      </w:r>
      <w:r w:rsidR="00261ADB" w:rsidRPr="00D55DC6">
        <w:rPr>
          <w:rFonts w:eastAsia="標楷體"/>
          <w:b/>
          <w:sz w:val="28"/>
          <w:szCs w:val="28"/>
        </w:rPr>
        <w:t>.</w:t>
      </w:r>
      <w:r w:rsidR="00261ADB" w:rsidRPr="00D55DC6">
        <w:rPr>
          <w:rFonts w:eastAsia="標楷體"/>
          <w:b/>
          <w:sz w:val="28"/>
          <w:szCs w:val="28"/>
        </w:rPr>
        <w:t>提昇遊客安全工作</w:t>
      </w:r>
      <w:r w:rsidR="00261ADB" w:rsidRPr="00D55DC6">
        <w:rPr>
          <w:rFonts w:eastAsia="標楷體"/>
          <w:sz w:val="28"/>
          <w:szCs w:val="28"/>
        </w:rPr>
        <w:t>：進行遊客安全管理措施、加強水域活動管理、建立緊急救難系統及持續辦理遊客安全宣導等相關工作。</w:t>
      </w:r>
    </w:p>
    <w:p w:rsidR="00261ADB" w:rsidRPr="00D55DC6" w:rsidRDefault="00031A7D" w:rsidP="0038165F">
      <w:pPr>
        <w:snapToGrid w:val="0"/>
        <w:spacing w:line="460" w:lineRule="exact"/>
        <w:ind w:leftChars="699" w:left="2410" w:hangingChars="261" w:hanging="732"/>
        <w:jc w:val="both"/>
        <w:rPr>
          <w:rFonts w:eastAsia="標楷體"/>
          <w:sz w:val="28"/>
          <w:szCs w:val="28"/>
        </w:rPr>
      </w:pPr>
      <w:r w:rsidRPr="00D55DC6">
        <w:rPr>
          <w:rFonts w:eastAsia="標楷體"/>
          <w:b/>
          <w:sz w:val="28"/>
          <w:szCs w:val="28"/>
        </w:rPr>
        <w:t>4-1-3.</w:t>
      </w:r>
      <w:r w:rsidR="00261ADB" w:rsidRPr="00D55DC6">
        <w:rPr>
          <w:rFonts w:eastAsia="標楷體"/>
          <w:b/>
          <w:sz w:val="28"/>
          <w:szCs w:val="28"/>
        </w:rPr>
        <w:t>公有土地再利用</w:t>
      </w:r>
      <w:r w:rsidR="00261ADB" w:rsidRPr="00D55DC6">
        <w:rPr>
          <w:rFonts w:eastAsia="標楷體"/>
          <w:sz w:val="28"/>
          <w:szCs w:val="28"/>
        </w:rPr>
        <w:t>：盤整轄區土地，善加規劃公有閒置空間經營管理。</w:t>
      </w:r>
    </w:p>
    <w:p w:rsidR="00261ADB" w:rsidRPr="00D55DC6" w:rsidRDefault="00031A7D" w:rsidP="0038165F">
      <w:pPr>
        <w:snapToGrid w:val="0"/>
        <w:spacing w:line="460" w:lineRule="exact"/>
        <w:ind w:leftChars="699" w:left="2410" w:hangingChars="261" w:hanging="732"/>
        <w:jc w:val="both"/>
        <w:rPr>
          <w:rFonts w:eastAsia="標楷體"/>
          <w:sz w:val="28"/>
          <w:szCs w:val="28"/>
        </w:rPr>
      </w:pPr>
      <w:r w:rsidRPr="00D55DC6">
        <w:rPr>
          <w:rFonts w:eastAsia="標楷體"/>
          <w:b/>
          <w:sz w:val="28"/>
          <w:szCs w:val="28"/>
        </w:rPr>
        <w:t>4-1-4.</w:t>
      </w:r>
      <w:r w:rsidR="00261ADB" w:rsidRPr="00D55DC6">
        <w:rPr>
          <w:rFonts w:eastAsia="標楷體"/>
          <w:b/>
          <w:sz w:val="28"/>
          <w:szCs w:val="28"/>
        </w:rPr>
        <w:t>設施維護管理</w:t>
      </w:r>
      <w:r w:rsidR="00261ADB" w:rsidRPr="00D55DC6">
        <w:rPr>
          <w:rFonts w:eastAsia="標楷體"/>
          <w:sz w:val="28"/>
          <w:szCs w:val="28"/>
        </w:rPr>
        <w:t>：建立設施維護定時巡檢、及時維修，訂定遊憩設施承載量及相關管制措施、適地標示指標告示牌等</w:t>
      </w:r>
    </w:p>
    <w:p w:rsidR="00261ADB" w:rsidRPr="00D55DC6" w:rsidRDefault="00031A7D" w:rsidP="0038165F">
      <w:pPr>
        <w:snapToGrid w:val="0"/>
        <w:spacing w:line="460" w:lineRule="exact"/>
        <w:ind w:leftChars="699" w:left="2410" w:hangingChars="261" w:hanging="732"/>
        <w:jc w:val="both"/>
        <w:rPr>
          <w:rFonts w:eastAsia="標楷體"/>
          <w:sz w:val="28"/>
          <w:szCs w:val="28"/>
        </w:rPr>
      </w:pPr>
      <w:r w:rsidRPr="00D55DC6">
        <w:rPr>
          <w:rFonts w:eastAsia="標楷體"/>
          <w:b/>
          <w:sz w:val="28"/>
          <w:szCs w:val="28"/>
        </w:rPr>
        <w:t>4-1-5</w:t>
      </w:r>
      <w:r w:rsidR="00261ADB" w:rsidRPr="00D55DC6">
        <w:rPr>
          <w:rFonts w:eastAsia="標楷體"/>
          <w:b/>
          <w:sz w:val="28"/>
          <w:szCs w:val="28"/>
        </w:rPr>
        <w:t>.</w:t>
      </w:r>
      <w:r w:rsidR="00261ADB" w:rsidRPr="00D55DC6">
        <w:rPr>
          <w:rFonts w:eastAsia="標楷體"/>
          <w:b/>
          <w:sz w:val="28"/>
          <w:szCs w:val="28"/>
        </w:rPr>
        <w:t>環境整潔美化</w:t>
      </w:r>
      <w:r w:rsidR="00261ADB" w:rsidRPr="00D55DC6">
        <w:rPr>
          <w:rFonts w:eastAsia="標楷體"/>
          <w:sz w:val="28"/>
          <w:szCs w:val="28"/>
        </w:rPr>
        <w:t>：整合有關機關資源，執行環境清潔工作計畫、辦理植栽景觀養護工作、公廁友善設計。</w:t>
      </w:r>
    </w:p>
    <w:p w:rsidR="00261ADB" w:rsidRPr="00D55DC6" w:rsidRDefault="00031A7D" w:rsidP="0038165F">
      <w:pPr>
        <w:snapToGrid w:val="0"/>
        <w:spacing w:line="460" w:lineRule="exact"/>
        <w:ind w:leftChars="699" w:left="2410" w:hangingChars="261" w:hanging="732"/>
        <w:jc w:val="both"/>
        <w:rPr>
          <w:rFonts w:eastAsia="標楷體"/>
          <w:sz w:val="28"/>
          <w:szCs w:val="28"/>
        </w:rPr>
      </w:pPr>
      <w:r w:rsidRPr="00D55DC6">
        <w:rPr>
          <w:rFonts w:eastAsia="標楷體"/>
          <w:b/>
          <w:sz w:val="28"/>
          <w:szCs w:val="28"/>
        </w:rPr>
        <w:t>4-1-6.</w:t>
      </w:r>
      <w:r w:rsidR="00261ADB" w:rsidRPr="00D55DC6">
        <w:rPr>
          <w:rFonts w:eastAsia="標楷體"/>
          <w:b/>
          <w:sz w:val="28"/>
          <w:szCs w:val="28"/>
        </w:rPr>
        <w:t>發展福隆地區及宜蘭地區無障礙及銀髮族旅遊</w:t>
      </w:r>
      <w:r w:rsidR="00261ADB" w:rsidRPr="00D55DC6">
        <w:rPr>
          <w:rFonts w:eastAsia="標楷體"/>
          <w:sz w:val="28"/>
          <w:szCs w:val="28"/>
        </w:rPr>
        <w:t>：逐步改善轄區據點無障礙公共設施及設備。</w:t>
      </w:r>
    </w:p>
    <w:p w:rsidR="00261ADB" w:rsidRPr="00D55DC6" w:rsidRDefault="00031A7D" w:rsidP="0038165F">
      <w:pPr>
        <w:snapToGrid w:val="0"/>
        <w:spacing w:line="460" w:lineRule="exact"/>
        <w:ind w:leftChars="699" w:left="2410" w:hangingChars="261" w:hanging="732"/>
        <w:jc w:val="both"/>
        <w:rPr>
          <w:rFonts w:eastAsia="標楷體"/>
          <w:sz w:val="28"/>
          <w:szCs w:val="28"/>
        </w:rPr>
      </w:pPr>
      <w:r w:rsidRPr="00D55DC6">
        <w:rPr>
          <w:rFonts w:eastAsia="標楷體"/>
          <w:b/>
          <w:sz w:val="28"/>
          <w:szCs w:val="28"/>
        </w:rPr>
        <w:t>4-1-7.</w:t>
      </w:r>
      <w:r w:rsidR="00261ADB" w:rsidRPr="00D55DC6">
        <w:rPr>
          <w:rFonts w:eastAsia="標楷體"/>
          <w:b/>
          <w:sz w:val="28"/>
          <w:szCs w:val="28"/>
        </w:rPr>
        <w:t>推動轄區景點出租經營</w:t>
      </w:r>
      <w:r w:rsidR="00261ADB" w:rsidRPr="00D55DC6">
        <w:rPr>
          <w:rFonts w:eastAsia="標楷體"/>
          <w:sz w:val="28"/>
          <w:szCs w:val="28"/>
        </w:rPr>
        <w:t>：創造友善投資環境，藉由民間資源投資方式</w:t>
      </w:r>
      <w:r w:rsidR="00261ADB" w:rsidRPr="00D55DC6">
        <w:rPr>
          <w:rFonts w:eastAsia="標楷體"/>
          <w:sz w:val="28"/>
          <w:szCs w:val="28"/>
        </w:rPr>
        <w:t>(</w:t>
      </w:r>
      <w:r w:rsidR="00261ADB" w:rsidRPr="00D55DC6">
        <w:rPr>
          <w:rFonts w:eastAsia="標楷體"/>
          <w:sz w:val="28"/>
          <w:szCs w:val="28"/>
        </w:rPr>
        <w:t>出租、</w:t>
      </w:r>
      <w:r w:rsidR="00261ADB" w:rsidRPr="00D55DC6">
        <w:rPr>
          <w:rFonts w:eastAsia="標楷體"/>
          <w:sz w:val="28"/>
          <w:szCs w:val="28"/>
        </w:rPr>
        <w:t>BOT</w:t>
      </w:r>
      <w:r w:rsidR="00261ADB" w:rsidRPr="00D55DC6">
        <w:rPr>
          <w:rFonts w:eastAsia="標楷體"/>
          <w:sz w:val="28"/>
          <w:szCs w:val="28"/>
        </w:rPr>
        <w:t>、</w:t>
      </w:r>
      <w:r w:rsidR="00261ADB" w:rsidRPr="00D55DC6">
        <w:rPr>
          <w:rFonts w:eastAsia="標楷體"/>
          <w:sz w:val="28"/>
          <w:szCs w:val="28"/>
        </w:rPr>
        <w:t>OT</w:t>
      </w:r>
      <w:r w:rsidR="00261ADB" w:rsidRPr="00D55DC6">
        <w:rPr>
          <w:rFonts w:eastAsia="標楷體"/>
          <w:sz w:val="28"/>
          <w:szCs w:val="28"/>
        </w:rPr>
        <w:t>、</w:t>
      </w:r>
      <w:r w:rsidR="00261ADB" w:rsidRPr="00D55DC6">
        <w:rPr>
          <w:rFonts w:eastAsia="標楷體"/>
          <w:sz w:val="28"/>
          <w:szCs w:val="28"/>
        </w:rPr>
        <w:t>ROT</w:t>
      </w:r>
      <w:r w:rsidR="00261ADB" w:rsidRPr="00D55DC6">
        <w:rPr>
          <w:rFonts w:eastAsia="標楷體"/>
          <w:sz w:val="28"/>
          <w:szCs w:val="28"/>
        </w:rPr>
        <w:t>等</w:t>
      </w:r>
      <w:r w:rsidR="00261ADB" w:rsidRPr="00D55DC6">
        <w:rPr>
          <w:rFonts w:eastAsia="標楷體"/>
          <w:sz w:val="28"/>
          <w:szCs w:val="28"/>
        </w:rPr>
        <w:t>)</w:t>
      </w:r>
      <w:r w:rsidR="00261ADB" w:rsidRPr="00D55DC6">
        <w:rPr>
          <w:rFonts w:eastAsia="標楷體"/>
          <w:sz w:val="28"/>
          <w:szCs w:val="28"/>
        </w:rPr>
        <w:t>，利用民間的財力與創造力開發遊憩據點，創造遊客、業者及政府三贏。</w:t>
      </w:r>
    </w:p>
    <w:p w:rsidR="00261ADB" w:rsidRPr="00D55DC6" w:rsidRDefault="00031A7D" w:rsidP="0038165F">
      <w:pPr>
        <w:snapToGrid w:val="0"/>
        <w:spacing w:line="460" w:lineRule="exact"/>
        <w:ind w:leftChars="699" w:left="2410" w:hangingChars="261" w:hanging="732"/>
        <w:jc w:val="both"/>
        <w:rPr>
          <w:rFonts w:eastAsia="標楷體"/>
          <w:sz w:val="28"/>
          <w:szCs w:val="28"/>
        </w:rPr>
      </w:pPr>
      <w:r w:rsidRPr="00D55DC6">
        <w:rPr>
          <w:rFonts w:eastAsia="標楷體"/>
          <w:b/>
          <w:sz w:val="28"/>
          <w:szCs w:val="28"/>
        </w:rPr>
        <w:t>4-1-8</w:t>
      </w:r>
      <w:r w:rsidR="00261ADB" w:rsidRPr="00D55DC6">
        <w:rPr>
          <w:rFonts w:eastAsia="標楷體"/>
          <w:b/>
          <w:sz w:val="28"/>
          <w:szCs w:val="28"/>
        </w:rPr>
        <w:t>.</w:t>
      </w:r>
      <w:r w:rsidR="00261ADB" w:rsidRPr="00D55DC6">
        <w:rPr>
          <w:rFonts w:eastAsia="標楷體"/>
          <w:b/>
          <w:sz w:val="28"/>
          <w:szCs w:val="28"/>
        </w:rPr>
        <w:t>善用地方資源</w:t>
      </w:r>
      <w:r w:rsidR="00261ADB" w:rsidRPr="00D55DC6">
        <w:rPr>
          <w:rFonts w:eastAsia="標楷體"/>
          <w:sz w:val="28"/>
          <w:szCs w:val="28"/>
        </w:rPr>
        <w:t>：與當地社區團體合作，賡續經營維護當地環境設施及綠美化環境，增加地方參與，與地方共生共榮。</w:t>
      </w:r>
    </w:p>
    <w:p w:rsidR="00261ADB" w:rsidRPr="00D55DC6" w:rsidRDefault="00261ADB" w:rsidP="0038165F">
      <w:pPr>
        <w:pStyle w:val="af2"/>
        <w:snapToGrid w:val="0"/>
        <w:spacing w:line="460" w:lineRule="exact"/>
        <w:ind w:leftChars="501" w:left="3963" w:hangingChars="985" w:hanging="2761"/>
        <w:jc w:val="both"/>
        <w:rPr>
          <w:rFonts w:eastAsia="標楷體"/>
          <w:b/>
          <w:sz w:val="28"/>
          <w:szCs w:val="28"/>
        </w:rPr>
      </w:pPr>
      <w:r w:rsidRPr="00D55DC6">
        <w:rPr>
          <w:rFonts w:eastAsia="標楷體"/>
          <w:b/>
          <w:sz w:val="28"/>
          <w:szCs w:val="28"/>
        </w:rPr>
        <w:lastRenderedPageBreak/>
        <w:t>4-2.</w:t>
      </w:r>
      <w:r w:rsidRPr="00D55DC6">
        <w:rPr>
          <w:rFonts w:eastAsia="標楷體"/>
          <w:b/>
          <w:sz w:val="28"/>
          <w:szCs w:val="28"/>
        </w:rPr>
        <w:t>行銷推廣：</w:t>
      </w:r>
    </w:p>
    <w:p w:rsidR="00261ADB" w:rsidRPr="00D55DC6" w:rsidRDefault="00031A7D" w:rsidP="0038165F">
      <w:pPr>
        <w:snapToGrid w:val="0"/>
        <w:spacing w:line="460" w:lineRule="exact"/>
        <w:ind w:leftChars="699" w:left="2409" w:hangingChars="261" w:hanging="731"/>
        <w:jc w:val="both"/>
        <w:rPr>
          <w:rFonts w:eastAsia="標楷體"/>
          <w:sz w:val="28"/>
          <w:szCs w:val="28"/>
        </w:rPr>
      </w:pPr>
      <w:r w:rsidRPr="00D55DC6">
        <w:rPr>
          <w:rFonts w:eastAsia="標楷體"/>
          <w:sz w:val="28"/>
          <w:szCs w:val="28"/>
        </w:rPr>
        <w:t>4-2-1</w:t>
      </w:r>
      <w:r w:rsidR="00261ADB" w:rsidRPr="00D55DC6">
        <w:rPr>
          <w:rFonts w:eastAsia="標楷體"/>
          <w:sz w:val="28"/>
          <w:szCs w:val="28"/>
        </w:rPr>
        <w:t>.</w:t>
      </w:r>
      <w:r w:rsidR="00261ADB" w:rsidRPr="00D55DC6">
        <w:rPr>
          <w:rFonts w:eastAsia="標楷體"/>
          <w:sz w:val="28"/>
          <w:szCs w:val="28"/>
        </w:rPr>
        <w:t>持續舉辦活動行銷地方景點，基於遊客分流及區域平衡，未來規劃轄區四季遊程，開發遊憩路線，行銷地方特產，強化宜蘭轄區意象及行銷活動，朝效益擴散的方式規劃。</w:t>
      </w:r>
    </w:p>
    <w:p w:rsidR="00261ADB" w:rsidRPr="00D55DC6" w:rsidRDefault="00031A7D" w:rsidP="0038165F">
      <w:pPr>
        <w:snapToGrid w:val="0"/>
        <w:spacing w:line="460" w:lineRule="exact"/>
        <w:ind w:leftChars="699" w:left="2409" w:hangingChars="261" w:hanging="731"/>
        <w:jc w:val="both"/>
        <w:rPr>
          <w:rFonts w:eastAsia="標楷體"/>
          <w:sz w:val="28"/>
          <w:szCs w:val="28"/>
        </w:rPr>
      </w:pPr>
      <w:r w:rsidRPr="00D55DC6">
        <w:rPr>
          <w:rFonts w:eastAsia="標楷體"/>
          <w:sz w:val="28"/>
          <w:szCs w:val="28"/>
        </w:rPr>
        <w:t>4-2-2</w:t>
      </w:r>
      <w:r w:rsidR="00261ADB" w:rsidRPr="00D55DC6">
        <w:rPr>
          <w:rFonts w:eastAsia="標楷體"/>
          <w:sz w:val="28"/>
          <w:szCs w:val="28"/>
        </w:rPr>
        <w:t>.</w:t>
      </w:r>
      <w:r w:rsidR="00261ADB" w:rsidRPr="00D55DC6">
        <w:rPr>
          <w:rFonts w:eastAsia="標楷體"/>
          <w:sz w:val="28"/>
          <w:szCs w:val="28"/>
        </w:rPr>
        <w:t>推動二鐵</w:t>
      </w:r>
      <w:r w:rsidR="00261ADB" w:rsidRPr="00D55DC6">
        <w:rPr>
          <w:rFonts w:eastAsia="標楷體"/>
          <w:sz w:val="28"/>
          <w:szCs w:val="28"/>
        </w:rPr>
        <w:t>(</w:t>
      </w:r>
      <w:r w:rsidR="00261ADB" w:rsidRPr="00D55DC6">
        <w:rPr>
          <w:rFonts w:eastAsia="標楷體"/>
          <w:sz w:val="28"/>
          <w:szCs w:val="28"/>
        </w:rPr>
        <w:t>台鐵、鐵馬</w:t>
      </w:r>
      <w:r w:rsidR="00261ADB" w:rsidRPr="00D55DC6">
        <w:rPr>
          <w:rFonts w:eastAsia="標楷體"/>
          <w:sz w:val="28"/>
          <w:szCs w:val="28"/>
        </w:rPr>
        <w:t>)</w:t>
      </w:r>
      <w:r w:rsidR="00261ADB" w:rsidRPr="00D55DC6">
        <w:rPr>
          <w:rFonts w:eastAsia="標楷體"/>
          <w:sz w:val="28"/>
          <w:szCs w:val="28"/>
        </w:rPr>
        <w:t>輕旅行，強化轄區原有自行車道設施，結合當地特色生態、環境、人文及農特產，規劃與台鐵結合之新遊程，以推廣地方景點。</w:t>
      </w:r>
    </w:p>
    <w:p w:rsidR="00261ADB" w:rsidRPr="00D55DC6" w:rsidRDefault="00261ADB" w:rsidP="0038165F">
      <w:pPr>
        <w:pStyle w:val="af2"/>
        <w:numPr>
          <w:ilvl w:val="2"/>
          <w:numId w:val="33"/>
        </w:numPr>
        <w:snapToGrid w:val="0"/>
        <w:spacing w:line="460" w:lineRule="exact"/>
        <w:ind w:leftChars="0" w:left="1162" w:hanging="280"/>
        <w:jc w:val="both"/>
        <w:rPr>
          <w:rFonts w:eastAsia="標楷體"/>
          <w:b/>
          <w:sz w:val="28"/>
          <w:szCs w:val="28"/>
        </w:rPr>
      </w:pPr>
      <w:r w:rsidRPr="00D55DC6">
        <w:rPr>
          <w:rFonts w:eastAsia="標楷體"/>
          <w:b/>
          <w:sz w:val="28"/>
          <w:szCs w:val="28"/>
        </w:rPr>
        <w:t>提升觀光建設自償性</w:t>
      </w:r>
    </w:p>
    <w:p w:rsidR="00261ADB" w:rsidRPr="00D55DC6" w:rsidRDefault="00261ADB" w:rsidP="0038165F">
      <w:pPr>
        <w:pStyle w:val="af2"/>
        <w:snapToGrid w:val="0"/>
        <w:spacing w:line="460" w:lineRule="exact"/>
        <w:ind w:leftChars="472" w:left="1559" w:hangingChars="152" w:hanging="426"/>
        <w:jc w:val="both"/>
        <w:rPr>
          <w:rFonts w:eastAsia="標楷體"/>
          <w:noProof/>
          <w:sz w:val="28"/>
          <w:szCs w:val="28"/>
        </w:rPr>
      </w:pPr>
      <w:r w:rsidRPr="00D55DC6">
        <w:rPr>
          <w:rFonts w:eastAsia="標楷體"/>
          <w:b/>
          <w:noProof/>
          <w:sz w:val="28"/>
          <w:szCs w:val="28"/>
        </w:rPr>
        <w:t>5-1.</w:t>
      </w:r>
      <w:r w:rsidRPr="00D55DC6">
        <w:rPr>
          <w:rFonts w:eastAsia="標楷體"/>
          <w:b/>
          <w:noProof/>
          <w:sz w:val="28"/>
          <w:szCs w:val="28"/>
        </w:rPr>
        <w:t>設施出租：</w:t>
      </w:r>
      <w:r w:rsidRPr="00D55DC6">
        <w:rPr>
          <w:rFonts w:eastAsia="標楷體"/>
          <w:noProof/>
          <w:sz w:val="28"/>
          <w:szCs w:val="28"/>
        </w:rPr>
        <w:t>北關海潮公園、龍門露營區增加獲狩獵屋設施，提高租金、新闢龍洞灣人工攀岩場遊憩據點、外澳沙灘委託民間經營管理、福隆海灘風帆活動場地出租。</w:t>
      </w:r>
    </w:p>
    <w:p w:rsidR="00261ADB" w:rsidRPr="00D55DC6" w:rsidRDefault="00261ADB" w:rsidP="0038165F">
      <w:pPr>
        <w:pStyle w:val="af2"/>
        <w:snapToGrid w:val="0"/>
        <w:spacing w:line="460" w:lineRule="exact"/>
        <w:ind w:leftChars="472" w:left="1559" w:hangingChars="152" w:hanging="426"/>
        <w:jc w:val="both"/>
        <w:rPr>
          <w:rFonts w:eastAsia="標楷體"/>
          <w:noProof/>
          <w:sz w:val="28"/>
          <w:szCs w:val="28"/>
        </w:rPr>
      </w:pPr>
      <w:r w:rsidRPr="00D55DC6">
        <w:rPr>
          <w:rFonts w:eastAsia="標楷體"/>
          <w:b/>
          <w:noProof/>
          <w:sz w:val="28"/>
          <w:szCs w:val="28"/>
        </w:rPr>
        <w:t>5-2.</w:t>
      </w:r>
      <w:r w:rsidRPr="00D55DC6">
        <w:rPr>
          <w:rFonts w:eastAsia="標楷體"/>
          <w:b/>
          <w:noProof/>
          <w:sz w:val="28"/>
          <w:szCs w:val="28"/>
        </w:rPr>
        <w:t>促參：</w:t>
      </w:r>
      <w:r w:rsidRPr="00D55DC6">
        <w:rPr>
          <w:rFonts w:eastAsia="標楷體"/>
          <w:noProof/>
          <w:sz w:val="28"/>
          <w:szCs w:val="28"/>
        </w:rPr>
        <w:t>北關海潮公園向宜蘭縣政府撥用土地後，改以</w:t>
      </w:r>
      <w:r w:rsidRPr="00D55DC6">
        <w:rPr>
          <w:rFonts w:eastAsia="標楷體"/>
          <w:noProof/>
          <w:sz w:val="28"/>
          <w:szCs w:val="28"/>
        </w:rPr>
        <w:t>BOT</w:t>
      </w:r>
      <w:r w:rsidRPr="00D55DC6">
        <w:rPr>
          <w:rFonts w:eastAsia="標楷體"/>
          <w:noProof/>
          <w:sz w:val="28"/>
          <w:szCs w:val="28"/>
        </w:rPr>
        <w:t>方式委外經營管理、推動壯圍旅遊服務園區委外案。</w:t>
      </w:r>
    </w:p>
    <w:p w:rsidR="00261ADB" w:rsidRPr="00D55DC6" w:rsidRDefault="00261ADB" w:rsidP="0038165F">
      <w:pPr>
        <w:pStyle w:val="af2"/>
        <w:snapToGrid w:val="0"/>
        <w:spacing w:line="460" w:lineRule="exact"/>
        <w:ind w:leftChars="472" w:left="1559" w:hangingChars="152" w:hanging="426"/>
        <w:jc w:val="both"/>
        <w:rPr>
          <w:rFonts w:eastAsia="標楷體"/>
          <w:noProof/>
          <w:sz w:val="28"/>
          <w:szCs w:val="28"/>
        </w:rPr>
      </w:pPr>
      <w:r w:rsidRPr="00D55DC6">
        <w:rPr>
          <w:rFonts w:eastAsia="標楷體"/>
          <w:b/>
          <w:noProof/>
          <w:sz w:val="28"/>
          <w:szCs w:val="28"/>
        </w:rPr>
        <w:t>5-3.</w:t>
      </w:r>
      <w:r w:rsidRPr="00D55DC6">
        <w:rPr>
          <w:rFonts w:eastAsia="標楷體"/>
          <w:b/>
          <w:noProof/>
          <w:sz w:val="28"/>
          <w:szCs w:val="28"/>
        </w:rPr>
        <w:t>使用者付費</w:t>
      </w:r>
      <w:r w:rsidRPr="00D55DC6">
        <w:rPr>
          <w:rFonts w:eastAsia="標楷體"/>
          <w:noProof/>
          <w:sz w:val="28"/>
          <w:szCs w:val="28"/>
        </w:rPr>
        <w:t>：辦理福隆遊客中心停車場收費、沙雕活動門票收益分收、規劃龜山島收取清潔維護費及泊靠費。</w:t>
      </w:r>
    </w:p>
    <w:p w:rsidR="00261ADB" w:rsidRPr="00D55DC6" w:rsidRDefault="00261ADB" w:rsidP="0038165F">
      <w:pPr>
        <w:pStyle w:val="af2"/>
        <w:snapToGrid w:val="0"/>
        <w:spacing w:line="460" w:lineRule="exact"/>
        <w:ind w:leftChars="472" w:left="1559" w:hangingChars="152" w:hanging="426"/>
        <w:jc w:val="both"/>
        <w:rPr>
          <w:rFonts w:eastAsia="標楷體"/>
          <w:noProof/>
          <w:sz w:val="28"/>
          <w:szCs w:val="28"/>
        </w:rPr>
      </w:pPr>
      <w:r w:rsidRPr="00D55DC6">
        <w:rPr>
          <w:rFonts w:eastAsia="標楷體"/>
          <w:b/>
          <w:noProof/>
          <w:sz w:val="28"/>
          <w:szCs w:val="28"/>
        </w:rPr>
        <w:t>5-4.</w:t>
      </w:r>
      <w:r w:rsidRPr="00D55DC6">
        <w:rPr>
          <w:rFonts w:eastAsia="標楷體"/>
          <w:b/>
          <w:noProof/>
          <w:sz w:val="28"/>
          <w:szCs w:val="28"/>
        </w:rPr>
        <w:t>跨域合作</w:t>
      </w:r>
      <w:r w:rsidRPr="00D55DC6">
        <w:rPr>
          <w:rFonts w:eastAsia="標楷體"/>
          <w:noProof/>
          <w:sz w:val="28"/>
          <w:szCs w:val="28"/>
        </w:rPr>
        <w:t>：蘇澳冷泉公園與蘇澳鎮鎮公所分收租金，壯圍加留沙埔園區與宜蘭縣政府合作等。</w:t>
      </w:r>
    </w:p>
    <w:p w:rsidR="00261ADB" w:rsidRPr="00D55DC6" w:rsidRDefault="00261ADB" w:rsidP="0038165F">
      <w:pPr>
        <w:pStyle w:val="af2"/>
        <w:snapToGrid w:val="0"/>
        <w:spacing w:line="460" w:lineRule="exact"/>
        <w:ind w:leftChars="0" w:left="840"/>
        <w:jc w:val="both"/>
        <w:rPr>
          <w:rFonts w:eastAsia="標楷體"/>
          <w:noProof/>
          <w:sz w:val="28"/>
          <w:szCs w:val="28"/>
        </w:rPr>
      </w:pPr>
    </w:p>
    <w:p w:rsidR="00261ADB" w:rsidRPr="00D55DC6" w:rsidRDefault="00261ADB" w:rsidP="0038165F">
      <w:pPr>
        <w:pStyle w:val="af2"/>
        <w:numPr>
          <w:ilvl w:val="0"/>
          <w:numId w:val="32"/>
        </w:numPr>
        <w:snapToGrid w:val="0"/>
        <w:spacing w:line="460" w:lineRule="exact"/>
        <w:ind w:leftChars="0" w:left="854" w:hanging="854"/>
        <w:jc w:val="both"/>
        <w:rPr>
          <w:rFonts w:eastAsia="標楷體"/>
          <w:b/>
          <w:sz w:val="28"/>
          <w:szCs w:val="28"/>
        </w:rPr>
      </w:pPr>
      <w:r w:rsidRPr="00D55DC6">
        <w:rPr>
          <w:rFonts w:eastAsia="標楷體"/>
          <w:b/>
          <w:sz w:val="28"/>
          <w:szCs w:val="28"/>
        </w:rPr>
        <w:t>分年預期成果</w:t>
      </w:r>
    </w:p>
    <w:p w:rsidR="00261ADB" w:rsidRPr="00D55DC6" w:rsidRDefault="00261ADB" w:rsidP="0038165F">
      <w:pPr>
        <w:spacing w:line="460" w:lineRule="exact"/>
        <w:ind w:leftChars="379" w:left="1381" w:hangingChars="168" w:hanging="471"/>
        <w:jc w:val="both"/>
        <w:rPr>
          <w:rFonts w:eastAsia="標楷體"/>
          <w:b/>
          <w:sz w:val="28"/>
          <w:szCs w:val="28"/>
        </w:rPr>
      </w:pPr>
      <w:r w:rsidRPr="00D55DC6">
        <w:rPr>
          <w:rFonts w:eastAsia="標楷體"/>
          <w:b/>
          <w:sz w:val="28"/>
          <w:szCs w:val="28"/>
        </w:rPr>
        <w:t>1.105</w:t>
      </w:r>
      <w:r w:rsidRPr="00D55DC6">
        <w:rPr>
          <w:rFonts w:eastAsia="標楷體"/>
          <w:b/>
          <w:sz w:val="28"/>
          <w:szCs w:val="28"/>
        </w:rPr>
        <w:t>年完成</w:t>
      </w:r>
    </w:p>
    <w:p w:rsidR="00261ADB" w:rsidRPr="00D55DC6" w:rsidRDefault="00261ADB" w:rsidP="0038165F">
      <w:pPr>
        <w:spacing w:line="460" w:lineRule="exact"/>
        <w:ind w:leftChars="506" w:left="1214" w:firstLineChars="10" w:firstLine="28"/>
        <w:jc w:val="both"/>
        <w:rPr>
          <w:rFonts w:eastAsia="標楷體"/>
          <w:sz w:val="28"/>
          <w:szCs w:val="28"/>
        </w:rPr>
      </w:pPr>
      <w:r w:rsidRPr="00D55DC6">
        <w:rPr>
          <w:rFonts w:eastAsia="標楷體"/>
          <w:b/>
          <w:sz w:val="28"/>
          <w:szCs w:val="28"/>
        </w:rPr>
        <w:t>1-1.</w:t>
      </w:r>
      <w:r w:rsidRPr="00D55DC6">
        <w:rPr>
          <w:rFonts w:eastAsia="標楷體"/>
          <w:b/>
          <w:sz w:val="28"/>
          <w:szCs w:val="28"/>
        </w:rPr>
        <w:t>國際觀光重要景點</w:t>
      </w:r>
      <w:r w:rsidR="00031A7D" w:rsidRPr="00D55DC6">
        <w:rPr>
          <w:rFonts w:eastAsia="標楷體"/>
          <w:b/>
          <w:sz w:val="28"/>
          <w:szCs w:val="28"/>
        </w:rPr>
        <w:t>建設</w:t>
      </w:r>
      <w:r w:rsidRPr="00D55DC6">
        <w:rPr>
          <w:rFonts w:eastAsia="標楷體"/>
          <w:b/>
          <w:sz w:val="28"/>
          <w:szCs w:val="28"/>
        </w:rPr>
        <w:t>-</w:t>
      </w:r>
      <w:r w:rsidRPr="00D55DC6">
        <w:rPr>
          <w:rFonts w:eastAsia="標楷體"/>
          <w:sz w:val="28"/>
          <w:szCs w:val="28"/>
        </w:rPr>
        <w:t xml:space="preserve"> </w:t>
      </w:r>
    </w:p>
    <w:p w:rsidR="00261ADB" w:rsidRPr="00D55DC6" w:rsidRDefault="00261ADB" w:rsidP="0038165F">
      <w:pPr>
        <w:spacing w:line="460" w:lineRule="exact"/>
        <w:ind w:leftChars="782" w:left="2745" w:hangingChars="310" w:hanging="868"/>
        <w:jc w:val="both"/>
        <w:rPr>
          <w:rFonts w:eastAsia="標楷體"/>
          <w:sz w:val="28"/>
          <w:szCs w:val="28"/>
        </w:rPr>
      </w:pPr>
      <w:r w:rsidRPr="00D55DC6">
        <w:rPr>
          <w:rFonts w:eastAsia="標楷體"/>
          <w:sz w:val="28"/>
          <w:szCs w:val="28"/>
        </w:rPr>
        <w:t>1-1-1.</w:t>
      </w:r>
      <w:r w:rsidRPr="00D55DC6">
        <w:rPr>
          <w:rFonts w:eastAsia="標楷體"/>
          <w:sz w:val="28"/>
          <w:szCs w:val="28"/>
        </w:rPr>
        <w:t>鼻頭龍洞遊憩區（</w:t>
      </w:r>
      <w:r w:rsidRPr="00D55DC6">
        <w:rPr>
          <w:rFonts w:eastAsia="標楷體"/>
          <w:bCs/>
          <w:sz w:val="28"/>
          <w:szCs w:val="28"/>
        </w:rPr>
        <w:t>龍洞南口海洋公園環境及周邊設施</w:t>
      </w:r>
      <w:r w:rsidRPr="00D55DC6">
        <w:rPr>
          <w:rFonts w:eastAsia="標楷體"/>
          <w:sz w:val="28"/>
          <w:szCs w:val="28"/>
        </w:rPr>
        <w:t>工程）</w:t>
      </w:r>
    </w:p>
    <w:p w:rsidR="00261ADB" w:rsidRPr="00D55DC6" w:rsidRDefault="00261ADB" w:rsidP="0038165F">
      <w:pPr>
        <w:spacing w:line="460" w:lineRule="exact"/>
        <w:ind w:leftChars="782" w:left="2745" w:hangingChars="310" w:hanging="868"/>
        <w:jc w:val="both"/>
        <w:rPr>
          <w:rFonts w:eastAsia="標楷體"/>
          <w:sz w:val="28"/>
          <w:szCs w:val="28"/>
        </w:rPr>
      </w:pPr>
      <w:r w:rsidRPr="00D55DC6">
        <w:rPr>
          <w:rFonts w:eastAsia="標楷體"/>
          <w:sz w:val="28"/>
          <w:szCs w:val="28"/>
        </w:rPr>
        <w:t>1-1-2.</w:t>
      </w:r>
      <w:r w:rsidRPr="00D55DC6">
        <w:rPr>
          <w:rFonts w:eastAsia="標楷體"/>
          <w:sz w:val="28"/>
          <w:szCs w:val="28"/>
        </w:rPr>
        <w:t>福隆遊憩區</w:t>
      </w:r>
      <w:r w:rsidRPr="00D55DC6">
        <w:rPr>
          <w:rFonts w:eastAsia="標楷體"/>
          <w:sz w:val="28"/>
          <w:szCs w:val="28"/>
        </w:rPr>
        <w:t>(</w:t>
      </w:r>
      <w:r w:rsidRPr="00D55DC6">
        <w:rPr>
          <w:rFonts w:eastAsia="標楷體"/>
          <w:sz w:val="28"/>
          <w:szCs w:val="28"/>
        </w:rPr>
        <w:t>雙溪河周邊地區設施工程</w:t>
      </w:r>
      <w:r w:rsidRPr="00D55DC6">
        <w:rPr>
          <w:rFonts w:eastAsia="標楷體"/>
          <w:sz w:val="28"/>
          <w:szCs w:val="28"/>
        </w:rPr>
        <w:t>)</w:t>
      </w:r>
    </w:p>
    <w:p w:rsidR="00261ADB" w:rsidRPr="00D55DC6" w:rsidRDefault="00261ADB" w:rsidP="0038165F">
      <w:pPr>
        <w:spacing w:line="460" w:lineRule="exact"/>
        <w:ind w:leftChars="782" w:left="2745" w:hangingChars="310" w:hanging="868"/>
        <w:jc w:val="both"/>
        <w:rPr>
          <w:rFonts w:eastAsia="標楷體"/>
          <w:sz w:val="28"/>
          <w:szCs w:val="28"/>
        </w:rPr>
      </w:pPr>
      <w:r w:rsidRPr="00D55DC6">
        <w:rPr>
          <w:rFonts w:eastAsia="標楷體"/>
          <w:sz w:val="28"/>
          <w:szCs w:val="28"/>
        </w:rPr>
        <w:t>1-1-3.</w:t>
      </w:r>
      <w:r w:rsidRPr="00D55DC6">
        <w:rPr>
          <w:rFonts w:eastAsia="標楷體"/>
          <w:sz w:val="28"/>
          <w:szCs w:val="28"/>
        </w:rPr>
        <w:t>外澳遊憩區（龜山島設施工程）</w:t>
      </w:r>
    </w:p>
    <w:p w:rsidR="00261ADB" w:rsidRPr="00D55DC6" w:rsidRDefault="00261ADB" w:rsidP="0038165F">
      <w:pPr>
        <w:spacing w:line="460" w:lineRule="exact"/>
        <w:ind w:leftChars="782" w:left="2745" w:hangingChars="310" w:hanging="868"/>
        <w:jc w:val="both"/>
        <w:rPr>
          <w:rFonts w:eastAsia="標楷體"/>
          <w:sz w:val="28"/>
          <w:szCs w:val="28"/>
        </w:rPr>
      </w:pPr>
      <w:r w:rsidRPr="00D55DC6">
        <w:rPr>
          <w:rFonts w:eastAsia="標楷體"/>
          <w:sz w:val="28"/>
          <w:szCs w:val="28"/>
        </w:rPr>
        <w:t>1-1-4.</w:t>
      </w:r>
      <w:r w:rsidRPr="00D55DC6">
        <w:rPr>
          <w:rFonts w:eastAsia="標楷體"/>
          <w:sz w:val="28"/>
          <w:szCs w:val="28"/>
        </w:rPr>
        <w:t>宜蘭遊憩區</w:t>
      </w:r>
      <w:r w:rsidRPr="00D55DC6">
        <w:rPr>
          <w:rFonts w:eastAsia="標楷體"/>
          <w:sz w:val="28"/>
          <w:szCs w:val="28"/>
        </w:rPr>
        <w:t xml:space="preserve"> (</w:t>
      </w:r>
      <w:r w:rsidRPr="00D55DC6">
        <w:rPr>
          <w:rFonts w:eastAsia="標楷體"/>
          <w:sz w:val="28"/>
          <w:szCs w:val="28"/>
        </w:rPr>
        <w:t>壯圍旅遊服務園區設施工程）。</w:t>
      </w:r>
    </w:p>
    <w:p w:rsidR="00261ADB" w:rsidRPr="00D55DC6" w:rsidRDefault="00261ADB" w:rsidP="0038165F">
      <w:pPr>
        <w:spacing w:line="460" w:lineRule="exact"/>
        <w:ind w:leftChars="506" w:left="1214" w:firstLineChars="10" w:firstLine="28"/>
        <w:jc w:val="both"/>
        <w:rPr>
          <w:rFonts w:eastAsia="標楷體"/>
          <w:b/>
          <w:sz w:val="28"/>
          <w:szCs w:val="28"/>
        </w:rPr>
      </w:pPr>
      <w:r w:rsidRPr="00D55DC6">
        <w:rPr>
          <w:rFonts w:eastAsia="標楷體"/>
          <w:b/>
          <w:sz w:val="28"/>
          <w:szCs w:val="28"/>
        </w:rPr>
        <w:t>1-2.</w:t>
      </w:r>
      <w:r w:rsidRPr="00D55DC6">
        <w:rPr>
          <w:rFonts w:eastAsia="標楷體"/>
          <w:b/>
          <w:sz w:val="28"/>
          <w:szCs w:val="28"/>
        </w:rPr>
        <w:t>國內觀光重要景點建設</w:t>
      </w:r>
      <w:r w:rsidRPr="00D55DC6">
        <w:rPr>
          <w:rFonts w:eastAsia="標楷體"/>
          <w:b/>
          <w:sz w:val="28"/>
          <w:szCs w:val="28"/>
        </w:rPr>
        <w:t xml:space="preserve">- </w:t>
      </w:r>
    </w:p>
    <w:p w:rsidR="00261ADB" w:rsidRPr="00D55DC6" w:rsidRDefault="00261ADB" w:rsidP="0038165F">
      <w:pPr>
        <w:spacing w:line="460" w:lineRule="exact"/>
        <w:ind w:leftChars="782" w:left="1919" w:hangingChars="15" w:hanging="42"/>
        <w:jc w:val="both"/>
        <w:rPr>
          <w:rFonts w:eastAsia="標楷體"/>
          <w:sz w:val="28"/>
          <w:szCs w:val="28"/>
        </w:rPr>
      </w:pPr>
      <w:r w:rsidRPr="00D55DC6">
        <w:rPr>
          <w:rFonts w:eastAsia="標楷體"/>
          <w:sz w:val="28"/>
          <w:szCs w:val="28"/>
        </w:rPr>
        <w:t>大里大溪遊憩區（草嶺古道沿線整建工程、石城觀景區周邊空間改善工程</w:t>
      </w:r>
      <w:r w:rsidRPr="00D55DC6">
        <w:rPr>
          <w:rFonts w:eastAsia="標楷體"/>
          <w:sz w:val="28"/>
          <w:szCs w:val="28"/>
        </w:rPr>
        <w:t>)</w:t>
      </w:r>
      <w:r w:rsidRPr="00D55DC6">
        <w:rPr>
          <w:rFonts w:eastAsia="標楷體"/>
          <w:sz w:val="28"/>
          <w:szCs w:val="28"/>
        </w:rPr>
        <w:t>。</w:t>
      </w:r>
    </w:p>
    <w:p w:rsidR="00261ADB" w:rsidRPr="00D55DC6" w:rsidRDefault="00261ADB" w:rsidP="0038165F">
      <w:pPr>
        <w:spacing w:line="460" w:lineRule="exact"/>
        <w:ind w:leftChars="379" w:left="1381" w:hangingChars="168" w:hanging="471"/>
        <w:jc w:val="both"/>
        <w:rPr>
          <w:rFonts w:eastAsia="標楷體"/>
          <w:b/>
          <w:sz w:val="28"/>
          <w:szCs w:val="28"/>
        </w:rPr>
      </w:pPr>
      <w:r w:rsidRPr="00D55DC6">
        <w:rPr>
          <w:rFonts w:eastAsia="標楷體"/>
          <w:b/>
          <w:sz w:val="28"/>
          <w:szCs w:val="28"/>
        </w:rPr>
        <w:lastRenderedPageBreak/>
        <w:t>2.106</w:t>
      </w:r>
      <w:r w:rsidRPr="00D55DC6">
        <w:rPr>
          <w:rFonts w:eastAsia="標楷體"/>
          <w:b/>
          <w:sz w:val="28"/>
          <w:szCs w:val="28"/>
        </w:rPr>
        <w:t>年完成</w:t>
      </w:r>
    </w:p>
    <w:p w:rsidR="00261ADB" w:rsidRPr="00D55DC6" w:rsidRDefault="00261ADB" w:rsidP="0038165F">
      <w:pPr>
        <w:spacing w:line="460" w:lineRule="exact"/>
        <w:ind w:leftChars="506" w:left="1214" w:firstLineChars="10" w:firstLine="28"/>
        <w:jc w:val="both"/>
        <w:rPr>
          <w:rFonts w:eastAsia="標楷體"/>
          <w:b/>
          <w:sz w:val="28"/>
          <w:szCs w:val="28"/>
        </w:rPr>
      </w:pPr>
      <w:r w:rsidRPr="00D55DC6">
        <w:rPr>
          <w:rFonts w:eastAsia="標楷體"/>
          <w:b/>
          <w:sz w:val="28"/>
          <w:szCs w:val="28"/>
        </w:rPr>
        <w:t>2-1.</w:t>
      </w:r>
      <w:r w:rsidRPr="00D55DC6">
        <w:rPr>
          <w:rFonts w:eastAsia="標楷體"/>
          <w:b/>
          <w:sz w:val="28"/>
          <w:szCs w:val="28"/>
        </w:rPr>
        <w:t>國際觀光重要景點建設</w:t>
      </w:r>
      <w:r w:rsidRPr="00D55DC6">
        <w:rPr>
          <w:rFonts w:eastAsia="標楷體"/>
          <w:b/>
          <w:sz w:val="28"/>
          <w:szCs w:val="28"/>
        </w:rPr>
        <w:t xml:space="preserve">- </w:t>
      </w:r>
    </w:p>
    <w:p w:rsidR="00261ADB" w:rsidRPr="00D55DC6" w:rsidRDefault="00261ADB" w:rsidP="0038165F">
      <w:pPr>
        <w:spacing w:line="460" w:lineRule="exact"/>
        <w:ind w:leftChars="775" w:left="2812" w:hangingChars="340" w:hanging="952"/>
        <w:jc w:val="both"/>
        <w:rPr>
          <w:rFonts w:eastAsia="標楷體"/>
          <w:sz w:val="28"/>
          <w:szCs w:val="28"/>
        </w:rPr>
      </w:pPr>
      <w:r w:rsidRPr="00D55DC6">
        <w:rPr>
          <w:rFonts w:eastAsia="標楷體"/>
          <w:sz w:val="28"/>
          <w:szCs w:val="28"/>
        </w:rPr>
        <w:t>2-1-1.</w:t>
      </w:r>
      <w:r w:rsidRPr="00D55DC6">
        <w:rPr>
          <w:rFonts w:eastAsia="標楷體"/>
          <w:sz w:val="28"/>
          <w:szCs w:val="28"/>
        </w:rPr>
        <w:t>鼻頭龍洞遊憩區（鼻頭</w:t>
      </w:r>
      <w:r w:rsidRPr="00D55DC6">
        <w:rPr>
          <w:rFonts w:eastAsia="標楷體"/>
          <w:sz w:val="28"/>
          <w:szCs w:val="28"/>
        </w:rPr>
        <w:t>-</w:t>
      </w:r>
      <w:r w:rsidRPr="00D55DC6">
        <w:rPr>
          <w:rFonts w:eastAsia="標楷體"/>
          <w:sz w:val="28"/>
          <w:szCs w:val="28"/>
        </w:rPr>
        <w:t>龍洞角地質公園整建工程）。</w:t>
      </w:r>
    </w:p>
    <w:p w:rsidR="00261ADB" w:rsidRPr="00D55DC6" w:rsidRDefault="00261ADB" w:rsidP="0038165F">
      <w:pPr>
        <w:spacing w:line="460" w:lineRule="exact"/>
        <w:ind w:leftChars="775" w:left="2812" w:hangingChars="340" w:hanging="952"/>
        <w:jc w:val="both"/>
        <w:rPr>
          <w:rFonts w:eastAsia="標楷體"/>
          <w:sz w:val="28"/>
          <w:szCs w:val="28"/>
        </w:rPr>
      </w:pPr>
      <w:r w:rsidRPr="00D55DC6">
        <w:rPr>
          <w:rFonts w:eastAsia="標楷體"/>
          <w:sz w:val="28"/>
          <w:szCs w:val="28"/>
        </w:rPr>
        <w:t>2-1-2.</w:t>
      </w:r>
      <w:r w:rsidRPr="00D55DC6">
        <w:rPr>
          <w:rFonts w:eastAsia="標楷體"/>
          <w:sz w:val="28"/>
          <w:szCs w:val="28"/>
        </w:rPr>
        <w:t>福隆遊憩區</w:t>
      </w:r>
      <w:r w:rsidRPr="00D55DC6">
        <w:rPr>
          <w:rFonts w:eastAsia="標楷體"/>
          <w:sz w:val="28"/>
          <w:szCs w:val="28"/>
        </w:rPr>
        <w:t xml:space="preserve"> (</w:t>
      </w:r>
      <w:r w:rsidRPr="00D55DC6">
        <w:rPr>
          <w:rFonts w:eastAsia="標楷體"/>
          <w:sz w:val="28"/>
          <w:szCs w:val="28"/>
        </w:rPr>
        <w:t>鹽寮公園設施整建工程</w:t>
      </w:r>
      <w:r w:rsidRPr="00D55DC6">
        <w:rPr>
          <w:rFonts w:eastAsia="標楷體"/>
          <w:sz w:val="28"/>
          <w:szCs w:val="28"/>
        </w:rPr>
        <w:t xml:space="preserve">) </w:t>
      </w:r>
      <w:r w:rsidRPr="00D55DC6">
        <w:rPr>
          <w:rFonts w:eastAsia="標楷體"/>
          <w:sz w:val="28"/>
          <w:szCs w:val="28"/>
        </w:rPr>
        <w:t>。</w:t>
      </w:r>
    </w:p>
    <w:p w:rsidR="00261ADB" w:rsidRPr="00D55DC6" w:rsidRDefault="00261ADB" w:rsidP="0038165F">
      <w:pPr>
        <w:spacing w:line="460" w:lineRule="exact"/>
        <w:ind w:leftChars="775" w:left="2812" w:hangingChars="340" w:hanging="952"/>
        <w:jc w:val="both"/>
        <w:rPr>
          <w:rFonts w:eastAsia="標楷體"/>
          <w:sz w:val="28"/>
          <w:szCs w:val="28"/>
        </w:rPr>
      </w:pPr>
      <w:r w:rsidRPr="00D55DC6">
        <w:rPr>
          <w:rFonts w:eastAsia="標楷體"/>
          <w:sz w:val="28"/>
          <w:szCs w:val="28"/>
        </w:rPr>
        <w:t>2-1-3.</w:t>
      </w:r>
      <w:r w:rsidRPr="00D55DC6">
        <w:rPr>
          <w:rFonts w:eastAsia="標楷體"/>
          <w:sz w:val="28"/>
          <w:szCs w:val="28"/>
        </w:rPr>
        <w:t>宜蘭遊憩區（蘇澳冷泉整修工程）。</w:t>
      </w:r>
    </w:p>
    <w:p w:rsidR="00261ADB" w:rsidRPr="00D55DC6" w:rsidRDefault="00261ADB" w:rsidP="0038165F">
      <w:pPr>
        <w:spacing w:line="460" w:lineRule="exact"/>
        <w:ind w:leftChars="506" w:left="1214" w:firstLineChars="10" w:firstLine="28"/>
        <w:jc w:val="both"/>
        <w:rPr>
          <w:rFonts w:eastAsia="標楷體"/>
          <w:b/>
          <w:sz w:val="28"/>
          <w:szCs w:val="28"/>
        </w:rPr>
      </w:pPr>
      <w:r w:rsidRPr="00D55DC6">
        <w:rPr>
          <w:rFonts w:eastAsia="標楷體"/>
          <w:b/>
          <w:sz w:val="28"/>
          <w:szCs w:val="28"/>
        </w:rPr>
        <w:t>2-2.</w:t>
      </w:r>
      <w:r w:rsidRPr="00D55DC6">
        <w:rPr>
          <w:rFonts w:eastAsia="標楷體"/>
          <w:b/>
          <w:sz w:val="28"/>
          <w:szCs w:val="28"/>
        </w:rPr>
        <w:t>國內觀光重要景點建設</w:t>
      </w:r>
      <w:r w:rsidRPr="00D55DC6">
        <w:rPr>
          <w:rFonts w:eastAsia="標楷體"/>
          <w:b/>
          <w:sz w:val="28"/>
          <w:szCs w:val="28"/>
        </w:rPr>
        <w:t>-</w:t>
      </w:r>
    </w:p>
    <w:p w:rsidR="00261ADB" w:rsidRPr="00D55DC6" w:rsidRDefault="00261ADB" w:rsidP="0038165F">
      <w:pPr>
        <w:spacing w:line="460" w:lineRule="exact"/>
        <w:ind w:leftChars="782" w:left="2059" w:hangingChars="65" w:hanging="182"/>
        <w:jc w:val="both"/>
        <w:rPr>
          <w:rFonts w:eastAsia="標楷體"/>
          <w:sz w:val="28"/>
          <w:szCs w:val="28"/>
        </w:rPr>
      </w:pPr>
      <w:r w:rsidRPr="00D55DC6">
        <w:rPr>
          <w:rFonts w:eastAsia="標楷體"/>
          <w:sz w:val="28"/>
          <w:szCs w:val="28"/>
        </w:rPr>
        <w:t>2-2-1.</w:t>
      </w:r>
      <w:r w:rsidRPr="00D55DC6">
        <w:rPr>
          <w:rFonts w:eastAsia="標楷體"/>
          <w:sz w:val="28"/>
          <w:szCs w:val="28"/>
        </w:rPr>
        <w:t>宜蘭海岸遊憩區（宜蘭濱海自行車設施工程）。</w:t>
      </w:r>
    </w:p>
    <w:p w:rsidR="00261ADB" w:rsidRPr="00D55DC6" w:rsidRDefault="00261ADB" w:rsidP="0038165F">
      <w:pPr>
        <w:spacing w:line="460" w:lineRule="exact"/>
        <w:ind w:leftChars="782" w:left="2059" w:hangingChars="65" w:hanging="182"/>
        <w:jc w:val="both"/>
        <w:rPr>
          <w:rFonts w:eastAsia="標楷體"/>
          <w:sz w:val="28"/>
          <w:szCs w:val="28"/>
        </w:rPr>
      </w:pPr>
      <w:r w:rsidRPr="00D55DC6">
        <w:rPr>
          <w:rFonts w:eastAsia="標楷體"/>
          <w:sz w:val="28"/>
          <w:szCs w:val="28"/>
        </w:rPr>
        <w:t>2-2-2.</w:t>
      </w:r>
      <w:r w:rsidRPr="00D55DC6">
        <w:rPr>
          <w:rFonts w:eastAsia="標楷體"/>
          <w:sz w:val="28"/>
          <w:szCs w:val="28"/>
        </w:rPr>
        <w:t>大里大溪遊憩區（大里遊客中心提昇優質服務工程</w:t>
      </w:r>
      <w:r w:rsidRPr="00D55DC6">
        <w:rPr>
          <w:rFonts w:eastAsia="標楷體"/>
          <w:sz w:val="28"/>
          <w:szCs w:val="28"/>
        </w:rPr>
        <w:t>)</w:t>
      </w:r>
      <w:r w:rsidRPr="00D55DC6">
        <w:rPr>
          <w:rFonts w:eastAsia="標楷體"/>
          <w:sz w:val="28"/>
          <w:szCs w:val="28"/>
        </w:rPr>
        <w:t>。</w:t>
      </w:r>
    </w:p>
    <w:p w:rsidR="00261ADB" w:rsidRPr="00D55DC6" w:rsidRDefault="00261ADB" w:rsidP="0038165F">
      <w:pPr>
        <w:spacing w:line="460" w:lineRule="exact"/>
        <w:ind w:leftChars="379" w:left="1381" w:hangingChars="168" w:hanging="471"/>
        <w:jc w:val="both"/>
        <w:rPr>
          <w:rFonts w:eastAsia="標楷體"/>
          <w:b/>
          <w:sz w:val="28"/>
          <w:szCs w:val="28"/>
        </w:rPr>
      </w:pPr>
      <w:r w:rsidRPr="00D55DC6">
        <w:rPr>
          <w:rFonts w:eastAsia="標楷體"/>
          <w:b/>
          <w:sz w:val="28"/>
          <w:szCs w:val="28"/>
        </w:rPr>
        <w:t>3.107</w:t>
      </w:r>
      <w:r w:rsidRPr="00D55DC6">
        <w:rPr>
          <w:rFonts w:eastAsia="標楷體"/>
          <w:b/>
          <w:sz w:val="28"/>
          <w:szCs w:val="28"/>
        </w:rPr>
        <w:t>年完成</w:t>
      </w:r>
    </w:p>
    <w:p w:rsidR="00261ADB" w:rsidRPr="00D55DC6" w:rsidRDefault="00261ADB" w:rsidP="0038165F">
      <w:pPr>
        <w:spacing w:line="460" w:lineRule="exact"/>
        <w:ind w:leftChars="476" w:left="1142" w:firstLineChars="41" w:firstLine="115"/>
        <w:jc w:val="both"/>
        <w:rPr>
          <w:rFonts w:eastAsia="標楷體"/>
          <w:sz w:val="28"/>
          <w:szCs w:val="28"/>
        </w:rPr>
      </w:pPr>
      <w:r w:rsidRPr="00D55DC6">
        <w:rPr>
          <w:rFonts w:eastAsia="標楷體"/>
          <w:b/>
          <w:sz w:val="28"/>
          <w:szCs w:val="28"/>
        </w:rPr>
        <w:t>3-1.</w:t>
      </w:r>
      <w:r w:rsidRPr="00D55DC6">
        <w:rPr>
          <w:rFonts w:eastAsia="標楷體"/>
          <w:b/>
          <w:sz w:val="28"/>
          <w:szCs w:val="28"/>
        </w:rPr>
        <w:t>國際觀光重要景點建設</w:t>
      </w:r>
      <w:r w:rsidRPr="00D55DC6">
        <w:rPr>
          <w:rFonts w:eastAsia="標楷體"/>
          <w:b/>
          <w:sz w:val="28"/>
          <w:szCs w:val="28"/>
        </w:rPr>
        <w:t>-</w:t>
      </w:r>
      <w:r w:rsidRPr="00D55DC6">
        <w:rPr>
          <w:rFonts w:eastAsia="標楷體"/>
          <w:sz w:val="28"/>
          <w:szCs w:val="28"/>
        </w:rPr>
        <w:t xml:space="preserve"> </w:t>
      </w:r>
    </w:p>
    <w:p w:rsidR="00261ADB" w:rsidRPr="00D55DC6" w:rsidRDefault="00261ADB" w:rsidP="0038165F">
      <w:pPr>
        <w:spacing w:line="460" w:lineRule="exact"/>
        <w:ind w:leftChars="781" w:left="2714" w:hangingChars="300" w:hanging="840"/>
        <w:jc w:val="both"/>
        <w:rPr>
          <w:rFonts w:eastAsia="標楷體"/>
          <w:sz w:val="28"/>
          <w:szCs w:val="28"/>
        </w:rPr>
      </w:pPr>
      <w:r w:rsidRPr="00D55DC6">
        <w:rPr>
          <w:rFonts w:eastAsia="標楷體"/>
          <w:sz w:val="28"/>
          <w:szCs w:val="28"/>
        </w:rPr>
        <w:t>3-1-1.</w:t>
      </w:r>
      <w:r w:rsidRPr="00D55DC6">
        <w:rPr>
          <w:rFonts w:eastAsia="標楷體"/>
          <w:sz w:val="28"/>
          <w:szCs w:val="28"/>
        </w:rPr>
        <w:t>福隆遊憩區（福隆區域樂齡組、友善、無障礙、穆斯林設施改善、自行車道設施工程）。</w:t>
      </w:r>
    </w:p>
    <w:p w:rsidR="00261ADB" w:rsidRPr="00D55DC6" w:rsidRDefault="00261ADB" w:rsidP="0038165F">
      <w:pPr>
        <w:spacing w:line="460" w:lineRule="exact"/>
        <w:ind w:leftChars="781" w:left="2714" w:hangingChars="300" w:hanging="840"/>
        <w:jc w:val="both"/>
        <w:rPr>
          <w:rFonts w:eastAsia="標楷體"/>
          <w:sz w:val="28"/>
          <w:szCs w:val="28"/>
        </w:rPr>
      </w:pPr>
      <w:r w:rsidRPr="00D55DC6">
        <w:rPr>
          <w:rFonts w:eastAsia="標楷體"/>
          <w:sz w:val="28"/>
          <w:szCs w:val="28"/>
        </w:rPr>
        <w:t>3-1-2.</w:t>
      </w:r>
      <w:r w:rsidRPr="00D55DC6">
        <w:rPr>
          <w:rFonts w:eastAsia="標楷體"/>
          <w:sz w:val="28"/>
          <w:szCs w:val="28"/>
        </w:rPr>
        <w:t>宜蘭遊憩區（內埤海灘休憩設施改善工程）。</w:t>
      </w:r>
    </w:p>
    <w:p w:rsidR="00261ADB" w:rsidRPr="00D55DC6" w:rsidRDefault="00261ADB" w:rsidP="0038165F">
      <w:pPr>
        <w:spacing w:line="460" w:lineRule="exact"/>
        <w:ind w:leftChars="476" w:left="1142" w:firstLineChars="41" w:firstLine="115"/>
        <w:jc w:val="both"/>
        <w:rPr>
          <w:rFonts w:eastAsia="標楷體"/>
          <w:sz w:val="28"/>
          <w:szCs w:val="28"/>
        </w:rPr>
      </w:pPr>
      <w:r w:rsidRPr="00D55DC6">
        <w:rPr>
          <w:rFonts w:eastAsia="標楷體"/>
          <w:b/>
          <w:sz w:val="28"/>
          <w:szCs w:val="28"/>
        </w:rPr>
        <w:t>3-2.</w:t>
      </w:r>
      <w:r w:rsidRPr="00D55DC6">
        <w:rPr>
          <w:rFonts w:eastAsia="標楷體"/>
          <w:b/>
          <w:sz w:val="28"/>
          <w:szCs w:val="28"/>
        </w:rPr>
        <w:t>國內觀光重要景點建設</w:t>
      </w:r>
      <w:r w:rsidRPr="00D55DC6">
        <w:rPr>
          <w:rFonts w:eastAsia="標楷體"/>
          <w:b/>
          <w:sz w:val="28"/>
          <w:szCs w:val="28"/>
        </w:rPr>
        <w:t xml:space="preserve">- </w:t>
      </w:r>
    </w:p>
    <w:p w:rsidR="00261ADB" w:rsidRPr="00D55DC6" w:rsidRDefault="00261ADB" w:rsidP="0038165F">
      <w:pPr>
        <w:spacing w:line="460" w:lineRule="exact"/>
        <w:ind w:leftChars="781" w:left="2714" w:hangingChars="300" w:hanging="840"/>
        <w:jc w:val="both"/>
        <w:rPr>
          <w:rFonts w:eastAsia="標楷體"/>
          <w:sz w:val="28"/>
          <w:szCs w:val="28"/>
        </w:rPr>
      </w:pPr>
      <w:r w:rsidRPr="00D55DC6">
        <w:rPr>
          <w:rFonts w:eastAsia="標楷體"/>
          <w:sz w:val="28"/>
          <w:szCs w:val="28"/>
        </w:rPr>
        <w:t>3-2-1.</w:t>
      </w:r>
      <w:r w:rsidRPr="00D55DC6">
        <w:rPr>
          <w:rFonts w:eastAsia="標楷體"/>
          <w:sz w:val="28"/>
          <w:szCs w:val="28"/>
        </w:rPr>
        <w:t>南雅鹽寮遊憩區（南子吝、南雅奇岩、鼻頭角、龍洞等地區周邊遊憩設施、景觀改善工程）。</w:t>
      </w:r>
    </w:p>
    <w:p w:rsidR="00261ADB" w:rsidRPr="00D55DC6" w:rsidRDefault="00261ADB" w:rsidP="0038165F">
      <w:pPr>
        <w:spacing w:line="460" w:lineRule="exact"/>
        <w:ind w:leftChars="781" w:left="2714" w:hangingChars="300" w:hanging="840"/>
        <w:jc w:val="both"/>
        <w:rPr>
          <w:rFonts w:eastAsia="標楷體"/>
          <w:sz w:val="28"/>
          <w:szCs w:val="28"/>
        </w:rPr>
      </w:pPr>
      <w:r w:rsidRPr="00D55DC6">
        <w:rPr>
          <w:rFonts w:eastAsia="標楷體"/>
          <w:sz w:val="28"/>
          <w:szCs w:val="28"/>
        </w:rPr>
        <w:t>3-2-2.</w:t>
      </w:r>
      <w:r w:rsidRPr="00D55DC6">
        <w:rPr>
          <w:rFonts w:eastAsia="標楷體"/>
          <w:sz w:val="28"/>
          <w:szCs w:val="28"/>
        </w:rPr>
        <w:t>宜蘭海岸遊憩區設施改善（自行車道、服務設施整建等工程）。</w:t>
      </w:r>
    </w:p>
    <w:p w:rsidR="00261ADB" w:rsidRPr="00D55DC6" w:rsidRDefault="00261ADB" w:rsidP="0038165F">
      <w:pPr>
        <w:spacing w:line="460" w:lineRule="exact"/>
        <w:ind w:leftChars="379" w:left="1381" w:hangingChars="168" w:hanging="471"/>
        <w:jc w:val="both"/>
        <w:rPr>
          <w:rFonts w:eastAsia="標楷體"/>
          <w:b/>
          <w:sz w:val="28"/>
          <w:szCs w:val="28"/>
        </w:rPr>
      </w:pPr>
      <w:r w:rsidRPr="00D55DC6">
        <w:rPr>
          <w:rFonts w:eastAsia="標楷體"/>
          <w:b/>
          <w:sz w:val="28"/>
          <w:szCs w:val="28"/>
        </w:rPr>
        <w:t>4.108</w:t>
      </w:r>
      <w:r w:rsidRPr="00D55DC6">
        <w:rPr>
          <w:rFonts w:eastAsia="標楷體"/>
          <w:b/>
          <w:sz w:val="28"/>
          <w:szCs w:val="28"/>
        </w:rPr>
        <w:t>年完成</w:t>
      </w:r>
    </w:p>
    <w:p w:rsidR="00261ADB" w:rsidRPr="00D55DC6" w:rsidRDefault="00261ADB" w:rsidP="0038165F">
      <w:pPr>
        <w:spacing w:line="460" w:lineRule="exact"/>
        <w:ind w:leftChars="476" w:left="1142" w:firstLineChars="41" w:firstLine="115"/>
        <w:jc w:val="both"/>
        <w:rPr>
          <w:rFonts w:eastAsia="標楷體"/>
          <w:b/>
          <w:sz w:val="28"/>
          <w:szCs w:val="28"/>
        </w:rPr>
      </w:pPr>
      <w:r w:rsidRPr="00D55DC6">
        <w:rPr>
          <w:rFonts w:eastAsia="標楷體"/>
          <w:b/>
          <w:sz w:val="28"/>
          <w:szCs w:val="28"/>
        </w:rPr>
        <w:t>4-1.</w:t>
      </w:r>
      <w:r w:rsidRPr="00D55DC6">
        <w:rPr>
          <w:rFonts w:eastAsia="標楷體"/>
          <w:b/>
          <w:sz w:val="28"/>
          <w:szCs w:val="28"/>
        </w:rPr>
        <w:t>國際觀光重要景點建設</w:t>
      </w:r>
      <w:r w:rsidRPr="00D55DC6">
        <w:rPr>
          <w:rFonts w:eastAsia="標楷體"/>
          <w:b/>
          <w:sz w:val="28"/>
          <w:szCs w:val="28"/>
        </w:rPr>
        <w:t xml:space="preserve">- </w:t>
      </w:r>
    </w:p>
    <w:p w:rsidR="00261ADB" w:rsidRPr="00D55DC6" w:rsidRDefault="00261ADB" w:rsidP="0038165F">
      <w:pPr>
        <w:spacing w:line="460" w:lineRule="exact"/>
        <w:ind w:leftChars="781" w:left="2714" w:hangingChars="300" w:hanging="840"/>
        <w:jc w:val="both"/>
        <w:rPr>
          <w:rFonts w:eastAsia="標楷體"/>
          <w:sz w:val="28"/>
          <w:szCs w:val="28"/>
        </w:rPr>
      </w:pPr>
      <w:r w:rsidRPr="00D55DC6">
        <w:rPr>
          <w:rFonts w:eastAsia="標楷體"/>
          <w:sz w:val="28"/>
          <w:szCs w:val="28"/>
        </w:rPr>
        <w:t>4-1-1.</w:t>
      </w:r>
      <w:r w:rsidRPr="00D55DC6">
        <w:rPr>
          <w:rFonts w:eastAsia="標楷體"/>
          <w:sz w:val="28"/>
          <w:szCs w:val="28"/>
        </w:rPr>
        <w:t>鼻頭龍洞遊憩區（龍洞攀岩訓練基地興建工程）。</w:t>
      </w:r>
    </w:p>
    <w:p w:rsidR="00261ADB" w:rsidRPr="00D55DC6" w:rsidRDefault="00261ADB" w:rsidP="0038165F">
      <w:pPr>
        <w:spacing w:line="460" w:lineRule="exact"/>
        <w:ind w:leftChars="781" w:left="2714" w:hangingChars="300" w:hanging="840"/>
        <w:jc w:val="both"/>
        <w:rPr>
          <w:rFonts w:eastAsia="標楷體"/>
          <w:sz w:val="28"/>
          <w:szCs w:val="28"/>
        </w:rPr>
      </w:pPr>
      <w:r w:rsidRPr="00D55DC6">
        <w:rPr>
          <w:rFonts w:eastAsia="標楷體"/>
          <w:sz w:val="28"/>
          <w:szCs w:val="28"/>
        </w:rPr>
        <w:t>4-1-2.</w:t>
      </w:r>
      <w:r w:rsidRPr="00D55DC6">
        <w:rPr>
          <w:rFonts w:eastAsia="標楷體"/>
          <w:sz w:val="28"/>
          <w:szCs w:val="28"/>
        </w:rPr>
        <w:t>外澳遊憩區（烏石港周邊地區之遊憩設施、景觀改善工程）。</w:t>
      </w:r>
    </w:p>
    <w:p w:rsidR="00261ADB" w:rsidRPr="00D55DC6" w:rsidRDefault="00261ADB" w:rsidP="0038165F">
      <w:pPr>
        <w:spacing w:line="460" w:lineRule="exact"/>
        <w:ind w:leftChars="476" w:left="1142" w:firstLineChars="41" w:firstLine="115"/>
        <w:jc w:val="both"/>
        <w:rPr>
          <w:rFonts w:eastAsia="標楷體"/>
          <w:b/>
          <w:sz w:val="28"/>
          <w:szCs w:val="28"/>
        </w:rPr>
      </w:pPr>
      <w:r w:rsidRPr="00D55DC6">
        <w:rPr>
          <w:rFonts w:eastAsia="標楷體"/>
          <w:b/>
          <w:sz w:val="28"/>
          <w:szCs w:val="28"/>
        </w:rPr>
        <w:t>4-2.</w:t>
      </w:r>
      <w:r w:rsidRPr="00D55DC6">
        <w:rPr>
          <w:rFonts w:eastAsia="標楷體"/>
          <w:b/>
          <w:sz w:val="28"/>
          <w:szCs w:val="28"/>
        </w:rPr>
        <w:t>國內觀光重要景點建設</w:t>
      </w:r>
      <w:r w:rsidRPr="00D55DC6">
        <w:rPr>
          <w:rFonts w:eastAsia="標楷體"/>
          <w:b/>
          <w:sz w:val="28"/>
          <w:szCs w:val="28"/>
        </w:rPr>
        <w:t>-</w:t>
      </w:r>
    </w:p>
    <w:p w:rsidR="00261ADB" w:rsidRPr="00D55DC6" w:rsidRDefault="00261ADB" w:rsidP="0038165F">
      <w:pPr>
        <w:spacing w:line="460" w:lineRule="exact"/>
        <w:ind w:leftChars="781" w:left="2714" w:hangingChars="300" w:hanging="840"/>
        <w:jc w:val="both"/>
        <w:rPr>
          <w:rFonts w:eastAsia="標楷體"/>
          <w:sz w:val="28"/>
          <w:szCs w:val="28"/>
        </w:rPr>
      </w:pPr>
      <w:r w:rsidRPr="00D55DC6">
        <w:rPr>
          <w:rFonts w:eastAsia="標楷體"/>
          <w:sz w:val="28"/>
          <w:szCs w:val="28"/>
        </w:rPr>
        <w:t>4-2-1.</w:t>
      </w:r>
      <w:r w:rsidRPr="00D55DC6">
        <w:rPr>
          <w:rFonts w:eastAsia="標楷體"/>
          <w:sz w:val="28"/>
          <w:szCs w:val="28"/>
        </w:rPr>
        <w:t>南雅鹽寮遊憩區（漁村、漁港、海水浴場及海濱公園特色漁村營造及周邊遊憩設施、景觀改善）</w:t>
      </w:r>
    </w:p>
    <w:p w:rsidR="00261ADB" w:rsidRPr="00D55DC6" w:rsidRDefault="00261ADB" w:rsidP="0038165F">
      <w:pPr>
        <w:spacing w:line="460" w:lineRule="exact"/>
        <w:ind w:leftChars="781" w:left="2714" w:hangingChars="300" w:hanging="840"/>
        <w:jc w:val="both"/>
        <w:rPr>
          <w:rFonts w:eastAsia="標楷體"/>
          <w:sz w:val="28"/>
          <w:szCs w:val="28"/>
        </w:rPr>
      </w:pPr>
      <w:r w:rsidRPr="00D55DC6">
        <w:rPr>
          <w:rFonts w:eastAsia="標楷體"/>
          <w:sz w:val="28"/>
          <w:szCs w:val="28"/>
        </w:rPr>
        <w:t>4-2-2.</w:t>
      </w:r>
      <w:r w:rsidRPr="00D55DC6">
        <w:rPr>
          <w:rFonts w:eastAsia="標楷體"/>
          <w:sz w:val="28"/>
          <w:szCs w:val="28"/>
        </w:rPr>
        <w:t>福隆遊憩區設施改善（卯澳村灣澳村落體驗區改善工程）。</w:t>
      </w:r>
    </w:p>
    <w:p w:rsidR="00261ADB" w:rsidRPr="00D55DC6" w:rsidRDefault="00261ADB" w:rsidP="0038165F">
      <w:pPr>
        <w:spacing w:line="460" w:lineRule="exact"/>
        <w:ind w:leftChars="196" w:left="1314" w:hangingChars="301" w:hanging="844"/>
        <w:jc w:val="both"/>
        <w:rPr>
          <w:rFonts w:eastAsia="標楷體"/>
          <w:b/>
          <w:sz w:val="28"/>
          <w:szCs w:val="28"/>
        </w:rPr>
      </w:pPr>
    </w:p>
    <w:p w:rsidR="00261ADB" w:rsidRPr="00D55DC6" w:rsidRDefault="00261ADB" w:rsidP="0038165F">
      <w:pPr>
        <w:pStyle w:val="a"/>
        <w:numPr>
          <w:ilvl w:val="0"/>
          <w:numId w:val="20"/>
        </w:numPr>
        <w:ind w:left="709" w:hanging="709"/>
        <w:rPr>
          <w:b/>
        </w:rPr>
      </w:pPr>
      <w:bookmarkStart w:id="66" w:name="_Toc407181644"/>
      <w:r w:rsidRPr="00D55DC6">
        <w:rPr>
          <w:b/>
        </w:rPr>
        <w:lastRenderedPageBreak/>
        <w:t>期程與資源需求</w:t>
      </w:r>
      <w:bookmarkEnd w:id="66"/>
    </w:p>
    <w:p w:rsidR="00261ADB" w:rsidRPr="00D55DC6" w:rsidRDefault="00261ADB" w:rsidP="0038165F">
      <w:pPr>
        <w:pStyle w:val="af2"/>
        <w:numPr>
          <w:ilvl w:val="0"/>
          <w:numId w:val="37"/>
        </w:numPr>
        <w:snapToGrid w:val="0"/>
        <w:spacing w:line="460" w:lineRule="exact"/>
        <w:ind w:leftChars="0"/>
        <w:jc w:val="both"/>
        <w:rPr>
          <w:rFonts w:eastAsia="標楷體"/>
          <w:b/>
          <w:sz w:val="28"/>
          <w:szCs w:val="28"/>
        </w:rPr>
      </w:pPr>
      <w:r w:rsidRPr="00D55DC6">
        <w:rPr>
          <w:rFonts w:eastAsia="標楷體"/>
          <w:b/>
          <w:sz w:val="28"/>
          <w:szCs w:val="28"/>
        </w:rPr>
        <w:t>計畫期程</w:t>
      </w:r>
    </w:p>
    <w:p w:rsidR="00261ADB" w:rsidRPr="00D55DC6" w:rsidRDefault="00261ADB" w:rsidP="0038165F">
      <w:pPr>
        <w:pStyle w:val="af2"/>
        <w:snapToGrid w:val="0"/>
        <w:spacing w:line="460" w:lineRule="exact"/>
        <w:ind w:leftChars="0" w:left="851" w:hanging="56"/>
        <w:jc w:val="both"/>
        <w:rPr>
          <w:rFonts w:eastAsia="標楷體"/>
          <w:sz w:val="28"/>
          <w:szCs w:val="28"/>
        </w:rPr>
      </w:pPr>
      <w:r w:rsidRPr="00D55DC6">
        <w:rPr>
          <w:rFonts w:eastAsia="標楷體"/>
          <w:sz w:val="28"/>
          <w:szCs w:val="28"/>
        </w:rPr>
        <w:t>自</w:t>
      </w:r>
      <w:r w:rsidRPr="00D55DC6">
        <w:rPr>
          <w:rFonts w:eastAsia="標楷體"/>
          <w:sz w:val="28"/>
          <w:szCs w:val="28"/>
        </w:rPr>
        <w:t>105</w:t>
      </w:r>
      <w:r w:rsidRPr="00D55DC6">
        <w:rPr>
          <w:rFonts w:eastAsia="標楷體"/>
          <w:sz w:val="28"/>
          <w:szCs w:val="28"/>
        </w:rPr>
        <w:t>年至</w:t>
      </w:r>
      <w:r w:rsidRPr="00D55DC6">
        <w:rPr>
          <w:rFonts w:eastAsia="標楷體"/>
          <w:sz w:val="28"/>
          <w:szCs w:val="28"/>
        </w:rPr>
        <w:t>108</w:t>
      </w:r>
      <w:r w:rsidRPr="00D55DC6">
        <w:rPr>
          <w:rFonts w:eastAsia="標楷體"/>
          <w:sz w:val="28"/>
          <w:szCs w:val="28"/>
        </w:rPr>
        <w:t>年。</w:t>
      </w:r>
    </w:p>
    <w:p w:rsidR="00261ADB" w:rsidRPr="00D55DC6" w:rsidRDefault="00261ADB" w:rsidP="0038165F">
      <w:pPr>
        <w:pStyle w:val="af2"/>
        <w:numPr>
          <w:ilvl w:val="0"/>
          <w:numId w:val="37"/>
        </w:numPr>
        <w:snapToGrid w:val="0"/>
        <w:spacing w:line="460" w:lineRule="exact"/>
        <w:ind w:leftChars="0"/>
        <w:jc w:val="both"/>
        <w:rPr>
          <w:rFonts w:eastAsia="標楷體"/>
          <w:b/>
          <w:sz w:val="28"/>
          <w:szCs w:val="28"/>
        </w:rPr>
      </w:pPr>
      <w:r w:rsidRPr="00D55DC6">
        <w:rPr>
          <w:rFonts w:eastAsia="標楷體"/>
          <w:b/>
          <w:sz w:val="28"/>
          <w:szCs w:val="28"/>
        </w:rPr>
        <w:t>經費需求</w:t>
      </w:r>
      <w:r w:rsidRPr="00D55DC6">
        <w:rPr>
          <w:rFonts w:eastAsia="標楷體"/>
          <w:b/>
          <w:sz w:val="28"/>
          <w:szCs w:val="28"/>
        </w:rPr>
        <w:t>(</w:t>
      </w:r>
      <w:r w:rsidRPr="00D55DC6">
        <w:rPr>
          <w:rFonts w:eastAsia="標楷體"/>
          <w:b/>
          <w:sz w:val="28"/>
          <w:szCs w:val="28"/>
        </w:rPr>
        <w:t>含分年經費</w:t>
      </w:r>
      <w:r w:rsidRPr="00D55DC6">
        <w:rPr>
          <w:rFonts w:eastAsia="標楷體"/>
          <w:b/>
          <w:sz w:val="28"/>
          <w:szCs w:val="28"/>
        </w:rPr>
        <w:t>)</w:t>
      </w:r>
      <w:r w:rsidRPr="00D55DC6">
        <w:rPr>
          <w:rFonts w:eastAsia="標楷體"/>
          <w:b/>
          <w:sz w:val="28"/>
          <w:szCs w:val="28"/>
        </w:rPr>
        <w:t>及與中程歲出概算額度配合情形</w:t>
      </w:r>
    </w:p>
    <w:p w:rsidR="00261ADB" w:rsidRPr="00D55DC6" w:rsidRDefault="00486FAE" w:rsidP="00C067DF">
      <w:pPr>
        <w:spacing w:line="460" w:lineRule="exact"/>
        <w:ind w:leftChars="354" w:left="850"/>
        <w:jc w:val="both"/>
        <w:rPr>
          <w:rFonts w:eastAsia="標楷體"/>
          <w:sz w:val="28"/>
          <w:szCs w:val="28"/>
        </w:rPr>
      </w:pPr>
      <w:r w:rsidRPr="00D55DC6">
        <w:rPr>
          <w:rFonts w:eastAsia="標楷體"/>
          <w:sz w:val="28"/>
          <w:szCs w:val="28"/>
        </w:rPr>
        <w:t>本計畫</w:t>
      </w:r>
      <w:r w:rsidR="000725AB" w:rsidRPr="00D55DC6">
        <w:rPr>
          <w:rFonts w:eastAsia="標楷體"/>
          <w:sz w:val="28"/>
          <w:szCs w:val="28"/>
        </w:rPr>
        <w:t>總經費為</w:t>
      </w:r>
      <w:r w:rsidR="000725AB" w:rsidRPr="00D55DC6">
        <w:rPr>
          <w:rFonts w:eastAsia="標楷體"/>
          <w:sz w:val="28"/>
          <w:szCs w:val="28"/>
        </w:rPr>
        <w:t>9.2</w:t>
      </w:r>
      <w:r w:rsidR="000725AB" w:rsidRPr="00D55DC6">
        <w:rPr>
          <w:rFonts w:eastAsia="標楷體"/>
          <w:sz w:val="28"/>
          <w:szCs w:val="28"/>
        </w:rPr>
        <w:t>億元，</w:t>
      </w:r>
      <w:r w:rsidRPr="00D55DC6">
        <w:rPr>
          <w:rFonts w:eastAsia="標楷體"/>
          <w:sz w:val="28"/>
          <w:szCs w:val="28"/>
        </w:rPr>
        <w:t>經費需求（含分年經費）係與</w:t>
      </w:r>
      <w:r w:rsidR="00FF07B1" w:rsidRPr="00D55DC6">
        <w:rPr>
          <w:rFonts w:eastAsia="標楷體"/>
          <w:sz w:val="28"/>
          <w:szCs w:val="28"/>
        </w:rPr>
        <w:t>中程歲出概算</w:t>
      </w:r>
      <w:r w:rsidRPr="00D55DC6">
        <w:rPr>
          <w:rFonts w:eastAsia="標楷體"/>
          <w:sz w:val="28"/>
          <w:szCs w:val="28"/>
        </w:rPr>
        <w:t>額度相符，分年投資重點及經費需求如下：</w:t>
      </w:r>
      <w:r w:rsidRPr="00D55DC6">
        <w:rPr>
          <w:rFonts w:eastAsia="標楷體"/>
          <w:sz w:val="28"/>
          <w:szCs w:val="28"/>
        </w:rPr>
        <w:t xml:space="preserve"> </w:t>
      </w:r>
    </w:p>
    <w:p w:rsidR="00261ADB" w:rsidRPr="00D55DC6" w:rsidRDefault="00261ADB" w:rsidP="0038165F">
      <w:pPr>
        <w:snapToGrid w:val="0"/>
        <w:spacing w:line="460" w:lineRule="exact"/>
        <w:ind w:leftChars="354" w:left="850" w:firstLineChars="206" w:firstLine="577"/>
        <w:jc w:val="right"/>
        <w:rPr>
          <w:rFonts w:eastAsia="標楷體"/>
          <w:sz w:val="28"/>
          <w:szCs w:val="28"/>
        </w:rPr>
      </w:pPr>
      <w:r w:rsidRPr="00D55DC6">
        <w:rPr>
          <w:rFonts w:eastAsia="標楷體"/>
          <w:sz w:val="28"/>
          <w:szCs w:val="28"/>
        </w:rPr>
        <w:t>(</w:t>
      </w:r>
      <w:r w:rsidRPr="00D55DC6">
        <w:rPr>
          <w:rFonts w:eastAsia="標楷體"/>
          <w:sz w:val="28"/>
          <w:szCs w:val="28"/>
        </w:rPr>
        <w:t>單位：億元</w:t>
      </w:r>
      <w:r w:rsidRPr="00D55DC6">
        <w:rPr>
          <w:rFonts w:eastAsia="標楷體"/>
          <w:sz w:val="28"/>
          <w:szCs w:val="28"/>
        </w:rPr>
        <w:t>)</w:t>
      </w:r>
    </w:p>
    <w:tbl>
      <w:tblPr>
        <w:tblW w:w="937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77"/>
        <w:gridCol w:w="717"/>
        <w:gridCol w:w="874"/>
        <w:gridCol w:w="2048"/>
        <w:gridCol w:w="719"/>
        <w:gridCol w:w="719"/>
        <w:gridCol w:w="719"/>
        <w:gridCol w:w="719"/>
        <w:gridCol w:w="778"/>
        <w:gridCol w:w="1603"/>
      </w:tblGrid>
      <w:tr w:rsidR="001D0350" w:rsidRPr="00D55DC6" w:rsidTr="00261ADB">
        <w:trPr>
          <w:trHeight w:val="675"/>
          <w:tblHeader/>
        </w:trPr>
        <w:tc>
          <w:tcPr>
            <w:tcW w:w="477"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261ADB" w:rsidRPr="00D55DC6" w:rsidRDefault="00261ADB" w:rsidP="0038165F">
            <w:pPr>
              <w:widowControl/>
              <w:spacing w:line="0" w:lineRule="atLeast"/>
              <w:jc w:val="center"/>
              <w:rPr>
                <w:rFonts w:eastAsia="標楷體"/>
                <w:kern w:val="0"/>
                <w:sz w:val="18"/>
                <w:szCs w:val="18"/>
              </w:rPr>
            </w:pPr>
            <w:r w:rsidRPr="00D55DC6">
              <w:rPr>
                <w:rFonts w:eastAsia="標楷體"/>
                <w:kern w:val="0"/>
                <w:sz w:val="18"/>
                <w:szCs w:val="18"/>
              </w:rPr>
              <w:t>科目別</w:t>
            </w:r>
          </w:p>
        </w:tc>
        <w:tc>
          <w:tcPr>
            <w:tcW w:w="717"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261ADB" w:rsidRPr="00D55DC6" w:rsidRDefault="00261ADB" w:rsidP="0038165F">
            <w:pPr>
              <w:widowControl/>
              <w:spacing w:line="0" w:lineRule="atLeast"/>
              <w:jc w:val="center"/>
              <w:rPr>
                <w:rFonts w:eastAsia="標楷體"/>
                <w:kern w:val="0"/>
                <w:sz w:val="18"/>
                <w:szCs w:val="18"/>
              </w:rPr>
            </w:pPr>
            <w:r w:rsidRPr="00D55DC6">
              <w:rPr>
                <w:rFonts w:eastAsia="標楷體"/>
                <w:kern w:val="0"/>
                <w:sz w:val="18"/>
                <w:szCs w:val="18"/>
              </w:rPr>
              <w:t>1</w:t>
            </w:r>
            <w:r w:rsidRPr="00D55DC6">
              <w:rPr>
                <w:rFonts w:eastAsia="標楷體"/>
                <w:kern w:val="0"/>
                <w:sz w:val="18"/>
                <w:szCs w:val="18"/>
              </w:rPr>
              <w:t>級</w:t>
            </w:r>
            <w:r w:rsidRPr="00D55DC6">
              <w:rPr>
                <w:rFonts w:eastAsia="標楷體"/>
                <w:kern w:val="0"/>
                <w:sz w:val="18"/>
                <w:szCs w:val="18"/>
              </w:rPr>
              <w:br/>
            </w:r>
            <w:r w:rsidRPr="00D55DC6">
              <w:rPr>
                <w:rFonts w:eastAsia="標楷體"/>
                <w:kern w:val="0"/>
                <w:sz w:val="18"/>
                <w:szCs w:val="18"/>
              </w:rPr>
              <w:t>用途別</w:t>
            </w:r>
          </w:p>
        </w:tc>
        <w:tc>
          <w:tcPr>
            <w:tcW w:w="874"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261ADB" w:rsidRPr="00D55DC6" w:rsidRDefault="00261ADB" w:rsidP="0038165F">
            <w:pPr>
              <w:widowControl/>
              <w:spacing w:line="0" w:lineRule="atLeast"/>
              <w:jc w:val="center"/>
              <w:rPr>
                <w:rFonts w:eastAsia="標楷體"/>
                <w:kern w:val="0"/>
                <w:sz w:val="18"/>
                <w:szCs w:val="18"/>
              </w:rPr>
            </w:pPr>
            <w:r w:rsidRPr="00D55DC6">
              <w:rPr>
                <w:rFonts w:eastAsia="標楷體"/>
                <w:kern w:val="0"/>
                <w:sz w:val="18"/>
                <w:szCs w:val="18"/>
              </w:rPr>
              <w:t>2</w:t>
            </w:r>
            <w:r w:rsidRPr="00D55DC6">
              <w:rPr>
                <w:rFonts w:eastAsia="標楷體"/>
                <w:kern w:val="0"/>
                <w:sz w:val="18"/>
                <w:szCs w:val="18"/>
              </w:rPr>
              <w:t>級</w:t>
            </w:r>
            <w:r w:rsidRPr="00D55DC6">
              <w:rPr>
                <w:rFonts w:eastAsia="標楷體"/>
                <w:kern w:val="0"/>
                <w:sz w:val="18"/>
                <w:szCs w:val="18"/>
              </w:rPr>
              <w:br/>
            </w:r>
            <w:r w:rsidRPr="00D55DC6">
              <w:rPr>
                <w:rFonts w:eastAsia="標楷體"/>
                <w:kern w:val="0"/>
                <w:sz w:val="18"/>
                <w:szCs w:val="18"/>
              </w:rPr>
              <w:t>用途別</w:t>
            </w:r>
          </w:p>
        </w:tc>
        <w:tc>
          <w:tcPr>
            <w:tcW w:w="2048"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261ADB" w:rsidRPr="00D55DC6" w:rsidRDefault="00261ADB" w:rsidP="0038165F">
            <w:pPr>
              <w:widowControl/>
              <w:spacing w:line="0" w:lineRule="atLeast"/>
              <w:jc w:val="center"/>
              <w:rPr>
                <w:rFonts w:eastAsia="標楷體"/>
                <w:kern w:val="0"/>
              </w:rPr>
            </w:pPr>
            <w:r w:rsidRPr="00D55DC6">
              <w:rPr>
                <w:rFonts w:eastAsia="標楷體"/>
                <w:kern w:val="0"/>
              </w:rPr>
              <w:t>投資重點</w:t>
            </w:r>
          </w:p>
        </w:tc>
        <w:tc>
          <w:tcPr>
            <w:tcW w:w="719"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261ADB" w:rsidRPr="00D55DC6" w:rsidRDefault="00261ADB" w:rsidP="0038165F">
            <w:pPr>
              <w:widowControl/>
              <w:spacing w:line="0" w:lineRule="atLeast"/>
              <w:jc w:val="center"/>
              <w:rPr>
                <w:rFonts w:eastAsia="標楷體"/>
                <w:kern w:val="0"/>
              </w:rPr>
            </w:pPr>
            <w:r w:rsidRPr="00D55DC6">
              <w:rPr>
                <w:rFonts w:eastAsia="標楷體"/>
                <w:kern w:val="0"/>
              </w:rPr>
              <w:t>105</w:t>
            </w:r>
            <w:r w:rsidRPr="00D55DC6">
              <w:rPr>
                <w:rFonts w:eastAsia="標楷體"/>
                <w:kern w:val="0"/>
              </w:rPr>
              <w:t>年</w:t>
            </w:r>
          </w:p>
        </w:tc>
        <w:tc>
          <w:tcPr>
            <w:tcW w:w="719"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261ADB" w:rsidRPr="00D55DC6" w:rsidRDefault="00261ADB" w:rsidP="0038165F">
            <w:pPr>
              <w:widowControl/>
              <w:spacing w:line="0" w:lineRule="atLeast"/>
              <w:jc w:val="center"/>
              <w:rPr>
                <w:rFonts w:eastAsia="標楷體"/>
                <w:kern w:val="0"/>
              </w:rPr>
            </w:pPr>
            <w:r w:rsidRPr="00D55DC6">
              <w:rPr>
                <w:rFonts w:eastAsia="標楷體"/>
                <w:kern w:val="0"/>
              </w:rPr>
              <w:t>106</w:t>
            </w:r>
            <w:r w:rsidRPr="00D55DC6">
              <w:rPr>
                <w:rFonts w:eastAsia="標楷體"/>
                <w:kern w:val="0"/>
              </w:rPr>
              <w:t>年</w:t>
            </w:r>
          </w:p>
        </w:tc>
        <w:tc>
          <w:tcPr>
            <w:tcW w:w="719"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261ADB" w:rsidRPr="00D55DC6" w:rsidRDefault="00261ADB" w:rsidP="0038165F">
            <w:pPr>
              <w:widowControl/>
              <w:spacing w:line="0" w:lineRule="atLeast"/>
              <w:rPr>
                <w:rFonts w:eastAsia="標楷體"/>
                <w:kern w:val="0"/>
              </w:rPr>
            </w:pPr>
            <w:r w:rsidRPr="00D55DC6">
              <w:rPr>
                <w:rFonts w:eastAsia="標楷體"/>
                <w:kern w:val="0"/>
              </w:rPr>
              <w:t>107</w:t>
            </w:r>
            <w:r w:rsidRPr="00D55DC6">
              <w:rPr>
                <w:rFonts w:eastAsia="標楷體"/>
                <w:kern w:val="0"/>
              </w:rPr>
              <w:t>年</w:t>
            </w:r>
          </w:p>
        </w:tc>
        <w:tc>
          <w:tcPr>
            <w:tcW w:w="719"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261ADB" w:rsidRPr="00D55DC6" w:rsidRDefault="00261ADB" w:rsidP="0038165F">
            <w:pPr>
              <w:widowControl/>
              <w:spacing w:line="0" w:lineRule="atLeast"/>
              <w:jc w:val="center"/>
              <w:rPr>
                <w:rFonts w:eastAsia="標楷體"/>
                <w:kern w:val="0"/>
              </w:rPr>
            </w:pPr>
            <w:r w:rsidRPr="00D55DC6">
              <w:rPr>
                <w:rFonts w:eastAsia="標楷體"/>
                <w:kern w:val="0"/>
              </w:rPr>
              <w:t>108</w:t>
            </w:r>
            <w:r w:rsidRPr="00D55DC6">
              <w:rPr>
                <w:rFonts w:eastAsia="標楷體"/>
                <w:kern w:val="0"/>
              </w:rPr>
              <w:t>年</w:t>
            </w:r>
          </w:p>
        </w:tc>
        <w:tc>
          <w:tcPr>
            <w:tcW w:w="778"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261ADB" w:rsidRPr="00D55DC6" w:rsidRDefault="00261ADB" w:rsidP="0038165F">
            <w:pPr>
              <w:widowControl/>
              <w:spacing w:line="0" w:lineRule="atLeast"/>
              <w:jc w:val="center"/>
              <w:rPr>
                <w:rFonts w:eastAsia="標楷體"/>
                <w:kern w:val="0"/>
              </w:rPr>
            </w:pPr>
            <w:r w:rsidRPr="00D55DC6">
              <w:rPr>
                <w:rFonts w:eastAsia="標楷體"/>
                <w:kern w:val="0"/>
              </w:rPr>
              <w:t>合計</w:t>
            </w:r>
          </w:p>
        </w:tc>
        <w:tc>
          <w:tcPr>
            <w:tcW w:w="1603" w:type="dxa"/>
            <w:tcBorders>
              <w:top w:val="single" w:sz="4" w:space="0" w:color="auto"/>
              <w:left w:val="single" w:sz="4" w:space="0" w:color="auto"/>
              <w:bottom w:val="single" w:sz="4" w:space="0" w:color="auto"/>
              <w:right w:val="single" w:sz="4" w:space="0" w:color="auto"/>
            </w:tcBorders>
            <w:shd w:val="clear" w:color="auto" w:fill="FFFF99"/>
            <w:vAlign w:val="center"/>
            <w:hideMark/>
          </w:tcPr>
          <w:p w:rsidR="00261ADB" w:rsidRPr="00D55DC6" w:rsidRDefault="00261ADB" w:rsidP="0038165F">
            <w:pPr>
              <w:widowControl/>
              <w:spacing w:line="0" w:lineRule="atLeast"/>
              <w:jc w:val="center"/>
              <w:rPr>
                <w:rFonts w:eastAsia="標楷體"/>
                <w:kern w:val="0"/>
              </w:rPr>
            </w:pPr>
            <w:r w:rsidRPr="00D55DC6">
              <w:rPr>
                <w:rFonts w:eastAsia="標楷體"/>
                <w:kern w:val="0"/>
              </w:rPr>
              <w:t>工作內容</w:t>
            </w:r>
          </w:p>
        </w:tc>
      </w:tr>
      <w:tr w:rsidR="001D0350" w:rsidRPr="00D55DC6" w:rsidTr="00261ADB">
        <w:trPr>
          <w:trHeight w:val="945"/>
        </w:trPr>
        <w:tc>
          <w:tcPr>
            <w:tcW w:w="477" w:type="dxa"/>
            <w:vMerge w:val="restart"/>
            <w:tcBorders>
              <w:top w:val="single" w:sz="4" w:space="0" w:color="auto"/>
              <w:left w:val="single" w:sz="4" w:space="0" w:color="auto"/>
              <w:bottom w:val="single" w:sz="4" w:space="0" w:color="auto"/>
              <w:right w:val="single" w:sz="4" w:space="0" w:color="auto"/>
            </w:tcBorders>
            <w:shd w:val="clear" w:color="auto" w:fill="CCFFFF"/>
            <w:hideMark/>
          </w:tcPr>
          <w:p w:rsidR="00261ADB" w:rsidRPr="00D55DC6" w:rsidRDefault="00261ADB" w:rsidP="0038165F">
            <w:pPr>
              <w:widowControl/>
              <w:spacing w:line="0" w:lineRule="atLeast"/>
              <w:jc w:val="center"/>
              <w:rPr>
                <w:rFonts w:eastAsia="標楷體"/>
                <w:kern w:val="0"/>
              </w:rPr>
            </w:pPr>
            <w:r w:rsidRPr="00D55DC6">
              <w:rPr>
                <w:rFonts w:eastAsia="標楷體"/>
                <w:kern w:val="0"/>
              </w:rPr>
              <w:t>經</w:t>
            </w:r>
            <w:r w:rsidRPr="00D55DC6">
              <w:rPr>
                <w:rFonts w:eastAsia="標楷體"/>
                <w:kern w:val="0"/>
              </w:rPr>
              <w:br/>
            </w:r>
            <w:r w:rsidRPr="00D55DC6">
              <w:rPr>
                <w:rFonts w:eastAsia="標楷體"/>
                <w:kern w:val="0"/>
              </w:rPr>
              <w:t>常</w:t>
            </w:r>
            <w:r w:rsidRPr="00D55DC6">
              <w:rPr>
                <w:rFonts w:eastAsia="標楷體"/>
                <w:kern w:val="0"/>
              </w:rPr>
              <w:br/>
            </w:r>
            <w:r w:rsidRPr="00D55DC6">
              <w:rPr>
                <w:rFonts w:eastAsia="標楷體"/>
                <w:kern w:val="0"/>
              </w:rPr>
              <w:t>門</w:t>
            </w:r>
          </w:p>
        </w:tc>
        <w:tc>
          <w:tcPr>
            <w:tcW w:w="717" w:type="dxa"/>
            <w:vMerge w:val="restart"/>
            <w:tcBorders>
              <w:top w:val="single" w:sz="4" w:space="0" w:color="auto"/>
              <w:left w:val="single" w:sz="4" w:space="0" w:color="auto"/>
              <w:bottom w:val="single" w:sz="4" w:space="0" w:color="auto"/>
              <w:right w:val="single" w:sz="4" w:space="0" w:color="auto"/>
            </w:tcBorders>
            <w:shd w:val="clear" w:color="auto" w:fill="CCFFFF"/>
            <w:hideMark/>
          </w:tcPr>
          <w:p w:rsidR="00261ADB" w:rsidRPr="00D55DC6" w:rsidRDefault="00261ADB" w:rsidP="0038165F">
            <w:pPr>
              <w:widowControl/>
              <w:spacing w:line="0" w:lineRule="atLeast"/>
              <w:rPr>
                <w:rFonts w:eastAsia="標楷體"/>
                <w:kern w:val="0"/>
              </w:rPr>
            </w:pPr>
            <w:r w:rsidRPr="00D55DC6">
              <w:rPr>
                <w:rFonts w:eastAsia="標楷體"/>
                <w:kern w:val="0"/>
              </w:rPr>
              <w:t>0200</w:t>
            </w:r>
            <w:r w:rsidRPr="00D55DC6">
              <w:rPr>
                <w:rFonts w:eastAsia="標楷體"/>
                <w:kern w:val="0"/>
              </w:rPr>
              <w:br/>
            </w:r>
            <w:r w:rsidRPr="00D55DC6">
              <w:rPr>
                <w:rFonts w:eastAsia="標楷體"/>
                <w:kern w:val="0"/>
              </w:rPr>
              <w:t>業務費</w:t>
            </w:r>
          </w:p>
        </w:tc>
        <w:tc>
          <w:tcPr>
            <w:tcW w:w="874" w:type="dxa"/>
            <w:vMerge w:val="restart"/>
            <w:tcBorders>
              <w:top w:val="single" w:sz="4" w:space="0" w:color="auto"/>
              <w:left w:val="single" w:sz="4" w:space="0" w:color="auto"/>
              <w:bottom w:val="single" w:sz="4" w:space="0" w:color="auto"/>
              <w:right w:val="single" w:sz="4" w:space="0" w:color="auto"/>
            </w:tcBorders>
            <w:shd w:val="clear" w:color="auto" w:fill="CCFFFF"/>
            <w:hideMark/>
          </w:tcPr>
          <w:p w:rsidR="00261ADB" w:rsidRPr="00D55DC6" w:rsidRDefault="00261ADB" w:rsidP="0038165F">
            <w:pPr>
              <w:widowControl/>
              <w:spacing w:line="0" w:lineRule="atLeast"/>
              <w:rPr>
                <w:rFonts w:eastAsia="標楷體"/>
                <w:kern w:val="0"/>
              </w:rPr>
            </w:pPr>
            <w:r w:rsidRPr="00D55DC6">
              <w:rPr>
                <w:rFonts w:eastAsia="標楷體"/>
                <w:kern w:val="0"/>
              </w:rPr>
              <w:t>0284</w:t>
            </w:r>
            <w:r w:rsidRPr="00D55DC6">
              <w:rPr>
                <w:rFonts w:eastAsia="標楷體"/>
                <w:kern w:val="0"/>
              </w:rPr>
              <w:t>設施及機械設備養護費</w:t>
            </w:r>
          </w:p>
        </w:tc>
        <w:tc>
          <w:tcPr>
            <w:tcW w:w="2048" w:type="dxa"/>
            <w:tcBorders>
              <w:top w:val="single" w:sz="4" w:space="0" w:color="auto"/>
              <w:left w:val="single" w:sz="4" w:space="0" w:color="auto"/>
              <w:bottom w:val="single" w:sz="4" w:space="0" w:color="auto"/>
              <w:right w:val="single" w:sz="4" w:space="0" w:color="auto"/>
            </w:tcBorders>
            <w:shd w:val="clear" w:color="auto" w:fill="CCFFFF"/>
            <w:hideMark/>
          </w:tcPr>
          <w:p w:rsidR="00261ADB" w:rsidRPr="00D55DC6" w:rsidRDefault="00261ADB" w:rsidP="0038165F">
            <w:pPr>
              <w:widowControl/>
              <w:spacing w:line="0" w:lineRule="atLeast"/>
              <w:rPr>
                <w:rFonts w:eastAsia="標楷體"/>
                <w:b/>
                <w:bCs/>
                <w:kern w:val="0"/>
              </w:rPr>
            </w:pPr>
            <w:r w:rsidRPr="00D55DC6">
              <w:rPr>
                <w:rFonts w:eastAsia="標楷體"/>
                <w:b/>
                <w:bCs/>
                <w:kern w:val="0"/>
              </w:rPr>
              <w:t>1.</w:t>
            </w:r>
            <w:r w:rsidRPr="00D55DC6">
              <w:rPr>
                <w:rFonts w:eastAsia="標楷體"/>
                <w:b/>
                <w:bCs/>
                <w:kern w:val="0"/>
              </w:rPr>
              <w:t>綠美化養護及設施零星修護</w:t>
            </w:r>
          </w:p>
        </w:tc>
        <w:tc>
          <w:tcPr>
            <w:tcW w:w="719" w:type="dxa"/>
            <w:tcBorders>
              <w:top w:val="single" w:sz="4" w:space="0" w:color="auto"/>
              <w:left w:val="single" w:sz="4" w:space="0" w:color="auto"/>
              <w:bottom w:val="single" w:sz="4" w:space="0" w:color="auto"/>
              <w:right w:val="single" w:sz="4" w:space="0" w:color="auto"/>
            </w:tcBorders>
            <w:shd w:val="clear" w:color="auto" w:fill="CCFFFF"/>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 xml:space="preserve">0.1600 </w:t>
            </w:r>
          </w:p>
        </w:tc>
        <w:tc>
          <w:tcPr>
            <w:tcW w:w="719" w:type="dxa"/>
            <w:tcBorders>
              <w:top w:val="single" w:sz="4" w:space="0" w:color="auto"/>
              <w:left w:val="single" w:sz="4" w:space="0" w:color="auto"/>
              <w:bottom w:val="single" w:sz="4" w:space="0" w:color="auto"/>
              <w:right w:val="single" w:sz="4" w:space="0" w:color="auto"/>
            </w:tcBorders>
            <w:shd w:val="clear" w:color="auto" w:fill="CCFFFF"/>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 xml:space="preserve">0.1600 </w:t>
            </w:r>
          </w:p>
        </w:tc>
        <w:tc>
          <w:tcPr>
            <w:tcW w:w="719" w:type="dxa"/>
            <w:tcBorders>
              <w:top w:val="single" w:sz="4" w:space="0" w:color="auto"/>
              <w:left w:val="single" w:sz="4" w:space="0" w:color="auto"/>
              <w:bottom w:val="single" w:sz="4" w:space="0" w:color="auto"/>
              <w:right w:val="single" w:sz="4" w:space="0" w:color="auto"/>
            </w:tcBorders>
            <w:shd w:val="clear" w:color="auto" w:fill="CCFFFF"/>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 xml:space="preserve">0.1600 </w:t>
            </w:r>
          </w:p>
        </w:tc>
        <w:tc>
          <w:tcPr>
            <w:tcW w:w="719" w:type="dxa"/>
            <w:tcBorders>
              <w:top w:val="single" w:sz="4" w:space="0" w:color="auto"/>
              <w:left w:val="single" w:sz="4" w:space="0" w:color="auto"/>
              <w:bottom w:val="single" w:sz="4" w:space="0" w:color="auto"/>
              <w:right w:val="single" w:sz="4" w:space="0" w:color="auto"/>
            </w:tcBorders>
            <w:shd w:val="clear" w:color="auto" w:fill="CCFFFF"/>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 xml:space="preserve">0.1600 </w:t>
            </w:r>
          </w:p>
        </w:tc>
        <w:tc>
          <w:tcPr>
            <w:tcW w:w="778" w:type="dxa"/>
            <w:tcBorders>
              <w:top w:val="single" w:sz="4" w:space="0" w:color="auto"/>
              <w:left w:val="single" w:sz="4" w:space="0" w:color="auto"/>
              <w:bottom w:val="single" w:sz="4" w:space="0" w:color="auto"/>
              <w:right w:val="single" w:sz="4" w:space="0" w:color="auto"/>
            </w:tcBorders>
            <w:shd w:val="clear" w:color="auto" w:fill="CCFFFF"/>
            <w:hideMark/>
          </w:tcPr>
          <w:p w:rsidR="00261ADB" w:rsidRPr="00D55DC6" w:rsidRDefault="00261ADB" w:rsidP="0038165F">
            <w:pPr>
              <w:widowControl/>
              <w:spacing w:line="0" w:lineRule="atLeast"/>
              <w:jc w:val="right"/>
              <w:rPr>
                <w:rFonts w:eastAsia="標楷體"/>
                <w:bCs/>
                <w:kern w:val="0"/>
              </w:rPr>
            </w:pPr>
            <w:r w:rsidRPr="00D55DC6">
              <w:rPr>
                <w:rFonts w:eastAsia="標楷體"/>
                <w:kern w:val="0"/>
              </w:rPr>
              <w:t>0.6400</w:t>
            </w:r>
            <w:r w:rsidRPr="00D55DC6">
              <w:rPr>
                <w:rFonts w:eastAsia="標楷體"/>
                <w:bCs/>
                <w:kern w:val="0"/>
              </w:rPr>
              <w:t xml:space="preserve"> </w:t>
            </w:r>
          </w:p>
        </w:tc>
        <w:tc>
          <w:tcPr>
            <w:tcW w:w="1603" w:type="dxa"/>
            <w:vMerge w:val="restart"/>
            <w:tcBorders>
              <w:top w:val="single" w:sz="4" w:space="0" w:color="auto"/>
              <w:left w:val="single" w:sz="4" w:space="0" w:color="auto"/>
              <w:bottom w:val="single" w:sz="4" w:space="0" w:color="auto"/>
              <w:right w:val="single" w:sz="4" w:space="0" w:color="auto"/>
            </w:tcBorders>
            <w:hideMark/>
          </w:tcPr>
          <w:p w:rsidR="00261ADB" w:rsidRPr="00D55DC6" w:rsidRDefault="00261ADB" w:rsidP="0038165F">
            <w:pPr>
              <w:widowControl/>
              <w:spacing w:line="0" w:lineRule="atLeast"/>
              <w:jc w:val="both"/>
              <w:rPr>
                <w:rFonts w:eastAsia="標楷體"/>
                <w:kern w:val="0"/>
                <w:sz w:val="20"/>
                <w:szCs w:val="20"/>
              </w:rPr>
            </w:pPr>
            <w:r w:rsidRPr="00D55DC6">
              <w:rPr>
                <w:rFonts w:eastAsia="標楷體"/>
                <w:kern w:val="0"/>
                <w:sz w:val="20"/>
                <w:szCs w:val="20"/>
              </w:rPr>
              <w:t>植栽養護、零星修繕、各據點建物公共安全及消防檢測</w:t>
            </w:r>
          </w:p>
        </w:tc>
      </w:tr>
      <w:tr w:rsidR="001D0350" w:rsidRPr="00D55DC6" w:rsidTr="00261ADB">
        <w:trPr>
          <w:trHeight w:val="4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2048" w:type="dxa"/>
            <w:tcBorders>
              <w:top w:val="single" w:sz="4" w:space="0" w:color="auto"/>
              <w:left w:val="single" w:sz="4" w:space="0" w:color="auto"/>
              <w:bottom w:val="single" w:sz="4" w:space="0" w:color="auto"/>
              <w:right w:val="single" w:sz="4" w:space="0" w:color="auto"/>
            </w:tcBorders>
            <w:shd w:val="clear" w:color="auto" w:fill="CCFFFF"/>
            <w:hideMark/>
          </w:tcPr>
          <w:p w:rsidR="00261ADB" w:rsidRPr="00D55DC6" w:rsidRDefault="00261ADB" w:rsidP="0038165F">
            <w:pPr>
              <w:widowControl/>
              <w:spacing w:line="0" w:lineRule="atLeast"/>
              <w:jc w:val="center"/>
              <w:rPr>
                <w:rFonts w:eastAsia="標楷體"/>
                <w:b/>
                <w:bCs/>
                <w:kern w:val="0"/>
              </w:rPr>
            </w:pPr>
            <w:r w:rsidRPr="00D55DC6">
              <w:rPr>
                <w:rFonts w:eastAsia="標楷體"/>
                <w:b/>
                <w:bCs/>
                <w:kern w:val="0"/>
              </w:rPr>
              <w:t>經常門合計</w:t>
            </w:r>
          </w:p>
        </w:tc>
        <w:tc>
          <w:tcPr>
            <w:tcW w:w="719" w:type="dxa"/>
            <w:tcBorders>
              <w:top w:val="single" w:sz="4" w:space="0" w:color="auto"/>
              <w:left w:val="single" w:sz="4" w:space="0" w:color="auto"/>
              <w:bottom w:val="single" w:sz="4" w:space="0" w:color="auto"/>
              <w:right w:val="single" w:sz="4" w:space="0" w:color="auto"/>
            </w:tcBorders>
            <w:shd w:val="clear" w:color="auto" w:fill="CCFFFF"/>
            <w:hideMark/>
          </w:tcPr>
          <w:p w:rsidR="00261ADB" w:rsidRPr="00D55DC6" w:rsidRDefault="00261ADB" w:rsidP="0038165F">
            <w:pPr>
              <w:widowControl/>
              <w:spacing w:line="0" w:lineRule="atLeast"/>
              <w:jc w:val="right"/>
              <w:rPr>
                <w:rFonts w:eastAsia="標楷體"/>
                <w:b/>
                <w:bCs/>
                <w:kern w:val="0"/>
              </w:rPr>
            </w:pPr>
            <w:r w:rsidRPr="00D55DC6">
              <w:rPr>
                <w:rFonts w:eastAsia="標楷體"/>
                <w:b/>
                <w:bCs/>
                <w:kern w:val="0"/>
              </w:rPr>
              <w:t xml:space="preserve">0.1600 </w:t>
            </w:r>
          </w:p>
        </w:tc>
        <w:tc>
          <w:tcPr>
            <w:tcW w:w="719" w:type="dxa"/>
            <w:tcBorders>
              <w:top w:val="single" w:sz="4" w:space="0" w:color="auto"/>
              <w:left w:val="single" w:sz="4" w:space="0" w:color="auto"/>
              <w:bottom w:val="single" w:sz="4" w:space="0" w:color="auto"/>
              <w:right w:val="single" w:sz="4" w:space="0" w:color="auto"/>
            </w:tcBorders>
            <w:shd w:val="clear" w:color="auto" w:fill="CCFFFF"/>
            <w:hideMark/>
          </w:tcPr>
          <w:p w:rsidR="00261ADB" w:rsidRPr="00D55DC6" w:rsidRDefault="00261ADB" w:rsidP="0038165F">
            <w:pPr>
              <w:widowControl/>
              <w:spacing w:line="0" w:lineRule="atLeast"/>
              <w:jc w:val="right"/>
              <w:rPr>
                <w:rFonts w:eastAsia="標楷體"/>
                <w:b/>
                <w:bCs/>
                <w:kern w:val="0"/>
              </w:rPr>
            </w:pPr>
            <w:r w:rsidRPr="00D55DC6">
              <w:rPr>
                <w:rFonts w:eastAsia="標楷體"/>
                <w:b/>
                <w:bCs/>
                <w:kern w:val="0"/>
              </w:rPr>
              <w:t xml:space="preserve">0.1600 </w:t>
            </w:r>
          </w:p>
        </w:tc>
        <w:tc>
          <w:tcPr>
            <w:tcW w:w="719" w:type="dxa"/>
            <w:tcBorders>
              <w:top w:val="single" w:sz="4" w:space="0" w:color="auto"/>
              <w:left w:val="single" w:sz="4" w:space="0" w:color="auto"/>
              <w:bottom w:val="single" w:sz="4" w:space="0" w:color="auto"/>
              <w:right w:val="single" w:sz="4" w:space="0" w:color="auto"/>
            </w:tcBorders>
            <w:shd w:val="clear" w:color="auto" w:fill="CCFFFF"/>
            <w:hideMark/>
          </w:tcPr>
          <w:p w:rsidR="00261ADB" w:rsidRPr="00D55DC6" w:rsidRDefault="00261ADB" w:rsidP="0038165F">
            <w:pPr>
              <w:widowControl/>
              <w:spacing w:line="0" w:lineRule="atLeast"/>
              <w:jc w:val="right"/>
              <w:rPr>
                <w:rFonts w:eastAsia="標楷體"/>
                <w:b/>
                <w:bCs/>
                <w:kern w:val="0"/>
              </w:rPr>
            </w:pPr>
            <w:r w:rsidRPr="00D55DC6">
              <w:rPr>
                <w:rFonts w:eastAsia="標楷體"/>
                <w:b/>
                <w:bCs/>
                <w:kern w:val="0"/>
              </w:rPr>
              <w:t xml:space="preserve">0.1600 </w:t>
            </w:r>
          </w:p>
        </w:tc>
        <w:tc>
          <w:tcPr>
            <w:tcW w:w="719" w:type="dxa"/>
            <w:tcBorders>
              <w:top w:val="single" w:sz="4" w:space="0" w:color="auto"/>
              <w:left w:val="single" w:sz="4" w:space="0" w:color="auto"/>
              <w:bottom w:val="single" w:sz="4" w:space="0" w:color="auto"/>
              <w:right w:val="single" w:sz="4" w:space="0" w:color="auto"/>
            </w:tcBorders>
            <w:shd w:val="clear" w:color="auto" w:fill="CCFFFF"/>
            <w:hideMark/>
          </w:tcPr>
          <w:p w:rsidR="00261ADB" w:rsidRPr="00D55DC6" w:rsidRDefault="00261ADB" w:rsidP="0038165F">
            <w:pPr>
              <w:widowControl/>
              <w:spacing w:line="0" w:lineRule="atLeast"/>
              <w:jc w:val="right"/>
              <w:rPr>
                <w:rFonts w:eastAsia="標楷體"/>
                <w:b/>
                <w:bCs/>
                <w:kern w:val="0"/>
              </w:rPr>
            </w:pPr>
            <w:r w:rsidRPr="00D55DC6">
              <w:rPr>
                <w:rFonts w:eastAsia="標楷體"/>
                <w:b/>
                <w:bCs/>
                <w:kern w:val="0"/>
              </w:rPr>
              <w:t xml:space="preserve">0.1600 </w:t>
            </w:r>
          </w:p>
        </w:tc>
        <w:tc>
          <w:tcPr>
            <w:tcW w:w="778" w:type="dxa"/>
            <w:tcBorders>
              <w:top w:val="single" w:sz="4" w:space="0" w:color="auto"/>
              <w:left w:val="single" w:sz="4" w:space="0" w:color="auto"/>
              <w:bottom w:val="single" w:sz="4" w:space="0" w:color="auto"/>
              <w:right w:val="single" w:sz="4" w:space="0" w:color="auto"/>
            </w:tcBorders>
            <w:shd w:val="clear" w:color="auto" w:fill="CCFFFF"/>
            <w:hideMark/>
          </w:tcPr>
          <w:p w:rsidR="00261ADB" w:rsidRPr="00D55DC6" w:rsidRDefault="00261ADB" w:rsidP="0038165F">
            <w:pPr>
              <w:widowControl/>
              <w:spacing w:line="0" w:lineRule="atLeast"/>
              <w:jc w:val="right"/>
              <w:rPr>
                <w:rFonts w:eastAsia="標楷體"/>
                <w:b/>
                <w:bCs/>
                <w:kern w:val="0"/>
              </w:rPr>
            </w:pPr>
            <w:r w:rsidRPr="00D55DC6">
              <w:rPr>
                <w:rFonts w:eastAsia="標楷體"/>
                <w:b/>
                <w:bCs/>
                <w:kern w:val="0"/>
              </w:rPr>
              <w:t xml:space="preserve">0.6400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sz w:val="20"/>
                <w:szCs w:val="20"/>
              </w:rPr>
            </w:pPr>
          </w:p>
        </w:tc>
      </w:tr>
      <w:tr w:rsidR="001D0350" w:rsidRPr="00D55DC6" w:rsidTr="00261ADB">
        <w:trPr>
          <w:trHeight w:val="1024"/>
        </w:trPr>
        <w:tc>
          <w:tcPr>
            <w:tcW w:w="477" w:type="dxa"/>
            <w:vMerge w:val="restart"/>
            <w:tcBorders>
              <w:top w:val="single" w:sz="4" w:space="0" w:color="auto"/>
              <w:left w:val="single" w:sz="4" w:space="0" w:color="auto"/>
              <w:bottom w:val="single" w:sz="4" w:space="0" w:color="auto"/>
              <w:right w:val="single" w:sz="4" w:space="0" w:color="auto"/>
            </w:tcBorders>
            <w:shd w:val="clear" w:color="auto" w:fill="CCFFCC"/>
            <w:hideMark/>
          </w:tcPr>
          <w:p w:rsidR="00261ADB" w:rsidRPr="00D55DC6" w:rsidRDefault="00261ADB" w:rsidP="0038165F">
            <w:pPr>
              <w:widowControl/>
              <w:spacing w:line="0" w:lineRule="atLeast"/>
              <w:jc w:val="center"/>
              <w:rPr>
                <w:rFonts w:eastAsia="標楷體"/>
                <w:kern w:val="0"/>
              </w:rPr>
            </w:pPr>
            <w:r w:rsidRPr="00D55DC6">
              <w:rPr>
                <w:rFonts w:eastAsia="標楷體"/>
                <w:kern w:val="0"/>
              </w:rPr>
              <w:t>資</w:t>
            </w:r>
            <w:r w:rsidRPr="00D55DC6">
              <w:rPr>
                <w:rFonts w:eastAsia="標楷體"/>
                <w:kern w:val="0"/>
              </w:rPr>
              <w:br/>
            </w:r>
            <w:r w:rsidRPr="00D55DC6">
              <w:rPr>
                <w:rFonts w:eastAsia="標楷體"/>
                <w:kern w:val="0"/>
              </w:rPr>
              <w:t>本</w:t>
            </w:r>
            <w:r w:rsidRPr="00D55DC6">
              <w:rPr>
                <w:rFonts w:eastAsia="標楷體"/>
                <w:kern w:val="0"/>
              </w:rPr>
              <w:br/>
            </w:r>
            <w:r w:rsidRPr="00D55DC6">
              <w:rPr>
                <w:rFonts w:eastAsia="標楷體"/>
                <w:kern w:val="0"/>
              </w:rPr>
              <w:t>門</w:t>
            </w:r>
          </w:p>
        </w:tc>
        <w:tc>
          <w:tcPr>
            <w:tcW w:w="717" w:type="dxa"/>
            <w:vMerge w:val="restart"/>
            <w:tcBorders>
              <w:top w:val="single" w:sz="4" w:space="0" w:color="auto"/>
              <w:left w:val="single" w:sz="4" w:space="0" w:color="auto"/>
              <w:bottom w:val="single" w:sz="4" w:space="0" w:color="auto"/>
              <w:right w:val="single" w:sz="4" w:space="0" w:color="auto"/>
            </w:tcBorders>
            <w:shd w:val="clear" w:color="auto" w:fill="CCFFCC"/>
            <w:hideMark/>
          </w:tcPr>
          <w:p w:rsidR="00261ADB" w:rsidRPr="00D55DC6" w:rsidRDefault="00261ADB" w:rsidP="0038165F">
            <w:pPr>
              <w:widowControl/>
              <w:spacing w:line="0" w:lineRule="atLeast"/>
              <w:rPr>
                <w:rFonts w:eastAsia="標楷體"/>
                <w:kern w:val="0"/>
              </w:rPr>
            </w:pPr>
            <w:r w:rsidRPr="00D55DC6">
              <w:rPr>
                <w:rFonts w:eastAsia="標楷體"/>
                <w:kern w:val="0"/>
              </w:rPr>
              <w:t>0300</w:t>
            </w:r>
            <w:r w:rsidRPr="00D55DC6">
              <w:rPr>
                <w:rFonts w:eastAsia="標楷體"/>
                <w:kern w:val="0"/>
              </w:rPr>
              <w:br/>
            </w:r>
            <w:r w:rsidRPr="00D55DC6">
              <w:rPr>
                <w:rFonts w:eastAsia="標楷體"/>
                <w:kern w:val="0"/>
              </w:rPr>
              <w:t>設備及投資</w:t>
            </w:r>
          </w:p>
        </w:tc>
        <w:tc>
          <w:tcPr>
            <w:tcW w:w="874" w:type="dxa"/>
            <w:tcBorders>
              <w:top w:val="single" w:sz="4" w:space="0" w:color="auto"/>
              <w:left w:val="single" w:sz="4" w:space="0" w:color="auto"/>
              <w:bottom w:val="single" w:sz="4" w:space="0" w:color="auto"/>
              <w:right w:val="single" w:sz="4" w:space="0" w:color="auto"/>
            </w:tcBorders>
            <w:shd w:val="clear" w:color="auto" w:fill="CCFFCC"/>
            <w:hideMark/>
          </w:tcPr>
          <w:p w:rsidR="00261ADB" w:rsidRPr="00D55DC6" w:rsidRDefault="00261ADB" w:rsidP="0038165F">
            <w:pPr>
              <w:widowControl/>
              <w:spacing w:line="0" w:lineRule="atLeast"/>
              <w:rPr>
                <w:rFonts w:eastAsia="標楷體"/>
                <w:kern w:val="0"/>
              </w:rPr>
            </w:pPr>
            <w:r w:rsidRPr="00D55DC6">
              <w:rPr>
                <w:rFonts w:eastAsia="標楷體"/>
                <w:kern w:val="0"/>
              </w:rPr>
              <w:t>0301</w:t>
            </w:r>
            <w:r w:rsidRPr="00D55DC6">
              <w:rPr>
                <w:rFonts w:eastAsia="標楷體"/>
                <w:kern w:val="0"/>
              </w:rPr>
              <w:br/>
            </w:r>
            <w:r w:rsidRPr="00D55DC6">
              <w:rPr>
                <w:rFonts w:eastAsia="標楷體"/>
                <w:kern w:val="0"/>
              </w:rPr>
              <w:t>土地費</w:t>
            </w:r>
          </w:p>
        </w:tc>
        <w:tc>
          <w:tcPr>
            <w:tcW w:w="2048" w:type="dxa"/>
            <w:tcBorders>
              <w:top w:val="single" w:sz="4" w:space="0" w:color="auto"/>
              <w:left w:val="single" w:sz="4" w:space="0" w:color="auto"/>
              <w:bottom w:val="single" w:sz="4" w:space="0" w:color="auto"/>
              <w:right w:val="single" w:sz="4" w:space="0" w:color="auto"/>
            </w:tcBorders>
            <w:shd w:val="clear" w:color="auto" w:fill="CCFFCC"/>
            <w:hideMark/>
          </w:tcPr>
          <w:p w:rsidR="00261ADB" w:rsidRPr="00D55DC6" w:rsidRDefault="00261ADB" w:rsidP="0038165F">
            <w:pPr>
              <w:widowControl/>
              <w:spacing w:line="0" w:lineRule="atLeast"/>
              <w:rPr>
                <w:rFonts w:eastAsia="標楷體"/>
                <w:b/>
                <w:bCs/>
                <w:kern w:val="0"/>
              </w:rPr>
            </w:pPr>
            <w:r w:rsidRPr="00D55DC6">
              <w:rPr>
                <w:rFonts w:eastAsia="標楷體"/>
                <w:b/>
                <w:bCs/>
                <w:kern w:val="0"/>
              </w:rPr>
              <w:t>1.</w:t>
            </w:r>
            <w:r w:rsidRPr="00D55DC6">
              <w:rPr>
                <w:rFonts w:eastAsia="標楷體"/>
                <w:b/>
                <w:bCs/>
                <w:kern w:val="0"/>
              </w:rPr>
              <w:t>土地取得</w:t>
            </w:r>
          </w:p>
        </w:tc>
        <w:tc>
          <w:tcPr>
            <w:tcW w:w="719" w:type="dxa"/>
            <w:tcBorders>
              <w:top w:val="single" w:sz="4" w:space="0" w:color="auto"/>
              <w:left w:val="single" w:sz="4" w:space="0" w:color="auto"/>
              <w:bottom w:val="single" w:sz="4" w:space="0" w:color="auto"/>
              <w:right w:val="single" w:sz="4" w:space="0" w:color="auto"/>
            </w:tcBorders>
            <w:shd w:val="clear" w:color="auto" w:fill="CCFFCC"/>
            <w:hideMark/>
          </w:tcPr>
          <w:p w:rsidR="00261ADB" w:rsidRPr="00D55DC6" w:rsidRDefault="00261ADB" w:rsidP="0038165F">
            <w:pPr>
              <w:widowControl/>
              <w:spacing w:line="0" w:lineRule="atLeast"/>
              <w:jc w:val="right"/>
              <w:rPr>
                <w:rFonts w:eastAsia="標楷體"/>
                <w:b/>
                <w:kern w:val="0"/>
              </w:rPr>
            </w:pPr>
            <w:r w:rsidRPr="00D55DC6">
              <w:rPr>
                <w:rFonts w:eastAsia="標楷體"/>
                <w:b/>
                <w:kern w:val="0"/>
              </w:rPr>
              <w:t xml:space="preserve">0.1800 </w:t>
            </w:r>
          </w:p>
        </w:tc>
        <w:tc>
          <w:tcPr>
            <w:tcW w:w="719" w:type="dxa"/>
            <w:tcBorders>
              <w:top w:val="single" w:sz="4" w:space="0" w:color="auto"/>
              <w:left w:val="single" w:sz="4" w:space="0" w:color="auto"/>
              <w:bottom w:val="single" w:sz="4" w:space="0" w:color="auto"/>
              <w:right w:val="single" w:sz="4" w:space="0" w:color="auto"/>
            </w:tcBorders>
            <w:shd w:val="clear" w:color="auto" w:fill="CCFFCC"/>
            <w:hideMark/>
          </w:tcPr>
          <w:p w:rsidR="00261ADB" w:rsidRPr="00D55DC6" w:rsidRDefault="00261ADB" w:rsidP="0038165F">
            <w:pPr>
              <w:widowControl/>
              <w:spacing w:line="0" w:lineRule="atLeast"/>
              <w:jc w:val="right"/>
              <w:rPr>
                <w:rFonts w:eastAsia="標楷體"/>
                <w:b/>
                <w:kern w:val="0"/>
              </w:rPr>
            </w:pPr>
            <w:r w:rsidRPr="00D55DC6">
              <w:rPr>
                <w:rFonts w:eastAsia="標楷體"/>
                <w:b/>
                <w:kern w:val="0"/>
              </w:rPr>
              <w:t xml:space="preserve">0.1000 </w:t>
            </w:r>
          </w:p>
        </w:tc>
        <w:tc>
          <w:tcPr>
            <w:tcW w:w="719" w:type="dxa"/>
            <w:tcBorders>
              <w:top w:val="single" w:sz="4" w:space="0" w:color="auto"/>
              <w:left w:val="single" w:sz="4" w:space="0" w:color="auto"/>
              <w:bottom w:val="single" w:sz="4" w:space="0" w:color="auto"/>
              <w:right w:val="single" w:sz="4" w:space="0" w:color="auto"/>
            </w:tcBorders>
            <w:shd w:val="clear" w:color="auto" w:fill="CCFFCC"/>
            <w:hideMark/>
          </w:tcPr>
          <w:p w:rsidR="00261ADB" w:rsidRPr="00D55DC6" w:rsidRDefault="00261ADB" w:rsidP="0038165F">
            <w:pPr>
              <w:widowControl/>
              <w:spacing w:line="0" w:lineRule="atLeast"/>
              <w:jc w:val="right"/>
              <w:rPr>
                <w:rFonts w:eastAsia="標楷體"/>
                <w:b/>
                <w:kern w:val="0"/>
              </w:rPr>
            </w:pPr>
            <w:r w:rsidRPr="00D55DC6">
              <w:rPr>
                <w:rFonts w:eastAsia="標楷體"/>
                <w:b/>
                <w:kern w:val="0"/>
              </w:rPr>
              <w:t xml:space="preserve">0.1000 </w:t>
            </w:r>
          </w:p>
        </w:tc>
        <w:tc>
          <w:tcPr>
            <w:tcW w:w="719" w:type="dxa"/>
            <w:tcBorders>
              <w:top w:val="single" w:sz="4" w:space="0" w:color="auto"/>
              <w:left w:val="single" w:sz="4" w:space="0" w:color="auto"/>
              <w:bottom w:val="single" w:sz="4" w:space="0" w:color="auto"/>
              <w:right w:val="single" w:sz="4" w:space="0" w:color="auto"/>
            </w:tcBorders>
            <w:shd w:val="clear" w:color="auto" w:fill="CCFFCC"/>
            <w:hideMark/>
          </w:tcPr>
          <w:p w:rsidR="00261ADB" w:rsidRPr="00D55DC6" w:rsidRDefault="00261ADB" w:rsidP="0038165F">
            <w:pPr>
              <w:widowControl/>
              <w:spacing w:line="0" w:lineRule="atLeast"/>
              <w:jc w:val="right"/>
              <w:rPr>
                <w:rFonts w:eastAsia="標楷體"/>
                <w:b/>
                <w:kern w:val="0"/>
              </w:rPr>
            </w:pPr>
            <w:r w:rsidRPr="00D55DC6">
              <w:rPr>
                <w:rFonts w:eastAsia="標楷體"/>
                <w:b/>
                <w:kern w:val="0"/>
              </w:rPr>
              <w:t xml:space="preserve">0.1000 </w:t>
            </w:r>
          </w:p>
        </w:tc>
        <w:tc>
          <w:tcPr>
            <w:tcW w:w="778" w:type="dxa"/>
            <w:tcBorders>
              <w:top w:val="single" w:sz="4" w:space="0" w:color="auto"/>
              <w:left w:val="single" w:sz="4" w:space="0" w:color="auto"/>
              <w:bottom w:val="single" w:sz="4" w:space="0" w:color="auto"/>
              <w:right w:val="single" w:sz="4" w:space="0" w:color="auto"/>
            </w:tcBorders>
            <w:shd w:val="clear" w:color="auto" w:fill="CCFFCC"/>
            <w:hideMark/>
          </w:tcPr>
          <w:p w:rsidR="00261ADB" w:rsidRPr="00D55DC6" w:rsidRDefault="00261ADB" w:rsidP="0038165F">
            <w:pPr>
              <w:widowControl/>
              <w:spacing w:line="0" w:lineRule="atLeast"/>
              <w:jc w:val="right"/>
              <w:rPr>
                <w:rFonts w:eastAsia="標楷體"/>
                <w:b/>
                <w:kern w:val="0"/>
              </w:rPr>
            </w:pPr>
            <w:r w:rsidRPr="00D55DC6">
              <w:rPr>
                <w:rFonts w:eastAsia="標楷體"/>
                <w:b/>
                <w:kern w:val="0"/>
              </w:rPr>
              <w:t xml:space="preserve">0.4800 </w:t>
            </w:r>
          </w:p>
        </w:tc>
        <w:tc>
          <w:tcPr>
            <w:tcW w:w="1603" w:type="dxa"/>
            <w:tcBorders>
              <w:top w:val="single" w:sz="4" w:space="0" w:color="auto"/>
              <w:left w:val="single" w:sz="4" w:space="0" w:color="auto"/>
              <w:bottom w:val="single" w:sz="4" w:space="0" w:color="auto"/>
              <w:right w:val="single" w:sz="4" w:space="0" w:color="auto"/>
            </w:tcBorders>
            <w:hideMark/>
          </w:tcPr>
          <w:p w:rsidR="00261ADB" w:rsidRPr="00D55DC6" w:rsidRDefault="00261ADB" w:rsidP="0038165F">
            <w:pPr>
              <w:widowControl/>
              <w:spacing w:line="0" w:lineRule="atLeast"/>
              <w:jc w:val="both"/>
              <w:rPr>
                <w:rFonts w:eastAsia="標楷體"/>
                <w:kern w:val="0"/>
                <w:sz w:val="20"/>
                <w:szCs w:val="20"/>
              </w:rPr>
            </w:pPr>
            <w:r w:rsidRPr="00D55DC6">
              <w:rPr>
                <w:rFonts w:eastAsia="標楷體"/>
                <w:kern w:val="0"/>
                <w:sz w:val="20"/>
                <w:szCs w:val="20"/>
              </w:rPr>
              <w:t>辦理轄區訂樁測量、徵收價購、撥用補償及相關作業</w:t>
            </w:r>
          </w:p>
        </w:tc>
      </w:tr>
      <w:tr w:rsidR="001D0350" w:rsidRPr="00D55DC6" w:rsidTr="00261ADB">
        <w:trPr>
          <w:trHeight w:val="37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874" w:type="dxa"/>
            <w:vMerge w:val="restart"/>
            <w:tcBorders>
              <w:top w:val="single" w:sz="4" w:space="0" w:color="auto"/>
              <w:left w:val="single" w:sz="4" w:space="0" w:color="auto"/>
              <w:bottom w:val="single" w:sz="4" w:space="0" w:color="auto"/>
              <w:right w:val="single" w:sz="4" w:space="0" w:color="auto"/>
            </w:tcBorders>
            <w:shd w:val="clear" w:color="auto" w:fill="CCFFCC"/>
            <w:hideMark/>
          </w:tcPr>
          <w:p w:rsidR="00261ADB" w:rsidRPr="00D55DC6" w:rsidRDefault="00261ADB" w:rsidP="0038165F">
            <w:pPr>
              <w:widowControl/>
              <w:spacing w:line="0" w:lineRule="atLeast"/>
              <w:rPr>
                <w:rFonts w:eastAsia="標楷體"/>
                <w:kern w:val="0"/>
              </w:rPr>
            </w:pPr>
            <w:r w:rsidRPr="00D55DC6">
              <w:rPr>
                <w:rFonts w:eastAsia="標楷體"/>
                <w:kern w:val="0"/>
              </w:rPr>
              <w:t>0302</w:t>
            </w:r>
            <w:r w:rsidRPr="00D55DC6">
              <w:rPr>
                <w:rFonts w:eastAsia="標楷體"/>
                <w:kern w:val="0"/>
              </w:rPr>
              <w:br/>
            </w:r>
            <w:r w:rsidRPr="00D55DC6">
              <w:rPr>
                <w:rFonts w:eastAsia="標楷體"/>
                <w:kern w:val="0"/>
              </w:rPr>
              <w:t>房屋建築及設備費</w:t>
            </w:r>
          </w:p>
        </w:tc>
        <w:tc>
          <w:tcPr>
            <w:tcW w:w="2048" w:type="dxa"/>
            <w:tcBorders>
              <w:top w:val="single" w:sz="4" w:space="0" w:color="auto"/>
              <w:left w:val="single" w:sz="4" w:space="0" w:color="auto"/>
              <w:bottom w:val="single" w:sz="4" w:space="0" w:color="auto"/>
              <w:right w:val="single" w:sz="4" w:space="0" w:color="auto"/>
            </w:tcBorders>
            <w:shd w:val="clear" w:color="auto" w:fill="CCFFCC"/>
            <w:hideMark/>
          </w:tcPr>
          <w:p w:rsidR="00261ADB" w:rsidRPr="00D55DC6" w:rsidRDefault="00261ADB" w:rsidP="0038165F">
            <w:pPr>
              <w:widowControl/>
              <w:spacing w:line="0" w:lineRule="atLeast"/>
              <w:rPr>
                <w:rFonts w:eastAsia="標楷體"/>
                <w:b/>
                <w:bCs/>
                <w:kern w:val="0"/>
              </w:rPr>
            </w:pPr>
            <w:r w:rsidRPr="00D55DC6">
              <w:rPr>
                <w:rFonts w:eastAsia="標楷體"/>
                <w:b/>
                <w:bCs/>
                <w:kern w:val="0"/>
              </w:rPr>
              <w:t>2.</w:t>
            </w:r>
            <w:r w:rsidRPr="00D55DC6">
              <w:rPr>
                <w:rFonts w:eastAsia="標楷體"/>
                <w:b/>
                <w:bCs/>
                <w:kern w:val="0"/>
              </w:rPr>
              <w:t>房屋建築及設備</w:t>
            </w:r>
          </w:p>
        </w:tc>
        <w:tc>
          <w:tcPr>
            <w:tcW w:w="719" w:type="dxa"/>
            <w:tcBorders>
              <w:top w:val="single" w:sz="4" w:space="0" w:color="auto"/>
              <w:left w:val="single" w:sz="4" w:space="0" w:color="auto"/>
              <w:bottom w:val="single" w:sz="4" w:space="0" w:color="auto"/>
              <w:right w:val="single" w:sz="4" w:space="0" w:color="auto"/>
            </w:tcBorders>
            <w:shd w:val="clear" w:color="auto" w:fill="CCFFCC"/>
            <w:hideMark/>
          </w:tcPr>
          <w:p w:rsidR="00261ADB" w:rsidRPr="00D55DC6" w:rsidRDefault="00261ADB" w:rsidP="0038165F">
            <w:pPr>
              <w:widowControl/>
              <w:spacing w:line="0" w:lineRule="atLeast"/>
              <w:jc w:val="right"/>
              <w:rPr>
                <w:rFonts w:eastAsia="標楷體"/>
                <w:b/>
                <w:kern w:val="0"/>
              </w:rPr>
            </w:pPr>
            <w:r w:rsidRPr="00D55DC6">
              <w:rPr>
                <w:rFonts w:eastAsia="標楷體"/>
                <w:b/>
                <w:kern w:val="0"/>
              </w:rPr>
              <w:t xml:space="preserve">0.3500 </w:t>
            </w:r>
          </w:p>
        </w:tc>
        <w:tc>
          <w:tcPr>
            <w:tcW w:w="719" w:type="dxa"/>
            <w:tcBorders>
              <w:top w:val="single" w:sz="4" w:space="0" w:color="auto"/>
              <w:left w:val="single" w:sz="4" w:space="0" w:color="auto"/>
              <w:bottom w:val="single" w:sz="4" w:space="0" w:color="auto"/>
              <w:right w:val="single" w:sz="4" w:space="0" w:color="auto"/>
            </w:tcBorders>
            <w:shd w:val="clear" w:color="auto" w:fill="CCFFCC"/>
            <w:hideMark/>
          </w:tcPr>
          <w:p w:rsidR="00261ADB" w:rsidRPr="00D55DC6" w:rsidRDefault="00261ADB" w:rsidP="0038165F">
            <w:pPr>
              <w:widowControl/>
              <w:spacing w:line="0" w:lineRule="atLeast"/>
              <w:jc w:val="right"/>
              <w:rPr>
                <w:rFonts w:eastAsia="標楷體"/>
                <w:b/>
                <w:kern w:val="0"/>
              </w:rPr>
            </w:pPr>
            <w:r w:rsidRPr="00D55DC6">
              <w:rPr>
                <w:rFonts w:eastAsia="標楷體"/>
                <w:b/>
                <w:kern w:val="0"/>
              </w:rPr>
              <w:t xml:space="preserve">0.1500 </w:t>
            </w:r>
          </w:p>
        </w:tc>
        <w:tc>
          <w:tcPr>
            <w:tcW w:w="719" w:type="dxa"/>
            <w:tcBorders>
              <w:top w:val="single" w:sz="4" w:space="0" w:color="auto"/>
              <w:left w:val="single" w:sz="4" w:space="0" w:color="auto"/>
              <w:bottom w:val="single" w:sz="4" w:space="0" w:color="auto"/>
              <w:right w:val="single" w:sz="4" w:space="0" w:color="auto"/>
            </w:tcBorders>
            <w:shd w:val="clear" w:color="auto" w:fill="CCFFCC"/>
            <w:hideMark/>
          </w:tcPr>
          <w:p w:rsidR="00261ADB" w:rsidRPr="00D55DC6" w:rsidRDefault="00261ADB" w:rsidP="0038165F">
            <w:pPr>
              <w:widowControl/>
              <w:spacing w:line="0" w:lineRule="atLeast"/>
              <w:jc w:val="right"/>
              <w:rPr>
                <w:rFonts w:eastAsia="標楷體"/>
                <w:b/>
                <w:kern w:val="0"/>
              </w:rPr>
            </w:pPr>
            <w:r w:rsidRPr="00D55DC6">
              <w:rPr>
                <w:rFonts w:eastAsia="標楷體"/>
                <w:b/>
                <w:kern w:val="0"/>
              </w:rPr>
              <w:t xml:space="preserve">0.0000 </w:t>
            </w:r>
          </w:p>
        </w:tc>
        <w:tc>
          <w:tcPr>
            <w:tcW w:w="719" w:type="dxa"/>
            <w:tcBorders>
              <w:top w:val="single" w:sz="4" w:space="0" w:color="auto"/>
              <w:left w:val="single" w:sz="4" w:space="0" w:color="auto"/>
              <w:bottom w:val="single" w:sz="4" w:space="0" w:color="auto"/>
              <w:right w:val="single" w:sz="4" w:space="0" w:color="auto"/>
            </w:tcBorders>
            <w:shd w:val="clear" w:color="auto" w:fill="CCFFCC"/>
            <w:hideMark/>
          </w:tcPr>
          <w:p w:rsidR="00261ADB" w:rsidRPr="00D55DC6" w:rsidRDefault="00261ADB" w:rsidP="0038165F">
            <w:pPr>
              <w:widowControl/>
              <w:spacing w:line="0" w:lineRule="atLeast"/>
              <w:jc w:val="right"/>
              <w:rPr>
                <w:rFonts w:eastAsia="標楷體"/>
                <w:b/>
                <w:kern w:val="0"/>
              </w:rPr>
            </w:pPr>
            <w:r w:rsidRPr="00D55DC6">
              <w:rPr>
                <w:rFonts w:eastAsia="標楷體"/>
                <w:b/>
                <w:kern w:val="0"/>
              </w:rPr>
              <w:t xml:space="preserve">0.0000 </w:t>
            </w:r>
          </w:p>
        </w:tc>
        <w:tc>
          <w:tcPr>
            <w:tcW w:w="778" w:type="dxa"/>
            <w:tcBorders>
              <w:top w:val="single" w:sz="4" w:space="0" w:color="auto"/>
              <w:left w:val="single" w:sz="4" w:space="0" w:color="auto"/>
              <w:bottom w:val="single" w:sz="4" w:space="0" w:color="auto"/>
              <w:right w:val="single" w:sz="4" w:space="0" w:color="auto"/>
            </w:tcBorders>
            <w:shd w:val="clear" w:color="auto" w:fill="CCFFCC"/>
            <w:hideMark/>
          </w:tcPr>
          <w:p w:rsidR="00261ADB" w:rsidRPr="00D55DC6" w:rsidRDefault="00261ADB" w:rsidP="0038165F">
            <w:pPr>
              <w:widowControl/>
              <w:spacing w:line="0" w:lineRule="atLeast"/>
              <w:jc w:val="right"/>
              <w:rPr>
                <w:rFonts w:eastAsia="標楷體"/>
                <w:b/>
                <w:kern w:val="0"/>
              </w:rPr>
            </w:pPr>
            <w:r w:rsidRPr="00D55DC6">
              <w:rPr>
                <w:rFonts w:eastAsia="標楷體"/>
                <w:b/>
                <w:kern w:val="0"/>
              </w:rPr>
              <w:t xml:space="preserve">0.5000 </w:t>
            </w:r>
          </w:p>
        </w:tc>
        <w:tc>
          <w:tcPr>
            <w:tcW w:w="1603" w:type="dxa"/>
            <w:vMerge w:val="restart"/>
            <w:tcBorders>
              <w:top w:val="single" w:sz="4" w:space="0" w:color="auto"/>
              <w:left w:val="single" w:sz="4" w:space="0" w:color="auto"/>
              <w:bottom w:val="single" w:sz="4" w:space="0" w:color="auto"/>
              <w:right w:val="single" w:sz="4" w:space="0" w:color="auto"/>
            </w:tcBorders>
            <w:hideMark/>
          </w:tcPr>
          <w:p w:rsidR="00261ADB" w:rsidRPr="00D55DC6" w:rsidRDefault="00261ADB" w:rsidP="0038165F">
            <w:pPr>
              <w:widowControl/>
              <w:spacing w:line="0" w:lineRule="atLeast"/>
              <w:jc w:val="both"/>
              <w:rPr>
                <w:rFonts w:eastAsia="標楷體"/>
                <w:kern w:val="0"/>
                <w:sz w:val="20"/>
                <w:szCs w:val="20"/>
              </w:rPr>
            </w:pPr>
            <w:r w:rsidRPr="00D55DC6">
              <w:rPr>
                <w:rFonts w:eastAsia="標楷體"/>
                <w:kern w:val="0"/>
                <w:sz w:val="20"/>
                <w:szCs w:val="20"/>
              </w:rPr>
              <w:t>辦理蘇澳冷泉園區設施興建工程</w:t>
            </w:r>
          </w:p>
        </w:tc>
      </w:tr>
      <w:tr w:rsidR="001D0350" w:rsidRPr="00D55DC6" w:rsidTr="00261ADB">
        <w:trPr>
          <w:trHeight w:val="37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2048"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61ADB" w:rsidRPr="00D55DC6" w:rsidRDefault="00261ADB" w:rsidP="0038165F">
            <w:pPr>
              <w:widowControl/>
              <w:spacing w:line="0" w:lineRule="atLeast"/>
              <w:rPr>
                <w:rFonts w:eastAsia="標楷體"/>
                <w:kern w:val="0"/>
                <w:sz w:val="20"/>
                <w:szCs w:val="20"/>
              </w:rPr>
            </w:pPr>
            <w:r w:rsidRPr="00D55DC6">
              <w:rPr>
                <w:rFonts w:eastAsia="標楷體"/>
                <w:kern w:val="0"/>
                <w:sz w:val="20"/>
                <w:szCs w:val="20"/>
              </w:rPr>
              <w:t>(1)</w:t>
            </w:r>
            <w:r w:rsidRPr="00D55DC6">
              <w:rPr>
                <w:rFonts w:eastAsia="標楷體"/>
                <w:kern w:val="0"/>
                <w:sz w:val="20"/>
                <w:szCs w:val="20"/>
              </w:rPr>
              <w:t>國際觀光重要景點</w:t>
            </w:r>
          </w:p>
        </w:tc>
        <w:tc>
          <w:tcPr>
            <w:tcW w:w="719"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0.3500</w:t>
            </w:r>
          </w:p>
        </w:tc>
        <w:tc>
          <w:tcPr>
            <w:tcW w:w="719"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0.1500</w:t>
            </w:r>
          </w:p>
        </w:tc>
        <w:tc>
          <w:tcPr>
            <w:tcW w:w="719"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0.0000</w:t>
            </w:r>
            <w:r w:rsidRPr="00D55DC6">
              <w:rPr>
                <w:rFonts w:eastAsia="標楷體"/>
                <w:kern w:val="0"/>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jc w:val="both"/>
              <w:rPr>
                <w:rFonts w:eastAsia="標楷體"/>
                <w:kern w:val="0"/>
              </w:rPr>
            </w:pPr>
            <w:r w:rsidRPr="00D55DC6">
              <w:rPr>
                <w:rFonts w:eastAsia="標楷體"/>
                <w:kern w:val="0"/>
              </w:rPr>
              <w:t>0.0000</w:t>
            </w:r>
          </w:p>
        </w:tc>
        <w:tc>
          <w:tcPr>
            <w:tcW w:w="778"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jc w:val="right"/>
              <w:rPr>
                <w:rFonts w:eastAsia="標楷體"/>
                <w:bCs/>
                <w:kern w:val="0"/>
              </w:rPr>
            </w:pPr>
            <w:r w:rsidRPr="00D55DC6">
              <w:rPr>
                <w:rFonts w:eastAsia="標楷體"/>
                <w:bCs/>
                <w:kern w:val="0"/>
              </w:rPr>
              <w:t xml:space="preserve">0.5000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sz w:val="20"/>
                <w:szCs w:val="20"/>
              </w:rPr>
            </w:pPr>
          </w:p>
        </w:tc>
      </w:tr>
      <w:tr w:rsidR="001D0350" w:rsidRPr="00D55DC6" w:rsidTr="00486FAE">
        <w:trPr>
          <w:trHeight w:val="7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2048"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61ADB" w:rsidRPr="00D55DC6" w:rsidRDefault="00261ADB" w:rsidP="0038165F">
            <w:pPr>
              <w:widowControl/>
              <w:spacing w:line="0" w:lineRule="atLeast"/>
              <w:rPr>
                <w:rFonts w:eastAsia="標楷體"/>
                <w:kern w:val="0"/>
                <w:sz w:val="20"/>
                <w:szCs w:val="20"/>
              </w:rPr>
            </w:pPr>
            <w:r w:rsidRPr="00D55DC6">
              <w:rPr>
                <w:rFonts w:eastAsia="標楷體"/>
                <w:kern w:val="0"/>
                <w:sz w:val="20"/>
                <w:szCs w:val="20"/>
              </w:rPr>
              <w:t>(2)</w:t>
            </w:r>
            <w:r w:rsidRPr="00D55DC6">
              <w:rPr>
                <w:rFonts w:eastAsia="標楷體"/>
                <w:kern w:val="0"/>
                <w:sz w:val="20"/>
                <w:szCs w:val="20"/>
              </w:rPr>
              <w:t>國內觀光重要景點</w:t>
            </w:r>
          </w:p>
        </w:tc>
        <w:tc>
          <w:tcPr>
            <w:tcW w:w="719" w:type="dxa"/>
            <w:tcBorders>
              <w:top w:val="single" w:sz="4" w:space="0" w:color="auto"/>
              <w:left w:val="single" w:sz="4" w:space="0" w:color="auto"/>
              <w:bottom w:val="single" w:sz="4" w:space="0" w:color="auto"/>
              <w:right w:val="single" w:sz="4" w:space="0" w:color="auto"/>
            </w:tcBorders>
            <w:shd w:val="clear" w:color="auto" w:fill="E6E6E6"/>
            <w:vAlign w:val="center"/>
          </w:tcPr>
          <w:p w:rsidR="00261ADB" w:rsidRPr="00D55DC6" w:rsidRDefault="00261ADB" w:rsidP="0038165F">
            <w:pPr>
              <w:widowControl/>
              <w:spacing w:line="0" w:lineRule="atLeast"/>
              <w:jc w:val="right"/>
              <w:rPr>
                <w:rFonts w:eastAsia="標楷體"/>
                <w:kern w:val="0"/>
              </w:rPr>
            </w:pPr>
          </w:p>
        </w:tc>
        <w:tc>
          <w:tcPr>
            <w:tcW w:w="719" w:type="dxa"/>
            <w:tcBorders>
              <w:top w:val="single" w:sz="4" w:space="0" w:color="auto"/>
              <w:left w:val="single" w:sz="4" w:space="0" w:color="auto"/>
              <w:bottom w:val="single" w:sz="4" w:space="0" w:color="auto"/>
              <w:right w:val="single" w:sz="4" w:space="0" w:color="auto"/>
            </w:tcBorders>
            <w:shd w:val="clear" w:color="auto" w:fill="E6E6E6"/>
            <w:vAlign w:val="center"/>
          </w:tcPr>
          <w:p w:rsidR="00261ADB" w:rsidRPr="00D55DC6" w:rsidRDefault="00261ADB" w:rsidP="0038165F">
            <w:pPr>
              <w:widowControl/>
              <w:spacing w:line="0" w:lineRule="atLeast"/>
              <w:jc w:val="right"/>
              <w:rPr>
                <w:rFonts w:eastAsia="標楷體"/>
                <w:kern w:val="0"/>
              </w:rPr>
            </w:pPr>
          </w:p>
        </w:tc>
        <w:tc>
          <w:tcPr>
            <w:tcW w:w="719" w:type="dxa"/>
            <w:tcBorders>
              <w:top w:val="single" w:sz="4" w:space="0" w:color="auto"/>
              <w:left w:val="single" w:sz="4" w:space="0" w:color="auto"/>
              <w:bottom w:val="single" w:sz="4" w:space="0" w:color="auto"/>
              <w:right w:val="single" w:sz="4" w:space="0" w:color="auto"/>
            </w:tcBorders>
            <w:shd w:val="clear" w:color="auto" w:fill="E6E6E6"/>
            <w:vAlign w:val="center"/>
          </w:tcPr>
          <w:p w:rsidR="00261ADB" w:rsidRPr="00D55DC6" w:rsidRDefault="00261ADB" w:rsidP="0038165F">
            <w:pPr>
              <w:widowControl/>
              <w:spacing w:line="0" w:lineRule="atLeast"/>
              <w:jc w:val="right"/>
              <w:rPr>
                <w:rFonts w:eastAsia="標楷體"/>
                <w:kern w:val="0"/>
              </w:rPr>
            </w:pPr>
          </w:p>
        </w:tc>
        <w:tc>
          <w:tcPr>
            <w:tcW w:w="719" w:type="dxa"/>
            <w:tcBorders>
              <w:top w:val="single" w:sz="4" w:space="0" w:color="auto"/>
              <w:left w:val="single" w:sz="4" w:space="0" w:color="auto"/>
              <w:bottom w:val="single" w:sz="4" w:space="0" w:color="auto"/>
              <w:right w:val="single" w:sz="4" w:space="0" w:color="auto"/>
            </w:tcBorders>
            <w:shd w:val="clear" w:color="auto" w:fill="E6E6E6"/>
            <w:vAlign w:val="center"/>
          </w:tcPr>
          <w:p w:rsidR="00261ADB" w:rsidRPr="00D55DC6" w:rsidRDefault="00261ADB" w:rsidP="0038165F">
            <w:pPr>
              <w:widowControl/>
              <w:spacing w:line="0" w:lineRule="atLeast"/>
              <w:jc w:val="right"/>
              <w:rPr>
                <w:rFonts w:eastAsia="標楷體"/>
                <w:kern w:val="0"/>
              </w:rPr>
            </w:pPr>
          </w:p>
        </w:tc>
        <w:tc>
          <w:tcPr>
            <w:tcW w:w="778" w:type="dxa"/>
            <w:tcBorders>
              <w:top w:val="single" w:sz="4" w:space="0" w:color="auto"/>
              <w:left w:val="single" w:sz="4" w:space="0" w:color="auto"/>
              <w:bottom w:val="single" w:sz="4" w:space="0" w:color="auto"/>
              <w:right w:val="single" w:sz="4" w:space="0" w:color="auto"/>
            </w:tcBorders>
            <w:shd w:val="clear" w:color="auto" w:fill="E6E6E6"/>
            <w:vAlign w:val="center"/>
          </w:tcPr>
          <w:p w:rsidR="00261ADB" w:rsidRPr="00D55DC6" w:rsidRDefault="00261ADB" w:rsidP="0038165F">
            <w:pPr>
              <w:widowControl/>
              <w:spacing w:line="0" w:lineRule="atLeast"/>
              <w:jc w:val="right"/>
              <w:rPr>
                <w:rFonts w:eastAsia="標楷體"/>
                <w:bCs/>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sz w:val="20"/>
                <w:szCs w:val="20"/>
              </w:rPr>
            </w:pPr>
          </w:p>
        </w:tc>
      </w:tr>
      <w:tr w:rsidR="001D0350" w:rsidRPr="00D55DC6" w:rsidTr="00261ADB">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874" w:type="dxa"/>
            <w:vMerge w:val="restart"/>
            <w:tcBorders>
              <w:top w:val="single" w:sz="4" w:space="0" w:color="auto"/>
              <w:left w:val="single" w:sz="4" w:space="0" w:color="auto"/>
              <w:bottom w:val="single" w:sz="4" w:space="0" w:color="auto"/>
              <w:right w:val="single" w:sz="4" w:space="0" w:color="auto"/>
            </w:tcBorders>
            <w:shd w:val="clear" w:color="auto" w:fill="CCFFCC"/>
            <w:hideMark/>
          </w:tcPr>
          <w:p w:rsidR="00261ADB" w:rsidRPr="00D55DC6" w:rsidRDefault="00261ADB" w:rsidP="0038165F">
            <w:pPr>
              <w:widowControl/>
              <w:spacing w:line="0" w:lineRule="atLeast"/>
              <w:rPr>
                <w:rFonts w:eastAsia="標楷體"/>
                <w:kern w:val="0"/>
              </w:rPr>
            </w:pPr>
            <w:r w:rsidRPr="00D55DC6">
              <w:rPr>
                <w:rFonts w:eastAsia="標楷體"/>
                <w:kern w:val="0"/>
              </w:rPr>
              <w:t>0303</w:t>
            </w:r>
            <w:r w:rsidRPr="00D55DC6">
              <w:rPr>
                <w:rFonts w:eastAsia="標楷體"/>
                <w:kern w:val="0"/>
              </w:rPr>
              <w:br/>
            </w:r>
            <w:r w:rsidRPr="00D55DC6">
              <w:rPr>
                <w:rFonts w:eastAsia="標楷體"/>
                <w:kern w:val="0"/>
              </w:rPr>
              <w:t>公共建設及設施費</w:t>
            </w:r>
          </w:p>
        </w:tc>
        <w:tc>
          <w:tcPr>
            <w:tcW w:w="2048"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261ADB" w:rsidRPr="00D55DC6" w:rsidRDefault="00261ADB" w:rsidP="0038165F">
            <w:pPr>
              <w:widowControl/>
              <w:spacing w:line="0" w:lineRule="atLeast"/>
              <w:rPr>
                <w:rFonts w:eastAsia="標楷體"/>
                <w:b/>
                <w:bCs/>
                <w:kern w:val="0"/>
              </w:rPr>
            </w:pPr>
            <w:r w:rsidRPr="00D55DC6">
              <w:rPr>
                <w:rFonts w:eastAsia="標楷體"/>
                <w:b/>
                <w:bCs/>
                <w:kern w:val="0"/>
              </w:rPr>
              <w:t>3.</w:t>
            </w:r>
            <w:r w:rsidRPr="00D55DC6">
              <w:rPr>
                <w:rFonts w:eastAsia="標楷體"/>
                <w:b/>
                <w:bCs/>
                <w:kern w:val="0"/>
              </w:rPr>
              <w:t>公共建設及設施</w:t>
            </w:r>
          </w:p>
        </w:tc>
        <w:tc>
          <w:tcPr>
            <w:tcW w:w="719"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261ADB" w:rsidRPr="00D55DC6" w:rsidRDefault="00261ADB" w:rsidP="0038165F">
            <w:pPr>
              <w:widowControl/>
              <w:spacing w:line="0" w:lineRule="atLeast"/>
              <w:jc w:val="right"/>
              <w:rPr>
                <w:rFonts w:eastAsia="標楷體"/>
                <w:b/>
                <w:kern w:val="0"/>
              </w:rPr>
            </w:pPr>
            <w:r w:rsidRPr="00D55DC6">
              <w:rPr>
                <w:rFonts w:eastAsia="標楷體"/>
                <w:b/>
                <w:kern w:val="0"/>
              </w:rPr>
              <w:t xml:space="preserve">1.610 </w:t>
            </w:r>
          </w:p>
        </w:tc>
        <w:tc>
          <w:tcPr>
            <w:tcW w:w="719"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261ADB" w:rsidRPr="00D55DC6" w:rsidRDefault="00261ADB" w:rsidP="0038165F">
            <w:pPr>
              <w:widowControl/>
              <w:spacing w:line="0" w:lineRule="atLeast"/>
              <w:jc w:val="right"/>
              <w:rPr>
                <w:rFonts w:eastAsia="標楷體"/>
                <w:b/>
                <w:kern w:val="0"/>
              </w:rPr>
            </w:pPr>
            <w:r w:rsidRPr="00D55DC6">
              <w:rPr>
                <w:rFonts w:eastAsia="標楷體"/>
                <w:b/>
                <w:kern w:val="0"/>
              </w:rPr>
              <w:t xml:space="preserve">1.890 </w:t>
            </w:r>
          </w:p>
        </w:tc>
        <w:tc>
          <w:tcPr>
            <w:tcW w:w="719"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261ADB" w:rsidRPr="00D55DC6" w:rsidRDefault="00261ADB" w:rsidP="0038165F">
            <w:pPr>
              <w:widowControl/>
              <w:spacing w:line="0" w:lineRule="atLeast"/>
              <w:jc w:val="right"/>
              <w:rPr>
                <w:rFonts w:eastAsia="標楷體"/>
                <w:b/>
                <w:kern w:val="0"/>
              </w:rPr>
            </w:pPr>
            <w:r w:rsidRPr="00D55DC6">
              <w:rPr>
                <w:rFonts w:eastAsia="標楷體"/>
                <w:b/>
                <w:kern w:val="0"/>
              </w:rPr>
              <w:t>2.030</w:t>
            </w:r>
          </w:p>
        </w:tc>
        <w:tc>
          <w:tcPr>
            <w:tcW w:w="719"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261ADB" w:rsidRPr="00D55DC6" w:rsidRDefault="00261ADB" w:rsidP="0038165F">
            <w:pPr>
              <w:widowControl/>
              <w:spacing w:line="0" w:lineRule="atLeast"/>
              <w:jc w:val="right"/>
              <w:rPr>
                <w:rFonts w:eastAsia="標楷體"/>
                <w:b/>
                <w:kern w:val="0"/>
              </w:rPr>
            </w:pPr>
            <w:r w:rsidRPr="00D55DC6">
              <w:rPr>
                <w:rFonts w:eastAsia="標楷體"/>
                <w:b/>
                <w:kern w:val="0"/>
              </w:rPr>
              <w:t xml:space="preserve">2.050 </w:t>
            </w:r>
          </w:p>
        </w:tc>
        <w:tc>
          <w:tcPr>
            <w:tcW w:w="778"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261ADB" w:rsidRPr="00D55DC6" w:rsidRDefault="00261ADB" w:rsidP="0038165F">
            <w:pPr>
              <w:widowControl/>
              <w:spacing w:line="0" w:lineRule="atLeast"/>
              <w:jc w:val="right"/>
              <w:rPr>
                <w:rFonts w:eastAsia="標楷體"/>
                <w:b/>
                <w:kern w:val="0"/>
              </w:rPr>
            </w:pPr>
            <w:r w:rsidRPr="00D55DC6">
              <w:rPr>
                <w:rFonts w:eastAsia="標楷體"/>
                <w:b/>
                <w:kern w:val="0"/>
              </w:rPr>
              <w:t xml:space="preserve">7.5800 </w:t>
            </w:r>
          </w:p>
        </w:tc>
        <w:tc>
          <w:tcPr>
            <w:tcW w:w="1603" w:type="dxa"/>
            <w:tcBorders>
              <w:top w:val="single" w:sz="4" w:space="0" w:color="auto"/>
              <w:left w:val="single" w:sz="4" w:space="0" w:color="auto"/>
              <w:bottom w:val="single" w:sz="4" w:space="0" w:color="auto"/>
              <w:right w:val="single" w:sz="4" w:space="0" w:color="auto"/>
            </w:tcBorders>
            <w:vAlign w:val="center"/>
          </w:tcPr>
          <w:p w:rsidR="00261ADB" w:rsidRPr="00D55DC6" w:rsidRDefault="00261ADB" w:rsidP="0038165F">
            <w:pPr>
              <w:widowControl/>
              <w:spacing w:line="0" w:lineRule="atLeast"/>
              <w:rPr>
                <w:rFonts w:eastAsia="標楷體"/>
                <w:kern w:val="0"/>
                <w:sz w:val="20"/>
                <w:szCs w:val="20"/>
              </w:rPr>
            </w:pPr>
          </w:p>
        </w:tc>
      </w:tr>
      <w:tr w:rsidR="001D0350" w:rsidRPr="00D55DC6" w:rsidTr="00261ADB">
        <w:trPr>
          <w:trHeight w:val="4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2048"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jc w:val="both"/>
              <w:rPr>
                <w:rFonts w:eastAsia="標楷體"/>
                <w:kern w:val="0"/>
              </w:rPr>
            </w:pPr>
            <w:r w:rsidRPr="00D55DC6">
              <w:rPr>
                <w:rFonts w:eastAsia="標楷體"/>
                <w:kern w:val="0"/>
              </w:rPr>
              <w:t>(1)</w:t>
            </w:r>
            <w:r w:rsidRPr="00D55DC6">
              <w:rPr>
                <w:rFonts w:eastAsia="標楷體"/>
                <w:kern w:val="0"/>
              </w:rPr>
              <w:t>先期規劃設計</w:t>
            </w:r>
          </w:p>
        </w:tc>
        <w:tc>
          <w:tcPr>
            <w:tcW w:w="719"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0.0500</w:t>
            </w:r>
          </w:p>
        </w:tc>
        <w:tc>
          <w:tcPr>
            <w:tcW w:w="719"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0.0500</w:t>
            </w:r>
          </w:p>
        </w:tc>
        <w:tc>
          <w:tcPr>
            <w:tcW w:w="719"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0.0500</w:t>
            </w:r>
          </w:p>
        </w:tc>
        <w:tc>
          <w:tcPr>
            <w:tcW w:w="719"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0.0500</w:t>
            </w:r>
          </w:p>
        </w:tc>
        <w:tc>
          <w:tcPr>
            <w:tcW w:w="778"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0.2000</w:t>
            </w:r>
          </w:p>
        </w:tc>
        <w:tc>
          <w:tcPr>
            <w:tcW w:w="1603" w:type="dxa"/>
            <w:tcBorders>
              <w:top w:val="single" w:sz="4" w:space="0" w:color="auto"/>
              <w:left w:val="single" w:sz="4" w:space="0" w:color="auto"/>
              <w:bottom w:val="single" w:sz="4" w:space="0" w:color="auto"/>
              <w:right w:val="single" w:sz="4" w:space="0" w:color="auto"/>
            </w:tcBorders>
            <w:hideMark/>
          </w:tcPr>
          <w:p w:rsidR="00261ADB" w:rsidRPr="00D55DC6" w:rsidRDefault="00261ADB" w:rsidP="0038165F">
            <w:pPr>
              <w:widowControl/>
              <w:spacing w:line="0" w:lineRule="atLeast"/>
              <w:jc w:val="both"/>
              <w:rPr>
                <w:rFonts w:eastAsia="標楷體"/>
                <w:kern w:val="0"/>
                <w:sz w:val="20"/>
                <w:szCs w:val="20"/>
              </w:rPr>
            </w:pPr>
            <w:r w:rsidRPr="00D55DC6">
              <w:rPr>
                <w:rFonts w:eastAsia="標楷體"/>
                <w:kern w:val="0"/>
                <w:sz w:val="20"/>
                <w:szCs w:val="20"/>
              </w:rPr>
              <w:t>辦理工程整體規劃設計</w:t>
            </w:r>
            <w:r w:rsidRPr="00D55DC6">
              <w:rPr>
                <w:rFonts w:eastAsia="標楷體"/>
                <w:kern w:val="0"/>
                <w:sz w:val="20"/>
                <w:szCs w:val="20"/>
              </w:rPr>
              <w:t>0.2</w:t>
            </w:r>
            <w:r w:rsidRPr="00D55DC6">
              <w:rPr>
                <w:rFonts w:eastAsia="標楷體"/>
                <w:kern w:val="0"/>
                <w:sz w:val="20"/>
                <w:szCs w:val="20"/>
              </w:rPr>
              <w:t>億元</w:t>
            </w:r>
          </w:p>
        </w:tc>
      </w:tr>
      <w:tr w:rsidR="001D0350" w:rsidRPr="00D55DC6" w:rsidTr="00261ADB">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2048"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jc w:val="both"/>
              <w:rPr>
                <w:rFonts w:eastAsia="標楷體"/>
                <w:kern w:val="0"/>
              </w:rPr>
            </w:pPr>
            <w:r w:rsidRPr="00D55DC6">
              <w:rPr>
                <w:rFonts w:eastAsia="標楷體"/>
                <w:kern w:val="0"/>
              </w:rPr>
              <w:t>(2)</w:t>
            </w:r>
            <w:r w:rsidRPr="00D55DC6">
              <w:rPr>
                <w:rFonts w:eastAsia="標楷體"/>
                <w:kern w:val="0"/>
              </w:rPr>
              <w:t>國際觀光重要景點</w:t>
            </w:r>
          </w:p>
        </w:tc>
        <w:tc>
          <w:tcPr>
            <w:tcW w:w="719"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1.1400</w:t>
            </w:r>
          </w:p>
        </w:tc>
        <w:tc>
          <w:tcPr>
            <w:tcW w:w="719"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1.1200</w:t>
            </w:r>
          </w:p>
        </w:tc>
        <w:tc>
          <w:tcPr>
            <w:tcW w:w="719"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ind w:rightChars="-2" w:right="-5"/>
              <w:rPr>
                <w:rFonts w:eastAsia="標楷體"/>
                <w:kern w:val="0"/>
              </w:rPr>
            </w:pPr>
            <w:r w:rsidRPr="00D55DC6">
              <w:rPr>
                <w:rFonts w:eastAsia="標楷體"/>
                <w:kern w:val="0"/>
              </w:rPr>
              <w:t>1.1800</w:t>
            </w:r>
          </w:p>
        </w:tc>
        <w:tc>
          <w:tcPr>
            <w:tcW w:w="719"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1.2000</w:t>
            </w:r>
          </w:p>
        </w:tc>
        <w:tc>
          <w:tcPr>
            <w:tcW w:w="778"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4.6400</w:t>
            </w:r>
          </w:p>
        </w:tc>
        <w:tc>
          <w:tcPr>
            <w:tcW w:w="1603" w:type="dxa"/>
            <w:tcBorders>
              <w:top w:val="single" w:sz="4" w:space="0" w:color="auto"/>
              <w:left w:val="single" w:sz="4" w:space="0" w:color="auto"/>
              <w:bottom w:val="single" w:sz="4" w:space="0" w:color="auto"/>
              <w:right w:val="single" w:sz="4" w:space="0" w:color="auto"/>
            </w:tcBorders>
            <w:vAlign w:val="center"/>
          </w:tcPr>
          <w:p w:rsidR="00261ADB" w:rsidRPr="00D55DC6" w:rsidRDefault="00261ADB" w:rsidP="0038165F">
            <w:pPr>
              <w:widowControl/>
              <w:spacing w:line="0" w:lineRule="atLeast"/>
              <w:rPr>
                <w:rFonts w:eastAsia="標楷體"/>
                <w:kern w:val="0"/>
                <w:sz w:val="20"/>
                <w:szCs w:val="20"/>
              </w:rPr>
            </w:pPr>
          </w:p>
        </w:tc>
      </w:tr>
      <w:tr w:rsidR="001D0350" w:rsidRPr="00D55DC6" w:rsidTr="00261ADB">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2048"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both"/>
              <w:rPr>
                <w:rFonts w:eastAsia="標楷體"/>
                <w:kern w:val="0"/>
              </w:rPr>
            </w:pPr>
            <w:r w:rsidRPr="00D55DC6">
              <w:rPr>
                <w:rFonts w:eastAsia="標楷體"/>
                <w:kern w:val="0"/>
              </w:rPr>
              <w:t>鼻頭龍洞遊憩區</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0.1000</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0.2500</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0.2000</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0.2000</w:t>
            </w:r>
          </w:p>
        </w:tc>
        <w:tc>
          <w:tcPr>
            <w:tcW w:w="778"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0.7500</w:t>
            </w:r>
          </w:p>
        </w:tc>
        <w:tc>
          <w:tcPr>
            <w:tcW w:w="1603"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tabs>
                <w:tab w:val="left" w:pos="1004"/>
              </w:tabs>
              <w:spacing w:line="0" w:lineRule="atLeast"/>
              <w:ind w:rightChars="-10" w:right="-24"/>
              <w:rPr>
                <w:rFonts w:eastAsia="標楷體"/>
                <w:sz w:val="20"/>
                <w:szCs w:val="20"/>
              </w:rPr>
            </w:pPr>
            <w:r w:rsidRPr="00D55DC6">
              <w:rPr>
                <w:rFonts w:eastAsia="標楷體"/>
                <w:sz w:val="20"/>
                <w:szCs w:val="20"/>
              </w:rPr>
              <w:t>龍洞地質公園地區、龍洞灣岬地區、龍洞南口地區設施改善工程。</w:t>
            </w:r>
          </w:p>
        </w:tc>
      </w:tr>
      <w:tr w:rsidR="001D0350" w:rsidRPr="00D55DC6" w:rsidTr="00261ADB">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2048"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both"/>
              <w:rPr>
                <w:rFonts w:eastAsia="標楷體"/>
                <w:kern w:val="0"/>
              </w:rPr>
            </w:pPr>
            <w:r w:rsidRPr="00D55DC6">
              <w:rPr>
                <w:rFonts w:eastAsia="標楷體"/>
                <w:kern w:val="0"/>
              </w:rPr>
              <w:t>福隆遊憩區</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0.5000</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0.5000</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0.5000</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0.5000</w:t>
            </w:r>
          </w:p>
        </w:tc>
        <w:tc>
          <w:tcPr>
            <w:tcW w:w="778"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2.0000</w:t>
            </w:r>
          </w:p>
        </w:tc>
        <w:tc>
          <w:tcPr>
            <w:tcW w:w="1603"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tabs>
                <w:tab w:val="left" w:pos="1004"/>
              </w:tabs>
              <w:spacing w:line="0" w:lineRule="atLeast"/>
              <w:ind w:rightChars="-10" w:right="-24"/>
              <w:rPr>
                <w:rFonts w:eastAsia="標楷體"/>
                <w:sz w:val="20"/>
                <w:szCs w:val="20"/>
              </w:rPr>
            </w:pPr>
            <w:r w:rsidRPr="00D55DC6">
              <w:rPr>
                <w:rFonts w:eastAsia="標楷體"/>
                <w:sz w:val="20"/>
                <w:szCs w:val="20"/>
              </w:rPr>
              <w:t>福隆地區、舊草嶺隧道環狀自行車道地區</w:t>
            </w:r>
            <w:r w:rsidRPr="00D55DC6">
              <w:rPr>
                <w:sz w:val="20"/>
                <w:szCs w:val="20"/>
              </w:rPr>
              <w:t>、</w:t>
            </w:r>
            <w:r w:rsidRPr="00D55DC6">
              <w:rPr>
                <w:rFonts w:eastAsia="標楷體"/>
                <w:sz w:val="20"/>
                <w:szCs w:val="20"/>
              </w:rPr>
              <w:t>雙溪河地區設施改善工程。</w:t>
            </w:r>
          </w:p>
        </w:tc>
      </w:tr>
      <w:tr w:rsidR="001D0350" w:rsidRPr="00D55DC6" w:rsidTr="00261ADB">
        <w:trPr>
          <w:trHeight w:val="37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2048"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both"/>
              <w:rPr>
                <w:rFonts w:eastAsia="標楷體"/>
                <w:kern w:val="0"/>
              </w:rPr>
            </w:pPr>
            <w:r w:rsidRPr="00D55DC6">
              <w:rPr>
                <w:rFonts w:eastAsia="標楷體"/>
                <w:kern w:val="0"/>
              </w:rPr>
              <w:t>外澳及宜蘭遊憩區</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0.5400</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0.3700</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0.4800</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0.5000</w:t>
            </w:r>
          </w:p>
        </w:tc>
        <w:tc>
          <w:tcPr>
            <w:tcW w:w="778"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tabs>
                <w:tab w:val="left" w:pos="1004"/>
              </w:tabs>
              <w:spacing w:line="0" w:lineRule="atLeast"/>
              <w:ind w:rightChars="-10" w:right="-24"/>
              <w:rPr>
                <w:rFonts w:eastAsia="標楷體"/>
              </w:rPr>
            </w:pPr>
            <w:r w:rsidRPr="00D55DC6">
              <w:rPr>
                <w:rFonts w:eastAsia="標楷體"/>
              </w:rPr>
              <w:t>1.8900</w:t>
            </w:r>
          </w:p>
        </w:tc>
        <w:tc>
          <w:tcPr>
            <w:tcW w:w="1603"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tabs>
                <w:tab w:val="left" w:pos="1004"/>
              </w:tabs>
              <w:spacing w:line="0" w:lineRule="atLeast"/>
              <w:ind w:rightChars="-10" w:right="-24"/>
              <w:rPr>
                <w:rFonts w:eastAsia="標楷體"/>
                <w:sz w:val="20"/>
                <w:szCs w:val="20"/>
              </w:rPr>
            </w:pPr>
            <w:r w:rsidRPr="00D55DC6">
              <w:rPr>
                <w:rFonts w:eastAsia="標楷體"/>
                <w:sz w:val="20"/>
                <w:szCs w:val="20"/>
              </w:rPr>
              <w:t>外澳服務區、龜山島及烏石港周邊地區、壯圍旅遊園區地區、蘇澳冷泉地區、南方澳遊客中心地區、內埤地區等設施及周邊環境改善工程。</w:t>
            </w:r>
          </w:p>
        </w:tc>
      </w:tr>
      <w:tr w:rsidR="001D0350" w:rsidRPr="00D55DC6" w:rsidTr="00261ADB">
        <w:trPr>
          <w:trHeight w:val="37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2048"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jc w:val="both"/>
              <w:rPr>
                <w:rFonts w:eastAsia="標楷體"/>
                <w:kern w:val="0"/>
              </w:rPr>
            </w:pPr>
            <w:r w:rsidRPr="00D55DC6">
              <w:rPr>
                <w:rFonts w:eastAsia="標楷體"/>
                <w:kern w:val="0"/>
              </w:rPr>
              <w:t>(3)</w:t>
            </w:r>
            <w:r w:rsidRPr="00D55DC6">
              <w:rPr>
                <w:rFonts w:eastAsia="標楷體"/>
                <w:kern w:val="0"/>
              </w:rPr>
              <w:t>國內觀光重要景點</w:t>
            </w:r>
          </w:p>
        </w:tc>
        <w:tc>
          <w:tcPr>
            <w:tcW w:w="71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61ADB" w:rsidRPr="00D55DC6" w:rsidRDefault="00261ADB" w:rsidP="0038165F">
            <w:pPr>
              <w:widowControl/>
              <w:spacing w:line="0" w:lineRule="atLeast"/>
              <w:jc w:val="right"/>
              <w:rPr>
                <w:rFonts w:eastAsia="標楷體"/>
                <w:bCs/>
                <w:kern w:val="0"/>
              </w:rPr>
            </w:pPr>
            <w:r w:rsidRPr="00D55DC6">
              <w:rPr>
                <w:rFonts w:eastAsia="標楷體"/>
                <w:bCs/>
                <w:kern w:val="0"/>
              </w:rPr>
              <w:t>0.2000</w:t>
            </w:r>
          </w:p>
        </w:tc>
        <w:tc>
          <w:tcPr>
            <w:tcW w:w="71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61ADB" w:rsidRPr="00D55DC6" w:rsidRDefault="00261ADB" w:rsidP="0038165F">
            <w:pPr>
              <w:widowControl/>
              <w:spacing w:line="0" w:lineRule="atLeast"/>
              <w:jc w:val="right"/>
              <w:rPr>
                <w:rFonts w:eastAsia="標楷體"/>
                <w:bCs/>
                <w:kern w:val="0"/>
              </w:rPr>
            </w:pPr>
            <w:r w:rsidRPr="00D55DC6">
              <w:rPr>
                <w:rFonts w:eastAsia="標楷體"/>
                <w:bCs/>
                <w:kern w:val="0"/>
              </w:rPr>
              <w:t>0.5000</w:t>
            </w:r>
          </w:p>
        </w:tc>
        <w:tc>
          <w:tcPr>
            <w:tcW w:w="71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61ADB" w:rsidRPr="00D55DC6" w:rsidRDefault="00261ADB" w:rsidP="0038165F">
            <w:pPr>
              <w:widowControl/>
              <w:spacing w:line="0" w:lineRule="atLeast"/>
              <w:jc w:val="right"/>
              <w:rPr>
                <w:rFonts w:eastAsia="標楷體"/>
                <w:bCs/>
                <w:kern w:val="0"/>
              </w:rPr>
            </w:pPr>
            <w:r w:rsidRPr="00D55DC6">
              <w:rPr>
                <w:rFonts w:eastAsia="標楷體"/>
                <w:bCs/>
                <w:kern w:val="0"/>
              </w:rPr>
              <w:t>0.5800</w:t>
            </w:r>
          </w:p>
        </w:tc>
        <w:tc>
          <w:tcPr>
            <w:tcW w:w="71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61ADB" w:rsidRPr="00D55DC6" w:rsidRDefault="00261ADB" w:rsidP="0038165F">
            <w:pPr>
              <w:widowControl/>
              <w:spacing w:line="0" w:lineRule="atLeast"/>
              <w:jc w:val="right"/>
              <w:rPr>
                <w:rFonts w:eastAsia="標楷體"/>
                <w:bCs/>
                <w:kern w:val="0"/>
              </w:rPr>
            </w:pPr>
            <w:r w:rsidRPr="00D55DC6">
              <w:rPr>
                <w:rFonts w:eastAsia="標楷體"/>
                <w:bCs/>
                <w:kern w:val="0"/>
              </w:rPr>
              <w:t>0.5800</w:t>
            </w:r>
          </w:p>
        </w:tc>
        <w:tc>
          <w:tcPr>
            <w:tcW w:w="778"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261ADB" w:rsidRPr="00D55DC6" w:rsidRDefault="00261ADB" w:rsidP="0038165F">
            <w:pPr>
              <w:widowControl/>
              <w:spacing w:line="0" w:lineRule="atLeast"/>
              <w:jc w:val="right"/>
              <w:rPr>
                <w:rFonts w:eastAsia="標楷體"/>
                <w:bCs/>
                <w:kern w:val="0"/>
              </w:rPr>
            </w:pPr>
            <w:r w:rsidRPr="00D55DC6">
              <w:rPr>
                <w:rFonts w:eastAsia="標楷體"/>
                <w:bCs/>
                <w:kern w:val="0"/>
              </w:rPr>
              <w:t>1.8600</w:t>
            </w:r>
          </w:p>
        </w:tc>
        <w:tc>
          <w:tcPr>
            <w:tcW w:w="1603" w:type="dxa"/>
            <w:tcBorders>
              <w:top w:val="single" w:sz="4" w:space="0" w:color="auto"/>
              <w:left w:val="single" w:sz="4" w:space="0" w:color="auto"/>
              <w:bottom w:val="single" w:sz="4" w:space="0" w:color="auto"/>
              <w:right w:val="single" w:sz="4" w:space="0" w:color="auto"/>
            </w:tcBorders>
            <w:vAlign w:val="center"/>
          </w:tcPr>
          <w:p w:rsidR="00261ADB" w:rsidRPr="00D55DC6" w:rsidRDefault="00261ADB" w:rsidP="0038165F">
            <w:pPr>
              <w:tabs>
                <w:tab w:val="left" w:pos="1004"/>
              </w:tabs>
              <w:spacing w:line="0" w:lineRule="atLeast"/>
              <w:ind w:rightChars="-10" w:right="-24"/>
              <w:rPr>
                <w:rFonts w:eastAsia="標楷體"/>
                <w:sz w:val="20"/>
                <w:szCs w:val="20"/>
              </w:rPr>
            </w:pPr>
          </w:p>
        </w:tc>
      </w:tr>
      <w:tr w:rsidR="001D0350" w:rsidRPr="00D55DC6" w:rsidTr="00261ADB">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2048"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both"/>
              <w:rPr>
                <w:rFonts w:eastAsia="標楷體"/>
                <w:kern w:val="0"/>
              </w:rPr>
            </w:pPr>
            <w:r w:rsidRPr="00D55DC6">
              <w:rPr>
                <w:rFonts w:eastAsia="標楷體"/>
                <w:kern w:val="0"/>
              </w:rPr>
              <w:t>南雅鹽寮遊憩區</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0.0400</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0.0400</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0.0400</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0.0400</w:t>
            </w:r>
          </w:p>
        </w:tc>
        <w:tc>
          <w:tcPr>
            <w:tcW w:w="778"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0.1600</w:t>
            </w:r>
          </w:p>
        </w:tc>
        <w:tc>
          <w:tcPr>
            <w:tcW w:w="1603"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tabs>
                <w:tab w:val="left" w:pos="1004"/>
              </w:tabs>
              <w:spacing w:line="0" w:lineRule="atLeast"/>
              <w:ind w:rightChars="-10" w:right="-24"/>
              <w:rPr>
                <w:rFonts w:eastAsia="標楷體"/>
                <w:kern w:val="0"/>
                <w:sz w:val="20"/>
                <w:szCs w:val="20"/>
              </w:rPr>
            </w:pPr>
            <w:r w:rsidRPr="00D55DC6">
              <w:rPr>
                <w:rFonts w:eastAsia="標楷體"/>
                <w:sz w:val="20"/>
                <w:szCs w:val="20"/>
              </w:rPr>
              <w:t>南雅地區、金沙灣地區、鹽寮龍門地區等環境及設施改善工程。</w:t>
            </w:r>
          </w:p>
        </w:tc>
      </w:tr>
      <w:tr w:rsidR="001D0350" w:rsidRPr="00D55DC6" w:rsidTr="00261ADB">
        <w:trPr>
          <w:trHeight w:val="5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2048"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both"/>
              <w:rPr>
                <w:rFonts w:eastAsia="標楷體"/>
                <w:kern w:val="0"/>
              </w:rPr>
            </w:pPr>
            <w:r w:rsidRPr="00D55DC6">
              <w:rPr>
                <w:rFonts w:eastAsia="標楷體"/>
                <w:kern w:val="0"/>
              </w:rPr>
              <w:t>大里大溪遊憩區</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0.1300</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0.4100</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0.4900</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0.4900</w:t>
            </w:r>
          </w:p>
        </w:tc>
        <w:tc>
          <w:tcPr>
            <w:tcW w:w="778"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1.5200</w:t>
            </w:r>
          </w:p>
        </w:tc>
        <w:tc>
          <w:tcPr>
            <w:tcW w:w="1603"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tabs>
                <w:tab w:val="left" w:pos="1004"/>
              </w:tabs>
              <w:spacing w:line="0" w:lineRule="atLeast"/>
              <w:ind w:rightChars="-10" w:right="-24"/>
              <w:rPr>
                <w:rFonts w:eastAsia="標楷體"/>
                <w:kern w:val="0"/>
                <w:sz w:val="20"/>
                <w:szCs w:val="20"/>
              </w:rPr>
            </w:pPr>
            <w:r w:rsidRPr="00D55DC6">
              <w:rPr>
                <w:rFonts w:eastAsia="標楷體"/>
                <w:sz w:val="20"/>
                <w:szCs w:val="20"/>
              </w:rPr>
              <w:t>石城地區</w:t>
            </w:r>
            <w:r w:rsidRPr="00D55DC6">
              <w:rPr>
                <w:sz w:val="20"/>
                <w:szCs w:val="20"/>
              </w:rPr>
              <w:t>、</w:t>
            </w:r>
            <w:r w:rsidRPr="00D55DC6">
              <w:rPr>
                <w:rFonts w:eastAsia="標楷體"/>
                <w:sz w:val="20"/>
                <w:szCs w:val="20"/>
              </w:rPr>
              <w:t>大里地區、大溪地區沿線景點改善工程等。</w:t>
            </w:r>
          </w:p>
        </w:tc>
      </w:tr>
      <w:tr w:rsidR="001D0350" w:rsidRPr="00D55DC6" w:rsidTr="00261ADB">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2048"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both"/>
              <w:rPr>
                <w:rFonts w:eastAsia="標楷體"/>
                <w:kern w:val="0"/>
              </w:rPr>
            </w:pPr>
            <w:r w:rsidRPr="00D55DC6">
              <w:rPr>
                <w:rFonts w:eastAsia="標楷體"/>
                <w:kern w:val="0"/>
              </w:rPr>
              <w:t>宜蘭海岸遊憩區</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0.0300</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0.0500</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0.0500</w:t>
            </w:r>
          </w:p>
        </w:tc>
        <w:tc>
          <w:tcPr>
            <w:tcW w:w="719"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0.0500</w:t>
            </w:r>
          </w:p>
        </w:tc>
        <w:tc>
          <w:tcPr>
            <w:tcW w:w="778"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0.1800</w:t>
            </w:r>
          </w:p>
        </w:tc>
        <w:tc>
          <w:tcPr>
            <w:tcW w:w="1603" w:type="dxa"/>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tabs>
                <w:tab w:val="left" w:pos="1004"/>
              </w:tabs>
              <w:spacing w:line="0" w:lineRule="atLeast"/>
              <w:ind w:rightChars="-10" w:right="-24"/>
              <w:rPr>
                <w:rFonts w:eastAsia="標楷體"/>
                <w:sz w:val="20"/>
                <w:szCs w:val="20"/>
              </w:rPr>
            </w:pPr>
            <w:r w:rsidRPr="00D55DC6">
              <w:rPr>
                <w:rFonts w:eastAsia="標楷體"/>
                <w:sz w:val="20"/>
                <w:szCs w:val="20"/>
              </w:rPr>
              <w:t>濱海自行車道休憩設施、沿線景點設施改善等。</w:t>
            </w:r>
          </w:p>
        </w:tc>
      </w:tr>
      <w:tr w:rsidR="001D0350" w:rsidRPr="00D55DC6" w:rsidTr="00261ADB">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2048"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jc w:val="both"/>
              <w:rPr>
                <w:rFonts w:eastAsia="標楷體"/>
                <w:kern w:val="0"/>
              </w:rPr>
            </w:pPr>
            <w:r w:rsidRPr="00D55DC6">
              <w:rPr>
                <w:rFonts w:eastAsia="標楷體"/>
                <w:kern w:val="0"/>
              </w:rPr>
              <w:t>(4)</w:t>
            </w:r>
            <w:r w:rsidRPr="00D55DC6">
              <w:rPr>
                <w:rFonts w:eastAsia="標楷體"/>
                <w:kern w:val="0"/>
              </w:rPr>
              <w:t>環境及設施整修</w:t>
            </w:r>
          </w:p>
        </w:tc>
        <w:tc>
          <w:tcPr>
            <w:tcW w:w="719"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0.2200</w:t>
            </w:r>
          </w:p>
        </w:tc>
        <w:tc>
          <w:tcPr>
            <w:tcW w:w="719"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0.2200</w:t>
            </w:r>
          </w:p>
        </w:tc>
        <w:tc>
          <w:tcPr>
            <w:tcW w:w="719"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0.2200</w:t>
            </w:r>
          </w:p>
        </w:tc>
        <w:tc>
          <w:tcPr>
            <w:tcW w:w="719"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0.2200</w:t>
            </w:r>
          </w:p>
        </w:tc>
        <w:tc>
          <w:tcPr>
            <w:tcW w:w="778" w:type="dxa"/>
            <w:tcBorders>
              <w:top w:val="single" w:sz="4" w:space="0" w:color="auto"/>
              <w:left w:val="single" w:sz="4" w:space="0" w:color="auto"/>
              <w:bottom w:val="single" w:sz="4" w:space="0" w:color="auto"/>
              <w:right w:val="single" w:sz="4" w:space="0" w:color="auto"/>
            </w:tcBorders>
            <w:shd w:val="clear" w:color="auto" w:fill="E6E6E6"/>
            <w:hideMark/>
          </w:tcPr>
          <w:p w:rsidR="00261ADB" w:rsidRPr="00D55DC6" w:rsidRDefault="00261ADB" w:rsidP="0038165F">
            <w:pPr>
              <w:widowControl/>
              <w:spacing w:line="0" w:lineRule="atLeast"/>
              <w:jc w:val="center"/>
              <w:rPr>
                <w:rFonts w:eastAsia="標楷體"/>
                <w:kern w:val="0"/>
              </w:rPr>
            </w:pPr>
            <w:r w:rsidRPr="00D55DC6">
              <w:rPr>
                <w:rFonts w:eastAsia="標楷體"/>
                <w:kern w:val="0"/>
              </w:rPr>
              <w:t>0.8800</w:t>
            </w:r>
          </w:p>
        </w:tc>
        <w:tc>
          <w:tcPr>
            <w:tcW w:w="1603" w:type="dxa"/>
            <w:tcBorders>
              <w:top w:val="single" w:sz="4" w:space="0" w:color="auto"/>
              <w:left w:val="single" w:sz="4" w:space="0" w:color="auto"/>
              <w:bottom w:val="single" w:sz="4" w:space="0" w:color="auto"/>
              <w:right w:val="single" w:sz="4" w:space="0" w:color="auto"/>
            </w:tcBorders>
            <w:hideMark/>
          </w:tcPr>
          <w:p w:rsidR="00261ADB" w:rsidRPr="00D55DC6" w:rsidRDefault="00261ADB" w:rsidP="0038165F">
            <w:pPr>
              <w:widowControl/>
              <w:spacing w:line="0" w:lineRule="atLeast"/>
              <w:jc w:val="both"/>
              <w:rPr>
                <w:rFonts w:eastAsia="標楷體"/>
                <w:kern w:val="0"/>
                <w:sz w:val="20"/>
                <w:szCs w:val="20"/>
              </w:rPr>
            </w:pPr>
            <w:r w:rsidRPr="00D55DC6">
              <w:rPr>
                <w:rFonts w:eastAsia="標楷體"/>
                <w:kern w:val="0"/>
                <w:sz w:val="20"/>
                <w:szCs w:val="20"/>
              </w:rPr>
              <w:t>公共設施整修或緊急修繕工程。</w:t>
            </w:r>
          </w:p>
        </w:tc>
      </w:tr>
      <w:tr w:rsidR="001D0350" w:rsidRPr="00D55DC6" w:rsidTr="00261ADB">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1ADB" w:rsidRPr="00D55DC6" w:rsidRDefault="00261ADB" w:rsidP="0038165F">
            <w:pPr>
              <w:widowControl/>
              <w:rPr>
                <w:rFonts w:eastAsia="標楷體"/>
                <w:kern w:val="0"/>
              </w:rPr>
            </w:pPr>
          </w:p>
        </w:tc>
        <w:tc>
          <w:tcPr>
            <w:tcW w:w="2048" w:type="dxa"/>
            <w:tcBorders>
              <w:top w:val="single" w:sz="4" w:space="0" w:color="auto"/>
              <w:left w:val="single" w:sz="4" w:space="0" w:color="auto"/>
              <w:bottom w:val="single" w:sz="4" w:space="0" w:color="auto"/>
              <w:right w:val="single" w:sz="4" w:space="0" w:color="auto"/>
            </w:tcBorders>
            <w:shd w:val="clear" w:color="auto" w:fill="CCFFCC"/>
            <w:hideMark/>
          </w:tcPr>
          <w:p w:rsidR="00261ADB" w:rsidRPr="00D55DC6" w:rsidRDefault="00261ADB" w:rsidP="0038165F">
            <w:pPr>
              <w:widowControl/>
              <w:spacing w:line="0" w:lineRule="atLeast"/>
              <w:jc w:val="center"/>
              <w:rPr>
                <w:rFonts w:eastAsia="標楷體"/>
                <w:b/>
                <w:bCs/>
                <w:kern w:val="0"/>
              </w:rPr>
            </w:pPr>
            <w:r w:rsidRPr="00D55DC6">
              <w:rPr>
                <w:rFonts w:eastAsia="標楷體"/>
                <w:b/>
                <w:bCs/>
                <w:kern w:val="0"/>
              </w:rPr>
              <w:t>資本門合計</w:t>
            </w:r>
          </w:p>
        </w:tc>
        <w:tc>
          <w:tcPr>
            <w:tcW w:w="719" w:type="dxa"/>
            <w:tcBorders>
              <w:top w:val="single" w:sz="4" w:space="0" w:color="auto"/>
              <w:left w:val="single" w:sz="4" w:space="0" w:color="auto"/>
              <w:bottom w:val="single" w:sz="4" w:space="0" w:color="auto"/>
              <w:right w:val="single" w:sz="4" w:space="0" w:color="auto"/>
            </w:tcBorders>
            <w:shd w:val="clear" w:color="auto" w:fill="CCFFCC"/>
            <w:hideMark/>
          </w:tcPr>
          <w:p w:rsidR="00261ADB" w:rsidRPr="00D55DC6" w:rsidRDefault="00261ADB" w:rsidP="0038165F">
            <w:pPr>
              <w:widowControl/>
              <w:spacing w:line="0" w:lineRule="atLeast"/>
              <w:jc w:val="right"/>
              <w:rPr>
                <w:rFonts w:eastAsia="標楷體"/>
                <w:b/>
                <w:bCs/>
                <w:kern w:val="0"/>
              </w:rPr>
            </w:pPr>
            <w:r w:rsidRPr="00D55DC6">
              <w:rPr>
                <w:rFonts w:eastAsia="標楷體"/>
                <w:b/>
                <w:bCs/>
                <w:kern w:val="0"/>
              </w:rPr>
              <w:t xml:space="preserve">2.1400 </w:t>
            </w:r>
          </w:p>
        </w:tc>
        <w:tc>
          <w:tcPr>
            <w:tcW w:w="719" w:type="dxa"/>
            <w:tcBorders>
              <w:top w:val="single" w:sz="4" w:space="0" w:color="auto"/>
              <w:left w:val="single" w:sz="4" w:space="0" w:color="auto"/>
              <w:bottom w:val="single" w:sz="4" w:space="0" w:color="auto"/>
              <w:right w:val="single" w:sz="4" w:space="0" w:color="auto"/>
            </w:tcBorders>
            <w:shd w:val="clear" w:color="auto" w:fill="CCFFCC"/>
            <w:hideMark/>
          </w:tcPr>
          <w:p w:rsidR="00261ADB" w:rsidRPr="00D55DC6" w:rsidRDefault="00261ADB" w:rsidP="0038165F">
            <w:pPr>
              <w:widowControl/>
              <w:spacing w:line="0" w:lineRule="atLeast"/>
              <w:jc w:val="right"/>
              <w:rPr>
                <w:rFonts w:eastAsia="標楷體"/>
                <w:b/>
                <w:bCs/>
                <w:kern w:val="0"/>
              </w:rPr>
            </w:pPr>
            <w:r w:rsidRPr="00D55DC6">
              <w:rPr>
                <w:rFonts w:eastAsia="標楷體"/>
                <w:b/>
                <w:bCs/>
                <w:kern w:val="0"/>
              </w:rPr>
              <w:t xml:space="preserve">2.1400 </w:t>
            </w:r>
          </w:p>
        </w:tc>
        <w:tc>
          <w:tcPr>
            <w:tcW w:w="719" w:type="dxa"/>
            <w:tcBorders>
              <w:top w:val="single" w:sz="4" w:space="0" w:color="auto"/>
              <w:left w:val="single" w:sz="4" w:space="0" w:color="auto"/>
              <w:bottom w:val="single" w:sz="4" w:space="0" w:color="auto"/>
              <w:right w:val="single" w:sz="4" w:space="0" w:color="auto"/>
            </w:tcBorders>
            <w:shd w:val="clear" w:color="auto" w:fill="CCFFCC"/>
            <w:hideMark/>
          </w:tcPr>
          <w:p w:rsidR="00261ADB" w:rsidRPr="00D55DC6" w:rsidRDefault="00261ADB" w:rsidP="0038165F">
            <w:pPr>
              <w:widowControl/>
              <w:spacing w:line="0" w:lineRule="atLeast"/>
              <w:jc w:val="right"/>
              <w:rPr>
                <w:rFonts w:eastAsia="標楷體"/>
                <w:b/>
                <w:bCs/>
                <w:kern w:val="0"/>
              </w:rPr>
            </w:pPr>
            <w:r w:rsidRPr="00D55DC6">
              <w:rPr>
                <w:rFonts w:eastAsia="標楷體"/>
                <w:b/>
                <w:bCs/>
                <w:kern w:val="0"/>
              </w:rPr>
              <w:t xml:space="preserve">2.1400 </w:t>
            </w:r>
          </w:p>
        </w:tc>
        <w:tc>
          <w:tcPr>
            <w:tcW w:w="719" w:type="dxa"/>
            <w:tcBorders>
              <w:top w:val="single" w:sz="4" w:space="0" w:color="auto"/>
              <w:left w:val="single" w:sz="4" w:space="0" w:color="auto"/>
              <w:bottom w:val="single" w:sz="4" w:space="0" w:color="auto"/>
              <w:right w:val="single" w:sz="4" w:space="0" w:color="auto"/>
            </w:tcBorders>
            <w:shd w:val="clear" w:color="auto" w:fill="CCFFCC"/>
            <w:hideMark/>
          </w:tcPr>
          <w:p w:rsidR="00261ADB" w:rsidRPr="00D55DC6" w:rsidRDefault="00261ADB" w:rsidP="0038165F">
            <w:pPr>
              <w:widowControl/>
              <w:spacing w:line="0" w:lineRule="atLeast"/>
              <w:jc w:val="right"/>
              <w:rPr>
                <w:rFonts w:eastAsia="標楷體"/>
                <w:b/>
                <w:bCs/>
                <w:kern w:val="0"/>
              </w:rPr>
            </w:pPr>
            <w:r w:rsidRPr="00D55DC6">
              <w:rPr>
                <w:rFonts w:eastAsia="標楷體"/>
                <w:b/>
                <w:bCs/>
                <w:kern w:val="0"/>
              </w:rPr>
              <w:t xml:space="preserve">2.1400 </w:t>
            </w:r>
          </w:p>
        </w:tc>
        <w:tc>
          <w:tcPr>
            <w:tcW w:w="778" w:type="dxa"/>
            <w:tcBorders>
              <w:top w:val="single" w:sz="4" w:space="0" w:color="auto"/>
              <w:left w:val="single" w:sz="4" w:space="0" w:color="auto"/>
              <w:bottom w:val="single" w:sz="4" w:space="0" w:color="auto"/>
              <w:right w:val="single" w:sz="4" w:space="0" w:color="auto"/>
            </w:tcBorders>
            <w:shd w:val="clear" w:color="auto" w:fill="CCFFCC"/>
            <w:hideMark/>
          </w:tcPr>
          <w:p w:rsidR="00261ADB" w:rsidRPr="00D55DC6" w:rsidRDefault="00261ADB" w:rsidP="0038165F">
            <w:pPr>
              <w:widowControl/>
              <w:spacing w:line="0" w:lineRule="atLeast"/>
              <w:jc w:val="right"/>
              <w:rPr>
                <w:rFonts w:eastAsia="標楷體"/>
                <w:b/>
                <w:bCs/>
                <w:kern w:val="0"/>
              </w:rPr>
            </w:pPr>
            <w:r w:rsidRPr="00D55DC6">
              <w:rPr>
                <w:rFonts w:eastAsia="標楷體"/>
                <w:b/>
                <w:bCs/>
                <w:kern w:val="0"/>
              </w:rPr>
              <w:t xml:space="preserve">8.5600 </w:t>
            </w:r>
          </w:p>
        </w:tc>
        <w:tc>
          <w:tcPr>
            <w:tcW w:w="1603" w:type="dxa"/>
            <w:tcBorders>
              <w:top w:val="single" w:sz="4" w:space="0" w:color="auto"/>
              <w:left w:val="single" w:sz="4" w:space="0" w:color="auto"/>
              <w:bottom w:val="single" w:sz="4" w:space="0" w:color="auto"/>
              <w:right w:val="single" w:sz="4" w:space="0" w:color="auto"/>
            </w:tcBorders>
          </w:tcPr>
          <w:p w:rsidR="00261ADB" w:rsidRPr="00D55DC6" w:rsidRDefault="00261ADB" w:rsidP="0038165F">
            <w:pPr>
              <w:widowControl/>
              <w:spacing w:line="0" w:lineRule="atLeast"/>
              <w:jc w:val="both"/>
              <w:rPr>
                <w:rFonts w:eastAsia="標楷體"/>
                <w:bCs/>
                <w:kern w:val="0"/>
              </w:rPr>
            </w:pPr>
          </w:p>
        </w:tc>
      </w:tr>
      <w:tr w:rsidR="001D0350" w:rsidRPr="00D55DC6" w:rsidTr="00261ADB">
        <w:trPr>
          <w:trHeight w:val="390"/>
        </w:trPr>
        <w:tc>
          <w:tcPr>
            <w:tcW w:w="4116" w:type="dxa"/>
            <w:gridSpan w:val="4"/>
            <w:tcBorders>
              <w:top w:val="single" w:sz="4" w:space="0" w:color="auto"/>
              <w:left w:val="single" w:sz="4" w:space="0" w:color="auto"/>
              <w:bottom w:val="single" w:sz="4" w:space="0" w:color="auto"/>
              <w:right w:val="single" w:sz="4" w:space="0" w:color="auto"/>
            </w:tcBorders>
            <w:shd w:val="clear" w:color="auto" w:fill="FFFF99"/>
            <w:hideMark/>
          </w:tcPr>
          <w:p w:rsidR="00261ADB" w:rsidRPr="00D55DC6" w:rsidRDefault="00261ADB" w:rsidP="0038165F">
            <w:pPr>
              <w:widowControl/>
              <w:spacing w:line="0" w:lineRule="atLeast"/>
              <w:jc w:val="center"/>
              <w:rPr>
                <w:rFonts w:eastAsia="標楷體"/>
                <w:b/>
                <w:bCs/>
                <w:kern w:val="0"/>
              </w:rPr>
            </w:pPr>
            <w:r w:rsidRPr="00D55DC6">
              <w:rPr>
                <w:rFonts w:eastAsia="標楷體"/>
                <w:b/>
                <w:bCs/>
                <w:kern w:val="0"/>
              </w:rPr>
              <w:t xml:space="preserve">經資門合計　　　　　</w:t>
            </w:r>
          </w:p>
        </w:tc>
        <w:tc>
          <w:tcPr>
            <w:tcW w:w="719" w:type="dxa"/>
            <w:tcBorders>
              <w:top w:val="single" w:sz="4" w:space="0" w:color="auto"/>
              <w:left w:val="single" w:sz="4" w:space="0" w:color="auto"/>
              <w:bottom w:val="single" w:sz="4" w:space="0" w:color="auto"/>
              <w:right w:val="single" w:sz="4" w:space="0" w:color="auto"/>
            </w:tcBorders>
            <w:shd w:val="clear" w:color="auto" w:fill="FFFF99"/>
            <w:hideMark/>
          </w:tcPr>
          <w:p w:rsidR="00261ADB" w:rsidRPr="00D55DC6" w:rsidRDefault="00261ADB" w:rsidP="0038165F">
            <w:pPr>
              <w:widowControl/>
              <w:spacing w:line="0" w:lineRule="atLeast"/>
              <w:jc w:val="right"/>
              <w:rPr>
                <w:rFonts w:eastAsia="標楷體"/>
                <w:b/>
                <w:bCs/>
                <w:kern w:val="0"/>
              </w:rPr>
            </w:pPr>
            <w:r w:rsidRPr="00D55DC6">
              <w:rPr>
                <w:rFonts w:eastAsia="標楷體"/>
                <w:b/>
                <w:bCs/>
                <w:kern w:val="0"/>
              </w:rPr>
              <w:t xml:space="preserve">2.3000 </w:t>
            </w:r>
          </w:p>
        </w:tc>
        <w:tc>
          <w:tcPr>
            <w:tcW w:w="719" w:type="dxa"/>
            <w:tcBorders>
              <w:top w:val="single" w:sz="4" w:space="0" w:color="auto"/>
              <w:left w:val="single" w:sz="4" w:space="0" w:color="auto"/>
              <w:bottom w:val="single" w:sz="4" w:space="0" w:color="auto"/>
              <w:right w:val="single" w:sz="4" w:space="0" w:color="auto"/>
            </w:tcBorders>
            <w:shd w:val="clear" w:color="auto" w:fill="FFFF99"/>
            <w:hideMark/>
          </w:tcPr>
          <w:p w:rsidR="00261ADB" w:rsidRPr="00D55DC6" w:rsidRDefault="00261ADB" w:rsidP="0038165F">
            <w:pPr>
              <w:widowControl/>
              <w:spacing w:line="0" w:lineRule="atLeast"/>
              <w:jc w:val="right"/>
              <w:rPr>
                <w:rFonts w:eastAsia="標楷體"/>
                <w:b/>
                <w:bCs/>
                <w:kern w:val="0"/>
              </w:rPr>
            </w:pPr>
            <w:r w:rsidRPr="00D55DC6">
              <w:rPr>
                <w:rFonts w:eastAsia="標楷體"/>
                <w:b/>
                <w:bCs/>
                <w:kern w:val="0"/>
              </w:rPr>
              <w:t xml:space="preserve">2.3000 </w:t>
            </w:r>
          </w:p>
        </w:tc>
        <w:tc>
          <w:tcPr>
            <w:tcW w:w="719" w:type="dxa"/>
            <w:tcBorders>
              <w:top w:val="single" w:sz="4" w:space="0" w:color="auto"/>
              <w:left w:val="single" w:sz="4" w:space="0" w:color="auto"/>
              <w:bottom w:val="single" w:sz="4" w:space="0" w:color="auto"/>
              <w:right w:val="single" w:sz="4" w:space="0" w:color="auto"/>
            </w:tcBorders>
            <w:shd w:val="clear" w:color="auto" w:fill="FFFF99"/>
            <w:hideMark/>
          </w:tcPr>
          <w:p w:rsidR="00261ADB" w:rsidRPr="00D55DC6" w:rsidRDefault="00261ADB" w:rsidP="0038165F">
            <w:pPr>
              <w:widowControl/>
              <w:spacing w:line="0" w:lineRule="atLeast"/>
              <w:jc w:val="right"/>
              <w:rPr>
                <w:rFonts w:eastAsia="標楷體"/>
                <w:b/>
                <w:bCs/>
                <w:kern w:val="0"/>
              </w:rPr>
            </w:pPr>
            <w:r w:rsidRPr="00D55DC6">
              <w:rPr>
                <w:rFonts w:eastAsia="標楷體"/>
                <w:b/>
                <w:bCs/>
                <w:kern w:val="0"/>
              </w:rPr>
              <w:t xml:space="preserve">2.3000 </w:t>
            </w:r>
          </w:p>
        </w:tc>
        <w:tc>
          <w:tcPr>
            <w:tcW w:w="719" w:type="dxa"/>
            <w:tcBorders>
              <w:top w:val="single" w:sz="4" w:space="0" w:color="auto"/>
              <w:left w:val="single" w:sz="4" w:space="0" w:color="auto"/>
              <w:bottom w:val="single" w:sz="4" w:space="0" w:color="auto"/>
              <w:right w:val="single" w:sz="4" w:space="0" w:color="auto"/>
            </w:tcBorders>
            <w:shd w:val="clear" w:color="auto" w:fill="FFFF99"/>
            <w:hideMark/>
          </w:tcPr>
          <w:p w:rsidR="00261ADB" w:rsidRPr="00D55DC6" w:rsidRDefault="00261ADB" w:rsidP="0038165F">
            <w:pPr>
              <w:widowControl/>
              <w:spacing w:line="0" w:lineRule="atLeast"/>
              <w:jc w:val="right"/>
              <w:rPr>
                <w:rFonts w:eastAsia="標楷體"/>
                <w:b/>
                <w:bCs/>
                <w:kern w:val="0"/>
              </w:rPr>
            </w:pPr>
            <w:r w:rsidRPr="00D55DC6">
              <w:rPr>
                <w:rFonts w:eastAsia="標楷體"/>
                <w:b/>
                <w:bCs/>
                <w:kern w:val="0"/>
              </w:rPr>
              <w:t xml:space="preserve">2.3000 </w:t>
            </w:r>
          </w:p>
        </w:tc>
        <w:tc>
          <w:tcPr>
            <w:tcW w:w="778" w:type="dxa"/>
            <w:tcBorders>
              <w:top w:val="single" w:sz="4" w:space="0" w:color="auto"/>
              <w:left w:val="single" w:sz="4" w:space="0" w:color="auto"/>
              <w:bottom w:val="single" w:sz="4" w:space="0" w:color="auto"/>
              <w:right w:val="single" w:sz="4" w:space="0" w:color="auto"/>
            </w:tcBorders>
            <w:shd w:val="clear" w:color="auto" w:fill="FFFF99"/>
            <w:hideMark/>
          </w:tcPr>
          <w:p w:rsidR="00261ADB" w:rsidRPr="00D55DC6" w:rsidRDefault="00261ADB" w:rsidP="0038165F">
            <w:pPr>
              <w:widowControl/>
              <w:spacing w:line="0" w:lineRule="atLeast"/>
              <w:jc w:val="right"/>
              <w:rPr>
                <w:rFonts w:eastAsia="標楷體"/>
                <w:b/>
                <w:bCs/>
                <w:kern w:val="0"/>
              </w:rPr>
            </w:pPr>
            <w:r w:rsidRPr="00D55DC6">
              <w:rPr>
                <w:rFonts w:eastAsia="標楷體"/>
                <w:b/>
                <w:bCs/>
                <w:kern w:val="0"/>
              </w:rPr>
              <w:t xml:space="preserve">9.2000 </w:t>
            </w:r>
          </w:p>
        </w:tc>
        <w:tc>
          <w:tcPr>
            <w:tcW w:w="1603" w:type="dxa"/>
            <w:tcBorders>
              <w:top w:val="single" w:sz="4" w:space="0" w:color="auto"/>
              <w:left w:val="single" w:sz="4" w:space="0" w:color="auto"/>
              <w:bottom w:val="single" w:sz="4" w:space="0" w:color="auto"/>
              <w:right w:val="single" w:sz="4" w:space="0" w:color="auto"/>
            </w:tcBorders>
            <w:shd w:val="clear" w:color="auto" w:fill="FFFF99"/>
            <w:hideMark/>
          </w:tcPr>
          <w:p w:rsidR="00261ADB" w:rsidRPr="00D55DC6" w:rsidRDefault="00261ADB" w:rsidP="0038165F">
            <w:pPr>
              <w:widowControl/>
              <w:spacing w:line="0" w:lineRule="atLeast"/>
              <w:jc w:val="right"/>
              <w:rPr>
                <w:rFonts w:eastAsia="標楷體"/>
                <w:kern w:val="0"/>
              </w:rPr>
            </w:pPr>
            <w:r w:rsidRPr="00D55DC6">
              <w:rPr>
                <w:rFonts w:eastAsia="標楷體"/>
                <w:kern w:val="0"/>
              </w:rPr>
              <w:t xml:space="preserve">　</w:t>
            </w:r>
          </w:p>
        </w:tc>
      </w:tr>
    </w:tbl>
    <w:p w:rsidR="000725AB" w:rsidRPr="00D55DC6" w:rsidRDefault="000725AB" w:rsidP="0038165F">
      <w:pPr>
        <w:widowControl/>
        <w:rPr>
          <w:rFonts w:eastAsia="標楷體"/>
          <w:b/>
          <w:sz w:val="28"/>
          <w:szCs w:val="28"/>
        </w:rPr>
      </w:pPr>
    </w:p>
    <w:p w:rsidR="00261ADB" w:rsidRPr="00D55DC6" w:rsidRDefault="00261ADB" w:rsidP="0038165F">
      <w:pPr>
        <w:pStyle w:val="a"/>
        <w:numPr>
          <w:ilvl w:val="0"/>
          <w:numId w:val="20"/>
        </w:numPr>
        <w:ind w:left="709" w:hanging="709"/>
        <w:rPr>
          <w:b/>
        </w:rPr>
      </w:pPr>
      <w:bookmarkStart w:id="67" w:name="_Toc407181645"/>
      <w:r w:rsidRPr="00D55DC6">
        <w:rPr>
          <w:b/>
        </w:rPr>
        <w:t>預期效果及影響</w:t>
      </w:r>
      <w:bookmarkEnd w:id="67"/>
    </w:p>
    <w:p w:rsidR="00261ADB" w:rsidRPr="00D55DC6" w:rsidRDefault="00261ADB" w:rsidP="0038165F">
      <w:pPr>
        <w:pStyle w:val="af2"/>
        <w:numPr>
          <w:ilvl w:val="0"/>
          <w:numId w:val="35"/>
        </w:numPr>
        <w:snapToGrid w:val="0"/>
        <w:spacing w:line="460" w:lineRule="exact"/>
        <w:ind w:leftChars="0"/>
        <w:jc w:val="both"/>
        <w:rPr>
          <w:rFonts w:eastAsia="標楷體"/>
          <w:b/>
          <w:sz w:val="28"/>
          <w:szCs w:val="28"/>
        </w:rPr>
      </w:pPr>
      <w:r w:rsidRPr="00D55DC6">
        <w:rPr>
          <w:rFonts w:eastAsia="標楷體"/>
          <w:b/>
          <w:sz w:val="28"/>
          <w:szCs w:val="28"/>
        </w:rPr>
        <w:t>創造新型態之多元深度旅遊，建構「安全、永續、幸福」海岸</w:t>
      </w:r>
    </w:p>
    <w:p w:rsidR="00261ADB" w:rsidRPr="00D55DC6" w:rsidRDefault="00261ADB" w:rsidP="0038165F">
      <w:pPr>
        <w:pStyle w:val="af2"/>
        <w:snapToGrid w:val="0"/>
        <w:spacing w:line="460" w:lineRule="exact"/>
        <w:ind w:leftChars="0" w:left="864"/>
        <w:jc w:val="both"/>
        <w:rPr>
          <w:rFonts w:eastAsia="標楷體"/>
          <w:sz w:val="28"/>
          <w:szCs w:val="28"/>
        </w:rPr>
      </w:pPr>
      <w:r w:rsidRPr="00D55DC6">
        <w:rPr>
          <w:rFonts w:eastAsia="標楷體"/>
          <w:sz w:val="28"/>
          <w:szCs w:val="28"/>
        </w:rPr>
        <w:t>大東北角發展為國家人文地理海岸</w:t>
      </w:r>
      <w:r w:rsidRPr="00D55DC6">
        <w:rPr>
          <w:rFonts w:eastAsia="標楷體"/>
          <w:sz w:val="28"/>
          <w:szCs w:val="28"/>
        </w:rPr>
        <w:t>-</w:t>
      </w:r>
      <w:r w:rsidRPr="00D55DC6">
        <w:rPr>
          <w:rFonts w:eastAsia="標楷體"/>
          <w:sz w:val="28"/>
          <w:szCs w:val="28"/>
        </w:rPr>
        <w:t>廊道優質構想，包括地質公園形塑、主題度假行銷、文化櫥窗建構等，期能藉由優質廊道規劃，串連起新北市、宜蘭縣以及東北角暨宜蘭海岸國家風景區等地方特色景點，達成「展演東北角」、「走讀東北角」、「探索東北角」的三大目標。以透過環境教育、地質旅遊以及珍貴資源保護等方式，在有限度開發的前提下展演大自然的真實面貌。並藉由整體自行車道規劃結合直鐵觀光擴大東北角旅遊圈，可利用多元交通運具體驗東北角各式風情，配合數位科技導覽系統建置提升旅遊服務品質。以及整合現有漁業活動及海上休閒活動，發展在地文化體驗遊程，透過當地導覽人員培訓亦可活絡社區動能。應推行村落巷弄閒置空間營造、牽罟傳統捕魚活動再現、漁村特色民宿輔導等，鼓勵居民參與重新找回灣澳村落的活力。</w:t>
      </w:r>
    </w:p>
    <w:p w:rsidR="00261ADB" w:rsidRPr="00D55DC6" w:rsidRDefault="00261ADB" w:rsidP="0038165F">
      <w:pPr>
        <w:pStyle w:val="af2"/>
        <w:numPr>
          <w:ilvl w:val="0"/>
          <w:numId w:val="35"/>
        </w:numPr>
        <w:snapToGrid w:val="0"/>
        <w:spacing w:line="460" w:lineRule="exact"/>
        <w:ind w:leftChars="0"/>
        <w:jc w:val="both"/>
        <w:rPr>
          <w:rFonts w:eastAsia="標楷體"/>
          <w:b/>
          <w:sz w:val="28"/>
          <w:szCs w:val="28"/>
        </w:rPr>
      </w:pPr>
      <w:r w:rsidRPr="00D55DC6">
        <w:rPr>
          <w:rFonts w:eastAsia="標楷體"/>
          <w:b/>
          <w:sz w:val="28"/>
          <w:szCs w:val="28"/>
        </w:rPr>
        <w:t>結合地方政府、提昇優質旅遊環境</w:t>
      </w:r>
    </w:p>
    <w:p w:rsidR="00261ADB" w:rsidRPr="00D55DC6" w:rsidRDefault="00261ADB" w:rsidP="0038165F">
      <w:pPr>
        <w:pStyle w:val="af2"/>
        <w:snapToGrid w:val="0"/>
        <w:spacing w:line="460" w:lineRule="exact"/>
        <w:ind w:leftChars="0" w:left="864"/>
        <w:jc w:val="both"/>
        <w:rPr>
          <w:rFonts w:eastAsia="標楷體"/>
          <w:sz w:val="28"/>
          <w:szCs w:val="28"/>
        </w:rPr>
      </w:pPr>
      <w:r w:rsidRPr="00D55DC6">
        <w:rPr>
          <w:rFonts w:eastAsia="標楷體"/>
          <w:sz w:val="28"/>
          <w:szCs w:val="28"/>
        </w:rPr>
        <w:t>整合東北角豐富地方自然生態及人文資源，結合農特產品、美食及特色旅宿業者，開發多元化潛在旅遊路線，提供不同需求、族群的</w:t>
      </w:r>
      <w:r w:rsidRPr="00D55DC6">
        <w:rPr>
          <w:rFonts w:eastAsia="標楷體"/>
          <w:sz w:val="28"/>
          <w:szCs w:val="28"/>
        </w:rPr>
        <w:lastRenderedPageBreak/>
        <w:t>旅遊產品。逐步提昇觀光從業人的素質，及設施品質的住宿等級，建立兼具地區特色的綠色旅遊。</w:t>
      </w:r>
    </w:p>
    <w:p w:rsidR="00261ADB" w:rsidRPr="00D55DC6" w:rsidRDefault="00261ADB" w:rsidP="0038165F">
      <w:pPr>
        <w:pStyle w:val="af2"/>
        <w:numPr>
          <w:ilvl w:val="0"/>
          <w:numId w:val="35"/>
        </w:numPr>
        <w:snapToGrid w:val="0"/>
        <w:spacing w:line="460" w:lineRule="exact"/>
        <w:ind w:leftChars="0"/>
        <w:jc w:val="both"/>
        <w:rPr>
          <w:rFonts w:eastAsia="標楷體"/>
          <w:b/>
          <w:sz w:val="28"/>
          <w:szCs w:val="28"/>
        </w:rPr>
      </w:pPr>
      <w:r w:rsidRPr="00D55DC6">
        <w:rPr>
          <w:rFonts w:eastAsia="標楷體"/>
          <w:b/>
          <w:sz w:val="28"/>
          <w:szCs w:val="28"/>
        </w:rPr>
        <w:t>引進民間力量，善用土地資源</w:t>
      </w:r>
    </w:p>
    <w:p w:rsidR="00261ADB" w:rsidRPr="00D55DC6" w:rsidRDefault="00261ADB" w:rsidP="0038165F">
      <w:pPr>
        <w:pStyle w:val="af2"/>
        <w:snapToGrid w:val="0"/>
        <w:spacing w:line="460" w:lineRule="exact"/>
        <w:ind w:leftChars="0" w:left="864"/>
        <w:jc w:val="both"/>
        <w:rPr>
          <w:rFonts w:eastAsia="標楷體"/>
          <w:sz w:val="28"/>
          <w:szCs w:val="28"/>
        </w:rPr>
      </w:pPr>
      <w:r w:rsidRPr="00D55DC6">
        <w:rPr>
          <w:rFonts w:eastAsia="標楷體"/>
          <w:sz w:val="28"/>
          <w:szCs w:val="28"/>
        </w:rPr>
        <w:t>提昇轄區經營管理能量，以出租、</w:t>
      </w:r>
      <w:r w:rsidRPr="00D55DC6">
        <w:rPr>
          <w:rFonts w:eastAsia="標楷體"/>
          <w:sz w:val="28"/>
          <w:szCs w:val="28"/>
        </w:rPr>
        <w:t>BOT</w:t>
      </w:r>
      <w:r w:rsidRPr="00D55DC6">
        <w:rPr>
          <w:rFonts w:eastAsia="標楷體"/>
          <w:sz w:val="28"/>
          <w:szCs w:val="28"/>
        </w:rPr>
        <w:t>、</w:t>
      </w:r>
      <w:r w:rsidRPr="00D55DC6">
        <w:rPr>
          <w:rFonts w:eastAsia="標楷體"/>
          <w:sz w:val="28"/>
          <w:szCs w:val="28"/>
        </w:rPr>
        <w:t>OT</w:t>
      </w:r>
      <w:r w:rsidRPr="00D55DC6">
        <w:rPr>
          <w:rFonts w:eastAsia="標楷體"/>
          <w:sz w:val="28"/>
          <w:szCs w:val="28"/>
        </w:rPr>
        <w:t>、</w:t>
      </w:r>
      <w:r w:rsidRPr="00D55DC6">
        <w:rPr>
          <w:rFonts w:eastAsia="標楷體"/>
          <w:sz w:val="28"/>
          <w:szCs w:val="28"/>
        </w:rPr>
        <w:t>ROT</w:t>
      </w:r>
      <w:r w:rsidRPr="00D55DC6">
        <w:rPr>
          <w:rFonts w:eastAsia="標楷體"/>
          <w:sz w:val="28"/>
          <w:szCs w:val="28"/>
        </w:rPr>
        <w:t>等方式委由優良民間團隊經營管理，藉由民間企業富有創造力及高品質服務效能，經管轄區景點，推廣地區特色環境及人文資源。</w:t>
      </w:r>
    </w:p>
    <w:p w:rsidR="00261ADB" w:rsidRPr="00D55DC6" w:rsidRDefault="00261ADB" w:rsidP="0038165F">
      <w:pPr>
        <w:pStyle w:val="af2"/>
        <w:numPr>
          <w:ilvl w:val="0"/>
          <w:numId w:val="35"/>
        </w:numPr>
        <w:snapToGrid w:val="0"/>
        <w:spacing w:line="460" w:lineRule="exact"/>
        <w:ind w:leftChars="0"/>
        <w:jc w:val="both"/>
        <w:rPr>
          <w:rFonts w:eastAsia="標楷體"/>
          <w:b/>
          <w:sz w:val="28"/>
          <w:szCs w:val="28"/>
        </w:rPr>
      </w:pPr>
      <w:r w:rsidRPr="00D55DC6">
        <w:rPr>
          <w:rFonts w:eastAsia="標楷體"/>
          <w:b/>
          <w:sz w:val="28"/>
          <w:szCs w:val="28"/>
        </w:rPr>
        <w:t>導入智慧科技強化宣傳活動等行銷管道，吸引優質國際觀光客</w:t>
      </w:r>
    </w:p>
    <w:p w:rsidR="00261ADB" w:rsidRPr="00D55DC6" w:rsidRDefault="00261ADB" w:rsidP="0038165F">
      <w:pPr>
        <w:pStyle w:val="af2"/>
        <w:snapToGrid w:val="0"/>
        <w:spacing w:line="460" w:lineRule="exact"/>
        <w:ind w:leftChars="0" w:left="864"/>
        <w:rPr>
          <w:rFonts w:eastAsia="標楷體"/>
          <w:sz w:val="28"/>
          <w:szCs w:val="28"/>
        </w:rPr>
      </w:pPr>
      <w:r w:rsidRPr="00D55DC6">
        <w:rPr>
          <w:rFonts w:eastAsia="標楷體"/>
          <w:sz w:val="28"/>
          <w:szCs w:val="28"/>
        </w:rPr>
        <w:t>以沙雕等國際性活動，以及網路、電視等電子媒體、平面媒體行銷深具特色景點，增加前來駐足旅遊的人次，並吸引優質觀光客到訪，帶動觀光產值</w:t>
      </w:r>
      <w:r w:rsidRPr="00D55DC6">
        <w:rPr>
          <w:rFonts w:eastAsia="標楷體"/>
          <w:b/>
          <w:sz w:val="28"/>
          <w:szCs w:val="28"/>
        </w:rPr>
        <w:t>242.37</w:t>
      </w:r>
      <w:r w:rsidRPr="00D55DC6">
        <w:rPr>
          <w:rFonts w:eastAsia="標楷體"/>
          <w:b/>
          <w:sz w:val="28"/>
          <w:szCs w:val="28"/>
        </w:rPr>
        <w:t>億元</w:t>
      </w:r>
      <w:r w:rsidRPr="00D55DC6">
        <w:rPr>
          <w:rFonts w:eastAsia="標楷體"/>
          <w:sz w:val="28"/>
          <w:szCs w:val="28"/>
        </w:rPr>
        <w:t>(</w:t>
      </w:r>
      <w:r w:rsidRPr="00D55DC6">
        <w:rPr>
          <w:rFonts w:eastAsia="標楷體"/>
          <w:sz w:val="28"/>
          <w:szCs w:val="28"/>
        </w:rPr>
        <w:t>以各年度之遊客人數</w:t>
      </w:r>
      <w:r w:rsidRPr="00D55DC6">
        <w:rPr>
          <w:rFonts w:eastAsia="標楷體"/>
          <w:sz w:val="28"/>
          <w:szCs w:val="28"/>
        </w:rPr>
        <w:sym w:font="Wingdings 2" w:char="F0CD"/>
      </w:r>
      <w:r w:rsidRPr="00D55DC6">
        <w:rPr>
          <w:rFonts w:eastAsia="標楷體"/>
          <w:sz w:val="28"/>
          <w:szCs w:val="28"/>
        </w:rPr>
        <w:t>每人每日平均消費新臺幣</w:t>
      </w:r>
      <w:r w:rsidRPr="00D55DC6">
        <w:rPr>
          <w:rFonts w:eastAsia="標楷體"/>
          <w:sz w:val="28"/>
          <w:szCs w:val="28"/>
        </w:rPr>
        <w:t>1,205</w:t>
      </w:r>
      <w:r w:rsidRPr="00D55DC6">
        <w:rPr>
          <w:rFonts w:eastAsia="標楷體"/>
          <w:sz w:val="28"/>
          <w:szCs w:val="28"/>
        </w:rPr>
        <w:t>元</w:t>
      </w:r>
      <w:r w:rsidRPr="00D55DC6">
        <w:rPr>
          <w:rFonts w:eastAsia="標楷體"/>
          <w:sz w:val="28"/>
          <w:szCs w:val="28"/>
        </w:rPr>
        <w:sym w:font="Wingdings 2" w:char="F0CD"/>
      </w:r>
      <w:r w:rsidRPr="00D55DC6">
        <w:rPr>
          <w:rFonts w:eastAsia="標楷體"/>
          <w:sz w:val="28"/>
          <w:szCs w:val="28"/>
        </w:rPr>
        <w:t>停留天數</w:t>
      </w:r>
      <w:r w:rsidRPr="00D55DC6">
        <w:rPr>
          <w:rFonts w:eastAsia="標楷體"/>
          <w:sz w:val="28"/>
          <w:szCs w:val="28"/>
        </w:rPr>
        <w:t>1.13</w:t>
      </w:r>
      <w:r w:rsidRPr="00D55DC6">
        <w:rPr>
          <w:rFonts w:eastAsia="標楷體"/>
          <w:sz w:val="28"/>
          <w:szCs w:val="28"/>
        </w:rPr>
        <w:t>天估算</w:t>
      </w:r>
      <w:r w:rsidRPr="00D55DC6">
        <w:rPr>
          <w:rFonts w:eastAsia="標楷體"/>
          <w:sz w:val="28"/>
          <w:szCs w:val="28"/>
        </w:rPr>
        <w:t>)</w:t>
      </w:r>
      <w:r w:rsidR="007F4B5F" w:rsidRPr="00D55DC6">
        <w:rPr>
          <w:rFonts w:eastAsia="標楷體"/>
          <w:sz w:val="28"/>
          <w:szCs w:val="28"/>
        </w:rPr>
        <w:t>。</w:t>
      </w:r>
    </w:p>
    <w:p w:rsidR="000725AB" w:rsidRPr="00D55DC6" w:rsidRDefault="000725AB" w:rsidP="0038165F">
      <w:pPr>
        <w:pStyle w:val="af2"/>
        <w:snapToGrid w:val="0"/>
        <w:spacing w:line="460" w:lineRule="exact"/>
        <w:ind w:leftChars="0" w:left="864"/>
        <w:rPr>
          <w:rFonts w:eastAsia="標楷體"/>
          <w:sz w:val="28"/>
          <w:szCs w:val="28"/>
        </w:rPr>
      </w:pPr>
    </w:p>
    <w:p w:rsidR="00261ADB" w:rsidRPr="00D55DC6" w:rsidRDefault="00261ADB" w:rsidP="0038165F">
      <w:pPr>
        <w:pStyle w:val="a"/>
        <w:numPr>
          <w:ilvl w:val="0"/>
          <w:numId w:val="20"/>
        </w:numPr>
        <w:ind w:left="709" w:hanging="709"/>
        <w:rPr>
          <w:b/>
        </w:rPr>
      </w:pPr>
      <w:bookmarkStart w:id="68" w:name="_Toc407181646"/>
      <w:r w:rsidRPr="00D55DC6">
        <w:rPr>
          <w:b/>
        </w:rPr>
        <w:t>財務計畫</w:t>
      </w:r>
      <w:bookmarkEnd w:id="68"/>
    </w:p>
    <w:p w:rsidR="00261ADB" w:rsidRPr="00D55DC6" w:rsidRDefault="00261ADB" w:rsidP="0038165F">
      <w:pPr>
        <w:pStyle w:val="af2"/>
        <w:numPr>
          <w:ilvl w:val="0"/>
          <w:numId w:val="36"/>
        </w:numPr>
        <w:snapToGrid w:val="0"/>
        <w:spacing w:line="460" w:lineRule="exact"/>
        <w:ind w:leftChars="0"/>
        <w:jc w:val="both"/>
        <w:rPr>
          <w:rFonts w:eastAsia="標楷體"/>
          <w:b/>
          <w:sz w:val="28"/>
          <w:szCs w:val="28"/>
        </w:rPr>
      </w:pPr>
      <w:r w:rsidRPr="00D55DC6">
        <w:rPr>
          <w:rFonts w:eastAsia="標楷體"/>
          <w:b/>
          <w:sz w:val="28"/>
          <w:szCs w:val="28"/>
        </w:rPr>
        <w:t>財務計畫核定情形</w:t>
      </w:r>
    </w:p>
    <w:p w:rsidR="00200C0B" w:rsidRPr="00D55DC6" w:rsidRDefault="00200C0B" w:rsidP="00200C0B">
      <w:pPr>
        <w:pStyle w:val="a"/>
        <w:numPr>
          <w:ilvl w:val="0"/>
          <w:numId w:val="0"/>
        </w:numPr>
        <w:ind w:left="864"/>
      </w:pPr>
      <w:r w:rsidRPr="00D55DC6">
        <w:t>依據行政院</w:t>
      </w:r>
      <w:r w:rsidRPr="00D55DC6">
        <w:t>103</w:t>
      </w:r>
      <w:r w:rsidRPr="00D55DC6">
        <w:t>年</w:t>
      </w:r>
      <w:r w:rsidRPr="00D55DC6">
        <w:t>10</w:t>
      </w:r>
      <w:r w:rsidRPr="00D55DC6">
        <w:t>月</w:t>
      </w:r>
      <w:r w:rsidRPr="00D55DC6">
        <w:t>22</w:t>
      </w:r>
      <w:r w:rsidRPr="00D55DC6">
        <w:t>日核定「東北角暨宜蘭海岸國家風景區整體發展暨財務計畫」，未來</w:t>
      </w:r>
      <w:r w:rsidRPr="00D55DC6">
        <w:t>20</w:t>
      </w:r>
      <w:r w:rsidRPr="00D55DC6">
        <w:t>年期間</w:t>
      </w:r>
      <w:r w:rsidRPr="00D55DC6">
        <w:t>(103</w:t>
      </w:r>
      <w:r w:rsidRPr="00D55DC6">
        <w:t>至</w:t>
      </w:r>
      <w:r w:rsidRPr="00D55DC6">
        <w:t>122</w:t>
      </w:r>
      <w:r w:rsidRPr="00D55DC6">
        <w:t>年</w:t>
      </w:r>
      <w:r w:rsidRPr="00D55DC6">
        <w:t>)</w:t>
      </w:r>
      <w:r w:rsidRPr="00D55DC6">
        <w:t>計畫投入現值為</w:t>
      </w:r>
      <w:r w:rsidRPr="00D55DC6">
        <w:t>27.39</w:t>
      </w:r>
      <w:r w:rsidRPr="00D55DC6">
        <w:t>億元，收益現值為</w:t>
      </w:r>
      <w:r w:rsidRPr="00D55DC6">
        <w:t>7.54</w:t>
      </w:r>
      <w:r w:rsidRPr="00D55DC6">
        <w:t>億元，整體計畫財務自償率達</w:t>
      </w:r>
      <w:r w:rsidRPr="00D55DC6">
        <w:t>27.53%</w:t>
      </w:r>
      <w:r w:rsidRPr="00D55DC6">
        <w:t>。</w:t>
      </w:r>
    </w:p>
    <w:p w:rsidR="00200C0B" w:rsidRPr="00D55DC6" w:rsidRDefault="00200C0B" w:rsidP="009D33BA">
      <w:pPr>
        <w:keepNext/>
        <w:spacing w:beforeLines="50" w:before="180" w:afterLines="50" w:after="180"/>
        <w:ind w:rightChars="-316" w:right="-758"/>
        <w:rPr>
          <w:rFonts w:eastAsia="標楷體"/>
        </w:rPr>
      </w:pPr>
      <w:r w:rsidRPr="00D55DC6">
        <w:rPr>
          <w:rFonts w:eastAsia="標楷體"/>
        </w:rPr>
        <w:t>表　原核定之自償率分析表</w:t>
      </w:r>
      <w:r w:rsidRPr="00D55DC6">
        <w:rPr>
          <w:rFonts w:eastAsia="標楷體"/>
        </w:rPr>
        <w:t xml:space="preserve">                                       </w:t>
      </w:r>
      <w:r w:rsidRPr="00D55DC6">
        <w:rPr>
          <w:rFonts w:eastAsia="標楷體"/>
        </w:rPr>
        <w:t>（單位：億元）</w:t>
      </w:r>
    </w:p>
    <w:tbl>
      <w:tblPr>
        <w:tblW w:w="9512" w:type="dxa"/>
        <w:tblInd w:w="13" w:type="dxa"/>
        <w:tblCellMar>
          <w:left w:w="28" w:type="dxa"/>
          <w:right w:w="28" w:type="dxa"/>
        </w:tblCellMar>
        <w:tblLook w:val="04A0" w:firstRow="1" w:lastRow="0" w:firstColumn="1" w:lastColumn="0" w:noHBand="0" w:noVBand="1"/>
      </w:tblPr>
      <w:tblGrid>
        <w:gridCol w:w="1575"/>
        <w:gridCol w:w="708"/>
        <w:gridCol w:w="709"/>
        <w:gridCol w:w="709"/>
        <w:gridCol w:w="709"/>
        <w:gridCol w:w="709"/>
        <w:gridCol w:w="708"/>
        <w:gridCol w:w="709"/>
        <w:gridCol w:w="709"/>
        <w:gridCol w:w="708"/>
        <w:gridCol w:w="709"/>
        <w:gridCol w:w="850"/>
      </w:tblGrid>
      <w:tr w:rsidR="001D0350" w:rsidRPr="00D55DC6" w:rsidTr="00200C0B">
        <w:trPr>
          <w:trHeight w:val="345"/>
        </w:trPr>
        <w:tc>
          <w:tcPr>
            <w:tcW w:w="1575" w:type="dxa"/>
            <w:tcBorders>
              <w:top w:val="single" w:sz="8" w:space="0" w:color="auto"/>
              <w:left w:val="single" w:sz="8" w:space="0" w:color="auto"/>
              <w:bottom w:val="single" w:sz="8" w:space="0" w:color="auto"/>
              <w:right w:val="single" w:sz="4" w:space="0" w:color="auto"/>
            </w:tcBorders>
            <w:vAlign w:val="center"/>
            <w:hideMark/>
          </w:tcPr>
          <w:p w:rsidR="00200C0B" w:rsidRPr="00D55DC6" w:rsidRDefault="00200C0B" w:rsidP="000725AB">
            <w:pPr>
              <w:widowControl/>
              <w:spacing w:line="320" w:lineRule="exact"/>
              <w:jc w:val="both"/>
              <w:rPr>
                <w:rFonts w:eastAsia="標楷體"/>
                <w:kern w:val="0"/>
                <w:sz w:val="18"/>
                <w:szCs w:val="18"/>
              </w:rPr>
            </w:pPr>
            <w:r w:rsidRPr="00D55DC6">
              <w:rPr>
                <w:rFonts w:eastAsia="標楷體"/>
                <w:kern w:val="0"/>
                <w:sz w:val="18"/>
                <w:szCs w:val="18"/>
              </w:rPr>
              <w:t xml:space="preserve">　</w:t>
            </w:r>
          </w:p>
        </w:tc>
        <w:tc>
          <w:tcPr>
            <w:tcW w:w="4252" w:type="dxa"/>
            <w:gridSpan w:val="6"/>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widowControl/>
              <w:spacing w:line="320" w:lineRule="exact"/>
              <w:jc w:val="center"/>
              <w:rPr>
                <w:b/>
                <w:bCs/>
                <w:kern w:val="0"/>
                <w:sz w:val="18"/>
                <w:szCs w:val="18"/>
              </w:rPr>
            </w:pPr>
            <w:r w:rsidRPr="00D55DC6">
              <w:rPr>
                <w:b/>
                <w:bCs/>
                <w:kern w:val="0"/>
                <w:sz w:val="18"/>
                <w:szCs w:val="18"/>
              </w:rPr>
              <w:t>短期</w:t>
            </w:r>
          </w:p>
        </w:tc>
        <w:tc>
          <w:tcPr>
            <w:tcW w:w="2835" w:type="dxa"/>
            <w:gridSpan w:val="4"/>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widowControl/>
              <w:spacing w:line="320" w:lineRule="exact"/>
              <w:jc w:val="center"/>
              <w:rPr>
                <w:b/>
                <w:bCs/>
                <w:kern w:val="0"/>
                <w:sz w:val="18"/>
                <w:szCs w:val="18"/>
              </w:rPr>
            </w:pPr>
            <w:r w:rsidRPr="00D55DC6">
              <w:rPr>
                <w:b/>
                <w:bCs/>
                <w:kern w:val="0"/>
                <w:sz w:val="18"/>
                <w:szCs w:val="18"/>
              </w:rPr>
              <w:t>中期</w:t>
            </w:r>
          </w:p>
        </w:tc>
        <w:tc>
          <w:tcPr>
            <w:tcW w:w="850" w:type="dxa"/>
            <w:vMerge w:val="restart"/>
            <w:tcBorders>
              <w:top w:val="single" w:sz="4" w:space="0" w:color="auto"/>
              <w:left w:val="single" w:sz="4" w:space="0" w:color="auto"/>
              <w:bottom w:val="single" w:sz="4" w:space="0" w:color="auto"/>
              <w:right w:val="single" w:sz="4" w:space="0" w:color="auto"/>
              <w:tr2bl w:val="single" w:sz="4" w:space="0" w:color="auto"/>
            </w:tcBorders>
            <w:noWrap/>
            <w:vAlign w:val="center"/>
            <w:hideMark/>
          </w:tcPr>
          <w:p w:rsidR="00200C0B" w:rsidRPr="00D55DC6" w:rsidRDefault="00200C0B" w:rsidP="000725AB">
            <w:pPr>
              <w:widowControl/>
              <w:spacing w:line="320" w:lineRule="exact"/>
              <w:rPr>
                <w:kern w:val="0"/>
                <w:sz w:val="20"/>
                <w:szCs w:val="20"/>
              </w:rPr>
            </w:pPr>
          </w:p>
        </w:tc>
      </w:tr>
      <w:tr w:rsidR="001D0350" w:rsidRPr="00D55DC6" w:rsidTr="00200C0B">
        <w:trPr>
          <w:trHeight w:val="345"/>
        </w:trPr>
        <w:tc>
          <w:tcPr>
            <w:tcW w:w="1575" w:type="dxa"/>
            <w:tcBorders>
              <w:top w:val="single" w:sz="8" w:space="0" w:color="auto"/>
              <w:left w:val="single" w:sz="8" w:space="0" w:color="auto"/>
              <w:bottom w:val="single" w:sz="8" w:space="0" w:color="auto"/>
              <w:right w:val="single" w:sz="4" w:space="0" w:color="auto"/>
            </w:tcBorders>
            <w:vAlign w:val="center"/>
            <w:hideMark/>
          </w:tcPr>
          <w:p w:rsidR="00200C0B" w:rsidRPr="00D55DC6" w:rsidRDefault="00200C0B" w:rsidP="000725AB">
            <w:pPr>
              <w:widowControl/>
              <w:spacing w:line="320" w:lineRule="exact"/>
              <w:rPr>
                <w:kern w:val="0"/>
                <w:sz w:val="20"/>
                <w:szCs w:val="20"/>
              </w:rPr>
            </w:pP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widowControl/>
              <w:spacing w:line="320" w:lineRule="exact"/>
              <w:jc w:val="center"/>
              <w:rPr>
                <w:b/>
                <w:bCs/>
                <w:kern w:val="0"/>
                <w:sz w:val="18"/>
                <w:szCs w:val="18"/>
              </w:rPr>
            </w:pPr>
            <w:r w:rsidRPr="00D55DC6">
              <w:rPr>
                <w:b/>
                <w:bCs/>
                <w:kern w:val="0"/>
                <w:sz w:val="18"/>
                <w:szCs w:val="18"/>
              </w:rPr>
              <w:t>103</w:t>
            </w:r>
            <w:r w:rsidRPr="00D55DC6">
              <w:rPr>
                <w:rFonts w:eastAsia="標楷體"/>
                <w:b/>
                <w:bCs/>
                <w:kern w:val="0"/>
                <w:sz w:val="18"/>
                <w:szCs w:val="18"/>
              </w:rPr>
              <w:t>年</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widowControl/>
              <w:spacing w:line="320" w:lineRule="exact"/>
              <w:jc w:val="center"/>
              <w:rPr>
                <w:b/>
                <w:bCs/>
                <w:kern w:val="0"/>
                <w:sz w:val="18"/>
                <w:szCs w:val="18"/>
              </w:rPr>
            </w:pPr>
            <w:r w:rsidRPr="00D55DC6">
              <w:rPr>
                <w:b/>
                <w:bCs/>
                <w:kern w:val="0"/>
                <w:sz w:val="18"/>
                <w:szCs w:val="18"/>
              </w:rPr>
              <w:t>104</w:t>
            </w:r>
            <w:r w:rsidRPr="00D55DC6">
              <w:rPr>
                <w:rFonts w:eastAsia="標楷體"/>
                <w:b/>
                <w:bCs/>
                <w:kern w:val="0"/>
                <w:sz w:val="18"/>
                <w:szCs w:val="18"/>
              </w:rPr>
              <w:t>年</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widowControl/>
              <w:spacing w:line="320" w:lineRule="exact"/>
              <w:jc w:val="center"/>
              <w:rPr>
                <w:b/>
                <w:bCs/>
                <w:kern w:val="0"/>
                <w:sz w:val="18"/>
                <w:szCs w:val="18"/>
              </w:rPr>
            </w:pPr>
            <w:r w:rsidRPr="00D55DC6">
              <w:rPr>
                <w:b/>
                <w:bCs/>
                <w:kern w:val="0"/>
                <w:sz w:val="18"/>
                <w:szCs w:val="18"/>
              </w:rPr>
              <w:t>105</w:t>
            </w:r>
            <w:r w:rsidRPr="00D55DC6">
              <w:rPr>
                <w:rFonts w:eastAsia="標楷體"/>
                <w:b/>
                <w:bCs/>
                <w:kern w:val="0"/>
                <w:sz w:val="18"/>
                <w:szCs w:val="18"/>
              </w:rPr>
              <w:t>年</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widowControl/>
              <w:spacing w:line="320" w:lineRule="exact"/>
              <w:jc w:val="center"/>
              <w:rPr>
                <w:b/>
                <w:bCs/>
                <w:kern w:val="0"/>
                <w:sz w:val="18"/>
                <w:szCs w:val="18"/>
              </w:rPr>
            </w:pPr>
            <w:r w:rsidRPr="00D55DC6">
              <w:rPr>
                <w:b/>
                <w:bCs/>
                <w:kern w:val="0"/>
                <w:sz w:val="18"/>
                <w:szCs w:val="18"/>
              </w:rPr>
              <w:t>106</w:t>
            </w:r>
            <w:r w:rsidRPr="00D55DC6">
              <w:rPr>
                <w:rFonts w:eastAsia="標楷體"/>
                <w:b/>
                <w:bCs/>
                <w:kern w:val="0"/>
                <w:sz w:val="18"/>
                <w:szCs w:val="18"/>
              </w:rPr>
              <w:t>年</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widowControl/>
              <w:spacing w:line="320" w:lineRule="exact"/>
              <w:jc w:val="center"/>
              <w:rPr>
                <w:b/>
                <w:bCs/>
                <w:kern w:val="0"/>
                <w:sz w:val="18"/>
                <w:szCs w:val="18"/>
              </w:rPr>
            </w:pPr>
            <w:r w:rsidRPr="00D55DC6">
              <w:rPr>
                <w:b/>
                <w:bCs/>
                <w:kern w:val="0"/>
                <w:sz w:val="18"/>
                <w:szCs w:val="18"/>
              </w:rPr>
              <w:t>107</w:t>
            </w:r>
            <w:r w:rsidRPr="00D55DC6">
              <w:rPr>
                <w:rFonts w:eastAsia="標楷體"/>
                <w:b/>
                <w:bCs/>
                <w:kern w:val="0"/>
                <w:sz w:val="18"/>
                <w:szCs w:val="18"/>
              </w:rPr>
              <w:t>年</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widowControl/>
              <w:spacing w:line="320" w:lineRule="exact"/>
              <w:jc w:val="center"/>
              <w:rPr>
                <w:b/>
                <w:bCs/>
                <w:kern w:val="0"/>
                <w:sz w:val="18"/>
                <w:szCs w:val="18"/>
              </w:rPr>
            </w:pPr>
            <w:r w:rsidRPr="00D55DC6">
              <w:rPr>
                <w:b/>
                <w:bCs/>
                <w:kern w:val="0"/>
                <w:sz w:val="18"/>
                <w:szCs w:val="18"/>
              </w:rPr>
              <w:t>108</w:t>
            </w:r>
            <w:r w:rsidRPr="00D55DC6">
              <w:rPr>
                <w:rFonts w:eastAsia="標楷體"/>
                <w:b/>
                <w:bCs/>
                <w:kern w:val="0"/>
                <w:sz w:val="18"/>
                <w:szCs w:val="18"/>
              </w:rPr>
              <w:t>年</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widowControl/>
              <w:spacing w:line="320" w:lineRule="exact"/>
              <w:jc w:val="center"/>
              <w:rPr>
                <w:b/>
                <w:bCs/>
                <w:kern w:val="0"/>
                <w:sz w:val="18"/>
                <w:szCs w:val="18"/>
              </w:rPr>
            </w:pPr>
            <w:r w:rsidRPr="00D55DC6">
              <w:rPr>
                <w:b/>
                <w:bCs/>
                <w:kern w:val="0"/>
                <w:sz w:val="18"/>
                <w:szCs w:val="18"/>
              </w:rPr>
              <w:t>109</w:t>
            </w:r>
            <w:r w:rsidRPr="00D55DC6">
              <w:rPr>
                <w:rFonts w:eastAsia="標楷體"/>
                <w:b/>
                <w:bCs/>
                <w:kern w:val="0"/>
                <w:sz w:val="18"/>
                <w:szCs w:val="18"/>
              </w:rPr>
              <w:t>年</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widowControl/>
              <w:spacing w:line="320" w:lineRule="exact"/>
              <w:jc w:val="center"/>
              <w:rPr>
                <w:b/>
                <w:bCs/>
                <w:kern w:val="0"/>
                <w:sz w:val="18"/>
                <w:szCs w:val="18"/>
              </w:rPr>
            </w:pPr>
            <w:r w:rsidRPr="00D55DC6">
              <w:rPr>
                <w:b/>
                <w:bCs/>
                <w:kern w:val="0"/>
                <w:sz w:val="18"/>
                <w:szCs w:val="18"/>
              </w:rPr>
              <w:t>110</w:t>
            </w:r>
            <w:r w:rsidRPr="00D55DC6">
              <w:rPr>
                <w:rFonts w:eastAsia="標楷體"/>
                <w:b/>
                <w:bCs/>
                <w:kern w:val="0"/>
                <w:sz w:val="18"/>
                <w:szCs w:val="18"/>
              </w:rPr>
              <w:t>年</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widowControl/>
              <w:spacing w:line="320" w:lineRule="exact"/>
              <w:jc w:val="center"/>
              <w:rPr>
                <w:b/>
                <w:bCs/>
                <w:kern w:val="0"/>
                <w:sz w:val="18"/>
                <w:szCs w:val="18"/>
              </w:rPr>
            </w:pPr>
            <w:r w:rsidRPr="00D55DC6">
              <w:rPr>
                <w:b/>
                <w:bCs/>
                <w:kern w:val="0"/>
                <w:sz w:val="18"/>
                <w:szCs w:val="18"/>
              </w:rPr>
              <w:t>111</w:t>
            </w:r>
            <w:r w:rsidRPr="00D55DC6">
              <w:rPr>
                <w:rFonts w:eastAsia="標楷體"/>
                <w:b/>
                <w:bCs/>
                <w:kern w:val="0"/>
                <w:sz w:val="18"/>
                <w:szCs w:val="18"/>
              </w:rPr>
              <w:t>年</w:t>
            </w:r>
          </w:p>
        </w:tc>
        <w:tc>
          <w:tcPr>
            <w:tcW w:w="709" w:type="dxa"/>
            <w:tcBorders>
              <w:top w:val="single" w:sz="4" w:space="0" w:color="auto"/>
              <w:left w:val="single" w:sz="4" w:space="0" w:color="auto"/>
              <w:bottom w:val="single" w:sz="4" w:space="0" w:color="auto"/>
              <w:right w:val="single" w:sz="4" w:space="0" w:color="auto"/>
            </w:tcBorders>
            <w:vAlign w:val="center"/>
            <w:hideMark/>
          </w:tcPr>
          <w:p w:rsidR="00200C0B" w:rsidRPr="00D55DC6" w:rsidRDefault="00200C0B" w:rsidP="000725AB">
            <w:pPr>
              <w:widowControl/>
              <w:spacing w:line="320" w:lineRule="exact"/>
              <w:jc w:val="center"/>
              <w:rPr>
                <w:b/>
                <w:bCs/>
                <w:kern w:val="0"/>
                <w:sz w:val="18"/>
                <w:szCs w:val="18"/>
              </w:rPr>
            </w:pPr>
            <w:r w:rsidRPr="00D55DC6">
              <w:rPr>
                <w:b/>
                <w:bCs/>
                <w:kern w:val="0"/>
                <w:sz w:val="18"/>
                <w:szCs w:val="18"/>
              </w:rPr>
              <w:t>112</w:t>
            </w:r>
            <w:r w:rsidRPr="00D55DC6">
              <w:rPr>
                <w:rFonts w:eastAsia="標楷體"/>
                <w:b/>
                <w:bCs/>
                <w:kern w:val="0"/>
                <w:sz w:val="18"/>
                <w:szCs w:val="18"/>
              </w:rPr>
              <w:t>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0C0B" w:rsidRPr="00D55DC6" w:rsidRDefault="00200C0B" w:rsidP="000725AB">
            <w:pPr>
              <w:widowControl/>
              <w:spacing w:line="320" w:lineRule="exact"/>
              <w:rPr>
                <w:kern w:val="0"/>
                <w:sz w:val="20"/>
                <w:szCs w:val="20"/>
              </w:rPr>
            </w:pPr>
          </w:p>
        </w:tc>
      </w:tr>
      <w:tr w:rsidR="001D0350" w:rsidRPr="00D55DC6" w:rsidTr="00200C0B">
        <w:trPr>
          <w:trHeight w:val="381"/>
        </w:trPr>
        <w:tc>
          <w:tcPr>
            <w:tcW w:w="1575" w:type="dxa"/>
            <w:tcBorders>
              <w:top w:val="nil"/>
              <w:left w:val="single" w:sz="8" w:space="0" w:color="auto"/>
              <w:bottom w:val="single" w:sz="8" w:space="0" w:color="auto"/>
              <w:right w:val="single" w:sz="4" w:space="0" w:color="auto"/>
            </w:tcBorders>
            <w:noWrap/>
            <w:vAlign w:val="center"/>
            <w:hideMark/>
          </w:tcPr>
          <w:p w:rsidR="00200C0B" w:rsidRPr="00D55DC6" w:rsidRDefault="00200C0B" w:rsidP="000725AB">
            <w:pPr>
              <w:widowControl/>
              <w:spacing w:line="320" w:lineRule="exact"/>
              <w:jc w:val="center"/>
              <w:rPr>
                <w:rFonts w:eastAsia="標楷體"/>
                <w:kern w:val="0"/>
                <w:sz w:val="20"/>
                <w:szCs w:val="20"/>
              </w:rPr>
            </w:pPr>
            <w:r w:rsidRPr="00D55DC6">
              <w:rPr>
                <w:rFonts w:eastAsia="標楷體"/>
                <w:kern w:val="0"/>
                <w:sz w:val="20"/>
                <w:szCs w:val="20"/>
              </w:rPr>
              <w:t>計畫投資總經費</w:t>
            </w:r>
          </w:p>
        </w:tc>
        <w:tc>
          <w:tcPr>
            <w:tcW w:w="708"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1.963</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1.96</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1.8</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1.8</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1.8</w:t>
            </w:r>
          </w:p>
        </w:tc>
        <w:tc>
          <w:tcPr>
            <w:tcW w:w="708"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1.8</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1.8</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1.8</w:t>
            </w:r>
          </w:p>
        </w:tc>
        <w:tc>
          <w:tcPr>
            <w:tcW w:w="708"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1.8</w:t>
            </w:r>
          </w:p>
        </w:tc>
        <w:tc>
          <w:tcPr>
            <w:tcW w:w="709" w:type="dxa"/>
            <w:tcBorders>
              <w:top w:val="single" w:sz="4" w:space="0" w:color="auto"/>
              <w:left w:val="single" w:sz="4" w:space="0" w:color="auto"/>
              <w:bottom w:val="single" w:sz="4" w:space="0" w:color="auto"/>
              <w:right w:val="single" w:sz="4" w:space="0" w:color="auto"/>
            </w:tcBorders>
            <w:hideMark/>
          </w:tcPr>
          <w:p w:rsidR="00200C0B" w:rsidRPr="00D55DC6" w:rsidRDefault="00200C0B" w:rsidP="000725AB">
            <w:pPr>
              <w:spacing w:line="320" w:lineRule="exact"/>
              <w:jc w:val="right"/>
              <w:rPr>
                <w:rFonts w:eastAsia="標楷體"/>
                <w:sz w:val="20"/>
              </w:rPr>
            </w:pPr>
            <w:r w:rsidRPr="00D55DC6">
              <w:rPr>
                <w:rFonts w:eastAsia="標楷體"/>
                <w:sz w:val="20"/>
              </w:rPr>
              <w:t>1.8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0C0B" w:rsidRPr="00D55DC6" w:rsidRDefault="00200C0B" w:rsidP="000725AB">
            <w:pPr>
              <w:widowControl/>
              <w:spacing w:line="320" w:lineRule="exact"/>
              <w:rPr>
                <w:kern w:val="0"/>
                <w:sz w:val="20"/>
                <w:szCs w:val="20"/>
              </w:rPr>
            </w:pPr>
          </w:p>
        </w:tc>
      </w:tr>
      <w:tr w:rsidR="001D0350" w:rsidRPr="00D55DC6" w:rsidTr="00200C0B">
        <w:trPr>
          <w:trHeight w:val="401"/>
        </w:trPr>
        <w:tc>
          <w:tcPr>
            <w:tcW w:w="1575" w:type="dxa"/>
            <w:tcBorders>
              <w:top w:val="nil"/>
              <w:left w:val="single" w:sz="8" w:space="0" w:color="auto"/>
              <w:bottom w:val="single" w:sz="8" w:space="0" w:color="auto"/>
              <w:right w:val="single" w:sz="4" w:space="0" w:color="auto"/>
            </w:tcBorders>
            <w:shd w:val="clear" w:color="auto" w:fill="FFFFFF"/>
            <w:noWrap/>
            <w:vAlign w:val="center"/>
            <w:hideMark/>
          </w:tcPr>
          <w:p w:rsidR="00200C0B" w:rsidRPr="00D55DC6" w:rsidRDefault="00200C0B" w:rsidP="000725AB">
            <w:pPr>
              <w:widowControl/>
              <w:spacing w:line="320" w:lineRule="exact"/>
              <w:jc w:val="center"/>
              <w:rPr>
                <w:rFonts w:eastAsia="標楷體"/>
                <w:kern w:val="0"/>
                <w:sz w:val="20"/>
                <w:szCs w:val="20"/>
              </w:rPr>
            </w:pPr>
            <w:r w:rsidRPr="00D55DC6">
              <w:rPr>
                <w:rFonts w:eastAsia="標楷體"/>
                <w:kern w:val="0"/>
                <w:sz w:val="20"/>
                <w:szCs w:val="20"/>
              </w:rPr>
              <w:t>計畫收益規劃</w:t>
            </w:r>
          </w:p>
        </w:tc>
        <w:tc>
          <w:tcPr>
            <w:tcW w:w="708"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0.1353</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0.2343</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0.3237</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0.3637</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0.4347</w:t>
            </w:r>
          </w:p>
        </w:tc>
        <w:tc>
          <w:tcPr>
            <w:tcW w:w="708"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0.5367</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0.5448</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0.5529</w:t>
            </w:r>
          </w:p>
        </w:tc>
        <w:tc>
          <w:tcPr>
            <w:tcW w:w="708"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0.5612</w:t>
            </w:r>
          </w:p>
        </w:tc>
        <w:tc>
          <w:tcPr>
            <w:tcW w:w="709" w:type="dxa"/>
            <w:tcBorders>
              <w:top w:val="single" w:sz="4" w:space="0" w:color="auto"/>
              <w:left w:val="single" w:sz="4" w:space="0" w:color="auto"/>
              <w:bottom w:val="single" w:sz="4" w:space="0" w:color="auto"/>
              <w:right w:val="single" w:sz="4" w:space="0" w:color="auto"/>
            </w:tcBorders>
            <w:hideMark/>
          </w:tcPr>
          <w:p w:rsidR="00200C0B" w:rsidRPr="00D55DC6" w:rsidRDefault="00200C0B" w:rsidP="000725AB">
            <w:pPr>
              <w:spacing w:line="320" w:lineRule="exact"/>
              <w:jc w:val="right"/>
              <w:rPr>
                <w:rFonts w:eastAsia="標楷體"/>
                <w:sz w:val="20"/>
              </w:rPr>
            </w:pPr>
            <w:r w:rsidRPr="00D55DC6">
              <w:rPr>
                <w:rFonts w:eastAsia="標楷體"/>
                <w:sz w:val="20"/>
              </w:rPr>
              <w:t>0.5696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0C0B" w:rsidRPr="00D55DC6" w:rsidRDefault="00200C0B" w:rsidP="000725AB">
            <w:pPr>
              <w:widowControl/>
              <w:spacing w:line="320" w:lineRule="exact"/>
              <w:rPr>
                <w:kern w:val="0"/>
                <w:sz w:val="20"/>
                <w:szCs w:val="20"/>
              </w:rPr>
            </w:pPr>
          </w:p>
        </w:tc>
      </w:tr>
      <w:tr w:rsidR="001D0350" w:rsidRPr="00D55DC6" w:rsidTr="00200C0B">
        <w:trPr>
          <w:trHeight w:val="345"/>
        </w:trPr>
        <w:tc>
          <w:tcPr>
            <w:tcW w:w="1575" w:type="dxa"/>
            <w:tcBorders>
              <w:top w:val="nil"/>
              <w:left w:val="single" w:sz="8" w:space="0" w:color="auto"/>
              <w:bottom w:val="single" w:sz="8" w:space="0" w:color="auto"/>
              <w:right w:val="single" w:sz="4" w:space="0" w:color="auto"/>
            </w:tcBorders>
            <w:shd w:val="clear" w:color="auto" w:fill="FFFF00"/>
            <w:noWrap/>
            <w:vAlign w:val="center"/>
            <w:hideMark/>
          </w:tcPr>
          <w:p w:rsidR="00200C0B" w:rsidRPr="00D55DC6" w:rsidRDefault="000725AB" w:rsidP="000725AB">
            <w:pPr>
              <w:widowControl/>
              <w:spacing w:line="320" w:lineRule="exact"/>
              <w:jc w:val="center"/>
              <w:rPr>
                <w:rFonts w:eastAsia="標楷體"/>
                <w:kern w:val="0"/>
                <w:sz w:val="20"/>
                <w:szCs w:val="20"/>
              </w:rPr>
            </w:pPr>
            <w:r w:rsidRPr="00D55DC6">
              <w:rPr>
                <w:rFonts w:eastAsia="標楷體"/>
                <w:kern w:val="0"/>
                <w:sz w:val="20"/>
                <w:szCs w:val="20"/>
              </w:rPr>
              <w:t>收支比</w:t>
            </w:r>
          </w:p>
        </w:tc>
        <w:tc>
          <w:tcPr>
            <w:tcW w:w="708" w:type="dxa"/>
            <w:tcBorders>
              <w:top w:val="single" w:sz="4" w:space="0" w:color="auto"/>
              <w:left w:val="single" w:sz="4" w:space="0" w:color="auto"/>
              <w:bottom w:val="single" w:sz="4" w:space="0" w:color="auto"/>
              <w:right w:val="single" w:sz="4" w:space="0" w:color="auto"/>
            </w:tcBorders>
            <w:shd w:val="clear" w:color="auto" w:fill="FFFF00"/>
            <w:noWrap/>
            <w:hideMark/>
          </w:tcPr>
          <w:p w:rsidR="00200C0B" w:rsidRPr="00D55DC6" w:rsidRDefault="00200C0B" w:rsidP="000725AB">
            <w:pPr>
              <w:spacing w:line="320" w:lineRule="exact"/>
              <w:jc w:val="right"/>
              <w:rPr>
                <w:rFonts w:eastAsia="標楷體"/>
                <w:sz w:val="20"/>
              </w:rPr>
            </w:pPr>
            <w:r w:rsidRPr="00D55DC6">
              <w:rPr>
                <w:rFonts w:eastAsia="標楷體"/>
                <w:sz w:val="20"/>
              </w:rPr>
              <w:t>6.89%</w:t>
            </w:r>
          </w:p>
        </w:tc>
        <w:tc>
          <w:tcPr>
            <w:tcW w:w="709" w:type="dxa"/>
            <w:tcBorders>
              <w:top w:val="single" w:sz="4" w:space="0" w:color="auto"/>
              <w:left w:val="single" w:sz="4" w:space="0" w:color="auto"/>
              <w:bottom w:val="single" w:sz="4" w:space="0" w:color="auto"/>
              <w:right w:val="single" w:sz="4" w:space="0" w:color="auto"/>
            </w:tcBorders>
            <w:shd w:val="clear" w:color="auto" w:fill="FFFF00"/>
            <w:noWrap/>
            <w:hideMark/>
          </w:tcPr>
          <w:p w:rsidR="00200C0B" w:rsidRPr="00D55DC6" w:rsidRDefault="00200C0B" w:rsidP="000725AB">
            <w:pPr>
              <w:spacing w:line="320" w:lineRule="exact"/>
              <w:jc w:val="right"/>
              <w:rPr>
                <w:rFonts w:eastAsia="標楷體"/>
                <w:sz w:val="20"/>
              </w:rPr>
            </w:pPr>
            <w:r w:rsidRPr="00D55DC6">
              <w:rPr>
                <w:rFonts w:eastAsia="標楷體"/>
                <w:sz w:val="20"/>
              </w:rPr>
              <w:t>11.95%</w:t>
            </w:r>
          </w:p>
        </w:tc>
        <w:tc>
          <w:tcPr>
            <w:tcW w:w="709" w:type="dxa"/>
            <w:tcBorders>
              <w:top w:val="single" w:sz="4" w:space="0" w:color="auto"/>
              <w:left w:val="single" w:sz="4" w:space="0" w:color="auto"/>
              <w:bottom w:val="single" w:sz="4" w:space="0" w:color="auto"/>
              <w:right w:val="single" w:sz="4" w:space="0" w:color="auto"/>
            </w:tcBorders>
            <w:shd w:val="clear" w:color="auto" w:fill="FFFF00"/>
            <w:noWrap/>
            <w:hideMark/>
          </w:tcPr>
          <w:p w:rsidR="00200C0B" w:rsidRPr="00D55DC6" w:rsidRDefault="00200C0B" w:rsidP="000725AB">
            <w:pPr>
              <w:spacing w:line="320" w:lineRule="exact"/>
              <w:jc w:val="right"/>
              <w:rPr>
                <w:rFonts w:eastAsia="標楷體"/>
                <w:sz w:val="20"/>
              </w:rPr>
            </w:pPr>
            <w:r w:rsidRPr="00D55DC6">
              <w:rPr>
                <w:rFonts w:eastAsia="標楷體"/>
                <w:sz w:val="20"/>
              </w:rPr>
              <w:t>17.98%</w:t>
            </w:r>
          </w:p>
        </w:tc>
        <w:tc>
          <w:tcPr>
            <w:tcW w:w="709" w:type="dxa"/>
            <w:tcBorders>
              <w:top w:val="single" w:sz="4" w:space="0" w:color="auto"/>
              <w:left w:val="single" w:sz="4" w:space="0" w:color="auto"/>
              <w:bottom w:val="single" w:sz="4" w:space="0" w:color="auto"/>
              <w:right w:val="single" w:sz="4" w:space="0" w:color="auto"/>
            </w:tcBorders>
            <w:shd w:val="clear" w:color="auto" w:fill="FFFF00"/>
            <w:noWrap/>
            <w:hideMark/>
          </w:tcPr>
          <w:p w:rsidR="00200C0B" w:rsidRPr="00D55DC6" w:rsidRDefault="00200C0B" w:rsidP="000725AB">
            <w:pPr>
              <w:spacing w:line="320" w:lineRule="exact"/>
              <w:jc w:val="right"/>
              <w:rPr>
                <w:rFonts w:eastAsia="標楷體"/>
                <w:sz w:val="20"/>
              </w:rPr>
            </w:pPr>
            <w:r w:rsidRPr="00D55DC6">
              <w:rPr>
                <w:rFonts w:eastAsia="標楷體"/>
                <w:sz w:val="20"/>
              </w:rPr>
              <w:t>20.21%</w:t>
            </w:r>
          </w:p>
        </w:tc>
        <w:tc>
          <w:tcPr>
            <w:tcW w:w="709" w:type="dxa"/>
            <w:tcBorders>
              <w:top w:val="single" w:sz="4" w:space="0" w:color="auto"/>
              <w:left w:val="single" w:sz="4" w:space="0" w:color="auto"/>
              <w:bottom w:val="single" w:sz="4" w:space="0" w:color="auto"/>
              <w:right w:val="single" w:sz="4" w:space="0" w:color="auto"/>
            </w:tcBorders>
            <w:shd w:val="clear" w:color="auto" w:fill="FFFF00"/>
            <w:noWrap/>
            <w:hideMark/>
          </w:tcPr>
          <w:p w:rsidR="00200C0B" w:rsidRPr="00D55DC6" w:rsidRDefault="00200C0B" w:rsidP="000725AB">
            <w:pPr>
              <w:spacing w:line="320" w:lineRule="exact"/>
              <w:jc w:val="right"/>
              <w:rPr>
                <w:rFonts w:eastAsia="標楷體"/>
                <w:sz w:val="20"/>
              </w:rPr>
            </w:pPr>
            <w:r w:rsidRPr="00D55DC6">
              <w:rPr>
                <w:rFonts w:eastAsia="標楷體"/>
                <w:sz w:val="20"/>
              </w:rPr>
              <w:t>24.15%</w:t>
            </w:r>
          </w:p>
        </w:tc>
        <w:tc>
          <w:tcPr>
            <w:tcW w:w="708" w:type="dxa"/>
            <w:tcBorders>
              <w:top w:val="single" w:sz="4" w:space="0" w:color="auto"/>
              <w:left w:val="single" w:sz="4" w:space="0" w:color="auto"/>
              <w:bottom w:val="single" w:sz="4" w:space="0" w:color="auto"/>
              <w:right w:val="single" w:sz="4" w:space="0" w:color="auto"/>
            </w:tcBorders>
            <w:shd w:val="clear" w:color="auto" w:fill="FFFF00"/>
            <w:noWrap/>
            <w:hideMark/>
          </w:tcPr>
          <w:p w:rsidR="00200C0B" w:rsidRPr="00D55DC6" w:rsidRDefault="00200C0B" w:rsidP="000725AB">
            <w:pPr>
              <w:spacing w:line="320" w:lineRule="exact"/>
              <w:jc w:val="right"/>
              <w:rPr>
                <w:rFonts w:eastAsia="標楷體"/>
                <w:sz w:val="20"/>
              </w:rPr>
            </w:pPr>
            <w:r w:rsidRPr="00D55DC6">
              <w:rPr>
                <w:rFonts w:eastAsia="標楷體"/>
                <w:sz w:val="20"/>
              </w:rPr>
              <w:t>29.82%</w:t>
            </w:r>
          </w:p>
        </w:tc>
        <w:tc>
          <w:tcPr>
            <w:tcW w:w="709" w:type="dxa"/>
            <w:tcBorders>
              <w:top w:val="single" w:sz="4" w:space="0" w:color="auto"/>
              <w:left w:val="single" w:sz="4" w:space="0" w:color="auto"/>
              <w:bottom w:val="single" w:sz="4" w:space="0" w:color="auto"/>
              <w:right w:val="single" w:sz="4" w:space="0" w:color="auto"/>
            </w:tcBorders>
            <w:shd w:val="clear" w:color="auto" w:fill="FFFF00"/>
            <w:noWrap/>
            <w:hideMark/>
          </w:tcPr>
          <w:p w:rsidR="00200C0B" w:rsidRPr="00D55DC6" w:rsidRDefault="00200C0B" w:rsidP="000725AB">
            <w:pPr>
              <w:spacing w:line="320" w:lineRule="exact"/>
              <w:jc w:val="right"/>
              <w:rPr>
                <w:rFonts w:eastAsia="標楷體"/>
                <w:sz w:val="20"/>
              </w:rPr>
            </w:pPr>
            <w:r w:rsidRPr="00D55DC6">
              <w:rPr>
                <w:rFonts w:eastAsia="標楷體"/>
                <w:sz w:val="20"/>
              </w:rPr>
              <w:t>29.82%</w:t>
            </w:r>
          </w:p>
        </w:tc>
        <w:tc>
          <w:tcPr>
            <w:tcW w:w="709" w:type="dxa"/>
            <w:tcBorders>
              <w:top w:val="single" w:sz="4" w:space="0" w:color="auto"/>
              <w:left w:val="single" w:sz="4" w:space="0" w:color="auto"/>
              <w:bottom w:val="single" w:sz="4" w:space="0" w:color="auto"/>
              <w:right w:val="single" w:sz="4" w:space="0" w:color="auto"/>
            </w:tcBorders>
            <w:shd w:val="clear" w:color="auto" w:fill="FFFF00"/>
            <w:noWrap/>
            <w:hideMark/>
          </w:tcPr>
          <w:p w:rsidR="00200C0B" w:rsidRPr="00D55DC6" w:rsidRDefault="00200C0B" w:rsidP="000725AB">
            <w:pPr>
              <w:spacing w:line="320" w:lineRule="exact"/>
              <w:jc w:val="right"/>
              <w:rPr>
                <w:rFonts w:eastAsia="標楷體"/>
                <w:sz w:val="20"/>
              </w:rPr>
            </w:pPr>
            <w:r w:rsidRPr="00D55DC6">
              <w:rPr>
                <w:rFonts w:eastAsia="標楷體"/>
                <w:sz w:val="20"/>
              </w:rPr>
              <w:t>29.82%</w:t>
            </w:r>
          </w:p>
        </w:tc>
        <w:tc>
          <w:tcPr>
            <w:tcW w:w="708" w:type="dxa"/>
            <w:tcBorders>
              <w:top w:val="single" w:sz="4" w:space="0" w:color="auto"/>
              <w:left w:val="single" w:sz="4" w:space="0" w:color="auto"/>
              <w:bottom w:val="single" w:sz="4" w:space="0" w:color="auto"/>
              <w:right w:val="single" w:sz="4" w:space="0" w:color="auto"/>
            </w:tcBorders>
            <w:shd w:val="clear" w:color="auto" w:fill="FFFF00"/>
            <w:noWrap/>
            <w:hideMark/>
          </w:tcPr>
          <w:p w:rsidR="00200C0B" w:rsidRPr="00D55DC6" w:rsidRDefault="00200C0B" w:rsidP="000725AB">
            <w:pPr>
              <w:spacing w:line="320" w:lineRule="exact"/>
              <w:jc w:val="right"/>
              <w:rPr>
                <w:rFonts w:eastAsia="標楷體"/>
                <w:sz w:val="20"/>
              </w:rPr>
            </w:pPr>
            <w:r w:rsidRPr="00D55DC6">
              <w:rPr>
                <w:rFonts w:eastAsia="標楷體"/>
                <w:sz w:val="20"/>
              </w:rPr>
              <w:t>29.82%</w:t>
            </w:r>
          </w:p>
        </w:tc>
        <w:tc>
          <w:tcPr>
            <w:tcW w:w="709" w:type="dxa"/>
            <w:tcBorders>
              <w:top w:val="single" w:sz="4" w:space="0" w:color="auto"/>
              <w:left w:val="single" w:sz="4" w:space="0" w:color="auto"/>
              <w:bottom w:val="single" w:sz="4" w:space="0" w:color="auto"/>
              <w:right w:val="single" w:sz="4" w:space="0" w:color="auto"/>
            </w:tcBorders>
            <w:shd w:val="clear" w:color="auto" w:fill="FFFF00"/>
            <w:hideMark/>
          </w:tcPr>
          <w:p w:rsidR="00200C0B" w:rsidRPr="00D55DC6" w:rsidRDefault="00200C0B" w:rsidP="000725AB">
            <w:pPr>
              <w:spacing w:line="320" w:lineRule="exact"/>
              <w:jc w:val="right"/>
              <w:rPr>
                <w:rFonts w:eastAsia="標楷體"/>
                <w:sz w:val="20"/>
              </w:rPr>
            </w:pPr>
            <w:r w:rsidRPr="00D55DC6">
              <w:rPr>
                <w:rFonts w:eastAsia="標楷體"/>
                <w:sz w:val="20"/>
              </w:rPr>
              <w:t>29.82%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00C0B" w:rsidRPr="00D55DC6" w:rsidRDefault="00200C0B" w:rsidP="000725AB">
            <w:pPr>
              <w:widowControl/>
              <w:spacing w:line="320" w:lineRule="exact"/>
              <w:rPr>
                <w:kern w:val="0"/>
                <w:sz w:val="20"/>
                <w:szCs w:val="20"/>
              </w:rPr>
            </w:pPr>
          </w:p>
        </w:tc>
      </w:tr>
      <w:tr w:rsidR="001D0350" w:rsidRPr="00D55DC6" w:rsidTr="00200C0B">
        <w:trPr>
          <w:trHeight w:val="345"/>
        </w:trPr>
        <w:tc>
          <w:tcPr>
            <w:tcW w:w="1575" w:type="dxa"/>
            <w:tcBorders>
              <w:top w:val="nil"/>
              <w:left w:val="single" w:sz="8" w:space="0" w:color="auto"/>
              <w:bottom w:val="single" w:sz="8" w:space="0" w:color="auto"/>
              <w:right w:val="single" w:sz="4" w:space="0" w:color="auto"/>
            </w:tcBorders>
            <w:noWrap/>
            <w:vAlign w:val="center"/>
            <w:hideMark/>
          </w:tcPr>
          <w:p w:rsidR="00200C0B" w:rsidRPr="00D55DC6" w:rsidRDefault="00200C0B" w:rsidP="000725AB">
            <w:pPr>
              <w:widowControl/>
              <w:spacing w:line="320" w:lineRule="exact"/>
              <w:rPr>
                <w:kern w:val="0"/>
                <w:sz w:val="20"/>
                <w:szCs w:val="20"/>
              </w:rPr>
            </w:pPr>
          </w:p>
        </w:tc>
        <w:tc>
          <w:tcPr>
            <w:tcW w:w="2126" w:type="dxa"/>
            <w:gridSpan w:val="3"/>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spacing w:line="320" w:lineRule="exact"/>
              <w:jc w:val="center"/>
              <w:rPr>
                <w:b/>
                <w:bCs/>
                <w:sz w:val="18"/>
                <w:szCs w:val="18"/>
              </w:rPr>
            </w:pPr>
            <w:r w:rsidRPr="00D55DC6">
              <w:rPr>
                <w:b/>
                <w:bCs/>
                <w:sz w:val="18"/>
                <w:szCs w:val="18"/>
              </w:rPr>
              <w:t>中期</w:t>
            </w:r>
          </w:p>
        </w:tc>
        <w:tc>
          <w:tcPr>
            <w:tcW w:w="4961" w:type="dxa"/>
            <w:gridSpan w:val="7"/>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spacing w:line="320" w:lineRule="exact"/>
              <w:jc w:val="center"/>
              <w:rPr>
                <w:b/>
                <w:bCs/>
                <w:sz w:val="18"/>
                <w:szCs w:val="18"/>
              </w:rPr>
            </w:pPr>
            <w:r w:rsidRPr="00D55DC6">
              <w:rPr>
                <w:b/>
                <w:bCs/>
                <w:sz w:val="18"/>
                <w:szCs w:val="18"/>
              </w:rPr>
              <w:t>長期</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widowControl/>
              <w:spacing w:line="320" w:lineRule="exact"/>
              <w:rPr>
                <w:kern w:val="0"/>
                <w:sz w:val="20"/>
                <w:szCs w:val="20"/>
              </w:rPr>
            </w:pPr>
          </w:p>
        </w:tc>
      </w:tr>
      <w:tr w:rsidR="001D0350" w:rsidRPr="00D55DC6" w:rsidTr="00200C0B">
        <w:trPr>
          <w:trHeight w:val="345"/>
        </w:trPr>
        <w:tc>
          <w:tcPr>
            <w:tcW w:w="1575" w:type="dxa"/>
            <w:tcBorders>
              <w:top w:val="nil"/>
              <w:left w:val="single" w:sz="8" w:space="0" w:color="auto"/>
              <w:bottom w:val="single" w:sz="8" w:space="0" w:color="auto"/>
              <w:right w:val="single" w:sz="4" w:space="0" w:color="auto"/>
            </w:tcBorders>
            <w:noWrap/>
            <w:vAlign w:val="center"/>
            <w:hideMark/>
          </w:tcPr>
          <w:p w:rsidR="00200C0B" w:rsidRPr="00D55DC6" w:rsidRDefault="00200C0B" w:rsidP="000725AB">
            <w:pPr>
              <w:widowControl/>
              <w:spacing w:line="320" w:lineRule="exact"/>
              <w:rPr>
                <w:kern w:val="0"/>
                <w:sz w:val="20"/>
                <w:szCs w:val="20"/>
              </w:rPr>
            </w:pP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spacing w:line="320" w:lineRule="exact"/>
              <w:jc w:val="center"/>
              <w:rPr>
                <w:b/>
                <w:bCs/>
                <w:sz w:val="18"/>
                <w:szCs w:val="18"/>
              </w:rPr>
            </w:pPr>
            <w:r w:rsidRPr="00D55DC6">
              <w:rPr>
                <w:b/>
                <w:bCs/>
                <w:sz w:val="18"/>
                <w:szCs w:val="18"/>
              </w:rPr>
              <w:t>113</w:t>
            </w:r>
            <w:r w:rsidRPr="00D55DC6">
              <w:rPr>
                <w:rFonts w:eastAsia="標楷體"/>
                <w:b/>
                <w:bCs/>
                <w:sz w:val="18"/>
                <w:szCs w:val="18"/>
              </w:rPr>
              <w:t>年</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spacing w:line="320" w:lineRule="exact"/>
              <w:jc w:val="center"/>
              <w:rPr>
                <w:b/>
                <w:bCs/>
                <w:sz w:val="18"/>
                <w:szCs w:val="18"/>
              </w:rPr>
            </w:pPr>
            <w:r w:rsidRPr="00D55DC6">
              <w:rPr>
                <w:b/>
                <w:bCs/>
                <w:sz w:val="18"/>
                <w:szCs w:val="18"/>
              </w:rPr>
              <w:t>114</w:t>
            </w:r>
            <w:r w:rsidRPr="00D55DC6">
              <w:rPr>
                <w:rFonts w:eastAsia="標楷體"/>
                <w:b/>
                <w:bCs/>
                <w:sz w:val="18"/>
                <w:szCs w:val="18"/>
              </w:rPr>
              <w:t>年</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spacing w:line="320" w:lineRule="exact"/>
              <w:jc w:val="center"/>
              <w:rPr>
                <w:b/>
                <w:bCs/>
                <w:sz w:val="18"/>
                <w:szCs w:val="18"/>
              </w:rPr>
            </w:pPr>
            <w:r w:rsidRPr="00D55DC6">
              <w:rPr>
                <w:b/>
                <w:bCs/>
                <w:sz w:val="18"/>
                <w:szCs w:val="18"/>
              </w:rPr>
              <w:t>115</w:t>
            </w:r>
            <w:r w:rsidRPr="00D55DC6">
              <w:rPr>
                <w:rFonts w:eastAsia="標楷體"/>
                <w:b/>
                <w:bCs/>
                <w:sz w:val="18"/>
                <w:szCs w:val="18"/>
              </w:rPr>
              <w:t>年</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spacing w:line="320" w:lineRule="exact"/>
              <w:jc w:val="center"/>
              <w:rPr>
                <w:b/>
                <w:bCs/>
                <w:sz w:val="18"/>
                <w:szCs w:val="18"/>
              </w:rPr>
            </w:pPr>
            <w:r w:rsidRPr="00D55DC6">
              <w:rPr>
                <w:b/>
                <w:bCs/>
                <w:sz w:val="18"/>
                <w:szCs w:val="18"/>
              </w:rPr>
              <w:t>116</w:t>
            </w:r>
            <w:r w:rsidRPr="00D55DC6">
              <w:rPr>
                <w:rFonts w:eastAsia="標楷體"/>
                <w:b/>
                <w:bCs/>
                <w:sz w:val="18"/>
                <w:szCs w:val="18"/>
              </w:rPr>
              <w:t>年</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spacing w:line="320" w:lineRule="exact"/>
              <w:jc w:val="center"/>
              <w:rPr>
                <w:b/>
                <w:bCs/>
                <w:sz w:val="18"/>
                <w:szCs w:val="18"/>
              </w:rPr>
            </w:pPr>
            <w:r w:rsidRPr="00D55DC6">
              <w:rPr>
                <w:b/>
                <w:bCs/>
                <w:sz w:val="18"/>
                <w:szCs w:val="18"/>
              </w:rPr>
              <w:t>117</w:t>
            </w:r>
            <w:r w:rsidRPr="00D55DC6">
              <w:rPr>
                <w:rFonts w:eastAsia="標楷體"/>
                <w:b/>
                <w:bCs/>
                <w:sz w:val="18"/>
                <w:szCs w:val="18"/>
              </w:rPr>
              <w:t>年</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spacing w:line="320" w:lineRule="exact"/>
              <w:jc w:val="center"/>
              <w:rPr>
                <w:b/>
                <w:bCs/>
                <w:sz w:val="18"/>
                <w:szCs w:val="18"/>
              </w:rPr>
            </w:pPr>
            <w:r w:rsidRPr="00D55DC6">
              <w:rPr>
                <w:b/>
                <w:bCs/>
                <w:sz w:val="18"/>
                <w:szCs w:val="18"/>
              </w:rPr>
              <w:t>118</w:t>
            </w:r>
            <w:r w:rsidRPr="00D55DC6">
              <w:rPr>
                <w:rFonts w:eastAsia="標楷體"/>
                <w:b/>
                <w:bCs/>
                <w:sz w:val="18"/>
                <w:szCs w:val="18"/>
              </w:rPr>
              <w:t>年</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spacing w:line="320" w:lineRule="exact"/>
              <w:jc w:val="center"/>
              <w:rPr>
                <w:b/>
                <w:bCs/>
                <w:sz w:val="18"/>
                <w:szCs w:val="18"/>
              </w:rPr>
            </w:pPr>
            <w:r w:rsidRPr="00D55DC6">
              <w:rPr>
                <w:b/>
                <w:bCs/>
                <w:sz w:val="18"/>
                <w:szCs w:val="18"/>
              </w:rPr>
              <w:t>119</w:t>
            </w:r>
            <w:r w:rsidRPr="00D55DC6">
              <w:rPr>
                <w:rFonts w:eastAsia="標楷體"/>
                <w:b/>
                <w:bCs/>
                <w:sz w:val="18"/>
                <w:szCs w:val="18"/>
              </w:rPr>
              <w:t>年</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spacing w:line="320" w:lineRule="exact"/>
              <w:jc w:val="center"/>
              <w:rPr>
                <w:b/>
                <w:bCs/>
                <w:sz w:val="18"/>
                <w:szCs w:val="18"/>
              </w:rPr>
            </w:pPr>
            <w:r w:rsidRPr="00D55DC6">
              <w:rPr>
                <w:b/>
                <w:bCs/>
                <w:sz w:val="18"/>
                <w:szCs w:val="18"/>
              </w:rPr>
              <w:t>120</w:t>
            </w:r>
            <w:r w:rsidRPr="00D55DC6">
              <w:rPr>
                <w:rFonts w:eastAsia="標楷體"/>
                <w:b/>
                <w:bCs/>
                <w:sz w:val="18"/>
                <w:szCs w:val="18"/>
              </w:rPr>
              <w:t>年</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spacing w:line="320" w:lineRule="exact"/>
              <w:jc w:val="center"/>
              <w:rPr>
                <w:b/>
                <w:bCs/>
                <w:sz w:val="18"/>
                <w:szCs w:val="18"/>
              </w:rPr>
            </w:pPr>
            <w:r w:rsidRPr="00D55DC6">
              <w:rPr>
                <w:b/>
                <w:bCs/>
                <w:sz w:val="18"/>
                <w:szCs w:val="18"/>
              </w:rPr>
              <w:t>121</w:t>
            </w:r>
            <w:r w:rsidRPr="00D55DC6">
              <w:rPr>
                <w:rFonts w:eastAsia="標楷體"/>
                <w:b/>
                <w:bCs/>
                <w:sz w:val="18"/>
                <w:szCs w:val="18"/>
              </w:rPr>
              <w:t>年</w:t>
            </w:r>
          </w:p>
        </w:tc>
        <w:tc>
          <w:tcPr>
            <w:tcW w:w="709" w:type="dxa"/>
            <w:tcBorders>
              <w:top w:val="single" w:sz="4" w:space="0" w:color="auto"/>
              <w:left w:val="single" w:sz="4" w:space="0" w:color="auto"/>
              <w:bottom w:val="single" w:sz="4" w:space="0" w:color="auto"/>
              <w:right w:val="single" w:sz="4" w:space="0" w:color="auto"/>
            </w:tcBorders>
            <w:vAlign w:val="center"/>
            <w:hideMark/>
          </w:tcPr>
          <w:p w:rsidR="00200C0B" w:rsidRPr="00D55DC6" w:rsidRDefault="00200C0B" w:rsidP="000725AB">
            <w:pPr>
              <w:spacing w:line="320" w:lineRule="exact"/>
              <w:jc w:val="center"/>
              <w:rPr>
                <w:b/>
                <w:bCs/>
                <w:sz w:val="18"/>
                <w:szCs w:val="18"/>
              </w:rPr>
            </w:pPr>
            <w:r w:rsidRPr="00D55DC6">
              <w:rPr>
                <w:b/>
                <w:bCs/>
                <w:sz w:val="18"/>
                <w:szCs w:val="18"/>
              </w:rPr>
              <w:t>122</w:t>
            </w:r>
            <w:r w:rsidRPr="00D55DC6">
              <w:rPr>
                <w:rFonts w:eastAsia="標楷體"/>
                <w:b/>
                <w:bCs/>
                <w:sz w:val="18"/>
                <w:szCs w:val="18"/>
              </w:rPr>
              <w:t>年</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200C0B" w:rsidRPr="00D55DC6" w:rsidRDefault="00200C0B" w:rsidP="000725AB">
            <w:pPr>
              <w:widowControl/>
              <w:spacing w:line="320" w:lineRule="exact"/>
              <w:jc w:val="center"/>
              <w:rPr>
                <w:b/>
                <w:bCs/>
                <w:kern w:val="0"/>
                <w:sz w:val="18"/>
                <w:szCs w:val="18"/>
              </w:rPr>
            </w:pPr>
            <w:r w:rsidRPr="00D55DC6">
              <w:rPr>
                <w:b/>
                <w:bCs/>
                <w:kern w:val="0"/>
                <w:sz w:val="18"/>
                <w:szCs w:val="18"/>
              </w:rPr>
              <w:t>合計</w:t>
            </w:r>
          </w:p>
        </w:tc>
      </w:tr>
      <w:tr w:rsidR="001D0350" w:rsidRPr="00D55DC6" w:rsidTr="00200C0B">
        <w:trPr>
          <w:trHeight w:val="345"/>
        </w:trPr>
        <w:tc>
          <w:tcPr>
            <w:tcW w:w="1575" w:type="dxa"/>
            <w:tcBorders>
              <w:top w:val="nil"/>
              <w:left w:val="single" w:sz="8" w:space="0" w:color="auto"/>
              <w:bottom w:val="single" w:sz="8" w:space="0" w:color="auto"/>
              <w:right w:val="single" w:sz="4" w:space="0" w:color="auto"/>
            </w:tcBorders>
            <w:noWrap/>
            <w:vAlign w:val="center"/>
            <w:hideMark/>
          </w:tcPr>
          <w:p w:rsidR="00200C0B" w:rsidRPr="00D55DC6" w:rsidRDefault="00200C0B" w:rsidP="000725AB">
            <w:pPr>
              <w:widowControl/>
              <w:spacing w:line="320" w:lineRule="exact"/>
              <w:jc w:val="both"/>
              <w:rPr>
                <w:rFonts w:eastAsia="標楷體"/>
                <w:kern w:val="0"/>
                <w:sz w:val="20"/>
                <w:szCs w:val="20"/>
              </w:rPr>
            </w:pPr>
            <w:r w:rsidRPr="00D55DC6">
              <w:rPr>
                <w:rFonts w:eastAsia="標楷體"/>
                <w:kern w:val="0"/>
                <w:sz w:val="20"/>
                <w:szCs w:val="20"/>
              </w:rPr>
              <w:t>計畫投資總經費</w:t>
            </w:r>
          </w:p>
        </w:tc>
        <w:tc>
          <w:tcPr>
            <w:tcW w:w="708"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1.8</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1.8</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1.8</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1.8</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1.8</w:t>
            </w:r>
          </w:p>
        </w:tc>
        <w:tc>
          <w:tcPr>
            <w:tcW w:w="708"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1.8</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1.8</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1.8</w:t>
            </w:r>
          </w:p>
        </w:tc>
        <w:tc>
          <w:tcPr>
            <w:tcW w:w="708"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1.8</w:t>
            </w:r>
          </w:p>
        </w:tc>
        <w:tc>
          <w:tcPr>
            <w:tcW w:w="709" w:type="dxa"/>
            <w:tcBorders>
              <w:top w:val="single" w:sz="4" w:space="0" w:color="auto"/>
              <w:left w:val="single" w:sz="4" w:space="0" w:color="auto"/>
              <w:bottom w:val="single" w:sz="4" w:space="0" w:color="auto"/>
              <w:right w:val="single" w:sz="4" w:space="0" w:color="auto"/>
            </w:tcBorders>
            <w:hideMark/>
          </w:tcPr>
          <w:p w:rsidR="00200C0B" w:rsidRPr="00D55DC6" w:rsidRDefault="00200C0B" w:rsidP="000725AB">
            <w:pPr>
              <w:spacing w:line="320" w:lineRule="exact"/>
              <w:jc w:val="right"/>
              <w:rPr>
                <w:rFonts w:eastAsia="標楷體"/>
                <w:sz w:val="20"/>
              </w:rPr>
            </w:pPr>
            <w:r w:rsidRPr="00D55DC6">
              <w:rPr>
                <w:rFonts w:eastAsia="標楷體"/>
                <w:sz w:val="20"/>
              </w:rPr>
              <w:t>1.8</w:t>
            </w:r>
          </w:p>
        </w:tc>
        <w:tc>
          <w:tcPr>
            <w:tcW w:w="850"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36.3230</w:t>
            </w:r>
          </w:p>
        </w:tc>
      </w:tr>
      <w:tr w:rsidR="001D0350" w:rsidRPr="00D55DC6" w:rsidTr="00200C0B">
        <w:trPr>
          <w:trHeight w:val="345"/>
        </w:trPr>
        <w:tc>
          <w:tcPr>
            <w:tcW w:w="1575" w:type="dxa"/>
            <w:tcBorders>
              <w:top w:val="nil"/>
              <w:left w:val="single" w:sz="8" w:space="0" w:color="auto"/>
              <w:bottom w:val="single" w:sz="8" w:space="0" w:color="auto"/>
              <w:right w:val="single" w:sz="4" w:space="0" w:color="auto"/>
            </w:tcBorders>
            <w:noWrap/>
            <w:vAlign w:val="center"/>
            <w:hideMark/>
          </w:tcPr>
          <w:p w:rsidR="00200C0B" w:rsidRPr="00D55DC6" w:rsidRDefault="00200C0B" w:rsidP="000725AB">
            <w:pPr>
              <w:widowControl/>
              <w:spacing w:line="320" w:lineRule="exact"/>
              <w:jc w:val="both"/>
              <w:rPr>
                <w:rFonts w:eastAsia="標楷體"/>
                <w:kern w:val="0"/>
                <w:sz w:val="20"/>
                <w:szCs w:val="20"/>
              </w:rPr>
            </w:pPr>
            <w:r w:rsidRPr="00D55DC6">
              <w:rPr>
                <w:rFonts w:eastAsia="標楷體"/>
                <w:kern w:val="0"/>
                <w:sz w:val="20"/>
                <w:szCs w:val="20"/>
              </w:rPr>
              <w:t>計畫收益規劃</w:t>
            </w:r>
          </w:p>
        </w:tc>
        <w:tc>
          <w:tcPr>
            <w:tcW w:w="708"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0.5782</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0.5869</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0.5957</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0.6046</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0.6137</w:t>
            </w:r>
          </w:p>
        </w:tc>
        <w:tc>
          <w:tcPr>
            <w:tcW w:w="708"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0.6229</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0.6322</w:t>
            </w:r>
          </w:p>
        </w:tc>
        <w:tc>
          <w:tcPr>
            <w:tcW w:w="709"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0.6417</w:t>
            </w:r>
          </w:p>
        </w:tc>
        <w:tc>
          <w:tcPr>
            <w:tcW w:w="708"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0.6513</w:t>
            </w:r>
          </w:p>
        </w:tc>
        <w:tc>
          <w:tcPr>
            <w:tcW w:w="709" w:type="dxa"/>
            <w:tcBorders>
              <w:top w:val="single" w:sz="4" w:space="0" w:color="auto"/>
              <w:left w:val="single" w:sz="4" w:space="0" w:color="auto"/>
              <w:bottom w:val="single" w:sz="4" w:space="0" w:color="auto"/>
              <w:right w:val="single" w:sz="4" w:space="0" w:color="auto"/>
            </w:tcBorders>
            <w:hideMark/>
          </w:tcPr>
          <w:p w:rsidR="00200C0B" w:rsidRPr="00D55DC6" w:rsidRDefault="00200C0B" w:rsidP="000725AB">
            <w:pPr>
              <w:spacing w:line="320" w:lineRule="exact"/>
              <w:jc w:val="right"/>
              <w:rPr>
                <w:rFonts w:eastAsia="標楷體"/>
                <w:sz w:val="20"/>
              </w:rPr>
            </w:pPr>
            <w:r w:rsidRPr="00D55DC6">
              <w:rPr>
                <w:rFonts w:eastAsia="標楷體"/>
                <w:sz w:val="20"/>
              </w:rPr>
              <w:t>0.6611</w:t>
            </w:r>
          </w:p>
        </w:tc>
        <w:tc>
          <w:tcPr>
            <w:tcW w:w="850" w:type="dxa"/>
            <w:tcBorders>
              <w:top w:val="single" w:sz="4" w:space="0" w:color="auto"/>
              <w:left w:val="single" w:sz="4" w:space="0" w:color="auto"/>
              <w:bottom w:val="single" w:sz="4" w:space="0" w:color="auto"/>
              <w:right w:val="single" w:sz="4" w:space="0" w:color="auto"/>
            </w:tcBorders>
            <w:noWrap/>
            <w:hideMark/>
          </w:tcPr>
          <w:p w:rsidR="00200C0B" w:rsidRPr="00D55DC6" w:rsidRDefault="00200C0B" w:rsidP="000725AB">
            <w:pPr>
              <w:spacing w:line="320" w:lineRule="exact"/>
              <w:jc w:val="right"/>
              <w:rPr>
                <w:rFonts w:eastAsia="標楷體"/>
                <w:sz w:val="20"/>
              </w:rPr>
            </w:pPr>
            <w:r w:rsidRPr="00D55DC6">
              <w:rPr>
                <w:rFonts w:eastAsia="標楷體"/>
                <w:sz w:val="20"/>
              </w:rPr>
              <w:t>10.4450</w:t>
            </w:r>
          </w:p>
        </w:tc>
      </w:tr>
      <w:tr w:rsidR="001D0350" w:rsidRPr="00D55DC6" w:rsidTr="00200C0B">
        <w:trPr>
          <w:trHeight w:val="345"/>
        </w:trPr>
        <w:tc>
          <w:tcPr>
            <w:tcW w:w="1575" w:type="dxa"/>
            <w:tcBorders>
              <w:top w:val="nil"/>
              <w:left w:val="single" w:sz="8" w:space="0" w:color="auto"/>
              <w:bottom w:val="single" w:sz="8" w:space="0" w:color="auto"/>
              <w:right w:val="single" w:sz="4" w:space="0" w:color="auto"/>
            </w:tcBorders>
            <w:shd w:val="clear" w:color="auto" w:fill="FFFF00"/>
            <w:noWrap/>
            <w:vAlign w:val="center"/>
            <w:hideMark/>
          </w:tcPr>
          <w:p w:rsidR="00200C0B" w:rsidRPr="00D55DC6" w:rsidRDefault="000725AB" w:rsidP="000725AB">
            <w:pPr>
              <w:widowControl/>
              <w:spacing w:line="320" w:lineRule="exact"/>
              <w:jc w:val="center"/>
              <w:rPr>
                <w:rFonts w:eastAsia="標楷體"/>
                <w:kern w:val="0"/>
                <w:sz w:val="20"/>
                <w:szCs w:val="20"/>
              </w:rPr>
            </w:pPr>
            <w:r w:rsidRPr="00D55DC6">
              <w:rPr>
                <w:rFonts w:eastAsia="標楷體"/>
                <w:kern w:val="0"/>
                <w:sz w:val="20"/>
                <w:szCs w:val="20"/>
              </w:rPr>
              <w:t>收支比</w:t>
            </w:r>
          </w:p>
        </w:tc>
        <w:tc>
          <w:tcPr>
            <w:tcW w:w="708" w:type="dxa"/>
            <w:tcBorders>
              <w:top w:val="single" w:sz="4" w:space="0" w:color="auto"/>
              <w:left w:val="single" w:sz="4" w:space="0" w:color="auto"/>
              <w:bottom w:val="single" w:sz="4" w:space="0" w:color="auto"/>
              <w:right w:val="single" w:sz="4" w:space="0" w:color="auto"/>
            </w:tcBorders>
            <w:shd w:val="clear" w:color="auto" w:fill="FFFF00"/>
            <w:noWrap/>
            <w:hideMark/>
          </w:tcPr>
          <w:p w:rsidR="00200C0B" w:rsidRPr="00D55DC6" w:rsidRDefault="00200C0B" w:rsidP="000725AB">
            <w:pPr>
              <w:spacing w:line="320" w:lineRule="exact"/>
              <w:jc w:val="right"/>
              <w:rPr>
                <w:rFonts w:eastAsia="標楷體"/>
                <w:sz w:val="20"/>
              </w:rPr>
            </w:pPr>
            <w:r w:rsidRPr="00D55DC6">
              <w:rPr>
                <w:rFonts w:eastAsia="標楷體"/>
                <w:sz w:val="20"/>
              </w:rPr>
              <w:t>29.82%</w:t>
            </w:r>
          </w:p>
        </w:tc>
        <w:tc>
          <w:tcPr>
            <w:tcW w:w="709" w:type="dxa"/>
            <w:tcBorders>
              <w:top w:val="single" w:sz="4" w:space="0" w:color="auto"/>
              <w:left w:val="single" w:sz="4" w:space="0" w:color="auto"/>
              <w:bottom w:val="single" w:sz="4" w:space="0" w:color="auto"/>
              <w:right w:val="single" w:sz="4" w:space="0" w:color="auto"/>
            </w:tcBorders>
            <w:shd w:val="clear" w:color="auto" w:fill="FFFF00"/>
            <w:noWrap/>
            <w:hideMark/>
          </w:tcPr>
          <w:p w:rsidR="00200C0B" w:rsidRPr="00D55DC6" w:rsidRDefault="00200C0B" w:rsidP="000725AB">
            <w:pPr>
              <w:spacing w:line="320" w:lineRule="exact"/>
              <w:jc w:val="right"/>
              <w:rPr>
                <w:rFonts w:eastAsia="標楷體"/>
                <w:sz w:val="20"/>
              </w:rPr>
            </w:pPr>
            <w:r w:rsidRPr="00D55DC6">
              <w:rPr>
                <w:rFonts w:eastAsia="標楷體"/>
                <w:sz w:val="20"/>
              </w:rPr>
              <w:t>29.82%</w:t>
            </w:r>
          </w:p>
        </w:tc>
        <w:tc>
          <w:tcPr>
            <w:tcW w:w="709" w:type="dxa"/>
            <w:tcBorders>
              <w:top w:val="single" w:sz="4" w:space="0" w:color="auto"/>
              <w:left w:val="single" w:sz="4" w:space="0" w:color="auto"/>
              <w:bottom w:val="single" w:sz="4" w:space="0" w:color="auto"/>
              <w:right w:val="single" w:sz="4" w:space="0" w:color="auto"/>
            </w:tcBorders>
            <w:shd w:val="clear" w:color="auto" w:fill="FFFF00"/>
            <w:noWrap/>
            <w:hideMark/>
          </w:tcPr>
          <w:p w:rsidR="00200C0B" w:rsidRPr="00D55DC6" w:rsidRDefault="00200C0B" w:rsidP="000725AB">
            <w:pPr>
              <w:spacing w:line="320" w:lineRule="exact"/>
              <w:jc w:val="right"/>
              <w:rPr>
                <w:rFonts w:eastAsia="標楷體"/>
                <w:sz w:val="20"/>
              </w:rPr>
            </w:pPr>
            <w:r w:rsidRPr="00D55DC6">
              <w:rPr>
                <w:rFonts w:eastAsia="標楷體"/>
                <w:sz w:val="20"/>
              </w:rPr>
              <w:t>29.82%</w:t>
            </w:r>
          </w:p>
        </w:tc>
        <w:tc>
          <w:tcPr>
            <w:tcW w:w="709" w:type="dxa"/>
            <w:tcBorders>
              <w:top w:val="single" w:sz="4" w:space="0" w:color="auto"/>
              <w:left w:val="single" w:sz="4" w:space="0" w:color="auto"/>
              <w:bottom w:val="single" w:sz="4" w:space="0" w:color="auto"/>
              <w:right w:val="single" w:sz="4" w:space="0" w:color="auto"/>
            </w:tcBorders>
            <w:shd w:val="clear" w:color="auto" w:fill="FFFF00"/>
            <w:noWrap/>
            <w:hideMark/>
          </w:tcPr>
          <w:p w:rsidR="00200C0B" w:rsidRPr="00D55DC6" w:rsidRDefault="00200C0B" w:rsidP="000725AB">
            <w:pPr>
              <w:spacing w:line="320" w:lineRule="exact"/>
              <w:jc w:val="right"/>
              <w:rPr>
                <w:rFonts w:eastAsia="標楷體"/>
                <w:sz w:val="20"/>
              </w:rPr>
            </w:pPr>
            <w:r w:rsidRPr="00D55DC6">
              <w:rPr>
                <w:rFonts w:eastAsia="標楷體"/>
                <w:sz w:val="20"/>
              </w:rPr>
              <w:t>29.82%</w:t>
            </w:r>
          </w:p>
        </w:tc>
        <w:tc>
          <w:tcPr>
            <w:tcW w:w="709" w:type="dxa"/>
            <w:tcBorders>
              <w:top w:val="single" w:sz="4" w:space="0" w:color="auto"/>
              <w:left w:val="single" w:sz="4" w:space="0" w:color="auto"/>
              <w:bottom w:val="single" w:sz="4" w:space="0" w:color="auto"/>
              <w:right w:val="single" w:sz="4" w:space="0" w:color="auto"/>
            </w:tcBorders>
            <w:shd w:val="clear" w:color="auto" w:fill="FFFF00"/>
            <w:noWrap/>
            <w:hideMark/>
          </w:tcPr>
          <w:p w:rsidR="00200C0B" w:rsidRPr="00D55DC6" w:rsidRDefault="00200C0B" w:rsidP="000725AB">
            <w:pPr>
              <w:spacing w:line="320" w:lineRule="exact"/>
              <w:jc w:val="right"/>
              <w:rPr>
                <w:rFonts w:eastAsia="標楷體"/>
                <w:sz w:val="20"/>
              </w:rPr>
            </w:pPr>
            <w:r w:rsidRPr="00D55DC6">
              <w:rPr>
                <w:rFonts w:eastAsia="標楷體"/>
                <w:sz w:val="20"/>
              </w:rPr>
              <w:t>29.82%</w:t>
            </w:r>
          </w:p>
        </w:tc>
        <w:tc>
          <w:tcPr>
            <w:tcW w:w="708" w:type="dxa"/>
            <w:tcBorders>
              <w:top w:val="single" w:sz="4" w:space="0" w:color="auto"/>
              <w:left w:val="single" w:sz="4" w:space="0" w:color="auto"/>
              <w:bottom w:val="single" w:sz="4" w:space="0" w:color="auto"/>
              <w:right w:val="single" w:sz="4" w:space="0" w:color="auto"/>
            </w:tcBorders>
            <w:shd w:val="clear" w:color="auto" w:fill="FFFF00"/>
            <w:noWrap/>
            <w:hideMark/>
          </w:tcPr>
          <w:p w:rsidR="00200C0B" w:rsidRPr="00D55DC6" w:rsidRDefault="00200C0B" w:rsidP="000725AB">
            <w:pPr>
              <w:spacing w:line="320" w:lineRule="exact"/>
              <w:jc w:val="right"/>
              <w:rPr>
                <w:rFonts w:eastAsia="標楷體"/>
                <w:sz w:val="20"/>
              </w:rPr>
            </w:pPr>
            <w:r w:rsidRPr="00D55DC6">
              <w:rPr>
                <w:rFonts w:eastAsia="標楷體"/>
                <w:sz w:val="20"/>
              </w:rPr>
              <w:t>29.82%</w:t>
            </w:r>
          </w:p>
        </w:tc>
        <w:tc>
          <w:tcPr>
            <w:tcW w:w="709" w:type="dxa"/>
            <w:tcBorders>
              <w:top w:val="single" w:sz="4" w:space="0" w:color="auto"/>
              <w:left w:val="single" w:sz="4" w:space="0" w:color="auto"/>
              <w:bottom w:val="single" w:sz="4" w:space="0" w:color="auto"/>
              <w:right w:val="single" w:sz="4" w:space="0" w:color="auto"/>
            </w:tcBorders>
            <w:shd w:val="clear" w:color="auto" w:fill="FFFF00"/>
            <w:noWrap/>
            <w:hideMark/>
          </w:tcPr>
          <w:p w:rsidR="00200C0B" w:rsidRPr="00D55DC6" w:rsidRDefault="00200C0B" w:rsidP="000725AB">
            <w:pPr>
              <w:spacing w:line="320" w:lineRule="exact"/>
              <w:jc w:val="right"/>
              <w:rPr>
                <w:rFonts w:eastAsia="標楷體"/>
                <w:sz w:val="20"/>
              </w:rPr>
            </w:pPr>
            <w:r w:rsidRPr="00D55DC6">
              <w:rPr>
                <w:rFonts w:eastAsia="標楷體"/>
                <w:sz w:val="20"/>
              </w:rPr>
              <w:t>29.82%</w:t>
            </w:r>
          </w:p>
        </w:tc>
        <w:tc>
          <w:tcPr>
            <w:tcW w:w="709" w:type="dxa"/>
            <w:tcBorders>
              <w:top w:val="single" w:sz="4" w:space="0" w:color="auto"/>
              <w:left w:val="single" w:sz="4" w:space="0" w:color="auto"/>
              <w:bottom w:val="single" w:sz="4" w:space="0" w:color="auto"/>
              <w:right w:val="single" w:sz="4" w:space="0" w:color="auto"/>
            </w:tcBorders>
            <w:shd w:val="clear" w:color="auto" w:fill="FFFF00"/>
            <w:noWrap/>
            <w:hideMark/>
          </w:tcPr>
          <w:p w:rsidR="00200C0B" w:rsidRPr="00D55DC6" w:rsidRDefault="00200C0B" w:rsidP="000725AB">
            <w:pPr>
              <w:spacing w:line="320" w:lineRule="exact"/>
              <w:jc w:val="right"/>
              <w:rPr>
                <w:rFonts w:eastAsia="標楷體"/>
                <w:sz w:val="20"/>
              </w:rPr>
            </w:pPr>
            <w:r w:rsidRPr="00D55DC6">
              <w:rPr>
                <w:rFonts w:eastAsia="標楷體"/>
                <w:sz w:val="20"/>
              </w:rPr>
              <w:t>29.82%</w:t>
            </w:r>
          </w:p>
        </w:tc>
        <w:tc>
          <w:tcPr>
            <w:tcW w:w="708" w:type="dxa"/>
            <w:tcBorders>
              <w:top w:val="single" w:sz="4" w:space="0" w:color="auto"/>
              <w:left w:val="single" w:sz="4" w:space="0" w:color="auto"/>
              <w:bottom w:val="single" w:sz="4" w:space="0" w:color="auto"/>
              <w:right w:val="single" w:sz="4" w:space="0" w:color="auto"/>
            </w:tcBorders>
            <w:shd w:val="clear" w:color="auto" w:fill="FFFF00"/>
            <w:noWrap/>
            <w:hideMark/>
          </w:tcPr>
          <w:p w:rsidR="00200C0B" w:rsidRPr="00D55DC6" w:rsidRDefault="00200C0B" w:rsidP="000725AB">
            <w:pPr>
              <w:spacing w:line="320" w:lineRule="exact"/>
              <w:jc w:val="right"/>
              <w:rPr>
                <w:rFonts w:eastAsia="標楷體"/>
                <w:sz w:val="20"/>
              </w:rPr>
            </w:pPr>
            <w:r w:rsidRPr="00D55DC6">
              <w:rPr>
                <w:rFonts w:eastAsia="標楷體"/>
                <w:sz w:val="20"/>
              </w:rPr>
              <w:t>29.82%</w:t>
            </w:r>
          </w:p>
        </w:tc>
        <w:tc>
          <w:tcPr>
            <w:tcW w:w="709" w:type="dxa"/>
            <w:tcBorders>
              <w:top w:val="single" w:sz="4" w:space="0" w:color="auto"/>
              <w:left w:val="single" w:sz="4" w:space="0" w:color="auto"/>
              <w:bottom w:val="single" w:sz="4" w:space="0" w:color="auto"/>
              <w:right w:val="single" w:sz="4" w:space="0" w:color="auto"/>
            </w:tcBorders>
            <w:shd w:val="clear" w:color="auto" w:fill="FFFF00"/>
            <w:hideMark/>
          </w:tcPr>
          <w:p w:rsidR="00200C0B" w:rsidRPr="00D55DC6" w:rsidRDefault="00200C0B" w:rsidP="000725AB">
            <w:pPr>
              <w:spacing w:line="320" w:lineRule="exact"/>
              <w:jc w:val="right"/>
              <w:rPr>
                <w:rFonts w:eastAsia="標楷體"/>
                <w:sz w:val="20"/>
              </w:rPr>
            </w:pPr>
            <w:r w:rsidRPr="00D55DC6">
              <w:rPr>
                <w:rFonts w:eastAsia="標楷體"/>
                <w:sz w:val="20"/>
              </w:rPr>
              <w:t>29.82%</w:t>
            </w:r>
          </w:p>
        </w:tc>
        <w:tc>
          <w:tcPr>
            <w:tcW w:w="850" w:type="dxa"/>
            <w:tcBorders>
              <w:top w:val="single" w:sz="4" w:space="0" w:color="auto"/>
              <w:left w:val="single" w:sz="4" w:space="0" w:color="auto"/>
              <w:bottom w:val="single" w:sz="4" w:space="0" w:color="auto"/>
              <w:right w:val="single" w:sz="4" w:space="0" w:color="auto"/>
            </w:tcBorders>
            <w:shd w:val="clear" w:color="auto" w:fill="FFFF00"/>
            <w:noWrap/>
            <w:vAlign w:val="center"/>
          </w:tcPr>
          <w:p w:rsidR="00200C0B" w:rsidRPr="00D55DC6" w:rsidRDefault="00200C0B" w:rsidP="000725AB">
            <w:pPr>
              <w:spacing w:line="320" w:lineRule="exact"/>
              <w:jc w:val="center"/>
              <w:rPr>
                <w:rFonts w:eastAsia="標楷體"/>
                <w:sz w:val="20"/>
                <w:szCs w:val="20"/>
              </w:rPr>
            </w:pPr>
          </w:p>
        </w:tc>
      </w:tr>
      <w:tr w:rsidR="001D0350" w:rsidRPr="00D55DC6" w:rsidTr="00200C0B">
        <w:trPr>
          <w:trHeight w:val="345"/>
        </w:trPr>
        <w:tc>
          <w:tcPr>
            <w:tcW w:w="1575" w:type="dxa"/>
            <w:tcBorders>
              <w:top w:val="nil"/>
              <w:left w:val="single" w:sz="8" w:space="0" w:color="auto"/>
              <w:bottom w:val="single" w:sz="8" w:space="0" w:color="auto"/>
              <w:right w:val="single" w:sz="4" w:space="0" w:color="auto"/>
            </w:tcBorders>
            <w:noWrap/>
            <w:vAlign w:val="center"/>
            <w:hideMark/>
          </w:tcPr>
          <w:p w:rsidR="00200C0B" w:rsidRPr="00D55DC6" w:rsidRDefault="00200C0B" w:rsidP="000725AB">
            <w:pPr>
              <w:widowControl/>
              <w:spacing w:line="320" w:lineRule="exact"/>
              <w:jc w:val="center"/>
              <w:rPr>
                <w:rFonts w:eastAsia="標楷體"/>
                <w:kern w:val="0"/>
                <w:sz w:val="20"/>
                <w:szCs w:val="20"/>
              </w:rPr>
            </w:pPr>
            <w:r w:rsidRPr="00D55DC6">
              <w:rPr>
                <w:rFonts w:eastAsia="標楷體"/>
                <w:kern w:val="0"/>
                <w:sz w:val="20"/>
                <w:szCs w:val="20"/>
              </w:rPr>
              <w:t>投資現值</w:t>
            </w:r>
          </w:p>
        </w:tc>
        <w:tc>
          <w:tcPr>
            <w:tcW w:w="7937" w:type="dxa"/>
            <w:gridSpan w:val="11"/>
            <w:tcBorders>
              <w:top w:val="single" w:sz="4" w:space="0" w:color="auto"/>
              <w:left w:val="single" w:sz="4" w:space="0" w:color="auto"/>
              <w:bottom w:val="single" w:sz="4" w:space="0" w:color="auto"/>
              <w:right w:val="single" w:sz="4" w:space="0" w:color="auto"/>
            </w:tcBorders>
          </w:tcPr>
          <w:p w:rsidR="00200C0B" w:rsidRPr="00D55DC6" w:rsidRDefault="00200C0B" w:rsidP="000725AB">
            <w:pPr>
              <w:spacing w:line="320" w:lineRule="exact"/>
              <w:rPr>
                <w:b/>
              </w:rPr>
            </w:pPr>
            <w:r w:rsidRPr="00D55DC6">
              <w:rPr>
                <w:b/>
              </w:rPr>
              <w:t>$27.39</w:t>
            </w:r>
          </w:p>
        </w:tc>
      </w:tr>
      <w:tr w:rsidR="001D0350" w:rsidRPr="00D55DC6" w:rsidTr="00200C0B">
        <w:trPr>
          <w:trHeight w:val="345"/>
        </w:trPr>
        <w:tc>
          <w:tcPr>
            <w:tcW w:w="1575" w:type="dxa"/>
            <w:tcBorders>
              <w:top w:val="nil"/>
              <w:left w:val="single" w:sz="8" w:space="0" w:color="auto"/>
              <w:bottom w:val="single" w:sz="8" w:space="0" w:color="auto"/>
              <w:right w:val="single" w:sz="4" w:space="0" w:color="auto"/>
            </w:tcBorders>
            <w:noWrap/>
            <w:vAlign w:val="center"/>
            <w:hideMark/>
          </w:tcPr>
          <w:p w:rsidR="00200C0B" w:rsidRPr="00D55DC6" w:rsidRDefault="00200C0B" w:rsidP="000725AB">
            <w:pPr>
              <w:widowControl/>
              <w:spacing w:line="320" w:lineRule="exact"/>
              <w:jc w:val="center"/>
              <w:rPr>
                <w:rFonts w:eastAsia="標楷體"/>
                <w:kern w:val="0"/>
                <w:sz w:val="20"/>
                <w:szCs w:val="20"/>
              </w:rPr>
            </w:pPr>
            <w:r w:rsidRPr="00D55DC6">
              <w:rPr>
                <w:rFonts w:eastAsia="標楷體"/>
                <w:kern w:val="0"/>
                <w:sz w:val="20"/>
                <w:szCs w:val="20"/>
              </w:rPr>
              <w:t>收益現值</w:t>
            </w:r>
          </w:p>
        </w:tc>
        <w:tc>
          <w:tcPr>
            <w:tcW w:w="7937" w:type="dxa"/>
            <w:gridSpan w:val="11"/>
            <w:tcBorders>
              <w:top w:val="single" w:sz="4" w:space="0" w:color="auto"/>
              <w:left w:val="single" w:sz="4" w:space="0" w:color="auto"/>
              <w:bottom w:val="single" w:sz="4" w:space="0" w:color="auto"/>
              <w:right w:val="single" w:sz="4" w:space="0" w:color="auto"/>
            </w:tcBorders>
          </w:tcPr>
          <w:p w:rsidR="00200C0B" w:rsidRPr="00D55DC6" w:rsidRDefault="00200C0B" w:rsidP="000725AB">
            <w:pPr>
              <w:spacing w:line="320" w:lineRule="exact"/>
              <w:rPr>
                <w:b/>
              </w:rPr>
            </w:pPr>
            <w:r w:rsidRPr="00D55DC6">
              <w:rPr>
                <w:b/>
              </w:rPr>
              <w:t>$7.54</w:t>
            </w:r>
          </w:p>
        </w:tc>
      </w:tr>
      <w:tr w:rsidR="001D0350" w:rsidRPr="00D55DC6" w:rsidTr="00200C0B">
        <w:trPr>
          <w:trHeight w:val="337"/>
        </w:trPr>
        <w:tc>
          <w:tcPr>
            <w:tcW w:w="1575" w:type="dxa"/>
            <w:tcBorders>
              <w:top w:val="nil"/>
              <w:left w:val="single" w:sz="8" w:space="0" w:color="auto"/>
              <w:bottom w:val="single" w:sz="8" w:space="0" w:color="auto"/>
              <w:right w:val="single" w:sz="4" w:space="0" w:color="auto"/>
            </w:tcBorders>
            <w:shd w:val="clear" w:color="auto" w:fill="FFFF00"/>
            <w:noWrap/>
            <w:vAlign w:val="center"/>
            <w:hideMark/>
          </w:tcPr>
          <w:p w:rsidR="00200C0B" w:rsidRPr="00D55DC6" w:rsidRDefault="00200C0B" w:rsidP="000725AB">
            <w:pPr>
              <w:widowControl/>
              <w:spacing w:line="320" w:lineRule="exact"/>
              <w:jc w:val="center"/>
              <w:rPr>
                <w:rFonts w:eastAsia="標楷體"/>
                <w:kern w:val="0"/>
                <w:sz w:val="20"/>
                <w:szCs w:val="20"/>
              </w:rPr>
            </w:pPr>
            <w:r w:rsidRPr="00D55DC6">
              <w:rPr>
                <w:rFonts w:eastAsia="標楷體"/>
                <w:kern w:val="0"/>
                <w:sz w:val="20"/>
                <w:szCs w:val="20"/>
              </w:rPr>
              <w:t>計畫自償率</w:t>
            </w:r>
          </w:p>
        </w:tc>
        <w:tc>
          <w:tcPr>
            <w:tcW w:w="7937" w:type="dxa"/>
            <w:gridSpan w:val="11"/>
            <w:tcBorders>
              <w:top w:val="single" w:sz="4" w:space="0" w:color="auto"/>
              <w:left w:val="single" w:sz="4" w:space="0" w:color="auto"/>
              <w:bottom w:val="single" w:sz="4" w:space="0" w:color="auto"/>
              <w:right w:val="single" w:sz="4" w:space="0" w:color="auto"/>
            </w:tcBorders>
            <w:shd w:val="clear" w:color="auto" w:fill="FFFF00"/>
          </w:tcPr>
          <w:p w:rsidR="00200C0B" w:rsidRPr="00D55DC6" w:rsidRDefault="00200C0B" w:rsidP="000725AB">
            <w:pPr>
              <w:spacing w:line="320" w:lineRule="exact"/>
              <w:rPr>
                <w:b/>
              </w:rPr>
            </w:pPr>
            <w:r w:rsidRPr="00D55DC6">
              <w:rPr>
                <w:b/>
              </w:rPr>
              <w:t>27.53%</w:t>
            </w:r>
          </w:p>
        </w:tc>
      </w:tr>
    </w:tbl>
    <w:p w:rsidR="00261ADB" w:rsidRPr="00D55DC6" w:rsidRDefault="00261ADB" w:rsidP="0038165F">
      <w:pPr>
        <w:pStyle w:val="af2"/>
        <w:numPr>
          <w:ilvl w:val="0"/>
          <w:numId w:val="36"/>
        </w:numPr>
        <w:snapToGrid w:val="0"/>
        <w:spacing w:line="460" w:lineRule="exact"/>
        <w:ind w:leftChars="0"/>
        <w:jc w:val="both"/>
        <w:rPr>
          <w:rFonts w:eastAsia="標楷體"/>
          <w:b/>
          <w:sz w:val="28"/>
          <w:szCs w:val="28"/>
        </w:rPr>
      </w:pPr>
      <w:r w:rsidRPr="00D55DC6">
        <w:rPr>
          <w:rFonts w:eastAsia="標楷體"/>
          <w:b/>
          <w:sz w:val="28"/>
          <w:szCs w:val="28"/>
        </w:rPr>
        <w:lastRenderedPageBreak/>
        <w:t>預估財務收入情形</w:t>
      </w:r>
    </w:p>
    <w:p w:rsidR="00261ADB" w:rsidRPr="00D55DC6" w:rsidRDefault="00261ADB" w:rsidP="0038165F">
      <w:pPr>
        <w:pStyle w:val="a"/>
        <w:numPr>
          <w:ilvl w:val="0"/>
          <w:numId w:val="0"/>
        </w:numPr>
        <w:ind w:left="910" w:firstLineChars="205" w:firstLine="574"/>
      </w:pPr>
      <w:bookmarkStart w:id="69" w:name="_Toc407181648"/>
      <w:r w:rsidRPr="00D55DC6">
        <w:t>透過推動設施出租、重大促參案件、使用者付費</w:t>
      </w:r>
      <w:r w:rsidRPr="00D55DC6">
        <w:t>(</w:t>
      </w:r>
      <w:r w:rsidRPr="00D55DC6">
        <w:t>清潔費、停泊費</w:t>
      </w:r>
      <w:r w:rsidRPr="00D55DC6">
        <w:t>)</w:t>
      </w:r>
      <w:r w:rsidRPr="00D55DC6">
        <w:t>、與地方政府跨域合作等方向，積極提升計畫自償率。詳如下列預估財務收入分年規劃表。</w:t>
      </w:r>
      <w:bookmarkEnd w:id="69"/>
    </w:p>
    <w:p w:rsidR="00F37248" w:rsidRPr="00D55DC6" w:rsidRDefault="00F37248" w:rsidP="0038165F">
      <w:pPr>
        <w:pStyle w:val="a"/>
        <w:numPr>
          <w:ilvl w:val="0"/>
          <w:numId w:val="0"/>
        </w:numPr>
        <w:ind w:left="910" w:firstLineChars="205" w:firstLine="574"/>
      </w:pPr>
    </w:p>
    <w:p w:rsidR="00261ADB" w:rsidRPr="00D55DC6" w:rsidRDefault="00261ADB" w:rsidP="0038165F">
      <w:pPr>
        <w:keepNext/>
        <w:ind w:rightChars="-316" w:right="-758"/>
        <w:rPr>
          <w:rFonts w:eastAsia="標楷體"/>
          <w:sz w:val="20"/>
          <w:szCs w:val="20"/>
        </w:rPr>
      </w:pPr>
      <w:r w:rsidRPr="00D55DC6">
        <w:rPr>
          <w:rFonts w:eastAsia="標楷體"/>
        </w:rPr>
        <w:t>表</w:t>
      </w:r>
      <w:r w:rsidRPr="00D55DC6">
        <w:rPr>
          <w:rFonts w:eastAsia="標楷體"/>
        </w:rPr>
        <w:t xml:space="preserve">  </w:t>
      </w:r>
      <w:r w:rsidRPr="00D55DC6">
        <w:rPr>
          <w:rFonts w:eastAsia="標楷體"/>
        </w:rPr>
        <w:t>預估財務收入分年規劃表</w:t>
      </w:r>
      <w:r w:rsidRPr="00D55DC6">
        <w:rPr>
          <w:rFonts w:eastAsia="標楷體"/>
        </w:rPr>
        <w:t xml:space="preserve">                   </w:t>
      </w:r>
      <w:r w:rsidRPr="00D55DC6">
        <w:rPr>
          <w:rFonts w:eastAsia="標楷體"/>
        </w:rPr>
        <w:t xml:space="preserve">　　　　　　　　</w:t>
      </w:r>
      <w:r w:rsidRPr="00D55DC6">
        <w:rPr>
          <w:rFonts w:eastAsia="標楷體"/>
        </w:rPr>
        <w:t xml:space="preserve"> </w:t>
      </w:r>
      <w:r w:rsidRPr="00D55DC6">
        <w:rPr>
          <w:rFonts w:eastAsia="標楷體"/>
          <w:sz w:val="20"/>
          <w:szCs w:val="20"/>
        </w:rPr>
        <w:t>（單位：億元）</w:t>
      </w:r>
    </w:p>
    <w:tbl>
      <w:tblPr>
        <w:tblW w:w="8867" w:type="dxa"/>
        <w:tblInd w:w="13" w:type="dxa"/>
        <w:tblCellMar>
          <w:left w:w="28" w:type="dxa"/>
          <w:right w:w="28" w:type="dxa"/>
        </w:tblCellMar>
        <w:tblLook w:val="04A0" w:firstRow="1" w:lastRow="0" w:firstColumn="1" w:lastColumn="0" w:noHBand="0" w:noVBand="1"/>
      </w:tblPr>
      <w:tblGrid>
        <w:gridCol w:w="1858"/>
        <w:gridCol w:w="708"/>
        <w:gridCol w:w="709"/>
        <w:gridCol w:w="709"/>
        <w:gridCol w:w="709"/>
        <w:gridCol w:w="708"/>
        <w:gridCol w:w="670"/>
        <w:gridCol w:w="670"/>
        <w:gridCol w:w="709"/>
        <w:gridCol w:w="709"/>
        <w:gridCol w:w="708"/>
      </w:tblGrid>
      <w:tr w:rsidR="001D0350" w:rsidRPr="00D55DC6" w:rsidTr="004513B6">
        <w:trPr>
          <w:trHeight w:val="345"/>
          <w:tblHeader/>
        </w:trPr>
        <w:tc>
          <w:tcPr>
            <w:tcW w:w="1858" w:type="dxa"/>
            <w:tcBorders>
              <w:top w:val="single" w:sz="4" w:space="0" w:color="auto"/>
              <w:left w:val="single" w:sz="4" w:space="0" w:color="auto"/>
              <w:bottom w:val="single" w:sz="4" w:space="0" w:color="auto"/>
              <w:right w:val="single" w:sz="4" w:space="0" w:color="auto"/>
            </w:tcBorders>
            <w:shd w:val="clear" w:color="auto" w:fill="auto"/>
            <w:hideMark/>
          </w:tcPr>
          <w:p w:rsidR="00200C0B" w:rsidRPr="00D55DC6" w:rsidRDefault="00200C0B" w:rsidP="00200C0B">
            <w:pPr>
              <w:widowControl/>
              <w:spacing w:line="0" w:lineRule="atLeast"/>
              <w:rPr>
                <w:kern w:val="0"/>
                <w:sz w:val="20"/>
                <w:szCs w:val="20"/>
              </w:rPr>
            </w:pPr>
            <w:r w:rsidRPr="00D55DC6">
              <w:rPr>
                <w:kern w:val="0"/>
                <w:sz w:val="20"/>
                <w:szCs w:val="20"/>
              </w:rPr>
              <w:t xml:space="preserve">　</w:t>
            </w:r>
          </w:p>
        </w:tc>
        <w:tc>
          <w:tcPr>
            <w:tcW w:w="4213" w:type="dxa"/>
            <w:gridSpan w:val="6"/>
            <w:tcBorders>
              <w:top w:val="single" w:sz="4" w:space="0" w:color="auto"/>
              <w:left w:val="nil"/>
              <w:bottom w:val="single" w:sz="4" w:space="0" w:color="auto"/>
              <w:right w:val="single" w:sz="4" w:space="0" w:color="auto"/>
            </w:tcBorders>
            <w:shd w:val="clear" w:color="000000" w:fill="FFFF99"/>
            <w:noWrap/>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短期</w:t>
            </w:r>
          </w:p>
        </w:tc>
        <w:tc>
          <w:tcPr>
            <w:tcW w:w="2796" w:type="dxa"/>
            <w:gridSpan w:val="4"/>
            <w:tcBorders>
              <w:top w:val="single" w:sz="4" w:space="0" w:color="auto"/>
              <w:left w:val="nil"/>
              <w:bottom w:val="single" w:sz="4" w:space="0" w:color="auto"/>
              <w:right w:val="single" w:sz="4" w:space="0" w:color="auto"/>
            </w:tcBorders>
            <w:shd w:val="clear" w:color="000000" w:fill="FFFF99"/>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中期</w:t>
            </w:r>
          </w:p>
        </w:tc>
      </w:tr>
      <w:tr w:rsidR="001D0350" w:rsidRPr="00D55DC6" w:rsidTr="004513B6">
        <w:trPr>
          <w:trHeight w:val="345"/>
          <w:tblHeader/>
        </w:trPr>
        <w:tc>
          <w:tcPr>
            <w:tcW w:w="1858" w:type="dxa"/>
            <w:tcBorders>
              <w:top w:val="single" w:sz="4" w:space="0" w:color="auto"/>
              <w:left w:val="single" w:sz="4" w:space="0" w:color="auto"/>
              <w:bottom w:val="single" w:sz="4" w:space="0" w:color="auto"/>
              <w:right w:val="single" w:sz="4" w:space="0" w:color="auto"/>
            </w:tcBorders>
            <w:shd w:val="clear" w:color="auto" w:fill="auto"/>
            <w:hideMark/>
          </w:tcPr>
          <w:p w:rsidR="00200C0B" w:rsidRPr="00D55DC6" w:rsidRDefault="00200C0B" w:rsidP="00200C0B">
            <w:pPr>
              <w:widowControl/>
              <w:spacing w:line="0" w:lineRule="atLeast"/>
              <w:rPr>
                <w:kern w:val="0"/>
                <w:sz w:val="20"/>
                <w:szCs w:val="20"/>
              </w:rPr>
            </w:pPr>
          </w:p>
        </w:tc>
        <w:tc>
          <w:tcPr>
            <w:tcW w:w="708" w:type="dxa"/>
            <w:tcBorders>
              <w:top w:val="single" w:sz="4" w:space="0" w:color="auto"/>
              <w:left w:val="nil"/>
              <w:bottom w:val="single" w:sz="4" w:space="0" w:color="auto"/>
              <w:right w:val="single" w:sz="4" w:space="0" w:color="auto"/>
            </w:tcBorders>
            <w:shd w:val="clear" w:color="000000" w:fill="FFFF99"/>
            <w:noWrap/>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103</w:t>
            </w:r>
            <w:r w:rsidRPr="00D55DC6">
              <w:rPr>
                <w:rFonts w:eastAsia="標楷體"/>
                <w:b/>
                <w:bCs/>
                <w:kern w:val="0"/>
                <w:sz w:val="20"/>
                <w:szCs w:val="20"/>
              </w:rPr>
              <w:t>年</w:t>
            </w:r>
          </w:p>
        </w:tc>
        <w:tc>
          <w:tcPr>
            <w:tcW w:w="709" w:type="dxa"/>
            <w:tcBorders>
              <w:top w:val="single" w:sz="4" w:space="0" w:color="auto"/>
              <w:left w:val="nil"/>
              <w:bottom w:val="single" w:sz="4" w:space="0" w:color="auto"/>
              <w:right w:val="single" w:sz="4" w:space="0" w:color="auto"/>
            </w:tcBorders>
            <w:shd w:val="clear" w:color="000000" w:fill="FFFF99"/>
            <w:noWrap/>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104</w:t>
            </w:r>
            <w:r w:rsidRPr="00D55DC6">
              <w:rPr>
                <w:rFonts w:eastAsia="標楷體"/>
                <w:b/>
                <w:bCs/>
                <w:kern w:val="0"/>
                <w:sz w:val="20"/>
                <w:szCs w:val="20"/>
              </w:rPr>
              <w:t>年</w:t>
            </w:r>
          </w:p>
        </w:tc>
        <w:tc>
          <w:tcPr>
            <w:tcW w:w="709" w:type="dxa"/>
            <w:tcBorders>
              <w:top w:val="single" w:sz="4" w:space="0" w:color="auto"/>
              <w:left w:val="nil"/>
              <w:bottom w:val="single" w:sz="4" w:space="0" w:color="auto"/>
              <w:right w:val="single" w:sz="4" w:space="0" w:color="auto"/>
            </w:tcBorders>
            <w:shd w:val="clear" w:color="000000" w:fill="FFFF99"/>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105</w:t>
            </w:r>
            <w:r w:rsidRPr="00D55DC6">
              <w:rPr>
                <w:rFonts w:eastAsia="標楷體"/>
                <w:b/>
                <w:bCs/>
                <w:kern w:val="0"/>
                <w:sz w:val="20"/>
                <w:szCs w:val="20"/>
              </w:rPr>
              <w:t>年</w:t>
            </w:r>
          </w:p>
        </w:tc>
        <w:tc>
          <w:tcPr>
            <w:tcW w:w="709" w:type="dxa"/>
            <w:tcBorders>
              <w:top w:val="single" w:sz="4" w:space="0" w:color="auto"/>
              <w:left w:val="nil"/>
              <w:bottom w:val="single" w:sz="4" w:space="0" w:color="auto"/>
              <w:right w:val="single" w:sz="4" w:space="0" w:color="auto"/>
            </w:tcBorders>
            <w:shd w:val="clear" w:color="000000" w:fill="FFFF99"/>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106</w:t>
            </w:r>
            <w:r w:rsidRPr="00D55DC6">
              <w:rPr>
                <w:rFonts w:eastAsia="標楷體"/>
                <w:b/>
                <w:bCs/>
                <w:kern w:val="0"/>
                <w:sz w:val="20"/>
                <w:szCs w:val="20"/>
              </w:rPr>
              <w:t>年</w:t>
            </w:r>
          </w:p>
        </w:tc>
        <w:tc>
          <w:tcPr>
            <w:tcW w:w="708" w:type="dxa"/>
            <w:tcBorders>
              <w:top w:val="single" w:sz="4" w:space="0" w:color="auto"/>
              <w:left w:val="nil"/>
              <w:bottom w:val="single" w:sz="4" w:space="0" w:color="auto"/>
              <w:right w:val="single" w:sz="4" w:space="0" w:color="auto"/>
            </w:tcBorders>
            <w:shd w:val="clear" w:color="000000" w:fill="FFFF99"/>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107</w:t>
            </w:r>
            <w:r w:rsidRPr="00D55DC6">
              <w:rPr>
                <w:rFonts w:eastAsia="標楷體"/>
                <w:b/>
                <w:bCs/>
                <w:kern w:val="0"/>
                <w:sz w:val="20"/>
                <w:szCs w:val="20"/>
              </w:rPr>
              <w:t>年</w:t>
            </w:r>
          </w:p>
        </w:tc>
        <w:tc>
          <w:tcPr>
            <w:tcW w:w="670" w:type="dxa"/>
            <w:tcBorders>
              <w:top w:val="single" w:sz="4" w:space="0" w:color="auto"/>
              <w:left w:val="nil"/>
              <w:bottom w:val="single" w:sz="4" w:space="0" w:color="auto"/>
              <w:right w:val="single" w:sz="4" w:space="0" w:color="auto"/>
            </w:tcBorders>
            <w:shd w:val="clear" w:color="000000" w:fill="FFFF99"/>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108</w:t>
            </w:r>
            <w:r w:rsidRPr="00D55DC6">
              <w:rPr>
                <w:rFonts w:eastAsia="標楷體"/>
                <w:b/>
                <w:bCs/>
                <w:kern w:val="0"/>
                <w:sz w:val="20"/>
                <w:szCs w:val="20"/>
              </w:rPr>
              <w:t>年</w:t>
            </w:r>
          </w:p>
        </w:tc>
        <w:tc>
          <w:tcPr>
            <w:tcW w:w="670" w:type="dxa"/>
            <w:tcBorders>
              <w:top w:val="single" w:sz="4" w:space="0" w:color="auto"/>
              <w:left w:val="nil"/>
              <w:bottom w:val="single" w:sz="4" w:space="0" w:color="auto"/>
              <w:right w:val="single" w:sz="4" w:space="0" w:color="auto"/>
            </w:tcBorders>
            <w:shd w:val="clear" w:color="000000" w:fill="FFFF99"/>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109</w:t>
            </w:r>
            <w:r w:rsidRPr="00D55DC6">
              <w:rPr>
                <w:rFonts w:eastAsia="標楷體"/>
                <w:b/>
                <w:bCs/>
                <w:kern w:val="0"/>
                <w:sz w:val="20"/>
                <w:szCs w:val="20"/>
              </w:rPr>
              <w:t>年</w:t>
            </w:r>
          </w:p>
        </w:tc>
        <w:tc>
          <w:tcPr>
            <w:tcW w:w="709" w:type="dxa"/>
            <w:tcBorders>
              <w:top w:val="single" w:sz="4" w:space="0" w:color="auto"/>
              <w:left w:val="nil"/>
              <w:bottom w:val="single" w:sz="4" w:space="0" w:color="auto"/>
              <w:right w:val="single" w:sz="4" w:space="0" w:color="auto"/>
            </w:tcBorders>
            <w:shd w:val="clear" w:color="000000" w:fill="FFFF99"/>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110</w:t>
            </w:r>
            <w:r w:rsidRPr="00D55DC6">
              <w:rPr>
                <w:rFonts w:eastAsia="標楷體"/>
                <w:b/>
                <w:bCs/>
                <w:kern w:val="0"/>
                <w:sz w:val="20"/>
                <w:szCs w:val="20"/>
              </w:rPr>
              <w:t>年</w:t>
            </w:r>
          </w:p>
        </w:tc>
        <w:tc>
          <w:tcPr>
            <w:tcW w:w="709" w:type="dxa"/>
            <w:tcBorders>
              <w:top w:val="single" w:sz="4" w:space="0" w:color="auto"/>
              <w:left w:val="nil"/>
              <w:bottom w:val="single" w:sz="4" w:space="0" w:color="auto"/>
              <w:right w:val="single" w:sz="4" w:space="0" w:color="auto"/>
            </w:tcBorders>
            <w:shd w:val="clear" w:color="000000" w:fill="FFFF99"/>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111</w:t>
            </w:r>
            <w:r w:rsidRPr="00D55DC6">
              <w:rPr>
                <w:rFonts w:eastAsia="標楷體"/>
                <w:b/>
                <w:bCs/>
                <w:kern w:val="0"/>
                <w:sz w:val="20"/>
                <w:szCs w:val="20"/>
              </w:rPr>
              <w:t>年</w:t>
            </w:r>
          </w:p>
        </w:tc>
        <w:tc>
          <w:tcPr>
            <w:tcW w:w="708" w:type="dxa"/>
            <w:tcBorders>
              <w:top w:val="single" w:sz="4" w:space="0" w:color="auto"/>
              <w:left w:val="nil"/>
              <w:bottom w:val="single" w:sz="4" w:space="0" w:color="auto"/>
              <w:right w:val="single" w:sz="4" w:space="0" w:color="auto"/>
            </w:tcBorders>
            <w:shd w:val="clear" w:color="000000" w:fill="FFFF99"/>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112</w:t>
            </w:r>
            <w:r w:rsidRPr="00D55DC6">
              <w:rPr>
                <w:rFonts w:eastAsia="標楷體"/>
                <w:b/>
                <w:bCs/>
                <w:kern w:val="0"/>
                <w:sz w:val="20"/>
                <w:szCs w:val="20"/>
              </w:rPr>
              <w:t>年</w:t>
            </w:r>
          </w:p>
        </w:tc>
      </w:tr>
      <w:tr w:rsidR="001D0350" w:rsidRPr="00D55DC6" w:rsidTr="00200C0B">
        <w:trPr>
          <w:trHeight w:val="345"/>
        </w:trPr>
        <w:tc>
          <w:tcPr>
            <w:tcW w:w="1858" w:type="dxa"/>
            <w:tcBorders>
              <w:top w:val="nil"/>
              <w:left w:val="single" w:sz="4" w:space="0" w:color="auto"/>
              <w:bottom w:val="single" w:sz="4" w:space="0" w:color="auto"/>
              <w:right w:val="single" w:sz="4" w:space="0" w:color="auto"/>
            </w:tcBorders>
            <w:shd w:val="clear" w:color="000000" w:fill="FFFF00"/>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服務收入</w:t>
            </w:r>
          </w:p>
        </w:tc>
        <w:tc>
          <w:tcPr>
            <w:tcW w:w="708" w:type="dxa"/>
            <w:tcBorders>
              <w:top w:val="nil"/>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0.0425</w:t>
            </w:r>
          </w:p>
        </w:tc>
        <w:tc>
          <w:tcPr>
            <w:tcW w:w="709" w:type="dxa"/>
            <w:tcBorders>
              <w:top w:val="nil"/>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0.0525</w:t>
            </w:r>
          </w:p>
        </w:tc>
        <w:tc>
          <w:tcPr>
            <w:tcW w:w="709" w:type="dxa"/>
            <w:tcBorders>
              <w:top w:val="nil"/>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0.0525</w:t>
            </w:r>
          </w:p>
        </w:tc>
        <w:tc>
          <w:tcPr>
            <w:tcW w:w="709" w:type="dxa"/>
            <w:tcBorders>
              <w:top w:val="nil"/>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0.0525</w:t>
            </w:r>
          </w:p>
        </w:tc>
        <w:tc>
          <w:tcPr>
            <w:tcW w:w="708" w:type="dxa"/>
            <w:tcBorders>
              <w:top w:val="nil"/>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0.0525</w:t>
            </w:r>
          </w:p>
        </w:tc>
        <w:tc>
          <w:tcPr>
            <w:tcW w:w="670" w:type="dxa"/>
            <w:tcBorders>
              <w:top w:val="nil"/>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0.0525</w:t>
            </w:r>
          </w:p>
        </w:tc>
        <w:tc>
          <w:tcPr>
            <w:tcW w:w="670" w:type="dxa"/>
            <w:tcBorders>
              <w:top w:val="nil"/>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0.0533</w:t>
            </w:r>
          </w:p>
        </w:tc>
        <w:tc>
          <w:tcPr>
            <w:tcW w:w="709" w:type="dxa"/>
            <w:tcBorders>
              <w:top w:val="nil"/>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0.0541</w:t>
            </w:r>
          </w:p>
        </w:tc>
        <w:tc>
          <w:tcPr>
            <w:tcW w:w="709" w:type="dxa"/>
            <w:tcBorders>
              <w:top w:val="nil"/>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0.0549</w:t>
            </w:r>
          </w:p>
        </w:tc>
        <w:tc>
          <w:tcPr>
            <w:tcW w:w="708" w:type="dxa"/>
            <w:tcBorders>
              <w:top w:val="nil"/>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0.0557</w:t>
            </w:r>
          </w:p>
        </w:tc>
      </w:tr>
      <w:tr w:rsidR="001D0350" w:rsidRPr="00D55DC6" w:rsidTr="00200C0B">
        <w:trPr>
          <w:trHeight w:val="386"/>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既有各遊憩據點出租租金、門票、清潔維護收入</w:t>
            </w:r>
          </w:p>
        </w:tc>
        <w:tc>
          <w:tcPr>
            <w:tcW w:w="708"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0.0425</w:t>
            </w:r>
          </w:p>
        </w:tc>
        <w:tc>
          <w:tcPr>
            <w:tcW w:w="709"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0.0425</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0.0425</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0.0425</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0.0425</w:t>
            </w:r>
          </w:p>
        </w:tc>
        <w:tc>
          <w:tcPr>
            <w:tcW w:w="670"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0.0425</w:t>
            </w:r>
          </w:p>
        </w:tc>
        <w:tc>
          <w:tcPr>
            <w:tcW w:w="670"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0.0431</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0.0438</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0.0444</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0.0451</w:t>
            </w:r>
          </w:p>
        </w:tc>
      </w:tr>
      <w:tr w:rsidR="001D0350" w:rsidRPr="00D55DC6" w:rsidTr="00200C0B">
        <w:trPr>
          <w:trHeight w:val="330"/>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福隆停車場收費</w:t>
            </w:r>
          </w:p>
        </w:tc>
        <w:tc>
          <w:tcPr>
            <w:tcW w:w="708"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0.0100</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0.0100</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0.0100</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0.0100</w:t>
            </w:r>
          </w:p>
        </w:tc>
        <w:tc>
          <w:tcPr>
            <w:tcW w:w="670"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0.0100</w:t>
            </w:r>
          </w:p>
        </w:tc>
        <w:tc>
          <w:tcPr>
            <w:tcW w:w="670"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0.0102</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0.0103</w:t>
            </w:r>
          </w:p>
        </w:tc>
        <w:tc>
          <w:tcPr>
            <w:tcW w:w="709" w:type="dxa"/>
            <w:tcBorders>
              <w:top w:val="nil"/>
              <w:left w:val="nil"/>
              <w:bottom w:val="nil"/>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0.0105</w:t>
            </w:r>
          </w:p>
        </w:tc>
        <w:tc>
          <w:tcPr>
            <w:tcW w:w="708" w:type="dxa"/>
            <w:tcBorders>
              <w:top w:val="nil"/>
              <w:left w:val="nil"/>
              <w:bottom w:val="nil"/>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0.0106</w:t>
            </w:r>
          </w:p>
        </w:tc>
      </w:tr>
      <w:tr w:rsidR="001D0350" w:rsidRPr="00D55DC6" w:rsidTr="00200C0B">
        <w:trPr>
          <w:trHeight w:val="330"/>
        </w:trPr>
        <w:tc>
          <w:tcPr>
            <w:tcW w:w="1858" w:type="dxa"/>
            <w:tcBorders>
              <w:top w:val="nil"/>
              <w:left w:val="single" w:sz="4" w:space="0" w:color="auto"/>
              <w:bottom w:val="single" w:sz="4" w:space="0" w:color="auto"/>
              <w:right w:val="single" w:sz="4" w:space="0" w:color="auto"/>
            </w:tcBorders>
            <w:shd w:val="clear" w:color="000000" w:fill="FFFF00"/>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租金及權利金收入</w:t>
            </w:r>
          </w:p>
        </w:tc>
        <w:tc>
          <w:tcPr>
            <w:tcW w:w="708" w:type="dxa"/>
            <w:tcBorders>
              <w:top w:val="nil"/>
              <w:left w:val="nil"/>
              <w:bottom w:val="single" w:sz="4" w:space="0" w:color="auto"/>
              <w:right w:val="single" w:sz="4" w:space="0" w:color="auto"/>
            </w:tcBorders>
            <w:shd w:val="clear" w:color="000000" w:fill="FFFF00"/>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0.0928</w:t>
            </w:r>
          </w:p>
        </w:tc>
        <w:tc>
          <w:tcPr>
            <w:tcW w:w="709" w:type="dxa"/>
            <w:tcBorders>
              <w:top w:val="nil"/>
              <w:left w:val="nil"/>
              <w:bottom w:val="single" w:sz="4" w:space="0" w:color="auto"/>
              <w:right w:val="single" w:sz="4" w:space="0" w:color="auto"/>
            </w:tcBorders>
            <w:shd w:val="clear" w:color="000000" w:fill="FFFF00"/>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0.1818</w:t>
            </w:r>
          </w:p>
        </w:tc>
        <w:tc>
          <w:tcPr>
            <w:tcW w:w="709" w:type="dxa"/>
            <w:tcBorders>
              <w:top w:val="nil"/>
              <w:left w:val="nil"/>
              <w:bottom w:val="single" w:sz="4" w:space="0" w:color="auto"/>
              <w:right w:val="single" w:sz="4" w:space="0" w:color="auto"/>
            </w:tcBorders>
            <w:shd w:val="clear" w:color="000000" w:fill="FFFF00"/>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0.2712</w:t>
            </w:r>
          </w:p>
        </w:tc>
        <w:tc>
          <w:tcPr>
            <w:tcW w:w="709" w:type="dxa"/>
            <w:tcBorders>
              <w:top w:val="nil"/>
              <w:left w:val="nil"/>
              <w:bottom w:val="single" w:sz="4" w:space="0" w:color="auto"/>
              <w:right w:val="single" w:sz="4" w:space="0" w:color="auto"/>
            </w:tcBorders>
            <w:shd w:val="clear" w:color="000000" w:fill="FFFF00"/>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0.3112</w:t>
            </w:r>
          </w:p>
        </w:tc>
        <w:tc>
          <w:tcPr>
            <w:tcW w:w="708" w:type="dxa"/>
            <w:tcBorders>
              <w:top w:val="nil"/>
              <w:left w:val="nil"/>
              <w:bottom w:val="single" w:sz="4" w:space="0" w:color="auto"/>
              <w:right w:val="single" w:sz="4" w:space="0" w:color="auto"/>
            </w:tcBorders>
            <w:shd w:val="clear" w:color="000000" w:fill="FFFF00"/>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0.3822</w:t>
            </w:r>
          </w:p>
        </w:tc>
        <w:tc>
          <w:tcPr>
            <w:tcW w:w="670" w:type="dxa"/>
            <w:tcBorders>
              <w:top w:val="nil"/>
              <w:left w:val="nil"/>
              <w:bottom w:val="single" w:sz="4" w:space="0" w:color="auto"/>
              <w:right w:val="single" w:sz="4" w:space="0" w:color="auto"/>
            </w:tcBorders>
            <w:shd w:val="clear" w:color="000000" w:fill="FFFF00"/>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0.4842</w:t>
            </w:r>
          </w:p>
        </w:tc>
        <w:tc>
          <w:tcPr>
            <w:tcW w:w="670" w:type="dxa"/>
            <w:tcBorders>
              <w:top w:val="nil"/>
              <w:left w:val="nil"/>
              <w:bottom w:val="single" w:sz="4" w:space="0" w:color="auto"/>
              <w:right w:val="single" w:sz="4" w:space="0" w:color="auto"/>
            </w:tcBorders>
            <w:shd w:val="clear" w:color="000000" w:fill="FFFF00"/>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0.4915</w:t>
            </w:r>
          </w:p>
        </w:tc>
        <w:tc>
          <w:tcPr>
            <w:tcW w:w="709" w:type="dxa"/>
            <w:tcBorders>
              <w:top w:val="nil"/>
              <w:left w:val="nil"/>
              <w:bottom w:val="single" w:sz="4" w:space="0" w:color="auto"/>
              <w:right w:val="single" w:sz="4" w:space="0" w:color="auto"/>
            </w:tcBorders>
            <w:shd w:val="clear" w:color="000000" w:fill="FFFF00"/>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0.4988</w:t>
            </w:r>
          </w:p>
        </w:tc>
        <w:tc>
          <w:tcPr>
            <w:tcW w:w="709" w:type="dxa"/>
            <w:tcBorders>
              <w:top w:val="single" w:sz="4" w:space="0" w:color="auto"/>
              <w:left w:val="nil"/>
              <w:bottom w:val="single" w:sz="4" w:space="0" w:color="auto"/>
              <w:right w:val="single" w:sz="4" w:space="0" w:color="auto"/>
            </w:tcBorders>
            <w:shd w:val="clear" w:color="000000" w:fill="FFFF00"/>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0.5063</w:t>
            </w:r>
          </w:p>
        </w:tc>
        <w:tc>
          <w:tcPr>
            <w:tcW w:w="708" w:type="dxa"/>
            <w:tcBorders>
              <w:top w:val="single" w:sz="4" w:space="0" w:color="auto"/>
              <w:left w:val="nil"/>
              <w:bottom w:val="single" w:sz="4" w:space="0" w:color="auto"/>
              <w:right w:val="single" w:sz="4" w:space="0" w:color="auto"/>
            </w:tcBorders>
            <w:shd w:val="clear" w:color="000000" w:fill="FFFF00"/>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0.5139</w:t>
            </w:r>
          </w:p>
        </w:tc>
      </w:tr>
      <w:tr w:rsidR="001D0350" w:rsidRPr="00D55DC6" w:rsidTr="00200C0B">
        <w:trPr>
          <w:trHeight w:val="82"/>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福隆濱海旅館區</w:t>
            </w:r>
            <w:r w:rsidRPr="00D55DC6">
              <w:rPr>
                <w:rFonts w:eastAsia="標楷體"/>
                <w:kern w:val="0"/>
                <w:sz w:val="20"/>
                <w:szCs w:val="20"/>
              </w:rPr>
              <w:t>ROT+BOT</w:t>
            </w:r>
          </w:p>
        </w:tc>
        <w:tc>
          <w:tcPr>
            <w:tcW w:w="708"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0.0600</w:t>
            </w:r>
          </w:p>
        </w:tc>
        <w:tc>
          <w:tcPr>
            <w:tcW w:w="709"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0.0610</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0.0610</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0.0610</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0.0610</w:t>
            </w:r>
          </w:p>
        </w:tc>
        <w:tc>
          <w:tcPr>
            <w:tcW w:w="670"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0.0610</w:t>
            </w:r>
          </w:p>
        </w:tc>
        <w:tc>
          <w:tcPr>
            <w:tcW w:w="670"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0.0619</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0.0628</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0.0638</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0.0647</w:t>
            </w:r>
          </w:p>
        </w:tc>
      </w:tr>
      <w:tr w:rsidR="001D0350" w:rsidRPr="00D55DC6" w:rsidTr="00200C0B">
        <w:trPr>
          <w:trHeight w:val="87"/>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龍洞南口海洋公園及遊艇港</w:t>
            </w:r>
            <w:r w:rsidRPr="00D55DC6">
              <w:rPr>
                <w:rFonts w:eastAsia="標楷體"/>
                <w:kern w:val="0"/>
                <w:sz w:val="20"/>
                <w:szCs w:val="20"/>
              </w:rPr>
              <w:t>ROT</w:t>
            </w:r>
          </w:p>
        </w:tc>
        <w:tc>
          <w:tcPr>
            <w:tcW w:w="708"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0.0165</w:t>
            </w:r>
          </w:p>
        </w:tc>
        <w:tc>
          <w:tcPr>
            <w:tcW w:w="709"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0.0165</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0.0165</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0.0165</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0.0165</w:t>
            </w:r>
          </w:p>
        </w:tc>
        <w:tc>
          <w:tcPr>
            <w:tcW w:w="670"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0.0165</w:t>
            </w:r>
          </w:p>
        </w:tc>
        <w:tc>
          <w:tcPr>
            <w:tcW w:w="670"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0.0167</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0.0170</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0.0173</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0.0175</w:t>
            </w:r>
          </w:p>
        </w:tc>
      </w:tr>
      <w:tr w:rsidR="001D0350" w:rsidRPr="00D55DC6" w:rsidTr="00200C0B">
        <w:trPr>
          <w:trHeight w:val="109"/>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宜蘭縣頭城鎮外澳服務區營運移轉案</w:t>
            </w:r>
          </w:p>
        </w:tc>
        <w:tc>
          <w:tcPr>
            <w:tcW w:w="708"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0.0108</w:t>
            </w:r>
          </w:p>
        </w:tc>
        <w:tc>
          <w:tcPr>
            <w:tcW w:w="709"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0.0108</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0.0108</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0.0108</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0.0108</w:t>
            </w:r>
          </w:p>
        </w:tc>
        <w:tc>
          <w:tcPr>
            <w:tcW w:w="670"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0.0108</w:t>
            </w:r>
          </w:p>
        </w:tc>
        <w:tc>
          <w:tcPr>
            <w:tcW w:w="670"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0.0110</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0.0111</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0.0113</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0.0115</w:t>
            </w:r>
          </w:p>
        </w:tc>
      </w:tr>
      <w:tr w:rsidR="001D0350" w:rsidRPr="00D55DC6" w:rsidTr="00200C0B">
        <w:trPr>
          <w:trHeight w:val="159"/>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石城服務區委託民間參與營運案</w:t>
            </w:r>
          </w:p>
        </w:tc>
        <w:tc>
          <w:tcPr>
            <w:tcW w:w="708"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0.0055</w:t>
            </w:r>
          </w:p>
        </w:tc>
        <w:tc>
          <w:tcPr>
            <w:tcW w:w="709"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0.0055</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0.0055</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0.0055</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0.0055</w:t>
            </w:r>
          </w:p>
        </w:tc>
        <w:tc>
          <w:tcPr>
            <w:tcW w:w="670"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0.0055</w:t>
            </w:r>
          </w:p>
        </w:tc>
        <w:tc>
          <w:tcPr>
            <w:tcW w:w="670"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0.0056</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0.0057</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0.0058</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0.0058</w:t>
            </w:r>
          </w:p>
        </w:tc>
      </w:tr>
      <w:tr w:rsidR="001D0350" w:rsidRPr="00D55DC6" w:rsidTr="00200C0B">
        <w:trPr>
          <w:trHeight w:val="330"/>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龍洞灣人工攀岩場</w:t>
            </w:r>
          </w:p>
        </w:tc>
        <w:tc>
          <w:tcPr>
            <w:tcW w:w="708"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0.0060</w:t>
            </w:r>
          </w:p>
        </w:tc>
        <w:tc>
          <w:tcPr>
            <w:tcW w:w="670"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0.0060</w:t>
            </w:r>
          </w:p>
        </w:tc>
        <w:tc>
          <w:tcPr>
            <w:tcW w:w="670"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0.0061</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0.0062</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0.0063</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0.0064</w:t>
            </w:r>
          </w:p>
        </w:tc>
      </w:tr>
      <w:tr w:rsidR="001D0350" w:rsidRPr="00D55DC6" w:rsidTr="00200C0B">
        <w:trPr>
          <w:trHeight w:val="330"/>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沙雕分收</w:t>
            </w:r>
            <w:r w:rsidRPr="00D55DC6">
              <w:rPr>
                <w:rFonts w:eastAsia="標楷體"/>
                <w:kern w:val="0"/>
                <w:sz w:val="20"/>
                <w:szCs w:val="20"/>
              </w:rPr>
              <w:t>1</w:t>
            </w:r>
            <w:r w:rsidRPr="00D55DC6">
              <w:rPr>
                <w:rFonts w:eastAsia="標楷體"/>
                <w:kern w:val="0"/>
                <w:sz w:val="20"/>
                <w:szCs w:val="20"/>
              </w:rPr>
              <w:t>成</w:t>
            </w:r>
          </w:p>
        </w:tc>
        <w:tc>
          <w:tcPr>
            <w:tcW w:w="708"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0.0350</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0.0350</w:t>
            </w:r>
          </w:p>
        </w:tc>
        <w:tc>
          <w:tcPr>
            <w:tcW w:w="708"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0.0350</w:t>
            </w:r>
          </w:p>
        </w:tc>
        <w:tc>
          <w:tcPr>
            <w:tcW w:w="670"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0.0350</w:t>
            </w:r>
          </w:p>
        </w:tc>
        <w:tc>
          <w:tcPr>
            <w:tcW w:w="670"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0.0355</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0.0361</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0.0366</w:t>
            </w:r>
          </w:p>
        </w:tc>
        <w:tc>
          <w:tcPr>
            <w:tcW w:w="708"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0.0371</w:t>
            </w:r>
          </w:p>
        </w:tc>
      </w:tr>
      <w:tr w:rsidR="001D0350" w:rsidRPr="00D55DC6" w:rsidTr="00200C0B">
        <w:trPr>
          <w:trHeight w:val="330"/>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龍門露營區</w:t>
            </w:r>
          </w:p>
        </w:tc>
        <w:tc>
          <w:tcPr>
            <w:tcW w:w="708"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0.0050</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0.0050</w:t>
            </w:r>
          </w:p>
        </w:tc>
        <w:tc>
          <w:tcPr>
            <w:tcW w:w="708"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0.0050</w:t>
            </w:r>
          </w:p>
        </w:tc>
        <w:tc>
          <w:tcPr>
            <w:tcW w:w="670"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0.0050</w:t>
            </w:r>
          </w:p>
        </w:tc>
        <w:tc>
          <w:tcPr>
            <w:tcW w:w="670"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0.0051</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0.0052</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0.0052</w:t>
            </w:r>
          </w:p>
        </w:tc>
        <w:tc>
          <w:tcPr>
            <w:tcW w:w="708"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0.0053</w:t>
            </w:r>
          </w:p>
        </w:tc>
      </w:tr>
      <w:tr w:rsidR="001D0350" w:rsidRPr="00D55DC6" w:rsidTr="00200C0B">
        <w:trPr>
          <w:trHeight w:val="330"/>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北關海潮公園</w:t>
            </w:r>
          </w:p>
        </w:tc>
        <w:tc>
          <w:tcPr>
            <w:tcW w:w="708"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0.0400</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0.0400</w:t>
            </w:r>
          </w:p>
        </w:tc>
        <w:tc>
          <w:tcPr>
            <w:tcW w:w="670"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0.0400</w:t>
            </w:r>
          </w:p>
        </w:tc>
        <w:tc>
          <w:tcPr>
            <w:tcW w:w="670"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0.0406</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0.0412</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0.0418</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0.0425</w:t>
            </w:r>
          </w:p>
        </w:tc>
      </w:tr>
      <w:tr w:rsidR="001D0350" w:rsidRPr="00D55DC6" w:rsidTr="00200C0B">
        <w:trPr>
          <w:trHeight w:val="330"/>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龜山島清潔費</w:t>
            </w:r>
          </w:p>
        </w:tc>
        <w:tc>
          <w:tcPr>
            <w:tcW w:w="708"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0.0880</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0.0880</w:t>
            </w:r>
          </w:p>
        </w:tc>
        <w:tc>
          <w:tcPr>
            <w:tcW w:w="709"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0.0880</w:t>
            </w:r>
          </w:p>
        </w:tc>
        <w:tc>
          <w:tcPr>
            <w:tcW w:w="708"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0.0880</w:t>
            </w:r>
          </w:p>
        </w:tc>
        <w:tc>
          <w:tcPr>
            <w:tcW w:w="670"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0.1100</w:t>
            </w:r>
          </w:p>
        </w:tc>
        <w:tc>
          <w:tcPr>
            <w:tcW w:w="670"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0.1117</w:t>
            </w:r>
          </w:p>
        </w:tc>
        <w:tc>
          <w:tcPr>
            <w:tcW w:w="709"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0.1133</w:t>
            </w:r>
          </w:p>
        </w:tc>
        <w:tc>
          <w:tcPr>
            <w:tcW w:w="709"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0.1150</w:t>
            </w:r>
          </w:p>
        </w:tc>
        <w:tc>
          <w:tcPr>
            <w:tcW w:w="708"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0.1167</w:t>
            </w:r>
          </w:p>
        </w:tc>
      </w:tr>
      <w:tr w:rsidR="001D0350" w:rsidRPr="00D55DC6" w:rsidTr="00200C0B">
        <w:trPr>
          <w:trHeight w:val="330"/>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龜山島泊靠費</w:t>
            </w:r>
          </w:p>
        </w:tc>
        <w:tc>
          <w:tcPr>
            <w:tcW w:w="708"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0.0194</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0.0194</w:t>
            </w:r>
          </w:p>
        </w:tc>
        <w:tc>
          <w:tcPr>
            <w:tcW w:w="708"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0.0194</w:t>
            </w:r>
          </w:p>
        </w:tc>
        <w:tc>
          <w:tcPr>
            <w:tcW w:w="670"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0.0194</w:t>
            </w:r>
          </w:p>
        </w:tc>
        <w:tc>
          <w:tcPr>
            <w:tcW w:w="670"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0.0197</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0.0200</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0.0203</w:t>
            </w:r>
          </w:p>
        </w:tc>
        <w:tc>
          <w:tcPr>
            <w:tcW w:w="708"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0.0206</w:t>
            </w:r>
          </w:p>
        </w:tc>
      </w:tr>
      <w:tr w:rsidR="001D0350" w:rsidRPr="00D55DC6" w:rsidTr="00200C0B">
        <w:trPr>
          <w:trHeight w:val="330"/>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冷泉公園</w:t>
            </w:r>
          </w:p>
        </w:tc>
        <w:tc>
          <w:tcPr>
            <w:tcW w:w="708"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670"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0.0800</w:t>
            </w:r>
          </w:p>
        </w:tc>
        <w:tc>
          <w:tcPr>
            <w:tcW w:w="670"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0.0812</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0.0824</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0.0837</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0.0849</w:t>
            </w:r>
          </w:p>
        </w:tc>
      </w:tr>
      <w:tr w:rsidR="001D0350" w:rsidRPr="00D55DC6" w:rsidTr="00200C0B">
        <w:trPr>
          <w:trHeight w:val="330"/>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壯圍</w:t>
            </w:r>
            <w:r w:rsidRPr="00D55DC6">
              <w:rPr>
                <w:rFonts w:eastAsia="標楷體"/>
                <w:kern w:val="0"/>
                <w:sz w:val="20"/>
                <w:szCs w:val="20"/>
              </w:rPr>
              <w:t>BOT</w:t>
            </w:r>
            <w:r w:rsidRPr="00D55DC6">
              <w:rPr>
                <w:rFonts w:eastAsia="標楷體"/>
                <w:kern w:val="0"/>
                <w:sz w:val="20"/>
                <w:szCs w:val="20"/>
              </w:rPr>
              <w:t>案</w:t>
            </w:r>
          </w:p>
        </w:tc>
        <w:tc>
          <w:tcPr>
            <w:tcW w:w="708"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0.0650</w:t>
            </w:r>
          </w:p>
        </w:tc>
        <w:tc>
          <w:tcPr>
            <w:tcW w:w="670"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0.0650</w:t>
            </w:r>
          </w:p>
        </w:tc>
        <w:tc>
          <w:tcPr>
            <w:tcW w:w="670"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0.0660</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0.0670</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0.0680</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0.0690</w:t>
            </w:r>
          </w:p>
        </w:tc>
      </w:tr>
      <w:tr w:rsidR="001D0350" w:rsidRPr="00D55DC6" w:rsidTr="00200C0B">
        <w:trPr>
          <w:trHeight w:val="330"/>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外澳沙灘</w:t>
            </w:r>
          </w:p>
        </w:tc>
        <w:tc>
          <w:tcPr>
            <w:tcW w:w="708"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0.0300</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0.0300</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0.0300</w:t>
            </w:r>
          </w:p>
        </w:tc>
        <w:tc>
          <w:tcPr>
            <w:tcW w:w="670"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0.0300</w:t>
            </w:r>
          </w:p>
        </w:tc>
        <w:tc>
          <w:tcPr>
            <w:tcW w:w="670"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0.0305</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0.0309</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0.0314</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0.0318</w:t>
            </w:r>
          </w:p>
        </w:tc>
      </w:tr>
      <w:tr w:rsidR="001D0350" w:rsidRPr="00D55DC6" w:rsidTr="00200C0B">
        <w:trPr>
          <w:trHeight w:val="330"/>
        </w:trPr>
        <w:tc>
          <w:tcPr>
            <w:tcW w:w="1858" w:type="dxa"/>
            <w:tcBorders>
              <w:top w:val="single" w:sz="4" w:space="0" w:color="auto"/>
              <w:left w:val="single" w:sz="4" w:space="0" w:color="auto"/>
              <w:bottom w:val="single" w:sz="4" w:space="0" w:color="auto"/>
              <w:right w:val="single" w:sz="4" w:space="0" w:color="auto"/>
            </w:tcBorders>
            <w:shd w:val="clear" w:color="000000" w:fill="FFFF00"/>
            <w:vAlign w:val="center"/>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雙溪跨域加值收入</w:t>
            </w:r>
          </w:p>
        </w:tc>
        <w:tc>
          <w:tcPr>
            <w:tcW w:w="708" w:type="dxa"/>
            <w:tcBorders>
              <w:top w:val="single" w:sz="4" w:space="0" w:color="auto"/>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single" w:sz="4" w:space="0" w:color="auto"/>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single" w:sz="4" w:space="0" w:color="auto"/>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9" w:type="dxa"/>
            <w:tcBorders>
              <w:top w:val="single" w:sz="4" w:space="0" w:color="auto"/>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708" w:type="dxa"/>
            <w:tcBorders>
              <w:top w:val="single" w:sz="4" w:space="0" w:color="auto"/>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670" w:type="dxa"/>
            <w:tcBorders>
              <w:top w:val="single" w:sz="4" w:space="0" w:color="auto"/>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w:t>
            </w:r>
          </w:p>
        </w:tc>
        <w:tc>
          <w:tcPr>
            <w:tcW w:w="670" w:type="dxa"/>
            <w:tcBorders>
              <w:top w:val="single" w:sz="4" w:space="0" w:color="auto"/>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0.0505</w:t>
            </w:r>
          </w:p>
        </w:tc>
        <w:tc>
          <w:tcPr>
            <w:tcW w:w="709" w:type="dxa"/>
            <w:tcBorders>
              <w:top w:val="single" w:sz="4" w:space="0" w:color="auto"/>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0.0505</w:t>
            </w:r>
          </w:p>
        </w:tc>
        <w:tc>
          <w:tcPr>
            <w:tcW w:w="709" w:type="dxa"/>
            <w:tcBorders>
              <w:top w:val="single" w:sz="4" w:space="0" w:color="auto"/>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0.0505</w:t>
            </w:r>
          </w:p>
        </w:tc>
        <w:tc>
          <w:tcPr>
            <w:tcW w:w="708" w:type="dxa"/>
            <w:tcBorders>
              <w:top w:val="single" w:sz="4" w:space="0" w:color="auto"/>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0.0505</w:t>
            </w:r>
          </w:p>
        </w:tc>
      </w:tr>
      <w:tr w:rsidR="001D0350" w:rsidRPr="00D55DC6" w:rsidTr="00200C0B">
        <w:trPr>
          <w:trHeight w:val="330"/>
        </w:trPr>
        <w:tc>
          <w:tcPr>
            <w:tcW w:w="1858" w:type="dxa"/>
            <w:tcBorders>
              <w:top w:val="single" w:sz="4" w:space="0" w:color="auto"/>
              <w:left w:val="single" w:sz="4" w:space="0" w:color="auto"/>
              <w:bottom w:val="single" w:sz="4" w:space="0" w:color="auto"/>
              <w:right w:val="single" w:sz="4" w:space="0" w:color="auto"/>
            </w:tcBorders>
            <w:shd w:val="clear" w:color="000000" w:fill="FFFF00"/>
            <w:vAlign w:val="center"/>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合</w:t>
            </w:r>
            <w:r w:rsidRPr="00D55DC6">
              <w:rPr>
                <w:rFonts w:eastAsia="標楷體"/>
                <w:kern w:val="0"/>
                <w:sz w:val="20"/>
                <w:szCs w:val="20"/>
              </w:rPr>
              <w:t xml:space="preserve">      </w:t>
            </w:r>
            <w:r w:rsidRPr="00D55DC6">
              <w:rPr>
                <w:rFonts w:eastAsia="標楷體"/>
                <w:kern w:val="0"/>
                <w:sz w:val="20"/>
                <w:szCs w:val="20"/>
              </w:rPr>
              <w:t>計</w:t>
            </w:r>
          </w:p>
        </w:tc>
        <w:tc>
          <w:tcPr>
            <w:tcW w:w="708" w:type="dxa"/>
            <w:tcBorders>
              <w:top w:val="single" w:sz="4" w:space="0" w:color="auto"/>
              <w:left w:val="nil"/>
              <w:bottom w:val="single" w:sz="4" w:space="0" w:color="auto"/>
              <w:right w:val="single" w:sz="4" w:space="0" w:color="auto"/>
            </w:tcBorders>
            <w:shd w:val="clear" w:color="000000" w:fill="FFFF00"/>
            <w:noWrap/>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0.1353</w:t>
            </w:r>
          </w:p>
        </w:tc>
        <w:tc>
          <w:tcPr>
            <w:tcW w:w="709" w:type="dxa"/>
            <w:tcBorders>
              <w:top w:val="single" w:sz="4" w:space="0" w:color="auto"/>
              <w:left w:val="nil"/>
              <w:bottom w:val="single" w:sz="4" w:space="0" w:color="auto"/>
              <w:right w:val="single" w:sz="4" w:space="0" w:color="auto"/>
            </w:tcBorders>
            <w:shd w:val="clear" w:color="000000" w:fill="FFFF00"/>
            <w:noWrap/>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0.2343</w:t>
            </w:r>
          </w:p>
        </w:tc>
        <w:tc>
          <w:tcPr>
            <w:tcW w:w="709" w:type="dxa"/>
            <w:tcBorders>
              <w:top w:val="single" w:sz="4" w:space="0" w:color="auto"/>
              <w:left w:val="nil"/>
              <w:bottom w:val="single" w:sz="4" w:space="0" w:color="auto"/>
              <w:right w:val="single" w:sz="4" w:space="0" w:color="auto"/>
            </w:tcBorders>
            <w:shd w:val="clear" w:color="000000" w:fill="FFFF00"/>
            <w:noWrap/>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0.3237</w:t>
            </w:r>
          </w:p>
        </w:tc>
        <w:tc>
          <w:tcPr>
            <w:tcW w:w="709" w:type="dxa"/>
            <w:tcBorders>
              <w:top w:val="single" w:sz="4" w:space="0" w:color="auto"/>
              <w:left w:val="nil"/>
              <w:bottom w:val="single" w:sz="4" w:space="0" w:color="auto"/>
              <w:right w:val="single" w:sz="4" w:space="0" w:color="auto"/>
            </w:tcBorders>
            <w:shd w:val="clear" w:color="000000" w:fill="FFFF00"/>
            <w:noWrap/>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0.3637</w:t>
            </w:r>
          </w:p>
        </w:tc>
        <w:tc>
          <w:tcPr>
            <w:tcW w:w="708" w:type="dxa"/>
            <w:tcBorders>
              <w:top w:val="single" w:sz="4" w:space="0" w:color="auto"/>
              <w:left w:val="nil"/>
              <w:bottom w:val="single" w:sz="4" w:space="0" w:color="auto"/>
              <w:right w:val="single" w:sz="4" w:space="0" w:color="auto"/>
            </w:tcBorders>
            <w:shd w:val="clear" w:color="000000" w:fill="FFFF00"/>
            <w:noWrap/>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0.4347</w:t>
            </w:r>
          </w:p>
        </w:tc>
        <w:tc>
          <w:tcPr>
            <w:tcW w:w="670" w:type="dxa"/>
            <w:tcBorders>
              <w:top w:val="single" w:sz="4" w:space="0" w:color="auto"/>
              <w:left w:val="nil"/>
              <w:bottom w:val="single" w:sz="4" w:space="0" w:color="auto"/>
              <w:right w:val="single" w:sz="4" w:space="0" w:color="auto"/>
            </w:tcBorders>
            <w:shd w:val="clear" w:color="000000" w:fill="FFFF00"/>
            <w:noWrap/>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0.5367</w:t>
            </w:r>
          </w:p>
        </w:tc>
        <w:tc>
          <w:tcPr>
            <w:tcW w:w="670" w:type="dxa"/>
            <w:tcBorders>
              <w:top w:val="single" w:sz="4" w:space="0" w:color="auto"/>
              <w:left w:val="nil"/>
              <w:bottom w:val="single" w:sz="4" w:space="0" w:color="auto"/>
              <w:right w:val="single" w:sz="4" w:space="0" w:color="auto"/>
            </w:tcBorders>
            <w:shd w:val="clear" w:color="000000" w:fill="FFFF00"/>
            <w:noWrap/>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0.5953</w:t>
            </w:r>
          </w:p>
        </w:tc>
        <w:tc>
          <w:tcPr>
            <w:tcW w:w="709" w:type="dxa"/>
            <w:tcBorders>
              <w:top w:val="single" w:sz="4" w:space="0" w:color="auto"/>
              <w:left w:val="nil"/>
              <w:bottom w:val="single" w:sz="4" w:space="0" w:color="auto"/>
              <w:right w:val="single" w:sz="4" w:space="0" w:color="auto"/>
            </w:tcBorders>
            <w:shd w:val="clear" w:color="000000" w:fill="FFFF00"/>
            <w:noWrap/>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0.6034</w:t>
            </w:r>
          </w:p>
        </w:tc>
        <w:tc>
          <w:tcPr>
            <w:tcW w:w="709" w:type="dxa"/>
            <w:tcBorders>
              <w:top w:val="single" w:sz="4" w:space="0" w:color="auto"/>
              <w:left w:val="nil"/>
              <w:bottom w:val="single" w:sz="4" w:space="0" w:color="auto"/>
              <w:right w:val="single" w:sz="4" w:space="0" w:color="auto"/>
            </w:tcBorders>
            <w:shd w:val="clear" w:color="000000" w:fill="FFFF00"/>
            <w:noWrap/>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0.6117</w:t>
            </w:r>
          </w:p>
        </w:tc>
        <w:tc>
          <w:tcPr>
            <w:tcW w:w="708" w:type="dxa"/>
            <w:tcBorders>
              <w:top w:val="single" w:sz="4" w:space="0" w:color="auto"/>
              <w:left w:val="nil"/>
              <w:bottom w:val="single" w:sz="4" w:space="0" w:color="auto"/>
              <w:right w:val="single" w:sz="4" w:space="0" w:color="auto"/>
            </w:tcBorders>
            <w:shd w:val="clear" w:color="000000" w:fill="FFFF00"/>
            <w:noWrap/>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0.6201</w:t>
            </w:r>
          </w:p>
        </w:tc>
      </w:tr>
    </w:tbl>
    <w:p w:rsidR="00200C0B" w:rsidRPr="00D55DC6" w:rsidRDefault="00200C0B" w:rsidP="00200C0B">
      <w:pPr>
        <w:keepNext/>
        <w:ind w:rightChars="-316" w:right="-758"/>
        <w:rPr>
          <w:rFonts w:eastAsia="標楷體"/>
          <w:sz w:val="20"/>
          <w:szCs w:val="20"/>
        </w:rPr>
      </w:pPr>
    </w:p>
    <w:p w:rsidR="000725AB" w:rsidRPr="00D55DC6" w:rsidRDefault="000725AB" w:rsidP="000725AB">
      <w:r w:rsidRPr="00D55DC6">
        <w:br w:type="page"/>
      </w:r>
    </w:p>
    <w:tbl>
      <w:tblPr>
        <w:tblW w:w="9646" w:type="dxa"/>
        <w:tblInd w:w="13" w:type="dxa"/>
        <w:tblCellMar>
          <w:left w:w="28" w:type="dxa"/>
          <w:right w:w="28" w:type="dxa"/>
        </w:tblCellMar>
        <w:tblLook w:val="04A0" w:firstRow="1" w:lastRow="0" w:firstColumn="1" w:lastColumn="0" w:noHBand="0" w:noVBand="1"/>
      </w:tblPr>
      <w:tblGrid>
        <w:gridCol w:w="1858"/>
        <w:gridCol w:w="709"/>
        <w:gridCol w:w="709"/>
        <w:gridCol w:w="708"/>
        <w:gridCol w:w="709"/>
        <w:gridCol w:w="709"/>
        <w:gridCol w:w="674"/>
        <w:gridCol w:w="658"/>
        <w:gridCol w:w="714"/>
        <w:gridCol w:w="672"/>
        <w:gridCol w:w="742"/>
        <w:gridCol w:w="784"/>
      </w:tblGrid>
      <w:tr w:rsidR="001D0350" w:rsidRPr="00D55DC6" w:rsidTr="00200C0B">
        <w:trPr>
          <w:trHeight w:val="345"/>
        </w:trPr>
        <w:tc>
          <w:tcPr>
            <w:tcW w:w="1858" w:type="dxa"/>
            <w:tcBorders>
              <w:top w:val="single" w:sz="4" w:space="0" w:color="auto"/>
              <w:left w:val="single" w:sz="4" w:space="0" w:color="auto"/>
              <w:bottom w:val="single" w:sz="4" w:space="0" w:color="auto"/>
              <w:right w:val="single" w:sz="4" w:space="0" w:color="auto"/>
            </w:tcBorders>
            <w:shd w:val="clear" w:color="auto" w:fill="auto"/>
            <w:hideMark/>
          </w:tcPr>
          <w:p w:rsidR="00200C0B" w:rsidRPr="00D55DC6" w:rsidRDefault="00200C0B" w:rsidP="00200C0B">
            <w:pPr>
              <w:widowControl/>
              <w:spacing w:line="0" w:lineRule="atLeast"/>
              <w:rPr>
                <w:kern w:val="0"/>
                <w:sz w:val="20"/>
                <w:szCs w:val="20"/>
              </w:rPr>
            </w:pPr>
            <w:r w:rsidRPr="00D55DC6">
              <w:rPr>
                <w:kern w:val="0"/>
                <w:sz w:val="20"/>
                <w:szCs w:val="20"/>
              </w:rPr>
              <w:lastRenderedPageBreak/>
              <w:t xml:space="preserve">　</w:t>
            </w:r>
          </w:p>
        </w:tc>
        <w:tc>
          <w:tcPr>
            <w:tcW w:w="2126" w:type="dxa"/>
            <w:gridSpan w:val="3"/>
            <w:tcBorders>
              <w:top w:val="single" w:sz="4" w:space="0" w:color="auto"/>
              <w:left w:val="nil"/>
              <w:bottom w:val="single" w:sz="4" w:space="0" w:color="auto"/>
              <w:right w:val="single" w:sz="4" w:space="0" w:color="auto"/>
            </w:tcBorders>
            <w:shd w:val="clear" w:color="000000" w:fill="FFFF99"/>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中期</w:t>
            </w:r>
          </w:p>
        </w:tc>
        <w:tc>
          <w:tcPr>
            <w:tcW w:w="4878" w:type="dxa"/>
            <w:gridSpan w:val="7"/>
            <w:tcBorders>
              <w:top w:val="single" w:sz="4" w:space="0" w:color="auto"/>
              <w:left w:val="nil"/>
              <w:bottom w:val="single" w:sz="4" w:space="0" w:color="auto"/>
              <w:right w:val="single" w:sz="4" w:space="0" w:color="auto"/>
            </w:tcBorders>
            <w:shd w:val="clear" w:color="000000" w:fill="FFFF99"/>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長期</w:t>
            </w:r>
          </w:p>
        </w:tc>
        <w:tc>
          <w:tcPr>
            <w:tcW w:w="784" w:type="dxa"/>
            <w:tcBorders>
              <w:top w:val="single" w:sz="8" w:space="0" w:color="auto"/>
              <w:left w:val="nil"/>
              <w:bottom w:val="single" w:sz="8" w:space="0" w:color="auto"/>
              <w:right w:val="single" w:sz="8" w:space="0" w:color="auto"/>
            </w:tcBorders>
            <w:shd w:val="clear" w:color="000000" w:fill="FFFF99"/>
            <w:vAlign w:val="center"/>
            <w:hideMark/>
          </w:tcPr>
          <w:p w:rsidR="00200C0B" w:rsidRPr="00D55DC6" w:rsidRDefault="00200C0B" w:rsidP="00200C0B">
            <w:pPr>
              <w:widowControl/>
              <w:spacing w:line="0" w:lineRule="atLeast"/>
              <w:jc w:val="center"/>
              <w:rPr>
                <w:rFonts w:eastAsia="標楷體"/>
                <w:b/>
                <w:bCs/>
                <w:kern w:val="0"/>
                <w:sz w:val="20"/>
                <w:szCs w:val="20"/>
              </w:rPr>
            </w:pPr>
          </w:p>
        </w:tc>
      </w:tr>
      <w:tr w:rsidR="001D0350" w:rsidRPr="00D55DC6" w:rsidTr="00200C0B">
        <w:trPr>
          <w:trHeight w:val="345"/>
        </w:trPr>
        <w:tc>
          <w:tcPr>
            <w:tcW w:w="1858" w:type="dxa"/>
            <w:tcBorders>
              <w:top w:val="single" w:sz="4" w:space="0" w:color="auto"/>
              <w:left w:val="single" w:sz="4" w:space="0" w:color="auto"/>
              <w:bottom w:val="single" w:sz="4" w:space="0" w:color="auto"/>
              <w:right w:val="single" w:sz="4" w:space="0" w:color="auto"/>
            </w:tcBorders>
            <w:shd w:val="clear" w:color="auto" w:fill="auto"/>
            <w:hideMark/>
          </w:tcPr>
          <w:p w:rsidR="00200C0B" w:rsidRPr="00D55DC6" w:rsidRDefault="00200C0B" w:rsidP="00200C0B">
            <w:pPr>
              <w:widowControl/>
              <w:spacing w:line="0" w:lineRule="atLeast"/>
              <w:rPr>
                <w:kern w:val="0"/>
                <w:sz w:val="20"/>
                <w:szCs w:val="20"/>
              </w:rPr>
            </w:pPr>
          </w:p>
        </w:tc>
        <w:tc>
          <w:tcPr>
            <w:tcW w:w="709" w:type="dxa"/>
            <w:tcBorders>
              <w:top w:val="single" w:sz="4" w:space="0" w:color="auto"/>
              <w:left w:val="nil"/>
              <w:bottom w:val="single" w:sz="4" w:space="0" w:color="auto"/>
              <w:right w:val="single" w:sz="4" w:space="0" w:color="auto"/>
            </w:tcBorders>
            <w:shd w:val="clear" w:color="000000" w:fill="FFFF99"/>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113</w:t>
            </w:r>
            <w:r w:rsidRPr="00D55DC6">
              <w:rPr>
                <w:rFonts w:eastAsia="標楷體"/>
                <w:b/>
                <w:bCs/>
                <w:kern w:val="0"/>
                <w:sz w:val="20"/>
                <w:szCs w:val="20"/>
              </w:rPr>
              <w:t>年</w:t>
            </w:r>
          </w:p>
        </w:tc>
        <w:tc>
          <w:tcPr>
            <w:tcW w:w="709" w:type="dxa"/>
            <w:tcBorders>
              <w:top w:val="single" w:sz="4" w:space="0" w:color="auto"/>
              <w:left w:val="nil"/>
              <w:bottom w:val="single" w:sz="4" w:space="0" w:color="auto"/>
              <w:right w:val="single" w:sz="4" w:space="0" w:color="auto"/>
            </w:tcBorders>
            <w:shd w:val="clear" w:color="000000" w:fill="FFFF99"/>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114</w:t>
            </w:r>
            <w:r w:rsidRPr="00D55DC6">
              <w:rPr>
                <w:rFonts w:eastAsia="標楷體"/>
                <w:b/>
                <w:bCs/>
                <w:kern w:val="0"/>
                <w:sz w:val="20"/>
                <w:szCs w:val="20"/>
              </w:rPr>
              <w:t>年</w:t>
            </w:r>
          </w:p>
        </w:tc>
        <w:tc>
          <w:tcPr>
            <w:tcW w:w="708" w:type="dxa"/>
            <w:tcBorders>
              <w:top w:val="single" w:sz="4" w:space="0" w:color="auto"/>
              <w:left w:val="nil"/>
              <w:bottom w:val="single" w:sz="4" w:space="0" w:color="auto"/>
              <w:right w:val="single" w:sz="4" w:space="0" w:color="auto"/>
            </w:tcBorders>
            <w:shd w:val="clear" w:color="000000" w:fill="FFFF99"/>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115</w:t>
            </w:r>
            <w:r w:rsidRPr="00D55DC6">
              <w:rPr>
                <w:rFonts w:eastAsia="標楷體"/>
                <w:b/>
                <w:bCs/>
                <w:kern w:val="0"/>
                <w:sz w:val="20"/>
                <w:szCs w:val="20"/>
              </w:rPr>
              <w:t>年</w:t>
            </w:r>
          </w:p>
        </w:tc>
        <w:tc>
          <w:tcPr>
            <w:tcW w:w="709" w:type="dxa"/>
            <w:tcBorders>
              <w:top w:val="single" w:sz="4" w:space="0" w:color="auto"/>
              <w:left w:val="nil"/>
              <w:bottom w:val="single" w:sz="4" w:space="0" w:color="auto"/>
              <w:right w:val="single" w:sz="4" w:space="0" w:color="auto"/>
            </w:tcBorders>
            <w:shd w:val="clear" w:color="000000" w:fill="FFFF99"/>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116</w:t>
            </w:r>
            <w:r w:rsidRPr="00D55DC6">
              <w:rPr>
                <w:rFonts w:eastAsia="標楷體"/>
                <w:b/>
                <w:bCs/>
                <w:kern w:val="0"/>
                <w:sz w:val="20"/>
                <w:szCs w:val="20"/>
              </w:rPr>
              <w:t>年</w:t>
            </w:r>
          </w:p>
        </w:tc>
        <w:tc>
          <w:tcPr>
            <w:tcW w:w="709" w:type="dxa"/>
            <w:tcBorders>
              <w:top w:val="single" w:sz="4" w:space="0" w:color="auto"/>
              <w:left w:val="nil"/>
              <w:bottom w:val="single" w:sz="4" w:space="0" w:color="auto"/>
              <w:right w:val="single" w:sz="4" w:space="0" w:color="auto"/>
            </w:tcBorders>
            <w:shd w:val="clear" w:color="000000" w:fill="FFFF99"/>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117</w:t>
            </w:r>
            <w:r w:rsidRPr="00D55DC6">
              <w:rPr>
                <w:rFonts w:eastAsia="標楷體"/>
                <w:b/>
                <w:bCs/>
                <w:kern w:val="0"/>
                <w:sz w:val="20"/>
                <w:szCs w:val="20"/>
              </w:rPr>
              <w:t>年</w:t>
            </w:r>
          </w:p>
        </w:tc>
        <w:tc>
          <w:tcPr>
            <w:tcW w:w="674" w:type="dxa"/>
            <w:tcBorders>
              <w:top w:val="single" w:sz="4" w:space="0" w:color="auto"/>
              <w:left w:val="nil"/>
              <w:bottom w:val="single" w:sz="4" w:space="0" w:color="auto"/>
              <w:right w:val="single" w:sz="4" w:space="0" w:color="auto"/>
            </w:tcBorders>
            <w:shd w:val="clear" w:color="000000" w:fill="FFFF99"/>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118</w:t>
            </w:r>
            <w:r w:rsidRPr="00D55DC6">
              <w:rPr>
                <w:rFonts w:eastAsia="標楷體"/>
                <w:b/>
                <w:bCs/>
                <w:kern w:val="0"/>
                <w:sz w:val="20"/>
                <w:szCs w:val="20"/>
              </w:rPr>
              <w:t>年</w:t>
            </w:r>
          </w:p>
        </w:tc>
        <w:tc>
          <w:tcPr>
            <w:tcW w:w="658" w:type="dxa"/>
            <w:tcBorders>
              <w:top w:val="single" w:sz="4" w:space="0" w:color="auto"/>
              <w:left w:val="nil"/>
              <w:bottom w:val="single" w:sz="4" w:space="0" w:color="auto"/>
              <w:right w:val="single" w:sz="4" w:space="0" w:color="auto"/>
            </w:tcBorders>
            <w:shd w:val="clear" w:color="000000" w:fill="FFFF99"/>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119</w:t>
            </w:r>
            <w:r w:rsidRPr="00D55DC6">
              <w:rPr>
                <w:rFonts w:eastAsia="標楷體"/>
                <w:b/>
                <w:bCs/>
                <w:kern w:val="0"/>
                <w:sz w:val="20"/>
                <w:szCs w:val="20"/>
              </w:rPr>
              <w:t>年</w:t>
            </w:r>
          </w:p>
        </w:tc>
        <w:tc>
          <w:tcPr>
            <w:tcW w:w="714" w:type="dxa"/>
            <w:tcBorders>
              <w:top w:val="single" w:sz="4" w:space="0" w:color="auto"/>
              <w:left w:val="nil"/>
              <w:bottom w:val="single" w:sz="4" w:space="0" w:color="auto"/>
              <w:right w:val="single" w:sz="4" w:space="0" w:color="auto"/>
            </w:tcBorders>
            <w:shd w:val="clear" w:color="000000" w:fill="FFFF99"/>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120</w:t>
            </w:r>
            <w:r w:rsidRPr="00D55DC6">
              <w:rPr>
                <w:rFonts w:eastAsia="標楷體"/>
                <w:b/>
                <w:bCs/>
                <w:kern w:val="0"/>
                <w:sz w:val="20"/>
                <w:szCs w:val="20"/>
              </w:rPr>
              <w:t>年</w:t>
            </w:r>
          </w:p>
        </w:tc>
        <w:tc>
          <w:tcPr>
            <w:tcW w:w="672" w:type="dxa"/>
            <w:tcBorders>
              <w:top w:val="single" w:sz="4" w:space="0" w:color="auto"/>
              <w:left w:val="nil"/>
              <w:bottom w:val="single" w:sz="4" w:space="0" w:color="auto"/>
              <w:right w:val="single" w:sz="4" w:space="0" w:color="auto"/>
            </w:tcBorders>
            <w:shd w:val="clear" w:color="000000" w:fill="FFFF99"/>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121</w:t>
            </w:r>
            <w:r w:rsidRPr="00D55DC6">
              <w:rPr>
                <w:rFonts w:eastAsia="標楷體"/>
                <w:b/>
                <w:bCs/>
                <w:kern w:val="0"/>
                <w:sz w:val="20"/>
                <w:szCs w:val="20"/>
              </w:rPr>
              <w:t>年</w:t>
            </w:r>
          </w:p>
        </w:tc>
        <w:tc>
          <w:tcPr>
            <w:tcW w:w="742" w:type="dxa"/>
            <w:tcBorders>
              <w:top w:val="single" w:sz="4" w:space="0" w:color="auto"/>
              <w:left w:val="nil"/>
              <w:bottom w:val="single" w:sz="4" w:space="0" w:color="auto"/>
              <w:right w:val="single" w:sz="4" w:space="0" w:color="auto"/>
            </w:tcBorders>
            <w:shd w:val="clear" w:color="000000" w:fill="FFFF99"/>
            <w:vAlign w:val="center"/>
            <w:hideMark/>
          </w:tcPr>
          <w:p w:rsidR="00200C0B" w:rsidRPr="00D55DC6" w:rsidRDefault="00200C0B" w:rsidP="00200C0B">
            <w:pPr>
              <w:widowControl/>
              <w:spacing w:line="0" w:lineRule="atLeast"/>
              <w:jc w:val="center"/>
              <w:rPr>
                <w:b/>
                <w:bCs/>
                <w:kern w:val="0"/>
                <w:sz w:val="20"/>
                <w:szCs w:val="20"/>
              </w:rPr>
            </w:pPr>
            <w:r w:rsidRPr="00D55DC6">
              <w:rPr>
                <w:b/>
                <w:bCs/>
                <w:kern w:val="0"/>
                <w:sz w:val="20"/>
                <w:szCs w:val="20"/>
              </w:rPr>
              <w:t>122</w:t>
            </w:r>
            <w:r w:rsidRPr="00D55DC6">
              <w:rPr>
                <w:rFonts w:eastAsia="標楷體"/>
                <w:b/>
                <w:bCs/>
                <w:kern w:val="0"/>
                <w:sz w:val="20"/>
                <w:szCs w:val="20"/>
              </w:rPr>
              <w:t>年</w:t>
            </w:r>
          </w:p>
        </w:tc>
        <w:tc>
          <w:tcPr>
            <w:tcW w:w="784" w:type="dxa"/>
            <w:tcBorders>
              <w:top w:val="single" w:sz="8" w:space="0" w:color="auto"/>
              <w:left w:val="nil"/>
              <w:bottom w:val="single" w:sz="8" w:space="0" w:color="auto"/>
              <w:right w:val="single" w:sz="8" w:space="0" w:color="auto"/>
            </w:tcBorders>
            <w:shd w:val="clear" w:color="000000" w:fill="FFFF99"/>
            <w:vAlign w:val="center"/>
            <w:hideMark/>
          </w:tcPr>
          <w:p w:rsidR="00200C0B" w:rsidRPr="00D55DC6" w:rsidRDefault="00200C0B" w:rsidP="00200C0B">
            <w:pPr>
              <w:widowControl/>
              <w:spacing w:line="0" w:lineRule="atLeast"/>
              <w:jc w:val="center"/>
              <w:rPr>
                <w:rFonts w:eastAsia="標楷體"/>
                <w:b/>
                <w:bCs/>
                <w:kern w:val="0"/>
                <w:sz w:val="20"/>
                <w:szCs w:val="20"/>
              </w:rPr>
            </w:pPr>
            <w:r w:rsidRPr="00D55DC6">
              <w:rPr>
                <w:rFonts w:eastAsia="標楷體"/>
                <w:b/>
                <w:bCs/>
                <w:kern w:val="0"/>
                <w:sz w:val="20"/>
                <w:szCs w:val="20"/>
              </w:rPr>
              <w:t>合計</w:t>
            </w:r>
          </w:p>
        </w:tc>
      </w:tr>
      <w:tr w:rsidR="001D0350" w:rsidRPr="00D55DC6" w:rsidTr="00200C0B">
        <w:trPr>
          <w:trHeight w:val="345"/>
        </w:trPr>
        <w:tc>
          <w:tcPr>
            <w:tcW w:w="1858" w:type="dxa"/>
            <w:tcBorders>
              <w:top w:val="nil"/>
              <w:left w:val="single" w:sz="4" w:space="0" w:color="auto"/>
              <w:bottom w:val="single" w:sz="4" w:space="0" w:color="auto"/>
              <w:right w:val="single" w:sz="4" w:space="0" w:color="auto"/>
            </w:tcBorders>
            <w:shd w:val="clear" w:color="000000" w:fill="FFFF00"/>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服務收入</w:t>
            </w:r>
          </w:p>
        </w:tc>
        <w:tc>
          <w:tcPr>
            <w:tcW w:w="709" w:type="dxa"/>
            <w:tcBorders>
              <w:top w:val="nil"/>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0.0566</w:t>
            </w:r>
          </w:p>
        </w:tc>
        <w:tc>
          <w:tcPr>
            <w:tcW w:w="709" w:type="dxa"/>
            <w:tcBorders>
              <w:top w:val="nil"/>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0.0574</w:t>
            </w:r>
          </w:p>
        </w:tc>
        <w:tc>
          <w:tcPr>
            <w:tcW w:w="708" w:type="dxa"/>
            <w:tcBorders>
              <w:top w:val="nil"/>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0.0583</w:t>
            </w:r>
          </w:p>
        </w:tc>
        <w:tc>
          <w:tcPr>
            <w:tcW w:w="709" w:type="dxa"/>
            <w:tcBorders>
              <w:top w:val="nil"/>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0.0591</w:t>
            </w:r>
          </w:p>
        </w:tc>
        <w:tc>
          <w:tcPr>
            <w:tcW w:w="709" w:type="dxa"/>
            <w:tcBorders>
              <w:top w:val="nil"/>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0.0600</w:t>
            </w:r>
          </w:p>
        </w:tc>
        <w:tc>
          <w:tcPr>
            <w:tcW w:w="674" w:type="dxa"/>
            <w:tcBorders>
              <w:top w:val="nil"/>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0.0609</w:t>
            </w:r>
          </w:p>
        </w:tc>
        <w:tc>
          <w:tcPr>
            <w:tcW w:w="658" w:type="dxa"/>
            <w:tcBorders>
              <w:top w:val="nil"/>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0.0618</w:t>
            </w:r>
          </w:p>
        </w:tc>
        <w:tc>
          <w:tcPr>
            <w:tcW w:w="714" w:type="dxa"/>
            <w:tcBorders>
              <w:top w:val="nil"/>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0.0628</w:t>
            </w:r>
          </w:p>
        </w:tc>
        <w:tc>
          <w:tcPr>
            <w:tcW w:w="672" w:type="dxa"/>
            <w:tcBorders>
              <w:top w:val="nil"/>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0.0637</w:t>
            </w:r>
          </w:p>
        </w:tc>
        <w:tc>
          <w:tcPr>
            <w:tcW w:w="742" w:type="dxa"/>
            <w:tcBorders>
              <w:top w:val="nil"/>
              <w:left w:val="nil"/>
              <w:bottom w:val="single" w:sz="4" w:space="0" w:color="auto"/>
              <w:right w:val="single" w:sz="4" w:space="0" w:color="auto"/>
            </w:tcBorders>
            <w:shd w:val="clear" w:color="000000" w:fill="FFFF00"/>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0.0647</w:t>
            </w:r>
          </w:p>
        </w:tc>
        <w:tc>
          <w:tcPr>
            <w:tcW w:w="784" w:type="dxa"/>
            <w:tcBorders>
              <w:top w:val="nil"/>
              <w:left w:val="nil"/>
              <w:bottom w:val="single" w:sz="8" w:space="0" w:color="auto"/>
              <w:right w:val="single" w:sz="8" w:space="0" w:color="auto"/>
            </w:tcBorders>
            <w:shd w:val="clear" w:color="000000" w:fill="FFFF00"/>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1.2133</w:t>
            </w:r>
          </w:p>
        </w:tc>
      </w:tr>
      <w:tr w:rsidR="001D0350" w:rsidRPr="00D55DC6" w:rsidTr="00200C0B">
        <w:trPr>
          <w:trHeight w:val="447"/>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既有各遊憩據點出租租金、門票、清潔維護收入</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0.0458</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0.0465</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0.0472</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0.0479</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0.0486</w:t>
            </w:r>
          </w:p>
        </w:tc>
        <w:tc>
          <w:tcPr>
            <w:tcW w:w="67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0.0493</w:t>
            </w:r>
          </w:p>
        </w:tc>
        <w:tc>
          <w:tcPr>
            <w:tcW w:w="65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0.0501</w:t>
            </w:r>
          </w:p>
        </w:tc>
        <w:tc>
          <w:tcPr>
            <w:tcW w:w="71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0.0508</w:t>
            </w:r>
          </w:p>
        </w:tc>
        <w:tc>
          <w:tcPr>
            <w:tcW w:w="672"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0.0516</w:t>
            </w:r>
          </w:p>
        </w:tc>
        <w:tc>
          <w:tcPr>
            <w:tcW w:w="742"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0.0523</w:t>
            </w:r>
          </w:p>
        </w:tc>
        <w:tc>
          <w:tcPr>
            <w:tcW w:w="784" w:type="dxa"/>
            <w:tcBorders>
              <w:top w:val="nil"/>
              <w:left w:val="nil"/>
              <w:bottom w:val="single" w:sz="8" w:space="0" w:color="auto"/>
              <w:right w:val="single" w:sz="8"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1.0065</w:t>
            </w:r>
          </w:p>
        </w:tc>
      </w:tr>
      <w:tr w:rsidR="001D0350" w:rsidRPr="00D55DC6" w:rsidTr="00200C0B">
        <w:trPr>
          <w:trHeight w:val="330"/>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ind w:hanging="13"/>
              <w:rPr>
                <w:rFonts w:eastAsia="標楷體"/>
                <w:kern w:val="0"/>
                <w:sz w:val="20"/>
                <w:szCs w:val="20"/>
              </w:rPr>
            </w:pPr>
            <w:r w:rsidRPr="00D55DC6">
              <w:rPr>
                <w:rFonts w:eastAsia="標楷體"/>
                <w:kern w:val="0"/>
                <w:sz w:val="20"/>
                <w:szCs w:val="20"/>
              </w:rPr>
              <w:t>福隆停車場收費</w:t>
            </w:r>
          </w:p>
        </w:tc>
        <w:tc>
          <w:tcPr>
            <w:tcW w:w="709" w:type="dxa"/>
            <w:tcBorders>
              <w:top w:val="nil"/>
              <w:left w:val="nil"/>
              <w:bottom w:val="nil"/>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0.0108</w:t>
            </w:r>
          </w:p>
        </w:tc>
        <w:tc>
          <w:tcPr>
            <w:tcW w:w="709" w:type="dxa"/>
            <w:tcBorders>
              <w:top w:val="nil"/>
              <w:left w:val="nil"/>
              <w:bottom w:val="nil"/>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0.0109</w:t>
            </w:r>
          </w:p>
        </w:tc>
        <w:tc>
          <w:tcPr>
            <w:tcW w:w="708" w:type="dxa"/>
            <w:tcBorders>
              <w:top w:val="nil"/>
              <w:left w:val="nil"/>
              <w:bottom w:val="nil"/>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0.0111</w:t>
            </w:r>
          </w:p>
        </w:tc>
        <w:tc>
          <w:tcPr>
            <w:tcW w:w="709" w:type="dxa"/>
            <w:tcBorders>
              <w:top w:val="nil"/>
              <w:left w:val="nil"/>
              <w:bottom w:val="nil"/>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0.0113</w:t>
            </w:r>
          </w:p>
        </w:tc>
        <w:tc>
          <w:tcPr>
            <w:tcW w:w="709" w:type="dxa"/>
            <w:tcBorders>
              <w:top w:val="nil"/>
              <w:left w:val="nil"/>
              <w:bottom w:val="nil"/>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0.0114</w:t>
            </w:r>
          </w:p>
        </w:tc>
        <w:tc>
          <w:tcPr>
            <w:tcW w:w="674" w:type="dxa"/>
            <w:tcBorders>
              <w:top w:val="nil"/>
              <w:left w:val="nil"/>
              <w:bottom w:val="nil"/>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0.0116</w:t>
            </w:r>
          </w:p>
        </w:tc>
        <w:tc>
          <w:tcPr>
            <w:tcW w:w="658" w:type="dxa"/>
            <w:tcBorders>
              <w:top w:val="nil"/>
              <w:left w:val="nil"/>
              <w:bottom w:val="nil"/>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0.0118</w:t>
            </w:r>
          </w:p>
        </w:tc>
        <w:tc>
          <w:tcPr>
            <w:tcW w:w="714" w:type="dxa"/>
            <w:tcBorders>
              <w:top w:val="nil"/>
              <w:left w:val="nil"/>
              <w:bottom w:val="nil"/>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0.0120</w:t>
            </w:r>
          </w:p>
        </w:tc>
        <w:tc>
          <w:tcPr>
            <w:tcW w:w="672" w:type="dxa"/>
            <w:tcBorders>
              <w:top w:val="nil"/>
              <w:left w:val="nil"/>
              <w:bottom w:val="nil"/>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0.0121</w:t>
            </w:r>
          </w:p>
        </w:tc>
        <w:tc>
          <w:tcPr>
            <w:tcW w:w="742" w:type="dxa"/>
            <w:tcBorders>
              <w:top w:val="nil"/>
              <w:left w:val="nil"/>
              <w:bottom w:val="nil"/>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0.0123</w:t>
            </w:r>
          </w:p>
        </w:tc>
        <w:tc>
          <w:tcPr>
            <w:tcW w:w="784" w:type="dxa"/>
            <w:tcBorders>
              <w:top w:val="nil"/>
              <w:left w:val="nil"/>
              <w:bottom w:val="nil"/>
              <w:right w:val="single" w:sz="8"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0.2068</w:t>
            </w:r>
          </w:p>
        </w:tc>
      </w:tr>
      <w:tr w:rsidR="001D0350" w:rsidRPr="00D55DC6" w:rsidTr="00200C0B">
        <w:trPr>
          <w:trHeight w:val="330"/>
        </w:trPr>
        <w:tc>
          <w:tcPr>
            <w:tcW w:w="1858" w:type="dxa"/>
            <w:tcBorders>
              <w:top w:val="nil"/>
              <w:left w:val="single" w:sz="4" w:space="0" w:color="auto"/>
              <w:bottom w:val="single" w:sz="4" w:space="0" w:color="auto"/>
              <w:right w:val="single" w:sz="4" w:space="0" w:color="auto"/>
            </w:tcBorders>
            <w:shd w:val="clear" w:color="000000" w:fill="FFFF00"/>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租金及權利金收入</w:t>
            </w:r>
          </w:p>
        </w:tc>
        <w:tc>
          <w:tcPr>
            <w:tcW w:w="709" w:type="dxa"/>
            <w:tcBorders>
              <w:top w:val="single" w:sz="4" w:space="0" w:color="auto"/>
              <w:left w:val="nil"/>
              <w:bottom w:val="single" w:sz="4" w:space="0" w:color="auto"/>
              <w:right w:val="single" w:sz="4" w:space="0" w:color="auto"/>
            </w:tcBorders>
            <w:shd w:val="clear" w:color="000000" w:fill="FFFF00"/>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0.5216</w:t>
            </w:r>
          </w:p>
        </w:tc>
        <w:tc>
          <w:tcPr>
            <w:tcW w:w="709" w:type="dxa"/>
            <w:tcBorders>
              <w:top w:val="single" w:sz="4" w:space="0" w:color="auto"/>
              <w:left w:val="nil"/>
              <w:bottom w:val="single" w:sz="4" w:space="0" w:color="auto"/>
              <w:right w:val="single" w:sz="4" w:space="0" w:color="auto"/>
            </w:tcBorders>
            <w:shd w:val="clear" w:color="000000" w:fill="FFFF00"/>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0.5294</w:t>
            </w:r>
          </w:p>
        </w:tc>
        <w:tc>
          <w:tcPr>
            <w:tcW w:w="708" w:type="dxa"/>
            <w:tcBorders>
              <w:top w:val="single" w:sz="4" w:space="0" w:color="auto"/>
              <w:left w:val="nil"/>
              <w:bottom w:val="single" w:sz="4" w:space="0" w:color="auto"/>
              <w:right w:val="single" w:sz="4" w:space="0" w:color="auto"/>
            </w:tcBorders>
            <w:shd w:val="clear" w:color="000000" w:fill="FFFF00"/>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0.5374</w:t>
            </w:r>
          </w:p>
        </w:tc>
        <w:tc>
          <w:tcPr>
            <w:tcW w:w="709" w:type="dxa"/>
            <w:tcBorders>
              <w:top w:val="single" w:sz="4" w:space="0" w:color="auto"/>
              <w:left w:val="nil"/>
              <w:bottom w:val="single" w:sz="4" w:space="0" w:color="auto"/>
              <w:right w:val="single" w:sz="4" w:space="0" w:color="auto"/>
            </w:tcBorders>
            <w:shd w:val="clear" w:color="000000" w:fill="FFFF00"/>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0.5454</w:t>
            </w:r>
          </w:p>
        </w:tc>
        <w:tc>
          <w:tcPr>
            <w:tcW w:w="709" w:type="dxa"/>
            <w:tcBorders>
              <w:top w:val="single" w:sz="4" w:space="0" w:color="auto"/>
              <w:left w:val="nil"/>
              <w:bottom w:val="single" w:sz="4" w:space="0" w:color="auto"/>
              <w:right w:val="single" w:sz="4" w:space="0" w:color="auto"/>
            </w:tcBorders>
            <w:shd w:val="clear" w:color="000000" w:fill="FFFF00"/>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0.5536</w:t>
            </w:r>
          </w:p>
        </w:tc>
        <w:tc>
          <w:tcPr>
            <w:tcW w:w="674" w:type="dxa"/>
            <w:tcBorders>
              <w:top w:val="single" w:sz="4" w:space="0" w:color="auto"/>
              <w:left w:val="nil"/>
              <w:bottom w:val="single" w:sz="4" w:space="0" w:color="auto"/>
              <w:right w:val="single" w:sz="4" w:space="0" w:color="auto"/>
            </w:tcBorders>
            <w:shd w:val="clear" w:color="000000" w:fill="FFFF00"/>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0.5619</w:t>
            </w:r>
          </w:p>
        </w:tc>
        <w:tc>
          <w:tcPr>
            <w:tcW w:w="658" w:type="dxa"/>
            <w:tcBorders>
              <w:top w:val="single" w:sz="4" w:space="0" w:color="auto"/>
              <w:left w:val="nil"/>
              <w:bottom w:val="single" w:sz="4" w:space="0" w:color="auto"/>
              <w:right w:val="single" w:sz="4" w:space="0" w:color="auto"/>
            </w:tcBorders>
            <w:shd w:val="clear" w:color="000000" w:fill="FFFF00"/>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0.5704</w:t>
            </w:r>
          </w:p>
        </w:tc>
        <w:tc>
          <w:tcPr>
            <w:tcW w:w="714" w:type="dxa"/>
            <w:tcBorders>
              <w:top w:val="single" w:sz="4" w:space="0" w:color="auto"/>
              <w:left w:val="nil"/>
              <w:bottom w:val="single" w:sz="4" w:space="0" w:color="auto"/>
              <w:right w:val="single" w:sz="4" w:space="0" w:color="auto"/>
            </w:tcBorders>
            <w:shd w:val="clear" w:color="000000" w:fill="FFFF00"/>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0.5789</w:t>
            </w:r>
          </w:p>
        </w:tc>
        <w:tc>
          <w:tcPr>
            <w:tcW w:w="672" w:type="dxa"/>
            <w:tcBorders>
              <w:top w:val="single" w:sz="4" w:space="0" w:color="auto"/>
              <w:left w:val="nil"/>
              <w:bottom w:val="single" w:sz="4" w:space="0" w:color="auto"/>
              <w:right w:val="single" w:sz="4" w:space="0" w:color="auto"/>
            </w:tcBorders>
            <w:shd w:val="clear" w:color="000000" w:fill="FFFF00"/>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0.5876</w:t>
            </w:r>
          </w:p>
        </w:tc>
        <w:tc>
          <w:tcPr>
            <w:tcW w:w="742" w:type="dxa"/>
            <w:tcBorders>
              <w:top w:val="single" w:sz="4" w:space="0" w:color="auto"/>
              <w:left w:val="nil"/>
              <w:bottom w:val="single" w:sz="4" w:space="0" w:color="auto"/>
              <w:right w:val="single" w:sz="4" w:space="0" w:color="auto"/>
            </w:tcBorders>
            <w:shd w:val="clear" w:color="000000" w:fill="FFFF00"/>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0.5964</w:t>
            </w:r>
          </w:p>
        </w:tc>
        <w:tc>
          <w:tcPr>
            <w:tcW w:w="784" w:type="dxa"/>
            <w:tcBorders>
              <w:top w:val="single" w:sz="4" w:space="0" w:color="auto"/>
              <w:left w:val="nil"/>
              <w:bottom w:val="single" w:sz="4" w:space="0" w:color="auto"/>
              <w:right w:val="single" w:sz="4" w:space="0" w:color="auto"/>
            </w:tcBorders>
            <w:shd w:val="clear" w:color="000000" w:fill="FFFF00"/>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9.4963</w:t>
            </w:r>
          </w:p>
        </w:tc>
      </w:tr>
      <w:tr w:rsidR="001D0350" w:rsidRPr="00D55DC6" w:rsidTr="00200C0B">
        <w:trPr>
          <w:trHeight w:val="238"/>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福隆濱海旅館區</w:t>
            </w:r>
            <w:r w:rsidRPr="00D55DC6">
              <w:rPr>
                <w:rFonts w:eastAsia="標楷體"/>
                <w:kern w:val="0"/>
                <w:sz w:val="20"/>
                <w:szCs w:val="20"/>
              </w:rPr>
              <w:t>ROT+BOT</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0.0657</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0.0667</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0.0677</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0.0687</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0.0697</w:t>
            </w:r>
          </w:p>
        </w:tc>
        <w:tc>
          <w:tcPr>
            <w:tcW w:w="67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0.0708</w:t>
            </w:r>
          </w:p>
        </w:tc>
        <w:tc>
          <w:tcPr>
            <w:tcW w:w="65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0.0719</w:t>
            </w:r>
          </w:p>
        </w:tc>
        <w:tc>
          <w:tcPr>
            <w:tcW w:w="71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0.0729</w:t>
            </w:r>
          </w:p>
        </w:tc>
        <w:tc>
          <w:tcPr>
            <w:tcW w:w="672"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0.0740</w:t>
            </w:r>
          </w:p>
        </w:tc>
        <w:tc>
          <w:tcPr>
            <w:tcW w:w="742"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0.0751</w:t>
            </w:r>
          </w:p>
        </w:tc>
        <w:tc>
          <w:tcPr>
            <w:tcW w:w="78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1.4386</w:t>
            </w:r>
          </w:p>
        </w:tc>
      </w:tr>
      <w:tr w:rsidR="001D0350" w:rsidRPr="00D55DC6" w:rsidTr="00200C0B">
        <w:trPr>
          <w:trHeight w:val="302"/>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龍洞南口海洋公園及遊艇港</w:t>
            </w:r>
            <w:r w:rsidRPr="00D55DC6">
              <w:rPr>
                <w:rFonts w:eastAsia="標楷體"/>
                <w:kern w:val="0"/>
                <w:sz w:val="20"/>
                <w:szCs w:val="20"/>
              </w:rPr>
              <w:t>ROT</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0.0178</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0.0180</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0.0183</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0.0186</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0.0189</w:t>
            </w:r>
          </w:p>
        </w:tc>
        <w:tc>
          <w:tcPr>
            <w:tcW w:w="67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0.0191</w:t>
            </w:r>
          </w:p>
        </w:tc>
        <w:tc>
          <w:tcPr>
            <w:tcW w:w="65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0.0194</w:t>
            </w:r>
          </w:p>
        </w:tc>
        <w:tc>
          <w:tcPr>
            <w:tcW w:w="71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0.0197</w:t>
            </w:r>
          </w:p>
        </w:tc>
        <w:tc>
          <w:tcPr>
            <w:tcW w:w="672"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0.0200</w:t>
            </w:r>
          </w:p>
        </w:tc>
        <w:tc>
          <w:tcPr>
            <w:tcW w:w="742"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0.0203</w:t>
            </w:r>
          </w:p>
        </w:tc>
        <w:tc>
          <w:tcPr>
            <w:tcW w:w="78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0.3908</w:t>
            </w:r>
          </w:p>
        </w:tc>
      </w:tr>
      <w:tr w:rsidR="001D0350" w:rsidRPr="00D55DC6" w:rsidTr="00200C0B">
        <w:trPr>
          <w:trHeight w:val="82"/>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宜蘭縣頭城鎮外澳服務區營運移轉案</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0.0116</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0.0118</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0.0120</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0.0122</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0.0123</w:t>
            </w:r>
          </w:p>
        </w:tc>
        <w:tc>
          <w:tcPr>
            <w:tcW w:w="67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0.0125</w:t>
            </w:r>
          </w:p>
        </w:tc>
        <w:tc>
          <w:tcPr>
            <w:tcW w:w="65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0.0127</w:t>
            </w:r>
          </w:p>
        </w:tc>
        <w:tc>
          <w:tcPr>
            <w:tcW w:w="71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0.0129</w:t>
            </w:r>
          </w:p>
        </w:tc>
        <w:tc>
          <w:tcPr>
            <w:tcW w:w="672"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0.0131</w:t>
            </w:r>
          </w:p>
        </w:tc>
        <w:tc>
          <w:tcPr>
            <w:tcW w:w="742"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0.0133</w:t>
            </w:r>
          </w:p>
        </w:tc>
        <w:tc>
          <w:tcPr>
            <w:tcW w:w="78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0.2528</w:t>
            </w:r>
          </w:p>
        </w:tc>
      </w:tr>
      <w:tr w:rsidR="001D0350" w:rsidRPr="00D55DC6" w:rsidTr="00200C0B">
        <w:trPr>
          <w:trHeight w:val="232"/>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石城服務區委託民間參與營運案</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0.0059</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0.0060</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0.0061</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0.0062</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0.0063</w:t>
            </w:r>
          </w:p>
        </w:tc>
        <w:tc>
          <w:tcPr>
            <w:tcW w:w="67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0.0064</w:t>
            </w:r>
          </w:p>
        </w:tc>
        <w:tc>
          <w:tcPr>
            <w:tcW w:w="65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0.0065</w:t>
            </w:r>
          </w:p>
        </w:tc>
        <w:tc>
          <w:tcPr>
            <w:tcW w:w="71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0.0066</w:t>
            </w:r>
          </w:p>
        </w:tc>
        <w:tc>
          <w:tcPr>
            <w:tcW w:w="672"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0.0067</w:t>
            </w:r>
          </w:p>
        </w:tc>
        <w:tc>
          <w:tcPr>
            <w:tcW w:w="742"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0.0068</w:t>
            </w:r>
          </w:p>
        </w:tc>
        <w:tc>
          <w:tcPr>
            <w:tcW w:w="78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0.1303</w:t>
            </w:r>
          </w:p>
        </w:tc>
      </w:tr>
      <w:tr w:rsidR="001D0350" w:rsidRPr="00D55DC6" w:rsidTr="00200C0B">
        <w:trPr>
          <w:trHeight w:val="330"/>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龍洞灣人工攀岩場</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0.0065</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0.0066</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0.0067</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0.0068</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0.0069</w:t>
            </w:r>
          </w:p>
        </w:tc>
        <w:tc>
          <w:tcPr>
            <w:tcW w:w="67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0.0070</w:t>
            </w:r>
          </w:p>
        </w:tc>
        <w:tc>
          <w:tcPr>
            <w:tcW w:w="65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0.0071</w:t>
            </w:r>
          </w:p>
        </w:tc>
        <w:tc>
          <w:tcPr>
            <w:tcW w:w="71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0.0072</w:t>
            </w:r>
          </w:p>
        </w:tc>
        <w:tc>
          <w:tcPr>
            <w:tcW w:w="672"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0.0073</w:t>
            </w:r>
          </w:p>
        </w:tc>
        <w:tc>
          <w:tcPr>
            <w:tcW w:w="742"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0.0074</w:t>
            </w:r>
          </w:p>
        </w:tc>
        <w:tc>
          <w:tcPr>
            <w:tcW w:w="78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0.1061</w:t>
            </w:r>
          </w:p>
        </w:tc>
      </w:tr>
      <w:tr w:rsidR="001D0350" w:rsidRPr="00D55DC6" w:rsidTr="00200C0B">
        <w:trPr>
          <w:trHeight w:val="330"/>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沙雕分收</w:t>
            </w:r>
            <w:r w:rsidRPr="00D55DC6">
              <w:rPr>
                <w:rFonts w:eastAsia="標楷體"/>
                <w:kern w:val="0"/>
                <w:sz w:val="20"/>
                <w:szCs w:val="20"/>
              </w:rPr>
              <w:t>1</w:t>
            </w:r>
            <w:r w:rsidRPr="00D55DC6">
              <w:rPr>
                <w:rFonts w:eastAsia="標楷體"/>
                <w:kern w:val="0"/>
                <w:sz w:val="20"/>
                <w:szCs w:val="20"/>
              </w:rPr>
              <w:t>成</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0.0377</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0.0383</w:t>
            </w:r>
          </w:p>
        </w:tc>
        <w:tc>
          <w:tcPr>
            <w:tcW w:w="708"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0.0388</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0.0394</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0.0400</w:t>
            </w:r>
          </w:p>
        </w:tc>
        <w:tc>
          <w:tcPr>
            <w:tcW w:w="674"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0.0406</w:t>
            </w:r>
          </w:p>
        </w:tc>
        <w:tc>
          <w:tcPr>
            <w:tcW w:w="658"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0.0412</w:t>
            </w:r>
          </w:p>
        </w:tc>
        <w:tc>
          <w:tcPr>
            <w:tcW w:w="714"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0.0418</w:t>
            </w:r>
          </w:p>
        </w:tc>
        <w:tc>
          <w:tcPr>
            <w:tcW w:w="672"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0.0425</w:t>
            </w:r>
          </w:p>
        </w:tc>
        <w:tc>
          <w:tcPr>
            <w:tcW w:w="742"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0.0431</w:t>
            </w:r>
          </w:p>
        </w:tc>
        <w:tc>
          <w:tcPr>
            <w:tcW w:w="78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0.6889</w:t>
            </w:r>
          </w:p>
        </w:tc>
      </w:tr>
      <w:tr w:rsidR="001D0350" w:rsidRPr="00D55DC6" w:rsidTr="00200C0B">
        <w:trPr>
          <w:trHeight w:val="330"/>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龍門露營區</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0.0054</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0.0055</w:t>
            </w:r>
          </w:p>
        </w:tc>
        <w:tc>
          <w:tcPr>
            <w:tcW w:w="708"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0.0055</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0.0056</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0.0057</w:t>
            </w:r>
          </w:p>
        </w:tc>
        <w:tc>
          <w:tcPr>
            <w:tcW w:w="674"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0.0058</w:t>
            </w:r>
          </w:p>
        </w:tc>
        <w:tc>
          <w:tcPr>
            <w:tcW w:w="658"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0.0059</w:t>
            </w:r>
          </w:p>
        </w:tc>
        <w:tc>
          <w:tcPr>
            <w:tcW w:w="714"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0.0060</w:t>
            </w:r>
          </w:p>
        </w:tc>
        <w:tc>
          <w:tcPr>
            <w:tcW w:w="672"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0.0061</w:t>
            </w:r>
          </w:p>
        </w:tc>
        <w:tc>
          <w:tcPr>
            <w:tcW w:w="742"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0.0062</w:t>
            </w:r>
          </w:p>
        </w:tc>
        <w:tc>
          <w:tcPr>
            <w:tcW w:w="78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0.0984</w:t>
            </w:r>
          </w:p>
        </w:tc>
      </w:tr>
      <w:tr w:rsidR="001D0350" w:rsidRPr="00D55DC6" w:rsidTr="00200C0B">
        <w:trPr>
          <w:trHeight w:val="330"/>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北關海潮公園</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0.0431</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0.0437</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0.0444</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0.0451</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0.0457</w:t>
            </w:r>
          </w:p>
        </w:tc>
        <w:tc>
          <w:tcPr>
            <w:tcW w:w="67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0.0464</w:t>
            </w:r>
          </w:p>
        </w:tc>
        <w:tc>
          <w:tcPr>
            <w:tcW w:w="65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0.0471</w:t>
            </w:r>
          </w:p>
        </w:tc>
        <w:tc>
          <w:tcPr>
            <w:tcW w:w="71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0.0478</w:t>
            </w:r>
          </w:p>
        </w:tc>
        <w:tc>
          <w:tcPr>
            <w:tcW w:w="672"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0.0485</w:t>
            </w:r>
          </w:p>
        </w:tc>
        <w:tc>
          <w:tcPr>
            <w:tcW w:w="742"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0.0493</w:t>
            </w:r>
          </w:p>
        </w:tc>
        <w:tc>
          <w:tcPr>
            <w:tcW w:w="78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0.7473</w:t>
            </w:r>
          </w:p>
        </w:tc>
      </w:tr>
      <w:tr w:rsidR="001D0350" w:rsidRPr="00D55DC6" w:rsidTr="00200C0B">
        <w:trPr>
          <w:trHeight w:val="330"/>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龜山島清潔費</w:t>
            </w:r>
          </w:p>
        </w:tc>
        <w:tc>
          <w:tcPr>
            <w:tcW w:w="709"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0.1185</w:t>
            </w:r>
          </w:p>
        </w:tc>
        <w:tc>
          <w:tcPr>
            <w:tcW w:w="709"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0.1203</w:t>
            </w:r>
          </w:p>
        </w:tc>
        <w:tc>
          <w:tcPr>
            <w:tcW w:w="708"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0.1221</w:t>
            </w:r>
          </w:p>
        </w:tc>
        <w:tc>
          <w:tcPr>
            <w:tcW w:w="709"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0.1239</w:t>
            </w:r>
          </w:p>
        </w:tc>
        <w:tc>
          <w:tcPr>
            <w:tcW w:w="709"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0.1258</w:t>
            </w:r>
          </w:p>
        </w:tc>
        <w:tc>
          <w:tcPr>
            <w:tcW w:w="674"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0.1277</w:t>
            </w:r>
          </w:p>
        </w:tc>
        <w:tc>
          <w:tcPr>
            <w:tcW w:w="658"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0.1296</w:t>
            </w:r>
          </w:p>
        </w:tc>
        <w:tc>
          <w:tcPr>
            <w:tcW w:w="714"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0.1315</w:t>
            </w:r>
          </w:p>
        </w:tc>
        <w:tc>
          <w:tcPr>
            <w:tcW w:w="672"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0.1335</w:t>
            </w:r>
          </w:p>
        </w:tc>
        <w:tc>
          <w:tcPr>
            <w:tcW w:w="742" w:type="dxa"/>
            <w:tcBorders>
              <w:top w:val="nil"/>
              <w:left w:val="nil"/>
              <w:bottom w:val="single" w:sz="4" w:space="0" w:color="auto"/>
              <w:right w:val="single" w:sz="4" w:space="0" w:color="auto"/>
            </w:tcBorders>
            <w:shd w:val="clear" w:color="000000" w:fill="FFFFFF"/>
            <w:noWrap/>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0.1355</w:t>
            </w:r>
          </w:p>
        </w:tc>
        <w:tc>
          <w:tcPr>
            <w:tcW w:w="78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2.1870</w:t>
            </w:r>
          </w:p>
        </w:tc>
      </w:tr>
      <w:tr w:rsidR="001D0350" w:rsidRPr="00D55DC6" w:rsidTr="00200C0B">
        <w:trPr>
          <w:trHeight w:val="330"/>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龜山島泊靠費</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0.0209</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0.0212</w:t>
            </w:r>
          </w:p>
        </w:tc>
        <w:tc>
          <w:tcPr>
            <w:tcW w:w="708"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0.0215</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0.0219</w:t>
            </w:r>
          </w:p>
        </w:tc>
        <w:tc>
          <w:tcPr>
            <w:tcW w:w="709"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0.0222</w:t>
            </w:r>
          </w:p>
        </w:tc>
        <w:tc>
          <w:tcPr>
            <w:tcW w:w="674"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0.0225</w:t>
            </w:r>
          </w:p>
        </w:tc>
        <w:tc>
          <w:tcPr>
            <w:tcW w:w="658"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0.0229</w:t>
            </w:r>
          </w:p>
        </w:tc>
        <w:tc>
          <w:tcPr>
            <w:tcW w:w="714"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0.0232</w:t>
            </w:r>
          </w:p>
        </w:tc>
        <w:tc>
          <w:tcPr>
            <w:tcW w:w="672"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0.0235</w:t>
            </w:r>
          </w:p>
        </w:tc>
        <w:tc>
          <w:tcPr>
            <w:tcW w:w="742" w:type="dxa"/>
            <w:tcBorders>
              <w:top w:val="nil"/>
              <w:left w:val="nil"/>
              <w:bottom w:val="single" w:sz="4" w:space="0" w:color="auto"/>
              <w:right w:val="single" w:sz="4" w:space="0" w:color="auto"/>
            </w:tcBorders>
            <w:shd w:val="clear" w:color="000000" w:fill="FFFFFF"/>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0.0239</w:t>
            </w:r>
          </w:p>
        </w:tc>
        <w:tc>
          <w:tcPr>
            <w:tcW w:w="78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0.3818</w:t>
            </w:r>
          </w:p>
        </w:tc>
      </w:tr>
      <w:tr w:rsidR="001D0350" w:rsidRPr="00D55DC6" w:rsidTr="00200C0B">
        <w:trPr>
          <w:trHeight w:val="330"/>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冷泉公園</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0.0862</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0.0875</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0.0888</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0.0901</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0.0915</w:t>
            </w:r>
          </w:p>
        </w:tc>
        <w:tc>
          <w:tcPr>
            <w:tcW w:w="67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0.0928</w:t>
            </w:r>
          </w:p>
        </w:tc>
        <w:tc>
          <w:tcPr>
            <w:tcW w:w="65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0.0942</w:t>
            </w:r>
          </w:p>
        </w:tc>
        <w:tc>
          <w:tcPr>
            <w:tcW w:w="71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0.0956</w:t>
            </w:r>
          </w:p>
        </w:tc>
        <w:tc>
          <w:tcPr>
            <w:tcW w:w="672"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0.0971</w:t>
            </w:r>
          </w:p>
        </w:tc>
        <w:tc>
          <w:tcPr>
            <w:tcW w:w="742"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0.0985</w:t>
            </w:r>
          </w:p>
        </w:tc>
        <w:tc>
          <w:tcPr>
            <w:tcW w:w="78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1.3346</w:t>
            </w:r>
          </w:p>
        </w:tc>
      </w:tr>
      <w:tr w:rsidR="001D0350" w:rsidRPr="00D55DC6" w:rsidTr="00200C0B">
        <w:trPr>
          <w:trHeight w:val="330"/>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壯圍</w:t>
            </w:r>
            <w:r w:rsidRPr="00D55DC6">
              <w:rPr>
                <w:rFonts w:eastAsia="標楷體"/>
                <w:kern w:val="0"/>
                <w:sz w:val="20"/>
                <w:szCs w:val="20"/>
              </w:rPr>
              <w:t>BOT</w:t>
            </w:r>
            <w:r w:rsidRPr="00D55DC6">
              <w:rPr>
                <w:rFonts w:eastAsia="標楷體"/>
                <w:kern w:val="0"/>
                <w:sz w:val="20"/>
                <w:szCs w:val="20"/>
              </w:rPr>
              <w:t>案</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0.0700</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0.0711</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0.0721</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0.0732</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0.0743</w:t>
            </w:r>
          </w:p>
        </w:tc>
        <w:tc>
          <w:tcPr>
            <w:tcW w:w="67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0.0754</w:t>
            </w:r>
          </w:p>
        </w:tc>
        <w:tc>
          <w:tcPr>
            <w:tcW w:w="65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0.0766</w:t>
            </w:r>
          </w:p>
        </w:tc>
        <w:tc>
          <w:tcPr>
            <w:tcW w:w="71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0.0777</w:t>
            </w:r>
          </w:p>
        </w:tc>
        <w:tc>
          <w:tcPr>
            <w:tcW w:w="672"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0.0789</w:t>
            </w:r>
          </w:p>
        </w:tc>
        <w:tc>
          <w:tcPr>
            <w:tcW w:w="742"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0.0801</w:t>
            </w:r>
          </w:p>
        </w:tc>
        <w:tc>
          <w:tcPr>
            <w:tcW w:w="78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1.1493</w:t>
            </w:r>
          </w:p>
        </w:tc>
      </w:tr>
      <w:tr w:rsidR="001D0350" w:rsidRPr="00D55DC6" w:rsidTr="00200C0B">
        <w:trPr>
          <w:trHeight w:val="330"/>
        </w:trPr>
        <w:tc>
          <w:tcPr>
            <w:tcW w:w="1858" w:type="dxa"/>
            <w:tcBorders>
              <w:top w:val="nil"/>
              <w:left w:val="single" w:sz="4" w:space="0" w:color="auto"/>
              <w:bottom w:val="single" w:sz="4" w:space="0" w:color="auto"/>
              <w:right w:val="single" w:sz="4" w:space="0" w:color="auto"/>
            </w:tcBorders>
            <w:shd w:val="clear" w:color="000000" w:fill="FFFFFF"/>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外澳沙灘</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0.0323</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0.0328</w:t>
            </w:r>
          </w:p>
        </w:tc>
        <w:tc>
          <w:tcPr>
            <w:tcW w:w="70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0.0333</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0.0338</w:t>
            </w:r>
          </w:p>
        </w:tc>
        <w:tc>
          <w:tcPr>
            <w:tcW w:w="709"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0.0343</w:t>
            </w:r>
          </w:p>
        </w:tc>
        <w:tc>
          <w:tcPr>
            <w:tcW w:w="67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0.0348</w:t>
            </w:r>
          </w:p>
        </w:tc>
        <w:tc>
          <w:tcPr>
            <w:tcW w:w="658"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0.0353</w:t>
            </w:r>
          </w:p>
        </w:tc>
        <w:tc>
          <w:tcPr>
            <w:tcW w:w="71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0.0359</w:t>
            </w:r>
          </w:p>
        </w:tc>
        <w:tc>
          <w:tcPr>
            <w:tcW w:w="672"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0.0364</w:t>
            </w:r>
          </w:p>
        </w:tc>
        <w:tc>
          <w:tcPr>
            <w:tcW w:w="742"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0.0370</w:t>
            </w:r>
          </w:p>
        </w:tc>
        <w:tc>
          <w:tcPr>
            <w:tcW w:w="784" w:type="dxa"/>
            <w:tcBorders>
              <w:top w:val="nil"/>
              <w:left w:val="nil"/>
              <w:bottom w:val="single" w:sz="4" w:space="0" w:color="auto"/>
              <w:right w:val="single" w:sz="4" w:space="0" w:color="auto"/>
            </w:tcBorders>
            <w:shd w:val="clear" w:color="auto" w:fill="auto"/>
          </w:tcPr>
          <w:p w:rsidR="00200C0B" w:rsidRPr="00D55DC6" w:rsidRDefault="00200C0B" w:rsidP="00200C0B">
            <w:pPr>
              <w:spacing w:line="0" w:lineRule="atLeast"/>
              <w:jc w:val="right"/>
              <w:rPr>
                <w:rFonts w:eastAsia="標楷體"/>
                <w:sz w:val="18"/>
                <w:szCs w:val="20"/>
              </w:rPr>
            </w:pPr>
            <w:r w:rsidRPr="00D55DC6">
              <w:rPr>
                <w:rFonts w:eastAsia="標楷體"/>
                <w:sz w:val="18"/>
                <w:szCs w:val="20"/>
              </w:rPr>
              <w:t>0.5905</w:t>
            </w:r>
          </w:p>
        </w:tc>
      </w:tr>
      <w:tr w:rsidR="001D0350" w:rsidRPr="00D55DC6" w:rsidTr="00200C0B">
        <w:trPr>
          <w:trHeight w:val="330"/>
        </w:trPr>
        <w:tc>
          <w:tcPr>
            <w:tcW w:w="1858" w:type="dxa"/>
            <w:tcBorders>
              <w:top w:val="single" w:sz="4" w:space="0" w:color="auto"/>
              <w:left w:val="single" w:sz="4" w:space="0" w:color="auto"/>
              <w:bottom w:val="single" w:sz="4" w:space="0" w:color="auto"/>
              <w:right w:val="single" w:sz="4" w:space="0" w:color="auto"/>
            </w:tcBorders>
            <w:shd w:val="clear" w:color="auto" w:fill="FFFF00"/>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雙溪跨域加值收入</w:t>
            </w:r>
          </w:p>
        </w:tc>
        <w:tc>
          <w:tcPr>
            <w:tcW w:w="709" w:type="dxa"/>
            <w:tcBorders>
              <w:top w:val="single" w:sz="4" w:space="0" w:color="auto"/>
              <w:left w:val="nil"/>
              <w:bottom w:val="single" w:sz="4" w:space="0" w:color="auto"/>
              <w:right w:val="single" w:sz="4" w:space="0" w:color="auto"/>
            </w:tcBorders>
            <w:shd w:val="clear" w:color="auto" w:fill="FFFF00"/>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0.0505</w:t>
            </w:r>
          </w:p>
        </w:tc>
        <w:tc>
          <w:tcPr>
            <w:tcW w:w="709" w:type="dxa"/>
            <w:tcBorders>
              <w:top w:val="single" w:sz="4" w:space="0" w:color="auto"/>
              <w:left w:val="nil"/>
              <w:bottom w:val="single" w:sz="4" w:space="0" w:color="auto"/>
              <w:right w:val="single" w:sz="4" w:space="0" w:color="auto"/>
            </w:tcBorders>
            <w:shd w:val="clear" w:color="auto" w:fill="FFFF00"/>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0.0505</w:t>
            </w:r>
          </w:p>
        </w:tc>
        <w:tc>
          <w:tcPr>
            <w:tcW w:w="708" w:type="dxa"/>
            <w:tcBorders>
              <w:top w:val="single" w:sz="4" w:space="0" w:color="auto"/>
              <w:left w:val="nil"/>
              <w:bottom w:val="single" w:sz="4" w:space="0" w:color="auto"/>
              <w:right w:val="single" w:sz="4" w:space="0" w:color="auto"/>
            </w:tcBorders>
            <w:shd w:val="clear" w:color="auto" w:fill="FFFF00"/>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0.0505</w:t>
            </w:r>
          </w:p>
        </w:tc>
        <w:tc>
          <w:tcPr>
            <w:tcW w:w="709" w:type="dxa"/>
            <w:tcBorders>
              <w:top w:val="single" w:sz="4" w:space="0" w:color="auto"/>
              <w:left w:val="nil"/>
              <w:bottom w:val="single" w:sz="4" w:space="0" w:color="auto"/>
              <w:right w:val="single" w:sz="4" w:space="0" w:color="auto"/>
            </w:tcBorders>
            <w:shd w:val="clear" w:color="auto" w:fill="FFFF00"/>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0.0505</w:t>
            </w:r>
          </w:p>
        </w:tc>
        <w:tc>
          <w:tcPr>
            <w:tcW w:w="709" w:type="dxa"/>
            <w:tcBorders>
              <w:top w:val="single" w:sz="4" w:space="0" w:color="auto"/>
              <w:left w:val="nil"/>
              <w:bottom w:val="single" w:sz="4" w:space="0" w:color="auto"/>
              <w:right w:val="single" w:sz="4" w:space="0" w:color="auto"/>
            </w:tcBorders>
            <w:shd w:val="clear" w:color="auto" w:fill="FFFF00"/>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0.0505</w:t>
            </w:r>
          </w:p>
        </w:tc>
        <w:tc>
          <w:tcPr>
            <w:tcW w:w="674" w:type="dxa"/>
            <w:tcBorders>
              <w:top w:val="single" w:sz="4" w:space="0" w:color="auto"/>
              <w:left w:val="nil"/>
              <w:bottom w:val="single" w:sz="4" w:space="0" w:color="auto"/>
              <w:right w:val="single" w:sz="4" w:space="0" w:color="auto"/>
            </w:tcBorders>
            <w:shd w:val="clear" w:color="auto" w:fill="FFFF00"/>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0.0505</w:t>
            </w:r>
          </w:p>
        </w:tc>
        <w:tc>
          <w:tcPr>
            <w:tcW w:w="658" w:type="dxa"/>
            <w:tcBorders>
              <w:top w:val="single" w:sz="4" w:space="0" w:color="auto"/>
              <w:left w:val="nil"/>
              <w:bottom w:val="single" w:sz="4" w:space="0" w:color="auto"/>
              <w:right w:val="single" w:sz="4" w:space="0" w:color="auto"/>
            </w:tcBorders>
            <w:shd w:val="clear" w:color="auto" w:fill="FFFF00"/>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0.0505</w:t>
            </w:r>
          </w:p>
        </w:tc>
        <w:tc>
          <w:tcPr>
            <w:tcW w:w="714" w:type="dxa"/>
            <w:tcBorders>
              <w:top w:val="single" w:sz="4" w:space="0" w:color="auto"/>
              <w:left w:val="nil"/>
              <w:bottom w:val="single" w:sz="4" w:space="0" w:color="auto"/>
              <w:right w:val="single" w:sz="4" w:space="0" w:color="auto"/>
            </w:tcBorders>
            <w:shd w:val="clear" w:color="auto" w:fill="FFFF00"/>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0.0505</w:t>
            </w:r>
          </w:p>
        </w:tc>
        <w:tc>
          <w:tcPr>
            <w:tcW w:w="672" w:type="dxa"/>
            <w:tcBorders>
              <w:top w:val="single" w:sz="4" w:space="0" w:color="auto"/>
              <w:left w:val="nil"/>
              <w:bottom w:val="single" w:sz="4" w:space="0" w:color="auto"/>
              <w:right w:val="single" w:sz="4" w:space="0" w:color="auto"/>
            </w:tcBorders>
            <w:shd w:val="clear" w:color="auto" w:fill="FFFF00"/>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0.0505</w:t>
            </w:r>
          </w:p>
        </w:tc>
        <w:tc>
          <w:tcPr>
            <w:tcW w:w="742" w:type="dxa"/>
            <w:tcBorders>
              <w:top w:val="single" w:sz="4" w:space="0" w:color="auto"/>
              <w:left w:val="nil"/>
              <w:bottom w:val="single" w:sz="4" w:space="0" w:color="auto"/>
              <w:right w:val="single" w:sz="4" w:space="0" w:color="auto"/>
            </w:tcBorders>
            <w:shd w:val="clear" w:color="auto" w:fill="FFFF00"/>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0.0505</w:t>
            </w:r>
          </w:p>
        </w:tc>
        <w:tc>
          <w:tcPr>
            <w:tcW w:w="784" w:type="dxa"/>
            <w:tcBorders>
              <w:top w:val="single" w:sz="4" w:space="0" w:color="auto"/>
              <w:left w:val="nil"/>
              <w:bottom w:val="single" w:sz="4" w:space="0" w:color="auto"/>
              <w:right w:val="single" w:sz="4" w:space="0" w:color="auto"/>
            </w:tcBorders>
            <w:shd w:val="clear" w:color="auto" w:fill="FFFF00"/>
            <w:vAlign w:val="center"/>
          </w:tcPr>
          <w:p w:rsidR="00200C0B" w:rsidRPr="00D55DC6" w:rsidRDefault="00200C0B" w:rsidP="00200C0B">
            <w:pPr>
              <w:spacing w:line="0" w:lineRule="atLeast"/>
              <w:jc w:val="right"/>
              <w:rPr>
                <w:rFonts w:eastAsia="標楷體"/>
                <w:sz w:val="20"/>
                <w:szCs w:val="20"/>
              </w:rPr>
            </w:pPr>
            <w:r w:rsidRPr="00D55DC6">
              <w:rPr>
                <w:rFonts w:eastAsia="標楷體"/>
                <w:sz w:val="20"/>
                <w:szCs w:val="20"/>
              </w:rPr>
              <w:t>0.7066</w:t>
            </w:r>
          </w:p>
        </w:tc>
      </w:tr>
      <w:tr w:rsidR="001D0350" w:rsidRPr="00D55DC6" w:rsidTr="00200C0B">
        <w:trPr>
          <w:trHeight w:val="330"/>
        </w:trPr>
        <w:tc>
          <w:tcPr>
            <w:tcW w:w="1858" w:type="dxa"/>
            <w:tcBorders>
              <w:top w:val="single" w:sz="4" w:space="0" w:color="auto"/>
              <w:left w:val="single" w:sz="4" w:space="0" w:color="auto"/>
              <w:bottom w:val="single" w:sz="4" w:space="0" w:color="auto"/>
              <w:right w:val="single" w:sz="4" w:space="0" w:color="auto"/>
            </w:tcBorders>
            <w:shd w:val="clear" w:color="auto" w:fill="FFFF00"/>
            <w:hideMark/>
          </w:tcPr>
          <w:p w:rsidR="00200C0B" w:rsidRPr="00D55DC6" w:rsidRDefault="00200C0B" w:rsidP="00200C0B">
            <w:pPr>
              <w:widowControl/>
              <w:spacing w:line="0" w:lineRule="atLeast"/>
              <w:rPr>
                <w:rFonts w:eastAsia="標楷體"/>
                <w:kern w:val="0"/>
                <w:sz w:val="20"/>
                <w:szCs w:val="20"/>
              </w:rPr>
            </w:pPr>
            <w:r w:rsidRPr="00D55DC6">
              <w:rPr>
                <w:rFonts w:eastAsia="標楷體"/>
                <w:kern w:val="0"/>
                <w:sz w:val="20"/>
                <w:szCs w:val="20"/>
              </w:rPr>
              <w:t>合計</w:t>
            </w:r>
          </w:p>
        </w:tc>
        <w:tc>
          <w:tcPr>
            <w:tcW w:w="709" w:type="dxa"/>
            <w:tcBorders>
              <w:top w:val="single" w:sz="4" w:space="0" w:color="auto"/>
              <w:left w:val="nil"/>
              <w:bottom w:val="single" w:sz="4" w:space="0" w:color="auto"/>
              <w:right w:val="single" w:sz="4" w:space="0" w:color="auto"/>
            </w:tcBorders>
            <w:shd w:val="clear" w:color="auto" w:fill="FFFF00"/>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0.6287</w:t>
            </w:r>
          </w:p>
        </w:tc>
        <w:tc>
          <w:tcPr>
            <w:tcW w:w="709" w:type="dxa"/>
            <w:tcBorders>
              <w:top w:val="single" w:sz="4" w:space="0" w:color="auto"/>
              <w:left w:val="nil"/>
              <w:bottom w:val="single" w:sz="4" w:space="0" w:color="auto"/>
              <w:right w:val="single" w:sz="4" w:space="0" w:color="auto"/>
            </w:tcBorders>
            <w:shd w:val="clear" w:color="auto" w:fill="FFFF00"/>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0.6373</w:t>
            </w:r>
          </w:p>
        </w:tc>
        <w:tc>
          <w:tcPr>
            <w:tcW w:w="708" w:type="dxa"/>
            <w:tcBorders>
              <w:top w:val="single" w:sz="4" w:space="0" w:color="auto"/>
              <w:left w:val="nil"/>
              <w:bottom w:val="single" w:sz="4" w:space="0" w:color="auto"/>
              <w:right w:val="single" w:sz="4" w:space="0" w:color="auto"/>
            </w:tcBorders>
            <w:shd w:val="clear" w:color="auto" w:fill="FFFF00"/>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0.6462</w:t>
            </w:r>
          </w:p>
        </w:tc>
        <w:tc>
          <w:tcPr>
            <w:tcW w:w="709" w:type="dxa"/>
            <w:tcBorders>
              <w:top w:val="single" w:sz="4" w:space="0" w:color="auto"/>
              <w:left w:val="nil"/>
              <w:bottom w:val="single" w:sz="4" w:space="0" w:color="auto"/>
              <w:right w:val="single" w:sz="4" w:space="0" w:color="auto"/>
            </w:tcBorders>
            <w:shd w:val="clear" w:color="auto" w:fill="FFFF00"/>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0.6550</w:t>
            </w:r>
          </w:p>
        </w:tc>
        <w:tc>
          <w:tcPr>
            <w:tcW w:w="709" w:type="dxa"/>
            <w:tcBorders>
              <w:top w:val="single" w:sz="4" w:space="0" w:color="auto"/>
              <w:left w:val="nil"/>
              <w:bottom w:val="single" w:sz="4" w:space="0" w:color="auto"/>
              <w:right w:val="single" w:sz="4" w:space="0" w:color="auto"/>
            </w:tcBorders>
            <w:shd w:val="clear" w:color="auto" w:fill="FFFF00"/>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0.6641</w:t>
            </w:r>
          </w:p>
        </w:tc>
        <w:tc>
          <w:tcPr>
            <w:tcW w:w="674" w:type="dxa"/>
            <w:tcBorders>
              <w:top w:val="single" w:sz="4" w:space="0" w:color="auto"/>
              <w:left w:val="nil"/>
              <w:bottom w:val="single" w:sz="4" w:space="0" w:color="auto"/>
              <w:right w:val="single" w:sz="4" w:space="0" w:color="auto"/>
            </w:tcBorders>
            <w:shd w:val="clear" w:color="auto" w:fill="FFFF00"/>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0.6733</w:t>
            </w:r>
          </w:p>
        </w:tc>
        <w:tc>
          <w:tcPr>
            <w:tcW w:w="658" w:type="dxa"/>
            <w:tcBorders>
              <w:top w:val="single" w:sz="4" w:space="0" w:color="auto"/>
              <w:left w:val="nil"/>
              <w:bottom w:val="single" w:sz="4" w:space="0" w:color="auto"/>
              <w:right w:val="single" w:sz="4" w:space="0" w:color="auto"/>
            </w:tcBorders>
            <w:shd w:val="clear" w:color="auto" w:fill="FFFF00"/>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0.6827</w:t>
            </w:r>
          </w:p>
        </w:tc>
        <w:tc>
          <w:tcPr>
            <w:tcW w:w="714" w:type="dxa"/>
            <w:tcBorders>
              <w:top w:val="single" w:sz="4" w:space="0" w:color="auto"/>
              <w:left w:val="nil"/>
              <w:bottom w:val="single" w:sz="4" w:space="0" w:color="auto"/>
              <w:right w:val="single" w:sz="4" w:space="0" w:color="auto"/>
            </w:tcBorders>
            <w:shd w:val="clear" w:color="auto" w:fill="FFFF00"/>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0.6922</w:t>
            </w:r>
          </w:p>
        </w:tc>
        <w:tc>
          <w:tcPr>
            <w:tcW w:w="672" w:type="dxa"/>
            <w:tcBorders>
              <w:top w:val="single" w:sz="4" w:space="0" w:color="auto"/>
              <w:left w:val="nil"/>
              <w:bottom w:val="single" w:sz="4" w:space="0" w:color="auto"/>
              <w:right w:val="single" w:sz="4" w:space="0" w:color="auto"/>
            </w:tcBorders>
            <w:shd w:val="clear" w:color="auto" w:fill="FFFF00"/>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0.7018</w:t>
            </w:r>
          </w:p>
        </w:tc>
        <w:tc>
          <w:tcPr>
            <w:tcW w:w="742" w:type="dxa"/>
            <w:tcBorders>
              <w:top w:val="single" w:sz="4" w:space="0" w:color="auto"/>
              <w:left w:val="nil"/>
              <w:bottom w:val="single" w:sz="4" w:space="0" w:color="auto"/>
              <w:right w:val="single" w:sz="4" w:space="0" w:color="auto"/>
            </w:tcBorders>
            <w:shd w:val="clear" w:color="auto" w:fill="FFFF00"/>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0.7116</w:t>
            </w:r>
          </w:p>
        </w:tc>
        <w:tc>
          <w:tcPr>
            <w:tcW w:w="784" w:type="dxa"/>
            <w:tcBorders>
              <w:top w:val="single" w:sz="4" w:space="0" w:color="auto"/>
              <w:left w:val="nil"/>
              <w:bottom w:val="single" w:sz="4" w:space="0" w:color="auto"/>
              <w:right w:val="single" w:sz="4" w:space="0" w:color="auto"/>
            </w:tcBorders>
            <w:shd w:val="clear" w:color="auto" w:fill="FFFF00"/>
            <w:vAlign w:val="center"/>
          </w:tcPr>
          <w:p w:rsidR="00200C0B" w:rsidRPr="00D55DC6" w:rsidRDefault="00200C0B" w:rsidP="00200C0B">
            <w:pPr>
              <w:spacing w:line="0" w:lineRule="atLeast"/>
              <w:jc w:val="right"/>
              <w:rPr>
                <w:rFonts w:eastAsia="標楷體"/>
                <w:sz w:val="18"/>
                <w:szCs w:val="18"/>
              </w:rPr>
            </w:pPr>
            <w:r w:rsidRPr="00D55DC6">
              <w:rPr>
                <w:rFonts w:eastAsia="標楷體"/>
                <w:sz w:val="18"/>
                <w:szCs w:val="18"/>
              </w:rPr>
              <w:t>11.1522</w:t>
            </w:r>
          </w:p>
        </w:tc>
      </w:tr>
    </w:tbl>
    <w:p w:rsidR="00200C0B" w:rsidRPr="00D55DC6" w:rsidRDefault="00200C0B" w:rsidP="00200C0B">
      <w:pPr>
        <w:pStyle w:val="af2"/>
        <w:snapToGrid w:val="0"/>
        <w:spacing w:line="460" w:lineRule="exact"/>
        <w:ind w:leftChars="0" w:left="864"/>
        <w:jc w:val="both"/>
        <w:rPr>
          <w:rFonts w:eastAsia="標楷體"/>
          <w:b/>
          <w:sz w:val="28"/>
          <w:szCs w:val="28"/>
        </w:rPr>
      </w:pPr>
    </w:p>
    <w:p w:rsidR="00261ADB" w:rsidRPr="00D55DC6" w:rsidRDefault="00261ADB" w:rsidP="0038165F">
      <w:pPr>
        <w:pStyle w:val="af2"/>
        <w:numPr>
          <w:ilvl w:val="0"/>
          <w:numId w:val="36"/>
        </w:numPr>
        <w:snapToGrid w:val="0"/>
        <w:spacing w:line="460" w:lineRule="exact"/>
        <w:ind w:leftChars="0"/>
        <w:jc w:val="both"/>
        <w:rPr>
          <w:rFonts w:eastAsia="標楷體"/>
          <w:b/>
          <w:sz w:val="28"/>
          <w:szCs w:val="28"/>
        </w:rPr>
      </w:pPr>
      <w:r w:rsidRPr="00D55DC6">
        <w:rPr>
          <w:rFonts w:eastAsia="標楷體"/>
          <w:b/>
          <w:sz w:val="28"/>
          <w:szCs w:val="28"/>
        </w:rPr>
        <w:t>自償率估算</w:t>
      </w:r>
    </w:p>
    <w:p w:rsidR="00261ADB" w:rsidRPr="00D55DC6" w:rsidRDefault="00261ADB" w:rsidP="0038165F">
      <w:pPr>
        <w:pStyle w:val="a"/>
        <w:numPr>
          <w:ilvl w:val="0"/>
          <w:numId w:val="0"/>
        </w:numPr>
        <w:ind w:left="709"/>
      </w:pPr>
      <w:r w:rsidRPr="00D55DC6">
        <w:t xml:space="preserve">　　</w:t>
      </w:r>
      <w:bookmarkStart w:id="70" w:name="_Toc407181649"/>
      <w:r w:rsidRPr="00D55DC6">
        <w:t>本</w:t>
      </w:r>
      <w:bookmarkEnd w:id="70"/>
      <w:r w:rsidR="00200C0B" w:rsidRPr="00D55DC6">
        <w:t>本計畫預計未來</w:t>
      </w:r>
      <w:r w:rsidR="00200C0B" w:rsidRPr="00D55DC6">
        <w:t>20</w:t>
      </w:r>
      <w:r w:rsidR="00200C0B" w:rsidRPr="00D55DC6">
        <w:t>年東北角暨宜蘭海岸國家風景區建設經營分年之現金流量如表，以</w:t>
      </w:r>
      <w:r w:rsidR="00200C0B" w:rsidRPr="00D55DC6">
        <w:t>2.88%</w:t>
      </w:r>
      <w:r w:rsidR="00200C0B" w:rsidRPr="00D55DC6">
        <w:t>折現率（參考中央銀行公告五大銀行基本利率）計算，因配合雙溪河地區設施改善工程跨域加值計畫</w:t>
      </w:r>
      <w:r w:rsidR="00200C0B" w:rsidRPr="00D55DC6">
        <w:t>(105-108</w:t>
      </w:r>
      <w:r w:rsidR="00200C0B" w:rsidRPr="00D55DC6">
        <w:t>年</w:t>
      </w:r>
      <w:r w:rsidR="00200C0B" w:rsidRPr="00D55DC6">
        <w:t>)</w:t>
      </w:r>
      <w:r w:rsidR="00200C0B" w:rsidRPr="00D55DC6">
        <w:t>每年投入</w:t>
      </w:r>
      <w:r w:rsidR="00D06F26" w:rsidRPr="00D55DC6">
        <w:t>0.5</w:t>
      </w:r>
      <w:r w:rsidR="00D06F26" w:rsidRPr="00D55DC6">
        <w:t>億</w:t>
      </w:r>
      <w:r w:rsidR="00200C0B" w:rsidRPr="00D55DC6">
        <w:t>元</w:t>
      </w:r>
      <w:r w:rsidR="00200C0B" w:rsidRPr="00D55DC6">
        <w:t>(</w:t>
      </w:r>
      <w:r w:rsidR="00200C0B" w:rsidRPr="00D55DC6">
        <w:t>總計增加</w:t>
      </w:r>
      <w:r w:rsidR="00200C0B" w:rsidRPr="00D55DC6">
        <w:t>2</w:t>
      </w:r>
      <w:r w:rsidR="00200C0B" w:rsidRPr="00D55DC6">
        <w:t>億元</w:t>
      </w:r>
      <w:r w:rsidR="00200C0B" w:rsidRPr="00D55DC6">
        <w:t>)</w:t>
      </w:r>
      <w:r w:rsidR="00200C0B" w:rsidRPr="00D55DC6">
        <w:t>，未來</w:t>
      </w:r>
      <w:r w:rsidR="00200C0B" w:rsidRPr="00D55DC6">
        <w:t>20</w:t>
      </w:r>
      <w:r w:rsidR="00200C0B" w:rsidRPr="00D55DC6">
        <w:t>年期間</w:t>
      </w:r>
      <w:r w:rsidR="00200C0B" w:rsidRPr="00D55DC6">
        <w:t>(103</w:t>
      </w:r>
      <w:r w:rsidR="00200C0B" w:rsidRPr="00D55DC6">
        <w:t>至</w:t>
      </w:r>
      <w:r w:rsidR="00200C0B" w:rsidRPr="00D55DC6">
        <w:t>122</w:t>
      </w:r>
      <w:r w:rsidR="00200C0B" w:rsidRPr="00D55DC6">
        <w:t>年</w:t>
      </w:r>
      <w:r w:rsidR="00200C0B" w:rsidRPr="00D55DC6">
        <w:t>)</w:t>
      </w:r>
      <w:r w:rsidR="00200C0B" w:rsidRPr="00D55DC6">
        <w:t>計畫投入現值為</w:t>
      </w:r>
      <w:r w:rsidR="00200C0B" w:rsidRPr="00D55DC6">
        <w:t>29.15</w:t>
      </w:r>
      <w:r w:rsidR="00200C0B" w:rsidRPr="00D55DC6">
        <w:t>億元，收益現值為</w:t>
      </w:r>
      <w:r w:rsidR="00200C0B" w:rsidRPr="00D55DC6">
        <w:t>8.02</w:t>
      </w:r>
      <w:r w:rsidR="00200C0B" w:rsidRPr="00D55DC6">
        <w:t>億元，修正整體計畫財務自償率仍為</w:t>
      </w:r>
      <w:r w:rsidR="00200C0B" w:rsidRPr="00D55DC6">
        <w:t>27.53%</w:t>
      </w:r>
      <w:r w:rsidR="00200C0B" w:rsidRPr="00D55DC6">
        <w:t>。</w:t>
      </w:r>
    </w:p>
    <w:p w:rsidR="00200C0B" w:rsidRPr="00D55DC6" w:rsidRDefault="00200C0B" w:rsidP="0038165F">
      <w:pPr>
        <w:pStyle w:val="a"/>
        <w:numPr>
          <w:ilvl w:val="0"/>
          <w:numId w:val="0"/>
        </w:numPr>
        <w:ind w:left="709"/>
      </w:pPr>
    </w:p>
    <w:p w:rsidR="000725AB" w:rsidRPr="00D55DC6" w:rsidRDefault="000725AB" w:rsidP="0038165F">
      <w:pPr>
        <w:pStyle w:val="a"/>
        <w:numPr>
          <w:ilvl w:val="0"/>
          <w:numId w:val="0"/>
        </w:numPr>
        <w:ind w:left="709"/>
      </w:pPr>
    </w:p>
    <w:p w:rsidR="000725AB" w:rsidRPr="00D55DC6" w:rsidRDefault="000725AB" w:rsidP="0038165F">
      <w:pPr>
        <w:pStyle w:val="a"/>
        <w:numPr>
          <w:ilvl w:val="0"/>
          <w:numId w:val="0"/>
        </w:numPr>
        <w:ind w:left="709"/>
      </w:pPr>
    </w:p>
    <w:p w:rsidR="00261ADB" w:rsidRPr="00D55DC6" w:rsidRDefault="00261ADB" w:rsidP="009D33BA">
      <w:pPr>
        <w:keepNext/>
        <w:spacing w:beforeLines="50" w:before="180" w:afterLines="50" w:after="180"/>
        <w:ind w:rightChars="-316" w:right="-758"/>
        <w:rPr>
          <w:rFonts w:eastAsia="標楷體"/>
        </w:rPr>
      </w:pPr>
      <w:bookmarkStart w:id="71" w:name="_Toc398126385"/>
      <w:r w:rsidRPr="00D55DC6">
        <w:rPr>
          <w:rFonts w:eastAsia="標楷體"/>
        </w:rPr>
        <w:lastRenderedPageBreak/>
        <w:t xml:space="preserve">表　</w:t>
      </w:r>
      <w:r w:rsidR="00200C0B" w:rsidRPr="00D55DC6">
        <w:rPr>
          <w:rFonts w:eastAsia="標楷體"/>
        </w:rPr>
        <w:t>修正之</w:t>
      </w:r>
      <w:r w:rsidRPr="00D55DC6">
        <w:rPr>
          <w:rFonts w:eastAsia="標楷體"/>
        </w:rPr>
        <w:t>自償率分析表</w:t>
      </w:r>
      <w:r w:rsidRPr="00D55DC6">
        <w:rPr>
          <w:rFonts w:eastAsia="標楷體"/>
        </w:rPr>
        <w:t xml:space="preserve">                    </w:t>
      </w:r>
      <w:r w:rsidR="00200C0B" w:rsidRPr="00D55DC6">
        <w:rPr>
          <w:rFonts w:eastAsia="標楷體"/>
        </w:rPr>
        <w:t xml:space="preserve">　　</w:t>
      </w:r>
      <w:r w:rsidRPr="00D55DC6">
        <w:rPr>
          <w:rFonts w:eastAsia="標楷體"/>
        </w:rPr>
        <w:t xml:space="preserve">                </w:t>
      </w:r>
      <w:r w:rsidRPr="00D55DC6">
        <w:rPr>
          <w:rFonts w:eastAsia="標楷體"/>
        </w:rPr>
        <w:t>（單位：億元）</w:t>
      </w:r>
      <w:bookmarkEnd w:id="71"/>
    </w:p>
    <w:tbl>
      <w:tblPr>
        <w:tblW w:w="9512" w:type="dxa"/>
        <w:tblInd w:w="13" w:type="dxa"/>
        <w:tblCellMar>
          <w:left w:w="28" w:type="dxa"/>
          <w:right w:w="28" w:type="dxa"/>
        </w:tblCellMar>
        <w:tblLook w:val="04A0" w:firstRow="1" w:lastRow="0" w:firstColumn="1" w:lastColumn="0" w:noHBand="0" w:noVBand="1"/>
      </w:tblPr>
      <w:tblGrid>
        <w:gridCol w:w="1575"/>
        <w:gridCol w:w="708"/>
        <w:gridCol w:w="709"/>
        <w:gridCol w:w="709"/>
        <w:gridCol w:w="709"/>
        <w:gridCol w:w="709"/>
        <w:gridCol w:w="708"/>
        <w:gridCol w:w="709"/>
        <w:gridCol w:w="709"/>
        <w:gridCol w:w="708"/>
        <w:gridCol w:w="709"/>
        <w:gridCol w:w="850"/>
      </w:tblGrid>
      <w:tr w:rsidR="001D0350" w:rsidRPr="00D55DC6" w:rsidTr="00200C0B">
        <w:trPr>
          <w:trHeight w:val="345"/>
        </w:trPr>
        <w:tc>
          <w:tcPr>
            <w:tcW w:w="157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200C0B" w:rsidRPr="00D55DC6" w:rsidRDefault="00200C0B" w:rsidP="00200C0B">
            <w:pPr>
              <w:widowControl/>
              <w:jc w:val="both"/>
              <w:rPr>
                <w:rFonts w:eastAsia="標楷體"/>
                <w:kern w:val="0"/>
                <w:sz w:val="18"/>
                <w:szCs w:val="18"/>
              </w:rPr>
            </w:pPr>
            <w:r w:rsidRPr="00D55DC6">
              <w:rPr>
                <w:rFonts w:eastAsia="標楷體"/>
                <w:kern w:val="0"/>
                <w:sz w:val="18"/>
                <w:szCs w:val="18"/>
              </w:rPr>
              <w:t xml:space="preserve">　</w:t>
            </w:r>
          </w:p>
        </w:tc>
        <w:tc>
          <w:tcPr>
            <w:tcW w:w="4252"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widowControl/>
              <w:jc w:val="center"/>
              <w:rPr>
                <w:b/>
                <w:bCs/>
                <w:kern w:val="0"/>
                <w:sz w:val="18"/>
                <w:szCs w:val="18"/>
              </w:rPr>
            </w:pPr>
            <w:r w:rsidRPr="00D55DC6">
              <w:rPr>
                <w:b/>
                <w:bCs/>
                <w:kern w:val="0"/>
                <w:sz w:val="18"/>
                <w:szCs w:val="18"/>
              </w:rPr>
              <w:t>短期</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widowControl/>
              <w:jc w:val="center"/>
              <w:rPr>
                <w:b/>
                <w:bCs/>
                <w:kern w:val="0"/>
                <w:sz w:val="18"/>
                <w:szCs w:val="18"/>
              </w:rPr>
            </w:pPr>
            <w:r w:rsidRPr="00D55DC6">
              <w:rPr>
                <w:b/>
                <w:bCs/>
                <w:kern w:val="0"/>
                <w:sz w:val="18"/>
                <w:szCs w:val="18"/>
              </w:rPr>
              <w:t>中期</w:t>
            </w:r>
          </w:p>
        </w:tc>
        <w:tc>
          <w:tcPr>
            <w:tcW w:w="850" w:type="dxa"/>
            <w:vMerge w:val="restart"/>
            <w:tcBorders>
              <w:top w:val="single" w:sz="4" w:space="0" w:color="auto"/>
              <w:left w:val="single" w:sz="4" w:space="0" w:color="auto"/>
              <w:right w:val="single" w:sz="4" w:space="0" w:color="auto"/>
              <w:tr2bl w:val="single" w:sz="4" w:space="0" w:color="auto"/>
            </w:tcBorders>
            <w:shd w:val="clear" w:color="auto" w:fill="auto"/>
            <w:noWrap/>
            <w:vAlign w:val="center"/>
            <w:hideMark/>
          </w:tcPr>
          <w:p w:rsidR="00200C0B" w:rsidRPr="00D55DC6" w:rsidRDefault="00200C0B" w:rsidP="00200C0B">
            <w:pPr>
              <w:widowControl/>
              <w:jc w:val="both"/>
              <w:rPr>
                <w:b/>
                <w:bCs/>
                <w:kern w:val="0"/>
                <w:sz w:val="18"/>
                <w:szCs w:val="18"/>
              </w:rPr>
            </w:pPr>
          </w:p>
        </w:tc>
      </w:tr>
      <w:tr w:rsidR="001D0350" w:rsidRPr="00D55DC6" w:rsidTr="00200C0B">
        <w:trPr>
          <w:trHeight w:val="345"/>
        </w:trPr>
        <w:tc>
          <w:tcPr>
            <w:tcW w:w="157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200C0B" w:rsidRPr="00D55DC6" w:rsidRDefault="00200C0B" w:rsidP="00200C0B">
            <w:pPr>
              <w:widowControl/>
              <w:jc w:val="both"/>
              <w:rPr>
                <w:rFonts w:eastAsia="標楷體"/>
                <w:kern w:val="0"/>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widowControl/>
              <w:jc w:val="center"/>
              <w:rPr>
                <w:b/>
                <w:bCs/>
                <w:kern w:val="0"/>
                <w:sz w:val="18"/>
                <w:szCs w:val="18"/>
              </w:rPr>
            </w:pPr>
            <w:r w:rsidRPr="00D55DC6">
              <w:rPr>
                <w:b/>
                <w:bCs/>
                <w:kern w:val="0"/>
                <w:sz w:val="18"/>
                <w:szCs w:val="18"/>
              </w:rPr>
              <w:t>103</w:t>
            </w:r>
            <w:r w:rsidRPr="00D55DC6">
              <w:rPr>
                <w:rFonts w:eastAsia="標楷體"/>
                <w:b/>
                <w:bCs/>
                <w:kern w:val="0"/>
                <w:sz w:val="18"/>
                <w:szCs w:val="18"/>
              </w:rPr>
              <w:t>年</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widowControl/>
              <w:jc w:val="center"/>
              <w:rPr>
                <w:b/>
                <w:bCs/>
                <w:kern w:val="0"/>
                <w:sz w:val="18"/>
                <w:szCs w:val="18"/>
              </w:rPr>
            </w:pPr>
            <w:r w:rsidRPr="00D55DC6">
              <w:rPr>
                <w:b/>
                <w:bCs/>
                <w:kern w:val="0"/>
                <w:sz w:val="18"/>
                <w:szCs w:val="18"/>
              </w:rPr>
              <w:t>104</w:t>
            </w:r>
            <w:r w:rsidRPr="00D55DC6">
              <w:rPr>
                <w:rFonts w:eastAsia="標楷體"/>
                <w:b/>
                <w:bCs/>
                <w:kern w:val="0"/>
                <w:sz w:val="18"/>
                <w:szCs w:val="18"/>
              </w:rPr>
              <w:t>年</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widowControl/>
              <w:jc w:val="center"/>
              <w:rPr>
                <w:b/>
                <w:bCs/>
                <w:kern w:val="0"/>
                <w:sz w:val="18"/>
                <w:szCs w:val="18"/>
              </w:rPr>
            </w:pPr>
            <w:r w:rsidRPr="00D55DC6">
              <w:rPr>
                <w:b/>
                <w:bCs/>
                <w:kern w:val="0"/>
                <w:sz w:val="18"/>
                <w:szCs w:val="18"/>
              </w:rPr>
              <w:t>105</w:t>
            </w:r>
            <w:r w:rsidRPr="00D55DC6">
              <w:rPr>
                <w:rFonts w:eastAsia="標楷體"/>
                <w:b/>
                <w:bCs/>
                <w:kern w:val="0"/>
                <w:sz w:val="18"/>
                <w:szCs w:val="18"/>
              </w:rPr>
              <w:t>年</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widowControl/>
              <w:jc w:val="center"/>
              <w:rPr>
                <w:b/>
                <w:bCs/>
                <w:kern w:val="0"/>
                <w:sz w:val="18"/>
                <w:szCs w:val="18"/>
              </w:rPr>
            </w:pPr>
            <w:r w:rsidRPr="00D55DC6">
              <w:rPr>
                <w:b/>
                <w:bCs/>
                <w:kern w:val="0"/>
                <w:sz w:val="18"/>
                <w:szCs w:val="18"/>
              </w:rPr>
              <w:t>106</w:t>
            </w:r>
            <w:r w:rsidRPr="00D55DC6">
              <w:rPr>
                <w:rFonts w:eastAsia="標楷體"/>
                <w:b/>
                <w:bCs/>
                <w:kern w:val="0"/>
                <w:sz w:val="18"/>
                <w:szCs w:val="18"/>
              </w:rPr>
              <w:t>年</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widowControl/>
              <w:jc w:val="center"/>
              <w:rPr>
                <w:b/>
                <w:bCs/>
                <w:kern w:val="0"/>
                <w:sz w:val="18"/>
                <w:szCs w:val="18"/>
              </w:rPr>
            </w:pPr>
            <w:r w:rsidRPr="00D55DC6">
              <w:rPr>
                <w:b/>
                <w:bCs/>
                <w:kern w:val="0"/>
                <w:sz w:val="18"/>
                <w:szCs w:val="18"/>
              </w:rPr>
              <w:t>107</w:t>
            </w:r>
            <w:r w:rsidRPr="00D55DC6">
              <w:rPr>
                <w:rFonts w:eastAsia="標楷體"/>
                <w:b/>
                <w:bCs/>
                <w:kern w:val="0"/>
                <w:sz w:val="18"/>
                <w:szCs w:val="18"/>
              </w:rPr>
              <w:t>年</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widowControl/>
              <w:jc w:val="center"/>
              <w:rPr>
                <w:b/>
                <w:bCs/>
                <w:kern w:val="0"/>
                <w:sz w:val="18"/>
                <w:szCs w:val="18"/>
              </w:rPr>
            </w:pPr>
            <w:r w:rsidRPr="00D55DC6">
              <w:rPr>
                <w:b/>
                <w:bCs/>
                <w:kern w:val="0"/>
                <w:sz w:val="18"/>
                <w:szCs w:val="18"/>
              </w:rPr>
              <w:t>108</w:t>
            </w:r>
            <w:r w:rsidRPr="00D55DC6">
              <w:rPr>
                <w:rFonts w:eastAsia="標楷體"/>
                <w:b/>
                <w:bCs/>
                <w:kern w:val="0"/>
                <w:sz w:val="18"/>
                <w:szCs w:val="18"/>
              </w:rPr>
              <w:t>年</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widowControl/>
              <w:jc w:val="center"/>
              <w:rPr>
                <w:b/>
                <w:bCs/>
                <w:kern w:val="0"/>
                <w:sz w:val="18"/>
                <w:szCs w:val="18"/>
              </w:rPr>
            </w:pPr>
            <w:r w:rsidRPr="00D55DC6">
              <w:rPr>
                <w:b/>
                <w:bCs/>
                <w:kern w:val="0"/>
                <w:sz w:val="18"/>
                <w:szCs w:val="18"/>
              </w:rPr>
              <w:t>109</w:t>
            </w:r>
            <w:r w:rsidRPr="00D55DC6">
              <w:rPr>
                <w:rFonts w:eastAsia="標楷體"/>
                <w:b/>
                <w:bCs/>
                <w:kern w:val="0"/>
                <w:sz w:val="18"/>
                <w:szCs w:val="18"/>
              </w:rPr>
              <w:t>年</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widowControl/>
              <w:jc w:val="center"/>
              <w:rPr>
                <w:b/>
                <w:bCs/>
                <w:kern w:val="0"/>
                <w:sz w:val="18"/>
                <w:szCs w:val="18"/>
              </w:rPr>
            </w:pPr>
            <w:r w:rsidRPr="00D55DC6">
              <w:rPr>
                <w:b/>
                <w:bCs/>
                <w:kern w:val="0"/>
                <w:sz w:val="18"/>
                <w:szCs w:val="18"/>
              </w:rPr>
              <w:t>110</w:t>
            </w:r>
            <w:r w:rsidRPr="00D55DC6">
              <w:rPr>
                <w:rFonts w:eastAsia="標楷體"/>
                <w:b/>
                <w:bCs/>
                <w:kern w:val="0"/>
                <w:sz w:val="18"/>
                <w:szCs w:val="18"/>
              </w:rPr>
              <w:t>年</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widowControl/>
              <w:jc w:val="center"/>
              <w:rPr>
                <w:b/>
                <w:bCs/>
                <w:kern w:val="0"/>
                <w:sz w:val="18"/>
                <w:szCs w:val="18"/>
              </w:rPr>
            </w:pPr>
            <w:r w:rsidRPr="00D55DC6">
              <w:rPr>
                <w:b/>
                <w:bCs/>
                <w:kern w:val="0"/>
                <w:sz w:val="18"/>
                <w:szCs w:val="18"/>
              </w:rPr>
              <w:t>111</w:t>
            </w:r>
            <w:r w:rsidRPr="00D55DC6">
              <w:rPr>
                <w:rFonts w:eastAsia="標楷體"/>
                <w:b/>
                <w:bCs/>
                <w:kern w:val="0"/>
                <w:sz w:val="18"/>
                <w:szCs w:val="18"/>
              </w:rPr>
              <w:t>年</w:t>
            </w:r>
          </w:p>
        </w:tc>
        <w:tc>
          <w:tcPr>
            <w:tcW w:w="709" w:type="dxa"/>
            <w:tcBorders>
              <w:top w:val="single" w:sz="4" w:space="0" w:color="auto"/>
              <w:left w:val="single" w:sz="4" w:space="0" w:color="auto"/>
              <w:bottom w:val="single" w:sz="4" w:space="0" w:color="auto"/>
              <w:right w:val="single" w:sz="4" w:space="0" w:color="auto"/>
            </w:tcBorders>
            <w:vAlign w:val="center"/>
          </w:tcPr>
          <w:p w:rsidR="00200C0B" w:rsidRPr="00D55DC6" w:rsidRDefault="00200C0B" w:rsidP="00200C0B">
            <w:pPr>
              <w:widowControl/>
              <w:jc w:val="center"/>
              <w:rPr>
                <w:b/>
                <w:bCs/>
                <w:kern w:val="0"/>
                <w:sz w:val="18"/>
                <w:szCs w:val="18"/>
              </w:rPr>
            </w:pPr>
            <w:r w:rsidRPr="00D55DC6">
              <w:rPr>
                <w:b/>
                <w:bCs/>
                <w:kern w:val="0"/>
                <w:sz w:val="18"/>
                <w:szCs w:val="18"/>
              </w:rPr>
              <w:t>112</w:t>
            </w:r>
            <w:r w:rsidRPr="00D55DC6">
              <w:rPr>
                <w:rFonts w:eastAsia="標楷體"/>
                <w:b/>
                <w:bCs/>
                <w:kern w:val="0"/>
                <w:sz w:val="18"/>
                <w:szCs w:val="18"/>
              </w:rPr>
              <w:t>年</w:t>
            </w:r>
          </w:p>
        </w:tc>
        <w:tc>
          <w:tcPr>
            <w:tcW w:w="850" w:type="dxa"/>
            <w:vMerge/>
            <w:tcBorders>
              <w:top w:val="single" w:sz="4" w:space="0" w:color="auto"/>
              <w:left w:val="single" w:sz="4" w:space="0" w:color="auto"/>
              <w:right w:val="single" w:sz="4" w:space="0" w:color="auto"/>
              <w:tr2bl w:val="single" w:sz="4" w:space="0" w:color="auto"/>
            </w:tcBorders>
            <w:shd w:val="clear" w:color="auto" w:fill="auto"/>
            <w:noWrap/>
            <w:vAlign w:val="center"/>
            <w:hideMark/>
          </w:tcPr>
          <w:p w:rsidR="00200C0B" w:rsidRPr="00D55DC6" w:rsidRDefault="00200C0B" w:rsidP="00200C0B">
            <w:pPr>
              <w:widowControl/>
              <w:jc w:val="both"/>
              <w:rPr>
                <w:b/>
                <w:bCs/>
                <w:kern w:val="0"/>
                <w:sz w:val="18"/>
                <w:szCs w:val="18"/>
              </w:rPr>
            </w:pPr>
          </w:p>
        </w:tc>
      </w:tr>
      <w:tr w:rsidR="001D0350" w:rsidRPr="00D55DC6" w:rsidTr="00200C0B">
        <w:trPr>
          <w:trHeight w:val="381"/>
        </w:trPr>
        <w:tc>
          <w:tcPr>
            <w:tcW w:w="1575" w:type="dxa"/>
            <w:tcBorders>
              <w:top w:val="nil"/>
              <w:left w:val="single" w:sz="8" w:space="0" w:color="auto"/>
              <w:bottom w:val="single" w:sz="8" w:space="0" w:color="auto"/>
              <w:right w:val="single" w:sz="4" w:space="0" w:color="auto"/>
            </w:tcBorders>
            <w:shd w:val="clear" w:color="auto" w:fill="auto"/>
            <w:noWrap/>
            <w:vAlign w:val="center"/>
            <w:hideMark/>
          </w:tcPr>
          <w:p w:rsidR="00200C0B" w:rsidRPr="00D55DC6" w:rsidRDefault="00200C0B" w:rsidP="00200C0B">
            <w:pPr>
              <w:widowControl/>
              <w:jc w:val="center"/>
              <w:rPr>
                <w:rFonts w:eastAsia="標楷體"/>
                <w:kern w:val="0"/>
                <w:sz w:val="20"/>
                <w:szCs w:val="20"/>
              </w:rPr>
            </w:pPr>
            <w:r w:rsidRPr="00D55DC6">
              <w:rPr>
                <w:rFonts w:eastAsia="標楷體"/>
                <w:kern w:val="0"/>
                <w:sz w:val="20"/>
                <w:szCs w:val="20"/>
              </w:rPr>
              <w:t>計畫投資總經費</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200C0B" w:rsidRPr="00D55DC6" w:rsidRDefault="00200C0B" w:rsidP="00200C0B">
            <w:pPr>
              <w:jc w:val="right"/>
              <w:rPr>
                <w:rFonts w:eastAsia="標楷體"/>
                <w:sz w:val="20"/>
              </w:rPr>
            </w:pPr>
            <w:r w:rsidRPr="00D55DC6">
              <w:rPr>
                <w:rFonts w:eastAsia="標楷體"/>
                <w:sz w:val="20"/>
              </w:rPr>
              <w:t>1.963</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00C0B" w:rsidRPr="00D55DC6" w:rsidRDefault="00200C0B" w:rsidP="00200C0B">
            <w:pPr>
              <w:jc w:val="right"/>
              <w:rPr>
                <w:rFonts w:eastAsia="標楷體"/>
                <w:sz w:val="20"/>
              </w:rPr>
            </w:pPr>
            <w:r w:rsidRPr="00D55DC6">
              <w:rPr>
                <w:rFonts w:eastAsia="標楷體"/>
                <w:sz w:val="20"/>
              </w:rPr>
              <w:t>1.96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0C0B" w:rsidRPr="00D55DC6" w:rsidRDefault="00200C0B" w:rsidP="00200C0B">
            <w:pPr>
              <w:jc w:val="right"/>
              <w:rPr>
                <w:rFonts w:eastAsia="標楷體"/>
                <w:sz w:val="20"/>
                <w:szCs w:val="20"/>
              </w:rPr>
            </w:pPr>
            <w:r w:rsidRPr="00D55DC6">
              <w:rPr>
                <w:rFonts w:eastAsia="標楷體"/>
                <w:sz w:val="20"/>
                <w:szCs w:val="20"/>
              </w:rPr>
              <w:t>2.3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0C0B" w:rsidRPr="00D55DC6" w:rsidRDefault="00200C0B" w:rsidP="00200C0B">
            <w:pPr>
              <w:jc w:val="right"/>
              <w:rPr>
                <w:rFonts w:eastAsia="標楷體"/>
                <w:sz w:val="20"/>
                <w:szCs w:val="20"/>
              </w:rPr>
            </w:pPr>
            <w:r w:rsidRPr="00D55DC6">
              <w:rPr>
                <w:rFonts w:eastAsia="標楷體"/>
                <w:sz w:val="20"/>
                <w:szCs w:val="20"/>
              </w:rPr>
              <w:t>2.3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0C0B" w:rsidRPr="00D55DC6" w:rsidRDefault="00200C0B" w:rsidP="00200C0B">
            <w:pPr>
              <w:jc w:val="right"/>
              <w:rPr>
                <w:rFonts w:eastAsia="標楷體"/>
                <w:sz w:val="20"/>
                <w:szCs w:val="20"/>
              </w:rPr>
            </w:pPr>
            <w:r w:rsidRPr="00D55DC6">
              <w:rPr>
                <w:rFonts w:eastAsia="標楷體"/>
                <w:sz w:val="20"/>
                <w:szCs w:val="20"/>
              </w:rPr>
              <w:t>2.3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0C0B" w:rsidRPr="00D55DC6" w:rsidRDefault="00200C0B" w:rsidP="00200C0B">
            <w:pPr>
              <w:jc w:val="right"/>
              <w:rPr>
                <w:rFonts w:eastAsia="標楷體"/>
                <w:sz w:val="20"/>
                <w:szCs w:val="20"/>
              </w:rPr>
            </w:pPr>
            <w:r w:rsidRPr="00D55DC6">
              <w:rPr>
                <w:rFonts w:eastAsia="標楷體"/>
                <w:sz w:val="20"/>
                <w:szCs w:val="20"/>
              </w:rPr>
              <w:t>2.3</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00C0B" w:rsidRPr="00D55DC6" w:rsidRDefault="00200C0B" w:rsidP="00200C0B">
            <w:pPr>
              <w:jc w:val="right"/>
              <w:rPr>
                <w:rFonts w:eastAsia="標楷體"/>
                <w:sz w:val="20"/>
              </w:rPr>
            </w:pPr>
            <w:r w:rsidRPr="00D55DC6">
              <w:rPr>
                <w:rFonts w:eastAsia="標楷體"/>
                <w:sz w:val="20"/>
              </w:rPr>
              <w:t>1.8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00C0B" w:rsidRPr="00D55DC6" w:rsidRDefault="00200C0B" w:rsidP="00200C0B">
            <w:pPr>
              <w:jc w:val="right"/>
              <w:rPr>
                <w:rFonts w:eastAsia="標楷體"/>
                <w:sz w:val="20"/>
              </w:rPr>
            </w:pPr>
            <w:r w:rsidRPr="00D55DC6">
              <w:rPr>
                <w:rFonts w:eastAsia="標楷體"/>
                <w:sz w:val="20"/>
              </w:rPr>
              <w:t>1.8</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200C0B" w:rsidRPr="00D55DC6" w:rsidRDefault="00200C0B" w:rsidP="00200C0B">
            <w:pPr>
              <w:jc w:val="right"/>
              <w:rPr>
                <w:rFonts w:eastAsia="標楷體"/>
                <w:sz w:val="20"/>
              </w:rPr>
            </w:pPr>
            <w:r w:rsidRPr="00D55DC6">
              <w:rPr>
                <w:rFonts w:eastAsia="標楷體"/>
                <w:sz w:val="20"/>
              </w:rPr>
              <w:t>1.8</w:t>
            </w:r>
          </w:p>
        </w:tc>
        <w:tc>
          <w:tcPr>
            <w:tcW w:w="709" w:type="dxa"/>
            <w:tcBorders>
              <w:top w:val="single" w:sz="4" w:space="0" w:color="auto"/>
              <w:left w:val="single" w:sz="4" w:space="0" w:color="auto"/>
              <w:bottom w:val="single" w:sz="4" w:space="0" w:color="auto"/>
              <w:right w:val="single" w:sz="4" w:space="0" w:color="auto"/>
            </w:tcBorders>
          </w:tcPr>
          <w:p w:rsidR="00200C0B" w:rsidRPr="00D55DC6" w:rsidRDefault="00200C0B" w:rsidP="00200C0B">
            <w:pPr>
              <w:jc w:val="right"/>
              <w:rPr>
                <w:rFonts w:eastAsia="標楷體"/>
                <w:sz w:val="20"/>
              </w:rPr>
            </w:pPr>
            <w:r w:rsidRPr="00D55DC6">
              <w:rPr>
                <w:rFonts w:eastAsia="標楷體"/>
                <w:sz w:val="20"/>
              </w:rPr>
              <w:t>1.8</w:t>
            </w:r>
          </w:p>
        </w:tc>
        <w:tc>
          <w:tcPr>
            <w:tcW w:w="850" w:type="dxa"/>
            <w:vMerge/>
            <w:tcBorders>
              <w:left w:val="single" w:sz="4" w:space="0" w:color="auto"/>
              <w:right w:val="single" w:sz="4" w:space="0" w:color="auto"/>
            </w:tcBorders>
            <w:shd w:val="clear" w:color="auto" w:fill="auto"/>
            <w:noWrap/>
            <w:vAlign w:val="center"/>
            <w:hideMark/>
          </w:tcPr>
          <w:p w:rsidR="00200C0B" w:rsidRPr="00D55DC6" w:rsidRDefault="00200C0B" w:rsidP="00200C0B">
            <w:pPr>
              <w:widowControl/>
              <w:jc w:val="center"/>
              <w:rPr>
                <w:rFonts w:eastAsia="標楷體"/>
                <w:kern w:val="0"/>
                <w:sz w:val="20"/>
                <w:szCs w:val="20"/>
              </w:rPr>
            </w:pPr>
          </w:p>
        </w:tc>
      </w:tr>
      <w:tr w:rsidR="001D0350" w:rsidRPr="00D55DC6" w:rsidTr="00200C0B">
        <w:trPr>
          <w:trHeight w:val="401"/>
        </w:trPr>
        <w:tc>
          <w:tcPr>
            <w:tcW w:w="1575" w:type="dxa"/>
            <w:tcBorders>
              <w:top w:val="nil"/>
              <w:left w:val="single" w:sz="8" w:space="0" w:color="auto"/>
              <w:bottom w:val="single" w:sz="8" w:space="0" w:color="auto"/>
              <w:right w:val="single" w:sz="4" w:space="0" w:color="auto"/>
            </w:tcBorders>
            <w:shd w:val="clear" w:color="000000" w:fill="FFFFFF"/>
            <w:noWrap/>
            <w:vAlign w:val="center"/>
            <w:hideMark/>
          </w:tcPr>
          <w:p w:rsidR="00200C0B" w:rsidRPr="00D55DC6" w:rsidRDefault="00200C0B" w:rsidP="00200C0B">
            <w:pPr>
              <w:widowControl/>
              <w:jc w:val="center"/>
              <w:rPr>
                <w:rFonts w:eastAsia="標楷體"/>
                <w:kern w:val="0"/>
                <w:sz w:val="20"/>
                <w:szCs w:val="20"/>
              </w:rPr>
            </w:pPr>
            <w:r w:rsidRPr="00D55DC6">
              <w:rPr>
                <w:rFonts w:eastAsia="標楷體"/>
                <w:kern w:val="0"/>
                <w:sz w:val="20"/>
                <w:szCs w:val="20"/>
              </w:rPr>
              <w:t>計畫收益規劃</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200C0B" w:rsidRPr="00D55DC6" w:rsidRDefault="00200C0B" w:rsidP="00200C0B">
            <w:pPr>
              <w:jc w:val="right"/>
              <w:rPr>
                <w:rFonts w:eastAsia="標楷體"/>
                <w:sz w:val="20"/>
              </w:rPr>
            </w:pPr>
            <w:r w:rsidRPr="00D55DC6">
              <w:rPr>
                <w:rFonts w:eastAsia="標楷體"/>
                <w:sz w:val="20"/>
              </w:rPr>
              <w:t>0.1353</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00C0B" w:rsidRPr="00D55DC6" w:rsidRDefault="00200C0B" w:rsidP="00200C0B">
            <w:pPr>
              <w:jc w:val="right"/>
              <w:rPr>
                <w:rFonts w:eastAsia="標楷體"/>
                <w:sz w:val="20"/>
              </w:rPr>
            </w:pPr>
            <w:r w:rsidRPr="00D55DC6">
              <w:rPr>
                <w:rFonts w:eastAsia="標楷體"/>
                <w:sz w:val="20"/>
              </w:rPr>
              <w:t>0.2343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0C0B" w:rsidRPr="00D55DC6" w:rsidRDefault="00200C0B" w:rsidP="00200C0B">
            <w:pPr>
              <w:jc w:val="right"/>
              <w:rPr>
                <w:rFonts w:eastAsia="標楷體"/>
                <w:sz w:val="20"/>
                <w:szCs w:val="20"/>
              </w:rPr>
            </w:pPr>
            <w:r w:rsidRPr="00D55DC6">
              <w:rPr>
                <w:rFonts w:eastAsia="標楷體"/>
                <w:sz w:val="20"/>
                <w:szCs w:val="20"/>
              </w:rPr>
              <w:t>0.3237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0C0B" w:rsidRPr="00D55DC6" w:rsidRDefault="00200C0B" w:rsidP="00200C0B">
            <w:pPr>
              <w:jc w:val="right"/>
              <w:rPr>
                <w:rFonts w:eastAsia="標楷體"/>
                <w:sz w:val="20"/>
                <w:szCs w:val="20"/>
              </w:rPr>
            </w:pPr>
            <w:r w:rsidRPr="00D55DC6">
              <w:rPr>
                <w:rFonts w:eastAsia="標楷體"/>
                <w:sz w:val="20"/>
                <w:szCs w:val="20"/>
              </w:rPr>
              <w:t>0.3637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0C0B" w:rsidRPr="00D55DC6" w:rsidRDefault="00200C0B" w:rsidP="00200C0B">
            <w:pPr>
              <w:jc w:val="right"/>
              <w:rPr>
                <w:rFonts w:eastAsia="標楷體"/>
                <w:sz w:val="20"/>
                <w:szCs w:val="20"/>
              </w:rPr>
            </w:pPr>
            <w:r w:rsidRPr="00D55DC6">
              <w:rPr>
                <w:rFonts w:eastAsia="標楷體"/>
                <w:sz w:val="20"/>
                <w:szCs w:val="20"/>
              </w:rPr>
              <w:t>0.4347</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0C0B" w:rsidRPr="00D55DC6" w:rsidRDefault="00200C0B" w:rsidP="00200C0B">
            <w:pPr>
              <w:jc w:val="right"/>
              <w:rPr>
                <w:rFonts w:eastAsia="標楷體"/>
                <w:sz w:val="20"/>
                <w:szCs w:val="20"/>
              </w:rPr>
            </w:pPr>
            <w:r w:rsidRPr="00D55DC6">
              <w:rPr>
                <w:rFonts w:eastAsia="標楷體"/>
                <w:sz w:val="20"/>
                <w:szCs w:val="20"/>
              </w:rPr>
              <w:t>0.5367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0C0B" w:rsidRPr="00D55DC6" w:rsidRDefault="00200C0B" w:rsidP="00200C0B">
            <w:pPr>
              <w:jc w:val="right"/>
              <w:rPr>
                <w:rFonts w:eastAsia="標楷體"/>
                <w:sz w:val="20"/>
                <w:szCs w:val="20"/>
              </w:rPr>
            </w:pPr>
            <w:r w:rsidRPr="00D55DC6">
              <w:rPr>
                <w:rFonts w:eastAsia="標楷體"/>
                <w:sz w:val="20"/>
                <w:szCs w:val="20"/>
              </w:rPr>
              <w:t xml:space="preserve">0.5953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0C0B" w:rsidRPr="00D55DC6" w:rsidRDefault="00200C0B" w:rsidP="00200C0B">
            <w:pPr>
              <w:jc w:val="right"/>
              <w:rPr>
                <w:rFonts w:eastAsia="標楷體"/>
                <w:sz w:val="20"/>
                <w:szCs w:val="20"/>
              </w:rPr>
            </w:pPr>
            <w:r w:rsidRPr="00D55DC6">
              <w:rPr>
                <w:rFonts w:eastAsia="標楷體"/>
                <w:sz w:val="20"/>
                <w:szCs w:val="20"/>
              </w:rPr>
              <w:t xml:space="preserve">0.6034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0C0B" w:rsidRPr="00D55DC6" w:rsidRDefault="00200C0B" w:rsidP="00200C0B">
            <w:pPr>
              <w:jc w:val="right"/>
              <w:rPr>
                <w:rFonts w:eastAsia="標楷體"/>
                <w:sz w:val="20"/>
                <w:szCs w:val="20"/>
              </w:rPr>
            </w:pPr>
            <w:r w:rsidRPr="00D55DC6">
              <w:rPr>
                <w:rFonts w:eastAsia="標楷體"/>
                <w:sz w:val="20"/>
                <w:szCs w:val="20"/>
              </w:rPr>
              <w:t xml:space="preserve">0.6117 </w:t>
            </w:r>
          </w:p>
        </w:tc>
        <w:tc>
          <w:tcPr>
            <w:tcW w:w="709" w:type="dxa"/>
            <w:tcBorders>
              <w:top w:val="single" w:sz="4" w:space="0" w:color="auto"/>
              <w:left w:val="single" w:sz="4" w:space="0" w:color="auto"/>
              <w:bottom w:val="single" w:sz="4" w:space="0" w:color="auto"/>
              <w:right w:val="single" w:sz="4" w:space="0" w:color="auto"/>
            </w:tcBorders>
            <w:vAlign w:val="center"/>
          </w:tcPr>
          <w:p w:rsidR="00200C0B" w:rsidRPr="00D55DC6" w:rsidRDefault="00200C0B" w:rsidP="00200C0B">
            <w:pPr>
              <w:jc w:val="right"/>
              <w:rPr>
                <w:rFonts w:eastAsia="標楷體"/>
                <w:sz w:val="20"/>
                <w:szCs w:val="20"/>
              </w:rPr>
            </w:pPr>
            <w:r w:rsidRPr="00D55DC6">
              <w:rPr>
                <w:rFonts w:eastAsia="標楷體"/>
                <w:sz w:val="20"/>
                <w:szCs w:val="20"/>
              </w:rPr>
              <w:t xml:space="preserve">0.6201 </w:t>
            </w:r>
          </w:p>
        </w:tc>
        <w:tc>
          <w:tcPr>
            <w:tcW w:w="850" w:type="dxa"/>
            <w:vMerge/>
            <w:tcBorders>
              <w:left w:val="single" w:sz="4" w:space="0" w:color="auto"/>
              <w:right w:val="single" w:sz="4" w:space="0" w:color="auto"/>
            </w:tcBorders>
            <w:shd w:val="clear" w:color="auto" w:fill="auto"/>
            <w:noWrap/>
            <w:vAlign w:val="center"/>
            <w:hideMark/>
          </w:tcPr>
          <w:p w:rsidR="00200C0B" w:rsidRPr="00D55DC6" w:rsidRDefault="00200C0B" w:rsidP="00200C0B">
            <w:pPr>
              <w:widowControl/>
              <w:jc w:val="center"/>
              <w:rPr>
                <w:rFonts w:eastAsia="標楷體"/>
                <w:kern w:val="0"/>
                <w:sz w:val="20"/>
                <w:szCs w:val="20"/>
              </w:rPr>
            </w:pPr>
          </w:p>
        </w:tc>
      </w:tr>
      <w:tr w:rsidR="001D0350" w:rsidRPr="00D55DC6" w:rsidTr="00200C0B">
        <w:trPr>
          <w:trHeight w:val="345"/>
        </w:trPr>
        <w:tc>
          <w:tcPr>
            <w:tcW w:w="1575" w:type="dxa"/>
            <w:tcBorders>
              <w:top w:val="nil"/>
              <w:left w:val="single" w:sz="8" w:space="0" w:color="auto"/>
              <w:bottom w:val="single" w:sz="8" w:space="0" w:color="auto"/>
              <w:right w:val="single" w:sz="4" w:space="0" w:color="auto"/>
            </w:tcBorders>
            <w:shd w:val="clear" w:color="000000" w:fill="FFFF00"/>
            <w:noWrap/>
            <w:vAlign w:val="center"/>
            <w:hideMark/>
          </w:tcPr>
          <w:p w:rsidR="00200C0B" w:rsidRPr="00D55DC6" w:rsidRDefault="00200C0B" w:rsidP="00200C0B">
            <w:pPr>
              <w:widowControl/>
              <w:jc w:val="center"/>
              <w:rPr>
                <w:rFonts w:eastAsia="標楷體"/>
                <w:b/>
                <w:kern w:val="0"/>
                <w:sz w:val="20"/>
                <w:szCs w:val="20"/>
              </w:rPr>
            </w:pPr>
            <w:r w:rsidRPr="00D55DC6">
              <w:rPr>
                <w:rFonts w:eastAsia="標楷體"/>
                <w:b/>
                <w:kern w:val="0"/>
                <w:sz w:val="20"/>
                <w:szCs w:val="20"/>
              </w:rPr>
              <w:t>分年收支比</w:t>
            </w:r>
          </w:p>
        </w:tc>
        <w:tc>
          <w:tcPr>
            <w:tcW w:w="708" w:type="dxa"/>
            <w:tcBorders>
              <w:top w:val="single" w:sz="4" w:space="0" w:color="auto"/>
              <w:left w:val="single" w:sz="4" w:space="0" w:color="auto"/>
              <w:bottom w:val="single" w:sz="4" w:space="0" w:color="auto"/>
              <w:right w:val="single" w:sz="4" w:space="0" w:color="auto"/>
            </w:tcBorders>
            <w:shd w:val="clear" w:color="000000" w:fill="FFFF00"/>
            <w:noWrap/>
          </w:tcPr>
          <w:p w:rsidR="00200C0B" w:rsidRPr="00D55DC6" w:rsidRDefault="00200C0B" w:rsidP="00200C0B">
            <w:pPr>
              <w:jc w:val="right"/>
              <w:rPr>
                <w:rFonts w:eastAsia="標楷體"/>
                <w:sz w:val="20"/>
              </w:rPr>
            </w:pPr>
            <w:r w:rsidRPr="00D55DC6">
              <w:rPr>
                <w:rFonts w:eastAsia="標楷體"/>
                <w:sz w:val="20"/>
              </w:rPr>
              <w:t>6.89%</w:t>
            </w:r>
          </w:p>
        </w:tc>
        <w:tc>
          <w:tcPr>
            <w:tcW w:w="709" w:type="dxa"/>
            <w:tcBorders>
              <w:top w:val="single" w:sz="4" w:space="0" w:color="auto"/>
              <w:left w:val="single" w:sz="4" w:space="0" w:color="auto"/>
              <w:bottom w:val="single" w:sz="4" w:space="0" w:color="auto"/>
              <w:right w:val="single" w:sz="4" w:space="0" w:color="auto"/>
            </w:tcBorders>
            <w:shd w:val="clear" w:color="000000" w:fill="FFFF00"/>
            <w:noWrap/>
          </w:tcPr>
          <w:p w:rsidR="00200C0B" w:rsidRPr="00D55DC6" w:rsidRDefault="00200C0B" w:rsidP="00200C0B">
            <w:pPr>
              <w:jc w:val="right"/>
              <w:rPr>
                <w:rFonts w:eastAsia="標楷體"/>
                <w:sz w:val="20"/>
              </w:rPr>
            </w:pPr>
            <w:r w:rsidRPr="00D55DC6">
              <w:rPr>
                <w:rFonts w:eastAsia="標楷體"/>
                <w:sz w:val="20"/>
              </w:rPr>
              <w:t>11.95%</w:t>
            </w:r>
          </w:p>
        </w:tc>
        <w:tc>
          <w:tcPr>
            <w:tcW w:w="70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200C0B" w:rsidRPr="00D55DC6" w:rsidRDefault="00200C0B" w:rsidP="00200C0B">
            <w:pPr>
              <w:jc w:val="right"/>
              <w:rPr>
                <w:rFonts w:eastAsia="標楷體"/>
                <w:sz w:val="20"/>
                <w:szCs w:val="20"/>
              </w:rPr>
            </w:pPr>
            <w:r w:rsidRPr="00D55DC6">
              <w:rPr>
                <w:rFonts w:eastAsia="標楷體"/>
                <w:sz w:val="20"/>
                <w:szCs w:val="20"/>
              </w:rPr>
              <w:t>14.07%</w:t>
            </w:r>
          </w:p>
        </w:tc>
        <w:tc>
          <w:tcPr>
            <w:tcW w:w="70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200C0B" w:rsidRPr="00D55DC6" w:rsidRDefault="00200C0B" w:rsidP="00200C0B">
            <w:pPr>
              <w:jc w:val="right"/>
              <w:rPr>
                <w:rFonts w:eastAsia="標楷體"/>
                <w:sz w:val="20"/>
                <w:szCs w:val="20"/>
              </w:rPr>
            </w:pPr>
            <w:r w:rsidRPr="00D55DC6">
              <w:rPr>
                <w:rFonts w:eastAsia="標楷體"/>
                <w:sz w:val="20"/>
                <w:szCs w:val="20"/>
              </w:rPr>
              <w:t>15.81%</w:t>
            </w:r>
          </w:p>
        </w:tc>
        <w:tc>
          <w:tcPr>
            <w:tcW w:w="70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200C0B" w:rsidRPr="00D55DC6" w:rsidRDefault="00200C0B" w:rsidP="00200C0B">
            <w:pPr>
              <w:jc w:val="right"/>
              <w:rPr>
                <w:rFonts w:eastAsia="標楷體"/>
                <w:sz w:val="20"/>
                <w:szCs w:val="20"/>
              </w:rPr>
            </w:pPr>
            <w:r w:rsidRPr="00D55DC6">
              <w:rPr>
                <w:rFonts w:eastAsia="標楷體"/>
                <w:sz w:val="20"/>
                <w:szCs w:val="20"/>
              </w:rPr>
              <w:t>18.90%</w:t>
            </w:r>
          </w:p>
        </w:tc>
        <w:tc>
          <w:tcPr>
            <w:tcW w:w="708"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200C0B" w:rsidRPr="00D55DC6" w:rsidRDefault="00200C0B" w:rsidP="00200C0B">
            <w:pPr>
              <w:jc w:val="right"/>
              <w:rPr>
                <w:rFonts w:eastAsia="標楷體"/>
                <w:sz w:val="20"/>
                <w:szCs w:val="20"/>
              </w:rPr>
            </w:pPr>
            <w:r w:rsidRPr="00D55DC6">
              <w:rPr>
                <w:rFonts w:eastAsia="標楷體"/>
                <w:sz w:val="20"/>
                <w:szCs w:val="20"/>
              </w:rPr>
              <w:t>23.33%</w:t>
            </w:r>
          </w:p>
        </w:tc>
        <w:tc>
          <w:tcPr>
            <w:tcW w:w="70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200C0B" w:rsidRPr="00D55DC6" w:rsidRDefault="00200C0B" w:rsidP="00200C0B">
            <w:pPr>
              <w:jc w:val="right"/>
              <w:rPr>
                <w:rFonts w:eastAsia="標楷體"/>
                <w:sz w:val="20"/>
                <w:szCs w:val="20"/>
              </w:rPr>
            </w:pPr>
            <w:r w:rsidRPr="00D55DC6">
              <w:rPr>
                <w:rFonts w:eastAsia="標楷體"/>
                <w:sz w:val="20"/>
                <w:szCs w:val="20"/>
              </w:rPr>
              <w:t>33.07%</w:t>
            </w:r>
          </w:p>
        </w:tc>
        <w:tc>
          <w:tcPr>
            <w:tcW w:w="70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200C0B" w:rsidRPr="00D55DC6" w:rsidRDefault="00200C0B" w:rsidP="00200C0B">
            <w:pPr>
              <w:jc w:val="right"/>
              <w:rPr>
                <w:rFonts w:eastAsia="標楷體"/>
                <w:sz w:val="20"/>
                <w:szCs w:val="20"/>
              </w:rPr>
            </w:pPr>
            <w:r w:rsidRPr="00D55DC6">
              <w:rPr>
                <w:rFonts w:eastAsia="標楷體"/>
                <w:sz w:val="20"/>
                <w:szCs w:val="20"/>
              </w:rPr>
              <w:t>33.52%</w:t>
            </w:r>
          </w:p>
        </w:tc>
        <w:tc>
          <w:tcPr>
            <w:tcW w:w="708"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200C0B" w:rsidRPr="00D55DC6" w:rsidRDefault="00200C0B" w:rsidP="00200C0B">
            <w:pPr>
              <w:jc w:val="right"/>
              <w:rPr>
                <w:rFonts w:eastAsia="標楷體"/>
                <w:sz w:val="20"/>
                <w:szCs w:val="20"/>
              </w:rPr>
            </w:pPr>
            <w:r w:rsidRPr="00D55DC6">
              <w:rPr>
                <w:rFonts w:eastAsia="標楷體"/>
                <w:sz w:val="20"/>
                <w:szCs w:val="20"/>
              </w:rPr>
              <w:t>33.98%</w:t>
            </w:r>
          </w:p>
        </w:tc>
        <w:tc>
          <w:tcPr>
            <w:tcW w:w="709" w:type="dxa"/>
            <w:tcBorders>
              <w:top w:val="single" w:sz="4" w:space="0" w:color="auto"/>
              <w:left w:val="single" w:sz="4" w:space="0" w:color="auto"/>
              <w:bottom w:val="single" w:sz="4" w:space="0" w:color="auto"/>
              <w:right w:val="single" w:sz="4" w:space="0" w:color="auto"/>
            </w:tcBorders>
            <w:shd w:val="clear" w:color="000000" w:fill="FFFF00"/>
            <w:vAlign w:val="center"/>
          </w:tcPr>
          <w:p w:rsidR="00200C0B" w:rsidRPr="00D55DC6" w:rsidRDefault="00200C0B" w:rsidP="00200C0B">
            <w:pPr>
              <w:jc w:val="right"/>
              <w:rPr>
                <w:rFonts w:eastAsia="標楷體"/>
                <w:sz w:val="20"/>
                <w:szCs w:val="20"/>
              </w:rPr>
            </w:pPr>
            <w:r w:rsidRPr="00D55DC6">
              <w:rPr>
                <w:rFonts w:eastAsia="標楷體"/>
                <w:sz w:val="20"/>
                <w:szCs w:val="20"/>
              </w:rPr>
              <w:t>34.45%</w:t>
            </w:r>
          </w:p>
        </w:tc>
        <w:tc>
          <w:tcPr>
            <w:tcW w:w="850" w:type="dxa"/>
            <w:vMerge/>
            <w:tcBorders>
              <w:left w:val="single" w:sz="4" w:space="0" w:color="auto"/>
              <w:bottom w:val="single" w:sz="4" w:space="0" w:color="auto"/>
              <w:right w:val="single" w:sz="4" w:space="0" w:color="auto"/>
            </w:tcBorders>
            <w:shd w:val="clear" w:color="000000" w:fill="FFFF00"/>
            <w:noWrap/>
            <w:vAlign w:val="center"/>
            <w:hideMark/>
          </w:tcPr>
          <w:p w:rsidR="00200C0B" w:rsidRPr="00D55DC6" w:rsidRDefault="00200C0B" w:rsidP="00200C0B">
            <w:pPr>
              <w:widowControl/>
              <w:jc w:val="center"/>
              <w:rPr>
                <w:rFonts w:eastAsia="標楷體"/>
                <w:kern w:val="0"/>
                <w:sz w:val="20"/>
                <w:szCs w:val="20"/>
              </w:rPr>
            </w:pPr>
          </w:p>
        </w:tc>
      </w:tr>
      <w:tr w:rsidR="001D0350" w:rsidRPr="00D55DC6" w:rsidTr="00200C0B">
        <w:trPr>
          <w:trHeight w:val="345"/>
        </w:trPr>
        <w:tc>
          <w:tcPr>
            <w:tcW w:w="1575" w:type="dxa"/>
            <w:tcBorders>
              <w:top w:val="nil"/>
              <w:left w:val="single" w:sz="8" w:space="0" w:color="auto"/>
              <w:bottom w:val="single" w:sz="8" w:space="0" w:color="auto"/>
              <w:right w:val="single" w:sz="4" w:space="0" w:color="auto"/>
            </w:tcBorders>
            <w:shd w:val="clear" w:color="auto" w:fill="auto"/>
            <w:noWrap/>
            <w:vAlign w:val="center"/>
            <w:hideMark/>
          </w:tcPr>
          <w:p w:rsidR="00200C0B" w:rsidRPr="00D55DC6" w:rsidRDefault="00200C0B" w:rsidP="00200C0B">
            <w:pPr>
              <w:widowControl/>
              <w:jc w:val="both"/>
              <w:rPr>
                <w:rFonts w:eastAsia="標楷體"/>
                <w:kern w:val="0"/>
                <w:sz w:val="20"/>
                <w:szCs w:val="20"/>
              </w:rPr>
            </w:pP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jc w:val="center"/>
              <w:rPr>
                <w:b/>
                <w:bCs/>
                <w:sz w:val="18"/>
                <w:szCs w:val="18"/>
              </w:rPr>
            </w:pPr>
            <w:r w:rsidRPr="00D55DC6">
              <w:rPr>
                <w:b/>
                <w:bCs/>
                <w:sz w:val="18"/>
                <w:szCs w:val="18"/>
              </w:rPr>
              <w:t>中期</w:t>
            </w:r>
          </w:p>
        </w:tc>
        <w:tc>
          <w:tcPr>
            <w:tcW w:w="496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jc w:val="center"/>
              <w:rPr>
                <w:b/>
                <w:bCs/>
                <w:sz w:val="18"/>
                <w:szCs w:val="18"/>
              </w:rPr>
            </w:pPr>
            <w:r w:rsidRPr="00D55DC6">
              <w:rPr>
                <w:b/>
                <w:bCs/>
                <w:sz w:val="18"/>
                <w:szCs w:val="18"/>
              </w:rPr>
              <w:t>長期</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widowControl/>
              <w:jc w:val="center"/>
              <w:rPr>
                <w:b/>
                <w:bCs/>
                <w:kern w:val="0"/>
                <w:sz w:val="18"/>
                <w:szCs w:val="18"/>
              </w:rPr>
            </w:pPr>
          </w:p>
        </w:tc>
      </w:tr>
      <w:tr w:rsidR="001D0350" w:rsidRPr="00D55DC6" w:rsidTr="00200C0B">
        <w:trPr>
          <w:trHeight w:val="345"/>
        </w:trPr>
        <w:tc>
          <w:tcPr>
            <w:tcW w:w="1575" w:type="dxa"/>
            <w:tcBorders>
              <w:top w:val="nil"/>
              <w:left w:val="single" w:sz="8" w:space="0" w:color="auto"/>
              <w:bottom w:val="single" w:sz="8" w:space="0" w:color="auto"/>
              <w:right w:val="single" w:sz="4" w:space="0" w:color="auto"/>
            </w:tcBorders>
            <w:shd w:val="clear" w:color="auto" w:fill="auto"/>
            <w:noWrap/>
            <w:vAlign w:val="center"/>
            <w:hideMark/>
          </w:tcPr>
          <w:p w:rsidR="00200C0B" w:rsidRPr="00D55DC6" w:rsidRDefault="00200C0B" w:rsidP="00200C0B">
            <w:pPr>
              <w:widowControl/>
              <w:jc w:val="both"/>
              <w:rPr>
                <w:rFonts w:eastAsia="標楷體"/>
                <w:kern w:val="0"/>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jc w:val="center"/>
              <w:rPr>
                <w:b/>
                <w:bCs/>
                <w:sz w:val="18"/>
                <w:szCs w:val="18"/>
              </w:rPr>
            </w:pPr>
            <w:r w:rsidRPr="00D55DC6">
              <w:rPr>
                <w:b/>
                <w:bCs/>
                <w:sz w:val="18"/>
                <w:szCs w:val="18"/>
              </w:rPr>
              <w:t>113</w:t>
            </w:r>
            <w:r w:rsidRPr="00D55DC6">
              <w:rPr>
                <w:rFonts w:eastAsia="標楷體"/>
                <w:b/>
                <w:bCs/>
                <w:sz w:val="18"/>
                <w:szCs w:val="18"/>
              </w:rPr>
              <w:t>年</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jc w:val="center"/>
              <w:rPr>
                <w:b/>
                <w:bCs/>
                <w:sz w:val="18"/>
                <w:szCs w:val="18"/>
              </w:rPr>
            </w:pPr>
            <w:r w:rsidRPr="00D55DC6">
              <w:rPr>
                <w:b/>
                <w:bCs/>
                <w:sz w:val="18"/>
                <w:szCs w:val="18"/>
              </w:rPr>
              <w:t>114</w:t>
            </w:r>
            <w:r w:rsidRPr="00D55DC6">
              <w:rPr>
                <w:rFonts w:eastAsia="標楷體"/>
                <w:b/>
                <w:bCs/>
                <w:sz w:val="18"/>
                <w:szCs w:val="18"/>
              </w:rPr>
              <w:t>年</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jc w:val="center"/>
              <w:rPr>
                <w:b/>
                <w:bCs/>
                <w:sz w:val="18"/>
                <w:szCs w:val="18"/>
              </w:rPr>
            </w:pPr>
            <w:r w:rsidRPr="00D55DC6">
              <w:rPr>
                <w:b/>
                <w:bCs/>
                <w:sz w:val="18"/>
                <w:szCs w:val="18"/>
              </w:rPr>
              <w:t>115</w:t>
            </w:r>
            <w:r w:rsidRPr="00D55DC6">
              <w:rPr>
                <w:rFonts w:eastAsia="標楷體"/>
                <w:b/>
                <w:bCs/>
                <w:sz w:val="18"/>
                <w:szCs w:val="18"/>
              </w:rPr>
              <w:t>年</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jc w:val="center"/>
              <w:rPr>
                <w:b/>
                <w:bCs/>
                <w:sz w:val="18"/>
                <w:szCs w:val="18"/>
              </w:rPr>
            </w:pPr>
            <w:r w:rsidRPr="00D55DC6">
              <w:rPr>
                <w:b/>
                <w:bCs/>
                <w:sz w:val="18"/>
                <w:szCs w:val="18"/>
              </w:rPr>
              <w:t>116</w:t>
            </w:r>
            <w:r w:rsidRPr="00D55DC6">
              <w:rPr>
                <w:rFonts w:eastAsia="標楷體"/>
                <w:b/>
                <w:bCs/>
                <w:sz w:val="18"/>
                <w:szCs w:val="18"/>
              </w:rPr>
              <w:t>年</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jc w:val="center"/>
              <w:rPr>
                <w:b/>
                <w:bCs/>
                <w:sz w:val="18"/>
                <w:szCs w:val="18"/>
              </w:rPr>
            </w:pPr>
            <w:r w:rsidRPr="00D55DC6">
              <w:rPr>
                <w:b/>
                <w:bCs/>
                <w:sz w:val="18"/>
                <w:szCs w:val="18"/>
              </w:rPr>
              <w:t>117</w:t>
            </w:r>
            <w:r w:rsidRPr="00D55DC6">
              <w:rPr>
                <w:rFonts w:eastAsia="標楷體"/>
                <w:b/>
                <w:bCs/>
                <w:sz w:val="18"/>
                <w:szCs w:val="18"/>
              </w:rPr>
              <w:t>年</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jc w:val="center"/>
              <w:rPr>
                <w:b/>
                <w:bCs/>
                <w:sz w:val="18"/>
                <w:szCs w:val="18"/>
              </w:rPr>
            </w:pPr>
            <w:r w:rsidRPr="00D55DC6">
              <w:rPr>
                <w:b/>
                <w:bCs/>
                <w:sz w:val="18"/>
                <w:szCs w:val="18"/>
              </w:rPr>
              <w:t>118</w:t>
            </w:r>
            <w:r w:rsidRPr="00D55DC6">
              <w:rPr>
                <w:rFonts w:eastAsia="標楷體"/>
                <w:b/>
                <w:bCs/>
                <w:sz w:val="18"/>
                <w:szCs w:val="18"/>
              </w:rPr>
              <w:t>年</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jc w:val="center"/>
              <w:rPr>
                <w:b/>
                <w:bCs/>
                <w:sz w:val="18"/>
                <w:szCs w:val="18"/>
              </w:rPr>
            </w:pPr>
            <w:r w:rsidRPr="00D55DC6">
              <w:rPr>
                <w:b/>
                <w:bCs/>
                <w:sz w:val="18"/>
                <w:szCs w:val="18"/>
              </w:rPr>
              <w:t>119</w:t>
            </w:r>
            <w:r w:rsidRPr="00D55DC6">
              <w:rPr>
                <w:rFonts w:eastAsia="標楷體"/>
                <w:b/>
                <w:bCs/>
                <w:sz w:val="18"/>
                <w:szCs w:val="18"/>
              </w:rPr>
              <w:t>年</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jc w:val="center"/>
              <w:rPr>
                <w:b/>
                <w:bCs/>
                <w:sz w:val="18"/>
                <w:szCs w:val="18"/>
              </w:rPr>
            </w:pPr>
            <w:r w:rsidRPr="00D55DC6">
              <w:rPr>
                <w:b/>
                <w:bCs/>
                <w:sz w:val="18"/>
                <w:szCs w:val="18"/>
              </w:rPr>
              <w:t>120</w:t>
            </w:r>
            <w:r w:rsidRPr="00D55DC6">
              <w:rPr>
                <w:rFonts w:eastAsia="標楷體"/>
                <w:b/>
                <w:bCs/>
                <w:sz w:val="18"/>
                <w:szCs w:val="18"/>
              </w:rPr>
              <w:t>年</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jc w:val="center"/>
              <w:rPr>
                <w:b/>
                <w:bCs/>
                <w:sz w:val="18"/>
                <w:szCs w:val="18"/>
              </w:rPr>
            </w:pPr>
            <w:r w:rsidRPr="00D55DC6">
              <w:rPr>
                <w:b/>
                <w:bCs/>
                <w:sz w:val="18"/>
                <w:szCs w:val="18"/>
              </w:rPr>
              <w:t>121</w:t>
            </w:r>
            <w:r w:rsidRPr="00D55DC6">
              <w:rPr>
                <w:rFonts w:eastAsia="標楷體"/>
                <w:b/>
                <w:bCs/>
                <w:sz w:val="18"/>
                <w:szCs w:val="18"/>
              </w:rPr>
              <w:t>年</w:t>
            </w:r>
          </w:p>
        </w:tc>
        <w:tc>
          <w:tcPr>
            <w:tcW w:w="709" w:type="dxa"/>
            <w:tcBorders>
              <w:top w:val="single" w:sz="4" w:space="0" w:color="auto"/>
              <w:left w:val="single" w:sz="4" w:space="0" w:color="auto"/>
              <w:bottom w:val="single" w:sz="4" w:space="0" w:color="auto"/>
              <w:right w:val="single" w:sz="4" w:space="0" w:color="auto"/>
            </w:tcBorders>
            <w:vAlign w:val="center"/>
          </w:tcPr>
          <w:p w:rsidR="00200C0B" w:rsidRPr="00D55DC6" w:rsidRDefault="00200C0B" w:rsidP="00200C0B">
            <w:pPr>
              <w:jc w:val="center"/>
              <w:rPr>
                <w:b/>
                <w:bCs/>
                <w:sz w:val="18"/>
                <w:szCs w:val="18"/>
              </w:rPr>
            </w:pPr>
            <w:r w:rsidRPr="00D55DC6">
              <w:rPr>
                <w:b/>
                <w:bCs/>
                <w:sz w:val="18"/>
                <w:szCs w:val="18"/>
              </w:rPr>
              <w:t>122</w:t>
            </w:r>
            <w:r w:rsidRPr="00D55DC6">
              <w:rPr>
                <w:rFonts w:eastAsia="標楷體"/>
                <w:b/>
                <w:bCs/>
                <w:sz w:val="18"/>
                <w:szCs w:val="18"/>
              </w:rPr>
              <w:t>年</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0C0B" w:rsidRPr="00D55DC6" w:rsidRDefault="00200C0B" w:rsidP="00200C0B">
            <w:pPr>
              <w:widowControl/>
              <w:jc w:val="center"/>
              <w:rPr>
                <w:b/>
                <w:bCs/>
                <w:kern w:val="0"/>
                <w:sz w:val="18"/>
                <w:szCs w:val="18"/>
              </w:rPr>
            </w:pPr>
            <w:r w:rsidRPr="00D55DC6">
              <w:rPr>
                <w:b/>
                <w:bCs/>
                <w:kern w:val="0"/>
                <w:sz w:val="18"/>
                <w:szCs w:val="18"/>
              </w:rPr>
              <w:t>合計</w:t>
            </w:r>
          </w:p>
        </w:tc>
      </w:tr>
      <w:tr w:rsidR="001D0350" w:rsidRPr="00D55DC6" w:rsidTr="00200C0B">
        <w:trPr>
          <w:trHeight w:val="345"/>
        </w:trPr>
        <w:tc>
          <w:tcPr>
            <w:tcW w:w="1575" w:type="dxa"/>
            <w:tcBorders>
              <w:top w:val="nil"/>
              <w:left w:val="single" w:sz="8" w:space="0" w:color="auto"/>
              <w:bottom w:val="single" w:sz="8" w:space="0" w:color="auto"/>
              <w:right w:val="single" w:sz="4" w:space="0" w:color="auto"/>
            </w:tcBorders>
            <w:shd w:val="clear" w:color="auto" w:fill="auto"/>
            <w:noWrap/>
            <w:vAlign w:val="center"/>
            <w:hideMark/>
          </w:tcPr>
          <w:p w:rsidR="00200C0B" w:rsidRPr="00D55DC6" w:rsidRDefault="00200C0B" w:rsidP="00200C0B">
            <w:pPr>
              <w:widowControl/>
              <w:jc w:val="both"/>
              <w:rPr>
                <w:rFonts w:eastAsia="標楷體"/>
                <w:kern w:val="0"/>
                <w:sz w:val="20"/>
                <w:szCs w:val="20"/>
              </w:rPr>
            </w:pPr>
            <w:r w:rsidRPr="00D55DC6">
              <w:rPr>
                <w:rFonts w:eastAsia="標楷體"/>
                <w:kern w:val="0"/>
                <w:sz w:val="20"/>
                <w:szCs w:val="20"/>
              </w:rPr>
              <w:t>計畫投資總經費</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200C0B" w:rsidRPr="00D55DC6" w:rsidRDefault="00200C0B" w:rsidP="00200C0B">
            <w:pPr>
              <w:jc w:val="right"/>
              <w:rPr>
                <w:rFonts w:eastAsia="標楷體"/>
                <w:sz w:val="20"/>
              </w:rPr>
            </w:pPr>
            <w:r w:rsidRPr="00D55DC6">
              <w:rPr>
                <w:rFonts w:eastAsia="標楷體"/>
                <w:sz w:val="20"/>
              </w:rPr>
              <w:t>1.8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00C0B" w:rsidRPr="00D55DC6" w:rsidRDefault="00200C0B" w:rsidP="00200C0B">
            <w:pPr>
              <w:jc w:val="right"/>
              <w:rPr>
                <w:rFonts w:eastAsia="標楷體"/>
                <w:sz w:val="20"/>
              </w:rPr>
            </w:pPr>
            <w:r w:rsidRPr="00D55DC6">
              <w:rPr>
                <w:rFonts w:eastAsia="標楷體"/>
                <w:sz w:val="20"/>
              </w:rPr>
              <w:t>1.8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00C0B" w:rsidRPr="00D55DC6" w:rsidRDefault="00200C0B" w:rsidP="00200C0B">
            <w:pPr>
              <w:jc w:val="right"/>
              <w:rPr>
                <w:rFonts w:eastAsia="標楷體"/>
                <w:sz w:val="20"/>
              </w:rPr>
            </w:pPr>
            <w:r w:rsidRPr="00D55DC6">
              <w:rPr>
                <w:rFonts w:eastAsia="標楷體"/>
                <w:sz w:val="20"/>
              </w:rPr>
              <w:t>1.8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00C0B" w:rsidRPr="00D55DC6" w:rsidRDefault="00200C0B" w:rsidP="00200C0B">
            <w:pPr>
              <w:jc w:val="right"/>
              <w:rPr>
                <w:rFonts w:eastAsia="標楷體"/>
                <w:sz w:val="20"/>
              </w:rPr>
            </w:pPr>
            <w:r w:rsidRPr="00D55DC6">
              <w:rPr>
                <w:rFonts w:eastAsia="標楷體"/>
                <w:sz w:val="20"/>
              </w:rPr>
              <w:t>1.8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00C0B" w:rsidRPr="00D55DC6" w:rsidRDefault="00200C0B" w:rsidP="00200C0B">
            <w:pPr>
              <w:jc w:val="right"/>
              <w:rPr>
                <w:rFonts w:eastAsia="標楷體"/>
                <w:sz w:val="20"/>
              </w:rPr>
            </w:pPr>
            <w:r w:rsidRPr="00D55DC6">
              <w:rPr>
                <w:rFonts w:eastAsia="標楷體"/>
                <w:sz w:val="20"/>
              </w:rPr>
              <w:t>1.8</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200C0B" w:rsidRPr="00D55DC6" w:rsidRDefault="00200C0B" w:rsidP="00200C0B">
            <w:pPr>
              <w:jc w:val="right"/>
              <w:rPr>
                <w:rFonts w:eastAsia="標楷體"/>
                <w:sz w:val="20"/>
              </w:rPr>
            </w:pPr>
            <w:r w:rsidRPr="00D55DC6">
              <w:rPr>
                <w:rFonts w:eastAsia="標楷體"/>
                <w:sz w:val="20"/>
              </w:rPr>
              <w:t>1.8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00C0B" w:rsidRPr="00D55DC6" w:rsidRDefault="00200C0B" w:rsidP="00200C0B">
            <w:pPr>
              <w:jc w:val="right"/>
              <w:rPr>
                <w:rFonts w:eastAsia="標楷體"/>
                <w:sz w:val="20"/>
              </w:rPr>
            </w:pPr>
            <w:r w:rsidRPr="00D55DC6">
              <w:rPr>
                <w:rFonts w:eastAsia="標楷體"/>
                <w:sz w:val="20"/>
              </w:rPr>
              <w:t>1.8</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200C0B" w:rsidRPr="00D55DC6" w:rsidRDefault="00200C0B" w:rsidP="00200C0B">
            <w:pPr>
              <w:jc w:val="right"/>
              <w:rPr>
                <w:rFonts w:eastAsia="標楷體"/>
                <w:sz w:val="20"/>
              </w:rPr>
            </w:pPr>
            <w:r w:rsidRPr="00D55DC6">
              <w:rPr>
                <w:rFonts w:eastAsia="標楷體"/>
                <w:sz w:val="20"/>
              </w:rPr>
              <w:t>1.8</w:t>
            </w:r>
          </w:p>
        </w:tc>
        <w:tc>
          <w:tcPr>
            <w:tcW w:w="708" w:type="dxa"/>
            <w:tcBorders>
              <w:top w:val="single" w:sz="4" w:space="0" w:color="auto"/>
              <w:left w:val="single" w:sz="4" w:space="0" w:color="auto"/>
              <w:bottom w:val="single" w:sz="4" w:space="0" w:color="auto"/>
              <w:right w:val="single" w:sz="4" w:space="0" w:color="auto"/>
            </w:tcBorders>
            <w:shd w:val="clear" w:color="auto" w:fill="auto"/>
            <w:noWrap/>
          </w:tcPr>
          <w:p w:rsidR="00200C0B" w:rsidRPr="00D55DC6" w:rsidRDefault="00200C0B" w:rsidP="00200C0B">
            <w:pPr>
              <w:jc w:val="right"/>
              <w:rPr>
                <w:rFonts w:eastAsia="標楷體"/>
                <w:sz w:val="20"/>
              </w:rPr>
            </w:pPr>
            <w:r w:rsidRPr="00D55DC6">
              <w:rPr>
                <w:rFonts w:eastAsia="標楷體"/>
                <w:sz w:val="20"/>
              </w:rPr>
              <w:t>1.8</w:t>
            </w:r>
          </w:p>
        </w:tc>
        <w:tc>
          <w:tcPr>
            <w:tcW w:w="709" w:type="dxa"/>
            <w:tcBorders>
              <w:top w:val="single" w:sz="4" w:space="0" w:color="auto"/>
              <w:left w:val="single" w:sz="4" w:space="0" w:color="auto"/>
              <w:bottom w:val="single" w:sz="4" w:space="0" w:color="auto"/>
              <w:right w:val="single" w:sz="4" w:space="0" w:color="auto"/>
            </w:tcBorders>
          </w:tcPr>
          <w:p w:rsidR="00200C0B" w:rsidRPr="00D55DC6" w:rsidRDefault="00200C0B" w:rsidP="00200C0B">
            <w:pPr>
              <w:jc w:val="right"/>
              <w:rPr>
                <w:rFonts w:eastAsia="標楷體"/>
                <w:sz w:val="20"/>
              </w:rPr>
            </w:pPr>
            <w:r w:rsidRPr="00D55DC6">
              <w:rPr>
                <w:rFonts w:eastAsia="標楷體"/>
                <w:sz w:val="20"/>
              </w:rPr>
              <w:t>1.8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0C0B" w:rsidRPr="00D55DC6" w:rsidRDefault="00200C0B" w:rsidP="00200C0B">
            <w:pPr>
              <w:jc w:val="right"/>
              <w:rPr>
                <w:rFonts w:eastAsia="標楷體"/>
                <w:sz w:val="20"/>
                <w:szCs w:val="20"/>
              </w:rPr>
            </w:pPr>
            <w:r w:rsidRPr="00D55DC6">
              <w:rPr>
                <w:rFonts w:eastAsia="標楷體"/>
                <w:sz w:val="20"/>
                <w:szCs w:val="20"/>
              </w:rPr>
              <w:t>38.3230</w:t>
            </w:r>
          </w:p>
        </w:tc>
      </w:tr>
      <w:tr w:rsidR="001D0350" w:rsidRPr="00D55DC6" w:rsidTr="00200C0B">
        <w:trPr>
          <w:trHeight w:val="345"/>
        </w:trPr>
        <w:tc>
          <w:tcPr>
            <w:tcW w:w="1575" w:type="dxa"/>
            <w:tcBorders>
              <w:top w:val="nil"/>
              <w:left w:val="single" w:sz="8" w:space="0" w:color="auto"/>
              <w:bottom w:val="single" w:sz="8" w:space="0" w:color="auto"/>
              <w:right w:val="single" w:sz="4" w:space="0" w:color="auto"/>
            </w:tcBorders>
            <w:shd w:val="clear" w:color="auto" w:fill="auto"/>
            <w:noWrap/>
            <w:vAlign w:val="center"/>
            <w:hideMark/>
          </w:tcPr>
          <w:p w:rsidR="00200C0B" w:rsidRPr="00D55DC6" w:rsidRDefault="00200C0B" w:rsidP="00200C0B">
            <w:pPr>
              <w:widowControl/>
              <w:jc w:val="both"/>
              <w:rPr>
                <w:rFonts w:eastAsia="標楷體"/>
                <w:kern w:val="0"/>
                <w:sz w:val="20"/>
                <w:szCs w:val="20"/>
              </w:rPr>
            </w:pPr>
            <w:r w:rsidRPr="00D55DC6">
              <w:rPr>
                <w:rFonts w:eastAsia="標楷體"/>
                <w:kern w:val="0"/>
                <w:sz w:val="20"/>
                <w:szCs w:val="20"/>
              </w:rPr>
              <w:t>計畫收益規劃</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0C0B" w:rsidRPr="00D55DC6" w:rsidRDefault="00200C0B" w:rsidP="00200C0B">
            <w:pPr>
              <w:jc w:val="right"/>
              <w:rPr>
                <w:rFonts w:eastAsia="標楷體"/>
                <w:sz w:val="20"/>
                <w:szCs w:val="20"/>
              </w:rPr>
            </w:pPr>
            <w:r w:rsidRPr="00D55DC6">
              <w:rPr>
                <w:rFonts w:eastAsia="標楷體"/>
                <w:sz w:val="20"/>
                <w:szCs w:val="20"/>
              </w:rPr>
              <w:t xml:space="preserve">0.6287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0C0B" w:rsidRPr="00D55DC6" w:rsidRDefault="00200C0B" w:rsidP="00200C0B">
            <w:pPr>
              <w:jc w:val="right"/>
              <w:rPr>
                <w:rFonts w:eastAsia="標楷體"/>
                <w:sz w:val="20"/>
                <w:szCs w:val="20"/>
              </w:rPr>
            </w:pPr>
            <w:r w:rsidRPr="00D55DC6">
              <w:rPr>
                <w:rFonts w:eastAsia="標楷體"/>
                <w:sz w:val="20"/>
                <w:szCs w:val="20"/>
              </w:rPr>
              <w:t xml:space="preserve">0.6374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0C0B" w:rsidRPr="00D55DC6" w:rsidRDefault="00200C0B" w:rsidP="00200C0B">
            <w:pPr>
              <w:jc w:val="right"/>
              <w:rPr>
                <w:rFonts w:eastAsia="標楷體"/>
                <w:sz w:val="20"/>
                <w:szCs w:val="20"/>
              </w:rPr>
            </w:pPr>
            <w:r w:rsidRPr="00D55DC6">
              <w:rPr>
                <w:rFonts w:eastAsia="標楷體"/>
                <w:sz w:val="20"/>
                <w:szCs w:val="20"/>
              </w:rPr>
              <w:t xml:space="preserve">0.6462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0C0B" w:rsidRPr="00D55DC6" w:rsidRDefault="00200C0B" w:rsidP="00200C0B">
            <w:pPr>
              <w:jc w:val="right"/>
              <w:rPr>
                <w:rFonts w:eastAsia="標楷體"/>
                <w:sz w:val="20"/>
                <w:szCs w:val="20"/>
              </w:rPr>
            </w:pPr>
            <w:r w:rsidRPr="00D55DC6">
              <w:rPr>
                <w:rFonts w:eastAsia="標楷體"/>
                <w:sz w:val="20"/>
                <w:szCs w:val="20"/>
              </w:rPr>
              <w:t xml:space="preserve">0.6551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0C0B" w:rsidRPr="00D55DC6" w:rsidRDefault="00200C0B" w:rsidP="00200C0B">
            <w:pPr>
              <w:jc w:val="right"/>
              <w:rPr>
                <w:rFonts w:eastAsia="標楷體"/>
                <w:sz w:val="20"/>
                <w:szCs w:val="20"/>
              </w:rPr>
            </w:pPr>
            <w:r w:rsidRPr="00D55DC6">
              <w:rPr>
                <w:rFonts w:eastAsia="標楷體"/>
                <w:sz w:val="20"/>
                <w:szCs w:val="20"/>
              </w:rPr>
              <w:t xml:space="preserve">0.6642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0C0B" w:rsidRPr="00D55DC6" w:rsidRDefault="00200C0B" w:rsidP="00200C0B">
            <w:pPr>
              <w:jc w:val="right"/>
              <w:rPr>
                <w:rFonts w:eastAsia="標楷體"/>
                <w:sz w:val="20"/>
                <w:szCs w:val="20"/>
              </w:rPr>
            </w:pPr>
            <w:r w:rsidRPr="00D55DC6">
              <w:rPr>
                <w:rFonts w:eastAsia="標楷體"/>
                <w:sz w:val="20"/>
                <w:szCs w:val="20"/>
              </w:rPr>
              <w:t xml:space="preserve">0.6734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0C0B" w:rsidRPr="00D55DC6" w:rsidRDefault="00200C0B" w:rsidP="00200C0B">
            <w:pPr>
              <w:jc w:val="right"/>
              <w:rPr>
                <w:rFonts w:eastAsia="標楷體"/>
                <w:sz w:val="20"/>
                <w:szCs w:val="20"/>
              </w:rPr>
            </w:pPr>
            <w:r w:rsidRPr="00D55DC6">
              <w:rPr>
                <w:rFonts w:eastAsia="標楷體"/>
                <w:sz w:val="20"/>
                <w:szCs w:val="20"/>
              </w:rPr>
              <w:t xml:space="preserve">0.6827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0C0B" w:rsidRPr="00D55DC6" w:rsidRDefault="00200C0B" w:rsidP="00200C0B">
            <w:pPr>
              <w:jc w:val="right"/>
              <w:rPr>
                <w:rFonts w:eastAsia="標楷體"/>
                <w:sz w:val="20"/>
                <w:szCs w:val="20"/>
              </w:rPr>
            </w:pPr>
            <w:r w:rsidRPr="00D55DC6">
              <w:rPr>
                <w:rFonts w:eastAsia="標楷體"/>
                <w:sz w:val="20"/>
                <w:szCs w:val="20"/>
              </w:rPr>
              <w:t xml:space="preserve">0.6922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0C0B" w:rsidRPr="00D55DC6" w:rsidRDefault="00200C0B" w:rsidP="00200C0B">
            <w:pPr>
              <w:jc w:val="right"/>
              <w:rPr>
                <w:rFonts w:eastAsia="標楷體"/>
                <w:sz w:val="20"/>
                <w:szCs w:val="20"/>
              </w:rPr>
            </w:pPr>
            <w:r w:rsidRPr="00D55DC6">
              <w:rPr>
                <w:rFonts w:eastAsia="標楷體"/>
                <w:sz w:val="20"/>
                <w:szCs w:val="20"/>
              </w:rPr>
              <w:t xml:space="preserve">0.7018 </w:t>
            </w:r>
          </w:p>
        </w:tc>
        <w:tc>
          <w:tcPr>
            <w:tcW w:w="709" w:type="dxa"/>
            <w:tcBorders>
              <w:top w:val="single" w:sz="4" w:space="0" w:color="auto"/>
              <w:left w:val="single" w:sz="4" w:space="0" w:color="auto"/>
              <w:bottom w:val="single" w:sz="4" w:space="0" w:color="auto"/>
              <w:right w:val="single" w:sz="4" w:space="0" w:color="auto"/>
            </w:tcBorders>
            <w:vAlign w:val="center"/>
          </w:tcPr>
          <w:p w:rsidR="00200C0B" w:rsidRPr="00D55DC6" w:rsidRDefault="00200C0B" w:rsidP="00200C0B">
            <w:pPr>
              <w:jc w:val="right"/>
              <w:rPr>
                <w:rFonts w:eastAsia="標楷體"/>
                <w:sz w:val="20"/>
                <w:szCs w:val="20"/>
              </w:rPr>
            </w:pPr>
            <w:r w:rsidRPr="00D55DC6">
              <w:rPr>
                <w:rFonts w:eastAsia="標楷體"/>
                <w:sz w:val="20"/>
                <w:szCs w:val="20"/>
              </w:rPr>
              <w:t xml:space="preserve">0.7116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0C0B" w:rsidRPr="00D55DC6" w:rsidRDefault="00200C0B" w:rsidP="00200C0B">
            <w:pPr>
              <w:jc w:val="right"/>
              <w:rPr>
                <w:rFonts w:eastAsia="標楷體"/>
                <w:sz w:val="20"/>
                <w:szCs w:val="20"/>
              </w:rPr>
            </w:pPr>
            <w:r w:rsidRPr="00D55DC6">
              <w:rPr>
                <w:rFonts w:eastAsia="標楷體"/>
                <w:sz w:val="20"/>
                <w:szCs w:val="20"/>
              </w:rPr>
              <w:t>11.1522</w:t>
            </w:r>
          </w:p>
        </w:tc>
      </w:tr>
      <w:tr w:rsidR="001D0350" w:rsidRPr="00D55DC6" w:rsidTr="00200C0B">
        <w:trPr>
          <w:trHeight w:val="345"/>
        </w:trPr>
        <w:tc>
          <w:tcPr>
            <w:tcW w:w="1575" w:type="dxa"/>
            <w:tcBorders>
              <w:top w:val="nil"/>
              <w:left w:val="single" w:sz="8" w:space="0" w:color="auto"/>
              <w:bottom w:val="single" w:sz="8" w:space="0" w:color="auto"/>
              <w:right w:val="single" w:sz="4" w:space="0" w:color="auto"/>
            </w:tcBorders>
            <w:shd w:val="clear" w:color="000000" w:fill="FFFF00"/>
            <w:noWrap/>
            <w:vAlign w:val="center"/>
            <w:hideMark/>
          </w:tcPr>
          <w:p w:rsidR="00200C0B" w:rsidRPr="00D55DC6" w:rsidRDefault="00200C0B" w:rsidP="00200C0B">
            <w:pPr>
              <w:widowControl/>
              <w:jc w:val="center"/>
              <w:rPr>
                <w:rFonts w:eastAsia="標楷體"/>
                <w:kern w:val="0"/>
                <w:sz w:val="20"/>
                <w:szCs w:val="20"/>
              </w:rPr>
            </w:pPr>
            <w:r w:rsidRPr="00D55DC6">
              <w:rPr>
                <w:rFonts w:eastAsia="標楷體"/>
                <w:b/>
                <w:kern w:val="0"/>
                <w:sz w:val="20"/>
                <w:szCs w:val="20"/>
              </w:rPr>
              <w:t>分年收支比</w:t>
            </w:r>
          </w:p>
        </w:tc>
        <w:tc>
          <w:tcPr>
            <w:tcW w:w="708"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200C0B" w:rsidRPr="00D55DC6" w:rsidRDefault="00200C0B" w:rsidP="00200C0B">
            <w:pPr>
              <w:jc w:val="right"/>
              <w:rPr>
                <w:rFonts w:eastAsia="標楷體"/>
                <w:sz w:val="20"/>
                <w:szCs w:val="20"/>
              </w:rPr>
            </w:pPr>
            <w:r w:rsidRPr="00D55DC6">
              <w:rPr>
                <w:rFonts w:eastAsia="標楷體"/>
                <w:sz w:val="20"/>
                <w:szCs w:val="20"/>
              </w:rPr>
              <w:t>34.93%</w:t>
            </w:r>
          </w:p>
        </w:tc>
        <w:tc>
          <w:tcPr>
            <w:tcW w:w="70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200C0B" w:rsidRPr="00D55DC6" w:rsidRDefault="00200C0B" w:rsidP="00200C0B">
            <w:pPr>
              <w:jc w:val="right"/>
              <w:rPr>
                <w:rFonts w:eastAsia="標楷體"/>
                <w:sz w:val="20"/>
                <w:szCs w:val="20"/>
              </w:rPr>
            </w:pPr>
            <w:r w:rsidRPr="00D55DC6">
              <w:rPr>
                <w:rFonts w:eastAsia="標楷體"/>
                <w:sz w:val="20"/>
                <w:szCs w:val="20"/>
              </w:rPr>
              <w:t>35.41%</w:t>
            </w:r>
          </w:p>
        </w:tc>
        <w:tc>
          <w:tcPr>
            <w:tcW w:w="70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200C0B" w:rsidRPr="00D55DC6" w:rsidRDefault="00200C0B" w:rsidP="00200C0B">
            <w:pPr>
              <w:jc w:val="right"/>
              <w:rPr>
                <w:rFonts w:eastAsia="標楷體"/>
                <w:sz w:val="20"/>
                <w:szCs w:val="20"/>
              </w:rPr>
            </w:pPr>
            <w:r w:rsidRPr="00D55DC6">
              <w:rPr>
                <w:rFonts w:eastAsia="標楷體"/>
                <w:sz w:val="20"/>
                <w:szCs w:val="20"/>
              </w:rPr>
              <w:t>35.90%</w:t>
            </w:r>
          </w:p>
        </w:tc>
        <w:tc>
          <w:tcPr>
            <w:tcW w:w="70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200C0B" w:rsidRPr="00D55DC6" w:rsidRDefault="00200C0B" w:rsidP="00200C0B">
            <w:pPr>
              <w:jc w:val="right"/>
              <w:rPr>
                <w:rFonts w:eastAsia="標楷體"/>
                <w:sz w:val="20"/>
                <w:szCs w:val="20"/>
              </w:rPr>
            </w:pPr>
            <w:r w:rsidRPr="00D55DC6">
              <w:rPr>
                <w:rFonts w:eastAsia="標楷體"/>
                <w:sz w:val="20"/>
                <w:szCs w:val="20"/>
              </w:rPr>
              <w:t>36.39%</w:t>
            </w:r>
          </w:p>
        </w:tc>
        <w:tc>
          <w:tcPr>
            <w:tcW w:w="70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200C0B" w:rsidRPr="00D55DC6" w:rsidRDefault="00200C0B" w:rsidP="00200C0B">
            <w:pPr>
              <w:jc w:val="right"/>
              <w:rPr>
                <w:rFonts w:eastAsia="標楷體"/>
                <w:sz w:val="20"/>
                <w:szCs w:val="20"/>
              </w:rPr>
            </w:pPr>
            <w:r w:rsidRPr="00D55DC6">
              <w:rPr>
                <w:rFonts w:eastAsia="標楷體"/>
                <w:sz w:val="20"/>
                <w:szCs w:val="20"/>
              </w:rPr>
              <w:t>36.90%</w:t>
            </w:r>
          </w:p>
        </w:tc>
        <w:tc>
          <w:tcPr>
            <w:tcW w:w="708"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200C0B" w:rsidRPr="00D55DC6" w:rsidRDefault="00200C0B" w:rsidP="00200C0B">
            <w:pPr>
              <w:jc w:val="right"/>
              <w:rPr>
                <w:rFonts w:eastAsia="標楷體"/>
                <w:sz w:val="20"/>
                <w:szCs w:val="20"/>
              </w:rPr>
            </w:pPr>
            <w:r w:rsidRPr="00D55DC6">
              <w:rPr>
                <w:rFonts w:eastAsia="標楷體"/>
                <w:sz w:val="20"/>
                <w:szCs w:val="20"/>
              </w:rPr>
              <w:t>37.41%</w:t>
            </w:r>
          </w:p>
        </w:tc>
        <w:tc>
          <w:tcPr>
            <w:tcW w:w="70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200C0B" w:rsidRPr="00D55DC6" w:rsidRDefault="00200C0B" w:rsidP="00200C0B">
            <w:pPr>
              <w:jc w:val="right"/>
              <w:rPr>
                <w:rFonts w:eastAsia="標楷體"/>
                <w:sz w:val="20"/>
                <w:szCs w:val="20"/>
              </w:rPr>
            </w:pPr>
            <w:r w:rsidRPr="00D55DC6">
              <w:rPr>
                <w:rFonts w:eastAsia="標楷體"/>
                <w:sz w:val="20"/>
                <w:szCs w:val="20"/>
              </w:rPr>
              <w:t>37.93%</w:t>
            </w:r>
          </w:p>
        </w:tc>
        <w:tc>
          <w:tcPr>
            <w:tcW w:w="709"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200C0B" w:rsidRPr="00D55DC6" w:rsidRDefault="00200C0B" w:rsidP="00200C0B">
            <w:pPr>
              <w:jc w:val="right"/>
              <w:rPr>
                <w:rFonts w:eastAsia="標楷體"/>
                <w:sz w:val="20"/>
                <w:szCs w:val="20"/>
              </w:rPr>
            </w:pPr>
            <w:r w:rsidRPr="00D55DC6">
              <w:rPr>
                <w:rFonts w:eastAsia="標楷體"/>
                <w:sz w:val="20"/>
                <w:szCs w:val="20"/>
              </w:rPr>
              <w:t>38.45%</w:t>
            </w:r>
          </w:p>
        </w:tc>
        <w:tc>
          <w:tcPr>
            <w:tcW w:w="708"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200C0B" w:rsidRPr="00D55DC6" w:rsidRDefault="00200C0B" w:rsidP="00200C0B">
            <w:pPr>
              <w:jc w:val="right"/>
              <w:rPr>
                <w:rFonts w:eastAsia="標楷體"/>
                <w:sz w:val="20"/>
                <w:szCs w:val="20"/>
              </w:rPr>
            </w:pPr>
            <w:r w:rsidRPr="00D55DC6">
              <w:rPr>
                <w:rFonts w:eastAsia="標楷體"/>
                <w:sz w:val="20"/>
                <w:szCs w:val="20"/>
              </w:rPr>
              <w:t>38.99%</w:t>
            </w:r>
          </w:p>
        </w:tc>
        <w:tc>
          <w:tcPr>
            <w:tcW w:w="709" w:type="dxa"/>
            <w:tcBorders>
              <w:top w:val="single" w:sz="4" w:space="0" w:color="auto"/>
              <w:left w:val="single" w:sz="4" w:space="0" w:color="auto"/>
              <w:bottom w:val="single" w:sz="4" w:space="0" w:color="auto"/>
              <w:right w:val="single" w:sz="4" w:space="0" w:color="auto"/>
            </w:tcBorders>
            <w:shd w:val="clear" w:color="000000" w:fill="FFFF00"/>
            <w:vAlign w:val="center"/>
          </w:tcPr>
          <w:p w:rsidR="00200C0B" w:rsidRPr="00D55DC6" w:rsidRDefault="00200C0B" w:rsidP="00200C0B">
            <w:pPr>
              <w:jc w:val="right"/>
              <w:rPr>
                <w:rFonts w:eastAsia="標楷體"/>
                <w:sz w:val="20"/>
                <w:szCs w:val="20"/>
              </w:rPr>
            </w:pPr>
            <w:r w:rsidRPr="00D55DC6">
              <w:rPr>
                <w:rFonts w:eastAsia="標楷體"/>
                <w:sz w:val="20"/>
                <w:szCs w:val="20"/>
              </w:rPr>
              <w:t>39.53%</w:t>
            </w:r>
          </w:p>
        </w:tc>
        <w:tc>
          <w:tcPr>
            <w:tcW w:w="850" w:type="dxa"/>
            <w:tcBorders>
              <w:top w:val="single" w:sz="4" w:space="0" w:color="auto"/>
              <w:left w:val="single" w:sz="4" w:space="0" w:color="auto"/>
              <w:bottom w:val="single" w:sz="4" w:space="0" w:color="auto"/>
              <w:right w:val="single" w:sz="4" w:space="0" w:color="auto"/>
            </w:tcBorders>
            <w:shd w:val="clear" w:color="000000" w:fill="FFFF00"/>
            <w:noWrap/>
            <w:vAlign w:val="center"/>
          </w:tcPr>
          <w:p w:rsidR="00200C0B" w:rsidRPr="00D55DC6" w:rsidRDefault="00D06F26" w:rsidP="00D06F26">
            <w:pPr>
              <w:jc w:val="right"/>
              <w:rPr>
                <w:rFonts w:eastAsia="標楷體"/>
                <w:sz w:val="20"/>
                <w:szCs w:val="20"/>
              </w:rPr>
            </w:pPr>
            <w:r w:rsidRPr="00D55DC6">
              <w:rPr>
                <w:rFonts w:eastAsia="標楷體"/>
                <w:sz w:val="20"/>
                <w:szCs w:val="20"/>
              </w:rPr>
              <w:t>29.10%</w:t>
            </w:r>
          </w:p>
        </w:tc>
      </w:tr>
      <w:tr w:rsidR="001D0350" w:rsidRPr="00D55DC6" w:rsidTr="00040EDC">
        <w:trPr>
          <w:trHeight w:val="345"/>
        </w:trPr>
        <w:tc>
          <w:tcPr>
            <w:tcW w:w="1575" w:type="dxa"/>
            <w:tcBorders>
              <w:top w:val="nil"/>
              <w:left w:val="single" w:sz="8" w:space="0" w:color="auto"/>
              <w:bottom w:val="single" w:sz="8" w:space="0" w:color="auto"/>
              <w:right w:val="single" w:sz="4" w:space="0" w:color="auto"/>
            </w:tcBorders>
            <w:shd w:val="clear" w:color="auto" w:fill="auto"/>
            <w:noWrap/>
            <w:vAlign w:val="center"/>
            <w:hideMark/>
          </w:tcPr>
          <w:p w:rsidR="00B517A5" w:rsidRPr="00D55DC6" w:rsidRDefault="00B517A5" w:rsidP="00200C0B">
            <w:pPr>
              <w:widowControl/>
              <w:jc w:val="center"/>
              <w:rPr>
                <w:rFonts w:eastAsia="標楷體"/>
                <w:kern w:val="0"/>
                <w:sz w:val="20"/>
                <w:szCs w:val="20"/>
              </w:rPr>
            </w:pPr>
            <w:r w:rsidRPr="00D55DC6">
              <w:rPr>
                <w:rFonts w:eastAsia="標楷體"/>
                <w:kern w:val="0"/>
                <w:sz w:val="20"/>
                <w:szCs w:val="20"/>
              </w:rPr>
              <w:t>投資現值</w:t>
            </w:r>
          </w:p>
        </w:tc>
        <w:tc>
          <w:tcPr>
            <w:tcW w:w="7937" w:type="dxa"/>
            <w:gridSpan w:val="11"/>
            <w:tcBorders>
              <w:top w:val="single" w:sz="4" w:space="0" w:color="auto"/>
              <w:left w:val="single" w:sz="4" w:space="0" w:color="auto"/>
              <w:bottom w:val="single" w:sz="4" w:space="0" w:color="auto"/>
              <w:right w:val="single" w:sz="4" w:space="0" w:color="auto"/>
            </w:tcBorders>
          </w:tcPr>
          <w:p w:rsidR="00B517A5" w:rsidRPr="00D55DC6" w:rsidRDefault="00B517A5" w:rsidP="00200C0B">
            <w:pPr>
              <w:rPr>
                <w:b/>
              </w:rPr>
            </w:pPr>
            <w:r w:rsidRPr="00D55DC6">
              <w:rPr>
                <w:b/>
              </w:rPr>
              <w:t>$29.15</w:t>
            </w:r>
          </w:p>
        </w:tc>
      </w:tr>
      <w:tr w:rsidR="001D0350" w:rsidRPr="00D55DC6" w:rsidTr="00040EDC">
        <w:trPr>
          <w:trHeight w:val="345"/>
        </w:trPr>
        <w:tc>
          <w:tcPr>
            <w:tcW w:w="1575" w:type="dxa"/>
            <w:tcBorders>
              <w:top w:val="nil"/>
              <w:left w:val="single" w:sz="8" w:space="0" w:color="auto"/>
              <w:bottom w:val="single" w:sz="8" w:space="0" w:color="auto"/>
              <w:right w:val="single" w:sz="4" w:space="0" w:color="auto"/>
            </w:tcBorders>
            <w:shd w:val="clear" w:color="auto" w:fill="auto"/>
            <w:noWrap/>
            <w:vAlign w:val="center"/>
            <w:hideMark/>
          </w:tcPr>
          <w:p w:rsidR="00B517A5" w:rsidRPr="00D55DC6" w:rsidRDefault="00B517A5" w:rsidP="00200C0B">
            <w:pPr>
              <w:widowControl/>
              <w:jc w:val="center"/>
              <w:rPr>
                <w:rFonts w:eastAsia="標楷體"/>
                <w:kern w:val="0"/>
                <w:sz w:val="20"/>
                <w:szCs w:val="20"/>
              </w:rPr>
            </w:pPr>
            <w:r w:rsidRPr="00D55DC6">
              <w:rPr>
                <w:rFonts w:eastAsia="標楷體"/>
                <w:kern w:val="0"/>
                <w:sz w:val="20"/>
                <w:szCs w:val="20"/>
              </w:rPr>
              <w:t>收益現值</w:t>
            </w:r>
          </w:p>
        </w:tc>
        <w:tc>
          <w:tcPr>
            <w:tcW w:w="7937" w:type="dxa"/>
            <w:gridSpan w:val="11"/>
            <w:tcBorders>
              <w:top w:val="single" w:sz="4" w:space="0" w:color="auto"/>
              <w:left w:val="single" w:sz="4" w:space="0" w:color="auto"/>
              <w:bottom w:val="single" w:sz="4" w:space="0" w:color="auto"/>
              <w:right w:val="single" w:sz="4" w:space="0" w:color="auto"/>
            </w:tcBorders>
          </w:tcPr>
          <w:p w:rsidR="00B517A5" w:rsidRPr="00D55DC6" w:rsidRDefault="00B517A5" w:rsidP="00200C0B">
            <w:pPr>
              <w:rPr>
                <w:b/>
              </w:rPr>
            </w:pPr>
            <w:r w:rsidRPr="00D55DC6">
              <w:rPr>
                <w:b/>
              </w:rPr>
              <w:t>$8.02</w:t>
            </w:r>
          </w:p>
        </w:tc>
      </w:tr>
      <w:tr w:rsidR="001D0350" w:rsidRPr="00D55DC6" w:rsidTr="00040EDC">
        <w:trPr>
          <w:trHeight w:val="337"/>
        </w:trPr>
        <w:tc>
          <w:tcPr>
            <w:tcW w:w="1575" w:type="dxa"/>
            <w:tcBorders>
              <w:top w:val="nil"/>
              <w:left w:val="single" w:sz="8" w:space="0" w:color="auto"/>
              <w:bottom w:val="single" w:sz="8" w:space="0" w:color="auto"/>
              <w:right w:val="single" w:sz="4" w:space="0" w:color="auto"/>
            </w:tcBorders>
            <w:shd w:val="clear" w:color="000000" w:fill="FFFF00"/>
            <w:noWrap/>
            <w:vAlign w:val="center"/>
            <w:hideMark/>
          </w:tcPr>
          <w:p w:rsidR="00B517A5" w:rsidRPr="00D55DC6" w:rsidRDefault="00B517A5" w:rsidP="00200C0B">
            <w:pPr>
              <w:widowControl/>
              <w:jc w:val="center"/>
              <w:rPr>
                <w:rFonts w:eastAsia="標楷體"/>
                <w:kern w:val="0"/>
                <w:sz w:val="20"/>
                <w:szCs w:val="20"/>
              </w:rPr>
            </w:pPr>
            <w:r w:rsidRPr="00D55DC6">
              <w:rPr>
                <w:rFonts w:eastAsia="標楷體"/>
                <w:kern w:val="0"/>
                <w:sz w:val="20"/>
                <w:szCs w:val="20"/>
              </w:rPr>
              <w:t>計畫自償率</w:t>
            </w:r>
          </w:p>
        </w:tc>
        <w:tc>
          <w:tcPr>
            <w:tcW w:w="7937" w:type="dxa"/>
            <w:gridSpan w:val="11"/>
            <w:tcBorders>
              <w:top w:val="single" w:sz="4" w:space="0" w:color="auto"/>
              <w:left w:val="single" w:sz="4" w:space="0" w:color="auto"/>
              <w:bottom w:val="single" w:sz="4" w:space="0" w:color="auto"/>
              <w:right w:val="single" w:sz="4" w:space="0" w:color="auto"/>
            </w:tcBorders>
            <w:shd w:val="clear" w:color="000000" w:fill="FFFF00"/>
          </w:tcPr>
          <w:p w:rsidR="00B517A5" w:rsidRPr="00D55DC6" w:rsidRDefault="00B517A5" w:rsidP="00200C0B">
            <w:pPr>
              <w:rPr>
                <w:b/>
              </w:rPr>
            </w:pPr>
            <w:r w:rsidRPr="00D55DC6">
              <w:rPr>
                <w:b/>
              </w:rPr>
              <w:t>27.53%</w:t>
            </w:r>
          </w:p>
        </w:tc>
      </w:tr>
    </w:tbl>
    <w:p w:rsidR="007F4B5F" w:rsidRPr="00D55DC6" w:rsidRDefault="007F4B5F" w:rsidP="0038165F">
      <w:pPr>
        <w:pStyle w:val="a"/>
        <w:numPr>
          <w:ilvl w:val="0"/>
          <w:numId w:val="0"/>
        </w:numPr>
        <w:ind w:left="709"/>
        <w:rPr>
          <w:b/>
        </w:rPr>
      </w:pPr>
    </w:p>
    <w:p w:rsidR="00CA440C" w:rsidRPr="00D55DC6" w:rsidRDefault="00CA440C" w:rsidP="0038165F">
      <w:pPr>
        <w:pStyle w:val="a"/>
        <w:numPr>
          <w:ilvl w:val="0"/>
          <w:numId w:val="0"/>
        </w:numPr>
        <w:ind w:left="709"/>
        <w:rPr>
          <w:b/>
        </w:rPr>
      </w:pPr>
    </w:p>
    <w:p w:rsidR="00F120CB" w:rsidRPr="00D55DC6" w:rsidRDefault="00F120CB" w:rsidP="0038165F">
      <w:pPr>
        <w:pStyle w:val="a"/>
        <w:ind w:left="709" w:hanging="709"/>
        <w:rPr>
          <w:b/>
        </w:rPr>
      </w:pPr>
      <w:bookmarkStart w:id="72" w:name="_Toc407181650"/>
      <w:r w:rsidRPr="00D55DC6">
        <w:rPr>
          <w:b/>
        </w:rPr>
        <w:t>附則</w:t>
      </w:r>
      <w:bookmarkEnd w:id="72"/>
    </w:p>
    <w:p w:rsidR="00F120CB" w:rsidRPr="00D55DC6" w:rsidRDefault="00F120CB" w:rsidP="004865C1">
      <w:pPr>
        <w:pStyle w:val="af2"/>
        <w:numPr>
          <w:ilvl w:val="0"/>
          <w:numId w:val="135"/>
        </w:numPr>
        <w:snapToGrid w:val="0"/>
        <w:spacing w:line="460" w:lineRule="exact"/>
        <w:ind w:leftChars="0"/>
        <w:jc w:val="both"/>
        <w:rPr>
          <w:rFonts w:eastAsia="標楷體"/>
          <w:b/>
          <w:sz w:val="28"/>
          <w:szCs w:val="28"/>
        </w:rPr>
      </w:pPr>
      <w:r w:rsidRPr="00D55DC6">
        <w:rPr>
          <w:rFonts w:eastAsia="標楷體"/>
          <w:b/>
          <w:sz w:val="28"/>
          <w:szCs w:val="28"/>
        </w:rPr>
        <w:t>風險評估</w:t>
      </w:r>
    </w:p>
    <w:p w:rsidR="00F120CB" w:rsidRPr="00D55DC6" w:rsidRDefault="00F120CB" w:rsidP="004865C1">
      <w:pPr>
        <w:pStyle w:val="af2"/>
        <w:numPr>
          <w:ilvl w:val="0"/>
          <w:numId w:val="137"/>
        </w:numPr>
        <w:snapToGrid w:val="0"/>
        <w:spacing w:line="460" w:lineRule="exact"/>
        <w:ind w:leftChars="0" w:hanging="438"/>
        <w:jc w:val="both"/>
        <w:rPr>
          <w:rFonts w:eastAsia="標楷體"/>
          <w:sz w:val="28"/>
          <w:szCs w:val="28"/>
        </w:rPr>
      </w:pPr>
      <w:r w:rsidRPr="00D55DC6">
        <w:rPr>
          <w:rFonts w:eastAsia="標楷體"/>
          <w:sz w:val="28"/>
          <w:szCs w:val="28"/>
        </w:rPr>
        <w:t>執行大規模且設計型式特殊複雜工程，其設計、申請建照、工程前置申請審查、施工等作業費時，致影響原定工作進度與經費之執行。</w:t>
      </w:r>
    </w:p>
    <w:p w:rsidR="00F120CB" w:rsidRPr="00D55DC6" w:rsidRDefault="00F120CB" w:rsidP="004865C1">
      <w:pPr>
        <w:pStyle w:val="af2"/>
        <w:numPr>
          <w:ilvl w:val="0"/>
          <w:numId w:val="137"/>
        </w:numPr>
        <w:snapToGrid w:val="0"/>
        <w:spacing w:line="460" w:lineRule="exact"/>
        <w:ind w:leftChars="0" w:hanging="438"/>
        <w:jc w:val="both"/>
        <w:rPr>
          <w:rFonts w:eastAsia="標楷體"/>
          <w:sz w:val="28"/>
          <w:szCs w:val="28"/>
        </w:rPr>
      </w:pPr>
      <w:r w:rsidRPr="00D55DC6">
        <w:rPr>
          <w:rFonts w:eastAsia="標楷體"/>
          <w:sz w:val="28"/>
          <w:szCs w:val="28"/>
        </w:rPr>
        <w:t>工程需用土地案涉林務局等外單位時，常要求管理處先行提供規劃設計圖說等資料，始同意納入研議辦理，惟部分工程在用地尚未確定能否取得前，多尚未發包委託規劃設計，致影響用地取得時程。</w:t>
      </w:r>
    </w:p>
    <w:p w:rsidR="00F120CB" w:rsidRPr="00D55DC6" w:rsidRDefault="00F120CB" w:rsidP="004865C1">
      <w:pPr>
        <w:pStyle w:val="af2"/>
        <w:numPr>
          <w:ilvl w:val="0"/>
          <w:numId w:val="137"/>
        </w:numPr>
        <w:snapToGrid w:val="0"/>
        <w:spacing w:line="460" w:lineRule="exact"/>
        <w:ind w:leftChars="0" w:hanging="438"/>
        <w:jc w:val="both"/>
        <w:rPr>
          <w:rFonts w:eastAsia="標楷體"/>
          <w:sz w:val="28"/>
          <w:szCs w:val="28"/>
        </w:rPr>
      </w:pPr>
      <w:r w:rsidRPr="00D55DC6">
        <w:rPr>
          <w:rFonts w:eastAsia="標楷體"/>
          <w:sz w:val="28"/>
          <w:szCs w:val="28"/>
        </w:rPr>
        <w:t>東北部地區易受東北季風、颱風季及多雨時節天候影響，致使工程施作及經管工作困難。</w:t>
      </w:r>
    </w:p>
    <w:p w:rsidR="00F120CB" w:rsidRPr="00D55DC6" w:rsidRDefault="00F120CB" w:rsidP="004865C1">
      <w:pPr>
        <w:pStyle w:val="af2"/>
        <w:numPr>
          <w:ilvl w:val="0"/>
          <w:numId w:val="137"/>
        </w:numPr>
        <w:snapToGrid w:val="0"/>
        <w:spacing w:line="460" w:lineRule="exact"/>
        <w:ind w:leftChars="0" w:hanging="438"/>
        <w:jc w:val="both"/>
        <w:rPr>
          <w:rFonts w:eastAsia="標楷體"/>
          <w:sz w:val="28"/>
          <w:szCs w:val="28"/>
        </w:rPr>
      </w:pPr>
      <w:r w:rsidRPr="00D55DC6">
        <w:rPr>
          <w:rFonts w:eastAsia="標楷體"/>
          <w:sz w:val="28"/>
          <w:szCs w:val="28"/>
        </w:rPr>
        <w:t>部分開發案需辦理都市計畫變更或環境影響評估，因審議過程繁複，時程不易掌握，常影響景點之開發建設。</w:t>
      </w:r>
    </w:p>
    <w:p w:rsidR="00F120CB" w:rsidRPr="00D55DC6" w:rsidRDefault="00F120CB" w:rsidP="004865C1">
      <w:pPr>
        <w:pStyle w:val="af2"/>
        <w:numPr>
          <w:ilvl w:val="0"/>
          <w:numId w:val="137"/>
        </w:numPr>
        <w:snapToGrid w:val="0"/>
        <w:spacing w:line="460" w:lineRule="exact"/>
        <w:ind w:leftChars="0" w:hanging="438"/>
        <w:jc w:val="both"/>
        <w:rPr>
          <w:rFonts w:eastAsia="標楷體"/>
          <w:sz w:val="28"/>
          <w:szCs w:val="28"/>
        </w:rPr>
      </w:pPr>
      <w:r w:rsidRPr="00D55DC6">
        <w:rPr>
          <w:rFonts w:eastAsia="標楷體"/>
          <w:sz w:val="28"/>
          <w:szCs w:val="28"/>
        </w:rPr>
        <w:t>整體市場環境變遷，委託業者經營的衝擊日趨劇烈，投資風險增加，將直接影響觀光景點收益。</w:t>
      </w:r>
    </w:p>
    <w:p w:rsidR="00F120CB" w:rsidRPr="00D55DC6" w:rsidRDefault="00F120CB" w:rsidP="0038165F">
      <w:pPr>
        <w:snapToGrid w:val="0"/>
        <w:spacing w:line="460" w:lineRule="exact"/>
        <w:jc w:val="both"/>
        <w:rPr>
          <w:rFonts w:eastAsia="標楷體"/>
          <w:sz w:val="28"/>
          <w:szCs w:val="28"/>
        </w:rPr>
      </w:pPr>
    </w:p>
    <w:p w:rsidR="000725AB" w:rsidRPr="00D55DC6" w:rsidRDefault="000725AB" w:rsidP="0038165F">
      <w:pPr>
        <w:snapToGrid w:val="0"/>
        <w:spacing w:line="460" w:lineRule="exact"/>
        <w:jc w:val="both"/>
        <w:rPr>
          <w:rFonts w:eastAsia="標楷體"/>
          <w:sz w:val="28"/>
          <w:szCs w:val="28"/>
        </w:rPr>
      </w:pPr>
    </w:p>
    <w:p w:rsidR="00261ADB" w:rsidRPr="00D55DC6" w:rsidRDefault="00261ADB" w:rsidP="004865C1">
      <w:pPr>
        <w:pStyle w:val="af2"/>
        <w:numPr>
          <w:ilvl w:val="0"/>
          <w:numId w:val="135"/>
        </w:numPr>
        <w:snapToGrid w:val="0"/>
        <w:spacing w:line="460" w:lineRule="exact"/>
        <w:ind w:leftChars="0"/>
        <w:jc w:val="both"/>
        <w:rPr>
          <w:rFonts w:eastAsia="標楷體"/>
          <w:b/>
          <w:sz w:val="28"/>
          <w:szCs w:val="28"/>
        </w:rPr>
      </w:pPr>
      <w:r w:rsidRPr="00D55DC6">
        <w:rPr>
          <w:rFonts w:eastAsia="標楷體"/>
          <w:b/>
          <w:sz w:val="28"/>
          <w:szCs w:val="28"/>
        </w:rPr>
        <w:lastRenderedPageBreak/>
        <w:t>相關機關配合事項</w:t>
      </w:r>
    </w:p>
    <w:p w:rsidR="00261ADB" w:rsidRPr="00D55DC6" w:rsidRDefault="00261ADB" w:rsidP="004865C1">
      <w:pPr>
        <w:pStyle w:val="af2"/>
        <w:numPr>
          <w:ilvl w:val="0"/>
          <w:numId w:val="138"/>
        </w:numPr>
        <w:snapToGrid w:val="0"/>
        <w:spacing w:line="460" w:lineRule="exact"/>
        <w:ind w:leftChars="0" w:hanging="438"/>
        <w:jc w:val="both"/>
        <w:rPr>
          <w:rFonts w:eastAsia="標楷體"/>
          <w:b/>
          <w:sz w:val="28"/>
          <w:szCs w:val="28"/>
        </w:rPr>
      </w:pPr>
      <w:r w:rsidRPr="00D55DC6">
        <w:rPr>
          <w:rFonts w:eastAsia="標楷體"/>
          <w:b/>
          <w:sz w:val="28"/>
          <w:szCs w:val="28"/>
        </w:rPr>
        <w:t>新北市政府及宜蘭縣政府：</w:t>
      </w:r>
      <w:r w:rsidRPr="00D55DC6">
        <w:rPr>
          <w:rFonts w:eastAsia="標楷體"/>
          <w:sz w:val="28"/>
          <w:szCs w:val="28"/>
        </w:rPr>
        <w:t>協助土地使用管制及建築管理許可、國土復育、水利防洪、休閒農業、生態保護、交通設施及相關證照之申請，以及同意土地撥用事宜等。</w:t>
      </w:r>
    </w:p>
    <w:p w:rsidR="00261ADB" w:rsidRPr="00D55DC6" w:rsidRDefault="00261ADB" w:rsidP="004865C1">
      <w:pPr>
        <w:pStyle w:val="af2"/>
        <w:numPr>
          <w:ilvl w:val="0"/>
          <w:numId w:val="138"/>
        </w:numPr>
        <w:snapToGrid w:val="0"/>
        <w:spacing w:line="460" w:lineRule="exact"/>
        <w:ind w:leftChars="0" w:hanging="438"/>
        <w:jc w:val="both"/>
        <w:rPr>
          <w:rFonts w:eastAsia="標楷體"/>
          <w:b/>
          <w:sz w:val="28"/>
          <w:szCs w:val="28"/>
        </w:rPr>
      </w:pPr>
      <w:r w:rsidRPr="00D55DC6">
        <w:rPr>
          <w:rFonts w:eastAsia="標楷體"/>
          <w:b/>
          <w:sz w:val="28"/>
          <w:szCs w:val="28"/>
        </w:rPr>
        <w:t>行政院農委會林務局：</w:t>
      </w:r>
      <w:r w:rsidRPr="00D55DC6">
        <w:rPr>
          <w:rFonts w:eastAsia="標楷體"/>
          <w:sz w:val="28"/>
          <w:szCs w:val="28"/>
        </w:rPr>
        <w:t>建設用地林班解編、部份保安林解編，以及同意土地撥用事宜等。</w:t>
      </w:r>
    </w:p>
    <w:p w:rsidR="00261ADB" w:rsidRPr="00D55DC6" w:rsidRDefault="00261ADB" w:rsidP="004865C1">
      <w:pPr>
        <w:pStyle w:val="af2"/>
        <w:numPr>
          <w:ilvl w:val="0"/>
          <w:numId w:val="138"/>
        </w:numPr>
        <w:snapToGrid w:val="0"/>
        <w:spacing w:line="460" w:lineRule="exact"/>
        <w:ind w:leftChars="0" w:hanging="438"/>
        <w:jc w:val="both"/>
        <w:rPr>
          <w:rFonts w:eastAsia="標楷體"/>
          <w:b/>
          <w:sz w:val="28"/>
          <w:szCs w:val="28"/>
        </w:rPr>
      </w:pPr>
      <w:r w:rsidRPr="00D55DC6">
        <w:rPr>
          <w:rFonts w:eastAsia="標楷體"/>
          <w:b/>
          <w:sz w:val="28"/>
          <w:szCs w:val="28"/>
        </w:rPr>
        <w:t>內政部營建署：</w:t>
      </w:r>
      <w:r w:rsidRPr="00D55DC6">
        <w:rPr>
          <w:rFonts w:eastAsia="標楷體"/>
          <w:sz w:val="28"/>
          <w:szCs w:val="28"/>
        </w:rPr>
        <w:t>建設用地之都計變更相關事宜。</w:t>
      </w:r>
    </w:p>
    <w:p w:rsidR="00261ADB" w:rsidRPr="00D55DC6" w:rsidRDefault="00261ADB" w:rsidP="004865C1">
      <w:pPr>
        <w:pStyle w:val="af2"/>
        <w:numPr>
          <w:ilvl w:val="0"/>
          <w:numId w:val="138"/>
        </w:numPr>
        <w:snapToGrid w:val="0"/>
        <w:spacing w:line="460" w:lineRule="exact"/>
        <w:ind w:leftChars="0" w:hanging="438"/>
        <w:jc w:val="both"/>
        <w:rPr>
          <w:rFonts w:eastAsia="標楷體"/>
          <w:sz w:val="28"/>
          <w:szCs w:val="28"/>
        </w:rPr>
      </w:pPr>
      <w:r w:rsidRPr="00D55DC6">
        <w:rPr>
          <w:rFonts w:eastAsia="標楷體"/>
          <w:b/>
          <w:sz w:val="28"/>
          <w:szCs w:val="28"/>
        </w:rPr>
        <w:t>國有財產署、公路總局、海巡署、林務局、新北市政府及宜蘭縣政府知所屬各鄉鎮公所等：</w:t>
      </w:r>
      <w:r w:rsidRPr="00D55DC6">
        <w:rPr>
          <w:rFonts w:eastAsia="標楷體"/>
          <w:sz w:val="28"/>
          <w:szCs w:val="28"/>
        </w:rPr>
        <w:t>辦理開發建設需辦理土地管理機關同意撥用或同意使用。</w:t>
      </w:r>
    </w:p>
    <w:p w:rsidR="00934471" w:rsidRPr="00D55DC6" w:rsidRDefault="00934471" w:rsidP="0038165F">
      <w:pPr>
        <w:widowControl/>
        <w:rPr>
          <w:rFonts w:eastAsia="標楷體"/>
          <w:b/>
          <w:sz w:val="32"/>
          <w:szCs w:val="32"/>
        </w:rPr>
      </w:pPr>
      <w:r w:rsidRPr="00D55DC6">
        <w:rPr>
          <w:rFonts w:eastAsia="標楷體"/>
          <w:b/>
          <w:sz w:val="32"/>
          <w:szCs w:val="32"/>
        </w:rPr>
        <w:br w:type="page"/>
      </w:r>
    </w:p>
    <w:p w:rsidR="00934471" w:rsidRPr="00D55DC6" w:rsidRDefault="00934471" w:rsidP="0038165F">
      <w:pPr>
        <w:snapToGrid w:val="0"/>
        <w:spacing w:line="500" w:lineRule="exact"/>
        <w:jc w:val="both"/>
        <w:rPr>
          <w:rFonts w:eastAsia="標楷體"/>
          <w:b/>
          <w:sz w:val="32"/>
          <w:szCs w:val="32"/>
        </w:rPr>
      </w:pPr>
      <w:r w:rsidRPr="00D55DC6">
        <w:rPr>
          <w:rFonts w:eastAsia="標楷體"/>
          <w:b/>
          <w:sz w:val="32"/>
          <w:szCs w:val="32"/>
        </w:rPr>
        <w:lastRenderedPageBreak/>
        <w:t>貳、北海岸及觀音山國家風景區建設計畫</w:t>
      </w:r>
    </w:p>
    <w:p w:rsidR="00934471" w:rsidRPr="00D55DC6" w:rsidRDefault="00934471" w:rsidP="00DF2F67">
      <w:pPr>
        <w:pStyle w:val="a"/>
        <w:numPr>
          <w:ilvl w:val="0"/>
          <w:numId w:val="46"/>
        </w:numPr>
        <w:ind w:left="709"/>
        <w:rPr>
          <w:b/>
        </w:rPr>
      </w:pPr>
      <w:bookmarkStart w:id="73" w:name="_Toc407181651"/>
      <w:r w:rsidRPr="00D55DC6">
        <w:rPr>
          <w:b/>
        </w:rPr>
        <w:t>計畫緣起</w:t>
      </w:r>
      <w:bookmarkEnd w:id="73"/>
    </w:p>
    <w:p w:rsidR="00934471" w:rsidRPr="00D55DC6" w:rsidRDefault="00934471" w:rsidP="00DF2F67">
      <w:pPr>
        <w:pStyle w:val="af2"/>
        <w:numPr>
          <w:ilvl w:val="0"/>
          <w:numId w:val="47"/>
        </w:numPr>
        <w:snapToGrid w:val="0"/>
        <w:spacing w:line="460" w:lineRule="exact"/>
        <w:ind w:leftChars="0"/>
        <w:jc w:val="both"/>
        <w:rPr>
          <w:rFonts w:eastAsia="標楷體"/>
          <w:b/>
          <w:sz w:val="28"/>
          <w:szCs w:val="28"/>
        </w:rPr>
      </w:pPr>
      <w:r w:rsidRPr="00D55DC6">
        <w:rPr>
          <w:rFonts w:eastAsia="標楷體"/>
          <w:b/>
          <w:sz w:val="28"/>
          <w:szCs w:val="28"/>
        </w:rPr>
        <w:t>依據</w:t>
      </w:r>
    </w:p>
    <w:p w:rsidR="00934471" w:rsidRPr="00D55DC6" w:rsidRDefault="00934471" w:rsidP="00DF2F67">
      <w:pPr>
        <w:pStyle w:val="af2"/>
        <w:numPr>
          <w:ilvl w:val="0"/>
          <w:numId w:val="43"/>
        </w:numPr>
        <w:snapToGrid w:val="0"/>
        <w:spacing w:line="460" w:lineRule="exact"/>
        <w:ind w:leftChars="0"/>
        <w:jc w:val="both"/>
        <w:rPr>
          <w:rFonts w:eastAsia="標楷體"/>
          <w:sz w:val="28"/>
          <w:szCs w:val="28"/>
        </w:rPr>
      </w:pPr>
      <w:r w:rsidRPr="00D55DC6">
        <w:rPr>
          <w:rFonts w:eastAsia="標楷體"/>
          <w:sz w:val="28"/>
          <w:szCs w:val="28"/>
        </w:rPr>
        <w:t>為有效發揮政府重大公共建設計畫觀光次類別經費之投資效益，強化具體投資成果，延續「重要觀光景點建設中程計畫（</w:t>
      </w:r>
      <w:r w:rsidRPr="00D55DC6">
        <w:rPr>
          <w:rFonts w:eastAsia="標楷體"/>
          <w:sz w:val="28"/>
          <w:szCs w:val="28"/>
        </w:rPr>
        <w:t>101</w:t>
      </w:r>
      <w:r w:rsidRPr="00D55DC6">
        <w:rPr>
          <w:rFonts w:eastAsia="標楷體"/>
          <w:sz w:val="28"/>
          <w:szCs w:val="28"/>
        </w:rPr>
        <w:t>至</w:t>
      </w:r>
      <w:r w:rsidRPr="00D55DC6">
        <w:rPr>
          <w:rFonts w:eastAsia="標楷體"/>
          <w:sz w:val="28"/>
          <w:szCs w:val="28"/>
        </w:rPr>
        <w:t>104</w:t>
      </w:r>
      <w:r w:rsidRPr="00D55DC6">
        <w:rPr>
          <w:rFonts w:eastAsia="標楷體"/>
          <w:sz w:val="28"/>
          <w:szCs w:val="28"/>
        </w:rPr>
        <w:t>年）」（行政院</w:t>
      </w:r>
      <w:r w:rsidRPr="00D55DC6">
        <w:rPr>
          <w:rFonts w:eastAsia="標楷體"/>
          <w:sz w:val="28"/>
          <w:szCs w:val="28"/>
        </w:rPr>
        <w:t>100</w:t>
      </w:r>
      <w:r w:rsidRPr="00D55DC6">
        <w:rPr>
          <w:rFonts w:eastAsia="標楷體"/>
          <w:sz w:val="28"/>
          <w:szCs w:val="28"/>
        </w:rPr>
        <w:t>年</w:t>
      </w:r>
      <w:r w:rsidRPr="00D55DC6">
        <w:rPr>
          <w:rFonts w:eastAsia="標楷體"/>
          <w:sz w:val="28"/>
          <w:szCs w:val="28"/>
        </w:rPr>
        <w:t>8</w:t>
      </w:r>
      <w:r w:rsidRPr="00D55DC6">
        <w:rPr>
          <w:rFonts w:eastAsia="標楷體"/>
          <w:sz w:val="28"/>
          <w:szCs w:val="28"/>
        </w:rPr>
        <w:t>月</w:t>
      </w:r>
      <w:r w:rsidRPr="00D55DC6">
        <w:rPr>
          <w:rFonts w:eastAsia="標楷體"/>
          <w:sz w:val="28"/>
          <w:szCs w:val="28"/>
        </w:rPr>
        <w:t>22</w:t>
      </w:r>
      <w:r w:rsidRPr="00D55DC6">
        <w:rPr>
          <w:rFonts w:eastAsia="標楷體"/>
          <w:sz w:val="28"/>
          <w:szCs w:val="28"/>
        </w:rPr>
        <w:t>日院臺交字第</w:t>
      </w:r>
      <w:r w:rsidRPr="00D55DC6">
        <w:rPr>
          <w:rFonts w:eastAsia="標楷體"/>
          <w:sz w:val="28"/>
          <w:szCs w:val="28"/>
        </w:rPr>
        <w:t>1000044174</w:t>
      </w:r>
      <w:r w:rsidRPr="00D55DC6">
        <w:rPr>
          <w:rFonts w:eastAsia="標楷體"/>
          <w:sz w:val="28"/>
          <w:szCs w:val="28"/>
        </w:rPr>
        <w:t>號函核定）建設成果，並調整以</w:t>
      </w:r>
      <w:r w:rsidRPr="00D55DC6">
        <w:rPr>
          <w:rFonts w:eastAsia="標楷體"/>
          <w:sz w:val="28"/>
          <w:szCs w:val="28"/>
        </w:rPr>
        <w:t>1.</w:t>
      </w:r>
      <w:r w:rsidRPr="00D55DC6">
        <w:rPr>
          <w:rFonts w:eastAsia="標楷體"/>
          <w:sz w:val="28"/>
          <w:szCs w:val="28"/>
        </w:rPr>
        <w:t>國際觀光重要景點建設、</w:t>
      </w:r>
      <w:r w:rsidRPr="00D55DC6">
        <w:rPr>
          <w:rFonts w:eastAsia="標楷體"/>
          <w:sz w:val="28"/>
          <w:szCs w:val="28"/>
        </w:rPr>
        <w:t>2.</w:t>
      </w:r>
      <w:r w:rsidRPr="00D55DC6">
        <w:rPr>
          <w:rFonts w:eastAsia="標楷體"/>
          <w:sz w:val="28"/>
          <w:szCs w:val="28"/>
        </w:rPr>
        <w:t>國內觀光重要景點建設、</w:t>
      </w:r>
      <w:r w:rsidRPr="00D55DC6">
        <w:rPr>
          <w:rFonts w:eastAsia="標楷體"/>
          <w:sz w:val="28"/>
          <w:szCs w:val="28"/>
        </w:rPr>
        <w:t>3.</w:t>
      </w:r>
      <w:r w:rsidRPr="00D55DC6">
        <w:rPr>
          <w:rFonts w:eastAsia="標楷體"/>
          <w:sz w:val="28"/>
          <w:szCs w:val="28"/>
        </w:rPr>
        <w:t>國家風景區經營管理維護等投資重點與優先順序，研擬「重要觀光景點建設中程計畫</w:t>
      </w:r>
      <w:r w:rsidRPr="00D55DC6">
        <w:rPr>
          <w:rFonts w:eastAsia="標楷體"/>
          <w:sz w:val="28"/>
          <w:szCs w:val="28"/>
        </w:rPr>
        <w:t>(105-108</w:t>
      </w:r>
      <w:r w:rsidRPr="00D55DC6">
        <w:rPr>
          <w:rFonts w:eastAsia="標楷體"/>
          <w:sz w:val="28"/>
          <w:szCs w:val="28"/>
        </w:rPr>
        <w:t>年</w:t>
      </w:r>
      <w:r w:rsidRPr="00D55DC6">
        <w:rPr>
          <w:rFonts w:eastAsia="標楷體"/>
          <w:sz w:val="28"/>
          <w:szCs w:val="28"/>
        </w:rPr>
        <w:t>)</w:t>
      </w:r>
      <w:r w:rsidRPr="00D55DC6">
        <w:rPr>
          <w:rFonts w:eastAsia="標楷體"/>
          <w:sz w:val="28"/>
          <w:szCs w:val="28"/>
        </w:rPr>
        <w:t>」。</w:t>
      </w:r>
    </w:p>
    <w:p w:rsidR="000E303F" w:rsidRPr="00D55DC6" w:rsidRDefault="000E303F" w:rsidP="00DF2F67">
      <w:pPr>
        <w:pStyle w:val="af2"/>
        <w:numPr>
          <w:ilvl w:val="0"/>
          <w:numId w:val="43"/>
        </w:numPr>
        <w:snapToGrid w:val="0"/>
        <w:spacing w:line="460" w:lineRule="exact"/>
        <w:ind w:leftChars="0"/>
        <w:jc w:val="both"/>
        <w:rPr>
          <w:rFonts w:eastAsia="標楷體"/>
          <w:sz w:val="28"/>
          <w:szCs w:val="28"/>
        </w:rPr>
      </w:pPr>
      <w:r w:rsidRPr="00D55DC6">
        <w:rPr>
          <w:rFonts w:eastAsia="標楷體"/>
          <w:sz w:val="28"/>
          <w:szCs w:val="28"/>
        </w:rPr>
        <w:t>依據行政院</w:t>
      </w:r>
      <w:r w:rsidRPr="00D55DC6">
        <w:rPr>
          <w:rFonts w:eastAsia="標楷體"/>
          <w:sz w:val="28"/>
          <w:szCs w:val="28"/>
        </w:rPr>
        <w:t>103</w:t>
      </w:r>
      <w:r w:rsidRPr="00D55DC6">
        <w:rPr>
          <w:rFonts w:eastAsia="標楷體"/>
          <w:sz w:val="28"/>
          <w:szCs w:val="28"/>
        </w:rPr>
        <w:t>年</w:t>
      </w:r>
      <w:r w:rsidRPr="00D55DC6">
        <w:rPr>
          <w:rFonts w:eastAsia="標楷體"/>
          <w:sz w:val="28"/>
          <w:szCs w:val="28"/>
        </w:rPr>
        <w:t>10</w:t>
      </w:r>
      <w:r w:rsidRPr="00D55DC6">
        <w:rPr>
          <w:rFonts w:eastAsia="標楷體"/>
          <w:sz w:val="28"/>
          <w:szCs w:val="28"/>
        </w:rPr>
        <w:t>月</w:t>
      </w:r>
      <w:r w:rsidRPr="00D55DC6">
        <w:rPr>
          <w:rFonts w:eastAsia="標楷體"/>
          <w:sz w:val="28"/>
          <w:szCs w:val="28"/>
        </w:rPr>
        <w:t>15</w:t>
      </w:r>
      <w:r w:rsidRPr="00D55DC6">
        <w:rPr>
          <w:rFonts w:eastAsia="標楷體"/>
          <w:sz w:val="28"/>
          <w:szCs w:val="28"/>
        </w:rPr>
        <w:t>日院臺交字第</w:t>
      </w:r>
      <w:r w:rsidRPr="00D55DC6">
        <w:rPr>
          <w:rFonts w:eastAsia="標楷體"/>
          <w:sz w:val="28"/>
          <w:szCs w:val="28"/>
        </w:rPr>
        <w:t>1030058303</w:t>
      </w:r>
      <w:r w:rsidRPr="00D55DC6">
        <w:rPr>
          <w:rFonts w:eastAsia="標楷體"/>
          <w:sz w:val="28"/>
          <w:szCs w:val="28"/>
        </w:rPr>
        <w:t>號函核定「日月潭等</w:t>
      </w:r>
      <w:r w:rsidRPr="00D55DC6">
        <w:rPr>
          <w:rFonts w:eastAsia="標楷體"/>
          <w:sz w:val="28"/>
          <w:szCs w:val="28"/>
        </w:rPr>
        <w:t>6</w:t>
      </w:r>
      <w:r w:rsidRPr="00D55DC6">
        <w:rPr>
          <w:rFonts w:eastAsia="標楷體"/>
          <w:sz w:val="28"/>
          <w:szCs w:val="28"/>
        </w:rPr>
        <w:t>處國家風景區整體發展暨財務計畫」（包含日月潭、東北角暨宜蘭海岸、北海岸及觀音山、阿里山、參山、雲嘉南濱海）之意旨辦理。</w:t>
      </w:r>
    </w:p>
    <w:p w:rsidR="00934471" w:rsidRPr="00D55DC6" w:rsidRDefault="00934471" w:rsidP="00DF2F67">
      <w:pPr>
        <w:pStyle w:val="af2"/>
        <w:numPr>
          <w:ilvl w:val="0"/>
          <w:numId w:val="43"/>
        </w:numPr>
        <w:snapToGrid w:val="0"/>
        <w:spacing w:line="460" w:lineRule="exact"/>
        <w:ind w:leftChars="0"/>
        <w:jc w:val="both"/>
        <w:rPr>
          <w:rFonts w:eastAsia="標楷體"/>
          <w:sz w:val="28"/>
          <w:szCs w:val="28"/>
        </w:rPr>
      </w:pPr>
      <w:r w:rsidRPr="00D55DC6">
        <w:rPr>
          <w:rFonts w:eastAsia="標楷體"/>
          <w:sz w:val="28"/>
          <w:szCs w:val="28"/>
        </w:rPr>
        <w:t>依據行政院</w:t>
      </w:r>
      <w:r w:rsidRPr="00D55DC6">
        <w:rPr>
          <w:rFonts w:eastAsia="標楷體"/>
          <w:sz w:val="28"/>
          <w:szCs w:val="28"/>
        </w:rPr>
        <w:t>103</w:t>
      </w:r>
      <w:r w:rsidRPr="00D55DC6">
        <w:rPr>
          <w:rFonts w:eastAsia="標楷體"/>
          <w:sz w:val="28"/>
          <w:szCs w:val="28"/>
        </w:rPr>
        <w:t>年</w:t>
      </w:r>
      <w:r w:rsidRPr="00D55DC6">
        <w:rPr>
          <w:rFonts w:eastAsia="標楷體"/>
          <w:sz w:val="28"/>
          <w:szCs w:val="28"/>
        </w:rPr>
        <w:t>10</w:t>
      </w:r>
      <w:r w:rsidRPr="00D55DC6">
        <w:rPr>
          <w:rFonts w:eastAsia="標楷體"/>
          <w:sz w:val="28"/>
          <w:szCs w:val="28"/>
        </w:rPr>
        <w:t>月</w:t>
      </w:r>
      <w:r w:rsidRPr="00D55DC6">
        <w:rPr>
          <w:rFonts w:eastAsia="標楷體"/>
          <w:sz w:val="28"/>
          <w:szCs w:val="28"/>
        </w:rPr>
        <w:t>20</w:t>
      </w:r>
      <w:r w:rsidRPr="00D55DC6">
        <w:rPr>
          <w:rFonts w:eastAsia="標楷體"/>
          <w:sz w:val="28"/>
          <w:szCs w:val="28"/>
        </w:rPr>
        <w:t>日院臺交字第</w:t>
      </w:r>
      <w:r w:rsidRPr="00D55DC6">
        <w:rPr>
          <w:rFonts w:eastAsia="標楷體"/>
          <w:sz w:val="28"/>
          <w:szCs w:val="28"/>
        </w:rPr>
        <w:t>1030058712</w:t>
      </w:r>
      <w:r w:rsidRPr="00D55DC6">
        <w:rPr>
          <w:rFonts w:eastAsia="標楷體"/>
          <w:sz w:val="28"/>
          <w:szCs w:val="28"/>
        </w:rPr>
        <w:t>號函核定「北海岸及觀音國家風景特定區範圍檢討評估報告」擴大經管範圍之意旨辦理。</w:t>
      </w:r>
    </w:p>
    <w:p w:rsidR="00CA440C" w:rsidRPr="00D55DC6" w:rsidRDefault="00CA440C" w:rsidP="00CA440C">
      <w:pPr>
        <w:pStyle w:val="af2"/>
        <w:snapToGrid w:val="0"/>
        <w:spacing w:line="460" w:lineRule="exact"/>
        <w:ind w:leftChars="0" w:left="782"/>
        <w:jc w:val="both"/>
        <w:rPr>
          <w:rFonts w:eastAsia="標楷體"/>
          <w:sz w:val="28"/>
          <w:szCs w:val="28"/>
        </w:rPr>
      </w:pPr>
    </w:p>
    <w:p w:rsidR="00934471" w:rsidRPr="00D55DC6" w:rsidRDefault="00934471" w:rsidP="00DF2F67">
      <w:pPr>
        <w:pStyle w:val="af2"/>
        <w:numPr>
          <w:ilvl w:val="0"/>
          <w:numId w:val="47"/>
        </w:numPr>
        <w:snapToGrid w:val="0"/>
        <w:spacing w:line="460" w:lineRule="exact"/>
        <w:ind w:leftChars="0"/>
        <w:jc w:val="both"/>
        <w:rPr>
          <w:rFonts w:eastAsia="標楷體"/>
          <w:b/>
          <w:sz w:val="28"/>
          <w:szCs w:val="28"/>
        </w:rPr>
      </w:pPr>
      <w:r w:rsidRPr="00D55DC6">
        <w:rPr>
          <w:rFonts w:eastAsia="標楷體"/>
          <w:b/>
          <w:sz w:val="28"/>
          <w:szCs w:val="28"/>
        </w:rPr>
        <w:t>未來環境預測</w:t>
      </w:r>
    </w:p>
    <w:p w:rsidR="00934471" w:rsidRPr="00D55DC6" w:rsidRDefault="00934471" w:rsidP="00DF2F67">
      <w:pPr>
        <w:pStyle w:val="af2"/>
        <w:numPr>
          <w:ilvl w:val="0"/>
          <w:numId w:val="42"/>
        </w:numPr>
        <w:snapToGrid w:val="0"/>
        <w:spacing w:line="460" w:lineRule="exact"/>
        <w:ind w:leftChars="0" w:left="782" w:hanging="357"/>
        <w:jc w:val="both"/>
        <w:rPr>
          <w:rFonts w:eastAsia="標楷體"/>
          <w:sz w:val="28"/>
          <w:szCs w:val="28"/>
        </w:rPr>
      </w:pPr>
      <w:r w:rsidRPr="00D55DC6">
        <w:rPr>
          <w:rFonts w:eastAsia="標楷體"/>
          <w:sz w:val="28"/>
          <w:szCs w:val="28"/>
        </w:rPr>
        <w:t>北海岸及觀音山國家風景區遊憩需求預測：管理處依據</w:t>
      </w:r>
      <w:r w:rsidRPr="00D55DC6">
        <w:rPr>
          <w:rFonts w:eastAsia="標楷體"/>
          <w:sz w:val="28"/>
          <w:szCs w:val="28"/>
        </w:rPr>
        <w:t>103</w:t>
      </w:r>
      <w:r w:rsidRPr="00D55DC6">
        <w:rPr>
          <w:rFonts w:eastAsia="標楷體"/>
          <w:sz w:val="28"/>
          <w:szCs w:val="28"/>
        </w:rPr>
        <w:t>年</w:t>
      </w:r>
      <w:r w:rsidRPr="00D55DC6">
        <w:rPr>
          <w:rFonts w:eastAsia="標楷體"/>
          <w:sz w:val="28"/>
          <w:szCs w:val="28"/>
        </w:rPr>
        <w:t>10</w:t>
      </w:r>
      <w:r w:rsidRPr="00D55DC6">
        <w:rPr>
          <w:rFonts w:eastAsia="標楷體"/>
          <w:sz w:val="28"/>
          <w:szCs w:val="28"/>
        </w:rPr>
        <w:t>月規劃之「北海岸及觀音山國家風景區整體發展計畫暨財務計畫」推估遊憩需求如下：</w:t>
      </w:r>
    </w:p>
    <w:p w:rsidR="00934471" w:rsidRPr="00D55DC6" w:rsidRDefault="00934471" w:rsidP="00DF2F67">
      <w:pPr>
        <w:pStyle w:val="af2"/>
        <w:numPr>
          <w:ilvl w:val="1"/>
          <w:numId w:val="44"/>
        </w:numPr>
        <w:snapToGrid w:val="0"/>
        <w:spacing w:line="460" w:lineRule="exact"/>
        <w:ind w:leftChars="0" w:left="1276" w:hanging="494"/>
        <w:jc w:val="both"/>
        <w:rPr>
          <w:rFonts w:eastAsia="標楷體"/>
          <w:sz w:val="28"/>
          <w:szCs w:val="28"/>
        </w:rPr>
      </w:pPr>
      <w:r w:rsidRPr="00D55DC6">
        <w:rPr>
          <w:rFonts w:eastAsia="標楷體"/>
          <w:sz w:val="28"/>
          <w:szCs w:val="28"/>
        </w:rPr>
        <w:t>遊客人次：北觀國家風景區全區</w:t>
      </w:r>
      <w:r w:rsidRPr="00D55DC6">
        <w:rPr>
          <w:rFonts w:eastAsia="標楷體"/>
          <w:sz w:val="28"/>
          <w:szCs w:val="28"/>
        </w:rPr>
        <w:t>108</w:t>
      </w:r>
      <w:r w:rsidRPr="00D55DC6">
        <w:rPr>
          <w:rFonts w:eastAsia="標楷體"/>
          <w:sz w:val="28"/>
          <w:szCs w:val="28"/>
        </w:rPr>
        <w:t>年推估遊客量約為</w:t>
      </w:r>
      <w:r w:rsidRPr="00D55DC6">
        <w:rPr>
          <w:rFonts w:eastAsia="標楷體"/>
          <w:sz w:val="28"/>
          <w:szCs w:val="28"/>
        </w:rPr>
        <w:t>592</w:t>
      </w:r>
      <w:r w:rsidRPr="00D55DC6">
        <w:rPr>
          <w:rFonts w:eastAsia="標楷體"/>
          <w:sz w:val="28"/>
          <w:szCs w:val="28"/>
        </w:rPr>
        <w:t>萬人次，與</w:t>
      </w:r>
      <w:r w:rsidRPr="00D55DC6">
        <w:rPr>
          <w:rFonts w:eastAsia="標楷體"/>
          <w:sz w:val="28"/>
          <w:szCs w:val="28"/>
        </w:rPr>
        <w:t>102</w:t>
      </w:r>
      <w:r w:rsidRPr="00D55DC6">
        <w:rPr>
          <w:rFonts w:eastAsia="標楷體"/>
          <w:sz w:val="28"/>
          <w:szCs w:val="28"/>
        </w:rPr>
        <w:t>年遊客量</w:t>
      </w:r>
      <w:r w:rsidRPr="00D55DC6">
        <w:rPr>
          <w:rFonts w:eastAsia="標楷體"/>
          <w:sz w:val="28"/>
          <w:szCs w:val="28"/>
        </w:rPr>
        <w:t>496</w:t>
      </w:r>
      <w:r w:rsidRPr="00D55DC6">
        <w:rPr>
          <w:rFonts w:eastAsia="標楷體"/>
          <w:sz w:val="28"/>
          <w:szCs w:val="28"/>
        </w:rPr>
        <w:t>萬人次相較，成長</w:t>
      </w:r>
      <w:r w:rsidRPr="00D55DC6">
        <w:rPr>
          <w:rFonts w:eastAsia="標楷體"/>
          <w:sz w:val="28"/>
          <w:szCs w:val="28"/>
        </w:rPr>
        <w:t>19.35%</w:t>
      </w:r>
      <w:r w:rsidRPr="00D55DC6">
        <w:rPr>
          <w:rFonts w:eastAsia="標楷體"/>
          <w:sz w:val="28"/>
          <w:szCs w:val="28"/>
        </w:rPr>
        <w:t>。相關公共設施服務，除在「量」上應配合增加外，在「質」的層面亦需同步發展提升，依全區整體發展規劃，進行分期分年建設。</w:t>
      </w:r>
    </w:p>
    <w:p w:rsidR="00934471" w:rsidRPr="00D55DC6" w:rsidRDefault="00934471" w:rsidP="00DF2F67">
      <w:pPr>
        <w:pStyle w:val="af2"/>
        <w:numPr>
          <w:ilvl w:val="1"/>
          <w:numId w:val="44"/>
        </w:numPr>
        <w:snapToGrid w:val="0"/>
        <w:spacing w:line="460" w:lineRule="exact"/>
        <w:ind w:leftChars="0" w:left="1276" w:hanging="494"/>
        <w:jc w:val="both"/>
        <w:rPr>
          <w:rFonts w:eastAsia="標楷體"/>
          <w:sz w:val="28"/>
          <w:szCs w:val="28"/>
        </w:rPr>
      </w:pPr>
      <w:r w:rsidRPr="00D55DC6">
        <w:rPr>
          <w:rFonts w:eastAsia="標楷體"/>
          <w:sz w:val="28"/>
          <w:szCs w:val="28"/>
        </w:rPr>
        <w:t>住宿需求：依據遊客調查報告顯示，近年北觀國家風景區遊客旅遊天數以一日最多，占了近八成，一方面因風景區地處人口密集之台北市、新北市大都會區域近郊，加上近年交通環線發達與公共運輸工具便利發展，整體而言一般遊客旅程以單日往返為主，少數遊客留宿選擇住宿旅館。目前風景區轄內合法住</w:t>
      </w:r>
      <w:r w:rsidRPr="00D55DC6">
        <w:rPr>
          <w:rFonts w:eastAsia="標楷體"/>
          <w:sz w:val="28"/>
          <w:szCs w:val="28"/>
        </w:rPr>
        <w:lastRenderedPageBreak/>
        <w:t>宿設施計有旅館與青年活動中心</w:t>
      </w:r>
      <w:r w:rsidRPr="00D55DC6">
        <w:rPr>
          <w:rFonts w:eastAsia="標楷體"/>
          <w:sz w:val="28"/>
          <w:szCs w:val="28"/>
        </w:rPr>
        <w:t>15</w:t>
      </w:r>
      <w:r w:rsidRPr="00D55DC6">
        <w:rPr>
          <w:rFonts w:eastAsia="標楷體"/>
          <w:sz w:val="28"/>
          <w:szCs w:val="28"/>
        </w:rPr>
        <w:t>家（含籌設中）共</w:t>
      </w:r>
      <w:r w:rsidRPr="00D55DC6">
        <w:rPr>
          <w:rFonts w:eastAsia="標楷體"/>
          <w:sz w:val="28"/>
          <w:szCs w:val="28"/>
        </w:rPr>
        <w:t>2,106</w:t>
      </w:r>
      <w:r w:rsidRPr="00D55DC6">
        <w:rPr>
          <w:rFonts w:eastAsia="標楷體"/>
          <w:sz w:val="28"/>
          <w:szCs w:val="28"/>
        </w:rPr>
        <w:t>間客房，民宿有</w:t>
      </w:r>
      <w:r w:rsidRPr="00D55DC6">
        <w:rPr>
          <w:rFonts w:eastAsia="標楷體"/>
          <w:sz w:val="28"/>
          <w:szCs w:val="28"/>
        </w:rPr>
        <w:t>36</w:t>
      </w:r>
      <w:r w:rsidRPr="00D55DC6">
        <w:rPr>
          <w:rFonts w:eastAsia="標楷體"/>
          <w:sz w:val="28"/>
          <w:szCs w:val="28"/>
        </w:rPr>
        <w:t>家</w:t>
      </w:r>
      <w:r w:rsidRPr="00D55DC6">
        <w:rPr>
          <w:rFonts w:eastAsia="標楷體"/>
          <w:sz w:val="28"/>
          <w:szCs w:val="28"/>
        </w:rPr>
        <w:t>120</w:t>
      </w:r>
      <w:r w:rsidRPr="00D55DC6">
        <w:rPr>
          <w:rFonts w:eastAsia="標楷體"/>
          <w:sz w:val="28"/>
          <w:szCs w:val="28"/>
        </w:rPr>
        <w:t>間客房，共計提供</w:t>
      </w:r>
      <w:r w:rsidRPr="00D55DC6">
        <w:rPr>
          <w:rFonts w:eastAsia="標楷體"/>
          <w:sz w:val="28"/>
          <w:szCs w:val="28"/>
        </w:rPr>
        <w:t>2,226</w:t>
      </w:r>
      <w:r w:rsidRPr="00D55DC6">
        <w:rPr>
          <w:rFonts w:eastAsia="標楷體"/>
          <w:sz w:val="28"/>
          <w:szCs w:val="28"/>
        </w:rPr>
        <w:t>間客房；依據推估至</w:t>
      </w:r>
      <w:r w:rsidRPr="00D55DC6">
        <w:rPr>
          <w:rFonts w:eastAsia="標楷體"/>
          <w:sz w:val="28"/>
          <w:szCs w:val="28"/>
        </w:rPr>
        <w:t>108</w:t>
      </w:r>
      <w:r w:rsidRPr="00D55DC6">
        <w:rPr>
          <w:rFonts w:eastAsia="標楷體"/>
          <w:sz w:val="28"/>
          <w:szCs w:val="28"/>
        </w:rPr>
        <w:t>年房間需求量為</w:t>
      </w:r>
      <w:r w:rsidRPr="00D55DC6">
        <w:rPr>
          <w:rFonts w:eastAsia="標楷體"/>
          <w:sz w:val="28"/>
          <w:szCs w:val="28"/>
        </w:rPr>
        <w:t>2,112</w:t>
      </w:r>
      <w:r w:rsidRPr="00D55DC6">
        <w:rPr>
          <w:rFonts w:eastAsia="標楷體"/>
          <w:sz w:val="28"/>
          <w:szCs w:val="28"/>
        </w:rPr>
        <w:t>間，現況供給量業已超過</w:t>
      </w:r>
      <w:r w:rsidRPr="00D55DC6">
        <w:rPr>
          <w:rFonts w:eastAsia="標楷體"/>
          <w:sz w:val="28"/>
          <w:szCs w:val="28"/>
        </w:rPr>
        <w:t>108</w:t>
      </w:r>
      <w:r w:rsidRPr="00D55DC6">
        <w:rPr>
          <w:rFonts w:eastAsia="標楷體"/>
          <w:sz w:val="28"/>
          <w:szCs w:val="28"/>
        </w:rPr>
        <w:t>年之需求量；鑑此，管理處將持續行銷推廣規劃各遊憩區特色旅程，以延長旅客停留時間。</w:t>
      </w:r>
    </w:p>
    <w:p w:rsidR="00934471" w:rsidRPr="00D55DC6" w:rsidRDefault="00934471" w:rsidP="00DF2F67">
      <w:pPr>
        <w:pStyle w:val="af2"/>
        <w:numPr>
          <w:ilvl w:val="1"/>
          <w:numId w:val="44"/>
        </w:numPr>
        <w:snapToGrid w:val="0"/>
        <w:spacing w:line="460" w:lineRule="exact"/>
        <w:ind w:leftChars="0" w:left="1276" w:hanging="494"/>
        <w:jc w:val="both"/>
        <w:rPr>
          <w:rFonts w:eastAsia="標楷體"/>
          <w:sz w:val="28"/>
          <w:szCs w:val="28"/>
        </w:rPr>
      </w:pPr>
      <w:r w:rsidRPr="00D55DC6">
        <w:rPr>
          <w:rFonts w:eastAsia="標楷體"/>
          <w:sz w:val="28"/>
          <w:szCs w:val="28"/>
        </w:rPr>
        <w:t>觀光服務設施需求：北觀國家風景區現有遊客中心計有觀音山、三芝、白沙灣、金山及野柳</w:t>
      </w:r>
      <w:r w:rsidRPr="00D55DC6">
        <w:rPr>
          <w:rFonts w:eastAsia="標楷體"/>
          <w:sz w:val="28"/>
          <w:szCs w:val="28"/>
        </w:rPr>
        <w:t>5</w:t>
      </w:r>
      <w:r w:rsidRPr="00D55DC6">
        <w:rPr>
          <w:rFonts w:eastAsia="標楷體"/>
          <w:sz w:val="28"/>
          <w:szCs w:val="28"/>
        </w:rPr>
        <w:t>處，未來因應擴大轄區新興據點之開發，將衍生基隆觀光遊憩設施之需求。另外，風景區內現有公有停車場設施分散各處，集中於遊憩據點周邊及海岸線沿線，共計有</w:t>
      </w:r>
      <w:r w:rsidRPr="00D55DC6">
        <w:rPr>
          <w:rFonts w:eastAsia="標楷體"/>
          <w:sz w:val="28"/>
          <w:szCs w:val="28"/>
        </w:rPr>
        <w:t>3,221</w:t>
      </w:r>
      <w:r w:rsidRPr="00D55DC6">
        <w:rPr>
          <w:rFonts w:eastAsia="標楷體"/>
          <w:sz w:val="28"/>
          <w:szCs w:val="28"/>
        </w:rPr>
        <w:t>個自小客車停車位及</w:t>
      </w:r>
      <w:r w:rsidRPr="00D55DC6">
        <w:rPr>
          <w:rFonts w:eastAsia="標楷體"/>
          <w:sz w:val="28"/>
          <w:szCs w:val="28"/>
        </w:rPr>
        <w:t>191</w:t>
      </w:r>
      <w:r w:rsidRPr="00D55DC6">
        <w:rPr>
          <w:rFonts w:eastAsia="標楷體"/>
          <w:sz w:val="28"/>
          <w:szCs w:val="28"/>
        </w:rPr>
        <w:t>個遊覽車停車位，依推估</w:t>
      </w:r>
      <w:r w:rsidRPr="00D55DC6">
        <w:rPr>
          <w:rFonts w:eastAsia="標楷體"/>
          <w:sz w:val="28"/>
          <w:szCs w:val="28"/>
        </w:rPr>
        <w:t>108</w:t>
      </w:r>
      <w:r w:rsidRPr="00D55DC6">
        <w:rPr>
          <w:rFonts w:eastAsia="標楷體"/>
          <w:sz w:val="28"/>
          <w:szCs w:val="28"/>
        </w:rPr>
        <w:t>年小客車需求量將高達</w:t>
      </w:r>
      <w:r w:rsidRPr="00D55DC6">
        <w:rPr>
          <w:rFonts w:eastAsia="標楷體"/>
          <w:sz w:val="28"/>
          <w:szCs w:val="28"/>
        </w:rPr>
        <w:t>4,192</w:t>
      </w:r>
      <w:r w:rsidRPr="00D55DC6">
        <w:rPr>
          <w:rFonts w:eastAsia="標楷體"/>
          <w:sz w:val="28"/>
          <w:szCs w:val="28"/>
        </w:rPr>
        <w:t>輛。尤其，野柳遊憩據點遊客人潮逐年倍增，</w:t>
      </w:r>
      <w:r w:rsidRPr="00D55DC6">
        <w:rPr>
          <w:rFonts w:eastAsia="標楷體"/>
          <w:sz w:val="28"/>
          <w:szCs w:val="28"/>
        </w:rPr>
        <w:t>102</w:t>
      </w:r>
      <w:r w:rsidRPr="00D55DC6">
        <w:rPr>
          <w:rFonts w:eastAsia="標楷體"/>
          <w:sz w:val="28"/>
          <w:szCs w:val="28"/>
        </w:rPr>
        <w:t>年已達</w:t>
      </w:r>
      <w:r w:rsidRPr="00D55DC6">
        <w:rPr>
          <w:rFonts w:eastAsia="標楷體"/>
          <w:sz w:val="28"/>
          <w:szCs w:val="28"/>
        </w:rPr>
        <w:t>278</w:t>
      </w:r>
      <w:r w:rsidRPr="00D55DC6">
        <w:rPr>
          <w:rFonts w:eastAsia="標楷體"/>
          <w:sz w:val="28"/>
          <w:szCs w:val="28"/>
        </w:rPr>
        <w:t>萬人次，大型遊覽車及自小客車停車位明顯不敷使用需求，加上推估未來</w:t>
      </w:r>
      <w:r w:rsidRPr="00D55DC6">
        <w:rPr>
          <w:rFonts w:eastAsia="標楷體"/>
          <w:sz w:val="28"/>
          <w:szCs w:val="28"/>
        </w:rPr>
        <w:t>10</w:t>
      </w:r>
      <w:r w:rsidRPr="00D55DC6">
        <w:rPr>
          <w:rFonts w:eastAsia="標楷體"/>
          <w:sz w:val="28"/>
          <w:szCs w:val="28"/>
        </w:rPr>
        <w:t>年遊客量可能達</w:t>
      </w:r>
      <w:r w:rsidRPr="00D55DC6">
        <w:rPr>
          <w:rFonts w:eastAsia="標楷體"/>
          <w:sz w:val="28"/>
          <w:szCs w:val="28"/>
        </w:rPr>
        <w:t>400</w:t>
      </w:r>
      <w:r w:rsidRPr="00D55DC6">
        <w:rPr>
          <w:rFonts w:eastAsia="標楷體"/>
          <w:sz w:val="28"/>
          <w:szCs w:val="28"/>
        </w:rPr>
        <w:t>萬人次，在遊客諮詢、導覽、環境教育服務及展售空間設施，勢將需規劃調整以維護服務品質。管理處現階段已推動時間、空間分流管理，並規劃野柳核心區整體環境及服務設施改善計畫，未來將進行分期分年建設，提升為世界級接待意象，也調節該遊憩區環境壓力。</w:t>
      </w:r>
    </w:p>
    <w:p w:rsidR="00934471" w:rsidRPr="00D55DC6" w:rsidRDefault="00934471" w:rsidP="00DF2F67">
      <w:pPr>
        <w:pStyle w:val="af2"/>
        <w:numPr>
          <w:ilvl w:val="0"/>
          <w:numId w:val="42"/>
        </w:numPr>
        <w:snapToGrid w:val="0"/>
        <w:spacing w:line="460" w:lineRule="exact"/>
        <w:ind w:leftChars="0"/>
        <w:jc w:val="both"/>
        <w:rPr>
          <w:rFonts w:eastAsia="標楷體"/>
          <w:sz w:val="28"/>
          <w:szCs w:val="28"/>
        </w:rPr>
      </w:pPr>
      <w:r w:rsidRPr="00D55DC6">
        <w:rPr>
          <w:rFonts w:eastAsia="標楷體"/>
          <w:sz w:val="28"/>
          <w:szCs w:val="28"/>
        </w:rPr>
        <w:t>環境保護與永續發展趨勢，打造低碳綠能環境除係政府施政重點，更係國家發展五大支柱之一；北觀國家風景區為達永續經營目標，計畫持續推展綠色運具政策，鼓勵搭乘台灣好行等大眾運輸，建置北海岸及觀音山步道暨自行車道系統，結合綠建築設計概念等，營造低碳旅遊環境，在觀光發展與環境保護間尋求平衡。</w:t>
      </w:r>
    </w:p>
    <w:p w:rsidR="00CA440C" w:rsidRPr="00D55DC6" w:rsidRDefault="00CA440C" w:rsidP="00CA440C">
      <w:pPr>
        <w:pStyle w:val="af2"/>
        <w:snapToGrid w:val="0"/>
        <w:spacing w:line="460" w:lineRule="exact"/>
        <w:ind w:leftChars="0" w:left="785"/>
        <w:jc w:val="both"/>
        <w:rPr>
          <w:rFonts w:eastAsia="標楷體"/>
          <w:sz w:val="28"/>
          <w:szCs w:val="28"/>
        </w:rPr>
      </w:pPr>
    </w:p>
    <w:p w:rsidR="00934471" w:rsidRPr="00D55DC6" w:rsidRDefault="00934471" w:rsidP="00DF2F67">
      <w:pPr>
        <w:pStyle w:val="af2"/>
        <w:numPr>
          <w:ilvl w:val="0"/>
          <w:numId w:val="47"/>
        </w:numPr>
        <w:snapToGrid w:val="0"/>
        <w:spacing w:line="460" w:lineRule="exact"/>
        <w:ind w:leftChars="0"/>
        <w:jc w:val="both"/>
        <w:rPr>
          <w:rFonts w:eastAsia="標楷體"/>
          <w:b/>
          <w:sz w:val="28"/>
          <w:szCs w:val="28"/>
        </w:rPr>
      </w:pPr>
      <w:r w:rsidRPr="00D55DC6">
        <w:rPr>
          <w:rFonts w:eastAsia="標楷體"/>
          <w:b/>
          <w:sz w:val="28"/>
          <w:szCs w:val="28"/>
        </w:rPr>
        <w:t>問題評析</w:t>
      </w:r>
    </w:p>
    <w:p w:rsidR="00934471" w:rsidRPr="00D55DC6" w:rsidRDefault="00934471" w:rsidP="00DF2F67">
      <w:pPr>
        <w:pStyle w:val="af2"/>
        <w:numPr>
          <w:ilvl w:val="0"/>
          <w:numId w:val="40"/>
        </w:numPr>
        <w:snapToGrid w:val="0"/>
        <w:spacing w:line="460" w:lineRule="exact"/>
        <w:ind w:leftChars="0"/>
        <w:jc w:val="both"/>
        <w:rPr>
          <w:rFonts w:eastAsia="標楷體"/>
          <w:b/>
          <w:sz w:val="28"/>
          <w:szCs w:val="28"/>
        </w:rPr>
      </w:pPr>
      <w:r w:rsidRPr="00D55DC6">
        <w:rPr>
          <w:rFonts w:eastAsia="標楷體"/>
          <w:b/>
          <w:sz w:val="28"/>
          <w:szCs w:val="28"/>
        </w:rPr>
        <w:t>觀光土地取得以及開發運用困難</w:t>
      </w:r>
    </w:p>
    <w:p w:rsidR="00934471" w:rsidRPr="00D55DC6" w:rsidRDefault="00934471" w:rsidP="0038165F">
      <w:pPr>
        <w:pStyle w:val="af2"/>
        <w:snapToGrid w:val="0"/>
        <w:spacing w:line="460" w:lineRule="exact"/>
        <w:ind w:leftChars="0" w:left="785"/>
        <w:jc w:val="both"/>
        <w:rPr>
          <w:rFonts w:eastAsia="標楷體"/>
          <w:b/>
          <w:sz w:val="28"/>
          <w:szCs w:val="28"/>
        </w:rPr>
      </w:pPr>
      <w:r w:rsidRPr="00D55DC6">
        <w:rPr>
          <w:rFonts w:eastAsia="標楷體"/>
          <w:sz w:val="28"/>
          <w:szCs w:val="28"/>
        </w:rPr>
        <w:t>北觀國家風景區範圍內共有基隆市主要計畫、基隆市（港口商埠地區）都市計畫、基隆市中山安樂及八斗子地區主要計畫、三芝都市計畫、石門都市計畫、金山都市計畫、萬里都市計畫、北海岸風景特定區計畫、野柳風景特定區計畫以及林口特定區計畫之觀音山保</w:t>
      </w:r>
      <w:r w:rsidRPr="00D55DC6">
        <w:rPr>
          <w:rFonts w:eastAsia="標楷體"/>
          <w:sz w:val="28"/>
          <w:szCs w:val="28"/>
        </w:rPr>
        <w:lastRenderedPageBreak/>
        <w:t>護區</w:t>
      </w:r>
      <w:r w:rsidRPr="00D55DC6">
        <w:rPr>
          <w:rFonts w:eastAsia="標楷體"/>
          <w:sz w:val="28"/>
          <w:szCs w:val="28"/>
        </w:rPr>
        <w:t>(</w:t>
      </w:r>
      <w:r w:rsidRPr="00D55DC6">
        <w:rPr>
          <w:rFonts w:eastAsia="標楷體"/>
          <w:sz w:val="28"/>
          <w:szCs w:val="28"/>
        </w:rPr>
        <w:t>原觀音山風景專用區</w:t>
      </w:r>
      <w:r w:rsidRPr="00D55DC6">
        <w:rPr>
          <w:rFonts w:eastAsia="標楷體"/>
          <w:sz w:val="28"/>
          <w:szCs w:val="28"/>
        </w:rPr>
        <w:t>)</w:t>
      </w:r>
      <w:r w:rsidRPr="00D55DC6">
        <w:rPr>
          <w:rFonts w:eastAsia="標楷體"/>
          <w:sz w:val="28"/>
          <w:szCs w:val="28"/>
        </w:rPr>
        <w:t>等</w:t>
      </w:r>
      <w:r w:rsidRPr="00D55DC6">
        <w:rPr>
          <w:rFonts w:eastAsia="標楷體"/>
          <w:sz w:val="28"/>
          <w:szCs w:val="28"/>
        </w:rPr>
        <w:t>10</w:t>
      </w:r>
      <w:r w:rsidRPr="00D55DC6">
        <w:rPr>
          <w:rFonts w:eastAsia="標楷體"/>
          <w:sz w:val="28"/>
          <w:szCs w:val="28"/>
        </w:rPr>
        <w:t>個都市計畫，另有部份非都市土地。前開都市計畫之訂定皆在國家風景區範圍劃定之前，致國家風景區管理處成立後在觀光土地取得以及開發運用方面較困難。</w:t>
      </w:r>
    </w:p>
    <w:p w:rsidR="00934471" w:rsidRPr="00D55DC6" w:rsidRDefault="00934471" w:rsidP="00DF2F67">
      <w:pPr>
        <w:pStyle w:val="af2"/>
        <w:numPr>
          <w:ilvl w:val="0"/>
          <w:numId w:val="40"/>
        </w:numPr>
        <w:snapToGrid w:val="0"/>
        <w:spacing w:line="460" w:lineRule="exact"/>
        <w:ind w:leftChars="0"/>
        <w:jc w:val="both"/>
        <w:rPr>
          <w:rFonts w:eastAsia="標楷體"/>
          <w:b/>
          <w:sz w:val="28"/>
          <w:szCs w:val="28"/>
        </w:rPr>
      </w:pPr>
      <w:r w:rsidRPr="00D55DC6">
        <w:rPr>
          <w:rFonts w:eastAsia="標楷體"/>
          <w:b/>
          <w:sz w:val="28"/>
          <w:szCs w:val="28"/>
        </w:rPr>
        <w:t>遊憩區服務空間與設施提升需求</w:t>
      </w:r>
    </w:p>
    <w:p w:rsidR="00934471" w:rsidRPr="00D55DC6" w:rsidRDefault="00934471" w:rsidP="0038165F">
      <w:pPr>
        <w:pStyle w:val="af2"/>
        <w:snapToGrid w:val="0"/>
        <w:spacing w:line="460" w:lineRule="exact"/>
        <w:ind w:leftChars="0" w:left="785"/>
        <w:jc w:val="both"/>
        <w:rPr>
          <w:rFonts w:eastAsia="標楷體"/>
          <w:sz w:val="28"/>
          <w:szCs w:val="28"/>
        </w:rPr>
      </w:pPr>
      <w:r w:rsidRPr="00D55DC6">
        <w:rPr>
          <w:rFonts w:eastAsia="標楷體"/>
          <w:sz w:val="28"/>
          <w:szCs w:val="28"/>
        </w:rPr>
        <w:t>近年北觀國家風景區遊客過度集中於假日及部份遊憩區景點，例如：野柳遊憩區遊客量逐年倍增，遊客組成也大幅轉變，衍生服務空間不足，硬體建設亟待調整與改善；故以年遊客量推估為觀光服務設施檢討依據，規劃野柳核心區整體環境及公共設施改善，達到觀光永續經營理念。</w:t>
      </w:r>
    </w:p>
    <w:p w:rsidR="00934471" w:rsidRPr="00D55DC6" w:rsidRDefault="00934471" w:rsidP="00DF2F67">
      <w:pPr>
        <w:pStyle w:val="af2"/>
        <w:numPr>
          <w:ilvl w:val="0"/>
          <w:numId w:val="40"/>
        </w:numPr>
        <w:snapToGrid w:val="0"/>
        <w:spacing w:line="460" w:lineRule="exact"/>
        <w:ind w:leftChars="0"/>
        <w:jc w:val="both"/>
        <w:rPr>
          <w:rFonts w:eastAsia="標楷體"/>
          <w:b/>
          <w:sz w:val="28"/>
          <w:szCs w:val="28"/>
        </w:rPr>
      </w:pPr>
      <w:r w:rsidRPr="00D55DC6">
        <w:rPr>
          <w:rFonts w:eastAsia="標楷體"/>
          <w:b/>
          <w:sz w:val="28"/>
          <w:szCs w:val="28"/>
        </w:rPr>
        <w:t>管理處擴大經營管理範圍至基隆市</w:t>
      </w:r>
    </w:p>
    <w:p w:rsidR="00934471" w:rsidRPr="00D55DC6" w:rsidRDefault="00934471" w:rsidP="0038165F">
      <w:pPr>
        <w:pStyle w:val="af2"/>
        <w:snapToGrid w:val="0"/>
        <w:spacing w:line="460" w:lineRule="exact"/>
        <w:ind w:leftChars="0" w:left="785"/>
        <w:jc w:val="both"/>
        <w:rPr>
          <w:rFonts w:eastAsia="標楷體"/>
          <w:sz w:val="28"/>
          <w:szCs w:val="28"/>
        </w:rPr>
      </w:pPr>
      <w:r w:rsidRPr="00D55DC6">
        <w:rPr>
          <w:rFonts w:eastAsia="標楷體"/>
          <w:sz w:val="28"/>
          <w:szCs w:val="28"/>
        </w:rPr>
        <w:t>隨北觀國家風景區擴大經營管理範圍至基隆市，未來將納入基隆市情人湖、外木山海岸及和平島地區等遊憩據點，新增陸域面積</w:t>
      </w:r>
      <w:r w:rsidRPr="00D55DC6">
        <w:rPr>
          <w:rFonts w:eastAsia="標楷體"/>
          <w:sz w:val="28"/>
          <w:szCs w:val="28"/>
        </w:rPr>
        <w:t>487</w:t>
      </w:r>
      <w:r w:rsidRPr="00D55DC6">
        <w:rPr>
          <w:rFonts w:eastAsia="標楷體"/>
          <w:sz w:val="28"/>
          <w:szCs w:val="28"/>
        </w:rPr>
        <w:t>公頃，海域面積</w:t>
      </w:r>
      <w:r w:rsidRPr="00D55DC6">
        <w:rPr>
          <w:rFonts w:eastAsia="標楷體"/>
          <w:sz w:val="28"/>
          <w:szCs w:val="28"/>
        </w:rPr>
        <w:t>243</w:t>
      </w:r>
      <w:r w:rsidRPr="00D55DC6">
        <w:rPr>
          <w:rFonts w:eastAsia="標楷體"/>
          <w:sz w:val="28"/>
          <w:szCs w:val="28"/>
        </w:rPr>
        <w:t>公頃；尤其基隆港，具有國際海運之優勢，國際觀光旅客搭乘郵輪抵台之主要門戶，未來北海岸遊憩區帶狀串連，需提供更完善之旅遊服務及多元且具深度之遊程。</w:t>
      </w:r>
    </w:p>
    <w:p w:rsidR="00CA440C" w:rsidRPr="00D55DC6" w:rsidRDefault="00CA440C" w:rsidP="0038165F">
      <w:pPr>
        <w:pStyle w:val="af2"/>
        <w:snapToGrid w:val="0"/>
        <w:spacing w:line="460" w:lineRule="exact"/>
        <w:ind w:leftChars="0" w:left="785"/>
        <w:jc w:val="both"/>
        <w:rPr>
          <w:rFonts w:eastAsia="標楷體"/>
          <w:sz w:val="28"/>
          <w:szCs w:val="28"/>
        </w:rPr>
      </w:pPr>
    </w:p>
    <w:p w:rsidR="00934471" w:rsidRPr="00D55DC6" w:rsidRDefault="00934471" w:rsidP="00DF2F67">
      <w:pPr>
        <w:pStyle w:val="af2"/>
        <w:numPr>
          <w:ilvl w:val="0"/>
          <w:numId w:val="47"/>
        </w:numPr>
        <w:snapToGrid w:val="0"/>
        <w:spacing w:line="460" w:lineRule="exact"/>
        <w:ind w:leftChars="0"/>
        <w:jc w:val="both"/>
        <w:rPr>
          <w:rFonts w:eastAsia="標楷體"/>
          <w:b/>
          <w:sz w:val="28"/>
          <w:szCs w:val="28"/>
        </w:rPr>
      </w:pPr>
      <w:r w:rsidRPr="00D55DC6">
        <w:rPr>
          <w:rFonts w:eastAsia="標楷體"/>
          <w:b/>
          <w:sz w:val="28"/>
          <w:szCs w:val="28"/>
        </w:rPr>
        <w:t>社會參與及政策溝通情形</w:t>
      </w:r>
    </w:p>
    <w:p w:rsidR="00934471" w:rsidRPr="00D55DC6" w:rsidRDefault="00934471" w:rsidP="00DF2F67">
      <w:pPr>
        <w:pStyle w:val="af2"/>
        <w:numPr>
          <w:ilvl w:val="0"/>
          <w:numId w:val="41"/>
        </w:numPr>
        <w:snapToGrid w:val="0"/>
        <w:spacing w:line="460" w:lineRule="exact"/>
        <w:ind w:leftChars="0"/>
        <w:jc w:val="both"/>
        <w:rPr>
          <w:rFonts w:eastAsia="標楷體"/>
          <w:b/>
          <w:sz w:val="28"/>
          <w:szCs w:val="28"/>
        </w:rPr>
      </w:pPr>
      <w:r w:rsidRPr="00D55DC6">
        <w:rPr>
          <w:rFonts w:eastAsia="標楷體"/>
          <w:b/>
          <w:sz w:val="28"/>
          <w:szCs w:val="28"/>
        </w:rPr>
        <w:t>與地方政府協商平臺</w:t>
      </w:r>
    </w:p>
    <w:p w:rsidR="00934471" w:rsidRPr="00D55DC6" w:rsidRDefault="00934471" w:rsidP="0038165F">
      <w:pPr>
        <w:pStyle w:val="af2"/>
        <w:snapToGrid w:val="0"/>
        <w:spacing w:line="460" w:lineRule="exact"/>
        <w:ind w:leftChars="0" w:left="785"/>
        <w:jc w:val="both"/>
        <w:rPr>
          <w:rFonts w:eastAsia="標楷體"/>
          <w:sz w:val="28"/>
          <w:szCs w:val="28"/>
        </w:rPr>
      </w:pPr>
      <w:r w:rsidRPr="00D55DC6">
        <w:rPr>
          <w:rFonts w:eastAsia="標楷體"/>
          <w:sz w:val="28"/>
          <w:szCs w:val="28"/>
        </w:rPr>
        <w:t>新北市政府為推動海岸地區觀光，不定期邀集轄內國家風景區相關機關召開「新北市海岸地區景觀及旅遊推動協調會報」，研商海岸地區觀光推動相關事宜。另有關區域計畫擬定及都市計畫通盤檢討等案件會議，地方政府主管機關新北市政府也會邀請管理處列席提供意見。</w:t>
      </w:r>
    </w:p>
    <w:p w:rsidR="00934471" w:rsidRPr="00D55DC6" w:rsidRDefault="00934471" w:rsidP="00DF2F67">
      <w:pPr>
        <w:pStyle w:val="af2"/>
        <w:numPr>
          <w:ilvl w:val="0"/>
          <w:numId w:val="41"/>
        </w:numPr>
        <w:snapToGrid w:val="0"/>
        <w:spacing w:line="460" w:lineRule="exact"/>
        <w:ind w:leftChars="0"/>
        <w:jc w:val="both"/>
        <w:rPr>
          <w:rFonts w:eastAsia="標楷體"/>
          <w:b/>
          <w:sz w:val="28"/>
          <w:szCs w:val="28"/>
        </w:rPr>
      </w:pPr>
      <w:r w:rsidRPr="00D55DC6">
        <w:rPr>
          <w:rFonts w:eastAsia="標楷體"/>
          <w:b/>
          <w:sz w:val="28"/>
          <w:szCs w:val="28"/>
        </w:rPr>
        <w:t>藉自然保育與經濟發展鏈結，取得在地民眾認同感</w:t>
      </w:r>
    </w:p>
    <w:p w:rsidR="00934471" w:rsidRPr="00D55DC6" w:rsidRDefault="00934471" w:rsidP="0038165F">
      <w:pPr>
        <w:pStyle w:val="af2"/>
        <w:snapToGrid w:val="0"/>
        <w:spacing w:line="460" w:lineRule="exact"/>
        <w:ind w:leftChars="0" w:left="785"/>
        <w:jc w:val="both"/>
        <w:rPr>
          <w:rFonts w:eastAsia="標楷體"/>
          <w:sz w:val="28"/>
          <w:szCs w:val="28"/>
        </w:rPr>
      </w:pPr>
      <w:r w:rsidRPr="00D55DC6">
        <w:rPr>
          <w:rFonts w:eastAsia="標楷體"/>
          <w:sz w:val="28"/>
          <w:szCs w:val="28"/>
        </w:rPr>
        <w:t>為增加在地民眾之參與感及認同感，在重要觀光景區整體發展規劃時，以座談會或說明會形式獲取在地民眾意見，邀請區長、里長、社區發展協會、學校、漁會及寺廟等地方意見領袖參加，凝聚共識，攜手發展區域觀光產業。並針對重要地質保育及觀光資源議題，廣徵專家學者意見並辦理民意調查作為管理依據。</w:t>
      </w:r>
    </w:p>
    <w:p w:rsidR="00CA440C" w:rsidRPr="00D55DC6" w:rsidRDefault="00CA440C" w:rsidP="0038165F">
      <w:pPr>
        <w:pStyle w:val="af2"/>
        <w:snapToGrid w:val="0"/>
        <w:spacing w:line="460" w:lineRule="exact"/>
        <w:ind w:leftChars="0" w:left="785"/>
        <w:jc w:val="both"/>
        <w:rPr>
          <w:rFonts w:eastAsia="標楷體"/>
          <w:sz w:val="28"/>
          <w:szCs w:val="28"/>
        </w:rPr>
      </w:pPr>
    </w:p>
    <w:p w:rsidR="00934471" w:rsidRPr="00D55DC6" w:rsidRDefault="00934471" w:rsidP="0038165F">
      <w:pPr>
        <w:pStyle w:val="a"/>
        <w:ind w:left="709" w:hanging="709"/>
        <w:rPr>
          <w:b/>
        </w:rPr>
      </w:pPr>
      <w:bookmarkStart w:id="74" w:name="_Toc407181652"/>
      <w:r w:rsidRPr="00D55DC6">
        <w:rPr>
          <w:b/>
        </w:rPr>
        <w:lastRenderedPageBreak/>
        <w:t>計畫目標</w:t>
      </w:r>
      <w:bookmarkEnd w:id="74"/>
    </w:p>
    <w:p w:rsidR="00934471" w:rsidRPr="00D55DC6" w:rsidRDefault="00934471" w:rsidP="00DF2F67">
      <w:pPr>
        <w:pStyle w:val="af2"/>
        <w:numPr>
          <w:ilvl w:val="0"/>
          <w:numId w:val="48"/>
        </w:numPr>
        <w:snapToGrid w:val="0"/>
        <w:spacing w:line="460" w:lineRule="exact"/>
        <w:ind w:leftChars="0"/>
        <w:jc w:val="both"/>
        <w:rPr>
          <w:rFonts w:eastAsia="標楷體"/>
          <w:b/>
          <w:sz w:val="28"/>
          <w:szCs w:val="28"/>
        </w:rPr>
      </w:pPr>
      <w:r w:rsidRPr="00D55DC6">
        <w:rPr>
          <w:rFonts w:eastAsia="標楷體"/>
          <w:b/>
          <w:sz w:val="28"/>
          <w:szCs w:val="28"/>
        </w:rPr>
        <w:t>目標說明</w:t>
      </w:r>
    </w:p>
    <w:p w:rsidR="00934471" w:rsidRPr="00D55DC6" w:rsidRDefault="00934471" w:rsidP="00DF2F67">
      <w:pPr>
        <w:pStyle w:val="af2"/>
        <w:numPr>
          <w:ilvl w:val="0"/>
          <w:numId w:val="39"/>
        </w:numPr>
        <w:snapToGrid w:val="0"/>
        <w:spacing w:line="460" w:lineRule="exact"/>
        <w:ind w:leftChars="0"/>
        <w:jc w:val="both"/>
        <w:rPr>
          <w:rFonts w:eastAsia="標楷體"/>
          <w:sz w:val="28"/>
          <w:szCs w:val="28"/>
        </w:rPr>
      </w:pPr>
      <w:r w:rsidRPr="00D55DC6">
        <w:rPr>
          <w:rFonts w:eastAsia="標楷體"/>
          <w:sz w:val="28"/>
          <w:szCs w:val="28"/>
        </w:rPr>
        <w:t>建立「幸福北海岸．樂活觀音山」發展目標，以「設施減量」、「環境優先」、「國際水準」與「便利遊客」為建設規劃核心，營造富具「生態、安全、人性、友善」之優質旅遊環境；型塑聚落風貌，展現地域特色，帶動地方觀光產業發展，朝向國際級水準努力，建立北觀國家風景區完善的遊憩系統，塑造一個具國際級之觀光遊憩區。</w:t>
      </w:r>
    </w:p>
    <w:p w:rsidR="00934471" w:rsidRPr="00D55DC6" w:rsidRDefault="00934471" w:rsidP="00DF2F67">
      <w:pPr>
        <w:pStyle w:val="af2"/>
        <w:numPr>
          <w:ilvl w:val="0"/>
          <w:numId w:val="39"/>
        </w:numPr>
        <w:snapToGrid w:val="0"/>
        <w:spacing w:line="460" w:lineRule="exact"/>
        <w:ind w:leftChars="177" w:left="708" w:hangingChars="101" w:hanging="283"/>
        <w:jc w:val="both"/>
        <w:rPr>
          <w:rFonts w:eastAsia="標楷體"/>
          <w:sz w:val="28"/>
          <w:szCs w:val="28"/>
        </w:rPr>
      </w:pPr>
      <w:r w:rsidRPr="00D55DC6">
        <w:rPr>
          <w:rFonts w:eastAsia="標楷體"/>
          <w:sz w:val="28"/>
          <w:szCs w:val="28"/>
        </w:rPr>
        <w:t>賡續推動北海岸地質公園國際化與行銷，加入世界地質公園網絡</w:t>
      </w:r>
      <w:r w:rsidRPr="00D55DC6">
        <w:rPr>
          <w:sz w:val="28"/>
          <w:szCs w:val="28"/>
        </w:rPr>
        <w:t>，</w:t>
      </w:r>
      <w:r w:rsidRPr="00D55DC6">
        <w:rPr>
          <w:rFonts w:eastAsia="標楷體"/>
          <w:sz w:val="28"/>
          <w:szCs w:val="28"/>
        </w:rPr>
        <w:t>加強自然環境地景及教育宣導。以旅遊線發展之思維，整合鄰近陸海空之遊憩、人文、產業、生態資源，形成大台北近郊最佳旅遊地。</w:t>
      </w:r>
    </w:p>
    <w:p w:rsidR="00934471" w:rsidRPr="00D55DC6" w:rsidRDefault="00934471" w:rsidP="00DF2F67">
      <w:pPr>
        <w:pStyle w:val="af2"/>
        <w:numPr>
          <w:ilvl w:val="0"/>
          <w:numId w:val="39"/>
        </w:numPr>
        <w:snapToGrid w:val="0"/>
        <w:spacing w:line="460" w:lineRule="exact"/>
        <w:ind w:leftChars="0"/>
        <w:jc w:val="both"/>
        <w:rPr>
          <w:rFonts w:eastAsia="標楷體"/>
          <w:sz w:val="28"/>
          <w:szCs w:val="28"/>
        </w:rPr>
      </w:pPr>
      <w:r w:rsidRPr="00D55DC6">
        <w:rPr>
          <w:rFonts w:eastAsia="標楷體"/>
          <w:sz w:val="28"/>
          <w:szCs w:val="28"/>
        </w:rPr>
        <w:t>遊客人數由</w:t>
      </w:r>
      <w:r w:rsidRPr="00D55DC6">
        <w:rPr>
          <w:rFonts w:eastAsia="標楷體"/>
          <w:sz w:val="28"/>
          <w:szCs w:val="28"/>
        </w:rPr>
        <w:t>105</w:t>
      </w:r>
      <w:r w:rsidRPr="00D55DC6">
        <w:rPr>
          <w:rFonts w:eastAsia="標楷體"/>
          <w:sz w:val="28"/>
          <w:szCs w:val="28"/>
        </w:rPr>
        <w:t>年</w:t>
      </w:r>
      <w:r w:rsidRPr="00D55DC6">
        <w:rPr>
          <w:rFonts w:eastAsia="標楷體"/>
          <w:sz w:val="28"/>
          <w:szCs w:val="28"/>
        </w:rPr>
        <w:t>540</w:t>
      </w:r>
      <w:r w:rsidRPr="00D55DC6">
        <w:rPr>
          <w:rFonts w:eastAsia="標楷體"/>
          <w:sz w:val="28"/>
          <w:szCs w:val="28"/>
        </w:rPr>
        <w:t>萬次提升至</w:t>
      </w:r>
      <w:r w:rsidRPr="00D55DC6">
        <w:rPr>
          <w:rFonts w:eastAsia="標楷體"/>
          <w:sz w:val="28"/>
          <w:szCs w:val="28"/>
        </w:rPr>
        <w:t>108</w:t>
      </w:r>
      <w:r w:rsidRPr="00D55DC6">
        <w:rPr>
          <w:rFonts w:eastAsia="標楷體"/>
          <w:sz w:val="28"/>
          <w:szCs w:val="28"/>
        </w:rPr>
        <w:t>年</w:t>
      </w:r>
      <w:r w:rsidRPr="00D55DC6">
        <w:rPr>
          <w:rFonts w:eastAsia="標楷體"/>
          <w:sz w:val="28"/>
          <w:szCs w:val="28"/>
        </w:rPr>
        <w:t>592</w:t>
      </w:r>
      <w:r w:rsidRPr="00D55DC6">
        <w:rPr>
          <w:rFonts w:eastAsia="標楷體"/>
          <w:sz w:val="28"/>
          <w:szCs w:val="28"/>
        </w:rPr>
        <w:t>萬人次，人數成長</w:t>
      </w:r>
      <w:r w:rsidRPr="00D55DC6">
        <w:rPr>
          <w:rFonts w:eastAsia="標楷體"/>
          <w:sz w:val="28"/>
          <w:szCs w:val="28"/>
        </w:rPr>
        <w:t>9.63%</w:t>
      </w:r>
      <w:r w:rsidRPr="00D55DC6">
        <w:rPr>
          <w:rFonts w:eastAsia="標楷體"/>
          <w:sz w:val="28"/>
          <w:szCs w:val="28"/>
        </w:rPr>
        <w:t>。</w:t>
      </w:r>
    </w:p>
    <w:p w:rsidR="00934471" w:rsidRPr="00D55DC6" w:rsidRDefault="00934471" w:rsidP="00DF2F67">
      <w:pPr>
        <w:pStyle w:val="af2"/>
        <w:numPr>
          <w:ilvl w:val="0"/>
          <w:numId w:val="39"/>
        </w:numPr>
        <w:snapToGrid w:val="0"/>
        <w:spacing w:line="460" w:lineRule="exact"/>
        <w:ind w:leftChars="177" w:left="708" w:hangingChars="101" w:hanging="283"/>
        <w:jc w:val="both"/>
        <w:rPr>
          <w:rFonts w:eastAsia="標楷體"/>
          <w:sz w:val="28"/>
          <w:szCs w:val="28"/>
        </w:rPr>
      </w:pPr>
      <w:r w:rsidRPr="00D55DC6">
        <w:rPr>
          <w:rFonts w:eastAsia="標楷體"/>
          <w:sz w:val="28"/>
          <w:szCs w:val="28"/>
        </w:rPr>
        <w:t>呼應「設施減量」、「環境優先」，持續就經管範圍環境復舊綠化，綠化面積由</w:t>
      </w:r>
      <w:r w:rsidRPr="00D55DC6">
        <w:rPr>
          <w:rFonts w:eastAsia="標楷體"/>
          <w:sz w:val="28"/>
          <w:szCs w:val="28"/>
        </w:rPr>
        <w:t>105</w:t>
      </w:r>
      <w:r w:rsidRPr="00D55DC6">
        <w:rPr>
          <w:rFonts w:eastAsia="標楷體"/>
          <w:sz w:val="28"/>
          <w:szCs w:val="28"/>
        </w:rPr>
        <w:t>年</w:t>
      </w:r>
      <w:r w:rsidRPr="00D55DC6">
        <w:rPr>
          <w:rFonts w:eastAsia="標楷體"/>
          <w:sz w:val="28"/>
          <w:szCs w:val="28"/>
        </w:rPr>
        <w:t>1,750</w:t>
      </w:r>
      <w:r w:rsidRPr="00D55DC6">
        <w:rPr>
          <w:rFonts w:eastAsia="標楷體"/>
          <w:sz w:val="28"/>
          <w:szCs w:val="28"/>
        </w:rPr>
        <w:t>平方公尺提升至</w:t>
      </w:r>
      <w:r w:rsidRPr="00D55DC6">
        <w:rPr>
          <w:rFonts w:eastAsia="標楷體"/>
          <w:sz w:val="28"/>
          <w:szCs w:val="28"/>
        </w:rPr>
        <w:t>108</w:t>
      </w:r>
      <w:r w:rsidRPr="00D55DC6">
        <w:rPr>
          <w:rFonts w:eastAsia="標楷體"/>
          <w:sz w:val="28"/>
          <w:szCs w:val="28"/>
        </w:rPr>
        <w:t>年</w:t>
      </w:r>
      <w:r w:rsidRPr="00D55DC6">
        <w:rPr>
          <w:rFonts w:eastAsia="標楷體"/>
          <w:sz w:val="28"/>
          <w:szCs w:val="28"/>
        </w:rPr>
        <w:t>2,100</w:t>
      </w:r>
      <w:r w:rsidRPr="00D55DC6">
        <w:rPr>
          <w:rFonts w:eastAsia="標楷體"/>
          <w:sz w:val="28"/>
          <w:szCs w:val="28"/>
        </w:rPr>
        <w:t>平方公尺。</w:t>
      </w:r>
    </w:p>
    <w:p w:rsidR="00CA440C" w:rsidRPr="00D55DC6" w:rsidRDefault="00CA440C" w:rsidP="00CA440C">
      <w:pPr>
        <w:pStyle w:val="af2"/>
        <w:snapToGrid w:val="0"/>
        <w:spacing w:line="460" w:lineRule="exact"/>
        <w:ind w:leftChars="0" w:left="708"/>
        <w:jc w:val="both"/>
        <w:rPr>
          <w:rFonts w:eastAsia="標楷體"/>
          <w:sz w:val="28"/>
          <w:szCs w:val="28"/>
        </w:rPr>
      </w:pPr>
    </w:p>
    <w:p w:rsidR="00934471" w:rsidRPr="00D55DC6" w:rsidRDefault="00934471" w:rsidP="00DF2F67">
      <w:pPr>
        <w:pStyle w:val="af2"/>
        <w:numPr>
          <w:ilvl w:val="0"/>
          <w:numId w:val="48"/>
        </w:numPr>
        <w:snapToGrid w:val="0"/>
        <w:spacing w:line="460" w:lineRule="exact"/>
        <w:ind w:leftChars="0"/>
        <w:jc w:val="both"/>
        <w:rPr>
          <w:rFonts w:eastAsia="標楷體"/>
          <w:b/>
          <w:sz w:val="28"/>
          <w:szCs w:val="28"/>
        </w:rPr>
      </w:pPr>
      <w:r w:rsidRPr="00D55DC6">
        <w:rPr>
          <w:rFonts w:eastAsia="標楷體"/>
          <w:b/>
          <w:sz w:val="28"/>
          <w:szCs w:val="28"/>
        </w:rPr>
        <w:t>達成目標之限制</w:t>
      </w:r>
    </w:p>
    <w:p w:rsidR="00934471" w:rsidRPr="00D55DC6" w:rsidRDefault="00934471" w:rsidP="00DF2F67">
      <w:pPr>
        <w:pStyle w:val="af2"/>
        <w:numPr>
          <w:ilvl w:val="0"/>
          <w:numId w:val="45"/>
        </w:numPr>
        <w:snapToGrid w:val="0"/>
        <w:spacing w:line="460" w:lineRule="exact"/>
        <w:ind w:leftChars="0"/>
        <w:jc w:val="both"/>
        <w:rPr>
          <w:rFonts w:eastAsia="標楷體"/>
          <w:sz w:val="28"/>
          <w:szCs w:val="28"/>
        </w:rPr>
      </w:pPr>
      <w:r w:rsidRPr="00D55DC6">
        <w:rPr>
          <w:rFonts w:eastAsia="標楷體"/>
          <w:sz w:val="28"/>
          <w:szCs w:val="28"/>
        </w:rPr>
        <w:t>觀光發展管理事權及觀念待整合：遊憩景點開發建設涉眾多公部門權責單位，需逐案透過協調溝通，統合相關權責單位，達發展共識。若有未能解決之問題，將提報行政院觀光發展推動委員會協助解決；此外，民眾及業者對觀光發展多仍有本位觀念與認知落差，且現有住民對既得利益的堅持，常需耗費溝通協調時程，影響觀光發展步調。</w:t>
      </w:r>
    </w:p>
    <w:p w:rsidR="00CA440C" w:rsidRPr="00D55DC6" w:rsidRDefault="00934471" w:rsidP="00CA440C">
      <w:pPr>
        <w:pStyle w:val="af2"/>
        <w:numPr>
          <w:ilvl w:val="0"/>
          <w:numId w:val="45"/>
        </w:numPr>
        <w:snapToGrid w:val="0"/>
        <w:spacing w:line="460" w:lineRule="exact"/>
        <w:ind w:leftChars="177" w:left="848" w:hangingChars="151" w:hanging="423"/>
        <w:jc w:val="both"/>
        <w:rPr>
          <w:rFonts w:eastAsia="標楷體"/>
          <w:sz w:val="28"/>
          <w:szCs w:val="28"/>
        </w:rPr>
      </w:pPr>
      <w:r w:rsidRPr="00D55DC6">
        <w:rPr>
          <w:rFonts w:eastAsia="標楷體"/>
          <w:sz w:val="28"/>
          <w:szCs w:val="28"/>
        </w:rPr>
        <w:t>海域與濱海陸地地區開發限制：</w:t>
      </w:r>
      <w:r w:rsidR="00CA440C" w:rsidRPr="00D55DC6">
        <w:rPr>
          <w:rFonts w:eastAsia="標楷體"/>
          <w:sz w:val="28"/>
          <w:szCs w:val="28"/>
        </w:rPr>
        <w:t>依海岸法定義，海域地區分為濱海陸地及近岸海域二類，北海岸風景區範圍均在其範圍內，未來將依相關規定，朝濱海生態觀光發展。</w:t>
      </w:r>
    </w:p>
    <w:p w:rsidR="00934471" w:rsidRPr="00D55DC6" w:rsidRDefault="00934471" w:rsidP="00DF2F67">
      <w:pPr>
        <w:pStyle w:val="af2"/>
        <w:numPr>
          <w:ilvl w:val="0"/>
          <w:numId w:val="45"/>
        </w:numPr>
        <w:snapToGrid w:val="0"/>
        <w:spacing w:line="460" w:lineRule="exact"/>
        <w:ind w:leftChars="177" w:left="848" w:hangingChars="151" w:hanging="423"/>
        <w:jc w:val="both"/>
        <w:rPr>
          <w:rFonts w:eastAsia="標楷體"/>
          <w:sz w:val="28"/>
          <w:szCs w:val="28"/>
        </w:rPr>
      </w:pPr>
      <w:r w:rsidRPr="00D55DC6">
        <w:rPr>
          <w:rFonts w:eastAsia="標楷體"/>
          <w:sz w:val="28"/>
          <w:szCs w:val="28"/>
        </w:rPr>
        <w:t>建設用地取得限制：北觀國家風景區部分土地位處一級環境敏感區，如保安林、特定水土保持區、古蹟遺址及沿海保護區－自然保護區等，觀光設施開發受限，有多層主管機關管制，存在多重發展限制，針對有潛力發展據點，管理處除尋求解決之道外，發展上也將以環</w:t>
      </w:r>
      <w:r w:rsidRPr="00D55DC6">
        <w:rPr>
          <w:rFonts w:eastAsia="標楷體"/>
          <w:sz w:val="28"/>
          <w:szCs w:val="28"/>
        </w:rPr>
        <w:lastRenderedPageBreak/>
        <w:t>境教育為優先，兼顧觀光與保育，另管理處管有之土地甚少，以公有土地為優先發展，並進行撥用作業，對於所需私有地，將配合建設時程，辦理取得作業，因土地取得的難易度將影響整體開發時程，需提早規劃建設期程，並需與相關主管機關溝通協調。</w:t>
      </w:r>
    </w:p>
    <w:p w:rsidR="00934471" w:rsidRPr="00D55DC6" w:rsidRDefault="00934471" w:rsidP="00DF2F67">
      <w:pPr>
        <w:pStyle w:val="af2"/>
        <w:numPr>
          <w:ilvl w:val="0"/>
          <w:numId w:val="45"/>
        </w:numPr>
        <w:snapToGrid w:val="0"/>
        <w:spacing w:line="460" w:lineRule="exact"/>
        <w:ind w:leftChars="0"/>
        <w:jc w:val="both"/>
        <w:rPr>
          <w:rFonts w:eastAsia="標楷體"/>
          <w:sz w:val="28"/>
          <w:szCs w:val="28"/>
        </w:rPr>
      </w:pPr>
      <w:r w:rsidRPr="00D55DC6">
        <w:rPr>
          <w:rFonts w:eastAsia="標楷體"/>
          <w:sz w:val="28"/>
          <w:szCs w:val="28"/>
        </w:rPr>
        <w:t>自然地理環境限制：部分熱門景點因發展腹地有限，遊客量、交通易產生擁擠現象，尤以野柳風景區情況最為嚴重，未來結合基隆和平島地質公園，分散遊客旅遊動線，減緩自然地景之壓力；另因部分地區水源略有不足、缺乏污水處理設施等，均可能導致觀光發展受限，宜針對環境本質推動適宜性的規劃建設，並作適當的承載量規劃及管制。</w:t>
      </w:r>
    </w:p>
    <w:p w:rsidR="00934471" w:rsidRPr="00D55DC6" w:rsidRDefault="00934471" w:rsidP="00DF2F67">
      <w:pPr>
        <w:pStyle w:val="af2"/>
        <w:numPr>
          <w:ilvl w:val="0"/>
          <w:numId w:val="45"/>
        </w:numPr>
        <w:snapToGrid w:val="0"/>
        <w:spacing w:line="460" w:lineRule="exact"/>
        <w:ind w:leftChars="0"/>
        <w:jc w:val="both"/>
        <w:rPr>
          <w:rFonts w:eastAsia="標楷體"/>
          <w:sz w:val="28"/>
          <w:szCs w:val="28"/>
        </w:rPr>
      </w:pPr>
      <w:r w:rsidRPr="00D55DC6">
        <w:rPr>
          <w:rFonts w:eastAsia="標楷體"/>
          <w:sz w:val="28"/>
          <w:szCs w:val="28"/>
        </w:rPr>
        <w:t>開發行為法規限制：部分開發案需辦理都市計畫變更、非都市土地變更或環境影響評估，因審議過程繁複，時程不易掌握，常影響景點之開發建設。將寬列計畫推動期程，並積極推動相關應辦事項。</w:t>
      </w:r>
    </w:p>
    <w:p w:rsidR="00C336E5" w:rsidRPr="00D55DC6" w:rsidRDefault="00DF3286" w:rsidP="00C336E5">
      <w:pPr>
        <w:pStyle w:val="af2"/>
        <w:numPr>
          <w:ilvl w:val="0"/>
          <w:numId w:val="45"/>
        </w:numPr>
        <w:snapToGrid w:val="0"/>
        <w:spacing w:line="460" w:lineRule="exact"/>
        <w:ind w:leftChars="0"/>
        <w:jc w:val="both"/>
        <w:rPr>
          <w:rFonts w:eastAsia="標楷體"/>
          <w:sz w:val="28"/>
          <w:szCs w:val="28"/>
        </w:rPr>
      </w:pPr>
      <w:r w:rsidRPr="00D55DC6">
        <w:rPr>
          <w:rFonts w:eastAsia="標楷體" w:hint="eastAsia"/>
          <w:sz w:val="28"/>
          <w:szCs w:val="28"/>
        </w:rPr>
        <w:t>經管</w:t>
      </w:r>
      <w:r w:rsidR="00C336E5" w:rsidRPr="00D55DC6">
        <w:rPr>
          <w:rFonts w:eastAsia="標楷體" w:hint="eastAsia"/>
          <w:sz w:val="28"/>
          <w:szCs w:val="28"/>
        </w:rPr>
        <w:t>範圍擴大</w:t>
      </w:r>
      <w:r w:rsidRPr="00D55DC6">
        <w:rPr>
          <w:rFonts w:eastAsia="標楷體" w:hint="eastAsia"/>
          <w:sz w:val="28"/>
          <w:szCs w:val="28"/>
        </w:rPr>
        <w:t>但人力須逐步到位</w:t>
      </w:r>
      <w:r w:rsidR="00C336E5" w:rsidRPr="00D55DC6">
        <w:rPr>
          <w:rFonts w:eastAsia="標楷體" w:hint="eastAsia"/>
          <w:sz w:val="28"/>
          <w:szCs w:val="28"/>
        </w:rPr>
        <w:t>：北觀國家風景區經營管理範圍調整後，考量擴大範圍據點眾多，攤販問題及海岸線增加</w:t>
      </w:r>
      <w:r w:rsidR="00C336E5" w:rsidRPr="00D55DC6">
        <w:rPr>
          <w:rFonts w:eastAsia="標楷體" w:hint="eastAsia"/>
          <w:sz w:val="28"/>
          <w:szCs w:val="28"/>
        </w:rPr>
        <w:t>1/5</w:t>
      </w:r>
      <w:r w:rsidR="00C336E5" w:rsidRPr="00D55DC6">
        <w:rPr>
          <w:rFonts w:eastAsia="標楷體" w:hint="eastAsia"/>
          <w:sz w:val="28"/>
          <w:szCs w:val="28"/>
        </w:rPr>
        <w:t>，需增設</w:t>
      </w:r>
      <w:r w:rsidR="00C336E5" w:rsidRPr="00D55DC6">
        <w:rPr>
          <w:rFonts w:eastAsia="標楷體" w:hint="eastAsia"/>
          <w:sz w:val="28"/>
          <w:szCs w:val="28"/>
        </w:rPr>
        <w:t>1</w:t>
      </w:r>
      <w:r w:rsidR="00C336E5" w:rsidRPr="00D55DC6">
        <w:rPr>
          <w:rFonts w:eastAsia="標楷體" w:hint="eastAsia"/>
          <w:sz w:val="28"/>
          <w:szCs w:val="28"/>
        </w:rPr>
        <w:t>處管理站並增加</w:t>
      </w:r>
      <w:r w:rsidR="00C336E5" w:rsidRPr="00D55DC6">
        <w:rPr>
          <w:rFonts w:eastAsia="標楷體" w:hint="eastAsia"/>
          <w:sz w:val="28"/>
          <w:szCs w:val="28"/>
        </w:rPr>
        <w:t>2</w:t>
      </w:r>
      <w:r w:rsidR="00C336E5" w:rsidRPr="00D55DC6">
        <w:rPr>
          <w:rFonts w:eastAsia="標楷體" w:hint="eastAsia"/>
          <w:sz w:val="28"/>
          <w:szCs w:val="28"/>
        </w:rPr>
        <w:t>名正職專業人力及</w:t>
      </w:r>
      <w:r w:rsidR="00C336E5" w:rsidRPr="00D55DC6">
        <w:rPr>
          <w:rFonts w:eastAsia="標楷體" w:hint="eastAsia"/>
          <w:sz w:val="28"/>
          <w:szCs w:val="28"/>
        </w:rPr>
        <w:t>3-4</w:t>
      </w:r>
      <w:r w:rsidR="00C336E5" w:rsidRPr="00D55DC6">
        <w:rPr>
          <w:rFonts w:eastAsia="標楷體" w:hint="eastAsia"/>
          <w:sz w:val="28"/>
          <w:szCs w:val="28"/>
        </w:rPr>
        <w:t>名行政人力，雖依「中央政府機關總員額法」及「中央政府機關員額管理辦法」規定，屬非新設機關，不</w:t>
      </w:r>
      <w:r w:rsidRPr="00D55DC6">
        <w:rPr>
          <w:rFonts w:eastAsia="標楷體" w:hint="eastAsia"/>
          <w:sz w:val="28"/>
          <w:szCs w:val="28"/>
        </w:rPr>
        <w:t>易增補人力。</w:t>
      </w:r>
      <w:r w:rsidR="00C336E5" w:rsidRPr="00D55DC6">
        <w:rPr>
          <w:rFonts w:eastAsia="標楷體" w:hint="eastAsia"/>
          <w:sz w:val="28"/>
          <w:szCs w:val="28"/>
        </w:rPr>
        <w:t>目前編制員額</w:t>
      </w:r>
      <w:r w:rsidR="00C336E5" w:rsidRPr="00D55DC6">
        <w:rPr>
          <w:rFonts w:eastAsia="標楷體" w:hint="eastAsia"/>
          <w:sz w:val="28"/>
          <w:szCs w:val="28"/>
        </w:rPr>
        <w:t>62</w:t>
      </w:r>
      <w:r w:rsidR="00C336E5" w:rsidRPr="00D55DC6">
        <w:rPr>
          <w:rFonts w:eastAsia="標楷體" w:hint="eastAsia"/>
          <w:sz w:val="28"/>
          <w:szCs w:val="28"/>
        </w:rPr>
        <w:t>人，職員數僅</w:t>
      </w:r>
      <w:r w:rsidR="00C336E5" w:rsidRPr="00D55DC6">
        <w:rPr>
          <w:rFonts w:eastAsia="標楷體" w:hint="eastAsia"/>
          <w:sz w:val="28"/>
          <w:szCs w:val="28"/>
        </w:rPr>
        <w:t>31</w:t>
      </w:r>
      <w:r w:rsidR="00C336E5" w:rsidRPr="00D55DC6">
        <w:rPr>
          <w:rFonts w:eastAsia="標楷體" w:hint="eastAsia"/>
          <w:sz w:val="28"/>
          <w:szCs w:val="28"/>
        </w:rPr>
        <w:t>人，故為因應擴大範圍增設基隆管理站，</w:t>
      </w:r>
      <w:r w:rsidRPr="00D55DC6">
        <w:rPr>
          <w:rFonts w:eastAsia="標楷體" w:hint="eastAsia"/>
          <w:sz w:val="28"/>
          <w:szCs w:val="28"/>
        </w:rPr>
        <w:t>將</w:t>
      </w:r>
      <w:r w:rsidR="00C336E5" w:rsidRPr="00D55DC6">
        <w:rPr>
          <w:rFonts w:eastAsia="標楷體" w:hint="eastAsia"/>
          <w:sz w:val="28"/>
          <w:szCs w:val="28"/>
        </w:rPr>
        <w:t>儘量於總員額規範下，</w:t>
      </w:r>
      <w:r w:rsidRPr="00D55DC6">
        <w:rPr>
          <w:rFonts w:eastAsia="標楷體" w:hint="eastAsia"/>
          <w:sz w:val="28"/>
          <w:szCs w:val="28"/>
        </w:rPr>
        <w:t>另行爭取</w:t>
      </w:r>
      <w:r w:rsidR="00C336E5" w:rsidRPr="00D55DC6">
        <w:rPr>
          <w:rFonts w:eastAsia="標楷體" w:hint="eastAsia"/>
          <w:sz w:val="28"/>
          <w:szCs w:val="28"/>
        </w:rPr>
        <w:t>調派管理人員。</w:t>
      </w:r>
    </w:p>
    <w:p w:rsidR="00934471" w:rsidRPr="00D55DC6" w:rsidRDefault="00934471" w:rsidP="0038165F">
      <w:pPr>
        <w:pStyle w:val="af2"/>
        <w:snapToGrid w:val="0"/>
        <w:spacing w:line="460" w:lineRule="exact"/>
        <w:ind w:leftChars="0" w:left="785"/>
        <w:jc w:val="both"/>
        <w:rPr>
          <w:rFonts w:eastAsia="標楷體"/>
          <w:sz w:val="28"/>
          <w:szCs w:val="28"/>
        </w:rPr>
      </w:pPr>
    </w:p>
    <w:p w:rsidR="00934471" w:rsidRPr="00D55DC6" w:rsidRDefault="00934471" w:rsidP="00DF2F67">
      <w:pPr>
        <w:pStyle w:val="af2"/>
        <w:numPr>
          <w:ilvl w:val="0"/>
          <w:numId w:val="48"/>
        </w:numPr>
        <w:snapToGrid w:val="0"/>
        <w:spacing w:line="460" w:lineRule="exact"/>
        <w:ind w:leftChars="0"/>
        <w:jc w:val="both"/>
        <w:rPr>
          <w:rFonts w:eastAsia="標楷體"/>
          <w:b/>
          <w:sz w:val="28"/>
          <w:szCs w:val="28"/>
        </w:rPr>
      </w:pPr>
      <w:r w:rsidRPr="00D55DC6">
        <w:rPr>
          <w:rFonts w:eastAsia="標楷體"/>
          <w:b/>
          <w:sz w:val="28"/>
          <w:szCs w:val="28"/>
        </w:rPr>
        <w:t>績效指標、衡量標準及目標值</w:t>
      </w:r>
    </w:p>
    <w:tbl>
      <w:tblPr>
        <w:tblW w:w="8646"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0"/>
        <w:gridCol w:w="2127"/>
        <w:gridCol w:w="944"/>
        <w:gridCol w:w="898"/>
        <w:gridCol w:w="992"/>
        <w:gridCol w:w="945"/>
        <w:gridCol w:w="945"/>
        <w:gridCol w:w="945"/>
      </w:tblGrid>
      <w:tr w:rsidR="001D0350" w:rsidRPr="00D55DC6" w:rsidTr="000725AB">
        <w:trPr>
          <w:trHeight w:val="345"/>
          <w:tblHeader/>
        </w:trPr>
        <w:tc>
          <w:tcPr>
            <w:tcW w:w="850" w:type="dxa"/>
            <w:vMerge w:val="restart"/>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項目</w:t>
            </w:r>
          </w:p>
        </w:tc>
        <w:tc>
          <w:tcPr>
            <w:tcW w:w="2127" w:type="dxa"/>
            <w:vMerge w:val="restart"/>
            <w:vAlign w:val="center"/>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衡量指標</w:t>
            </w:r>
          </w:p>
        </w:tc>
        <w:tc>
          <w:tcPr>
            <w:tcW w:w="1842" w:type="dxa"/>
            <w:gridSpan w:val="2"/>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衡量基準</w:t>
            </w:r>
          </w:p>
        </w:tc>
        <w:tc>
          <w:tcPr>
            <w:tcW w:w="3827" w:type="dxa"/>
            <w:gridSpan w:val="4"/>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預期目標值</w:t>
            </w:r>
          </w:p>
        </w:tc>
      </w:tr>
      <w:tr w:rsidR="001D0350" w:rsidRPr="00D55DC6" w:rsidTr="000725AB">
        <w:trPr>
          <w:trHeight w:val="345"/>
          <w:tblHeader/>
        </w:trPr>
        <w:tc>
          <w:tcPr>
            <w:tcW w:w="850" w:type="dxa"/>
            <w:vMerge/>
          </w:tcPr>
          <w:p w:rsidR="00934471" w:rsidRPr="00D55DC6" w:rsidRDefault="00934471" w:rsidP="0038165F">
            <w:pPr>
              <w:widowControl/>
              <w:spacing w:line="460" w:lineRule="exact"/>
              <w:jc w:val="center"/>
              <w:rPr>
                <w:rFonts w:eastAsia="標楷體"/>
                <w:kern w:val="0"/>
                <w:sz w:val="28"/>
                <w:szCs w:val="28"/>
              </w:rPr>
            </w:pPr>
          </w:p>
        </w:tc>
        <w:tc>
          <w:tcPr>
            <w:tcW w:w="2127" w:type="dxa"/>
            <w:vMerge/>
            <w:vAlign w:val="center"/>
          </w:tcPr>
          <w:p w:rsidR="00934471" w:rsidRPr="00D55DC6" w:rsidRDefault="00934471" w:rsidP="0038165F">
            <w:pPr>
              <w:widowControl/>
              <w:spacing w:line="460" w:lineRule="exact"/>
              <w:rPr>
                <w:rFonts w:eastAsia="標楷體"/>
                <w:kern w:val="0"/>
                <w:sz w:val="28"/>
                <w:szCs w:val="28"/>
              </w:rPr>
            </w:pPr>
          </w:p>
        </w:tc>
        <w:tc>
          <w:tcPr>
            <w:tcW w:w="944" w:type="dxa"/>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102</w:t>
            </w:r>
            <w:r w:rsidRPr="00D55DC6">
              <w:rPr>
                <w:rFonts w:eastAsia="標楷體"/>
                <w:kern w:val="0"/>
                <w:sz w:val="28"/>
                <w:szCs w:val="28"/>
              </w:rPr>
              <w:t>年</w:t>
            </w:r>
          </w:p>
        </w:tc>
        <w:tc>
          <w:tcPr>
            <w:tcW w:w="898" w:type="dxa"/>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103</w:t>
            </w:r>
            <w:r w:rsidRPr="00D55DC6">
              <w:rPr>
                <w:rFonts w:eastAsia="標楷體"/>
                <w:kern w:val="0"/>
                <w:sz w:val="28"/>
                <w:szCs w:val="28"/>
              </w:rPr>
              <w:t>年</w:t>
            </w:r>
          </w:p>
        </w:tc>
        <w:tc>
          <w:tcPr>
            <w:tcW w:w="992" w:type="dxa"/>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105</w:t>
            </w:r>
            <w:r w:rsidRPr="00D55DC6">
              <w:rPr>
                <w:rFonts w:eastAsia="標楷體"/>
                <w:kern w:val="0"/>
                <w:sz w:val="28"/>
                <w:szCs w:val="28"/>
              </w:rPr>
              <w:t>年</w:t>
            </w:r>
          </w:p>
        </w:tc>
        <w:tc>
          <w:tcPr>
            <w:tcW w:w="945" w:type="dxa"/>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106</w:t>
            </w:r>
            <w:r w:rsidRPr="00D55DC6">
              <w:rPr>
                <w:rFonts w:eastAsia="標楷體"/>
                <w:kern w:val="0"/>
                <w:sz w:val="28"/>
                <w:szCs w:val="28"/>
              </w:rPr>
              <w:t>年</w:t>
            </w:r>
          </w:p>
        </w:tc>
        <w:tc>
          <w:tcPr>
            <w:tcW w:w="945" w:type="dxa"/>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107</w:t>
            </w:r>
            <w:r w:rsidRPr="00D55DC6">
              <w:rPr>
                <w:rFonts w:eastAsia="標楷體"/>
                <w:kern w:val="0"/>
                <w:sz w:val="28"/>
                <w:szCs w:val="28"/>
              </w:rPr>
              <w:t>年</w:t>
            </w:r>
          </w:p>
        </w:tc>
        <w:tc>
          <w:tcPr>
            <w:tcW w:w="945" w:type="dxa"/>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108</w:t>
            </w:r>
            <w:r w:rsidRPr="00D55DC6">
              <w:rPr>
                <w:rFonts w:eastAsia="標楷體"/>
                <w:kern w:val="0"/>
                <w:sz w:val="28"/>
                <w:szCs w:val="28"/>
              </w:rPr>
              <w:t>年</w:t>
            </w:r>
          </w:p>
        </w:tc>
      </w:tr>
      <w:tr w:rsidR="001D0350" w:rsidRPr="00D55DC6" w:rsidTr="000725AB">
        <w:trPr>
          <w:trHeight w:val="675"/>
        </w:trPr>
        <w:tc>
          <w:tcPr>
            <w:tcW w:w="850" w:type="dxa"/>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1</w:t>
            </w:r>
          </w:p>
        </w:tc>
        <w:tc>
          <w:tcPr>
            <w:tcW w:w="2127" w:type="dxa"/>
          </w:tcPr>
          <w:p w:rsidR="00934471" w:rsidRPr="00D55DC6" w:rsidRDefault="00934471" w:rsidP="0038165F">
            <w:pPr>
              <w:widowControl/>
              <w:spacing w:line="460" w:lineRule="exact"/>
              <w:jc w:val="both"/>
              <w:rPr>
                <w:rFonts w:eastAsia="標楷體"/>
                <w:kern w:val="0"/>
                <w:sz w:val="28"/>
                <w:szCs w:val="28"/>
              </w:rPr>
            </w:pPr>
            <w:r w:rsidRPr="00D55DC6">
              <w:rPr>
                <w:rFonts w:eastAsia="標楷體"/>
                <w:kern w:val="0"/>
                <w:sz w:val="28"/>
                <w:szCs w:val="28"/>
              </w:rPr>
              <w:t>重要觀光景點建設完成數</w:t>
            </w:r>
            <w:r w:rsidRPr="00D55DC6">
              <w:rPr>
                <w:rFonts w:eastAsia="標楷體"/>
                <w:kern w:val="0"/>
                <w:sz w:val="28"/>
                <w:szCs w:val="28"/>
              </w:rPr>
              <w:t>(</w:t>
            </w:r>
            <w:r w:rsidRPr="00D55DC6">
              <w:rPr>
                <w:rFonts w:eastAsia="標楷體"/>
                <w:kern w:val="0"/>
                <w:sz w:val="28"/>
                <w:szCs w:val="28"/>
              </w:rPr>
              <w:t>處</w:t>
            </w:r>
            <w:r w:rsidRPr="00D55DC6">
              <w:rPr>
                <w:rFonts w:eastAsia="標楷體"/>
                <w:kern w:val="0"/>
                <w:sz w:val="28"/>
                <w:szCs w:val="28"/>
              </w:rPr>
              <w:t>)</w:t>
            </w:r>
          </w:p>
        </w:tc>
        <w:tc>
          <w:tcPr>
            <w:tcW w:w="944" w:type="dxa"/>
            <w:vAlign w:val="center"/>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6</w:t>
            </w:r>
          </w:p>
        </w:tc>
        <w:tc>
          <w:tcPr>
            <w:tcW w:w="898" w:type="dxa"/>
            <w:vAlign w:val="center"/>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6</w:t>
            </w:r>
          </w:p>
        </w:tc>
        <w:tc>
          <w:tcPr>
            <w:tcW w:w="992" w:type="dxa"/>
            <w:vAlign w:val="center"/>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8</w:t>
            </w:r>
          </w:p>
        </w:tc>
        <w:tc>
          <w:tcPr>
            <w:tcW w:w="945" w:type="dxa"/>
            <w:vAlign w:val="center"/>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8</w:t>
            </w:r>
          </w:p>
        </w:tc>
        <w:tc>
          <w:tcPr>
            <w:tcW w:w="945" w:type="dxa"/>
            <w:vAlign w:val="center"/>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7</w:t>
            </w:r>
          </w:p>
        </w:tc>
        <w:tc>
          <w:tcPr>
            <w:tcW w:w="945" w:type="dxa"/>
            <w:vAlign w:val="center"/>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8</w:t>
            </w:r>
          </w:p>
        </w:tc>
      </w:tr>
      <w:tr w:rsidR="001D0350" w:rsidRPr="00D55DC6" w:rsidTr="000725AB">
        <w:trPr>
          <w:trHeight w:val="675"/>
        </w:trPr>
        <w:tc>
          <w:tcPr>
            <w:tcW w:w="850" w:type="dxa"/>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2</w:t>
            </w:r>
          </w:p>
        </w:tc>
        <w:tc>
          <w:tcPr>
            <w:tcW w:w="2127" w:type="dxa"/>
          </w:tcPr>
          <w:p w:rsidR="00934471" w:rsidRPr="00D55DC6" w:rsidRDefault="00934471" w:rsidP="0038165F">
            <w:pPr>
              <w:widowControl/>
              <w:spacing w:line="460" w:lineRule="exact"/>
              <w:jc w:val="both"/>
              <w:rPr>
                <w:rFonts w:eastAsia="標楷體"/>
                <w:kern w:val="0"/>
                <w:sz w:val="28"/>
                <w:szCs w:val="28"/>
              </w:rPr>
            </w:pPr>
            <w:r w:rsidRPr="00D55DC6">
              <w:rPr>
                <w:rFonts w:eastAsia="標楷體"/>
                <w:kern w:val="0"/>
                <w:sz w:val="28"/>
                <w:szCs w:val="28"/>
              </w:rPr>
              <w:t>參訪國家風景區遊客人數</w:t>
            </w:r>
            <w:r w:rsidRPr="00D55DC6">
              <w:rPr>
                <w:rFonts w:eastAsia="標楷體"/>
                <w:kern w:val="0"/>
                <w:sz w:val="28"/>
                <w:szCs w:val="28"/>
              </w:rPr>
              <w:t>(</w:t>
            </w:r>
            <w:r w:rsidRPr="00D55DC6">
              <w:rPr>
                <w:rFonts w:eastAsia="標楷體"/>
                <w:kern w:val="0"/>
                <w:sz w:val="28"/>
                <w:szCs w:val="28"/>
              </w:rPr>
              <w:t>萬人</w:t>
            </w:r>
            <w:r w:rsidRPr="00D55DC6">
              <w:rPr>
                <w:rFonts w:eastAsia="標楷體"/>
                <w:kern w:val="0"/>
                <w:sz w:val="28"/>
                <w:szCs w:val="28"/>
              </w:rPr>
              <w:t xml:space="preserve">) </w:t>
            </w:r>
          </w:p>
        </w:tc>
        <w:tc>
          <w:tcPr>
            <w:tcW w:w="944" w:type="dxa"/>
            <w:vAlign w:val="center"/>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497</w:t>
            </w:r>
          </w:p>
        </w:tc>
        <w:tc>
          <w:tcPr>
            <w:tcW w:w="898" w:type="dxa"/>
            <w:vAlign w:val="center"/>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510</w:t>
            </w:r>
          </w:p>
        </w:tc>
        <w:tc>
          <w:tcPr>
            <w:tcW w:w="992" w:type="dxa"/>
            <w:vAlign w:val="center"/>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540</w:t>
            </w:r>
          </w:p>
        </w:tc>
        <w:tc>
          <w:tcPr>
            <w:tcW w:w="945" w:type="dxa"/>
            <w:vAlign w:val="center"/>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555</w:t>
            </w:r>
          </w:p>
        </w:tc>
        <w:tc>
          <w:tcPr>
            <w:tcW w:w="945" w:type="dxa"/>
            <w:vAlign w:val="center"/>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570</w:t>
            </w:r>
          </w:p>
        </w:tc>
        <w:tc>
          <w:tcPr>
            <w:tcW w:w="945" w:type="dxa"/>
            <w:vAlign w:val="center"/>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592</w:t>
            </w:r>
          </w:p>
        </w:tc>
      </w:tr>
      <w:tr w:rsidR="001D0350" w:rsidRPr="00D55DC6" w:rsidTr="000725AB">
        <w:trPr>
          <w:trHeight w:val="675"/>
        </w:trPr>
        <w:tc>
          <w:tcPr>
            <w:tcW w:w="850" w:type="dxa"/>
          </w:tcPr>
          <w:p w:rsidR="00934471" w:rsidRPr="00D55DC6" w:rsidRDefault="00934471" w:rsidP="0038165F">
            <w:pPr>
              <w:widowControl/>
              <w:spacing w:line="460" w:lineRule="exact"/>
              <w:jc w:val="center"/>
              <w:rPr>
                <w:rFonts w:eastAsia="標楷體"/>
                <w:kern w:val="0"/>
                <w:sz w:val="28"/>
                <w:szCs w:val="28"/>
              </w:rPr>
            </w:pPr>
            <w:r w:rsidRPr="00D55DC6">
              <w:rPr>
                <w:rFonts w:eastAsia="標楷體"/>
                <w:kern w:val="0"/>
                <w:sz w:val="28"/>
                <w:szCs w:val="28"/>
              </w:rPr>
              <w:t>3</w:t>
            </w:r>
          </w:p>
        </w:tc>
        <w:tc>
          <w:tcPr>
            <w:tcW w:w="2127" w:type="dxa"/>
          </w:tcPr>
          <w:p w:rsidR="00934471" w:rsidRPr="00D55DC6" w:rsidRDefault="00FF07B1" w:rsidP="0038165F">
            <w:pPr>
              <w:widowControl/>
              <w:spacing w:line="460" w:lineRule="exact"/>
              <w:jc w:val="both"/>
              <w:rPr>
                <w:rFonts w:eastAsia="標楷體"/>
                <w:kern w:val="0"/>
                <w:sz w:val="28"/>
                <w:szCs w:val="28"/>
              </w:rPr>
            </w:pPr>
            <w:r w:rsidRPr="00D55DC6">
              <w:rPr>
                <w:rFonts w:eastAsia="標楷體"/>
                <w:kern w:val="0"/>
                <w:sz w:val="28"/>
                <w:szCs w:val="28"/>
              </w:rPr>
              <w:t>觀光產值</w:t>
            </w:r>
            <w:r w:rsidRPr="00D55DC6">
              <w:rPr>
                <w:rFonts w:eastAsia="標楷體"/>
                <w:kern w:val="0"/>
                <w:sz w:val="28"/>
                <w:szCs w:val="28"/>
              </w:rPr>
              <w:t>(</w:t>
            </w:r>
            <w:r w:rsidRPr="00D55DC6">
              <w:rPr>
                <w:rFonts w:eastAsia="標楷體"/>
                <w:kern w:val="0"/>
                <w:sz w:val="28"/>
                <w:szCs w:val="28"/>
              </w:rPr>
              <w:t>億元</w:t>
            </w:r>
            <w:r w:rsidRPr="00D55DC6">
              <w:rPr>
                <w:rFonts w:eastAsia="標楷體"/>
                <w:kern w:val="0"/>
                <w:sz w:val="28"/>
                <w:szCs w:val="28"/>
              </w:rPr>
              <w:t>)</w:t>
            </w:r>
          </w:p>
        </w:tc>
        <w:tc>
          <w:tcPr>
            <w:tcW w:w="944" w:type="dxa"/>
            <w:vAlign w:val="center"/>
          </w:tcPr>
          <w:p w:rsidR="00934471" w:rsidRPr="00D55DC6" w:rsidRDefault="004D1259" w:rsidP="0038165F">
            <w:pPr>
              <w:widowControl/>
              <w:spacing w:line="460" w:lineRule="exact"/>
              <w:jc w:val="center"/>
              <w:rPr>
                <w:rFonts w:eastAsia="標楷體"/>
                <w:kern w:val="0"/>
                <w:sz w:val="28"/>
                <w:szCs w:val="28"/>
              </w:rPr>
            </w:pPr>
            <w:r w:rsidRPr="00D55DC6">
              <w:rPr>
                <w:rFonts w:eastAsia="標楷體"/>
                <w:kern w:val="0"/>
                <w:sz w:val="28"/>
                <w:szCs w:val="28"/>
              </w:rPr>
              <w:t>109.61</w:t>
            </w:r>
          </w:p>
        </w:tc>
        <w:tc>
          <w:tcPr>
            <w:tcW w:w="898" w:type="dxa"/>
            <w:vAlign w:val="center"/>
          </w:tcPr>
          <w:p w:rsidR="00934471" w:rsidRPr="00D55DC6" w:rsidRDefault="006D7CB3" w:rsidP="0038165F">
            <w:pPr>
              <w:widowControl/>
              <w:spacing w:line="460" w:lineRule="exact"/>
              <w:jc w:val="center"/>
              <w:rPr>
                <w:rFonts w:eastAsia="標楷體"/>
                <w:kern w:val="0"/>
                <w:sz w:val="28"/>
                <w:szCs w:val="28"/>
              </w:rPr>
            </w:pPr>
            <w:r w:rsidRPr="00D55DC6">
              <w:rPr>
                <w:rFonts w:eastAsia="標楷體"/>
                <w:kern w:val="0"/>
                <w:sz w:val="28"/>
                <w:szCs w:val="28"/>
              </w:rPr>
              <w:t>112.48</w:t>
            </w:r>
          </w:p>
        </w:tc>
        <w:tc>
          <w:tcPr>
            <w:tcW w:w="992" w:type="dxa"/>
            <w:vAlign w:val="center"/>
          </w:tcPr>
          <w:p w:rsidR="00934471" w:rsidRPr="00D55DC6" w:rsidRDefault="006D7CB3" w:rsidP="0038165F">
            <w:pPr>
              <w:widowControl/>
              <w:spacing w:line="460" w:lineRule="exact"/>
              <w:jc w:val="center"/>
              <w:rPr>
                <w:rFonts w:eastAsia="標楷體"/>
                <w:kern w:val="0"/>
                <w:sz w:val="28"/>
                <w:szCs w:val="28"/>
              </w:rPr>
            </w:pPr>
            <w:r w:rsidRPr="00D55DC6">
              <w:rPr>
                <w:rFonts w:eastAsia="標楷體"/>
                <w:kern w:val="0"/>
                <w:sz w:val="28"/>
                <w:szCs w:val="28"/>
              </w:rPr>
              <w:t>119.10</w:t>
            </w:r>
          </w:p>
        </w:tc>
        <w:tc>
          <w:tcPr>
            <w:tcW w:w="945" w:type="dxa"/>
            <w:vAlign w:val="center"/>
          </w:tcPr>
          <w:p w:rsidR="00934471" w:rsidRPr="00D55DC6" w:rsidRDefault="006D7CB3" w:rsidP="0038165F">
            <w:pPr>
              <w:widowControl/>
              <w:spacing w:line="460" w:lineRule="exact"/>
              <w:jc w:val="center"/>
              <w:rPr>
                <w:rFonts w:eastAsia="標楷體"/>
                <w:kern w:val="0"/>
                <w:sz w:val="28"/>
                <w:szCs w:val="28"/>
              </w:rPr>
            </w:pPr>
            <w:r w:rsidRPr="00D55DC6">
              <w:rPr>
                <w:rFonts w:eastAsia="標楷體"/>
                <w:kern w:val="0"/>
                <w:sz w:val="28"/>
                <w:szCs w:val="28"/>
              </w:rPr>
              <w:t>122.41</w:t>
            </w:r>
          </w:p>
        </w:tc>
        <w:tc>
          <w:tcPr>
            <w:tcW w:w="945" w:type="dxa"/>
            <w:vAlign w:val="center"/>
          </w:tcPr>
          <w:p w:rsidR="00934471" w:rsidRPr="00D55DC6" w:rsidRDefault="006D7CB3" w:rsidP="0038165F">
            <w:pPr>
              <w:widowControl/>
              <w:spacing w:line="460" w:lineRule="exact"/>
              <w:jc w:val="center"/>
              <w:rPr>
                <w:rFonts w:eastAsia="標楷體"/>
                <w:kern w:val="0"/>
                <w:sz w:val="28"/>
                <w:szCs w:val="28"/>
              </w:rPr>
            </w:pPr>
            <w:r w:rsidRPr="00D55DC6">
              <w:rPr>
                <w:rFonts w:eastAsia="標楷體"/>
                <w:kern w:val="0"/>
                <w:sz w:val="28"/>
                <w:szCs w:val="28"/>
              </w:rPr>
              <w:t>125.71</w:t>
            </w:r>
          </w:p>
        </w:tc>
        <w:tc>
          <w:tcPr>
            <w:tcW w:w="945" w:type="dxa"/>
            <w:vAlign w:val="center"/>
          </w:tcPr>
          <w:p w:rsidR="00934471" w:rsidRPr="00D55DC6" w:rsidRDefault="006D7CB3" w:rsidP="0038165F">
            <w:pPr>
              <w:spacing w:line="460" w:lineRule="exact"/>
              <w:jc w:val="center"/>
              <w:rPr>
                <w:rFonts w:eastAsia="標楷體"/>
                <w:sz w:val="28"/>
                <w:szCs w:val="28"/>
              </w:rPr>
            </w:pPr>
            <w:r w:rsidRPr="00D55DC6">
              <w:rPr>
                <w:rFonts w:eastAsia="標楷體"/>
                <w:sz w:val="28"/>
                <w:szCs w:val="28"/>
              </w:rPr>
              <w:t>130.57</w:t>
            </w:r>
          </w:p>
        </w:tc>
      </w:tr>
      <w:tr w:rsidR="001D0350" w:rsidRPr="00D55DC6" w:rsidTr="000725AB">
        <w:trPr>
          <w:trHeight w:val="675"/>
        </w:trPr>
        <w:tc>
          <w:tcPr>
            <w:tcW w:w="850" w:type="dxa"/>
          </w:tcPr>
          <w:p w:rsidR="001629F1" w:rsidRPr="00D55DC6" w:rsidRDefault="004D1259" w:rsidP="0038165F">
            <w:pPr>
              <w:widowControl/>
              <w:spacing w:line="460" w:lineRule="exact"/>
              <w:jc w:val="center"/>
              <w:rPr>
                <w:rFonts w:eastAsia="標楷體"/>
                <w:kern w:val="0"/>
                <w:sz w:val="28"/>
                <w:szCs w:val="28"/>
              </w:rPr>
            </w:pPr>
            <w:r w:rsidRPr="00D55DC6">
              <w:rPr>
                <w:rFonts w:eastAsia="標楷體"/>
                <w:kern w:val="0"/>
                <w:sz w:val="28"/>
                <w:szCs w:val="28"/>
              </w:rPr>
              <w:lastRenderedPageBreak/>
              <w:t>4</w:t>
            </w:r>
          </w:p>
        </w:tc>
        <w:tc>
          <w:tcPr>
            <w:tcW w:w="2127" w:type="dxa"/>
          </w:tcPr>
          <w:p w:rsidR="001629F1" w:rsidRPr="00D55DC6" w:rsidRDefault="004D1259" w:rsidP="0038165F">
            <w:pPr>
              <w:widowControl/>
              <w:spacing w:line="460" w:lineRule="exact"/>
              <w:jc w:val="both"/>
              <w:rPr>
                <w:rFonts w:eastAsia="標楷體"/>
                <w:kern w:val="0"/>
                <w:sz w:val="28"/>
                <w:szCs w:val="28"/>
              </w:rPr>
            </w:pPr>
            <w:r w:rsidRPr="00D55DC6">
              <w:rPr>
                <w:rFonts w:eastAsia="標楷體"/>
                <w:kern w:val="0"/>
                <w:sz w:val="28"/>
                <w:szCs w:val="28"/>
              </w:rPr>
              <w:t>性別友善設施完成數</w:t>
            </w:r>
            <w:r w:rsidRPr="00D55DC6">
              <w:rPr>
                <w:rFonts w:eastAsia="標楷體"/>
                <w:kern w:val="0"/>
                <w:sz w:val="28"/>
                <w:szCs w:val="28"/>
              </w:rPr>
              <w:t>(</w:t>
            </w:r>
            <w:r w:rsidRPr="00D55DC6">
              <w:rPr>
                <w:rFonts w:eastAsia="標楷體"/>
                <w:kern w:val="0"/>
                <w:sz w:val="28"/>
                <w:szCs w:val="28"/>
              </w:rPr>
              <w:t>處</w:t>
            </w:r>
            <w:r w:rsidRPr="00D55DC6">
              <w:rPr>
                <w:rFonts w:eastAsia="標楷體"/>
                <w:kern w:val="0"/>
                <w:sz w:val="28"/>
                <w:szCs w:val="28"/>
              </w:rPr>
              <w:t>)</w:t>
            </w:r>
          </w:p>
        </w:tc>
        <w:tc>
          <w:tcPr>
            <w:tcW w:w="944" w:type="dxa"/>
            <w:vAlign w:val="center"/>
          </w:tcPr>
          <w:p w:rsidR="001629F1" w:rsidRPr="00D55DC6" w:rsidRDefault="00E852D0" w:rsidP="0038165F">
            <w:pPr>
              <w:widowControl/>
              <w:spacing w:line="460" w:lineRule="exact"/>
              <w:jc w:val="center"/>
              <w:rPr>
                <w:rFonts w:eastAsia="標楷體"/>
                <w:kern w:val="0"/>
                <w:sz w:val="28"/>
                <w:szCs w:val="28"/>
              </w:rPr>
            </w:pPr>
            <w:r w:rsidRPr="00D55DC6">
              <w:rPr>
                <w:rFonts w:eastAsia="標楷體"/>
                <w:kern w:val="0"/>
                <w:sz w:val="28"/>
                <w:szCs w:val="28"/>
              </w:rPr>
              <w:t>1</w:t>
            </w:r>
          </w:p>
        </w:tc>
        <w:tc>
          <w:tcPr>
            <w:tcW w:w="898" w:type="dxa"/>
            <w:vAlign w:val="center"/>
          </w:tcPr>
          <w:p w:rsidR="001629F1" w:rsidRPr="00D55DC6" w:rsidRDefault="00E852D0" w:rsidP="0038165F">
            <w:pPr>
              <w:widowControl/>
              <w:spacing w:line="460" w:lineRule="exact"/>
              <w:jc w:val="center"/>
              <w:rPr>
                <w:rFonts w:eastAsia="標楷體"/>
                <w:kern w:val="0"/>
                <w:sz w:val="28"/>
                <w:szCs w:val="28"/>
              </w:rPr>
            </w:pPr>
            <w:r w:rsidRPr="00D55DC6">
              <w:rPr>
                <w:rFonts w:eastAsia="標楷體"/>
                <w:kern w:val="0"/>
                <w:sz w:val="28"/>
                <w:szCs w:val="28"/>
              </w:rPr>
              <w:t>3</w:t>
            </w:r>
          </w:p>
        </w:tc>
        <w:tc>
          <w:tcPr>
            <w:tcW w:w="992" w:type="dxa"/>
            <w:vAlign w:val="center"/>
          </w:tcPr>
          <w:p w:rsidR="001629F1" w:rsidRPr="00D55DC6" w:rsidRDefault="00E852D0" w:rsidP="0038165F">
            <w:pPr>
              <w:widowControl/>
              <w:spacing w:line="460" w:lineRule="exact"/>
              <w:jc w:val="center"/>
              <w:rPr>
                <w:rFonts w:eastAsia="標楷體"/>
                <w:kern w:val="0"/>
                <w:sz w:val="28"/>
                <w:szCs w:val="28"/>
              </w:rPr>
            </w:pPr>
            <w:r w:rsidRPr="00D55DC6">
              <w:rPr>
                <w:rFonts w:eastAsia="標楷體"/>
                <w:kern w:val="0"/>
                <w:sz w:val="28"/>
                <w:szCs w:val="28"/>
              </w:rPr>
              <w:t>1</w:t>
            </w:r>
          </w:p>
        </w:tc>
        <w:tc>
          <w:tcPr>
            <w:tcW w:w="945" w:type="dxa"/>
            <w:vAlign w:val="center"/>
          </w:tcPr>
          <w:p w:rsidR="001629F1" w:rsidRPr="00D55DC6" w:rsidRDefault="00E852D0" w:rsidP="0038165F">
            <w:pPr>
              <w:widowControl/>
              <w:spacing w:line="460" w:lineRule="exact"/>
              <w:jc w:val="center"/>
              <w:rPr>
                <w:rFonts w:eastAsia="標楷體"/>
                <w:kern w:val="0"/>
                <w:sz w:val="28"/>
                <w:szCs w:val="28"/>
              </w:rPr>
            </w:pPr>
            <w:r w:rsidRPr="00D55DC6">
              <w:rPr>
                <w:rFonts w:eastAsia="標楷體"/>
                <w:kern w:val="0"/>
                <w:sz w:val="28"/>
                <w:szCs w:val="28"/>
              </w:rPr>
              <w:t>1</w:t>
            </w:r>
          </w:p>
        </w:tc>
        <w:tc>
          <w:tcPr>
            <w:tcW w:w="945" w:type="dxa"/>
            <w:vAlign w:val="center"/>
          </w:tcPr>
          <w:p w:rsidR="001629F1" w:rsidRPr="00D55DC6" w:rsidRDefault="00E852D0" w:rsidP="0038165F">
            <w:pPr>
              <w:widowControl/>
              <w:spacing w:line="460" w:lineRule="exact"/>
              <w:jc w:val="center"/>
              <w:rPr>
                <w:rFonts w:eastAsia="標楷體"/>
                <w:kern w:val="0"/>
                <w:sz w:val="28"/>
                <w:szCs w:val="28"/>
              </w:rPr>
            </w:pPr>
            <w:r w:rsidRPr="00D55DC6">
              <w:rPr>
                <w:rFonts w:eastAsia="標楷體"/>
                <w:kern w:val="0"/>
                <w:sz w:val="28"/>
                <w:szCs w:val="28"/>
              </w:rPr>
              <w:t>0</w:t>
            </w:r>
          </w:p>
        </w:tc>
        <w:tc>
          <w:tcPr>
            <w:tcW w:w="945" w:type="dxa"/>
            <w:vAlign w:val="center"/>
          </w:tcPr>
          <w:p w:rsidR="001629F1" w:rsidRPr="00D55DC6" w:rsidRDefault="00E852D0" w:rsidP="0038165F">
            <w:pPr>
              <w:spacing w:line="460" w:lineRule="exact"/>
              <w:jc w:val="center"/>
              <w:rPr>
                <w:rFonts w:eastAsia="標楷體"/>
                <w:sz w:val="28"/>
                <w:szCs w:val="28"/>
              </w:rPr>
            </w:pPr>
            <w:r w:rsidRPr="00D55DC6">
              <w:rPr>
                <w:rFonts w:eastAsia="標楷體"/>
                <w:sz w:val="28"/>
                <w:szCs w:val="28"/>
              </w:rPr>
              <w:t>1</w:t>
            </w:r>
          </w:p>
        </w:tc>
      </w:tr>
      <w:tr w:rsidR="002F5D4E" w:rsidRPr="00D55DC6" w:rsidTr="00C336E5">
        <w:trPr>
          <w:trHeight w:val="675"/>
        </w:trPr>
        <w:tc>
          <w:tcPr>
            <w:tcW w:w="850" w:type="dxa"/>
            <w:tcBorders>
              <w:top w:val="single" w:sz="4" w:space="0" w:color="auto"/>
              <w:left w:val="single" w:sz="4" w:space="0" w:color="auto"/>
              <w:bottom w:val="single" w:sz="4" w:space="0" w:color="auto"/>
              <w:right w:val="single" w:sz="4" w:space="0" w:color="auto"/>
            </w:tcBorders>
          </w:tcPr>
          <w:p w:rsidR="002F5D4E" w:rsidRPr="00D55DC6" w:rsidRDefault="002F5D4E" w:rsidP="0029434B">
            <w:pPr>
              <w:widowControl/>
              <w:spacing w:line="460" w:lineRule="exact"/>
              <w:jc w:val="center"/>
              <w:rPr>
                <w:rFonts w:eastAsia="標楷體"/>
                <w:kern w:val="0"/>
                <w:sz w:val="28"/>
                <w:szCs w:val="28"/>
              </w:rPr>
            </w:pPr>
            <w:r w:rsidRPr="00D55DC6">
              <w:rPr>
                <w:rFonts w:eastAsia="標楷體"/>
                <w:kern w:val="0"/>
                <w:sz w:val="28"/>
                <w:szCs w:val="28"/>
              </w:rPr>
              <w:t>5</w:t>
            </w:r>
          </w:p>
        </w:tc>
        <w:tc>
          <w:tcPr>
            <w:tcW w:w="2127" w:type="dxa"/>
            <w:tcBorders>
              <w:top w:val="single" w:sz="4" w:space="0" w:color="auto"/>
              <w:left w:val="single" w:sz="4" w:space="0" w:color="auto"/>
              <w:bottom w:val="single" w:sz="4" w:space="0" w:color="auto"/>
              <w:right w:val="single" w:sz="4" w:space="0" w:color="auto"/>
            </w:tcBorders>
          </w:tcPr>
          <w:p w:rsidR="002F5D4E" w:rsidRPr="00D55DC6" w:rsidRDefault="005C51C2" w:rsidP="0029434B">
            <w:pPr>
              <w:widowControl/>
              <w:spacing w:line="460" w:lineRule="exact"/>
              <w:jc w:val="both"/>
              <w:rPr>
                <w:rFonts w:eastAsia="標楷體"/>
                <w:kern w:val="0"/>
                <w:sz w:val="28"/>
                <w:szCs w:val="28"/>
              </w:rPr>
            </w:pPr>
            <w:r w:rsidRPr="00D55DC6">
              <w:rPr>
                <w:rFonts w:eastAsia="標楷體"/>
                <w:sz w:val="28"/>
                <w:szCs w:val="28"/>
              </w:rPr>
              <w:t>轄區經管設施公共意外責任險確</w:t>
            </w:r>
            <w:r w:rsidRPr="00D55DC6">
              <w:rPr>
                <w:rFonts w:eastAsia="標楷體" w:hint="eastAsia"/>
                <w:sz w:val="28"/>
                <w:szCs w:val="28"/>
              </w:rPr>
              <w:t>定</w:t>
            </w:r>
            <w:r w:rsidR="002F5D4E" w:rsidRPr="00D55DC6">
              <w:rPr>
                <w:rFonts w:eastAsia="標楷體"/>
                <w:sz w:val="28"/>
                <w:szCs w:val="28"/>
              </w:rPr>
              <w:t>理賠件數上限</w:t>
            </w:r>
            <w:r w:rsidR="002F5D4E" w:rsidRPr="00D55DC6">
              <w:rPr>
                <w:rFonts w:eastAsia="標楷體"/>
                <w:sz w:val="28"/>
                <w:szCs w:val="28"/>
              </w:rPr>
              <w:t>(</w:t>
            </w:r>
            <w:r w:rsidR="002F5D4E" w:rsidRPr="00D55DC6">
              <w:rPr>
                <w:rFonts w:eastAsia="標楷體"/>
                <w:sz w:val="28"/>
                <w:szCs w:val="28"/>
              </w:rPr>
              <w:t>件</w:t>
            </w:r>
            <w:r w:rsidR="002F5D4E" w:rsidRPr="00D55DC6">
              <w:rPr>
                <w:rFonts w:eastAsia="標楷體"/>
                <w:sz w:val="28"/>
                <w:szCs w:val="28"/>
              </w:rPr>
              <w:t>)</w:t>
            </w:r>
          </w:p>
        </w:tc>
        <w:tc>
          <w:tcPr>
            <w:tcW w:w="944" w:type="dxa"/>
            <w:tcBorders>
              <w:top w:val="single" w:sz="4" w:space="0" w:color="auto"/>
              <w:left w:val="single" w:sz="4" w:space="0" w:color="auto"/>
              <w:bottom w:val="single" w:sz="4" w:space="0" w:color="auto"/>
              <w:right w:val="single" w:sz="4" w:space="0" w:color="auto"/>
            </w:tcBorders>
            <w:vAlign w:val="center"/>
          </w:tcPr>
          <w:p w:rsidR="002F5D4E" w:rsidRPr="00D55DC6" w:rsidRDefault="00DF1B27">
            <w:pPr>
              <w:jc w:val="center"/>
              <w:rPr>
                <w:rFonts w:ascii="新細明體" w:hAnsi="新細明體" w:cs="新細明體"/>
                <w:sz w:val="28"/>
                <w:szCs w:val="28"/>
              </w:rPr>
            </w:pPr>
            <w:r w:rsidRPr="00D55DC6">
              <w:rPr>
                <w:rFonts w:hint="eastAsia"/>
                <w:sz w:val="28"/>
                <w:szCs w:val="28"/>
              </w:rPr>
              <w:t>-</w:t>
            </w:r>
          </w:p>
        </w:tc>
        <w:tc>
          <w:tcPr>
            <w:tcW w:w="898" w:type="dxa"/>
            <w:tcBorders>
              <w:top w:val="single" w:sz="4" w:space="0" w:color="auto"/>
              <w:left w:val="single" w:sz="4" w:space="0" w:color="auto"/>
              <w:bottom w:val="single" w:sz="4" w:space="0" w:color="auto"/>
              <w:right w:val="single" w:sz="4" w:space="0" w:color="auto"/>
            </w:tcBorders>
            <w:vAlign w:val="center"/>
          </w:tcPr>
          <w:p w:rsidR="002F5D4E" w:rsidRPr="00D55DC6" w:rsidRDefault="00DF1B27">
            <w:pPr>
              <w:jc w:val="center"/>
              <w:rPr>
                <w:rFonts w:ascii="新細明體" w:hAnsi="新細明體" w:cs="新細明體"/>
                <w:sz w:val="28"/>
                <w:szCs w:val="28"/>
              </w:rPr>
            </w:pPr>
            <w:r w:rsidRPr="00D55DC6">
              <w:rPr>
                <w:rFonts w:ascii="新細明體" w:hAnsi="新細明體" w:cs="新細明體" w:hint="eastAsia"/>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rsidR="002F5D4E" w:rsidRPr="00D55DC6" w:rsidRDefault="005C51C2">
            <w:pPr>
              <w:jc w:val="center"/>
              <w:rPr>
                <w:rFonts w:ascii="新細明體" w:hAnsi="新細明體" w:cs="新細明體"/>
                <w:sz w:val="28"/>
                <w:szCs w:val="28"/>
              </w:rPr>
            </w:pPr>
            <w:r w:rsidRPr="00D55DC6">
              <w:rPr>
                <w:rFonts w:hint="eastAsia"/>
                <w:sz w:val="28"/>
                <w:szCs w:val="28"/>
              </w:rPr>
              <w:t>4</w:t>
            </w:r>
          </w:p>
        </w:tc>
        <w:tc>
          <w:tcPr>
            <w:tcW w:w="945" w:type="dxa"/>
            <w:tcBorders>
              <w:top w:val="single" w:sz="4" w:space="0" w:color="auto"/>
              <w:left w:val="single" w:sz="4" w:space="0" w:color="auto"/>
              <w:bottom w:val="single" w:sz="4" w:space="0" w:color="auto"/>
              <w:right w:val="single" w:sz="4" w:space="0" w:color="auto"/>
            </w:tcBorders>
            <w:vAlign w:val="center"/>
          </w:tcPr>
          <w:p w:rsidR="002F5D4E" w:rsidRPr="00D55DC6" w:rsidRDefault="005C51C2">
            <w:pPr>
              <w:jc w:val="center"/>
              <w:rPr>
                <w:rFonts w:ascii="新細明體" w:hAnsi="新細明體" w:cs="新細明體"/>
                <w:sz w:val="28"/>
                <w:szCs w:val="28"/>
              </w:rPr>
            </w:pPr>
            <w:r w:rsidRPr="00D55DC6">
              <w:rPr>
                <w:rFonts w:hint="eastAsia"/>
                <w:sz w:val="28"/>
                <w:szCs w:val="28"/>
              </w:rPr>
              <w:t>3</w:t>
            </w:r>
          </w:p>
        </w:tc>
        <w:tc>
          <w:tcPr>
            <w:tcW w:w="945" w:type="dxa"/>
            <w:tcBorders>
              <w:top w:val="single" w:sz="4" w:space="0" w:color="auto"/>
              <w:left w:val="single" w:sz="4" w:space="0" w:color="auto"/>
              <w:bottom w:val="single" w:sz="4" w:space="0" w:color="auto"/>
              <w:right w:val="single" w:sz="4" w:space="0" w:color="auto"/>
            </w:tcBorders>
            <w:vAlign w:val="center"/>
          </w:tcPr>
          <w:p w:rsidR="002F5D4E" w:rsidRPr="00D55DC6" w:rsidRDefault="005C51C2">
            <w:pPr>
              <w:jc w:val="center"/>
              <w:rPr>
                <w:rFonts w:ascii="新細明體" w:hAnsi="新細明體" w:cs="新細明體"/>
                <w:sz w:val="28"/>
                <w:szCs w:val="28"/>
              </w:rPr>
            </w:pPr>
            <w:r w:rsidRPr="00D55DC6">
              <w:rPr>
                <w:rFonts w:hint="eastAsia"/>
                <w:sz w:val="28"/>
                <w:szCs w:val="28"/>
              </w:rPr>
              <w:t>3</w:t>
            </w:r>
          </w:p>
        </w:tc>
        <w:tc>
          <w:tcPr>
            <w:tcW w:w="945" w:type="dxa"/>
            <w:tcBorders>
              <w:top w:val="single" w:sz="4" w:space="0" w:color="auto"/>
              <w:left w:val="single" w:sz="4" w:space="0" w:color="auto"/>
              <w:bottom w:val="single" w:sz="4" w:space="0" w:color="auto"/>
              <w:right w:val="single" w:sz="4" w:space="0" w:color="auto"/>
            </w:tcBorders>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2</w:t>
            </w:r>
          </w:p>
        </w:tc>
      </w:tr>
    </w:tbl>
    <w:p w:rsidR="006D7CB3" w:rsidRPr="00D55DC6" w:rsidRDefault="006D7CB3" w:rsidP="0038165F">
      <w:pPr>
        <w:snapToGrid w:val="0"/>
        <w:spacing w:line="460" w:lineRule="exact"/>
        <w:ind w:firstLine="480"/>
        <w:jc w:val="both"/>
        <w:rPr>
          <w:rFonts w:eastAsia="標楷體"/>
          <w:sz w:val="28"/>
          <w:szCs w:val="28"/>
        </w:rPr>
      </w:pPr>
    </w:p>
    <w:p w:rsidR="00C336E5" w:rsidRPr="00D55DC6" w:rsidRDefault="00C336E5" w:rsidP="0038165F">
      <w:pPr>
        <w:snapToGrid w:val="0"/>
        <w:spacing w:line="460" w:lineRule="exact"/>
        <w:ind w:firstLine="480"/>
        <w:jc w:val="both"/>
        <w:rPr>
          <w:rFonts w:eastAsia="標楷體"/>
          <w:sz w:val="28"/>
          <w:szCs w:val="28"/>
        </w:rPr>
      </w:pPr>
    </w:p>
    <w:p w:rsidR="00934471" w:rsidRPr="00D55DC6" w:rsidRDefault="00CA440C" w:rsidP="0038165F">
      <w:pPr>
        <w:pStyle w:val="a"/>
        <w:ind w:left="709" w:hanging="709"/>
        <w:rPr>
          <w:b/>
        </w:rPr>
      </w:pPr>
      <w:bookmarkStart w:id="75" w:name="_Toc407181653"/>
      <w:r w:rsidRPr="00D55DC6">
        <w:rPr>
          <w:b/>
        </w:rPr>
        <w:t>現行相關政策及方案之檢</w:t>
      </w:r>
      <w:bookmarkEnd w:id="75"/>
      <w:r w:rsidRPr="00D55DC6">
        <w:rPr>
          <w:b/>
        </w:rPr>
        <w:t>討</w:t>
      </w:r>
    </w:p>
    <w:p w:rsidR="00934471" w:rsidRPr="00D55DC6" w:rsidRDefault="00934471" w:rsidP="004865C1">
      <w:pPr>
        <w:pStyle w:val="af2"/>
        <w:numPr>
          <w:ilvl w:val="0"/>
          <w:numId w:val="49"/>
        </w:numPr>
        <w:snapToGrid w:val="0"/>
        <w:spacing w:line="460" w:lineRule="exact"/>
        <w:ind w:leftChars="0"/>
        <w:jc w:val="both"/>
        <w:rPr>
          <w:rFonts w:eastAsia="標楷體"/>
          <w:sz w:val="28"/>
          <w:szCs w:val="28"/>
        </w:rPr>
      </w:pPr>
      <w:r w:rsidRPr="00D55DC6">
        <w:rPr>
          <w:rFonts w:eastAsia="標楷體"/>
          <w:b/>
          <w:sz w:val="28"/>
          <w:szCs w:val="28"/>
        </w:rPr>
        <w:t>重要觀光景點建設中程計畫</w:t>
      </w:r>
      <w:r w:rsidRPr="00D55DC6">
        <w:rPr>
          <w:rFonts w:eastAsia="標楷體"/>
          <w:b/>
          <w:sz w:val="28"/>
          <w:szCs w:val="28"/>
        </w:rPr>
        <w:t>(101-104</w:t>
      </w:r>
      <w:r w:rsidRPr="00D55DC6">
        <w:rPr>
          <w:rFonts w:eastAsia="標楷體"/>
          <w:b/>
          <w:sz w:val="28"/>
          <w:szCs w:val="28"/>
        </w:rPr>
        <w:t>年</w:t>
      </w:r>
      <w:r w:rsidRPr="00D55DC6">
        <w:rPr>
          <w:rFonts w:eastAsia="標楷體"/>
          <w:b/>
          <w:sz w:val="28"/>
          <w:szCs w:val="28"/>
        </w:rPr>
        <w:t>)</w:t>
      </w:r>
      <w:r w:rsidRPr="00D55DC6">
        <w:rPr>
          <w:rFonts w:eastAsia="標楷體"/>
          <w:sz w:val="28"/>
          <w:szCs w:val="28"/>
        </w:rPr>
        <w:t>(</w:t>
      </w:r>
      <w:r w:rsidRPr="00D55DC6">
        <w:rPr>
          <w:rFonts w:eastAsia="標楷體"/>
          <w:sz w:val="28"/>
          <w:szCs w:val="28"/>
        </w:rPr>
        <w:t>截至</w:t>
      </w:r>
      <w:r w:rsidRPr="00D55DC6">
        <w:rPr>
          <w:rFonts w:eastAsia="標楷體"/>
          <w:sz w:val="28"/>
          <w:szCs w:val="28"/>
        </w:rPr>
        <w:t>103</w:t>
      </w:r>
      <w:r w:rsidRPr="00D55DC6">
        <w:rPr>
          <w:rFonts w:eastAsia="標楷體"/>
          <w:sz w:val="28"/>
          <w:szCs w:val="28"/>
        </w:rPr>
        <w:t>年</w:t>
      </w:r>
      <w:r w:rsidRPr="00D55DC6">
        <w:rPr>
          <w:rFonts w:eastAsia="標楷體"/>
          <w:sz w:val="28"/>
          <w:szCs w:val="28"/>
        </w:rPr>
        <w:t>1</w:t>
      </w:r>
      <w:r w:rsidR="00CA440C" w:rsidRPr="00D55DC6">
        <w:rPr>
          <w:rFonts w:eastAsia="標楷體"/>
          <w:sz w:val="28"/>
          <w:szCs w:val="28"/>
        </w:rPr>
        <w:t>2</w:t>
      </w:r>
      <w:r w:rsidRPr="00D55DC6">
        <w:rPr>
          <w:rFonts w:eastAsia="標楷體"/>
          <w:sz w:val="28"/>
          <w:szCs w:val="28"/>
        </w:rPr>
        <w:t>月底成果</w:t>
      </w:r>
      <w:r w:rsidRPr="00D55DC6">
        <w:rPr>
          <w:rFonts w:eastAsia="標楷體"/>
          <w:sz w:val="28"/>
          <w:szCs w:val="28"/>
        </w:rPr>
        <w:t>)</w:t>
      </w:r>
    </w:p>
    <w:p w:rsidR="00934471" w:rsidRPr="00D55DC6" w:rsidRDefault="00934471" w:rsidP="004865C1">
      <w:pPr>
        <w:pStyle w:val="af2"/>
        <w:numPr>
          <w:ilvl w:val="0"/>
          <w:numId w:val="50"/>
        </w:numPr>
        <w:snapToGrid w:val="0"/>
        <w:spacing w:line="460" w:lineRule="exact"/>
        <w:ind w:leftChars="0"/>
        <w:jc w:val="both"/>
        <w:rPr>
          <w:rFonts w:eastAsia="標楷體"/>
          <w:b/>
          <w:sz w:val="28"/>
          <w:szCs w:val="28"/>
        </w:rPr>
      </w:pPr>
      <w:r w:rsidRPr="00D55DC6">
        <w:rPr>
          <w:rFonts w:eastAsia="標楷體"/>
          <w:b/>
          <w:sz w:val="28"/>
          <w:szCs w:val="28"/>
        </w:rPr>
        <w:t>預算執行情形</w:t>
      </w:r>
      <w:r w:rsidR="00ED041B" w:rsidRPr="00D55DC6">
        <w:rPr>
          <w:rFonts w:eastAsia="標楷體"/>
          <w:b/>
          <w:sz w:val="28"/>
          <w:szCs w:val="28"/>
        </w:rPr>
        <w:t xml:space="preserve">   (</w:t>
      </w:r>
      <w:r w:rsidR="00ED041B" w:rsidRPr="00D55DC6">
        <w:rPr>
          <w:rFonts w:eastAsia="標楷體"/>
          <w:b/>
          <w:sz w:val="28"/>
          <w:szCs w:val="28"/>
        </w:rPr>
        <w:t>單位</w:t>
      </w:r>
      <w:r w:rsidR="00ED041B" w:rsidRPr="00D55DC6">
        <w:rPr>
          <w:rFonts w:eastAsia="標楷體"/>
          <w:b/>
          <w:sz w:val="28"/>
          <w:szCs w:val="28"/>
        </w:rPr>
        <w:t>:</w:t>
      </w:r>
      <w:r w:rsidR="00ED041B" w:rsidRPr="00D55DC6">
        <w:rPr>
          <w:rFonts w:eastAsia="標楷體"/>
          <w:b/>
          <w:sz w:val="28"/>
          <w:szCs w:val="28"/>
        </w:rPr>
        <w:t>億元</w:t>
      </w:r>
      <w:r w:rsidR="00ED041B" w:rsidRPr="00D55DC6">
        <w:rPr>
          <w:rFonts w:eastAsia="標楷體"/>
          <w:b/>
          <w:sz w:val="28"/>
          <w:szCs w:val="28"/>
        </w:rPr>
        <w:t>)</w:t>
      </w:r>
    </w:p>
    <w:tbl>
      <w:tblPr>
        <w:tblStyle w:val="a6"/>
        <w:tblW w:w="0" w:type="auto"/>
        <w:tblInd w:w="534" w:type="dxa"/>
        <w:tblLook w:val="04A0" w:firstRow="1" w:lastRow="0" w:firstColumn="1" w:lastColumn="0" w:noHBand="0" w:noVBand="1"/>
      </w:tblPr>
      <w:tblGrid>
        <w:gridCol w:w="4298"/>
        <w:gridCol w:w="1686"/>
        <w:gridCol w:w="1686"/>
        <w:gridCol w:w="1082"/>
      </w:tblGrid>
      <w:tr w:rsidR="001D0350" w:rsidRPr="00D55DC6" w:rsidTr="00F165E2">
        <w:tc>
          <w:tcPr>
            <w:tcW w:w="4298" w:type="dxa"/>
            <w:vAlign w:val="center"/>
          </w:tcPr>
          <w:p w:rsidR="006D7CB3" w:rsidRPr="00D55DC6" w:rsidRDefault="006D7CB3" w:rsidP="0038165F">
            <w:pPr>
              <w:snapToGrid w:val="0"/>
              <w:spacing w:line="460" w:lineRule="exact"/>
              <w:jc w:val="center"/>
              <w:rPr>
                <w:rFonts w:eastAsia="標楷體"/>
                <w:szCs w:val="28"/>
              </w:rPr>
            </w:pPr>
            <w:r w:rsidRPr="00D55DC6">
              <w:rPr>
                <w:rFonts w:eastAsia="標楷體"/>
                <w:szCs w:val="28"/>
              </w:rPr>
              <w:t>計畫名稱</w:t>
            </w:r>
          </w:p>
        </w:tc>
        <w:tc>
          <w:tcPr>
            <w:tcW w:w="1686" w:type="dxa"/>
          </w:tcPr>
          <w:p w:rsidR="006D7CB3" w:rsidRPr="00D55DC6" w:rsidRDefault="006D7CB3" w:rsidP="0038165F">
            <w:pPr>
              <w:snapToGrid w:val="0"/>
              <w:spacing w:line="460" w:lineRule="exact"/>
              <w:jc w:val="center"/>
              <w:rPr>
                <w:rFonts w:eastAsia="標楷體"/>
                <w:szCs w:val="28"/>
              </w:rPr>
            </w:pPr>
            <w:r w:rsidRPr="00D55DC6">
              <w:rPr>
                <w:rFonts w:eastAsia="標楷體"/>
                <w:szCs w:val="28"/>
              </w:rPr>
              <w:t>總累計編列數</w:t>
            </w:r>
            <w:r w:rsidRPr="00D55DC6">
              <w:rPr>
                <w:rFonts w:eastAsia="標楷體"/>
                <w:szCs w:val="28"/>
              </w:rPr>
              <w:t>(A)</w:t>
            </w:r>
          </w:p>
        </w:tc>
        <w:tc>
          <w:tcPr>
            <w:tcW w:w="1686" w:type="dxa"/>
          </w:tcPr>
          <w:p w:rsidR="006D7CB3" w:rsidRPr="00D55DC6" w:rsidRDefault="006D7CB3" w:rsidP="0038165F">
            <w:pPr>
              <w:snapToGrid w:val="0"/>
              <w:spacing w:line="460" w:lineRule="exact"/>
              <w:jc w:val="center"/>
              <w:rPr>
                <w:rFonts w:eastAsia="標楷體"/>
                <w:szCs w:val="28"/>
              </w:rPr>
            </w:pPr>
            <w:r w:rsidRPr="00D55DC6">
              <w:rPr>
                <w:rFonts w:eastAsia="標楷體"/>
                <w:szCs w:val="28"/>
              </w:rPr>
              <w:t>總累計實支數</w:t>
            </w:r>
            <w:r w:rsidRPr="00D55DC6">
              <w:rPr>
                <w:rFonts w:eastAsia="標楷體"/>
                <w:szCs w:val="28"/>
              </w:rPr>
              <w:t>(B)</w:t>
            </w:r>
          </w:p>
        </w:tc>
        <w:tc>
          <w:tcPr>
            <w:tcW w:w="1082" w:type="dxa"/>
          </w:tcPr>
          <w:p w:rsidR="006D7CB3" w:rsidRPr="00D55DC6" w:rsidRDefault="006D7CB3" w:rsidP="0038165F">
            <w:pPr>
              <w:snapToGrid w:val="0"/>
              <w:spacing w:line="460" w:lineRule="exact"/>
              <w:jc w:val="center"/>
              <w:rPr>
                <w:rFonts w:eastAsia="標楷體"/>
                <w:szCs w:val="28"/>
              </w:rPr>
            </w:pPr>
            <w:r w:rsidRPr="00D55DC6">
              <w:rPr>
                <w:rFonts w:eastAsia="標楷體"/>
                <w:szCs w:val="28"/>
              </w:rPr>
              <w:t>支用比</w:t>
            </w:r>
          </w:p>
          <w:p w:rsidR="006D7CB3" w:rsidRPr="00D55DC6" w:rsidRDefault="006D7CB3" w:rsidP="0038165F">
            <w:pPr>
              <w:snapToGrid w:val="0"/>
              <w:spacing w:line="460" w:lineRule="exact"/>
              <w:jc w:val="center"/>
              <w:rPr>
                <w:rFonts w:eastAsia="標楷體"/>
                <w:szCs w:val="28"/>
              </w:rPr>
            </w:pPr>
            <w:r w:rsidRPr="00D55DC6">
              <w:rPr>
                <w:rFonts w:eastAsia="標楷體"/>
                <w:szCs w:val="28"/>
              </w:rPr>
              <w:t>(B/A%)</w:t>
            </w:r>
          </w:p>
        </w:tc>
      </w:tr>
      <w:tr w:rsidR="001D0350" w:rsidRPr="00D55DC6" w:rsidTr="00C336E5">
        <w:tc>
          <w:tcPr>
            <w:tcW w:w="4298" w:type="dxa"/>
            <w:vAlign w:val="center"/>
          </w:tcPr>
          <w:p w:rsidR="00CA440C" w:rsidRPr="00D55DC6" w:rsidRDefault="00CA440C" w:rsidP="0038165F">
            <w:pPr>
              <w:widowControl/>
              <w:spacing w:line="460" w:lineRule="exact"/>
              <w:rPr>
                <w:rFonts w:eastAsia="標楷體"/>
                <w:kern w:val="0"/>
                <w:lang w:bidi="sa-IN"/>
              </w:rPr>
            </w:pPr>
            <w:r w:rsidRPr="00D55DC6">
              <w:rPr>
                <w:rFonts w:eastAsia="標楷體"/>
                <w:kern w:val="0"/>
                <w:lang w:bidi="sa-IN"/>
              </w:rPr>
              <w:t>北海岸及觀音山國家風景區建設計畫</w:t>
            </w:r>
          </w:p>
        </w:tc>
        <w:tc>
          <w:tcPr>
            <w:tcW w:w="1686" w:type="dxa"/>
            <w:vAlign w:val="center"/>
          </w:tcPr>
          <w:p w:rsidR="00CA440C" w:rsidRPr="00D55DC6" w:rsidRDefault="00CA440C" w:rsidP="00C336E5">
            <w:pPr>
              <w:jc w:val="center"/>
            </w:pPr>
            <w:r w:rsidRPr="00D55DC6">
              <w:t>4.59500</w:t>
            </w:r>
          </w:p>
        </w:tc>
        <w:tc>
          <w:tcPr>
            <w:tcW w:w="1686" w:type="dxa"/>
            <w:vAlign w:val="center"/>
          </w:tcPr>
          <w:p w:rsidR="00CA440C" w:rsidRPr="00D55DC6" w:rsidRDefault="00CA440C" w:rsidP="00C336E5">
            <w:pPr>
              <w:jc w:val="center"/>
            </w:pPr>
            <w:r w:rsidRPr="00D55DC6">
              <w:t>4.72834</w:t>
            </w:r>
          </w:p>
        </w:tc>
        <w:tc>
          <w:tcPr>
            <w:tcW w:w="1082" w:type="dxa"/>
            <w:vAlign w:val="center"/>
          </w:tcPr>
          <w:p w:rsidR="00CA440C" w:rsidRPr="00D55DC6" w:rsidRDefault="00CA440C" w:rsidP="00C336E5">
            <w:pPr>
              <w:jc w:val="center"/>
            </w:pPr>
            <w:r w:rsidRPr="00D55DC6">
              <w:t>100.00%</w:t>
            </w:r>
          </w:p>
        </w:tc>
      </w:tr>
    </w:tbl>
    <w:p w:rsidR="00934471" w:rsidRPr="00D55DC6" w:rsidRDefault="00934471" w:rsidP="0038165F">
      <w:pPr>
        <w:snapToGrid w:val="0"/>
        <w:spacing w:line="460" w:lineRule="exact"/>
        <w:ind w:leftChars="295" w:left="1315" w:hangingChars="253" w:hanging="607"/>
        <w:jc w:val="both"/>
        <w:rPr>
          <w:rFonts w:eastAsia="標楷體"/>
          <w:szCs w:val="28"/>
        </w:rPr>
      </w:pPr>
      <w:r w:rsidRPr="00D55DC6">
        <w:rPr>
          <w:rFonts w:eastAsia="標楷體"/>
          <w:szCs w:val="28"/>
        </w:rPr>
        <w:t>註</w:t>
      </w:r>
      <w:r w:rsidRPr="00D55DC6">
        <w:rPr>
          <w:rFonts w:eastAsia="標楷體"/>
          <w:szCs w:val="28"/>
        </w:rPr>
        <w:t xml:space="preserve"> 1.</w:t>
      </w:r>
      <w:r w:rsidRPr="00D55DC6">
        <w:rPr>
          <w:rFonts w:eastAsia="標楷體"/>
          <w:szCs w:val="28"/>
        </w:rPr>
        <w:t>「總累計編列數</w:t>
      </w:r>
      <w:r w:rsidRPr="00D55DC6">
        <w:rPr>
          <w:rFonts w:eastAsia="標楷體"/>
          <w:szCs w:val="28"/>
        </w:rPr>
        <w:t>(A)</w:t>
      </w:r>
      <w:r w:rsidRPr="00D55DC6">
        <w:rPr>
          <w:rFonts w:eastAsia="標楷體"/>
          <w:szCs w:val="28"/>
        </w:rPr>
        <w:t>」為</w:t>
      </w:r>
      <w:r w:rsidRPr="00D55DC6">
        <w:rPr>
          <w:rFonts w:eastAsia="標楷體"/>
          <w:szCs w:val="28"/>
        </w:rPr>
        <w:t>101</w:t>
      </w:r>
      <w:r w:rsidRPr="00D55DC6">
        <w:rPr>
          <w:rFonts w:eastAsia="標楷體"/>
          <w:szCs w:val="28"/>
        </w:rPr>
        <w:t>年</w:t>
      </w:r>
      <w:r w:rsidRPr="00D55DC6">
        <w:rPr>
          <w:rFonts w:eastAsia="標楷體"/>
          <w:szCs w:val="28"/>
        </w:rPr>
        <w:t>1</w:t>
      </w:r>
      <w:r w:rsidRPr="00D55DC6">
        <w:rPr>
          <w:rFonts w:eastAsia="標楷體"/>
          <w:szCs w:val="28"/>
        </w:rPr>
        <w:t>月至</w:t>
      </w:r>
      <w:r w:rsidRPr="00D55DC6">
        <w:rPr>
          <w:rFonts w:eastAsia="標楷體"/>
          <w:szCs w:val="28"/>
        </w:rPr>
        <w:t>103</w:t>
      </w:r>
      <w:r w:rsidRPr="00D55DC6">
        <w:rPr>
          <w:rFonts w:eastAsia="標楷體"/>
          <w:szCs w:val="28"/>
        </w:rPr>
        <w:t>年</w:t>
      </w:r>
      <w:r w:rsidR="00CA440C" w:rsidRPr="00D55DC6">
        <w:rPr>
          <w:rFonts w:eastAsia="標楷體"/>
          <w:szCs w:val="28"/>
        </w:rPr>
        <w:t>12</w:t>
      </w:r>
      <w:r w:rsidRPr="00D55DC6">
        <w:rPr>
          <w:rFonts w:eastAsia="標楷體"/>
          <w:szCs w:val="28"/>
        </w:rPr>
        <w:t>月累計實際可支用數。</w:t>
      </w:r>
    </w:p>
    <w:p w:rsidR="00934471" w:rsidRPr="00D55DC6" w:rsidRDefault="00934471" w:rsidP="0038165F">
      <w:pPr>
        <w:snapToGrid w:val="0"/>
        <w:spacing w:line="460" w:lineRule="exact"/>
        <w:jc w:val="both"/>
        <w:rPr>
          <w:rFonts w:eastAsia="標楷體"/>
          <w:szCs w:val="28"/>
        </w:rPr>
      </w:pPr>
      <w:r w:rsidRPr="00D55DC6">
        <w:rPr>
          <w:rFonts w:eastAsia="標楷體"/>
          <w:szCs w:val="28"/>
        </w:rPr>
        <w:t xml:space="preserve">         2.</w:t>
      </w:r>
      <w:r w:rsidRPr="00D55DC6">
        <w:rPr>
          <w:rFonts w:eastAsia="標楷體"/>
          <w:szCs w:val="28"/>
        </w:rPr>
        <w:t>「總累計實支數</w:t>
      </w:r>
      <w:r w:rsidRPr="00D55DC6">
        <w:rPr>
          <w:rFonts w:eastAsia="標楷體"/>
          <w:szCs w:val="28"/>
        </w:rPr>
        <w:t>(B)</w:t>
      </w:r>
      <w:r w:rsidRPr="00D55DC6">
        <w:rPr>
          <w:rFonts w:eastAsia="標楷體"/>
          <w:szCs w:val="28"/>
        </w:rPr>
        <w:t>」為</w:t>
      </w:r>
      <w:r w:rsidRPr="00D55DC6">
        <w:rPr>
          <w:rFonts w:eastAsia="標楷體"/>
          <w:szCs w:val="28"/>
        </w:rPr>
        <w:t>101</w:t>
      </w:r>
      <w:r w:rsidRPr="00D55DC6">
        <w:rPr>
          <w:rFonts w:eastAsia="標楷體"/>
          <w:szCs w:val="28"/>
        </w:rPr>
        <w:t>年</w:t>
      </w:r>
      <w:r w:rsidRPr="00D55DC6">
        <w:rPr>
          <w:rFonts w:eastAsia="標楷體"/>
          <w:szCs w:val="28"/>
        </w:rPr>
        <w:t>1</w:t>
      </w:r>
      <w:r w:rsidRPr="00D55DC6">
        <w:rPr>
          <w:rFonts w:eastAsia="標楷體"/>
          <w:szCs w:val="28"/>
        </w:rPr>
        <w:t>月至</w:t>
      </w:r>
      <w:r w:rsidRPr="00D55DC6">
        <w:rPr>
          <w:rFonts w:eastAsia="標楷體"/>
          <w:szCs w:val="28"/>
        </w:rPr>
        <w:t>103</w:t>
      </w:r>
      <w:r w:rsidRPr="00D55DC6">
        <w:rPr>
          <w:rFonts w:eastAsia="標楷體"/>
          <w:szCs w:val="28"/>
        </w:rPr>
        <w:t>年</w:t>
      </w:r>
      <w:r w:rsidR="00CA440C" w:rsidRPr="00D55DC6">
        <w:rPr>
          <w:rFonts w:eastAsia="標楷體"/>
          <w:szCs w:val="28"/>
        </w:rPr>
        <w:t>12</w:t>
      </w:r>
      <w:r w:rsidRPr="00D55DC6">
        <w:rPr>
          <w:rFonts w:eastAsia="標楷體"/>
          <w:szCs w:val="28"/>
        </w:rPr>
        <w:t>月累計實支數。</w:t>
      </w:r>
    </w:p>
    <w:p w:rsidR="004D7B00" w:rsidRPr="00D55DC6" w:rsidRDefault="004D7B00" w:rsidP="0038165F">
      <w:pPr>
        <w:snapToGrid w:val="0"/>
        <w:spacing w:line="460" w:lineRule="exact"/>
        <w:jc w:val="both"/>
        <w:rPr>
          <w:rFonts w:eastAsia="標楷體"/>
          <w:sz w:val="28"/>
          <w:szCs w:val="28"/>
        </w:rPr>
      </w:pPr>
    </w:p>
    <w:p w:rsidR="00934471" w:rsidRPr="00D55DC6" w:rsidRDefault="00934471" w:rsidP="004865C1">
      <w:pPr>
        <w:pStyle w:val="af2"/>
        <w:numPr>
          <w:ilvl w:val="0"/>
          <w:numId w:val="50"/>
        </w:numPr>
        <w:snapToGrid w:val="0"/>
        <w:spacing w:line="460" w:lineRule="exact"/>
        <w:ind w:leftChars="0"/>
        <w:jc w:val="both"/>
        <w:rPr>
          <w:rFonts w:eastAsia="標楷體"/>
          <w:b/>
          <w:sz w:val="28"/>
          <w:szCs w:val="28"/>
        </w:rPr>
      </w:pPr>
      <w:r w:rsidRPr="00D55DC6">
        <w:rPr>
          <w:rFonts w:eastAsia="標楷體"/>
          <w:b/>
          <w:sz w:val="28"/>
          <w:szCs w:val="28"/>
        </w:rPr>
        <w:t>重要執行成果</w:t>
      </w:r>
      <w:r w:rsidRPr="00D55DC6">
        <w:rPr>
          <w:rFonts w:eastAsia="標楷體"/>
          <w:b/>
          <w:sz w:val="28"/>
          <w:szCs w:val="28"/>
        </w:rPr>
        <w:t xml:space="preserve">  </w:t>
      </w:r>
    </w:p>
    <w:p w:rsidR="00934471" w:rsidRPr="00D55DC6" w:rsidRDefault="00934471" w:rsidP="0038165F">
      <w:pPr>
        <w:snapToGrid w:val="0"/>
        <w:spacing w:line="460" w:lineRule="exact"/>
        <w:ind w:left="305" w:firstLine="546"/>
        <w:jc w:val="both"/>
        <w:rPr>
          <w:rFonts w:eastAsia="標楷體"/>
          <w:b/>
          <w:sz w:val="28"/>
          <w:szCs w:val="28"/>
        </w:rPr>
      </w:pPr>
      <w:r w:rsidRPr="00D55DC6">
        <w:rPr>
          <w:rFonts w:eastAsia="標楷體"/>
          <w:b/>
          <w:sz w:val="28"/>
          <w:szCs w:val="28"/>
        </w:rPr>
        <w:t>2-1.</w:t>
      </w:r>
      <w:r w:rsidRPr="00D55DC6">
        <w:rPr>
          <w:rFonts w:eastAsia="標楷體"/>
          <w:b/>
          <w:sz w:val="28"/>
          <w:szCs w:val="28"/>
        </w:rPr>
        <w:t>國際觀光重要景點建設</w:t>
      </w:r>
    </w:p>
    <w:p w:rsidR="00934471" w:rsidRPr="00D55DC6" w:rsidRDefault="00934471" w:rsidP="00F165E2">
      <w:pPr>
        <w:snapToGrid w:val="0"/>
        <w:spacing w:line="460" w:lineRule="exact"/>
        <w:ind w:leftChars="472" w:left="1841" w:hangingChars="253" w:hanging="708"/>
        <w:jc w:val="both"/>
        <w:rPr>
          <w:rFonts w:eastAsia="標楷體"/>
          <w:sz w:val="28"/>
          <w:szCs w:val="28"/>
        </w:rPr>
      </w:pPr>
      <w:r w:rsidRPr="00D55DC6">
        <w:rPr>
          <w:rFonts w:eastAsia="標楷體"/>
          <w:sz w:val="28"/>
          <w:szCs w:val="28"/>
        </w:rPr>
        <w:t>2-1-1.</w:t>
      </w:r>
      <w:r w:rsidRPr="00D55DC6">
        <w:rPr>
          <w:rFonts w:eastAsia="標楷體"/>
          <w:sz w:val="28"/>
          <w:szCs w:val="28"/>
        </w:rPr>
        <w:t>白沙灣遊憩區：完成白沙灣公共設施以及周邊環境景觀改善工程。</w:t>
      </w:r>
    </w:p>
    <w:p w:rsidR="00934471" w:rsidRPr="00D55DC6" w:rsidRDefault="00934471" w:rsidP="00F165E2">
      <w:pPr>
        <w:snapToGrid w:val="0"/>
        <w:spacing w:line="460" w:lineRule="exact"/>
        <w:ind w:leftChars="472" w:left="1841" w:hangingChars="253" w:hanging="708"/>
        <w:jc w:val="both"/>
        <w:rPr>
          <w:rFonts w:eastAsia="標楷體"/>
          <w:sz w:val="28"/>
          <w:szCs w:val="28"/>
        </w:rPr>
      </w:pPr>
      <w:r w:rsidRPr="00D55DC6">
        <w:rPr>
          <w:rFonts w:eastAsia="標楷體"/>
          <w:sz w:val="28"/>
          <w:szCs w:val="28"/>
        </w:rPr>
        <w:t>2-2-2.</w:t>
      </w:r>
      <w:r w:rsidRPr="00D55DC6">
        <w:rPr>
          <w:rFonts w:eastAsia="標楷體"/>
          <w:sz w:val="28"/>
          <w:szCs w:val="28"/>
        </w:rPr>
        <w:t>金山獅頭山及中角遊憩區：完成金山中角及獅頭山地區周邊環境及景觀改善工程。</w:t>
      </w:r>
    </w:p>
    <w:p w:rsidR="00934471" w:rsidRPr="00D55DC6" w:rsidRDefault="00934471" w:rsidP="00F165E2">
      <w:pPr>
        <w:snapToGrid w:val="0"/>
        <w:spacing w:line="460" w:lineRule="exact"/>
        <w:ind w:leftChars="472" w:left="1841" w:hangingChars="253" w:hanging="708"/>
        <w:jc w:val="both"/>
        <w:rPr>
          <w:rFonts w:eastAsia="標楷體"/>
          <w:sz w:val="28"/>
          <w:szCs w:val="28"/>
        </w:rPr>
      </w:pPr>
      <w:r w:rsidRPr="00D55DC6">
        <w:rPr>
          <w:rFonts w:eastAsia="標楷體"/>
          <w:sz w:val="28"/>
          <w:szCs w:val="28"/>
        </w:rPr>
        <w:t>2-3-3.</w:t>
      </w:r>
      <w:r w:rsidRPr="00D55DC6">
        <w:rPr>
          <w:rFonts w:eastAsia="標楷體"/>
          <w:sz w:val="28"/>
          <w:szCs w:val="28"/>
        </w:rPr>
        <w:t>萬里及野柳遊憩區：完成野柳地質公園景觀改善工程、野柳地區環境及景觀改善工程。</w:t>
      </w:r>
    </w:p>
    <w:p w:rsidR="00934471" w:rsidRPr="00D55DC6" w:rsidRDefault="00934471" w:rsidP="0038165F">
      <w:pPr>
        <w:snapToGrid w:val="0"/>
        <w:spacing w:line="460" w:lineRule="exact"/>
        <w:ind w:left="480" w:firstLine="371"/>
        <w:jc w:val="both"/>
        <w:rPr>
          <w:rFonts w:eastAsia="標楷體"/>
          <w:b/>
          <w:sz w:val="28"/>
          <w:szCs w:val="28"/>
        </w:rPr>
      </w:pPr>
      <w:r w:rsidRPr="00D55DC6">
        <w:rPr>
          <w:rFonts w:eastAsia="標楷體"/>
          <w:b/>
          <w:sz w:val="28"/>
          <w:szCs w:val="28"/>
        </w:rPr>
        <w:t>2-2.</w:t>
      </w:r>
      <w:r w:rsidRPr="00D55DC6">
        <w:rPr>
          <w:rFonts w:eastAsia="標楷體"/>
          <w:b/>
          <w:sz w:val="28"/>
          <w:szCs w:val="28"/>
        </w:rPr>
        <w:t>國內觀光重要景點建設</w:t>
      </w:r>
    </w:p>
    <w:p w:rsidR="00934471" w:rsidRPr="00D55DC6" w:rsidRDefault="00934471" w:rsidP="00F165E2">
      <w:pPr>
        <w:snapToGrid w:val="0"/>
        <w:spacing w:line="460" w:lineRule="exact"/>
        <w:ind w:leftChars="472" w:left="1841" w:hangingChars="253" w:hanging="708"/>
        <w:jc w:val="both"/>
        <w:rPr>
          <w:rFonts w:eastAsia="標楷體"/>
          <w:sz w:val="28"/>
          <w:szCs w:val="28"/>
        </w:rPr>
      </w:pPr>
      <w:r w:rsidRPr="00D55DC6">
        <w:rPr>
          <w:rFonts w:eastAsia="標楷體"/>
          <w:sz w:val="28"/>
          <w:szCs w:val="28"/>
        </w:rPr>
        <w:t>2-2-1.</w:t>
      </w:r>
      <w:r w:rsidRPr="00D55DC6">
        <w:rPr>
          <w:rFonts w:eastAsia="標楷體"/>
          <w:sz w:val="28"/>
          <w:szCs w:val="28"/>
        </w:rPr>
        <w:t>三芝遊憩區：完成三芝遊客中心空間景觀、展示改善工程、三芝濱海步道工程。</w:t>
      </w:r>
    </w:p>
    <w:p w:rsidR="00934471" w:rsidRPr="00D55DC6" w:rsidRDefault="00934471" w:rsidP="00F165E2">
      <w:pPr>
        <w:snapToGrid w:val="0"/>
        <w:spacing w:line="460" w:lineRule="exact"/>
        <w:ind w:leftChars="472" w:left="1841" w:hangingChars="253" w:hanging="708"/>
        <w:jc w:val="both"/>
        <w:rPr>
          <w:rFonts w:eastAsia="標楷體"/>
          <w:sz w:val="28"/>
          <w:szCs w:val="28"/>
        </w:rPr>
      </w:pPr>
      <w:r w:rsidRPr="00D55DC6">
        <w:rPr>
          <w:rFonts w:eastAsia="標楷體"/>
          <w:sz w:val="28"/>
          <w:szCs w:val="28"/>
        </w:rPr>
        <w:lastRenderedPageBreak/>
        <w:t>2-2-2.</w:t>
      </w:r>
      <w:r w:rsidRPr="00D55DC6">
        <w:rPr>
          <w:rFonts w:eastAsia="標楷體"/>
          <w:sz w:val="28"/>
          <w:szCs w:val="28"/>
        </w:rPr>
        <w:t>石門遊憩區：完成石門遊憩據點周邊環境改善工程用地取得。</w:t>
      </w:r>
    </w:p>
    <w:p w:rsidR="00934471" w:rsidRPr="00D55DC6" w:rsidRDefault="00934471" w:rsidP="00F165E2">
      <w:pPr>
        <w:snapToGrid w:val="0"/>
        <w:spacing w:line="460" w:lineRule="exact"/>
        <w:ind w:leftChars="472" w:left="1841" w:hangingChars="253" w:hanging="708"/>
        <w:jc w:val="both"/>
        <w:rPr>
          <w:rFonts w:eastAsia="標楷體"/>
          <w:sz w:val="28"/>
          <w:szCs w:val="28"/>
        </w:rPr>
      </w:pPr>
      <w:r w:rsidRPr="00D55DC6">
        <w:rPr>
          <w:rFonts w:eastAsia="標楷體"/>
          <w:sz w:val="28"/>
          <w:szCs w:val="28"/>
        </w:rPr>
        <w:t>2-2-3.</w:t>
      </w:r>
      <w:r w:rsidRPr="00D55DC6">
        <w:rPr>
          <w:rFonts w:eastAsia="標楷體"/>
          <w:sz w:val="28"/>
          <w:szCs w:val="28"/>
        </w:rPr>
        <w:t>觀音山遊憩區：完成觀音山步道、公共設施及周邊環境景觀改善工程。</w:t>
      </w:r>
    </w:p>
    <w:p w:rsidR="00934471" w:rsidRPr="00D55DC6" w:rsidRDefault="00934471" w:rsidP="0038165F">
      <w:pPr>
        <w:snapToGrid w:val="0"/>
        <w:spacing w:line="460" w:lineRule="exact"/>
        <w:ind w:left="480" w:firstLine="371"/>
        <w:jc w:val="both"/>
        <w:rPr>
          <w:rFonts w:eastAsia="標楷體"/>
          <w:b/>
          <w:sz w:val="28"/>
          <w:szCs w:val="28"/>
        </w:rPr>
      </w:pPr>
      <w:r w:rsidRPr="00D55DC6">
        <w:rPr>
          <w:rFonts w:eastAsia="標楷體"/>
          <w:b/>
          <w:sz w:val="28"/>
          <w:szCs w:val="28"/>
        </w:rPr>
        <w:t>2-3.</w:t>
      </w:r>
      <w:r w:rsidRPr="00D55DC6">
        <w:rPr>
          <w:rFonts w:eastAsia="標楷體"/>
          <w:b/>
          <w:sz w:val="28"/>
          <w:szCs w:val="28"/>
        </w:rPr>
        <w:t>地方觀光重要景點建設</w:t>
      </w:r>
    </w:p>
    <w:p w:rsidR="00934471" w:rsidRPr="00D55DC6" w:rsidRDefault="00934471" w:rsidP="00F165E2">
      <w:pPr>
        <w:snapToGrid w:val="0"/>
        <w:spacing w:line="460" w:lineRule="exact"/>
        <w:ind w:leftChars="472" w:left="1841" w:hangingChars="253" w:hanging="708"/>
        <w:jc w:val="both"/>
        <w:rPr>
          <w:rFonts w:eastAsia="標楷體"/>
          <w:sz w:val="28"/>
          <w:szCs w:val="28"/>
        </w:rPr>
      </w:pPr>
      <w:r w:rsidRPr="00D55DC6">
        <w:rPr>
          <w:rFonts w:eastAsia="標楷體"/>
          <w:sz w:val="28"/>
          <w:szCs w:val="28"/>
        </w:rPr>
        <w:t>2-3-1.</w:t>
      </w:r>
      <w:r w:rsidRPr="00D55DC6">
        <w:rPr>
          <w:rFonts w:eastAsia="標楷體"/>
          <w:sz w:val="28"/>
          <w:szCs w:val="28"/>
        </w:rPr>
        <w:t>北海岸自行車道系統及臺</w:t>
      </w:r>
      <w:r w:rsidRPr="00D55DC6">
        <w:rPr>
          <w:rFonts w:eastAsia="標楷體"/>
          <w:sz w:val="28"/>
          <w:szCs w:val="28"/>
        </w:rPr>
        <w:t>2</w:t>
      </w:r>
      <w:r w:rsidRPr="00D55DC6">
        <w:rPr>
          <w:rFonts w:eastAsia="標楷體"/>
          <w:sz w:val="28"/>
          <w:szCs w:val="28"/>
        </w:rPr>
        <w:t>線路廊景觀改善：完成北海岸（金山萬里、白沙灣麟山鼻、三芝石門）自行車道改善工程、完成龜吼地區及臺</w:t>
      </w:r>
      <w:r w:rsidRPr="00D55DC6">
        <w:rPr>
          <w:rFonts w:eastAsia="標楷體"/>
          <w:sz w:val="28"/>
          <w:szCs w:val="28"/>
        </w:rPr>
        <w:t>2</w:t>
      </w:r>
      <w:r w:rsidRPr="00D55DC6">
        <w:rPr>
          <w:rFonts w:eastAsia="標楷體"/>
          <w:sz w:val="28"/>
          <w:szCs w:val="28"/>
        </w:rPr>
        <w:t>線路廊景觀改善工程。</w:t>
      </w:r>
    </w:p>
    <w:p w:rsidR="00934471" w:rsidRPr="00D55DC6" w:rsidRDefault="00934471" w:rsidP="0038165F">
      <w:pPr>
        <w:snapToGrid w:val="0"/>
        <w:spacing w:line="460" w:lineRule="exact"/>
        <w:ind w:left="480" w:firstLine="371"/>
        <w:jc w:val="both"/>
        <w:rPr>
          <w:rFonts w:eastAsia="標楷體"/>
          <w:b/>
          <w:sz w:val="28"/>
          <w:szCs w:val="28"/>
        </w:rPr>
      </w:pPr>
      <w:r w:rsidRPr="00D55DC6">
        <w:rPr>
          <w:rFonts w:eastAsia="標楷體"/>
          <w:b/>
          <w:sz w:val="28"/>
          <w:szCs w:val="28"/>
        </w:rPr>
        <w:t>2-4.</w:t>
      </w:r>
      <w:r w:rsidRPr="00D55DC6">
        <w:rPr>
          <w:rFonts w:eastAsia="標楷體"/>
          <w:b/>
          <w:sz w:val="28"/>
          <w:szCs w:val="28"/>
        </w:rPr>
        <w:t>國家風景區經營管理建設</w:t>
      </w:r>
    </w:p>
    <w:p w:rsidR="00934471" w:rsidRPr="00D55DC6" w:rsidRDefault="008C418E" w:rsidP="00F165E2">
      <w:pPr>
        <w:snapToGrid w:val="0"/>
        <w:spacing w:line="460" w:lineRule="exact"/>
        <w:ind w:leftChars="472" w:left="1841" w:hangingChars="253" w:hanging="708"/>
        <w:jc w:val="both"/>
        <w:rPr>
          <w:rFonts w:eastAsia="標楷體"/>
          <w:sz w:val="28"/>
          <w:szCs w:val="28"/>
        </w:rPr>
      </w:pPr>
      <w:r w:rsidRPr="00D55DC6">
        <w:rPr>
          <w:rFonts w:eastAsia="標楷體"/>
          <w:sz w:val="28"/>
          <w:szCs w:val="28"/>
        </w:rPr>
        <w:t>2</w:t>
      </w:r>
      <w:r w:rsidR="00934471" w:rsidRPr="00D55DC6">
        <w:rPr>
          <w:rFonts w:eastAsia="標楷體"/>
          <w:sz w:val="28"/>
          <w:szCs w:val="28"/>
        </w:rPr>
        <w:t>-4-1.</w:t>
      </w:r>
      <w:r w:rsidR="00934471" w:rsidRPr="00D55DC6">
        <w:rPr>
          <w:rFonts w:eastAsia="標楷體"/>
          <w:sz w:val="28"/>
          <w:szCs w:val="28"/>
        </w:rPr>
        <w:t>用地取得：完成野柳地質公園周邊、北海岸遊憩區沿線遊憩據點（如三芝淺水灣、石門、金山）及觀音山遊憩區周邊環境改善用地取得。</w:t>
      </w:r>
    </w:p>
    <w:p w:rsidR="00934471" w:rsidRPr="00D55DC6" w:rsidRDefault="00934471" w:rsidP="00F165E2">
      <w:pPr>
        <w:snapToGrid w:val="0"/>
        <w:spacing w:line="460" w:lineRule="exact"/>
        <w:ind w:leftChars="472" w:left="1841" w:hangingChars="253" w:hanging="708"/>
        <w:jc w:val="both"/>
        <w:rPr>
          <w:rFonts w:eastAsia="標楷體"/>
          <w:sz w:val="28"/>
          <w:szCs w:val="28"/>
        </w:rPr>
      </w:pPr>
      <w:r w:rsidRPr="00D55DC6">
        <w:rPr>
          <w:rFonts w:eastAsia="標楷體"/>
          <w:sz w:val="28"/>
          <w:szCs w:val="28"/>
        </w:rPr>
        <w:t>2-4-2.</w:t>
      </w:r>
      <w:r w:rsidRPr="00D55DC6">
        <w:rPr>
          <w:rFonts w:eastAsia="標楷體"/>
          <w:sz w:val="28"/>
          <w:szCs w:val="28"/>
        </w:rPr>
        <w:t>先期規劃設計：完成北觀陸域生態資源與生態</w:t>
      </w:r>
      <w:r w:rsidRPr="00D55DC6">
        <w:rPr>
          <w:rFonts w:eastAsia="標楷體"/>
          <w:sz w:val="28"/>
          <w:szCs w:val="28"/>
        </w:rPr>
        <w:t>4</w:t>
      </w:r>
      <w:r w:rsidRPr="00D55DC6">
        <w:rPr>
          <w:rFonts w:eastAsia="標楷體"/>
          <w:sz w:val="28"/>
          <w:szCs w:val="28"/>
        </w:rPr>
        <w:t>年監測調查，出版</w:t>
      </w:r>
      <w:r w:rsidRPr="00D55DC6">
        <w:rPr>
          <w:rFonts w:eastAsia="標楷體"/>
          <w:sz w:val="28"/>
          <w:szCs w:val="28"/>
        </w:rPr>
        <w:t>5</w:t>
      </w:r>
      <w:r w:rsidRPr="00D55DC6">
        <w:rPr>
          <w:rFonts w:eastAsia="標楷體"/>
          <w:sz w:val="28"/>
          <w:szCs w:val="28"/>
        </w:rPr>
        <w:t>冊生態旅遊叢書、完成野柳地質公園核心區整體規劃以及北海岸風景區促參服務案。</w:t>
      </w:r>
    </w:p>
    <w:p w:rsidR="00934471" w:rsidRPr="00D55DC6" w:rsidRDefault="00934471" w:rsidP="00F165E2">
      <w:pPr>
        <w:snapToGrid w:val="0"/>
        <w:spacing w:line="460" w:lineRule="exact"/>
        <w:ind w:leftChars="472" w:left="1841" w:hangingChars="253" w:hanging="708"/>
        <w:jc w:val="both"/>
        <w:rPr>
          <w:rFonts w:eastAsia="標楷體"/>
          <w:sz w:val="28"/>
          <w:szCs w:val="28"/>
        </w:rPr>
      </w:pPr>
      <w:r w:rsidRPr="00D55DC6">
        <w:rPr>
          <w:rFonts w:eastAsia="標楷體"/>
          <w:sz w:val="28"/>
          <w:szCs w:val="28"/>
        </w:rPr>
        <w:t>2-4-3.</w:t>
      </w:r>
      <w:r w:rsidRPr="00D55DC6">
        <w:rPr>
          <w:rFonts w:eastAsia="標楷體"/>
          <w:sz w:val="28"/>
          <w:szCs w:val="28"/>
        </w:rPr>
        <w:t>環境維護及設施維持：完成國家風景區環境清潔維護、綠美化及設施維持，提升整體旅遊環境品質。</w:t>
      </w:r>
    </w:p>
    <w:p w:rsidR="00934471" w:rsidRPr="00D55DC6" w:rsidRDefault="00934471" w:rsidP="00F165E2">
      <w:pPr>
        <w:snapToGrid w:val="0"/>
        <w:spacing w:line="460" w:lineRule="exact"/>
        <w:ind w:leftChars="472" w:left="1841" w:hangingChars="253" w:hanging="708"/>
        <w:jc w:val="both"/>
        <w:rPr>
          <w:rFonts w:eastAsia="標楷體"/>
          <w:sz w:val="28"/>
          <w:szCs w:val="28"/>
        </w:rPr>
      </w:pPr>
      <w:r w:rsidRPr="00D55DC6">
        <w:rPr>
          <w:rFonts w:eastAsia="標楷體"/>
          <w:sz w:val="28"/>
          <w:szCs w:val="28"/>
        </w:rPr>
        <w:t>2-4-4.</w:t>
      </w:r>
      <w:r w:rsidRPr="00D55DC6">
        <w:rPr>
          <w:rFonts w:eastAsia="標楷體"/>
          <w:sz w:val="28"/>
          <w:szCs w:val="28"/>
        </w:rPr>
        <w:t>全區災害復舊及一般零星工程：興辦其他零星工程，組構帶狀休憩景點，豐富遊憩內涵，提升整體旅遊環境品質。</w:t>
      </w:r>
    </w:p>
    <w:p w:rsidR="00934471" w:rsidRPr="00D55DC6" w:rsidRDefault="00934471" w:rsidP="0038165F">
      <w:pPr>
        <w:snapToGrid w:val="0"/>
        <w:spacing w:line="460" w:lineRule="exact"/>
        <w:ind w:left="480" w:firstLine="371"/>
        <w:jc w:val="both"/>
        <w:rPr>
          <w:rFonts w:eastAsia="標楷體"/>
          <w:sz w:val="28"/>
          <w:szCs w:val="28"/>
        </w:rPr>
      </w:pPr>
      <w:r w:rsidRPr="00D55DC6">
        <w:rPr>
          <w:rFonts w:eastAsia="標楷體"/>
          <w:b/>
          <w:sz w:val="28"/>
          <w:szCs w:val="28"/>
        </w:rPr>
        <w:t>2-5.</w:t>
      </w:r>
      <w:r w:rsidRPr="00D55DC6">
        <w:rPr>
          <w:rFonts w:eastAsia="標楷體"/>
          <w:b/>
          <w:sz w:val="28"/>
          <w:szCs w:val="28"/>
        </w:rPr>
        <w:t>經營管理及行銷推廣</w:t>
      </w:r>
    </w:p>
    <w:p w:rsidR="00934471" w:rsidRPr="00D55DC6" w:rsidRDefault="00934471" w:rsidP="008C418E">
      <w:pPr>
        <w:snapToGrid w:val="0"/>
        <w:spacing w:line="460" w:lineRule="exact"/>
        <w:ind w:left="851" w:firstLine="283"/>
        <w:jc w:val="both"/>
        <w:rPr>
          <w:rFonts w:eastAsia="標楷體"/>
          <w:b/>
          <w:sz w:val="28"/>
          <w:szCs w:val="28"/>
        </w:rPr>
      </w:pPr>
      <w:r w:rsidRPr="00D55DC6">
        <w:rPr>
          <w:rFonts w:eastAsia="標楷體"/>
          <w:b/>
          <w:sz w:val="28"/>
          <w:szCs w:val="28"/>
        </w:rPr>
        <w:t>2-5-1.</w:t>
      </w:r>
      <w:r w:rsidRPr="00D55DC6">
        <w:rPr>
          <w:rFonts w:eastAsia="標楷體"/>
          <w:b/>
          <w:sz w:val="28"/>
          <w:szCs w:val="28"/>
        </w:rPr>
        <w:t>經營管理：</w:t>
      </w:r>
    </w:p>
    <w:p w:rsidR="00934471" w:rsidRPr="00D55DC6" w:rsidRDefault="00934471" w:rsidP="0038165F">
      <w:pPr>
        <w:snapToGrid w:val="0"/>
        <w:spacing w:line="460" w:lineRule="exact"/>
        <w:ind w:left="2694" w:hanging="985"/>
        <w:jc w:val="both"/>
        <w:rPr>
          <w:rFonts w:eastAsia="標楷體"/>
          <w:sz w:val="28"/>
          <w:szCs w:val="28"/>
        </w:rPr>
      </w:pPr>
      <w:r w:rsidRPr="00D55DC6">
        <w:rPr>
          <w:rFonts w:eastAsia="標楷體"/>
          <w:sz w:val="28"/>
          <w:szCs w:val="28"/>
        </w:rPr>
        <w:t>2-5-1-1.</w:t>
      </w:r>
      <w:r w:rsidRPr="00D55DC6">
        <w:rPr>
          <w:rFonts w:eastAsia="標楷體"/>
          <w:sz w:val="28"/>
          <w:szCs w:val="28"/>
        </w:rPr>
        <w:t>針對旅遊景點建設方面，堅持「設施減量」、「環境優先」、「國際水準」及「便利遊客」四大原則，加以打造無障礙服務設施與旅遊路線，開拓更寬廣遊客來源。</w:t>
      </w:r>
    </w:p>
    <w:p w:rsidR="00934471" w:rsidRPr="00D55DC6" w:rsidRDefault="00934471" w:rsidP="0038165F">
      <w:pPr>
        <w:pStyle w:val="af2"/>
        <w:snapToGrid w:val="0"/>
        <w:spacing w:line="460" w:lineRule="exact"/>
        <w:ind w:leftChars="709" w:left="2695" w:hanging="993"/>
        <w:jc w:val="both"/>
        <w:rPr>
          <w:rFonts w:eastAsia="標楷體"/>
          <w:sz w:val="28"/>
          <w:szCs w:val="28"/>
        </w:rPr>
      </w:pPr>
      <w:r w:rsidRPr="00D55DC6">
        <w:rPr>
          <w:rFonts w:eastAsia="標楷體"/>
          <w:sz w:val="28"/>
          <w:szCs w:val="28"/>
        </w:rPr>
        <w:t>2-5-1-2.</w:t>
      </w:r>
      <w:r w:rsidRPr="00D55DC6">
        <w:rPr>
          <w:rFonts w:eastAsia="標楷體"/>
          <w:sz w:val="28"/>
          <w:szCs w:val="28"/>
        </w:rPr>
        <w:t>旅遊人次快速成長：北觀國家風景區遊客人次自</w:t>
      </w:r>
      <w:r w:rsidRPr="00D55DC6">
        <w:rPr>
          <w:rFonts w:eastAsia="標楷體"/>
          <w:sz w:val="28"/>
          <w:szCs w:val="28"/>
        </w:rPr>
        <w:t>101</w:t>
      </w:r>
      <w:r w:rsidRPr="00D55DC6">
        <w:rPr>
          <w:rFonts w:eastAsia="標楷體"/>
          <w:sz w:val="28"/>
          <w:szCs w:val="28"/>
        </w:rPr>
        <w:t>年</w:t>
      </w:r>
      <w:r w:rsidRPr="00D55DC6">
        <w:rPr>
          <w:rFonts w:eastAsia="標楷體"/>
          <w:sz w:val="28"/>
          <w:szCs w:val="28"/>
        </w:rPr>
        <w:t>463</w:t>
      </w:r>
      <w:r w:rsidRPr="00D55DC6">
        <w:rPr>
          <w:rFonts w:eastAsia="標楷體"/>
          <w:sz w:val="28"/>
          <w:szCs w:val="28"/>
        </w:rPr>
        <w:t>萬成長至</w:t>
      </w:r>
      <w:r w:rsidRPr="00D55DC6">
        <w:rPr>
          <w:rFonts w:eastAsia="標楷體"/>
          <w:sz w:val="28"/>
          <w:szCs w:val="28"/>
        </w:rPr>
        <w:t>104</w:t>
      </w:r>
      <w:r w:rsidRPr="00D55DC6">
        <w:rPr>
          <w:rFonts w:eastAsia="標楷體"/>
          <w:sz w:val="28"/>
          <w:szCs w:val="28"/>
        </w:rPr>
        <w:t>年推估</w:t>
      </w:r>
      <w:r w:rsidRPr="00D55DC6">
        <w:rPr>
          <w:rFonts w:eastAsia="標楷體"/>
          <w:sz w:val="28"/>
          <w:szCs w:val="28"/>
        </w:rPr>
        <w:t>520</w:t>
      </w:r>
      <w:r w:rsidRPr="00D55DC6">
        <w:rPr>
          <w:rFonts w:eastAsia="標楷體"/>
          <w:sz w:val="28"/>
          <w:szCs w:val="28"/>
        </w:rPr>
        <w:t>萬人次，遊客量成長幅度</w:t>
      </w:r>
      <w:r w:rsidRPr="00D55DC6">
        <w:rPr>
          <w:rFonts w:eastAsia="標楷體"/>
          <w:sz w:val="28"/>
          <w:szCs w:val="28"/>
        </w:rPr>
        <w:t>12.31%</w:t>
      </w:r>
      <w:r w:rsidRPr="00D55DC6">
        <w:rPr>
          <w:rFonts w:eastAsia="標楷體"/>
          <w:sz w:val="28"/>
          <w:szCs w:val="28"/>
        </w:rPr>
        <w:t>。</w:t>
      </w:r>
      <w:r w:rsidRPr="00D55DC6">
        <w:rPr>
          <w:rFonts w:eastAsia="標楷體"/>
          <w:sz w:val="28"/>
          <w:szCs w:val="28"/>
        </w:rPr>
        <w:t>101</w:t>
      </w:r>
      <w:r w:rsidRPr="00D55DC6">
        <w:rPr>
          <w:rFonts w:eastAsia="標楷體"/>
          <w:sz w:val="28"/>
          <w:szCs w:val="28"/>
        </w:rPr>
        <w:t>－</w:t>
      </w:r>
      <w:r w:rsidRPr="00D55DC6">
        <w:rPr>
          <w:rFonts w:eastAsia="標楷體"/>
          <w:sz w:val="28"/>
          <w:szCs w:val="28"/>
        </w:rPr>
        <w:t>102</w:t>
      </w:r>
      <w:r w:rsidRPr="00D55DC6">
        <w:rPr>
          <w:rFonts w:eastAsia="標楷體"/>
          <w:sz w:val="28"/>
          <w:szCs w:val="28"/>
        </w:rPr>
        <w:t>年度遊客滿意度調查連續</w:t>
      </w:r>
      <w:r w:rsidRPr="00D55DC6">
        <w:rPr>
          <w:rFonts w:eastAsia="標楷體"/>
          <w:sz w:val="28"/>
          <w:szCs w:val="28"/>
        </w:rPr>
        <w:t>2</w:t>
      </w:r>
      <w:r w:rsidRPr="00D55DC6">
        <w:rPr>
          <w:rFonts w:eastAsia="標楷體"/>
          <w:sz w:val="28"/>
          <w:szCs w:val="28"/>
        </w:rPr>
        <w:t>年為</w:t>
      </w:r>
      <w:r w:rsidRPr="00D55DC6">
        <w:rPr>
          <w:rFonts w:eastAsia="標楷體"/>
          <w:sz w:val="28"/>
          <w:szCs w:val="28"/>
        </w:rPr>
        <w:t>13</w:t>
      </w:r>
      <w:r w:rsidRPr="00D55DC6">
        <w:rPr>
          <w:rFonts w:eastAsia="標楷體"/>
          <w:sz w:val="28"/>
          <w:szCs w:val="28"/>
        </w:rPr>
        <w:t>個國家風景區最高，同時也是唯一連續</w:t>
      </w:r>
      <w:r w:rsidRPr="00D55DC6">
        <w:rPr>
          <w:rFonts w:eastAsia="標楷體"/>
          <w:sz w:val="28"/>
          <w:szCs w:val="28"/>
        </w:rPr>
        <w:t>4</w:t>
      </w:r>
      <w:r w:rsidRPr="00D55DC6">
        <w:rPr>
          <w:rFonts w:eastAsia="標楷體"/>
          <w:sz w:val="28"/>
          <w:szCs w:val="28"/>
        </w:rPr>
        <w:t>個年度整體滿意度持續提昇的國家風景區，深獲遊</w:t>
      </w:r>
      <w:r w:rsidRPr="00D55DC6">
        <w:rPr>
          <w:rFonts w:eastAsia="標楷體"/>
          <w:sz w:val="28"/>
          <w:szCs w:val="28"/>
        </w:rPr>
        <w:lastRenderedPageBreak/>
        <w:t>客肯定外，更創造</w:t>
      </w:r>
      <w:r w:rsidRPr="00D55DC6">
        <w:rPr>
          <w:rFonts w:eastAsia="標楷體"/>
          <w:sz w:val="28"/>
          <w:szCs w:val="28"/>
        </w:rPr>
        <w:t>70</w:t>
      </w:r>
      <w:r w:rsidRPr="00D55DC6">
        <w:rPr>
          <w:rFonts w:eastAsia="標楷體"/>
          <w:sz w:val="28"/>
          <w:szCs w:val="28"/>
        </w:rPr>
        <w:t>億元以上的觀光產值，有效促進地方經濟活絡與發展。</w:t>
      </w:r>
    </w:p>
    <w:p w:rsidR="00934471" w:rsidRPr="00D55DC6" w:rsidRDefault="00934471" w:rsidP="0038165F">
      <w:pPr>
        <w:pStyle w:val="af2"/>
        <w:snapToGrid w:val="0"/>
        <w:spacing w:line="460" w:lineRule="exact"/>
        <w:ind w:leftChars="709" w:left="2693" w:hangingChars="354" w:hanging="991"/>
        <w:jc w:val="both"/>
        <w:rPr>
          <w:rFonts w:eastAsia="標楷體"/>
          <w:sz w:val="28"/>
          <w:szCs w:val="28"/>
        </w:rPr>
      </w:pPr>
      <w:r w:rsidRPr="00D55DC6">
        <w:rPr>
          <w:rFonts w:eastAsia="標楷體"/>
          <w:sz w:val="28"/>
          <w:szCs w:val="28"/>
        </w:rPr>
        <w:t>2-5-1-3.</w:t>
      </w:r>
      <w:r w:rsidRPr="00D55DC6">
        <w:rPr>
          <w:rFonts w:eastAsia="標楷體"/>
          <w:sz w:val="28"/>
          <w:szCs w:val="28"/>
        </w:rPr>
        <w:t>完成無障礙及銀髮族旅遊路線示範，溫泉水療多元發展，無障礙異業結盟，營造友善旅遊環境及貼心服務。</w:t>
      </w:r>
    </w:p>
    <w:p w:rsidR="00934471" w:rsidRPr="00D55DC6" w:rsidRDefault="00934471" w:rsidP="0038165F">
      <w:pPr>
        <w:pStyle w:val="af2"/>
        <w:snapToGrid w:val="0"/>
        <w:spacing w:line="460" w:lineRule="exact"/>
        <w:ind w:leftChars="709" w:left="2693" w:hangingChars="354" w:hanging="991"/>
        <w:jc w:val="both"/>
        <w:rPr>
          <w:rFonts w:eastAsia="標楷體"/>
          <w:sz w:val="28"/>
          <w:szCs w:val="28"/>
        </w:rPr>
      </w:pPr>
      <w:r w:rsidRPr="00D55DC6">
        <w:rPr>
          <w:rFonts w:eastAsia="標楷體"/>
          <w:sz w:val="28"/>
          <w:szCs w:val="28"/>
        </w:rPr>
        <w:t>2-5-1-4.</w:t>
      </w:r>
      <w:r w:rsidRPr="00D55DC6">
        <w:rPr>
          <w:rFonts w:eastAsia="標楷體"/>
          <w:sz w:val="28"/>
          <w:szCs w:val="28"/>
        </w:rPr>
        <w:t>推動我愛淨灘暨公益旅遊，</w:t>
      </w:r>
      <w:r w:rsidRPr="00D55DC6">
        <w:rPr>
          <w:rFonts w:eastAsia="標楷體"/>
          <w:sz w:val="28"/>
          <w:szCs w:val="28"/>
        </w:rPr>
        <w:t>101</w:t>
      </w:r>
      <w:r w:rsidRPr="00D55DC6">
        <w:rPr>
          <w:rFonts w:eastAsia="標楷體"/>
          <w:sz w:val="28"/>
          <w:szCs w:val="28"/>
        </w:rPr>
        <w:t>－</w:t>
      </w:r>
      <w:r w:rsidRPr="00D55DC6">
        <w:rPr>
          <w:rFonts w:eastAsia="標楷體"/>
          <w:sz w:val="28"/>
          <w:szCs w:val="28"/>
        </w:rPr>
        <w:t>103</w:t>
      </w:r>
      <w:r w:rsidRPr="00D55DC6">
        <w:rPr>
          <w:rFonts w:eastAsia="標楷體"/>
          <w:sz w:val="28"/>
          <w:szCs w:val="28"/>
        </w:rPr>
        <w:t>年計</w:t>
      </w:r>
      <w:r w:rsidRPr="00D55DC6">
        <w:rPr>
          <w:rFonts w:eastAsia="標楷體"/>
          <w:sz w:val="28"/>
          <w:szCs w:val="28"/>
        </w:rPr>
        <w:t>418</w:t>
      </w:r>
      <w:r w:rsidRPr="00D55DC6">
        <w:rPr>
          <w:rFonts w:eastAsia="標楷體"/>
          <w:sz w:val="28"/>
          <w:szCs w:val="28"/>
        </w:rPr>
        <w:t>團次，</w:t>
      </w:r>
      <w:r w:rsidRPr="00D55DC6">
        <w:rPr>
          <w:rFonts w:eastAsia="標楷體"/>
          <w:sz w:val="28"/>
          <w:szCs w:val="28"/>
        </w:rPr>
        <w:t>29,671</w:t>
      </w:r>
      <w:r w:rsidRPr="00D55DC6">
        <w:rPr>
          <w:rFonts w:eastAsia="標楷體"/>
          <w:sz w:val="28"/>
          <w:szCs w:val="28"/>
        </w:rPr>
        <w:t>人次參與，除充分利用民間力量維持沙灘清潔外，也帶動地方產業活絡。積極處理海漂物合計</w:t>
      </w:r>
      <w:r w:rsidRPr="00D55DC6">
        <w:rPr>
          <w:rFonts w:eastAsia="標楷體"/>
          <w:sz w:val="28"/>
          <w:szCs w:val="28"/>
        </w:rPr>
        <w:t>8,521</w:t>
      </w:r>
      <w:r w:rsidRPr="00D55DC6">
        <w:rPr>
          <w:rFonts w:eastAsia="標楷體"/>
          <w:sz w:val="28"/>
          <w:szCs w:val="28"/>
        </w:rPr>
        <w:t>公噸並改善海域、沙灘及台</w:t>
      </w:r>
      <w:r w:rsidRPr="00D55DC6">
        <w:rPr>
          <w:rFonts w:eastAsia="標楷體"/>
          <w:sz w:val="28"/>
          <w:szCs w:val="28"/>
        </w:rPr>
        <w:t>2</w:t>
      </w:r>
      <w:r w:rsidRPr="00D55DC6">
        <w:rPr>
          <w:rFonts w:eastAsia="標楷體"/>
          <w:sz w:val="28"/>
          <w:szCs w:val="28"/>
        </w:rPr>
        <w:t>線景緻；「我愛淨灘」平台建置，以促進社會公共服務風氣及地方經濟發展，榮獲觀光局</w:t>
      </w:r>
      <w:r w:rsidRPr="00D55DC6">
        <w:rPr>
          <w:rFonts w:eastAsia="標楷體"/>
          <w:sz w:val="28"/>
          <w:szCs w:val="28"/>
        </w:rPr>
        <w:t>103</w:t>
      </w:r>
      <w:r w:rsidRPr="00D55DC6">
        <w:rPr>
          <w:rFonts w:eastAsia="標楷體"/>
          <w:sz w:val="28"/>
          <w:szCs w:val="28"/>
        </w:rPr>
        <w:t>年度「創新點子王」競賽</w:t>
      </w:r>
      <w:r w:rsidR="006D7CB3" w:rsidRPr="00D55DC6">
        <w:rPr>
          <w:rFonts w:eastAsia="標楷體"/>
          <w:sz w:val="28"/>
          <w:szCs w:val="28"/>
        </w:rPr>
        <w:t>「</w:t>
      </w:r>
      <w:r w:rsidRPr="00D55DC6">
        <w:rPr>
          <w:rFonts w:eastAsia="標楷體"/>
          <w:sz w:val="28"/>
          <w:szCs w:val="28"/>
        </w:rPr>
        <w:t>創新獎</w:t>
      </w:r>
      <w:r w:rsidR="006D7CB3" w:rsidRPr="00D55DC6">
        <w:rPr>
          <w:rFonts w:eastAsia="標楷體"/>
          <w:sz w:val="28"/>
          <w:szCs w:val="28"/>
        </w:rPr>
        <w:t>」</w:t>
      </w:r>
      <w:r w:rsidRPr="00D55DC6">
        <w:rPr>
          <w:rFonts w:eastAsia="標楷體"/>
          <w:sz w:val="28"/>
          <w:szCs w:val="28"/>
        </w:rPr>
        <w:t>第</w:t>
      </w:r>
      <w:r w:rsidRPr="00D55DC6">
        <w:rPr>
          <w:rFonts w:eastAsia="標楷體"/>
          <w:sz w:val="28"/>
          <w:szCs w:val="28"/>
        </w:rPr>
        <w:t>3</w:t>
      </w:r>
      <w:r w:rsidRPr="00D55DC6">
        <w:rPr>
          <w:rFonts w:eastAsia="標楷體"/>
          <w:sz w:val="28"/>
          <w:szCs w:val="28"/>
        </w:rPr>
        <w:t>名。</w:t>
      </w:r>
    </w:p>
    <w:p w:rsidR="00934471" w:rsidRPr="00D55DC6" w:rsidRDefault="00934471" w:rsidP="0038165F">
      <w:pPr>
        <w:pStyle w:val="af2"/>
        <w:snapToGrid w:val="0"/>
        <w:spacing w:line="460" w:lineRule="exact"/>
        <w:ind w:leftChars="709" w:left="2693" w:hangingChars="354" w:hanging="991"/>
        <w:jc w:val="both"/>
        <w:rPr>
          <w:rFonts w:eastAsia="標楷體"/>
          <w:sz w:val="28"/>
          <w:szCs w:val="28"/>
        </w:rPr>
      </w:pPr>
      <w:r w:rsidRPr="00D55DC6">
        <w:rPr>
          <w:rFonts w:eastAsia="標楷體"/>
          <w:sz w:val="28"/>
          <w:szCs w:val="28"/>
        </w:rPr>
        <w:t>2-5-1-5.</w:t>
      </w:r>
      <w:r w:rsidRPr="00D55DC6">
        <w:rPr>
          <w:rFonts w:eastAsia="標楷體"/>
          <w:sz w:val="28"/>
          <w:szCs w:val="28"/>
        </w:rPr>
        <w:t>清淨家園綠網計畫，</w:t>
      </w:r>
      <w:r w:rsidRPr="00D55DC6">
        <w:rPr>
          <w:rFonts w:eastAsia="標楷體"/>
          <w:sz w:val="28"/>
          <w:szCs w:val="28"/>
        </w:rPr>
        <w:t>102</w:t>
      </w:r>
      <w:r w:rsidRPr="00D55DC6">
        <w:rPr>
          <w:rFonts w:eastAsia="標楷體"/>
          <w:sz w:val="28"/>
          <w:szCs w:val="28"/>
        </w:rPr>
        <w:t>年及</w:t>
      </w:r>
      <w:r w:rsidRPr="00D55DC6">
        <w:rPr>
          <w:rFonts w:eastAsia="標楷體"/>
          <w:sz w:val="28"/>
          <w:szCs w:val="28"/>
        </w:rPr>
        <w:t>103</w:t>
      </w:r>
      <w:r w:rsidRPr="00D55DC6">
        <w:rPr>
          <w:rFonts w:eastAsia="標楷體"/>
          <w:sz w:val="28"/>
          <w:szCs w:val="28"/>
        </w:rPr>
        <w:t>年共有</w:t>
      </w:r>
      <w:r w:rsidRPr="00D55DC6">
        <w:rPr>
          <w:rFonts w:eastAsia="標楷體"/>
          <w:sz w:val="28"/>
          <w:szCs w:val="28"/>
        </w:rPr>
        <w:t>15</w:t>
      </w:r>
      <w:r w:rsidRPr="00D55DC6">
        <w:rPr>
          <w:rFonts w:eastAsia="標楷體"/>
          <w:sz w:val="28"/>
          <w:szCs w:val="28"/>
        </w:rPr>
        <w:t>處公廁獲新北市政府特優評定，加強環境清潔及綠美化並定時填報綠網巡檢資料。</w:t>
      </w:r>
    </w:p>
    <w:p w:rsidR="00934471" w:rsidRPr="00D55DC6" w:rsidRDefault="00934471" w:rsidP="0038165F">
      <w:pPr>
        <w:pStyle w:val="af2"/>
        <w:snapToGrid w:val="0"/>
        <w:spacing w:line="460" w:lineRule="exact"/>
        <w:ind w:leftChars="708" w:left="2693" w:hangingChars="355" w:hanging="994"/>
        <w:jc w:val="both"/>
        <w:rPr>
          <w:rFonts w:eastAsia="標楷體"/>
          <w:sz w:val="28"/>
          <w:szCs w:val="28"/>
        </w:rPr>
      </w:pPr>
      <w:r w:rsidRPr="00D55DC6">
        <w:rPr>
          <w:rFonts w:eastAsia="標楷體"/>
          <w:sz w:val="28"/>
          <w:szCs w:val="28"/>
        </w:rPr>
        <w:t>2-5-1-6.</w:t>
      </w:r>
      <w:r w:rsidRPr="00D55DC6">
        <w:rPr>
          <w:rFonts w:eastAsia="標楷體"/>
          <w:sz w:val="28"/>
          <w:szCs w:val="28"/>
        </w:rPr>
        <w:t>假期及活動之交通疏運措施，辦理</w:t>
      </w:r>
      <w:r w:rsidRPr="00D55DC6">
        <w:rPr>
          <w:rFonts w:eastAsia="標楷體"/>
          <w:sz w:val="28"/>
          <w:szCs w:val="28"/>
        </w:rPr>
        <w:t>103</w:t>
      </w:r>
      <w:r w:rsidRPr="00D55DC6">
        <w:rPr>
          <w:rFonts w:eastAsia="標楷體"/>
          <w:sz w:val="28"/>
          <w:szCs w:val="28"/>
        </w:rPr>
        <w:t>年春節假期、</w:t>
      </w:r>
      <w:r w:rsidRPr="00D55DC6">
        <w:rPr>
          <w:rFonts w:eastAsia="標楷體"/>
          <w:sz w:val="28"/>
          <w:szCs w:val="28"/>
        </w:rPr>
        <w:t>228</w:t>
      </w:r>
      <w:r w:rsidRPr="00D55DC6">
        <w:rPr>
          <w:rFonts w:eastAsia="標楷體"/>
          <w:sz w:val="28"/>
          <w:szCs w:val="28"/>
        </w:rPr>
        <w:t>連續假期、清明節連續假期、端午節連續假期、中秋節連續假期及國慶日連續假期交通疏運，路況即時簡訊即時通知，提醒轄內用路人注意行車安全，落實連續假日值勤服務工作。</w:t>
      </w:r>
    </w:p>
    <w:p w:rsidR="00934471" w:rsidRPr="00D55DC6" w:rsidRDefault="00934471" w:rsidP="0038165F">
      <w:pPr>
        <w:pStyle w:val="af2"/>
        <w:snapToGrid w:val="0"/>
        <w:spacing w:line="460" w:lineRule="exact"/>
        <w:ind w:leftChars="708" w:left="2693" w:hangingChars="355" w:hanging="994"/>
        <w:jc w:val="both"/>
        <w:rPr>
          <w:rFonts w:eastAsia="標楷體"/>
          <w:sz w:val="28"/>
          <w:szCs w:val="28"/>
        </w:rPr>
      </w:pPr>
      <w:r w:rsidRPr="00D55DC6">
        <w:rPr>
          <w:rFonts w:eastAsia="標楷體"/>
          <w:sz w:val="28"/>
          <w:szCs w:val="28"/>
        </w:rPr>
        <w:t>2-5-1-7.</w:t>
      </w:r>
      <w:r w:rsidRPr="00D55DC6">
        <w:rPr>
          <w:rFonts w:eastAsia="標楷體"/>
          <w:sz w:val="28"/>
          <w:szCs w:val="28"/>
        </w:rPr>
        <w:t>建築景觀與地景維護兼具理念，「北觀國家風景區維護自然文化資源暨發展觀光諮詢委員會」持續提供建築案件諮詢與審查。</w:t>
      </w:r>
    </w:p>
    <w:p w:rsidR="00934471" w:rsidRPr="00D55DC6" w:rsidRDefault="00934471" w:rsidP="0038165F">
      <w:pPr>
        <w:pStyle w:val="af2"/>
        <w:snapToGrid w:val="0"/>
        <w:spacing w:line="460" w:lineRule="exact"/>
        <w:ind w:leftChars="708" w:left="2693" w:hangingChars="355" w:hanging="994"/>
        <w:jc w:val="both"/>
        <w:rPr>
          <w:rFonts w:eastAsia="標楷體"/>
          <w:sz w:val="28"/>
          <w:szCs w:val="28"/>
        </w:rPr>
      </w:pPr>
      <w:r w:rsidRPr="00D55DC6">
        <w:rPr>
          <w:rFonts w:eastAsia="標楷體"/>
          <w:sz w:val="28"/>
          <w:szCs w:val="28"/>
        </w:rPr>
        <w:t>2-5-1-8.</w:t>
      </w:r>
      <w:r w:rsidRPr="00D55DC6">
        <w:rPr>
          <w:rFonts w:eastAsia="標楷體"/>
          <w:sz w:val="28"/>
          <w:szCs w:val="28"/>
        </w:rPr>
        <w:t>營造優質的野柳自然環境教育中心，通過環保署環境教育場域認證並啟動環教公益活動，</w:t>
      </w:r>
      <w:r w:rsidRPr="00D55DC6">
        <w:rPr>
          <w:rFonts w:eastAsia="標楷體"/>
          <w:sz w:val="28"/>
          <w:szCs w:val="28"/>
        </w:rPr>
        <w:t>101</w:t>
      </w:r>
      <w:r w:rsidRPr="00D55DC6">
        <w:rPr>
          <w:rFonts w:eastAsia="標楷體"/>
          <w:sz w:val="28"/>
          <w:szCs w:val="28"/>
        </w:rPr>
        <w:t>年執行「環保署清淨家園全民運動計畫」獲評為全國第一特優級，發揮巧思將漂流木結合觀光，獲得交通部創新提案甲等獎。</w:t>
      </w:r>
    </w:p>
    <w:p w:rsidR="00934471" w:rsidRPr="00D55DC6" w:rsidRDefault="00934471" w:rsidP="0038165F">
      <w:pPr>
        <w:pStyle w:val="af2"/>
        <w:snapToGrid w:val="0"/>
        <w:spacing w:line="460" w:lineRule="exact"/>
        <w:ind w:leftChars="708" w:left="2693" w:hangingChars="355" w:hanging="994"/>
        <w:jc w:val="both"/>
        <w:rPr>
          <w:rFonts w:eastAsia="標楷體"/>
          <w:sz w:val="28"/>
          <w:szCs w:val="28"/>
        </w:rPr>
      </w:pPr>
      <w:r w:rsidRPr="00D55DC6">
        <w:rPr>
          <w:rFonts w:eastAsia="標楷體"/>
          <w:sz w:val="28"/>
          <w:szCs w:val="28"/>
        </w:rPr>
        <w:t>2-5-1-9.</w:t>
      </w:r>
      <w:r w:rsidRPr="00D55DC6">
        <w:rPr>
          <w:rFonts w:eastAsia="標楷體"/>
          <w:sz w:val="28"/>
          <w:szCs w:val="28"/>
        </w:rPr>
        <w:t>榮獲</w:t>
      </w:r>
      <w:r w:rsidRPr="00D55DC6">
        <w:rPr>
          <w:rFonts w:eastAsia="標楷體"/>
          <w:sz w:val="28"/>
          <w:szCs w:val="28"/>
        </w:rPr>
        <w:t>101</w:t>
      </w:r>
      <w:r w:rsidRPr="00D55DC6">
        <w:rPr>
          <w:rFonts w:eastAsia="標楷體"/>
          <w:sz w:val="28"/>
          <w:szCs w:val="28"/>
        </w:rPr>
        <w:t>年度「交通部服務品質獎」第</w:t>
      </w:r>
      <w:r w:rsidRPr="00D55DC6">
        <w:rPr>
          <w:rFonts w:eastAsia="標楷體"/>
          <w:sz w:val="28"/>
          <w:szCs w:val="28"/>
        </w:rPr>
        <w:t>1</w:t>
      </w:r>
      <w:r w:rsidRPr="00D55DC6">
        <w:rPr>
          <w:rFonts w:eastAsia="標楷體"/>
          <w:sz w:val="28"/>
          <w:szCs w:val="28"/>
        </w:rPr>
        <w:t>名，並獲行政院第</w:t>
      </w:r>
      <w:r w:rsidRPr="00D55DC6">
        <w:rPr>
          <w:rFonts w:eastAsia="標楷體"/>
          <w:sz w:val="28"/>
          <w:szCs w:val="28"/>
        </w:rPr>
        <w:t>5</w:t>
      </w:r>
      <w:r w:rsidRPr="00D55DC6">
        <w:rPr>
          <w:rFonts w:eastAsia="標楷體"/>
          <w:sz w:val="28"/>
          <w:szCs w:val="28"/>
        </w:rPr>
        <w:t>屆「政府服務品質獎」、財政部第</w:t>
      </w:r>
      <w:r w:rsidRPr="00D55DC6">
        <w:rPr>
          <w:rFonts w:eastAsia="標楷體"/>
          <w:sz w:val="28"/>
          <w:szCs w:val="28"/>
        </w:rPr>
        <w:t>11</w:t>
      </w:r>
      <w:r w:rsidRPr="00D55DC6">
        <w:rPr>
          <w:rFonts w:eastAsia="標楷體"/>
          <w:sz w:val="28"/>
          <w:szCs w:val="28"/>
        </w:rPr>
        <w:t>屆</w:t>
      </w:r>
      <w:r w:rsidRPr="00D55DC6">
        <w:rPr>
          <w:rFonts w:eastAsia="標楷體"/>
          <w:sz w:val="28"/>
          <w:szCs w:val="28"/>
        </w:rPr>
        <w:lastRenderedPageBreak/>
        <w:t>「民間參與公共建設金擘獎」政府機關團隊優等獎、建設計畫院管考連續</w:t>
      </w:r>
      <w:r w:rsidRPr="00D55DC6">
        <w:rPr>
          <w:rFonts w:eastAsia="標楷體"/>
          <w:sz w:val="28"/>
          <w:szCs w:val="28"/>
        </w:rPr>
        <w:t>3</w:t>
      </w:r>
      <w:r w:rsidRPr="00D55DC6">
        <w:rPr>
          <w:rFonts w:eastAsia="標楷體"/>
          <w:sz w:val="28"/>
          <w:szCs w:val="28"/>
        </w:rPr>
        <w:t>年優等及</w:t>
      </w:r>
      <w:r w:rsidRPr="00D55DC6">
        <w:rPr>
          <w:rFonts w:eastAsia="標楷體"/>
          <w:sz w:val="28"/>
          <w:szCs w:val="28"/>
        </w:rPr>
        <w:t>103</w:t>
      </w:r>
      <w:r w:rsidRPr="00D55DC6">
        <w:rPr>
          <w:rFonts w:eastAsia="標楷體"/>
          <w:sz w:val="28"/>
          <w:szCs w:val="28"/>
        </w:rPr>
        <w:t>年度「</w:t>
      </w:r>
      <w:r w:rsidRPr="00D55DC6">
        <w:rPr>
          <w:rFonts w:eastAsia="標楷體"/>
          <w:sz w:val="28"/>
          <w:szCs w:val="28"/>
        </w:rPr>
        <w:t>I-Center</w:t>
      </w:r>
      <w:r w:rsidRPr="00D55DC6">
        <w:rPr>
          <w:rFonts w:eastAsia="標楷體"/>
          <w:sz w:val="28"/>
          <w:szCs w:val="28"/>
        </w:rPr>
        <w:t>旅遊服務體系督導考核評比旅遊資訊站」第</w:t>
      </w:r>
      <w:r w:rsidRPr="00D55DC6">
        <w:rPr>
          <w:rFonts w:eastAsia="標楷體"/>
          <w:sz w:val="28"/>
          <w:szCs w:val="28"/>
        </w:rPr>
        <w:t>1</w:t>
      </w:r>
      <w:r w:rsidRPr="00D55DC6">
        <w:rPr>
          <w:rFonts w:eastAsia="標楷體"/>
          <w:sz w:val="28"/>
          <w:szCs w:val="28"/>
        </w:rPr>
        <w:t>名。</w:t>
      </w:r>
    </w:p>
    <w:p w:rsidR="00934471" w:rsidRPr="00D55DC6" w:rsidRDefault="00934471" w:rsidP="008C418E">
      <w:pPr>
        <w:pStyle w:val="af2"/>
        <w:snapToGrid w:val="0"/>
        <w:spacing w:line="460" w:lineRule="exact"/>
        <w:ind w:leftChars="473" w:left="1841" w:hangingChars="252" w:hanging="706"/>
        <w:jc w:val="both"/>
        <w:rPr>
          <w:rFonts w:eastAsia="標楷體"/>
          <w:b/>
          <w:sz w:val="28"/>
          <w:szCs w:val="28"/>
        </w:rPr>
      </w:pPr>
      <w:r w:rsidRPr="00D55DC6">
        <w:rPr>
          <w:rFonts w:eastAsia="標楷體"/>
          <w:b/>
          <w:sz w:val="28"/>
          <w:szCs w:val="28"/>
        </w:rPr>
        <w:t>2-5-2.</w:t>
      </w:r>
      <w:r w:rsidRPr="00D55DC6">
        <w:rPr>
          <w:rFonts w:eastAsia="標楷體"/>
          <w:b/>
          <w:sz w:val="28"/>
          <w:szCs w:val="28"/>
        </w:rPr>
        <w:t>行銷推廣</w:t>
      </w:r>
    </w:p>
    <w:p w:rsidR="00934471" w:rsidRPr="00D55DC6" w:rsidRDefault="00934471" w:rsidP="0038165F">
      <w:pPr>
        <w:pStyle w:val="af2"/>
        <w:snapToGrid w:val="0"/>
        <w:spacing w:line="460" w:lineRule="exact"/>
        <w:ind w:leftChars="708" w:left="2693" w:hangingChars="355" w:hanging="994"/>
        <w:jc w:val="both"/>
        <w:rPr>
          <w:rFonts w:eastAsia="標楷體"/>
          <w:sz w:val="28"/>
          <w:szCs w:val="28"/>
        </w:rPr>
      </w:pPr>
      <w:r w:rsidRPr="00D55DC6">
        <w:rPr>
          <w:rFonts w:eastAsia="標楷體"/>
          <w:sz w:val="28"/>
          <w:szCs w:val="28"/>
        </w:rPr>
        <w:t>2-5-2-1.</w:t>
      </w:r>
      <w:r w:rsidRPr="00D55DC6">
        <w:rPr>
          <w:rFonts w:eastAsia="標楷體"/>
          <w:sz w:val="28"/>
          <w:szCs w:val="28"/>
        </w:rPr>
        <w:t>舉辦各項主題行銷推廣活動，加強遊憩區特色展現：野柳神明淨港文化祭</w:t>
      </w:r>
      <w:r w:rsidRPr="00D55DC6">
        <w:rPr>
          <w:rFonts w:eastAsia="標楷體"/>
          <w:sz w:val="28"/>
          <w:szCs w:val="28"/>
        </w:rPr>
        <w:t>(1</w:t>
      </w:r>
      <w:r w:rsidRPr="00D55DC6">
        <w:rPr>
          <w:rFonts w:eastAsia="標楷體"/>
          <w:sz w:val="28"/>
          <w:szCs w:val="28"/>
        </w:rPr>
        <w:t>月元宵節</w:t>
      </w:r>
      <w:r w:rsidRPr="00D55DC6">
        <w:rPr>
          <w:rFonts w:eastAsia="標楷體"/>
          <w:sz w:val="28"/>
          <w:szCs w:val="28"/>
        </w:rPr>
        <w:t>)</w:t>
      </w:r>
      <w:r w:rsidRPr="00D55DC6">
        <w:rPr>
          <w:rFonts w:eastAsia="標楷體"/>
          <w:sz w:val="28"/>
          <w:szCs w:val="28"/>
        </w:rPr>
        <w:t>、三芝櫻花季</w:t>
      </w:r>
      <w:r w:rsidRPr="00D55DC6">
        <w:rPr>
          <w:rFonts w:eastAsia="標楷體"/>
          <w:sz w:val="28"/>
          <w:szCs w:val="28"/>
        </w:rPr>
        <w:t>(2-3</w:t>
      </w:r>
      <w:r w:rsidRPr="00D55DC6">
        <w:rPr>
          <w:rFonts w:eastAsia="標楷體"/>
          <w:sz w:val="28"/>
          <w:szCs w:val="28"/>
        </w:rPr>
        <w:t>月</w:t>
      </w:r>
      <w:r w:rsidRPr="00D55DC6">
        <w:rPr>
          <w:rFonts w:eastAsia="標楷體"/>
          <w:sz w:val="28"/>
          <w:szCs w:val="28"/>
        </w:rPr>
        <w:t>)</w:t>
      </w:r>
      <w:r w:rsidRPr="00D55DC6">
        <w:rPr>
          <w:rFonts w:eastAsia="標楷體"/>
          <w:sz w:val="28"/>
          <w:szCs w:val="28"/>
        </w:rPr>
        <w:t>、觀音觀鷹</w:t>
      </w:r>
      <w:r w:rsidRPr="00D55DC6">
        <w:rPr>
          <w:rFonts w:eastAsia="標楷體"/>
          <w:sz w:val="28"/>
          <w:szCs w:val="28"/>
        </w:rPr>
        <w:t>(4-5</w:t>
      </w:r>
      <w:r w:rsidRPr="00D55DC6">
        <w:rPr>
          <w:rFonts w:eastAsia="標楷體"/>
          <w:sz w:val="28"/>
          <w:szCs w:val="28"/>
        </w:rPr>
        <w:t>月</w:t>
      </w:r>
      <w:r w:rsidRPr="00D55DC6">
        <w:rPr>
          <w:rFonts w:eastAsia="標楷體"/>
          <w:sz w:val="28"/>
          <w:szCs w:val="28"/>
        </w:rPr>
        <w:t>)</w:t>
      </w:r>
      <w:r w:rsidRPr="00D55DC6">
        <w:rPr>
          <w:rFonts w:eastAsia="標楷體"/>
          <w:sz w:val="28"/>
          <w:szCs w:val="28"/>
        </w:rPr>
        <w:t>、觀音山綠竹筍節</w:t>
      </w:r>
      <w:r w:rsidRPr="00D55DC6">
        <w:rPr>
          <w:rFonts w:eastAsia="標楷體"/>
          <w:sz w:val="28"/>
          <w:szCs w:val="28"/>
        </w:rPr>
        <w:t>(5-6</w:t>
      </w:r>
      <w:r w:rsidRPr="00D55DC6">
        <w:rPr>
          <w:rFonts w:eastAsia="標楷體"/>
          <w:sz w:val="28"/>
          <w:szCs w:val="28"/>
        </w:rPr>
        <w:t>月</w:t>
      </w:r>
      <w:r w:rsidRPr="00D55DC6">
        <w:rPr>
          <w:rFonts w:eastAsia="標楷體"/>
          <w:sz w:val="28"/>
          <w:szCs w:val="28"/>
        </w:rPr>
        <w:t xml:space="preserve">) </w:t>
      </w:r>
      <w:r w:rsidRPr="00D55DC6">
        <w:rPr>
          <w:rFonts w:eastAsia="標楷體"/>
          <w:sz w:val="28"/>
          <w:szCs w:val="28"/>
        </w:rPr>
        <w:t>、北海岸婚紗留倩影</w:t>
      </w:r>
      <w:r w:rsidRPr="00D55DC6">
        <w:rPr>
          <w:rFonts w:eastAsia="標楷體"/>
          <w:sz w:val="28"/>
          <w:szCs w:val="28"/>
        </w:rPr>
        <w:t>(6-10</w:t>
      </w:r>
      <w:r w:rsidRPr="00D55DC6">
        <w:rPr>
          <w:rFonts w:eastAsia="標楷體"/>
          <w:sz w:val="28"/>
          <w:szCs w:val="28"/>
        </w:rPr>
        <w:t>月</w:t>
      </w:r>
      <w:r w:rsidRPr="00D55DC6">
        <w:rPr>
          <w:rFonts w:eastAsia="標楷體"/>
          <w:sz w:val="28"/>
          <w:szCs w:val="28"/>
        </w:rPr>
        <w:t xml:space="preserve">) </w:t>
      </w:r>
      <w:r w:rsidRPr="00D55DC6">
        <w:rPr>
          <w:rFonts w:eastAsia="標楷體"/>
          <w:sz w:val="28"/>
          <w:szCs w:val="28"/>
        </w:rPr>
        <w:t>、北海岸聽海音樂節</w:t>
      </w:r>
      <w:r w:rsidRPr="00D55DC6">
        <w:rPr>
          <w:rFonts w:eastAsia="標楷體"/>
          <w:sz w:val="28"/>
          <w:szCs w:val="28"/>
        </w:rPr>
        <w:t>(7-8</w:t>
      </w:r>
      <w:r w:rsidRPr="00D55DC6">
        <w:rPr>
          <w:rFonts w:eastAsia="標楷體"/>
          <w:sz w:val="28"/>
          <w:szCs w:val="28"/>
        </w:rPr>
        <w:t>月</w:t>
      </w:r>
      <w:r w:rsidRPr="00D55DC6">
        <w:rPr>
          <w:rFonts w:eastAsia="標楷體"/>
          <w:sz w:val="28"/>
          <w:szCs w:val="28"/>
        </w:rPr>
        <w:t>)</w:t>
      </w:r>
      <w:r w:rsidRPr="00D55DC6">
        <w:rPr>
          <w:rFonts w:eastAsia="標楷體"/>
          <w:sz w:val="28"/>
          <w:szCs w:val="28"/>
        </w:rPr>
        <w:t>、金山萬里甘藷節</w:t>
      </w:r>
      <w:r w:rsidRPr="00D55DC6">
        <w:rPr>
          <w:rFonts w:eastAsia="標楷體"/>
          <w:sz w:val="28"/>
          <w:szCs w:val="28"/>
        </w:rPr>
        <w:t>(7-8</w:t>
      </w:r>
      <w:r w:rsidRPr="00D55DC6">
        <w:rPr>
          <w:rFonts w:eastAsia="標楷體"/>
          <w:sz w:val="28"/>
          <w:szCs w:val="28"/>
        </w:rPr>
        <w:t>月</w:t>
      </w:r>
      <w:r w:rsidRPr="00D55DC6">
        <w:rPr>
          <w:rFonts w:eastAsia="標楷體"/>
          <w:sz w:val="28"/>
          <w:szCs w:val="28"/>
        </w:rPr>
        <w:t>)</w:t>
      </w:r>
      <w:r w:rsidRPr="00D55DC6">
        <w:rPr>
          <w:rFonts w:eastAsia="標楷體"/>
          <w:sz w:val="28"/>
          <w:szCs w:val="28"/>
        </w:rPr>
        <w:t>、自行車節</w:t>
      </w:r>
      <w:r w:rsidRPr="00D55DC6">
        <w:rPr>
          <w:rFonts w:eastAsia="標楷體"/>
          <w:sz w:val="28"/>
          <w:szCs w:val="28"/>
        </w:rPr>
        <w:t>-</w:t>
      </w:r>
      <w:r w:rsidRPr="00D55DC6">
        <w:rPr>
          <w:rFonts w:eastAsia="標楷體"/>
          <w:sz w:val="28"/>
          <w:szCs w:val="28"/>
        </w:rPr>
        <w:t>北海岸鐵馬騎跡深度遊</w:t>
      </w:r>
      <w:r w:rsidRPr="00D55DC6">
        <w:rPr>
          <w:rFonts w:eastAsia="標楷體"/>
          <w:sz w:val="28"/>
          <w:szCs w:val="28"/>
        </w:rPr>
        <w:t>(8</w:t>
      </w:r>
      <w:r w:rsidRPr="00D55DC6">
        <w:rPr>
          <w:rFonts w:eastAsia="標楷體"/>
          <w:sz w:val="28"/>
          <w:szCs w:val="28"/>
        </w:rPr>
        <w:t>月</w:t>
      </w:r>
      <w:r w:rsidRPr="00D55DC6">
        <w:rPr>
          <w:rFonts w:eastAsia="標楷體"/>
          <w:sz w:val="28"/>
          <w:szCs w:val="28"/>
        </w:rPr>
        <w:t>)</w:t>
      </w:r>
      <w:r w:rsidRPr="00D55DC6">
        <w:rPr>
          <w:rFonts w:eastAsia="標楷體"/>
          <w:sz w:val="28"/>
          <w:szCs w:val="28"/>
        </w:rPr>
        <w:t>、三芝茭白筍水車文化節</w:t>
      </w:r>
      <w:r w:rsidRPr="00D55DC6">
        <w:rPr>
          <w:rFonts w:eastAsia="標楷體"/>
          <w:sz w:val="28"/>
          <w:szCs w:val="28"/>
        </w:rPr>
        <w:t>(9-10</w:t>
      </w:r>
      <w:r w:rsidRPr="00D55DC6">
        <w:rPr>
          <w:rFonts w:eastAsia="標楷體"/>
          <w:sz w:val="28"/>
          <w:szCs w:val="28"/>
        </w:rPr>
        <w:t>月</w:t>
      </w:r>
      <w:r w:rsidRPr="00D55DC6">
        <w:rPr>
          <w:rFonts w:eastAsia="標楷體"/>
          <w:sz w:val="28"/>
          <w:szCs w:val="28"/>
        </w:rPr>
        <w:t>)</w:t>
      </w:r>
      <w:r w:rsidRPr="00D55DC6">
        <w:rPr>
          <w:rFonts w:eastAsia="標楷體"/>
          <w:sz w:val="28"/>
          <w:szCs w:val="28"/>
        </w:rPr>
        <w:t>、石門國際風箏節</w:t>
      </w:r>
      <w:r w:rsidRPr="00D55DC6">
        <w:rPr>
          <w:rFonts w:eastAsia="標楷體"/>
          <w:sz w:val="28"/>
          <w:szCs w:val="28"/>
        </w:rPr>
        <w:t>(9-10</w:t>
      </w:r>
      <w:r w:rsidRPr="00D55DC6">
        <w:rPr>
          <w:rFonts w:eastAsia="標楷體"/>
          <w:sz w:val="28"/>
          <w:szCs w:val="28"/>
        </w:rPr>
        <w:t>月</w:t>
      </w:r>
      <w:r w:rsidRPr="00D55DC6">
        <w:rPr>
          <w:rFonts w:eastAsia="標楷體"/>
          <w:sz w:val="28"/>
          <w:szCs w:val="28"/>
        </w:rPr>
        <w:t>)</w:t>
      </w:r>
      <w:r w:rsidRPr="00D55DC6">
        <w:rPr>
          <w:rFonts w:eastAsia="標楷體"/>
          <w:sz w:val="28"/>
          <w:szCs w:val="28"/>
        </w:rPr>
        <w:t>、金山萬里八里溫泉美食嘉年華</w:t>
      </w:r>
      <w:r w:rsidRPr="00D55DC6">
        <w:rPr>
          <w:rFonts w:eastAsia="標楷體"/>
          <w:sz w:val="28"/>
          <w:szCs w:val="28"/>
        </w:rPr>
        <w:t>(10-12</w:t>
      </w:r>
      <w:r w:rsidRPr="00D55DC6">
        <w:rPr>
          <w:rFonts w:eastAsia="標楷體"/>
          <w:sz w:val="28"/>
          <w:szCs w:val="28"/>
        </w:rPr>
        <w:t>月</w:t>
      </w:r>
      <w:r w:rsidRPr="00D55DC6">
        <w:rPr>
          <w:rFonts w:eastAsia="標楷體"/>
          <w:sz w:val="28"/>
          <w:szCs w:val="28"/>
        </w:rPr>
        <w:t xml:space="preserve">) </w:t>
      </w:r>
      <w:r w:rsidRPr="00D55DC6">
        <w:rPr>
          <w:rFonts w:eastAsia="標楷體"/>
          <w:sz w:val="28"/>
          <w:szCs w:val="28"/>
        </w:rPr>
        <w:t>等年度系列活動。</w:t>
      </w:r>
      <w:r w:rsidRPr="00D55DC6">
        <w:rPr>
          <w:rFonts w:eastAsia="標楷體"/>
          <w:sz w:val="28"/>
          <w:szCs w:val="28"/>
        </w:rPr>
        <w:t xml:space="preserve"> </w:t>
      </w:r>
    </w:p>
    <w:p w:rsidR="00934471" w:rsidRPr="00D55DC6" w:rsidRDefault="00934471" w:rsidP="0038165F">
      <w:pPr>
        <w:pStyle w:val="af2"/>
        <w:snapToGrid w:val="0"/>
        <w:spacing w:line="460" w:lineRule="exact"/>
        <w:ind w:leftChars="709" w:left="2693" w:hangingChars="354" w:hanging="991"/>
        <w:jc w:val="both"/>
        <w:rPr>
          <w:rFonts w:eastAsia="標楷體"/>
          <w:sz w:val="28"/>
          <w:szCs w:val="28"/>
        </w:rPr>
      </w:pPr>
      <w:r w:rsidRPr="00D55DC6">
        <w:rPr>
          <w:rFonts w:eastAsia="標楷體"/>
          <w:sz w:val="28"/>
          <w:szCs w:val="28"/>
        </w:rPr>
        <w:t>2-5-2-2.</w:t>
      </w:r>
      <w:r w:rsidRPr="00D55DC6">
        <w:rPr>
          <w:rFonts w:eastAsia="標楷體"/>
          <w:sz w:val="28"/>
          <w:szCs w:val="28"/>
        </w:rPr>
        <w:t>配合上級機關政策辦理之行銷推廣活動：無障礙旅遊體驗活動</w:t>
      </w:r>
      <w:r w:rsidRPr="00D55DC6">
        <w:rPr>
          <w:rFonts w:eastAsia="標楷體"/>
          <w:sz w:val="28"/>
          <w:szCs w:val="28"/>
        </w:rPr>
        <w:t>(101</w:t>
      </w:r>
      <w:r w:rsidRPr="00D55DC6">
        <w:rPr>
          <w:rFonts w:eastAsia="標楷體"/>
          <w:sz w:val="28"/>
          <w:szCs w:val="28"/>
        </w:rPr>
        <w:t>年</w:t>
      </w:r>
      <w:r w:rsidRPr="00D55DC6">
        <w:rPr>
          <w:rFonts w:eastAsia="標楷體"/>
          <w:sz w:val="28"/>
          <w:szCs w:val="28"/>
        </w:rPr>
        <w:t>10</w:t>
      </w:r>
      <w:r w:rsidRPr="00D55DC6">
        <w:rPr>
          <w:rFonts w:eastAsia="標楷體"/>
          <w:sz w:val="28"/>
          <w:szCs w:val="28"/>
        </w:rPr>
        <w:t>月及</w:t>
      </w:r>
      <w:r w:rsidRPr="00D55DC6">
        <w:rPr>
          <w:rFonts w:eastAsia="標楷體"/>
          <w:sz w:val="28"/>
          <w:szCs w:val="28"/>
        </w:rPr>
        <w:t>102</w:t>
      </w:r>
      <w:r w:rsidRPr="00D55DC6">
        <w:rPr>
          <w:rFonts w:eastAsia="標楷體"/>
          <w:sz w:val="28"/>
          <w:szCs w:val="28"/>
        </w:rPr>
        <w:t>年</w:t>
      </w:r>
      <w:r w:rsidRPr="00D55DC6">
        <w:rPr>
          <w:rFonts w:eastAsia="標楷體"/>
          <w:sz w:val="28"/>
          <w:szCs w:val="28"/>
        </w:rPr>
        <w:t>9</w:t>
      </w:r>
      <w:r w:rsidRPr="00D55DC6">
        <w:rPr>
          <w:rFonts w:eastAsia="標楷體"/>
          <w:sz w:val="28"/>
          <w:szCs w:val="28"/>
        </w:rPr>
        <w:t>月</w:t>
      </w:r>
      <w:r w:rsidRPr="00D55DC6">
        <w:rPr>
          <w:rFonts w:eastAsia="標楷體"/>
          <w:sz w:val="28"/>
          <w:szCs w:val="28"/>
        </w:rPr>
        <w:t>)</w:t>
      </w:r>
      <w:r w:rsidRPr="00D55DC6">
        <w:rPr>
          <w:rFonts w:eastAsia="標楷體"/>
          <w:sz w:val="28"/>
          <w:szCs w:val="28"/>
        </w:rPr>
        <w:t>、銀髮族旅遊體驗活動</w:t>
      </w:r>
      <w:r w:rsidRPr="00D55DC6">
        <w:rPr>
          <w:rFonts w:eastAsia="標楷體"/>
          <w:sz w:val="28"/>
          <w:szCs w:val="28"/>
        </w:rPr>
        <w:t>(103</w:t>
      </w:r>
      <w:r w:rsidRPr="00D55DC6">
        <w:rPr>
          <w:rFonts w:eastAsia="標楷體"/>
          <w:sz w:val="28"/>
          <w:szCs w:val="28"/>
        </w:rPr>
        <w:t>年</w:t>
      </w:r>
      <w:r w:rsidRPr="00D55DC6">
        <w:rPr>
          <w:rFonts w:eastAsia="標楷體"/>
          <w:sz w:val="28"/>
          <w:szCs w:val="28"/>
        </w:rPr>
        <w:t>1</w:t>
      </w:r>
      <w:r w:rsidRPr="00D55DC6">
        <w:rPr>
          <w:rFonts w:eastAsia="標楷體"/>
          <w:sz w:val="28"/>
          <w:szCs w:val="28"/>
        </w:rPr>
        <w:t>月及</w:t>
      </w:r>
      <w:r w:rsidRPr="00D55DC6">
        <w:rPr>
          <w:rFonts w:eastAsia="標楷體"/>
          <w:sz w:val="28"/>
          <w:szCs w:val="28"/>
        </w:rPr>
        <w:t>10</w:t>
      </w:r>
      <w:r w:rsidRPr="00D55DC6">
        <w:rPr>
          <w:rFonts w:eastAsia="標楷體"/>
          <w:sz w:val="28"/>
          <w:szCs w:val="28"/>
        </w:rPr>
        <w:t>月</w:t>
      </w:r>
      <w:r w:rsidRPr="00D55DC6">
        <w:rPr>
          <w:rFonts w:eastAsia="標楷體"/>
          <w:sz w:val="28"/>
          <w:szCs w:val="28"/>
        </w:rPr>
        <w:t>)</w:t>
      </w:r>
      <w:r w:rsidRPr="00D55DC6">
        <w:rPr>
          <w:rFonts w:eastAsia="標楷體"/>
          <w:sz w:val="28"/>
          <w:szCs w:val="28"/>
        </w:rPr>
        <w:t>、台灣好行皇冠北海岸線推廣活動</w:t>
      </w:r>
      <w:r w:rsidRPr="00D55DC6">
        <w:rPr>
          <w:rFonts w:eastAsia="標楷體"/>
          <w:sz w:val="28"/>
          <w:szCs w:val="28"/>
        </w:rPr>
        <w:t>(5-10</w:t>
      </w:r>
      <w:r w:rsidRPr="00D55DC6">
        <w:rPr>
          <w:rFonts w:eastAsia="標楷體"/>
          <w:sz w:val="28"/>
          <w:szCs w:val="28"/>
        </w:rPr>
        <w:t>月</w:t>
      </w:r>
      <w:r w:rsidRPr="00D55DC6">
        <w:rPr>
          <w:rFonts w:eastAsia="標楷體"/>
          <w:sz w:val="28"/>
          <w:szCs w:val="28"/>
        </w:rPr>
        <w:t>)</w:t>
      </w:r>
      <w:r w:rsidRPr="00D55DC6">
        <w:rPr>
          <w:rFonts w:eastAsia="標楷體"/>
          <w:sz w:val="28"/>
          <w:szCs w:val="28"/>
        </w:rPr>
        <w:t>。</w:t>
      </w:r>
    </w:p>
    <w:p w:rsidR="00934471" w:rsidRPr="00D55DC6" w:rsidRDefault="00934471" w:rsidP="0038165F">
      <w:pPr>
        <w:pStyle w:val="af2"/>
        <w:snapToGrid w:val="0"/>
        <w:spacing w:line="460" w:lineRule="exact"/>
        <w:ind w:leftChars="708" w:left="2693" w:hangingChars="355" w:hanging="994"/>
        <w:jc w:val="both"/>
        <w:rPr>
          <w:rFonts w:eastAsia="標楷體"/>
          <w:sz w:val="28"/>
          <w:szCs w:val="28"/>
        </w:rPr>
      </w:pPr>
      <w:r w:rsidRPr="00D55DC6">
        <w:rPr>
          <w:rFonts w:eastAsia="標楷體"/>
          <w:sz w:val="28"/>
          <w:szCs w:val="28"/>
        </w:rPr>
        <w:t>2-5-2-3.</w:t>
      </w:r>
      <w:r w:rsidRPr="00D55DC6">
        <w:rPr>
          <w:rFonts w:eastAsia="標楷體"/>
          <w:sz w:val="28"/>
          <w:szCs w:val="28"/>
        </w:rPr>
        <w:t>完成陸域生物資源調查與生態監測</w:t>
      </w:r>
      <w:r w:rsidRPr="00D55DC6">
        <w:rPr>
          <w:rFonts w:eastAsia="標楷體"/>
          <w:sz w:val="28"/>
          <w:szCs w:val="28"/>
        </w:rPr>
        <w:t>4</w:t>
      </w:r>
      <w:r w:rsidRPr="00D55DC6">
        <w:rPr>
          <w:rFonts w:eastAsia="標楷體"/>
          <w:sz w:val="28"/>
          <w:szCs w:val="28"/>
        </w:rPr>
        <w:t>年調查，計出版</w:t>
      </w:r>
      <w:r w:rsidRPr="00D55DC6">
        <w:rPr>
          <w:rFonts w:eastAsia="標楷體"/>
          <w:sz w:val="28"/>
          <w:szCs w:val="28"/>
        </w:rPr>
        <w:t>5</w:t>
      </w:r>
      <w:r w:rsidRPr="00D55DC6">
        <w:rPr>
          <w:rFonts w:eastAsia="標楷體"/>
          <w:sz w:val="28"/>
          <w:szCs w:val="28"/>
        </w:rPr>
        <w:t>冊生態旅遊叢書</w:t>
      </w:r>
      <w:r w:rsidRPr="00D55DC6">
        <w:rPr>
          <w:sz w:val="28"/>
          <w:szCs w:val="28"/>
        </w:rPr>
        <w:t>，</w:t>
      </w:r>
      <w:r w:rsidRPr="00D55DC6">
        <w:rPr>
          <w:rFonts w:eastAsia="標楷體"/>
          <w:sz w:val="28"/>
          <w:szCs w:val="28"/>
        </w:rPr>
        <w:t>提供遊客深度與動態導覽資訊；持續覓地結合地方復育原生種植物，</w:t>
      </w:r>
      <w:r w:rsidR="006D7CB3" w:rsidRPr="00D55DC6">
        <w:rPr>
          <w:rFonts w:eastAsia="標楷體"/>
          <w:sz w:val="28"/>
          <w:szCs w:val="28"/>
        </w:rPr>
        <w:t>喚</w:t>
      </w:r>
      <w:r w:rsidRPr="00D55DC6">
        <w:rPr>
          <w:rFonts w:eastAsia="標楷體"/>
          <w:sz w:val="28"/>
          <w:szCs w:val="28"/>
        </w:rPr>
        <w:t>起各界重視。</w:t>
      </w:r>
    </w:p>
    <w:p w:rsidR="00934471" w:rsidRPr="00D55DC6" w:rsidRDefault="00934471" w:rsidP="0038165F">
      <w:pPr>
        <w:pStyle w:val="af2"/>
        <w:snapToGrid w:val="0"/>
        <w:spacing w:line="460" w:lineRule="exact"/>
        <w:ind w:leftChars="708" w:left="2693" w:hangingChars="355" w:hanging="994"/>
        <w:jc w:val="both"/>
        <w:rPr>
          <w:rFonts w:eastAsia="標楷體"/>
          <w:sz w:val="28"/>
          <w:szCs w:val="28"/>
        </w:rPr>
      </w:pPr>
      <w:r w:rsidRPr="00D55DC6">
        <w:rPr>
          <w:rFonts w:eastAsia="標楷體"/>
          <w:sz w:val="28"/>
          <w:szCs w:val="28"/>
        </w:rPr>
        <w:t>2-5-2-4.</w:t>
      </w:r>
      <w:r w:rsidRPr="00D55DC6">
        <w:rPr>
          <w:rFonts w:eastAsia="標楷體"/>
          <w:sz w:val="28"/>
          <w:szCs w:val="28"/>
        </w:rPr>
        <w:t>有效辦</w:t>
      </w:r>
      <w:r w:rsidR="006D7CB3" w:rsidRPr="00D55DC6">
        <w:rPr>
          <w:rFonts w:eastAsia="標楷體"/>
          <w:sz w:val="28"/>
          <w:szCs w:val="28"/>
        </w:rPr>
        <w:t>理</w:t>
      </w:r>
      <w:r w:rsidRPr="00D55DC6">
        <w:rPr>
          <w:rFonts w:eastAsia="標楷體"/>
          <w:sz w:val="28"/>
          <w:szCs w:val="28"/>
        </w:rPr>
        <w:t>野柳地質公園團客分流管制措施及票價調整，降低環境負荷並兼顧在地經濟，地質公園更榮獲臺灣十大地景第</w:t>
      </w:r>
      <w:r w:rsidRPr="00D55DC6">
        <w:rPr>
          <w:rFonts w:eastAsia="標楷體"/>
          <w:sz w:val="28"/>
          <w:szCs w:val="28"/>
        </w:rPr>
        <w:t>1</w:t>
      </w:r>
      <w:r w:rsidRPr="00D55DC6">
        <w:rPr>
          <w:rFonts w:eastAsia="標楷體"/>
          <w:sz w:val="28"/>
          <w:szCs w:val="28"/>
        </w:rPr>
        <w:t>名。</w:t>
      </w:r>
    </w:p>
    <w:p w:rsidR="006D7CB3" w:rsidRPr="00D55DC6" w:rsidRDefault="006D7CB3" w:rsidP="0038165F">
      <w:pPr>
        <w:pStyle w:val="af2"/>
        <w:snapToGrid w:val="0"/>
        <w:spacing w:line="460" w:lineRule="exact"/>
        <w:ind w:leftChars="708" w:left="2693" w:hangingChars="355" w:hanging="994"/>
        <w:jc w:val="both"/>
        <w:rPr>
          <w:rFonts w:eastAsia="標楷體"/>
          <w:sz w:val="28"/>
          <w:szCs w:val="28"/>
        </w:rPr>
      </w:pPr>
    </w:p>
    <w:p w:rsidR="00C336E5" w:rsidRPr="00D55DC6" w:rsidRDefault="00C336E5" w:rsidP="0038165F">
      <w:pPr>
        <w:pStyle w:val="af2"/>
        <w:snapToGrid w:val="0"/>
        <w:spacing w:line="460" w:lineRule="exact"/>
        <w:ind w:leftChars="708" w:left="2693" w:hangingChars="355" w:hanging="994"/>
        <w:jc w:val="both"/>
        <w:rPr>
          <w:rFonts w:eastAsia="標楷體"/>
          <w:sz w:val="28"/>
          <w:szCs w:val="28"/>
        </w:rPr>
      </w:pPr>
    </w:p>
    <w:p w:rsidR="00934471" w:rsidRPr="00D55DC6" w:rsidRDefault="00934471" w:rsidP="0038165F">
      <w:pPr>
        <w:pStyle w:val="a"/>
        <w:ind w:left="709" w:hanging="709"/>
        <w:rPr>
          <w:b/>
        </w:rPr>
      </w:pPr>
      <w:bookmarkStart w:id="76" w:name="_Toc407181654"/>
      <w:r w:rsidRPr="00D55DC6">
        <w:rPr>
          <w:b/>
        </w:rPr>
        <w:t>執行策略及方法</w:t>
      </w:r>
      <w:bookmarkEnd w:id="76"/>
    </w:p>
    <w:p w:rsidR="00934471" w:rsidRPr="00D55DC6" w:rsidRDefault="00934471" w:rsidP="004865C1">
      <w:pPr>
        <w:pStyle w:val="af2"/>
        <w:numPr>
          <w:ilvl w:val="0"/>
          <w:numId w:val="51"/>
        </w:numPr>
        <w:snapToGrid w:val="0"/>
        <w:spacing w:line="460" w:lineRule="exact"/>
        <w:ind w:leftChars="0"/>
        <w:jc w:val="both"/>
        <w:rPr>
          <w:rFonts w:eastAsia="標楷體"/>
          <w:b/>
          <w:sz w:val="28"/>
          <w:szCs w:val="28"/>
        </w:rPr>
      </w:pPr>
      <w:r w:rsidRPr="00D55DC6">
        <w:rPr>
          <w:rFonts w:eastAsia="標楷體"/>
          <w:b/>
          <w:sz w:val="28"/>
          <w:szCs w:val="28"/>
        </w:rPr>
        <w:t>執行策略</w:t>
      </w:r>
    </w:p>
    <w:p w:rsidR="00934471" w:rsidRPr="00D55DC6" w:rsidRDefault="00934471" w:rsidP="004865C1">
      <w:pPr>
        <w:pStyle w:val="af2"/>
        <w:numPr>
          <w:ilvl w:val="1"/>
          <w:numId w:val="51"/>
        </w:numPr>
        <w:snapToGrid w:val="0"/>
        <w:spacing w:line="460" w:lineRule="exact"/>
        <w:ind w:leftChars="0"/>
        <w:jc w:val="both"/>
        <w:rPr>
          <w:rFonts w:eastAsia="標楷體"/>
          <w:b/>
          <w:sz w:val="28"/>
          <w:szCs w:val="28"/>
        </w:rPr>
      </w:pPr>
      <w:r w:rsidRPr="00D55DC6">
        <w:rPr>
          <w:rFonts w:eastAsia="標楷體"/>
          <w:b/>
          <w:sz w:val="28"/>
          <w:szCs w:val="28"/>
        </w:rPr>
        <w:t>風景區建設計畫與土地使用法定計畫結合</w:t>
      </w:r>
    </w:p>
    <w:p w:rsidR="00934471" w:rsidRPr="00D55DC6" w:rsidRDefault="00934471" w:rsidP="0038165F">
      <w:pPr>
        <w:pStyle w:val="af2"/>
        <w:snapToGrid w:val="0"/>
        <w:spacing w:line="460" w:lineRule="exact"/>
        <w:ind w:leftChars="0" w:left="840"/>
        <w:jc w:val="both"/>
        <w:rPr>
          <w:rFonts w:eastAsia="標楷體"/>
          <w:sz w:val="28"/>
          <w:szCs w:val="28"/>
        </w:rPr>
      </w:pPr>
      <w:r w:rsidRPr="00D55DC6">
        <w:rPr>
          <w:rFonts w:eastAsia="標楷體"/>
          <w:sz w:val="28"/>
          <w:szCs w:val="28"/>
        </w:rPr>
        <w:t>鑑於國家風景區觀光土地取得以及開發運用方面困境，建議將主要計畫經規劃、擬定與核定程序後，宜配合目前區域計畫法定程序，</w:t>
      </w:r>
      <w:r w:rsidRPr="00D55DC6">
        <w:rPr>
          <w:rFonts w:eastAsia="標楷體"/>
          <w:sz w:val="28"/>
          <w:szCs w:val="28"/>
        </w:rPr>
        <w:lastRenderedPageBreak/>
        <w:t>並依據觀光發展條例與區域計畫法等法規條件規範，將各風景區計畫中土地使用計畫（包含環境敏感區位、引導發展區位等）、總量管理規劃（觀光經營總量目標、公用事業配套、衍生住宿用地需求管理等）內容整合為全國區域計畫的觀光部門計畫內容；並交由內政部區域計畫委員會審定公告，以使國家風景區之觀光目的規劃權能與地用法定計畫審核權連結；同時引導影響區域土地範圍的土地使用管理權及開發建設建管權之間的關係。</w:t>
      </w:r>
    </w:p>
    <w:p w:rsidR="008C418E" w:rsidRPr="00D55DC6" w:rsidRDefault="008C418E" w:rsidP="0038165F">
      <w:pPr>
        <w:pStyle w:val="af2"/>
        <w:snapToGrid w:val="0"/>
        <w:spacing w:line="460" w:lineRule="exact"/>
        <w:ind w:leftChars="0" w:left="840"/>
        <w:jc w:val="both"/>
        <w:rPr>
          <w:rFonts w:eastAsia="標楷體"/>
          <w:sz w:val="28"/>
          <w:szCs w:val="28"/>
        </w:rPr>
      </w:pPr>
    </w:p>
    <w:p w:rsidR="00934471" w:rsidRPr="00D55DC6" w:rsidRDefault="00934471" w:rsidP="004865C1">
      <w:pPr>
        <w:pStyle w:val="af2"/>
        <w:numPr>
          <w:ilvl w:val="1"/>
          <w:numId w:val="51"/>
        </w:numPr>
        <w:snapToGrid w:val="0"/>
        <w:spacing w:line="460" w:lineRule="exact"/>
        <w:ind w:leftChars="0"/>
        <w:jc w:val="both"/>
        <w:rPr>
          <w:rFonts w:eastAsia="標楷體"/>
          <w:b/>
          <w:sz w:val="28"/>
          <w:szCs w:val="28"/>
        </w:rPr>
      </w:pPr>
      <w:r w:rsidRPr="00D55DC6">
        <w:rPr>
          <w:rFonts w:eastAsia="標楷體"/>
          <w:b/>
          <w:sz w:val="28"/>
          <w:szCs w:val="28"/>
        </w:rPr>
        <w:t>觀光設施永續經營</w:t>
      </w:r>
    </w:p>
    <w:p w:rsidR="00934471" w:rsidRPr="00D55DC6" w:rsidRDefault="00934471" w:rsidP="0038165F">
      <w:pPr>
        <w:pStyle w:val="af2"/>
        <w:snapToGrid w:val="0"/>
        <w:spacing w:line="460" w:lineRule="exact"/>
        <w:ind w:leftChars="0" w:left="840"/>
        <w:jc w:val="both"/>
        <w:rPr>
          <w:rFonts w:eastAsia="標楷體"/>
          <w:sz w:val="28"/>
          <w:szCs w:val="28"/>
        </w:rPr>
      </w:pPr>
      <w:r w:rsidRPr="00D55DC6">
        <w:rPr>
          <w:rFonts w:eastAsia="標楷體"/>
          <w:sz w:val="28"/>
          <w:szCs w:val="28"/>
        </w:rPr>
        <w:t>因應北觀國家風景區部分熱門遊憩區，在開放大陸地區人民來台觀光後，旅客流量暴增，造成環境承載與遊客休憩壓力，衝擊遊憩品質；管理處除積極定位各遊憩區之發展特色，加強遊憩服務設施整建，並規劃多種進出遊憩據點之主題遊程，以核心景點串連周邊景點，帶動整體觀光發展</w:t>
      </w:r>
      <w:r w:rsidR="00486FAE" w:rsidRPr="00D55DC6">
        <w:rPr>
          <w:rFonts w:eastAsia="標楷體"/>
          <w:sz w:val="28"/>
          <w:szCs w:val="28"/>
        </w:rPr>
        <w:t>；同時納入智慧觀光概念，即時掌握觀光資源變動，有效解讀、分析及解決問題。</w:t>
      </w:r>
      <w:r w:rsidRPr="00D55DC6">
        <w:rPr>
          <w:rFonts w:eastAsia="標楷體"/>
          <w:sz w:val="28"/>
          <w:szCs w:val="28"/>
        </w:rPr>
        <w:t>尤其野柳遊憩區，搭配入口門戶調節核心區設施區位，規劃建置遊客服務中心暨國際觀光展售中心、大小客車停車場、野柳入口轉運站及周邊景觀與設施改善，以提升旅遊量能與品質，增進觀光產值，帶動地方就業與產業繁榮。而因應觀光遊憩服務設施興建之用地需求，管理處將進行土地協議價購及都市計畫變更作業，俾利後續工程進行。</w:t>
      </w:r>
    </w:p>
    <w:p w:rsidR="008C418E" w:rsidRPr="00D55DC6" w:rsidRDefault="008C418E" w:rsidP="0038165F">
      <w:pPr>
        <w:pStyle w:val="af2"/>
        <w:snapToGrid w:val="0"/>
        <w:spacing w:line="460" w:lineRule="exact"/>
        <w:ind w:leftChars="0" w:left="840"/>
        <w:jc w:val="both"/>
        <w:rPr>
          <w:rFonts w:eastAsia="標楷體"/>
          <w:sz w:val="28"/>
          <w:szCs w:val="28"/>
        </w:rPr>
      </w:pPr>
    </w:p>
    <w:p w:rsidR="00934471" w:rsidRPr="00D55DC6" w:rsidRDefault="00934471" w:rsidP="004865C1">
      <w:pPr>
        <w:pStyle w:val="af2"/>
        <w:numPr>
          <w:ilvl w:val="1"/>
          <w:numId w:val="51"/>
        </w:numPr>
        <w:snapToGrid w:val="0"/>
        <w:spacing w:line="460" w:lineRule="exact"/>
        <w:ind w:leftChars="0"/>
        <w:jc w:val="both"/>
        <w:rPr>
          <w:rFonts w:eastAsia="標楷體"/>
          <w:b/>
          <w:sz w:val="28"/>
          <w:szCs w:val="28"/>
        </w:rPr>
      </w:pPr>
      <w:r w:rsidRPr="00D55DC6">
        <w:rPr>
          <w:rFonts w:eastAsia="標楷體"/>
          <w:b/>
          <w:sz w:val="28"/>
          <w:szCs w:val="28"/>
        </w:rPr>
        <w:t>經管範圍環境整體配套國際化與跨域整合發展</w:t>
      </w:r>
    </w:p>
    <w:p w:rsidR="00934471" w:rsidRPr="00D55DC6" w:rsidRDefault="00934471" w:rsidP="0038165F">
      <w:pPr>
        <w:pStyle w:val="af2"/>
        <w:snapToGrid w:val="0"/>
        <w:spacing w:line="460" w:lineRule="exact"/>
        <w:ind w:leftChars="0" w:left="840"/>
        <w:jc w:val="both"/>
        <w:rPr>
          <w:rFonts w:eastAsia="標楷體"/>
          <w:sz w:val="28"/>
          <w:szCs w:val="28"/>
        </w:rPr>
      </w:pPr>
      <w:r w:rsidRPr="00D55DC6">
        <w:rPr>
          <w:rFonts w:eastAsia="標楷體"/>
          <w:sz w:val="28"/>
          <w:szCs w:val="28"/>
        </w:rPr>
        <w:t>北觀國家風景區擴大經管範圍至基隆市，為帶動該遊憩區之觀光遊憩發展，將經由妥善規劃及建設相關旅遊服務設施，延伸北海岸遊憩帶，整合優質地景，推動北海岸地質公園加入世界地質公園網絡，以旅遊線發展思維，整合鄰近陸海空之遊憩、人文、產業及生態資源，發展四季可遊之多元主題遊程</w:t>
      </w:r>
      <w:r w:rsidRPr="00D55DC6">
        <w:rPr>
          <w:sz w:val="28"/>
          <w:szCs w:val="28"/>
        </w:rPr>
        <w:t>，</w:t>
      </w:r>
      <w:r w:rsidRPr="00D55DC6">
        <w:rPr>
          <w:rFonts w:eastAsia="標楷體"/>
          <w:sz w:val="28"/>
          <w:szCs w:val="28"/>
        </w:rPr>
        <w:t>形塑皇冠海岸珍珠，並擴展成</w:t>
      </w:r>
      <w:r w:rsidRPr="00D55DC6">
        <w:rPr>
          <w:rFonts w:eastAsia="標楷體"/>
          <w:sz w:val="28"/>
          <w:szCs w:val="28"/>
        </w:rPr>
        <w:t xml:space="preserve">48 </w:t>
      </w:r>
      <w:r w:rsidRPr="00D55DC6">
        <w:rPr>
          <w:rFonts w:eastAsia="標楷體"/>
          <w:sz w:val="28"/>
          <w:szCs w:val="28"/>
        </w:rPr>
        <w:t>小時旅遊圈，形塑「幸福北海岸．樂活觀音山」豐富特色旅地意象，增強觀光競爭力。</w:t>
      </w:r>
      <w:r w:rsidRPr="00D55DC6">
        <w:rPr>
          <w:rFonts w:eastAsia="標楷體"/>
          <w:sz w:val="28"/>
          <w:szCs w:val="28"/>
        </w:rPr>
        <w:t xml:space="preserve"> </w:t>
      </w:r>
      <w:r w:rsidRPr="00D55DC6">
        <w:rPr>
          <w:rFonts w:eastAsia="標楷體"/>
          <w:sz w:val="28"/>
          <w:szCs w:val="28"/>
        </w:rPr>
        <w:t>另外，因應北觀國家風景區環境特質，透過與其他公部門如陽明山國家公園、國產署、新北市、基隆市及</w:t>
      </w:r>
      <w:r w:rsidRPr="00D55DC6">
        <w:rPr>
          <w:rFonts w:eastAsia="標楷體"/>
          <w:sz w:val="28"/>
          <w:szCs w:val="28"/>
        </w:rPr>
        <w:lastRenderedPageBreak/>
        <w:t>港埠管理機關等，及私部門的社區、在地社團組織、企業等進行跨域整合發展，展現區域旅遊豐富度。</w:t>
      </w:r>
    </w:p>
    <w:p w:rsidR="00B7347D" w:rsidRPr="00D55DC6" w:rsidRDefault="00B7347D" w:rsidP="0038165F">
      <w:pPr>
        <w:pStyle w:val="af2"/>
        <w:snapToGrid w:val="0"/>
        <w:spacing w:line="460" w:lineRule="exact"/>
        <w:ind w:leftChars="0" w:left="840"/>
        <w:jc w:val="both"/>
        <w:rPr>
          <w:rFonts w:eastAsia="標楷體"/>
          <w:b/>
          <w:sz w:val="36"/>
          <w:szCs w:val="36"/>
        </w:rPr>
      </w:pPr>
    </w:p>
    <w:p w:rsidR="00934471" w:rsidRPr="00D55DC6" w:rsidRDefault="00934471" w:rsidP="004865C1">
      <w:pPr>
        <w:pStyle w:val="af2"/>
        <w:numPr>
          <w:ilvl w:val="0"/>
          <w:numId w:val="51"/>
        </w:numPr>
        <w:snapToGrid w:val="0"/>
        <w:spacing w:line="460" w:lineRule="exact"/>
        <w:ind w:leftChars="0"/>
        <w:jc w:val="both"/>
        <w:rPr>
          <w:rFonts w:eastAsia="標楷體"/>
          <w:b/>
          <w:sz w:val="28"/>
          <w:szCs w:val="28"/>
        </w:rPr>
      </w:pPr>
      <w:r w:rsidRPr="00D55DC6">
        <w:rPr>
          <w:rFonts w:eastAsia="標楷體"/>
          <w:b/>
          <w:sz w:val="28"/>
          <w:szCs w:val="28"/>
        </w:rPr>
        <w:t>主要工作項目</w:t>
      </w:r>
    </w:p>
    <w:p w:rsidR="00934471" w:rsidRPr="00D55DC6" w:rsidRDefault="00934471" w:rsidP="004865C1">
      <w:pPr>
        <w:pStyle w:val="af2"/>
        <w:numPr>
          <w:ilvl w:val="1"/>
          <w:numId w:val="51"/>
        </w:numPr>
        <w:snapToGrid w:val="0"/>
        <w:spacing w:line="460" w:lineRule="exact"/>
        <w:ind w:leftChars="0"/>
        <w:jc w:val="both"/>
        <w:rPr>
          <w:rFonts w:eastAsia="標楷體"/>
          <w:b/>
          <w:sz w:val="28"/>
          <w:szCs w:val="28"/>
        </w:rPr>
      </w:pPr>
      <w:r w:rsidRPr="00D55DC6">
        <w:rPr>
          <w:rFonts w:eastAsia="標楷體"/>
          <w:b/>
          <w:sz w:val="28"/>
          <w:szCs w:val="28"/>
        </w:rPr>
        <w:t>國際觀光景點建設</w:t>
      </w:r>
    </w:p>
    <w:p w:rsidR="00934471" w:rsidRPr="00D55DC6" w:rsidRDefault="00934471" w:rsidP="008C418E">
      <w:pPr>
        <w:pStyle w:val="af2"/>
        <w:snapToGrid w:val="0"/>
        <w:spacing w:line="460" w:lineRule="exact"/>
        <w:ind w:leftChars="354" w:left="1273" w:hangingChars="151" w:hanging="423"/>
        <w:jc w:val="both"/>
        <w:rPr>
          <w:rFonts w:eastAsia="標楷體"/>
          <w:sz w:val="28"/>
          <w:szCs w:val="28"/>
        </w:rPr>
      </w:pPr>
      <w:r w:rsidRPr="00D55DC6">
        <w:rPr>
          <w:rFonts w:eastAsia="標楷體"/>
          <w:sz w:val="28"/>
          <w:szCs w:val="28"/>
        </w:rPr>
        <w:t>1-1.</w:t>
      </w:r>
      <w:r w:rsidRPr="00D55DC6">
        <w:rPr>
          <w:rFonts w:eastAsia="標楷體"/>
          <w:sz w:val="28"/>
          <w:szCs w:val="28"/>
        </w:rPr>
        <w:t>白沙灣遊憩區：增闢白沙月灣景點、白沙灣遊憩區既有設施改善。</w:t>
      </w:r>
    </w:p>
    <w:p w:rsidR="00934471" w:rsidRPr="00D55DC6" w:rsidRDefault="00934471" w:rsidP="008C418E">
      <w:pPr>
        <w:pStyle w:val="af2"/>
        <w:snapToGrid w:val="0"/>
        <w:spacing w:line="460" w:lineRule="exact"/>
        <w:ind w:leftChars="354" w:left="1273" w:hangingChars="151" w:hanging="423"/>
        <w:jc w:val="both"/>
        <w:rPr>
          <w:rFonts w:eastAsia="標楷體"/>
          <w:sz w:val="28"/>
          <w:szCs w:val="28"/>
        </w:rPr>
      </w:pPr>
      <w:r w:rsidRPr="00D55DC6">
        <w:rPr>
          <w:rFonts w:eastAsia="標楷體"/>
          <w:sz w:val="28"/>
          <w:szCs w:val="28"/>
        </w:rPr>
        <w:t>1-2.</w:t>
      </w:r>
      <w:r w:rsidRPr="00D55DC6">
        <w:rPr>
          <w:rFonts w:eastAsia="標楷體"/>
          <w:sz w:val="28"/>
          <w:szCs w:val="28"/>
        </w:rPr>
        <w:t>金山中角遊憩區：獅頭山公園步道及服務設施改善、金山遊客中心停車場及周邊設施改善、員潭溪獨木舟基地營造、中角沙珠灣周邊設施及景觀改善。</w:t>
      </w:r>
    </w:p>
    <w:p w:rsidR="00934471" w:rsidRPr="00D55DC6" w:rsidRDefault="00934471" w:rsidP="008C418E">
      <w:pPr>
        <w:pStyle w:val="af2"/>
        <w:snapToGrid w:val="0"/>
        <w:spacing w:line="460" w:lineRule="exact"/>
        <w:ind w:leftChars="354" w:left="1273" w:hangingChars="151" w:hanging="423"/>
        <w:jc w:val="both"/>
        <w:rPr>
          <w:rFonts w:eastAsia="標楷體"/>
          <w:sz w:val="28"/>
          <w:szCs w:val="28"/>
        </w:rPr>
      </w:pPr>
      <w:r w:rsidRPr="00D55DC6">
        <w:rPr>
          <w:rFonts w:eastAsia="標楷體"/>
          <w:sz w:val="28"/>
          <w:szCs w:val="28"/>
        </w:rPr>
        <w:t>1-3.</w:t>
      </w:r>
      <w:r w:rsidRPr="00D55DC6">
        <w:rPr>
          <w:rFonts w:eastAsia="標楷體"/>
          <w:sz w:val="28"/>
          <w:szCs w:val="28"/>
        </w:rPr>
        <w:t>野柳遊憩區：野柳核心區整體環境改善、增闢野柳入口轉運站及周邊景觀及設施改善、翡翠灣周邊設施及景觀改善。</w:t>
      </w:r>
    </w:p>
    <w:p w:rsidR="00934471" w:rsidRPr="00D55DC6" w:rsidRDefault="00934471" w:rsidP="008C418E">
      <w:pPr>
        <w:pStyle w:val="af2"/>
        <w:snapToGrid w:val="0"/>
        <w:spacing w:line="460" w:lineRule="exact"/>
        <w:ind w:leftChars="354" w:left="1273" w:hangingChars="151" w:hanging="423"/>
        <w:jc w:val="both"/>
        <w:rPr>
          <w:rFonts w:eastAsia="標楷體"/>
          <w:sz w:val="28"/>
          <w:szCs w:val="28"/>
        </w:rPr>
      </w:pPr>
      <w:r w:rsidRPr="00D55DC6">
        <w:rPr>
          <w:rFonts w:eastAsia="標楷體"/>
          <w:sz w:val="28"/>
          <w:szCs w:val="28"/>
        </w:rPr>
        <w:t>1-4.</w:t>
      </w:r>
      <w:r w:rsidRPr="00D55DC6">
        <w:rPr>
          <w:rFonts w:eastAsia="標楷體"/>
          <w:sz w:val="28"/>
          <w:szCs w:val="28"/>
        </w:rPr>
        <w:t>基隆遊憩區：基隆遊客服務中心建置、情人湖及外木山遊憩區設施及景觀改善、和平島地質公園步道及景觀改善。</w:t>
      </w:r>
    </w:p>
    <w:p w:rsidR="00934471" w:rsidRPr="00D55DC6" w:rsidRDefault="00934471" w:rsidP="004865C1">
      <w:pPr>
        <w:pStyle w:val="af2"/>
        <w:numPr>
          <w:ilvl w:val="1"/>
          <w:numId w:val="51"/>
        </w:numPr>
        <w:snapToGrid w:val="0"/>
        <w:spacing w:line="460" w:lineRule="exact"/>
        <w:ind w:leftChars="0"/>
        <w:jc w:val="both"/>
        <w:rPr>
          <w:rFonts w:eastAsia="標楷體"/>
          <w:sz w:val="28"/>
          <w:szCs w:val="28"/>
        </w:rPr>
      </w:pPr>
      <w:r w:rsidRPr="00D55DC6">
        <w:rPr>
          <w:rFonts w:eastAsia="標楷體"/>
          <w:b/>
          <w:sz w:val="28"/>
          <w:szCs w:val="28"/>
        </w:rPr>
        <w:t>國內觀光景點建設</w:t>
      </w:r>
    </w:p>
    <w:p w:rsidR="00934471" w:rsidRPr="00D55DC6" w:rsidRDefault="00934471" w:rsidP="008C418E">
      <w:pPr>
        <w:pStyle w:val="af2"/>
        <w:snapToGrid w:val="0"/>
        <w:spacing w:line="460" w:lineRule="exact"/>
        <w:ind w:leftChars="354" w:left="1273" w:hangingChars="151" w:hanging="423"/>
        <w:jc w:val="both"/>
        <w:rPr>
          <w:rFonts w:eastAsia="標楷體"/>
          <w:sz w:val="28"/>
          <w:szCs w:val="28"/>
        </w:rPr>
      </w:pPr>
      <w:r w:rsidRPr="00D55DC6">
        <w:rPr>
          <w:rFonts w:eastAsia="標楷體"/>
          <w:sz w:val="28"/>
          <w:szCs w:val="28"/>
        </w:rPr>
        <w:t>2-1.</w:t>
      </w:r>
      <w:r w:rsidRPr="00D55DC6">
        <w:rPr>
          <w:rFonts w:eastAsia="標楷體"/>
          <w:sz w:val="28"/>
          <w:szCs w:val="28"/>
        </w:rPr>
        <w:t>三芝石門遊憩區：淺水灣資訊服務站建置、三芝遊憩區既有設施改善工程、石門洞及富貴角周邊服務設施改善。</w:t>
      </w:r>
    </w:p>
    <w:p w:rsidR="00934471" w:rsidRPr="00D55DC6" w:rsidRDefault="00934471" w:rsidP="008C418E">
      <w:pPr>
        <w:pStyle w:val="af2"/>
        <w:snapToGrid w:val="0"/>
        <w:spacing w:line="460" w:lineRule="exact"/>
        <w:ind w:leftChars="354" w:left="1273" w:hangingChars="151" w:hanging="423"/>
        <w:jc w:val="both"/>
        <w:rPr>
          <w:rFonts w:eastAsia="標楷體"/>
          <w:sz w:val="28"/>
          <w:szCs w:val="28"/>
        </w:rPr>
      </w:pPr>
      <w:r w:rsidRPr="00D55DC6">
        <w:rPr>
          <w:rFonts w:eastAsia="標楷體"/>
          <w:sz w:val="28"/>
          <w:szCs w:val="28"/>
        </w:rPr>
        <w:t>2-2.</w:t>
      </w:r>
      <w:r w:rsidRPr="00D55DC6">
        <w:rPr>
          <w:rFonts w:eastAsia="標楷體"/>
          <w:sz w:val="28"/>
          <w:szCs w:val="28"/>
        </w:rPr>
        <w:t>觀音山遊憩區：觀音山景點服務設施、步道及環境景觀改善。</w:t>
      </w:r>
    </w:p>
    <w:p w:rsidR="00934471" w:rsidRPr="00D55DC6" w:rsidRDefault="00934471" w:rsidP="008C418E">
      <w:pPr>
        <w:pStyle w:val="af2"/>
        <w:snapToGrid w:val="0"/>
        <w:spacing w:line="460" w:lineRule="exact"/>
        <w:ind w:leftChars="354" w:left="1273" w:hangingChars="151" w:hanging="423"/>
        <w:jc w:val="both"/>
        <w:rPr>
          <w:rFonts w:eastAsia="標楷體"/>
          <w:sz w:val="28"/>
          <w:szCs w:val="28"/>
        </w:rPr>
      </w:pPr>
      <w:r w:rsidRPr="00D55DC6">
        <w:rPr>
          <w:rFonts w:eastAsia="標楷體"/>
          <w:sz w:val="28"/>
          <w:szCs w:val="28"/>
        </w:rPr>
        <w:t>2-3.</w:t>
      </w:r>
      <w:r w:rsidRPr="00D55DC6">
        <w:rPr>
          <w:rFonts w:eastAsia="標楷體"/>
          <w:sz w:val="28"/>
          <w:szCs w:val="28"/>
        </w:rPr>
        <w:t>自行車道路網延伸及路廊景觀改善：自行車道串連，建置環狀自行車路網、路廊周邊景觀改善。</w:t>
      </w:r>
    </w:p>
    <w:p w:rsidR="00934471" w:rsidRPr="00D55DC6" w:rsidRDefault="00934471" w:rsidP="004865C1">
      <w:pPr>
        <w:pStyle w:val="af2"/>
        <w:numPr>
          <w:ilvl w:val="1"/>
          <w:numId w:val="51"/>
        </w:numPr>
        <w:snapToGrid w:val="0"/>
        <w:spacing w:line="460" w:lineRule="exact"/>
        <w:ind w:leftChars="0"/>
        <w:jc w:val="both"/>
        <w:rPr>
          <w:rFonts w:eastAsia="標楷體"/>
          <w:b/>
          <w:sz w:val="28"/>
          <w:szCs w:val="28"/>
        </w:rPr>
      </w:pPr>
      <w:r w:rsidRPr="00D55DC6">
        <w:rPr>
          <w:rFonts w:eastAsia="標楷體"/>
          <w:b/>
          <w:sz w:val="28"/>
          <w:szCs w:val="28"/>
        </w:rPr>
        <w:t>國家風景區經營管理</w:t>
      </w:r>
    </w:p>
    <w:p w:rsidR="00934471" w:rsidRPr="00D55DC6" w:rsidRDefault="00934471" w:rsidP="008C418E">
      <w:pPr>
        <w:pStyle w:val="af2"/>
        <w:snapToGrid w:val="0"/>
        <w:spacing w:line="460" w:lineRule="exact"/>
        <w:ind w:leftChars="354" w:left="1273" w:hangingChars="151" w:hanging="423"/>
        <w:jc w:val="both"/>
        <w:rPr>
          <w:rFonts w:eastAsia="標楷體"/>
          <w:sz w:val="28"/>
          <w:szCs w:val="28"/>
        </w:rPr>
      </w:pPr>
      <w:r w:rsidRPr="00D55DC6">
        <w:rPr>
          <w:rFonts w:eastAsia="標楷體"/>
          <w:sz w:val="28"/>
          <w:szCs w:val="28"/>
        </w:rPr>
        <w:t>3-1.</w:t>
      </w:r>
      <w:r w:rsidRPr="00D55DC6">
        <w:rPr>
          <w:rFonts w:eastAsia="標楷體"/>
          <w:sz w:val="28"/>
          <w:szCs w:val="28"/>
        </w:rPr>
        <w:t>用地取得：依建設需要辦理土地撥用、協議價購或徵收，以及地上物清理等。</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3-1-1.</w:t>
      </w:r>
      <w:r w:rsidRPr="00D55DC6">
        <w:rPr>
          <w:rFonts w:eastAsia="標楷體"/>
          <w:sz w:val="28"/>
          <w:szCs w:val="28"/>
        </w:rPr>
        <w:t>北海岸遊憩區沿線遊憩據點用地取得。</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3-1-2.</w:t>
      </w:r>
      <w:r w:rsidRPr="00D55DC6">
        <w:rPr>
          <w:rFonts w:eastAsia="標楷體"/>
          <w:sz w:val="28"/>
          <w:szCs w:val="28"/>
        </w:rPr>
        <w:t>金山中角遊憩區周邊環境改善用地取得。</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3-1-3.</w:t>
      </w:r>
      <w:r w:rsidRPr="00D55DC6">
        <w:rPr>
          <w:rFonts w:eastAsia="標楷體"/>
          <w:sz w:val="28"/>
          <w:szCs w:val="28"/>
        </w:rPr>
        <w:t>野柳核心區周邊環境改善用地取得。</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3-1-4.</w:t>
      </w:r>
      <w:r w:rsidRPr="00D55DC6">
        <w:rPr>
          <w:rFonts w:eastAsia="標楷體"/>
          <w:sz w:val="28"/>
          <w:szCs w:val="28"/>
        </w:rPr>
        <w:t>基隆遊憩區周邊環境改善用地取得。</w:t>
      </w:r>
    </w:p>
    <w:p w:rsidR="00934471" w:rsidRPr="00D55DC6" w:rsidRDefault="00934471" w:rsidP="008C418E">
      <w:pPr>
        <w:pStyle w:val="af2"/>
        <w:snapToGrid w:val="0"/>
        <w:spacing w:line="460" w:lineRule="exact"/>
        <w:ind w:leftChars="354" w:left="1273" w:hangingChars="151" w:hanging="423"/>
        <w:jc w:val="both"/>
        <w:rPr>
          <w:rFonts w:eastAsia="標楷體"/>
          <w:sz w:val="28"/>
          <w:szCs w:val="28"/>
        </w:rPr>
      </w:pPr>
      <w:r w:rsidRPr="00D55DC6">
        <w:rPr>
          <w:rFonts w:eastAsia="標楷體"/>
          <w:sz w:val="28"/>
          <w:szCs w:val="28"/>
        </w:rPr>
        <w:t>3-2.</w:t>
      </w:r>
      <w:r w:rsidRPr="00D55DC6">
        <w:rPr>
          <w:rFonts w:eastAsia="標楷體"/>
          <w:sz w:val="28"/>
          <w:szCs w:val="28"/>
        </w:rPr>
        <w:t>先期規劃設計：辦理遊憩據點各項先期規劃、資源調查、開發經營管理策略研究及工程建設設計。</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3-2-1.</w:t>
      </w:r>
      <w:r w:rsidRPr="00D55DC6">
        <w:rPr>
          <w:rFonts w:eastAsia="標楷體"/>
          <w:sz w:val="28"/>
          <w:szCs w:val="28"/>
        </w:rPr>
        <w:t>野柳核心區國內比圖及環境影響評估委託專業服務。</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lastRenderedPageBreak/>
        <w:t>3-2-2.</w:t>
      </w:r>
      <w:r w:rsidRPr="00D55DC6">
        <w:rPr>
          <w:rFonts w:eastAsia="標楷體"/>
          <w:sz w:val="28"/>
          <w:szCs w:val="28"/>
        </w:rPr>
        <w:t>員潭溪露營區都市計畫變更委託專業服務。</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3-2-3.</w:t>
      </w:r>
      <w:r w:rsidRPr="00D55DC6">
        <w:rPr>
          <w:rFonts w:eastAsia="標楷體"/>
          <w:sz w:val="28"/>
          <w:szCs w:val="28"/>
        </w:rPr>
        <w:t>沙珠灣都市計畫變更委託專業服務。</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3-2-4.</w:t>
      </w:r>
      <w:r w:rsidRPr="00D55DC6">
        <w:rPr>
          <w:rFonts w:eastAsia="標楷體"/>
          <w:sz w:val="28"/>
          <w:szCs w:val="28"/>
        </w:rPr>
        <w:t>地理資訊系統數值資料更新建置。</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3-2-5.</w:t>
      </w:r>
      <w:r w:rsidRPr="00D55DC6">
        <w:rPr>
          <w:rFonts w:eastAsia="標楷體"/>
          <w:sz w:val="28"/>
          <w:szCs w:val="28"/>
        </w:rPr>
        <w:t>員潭溪園區委外可行性評估。</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3-2-6.</w:t>
      </w:r>
      <w:r w:rsidRPr="00D55DC6">
        <w:rPr>
          <w:rFonts w:eastAsia="標楷體"/>
          <w:sz w:val="28"/>
          <w:szCs w:val="28"/>
        </w:rPr>
        <w:t>沙珠灣園區委外可行性評估。</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3-2-7.</w:t>
      </w:r>
      <w:r w:rsidRPr="00D55DC6">
        <w:rPr>
          <w:rFonts w:eastAsia="標楷體"/>
          <w:sz w:val="28"/>
          <w:szCs w:val="28"/>
        </w:rPr>
        <w:t>北海幸福廣場委外可行性評估。</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3-2-8.</w:t>
      </w:r>
      <w:r w:rsidRPr="00D55DC6">
        <w:rPr>
          <w:rFonts w:eastAsia="標楷體"/>
          <w:sz w:val="28"/>
          <w:szCs w:val="28"/>
        </w:rPr>
        <w:t>野柳入口轉運站委外可行性評估。</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3-2-9.</w:t>
      </w:r>
      <w:r w:rsidRPr="00D55DC6">
        <w:rPr>
          <w:rFonts w:eastAsia="標楷體"/>
          <w:sz w:val="28"/>
          <w:szCs w:val="28"/>
        </w:rPr>
        <w:t>基隆遊憩系統整體規劃委託專業服務。</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3-2-10.</w:t>
      </w:r>
      <w:r w:rsidRPr="00D55DC6">
        <w:rPr>
          <w:rFonts w:eastAsia="標楷體"/>
          <w:sz w:val="28"/>
          <w:szCs w:val="28"/>
        </w:rPr>
        <w:t>基隆遊憩區生物資源調查委託專業服務。</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3-2-11.</w:t>
      </w:r>
      <w:r w:rsidRPr="00D55DC6">
        <w:rPr>
          <w:rFonts w:eastAsia="標楷體"/>
          <w:sz w:val="28"/>
          <w:szCs w:val="28"/>
        </w:rPr>
        <w:t>基隆水域遊憩活動規劃委託專業服務。</w:t>
      </w:r>
    </w:p>
    <w:p w:rsidR="00934471" w:rsidRPr="00D55DC6" w:rsidRDefault="00934471" w:rsidP="008C418E">
      <w:pPr>
        <w:pStyle w:val="af2"/>
        <w:snapToGrid w:val="0"/>
        <w:spacing w:line="460" w:lineRule="exact"/>
        <w:ind w:leftChars="354" w:left="1273" w:hangingChars="151" w:hanging="423"/>
        <w:jc w:val="both"/>
        <w:rPr>
          <w:rFonts w:eastAsia="標楷體"/>
          <w:sz w:val="28"/>
          <w:szCs w:val="28"/>
        </w:rPr>
      </w:pPr>
      <w:r w:rsidRPr="00D55DC6">
        <w:rPr>
          <w:rFonts w:eastAsia="標楷體"/>
          <w:sz w:val="28"/>
          <w:szCs w:val="28"/>
        </w:rPr>
        <w:t>3-3.</w:t>
      </w:r>
      <w:r w:rsidRPr="00D55DC6">
        <w:rPr>
          <w:rFonts w:eastAsia="標楷體"/>
          <w:sz w:val="28"/>
          <w:szCs w:val="28"/>
        </w:rPr>
        <w:t>環境維護及設施維持：各遊憩據點清潔維護、景觀美化及設施定期巡查與維護，以提升遊客安全。</w:t>
      </w:r>
    </w:p>
    <w:p w:rsidR="00934471" w:rsidRPr="00D55DC6" w:rsidRDefault="00934471" w:rsidP="008C418E">
      <w:pPr>
        <w:pStyle w:val="af2"/>
        <w:snapToGrid w:val="0"/>
        <w:spacing w:line="460" w:lineRule="exact"/>
        <w:ind w:leftChars="354" w:left="1273" w:hangingChars="151" w:hanging="423"/>
        <w:jc w:val="both"/>
        <w:rPr>
          <w:rFonts w:eastAsia="標楷體"/>
          <w:sz w:val="28"/>
          <w:szCs w:val="28"/>
        </w:rPr>
      </w:pPr>
      <w:r w:rsidRPr="00D55DC6">
        <w:rPr>
          <w:rFonts w:eastAsia="標楷體"/>
          <w:sz w:val="28"/>
          <w:szCs w:val="28"/>
        </w:rPr>
        <w:t>3-4.</w:t>
      </w:r>
      <w:r w:rsidRPr="00D55DC6">
        <w:rPr>
          <w:rFonts w:eastAsia="標楷體"/>
          <w:sz w:val="28"/>
          <w:szCs w:val="28"/>
        </w:rPr>
        <w:t>全區災害復舊及一般零星工程：辦理全區遊憩據點災害復舊及興辦其他零星工程等，整合帶狀休憩景點，豐富遊憩內涵，提升整體旅遊服務與環境品質。</w:t>
      </w:r>
    </w:p>
    <w:p w:rsidR="00934471" w:rsidRPr="00D55DC6" w:rsidRDefault="00934471" w:rsidP="004865C1">
      <w:pPr>
        <w:pStyle w:val="af2"/>
        <w:numPr>
          <w:ilvl w:val="1"/>
          <w:numId w:val="51"/>
        </w:numPr>
        <w:snapToGrid w:val="0"/>
        <w:spacing w:line="460" w:lineRule="exact"/>
        <w:ind w:leftChars="0"/>
        <w:jc w:val="both"/>
        <w:rPr>
          <w:rFonts w:eastAsia="標楷體"/>
          <w:b/>
          <w:sz w:val="28"/>
          <w:szCs w:val="28"/>
        </w:rPr>
      </w:pPr>
      <w:r w:rsidRPr="00D55DC6">
        <w:rPr>
          <w:rFonts w:eastAsia="標楷體"/>
          <w:b/>
          <w:sz w:val="28"/>
          <w:szCs w:val="28"/>
        </w:rPr>
        <w:t>經營管理及行銷推廣</w:t>
      </w:r>
    </w:p>
    <w:p w:rsidR="00934471" w:rsidRPr="00D55DC6" w:rsidRDefault="00934471" w:rsidP="0038165F">
      <w:pPr>
        <w:pStyle w:val="af2"/>
        <w:snapToGrid w:val="0"/>
        <w:spacing w:line="460" w:lineRule="exact"/>
        <w:ind w:leftChars="0" w:left="840"/>
        <w:jc w:val="both"/>
        <w:rPr>
          <w:rFonts w:eastAsia="標楷體"/>
          <w:sz w:val="28"/>
          <w:szCs w:val="28"/>
        </w:rPr>
      </w:pPr>
      <w:r w:rsidRPr="00D55DC6">
        <w:rPr>
          <w:rFonts w:eastAsia="標楷體"/>
          <w:sz w:val="28"/>
          <w:szCs w:val="28"/>
        </w:rPr>
        <w:t>4-1.</w:t>
      </w:r>
      <w:r w:rsidRPr="00D55DC6">
        <w:rPr>
          <w:rFonts w:eastAsia="標楷體"/>
          <w:sz w:val="28"/>
          <w:szCs w:val="28"/>
        </w:rPr>
        <w:t>經營管理：</w:t>
      </w:r>
    </w:p>
    <w:p w:rsidR="00934471" w:rsidRPr="00D55DC6" w:rsidRDefault="00934471" w:rsidP="008C418E">
      <w:pPr>
        <w:snapToGrid w:val="0"/>
        <w:spacing w:line="460" w:lineRule="exact"/>
        <w:ind w:left="1985" w:hanging="709"/>
        <w:jc w:val="both"/>
        <w:rPr>
          <w:rFonts w:eastAsia="標楷體"/>
          <w:sz w:val="28"/>
          <w:szCs w:val="28"/>
        </w:rPr>
      </w:pPr>
      <w:r w:rsidRPr="00D55DC6">
        <w:rPr>
          <w:rFonts w:eastAsia="標楷體"/>
          <w:sz w:val="28"/>
          <w:szCs w:val="28"/>
        </w:rPr>
        <w:t>4-1-1.</w:t>
      </w:r>
      <w:r w:rsidRPr="00D55DC6">
        <w:rPr>
          <w:rFonts w:eastAsia="標楷體"/>
          <w:sz w:val="28"/>
          <w:szCs w:val="28"/>
        </w:rPr>
        <w:t>減量計畫：漂流物減量及再利用、不良景觀減量、閒置空間再利用。</w:t>
      </w:r>
    </w:p>
    <w:p w:rsidR="00934471" w:rsidRPr="00D55DC6" w:rsidRDefault="00934471" w:rsidP="008C418E">
      <w:pPr>
        <w:snapToGrid w:val="0"/>
        <w:spacing w:line="460" w:lineRule="exact"/>
        <w:ind w:left="1985" w:hanging="709"/>
        <w:jc w:val="both"/>
        <w:rPr>
          <w:rFonts w:eastAsia="標楷體"/>
          <w:sz w:val="28"/>
          <w:szCs w:val="28"/>
        </w:rPr>
      </w:pPr>
      <w:r w:rsidRPr="00D55DC6">
        <w:rPr>
          <w:rFonts w:eastAsia="標楷體"/>
          <w:sz w:val="28"/>
          <w:szCs w:val="28"/>
        </w:rPr>
        <w:t>4-1-2.</w:t>
      </w:r>
      <w:r w:rsidRPr="00D55DC6">
        <w:rPr>
          <w:rFonts w:eastAsia="標楷體"/>
          <w:sz w:val="28"/>
          <w:szCs w:val="28"/>
        </w:rPr>
        <w:t>賡續改善環境：辦理三芝淺水灣周邊環境改善及自行車道、白沙灣周邊環境整理、金山中角海灘及周邊環境整理。</w:t>
      </w:r>
    </w:p>
    <w:p w:rsidR="00934471" w:rsidRPr="00D55DC6" w:rsidRDefault="00934471" w:rsidP="008C418E">
      <w:pPr>
        <w:snapToGrid w:val="0"/>
        <w:spacing w:line="460" w:lineRule="exact"/>
        <w:ind w:left="1985" w:hanging="709"/>
        <w:jc w:val="both"/>
        <w:rPr>
          <w:rFonts w:eastAsia="標楷體"/>
          <w:sz w:val="28"/>
          <w:szCs w:val="28"/>
        </w:rPr>
      </w:pPr>
      <w:r w:rsidRPr="00D55DC6">
        <w:rPr>
          <w:rFonts w:eastAsia="標楷體"/>
          <w:sz w:val="28"/>
          <w:szCs w:val="28"/>
        </w:rPr>
        <w:t>4-1-3.</w:t>
      </w:r>
      <w:r w:rsidRPr="00D55DC6">
        <w:rPr>
          <w:rFonts w:eastAsia="標楷體"/>
          <w:sz w:val="28"/>
          <w:szCs w:val="28"/>
        </w:rPr>
        <w:t>提供優質旅遊環境，積極致力於遊客安全維護：持續以完善的設施與管制作為，經常巡查檢討的修正改進措施，全方位的保險機制，建構安全優質的旅遊場所。</w:t>
      </w:r>
    </w:p>
    <w:p w:rsidR="00934471" w:rsidRPr="00D55DC6" w:rsidRDefault="00934471" w:rsidP="0038165F">
      <w:pPr>
        <w:pStyle w:val="af2"/>
        <w:snapToGrid w:val="0"/>
        <w:spacing w:line="460" w:lineRule="exact"/>
        <w:ind w:leftChars="0" w:left="840"/>
        <w:jc w:val="both"/>
        <w:rPr>
          <w:rFonts w:eastAsia="標楷體"/>
          <w:sz w:val="28"/>
          <w:szCs w:val="28"/>
        </w:rPr>
      </w:pPr>
      <w:r w:rsidRPr="00D55DC6">
        <w:rPr>
          <w:rFonts w:eastAsia="標楷體"/>
          <w:sz w:val="28"/>
          <w:szCs w:val="28"/>
        </w:rPr>
        <w:t>4-2.</w:t>
      </w:r>
      <w:r w:rsidRPr="00D55DC6">
        <w:rPr>
          <w:rFonts w:eastAsia="標楷體"/>
          <w:sz w:val="28"/>
          <w:szCs w:val="28"/>
        </w:rPr>
        <w:t>行銷推廣：</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4-2-1.</w:t>
      </w:r>
      <w:r w:rsidRPr="00D55DC6">
        <w:rPr>
          <w:rFonts w:eastAsia="標楷體"/>
          <w:sz w:val="28"/>
          <w:szCs w:val="28"/>
        </w:rPr>
        <w:t>結合文化、產業、休閒農業開發多元深度遊憩體驗。</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4-2-2.</w:t>
      </w:r>
      <w:r w:rsidRPr="00D55DC6">
        <w:rPr>
          <w:rFonts w:eastAsia="標楷體"/>
          <w:sz w:val="28"/>
          <w:szCs w:val="28"/>
        </w:rPr>
        <w:t>臺灣極北點燈塔巡禮系列活動。</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4-2-3.</w:t>
      </w:r>
      <w:r w:rsidRPr="00D55DC6">
        <w:rPr>
          <w:rFonts w:eastAsia="標楷體"/>
          <w:sz w:val="28"/>
          <w:szCs w:val="28"/>
        </w:rPr>
        <w:t>北海岸鐵馬騎跡沙灘創意活動低碳旅遊。</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4-2-4.</w:t>
      </w:r>
      <w:r w:rsidRPr="00D55DC6">
        <w:rPr>
          <w:rFonts w:eastAsia="標楷體"/>
          <w:sz w:val="28"/>
          <w:szCs w:val="28"/>
        </w:rPr>
        <w:t>北海岸浪漫婚紗婚禮山盟海誓。</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4-2-5.</w:t>
      </w:r>
      <w:r w:rsidRPr="00D55DC6">
        <w:rPr>
          <w:rFonts w:eastAsia="標楷體"/>
          <w:sz w:val="28"/>
          <w:szCs w:val="28"/>
        </w:rPr>
        <w:t>國際光點行銷推廣及商圈輔導。</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lastRenderedPageBreak/>
        <w:t>4-2-6.</w:t>
      </w:r>
      <w:r w:rsidRPr="00D55DC6">
        <w:rPr>
          <w:rFonts w:eastAsia="標楷體"/>
          <w:sz w:val="28"/>
          <w:szCs w:val="28"/>
        </w:rPr>
        <w:t>輔導溫泉美食產業品質提昇。</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4-2-7.</w:t>
      </w:r>
      <w:r w:rsidRPr="00D55DC6">
        <w:rPr>
          <w:rFonts w:eastAsia="標楷體"/>
          <w:sz w:val="28"/>
          <w:szCs w:val="28"/>
        </w:rPr>
        <w:t>無障礙溫泉理療設施輔導。</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4-2-8.</w:t>
      </w:r>
      <w:r w:rsidRPr="00D55DC6">
        <w:rPr>
          <w:rFonts w:eastAsia="標楷體"/>
          <w:sz w:val="28"/>
          <w:szCs w:val="28"/>
        </w:rPr>
        <w:t>辦理轄區音樂、藝術饗宴。</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4-2-9.</w:t>
      </w:r>
      <w:r w:rsidRPr="00D55DC6">
        <w:rPr>
          <w:rFonts w:eastAsia="標楷體"/>
          <w:sz w:val="28"/>
          <w:szCs w:val="28"/>
        </w:rPr>
        <w:t>辦理觀音山生態、農業體驗遊程。</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4-2-10.</w:t>
      </w:r>
      <w:r w:rsidRPr="00D55DC6">
        <w:rPr>
          <w:rFonts w:eastAsia="標楷體"/>
          <w:sz w:val="28"/>
          <w:szCs w:val="28"/>
        </w:rPr>
        <w:t>觀音山登山旅遊節。</w:t>
      </w:r>
    </w:p>
    <w:p w:rsidR="00934471" w:rsidRPr="00D55DC6" w:rsidRDefault="00934471" w:rsidP="0038165F">
      <w:pPr>
        <w:snapToGrid w:val="0"/>
        <w:spacing w:line="460" w:lineRule="exact"/>
        <w:ind w:left="796" w:firstLine="480"/>
        <w:jc w:val="both"/>
        <w:rPr>
          <w:rFonts w:eastAsia="標楷體"/>
          <w:sz w:val="28"/>
          <w:szCs w:val="28"/>
        </w:rPr>
      </w:pPr>
      <w:r w:rsidRPr="00D55DC6">
        <w:rPr>
          <w:rFonts w:eastAsia="標楷體"/>
          <w:sz w:val="28"/>
          <w:szCs w:val="28"/>
        </w:rPr>
        <w:t>4-2-11.</w:t>
      </w:r>
      <w:r w:rsidRPr="00D55DC6">
        <w:rPr>
          <w:rFonts w:eastAsia="標楷體"/>
          <w:sz w:val="28"/>
          <w:szCs w:val="28"/>
        </w:rPr>
        <w:t>開發推廣銀髮族及無障礙旅遊。</w:t>
      </w:r>
    </w:p>
    <w:p w:rsidR="00934471" w:rsidRPr="00D55DC6" w:rsidRDefault="00934471" w:rsidP="004865C1">
      <w:pPr>
        <w:pStyle w:val="af2"/>
        <w:numPr>
          <w:ilvl w:val="1"/>
          <w:numId w:val="51"/>
        </w:numPr>
        <w:snapToGrid w:val="0"/>
        <w:spacing w:line="460" w:lineRule="exact"/>
        <w:ind w:leftChars="0"/>
        <w:jc w:val="both"/>
        <w:rPr>
          <w:rFonts w:eastAsia="標楷體"/>
          <w:b/>
          <w:sz w:val="28"/>
          <w:szCs w:val="28"/>
        </w:rPr>
      </w:pPr>
      <w:r w:rsidRPr="00D55DC6">
        <w:rPr>
          <w:rFonts w:eastAsia="標楷體"/>
          <w:b/>
          <w:sz w:val="28"/>
          <w:szCs w:val="28"/>
        </w:rPr>
        <w:t>提升觀光建設自償性</w:t>
      </w:r>
    </w:p>
    <w:p w:rsidR="00934471" w:rsidRPr="00D55DC6" w:rsidRDefault="00934471" w:rsidP="0038165F">
      <w:pPr>
        <w:pStyle w:val="af2"/>
        <w:snapToGrid w:val="0"/>
        <w:spacing w:line="460" w:lineRule="exact"/>
        <w:ind w:leftChars="0" w:left="840"/>
        <w:jc w:val="both"/>
        <w:rPr>
          <w:rFonts w:eastAsia="標楷體"/>
          <w:sz w:val="28"/>
          <w:szCs w:val="28"/>
        </w:rPr>
      </w:pPr>
      <w:r w:rsidRPr="00D55DC6">
        <w:rPr>
          <w:rFonts w:eastAsia="標楷體"/>
          <w:sz w:val="28"/>
          <w:szCs w:val="28"/>
        </w:rPr>
        <w:t>5-1.</w:t>
      </w:r>
      <w:r w:rsidRPr="00D55DC6">
        <w:rPr>
          <w:rFonts w:eastAsia="標楷體"/>
          <w:sz w:val="28"/>
          <w:szCs w:val="28"/>
        </w:rPr>
        <w:t>設施出租：白沙灣海灘、觀音山硬漢嶺步道口、三芝遊客中心、</w:t>
      </w:r>
    </w:p>
    <w:p w:rsidR="00934471" w:rsidRPr="00D55DC6" w:rsidRDefault="00934471" w:rsidP="0038165F">
      <w:pPr>
        <w:pStyle w:val="af2"/>
        <w:snapToGrid w:val="0"/>
        <w:spacing w:line="460" w:lineRule="exact"/>
        <w:ind w:leftChars="0" w:left="1418"/>
        <w:jc w:val="both"/>
        <w:rPr>
          <w:rFonts w:eastAsia="標楷體"/>
          <w:sz w:val="28"/>
          <w:szCs w:val="28"/>
        </w:rPr>
      </w:pPr>
      <w:r w:rsidRPr="00D55DC6">
        <w:rPr>
          <w:rFonts w:eastAsia="標楷體"/>
          <w:sz w:val="28"/>
          <w:szCs w:val="28"/>
        </w:rPr>
        <w:t>探索館、觀音山遊客中心、行動式服務站、金山中角沙珠灣及石區頭圍段下員坑小段土地等之出租。</w:t>
      </w:r>
    </w:p>
    <w:p w:rsidR="00934471" w:rsidRPr="00D55DC6" w:rsidRDefault="00934471" w:rsidP="0038165F">
      <w:pPr>
        <w:snapToGrid w:val="0"/>
        <w:spacing w:line="460" w:lineRule="exact"/>
        <w:ind w:leftChars="354" w:left="850"/>
        <w:jc w:val="both"/>
        <w:rPr>
          <w:rFonts w:eastAsia="標楷體"/>
          <w:sz w:val="28"/>
          <w:szCs w:val="28"/>
        </w:rPr>
      </w:pPr>
      <w:r w:rsidRPr="00D55DC6">
        <w:rPr>
          <w:rFonts w:eastAsia="標楷體"/>
          <w:sz w:val="28"/>
          <w:szCs w:val="28"/>
        </w:rPr>
        <w:t>5-2.</w:t>
      </w:r>
      <w:r w:rsidRPr="00D55DC6">
        <w:rPr>
          <w:rFonts w:eastAsia="標楷體"/>
          <w:sz w:val="28"/>
          <w:szCs w:val="28"/>
        </w:rPr>
        <w:t>促參：持續辦理野柳地質公園</w:t>
      </w:r>
      <w:r w:rsidRPr="00D55DC6">
        <w:rPr>
          <w:rFonts w:eastAsia="標楷體"/>
          <w:sz w:val="28"/>
          <w:szCs w:val="28"/>
        </w:rPr>
        <w:t>OT</w:t>
      </w:r>
      <w:r w:rsidRPr="00D55DC6">
        <w:rPr>
          <w:rFonts w:eastAsia="標楷體"/>
          <w:sz w:val="28"/>
          <w:szCs w:val="28"/>
        </w:rPr>
        <w:t>案、野柳及龜吼停車場</w:t>
      </w:r>
      <w:r w:rsidRPr="00D55DC6">
        <w:rPr>
          <w:rFonts w:eastAsia="標楷體"/>
          <w:sz w:val="28"/>
          <w:szCs w:val="28"/>
        </w:rPr>
        <w:t>OT</w:t>
      </w:r>
    </w:p>
    <w:p w:rsidR="00934471" w:rsidRPr="00D55DC6" w:rsidRDefault="00934471" w:rsidP="0038165F">
      <w:pPr>
        <w:snapToGrid w:val="0"/>
        <w:spacing w:line="460" w:lineRule="exact"/>
        <w:ind w:leftChars="590" w:left="1416"/>
        <w:jc w:val="both"/>
        <w:rPr>
          <w:rFonts w:eastAsia="標楷體"/>
          <w:sz w:val="28"/>
          <w:szCs w:val="28"/>
        </w:rPr>
      </w:pPr>
      <w:r w:rsidRPr="00D55DC6">
        <w:rPr>
          <w:rFonts w:eastAsia="標楷體"/>
          <w:sz w:val="28"/>
          <w:szCs w:val="28"/>
        </w:rPr>
        <w:t>案、推動萬里員潭溪獨木舟基地</w:t>
      </w:r>
      <w:r w:rsidRPr="00D55DC6">
        <w:rPr>
          <w:rFonts w:eastAsia="標楷體"/>
          <w:sz w:val="28"/>
          <w:szCs w:val="28"/>
        </w:rPr>
        <w:t>OT</w:t>
      </w:r>
      <w:r w:rsidRPr="00D55DC6">
        <w:rPr>
          <w:rFonts w:eastAsia="標楷體"/>
          <w:sz w:val="28"/>
          <w:szCs w:val="28"/>
        </w:rPr>
        <w:t>案、石門北海幸福廣場</w:t>
      </w:r>
      <w:r w:rsidRPr="00D55DC6">
        <w:rPr>
          <w:rFonts w:eastAsia="標楷體"/>
          <w:sz w:val="28"/>
          <w:szCs w:val="28"/>
        </w:rPr>
        <w:t>OT</w:t>
      </w:r>
      <w:r w:rsidRPr="00D55DC6">
        <w:rPr>
          <w:rFonts w:eastAsia="標楷體"/>
          <w:sz w:val="28"/>
          <w:szCs w:val="28"/>
        </w:rPr>
        <w:t>案及民間參與基隆和平島公園委外經營管理</w:t>
      </w:r>
      <w:r w:rsidRPr="00D55DC6">
        <w:rPr>
          <w:rFonts w:eastAsia="標楷體"/>
          <w:sz w:val="28"/>
          <w:szCs w:val="28"/>
        </w:rPr>
        <w:t>OT</w:t>
      </w:r>
      <w:r w:rsidRPr="00D55DC6">
        <w:rPr>
          <w:rFonts w:eastAsia="標楷體"/>
          <w:sz w:val="28"/>
          <w:szCs w:val="28"/>
        </w:rPr>
        <w:t>案。</w:t>
      </w:r>
    </w:p>
    <w:p w:rsidR="00934471" w:rsidRPr="00D55DC6" w:rsidRDefault="00934471" w:rsidP="008C418E">
      <w:pPr>
        <w:snapToGrid w:val="0"/>
        <w:spacing w:line="460" w:lineRule="exact"/>
        <w:ind w:leftChars="355" w:left="1415" w:hangingChars="201" w:hanging="563"/>
        <w:jc w:val="both"/>
        <w:rPr>
          <w:rFonts w:eastAsia="標楷體"/>
          <w:sz w:val="28"/>
          <w:szCs w:val="28"/>
        </w:rPr>
      </w:pPr>
      <w:r w:rsidRPr="00D55DC6">
        <w:rPr>
          <w:rFonts w:eastAsia="標楷體"/>
          <w:sz w:val="28"/>
          <w:szCs w:val="28"/>
        </w:rPr>
        <w:t>5-3.</w:t>
      </w:r>
      <w:r w:rsidRPr="00D55DC6">
        <w:rPr>
          <w:rFonts w:eastAsia="標楷體"/>
          <w:sz w:val="28"/>
          <w:szCs w:val="28"/>
        </w:rPr>
        <w:t>跨域合作：與新北市政府共同合作開發新北市金山區溫泉旅館暨多功能藝展演空間之公有土地改良利用。</w:t>
      </w:r>
    </w:p>
    <w:p w:rsidR="00C336E5" w:rsidRPr="00D55DC6" w:rsidRDefault="00C336E5" w:rsidP="008C418E">
      <w:pPr>
        <w:snapToGrid w:val="0"/>
        <w:spacing w:line="460" w:lineRule="exact"/>
        <w:ind w:leftChars="355" w:left="1415" w:hangingChars="201" w:hanging="563"/>
        <w:jc w:val="both"/>
        <w:rPr>
          <w:rFonts w:eastAsia="標楷體"/>
          <w:sz w:val="28"/>
          <w:szCs w:val="28"/>
        </w:rPr>
      </w:pPr>
    </w:p>
    <w:p w:rsidR="00934471" w:rsidRPr="00D55DC6" w:rsidRDefault="00934471" w:rsidP="004865C1">
      <w:pPr>
        <w:pStyle w:val="af2"/>
        <w:numPr>
          <w:ilvl w:val="0"/>
          <w:numId w:val="51"/>
        </w:numPr>
        <w:snapToGrid w:val="0"/>
        <w:spacing w:line="460" w:lineRule="exact"/>
        <w:ind w:leftChars="0"/>
        <w:jc w:val="both"/>
        <w:rPr>
          <w:rFonts w:eastAsia="標楷體"/>
          <w:sz w:val="28"/>
          <w:szCs w:val="28"/>
        </w:rPr>
      </w:pPr>
      <w:r w:rsidRPr="00D55DC6">
        <w:rPr>
          <w:rFonts w:eastAsia="標楷體"/>
          <w:b/>
          <w:sz w:val="28"/>
          <w:szCs w:val="28"/>
        </w:rPr>
        <w:t>分年預期成果</w:t>
      </w:r>
    </w:p>
    <w:p w:rsidR="00934471" w:rsidRPr="00D55DC6" w:rsidRDefault="00934471" w:rsidP="00DF2F67">
      <w:pPr>
        <w:pStyle w:val="af2"/>
        <w:numPr>
          <w:ilvl w:val="0"/>
          <w:numId w:val="38"/>
        </w:numPr>
        <w:snapToGrid w:val="0"/>
        <w:spacing w:line="460" w:lineRule="exact"/>
        <w:ind w:leftChars="0"/>
        <w:jc w:val="both"/>
        <w:rPr>
          <w:rFonts w:eastAsia="標楷體"/>
          <w:b/>
          <w:sz w:val="28"/>
          <w:szCs w:val="28"/>
        </w:rPr>
      </w:pPr>
      <w:r w:rsidRPr="00D55DC6">
        <w:rPr>
          <w:rFonts w:eastAsia="標楷體"/>
          <w:b/>
          <w:sz w:val="28"/>
          <w:szCs w:val="28"/>
        </w:rPr>
        <w:t>105</w:t>
      </w:r>
      <w:r w:rsidRPr="00D55DC6">
        <w:rPr>
          <w:rFonts w:eastAsia="標楷體"/>
          <w:b/>
          <w:sz w:val="28"/>
          <w:szCs w:val="28"/>
        </w:rPr>
        <w:t>年完成：</w:t>
      </w:r>
    </w:p>
    <w:p w:rsidR="00934471" w:rsidRPr="00D55DC6" w:rsidRDefault="00934471" w:rsidP="0038165F">
      <w:pPr>
        <w:snapToGrid w:val="0"/>
        <w:spacing w:line="460" w:lineRule="exact"/>
        <w:ind w:left="1418" w:hanging="567"/>
        <w:jc w:val="both"/>
        <w:rPr>
          <w:rFonts w:eastAsia="標楷體"/>
          <w:sz w:val="28"/>
          <w:szCs w:val="28"/>
        </w:rPr>
      </w:pPr>
      <w:r w:rsidRPr="00D55DC6">
        <w:rPr>
          <w:rFonts w:eastAsia="標楷體"/>
          <w:b/>
          <w:sz w:val="28"/>
          <w:szCs w:val="28"/>
        </w:rPr>
        <w:t>1-1.</w:t>
      </w:r>
      <w:r w:rsidRPr="00D55DC6">
        <w:rPr>
          <w:rFonts w:eastAsia="標楷體"/>
          <w:b/>
          <w:sz w:val="28"/>
          <w:szCs w:val="28"/>
        </w:rPr>
        <w:t>國際觀光重要景點：</w:t>
      </w:r>
      <w:r w:rsidRPr="00D55DC6">
        <w:rPr>
          <w:rFonts w:eastAsia="標楷體"/>
          <w:sz w:val="28"/>
          <w:szCs w:val="28"/>
        </w:rPr>
        <w:t>白沙灣遊憩區（白沙月灣廣場、白沙灣遊憩景點既有設施改善）、金山中角遊憩區（獅頭山公園既有步道及服務設施改善、金山遊客中心停車場及周邊設施改善）、野柳遊憩區（野柳核心區周邊環境及景觀改善）、基隆遊憩區（基隆情人湖及外木山遊憩區設施及景觀改善、和平島地質公園步道及景觀改善）。</w:t>
      </w:r>
    </w:p>
    <w:p w:rsidR="00934471" w:rsidRPr="00D55DC6" w:rsidRDefault="00934471" w:rsidP="0038165F">
      <w:pPr>
        <w:snapToGrid w:val="0"/>
        <w:spacing w:line="460" w:lineRule="exact"/>
        <w:ind w:left="1418" w:hanging="567"/>
        <w:jc w:val="both"/>
        <w:rPr>
          <w:rFonts w:eastAsia="標楷體"/>
          <w:sz w:val="28"/>
          <w:szCs w:val="28"/>
        </w:rPr>
      </w:pPr>
      <w:r w:rsidRPr="00D55DC6">
        <w:rPr>
          <w:rFonts w:eastAsia="標楷體"/>
          <w:b/>
          <w:sz w:val="28"/>
          <w:szCs w:val="28"/>
        </w:rPr>
        <w:t>1-2.</w:t>
      </w:r>
      <w:r w:rsidRPr="00D55DC6">
        <w:rPr>
          <w:rFonts w:eastAsia="標楷體"/>
          <w:b/>
          <w:sz w:val="28"/>
          <w:szCs w:val="28"/>
        </w:rPr>
        <w:t>國內觀光重要景點：</w:t>
      </w:r>
      <w:r w:rsidRPr="00D55DC6">
        <w:rPr>
          <w:rFonts w:eastAsia="標楷體"/>
          <w:sz w:val="28"/>
          <w:szCs w:val="28"/>
        </w:rPr>
        <w:t>三芝石門遊憩區（遊憩景點既有設施及景觀改善）、觀音山遊憩區（遊憩景點服務設施、步道及環境景觀改善）、自行車路網延伸及路廊景觀改善。</w:t>
      </w:r>
    </w:p>
    <w:p w:rsidR="00934471" w:rsidRPr="00D55DC6" w:rsidRDefault="00934471" w:rsidP="00DF2F67">
      <w:pPr>
        <w:pStyle w:val="af2"/>
        <w:numPr>
          <w:ilvl w:val="0"/>
          <w:numId w:val="38"/>
        </w:numPr>
        <w:snapToGrid w:val="0"/>
        <w:spacing w:line="460" w:lineRule="exact"/>
        <w:ind w:leftChars="0"/>
        <w:jc w:val="both"/>
        <w:rPr>
          <w:rFonts w:eastAsia="標楷體"/>
          <w:b/>
          <w:sz w:val="28"/>
          <w:szCs w:val="28"/>
        </w:rPr>
      </w:pPr>
      <w:r w:rsidRPr="00D55DC6">
        <w:rPr>
          <w:rFonts w:eastAsia="標楷體"/>
          <w:b/>
          <w:sz w:val="28"/>
          <w:szCs w:val="28"/>
        </w:rPr>
        <w:t>106</w:t>
      </w:r>
      <w:r w:rsidRPr="00D55DC6">
        <w:rPr>
          <w:rFonts w:eastAsia="標楷體"/>
          <w:b/>
          <w:sz w:val="28"/>
          <w:szCs w:val="28"/>
        </w:rPr>
        <w:t>年完成：</w:t>
      </w:r>
    </w:p>
    <w:p w:rsidR="00934471" w:rsidRPr="00D55DC6" w:rsidRDefault="00934471" w:rsidP="0038165F">
      <w:pPr>
        <w:snapToGrid w:val="0"/>
        <w:spacing w:line="460" w:lineRule="exact"/>
        <w:ind w:left="1418" w:hanging="567"/>
        <w:jc w:val="both"/>
        <w:rPr>
          <w:rFonts w:eastAsia="標楷體"/>
          <w:b/>
          <w:sz w:val="28"/>
          <w:szCs w:val="28"/>
        </w:rPr>
      </w:pPr>
      <w:r w:rsidRPr="00D55DC6">
        <w:rPr>
          <w:rFonts w:eastAsia="標楷體"/>
          <w:b/>
          <w:sz w:val="28"/>
          <w:szCs w:val="28"/>
        </w:rPr>
        <w:t>2-1.</w:t>
      </w:r>
      <w:r w:rsidRPr="00D55DC6">
        <w:rPr>
          <w:rFonts w:eastAsia="標楷體"/>
          <w:b/>
          <w:sz w:val="28"/>
          <w:szCs w:val="28"/>
        </w:rPr>
        <w:t>國際觀光重要景點：</w:t>
      </w:r>
      <w:r w:rsidRPr="00D55DC6">
        <w:rPr>
          <w:rFonts w:eastAsia="標楷體"/>
          <w:sz w:val="28"/>
          <w:szCs w:val="28"/>
        </w:rPr>
        <w:t>白沙灣遊憩區（白沙月灣廣場、白沙灣遊憩景點既有設施改善）、金山中角遊憩區（獅頭山公園既有步</w:t>
      </w:r>
      <w:r w:rsidRPr="00D55DC6">
        <w:rPr>
          <w:rFonts w:eastAsia="標楷體"/>
          <w:sz w:val="28"/>
          <w:szCs w:val="28"/>
        </w:rPr>
        <w:lastRenderedPageBreak/>
        <w:t>道及服務設施改善）、野柳遊憩區（野柳核心區周邊環境及景觀改善）、基隆遊憩區（基隆情人湖及外木山遊憩區設施及景觀改善、和平島地質公園步道及景觀改善）。</w:t>
      </w:r>
    </w:p>
    <w:p w:rsidR="00934471" w:rsidRPr="00D55DC6" w:rsidRDefault="00934471" w:rsidP="0038165F">
      <w:pPr>
        <w:snapToGrid w:val="0"/>
        <w:spacing w:line="460" w:lineRule="exact"/>
        <w:ind w:left="840"/>
        <w:jc w:val="both"/>
        <w:rPr>
          <w:rFonts w:eastAsia="標楷體"/>
          <w:sz w:val="28"/>
          <w:szCs w:val="28"/>
        </w:rPr>
      </w:pPr>
      <w:r w:rsidRPr="00D55DC6">
        <w:rPr>
          <w:rFonts w:eastAsia="標楷體"/>
          <w:b/>
          <w:sz w:val="28"/>
          <w:szCs w:val="28"/>
        </w:rPr>
        <w:t>2-2.</w:t>
      </w:r>
      <w:r w:rsidRPr="00D55DC6">
        <w:rPr>
          <w:rFonts w:eastAsia="標楷體"/>
          <w:b/>
          <w:sz w:val="28"/>
          <w:szCs w:val="28"/>
        </w:rPr>
        <w:t>國內觀光重要景點：</w:t>
      </w:r>
      <w:r w:rsidRPr="00D55DC6">
        <w:rPr>
          <w:rFonts w:eastAsia="標楷體"/>
          <w:sz w:val="28"/>
          <w:szCs w:val="28"/>
        </w:rPr>
        <w:t>三芝石門遊憩區（淺水灣資訊服務站建置、</w:t>
      </w:r>
    </w:p>
    <w:p w:rsidR="00934471" w:rsidRPr="00D55DC6" w:rsidRDefault="00934471" w:rsidP="0038165F">
      <w:pPr>
        <w:snapToGrid w:val="0"/>
        <w:spacing w:line="460" w:lineRule="exact"/>
        <w:ind w:left="1418"/>
        <w:jc w:val="both"/>
        <w:rPr>
          <w:rFonts w:eastAsia="標楷體"/>
          <w:b/>
          <w:sz w:val="28"/>
          <w:szCs w:val="28"/>
        </w:rPr>
      </w:pPr>
      <w:r w:rsidRPr="00D55DC6">
        <w:rPr>
          <w:rFonts w:eastAsia="標楷體"/>
          <w:sz w:val="28"/>
          <w:szCs w:val="28"/>
        </w:rPr>
        <w:t>石門遊憩景點設施改善）、觀音山遊憩區（遊憩景點服務設施、步道及環境景觀改善）、自行車路網延伸及路廊景觀改善工程。</w:t>
      </w:r>
    </w:p>
    <w:p w:rsidR="00934471" w:rsidRPr="00D55DC6" w:rsidRDefault="00934471" w:rsidP="00DF2F67">
      <w:pPr>
        <w:pStyle w:val="af2"/>
        <w:numPr>
          <w:ilvl w:val="0"/>
          <w:numId w:val="38"/>
        </w:numPr>
        <w:snapToGrid w:val="0"/>
        <w:spacing w:line="460" w:lineRule="exact"/>
        <w:ind w:leftChars="0"/>
        <w:jc w:val="both"/>
        <w:rPr>
          <w:rFonts w:eastAsia="標楷體"/>
          <w:b/>
          <w:sz w:val="28"/>
          <w:szCs w:val="28"/>
        </w:rPr>
      </w:pPr>
      <w:r w:rsidRPr="00D55DC6">
        <w:rPr>
          <w:rFonts w:eastAsia="標楷體"/>
          <w:b/>
          <w:sz w:val="28"/>
          <w:szCs w:val="28"/>
        </w:rPr>
        <w:t>107</w:t>
      </w:r>
      <w:r w:rsidRPr="00D55DC6">
        <w:rPr>
          <w:rFonts w:eastAsia="標楷體"/>
          <w:b/>
          <w:sz w:val="28"/>
          <w:szCs w:val="28"/>
        </w:rPr>
        <w:t>年完成：</w:t>
      </w:r>
    </w:p>
    <w:p w:rsidR="00934471" w:rsidRPr="00D55DC6" w:rsidRDefault="00934471" w:rsidP="0038165F">
      <w:pPr>
        <w:snapToGrid w:val="0"/>
        <w:spacing w:line="460" w:lineRule="exact"/>
        <w:ind w:left="1418" w:hanging="567"/>
        <w:jc w:val="both"/>
        <w:rPr>
          <w:rFonts w:eastAsia="標楷體"/>
          <w:b/>
          <w:sz w:val="28"/>
          <w:szCs w:val="28"/>
        </w:rPr>
      </w:pPr>
      <w:r w:rsidRPr="00D55DC6">
        <w:rPr>
          <w:rFonts w:eastAsia="標楷體"/>
          <w:b/>
          <w:sz w:val="28"/>
          <w:szCs w:val="28"/>
        </w:rPr>
        <w:t>3-1.</w:t>
      </w:r>
      <w:r w:rsidRPr="00D55DC6">
        <w:rPr>
          <w:rFonts w:eastAsia="標楷體"/>
          <w:b/>
          <w:sz w:val="28"/>
          <w:szCs w:val="28"/>
        </w:rPr>
        <w:t>國際觀光重要景點：</w:t>
      </w:r>
      <w:r w:rsidRPr="00D55DC6">
        <w:rPr>
          <w:rFonts w:eastAsia="標楷體"/>
          <w:sz w:val="28"/>
          <w:szCs w:val="28"/>
        </w:rPr>
        <w:t>金山中角遊憩區（獅頭山公園既有步道及服務設施改善、員潭溪周邊環境改善、中角沙珠灣周邊景觀及服務設施改善）、野柳遊憩區（野柳核心區周邊環境及景觀改善、翡翠灣周邊景觀改善）、基隆遊憩區（基隆遊客服務中心建置、基隆情人湖及外木山遊憩區設施及景觀改善）。</w:t>
      </w:r>
    </w:p>
    <w:p w:rsidR="00934471" w:rsidRPr="00D55DC6" w:rsidRDefault="00934471" w:rsidP="0038165F">
      <w:pPr>
        <w:snapToGrid w:val="0"/>
        <w:spacing w:line="460" w:lineRule="exact"/>
        <w:ind w:left="1418" w:hanging="567"/>
        <w:jc w:val="both"/>
        <w:rPr>
          <w:rFonts w:eastAsia="標楷體"/>
          <w:sz w:val="28"/>
          <w:szCs w:val="28"/>
        </w:rPr>
      </w:pPr>
      <w:r w:rsidRPr="00D55DC6">
        <w:rPr>
          <w:rFonts w:eastAsia="標楷體"/>
          <w:b/>
          <w:sz w:val="28"/>
          <w:szCs w:val="28"/>
        </w:rPr>
        <w:t>3-2.</w:t>
      </w:r>
      <w:r w:rsidRPr="00D55DC6">
        <w:rPr>
          <w:rFonts w:eastAsia="標楷體"/>
          <w:b/>
          <w:sz w:val="28"/>
          <w:szCs w:val="28"/>
        </w:rPr>
        <w:t>國內觀光重要景點：</w:t>
      </w:r>
      <w:r w:rsidRPr="00D55DC6">
        <w:rPr>
          <w:rFonts w:eastAsia="標楷體"/>
          <w:sz w:val="28"/>
          <w:szCs w:val="28"/>
        </w:rPr>
        <w:t>三芝石門遊憩區（遊憩景點既有設施及景觀改善）、觀音山遊憩區（遊憩景點服務設施、步道及環境景觀改善工程）、自行車路網延伸及路廊景觀改善。</w:t>
      </w:r>
    </w:p>
    <w:p w:rsidR="00934471" w:rsidRPr="00D55DC6" w:rsidRDefault="00934471" w:rsidP="00DF2F67">
      <w:pPr>
        <w:pStyle w:val="af2"/>
        <w:numPr>
          <w:ilvl w:val="0"/>
          <w:numId w:val="38"/>
        </w:numPr>
        <w:snapToGrid w:val="0"/>
        <w:spacing w:line="460" w:lineRule="exact"/>
        <w:ind w:leftChars="0"/>
        <w:jc w:val="both"/>
        <w:rPr>
          <w:rFonts w:eastAsia="標楷體"/>
          <w:b/>
          <w:sz w:val="28"/>
          <w:szCs w:val="28"/>
        </w:rPr>
      </w:pPr>
      <w:r w:rsidRPr="00D55DC6">
        <w:rPr>
          <w:rFonts w:eastAsia="標楷體"/>
          <w:b/>
          <w:sz w:val="28"/>
          <w:szCs w:val="28"/>
        </w:rPr>
        <w:t>108</w:t>
      </w:r>
      <w:r w:rsidRPr="00D55DC6">
        <w:rPr>
          <w:rFonts w:eastAsia="標楷體"/>
          <w:b/>
          <w:sz w:val="28"/>
          <w:szCs w:val="28"/>
        </w:rPr>
        <w:t>年完成：</w:t>
      </w:r>
    </w:p>
    <w:p w:rsidR="00934471" w:rsidRPr="00D55DC6" w:rsidRDefault="00934471" w:rsidP="0038165F">
      <w:pPr>
        <w:snapToGrid w:val="0"/>
        <w:spacing w:line="460" w:lineRule="exact"/>
        <w:ind w:left="1418" w:hanging="567"/>
        <w:jc w:val="both"/>
        <w:rPr>
          <w:rFonts w:eastAsia="標楷體"/>
          <w:sz w:val="28"/>
          <w:szCs w:val="28"/>
        </w:rPr>
      </w:pPr>
      <w:r w:rsidRPr="00D55DC6">
        <w:rPr>
          <w:rFonts w:eastAsia="標楷體"/>
          <w:b/>
          <w:sz w:val="28"/>
          <w:szCs w:val="28"/>
        </w:rPr>
        <w:t>4-1.</w:t>
      </w:r>
      <w:r w:rsidRPr="00D55DC6">
        <w:rPr>
          <w:rFonts w:eastAsia="標楷體"/>
          <w:b/>
          <w:sz w:val="28"/>
          <w:szCs w:val="28"/>
        </w:rPr>
        <w:t>國際觀光重要景點：</w:t>
      </w:r>
      <w:r w:rsidRPr="00D55DC6">
        <w:rPr>
          <w:rFonts w:eastAsia="標楷體"/>
          <w:sz w:val="28"/>
          <w:szCs w:val="28"/>
        </w:rPr>
        <w:t>白沙灣遊憩區（遊憩景點既有設施改善）、金山中角遊憩區（獅頭山公園既有步道及服務設施改善、員潭溪周邊環境改善、中角沙珠灣周邊環境改善）、野柳遊憩區（野柳核心區展售服務設施工程、野柳入口轉運站及周邊景觀改善、翡翠灣周邊景觀改善）、基隆遊憩區（基隆遊客服務中心建置、基隆情人湖及外木山遊憩區設施及景觀改善、和平島地質公園步道及景觀改善）。</w:t>
      </w:r>
    </w:p>
    <w:p w:rsidR="00934471" w:rsidRPr="00D55DC6" w:rsidRDefault="00934471" w:rsidP="0038165F">
      <w:pPr>
        <w:snapToGrid w:val="0"/>
        <w:spacing w:line="460" w:lineRule="exact"/>
        <w:ind w:left="1418" w:hanging="567"/>
        <w:jc w:val="both"/>
        <w:rPr>
          <w:rFonts w:eastAsia="標楷體"/>
          <w:sz w:val="28"/>
          <w:szCs w:val="28"/>
        </w:rPr>
      </w:pPr>
      <w:r w:rsidRPr="00D55DC6">
        <w:rPr>
          <w:rFonts w:eastAsia="標楷體"/>
          <w:b/>
          <w:sz w:val="28"/>
          <w:szCs w:val="28"/>
        </w:rPr>
        <w:t>4-2.</w:t>
      </w:r>
      <w:r w:rsidRPr="00D55DC6">
        <w:rPr>
          <w:rFonts w:eastAsia="標楷體"/>
          <w:b/>
          <w:sz w:val="28"/>
          <w:szCs w:val="28"/>
        </w:rPr>
        <w:t>國內觀光重要景點：</w:t>
      </w:r>
      <w:r w:rsidRPr="00D55DC6">
        <w:rPr>
          <w:rFonts w:eastAsia="標楷體"/>
          <w:sz w:val="28"/>
          <w:szCs w:val="28"/>
        </w:rPr>
        <w:t>三芝石門遊憩區（遊憩景點既有設施及景觀改善）、觀音山遊憩區（遊憩景點服務設施、步道及環境景觀改善）、自行車路網延伸及路廊景觀改善。</w:t>
      </w:r>
    </w:p>
    <w:p w:rsidR="00F120CB" w:rsidRPr="00D55DC6" w:rsidRDefault="00F120CB" w:rsidP="0038165F">
      <w:pPr>
        <w:snapToGrid w:val="0"/>
        <w:spacing w:line="460" w:lineRule="exact"/>
        <w:ind w:left="1418" w:hanging="567"/>
        <w:jc w:val="both"/>
        <w:rPr>
          <w:rFonts w:eastAsia="標楷體"/>
          <w:sz w:val="28"/>
          <w:szCs w:val="28"/>
        </w:rPr>
      </w:pPr>
    </w:p>
    <w:p w:rsidR="00C336E5" w:rsidRPr="00D55DC6" w:rsidRDefault="00C336E5" w:rsidP="0038165F">
      <w:pPr>
        <w:snapToGrid w:val="0"/>
        <w:spacing w:line="460" w:lineRule="exact"/>
        <w:ind w:left="1418" w:hanging="567"/>
        <w:jc w:val="both"/>
        <w:rPr>
          <w:rFonts w:eastAsia="標楷體"/>
          <w:sz w:val="28"/>
          <w:szCs w:val="28"/>
        </w:rPr>
      </w:pPr>
    </w:p>
    <w:p w:rsidR="00C336E5" w:rsidRPr="00D55DC6" w:rsidRDefault="00C336E5" w:rsidP="0038165F">
      <w:pPr>
        <w:snapToGrid w:val="0"/>
        <w:spacing w:line="460" w:lineRule="exact"/>
        <w:ind w:left="1418" w:hanging="567"/>
        <w:jc w:val="both"/>
        <w:rPr>
          <w:rFonts w:eastAsia="標楷體"/>
          <w:sz w:val="28"/>
          <w:szCs w:val="28"/>
        </w:rPr>
      </w:pPr>
    </w:p>
    <w:p w:rsidR="00934471" w:rsidRPr="00D55DC6" w:rsidRDefault="00934471" w:rsidP="0038165F">
      <w:pPr>
        <w:pStyle w:val="a"/>
        <w:ind w:left="709" w:hanging="709"/>
        <w:rPr>
          <w:b/>
        </w:rPr>
      </w:pPr>
      <w:bookmarkStart w:id="77" w:name="_Toc407181655"/>
      <w:r w:rsidRPr="00D55DC6">
        <w:rPr>
          <w:b/>
        </w:rPr>
        <w:lastRenderedPageBreak/>
        <w:t>期程與資源需求</w:t>
      </w:r>
      <w:bookmarkEnd w:id="77"/>
    </w:p>
    <w:p w:rsidR="00934471" w:rsidRPr="00D55DC6" w:rsidRDefault="00934471" w:rsidP="0038165F">
      <w:pPr>
        <w:pStyle w:val="af2"/>
        <w:numPr>
          <w:ilvl w:val="0"/>
          <w:numId w:val="34"/>
        </w:numPr>
        <w:snapToGrid w:val="0"/>
        <w:spacing w:line="460" w:lineRule="exact"/>
        <w:ind w:leftChars="0"/>
        <w:jc w:val="both"/>
        <w:rPr>
          <w:rFonts w:eastAsia="標楷體"/>
          <w:b/>
          <w:sz w:val="28"/>
          <w:szCs w:val="28"/>
        </w:rPr>
      </w:pPr>
      <w:r w:rsidRPr="00D55DC6">
        <w:rPr>
          <w:rFonts w:eastAsia="標楷體"/>
          <w:b/>
          <w:sz w:val="28"/>
          <w:szCs w:val="28"/>
        </w:rPr>
        <w:t>計畫期程</w:t>
      </w:r>
    </w:p>
    <w:p w:rsidR="00934471" w:rsidRPr="00D55DC6" w:rsidRDefault="00934471" w:rsidP="0038165F">
      <w:pPr>
        <w:pStyle w:val="af2"/>
        <w:snapToGrid w:val="0"/>
        <w:spacing w:line="460" w:lineRule="exact"/>
        <w:ind w:leftChars="0" w:left="864"/>
        <w:jc w:val="both"/>
        <w:rPr>
          <w:rFonts w:eastAsia="標楷體"/>
          <w:sz w:val="28"/>
          <w:szCs w:val="28"/>
        </w:rPr>
      </w:pPr>
      <w:r w:rsidRPr="00D55DC6">
        <w:rPr>
          <w:rFonts w:eastAsia="標楷體"/>
          <w:sz w:val="28"/>
          <w:szCs w:val="28"/>
        </w:rPr>
        <w:t>自</w:t>
      </w:r>
      <w:r w:rsidRPr="00D55DC6">
        <w:rPr>
          <w:rFonts w:eastAsia="標楷體"/>
          <w:sz w:val="28"/>
          <w:szCs w:val="28"/>
        </w:rPr>
        <w:t>105</w:t>
      </w:r>
      <w:r w:rsidRPr="00D55DC6">
        <w:rPr>
          <w:rFonts w:eastAsia="標楷體"/>
          <w:sz w:val="28"/>
          <w:szCs w:val="28"/>
        </w:rPr>
        <w:t>年至</w:t>
      </w:r>
      <w:r w:rsidRPr="00D55DC6">
        <w:rPr>
          <w:rFonts w:eastAsia="標楷體"/>
          <w:sz w:val="28"/>
          <w:szCs w:val="28"/>
        </w:rPr>
        <w:t>108</w:t>
      </w:r>
      <w:r w:rsidRPr="00D55DC6">
        <w:rPr>
          <w:rFonts w:eastAsia="標楷體"/>
          <w:sz w:val="28"/>
          <w:szCs w:val="28"/>
        </w:rPr>
        <w:t>年。</w:t>
      </w:r>
    </w:p>
    <w:p w:rsidR="00934471" w:rsidRPr="00D55DC6" w:rsidRDefault="00934471" w:rsidP="0038165F">
      <w:pPr>
        <w:pStyle w:val="af2"/>
        <w:numPr>
          <w:ilvl w:val="0"/>
          <w:numId w:val="34"/>
        </w:numPr>
        <w:snapToGrid w:val="0"/>
        <w:spacing w:line="460" w:lineRule="exact"/>
        <w:ind w:leftChars="0"/>
        <w:jc w:val="both"/>
        <w:rPr>
          <w:rFonts w:eastAsia="標楷體"/>
          <w:b/>
          <w:sz w:val="28"/>
          <w:szCs w:val="28"/>
        </w:rPr>
      </w:pPr>
      <w:r w:rsidRPr="00D55DC6">
        <w:rPr>
          <w:rFonts w:eastAsia="標楷體"/>
          <w:b/>
          <w:sz w:val="28"/>
          <w:szCs w:val="28"/>
        </w:rPr>
        <w:t>經費需求</w:t>
      </w:r>
      <w:r w:rsidRPr="00D55DC6">
        <w:rPr>
          <w:rFonts w:eastAsia="標楷體"/>
          <w:b/>
          <w:sz w:val="28"/>
          <w:szCs w:val="28"/>
        </w:rPr>
        <w:t>(</w:t>
      </w:r>
      <w:r w:rsidRPr="00D55DC6">
        <w:rPr>
          <w:rFonts w:eastAsia="標楷體"/>
          <w:b/>
          <w:sz w:val="28"/>
          <w:szCs w:val="28"/>
        </w:rPr>
        <w:t>含分年經費</w:t>
      </w:r>
      <w:r w:rsidRPr="00D55DC6">
        <w:rPr>
          <w:rFonts w:eastAsia="標楷體"/>
          <w:b/>
          <w:sz w:val="28"/>
          <w:szCs w:val="28"/>
        </w:rPr>
        <w:t>)</w:t>
      </w:r>
      <w:r w:rsidRPr="00D55DC6">
        <w:rPr>
          <w:rFonts w:eastAsia="標楷體"/>
          <w:b/>
          <w:sz w:val="28"/>
          <w:szCs w:val="28"/>
        </w:rPr>
        <w:t>及與中程歲出概算額度配合情形</w:t>
      </w:r>
    </w:p>
    <w:p w:rsidR="00486FAE" w:rsidRPr="00D55DC6" w:rsidRDefault="00486FAE" w:rsidP="00486FAE">
      <w:pPr>
        <w:pStyle w:val="af2"/>
        <w:spacing w:line="460" w:lineRule="exact"/>
        <w:ind w:leftChars="0" w:left="864"/>
        <w:jc w:val="both"/>
        <w:rPr>
          <w:rFonts w:eastAsia="標楷體"/>
          <w:sz w:val="28"/>
          <w:szCs w:val="28"/>
        </w:rPr>
      </w:pPr>
      <w:r w:rsidRPr="00D55DC6">
        <w:rPr>
          <w:rFonts w:eastAsia="標楷體"/>
          <w:sz w:val="28"/>
          <w:szCs w:val="28"/>
        </w:rPr>
        <w:t>本計畫</w:t>
      </w:r>
      <w:r w:rsidR="000725AB" w:rsidRPr="00D55DC6">
        <w:rPr>
          <w:rFonts w:eastAsia="標楷體"/>
          <w:sz w:val="28"/>
          <w:szCs w:val="28"/>
        </w:rPr>
        <w:t>總經費</w:t>
      </w:r>
      <w:r w:rsidR="000725AB" w:rsidRPr="00D55DC6">
        <w:rPr>
          <w:rFonts w:eastAsia="標楷體"/>
          <w:sz w:val="28"/>
          <w:szCs w:val="28"/>
        </w:rPr>
        <w:t>11.25</w:t>
      </w:r>
      <w:r w:rsidR="000725AB" w:rsidRPr="00D55DC6">
        <w:rPr>
          <w:rFonts w:eastAsia="標楷體"/>
          <w:sz w:val="28"/>
          <w:szCs w:val="28"/>
        </w:rPr>
        <w:t>億元，</w:t>
      </w:r>
      <w:r w:rsidRPr="00D55DC6">
        <w:rPr>
          <w:rFonts w:eastAsia="標楷體"/>
          <w:sz w:val="28"/>
          <w:szCs w:val="28"/>
        </w:rPr>
        <w:t>經費需求（含分年經費）係與中程歲出概算額度相符，分年投資重點及經費需求如下：</w:t>
      </w:r>
      <w:r w:rsidRPr="00D55DC6">
        <w:rPr>
          <w:rFonts w:eastAsia="標楷體"/>
          <w:sz w:val="28"/>
          <w:szCs w:val="28"/>
        </w:rPr>
        <w:t xml:space="preserve"> </w:t>
      </w:r>
    </w:p>
    <w:p w:rsidR="00B7347D" w:rsidRPr="00D55DC6" w:rsidRDefault="00486FAE" w:rsidP="008C418E">
      <w:pPr>
        <w:snapToGrid w:val="0"/>
        <w:spacing w:line="460" w:lineRule="exact"/>
        <w:ind w:leftChars="354" w:left="850"/>
        <w:jc w:val="both"/>
        <w:rPr>
          <w:rFonts w:eastAsia="標楷體"/>
          <w:sz w:val="28"/>
          <w:szCs w:val="28"/>
        </w:rPr>
      </w:pPr>
      <w:r w:rsidRPr="00D55DC6">
        <w:rPr>
          <w:rFonts w:eastAsia="標楷體"/>
          <w:sz w:val="28"/>
          <w:szCs w:val="28"/>
        </w:rPr>
        <w:t xml:space="preserve">　　　</w:t>
      </w:r>
      <w:r w:rsidR="008C418E" w:rsidRPr="00D55DC6">
        <w:rPr>
          <w:rFonts w:eastAsia="標楷體"/>
          <w:sz w:val="28"/>
          <w:szCs w:val="28"/>
        </w:rPr>
        <w:t xml:space="preserve">                                         </w:t>
      </w:r>
      <w:r w:rsidR="00B7347D" w:rsidRPr="00D55DC6">
        <w:rPr>
          <w:rFonts w:eastAsia="標楷體"/>
          <w:sz w:val="28"/>
          <w:szCs w:val="28"/>
        </w:rPr>
        <w:t>(</w:t>
      </w:r>
      <w:r w:rsidR="00B7347D" w:rsidRPr="00D55DC6">
        <w:rPr>
          <w:rFonts w:eastAsia="標楷體"/>
          <w:sz w:val="28"/>
          <w:szCs w:val="28"/>
        </w:rPr>
        <w:t>單位</w:t>
      </w:r>
      <w:r w:rsidR="00B7347D" w:rsidRPr="00D55DC6">
        <w:rPr>
          <w:rFonts w:eastAsia="標楷體"/>
          <w:sz w:val="28"/>
          <w:szCs w:val="28"/>
        </w:rPr>
        <w:t>:</w:t>
      </w:r>
      <w:r w:rsidR="00B7347D" w:rsidRPr="00D55DC6">
        <w:rPr>
          <w:rFonts w:eastAsia="標楷體"/>
          <w:sz w:val="28"/>
          <w:szCs w:val="28"/>
        </w:rPr>
        <w:t>億元</w:t>
      </w:r>
      <w:r w:rsidR="00B7347D" w:rsidRPr="00D55DC6">
        <w:rPr>
          <w:rFonts w:eastAsia="標楷體"/>
          <w:sz w:val="28"/>
          <w:szCs w:val="28"/>
        </w:rPr>
        <w:t>)</w:t>
      </w:r>
    </w:p>
    <w:tbl>
      <w:tblPr>
        <w:tblW w:w="10349" w:type="dxa"/>
        <w:tblInd w:w="-398" w:type="dxa"/>
        <w:tblCellMar>
          <w:left w:w="28" w:type="dxa"/>
          <w:right w:w="28" w:type="dxa"/>
        </w:tblCellMar>
        <w:tblLook w:val="00A0" w:firstRow="1" w:lastRow="0" w:firstColumn="1" w:lastColumn="0" w:noHBand="0" w:noVBand="0"/>
      </w:tblPr>
      <w:tblGrid>
        <w:gridCol w:w="400"/>
        <w:gridCol w:w="891"/>
        <w:gridCol w:w="1102"/>
        <w:gridCol w:w="2286"/>
        <w:gridCol w:w="709"/>
        <w:gridCol w:w="709"/>
        <w:gridCol w:w="709"/>
        <w:gridCol w:w="708"/>
        <w:gridCol w:w="851"/>
        <w:gridCol w:w="1984"/>
      </w:tblGrid>
      <w:tr w:rsidR="001D0350" w:rsidRPr="00D55DC6" w:rsidTr="005A6FC9">
        <w:trPr>
          <w:trHeight w:val="345"/>
          <w:tblHeader/>
        </w:trPr>
        <w:tc>
          <w:tcPr>
            <w:tcW w:w="400"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934471" w:rsidRPr="00D55DC6" w:rsidRDefault="00934471" w:rsidP="008C418E">
            <w:pPr>
              <w:widowControl/>
              <w:spacing w:line="0" w:lineRule="atLeast"/>
              <w:jc w:val="center"/>
              <w:rPr>
                <w:rFonts w:eastAsia="標楷體"/>
                <w:kern w:val="0"/>
              </w:rPr>
            </w:pPr>
            <w:r w:rsidRPr="00D55DC6">
              <w:rPr>
                <w:rFonts w:eastAsia="標楷體"/>
                <w:kern w:val="0"/>
              </w:rPr>
              <w:t>科目別</w:t>
            </w:r>
          </w:p>
        </w:tc>
        <w:tc>
          <w:tcPr>
            <w:tcW w:w="891" w:type="dxa"/>
            <w:tcBorders>
              <w:top w:val="single" w:sz="8" w:space="0" w:color="auto"/>
              <w:left w:val="nil"/>
              <w:bottom w:val="single" w:sz="8" w:space="0" w:color="auto"/>
              <w:right w:val="single" w:sz="8" w:space="0" w:color="auto"/>
            </w:tcBorders>
            <w:shd w:val="clear" w:color="000000" w:fill="FFFF99"/>
            <w:vAlign w:val="center"/>
          </w:tcPr>
          <w:p w:rsidR="00934471" w:rsidRPr="00D55DC6" w:rsidRDefault="00934471" w:rsidP="008C418E">
            <w:pPr>
              <w:widowControl/>
              <w:spacing w:line="0" w:lineRule="atLeast"/>
              <w:jc w:val="center"/>
              <w:rPr>
                <w:rFonts w:eastAsia="標楷體"/>
                <w:kern w:val="0"/>
              </w:rPr>
            </w:pPr>
            <w:r w:rsidRPr="00D55DC6">
              <w:rPr>
                <w:rFonts w:eastAsia="標楷體"/>
                <w:kern w:val="0"/>
                <w:szCs w:val="22"/>
              </w:rPr>
              <w:t>1</w:t>
            </w:r>
            <w:r w:rsidRPr="00D55DC6">
              <w:rPr>
                <w:rFonts w:eastAsia="標楷體"/>
                <w:kern w:val="0"/>
                <w:szCs w:val="22"/>
              </w:rPr>
              <w:t>級</w:t>
            </w:r>
          </w:p>
        </w:tc>
        <w:tc>
          <w:tcPr>
            <w:tcW w:w="1102" w:type="dxa"/>
            <w:tcBorders>
              <w:top w:val="single" w:sz="8" w:space="0" w:color="auto"/>
              <w:left w:val="nil"/>
              <w:bottom w:val="single" w:sz="8" w:space="0" w:color="auto"/>
              <w:right w:val="single" w:sz="8" w:space="0" w:color="auto"/>
            </w:tcBorders>
            <w:shd w:val="clear" w:color="000000" w:fill="FFFF99"/>
            <w:vAlign w:val="center"/>
          </w:tcPr>
          <w:p w:rsidR="00934471" w:rsidRPr="00D55DC6" w:rsidRDefault="00934471" w:rsidP="008C418E">
            <w:pPr>
              <w:widowControl/>
              <w:spacing w:line="0" w:lineRule="atLeast"/>
              <w:jc w:val="center"/>
              <w:rPr>
                <w:rFonts w:eastAsia="標楷體"/>
                <w:kern w:val="0"/>
              </w:rPr>
            </w:pPr>
            <w:r w:rsidRPr="00D55DC6">
              <w:rPr>
                <w:rFonts w:eastAsia="標楷體"/>
                <w:kern w:val="0"/>
                <w:szCs w:val="22"/>
              </w:rPr>
              <w:t>2</w:t>
            </w:r>
            <w:r w:rsidRPr="00D55DC6">
              <w:rPr>
                <w:rFonts w:eastAsia="標楷體"/>
                <w:kern w:val="0"/>
                <w:szCs w:val="22"/>
              </w:rPr>
              <w:t>級</w:t>
            </w:r>
          </w:p>
        </w:tc>
        <w:tc>
          <w:tcPr>
            <w:tcW w:w="2286"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934471" w:rsidRPr="00D55DC6" w:rsidRDefault="00934471" w:rsidP="008C418E">
            <w:pPr>
              <w:widowControl/>
              <w:spacing w:line="0" w:lineRule="atLeast"/>
              <w:jc w:val="center"/>
              <w:rPr>
                <w:rFonts w:eastAsia="標楷體"/>
                <w:kern w:val="0"/>
              </w:rPr>
            </w:pPr>
            <w:r w:rsidRPr="00D55DC6">
              <w:rPr>
                <w:rFonts w:eastAsia="標楷體"/>
                <w:kern w:val="0"/>
                <w:szCs w:val="22"/>
              </w:rPr>
              <w:t>投資重點</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934471" w:rsidRPr="00D55DC6" w:rsidRDefault="00934471" w:rsidP="008C418E">
            <w:pPr>
              <w:widowControl/>
              <w:spacing w:line="0" w:lineRule="atLeast"/>
              <w:jc w:val="center"/>
              <w:rPr>
                <w:rFonts w:eastAsia="標楷體"/>
                <w:kern w:val="0"/>
              </w:rPr>
            </w:pPr>
            <w:r w:rsidRPr="00D55DC6">
              <w:rPr>
                <w:rFonts w:eastAsia="標楷體"/>
                <w:kern w:val="0"/>
                <w:szCs w:val="22"/>
              </w:rPr>
              <w:t>105</w:t>
            </w:r>
            <w:r w:rsidRPr="00D55DC6">
              <w:rPr>
                <w:rFonts w:eastAsia="標楷體"/>
                <w:kern w:val="0"/>
                <w:szCs w:val="22"/>
              </w:rPr>
              <w:t>年</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934471" w:rsidRPr="00D55DC6" w:rsidRDefault="00934471" w:rsidP="008C418E">
            <w:pPr>
              <w:widowControl/>
              <w:spacing w:line="0" w:lineRule="atLeast"/>
              <w:jc w:val="center"/>
              <w:rPr>
                <w:rFonts w:eastAsia="標楷體"/>
                <w:kern w:val="0"/>
              </w:rPr>
            </w:pPr>
            <w:r w:rsidRPr="00D55DC6">
              <w:rPr>
                <w:rFonts w:eastAsia="標楷體"/>
                <w:kern w:val="0"/>
                <w:szCs w:val="22"/>
              </w:rPr>
              <w:t>106</w:t>
            </w:r>
            <w:r w:rsidRPr="00D55DC6">
              <w:rPr>
                <w:rFonts w:eastAsia="標楷體"/>
                <w:kern w:val="0"/>
                <w:szCs w:val="22"/>
              </w:rPr>
              <w:t>年</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934471" w:rsidRPr="00D55DC6" w:rsidRDefault="00934471" w:rsidP="008C418E">
            <w:pPr>
              <w:widowControl/>
              <w:spacing w:line="0" w:lineRule="atLeast"/>
              <w:jc w:val="center"/>
              <w:rPr>
                <w:rFonts w:eastAsia="標楷體"/>
                <w:kern w:val="0"/>
              </w:rPr>
            </w:pPr>
            <w:r w:rsidRPr="00D55DC6">
              <w:rPr>
                <w:rFonts w:eastAsia="標楷體"/>
                <w:kern w:val="0"/>
                <w:szCs w:val="22"/>
              </w:rPr>
              <w:t>107</w:t>
            </w:r>
            <w:r w:rsidRPr="00D55DC6">
              <w:rPr>
                <w:rFonts w:eastAsia="標楷體"/>
                <w:kern w:val="0"/>
                <w:szCs w:val="22"/>
              </w:rPr>
              <w:t>年</w:t>
            </w:r>
          </w:p>
        </w:tc>
        <w:tc>
          <w:tcPr>
            <w:tcW w:w="708"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934471" w:rsidRPr="00D55DC6" w:rsidRDefault="00934471" w:rsidP="008C418E">
            <w:pPr>
              <w:widowControl/>
              <w:spacing w:line="0" w:lineRule="atLeast"/>
              <w:jc w:val="center"/>
              <w:rPr>
                <w:rFonts w:eastAsia="標楷體"/>
                <w:kern w:val="0"/>
              </w:rPr>
            </w:pPr>
            <w:r w:rsidRPr="00D55DC6">
              <w:rPr>
                <w:rFonts w:eastAsia="標楷體"/>
                <w:kern w:val="0"/>
                <w:szCs w:val="22"/>
              </w:rPr>
              <w:t>108</w:t>
            </w:r>
            <w:r w:rsidRPr="00D55DC6">
              <w:rPr>
                <w:rFonts w:eastAsia="標楷體"/>
                <w:kern w:val="0"/>
                <w:szCs w:val="22"/>
              </w:rPr>
              <w:t>年</w:t>
            </w:r>
          </w:p>
        </w:tc>
        <w:tc>
          <w:tcPr>
            <w:tcW w:w="851"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934471" w:rsidRPr="00D55DC6" w:rsidRDefault="00934471" w:rsidP="008C418E">
            <w:pPr>
              <w:widowControl/>
              <w:spacing w:line="0" w:lineRule="atLeast"/>
              <w:jc w:val="center"/>
              <w:rPr>
                <w:rFonts w:eastAsia="標楷體"/>
                <w:kern w:val="0"/>
                <w:szCs w:val="22"/>
              </w:rPr>
            </w:pPr>
            <w:r w:rsidRPr="00D55DC6">
              <w:rPr>
                <w:rFonts w:eastAsia="標楷體"/>
                <w:kern w:val="0"/>
                <w:szCs w:val="22"/>
              </w:rPr>
              <w:t>合計</w:t>
            </w:r>
          </w:p>
        </w:tc>
        <w:tc>
          <w:tcPr>
            <w:tcW w:w="1984"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934471" w:rsidRPr="00D55DC6" w:rsidRDefault="00934471" w:rsidP="008C418E">
            <w:pPr>
              <w:widowControl/>
              <w:spacing w:line="0" w:lineRule="atLeast"/>
              <w:jc w:val="center"/>
              <w:rPr>
                <w:rFonts w:eastAsia="標楷體"/>
                <w:kern w:val="0"/>
              </w:rPr>
            </w:pPr>
            <w:r w:rsidRPr="00D55DC6">
              <w:rPr>
                <w:rFonts w:eastAsia="標楷體"/>
                <w:kern w:val="0"/>
                <w:szCs w:val="22"/>
              </w:rPr>
              <w:t>工作內容</w:t>
            </w:r>
          </w:p>
        </w:tc>
      </w:tr>
      <w:tr w:rsidR="001D0350" w:rsidRPr="00D55DC6" w:rsidTr="005A6FC9">
        <w:trPr>
          <w:trHeight w:val="227"/>
          <w:tblHeader/>
        </w:trPr>
        <w:tc>
          <w:tcPr>
            <w:tcW w:w="400" w:type="dxa"/>
            <w:vMerge/>
            <w:tcBorders>
              <w:top w:val="single" w:sz="8" w:space="0" w:color="auto"/>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891" w:type="dxa"/>
            <w:tcBorders>
              <w:top w:val="nil"/>
              <w:left w:val="nil"/>
              <w:bottom w:val="single" w:sz="8" w:space="0" w:color="auto"/>
              <w:right w:val="single" w:sz="8" w:space="0" w:color="auto"/>
            </w:tcBorders>
            <w:shd w:val="clear" w:color="000000" w:fill="FFFF99"/>
            <w:vAlign w:val="center"/>
          </w:tcPr>
          <w:p w:rsidR="00934471" w:rsidRPr="00D55DC6" w:rsidRDefault="00934471" w:rsidP="008C418E">
            <w:pPr>
              <w:widowControl/>
              <w:spacing w:line="0" w:lineRule="atLeast"/>
              <w:jc w:val="center"/>
              <w:rPr>
                <w:rFonts w:eastAsia="標楷體"/>
                <w:kern w:val="0"/>
              </w:rPr>
            </w:pPr>
            <w:r w:rsidRPr="00D55DC6">
              <w:rPr>
                <w:rFonts w:eastAsia="標楷體"/>
                <w:kern w:val="0"/>
                <w:szCs w:val="22"/>
              </w:rPr>
              <w:t>用途別</w:t>
            </w:r>
          </w:p>
        </w:tc>
        <w:tc>
          <w:tcPr>
            <w:tcW w:w="1102" w:type="dxa"/>
            <w:tcBorders>
              <w:top w:val="nil"/>
              <w:left w:val="nil"/>
              <w:bottom w:val="single" w:sz="8" w:space="0" w:color="auto"/>
              <w:right w:val="single" w:sz="8" w:space="0" w:color="auto"/>
            </w:tcBorders>
            <w:shd w:val="clear" w:color="000000" w:fill="FFFF99"/>
            <w:vAlign w:val="center"/>
          </w:tcPr>
          <w:p w:rsidR="00934471" w:rsidRPr="00D55DC6" w:rsidRDefault="00934471" w:rsidP="008C418E">
            <w:pPr>
              <w:widowControl/>
              <w:spacing w:line="0" w:lineRule="atLeast"/>
              <w:jc w:val="center"/>
              <w:rPr>
                <w:rFonts w:eastAsia="標楷體"/>
                <w:kern w:val="0"/>
              </w:rPr>
            </w:pPr>
            <w:r w:rsidRPr="00D55DC6">
              <w:rPr>
                <w:rFonts w:eastAsia="標楷體"/>
                <w:kern w:val="0"/>
                <w:szCs w:val="22"/>
              </w:rPr>
              <w:t>用途別</w:t>
            </w:r>
          </w:p>
        </w:tc>
        <w:tc>
          <w:tcPr>
            <w:tcW w:w="2286" w:type="dxa"/>
            <w:vMerge/>
            <w:tcBorders>
              <w:top w:val="single" w:sz="8" w:space="0" w:color="auto"/>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708" w:type="dxa"/>
            <w:vMerge/>
            <w:tcBorders>
              <w:top w:val="single" w:sz="8" w:space="0" w:color="auto"/>
              <w:left w:val="single" w:sz="8" w:space="0" w:color="auto"/>
              <w:bottom w:val="single" w:sz="8" w:space="0" w:color="000000"/>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851" w:type="dxa"/>
            <w:vMerge/>
            <w:tcBorders>
              <w:top w:val="single" w:sz="8" w:space="0" w:color="auto"/>
              <w:left w:val="single" w:sz="8" w:space="0" w:color="auto"/>
              <w:bottom w:val="single" w:sz="8" w:space="0" w:color="000000"/>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1984" w:type="dxa"/>
            <w:vMerge/>
            <w:tcBorders>
              <w:top w:val="single" w:sz="8" w:space="0" w:color="auto"/>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r>
      <w:tr w:rsidR="001D0350" w:rsidRPr="00D55DC6" w:rsidTr="005A6FC9">
        <w:trPr>
          <w:trHeight w:val="619"/>
        </w:trPr>
        <w:tc>
          <w:tcPr>
            <w:tcW w:w="400" w:type="dxa"/>
            <w:vMerge w:val="restart"/>
            <w:tcBorders>
              <w:top w:val="nil"/>
              <w:left w:val="single" w:sz="8" w:space="0" w:color="auto"/>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kern w:val="0"/>
              </w:rPr>
            </w:pPr>
            <w:r w:rsidRPr="00D55DC6">
              <w:rPr>
                <w:rFonts w:eastAsia="標楷體"/>
                <w:kern w:val="0"/>
                <w:szCs w:val="22"/>
              </w:rPr>
              <w:t>經常門</w:t>
            </w:r>
          </w:p>
        </w:tc>
        <w:tc>
          <w:tcPr>
            <w:tcW w:w="891" w:type="dxa"/>
            <w:vMerge w:val="restart"/>
            <w:tcBorders>
              <w:top w:val="nil"/>
              <w:left w:val="single" w:sz="8" w:space="0" w:color="auto"/>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kern w:val="0"/>
                <w:szCs w:val="22"/>
              </w:rPr>
            </w:pPr>
            <w:r w:rsidRPr="00D55DC6">
              <w:rPr>
                <w:rFonts w:eastAsia="標楷體"/>
                <w:kern w:val="0"/>
                <w:szCs w:val="22"/>
              </w:rPr>
              <w:t>0200</w:t>
            </w:r>
          </w:p>
          <w:p w:rsidR="00934471" w:rsidRPr="00D55DC6" w:rsidRDefault="00934471" w:rsidP="008C418E">
            <w:pPr>
              <w:widowControl/>
              <w:spacing w:line="0" w:lineRule="atLeast"/>
              <w:jc w:val="center"/>
              <w:rPr>
                <w:rFonts w:eastAsia="標楷體"/>
                <w:kern w:val="0"/>
              </w:rPr>
            </w:pPr>
            <w:r w:rsidRPr="00D55DC6">
              <w:rPr>
                <w:rFonts w:eastAsia="標楷體"/>
                <w:kern w:val="0"/>
                <w:szCs w:val="22"/>
              </w:rPr>
              <w:t>業務費</w:t>
            </w:r>
          </w:p>
        </w:tc>
        <w:tc>
          <w:tcPr>
            <w:tcW w:w="1102" w:type="dxa"/>
            <w:vMerge w:val="restart"/>
            <w:tcBorders>
              <w:top w:val="nil"/>
              <w:left w:val="single" w:sz="8" w:space="0" w:color="auto"/>
              <w:bottom w:val="single" w:sz="8" w:space="0" w:color="auto"/>
              <w:right w:val="single" w:sz="8" w:space="0" w:color="auto"/>
            </w:tcBorders>
            <w:shd w:val="clear" w:color="000000" w:fill="CCFFFF"/>
          </w:tcPr>
          <w:p w:rsidR="00934471" w:rsidRPr="00D55DC6" w:rsidRDefault="00934471" w:rsidP="008C418E">
            <w:pPr>
              <w:widowControl/>
              <w:spacing w:line="0" w:lineRule="atLeast"/>
              <w:rPr>
                <w:rFonts w:eastAsia="標楷體"/>
                <w:kern w:val="0"/>
              </w:rPr>
            </w:pPr>
            <w:r w:rsidRPr="00D55DC6">
              <w:rPr>
                <w:rFonts w:eastAsia="標楷體"/>
                <w:kern w:val="0"/>
                <w:szCs w:val="22"/>
              </w:rPr>
              <w:t>0284</w:t>
            </w:r>
            <w:r w:rsidRPr="00D55DC6">
              <w:rPr>
                <w:rFonts w:eastAsia="標楷體"/>
                <w:kern w:val="0"/>
                <w:szCs w:val="22"/>
              </w:rPr>
              <w:t>設施及機械設備養護費</w:t>
            </w:r>
          </w:p>
        </w:tc>
        <w:tc>
          <w:tcPr>
            <w:tcW w:w="2286"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ind w:left="332" w:hangingChars="138" w:hanging="332"/>
              <w:rPr>
                <w:rFonts w:eastAsia="標楷體"/>
                <w:b/>
                <w:bCs/>
                <w:kern w:val="0"/>
              </w:rPr>
            </w:pPr>
            <w:r w:rsidRPr="00D55DC6">
              <w:rPr>
                <w:rFonts w:eastAsia="標楷體"/>
                <w:b/>
                <w:bCs/>
                <w:kern w:val="0"/>
                <w:szCs w:val="22"/>
              </w:rPr>
              <w:t>1.</w:t>
            </w:r>
            <w:r w:rsidRPr="00D55DC6">
              <w:rPr>
                <w:rFonts w:eastAsia="標楷體"/>
                <w:b/>
                <w:bCs/>
                <w:kern w:val="0"/>
                <w:szCs w:val="22"/>
              </w:rPr>
              <w:t>綠美化養護及設施零星修護</w:t>
            </w:r>
          </w:p>
        </w:tc>
        <w:tc>
          <w:tcPr>
            <w:tcW w:w="709"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Cs/>
                <w:kern w:val="0"/>
              </w:rPr>
            </w:pPr>
            <w:r w:rsidRPr="00D55DC6">
              <w:rPr>
                <w:rFonts w:eastAsia="標楷體"/>
                <w:bCs/>
                <w:kern w:val="0"/>
              </w:rPr>
              <w:t>0.22</w:t>
            </w:r>
          </w:p>
        </w:tc>
        <w:tc>
          <w:tcPr>
            <w:tcW w:w="709"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Cs/>
                <w:kern w:val="0"/>
              </w:rPr>
            </w:pPr>
            <w:r w:rsidRPr="00D55DC6">
              <w:rPr>
                <w:rFonts w:eastAsia="標楷體"/>
                <w:bCs/>
                <w:kern w:val="0"/>
              </w:rPr>
              <w:t>0.24</w:t>
            </w:r>
          </w:p>
        </w:tc>
        <w:tc>
          <w:tcPr>
            <w:tcW w:w="709"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Cs/>
                <w:kern w:val="0"/>
              </w:rPr>
            </w:pPr>
            <w:r w:rsidRPr="00D55DC6">
              <w:rPr>
                <w:rFonts w:eastAsia="標楷體"/>
                <w:bCs/>
                <w:kern w:val="0"/>
              </w:rPr>
              <w:t>0.24</w:t>
            </w:r>
          </w:p>
        </w:tc>
        <w:tc>
          <w:tcPr>
            <w:tcW w:w="708"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Cs/>
                <w:kern w:val="0"/>
              </w:rPr>
            </w:pPr>
            <w:r w:rsidRPr="00D55DC6">
              <w:rPr>
                <w:rFonts w:eastAsia="標楷體"/>
                <w:bCs/>
                <w:kern w:val="0"/>
              </w:rPr>
              <w:t>0.24</w:t>
            </w:r>
          </w:p>
        </w:tc>
        <w:tc>
          <w:tcPr>
            <w:tcW w:w="851"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Cs/>
                <w:kern w:val="0"/>
              </w:rPr>
            </w:pPr>
            <w:r w:rsidRPr="00D55DC6">
              <w:rPr>
                <w:rFonts w:eastAsia="標楷體"/>
                <w:bCs/>
                <w:kern w:val="0"/>
              </w:rPr>
              <w:t>0.94</w:t>
            </w:r>
          </w:p>
        </w:tc>
        <w:tc>
          <w:tcPr>
            <w:tcW w:w="1984" w:type="dxa"/>
            <w:vMerge w:val="restart"/>
            <w:tcBorders>
              <w:top w:val="nil"/>
              <w:left w:val="single" w:sz="8" w:space="0" w:color="auto"/>
              <w:bottom w:val="single" w:sz="8" w:space="0" w:color="auto"/>
              <w:right w:val="single" w:sz="8" w:space="0" w:color="auto"/>
            </w:tcBorders>
            <w:shd w:val="clear" w:color="000000" w:fill="CCFFFF"/>
          </w:tcPr>
          <w:p w:rsidR="00934471" w:rsidRPr="00D55DC6" w:rsidRDefault="00B7347D" w:rsidP="008C418E">
            <w:pPr>
              <w:widowControl/>
              <w:spacing w:line="0" w:lineRule="atLeast"/>
              <w:rPr>
                <w:rFonts w:eastAsia="標楷體"/>
                <w:kern w:val="0"/>
              </w:rPr>
            </w:pPr>
            <w:r w:rsidRPr="00D55DC6">
              <w:rPr>
                <w:rFonts w:eastAsia="標楷體"/>
                <w:kern w:val="0"/>
                <w:szCs w:val="22"/>
              </w:rPr>
              <w:t>植栽養護、零星修繕、各據點建物公共安全及消防檢測</w:t>
            </w:r>
          </w:p>
        </w:tc>
      </w:tr>
      <w:tr w:rsidR="001D0350" w:rsidRPr="00D55DC6" w:rsidTr="005A6FC9">
        <w:trPr>
          <w:trHeight w:val="405"/>
        </w:trPr>
        <w:tc>
          <w:tcPr>
            <w:tcW w:w="400" w:type="dxa"/>
            <w:vMerge/>
            <w:tcBorders>
              <w:top w:val="nil"/>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2286"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szCs w:val="22"/>
              </w:rPr>
              <w:t>經常門合計</w:t>
            </w:r>
          </w:p>
        </w:tc>
        <w:tc>
          <w:tcPr>
            <w:tcW w:w="709"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kern w:val="0"/>
              </w:rPr>
            </w:pPr>
            <w:r w:rsidRPr="00D55DC6">
              <w:rPr>
                <w:rFonts w:eastAsia="標楷體"/>
                <w:b/>
                <w:kern w:val="0"/>
              </w:rPr>
              <w:t>0.22</w:t>
            </w:r>
          </w:p>
        </w:tc>
        <w:tc>
          <w:tcPr>
            <w:tcW w:w="709"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kern w:val="0"/>
              </w:rPr>
            </w:pPr>
            <w:r w:rsidRPr="00D55DC6">
              <w:rPr>
                <w:rFonts w:eastAsia="標楷體"/>
                <w:b/>
                <w:kern w:val="0"/>
              </w:rPr>
              <w:t>0.24</w:t>
            </w:r>
          </w:p>
        </w:tc>
        <w:tc>
          <w:tcPr>
            <w:tcW w:w="709"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kern w:val="0"/>
              </w:rPr>
            </w:pPr>
            <w:r w:rsidRPr="00D55DC6">
              <w:rPr>
                <w:rFonts w:eastAsia="標楷體"/>
                <w:b/>
                <w:kern w:val="0"/>
              </w:rPr>
              <w:t>0.24</w:t>
            </w:r>
          </w:p>
        </w:tc>
        <w:tc>
          <w:tcPr>
            <w:tcW w:w="708"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kern w:val="0"/>
              </w:rPr>
            </w:pPr>
            <w:r w:rsidRPr="00D55DC6">
              <w:rPr>
                <w:rFonts w:eastAsia="標楷體"/>
                <w:b/>
                <w:kern w:val="0"/>
              </w:rPr>
              <w:t>0.24</w:t>
            </w:r>
          </w:p>
        </w:tc>
        <w:tc>
          <w:tcPr>
            <w:tcW w:w="851"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kern w:val="0"/>
              </w:rPr>
            </w:pPr>
            <w:r w:rsidRPr="00D55DC6">
              <w:rPr>
                <w:rFonts w:eastAsia="標楷體"/>
                <w:b/>
                <w:kern w:val="0"/>
              </w:rPr>
              <w:t>0.94</w:t>
            </w:r>
          </w:p>
        </w:tc>
        <w:tc>
          <w:tcPr>
            <w:tcW w:w="1984" w:type="dxa"/>
            <w:vMerge/>
            <w:tcBorders>
              <w:top w:val="nil"/>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r>
      <w:tr w:rsidR="001D0350" w:rsidRPr="00D55DC6" w:rsidTr="005A6FC9">
        <w:trPr>
          <w:trHeight w:val="996"/>
        </w:trPr>
        <w:tc>
          <w:tcPr>
            <w:tcW w:w="400" w:type="dxa"/>
            <w:vMerge w:val="restart"/>
            <w:tcBorders>
              <w:top w:val="nil"/>
              <w:left w:val="single" w:sz="8" w:space="0" w:color="auto"/>
              <w:bottom w:val="nil"/>
              <w:right w:val="single" w:sz="8" w:space="0" w:color="auto"/>
            </w:tcBorders>
            <w:shd w:val="clear" w:color="000000" w:fill="CCFFCC"/>
          </w:tcPr>
          <w:p w:rsidR="00934471" w:rsidRPr="00D55DC6" w:rsidRDefault="00934471" w:rsidP="008C418E">
            <w:pPr>
              <w:widowControl/>
              <w:spacing w:line="0" w:lineRule="atLeast"/>
              <w:jc w:val="center"/>
              <w:rPr>
                <w:rFonts w:eastAsia="標楷體"/>
                <w:kern w:val="0"/>
              </w:rPr>
            </w:pPr>
            <w:r w:rsidRPr="00D55DC6">
              <w:rPr>
                <w:rFonts w:eastAsia="標楷體"/>
                <w:kern w:val="0"/>
                <w:szCs w:val="22"/>
              </w:rPr>
              <w:t>資本門</w:t>
            </w:r>
          </w:p>
        </w:tc>
        <w:tc>
          <w:tcPr>
            <w:tcW w:w="891" w:type="dxa"/>
            <w:vMerge w:val="restart"/>
            <w:tcBorders>
              <w:top w:val="nil"/>
              <w:left w:val="single" w:sz="8" w:space="0" w:color="auto"/>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kern w:val="0"/>
                <w:szCs w:val="22"/>
              </w:rPr>
            </w:pPr>
            <w:r w:rsidRPr="00D55DC6">
              <w:rPr>
                <w:rFonts w:eastAsia="標楷體"/>
                <w:kern w:val="0"/>
                <w:szCs w:val="22"/>
              </w:rPr>
              <w:t>0300</w:t>
            </w:r>
          </w:p>
          <w:p w:rsidR="00934471" w:rsidRPr="00D55DC6" w:rsidRDefault="00934471" w:rsidP="008C418E">
            <w:pPr>
              <w:widowControl/>
              <w:spacing w:line="0" w:lineRule="atLeast"/>
              <w:jc w:val="center"/>
              <w:rPr>
                <w:rFonts w:eastAsia="標楷體"/>
                <w:kern w:val="0"/>
              </w:rPr>
            </w:pPr>
            <w:r w:rsidRPr="00D55DC6">
              <w:rPr>
                <w:rFonts w:eastAsia="標楷體"/>
                <w:kern w:val="0"/>
                <w:szCs w:val="22"/>
              </w:rPr>
              <w:t>設備及投資</w:t>
            </w:r>
          </w:p>
        </w:tc>
        <w:tc>
          <w:tcPr>
            <w:tcW w:w="1102"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rPr>
                <w:rFonts w:eastAsia="標楷體"/>
                <w:kern w:val="0"/>
                <w:szCs w:val="22"/>
              </w:rPr>
            </w:pPr>
            <w:r w:rsidRPr="00D55DC6">
              <w:rPr>
                <w:rFonts w:eastAsia="標楷體"/>
                <w:kern w:val="0"/>
                <w:szCs w:val="22"/>
              </w:rPr>
              <w:t>0301</w:t>
            </w:r>
          </w:p>
          <w:p w:rsidR="00934471" w:rsidRPr="00D55DC6" w:rsidRDefault="00934471" w:rsidP="008C418E">
            <w:pPr>
              <w:widowControl/>
              <w:spacing w:line="0" w:lineRule="atLeast"/>
              <w:rPr>
                <w:rFonts w:eastAsia="標楷體"/>
                <w:kern w:val="0"/>
              </w:rPr>
            </w:pPr>
            <w:r w:rsidRPr="00D55DC6">
              <w:rPr>
                <w:rFonts w:eastAsia="標楷體"/>
                <w:kern w:val="0"/>
                <w:szCs w:val="22"/>
              </w:rPr>
              <w:t>土地費</w:t>
            </w:r>
          </w:p>
        </w:tc>
        <w:tc>
          <w:tcPr>
            <w:tcW w:w="2286"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rPr>
                <w:rFonts w:eastAsia="標楷體"/>
                <w:b/>
                <w:bCs/>
                <w:kern w:val="0"/>
              </w:rPr>
            </w:pPr>
            <w:r w:rsidRPr="00D55DC6">
              <w:rPr>
                <w:rFonts w:eastAsia="標楷體"/>
                <w:b/>
                <w:bCs/>
                <w:kern w:val="0"/>
                <w:szCs w:val="22"/>
              </w:rPr>
              <w:t>1.</w:t>
            </w:r>
            <w:r w:rsidRPr="00D55DC6">
              <w:rPr>
                <w:rFonts w:eastAsia="標楷體"/>
                <w:b/>
                <w:bCs/>
                <w:kern w:val="0"/>
                <w:szCs w:val="22"/>
              </w:rPr>
              <w:t>土地取得</w:t>
            </w:r>
          </w:p>
        </w:tc>
        <w:tc>
          <w:tcPr>
            <w:tcW w:w="709"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0.20</w:t>
            </w:r>
          </w:p>
        </w:tc>
        <w:tc>
          <w:tcPr>
            <w:tcW w:w="709"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0.20</w:t>
            </w:r>
          </w:p>
        </w:tc>
        <w:tc>
          <w:tcPr>
            <w:tcW w:w="709"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0.12</w:t>
            </w:r>
          </w:p>
        </w:tc>
        <w:tc>
          <w:tcPr>
            <w:tcW w:w="708"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0.12</w:t>
            </w:r>
          </w:p>
        </w:tc>
        <w:tc>
          <w:tcPr>
            <w:tcW w:w="851"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0.64</w:t>
            </w:r>
          </w:p>
        </w:tc>
        <w:tc>
          <w:tcPr>
            <w:tcW w:w="1984" w:type="dxa"/>
            <w:tcBorders>
              <w:top w:val="nil"/>
              <w:left w:val="nil"/>
              <w:bottom w:val="single" w:sz="8" w:space="0" w:color="auto"/>
              <w:right w:val="single" w:sz="8" w:space="0" w:color="auto"/>
            </w:tcBorders>
          </w:tcPr>
          <w:p w:rsidR="00934471" w:rsidRPr="00D55DC6" w:rsidRDefault="00934471" w:rsidP="008C418E">
            <w:pPr>
              <w:widowControl/>
              <w:spacing w:line="0" w:lineRule="atLeast"/>
              <w:rPr>
                <w:rFonts w:eastAsia="標楷體"/>
                <w:kern w:val="0"/>
              </w:rPr>
            </w:pPr>
            <w:r w:rsidRPr="00D55DC6">
              <w:rPr>
                <w:rFonts w:eastAsia="標楷體"/>
                <w:kern w:val="0"/>
                <w:szCs w:val="22"/>
              </w:rPr>
              <w:t>辦理轄區訂樁測量、徵收價購、撥用補償及相關作業</w:t>
            </w:r>
          </w:p>
        </w:tc>
      </w:tr>
      <w:tr w:rsidR="001D0350" w:rsidRPr="00D55DC6" w:rsidTr="005A6FC9">
        <w:trPr>
          <w:trHeight w:val="375"/>
        </w:trPr>
        <w:tc>
          <w:tcPr>
            <w:tcW w:w="400" w:type="dxa"/>
            <w:vMerge/>
            <w:tcBorders>
              <w:top w:val="nil"/>
              <w:left w:val="single" w:sz="8" w:space="0" w:color="auto"/>
              <w:bottom w:val="nil"/>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1102" w:type="dxa"/>
            <w:tcBorders>
              <w:top w:val="single" w:sz="8" w:space="0" w:color="auto"/>
              <w:left w:val="single" w:sz="8" w:space="0" w:color="auto"/>
              <w:bottom w:val="single" w:sz="4" w:space="0" w:color="auto"/>
              <w:right w:val="single" w:sz="8" w:space="0" w:color="auto"/>
            </w:tcBorders>
            <w:shd w:val="clear" w:color="000000" w:fill="CCFFCC"/>
          </w:tcPr>
          <w:p w:rsidR="00934471" w:rsidRPr="00D55DC6" w:rsidRDefault="00934471" w:rsidP="008C418E">
            <w:pPr>
              <w:widowControl/>
              <w:spacing w:line="0" w:lineRule="atLeast"/>
              <w:rPr>
                <w:rFonts w:eastAsia="標楷體"/>
                <w:kern w:val="0"/>
                <w:szCs w:val="22"/>
              </w:rPr>
            </w:pPr>
            <w:r w:rsidRPr="00D55DC6">
              <w:rPr>
                <w:rFonts w:eastAsia="標楷體"/>
                <w:kern w:val="0"/>
                <w:szCs w:val="22"/>
              </w:rPr>
              <w:t>0302</w:t>
            </w:r>
          </w:p>
          <w:p w:rsidR="00934471" w:rsidRPr="00D55DC6" w:rsidRDefault="00934471" w:rsidP="008C418E">
            <w:pPr>
              <w:widowControl/>
              <w:spacing w:line="0" w:lineRule="atLeast"/>
              <w:rPr>
                <w:rFonts w:eastAsia="標楷體"/>
                <w:kern w:val="0"/>
              </w:rPr>
            </w:pPr>
            <w:r w:rsidRPr="00D55DC6">
              <w:rPr>
                <w:rFonts w:eastAsia="標楷體"/>
                <w:kern w:val="0"/>
                <w:szCs w:val="22"/>
              </w:rPr>
              <w:t>房屋建築及設備費</w:t>
            </w:r>
          </w:p>
        </w:tc>
        <w:tc>
          <w:tcPr>
            <w:tcW w:w="2286"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rPr>
                <w:rFonts w:eastAsia="標楷體"/>
                <w:b/>
                <w:bCs/>
                <w:kern w:val="0"/>
              </w:rPr>
            </w:pPr>
            <w:r w:rsidRPr="00D55DC6">
              <w:rPr>
                <w:rFonts w:eastAsia="標楷體"/>
                <w:b/>
                <w:bCs/>
                <w:kern w:val="0"/>
                <w:szCs w:val="22"/>
              </w:rPr>
              <w:t>2.</w:t>
            </w:r>
            <w:r w:rsidRPr="00D55DC6">
              <w:rPr>
                <w:rFonts w:eastAsia="標楷體"/>
                <w:b/>
                <w:bCs/>
                <w:kern w:val="0"/>
                <w:szCs w:val="22"/>
              </w:rPr>
              <w:t>房屋建築及設備</w:t>
            </w:r>
          </w:p>
        </w:tc>
        <w:tc>
          <w:tcPr>
            <w:tcW w:w="709"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0.00</w:t>
            </w:r>
          </w:p>
        </w:tc>
        <w:tc>
          <w:tcPr>
            <w:tcW w:w="709"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0.00</w:t>
            </w:r>
          </w:p>
        </w:tc>
        <w:tc>
          <w:tcPr>
            <w:tcW w:w="709"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0.00</w:t>
            </w:r>
          </w:p>
        </w:tc>
        <w:tc>
          <w:tcPr>
            <w:tcW w:w="708"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0.00</w:t>
            </w:r>
          </w:p>
        </w:tc>
        <w:tc>
          <w:tcPr>
            <w:tcW w:w="851"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0.00</w:t>
            </w:r>
          </w:p>
        </w:tc>
        <w:tc>
          <w:tcPr>
            <w:tcW w:w="1984" w:type="dxa"/>
            <w:tcBorders>
              <w:top w:val="single" w:sz="8" w:space="0" w:color="auto"/>
              <w:left w:val="single" w:sz="8" w:space="0" w:color="auto"/>
              <w:right w:val="single" w:sz="8" w:space="0" w:color="auto"/>
            </w:tcBorders>
          </w:tcPr>
          <w:p w:rsidR="00934471" w:rsidRPr="00D55DC6" w:rsidRDefault="00934471" w:rsidP="008C418E">
            <w:pPr>
              <w:widowControl/>
              <w:spacing w:line="0" w:lineRule="atLeast"/>
              <w:jc w:val="both"/>
              <w:rPr>
                <w:rFonts w:eastAsia="標楷體"/>
                <w:kern w:val="0"/>
              </w:rPr>
            </w:pPr>
          </w:p>
        </w:tc>
      </w:tr>
      <w:tr w:rsidR="001D0350" w:rsidRPr="00D55DC6" w:rsidTr="005A6FC9">
        <w:trPr>
          <w:trHeight w:val="345"/>
        </w:trPr>
        <w:tc>
          <w:tcPr>
            <w:tcW w:w="400" w:type="dxa"/>
            <w:vMerge/>
            <w:tcBorders>
              <w:top w:val="nil"/>
              <w:left w:val="single" w:sz="8" w:space="0" w:color="auto"/>
              <w:bottom w:val="nil"/>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1102" w:type="dxa"/>
            <w:vMerge w:val="restart"/>
            <w:tcBorders>
              <w:top w:val="nil"/>
              <w:left w:val="single" w:sz="8" w:space="0" w:color="auto"/>
              <w:bottom w:val="single" w:sz="4" w:space="0" w:color="auto"/>
              <w:right w:val="single" w:sz="8" w:space="0" w:color="auto"/>
            </w:tcBorders>
            <w:shd w:val="clear" w:color="000000" w:fill="CCFFCC"/>
          </w:tcPr>
          <w:p w:rsidR="00934471" w:rsidRPr="00D55DC6" w:rsidRDefault="00934471" w:rsidP="008C418E">
            <w:pPr>
              <w:widowControl/>
              <w:spacing w:line="0" w:lineRule="atLeast"/>
              <w:rPr>
                <w:rFonts w:eastAsia="標楷體"/>
                <w:kern w:val="0"/>
                <w:szCs w:val="22"/>
              </w:rPr>
            </w:pPr>
            <w:r w:rsidRPr="00D55DC6">
              <w:rPr>
                <w:rFonts w:eastAsia="標楷體"/>
                <w:kern w:val="0"/>
                <w:szCs w:val="22"/>
              </w:rPr>
              <w:t>0303</w:t>
            </w:r>
          </w:p>
          <w:p w:rsidR="00934471" w:rsidRPr="00D55DC6" w:rsidRDefault="00934471" w:rsidP="008C418E">
            <w:pPr>
              <w:widowControl/>
              <w:spacing w:line="0" w:lineRule="atLeast"/>
              <w:rPr>
                <w:rFonts w:eastAsia="標楷體"/>
                <w:kern w:val="0"/>
              </w:rPr>
            </w:pPr>
            <w:r w:rsidRPr="00D55DC6">
              <w:rPr>
                <w:rFonts w:eastAsia="標楷體"/>
                <w:kern w:val="0"/>
                <w:szCs w:val="22"/>
              </w:rPr>
              <w:t>公共建設及設施費</w:t>
            </w:r>
          </w:p>
        </w:tc>
        <w:tc>
          <w:tcPr>
            <w:tcW w:w="2286" w:type="dxa"/>
            <w:tcBorders>
              <w:top w:val="nil"/>
              <w:left w:val="nil"/>
              <w:bottom w:val="single" w:sz="8" w:space="0" w:color="auto"/>
              <w:right w:val="single" w:sz="8" w:space="0" w:color="auto"/>
            </w:tcBorders>
            <w:shd w:val="clear" w:color="000000" w:fill="CCFFCC"/>
            <w:vAlign w:val="center"/>
          </w:tcPr>
          <w:p w:rsidR="00934471" w:rsidRPr="00D55DC6" w:rsidRDefault="00934471" w:rsidP="008C418E">
            <w:pPr>
              <w:widowControl/>
              <w:spacing w:line="0" w:lineRule="atLeast"/>
              <w:rPr>
                <w:rFonts w:eastAsia="標楷體"/>
                <w:b/>
                <w:bCs/>
                <w:kern w:val="0"/>
              </w:rPr>
            </w:pPr>
            <w:r w:rsidRPr="00D55DC6">
              <w:rPr>
                <w:rFonts w:eastAsia="標楷體"/>
                <w:b/>
                <w:bCs/>
                <w:kern w:val="0"/>
                <w:szCs w:val="22"/>
              </w:rPr>
              <w:t>3.</w:t>
            </w:r>
            <w:r w:rsidRPr="00D55DC6">
              <w:rPr>
                <w:rFonts w:eastAsia="標楷體"/>
                <w:b/>
                <w:bCs/>
                <w:kern w:val="0"/>
                <w:szCs w:val="22"/>
              </w:rPr>
              <w:t>公共建設及設施</w:t>
            </w:r>
          </w:p>
        </w:tc>
        <w:tc>
          <w:tcPr>
            <w:tcW w:w="709" w:type="dxa"/>
            <w:tcBorders>
              <w:top w:val="nil"/>
              <w:left w:val="nil"/>
              <w:bottom w:val="single" w:sz="8" w:space="0" w:color="auto"/>
              <w:right w:val="single" w:sz="8" w:space="0" w:color="auto"/>
            </w:tcBorders>
            <w:shd w:val="clear" w:color="000000" w:fill="CCFFCC"/>
            <w:vAlign w:val="center"/>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2.13</w:t>
            </w:r>
          </w:p>
        </w:tc>
        <w:tc>
          <w:tcPr>
            <w:tcW w:w="709" w:type="dxa"/>
            <w:tcBorders>
              <w:top w:val="nil"/>
              <w:left w:val="nil"/>
              <w:bottom w:val="single" w:sz="8" w:space="0" w:color="auto"/>
              <w:right w:val="single" w:sz="8" w:space="0" w:color="auto"/>
            </w:tcBorders>
            <w:shd w:val="clear" w:color="000000" w:fill="CCFFCC"/>
            <w:vAlign w:val="center"/>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2.11</w:t>
            </w:r>
          </w:p>
        </w:tc>
        <w:tc>
          <w:tcPr>
            <w:tcW w:w="709" w:type="dxa"/>
            <w:tcBorders>
              <w:top w:val="nil"/>
              <w:left w:val="nil"/>
              <w:bottom w:val="single" w:sz="8" w:space="0" w:color="auto"/>
              <w:right w:val="single" w:sz="8" w:space="0" w:color="auto"/>
            </w:tcBorders>
            <w:shd w:val="clear" w:color="000000" w:fill="CCFFCC"/>
            <w:vAlign w:val="center"/>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1.99</w:t>
            </w:r>
          </w:p>
        </w:tc>
        <w:tc>
          <w:tcPr>
            <w:tcW w:w="708" w:type="dxa"/>
            <w:tcBorders>
              <w:top w:val="nil"/>
              <w:left w:val="nil"/>
              <w:bottom w:val="single" w:sz="8" w:space="0" w:color="auto"/>
              <w:right w:val="single" w:sz="8" w:space="0" w:color="auto"/>
            </w:tcBorders>
            <w:shd w:val="clear" w:color="000000" w:fill="CCFFCC"/>
            <w:vAlign w:val="center"/>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3.44</w:t>
            </w:r>
          </w:p>
        </w:tc>
        <w:tc>
          <w:tcPr>
            <w:tcW w:w="851"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9.67</w:t>
            </w:r>
          </w:p>
        </w:tc>
        <w:tc>
          <w:tcPr>
            <w:tcW w:w="1984" w:type="dxa"/>
            <w:tcBorders>
              <w:top w:val="single" w:sz="8" w:space="0" w:color="auto"/>
              <w:left w:val="nil"/>
              <w:bottom w:val="single" w:sz="8" w:space="0" w:color="auto"/>
              <w:right w:val="single" w:sz="8" w:space="0" w:color="auto"/>
            </w:tcBorders>
          </w:tcPr>
          <w:p w:rsidR="00934471" w:rsidRPr="00D55DC6" w:rsidRDefault="00934471" w:rsidP="008C418E">
            <w:pPr>
              <w:widowControl/>
              <w:spacing w:line="0" w:lineRule="atLeast"/>
              <w:jc w:val="both"/>
              <w:rPr>
                <w:rFonts w:eastAsia="標楷體"/>
                <w:kern w:val="0"/>
              </w:rPr>
            </w:pPr>
            <w:r w:rsidRPr="00D55DC6">
              <w:rPr>
                <w:rFonts w:eastAsia="標楷體"/>
                <w:kern w:val="0"/>
                <w:szCs w:val="22"/>
              </w:rPr>
              <w:t xml:space="preserve">　</w:t>
            </w:r>
          </w:p>
        </w:tc>
      </w:tr>
      <w:tr w:rsidR="001D0350" w:rsidRPr="00D55DC6" w:rsidTr="005A6FC9">
        <w:trPr>
          <w:trHeight w:val="360"/>
        </w:trPr>
        <w:tc>
          <w:tcPr>
            <w:tcW w:w="400" w:type="dxa"/>
            <w:vMerge/>
            <w:tcBorders>
              <w:top w:val="nil"/>
              <w:left w:val="single" w:sz="8" w:space="0" w:color="auto"/>
              <w:bottom w:val="nil"/>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1102" w:type="dxa"/>
            <w:vMerge/>
            <w:tcBorders>
              <w:top w:val="nil"/>
              <w:left w:val="single" w:sz="8" w:space="0" w:color="auto"/>
              <w:bottom w:val="single" w:sz="4"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2286"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both"/>
              <w:rPr>
                <w:rFonts w:eastAsia="標楷體"/>
                <w:kern w:val="0"/>
              </w:rPr>
            </w:pPr>
            <w:r w:rsidRPr="00D55DC6">
              <w:rPr>
                <w:rFonts w:eastAsia="標楷體"/>
                <w:kern w:val="0"/>
                <w:szCs w:val="22"/>
              </w:rPr>
              <w:t>(1)</w:t>
            </w:r>
            <w:r w:rsidRPr="00D55DC6">
              <w:rPr>
                <w:rFonts w:eastAsia="標楷體"/>
                <w:kern w:val="0"/>
                <w:szCs w:val="22"/>
              </w:rPr>
              <w:t>先期規劃設計</w:t>
            </w:r>
          </w:p>
        </w:tc>
        <w:tc>
          <w:tcPr>
            <w:tcW w:w="709"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kern w:val="0"/>
              </w:rPr>
            </w:pPr>
            <w:r w:rsidRPr="00D55DC6">
              <w:rPr>
                <w:rFonts w:eastAsia="標楷體"/>
                <w:b/>
                <w:kern w:val="0"/>
              </w:rPr>
              <w:t>0.15</w:t>
            </w:r>
          </w:p>
        </w:tc>
        <w:tc>
          <w:tcPr>
            <w:tcW w:w="709"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kern w:val="0"/>
              </w:rPr>
            </w:pPr>
            <w:r w:rsidRPr="00D55DC6">
              <w:rPr>
                <w:rFonts w:eastAsia="標楷體"/>
                <w:b/>
                <w:kern w:val="0"/>
              </w:rPr>
              <w:t>0.15</w:t>
            </w:r>
          </w:p>
        </w:tc>
        <w:tc>
          <w:tcPr>
            <w:tcW w:w="709"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kern w:val="0"/>
              </w:rPr>
            </w:pPr>
            <w:r w:rsidRPr="00D55DC6">
              <w:rPr>
                <w:rFonts w:eastAsia="標楷體"/>
                <w:b/>
                <w:kern w:val="0"/>
              </w:rPr>
              <w:t>0.08</w:t>
            </w:r>
          </w:p>
        </w:tc>
        <w:tc>
          <w:tcPr>
            <w:tcW w:w="708"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kern w:val="0"/>
              </w:rPr>
            </w:pPr>
            <w:r w:rsidRPr="00D55DC6">
              <w:rPr>
                <w:rFonts w:eastAsia="標楷體"/>
                <w:b/>
                <w:kern w:val="0"/>
              </w:rPr>
              <w:t>0.08</w:t>
            </w:r>
          </w:p>
        </w:tc>
        <w:tc>
          <w:tcPr>
            <w:tcW w:w="851"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0.46</w:t>
            </w:r>
          </w:p>
        </w:tc>
        <w:tc>
          <w:tcPr>
            <w:tcW w:w="1984"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both"/>
              <w:rPr>
                <w:rFonts w:eastAsia="標楷體"/>
                <w:kern w:val="0"/>
              </w:rPr>
            </w:pPr>
            <w:r w:rsidRPr="00D55DC6">
              <w:rPr>
                <w:rFonts w:eastAsia="標楷體"/>
                <w:kern w:val="0"/>
              </w:rPr>
              <w:t>配合工程建設辦理先期規劃設計</w:t>
            </w:r>
          </w:p>
        </w:tc>
      </w:tr>
      <w:tr w:rsidR="001D0350" w:rsidRPr="00D55DC6" w:rsidTr="005A6FC9">
        <w:trPr>
          <w:trHeight w:val="267"/>
        </w:trPr>
        <w:tc>
          <w:tcPr>
            <w:tcW w:w="400" w:type="dxa"/>
            <w:vMerge/>
            <w:tcBorders>
              <w:top w:val="nil"/>
              <w:left w:val="single" w:sz="8" w:space="0" w:color="auto"/>
              <w:bottom w:val="nil"/>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1102" w:type="dxa"/>
            <w:vMerge/>
            <w:tcBorders>
              <w:top w:val="nil"/>
              <w:left w:val="single" w:sz="8" w:space="0" w:color="auto"/>
              <w:bottom w:val="single" w:sz="4"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2286"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both"/>
              <w:rPr>
                <w:rFonts w:eastAsia="標楷體"/>
                <w:kern w:val="0"/>
              </w:rPr>
            </w:pPr>
            <w:r w:rsidRPr="00D55DC6">
              <w:rPr>
                <w:rFonts w:eastAsia="標楷體"/>
                <w:kern w:val="0"/>
                <w:szCs w:val="22"/>
              </w:rPr>
              <w:t>(2)</w:t>
            </w:r>
            <w:r w:rsidRPr="00D55DC6">
              <w:rPr>
                <w:rFonts w:eastAsia="標楷體"/>
                <w:kern w:val="0"/>
                <w:szCs w:val="22"/>
              </w:rPr>
              <w:t>國際觀光重要景點</w:t>
            </w:r>
          </w:p>
        </w:tc>
        <w:tc>
          <w:tcPr>
            <w:tcW w:w="709"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kern w:val="0"/>
              </w:rPr>
            </w:pPr>
            <w:r w:rsidRPr="00D55DC6">
              <w:rPr>
                <w:rFonts w:eastAsia="標楷體"/>
                <w:b/>
                <w:kern w:val="0"/>
              </w:rPr>
              <w:t>1.19</w:t>
            </w:r>
          </w:p>
        </w:tc>
        <w:tc>
          <w:tcPr>
            <w:tcW w:w="709"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kern w:val="0"/>
              </w:rPr>
            </w:pPr>
            <w:r w:rsidRPr="00D55DC6">
              <w:rPr>
                <w:rFonts w:eastAsia="標楷體"/>
                <w:b/>
                <w:kern w:val="0"/>
              </w:rPr>
              <w:t>1.02</w:t>
            </w:r>
          </w:p>
        </w:tc>
        <w:tc>
          <w:tcPr>
            <w:tcW w:w="709"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kern w:val="0"/>
              </w:rPr>
            </w:pPr>
            <w:r w:rsidRPr="00D55DC6">
              <w:rPr>
                <w:rFonts w:eastAsia="標楷體"/>
                <w:b/>
                <w:kern w:val="0"/>
              </w:rPr>
              <w:t>1.00</w:t>
            </w:r>
          </w:p>
        </w:tc>
        <w:tc>
          <w:tcPr>
            <w:tcW w:w="708"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kern w:val="0"/>
              </w:rPr>
            </w:pPr>
            <w:r w:rsidRPr="00D55DC6">
              <w:rPr>
                <w:rFonts w:eastAsia="標楷體"/>
                <w:b/>
                <w:kern w:val="0"/>
              </w:rPr>
              <w:t>2.29</w:t>
            </w:r>
          </w:p>
        </w:tc>
        <w:tc>
          <w:tcPr>
            <w:tcW w:w="851"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5.50</w:t>
            </w:r>
          </w:p>
        </w:tc>
        <w:tc>
          <w:tcPr>
            <w:tcW w:w="1984" w:type="dxa"/>
            <w:tcBorders>
              <w:top w:val="single" w:sz="8" w:space="0" w:color="auto"/>
              <w:left w:val="single" w:sz="8" w:space="0" w:color="auto"/>
              <w:bottom w:val="single" w:sz="8" w:space="0" w:color="auto"/>
              <w:right w:val="single" w:sz="8" w:space="0" w:color="auto"/>
            </w:tcBorders>
          </w:tcPr>
          <w:p w:rsidR="00934471" w:rsidRPr="00D55DC6" w:rsidRDefault="00934471" w:rsidP="008C418E">
            <w:pPr>
              <w:widowControl/>
              <w:spacing w:line="0" w:lineRule="atLeast"/>
              <w:jc w:val="both"/>
              <w:rPr>
                <w:rFonts w:eastAsia="標楷體"/>
                <w:kern w:val="0"/>
              </w:rPr>
            </w:pPr>
          </w:p>
        </w:tc>
      </w:tr>
      <w:tr w:rsidR="001D0350" w:rsidRPr="00D55DC6" w:rsidTr="005A6FC9">
        <w:trPr>
          <w:trHeight w:val="142"/>
        </w:trPr>
        <w:tc>
          <w:tcPr>
            <w:tcW w:w="400" w:type="dxa"/>
            <w:vMerge/>
            <w:tcBorders>
              <w:top w:val="nil"/>
              <w:left w:val="single" w:sz="8" w:space="0" w:color="auto"/>
              <w:bottom w:val="nil"/>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1102" w:type="dxa"/>
            <w:vMerge/>
            <w:tcBorders>
              <w:top w:val="nil"/>
              <w:left w:val="single" w:sz="8" w:space="0" w:color="auto"/>
              <w:bottom w:val="single" w:sz="4"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2286" w:type="dxa"/>
            <w:tcBorders>
              <w:top w:val="nil"/>
              <w:left w:val="nil"/>
              <w:bottom w:val="single" w:sz="8" w:space="0" w:color="auto"/>
              <w:right w:val="single" w:sz="8" w:space="0" w:color="auto"/>
            </w:tcBorders>
          </w:tcPr>
          <w:p w:rsidR="00934471" w:rsidRPr="00D55DC6" w:rsidRDefault="00934471" w:rsidP="008C418E">
            <w:pPr>
              <w:widowControl/>
              <w:spacing w:line="0" w:lineRule="atLeast"/>
              <w:rPr>
                <w:rFonts w:eastAsia="標楷體"/>
                <w:kern w:val="0"/>
              </w:rPr>
            </w:pPr>
            <w:r w:rsidRPr="00D55DC6">
              <w:rPr>
                <w:rFonts w:eastAsia="標楷體"/>
                <w:kern w:val="0"/>
              </w:rPr>
              <w:t>白沙灣遊憩區</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0.24</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0.27</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0.00</w:t>
            </w:r>
          </w:p>
        </w:tc>
        <w:tc>
          <w:tcPr>
            <w:tcW w:w="708"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0.05</w:t>
            </w:r>
          </w:p>
        </w:tc>
        <w:tc>
          <w:tcPr>
            <w:tcW w:w="851"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0.56</w:t>
            </w:r>
          </w:p>
        </w:tc>
        <w:tc>
          <w:tcPr>
            <w:tcW w:w="1984" w:type="dxa"/>
            <w:tcBorders>
              <w:top w:val="single" w:sz="8" w:space="0" w:color="auto"/>
              <w:left w:val="single" w:sz="8" w:space="0" w:color="auto"/>
              <w:bottom w:val="single" w:sz="8" w:space="0" w:color="auto"/>
              <w:right w:val="single" w:sz="8" w:space="0" w:color="auto"/>
            </w:tcBorders>
          </w:tcPr>
          <w:p w:rsidR="00934471" w:rsidRPr="00D55DC6" w:rsidRDefault="00934471" w:rsidP="008C418E">
            <w:pPr>
              <w:widowControl/>
              <w:spacing w:line="0" w:lineRule="atLeast"/>
              <w:jc w:val="both"/>
              <w:rPr>
                <w:rFonts w:eastAsia="標楷體"/>
                <w:kern w:val="0"/>
              </w:rPr>
            </w:pPr>
            <w:r w:rsidRPr="00D55DC6">
              <w:rPr>
                <w:rFonts w:eastAsia="標楷體"/>
                <w:kern w:val="0"/>
              </w:rPr>
              <w:t>增闢白沙月灣景點、白沙灣遊憩區既有設施改善</w:t>
            </w:r>
          </w:p>
        </w:tc>
      </w:tr>
      <w:tr w:rsidR="001D0350" w:rsidRPr="00D55DC6" w:rsidTr="005A6FC9">
        <w:trPr>
          <w:trHeight w:val="142"/>
        </w:trPr>
        <w:tc>
          <w:tcPr>
            <w:tcW w:w="400" w:type="dxa"/>
            <w:vMerge/>
            <w:tcBorders>
              <w:top w:val="nil"/>
              <w:left w:val="single" w:sz="8" w:space="0" w:color="auto"/>
              <w:bottom w:val="nil"/>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1102" w:type="dxa"/>
            <w:vMerge/>
            <w:tcBorders>
              <w:top w:val="nil"/>
              <w:left w:val="single" w:sz="8" w:space="0" w:color="auto"/>
              <w:bottom w:val="single" w:sz="4"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2286" w:type="dxa"/>
            <w:tcBorders>
              <w:top w:val="nil"/>
              <w:left w:val="nil"/>
              <w:bottom w:val="single" w:sz="8" w:space="0" w:color="auto"/>
              <w:right w:val="single" w:sz="8" w:space="0" w:color="auto"/>
            </w:tcBorders>
          </w:tcPr>
          <w:p w:rsidR="00934471" w:rsidRPr="00D55DC6" w:rsidRDefault="00934471" w:rsidP="008C418E">
            <w:pPr>
              <w:widowControl/>
              <w:spacing w:line="0" w:lineRule="atLeast"/>
              <w:rPr>
                <w:rFonts w:eastAsia="標楷體"/>
                <w:kern w:val="0"/>
              </w:rPr>
            </w:pPr>
            <w:r w:rsidRPr="00D55DC6">
              <w:rPr>
                <w:rFonts w:eastAsia="標楷體"/>
                <w:kern w:val="0"/>
              </w:rPr>
              <w:t>金山中角遊憩區</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0.25</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0.15</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0.25</w:t>
            </w:r>
          </w:p>
        </w:tc>
        <w:tc>
          <w:tcPr>
            <w:tcW w:w="708"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0.25</w:t>
            </w:r>
          </w:p>
        </w:tc>
        <w:tc>
          <w:tcPr>
            <w:tcW w:w="851"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0.90</w:t>
            </w:r>
          </w:p>
        </w:tc>
        <w:tc>
          <w:tcPr>
            <w:tcW w:w="1984" w:type="dxa"/>
            <w:tcBorders>
              <w:top w:val="single" w:sz="8" w:space="0" w:color="auto"/>
              <w:left w:val="single" w:sz="8" w:space="0" w:color="auto"/>
              <w:bottom w:val="single" w:sz="8" w:space="0" w:color="auto"/>
              <w:right w:val="single" w:sz="8" w:space="0" w:color="auto"/>
            </w:tcBorders>
          </w:tcPr>
          <w:p w:rsidR="00934471" w:rsidRPr="00D55DC6" w:rsidRDefault="00934471" w:rsidP="008C418E">
            <w:pPr>
              <w:widowControl/>
              <w:spacing w:line="0" w:lineRule="atLeast"/>
              <w:jc w:val="both"/>
              <w:rPr>
                <w:rFonts w:eastAsia="標楷體"/>
                <w:kern w:val="0"/>
              </w:rPr>
            </w:pPr>
            <w:r w:rsidRPr="00D55DC6">
              <w:rPr>
                <w:rFonts w:eastAsia="標楷體"/>
                <w:kern w:val="0"/>
              </w:rPr>
              <w:t>獅頭山公園步道及服務設施改善、金山遊客中心停車場及周邊設施改善、員潭溪獨木舟基地營造、中角沙珠灣周邊設施及景觀改善</w:t>
            </w:r>
          </w:p>
        </w:tc>
      </w:tr>
      <w:tr w:rsidR="001D0350" w:rsidRPr="00D55DC6" w:rsidTr="005A6FC9">
        <w:trPr>
          <w:trHeight w:val="142"/>
        </w:trPr>
        <w:tc>
          <w:tcPr>
            <w:tcW w:w="400" w:type="dxa"/>
            <w:vMerge/>
            <w:tcBorders>
              <w:top w:val="nil"/>
              <w:left w:val="single" w:sz="8" w:space="0" w:color="auto"/>
              <w:bottom w:val="nil"/>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1102" w:type="dxa"/>
            <w:vMerge/>
            <w:tcBorders>
              <w:top w:val="nil"/>
              <w:left w:val="single" w:sz="8" w:space="0" w:color="auto"/>
              <w:bottom w:val="single" w:sz="4"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2286" w:type="dxa"/>
            <w:tcBorders>
              <w:top w:val="nil"/>
              <w:left w:val="nil"/>
              <w:bottom w:val="single" w:sz="8" w:space="0" w:color="auto"/>
              <w:right w:val="single" w:sz="8" w:space="0" w:color="auto"/>
            </w:tcBorders>
          </w:tcPr>
          <w:p w:rsidR="00934471" w:rsidRPr="00D55DC6" w:rsidRDefault="00934471" w:rsidP="008C418E">
            <w:pPr>
              <w:widowControl/>
              <w:spacing w:line="0" w:lineRule="atLeast"/>
              <w:rPr>
                <w:rFonts w:eastAsia="標楷體"/>
                <w:kern w:val="0"/>
              </w:rPr>
            </w:pPr>
            <w:r w:rsidRPr="00D55DC6">
              <w:rPr>
                <w:rFonts w:eastAsia="標楷體"/>
                <w:kern w:val="0"/>
              </w:rPr>
              <w:t>野柳遊憩區</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0.30</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0.10</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0.15</w:t>
            </w:r>
          </w:p>
        </w:tc>
        <w:tc>
          <w:tcPr>
            <w:tcW w:w="708"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1.39</w:t>
            </w:r>
          </w:p>
        </w:tc>
        <w:tc>
          <w:tcPr>
            <w:tcW w:w="851"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1.94</w:t>
            </w:r>
          </w:p>
        </w:tc>
        <w:tc>
          <w:tcPr>
            <w:tcW w:w="1984" w:type="dxa"/>
            <w:tcBorders>
              <w:top w:val="single" w:sz="8" w:space="0" w:color="auto"/>
              <w:left w:val="single" w:sz="8" w:space="0" w:color="auto"/>
              <w:bottom w:val="single" w:sz="8" w:space="0" w:color="auto"/>
              <w:right w:val="single" w:sz="8" w:space="0" w:color="auto"/>
            </w:tcBorders>
          </w:tcPr>
          <w:p w:rsidR="008C418E" w:rsidRPr="00D55DC6" w:rsidRDefault="00934471" w:rsidP="008C418E">
            <w:pPr>
              <w:widowControl/>
              <w:spacing w:line="0" w:lineRule="atLeast"/>
              <w:jc w:val="both"/>
              <w:rPr>
                <w:rFonts w:eastAsia="標楷體"/>
                <w:kern w:val="0"/>
              </w:rPr>
            </w:pPr>
            <w:r w:rsidRPr="00D55DC6">
              <w:rPr>
                <w:rFonts w:eastAsia="標楷體"/>
                <w:kern w:val="0"/>
              </w:rPr>
              <w:t>野柳核心區整體環境改善、增闢野柳入口轉運站及周邊景觀改善、翡翠灣</w:t>
            </w:r>
            <w:r w:rsidR="008C418E" w:rsidRPr="00D55DC6">
              <w:rPr>
                <w:rFonts w:eastAsia="標楷體"/>
                <w:kern w:val="0"/>
              </w:rPr>
              <w:t>周邊設施及景觀改善</w:t>
            </w:r>
          </w:p>
        </w:tc>
      </w:tr>
      <w:tr w:rsidR="001D0350" w:rsidRPr="00D55DC6" w:rsidTr="005A6FC9">
        <w:trPr>
          <w:trHeight w:val="142"/>
        </w:trPr>
        <w:tc>
          <w:tcPr>
            <w:tcW w:w="400" w:type="dxa"/>
            <w:vMerge/>
            <w:tcBorders>
              <w:top w:val="nil"/>
              <w:left w:val="single" w:sz="8" w:space="0" w:color="auto"/>
              <w:bottom w:val="nil"/>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1102" w:type="dxa"/>
            <w:vMerge/>
            <w:tcBorders>
              <w:top w:val="nil"/>
              <w:left w:val="single" w:sz="8" w:space="0" w:color="auto"/>
              <w:bottom w:val="single" w:sz="4"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2286" w:type="dxa"/>
            <w:tcBorders>
              <w:top w:val="nil"/>
              <w:left w:val="nil"/>
              <w:bottom w:val="single" w:sz="8" w:space="0" w:color="auto"/>
              <w:right w:val="single" w:sz="8" w:space="0" w:color="auto"/>
            </w:tcBorders>
          </w:tcPr>
          <w:p w:rsidR="00934471" w:rsidRPr="00D55DC6" w:rsidRDefault="00934471" w:rsidP="008C418E">
            <w:pPr>
              <w:spacing w:line="0" w:lineRule="atLeast"/>
              <w:rPr>
                <w:rFonts w:eastAsia="標楷體"/>
                <w:kern w:val="0"/>
              </w:rPr>
            </w:pPr>
            <w:r w:rsidRPr="00D55DC6">
              <w:rPr>
                <w:rFonts w:eastAsia="標楷體"/>
                <w:kern w:val="0"/>
              </w:rPr>
              <w:t>基隆遊憩區</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0.40</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0.50</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0.60</w:t>
            </w:r>
          </w:p>
        </w:tc>
        <w:tc>
          <w:tcPr>
            <w:tcW w:w="708"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0.60</w:t>
            </w:r>
          </w:p>
        </w:tc>
        <w:tc>
          <w:tcPr>
            <w:tcW w:w="851"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2.10</w:t>
            </w:r>
          </w:p>
        </w:tc>
        <w:tc>
          <w:tcPr>
            <w:tcW w:w="1984" w:type="dxa"/>
            <w:tcBorders>
              <w:top w:val="single" w:sz="8" w:space="0" w:color="auto"/>
              <w:left w:val="single" w:sz="8" w:space="0" w:color="auto"/>
              <w:bottom w:val="single" w:sz="8" w:space="0" w:color="auto"/>
              <w:right w:val="single" w:sz="8" w:space="0" w:color="auto"/>
            </w:tcBorders>
          </w:tcPr>
          <w:p w:rsidR="00934471" w:rsidRPr="00D55DC6" w:rsidRDefault="00934471" w:rsidP="008C418E">
            <w:pPr>
              <w:widowControl/>
              <w:spacing w:line="0" w:lineRule="atLeast"/>
              <w:jc w:val="both"/>
              <w:rPr>
                <w:rFonts w:eastAsia="標楷體"/>
                <w:kern w:val="0"/>
              </w:rPr>
            </w:pPr>
            <w:r w:rsidRPr="00D55DC6">
              <w:rPr>
                <w:rFonts w:eastAsia="標楷體"/>
                <w:kern w:val="0"/>
              </w:rPr>
              <w:t>基隆遊客服務中心建置、情人湖及外木山遊憩區設施及景觀改善、和平島地質公園步道及景觀改善。</w:t>
            </w:r>
          </w:p>
        </w:tc>
      </w:tr>
      <w:tr w:rsidR="001D0350" w:rsidRPr="00D55DC6" w:rsidTr="005A6FC9">
        <w:trPr>
          <w:trHeight w:val="345"/>
        </w:trPr>
        <w:tc>
          <w:tcPr>
            <w:tcW w:w="400" w:type="dxa"/>
            <w:vMerge/>
            <w:tcBorders>
              <w:top w:val="nil"/>
              <w:left w:val="single" w:sz="8" w:space="0" w:color="auto"/>
              <w:bottom w:val="nil"/>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1102" w:type="dxa"/>
            <w:vMerge/>
            <w:tcBorders>
              <w:top w:val="nil"/>
              <w:left w:val="single" w:sz="8" w:space="0" w:color="auto"/>
              <w:bottom w:val="single" w:sz="4"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2286"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both"/>
              <w:rPr>
                <w:rFonts w:eastAsia="標楷體"/>
                <w:kern w:val="0"/>
              </w:rPr>
            </w:pPr>
            <w:r w:rsidRPr="00D55DC6">
              <w:rPr>
                <w:rFonts w:eastAsia="標楷體"/>
                <w:kern w:val="0"/>
                <w:szCs w:val="22"/>
              </w:rPr>
              <w:t>(3)</w:t>
            </w:r>
            <w:r w:rsidRPr="00D55DC6">
              <w:rPr>
                <w:rFonts w:eastAsia="標楷體"/>
                <w:kern w:val="0"/>
                <w:szCs w:val="22"/>
              </w:rPr>
              <w:t>國內觀光重要景點</w:t>
            </w:r>
          </w:p>
        </w:tc>
        <w:tc>
          <w:tcPr>
            <w:tcW w:w="709" w:type="dxa"/>
            <w:tcBorders>
              <w:top w:val="nil"/>
              <w:left w:val="nil"/>
              <w:bottom w:val="single" w:sz="8" w:space="0" w:color="auto"/>
              <w:right w:val="single" w:sz="8" w:space="0" w:color="auto"/>
            </w:tcBorders>
            <w:shd w:val="clear" w:color="000000" w:fill="CCFFCC"/>
            <w:vAlign w:val="center"/>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0.55</w:t>
            </w:r>
          </w:p>
        </w:tc>
        <w:tc>
          <w:tcPr>
            <w:tcW w:w="709" w:type="dxa"/>
            <w:tcBorders>
              <w:top w:val="nil"/>
              <w:left w:val="nil"/>
              <w:bottom w:val="single" w:sz="8" w:space="0" w:color="auto"/>
              <w:right w:val="single" w:sz="8" w:space="0" w:color="auto"/>
            </w:tcBorders>
            <w:shd w:val="clear" w:color="000000" w:fill="CCFFCC"/>
            <w:vAlign w:val="center"/>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0.70</w:t>
            </w:r>
          </w:p>
        </w:tc>
        <w:tc>
          <w:tcPr>
            <w:tcW w:w="709" w:type="dxa"/>
            <w:tcBorders>
              <w:top w:val="nil"/>
              <w:left w:val="nil"/>
              <w:bottom w:val="single" w:sz="8" w:space="0" w:color="auto"/>
              <w:right w:val="single" w:sz="8" w:space="0" w:color="auto"/>
            </w:tcBorders>
            <w:shd w:val="clear" w:color="000000" w:fill="CCFFCC"/>
            <w:vAlign w:val="center"/>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0.67</w:t>
            </w:r>
          </w:p>
        </w:tc>
        <w:tc>
          <w:tcPr>
            <w:tcW w:w="708" w:type="dxa"/>
            <w:tcBorders>
              <w:top w:val="nil"/>
              <w:left w:val="nil"/>
              <w:bottom w:val="single" w:sz="8" w:space="0" w:color="auto"/>
              <w:right w:val="single" w:sz="8" w:space="0" w:color="auto"/>
            </w:tcBorders>
            <w:shd w:val="clear" w:color="000000" w:fill="CCFFCC"/>
            <w:vAlign w:val="center"/>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0.83</w:t>
            </w:r>
          </w:p>
        </w:tc>
        <w:tc>
          <w:tcPr>
            <w:tcW w:w="851"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2.75</w:t>
            </w:r>
          </w:p>
        </w:tc>
        <w:tc>
          <w:tcPr>
            <w:tcW w:w="1984" w:type="dxa"/>
            <w:tcBorders>
              <w:top w:val="single" w:sz="8" w:space="0" w:color="auto"/>
              <w:left w:val="single" w:sz="8" w:space="0" w:color="auto"/>
              <w:bottom w:val="single" w:sz="8" w:space="0" w:color="auto"/>
              <w:right w:val="single" w:sz="8" w:space="0" w:color="auto"/>
            </w:tcBorders>
          </w:tcPr>
          <w:p w:rsidR="00934471" w:rsidRPr="00D55DC6" w:rsidRDefault="00934471" w:rsidP="008C418E">
            <w:pPr>
              <w:widowControl/>
              <w:spacing w:line="0" w:lineRule="atLeast"/>
              <w:jc w:val="both"/>
              <w:rPr>
                <w:rFonts w:eastAsia="標楷體"/>
                <w:kern w:val="0"/>
              </w:rPr>
            </w:pPr>
          </w:p>
        </w:tc>
      </w:tr>
      <w:tr w:rsidR="001D0350" w:rsidRPr="00D55DC6" w:rsidTr="005A6FC9">
        <w:trPr>
          <w:trHeight w:val="345"/>
        </w:trPr>
        <w:tc>
          <w:tcPr>
            <w:tcW w:w="400" w:type="dxa"/>
            <w:vMerge/>
            <w:tcBorders>
              <w:top w:val="nil"/>
              <w:left w:val="single" w:sz="8" w:space="0" w:color="auto"/>
              <w:bottom w:val="nil"/>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1102" w:type="dxa"/>
            <w:vMerge/>
            <w:tcBorders>
              <w:top w:val="nil"/>
              <w:left w:val="single" w:sz="8" w:space="0" w:color="auto"/>
              <w:bottom w:val="single" w:sz="4"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2286" w:type="dxa"/>
            <w:tcBorders>
              <w:top w:val="single" w:sz="8" w:space="0" w:color="auto"/>
              <w:left w:val="nil"/>
              <w:bottom w:val="single" w:sz="8" w:space="0" w:color="auto"/>
              <w:right w:val="single" w:sz="8" w:space="0" w:color="auto"/>
            </w:tcBorders>
            <w:shd w:val="clear" w:color="000000" w:fill="auto"/>
          </w:tcPr>
          <w:p w:rsidR="00934471" w:rsidRPr="00D55DC6" w:rsidRDefault="00934471" w:rsidP="008C418E">
            <w:pPr>
              <w:widowControl/>
              <w:spacing w:line="0" w:lineRule="atLeast"/>
              <w:jc w:val="both"/>
              <w:rPr>
                <w:rFonts w:eastAsia="標楷體"/>
                <w:kern w:val="0"/>
                <w:szCs w:val="22"/>
              </w:rPr>
            </w:pPr>
            <w:r w:rsidRPr="00D55DC6">
              <w:rPr>
                <w:rFonts w:eastAsia="標楷體"/>
                <w:kern w:val="0"/>
                <w:szCs w:val="22"/>
              </w:rPr>
              <w:t>三芝石門遊憩區</w:t>
            </w:r>
          </w:p>
        </w:tc>
        <w:tc>
          <w:tcPr>
            <w:tcW w:w="709" w:type="dxa"/>
            <w:tcBorders>
              <w:top w:val="single" w:sz="8" w:space="0" w:color="auto"/>
              <w:left w:val="nil"/>
              <w:bottom w:val="single" w:sz="8" w:space="0" w:color="auto"/>
              <w:right w:val="single" w:sz="8" w:space="0" w:color="auto"/>
            </w:tcBorders>
            <w:shd w:val="clear" w:color="000000" w:fill="auto"/>
          </w:tcPr>
          <w:p w:rsidR="00934471" w:rsidRPr="00D55DC6" w:rsidRDefault="00934471" w:rsidP="008C418E">
            <w:pPr>
              <w:widowControl/>
              <w:spacing w:line="0" w:lineRule="atLeast"/>
              <w:jc w:val="center"/>
              <w:rPr>
                <w:rFonts w:eastAsia="標楷體"/>
                <w:bCs/>
                <w:kern w:val="0"/>
              </w:rPr>
            </w:pPr>
            <w:r w:rsidRPr="00D55DC6">
              <w:rPr>
                <w:rFonts w:eastAsia="標楷體"/>
                <w:bCs/>
                <w:kern w:val="0"/>
              </w:rPr>
              <w:t>0.35</w:t>
            </w:r>
          </w:p>
        </w:tc>
        <w:tc>
          <w:tcPr>
            <w:tcW w:w="709" w:type="dxa"/>
            <w:tcBorders>
              <w:top w:val="single" w:sz="8" w:space="0" w:color="auto"/>
              <w:left w:val="nil"/>
              <w:bottom w:val="single" w:sz="8" w:space="0" w:color="auto"/>
              <w:right w:val="single" w:sz="8" w:space="0" w:color="auto"/>
            </w:tcBorders>
            <w:shd w:val="clear" w:color="000000" w:fill="auto"/>
          </w:tcPr>
          <w:p w:rsidR="00934471" w:rsidRPr="00D55DC6" w:rsidRDefault="00934471" w:rsidP="008C418E">
            <w:pPr>
              <w:widowControl/>
              <w:spacing w:line="0" w:lineRule="atLeast"/>
              <w:jc w:val="center"/>
              <w:rPr>
                <w:rFonts w:eastAsia="標楷體"/>
                <w:bCs/>
                <w:kern w:val="0"/>
              </w:rPr>
            </w:pPr>
            <w:r w:rsidRPr="00D55DC6">
              <w:rPr>
                <w:rFonts w:eastAsia="標楷體"/>
                <w:bCs/>
                <w:kern w:val="0"/>
              </w:rPr>
              <w:t>0.50</w:t>
            </w:r>
          </w:p>
        </w:tc>
        <w:tc>
          <w:tcPr>
            <w:tcW w:w="709" w:type="dxa"/>
            <w:tcBorders>
              <w:top w:val="single" w:sz="8" w:space="0" w:color="auto"/>
              <w:left w:val="nil"/>
              <w:bottom w:val="single" w:sz="8" w:space="0" w:color="auto"/>
              <w:right w:val="single" w:sz="8" w:space="0" w:color="auto"/>
            </w:tcBorders>
            <w:shd w:val="clear" w:color="000000" w:fill="auto"/>
          </w:tcPr>
          <w:p w:rsidR="00934471" w:rsidRPr="00D55DC6" w:rsidRDefault="00934471" w:rsidP="008C418E">
            <w:pPr>
              <w:widowControl/>
              <w:spacing w:line="0" w:lineRule="atLeast"/>
              <w:jc w:val="center"/>
              <w:rPr>
                <w:rFonts w:eastAsia="標楷體"/>
                <w:bCs/>
                <w:kern w:val="0"/>
              </w:rPr>
            </w:pPr>
            <w:r w:rsidRPr="00D55DC6">
              <w:rPr>
                <w:rFonts w:eastAsia="標楷體"/>
                <w:bCs/>
                <w:kern w:val="0"/>
              </w:rPr>
              <w:t>0.37</w:t>
            </w:r>
          </w:p>
        </w:tc>
        <w:tc>
          <w:tcPr>
            <w:tcW w:w="708" w:type="dxa"/>
            <w:tcBorders>
              <w:top w:val="single" w:sz="8" w:space="0" w:color="auto"/>
              <w:left w:val="nil"/>
              <w:bottom w:val="single" w:sz="8" w:space="0" w:color="auto"/>
              <w:right w:val="single" w:sz="8" w:space="0" w:color="auto"/>
            </w:tcBorders>
            <w:shd w:val="clear" w:color="000000" w:fill="auto"/>
          </w:tcPr>
          <w:p w:rsidR="00934471" w:rsidRPr="00D55DC6" w:rsidRDefault="00934471" w:rsidP="008C418E">
            <w:pPr>
              <w:widowControl/>
              <w:spacing w:line="0" w:lineRule="atLeast"/>
              <w:jc w:val="center"/>
              <w:rPr>
                <w:rFonts w:eastAsia="標楷體"/>
                <w:bCs/>
                <w:kern w:val="0"/>
              </w:rPr>
            </w:pPr>
            <w:r w:rsidRPr="00D55DC6">
              <w:rPr>
                <w:rFonts w:eastAsia="標楷體"/>
                <w:bCs/>
                <w:kern w:val="0"/>
              </w:rPr>
              <w:t>0.53</w:t>
            </w:r>
          </w:p>
        </w:tc>
        <w:tc>
          <w:tcPr>
            <w:tcW w:w="851"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1.75</w:t>
            </w:r>
          </w:p>
        </w:tc>
        <w:tc>
          <w:tcPr>
            <w:tcW w:w="1984" w:type="dxa"/>
            <w:tcBorders>
              <w:top w:val="single" w:sz="8" w:space="0" w:color="auto"/>
              <w:left w:val="single" w:sz="8" w:space="0" w:color="auto"/>
              <w:bottom w:val="single" w:sz="8" w:space="0" w:color="auto"/>
              <w:right w:val="single" w:sz="8" w:space="0" w:color="auto"/>
            </w:tcBorders>
          </w:tcPr>
          <w:p w:rsidR="00934471" w:rsidRPr="00D55DC6" w:rsidRDefault="00934471" w:rsidP="008C418E">
            <w:pPr>
              <w:widowControl/>
              <w:spacing w:line="0" w:lineRule="atLeast"/>
              <w:rPr>
                <w:rFonts w:eastAsia="標楷體"/>
                <w:kern w:val="0"/>
              </w:rPr>
            </w:pPr>
            <w:r w:rsidRPr="00D55DC6">
              <w:rPr>
                <w:rFonts w:eastAsia="標楷體"/>
                <w:kern w:val="0"/>
              </w:rPr>
              <w:t>淺水灣資訊服務站建置、三芝遊憩區既有設施改善工程</w:t>
            </w:r>
            <w:r w:rsidRPr="00D55DC6">
              <w:rPr>
                <w:rFonts w:eastAsia="標楷體"/>
                <w:kern w:val="0"/>
              </w:rPr>
              <w:br/>
            </w:r>
            <w:r w:rsidRPr="00D55DC6">
              <w:rPr>
                <w:rFonts w:eastAsia="標楷體"/>
                <w:kern w:val="0"/>
              </w:rPr>
              <w:t>、石門洞及富貴角周邊服務設施改善。</w:t>
            </w:r>
          </w:p>
        </w:tc>
      </w:tr>
      <w:tr w:rsidR="001D0350" w:rsidRPr="00D55DC6" w:rsidTr="005A6FC9">
        <w:trPr>
          <w:trHeight w:val="292"/>
        </w:trPr>
        <w:tc>
          <w:tcPr>
            <w:tcW w:w="400" w:type="dxa"/>
            <w:vMerge/>
            <w:tcBorders>
              <w:top w:val="nil"/>
              <w:left w:val="single" w:sz="8" w:space="0" w:color="auto"/>
              <w:bottom w:val="nil"/>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1102" w:type="dxa"/>
            <w:vMerge/>
            <w:tcBorders>
              <w:top w:val="nil"/>
              <w:left w:val="single" w:sz="8" w:space="0" w:color="auto"/>
              <w:bottom w:val="single" w:sz="4"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2286" w:type="dxa"/>
            <w:tcBorders>
              <w:top w:val="nil"/>
              <w:left w:val="nil"/>
              <w:bottom w:val="single" w:sz="8" w:space="0" w:color="auto"/>
              <w:right w:val="single" w:sz="8" w:space="0" w:color="auto"/>
            </w:tcBorders>
          </w:tcPr>
          <w:p w:rsidR="00934471" w:rsidRPr="00D55DC6" w:rsidRDefault="00934471" w:rsidP="008C418E">
            <w:pPr>
              <w:spacing w:line="0" w:lineRule="atLeast"/>
              <w:rPr>
                <w:rFonts w:eastAsia="標楷體"/>
                <w:kern w:val="0"/>
              </w:rPr>
            </w:pPr>
            <w:r w:rsidRPr="00D55DC6">
              <w:rPr>
                <w:rFonts w:eastAsia="標楷體"/>
                <w:kern w:val="0"/>
              </w:rPr>
              <w:t>觀音山遊憩區</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0.15</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0.15</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0.25</w:t>
            </w:r>
          </w:p>
        </w:tc>
        <w:tc>
          <w:tcPr>
            <w:tcW w:w="708"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0.25</w:t>
            </w:r>
          </w:p>
        </w:tc>
        <w:tc>
          <w:tcPr>
            <w:tcW w:w="851"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0.80</w:t>
            </w:r>
          </w:p>
        </w:tc>
        <w:tc>
          <w:tcPr>
            <w:tcW w:w="1984" w:type="dxa"/>
            <w:tcBorders>
              <w:top w:val="single" w:sz="8" w:space="0" w:color="auto"/>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r w:rsidRPr="00D55DC6">
              <w:rPr>
                <w:rFonts w:eastAsia="標楷體"/>
                <w:kern w:val="0"/>
              </w:rPr>
              <w:t>觀音山遊憩景點服務設施、步道及環境景觀改善。</w:t>
            </w:r>
          </w:p>
        </w:tc>
      </w:tr>
      <w:tr w:rsidR="001D0350" w:rsidRPr="00D55DC6" w:rsidTr="005A6FC9">
        <w:trPr>
          <w:trHeight w:val="183"/>
        </w:trPr>
        <w:tc>
          <w:tcPr>
            <w:tcW w:w="400" w:type="dxa"/>
            <w:vMerge/>
            <w:tcBorders>
              <w:top w:val="nil"/>
              <w:left w:val="single" w:sz="8" w:space="0" w:color="auto"/>
              <w:bottom w:val="nil"/>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1102" w:type="dxa"/>
            <w:vMerge/>
            <w:tcBorders>
              <w:top w:val="nil"/>
              <w:left w:val="single" w:sz="8" w:space="0" w:color="auto"/>
              <w:bottom w:val="single" w:sz="4"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2286" w:type="dxa"/>
            <w:tcBorders>
              <w:top w:val="nil"/>
              <w:left w:val="nil"/>
              <w:bottom w:val="single" w:sz="8" w:space="0" w:color="auto"/>
              <w:right w:val="single" w:sz="8" w:space="0" w:color="auto"/>
            </w:tcBorders>
          </w:tcPr>
          <w:p w:rsidR="00934471" w:rsidRPr="00D55DC6" w:rsidRDefault="00934471" w:rsidP="008C418E">
            <w:pPr>
              <w:spacing w:line="0" w:lineRule="atLeast"/>
              <w:rPr>
                <w:rFonts w:eastAsia="標楷體"/>
              </w:rPr>
            </w:pPr>
            <w:r w:rsidRPr="00D55DC6">
              <w:rPr>
                <w:rFonts w:eastAsia="標楷體"/>
              </w:rPr>
              <w:t>自行車路網延伸及路廊景觀改善</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szCs w:val="22"/>
              </w:rPr>
            </w:pPr>
            <w:r w:rsidRPr="00D55DC6">
              <w:rPr>
                <w:rFonts w:eastAsia="標楷體"/>
                <w:kern w:val="0"/>
                <w:szCs w:val="22"/>
              </w:rPr>
              <w:t>0.05</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szCs w:val="22"/>
              </w:rPr>
            </w:pPr>
            <w:r w:rsidRPr="00D55DC6">
              <w:rPr>
                <w:rFonts w:eastAsia="標楷體"/>
                <w:kern w:val="0"/>
                <w:szCs w:val="22"/>
              </w:rPr>
              <w:t>0.05</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szCs w:val="22"/>
              </w:rPr>
            </w:pPr>
            <w:r w:rsidRPr="00D55DC6">
              <w:rPr>
                <w:rFonts w:eastAsia="標楷體"/>
                <w:kern w:val="0"/>
                <w:szCs w:val="22"/>
              </w:rPr>
              <w:t>0.05</w:t>
            </w:r>
          </w:p>
        </w:tc>
        <w:tc>
          <w:tcPr>
            <w:tcW w:w="708"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szCs w:val="22"/>
              </w:rPr>
            </w:pPr>
            <w:r w:rsidRPr="00D55DC6">
              <w:rPr>
                <w:rFonts w:eastAsia="標楷體"/>
                <w:kern w:val="0"/>
                <w:szCs w:val="22"/>
              </w:rPr>
              <w:t>0.05</w:t>
            </w:r>
          </w:p>
        </w:tc>
        <w:tc>
          <w:tcPr>
            <w:tcW w:w="851"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bCs/>
                <w:kern w:val="0"/>
                <w:szCs w:val="22"/>
              </w:rPr>
            </w:pPr>
            <w:r w:rsidRPr="00D55DC6">
              <w:rPr>
                <w:rFonts w:eastAsia="標楷體"/>
                <w:b/>
                <w:bCs/>
                <w:kern w:val="0"/>
                <w:szCs w:val="22"/>
              </w:rPr>
              <w:t>0.20</w:t>
            </w:r>
          </w:p>
        </w:tc>
        <w:tc>
          <w:tcPr>
            <w:tcW w:w="1984" w:type="dxa"/>
            <w:tcBorders>
              <w:top w:val="single" w:sz="8" w:space="0" w:color="auto"/>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r w:rsidRPr="00D55DC6">
              <w:rPr>
                <w:rFonts w:eastAsia="標楷體"/>
                <w:kern w:val="0"/>
              </w:rPr>
              <w:t>延伸北海岸自行車道路網建置及路廊景觀改善。</w:t>
            </w:r>
          </w:p>
        </w:tc>
      </w:tr>
      <w:tr w:rsidR="001D0350" w:rsidRPr="00D55DC6" w:rsidTr="005A6FC9">
        <w:trPr>
          <w:trHeight w:val="345"/>
        </w:trPr>
        <w:tc>
          <w:tcPr>
            <w:tcW w:w="400" w:type="dxa"/>
            <w:vMerge/>
            <w:tcBorders>
              <w:top w:val="nil"/>
              <w:left w:val="single" w:sz="8" w:space="0" w:color="auto"/>
              <w:bottom w:val="nil"/>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1102" w:type="dxa"/>
            <w:vMerge/>
            <w:tcBorders>
              <w:top w:val="nil"/>
              <w:left w:val="single" w:sz="8" w:space="0" w:color="auto"/>
              <w:bottom w:val="single" w:sz="4"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2286" w:type="dxa"/>
            <w:tcBorders>
              <w:top w:val="single" w:sz="8" w:space="0" w:color="auto"/>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both"/>
              <w:rPr>
                <w:rFonts w:eastAsia="標楷體"/>
                <w:kern w:val="0"/>
              </w:rPr>
            </w:pPr>
            <w:r w:rsidRPr="00D55DC6">
              <w:rPr>
                <w:rFonts w:eastAsia="標楷體"/>
                <w:kern w:val="0"/>
                <w:szCs w:val="22"/>
              </w:rPr>
              <w:t>(4)</w:t>
            </w:r>
            <w:r w:rsidRPr="00D55DC6">
              <w:rPr>
                <w:rFonts w:eastAsia="標楷體"/>
                <w:kern w:val="0"/>
                <w:szCs w:val="22"/>
              </w:rPr>
              <w:t>環境及設施整修</w:t>
            </w:r>
          </w:p>
        </w:tc>
        <w:tc>
          <w:tcPr>
            <w:tcW w:w="709"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kern w:val="0"/>
              </w:rPr>
            </w:pPr>
            <w:r w:rsidRPr="00D55DC6">
              <w:rPr>
                <w:rFonts w:eastAsia="標楷體"/>
                <w:b/>
                <w:kern w:val="0"/>
              </w:rPr>
              <w:t>0.24</w:t>
            </w:r>
          </w:p>
        </w:tc>
        <w:tc>
          <w:tcPr>
            <w:tcW w:w="709"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kern w:val="0"/>
              </w:rPr>
            </w:pPr>
            <w:r w:rsidRPr="00D55DC6">
              <w:rPr>
                <w:rFonts w:eastAsia="標楷體"/>
                <w:b/>
                <w:kern w:val="0"/>
              </w:rPr>
              <w:t>0.24</w:t>
            </w:r>
          </w:p>
        </w:tc>
        <w:tc>
          <w:tcPr>
            <w:tcW w:w="709"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kern w:val="0"/>
              </w:rPr>
            </w:pPr>
            <w:r w:rsidRPr="00D55DC6">
              <w:rPr>
                <w:rFonts w:eastAsia="標楷體"/>
                <w:b/>
                <w:kern w:val="0"/>
              </w:rPr>
              <w:t>0.24</w:t>
            </w:r>
          </w:p>
        </w:tc>
        <w:tc>
          <w:tcPr>
            <w:tcW w:w="708"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kern w:val="0"/>
              </w:rPr>
            </w:pPr>
            <w:r w:rsidRPr="00D55DC6">
              <w:rPr>
                <w:rFonts w:eastAsia="標楷體"/>
                <w:b/>
                <w:kern w:val="0"/>
              </w:rPr>
              <w:t>0.24</w:t>
            </w:r>
          </w:p>
        </w:tc>
        <w:tc>
          <w:tcPr>
            <w:tcW w:w="851"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0.96</w:t>
            </w:r>
          </w:p>
        </w:tc>
        <w:tc>
          <w:tcPr>
            <w:tcW w:w="1984" w:type="dxa"/>
            <w:tcBorders>
              <w:top w:val="single" w:sz="8" w:space="0" w:color="auto"/>
              <w:left w:val="single" w:sz="8" w:space="0" w:color="auto"/>
              <w:bottom w:val="single" w:sz="8" w:space="0" w:color="000000"/>
              <w:right w:val="single" w:sz="8" w:space="0" w:color="auto"/>
            </w:tcBorders>
          </w:tcPr>
          <w:p w:rsidR="00934471" w:rsidRPr="00D55DC6" w:rsidRDefault="00934471" w:rsidP="008C418E">
            <w:pPr>
              <w:widowControl/>
              <w:spacing w:line="0" w:lineRule="atLeast"/>
              <w:rPr>
                <w:rFonts w:eastAsia="標楷體"/>
                <w:kern w:val="0"/>
              </w:rPr>
            </w:pPr>
          </w:p>
        </w:tc>
      </w:tr>
      <w:tr w:rsidR="001D0350" w:rsidRPr="00D55DC6" w:rsidTr="005A6FC9">
        <w:trPr>
          <w:trHeight w:val="345"/>
        </w:trPr>
        <w:tc>
          <w:tcPr>
            <w:tcW w:w="400" w:type="dxa"/>
            <w:vMerge/>
            <w:tcBorders>
              <w:top w:val="nil"/>
              <w:left w:val="single" w:sz="8" w:space="0" w:color="auto"/>
              <w:bottom w:val="nil"/>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1102" w:type="dxa"/>
            <w:vMerge/>
            <w:tcBorders>
              <w:top w:val="nil"/>
              <w:left w:val="single" w:sz="8" w:space="0" w:color="auto"/>
              <w:bottom w:val="single" w:sz="4"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2286"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both"/>
              <w:rPr>
                <w:rFonts w:eastAsia="標楷體"/>
                <w:kern w:val="0"/>
              </w:rPr>
            </w:pPr>
            <w:r w:rsidRPr="00D55DC6">
              <w:rPr>
                <w:rFonts w:eastAsia="標楷體"/>
                <w:kern w:val="0"/>
                <w:szCs w:val="22"/>
              </w:rPr>
              <w:t>旅遊服務系統</w:t>
            </w:r>
          </w:p>
        </w:tc>
        <w:tc>
          <w:tcPr>
            <w:tcW w:w="709" w:type="dxa"/>
            <w:tcBorders>
              <w:top w:val="nil"/>
              <w:left w:val="nil"/>
              <w:bottom w:val="single" w:sz="8" w:space="0" w:color="auto"/>
              <w:right w:val="single" w:sz="8" w:space="0" w:color="auto"/>
            </w:tcBorders>
            <w:vAlign w:val="center"/>
          </w:tcPr>
          <w:p w:rsidR="00934471" w:rsidRPr="00D55DC6" w:rsidRDefault="00934471" w:rsidP="008C418E">
            <w:pPr>
              <w:widowControl/>
              <w:spacing w:line="0" w:lineRule="atLeast"/>
              <w:jc w:val="center"/>
              <w:rPr>
                <w:rFonts w:eastAsia="標楷體"/>
                <w:kern w:val="0"/>
              </w:rPr>
            </w:pPr>
            <w:r w:rsidRPr="00D55DC6">
              <w:rPr>
                <w:rFonts w:eastAsia="標楷體"/>
                <w:kern w:val="0"/>
              </w:rPr>
              <w:t>0.00</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0.00</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0.00</w:t>
            </w:r>
          </w:p>
        </w:tc>
        <w:tc>
          <w:tcPr>
            <w:tcW w:w="708"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0.00</w:t>
            </w:r>
          </w:p>
        </w:tc>
        <w:tc>
          <w:tcPr>
            <w:tcW w:w="851"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0.00</w:t>
            </w:r>
          </w:p>
        </w:tc>
        <w:tc>
          <w:tcPr>
            <w:tcW w:w="1984" w:type="dxa"/>
            <w:tcBorders>
              <w:top w:val="single" w:sz="8" w:space="0" w:color="auto"/>
              <w:left w:val="single" w:sz="8" w:space="0" w:color="auto"/>
              <w:bottom w:val="single" w:sz="8" w:space="0" w:color="000000"/>
              <w:right w:val="single" w:sz="8" w:space="0" w:color="auto"/>
            </w:tcBorders>
            <w:vAlign w:val="center"/>
          </w:tcPr>
          <w:p w:rsidR="00934471" w:rsidRPr="00D55DC6" w:rsidRDefault="00934471" w:rsidP="008C418E">
            <w:pPr>
              <w:widowControl/>
              <w:spacing w:line="0" w:lineRule="atLeast"/>
              <w:rPr>
                <w:rFonts w:eastAsia="標楷體"/>
                <w:kern w:val="0"/>
              </w:rPr>
            </w:pPr>
          </w:p>
        </w:tc>
      </w:tr>
      <w:tr w:rsidR="001D0350" w:rsidRPr="00D55DC6" w:rsidTr="005A6FC9">
        <w:trPr>
          <w:trHeight w:val="322"/>
        </w:trPr>
        <w:tc>
          <w:tcPr>
            <w:tcW w:w="400" w:type="dxa"/>
            <w:vMerge/>
            <w:tcBorders>
              <w:top w:val="nil"/>
              <w:left w:val="single" w:sz="8" w:space="0" w:color="auto"/>
              <w:bottom w:val="nil"/>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1102" w:type="dxa"/>
            <w:vMerge/>
            <w:tcBorders>
              <w:top w:val="nil"/>
              <w:left w:val="single" w:sz="8" w:space="0" w:color="auto"/>
              <w:bottom w:val="single" w:sz="4"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2286"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both"/>
              <w:rPr>
                <w:rFonts w:eastAsia="標楷體"/>
                <w:kern w:val="0"/>
              </w:rPr>
            </w:pPr>
            <w:r w:rsidRPr="00D55DC6">
              <w:rPr>
                <w:rFonts w:eastAsia="標楷體"/>
                <w:kern w:val="0"/>
                <w:szCs w:val="22"/>
              </w:rPr>
              <w:t>全區環境植栽綠美化</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0.00</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0.00</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0.00</w:t>
            </w:r>
          </w:p>
        </w:tc>
        <w:tc>
          <w:tcPr>
            <w:tcW w:w="708"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0.00</w:t>
            </w:r>
          </w:p>
        </w:tc>
        <w:tc>
          <w:tcPr>
            <w:tcW w:w="851"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0.00</w:t>
            </w:r>
          </w:p>
        </w:tc>
        <w:tc>
          <w:tcPr>
            <w:tcW w:w="1984" w:type="dxa"/>
            <w:tcBorders>
              <w:top w:val="single" w:sz="8" w:space="0" w:color="auto"/>
              <w:left w:val="single" w:sz="8" w:space="0" w:color="auto"/>
              <w:bottom w:val="single" w:sz="8" w:space="0" w:color="000000"/>
              <w:right w:val="single" w:sz="8" w:space="0" w:color="auto"/>
            </w:tcBorders>
            <w:vAlign w:val="center"/>
          </w:tcPr>
          <w:p w:rsidR="00934471" w:rsidRPr="00D55DC6" w:rsidRDefault="00934471" w:rsidP="008C418E">
            <w:pPr>
              <w:widowControl/>
              <w:spacing w:line="0" w:lineRule="atLeast"/>
              <w:rPr>
                <w:rFonts w:eastAsia="標楷體"/>
                <w:kern w:val="0"/>
              </w:rPr>
            </w:pPr>
          </w:p>
        </w:tc>
      </w:tr>
      <w:tr w:rsidR="001D0350" w:rsidRPr="00D55DC6" w:rsidTr="005A6FC9">
        <w:trPr>
          <w:trHeight w:val="345"/>
        </w:trPr>
        <w:tc>
          <w:tcPr>
            <w:tcW w:w="400" w:type="dxa"/>
            <w:vMerge/>
            <w:tcBorders>
              <w:top w:val="nil"/>
              <w:left w:val="single" w:sz="8" w:space="0" w:color="auto"/>
              <w:bottom w:val="nil"/>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1102" w:type="dxa"/>
            <w:vMerge/>
            <w:tcBorders>
              <w:top w:val="nil"/>
              <w:left w:val="single" w:sz="8" w:space="0" w:color="auto"/>
              <w:bottom w:val="single" w:sz="4"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2286"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both"/>
              <w:rPr>
                <w:rFonts w:eastAsia="標楷體"/>
                <w:kern w:val="0"/>
              </w:rPr>
            </w:pPr>
            <w:r w:rsidRPr="00D55DC6">
              <w:rPr>
                <w:rFonts w:eastAsia="標楷體"/>
                <w:kern w:val="0"/>
                <w:szCs w:val="22"/>
              </w:rPr>
              <w:t>環境維護及設施維持</w:t>
            </w:r>
          </w:p>
        </w:tc>
        <w:tc>
          <w:tcPr>
            <w:tcW w:w="709" w:type="dxa"/>
            <w:tcBorders>
              <w:top w:val="nil"/>
              <w:left w:val="nil"/>
              <w:bottom w:val="single" w:sz="8" w:space="0" w:color="auto"/>
              <w:right w:val="single" w:sz="8" w:space="0" w:color="auto"/>
            </w:tcBorders>
            <w:vAlign w:val="center"/>
          </w:tcPr>
          <w:p w:rsidR="00934471" w:rsidRPr="00D55DC6" w:rsidRDefault="00934471" w:rsidP="008C418E">
            <w:pPr>
              <w:widowControl/>
              <w:spacing w:line="0" w:lineRule="atLeast"/>
              <w:jc w:val="center"/>
              <w:rPr>
                <w:rFonts w:eastAsia="標楷體"/>
                <w:kern w:val="0"/>
              </w:rPr>
            </w:pPr>
            <w:r w:rsidRPr="00D55DC6">
              <w:rPr>
                <w:rFonts w:eastAsia="標楷體"/>
                <w:kern w:val="0"/>
              </w:rPr>
              <w:t>0.14</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0.14</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0.14</w:t>
            </w:r>
          </w:p>
        </w:tc>
        <w:tc>
          <w:tcPr>
            <w:tcW w:w="708"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0.14</w:t>
            </w:r>
          </w:p>
        </w:tc>
        <w:tc>
          <w:tcPr>
            <w:tcW w:w="851"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0.56</w:t>
            </w:r>
          </w:p>
        </w:tc>
        <w:tc>
          <w:tcPr>
            <w:tcW w:w="1984" w:type="dxa"/>
            <w:tcBorders>
              <w:top w:val="single" w:sz="8" w:space="0" w:color="auto"/>
              <w:left w:val="single" w:sz="8" w:space="0" w:color="auto"/>
              <w:bottom w:val="single" w:sz="8" w:space="0" w:color="000000"/>
              <w:right w:val="single" w:sz="8" w:space="0" w:color="auto"/>
            </w:tcBorders>
            <w:vAlign w:val="center"/>
          </w:tcPr>
          <w:p w:rsidR="00934471" w:rsidRPr="00D55DC6" w:rsidRDefault="00934471" w:rsidP="008C418E">
            <w:pPr>
              <w:widowControl/>
              <w:spacing w:line="0" w:lineRule="atLeast"/>
              <w:rPr>
                <w:rFonts w:eastAsia="標楷體"/>
                <w:kern w:val="0"/>
              </w:rPr>
            </w:pPr>
          </w:p>
        </w:tc>
      </w:tr>
      <w:tr w:rsidR="001D0350" w:rsidRPr="00D55DC6" w:rsidTr="005A6FC9">
        <w:trPr>
          <w:trHeight w:val="645"/>
        </w:trPr>
        <w:tc>
          <w:tcPr>
            <w:tcW w:w="400" w:type="dxa"/>
            <w:vMerge/>
            <w:tcBorders>
              <w:top w:val="nil"/>
              <w:left w:val="single" w:sz="8" w:space="0" w:color="auto"/>
              <w:bottom w:val="nil"/>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1102" w:type="dxa"/>
            <w:vMerge/>
            <w:tcBorders>
              <w:top w:val="nil"/>
              <w:left w:val="single" w:sz="8" w:space="0" w:color="auto"/>
              <w:bottom w:val="single" w:sz="4"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2286"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both"/>
              <w:rPr>
                <w:rFonts w:eastAsia="標楷體"/>
                <w:kern w:val="0"/>
              </w:rPr>
            </w:pPr>
            <w:r w:rsidRPr="00D55DC6">
              <w:rPr>
                <w:rFonts w:eastAsia="標楷體"/>
                <w:kern w:val="0"/>
                <w:szCs w:val="22"/>
              </w:rPr>
              <w:t>全區災害復舊及一般零星工程</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0.10</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0.10</w:t>
            </w:r>
          </w:p>
        </w:tc>
        <w:tc>
          <w:tcPr>
            <w:tcW w:w="709"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0.10</w:t>
            </w:r>
          </w:p>
        </w:tc>
        <w:tc>
          <w:tcPr>
            <w:tcW w:w="708" w:type="dxa"/>
            <w:tcBorders>
              <w:top w:val="nil"/>
              <w:left w:val="nil"/>
              <w:bottom w:val="single" w:sz="8" w:space="0" w:color="auto"/>
              <w:right w:val="single" w:sz="8" w:space="0" w:color="auto"/>
            </w:tcBorders>
          </w:tcPr>
          <w:p w:rsidR="00934471" w:rsidRPr="00D55DC6" w:rsidRDefault="00934471" w:rsidP="008C418E">
            <w:pPr>
              <w:widowControl/>
              <w:spacing w:line="0" w:lineRule="atLeast"/>
              <w:jc w:val="center"/>
              <w:rPr>
                <w:rFonts w:eastAsia="標楷體"/>
                <w:kern w:val="0"/>
              </w:rPr>
            </w:pPr>
            <w:r w:rsidRPr="00D55DC6">
              <w:rPr>
                <w:rFonts w:eastAsia="標楷體"/>
                <w:kern w:val="0"/>
              </w:rPr>
              <w:t>0.10</w:t>
            </w:r>
          </w:p>
        </w:tc>
        <w:tc>
          <w:tcPr>
            <w:tcW w:w="851"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0.40</w:t>
            </w:r>
          </w:p>
        </w:tc>
        <w:tc>
          <w:tcPr>
            <w:tcW w:w="1984" w:type="dxa"/>
            <w:tcBorders>
              <w:top w:val="single" w:sz="8" w:space="0" w:color="auto"/>
              <w:left w:val="single" w:sz="8" w:space="0" w:color="auto"/>
              <w:bottom w:val="single" w:sz="8" w:space="0" w:color="000000"/>
              <w:right w:val="single" w:sz="8" w:space="0" w:color="auto"/>
            </w:tcBorders>
            <w:vAlign w:val="center"/>
          </w:tcPr>
          <w:p w:rsidR="00934471" w:rsidRPr="00D55DC6" w:rsidRDefault="00934471" w:rsidP="008C418E">
            <w:pPr>
              <w:widowControl/>
              <w:spacing w:line="0" w:lineRule="atLeast"/>
              <w:rPr>
                <w:rFonts w:eastAsia="標楷體"/>
                <w:kern w:val="0"/>
              </w:rPr>
            </w:pPr>
          </w:p>
        </w:tc>
      </w:tr>
      <w:tr w:rsidR="001D0350" w:rsidRPr="00D55DC6" w:rsidTr="005A6FC9">
        <w:trPr>
          <w:trHeight w:val="1095"/>
        </w:trPr>
        <w:tc>
          <w:tcPr>
            <w:tcW w:w="400" w:type="dxa"/>
            <w:vMerge/>
            <w:tcBorders>
              <w:top w:val="nil"/>
              <w:left w:val="single" w:sz="8" w:space="0" w:color="auto"/>
              <w:bottom w:val="nil"/>
              <w:right w:val="single" w:sz="8" w:space="0" w:color="auto"/>
            </w:tcBorders>
            <w:vAlign w:val="center"/>
          </w:tcPr>
          <w:p w:rsidR="00934471" w:rsidRPr="00D55DC6" w:rsidRDefault="00934471" w:rsidP="008C418E">
            <w:pPr>
              <w:widowControl/>
              <w:spacing w:line="0" w:lineRule="atLeast"/>
              <w:rPr>
                <w:rFonts w:eastAsia="標楷體"/>
                <w:kern w:val="0"/>
              </w:rPr>
            </w:pPr>
          </w:p>
        </w:tc>
        <w:tc>
          <w:tcPr>
            <w:tcW w:w="891" w:type="dxa"/>
            <w:tcBorders>
              <w:top w:val="nil"/>
              <w:left w:val="nil"/>
              <w:bottom w:val="nil"/>
              <w:right w:val="single" w:sz="8" w:space="0" w:color="auto"/>
            </w:tcBorders>
            <w:shd w:val="clear" w:color="000000" w:fill="CCFFCC"/>
          </w:tcPr>
          <w:p w:rsidR="00934471" w:rsidRPr="00D55DC6" w:rsidRDefault="00934471" w:rsidP="008C418E">
            <w:pPr>
              <w:widowControl/>
              <w:spacing w:line="0" w:lineRule="atLeast"/>
              <w:jc w:val="center"/>
              <w:rPr>
                <w:rFonts w:eastAsia="標楷體"/>
                <w:kern w:val="0"/>
                <w:szCs w:val="22"/>
              </w:rPr>
            </w:pPr>
            <w:r w:rsidRPr="00D55DC6">
              <w:rPr>
                <w:rFonts w:eastAsia="標楷體"/>
                <w:kern w:val="0"/>
                <w:szCs w:val="22"/>
              </w:rPr>
              <w:t>0400</w:t>
            </w:r>
          </w:p>
          <w:p w:rsidR="00934471" w:rsidRPr="00D55DC6" w:rsidRDefault="00934471" w:rsidP="008C418E">
            <w:pPr>
              <w:widowControl/>
              <w:spacing w:line="0" w:lineRule="atLeast"/>
              <w:jc w:val="center"/>
              <w:rPr>
                <w:rFonts w:eastAsia="標楷體"/>
                <w:kern w:val="0"/>
              </w:rPr>
            </w:pPr>
            <w:r w:rsidRPr="00D55DC6">
              <w:rPr>
                <w:rFonts w:eastAsia="標楷體"/>
                <w:kern w:val="0"/>
                <w:szCs w:val="22"/>
              </w:rPr>
              <w:t>獎補助費</w:t>
            </w:r>
          </w:p>
        </w:tc>
        <w:tc>
          <w:tcPr>
            <w:tcW w:w="1102" w:type="dxa"/>
            <w:tcBorders>
              <w:top w:val="single" w:sz="4" w:space="0" w:color="auto"/>
              <w:left w:val="nil"/>
              <w:bottom w:val="nil"/>
              <w:right w:val="single" w:sz="8" w:space="0" w:color="auto"/>
            </w:tcBorders>
            <w:shd w:val="clear" w:color="000000" w:fill="CCFFCC"/>
          </w:tcPr>
          <w:p w:rsidR="00934471" w:rsidRPr="00D55DC6" w:rsidRDefault="00934471" w:rsidP="008C418E">
            <w:pPr>
              <w:widowControl/>
              <w:spacing w:line="0" w:lineRule="atLeast"/>
              <w:rPr>
                <w:rFonts w:eastAsia="標楷體"/>
                <w:kern w:val="0"/>
                <w:szCs w:val="22"/>
              </w:rPr>
            </w:pPr>
            <w:r w:rsidRPr="00D55DC6">
              <w:rPr>
                <w:rFonts w:eastAsia="標楷體"/>
                <w:kern w:val="0"/>
                <w:szCs w:val="22"/>
              </w:rPr>
              <w:t>0476</w:t>
            </w:r>
          </w:p>
          <w:p w:rsidR="00934471" w:rsidRPr="00D55DC6" w:rsidRDefault="00934471" w:rsidP="008C418E">
            <w:pPr>
              <w:widowControl/>
              <w:spacing w:line="0" w:lineRule="atLeast"/>
              <w:rPr>
                <w:rFonts w:eastAsia="標楷體"/>
                <w:kern w:val="0"/>
              </w:rPr>
            </w:pPr>
            <w:r w:rsidRPr="00D55DC6">
              <w:rPr>
                <w:rFonts w:eastAsia="標楷體"/>
                <w:kern w:val="0"/>
                <w:szCs w:val="22"/>
              </w:rPr>
              <w:t>其他補助及捐助</w:t>
            </w:r>
          </w:p>
        </w:tc>
        <w:tc>
          <w:tcPr>
            <w:tcW w:w="2286" w:type="dxa"/>
            <w:tcBorders>
              <w:top w:val="nil"/>
              <w:left w:val="nil"/>
              <w:bottom w:val="single" w:sz="8" w:space="0" w:color="auto"/>
              <w:right w:val="single" w:sz="8" w:space="0" w:color="auto"/>
            </w:tcBorders>
            <w:shd w:val="clear" w:color="000000" w:fill="CCFFCC"/>
            <w:vAlign w:val="center"/>
          </w:tcPr>
          <w:p w:rsidR="00934471" w:rsidRPr="00D55DC6" w:rsidRDefault="00934471" w:rsidP="008C418E">
            <w:pPr>
              <w:widowControl/>
              <w:spacing w:line="0" w:lineRule="atLeast"/>
              <w:rPr>
                <w:rFonts w:eastAsia="標楷體"/>
                <w:b/>
                <w:bCs/>
                <w:kern w:val="0"/>
              </w:rPr>
            </w:pPr>
            <w:r w:rsidRPr="00D55DC6">
              <w:rPr>
                <w:rFonts w:eastAsia="標楷體"/>
                <w:b/>
                <w:bCs/>
                <w:kern w:val="0"/>
                <w:szCs w:val="22"/>
              </w:rPr>
              <w:t>補助經費</w:t>
            </w:r>
          </w:p>
        </w:tc>
        <w:tc>
          <w:tcPr>
            <w:tcW w:w="709" w:type="dxa"/>
            <w:tcBorders>
              <w:top w:val="nil"/>
              <w:left w:val="nil"/>
              <w:bottom w:val="single" w:sz="8" w:space="0" w:color="auto"/>
              <w:right w:val="single" w:sz="8" w:space="0" w:color="auto"/>
            </w:tcBorders>
            <w:shd w:val="clear" w:color="000000" w:fill="CCFFCC"/>
            <w:vAlign w:val="center"/>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0.00</w:t>
            </w:r>
          </w:p>
        </w:tc>
        <w:tc>
          <w:tcPr>
            <w:tcW w:w="709" w:type="dxa"/>
            <w:tcBorders>
              <w:top w:val="nil"/>
              <w:left w:val="nil"/>
              <w:bottom w:val="single" w:sz="8" w:space="0" w:color="auto"/>
              <w:right w:val="single" w:sz="8" w:space="0" w:color="auto"/>
            </w:tcBorders>
            <w:shd w:val="clear" w:color="000000" w:fill="CCFFCC"/>
            <w:vAlign w:val="center"/>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0.00</w:t>
            </w:r>
          </w:p>
        </w:tc>
        <w:tc>
          <w:tcPr>
            <w:tcW w:w="709" w:type="dxa"/>
            <w:tcBorders>
              <w:top w:val="nil"/>
              <w:left w:val="nil"/>
              <w:bottom w:val="single" w:sz="8" w:space="0" w:color="auto"/>
              <w:right w:val="single" w:sz="8" w:space="0" w:color="auto"/>
            </w:tcBorders>
            <w:shd w:val="clear" w:color="000000" w:fill="CCFFCC"/>
            <w:vAlign w:val="center"/>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0.00</w:t>
            </w:r>
          </w:p>
        </w:tc>
        <w:tc>
          <w:tcPr>
            <w:tcW w:w="708" w:type="dxa"/>
            <w:tcBorders>
              <w:top w:val="nil"/>
              <w:left w:val="nil"/>
              <w:bottom w:val="single" w:sz="8" w:space="0" w:color="auto"/>
              <w:right w:val="single" w:sz="8" w:space="0" w:color="auto"/>
            </w:tcBorders>
            <w:shd w:val="clear" w:color="000000" w:fill="CCFFCC"/>
            <w:vAlign w:val="center"/>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0.00</w:t>
            </w:r>
          </w:p>
        </w:tc>
        <w:tc>
          <w:tcPr>
            <w:tcW w:w="851" w:type="dxa"/>
            <w:tcBorders>
              <w:top w:val="nil"/>
              <w:left w:val="nil"/>
              <w:bottom w:val="single" w:sz="8" w:space="0" w:color="auto"/>
              <w:right w:val="single" w:sz="8" w:space="0" w:color="auto"/>
            </w:tcBorders>
            <w:shd w:val="clear" w:color="000000" w:fill="CCFFFF"/>
            <w:vAlign w:val="center"/>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0.00</w:t>
            </w:r>
          </w:p>
        </w:tc>
        <w:tc>
          <w:tcPr>
            <w:tcW w:w="1984" w:type="dxa"/>
            <w:tcBorders>
              <w:top w:val="nil"/>
              <w:left w:val="nil"/>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p>
        </w:tc>
      </w:tr>
      <w:tr w:rsidR="001D0350" w:rsidRPr="00D55DC6" w:rsidTr="005A6FC9">
        <w:trPr>
          <w:trHeight w:val="345"/>
        </w:trPr>
        <w:tc>
          <w:tcPr>
            <w:tcW w:w="400" w:type="dxa"/>
            <w:tcBorders>
              <w:top w:val="nil"/>
              <w:left w:val="single" w:sz="8" w:space="0" w:color="auto"/>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kern w:val="0"/>
              </w:rPr>
            </w:pPr>
            <w:r w:rsidRPr="00D55DC6">
              <w:rPr>
                <w:rFonts w:eastAsia="標楷體"/>
                <w:kern w:val="0"/>
                <w:szCs w:val="22"/>
              </w:rPr>
              <w:t xml:space="preserve">　</w:t>
            </w:r>
          </w:p>
        </w:tc>
        <w:tc>
          <w:tcPr>
            <w:tcW w:w="891"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kern w:val="0"/>
              </w:rPr>
            </w:pPr>
            <w:r w:rsidRPr="00D55DC6">
              <w:rPr>
                <w:rFonts w:eastAsia="標楷體"/>
                <w:kern w:val="0"/>
                <w:szCs w:val="22"/>
              </w:rPr>
              <w:t xml:space="preserve">　</w:t>
            </w:r>
          </w:p>
        </w:tc>
        <w:tc>
          <w:tcPr>
            <w:tcW w:w="1102"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kern w:val="0"/>
              </w:rPr>
            </w:pPr>
            <w:r w:rsidRPr="00D55DC6">
              <w:rPr>
                <w:rFonts w:eastAsia="標楷體"/>
                <w:kern w:val="0"/>
                <w:szCs w:val="22"/>
              </w:rPr>
              <w:t xml:space="preserve">　</w:t>
            </w:r>
          </w:p>
        </w:tc>
        <w:tc>
          <w:tcPr>
            <w:tcW w:w="2286"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szCs w:val="22"/>
              </w:rPr>
              <w:t>資本門合計</w:t>
            </w:r>
          </w:p>
        </w:tc>
        <w:tc>
          <w:tcPr>
            <w:tcW w:w="709"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2.33</w:t>
            </w:r>
          </w:p>
        </w:tc>
        <w:tc>
          <w:tcPr>
            <w:tcW w:w="709"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2.31</w:t>
            </w:r>
          </w:p>
        </w:tc>
        <w:tc>
          <w:tcPr>
            <w:tcW w:w="709"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2.11</w:t>
            </w:r>
          </w:p>
        </w:tc>
        <w:tc>
          <w:tcPr>
            <w:tcW w:w="708"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3.56</w:t>
            </w:r>
          </w:p>
        </w:tc>
        <w:tc>
          <w:tcPr>
            <w:tcW w:w="851"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10.31</w:t>
            </w:r>
          </w:p>
        </w:tc>
        <w:tc>
          <w:tcPr>
            <w:tcW w:w="1984" w:type="dxa"/>
            <w:tcBorders>
              <w:top w:val="nil"/>
              <w:left w:val="nil"/>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r w:rsidRPr="00D55DC6">
              <w:rPr>
                <w:rFonts w:eastAsia="標楷體"/>
                <w:kern w:val="0"/>
                <w:szCs w:val="22"/>
              </w:rPr>
              <w:t xml:space="preserve">　</w:t>
            </w:r>
          </w:p>
        </w:tc>
      </w:tr>
      <w:tr w:rsidR="001D0350" w:rsidRPr="00D55DC6" w:rsidTr="005A6FC9">
        <w:trPr>
          <w:trHeight w:val="345"/>
        </w:trPr>
        <w:tc>
          <w:tcPr>
            <w:tcW w:w="4679" w:type="dxa"/>
            <w:gridSpan w:val="4"/>
            <w:tcBorders>
              <w:top w:val="single" w:sz="8" w:space="0" w:color="auto"/>
              <w:left w:val="single" w:sz="8" w:space="0" w:color="auto"/>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szCs w:val="22"/>
              </w:rPr>
              <w:t xml:space="preserve">經資門合計　　</w:t>
            </w:r>
          </w:p>
        </w:tc>
        <w:tc>
          <w:tcPr>
            <w:tcW w:w="709"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2.55</w:t>
            </w:r>
          </w:p>
        </w:tc>
        <w:tc>
          <w:tcPr>
            <w:tcW w:w="709"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2.55</w:t>
            </w:r>
          </w:p>
        </w:tc>
        <w:tc>
          <w:tcPr>
            <w:tcW w:w="709"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2.35</w:t>
            </w:r>
          </w:p>
        </w:tc>
        <w:tc>
          <w:tcPr>
            <w:tcW w:w="708" w:type="dxa"/>
            <w:tcBorders>
              <w:top w:val="nil"/>
              <w:left w:val="nil"/>
              <w:bottom w:val="single" w:sz="8" w:space="0" w:color="auto"/>
              <w:right w:val="single" w:sz="8" w:space="0" w:color="auto"/>
            </w:tcBorders>
            <w:shd w:val="clear" w:color="000000" w:fill="CCFFCC"/>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3.80</w:t>
            </w:r>
          </w:p>
        </w:tc>
        <w:tc>
          <w:tcPr>
            <w:tcW w:w="851" w:type="dxa"/>
            <w:tcBorders>
              <w:top w:val="nil"/>
              <w:left w:val="nil"/>
              <w:bottom w:val="single" w:sz="8" w:space="0" w:color="auto"/>
              <w:right w:val="single" w:sz="8" w:space="0" w:color="auto"/>
            </w:tcBorders>
            <w:shd w:val="clear" w:color="000000" w:fill="CCFFFF"/>
          </w:tcPr>
          <w:p w:rsidR="00934471" w:rsidRPr="00D55DC6" w:rsidRDefault="00934471" w:rsidP="008C418E">
            <w:pPr>
              <w:widowControl/>
              <w:spacing w:line="0" w:lineRule="atLeast"/>
              <w:jc w:val="center"/>
              <w:rPr>
                <w:rFonts w:eastAsia="標楷體"/>
                <w:b/>
                <w:bCs/>
                <w:kern w:val="0"/>
              </w:rPr>
            </w:pPr>
            <w:r w:rsidRPr="00D55DC6">
              <w:rPr>
                <w:rFonts w:eastAsia="標楷體"/>
                <w:b/>
                <w:bCs/>
                <w:kern w:val="0"/>
              </w:rPr>
              <w:t>11.25</w:t>
            </w:r>
          </w:p>
        </w:tc>
        <w:tc>
          <w:tcPr>
            <w:tcW w:w="1984" w:type="dxa"/>
            <w:tcBorders>
              <w:top w:val="nil"/>
              <w:left w:val="nil"/>
              <w:bottom w:val="single" w:sz="8" w:space="0" w:color="auto"/>
              <w:right w:val="single" w:sz="8" w:space="0" w:color="auto"/>
            </w:tcBorders>
            <w:vAlign w:val="center"/>
          </w:tcPr>
          <w:p w:rsidR="00934471" w:rsidRPr="00D55DC6" w:rsidRDefault="00934471" w:rsidP="008C418E">
            <w:pPr>
              <w:widowControl/>
              <w:spacing w:line="0" w:lineRule="atLeast"/>
              <w:rPr>
                <w:rFonts w:eastAsia="標楷體"/>
                <w:kern w:val="0"/>
              </w:rPr>
            </w:pPr>
            <w:r w:rsidRPr="00D55DC6">
              <w:rPr>
                <w:rFonts w:eastAsia="標楷體"/>
                <w:kern w:val="0"/>
                <w:szCs w:val="22"/>
              </w:rPr>
              <w:t xml:space="preserve">　</w:t>
            </w:r>
          </w:p>
        </w:tc>
      </w:tr>
    </w:tbl>
    <w:p w:rsidR="00C336E5" w:rsidRPr="00D55DC6" w:rsidRDefault="00C336E5" w:rsidP="0038165F">
      <w:pPr>
        <w:pStyle w:val="a"/>
        <w:numPr>
          <w:ilvl w:val="0"/>
          <w:numId w:val="0"/>
        </w:numPr>
        <w:spacing w:line="500" w:lineRule="exact"/>
        <w:ind w:left="709"/>
        <w:rPr>
          <w:b/>
        </w:rPr>
      </w:pPr>
    </w:p>
    <w:p w:rsidR="00C60CD2" w:rsidRPr="00D55DC6" w:rsidRDefault="00C60CD2" w:rsidP="0038165F">
      <w:pPr>
        <w:pStyle w:val="a"/>
        <w:numPr>
          <w:ilvl w:val="0"/>
          <w:numId w:val="0"/>
        </w:numPr>
        <w:spacing w:line="500" w:lineRule="exact"/>
        <w:ind w:left="709"/>
        <w:rPr>
          <w:b/>
        </w:rPr>
      </w:pPr>
    </w:p>
    <w:p w:rsidR="00C60CD2" w:rsidRPr="00D55DC6" w:rsidRDefault="00C60CD2" w:rsidP="0038165F">
      <w:pPr>
        <w:pStyle w:val="a"/>
        <w:numPr>
          <w:ilvl w:val="0"/>
          <w:numId w:val="0"/>
        </w:numPr>
        <w:spacing w:line="500" w:lineRule="exact"/>
        <w:ind w:left="709"/>
        <w:rPr>
          <w:b/>
        </w:rPr>
      </w:pPr>
    </w:p>
    <w:p w:rsidR="00C60CD2" w:rsidRPr="00D55DC6" w:rsidRDefault="00C60CD2" w:rsidP="0038165F">
      <w:pPr>
        <w:pStyle w:val="a"/>
        <w:numPr>
          <w:ilvl w:val="0"/>
          <w:numId w:val="0"/>
        </w:numPr>
        <w:spacing w:line="500" w:lineRule="exact"/>
        <w:ind w:left="709"/>
        <w:rPr>
          <w:b/>
        </w:rPr>
      </w:pPr>
    </w:p>
    <w:p w:rsidR="00C60CD2" w:rsidRPr="00D55DC6" w:rsidRDefault="00C60CD2" w:rsidP="0038165F">
      <w:pPr>
        <w:pStyle w:val="a"/>
        <w:numPr>
          <w:ilvl w:val="0"/>
          <w:numId w:val="0"/>
        </w:numPr>
        <w:spacing w:line="500" w:lineRule="exact"/>
        <w:ind w:left="709"/>
        <w:rPr>
          <w:b/>
        </w:rPr>
      </w:pPr>
    </w:p>
    <w:p w:rsidR="00C60CD2" w:rsidRPr="00D55DC6" w:rsidRDefault="00C60CD2" w:rsidP="0038165F">
      <w:pPr>
        <w:pStyle w:val="a"/>
        <w:numPr>
          <w:ilvl w:val="0"/>
          <w:numId w:val="0"/>
        </w:numPr>
        <w:spacing w:line="500" w:lineRule="exact"/>
        <w:ind w:left="709"/>
        <w:rPr>
          <w:b/>
        </w:rPr>
      </w:pPr>
    </w:p>
    <w:p w:rsidR="00934471" w:rsidRPr="00D55DC6" w:rsidRDefault="00934471" w:rsidP="0038165F">
      <w:pPr>
        <w:pStyle w:val="a"/>
        <w:spacing w:line="500" w:lineRule="exact"/>
        <w:ind w:left="709" w:hanging="709"/>
        <w:rPr>
          <w:b/>
        </w:rPr>
      </w:pPr>
      <w:bookmarkStart w:id="78" w:name="_Toc407181656"/>
      <w:r w:rsidRPr="00D55DC6">
        <w:rPr>
          <w:b/>
        </w:rPr>
        <w:lastRenderedPageBreak/>
        <w:t>預期效果及影響</w:t>
      </w:r>
      <w:bookmarkEnd w:id="78"/>
    </w:p>
    <w:p w:rsidR="00934471" w:rsidRPr="00D55DC6" w:rsidRDefault="00934471" w:rsidP="004865C1">
      <w:pPr>
        <w:pStyle w:val="af2"/>
        <w:numPr>
          <w:ilvl w:val="0"/>
          <w:numId w:val="52"/>
        </w:numPr>
        <w:snapToGrid w:val="0"/>
        <w:spacing w:line="460" w:lineRule="exact"/>
        <w:ind w:leftChars="0"/>
        <w:jc w:val="both"/>
        <w:rPr>
          <w:rFonts w:eastAsia="標楷體"/>
          <w:sz w:val="28"/>
          <w:szCs w:val="28"/>
        </w:rPr>
      </w:pPr>
      <w:r w:rsidRPr="00D55DC6">
        <w:rPr>
          <w:rFonts w:eastAsia="標楷體"/>
          <w:sz w:val="28"/>
          <w:szCs w:val="28"/>
        </w:rPr>
        <w:t>加強行銷推廣，強化旅遊環境改善及服務設施品質提升，增進國民旅遊人次，打造具國際級魅力風景據點，吸引國際遊客造訪，預計未來</w:t>
      </w:r>
      <w:r w:rsidRPr="00D55DC6">
        <w:rPr>
          <w:rFonts w:eastAsia="標楷體"/>
          <w:sz w:val="28"/>
          <w:szCs w:val="28"/>
        </w:rPr>
        <w:t>4</w:t>
      </w:r>
      <w:r w:rsidRPr="00D55DC6">
        <w:rPr>
          <w:rFonts w:eastAsia="標楷體"/>
          <w:sz w:val="28"/>
          <w:szCs w:val="28"/>
        </w:rPr>
        <w:t>年創造觀光經濟產值計</w:t>
      </w:r>
      <w:r w:rsidRPr="00D55DC6">
        <w:rPr>
          <w:rFonts w:eastAsia="標楷體"/>
          <w:sz w:val="28"/>
          <w:szCs w:val="28"/>
        </w:rPr>
        <w:t>498</w:t>
      </w:r>
      <w:r w:rsidRPr="00D55DC6">
        <w:rPr>
          <w:rFonts w:eastAsia="標楷體"/>
          <w:sz w:val="28"/>
          <w:szCs w:val="28"/>
        </w:rPr>
        <w:t>億元（以</w:t>
      </w:r>
      <w:r w:rsidRPr="00D55DC6">
        <w:rPr>
          <w:rFonts w:eastAsia="標楷體"/>
          <w:sz w:val="28"/>
          <w:szCs w:val="28"/>
        </w:rPr>
        <w:t>4</w:t>
      </w:r>
      <w:r w:rsidRPr="00D55DC6">
        <w:rPr>
          <w:rFonts w:eastAsia="標楷體"/>
          <w:sz w:val="28"/>
          <w:szCs w:val="28"/>
        </w:rPr>
        <w:t>年遊客人數目標值</w:t>
      </w:r>
      <w:r w:rsidRPr="00D55DC6">
        <w:rPr>
          <w:rFonts w:eastAsia="標楷體"/>
          <w:sz w:val="28"/>
          <w:szCs w:val="28"/>
        </w:rPr>
        <w:t>2,257</w:t>
      </w:r>
      <w:r w:rsidRPr="00D55DC6">
        <w:rPr>
          <w:rFonts w:eastAsia="標楷體"/>
          <w:sz w:val="28"/>
          <w:szCs w:val="28"/>
        </w:rPr>
        <w:t>萬人次</w:t>
      </w:r>
      <w:r w:rsidRPr="00D55DC6">
        <w:rPr>
          <w:rFonts w:eastAsia="標楷體"/>
          <w:sz w:val="28"/>
          <w:szCs w:val="28"/>
        </w:rPr>
        <w:t xml:space="preserve">x </w:t>
      </w:r>
      <w:r w:rsidRPr="00D55DC6">
        <w:rPr>
          <w:rFonts w:eastAsia="標楷體"/>
          <w:sz w:val="28"/>
          <w:szCs w:val="28"/>
        </w:rPr>
        <w:t>每人每日平均消費新臺幣</w:t>
      </w:r>
      <w:r w:rsidRPr="00D55DC6">
        <w:rPr>
          <w:rFonts w:eastAsia="標楷體"/>
          <w:sz w:val="28"/>
          <w:szCs w:val="28"/>
        </w:rPr>
        <w:t>2,005</w:t>
      </w:r>
      <w:r w:rsidRPr="00D55DC6">
        <w:rPr>
          <w:rFonts w:eastAsia="標楷體"/>
          <w:sz w:val="28"/>
          <w:szCs w:val="28"/>
        </w:rPr>
        <w:t>元</w:t>
      </w:r>
      <w:r w:rsidRPr="00D55DC6">
        <w:rPr>
          <w:rFonts w:eastAsia="標楷體"/>
          <w:sz w:val="28"/>
          <w:szCs w:val="28"/>
        </w:rPr>
        <w:t>x</w:t>
      </w:r>
      <w:r w:rsidRPr="00D55DC6">
        <w:rPr>
          <w:rFonts w:eastAsia="標楷體"/>
          <w:sz w:val="28"/>
          <w:szCs w:val="28"/>
        </w:rPr>
        <w:t>停留天數</w:t>
      </w:r>
      <w:r w:rsidRPr="00D55DC6">
        <w:rPr>
          <w:rFonts w:eastAsia="標楷體"/>
          <w:sz w:val="28"/>
          <w:szCs w:val="28"/>
        </w:rPr>
        <w:t>1.10</w:t>
      </w:r>
      <w:r w:rsidRPr="00D55DC6">
        <w:rPr>
          <w:rFonts w:eastAsia="標楷體"/>
          <w:sz w:val="28"/>
          <w:szCs w:val="28"/>
        </w:rPr>
        <w:t>估算）並增加在地居民就業機會。</w:t>
      </w:r>
    </w:p>
    <w:p w:rsidR="00934471" w:rsidRPr="00D55DC6" w:rsidRDefault="00934471" w:rsidP="004865C1">
      <w:pPr>
        <w:pStyle w:val="af2"/>
        <w:numPr>
          <w:ilvl w:val="0"/>
          <w:numId w:val="52"/>
        </w:numPr>
        <w:snapToGrid w:val="0"/>
        <w:spacing w:line="460" w:lineRule="exact"/>
        <w:ind w:leftChars="0"/>
        <w:jc w:val="both"/>
        <w:rPr>
          <w:rFonts w:eastAsia="標楷體"/>
          <w:sz w:val="28"/>
          <w:szCs w:val="28"/>
        </w:rPr>
      </w:pPr>
      <w:r w:rsidRPr="00D55DC6">
        <w:rPr>
          <w:rFonts w:eastAsia="標楷體"/>
          <w:sz w:val="28"/>
          <w:szCs w:val="28"/>
        </w:rPr>
        <w:t>合理有效開發觀光資源，串連各大遊憩區，提供高品質與多樣性旅遊體驗，塑造友善、豐富特色遊程，提升遊客人次。</w:t>
      </w:r>
    </w:p>
    <w:p w:rsidR="00934471" w:rsidRPr="00D55DC6" w:rsidRDefault="00934471" w:rsidP="004865C1">
      <w:pPr>
        <w:pStyle w:val="af2"/>
        <w:numPr>
          <w:ilvl w:val="0"/>
          <w:numId w:val="52"/>
        </w:numPr>
        <w:snapToGrid w:val="0"/>
        <w:spacing w:line="460" w:lineRule="exact"/>
        <w:ind w:leftChars="0"/>
        <w:jc w:val="both"/>
        <w:rPr>
          <w:rFonts w:eastAsia="標楷體"/>
          <w:sz w:val="28"/>
          <w:szCs w:val="28"/>
        </w:rPr>
      </w:pPr>
      <w:r w:rsidRPr="00D55DC6">
        <w:rPr>
          <w:rFonts w:eastAsia="標楷體"/>
          <w:sz w:val="28"/>
          <w:szCs w:val="28"/>
        </w:rPr>
        <w:t>吸引民間配合國家重大公共工程建設，投入財力、物力與專業人力，以促進地方繁榮，並提昇所轄風景區之觀光事業整體競爭力。</w:t>
      </w:r>
    </w:p>
    <w:p w:rsidR="00934471" w:rsidRPr="00D55DC6" w:rsidRDefault="00934471" w:rsidP="004865C1">
      <w:pPr>
        <w:pStyle w:val="af2"/>
        <w:numPr>
          <w:ilvl w:val="0"/>
          <w:numId w:val="52"/>
        </w:numPr>
        <w:snapToGrid w:val="0"/>
        <w:spacing w:line="460" w:lineRule="exact"/>
        <w:ind w:leftChars="0"/>
        <w:jc w:val="both"/>
        <w:rPr>
          <w:rFonts w:eastAsia="標楷體"/>
          <w:sz w:val="28"/>
          <w:szCs w:val="28"/>
        </w:rPr>
      </w:pPr>
      <w:r w:rsidRPr="00D55DC6">
        <w:rPr>
          <w:rFonts w:eastAsia="標楷體"/>
          <w:sz w:val="28"/>
          <w:szCs w:val="28"/>
        </w:rPr>
        <w:t>增加中央與地方政府夥伴關係，透過跨域合作強化投資建設及後續經營管理之平台，建構多贏投資建設成果。</w:t>
      </w:r>
    </w:p>
    <w:p w:rsidR="00C60CD2" w:rsidRPr="00D55DC6" w:rsidRDefault="00C60CD2" w:rsidP="005A6FC9">
      <w:pPr>
        <w:pStyle w:val="af2"/>
        <w:snapToGrid w:val="0"/>
        <w:spacing w:line="460" w:lineRule="exact"/>
        <w:ind w:leftChars="0" w:left="864"/>
        <w:jc w:val="both"/>
        <w:rPr>
          <w:rFonts w:eastAsia="標楷體"/>
          <w:sz w:val="28"/>
          <w:szCs w:val="28"/>
        </w:rPr>
      </w:pPr>
    </w:p>
    <w:p w:rsidR="00C60CD2" w:rsidRPr="00D55DC6" w:rsidRDefault="00C60CD2" w:rsidP="005A6FC9">
      <w:pPr>
        <w:pStyle w:val="af2"/>
        <w:snapToGrid w:val="0"/>
        <w:spacing w:line="460" w:lineRule="exact"/>
        <w:ind w:leftChars="0" w:left="864"/>
        <w:jc w:val="both"/>
        <w:rPr>
          <w:rFonts w:eastAsia="標楷體"/>
          <w:sz w:val="28"/>
          <w:szCs w:val="28"/>
        </w:rPr>
      </w:pPr>
    </w:p>
    <w:p w:rsidR="00934471" w:rsidRPr="00D55DC6" w:rsidRDefault="00934471" w:rsidP="005A6FC9">
      <w:pPr>
        <w:pStyle w:val="a"/>
        <w:ind w:left="709" w:hanging="709"/>
        <w:rPr>
          <w:b/>
        </w:rPr>
      </w:pPr>
      <w:bookmarkStart w:id="79" w:name="_Toc407181657"/>
      <w:r w:rsidRPr="00D55DC6">
        <w:rPr>
          <w:b/>
        </w:rPr>
        <w:t>財務計畫</w:t>
      </w:r>
      <w:bookmarkEnd w:id="79"/>
    </w:p>
    <w:p w:rsidR="00934471" w:rsidRPr="00D55DC6" w:rsidRDefault="00934471" w:rsidP="004865C1">
      <w:pPr>
        <w:pStyle w:val="af2"/>
        <w:numPr>
          <w:ilvl w:val="0"/>
          <w:numId w:val="53"/>
        </w:numPr>
        <w:snapToGrid w:val="0"/>
        <w:spacing w:line="460" w:lineRule="exact"/>
        <w:ind w:leftChars="0"/>
        <w:jc w:val="both"/>
        <w:rPr>
          <w:rFonts w:eastAsia="標楷體"/>
          <w:b/>
          <w:sz w:val="28"/>
          <w:szCs w:val="28"/>
        </w:rPr>
      </w:pPr>
      <w:r w:rsidRPr="00D55DC6">
        <w:rPr>
          <w:rFonts w:eastAsia="標楷體"/>
          <w:b/>
          <w:sz w:val="28"/>
          <w:szCs w:val="28"/>
        </w:rPr>
        <w:t>財務計畫核定情形</w:t>
      </w:r>
    </w:p>
    <w:p w:rsidR="00934471" w:rsidRPr="00D55DC6" w:rsidRDefault="000E303F" w:rsidP="00D867F7">
      <w:pPr>
        <w:pStyle w:val="a"/>
        <w:numPr>
          <w:ilvl w:val="0"/>
          <w:numId w:val="0"/>
        </w:numPr>
        <w:ind w:leftChars="360" w:left="864"/>
      </w:pPr>
      <w:bookmarkStart w:id="80" w:name="_Toc407181658"/>
      <w:r w:rsidRPr="00D55DC6">
        <w:t>依據行政院</w:t>
      </w:r>
      <w:r w:rsidRPr="00D55DC6">
        <w:t>103</w:t>
      </w:r>
      <w:r w:rsidRPr="00D55DC6">
        <w:t>年</w:t>
      </w:r>
      <w:r w:rsidRPr="00D55DC6">
        <w:t>10</w:t>
      </w:r>
      <w:r w:rsidRPr="00D55DC6">
        <w:t>月</w:t>
      </w:r>
      <w:r w:rsidRPr="00D55DC6">
        <w:t>15</w:t>
      </w:r>
      <w:r w:rsidRPr="00D55DC6">
        <w:t>日院臺交字第</w:t>
      </w:r>
      <w:r w:rsidRPr="00D55DC6">
        <w:t>1030058303</w:t>
      </w:r>
      <w:r w:rsidRPr="00D55DC6">
        <w:t>號函核定「日月潭等</w:t>
      </w:r>
      <w:r w:rsidRPr="00D55DC6">
        <w:t>6</w:t>
      </w:r>
      <w:r w:rsidRPr="00D55DC6">
        <w:t>處國家風景區整體發展暨財務計畫」（包含日月潭、東北角暨宜蘭海岸、北海岸及觀音山、阿里山、參山、雲嘉南濱海）</w:t>
      </w:r>
      <w:r w:rsidR="00D867F7" w:rsidRPr="00D55DC6">
        <w:t>，以及行政院</w:t>
      </w:r>
      <w:r w:rsidR="00D867F7" w:rsidRPr="00D55DC6">
        <w:t>103</w:t>
      </w:r>
      <w:r w:rsidR="00D867F7" w:rsidRPr="00D55DC6">
        <w:t>年</w:t>
      </w:r>
      <w:r w:rsidR="00D867F7" w:rsidRPr="00D55DC6">
        <w:t>10</w:t>
      </w:r>
      <w:r w:rsidR="00D867F7" w:rsidRPr="00D55DC6">
        <w:t>月</w:t>
      </w:r>
      <w:r w:rsidR="00D867F7" w:rsidRPr="00D55DC6">
        <w:t>20</w:t>
      </w:r>
      <w:r w:rsidR="00D867F7" w:rsidRPr="00D55DC6">
        <w:t>日院臺交字第</w:t>
      </w:r>
      <w:r w:rsidR="00D867F7" w:rsidRPr="00D55DC6">
        <w:t>1030058712</w:t>
      </w:r>
      <w:r w:rsidR="00D867F7" w:rsidRPr="00D55DC6">
        <w:t>號函核定「北海岸及觀音國家風景特定區範圍檢討評估報告」擴大經管範圍之意旨</w:t>
      </w:r>
      <w:r w:rsidRPr="00D55DC6">
        <w:t>，本轄區</w:t>
      </w:r>
      <w:r w:rsidR="00934471" w:rsidRPr="00D55DC6">
        <w:t>未來</w:t>
      </w:r>
      <w:r w:rsidR="00934471" w:rsidRPr="00D55DC6">
        <w:t>20</w:t>
      </w:r>
      <w:r w:rsidR="00934471" w:rsidRPr="00D55DC6">
        <w:t>年期間</w:t>
      </w:r>
      <w:r w:rsidR="00934471" w:rsidRPr="00D55DC6">
        <w:t>(103</w:t>
      </w:r>
      <w:r w:rsidR="00934471" w:rsidRPr="00D55DC6">
        <w:t>至</w:t>
      </w:r>
      <w:r w:rsidR="00934471" w:rsidRPr="00D55DC6">
        <w:t>122</w:t>
      </w:r>
      <w:r w:rsidR="00934471" w:rsidRPr="00D55DC6">
        <w:t>年</w:t>
      </w:r>
      <w:r w:rsidR="00934471" w:rsidRPr="00D55DC6">
        <w:t>)</w:t>
      </w:r>
      <w:r w:rsidR="00934471" w:rsidRPr="00D55DC6">
        <w:t>計畫投入現值為</w:t>
      </w:r>
      <w:r w:rsidR="00934471" w:rsidRPr="00D55DC6">
        <w:t>37</w:t>
      </w:r>
      <w:r w:rsidR="00934471" w:rsidRPr="00D55DC6">
        <w:t>億</w:t>
      </w:r>
      <w:r w:rsidR="00934471" w:rsidRPr="00D55DC6">
        <w:t>4</w:t>
      </w:r>
      <w:r w:rsidR="00934471" w:rsidRPr="00D55DC6">
        <w:t>千萬元，收益現值為</w:t>
      </w:r>
      <w:r w:rsidR="00934471" w:rsidRPr="00D55DC6">
        <w:t>10</w:t>
      </w:r>
      <w:r w:rsidR="00934471" w:rsidRPr="00D55DC6">
        <w:t>億</w:t>
      </w:r>
      <w:r w:rsidR="00934471" w:rsidRPr="00D55DC6">
        <w:t>2</w:t>
      </w:r>
      <w:r w:rsidR="00934471" w:rsidRPr="00D55DC6">
        <w:t>千萬元，整體計畫財務自償率達</w:t>
      </w:r>
      <w:r w:rsidR="00934471" w:rsidRPr="00D55DC6">
        <w:t>27.38%</w:t>
      </w:r>
      <w:r w:rsidR="00934471" w:rsidRPr="00D55DC6">
        <w:t>。</w:t>
      </w:r>
      <w:bookmarkEnd w:id="80"/>
    </w:p>
    <w:p w:rsidR="00C60CD2" w:rsidRPr="00D55DC6" w:rsidRDefault="00C60CD2" w:rsidP="00D867F7">
      <w:pPr>
        <w:pStyle w:val="a"/>
        <w:numPr>
          <w:ilvl w:val="0"/>
          <w:numId w:val="0"/>
        </w:numPr>
        <w:ind w:leftChars="360" w:left="864"/>
      </w:pPr>
    </w:p>
    <w:p w:rsidR="00C60CD2" w:rsidRPr="00D55DC6" w:rsidRDefault="00C60CD2" w:rsidP="00D867F7">
      <w:pPr>
        <w:pStyle w:val="a"/>
        <w:numPr>
          <w:ilvl w:val="0"/>
          <w:numId w:val="0"/>
        </w:numPr>
        <w:ind w:leftChars="360" w:left="864"/>
      </w:pPr>
    </w:p>
    <w:p w:rsidR="00C60CD2" w:rsidRPr="00D55DC6" w:rsidRDefault="00C60CD2" w:rsidP="00D867F7">
      <w:pPr>
        <w:pStyle w:val="a"/>
        <w:numPr>
          <w:ilvl w:val="0"/>
          <w:numId w:val="0"/>
        </w:numPr>
        <w:ind w:leftChars="360" w:left="864"/>
      </w:pPr>
    </w:p>
    <w:p w:rsidR="00C60CD2" w:rsidRPr="00D55DC6" w:rsidRDefault="00C60CD2" w:rsidP="00D867F7">
      <w:pPr>
        <w:pStyle w:val="a"/>
        <w:numPr>
          <w:ilvl w:val="0"/>
          <w:numId w:val="0"/>
        </w:numPr>
        <w:ind w:leftChars="360" w:left="864"/>
      </w:pPr>
    </w:p>
    <w:p w:rsidR="00286DA1" w:rsidRPr="00D55DC6" w:rsidRDefault="00286DA1" w:rsidP="009D33BA">
      <w:pPr>
        <w:keepNext/>
        <w:spacing w:beforeLines="50" w:before="180" w:afterLines="50" w:after="180" w:line="500" w:lineRule="exact"/>
        <w:ind w:rightChars="-316" w:right="-758"/>
        <w:rPr>
          <w:rFonts w:eastAsia="標楷體"/>
        </w:rPr>
      </w:pPr>
      <w:r w:rsidRPr="00D55DC6">
        <w:rPr>
          <w:rFonts w:eastAsia="標楷體"/>
        </w:rPr>
        <w:lastRenderedPageBreak/>
        <w:t>表　原核定之自償率分析表</w:t>
      </w:r>
      <w:r w:rsidRPr="00D55DC6">
        <w:rPr>
          <w:rFonts w:eastAsia="標楷體"/>
        </w:rPr>
        <w:t xml:space="preserve">                                 </w:t>
      </w:r>
      <w:r w:rsidRPr="00D55DC6">
        <w:rPr>
          <w:rFonts w:eastAsia="標楷體"/>
        </w:rPr>
        <w:t>（單位：千元）</w:t>
      </w:r>
    </w:p>
    <w:tbl>
      <w:tblPr>
        <w:tblW w:w="10828" w:type="dxa"/>
        <w:tblInd w:w="-681" w:type="dxa"/>
        <w:tblCellMar>
          <w:left w:w="28" w:type="dxa"/>
          <w:right w:w="28" w:type="dxa"/>
        </w:tblCellMar>
        <w:tblLook w:val="04A0" w:firstRow="1" w:lastRow="0" w:firstColumn="1" w:lastColumn="0" w:noHBand="0" w:noVBand="1"/>
      </w:tblPr>
      <w:tblGrid>
        <w:gridCol w:w="993"/>
        <w:gridCol w:w="1134"/>
        <w:gridCol w:w="850"/>
        <w:gridCol w:w="851"/>
        <w:gridCol w:w="850"/>
        <w:gridCol w:w="851"/>
        <w:gridCol w:w="850"/>
        <w:gridCol w:w="851"/>
        <w:gridCol w:w="851"/>
        <w:gridCol w:w="850"/>
        <w:gridCol w:w="851"/>
        <w:gridCol w:w="1046"/>
      </w:tblGrid>
      <w:tr w:rsidR="001D0350" w:rsidRPr="00D55DC6" w:rsidTr="00BB7C3A">
        <w:trPr>
          <w:gridAfter w:val="1"/>
          <w:wAfter w:w="1046" w:type="dxa"/>
          <w:trHeight w:val="345"/>
        </w:trPr>
        <w:tc>
          <w:tcPr>
            <w:tcW w:w="993" w:type="dxa"/>
            <w:tcBorders>
              <w:top w:val="single" w:sz="4" w:space="0" w:color="auto"/>
              <w:left w:val="single" w:sz="4" w:space="0" w:color="auto"/>
              <w:bottom w:val="double" w:sz="6" w:space="0" w:color="auto"/>
              <w:right w:val="single" w:sz="4" w:space="0" w:color="auto"/>
            </w:tcBorders>
            <w:shd w:val="clear" w:color="auto" w:fill="FFCC00"/>
            <w:noWrap/>
            <w:vAlign w:val="center"/>
            <w:hideMark/>
          </w:tcPr>
          <w:p w:rsidR="00BB7C3A" w:rsidRPr="00D55DC6" w:rsidRDefault="00BB7C3A" w:rsidP="00D867F7">
            <w:pPr>
              <w:widowControl/>
              <w:spacing w:line="0" w:lineRule="atLeast"/>
              <w:rPr>
                <w:rFonts w:eastAsia="標楷體"/>
                <w:kern w:val="0"/>
                <w:sz w:val="22"/>
                <w:szCs w:val="20"/>
              </w:rPr>
            </w:pPr>
            <w:r w:rsidRPr="00D55DC6">
              <w:rPr>
                <w:rFonts w:eastAsia="標楷體"/>
                <w:kern w:val="0"/>
                <w:sz w:val="22"/>
                <w:szCs w:val="20"/>
              </w:rPr>
              <w:t xml:space="preserve">　</w:t>
            </w:r>
          </w:p>
        </w:tc>
        <w:tc>
          <w:tcPr>
            <w:tcW w:w="1134"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D867F7">
            <w:pPr>
              <w:widowControl/>
              <w:spacing w:line="0" w:lineRule="atLeast"/>
              <w:jc w:val="center"/>
              <w:rPr>
                <w:rFonts w:eastAsia="標楷體"/>
                <w:kern w:val="0"/>
                <w:sz w:val="22"/>
                <w:szCs w:val="20"/>
              </w:rPr>
            </w:pPr>
            <w:r w:rsidRPr="00D55DC6">
              <w:rPr>
                <w:rFonts w:eastAsia="標楷體"/>
                <w:kern w:val="0"/>
                <w:sz w:val="22"/>
                <w:szCs w:val="20"/>
              </w:rPr>
              <w:t>103</w:t>
            </w:r>
          </w:p>
        </w:tc>
        <w:tc>
          <w:tcPr>
            <w:tcW w:w="850"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D867F7">
            <w:pPr>
              <w:widowControl/>
              <w:spacing w:line="0" w:lineRule="atLeast"/>
              <w:jc w:val="center"/>
              <w:rPr>
                <w:rFonts w:eastAsia="標楷體"/>
                <w:kern w:val="0"/>
                <w:sz w:val="22"/>
                <w:szCs w:val="20"/>
              </w:rPr>
            </w:pPr>
            <w:r w:rsidRPr="00D55DC6">
              <w:rPr>
                <w:rFonts w:eastAsia="標楷體"/>
                <w:kern w:val="0"/>
                <w:sz w:val="22"/>
                <w:szCs w:val="20"/>
              </w:rPr>
              <w:t>104</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D867F7">
            <w:pPr>
              <w:widowControl/>
              <w:spacing w:line="0" w:lineRule="atLeast"/>
              <w:jc w:val="center"/>
              <w:rPr>
                <w:rFonts w:eastAsia="標楷體"/>
                <w:kern w:val="0"/>
                <w:sz w:val="22"/>
                <w:szCs w:val="20"/>
              </w:rPr>
            </w:pPr>
            <w:r w:rsidRPr="00D55DC6">
              <w:rPr>
                <w:rFonts w:eastAsia="標楷體"/>
                <w:kern w:val="0"/>
                <w:sz w:val="22"/>
                <w:szCs w:val="20"/>
              </w:rPr>
              <w:t>105</w:t>
            </w:r>
          </w:p>
        </w:tc>
        <w:tc>
          <w:tcPr>
            <w:tcW w:w="850"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D867F7">
            <w:pPr>
              <w:widowControl/>
              <w:spacing w:line="0" w:lineRule="atLeast"/>
              <w:jc w:val="center"/>
              <w:rPr>
                <w:rFonts w:eastAsia="標楷體"/>
                <w:kern w:val="0"/>
                <w:sz w:val="22"/>
                <w:szCs w:val="20"/>
              </w:rPr>
            </w:pPr>
            <w:r w:rsidRPr="00D55DC6">
              <w:rPr>
                <w:rFonts w:eastAsia="標楷體"/>
                <w:kern w:val="0"/>
                <w:sz w:val="22"/>
                <w:szCs w:val="20"/>
              </w:rPr>
              <w:t>106</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D867F7">
            <w:pPr>
              <w:widowControl/>
              <w:spacing w:line="0" w:lineRule="atLeast"/>
              <w:jc w:val="center"/>
              <w:rPr>
                <w:rFonts w:eastAsia="標楷體"/>
                <w:kern w:val="0"/>
                <w:sz w:val="22"/>
                <w:szCs w:val="20"/>
              </w:rPr>
            </w:pPr>
            <w:r w:rsidRPr="00D55DC6">
              <w:rPr>
                <w:rFonts w:eastAsia="標楷體"/>
                <w:kern w:val="0"/>
                <w:sz w:val="22"/>
                <w:szCs w:val="20"/>
              </w:rPr>
              <w:t>107</w:t>
            </w:r>
          </w:p>
        </w:tc>
        <w:tc>
          <w:tcPr>
            <w:tcW w:w="850"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D867F7">
            <w:pPr>
              <w:widowControl/>
              <w:spacing w:line="0" w:lineRule="atLeast"/>
              <w:jc w:val="center"/>
              <w:rPr>
                <w:rFonts w:eastAsia="標楷體"/>
                <w:kern w:val="0"/>
                <w:sz w:val="22"/>
                <w:szCs w:val="20"/>
              </w:rPr>
            </w:pPr>
            <w:r w:rsidRPr="00D55DC6">
              <w:rPr>
                <w:rFonts w:eastAsia="標楷體"/>
                <w:kern w:val="0"/>
                <w:sz w:val="22"/>
                <w:szCs w:val="20"/>
              </w:rPr>
              <w:t>108</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D867F7">
            <w:pPr>
              <w:widowControl/>
              <w:spacing w:line="0" w:lineRule="atLeast"/>
              <w:jc w:val="center"/>
              <w:rPr>
                <w:rFonts w:eastAsia="標楷體"/>
                <w:kern w:val="0"/>
                <w:sz w:val="22"/>
                <w:szCs w:val="20"/>
              </w:rPr>
            </w:pPr>
            <w:r w:rsidRPr="00D55DC6">
              <w:rPr>
                <w:rFonts w:eastAsia="標楷體"/>
                <w:kern w:val="0"/>
                <w:sz w:val="22"/>
                <w:szCs w:val="20"/>
              </w:rPr>
              <w:t>109</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D867F7">
            <w:pPr>
              <w:widowControl/>
              <w:spacing w:line="0" w:lineRule="atLeast"/>
              <w:jc w:val="center"/>
              <w:rPr>
                <w:rFonts w:eastAsia="標楷體"/>
                <w:kern w:val="0"/>
                <w:sz w:val="22"/>
                <w:szCs w:val="20"/>
              </w:rPr>
            </w:pPr>
            <w:r w:rsidRPr="00D55DC6">
              <w:rPr>
                <w:rFonts w:eastAsia="標楷體"/>
                <w:kern w:val="0"/>
                <w:sz w:val="22"/>
                <w:szCs w:val="20"/>
              </w:rPr>
              <w:t>110</w:t>
            </w:r>
          </w:p>
        </w:tc>
        <w:tc>
          <w:tcPr>
            <w:tcW w:w="850"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D867F7">
            <w:pPr>
              <w:widowControl/>
              <w:spacing w:line="0" w:lineRule="atLeast"/>
              <w:jc w:val="center"/>
              <w:rPr>
                <w:rFonts w:eastAsia="標楷體"/>
                <w:kern w:val="0"/>
                <w:sz w:val="22"/>
                <w:szCs w:val="20"/>
              </w:rPr>
            </w:pPr>
            <w:r w:rsidRPr="00D55DC6">
              <w:rPr>
                <w:rFonts w:eastAsia="標楷體"/>
                <w:kern w:val="0"/>
                <w:sz w:val="22"/>
                <w:szCs w:val="20"/>
              </w:rPr>
              <w:t>111</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D867F7">
            <w:pPr>
              <w:widowControl/>
              <w:spacing w:line="0" w:lineRule="atLeast"/>
              <w:jc w:val="center"/>
              <w:rPr>
                <w:rFonts w:eastAsia="標楷體"/>
                <w:kern w:val="0"/>
                <w:sz w:val="22"/>
                <w:szCs w:val="20"/>
              </w:rPr>
            </w:pPr>
            <w:r w:rsidRPr="00D55DC6">
              <w:rPr>
                <w:rFonts w:eastAsia="標楷體"/>
                <w:kern w:val="0"/>
                <w:sz w:val="22"/>
                <w:szCs w:val="20"/>
              </w:rPr>
              <w:t>112</w:t>
            </w:r>
          </w:p>
        </w:tc>
      </w:tr>
      <w:tr w:rsidR="001D0350" w:rsidRPr="00D55DC6" w:rsidTr="00BB7C3A">
        <w:trPr>
          <w:gridAfter w:val="1"/>
          <w:wAfter w:w="1046" w:type="dxa"/>
          <w:trHeight w:val="345"/>
        </w:trPr>
        <w:tc>
          <w:tcPr>
            <w:tcW w:w="993" w:type="dxa"/>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BB7C3A" w:rsidRPr="00D55DC6" w:rsidRDefault="00BB7C3A" w:rsidP="00D867F7">
            <w:pPr>
              <w:widowControl/>
              <w:spacing w:line="0" w:lineRule="atLeast"/>
              <w:rPr>
                <w:rFonts w:eastAsia="標楷體"/>
                <w:kern w:val="0"/>
                <w:sz w:val="22"/>
                <w:szCs w:val="20"/>
              </w:rPr>
            </w:pPr>
            <w:r w:rsidRPr="00D55DC6">
              <w:rPr>
                <w:rFonts w:eastAsia="標楷體"/>
                <w:kern w:val="0"/>
                <w:sz w:val="22"/>
                <w:szCs w:val="20"/>
              </w:rPr>
              <w:t>支出</w:t>
            </w:r>
          </w:p>
        </w:tc>
        <w:tc>
          <w:tcPr>
            <w:tcW w:w="1134"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D867F7">
            <w:pPr>
              <w:widowControl/>
              <w:spacing w:line="0" w:lineRule="atLeast"/>
              <w:jc w:val="right"/>
              <w:rPr>
                <w:rFonts w:eastAsia="標楷體"/>
                <w:kern w:val="0"/>
                <w:sz w:val="22"/>
                <w:szCs w:val="20"/>
              </w:rPr>
            </w:pPr>
            <w:r w:rsidRPr="00D55DC6">
              <w:rPr>
                <w:rFonts w:eastAsia="標楷體"/>
                <w:kern w:val="0"/>
                <w:sz w:val="22"/>
                <w:szCs w:val="20"/>
              </w:rPr>
              <w:t>196,300</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D867F7">
            <w:pPr>
              <w:widowControl/>
              <w:spacing w:line="0" w:lineRule="atLeast"/>
              <w:jc w:val="right"/>
              <w:rPr>
                <w:rFonts w:eastAsia="標楷體"/>
                <w:kern w:val="0"/>
                <w:sz w:val="22"/>
                <w:szCs w:val="20"/>
              </w:rPr>
            </w:pPr>
            <w:r w:rsidRPr="00D55DC6">
              <w:rPr>
                <w:rFonts w:eastAsia="標楷體"/>
                <w:kern w:val="0"/>
                <w:sz w:val="22"/>
                <w:szCs w:val="20"/>
              </w:rPr>
              <w:t>199,000</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D867F7">
            <w:pPr>
              <w:widowControl/>
              <w:spacing w:line="0" w:lineRule="atLeast"/>
              <w:jc w:val="right"/>
              <w:rPr>
                <w:rFonts w:eastAsia="標楷體"/>
                <w:kern w:val="0"/>
                <w:sz w:val="22"/>
                <w:szCs w:val="20"/>
              </w:rPr>
            </w:pPr>
            <w:r w:rsidRPr="00D55DC6">
              <w:rPr>
                <w:rFonts w:eastAsia="標楷體"/>
                <w:kern w:val="0"/>
                <w:sz w:val="22"/>
                <w:szCs w:val="20"/>
              </w:rPr>
              <w:t>235,000</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D867F7">
            <w:pPr>
              <w:widowControl/>
              <w:spacing w:line="0" w:lineRule="atLeast"/>
              <w:jc w:val="right"/>
              <w:rPr>
                <w:rFonts w:eastAsia="標楷體"/>
                <w:kern w:val="0"/>
                <w:sz w:val="22"/>
                <w:szCs w:val="20"/>
              </w:rPr>
            </w:pPr>
            <w:r w:rsidRPr="00D55DC6">
              <w:rPr>
                <w:rFonts w:eastAsia="標楷體"/>
                <w:kern w:val="0"/>
                <w:sz w:val="22"/>
                <w:szCs w:val="20"/>
              </w:rPr>
              <w:t>235,000</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D867F7">
            <w:pPr>
              <w:widowControl/>
              <w:spacing w:line="0" w:lineRule="atLeast"/>
              <w:jc w:val="right"/>
              <w:rPr>
                <w:rFonts w:eastAsia="標楷體"/>
                <w:kern w:val="0"/>
                <w:sz w:val="22"/>
                <w:szCs w:val="20"/>
              </w:rPr>
            </w:pPr>
            <w:r w:rsidRPr="00D55DC6">
              <w:rPr>
                <w:rFonts w:eastAsia="標楷體"/>
                <w:kern w:val="0"/>
                <w:sz w:val="22"/>
                <w:szCs w:val="20"/>
              </w:rPr>
              <w:t>239,700</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D867F7">
            <w:pPr>
              <w:widowControl/>
              <w:spacing w:line="0" w:lineRule="atLeast"/>
              <w:jc w:val="right"/>
              <w:rPr>
                <w:rFonts w:eastAsia="標楷體"/>
                <w:kern w:val="0"/>
                <w:sz w:val="22"/>
                <w:szCs w:val="20"/>
              </w:rPr>
            </w:pPr>
            <w:r w:rsidRPr="00D55DC6">
              <w:rPr>
                <w:rFonts w:eastAsia="標楷體"/>
                <w:kern w:val="0"/>
                <w:sz w:val="22"/>
                <w:szCs w:val="20"/>
              </w:rPr>
              <w:t>345,000</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D867F7">
            <w:pPr>
              <w:widowControl/>
              <w:spacing w:line="0" w:lineRule="atLeast"/>
              <w:jc w:val="right"/>
              <w:rPr>
                <w:rFonts w:eastAsia="標楷體"/>
                <w:kern w:val="0"/>
                <w:sz w:val="22"/>
                <w:szCs w:val="20"/>
              </w:rPr>
            </w:pPr>
            <w:r w:rsidRPr="00D55DC6">
              <w:rPr>
                <w:rFonts w:eastAsia="標楷體"/>
                <w:kern w:val="0"/>
                <w:sz w:val="22"/>
                <w:szCs w:val="20"/>
              </w:rPr>
              <w:t>345,000</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D867F7">
            <w:pPr>
              <w:widowControl/>
              <w:spacing w:line="0" w:lineRule="atLeast"/>
              <w:jc w:val="right"/>
              <w:rPr>
                <w:rFonts w:eastAsia="標楷體"/>
                <w:kern w:val="0"/>
                <w:sz w:val="22"/>
                <w:szCs w:val="20"/>
              </w:rPr>
            </w:pPr>
            <w:r w:rsidRPr="00D55DC6">
              <w:rPr>
                <w:rFonts w:eastAsia="標楷體"/>
                <w:kern w:val="0"/>
                <w:sz w:val="22"/>
                <w:szCs w:val="20"/>
              </w:rPr>
              <w:t>245,000</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D867F7">
            <w:pPr>
              <w:widowControl/>
              <w:spacing w:line="0" w:lineRule="atLeast"/>
              <w:jc w:val="right"/>
              <w:rPr>
                <w:rFonts w:eastAsia="標楷體"/>
                <w:kern w:val="0"/>
                <w:sz w:val="22"/>
                <w:szCs w:val="20"/>
              </w:rPr>
            </w:pPr>
            <w:r w:rsidRPr="00D55DC6">
              <w:rPr>
                <w:rFonts w:eastAsia="標楷體"/>
                <w:kern w:val="0"/>
                <w:sz w:val="22"/>
                <w:szCs w:val="20"/>
              </w:rPr>
              <w:t>245,000</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D867F7">
            <w:pPr>
              <w:widowControl/>
              <w:spacing w:line="0" w:lineRule="atLeast"/>
              <w:jc w:val="right"/>
              <w:rPr>
                <w:rFonts w:eastAsia="標楷體"/>
                <w:kern w:val="0"/>
                <w:sz w:val="22"/>
                <w:szCs w:val="20"/>
              </w:rPr>
            </w:pPr>
            <w:r w:rsidRPr="00D55DC6">
              <w:rPr>
                <w:rFonts w:eastAsia="標楷體"/>
                <w:kern w:val="0"/>
                <w:sz w:val="22"/>
                <w:szCs w:val="20"/>
              </w:rPr>
              <w:t>245,000</w:t>
            </w:r>
          </w:p>
        </w:tc>
      </w:tr>
      <w:tr w:rsidR="001D0350" w:rsidRPr="00D55DC6" w:rsidTr="00BB7C3A">
        <w:trPr>
          <w:gridAfter w:val="1"/>
          <w:wAfter w:w="1046" w:type="dxa"/>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BB7C3A" w:rsidRPr="00D55DC6" w:rsidRDefault="00BB7C3A" w:rsidP="00D867F7">
            <w:pPr>
              <w:widowControl/>
              <w:spacing w:line="0" w:lineRule="atLeast"/>
              <w:rPr>
                <w:rFonts w:eastAsia="標楷體"/>
                <w:kern w:val="0"/>
                <w:sz w:val="22"/>
                <w:szCs w:val="20"/>
              </w:rPr>
            </w:pPr>
            <w:r w:rsidRPr="00D55DC6">
              <w:rPr>
                <w:rFonts w:eastAsia="標楷體"/>
                <w:kern w:val="0"/>
                <w:sz w:val="22"/>
                <w:szCs w:val="20"/>
              </w:rPr>
              <w:t>收入</w:t>
            </w:r>
          </w:p>
        </w:tc>
        <w:tc>
          <w:tcPr>
            <w:tcW w:w="1134"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49,583</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53,837</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55,363</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59,112</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60,294</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61,500</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62,730</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71,219</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68,632</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70,005</w:t>
            </w:r>
          </w:p>
        </w:tc>
      </w:tr>
      <w:tr w:rsidR="001D0350" w:rsidRPr="00D55DC6" w:rsidTr="00BB7C3A">
        <w:trPr>
          <w:gridAfter w:val="1"/>
          <w:wAfter w:w="1046" w:type="dxa"/>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BB7C3A" w:rsidRPr="00D55DC6" w:rsidRDefault="00BB7C3A" w:rsidP="00D867F7">
            <w:pPr>
              <w:widowControl/>
              <w:spacing w:line="0" w:lineRule="atLeast"/>
              <w:rPr>
                <w:rFonts w:eastAsia="標楷體"/>
                <w:kern w:val="0"/>
                <w:sz w:val="22"/>
                <w:szCs w:val="20"/>
              </w:rPr>
            </w:pPr>
            <w:r w:rsidRPr="00D55DC6">
              <w:rPr>
                <w:rFonts w:eastAsia="標楷體"/>
                <w:kern w:val="0"/>
                <w:sz w:val="22"/>
                <w:szCs w:val="20"/>
              </w:rPr>
              <w:t>收支比</w:t>
            </w:r>
          </w:p>
        </w:tc>
        <w:tc>
          <w:tcPr>
            <w:tcW w:w="1134"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25.26%</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27.05%</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23.56%</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25.15%</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25.66%</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17.83%</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18.18%</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29.07%</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28.01%</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28.57%</w:t>
            </w:r>
          </w:p>
        </w:tc>
      </w:tr>
      <w:tr w:rsidR="001D0350" w:rsidRPr="00D55DC6" w:rsidTr="00BB7C3A">
        <w:trPr>
          <w:trHeight w:val="345"/>
        </w:trPr>
        <w:tc>
          <w:tcPr>
            <w:tcW w:w="993" w:type="dxa"/>
            <w:tcBorders>
              <w:top w:val="nil"/>
              <w:left w:val="single" w:sz="4" w:space="0" w:color="auto"/>
              <w:bottom w:val="double" w:sz="6" w:space="0" w:color="auto"/>
              <w:right w:val="single" w:sz="4" w:space="0" w:color="auto"/>
            </w:tcBorders>
            <w:shd w:val="clear" w:color="auto" w:fill="FFCC00"/>
            <w:noWrap/>
            <w:vAlign w:val="center"/>
            <w:hideMark/>
          </w:tcPr>
          <w:p w:rsidR="00BB7C3A" w:rsidRPr="00D55DC6" w:rsidRDefault="00BB7C3A" w:rsidP="00D867F7">
            <w:pPr>
              <w:widowControl/>
              <w:spacing w:line="0" w:lineRule="atLeast"/>
              <w:rPr>
                <w:rFonts w:eastAsia="標楷體"/>
                <w:kern w:val="0"/>
                <w:sz w:val="22"/>
                <w:szCs w:val="20"/>
              </w:rPr>
            </w:pPr>
            <w:r w:rsidRPr="00D55DC6">
              <w:rPr>
                <w:rFonts w:eastAsia="標楷體"/>
                <w:kern w:val="0"/>
                <w:sz w:val="22"/>
                <w:szCs w:val="20"/>
              </w:rPr>
              <w:t xml:space="preserve">　</w:t>
            </w:r>
          </w:p>
        </w:tc>
        <w:tc>
          <w:tcPr>
            <w:tcW w:w="1134" w:type="dxa"/>
            <w:tcBorders>
              <w:top w:val="nil"/>
              <w:left w:val="nil"/>
              <w:bottom w:val="double" w:sz="6" w:space="0" w:color="auto"/>
              <w:right w:val="single" w:sz="4" w:space="0" w:color="auto"/>
            </w:tcBorders>
            <w:shd w:val="clear" w:color="auto" w:fill="FFCC00"/>
            <w:noWrap/>
            <w:vAlign w:val="center"/>
            <w:hideMark/>
          </w:tcPr>
          <w:p w:rsidR="00BB7C3A" w:rsidRPr="00D55DC6" w:rsidRDefault="00BB7C3A" w:rsidP="00D867F7">
            <w:pPr>
              <w:widowControl/>
              <w:spacing w:line="0" w:lineRule="atLeast"/>
              <w:jc w:val="center"/>
              <w:rPr>
                <w:rFonts w:eastAsia="標楷體"/>
                <w:kern w:val="0"/>
                <w:sz w:val="22"/>
                <w:szCs w:val="20"/>
              </w:rPr>
            </w:pPr>
            <w:r w:rsidRPr="00D55DC6">
              <w:rPr>
                <w:rFonts w:eastAsia="標楷體"/>
                <w:kern w:val="0"/>
                <w:sz w:val="22"/>
                <w:szCs w:val="20"/>
              </w:rPr>
              <w:t>113</w:t>
            </w:r>
          </w:p>
        </w:tc>
        <w:tc>
          <w:tcPr>
            <w:tcW w:w="850" w:type="dxa"/>
            <w:tcBorders>
              <w:top w:val="nil"/>
              <w:left w:val="nil"/>
              <w:bottom w:val="double" w:sz="6" w:space="0" w:color="auto"/>
              <w:right w:val="single" w:sz="4" w:space="0" w:color="auto"/>
            </w:tcBorders>
            <w:shd w:val="clear" w:color="auto" w:fill="FFCC00"/>
            <w:noWrap/>
            <w:vAlign w:val="center"/>
            <w:hideMark/>
          </w:tcPr>
          <w:p w:rsidR="00BB7C3A" w:rsidRPr="00D55DC6" w:rsidRDefault="00BB7C3A" w:rsidP="00D867F7">
            <w:pPr>
              <w:widowControl/>
              <w:spacing w:line="0" w:lineRule="atLeast"/>
              <w:jc w:val="center"/>
              <w:rPr>
                <w:rFonts w:eastAsia="標楷體"/>
                <w:kern w:val="0"/>
                <w:sz w:val="22"/>
                <w:szCs w:val="20"/>
              </w:rPr>
            </w:pPr>
            <w:r w:rsidRPr="00D55DC6">
              <w:rPr>
                <w:rFonts w:eastAsia="標楷體"/>
                <w:kern w:val="0"/>
                <w:sz w:val="22"/>
                <w:szCs w:val="20"/>
              </w:rPr>
              <w:t>114</w:t>
            </w:r>
          </w:p>
        </w:tc>
        <w:tc>
          <w:tcPr>
            <w:tcW w:w="851" w:type="dxa"/>
            <w:tcBorders>
              <w:top w:val="nil"/>
              <w:left w:val="nil"/>
              <w:bottom w:val="double" w:sz="6" w:space="0" w:color="auto"/>
              <w:right w:val="single" w:sz="4" w:space="0" w:color="auto"/>
            </w:tcBorders>
            <w:shd w:val="clear" w:color="auto" w:fill="FFCC00"/>
            <w:noWrap/>
            <w:vAlign w:val="center"/>
            <w:hideMark/>
          </w:tcPr>
          <w:p w:rsidR="00BB7C3A" w:rsidRPr="00D55DC6" w:rsidRDefault="00BB7C3A" w:rsidP="00D867F7">
            <w:pPr>
              <w:widowControl/>
              <w:spacing w:line="0" w:lineRule="atLeast"/>
              <w:jc w:val="center"/>
              <w:rPr>
                <w:rFonts w:eastAsia="標楷體"/>
                <w:kern w:val="0"/>
                <w:sz w:val="22"/>
                <w:szCs w:val="20"/>
              </w:rPr>
            </w:pPr>
            <w:r w:rsidRPr="00D55DC6">
              <w:rPr>
                <w:rFonts w:eastAsia="標楷體"/>
                <w:kern w:val="0"/>
                <w:sz w:val="22"/>
                <w:szCs w:val="20"/>
              </w:rPr>
              <w:t>115</w:t>
            </w:r>
          </w:p>
        </w:tc>
        <w:tc>
          <w:tcPr>
            <w:tcW w:w="850" w:type="dxa"/>
            <w:tcBorders>
              <w:top w:val="nil"/>
              <w:left w:val="nil"/>
              <w:bottom w:val="double" w:sz="6" w:space="0" w:color="auto"/>
              <w:right w:val="single" w:sz="4" w:space="0" w:color="auto"/>
            </w:tcBorders>
            <w:shd w:val="clear" w:color="auto" w:fill="FFCC00"/>
            <w:noWrap/>
            <w:vAlign w:val="center"/>
            <w:hideMark/>
          </w:tcPr>
          <w:p w:rsidR="00BB7C3A" w:rsidRPr="00D55DC6" w:rsidRDefault="00BB7C3A" w:rsidP="00D867F7">
            <w:pPr>
              <w:widowControl/>
              <w:spacing w:line="0" w:lineRule="atLeast"/>
              <w:jc w:val="center"/>
              <w:rPr>
                <w:rFonts w:eastAsia="標楷體"/>
                <w:kern w:val="0"/>
                <w:sz w:val="22"/>
                <w:szCs w:val="20"/>
              </w:rPr>
            </w:pPr>
            <w:r w:rsidRPr="00D55DC6">
              <w:rPr>
                <w:rFonts w:eastAsia="標楷體"/>
                <w:kern w:val="0"/>
                <w:sz w:val="22"/>
                <w:szCs w:val="20"/>
              </w:rPr>
              <w:t>116</w:t>
            </w:r>
          </w:p>
        </w:tc>
        <w:tc>
          <w:tcPr>
            <w:tcW w:w="851" w:type="dxa"/>
            <w:tcBorders>
              <w:top w:val="nil"/>
              <w:left w:val="nil"/>
              <w:bottom w:val="double" w:sz="6" w:space="0" w:color="auto"/>
              <w:right w:val="single" w:sz="4" w:space="0" w:color="auto"/>
            </w:tcBorders>
            <w:shd w:val="clear" w:color="auto" w:fill="FFCC00"/>
            <w:noWrap/>
            <w:vAlign w:val="center"/>
            <w:hideMark/>
          </w:tcPr>
          <w:p w:rsidR="00BB7C3A" w:rsidRPr="00D55DC6" w:rsidRDefault="00BB7C3A" w:rsidP="00D867F7">
            <w:pPr>
              <w:widowControl/>
              <w:spacing w:line="0" w:lineRule="atLeast"/>
              <w:jc w:val="center"/>
              <w:rPr>
                <w:rFonts w:eastAsia="標楷體"/>
                <w:kern w:val="0"/>
                <w:sz w:val="22"/>
                <w:szCs w:val="20"/>
              </w:rPr>
            </w:pPr>
            <w:r w:rsidRPr="00D55DC6">
              <w:rPr>
                <w:rFonts w:eastAsia="標楷體"/>
                <w:kern w:val="0"/>
                <w:sz w:val="22"/>
                <w:szCs w:val="20"/>
              </w:rPr>
              <w:t>117</w:t>
            </w:r>
          </w:p>
        </w:tc>
        <w:tc>
          <w:tcPr>
            <w:tcW w:w="850" w:type="dxa"/>
            <w:tcBorders>
              <w:top w:val="nil"/>
              <w:left w:val="nil"/>
              <w:bottom w:val="double" w:sz="6" w:space="0" w:color="auto"/>
              <w:right w:val="single" w:sz="4" w:space="0" w:color="auto"/>
            </w:tcBorders>
            <w:shd w:val="clear" w:color="auto" w:fill="FFCC00"/>
            <w:noWrap/>
            <w:vAlign w:val="center"/>
            <w:hideMark/>
          </w:tcPr>
          <w:p w:rsidR="00BB7C3A" w:rsidRPr="00D55DC6" w:rsidRDefault="00BB7C3A" w:rsidP="00D867F7">
            <w:pPr>
              <w:widowControl/>
              <w:spacing w:line="0" w:lineRule="atLeast"/>
              <w:jc w:val="center"/>
              <w:rPr>
                <w:rFonts w:eastAsia="標楷體"/>
                <w:kern w:val="0"/>
                <w:sz w:val="22"/>
                <w:szCs w:val="20"/>
              </w:rPr>
            </w:pPr>
            <w:r w:rsidRPr="00D55DC6">
              <w:rPr>
                <w:rFonts w:eastAsia="標楷體"/>
                <w:kern w:val="0"/>
                <w:sz w:val="22"/>
                <w:szCs w:val="20"/>
              </w:rPr>
              <w:t>118</w:t>
            </w:r>
          </w:p>
        </w:tc>
        <w:tc>
          <w:tcPr>
            <w:tcW w:w="851" w:type="dxa"/>
            <w:tcBorders>
              <w:top w:val="nil"/>
              <w:left w:val="nil"/>
              <w:bottom w:val="double" w:sz="6" w:space="0" w:color="auto"/>
              <w:right w:val="single" w:sz="4" w:space="0" w:color="auto"/>
            </w:tcBorders>
            <w:shd w:val="clear" w:color="auto" w:fill="FFCC00"/>
            <w:noWrap/>
            <w:vAlign w:val="center"/>
            <w:hideMark/>
          </w:tcPr>
          <w:p w:rsidR="00BB7C3A" w:rsidRPr="00D55DC6" w:rsidRDefault="00BB7C3A" w:rsidP="00D867F7">
            <w:pPr>
              <w:widowControl/>
              <w:spacing w:line="0" w:lineRule="atLeast"/>
              <w:jc w:val="center"/>
              <w:rPr>
                <w:rFonts w:eastAsia="標楷體"/>
                <w:kern w:val="0"/>
                <w:sz w:val="22"/>
                <w:szCs w:val="20"/>
              </w:rPr>
            </w:pPr>
            <w:r w:rsidRPr="00D55DC6">
              <w:rPr>
                <w:rFonts w:eastAsia="標楷體"/>
                <w:kern w:val="0"/>
                <w:sz w:val="22"/>
                <w:szCs w:val="20"/>
              </w:rPr>
              <w:t>119</w:t>
            </w:r>
          </w:p>
        </w:tc>
        <w:tc>
          <w:tcPr>
            <w:tcW w:w="851" w:type="dxa"/>
            <w:tcBorders>
              <w:top w:val="nil"/>
              <w:left w:val="nil"/>
              <w:bottom w:val="double" w:sz="6" w:space="0" w:color="auto"/>
              <w:right w:val="single" w:sz="4" w:space="0" w:color="auto"/>
            </w:tcBorders>
            <w:shd w:val="clear" w:color="auto" w:fill="FFCC00"/>
            <w:noWrap/>
            <w:vAlign w:val="center"/>
            <w:hideMark/>
          </w:tcPr>
          <w:p w:rsidR="00BB7C3A" w:rsidRPr="00D55DC6" w:rsidRDefault="00BB7C3A" w:rsidP="00D867F7">
            <w:pPr>
              <w:widowControl/>
              <w:spacing w:line="0" w:lineRule="atLeast"/>
              <w:jc w:val="center"/>
              <w:rPr>
                <w:rFonts w:eastAsia="標楷體"/>
                <w:kern w:val="0"/>
                <w:sz w:val="22"/>
                <w:szCs w:val="20"/>
              </w:rPr>
            </w:pPr>
            <w:r w:rsidRPr="00D55DC6">
              <w:rPr>
                <w:rFonts w:eastAsia="標楷體"/>
                <w:kern w:val="0"/>
                <w:sz w:val="22"/>
                <w:szCs w:val="20"/>
              </w:rPr>
              <w:t>120</w:t>
            </w:r>
          </w:p>
        </w:tc>
        <w:tc>
          <w:tcPr>
            <w:tcW w:w="850" w:type="dxa"/>
            <w:tcBorders>
              <w:top w:val="nil"/>
              <w:left w:val="nil"/>
              <w:bottom w:val="double" w:sz="6" w:space="0" w:color="auto"/>
              <w:right w:val="single" w:sz="4" w:space="0" w:color="auto"/>
            </w:tcBorders>
            <w:shd w:val="clear" w:color="auto" w:fill="FFCC00"/>
            <w:noWrap/>
            <w:vAlign w:val="center"/>
            <w:hideMark/>
          </w:tcPr>
          <w:p w:rsidR="00BB7C3A" w:rsidRPr="00D55DC6" w:rsidRDefault="00BB7C3A" w:rsidP="00D867F7">
            <w:pPr>
              <w:widowControl/>
              <w:spacing w:line="0" w:lineRule="atLeast"/>
              <w:jc w:val="center"/>
              <w:rPr>
                <w:rFonts w:eastAsia="標楷體"/>
                <w:kern w:val="0"/>
                <w:sz w:val="22"/>
                <w:szCs w:val="20"/>
              </w:rPr>
            </w:pPr>
            <w:r w:rsidRPr="00D55DC6">
              <w:rPr>
                <w:rFonts w:eastAsia="標楷體"/>
                <w:kern w:val="0"/>
                <w:sz w:val="22"/>
                <w:szCs w:val="20"/>
              </w:rPr>
              <w:t>121</w:t>
            </w:r>
          </w:p>
        </w:tc>
        <w:tc>
          <w:tcPr>
            <w:tcW w:w="851" w:type="dxa"/>
            <w:tcBorders>
              <w:top w:val="nil"/>
              <w:left w:val="nil"/>
              <w:bottom w:val="double" w:sz="6" w:space="0" w:color="auto"/>
              <w:right w:val="single" w:sz="4" w:space="0" w:color="auto"/>
            </w:tcBorders>
            <w:shd w:val="clear" w:color="auto" w:fill="FFCC00"/>
            <w:noWrap/>
            <w:vAlign w:val="center"/>
            <w:hideMark/>
          </w:tcPr>
          <w:p w:rsidR="00BB7C3A" w:rsidRPr="00D55DC6" w:rsidRDefault="00BB7C3A" w:rsidP="00D867F7">
            <w:pPr>
              <w:widowControl/>
              <w:spacing w:line="0" w:lineRule="atLeast"/>
              <w:jc w:val="center"/>
              <w:rPr>
                <w:rFonts w:eastAsia="標楷體"/>
                <w:kern w:val="0"/>
                <w:sz w:val="22"/>
                <w:szCs w:val="20"/>
              </w:rPr>
            </w:pPr>
            <w:r w:rsidRPr="00D55DC6">
              <w:rPr>
                <w:rFonts w:eastAsia="標楷體"/>
                <w:kern w:val="0"/>
                <w:sz w:val="22"/>
                <w:szCs w:val="20"/>
              </w:rPr>
              <w:t>122</w:t>
            </w:r>
          </w:p>
        </w:tc>
        <w:tc>
          <w:tcPr>
            <w:tcW w:w="1046"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D867F7">
            <w:pPr>
              <w:widowControl/>
              <w:spacing w:line="0" w:lineRule="atLeast"/>
              <w:jc w:val="center"/>
              <w:rPr>
                <w:rFonts w:eastAsia="標楷體"/>
                <w:kern w:val="0"/>
                <w:sz w:val="22"/>
                <w:szCs w:val="20"/>
              </w:rPr>
            </w:pPr>
            <w:r w:rsidRPr="00D55DC6">
              <w:rPr>
                <w:rFonts w:eastAsia="標楷體"/>
                <w:kern w:val="0"/>
                <w:sz w:val="22"/>
                <w:szCs w:val="20"/>
              </w:rPr>
              <w:t>合計</w:t>
            </w:r>
          </w:p>
        </w:tc>
      </w:tr>
      <w:tr w:rsidR="001D0350" w:rsidRPr="00D55DC6" w:rsidTr="00BB7C3A">
        <w:trPr>
          <w:trHeight w:val="345"/>
        </w:trPr>
        <w:tc>
          <w:tcPr>
            <w:tcW w:w="993" w:type="dxa"/>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BB7C3A" w:rsidRPr="00D55DC6" w:rsidRDefault="00BB7C3A" w:rsidP="00D867F7">
            <w:pPr>
              <w:widowControl/>
              <w:spacing w:line="0" w:lineRule="atLeast"/>
              <w:rPr>
                <w:rFonts w:eastAsia="標楷體"/>
                <w:kern w:val="0"/>
                <w:sz w:val="22"/>
                <w:szCs w:val="20"/>
              </w:rPr>
            </w:pPr>
            <w:r w:rsidRPr="00D55DC6">
              <w:rPr>
                <w:rFonts w:eastAsia="標楷體"/>
                <w:kern w:val="0"/>
                <w:sz w:val="22"/>
                <w:szCs w:val="20"/>
              </w:rPr>
              <w:t>支出</w:t>
            </w:r>
          </w:p>
        </w:tc>
        <w:tc>
          <w:tcPr>
            <w:tcW w:w="1134"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D867F7">
            <w:pPr>
              <w:widowControl/>
              <w:spacing w:line="0" w:lineRule="atLeast"/>
              <w:jc w:val="right"/>
              <w:rPr>
                <w:rFonts w:eastAsia="標楷體"/>
                <w:kern w:val="0"/>
                <w:sz w:val="22"/>
                <w:szCs w:val="20"/>
              </w:rPr>
            </w:pPr>
            <w:r w:rsidRPr="00D55DC6">
              <w:rPr>
                <w:rFonts w:eastAsia="標楷體"/>
                <w:kern w:val="0"/>
                <w:sz w:val="22"/>
                <w:szCs w:val="20"/>
              </w:rPr>
              <w:t>245,000</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D867F7">
            <w:pPr>
              <w:widowControl/>
              <w:spacing w:line="0" w:lineRule="atLeast"/>
              <w:jc w:val="right"/>
              <w:rPr>
                <w:rFonts w:eastAsia="標楷體"/>
                <w:kern w:val="0"/>
                <w:sz w:val="22"/>
                <w:szCs w:val="20"/>
              </w:rPr>
            </w:pPr>
            <w:r w:rsidRPr="00D55DC6">
              <w:rPr>
                <w:rFonts w:eastAsia="標楷體"/>
                <w:kern w:val="0"/>
                <w:sz w:val="22"/>
                <w:szCs w:val="20"/>
              </w:rPr>
              <w:t>245,000</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D867F7">
            <w:pPr>
              <w:widowControl/>
              <w:spacing w:line="0" w:lineRule="atLeast"/>
              <w:jc w:val="right"/>
              <w:rPr>
                <w:rFonts w:eastAsia="標楷體"/>
                <w:kern w:val="0"/>
                <w:sz w:val="22"/>
                <w:szCs w:val="20"/>
              </w:rPr>
            </w:pPr>
            <w:r w:rsidRPr="00D55DC6">
              <w:rPr>
                <w:rFonts w:eastAsia="標楷體"/>
                <w:kern w:val="0"/>
                <w:sz w:val="22"/>
                <w:szCs w:val="20"/>
              </w:rPr>
              <w:t>245,000</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D867F7">
            <w:pPr>
              <w:widowControl/>
              <w:spacing w:line="0" w:lineRule="atLeast"/>
              <w:jc w:val="right"/>
              <w:rPr>
                <w:rFonts w:eastAsia="標楷體"/>
                <w:kern w:val="0"/>
                <w:sz w:val="22"/>
                <w:szCs w:val="20"/>
              </w:rPr>
            </w:pPr>
            <w:r w:rsidRPr="00D55DC6">
              <w:rPr>
                <w:rFonts w:eastAsia="標楷體"/>
                <w:kern w:val="0"/>
                <w:sz w:val="22"/>
                <w:szCs w:val="20"/>
              </w:rPr>
              <w:t>245,000</w:t>
            </w:r>
          </w:p>
        </w:tc>
        <w:tc>
          <w:tcPr>
            <w:tcW w:w="851" w:type="dxa"/>
            <w:tcBorders>
              <w:top w:val="single" w:sz="4" w:space="0" w:color="auto"/>
              <w:left w:val="nil"/>
              <w:bottom w:val="single" w:sz="4" w:space="0" w:color="auto"/>
              <w:right w:val="single" w:sz="4" w:space="0" w:color="auto"/>
            </w:tcBorders>
            <w:shd w:val="clear" w:color="auto" w:fill="FDE9D9"/>
            <w:noWrap/>
            <w:hideMark/>
          </w:tcPr>
          <w:p w:rsidR="00BB7C3A" w:rsidRPr="00D55DC6" w:rsidRDefault="00BB7C3A" w:rsidP="00D867F7">
            <w:pPr>
              <w:spacing w:line="0" w:lineRule="atLeast"/>
              <w:jc w:val="right"/>
            </w:pPr>
            <w:r w:rsidRPr="00D55DC6">
              <w:rPr>
                <w:rFonts w:eastAsia="標楷體"/>
                <w:kern w:val="0"/>
                <w:sz w:val="22"/>
                <w:szCs w:val="20"/>
              </w:rPr>
              <w:t>245,000</w:t>
            </w:r>
          </w:p>
        </w:tc>
        <w:tc>
          <w:tcPr>
            <w:tcW w:w="850" w:type="dxa"/>
            <w:tcBorders>
              <w:top w:val="single" w:sz="4" w:space="0" w:color="auto"/>
              <w:left w:val="nil"/>
              <w:bottom w:val="single" w:sz="4" w:space="0" w:color="auto"/>
              <w:right w:val="single" w:sz="4" w:space="0" w:color="auto"/>
            </w:tcBorders>
            <w:shd w:val="clear" w:color="auto" w:fill="FDE9D9"/>
            <w:noWrap/>
            <w:hideMark/>
          </w:tcPr>
          <w:p w:rsidR="00BB7C3A" w:rsidRPr="00D55DC6" w:rsidRDefault="00BB7C3A" w:rsidP="00D867F7">
            <w:pPr>
              <w:spacing w:line="0" w:lineRule="atLeast"/>
              <w:jc w:val="right"/>
            </w:pPr>
            <w:r w:rsidRPr="00D55DC6">
              <w:rPr>
                <w:rFonts w:eastAsia="標楷體"/>
                <w:kern w:val="0"/>
                <w:sz w:val="22"/>
                <w:szCs w:val="20"/>
              </w:rPr>
              <w:t>245,000</w:t>
            </w:r>
          </w:p>
        </w:tc>
        <w:tc>
          <w:tcPr>
            <w:tcW w:w="851" w:type="dxa"/>
            <w:tcBorders>
              <w:top w:val="single" w:sz="4" w:space="0" w:color="auto"/>
              <w:left w:val="nil"/>
              <w:bottom w:val="single" w:sz="4" w:space="0" w:color="auto"/>
              <w:right w:val="single" w:sz="4" w:space="0" w:color="auto"/>
            </w:tcBorders>
            <w:shd w:val="clear" w:color="auto" w:fill="FDE9D9"/>
            <w:noWrap/>
            <w:hideMark/>
          </w:tcPr>
          <w:p w:rsidR="00BB7C3A" w:rsidRPr="00D55DC6" w:rsidRDefault="00BB7C3A" w:rsidP="00D867F7">
            <w:pPr>
              <w:spacing w:line="0" w:lineRule="atLeast"/>
              <w:jc w:val="right"/>
            </w:pPr>
            <w:r w:rsidRPr="00D55DC6">
              <w:rPr>
                <w:rFonts w:eastAsia="標楷體"/>
                <w:kern w:val="0"/>
                <w:sz w:val="22"/>
                <w:szCs w:val="20"/>
              </w:rPr>
              <w:t>245,000</w:t>
            </w:r>
          </w:p>
        </w:tc>
        <w:tc>
          <w:tcPr>
            <w:tcW w:w="851" w:type="dxa"/>
            <w:tcBorders>
              <w:top w:val="single" w:sz="4" w:space="0" w:color="auto"/>
              <w:left w:val="nil"/>
              <w:bottom w:val="single" w:sz="4" w:space="0" w:color="auto"/>
              <w:right w:val="single" w:sz="4" w:space="0" w:color="auto"/>
            </w:tcBorders>
            <w:shd w:val="clear" w:color="auto" w:fill="FDE9D9"/>
            <w:noWrap/>
            <w:hideMark/>
          </w:tcPr>
          <w:p w:rsidR="00BB7C3A" w:rsidRPr="00D55DC6" w:rsidRDefault="00BB7C3A" w:rsidP="00D867F7">
            <w:pPr>
              <w:spacing w:line="0" w:lineRule="atLeast"/>
              <w:jc w:val="right"/>
            </w:pPr>
            <w:r w:rsidRPr="00D55DC6">
              <w:rPr>
                <w:rFonts w:eastAsia="標楷體"/>
                <w:kern w:val="0"/>
                <w:sz w:val="22"/>
                <w:szCs w:val="20"/>
              </w:rPr>
              <w:t>245,000</w:t>
            </w:r>
          </w:p>
        </w:tc>
        <w:tc>
          <w:tcPr>
            <w:tcW w:w="850" w:type="dxa"/>
            <w:tcBorders>
              <w:top w:val="single" w:sz="4" w:space="0" w:color="auto"/>
              <w:left w:val="nil"/>
              <w:bottom w:val="single" w:sz="4" w:space="0" w:color="auto"/>
              <w:right w:val="single" w:sz="4" w:space="0" w:color="auto"/>
            </w:tcBorders>
            <w:shd w:val="clear" w:color="auto" w:fill="FDE9D9"/>
            <w:noWrap/>
            <w:hideMark/>
          </w:tcPr>
          <w:p w:rsidR="00BB7C3A" w:rsidRPr="00D55DC6" w:rsidRDefault="00BB7C3A" w:rsidP="00D867F7">
            <w:pPr>
              <w:spacing w:line="0" w:lineRule="atLeast"/>
              <w:jc w:val="right"/>
            </w:pPr>
            <w:r w:rsidRPr="00D55DC6">
              <w:rPr>
                <w:rFonts w:eastAsia="標楷體"/>
                <w:kern w:val="0"/>
                <w:sz w:val="22"/>
                <w:szCs w:val="20"/>
              </w:rPr>
              <w:t>245,000</w:t>
            </w:r>
          </w:p>
        </w:tc>
        <w:tc>
          <w:tcPr>
            <w:tcW w:w="851" w:type="dxa"/>
            <w:tcBorders>
              <w:top w:val="single" w:sz="4" w:space="0" w:color="auto"/>
              <w:left w:val="nil"/>
              <w:bottom w:val="single" w:sz="4" w:space="0" w:color="auto"/>
              <w:right w:val="single" w:sz="4" w:space="0" w:color="auto"/>
            </w:tcBorders>
            <w:shd w:val="clear" w:color="auto" w:fill="FDE9D9"/>
            <w:noWrap/>
            <w:hideMark/>
          </w:tcPr>
          <w:p w:rsidR="00BB7C3A" w:rsidRPr="00D55DC6" w:rsidRDefault="00BB7C3A" w:rsidP="00D867F7">
            <w:pPr>
              <w:spacing w:line="0" w:lineRule="atLeast"/>
              <w:jc w:val="right"/>
            </w:pPr>
            <w:r w:rsidRPr="00D55DC6">
              <w:rPr>
                <w:rFonts w:eastAsia="標楷體"/>
                <w:kern w:val="0"/>
                <w:sz w:val="22"/>
                <w:szCs w:val="20"/>
              </w:rPr>
              <w:t>245,000</w:t>
            </w:r>
          </w:p>
        </w:tc>
        <w:tc>
          <w:tcPr>
            <w:tcW w:w="1046"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D867F7">
            <w:pPr>
              <w:widowControl/>
              <w:spacing w:line="0" w:lineRule="atLeast"/>
              <w:jc w:val="right"/>
              <w:rPr>
                <w:rFonts w:eastAsia="標楷體"/>
                <w:kern w:val="0"/>
                <w:sz w:val="22"/>
                <w:szCs w:val="20"/>
              </w:rPr>
            </w:pPr>
            <w:r w:rsidRPr="00D55DC6">
              <w:rPr>
                <w:rFonts w:eastAsia="標楷體"/>
                <w:kern w:val="0"/>
                <w:sz w:val="22"/>
                <w:szCs w:val="20"/>
              </w:rPr>
              <w:t>4,980,000</w:t>
            </w:r>
          </w:p>
        </w:tc>
      </w:tr>
      <w:tr w:rsidR="001D0350" w:rsidRPr="00D55DC6" w:rsidTr="00BB7C3A">
        <w:trPr>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BB7C3A" w:rsidRPr="00D55DC6" w:rsidRDefault="00BB7C3A" w:rsidP="00D867F7">
            <w:pPr>
              <w:widowControl/>
              <w:spacing w:line="0" w:lineRule="atLeast"/>
              <w:rPr>
                <w:rFonts w:eastAsia="標楷體"/>
                <w:kern w:val="0"/>
                <w:sz w:val="22"/>
                <w:szCs w:val="20"/>
              </w:rPr>
            </w:pPr>
            <w:r w:rsidRPr="00D55DC6">
              <w:rPr>
                <w:rFonts w:eastAsia="標楷體"/>
                <w:kern w:val="0"/>
                <w:sz w:val="22"/>
                <w:szCs w:val="20"/>
              </w:rPr>
              <w:t>收入</w:t>
            </w:r>
          </w:p>
        </w:tc>
        <w:tc>
          <w:tcPr>
            <w:tcW w:w="1134"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71,405</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72,833</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74,290</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75,775</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77,291</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78,837</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80,413</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82,022</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83,662</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85,335</w:t>
            </w:r>
          </w:p>
        </w:tc>
        <w:tc>
          <w:tcPr>
            <w:tcW w:w="1046"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widowControl/>
              <w:spacing w:line="0" w:lineRule="atLeast"/>
              <w:jc w:val="right"/>
              <w:rPr>
                <w:rFonts w:eastAsia="標楷體"/>
                <w:kern w:val="0"/>
                <w:sz w:val="22"/>
                <w:szCs w:val="22"/>
              </w:rPr>
            </w:pPr>
            <w:r w:rsidRPr="00D55DC6">
              <w:rPr>
                <w:rFonts w:eastAsia="標楷體"/>
                <w:kern w:val="0"/>
                <w:sz w:val="22"/>
                <w:szCs w:val="22"/>
              </w:rPr>
              <w:t>1,410,104</w:t>
            </w:r>
          </w:p>
        </w:tc>
      </w:tr>
      <w:tr w:rsidR="001D0350" w:rsidRPr="00D55DC6" w:rsidTr="00BB7C3A">
        <w:trPr>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BB7C3A" w:rsidRPr="00D55DC6" w:rsidRDefault="00BB7C3A" w:rsidP="00D867F7">
            <w:pPr>
              <w:widowControl/>
              <w:spacing w:line="0" w:lineRule="atLeast"/>
              <w:rPr>
                <w:rFonts w:eastAsia="標楷體"/>
                <w:kern w:val="0"/>
                <w:sz w:val="22"/>
                <w:szCs w:val="20"/>
              </w:rPr>
            </w:pPr>
            <w:r w:rsidRPr="00D55DC6">
              <w:rPr>
                <w:rFonts w:eastAsia="標楷體"/>
                <w:kern w:val="0"/>
                <w:sz w:val="22"/>
                <w:szCs w:val="20"/>
              </w:rPr>
              <w:t>收支比</w:t>
            </w:r>
          </w:p>
        </w:tc>
        <w:tc>
          <w:tcPr>
            <w:tcW w:w="1134"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29.14%</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29.73%</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30.32%</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30.93%</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31.55%</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32.18%</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32.82%</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33.48%</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34.15%</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D867F7">
            <w:pPr>
              <w:spacing w:line="0" w:lineRule="atLeast"/>
              <w:jc w:val="right"/>
              <w:rPr>
                <w:sz w:val="22"/>
                <w:szCs w:val="22"/>
              </w:rPr>
            </w:pPr>
            <w:r w:rsidRPr="00D55DC6">
              <w:rPr>
                <w:sz w:val="22"/>
                <w:szCs w:val="22"/>
              </w:rPr>
              <w:t>34.83%</w:t>
            </w:r>
          </w:p>
        </w:tc>
        <w:tc>
          <w:tcPr>
            <w:tcW w:w="1046" w:type="dxa"/>
            <w:tcBorders>
              <w:top w:val="nil"/>
              <w:left w:val="nil"/>
              <w:bottom w:val="single" w:sz="4" w:space="0" w:color="auto"/>
              <w:right w:val="single" w:sz="4" w:space="0" w:color="auto"/>
            </w:tcBorders>
            <w:shd w:val="clear" w:color="auto" w:fill="FFFFFF"/>
            <w:noWrap/>
          </w:tcPr>
          <w:p w:rsidR="00BB7C3A" w:rsidRPr="00D55DC6" w:rsidRDefault="00BB7C3A" w:rsidP="00D867F7">
            <w:pPr>
              <w:widowControl/>
              <w:spacing w:line="0" w:lineRule="atLeast"/>
              <w:jc w:val="center"/>
              <w:rPr>
                <w:rFonts w:eastAsia="標楷體"/>
                <w:kern w:val="0"/>
                <w:sz w:val="22"/>
                <w:szCs w:val="22"/>
              </w:rPr>
            </w:pPr>
          </w:p>
        </w:tc>
      </w:tr>
      <w:tr w:rsidR="001D0350" w:rsidRPr="00D55DC6" w:rsidTr="00BB7C3A">
        <w:trPr>
          <w:gridAfter w:val="10"/>
          <w:wAfter w:w="8701" w:type="dxa"/>
          <w:trHeight w:val="330"/>
        </w:trPr>
        <w:tc>
          <w:tcPr>
            <w:tcW w:w="993" w:type="dxa"/>
            <w:tcBorders>
              <w:top w:val="nil"/>
              <w:left w:val="single" w:sz="4" w:space="0" w:color="auto"/>
              <w:bottom w:val="single" w:sz="4" w:space="0" w:color="auto"/>
              <w:right w:val="single" w:sz="4" w:space="0" w:color="auto"/>
            </w:tcBorders>
            <w:shd w:val="clear" w:color="auto" w:fill="FFFFCC"/>
            <w:noWrap/>
            <w:vAlign w:val="center"/>
            <w:hideMark/>
          </w:tcPr>
          <w:p w:rsidR="00BB7C3A" w:rsidRPr="00D55DC6" w:rsidRDefault="00BB7C3A" w:rsidP="00D867F7">
            <w:pPr>
              <w:widowControl/>
              <w:spacing w:line="0" w:lineRule="atLeast"/>
              <w:rPr>
                <w:rFonts w:eastAsia="標楷體"/>
                <w:b/>
                <w:bCs/>
                <w:kern w:val="0"/>
                <w:sz w:val="22"/>
                <w:szCs w:val="20"/>
              </w:rPr>
            </w:pPr>
            <w:r w:rsidRPr="00D55DC6">
              <w:rPr>
                <w:rFonts w:eastAsia="標楷體"/>
                <w:b/>
                <w:bCs/>
                <w:kern w:val="0"/>
                <w:sz w:val="22"/>
                <w:szCs w:val="20"/>
              </w:rPr>
              <w:t>投資現值</w:t>
            </w:r>
          </w:p>
        </w:tc>
        <w:tc>
          <w:tcPr>
            <w:tcW w:w="1134" w:type="dxa"/>
            <w:tcBorders>
              <w:top w:val="nil"/>
              <w:left w:val="nil"/>
              <w:bottom w:val="single" w:sz="4" w:space="0" w:color="auto"/>
              <w:right w:val="single" w:sz="4" w:space="0" w:color="auto"/>
            </w:tcBorders>
            <w:shd w:val="clear" w:color="auto" w:fill="FFFFCC"/>
            <w:noWrap/>
            <w:vAlign w:val="center"/>
            <w:hideMark/>
          </w:tcPr>
          <w:p w:rsidR="00BB7C3A" w:rsidRPr="00D55DC6" w:rsidRDefault="00BB7C3A" w:rsidP="00D867F7">
            <w:pPr>
              <w:widowControl/>
              <w:spacing w:line="0" w:lineRule="atLeast"/>
              <w:ind w:rightChars="47" w:right="113"/>
              <w:jc w:val="right"/>
              <w:rPr>
                <w:rFonts w:eastAsia="標楷體"/>
                <w:b/>
                <w:bCs/>
                <w:kern w:val="0"/>
                <w:sz w:val="20"/>
                <w:szCs w:val="20"/>
              </w:rPr>
            </w:pPr>
            <w:r w:rsidRPr="00D55DC6">
              <w:rPr>
                <w:rFonts w:eastAsia="標楷體"/>
                <w:b/>
                <w:bCs/>
                <w:kern w:val="0"/>
                <w:sz w:val="20"/>
                <w:szCs w:val="20"/>
              </w:rPr>
              <w:t>3,738,558</w:t>
            </w:r>
          </w:p>
        </w:tc>
      </w:tr>
      <w:tr w:rsidR="001D0350" w:rsidRPr="00D55DC6" w:rsidTr="00BB7C3A">
        <w:trPr>
          <w:gridAfter w:val="10"/>
          <w:wAfter w:w="8701" w:type="dxa"/>
          <w:trHeight w:val="330"/>
        </w:trPr>
        <w:tc>
          <w:tcPr>
            <w:tcW w:w="993" w:type="dxa"/>
            <w:tcBorders>
              <w:top w:val="nil"/>
              <w:left w:val="single" w:sz="4" w:space="0" w:color="auto"/>
              <w:bottom w:val="single" w:sz="4" w:space="0" w:color="auto"/>
              <w:right w:val="single" w:sz="4" w:space="0" w:color="auto"/>
            </w:tcBorders>
            <w:shd w:val="clear" w:color="auto" w:fill="FFFFCC"/>
            <w:noWrap/>
            <w:vAlign w:val="center"/>
            <w:hideMark/>
          </w:tcPr>
          <w:p w:rsidR="00BB7C3A" w:rsidRPr="00D55DC6" w:rsidRDefault="00BB7C3A" w:rsidP="00D867F7">
            <w:pPr>
              <w:widowControl/>
              <w:spacing w:line="0" w:lineRule="atLeast"/>
              <w:rPr>
                <w:rFonts w:eastAsia="標楷體"/>
                <w:b/>
                <w:bCs/>
                <w:kern w:val="0"/>
                <w:sz w:val="22"/>
                <w:szCs w:val="20"/>
              </w:rPr>
            </w:pPr>
            <w:r w:rsidRPr="00D55DC6">
              <w:rPr>
                <w:rFonts w:eastAsia="標楷體"/>
                <w:b/>
                <w:bCs/>
                <w:kern w:val="0"/>
                <w:sz w:val="22"/>
                <w:szCs w:val="20"/>
              </w:rPr>
              <w:t>收益現值</w:t>
            </w:r>
          </w:p>
        </w:tc>
        <w:tc>
          <w:tcPr>
            <w:tcW w:w="1134" w:type="dxa"/>
            <w:tcBorders>
              <w:top w:val="nil"/>
              <w:left w:val="nil"/>
              <w:bottom w:val="single" w:sz="4" w:space="0" w:color="auto"/>
              <w:right w:val="single" w:sz="4" w:space="0" w:color="auto"/>
            </w:tcBorders>
            <w:shd w:val="clear" w:color="auto" w:fill="FFFFCC"/>
            <w:noWrap/>
            <w:vAlign w:val="center"/>
            <w:hideMark/>
          </w:tcPr>
          <w:p w:rsidR="00BB7C3A" w:rsidRPr="00D55DC6" w:rsidRDefault="00BB7C3A" w:rsidP="00D867F7">
            <w:pPr>
              <w:widowControl/>
              <w:spacing w:line="0" w:lineRule="atLeast"/>
              <w:ind w:rightChars="47" w:right="113"/>
              <w:jc w:val="right"/>
              <w:rPr>
                <w:rFonts w:eastAsia="標楷體"/>
                <w:b/>
                <w:bCs/>
                <w:kern w:val="0"/>
                <w:sz w:val="20"/>
                <w:szCs w:val="20"/>
              </w:rPr>
            </w:pPr>
            <w:r w:rsidRPr="00D55DC6">
              <w:rPr>
                <w:rFonts w:eastAsia="標楷體"/>
                <w:b/>
                <w:bCs/>
                <w:kern w:val="0"/>
                <w:sz w:val="20"/>
                <w:szCs w:val="20"/>
              </w:rPr>
              <w:t>1,023,716</w:t>
            </w:r>
          </w:p>
        </w:tc>
      </w:tr>
      <w:tr w:rsidR="001D0350" w:rsidRPr="00D55DC6" w:rsidTr="00BB7C3A">
        <w:trPr>
          <w:gridAfter w:val="10"/>
          <w:wAfter w:w="8701" w:type="dxa"/>
          <w:trHeight w:val="330"/>
        </w:trPr>
        <w:tc>
          <w:tcPr>
            <w:tcW w:w="993" w:type="dxa"/>
            <w:tcBorders>
              <w:top w:val="nil"/>
              <w:left w:val="single" w:sz="4" w:space="0" w:color="auto"/>
              <w:bottom w:val="single" w:sz="4" w:space="0" w:color="auto"/>
              <w:right w:val="single" w:sz="4" w:space="0" w:color="auto"/>
            </w:tcBorders>
            <w:shd w:val="clear" w:color="auto" w:fill="FDE9D9"/>
            <w:noWrap/>
            <w:vAlign w:val="center"/>
            <w:hideMark/>
          </w:tcPr>
          <w:p w:rsidR="00BB7C3A" w:rsidRPr="00D55DC6" w:rsidRDefault="00BB7C3A" w:rsidP="00D867F7">
            <w:pPr>
              <w:widowControl/>
              <w:spacing w:line="0" w:lineRule="atLeast"/>
              <w:rPr>
                <w:rFonts w:eastAsia="標楷體"/>
                <w:kern w:val="0"/>
                <w:sz w:val="22"/>
                <w:szCs w:val="20"/>
              </w:rPr>
            </w:pPr>
            <w:r w:rsidRPr="00D55DC6">
              <w:rPr>
                <w:rFonts w:eastAsia="標楷體"/>
                <w:kern w:val="0"/>
                <w:sz w:val="18"/>
                <w:szCs w:val="20"/>
              </w:rPr>
              <w:t>計畫自償率</w:t>
            </w:r>
          </w:p>
        </w:tc>
        <w:tc>
          <w:tcPr>
            <w:tcW w:w="1134" w:type="dxa"/>
            <w:tcBorders>
              <w:top w:val="nil"/>
              <w:left w:val="nil"/>
              <w:bottom w:val="single" w:sz="4" w:space="0" w:color="auto"/>
              <w:right w:val="single" w:sz="4" w:space="0" w:color="auto"/>
            </w:tcBorders>
            <w:shd w:val="clear" w:color="auto" w:fill="FDE9D9"/>
            <w:noWrap/>
            <w:vAlign w:val="center"/>
            <w:hideMark/>
          </w:tcPr>
          <w:p w:rsidR="00BB7C3A" w:rsidRPr="00D55DC6" w:rsidRDefault="00BB7C3A" w:rsidP="00D867F7">
            <w:pPr>
              <w:widowControl/>
              <w:spacing w:line="0" w:lineRule="atLeast"/>
              <w:ind w:rightChars="47" w:right="113"/>
              <w:jc w:val="right"/>
              <w:rPr>
                <w:rFonts w:eastAsia="標楷體"/>
                <w:b/>
                <w:bCs/>
                <w:kern w:val="0"/>
                <w:sz w:val="22"/>
                <w:szCs w:val="20"/>
              </w:rPr>
            </w:pPr>
            <w:r w:rsidRPr="00D55DC6">
              <w:rPr>
                <w:rFonts w:eastAsia="標楷體"/>
                <w:b/>
                <w:bCs/>
                <w:kern w:val="0"/>
                <w:sz w:val="22"/>
                <w:szCs w:val="20"/>
              </w:rPr>
              <w:t>27.38%</w:t>
            </w:r>
          </w:p>
        </w:tc>
      </w:tr>
    </w:tbl>
    <w:p w:rsidR="00286DA1" w:rsidRPr="00D55DC6" w:rsidRDefault="00286DA1" w:rsidP="005A6FC9">
      <w:pPr>
        <w:pStyle w:val="a"/>
        <w:numPr>
          <w:ilvl w:val="0"/>
          <w:numId w:val="0"/>
        </w:numPr>
        <w:ind w:left="851"/>
      </w:pPr>
    </w:p>
    <w:p w:rsidR="00934471" w:rsidRPr="00D55DC6" w:rsidRDefault="00934471" w:rsidP="004865C1">
      <w:pPr>
        <w:pStyle w:val="af2"/>
        <w:numPr>
          <w:ilvl w:val="0"/>
          <w:numId w:val="53"/>
        </w:numPr>
        <w:snapToGrid w:val="0"/>
        <w:spacing w:line="460" w:lineRule="exact"/>
        <w:ind w:leftChars="0"/>
        <w:jc w:val="both"/>
        <w:rPr>
          <w:rFonts w:eastAsia="標楷體"/>
          <w:b/>
          <w:sz w:val="28"/>
          <w:szCs w:val="28"/>
        </w:rPr>
      </w:pPr>
      <w:r w:rsidRPr="00D55DC6">
        <w:rPr>
          <w:rFonts w:eastAsia="標楷體"/>
          <w:b/>
          <w:sz w:val="28"/>
          <w:szCs w:val="28"/>
        </w:rPr>
        <w:t>預估財務收入情形</w:t>
      </w:r>
    </w:p>
    <w:p w:rsidR="00934471" w:rsidRPr="00D55DC6" w:rsidRDefault="00934471" w:rsidP="005A6FC9">
      <w:pPr>
        <w:pStyle w:val="a"/>
        <w:numPr>
          <w:ilvl w:val="0"/>
          <w:numId w:val="0"/>
        </w:numPr>
        <w:ind w:left="709"/>
      </w:pPr>
      <w:bookmarkStart w:id="81" w:name="_Toc407181659"/>
      <w:r w:rsidRPr="00D55DC6">
        <w:t>透過推動設施出租、重大促參案件、使用者付費、跨域合作等方向，積極提升計畫自償率。詳如下列預估財務收入分年規劃表。</w:t>
      </w:r>
      <w:bookmarkEnd w:id="81"/>
    </w:p>
    <w:p w:rsidR="00C60CD2" w:rsidRPr="00D55DC6" w:rsidRDefault="00C60CD2" w:rsidP="005A6FC9">
      <w:pPr>
        <w:pStyle w:val="a"/>
        <w:numPr>
          <w:ilvl w:val="0"/>
          <w:numId w:val="0"/>
        </w:numPr>
        <w:ind w:left="709"/>
      </w:pPr>
    </w:p>
    <w:p w:rsidR="00934471" w:rsidRPr="00D55DC6" w:rsidRDefault="00934471" w:rsidP="0038165F">
      <w:pPr>
        <w:keepNext/>
        <w:spacing w:line="500" w:lineRule="exact"/>
        <w:ind w:rightChars="-316" w:right="-758"/>
        <w:rPr>
          <w:rFonts w:eastAsia="標楷體"/>
          <w:sz w:val="20"/>
          <w:szCs w:val="20"/>
        </w:rPr>
      </w:pPr>
      <w:r w:rsidRPr="00D55DC6">
        <w:rPr>
          <w:rFonts w:eastAsia="標楷體"/>
        </w:rPr>
        <w:t>表</w:t>
      </w:r>
      <w:r w:rsidRPr="00D55DC6">
        <w:rPr>
          <w:rFonts w:eastAsia="標楷體"/>
        </w:rPr>
        <w:t xml:space="preserve">  </w:t>
      </w:r>
      <w:r w:rsidRPr="00D55DC6">
        <w:rPr>
          <w:rFonts w:eastAsia="標楷體"/>
        </w:rPr>
        <w:t>預估財務收入分年規劃表</w:t>
      </w:r>
      <w:r w:rsidRPr="00D55DC6">
        <w:rPr>
          <w:rFonts w:eastAsia="標楷體"/>
        </w:rPr>
        <w:t xml:space="preserve">                       </w:t>
      </w:r>
      <w:r w:rsidRPr="00D55DC6">
        <w:rPr>
          <w:rFonts w:eastAsia="標楷體"/>
        </w:rPr>
        <w:t xml:space="preserve">　　　　　　　　</w:t>
      </w:r>
      <w:r w:rsidRPr="00D55DC6">
        <w:rPr>
          <w:rFonts w:eastAsia="標楷體"/>
        </w:rPr>
        <w:t xml:space="preserve"> </w:t>
      </w:r>
      <w:r w:rsidRPr="00D55DC6">
        <w:rPr>
          <w:rFonts w:eastAsia="標楷體"/>
          <w:sz w:val="20"/>
          <w:szCs w:val="20"/>
        </w:rPr>
        <w:t>（單位：千元）</w:t>
      </w:r>
    </w:p>
    <w:tbl>
      <w:tblPr>
        <w:tblW w:w="9636" w:type="dxa"/>
        <w:tblInd w:w="28" w:type="dxa"/>
        <w:tblLayout w:type="fixed"/>
        <w:tblCellMar>
          <w:left w:w="28" w:type="dxa"/>
          <w:right w:w="28" w:type="dxa"/>
        </w:tblCellMar>
        <w:tblLook w:val="04A0" w:firstRow="1" w:lastRow="0" w:firstColumn="1" w:lastColumn="0" w:noHBand="0" w:noVBand="1"/>
      </w:tblPr>
      <w:tblGrid>
        <w:gridCol w:w="2550"/>
        <w:gridCol w:w="707"/>
        <w:gridCol w:w="708"/>
        <w:gridCol w:w="709"/>
        <w:gridCol w:w="709"/>
        <w:gridCol w:w="709"/>
        <w:gridCol w:w="708"/>
        <w:gridCol w:w="709"/>
        <w:gridCol w:w="709"/>
        <w:gridCol w:w="709"/>
        <w:gridCol w:w="709"/>
      </w:tblGrid>
      <w:tr w:rsidR="001D0350" w:rsidRPr="00D55DC6" w:rsidTr="00BB7C3A">
        <w:trPr>
          <w:trHeight w:val="585"/>
        </w:trPr>
        <w:tc>
          <w:tcPr>
            <w:tcW w:w="2550" w:type="dxa"/>
            <w:tcBorders>
              <w:top w:val="single" w:sz="4" w:space="0" w:color="auto"/>
              <w:left w:val="single" w:sz="4" w:space="0" w:color="auto"/>
              <w:bottom w:val="double" w:sz="6" w:space="0" w:color="auto"/>
              <w:right w:val="single" w:sz="4" w:space="0" w:color="auto"/>
            </w:tcBorders>
            <w:shd w:val="clear" w:color="auto" w:fill="FFCC00"/>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2"/>
                <w:szCs w:val="20"/>
              </w:rPr>
              <w:t>年度</w:t>
            </w:r>
            <w:r w:rsidRPr="00D55DC6">
              <w:rPr>
                <w:rFonts w:eastAsia="標楷體"/>
                <w:kern w:val="0"/>
                <w:sz w:val="22"/>
                <w:szCs w:val="20"/>
              </w:rPr>
              <w:br/>
            </w:r>
            <w:r w:rsidRPr="00D55DC6">
              <w:rPr>
                <w:rFonts w:eastAsia="標楷體"/>
                <w:kern w:val="0"/>
                <w:sz w:val="22"/>
                <w:szCs w:val="20"/>
              </w:rPr>
              <w:t>收益項目</w:t>
            </w:r>
          </w:p>
        </w:tc>
        <w:tc>
          <w:tcPr>
            <w:tcW w:w="707"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103</w:t>
            </w:r>
          </w:p>
        </w:tc>
        <w:tc>
          <w:tcPr>
            <w:tcW w:w="708"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104</w:t>
            </w:r>
          </w:p>
        </w:tc>
        <w:tc>
          <w:tcPr>
            <w:tcW w:w="709"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105</w:t>
            </w:r>
          </w:p>
        </w:tc>
        <w:tc>
          <w:tcPr>
            <w:tcW w:w="709"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106</w:t>
            </w:r>
          </w:p>
        </w:tc>
        <w:tc>
          <w:tcPr>
            <w:tcW w:w="709"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107</w:t>
            </w:r>
          </w:p>
        </w:tc>
        <w:tc>
          <w:tcPr>
            <w:tcW w:w="708"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108</w:t>
            </w:r>
          </w:p>
        </w:tc>
        <w:tc>
          <w:tcPr>
            <w:tcW w:w="709"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109</w:t>
            </w:r>
          </w:p>
        </w:tc>
        <w:tc>
          <w:tcPr>
            <w:tcW w:w="709"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110</w:t>
            </w:r>
          </w:p>
        </w:tc>
        <w:tc>
          <w:tcPr>
            <w:tcW w:w="709"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111</w:t>
            </w:r>
          </w:p>
        </w:tc>
        <w:tc>
          <w:tcPr>
            <w:tcW w:w="709"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112</w:t>
            </w:r>
          </w:p>
        </w:tc>
      </w:tr>
      <w:tr w:rsidR="001D0350" w:rsidRPr="00D55DC6" w:rsidTr="00BB7C3A">
        <w:trPr>
          <w:trHeight w:val="345"/>
        </w:trPr>
        <w:tc>
          <w:tcPr>
            <w:tcW w:w="2550"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一、既有出租據點收益</w:t>
            </w:r>
          </w:p>
        </w:tc>
        <w:tc>
          <w:tcPr>
            <w:tcW w:w="707" w:type="dxa"/>
            <w:tcBorders>
              <w:top w:val="nil"/>
              <w:left w:val="nil"/>
              <w:bottom w:val="single" w:sz="4" w:space="0" w:color="auto"/>
              <w:right w:val="single" w:sz="4" w:space="0" w:color="auto"/>
            </w:tcBorders>
            <w:shd w:val="clear" w:color="auto" w:fill="DAEEF3"/>
            <w:noWrap/>
            <w:hideMark/>
          </w:tcPr>
          <w:p w:rsidR="00BB7C3A" w:rsidRPr="00D55DC6" w:rsidRDefault="00BB7C3A" w:rsidP="00BB7C3A">
            <w:pPr>
              <w:spacing w:line="0" w:lineRule="atLeast"/>
              <w:jc w:val="right"/>
              <w:rPr>
                <w:rFonts w:eastAsia="標楷體"/>
                <w:kern w:val="0"/>
                <w:sz w:val="20"/>
                <w:szCs w:val="20"/>
              </w:rPr>
            </w:pPr>
            <w:r w:rsidRPr="00D55DC6">
              <w:rPr>
                <w:rFonts w:eastAsia="標楷體"/>
                <w:kern w:val="0"/>
                <w:sz w:val="20"/>
                <w:szCs w:val="20"/>
              </w:rPr>
              <w:t>583</w:t>
            </w:r>
          </w:p>
        </w:tc>
        <w:tc>
          <w:tcPr>
            <w:tcW w:w="708" w:type="dxa"/>
            <w:tcBorders>
              <w:top w:val="nil"/>
              <w:left w:val="nil"/>
              <w:bottom w:val="single" w:sz="4" w:space="0" w:color="auto"/>
              <w:right w:val="single" w:sz="4" w:space="0" w:color="auto"/>
            </w:tcBorders>
            <w:shd w:val="clear" w:color="auto" w:fill="DAEEF3"/>
            <w:noWrap/>
            <w:hideMark/>
          </w:tcPr>
          <w:p w:rsidR="00BB7C3A" w:rsidRPr="00D55DC6" w:rsidRDefault="00BB7C3A" w:rsidP="00BB7C3A">
            <w:pPr>
              <w:spacing w:line="0" w:lineRule="atLeast"/>
              <w:jc w:val="right"/>
              <w:rPr>
                <w:rFonts w:eastAsia="標楷體"/>
                <w:kern w:val="0"/>
                <w:sz w:val="20"/>
                <w:szCs w:val="20"/>
              </w:rPr>
            </w:pPr>
            <w:r w:rsidRPr="00D55DC6">
              <w:rPr>
                <w:rFonts w:eastAsia="標楷體"/>
                <w:kern w:val="0"/>
                <w:sz w:val="20"/>
                <w:szCs w:val="20"/>
              </w:rPr>
              <w:t>594</w:t>
            </w:r>
          </w:p>
        </w:tc>
        <w:tc>
          <w:tcPr>
            <w:tcW w:w="709" w:type="dxa"/>
            <w:tcBorders>
              <w:top w:val="nil"/>
              <w:left w:val="nil"/>
              <w:bottom w:val="single" w:sz="4" w:space="0" w:color="auto"/>
              <w:right w:val="single" w:sz="4" w:space="0" w:color="auto"/>
            </w:tcBorders>
            <w:shd w:val="clear" w:color="auto" w:fill="DAEEF3"/>
            <w:noWrap/>
            <w:hideMark/>
          </w:tcPr>
          <w:p w:rsidR="00BB7C3A" w:rsidRPr="00D55DC6" w:rsidRDefault="00BB7C3A" w:rsidP="00BB7C3A">
            <w:pPr>
              <w:spacing w:line="0" w:lineRule="atLeast"/>
              <w:jc w:val="right"/>
              <w:rPr>
                <w:rFonts w:eastAsia="標楷體"/>
                <w:kern w:val="0"/>
                <w:sz w:val="20"/>
                <w:szCs w:val="20"/>
              </w:rPr>
            </w:pPr>
            <w:r w:rsidRPr="00D55DC6">
              <w:rPr>
                <w:rFonts w:eastAsia="標楷體"/>
                <w:kern w:val="0"/>
                <w:sz w:val="20"/>
                <w:szCs w:val="20"/>
              </w:rPr>
              <w:t>607</w:t>
            </w:r>
          </w:p>
        </w:tc>
        <w:tc>
          <w:tcPr>
            <w:tcW w:w="709" w:type="dxa"/>
            <w:tcBorders>
              <w:top w:val="nil"/>
              <w:left w:val="nil"/>
              <w:bottom w:val="single" w:sz="4" w:space="0" w:color="auto"/>
              <w:right w:val="single" w:sz="4" w:space="0" w:color="auto"/>
            </w:tcBorders>
            <w:shd w:val="clear" w:color="auto" w:fill="DAEEF3"/>
            <w:noWrap/>
            <w:hideMark/>
          </w:tcPr>
          <w:p w:rsidR="00BB7C3A" w:rsidRPr="00D55DC6" w:rsidRDefault="00BB7C3A" w:rsidP="00BB7C3A">
            <w:pPr>
              <w:spacing w:line="0" w:lineRule="atLeast"/>
              <w:jc w:val="right"/>
              <w:rPr>
                <w:rFonts w:eastAsia="標楷體"/>
                <w:kern w:val="0"/>
                <w:sz w:val="20"/>
                <w:szCs w:val="20"/>
              </w:rPr>
            </w:pPr>
            <w:r w:rsidRPr="00D55DC6">
              <w:rPr>
                <w:rFonts w:eastAsia="標楷體"/>
                <w:kern w:val="0"/>
                <w:sz w:val="20"/>
                <w:szCs w:val="20"/>
              </w:rPr>
              <w:t>620</w:t>
            </w:r>
          </w:p>
        </w:tc>
        <w:tc>
          <w:tcPr>
            <w:tcW w:w="709" w:type="dxa"/>
            <w:tcBorders>
              <w:top w:val="nil"/>
              <w:left w:val="nil"/>
              <w:bottom w:val="single" w:sz="4" w:space="0" w:color="auto"/>
              <w:right w:val="single" w:sz="4" w:space="0" w:color="auto"/>
            </w:tcBorders>
            <w:shd w:val="clear" w:color="auto" w:fill="DAEEF3"/>
            <w:noWrap/>
            <w:hideMark/>
          </w:tcPr>
          <w:p w:rsidR="00BB7C3A" w:rsidRPr="00D55DC6" w:rsidRDefault="00BB7C3A" w:rsidP="00BB7C3A">
            <w:pPr>
              <w:spacing w:line="0" w:lineRule="atLeast"/>
              <w:jc w:val="right"/>
              <w:rPr>
                <w:rFonts w:eastAsia="標楷體"/>
                <w:kern w:val="0"/>
                <w:sz w:val="20"/>
                <w:szCs w:val="20"/>
              </w:rPr>
            </w:pPr>
            <w:r w:rsidRPr="00D55DC6">
              <w:rPr>
                <w:rFonts w:eastAsia="標楷體"/>
                <w:kern w:val="0"/>
                <w:sz w:val="20"/>
                <w:szCs w:val="20"/>
              </w:rPr>
              <w:t>630</w:t>
            </w:r>
          </w:p>
        </w:tc>
        <w:tc>
          <w:tcPr>
            <w:tcW w:w="708" w:type="dxa"/>
            <w:tcBorders>
              <w:top w:val="nil"/>
              <w:left w:val="nil"/>
              <w:bottom w:val="single" w:sz="4" w:space="0" w:color="auto"/>
              <w:right w:val="single" w:sz="4" w:space="0" w:color="auto"/>
            </w:tcBorders>
            <w:shd w:val="clear" w:color="auto" w:fill="DAEEF3"/>
            <w:noWrap/>
            <w:hideMark/>
          </w:tcPr>
          <w:p w:rsidR="00BB7C3A" w:rsidRPr="00D55DC6" w:rsidRDefault="00BB7C3A" w:rsidP="00BB7C3A">
            <w:pPr>
              <w:spacing w:line="0" w:lineRule="atLeast"/>
              <w:jc w:val="right"/>
              <w:rPr>
                <w:rFonts w:eastAsia="標楷體"/>
                <w:kern w:val="0"/>
                <w:sz w:val="20"/>
                <w:szCs w:val="20"/>
              </w:rPr>
            </w:pPr>
            <w:r w:rsidRPr="00D55DC6">
              <w:rPr>
                <w:rFonts w:eastAsia="標楷體"/>
                <w:kern w:val="0"/>
                <w:sz w:val="20"/>
                <w:szCs w:val="20"/>
              </w:rPr>
              <w:t>654</w:t>
            </w:r>
          </w:p>
        </w:tc>
        <w:tc>
          <w:tcPr>
            <w:tcW w:w="709" w:type="dxa"/>
            <w:tcBorders>
              <w:top w:val="nil"/>
              <w:left w:val="nil"/>
              <w:bottom w:val="single" w:sz="4" w:space="0" w:color="auto"/>
              <w:right w:val="single" w:sz="4" w:space="0" w:color="auto"/>
            </w:tcBorders>
            <w:shd w:val="clear" w:color="auto" w:fill="DAEEF3"/>
            <w:noWrap/>
            <w:hideMark/>
          </w:tcPr>
          <w:p w:rsidR="00BB7C3A" w:rsidRPr="00D55DC6" w:rsidRDefault="00BB7C3A" w:rsidP="00BB7C3A">
            <w:pPr>
              <w:spacing w:line="0" w:lineRule="atLeast"/>
              <w:jc w:val="right"/>
              <w:rPr>
                <w:rFonts w:eastAsia="標楷體"/>
                <w:kern w:val="0"/>
                <w:sz w:val="20"/>
                <w:szCs w:val="20"/>
              </w:rPr>
            </w:pPr>
            <w:r w:rsidRPr="00D55DC6">
              <w:rPr>
                <w:rFonts w:eastAsia="標楷體"/>
                <w:kern w:val="0"/>
                <w:sz w:val="20"/>
                <w:szCs w:val="20"/>
              </w:rPr>
              <w:t>657</w:t>
            </w:r>
          </w:p>
        </w:tc>
        <w:tc>
          <w:tcPr>
            <w:tcW w:w="709" w:type="dxa"/>
            <w:tcBorders>
              <w:top w:val="nil"/>
              <w:left w:val="nil"/>
              <w:bottom w:val="single" w:sz="4" w:space="0" w:color="auto"/>
              <w:right w:val="single" w:sz="4" w:space="0" w:color="auto"/>
            </w:tcBorders>
            <w:shd w:val="clear" w:color="auto" w:fill="DAEEF3"/>
            <w:noWrap/>
            <w:hideMark/>
          </w:tcPr>
          <w:p w:rsidR="00BB7C3A" w:rsidRPr="00D55DC6" w:rsidRDefault="00BB7C3A" w:rsidP="00BB7C3A">
            <w:pPr>
              <w:spacing w:line="0" w:lineRule="atLeast"/>
              <w:jc w:val="right"/>
              <w:rPr>
                <w:rFonts w:eastAsia="標楷體"/>
                <w:kern w:val="0"/>
                <w:sz w:val="20"/>
                <w:szCs w:val="20"/>
              </w:rPr>
            </w:pPr>
            <w:r w:rsidRPr="00D55DC6">
              <w:rPr>
                <w:rFonts w:eastAsia="標楷體"/>
                <w:kern w:val="0"/>
                <w:sz w:val="20"/>
                <w:szCs w:val="20"/>
              </w:rPr>
              <w:t>669</w:t>
            </w:r>
          </w:p>
        </w:tc>
        <w:tc>
          <w:tcPr>
            <w:tcW w:w="709" w:type="dxa"/>
            <w:tcBorders>
              <w:top w:val="nil"/>
              <w:left w:val="nil"/>
              <w:bottom w:val="single" w:sz="4" w:space="0" w:color="auto"/>
              <w:right w:val="single" w:sz="4" w:space="0" w:color="auto"/>
            </w:tcBorders>
            <w:shd w:val="clear" w:color="auto" w:fill="DAEEF3"/>
            <w:noWrap/>
            <w:hideMark/>
          </w:tcPr>
          <w:p w:rsidR="00BB7C3A" w:rsidRPr="00D55DC6" w:rsidRDefault="00BB7C3A" w:rsidP="00BB7C3A">
            <w:pPr>
              <w:spacing w:line="0" w:lineRule="atLeast"/>
              <w:jc w:val="right"/>
              <w:rPr>
                <w:rFonts w:eastAsia="標楷體"/>
                <w:kern w:val="0"/>
                <w:sz w:val="20"/>
                <w:szCs w:val="20"/>
              </w:rPr>
            </w:pPr>
            <w:r w:rsidRPr="00D55DC6">
              <w:rPr>
                <w:rFonts w:eastAsia="標楷體"/>
                <w:kern w:val="0"/>
                <w:sz w:val="20"/>
                <w:szCs w:val="20"/>
              </w:rPr>
              <w:t>683</w:t>
            </w:r>
          </w:p>
        </w:tc>
        <w:tc>
          <w:tcPr>
            <w:tcW w:w="709" w:type="dxa"/>
            <w:tcBorders>
              <w:top w:val="nil"/>
              <w:left w:val="nil"/>
              <w:bottom w:val="single" w:sz="4" w:space="0" w:color="auto"/>
              <w:right w:val="single" w:sz="4" w:space="0" w:color="auto"/>
            </w:tcBorders>
            <w:shd w:val="clear" w:color="auto" w:fill="DAEEF3"/>
            <w:noWrap/>
            <w:hideMark/>
          </w:tcPr>
          <w:p w:rsidR="00BB7C3A" w:rsidRPr="00D55DC6" w:rsidRDefault="00BB7C3A" w:rsidP="00BB7C3A">
            <w:pPr>
              <w:spacing w:line="0" w:lineRule="atLeast"/>
              <w:jc w:val="right"/>
              <w:rPr>
                <w:rFonts w:eastAsia="標楷體"/>
                <w:kern w:val="0"/>
                <w:sz w:val="20"/>
                <w:szCs w:val="20"/>
              </w:rPr>
            </w:pPr>
            <w:r w:rsidRPr="00D55DC6">
              <w:rPr>
                <w:rFonts w:eastAsia="標楷體"/>
                <w:kern w:val="0"/>
                <w:sz w:val="20"/>
                <w:szCs w:val="20"/>
              </w:rPr>
              <w:t>697</w:t>
            </w:r>
          </w:p>
        </w:tc>
      </w:tr>
      <w:tr w:rsidR="001D0350" w:rsidRPr="00D55DC6" w:rsidTr="00BB7C3A">
        <w:trPr>
          <w:trHeight w:val="330"/>
        </w:trPr>
        <w:tc>
          <w:tcPr>
            <w:tcW w:w="2550"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二、權利金收益</w:t>
            </w:r>
          </w:p>
        </w:tc>
        <w:tc>
          <w:tcPr>
            <w:tcW w:w="707"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49,000</w:t>
            </w:r>
          </w:p>
        </w:tc>
        <w:tc>
          <w:tcPr>
            <w:tcW w:w="708"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49,980</w:t>
            </w:r>
          </w:p>
        </w:tc>
        <w:tc>
          <w:tcPr>
            <w:tcW w:w="709"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50,980</w:t>
            </w:r>
          </w:p>
        </w:tc>
        <w:tc>
          <w:tcPr>
            <w:tcW w:w="709"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51,999</w:t>
            </w:r>
          </w:p>
        </w:tc>
        <w:tc>
          <w:tcPr>
            <w:tcW w:w="709"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53,039</w:t>
            </w:r>
          </w:p>
        </w:tc>
        <w:tc>
          <w:tcPr>
            <w:tcW w:w="708"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54,100</w:t>
            </w:r>
          </w:p>
        </w:tc>
        <w:tc>
          <w:tcPr>
            <w:tcW w:w="709"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55,182</w:t>
            </w:r>
          </w:p>
        </w:tc>
        <w:tc>
          <w:tcPr>
            <w:tcW w:w="709"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61,286</w:t>
            </w:r>
          </w:p>
        </w:tc>
        <w:tc>
          <w:tcPr>
            <w:tcW w:w="709"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58,500</w:t>
            </w:r>
          </w:p>
        </w:tc>
        <w:tc>
          <w:tcPr>
            <w:tcW w:w="709"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59,670</w:t>
            </w:r>
          </w:p>
        </w:tc>
      </w:tr>
      <w:tr w:rsidR="001D0350" w:rsidRPr="00D55DC6" w:rsidTr="00BB7C3A">
        <w:trPr>
          <w:trHeight w:val="330"/>
        </w:trPr>
        <w:tc>
          <w:tcPr>
            <w:tcW w:w="2550"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野柳地質公園</w:t>
            </w:r>
            <w:r w:rsidRPr="00D55DC6">
              <w:rPr>
                <w:rFonts w:eastAsia="標楷體"/>
                <w:kern w:val="0"/>
                <w:sz w:val="20"/>
                <w:szCs w:val="20"/>
              </w:rPr>
              <w:t>OT</w:t>
            </w:r>
            <w:r w:rsidRPr="00D55DC6">
              <w:rPr>
                <w:rFonts w:eastAsia="標楷體"/>
                <w:kern w:val="0"/>
                <w:sz w:val="20"/>
                <w:szCs w:val="20"/>
              </w:rPr>
              <w:t>案</w:t>
            </w:r>
          </w:p>
        </w:tc>
        <w:tc>
          <w:tcPr>
            <w:tcW w:w="707" w:type="dxa"/>
            <w:tcBorders>
              <w:top w:val="single" w:sz="4" w:space="0" w:color="auto"/>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45,000</w:t>
            </w:r>
          </w:p>
        </w:tc>
        <w:tc>
          <w:tcPr>
            <w:tcW w:w="708" w:type="dxa"/>
            <w:tcBorders>
              <w:top w:val="single" w:sz="4" w:space="0" w:color="auto"/>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45,900</w:t>
            </w:r>
          </w:p>
        </w:tc>
        <w:tc>
          <w:tcPr>
            <w:tcW w:w="709" w:type="dxa"/>
            <w:tcBorders>
              <w:top w:val="single" w:sz="4" w:space="0" w:color="auto"/>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46,818</w:t>
            </w:r>
          </w:p>
        </w:tc>
        <w:tc>
          <w:tcPr>
            <w:tcW w:w="709" w:type="dxa"/>
            <w:tcBorders>
              <w:top w:val="single" w:sz="4" w:space="0" w:color="auto"/>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47,754</w:t>
            </w:r>
          </w:p>
        </w:tc>
        <w:tc>
          <w:tcPr>
            <w:tcW w:w="709" w:type="dxa"/>
            <w:tcBorders>
              <w:top w:val="single" w:sz="4" w:space="0" w:color="auto"/>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48,709</w:t>
            </w:r>
          </w:p>
        </w:tc>
        <w:tc>
          <w:tcPr>
            <w:tcW w:w="708" w:type="dxa"/>
            <w:tcBorders>
              <w:top w:val="single" w:sz="4" w:space="0" w:color="auto"/>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49,684</w:t>
            </w:r>
          </w:p>
        </w:tc>
        <w:tc>
          <w:tcPr>
            <w:tcW w:w="709" w:type="dxa"/>
            <w:tcBorders>
              <w:top w:val="single" w:sz="4" w:space="0" w:color="auto"/>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50,677</w:t>
            </w:r>
          </w:p>
        </w:tc>
        <w:tc>
          <w:tcPr>
            <w:tcW w:w="709" w:type="dxa"/>
            <w:tcBorders>
              <w:top w:val="single" w:sz="4" w:space="0" w:color="auto"/>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51,691</w:t>
            </w:r>
          </w:p>
        </w:tc>
        <w:tc>
          <w:tcPr>
            <w:tcW w:w="709" w:type="dxa"/>
            <w:tcBorders>
              <w:top w:val="single" w:sz="4" w:space="0" w:color="auto"/>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709" w:type="dxa"/>
            <w:tcBorders>
              <w:top w:val="single" w:sz="4" w:space="0" w:color="auto"/>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r>
      <w:tr w:rsidR="001D0350" w:rsidRPr="00D55DC6" w:rsidTr="00BB7C3A">
        <w:trPr>
          <w:trHeight w:val="330"/>
        </w:trPr>
        <w:tc>
          <w:tcPr>
            <w:tcW w:w="2550"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野柳停車場</w:t>
            </w:r>
            <w:r w:rsidRPr="00D55DC6">
              <w:rPr>
                <w:rFonts w:eastAsia="標楷體"/>
                <w:kern w:val="0"/>
                <w:sz w:val="20"/>
                <w:szCs w:val="20"/>
              </w:rPr>
              <w:t>OT</w:t>
            </w:r>
            <w:r w:rsidRPr="00D55DC6">
              <w:rPr>
                <w:rFonts w:eastAsia="標楷體"/>
                <w:kern w:val="0"/>
                <w:sz w:val="20"/>
                <w:szCs w:val="20"/>
              </w:rPr>
              <w:t>案</w:t>
            </w:r>
          </w:p>
        </w:tc>
        <w:tc>
          <w:tcPr>
            <w:tcW w:w="70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4,000</w:t>
            </w:r>
          </w:p>
        </w:tc>
        <w:tc>
          <w:tcPr>
            <w:tcW w:w="708"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4,080</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4,162</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4,245</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4,330</w:t>
            </w:r>
          </w:p>
        </w:tc>
        <w:tc>
          <w:tcPr>
            <w:tcW w:w="708"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4,416</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4,505</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4,595</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r>
      <w:tr w:rsidR="001D0350" w:rsidRPr="00D55DC6" w:rsidTr="00BB7C3A">
        <w:trPr>
          <w:trHeight w:val="330"/>
        </w:trPr>
        <w:tc>
          <w:tcPr>
            <w:tcW w:w="2550"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野柳</w:t>
            </w:r>
            <w:r w:rsidRPr="00D55DC6">
              <w:rPr>
                <w:rFonts w:eastAsia="標楷體"/>
                <w:kern w:val="0"/>
                <w:sz w:val="20"/>
                <w:szCs w:val="20"/>
              </w:rPr>
              <w:t>ROT+OT(110</w:t>
            </w:r>
            <w:r w:rsidRPr="00D55DC6">
              <w:rPr>
                <w:rFonts w:eastAsia="標楷體"/>
                <w:kern w:val="0"/>
                <w:sz w:val="20"/>
                <w:szCs w:val="20"/>
              </w:rPr>
              <w:t>年整</w:t>
            </w:r>
          </w:p>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合野柳所有促參案重新</w:t>
            </w:r>
          </w:p>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招商</w:t>
            </w:r>
            <w:r w:rsidRPr="00D55DC6">
              <w:rPr>
                <w:rFonts w:eastAsia="標楷體"/>
                <w:kern w:val="0"/>
                <w:sz w:val="20"/>
                <w:szCs w:val="20"/>
              </w:rPr>
              <w:t>)</w:t>
            </w:r>
          </w:p>
        </w:tc>
        <w:tc>
          <w:tcPr>
            <w:tcW w:w="70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708"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708"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5,000</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58,500</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59,670</w:t>
            </w:r>
          </w:p>
        </w:tc>
      </w:tr>
      <w:tr w:rsidR="001D0350" w:rsidRPr="00D55DC6" w:rsidTr="00BB7C3A">
        <w:trPr>
          <w:trHeight w:val="330"/>
        </w:trPr>
        <w:tc>
          <w:tcPr>
            <w:tcW w:w="2550"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三、擴大範圍之新增收益</w:t>
            </w:r>
          </w:p>
        </w:tc>
        <w:tc>
          <w:tcPr>
            <w:tcW w:w="70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708" w:type="dxa"/>
            <w:tcBorders>
              <w:top w:val="single" w:sz="4" w:space="0" w:color="auto"/>
              <w:left w:val="nil"/>
              <w:bottom w:val="single" w:sz="4" w:space="0" w:color="auto"/>
              <w:right w:val="single" w:sz="4" w:space="0" w:color="auto"/>
            </w:tcBorders>
            <w:shd w:val="clear" w:color="auto" w:fill="DAEEF3" w:themeFill="accent5" w:themeFillTint="33"/>
            <w:noWrap/>
            <w:hideMark/>
          </w:tcPr>
          <w:p w:rsidR="00BB7C3A" w:rsidRPr="00D55DC6" w:rsidRDefault="00BB7C3A" w:rsidP="00BB7C3A">
            <w:pPr>
              <w:spacing w:line="0" w:lineRule="atLeast"/>
              <w:jc w:val="right"/>
              <w:rPr>
                <w:sz w:val="20"/>
                <w:szCs w:val="20"/>
              </w:rPr>
            </w:pPr>
            <w:r w:rsidRPr="00D55DC6">
              <w:rPr>
                <w:sz w:val="20"/>
                <w:szCs w:val="20"/>
              </w:rPr>
              <w:t>3,262</w:t>
            </w:r>
          </w:p>
        </w:tc>
        <w:tc>
          <w:tcPr>
            <w:tcW w:w="709" w:type="dxa"/>
            <w:tcBorders>
              <w:top w:val="single" w:sz="4" w:space="0" w:color="auto"/>
              <w:left w:val="nil"/>
              <w:bottom w:val="single" w:sz="4" w:space="0" w:color="auto"/>
              <w:right w:val="single" w:sz="4" w:space="0" w:color="auto"/>
            </w:tcBorders>
            <w:shd w:val="clear" w:color="auto" w:fill="DAEEF3" w:themeFill="accent5" w:themeFillTint="33"/>
            <w:noWrap/>
            <w:hideMark/>
          </w:tcPr>
          <w:p w:rsidR="00BB7C3A" w:rsidRPr="00D55DC6" w:rsidRDefault="00BB7C3A" w:rsidP="00BB7C3A">
            <w:pPr>
              <w:spacing w:line="0" w:lineRule="atLeast"/>
              <w:jc w:val="right"/>
              <w:rPr>
                <w:sz w:val="20"/>
                <w:szCs w:val="20"/>
              </w:rPr>
            </w:pPr>
            <w:r w:rsidRPr="00D55DC6">
              <w:rPr>
                <w:sz w:val="20"/>
                <w:szCs w:val="20"/>
              </w:rPr>
              <w:t>3,327</w:t>
            </w:r>
          </w:p>
        </w:tc>
        <w:tc>
          <w:tcPr>
            <w:tcW w:w="709" w:type="dxa"/>
            <w:tcBorders>
              <w:top w:val="single" w:sz="4" w:space="0" w:color="auto"/>
              <w:left w:val="nil"/>
              <w:bottom w:val="single" w:sz="4" w:space="0" w:color="auto"/>
              <w:right w:val="single" w:sz="4" w:space="0" w:color="auto"/>
            </w:tcBorders>
            <w:shd w:val="clear" w:color="auto" w:fill="DAEEF3" w:themeFill="accent5" w:themeFillTint="33"/>
            <w:noWrap/>
            <w:hideMark/>
          </w:tcPr>
          <w:p w:rsidR="00BB7C3A" w:rsidRPr="00D55DC6" w:rsidRDefault="00BB7C3A" w:rsidP="00BB7C3A">
            <w:pPr>
              <w:spacing w:line="0" w:lineRule="atLeast"/>
              <w:jc w:val="right"/>
              <w:rPr>
                <w:sz w:val="20"/>
                <w:szCs w:val="20"/>
              </w:rPr>
            </w:pPr>
            <w:r w:rsidRPr="00D55DC6">
              <w:rPr>
                <w:sz w:val="20"/>
                <w:szCs w:val="20"/>
              </w:rPr>
              <w:t>3,394</w:t>
            </w:r>
          </w:p>
        </w:tc>
        <w:tc>
          <w:tcPr>
            <w:tcW w:w="709" w:type="dxa"/>
            <w:tcBorders>
              <w:top w:val="single" w:sz="4" w:space="0" w:color="auto"/>
              <w:left w:val="nil"/>
              <w:bottom w:val="single" w:sz="4" w:space="0" w:color="auto"/>
              <w:right w:val="single" w:sz="4" w:space="0" w:color="auto"/>
            </w:tcBorders>
            <w:shd w:val="clear" w:color="auto" w:fill="DAEEF3" w:themeFill="accent5" w:themeFillTint="33"/>
            <w:noWrap/>
            <w:hideMark/>
          </w:tcPr>
          <w:p w:rsidR="00BB7C3A" w:rsidRPr="00D55DC6" w:rsidRDefault="00BB7C3A" w:rsidP="00BB7C3A">
            <w:pPr>
              <w:spacing w:line="0" w:lineRule="atLeast"/>
              <w:jc w:val="right"/>
              <w:rPr>
                <w:sz w:val="20"/>
                <w:szCs w:val="20"/>
              </w:rPr>
            </w:pPr>
            <w:r w:rsidRPr="00D55DC6">
              <w:rPr>
                <w:sz w:val="20"/>
                <w:szCs w:val="20"/>
              </w:rPr>
              <w:t>3,462</w:t>
            </w:r>
          </w:p>
        </w:tc>
        <w:tc>
          <w:tcPr>
            <w:tcW w:w="708" w:type="dxa"/>
            <w:tcBorders>
              <w:top w:val="single" w:sz="4" w:space="0" w:color="auto"/>
              <w:left w:val="nil"/>
              <w:bottom w:val="single" w:sz="4" w:space="0" w:color="auto"/>
              <w:right w:val="single" w:sz="4" w:space="0" w:color="auto"/>
            </w:tcBorders>
            <w:shd w:val="clear" w:color="auto" w:fill="DAEEF3" w:themeFill="accent5" w:themeFillTint="33"/>
            <w:noWrap/>
            <w:hideMark/>
          </w:tcPr>
          <w:p w:rsidR="00BB7C3A" w:rsidRPr="00D55DC6" w:rsidRDefault="00BB7C3A" w:rsidP="00BB7C3A">
            <w:pPr>
              <w:spacing w:line="0" w:lineRule="atLeast"/>
              <w:jc w:val="right"/>
              <w:rPr>
                <w:sz w:val="20"/>
                <w:szCs w:val="20"/>
              </w:rPr>
            </w:pPr>
            <w:r w:rsidRPr="00D55DC6">
              <w:rPr>
                <w:sz w:val="20"/>
                <w:szCs w:val="20"/>
              </w:rPr>
              <w:t>3,531</w:t>
            </w:r>
          </w:p>
        </w:tc>
        <w:tc>
          <w:tcPr>
            <w:tcW w:w="709" w:type="dxa"/>
            <w:tcBorders>
              <w:top w:val="single" w:sz="4" w:space="0" w:color="auto"/>
              <w:left w:val="nil"/>
              <w:bottom w:val="single" w:sz="4" w:space="0" w:color="auto"/>
              <w:right w:val="single" w:sz="4" w:space="0" w:color="auto"/>
            </w:tcBorders>
            <w:shd w:val="clear" w:color="auto" w:fill="DAEEF3" w:themeFill="accent5" w:themeFillTint="33"/>
            <w:noWrap/>
            <w:hideMark/>
          </w:tcPr>
          <w:p w:rsidR="00BB7C3A" w:rsidRPr="00D55DC6" w:rsidRDefault="00BB7C3A" w:rsidP="00BB7C3A">
            <w:pPr>
              <w:spacing w:line="0" w:lineRule="atLeast"/>
              <w:jc w:val="right"/>
              <w:rPr>
                <w:sz w:val="20"/>
                <w:szCs w:val="20"/>
              </w:rPr>
            </w:pPr>
            <w:r w:rsidRPr="00D55DC6">
              <w:rPr>
                <w:sz w:val="20"/>
                <w:szCs w:val="20"/>
              </w:rPr>
              <w:t>3,602</w:t>
            </w:r>
          </w:p>
        </w:tc>
        <w:tc>
          <w:tcPr>
            <w:tcW w:w="709" w:type="dxa"/>
            <w:tcBorders>
              <w:top w:val="single" w:sz="4" w:space="0" w:color="auto"/>
              <w:left w:val="nil"/>
              <w:bottom w:val="single" w:sz="4" w:space="0" w:color="auto"/>
              <w:right w:val="single" w:sz="4" w:space="0" w:color="auto"/>
            </w:tcBorders>
            <w:shd w:val="clear" w:color="auto" w:fill="DAEEF3" w:themeFill="accent5" w:themeFillTint="33"/>
            <w:noWrap/>
            <w:hideMark/>
          </w:tcPr>
          <w:p w:rsidR="00BB7C3A" w:rsidRPr="00D55DC6" w:rsidRDefault="00BB7C3A" w:rsidP="00BB7C3A">
            <w:pPr>
              <w:spacing w:line="0" w:lineRule="atLeast"/>
              <w:jc w:val="right"/>
              <w:rPr>
                <w:sz w:val="20"/>
                <w:szCs w:val="20"/>
              </w:rPr>
            </w:pPr>
            <w:r w:rsidRPr="00D55DC6">
              <w:rPr>
                <w:sz w:val="20"/>
                <w:szCs w:val="20"/>
              </w:rPr>
              <w:t>5,908</w:t>
            </w:r>
          </w:p>
        </w:tc>
        <w:tc>
          <w:tcPr>
            <w:tcW w:w="709" w:type="dxa"/>
            <w:tcBorders>
              <w:top w:val="single" w:sz="4" w:space="0" w:color="auto"/>
              <w:left w:val="nil"/>
              <w:bottom w:val="single" w:sz="4" w:space="0" w:color="auto"/>
              <w:right w:val="single" w:sz="4" w:space="0" w:color="auto"/>
            </w:tcBorders>
            <w:shd w:val="clear" w:color="auto" w:fill="DAEEF3" w:themeFill="accent5" w:themeFillTint="33"/>
            <w:noWrap/>
            <w:hideMark/>
          </w:tcPr>
          <w:p w:rsidR="00BB7C3A" w:rsidRPr="00D55DC6" w:rsidRDefault="00BB7C3A" w:rsidP="00BB7C3A">
            <w:pPr>
              <w:spacing w:line="0" w:lineRule="atLeast"/>
              <w:jc w:val="right"/>
              <w:rPr>
                <w:sz w:val="20"/>
                <w:szCs w:val="20"/>
              </w:rPr>
            </w:pPr>
            <w:r w:rsidRPr="00D55DC6">
              <w:rPr>
                <w:sz w:val="20"/>
                <w:szCs w:val="20"/>
              </w:rPr>
              <w:t>6,026</w:t>
            </w:r>
          </w:p>
        </w:tc>
        <w:tc>
          <w:tcPr>
            <w:tcW w:w="709" w:type="dxa"/>
            <w:tcBorders>
              <w:top w:val="single" w:sz="4" w:space="0" w:color="auto"/>
              <w:left w:val="nil"/>
              <w:bottom w:val="single" w:sz="4" w:space="0" w:color="auto"/>
              <w:right w:val="single" w:sz="4" w:space="0" w:color="auto"/>
            </w:tcBorders>
            <w:shd w:val="clear" w:color="auto" w:fill="DAEEF3" w:themeFill="accent5" w:themeFillTint="33"/>
            <w:noWrap/>
            <w:hideMark/>
          </w:tcPr>
          <w:p w:rsidR="00BB7C3A" w:rsidRPr="00D55DC6" w:rsidRDefault="00BB7C3A" w:rsidP="00BB7C3A">
            <w:pPr>
              <w:spacing w:line="0" w:lineRule="atLeast"/>
              <w:jc w:val="right"/>
              <w:rPr>
                <w:sz w:val="20"/>
                <w:szCs w:val="20"/>
              </w:rPr>
            </w:pPr>
            <w:r w:rsidRPr="00D55DC6">
              <w:rPr>
                <w:sz w:val="20"/>
                <w:szCs w:val="20"/>
              </w:rPr>
              <w:t>6,147</w:t>
            </w:r>
          </w:p>
        </w:tc>
      </w:tr>
      <w:tr w:rsidR="001D0350" w:rsidRPr="00D55DC6" w:rsidTr="00BB7C3A">
        <w:trPr>
          <w:trHeight w:val="330"/>
        </w:trPr>
        <w:tc>
          <w:tcPr>
            <w:tcW w:w="2550"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和平島海角樂園</w:t>
            </w:r>
          </w:p>
        </w:tc>
        <w:tc>
          <w:tcPr>
            <w:tcW w:w="70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w:t>
            </w:r>
          </w:p>
        </w:tc>
        <w:tc>
          <w:tcPr>
            <w:tcW w:w="708"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2,227</w:t>
            </w:r>
          </w:p>
        </w:tc>
        <w:tc>
          <w:tcPr>
            <w:tcW w:w="709"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2,272</w:t>
            </w:r>
          </w:p>
        </w:tc>
        <w:tc>
          <w:tcPr>
            <w:tcW w:w="709"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2,317</w:t>
            </w:r>
          </w:p>
        </w:tc>
        <w:tc>
          <w:tcPr>
            <w:tcW w:w="709"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2,363</w:t>
            </w:r>
          </w:p>
        </w:tc>
        <w:tc>
          <w:tcPr>
            <w:tcW w:w="708"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2,411</w:t>
            </w:r>
          </w:p>
        </w:tc>
        <w:tc>
          <w:tcPr>
            <w:tcW w:w="709"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2,459</w:t>
            </w:r>
          </w:p>
        </w:tc>
        <w:tc>
          <w:tcPr>
            <w:tcW w:w="709"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3,259</w:t>
            </w:r>
          </w:p>
        </w:tc>
        <w:tc>
          <w:tcPr>
            <w:tcW w:w="709"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3,324</w:t>
            </w:r>
          </w:p>
        </w:tc>
        <w:tc>
          <w:tcPr>
            <w:tcW w:w="709"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3,390</w:t>
            </w:r>
          </w:p>
        </w:tc>
      </w:tr>
      <w:tr w:rsidR="001D0350" w:rsidRPr="00D55DC6" w:rsidTr="00BB7C3A">
        <w:trPr>
          <w:trHeight w:val="330"/>
        </w:trPr>
        <w:tc>
          <w:tcPr>
            <w:tcW w:w="2550"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外木山湖海灣</w:t>
            </w:r>
          </w:p>
        </w:tc>
        <w:tc>
          <w:tcPr>
            <w:tcW w:w="70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w:t>
            </w:r>
          </w:p>
        </w:tc>
        <w:tc>
          <w:tcPr>
            <w:tcW w:w="708"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300</w:t>
            </w:r>
          </w:p>
        </w:tc>
        <w:tc>
          <w:tcPr>
            <w:tcW w:w="709"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306</w:t>
            </w:r>
          </w:p>
        </w:tc>
        <w:tc>
          <w:tcPr>
            <w:tcW w:w="709"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312</w:t>
            </w:r>
          </w:p>
        </w:tc>
        <w:tc>
          <w:tcPr>
            <w:tcW w:w="709"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318</w:t>
            </w:r>
          </w:p>
        </w:tc>
        <w:tc>
          <w:tcPr>
            <w:tcW w:w="708"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325</w:t>
            </w:r>
          </w:p>
        </w:tc>
        <w:tc>
          <w:tcPr>
            <w:tcW w:w="709"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331</w:t>
            </w:r>
          </w:p>
        </w:tc>
        <w:tc>
          <w:tcPr>
            <w:tcW w:w="709"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338</w:t>
            </w:r>
          </w:p>
        </w:tc>
        <w:tc>
          <w:tcPr>
            <w:tcW w:w="709"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345</w:t>
            </w:r>
          </w:p>
        </w:tc>
        <w:tc>
          <w:tcPr>
            <w:tcW w:w="709"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351</w:t>
            </w:r>
          </w:p>
        </w:tc>
      </w:tr>
      <w:tr w:rsidR="001D0350" w:rsidRPr="00D55DC6" w:rsidTr="00BB7C3A">
        <w:trPr>
          <w:trHeight w:val="330"/>
        </w:trPr>
        <w:tc>
          <w:tcPr>
            <w:tcW w:w="2550"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情人湖公園</w:t>
            </w:r>
          </w:p>
        </w:tc>
        <w:tc>
          <w:tcPr>
            <w:tcW w:w="70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w:t>
            </w:r>
          </w:p>
        </w:tc>
        <w:tc>
          <w:tcPr>
            <w:tcW w:w="708"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735</w:t>
            </w:r>
          </w:p>
        </w:tc>
        <w:tc>
          <w:tcPr>
            <w:tcW w:w="709"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750</w:t>
            </w:r>
          </w:p>
        </w:tc>
        <w:tc>
          <w:tcPr>
            <w:tcW w:w="709"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765</w:t>
            </w:r>
          </w:p>
        </w:tc>
        <w:tc>
          <w:tcPr>
            <w:tcW w:w="709"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780</w:t>
            </w:r>
          </w:p>
        </w:tc>
        <w:tc>
          <w:tcPr>
            <w:tcW w:w="708"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796</w:t>
            </w:r>
          </w:p>
        </w:tc>
        <w:tc>
          <w:tcPr>
            <w:tcW w:w="709"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811</w:t>
            </w:r>
          </w:p>
        </w:tc>
        <w:tc>
          <w:tcPr>
            <w:tcW w:w="709"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2,311</w:t>
            </w:r>
          </w:p>
        </w:tc>
        <w:tc>
          <w:tcPr>
            <w:tcW w:w="709"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2,358</w:t>
            </w:r>
          </w:p>
        </w:tc>
        <w:tc>
          <w:tcPr>
            <w:tcW w:w="709"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2,405</w:t>
            </w:r>
          </w:p>
        </w:tc>
      </w:tr>
      <w:tr w:rsidR="001D0350" w:rsidRPr="00D55DC6" w:rsidTr="00BB7C3A">
        <w:trPr>
          <w:trHeight w:val="330"/>
        </w:trPr>
        <w:tc>
          <w:tcPr>
            <w:tcW w:w="2550"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四、規劃新增收益計畫</w:t>
            </w:r>
          </w:p>
        </w:tc>
        <w:tc>
          <w:tcPr>
            <w:tcW w:w="707"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0</w:t>
            </w:r>
          </w:p>
        </w:tc>
        <w:tc>
          <w:tcPr>
            <w:tcW w:w="708" w:type="dxa"/>
            <w:tcBorders>
              <w:top w:val="nil"/>
              <w:left w:val="nil"/>
              <w:bottom w:val="single" w:sz="4" w:space="0" w:color="auto"/>
              <w:right w:val="single" w:sz="4" w:space="0" w:color="auto"/>
            </w:tcBorders>
            <w:shd w:val="clear" w:color="auto" w:fill="DAEEF3"/>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0</w:t>
            </w:r>
          </w:p>
        </w:tc>
        <w:tc>
          <w:tcPr>
            <w:tcW w:w="709" w:type="dxa"/>
            <w:tcBorders>
              <w:top w:val="nil"/>
              <w:left w:val="nil"/>
              <w:bottom w:val="single" w:sz="4" w:space="0" w:color="auto"/>
              <w:right w:val="single" w:sz="4" w:space="0" w:color="auto"/>
            </w:tcBorders>
            <w:shd w:val="clear" w:color="auto" w:fill="DAEEF3"/>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450</w:t>
            </w:r>
          </w:p>
        </w:tc>
        <w:tc>
          <w:tcPr>
            <w:tcW w:w="709" w:type="dxa"/>
            <w:tcBorders>
              <w:top w:val="nil"/>
              <w:left w:val="nil"/>
              <w:bottom w:val="single" w:sz="4" w:space="0" w:color="auto"/>
              <w:right w:val="single" w:sz="4" w:space="0" w:color="auto"/>
            </w:tcBorders>
            <w:shd w:val="clear" w:color="auto" w:fill="DAEEF3"/>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3,100</w:t>
            </w:r>
          </w:p>
        </w:tc>
        <w:tc>
          <w:tcPr>
            <w:tcW w:w="709" w:type="dxa"/>
            <w:tcBorders>
              <w:top w:val="nil"/>
              <w:left w:val="nil"/>
              <w:bottom w:val="single" w:sz="4" w:space="0" w:color="auto"/>
              <w:right w:val="single" w:sz="4" w:space="0" w:color="auto"/>
            </w:tcBorders>
            <w:shd w:val="clear" w:color="auto" w:fill="DAEEF3"/>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3,462</w:t>
            </w:r>
          </w:p>
        </w:tc>
        <w:tc>
          <w:tcPr>
            <w:tcW w:w="708" w:type="dxa"/>
            <w:tcBorders>
              <w:top w:val="nil"/>
              <w:left w:val="nil"/>
              <w:bottom w:val="single" w:sz="4" w:space="0" w:color="auto"/>
              <w:right w:val="single" w:sz="4" w:space="0" w:color="auto"/>
            </w:tcBorders>
            <w:shd w:val="clear" w:color="auto" w:fill="DAEEF3"/>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4,131</w:t>
            </w:r>
          </w:p>
        </w:tc>
        <w:tc>
          <w:tcPr>
            <w:tcW w:w="709" w:type="dxa"/>
            <w:tcBorders>
              <w:top w:val="nil"/>
              <w:left w:val="nil"/>
              <w:bottom w:val="single" w:sz="4" w:space="0" w:color="auto"/>
              <w:right w:val="single" w:sz="4" w:space="0" w:color="auto"/>
            </w:tcBorders>
            <w:shd w:val="clear" w:color="auto" w:fill="DAEEF3"/>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4,214</w:t>
            </w:r>
          </w:p>
        </w:tc>
        <w:tc>
          <w:tcPr>
            <w:tcW w:w="709" w:type="dxa"/>
            <w:tcBorders>
              <w:top w:val="nil"/>
              <w:left w:val="nil"/>
              <w:bottom w:val="single" w:sz="4" w:space="0" w:color="auto"/>
              <w:right w:val="single" w:sz="4" w:space="0" w:color="auto"/>
            </w:tcBorders>
            <w:shd w:val="clear" w:color="auto" w:fill="DAEEF3"/>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4,298</w:t>
            </w:r>
          </w:p>
        </w:tc>
        <w:tc>
          <w:tcPr>
            <w:tcW w:w="709" w:type="dxa"/>
            <w:tcBorders>
              <w:top w:val="nil"/>
              <w:left w:val="nil"/>
              <w:bottom w:val="single" w:sz="4" w:space="0" w:color="auto"/>
              <w:right w:val="single" w:sz="4" w:space="0" w:color="auto"/>
            </w:tcBorders>
            <w:shd w:val="clear" w:color="auto" w:fill="DAEEF3"/>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4,385</w:t>
            </w:r>
          </w:p>
        </w:tc>
        <w:tc>
          <w:tcPr>
            <w:tcW w:w="709" w:type="dxa"/>
            <w:tcBorders>
              <w:top w:val="nil"/>
              <w:left w:val="nil"/>
              <w:bottom w:val="single" w:sz="4" w:space="0" w:color="auto"/>
              <w:right w:val="single" w:sz="4" w:space="0" w:color="auto"/>
            </w:tcBorders>
            <w:shd w:val="clear" w:color="auto" w:fill="DAEEF3"/>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4,471</w:t>
            </w:r>
          </w:p>
        </w:tc>
      </w:tr>
      <w:tr w:rsidR="001D0350" w:rsidRPr="00D55DC6" w:rsidTr="00BB7C3A">
        <w:trPr>
          <w:trHeight w:val="330"/>
        </w:trPr>
        <w:tc>
          <w:tcPr>
            <w:tcW w:w="2550"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新北市政府合作開闢金</w:t>
            </w:r>
          </w:p>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山溫泉旅館</w:t>
            </w:r>
          </w:p>
        </w:tc>
        <w:tc>
          <w:tcPr>
            <w:tcW w:w="707"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0</w:t>
            </w:r>
          </w:p>
        </w:tc>
        <w:tc>
          <w:tcPr>
            <w:tcW w:w="708"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0</w:t>
            </w:r>
          </w:p>
        </w:tc>
        <w:tc>
          <w:tcPr>
            <w:tcW w:w="709"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450</w:t>
            </w:r>
          </w:p>
        </w:tc>
        <w:tc>
          <w:tcPr>
            <w:tcW w:w="709"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3,100</w:t>
            </w:r>
          </w:p>
        </w:tc>
        <w:tc>
          <w:tcPr>
            <w:tcW w:w="709"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3,162</w:t>
            </w:r>
          </w:p>
        </w:tc>
        <w:tc>
          <w:tcPr>
            <w:tcW w:w="708"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3,225</w:t>
            </w:r>
          </w:p>
        </w:tc>
        <w:tc>
          <w:tcPr>
            <w:tcW w:w="709"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3,290</w:t>
            </w:r>
          </w:p>
        </w:tc>
        <w:tc>
          <w:tcPr>
            <w:tcW w:w="709"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3,356</w:t>
            </w:r>
          </w:p>
        </w:tc>
        <w:tc>
          <w:tcPr>
            <w:tcW w:w="709"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3,423</w:t>
            </w:r>
          </w:p>
        </w:tc>
        <w:tc>
          <w:tcPr>
            <w:tcW w:w="709"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3,491</w:t>
            </w:r>
          </w:p>
        </w:tc>
      </w:tr>
      <w:tr w:rsidR="001D0350" w:rsidRPr="00D55DC6" w:rsidTr="00BB7C3A">
        <w:trPr>
          <w:trHeight w:val="330"/>
        </w:trPr>
        <w:tc>
          <w:tcPr>
            <w:tcW w:w="2550"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萬里員潭溪獨木舟基地</w:t>
            </w:r>
          </w:p>
        </w:tc>
        <w:tc>
          <w:tcPr>
            <w:tcW w:w="70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0</w:t>
            </w:r>
          </w:p>
        </w:tc>
        <w:tc>
          <w:tcPr>
            <w:tcW w:w="708"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0</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0</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0</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0</w:t>
            </w:r>
          </w:p>
        </w:tc>
        <w:tc>
          <w:tcPr>
            <w:tcW w:w="708"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600</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612</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624</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637</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649</w:t>
            </w:r>
          </w:p>
        </w:tc>
      </w:tr>
      <w:tr w:rsidR="001D0350" w:rsidRPr="00D55DC6" w:rsidTr="00BB7C3A">
        <w:trPr>
          <w:trHeight w:val="330"/>
        </w:trPr>
        <w:tc>
          <w:tcPr>
            <w:tcW w:w="2550"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石門北海幸福廣場</w:t>
            </w:r>
          </w:p>
        </w:tc>
        <w:tc>
          <w:tcPr>
            <w:tcW w:w="70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0</w:t>
            </w:r>
          </w:p>
        </w:tc>
        <w:tc>
          <w:tcPr>
            <w:tcW w:w="708"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0</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0</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0</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300</w:t>
            </w:r>
          </w:p>
        </w:tc>
        <w:tc>
          <w:tcPr>
            <w:tcW w:w="708"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306</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312</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318</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325</w:t>
            </w:r>
          </w:p>
        </w:tc>
        <w:tc>
          <w:tcPr>
            <w:tcW w:w="709"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331</w:t>
            </w:r>
          </w:p>
        </w:tc>
      </w:tr>
      <w:tr w:rsidR="001D0350" w:rsidRPr="00D55DC6" w:rsidTr="00BB7C3A">
        <w:trPr>
          <w:trHeight w:val="345"/>
        </w:trPr>
        <w:tc>
          <w:tcPr>
            <w:tcW w:w="2550" w:type="dxa"/>
            <w:tcBorders>
              <w:top w:val="nil"/>
              <w:left w:val="single" w:sz="4" w:space="0" w:color="auto"/>
              <w:bottom w:val="double" w:sz="6"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合</w:t>
            </w:r>
            <w:r w:rsidRPr="00D55DC6">
              <w:rPr>
                <w:rFonts w:eastAsia="標楷體"/>
                <w:kern w:val="0"/>
                <w:sz w:val="20"/>
                <w:szCs w:val="20"/>
              </w:rPr>
              <w:t xml:space="preserve">          </w:t>
            </w:r>
            <w:r w:rsidRPr="00D55DC6">
              <w:rPr>
                <w:rFonts w:eastAsia="標楷體"/>
                <w:kern w:val="0"/>
                <w:sz w:val="20"/>
                <w:szCs w:val="20"/>
              </w:rPr>
              <w:t>計</w:t>
            </w:r>
          </w:p>
        </w:tc>
        <w:tc>
          <w:tcPr>
            <w:tcW w:w="707" w:type="dxa"/>
            <w:tcBorders>
              <w:top w:val="nil"/>
              <w:left w:val="nil"/>
              <w:bottom w:val="double" w:sz="6" w:space="0" w:color="auto"/>
              <w:right w:val="single" w:sz="4" w:space="0" w:color="auto"/>
            </w:tcBorders>
            <w:shd w:val="clear" w:color="auto" w:fill="E4DFEC"/>
            <w:noWrap/>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49,583</w:t>
            </w:r>
          </w:p>
        </w:tc>
        <w:tc>
          <w:tcPr>
            <w:tcW w:w="708" w:type="dxa"/>
            <w:tcBorders>
              <w:top w:val="nil"/>
              <w:left w:val="nil"/>
              <w:bottom w:val="double" w:sz="6" w:space="0" w:color="auto"/>
              <w:right w:val="single" w:sz="4" w:space="0" w:color="auto"/>
            </w:tcBorders>
            <w:shd w:val="clear" w:color="auto" w:fill="E4DFEC"/>
            <w:noWrap/>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53,837</w:t>
            </w:r>
          </w:p>
        </w:tc>
        <w:tc>
          <w:tcPr>
            <w:tcW w:w="709" w:type="dxa"/>
            <w:tcBorders>
              <w:top w:val="nil"/>
              <w:left w:val="nil"/>
              <w:bottom w:val="double" w:sz="6" w:space="0" w:color="auto"/>
              <w:right w:val="single" w:sz="4" w:space="0" w:color="auto"/>
            </w:tcBorders>
            <w:shd w:val="clear" w:color="auto" w:fill="E4DFEC"/>
            <w:noWrap/>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55,363</w:t>
            </w:r>
          </w:p>
        </w:tc>
        <w:tc>
          <w:tcPr>
            <w:tcW w:w="709" w:type="dxa"/>
            <w:tcBorders>
              <w:top w:val="nil"/>
              <w:left w:val="nil"/>
              <w:bottom w:val="double" w:sz="6" w:space="0" w:color="auto"/>
              <w:right w:val="single" w:sz="4" w:space="0" w:color="auto"/>
            </w:tcBorders>
            <w:shd w:val="clear" w:color="auto" w:fill="E4DFEC"/>
            <w:noWrap/>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59,112</w:t>
            </w:r>
          </w:p>
        </w:tc>
        <w:tc>
          <w:tcPr>
            <w:tcW w:w="709" w:type="dxa"/>
            <w:tcBorders>
              <w:top w:val="nil"/>
              <w:left w:val="nil"/>
              <w:bottom w:val="double" w:sz="6" w:space="0" w:color="auto"/>
              <w:right w:val="single" w:sz="4" w:space="0" w:color="auto"/>
            </w:tcBorders>
            <w:shd w:val="clear" w:color="auto" w:fill="E4DFEC"/>
            <w:noWrap/>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60,594</w:t>
            </w:r>
          </w:p>
        </w:tc>
        <w:tc>
          <w:tcPr>
            <w:tcW w:w="708" w:type="dxa"/>
            <w:tcBorders>
              <w:top w:val="nil"/>
              <w:left w:val="nil"/>
              <w:bottom w:val="double" w:sz="6" w:space="0" w:color="auto"/>
              <w:right w:val="single" w:sz="4" w:space="0" w:color="auto"/>
            </w:tcBorders>
            <w:shd w:val="clear" w:color="auto" w:fill="E4DFEC"/>
            <w:noWrap/>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62,406</w:t>
            </w:r>
          </w:p>
        </w:tc>
        <w:tc>
          <w:tcPr>
            <w:tcW w:w="709" w:type="dxa"/>
            <w:tcBorders>
              <w:top w:val="nil"/>
              <w:left w:val="nil"/>
              <w:bottom w:val="double" w:sz="6" w:space="0" w:color="auto"/>
              <w:right w:val="single" w:sz="4" w:space="0" w:color="auto"/>
            </w:tcBorders>
            <w:shd w:val="clear" w:color="auto" w:fill="E4DFEC"/>
            <w:noWrap/>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63,654</w:t>
            </w:r>
          </w:p>
        </w:tc>
        <w:tc>
          <w:tcPr>
            <w:tcW w:w="709" w:type="dxa"/>
            <w:tcBorders>
              <w:top w:val="nil"/>
              <w:left w:val="nil"/>
              <w:bottom w:val="double" w:sz="6" w:space="0" w:color="auto"/>
              <w:right w:val="single" w:sz="4" w:space="0" w:color="auto"/>
            </w:tcBorders>
            <w:shd w:val="clear" w:color="auto" w:fill="E4DFEC"/>
            <w:noWrap/>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72,162</w:t>
            </w:r>
          </w:p>
        </w:tc>
        <w:tc>
          <w:tcPr>
            <w:tcW w:w="709" w:type="dxa"/>
            <w:tcBorders>
              <w:top w:val="nil"/>
              <w:left w:val="nil"/>
              <w:bottom w:val="double" w:sz="6" w:space="0" w:color="auto"/>
              <w:right w:val="single" w:sz="4" w:space="0" w:color="auto"/>
            </w:tcBorders>
            <w:shd w:val="clear" w:color="auto" w:fill="E4DFEC"/>
            <w:noWrap/>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69,593</w:t>
            </w:r>
          </w:p>
        </w:tc>
        <w:tc>
          <w:tcPr>
            <w:tcW w:w="709" w:type="dxa"/>
            <w:tcBorders>
              <w:top w:val="nil"/>
              <w:left w:val="nil"/>
              <w:bottom w:val="double" w:sz="6" w:space="0" w:color="auto"/>
              <w:right w:val="single" w:sz="4" w:space="0" w:color="auto"/>
            </w:tcBorders>
            <w:shd w:val="clear" w:color="auto" w:fill="E4DFEC"/>
            <w:noWrap/>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70,985</w:t>
            </w:r>
          </w:p>
        </w:tc>
      </w:tr>
    </w:tbl>
    <w:p w:rsidR="00BB7C3A" w:rsidRPr="00D55DC6" w:rsidRDefault="00BB7C3A" w:rsidP="009D33BA">
      <w:pPr>
        <w:spacing w:beforeLines="50" w:before="180" w:line="500" w:lineRule="exact"/>
        <w:ind w:rightChars="-435" w:right="-1044"/>
      </w:pPr>
      <w:bookmarkStart w:id="82" w:name="_Toc389579068"/>
      <w:r w:rsidRPr="00D55DC6">
        <w:rPr>
          <w:rFonts w:eastAsia="標楷體"/>
        </w:rPr>
        <w:lastRenderedPageBreak/>
        <w:t xml:space="preserve"> (</w:t>
      </w:r>
      <w:r w:rsidRPr="00D55DC6">
        <w:rPr>
          <w:rFonts w:eastAsia="標楷體"/>
        </w:rPr>
        <w:t>續</w:t>
      </w:r>
      <w:r w:rsidRPr="00D55DC6">
        <w:rPr>
          <w:rFonts w:eastAsia="標楷體"/>
        </w:rPr>
        <w:t>)</w:t>
      </w:r>
      <w:bookmarkEnd w:id="82"/>
      <w:r w:rsidRPr="00D55DC6">
        <w:t xml:space="preserve"> </w:t>
      </w:r>
    </w:p>
    <w:tbl>
      <w:tblPr>
        <w:tblW w:w="10068" w:type="dxa"/>
        <w:tblInd w:w="28" w:type="dxa"/>
        <w:tblLayout w:type="fixed"/>
        <w:tblCellMar>
          <w:left w:w="28" w:type="dxa"/>
          <w:right w:w="28" w:type="dxa"/>
        </w:tblCellMar>
        <w:tblLook w:val="04A0" w:firstRow="1" w:lastRow="0" w:firstColumn="1" w:lastColumn="0" w:noHBand="0" w:noVBand="1"/>
      </w:tblPr>
      <w:tblGrid>
        <w:gridCol w:w="2554"/>
        <w:gridCol w:w="658"/>
        <w:gridCol w:w="657"/>
        <w:gridCol w:w="657"/>
        <w:gridCol w:w="658"/>
        <w:gridCol w:w="657"/>
        <w:gridCol w:w="657"/>
        <w:gridCol w:w="657"/>
        <w:gridCol w:w="658"/>
        <w:gridCol w:w="657"/>
        <w:gridCol w:w="657"/>
        <w:gridCol w:w="941"/>
      </w:tblGrid>
      <w:tr w:rsidR="001D0350" w:rsidRPr="00D55DC6" w:rsidTr="00BB7C3A">
        <w:trPr>
          <w:trHeight w:val="585"/>
          <w:tblHeader/>
        </w:trPr>
        <w:tc>
          <w:tcPr>
            <w:tcW w:w="2552" w:type="dxa"/>
            <w:tcBorders>
              <w:top w:val="single" w:sz="4" w:space="0" w:color="auto"/>
              <w:left w:val="single" w:sz="4" w:space="0" w:color="auto"/>
              <w:bottom w:val="double" w:sz="6" w:space="0" w:color="auto"/>
              <w:right w:val="single" w:sz="4" w:space="0" w:color="auto"/>
            </w:tcBorders>
            <w:shd w:val="clear" w:color="auto" w:fill="FFCC00"/>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2"/>
                <w:szCs w:val="20"/>
              </w:rPr>
              <w:t xml:space="preserve">　　年度</w:t>
            </w:r>
            <w:r w:rsidRPr="00D55DC6">
              <w:rPr>
                <w:rFonts w:eastAsia="標楷體"/>
                <w:kern w:val="0"/>
                <w:sz w:val="22"/>
                <w:szCs w:val="20"/>
              </w:rPr>
              <w:br/>
            </w:r>
            <w:r w:rsidRPr="00D55DC6">
              <w:rPr>
                <w:rFonts w:eastAsia="標楷體"/>
                <w:kern w:val="0"/>
                <w:sz w:val="22"/>
                <w:szCs w:val="20"/>
              </w:rPr>
              <w:t>收益項目</w:t>
            </w:r>
          </w:p>
        </w:tc>
        <w:tc>
          <w:tcPr>
            <w:tcW w:w="657"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113</w:t>
            </w:r>
          </w:p>
        </w:tc>
        <w:tc>
          <w:tcPr>
            <w:tcW w:w="657"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114</w:t>
            </w:r>
          </w:p>
        </w:tc>
        <w:tc>
          <w:tcPr>
            <w:tcW w:w="657"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115</w:t>
            </w:r>
          </w:p>
        </w:tc>
        <w:tc>
          <w:tcPr>
            <w:tcW w:w="658"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116</w:t>
            </w:r>
          </w:p>
        </w:tc>
        <w:tc>
          <w:tcPr>
            <w:tcW w:w="657"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117</w:t>
            </w:r>
          </w:p>
        </w:tc>
        <w:tc>
          <w:tcPr>
            <w:tcW w:w="657"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118</w:t>
            </w:r>
          </w:p>
        </w:tc>
        <w:tc>
          <w:tcPr>
            <w:tcW w:w="657"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119</w:t>
            </w:r>
          </w:p>
        </w:tc>
        <w:tc>
          <w:tcPr>
            <w:tcW w:w="658"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120</w:t>
            </w:r>
          </w:p>
        </w:tc>
        <w:tc>
          <w:tcPr>
            <w:tcW w:w="657"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121</w:t>
            </w:r>
          </w:p>
        </w:tc>
        <w:tc>
          <w:tcPr>
            <w:tcW w:w="657"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122</w:t>
            </w:r>
          </w:p>
        </w:tc>
        <w:tc>
          <w:tcPr>
            <w:tcW w:w="941"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合計</w:t>
            </w:r>
          </w:p>
        </w:tc>
      </w:tr>
      <w:tr w:rsidR="001D0350" w:rsidRPr="00D55DC6" w:rsidTr="00BB7C3A">
        <w:trPr>
          <w:trHeight w:val="345"/>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一、既有出租據點收益</w:t>
            </w:r>
          </w:p>
        </w:tc>
        <w:tc>
          <w:tcPr>
            <w:tcW w:w="657"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724</w:t>
            </w:r>
          </w:p>
        </w:tc>
        <w:tc>
          <w:tcPr>
            <w:tcW w:w="657"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726</w:t>
            </w:r>
          </w:p>
        </w:tc>
        <w:tc>
          <w:tcPr>
            <w:tcW w:w="657"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740</w:t>
            </w:r>
          </w:p>
        </w:tc>
        <w:tc>
          <w:tcPr>
            <w:tcW w:w="658"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755</w:t>
            </w:r>
          </w:p>
        </w:tc>
        <w:tc>
          <w:tcPr>
            <w:tcW w:w="657"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770</w:t>
            </w:r>
          </w:p>
        </w:tc>
        <w:tc>
          <w:tcPr>
            <w:tcW w:w="657"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785</w:t>
            </w:r>
          </w:p>
        </w:tc>
        <w:tc>
          <w:tcPr>
            <w:tcW w:w="657"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800</w:t>
            </w:r>
          </w:p>
        </w:tc>
        <w:tc>
          <w:tcPr>
            <w:tcW w:w="658"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817</w:t>
            </w:r>
          </w:p>
        </w:tc>
        <w:tc>
          <w:tcPr>
            <w:tcW w:w="657"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832</w:t>
            </w:r>
          </w:p>
        </w:tc>
        <w:tc>
          <w:tcPr>
            <w:tcW w:w="657"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847</w:t>
            </w:r>
          </w:p>
        </w:tc>
        <w:tc>
          <w:tcPr>
            <w:tcW w:w="941"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14,190</w:t>
            </w:r>
          </w:p>
        </w:tc>
      </w:tr>
      <w:tr w:rsidR="001D0350" w:rsidRPr="00D55DC6" w:rsidTr="00BB7C3A">
        <w:trPr>
          <w:trHeight w:val="330"/>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二、權利金收益</w:t>
            </w:r>
          </w:p>
        </w:tc>
        <w:tc>
          <w:tcPr>
            <w:tcW w:w="657"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60,863</w:t>
            </w:r>
          </w:p>
        </w:tc>
        <w:tc>
          <w:tcPr>
            <w:tcW w:w="657"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62,081</w:t>
            </w:r>
          </w:p>
        </w:tc>
        <w:tc>
          <w:tcPr>
            <w:tcW w:w="657"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63,322</w:t>
            </w:r>
          </w:p>
        </w:tc>
        <w:tc>
          <w:tcPr>
            <w:tcW w:w="658"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64,589</w:t>
            </w:r>
          </w:p>
        </w:tc>
        <w:tc>
          <w:tcPr>
            <w:tcW w:w="657"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65,881</w:t>
            </w:r>
          </w:p>
        </w:tc>
        <w:tc>
          <w:tcPr>
            <w:tcW w:w="657"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67,198</w:t>
            </w:r>
          </w:p>
        </w:tc>
        <w:tc>
          <w:tcPr>
            <w:tcW w:w="657"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68,542</w:t>
            </w:r>
          </w:p>
        </w:tc>
        <w:tc>
          <w:tcPr>
            <w:tcW w:w="658"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69,913</w:t>
            </w:r>
          </w:p>
        </w:tc>
        <w:tc>
          <w:tcPr>
            <w:tcW w:w="657"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71,311</w:t>
            </w:r>
          </w:p>
        </w:tc>
        <w:tc>
          <w:tcPr>
            <w:tcW w:w="657"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72,737</w:t>
            </w:r>
          </w:p>
        </w:tc>
        <w:tc>
          <w:tcPr>
            <w:tcW w:w="941" w:type="dxa"/>
            <w:tcBorders>
              <w:top w:val="nil"/>
              <w:left w:val="nil"/>
              <w:bottom w:val="single" w:sz="4" w:space="0" w:color="auto"/>
              <w:right w:val="single" w:sz="4" w:space="0" w:color="auto"/>
            </w:tcBorders>
            <w:shd w:val="clear" w:color="auto" w:fill="DAEEF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1,210,173</w:t>
            </w:r>
          </w:p>
        </w:tc>
      </w:tr>
      <w:tr w:rsidR="001D0350" w:rsidRPr="00D55DC6" w:rsidTr="00BB7C3A">
        <w:trPr>
          <w:trHeight w:val="330"/>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野柳地質公園</w:t>
            </w:r>
            <w:r w:rsidRPr="00D55DC6">
              <w:rPr>
                <w:rFonts w:eastAsia="標楷體"/>
                <w:kern w:val="0"/>
                <w:sz w:val="20"/>
                <w:szCs w:val="20"/>
              </w:rPr>
              <w:t>OT</w:t>
            </w:r>
            <w:r w:rsidRPr="00D55DC6">
              <w:rPr>
                <w:rFonts w:eastAsia="標楷體"/>
                <w:kern w:val="0"/>
                <w:sz w:val="20"/>
                <w:szCs w:val="20"/>
              </w:rPr>
              <w:t>案</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658"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658"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941"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386,234</w:t>
            </w:r>
          </w:p>
        </w:tc>
      </w:tr>
      <w:tr w:rsidR="001D0350" w:rsidRPr="00D55DC6" w:rsidTr="00BB7C3A">
        <w:trPr>
          <w:trHeight w:val="330"/>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野柳停車場</w:t>
            </w:r>
            <w:r w:rsidRPr="00D55DC6">
              <w:rPr>
                <w:rFonts w:eastAsia="標楷體"/>
                <w:kern w:val="0"/>
                <w:sz w:val="20"/>
                <w:szCs w:val="20"/>
              </w:rPr>
              <w:t>OT</w:t>
            </w:r>
            <w:r w:rsidRPr="00D55DC6">
              <w:rPr>
                <w:rFonts w:eastAsia="標楷體"/>
                <w:kern w:val="0"/>
                <w:sz w:val="20"/>
                <w:szCs w:val="20"/>
              </w:rPr>
              <w:t>案</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658"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658"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w:t>
            </w:r>
          </w:p>
        </w:tc>
        <w:tc>
          <w:tcPr>
            <w:tcW w:w="941"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34,332</w:t>
            </w:r>
          </w:p>
        </w:tc>
      </w:tr>
      <w:tr w:rsidR="001D0350" w:rsidRPr="00D55DC6" w:rsidTr="00BB7C3A">
        <w:trPr>
          <w:trHeight w:val="330"/>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野柳</w:t>
            </w:r>
            <w:r w:rsidRPr="00D55DC6">
              <w:rPr>
                <w:rFonts w:eastAsia="標楷體"/>
                <w:kern w:val="0"/>
                <w:sz w:val="20"/>
                <w:szCs w:val="20"/>
              </w:rPr>
              <w:t>ROT+OT(110</w:t>
            </w:r>
            <w:r w:rsidRPr="00D55DC6">
              <w:rPr>
                <w:rFonts w:eastAsia="標楷體"/>
                <w:kern w:val="0"/>
                <w:sz w:val="20"/>
                <w:szCs w:val="20"/>
              </w:rPr>
              <w:t>年整</w:t>
            </w:r>
          </w:p>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合野柳所有促參案重新</w:t>
            </w:r>
          </w:p>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招商</w:t>
            </w:r>
            <w:r w:rsidRPr="00D55DC6">
              <w:rPr>
                <w:rFonts w:eastAsia="標楷體"/>
                <w:kern w:val="0"/>
                <w:sz w:val="20"/>
                <w:szCs w:val="20"/>
              </w:rPr>
              <w:t>)</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60,863</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62,081</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63,322</w:t>
            </w:r>
          </w:p>
        </w:tc>
        <w:tc>
          <w:tcPr>
            <w:tcW w:w="658"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64,589</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65,881</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67,198</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68,542</w:t>
            </w:r>
          </w:p>
        </w:tc>
        <w:tc>
          <w:tcPr>
            <w:tcW w:w="658"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69,913</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71,311</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72,737</w:t>
            </w:r>
          </w:p>
        </w:tc>
        <w:tc>
          <w:tcPr>
            <w:tcW w:w="941"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789,607</w:t>
            </w:r>
          </w:p>
        </w:tc>
      </w:tr>
      <w:tr w:rsidR="001D0350" w:rsidRPr="00D55DC6" w:rsidTr="00BB7C3A">
        <w:trPr>
          <w:trHeight w:val="330"/>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三、擴大範圍之新增收益</w:t>
            </w:r>
          </w:p>
        </w:tc>
        <w:tc>
          <w:tcPr>
            <w:tcW w:w="657" w:type="dxa"/>
            <w:tcBorders>
              <w:top w:val="single" w:sz="4" w:space="0" w:color="auto"/>
              <w:left w:val="nil"/>
              <w:bottom w:val="single" w:sz="4" w:space="0" w:color="auto"/>
              <w:right w:val="single" w:sz="4" w:space="0" w:color="auto"/>
            </w:tcBorders>
            <w:shd w:val="clear" w:color="auto" w:fill="DAEEF3" w:themeFill="accent5" w:themeFillTint="33"/>
            <w:noWrap/>
            <w:hideMark/>
          </w:tcPr>
          <w:p w:rsidR="00BB7C3A" w:rsidRPr="00D55DC6" w:rsidRDefault="00BB7C3A" w:rsidP="00BB7C3A">
            <w:pPr>
              <w:spacing w:line="0" w:lineRule="atLeast"/>
              <w:jc w:val="right"/>
              <w:rPr>
                <w:sz w:val="20"/>
                <w:szCs w:val="20"/>
              </w:rPr>
            </w:pPr>
            <w:r w:rsidRPr="00D55DC6">
              <w:rPr>
                <w:sz w:val="20"/>
                <w:szCs w:val="20"/>
              </w:rPr>
              <w:t>6,270</w:t>
            </w:r>
          </w:p>
        </w:tc>
        <w:tc>
          <w:tcPr>
            <w:tcW w:w="657" w:type="dxa"/>
            <w:tcBorders>
              <w:top w:val="single" w:sz="4" w:space="0" w:color="auto"/>
              <w:left w:val="nil"/>
              <w:bottom w:val="single" w:sz="4" w:space="0" w:color="auto"/>
              <w:right w:val="single" w:sz="4" w:space="0" w:color="auto"/>
            </w:tcBorders>
            <w:shd w:val="clear" w:color="auto" w:fill="DAEEF3" w:themeFill="accent5" w:themeFillTint="33"/>
            <w:noWrap/>
            <w:hideMark/>
          </w:tcPr>
          <w:p w:rsidR="00BB7C3A" w:rsidRPr="00D55DC6" w:rsidRDefault="00BB7C3A" w:rsidP="00BB7C3A">
            <w:pPr>
              <w:spacing w:line="0" w:lineRule="atLeast"/>
              <w:jc w:val="right"/>
              <w:rPr>
                <w:sz w:val="20"/>
                <w:szCs w:val="20"/>
              </w:rPr>
            </w:pPr>
            <w:r w:rsidRPr="00D55DC6">
              <w:rPr>
                <w:sz w:val="20"/>
                <w:szCs w:val="20"/>
              </w:rPr>
              <w:t>6,395</w:t>
            </w:r>
          </w:p>
        </w:tc>
        <w:tc>
          <w:tcPr>
            <w:tcW w:w="657" w:type="dxa"/>
            <w:tcBorders>
              <w:top w:val="single" w:sz="4" w:space="0" w:color="auto"/>
              <w:left w:val="nil"/>
              <w:bottom w:val="single" w:sz="4" w:space="0" w:color="auto"/>
              <w:right w:val="single" w:sz="4" w:space="0" w:color="auto"/>
            </w:tcBorders>
            <w:shd w:val="clear" w:color="auto" w:fill="DAEEF3" w:themeFill="accent5" w:themeFillTint="33"/>
            <w:noWrap/>
            <w:hideMark/>
          </w:tcPr>
          <w:p w:rsidR="00BB7C3A" w:rsidRPr="00D55DC6" w:rsidRDefault="00BB7C3A" w:rsidP="00BB7C3A">
            <w:pPr>
              <w:spacing w:line="0" w:lineRule="atLeast"/>
              <w:jc w:val="right"/>
              <w:rPr>
                <w:sz w:val="20"/>
                <w:szCs w:val="20"/>
              </w:rPr>
            </w:pPr>
            <w:r w:rsidRPr="00D55DC6">
              <w:rPr>
                <w:sz w:val="20"/>
                <w:szCs w:val="20"/>
              </w:rPr>
              <w:t>6,523</w:t>
            </w:r>
          </w:p>
        </w:tc>
        <w:tc>
          <w:tcPr>
            <w:tcW w:w="658" w:type="dxa"/>
            <w:tcBorders>
              <w:top w:val="single" w:sz="4" w:space="0" w:color="auto"/>
              <w:left w:val="nil"/>
              <w:bottom w:val="single" w:sz="4" w:space="0" w:color="auto"/>
              <w:right w:val="single" w:sz="4" w:space="0" w:color="auto"/>
            </w:tcBorders>
            <w:shd w:val="clear" w:color="auto" w:fill="DAEEF3" w:themeFill="accent5" w:themeFillTint="33"/>
            <w:noWrap/>
            <w:hideMark/>
          </w:tcPr>
          <w:p w:rsidR="00BB7C3A" w:rsidRPr="00D55DC6" w:rsidRDefault="00BB7C3A" w:rsidP="00BB7C3A">
            <w:pPr>
              <w:spacing w:line="0" w:lineRule="atLeast"/>
              <w:jc w:val="right"/>
              <w:rPr>
                <w:sz w:val="20"/>
                <w:szCs w:val="20"/>
              </w:rPr>
            </w:pPr>
            <w:r w:rsidRPr="00D55DC6">
              <w:rPr>
                <w:sz w:val="20"/>
                <w:szCs w:val="20"/>
              </w:rPr>
              <w:t>6,653</w:t>
            </w:r>
          </w:p>
        </w:tc>
        <w:tc>
          <w:tcPr>
            <w:tcW w:w="657" w:type="dxa"/>
            <w:tcBorders>
              <w:top w:val="single" w:sz="4" w:space="0" w:color="auto"/>
              <w:left w:val="nil"/>
              <w:bottom w:val="single" w:sz="4" w:space="0" w:color="auto"/>
              <w:right w:val="single" w:sz="4" w:space="0" w:color="auto"/>
            </w:tcBorders>
            <w:shd w:val="clear" w:color="auto" w:fill="DAEEF3" w:themeFill="accent5" w:themeFillTint="33"/>
            <w:noWrap/>
            <w:hideMark/>
          </w:tcPr>
          <w:p w:rsidR="00BB7C3A" w:rsidRPr="00D55DC6" w:rsidRDefault="00BB7C3A" w:rsidP="00BB7C3A">
            <w:pPr>
              <w:spacing w:line="0" w:lineRule="atLeast"/>
              <w:jc w:val="right"/>
              <w:rPr>
                <w:sz w:val="20"/>
                <w:szCs w:val="20"/>
              </w:rPr>
            </w:pPr>
            <w:r w:rsidRPr="00D55DC6">
              <w:rPr>
                <w:sz w:val="20"/>
                <w:szCs w:val="20"/>
              </w:rPr>
              <w:t>6,786</w:t>
            </w:r>
          </w:p>
        </w:tc>
        <w:tc>
          <w:tcPr>
            <w:tcW w:w="657" w:type="dxa"/>
            <w:tcBorders>
              <w:top w:val="single" w:sz="4" w:space="0" w:color="auto"/>
              <w:left w:val="nil"/>
              <w:bottom w:val="single" w:sz="4" w:space="0" w:color="auto"/>
              <w:right w:val="single" w:sz="4" w:space="0" w:color="auto"/>
            </w:tcBorders>
            <w:shd w:val="clear" w:color="auto" w:fill="DAEEF3" w:themeFill="accent5" w:themeFillTint="33"/>
            <w:noWrap/>
            <w:hideMark/>
          </w:tcPr>
          <w:p w:rsidR="00BB7C3A" w:rsidRPr="00D55DC6" w:rsidRDefault="00BB7C3A" w:rsidP="00BB7C3A">
            <w:pPr>
              <w:spacing w:line="0" w:lineRule="atLeast"/>
              <w:jc w:val="right"/>
              <w:rPr>
                <w:sz w:val="20"/>
                <w:szCs w:val="20"/>
              </w:rPr>
            </w:pPr>
            <w:r w:rsidRPr="00D55DC6">
              <w:rPr>
                <w:sz w:val="20"/>
                <w:szCs w:val="20"/>
              </w:rPr>
              <w:t>6,922</w:t>
            </w:r>
          </w:p>
        </w:tc>
        <w:tc>
          <w:tcPr>
            <w:tcW w:w="657" w:type="dxa"/>
            <w:tcBorders>
              <w:top w:val="single" w:sz="4" w:space="0" w:color="auto"/>
              <w:left w:val="nil"/>
              <w:bottom w:val="single" w:sz="4" w:space="0" w:color="auto"/>
              <w:right w:val="single" w:sz="4" w:space="0" w:color="auto"/>
            </w:tcBorders>
            <w:shd w:val="clear" w:color="auto" w:fill="DAEEF3" w:themeFill="accent5" w:themeFillTint="33"/>
            <w:noWrap/>
            <w:hideMark/>
          </w:tcPr>
          <w:p w:rsidR="00BB7C3A" w:rsidRPr="00D55DC6" w:rsidRDefault="00BB7C3A" w:rsidP="00BB7C3A">
            <w:pPr>
              <w:spacing w:line="0" w:lineRule="atLeast"/>
              <w:jc w:val="right"/>
              <w:rPr>
                <w:sz w:val="20"/>
                <w:szCs w:val="20"/>
              </w:rPr>
            </w:pPr>
            <w:r w:rsidRPr="00D55DC6">
              <w:rPr>
                <w:sz w:val="20"/>
                <w:szCs w:val="20"/>
              </w:rPr>
              <w:t>7,061</w:t>
            </w:r>
          </w:p>
        </w:tc>
        <w:tc>
          <w:tcPr>
            <w:tcW w:w="658" w:type="dxa"/>
            <w:tcBorders>
              <w:top w:val="single" w:sz="4" w:space="0" w:color="auto"/>
              <w:left w:val="nil"/>
              <w:bottom w:val="single" w:sz="4" w:space="0" w:color="auto"/>
              <w:right w:val="single" w:sz="4" w:space="0" w:color="auto"/>
            </w:tcBorders>
            <w:shd w:val="clear" w:color="auto" w:fill="DAEEF3" w:themeFill="accent5" w:themeFillTint="33"/>
            <w:noWrap/>
            <w:hideMark/>
          </w:tcPr>
          <w:p w:rsidR="00BB7C3A" w:rsidRPr="00D55DC6" w:rsidRDefault="00BB7C3A" w:rsidP="00BB7C3A">
            <w:pPr>
              <w:spacing w:line="0" w:lineRule="atLeast"/>
              <w:jc w:val="right"/>
              <w:rPr>
                <w:sz w:val="20"/>
                <w:szCs w:val="20"/>
              </w:rPr>
            </w:pPr>
            <w:r w:rsidRPr="00D55DC6">
              <w:rPr>
                <w:sz w:val="20"/>
                <w:szCs w:val="20"/>
              </w:rPr>
              <w:t>7,202</w:t>
            </w:r>
          </w:p>
        </w:tc>
        <w:tc>
          <w:tcPr>
            <w:tcW w:w="657" w:type="dxa"/>
            <w:tcBorders>
              <w:top w:val="single" w:sz="4" w:space="0" w:color="auto"/>
              <w:left w:val="nil"/>
              <w:bottom w:val="single" w:sz="4" w:space="0" w:color="auto"/>
              <w:right w:val="single" w:sz="4" w:space="0" w:color="auto"/>
            </w:tcBorders>
            <w:shd w:val="clear" w:color="auto" w:fill="DAEEF3" w:themeFill="accent5" w:themeFillTint="33"/>
            <w:noWrap/>
            <w:hideMark/>
          </w:tcPr>
          <w:p w:rsidR="00BB7C3A" w:rsidRPr="00D55DC6" w:rsidRDefault="00BB7C3A" w:rsidP="00BB7C3A">
            <w:pPr>
              <w:spacing w:line="0" w:lineRule="atLeast"/>
              <w:jc w:val="right"/>
              <w:rPr>
                <w:sz w:val="20"/>
                <w:szCs w:val="20"/>
              </w:rPr>
            </w:pPr>
            <w:r w:rsidRPr="00D55DC6">
              <w:rPr>
                <w:sz w:val="20"/>
                <w:szCs w:val="20"/>
              </w:rPr>
              <w:t>7,346</w:t>
            </w:r>
          </w:p>
        </w:tc>
        <w:tc>
          <w:tcPr>
            <w:tcW w:w="657" w:type="dxa"/>
            <w:tcBorders>
              <w:top w:val="single" w:sz="4" w:space="0" w:color="auto"/>
              <w:left w:val="nil"/>
              <w:bottom w:val="single" w:sz="4" w:space="0" w:color="auto"/>
              <w:right w:val="single" w:sz="4" w:space="0" w:color="auto"/>
            </w:tcBorders>
            <w:shd w:val="clear" w:color="auto" w:fill="DAEEF3" w:themeFill="accent5" w:themeFillTint="33"/>
            <w:noWrap/>
            <w:hideMark/>
          </w:tcPr>
          <w:p w:rsidR="00BB7C3A" w:rsidRPr="00D55DC6" w:rsidRDefault="00BB7C3A" w:rsidP="00BB7C3A">
            <w:pPr>
              <w:spacing w:line="0" w:lineRule="atLeast"/>
              <w:jc w:val="right"/>
              <w:rPr>
                <w:sz w:val="20"/>
                <w:szCs w:val="20"/>
              </w:rPr>
            </w:pPr>
            <w:r w:rsidRPr="00D55DC6">
              <w:rPr>
                <w:sz w:val="20"/>
                <w:szCs w:val="20"/>
              </w:rPr>
              <w:t>7,493</w:t>
            </w:r>
          </w:p>
        </w:tc>
        <w:tc>
          <w:tcPr>
            <w:tcW w:w="941"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107,310</w:t>
            </w:r>
          </w:p>
        </w:tc>
      </w:tr>
      <w:tr w:rsidR="001D0350" w:rsidRPr="00D55DC6" w:rsidTr="00BB7C3A">
        <w:trPr>
          <w:trHeight w:val="330"/>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和平島海角樂園</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3,458</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3,527</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3,598</w:t>
            </w:r>
          </w:p>
        </w:tc>
        <w:tc>
          <w:tcPr>
            <w:tcW w:w="658"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3,670</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3,743</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3,818</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3,895</w:t>
            </w:r>
          </w:p>
        </w:tc>
        <w:tc>
          <w:tcPr>
            <w:tcW w:w="658"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3,972</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4,052</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4,133</w:t>
            </w:r>
          </w:p>
        </w:tc>
        <w:tc>
          <w:tcPr>
            <w:tcW w:w="941"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61,888</w:t>
            </w:r>
          </w:p>
        </w:tc>
      </w:tr>
      <w:tr w:rsidR="001D0350" w:rsidRPr="00D55DC6" w:rsidTr="00BB7C3A">
        <w:trPr>
          <w:trHeight w:val="330"/>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外木山湖海灣</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359</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366</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373</w:t>
            </w:r>
          </w:p>
        </w:tc>
        <w:tc>
          <w:tcPr>
            <w:tcW w:w="658"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380</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388</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396</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404</w:t>
            </w:r>
          </w:p>
        </w:tc>
        <w:tc>
          <w:tcPr>
            <w:tcW w:w="658"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412</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420</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428</w:t>
            </w:r>
          </w:p>
        </w:tc>
        <w:tc>
          <w:tcPr>
            <w:tcW w:w="941"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6,852</w:t>
            </w:r>
          </w:p>
        </w:tc>
      </w:tr>
      <w:tr w:rsidR="001D0350" w:rsidRPr="00D55DC6" w:rsidTr="00BB7C3A">
        <w:trPr>
          <w:trHeight w:val="330"/>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情人湖公園</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2,453</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2,502</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2,552</w:t>
            </w:r>
          </w:p>
        </w:tc>
        <w:tc>
          <w:tcPr>
            <w:tcW w:w="658"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2,603</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2,655</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2,708</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2,762</w:t>
            </w:r>
          </w:p>
        </w:tc>
        <w:tc>
          <w:tcPr>
            <w:tcW w:w="658"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2,818</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2,874</w:t>
            </w:r>
          </w:p>
        </w:tc>
        <w:tc>
          <w:tcPr>
            <w:tcW w:w="657" w:type="dxa"/>
            <w:tcBorders>
              <w:top w:val="nil"/>
              <w:left w:val="nil"/>
              <w:bottom w:val="single" w:sz="4" w:space="0" w:color="auto"/>
              <w:right w:val="single" w:sz="4" w:space="0" w:color="auto"/>
            </w:tcBorders>
            <w:noWrap/>
            <w:hideMark/>
          </w:tcPr>
          <w:p w:rsidR="00BB7C3A" w:rsidRPr="00D55DC6" w:rsidRDefault="00BB7C3A" w:rsidP="00BB7C3A">
            <w:pPr>
              <w:spacing w:line="0" w:lineRule="atLeast"/>
              <w:jc w:val="right"/>
              <w:rPr>
                <w:sz w:val="20"/>
                <w:szCs w:val="20"/>
              </w:rPr>
            </w:pPr>
            <w:r w:rsidRPr="00D55DC6">
              <w:rPr>
                <w:sz w:val="20"/>
                <w:szCs w:val="20"/>
              </w:rPr>
              <w:t>2,932</w:t>
            </w:r>
          </w:p>
        </w:tc>
        <w:tc>
          <w:tcPr>
            <w:tcW w:w="941"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38,570</w:t>
            </w:r>
          </w:p>
        </w:tc>
      </w:tr>
      <w:tr w:rsidR="001D0350" w:rsidRPr="00D55DC6" w:rsidTr="00BB7C3A">
        <w:trPr>
          <w:trHeight w:val="330"/>
        </w:trPr>
        <w:tc>
          <w:tcPr>
            <w:tcW w:w="2552" w:type="dxa"/>
            <w:tcBorders>
              <w:top w:val="nil"/>
              <w:left w:val="single" w:sz="4" w:space="0" w:color="auto"/>
              <w:bottom w:val="single" w:sz="4" w:space="0" w:color="auto"/>
              <w:right w:val="single" w:sz="4" w:space="0" w:color="auto"/>
            </w:tcBorders>
            <w:shd w:val="clear" w:color="auto" w:fill="D9D9D9"/>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四、規劃新增收益計畫</w:t>
            </w:r>
          </w:p>
        </w:tc>
        <w:tc>
          <w:tcPr>
            <w:tcW w:w="65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4,561</w:t>
            </w:r>
          </w:p>
        </w:tc>
        <w:tc>
          <w:tcPr>
            <w:tcW w:w="65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4,653</w:t>
            </w:r>
          </w:p>
        </w:tc>
        <w:tc>
          <w:tcPr>
            <w:tcW w:w="65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4,745</w:t>
            </w:r>
          </w:p>
        </w:tc>
        <w:tc>
          <w:tcPr>
            <w:tcW w:w="658"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4,841</w:t>
            </w:r>
          </w:p>
        </w:tc>
        <w:tc>
          <w:tcPr>
            <w:tcW w:w="65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4,937</w:t>
            </w:r>
          </w:p>
        </w:tc>
        <w:tc>
          <w:tcPr>
            <w:tcW w:w="65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5,036</w:t>
            </w:r>
          </w:p>
        </w:tc>
        <w:tc>
          <w:tcPr>
            <w:tcW w:w="65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5,136</w:t>
            </w:r>
          </w:p>
        </w:tc>
        <w:tc>
          <w:tcPr>
            <w:tcW w:w="658"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5,239</w:t>
            </w:r>
          </w:p>
        </w:tc>
        <w:tc>
          <w:tcPr>
            <w:tcW w:w="65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5,344</w:t>
            </w:r>
          </w:p>
        </w:tc>
        <w:tc>
          <w:tcPr>
            <w:tcW w:w="657"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5,452</w:t>
            </w:r>
          </w:p>
        </w:tc>
        <w:tc>
          <w:tcPr>
            <w:tcW w:w="941"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78,455</w:t>
            </w:r>
          </w:p>
        </w:tc>
      </w:tr>
      <w:tr w:rsidR="001D0350" w:rsidRPr="00D55DC6" w:rsidTr="00BB7C3A">
        <w:trPr>
          <w:trHeight w:val="330"/>
        </w:trPr>
        <w:tc>
          <w:tcPr>
            <w:tcW w:w="2552" w:type="dxa"/>
            <w:tcBorders>
              <w:top w:val="nil"/>
              <w:left w:val="single" w:sz="4" w:space="0" w:color="auto"/>
              <w:bottom w:val="single" w:sz="4" w:space="0" w:color="auto"/>
              <w:right w:val="single" w:sz="4" w:space="0" w:color="auto"/>
            </w:tcBorders>
            <w:shd w:val="clear" w:color="auto" w:fill="D9D9D9"/>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新北市政府合作開闢金</w:t>
            </w:r>
          </w:p>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山溫泉旅館</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3,561</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3,632</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3,705</w:t>
            </w:r>
          </w:p>
        </w:tc>
        <w:tc>
          <w:tcPr>
            <w:tcW w:w="658"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3,779</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3,854</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3,932</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4,010</w:t>
            </w:r>
          </w:p>
        </w:tc>
        <w:tc>
          <w:tcPr>
            <w:tcW w:w="658"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4,090</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4,172</w:t>
            </w:r>
          </w:p>
        </w:tc>
        <w:tc>
          <w:tcPr>
            <w:tcW w:w="657"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4,256</w:t>
            </w:r>
          </w:p>
        </w:tc>
        <w:tc>
          <w:tcPr>
            <w:tcW w:w="941" w:type="dxa"/>
            <w:tcBorders>
              <w:top w:val="nil"/>
              <w:left w:val="nil"/>
              <w:bottom w:val="single" w:sz="4" w:space="0" w:color="auto"/>
              <w:right w:val="single" w:sz="4" w:space="0" w:color="auto"/>
            </w:tcBorders>
            <w:noWrap/>
            <w:vAlign w:val="center"/>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62,487</w:t>
            </w:r>
          </w:p>
        </w:tc>
      </w:tr>
      <w:tr w:rsidR="001D0350" w:rsidRPr="00D55DC6" w:rsidTr="00BB7C3A">
        <w:trPr>
          <w:trHeight w:val="330"/>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萬里員潭溪獨木舟基地</w:t>
            </w:r>
          </w:p>
        </w:tc>
        <w:tc>
          <w:tcPr>
            <w:tcW w:w="657"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662</w:t>
            </w:r>
          </w:p>
        </w:tc>
        <w:tc>
          <w:tcPr>
            <w:tcW w:w="657"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676</w:t>
            </w:r>
          </w:p>
        </w:tc>
        <w:tc>
          <w:tcPr>
            <w:tcW w:w="657"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689</w:t>
            </w:r>
          </w:p>
        </w:tc>
        <w:tc>
          <w:tcPr>
            <w:tcW w:w="658"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703</w:t>
            </w:r>
          </w:p>
        </w:tc>
        <w:tc>
          <w:tcPr>
            <w:tcW w:w="657"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717</w:t>
            </w:r>
          </w:p>
        </w:tc>
        <w:tc>
          <w:tcPr>
            <w:tcW w:w="657"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731</w:t>
            </w:r>
          </w:p>
        </w:tc>
        <w:tc>
          <w:tcPr>
            <w:tcW w:w="657"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746</w:t>
            </w:r>
          </w:p>
        </w:tc>
        <w:tc>
          <w:tcPr>
            <w:tcW w:w="658"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761</w:t>
            </w:r>
          </w:p>
        </w:tc>
        <w:tc>
          <w:tcPr>
            <w:tcW w:w="657"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776</w:t>
            </w:r>
          </w:p>
        </w:tc>
        <w:tc>
          <w:tcPr>
            <w:tcW w:w="657"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792</w:t>
            </w:r>
          </w:p>
        </w:tc>
        <w:tc>
          <w:tcPr>
            <w:tcW w:w="941"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10,376</w:t>
            </w:r>
          </w:p>
        </w:tc>
      </w:tr>
      <w:tr w:rsidR="001D0350" w:rsidRPr="00D55DC6" w:rsidTr="00BB7C3A">
        <w:trPr>
          <w:trHeight w:val="330"/>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石門北海幸福廣場</w:t>
            </w:r>
          </w:p>
        </w:tc>
        <w:tc>
          <w:tcPr>
            <w:tcW w:w="657"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338</w:t>
            </w:r>
          </w:p>
        </w:tc>
        <w:tc>
          <w:tcPr>
            <w:tcW w:w="657"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345</w:t>
            </w:r>
          </w:p>
        </w:tc>
        <w:tc>
          <w:tcPr>
            <w:tcW w:w="657"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351</w:t>
            </w:r>
          </w:p>
        </w:tc>
        <w:tc>
          <w:tcPr>
            <w:tcW w:w="658"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359</w:t>
            </w:r>
          </w:p>
        </w:tc>
        <w:tc>
          <w:tcPr>
            <w:tcW w:w="657"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366</w:t>
            </w:r>
          </w:p>
        </w:tc>
        <w:tc>
          <w:tcPr>
            <w:tcW w:w="657"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373</w:t>
            </w:r>
          </w:p>
        </w:tc>
        <w:tc>
          <w:tcPr>
            <w:tcW w:w="657"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380</w:t>
            </w:r>
          </w:p>
        </w:tc>
        <w:tc>
          <w:tcPr>
            <w:tcW w:w="658"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388</w:t>
            </w:r>
          </w:p>
        </w:tc>
        <w:tc>
          <w:tcPr>
            <w:tcW w:w="657"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396</w:t>
            </w:r>
          </w:p>
        </w:tc>
        <w:tc>
          <w:tcPr>
            <w:tcW w:w="657"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404</w:t>
            </w:r>
          </w:p>
        </w:tc>
        <w:tc>
          <w:tcPr>
            <w:tcW w:w="941" w:type="dxa"/>
            <w:tcBorders>
              <w:top w:val="nil"/>
              <w:left w:val="nil"/>
              <w:bottom w:val="single" w:sz="4" w:space="0" w:color="auto"/>
              <w:right w:val="single" w:sz="4" w:space="0" w:color="auto"/>
            </w:tcBorders>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5,592</w:t>
            </w:r>
          </w:p>
        </w:tc>
      </w:tr>
      <w:tr w:rsidR="001D0350" w:rsidRPr="00D55DC6" w:rsidTr="00BB7C3A">
        <w:trPr>
          <w:trHeight w:val="345"/>
        </w:trPr>
        <w:tc>
          <w:tcPr>
            <w:tcW w:w="2552" w:type="dxa"/>
            <w:tcBorders>
              <w:top w:val="nil"/>
              <w:left w:val="single" w:sz="4" w:space="0" w:color="auto"/>
              <w:bottom w:val="double" w:sz="6" w:space="0" w:color="auto"/>
              <w:right w:val="single" w:sz="4" w:space="0" w:color="auto"/>
            </w:tcBorders>
            <w:shd w:val="clear" w:color="auto" w:fill="D9D9D9"/>
            <w:noWrap/>
            <w:vAlign w:val="center"/>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合</w:t>
            </w:r>
            <w:r w:rsidRPr="00D55DC6">
              <w:rPr>
                <w:rFonts w:eastAsia="標楷體"/>
                <w:kern w:val="0"/>
                <w:sz w:val="20"/>
                <w:szCs w:val="20"/>
              </w:rPr>
              <w:t xml:space="preserve">          </w:t>
            </w:r>
            <w:r w:rsidRPr="00D55DC6">
              <w:rPr>
                <w:rFonts w:eastAsia="標楷體"/>
                <w:kern w:val="0"/>
                <w:sz w:val="20"/>
                <w:szCs w:val="20"/>
              </w:rPr>
              <w:t>計</w:t>
            </w:r>
          </w:p>
        </w:tc>
        <w:tc>
          <w:tcPr>
            <w:tcW w:w="657" w:type="dxa"/>
            <w:tcBorders>
              <w:top w:val="nil"/>
              <w:left w:val="nil"/>
              <w:bottom w:val="double" w:sz="6" w:space="0" w:color="auto"/>
              <w:right w:val="single" w:sz="4" w:space="0" w:color="auto"/>
            </w:tcBorders>
            <w:shd w:val="clear" w:color="auto" w:fill="E4DFEC"/>
            <w:noWrap/>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72,405</w:t>
            </w:r>
          </w:p>
        </w:tc>
        <w:tc>
          <w:tcPr>
            <w:tcW w:w="657" w:type="dxa"/>
            <w:tcBorders>
              <w:top w:val="nil"/>
              <w:left w:val="nil"/>
              <w:bottom w:val="double" w:sz="6" w:space="0" w:color="auto"/>
              <w:right w:val="single" w:sz="4" w:space="0" w:color="auto"/>
            </w:tcBorders>
            <w:shd w:val="clear" w:color="auto" w:fill="E4DFEC"/>
            <w:noWrap/>
            <w:hideMark/>
          </w:tcPr>
          <w:p w:rsidR="00BB7C3A" w:rsidRPr="00D55DC6" w:rsidRDefault="00BB7C3A" w:rsidP="00BB7C3A">
            <w:pPr>
              <w:widowControl/>
              <w:spacing w:line="0" w:lineRule="atLeast"/>
              <w:rPr>
                <w:rFonts w:eastAsia="標楷體"/>
                <w:kern w:val="0"/>
                <w:sz w:val="20"/>
                <w:szCs w:val="20"/>
              </w:rPr>
            </w:pPr>
            <w:r w:rsidRPr="00D55DC6">
              <w:rPr>
                <w:rFonts w:eastAsia="標楷體"/>
                <w:kern w:val="0"/>
                <w:sz w:val="20"/>
                <w:szCs w:val="20"/>
              </w:rPr>
              <w:t>73,853</w:t>
            </w:r>
          </w:p>
        </w:tc>
        <w:tc>
          <w:tcPr>
            <w:tcW w:w="657" w:type="dxa"/>
            <w:tcBorders>
              <w:top w:val="nil"/>
              <w:left w:val="nil"/>
              <w:bottom w:val="double" w:sz="6" w:space="0" w:color="auto"/>
              <w:right w:val="single" w:sz="4" w:space="0" w:color="auto"/>
            </w:tcBorders>
            <w:shd w:val="clear" w:color="auto" w:fill="E4DFEC"/>
            <w:noWrap/>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75,330</w:t>
            </w:r>
          </w:p>
        </w:tc>
        <w:tc>
          <w:tcPr>
            <w:tcW w:w="658" w:type="dxa"/>
            <w:tcBorders>
              <w:top w:val="nil"/>
              <w:left w:val="nil"/>
              <w:bottom w:val="double" w:sz="6" w:space="0" w:color="auto"/>
              <w:right w:val="single" w:sz="4" w:space="0" w:color="auto"/>
            </w:tcBorders>
            <w:shd w:val="clear" w:color="auto" w:fill="E4DFEC"/>
            <w:noWrap/>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76,837</w:t>
            </w:r>
          </w:p>
        </w:tc>
        <w:tc>
          <w:tcPr>
            <w:tcW w:w="657" w:type="dxa"/>
            <w:tcBorders>
              <w:top w:val="nil"/>
              <w:left w:val="nil"/>
              <w:bottom w:val="double" w:sz="6" w:space="0" w:color="auto"/>
              <w:right w:val="single" w:sz="4" w:space="0" w:color="auto"/>
            </w:tcBorders>
            <w:shd w:val="clear" w:color="auto" w:fill="E4DFEC"/>
            <w:noWrap/>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78,374</w:t>
            </w:r>
          </w:p>
        </w:tc>
        <w:tc>
          <w:tcPr>
            <w:tcW w:w="657" w:type="dxa"/>
            <w:tcBorders>
              <w:top w:val="nil"/>
              <w:left w:val="nil"/>
              <w:bottom w:val="double" w:sz="6" w:space="0" w:color="auto"/>
              <w:right w:val="single" w:sz="4" w:space="0" w:color="auto"/>
            </w:tcBorders>
            <w:shd w:val="clear" w:color="auto" w:fill="E4DFEC"/>
            <w:noWrap/>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79,941</w:t>
            </w:r>
          </w:p>
        </w:tc>
        <w:tc>
          <w:tcPr>
            <w:tcW w:w="657" w:type="dxa"/>
            <w:tcBorders>
              <w:top w:val="nil"/>
              <w:left w:val="nil"/>
              <w:bottom w:val="double" w:sz="6" w:space="0" w:color="auto"/>
              <w:right w:val="single" w:sz="4" w:space="0" w:color="auto"/>
            </w:tcBorders>
            <w:shd w:val="clear" w:color="auto" w:fill="E4DFEC"/>
            <w:noWrap/>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81,540</w:t>
            </w:r>
          </w:p>
        </w:tc>
        <w:tc>
          <w:tcPr>
            <w:tcW w:w="658" w:type="dxa"/>
            <w:tcBorders>
              <w:top w:val="nil"/>
              <w:left w:val="nil"/>
              <w:bottom w:val="double" w:sz="6" w:space="0" w:color="auto"/>
              <w:right w:val="single" w:sz="4" w:space="0" w:color="auto"/>
            </w:tcBorders>
            <w:shd w:val="clear" w:color="auto" w:fill="E4DFEC"/>
            <w:noWrap/>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83,171</w:t>
            </w:r>
          </w:p>
        </w:tc>
        <w:tc>
          <w:tcPr>
            <w:tcW w:w="657" w:type="dxa"/>
            <w:tcBorders>
              <w:top w:val="nil"/>
              <w:left w:val="nil"/>
              <w:bottom w:val="double" w:sz="6" w:space="0" w:color="auto"/>
              <w:right w:val="single" w:sz="4" w:space="0" w:color="auto"/>
            </w:tcBorders>
            <w:shd w:val="clear" w:color="auto" w:fill="E4DFEC"/>
            <w:noWrap/>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84,834</w:t>
            </w:r>
          </w:p>
        </w:tc>
        <w:tc>
          <w:tcPr>
            <w:tcW w:w="657" w:type="dxa"/>
            <w:tcBorders>
              <w:top w:val="nil"/>
              <w:left w:val="nil"/>
              <w:bottom w:val="double" w:sz="6" w:space="0" w:color="auto"/>
              <w:right w:val="single" w:sz="4" w:space="0" w:color="auto"/>
            </w:tcBorders>
            <w:shd w:val="clear" w:color="auto" w:fill="E4DFEC"/>
            <w:noWrap/>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86,531</w:t>
            </w:r>
          </w:p>
        </w:tc>
        <w:tc>
          <w:tcPr>
            <w:tcW w:w="941" w:type="dxa"/>
            <w:tcBorders>
              <w:top w:val="nil"/>
              <w:left w:val="nil"/>
              <w:bottom w:val="double" w:sz="6" w:space="0" w:color="auto"/>
              <w:right w:val="single" w:sz="4" w:space="0" w:color="auto"/>
            </w:tcBorders>
            <w:shd w:val="clear" w:color="auto" w:fill="E4DFEC"/>
            <w:noWrap/>
            <w:hideMark/>
          </w:tcPr>
          <w:p w:rsidR="00BB7C3A" w:rsidRPr="00D55DC6" w:rsidRDefault="00BB7C3A" w:rsidP="00BB7C3A">
            <w:pPr>
              <w:widowControl/>
              <w:spacing w:line="0" w:lineRule="atLeast"/>
              <w:jc w:val="right"/>
              <w:rPr>
                <w:rFonts w:eastAsia="標楷體"/>
                <w:kern w:val="0"/>
                <w:sz w:val="20"/>
                <w:szCs w:val="20"/>
              </w:rPr>
            </w:pPr>
            <w:r w:rsidRPr="00D55DC6">
              <w:rPr>
                <w:rFonts w:eastAsia="標楷體"/>
                <w:kern w:val="0"/>
                <w:sz w:val="20"/>
                <w:szCs w:val="20"/>
              </w:rPr>
              <w:t>1,410,104</w:t>
            </w:r>
          </w:p>
        </w:tc>
      </w:tr>
    </w:tbl>
    <w:p w:rsidR="00BB7C3A" w:rsidRPr="00D55DC6" w:rsidRDefault="00BB7C3A" w:rsidP="00BB7C3A">
      <w:pPr>
        <w:pStyle w:val="af2"/>
        <w:snapToGrid w:val="0"/>
        <w:spacing w:line="500" w:lineRule="exact"/>
        <w:ind w:leftChars="0" w:left="864"/>
        <w:jc w:val="both"/>
        <w:rPr>
          <w:rFonts w:eastAsia="標楷體"/>
          <w:b/>
          <w:sz w:val="28"/>
          <w:szCs w:val="28"/>
        </w:rPr>
      </w:pPr>
    </w:p>
    <w:p w:rsidR="00C60CD2" w:rsidRPr="00D55DC6" w:rsidRDefault="00C60CD2" w:rsidP="00BB7C3A">
      <w:pPr>
        <w:pStyle w:val="af2"/>
        <w:snapToGrid w:val="0"/>
        <w:spacing w:line="500" w:lineRule="exact"/>
        <w:ind w:leftChars="0" w:left="864"/>
        <w:jc w:val="both"/>
        <w:rPr>
          <w:rFonts w:eastAsia="標楷體"/>
          <w:b/>
          <w:sz w:val="28"/>
          <w:szCs w:val="28"/>
        </w:rPr>
      </w:pPr>
    </w:p>
    <w:p w:rsidR="00934471" w:rsidRPr="00D55DC6" w:rsidRDefault="00934471" w:rsidP="004865C1">
      <w:pPr>
        <w:pStyle w:val="af2"/>
        <w:numPr>
          <w:ilvl w:val="0"/>
          <w:numId w:val="53"/>
        </w:numPr>
        <w:snapToGrid w:val="0"/>
        <w:spacing w:line="500" w:lineRule="exact"/>
        <w:ind w:leftChars="0"/>
        <w:jc w:val="both"/>
        <w:rPr>
          <w:rFonts w:eastAsia="標楷體"/>
          <w:b/>
          <w:sz w:val="28"/>
          <w:szCs w:val="28"/>
        </w:rPr>
      </w:pPr>
      <w:r w:rsidRPr="00D55DC6">
        <w:rPr>
          <w:rFonts w:eastAsia="標楷體"/>
          <w:b/>
          <w:sz w:val="28"/>
          <w:szCs w:val="28"/>
        </w:rPr>
        <w:t>自償率估算</w:t>
      </w:r>
    </w:p>
    <w:p w:rsidR="00BB7C3A" w:rsidRPr="00D55DC6" w:rsidRDefault="00BB7C3A" w:rsidP="00BB7C3A">
      <w:pPr>
        <w:pStyle w:val="a"/>
        <w:numPr>
          <w:ilvl w:val="0"/>
          <w:numId w:val="0"/>
        </w:numPr>
        <w:spacing w:line="500" w:lineRule="exact"/>
        <w:ind w:left="864"/>
      </w:pPr>
      <w:bookmarkStart w:id="83" w:name="_Toc407181661"/>
      <w:r w:rsidRPr="00D55DC6">
        <w:t>本計畫</w:t>
      </w:r>
      <w:r w:rsidRPr="00D55DC6">
        <w:t>105-108</w:t>
      </w:r>
      <w:r w:rsidRPr="00D55DC6">
        <w:t>年度經營管理擴大範圍投資支出增加，經調整年度經費及滾動式檢討後，預計未來</w:t>
      </w:r>
      <w:r w:rsidRPr="00D55DC6">
        <w:t>20</w:t>
      </w:r>
      <w:r w:rsidRPr="00D55DC6">
        <w:t>年北海岸及觀音山國家風景區建設經營分年之現金流量如表，以</w:t>
      </w:r>
      <w:r w:rsidRPr="00D55DC6">
        <w:t>2.88%</w:t>
      </w:r>
      <w:r w:rsidRPr="00D55DC6">
        <w:t>折現率（參考中央銀行公告五大銀行基本利率）計算，未來</w:t>
      </w:r>
      <w:r w:rsidRPr="00D55DC6">
        <w:t>20</w:t>
      </w:r>
      <w:r w:rsidRPr="00D55DC6">
        <w:t>年期間計畫投入現值為</w:t>
      </w:r>
      <w:r w:rsidRPr="00D55DC6">
        <w:t>38</w:t>
      </w:r>
      <w:r w:rsidRPr="00D55DC6">
        <w:t>億元，而收益預估現值為</w:t>
      </w:r>
      <w:r w:rsidRPr="00D55DC6">
        <w:t>10</w:t>
      </w:r>
      <w:r w:rsidRPr="00D55DC6">
        <w:t>億</w:t>
      </w:r>
      <w:r w:rsidRPr="00D55DC6">
        <w:t>2</w:t>
      </w:r>
      <w:r w:rsidRPr="00D55DC6">
        <w:t>千萬元，整體計畫自償率為</w:t>
      </w:r>
      <w:r w:rsidRPr="00D55DC6">
        <w:t xml:space="preserve">27.23 </w:t>
      </w:r>
      <w:r w:rsidRPr="00D55DC6">
        <w:t>％。</w:t>
      </w:r>
    </w:p>
    <w:p w:rsidR="00C60CD2" w:rsidRPr="00D55DC6" w:rsidRDefault="00C60CD2" w:rsidP="00BB7C3A">
      <w:pPr>
        <w:pStyle w:val="a"/>
        <w:numPr>
          <w:ilvl w:val="0"/>
          <w:numId w:val="0"/>
        </w:numPr>
        <w:spacing w:line="500" w:lineRule="exact"/>
        <w:ind w:left="864"/>
      </w:pPr>
    </w:p>
    <w:p w:rsidR="00C60CD2" w:rsidRPr="00D55DC6" w:rsidRDefault="00C60CD2" w:rsidP="00BB7C3A">
      <w:pPr>
        <w:pStyle w:val="a"/>
        <w:numPr>
          <w:ilvl w:val="0"/>
          <w:numId w:val="0"/>
        </w:numPr>
        <w:spacing w:line="500" w:lineRule="exact"/>
        <w:ind w:left="864"/>
      </w:pPr>
    </w:p>
    <w:p w:rsidR="00C60CD2" w:rsidRPr="00D55DC6" w:rsidRDefault="00C60CD2" w:rsidP="00BB7C3A">
      <w:pPr>
        <w:pStyle w:val="a"/>
        <w:numPr>
          <w:ilvl w:val="0"/>
          <w:numId w:val="0"/>
        </w:numPr>
        <w:spacing w:line="500" w:lineRule="exact"/>
        <w:ind w:left="864"/>
      </w:pPr>
    </w:p>
    <w:p w:rsidR="00C60CD2" w:rsidRPr="00D55DC6" w:rsidRDefault="00C60CD2" w:rsidP="00BB7C3A">
      <w:pPr>
        <w:pStyle w:val="a"/>
        <w:numPr>
          <w:ilvl w:val="0"/>
          <w:numId w:val="0"/>
        </w:numPr>
        <w:spacing w:line="500" w:lineRule="exact"/>
        <w:ind w:left="864"/>
      </w:pPr>
    </w:p>
    <w:p w:rsidR="00C60CD2" w:rsidRPr="00D55DC6" w:rsidRDefault="00C60CD2" w:rsidP="00BB7C3A">
      <w:pPr>
        <w:pStyle w:val="a"/>
        <w:numPr>
          <w:ilvl w:val="0"/>
          <w:numId w:val="0"/>
        </w:numPr>
        <w:spacing w:line="500" w:lineRule="exact"/>
        <w:ind w:left="864"/>
      </w:pPr>
    </w:p>
    <w:p w:rsidR="00C60CD2" w:rsidRPr="00D55DC6" w:rsidRDefault="00C60CD2" w:rsidP="00BB7C3A">
      <w:pPr>
        <w:pStyle w:val="a"/>
        <w:numPr>
          <w:ilvl w:val="0"/>
          <w:numId w:val="0"/>
        </w:numPr>
        <w:spacing w:line="500" w:lineRule="exact"/>
        <w:ind w:left="864"/>
      </w:pPr>
    </w:p>
    <w:p w:rsidR="00BB7C3A" w:rsidRPr="00D55DC6" w:rsidRDefault="00286DA1" w:rsidP="009D33BA">
      <w:pPr>
        <w:keepNext/>
        <w:spacing w:beforeLines="50" w:before="180" w:afterLines="50" w:after="180" w:line="500" w:lineRule="exact"/>
        <w:ind w:rightChars="-316" w:right="-758"/>
      </w:pPr>
      <w:r w:rsidRPr="00D55DC6">
        <w:rPr>
          <w:rFonts w:eastAsia="標楷體"/>
        </w:rPr>
        <w:t xml:space="preserve">表　</w:t>
      </w:r>
      <w:r w:rsidR="00AD6A5E" w:rsidRPr="00D55DC6">
        <w:rPr>
          <w:rFonts w:eastAsia="標楷體"/>
        </w:rPr>
        <w:t>修正後之</w:t>
      </w:r>
      <w:r w:rsidRPr="00D55DC6">
        <w:rPr>
          <w:rFonts w:eastAsia="標楷體"/>
        </w:rPr>
        <w:t>自償率分析表</w:t>
      </w:r>
      <w:r w:rsidRPr="00D55DC6">
        <w:rPr>
          <w:rFonts w:eastAsia="標楷體"/>
        </w:rPr>
        <w:t xml:space="preserve">                                    </w:t>
      </w:r>
      <w:r w:rsidRPr="00D55DC6">
        <w:rPr>
          <w:rFonts w:eastAsia="標楷體"/>
        </w:rPr>
        <w:t>（單位：千元）</w:t>
      </w:r>
    </w:p>
    <w:tbl>
      <w:tblPr>
        <w:tblW w:w="10828" w:type="dxa"/>
        <w:tblInd w:w="-681" w:type="dxa"/>
        <w:tblCellMar>
          <w:left w:w="28" w:type="dxa"/>
          <w:right w:w="28" w:type="dxa"/>
        </w:tblCellMar>
        <w:tblLook w:val="04A0" w:firstRow="1" w:lastRow="0" w:firstColumn="1" w:lastColumn="0" w:noHBand="0" w:noVBand="1"/>
      </w:tblPr>
      <w:tblGrid>
        <w:gridCol w:w="993"/>
        <w:gridCol w:w="1134"/>
        <w:gridCol w:w="850"/>
        <w:gridCol w:w="851"/>
        <w:gridCol w:w="850"/>
        <w:gridCol w:w="851"/>
        <w:gridCol w:w="850"/>
        <w:gridCol w:w="851"/>
        <w:gridCol w:w="851"/>
        <w:gridCol w:w="850"/>
        <w:gridCol w:w="851"/>
        <w:gridCol w:w="1046"/>
      </w:tblGrid>
      <w:tr w:rsidR="001D0350" w:rsidRPr="00D55DC6" w:rsidTr="00BB7C3A">
        <w:trPr>
          <w:gridAfter w:val="1"/>
          <w:wAfter w:w="1046" w:type="dxa"/>
          <w:trHeight w:val="345"/>
        </w:trPr>
        <w:tc>
          <w:tcPr>
            <w:tcW w:w="993" w:type="dxa"/>
            <w:tcBorders>
              <w:top w:val="single" w:sz="4" w:space="0" w:color="auto"/>
              <w:left w:val="single" w:sz="4" w:space="0" w:color="auto"/>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rPr>
                <w:rFonts w:eastAsia="標楷體"/>
                <w:kern w:val="0"/>
                <w:sz w:val="22"/>
                <w:szCs w:val="20"/>
              </w:rPr>
            </w:pPr>
            <w:r w:rsidRPr="00D55DC6">
              <w:rPr>
                <w:rFonts w:eastAsia="標楷體"/>
                <w:kern w:val="0"/>
                <w:sz w:val="22"/>
                <w:szCs w:val="20"/>
              </w:rPr>
              <w:t xml:space="preserve">　</w:t>
            </w:r>
          </w:p>
        </w:tc>
        <w:tc>
          <w:tcPr>
            <w:tcW w:w="1134"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2"/>
                <w:szCs w:val="20"/>
              </w:rPr>
            </w:pPr>
            <w:r w:rsidRPr="00D55DC6">
              <w:rPr>
                <w:rFonts w:eastAsia="標楷體"/>
                <w:kern w:val="0"/>
                <w:sz w:val="22"/>
                <w:szCs w:val="20"/>
              </w:rPr>
              <w:t>103</w:t>
            </w:r>
          </w:p>
        </w:tc>
        <w:tc>
          <w:tcPr>
            <w:tcW w:w="850"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2"/>
                <w:szCs w:val="20"/>
              </w:rPr>
            </w:pPr>
            <w:r w:rsidRPr="00D55DC6">
              <w:rPr>
                <w:rFonts w:eastAsia="標楷體"/>
                <w:kern w:val="0"/>
                <w:sz w:val="22"/>
                <w:szCs w:val="20"/>
              </w:rPr>
              <w:t>104</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2"/>
                <w:szCs w:val="20"/>
              </w:rPr>
            </w:pPr>
            <w:r w:rsidRPr="00D55DC6">
              <w:rPr>
                <w:rFonts w:eastAsia="標楷體"/>
                <w:kern w:val="0"/>
                <w:sz w:val="22"/>
                <w:szCs w:val="20"/>
              </w:rPr>
              <w:t>105</w:t>
            </w:r>
          </w:p>
        </w:tc>
        <w:tc>
          <w:tcPr>
            <w:tcW w:w="850"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2"/>
                <w:szCs w:val="20"/>
              </w:rPr>
            </w:pPr>
            <w:r w:rsidRPr="00D55DC6">
              <w:rPr>
                <w:rFonts w:eastAsia="標楷體"/>
                <w:kern w:val="0"/>
                <w:sz w:val="22"/>
                <w:szCs w:val="20"/>
              </w:rPr>
              <w:t>106</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2"/>
                <w:szCs w:val="20"/>
              </w:rPr>
            </w:pPr>
            <w:r w:rsidRPr="00D55DC6">
              <w:rPr>
                <w:rFonts w:eastAsia="標楷體"/>
                <w:kern w:val="0"/>
                <w:sz w:val="22"/>
                <w:szCs w:val="20"/>
              </w:rPr>
              <w:t>107</w:t>
            </w:r>
          </w:p>
        </w:tc>
        <w:tc>
          <w:tcPr>
            <w:tcW w:w="850"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2"/>
                <w:szCs w:val="20"/>
              </w:rPr>
            </w:pPr>
            <w:r w:rsidRPr="00D55DC6">
              <w:rPr>
                <w:rFonts w:eastAsia="標楷體"/>
                <w:kern w:val="0"/>
                <w:sz w:val="22"/>
                <w:szCs w:val="20"/>
              </w:rPr>
              <w:t>108</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2"/>
                <w:szCs w:val="20"/>
              </w:rPr>
            </w:pPr>
            <w:r w:rsidRPr="00D55DC6">
              <w:rPr>
                <w:rFonts w:eastAsia="標楷體"/>
                <w:kern w:val="0"/>
                <w:sz w:val="22"/>
                <w:szCs w:val="20"/>
              </w:rPr>
              <w:t>109</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2"/>
                <w:szCs w:val="20"/>
              </w:rPr>
            </w:pPr>
            <w:r w:rsidRPr="00D55DC6">
              <w:rPr>
                <w:rFonts w:eastAsia="標楷體"/>
                <w:kern w:val="0"/>
                <w:sz w:val="22"/>
                <w:szCs w:val="20"/>
              </w:rPr>
              <w:t>110</w:t>
            </w:r>
          </w:p>
        </w:tc>
        <w:tc>
          <w:tcPr>
            <w:tcW w:w="850"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2"/>
                <w:szCs w:val="20"/>
              </w:rPr>
            </w:pPr>
            <w:r w:rsidRPr="00D55DC6">
              <w:rPr>
                <w:rFonts w:eastAsia="標楷體"/>
                <w:kern w:val="0"/>
                <w:sz w:val="22"/>
                <w:szCs w:val="20"/>
              </w:rPr>
              <w:t>111</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2"/>
                <w:szCs w:val="20"/>
              </w:rPr>
            </w:pPr>
            <w:r w:rsidRPr="00D55DC6">
              <w:rPr>
                <w:rFonts w:eastAsia="標楷體"/>
                <w:kern w:val="0"/>
                <w:sz w:val="22"/>
                <w:szCs w:val="20"/>
              </w:rPr>
              <w:t>112</w:t>
            </w:r>
          </w:p>
        </w:tc>
      </w:tr>
      <w:tr w:rsidR="001D0350" w:rsidRPr="00D55DC6" w:rsidTr="00BB7C3A">
        <w:trPr>
          <w:gridAfter w:val="1"/>
          <w:wAfter w:w="1046" w:type="dxa"/>
          <w:trHeight w:val="345"/>
        </w:trPr>
        <w:tc>
          <w:tcPr>
            <w:tcW w:w="993" w:type="dxa"/>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BB7C3A" w:rsidRPr="00D55DC6" w:rsidRDefault="00BB7C3A" w:rsidP="00BB7C3A">
            <w:pPr>
              <w:widowControl/>
              <w:spacing w:line="0" w:lineRule="atLeast"/>
              <w:rPr>
                <w:rFonts w:eastAsia="標楷體"/>
                <w:kern w:val="0"/>
                <w:sz w:val="22"/>
                <w:szCs w:val="20"/>
              </w:rPr>
            </w:pPr>
            <w:r w:rsidRPr="00D55DC6">
              <w:rPr>
                <w:rFonts w:eastAsia="標楷體"/>
                <w:kern w:val="0"/>
                <w:sz w:val="22"/>
                <w:szCs w:val="20"/>
              </w:rPr>
              <w:t>支出</w:t>
            </w:r>
          </w:p>
        </w:tc>
        <w:tc>
          <w:tcPr>
            <w:tcW w:w="1134"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BB7C3A">
            <w:pPr>
              <w:widowControl/>
              <w:spacing w:line="0" w:lineRule="atLeast"/>
              <w:jc w:val="right"/>
              <w:rPr>
                <w:rFonts w:eastAsia="標楷體"/>
                <w:kern w:val="0"/>
                <w:sz w:val="22"/>
                <w:szCs w:val="20"/>
              </w:rPr>
            </w:pPr>
            <w:r w:rsidRPr="00D55DC6">
              <w:rPr>
                <w:rFonts w:eastAsia="標楷體"/>
                <w:kern w:val="0"/>
                <w:sz w:val="22"/>
                <w:szCs w:val="20"/>
              </w:rPr>
              <w:t>196,300</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BB7C3A">
            <w:pPr>
              <w:widowControl/>
              <w:spacing w:line="0" w:lineRule="atLeast"/>
              <w:jc w:val="right"/>
              <w:rPr>
                <w:rFonts w:eastAsia="標楷體"/>
                <w:kern w:val="0"/>
                <w:sz w:val="22"/>
                <w:szCs w:val="20"/>
              </w:rPr>
            </w:pPr>
            <w:r w:rsidRPr="00D55DC6">
              <w:rPr>
                <w:rFonts w:eastAsia="標楷體"/>
                <w:kern w:val="0"/>
                <w:sz w:val="22"/>
                <w:szCs w:val="20"/>
              </w:rPr>
              <w:t>199,000</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BB7C3A">
            <w:pPr>
              <w:widowControl/>
              <w:spacing w:line="0" w:lineRule="atLeast"/>
              <w:jc w:val="right"/>
              <w:rPr>
                <w:rFonts w:eastAsia="標楷體"/>
                <w:kern w:val="0"/>
                <w:sz w:val="22"/>
                <w:szCs w:val="20"/>
              </w:rPr>
            </w:pPr>
            <w:r w:rsidRPr="00D55DC6">
              <w:rPr>
                <w:rFonts w:eastAsia="標楷體"/>
                <w:kern w:val="0"/>
                <w:sz w:val="22"/>
                <w:szCs w:val="20"/>
              </w:rPr>
              <w:t>255,000</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BB7C3A">
            <w:pPr>
              <w:widowControl/>
              <w:spacing w:line="0" w:lineRule="atLeast"/>
              <w:jc w:val="right"/>
              <w:rPr>
                <w:rFonts w:eastAsia="標楷體"/>
                <w:kern w:val="0"/>
                <w:sz w:val="22"/>
                <w:szCs w:val="20"/>
              </w:rPr>
            </w:pPr>
            <w:r w:rsidRPr="00D55DC6">
              <w:rPr>
                <w:rFonts w:eastAsia="標楷體"/>
                <w:kern w:val="0"/>
                <w:sz w:val="22"/>
                <w:szCs w:val="20"/>
              </w:rPr>
              <w:t>255,000</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BB7C3A">
            <w:pPr>
              <w:widowControl/>
              <w:spacing w:line="0" w:lineRule="atLeast"/>
              <w:jc w:val="right"/>
              <w:rPr>
                <w:rFonts w:eastAsia="標楷體"/>
                <w:kern w:val="0"/>
                <w:sz w:val="22"/>
                <w:szCs w:val="20"/>
              </w:rPr>
            </w:pPr>
            <w:r w:rsidRPr="00D55DC6">
              <w:rPr>
                <w:rFonts w:eastAsia="標楷體"/>
                <w:kern w:val="0"/>
                <w:sz w:val="22"/>
                <w:szCs w:val="20"/>
              </w:rPr>
              <w:t>235,000</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BB7C3A">
            <w:pPr>
              <w:widowControl/>
              <w:spacing w:line="0" w:lineRule="atLeast"/>
              <w:jc w:val="right"/>
              <w:rPr>
                <w:rFonts w:eastAsia="標楷體"/>
                <w:kern w:val="0"/>
                <w:sz w:val="22"/>
                <w:szCs w:val="20"/>
              </w:rPr>
            </w:pPr>
            <w:r w:rsidRPr="00D55DC6">
              <w:rPr>
                <w:rFonts w:eastAsia="標楷體"/>
                <w:kern w:val="0"/>
                <w:sz w:val="22"/>
                <w:szCs w:val="20"/>
              </w:rPr>
              <w:t>380,000</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BB7C3A">
            <w:pPr>
              <w:widowControl/>
              <w:spacing w:line="0" w:lineRule="atLeast"/>
              <w:jc w:val="right"/>
              <w:rPr>
                <w:rFonts w:eastAsia="標楷體"/>
                <w:kern w:val="0"/>
                <w:sz w:val="22"/>
                <w:szCs w:val="20"/>
              </w:rPr>
            </w:pPr>
            <w:r w:rsidRPr="00D55DC6">
              <w:rPr>
                <w:rFonts w:eastAsia="標楷體"/>
                <w:kern w:val="0"/>
                <w:sz w:val="22"/>
                <w:szCs w:val="20"/>
              </w:rPr>
              <w:t>345,000</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BB7C3A">
            <w:pPr>
              <w:widowControl/>
              <w:spacing w:line="0" w:lineRule="atLeast"/>
              <w:jc w:val="right"/>
              <w:rPr>
                <w:rFonts w:eastAsia="標楷體"/>
                <w:kern w:val="0"/>
                <w:sz w:val="22"/>
                <w:szCs w:val="20"/>
              </w:rPr>
            </w:pPr>
            <w:r w:rsidRPr="00D55DC6">
              <w:rPr>
                <w:rFonts w:eastAsia="標楷體"/>
                <w:kern w:val="0"/>
                <w:sz w:val="22"/>
                <w:szCs w:val="20"/>
              </w:rPr>
              <w:t>245,000</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BB7C3A">
            <w:pPr>
              <w:widowControl/>
              <w:spacing w:line="0" w:lineRule="atLeast"/>
              <w:jc w:val="right"/>
              <w:rPr>
                <w:rFonts w:eastAsia="標楷體"/>
                <w:kern w:val="0"/>
                <w:sz w:val="22"/>
                <w:szCs w:val="20"/>
              </w:rPr>
            </w:pPr>
            <w:r w:rsidRPr="00D55DC6">
              <w:rPr>
                <w:rFonts w:eastAsia="標楷體"/>
                <w:kern w:val="0"/>
                <w:sz w:val="22"/>
                <w:szCs w:val="20"/>
              </w:rPr>
              <w:t>245,000</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BB7C3A">
            <w:pPr>
              <w:widowControl/>
              <w:spacing w:line="0" w:lineRule="atLeast"/>
              <w:jc w:val="right"/>
              <w:rPr>
                <w:rFonts w:eastAsia="標楷體"/>
                <w:kern w:val="0"/>
                <w:sz w:val="22"/>
                <w:szCs w:val="20"/>
              </w:rPr>
            </w:pPr>
            <w:r w:rsidRPr="00D55DC6">
              <w:rPr>
                <w:rFonts w:eastAsia="標楷體"/>
                <w:kern w:val="0"/>
                <w:sz w:val="22"/>
                <w:szCs w:val="20"/>
              </w:rPr>
              <w:t>245,000</w:t>
            </w:r>
          </w:p>
        </w:tc>
      </w:tr>
      <w:tr w:rsidR="001D0350" w:rsidRPr="00D55DC6" w:rsidTr="00BB7C3A">
        <w:trPr>
          <w:gridAfter w:val="1"/>
          <w:wAfter w:w="1046" w:type="dxa"/>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rPr>
                <w:rFonts w:eastAsia="標楷體"/>
                <w:kern w:val="0"/>
                <w:sz w:val="22"/>
                <w:szCs w:val="20"/>
              </w:rPr>
            </w:pPr>
            <w:r w:rsidRPr="00D55DC6">
              <w:rPr>
                <w:rFonts w:eastAsia="標楷體"/>
                <w:kern w:val="0"/>
                <w:sz w:val="22"/>
                <w:szCs w:val="20"/>
              </w:rPr>
              <w:t>收入</w:t>
            </w:r>
          </w:p>
        </w:tc>
        <w:tc>
          <w:tcPr>
            <w:tcW w:w="1134" w:type="dxa"/>
            <w:tcBorders>
              <w:top w:val="nil"/>
              <w:left w:val="nil"/>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49,583</w:t>
            </w:r>
          </w:p>
        </w:tc>
        <w:tc>
          <w:tcPr>
            <w:tcW w:w="850" w:type="dxa"/>
            <w:tcBorders>
              <w:top w:val="nil"/>
              <w:left w:val="nil"/>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53,837</w:t>
            </w:r>
          </w:p>
        </w:tc>
        <w:tc>
          <w:tcPr>
            <w:tcW w:w="851" w:type="dxa"/>
            <w:tcBorders>
              <w:top w:val="nil"/>
              <w:left w:val="nil"/>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55,363</w:t>
            </w:r>
          </w:p>
        </w:tc>
        <w:tc>
          <w:tcPr>
            <w:tcW w:w="850" w:type="dxa"/>
            <w:tcBorders>
              <w:top w:val="nil"/>
              <w:left w:val="nil"/>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59,112</w:t>
            </w:r>
          </w:p>
        </w:tc>
        <w:tc>
          <w:tcPr>
            <w:tcW w:w="851" w:type="dxa"/>
            <w:tcBorders>
              <w:top w:val="nil"/>
              <w:left w:val="nil"/>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60,594</w:t>
            </w:r>
          </w:p>
        </w:tc>
        <w:tc>
          <w:tcPr>
            <w:tcW w:w="850" w:type="dxa"/>
            <w:tcBorders>
              <w:top w:val="nil"/>
              <w:left w:val="nil"/>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62,406</w:t>
            </w:r>
          </w:p>
        </w:tc>
        <w:tc>
          <w:tcPr>
            <w:tcW w:w="851" w:type="dxa"/>
            <w:tcBorders>
              <w:top w:val="nil"/>
              <w:left w:val="nil"/>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63,654</w:t>
            </w:r>
          </w:p>
        </w:tc>
        <w:tc>
          <w:tcPr>
            <w:tcW w:w="851" w:type="dxa"/>
            <w:tcBorders>
              <w:top w:val="nil"/>
              <w:left w:val="nil"/>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72,162</w:t>
            </w:r>
          </w:p>
        </w:tc>
        <w:tc>
          <w:tcPr>
            <w:tcW w:w="850" w:type="dxa"/>
            <w:tcBorders>
              <w:top w:val="nil"/>
              <w:left w:val="nil"/>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69,593</w:t>
            </w:r>
          </w:p>
        </w:tc>
        <w:tc>
          <w:tcPr>
            <w:tcW w:w="851" w:type="dxa"/>
            <w:tcBorders>
              <w:top w:val="nil"/>
              <w:left w:val="nil"/>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70,985</w:t>
            </w:r>
          </w:p>
        </w:tc>
      </w:tr>
      <w:tr w:rsidR="001D0350" w:rsidRPr="00D55DC6" w:rsidTr="00BB7C3A">
        <w:trPr>
          <w:gridAfter w:val="1"/>
          <w:wAfter w:w="1046" w:type="dxa"/>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rPr>
                <w:rFonts w:eastAsia="標楷體"/>
                <w:kern w:val="0"/>
                <w:sz w:val="22"/>
                <w:szCs w:val="20"/>
              </w:rPr>
            </w:pPr>
            <w:r w:rsidRPr="00D55DC6">
              <w:rPr>
                <w:rFonts w:eastAsia="標楷體"/>
                <w:kern w:val="0"/>
                <w:sz w:val="22"/>
                <w:szCs w:val="20"/>
              </w:rPr>
              <w:t>收支比</w:t>
            </w:r>
          </w:p>
        </w:tc>
        <w:tc>
          <w:tcPr>
            <w:tcW w:w="1134" w:type="dxa"/>
            <w:tcBorders>
              <w:top w:val="nil"/>
              <w:left w:val="nil"/>
              <w:bottom w:val="single" w:sz="4" w:space="0" w:color="auto"/>
              <w:right w:val="single" w:sz="4" w:space="0" w:color="auto"/>
            </w:tcBorders>
            <w:shd w:val="clear" w:color="auto" w:fill="FFFFFF"/>
            <w:noWrap/>
            <w:hideMark/>
          </w:tcPr>
          <w:p w:rsidR="00BB7C3A" w:rsidRPr="00D55DC6" w:rsidRDefault="00BB7C3A" w:rsidP="00BB7C3A">
            <w:pPr>
              <w:spacing w:line="0" w:lineRule="atLeast"/>
              <w:jc w:val="right"/>
              <w:rPr>
                <w:sz w:val="22"/>
                <w:szCs w:val="22"/>
              </w:rPr>
            </w:pPr>
            <w:r w:rsidRPr="00D55DC6">
              <w:rPr>
                <w:sz w:val="22"/>
                <w:szCs w:val="22"/>
              </w:rPr>
              <w:t>25.26%</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BB7C3A">
            <w:pPr>
              <w:spacing w:line="0" w:lineRule="atLeast"/>
              <w:jc w:val="right"/>
              <w:rPr>
                <w:sz w:val="22"/>
                <w:szCs w:val="22"/>
              </w:rPr>
            </w:pPr>
            <w:r w:rsidRPr="00D55DC6">
              <w:rPr>
                <w:sz w:val="22"/>
                <w:szCs w:val="22"/>
              </w:rPr>
              <w:t>27.05%</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BB7C3A">
            <w:pPr>
              <w:spacing w:line="0" w:lineRule="atLeast"/>
              <w:jc w:val="right"/>
              <w:rPr>
                <w:sz w:val="22"/>
                <w:szCs w:val="22"/>
              </w:rPr>
            </w:pPr>
            <w:r w:rsidRPr="00D55DC6">
              <w:rPr>
                <w:sz w:val="22"/>
                <w:szCs w:val="22"/>
              </w:rPr>
              <w:t>21.71%</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BB7C3A">
            <w:pPr>
              <w:spacing w:line="0" w:lineRule="atLeast"/>
              <w:jc w:val="right"/>
              <w:rPr>
                <w:sz w:val="22"/>
                <w:szCs w:val="22"/>
              </w:rPr>
            </w:pPr>
            <w:r w:rsidRPr="00D55DC6">
              <w:rPr>
                <w:sz w:val="22"/>
                <w:szCs w:val="22"/>
              </w:rPr>
              <w:t>23.19%</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BB7C3A">
            <w:pPr>
              <w:spacing w:line="0" w:lineRule="atLeast"/>
              <w:jc w:val="right"/>
              <w:rPr>
                <w:sz w:val="22"/>
                <w:szCs w:val="22"/>
              </w:rPr>
            </w:pPr>
            <w:r w:rsidRPr="00D55DC6">
              <w:rPr>
                <w:sz w:val="22"/>
                <w:szCs w:val="22"/>
              </w:rPr>
              <w:t>25.66%</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BB7C3A">
            <w:pPr>
              <w:spacing w:line="0" w:lineRule="atLeast"/>
              <w:jc w:val="right"/>
              <w:rPr>
                <w:sz w:val="22"/>
                <w:szCs w:val="22"/>
              </w:rPr>
            </w:pPr>
            <w:r w:rsidRPr="00D55DC6">
              <w:rPr>
                <w:sz w:val="22"/>
                <w:szCs w:val="22"/>
              </w:rPr>
              <w:t>16.18%</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BB7C3A">
            <w:pPr>
              <w:spacing w:line="0" w:lineRule="atLeast"/>
              <w:jc w:val="right"/>
              <w:rPr>
                <w:sz w:val="22"/>
                <w:szCs w:val="22"/>
              </w:rPr>
            </w:pPr>
            <w:r w:rsidRPr="00D55DC6">
              <w:rPr>
                <w:sz w:val="22"/>
                <w:szCs w:val="22"/>
              </w:rPr>
              <w:t>18.18%</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BB7C3A">
            <w:pPr>
              <w:spacing w:line="0" w:lineRule="atLeast"/>
              <w:jc w:val="right"/>
              <w:rPr>
                <w:sz w:val="22"/>
                <w:szCs w:val="22"/>
              </w:rPr>
            </w:pPr>
            <w:r w:rsidRPr="00D55DC6">
              <w:rPr>
                <w:sz w:val="22"/>
                <w:szCs w:val="22"/>
              </w:rPr>
              <w:t>29.07%</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BB7C3A">
            <w:pPr>
              <w:spacing w:line="0" w:lineRule="atLeast"/>
              <w:jc w:val="right"/>
              <w:rPr>
                <w:sz w:val="22"/>
                <w:szCs w:val="22"/>
              </w:rPr>
            </w:pPr>
            <w:r w:rsidRPr="00D55DC6">
              <w:rPr>
                <w:sz w:val="22"/>
                <w:szCs w:val="22"/>
              </w:rPr>
              <w:t>28.01%</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BB7C3A">
            <w:pPr>
              <w:spacing w:line="0" w:lineRule="atLeast"/>
              <w:jc w:val="right"/>
              <w:rPr>
                <w:sz w:val="22"/>
                <w:szCs w:val="22"/>
              </w:rPr>
            </w:pPr>
            <w:r w:rsidRPr="00D55DC6">
              <w:rPr>
                <w:sz w:val="22"/>
                <w:szCs w:val="22"/>
              </w:rPr>
              <w:t>28.57%</w:t>
            </w:r>
          </w:p>
        </w:tc>
      </w:tr>
      <w:tr w:rsidR="001D0350" w:rsidRPr="00D55DC6" w:rsidTr="00BB7C3A">
        <w:trPr>
          <w:trHeight w:val="345"/>
        </w:trPr>
        <w:tc>
          <w:tcPr>
            <w:tcW w:w="993" w:type="dxa"/>
            <w:tcBorders>
              <w:top w:val="nil"/>
              <w:left w:val="single" w:sz="4" w:space="0" w:color="auto"/>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rPr>
                <w:rFonts w:eastAsia="標楷體"/>
                <w:kern w:val="0"/>
                <w:sz w:val="22"/>
                <w:szCs w:val="20"/>
              </w:rPr>
            </w:pPr>
            <w:r w:rsidRPr="00D55DC6">
              <w:rPr>
                <w:rFonts w:eastAsia="標楷體"/>
                <w:kern w:val="0"/>
                <w:sz w:val="22"/>
                <w:szCs w:val="20"/>
              </w:rPr>
              <w:t xml:space="preserve">　</w:t>
            </w:r>
          </w:p>
        </w:tc>
        <w:tc>
          <w:tcPr>
            <w:tcW w:w="1134" w:type="dxa"/>
            <w:tcBorders>
              <w:top w:val="nil"/>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2"/>
                <w:szCs w:val="20"/>
              </w:rPr>
            </w:pPr>
            <w:r w:rsidRPr="00D55DC6">
              <w:rPr>
                <w:rFonts w:eastAsia="標楷體"/>
                <w:kern w:val="0"/>
                <w:sz w:val="22"/>
                <w:szCs w:val="20"/>
              </w:rPr>
              <w:t>113</w:t>
            </w:r>
          </w:p>
        </w:tc>
        <w:tc>
          <w:tcPr>
            <w:tcW w:w="850" w:type="dxa"/>
            <w:tcBorders>
              <w:top w:val="nil"/>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2"/>
                <w:szCs w:val="20"/>
              </w:rPr>
            </w:pPr>
            <w:r w:rsidRPr="00D55DC6">
              <w:rPr>
                <w:rFonts w:eastAsia="標楷體"/>
                <w:kern w:val="0"/>
                <w:sz w:val="22"/>
                <w:szCs w:val="20"/>
              </w:rPr>
              <w:t>114</w:t>
            </w:r>
          </w:p>
        </w:tc>
        <w:tc>
          <w:tcPr>
            <w:tcW w:w="851" w:type="dxa"/>
            <w:tcBorders>
              <w:top w:val="nil"/>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2"/>
                <w:szCs w:val="20"/>
              </w:rPr>
            </w:pPr>
            <w:r w:rsidRPr="00D55DC6">
              <w:rPr>
                <w:rFonts w:eastAsia="標楷體"/>
                <w:kern w:val="0"/>
                <w:sz w:val="22"/>
                <w:szCs w:val="20"/>
              </w:rPr>
              <w:t>115</w:t>
            </w:r>
          </w:p>
        </w:tc>
        <w:tc>
          <w:tcPr>
            <w:tcW w:w="850" w:type="dxa"/>
            <w:tcBorders>
              <w:top w:val="nil"/>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2"/>
                <w:szCs w:val="20"/>
              </w:rPr>
            </w:pPr>
            <w:r w:rsidRPr="00D55DC6">
              <w:rPr>
                <w:rFonts w:eastAsia="標楷體"/>
                <w:kern w:val="0"/>
                <w:sz w:val="22"/>
                <w:szCs w:val="20"/>
              </w:rPr>
              <w:t>116</w:t>
            </w:r>
          </w:p>
        </w:tc>
        <w:tc>
          <w:tcPr>
            <w:tcW w:w="851" w:type="dxa"/>
            <w:tcBorders>
              <w:top w:val="nil"/>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2"/>
                <w:szCs w:val="20"/>
              </w:rPr>
            </w:pPr>
            <w:r w:rsidRPr="00D55DC6">
              <w:rPr>
                <w:rFonts w:eastAsia="標楷體"/>
                <w:kern w:val="0"/>
                <w:sz w:val="22"/>
                <w:szCs w:val="20"/>
              </w:rPr>
              <w:t>117</w:t>
            </w:r>
          </w:p>
        </w:tc>
        <w:tc>
          <w:tcPr>
            <w:tcW w:w="850" w:type="dxa"/>
            <w:tcBorders>
              <w:top w:val="nil"/>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2"/>
                <w:szCs w:val="20"/>
              </w:rPr>
            </w:pPr>
            <w:r w:rsidRPr="00D55DC6">
              <w:rPr>
                <w:rFonts w:eastAsia="標楷體"/>
                <w:kern w:val="0"/>
                <w:sz w:val="22"/>
                <w:szCs w:val="20"/>
              </w:rPr>
              <w:t>118</w:t>
            </w:r>
          </w:p>
        </w:tc>
        <w:tc>
          <w:tcPr>
            <w:tcW w:w="851" w:type="dxa"/>
            <w:tcBorders>
              <w:top w:val="nil"/>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2"/>
                <w:szCs w:val="20"/>
              </w:rPr>
            </w:pPr>
            <w:r w:rsidRPr="00D55DC6">
              <w:rPr>
                <w:rFonts w:eastAsia="標楷體"/>
                <w:kern w:val="0"/>
                <w:sz w:val="22"/>
                <w:szCs w:val="20"/>
              </w:rPr>
              <w:t>119</w:t>
            </w:r>
          </w:p>
        </w:tc>
        <w:tc>
          <w:tcPr>
            <w:tcW w:w="851" w:type="dxa"/>
            <w:tcBorders>
              <w:top w:val="nil"/>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2"/>
                <w:szCs w:val="20"/>
              </w:rPr>
            </w:pPr>
            <w:r w:rsidRPr="00D55DC6">
              <w:rPr>
                <w:rFonts w:eastAsia="標楷體"/>
                <w:kern w:val="0"/>
                <w:sz w:val="22"/>
                <w:szCs w:val="20"/>
              </w:rPr>
              <w:t>120</w:t>
            </w:r>
          </w:p>
        </w:tc>
        <w:tc>
          <w:tcPr>
            <w:tcW w:w="850" w:type="dxa"/>
            <w:tcBorders>
              <w:top w:val="nil"/>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2"/>
                <w:szCs w:val="20"/>
              </w:rPr>
            </w:pPr>
            <w:r w:rsidRPr="00D55DC6">
              <w:rPr>
                <w:rFonts w:eastAsia="標楷體"/>
                <w:kern w:val="0"/>
                <w:sz w:val="22"/>
                <w:szCs w:val="20"/>
              </w:rPr>
              <w:t>121</w:t>
            </w:r>
          </w:p>
        </w:tc>
        <w:tc>
          <w:tcPr>
            <w:tcW w:w="851" w:type="dxa"/>
            <w:tcBorders>
              <w:top w:val="nil"/>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2"/>
                <w:szCs w:val="20"/>
              </w:rPr>
            </w:pPr>
            <w:r w:rsidRPr="00D55DC6">
              <w:rPr>
                <w:rFonts w:eastAsia="標楷體"/>
                <w:kern w:val="0"/>
                <w:sz w:val="22"/>
                <w:szCs w:val="20"/>
              </w:rPr>
              <w:t>122</w:t>
            </w:r>
          </w:p>
        </w:tc>
        <w:tc>
          <w:tcPr>
            <w:tcW w:w="1046" w:type="dxa"/>
            <w:tcBorders>
              <w:top w:val="single" w:sz="4" w:space="0" w:color="auto"/>
              <w:left w:val="nil"/>
              <w:bottom w:val="double" w:sz="6" w:space="0" w:color="auto"/>
              <w:right w:val="single" w:sz="4" w:space="0" w:color="auto"/>
            </w:tcBorders>
            <w:shd w:val="clear" w:color="auto" w:fill="FFCC00"/>
            <w:noWrap/>
            <w:vAlign w:val="center"/>
            <w:hideMark/>
          </w:tcPr>
          <w:p w:rsidR="00BB7C3A" w:rsidRPr="00D55DC6" w:rsidRDefault="00BB7C3A" w:rsidP="00BB7C3A">
            <w:pPr>
              <w:widowControl/>
              <w:spacing w:line="0" w:lineRule="atLeast"/>
              <w:jc w:val="center"/>
              <w:rPr>
                <w:rFonts w:eastAsia="標楷體"/>
                <w:kern w:val="0"/>
                <w:sz w:val="22"/>
                <w:szCs w:val="20"/>
              </w:rPr>
            </w:pPr>
            <w:r w:rsidRPr="00D55DC6">
              <w:rPr>
                <w:rFonts w:eastAsia="標楷體"/>
                <w:kern w:val="0"/>
                <w:sz w:val="22"/>
                <w:szCs w:val="20"/>
              </w:rPr>
              <w:t>合計</w:t>
            </w:r>
          </w:p>
        </w:tc>
      </w:tr>
      <w:tr w:rsidR="001D0350" w:rsidRPr="00D55DC6" w:rsidTr="00BB7C3A">
        <w:trPr>
          <w:trHeight w:val="345"/>
        </w:trPr>
        <w:tc>
          <w:tcPr>
            <w:tcW w:w="993" w:type="dxa"/>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BB7C3A" w:rsidRPr="00D55DC6" w:rsidRDefault="00BB7C3A" w:rsidP="00BB7C3A">
            <w:pPr>
              <w:widowControl/>
              <w:spacing w:line="0" w:lineRule="atLeast"/>
              <w:rPr>
                <w:rFonts w:eastAsia="標楷體"/>
                <w:kern w:val="0"/>
                <w:sz w:val="22"/>
                <w:szCs w:val="20"/>
              </w:rPr>
            </w:pPr>
            <w:r w:rsidRPr="00D55DC6">
              <w:rPr>
                <w:rFonts w:eastAsia="標楷體"/>
                <w:kern w:val="0"/>
                <w:sz w:val="22"/>
                <w:szCs w:val="20"/>
              </w:rPr>
              <w:t>支出</w:t>
            </w:r>
          </w:p>
        </w:tc>
        <w:tc>
          <w:tcPr>
            <w:tcW w:w="1134"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BB7C3A">
            <w:pPr>
              <w:widowControl/>
              <w:spacing w:line="0" w:lineRule="atLeast"/>
              <w:jc w:val="right"/>
              <w:rPr>
                <w:rFonts w:eastAsia="標楷體"/>
                <w:kern w:val="0"/>
                <w:sz w:val="22"/>
                <w:szCs w:val="20"/>
              </w:rPr>
            </w:pPr>
            <w:r w:rsidRPr="00D55DC6">
              <w:rPr>
                <w:rFonts w:eastAsia="標楷體"/>
                <w:kern w:val="0"/>
                <w:sz w:val="22"/>
                <w:szCs w:val="20"/>
              </w:rPr>
              <w:t>245,000</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BB7C3A">
            <w:pPr>
              <w:widowControl/>
              <w:spacing w:line="0" w:lineRule="atLeast"/>
              <w:jc w:val="right"/>
              <w:rPr>
                <w:rFonts w:eastAsia="標楷體"/>
                <w:kern w:val="0"/>
                <w:sz w:val="22"/>
                <w:szCs w:val="20"/>
              </w:rPr>
            </w:pPr>
            <w:r w:rsidRPr="00D55DC6">
              <w:rPr>
                <w:rFonts w:eastAsia="標楷體"/>
                <w:kern w:val="0"/>
                <w:sz w:val="22"/>
                <w:szCs w:val="20"/>
              </w:rPr>
              <w:t>245,000</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BB7C3A">
            <w:pPr>
              <w:widowControl/>
              <w:spacing w:line="0" w:lineRule="atLeast"/>
              <w:jc w:val="right"/>
              <w:rPr>
                <w:rFonts w:eastAsia="標楷體"/>
                <w:kern w:val="0"/>
                <w:sz w:val="22"/>
                <w:szCs w:val="20"/>
              </w:rPr>
            </w:pPr>
            <w:r w:rsidRPr="00D55DC6">
              <w:rPr>
                <w:rFonts w:eastAsia="標楷體"/>
                <w:kern w:val="0"/>
                <w:sz w:val="22"/>
                <w:szCs w:val="20"/>
              </w:rPr>
              <w:t>245,000</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BB7C3A">
            <w:pPr>
              <w:widowControl/>
              <w:spacing w:line="0" w:lineRule="atLeast"/>
              <w:jc w:val="right"/>
              <w:rPr>
                <w:rFonts w:eastAsia="標楷體"/>
                <w:kern w:val="0"/>
                <w:sz w:val="22"/>
                <w:szCs w:val="20"/>
              </w:rPr>
            </w:pPr>
            <w:r w:rsidRPr="00D55DC6">
              <w:rPr>
                <w:rFonts w:eastAsia="標楷體"/>
                <w:kern w:val="0"/>
                <w:sz w:val="22"/>
                <w:szCs w:val="20"/>
              </w:rPr>
              <w:t>245,000</w:t>
            </w:r>
          </w:p>
        </w:tc>
        <w:tc>
          <w:tcPr>
            <w:tcW w:w="851" w:type="dxa"/>
            <w:tcBorders>
              <w:top w:val="single" w:sz="4" w:space="0" w:color="auto"/>
              <w:left w:val="nil"/>
              <w:bottom w:val="single" w:sz="4" w:space="0" w:color="auto"/>
              <w:right w:val="single" w:sz="4" w:space="0" w:color="auto"/>
            </w:tcBorders>
            <w:shd w:val="clear" w:color="auto" w:fill="FDE9D9"/>
            <w:noWrap/>
            <w:hideMark/>
          </w:tcPr>
          <w:p w:rsidR="00BB7C3A" w:rsidRPr="00D55DC6" w:rsidRDefault="00BB7C3A" w:rsidP="00BB7C3A">
            <w:pPr>
              <w:spacing w:line="0" w:lineRule="atLeast"/>
              <w:jc w:val="right"/>
            </w:pPr>
            <w:r w:rsidRPr="00D55DC6">
              <w:rPr>
                <w:rFonts w:eastAsia="標楷體"/>
                <w:kern w:val="0"/>
                <w:sz w:val="22"/>
                <w:szCs w:val="20"/>
              </w:rPr>
              <w:t>245,000</w:t>
            </w:r>
          </w:p>
        </w:tc>
        <w:tc>
          <w:tcPr>
            <w:tcW w:w="850" w:type="dxa"/>
            <w:tcBorders>
              <w:top w:val="single" w:sz="4" w:space="0" w:color="auto"/>
              <w:left w:val="nil"/>
              <w:bottom w:val="single" w:sz="4" w:space="0" w:color="auto"/>
              <w:right w:val="single" w:sz="4" w:space="0" w:color="auto"/>
            </w:tcBorders>
            <w:shd w:val="clear" w:color="auto" w:fill="FDE9D9"/>
            <w:noWrap/>
            <w:hideMark/>
          </w:tcPr>
          <w:p w:rsidR="00BB7C3A" w:rsidRPr="00D55DC6" w:rsidRDefault="00BB7C3A" w:rsidP="00BB7C3A">
            <w:pPr>
              <w:spacing w:line="0" w:lineRule="atLeast"/>
              <w:jc w:val="right"/>
            </w:pPr>
            <w:r w:rsidRPr="00D55DC6">
              <w:rPr>
                <w:rFonts w:eastAsia="標楷體"/>
                <w:kern w:val="0"/>
                <w:sz w:val="22"/>
                <w:szCs w:val="20"/>
              </w:rPr>
              <w:t>245,000</w:t>
            </w:r>
          </w:p>
        </w:tc>
        <w:tc>
          <w:tcPr>
            <w:tcW w:w="851" w:type="dxa"/>
            <w:tcBorders>
              <w:top w:val="single" w:sz="4" w:space="0" w:color="auto"/>
              <w:left w:val="nil"/>
              <w:bottom w:val="single" w:sz="4" w:space="0" w:color="auto"/>
              <w:right w:val="single" w:sz="4" w:space="0" w:color="auto"/>
            </w:tcBorders>
            <w:shd w:val="clear" w:color="auto" w:fill="FDE9D9"/>
            <w:noWrap/>
            <w:hideMark/>
          </w:tcPr>
          <w:p w:rsidR="00BB7C3A" w:rsidRPr="00D55DC6" w:rsidRDefault="00BB7C3A" w:rsidP="00BB7C3A">
            <w:pPr>
              <w:spacing w:line="0" w:lineRule="atLeast"/>
              <w:jc w:val="right"/>
            </w:pPr>
            <w:r w:rsidRPr="00D55DC6">
              <w:rPr>
                <w:rFonts w:eastAsia="標楷體"/>
                <w:kern w:val="0"/>
                <w:sz w:val="22"/>
                <w:szCs w:val="20"/>
              </w:rPr>
              <w:t>245,000</w:t>
            </w:r>
          </w:p>
        </w:tc>
        <w:tc>
          <w:tcPr>
            <w:tcW w:w="851" w:type="dxa"/>
            <w:tcBorders>
              <w:top w:val="single" w:sz="4" w:space="0" w:color="auto"/>
              <w:left w:val="nil"/>
              <w:bottom w:val="single" w:sz="4" w:space="0" w:color="auto"/>
              <w:right w:val="single" w:sz="4" w:space="0" w:color="auto"/>
            </w:tcBorders>
            <w:shd w:val="clear" w:color="auto" w:fill="FDE9D9"/>
            <w:noWrap/>
            <w:hideMark/>
          </w:tcPr>
          <w:p w:rsidR="00BB7C3A" w:rsidRPr="00D55DC6" w:rsidRDefault="00BB7C3A" w:rsidP="00BB7C3A">
            <w:pPr>
              <w:spacing w:line="0" w:lineRule="atLeast"/>
              <w:jc w:val="right"/>
            </w:pPr>
            <w:r w:rsidRPr="00D55DC6">
              <w:rPr>
                <w:rFonts w:eastAsia="標楷體"/>
                <w:kern w:val="0"/>
                <w:sz w:val="22"/>
                <w:szCs w:val="20"/>
              </w:rPr>
              <w:t>245,000</w:t>
            </w:r>
          </w:p>
        </w:tc>
        <w:tc>
          <w:tcPr>
            <w:tcW w:w="850" w:type="dxa"/>
            <w:tcBorders>
              <w:top w:val="single" w:sz="4" w:space="0" w:color="auto"/>
              <w:left w:val="nil"/>
              <w:bottom w:val="single" w:sz="4" w:space="0" w:color="auto"/>
              <w:right w:val="single" w:sz="4" w:space="0" w:color="auto"/>
            </w:tcBorders>
            <w:shd w:val="clear" w:color="auto" w:fill="FDE9D9"/>
            <w:noWrap/>
            <w:hideMark/>
          </w:tcPr>
          <w:p w:rsidR="00BB7C3A" w:rsidRPr="00D55DC6" w:rsidRDefault="00BB7C3A" w:rsidP="00BB7C3A">
            <w:pPr>
              <w:spacing w:line="0" w:lineRule="atLeast"/>
              <w:jc w:val="right"/>
            </w:pPr>
            <w:r w:rsidRPr="00D55DC6">
              <w:rPr>
                <w:rFonts w:eastAsia="標楷體"/>
                <w:kern w:val="0"/>
                <w:sz w:val="22"/>
                <w:szCs w:val="20"/>
              </w:rPr>
              <w:t>245,000</w:t>
            </w:r>
          </w:p>
        </w:tc>
        <w:tc>
          <w:tcPr>
            <w:tcW w:w="851" w:type="dxa"/>
            <w:tcBorders>
              <w:top w:val="single" w:sz="4" w:space="0" w:color="auto"/>
              <w:left w:val="nil"/>
              <w:bottom w:val="single" w:sz="4" w:space="0" w:color="auto"/>
              <w:right w:val="single" w:sz="4" w:space="0" w:color="auto"/>
            </w:tcBorders>
            <w:shd w:val="clear" w:color="auto" w:fill="FDE9D9"/>
            <w:noWrap/>
            <w:hideMark/>
          </w:tcPr>
          <w:p w:rsidR="00BB7C3A" w:rsidRPr="00D55DC6" w:rsidRDefault="00BB7C3A" w:rsidP="00BB7C3A">
            <w:pPr>
              <w:spacing w:line="0" w:lineRule="atLeast"/>
              <w:jc w:val="right"/>
            </w:pPr>
            <w:r w:rsidRPr="00D55DC6">
              <w:rPr>
                <w:rFonts w:eastAsia="標楷體"/>
                <w:kern w:val="0"/>
                <w:sz w:val="22"/>
                <w:szCs w:val="20"/>
              </w:rPr>
              <w:t>245,000</w:t>
            </w:r>
          </w:p>
        </w:tc>
        <w:tc>
          <w:tcPr>
            <w:tcW w:w="1046" w:type="dxa"/>
            <w:tcBorders>
              <w:top w:val="single" w:sz="4" w:space="0" w:color="auto"/>
              <w:left w:val="nil"/>
              <w:bottom w:val="single" w:sz="4" w:space="0" w:color="auto"/>
              <w:right w:val="single" w:sz="4" w:space="0" w:color="auto"/>
            </w:tcBorders>
            <w:shd w:val="clear" w:color="auto" w:fill="FDE9D9"/>
            <w:noWrap/>
            <w:vAlign w:val="center"/>
            <w:hideMark/>
          </w:tcPr>
          <w:p w:rsidR="00BB7C3A" w:rsidRPr="00D55DC6" w:rsidRDefault="00BB7C3A" w:rsidP="00BB7C3A">
            <w:pPr>
              <w:widowControl/>
              <w:spacing w:line="0" w:lineRule="atLeast"/>
              <w:jc w:val="right"/>
              <w:rPr>
                <w:rFonts w:eastAsia="標楷體"/>
                <w:kern w:val="0"/>
                <w:sz w:val="22"/>
                <w:szCs w:val="20"/>
              </w:rPr>
            </w:pPr>
            <w:r w:rsidRPr="00D55DC6">
              <w:rPr>
                <w:rFonts w:eastAsia="標楷體"/>
                <w:kern w:val="0"/>
                <w:sz w:val="22"/>
                <w:szCs w:val="20"/>
              </w:rPr>
              <w:t>5,050,300</w:t>
            </w:r>
          </w:p>
        </w:tc>
      </w:tr>
      <w:tr w:rsidR="001D0350" w:rsidRPr="00D55DC6" w:rsidTr="00BB7C3A">
        <w:trPr>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rPr>
                <w:rFonts w:eastAsia="標楷體"/>
                <w:kern w:val="0"/>
                <w:sz w:val="22"/>
                <w:szCs w:val="20"/>
              </w:rPr>
            </w:pPr>
            <w:r w:rsidRPr="00D55DC6">
              <w:rPr>
                <w:rFonts w:eastAsia="標楷體"/>
                <w:kern w:val="0"/>
                <w:sz w:val="22"/>
                <w:szCs w:val="20"/>
              </w:rPr>
              <w:t>收入</w:t>
            </w:r>
          </w:p>
        </w:tc>
        <w:tc>
          <w:tcPr>
            <w:tcW w:w="1134" w:type="dxa"/>
            <w:tcBorders>
              <w:top w:val="nil"/>
              <w:left w:val="nil"/>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72,405</w:t>
            </w:r>
          </w:p>
        </w:tc>
        <w:tc>
          <w:tcPr>
            <w:tcW w:w="850" w:type="dxa"/>
            <w:tcBorders>
              <w:top w:val="nil"/>
              <w:left w:val="nil"/>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73,853</w:t>
            </w:r>
          </w:p>
        </w:tc>
        <w:tc>
          <w:tcPr>
            <w:tcW w:w="851" w:type="dxa"/>
            <w:tcBorders>
              <w:top w:val="nil"/>
              <w:left w:val="nil"/>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75,330</w:t>
            </w:r>
          </w:p>
        </w:tc>
        <w:tc>
          <w:tcPr>
            <w:tcW w:w="850" w:type="dxa"/>
            <w:tcBorders>
              <w:top w:val="nil"/>
              <w:left w:val="nil"/>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76,837</w:t>
            </w:r>
          </w:p>
        </w:tc>
        <w:tc>
          <w:tcPr>
            <w:tcW w:w="851" w:type="dxa"/>
            <w:tcBorders>
              <w:top w:val="nil"/>
              <w:left w:val="nil"/>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78,374</w:t>
            </w:r>
          </w:p>
        </w:tc>
        <w:tc>
          <w:tcPr>
            <w:tcW w:w="850" w:type="dxa"/>
            <w:tcBorders>
              <w:top w:val="nil"/>
              <w:left w:val="nil"/>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79,941</w:t>
            </w:r>
          </w:p>
        </w:tc>
        <w:tc>
          <w:tcPr>
            <w:tcW w:w="851" w:type="dxa"/>
            <w:tcBorders>
              <w:top w:val="nil"/>
              <w:left w:val="nil"/>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81,540</w:t>
            </w:r>
          </w:p>
        </w:tc>
        <w:tc>
          <w:tcPr>
            <w:tcW w:w="851" w:type="dxa"/>
            <w:tcBorders>
              <w:top w:val="nil"/>
              <w:left w:val="nil"/>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83,171</w:t>
            </w:r>
          </w:p>
        </w:tc>
        <w:tc>
          <w:tcPr>
            <w:tcW w:w="850" w:type="dxa"/>
            <w:tcBorders>
              <w:top w:val="nil"/>
              <w:left w:val="nil"/>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84,834</w:t>
            </w:r>
          </w:p>
        </w:tc>
        <w:tc>
          <w:tcPr>
            <w:tcW w:w="851" w:type="dxa"/>
            <w:tcBorders>
              <w:top w:val="nil"/>
              <w:left w:val="nil"/>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jc w:val="center"/>
              <w:rPr>
                <w:rFonts w:eastAsia="標楷體"/>
                <w:kern w:val="0"/>
                <w:sz w:val="20"/>
                <w:szCs w:val="20"/>
              </w:rPr>
            </w:pPr>
            <w:r w:rsidRPr="00D55DC6">
              <w:rPr>
                <w:rFonts w:eastAsia="標楷體"/>
                <w:kern w:val="0"/>
                <w:sz w:val="20"/>
                <w:szCs w:val="20"/>
              </w:rPr>
              <w:t>86,531</w:t>
            </w:r>
          </w:p>
        </w:tc>
        <w:tc>
          <w:tcPr>
            <w:tcW w:w="1046" w:type="dxa"/>
            <w:tcBorders>
              <w:top w:val="nil"/>
              <w:left w:val="nil"/>
              <w:bottom w:val="single" w:sz="4" w:space="0" w:color="auto"/>
              <w:right w:val="single" w:sz="4" w:space="0" w:color="auto"/>
            </w:tcBorders>
            <w:shd w:val="clear" w:color="auto" w:fill="FFFFFF"/>
            <w:noWrap/>
            <w:hideMark/>
          </w:tcPr>
          <w:p w:rsidR="00BB7C3A" w:rsidRPr="00D55DC6" w:rsidRDefault="00BB7C3A" w:rsidP="00BB7C3A">
            <w:pPr>
              <w:widowControl/>
              <w:spacing w:line="0" w:lineRule="atLeast"/>
              <w:jc w:val="right"/>
              <w:rPr>
                <w:rFonts w:eastAsia="標楷體"/>
                <w:kern w:val="0"/>
                <w:sz w:val="22"/>
                <w:szCs w:val="22"/>
              </w:rPr>
            </w:pPr>
            <w:r w:rsidRPr="00D55DC6">
              <w:rPr>
                <w:rFonts w:eastAsia="標楷體"/>
                <w:kern w:val="0"/>
                <w:sz w:val="22"/>
                <w:szCs w:val="22"/>
              </w:rPr>
              <w:t>1,410,104</w:t>
            </w:r>
          </w:p>
        </w:tc>
      </w:tr>
      <w:tr w:rsidR="001D0350" w:rsidRPr="00D55DC6" w:rsidTr="00BB7C3A">
        <w:trPr>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BB7C3A" w:rsidRPr="00D55DC6" w:rsidRDefault="00BB7C3A" w:rsidP="00BB7C3A">
            <w:pPr>
              <w:widowControl/>
              <w:spacing w:line="0" w:lineRule="atLeast"/>
              <w:rPr>
                <w:rFonts w:eastAsia="標楷體"/>
                <w:kern w:val="0"/>
                <w:sz w:val="22"/>
                <w:szCs w:val="20"/>
              </w:rPr>
            </w:pPr>
            <w:r w:rsidRPr="00D55DC6">
              <w:rPr>
                <w:rFonts w:eastAsia="標楷體"/>
                <w:kern w:val="0"/>
                <w:sz w:val="22"/>
                <w:szCs w:val="20"/>
              </w:rPr>
              <w:t>收支比</w:t>
            </w:r>
          </w:p>
        </w:tc>
        <w:tc>
          <w:tcPr>
            <w:tcW w:w="1134" w:type="dxa"/>
            <w:tcBorders>
              <w:top w:val="nil"/>
              <w:left w:val="nil"/>
              <w:bottom w:val="single" w:sz="4" w:space="0" w:color="auto"/>
              <w:right w:val="single" w:sz="4" w:space="0" w:color="auto"/>
            </w:tcBorders>
            <w:shd w:val="clear" w:color="auto" w:fill="FFFFFF"/>
            <w:noWrap/>
            <w:hideMark/>
          </w:tcPr>
          <w:p w:rsidR="00BB7C3A" w:rsidRPr="00D55DC6" w:rsidRDefault="00BB7C3A" w:rsidP="00BB7C3A">
            <w:pPr>
              <w:spacing w:line="0" w:lineRule="atLeast"/>
              <w:jc w:val="right"/>
              <w:rPr>
                <w:sz w:val="22"/>
                <w:szCs w:val="22"/>
              </w:rPr>
            </w:pPr>
            <w:r w:rsidRPr="00D55DC6">
              <w:rPr>
                <w:sz w:val="22"/>
                <w:szCs w:val="22"/>
              </w:rPr>
              <w:t>29.14%</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BB7C3A">
            <w:pPr>
              <w:spacing w:line="0" w:lineRule="atLeast"/>
              <w:jc w:val="right"/>
              <w:rPr>
                <w:sz w:val="22"/>
                <w:szCs w:val="22"/>
              </w:rPr>
            </w:pPr>
            <w:r w:rsidRPr="00D55DC6">
              <w:rPr>
                <w:sz w:val="22"/>
                <w:szCs w:val="22"/>
              </w:rPr>
              <w:t>29.73%</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BB7C3A">
            <w:pPr>
              <w:spacing w:line="0" w:lineRule="atLeast"/>
              <w:jc w:val="right"/>
              <w:rPr>
                <w:sz w:val="22"/>
                <w:szCs w:val="22"/>
              </w:rPr>
            </w:pPr>
            <w:r w:rsidRPr="00D55DC6">
              <w:rPr>
                <w:sz w:val="22"/>
                <w:szCs w:val="22"/>
              </w:rPr>
              <w:t>30.32%</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BB7C3A">
            <w:pPr>
              <w:spacing w:line="0" w:lineRule="atLeast"/>
              <w:jc w:val="right"/>
              <w:rPr>
                <w:sz w:val="22"/>
                <w:szCs w:val="22"/>
              </w:rPr>
            </w:pPr>
            <w:r w:rsidRPr="00D55DC6">
              <w:rPr>
                <w:sz w:val="22"/>
                <w:szCs w:val="22"/>
              </w:rPr>
              <w:t>30.93%</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BB7C3A">
            <w:pPr>
              <w:spacing w:line="0" w:lineRule="atLeast"/>
              <w:jc w:val="right"/>
              <w:rPr>
                <w:sz w:val="22"/>
                <w:szCs w:val="22"/>
              </w:rPr>
            </w:pPr>
            <w:r w:rsidRPr="00D55DC6">
              <w:rPr>
                <w:sz w:val="22"/>
                <w:szCs w:val="22"/>
              </w:rPr>
              <w:t>31.55%</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BB7C3A">
            <w:pPr>
              <w:spacing w:line="0" w:lineRule="atLeast"/>
              <w:jc w:val="right"/>
              <w:rPr>
                <w:sz w:val="22"/>
                <w:szCs w:val="22"/>
              </w:rPr>
            </w:pPr>
            <w:r w:rsidRPr="00D55DC6">
              <w:rPr>
                <w:sz w:val="22"/>
                <w:szCs w:val="22"/>
              </w:rPr>
              <w:t>32.18%</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BB7C3A">
            <w:pPr>
              <w:spacing w:line="0" w:lineRule="atLeast"/>
              <w:jc w:val="right"/>
              <w:rPr>
                <w:sz w:val="22"/>
                <w:szCs w:val="22"/>
              </w:rPr>
            </w:pPr>
            <w:r w:rsidRPr="00D55DC6">
              <w:rPr>
                <w:sz w:val="22"/>
                <w:szCs w:val="22"/>
              </w:rPr>
              <w:t>32.82%</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BB7C3A">
            <w:pPr>
              <w:spacing w:line="0" w:lineRule="atLeast"/>
              <w:jc w:val="right"/>
              <w:rPr>
                <w:sz w:val="22"/>
                <w:szCs w:val="22"/>
              </w:rPr>
            </w:pPr>
            <w:r w:rsidRPr="00D55DC6">
              <w:rPr>
                <w:sz w:val="22"/>
                <w:szCs w:val="22"/>
              </w:rPr>
              <w:t>33.48%</w:t>
            </w:r>
          </w:p>
        </w:tc>
        <w:tc>
          <w:tcPr>
            <w:tcW w:w="850" w:type="dxa"/>
            <w:tcBorders>
              <w:top w:val="nil"/>
              <w:left w:val="nil"/>
              <w:bottom w:val="single" w:sz="4" w:space="0" w:color="auto"/>
              <w:right w:val="single" w:sz="4" w:space="0" w:color="auto"/>
            </w:tcBorders>
            <w:shd w:val="clear" w:color="auto" w:fill="FFFFFF"/>
            <w:noWrap/>
            <w:hideMark/>
          </w:tcPr>
          <w:p w:rsidR="00BB7C3A" w:rsidRPr="00D55DC6" w:rsidRDefault="00BB7C3A" w:rsidP="00BB7C3A">
            <w:pPr>
              <w:spacing w:line="0" w:lineRule="atLeast"/>
              <w:jc w:val="right"/>
              <w:rPr>
                <w:sz w:val="22"/>
                <w:szCs w:val="22"/>
              </w:rPr>
            </w:pPr>
            <w:r w:rsidRPr="00D55DC6">
              <w:rPr>
                <w:sz w:val="22"/>
                <w:szCs w:val="22"/>
              </w:rPr>
              <w:t>34.15%</w:t>
            </w:r>
          </w:p>
        </w:tc>
        <w:tc>
          <w:tcPr>
            <w:tcW w:w="851" w:type="dxa"/>
            <w:tcBorders>
              <w:top w:val="nil"/>
              <w:left w:val="nil"/>
              <w:bottom w:val="single" w:sz="4" w:space="0" w:color="auto"/>
              <w:right w:val="single" w:sz="4" w:space="0" w:color="auto"/>
            </w:tcBorders>
            <w:shd w:val="clear" w:color="auto" w:fill="FFFFFF"/>
            <w:noWrap/>
            <w:hideMark/>
          </w:tcPr>
          <w:p w:rsidR="00BB7C3A" w:rsidRPr="00D55DC6" w:rsidRDefault="00BB7C3A" w:rsidP="00BB7C3A">
            <w:pPr>
              <w:spacing w:line="0" w:lineRule="atLeast"/>
              <w:jc w:val="right"/>
              <w:rPr>
                <w:sz w:val="22"/>
                <w:szCs w:val="22"/>
              </w:rPr>
            </w:pPr>
            <w:r w:rsidRPr="00D55DC6">
              <w:rPr>
                <w:sz w:val="22"/>
                <w:szCs w:val="22"/>
              </w:rPr>
              <w:t>34.83%</w:t>
            </w:r>
          </w:p>
        </w:tc>
        <w:tc>
          <w:tcPr>
            <w:tcW w:w="1046" w:type="dxa"/>
            <w:tcBorders>
              <w:top w:val="nil"/>
              <w:left w:val="nil"/>
              <w:bottom w:val="single" w:sz="4" w:space="0" w:color="auto"/>
              <w:right w:val="single" w:sz="4" w:space="0" w:color="auto"/>
            </w:tcBorders>
            <w:shd w:val="clear" w:color="auto" w:fill="FFFFFF"/>
            <w:noWrap/>
          </w:tcPr>
          <w:p w:rsidR="00BB7C3A" w:rsidRPr="00D55DC6" w:rsidRDefault="00BB7C3A" w:rsidP="00BB7C3A">
            <w:pPr>
              <w:widowControl/>
              <w:spacing w:line="0" w:lineRule="atLeast"/>
              <w:jc w:val="center"/>
              <w:rPr>
                <w:rFonts w:eastAsia="標楷體"/>
                <w:kern w:val="0"/>
                <w:sz w:val="22"/>
                <w:szCs w:val="22"/>
              </w:rPr>
            </w:pPr>
          </w:p>
        </w:tc>
      </w:tr>
      <w:tr w:rsidR="001D0350" w:rsidRPr="00D55DC6" w:rsidTr="00BB7C3A">
        <w:trPr>
          <w:gridAfter w:val="10"/>
          <w:wAfter w:w="8701" w:type="dxa"/>
          <w:trHeight w:val="330"/>
        </w:trPr>
        <w:tc>
          <w:tcPr>
            <w:tcW w:w="993" w:type="dxa"/>
            <w:tcBorders>
              <w:top w:val="nil"/>
              <w:left w:val="single" w:sz="4" w:space="0" w:color="auto"/>
              <w:bottom w:val="single" w:sz="4" w:space="0" w:color="auto"/>
              <w:right w:val="single" w:sz="4" w:space="0" w:color="auto"/>
            </w:tcBorders>
            <w:shd w:val="clear" w:color="auto" w:fill="FFFFCC"/>
            <w:noWrap/>
            <w:vAlign w:val="center"/>
            <w:hideMark/>
          </w:tcPr>
          <w:p w:rsidR="00BB7C3A" w:rsidRPr="00D55DC6" w:rsidRDefault="00BB7C3A" w:rsidP="00BB7C3A">
            <w:pPr>
              <w:widowControl/>
              <w:spacing w:line="0" w:lineRule="atLeast"/>
              <w:rPr>
                <w:rFonts w:eastAsia="標楷體"/>
                <w:b/>
                <w:bCs/>
                <w:kern w:val="0"/>
                <w:sz w:val="22"/>
                <w:szCs w:val="20"/>
              </w:rPr>
            </w:pPr>
            <w:r w:rsidRPr="00D55DC6">
              <w:rPr>
                <w:rFonts w:eastAsia="標楷體"/>
                <w:b/>
                <w:bCs/>
                <w:kern w:val="0"/>
                <w:sz w:val="22"/>
                <w:szCs w:val="20"/>
              </w:rPr>
              <w:t>投資現值</w:t>
            </w:r>
          </w:p>
        </w:tc>
        <w:tc>
          <w:tcPr>
            <w:tcW w:w="1134" w:type="dxa"/>
            <w:tcBorders>
              <w:top w:val="nil"/>
              <w:left w:val="nil"/>
              <w:bottom w:val="single" w:sz="4" w:space="0" w:color="auto"/>
              <w:right w:val="single" w:sz="4" w:space="0" w:color="auto"/>
            </w:tcBorders>
            <w:shd w:val="clear" w:color="auto" w:fill="FFFFCC"/>
            <w:noWrap/>
            <w:vAlign w:val="center"/>
            <w:hideMark/>
          </w:tcPr>
          <w:p w:rsidR="00BB7C3A" w:rsidRPr="00D55DC6" w:rsidRDefault="00BB7C3A" w:rsidP="00BB7C3A">
            <w:pPr>
              <w:widowControl/>
              <w:spacing w:line="0" w:lineRule="atLeast"/>
              <w:ind w:rightChars="47" w:right="113"/>
              <w:jc w:val="right"/>
              <w:rPr>
                <w:rFonts w:eastAsia="標楷體"/>
                <w:b/>
                <w:bCs/>
                <w:kern w:val="0"/>
                <w:sz w:val="20"/>
                <w:szCs w:val="20"/>
              </w:rPr>
            </w:pPr>
            <w:r w:rsidRPr="00D55DC6">
              <w:rPr>
                <w:rFonts w:eastAsia="標楷體"/>
                <w:b/>
                <w:bCs/>
                <w:kern w:val="0"/>
                <w:sz w:val="20"/>
                <w:szCs w:val="20"/>
              </w:rPr>
              <w:t>3,800,217</w:t>
            </w:r>
          </w:p>
        </w:tc>
      </w:tr>
      <w:tr w:rsidR="001D0350" w:rsidRPr="00D55DC6" w:rsidTr="00BB7C3A">
        <w:trPr>
          <w:gridAfter w:val="10"/>
          <w:wAfter w:w="8701" w:type="dxa"/>
          <w:trHeight w:val="330"/>
        </w:trPr>
        <w:tc>
          <w:tcPr>
            <w:tcW w:w="993" w:type="dxa"/>
            <w:tcBorders>
              <w:top w:val="nil"/>
              <w:left w:val="single" w:sz="4" w:space="0" w:color="auto"/>
              <w:bottom w:val="single" w:sz="4" w:space="0" w:color="auto"/>
              <w:right w:val="single" w:sz="4" w:space="0" w:color="auto"/>
            </w:tcBorders>
            <w:shd w:val="clear" w:color="auto" w:fill="FFFFCC"/>
            <w:noWrap/>
            <w:vAlign w:val="center"/>
            <w:hideMark/>
          </w:tcPr>
          <w:p w:rsidR="00BB7C3A" w:rsidRPr="00D55DC6" w:rsidRDefault="00BB7C3A" w:rsidP="00BB7C3A">
            <w:pPr>
              <w:widowControl/>
              <w:spacing w:line="0" w:lineRule="atLeast"/>
              <w:rPr>
                <w:rFonts w:eastAsia="標楷體"/>
                <w:b/>
                <w:bCs/>
                <w:kern w:val="0"/>
                <w:sz w:val="22"/>
                <w:szCs w:val="20"/>
              </w:rPr>
            </w:pPr>
            <w:r w:rsidRPr="00D55DC6">
              <w:rPr>
                <w:rFonts w:eastAsia="標楷體"/>
                <w:b/>
                <w:bCs/>
                <w:kern w:val="0"/>
                <w:sz w:val="22"/>
                <w:szCs w:val="20"/>
              </w:rPr>
              <w:t>收益現值</w:t>
            </w:r>
          </w:p>
        </w:tc>
        <w:tc>
          <w:tcPr>
            <w:tcW w:w="1134" w:type="dxa"/>
            <w:tcBorders>
              <w:top w:val="nil"/>
              <w:left w:val="nil"/>
              <w:bottom w:val="single" w:sz="4" w:space="0" w:color="auto"/>
              <w:right w:val="single" w:sz="4" w:space="0" w:color="auto"/>
            </w:tcBorders>
            <w:shd w:val="clear" w:color="auto" w:fill="FFFFCC"/>
            <w:noWrap/>
            <w:vAlign w:val="center"/>
            <w:hideMark/>
          </w:tcPr>
          <w:p w:rsidR="00BB7C3A" w:rsidRPr="00D55DC6" w:rsidRDefault="00BB7C3A" w:rsidP="00BB7C3A">
            <w:pPr>
              <w:widowControl/>
              <w:spacing w:line="0" w:lineRule="atLeast"/>
              <w:ind w:rightChars="47" w:right="113"/>
              <w:jc w:val="right"/>
              <w:rPr>
                <w:rFonts w:eastAsia="標楷體"/>
                <w:b/>
                <w:bCs/>
                <w:kern w:val="0"/>
                <w:sz w:val="20"/>
                <w:szCs w:val="20"/>
              </w:rPr>
            </w:pPr>
            <w:r w:rsidRPr="00D55DC6">
              <w:rPr>
                <w:rFonts w:eastAsia="標楷體"/>
                <w:b/>
                <w:bCs/>
                <w:kern w:val="0"/>
                <w:sz w:val="20"/>
                <w:szCs w:val="20"/>
              </w:rPr>
              <w:t>1,023,716</w:t>
            </w:r>
          </w:p>
        </w:tc>
      </w:tr>
      <w:tr w:rsidR="001D0350" w:rsidRPr="00D55DC6" w:rsidTr="00BB7C3A">
        <w:trPr>
          <w:gridAfter w:val="10"/>
          <w:wAfter w:w="8701" w:type="dxa"/>
          <w:trHeight w:val="330"/>
        </w:trPr>
        <w:tc>
          <w:tcPr>
            <w:tcW w:w="993" w:type="dxa"/>
            <w:tcBorders>
              <w:top w:val="nil"/>
              <w:left w:val="single" w:sz="4" w:space="0" w:color="auto"/>
              <w:bottom w:val="single" w:sz="4" w:space="0" w:color="auto"/>
              <w:right w:val="single" w:sz="4" w:space="0" w:color="auto"/>
            </w:tcBorders>
            <w:shd w:val="clear" w:color="auto" w:fill="FDE9D9"/>
            <w:noWrap/>
            <w:vAlign w:val="center"/>
            <w:hideMark/>
          </w:tcPr>
          <w:p w:rsidR="00BB7C3A" w:rsidRPr="00D55DC6" w:rsidRDefault="00BB7C3A" w:rsidP="00BB7C3A">
            <w:pPr>
              <w:widowControl/>
              <w:spacing w:line="0" w:lineRule="atLeast"/>
              <w:rPr>
                <w:rFonts w:eastAsia="標楷體"/>
                <w:kern w:val="0"/>
                <w:sz w:val="22"/>
                <w:szCs w:val="20"/>
              </w:rPr>
            </w:pPr>
            <w:r w:rsidRPr="00D55DC6">
              <w:rPr>
                <w:rFonts w:eastAsia="標楷體"/>
                <w:kern w:val="0"/>
                <w:sz w:val="18"/>
                <w:szCs w:val="20"/>
              </w:rPr>
              <w:t>計畫自償率</w:t>
            </w:r>
          </w:p>
        </w:tc>
        <w:tc>
          <w:tcPr>
            <w:tcW w:w="1134" w:type="dxa"/>
            <w:tcBorders>
              <w:top w:val="nil"/>
              <w:left w:val="nil"/>
              <w:bottom w:val="single" w:sz="4" w:space="0" w:color="auto"/>
              <w:right w:val="single" w:sz="4" w:space="0" w:color="auto"/>
            </w:tcBorders>
            <w:shd w:val="clear" w:color="auto" w:fill="FDE9D9"/>
            <w:noWrap/>
            <w:vAlign w:val="center"/>
            <w:hideMark/>
          </w:tcPr>
          <w:p w:rsidR="00BB7C3A" w:rsidRPr="00D55DC6" w:rsidRDefault="00BB7C3A" w:rsidP="00BB7C3A">
            <w:pPr>
              <w:widowControl/>
              <w:spacing w:line="0" w:lineRule="atLeast"/>
              <w:ind w:rightChars="47" w:right="113"/>
              <w:jc w:val="right"/>
              <w:rPr>
                <w:rFonts w:eastAsia="標楷體"/>
                <w:b/>
                <w:bCs/>
                <w:kern w:val="0"/>
                <w:sz w:val="22"/>
                <w:szCs w:val="20"/>
              </w:rPr>
            </w:pPr>
            <w:r w:rsidRPr="00D55DC6">
              <w:rPr>
                <w:rFonts w:eastAsia="標楷體"/>
                <w:b/>
                <w:bCs/>
                <w:kern w:val="0"/>
                <w:sz w:val="22"/>
                <w:szCs w:val="20"/>
              </w:rPr>
              <w:t>27.23%</w:t>
            </w:r>
          </w:p>
        </w:tc>
      </w:tr>
    </w:tbl>
    <w:p w:rsidR="00BB7C3A" w:rsidRPr="00D55DC6" w:rsidRDefault="00BB7C3A" w:rsidP="008C418E">
      <w:pPr>
        <w:pStyle w:val="a"/>
        <w:numPr>
          <w:ilvl w:val="0"/>
          <w:numId w:val="0"/>
        </w:numPr>
        <w:ind w:left="709"/>
      </w:pPr>
    </w:p>
    <w:p w:rsidR="00934471" w:rsidRPr="00D55DC6" w:rsidRDefault="00934471" w:rsidP="008C418E">
      <w:pPr>
        <w:pStyle w:val="a"/>
        <w:numPr>
          <w:ilvl w:val="0"/>
          <w:numId w:val="0"/>
        </w:numPr>
        <w:ind w:left="709"/>
      </w:pPr>
      <w:r w:rsidRPr="00D55DC6">
        <w:t>國家風景區經管範圍內遊憩據點的整體開發，都會面臨土地取得（包括私有地協議價購、保安林地解編）、都市計畫土地使用變更或非都市土地編定變更等問題，甚至需依法辦理環境影響評估。因此管理處於</w:t>
      </w:r>
      <w:r w:rsidRPr="00D55DC6">
        <w:t>105-108</w:t>
      </w:r>
      <w:r w:rsidRPr="00D55DC6">
        <w:t>年階段將持續以擴大推動設施出租、促參案件為主，並尋求跨機關合作機會，新增與新北市政府合作開闢金山溫泉旅館之土地租金及權利金，以及萬里員潭溪獨木舟基地及石門北海幸福廣場營運收益，努力達成自償率目標；惟考量長期計畫可能存在「土地取得、土地使用變更與環境影響評估之影響」、「</w:t>
      </w:r>
      <w:r w:rsidRPr="00D55DC6">
        <w:t>ROT</w:t>
      </w:r>
      <w:r w:rsidRPr="00D55DC6">
        <w:t>及</w:t>
      </w:r>
      <w:r w:rsidRPr="00D55DC6">
        <w:t>OT</w:t>
      </w:r>
      <w:r w:rsidRPr="00D55DC6">
        <w:t>計畫，甚至出租案件因民間參與意願等不確定因素延宕」、「預估收益或預期市場反應過於樂觀」等眾多不確定風險特性，爰仍需持續依實際推動現況滾動檢討。</w:t>
      </w:r>
      <w:bookmarkEnd w:id="83"/>
    </w:p>
    <w:p w:rsidR="00C336E5" w:rsidRPr="00D55DC6" w:rsidRDefault="00C336E5" w:rsidP="008C418E">
      <w:pPr>
        <w:pStyle w:val="a"/>
        <w:numPr>
          <w:ilvl w:val="0"/>
          <w:numId w:val="0"/>
        </w:numPr>
        <w:ind w:left="709"/>
      </w:pPr>
    </w:p>
    <w:p w:rsidR="00C60CD2" w:rsidRPr="00D55DC6" w:rsidRDefault="00C60CD2" w:rsidP="008C418E">
      <w:pPr>
        <w:pStyle w:val="a"/>
        <w:numPr>
          <w:ilvl w:val="0"/>
          <w:numId w:val="0"/>
        </w:numPr>
        <w:ind w:left="709"/>
      </w:pPr>
    </w:p>
    <w:p w:rsidR="00C60CD2" w:rsidRPr="00D55DC6" w:rsidRDefault="00C60CD2" w:rsidP="008C418E">
      <w:pPr>
        <w:pStyle w:val="a"/>
        <w:numPr>
          <w:ilvl w:val="0"/>
          <w:numId w:val="0"/>
        </w:numPr>
        <w:ind w:left="709"/>
      </w:pPr>
    </w:p>
    <w:p w:rsidR="00C60CD2" w:rsidRPr="00D55DC6" w:rsidRDefault="00C60CD2" w:rsidP="008C418E">
      <w:pPr>
        <w:pStyle w:val="a"/>
        <w:numPr>
          <w:ilvl w:val="0"/>
          <w:numId w:val="0"/>
        </w:numPr>
        <w:ind w:left="709"/>
      </w:pPr>
    </w:p>
    <w:p w:rsidR="00C60CD2" w:rsidRPr="00D55DC6" w:rsidRDefault="00C60CD2" w:rsidP="008C418E">
      <w:pPr>
        <w:pStyle w:val="a"/>
        <w:numPr>
          <w:ilvl w:val="0"/>
          <w:numId w:val="0"/>
        </w:numPr>
        <w:ind w:left="709"/>
      </w:pPr>
    </w:p>
    <w:p w:rsidR="00C60CD2" w:rsidRPr="00D55DC6" w:rsidRDefault="00C60CD2" w:rsidP="008C418E">
      <w:pPr>
        <w:pStyle w:val="a"/>
        <w:numPr>
          <w:ilvl w:val="0"/>
          <w:numId w:val="0"/>
        </w:numPr>
        <w:ind w:left="709"/>
      </w:pPr>
    </w:p>
    <w:p w:rsidR="00C60CD2" w:rsidRPr="00D55DC6" w:rsidRDefault="00C60CD2" w:rsidP="008C418E">
      <w:pPr>
        <w:pStyle w:val="a"/>
        <w:numPr>
          <w:ilvl w:val="0"/>
          <w:numId w:val="0"/>
        </w:numPr>
        <w:ind w:left="709"/>
      </w:pPr>
    </w:p>
    <w:p w:rsidR="00B7347D" w:rsidRPr="00D55DC6" w:rsidRDefault="00B7347D" w:rsidP="008C418E">
      <w:pPr>
        <w:numPr>
          <w:ilvl w:val="0"/>
          <w:numId w:val="1"/>
        </w:numPr>
        <w:snapToGrid w:val="0"/>
        <w:spacing w:line="460" w:lineRule="exact"/>
        <w:ind w:left="709" w:hanging="709"/>
        <w:jc w:val="both"/>
        <w:rPr>
          <w:rFonts w:eastAsia="標楷體"/>
          <w:b/>
          <w:sz w:val="28"/>
          <w:szCs w:val="28"/>
        </w:rPr>
      </w:pPr>
      <w:r w:rsidRPr="00D55DC6">
        <w:rPr>
          <w:rFonts w:eastAsia="標楷體"/>
          <w:b/>
          <w:sz w:val="28"/>
          <w:szCs w:val="28"/>
        </w:rPr>
        <w:lastRenderedPageBreak/>
        <w:t>附則</w:t>
      </w:r>
    </w:p>
    <w:p w:rsidR="00B7347D" w:rsidRPr="00D55DC6" w:rsidRDefault="00B7347D" w:rsidP="004865C1">
      <w:pPr>
        <w:numPr>
          <w:ilvl w:val="0"/>
          <w:numId w:val="139"/>
        </w:numPr>
        <w:snapToGrid w:val="0"/>
        <w:spacing w:line="460" w:lineRule="exact"/>
        <w:jc w:val="both"/>
        <w:rPr>
          <w:rFonts w:eastAsia="標楷體"/>
          <w:b/>
          <w:sz w:val="28"/>
          <w:szCs w:val="28"/>
        </w:rPr>
      </w:pPr>
      <w:r w:rsidRPr="00D55DC6">
        <w:rPr>
          <w:rFonts w:eastAsia="標楷體"/>
          <w:b/>
          <w:sz w:val="28"/>
          <w:szCs w:val="28"/>
        </w:rPr>
        <w:t>風險評估</w:t>
      </w:r>
    </w:p>
    <w:p w:rsidR="00B7347D" w:rsidRPr="00D55DC6" w:rsidRDefault="00B7347D" w:rsidP="004865C1">
      <w:pPr>
        <w:pStyle w:val="af2"/>
        <w:numPr>
          <w:ilvl w:val="2"/>
          <w:numId w:val="140"/>
        </w:numPr>
        <w:snapToGrid w:val="0"/>
        <w:spacing w:line="460" w:lineRule="exact"/>
        <w:ind w:leftChars="0" w:left="1417" w:hanging="459"/>
        <w:jc w:val="both"/>
        <w:rPr>
          <w:rFonts w:eastAsia="標楷體"/>
          <w:sz w:val="28"/>
          <w:szCs w:val="28"/>
        </w:rPr>
      </w:pPr>
      <w:r w:rsidRPr="00D55DC6">
        <w:rPr>
          <w:rFonts w:eastAsia="標楷體"/>
          <w:sz w:val="28"/>
          <w:szCs w:val="28"/>
        </w:rPr>
        <w:t>執行大規模如野柳核心區整體環境改善，於設計、申請建照、工程前置申請審查及施工等作業費時，致影響原定工作進度與經費之執行。</w:t>
      </w:r>
    </w:p>
    <w:p w:rsidR="00B7347D" w:rsidRPr="00D55DC6" w:rsidRDefault="00B7347D" w:rsidP="004865C1">
      <w:pPr>
        <w:pStyle w:val="af2"/>
        <w:numPr>
          <w:ilvl w:val="2"/>
          <w:numId w:val="140"/>
        </w:numPr>
        <w:snapToGrid w:val="0"/>
        <w:spacing w:line="460" w:lineRule="exact"/>
        <w:ind w:leftChars="0" w:left="1417" w:hanging="459"/>
        <w:jc w:val="both"/>
        <w:rPr>
          <w:rFonts w:eastAsia="標楷體"/>
          <w:sz w:val="28"/>
          <w:szCs w:val="28"/>
        </w:rPr>
      </w:pPr>
      <w:r w:rsidRPr="00D55DC6">
        <w:rPr>
          <w:rFonts w:eastAsia="標楷體"/>
          <w:sz w:val="28"/>
          <w:szCs w:val="28"/>
        </w:rPr>
        <w:t>工程需用土地案涉林務局等外單位時，常要求管理處先行提供規劃設計圖說等資料，始同意納入研議辦理，惟部份工程在用地尚未確定能否取得前，多尚未發包委託規劃設計，致影響用地取得時程。</w:t>
      </w:r>
    </w:p>
    <w:p w:rsidR="00B7347D" w:rsidRPr="00D55DC6" w:rsidRDefault="00B7347D" w:rsidP="004865C1">
      <w:pPr>
        <w:pStyle w:val="af2"/>
        <w:numPr>
          <w:ilvl w:val="2"/>
          <w:numId w:val="140"/>
        </w:numPr>
        <w:snapToGrid w:val="0"/>
        <w:spacing w:line="460" w:lineRule="exact"/>
        <w:ind w:leftChars="0" w:left="1417" w:hanging="459"/>
        <w:jc w:val="both"/>
        <w:rPr>
          <w:rFonts w:eastAsia="標楷體"/>
          <w:sz w:val="28"/>
          <w:szCs w:val="28"/>
        </w:rPr>
      </w:pPr>
      <w:r w:rsidRPr="00D55DC6">
        <w:rPr>
          <w:rFonts w:eastAsia="標楷體"/>
          <w:sz w:val="28"/>
          <w:szCs w:val="28"/>
        </w:rPr>
        <w:t>北海岸地區易受東北季風、颱風季及多雨時節天候影響，致使工程施作及經管工作困難。</w:t>
      </w:r>
    </w:p>
    <w:p w:rsidR="00B7347D" w:rsidRPr="00D55DC6" w:rsidRDefault="00B7347D" w:rsidP="008C418E">
      <w:pPr>
        <w:snapToGrid w:val="0"/>
        <w:spacing w:line="460" w:lineRule="exact"/>
        <w:ind w:leftChars="354" w:left="850"/>
        <w:jc w:val="both"/>
        <w:rPr>
          <w:rFonts w:eastAsia="標楷體"/>
          <w:sz w:val="28"/>
          <w:szCs w:val="28"/>
        </w:rPr>
      </w:pPr>
    </w:p>
    <w:p w:rsidR="00B7347D" w:rsidRPr="00D55DC6" w:rsidRDefault="00B7347D" w:rsidP="004865C1">
      <w:pPr>
        <w:numPr>
          <w:ilvl w:val="0"/>
          <w:numId w:val="139"/>
        </w:numPr>
        <w:snapToGrid w:val="0"/>
        <w:spacing w:line="460" w:lineRule="exact"/>
        <w:jc w:val="both"/>
        <w:rPr>
          <w:rFonts w:eastAsia="標楷體"/>
          <w:b/>
          <w:sz w:val="28"/>
          <w:szCs w:val="28"/>
        </w:rPr>
      </w:pPr>
      <w:r w:rsidRPr="00D55DC6">
        <w:rPr>
          <w:rFonts w:eastAsia="標楷體"/>
          <w:b/>
          <w:sz w:val="28"/>
          <w:szCs w:val="28"/>
        </w:rPr>
        <w:t>相關機關配合事項</w:t>
      </w:r>
    </w:p>
    <w:p w:rsidR="00934471" w:rsidRPr="00D55DC6" w:rsidRDefault="00934471" w:rsidP="004865C1">
      <w:pPr>
        <w:pStyle w:val="af2"/>
        <w:numPr>
          <w:ilvl w:val="0"/>
          <w:numId w:val="141"/>
        </w:numPr>
        <w:snapToGrid w:val="0"/>
        <w:spacing w:line="460" w:lineRule="exact"/>
        <w:ind w:leftChars="0"/>
        <w:jc w:val="both"/>
        <w:rPr>
          <w:rFonts w:eastAsia="標楷體"/>
          <w:sz w:val="28"/>
          <w:szCs w:val="28"/>
        </w:rPr>
      </w:pPr>
      <w:r w:rsidRPr="00D55DC6">
        <w:rPr>
          <w:rFonts w:eastAsia="標楷體"/>
          <w:sz w:val="28"/>
          <w:szCs w:val="28"/>
        </w:rPr>
        <w:t>新北市政府及基隆市政府：協助土地使用管制及建築管理許可、國土復育、水利防洪、休閒農業、生態保護、交通設施及相關證照之申請，以及同意土地撥用事宜等。</w:t>
      </w:r>
    </w:p>
    <w:p w:rsidR="00934471" w:rsidRPr="00D55DC6" w:rsidRDefault="00934471" w:rsidP="004865C1">
      <w:pPr>
        <w:pStyle w:val="af2"/>
        <w:numPr>
          <w:ilvl w:val="0"/>
          <w:numId w:val="141"/>
        </w:numPr>
        <w:snapToGrid w:val="0"/>
        <w:spacing w:line="460" w:lineRule="exact"/>
        <w:ind w:leftChars="0"/>
        <w:jc w:val="both"/>
        <w:rPr>
          <w:rFonts w:eastAsia="標楷體"/>
          <w:sz w:val="28"/>
          <w:szCs w:val="28"/>
        </w:rPr>
      </w:pPr>
      <w:r w:rsidRPr="00D55DC6">
        <w:rPr>
          <w:rFonts w:eastAsia="標楷體"/>
          <w:sz w:val="28"/>
          <w:szCs w:val="28"/>
        </w:rPr>
        <w:t>行政院農委會林務局：建設用地林班</w:t>
      </w:r>
      <w:r w:rsidR="003A552B" w:rsidRPr="00D55DC6">
        <w:rPr>
          <w:rFonts w:eastAsia="標楷體"/>
          <w:sz w:val="28"/>
          <w:szCs w:val="28"/>
        </w:rPr>
        <w:t>地</w:t>
      </w:r>
      <w:r w:rsidRPr="00D55DC6">
        <w:rPr>
          <w:rFonts w:eastAsia="標楷體"/>
          <w:sz w:val="28"/>
          <w:szCs w:val="28"/>
        </w:rPr>
        <w:t>解編、部份保安林解編以及同意土地撥用、租借事宜等。</w:t>
      </w:r>
    </w:p>
    <w:p w:rsidR="00934471" w:rsidRPr="00D55DC6" w:rsidRDefault="00934471" w:rsidP="004865C1">
      <w:pPr>
        <w:pStyle w:val="af2"/>
        <w:numPr>
          <w:ilvl w:val="0"/>
          <w:numId w:val="141"/>
        </w:numPr>
        <w:snapToGrid w:val="0"/>
        <w:spacing w:line="460" w:lineRule="exact"/>
        <w:ind w:leftChars="0"/>
        <w:jc w:val="both"/>
        <w:rPr>
          <w:rFonts w:eastAsia="標楷體"/>
          <w:sz w:val="28"/>
          <w:szCs w:val="28"/>
        </w:rPr>
      </w:pPr>
      <w:r w:rsidRPr="00D55DC6">
        <w:rPr>
          <w:rFonts w:eastAsia="標楷體"/>
          <w:sz w:val="28"/>
          <w:szCs w:val="28"/>
        </w:rPr>
        <w:t>行政院農委會漁業署：觀光遊憩建設導入與漁民傳統作業漁區相互重疊使用範圍之同意事宜。</w:t>
      </w:r>
    </w:p>
    <w:p w:rsidR="00934471" w:rsidRPr="00D55DC6" w:rsidRDefault="00934471" w:rsidP="004865C1">
      <w:pPr>
        <w:pStyle w:val="af2"/>
        <w:numPr>
          <w:ilvl w:val="0"/>
          <w:numId w:val="141"/>
        </w:numPr>
        <w:snapToGrid w:val="0"/>
        <w:spacing w:line="460" w:lineRule="exact"/>
        <w:ind w:leftChars="0"/>
        <w:jc w:val="both"/>
        <w:rPr>
          <w:rFonts w:eastAsia="標楷體"/>
          <w:sz w:val="28"/>
          <w:szCs w:val="28"/>
        </w:rPr>
      </w:pPr>
      <w:r w:rsidRPr="00D55DC6">
        <w:rPr>
          <w:rFonts w:eastAsia="標楷體"/>
          <w:sz w:val="28"/>
          <w:szCs w:val="28"/>
        </w:rPr>
        <w:t>行政院農委會水產試驗所：協助經營規劃時環境敏感區位之調查事宜等。</w:t>
      </w:r>
    </w:p>
    <w:p w:rsidR="00934471" w:rsidRPr="00D55DC6" w:rsidRDefault="00934471" w:rsidP="004865C1">
      <w:pPr>
        <w:pStyle w:val="af2"/>
        <w:numPr>
          <w:ilvl w:val="0"/>
          <w:numId w:val="141"/>
        </w:numPr>
        <w:snapToGrid w:val="0"/>
        <w:spacing w:line="460" w:lineRule="exact"/>
        <w:ind w:leftChars="0"/>
        <w:jc w:val="both"/>
        <w:rPr>
          <w:rFonts w:eastAsia="標楷體"/>
          <w:sz w:val="28"/>
          <w:szCs w:val="28"/>
        </w:rPr>
      </w:pPr>
      <w:r w:rsidRPr="00D55DC6">
        <w:rPr>
          <w:rFonts w:eastAsia="標楷體"/>
          <w:sz w:val="28"/>
          <w:szCs w:val="28"/>
        </w:rPr>
        <w:t>內政部營建署：建設用地之都計變更相關事宜。</w:t>
      </w:r>
    </w:p>
    <w:p w:rsidR="00934471" w:rsidRPr="00D55DC6" w:rsidRDefault="00934471" w:rsidP="004865C1">
      <w:pPr>
        <w:pStyle w:val="af2"/>
        <w:numPr>
          <w:ilvl w:val="0"/>
          <w:numId w:val="141"/>
        </w:numPr>
        <w:snapToGrid w:val="0"/>
        <w:spacing w:line="460" w:lineRule="exact"/>
        <w:ind w:leftChars="0"/>
        <w:jc w:val="both"/>
        <w:rPr>
          <w:rFonts w:eastAsia="標楷體"/>
          <w:sz w:val="28"/>
          <w:szCs w:val="28"/>
        </w:rPr>
      </w:pPr>
      <w:r w:rsidRPr="00D55DC6">
        <w:rPr>
          <w:rFonts w:eastAsia="標楷體"/>
          <w:sz w:val="28"/>
          <w:szCs w:val="28"/>
        </w:rPr>
        <w:t>國有財產署、公路總局、海巡署、林務局、新北市政府及基隆市政府所屬各局處、區公所等：辦理開發建設需辦理土地管理機關同意撥用或租借使用事宜等。</w:t>
      </w:r>
    </w:p>
    <w:p w:rsidR="00934471" w:rsidRPr="00D55DC6" w:rsidRDefault="00934471" w:rsidP="004865C1">
      <w:pPr>
        <w:pStyle w:val="af2"/>
        <w:numPr>
          <w:ilvl w:val="0"/>
          <w:numId w:val="141"/>
        </w:numPr>
        <w:snapToGrid w:val="0"/>
        <w:spacing w:line="460" w:lineRule="exact"/>
        <w:ind w:leftChars="0"/>
        <w:jc w:val="both"/>
        <w:rPr>
          <w:rFonts w:eastAsia="標楷體"/>
          <w:sz w:val="28"/>
          <w:szCs w:val="28"/>
        </w:rPr>
      </w:pPr>
      <w:r w:rsidRPr="00D55DC6">
        <w:rPr>
          <w:rFonts w:eastAsia="標楷體"/>
          <w:sz w:val="28"/>
          <w:szCs w:val="28"/>
        </w:rPr>
        <w:t>文化部文化資產局：遊憩區開發若涉及古蹟、聚落、遺址、文化景觀及自然地景等文化資產之保存區相關事宜。</w:t>
      </w:r>
    </w:p>
    <w:p w:rsidR="000E303F" w:rsidRPr="00D55DC6" w:rsidRDefault="000E303F" w:rsidP="0038165F">
      <w:pPr>
        <w:widowControl/>
        <w:rPr>
          <w:rFonts w:eastAsia="標楷體"/>
          <w:b/>
          <w:sz w:val="32"/>
          <w:szCs w:val="32"/>
        </w:rPr>
      </w:pPr>
      <w:r w:rsidRPr="00D55DC6">
        <w:rPr>
          <w:rFonts w:eastAsia="標楷體"/>
          <w:b/>
          <w:sz w:val="32"/>
          <w:szCs w:val="32"/>
        </w:rPr>
        <w:br w:type="page"/>
      </w:r>
    </w:p>
    <w:p w:rsidR="00D4339C" w:rsidRPr="00D55DC6" w:rsidRDefault="00D4339C" w:rsidP="0038165F">
      <w:pPr>
        <w:snapToGrid w:val="0"/>
        <w:spacing w:line="460" w:lineRule="exact"/>
        <w:ind w:left="1386" w:hanging="1386"/>
        <w:jc w:val="both"/>
        <w:rPr>
          <w:rFonts w:eastAsia="標楷體"/>
          <w:b/>
          <w:sz w:val="28"/>
          <w:szCs w:val="28"/>
        </w:rPr>
      </w:pPr>
      <w:r w:rsidRPr="00D55DC6">
        <w:rPr>
          <w:rFonts w:eastAsia="標楷體"/>
          <w:b/>
          <w:sz w:val="28"/>
          <w:szCs w:val="28"/>
        </w:rPr>
        <w:lastRenderedPageBreak/>
        <w:t>參、日月潭國家風景區建設計畫</w:t>
      </w:r>
    </w:p>
    <w:p w:rsidR="00D4339C" w:rsidRPr="00D55DC6" w:rsidRDefault="00D4339C" w:rsidP="004865C1">
      <w:pPr>
        <w:pStyle w:val="a"/>
        <w:numPr>
          <w:ilvl w:val="0"/>
          <w:numId w:val="63"/>
        </w:numPr>
        <w:ind w:left="709"/>
        <w:rPr>
          <w:b/>
        </w:rPr>
      </w:pPr>
      <w:bookmarkStart w:id="84" w:name="_Toc407181662"/>
      <w:r w:rsidRPr="00D55DC6">
        <w:rPr>
          <w:b/>
        </w:rPr>
        <w:t>計畫緣起</w:t>
      </w:r>
      <w:bookmarkEnd w:id="84"/>
    </w:p>
    <w:p w:rsidR="00D4339C" w:rsidRPr="00D55DC6" w:rsidRDefault="00D4339C" w:rsidP="004865C1">
      <w:pPr>
        <w:pStyle w:val="af2"/>
        <w:numPr>
          <w:ilvl w:val="0"/>
          <w:numId w:val="64"/>
        </w:numPr>
        <w:snapToGrid w:val="0"/>
        <w:spacing w:line="460" w:lineRule="exact"/>
        <w:ind w:leftChars="0"/>
        <w:jc w:val="both"/>
        <w:rPr>
          <w:rFonts w:eastAsia="標楷體"/>
          <w:b/>
          <w:sz w:val="28"/>
          <w:szCs w:val="28"/>
        </w:rPr>
      </w:pPr>
      <w:r w:rsidRPr="00D55DC6">
        <w:rPr>
          <w:rFonts w:eastAsia="標楷體"/>
          <w:b/>
          <w:sz w:val="28"/>
          <w:szCs w:val="28"/>
        </w:rPr>
        <w:t>依據</w:t>
      </w:r>
    </w:p>
    <w:p w:rsidR="00D4339C" w:rsidRPr="00D55DC6" w:rsidRDefault="00D4339C" w:rsidP="004865C1">
      <w:pPr>
        <w:pStyle w:val="af2"/>
        <w:numPr>
          <w:ilvl w:val="0"/>
          <w:numId w:val="57"/>
        </w:numPr>
        <w:snapToGrid w:val="0"/>
        <w:spacing w:line="460" w:lineRule="exact"/>
        <w:ind w:leftChars="0" w:left="851"/>
        <w:jc w:val="both"/>
        <w:rPr>
          <w:rFonts w:eastAsia="標楷體"/>
          <w:sz w:val="28"/>
          <w:szCs w:val="28"/>
        </w:rPr>
      </w:pPr>
      <w:r w:rsidRPr="00D55DC6">
        <w:rPr>
          <w:rFonts w:eastAsia="標楷體"/>
          <w:sz w:val="28"/>
          <w:szCs w:val="28"/>
        </w:rPr>
        <w:t>為有效發揮政府重大公共建設計畫觀光次類別經費之投資效益，強化具體投資成果，延續「重要觀光景點建設中程計畫（</w:t>
      </w:r>
      <w:r w:rsidRPr="00D55DC6">
        <w:rPr>
          <w:rFonts w:eastAsia="標楷體"/>
          <w:sz w:val="28"/>
          <w:szCs w:val="28"/>
        </w:rPr>
        <w:t>101</w:t>
      </w:r>
      <w:r w:rsidRPr="00D55DC6">
        <w:rPr>
          <w:rFonts w:eastAsia="標楷體"/>
          <w:sz w:val="28"/>
          <w:szCs w:val="28"/>
        </w:rPr>
        <w:t>至</w:t>
      </w:r>
      <w:r w:rsidRPr="00D55DC6">
        <w:rPr>
          <w:rFonts w:eastAsia="標楷體"/>
          <w:sz w:val="28"/>
          <w:szCs w:val="28"/>
        </w:rPr>
        <w:t>104</w:t>
      </w:r>
      <w:r w:rsidRPr="00D55DC6">
        <w:rPr>
          <w:rFonts w:eastAsia="標楷體"/>
          <w:sz w:val="28"/>
          <w:szCs w:val="28"/>
        </w:rPr>
        <w:t>年）」（行政院</w:t>
      </w:r>
      <w:r w:rsidRPr="00D55DC6">
        <w:rPr>
          <w:rFonts w:eastAsia="標楷體"/>
          <w:sz w:val="28"/>
          <w:szCs w:val="28"/>
        </w:rPr>
        <w:t>100</w:t>
      </w:r>
      <w:r w:rsidRPr="00D55DC6">
        <w:rPr>
          <w:rFonts w:eastAsia="標楷體"/>
          <w:sz w:val="28"/>
          <w:szCs w:val="28"/>
        </w:rPr>
        <w:t>年</w:t>
      </w:r>
      <w:r w:rsidRPr="00D55DC6">
        <w:rPr>
          <w:rFonts w:eastAsia="標楷體"/>
          <w:sz w:val="28"/>
          <w:szCs w:val="28"/>
        </w:rPr>
        <w:t>8</w:t>
      </w:r>
      <w:r w:rsidRPr="00D55DC6">
        <w:rPr>
          <w:rFonts w:eastAsia="標楷體"/>
          <w:sz w:val="28"/>
          <w:szCs w:val="28"/>
        </w:rPr>
        <w:t>月</w:t>
      </w:r>
      <w:r w:rsidRPr="00D55DC6">
        <w:rPr>
          <w:rFonts w:eastAsia="標楷體"/>
          <w:sz w:val="28"/>
          <w:szCs w:val="28"/>
        </w:rPr>
        <w:t>22</w:t>
      </w:r>
      <w:r w:rsidRPr="00D55DC6">
        <w:rPr>
          <w:rFonts w:eastAsia="標楷體"/>
          <w:sz w:val="28"/>
          <w:szCs w:val="28"/>
        </w:rPr>
        <w:t>日院臺交字第</w:t>
      </w:r>
      <w:r w:rsidRPr="00D55DC6">
        <w:rPr>
          <w:rFonts w:eastAsia="標楷體"/>
          <w:sz w:val="28"/>
          <w:szCs w:val="28"/>
        </w:rPr>
        <w:t>1000044174</w:t>
      </w:r>
      <w:r w:rsidRPr="00D55DC6">
        <w:rPr>
          <w:rFonts w:eastAsia="標楷體"/>
          <w:sz w:val="28"/>
          <w:szCs w:val="28"/>
        </w:rPr>
        <w:t>號函核定）建設成果，並調整以</w:t>
      </w:r>
      <w:r w:rsidRPr="00D55DC6">
        <w:rPr>
          <w:rFonts w:eastAsia="標楷體"/>
          <w:sz w:val="28"/>
          <w:szCs w:val="28"/>
        </w:rPr>
        <w:t>1.</w:t>
      </w:r>
      <w:r w:rsidRPr="00D55DC6">
        <w:rPr>
          <w:rFonts w:eastAsia="標楷體"/>
          <w:sz w:val="28"/>
          <w:szCs w:val="28"/>
        </w:rPr>
        <w:t>國際觀光重要遊程景點建設、</w:t>
      </w:r>
      <w:r w:rsidRPr="00D55DC6">
        <w:rPr>
          <w:rFonts w:eastAsia="標楷體"/>
          <w:sz w:val="28"/>
          <w:szCs w:val="28"/>
        </w:rPr>
        <w:t>2.</w:t>
      </w:r>
      <w:r w:rsidRPr="00D55DC6">
        <w:rPr>
          <w:rFonts w:eastAsia="標楷體"/>
          <w:sz w:val="28"/>
          <w:szCs w:val="28"/>
        </w:rPr>
        <w:t>國內觀光重要景點建設、</w:t>
      </w:r>
      <w:r w:rsidRPr="00D55DC6">
        <w:rPr>
          <w:rFonts w:eastAsia="標楷體"/>
          <w:sz w:val="28"/>
          <w:szCs w:val="28"/>
        </w:rPr>
        <w:t>3.</w:t>
      </w:r>
      <w:r w:rsidRPr="00D55DC6">
        <w:rPr>
          <w:rFonts w:eastAsia="標楷體"/>
          <w:sz w:val="28"/>
          <w:szCs w:val="28"/>
        </w:rPr>
        <w:t>國家風景區經營管理維護等投資重點與優先順序，研擬「重要觀光景點建設中程計畫</w:t>
      </w:r>
      <w:r w:rsidRPr="00D55DC6">
        <w:rPr>
          <w:rFonts w:eastAsia="標楷體"/>
          <w:sz w:val="28"/>
          <w:szCs w:val="28"/>
        </w:rPr>
        <w:t>(105-108</w:t>
      </w:r>
      <w:r w:rsidRPr="00D55DC6">
        <w:rPr>
          <w:rFonts w:eastAsia="標楷體"/>
          <w:sz w:val="28"/>
          <w:szCs w:val="28"/>
        </w:rPr>
        <w:t>年</w:t>
      </w:r>
      <w:r w:rsidRPr="00D55DC6">
        <w:rPr>
          <w:rFonts w:eastAsia="標楷體"/>
          <w:sz w:val="28"/>
          <w:szCs w:val="28"/>
        </w:rPr>
        <w:t>)</w:t>
      </w:r>
      <w:r w:rsidRPr="00D55DC6">
        <w:rPr>
          <w:rFonts w:eastAsia="標楷體"/>
          <w:sz w:val="28"/>
          <w:szCs w:val="28"/>
        </w:rPr>
        <w:t>」。</w:t>
      </w:r>
    </w:p>
    <w:p w:rsidR="00D4339C" w:rsidRPr="00D55DC6" w:rsidRDefault="00D4339C" w:rsidP="004865C1">
      <w:pPr>
        <w:pStyle w:val="af2"/>
        <w:numPr>
          <w:ilvl w:val="0"/>
          <w:numId w:val="57"/>
        </w:numPr>
        <w:snapToGrid w:val="0"/>
        <w:spacing w:line="460" w:lineRule="exact"/>
        <w:ind w:leftChars="0" w:left="851"/>
        <w:jc w:val="both"/>
        <w:rPr>
          <w:rFonts w:eastAsia="標楷體"/>
          <w:sz w:val="28"/>
          <w:szCs w:val="28"/>
        </w:rPr>
      </w:pPr>
      <w:r w:rsidRPr="00D55DC6">
        <w:rPr>
          <w:rFonts w:eastAsia="標楷體"/>
          <w:sz w:val="28"/>
          <w:szCs w:val="28"/>
        </w:rPr>
        <w:t>依據行政院</w:t>
      </w:r>
      <w:r w:rsidRPr="00D55DC6">
        <w:rPr>
          <w:rFonts w:eastAsia="標楷體"/>
          <w:sz w:val="28"/>
          <w:szCs w:val="28"/>
        </w:rPr>
        <w:t>103</w:t>
      </w:r>
      <w:r w:rsidRPr="00D55DC6">
        <w:rPr>
          <w:rFonts w:eastAsia="標楷體"/>
          <w:sz w:val="28"/>
          <w:szCs w:val="28"/>
        </w:rPr>
        <w:t>年</w:t>
      </w:r>
      <w:r w:rsidRPr="00D55DC6">
        <w:rPr>
          <w:rFonts w:eastAsia="標楷體"/>
          <w:sz w:val="28"/>
          <w:szCs w:val="28"/>
        </w:rPr>
        <w:t>10</w:t>
      </w:r>
      <w:r w:rsidRPr="00D55DC6">
        <w:rPr>
          <w:rFonts w:eastAsia="標楷體"/>
          <w:sz w:val="28"/>
          <w:szCs w:val="28"/>
        </w:rPr>
        <w:t>月</w:t>
      </w:r>
      <w:r w:rsidRPr="00D55DC6">
        <w:rPr>
          <w:rFonts w:eastAsia="標楷體"/>
          <w:sz w:val="28"/>
          <w:szCs w:val="28"/>
        </w:rPr>
        <w:t>15</w:t>
      </w:r>
      <w:r w:rsidRPr="00D55DC6">
        <w:rPr>
          <w:rFonts w:eastAsia="標楷體"/>
          <w:sz w:val="28"/>
          <w:szCs w:val="28"/>
        </w:rPr>
        <w:t>日院臺交字第</w:t>
      </w:r>
      <w:r w:rsidRPr="00D55DC6">
        <w:rPr>
          <w:rFonts w:eastAsia="標楷體"/>
          <w:sz w:val="28"/>
          <w:szCs w:val="28"/>
        </w:rPr>
        <w:t>1030058303</w:t>
      </w:r>
      <w:r w:rsidRPr="00D55DC6">
        <w:rPr>
          <w:rFonts w:eastAsia="標楷體"/>
          <w:sz w:val="28"/>
          <w:szCs w:val="28"/>
        </w:rPr>
        <w:t>號函核定「日月潭等</w:t>
      </w:r>
      <w:r w:rsidRPr="00D55DC6">
        <w:rPr>
          <w:rFonts w:eastAsia="標楷體"/>
          <w:sz w:val="28"/>
          <w:szCs w:val="28"/>
        </w:rPr>
        <w:t>6</w:t>
      </w:r>
      <w:r w:rsidRPr="00D55DC6">
        <w:rPr>
          <w:rFonts w:eastAsia="標楷體"/>
          <w:sz w:val="28"/>
          <w:szCs w:val="28"/>
        </w:rPr>
        <w:t>處國家風景區整體發展暨財務計畫」（包含日月潭、東北角暨宜蘭海岸、北海岸及觀音山、阿里山、參山、雲嘉南濱海）之意旨辦理。</w:t>
      </w:r>
    </w:p>
    <w:p w:rsidR="00D4339C" w:rsidRPr="00D55DC6" w:rsidRDefault="00D4339C" w:rsidP="004865C1">
      <w:pPr>
        <w:pStyle w:val="af2"/>
        <w:numPr>
          <w:ilvl w:val="0"/>
          <w:numId w:val="64"/>
        </w:numPr>
        <w:snapToGrid w:val="0"/>
        <w:spacing w:line="460" w:lineRule="exact"/>
        <w:ind w:leftChars="0"/>
        <w:jc w:val="both"/>
        <w:rPr>
          <w:rFonts w:eastAsia="標楷體"/>
          <w:b/>
          <w:sz w:val="28"/>
          <w:szCs w:val="28"/>
        </w:rPr>
      </w:pPr>
      <w:r w:rsidRPr="00D55DC6">
        <w:rPr>
          <w:rFonts w:eastAsia="標楷體"/>
          <w:b/>
          <w:sz w:val="28"/>
          <w:szCs w:val="28"/>
        </w:rPr>
        <w:t>未來環境預測</w:t>
      </w:r>
    </w:p>
    <w:p w:rsidR="00D4339C" w:rsidRPr="00D55DC6" w:rsidRDefault="00D4339C" w:rsidP="004865C1">
      <w:pPr>
        <w:pStyle w:val="af2"/>
        <w:numPr>
          <w:ilvl w:val="0"/>
          <w:numId w:val="58"/>
        </w:numPr>
        <w:snapToGrid w:val="0"/>
        <w:spacing w:line="460" w:lineRule="exact"/>
        <w:ind w:leftChars="0" w:left="851"/>
        <w:jc w:val="both"/>
        <w:rPr>
          <w:rFonts w:eastAsia="標楷體"/>
          <w:sz w:val="28"/>
          <w:szCs w:val="28"/>
        </w:rPr>
      </w:pPr>
      <w:r w:rsidRPr="00D55DC6">
        <w:rPr>
          <w:rFonts w:eastAsia="標楷體"/>
          <w:sz w:val="28"/>
          <w:szCs w:val="28"/>
        </w:rPr>
        <w:t>日月潭國家風景區遊憩需求預測：依據行政院</w:t>
      </w:r>
      <w:r w:rsidRPr="00D55DC6">
        <w:rPr>
          <w:rFonts w:eastAsia="標楷體"/>
          <w:sz w:val="28"/>
          <w:szCs w:val="28"/>
        </w:rPr>
        <w:t>103</w:t>
      </w:r>
      <w:r w:rsidRPr="00D55DC6">
        <w:rPr>
          <w:rFonts w:eastAsia="標楷體"/>
          <w:sz w:val="28"/>
          <w:szCs w:val="28"/>
        </w:rPr>
        <w:t>年</w:t>
      </w:r>
      <w:r w:rsidRPr="00D55DC6">
        <w:rPr>
          <w:rFonts w:eastAsia="標楷體"/>
          <w:sz w:val="28"/>
          <w:szCs w:val="28"/>
        </w:rPr>
        <w:t>10</w:t>
      </w:r>
      <w:r w:rsidRPr="00D55DC6">
        <w:rPr>
          <w:rFonts w:eastAsia="標楷體"/>
          <w:sz w:val="28"/>
          <w:szCs w:val="28"/>
        </w:rPr>
        <w:t>月</w:t>
      </w:r>
      <w:r w:rsidRPr="00D55DC6">
        <w:rPr>
          <w:rFonts w:eastAsia="標楷體"/>
          <w:sz w:val="28"/>
          <w:szCs w:val="28"/>
        </w:rPr>
        <w:t>15</w:t>
      </w:r>
      <w:r w:rsidRPr="00D55DC6">
        <w:rPr>
          <w:rFonts w:eastAsia="標楷體"/>
          <w:sz w:val="28"/>
          <w:szCs w:val="28"/>
        </w:rPr>
        <w:t>日核定「日月潭國家風景區整體發展暨財務計畫」，推估至</w:t>
      </w:r>
      <w:r w:rsidRPr="00D55DC6">
        <w:rPr>
          <w:rFonts w:eastAsia="標楷體"/>
          <w:sz w:val="28"/>
          <w:szCs w:val="28"/>
        </w:rPr>
        <w:t>113</w:t>
      </w:r>
      <w:r w:rsidRPr="00D55DC6">
        <w:rPr>
          <w:rFonts w:eastAsia="標楷體"/>
          <w:sz w:val="28"/>
          <w:szCs w:val="28"/>
        </w:rPr>
        <w:t>年，日月潭全區年遊客量約</w:t>
      </w:r>
      <w:r w:rsidRPr="00D55DC6">
        <w:rPr>
          <w:rFonts w:eastAsia="標楷體"/>
          <w:sz w:val="28"/>
          <w:szCs w:val="28"/>
        </w:rPr>
        <w:t>983</w:t>
      </w:r>
      <w:r w:rsidRPr="00D55DC6">
        <w:rPr>
          <w:rFonts w:eastAsia="標楷體"/>
          <w:sz w:val="28"/>
          <w:szCs w:val="28"/>
        </w:rPr>
        <w:t>萬人次，尖峰日遊客量約</w:t>
      </w:r>
      <w:r w:rsidRPr="00D55DC6">
        <w:rPr>
          <w:rFonts w:eastAsia="標楷體"/>
          <w:sz w:val="28"/>
          <w:szCs w:val="28"/>
        </w:rPr>
        <w:t>5.6</w:t>
      </w:r>
      <w:r w:rsidRPr="00D55DC6">
        <w:rPr>
          <w:rFonts w:eastAsia="標楷體"/>
          <w:sz w:val="28"/>
          <w:szCs w:val="28"/>
        </w:rPr>
        <w:t>萬人；各遊憩系統遊客量依埔里、環潭、水里、集集、濁水溪遊憩系統分別為</w:t>
      </w:r>
      <w:r w:rsidRPr="00D55DC6">
        <w:rPr>
          <w:rFonts w:eastAsia="標楷體"/>
          <w:sz w:val="28"/>
          <w:szCs w:val="28"/>
        </w:rPr>
        <w:t>347</w:t>
      </w:r>
      <w:r w:rsidRPr="00D55DC6">
        <w:rPr>
          <w:rFonts w:eastAsia="標楷體"/>
          <w:sz w:val="28"/>
          <w:szCs w:val="28"/>
        </w:rPr>
        <w:t>萬人次、</w:t>
      </w:r>
      <w:r w:rsidRPr="00D55DC6">
        <w:rPr>
          <w:rFonts w:eastAsia="標楷體"/>
          <w:sz w:val="28"/>
          <w:szCs w:val="28"/>
        </w:rPr>
        <w:t>691</w:t>
      </w:r>
      <w:r w:rsidRPr="00D55DC6">
        <w:rPr>
          <w:rFonts w:eastAsia="標楷體"/>
          <w:sz w:val="28"/>
          <w:szCs w:val="28"/>
        </w:rPr>
        <w:t>萬人次、</w:t>
      </w:r>
      <w:r w:rsidRPr="00D55DC6">
        <w:rPr>
          <w:rFonts w:eastAsia="標楷體"/>
          <w:sz w:val="28"/>
          <w:szCs w:val="28"/>
        </w:rPr>
        <w:t>253</w:t>
      </w:r>
      <w:r w:rsidRPr="00D55DC6">
        <w:rPr>
          <w:rFonts w:eastAsia="標楷體"/>
          <w:sz w:val="28"/>
          <w:szCs w:val="28"/>
        </w:rPr>
        <w:t>萬人次、</w:t>
      </w:r>
      <w:r w:rsidRPr="00D55DC6">
        <w:rPr>
          <w:rFonts w:eastAsia="標楷體"/>
          <w:sz w:val="28"/>
          <w:szCs w:val="28"/>
        </w:rPr>
        <w:t>275</w:t>
      </w:r>
      <w:r w:rsidRPr="00D55DC6">
        <w:rPr>
          <w:rFonts w:eastAsia="標楷體"/>
          <w:sz w:val="28"/>
          <w:szCs w:val="28"/>
        </w:rPr>
        <w:t>萬人次及</w:t>
      </w:r>
      <w:r w:rsidRPr="00D55DC6">
        <w:rPr>
          <w:rFonts w:eastAsia="標楷體"/>
          <w:sz w:val="28"/>
          <w:szCs w:val="28"/>
        </w:rPr>
        <w:t>52</w:t>
      </w:r>
      <w:r w:rsidRPr="00D55DC6">
        <w:rPr>
          <w:rFonts w:eastAsia="標楷體"/>
          <w:sz w:val="28"/>
          <w:szCs w:val="28"/>
        </w:rPr>
        <w:t>萬人次。與現行年遊客量約</w:t>
      </w:r>
      <w:r w:rsidRPr="00D55DC6">
        <w:rPr>
          <w:rFonts w:eastAsia="標楷體"/>
          <w:sz w:val="28"/>
          <w:szCs w:val="28"/>
        </w:rPr>
        <w:t>600</w:t>
      </w:r>
      <w:r w:rsidRPr="00D55DC6">
        <w:rPr>
          <w:rFonts w:eastAsia="標楷體"/>
          <w:sz w:val="28"/>
          <w:szCs w:val="28"/>
        </w:rPr>
        <w:t>萬人次相較，成長</w:t>
      </w:r>
      <w:r w:rsidRPr="00D55DC6">
        <w:rPr>
          <w:rFonts w:eastAsia="標楷體"/>
          <w:sz w:val="28"/>
          <w:szCs w:val="28"/>
        </w:rPr>
        <w:t>63.83%</w:t>
      </w:r>
      <w:r w:rsidRPr="00D55DC6">
        <w:rPr>
          <w:rFonts w:eastAsia="標楷體"/>
          <w:sz w:val="28"/>
          <w:szCs w:val="28"/>
        </w:rPr>
        <w:t>，相關公共設施服務能量，應配合紓解核心遊憩區至副核心遊憩區目標，依全區整體發展規劃，進行計畫性地分期分年建設。</w:t>
      </w:r>
    </w:p>
    <w:p w:rsidR="00D4339C" w:rsidRPr="00D55DC6" w:rsidRDefault="00D4339C" w:rsidP="004865C1">
      <w:pPr>
        <w:pStyle w:val="af2"/>
        <w:numPr>
          <w:ilvl w:val="0"/>
          <w:numId w:val="58"/>
        </w:numPr>
        <w:snapToGrid w:val="0"/>
        <w:spacing w:line="460" w:lineRule="exact"/>
        <w:ind w:leftChars="0" w:left="851"/>
        <w:jc w:val="both"/>
        <w:rPr>
          <w:rFonts w:eastAsia="標楷體"/>
          <w:sz w:val="28"/>
          <w:szCs w:val="28"/>
        </w:rPr>
      </w:pPr>
      <w:r w:rsidRPr="00D55DC6">
        <w:rPr>
          <w:rFonts w:eastAsia="標楷體"/>
          <w:sz w:val="28"/>
          <w:szCs w:val="28"/>
        </w:rPr>
        <w:t>住宿設施及觀光服務設施：住宿設施部分經調查轄內合法住宿設施房間數為</w:t>
      </w:r>
      <w:r w:rsidRPr="00D55DC6">
        <w:rPr>
          <w:rFonts w:eastAsia="標楷體"/>
          <w:sz w:val="28"/>
          <w:szCs w:val="28"/>
        </w:rPr>
        <w:t>2,157</w:t>
      </w:r>
      <w:r w:rsidRPr="00D55DC6">
        <w:rPr>
          <w:rFonts w:eastAsia="標楷體"/>
          <w:sz w:val="28"/>
          <w:szCs w:val="28"/>
        </w:rPr>
        <w:t>間，大多數集中於魚池日月潭地區，另申請中、興建中住宿設施為</w:t>
      </w:r>
      <w:r w:rsidRPr="00D55DC6">
        <w:rPr>
          <w:rFonts w:eastAsia="標楷體"/>
          <w:sz w:val="28"/>
          <w:szCs w:val="28"/>
        </w:rPr>
        <w:t>1,927</w:t>
      </w:r>
      <w:r w:rsidRPr="00D55DC6">
        <w:rPr>
          <w:rFonts w:eastAsia="標楷體"/>
          <w:sz w:val="28"/>
          <w:szCs w:val="28"/>
        </w:rPr>
        <w:t>間，預估全區合宜剩餘開發總量約</w:t>
      </w:r>
      <w:r w:rsidRPr="00D55DC6">
        <w:rPr>
          <w:rFonts w:eastAsia="標楷體"/>
          <w:sz w:val="28"/>
          <w:szCs w:val="28"/>
        </w:rPr>
        <w:t>3</w:t>
      </w:r>
      <w:r w:rsidRPr="00D55DC6">
        <w:rPr>
          <w:rFonts w:eastAsia="標楷體"/>
          <w:sz w:val="28"/>
          <w:szCs w:val="28"/>
        </w:rPr>
        <w:t>千間。觀光服務設施部分現有遊客中心有向山、車埕、伊達邵及埔里</w:t>
      </w:r>
      <w:r w:rsidRPr="00D55DC6">
        <w:rPr>
          <w:rFonts w:eastAsia="標楷體"/>
          <w:sz w:val="28"/>
          <w:szCs w:val="28"/>
        </w:rPr>
        <w:t>4</w:t>
      </w:r>
      <w:r w:rsidRPr="00D55DC6">
        <w:rPr>
          <w:rFonts w:eastAsia="標楷體"/>
          <w:sz w:val="28"/>
          <w:szCs w:val="28"/>
        </w:rPr>
        <w:t>處，另有第</w:t>
      </w:r>
      <w:r w:rsidRPr="00D55DC6">
        <w:rPr>
          <w:rFonts w:eastAsia="標楷體"/>
          <w:sz w:val="28"/>
          <w:szCs w:val="28"/>
        </w:rPr>
        <w:t>4</w:t>
      </w:r>
      <w:r w:rsidRPr="00D55DC6">
        <w:rPr>
          <w:rFonts w:eastAsia="標楷體"/>
          <w:sz w:val="28"/>
          <w:szCs w:val="28"/>
        </w:rPr>
        <w:t>層旅遊資訊站</w:t>
      </w:r>
      <w:r w:rsidRPr="00D55DC6">
        <w:rPr>
          <w:rFonts w:eastAsia="標楷體"/>
          <w:sz w:val="28"/>
          <w:szCs w:val="28"/>
        </w:rPr>
        <w:t>74</w:t>
      </w:r>
      <w:r w:rsidRPr="00D55DC6">
        <w:rPr>
          <w:rFonts w:eastAsia="標楷體"/>
          <w:sz w:val="28"/>
          <w:szCs w:val="28"/>
        </w:rPr>
        <w:t>處，提供遊客無時間、地點限制之旅遊諮詢服務，未來為因應擴大轄區新興據點之開發，將衍生觀光遊憩設施之需求。停車場方面，轄內現況公有停車場可提供小客車停車位</w:t>
      </w:r>
      <w:r w:rsidRPr="00D55DC6">
        <w:rPr>
          <w:rFonts w:eastAsia="標楷體"/>
          <w:sz w:val="28"/>
          <w:szCs w:val="28"/>
        </w:rPr>
        <w:t>1,996</w:t>
      </w:r>
      <w:r w:rsidRPr="00D55DC6">
        <w:rPr>
          <w:rFonts w:eastAsia="標楷體"/>
          <w:sz w:val="28"/>
          <w:szCs w:val="28"/>
        </w:rPr>
        <w:t>個，大客車停車位</w:t>
      </w:r>
      <w:r w:rsidRPr="00D55DC6">
        <w:rPr>
          <w:rFonts w:eastAsia="標楷體"/>
          <w:sz w:val="28"/>
          <w:szCs w:val="28"/>
        </w:rPr>
        <w:t>159</w:t>
      </w:r>
      <w:r w:rsidRPr="00D55DC6">
        <w:rPr>
          <w:rFonts w:eastAsia="標楷體"/>
          <w:sz w:val="28"/>
          <w:szCs w:val="28"/>
        </w:rPr>
        <w:t>個，潭區受發展腹地限制，未來停</w:t>
      </w:r>
      <w:r w:rsidRPr="00D55DC6">
        <w:rPr>
          <w:rFonts w:eastAsia="標楷體"/>
          <w:sz w:val="28"/>
          <w:szCs w:val="28"/>
        </w:rPr>
        <w:lastRenderedPageBreak/>
        <w:t>車空間朝周邊副核心遊憩區發展趨勢，結合旅遊套票、多元運具，鼓勵搭乘大眾運輸、抑制私人運具使用之方向努力。</w:t>
      </w:r>
    </w:p>
    <w:p w:rsidR="00D4339C" w:rsidRPr="00D55DC6" w:rsidRDefault="00D4339C" w:rsidP="004865C1">
      <w:pPr>
        <w:pStyle w:val="af2"/>
        <w:numPr>
          <w:ilvl w:val="0"/>
          <w:numId w:val="58"/>
        </w:numPr>
        <w:snapToGrid w:val="0"/>
        <w:spacing w:line="460" w:lineRule="exact"/>
        <w:ind w:leftChars="0" w:left="851"/>
        <w:jc w:val="both"/>
        <w:rPr>
          <w:rFonts w:eastAsia="標楷體"/>
          <w:sz w:val="28"/>
          <w:szCs w:val="28"/>
        </w:rPr>
      </w:pPr>
      <w:r w:rsidRPr="00D55DC6">
        <w:rPr>
          <w:rFonts w:eastAsia="標楷體"/>
          <w:sz w:val="28"/>
          <w:szCs w:val="28"/>
        </w:rPr>
        <w:t>環境保護與永續發展漸受國人重視，打造低碳綠能環境列為國家發展五大支柱之一，並為政府施政重點方向，日月潭國家風景區為達永續經營目標，本中程計畫將持續推展電動船、電動巴士等綠色運具政策、建置日月潭步道暨自行車道系統、結合綠建築設計概念等，營造低碳旅遊環境，在觀光發展與環境保護間尋求平衡。</w:t>
      </w:r>
    </w:p>
    <w:p w:rsidR="00D4339C" w:rsidRPr="00D55DC6" w:rsidRDefault="00D4339C" w:rsidP="004865C1">
      <w:pPr>
        <w:pStyle w:val="af2"/>
        <w:numPr>
          <w:ilvl w:val="0"/>
          <w:numId w:val="64"/>
        </w:numPr>
        <w:snapToGrid w:val="0"/>
        <w:spacing w:line="460" w:lineRule="exact"/>
        <w:ind w:leftChars="0"/>
        <w:jc w:val="both"/>
        <w:rPr>
          <w:rFonts w:eastAsia="標楷體"/>
          <w:b/>
          <w:sz w:val="28"/>
          <w:szCs w:val="28"/>
        </w:rPr>
      </w:pPr>
      <w:r w:rsidRPr="00D55DC6">
        <w:rPr>
          <w:rFonts w:eastAsia="標楷體"/>
          <w:b/>
          <w:sz w:val="28"/>
          <w:szCs w:val="28"/>
        </w:rPr>
        <w:t>問題評析</w:t>
      </w:r>
    </w:p>
    <w:p w:rsidR="00D4339C" w:rsidRPr="00D55DC6" w:rsidRDefault="00D4339C" w:rsidP="004865C1">
      <w:pPr>
        <w:pStyle w:val="af2"/>
        <w:numPr>
          <w:ilvl w:val="0"/>
          <w:numId w:val="55"/>
        </w:numPr>
        <w:snapToGrid w:val="0"/>
        <w:spacing w:line="460" w:lineRule="exact"/>
        <w:ind w:leftChars="0" w:left="851"/>
        <w:jc w:val="both"/>
        <w:rPr>
          <w:rFonts w:eastAsia="標楷體"/>
          <w:sz w:val="28"/>
          <w:szCs w:val="28"/>
        </w:rPr>
      </w:pPr>
      <w:r w:rsidRPr="00D55DC6">
        <w:rPr>
          <w:rFonts w:eastAsia="標楷體"/>
          <w:b/>
          <w:sz w:val="28"/>
          <w:szCs w:val="28"/>
        </w:rPr>
        <w:t>環潭核心遊憩壓力過大</w:t>
      </w:r>
      <w:r w:rsidRPr="00D55DC6">
        <w:rPr>
          <w:rFonts w:eastAsia="標楷體"/>
          <w:sz w:val="28"/>
          <w:szCs w:val="28"/>
        </w:rPr>
        <w:t>：日月潭國家風景區遊客多集中於環潭核心遊憩區，並多以當日來回之旅遊形式居多。</w:t>
      </w:r>
    </w:p>
    <w:p w:rsidR="00D4339C" w:rsidRPr="00D55DC6" w:rsidRDefault="00D4339C" w:rsidP="004865C1">
      <w:pPr>
        <w:pStyle w:val="af2"/>
        <w:numPr>
          <w:ilvl w:val="0"/>
          <w:numId w:val="55"/>
        </w:numPr>
        <w:snapToGrid w:val="0"/>
        <w:spacing w:line="460" w:lineRule="exact"/>
        <w:ind w:leftChars="0" w:left="851"/>
        <w:jc w:val="both"/>
        <w:rPr>
          <w:rFonts w:eastAsia="標楷體"/>
          <w:sz w:val="28"/>
          <w:szCs w:val="28"/>
        </w:rPr>
      </w:pPr>
      <w:r w:rsidRPr="00D55DC6">
        <w:rPr>
          <w:rFonts w:eastAsia="標楷體"/>
          <w:b/>
          <w:sz w:val="28"/>
          <w:szCs w:val="28"/>
        </w:rPr>
        <w:t>觀光服務設施品質與數量分配不均</w:t>
      </w:r>
      <w:r w:rsidRPr="00D55DC6">
        <w:rPr>
          <w:rFonts w:eastAsia="標楷體"/>
          <w:sz w:val="28"/>
          <w:szCs w:val="28"/>
        </w:rPr>
        <w:t>：目前觀光旅宿及各項相關服務設施多集中於環潭核心地區，其他遊憩系統缺乏大規模或高品質之觀光服務設施，也導致周邊遊憩系統缺乏停留性遊客。</w:t>
      </w:r>
    </w:p>
    <w:p w:rsidR="00D4339C" w:rsidRPr="00D55DC6" w:rsidRDefault="00D4339C" w:rsidP="004865C1">
      <w:pPr>
        <w:pStyle w:val="af2"/>
        <w:numPr>
          <w:ilvl w:val="0"/>
          <w:numId w:val="55"/>
        </w:numPr>
        <w:snapToGrid w:val="0"/>
        <w:spacing w:line="460" w:lineRule="exact"/>
        <w:ind w:leftChars="0"/>
        <w:jc w:val="both"/>
        <w:rPr>
          <w:rFonts w:eastAsia="標楷體"/>
          <w:sz w:val="28"/>
          <w:szCs w:val="28"/>
        </w:rPr>
      </w:pPr>
      <w:r w:rsidRPr="00D55DC6">
        <w:rPr>
          <w:rFonts w:eastAsia="標楷體"/>
          <w:b/>
          <w:sz w:val="28"/>
          <w:szCs w:val="28"/>
        </w:rPr>
        <w:t>假日尖峰環潭地區交通壓力問題</w:t>
      </w:r>
      <w:r w:rsidRPr="00D55DC6">
        <w:rPr>
          <w:rFonts w:eastAsia="標楷體"/>
          <w:sz w:val="28"/>
          <w:szCs w:val="28"/>
        </w:rPr>
        <w:t>：經查國家風景區遊客調查報告，日月潭國家風景區之遊客仍多以利用自用小客車為主要交通工具，環潭地區因受腹地限制，道路難以拓寬、停車空間發展有限，交通與停車問題經常成為遊客不滿意之主要因素。</w:t>
      </w:r>
    </w:p>
    <w:p w:rsidR="00D4339C" w:rsidRPr="00D55DC6" w:rsidRDefault="00D4339C" w:rsidP="004865C1">
      <w:pPr>
        <w:pStyle w:val="af2"/>
        <w:numPr>
          <w:ilvl w:val="0"/>
          <w:numId w:val="55"/>
        </w:numPr>
        <w:snapToGrid w:val="0"/>
        <w:spacing w:line="460" w:lineRule="exact"/>
        <w:ind w:leftChars="0"/>
        <w:jc w:val="both"/>
        <w:rPr>
          <w:rFonts w:eastAsia="標楷體"/>
          <w:sz w:val="28"/>
          <w:szCs w:val="28"/>
        </w:rPr>
      </w:pPr>
      <w:r w:rsidRPr="00D55DC6">
        <w:rPr>
          <w:rFonts w:eastAsia="標楷體"/>
          <w:b/>
          <w:sz w:val="28"/>
          <w:szCs w:val="28"/>
        </w:rPr>
        <w:t>投資建設效益未能有效回饋</w:t>
      </w:r>
      <w:r w:rsidRPr="00D55DC6">
        <w:rPr>
          <w:rFonts w:eastAsia="標楷體"/>
          <w:sz w:val="28"/>
          <w:szCs w:val="28"/>
        </w:rPr>
        <w:t>：計畫投資之建設多為步道、涼亭、公廁、廣場及服務中心等基礎觀光服務公共設施，或景觀營造、植栽綠美化、設施改善等工作，多屬不具或極低自償性的公共投資。</w:t>
      </w:r>
    </w:p>
    <w:p w:rsidR="00D4339C" w:rsidRPr="00D55DC6" w:rsidRDefault="00D4339C" w:rsidP="004865C1">
      <w:pPr>
        <w:pStyle w:val="af2"/>
        <w:numPr>
          <w:ilvl w:val="0"/>
          <w:numId w:val="64"/>
        </w:numPr>
        <w:snapToGrid w:val="0"/>
        <w:spacing w:line="460" w:lineRule="exact"/>
        <w:ind w:leftChars="0"/>
        <w:jc w:val="both"/>
        <w:rPr>
          <w:rFonts w:eastAsia="標楷體"/>
          <w:b/>
          <w:sz w:val="28"/>
          <w:szCs w:val="28"/>
        </w:rPr>
      </w:pPr>
      <w:r w:rsidRPr="00D55DC6">
        <w:rPr>
          <w:rFonts w:eastAsia="標楷體"/>
          <w:b/>
          <w:sz w:val="28"/>
          <w:szCs w:val="28"/>
        </w:rPr>
        <w:t>社會參與及政策溝通情形</w:t>
      </w:r>
    </w:p>
    <w:p w:rsidR="00D4339C" w:rsidRPr="00D55DC6" w:rsidRDefault="00D4339C" w:rsidP="0038165F">
      <w:pPr>
        <w:pStyle w:val="af2"/>
        <w:snapToGrid w:val="0"/>
        <w:spacing w:line="460" w:lineRule="exact"/>
        <w:ind w:leftChars="0" w:left="851"/>
        <w:jc w:val="both"/>
        <w:rPr>
          <w:rFonts w:eastAsia="標楷體"/>
          <w:sz w:val="28"/>
          <w:szCs w:val="28"/>
        </w:rPr>
      </w:pPr>
      <w:r w:rsidRPr="00D55DC6">
        <w:rPr>
          <w:rFonts w:eastAsia="標楷體"/>
          <w:sz w:val="28"/>
          <w:szCs w:val="28"/>
        </w:rPr>
        <w:t>為使國家風景區有計畫的整體性發展，循序導入各項公共服務設，以發揮最大之成本效益，除辦理全區性之整體觀光發展規劃作為指導方針，並依各政策發展需要辦理各細項研究規劃，以作為施政參考。為提高社會參與政府決策，降低政策推行阻力，各項研究規劃，於舉辦各期審查會議時，依個案需要，邀集各有關主管機關、地方單位及代表、民間團體及協會等進行意見交換，並不定期辦理地方訪談、座談會，廣徵各界意見，形成政策發展共識，亦達政策行銷之效。</w:t>
      </w:r>
    </w:p>
    <w:p w:rsidR="00D4339C" w:rsidRPr="00D55DC6" w:rsidRDefault="00D4339C" w:rsidP="0038165F">
      <w:pPr>
        <w:pStyle w:val="af2"/>
        <w:snapToGrid w:val="0"/>
        <w:spacing w:line="460" w:lineRule="exact"/>
        <w:ind w:leftChars="0" w:left="851"/>
        <w:jc w:val="both"/>
        <w:rPr>
          <w:rFonts w:eastAsia="標楷體"/>
          <w:sz w:val="28"/>
          <w:szCs w:val="28"/>
        </w:rPr>
      </w:pPr>
    </w:p>
    <w:p w:rsidR="00D4339C" w:rsidRPr="00D55DC6" w:rsidRDefault="00D4339C" w:rsidP="0038165F">
      <w:pPr>
        <w:pStyle w:val="a"/>
        <w:ind w:left="709" w:hanging="709"/>
        <w:rPr>
          <w:b/>
        </w:rPr>
      </w:pPr>
      <w:bookmarkStart w:id="85" w:name="_Toc407181663"/>
      <w:r w:rsidRPr="00D55DC6">
        <w:rPr>
          <w:b/>
        </w:rPr>
        <w:lastRenderedPageBreak/>
        <w:t>計畫目標</w:t>
      </w:r>
      <w:bookmarkEnd w:id="85"/>
    </w:p>
    <w:p w:rsidR="00D4339C" w:rsidRPr="00D55DC6" w:rsidRDefault="00D4339C" w:rsidP="004865C1">
      <w:pPr>
        <w:pStyle w:val="af2"/>
        <w:numPr>
          <w:ilvl w:val="0"/>
          <w:numId w:val="65"/>
        </w:numPr>
        <w:snapToGrid w:val="0"/>
        <w:spacing w:line="460" w:lineRule="exact"/>
        <w:ind w:leftChars="0"/>
        <w:jc w:val="both"/>
        <w:rPr>
          <w:rFonts w:eastAsia="標楷體"/>
          <w:b/>
          <w:sz w:val="28"/>
          <w:szCs w:val="28"/>
        </w:rPr>
      </w:pPr>
      <w:r w:rsidRPr="00D55DC6">
        <w:rPr>
          <w:rFonts w:eastAsia="標楷體"/>
          <w:b/>
          <w:sz w:val="28"/>
          <w:szCs w:val="28"/>
        </w:rPr>
        <w:t>目標說明</w:t>
      </w:r>
    </w:p>
    <w:p w:rsidR="00D4339C" w:rsidRPr="00D55DC6" w:rsidRDefault="00D4339C" w:rsidP="004865C1">
      <w:pPr>
        <w:pStyle w:val="af2"/>
        <w:numPr>
          <w:ilvl w:val="0"/>
          <w:numId w:val="54"/>
        </w:numPr>
        <w:snapToGrid w:val="0"/>
        <w:spacing w:line="460" w:lineRule="exact"/>
        <w:ind w:leftChars="0" w:left="851"/>
        <w:jc w:val="both"/>
        <w:rPr>
          <w:rFonts w:eastAsia="標楷體"/>
          <w:sz w:val="28"/>
          <w:szCs w:val="28"/>
        </w:rPr>
      </w:pPr>
      <w:r w:rsidRPr="00D55DC6">
        <w:rPr>
          <w:rFonts w:eastAsia="標楷體"/>
          <w:sz w:val="28"/>
          <w:szCs w:val="28"/>
        </w:rPr>
        <w:t>以「高山湖泊」與「多元文化」為</w:t>
      </w:r>
      <w:r w:rsidRPr="00D55DC6">
        <w:rPr>
          <w:rFonts w:eastAsia="標楷體"/>
          <w:sz w:val="28"/>
          <w:szCs w:val="28"/>
        </w:rPr>
        <w:t>2</w:t>
      </w:r>
      <w:r w:rsidRPr="00D55DC6">
        <w:rPr>
          <w:rFonts w:eastAsia="標楷體"/>
          <w:sz w:val="28"/>
          <w:szCs w:val="28"/>
        </w:rPr>
        <w:t>大發展主軸，構成「安全、永續、美觀、富文化氣息之</w:t>
      </w:r>
      <w:r w:rsidRPr="00D55DC6">
        <w:rPr>
          <w:rFonts w:eastAsia="標楷體"/>
          <w:sz w:val="28"/>
          <w:szCs w:val="28"/>
        </w:rPr>
        <w:t>21</w:t>
      </w:r>
      <w:r w:rsidRPr="00D55DC6">
        <w:rPr>
          <w:rFonts w:eastAsia="標楷體"/>
          <w:sz w:val="28"/>
          <w:szCs w:val="28"/>
        </w:rPr>
        <w:t>世紀湖畔休閒</w:t>
      </w:r>
      <w:r w:rsidR="00EA38C5" w:rsidRPr="00D55DC6">
        <w:rPr>
          <w:rFonts w:eastAsia="標楷體"/>
          <w:sz w:val="28"/>
          <w:szCs w:val="28"/>
        </w:rPr>
        <w:t>度假</w:t>
      </w:r>
      <w:r w:rsidRPr="00D55DC6">
        <w:rPr>
          <w:rFonts w:eastAsia="標楷體"/>
          <w:sz w:val="28"/>
          <w:szCs w:val="28"/>
        </w:rPr>
        <w:t>區」。</w:t>
      </w:r>
    </w:p>
    <w:p w:rsidR="00D4339C" w:rsidRPr="00D55DC6" w:rsidRDefault="00D4339C" w:rsidP="004865C1">
      <w:pPr>
        <w:pStyle w:val="af2"/>
        <w:numPr>
          <w:ilvl w:val="0"/>
          <w:numId w:val="54"/>
        </w:numPr>
        <w:snapToGrid w:val="0"/>
        <w:spacing w:line="460" w:lineRule="exact"/>
        <w:ind w:leftChars="0" w:left="851"/>
        <w:jc w:val="both"/>
        <w:rPr>
          <w:rFonts w:eastAsia="標楷體"/>
          <w:sz w:val="28"/>
          <w:szCs w:val="28"/>
        </w:rPr>
      </w:pPr>
      <w:r w:rsidRPr="00D55DC6">
        <w:rPr>
          <w:rFonts w:eastAsia="標楷體"/>
          <w:sz w:val="28"/>
          <w:szCs w:val="28"/>
        </w:rPr>
        <w:t>營造國際友善、便利、舒適與魅力之旅遊環境，以吸引國際旅客。</w:t>
      </w:r>
    </w:p>
    <w:p w:rsidR="00D4339C" w:rsidRPr="00D55DC6" w:rsidRDefault="00D4339C" w:rsidP="004865C1">
      <w:pPr>
        <w:pStyle w:val="af2"/>
        <w:numPr>
          <w:ilvl w:val="0"/>
          <w:numId w:val="54"/>
        </w:numPr>
        <w:snapToGrid w:val="0"/>
        <w:spacing w:line="460" w:lineRule="exact"/>
        <w:ind w:leftChars="0" w:left="851"/>
        <w:jc w:val="both"/>
        <w:rPr>
          <w:rFonts w:eastAsia="標楷體"/>
          <w:sz w:val="28"/>
          <w:szCs w:val="28"/>
        </w:rPr>
      </w:pPr>
      <w:r w:rsidRPr="00D55DC6">
        <w:rPr>
          <w:rFonts w:eastAsia="標楷體"/>
          <w:sz w:val="28"/>
          <w:szCs w:val="28"/>
        </w:rPr>
        <w:t>目標客源吸引以歐美、日本、大陸地區及進行生態旅遊之國際遊客，另透過農村休閒產業之發展，吸引港、澳、星馬地區旅客從事農業體驗活動。</w:t>
      </w:r>
    </w:p>
    <w:p w:rsidR="00D4339C" w:rsidRPr="00D55DC6" w:rsidRDefault="00D4339C" w:rsidP="004865C1">
      <w:pPr>
        <w:pStyle w:val="af2"/>
        <w:numPr>
          <w:ilvl w:val="0"/>
          <w:numId w:val="54"/>
        </w:numPr>
        <w:snapToGrid w:val="0"/>
        <w:spacing w:line="460" w:lineRule="exact"/>
        <w:ind w:leftChars="0" w:left="851"/>
        <w:jc w:val="both"/>
        <w:rPr>
          <w:rFonts w:eastAsia="標楷體"/>
          <w:sz w:val="28"/>
          <w:szCs w:val="28"/>
        </w:rPr>
      </w:pPr>
      <w:r w:rsidRPr="00D55DC6">
        <w:rPr>
          <w:rFonts w:eastAsia="標楷體"/>
          <w:sz w:val="28"/>
          <w:szCs w:val="28"/>
        </w:rPr>
        <w:t>遊客人數由</w:t>
      </w:r>
      <w:r w:rsidRPr="00D55DC6">
        <w:rPr>
          <w:rFonts w:eastAsia="標楷體"/>
          <w:sz w:val="28"/>
          <w:szCs w:val="28"/>
        </w:rPr>
        <w:t>105</w:t>
      </w:r>
      <w:r w:rsidRPr="00D55DC6">
        <w:rPr>
          <w:rFonts w:eastAsia="標楷體"/>
          <w:sz w:val="28"/>
          <w:szCs w:val="28"/>
        </w:rPr>
        <w:t>年</w:t>
      </w:r>
      <w:r w:rsidRPr="00D55DC6">
        <w:rPr>
          <w:rFonts w:eastAsia="標楷體"/>
          <w:sz w:val="28"/>
          <w:szCs w:val="28"/>
        </w:rPr>
        <w:t>620</w:t>
      </w:r>
      <w:r w:rsidRPr="00D55DC6">
        <w:rPr>
          <w:rFonts w:eastAsia="標楷體"/>
          <w:sz w:val="28"/>
          <w:szCs w:val="28"/>
        </w:rPr>
        <w:t>萬人次提升至</w:t>
      </w:r>
      <w:r w:rsidRPr="00D55DC6">
        <w:rPr>
          <w:rFonts w:eastAsia="標楷體"/>
          <w:sz w:val="28"/>
          <w:szCs w:val="28"/>
        </w:rPr>
        <w:t>108</w:t>
      </w:r>
      <w:r w:rsidRPr="00D55DC6">
        <w:rPr>
          <w:rFonts w:eastAsia="標楷體"/>
          <w:sz w:val="28"/>
          <w:szCs w:val="28"/>
        </w:rPr>
        <w:t>年</w:t>
      </w:r>
      <w:r w:rsidRPr="00D55DC6">
        <w:rPr>
          <w:rFonts w:eastAsia="標楷體"/>
          <w:sz w:val="28"/>
          <w:szCs w:val="28"/>
        </w:rPr>
        <w:t>650</w:t>
      </w:r>
      <w:r w:rsidRPr="00D55DC6">
        <w:rPr>
          <w:rFonts w:eastAsia="標楷體"/>
          <w:sz w:val="28"/>
          <w:szCs w:val="28"/>
        </w:rPr>
        <w:t>萬人次，成長</w:t>
      </w:r>
      <w:r w:rsidRPr="00D55DC6">
        <w:rPr>
          <w:rFonts w:eastAsia="標楷體"/>
          <w:sz w:val="28"/>
          <w:szCs w:val="28"/>
        </w:rPr>
        <w:t>4.84%</w:t>
      </w:r>
      <w:r w:rsidRPr="00D55DC6">
        <w:rPr>
          <w:rFonts w:eastAsia="標楷體"/>
          <w:sz w:val="28"/>
          <w:szCs w:val="28"/>
        </w:rPr>
        <w:t>。</w:t>
      </w:r>
    </w:p>
    <w:p w:rsidR="000B4A7F" w:rsidRPr="00D55DC6" w:rsidRDefault="000B4A7F" w:rsidP="000B4A7F">
      <w:pPr>
        <w:pStyle w:val="af2"/>
        <w:snapToGrid w:val="0"/>
        <w:spacing w:line="460" w:lineRule="exact"/>
        <w:ind w:leftChars="0" w:left="851"/>
        <w:jc w:val="both"/>
        <w:rPr>
          <w:rFonts w:eastAsia="標楷體"/>
          <w:sz w:val="28"/>
          <w:szCs w:val="28"/>
        </w:rPr>
      </w:pPr>
    </w:p>
    <w:p w:rsidR="00D4339C" w:rsidRPr="00D55DC6" w:rsidRDefault="00D4339C" w:rsidP="004865C1">
      <w:pPr>
        <w:pStyle w:val="af2"/>
        <w:numPr>
          <w:ilvl w:val="0"/>
          <w:numId w:val="65"/>
        </w:numPr>
        <w:snapToGrid w:val="0"/>
        <w:spacing w:line="460" w:lineRule="exact"/>
        <w:ind w:leftChars="0"/>
        <w:jc w:val="both"/>
        <w:rPr>
          <w:rFonts w:eastAsia="標楷體"/>
          <w:b/>
          <w:sz w:val="28"/>
          <w:szCs w:val="28"/>
        </w:rPr>
      </w:pPr>
      <w:r w:rsidRPr="00D55DC6">
        <w:rPr>
          <w:rFonts w:eastAsia="標楷體"/>
          <w:b/>
          <w:sz w:val="28"/>
          <w:szCs w:val="28"/>
        </w:rPr>
        <w:t>達成目標之限制</w:t>
      </w:r>
    </w:p>
    <w:p w:rsidR="00D4339C" w:rsidRPr="00D55DC6" w:rsidRDefault="00D4339C" w:rsidP="004865C1">
      <w:pPr>
        <w:pStyle w:val="af2"/>
        <w:numPr>
          <w:ilvl w:val="0"/>
          <w:numId w:val="56"/>
        </w:numPr>
        <w:snapToGrid w:val="0"/>
        <w:spacing w:line="460" w:lineRule="exact"/>
        <w:ind w:leftChars="0" w:left="851"/>
        <w:jc w:val="both"/>
        <w:rPr>
          <w:rFonts w:eastAsia="標楷體"/>
          <w:sz w:val="28"/>
          <w:szCs w:val="28"/>
        </w:rPr>
      </w:pPr>
      <w:r w:rsidRPr="00D55DC6">
        <w:rPr>
          <w:rFonts w:eastAsia="標楷體"/>
          <w:b/>
          <w:sz w:val="28"/>
          <w:szCs w:val="28"/>
        </w:rPr>
        <w:t>觀光發展管理事權及觀念待整合</w:t>
      </w:r>
      <w:r w:rsidRPr="00D55DC6">
        <w:rPr>
          <w:rFonts w:eastAsia="標楷體"/>
          <w:sz w:val="28"/>
          <w:szCs w:val="28"/>
        </w:rPr>
        <w:t>：景點開發建設事涉眾多公部門權責單位，需逐案透過協調溝通，統合相關權責單位，達發展共識。若有未能解決之問題，將提報行政院觀光發展推動委員會協助解決；此外，民眾及業者對觀光發展多仍有本位觀念與認知落差，且現有住民對既得利益的堅持，常需耗費溝通協調時程，影響觀光發展步調。需透過產業座談、村里民大會等場合，加強與地方溝通，並辦理相關的教育訓練及輔導等工作，期能提昇整體服務品質。</w:t>
      </w:r>
    </w:p>
    <w:p w:rsidR="00D4339C" w:rsidRPr="00D55DC6" w:rsidRDefault="00D4339C" w:rsidP="004865C1">
      <w:pPr>
        <w:pStyle w:val="af2"/>
        <w:numPr>
          <w:ilvl w:val="0"/>
          <w:numId w:val="56"/>
        </w:numPr>
        <w:snapToGrid w:val="0"/>
        <w:spacing w:line="460" w:lineRule="exact"/>
        <w:ind w:leftChars="0" w:left="851"/>
        <w:jc w:val="both"/>
        <w:rPr>
          <w:rFonts w:eastAsia="標楷體"/>
          <w:sz w:val="28"/>
          <w:szCs w:val="28"/>
        </w:rPr>
      </w:pPr>
      <w:r w:rsidRPr="00D55DC6">
        <w:rPr>
          <w:rFonts w:eastAsia="標楷體"/>
          <w:b/>
          <w:sz w:val="28"/>
          <w:szCs w:val="28"/>
        </w:rPr>
        <w:t>原住民地區開發限制</w:t>
      </w:r>
      <w:r w:rsidRPr="00D55DC6">
        <w:rPr>
          <w:rFonts w:eastAsia="標楷體"/>
          <w:sz w:val="28"/>
          <w:szCs w:val="28"/>
        </w:rPr>
        <w:t>：部分景點位於原住民族地區，原住民族基本法公布實施後，規定政府或私人於原住民族土地內從事土地開發、資源利用、生態保育及學術研究，均應諮詢並取得原住民族同意或參與，原住民得分享相關利益；加上區內原住民族自主意志高，在在衝擊相關建設，進而影響相關建設時程。日月潭管理處現已設立原住民族地區文化與觀光發展資源共同管理會調處相關事務，同時透過相關會議及地方說明會等，加強與其協調溝通，期能減少公共建設推動的阻力。</w:t>
      </w:r>
    </w:p>
    <w:p w:rsidR="00D4339C" w:rsidRPr="00D55DC6" w:rsidRDefault="00D4339C" w:rsidP="004865C1">
      <w:pPr>
        <w:pStyle w:val="af2"/>
        <w:numPr>
          <w:ilvl w:val="0"/>
          <w:numId w:val="56"/>
        </w:numPr>
        <w:snapToGrid w:val="0"/>
        <w:spacing w:line="460" w:lineRule="exact"/>
        <w:ind w:leftChars="0" w:left="851"/>
        <w:jc w:val="both"/>
        <w:rPr>
          <w:rFonts w:eastAsia="標楷體"/>
          <w:sz w:val="28"/>
          <w:szCs w:val="28"/>
        </w:rPr>
      </w:pPr>
      <w:r w:rsidRPr="00D55DC6">
        <w:rPr>
          <w:rFonts w:eastAsia="標楷體"/>
          <w:b/>
          <w:sz w:val="28"/>
          <w:szCs w:val="28"/>
        </w:rPr>
        <w:t>建設用地取得限制</w:t>
      </w:r>
      <w:r w:rsidRPr="00D55DC6">
        <w:rPr>
          <w:rFonts w:eastAsia="標楷體"/>
          <w:sz w:val="28"/>
          <w:szCs w:val="28"/>
        </w:rPr>
        <w:t>：部分土地位處保護區、森林區、山坡地保育區或水源水質保護區，觀光設施開發受限，地權取得、地用變更耗時費力，延緩觀光建設期程。需提早規劃建設期程，並加強與相關主</w:t>
      </w:r>
      <w:r w:rsidRPr="00D55DC6">
        <w:rPr>
          <w:rFonts w:eastAsia="標楷體"/>
          <w:sz w:val="28"/>
          <w:szCs w:val="28"/>
        </w:rPr>
        <w:lastRenderedPageBreak/>
        <w:t>管機關溝通解決。</w:t>
      </w:r>
    </w:p>
    <w:p w:rsidR="00D4339C" w:rsidRPr="00D55DC6" w:rsidRDefault="00D4339C" w:rsidP="004865C1">
      <w:pPr>
        <w:pStyle w:val="af2"/>
        <w:numPr>
          <w:ilvl w:val="0"/>
          <w:numId w:val="56"/>
        </w:numPr>
        <w:snapToGrid w:val="0"/>
        <w:spacing w:line="460" w:lineRule="exact"/>
        <w:ind w:leftChars="0" w:left="851"/>
        <w:jc w:val="both"/>
        <w:rPr>
          <w:rFonts w:eastAsia="標楷體"/>
          <w:sz w:val="28"/>
          <w:szCs w:val="28"/>
        </w:rPr>
      </w:pPr>
      <w:r w:rsidRPr="00D55DC6">
        <w:rPr>
          <w:rFonts w:eastAsia="標楷體"/>
          <w:b/>
          <w:sz w:val="28"/>
          <w:szCs w:val="28"/>
        </w:rPr>
        <w:t>自然地理環境限制</w:t>
      </w:r>
      <w:r w:rsidRPr="00D55DC6">
        <w:rPr>
          <w:rFonts w:eastAsia="標楷體"/>
          <w:sz w:val="28"/>
          <w:szCs w:val="28"/>
        </w:rPr>
        <w:t>：部分熱門景點因發展腹地有限，遊客量、交通易產生擁擠現象，宜針對環境本質推動適宜性的規劃建設，並作適當的承載量規劃及管制。</w:t>
      </w:r>
    </w:p>
    <w:p w:rsidR="00D4339C" w:rsidRPr="00D55DC6" w:rsidRDefault="00D4339C" w:rsidP="004865C1">
      <w:pPr>
        <w:pStyle w:val="af2"/>
        <w:numPr>
          <w:ilvl w:val="0"/>
          <w:numId w:val="56"/>
        </w:numPr>
        <w:snapToGrid w:val="0"/>
        <w:spacing w:line="460" w:lineRule="exact"/>
        <w:ind w:leftChars="0" w:left="851"/>
        <w:jc w:val="both"/>
        <w:rPr>
          <w:rFonts w:eastAsia="標楷體"/>
          <w:sz w:val="28"/>
          <w:szCs w:val="28"/>
        </w:rPr>
      </w:pPr>
      <w:r w:rsidRPr="00D55DC6">
        <w:rPr>
          <w:rFonts w:eastAsia="標楷體"/>
          <w:b/>
          <w:sz w:val="28"/>
          <w:szCs w:val="28"/>
        </w:rPr>
        <w:t>開發行為法規限制</w:t>
      </w:r>
      <w:r w:rsidRPr="00D55DC6">
        <w:rPr>
          <w:rFonts w:eastAsia="標楷體"/>
          <w:sz w:val="28"/>
          <w:szCs w:val="28"/>
        </w:rPr>
        <w:t>：部分開發案需辦理都市計畫變更或環境影響評估，因審議過程繁複，時程不易掌握，常影響景點之開發建設。將寬列計畫推動期程，並積極推動相關應辦事項。</w:t>
      </w:r>
    </w:p>
    <w:p w:rsidR="000725AB" w:rsidRPr="00D55DC6" w:rsidRDefault="00080702" w:rsidP="004865C1">
      <w:pPr>
        <w:pStyle w:val="af2"/>
        <w:numPr>
          <w:ilvl w:val="0"/>
          <w:numId w:val="56"/>
        </w:numPr>
        <w:snapToGrid w:val="0"/>
        <w:spacing w:line="460" w:lineRule="exact"/>
        <w:ind w:leftChars="0" w:left="851"/>
        <w:jc w:val="both"/>
        <w:rPr>
          <w:rFonts w:eastAsia="標楷體"/>
          <w:sz w:val="28"/>
          <w:szCs w:val="28"/>
        </w:rPr>
      </w:pPr>
      <w:r w:rsidRPr="00D55DC6">
        <w:rPr>
          <w:rFonts w:eastAsia="標楷體" w:hint="eastAsia"/>
          <w:b/>
          <w:sz w:val="28"/>
          <w:szCs w:val="28"/>
        </w:rPr>
        <w:t>擴大範圍但</w:t>
      </w:r>
      <w:r w:rsidR="000725AB" w:rsidRPr="00D55DC6">
        <w:rPr>
          <w:rFonts w:eastAsia="標楷體"/>
          <w:b/>
          <w:sz w:val="28"/>
          <w:szCs w:val="28"/>
        </w:rPr>
        <w:t>資源有限</w:t>
      </w:r>
      <w:r w:rsidR="000725AB" w:rsidRPr="00D55DC6">
        <w:rPr>
          <w:rFonts w:eastAsia="標楷體"/>
          <w:sz w:val="28"/>
          <w:szCs w:val="28"/>
        </w:rPr>
        <w:t>：日月潭為臺灣少數國際聞名之重要觀光旅遊景點，各項觀光服務品質均應維持最高標準，日月潭國家風景區自</w:t>
      </w:r>
      <w:r w:rsidR="000725AB" w:rsidRPr="00D55DC6">
        <w:rPr>
          <w:rFonts w:eastAsia="標楷體"/>
          <w:sz w:val="28"/>
          <w:szCs w:val="28"/>
        </w:rPr>
        <w:t>100</w:t>
      </w:r>
      <w:r w:rsidR="000725AB" w:rsidRPr="00D55DC6">
        <w:rPr>
          <w:rFonts w:eastAsia="標楷體"/>
          <w:sz w:val="28"/>
          <w:szCs w:val="28"/>
        </w:rPr>
        <w:t>月</w:t>
      </w:r>
      <w:r w:rsidR="000725AB" w:rsidRPr="00D55DC6">
        <w:rPr>
          <w:rFonts w:eastAsia="標楷體"/>
          <w:sz w:val="28"/>
          <w:szCs w:val="28"/>
        </w:rPr>
        <w:t>12</w:t>
      </w:r>
      <w:r w:rsidR="000725AB" w:rsidRPr="00D55DC6">
        <w:rPr>
          <w:rFonts w:eastAsia="標楷體"/>
          <w:sz w:val="28"/>
          <w:szCs w:val="28"/>
        </w:rPr>
        <w:t>月</w:t>
      </w:r>
      <w:r w:rsidR="000725AB" w:rsidRPr="00D55DC6">
        <w:rPr>
          <w:rFonts w:eastAsia="標楷體"/>
          <w:sz w:val="28"/>
          <w:szCs w:val="28"/>
        </w:rPr>
        <w:t>20</w:t>
      </w:r>
      <w:r w:rsidR="000725AB" w:rsidRPr="00D55DC6">
        <w:rPr>
          <w:rFonts w:eastAsia="標楷體"/>
          <w:sz w:val="28"/>
          <w:szCs w:val="28"/>
        </w:rPr>
        <w:t>日由交通部公告實施擴大經營管理範圍，由原本的</w:t>
      </w:r>
      <w:r w:rsidR="000725AB" w:rsidRPr="00D55DC6">
        <w:rPr>
          <w:rFonts w:eastAsia="標楷體"/>
          <w:sz w:val="28"/>
          <w:szCs w:val="28"/>
        </w:rPr>
        <w:t>9,000</w:t>
      </w:r>
      <w:r w:rsidR="000725AB" w:rsidRPr="00D55DC6">
        <w:rPr>
          <w:rFonts w:eastAsia="標楷體"/>
          <w:sz w:val="28"/>
          <w:szCs w:val="28"/>
        </w:rPr>
        <w:t>公頃倍增為</w:t>
      </w:r>
      <w:r w:rsidR="000725AB" w:rsidRPr="00D55DC6">
        <w:rPr>
          <w:rFonts w:eastAsia="標楷體"/>
          <w:sz w:val="28"/>
          <w:szCs w:val="28"/>
        </w:rPr>
        <w:t>18,100</w:t>
      </w:r>
      <w:r w:rsidR="000725AB" w:rsidRPr="00D55DC6">
        <w:rPr>
          <w:rFonts w:eastAsia="標楷體"/>
          <w:sz w:val="28"/>
          <w:szCs w:val="28"/>
        </w:rPr>
        <w:t>公頃，在預算逐年縮編、遊客人數急速增加、非權責業務增加（包括污水廠、電動船、纜車、船屋清理、交通疏運、兩岸處理業務等多項上級指定交辦之非觀光事務業務），以及管理處人力不變的情況下，實有資源不足之情形。</w:t>
      </w:r>
      <w:r w:rsidRPr="00D55DC6">
        <w:rPr>
          <w:rFonts w:eastAsia="標楷體" w:hint="eastAsia"/>
          <w:sz w:val="28"/>
          <w:szCs w:val="28"/>
        </w:rPr>
        <w:t>而</w:t>
      </w:r>
      <w:r w:rsidR="000725AB" w:rsidRPr="00D55DC6">
        <w:rPr>
          <w:rFonts w:eastAsia="標楷體"/>
          <w:sz w:val="28"/>
          <w:szCs w:val="28"/>
        </w:rPr>
        <w:t>為有效引導遊客至周邊副核心遊憩系統，相關觀光服務設施、據點營造、經營管理、行銷活動、交通運輸等仍亟待改善，</w:t>
      </w:r>
      <w:r w:rsidRPr="00D55DC6">
        <w:rPr>
          <w:rFonts w:eastAsia="標楷體" w:hint="eastAsia"/>
          <w:sz w:val="28"/>
          <w:szCs w:val="28"/>
        </w:rPr>
        <w:t>將積極爭取於</w:t>
      </w:r>
      <w:r w:rsidR="000725AB" w:rsidRPr="00D55DC6">
        <w:rPr>
          <w:rFonts w:eastAsia="標楷體"/>
          <w:sz w:val="28"/>
          <w:szCs w:val="28"/>
        </w:rPr>
        <w:t>先期投注資源與人力，營造友善民間投資環境，引導地方產業共榮發展。</w:t>
      </w:r>
    </w:p>
    <w:p w:rsidR="00C067DF" w:rsidRPr="00D55DC6" w:rsidRDefault="00C067DF" w:rsidP="00C067DF">
      <w:pPr>
        <w:pStyle w:val="af2"/>
        <w:snapToGrid w:val="0"/>
        <w:spacing w:line="460" w:lineRule="exact"/>
        <w:ind w:leftChars="0" w:left="851"/>
        <w:jc w:val="both"/>
        <w:rPr>
          <w:rFonts w:eastAsia="標楷體"/>
          <w:sz w:val="28"/>
          <w:szCs w:val="28"/>
        </w:rPr>
      </w:pPr>
    </w:p>
    <w:p w:rsidR="000725AB" w:rsidRPr="00D55DC6" w:rsidRDefault="000725AB" w:rsidP="00C067DF">
      <w:pPr>
        <w:pStyle w:val="af2"/>
        <w:snapToGrid w:val="0"/>
        <w:spacing w:line="460" w:lineRule="exact"/>
        <w:ind w:leftChars="0" w:left="851"/>
        <w:jc w:val="both"/>
        <w:rPr>
          <w:rFonts w:eastAsia="標楷體"/>
          <w:sz w:val="28"/>
          <w:szCs w:val="28"/>
        </w:rPr>
      </w:pPr>
    </w:p>
    <w:p w:rsidR="00122F6F" w:rsidRPr="00D55DC6" w:rsidRDefault="00122F6F" w:rsidP="00C067DF">
      <w:pPr>
        <w:pStyle w:val="af2"/>
        <w:snapToGrid w:val="0"/>
        <w:spacing w:line="460" w:lineRule="exact"/>
        <w:ind w:leftChars="0" w:left="851"/>
        <w:jc w:val="both"/>
        <w:rPr>
          <w:rFonts w:eastAsia="標楷體"/>
          <w:sz w:val="28"/>
          <w:szCs w:val="28"/>
        </w:rPr>
      </w:pPr>
    </w:p>
    <w:p w:rsidR="00D4339C" w:rsidRPr="00D55DC6" w:rsidRDefault="00D4339C" w:rsidP="004865C1">
      <w:pPr>
        <w:pStyle w:val="af2"/>
        <w:numPr>
          <w:ilvl w:val="0"/>
          <w:numId w:val="65"/>
        </w:numPr>
        <w:snapToGrid w:val="0"/>
        <w:spacing w:line="460" w:lineRule="exact"/>
        <w:ind w:leftChars="0"/>
        <w:jc w:val="both"/>
        <w:rPr>
          <w:rFonts w:eastAsia="標楷體"/>
          <w:b/>
          <w:sz w:val="28"/>
          <w:szCs w:val="28"/>
        </w:rPr>
      </w:pPr>
      <w:r w:rsidRPr="00D55DC6">
        <w:rPr>
          <w:rFonts w:eastAsia="標楷體"/>
          <w:b/>
          <w:sz w:val="28"/>
          <w:szCs w:val="28"/>
        </w:rPr>
        <w:t>績效指標、衡量標準及目標值</w:t>
      </w:r>
    </w:p>
    <w:tbl>
      <w:tblPr>
        <w:tblW w:w="7746"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5"/>
        <w:gridCol w:w="2127"/>
        <w:gridCol w:w="865"/>
        <w:gridCol w:w="868"/>
        <w:gridCol w:w="865"/>
        <w:gridCol w:w="865"/>
        <w:gridCol w:w="865"/>
        <w:gridCol w:w="866"/>
      </w:tblGrid>
      <w:tr w:rsidR="001D0350" w:rsidRPr="00D55DC6" w:rsidTr="00144178">
        <w:trPr>
          <w:trHeight w:val="345"/>
          <w:tblHeader/>
        </w:trPr>
        <w:tc>
          <w:tcPr>
            <w:tcW w:w="425" w:type="dxa"/>
            <w:vMerge w:val="restart"/>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項目</w:t>
            </w:r>
          </w:p>
        </w:tc>
        <w:tc>
          <w:tcPr>
            <w:tcW w:w="2127" w:type="dxa"/>
            <w:vMerge w:val="restart"/>
            <w:vAlign w:val="center"/>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衡量指標</w:t>
            </w:r>
          </w:p>
        </w:tc>
        <w:tc>
          <w:tcPr>
            <w:tcW w:w="1733" w:type="dxa"/>
            <w:gridSpan w:val="2"/>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衡量基準</w:t>
            </w:r>
          </w:p>
        </w:tc>
        <w:tc>
          <w:tcPr>
            <w:tcW w:w="3461" w:type="dxa"/>
            <w:gridSpan w:val="4"/>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預期目標值</w:t>
            </w:r>
          </w:p>
        </w:tc>
      </w:tr>
      <w:tr w:rsidR="001D0350" w:rsidRPr="00D55DC6" w:rsidTr="00144178">
        <w:trPr>
          <w:trHeight w:val="345"/>
          <w:tblHeader/>
        </w:trPr>
        <w:tc>
          <w:tcPr>
            <w:tcW w:w="425" w:type="dxa"/>
            <w:vMerge/>
          </w:tcPr>
          <w:p w:rsidR="00D4339C" w:rsidRPr="00D55DC6" w:rsidRDefault="00D4339C" w:rsidP="0038165F">
            <w:pPr>
              <w:widowControl/>
              <w:spacing w:line="400" w:lineRule="exact"/>
              <w:jc w:val="center"/>
              <w:rPr>
                <w:rFonts w:eastAsia="標楷體"/>
                <w:kern w:val="0"/>
                <w:sz w:val="28"/>
                <w:szCs w:val="28"/>
              </w:rPr>
            </w:pPr>
          </w:p>
        </w:tc>
        <w:tc>
          <w:tcPr>
            <w:tcW w:w="2127" w:type="dxa"/>
            <w:vMerge/>
            <w:vAlign w:val="center"/>
          </w:tcPr>
          <w:p w:rsidR="00D4339C" w:rsidRPr="00D55DC6" w:rsidRDefault="00D4339C" w:rsidP="0038165F">
            <w:pPr>
              <w:widowControl/>
              <w:spacing w:line="400" w:lineRule="exact"/>
              <w:rPr>
                <w:rFonts w:eastAsia="標楷體"/>
                <w:kern w:val="0"/>
                <w:sz w:val="28"/>
                <w:szCs w:val="28"/>
              </w:rPr>
            </w:pPr>
          </w:p>
        </w:tc>
        <w:tc>
          <w:tcPr>
            <w:tcW w:w="865" w:type="dxa"/>
          </w:tcPr>
          <w:p w:rsidR="00D4339C" w:rsidRPr="00D55DC6" w:rsidRDefault="00D4339C" w:rsidP="00122F6F">
            <w:pPr>
              <w:widowControl/>
              <w:spacing w:line="400" w:lineRule="exact"/>
              <w:jc w:val="center"/>
              <w:rPr>
                <w:rFonts w:eastAsia="標楷體"/>
                <w:kern w:val="0"/>
                <w:sz w:val="28"/>
                <w:szCs w:val="28"/>
              </w:rPr>
            </w:pPr>
            <w:r w:rsidRPr="00D55DC6">
              <w:rPr>
                <w:rFonts w:eastAsia="標楷體"/>
                <w:kern w:val="0"/>
                <w:sz w:val="28"/>
                <w:szCs w:val="28"/>
              </w:rPr>
              <w:t>102</w:t>
            </w:r>
            <w:r w:rsidRPr="00D55DC6">
              <w:rPr>
                <w:rFonts w:eastAsia="標楷體"/>
                <w:kern w:val="0"/>
                <w:sz w:val="28"/>
                <w:szCs w:val="28"/>
              </w:rPr>
              <w:t>年</w:t>
            </w:r>
          </w:p>
        </w:tc>
        <w:tc>
          <w:tcPr>
            <w:tcW w:w="868" w:type="dxa"/>
          </w:tcPr>
          <w:p w:rsidR="00D4339C" w:rsidRPr="00D55DC6" w:rsidRDefault="00D4339C" w:rsidP="00122F6F">
            <w:pPr>
              <w:widowControl/>
              <w:spacing w:line="400" w:lineRule="exact"/>
              <w:jc w:val="center"/>
              <w:rPr>
                <w:rFonts w:eastAsia="標楷體"/>
                <w:kern w:val="0"/>
                <w:sz w:val="28"/>
                <w:szCs w:val="28"/>
              </w:rPr>
            </w:pPr>
            <w:r w:rsidRPr="00D55DC6">
              <w:rPr>
                <w:rFonts w:eastAsia="標楷體"/>
                <w:kern w:val="0"/>
                <w:sz w:val="28"/>
                <w:szCs w:val="28"/>
              </w:rPr>
              <w:t>103</w:t>
            </w:r>
            <w:r w:rsidRPr="00D55DC6">
              <w:rPr>
                <w:rFonts w:eastAsia="標楷體"/>
                <w:kern w:val="0"/>
                <w:sz w:val="28"/>
                <w:szCs w:val="28"/>
              </w:rPr>
              <w:t>年</w:t>
            </w:r>
          </w:p>
        </w:tc>
        <w:tc>
          <w:tcPr>
            <w:tcW w:w="865" w:type="dxa"/>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105</w:t>
            </w:r>
            <w:r w:rsidRPr="00D55DC6">
              <w:rPr>
                <w:rFonts w:eastAsia="標楷體"/>
                <w:kern w:val="0"/>
                <w:sz w:val="28"/>
                <w:szCs w:val="28"/>
              </w:rPr>
              <w:t>年</w:t>
            </w:r>
          </w:p>
        </w:tc>
        <w:tc>
          <w:tcPr>
            <w:tcW w:w="865" w:type="dxa"/>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106</w:t>
            </w:r>
            <w:r w:rsidRPr="00D55DC6">
              <w:rPr>
                <w:rFonts w:eastAsia="標楷體"/>
                <w:kern w:val="0"/>
                <w:sz w:val="28"/>
                <w:szCs w:val="28"/>
              </w:rPr>
              <w:t>年</w:t>
            </w:r>
          </w:p>
        </w:tc>
        <w:tc>
          <w:tcPr>
            <w:tcW w:w="865" w:type="dxa"/>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107</w:t>
            </w:r>
            <w:r w:rsidRPr="00D55DC6">
              <w:rPr>
                <w:rFonts w:eastAsia="標楷體"/>
                <w:kern w:val="0"/>
                <w:sz w:val="28"/>
                <w:szCs w:val="28"/>
              </w:rPr>
              <w:t>年</w:t>
            </w:r>
          </w:p>
        </w:tc>
        <w:tc>
          <w:tcPr>
            <w:tcW w:w="866" w:type="dxa"/>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108</w:t>
            </w:r>
            <w:r w:rsidRPr="00D55DC6">
              <w:rPr>
                <w:rFonts w:eastAsia="標楷體"/>
                <w:kern w:val="0"/>
                <w:sz w:val="28"/>
                <w:szCs w:val="28"/>
              </w:rPr>
              <w:t>年</w:t>
            </w:r>
          </w:p>
        </w:tc>
      </w:tr>
      <w:tr w:rsidR="001D0350" w:rsidRPr="00D55DC6" w:rsidTr="00144178">
        <w:trPr>
          <w:trHeight w:val="675"/>
        </w:trPr>
        <w:tc>
          <w:tcPr>
            <w:tcW w:w="425" w:type="dxa"/>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1</w:t>
            </w:r>
          </w:p>
        </w:tc>
        <w:tc>
          <w:tcPr>
            <w:tcW w:w="2127" w:type="dxa"/>
          </w:tcPr>
          <w:p w:rsidR="00D4339C" w:rsidRPr="00D55DC6" w:rsidRDefault="00D4339C" w:rsidP="0038165F">
            <w:pPr>
              <w:widowControl/>
              <w:spacing w:line="400" w:lineRule="exact"/>
              <w:jc w:val="both"/>
              <w:rPr>
                <w:rFonts w:eastAsia="標楷體"/>
                <w:kern w:val="0"/>
                <w:sz w:val="28"/>
                <w:szCs w:val="28"/>
              </w:rPr>
            </w:pPr>
            <w:r w:rsidRPr="00D55DC6">
              <w:rPr>
                <w:rFonts w:eastAsia="標楷體"/>
                <w:kern w:val="0"/>
                <w:sz w:val="28"/>
                <w:szCs w:val="28"/>
              </w:rPr>
              <w:t>重要觀光景點建設完成數</w:t>
            </w:r>
            <w:r w:rsidRPr="00D55DC6">
              <w:rPr>
                <w:rFonts w:eastAsia="標楷體"/>
                <w:kern w:val="0"/>
                <w:sz w:val="28"/>
                <w:szCs w:val="28"/>
              </w:rPr>
              <w:t>(</w:t>
            </w:r>
            <w:r w:rsidRPr="00D55DC6">
              <w:rPr>
                <w:rFonts w:eastAsia="標楷體"/>
                <w:kern w:val="0"/>
                <w:sz w:val="28"/>
                <w:szCs w:val="28"/>
              </w:rPr>
              <w:t>處</w:t>
            </w:r>
            <w:r w:rsidRPr="00D55DC6">
              <w:rPr>
                <w:rFonts w:eastAsia="標楷體"/>
                <w:kern w:val="0"/>
                <w:sz w:val="28"/>
                <w:szCs w:val="28"/>
              </w:rPr>
              <w:t>)</w:t>
            </w:r>
          </w:p>
        </w:tc>
        <w:tc>
          <w:tcPr>
            <w:tcW w:w="865" w:type="dxa"/>
            <w:vAlign w:val="center"/>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9</w:t>
            </w:r>
          </w:p>
        </w:tc>
        <w:tc>
          <w:tcPr>
            <w:tcW w:w="868" w:type="dxa"/>
            <w:vAlign w:val="center"/>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4</w:t>
            </w:r>
          </w:p>
        </w:tc>
        <w:tc>
          <w:tcPr>
            <w:tcW w:w="865" w:type="dxa"/>
            <w:vAlign w:val="center"/>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3</w:t>
            </w:r>
          </w:p>
        </w:tc>
        <w:tc>
          <w:tcPr>
            <w:tcW w:w="865" w:type="dxa"/>
            <w:vAlign w:val="center"/>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2</w:t>
            </w:r>
          </w:p>
        </w:tc>
        <w:tc>
          <w:tcPr>
            <w:tcW w:w="865" w:type="dxa"/>
            <w:vAlign w:val="center"/>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3</w:t>
            </w:r>
          </w:p>
        </w:tc>
        <w:tc>
          <w:tcPr>
            <w:tcW w:w="866" w:type="dxa"/>
            <w:vAlign w:val="center"/>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5</w:t>
            </w:r>
          </w:p>
        </w:tc>
      </w:tr>
      <w:tr w:rsidR="001D0350" w:rsidRPr="00D55DC6" w:rsidTr="00144178">
        <w:trPr>
          <w:trHeight w:val="675"/>
        </w:trPr>
        <w:tc>
          <w:tcPr>
            <w:tcW w:w="425" w:type="dxa"/>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2</w:t>
            </w:r>
          </w:p>
        </w:tc>
        <w:tc>
          <w:tcPr>
            <w:tcW w:w="2127" w:type="dxa"/>
          </w:tcPr>
          <w:p w:rsidR="00D4339C" w:rsidRPr="00D55DC6" w:rsidRDefault="00D4339C" w:rsidP="0038165F">
            <w:pPr>
              <w:widowControl/>
              <w:spacing w:line="400" w:lineRule="exact"/>
              <w:jc w:val="both"/>
              <w:rPr>
                <w:rFonts w:eastAsia="標楷體"/>
                <w:kern w:val="0"/>
                <w:sz w:val="28"/>
                <w:szCs w:val="28"/>
              </w:rPr>
            </w:pPr>
            <w:r w:rsidRPr="00D55DC6">
              <w:rPr>
                <w:rFonts w:eastAsia="標楷體"/>
                <w:kern w:val="0"/>
                <w:sz w:val="28"/>
                <w:szCs w:val="28"/>
              </w:rPr>
              <w:t>參訪國家風景區遊客人數</w:t>
            </w:r>
            <w:r w:rsidRPr="00D55DC6">
              <w:rPr>
                <w:rFonts w:eastAsia="標楷體"/>
                <w:kern w:val="0"/>
                <w:sz w:val="28"/>
                <w:szCs w:val="28"/>
              </w:rPr>
              <w:t>(</w:t>
            </w:r>
            <w:r w:rsidRPr="00D55DC6">
              <w:rPr>
                <w:rFonts w:eastAsia="標楷體"/>
                <w:kern w:val="0"/>
                <w:sz w:val="28"/>
                <w:szCs w:val="28"/>
              </w:rPr>
              <w:t>萬人</w:t>
            </w:r>
            <w:r w:rsidRPr="00D55DC6">
              <w:rPr>
                <w:rFonts w:eastAsia="標楷體"/>
                <w:kern w:val="0"/>
                <w:sz w:val="28"/>
                <w:szCs w:val="28"/>
              </w:rPr>
              <w:t xml:space="preserve">) </w:t>
            </w:r>
          </w:p>
        </w:tc>
        <w:tc>
          <w:tcPr>
            <w:tcW w:w="865" w:type="dxa"/>
            <w:vAlign w:val="center"/>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603</w:t>
            </w:r>
          </w:p>
        </w:tc>
        <w:tc>
          <w:tcPr>
            <w:tcW w:w="868" w:type="dxa"/>
            <w:vAlign w:val="center"/>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680</w:t>
            </w:r>
          </w:p>
        </w:tc>
        <w:tc>
          <w:tcPr>
            <w:tcW w:w="865" w:type="dxa"/>
            <w:vAlign w:val="center"/>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620</w:t>
            </w:r>
          </w:p>
        </w:tc>
        <w:tc>
          <w:tcPr>
            <w:tcW w:w="865" w:type="dxa"/>
            <w:vAlign w:val="center"/>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630</w:t>
            </w:r>
          </w:p>
        </w:tc>
        <w:tc>
          <w:tcPr>
            <w:tcW w:w="865" w:type="dxa"/>
            <w:vAlign w:val="center"/>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640</w:t>
            </w:r>
          </w:p>
        </w:tc>
        <w:tc>
          <w:tcPr>
            <w:tcW w:w="866" w:type="dxa"/>
            <w:vAlign w:val="center"/>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650</w:t>
            </w:r>
          </w:p>
        </w:tc>
      </w:tr>
      <w:tr w:rsidR="001D0350" w:rsidRPr="00D55DC6" w:rsidTr="00144178">
        <w:trPr>
          <w:trHeight w:val="675"/>
        </w:trPr>
        <w:tc>
          <w:tcPr>
            <w:tcW w:w="425" w:type="dxa"/>
            <w:vAlign w:val="center"/>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3</w:t>
            </w:r>
          </w:p>
        </w:tc>
        <w:tc>
          <w:tcPr>
            <w:tcW w:w="2127" w:type="dxa"/>
            <w:vAlign w:val="center"/>
          </w:tcPr>
          <w:p w:rsidR="00D4339C" w:rsidRPr="00D55DC6" w:rsidRDefault="00D4339C" w:rsidP="0038165F">
            <w:pPr>
              <w:widowControl/>
              <w:spacing w:line="400" w:lineRule="exact"/>
              <w:jc w:val="both"/>
              <w:rPr>
                <w:rFonts w:eastAsia="標楷體"/>
                <w:kern w:val="0"/>
                <w:sz w:val="28"/>
                <w:szCs w:val="28"/>
              </w:rPr>
            </w:pPr>
            <w:r w:rsidRPr="00D55DC6">
              <w:rPr>
                <w:rFonts w:eastAsia="標楷體"/>
                <w:kern w:val="0"/>
                <w:sz w:val="28"/>
                <w:szCs w:val="28"/>
              </w:rPr>
              <w:t>觀光產值</w:t>
            </w:r>
            <w:r w:rsidRPr="00D55DC6">
              <w:rPr>
                <w:rFonts w:eastAsia="標楷體"/>
                <w:kern w:val="0"/>
                <w:sz w:val="28"/>
                <w:szCs w:val="28"/>
              </w:rPr>
              <w:t>(</w:t>
            </w:r>
            <w:r w:rsidRPr="00D55DC6">
              <w:rPr>
                <w:rFonts w:eastAsia="標楷體"/>
                <w:kern w:val="0"/>
                <w:sz w:val="28"/>
                <w:szCs w:val="28"/>
              </w:rPr>
              <w:t>億元</w:t>
            </w:r>
            <w:r w:rsidRPr="00D55DC6">
              <w:rPr>
                <w:rFonts w:eastAsia="標楷體"/>
                <w:kern w:val="0"/>
                <w:sz w:val="28"/>
                <w:szCs w:val="28"/>
              </w:rPr>
              <w:t>)</w:t>
            </w:r>
          </w:p>
        </w:tc>
        <w:tc>
          <w:tcPr>
            <w:tcW w:w="865" w:type="dxa"/>
            <w:vAlign w:val="center"/>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161</w:t>
            </w:r>
          </w:p>
        </w:tc>
        <w:tc>
          <w:tcPr>
            <w:tcW w:w="868" w:type="dxa"/>
            <w:vAlign w:val="center"/>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192</w:t>
            </w:r>
          </w:p>
        </w:tc>
        <w:tc>
          <w:tcPr>
            <w:tcW w:w="865" w:type="dxa"/>
            <w:vAlign w:val="center"/>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166</w:t>
            </w:r>
          </w:p>
        </w:tc>
        <w:tc>
          <w:tcPr>
            <w:tcW w:w="865" w:type="dxa"/>
            <w:vAlign w:val="center"/>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169</w:t>
            </w:r>
          </w:p>
        </w:tc>
        <w:tc>
          <w:tcPr>
            <w:tcW w:w="865" w:type="dxa"/>
            <w:vAlign w:val="center"/>
          </w:tcPr>
          <w:p w:rsidR="00D4339C" w:rsidRPr="00D55DC6" w:rsidRDefault="00D4339C" w:rsidP="0038165F">
            <w:pPr>
              <w:widowControl/>
              <w:spacing w:line="400" w:lineRule="exact"/>
              <w:jc w:val="center"/>
              <w:rPr>
                <w:rFonts w:eastAsia="標楷體"/>
                <w:kern w:val="0"/>
                <w:sz w:val="28"/>
                <w:szCs w:val="28"/>
              </w:rPr>
            </w:pPr>
            <w:r w:rsidRPr="00D55DC6">
              <w:rPr>
                <w:rFonts w:eastAsia="標楷體"/>
                <w:kern w:val="0"/>
                <w:sz w:val="28"/>
                <w:szCs w:val="28"/>
              </w:rPr>
              <w:t>171</w:t>
            </w:r>
          </w:p>
        </w:tc>
        <w:tc>
          <w:tcPr>
            <w:tcW w:w="866" w:type="dxa"/>
            <w:vAlign w:val="center"/>
          </w:tcPr>
          <w:p w:rsidR="00D4339C" w:rsidRPr="00D55DC6" w:rsidRDefault="00D4339C" w:rsidP="0038165F">
            <w:pPr>
              <w:spacing w:line="400" w:lineRule="exact"/>
              <w:jc w:val="center"/>
              <w:rPr>
                <w:rFonts w:eastAsia="標楷體"/>
                <w:sz w:val="28"/>
                <w:szCs w:val="28"/>
              </w:rPr>
            </w:pPr>
            <w:r w:rsidRPr="00D55DC6">
              <w:rPr>
                <w:rFonts w:eastAsia="標楷體"/>
                <w:kern w:val="0"/>
                <w:sz w:val="28"/>
                <w:szCs w:val="28"/>
              </w:rPr>
              <w:t>174</w:t>
            </w:r>
          </w:p>
        </w:tc>
      </w:tr>
      <w:tr w:rsidR="001D0350" w:rsidRPr="00D55DC6" w:rsidTr="002A3B8B">
        <w:trPr>
          <w:trHeight w:val="675"/>
        </w:trPr>
        <w:tc>
          <w:tcPr>
            <w:tcW w:w="425" w:type="dxa"/>
          </w:tcPr>
          <w:p w:rsidR="00ED041B" w:rsidRPr="00D55DC6" w:rsidRDefault="00ED041B" w:rsidP="00526698">
            <w:pPr>
              <w:widowControl/>
              <w:spacing w:line="400" w:lineRule="exact"/>
              <w:jc w:val="center"/>
              <w:rPr>
                <w:rFonts w:eastAsia="標楷體"/>
                <w:kern w:val="0"/>
                <w:sz w:val="28"/>
                <w:szCs w:val="28"/>
              </w:rPr>
            </w:pPr>
            <w:r w:rsidRPr="00D55DC6">
              <w:rPr>
                <w:rFonts w:eastAsia="標楷體"/>
                <w:kern w:val="0"/>
                <w:sz w:val="28"/>
                <w:szCs w:val="28"/>
              </w:rPr>
              <w:t>4</w:t>
            </w:r>
          </w:p>
        </w:tc>
        <w:tc>
          <w:tcPr>
            <w:tcW w:w="2127" w:type="dxa"/>
          </w:tcPr>
          <w:p w:rsidR="00ED041B" w:rsidRPr="00D55DC6" w:rsidRDefault="00ED041B" w:rsidP="00ED041B">
            <w:pPr>
              <w:widowControl/>
              <w:spacing w:line="400" w:lineRule="exact"/>
              <w:jc w:val="both"/>
              <w:rPr>
                <w:rFonts w:eastAsia="標楷體"/>
                <w:kern w:val="0"/>
                <w:sz w:val="28"/>
                <w:szCs w:val="28"/>
              </w:rPr>
            </w:pPr>
            <w:r w:rsidRPr="00D55DC6">
              <w:rPr>
                <w:rFonts w:eastAsia="標楷體"/>
                <w:kern w:val="0"/>
                <w:sz w:val="28"/>
                <w:szCs w:val="28"/>
              </w:rPr>
              <w:t>性別友善設施完成數</w:t>
            </w:r>
            <w:r w:rsidRPr="00D55DC6">
              <w:rPr>
                <w:rFonts w:eastAsia="標楷體"/>
                <w:kern w:val="0"/>
                <w:sz w:val="28"/>
                <w:szCs w:val="28"/>
              </w:rPr>
              <w:t>(</w:t>
            </w:r>
            <w:r w:rsidRPr="00D55DC6">
              <w:rPr>
                <w:rFonts w:eastAsia="標楷體"/>
                <w:kern w:val="0"/>
                <w:sz w:val="28"/>
                <w:szCs w:val="28"/>
              </w:rPr>
              <w:t>處</w:t>
            </w:r>
            <w:r w:rsidRPr="00D55DC6">
              <w:rPr>
                <w:rFonts w:eastAsia="標楷體"/>
                <w:kern w:val="0"/>
                <w:sz w:val="28"/>
                <w:szCs w:val="28"/>
              </w:rPr>
              <w:t>)</w:t>
            </w:r>
          </w:p>
        </w:tc>
        <w:tc>
          <w:tcPr>
            <w:tcW w:w="865" w:type="dxa"/>
            <w:vAlign w:val="center"/>
          </w:tcPr>
          <w:p w:rsidR="00ED041B" w:rsidRPr="00D55DC6" w:rsidRDefault="00E852D0" w:rsidP="00E852D0">
            <w:pPr>
              <w:widowControl/>
              <w:spacing w:line="400" w:lineRule="exact"/>
              <w:jc w:val="center"/>
              <w:rPr>
                <w:rFonts w:eastAsia="標楷體"/>
                <w:kern w:val="0"/>
                <w:sz w:val="28"/>
                <w:szCs w:val="28"/>
              </w:rPr>
            </w:pPr>
            <w:r w:rsidRPr="00D55DC6">
              <w:rPr>
                <w:rFonts w:eastAsia="標楷體"/>
                <w:kern w:val="0"/>
                <w:sz w:val="28"/>
                <w:szCs w:val="28"/>
              </w:rPr>
              <w:t>1</w:t>
            </w:r>
          </w:p>
        </w:tc>
        <w:tc>
          <w:tcPr>
            <w:tcW w:w="868" w:type="dxa"/>
            <w:vAlign w:val="center"/>
          </w:tcPr>
          <w:p w:rsidR="00ED041B" w:rsidRPr="00D55DC6" w:rsidRDefault="00E852D0" w:rsidP="00E852D0">
            <w:pPr>
              <w:widowControl/>
              <w:spacing w:line="400" w:lineRule="exact"/>
              <w:jc w:val="center"/>
              <w:rPr>
                <w:rFonts w:eastAsia="標楷體"/>
                <w:kern w:val="0"/>
                <w:sz w:val="28"/>
                <w:szCs w:val="28"/>
              </w:rPr>
            </w:pPr>
            <w:r w:rsidRPr="00D55DC6">
              <w:rPr>
                <w:rFonts w:eastAsia="標楷體"/>
                <w:kern w:val="0"/>
                <w:sz w:val="28"/>
                <w:szCs w:val="28"/>
              </w:rPr>
              <w:t>1</w:t>
            </w:r>
          </w:p>
        </w:tc>
        <w:tc>
          <w:tcPr>
            <w:tcW w:w="865" w:type="dxa"/>
            <w:vAlign w:val="center"/>
          </w:tcPr>
          <w:p w:rsidR="00ED041B" w:rsidRPr="00D55DC6" w:rsidRDefault="00E852D0" w:rsidP="00E852D0">
            <w:pPr>
              <w:widowControl/>
              <w:spacing w:line="400" w:lineRule="exact"/>
              <w:jc w:val="center"/>
              <w:rPr>
                <w:rFonts w:eastAsia="標楷體"/>
                <w:kern w:val="0"/>
                <w:sz w:val="28"/>
                <w:szCs w:val="28"/>
              </w:rPr>
            </w:pPr>
            <w:r w:rsidRPr="00D55DC6">
              <w:rPr>
                <w:rFonts w:eastAsia="標楷體"/>
                <w:kern w:val="0"/>
                <w:sz w:val="28"/>
                <w:szCs w:val="28"/>
              </w:rPr>
              <w:t>1</w:t>
            </w:r>
          </w:p>
        </w:tc>
        <w:tc>
          <w:tcPr>
            <w:tcW w:w="865" w:type="dxa"/>
            <w:vAlign w:val="center"/>
          </w:tcPr>
          <w:p w:rsidR="00ED041B" w:rsidRPr="00D55DC6" w:rsidRDefault="00E852D0" w:rsidP="00E852D0">
            <w:pPr>
              <w:widowControl/>
              <w:spacing w:line="400" w:lineRule="exact"/>
              <w:jc w:val="center"/>
              <w:rPr>
                <w:rFonts w:eastAsia="標楷體"/>
                <w:kern w:val="0"/>
                <w:sz w:val="28"/>
                <w:szCs w:val="28"/>
              </w:rPr>
            </w:pPr>
            <w:r w:rsidRPr="00D55DC6">
              <w:rPr>
                <w:rFonts w:eastAsia="標楷體"/>
                <w:kern w:val="0"/>
                <w:sz w:val="28"/>
                <w:szCs w:val="28"/>
              </w:rPr>
              <w:t>1</w:t>
            </w:r>
          </w:p>
        </w:tc>
        <w:tc>
          <w:tcPr>
            <w:tcW w:w="865" w:type="dxa"/>
            <w:vAlign w:val="center"/>
          </w:tcPr>
          <w:p w:rsidR="00ED041B" w:rsidRPr="00D55DC6" w:rsidRDefault="00E852D0" w:rsidP="00E852D0">
            <w:pPr>
              <w:widowControl/>
              <w:spacing w:line="400" w:lineRule="exact"/>
              <w:jc w:val="center"/>
              <w:rPr>
                <w:rFonts w:eastAsia="標楷體"/>
                <w:kern w:val="0"/>
                <w:sz w:val="28"/>
                <w:szCs w:val="28"/>
              </w:rPr>
            </w:pPr>
            <w:r w:rsidRPr="00D55DC6">
              <w:rPr>
                <w:rFonts w:eastAsia="標楷體"/>
                <w:kern w:val="0"/>
                <w:sz w:val="28"/>
                <w:szCs w:val="28"/>
              </w:rPr>
              <w:t>2</w:t>
            </w:r>
          </w:p>
        </w:tc>
        <w:tc>
          <w:tcPr>
            <w:tcW w:w="866" w:type="dxa"/>
            <w:vAlign w:val="center"/>
          </w:tcPr>
          <w:p w:rsidR="00ED041B" w:rsidRPr="00D55DC6" w:rsidRDefault="00E852D0" w:rsidP="00E852D0">
            <w:pPr>
              <w:widowControl/>
              <w:spacing w:line="400" w:lineRule="exact"/>
              <w:jc w:val="center"/>
              <w:rPr>
                <w:rFonts w:eastAsia="標楷體"/>
                <w:kern w:val="0"/>
                <w:sz w:val="28"/>
                <w:szCs w:val="28"/>
              </w:rPr>
            </w:pPr>
            <w:r w:rsidRPr="00D55DC6">
              <w:rPr>
                <w:rFonts w:eastAsia="標楷體"/>
                <w:kern w:val="0"/>
                <w:sz w:val="28"/>
                <w:szCs w:val="28"/>
              </w:rPr>
              <w:t>1</w:t>
            </w:r>
          </w:p>
        </w:tc>
      </w:tr>
      <w:tr w:rsidR="002F5D4E" w:rsidRPr="00D55DC6" w:rsidTr="00526698">
        <w:trPr>
          <w:trHeight w:val="675"/>
        </w:trPr>
        <w:tc>
          <w:tcPr>
            <w:tcW w:w="425" w:type="dxa"/>
            <w:tcBorders>
              <w:top w:val="single" w:sz="4" w:space="0" w:color="auto"/>
              <w:left w:val="single" w:sz="4" w:space="0" w:color="auto"/>
              <w:bottom w:val="single" w:sz="4" w:space="0" w:color="auto"/>
              <w:right w:val="single" w:sz="4" w:space="0" w:color="auto"/>
            </w:tcBorders>
          </w:tcPr>
          <w:p w:rsidR="002F5D4E" w:rsidRPr="00D55DC6" w:rsidRDefault="002F5D4E" w:rsidP="00526698">
            <w:pPr>
              <w:widowControl/>
              <w:spacing w:line="400" w:lineRule="exact"/>
              <w:jc w:val="center"/>
              <w:rPr>
                <w:rFonts w:eastAsia="標楷體"/>
                <w:kern w:val="0"/>
                <w:sz w:val="28"/>
                <w:szCs w:val="28"/>
              </w:rPr>
            </w:pPr>
            <w:r w:rsidRPr="00D55DC6">
              <w:rPr>
                <w:rFonts w:eastAsia="標楷體"/>
                <w:kern w:val="0"/>
                <w:sz w:val="28"/>
                <w:szCs w:val="28"/>
              </w:rPr>
              <w:lastRenderedPageBreak/>
              <w:t>5</w:t>
            </w:r>
          </w:p>
        </w:tc>
        <w:tc>
          <w:tcPr>
            <w:tcW w:w="2127" w:type="dxa"/>
            <w:tcBorders>
              <w:top w:val="single" w:sz="4" w:space="0" w:color="auto"/>
              <w:left w:val="single" w:sz="4" w:space="0" w:color="auto"/>
              <w:bottom w:val="single" w:sz="4" w:space="0" w:color="auto"/>
              <w:right w:val="single" w:sz="4" w:space="0" w:color="auto"/>
            </w:tcBorders>
          </w:tcPr>
          <w:p w:rsidR="002F5D4E" w:rsidRPr="00D55DC6" w:rsidRDefault="005C51C2" w:rsidP="00526698">
            <w:pPr>
              <w:widowControl/>
              <w:spacing w:line="400" w:lineRule="exact"/>
              <w:jc w:val="both"/>
              <w:rPr>
                <w:rFonts w:eastAsia="標楷體"/>
                <w:kern w:val="0"/>
                <w:sz w:val="28"/>
                <w:szCs w:val="28"/>
              </w:rPr>
            </w:pPr>
            <w:r w:rsidRPr="00D55DC6">
              <w:rPr>
                <w:rFonts w:eastAsia="標楷體"/>
                <w:kern w:val="0"/>
                <w:sz w:val="28"/>
                <w:szCs w:val="28"/>
              </w:rPr>
              <w:t>轄區經管設施公共意外責任險確</w:t>
            </w:r>
            <w:r w:rsidRPr="00D55DC6">
              <w:rPr>
                <w:rFonts w:eastAsia="標楷體" w:hint="eastAsia"/>
                <w:kern w:val="0"/>
                <w:sz w:val="28"/>
                <w:szCs w:val="28"/>
              </w:rPr>
              <w:t>定</w:t>
            </w:r>
            <w:r w:rsidR="002F5D4E" w:rsidRPr="00D55DC6">
              <w:rPr>
                <w:rFonts w:eastAsia="標楷體"/>
                <w:kern w:val="0"/>
                <w:sz w:val="28"/>
                <w:szCs w:val="28"/>
              </w:rPr>
              <w:t>理賠件數上限</w:t>
            </w:r>
            <w:r w:rsidR="002F5D4E" w:rsidRPr="00D55DC6">
              <w:rPr>
                <w:rFonts w:eastAsia="標楷體"/>
                <w:kern w:val="0"/>
                <w:sz w:val="28"/>
                <w:szCs w:val="28"/>
              </w:rPr>
              <w:t>(</w:t>
            </w:r>
            <w:r w:rsidR="002F5D4E" w:rsidRPr="00D55DC6">
              <w:rPr>
                <w:rFonts w:eastAsia="標楷體"/>
                <w:kern w:val="0"/>
                <w:sz w:val="28"/>
                <w:szCs w:val="28"/>
              </w:rPr>
              <w:t>件</w:t>
            </w:r>
            <w:r w:rsidR="002F5D4E" w:rsidRPr="00D55DC6">
              <w:rPr>
                <w:rFonts w:eastAsia="標楷體"/>
                <w:kern w:val="0"/>
                <w:sz w:val="28"/>
                <w:szCs w:val="28"/>
              </w:rPr>
              <w:t>)</w:t>
            </w:r>
          </w:p>
        </w:tc>
        <w:tc>
          <w:tcPr>
            <w:tcW w:w="865" w:type="dxa"/>
            <w:tcBorders>
              <w:top w:val="single" w:sz="4" w:space="0" w:color="auto"/>
              <w:left w:val="single" w:sz="4" w:space="0" w:color="auto"/>
              <w:bottom w:val="single" w:sz="4" w:space="0" w:color="auto"/>
              <w:right w:val="single" w:sz="4" w:space="0" w:color="auto"/>
            </w:tcBorders>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w:t>
            </w:r>
          </w:p>
        </w:tc>
        <w:tc>
          <w:tcPr>
            <w:tcW w:w="868" w:type="dxa"/>
            <w:tcBorders>
              <w:top w:val="single" w:sz="4" w:space="0" w:color="auto"/>
              <w:left w:val="single" w:sz="4" w:space="0" w:color="auto"/>
              <w:bottom w:val="single" w:sz="4" w:space="0" w:color="auto"/>
              <w:right w:val="single" w:sz="4" w:space="0" w:color="auto"/>
            </w:tcBorders>
            <w:vAlign w:val="center"/>
          </w:tcPr>
          <w:p w:rsidR="002F5D4E" w:rsidRPr="00D55DC6" w:rsidRDefault="002F5D4E">
            <w:pPr>
              <w:jc w:val="center"/>
              <w:rPr>
                <w:rFonts w:ascii="新細明體" w:hAnsi="新細明體" w:cs="新細明體"/>
                <w:sz w:val="28"/>
                <w:szCs w:val="28"/>
              </w:rPr>
            </w:pPr>
            <w:r w:rsidRPr="00D55DC6">
              <w:rPr>
                <w:rFonts w:ascii="新細明體" w:hAnsi="新細明體" w:cs="新細明體" w:hint="eastAsia"/>
                <w:sz w:val="28"/>
                <w:szCs w:val="28"/>
              </w:rPr>
              <w:t>-</w:t>
            </w:r>
          </w:p>
        </w:tc>
        <w:tc>
          <w:tcPr>
            <w:tcW w:w="865" w:type="dxa"/>
            <w:tcBorders>
              <w:top w:val="single" w:sz="4" w:space="0" w:color="auto"/>
              <w:left w:val="single" w:sz="4" w:space="0" w:color="auto"/>
              <w:bottom w:val="single" w:sz="4" w:space="0" w:color="auto"/>
              <w:right w:val="single" w:sz="4" w:space="0" w:color="auto"/>
            </w:tcBorders>
            <w:vAlign w:val="center"/>
          </w:tcPr>
          <w:p w:rsidR="002F5D4E" w:rsidRPr="00D55DC6" w:rsidRDefault="005C51C2">
            <w:pPr>
              <w:jc w:val="center"/>
              <w:rPr>
                <w:rFonts w:ascii="新細明體" w:hAnsi="新細明體" w:cs="新細明體"/>
                <w:sz w:val="28"/>
                <w:szCs w:val="28"/>
              </w:rPr>
            </w:pPr>
            <w:r w:rsidRPr="00D55DC6">
              <w:rPr>
                <w:rFonts w:hint="eastAsia"/>
                <w:sz w:val="28"/>
                <w:szCs w:val="28"/>
              </w:rPr>
              <w:t>8</w:t>
            </w:r>
          </w:p>
        </w:tc>
        <w:tc>
          <w:tcPr>
            <w:tcW w:w="865" w:type="dxa"/>
            <w:tcBorders>
              <w:top w:val="single" w:sz="4" w:space="0" w:color="auto"/>
              <w:left w:val="single" w:sz="4" w:space="0" w:color="auto"/>
              <w:bottom w:val="single" w:sz="4" w:space="0" w:color="auto"/>
              <w:right w:val="single" w:sz="4" w:space="0" w:color="auto"/>
            </w:tcBorders>
            <w:vAlign w:val="center"/>
          </w:tcPr>
          <w:p w:rsidR="002F5D4E" w:rsidRPr="00D55DC6" w:rsidRDefault="005C51C2">
            <w:pPr>
              <w:jc w:val="center"/>
              <w:rPr>
                <w:rFonts w:ascii="新細明體" w:hAnsi="新細明體" w:cs="新細明體"/>
                <w:sz w:val="28"/>
                <w:szCs w:val="28"/>
              </w:rPr>
            </w:pPr>
            <w:r w:rsidRPr="00D55DC6">
              <w:rPr>
                <w:rFonts w:ascii="新細明體" w:hAnsi="新細明體" w:cs="新細明體" w:hint="eastAsia"/>
                <w:sz w:val="28"/>
                <w:szCs w:val="28"/>
              </w:rPr>
              <w:t>7</w:t>
            </w:r>
          </w:p>
        </w:tc>
        <w:tc>
          <w:tcPr>
            <w:tcW w:w="865" w:type="dxa"/>
            <w:tcBorders>
              <w:top w:val="single" w:sz="4" w:space="0" w:color="auto"/>
              <w:left w:val="single" w:sz="4" w:space="0" w:color="auto"/>
              <w:bottom w:val="single" w:sz="4" w:space="0" w:color="auto"/>
              <w:right w:val="single" w:sz="4" w:space="0" w:color="auto"/>
            </w:tcBorders>
            <w:vAlign w:val="center"/>
          </w:tcPr>
          <w:p w:rsidR="002F5D4E" w:rsidRPr="00D55DC6" w:rsidRDefault="005C51C2">
            <w:pPr>
              <w:jc w:val="center"/>
              <w:rPr>
                <w:rFonts w:ascii="新細明體" w:hAnsi="新細明體" w:cs="新細明體"/>
                <w:sz w:val="28"/>
                <w:szCs w:val="28"/>
              </w:rPr>
            </w:pPr>
            <w:r w:rsidRPr="00D55DC6">
              <w:rPr>
                <w:rFonts w:ascii="新細明體" w:hAnsi="新細明體" w:cs="新細明體" w:hint="eastAsia"/>
                <w:sz w:val="28"/>
                <w:szCs w:val="28"/>
              </w:rPr>
              <w:t>6</w:t>
            </w:r>
          </w:p>
        </w:tc>
        <w:tc>
          <w:tcPr>
            <w:tcW w:w="866" w:type="dxa"/>
            <w:tcBorders>
              <w:top w:val="single" w:sz="4" w:space="0" w:color="auto"/>
              <w:left w:val="single" w:sz="4" w:space="0" w:color="auto"/>
              <w:bottom w:val="single" w:sz="4" w:space="0" w:color="auto"/>
              <w:right w:val="single" w:sz="4" w:space="0" w:color="auto"/>
            </w:tcBorders>
            <w:vAlign w:val="center"/>
          </w:tcPr>
          <w:p w:rsidR="002F5D4E" w:rsidRPr="00D55DC6" w:rsidRDefault="005C51C2">
            <w:pPr>
              <w:jc w:val="center"/>
              <w:rPr>
                <w:rFonts w:ascii="新細明體" w:hAnsi="新細明體" w:cs="新細明體"/>
                <w:sz w:val="28"/>
                <w:szCs w:val="28"/>
              </w:rPr>
            </w:pPr>
            <w:r w:rsidRPr="00D55DC6">
              <w:rPr>
                <w:rFonts w:ascii="新細明體" w:hAnsi="新細明體" w:cs="新細明體" w:hint="eastAsia"/>
                <w:sz w:val="28"/>
                <w:szCs w:val="28"/>
              </w:rPr>
              <w:t>5</w:t>
            </w:r>
          </w:p>
        </w:tc>
      </w:tr>
    </w:tbl>
    <w:p w:rsidR="00D4339C" w:rsidRPr="00D55DC6" w:rsidRDefault="00D4339C" w:rsidP="0038165F">
      <w:pPr>
        <w:snapToGrid w:val="0"/>
        <w:spacing w:line="460" w:lineRule="exact"/>
        <w:ind w:leftChars="296" w:left="1802" w:hangingChars="390" w:hanging="1092"/>
        <w:jc w:val="both"/>
        <w:rPr>
          <w:rFonts w:eastAsia="標楷體"/>
          <w:sz w:val="28"/>
          <w:szCs w:val="28"/>
        </w:rPr>
      </w:pPr>
    </w:p>
    <w:p w:rsidR="00122F6F" w:rsidRPr="00D55DC6" w:rsidRDefault="00122F6F" w:rsidP="0038165F">
      <w:pPr>
        <w:snapToGrid w:val="0"/>
        <w:spacing w:line="460" w:lineRule="exact"/>
        <w:ind w:leftChars="296" w:left="1802" w:hangingChars="390" w:hanging="1092"/>
        <w:jc w:val="both"/>
        <w:rPr>
          <w:rFonts w:eastAsia="標楷體"/>
          <w:sz w:val="28"/>
          <w:szCs w:val="28"/>
        </w:rPr>
      </w:pPr>
    </w:p>
    <w:p w:rsidR="004D7B00" w:rsidRPr="00D55DC6" w:rsidRDefault="004D7B00" w:rsidP="0038165F">
      <w:pPr>
        <w:snapToGrid w:val="0"/>
        <w:spacing w:line="460" w:lineRule="exact"/>
        <w:ind w:leftChars="296" w:left="1802" w:hangingChars="390" w:hanging="1092"/>
        <w:jc w:val="both"/>
        <w:rPr>
          <w:rFonts w:eastAsia="標楷體"/>
          <w:sz w:val="28"/>
          <w:szCs w:val="28"/>
        </w:rPr>
      </w:pPr>
    </w:p>
    <w:p w:rsidR="00D4339C" w:rsidRPr="00D55DC6" w:rsidRDefault="00D4339C" w:rsidP="0038165F">
      <w:pPr>
        <w:pStyle w:val="a"/>
        <w:ind w:left="709" w:hanging="709"/>
        <w:rPr>
          <w:b/>
        </w:rPr>
      </w:pPr>
      <w:bookmarkStart w:id="86" w:name="_Toc407181664"/>
      <w:r w:rsidRPr="00D55DC6">
        <w:rPr>
          <w:b/>
        </w:rPr>
        <w:t>現行相關政策及方案之檢討</w:t>
      </w:r>
      <w:bookmarkEnd w:id="86"/>
    </w:p>
    <w:p w:rsidR="00D4339C" w:rsidRPr="00D55DC6" w:rsidRDefault="00D4339C" w:rsidP="004865C1">
      <w:pPr>
        <w:pStyle w:val="af2"/>
        <w:numPr>
          <w:ilvl w:val="0"/>
          <w:numId w:val="66"/>
        </w:numPr>
        <w:snapToGrid w:val="0"/>
        <w:spacing w:line="460" w:lineRule="exact"/>
        <w:ind w:leftChars="0"/>
        <w:jc w:val="both"/>
        <w:rPr>
          <w:rFonts w:eastAsia="標楷體"/>
          <w:sz w:val="28"/>
          <w:szCs w:val="28"/>
        </w:rPr>
      </w:pPr>
      <w:r w:rsidRPr="00D55DC6">
        <w:rPr>
          <w:rFonts w:eastAsia="標楷體"/>
          <w:b/>
          <w:sz w:val="28"/>
          <w:szCs w:val="28"/>
        </w:rPr>
        <w:t>重要觀光景點建設中程計畫</w:t>
      </w:r>
      <w:r w:rsidRPr="00D55DC6">
        <w:rPr>
          <w:rFonts w:eastAsia="標楷體"/>
          <w:b/>
          <w:sz w:val="28"/>
          <w:szCs w:val="28"/>
        </w:rPr>
        <w:t>(101-104</w:t>
      </w:r>
      <w:r w:rsidRPr="00D55DC6">
        <w:rPr>
          <w:rFonts w:eastAsia="標楷體"/>
          <w:b/>
          <w:sz w:val="28"/>
          <w:szCs w:val="28"/>
        </w:rPr>
        <w:t>年</w:t>
      </w:r>
      <w:r w:rsidRPr="00D55DC6">
        <w:rPr>
          <w:rFonts w:eastAsia="標楷體"/>
          <w:sz w:val="28"/>
          <w:szCs w:val="28"/>
        </w:rPr>
        <w:t>)(</w:t>
      </w:r>
      <w:r w:rsidRPr="00D55DC6">
        <w:rPr>
          <w:rFonts w:eastAsia="標楷體"/>
          <w:sz w:val="28"/>
          <w:szCs w:val="28"/>
        </w:rPr>
        <w:t>截至</w:t>
      </w:r>
      <w:r w:rsidRPr="00D55DC6">
        <w:rPr>
          <w:rFonts w:eastAsia="標楷體"/>
          <w:sz w:val="28"/>
          <w:szCs w:val="28"/>
        </w:rPr>
        <w:t>103</w:t>
      </w:r>
      <w:r w:rsidRPr="00D55DC6">
        <w:rPr>
          <w:rFonts w:eastAsia="標楷體"/>
          <w:sz w:val="28"/>
          <w:szCs w:val="28"/>
        </w:rPr>
        <w:t>年</w:t>
      </w:r>
      <w:r w:rsidRPr="00D55DC6">
        <w:rPr>
          <w:rFonts w:eastAsia="標楷體"/>
          <w:sz w:val="28"/>
          <w:szCs w:val="28"/>
        </w:rPr>
        <w:t>1</w:t>
      </w:r>
      <w:r w:rsidR="00526698" w:rsidRPr="00D55DC6">
        <w:rPr>
          <w:rFonts w:eastAsia="標楷體"/>
          <w:sz w:val="28"/>
          <w:szCs w:val="28"/>
        </w:rPr>
        <w:t>2</w:t>
      </w:r>
      <w:r w:rsidRPr="00D55DC6">
        <w:rPr>
          <w:rFonts w:eastAsia="標楷體"/>
          <w:sz w:val="28"/>
          <w:szCs w:val="28"/>
        </w:rPr>
        <w:t>月底成果</w:t>
      </w:r>
      <w:r w:rsidRPr="00D55DC6">
        <w:rPr>
          <w:rFonts w:eastAsia="標楷體"/>
          <w:sz w:val="28"/>
          <w:szCs w:val="28"/>
        </w:rPr>
        <w:t>)</w:t>
      </w:r>
    </w:p>
    <w:p w:rsidR="00D4339C" w:rsidRPr="00D55DC6" w:rsidRDefault="00D4339C" w:rsidP="004865C1">
      <w:pPr>
        <w:pStyle w:val="af2"/>
        <w:numPr>
          <w:ilvl w:val="0"/>
          <w:numId w:val="67"/>
        </w:numPr>
        <w:snapToGrid w:val="0"/>
        <w:spacing w:line="460" w:lineRule="exact"/>
        <w:ind w:leftChars="0"/>
        <w:jc w:val="both"/>
        <w:rPr>
          <w:rFonts w:eastAsia="標楷體"/>
          <w:b/>
          <w:sz w:val="28"/>
          <w:szCs w:val="28"/>
        </w:rPr>
      </w:pPr>
      <w:r w:rsidRPr="00D55DC6">
        <w:rPr>
          <w:rFonts w:eastAsia="標楷體"/>
          <w:b/>
          <w:sz w:val="28"/>
          <w:szCs w:val="28"/>
        </w:rPr>
        <w:t>預算執行情形</w:t>
      </w:r>
      <w:r w:rsidR="000A1530" w:rsidRPr="00D55DC6">
        <w:rPr>
          <w:rFonts w:eastAsia="標楷體"/>
          <w:b/>
          <w:sz w:val="28"/>
          <w:szCs w:val="28"/>
        </w:rPr>
        <w:t xml:space="preserve">  ( </w:t>
      </w:r>
      <w:r w:rsidR="000A1530" w:rsidRPr="00D55DC6">
        <w:rPr>
          <w:rFonts w:eastAsia="標楷體"/>
          <w:b/>
          <w:sz w:val="28"/>
          <w:szCs w:val="28"/>
        </w:rPr>
        <w:t>單位：億元</w:t>
      </w:r>
      <w:r w:rsidR="000A1530" w:rsidRPr="00D55DC6">
        <w:rPr>
          <w:rFonts w:eastAsia="標楷體"/>
          <w:b/>
          <w:sz w:val="28"/>
          <w:szCs w:val="28"/>
        </w:rPr>
        <w:t>)</w:t>
      </w:r>
    </w:p>
    <w:tbl>
      <w:tblPr>
        <w:tblStyle w:val="a6"/>
        <w:tblW w:w="0" w:type="auto"/>
        <w:tblInd w:w="817" w:type="dxa"/>
        <w:tblLook w:val="04A0" w:firstRow="1" w:lastRow="0" w:firstColumn="1" w:lastColumn="0" w:noHBand="0" w:noVBand="1"/>
      </w:tblPr>
      <w:tblGrid>
        <w:gridCol w:w="456"/>
        <w:gridCol w:w="3513"/>
        <w:gridCol w:w="1701"/>
        <w:gridCol w:w="1701"/>
        <w:gridCol w:w="1082"/>
      </w:tblGrid>
      <w:tr w:rsidR="001D0350" w:rsidRPr="00D55DC6" w:rsidTr="00144178">
        <w:trPr>
          <w:tblHeader/>
        </w:trPr>
        <w:tc>
          <w:tcPr>
            <w:tcW w:w="456" w:type="dxa"/>
          </w:tcPr>
          <w:p w:rsidR="00D4339C" w:rsidRPr="00D55DC6" w:rsidRDefault="00D4339C" w:rsidP="0038165F">
            <w:pPr>
              <w:snapToGrid w:val="0"/>
              <w:jc w:val="both"/>
              <w:rPr>
                <w:rFonts w:eastAsia="標楷體"/>
                <w:szCs w:val="28"/>
              </w:rPr>
            </w:pPr>
          </w:p>
        </w:tc>
        <w:tc>
          <w:tcPr>
            <w:tcW w:w="3513" w:type="dxa"/>
            <w:vAlign w:val="center"/>
          </w:tcPr>
          <w:p w:rsidR="00D4339C" w:rsidRPr="00D55DC6" w:rsidRDefault="00D4339C" w:rsidP="0038165F">
            <w:pPr>
              <w:snapToGrid w:val="0"/>
              <w:jc w:val="center"/>
              <w:rPr>
                <w:rFonts w:eastAsia="標楷體"/>
                <w:szCs w:val="28"/>
              </w:rPr>
            </w:pPr>
            <w:r w:rsidRPr="00D55DC6">
              <w:rPr>
                <w:rFonts w:eastAsia="標楷體"/>
                <w:szCs w:val="28"/>
              </w:rPr>
              <w:t>計畫名稱</w:t>
            </w:r>
          </w:p>
        </w:tc>
        <w:tc>
          <w:tcPr>
            <w:tcW w:w="1701" w:type="dxa"/>
          </w:tcPr>
          <w:p w:rsidR="00D4339C" w:rsidRPr="00D55DC6" w:rsidRDefault="00D4339C" w:rsidP="0038165F">
            <w:pPr>
              <w:snapToGrid w:val="0"/>
              <w:jc w:val="center"/>
              <w:rPr>
                <w:rFonts w:eastAsia="標楷體"/>
                <w:szCs w:val="28"/>
              </w:rPr>
            </w:pPr>
            <w:r w:rsidRPr="00D55DC6">
              <w:rPr>
                <w:rFonts w:eastAsia="標楷體"/>
                <w:szCs w:val="28"/>
              </w:rPr>
              <w:t>總累計編列數</w:t>
            </w:r>
            <w:r w:rsidRPr="00D55DC6">
              <w:rPr>
                <w:rFonts w:eastAsia="標楷體"/>
                <w:szCs w:val="28"/>
              </w:rPr>
              <w:t>(A)</w:t>
            </w:r>
          </w:p>
        </w:tc>
        <w:tc>
          <w:tcPr>
            <w:tcW w:w="1701" w:type="dxa"/>
          </w:tcPr>
          <w:p w:rsidR="00D4339C" w:rsidRPr="00D55DC6" w:rsidRDefault="00D4339C" w:rsidP="0038165F">
            <w:pPr>
              <w:snapToGrid w:val="0"/>
              <w:jc w:val="center"/>
              <w:rPr>
                <w:rFonts w:eastAsia="標楷體"/>
                <w:szCs w:val="28"/>
              </w:rPr>
            </w:pPr>
            <w:r w:rsidRPr="00D55DC6">
              <w:rPr>
                <w:rFonts w:eastAsia="標楷體"/>
                <w:szCs w:val="28"/>
              </w:rPr>
              <w:t>總累計實支數</w:t>
            </w:r>
            <w:r w:rsidRPr="00D55DC6">
              <w:rPr>
                <w:rFonts w:eastAsia="標楷體"/>
                <w:szCs w:val="28"/>
              </w:rPr>
              <w:t>(B)</w:t>
            </w:r>
          </w:p>
        </w:tc>
        <w:tc>
          <w:tcPr>
            <w:tcW w:w="1082" w:type="dxa"/>
          </w:tcPr>
          <w:p w:rsidR="00D4339C" w:rsidRPr="00D55DC6" w:rsidRDefault="00D4339C" w:rsidP="0038165F">
            <w:pPr>
              <w:snapToGrid w:val="0"/>
              <w:jc w:val="center"/>
              <w:rPr>
                <w:rFonts w:eastAsia="標楷體"/>
                <w:szCs w:val="28"/>
              </w:rPr>
            </w:pPr>
            <w:r w:rsidRPr="00D55DC6">
              <w:rPr>
                <w:rFonts w:eastAsia="標楷體"/>
                <w:szCs w:val="28"/>
              </w:rPr>
              <w:t>支用比</w:t>
            </w:r>
          </w:p>
          <w:p w:rsidR="00D4339C" w:rsidRPr="00D55DC6" w:rsidRDefault="00D4339C" w:rsidP="0038165F">
            <w:pPr>
              <w:snapToGrid w:val="0"/>
              <w:jc w:val="center"/>
              <w:rPr>
                <w:rFonts w:eastAsia="標楷體"/>
                <w:szCs w:val="28"/>
              </w:rPr>
            </w:pPr>
            <w:r w:rsidRPr="00D55DC6">
              <w:rPr>
                <w:rFonts w:eastAsia="標楷體"/>
                <w:szCs w:val="28"/>
              </w:rPr>
              <w:t>(B/A%)</w:t>
            </w:r>
          </w:p>
        </w:tc>
      </w:tr>
      <w:tr w:rsidR="001D0350" w:rsidRPr="00D55DC6" w:rsidTr="00144178">
        <w:tc>
          <w:tcPr>
            <w:tcW w:w="456" w:type="dxa"/>
          </w:tcPr>
          <w:p w:rsidR="00526698" w:rsidRPr="00D55DC6" w:rsidRDefault="00526698" w:rsidP="0038165F">
            <w:pPr>
              <w:snapToGrid w:val="0"/>
              <w:jc w:val="both"/>
              <w:rPr>
                <w:rFonts w:eastAsia="標楷體"/>
                <w:szCs w:val="28"/>
              </w:rPr>
            </w:pPr>
            <w:r w:rsidRPr="00D55DC6">
              <w:rPr>
                <w:rFonts w:eastAsia="標楷體"/>
                <w:szCs w:val="28"/>
              </w:rPr>
              <w:t>1</w:t>
            </w:r>
          </w:p>
        </w:tc>
        <w:tc>
          <w:tcPr>
            <w:tcW w:w="3513" w:type="dxa"/>
            <w:vAlign w:val="center"/>
          </w:tcPr>
          <w:p w:rsidR="00526698" w:rsidRPr="00D55DC6" w:rsidRDefault="00526698" w:rsidP="0038165F">
            <w:pPr>
              <w:widowControl/>
              <w:rPr>
                <w:rFonts w:eastAsia="標楷體"/>
                <w:kern w:val="0"/>
                <w:lang w:bidi="sa-IN"/>
              </w:rPr>
            </w:pPr>
            <w:r w:rsidRPr="00D55DC6">
              <w:rPr>
                <w:rFonts w:eastAsia="標楷體"/>
                <w:kern w:val="0"/>
                <w:lang w:bidi="sa-IN"/>
              </w:rPr>
              <w:t>日月潭國家風景區建設計畫</w:t>
            </w:r>
          </w:p>
        </w:tc>
        <w:tc>
          <w:tcPr>
            <w:tcW w:w="1701" w:type="dxa"/>
          </w:tcPr>
          <w:p w:rsidR="00526698" w:rsidRPr="00D55DC6" w:rsidRDefault="00526698">
            <w:pPr>
              <w:jc w:val="center"/>
            </w:pPr>
            <w:r w:rsidRPr="00D55DC6">
              <w:t xml:space="preserve">8.21391 </w:t>
            </w:r>
          </w:p>
        </w:tc>
        <w:tc>
          <w:tcPr>
            <w:tcW w:w="1701" w:type="dxa"/>
          </w:tcPr>
          <w:p w:rsidR="00526698" w:rsidRPr="00D55DC6" w:rsidRDefault="00526698">
            <w:pPr>
              <w:jc w:val="center"/>
            </w:pPr>
            <w:r w:rsidRPr="00D55DC6">
              <w:t xml:space="preserve">8.11765 </w:t>
            </w:r>
          </w:p>
        </w:tc>
        <w:tc>
          <w:tcPr>
            <w:tcW w:w="1082" w:type="dxa"/>
          </w:tcPr>
          <w:p w:rsidR="00526698" w:rsidRPr="00D55DC6" w:rsidRDefault="00526698">
            <w:pPr>
              <w:jc w:val="center"/>
            </w:pPr>
            <w:r w:rsidRPr="00D55DC6">
              <w:t>98.83%</w:t>
            </w:r>
          </w:p>
        </w:tc>
      </w:tr>
    </w:tbl>
    <w:p w:rsidR="00D4339C" w:rsidRPr="00D55DC6" w:rsidRDefault="00D4339C" w:rsidP="0038165F">
      <w:pPr>
        <w:snapToGrid w:val="0"/>
        <w:ind w:leftChars="295" w:left="1315" w:hangingChars="253" w:hanging="607"/>
        <w:jc w:val="both"/>
        <w:rPr>
          <w:rFonts w:eastAsia="標楷體"/>
          <w:szCs w:val="28"/>
        </w:rPr>
      </w:pPr>
      <w:r w:rsidRPr="00D55DC6">
        <w:rPr>
          <w:rFonts w:eastAsia="標楷體"/>
          <w:szCs w:val="28"/>
        </w:rPr>
        <w:t>註</w:t>
      </w:r>
      <w:r w:rsidRPr="00D55DC6">
        <w:rPr>
          <w:rFonts w:eastAsia="標楷體"/>
          <w:szCs w:val="28"/>
        </w:rPr>
        <w:t xml:space="preserve"> 1.</w:t>
      </w:r>
      <w:r w:rsidRPr="00D55DC6">
        <w:rPr>
          <w:rFonts w:eastAsia="標楷體"/>
          <w:szCs w:val="28"/>
        </w:rPr>
        <w:t>「總累計編列數</w:t>
      </w:r>
      <w:r w:rsidRPr="00D55DC6">
        <w:rPr>
          <w:rFonts w:eastAsia="標楷體"/>
          <w:szCs w:val="28"/>
        </w:rPr>
        <w:t>(A)</w:t>
      </w:r>
      <w:r w:rsidRPr="00D55DC6">
        <w:rPr>
          <w:rFonts w:eastAsia="標楷體"/>
          <w:szCs w:val="28"/>
        </w:rPr>
        <w:t>」為</w:t>
      </w:r>
      <w:r w:rsidRPr="00D55DC6">
        <w:rPr>
          <w:rFonts w:eastAsia="標楷體"/>
          <w:szCs w:val="28"/>
        </w:rPr>
        <w:t>101</w:t>
      </w:r>
      <w:r w:rsidRPr="00D55DC6">
        <w:rPr>
          <w:rFonts w:eastAsia="標楷體"/>
          <w:szCs w:val="28"/>
        </w:rPr>
        <w:t>年</w:t>
      </w:r>
      <w:r w:rsidRPr="00D55DC6">
        <w:rPr>
          <w:rFonts w:eastAsia="標楷體"/>
          <w:szCs w:val="28"/>
        </w:rPr>
        <w:t>1</w:t>
      </w:r>
      <w:r w:rsidRPr="00D55DC6">
        <w:rPr>
          <w:rFonts w:eastAsia="標楷體"/>
          <w:szCs w:val="28"/>
        </w:rPr>
        <w:t>月至</w:t>
      </w:r>
      <w:r w:rsidRPr="00D55DC6">
        <w:rPr>
          <w:rFonts w:eastAsia="標楷體"/>
          <w:szCs w:val="28"/>
        </w:rPr>
        <w:t>103</w:t>
      </w:r>
      <w:r w:rsidRPr="00D55DC6">
        <w:rPr>
          <w:rFonts w:eastAsia="標楷體"/>
          <w:szCs w:val="28"/>
        </w:rPr>
        <w:t>年</w:t>
      </w:r>
      <w:r w:rsidRPr="00D55DC6">
        <w:rPr>
          <w:rFonts w:eastAsia="標楷體"/>
          <w:szCs w:val="28"/>
        </w:rPr>
        <w:t>1</w:t>
      </w:r>
      <w:r w:rsidR="00526698" w:rsidRPr="00D55DC6">
        <w:rPr>
          <w:rFonts w:eastAsia="標楷體"/>
          <w:szCs w:val="28"/>
        </w:rPr>
        <w:t>2</w:t>
      </w:r>
      <w:r w:rsidRPr="00D55DC6">
        <w:rPr>
          <w:rFonts w:eastAsia="標楷體"/>
          <w:szCs w:val="28"/>
        </w:rPr>
        <w:t>月累計實際可支用數。</w:t>
      </w:r>
    </w:p>
    <w:p w:rsidR="00D4339C" w:rsidRPr="00D55DC6" w:rsidRDefault="00D4339C" w:rsidP="0038165F">
      <w:pPr>
        <w:snapToGrid w:val="0"/>
        <w:jc w:val="both"/>
        <w:rPr>
          <w:rFonts w:eastAsia="標楷體"/>
          <w:szCs w:val="28"/>
        </w:rPr>
      </w:pPr>
      <w:r w:rsidRPr="00D55DC6">
        <w:rPr>
          <w:rFonts w:eastAsia="標楷體"/>
          <w:szCs w:val="28"/>
        </w:rPr>
        <w:t xml:space="preserve">         2.</w:t>
      </w:r>
      <w:r w:rsidRPr="00D55DC6">
        <w:rPr>
          <w:rFonts w:eastAsia="標楷體"/>
          <w:szCs w:val="28"/>
        </w:rPr>
        <w:t>「總累計實支數</w:t>
      </w:r>
      <w:r w:rsidRPr="00D55DC6">
        <w:rPr>
          <w:rFonts w:eastAsia="標楷體"/>
          <w:szCs w:val="28"/>
        </w:rPr>
        <w:t>(B)</w:t>
      </w:r>
      <w:r w:rsidRPr="00D55DC6">
        <w:rPr>
          <w:rFonts w:eastAsia="標楷體"/>
          <w:szCs w:val="28"/>
        </w:rPr>
        <w:t>」為</w:t>
      </w:r>
      <w:r w:rsidRPr="00D55DC6">
        <w:rPr>
          <w:rFonts w:eastAsia="標楷體"/>
          <w:szCs w:val="28"/>
        </w:rPr>
        <w:t>101</w:t>
      </w:r>
      <w:r w:rsidRPr="00D55DC6">
        <w:rPr>
          <w:rFonts w:eastAsia="標楷體"/>
          <w:szCs w:val="28"/>
        </w:rPr>
        <w:t>年</w:t>
      </w:r>
      <w:r w:rsidRPr="00D55DC6">
        <w:rPr>
          <w:rFonts w:eastAsia="標楷體"/>
          <w:szCs w:val="28"/>
        </w:rPr>
        <w:t>1</w:t>
      </w:r>
      <w:r w:rsidRPr="00D55DC6">
        <w:rPr>
          <w:rFonts w:eastAsia="標楷體"/>
          <w:szCs w:val="28"/>
        </w:rPr>
        <w:t>月至</w:t>
      </w:r>
      <w:r w:rsidRPr="00D55DC6">
        <w:rPr>
          <w:rFonts w:eastAsia="標楷體"/>
          <w:szCs w:val="28"/>
        </w:rPr>
        <w:t>103</w:t>
      </w:r>
      <w:r w:rsidRPr="00D55DC6">
        <w:rPr>
          <w:rFonts w:eastAsia="標楷體"/>
          <w:szCs w:val="28"/>
        </w:rPr>
        <w:t>年</w:t>
      </w:r>
      <w:r w:rsidR="00526698" w:rsidRPr="00D55DC6">
        <w:rPr>
          <w:rFonts w:eastAsia="標楷體"/>
          <w:szCs w:val="28"/>
        </w:rPr>
        <w:t>12</w:t>
      </w:r>
      <w:r w:rsidRPr="00D55DC6">
        <w:rPr>
          <w:rFonts w:eastAsia="標楷體"/>
          <w:szCs w:val="28"/>
        </w:rPr>
        <w:t>月累計實支數。</w:t>
      </w:r>
    </w:p>
    <w:p w:rsidR="00D4339C" w:rsidRPr="00D55DC6" w:rsidRDefault="00D4339C" w:rsidP="0038165F">
      <w:pPr>
        <w:snapToGrid w:val="0"/>
        <w:jc w:val="both"/>
        <w:rPr>
          <w:rFonts w:eastAsia="標楷體"/>
          <w:szCs w:val="28"/>
        </w:rPr>
      </w:pPr>
    </w:p>
    <w:p w:rsidR="00D4339C" w:rsidRPr="00D55DC6" w:rsidRDefault="00D4339C" w:rsidP="004865C1">
      <w:pPr>
        <w:pStyle w:val="af2"/>
        <w:numPr>
          <w:ilvl w:val="0"/>
          <w:numId w:val="67"/>
        </w:numPr>
        <w:snapToGrid w:val="0"/>
        <w:spacing w:line="460" w:lineRule="exact"/>
        <w:ind w:leftChars="0"/>
        <w:jc w:val="both"/>
        <w:rPr>
          <w:rFonts w:eastAsia="標楷體"/>
          <w:b/>
          <w:sz w:val="28"/>
          <w:szCs w:val="28"/>
        </w:rPr>
      </w:pPr>
      <w:r w:rsidRPr="00D55DC6">
        <w:rPr>
          <w:rFonts w:eastAsia="標楷體"/>
          <w:b/>
          <w:sz w:val="28"/>
          <w:szCs w:val="28"/>
        </w:rPr>
        <w:t>重要執行成果</w:t>
      </w:r>
    </w:p>
    <w:p w:rsidR="00D4339C" w:rsidRPr="00D55DC6" w:rsidRDefault="00D4339C" w:rsidP="0038165F">
      <w:pPr>
        <w:snapToGrid w:val="0"/>
        <w:spacing w:line="460" w:lineRule="exact"/>
        <w:ind w:leftChars="295" w:left="708"/>
        <w:jc w:val="both"/>
        <w:rPr>
          <w:rFonts w:eastAsia="標楷體"/>
          <w:b/>
          <w:sz w:val="28"/>
          <w:szCs w:val="28"/>
        </w:rPr>
      </w:pPr>
      <w:r w:rsidRPr="00D55DC6">
        <w:rPr>
          <w:rFonts w:eastAsia="標楷體"/>
          <w:b/>
          <w:sz w:val="28"/>
          <w:szCs w:val="28"/>
        </w:rPr>
        <w:t>2-1.</w:t>
      </w:r>
      <w:r w:rsidRPr="00D55DC6">
        <w:rPr>
          <w:rFonts w:eastAsia="標楷體"/>
          <w:b/>
          <w:sz w:val="28"/>
          <w:szCs w:val="28"/>
        </w:rPr>
        <w:t>國際觀光重要景點建設</w:t>
      </w:r>
    </w:p>
    <w:p w:rsidR="00D4339C" w:rsidRPr="00D55DC6" w:rsidRDefault="00D4339C" w:rsidP="0038165F">
      <w:pPr>
        <w:pStyle w:val="af2"/>
        <w:snapToGrid w:val="0"/>
        <w:spacing w:line="460" w:lineRule="exact"/>
        <w:ind w:leftChars="391" w:left="1700" w:hangingChars="272" w:hanging="762"/>
        <w:jc w:val="both"/>
        <w:rPr>
          <w:rFonts w:eastAsia="標楷體"/>
          <w:sz w:val="28"/>
          <w:szCs w:val="28"/>
        </w:rPr>
      </w:pPr>
      <w:r w:rsidRPr="00D55DC6">
        <w:rPr>
          <w:rFonts w:eastAsia="標楷體"/>
          <w:sz w:val="28"/>
          <w:szCs w:val="28"/>
        </w:rPr>
        <w:t>2-1-1.</w:t>
      </w:r>
      <w:r w:rsidRPr="00D55DC6">
        <w:rPr>
          <w:rFonts w:eastAsia="標楷體"/>
          <w:b/>
          <w:sz w:val="28"/>
          <w:szCs w:val="28"/>
        </w:rPr>
        <w:t>環潭遊憩系統</w:t>
      </w:r>
      <w:r w:rsidRPr="00D55DC6">
        <w:rPr>
          <w:rFonts w:eastAsia="標楷體"/>
          <w:sz w:val="28"/>
          <w:szCs w:val="28"/>
        </w:rPr>
        <w:t>：竹石園生態研習中心、水社、伊達邵、向山、環潭步道暨自行車道串聯、碼頭、邊坡、電動船充電設施、解說及指標系統、污水及下水道系統功能提昇等景點建設及環境改善。</w:t>
      </w:r>
    </w:p>
    <w:p w:rsidR="00D4339C" w:rsidRPr="00D55DC6" w:rsidRDefault="00D4339C" w:rsidP="0038165F">
      <w:pPr>
        <w:snapToGrid w:val="0"/>
        <w:spacing w:line="460" w:lineRule="exact"/>
        <w:ind w:leftChars="295" w:left="708"/>
        <w:jc w:val="both"/>
        <w:rPr>
          <w:rFonts w:eastAsia="標楷體"/>
          <w:b/>
          <w:sz w:val="28"/>
          <w:szCs w:val="28"/>
        </w:rPr>
      </w:pPr>
      <w:r w:rsidRPr="00D55DC6">
        <w:rPr>
          <w:rFonts w:eastAsia="標楷體"/>
          <w:b/>
          <w:sz w:val="28"/>
          <w:szCs w:val="28"/>
        </w:rPr>
        <w:t>2-2</w:t>
      </w:r>
      <w:r w:rsidRPr="00D55DC6">
        <w:rPr>
          <w:rFonts w:eastAsia="標楷體"/>
          <w:b/>
          <w:sz w:val="28"/>
          <w:szCs w:val="28"/>
        </w:rPr>
        <w:t>國內觀光重要景點建設</w:t>
      </w:r>
    </w:p>
    <w:p w:rsidR="00D4339C" w:rsidRPr="00D55DC6" w:rsidRDefault="00D4339C" w:rsidP="0038165F">
      <w:pPr>
        <w:pStyle w:val="af2"/>
        <w:snapToGrid w:val="0"/>
        <w:spacing w:line="460" w:lineRule="exact"/>
        <w:ind w:leftChars="391" w:left="1700" w:hangingChars="272" w:hanging="762"/>
        <w:jc w:val="both"/>
        <w:rPr>
          <w:rFonts w:eastAsia="標楷體"/>
          <w:sz w:val="28"/>
          <w:szCs w:val="28"/>
        </w:rPr>
      </w:pPr>
      <w:r w:rsidRPr="00D55DC6">
        <w:rPr>
          <w:rFonts w:eastAsia="標楷體"/>
          <w:sz w:val="28"/>
          <w:szCs w:val="28"/>
        </w:rPr>
        <w:t>2-2-1.</w:t>
      </w:r>
      <w:r w:rsidRPr="00D55DC6">
        <w:rPr>
          <w:rFonts w:eastAsia="標楷體"/>
          <w:b/>
          <w:sz w:val="28"/>
          <w:szCs w:val="28"/>
        </w:rPr>
        <w:t>集集水里遊憩系統</w:t>
      </w:r>
      <w:r w:rsidRPr="00D55DC6">
        <w:rPr>
          <w:rFonts w:eastAsia="標楷體"/>
          <w:sz w:val="28"/>
          <w:szCs w:val="28"/>
        </w:rPr>
        <w:t>：車埕遊客中心整建、日式宿舍災後整修、綠色隧道、車埕社區街道、集集街道等景點建設及環境改善。</w:t>
      </w:r>
    </w:p>
    <w:p w:rsidR="00D4339C" w:rsidRPr="00D55DC6" w:rsidRDefault="00D4339C" w:rsidP="0038165F">
      <w:pPr>
        <w:pStyle w:val="af2"/>
        <w:snapToGrid w:val="0"/>
        <w:spacing w:line="460" w:lineRule="exact"/>
        <w:ind w:leftChars="391" w:left="1700" w:hangingChars="272" w:hanging="762"/>
        <w:jc w:val="both"/>
        <w:rPr>
          <w:rFonts w:eastAsia="標楷體"/>
          <w:sz w:val="28"/>
          <w:szCs w:val="28"/>
        </w:rPr>
      </w:pPr>
      <w:r w:rsidRPr="00D55DC6">
        <w:rPr>
          <w:rFonts w:eastAsia="標楷體"/>
          <w:sz w:val="28"/>
          <w:szCs w:val="28"/>
        </w:rPr>
        <w:t>2-2-2.</w:t>
      </w:r>
      <w:r w:rsidRPr="00D55DC6">
        <w:rPr>
          <w:rFonts w:eastAsia="標楷體"/>
          <w:b/>
          <w:sz w:val="28"/>
          <w:szCs w:val="28"/>
        </w:rPr>
        <w:t>埔里魚池遊憩系統</w:t>
      </w:r>
      <w:r w:rsidRPr="00D55DC6">
        <w:rPr>
          <w:rFonts w:eastAsia="標楷體"/>
          <w:sz w:val="28"/>
          <w:szCs w:val="28"/>
        </w:rPr>
        <w:t>：魚池尖山步道、桃米、頭社、大林村等地區景點建設及環境改善。</w:t>
      </w:r>
    </w:p>
    <w:p w:rsidR="00D4339C" w:rsidRPr="00D55DC6" w:rsidRDefault="00D4339C" w:rsidP="0038165F">
      <w:pPr>
        <w:snapToGrid w:val="0"/>
        <w:spacing w:line="460" w:lineRule="exact"/>
        <w:ind w:leftChars="295" w:left="708"/>
        <w:jc w:val="both"/>
        <w:rPr>
          <w:rFonts w:eastAsia="標楷體"/>
          <w:b/>
          <w:sz w:val="28"/>
          <w:szCs w:val="28"/>
        </w:rPr>
      </w:pPr>
      <w:r w:rsidRPr="00D55DC6">
        <w:rPr>
          <w:rFonts w:eastAsia="標楷體"/>
          <w:b/>
          <w:sz w:val="28"/>
          <w:szCs w:val="28"/>
        </w:rPr>
        <w:t>2-3.</w:t>
      </w:r>
      <w:r w:rsidRPr="00D55DC6">
        <w:rPr>
          <w:rFonts w:eastAsia="標楷體"/>
          <w:b/>
          <w:sz w:val="28"/>
          <w:szCs w:val="28"/>
        </w:rPr>
        <w:t>地方觀光重要景點建設</w:t>
      </w:r>
    </w:p>
    <w:p w:rsidR="00D4339C" w:rsidRPr="00D55DC6" w:rsidRDefault="00D4339C" w:rsidP="0038165F">
      <w:pPr>
        <w:pStyle w:val="af2"/>
        <w:snapToGrid w:val="0"/>
        <w:spacing w:line="460" w:lineRule="exact"/>
        <w:ind w:leftChars="391" w:left="1700" w:hangingChars="272" w:hanging="762"/>
        <w:jc w:val="both"/>
        <w:rPr>
          <w:rFonts w:eastAsia="標楷體"/>
          <w:sz w:val="28"/>
          <w:szCs w:val="28"/>
        </w:rPr>
      </w:pPr>
      <w:r w:rsidRPr="00D55DC6">
        <w:rPr>
          <w:rFonts w:eastAsia="標楷體"/>
          <w:sz w:val="28"/>
          <w:szCs w:val="28"/>
        </w:rPr>
        <w:t>2-3-1.</w:t>
      </w:r>
      <w:r w:rsidRPr="00D55DC6">
        <w:rPr>
          <w:rFonts w:eastAsia="標楷體"/>
          <w:b/>
          <w:sz w:val="28"/>
          <w:szCs w:val="28"/>
        </w:rPr>
        <w:t>濁水溪遊憩系統</w:t>
      </w:r>
      <w:r w:rsidRPr="00D55DC6">
        <w:rPr>
          <w:rFonts w:eastAsia="標楷體"/>
          <w:sz w:val="28"/>
          <w:szCs w:val="28"/>
        </w:rPr>
        <w:t>：地利遊客中心等濁水溪遊憩系統景點建設及環境改善。</w:t>
      </w:r>
    </w:p>
    <w:p w:rsidR="00D4339C" w:rsidRPr="00D55DC6" w:rsidRDefault="00D4339C" w:rsidP="0038165F">
      <w:pPr>
        <w:snapToGrid w:val="0"/>
        <w:spacing w:line="460" w:lineRule="exact"/>
        <w:ind w:leftChars="295" w:left="708"/>
        <w:jc w:val="both"/>
        <w:rPr>
          <w:rFonts w:eastAsia="標楷體"/>
          <w:b/>
          <w:sz w:val="28"/>
          <w:szCs w:val="28"/>
        </w:rPr>
      </w:pPr>
      <w:r w:rsidRPr="00D55DC6">
        <w:rPr>
          <w:rFonts w:eastAsia="標楷體"/>
          <w:b/>
          <w:sz w:val="28"/>
          <w:szCs w:val="28"/>
        </w:rPr>
        <w:lastRenderedPageBreak/>
        <w:t>2-4</w:t>
      </w:r>
      <w:r w:rsidRPr="00D55DC6">
        <w:rPr>
          <w:rFonts w:eastAsia="標楷體"/>
          <w:b/>
          <w:sz w:val="28"/>
          <w:szCs w:val="28"/>
        </w:rPr>
        <w:t>經營管理及行銷推廣</w:t>
      </w:r>
    </w:p>
    <w:p w:rsidR="00D4339C" w:rsidRPr="00D55DC6" w:rsidRDefault="00D4339C" w:rsidP="0038165F">
      <w:pPr>
        <w:pStyle w:val="af2"/>
        <w:snapToGrid w:val="0"/>
        <w:spacing w:line="460" w:lineRule="exact"/>
        <w:ind w:leftChars="391" w:left="1700" w:hangingChars="272" w:hanging="762"/>
        <w:jc w:val="both"/>
        <w:rPr>
          <w:rFonts w:eastAsia="標楷體"/>
          <w:sz w:val="28"/>
          <w:szCs w:val="28"/>
        </w:rPr>
      </w:pPr>
      <w:r w:rsidRPr="00D55DC6">
        <w:rPr>
          <w:rFonts w:eastAsia="標楷體"/>
          <w:sz w:val="28"/>
          <w:szCs w:val="28"/>
        </w:rPr>
        <w:t>2-4-1.</w:t>
      </w:r>
      <w:r w:rsidRPr="00D55DC6">
        <w:rPr>
          <w:rFonts w:eastAsia="標楷體"/>
          <w:b/>
          <w:sz w:val="28"/>
          <w:szCs w:val="28"/>
        </w:rPr>
        <w:t>經營管理</w:t>
      </w:r>
      <w:r w:rsidRPr="00D55DC6">
        <w:rPr>
          <w:rFonts w:eastAsia="標楷體"/>
          <w:sz w:val="28"/>
          <w:szCs w:val="28"/>
        </w:rPr>
        <w:t>：</w:t>
      </w:r>
    </w:p>
    <w:p w:rsidR="00D4339C" w:rsidRPr="00D55DC6" w:rsidRDefault="00D4339C" w:rsidP="0038165F">
      <w:pPr>
        <w:pStyle w:val="af2"/>
        <w:snapToGrid w:val="0"/>
        <w:spacing w:line="460" w:lineRule="exact"/>
        <w:ind w:leftChars="500" w:left="2180" w:hangingChars="350" w:hanging="980"/>
        <w:jc w:val="both"/>
        <w:rPr>
          <w:rFonts w:eastAsia="標楷體"/>
          <w:sz w:val="28"/>
          <w:szCs w:val="28"/>
        </w:rPr>
      </w:pPr>
      <w:r w:rsidRPr="00D55DC6">
        <w:rPr>
          <w:rFonts w:eastAsia="標楷體"/>
          <w:sz w:val="28"/>
          <w:szCs w:val="28"/>
        </w:rPr>
        <w:t>2-4-1-1.</w:t>
      </w:r>
      <w:r w:rsidRPr="00D55DC6">
        <w:rPr>
          <w:rFonts w:eastAsia="標楷體"/>
          <w:b/>
          <w:sz w:val="28"/>
          <w:szCs w:val="28"/>
        </w:rPr>
        <w:t>提昇遊客安全</w:t>
      </w:r>
      <w:r w:rsidRPr="00D55DC6">
        <w:rPr>
          <w:rFonts w:eastAsia="標楷體"/>
          <w:sz w:val="28"/>
          <w:szCs w:val="28"/>
        </w:rPr>
        <w:t>：各類標牌示系統、救生樁組系統更新，並同步更新相關消防安全維護檢查與設備採購。於平面文宣品、導覽教育導入相關遊客安全宣導。定期規劃防溺救生演練、公有碼頭配置保安人員，專人每日巡查設施妥善度等，確保遊客安全。</w:t>
      </w:r>
    </w:p>
    <w:p w:rsidR="00D4339C" w:rsidRPr="00D55DC6" w:rsidRDefault="00D4339C" w:rsidP="0038165F">
      <w:pPr>
        <w:pStyle w:val="af2"/>
        <w:snapToGrid w:val="0"/>
        <w:spacing w:line="460" w:lineRule="exact"/>
        <w:ind w:leftChars="500" w:left="2180" w:hangingChars="350" w:hanging="980"/>
        <w:jc w:val="both"/>
        <w:rPr>
          <w:rFonts w:eastAsia="標楷體"/>
          <w:sz w:val="28"/>
          <w:szCs w:val="28"/>
        </w:rPr>
      </w:pPr>
      <w:r w:rsidRPr="00D55DC6">
        <w:rPr>
          <w:rFonts w:eastAsia="標楷體"/>
          <w:sz w:val="28"/>
          <w:szCs w:val="28"/>
        </w:rPr>
        <w:t>2-4-1-2.</w:t>
      </w:r>
      <w:r w:rsidRPr="00D55DC6">
        <w:rPr>
          <w:rFonts w:eastAsia="標楷體"/>
          <w:b/>
          <w:sz w:val="28"/>
          <w:szCs w:val="28"/>
        </w:rPr>
        <w:t>設施維護管理</w:t>
      </w:r>
      <w:r w:rsidRPr="00D55DC6">
        <w:rPr>
          <w:rFonts w:eastAsia="標楷體"/>
          <w:sz w:val="28"/>
          <w:szCs w:val="28"/>
        </w:rPr>
        <w:t>：全面應用電子巡查系統以提升行政效率，每日派專人實地巡查，並執行相關修繕、清潔、違規取締等作業。另對橋樑、車道、碼頭浮排等公共設施皆訂有承載量管制措施，並設置明顯告示牌告知遊客注意。</w:t>
      </w:r>
    </w:p>
    <w:p w:rsidR="00D4339C" w:rsidRPr="00D55DC6" w:rsidRDefault="00D4339C" w:rsidP="0038165F">
      <w:pPr>
        <w:pStyle w:val="af2"/>
        <w:snapToGrid w:val="0"/>
        <w:spacing w:line="460" w:lineRule="exact"/>
        <w:ind w:leftChars="500" w:left="2180" w:hangingChars="350" w:hanging="980"/>
        <w:jc w:val="both"/>
        <w:rPr>
          <w:rFonts w:eastAsia="標楷體"/>
          <w:sz w:val="28"/>
          <w:szCs w:val="28"/>
        </w:rPr>
      </w:pPr>
      <w:r w:rsidRPr="00D55DC6">
        <w:rPr>
          <w:rFonts w:eastAsia="標楷體"/>
          <w:sz w:val="28"/>
          <w:szCs w:val="28"/>
        </w:rPr>
        <w:t>2-4-1-3.</w:t>
      </w:r>
      <w:r w:rsidRPr="00D55DC6">
        <w:rPr>
          <w:rFonts w:eastAsia="標楷體"/>
          <w:b/>
          <w:sz w:val="28"/>
          <w:szCs w:val="28"/>
        </w:rPr>
        <w:t>環境整潔美化</w:t>
      </w:r>
      <w:r w:rsidRPr="00D55DC6">
        <w:rPr>
          <w:rFonts w:eastAsia="標楷體"/>
          <w:sz w:val="28"/>
          <w:szCs w:val="28"/>
        </w:rPr>
        <w:t>：委外處理環境清潔，並結合轄區埔里、魚池、水里、車埕等地方團體合作辦理環境整潔美化、環保教育工作。針對</w:t>
      </w:r>
      <w:r w:rsidR="009B2D95" w:rsidRPr="00D55DC6">
        <w:rPr>
          <w:rFonts w:eastAsia="標楷體"/>
          <w:sz w:val="28"/>
          <w:szCs w:val="28"/>
        </w:rPr>
        <w:t>管理處</w:t>
      </w:r>
      <w:r w:rsidRPr="00D55DC6">
        <w:rPr>
          <w:rFonts w:eastAsia="標楷體"/>
          <w:sz w:val="28"/>
          <w:szCs w:val="28"/>
        </w:rPr>
        <w:t>公廁（含一般使用者、銀髮族、行動不便者、穆斯林、親子共用等）、特色建築物之清潔與維護，規劃定期巡查、清潔、綠美化相關工作。</w:t>
      </w:r>
    </w:p>
    <w:p w:rsidR="00D4339C" w:rsidRPr="00D55DC6" w:rsidRDefault="00D4339C" w:rsidP="0038165F">
      <w:pPr>
        <w:pStyle w:val="af2"/>
        <w:snapToGrid w:val="0"/>
        <w:spacing w:line="460" w:lineRule="exact"/>
        <w:ind w:leftChars="500" w:left="2180" w:hangingChars="350" w:hanging="980"/>
        <w:jc w:val="both"/>
        <w:rPr>
          <w:rFonts w:eastAsia="標楷體"/>
          <w:sz w:val="28"/>
          <w:szCs w:val="28"/>
        </w:rPr>
      </w:pPr>
      <w:r w:rsidRPr="00D55DC6">
        <w:rPr>
          <w:rFonts w:eastAsia="標楷體"/>
          <w:sz w:val="28"/>
          <w:szCs w:val="28"/>
        </w:rPr>
        <w:t>2-4-1-4.</w:t>
      </w:r>
      <w:r w:rsidRPr="00D55DC6">
        <w:rPr>
          <w:rFonts w:eastAsia="標楷體"/>
          <w:b/>
          <w:sz w:val="28"/>
          <w:szCs w:val="28"/>
        </w:rPr>
        <w:t>日月潭違規浮具清除</w:t>
      </w:r>
      <w:r w:rsidRPr="00D55DC6">
        <w:rPr>
          <w:rFonts w:eastAsia="標楷體"/>
          <w:sz w:val="28"/>
          <w:szCs w:val="28"/>
        </w:rPr>
        <w:t>：自</w:t>
      </w:r>
      <w:r w:rsidRPr="00D55DC6">
        <w:rPr>
          <w:rFonts w:eastAsia="標楷體"/>
          <w:sz w:val="28"/>
          <w:szCs w:val="28"/>
        </w:rPr>
        <w:t>101</w:t>
      </w:r>
      <w:r w:rsidRPr="00D55DC6">
        <w:rPr>
          <w:rFonts w:eastAsia="標楷體"/>
          <w:sz w:val="28"/>
          <w:szCs w:val="28"/>
        </w:rPr>
        <w:t>年度起公告清除違規浮具，累計清除</w:t>
      </w:r>
      <w:r w:rsidRPr="00D55DC6">
        <w:rPr>
          <w:rFonts w:eastAsia="標楷體"/>
          <w:sz w:val="28"/>
          <w:szCs w:val="28"/>
        </w:rPr>
        <w:t>229</w:t>
      </w:r>
      <w:r w:rsidRPr="00D55DC6">
        <w:rPr>
          <w:rFonts w:eastAsia="標楷體"/>
          <w:sz w:val="28"/>
          <w:szCs w:val="28"/>
        </w:rPr>
        <w:t>座違規浮具，範圍主要包含北旦、月潭、文武廟下方及九龍口附近等水域，以維持日月潭湖面景觀。</w:t>
      </w:r>
    </w:p>
    <w:p w:rsidR="00D4339C" w:rsidRPr="00D55DC6" w:rsidRDefault="00D4339C" w:rsidP="0038165F">
      <w:pPr>
        <w:pStyle w:val="af2"/>
        <w:snapToGrid w:val="0"/>
        <w:spacing w:line="460" w:lineRule="exact"/>
        <w:ind w:leftChars="500" w:left="2180" w:hangingChars="350" w:hanging="980"/>
        <w:jc w:val="both"/>
        <w:rPr>
          <w:rFonts w:eastAsia="標楷體"/>
          <w:sz w:val="28"/>
          <w:szCs w:val="28"/>
        </w:rPr>
      </w:pPr>
      <w:r w:rsidRPr="00D55DC6">
        <w:rPr>
          <w:rFonts w:eastAsia="標楷體"/>
          <w:sz w:val="28"/>
          <w:szCs w:val="28"/>
        </w:rPr>
        <w:t>2-4-1-5.</w:t>
      </w:r>
      <w:r w:rsidRPr="00D55DC6">
        <w:rPr>
          <w:rFonts w:eastAsia="標楷體"/>
          <w:b/>
          <w:sz w:val="28"/>
          <w:szCs w:val="28"/>
        </w:rPr>
        <w:t>文武廟前佔用攤販管理</w:t>
      </w:r>
      <w:r w:rsidRPr="00D55DC6">
        <w:rPr>
          <w:rFonts w:eastAsia="標楷體"/>
          <w:sz w:val="28"/>
          <w:szCs w:val="28"/>
        </w:rPr>
        <w:t>：歷經多年溝通協調及輔導，完成文武廟攤販區租約到期依法回收作業，並擬訂相關交通暨景觀改善計畫。</w:t>
      </w:r>
    </w:p>
    <w:p w:rsidR="00D4339C" w:rsidRPr="00D55DC6" w:rsidRDefault="00D4339C" w:rsidP="0038165F">
      <w:pPr>
        <w:pStyle w:val="af2"/>
        <w:snapToGrid w:val="0"/>
        <w:spacing w:line="460" w:lineRule="exact"/>
        <w:ind w:leftChars="500" w:left="2180" w:hangingChars="350" w:hanging="980"/>
        <w:jc w:val="both"/>
        <w:rPr>
          <w:rFonts w:eastAsia="標楷體"/>
          <w:sz w:val="28"/>
          <w:szCs w:val="28"/>
        </w:rPr>
      </w:pPr>
      <w:r w:rsidRPr="00D55DC6">
        <w:rPr>
          <w:rFonts w:eastAsia="標楷體"/>
          <w:sz w:val="28"/>
          <w:szCs w:val="28"/>
        </w:rPr>
        <w:t>2-4-1-6.</w:t>
      </w:r>
      <w:r w:rsidRPr="00D55DC6">
        <w:rPr>
          <w:rFonts w:eastAsia="標楷體"/>
          <w:b/>
          <w:sz w:val="28"/>
          <w:szCs w:val="28"/>
        </w:rPr>
        <w:t>設施活化使用</w:t>
      </w:r>
      <w:r w:rsidRPr="00D55DC6">
        <w:rPr>
          <w:rFonts w:eastAsia="標楷體"/>
          <w:sz w:val="28"/>
          <w:szCs w:val="28"/>
        </w:rPr>
        <w:t>：執行</w:t>
      </w:r>
      <w:r w:rsidRPr="00D55DC6">
        <w:rPr>
          <w:rFonts w:eastAsia="標楷體"/>
          <w:sz w:val="28"/>
          <w:szCs w:val="28"/>
        </w:rPr>
        <w:t xml:space="preserve">20 </w:t>
      </w:r>
      <w:r w:rsidRPr="00D55DC6">
        <w:rPr>
          <w:rFonts w:eastAsia="標楷體"/>
          <w:sz w:val="28"/>
          <w:szCs w:val="28"/>
        </w:rPr>
        <w:t>項設施出租案件，創造國家風景區自償性收入，並大幅降低設施維護管理成本。</w:t>
      </w:r>
    </w:p>
    <w:p w:rsidR="00D4339C" w:rsidRPr="00D55DC6" w:rsidRDefault="00D4339C" w:rsidP="0038165F">
      <w:pPr>
        <w:pStyle w:val="af2"/>
        <w:snapToGrid w:val="0"/>
        <w:spacing w:line="460" w:lineRule="exact"/>
        <w:ind w:leftChars="500" w:left="2180" w:hangingChars="350" w:hanging="980"/>
        <w:jc w:val="both"/>
        <w:rPr>
          <w:rFonts w:eastAsia="標楷體"/>
          <w:sz w:val="28"/>
          <w:szCs w:val="28"/>
        </w:rPr>
      </w:pPr>
      <w:r w:rsidRPr="00D55DC6">
        <w:rPr>
          <w:rFonts w:eastAsia="標楷體"/>
          <w:sz w:val="28"/>
          <w:szCs w:val="28"/>
        </w:rPr>
        <w:t>2-4-1-7.</w:t>
      </w:r>
      <w:r w:rsidRPr="00D55DC6">
        <w:rPr>
          <w:rFonts w:eastAsia="標楷體"/>
          <w:b/>
          <w:sz w:val="28"/>
          <w:szCs w:val="28"/>
        </w:rPr>
        <w:t>善用社會資源</w:t>
      </w:r>
      <w:r w:rsidRPr="00D55DC6">
        <w:rPr>
          <w:rFonts w:eastAsia="標楷體"/>
          <w:sz w:val="28"/>
          <w:szCs w:val="28"/>
        </w:rPr>
        <w:t>：包括志工招募、培訓運用與管理，結合社區資源、民間企業、團體辦理公益、行銷活動及設施認養維護。</w:t>
      </w:r>
    </w:p>
    <w:p w:rsidR="00D4339C" w:rsidRPr="00D55DC6" w:rsidRDefault="00D4339C" w:rsidP="0038165F">
      <w:pPr>
        <w:pStyle w:val="af2"/>
        <w:snapToGrid w:val="0"/>
        <w:spacing w:line="460" w:lineRule="exact"/>
        <w:ind w:leftChars="500" w:left="2180" w:hangingChars="350" w:hanging="980"/>
        <w:jc w:val="both"/>
        <w:rPr>
          <w:rFonts w:eastAsia="標楷體"/>
          <w:sz w:val="28"/>
          <w:szCs w:val="28"/>
        </w:rPr>
      </w:pPr>
      <w:r w:rsidRPr="00D55DC6">
        <w:rPr>
          <w:rFonts w:eastAsia="標楷體"/>
          <w:sz w:val="28"/>
          <w:szCs w:val="28"/>
        </w:rPr>
        <w:t>2-4-1-8.</w:t>
      </w:r>
      <w:r w:rsidRPr="00D55DC6">
        <w:rPr>
          <w:rFonts w:eastAsia="標楷體"/>
          <w:b/>
          <w:sz w:val="28"/>
          <w:szCs w:val="28"/>
        </w:rPr>
        <w:t>交通疏運改善</w:t>
      </w:r>
      <w:r w:rsidRPr="00D55DC6">
        <w:rPr>
          <w:rFonts w:eastAsia="標楷體"/>
          <w:sz w:val="28"/>
          <w:szCs w:val="28"/>
        </w:rPr>
        <w:t>：於重要節慶活動假日期間整合日月潭旅遊線上國</w:t>
      </w:r>
      <w:r w:rsidRPr="00D55DC6">
        <w:rPr>
          <w:rFonts w:eastAsia="標楷體"/>
          <w:sz w:val="28"/>
          <w:szCs w:val="28"/>
        </w:rPr>
        <w:t>6</w:t>
      </w:r>
      <w:r w:rsidRPr="00D55DC6">
        <w:rPr>
          <w:rFonts w:eastAsia="標楷體"/>
          <w:sz w:val="28"/>
          <w:szCs w:val="28"/>
        </w:rPr>
        <w:t>、臺</w:t>
      </w:r>
      <w:r w:rsidRPr="00D55DC6">
        <w:rPr>
          <w:rFonts w:eastAsia="標楷體"/>
          <w:sz w:val="28"/>
          <w:szCs w:val="28"/>
        </w:rPr>
        <w:t>14</w:t>
      </w:r>
      <w:r w:rsidRPr="00D55DC6">
        <w:rPr>
          <w:rFonts w:eastAsia="標楷體"/>
          <w:sz w:val="28"/>
          <w:szCs w:val="28"/>
        </w:rPr>
        <w:t>、臺</w:t>
      </w:r>
      <w:r w:rsidRPr="00D55DC6">
        <w:rPr>
          <w:rFonts w:eastAsia="標楷體"/>
          <w:sz w:val="28"/>
          <w:szCs w:val="28"/>
        </w:rPr>
        <w:t>21</w:t>
      </w:r>
      <w:r w:rsidRPr="00D55DC6">
        <w:rPr>
          <w:rFonts w:eastAsia="標楷體"/>
          <w:sz w:val="28"/>
          <w:szCs w:val="28"/>
        </w:rPr>
        <w:t>、臺</w:t>
      </w:r>
      <w:r w:rsidRPr="00D55DC6">
        <w:rPr>
          <w:rFonts w:eastAsia="標楷體"/>
          <w:sz w:val="28"/>
          <w:szCs w:val="28"/>
        </w:rPr>
        <w:t>16</w:t>
      </w:r>
      <w:r w:rsidRPr="00D55DC6">
        <w:rPr>
          <w:rFonts w:eastAsia="標楷體"/>
          <w:sz w:val="28"/>
          <w:szCs w:val="28"/>
        </w:rPr>
        <w:t>線等道路</w:t>
      </w:r>
      <w:r w:rsidRPr="00D55DC6">
        <w:rPr>
          <w:rFonts w:eastAsia="標楷體"/>
          <w:sz w:val="28"/>
          <w:szCs w:val="28"/>
        </w:rPr>
        <w:t>CMS</w:t>
      </w:r>
      <w:r w:rsidRPr="00D55DC6">
        <w:rPr>
          <w:rFonts w:eastAsia="標楷體"/>
          <w:sz w:val="28"/>
          <w:szCs w:val="28"/>
        </w:rPr>
        <w:t>系統，</w:t>
      </w:r>
      <w:r w:rsidRPr="00D55DC6">
        <w:rPr>
          <w:rFonts w:eastAsia="標楷體"/>
          <w:sz w:val="28"/>
          <w:szCs w:val="28"/>
        </w:rPr>
        <w:lastRenderedPageBreak/>
        <w:t>傳遞重要交管措施與訊息，有效疏導車流。</w:t>
      </w:r>
    </w:p>
    <w:p w:rsidR="00D4339C" w:rsidRPr="00D55DC6" w:rsidRDefault="00D4339C" w:rsidP="0038165F">
      <w:pPr>
        <w:pStyle w:val="af2"/>
        <w:snapToGrid w:val="0"/>
        <w:spacing w:line="460" w:lineRule="exact"/>
        <w:ind w:leftChars="391" w:left="1700" w:hangingChars="272" w:hanging="762"/>
        <w:jc w:val="both"/>
        <w:rPr>
          <w:rFonts w:eastAsia="標楷體"/>
          <w:sz w:val="28"/>
          <w:szCs w:val="28"/>
        </w:rPr>
      </w:pPr>
      <w:r w:rsidRPr="00D55DC6">
        <w:rPr>
          <w:rFonts w:eastAsia="標楷體"/>
          <w:sz w:val="28"/>
          <w:szCs w:val="28"/>
        </w:rPr>
        <w:t>2-4-2.</w:t>
      </w:r>
      <w:r w:rsidRPr="00D55DC6">
        <w:rPr>
          <w:rFonts w:eastAsia="標楷體"/>
          <w:b/>
          <w:sz w:val="28"/>
          <w:szCs w:val="28"/>
        </w:rPr>
        <w:t>行銷推廣</w:t>
      </w:r>
      <w:r w:rsidRPr="00D55DC6">
        <w:rPr>
          <w:rFonts w:eastAsia="標楷體"/>
          <w:sz w:val="28"/>
          <w:szCs w:val="28"/>
        </w:rPr>
        <w:t>：</w:t>
      </w:r>
    </w:p>
    <w:p w:rsidR="00D4339C" w:rsidRPr="00D55DC6" w:rsidRDefault="00D4339C" w:rsidP="0038165F">
      <w:pPr>
        <w:pStyle w:val="af2"/>
        <w:snapToGrid w:val="0"/>
        <w:spacing w:line="460" w:lineRule="exact"/>
        <w:ind w:leftChars="500" w:left="2180" w:hangingChars="350" w:hanging="980"/>
        <w:jc w:val="both"/>
        <w:rPr>
          <w:rFonts w:eastAsia="標楷體"/>
          <w:sz w:val="28"/>
          <w:szCs w:val="28"/>
        </w:rPr>
      </w:pPr>
      <w:r w:rsidRPr="00D55DC6">
        <w:rPr>
          <w:rFonts w:eastAsia="標楷體"/>
          <w:sz w:val="28"/>
          <w:szCs w:val="28"/>
        </w:rPr>
        <w:t>2-4-2-1.</w:t>
      </w:r>
      <w:r w:rsidRPr="00D55DC6">
        <w:rPr>
          <w:rFonts w:eastAsia="標楷體"/>
          <w:sz w:val="28"/>
          <w:szCs w:val="28"/>
        </w:rPr>
        <w:t>營造「低碳旅遊、智慧觀光」旅遊環境：整合日月潭自行車道網絡、日月潭纜車、台灣好行、遊湖巴士、智慧綠能電動車、電動船等低碳運輸工具，結合適地性交通旅遊資訊（</w:t>
      </w:r>
      <w:r w:rsidRPr="00D55DC6">
        <w:rPr>
          <w:rFonts w:eastAsia="標楷體"/>
          <w:sz w:val="28"/>
          <w:szCs w:val="28"/>
        </w:rPr>
        <w:t>APP</w:t>
      </w:r>
      <w:r w:rsidRPr="00D55DC6">
        <w:rPr>
          <w:rFonts w:eastAsia="標楷體"/>
          <w:sz w:val="28"/>
          <w:szCs w:val="28"/>
        </w:rPr>
        <w:t>）服務，規劃整合性套票服務。</w:t>
      </w:r>
    </w:p>
    <w:p w:rsidR="00D4339C" w:rsidRPr="00D55DC6" w:rsidRDefault="00D4339C" w:rsidP="0038165F">
      <w:pPr>
        <w:pStyle w:val="af2"/>
        <w:snapToGrid w:val="0"/>
        <w:spacing w:line="460" w:lineRule="exact"/>
        <w:ind w:leftChars="500" w:left="2180" w:hangingChars="350" w:hanging="980"/>
        <w:jc w:val="both"/>
        <w:rPr>
          <w:rFonts w:eastAsia="標楷體"/>
          <w:sz w:val="28"/>
          <w:szCs w:val="28"/>
        </w:rPr>
      </w:pPr>
      <w:r w:rsidRPr="00D55DC6">
        <w:rPr>
          <w:rFonts w:eastAsia="標楷體"/>
          <w:sz w:val="28"/>
          <w:szCs w:val="28"/>
        </w:rPr>
        <w:t>2-4-2-2.</w:t>
      </w:r>
      <w:r w:rsidRPr="00D55DC6">
        <w:rPr>
          <w:rFonts w:eastAsia="標楷體"/>
          <w:sz w:val="28"/>
          <w:szCs w:val="28"/>
        </w:rPr>
        <w:t>推展銀髮族、行動不便者及穆斯林旅遊：除全面提升公共設施軟、硬體服務外，並積極宣導轄內業者餐飲服務設施之改善。</w:t>
      </w:r>
    </w:p>
    <w:p w:rsidR="00D4339C" w:rsidRPr="00D55DC6" w:rsidRDefault="00D4339C" w:rsidP="0038165F">
      <w:pPr>
        <w:pStyle w:val="af2"/>
        <w:snapToGrid w:val="0"/>
        <w:spacing w:line="460" w:lineRule="exact"/>
        <w:ind w:leftChars="500" w:left="2180" w:hangingChars="350" w:hanging="980"/>
        <w:jc w:val="both"/>
        <w:rPr>
          <w:rFonts w:eastAsia="標楷體"/>
          <w:sz w:val="28"/>
          <w:szCs w:val="28"/>
        </w:rPr>
      </w:pPr>
      <w:r w:rsidRPr="00D55DC6">
        <w:rPr>
          <w:rFonts w:eastAsia="標楷體"/>
          <w:sz w:val="28"/>
          <w:szCs w:val="28"/>
        </w:rPr>
        <w:t>2-4-2-3.</w:t>
      </w:r>
      <w:r w:rsidRPr="00D55DC6">
        <w:rPr>
          <w:rFonts w:eastAsia="標楷體"/>
          <w:sz w:val="28"/>
          <w:szCs w:val="28"/>
        </w:rPr>
        <w:t>遊客中心優質有感服務再提升：向山遊客中心規劃婚紗準備區－「愛的進行室」；伊達邵遊客中心創先引進「急診醫療站」、「自動櫃員機（</w:t>
      </w:r>
      <w:r w:rsidRPr="00D55DC6">
        <w:rPr>
          <w:rFonts w:eastAsia="標楷體"/>
          <w:sz w:val="28"/>
          <w:szCs w:val="28"/>
        </w:rPr>
        <w:t>ATM</w:t>
      </w:r>
      <w:r w:rsidRPr="00D55DC6">
        <w:rPr>
          <w:rFonts w:eastAsia="標楷體"/>
          <w:sz w:val="28"/>
          <w:szCs w:val="28"/>
        </w:rPr>
        <w:t>）」及整合成立「聯合售票中心」；伊達邵、車埕分別成立「夜間聯合服務中心」；另各遊客中心皆設置自動體外心臟去顫器（</w:t>
      </w:r>
      <w:r w:rsidRPr="00D55DC6">
        <w:rPr>
          <w:rFonts w:eastAsia="標楷體"/>
          <w:sz w:val="28"/>
          <w:szCs w:val="28"/>
        </w:rPr>
        <w:t>AED</w:t>
      </w:r>
      <w:r w:rsidRPr="00D55DC6">
        <w:rPr>
          <w:rFonts w:eastAsia="標楷體"/>
          <w:sz w:val="28"/>
          <w:szCs w:val="28"/>
        </w:rPr>
        <w:t>）、</w:t>
      </w:r>
      <w:r w:rsidRPr="00D55DC6">
        <w:rPr>
          <w:rFonts w:eastAsia="標楷體"/>
          <w:sz w:val="28"/>
          <w:szCs w:val="28"/>
        </w:rPr>
        <w:t>wifi</w:t>
      </w:r>
      <w:r w:rsidRPr="00D55DC6">
        <w:rPr>
          <w:rFonts w:eastAsia="標楷體"/>
          <w:sz w:val="28"/>
          <w:szCs w:val="28"/>
        </w:rPr>
        <w:t>無線網路，並提供常用醫護、保健、婦幼備品。</w:t>
      </w:r>
    </w:p>
    <w:p w:rsidR="00D4339C" w:rsidRPr="00D55DC6" w:rsidRDefault="00D4339C" w:rsidP="0038165F">
      <w:pPr>
        <w:pStyle w:val="af2"/>
        <w:snapToGrid w:val="0"/>
        <w:spacing w:line="460" w:lineRule="exact"/>
        <w:ind w:leftChars="500" w:left="2180" w:hangingChars="350" w:hanging="980"/>
        <w:jc w:val="both"/>
        <w:rPr>
          <w:rFonts w:eastAsia="標楷體"/>
          <w:sz w:val="28"/>
          <w:szCs w:val="28"/>
        </w:rPr>
      </w:pPr>
      <w:r w:rsidRPr="00D55DC6">
        <w:rPr>
          <w:rFonts w:eastAsia="標楷體"/>
          <w:sz w:val="28"/>
          <w:szCs w:val="28"/>
        </w:rPr>
        <w:t>2-4-2-4.</w:t>
      </w:r>
      <w:r w:rsidRPr="00D55DC6">
        <w:rPr>
          <w:rFonts w:eastAsia="標楷體"/>
          <w:sz w:val="28"/>
          <w:szCs w:val="28"/>
        </w:rPr>
        <w:t>行銷措施：配合交通部觀光局年度活動主軸，訂定年度行銷推廣計畫及執行，依活動性質設計相關吉祥物或伴手禮、藉由辦理年度活動行銷日月潭外，在年度活動間，規劃銜接各系列活動的系列子活動，以發揮持續行銷、日月潭活動不斷的旅遊印象。</w:t>
      </w:r>
    </w:p>
    <w:p w:rsidR="00D4339C" w:rsidRPr="00D55DC6" w:rsidRDefault="00D4339C" w:rsidP="0038165F">
      <w:pPr>
        <w:pStyle w:val="af2"/>
        <w:snapToGrid w:val="0"/>
        <w:spacing w:line="460" w:lineRule="exact"/>
        <w:ind w:leftChars="500" w:left="2180" w:hangingChars="350" w:hanging="980"/>
        <w:jc w:val="both"/>
        <w:rPr>
          <w:rFonts w:eastAsia="標楷體"/>
          <w:sz w:val="28"/>
          <w:szCs w:val="28"/>
        </w:rPr>
      </w:pPr>
      <w:r w:rsidRPr="00D55DC6">
        <w:rPr>
          <w:rFonts w:eastAsia="標楷體"/>
          <w:sz w:val="28"/>
          <w:szCs w:val="28"/>
        </w:rPr>
        <w:t>2-4-2-5.</w:t>
      </w:r>
      <w:r w:rsidRPr="00D55DC6">
        <w:rPr>
          <w:rFonts w:eastAsia="標楷體"/>
          <w:sz w:val="28"/>
          <w:szCs w:val="28"/>
        </w:rPr>
        <w:t>舉辦日月潭迎晨曦祈福系列活動、櫻舞飛揚環湖路跑賽、星光螢火季、日月潭萬人泳渡、嘉年華系列活動、</w:t>
      </w:r>
      <w:r w:rsidRPr="00D55DC6">
        <w:rPr>
          <w:rFonts w:eastAsia="標楷體"/>
          <w:sz w:val="27"/>
          <w:szCs w:val="27"/>
        </w:rPr>
        <w:t>日月潭</w:t>
      </w:r>
      <w:r w:rsidRPr="00D55DC6">
        <w:rPr>
          <w:rFonts w:eastAsia="標楷體"/>
          <w:sz w:val="27"/>
          <w:szCs w:val="27"/>
        </w:rPr>
        <w:t>Come!Bikeday</w:t>
      </w:r>
      <w:r w:rsidRPr="00D55DC6">
        <w:rPr>
          <w:rFonts w:eastAsia="標楷體"/>
          <w:sz w:val="28"/>
          <w:szCs w:val="28"/>
        </w:rPr>
        <w:t>等重要活動，促進觀光產業發展。</w:t>
      </w:r>
    </w:p>
    <w:p w:rsidR="00D4339C" w:rsidRPr="00D55DC6" w:rsidRDefault="00D4339C" w:rsidP="0038165F">
      <w:pPr>
        <w:pStyle w:val="af2"/>
        <w:snapToGrid w:val="0"/>
        <w:spacing w:line="460" w:lineRule="exact"/>
        <w:ind w:leftChars="500" w:left="2180" w:hangingChars="350" w:hanging="980"/>
        <w:jc w:val="both"/>
        <w:rPr>
          <w:rFonts w:eastAsia="標楷體"/>
          <w:sz w:val="28"/>
          <w:szCs w:val="28"/>
        </w:rPr>
      </w:pPr>
    </w:p>
    <w:p w:rsidR="00D4339C" w:rsidRPr="00D55DC6" w:rsidRDefault="00D4339C" w:rsidP="0038165F">
      <w:pPr>
        <w:pStyle w:val="a"/>
        <w:ind w:left="709" w:hanging="709"/>
        <w:rPr>
          <w:b/>
        </w:rPr>
      </w:pPr>
      <w:bookmarkStart w:id="87" w:name="_Toc407181665"/>
      <w:r w:rsidRPr="00D55DC6">
        <w:rPr>
          <w:b/>
        </w:rPr>
        <w:t>執行策略及方法</w:t>
      </w:r>
      <w:bookmarkEnd w:id="87"/>
    </w:p>
    <w:p w:rsidR="00D4339C" w:rsidRPr="00D55DC6" w:rsidRDefault="00D4339C" w:rsidP="004865C1">
      <w:pPr>
        <w:pStyle w:val="af2"/>
        <w:numPr>
          <w:ilvl w:val="0"/>
          <w:numId w:val="68"/>
        </w:numPr>
        <w:snapToGrid w:val="0"/>
        <w:spacing w:line="460" w:lineRule="exact"/>
        <w:ind w:leftChars="0"/>
        <w:jc w:val="both"/>
        <w:rPr>
          <w:rFonts w:eastAsia="標楷體"/>
          <w:b/>
          <w:sz w:val="28"/>
          <w:szCs w:val="28"/>
        </w:rPr>
      </w:pPr>
      <w:r w:rsidRPr="00D55DC6">
        <w:rPr>
          <w:rFonts w:eastAsia="標楷體"/>
          <w:b/>
          <w:sz w:val="28"/>
          <w:szCs w:val="28"/>
        </w:rPr>
        <w:t>執行策略</w:t>
      </w:r>
    </w:p>
    <w:p w:rsidR="00D4339C" w:rsidRPr="00D55DC6" w:rsidRDefault="00D4339C" w:rsidP="0038165F">
      <w:pPr>
        <w:pStyle w:val="af2"/>
        <w:snapToGrid w:val="0"/>
        <w:spacing w:line="460" w:lineRule="exact"/>
        <w:ind w:leftChars="0" w:left="864"/>
        <w:jc w:val="both"/>
        <w:rPr>
          <w:rFonts w:eastAsia="標楷體"/>
          <w:sz w:val="28"/>
          <w:szCs w:val="28"/>
        </w:rPr>
      </w:pPr>
      <w:r w:rsidRPr="00D55DC6">
        <w:rPr>
          <w:rFonts w:eastAsia="標楷體"/>
          <w:sz w:val="28"/>
          <w:szCs w:val="28"/>
        </w:rPr>
        <w:t>以「低碳旅遊、智慧觀光」為發展理念，在「環境優先」、「設施減量與活化」、「人性化通用」及「國際友善」之建設原則下，結合生態、人文、藝術、運動、交通、教育、產業等資源，善用資訊科技、整合行銷工具，建構水沙連大遊憩圈。策略重點如下：</w:t>
      </w:r>
    </w:p>
    <w:p w:rsidR="00D4339C" w:rsidRPr="00D55DC6" w:rsidRDefault="00D4339C" w:rsidP="004865C1">
      <w:pPr>
        <w:pStyle w:val="af2"/>
        <w:numPr>
          <w:ilvl w:val="1"/>
          <w:numId w:val="68"/>
        </w:numPr>
        <w:snapToGrid w:val="0"/>
        <w:spacing w:line="460" w:lineRule="exact"/>
        <w:ind w:leftChars="0" w:left="1276"/>
        <w:jc w:val="both"/>
        <w:rPr>
          <w:rFonts w:eastAsia="標楷體"/>
          <w:sz w:val="28"/>
          <w:szCs w:val="28"/>
        </w:rPr>
      </w:pPr>
      <w:r w:rsidRPr="00D55DC6">
        <w:rPr>
          <w:rFonts w:eastAsia="標楷體"/>
          <w:b/>
          <w:sz w:val="28"/>
          <w:szCs w:val="28"/>
        </w:rPr>
        <w:lastRenderedPageBreak/>
        <w:t>觀光亮點建設</w:t>
      </w:r>
      <w:r w:rsidRPr="00D55DC6">
        <w:rPr>
          <w:rFonts w:eastAsia="標楷體"/>
          <w:sz w:val="28"/>
          <w:szCs w:val="28"/>
        </w:rPr>
        <w:t>：完備日月潭低碳亮點服務，包括推動電動船政策及興建相關配套充電設施，提升碼頭設施整體服務機能，並落實執行使用者付費機制，挹注建設經費。</w:t>
      </w:r>
    </w:p>
    <w:p w:rsidR="00D4339C" w:rsidRPr="00D55DC6" w:rsidRDefault="00D4339C" w:rsidP="004865C1">
      <w:pPr>
        <w:pStyle w:val="af2"/>
        <w:numPr>
          <w:ilvl w:val="1"/>
          <w:numId w:val="68"/>
        </w:numPr>
        <w:snapToGrid w:val="0"/>
        <w:spacing w:line="460" w:lineRule="exact"/>
        <w:ind w:leftChars="0" w:left="1276"/>
        <w:jc w:val="both"/>
        <w:rPr>
          <w:rFonts w:eastAsia="標楷體"/>
          <w:sz w:val="28"/>
          <w:szCs w:val="28"/>
        </w:rPr>
      </w:pPr>
      <w:r w:rsidRPr="00D55DC6">
        <w:rPr>
          <w:rFonts w:eastAsia="標楷體"/>
          <w:b/>
          <w:sz w:val="28"/>
          <w:szCs w:val="28"/>
        </w:rPr>
        <w:t>健全綠能交通系統</w:t>
      </w:r>
      <w:r w:rsidRPr="00D55DC6">
        <w:rPr>
          <w:rFonts w:eastAsia="標楷體"/>
          <w:sz w:val="28"/>
          <w:szCs w:val="28"/>
        </w:rPr>
        <w:t>：配合低碳政策，持續推展電動船、電動巴士、纜車系統等綠色運具，賡續串連日月潭步道暨自行車道系統，透過健全綠能交通系統，提升轉運、接駁的公共運輸能量，並整合聯外、區內之無縫隙交通接駁規劃，發展整合性旅遊套票，結合停車收費機制等配套措施，改變國人旅遊交通習慣，同時兼顧國家風景區之環境保護。</w:t>
      </w:r>
    </w:p>
    <w:p w:rsidR="00D4339C" w:rsidRPr="00D55DC6" w:rsidRDefault="00D4339C" w:rsidP="004865C1">
      <w:pPr>
        <w:pStyle w:val="af2"/>
        <w:numPr>
          <w:ilvl w:val="1"/>
          <w:numId w:val="68"/>
        </w:numPr>
        <w:snapToGrid w:val="0"/>
        <w:spacing w:line="460" w:lineRule="exact"/>
        <w:ind w:leftChars="0" w:left="1276"/>
        <w:jc w:val="both"/>
        <w:rPr>
          <w:rFonts w:eastAsia="標楷體"/>
          <w:sz w:val="28"/>
          <w:szCs w:val="28"/>
        </w:rPr>
      </w:pPr>
      <w:r w:rsidRPr="00D55DC6">
        <w:rPr>
          <w:rFonts w:eastAsia="標楷體"/>
          <w:b/>
          <w:sz w:val="28"/>
          <w:szCs w:val="28"/>
        </w:rPr>
        <w:t>強化深度旅遊與遊客疏導</w:t>
      </w:r>
      <w:r w:rsidRPr="00D55DC6">
        <w:rPr>
          <w:rFonts w:eastAsia="標楷體"/>
          <w:sz w:val="28"/>
          <w:szCs w:val="28"/>
        </w:rPr>
        <w:t>：為有效引導遊客至</w:t>
      </w:r>
      <w:r w:rsidR="00397CE7" w:rsidRPr="00D55DC6">
        <w:rPr>
          <w:rFonts w:eastAsia="標楷體"/>
          <w:sz w:val="28"/>
          <w:szCs w:val="28"/>
        </w:rPr>
        <w:t>周邊</w:t>
      </w:r>
      <w:r w:rsidRPr="00D55DC6">
        <w:rPr>
          <w:rFonts w:eastAsia="標楷體"/>
          <w:sz w:val="28"/>
          <w:szCs w:val="28"/>
        </w:rPr>
        <w:t>遊憩區，延長遊客停留時間，應結合</w:t>
      </w:r>
      <w:r w:rsidR="00397CE7" w:rsidRPr="00D55DC6">
        <w:rPr>
          <w:rFonts w:eastAsia="標楷體"/>
          <w:sz w:val="28"/>
          <w:szCs w:val="28"/>
        </w:rPr>
        <w:t>周邊</w:t>
      </w:r>
      <w:r w:rsidRPr="00D55DC6">
        <w:rPr>
          <w:rFonts w:eastAsia="標楷體"/>
          <w:sz w:val="28"/>
          <w:szCs w:val="28"/>
        </w:rPr>
        <w:t>遊憩區觀光資源特色，提升原鄉觀光服務品質、營造社區觀光及生態旅遊，並引導民間共同參與提升地方觀光遊憩服務，發展副核心珍珠鏈遊程，以發揮蛋黃集客，蛋白分流之效益。</w:t>
      </w:r>
    </w:p>
    <w:p w:rsidR="00D4339C" w:rsidRPr="00D55DC6" w:rsidRDefault="00D4339C" w:rsidP="004865C1">
      <w:pPr>
        <w:pStyle w:val="af2"/>
        <w:numPr>
          <w:ilvl w:val="1"/>
          <w:numId w:val="68"/>
        </w:numPr>
        <w:snapToGrid w:val="0"/>
        <w:spacing w:line="460" w:lineRule="exact"/>
        <w:ind w:leftChars="0" w:left="1276"/>
        <w:jc w:val="both"/>
        <w:rPr>
          <w:rFonts w:eastAsia="標楷體"/>
          <w:sz w:val="28"/>
          <w:szCs w:val="28"/>
        </w:rPr>
      </w:pPr>
      <w:r w:rsidRPr="00D55DC6">
        <w:rPr>
          <w:rFonts w:eastAsia="標楷體"/>
          <w:b/>
          <w:sz w:val="28"/>
          <w:szCs w:val="28"/>
        </w:rPr>
        <w:t>建構國際級友善旅遊環境</w:t>
      </w:r>
      <w:r w:rsidRPr="00D55DC6">
        <w:rPr>
          <w:rFonts w:eastAsia="標楷體"/>
          <w:sz w:val="28"/>
          <w:szCs w:val="28"/>
        </w:rPr>
        <w:t>：日月潭為國內外名聞遐邇之觀光旅遊勝地，更是大陸觀光客來臺必訪之處。為營造日月潭符合國際級水準之觀光形象，體貼無障礙、銀髮族、兩性、幼童、穆斯林等不同族群之需求差異，以通用設計、綠建築等概念建置友善旅遊服務設施，另配合加強各項軟體服務，包括景觀美化、環境清潔、加強服務及解說人員訓練、觀光產業稽查與輔導、行銷推廣活動、標牌示雙語化等提升服務品質臻於國際水準。</w:t>
      </w:r>
      <w:r w:rsidR="00526698" w:rsidRPr="00D55DC6">
        <w:rPr>
          <w:rFonts w:eastAsia="標楷體"/>
          <w:sz w:val="28"/>
          <w:szCs w:val="28"/>
        </w:rPr>
        <w:t>另規劃引入智慧觀光概念，以即時掌握觀光資源變動，有效解讀、分析及解決問題，強化經營管理效率。</w:t>
      </w:r>
    </w:p>
    <w:p w:rsidR="00D4339C" w:rsidRPr="00D55DC6" w:rsidRDefault="00D4339C" w:rsidP="004865C1">
      <w:pPr>
        <w:pStyle w:val="af2"/>
        <w:numPr>
          <w:ilvl w:val="1"/>
          <w:numId w:val="68"/>
        </w:numPr>
        <w:snapToGrid w:val="0"/>
        <w:spacing w:line="460" w:lineRule="exact"/>
        <w:ind w:leftChars="0" w:left="1276"/>
        <w:jc w:val="both"/>
        <w:rPr>
          <w:rFonts w:eastAsia="標楷體"/>
          <w:sz w:val="28"/>
          <w:szCs w:val="28"/>
        </w:rPr>
      </w:pPr>
      <w:r w:rsidRPr="00D55DC6">
        <w:rPr>
          <w:rFonts w:eastAsia="標楷體"/>
          <w:b/>
          <w:sz w:val="28"/>
          <w:szCs w:val="28"/>
        </w:rPr>
        <w:t>行銷推廣</w:t>
      </w:r>
      <w:r w:rsidRPr="00D55DC6">
        <w:rPr>
          <w:rFonts w:eastAsia="標楷體"/>
          <w:sz w:val="28"/>
          <w:szCs w:val="28"/>
        </w:rPr>
        <w:t>：規劃日月潭四季主軸活動，搭配地方性、常態性特色活動，結合整合性行銷優惠及優質服務品質，營造日月潭天天有活動、時時有感動之氛圍。</w:t>
      </w:r>
    </w:p>
    <w:p w:rsidR="000725AB" w:rsidRPr="00D55DC6" w:rsidRDefault="000725AB" w:rsidP="000725AB">
      <w:pPr>
        <w:pStyle w:val="af2"/>
        <w:snapToGrid w:val="0"/>
        <w:spacing w:line="460" w:lineRule="exact"/>
        <w:ind w:leftChars="0" w:left="1276"/>
        <w:jc w:val="both"/>
        <w:rPr>
          <w:rFonts w:eastAsia="標楷體"/>
          <w:sz w:val="28"/>
          <w:szCs w:val="28"/>
        </w:rPr>
      </w:pPr>
    </w:p>
    <w:p w:rsidR="004D7B00" w:rsidRPr="00D55DC6" w:rsidRDefault="004D7B00" w:rsidP="000725AB">
      <w:pPr>
        <w:pStyle w:val="af2"/>
        <w:snapToGrid w:val="0"/>
        <w:spacing w:line="460" w:lineRule="exact"/>
        <w:ind w:leftChars="0" w:left="1276"/>
        <w:jc w:val="both"/>
        <w:rPr>
          <w:rFonts w:eastAsia="標楷體"/>
          <w:sz w:val="28"/>
          <w:szCs w:val="28"/>
        </w:rPr>
      </w:pPr>
    </w:p>
    <w:p w:rsidR="004D7B00" w:rsidRPr="00D55DC6" w:rsidRDefault="004D7B00" w:rsidP="000725AB">
      <w:pPr>
        <w:pStyle w:val="af2"/>
        <w:snapToGrid w:val="0"/>
        <w:spacing w:line="460" w:lineRule="exact"/>
        <w:ind w:leftChars="0" w:left="1276"/>
        <w:jc w:val="both"/>
        <w:rPr>
          <w:rFonts w:eastAsia="標楷體"/>
          <w:sz w:val="28"/>
          <w:szCs w:val="28"/>
        </w:rPr>
      </w:pPr>
    </w:p>
    <w:p w:rsidR="004D7B00" w:rsidRPr="00D55DC6" w:rsidRDefault="004D7B00" w:rsidP="000725AB">
      <w:pPr>
        <w:pStyle w:val="af2"/>
        <w:snapToGrid w:val="0"/>
        <w:spacing w:line="460" w:lineRule="exact"/>
        <w:ind w:leftChars="0" w:left="1276"/>
        <w:jc w:val="both"/>
        <w:rPr>
          <w:rFonts w:eastAsia="標楷體"/>
          <w:sz w:val="28"/>
          <w:szCs w:val="28"/>
        </w:rPr>
      </w:pPr>
    </w:p>
    <w:p w:rsidR="00D4339C" w:rsidRPr="00D55DC6" w:rsidRDefault="00D4339C" w:rsidP="004865C1">
      <w:pPr>
        <w:pStyle w:val="af2"/>
        <w:numPr>
          <w:ilvl w:val="0"/>
          <w:numId w:val="68"/>
        </w:numPr>
        <w:snapToGrid w:val="0"/>
        <w:spacing w:line="460" w:lineRule="exact"/>
        <w:ind w:leftChars="0"/>
        <w:jc w:val="both"/>
        <w:rPr>
          <w:rFonts w:eastAsia="標楷體"/>
          <w:b/>
          <w:sz w:val="28"/>
          <w:szCs w:val="28"/>
        </w:rPr>
      </w:pPr>
      <w:r w:rsidRPr="00D55DC6">
        <w:rPr>
          <w:rFonts w:eastAsia="標楷體"/>
          <w:b/>
          <w:sz w:val="28"/>
          <w:szCs w:val="28"/>
        </w:rPr>
        <w:lastRenderedPageBreak/>
        <w:t>主要工作項目</w:t>
      </w:r>
    </w:p>
    <w:p w:rsidR="00D4339C" w:rsidRPr="00D55DC6" w:rsidRDefault="00D4339C" w:rsidP="004865C1">
      <w:pPr>
        <w:pStyle w:val="af2"/>
        <w:numPr>
          <w:ilvl w:val="1"/>
          <w:numId w:val="68"/>
        </w:numPr>
        <w:snapToGrid w:val="0"/>
        <w:spacing w:line="460" w:lineRule="exact"/>
        <w:ind w:leftChars="0"/>
        <w:jc w:val="both"/>
        <w:rPr>
          <w:rFonts w:eastAsia="標楷體"/>
          <w:b/>
          <w:sz w:val="28"/>
          <w:szCs w:val="28"/>
        </w:rPr>
      </w:pPr>
      <w:r w:rsidRPr="00D55DC6">
        <w:rPr>
          <w:rFonts w:eastAsia="標楷體"/>
          <w:b/>
          <w:sz w:val="28"/>
          <w:szCs w:val="28"/>
        </w:rPr>
        <w:t>國際觀光景點建設</w:t>
      </w:r>
    </w:p>
    <w:p w:rsidR="00D4339C" w:rsidRPr="00D55DC6" w:rsidRDefault="00D4339C" w:rsidP="0038165F">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1-1.</w:t>
      </w:r>
      <w:r w:rsidRPr="00D55DC6">
        <w:rPr>
          <w:rFonts w:eastAsia="標楷體"/>
          <w:sz w:val="28"/>
          <w:szCs w:val="28"/>
        </w:rPr>
        <w:t>環潭遊憩區：辦理日月潭人車分道系統、碼頭岸基服務設施、水社、向山、伊達邵、慈恩塔文化園區等環潭遊憩系統周邊景觀改善及公共設施新建或整建等。</w:t>
      </w:r>
    </w:p>
    <w:p w:rsidR="00D4339C" w:rsidRPr="00D55DC6" w:rsidRDefault="00D4339C" w:rsidP="004865C1">
      <w:pPr>
        <w:pStyle w:val="af2"/>
        <w:numPr>
          <w:ilvl w:val="1"/>
          <w:numId w:val="68"/>
        </w:numPr>
        <w:snapToGrid w:val="0"/>
        <w:spacing w:line="460" w:lineRule="exact"/>
        <w:ind w:leftChars="0"/>
        <w:jc w:val="both"/>
        <w:rPr>
          <w:rFonts w:eastAsia="標楷體"/>
          <w:b/>
          <w:sz w:val="28"/>
          <w:szCs w:val="28"/>
        </w:rPr>
      </w:pPr>
      <w:r w:rsidRPr="00D55DC6">
        <w:rPr>
          <w:rFonts w:eastAsia="標楷體"/>
          <w:b/>
          <w:sz w:val="28"/>
          <w:szCs w:val="28"/>
        </w:rPr>
        <w:t>國內觀光景點建設</w:t>
      </w:r>
    </w:p>
    <w:p w:rsidR="00D4339C" w:rsidRPr="00D55DC6" w:rsidRDefault="00D4339C" w:rsidP="0038165F">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2-1.</w:t>
      </w:r>
      <w:r w:rsidRPr="00D55DC6">
        <w:rPr>
          <w:rFonts w:eastAsia="標楷體"/>
          <w:sz w:val="28"/>
          <w:szCs w:val="28"/>
        </w:rPr>
        <w:t>埔里遊憩系統：辦理桃米、澀水等地區景觀改善及公共設施新建或整建等工程。</w:t>
      </w:r>
    </w:p>
    <w:p w:rsidR="00D4339C" w:rsidRPr="00D55DC6" w:rsidRDefault="00D4339C" w:rsidP="0038165F">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2-2.</w:t>
      </w:r>
      <w:r w:rsidRPr="00D55DC6">
        <w:rPr>
          <w:rFonts w:eastAsia="標楷體"/>
          <w:sz w:val="28"/>
          <w:szCs w:val="28"/>
        </w:rPr>
        <w:t>集集水里遊憩系統：辦理車埕、綠色隧道等集集水里遊憩系統周邊景觀改善及公共設施整建工程。</w:t>
      </w:r>
    </w:p>
    <w:p w:rsidR="00D4339C" w:rsidRPr="00D55DC6" w:rsidRDefault="00D4339C" w:rsidP="0038165F">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2-3.</w:t>
      </w:r>
      <w:r w:rsidRPr="00D55DC6">
        <w:rPr>
          <w:rFonts w:eastAsia="標楷體"/>
          <w:sz w:val="28"/>
          <w:szCs w:val="28"/>
        </w:rPr>
        <w:t>濁水溪遊憩系統：辦理潭南、雙龍、地利等濁水溪遊憩系統周邊景觀改善及公共設施新建或整建工程。</w:t>
      </w:r>
    </w:p>
    <w:p w:rsidR="00D4339C" w:rsidRPr="00D55DC6" w:rsidRDefault="00D4339C" w:rsidP="004865C1">
      <w:pPr>
        <w:pStyle w:val="af2"/>
        <w:numPr>
          <w:ilvl w:val="1"/>
          <w:numId w:val="68"/>
        </w:numPr>
        <w:snapToGrid w:val="0"/>
        <w:spacing w:line="460" w:lineRule="exact"/>
        <w:ind w:leftChars="0"/>
        <w:jc w:val="both"/>
        <w:rPr>
          <w:rFonts w:eastAsia="標楷體"/>
          <w:b/>
          <w:sz w:val="28"/>
          <w:szCs w:val="28"/>
        </w:rPr>
      </w:pPr>
      <w:r w:rsidRPr="00D55DC6">
        <w:rPr>
          <w:rFonts w:eastAsia="標楷體"/>
          <w:b/>
          <w:sz w:val="28"/>
          <w:szCs w:val="28"/>
        </w:rPr>
        <w:t>國家風景區經營管理</w:t>
      </w:r>
    </w:p>
    <w:p w:rsidR="00D4339C" w:rsidRPr="00D55DC6" w:rsidRDefault="00D4339C" w:rsidP="0038165F">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3-1.</w:t>
      </w:r>
      <w:r w:rsidRPr="00D55DC6">
        <w:rPr>
          <w:rFonts w:eastAsia="標楷體"/>
          <w:sz w:val="28"/>
          <w:szCs w:val="28"/>
        </w:rPr>
        <w:t>用地取得：辦理轄區訂樁測量、徵收價購、撥用補償等建設用地取得作業及其他相關作業。</w:t>
      </w:r>
    </w:p>
    <w:p w:rsidR="00D4339C" w:rsidRPr="00D55DC6" w:rsidRDefault="00D4339C" w:rsidP="0038165F">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3-2.</w:t>
      </w:r>
      <w:r w:rsidRPr="00D55DC6">
        <w:rPr>
          <w:rFonts w:eastAsia="標楷體"/>
          <w:sz w:val="28"/>
          <w:szCs w:val="28"/>
        </w:rPr>
        <w:t>先期規劃設計：辦理日月潭國家風景區自然生態監測、交通整體規劃、促參可行性評估、公共設施規劃設計案等。</w:t>
      </w:r>
    </w:p>
    <w:p w:rsidR="00D4339C" w:rsidRPr="00D55DC6" w:rsidRDefault="00D4339C" w:rsidP="0038165F">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3-3.</w:t>
      </w:r>
      <w:r w:rsidRPr="00D55DC6">
        <w:rPr>
          <w:rFonts w:eastAsia="標楷體"/>
          <w:sz w:val="28"/>
          <w:szCs w:val="28"/>
        </w:rPr>
        <w:t>全區環境植栽綠美化工程。</w:t>
      </w:r>
    </w:p>
    <w:p w:rsidR="00D4339C" w:rsidRPr="00D55DC6" w:rsidRDefault="00D4339C" w:rsidP="0038165F">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3-4.</w:t>
      </w:r>
      <w:r w:rsidRPr="00D55DC6">
        <w:rPr>
          <w:rFonts w:eastAsia="標楷體"/>
          <w:sz w:val="28"/>
          <w:szCs w:val="28"/>
        </w:rPr>
        <w:t>污水處理廠運作維護及新增管線。</w:t>
      </w:r>
    </w:p>
    <w:p w:rsidR="00D4339C" w:rsidRPr="00D55DC6" w:rsidRDefault="00D4339C" w:rsidP="0038165F">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3-5.</w:t>
      </w:r>
      <w:r w:rsidRPr="00D55DC6">
        <w:rPr>
          <w:rFonts w:eastAsia="標楷體"/>
          <w:sz w:val="28"/>
          <w:szCs w:val="28"/>
        </w:rPr>
        <w:t>環境維護及設施維持</w:t>
      </w:r>
    </w:p>
    <w:p w:rsidR="00D4339C" w:rsidRPr="00D55DC6" w:rsidRDefault="00D4339C" w:rsidP="0038165F">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3-6.</w:t>
      </w:r>
      <w:r w:rsidRPr="00D55DC6">
        <w:rPr>
          <w:rFonts w:eastAsia="標楷體"/>
          <w:sz w:val="28"/>
          <w:szCs w:val="28"/>
        </w:rPr>
        <w:t>全區災害復舊及一般零星工程</w:t>
      </w:r>
    </w:p>
    <w:p w:rsidR="00D4339C" w:rsidRPr="00D55DC6" w:rsidRDefault="00D4339C" w:rsidP="004865C1">
      <w:pPr>
        <w:pStyle w:val="af2"/>
        <w:numPr>
          <w:ilvl w:val="1"/>
          <w:numId w:val="68"/>
        </w:numPr>
        <w:snapToGrid w:val="0"/>
        <w:spacing w:line="460" w:lineRule="exact"/>
        <w:ind w:leftChars="0"/>
        <w:jc w:val="both"/>
        <w:rPr>
          <w:rFonts w:eastAsia="標楷體"/>
          <w:b/>
          <w:sz w:val="28"/>
          <w:szCs w:val="28"/>
        </w:rPr>
      </w:pPr>
      <w:r w:rsidRPr="00D55DC6">
        <w:rPr>
          <w:rFonts w:eastAsia="標楷體"/>
          <w:b/>
          <w:sz w:val="28"/>
          <w:szCs w:val="28"/>
        </w:rPr>
        <w:t>經營管理及行銷推廣</w:t>
      </w:r>
    </w:p>
    <w:p w:rsidR="00D4339C" w:rsidRPr="00D55DC6" w:rsidRDefault="00D4339C" w:rsidP="0038165F">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4-1.</w:t>
      </w:r>
      <w:r w:rsidRPr="00D55DC6">
        <w:rPr>
          <w:rFonts w:eastAsia="標楷體"/>
          <w:sz w:val="28"/>
          <w:szCs w:val="28"/>
        </w:rPr>
        <w:t>提昇遊客安全：進行安全管理措施、水域活動管理、緊急救難系統及遊客安全宣導等相關工作。</w:t>
      </w:r>
    </w:p>
    <w:p w:rsidR="00D4339C" w:rsidRPr="00D55DC6" w:rsidRDefault="00D4339C" w:rsidP="0038165F">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4-2.</w:t>
      </w:r>
      <w:r w:rsidRPr="00D55DC6">
        <w:rPr>
          <w:rFonts w:eastAsia="標楷體"/>
          <w:sz w:val="28"/>
          <w:szCs w:val="28"/>
        </w:rPr>
        <w:t>設施維護管理：運用設施維護制度定時巡檢、即時維修，明顯標示指標告示牌等。</w:t>
      </w:r>
    </w:p>
    <w:p w:rsidR="00D4339C" w:rsidRPr="00D55DC6" w:rsidRDefault="00D4339C" w:rsidP="0038165F">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4-3.</w:t>
      </w:r>
      <w:r w:rsidRPr="00D55DC6">
        <w:rPr>
          <w:rFonts w:eastAsia="標楷體"/>
          <w:sz w:val="28"/>
          <w:szCs w:val="28"/>
        </w:rPr>
        <w:t>環境整潔美化：訂定環境清潔工作執行計畫、植栽景觀及維護、人性化公廁設計等。</w:t>
      </w:r>
    </w:p>
    <w:p w:rsidR="00D4339C" w:rsidRPr="00D55DC6" w:rsidRDefault="00D4339C" w:rsidP="0038165F">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4-4.</w:t>
      </w:r>
      <w:r w:rsidRPr="00D55DC6">
        <w:rPr>
          <w:rFonts w:eastAsia="標楷體"/>
          <w:sz w:val="28"/>
          <w:szCs w:val="28"/>
        </w:rPr>
        <w:t>以春賞櫻、夏賞螢、秋賞樂、冬賞梅規劃四季主軸活動，舉辦日月潭賞櫻路跑、星光螢火季、嘉年華、迎晨曦、自行車等年</w:t>
      </w:r>
      <w:r w:rsidRPr="00D55DC6">
        <w:rPr>
          <w:rFonts w:eastAsia="標楷體"/>
          <w:sz w:val="28"/>
          <w:szCs w:val="28"/>
        </w:rPr>
        <w:lastRenderedPageBreak/>
        <w:t>度活動。</w:t>
      </w:r>
    </w:p>
    <w:p w:rsidR="00D4339C" w:rsidRPr="00D55DC6" w:rsidRDefault="00D4339C" w:rsidP="0038165F">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4-5.</w:t>
      </w:r>
      <w:r w:rsidRPr="00D55DC6">
        <w:rPr>
          <w:rFonts w:eastAsia="標楷體"/>
          <w:sz w:val="28"/>
          <w:szCs w:val="28"/>
        </w:rPr>
        <w:t>串連水、陸、空多元交通無縫隙接駁服務，結合生態、產業之資源，發展特色旅遊套票。</w:t>
      </w:r>
    </w:p>
    <w:p w:rsidR="00D4339C" w:rsidRPr="00D55DC6" w:rsidRDefault="00D4339C" w:rsidP="004865C1">
      <w:pPr>
        <w:pStyle w:val="af2"/>
        <w:numPr>
          <w:ilvl w:val="1"/>
          <w:numId w:val="68"/>
        </w:numPr>
        <w:snapToGrid w:val="0"/>
        <w:spacing w:line="460" w:lineRule="exact"/>
        <w:ind w:leftChars="0"/>
        <w:jc w:val="both"/>
        <w:rPr>
          <w:rFonts w:eastAsia="標楷體"/>
          <w:b/>
          <w:sz w:val="28"/>
          <w:szCs w:val="28"/>
        </w:rPr>
      </w:pPr>
      <w:r w:rsidRPr="00D55DC6">
        <w:rPr>
          <w:rFonts w:eastAsia="標楷體"/>
          <w:b/>
          <w:sz w:val="28"/>
          <w:szCs w:val="28"/>
        </w:rPr>
        <w:t>提升觀光建設自償性</w:t>
      </w:r>
    </w:p>
    <w:p w:rsidR="00D4339C" w:rsidRPr="00D55DC6" w:rsidRDefault="00D4339C" w:rsidP="0038165F">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5-1.</w:t>
      </w:r>
      <w:r w:rsidRPr="00D55DC6">
        <w:rPr>
          <w:rFonts w:eastAsia="標楷體"/>
          <w:sz w:val="28"/>
          <w:szCs w:val="28"/>
        </w:rPr>
        <w:t>設施出租：辦理埔里管理站暨遊客中心賣店出租、伊達邵停車場出租及其他既有及新增設施委外經經營出租案件。</w:t>
      </w:r>
    </w:p>
    <w:p w:rsidR="00D4339C" w:rsidRPr="00D55DC6" w:rsidRDefault="00D4339C" w:rsidP="0038165F">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5-2.</w:t>
      </w:r>
      <w:r w:rsidRPr="00D55DC6">
        <w:rPr>
          <w:rFonts w:eastAsia="標楷體"/>
          <w:sz w:val="28"/>
          <w:szCs w:val="28"/>
        </w:rPr>
        <w:t>促參：賡續推動向山觀光旅館</w:t>
      </w:r>
      <w:r w:rsidRPr="00D55DC6">
        <w:rPr>
          <w:rFonts w:eastAsia="標楷體"/>
          <w:sz w:val="28"/>
          <w:szCs w:val="28"/>
        </w:rPr>
        <w:t>BOT</w:t>
      </w:r>
      <w:r w:rsidRPr="00D55DC6">
        <w:rPr>
          <w:rFonts w:eastAsia="標楷體"/>
          <w:sz w:val="28"/>
          <w:szCs w:val="28"/>
        </w:rPr>
        <w:t>案、向山至車埕纜車系統案及水里頂崁地區觀光遊憩設施案等。</w:t>
      </w:r>
    </w:p>
    <w:p w:rsidR="00D4339C" w:rsidRPr="00D55DC6" w:rsidRDefault="00D4339C" w:rsidP="0038165F">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5-3.</w:t>
      </w:r>
      <w:r w:rsidRPr="00D55DC6">
        <w:rPr>
          <w:rFonts w:eastAsia="標楷體"/>
          <w:sz w:val="28"/>
          <w:szCs w:val="28"/>
        </w:rPr>
        <w:t>使用者付費：規劃收取碼頭清潔維護費及停車場收費機制。</w:t>
      </w:r>
    </w:p>
    <w:p w:rsidR="00D4339C" w:rsidRPr="00D55DC6" w:rsidRDefault="00D4339C" w:rsidP="004865C1">
      <w:pPr>
        <w:pStyle w:val="af2"/>
        <w:numPr>
          <w:ilvl w:val="0"/>
          <w:numId w:val="68"/>
        </w:numPr>
        <w:snapToGrid w:val="0"/>
        <w:spacing w:line="460" w:lineRule="exact"/>
        <w:ind w:leftChars="0"/>
        <w:jc w:val="both"/>
        <w:rPr>
          <w:rFonts w:eastAsia="標楷體"/>
          <w:b/>
          <w:sz w:val="28"/>
          <w:szCs w:val="28"/>
        </w:rPr>
      </w:pPr>
      <w:r w:rsidRPr="00D55DC6">
        <w:rPr>
          <w:rFonts w:eastAsia="標楷體"/>
          <w:b/>
          <w:sz w:val="28"/>
          <w:szCs w:val="28"/>
        </w:rPr>
        <w:t>分年預期成果</w:t>
      </w:r>
    </w:p>
    <w:p w:rsidR="00D4339C" w:rsidRPr="00D55DC6" w:rsidRDefault="00D4339C" w:rsidP="004865C1">
      <w:pPr>
        <w:pStyle w:val="af2"/>
        <w:numPr>
          <w:ilvl w:val="0"/>
          <w:numId w:val="69"/>
        </w:numPr>
        <w:snapToGrid w:val="0"/>
        <w:spacing w:line="460" w:lineRule="exact"/>
        <w:ind w:leftChars="0"/>
        <w:jc w:val="both"/>
        <w:rPr>
          <w:rFonts w:eastAsia="標楷體"/>
          <w:b/>
          <w:sz w:val="28"/>
          <w:szCs w:val="28"/>
        </w:rPr>
      </w:pPr>
      <w:r w:rsidRPr="00D55DC6">
        <w:rPr>
          <w:rFonts w:eastAsia="標楷體"/>
          <w:b/>
          <w:sz w:val="28"/>
          <w:szCs w:val="28"/>
        </w:rPr>
        <w:t>105</w:t>
      </w:r>
      <w:r w:rsidRPr="00D55DC6">
        <w:rPr>
          <w:rFonts w:eastAsia="標楷體"/>
          <w:b/>
          <w:sz w:val="28"/>
          <w:szCs w:val="28"/>
        </w:rPr>
        <w:t>年完成</w:t>
      </w:r>
      <w:r w:rsidRPr="00D55DC6">
        <w:rPr>
          <w:rFonts w:eastAsia="標楷體"/>
          <w:sz w:val="28"/>
          <w:szCs w:val="28"/>
        </w:rPr>
        <w:t>：</w:t>
      </w:r>
    </w:p>
    <w:p w:rsidR="00D4339C" w:rsidRPr="00D55DC6" w:rsidRDefault="00D4339C" w:rsidP="004865C1">
      <w:pPr>
        <w:pStyle w:val="af2"/>
        <w:numPr>
          <w:ilvl w:val="1"/>
          <w:numId w:val="59"/>
        </w:numPr>
        <w:snapToGrid w:val="0"/>
        <w:spacing w:line="460" w:lineRule="exact"/>
        <w:ind w:leftChars="0" w:left="1418" w:hanging="578"/>
        <w:jc w:val="both"/>
        <w:rPr>
          <w:rFonts w:eastAsia="標楷體"/>
          <w:sz w:val="28"/>
          <w:szCs w:val="28"/>
        </w:rPr>
      </w:pPr>
      <w:r w:rsidRPr="00D55DC6">
        <w:rPr>
          <w:rFonts w:eastAsia="標楷體"/>
          <w:sz w:val="28"/>
          <w:szCs w:val="28"/>
        </w:rPr>
        <w:t>國際觀光重要景點：環潭遊憩系統（水社、伊達邵等環潭地區）公共設施興建及</w:t>
      </w:r>
      <w:r w:rsidR="00397CE7" w:rsidRPr="00D55DC6">
        <w:rPr>
          <w:rFonts w:eastAsia="標楷體"/>
          <w:sz w:val="28"/>
          <w:szCs w:val="28"/>
        </w:rPr>
        <w:t>周邊</w:t>
      </w:r>
      <w:r w:rsidRPr="00D55DC6">
        <w:rPr>
          <w:rFonts w:eastAsia="標楷體"/>
          <w:sz w:val="28"/>
          <w:szCs w:val="28"/>
        </w:rPr>
        <w:t>景觀改善。</w:t>
      </w:r>
    </w:p>
    <w:p w:rsidR="00D4339C" w:rsidRPr="00D55DC6" w:rsidRDefault="00D4339C" w:rsidP="004865C1">
      <w:pPr>
        <w:pStyle w:val="af2"/>
        <w:numPr>
          <w:ilvl w:val="1"/>
          <w:numId w:val="59"/>
        </w:numPr>
        <w:snapToGrid w:val="0"/>
        <w:spacing w:line="460" w:lineRule="exact"/>
        <w:ind w:leftChars="0" w:left="1418" w:hanging="578"/>
        <w:jc w:val="both"/>
        <w:rPr>
          <w:rFonts w:eastAsia="標楷體"/>
          <w:b/>
          <w:sz w:val="28"/>
          <w:szCs w:val="28"/>
        </w:rPr>
      </w:pPr>
      <w:r w:rsidRPr="00D55DC6">
        <w:rPr>
          <w:rFonts w:eastAsia="標楷體"/>
          <w:sz w:val="28"/>
          <w:szCs w:val="28"/>
        </w:rPr>
        <w:t>國內觀光重要景點：埔里魚池遊憩系統公共設施之興建及</w:t>
      </w:r>
      <w:r w:rsidR="00397CE7" w:rsidRPr="00D55DC6">
        <w:rPr>
          <w:rFonts w:eastAsia="標楷體"/>
          <w:sz w:val="28"/>
          <w:szCs w:val="28"/>
        </w:rPr>
        <w:t>周邊</w:t>
      </w:r>
      <w:r w:rsidRPr="00D55DC6">
        <w:rPr>
          <w:rFonts w:eastAsia="標楷體"/>
          <w:sz w:val="28"/>
          <w:szCs w:val="28"/>
        </w:rPr>
        <w:t>景觀改善。</w:t>
      </w:r>
    </w:p>
    <w:p w:rsidR="00D4339C" w:rsidRPr="00D55DC6" w:rsidRDefault="00D4339C" w:rsidP="004865C1">
      <w:pPr>
        <w:pStyle w:val="af2"/>
        <w:numPr>
          <w:ilvl w:val="0"/>
          <w:numId w:val="69"/>
        </w:numPr>
        <w:snapToGrid w:val="0"/>
        <w:spacing w:line="460" w:lineRule="exact"/>
        <w:ind w:leftChars="0"/>
        <w:jc w:val="both"/>
        <w:rPr>
          <w:rFonts w:eastAsia="標楷體"/>
          <w:b/>
          <w:sz w:val="28"/>
          <w:szCs w:val="28"/>
        </w:rPr>
      </w:pPr>
      <w:r w:rsidRPr="00D55DC6">
        <w:rPr>
          <w:rFonts w:eastAsia="標楷體"/>
          <w:b/>
          <w:sz w:val="28"/>
          <w:szCs w:val="28"/>
        </w:rPr>
        <w:t>106</w:t>
      </w:r>
      <w:r w:rsidRPr="00D55DC6">
        <w:rPr>
          <w:rFonts w:eastAsia="標楷體"/>
          <w:b/>
          <w:sz w:val="28"/>
          <w:szCs w:val="28"/>
        </w:rPr>
        <w:t>年完成</w:t>
      </w:r>
      <w:r w:rsidRPr="00D55DC6">
        <w:rPr>
          <w:rFonts w:eastAsia="標楷體"/>
          <w:sz w:val="28"/>
          <w:szCs w:val="28"/>
        </w:rPr>
        <w:t>：</w:t>
      </w:r>
    </w:p>
    <w:p w:rsidR="00D4339C" w:rsidRPr="00D55DC6" w:rsidRDefault="00D4339C" w:rsidP="004865C1">
      <w:pPr>
        <w:pStyle w:val="af2"/>
        <w:numPr>
          <w:ilvl w:val="0"/>
          <w:numId w:val="60"/>
        </w:numPr>
        <w:snapToGrid w:val="0"/>
        <w:spacing w:line="460" w:lineRule="exact"/>
        <w:ind w:leftChars="0"/>
        <w:jc w:val="both"/>
        <w:rPr>
          <w:rFonts w:eastAsia="標楷體"/>
          <w:vanish/>
          <w:sz w:val="28"/>
          <w:szCs w:val="28"/>
        </w:rPr>
      </w:pPr>
    </w:p>
    <w:p w:rsidR="00D4339C" w:rsidRPr="00D55DC6" w:rsidRDefault="00D4339C" w:rsidP="004865C1">
      <w:pPr>
        <w:pStyle w:val="af2"/>
        <w:numPr>
          <w:ilvl w:val="0"/>
          <w:numId w:val="60"/>
        </w:numPr>
        <w:snapToGrid w:val="0"/>
        <w:spacing w:line="460" w:lineRule="exact"/>
        <w:ind w:leftChars="0"/>
        <w:jc w:val="both"/>
        <w:rPr>
          <w:rFonts w:eastAsia="標楷體"/>
          <w:vanish/>
          <w:sz w:val="28"/>
          <w:szCs w:val="28"/>
        </w:rPr>
      </w:pPr>
    </w:p>
    <w:p w:rsidR="00D4339C" w:rsidRPr="00D55DC6" w:rsidRDefault="00D4339C" w:rsidP="004865C1">
      <w:pPr>
        <w:pStyle w:val="af2"/>
        <w:numPr>
          <w:ilvl w:val="1"/>
          <w:numId w:val="60"/>
        </w:numPr>
        <w:snapToGrid w:val="0"/>
        <w:spacing w:line="460" w:lineRule="exact"/>
        <w:ind w:leftChars="0" w:left="1418" w:hanging="567"/>
        <w:jc w:val="both"/>
        <w:rPr>
          <w:rFonts w:eastAsia="標楷體"/>
          <w:b/>
          <w:sz w:val="28"/>
          <w:szCs w:val="28"/>
        </w:rPr>
      </w:pPr>
      <w:r w:rsidRPr="00D55DC6">
        <w:rPr>
          <w:rFonts w:eastAsia="標楷體"/>
          <w:sz w:val="28"/>
          <w:szCs w:val="28"/>
        </w:rPr>
        <w:t>國際觀光重要景點：環潭遊憩系統公共設施興建及</w:t>
      </w:r>
      <w:r w:rsidR="00397CE7" w:rsidRPr="00D55DC6">
        <w:rPr>
          <w:rFonts w:eastAsia="標楷體"/>
          <w:sz w:val="28"/>
          <w:szCs w:val="28"/>
        </w:rPr>
        <w:t>周邊</w:t>
      </w:r>
      <w:r w:rsidRPr="00D55DC6">
        <w:rPr>
          <w:rFonts w:eastAsia="標楷體"/>
          <w:sz w:val="28"/>
          <w:szCs w:val="28"/>
        </w:rPr>
        <w:t>景觀改善，提升國際友善旅遊環境。</w:t>
      </w:r>
    </w:p>
    <w:p w:rsidR="00D4339C" w:rsidRPr="00D55DC6" w:rsidRDefault="00D4339C" w:rsidP="004865C1">
      <w:pPr>
        <w:pStyle w:val="af2"/>
        <w:numPr>
          <w:ilvl w:val="1"/>
          <w:numId w:val="60"/>
        </w:numPr>
        <w:snapToGrid w:val="0"/>
        <w:spacing w:line="460" w:lineRule="exact"/>
        <w:ind w:leftChars="0" w:left="1418" w:hanging="567"/>
        <w:jc w:val="both"/>
        <w:rPr>
          <w:rFonts w:eastAsia="標楷體"/>
          <w:b/>
          <w:sz w:val="28"/>
          <w:szCs w:val="28"/>
        </w:rPr>
      </w:pPr>
      <w:r w:rsidRPr="00D55DC6">
        <w:rPr>
          <w:rFonts w:eastAsia="標楷體"/>
          <w:sz w:val="28"/>
          <w:szCs w:val="28"/>
        </w:rPr>
        <w:t>國內觀光重要景點－原住民地區公共設施興建及</w:t>
      </w:r>
      <w:r w:rsidR="00397CE7" w:rsidRPr="00D55DC6">
        <w:rPr>
          <w:rFonts w:eastAsia="標楷體"/>
          <w:sz w:val="28"/>
          <w:szCs w:val="28"/>
        </w:rPr>
        <w:t>周邊</w:t>
      </w:r>
      <w:r w:rsidRPr="00D55DC6">
        <w:rPr>
          <w:rFonts w:eastAsia="標楷體"/>
          <w:sz w:val="28"/>
          <w:szCs w:val="28"/>
        </w:rPr>
        <w:t>景觀改善，改善原鄉旅遊服務基礎設施。</w:t>
      </w:r>
    </w:p>
    <w:p w:rsidR="00D4339C" w:rsidRPr="00D55DC6" w:rsidRDefault="00D4339C" w:rsidP="004865C1">
      <w:pPr>
        <w:pStyle w:val="af2"/>
        <w:numPr>
          <w:ilvl w:val="0"/>
          <w:numId w:val="69"/>
        </w:numPr>
        <w:snapToGrid w:val="0"/>
        <w:spacing w:line="460" w:lineRule="exact"/>
        <w:ind w:leftChars="0"/>
        <w:jc w:val="both"/>
        <w:rPr>
          <w:rFonts w:eastAsia="標楷體"/>
          <w:b/>
          <w:sz w:val="28"/>
          <w:szCs w:val="28"/>
        </w:rPr>
      </w:pPr>
      <w:r w:rsidRPr="00D55DC6">
        <w:rPr>
          <w:rFonts w:eastAsia="標楷體"/>
          <w:b/>
          <w:sz w:val="28"/>
          <w:szCs w:val="28"/>
        </w:rPr>
        <w:t>107</w:t>
      </w:r>
      <w:r w:rsidRPr="00D55DC6">
        <w:rPr>
          <w:rFonts w:eastAsia="標楷體"/>
          <w:b/>
          <w:sz w:val="28"/>
          <w:szCs w:val="28"/>
        </w:rPr>
        <w:t>年完成</w:t>
      </w:r>
      <w:r w:rsidRPr="00D55DC6">
        <w:rPr>
          <w:rFonts w:eastAsia="標楷體"/>
          <w:sz w:val="28"/>
          <w:szCs w:val="28"/>
        </w:rPr>
        <w:t>：</w:t>
      </w:r>
    </w:p>
    <w:p w:rsidR="00D4339C" w:rsidRPr="00D55DC6" w:rsidRDefault="00D4339C" w:rsidP="004865C1">
      <w:pPr>
        <w:pStyle w:val="af2"/>
        <w:numPr>
          <w:ilvl w:val="0"/>
          <w:numId w:val="61"/>
        </w:numPr>
        <w:snapToGrid w:val="0"/>
        <w:spacing w:line="460" w:lineRule="exact"/>
        <w:ind w:leftChars="0"/>
        <w:jc w:val="both"/>
        <w:rPr>
          <w:rFonts w:eastAsia="標楷體"/>
          <w:vanish/>
          <w:sz w:val="28"/>
          <w:szCs w:val="28"/>
        </w:rPr>
      </w:pPr>
    </w:p>
    <w:p w:rsidR="00D4339C" w:rsidRPr="00D55DC6" w:rsidRDefault="00D4339C" w:rsidP="004865C1">
      <w:pPr>
        <w:pStyle w:val="af2"/>
        <w:numPr>
          <w:ilvl w:val="0"/>
          <w:numId w:val="61"/>
        </w:numPr>
        <w:snapToGrid w:val="0"/>
        <w:spacing w:line="460" w:lineRule="exact"/>
        <w:ind w:leftChars="0"/>
        <w:jc w:val="both"/>
        <w:rPr>
          <w:rFonts w:eastAsia="標楷體"/>
          <w:vanish/>
          <w:sz w:val="28"/>
          <w:szCs w:val="28"/>
        </w:rPr>
      </w:pPr>
    </w:p>
    <w:p w:rsidR="00D4339C" w:rsidRPr="00D55DC6" w:rsidRDefault="00D4339C" w:rsidP="004865C1">
      <w:pPr>
        <w:pStyle w:val="af2"/>
        <w:numPr>
          <w:ilvl w:val="0"/>
          <w:numId w:val="61"/>
        </w:numPr>
        <w:snapToGrid w:val="0"/>
        <w:spacing w:line="460" w:lineRule="exact"/>
        <w:ind w:leftChars="0"/>
        <w:jc w:val="both"/>
        <w:rPr>
          <w:rFonts w:eastAsia="標楷體"/>
          <w:vanish/>
          <w:sz w:val="28"/>
          <w:szCs w:val="28"/>
        </w:rPr>
      </w:pPr>
    </w:p>
    <w:p w:rsidR="00D4339C" w:rsidRPr="00D55DC6" w:rsidRDefault="00D4339C" w:rsidP="004865C1">
      <w:pPr>
        <w:pStyle w:val="af2"/>
        <w:numPr>
          <w:ilvl w:val="1"/>
          <w:numId w:val="61"/>
        </w:numPr>
        <w:snapToGrid w:val="0"/>
        <w:spacing w:line="460" w:lineRule="exact"/>
        <w:ind w:leftChars="0" w:left="1418" w:hanging="567"/>
        <w:jc w:val="both"/>
        <w:rPr>
          <w:rFonts w:eastAsia="標楷體"/>
          <w:b/>
          <w:sz w:val="28"/>
          <w:szCs w:val="28"/>
        </w:rPr>
      </w:pPr>
      <w:r w:rsidRPr="00D55DC6">
        <w:rPr>
          <w:rFonts w:eastAsia="標楷體"/>
          <w:sz w:val="28"/>
          <w:szCs w:val="28"/>
        </w:rPr>
        <w:t>國際觀光重要景點：環潭遊憩系統（水社、向山等環潭地區）公共設施興建及</w:t>
      </w:r>
      <w:r w:rsidR="00397CE7" w:rsidRPr="00D55DC6">
        <w:rPr>
          <w:rFonts w:eastAsia="標楷體"/>
          <w:sz w:val="28"/>
          <w:szCs w:val="28"/>
        </w:rPr>
        <w:t>周邊</w:t>
      </w:r>
      <w:r w:rsidRPr="00D55DC6">
        <w:rPr>
          <w:rFonts w:eastAsia="標楷體"/>
          <w:sz w:val="28"/>
          <w:szCs w:val="28"/>
        </w:rPr>
        <w:t>景觀改善。</w:t>
      </w:r>
    </w:p>
    <w:p w:rsidR="00D4339C" w:rsidRPr="00D55DC6" w:rsidRDefault="00D4339C" w:rsidP="004865C1">
      <w:pPr>
        <w:pStyle w:val="af2"/>
        <w:numPr>
          <w:ilvl w:val="1"/>
          <w:numId w:val="61"/>
        </w:numPr>
        <w:snapToGrid w:val="0"/>
        <w:spacing w:line="460" w:lineRule="exact"/>
        <w:ind w:leftChars="0" w:left="1418" w:hanging="567"/>
        <w:jc w:val="both"/>
        <w:rPr>
          <w:rFonts w:eastAsia="標楷體"/>
          <w:b/>
          <w:sz w:val="28"/>
          <w:szCs w:val="28"/>
        </w:rPr>
      </w:pPr>
      <w:r w:rsidRPr="00D55DC6">
        <w:rPr>
          <w:rFonts w:eastAsia="標楷體"/>
          <w:sz w:val="28"/>
          <w:szCs w:val="28"/>
        </w:rPr>
        <w:t>國內觀光重要景點－集集水里遊憩系統公共設施興建及</w:t>
      </w:r>
      <w:r w:rsidR="00397CE7" w:rsidRPr="00D55DC6">
        <w:rPr>
          <w:rFonts w:eastAsia="標楷體"/>
          <w:sz w:val="28"/>
          <w:szCs w:val="28"/>
        </w:rPr>
        <w:t>周邊</w:t>
      </w:r>
      <w:r w:rsidRPr="00D55DC6">
        <w:rPr>
          <w:rFonts w:eastAsia="標楷體"/>
          <w:sz w:val="28"/>
          <w:szCs w:val="28"/>
        </w:rPr>
        <w:t>景觀改善。</w:t>
      </w:r>
    </w:p>
    <w:p w:rsidR="00D4339C" w:rsidRPr="00D55DC6" w:rsidRDefault="00D4339C" w:rsidP="004865C1">
      <w:pPr>
        <w:pStyle w:val="af2"/>
        <w:numPr>
          <w:ilvl w:val="0"/>
          <w:numId w:val="69"/>
        </w:numPr>
        <w:snapToGrid w:val="0"/>
        <w:spacing w:line="460" w:lineRule="exact"/>
        <w:ind w:leftChars="0"/>
        <w:jc w:val="both"/>
        <w:rPr>
          <w:rFonts w:eastAsia="標楷體"/>
          <w:b/>
          <w:sz w:val="28"/>
          <w:szCs w:val="28"/>
        </w:rPr>
      </w:pPr>
      <w:r w:rsidRPr="00D55DC6">
        <w:rPr>
          <w:rFonts w:eastAsia="標楷體"/>
          <w:b/>
          <w:sz w:val="28"/>
          <w:szCs w:val="28"/>
        </w:rPr>
        <w:t>108</w:t>
      </w:r>
      <w:r w:rsidRPr="00D55DC6">
        <w:rPr>
          <w:rFonts w:eastAsia="標楷體"/>
          <w:b/>
          <w:sz w:val="28"/>
          <w:szCs w:val="28"/>
        </w:rPr>
        <w:t>年完成</w:t>
      </w:r>
      <w:r w:rsidRPr="00D55DC6">
        <w:rPr>
          <w:rFonts w:eastAsia="標楷體"/>
          <w:sz w:val="28"/>
          <w:szCs w:val="28"/>
        </w:rPr>
        <w:t>：</w:t>
      </w:r>
    </w:p>
    <w:p w:rsidR="00D4339C" w:rsidRPr="00D55DC6" w:rsidRDefault="00D4339C" w:rsidP="004865C1">
      <w:pPr>
        <w:pStyle w:val="af2"/>
        <w:numPr>
          <w:ilvl w:val="0"/>
          <w:numId w:val="62"/>
        </w:numPr>
        <w:snapToGrid w:val="0"/>
        <w:spacing w:line="460" w:lineRule="exact"/>
        <w:ind w:leftChars="0"/>
        <w:jc w:val="both"/>
        <w:rPr>
          <w:rFonts w:eastAsia="標楷體"/>
          <w:vanish/>
          <w:sz w:val="28"/>
          <w:szCs w:val="28"/>
        </w:rPr>
      </w:pPr>
    </w:p>
    <w:p w:rsidR="00D4339C" w:rsidRPr="00D55DC6" w:rsidRDefault="00D4339C" w:rsidP="004865C1">
      <w:pPr>
        <w:pStyle w:val="af2"/>
        <w:numPr>
          <w:ilvl w:val="0"/>
          <w:numId w:val="62"/>
        </w:numPr>
        <w:snapToGrid w:val="0"/>
        <w:spacing w:line="460" w:lineRule="exact"/>
        <w:ind w:leftChars="0"/>
        <w:jc w:val="both"/>
        <w:rPr>
          <w:rFonts w:eastAsia="標楷體"/>
          <w:vanish/>
          <w:sz w:val="28"/>
          <w:szCs w:val="28"/>
        </w:rPr>
      </w:pPr>
    </w:p>
    <w:p w:rsidR="00D4339C" w:rsidRPr="00D55DC6" w:rsidRDefault="00D4339C" w:rsidP="004865C1">
      <w:pPr>
        <w:pStyle w:val="af2"/>
        <w:numPr>
          <w:ilvl w:val="0"/>
          <w:numId w:val="62"/>
        </w:numPr>
        <w:snapToGrid w:val="0"/>
        <w:spacing w:line="460" w:lineRule="exact"/>
        <w:ind w:leftChars="0"/>
        <w:jc w:val="both"/>
        <w:rPr>
          <w:rFonts w:eastAsia="標楷體"/>
          <w:vanish/>
          <w:sz w:val="28"/>
          <w:szCs w:val="28"/>
        </w:rPr>
      </w:pPr>
    </w:p>
    <w:p w:rsidR="00D4339C" w:rsidRPr="00D55DC6" w:rsidRDefault="00D4339C" w:rsidP="004865C1">
      <w:pPr>
        <w:pStyle w:val="af2"/>
        <w:numPr>
          <w:ilvl w:val="0"/>
          <w:numId w:val="62"/>
        </w:numPr>
        <w:snapToGrid w:val="0"/>
        <w:spacing w:line="460" w:lineRule="exact"/>
        <w:ind w:leftChars="0"/>
        <w:jc w:val="both"/>
        <w:rPr>
          <w:rFonts w:eastAsia="標楷體"/>
          <w:vanish/>
          <w:sz w:val="28"/>
          <w:szCs w:val="28"/>
        </w:rPr>
      </w:pPr>
    </w:p>
    <w:p w:rsidR="00D4339C" w:rsidRPr="00D55DC6" w:rsidRDefault="00D4339C" w:rsidP="004865C1">
      <w:pPr>
        <w:pStyle w:val="af2"/>
        <w:numPr>
          <w:ilvl w:val="1"/>
          <w:numId w:val="62"/>
        </w:numPr>
        <w:snapToGrid w:val="0"/>
        <w:spacing w:line="460" w:lineRule="exact"/>
        <w:ind w:leftChars="0" w:left="1418" w:hanging="567"/>
        <w:jc w:val="both"/>
        <w:rPr>
          <w:rFonts w:eastAsia="標楷體"/>
          <w:sz w:val="28"/>
          <w:szCs w:val="28"/>
        </w:rPr>
      </w:pPr>
      <w:r w:rsidRPr="00D55DC6">
        <w:rPr>
          <w:rFonts w:eastAsia="標楷體"/>
          <w:sz w:val="28"/>
          <w:szCs w:val="28"/>
        </w:rPr>
        <w:t>國際觀光重要景點：環潭遊憩系統（包括碼頭岸基設施、人車分道系統串連工程等）。</w:t>
      </w:r>
    </w:p>
    <w:p w:rsidR="00D4339C" w:rsidRPr="00D55DC6" w:rsidRDefault="00D4339C" w:rsidP="004865C1">
      <w:pPr>
        <w:pStyle w:val="af2"/>
        <w:numPr>
          <w:ilvl w:val="1"/>
          <w:numId w:val="62"/>
        </w:numPr>
        <w:snapToGrid w:val="0"/>
        <w:spacing w:line="460" w:lineRule="exact"/>
        <w:ind w:leftChars="0" w:left="1418" w:hanging="567"/>
        <w:jc w:val="both"/>
        <w:rPr>
          <w:rFonts w:eastAsia="標楷體"/>
          <w:sz w:val="28"/>
          <w:szCs w:val="28"/>
        </w:rPr>
      </w:pPr>
      <w:r w:rsidRPr="00D55DC6">
        <w:rPr>
          <w:rFonts w:eastAsia="標楷體"/>
          <w:sz w:val="28"/>
          <w:szCs w:val="28"/>
        </w:rPr>
        <w:t>國內觀光重要景點：埔里魚池、集集水里、濁水溪等副核心遊憩系統公共設施興建及</w:t>
      </w:r>
      <w:r w:rsidR="00397CE7" w:rsidRPr="00D55DC6">
        <w:rPr>
          <w:rFonts w:eastAsia="標楷體"/>
          <w:sz w:val="28"/>
          <w:szCs w:val="28"/>
        </w:rPr>
        <w:t>周邊</w:t>
      </w:r>
      <w:r w:rsidRPr="00D55DC6">
        <w:rPr>
          <w:rFonts w:eastAsia="標楷體"/>
          <w:sz w:val="28"/>
          <w:szCs w:val="28"/>
        </w:rPr>
        <w:t>景觀改善，建立安全遊憩空間。</w:t>
      </w:r>
    </w:p>
    <w:p w:rsidR="00D4339C" w:rsidRPr="00D55DC6" w:rsidRDefault="00D4339C" w:rsidP="0038165F">
      <w:pPr>
        <w:pStyle w:val="a"/>
        <w:ind w:left="709" w:hanging="709"/>
        <w:rPr>
          <w:b/>
        </w:rPr>
      </w:pPr>
      <w:bookmarkStart w:id="88" w:name="_Toc407181666"/>
      <w:r w:rsidRPr="00D55DC6">
        <w:rPr>
          <w:b/>
        </w:rPr>
        <w:lastRenderedPageBreak/>
        <w:t>期程與資源需求</w:t>
      </w:r>
      <w:bookmarkEnd w:id="88"/>
    </w:p>
    <w:p w:rsidR="00D4339C" w:rsidRPr="00D55DC6" w:rsidRDefault="00D4339C" w:rsidP="004865C1">
      <w:pPr>
        <w:pStyle w:val="af2"/>
        <w:numPr>
          <w:ilvl w:val="0"/>
          <w:numId w:val="70"/>
        </w:numPr>
        <w:snapToGrid w:val="0"/>
        <w:spacing w:line="460" w:lineRule="exact"/>
        <w:ind w:leftChars="0"/>
        <w:jc w:val="both"/>
        <w:rPr>
          <w:rFonts w:eastAsia="標楷體"/>
          <w:b/>
          <w:sz w:val="28"/>
          <w:szCs w:val="28"/>
        </w:rPr>
      </w:pPr>
      <w:r w:rsidRPr="00D55DC6">
        <w:rPr>
          <w:rFonts w:eastAsia="標楷體"/>
          <w:b/>
          <w:sz w:val="28"/>
          <w:szCs w:val="28"/>
        </w:rPr>
        <w:t>計畫期程</w:t>
      </w:r>
    </w:p>
    <w:p w:rsidR="00D4339C" w:rsidRPr="00D55DC6" w:rsidRDefault="00D4339C" w:rsidP="0038165F">
      <w:pPr>
        <w:pStyle w:val="af2"/>
        <w:snapToGrid w:val="0"/>
        <w:spacing w:line="460" w:lineRule="exact"/>
        <w:ind w:leftChars="0" w:left="864"/>
        <w:jc w:val="both"/>
        <w:rPr>
          <w:rFonts w:eastAsia="標楷體"/>
          <w:sz w:val="28"/>
          <w:szCs w:val="28"/>
        </w:rPr>
      </w:pPr>
      <w:r w:rsidRPr="00D55DC6">
        <w:rPr>
          <w:rFonts w:eastAsia="標楷體"/>
          <w:sz w:val="28"/>
          <w:szCs w:val="28"/>
        </w:rPr>
        <w:t>自</w:t>
      </w:r>
      <w:r w:rsidRPr="00D55DC6">
        <w:rPr>
          <w:rFonts w:eastAsia="標楷體"/>
          <w:sz w:val="28"/>
          <w:szCs w:val="28"/>
        </w:rPr>
        <w:t>105</w:t>
      </w:r>
      <w:r w:rsidRPr="00D55DC6">
        <w:rPr>
          <w:rFonts w:eastAsia="標楷體"/>
          <w:sz w:val="28"/>
          <w:szCs w:val="28"/>
        </w:rPr>
        <w:t>年</w:t>
      </w:r>
      <w:r w:rsidRPr="00D55DC6">
        <w:rPr>
          <w:rFonts w:eastAsia="標楷體"/>
          <w:sz w:val="28"/>
          <w:szCs w:val="28"/>
        </w:rPr>
        <w:t>1</w:t>
      </w:r>
      <w:r w:rsidRPr="00D55DC6">
        <w:rPr>
          <w:rFonts w:eastAsia="標楷體"/>
          <w:sz w:val="28"/>
          <w:szCs w:val="28"/>
        </w:rPr>
        <w:t>月至</w:t>
      </w:r>
      <w:r w:rsidRPr="00D55DC6">
        <w:rPr>
          <w:rFonts w:eastAsia="標楷體"/>
          <w:sz w:val="28"/>
          <w:szCs w:val="28"/>
        </w:rPr>
        <w:t>108</w:t>
      </w:r>
      <w:r w:rsidRPr="00D55DC6">
        <w:rPr>
          <w:rFonts w:eastAsia="標楷體"/>
          <w:sz w:val="28"/>
          <w:szCs w:val="28"/>
        </w:rPr>
        <w:t>年</w:t>
      </w:r>
      <w:r w:rsidRPr="00D55DC6">
        <w:rPr>
          <w:rFonts w:eastAsia="標楷體"/>
          <w:sz w:val="28"/>
          <w:szCs w:val="28"/>
        </w:rPr>
        <w:t>12</w:t>
      </w:r>
      <w:r w:rsidRPr="00D55DC6">
        <w:rPr>
          <w:rFonts w:eastAsia="標楷體"/>
          <w:sz w:val="28"/>
          <w:szCs w:val="28"/>
        </w:rPr>
        <w:t>月止。</w:t>
      </w:r>
    </w:p>
    <w:p w:rsidR="00AA2114" w:rsidRPr="00D55DC6" w:rsidRDefault="00AA2114" w:rsidP="0038165F">
      <w:pPr>
        <w:pStyle w:val="af2"/>
        <w:snapToGrid w:val="0"/>
        <w:spacing w:line="460" w:lineRule="exact"/>
        <w:ind w:leftChars="0" w:left="864"/>
        <w:jc w:val="both"/>
        <w:rPr>
          <w:rFonts w:eastAsia="標楷體"/>
          <w:sz w:val="28"/>
          <w:szCs w:val="28"/>
        </w:rPr>
      </w:pPr>
    </w:p>
    <w:p w:rsidR="00D4339C" w:rsidRPr="00D55DC6" w:rsidRDefault="00D4339C" w:rsidP="004865C1">
      <w:pPr>
        <w:pStyle w:val="af2"/>
        <w:numPr>
          <w:ilvl w:val="0"/>
          <w:numId w:val="70"/>
        </w:numPr>
        <w:snapToGrid w:val="0"/>
        <w:spacing w:line="460" w:lineRule="exact"/>
        <w:ind w:leftChars="0"/>
        <w:jc w:val="both"/>
        <w:rPr>
          <w:rFonts w:eastAsia="標楷體"/>
          <w:b/>
          <w:sz w:val="28"/>
          <w:szCs w:val="28"/>
        </w:rPr>
      </w:pPr>
      <w:r w:rsidRPr="00D55DC6">
        <w:rPr>
          <w:rFonts w:eastAsia="標楷體"/>
          <w:b/>
          <w:sz w:val="28"/>
          <w:szCs w:val="28"/>
        </w:rPr>
        <w:t>經費需求</w:t>
      </w:r>
      <w:r w:rsidRPr="00D55DC6">
        <w:rPr>
          <w:rFonts w:eastAsia="標楷體"/>
          <w:b/>
          <w:sz w:val="28"/>
          <w:szCs w:val="28"/>
        </w:rPr>
        <w:t>(</w:t>
      </w:r>
      <w:r w:rsidRPr="00D55DC6">
        <w:rPr>
          <w:rFonts w:eastAsia="標楷體"/>
          <w:b/>
          <w:sz w:val="28"/>
          <w:szCs w:val="28"/>
        </w:rPr>
        <w:t>含分年經費</w:t>
      </w:r>
      <w:r w:rsidRPr="00D55DC6">
        <w:rPr>
          <w:rFonts w:eastAsia="標楷體"/>
          <w:b/>
          <w:sz w:val="28"/>
          <w:szCs w:val="28"/>
        </w:rPr>
        <w:t>)</w:t>
      </w:r>
      <w:r w:rsidRPr="00D55DC6">
        <w:rPr>
          <w:rFonts w:eastAsia="標楷體"/>
          <w:b/>
          <w:sz w:val="28"/>
          <w:szCs w:val="28"/>
        </w:rPr>
        <w:t>及與中程歲出概算額度配合情形</w:t>
      </w:r>
    </w:p>
    <w:p w:rsidR="00ED041B" w:rsidRPr="00D55DC6" w:rsidRDefault="00486FAE" w:rsidP="00AA2114">
      <w:pPr>
        <w:spacing w:line="460" w:lineRule="exact"/>
        <w:ind w:left="851"/>
        <w:jc w:val="both"/>
        <w:rPr>
          <w:rFonts w:eastAsia="標楷體"/>
          <w:sz w:val="28"/>
          <w:szCs w:val="28"/>
        </w:rPr>
      </w:pPr>
      <w:r w:rsidRPr="00D55DC6">
        <w:rPr>
          <w:rFonts w:eastAsia="標楷體"/>
          <w:sz w:val="28"/>
          <w:szCs w:val="28"/>
        </w:rPr>
        <w:t>本計畫</w:t>
      </w:r>
      <w:r w:rsidR="000725AB" w:rsidRPr="00D55DC6">
        <w:rPr>
          <w:rFonts w:eastAsia="標楷體"/>
          <w:sz w:val="28"/>
          <w:szCs w:val="28"/>
        </w:rPr>
        <w:t>總經費為</w:t>
      </w:r>
      <w:r w:rsidR="000725AB" w:rsidRPr="00D55DC6">
        <w:rPr>
          <w:rFonts w:eastAsia="標楷體"/>
          <w:sz w:val="28"/>
          <w:szCs w:val="28"/>
        </w:rPr>
        <w:t>11.18</w:t>
      </w:r>
      <w:r w:rsidR="000725AB" w:rsidRPr="00D55DC6">
        <w:rPr>
          <w:rFonts w:eastAsia="標楷體"/>
          <w:sz w:val="28"/>
          <w:szCs w:val="28"/>
        </w:rPr>
        <w:t>億元，</w:t>
      </w:r>
      <w:r w:rsidRPr="00D55DC6">
        <w:rPr>
          <w:rFonts w:eastAsia="標楷體"/>
          <w:sz w:val="28"/>
          <w:szCs w:val="28"/>
        </w:rPr>
        <w:t>經費需求（含分年經費）係與中程歲出概算額度相符，分年投資重點及經費需求如下：</w:t>
      </w:r>
      <w:r w:rsidRPr="00D55DC6">
        <w:rPr>
          <w:rFonts w:eastAsia="標楷體"/>
          <w:sz w:val="28"/>
          <w:szCs w:val="28"/>
        </w:rPr>
        <w:t xml:space="preserve"> </w:t>
      </w:r>
    </w:p>
    <w:p w:rsidR="00AA2114" w:rsidRPr="00D55DC6" w:rsidRDefault="00AA2114" w:rsidP="00AA2114">
      <w:pPr>
        <w:spacing w:line="460" w:lineRule="exact"/>
        <w:ind w:left="851"/>
        <w:jc w:val="both"/>
        <w:rPr>
          <w:rFonts w:eastAsia="標楷體"/>
          <w:sz w:val="28"/>
          <w:szCs w:val="28"/>
        </w:rPr>
      </w:pPr>
    </w:p>
    <w:p w:rsidR="00AA2114" w:rsidRPr="00D55DC6" w:rsidRDefault="00AA2114" w:rsidP="00AA2114">
      <w:pPr>
        <w:spacing w:line="460" w:lineRule="exact"/>
        <w:ind w:left="851"/>
        <w:jc w:val="both"/>
        <w:rPr>
          <w:rFonts w:eastAsia="標楷體"/>
          <w:sz w:val="28"/>
          <w:szCs w:val="28"/>
        </w:rPr>
      </w:pPr>
    </w:p>
    <w:p w:rsidR="00D4339C" w:rsidRPr="00D55DC6" w:rsidRDefault="00D44C1B" w:rsidP="00ED041B">
      <w:pPr>
        <w:snapToGrid w:val="0"/>
        <w:spacing w:line="460" w:lineRule="exact"/>
        <w:ind w:leftChars="354" w:left="850"/>
        <w:jc w:val="right"/>
        <w:rPr>
          <w:rFonts w:eastAsia="標楷體"/>
          <w:sz w:val="28"/>
          <w:szCs w:val="28"/>
        </w:rPr>
      </w:pPr>
      <w:r w:rsidRPr="00D55DC6">
        <w:rPr>
          <w:rFonts w:eastAsia="標楷體"/>
          <w:sz w:val="28"/>
          <w:szCs w:val="28"/>
        </w:rPr>
        <w:t xml:space="preserve">         (</w:t>
      </w:r>
      <w:r w:rsidRPr="00D55DC6">
        <w:rPr>
          <w:rFonts w:eastAsia="標楷體"/>
          <w:sz w:val="28"/>
          <w:szCs w:val="28"/>
        </w:rPr>
        <w:t>單位：億元</w:t>
      </w:r>
      <w:r w:rsidRPr="00D55DC6">
        <w:rPr>
          <w:rFonts w:eastAsia="標楷體"/>
          <w:sz w:val="28"/>
          <w:szCs w:val="28"/>
        </w:rPr>
        <w:t>)</w:t>
      </w:r>
    </w:p>
    <w:tbl>
      <w:tblPr>
        <w:tblW w:w="9982" w:type="dxa"/>
        <w:tblInd w:w="-398" w:type="dxa"/>
        <w:tblCellMar>
          <w:left w:w="28" w:type="dxa"/>
          <w:right w:w="28" w:type="dxa"/>
        </w:tblCellMar>
        <w:tblLook w:val="00A0" w:firstRow="1" w:lastRow="0" w:firstColumn="1" w:lastColumn="0" w:noHBand="0" w:noVBand="0"/>
      </w:tblPr>
      <w:tblGrid>
        <w:gridCol w:w="400"/>
        <w:gridCol w:w="891"/>
        <w:gridCol w:w="1102"/>
        <w:gridCol w:w="2344"/>
        <w:gridCol w:w="709"/>
        <w:gridCol w:w="709"/>
        <w:gridCol w:w="709"/>
        <w:gridCol w:w="708"/>
        <w:gridCol w:w="851"/>
        <w:gridCol w:w="1559"/>
      </w:tblGrid>
      <w:tr w:rsidR="001D0350" w:rsidRPr="00D55DC6" w:rsidTr="00D44C1B">
        <w:trPr>
          <w:trHeight w:val="345"/>
          <w:tblHeader/>
        </w:trPr>
        <w:tc>
          <w:tcPr>
            <w:tcW w:w="400"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D4339C" w:rsidRPr="00D55DC6" w:rsidRDefault="00D4339C" w:rsidP="0038165F">
            <w:pPr>
              <w:widowControl/>
              <w:spacing w:line="0" w:lineRule="atLeast"/>
              <w:jc w:val="center"/>
              <w:rPr>
                <w:rFonts w:eastAsia="標楷體"/>
                <w:kern w:val="0"/>
              </w:rPr>
            </w:pPr>
            <w:r w:rsidRPr="00D55DC6">
              <w:rPr>
                <w:rFonts w:eastAsia="標楷體"/>
                <w:kern w:val="0"/>
              </w:rPr>
              <w:t>科目別</w:t>
            </w:r>
          </w:p>
        </w:tc>
        <w:tc>
          <w:tcPr>
            <w:tcW w:w="891" w:type="dxa"/>
            <w:tcBorders>
              <w:top w:val="single" w:sz="8" w:space="0" w:color="auto"/>
              <w:left w:val="nil"/>
              <w:bottom w:val="single" w:sz="8" w:space="0" w:color="auto"/>
              <w:right w:val="single" w:sz="8" w:space="0" w:color="auto"/>
            </w:tcBorders>
            <w:shd w:val="clear" w:color="000000" w:fill="FFFF99"/>
            <w:vAlign w:val="center"/>
          </w:tcPr>
          <w:p w:rsidR="00D4339C" w:rsidRPr="00D55DC6" w:rsidRDefault="00D4339C" w:rsidP="0038165F">
            <w:pPr>
              <w:widowControl/>
              <w:spacing w:line="0" w:lineRule="atLeast"/>
              <w:jc w:val="center"/>
              <w:rPr>
                <w:rFonts w:eastAsia="標楷體"/>
                <w:kern w:val="0"/>
              </w:rPr>
            </w:pPr>
            <w:r w:rsidRPr="00D55DC6">
              <w:rPr>
                <w:rFonts w:eastAsia="標楷體"/>
                <w:kern w:val="0"/>
                <w:szCs w:val="22"/>
              </w:rPr>
              <w:t>1</w:t>
            </w:r>
            <w:r w:rsidRPr="00D55DC6">
              <w:rPr>
                <w:rFonts w:eastAsia="標楷體"/>
                <w:kern w:val="0"/>
                <w:szCs w:val="22"/>
              </w:rPr>
              <w:t>級</w:t>
            </w:r>
          </w:p>
        </w:tc>
        <w:tc>
          <w:tcPr>
            <w:tcW w:w="1102" w:type="dxa"/>
            <w:tcBorders>
              <w:top w:val="single" w:sz="8" w:space="0" w:color="auto"/>
              <w:left w:val="nil"/>
              <w:bottom w:val="single" w:sz="8" w:space="0" w:color="auto"/>
              <w:right w:val="single" w:sz="8" w:space="0" w:color="auto"/>
            </w:tcBorders>
            <w:shd w:val="clear" w:color="000000" w:fill="FFFF99"/>
            <w:vAlign w:val="center"/>
          </w:tcPr>
          <w:p w:rsidR="00D4339C" w:rsidRPr="00D55DC6" w:rsidRDefault="00D4339C" w:rsidP="0038165F">
            <w:pPr>
              <w:widowControl/>
              <w:spacing w:line="0" w:lineRule="atLeast"/>
              <w:jc w:val="center"/>
              <w:rPr>
                <w:rFonts w:eastAsia="標楷體"/>
                <w:kern w:val="0"/>
              </w:rPr>
            </w:pPr>
            <w:r w:rsidRPr="00D55DC6">
              <w:rPr>
                <w:rFonts w:eastAsia="標楷體"/>
                <w:kern w:val="0"/>
                <w:szCs w:val="22"/>
              </w:rPr>
              <w:t>2</w:t>
            </w:r>
            <w:r w:rsidRPr="00D55DC6">
              <w:rPr>
                <w:rFonts w:eastAsia="標楷體"/>
                <w:kern w:val="0"/>
                <w:szCs w:val="22"/>
              </w:rPr>
              <w:t>級</w:t>
            </w:r>
          </w:p>
        </w:tc>
        <w:tc>
          <w:tcPr>
            <w:tcW w:w="2344"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D4339C" w:rsidRPr="00D55DC6" w:rsidRDefault="00D4339C" w:rsidP="0038165F">
            <w:pPr>
              <w:widowControl/>
              <w:spacing w:line="0" w:lineRule="atLeast"/>
              <w:jc w:val="center"/>
              <w:rPr>
                <w:rFonts w:eastAsia="標楷體"/>
                <w:kern w:val="0"/>
              </w:rPr>
            </w:pPr>
            <w:r w:rsidRPr="00D55DC6">
              <w:rPr>
                <w:rFonts w:eastAsia="標楷體"/>
                <w:kern w:val="0"/>
                <w:szCs w:val="22"/>
              </w:rPr>
              <w:t>投資重點</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D4339C" w:rsidRPr="00D55DC6" w:rsidRDefault="00D4339C" w:rsidP="006B6C3C">
            <w:pPr>
              <w:widowControl/>
              <w:spacing w:line="0" w:lineRule="atLeast"/>
              <w:jc w:val="center"/>
              <w:rPr>
                <w:rFonts w:eastAsia="標楷體"/>
                <w:kern w:val="0"/>
              </w:rPr>
            </w:pPr>
            <w:r w:rsidRPr="00D55DC6">
              <w:rPr>
                <w:rFonts w:eastAsia="標楷體"/>
                <w:kern w:val="0"/>
                <w:szCs w:val="22"/>
              </w:rPr>
              <w:t>1</w:t>
            </w:r>
            <w:r w:rsidR="006B6C3C" w:rsidRPr="00D55DC6">
              <w:rPr>
                <w:rFonts w:eastAsia="標楷體"/>
                <w:kern w:val="0"/>
                <w:szCs w:val="22"/>
              </w:rPr>
              <w:t>0</w:t>
            </w:r>
            <w:r w:rsidR="00526698" w:rsidRPr="00D55DC6">
              <w:rPr>
                <w:rFonts w:eastAsia="標楷體"/>
                <w:kern w:val="0"/>
                <w:szCs w:val="22"/>
              </w:rPr>
              <w:t>5</w:t>
            </w:r>
            <w:r w:rsidRPr="00D55DC6">
              <w:rPr>
                <w:rFonts w:eastAsia="標楷體"/>
                <w:kern w:val="0"/>
                <w:szCs w:val="22"/>
              </w:rPr>
              <w:t>年</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D4339C" w:rsidRPr="00D55DC6" w:rsidRDefault="00D4339C" w:rsidP="00526698">
            <w:pPr>
              <w:widowControl/>
              <w:spacing w:line="0" w:lineRule="atLeast"/>
              <w:jc w:val="center"/>
              <w:rPr>
                <w:rFonts w:eastAsia="標楷體"/>
                <w:kern w:val="0"/>
              </w:rPr>
            </w:pPr>
            <w:r w:rsidRPr="00D55DC6">
              <w:rPr>
                <w:rFonts w:eastAsia="標楷體"/>
                <w:kern w:val="0"/>
                <w:szCs w:val="22"/>
              </w:rPr>
              <w:t>10</w:t>
            </w:r>
            <w:r w:rsidR="00526698" w:rsidRPr="00D55DC6">
              <w:rPr>
                <w:rFonts w:eastAsia="標楷體"/>
                <w:kern w:val="0"/>
                <w:szCs w:val="22"/>
              </w:rPr>
              <w:t>6</w:t>
            </w:r>
            <w:r w:rsidRPr="00D55DC6">
              <w:rPr>
                <w:rFonts w:eastAsia="標楷體"/>
                <w:kern w:val="0"/>
                <w:szCs w:val="22"/>
              </w:rPr>
              <w:t>年</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D4339C" w:rsidRPr="00D55DC6" w:rsidRDefault="00D4339C" w:rsidP="00526698">
            <w:pPr>
              <w:widowControl/>
              <w:spacing w:line="0" w:lineRule="atLeast"/>
              <w:jc w:val="center"/>
              <w:rPr>
                <w:rFonts w:eastAsia="標楷體"/>
                <w:kern w:val="0"/>
              </w:rPr>
            </w:pPr>
            <w:r w:rsidRPr="00D55DC6">
              <w:rPr>
                <w:rFonts w:eastAsia="標楷體"/>
                <w:kern w:val="0"/>
                <w:szCs w:val="22"/>
              </w:rPr>
              <w:t>10</w:t>
            </w:r>
            <w:r w:rsidR="00526698" w:rsidRPr="00D55DC6">
              <w:rPr>
                <w:rFonts w:eastAsia="標楷體"/>
                <w:kern w:val="0"/>
                <w:szCs w:val="22"/>
              </w:rPr>
              <w:t>7</w:t>
            </w:r>
            <w:r w:rsidRPr="00D55DC6">
              <w:rPr>
                <w:rFonts w:eastAsia="標楷體"/>
                <w:kern w:val="0"/>
                <w:szCs w:val="22"/>
              </w:rPr>
              <w:t>年</w:t>
            </w:r>
          </w:p>
        </w:tc>
        <w:tc>
          <w:tcPr>
            <w:tcW w:w="708"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D4339C" w:rsidRPr="00D55DC6" w:rsidRDefault="00D4339C" w:rsidP="00526698">
            <w:pPr>
              <w:widowControl/>
              <w:spacing w:line="0" w:lineRule="atLeast"/>
              <w:jc w:val="center"/>
              <w:rPr>
                <w:rFonts w:eastAsia="標楷體"/>
                <w:kern w:val="0"/>
              </w:rPr>
            </w:pPr>
            <w:r w:rsidRPr="00D55DC6">
              <w:rPr>
                <w:rFonts w:eastAsia="標楷體"/>
                <w:kern w:val="0"/>
                <w:szCs w:val="22"/>
              </w:rPr>
              <w:t>10</w:t>
            </w:r>
            <w:r w:rsidR="00526698" w:rsidRPr="00D55DC6">
              <w:rPr>
                <w:rFonts w:eastAsia="標楷體"/>
                <w:kern w:val="0"/>
                <w:szCs w:val="22"/>
              </w:rPr>
              <w:t>8</w:t>
            </w:r>
            <w:r w:rsidRPr="00D55DC6">
              <w:rPr>
                <w:rFonts w:eastAsia="標楷體"/>
                <w:kern w:val="0"/>
                <w:szCs w:val="22"/>
              </w:rPr>
              <w:t>年</w:t>
            </w:r>
          </w:p>
        </w:tc>
        <w:tc>
          <w:tcPr>
            <w:tcW w:w="851"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D4339C" w:rsidRPr="00D55DC6" w:rsidRDefault="00D4339C" w:rsidP="0038165F">
            <w:pPr>
              <w:widowControl/>
              <w:spacing w:line="0" w:lineRule="atLeast"/>
              <w:jc w:val="center"/>
              <w:rPr>
                <w:rFonts w:eastAsia="標楷體"/>
                <w:kern w:val="0"/>
                <w:szCs w:val="22"/>
              </w:rPr>
            </w:pPr>
            <w:r w:rsidRPr="00D55DC6">
              <w:rPr>
                <w:rFonts w:eastAsia="標楷體"/>
                <w:kern w:val="0"/>
                <w:szCs w:val="22"/>
              </w:rPr>
              <w:t>合計</w:t>
            </w:r>
          </w:p>
        </w:tc>
        <w:tc>
          <w:tcPr>
            <w:tcW w:w="1559"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D4339C" w:rsidRPr="00D55DC6" w:rsidRDefault="00D4339C" w:rsidP="0038165F">
            <w:pPr>
              <w:widowControl/>
              <w:spacing w:line="0" w:lineRule="atLeast"/>
              <w:jc w:val="center"/>
              <w:rPr>
                <w:rFonts w:eastAsia="標楷體"/>
                <w:kern w:val="0"/>
              </w:rPr>
            </w:pPr>
            <w:r w:rsidRPr="00D55DC6">
              <w:rPr>
                <w:rFonts w:eastAsia="標楷體"/>
                <w:kern w:val="0"/>
                <w:szCs w:val="22"/>
              </w:rPr>
              <w:t>工作內容</w:t>
            </w:r>
          </w:p>
        </w:tc>
      </w:tr>
      <w:tr w:rsidR="001D0350" w:rsidRPr="00D55DC6" w:rsidTr="006B6C3C">
        <w:trPr>
          <w:trHeight w:val="359"/>
          <w:tblHeader/>
        </w:trPr>
        <w:tc>
          <w:tcPr>
            <w:tcW w:w="400" w:type="dxa"/>
            <w:vMerge/>
            <w:tcBorders>
              <w:top w:val="single" w:sz="8" w:space="0" w:color="auto"/>
              <w:left w:val="single" w:sz="8" w:space="0" w:color="auto"/>
              <w:bottom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891" w:type="dxa"/>
            <w:tcBorders>
              <w:top w:val="nil"/>
              <w:left w:val="nil"/>
              <w:bottom w:val="single" w:sz="8" w:space="0" w:color="auto"/>
              <w:right w:val="single" w:sz="8" w:space="0" w:color="auto"/>
            </w:tcBorders>
            <w:shd w:val="clear" w:color="000000" w:fill="FFFF99"/>
            <w:vAlign w:val="center"/>
          </w:tcPr>
          <w:p w:rsidR="00D4339C" w:rsidRPr="00D55DC6" w:rsidRDefault="00D4339C" w:rsidP="0038165F">
            <w:pPr>
              <w:widowControl/>
              <w:spacing w:line="0" w:lineRule="atLeast"/>
              <w:jc w:val="center"/>
              <w:rPr>
                <w:rFonts w:eastAsia="標楷體"/>
                <w:kern w:val="0"/>
              </w:rPr>
            </w:pPr>
            <w:r w:rsidRPr="00D55DC6">
              <w:rPr>
                <w:rFonts w:eastAsia="標楷體"/>
                <w:kern w:val="0"/>
                <w:szCs w:val="22"/>
              </w:rPr>
              <w:t>用途別</w:t>
            </w:r>
          </w:p>
        </w:tc>
        <w:tc>
          <w:tcPr>
            <w:tcW w:w="1102" w:type="dxa"/>
            <w:tcBorders>
              <w:top w:val="nil"/>
              <w:left w:val="nil"/>
              <w:bottom w:val="single" w:sz="8" w:space="0" w:color="auto"/>
              <w:right w:val="single" w:sz="8" w:space="0" w:color="auto"/>
            </w:tcBorders>
            <w:shd w:val="clear" w:color="000000" w:fill="FFFF99"/>
            <w:vAlign w:val="center"/>
          </w:tcPr>
          <w:p w:rsidR="00D4339C" w:rsidRPr="00D55DC6" w:rsidRDefault="00D4339C" w:rsidP="0038165F">
            <w:pPr>
              <w:widowControl/>
              <w:spacing w:line="0" w:lineRule="atLeast"/>
              <w:jc w:val="center"/>
              <w:rPr>
                <w:rFonts w:eastAsia="標楷體"/>
                <w:kern w:val="0"/>
              </w:rPr>
            </w:pPr>
            <w:r w:rsidRPr="00D55DC6">
              <w:rPr>
                <w:rFonts w:eastAsia="標楷體"/>
                <w:kern w:val="0"/>
                <w:szCs w:val="22"/>
              </w:rPr>
              <w:t>用途別</w:t>
            </w:r>
          </w:p>
        </w:tc>
        <w:tc>
          <w:tcPr>
            <w:tcW w:w="2344" w:type="dxa"/>
            <w:vMerge/>
            <w:tcBorders>
              <w:top w:val="single" w:sz="8" w:space="0" w:color="auto"/>
              <w:left w:val="single" w:sz="8" w:space="0" w:color="auto"/>
              <w:bottom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708" w:type="dxa"/>
            <w:vMerge/>
            <w:tcBorders>
              <w:top w:val="single" w:sz="8" w:space="0" w:color="auto"/>
              <w:left w:val="single" w:sz="8" w:space="0" w:color="auto"/>
              <w:bottom w:val="single" w:sz="8" w:space="0" w:color="000000"/>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851" w:type="dxa"/>
            <w:vMerge/>
            <w:tcBorders>
              <w:top w:val="single" w:sz="8" w:space="0" w:color="auto"/>
              <w:left w:val="single" w:sz="8" w:space="0" w:color="auto"/>
              <w:bottom w:val="single" w:sz="8" w:space="0" w:color="000000"/>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1559" w:type="dxa"/>
            <w:vMerge/>
            <w:tcBorders>
              <w:top w:val="single" w:sz="8" w:space="0" w:color="auto"/>
              <w:left w:val="single" w:sz="8" w:space="0" w:color="auto"/>
              <w:bottom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r>
      <w:tr w:rsidR="001D0350" w:rsidRPr="00D55DC6" w:rsidTr="00144178">
        <w:trPr>
          <w:trHeight w:val="619"/>
        </w:trPr>
        <w:tc>
          <w:tcPr>
            <w:tcW w:w="400" w:type="dxa"/>
            <w:vMerge w:val="restart"/>
            <w:tcBorders>
              <w:top w:val="nil"/>
              <w:left w:val="single" w:sz="8" w:space="0" w:color="auto"/>
              <w:bottom w:val="single" w:sz="8" w:space="0" w:color="auto"/>
              <w:right w:val="single" w:sz="8" w:space="0" w:color="auto"/>
            </w:tcBorders>
            <w:shd w:val="clear" w:color="000000" w:fill="CCFFFF"/>
          </w:tcPr>
          <w:p w:rsidR="00D4339C" w:rsidRPr="00D55DC6" w:rsidRDefault="00D4339C" w:rsidP="0038165F">
            <w:pPr>
              <w:widowControl/>
              <w:spacing w:line="0" w:lineRule="atLeast"/>
              <w:jc w:val="center"/>
              <w:rPr>
                <w:rFonts w:eastAsia="標楷體"/>
                <w:kern w:val="0"/>
              </w:rPr>
            </w:pPr>
            <w:r w:rsidRPr="00D55DC6">
              <w:rPr>
                <w:rFonts w:eastAsia="標楷體"/>
                <w:kern w:val="0"/>
                <w:szCs w:val="22"/>
              </w:rPr>
              <w:t>經常門</w:t>
            </w:r>
          </w:p>
        </w:tc>
        <w:tc>
          <w:tcPr>
            <w:tcW w:w="891" w:type="dxa"/>
            <w:vMerge w:val="restart"/>
            <w:tcBorders>
              <w:top w:val="nil"/>
              <w:left w:val="single" w:sz="8" w:space="0" w:color="auto"/>
              <w:bottom w:val="single" w:sz="8" w:space="0" w:color="auto"/>
              <w:right w:val="single" w:sz="8" w:space="0" w:color="auto"/>
            </w:tcBorders>
            <w:shd w:val="clear" w:color="000000" w:fill="CCFFFF"/>
          </w:tcPr>
          <w:p w:rsidR="00D4339C" w:rsidRPr="00D55DC6" w:rsidRDefault="00D4339C" w:rsidP="0038165F">
            <w:pPr>
              <w:widowControl/>
              <w:spacing w:line="0" w:lineRule="atLeast"/>
              <w:jc w:val="center"/>
              <w:rPr>
                <w:rFonts w:eastAsia="標楷體"/>
                <w:kern w:val="0"/>
              </w:rPr>
            </w:pPr>
            <w:r w:rsidRPr="00D55DC6">
              <w:rPr>
                <w:rFonts w:eastAsia="標楷體"/>
                <w:kern w:val="0"/>
                <w:szCs w:val="22"/>
              </w:rPr>
              <w:t>0200</w:t>
            </w:r>
            <w:r w:rsidRPr="00D55DC6">
              <w:rPr>
                <w:rFonts w:eastAsia="標楷體"/>
                <w:kern w:val="0"/>
                <w:szCs w:val="22"/>
              </w:rPr>
              <w:t>業務費</w:t>
            </w:r>
          </w:p>
        </w:tc>
        <w:tc>
          <w:tcPr>
            <w:tcW w:w="1102" w:type="dxa"/>
            <w:vMerge w:val="restart"/>
            <w:tcBorders>
              <w:top w:val="nil"/>
              <w:left w:val="single" w:sz="8" w:space="0" w:color="auto"/>
              <w:bottom w:val="single" w:sz="8" w:space="0" w:color="auto"/>
              <w:right w:val="single" w:sz="8" w:space="0" w:color="auto"/>
            </w:tcBorders>
            <w:shd w:val="clear" w:color="000000" w:fill="CCFFFF"/>
          </w:tcPr>
          <w:p w:rsidR="00D4339C" w:rsidRPr="00D55DC6" w:rsidRDefault="00D4339C" w:rsidP="0038165F">
            <w:pPr>
              <w:widowControl/>
              <w:spacing w:line="0" w:lineRule="atLeast"/>
              <w:rPr>
                <w:rFonts w:eastAsia="標楷體"/>
                <w:kern w:val="0"/>
              </w:rPr>
            </w:pPr>
            <w:r w:rsidRPr="00D55DC6">
              <w:rPr>
                <w:rFonts w:eastAsia="標楷體"/>
                <w:kern w:val="0"/>
                <w:szCs w:val="22"/>
              </w:rPr>
              <w:t>0284</w:t>
            </w:r>
            <w:r w:rsidRPr="00D55DC6">
              <w:rPr>
                <w:rFonts w:eastAsia="標楷體"/>
                <w:kern w:val="0"/>
                <w:szCs w:val="22"/>
              </w:rPr>
              <w:t>設施及機械設備養護費</w:t>
            </w:r>
          </w:p>
        </w:tc>
        <w:tc>
          <w:tcPr>
            <w:tcW w:w="2344"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ind w:left="331" w:hangingChars="138" w:hanging="331"/>
              <w:rPr>
                <w:rFonts w:eastAsia="標楷體"/>
                <w:bCs/>
                <w:kern w:val="0"/>
              </w:rPr>
            </w:pPr>
            <w:r w:rsidRPr="00D55DC6">
              <w:rPr>
                <w:rFonts w:eastAsia="標楷體"/>
                <w:bCs/>
                <w:kern w:val="0"/>
                <w:szCs w:val="22"/>
              </w:rPr>
              <w:t>1.</w:t>
            </w:r>
            <w:r w:rsidRPr="00D55DC6">
              <w:rPr>
                <w:rFonts w:eastAsia="標楷體"/>
                <w:bCs/>
                <w:kern w:val="0"/>
                <w:szCs w:val="22"/>
              </w:rPr>
              <w:t>綠美化養護及設施零星修護</w:t>
            </w:r>
          </w:p>
        </w:tc>
        <w:tc>
          <w:tcPr>
            <w:tcW w:w="709"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kern w:val="0"/>
                <w:szCs w:val="22"/>
              </w:rPr>
            </w:pPr>
            <w:r w:rsidRPr="00D55DC6">
              <w:rPr>
                <w:rFonts w:eastAsia="標楷體"/>
                <w:kern w:val="0"/>
                <w:szCs w:val="22"/>
              </w:rPr>
              <w:t xml:space="preserve">0.10 </w:t>
            </w:r>
          </w:p>
        </w:tc>
        <w:tc>
          <w:tcPr>
            <w:tcW w:w="709"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kern w:val="0"/>
                <w:szCs w:val="22"/>
              </w:rPr>
            </w:pPr>
            <w:r w:rsidRPr="00D55DC6">
              <w:rPr>
                <w:rFonts w:eastAsia="標楷體"/>
                <w:kern w:val="0"/>
                <w:szCs w:val="22"/>
              </w:rPr>
              <w:t xml:space="preserve"> 0.10 </w:t>
            </w:r>
          </w:p>
        </w:tc>
        <w:tc>
          <w:tcPr>
            <w:tcW w:w="709"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kern w:val="0"/>
                <w:szCs w:val="22"/>
              </w:rPr>
            </w:pPr>
            <w:r w:rsidRPr="00D55DC6">
              <w:rPr>
                <w:rFonts w:eastAsia="標楷體"/>
                <w:kern w:val="0"/>
                <w:szCs w:val="22"/>
              </w:rPr>
              <w:t xml:space="preserve"> 0.10 </w:t>
            </w:r>
          </w:p>
        </w:tc>
        <w:tc>
          <w:tcPr>
            <w:tcW w:w="708"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kern w:val="0"/>
                <w:szCs w:val="22"/>
              </w:rPr>
            </w:pPr>
            <w:r w:rsidRPr="00D55DC6">
              <w:rPr>
                <w:rFonts w:eastAsia="標楷體"/>
                <w:kern w:val="0"/>
                <w:szCs w:val="22"/>
              </w:rPr>
              <w:t xml:space="preserve"> 0.10 </w:t>
            </w:r>
          </w:p>
        </w:tc>
        <w:tc>
          <w:tcPr>
            <w:tcW w:w="851"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kern w:val="0"/>
                <w:szCs w:val="22"/>
              </w:rPr>
            </w:pPr>
            <w:r w:rsidRPr="00D55DC6">
              <w:rPr>
                <w:rFonts w:eastAsia="標楷體"/>
                <w:kern w:val="0"/>
                <w:szCs w:val="22"/>
              </w:rPr>
              <w:t xml:space="preserve">  0.40 </w:t>
            </w:r>
          </w:p>
        </w:tc>
        <w:tc>
          <w:tcPr>
            <w:tcW w:w="1559" w:type="dxa"/>
            <w:vMerge w:val="restart"/>
            <w:tcBorders>
              <w:top w:val="nil"/>
              <w:left w:val="single" w:sz="8" w:space="0" w:color="auto"/>
              <w:bottom w:val="single" w:sz="8" w:space="0" w:color="auto"/>
              <w:right w:val="single" w:sz="8" w:space="0" w:color="auto"/>
            </w:tcBorders>
            <w:shd w:val="clear" w:color="000000" w:fill="CCFFFF"/>
          </w:tcPr>
          <w:p w:rsidR="00D4339C" w:rsidRPr="00D55DC6" w:rsidRDefault="00D4339C" w:rsidP="006B6C3C">
            <w:pPr>
              <w:widowControl/>
              <w:spacing w:line="0" w:lineRule="atLeast"/>
              <w:rPr>
                <w:rFonts w:eastAsia="標楷體"/>
                <w:kern w:val="0"/>
              </w:rPr>
            </w:pPr>
            <w:r w:rsidRPr="00D55DC6">
              <w:rPr>
                <w:rFonts w:eastAsia="標楷體"/>
                <w:kern w:val="0"/>
                <w:szCs w:val="22"/>
              </w:rPr>
              <w:t>植栽養護、零星修繕、各據點建物公共安全及消防檢測、污水廠操作維護及新增管線等作業。</w:t>
            </w:r>
          </w:p>
        </w:tc>
      </w:tr>
      <w:tr w:rsidR="001D0350" w:rsidRPr="00D55DC6" w:rsidTr="00144178">
        <w:trPr>
          <w:trHeight w:val="405"/>
        </w:trPr>
        <w:tc>
          <w:tcPr>
            <w:tcW w:w="400" w:type="dxa"/>
            <w:vMerge/>
            <w:tcBorders>
              <w:top w:val="nil"/>
              <w:left w:val="single" w:sz="8" w:space="0" w:color="auto"/>
              <w:bottom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ind w:left="331" w:hangingChars="138" w:hanging="331"/>
              <w:rPr>
                <w:rFonts w:eastAsia="標楷體"/>
                <w:bCs/>
                <w:kern w:val="0"/>
                <w:szCs w:val="22"/>
              </w:rPr>
            </w:pPr>
            <w:r w:rsidRPr="00D55DC6">
              <w:rPr>
                <w:rFonts w:eastAsia="標楷體"/>
                <w:bCs/>
                <w:kern w:val="0"/>
                <w:szCs w:val="22"/>
              </w:rPr>
              <w:t>2.</w:t>
            </w:r>
            <w:r w:rsidRPr="00D55DC6">
              <w:rPr>
                <w:rFonts w:eastAsia="標楷體"/>
                <w:bCs/>
                <w:kern w:val="0"/>
                <w:szCs w:val="22"/>
              </w:rPr>
              <w:t>污水處理廠運作維護及新增管線</w:t>
            </w:r>
          </w:p>
        </w:tc>
        <w:tc>
          <w:tcPr>
            <w:tcW w:w="709"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kern w:val="0"/>
                <w:szCs w:val="22"/>
              </w:rPr>
            </w:pPr>
            <w:r w:rsidRPr="00D55DC6">
              <w:rPr>
                <w:rFonts w:eastAsia="標楷體"/>
                <w:kern w:val="0"/>
                <w:szCs w:val="22"/>
              </w:rPr>
              <w:t>0.17</w:t>
            </w:r>
          </w:p>
        </w:tc>
        <w:tc>
          <w:tcPr>
            <w:tcW w:w="709"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kern w:val="0"/>
                <w:szCs w:val="22"/>
              </w:rPr>
            </w:pPr>
            <w:r w:rsidRPr="00D55DC6">
              <w:rPr>
                <w:rFonts w:eastAsia="標楷體"/>
                <w:kern w:val="0"/>
                <w:szCs w:val="22"/>
              </w:rPr>
              <w:t>0.17</w:t>
            </w:r>
          </w:p>
        </w:tc>
        <w:tc>
          <w:tcPr>
            <w:tcW w:w="709"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kern w:val="0"/>
                <w:szCs w:val="22"/>
              </w:rPr>
            </w:pPr>
            <w:r w:rsidRPr="00D55DC6">
              <w:rPr>
                <w:rFonts w:eastAsia="標楷體"/>
                <w:kern w:val="0"/>
                <w:szCs w:val="22"/>
              </w:rPr>
              <w:t>0.17</w:t>
            </w:r>
          </w:p>
        </w:tc>
        <w:tc>
          <w:tcPr>
            <w:tcW w:w="708"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kern w:val="0"/>
                <w:szCs w:val="22"/>
              </w:rPr>
            </w:pPr>
            <w:r w:rsidRPr="00D55DC6">
              <w:rPr>
                <w:rFonts w:eastAsia="標楷體"/>
                <w:kern w:val="0"/>
                <w:szCs w:val="22"/>
              </w:rPr>
              <w:t>0.17</w:t>
            </w:r>
          </w:p>
        </w:tc>
        <w:tc>
          <w:tcPr>
            <w:tcW w:w="851"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kern w:val="0"/>
                <w:szCs w:val="22"/>
              </w:rPr>
            </w:pPr>
            <w:r w:rsidRPr="00D55DC6">
              <w:rPr>
                <w:rFonts w:eastAsia="標楷體"/>
                <w:kern w:val="0"/>
                <w:szCs w:val="22"/>
              </w:rPr>
              <w:t>0.68</w:t>
            </w:r>
          </w:p>
        </w:tc>
        <w:tc>
          <w:tcPr>
            <w:tcW w:w="1559" w:type="dxa"/>
            <w:vMerge/>
            <w:tcBorders>
              <w:top w:val="nil"/>
              <w:left w:val="single" w:sz="8" w:space="0" w:color="auto"/>
              <w:bottom w:val="single" w:sz="8" w:space="0" w:color="auto"/>
              <w:right w:val="single" w:sz="8" w:space="0" w:color="auto"/>
            </w:tcBorders>
            <w:vAlign w:val="center"/>
          </w:tcPr>
          <w:p w:rsidR="00D4339C" w:rsidRPr="00D55DC6" w:rsidRDefault="00D4339C" w:rsidP="006B6C3C">
            <w:pPr>
              <w:widowControl/>
              <w:spacing w:line="0" w:lineRule="atLeast"/>
              <w:rPr>
                <w:rFonts w:eastAsia="標楷體"/>
                <w:kern w:val="0"/>
              </w:rPr>
            </w:pPr>
          </w:p>
        </w:tc>
      </w:tr>
      <w:tr w:rsidR="001D0350" w:rsidRPr="00D55DC6" w:rsidTr="00144178">
        <w:trPr>
          <w:trHeight w:val="405"/>
        </w:trPr>
        <w:tc>
          <w:tcPr>
            <w:tcW w:w="400" w:type="dxa"/>
            <w:vMerge/>
            <w:tcBorders>
              <w:top w:val="nil"/>
              <w:left w:val="single" w:sz="8" w:space="0" w:color="auto"/>
              <w:bottom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center"/>
              <w:rPr>
                <w:rFonts w:eastAsia="標楷體"/>
                <w:b/>
                <w:bCs/>
                <w:kern w:val="0"/>
              </w:rPr>
            </w:pPr>
            <w:r w:rsidRPr="00D55DC6">
              <w:rPr>
                <w:rFonts w:eastAsia="標楷體"/>
                <w:b/>
                <w:bCs/>
                <w:kern w:val="0"/>
                <w:szCs w:val="22"/>
              </w:rPr>
              <w:t>經常門合計</w:t>
            </w:r>
          </w:p>
        </w:tc>
        <w:tc>
          <w:tcPr>
            <w:tcW w:w="709"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b/>
                <w:kern w:val="0"/>
              </w:rPr>
            </w:pPr>
            <w:r w:rsidRPr="00D55DC6">
              <w:rPr>
                <w:rFonts w:eastAsia="標楷體"/>
                <w:b/>
                <w:kern w:val="0"/>
                <w:szCs w:val="22"/>
              </w:rPr>
              <w:t xml:space="preserve">0.27 </w:t>
            </w:r>
          </w:p>
        </w:tc>
        <w:tc>
          <w:tcPr>
            <w:tcW w:w="709"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b/>
                <w:kern w:val="0"/>
              </w:rPr>
            </w:pPr>
            <w:r w:rsidRPr="00D55DC6">
              <w:rPr>
                <w:rFonts w:eastAsia="標楷體"/>
                <w:b/>
                <w:kern w:val="0"/>
                <w:szCs w:val="22"/>
              </w:rPr>
              <w:t xml:space="preserve">0.27 </w:t>
            </w:r>
          </w:p>
        </w:tc>
        <w:tc>
          <w:tcPr>
            <w:tcW w:w="709"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b/>
                <w:kern w:val="0"/>
              </w:rPr>
            </w:pPr>
            <w:r w:rsidRPr="00D55DC6">
              <w:rPr>
                <w:rFonts w:eastAsia="標楷體"/>
                <w:b/>
                <w:kern w:val="0"/>
                <w:szCs w:val="22"/>
              </w:rPr>
              <w:t xml:space="preserve">0.27 </w:t>
            </w:r>
          </w:p>
        </w:tc>
        <w:tc>
          <w:tcPr>
            <w:tcW w:w="708"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b/>
                <w:kern w:val="0"/>
              </w:rPr>
            </w:pPr>
            <w:r w:rsidRPr="00D55DC6">
              <w:rPr>
                <w:rFonts w:eastAsia="標楷體"/>
                <w:b/>
                <w:kern w:val="0"/>
                <w:szCs w:val="22"/>
              </w:rPr>
              <w:t xml:space="preserve">0.27 </w:t>
            </w:r>
          </w:p>
        </w:tc>
        <w:tc>
          <w:tcPr>
            <w:tcW w:w="851"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b/>
                <w:kern w:val="0"/>
              </w:rPr>
            </w:pPr>
            <w:r w:rsidRPr="00D55DC6">
              <w:rPr>
                <w:rFonts w:eastAsia="標楷體"/>
                <w:b/>
                <w:kern w:val="0"/>
                <w:szCs w:val="22"/>
              </w:rPr>
              <w:t xml:space="preserve">  1.08 </w:t>
            </w:r>
          </w:p>
        </w:tc>
        <w:tc>
          <w:tcPr>
            <w:tcW w:w="1559" w:type="dxa"/>
            <w:vMerge/>
            <w:tcBorders>
              <w:top w:val="nil"/>
              <w:left w:val="single" w:sz="8" w:space="0" w:color="auto"/>
              <w:bottom w:val="single" w:sz="8" w:space="0" w:color="auto"/>
              <w:right w:val="single" w:sz="8" w:space="0" w:color="auto"/>
            </w:tcBorders>
            <w:vAlign w:val="center"/>
          </w:tcPr>
          <w:p w:rsidR="00D4339C" w:rsidRPr="00D55DC6" w:rsidRDefault="00D4339C" w:rsidP="006B6C3C">
            <w:pPr>
              <w:widowControl/>
              <w:spacing w:line="0" w:lineRule="atLeast"/>
              <w:rPr>
                <w:rFonts w:eastAsia="標楷體"/>
                <w:kern w:val="0"/>
              </w:rPr>
            </w:pPr>
          </w:p>
        </w:tc>
      </w:tr>
      <w:tr w:rsidR="001D0350" w:rsidRPr="00D55DC6" w:rsidTr="00144178">
        <w:trPr>
          <w:trHeight w:val="1305"/>
        </w:trPr>
        <w:tc>
          <w:tcPr>
            <w:tcW w:w="400" w:type="dxa"/>
            <w:vMerge w:val="restart"/>
            <w:tcBorders>
              <w:top w:val="nil"/>
              <w:left w:val="single" w:sz="8" w:space="0" w:color="auto"/>
              <w:right w:val="single" w:sz="8" w:space="0" w:color="auto"/>
            </w:tcBorders>
            <w:shd w:val="clear" w:color="000000" w:fill="CCFFCC"/>
          </w:tcPr>
          <w:p w:rsidR="00D4339C" w:rsidRPr="00D55DC6" w:rsidRDefault="00D4339C" w:rsidP="0038165F">
            <w:pPr>
              <w:widowControl/>
              <w:spacing w:line="0" w:lineRule="atLeast"/>
              <w:jc w:val="center"/>
              <w:rPr>
                <w:rFonts w:eastAsia="標楷體"/>
                <w:kern w:val="0"/>
              </w:rPr>
            </w:pPr>
            <w:r w:rsidRPr="00D55DC6">
              <w:rPr>
                <w:rFonts w:eastAsia="標楷體"/>
                <w:kern w:val="0"/>
                <w:szCs w:val="22"/>
              </w:rPr>
              <w:t>資本門</w:t>
            </w:r>
          </w:p>
        </w:tc>
        <w:tc>
          <w:tcPr>
            <w:tcW w:w="891" w:type="dxa"/>
            <w:vMerge w:val="restart"/>
            <w:tcBorders>
              <w:top w:val="nil"/>
              <w:left w:val="single" w:sz="8" w:space="0" w:color="auto"/>
              <w:right w:val="single" w:sz="8" w:space="0" w:color="auto"/>
            </w:tcBorders>
            <w:shd w:val="clear" w:color="000000" w:fill="CCFFCC"/>
          </w:tcPr>
          <w:p w:rsidR="00D4339C" w:rsidRPr="00D55DC6" w:rsidRDefault="00D4339C" w:rsidP="0038165F">
            <w:pPr>
              <w:widowControl/>
              <w:spacing w:line="0" w:lineRule="atLeast"/>
              <w:jc w:val="center"/>
              <w:rPr>
                <w:rFonts w:eastAsia="標楷體"/>
                <w:kern w:val="0"/>
              </w:rPr>
            </w:pPr>
            <w:r w:rsidRPr="00D55DC6">
              <w:rPr>
                <w:rFonts w:eastAsia="標楷體"/>
                <w:kern w:val="0"/>
                <w:szCs w:val="22"/>
              </w:rPr>
              <w:t>0300</w:t>
            </w:r>
            <w:r w:rsidRPr="00D55DC6">
              <w:rPr>
                <w:rFonts w:eastAsia="標楷體"/>
                <w:kern w:val="0"/>
                <w:szCs w:val="22"/>
              </w:rPr>
              <w:t>設備及投資</w:t>
            </w:r>
          </w:p>
        </w:tc>
        <w:tc>
          <w:tcPr>
            <w:tcW w:w="1102"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rPr>
                <w:rFonts w:eastAsia="標楷體"/>
                <w:kern w:val="0"/>
              </w:rPr>
            </w:pPr>
            <w:r w:rsidRPr="00D55DC6">
              <w:rPr>
                <w:rFonts w:eastAsia="標楷體"/>
                <w:kern w:val="0"/>
                <w:szCs w:val="22"/>
              </w:rPr>
              <w:t>0301</w:t>
            </w:r>
            <w:r w:rsidRPr="00D55DC6">
              <w:rPr>
                <w:rFonts w:eastAsia="標楷體"/>
                <w:kern w:val="0"/>
                <w:szCs w:val="22"/>
              </w:rPr>
              <w:t>土地費</w:t>
            </w:r>
          </w:p>
        </w:tc>
        <w:tc>
          <w:tcPr>
            <w:tcW w:w="2344"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rPr>
                <w:rFonts w:eastAsia="標楷體"/>
                <w:b/>
                <w:bCs/>
                <w:kern w:val="0"/>
              </w:rPr>
            </w:pPr>
            <w:r w:rsidRPr="00D55DC6">
              <w:rPr>
                <w:rFonts w:eastAsia="標楷體"/>
                <w:b/>
                <w:bCs/>
                <w:kern w:val="0"/>
                <w:szCs w:val="22"/>
              </w:rPr>
              <w:t>1.</w:t>
            </w:r>
            <w:r w:rsidRPr="00D55DC6">
              <w:rPr>
                <w:rFonts w:eastAsia="標楷體"/>
                <w:b/>
                <w:bCs/>
                <w:kern w:val="0"/>
                <w:szCs w:val="22"/>
              </w:rPr>
              <w:t>土地取得</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b/>
                <w:bCs/>
                <w:kern w:val="0"/>
              </w:rPr>
            </w:pPr>
            <w:r w:rsidRPr="00D55DC6">
              <w:rPr>
                <w:rFonts w:eastAsia="標楷體"/>
                <w:b/>
                <w:bCs/>
                <w:kern w:val="0"/>
                <w:szCs w:val="22"/>
              </w:rPr>
              <w:t xml:space="preserve">0.10 </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b/>
                <w:bCs/>
                <w:kern w:val="0"/>
              </w:rPr>
            </w:pPr>
            <w:r w:rsidRPr="00D55DC6">
              <w:rPr>
                <w:rFonts w:eastAsia="標楷體"/>
                <w:b/>
                <w:bCs/>
                <w:kern w:val="0"/>
                <w:szCs w:val="22"/>
              </w:rPr>
              <w:t xml:space="preserve"> 0.10 </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b/>
                <w:bCs/>
                <w:kern w:val="0"/>
              </w:rPr>
            </w:pPr>
            <w:r w:rsidRPr="00D55DC6">
              <w:rPr>
                <w:rFonts w:eastAsia="標楷體"/>
                <w:b/>
                <w:bCs/>
                <w:kern w:val="0"/>
                <w:szCs w:val="22"/>
              </w:rPr>
              <w:t xml:space="preserve"> 0.10 </w:t>
            </w:r>
          </w:p>
        </w:tc>
        <w:tc>
          <w:tcPr>
            <w:tcW w:w="708"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b/>
                <w:bCs/>
                <w:kern w:val="0"/>
              </w:rPr>
            </w:pPr>
            <w:r w:rsidRPr="00D55DC6">
              <w:rPr>
                <w:rFonts w:eastAsia="標楷體"/>
                <w:b/>
                <w:bCs/>
                <w:kern w:val="0"/>
                <w:szCs w:val="22"/>
              </w:rPr>
              <w:t xml:space="preserve"> 0.10 </w:t>
            </w:r>
          </w:p>
        </w:tc>
        <w:tc>
          <w:tcPr>
            <w:tcW w:w="851"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b/>
                <w:bCs/>
                <w:kern w:val="0"/>
              </w:rPr>
            </w:pPr>
            <w:r w:rsidRPr="00D55DC6">
              <w:rPr>
                <w:rFonts w:eastAsia="標楷體"/>
                <w:b/>
                <w:bCs/>
                <w:kern w:val="0"/>
                <w:szCs w:val="22"/>
              </w:rPr>
              <w:t xml:space="preserve"> 0.40 </w:t>
            </w:r>
          </w:p>
        </w:tc>
        <w:tc>
          <w:tcPr>
            <w:tcW w:w="1559" w:type="dxa"/>
            <w:tcBorders>
              <w:top w:val="nil"/>
              <w:left w:val="nil"/>
              <w:bottom w:val="single" w:sz="8" w:space="0" w:color="auto"/>
              <w:right w:val="single" w:sz="8" w:space="0" w:color="auto"/>
            </w:tcBorders>
          </w:tcPr>
          <w:p w:rsidR="00D4339C" w:rsidRPr="00D55DC6" w:rsidRDefault="00D4339C" w:rsidP="006B6C3C">
            <w:pPr>
              <w:widowControl/>
              <w:spacing w:line="0" w:lineRule="atLeast"/>
              <w:rPr>
                <w:rFonts w:eastAsia="標楷體"/>
                <w:kern w:val="0"/>
              </w:rPr>
            </w:pPr>
            <w:r w:rsidRPr="00D55DC6">
              <w:rPr>
                <w:rFonts w:eastAsia="標楷體"/>
                <w:kern w:val="0"/>
                <w:szCs w:val="22"/>
              </w:rPr>
              <w:t>辦理轄區訂樁測量、徵收價購、撥用補償及相關作業。</w:t>
            </w:r>
          </w:p>
        </w:tc>
      </w:tr>
      <w:tr w:rsidR="001D0350" w:rsidRPr="00D55DC6" w:rsidTr="00144178">
        <w:trPr>
          <w:trHeight w:val="375"/>
        </w:trPr>
        <w:tc>
          <w:tcPr>
            <w:tcW w:w="400"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1102" w:type="dxa"/>
            <w:vMerge w:val="restart"/>
            <w:tcBorders>
              <w:top w:val="nil"/>
              <w:left w:val="single" w:sz="8" w:space="0" w:color="auto"/>
              <w:bottom w:val="single" w:sz="8" w:space="0" w:color="000000"/>
              <w:right w:val="single" w:sz="8" w:space="0" w:color="auto"/>
            </w:tcBorders>
            <w:shd w:val="clear" w:color="000000" w:fill="CCFFCC"/>
          </w:tcPr>
          <w:p w:rsidR="00D4339C" w:rsidRPr="00D55DC6" w:rsidRDefault="00D4339C" w:rsidP="0038165F">
            <w:pPr>
              <w:widowControl/>
              <w:spacing w:line="0" w:lineRule="atLeast"/>
              <w:rPr>
                <w:rFonts w:eastAsia="標楷體"/>
                <w:kern w:val="0"/>
              </w:rPr>
            </w:pPr>
            <w:r w:rsidRPr="00D55DC6">
              <w:rPr>
                <w:rFonts w:eastAsia="標楷體"/>
                <w:kern w:val="0"/>
                <w:szCs w:val="22"/>
              </w:rPr>
              <w:t>0302</w:t>
            </w:r>
            <w:r w:rsidRPr="00D55DC6">
              <w:rPr>
                <w:rFonts w:eastAsia="標楷體"/>
                <w:kern w:val="0"/>
                <w:szCs w:val="22"/>
              </w:rPr>
              <w:t>房屋建築及設備費</w:t>
            </w:r>
          </w:p>
        </w:tc>
        <w:tc>
          <w:tcPr>
            <w:tcW w:w="2344"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rPr>
                <w:rFonts w:eastAsia="標楷體"/>
                <w:b/>
                <w:bCs/>
                <w:kern w:val="0"/>
              </w:rPr>
            </w:pPr>
            <w:r w:rsidRPr="00D55DC6">
              <w:rPr>
                <w:rFonts w:eastAsia="標楷體"/>
                <w:b/>
                <w:bCs/>
                <w:kern w:val="0"/>
                <w:szCs w:val="22"/>
              </w:rPr>
              <w:t>2.</w:t>
            </w:r>
            <w:r w:rsidRPr="00D55DC6">
              <w:rPr>
                <w:rFonts w:eastAsia="標楷體"/>
                <w:b/>
                <w:bCs/>
                <w:kern w:val="0"/>
                <w:szCs w:val="22"/>
              </w:rPr>
              <w:t>房屋建築及設備</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b/>
                <w:kern w:val="0"/>
              </w:rPr>
            </w:pPr>
            <w:r w:rsidRPr="00D55DC6">
              <w:rPr>
                <w:rFonts w:eastAsia="標楷體"/>
                <w:b/>
                <w:kern w:val="0"/>
                <w:szCs w:val="22"/>
              </w:rPr>
              <w:t xml:space="preserve">0.10 </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b/>
                <w:kern w:val="0"/>
              </w:rPr>
            </w:pPr>
            <w:r w:rsidRPr="00D55DC6">
              <w:rPr>
                <w:rFonts w:eastAsia="標楷體"/>
                <w:b/>
                <w:kern w:val="0"/>
                <w:szCs w:val="22"/>
              </w:rPr>
              <w:t xml:space="preserve"> 0.20 </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b/>
                <w:kern w:val="0"/>
              </w:rPr>
            </w:pPr>
            <w:r w:rsidRPr="00D55DC6">
              <w:rPr>
                <w:rFonts w:eastAsia="標楷體"/>
                <w:b/>
                <w:kern w:val="0"/>
                <w:szCs w:val="22"/>
              </w:rPr>
              <w:t xml:space="preserve"> 0.10   </w:t>
            </w:r>
          </w:p>
        </w:tc>
        <w:tc>
          <w:tcPr>
            <w:tcW w:w="708"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b/>
                <w:kern w:val="0"/>
              </w:rPr>
            </w:pPr>
            <w:r w:rsidRPr="00D55DC6">
              <w:rPr>
                <w:rFonts w:eastAsia="標楷體"/>
                <w:b/>
                <w:kern w:val="0"/>
                <w:szCs w:val="22"/>
              </w:rPr>
              <w:t xml:space="preserve"> 0.05 </w:t>
            </w:r>
          </w:p>
        </w:tc>
        <w:tc>
          <w:tcPr>
            <w:tcW w:w="851"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b/>
                <w:bCs/>
                <w:kern w:val="0"/>
              </w:rPr>
            </w:pPr>
            <w:r w:rsidRPr="00D55DC6">
              <w:rPr>
                <w:rFonts w:eastAsia="標楷體"/>
                <w:b/>
                <w:bCs/>
                <w:kern w:val="0"/>
                <w:szCs w:val="22"/>
              </w:rPr>
              <w:t xml:space="preserve">  0.45 </w:t>
            </w:r>
          </w:p>
        </w:tc>
        <w:tc>
          <w:tcPr>
            <w:tcW w:w="1559" w:type="dxa"/>
            <w:vMerge w:val="restart"/>
            <w:tcBorders>
              <w:top w:val="nil"/>
              <w:left w:val="single" w:sz="8" w:space="0" w:color="auto"/>
              <w:right w:val="single" w:sz="8" w:space="0" w:color="auto"/>
            </w:tcBorders>
          </w:tcPr>
          <w:p w:rsidR="00D4339C" w:rsidRPr="00D55DC6" w:rsidRDefault="00D4339C" w:rsidP="006B6C3C">
            <w:pPr>
              <w:widowControl/>
              <w:spacing w:line="0" w:lineRule="atLeast"/>
              <w:jc w:val="both"/>
              <w:rPr>
                <w:rFonts w:eastAsia="標楷體"/>
                <w:kern w:val="0"/>
              </w:rPr>
            </w:pPr>
            <w:r w:rsidRPr="00D55DC6">
              <w:rPr>
                <w:rFonts w:eastAsia="標楷體"/>
                <w:kern w:val="0"/>
                <w:szCs w:val="22"/>
              </w:rPr>
              <w:t>辦理</w:t>
            </w:r>
            <w:r w:rsidRPr="00D55DC6">
              <w:rPr>
                <w:rFonts w:eastAsia="標楷體"/>
                <w:kern w:val="0"/>
              </w:rPr>
              <w:t>埔里魚池、集集水里、濁水溪等副核心遊憩系統遊客中心之整建。</w:t>
            </w:r>
          </w:p>
        </w:tc>
      </w:tr>
      <w:tr w:rsidR="001D0350" w:rsidRPr="00D55DC6" w:rsidTr="00144178">
        <w:trPr>
          <w:trHeight w:val="375"/>
        </w:trPr>
        <w:tc>
          <w:tcPr>
            <w:tcW w:w="400"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1102" w:type="dxa"/>
            <w:vMerge/>
            <w:tcBorders>
              <w:top w:val="nil"/>
              <w:left w:val="single" w:sz="8" w:space="0" w:color="auto"/>
              <w:bottom w:val="single" w:sz="8" w:space="0" w:color="000000"/>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both"/>
              <w:rPr>
                <w:rFonts w:eastAsia="標楷體"/>
                <w:kern w:val="0"/>
              </w:rPr>
            </w:pPr>
            <w:r w:rsidRPr="00D55DC6">
              <w:rPr>
                <w:rFonts w:eastAsia="標楷體"/>
                <w:kern w:val="0"/>
                <w:szCs w:val="22"/>
              </w:rPr>
              <w:t>(1)</w:t>
            </w:r>
            <w:r w:rsidRPr="00D55DC6">
              <w:rPr>
                <w:rFonts w:eastAsia="標楷體"/>
                <w:kern w:val="0"/>
                <w:szCs w:val="22"/>
              </w:rPr>
              <w:t>國內觀光重要景點</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kern w:val="0"/>
              </w:rPr>
            </w:pPr>
            <w:r w:rsidRPr="00D55DC6">
              <w:rPr>
                <w:rFonts w:eastAsia="標楷體"/>
                <w:kern w:val="0"/>
                <w:szCs w:val="22"/>
              </w:rPr>
              <w:t xml:space="preserve">0.10 </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kern w:val="0"/>
              </w:rPr>
            </w:pPr>
            <w:r w:rsidRPr="00D55DC6">
              <w:rPr>
                <w:rFonts w:eastAsia="標楷體"/>
                <w:kern w:val="0"/>
                <w:szCs w:val="22"/>
              </w:rPr>
              <w:t xml:space="preserve"> 0.20</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kern w:val="0"/>
              </w:rPr>
            </w:pPr>
            <w:r w:rsidRPr="00D55DC6">
              <w:rPr>
                <w:rFonts w:eastAsia="標楷體"/>
                <w:kern w:val="0"/>
                <w:szCs w:val="22"/>
              </w:rPr>
              <w:t xml:space="preserve"> 0.10   </w:t>
            </w:r>
          </w:p>
        </w:tc>
        <w:tc>
          <w:tcPr>
            <w:tcW w:w="708"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kern w:val="0"/>
              </w:rPr>
            </w:pPr>
            <w:r w:rsidRPr="00D55DC6">
              <w:rPr>
                <w:rFonts w:eastAsia="標楷體"/>
                <w:kern w:val="0"/>
                <w:szCs w:val="22"/>
              </w:rPr>
              <w:t xml:space="preserve"> 0.05 </w:t>
            </w:r>
          </w:p>
        </w:tc>
        <w:tc>
          <w:tcPr>
            <w:tcW w:w="851" w:type="dxa"/>
            <w:tcBorders>
              <w:top w:val="nil"/>
              <w:left w:val="nil"/>
              <w:bottom w:val="single" w:sz="4"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bCs/>
                <w:kern w:val="0"/>
              </w:rPr>
            </w:pPr>
            <w:r w:rsidRPr="00D55DC6">
              <w:rPr>
                <w:rFonts w:eastAsia="標楷體"/>
                <w:b/>
                <w:bCs/>
                <w:kern w:val="0"/>
                <w:szCs w:val="22"/>
              </w:rPr>
              <w:t xml:space="preserve"> </w:t>
            </w:r>
            <w:r w:rsidRPr="00D55DC6">
              <w:rPr>
                <w:rFonts w:eastAsia="標楷體"/>
                <w:bCs/>
                <w:kern w:val="0"/>
                <w:szCs w:val="22"/>
              </w:rPr>
              <w:t xml:space="preserve"> 0.45 </w:t>
            </w:r>
          </w:p>
        </w:tc>
        <w:tc>
          <w:tcPr>
            <w:tcW w:w="1559" w:type="dxa"/>
            <w:vMerge/>
            <w:tcBorders>
              <w:left w:val="single" w:sz="8" w:space="0" w:color="auto"/>
              <w:bottom w:val="single" w:sz="4" w:space="0" w:color="auto"/>
              <w:right w:val="single" w:sz="8" w:space="0" w:color="auto"/>
            </w:tcBorders>
          </w:tcPr>
          <w:p w:rsidR="00D4339C" w:rsidRPr="00D55DC6" w:rsidRDefault="00D4339C" w:rsidP="006B6C3C">
            <w:pPr>
              <w:widowControl/>
              <w:spacing w:line="0" w:lineRule="atLeast"/>
              <w:jc w:val="both"/>
              <w:rPr>
                <w:rFonts w:eastAsia="標楷體"/>
                <w:kern w:val="0"/>
              </w:rPr>
            </w:pPr>
          </w:p>
        </w:tc>
      </w:tr>
      <w:tr w:rsidR="001D0350" w:rsidRPr="00D55DC6" w:rsidTr="00144178">
        <w:trPr>
          <w:trHeight w:val="345"/>
        </w:trPr>
        <w:tc>
          <w:tcPr>
            <w:tcW w:w="400"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1102" w:type="dxa"/>
            <w:vMerge w:val="restart"/>
            <w:tcBorders>
              <w:top w:val="nil"/>
              <w:left w:val="single" w:sz="8" w:space="0" w:color="auto"/>
              <w:right w:val="single" w:sz="8" w:space="0" w:color="auto"/>
            </w:tcBorders>
            <w:shd w:val="clear" w:color="000000" w:fill="CCFFCC"/>
          </w:tcPr>
          <w:p w:rsidR="00D4339C" w:rsidRPr="00D55DC6" w:rsidRDefault="00D4339C" w:rsidP="0038165F">
            <w:pPr>
              <w:widowControl/>
              <w:spacing w:line="0" w:lineRule="atLeast"/>
              <w:rPr>
                <w:rFonts w:eastAsia="標楷體"/>
                <w:kern w:val="0"/>
              </w:rPr>
            </w:pPr>
            <w:r w:rsidRPr="00D55DC6">
              <w:rPr>
                <w:rFonts w:eastAsia="標楷體"/>
                <w:kern w:val="0"/>
                <w:szCs w:val="22"/>
              </w:rPr>
              <w:t>0303</w:t>
            </w:r>
            <w:r w:rsidRPr="00D55DC6">
              <w:rPr>
                <w:rFonts w:eastAsia="標楷體"/>
                <w:kern w:val="0"/>
                <w:szCs w:val="22"/>
              </w:rPr>
              <w:t>公共建設及設施費</w:t>
            </w:r>
          </w:p>
        </w:tc>
        <w:tc>
          <w:tcPr>
            <w:tcW w:w="2344" w:type="dxa"/>
            <w:tcBorders>
              <w:top w:val="nil"/>
              <w:left w:val="nil"/>
              <w:bottom w:val="single" w:sz="8" w:space="0" w:color="auto"/>
              <w:right w:val="single" w:sz="8" w:space="0" w:color="auto"/>
            </w:tcBorders>
            <w:shd w:val="clear" w:color="000000" w:fill="CCFFCC"/>
            <w:vAlign w:val="center"/>
          </w:tcPr>
          <w:p w:rsidR="00D4339C" w:rsidRPr="00D55DC6" w:rsidRDefault="00D4339C" w:rsidP="0038165F">
            <w:pPr>
              <w:widowControl/>
              <w:spacing w:line="0" w:lineRule="atLeast"/>
              <w:rPr>
                <w:rFonts w:eastAsia="標楷體"/>
                <w:b/>
                <w:bCs/>
                <w:kern w:val="0"/>
              </w:rPr>
            </w:pPr>
            <w:r w:rsidRPr="00D55DC6">
              <w:rPr>
                <w:rFonts w:eastAsia="標楷體"/>
                <w:b/>
                <w:bCs/>
                <w:kern w:val="0"/>
                <w:szCs w:val="22"/>
              </w:rPr>
              <w:t>3.</w:t>
            </w:r>
            <w:r w:rsidRPr="00D55DC6">
              <w:rPr>
                <w:rFonts w:eastAsia="標楷體"/>
                <w:b/>
                <w:bCs/>
                <w:kern w:val="0"/>
                <w:szCs w:val="22"/>
              </w:rPr>
              <w:t>公共建設及設施</w:t>
            </w:r>
          </w:p>
        </w:tc>
        <w:tc>
          <w:tcPr>
            <w:tcW w:w="709" w:type="dxa"/>
            <w:tcBorders>
              <w:top w:val="nil"/>
              <w:left w:val="nil"/>
              <w:bottom w:val="single" w:sz="8" w:space="0" w:color="auto"/>
              <w:right w:val="single" w:sz="8" w:space="0" w:color="auto"/>
            </w:tcBorders>
            <w:shd w:val="clear" w:color="000000" w:fill="CCFFCC"/>
            <w:vAlign w:val="center"/>
          </w:tcPr>
          <w:p w:rsidR="00D4339C" w:rsidRPr="00D55DC6" w:rsidRDefault="00D4339C" w:rsidP="0038165F">
            <w:pPr>
              <w:widowControl/>
              <w:spacing w:line="0" w:lineRule="atLeast"/>
              <w:jc w:val="right"/>
              <w:rPr>
                <w:rFonts w:eastAsia="標楷體"/>
                <w:b/>
                <w:bCs/>
                <w:kern w:val="0"/>
              </w:rPr>
            </w:pPr>
            <w:r w:rsidRPr="00D55DC6">
              <w:rPr>
                <w:rFonts w:eastAsia="標楷體"/>
                <w:b/>
                <w:bCs/>
                <w:kern w:val="0"/>
              </w:rPr>
              <w:t>2.36</w:t>
            </w:r>
          </w:p>
        </w:tc>
        <w:tc>
          <w:tcPr>
            <w:tcW w:w="709" w:type="dxa"/>
            <w:tcBorders>
              <w:top w:val="nil"/>
              <w:left w:val="nil"/>
              <w:bottom w:val="single" w:sz="8" w:space="0" w:color="auto"/>
              <w:right w:val="single" w:sz="8" w:space="0" w:color="auto"/>
            </w:tcBorders>
            <w:shd w:val="clear" w:color="000000" w:fill="CCFFCC"/>
            <w:vAlign w:val="center"/>
          </w:tcPr>
          <w:p w:rsidR="00D4339C" w:rsidRPr="00D55DC6" w:rsidRDefault="00D4339C" w:rsidP="0038165F">
            <w:pPr>
              <w:widowControl/>
              <w:spacing w:line="0" w:lineRule="atLeast"/>
              <w:jc w:val="right"/>
              <w:rPr>
                <w:rFonts w:eastAsia="標楷體"/>
                <w:b/>
                <w:bCs/>
                <w:kern w:val="0"/>
              </w:rPr>
            </w:pPr>
            <w:r w:rsidRPr="00D55DC6">
              <w:rPr>
                <w:rFonts w:eastAsia="標楷體"/>
                <w:b/>
                <w:bCs/>
                <w:kern w:val="0"/>
              </w:rPr>
              <w:t>2.13</w:t>
            </w:r>
          </w:p>
        </w:tc>
        <w:tc>
          <w:tcPr>
            <w:tcW w:w="709" w:type="dxa"/>
            <w:tcBorders>
              <w:top w:val="nil"/>
              <w:left w:val="nil"/>
              <w:bottom w:val="single" w:sz="8" w:space="0" w:color="auto"/>
              <w:right w:val="single" w:sz="8" w:space="0" w:color="auto"/>
            </w:tcBorders>
            <w:shd w:val="clear" w:color="000000" w:fill="CCFFCC"/>
            <w:vAlign w:val="center"/>
          </w:tcPr>
          <w:p w:rsidR="00D4339C" w:rsidRPr="00D55DC6" w:rsidRDefault="00D4339C" w:rsidP="0038165F">
            <w:pPr>
              <w:widowControl/>
              <w:spacing w:line="0" w:lineRule="atLeast"/>
              <w:jc w:val="right"/>
              <w:rPr>
                <w:rFonts w:eastAsia="標楷體"/>
                <w:b/>
                <w:bCs/>
                <w:kern w:val="0"/>
              </w:rPr>
            </w:pPr>
            <w:r w:rsidRPr="00D55DC6">
              <w:rPr>
                <w:rFonts w:eastAsia="標楷體"/>
                <w:b/>
                <w:bCs/>
                <w:kern w:val="0"/>
                <w:szCs w:val="22"/>
              </w:rPr>
              <w:t xml:space="preserve">2.37 </w:t>
            </w:r>
          </w:p>
        </w:tc>
        <w:tc>
          <w:tcPr>
            <w:tcW w:w="708" w:type="dxa"/>
            <w:tcBorders>
              <w:top w:val="nil"/>
              <w:left w:val="nil"/>
              <w:bottom w:val="single" w:sz="8" w:space="0" w:color="auto"/>
              <w:right w:val="single" w:sz="8" w:space="0" w:color="auto"/>
            </w:tcBorders>
            <w:shd w:val="clear" w:color="000000" w:fill="CCFFCC"/>
            <w:vAlign w:val="center"/>
          </w:tcPr>
          <w:p w:rsidR="00D4339C" w:rsidRPr="00D55DC6" w:rsidRDefault="00D4339C" w:rsidP="0038165F">
            <w:pPr>
              <w:widowControl/>
              <w:spacing w:line="0" w:lineRule="atLeast"/>
              <w:jc w:val="right"/>
              <w:rPr>
                <w:rFonts w:eastAsia="標楷體"/>
                <w:b/>
                <w:bCs/>
                <w:kern w:val="0"/>
              </w:rPr>
            </w:pPr>
            <w:r w:rsidRPr="00D55DC6">
              <w:rPr>
                <w:rFonts w:eastAsia="標楷體"/>
                <w:b/>
                <w:bCs/>
                <w:kern w:val="0"/>
              </w:rPr>
              <w:t>2.39</w:t>
            </w:r>
          </w:p>
        </w:tc>
        <w:tc>
          <w:tcPr>
            <w:tcW w:w="851"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b/>
                <w:bCs/>
                <w:kern w:val="0"/>
              </w:rPr>
            </w:pPr>
            <w:r w:rsidRPr="00D55DC6">
              <w:rPr>
                <w:rFonts w:eastAsia="標楷體"/>
                <w:b/>
                <w:bCs/>
                <w:kern w:val="0"/>
                <w:szCs w:val="22"/>
              </w:rPr>
              <w:t xml:space="preserve">9.25 </w:t>
            </w:r>
          </w:p>
        </w:tc>
        <w:tc>
          <w:tcPr>
            <w:tcW w:w="1559" w:type="dxa"/>
            <w:tcBorders>
              <w:top w:val="nil"/>
              <w:left w:val="nil"/>
              <w:bottom w:val="single" w:sz="8" w:space="0" w:color="auto"/>
              <w:right w:val="single" w:sz="8" w:space="0" w:color="auto"/>
            </w:tcBorders>
          </w:tcPr>
          <w:p w:rsidR="00D4339C" w:rsidRPr="00D55DC6" w:rsidRDefault="00D4339C" w:rsidP="006B6C3C">
            <w:pPr>
              <w:widowControl/>
              <w:spacing w:line="0" w:lineRule="atLeast"/>
              <w:jc w:val="both"/>
              <w:rPr>
                <w:rFonts w:eastAsia="標楷體"/>
                <w:kern w:val="0"/>
              </w:rPr>
            </w:pPr>
          </w:p>
        </w:tc>
      </w:tr>
      <w:tr w:rsidR="001D0350" w:rsidRPr="00D55DC6" w:rsidTr="00144178">
        <w:trPr>
          <w:trHeight w:val="360"/>
        </w:trPr>
        <w:tc>
          <w:tcPr>
            <w:tcW w:w="400"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1102"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both"/>
              <w:rPr>
                <w:rFonts w:eastAsia="標楷體"/>
                <w:kern w:val="0"/>
              </w:rPr>
            </w:pPr>
            <w:r w:rsidRPr="00D55DC6">
              <w:rPr>
                <w:rFonts w:eastAsia="標楷體"/>
                <w:kern w:val="0"/>
                <w:szCs w:val="22"/>
              </w:rPr>
              <w:t>(1)</w:t>
            </w:r>
            <w:r w:rsidRPr="00D55DC6">
              <w:rPr>
                <w:rFonts w:eastAsia="標楷體"/>
                <w:kern w:val="0"/>
                <w:szCs w:val="22"/>
              </w:rPr>
              <w:t>先期規劃設計</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kern w:val="0"/>
              </w:rPr>
            </w:pPr>
            <w:r w:rsidRPr="00D55DC6">
              <w:rPr>
                <w:rFonts w:eastAsia="標楷體"/>
                <w:kern w:val="0"/>
                <w:szCs w:val="22"/>
              </w:rPr>
              <w:t xml:space="preserve">0.10 </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kern w:val="0"/>
              </w:rPr>
            </w:pPr>
            <w:r w:rsidRPr="00D55DC6">
              <w:rPr>
                <w:rFonts w:eastAsia="標楷體"/>
                <w:kern w:val="0"/>
                <w:szCs w:val="22"/>
              </w:rPr>
              <w:t xml:space="preserve"> 0.10 </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kern w:val="0"/>
              </w:rPr>
            </w:pPr>
            <w:r w:rsidRPr="00D55DC6">
              <w:rPr>
                <w:rFonts w:eastAsia="標楷體"/>
                <w:kern w:val="0"/>
                <w:szCs w:val="22"/>
              </w:rPr>
              <w:t xml:space="preserve"> 0.10 </w:t>
            </w:r>
          </w:p>
        </w:tc>
        <w:tc>
          <w:tcPr>
            <w:tcW w:w="708"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kern w:val="0"/>
              </w:rPr>
            </w:pPr>
            <w:r w:rsidRPr="00D55DC6">
              <w:rPr>
                <w:rFonts w:eastAsia="標楷體"/>
                <w:kern w:val="0"/>
                <w:szCs w:val="22"/>
              </w:rPr>
              <w:t xml:space="preserve"> 0.10 </w:t>
            </w:r>
          </w:p>
        </w:tc>
        <w:tc>
          <w:tcPr>
            <w:tcW w:w="851"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bCs/>
                <w:kern w:val="0"/>
              </w:rPr>
            </w:pPr>
            <w:r w:rsidRPr="00D55DC6">
              <w:rPr>
                <w:rFonts w:eastAsia="標楷體"/>
                <w:bCs/>
                <w:kern w:val="0"/>
                <w:szCs w:val="22"/>
              </w:rPr>
              <w:t xml:space="preserve">  0.40 </w:t>
            </w:r>
          </w:p>
        </w:tc>
        <w:tc>
          <w:tcPr>
            <w:tcW w:w="1559" w:type="dxa"/>
            <w:tcBorders>
              <w:top w:val="nil"/>
              <w:left w:val="nil"/>
              <w:bottom w:val="single" w:sz="8" w:space="0" w:color="auto"/>
              <w:right w:val="single" w:sz="8" w:space="0" w:color="auto"/>
            </w:tcBorders>
          </w:tcPr>
          <w:p w:rsidR="00D4339C" w:rsidRPr="00D55DC6" w:rsidRDefault="00D4339C" w:rsidP="006B6C3C">
            <w:pPr>
              <w:widowControl/>
              <w:spacing w:line="0" w:lineRule="atLeast"/>
              <w:jc w:val="both"/>
              <w:rPr>
                <w:rFonts w:eastAsia="標楷體"/>
                <w:kern w:val="0"/>
              </w:rPr>
            </w:pPr>
          </w:p>
        </w:tc>
      </w:tr>
      <w:tr w:rsidR="001D0350" w:rsidRPr="00D55DC6" w:rsidTr="00144178">
        <w:trPr>
          <w:trHeight w:val="390"/>
        </w:trPr>
        <w:tc>
          <w:tcPr>
            <w:tcW w:w="400"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1102"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both"/>
              <w:rPr>
                <w:rFonts w:eastAsia="標楷體"/>
                <w:kern w:val="0"/>
              </w:rPr>
            </w:pPr>
            <w:r w:rsidRPr="00D55DC6">
              <w:rPr>
                <w:rFonts w:eastAsia="標楷體"/>
                <w:kern w:val="0"/>
                <w:szCs w:val="22"/>
              </w:rPr>
              <w:t>(2)</w:t>
            </w:r>
            <w:r w:rsidRPr="00D55DC6">
              <w:rPr>
                <w:rFonts w:eastAsia="標楷體"/>
                <w:kern w:val="0"/>
                <w:szCs w:val="22"/>
              </w:rPr>
              <w:t>國際觀光重要景點</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kern w:val="0"/>
              </w:rPr>
            </w:pPr>
            <w:r w:rsidRPr="00D55DC6">
              <w:rPr>
                <w:rFonts w:eastAsia="標楷體"/>
                <w:kern w:val="0"/>
                <w:szCs w:val="22"/>
              </w:rPr>
              <w:t xml:space="preserve">1.44 </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kern w:val="0"/>
              </w:rPr>
            </w:pPr>
            <w:r w:rsidRPr="00D55DC6">
              <w:rPr>
                <w:rFonts w:eastAsia="標楷體"/>
                <w:kern w:val="0"/>
                <w:szCs w:val="22"/>
              </w:rPr>
              <w:t xml:space="preserve">1.20 </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kern w:val="0"/>
              </w:rPr>
            </w:pPr>
            <w:r w:rsidRPr="00D55DC6">
              <w:rPr>
                <w:rFonts w:eastAsia="標楷體"/>
                <w:kern w:val="0"/>
                <w:szCs w:val="22"/>
              </w:rPr>
              <w:t xml:space="preserve">1.70 </w:t>
            </w:r>
          </w:p>
        </w:tc>
        <w:tc>
          <w:tcPr>
            <w:tcW w:w="708"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kern w:val="0"/>
              </w:rPr>
            </w:pPr>
            <w:r w:rsidRPr="00D55DC6">
              <w:rPr>
                <w:rFonts w:eastAsia="標楷體"/>
                <w:kern w:val="0"/>
                <w:szCs w:val="22"/>
              </w:rPr>
              <w:t xml:space="preserve">1.20 </w:t>
            </w:r>
          </w:p>
        </w:tc>
        <w:tc>
          <w:tcPr>
            <w:tcW w:w="851"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bCs/>
                <w:kern w:val="0"/>
              </w:rPr>
            </w:pPr>
            <w:r w:rsidRPr="00D55DC6">
              <w:rPr>
                <w:rFonts w:eastAsia="標楷體"/>
                <w:bCs/>
                <w:kern w:val="0"/>
                <w:szCs w:val="22"/>
              </w:rPr>
              <w:t xml:space="preserve">5.54  </w:t>
            </w:r>
          </w:p>
        </w:tc>
        <w:tc>
          <w:tcPr>
            <w:tcW w:w="1559" w:type="dxa"/>
            <w:vMerge w:val="restart"/>
            <w:tcBorders>
              <w:top w:val="nil"/>
              <w:left w:val="single" w:sz="8" w:space="0" w:color="auto"/>
              <w:right w:val="single" w:sz="8" w:space="0" w:color="auto"/>
            </w:tcBorders>
          </w:tcPr>
          <w:p w:rsidR="00D4339C" w:rsidRPr="00D55DC6" w:rsidRDefault="00D4339C" w:rsidP="006B6C3C">
            <w:pPr>
              <w:widowControl/>
              <w:spacing w:line="0" w:lineRule="atLeast"/>
              <w:jc w:val="both"/>
              <w:rPr>
                <w:rFonts w:eastAsia="標楷體"/>
                <w:kern w:val="0"/>
              </w:rPr>
            </w:pPr>
            <w:r w:rsidRPr="00D55DC6">
              <w:rPr>
                <w:rFonts w:eastAsia="標楷體"/>
                <w:kern w:val="0"/>
                <w:szCs w:val="22"/>
              </w:rPr>
              <w:t>辦理日月潭人車分道系統、碼頭岸基相關設施、環潭遊憩系統周邊景觀改善及公共設施整建等。</w:t>
            </w:r>
          </w:p>
        </w:tc>
      </w:tr>
      <w:tr w:rsidR="001D0350" w:rsidRPr="00D55DC6" w:rsidTr="00144178">
        <w:trPr>
          <w:trHeight w:val="142"/>
        </w:trPr>
        <w:tc>
          <w:tcPr>
            <w:tcW w:w="400"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1102"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tcPr>
          <w:p w:rsidR="00D4339C" w:rsidRPr="00D55DC6" w:rsidRDefault="00D4339C" w:rsidP="0038165F">
            <w:pPr>
              <w:widowControl/>
              <w:spacing w:line="0" w:lineRule="atLeast"/>
              <w:rPr>
                <w:rFonts w:eastAsia="標楷體"/>
                <w:kern w:val="0"/>
              </w:rPr>
            </w:pPr>
            <w:r w:rsidRPr="00D55DC6">
              <w:rPr>
                <w:rFonts w:eastAsia="標楷體"/>
                <w:kern w:val="0"/>
              </w:rPr>
              <w:t>環潭遊憩系統</w:t>
            </w:r>
          </w:p>
        </w:tc>
        <w:tc>
          <w:tcPr>
            <w:tcW w:w="709" w:type="dxa"/>
            <w:tcBorders>
              <w:top w:val="nil"/>
              <w:left w:val="nil"/>
              <w:bottom w:val="single" w:sz="8" w:space="0" w:color="auto"/>
              <w:right w:val="single" w:sz="8" w:space="0" w:color="auto"/>
            </w:tcBorders>
          </w:tcPr>
          <w:p w:rsidR="00D4339C" w:rsidRPr="00D55DC6" w:rsidRDefault="00D4339C" w:rsidP="0038165F">
            <w:pPr>
              <w:widowControl/>
              <w:spacing w:line="0" w:lineRule="atLeast"/>
              <w:jc w:val="right"/>
              <w:rPr>
                <w:rFonts w:eastAsia="標楷體"/>
                <w:kern w:val="0"/>
              </w:rPr>
            </w:pPr>
            <w:r w:rsidRPr="00D55DC6">
              <w:rPr>
                <w:rFonts w:eastAsia="標楷體"/>
                <w:kern w:val="0"/>
                <w:szCs w:val="22"/>
              </w:rPr>
              <w:t xml:space="preserve">1.44 </w:t>
            </w:r>
          </w:p>
        </w:tc>
        <w:tc>
          <w:tcPr>
            <w:tcW w:w="709" w:type="dxa"/>
            <w:tcBorders>
              <w:top w:val="nil"/>
              <w:left w:val="nil"/>
              <w:bottom w:val="single" w:sz="8" w:space="0" w:color="auto"/>
              <w:right w:val="single" w:sz="8" w:space="0" w:color="auto"/>
            </w:tcBorders>
          </w:tcPr>
          <w:p w:rsidR="00D4339C" w:rsidRPr="00D55DC6" w:rsidRDefault="00D4339C" w:rsidP="0038165F">
            <w:pPr>
              <w:widowControl/>
              <w:spacing w:line="0" w:lineRule="atLeast"/>
              <w:jc w:val="right"/>
              <w:rPr>
                <w:rFonts w:eastAsia="標楷體"/>
                <w:kern w:val="0"/>
              </w:rPr>
            </w:pPr>
            <w:r w:rsidRPr="00D55DC6">
              <w:rPr>
                <w:rFonts w:eastAsia="標楷體"/>
                <w:kern w:val="0"/>
                <w:szCs w:val="22"/>
              </w:rPr>
              <w:t xml:space="preserve">1.20 </w:t>
            </w:r>
          </w:p>
        </w:tc>
        <w:tc>
          <w:tcPr>
            <w:tcW w:w="709" w:type="dxa"/>
            <w:tcBorders>
              <w:top w:val="nil"/>
              <w:left w:val="nil"/>
              <w:bottom w:val="single" w:sz="8" w:space="0" w:color="auto"/>
              <w:right w:val="single" w:sz="8" w:space="0" w:color="auto"/>
            </w:tcBorders>
          </w:tcPr>
          <w:p w:rsidR="00D4339C" w:rsidRPr="00D55DC6" w:rsidRDefault="00D4339C" w:rsidP="0038165F">
            <w:pPr>
              <w:widowControl/>
              <w:spacing w:line="0" w:lineRule="atLeast"/>
              <w:jc w:val="right"/>
              <w:rPr>
                <w:rFonts w:eastAsia="標楷體"/>
                <w:kern w:val="0"/>
              </w:rPr>
            </w:pPr>
            <w:r w:rsidRPr="00D55DC6">
              <w:rPr>
                <w:rFonts w:eastAsia="標楷體"/>
                <w:kern w:val="0"/>
                <w:szCs w:val="22"/>
              </w:rPr>
              <w:t xml:space="preserve">1.70 </w:t>
            </w:r>
          </w:p>
        </w:tc>
        <w:tc>
          <w:tcPr>
            <w:tcW w:w="708" w:type="dxa"/>
            <w:tcBorders>
              <w:top w:val="nil"/>
              <w:left w:val="nil"/>
              <w:bottom w:val="single" w:sz="8" w:space="0" w:color="auto"/>
              <w:right w:val="single" w:sz="8" w:space="0" w:color="auto"/>
            </w:tcBorders>
          </w:tcPr>
          <w:p w:rsidR="00D4339C" w:rsidRPr="00D55DC6" w:rsidRDefault="00D4339C" w:rsidP="0038165F">
            <w:pPr>
              <w:widowControl/>
              <w:spacing w:line="0" w:lineRule="atLeast"/>
              <w:jc w:val="right"/>
              <w:rPr>
                <w:rFonts w:eastAsia="標楷體"/>
                <w:kern w:val="0"/>
              </w:rPr>
            </w:pPr>
            <w:r w:rsidRPr="00D55DC6">
              <w:rPr>
                <w:rFonts w:eastAsia="標楷體"/>
                <w:kern w:val="0"/>
                <w:szCs w:val="22"/>
              </w:rPr>
              <w:t xml:space="preserve">1.20 </w:t>
            </w:r>
          </w:p>
        </w:tc>
        <w:tc>
          <w:tcPr>
            <w:tcW w:w="851"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bCs/>
                <w:kern w:val="0"/>
              </w:rPr>
            </w:pPr>
            <w:r w:rsidRPr="00D55DC6">
              <w:rPr>
                <w:rFonts w:eastAsia="標楷體"/>
                <w:bCs/>
                <w:kern w:val="0"/>
                <w:szCs w:val="22"/>
              </w:rPr>
              <w:t xml:space="preserve">5.54  </w:t>
            </w:r>
          </w:p>
        </w:tc>
        <w:tc>
          <w:tcPr>
            <w:tcW w:w="1559" w:type="dxa"/>
            <w:vMerge/>
            <w:tcBorders>
              <w:left w:val="single" w:sz="8" w:space="0" w:color="auto"/>
              <w:right w:val="single" w:sz="8" w:space="0" w:color="auto"/>
            </w:tcBorders>
          </w:tcPr>
          <w:p w:rsidR="00D4339C" w:rsidRPr="00D55DC6" w:rsidRDefault="00D4339C" w:rsidP="0038165F">
            <w:pPr>
              <w:widowControl/>
              <w:spacing w:line="0" w:lineRule="atLeast"/>
              <w:jc w:val="both"/>
              <w:rPr>
                <w:rFonts w:eastAsia="標楷體"/>
                <w:kern w:val="0"/>
              </w:rPr>
            </w:pPr>
          </w:p>
        </w:tc>
      </w:tr>
      <w:tr w:rsidR="001D0350" w:rsidRPr="00D55DC6" w:rsidTr="00144178">
        <w:trPr>
          <w:trHeight w:val="345"/>
        </w:trPr>
        <w:tc>
          <w:tcPr>
            <w:tcW w:w="400"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1102"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both"/>
              <w:rPr>
                <w:rFonts w:eastAsia="標楷體"/>
                <w:kern w:val="0"/>
              </w:rPr>
            </w:pPr>
            <w:r w:rsidRPr="00D55DC6">
              <w:rPr>
                <w:rFonts w:eastAsia="標楷體"/>
                <w:kern w:val="0"/>
                <w:szCs w:val="22"/>
              </w:rPr>
              <w:t>(3)</w:t>
            </w:r>
            <w:r w:rsidRPr="00D55DC6">
              <w:rPr>
                <w:rFonts w:eastAsia="標楷體"/>
                <w:kern w:val="0"/>
                <w:szCs w:val="22"/>
              </w:rPr>
              <w:t>國內觀光重要景點</w:t>
            </w:r>
          </w:p>
        </w:tc>
        <w:tc>
          <w:tcPr>
            <w:tcW w:w="709" w:type="dxa"/>
            <w:tcBorders>
              <w:top w:val="nil"/>
              <w:left w:val="nil"/>
              <w:bottom w:val="single" w:sz="8" w:space="0" w:color="auto"/>
              <w:right w:val="single" w:sz="8" w:space="0" w:color="auto"/>
            </w:tcBorders>
            <w:shd w:val="clear" w:color="000000" w:fill="CCFFCC"/>
            <w:vAlign w:val="center"/>
          </w:tcPr>
          <w:p w:rsidR="00D4339C" w:rsidRPr="00D55DC6" w:rsidRDefault="00D4339C" w:rsidP="0038165F">
            <w:pPr>
              <w:widowControl/>
              <w:spacing w:line="0" w:lineRule="atLeast"/>
              <w:jc w:val="right"/>
              <w:rPr>
                <w:rFonts w:eastAsia="標楷體"/>
                <w:b/>
                <w:bCs/>
                <w:kern w:val="0"/>
              </w:rPr>
            </w:pPr>
            <w:r w:rsidRPr="00D55DC6">
              <w:rPr>
                <w:rFonts w:eastAsia="標楷體"/>
                <w:b/>
                <w:bCs/>
                <w:kern w:val="0"/>
                <w:szCs w:val="22"/>
              </w:rPr>
              <w:t xml:space="preserve">0.50 </w:t>
            </w:r>
          </w:p>
        </w:tc>
        <w:tc>
          <w:tcPr>
            <w:tcW w:w="709" w:type="dxa"/>
            <w:tcBorders>
              <w:top w:val="nil"/>
              <w:left w:val="nil"/>
              <w:bottom w:val="single" w:sz="8" w:space="0" w:color="auto"/>
              <w:right w:val="single" w:sz="8" w:space="0" w:color="auto"/>
            </w:tcBorders>
            <w:shd w:val="clear" w:color="000000" w:fill="CCFFCC"/>
            <w:vAlign w:val="center"/>
          </w:tcPr>
          <w:p w:rsidR="00D4339C" w:rsidRPr="00D55DC6" w:rsidRDefault="00D4339C" w:rsidP="0038165F">
            <w:pPr>
              <w:widowControl/>
              <w:spacing w:line="0" w:lineRule="atLeast"/>
              <w:jc w:val="right"/>
              <w:rPr>
                <w:rFonts w:eastAsia="標楷體"/>
                <w:b/>
                <w:bCs/>
                <w:kern w:val="0"/>
              </w:rPr>
            </w:pPr>
            <w:r w:rsidRPr="00D55DC6">
              <w:rPr>
                <w:rFonts w:eastAsia="標楷體"/>
                <w:b/>
                <w:bCs/>
                <w:kern w:val="0"/>
                <w:szCs w:val="22"/>
              </w:rPr>
              <w:t xml:space="preserve">0.51 </w:t>
            </w:r>
          </w:p>
        </w:tc>
        <w:tc>
          <w:tcPr>
            <w:tcW w:w="709" w:type="dxa"/>
            <w:tcBorders>
              <w:top w:val="nil"/>
              <w:left w:val="nil"/>
              <w:bottom w:val="single" w:sz="8" w:space="0" w:color="auto"/>
              <w:right w:val="single" w:sz="8" w:space="0" w:color="auto"/>
            </w:tcBorders>
            <w:shd w:val="clear" w:color="000000" w:fill="CCFFCC"/>
            <w:vAlign w:val="center"/>
          </w:tcPr>
          <w:p w:rsidR="00D4339C" w:rsidRPr="00D55DC6" w:rsidRDefault="00D4339C" w:rsidP="0038165F">
            <w:pPr>
              <w:widowControl/>
              <w:spacing w:line="0" w:lineRule="atLeast"/>
              <w:jc w:val="right"/>
              <w:rPr>
                <w:rFonts w:eastAsia="標楷體"/>
                <w:b/>
                <w:bCs/>
                <w:kern w:val="0"/>
              </w:rPr>
            </w:pPr>
            <w:r w:rsidRPr="00D55DC6">
              <w:rPr>
                <w:rFonts w:eastAsia="標楷體"/>
                <w:b/>
                <w:bCs/>
                <w:kern w:val="0"/>
                <w:szCs w:val="22"/>
              </w:rPr>
              <w:t xml:space="preserve">0.25 </w:t>
            </w:r>
          </w:p>
        </w:tc>
        <w:tc>
          <w:tcPr>
            <w:tcW w:w="708" w:type="dxa"/>
            <w:tcBorders>
              <w:top w:val="nil"/>
              <w:left w:val="nil"/>
              <w:bottom w:val="single" w:sz="8" w:space="0" w:color="auto"/>
              <w:right w:val="single" w:sz="8" w:space="0" w:color="auto"/>
            </w:tcBorders>
            <w:shd w:val="clear" w:color="000000" w:fill="CCFFCC"/>
            <w:vAlign w:val="center"/>
          </w:tcPr>
          <w:p w:rsidR="00D4339C" w:rsidRPr="00D55DC6" w:rsidRDefault="00D4339C" w:rsidP="0038165F">
            <w:pPr>
              <w:widowControl/>
              <w:spacing w:line="0" w:lineRule="atLeast"/>
              <w:jc w:val="right"/>
              <w:rPr>
                <w:rFonts w:eastAsia="標楷體"/>
                <w:b/>
                <w:bCs/>
                <w:kern w:val="0"/>
              </w:rPr>
            </w:pPr>
            <w:r w:rsidRPr="00D55DC6">
              <w:rPr>
                <w:rFonts w:eastAsia="標楷體"/>
                <w:b/>
                <w:bCs/>
                <w:kern w:val="0"/>
                <w:szCs w:val="22"/>
              </w:rPr>
              <w:t xml:space="preserve">0.77 </w:t>
            </w:r>
          </w:p>
        </w:tc>
        <w:tc>
          <w:tcPr>
            <w:tcW w:w="851"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b/>
                <w:bCs/>
                <w:kern w:val="0"/>
              </w:rPr>
            </w:pPr>
            <w:r w:rsidRPr="00D55DC6">
              <w:rPr>
                <w:rFonts w:eastAsia="標楷體"/>
                <w:b/>
                <w:bCs/>
                <w:kern w:val="0"/>
                <w:szCs w:val="22"/>
              </w:rPr>
              <w:t xml:space="preserve">  2.03 </w:t>
            </w:r>
          </w:p>
        </w:tc>
        <w:tc>
          <w:tcPr>
            <w:tcW w:w="1559" w:type="dxa"/>
            <w:vMerge w:val="restart"/>
            <w:tcBorders>
              <w:top w:val="single" w:sz="8" w:space="0" w:color="auto"/>
              <w:left w:val="single" w:sz="8" w:space="0" w:color="auto"/>
              <w:right w:val="single" w:sz="8" w:space="0" w:color="auto"/>
            </w:tcBorders>
          </w:tcPr>
          <w:p w:rsidR="00D4339C" w:rsidRPr="00D55DC6" w:rsidRDefault="00D4339C" w:rsidP="0038165F">
            <w:pPr>
              <w:widowControl/>
              <w:spacing w:line="0" w:lineRule="atLeast"/>
              <w:jc w:val="both"/>
              <w:rPr>
                <w:rFonts w:eastAsia="標楷體"/>
                <w:kern w:val="0"/>
              </w:rPr>
            </w:pPr>
            <w:r w:rsidRPr="00D55DC6">
              <w:rPr>
                <w:rFonts w:eastAsia="標楷體"/>
                <w:kern w:val="0"/>
                <w:szCs w:val="22"/>
              </w:rPr>
              <w:t>辦理</w:t>
            </w:r>
            <w:r w:rsidRPr="00D55DC6">
              <w:rPr>
                <w:rFonts w:eastAsia="標楷體"/>
                <w:kern w:val="0"/>
              </w:rPr>
              <w:t>埔里魚池、集集水里、濁水溪等副核心遊憩系統公共設施興整建及周邊景觀改善等。</w:t>
            </w:r>
          </w:p>
        </w:tc>
      </w:tr>
      <w:tr w:rsidR="001D0350" w:rsidRPr="00D55DC6" w:rsidTr="00144178">
        <w:trPr>
          <w:trHeight w:val="292"/>
        </w:trPr>
        <w:tc>
          <w:tcPr>
            <w:tcW w:w="400"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1102"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tcPr>
          <w:p w:rsidR="00D4339C" w:rsidRPr="00D55DC6" w:rsidRDefault="00D4339C" w:rsidP="0038165F">
            <w:pPr>
              <w:spacing w:line="0" w:lineRule="atLeast"/>
            </w:pPr>
            <w:r w:rsidRPr="00D55DC6">
              <w:rPr>
                <w:rFonts w:eastAsia="標楷體"/>
                <w:kern w:val="0"/>
              </w:rPr>
              <w:t>埔里魚池遊憩系統</w:t>
            </w:r>
          </w:p>
        </w:tc>
        <w:tc>
          <w:tcPr>
            <w:tcW w:w="709" w:type="dxa"/>
            <w:tcBorders>
              <w:top w:val="nil"/>
              <w:left w:val="nil"/>
              <w:bottom w:val="single" w:sz="8" w:space="0" w:color="auto"/>
              <w:right w:val="single" w:sz="8" w:space="0" w:color="auto"/>
            </w:tcBorders>
          </w:tcPr>
          <w:p w:rsidR="00D4339C" w:rsidRPr="00D55DC6" w:rsidRDefault="00D4339C" w:rsidP="0038165F">
            <w:pPr>
              <w:widowControl/>
              <w:spacing w:line="0" w:lineRule="atLeast"/>
              <w:jc w:val="right"/>
              <w:rPr>
                <w:rFonts w:eastAsia="標楷體"/>
                <w:kern w:val="0"/>
              </w:rPr>
            </w:pPr>
            <w:r w:rsidRPr="00D55DC6">
              <w:rPr>
                <w:rFonts w:eastAsia="標楷體"/>
                <w:kern w:val="0"/>
              </w:rPr>
              <w:t>0.20</w:t>
            </w:r>
          </w:p>
        </w:tc>
        <w:tc>
          <w:tcPr>
            <w:tcW w:w="709" w:type="dxa"/>
            <w:tcBorders>
              <w:top w:val="nil"/>
              <w:left w:val="nil"/>
              <w:bottom w:val="single" w:sz="8" w:space="0" w:color="auto"/>
              <w:right w:val="single" w:sz="8" w:space="0" w:color="auto"/>
            </w:tcBorders>
          </w:tcPr>
          <w:p w:rsidR="00D4339C" w:rsidRPr="00D55DC6" w:rsidRDefault="00D4339C" w:rsidP="0038165F">
            <w:pPr>
              <w:widowControl/>
              <w:spacing w:line="0" w:lineRule="atLeast"/>
              <w:jc w:val="right"/>
              <w:rPr>
                <w:rFonts w:eastAsia="標楷體"/>
                <w:kern w:val="0"/>
              </w:rPr>
            </w:pPr>
            <w:r w:rsidRPr="00D55DC6">
              <w:rPr>
                <w:rFonts w:eastAsia="標楷體"/>
                <w:kern w:val="0"/>
                <w:szCs w:val="22"/>
              </w:rPr>
              <w:t xml:space="preserve">0.26 </w:t>
            </w:r>
          </w:p>
        </w:tc>
        <w:tc>
          <w:tcPr>
            <w:tcW w:w="709" w:type="dxa"/>
            <w:tcBorders>
              <w:top w:val="nil"/>
              <w:left w:val="nil"/>
              <w:bottom w:val="single" w:sz="8" w:space="0" w:color="auto"/>
              <w:right w:val="single" w:sz="8" w:space="0" w:color="auto"/>
            </w:tcBorders>
          </w:tcPr>
          <w:p w:rsidR="00D4339C" w:rsidRPr="00D55DC6" w:rsidRDefault="00D4339C" w:rsidP="0038165F">
            <w:pPr>
              <w:widowControl/>
              <w:spacing w:line="0" w:lineRule="atLeast"/>
              <w:jc w:val="right"/>
              <w:rPr>
                <w:rFonts w:eastAsia="標楷體"/>
                <w:kern w:val="0"/>
              </w:rPr>
            </w:pPr>
            <w:r w:rsidRPr="00D55DC6">
              <w:rPr>
                <w:rFonts w:eastAsia="標楷體"/>
                <w:kern w:val="0"/>
                <w:szCs w:val="22"/>
              </w:rPr>
              <w:t xml:space="preserve">0.20 </w:t>
            </w:r>
          </w:p>
        </w:tc>
        <w:tc>
          <w:tcPr>
            <w:tcW w:w="708" w:type="dxa"/>
            <w:tcBorders>
              <w:top w:val="nil"/>
              <w:left w:val="nil"/>
              <w:bottom w:val="single" w:sz="8" w:space="0" w:color="auto"/>
              <w:right w:val="single" w:sz="8" w:space="0" w:color="auto"/>
            </w:tcBorders>
          </w:tcPr>
          <w:p w:rsidR="00D4339C" w:rsidRPr="00D55DC6" w:rsidRDefault="00D4339C" w:rsidP="0038165F">
            <w:pPr>
              <w:widowControl/>
              <w:spacing w:line="0" w:lineRule="atLeast"/>
              <w:jc w:val="right"/>
              <w:rPr>
                <w:rFonts w:eastAsia="標楷體"/>
                <w:kern w:val="0"/>
              </w:rPr>
            </w:pPr>
            <w:r w:rsidRPr="00D55DC6">
              <w:rPr>
                <w:rFonts w:eastAsia="標楷體"/>
                <w:kern w:val="0"/>
                <w:szCs w:val="22"/>
              </w:rPr>
              <w:t xml:space="preserve">0.35 </w:t>
            </w:r>
          </w:p>
        </w:tc>
        <w:tc>
          <w:tcPr>
            <w:tcW w:w="851"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bCs/>
                <w:kern w:val="0"/>
              </w:rPr>
            </w:pPr>
            <w:r w:rsidRPr="00D55DC6">
              <w:rPr>
                <w:rFonts w:eastAsia="標楷體"/>
                <w:bCs/>
                <w:kern w:val="0"/>
                <w:szCs w:val="22"/>
              </w:rPr>
              <w:t xml:space="preserve">1.01  </w:t>
            </w:r>
          </w:p>
        </w:tc>
        <w:tc>
          <w:tcPr>
            <w:tcW w:w="1559"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r>
      <w:tr w:rsidR="001D0350" w:rsidRPr="00D55DC6" w:rsidTr="00144178">
        <w:trPr>
          <w:trHeight w:val="183"/>
        </w:trPr>
        <w:tc>
          <w:tcPr>
            <w:tcW w:w="400"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1102"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tcPr>
          <w:p w:rsidR="00D4339C" w:rsidRPr="00D55DC6" w:rsidRDefault="00D4339C" w:rsidP="0038165F">
            <w:pPr>
              <w:spacing w:line="0" w:lineRule="atLeast"/>
            </w:pPr>
            <w:r w:rsidRPr="00D55DC6">
              <w:rPr>
                <w:rFonts w:eastAsia="標楷體"/>
                <w:kern w:val="0"/>
              </w:rPr>
              <w:t>集集水里遊憩系統</w:t>
            </w:r>
          </w:p>
        </w:tc>
        <w:tc>
          <w:tcPr>
            <w:tcW w:w="709" w:type="dxa"/>
            <w:tcBorders>
              <w:top w:val="nil"/>
              <w:left w:val="nil"/>
              <w:bottom w:val="single" w:sz="8" w:space="0" w:color="auto"/>
              <w:right w:val="single" w:sz="8" w:space="0" w:color="auto"/>
            </w:tcBorders>
          </w:tcPr>
          <w:p w:rsidR="00D4339C" w:rsidRPr="00D55DC6" w:rsidRDefault="00D4339C" w:rsidP="0038165F">
            <w:pPr>
              <w:widowControl/>
              <w:spacing w:line="0" w:lineRule="atLeast"/>
              <w:jc w:val="right"/>
              <w:rPr>
                <w:rFonts w:eastAsia="標楷體"/>
                <w:kern w:val="0"/>
                <w:szCs w:val="22"/>
              </w:rPr>
            </w:pPr>
            <w:r w:rsidRPr="00D55DC6">
              <w:rPr>
                <w:rFonts w:eastAsia="標楷體"/>
                <w:kern w:val="0"/>
                <w:szCs w:val="22"/>
              </w:rPr>
              <w:t>0.15</w:t>
            </w:r>
          </w:p>
        </w:tc>
        <w:tc>
          <w:tcPr>
            <w:tcW w:w="709" w:type="dxa"/>
            <w:tcBorders>
              <w:top w:val="nil"/>
              <w:left w:val="nil"/>
              <w:bottom w:val="single" w:sz="8" w:space="0" w:color="auto"/>
              <w:right w:val="single" w:sz="8" w:space="0" w:color="auto"/>
            </w:tcBorders>
          </w:tcPr>
          <w:p w:rsidR="00D4339C" w:rsidRPr="00D55DC6" w:rsidRDefault="00D4339C" w:rsidP="0038165F">
            <w:pPr>
              <w:widowControl/>
              <w:spacing w:line="0" w:lineRule="atLeast"/>
              <w:jc w:val="right"/>
              <w:rPr>
                <w:rFonts w:eastAsia="標楷體"/>
                <w:kern w:val="0"/>
                <w:szCs w:val="22"/>
              </w:rPr>
            </w:pPr>
            <w:r w:rsidRPr="00D55DC6">
              <w:rPr>
                <w:rFonts w:eastAsia="標楷體"/>
                <w:kern w:val="0"/>
                <w:szCs w:val="22"/>
              </w:rPr>
              <w:t>0.20</w:t>
            </w:r>
          </w:p>
        </w:tc>
        <w:tc>
          <w:tcPr>
            <w:tcW w:w="709" w:type="dxa"/>
            <w:tcBorders>
              <w:top w:val="nil"/>
              <w:left w:val="nil"/>
              <w:bottom w:val="single" w:sz="8" w:space="0" w:color="auto"/>
              <w:right w:val="single" w:sz="8" w:space="0" w:color="auto"/>
            </w:tcBorders>
          </w:tcPr>
          <w:p w:rsidR="00D4339C" w:rsidRPr="00D55DC6" w:rsidRDefault="00D4339C" w:rsidP="0038165F">
            <w:pPr>
              <w:widowControl/>
              <w:spacing w:line="0" w:lineRule="atLeast"/>
              <w:jc w:val="center"/>
              <w:rPr>
                <w:rFonts w:eastAsia="標楷體"/>
                <w:kern w:val="0"/>
                <w:szCs w:val="22"/>
              </w:rPr>
            </w:pPr>
            <w:r w:rsidRPr="00D55DC6">
              <w:rPr>
                <w:rFonts w:eastAsia="標楷體"/>
                <w:kern w:val="0"/>
                <w:szCs w:val="22"/>
              </w:rPr>
              <w:t>-</w:t>
            </w:r>
          </w:p>
        </w:tc>
        <w:tc>
          <w:tcPr>
            <w:tcW w:w="708" w:type="dxa"/>
            <w:tcBorders>
              <w:top w:val="nil"/>
              <w:left w:val="nil"/>
              <w:bottom w:val="single" w:sz="8" w:space="0" w:color="auto"/>
              <w:right w:val="single" w:sz="8" w:space="0" w:color="auto"/>
            </w:tcBorders>
          </w:tcPr>
          <w:p w:rsidR="00D4339C" w:rsidRPr="00D55DC6" w:rsidRDefault="00D4339C" w:rsidP="0038165F">
            <w:pPr>
              <w:widowControl/>
              <w:spacing w:line="0" w:lineRule="atLeast"/>
              <w:jc w:val="right"/>
              <w:rPr>
                <w:rFonts w:eastAsia="標楷體"/>
                <w:kern w:val="0"/>
                <w:szCs w:val="22"/>
              </w:rPr>
            </w:pPr>
            <w:r w:rsidRPr="00D55DC6">
              <w:rPr>
                <w:rFonts w:eastAsia="標楷體"/>
                <w:kern w:val="0"/>
                <w:szCs w:val="22"/>
              </w:rPr>
              <w:t>0.37</w:t>
            </w:r>
          </w:p>
        </w:tc>
        <w:tc>
          <w:tcPr>
            <w:tcW w:w="851"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bCs/>
                <w:kern w:val="0"/>
                <w:szCs w:val="22"/>
              </w:rPr>
            </w:pPr>
            <w:r w:rsidRPr="00D55DC6">
              <w:rPr>
                <w:rFonts w:eastAsia="標楷體"/>
                <w:bCs/>
                <w:kern w:val="0"/>
                <w:szCs w:val="22"/>
              </w:rPr>
              <w:t>0.72</w:t>
            </w:r>
          </w:p>
        </w:tc>
        <w:tc>
          <w:tcPr>
            <w:tcW w:w="1559"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r>
      <w:tr w:rsidR="001D0350" w:rsidRPr="00D55DC6" w:rsidTr="00144178">
        <w:trPr>
          <w:trHeight w:val="183"/>
        </w:trPr>
        <w:tc>
          <w:tcPr>
            <w:tcW w:w="400"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1102"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tcPr>
          <w:p w:rsidR="00D4339C" w:rsidRPr="00D55DC6" w:rsidRDefault="00D4339C" w:rsidP="0038165F">
            <w:pPr>
              <w:spacing w:line="0" w:lineRule="atLeast"/>
              <w:rPr>
                <w:rFonts w:eastAsia="標楷體"/>
                <w:kern w:val="0"/>
              </w:rPr>
            </w:pPr>
            <w:r w:rsidRPr="00D55DC6">
              <w:rPr>
                <w:rFonts w:eastAsia="標楷體"/>
                <w:kern w:val="0"/>
              </w:rPr>
              <w:t>濁水溪遊憩系統</w:t>
            </w:r>
          </w:p>
        </w:tc>
        <w:tc>
          <w:tcPr>
            <w:tcW w:w="709" w:type="dxa"/>
            <w:tcBorders>
              <w:top w:val="nil"/>
              <w:left w:val="nil"/>
              <w:bottom w:val="single" w:sz="8" w:space="0" w:color="auto"/>
              <w:right w:val="single" w:sz="8" w:space="0" w:color="auto"/>
            </w:tcBorders>
          </w:tcPr>
          <w:p w:rsidR="00D4339C" w:rsidRPr="00D55DC6" w:rsidRDefault="00D4339C" w:rsidP="0038165F">
            <w:pPr>
              <w:widowControl/>
              <w:spacing w:line="0" w:lineRule="atLeast"/>
              <w:jc w:val="right"/>
              <w:rPr>
                <w:rFonts w:eastAsia="標楷體"/>
                <w:kern w:val="0"/>
                <w:szCs w:val="22"/>
              </w:rPr>
            </w:pPr>
            <w:r w:rsidRPr="00D55DC6">
              <w:rPr>
                <w:rFonts w:eastAsia="標楷體"/>
                <w:kern w:val="0"/>
                <w:szCs w:val="22"/>
              </w:rPr>
              <w:t>0.15</w:t>
            </w:r>
          </w:p>
        </w:tc>
        <w:tc>
          <w:tcPr>
            <w:tcW w:w="709" w:type="dxa"/>
            <w:tcBorders>
              <w:top w:val="nil"/>
              <w:left w:val="nil"/>
              <w:bottom w:val="single" w:sz="8" w:space="0" w:color="auto"/>
              <w:right w:val="single" w:sz="8" w:space="0" w:color="auto"/>
            </w:tcBorders>
          </w:tcPr>
          <w:p w:rsidR="00D4339C" w:rsidRPr="00D55DC6" w:rsidRDefault="00D4339C" w:rsidP="0038165F">
            <w:pPr>
              <w:widowControl/>
              <w:spacing w:line="0" w:lineRule="atLeast"/>
              <w:jc w:val="right"/>
              <w:rPr>
                <w:rFonts w:eastAsia="標楷體"/>
                <w:kern w:val="0"/>
                <w:szCs w:val="22"/>
              </w:rPr>
            </w:pPr>
            <w:r w:rsidRPr="00D55DC6">
              <w:rPr>
                <w:rFonts w:eastAsia="標楷體"/>
                <w:kern w:val="0"/>
                <w:szCs w:val="22"/>
              </w:rPr>
              <w:t>0.05</w:t>
            </w:r>
          </w:p>
        </w:tc>
        <w:tc>
          <w:tcPr>
            <w:tcW w:w="709" w:type="dxa"/>
            <w:tcBorders>
              <w:top w:val="nil"/>
              <w:left w:val="nil"/>
              <w:bottom w:val="single" w:sz="8" w:space="0" w:color="auto"/>
              <w:right w:val="single" w:sz="8" w:space="0" w:color="auto"/>
            </w:tcBorders>
          </w:tcPr>
          <w:p w:rsidR="00D4339C" w:rsidRPr="00D55DC6" w:rsidRDefault="00D4339C" w:rsidP="0038165F">
            <w:pPr>
              <w:widowControl/>
              <w:spacing w:line="0" w:lineRule="atLeast"/>
              <w:jc w:val="right"/>
              <w:rPr>
                <w:rFonts w:eastAsia="標楷體"/>
                <w:kern w:val="0"/>
                <w:szCs w:val="22"/>
              </w:rPr>
            </w:pPr>
            <w:r w:rsidRPr="00D55DC6">
              <w:rPr>
                <w:rFonts w:eastAsia="標楷體"/>
                <w:kern w:val="0"/>
                <w:szCs w:val="22"/>
              </w:rPr>
              <w:t>0.05</w:t>
            </w:r>
          </w:p>
        </w:tc>
        <w:tc>
          <w:tcPr>
            <w:tcW w:w="708" w:type="dxa"/>
            <w:tcBorders>
              <w:top w:val="nil"/>
              <w:left w:val="nil"/>
              <w:bottom w:val="single" w:sz="8" w:space="0" w:color="auto"/>
              <w:right w:val="single" w:sz="8" w:space="0" w:color="auto"/>
            </w:tcBorders>
          </w:tcPr>
          <w:p w:rsidR="00D4339C" w:rsidRPr="00D55DC6" w:rsidRDefault="00D4339C" w:rsidP="0038165F">
            <w:pPr>
              <w:widowControl/>
              <w:spacing w:line="0" w:lineRule="atLeast"/>
              <w:jc w:val="right"/>
              <w:rPr>
                <w:rFonts w:eastAsia="標楷體"/>
                <w:kern w:val="0"/>
                <w:szCs w:val="22"/>
              </w:rPr>
            </w:pPr>
            <w:r w:rsidRPr="00D55DC6">
              <w:rPr>
                <w:rFonts w:eastAsia="標楷體"/>
                <w:kern w:val="0"/>
                <w:szCs w:val="22"/>
              </w:rPr>
              <w:t>0.05</w:t>
            </w:r>
          </w:p>
        </w:tc>
        <w:tc>
          <w:tcPr>
            <w:tcW w:w="851"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bCs/>
                <w:kern w:val="0"/>
                <w:szCs w:val="22"/>
              </w:rPr>
            </w:pPr>
            <w:r w:rsidRPr="00D55DC6">
              <w:rPr>
                <w:rFonts w:eastAsia="標楷體"/>
                <w:bCs/>
                <w:kern w:val="0"/>
                <w:szCs w:val="22"/>
              </w:rPr>
              <w:t>0.30</w:t>
            </w:r>
          </w:p>
        </w:tc>
        <w:tc>
          <w:tcPr>
            <w:tcW w:w="1559" w:type="dxa"/>
            <w:vMerge/>
            <w:tcBorders>
              <w:left w:val="single" w:sz="8" w:space="0" w:color="auto"/>
              <w:bottom w:val="nil"/>
              <w:right w:val="single" w:sz="8" w:space="0" w:color="auto"/>
            </w:tcBorders>
            <w:vAlign w:val="center"/>
          </w:tcPr>
          <w:p w:rsidR="00D4339C" w:rsidRPr="00D55DC6" w:rsidRDefault="00D4339C" w:rsidP="0038165F">
            <w:pPr>
              <w:widowControl/>
              <w:spacing w:line="0" w:lineRule="atLeast"/>
              <w:rPr>
                <w:rFonts w:eastAsia="標楷體"/>
                <w:kern w:val="0"/>
              </w:rPr>
            </w:pPr>
          </w:p>
        </w:tc>
      </w:tr>
      <w:tr w:rsidR="001D0350" w:rsidRPr="00D55DC6" w:rsidTr="00144178">
        <w:trPr>
          <w:trHeight w:val="345"/>
        </w:trPr>
        <w:tc>
          <w:tcPr>
            <w:tcW w:w="400"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1102" w:type="dxa"/>
            <w:vMerge/>
            <w:tcBorders>
              <w:left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2344" w:type="dxa"/>
            <w:tcBorders>
              <w:top w:val="single" w:sz="8" w:space="0" w:color="auto"/>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both"/>
              <w:rPr>
                <w:rFonts w:eastAsia="標楷體"/>
                <w:kern w:val="0"/>
              </w:rPr>
            </w:pPr>
            <w:r w:rsidRPr="00D55DC6">
              <w:rPr>
                <w:rFonts w:eastAsia="標楷體"/>
                <w:kern w:val="0"/>
                <w:szCs w:val="22"/>
              </w:rPr>
              <w:t>(4)</w:t>
            </w:r>
            <w:r w:rsidRPr="00D55DC6">
              <w:rPr>
                <w:rFonts w:eastAsia="標楷體"/>
                <w:kern w:val="0"/>
                <w:szCs w:val="22"/>
              </w:rPr>
              <w:t>環境及設施整修</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b/>
                <w:kern w:val="0"/>
              </w:rPr>
            </w:pPr>
            <w:r w:rsidRPr="00D55DC6">
              <w:rPr>
                <w:rFonts w:eastAsia="標楷體"/>
                <w:b/>
                <w:kern w:val="0"/>
                <w:szCs w:val="22"/>
              </w:rPr>
              <w:t xml:space="preserve">0.32 </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b/>
                <w:kern w:val="0"/>
              </w:rPr>
            </w:pPr>
            <w:r w:rsidRPr="00D55DC6">
              <w:rPr>
                <w:rFonts w:eastAsia="標楷體"/>
                <w:b/>
                <w:kern w:val="0"/>
                <w:szCs w:val="22"/>
              </w:rPr>
              <w:t xml:space="preserve">0.32 </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spacing w:line="0" w:lineRule="atLeast"/>
              <w:jc w:val="right"/>
              <w:rPr>
                <w:b/>
              </w:rPr>
            </w:pPr>
            <w:r w:rsidRPr="00D55DC6">
              <w:rPr>
                <w:rFonts w:eastAsia="標楷體"/>
                <w:b/>
                <w:kern w:val="0"/>
                <w:szCs w:val="22"/>
              </w:rPr>
              <w:t>0.32</w:t>
            </w:r>
          </w:p>
        </w:tc>
        <w:tc>
          <w:tcPr>
            <w:tcW w:w="708" w:type="dxa"/>
            <w:tcBorders>
              <w:top w:val="nil"/>
              <w:left w:val="nil"/>
              <w:bottom w:val="single" w:sz="8" w:space="0" w:color="auto"/>
              <w:right w:val="single" w:sz="8" w:space="0" w:color="auto"/>
            </w:tcBorders>
            <w:shd w:val="clear" w:color="000000" w:fill="CCFFCC"/>
          </w:tcPr>
          <w:p w:rsidR="00D4339C" w:rsidRPr="00D55DC6" w:rsidRDefault="00D4339C" w:rsidP="0038165F">
            <w:pPr>
              <w:spacing w:line="0" w:lineRule="atLeast"/>
              <w:jc w:val="right"/>
              <w:rPr>
                <w:b/>
              </w:rPr>
            </w:pPr>
            <w:r w:rsidRPr="00D55DC6">
              <w:rPr>
                <w:rFonts w:eastAsia="標楷體"/>
                <w:b/>
                <w:kern w:val="0"/>
                <w:szCs w:val="22"/>
              </w:rPr>
              <w:t>0.32</w:t>
            </w:r>
          </w:p>
        </w:tc>
        <w:tc>
          <w:tcPr>
            <w:tcW w:w="851"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b/>
                <w:bCs/>
                <w:kern w:val="0"/>
              </w:rPr>
            </w:pPr>
            <w:r w:rsidRPr="00D55DC6">
              <w:rPr>
                <w:rFonts w:eastAsia="標楷體"/>
                <w:b/>
                <w:bCs/>
                <w:kern w:val="0"/>
                <w:szCs w:val="22"/>
              </w:rPr>
              <w:t xml:space="preserve">  1.28 </w:t>
            </w:r>
          </w:p>
        </w:tc>
        <w:tc>
          <w:tcPr>
            <w:tcW w:w="1559" w:type="dxa"/>
            <w:tcBorders>
              <w:top w:val="single" w:sz="8" w:space="0" w:color="auto"/>
              <w:left w:val="single" w:sz="8" w:space="0" w:color="auto"/>
              <w:bottom w:val="single" w:sz="8" w:space="0" w:color="000000"/>
              <w:right w:val="single" w:sz="8" w:space="0" w:color="auto"/>
            </w:tcBorders>
          </w:tcPr>
          <w:p w:rsidR="00D4339C" w:rsidRPr="00D55DC6" w:rsidRDefault="00D4339C" w:rsidP="0038165F">
            <w:pPr>
              <w:widowControl/>
              <w:spacing w:line="0" w:lineRule="atLeast"/>
              <w:rPr>
                <w:rFonts w:eastAsia="標楷體"/>
                <w:kern w:val="0"/>
              </w:rPr>
            </w:pPr>
            <w:r w:rsidRPr="00D55DC6">
              <w:rPr>
                <w:rFonts w:eastAsia="標楷體"/>
                <w:kern w:val="0"/>
              </w:rPr>
              <w:t>辦理</w:t>
            </w:r>
            <w:r w:rsidRPr="00D55DC6">
              <w:rPr>
                <w:rFonts w:eastAsia="標楷體"/>
                <w:kern w:val="0"/>
                <w:szCs w:val="22"/>
              </w:rPr>
              <w:t>環境維護及設施維持、全區災害復舊及一般零星工程等。</w:t>
            </w:r>
          </w:p>
        </w:tc>
      </w:tr>
      <w:tr w:rsidR="001D0350" w:rsidRPr="00D55DC6" w:rsidTr="00144178">
        <w:trPr>
          <w:trHeight w:val="345"/>
        </w:trPr>
        <w:tc>
          <w:tcPr>
            <w:tcW w:w="400" w:type="dxa"/>
            <w:vMerge/>
            <w:tcBorders>
              <w:left w:val="single" w:sz="8" w:space="0" w:color="auto"/>
              <w:bottom w:val="nil"/>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891" w:type="dxa"/>
            <w:vMerge/>
            <w:tcBorders>
              <w:left w:val="single" w:sz="8" w:space="0" w:color="auto"/>
              <w:bottom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1102" w:type="dxa"/>
            <w:vMerge/>
            <w:tcBorders>
              <w:left w:val="single" w:sz="8" w:space="0" w:color="auto"/>
              <w:bottom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p>
        </w:tc>
        <w:tc>
          <w:tcPr>
            <w:tcW w:w="2344" w:type="dxa"/>
            <w:tcBorders>
              <w:top w:val="single" w:sz="8" w:space="0" w:color="auto"/>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center"/>
              <w:rPr>
                <w:rFonts w:eastAsia="標楷體"/>
                <w:kern w:val="0"/>
                <w:szCs w:val="22"/>
              </w:rPr>
            </w:pPr>
            <w:r w:rsidRPr="00D55DC6">
              <w:rPr>
                <w:rFonts w:eastAsia="標楷體"/>
                <w:b/>
                <w:bCs/>
                <w:kern w:val="0"/>
                <w:szCs w:val="22"/>
              </w:rPr>
              <w:t>資本門合計</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b/>
                <w:kern w:val="0"/>
                <w:szCs w:val="22"/>
              </w:rPr>
            </w:pPr>
            <w:r w:rsidRPr="00D55DC6">
              <w:rPr>
                <w:rFonts w:eastAsia="標楷體"/>
                <w:b/>
                <w:kern w:val="0"/>
                <w:szCs w:val="22"/>
              </w:rPr>
              <w:t>2.56</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b/>
                <w:kern w:val="0"/>
                <w:szCs w:val="22"/>
              </w:rPr>
            </w:pPr>
            <w:r w:rsidRPr="00D55DC6">
              <w:rPr>
                <w:rFonts w:eastAsia="標楷體"/>
                <w:b/>
                <w:kern w:val="0"/>
                <w:szCs w:val="22"/>
              </w:rPr>
              <w:t>2.43</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spacing w:line="0" w:lineRule="atLeast"/>
              <w:jc w:val="right"/>
              <w:rPr>
                <w:rFonts w:eastAsia="標楷體"/>
                <w:b/>
                <w:kern w:val="0"/>
                <w:szCs w:val="22"/>
              </w:rPr>
            </w:pPr>
            <w:r w:rsidRPr="00D55DC6">
              <w:rPr>
                <w:rFonts w:eastAsia="標楷體"/>
                <w:b/>
                <w:kern w:val="0"/>
                <w:szCs w:val="22"/>
              </w:rPr>
              <w:t>2.57</w:t>
            </w:r>
          </w:p>
        </w:tc>
        <w:tc>
          <w:tcPr>
            <w:tcW w:w="708" w:type="dxa"/>
            <w:tcBorders>
              <w:top w:val="nil"/>
              <w:left w:val="nil"/>
              <w:bottom w:val="single" w:sz="8" w:space="0" w:color="auto"/>
              <w:right w:val="single" w:sz="8" w:space="0" w:color="auto"/>
            </w:tcBorders>
            <w:shd w:val="clear" w:color="000000" w:fill="CCFFCC"/>
          </w:tcPr>
          <w:p w:rsidR="00D4339C" w:rsidRPr="00D55DC6" w:rsidRDefault="00D4339C" w:rsidP="0038165F">
            <w:pPr>
              <w:spacing w:line="0" w:lineRule="atLeast"/>
              <w:jc w:val="right"/>
              <w:rPr>
                <w:rFonts w:eastAsia="標楷體"/>
                <w:b/>
                <w:kern w:val="0"/>
                <w:szCs w:val="22"/>
              </w:rPr>
            </w:pPr>
            <w:r w:rsidRPr="00D55DC6">
              <w:rPr>
                <w:rFonts w:eastAsia="標楷體"/>
                <w:b/>
                <w:kern w:val="0"/>
                <w:szCs w:val="22"/>
              </w:rPr>
              <w:t>2.54</w:t>
            </w:r>
          </w:p>
        </w:tc>
        <w:tc>
          <w:tcPr>
            <w:tcW w:w="851"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b/>
                <w:bCs/>
                <w:kern w:val="0"/>
                <w:szCs w:val="22"/>
              </w:rPr>
            </w:pPr>
            <w:r w:rsidRPr="00D55DC6">
              <w:rPr>
                <w:rFonts w:eastAsia="標楷體"/>
                <w:b/>
                <w:bCs/>
                <w:kern w:val="0"/>
                <w:szCs w:val="22"/>
              </w:rPr>
              <w:t>10.10</w:t>
            </w:r>
          </w:p>
        </w:tc>
        <w:tc>
          <w:tcPr>
            <w:tcW w:w="1559" w:type="dxa"/>
            <w:tcBorders>
              <w:top w:val="single" w:sz="8" w:space="0" w:color="auto"/>
              <w:left w:val="single" w:sz="8" w:space="0" w:color="auto"/>
              <w:bottom w:val="single" w:sz="8" w:space="0" w:color="000000"/>
              <w:right w:val="single" w:sz="8" w:space="0" w:color="auto"/>
            </w:tcBorders>
          </w:tcPr>
          <w:p w:rsidR="00D4339C" w:rsidRPr="00D55DC6" w:rsidRDefault="00D4339C" w:rsidP="0038165F">
            <w:pPr>
              <w:widowControl/>
              <w:spacing w:line="0" w:lineRule="atLeast"/>
              <w:rPr>
                <w:rFonts w:eastAsia="標楷體"/>
                <w:kern w:val="0"/>
              </w:rPr>
            </w:pPr>
          </w:p>
        </w:tc>
      </w:tr>
      <w:tr w:rsidR="001D0350" w:rsidRPr="00D55DC6" w:rsidTr="00144178">
        <w:trPr>
          <w:trHeight w:val="345"/>
        </w:trPr>
        <w:tc>
          <w:tcPr>
            <w:tcW w:w="4737" w:type="dxa"/>
            <w:gridSpan w:val="4"/>
            <w:tcBorders>
              <w:top w:val="single" w:sz="8" w:space="0" w:color="auto"/>
              <w:left w:val="single" w:sz="8" w:space="0" w:color="auto"/>
              <w:bottom w:val="single" w:sz="8" w:space="0" w:color="auto"/>
              <w:right w:val="single" w:sz="8" w:space="0" w:color="auto"/>
            </w:tcBorders>
            <w:shd w:val="clear" w:color="000000" w:fill="CCFFCC"/>
          </w:tcPr>
          <w:p w:rsidR="00D4339C" w:rsidRPr="00D55DC6" w:rsidRDefault="00D4339C" w:rsidP="0038165F">
            <w:pPr>
              <w:widowControl/>
              <w:spacing w:line="0" w:lineRule="atLeast"/>
              <w:jc w:val="center"/>
              <w:rPr>
                <w:rFonts w:eastAsia="標楷體"/>
                <w:b/>
                <w:bCs/>
                <w:kern w:val="0"/>
              </w:rPr>
            </w:pPr>
            <w:r w:rsidRPr="00D55DC6">
              <w:rPr>
                <w:rFonts w:eastAsia="標楷體"/>
                <w:b/>
                <w:bCs/>
                <w:kern w:val="0"/>
                <w:szCs w:val="22"/>
              </w:rPr>
              <w:t xml:space="preserve">經資門合計　　</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b/>
                <w:bCs/>
                <w:kern w:val="0"/>
              </w:rPr>
            </w:pPr>
            <w:r w:rsidRPr="00D55DC6">
              <w:rPr>
                <w:rFonts w:eastAsia="標楷體"/>
                <w:b/>
                <w:bCs/>
                <w:kern w:val="0"/>
                <w:szCs w:val="22"/>
              </w:rPr>
              <w:t xml:space="preserve">2.83 </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b/>
                <w:bCs/>
                <w:kern w:val="0"/>
              </w:rPr>
            </w:pPr>
            <w:r w:rsidRPr="00D55DC6">
              <w:rPr>
                <w:rFonts w:eastAsia="標楷體"/>
                <w:b/>
                <w:bCs/>
                <w:kern w:val="0"/>
                <w:szCs w:val="22"/>
              </w:rPr>
              <w:t xml:space="preserve">2.70 </w:t>
            </w:r>
          </w:p>
        </w:tc>
        <w:tc>
          <w:tcPr>
            <w:tcW w:w="709"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b/>
                <w:bCs/>
                <w:kern w:val="0"/>
              </w:rPr>
            </w:pPr>
            <w:r w:rsidRPr="00D55DC6">
              <w:rPr>
                <w:rFonts w:eastAsia="標楷體"/>
                <w:b/>
                <w:bCs/>
                <w:kern w:val="0"/>
                <w:szCs w:val="22"/>
              </w:rPr>
              <w:t xml:space="preserve">2.84 </w:t>
            </w:r>
          </w:p>
        </w:tc>
        <w:tc>
          <w:tcPr>
            <w:tcW w:w="708" w:type="dxa"/>
            <w:tcBorders>
              <w:top w:val="nil"/>
              <w:left w:val="nil"/>
              <w:bottom w:val="single" w:sz="8" w:space="0" w:color="auto"/>
              <w:right w:val="single" w:sz="8" w:space="0" w:color="auto"/>
            </w:tcBorders>
            <w:shd w:val="clear" w:color="000000" w:fill="CCFFCC"/>
          </w:tcPr>
          <w:p w:rsidR="00D4339C" w:rsidRPr="00D55DC6" w:rsidRDefault="00D4339C" w:rsidP="0038165F">
            <w:pPr>
              <w:widowControl/>
              <w:spacing w:line="0" w:lineRule="atLeast"/>
              <w:jc w:val="right"/>
              <w:rPr>
                <w:rFonts w:eastAsia="標楷體"/>
                <w:b/>
                <w:bCs/>
                <w:kern w:val="0"/>
              </w:rPr>
            </w:pPr>
            <w:r w:rsidRPr="00D55DC6">
              <w:rPr>
                <w:rFonts w:eastAsia="標楷體"/>
                <w:b/>
                <w:bCs/>
                <w:kern w:val="0"/>
                <w:szCs w:val="22"/>
              </w:rPr>
              <w:t xml:space="preserve">2.81 </w:t>
            </w:r>
          </w:p>
        </w:tc>
        <w:tc>
          <w:tcPr>
            <w:tcW w:w="851" w:type="dxa"/>
            <w:tcBorders>
              <w:top w:val="nil"/>
              <w:left w:val="nil"/>
              <w:bottom w:val="single" w:sz="8" w:space="0" w:color="auto"/>
              <w:right w:val="single" w:sz="8" w:space="0" w:color="auto"/>
            </w:tcBorders>
            <w:shd w:val="clear" w:color="000000" w:fill="CCFFFF"/>
          </w:tcPr>
          <w:p w:rsidR="00D4339C" w:rsidRPr="00D55DC6" w:rsidRDefault="00D4339C" w:rsidP="0038165F">
            <w:pPr>
              <w:widowControl/>
              <w:spacing w:line="0" w:lineRule="atLeast"/>
              <w:jc w:val="right"/>
              <w:rPr>
                <w:rFonts w:eastAsia="標楷體"/>
                <w:b/>
                <w:bCs/>
                <w:kern w:val="0"/>
              </w:rPr>
            </w:pPr>
            <w:r w:rsidRPr="00D55DC6">
              <w:rPr>
                <w:rFonts w:eastAsia="標楷體"/>
                <w:b/>
                <w:bCs/>
                <w:kern w:val="0"/>
                <w:szCs w:val="22"/>
              </w:rPr>
              <w:t xml:space="preserve"> 11.18 </w:t>
            </w:r>
          </w:p>
        </w:tc>
        <w:tc>
          <w:tcPr>
            <w:tcW w:w="1559" w:type="dxa"/>
            <w:tcBorders>
              <w:top w:val="nil"/>
              <w:left w:val="nil"/>
              <w:bottom w:val="single" w:sz="8" w:space="0" w:color="auto"/>
              <w:right w:val="single" w:sz="8" w:space="0" w:color="auto"/>
            </w:tcBorders>
            <w:vAlign w:val="center"/>
          </w:tcPr>
          <w:p w:rsidR="00D4339C" w:rsidRPr="00D55DC6" w:rsidRDefault="00D4339C" w:rsidP="0038165F">
            <w:pPr>
              <w:widowControl/>
              <w:spacing w:line="0" w:lineRule="atLeast"/>
              <w:rPr>
                <w:rFonts w:eastAsia="標楷體"/>
                <w:kern w:val="0"/>
              </w:rPr>
            </w:pPr>
            <w:r w:rsidRPr="00D55DC6">
              <w:rPr>
                <w:rFonts w:eastAsia="標楷體"/>
                <w:kern w:val="0"/>
                <w:szCs w:val="22"/>
              </w:rPr>
              <w:t xml:space="preserve">　</w:t>
            </w:r>
          </w:p>
        </w:tc>
      </w:tr>
    </w:tbl>
    <w:p w:rsidR="00ED041B" w:rsidRPr="00D55DC6" w:rsidRDefault="00ED041B" w:rsidP="00D44C1B">
      <w:pPr>
        <w:pStyle w:val="a"/>
        <w:numPr>
          <w:ilvl w:val="0"/>
          <w:numId w:val="0"/>
        </w:numPr>
        <w:ind w:left="709"/>
        <w:rPr>
          <w:b/>
        </w:rPr>
      </w:pPr>
    </w:p>
    <w:p w:rsidR="006B6C3C" w:rsidRPr="00D55DC6" w:rsidRDefault="006B6C3C" w:rsidP="00D44C1B">
      <w:pPr>
        <w:pStyle w:val="a"/>
        <w:numPr>
          <w:ilvl w:val="0"/>
          <w:numId w:val="0"/>
        </w:numPr>
        <w:ind w:left="709"/>
        <w:rPr>
          <w:b/>
        </w:rPr>
      </w:pPr>
    </w:p>
    <w:p w:rsidR="00AA2114" w:rsidRPr="00D55DC6" w:rsidRDefault="00AA2114" w:rsidP="00D44C1B">
      <w:pPr>
        <w:pStyle w:val="a"/>
        <w:numPr>
          <w:ilvl w:val="0"/>
          <w:numId w:val="0"/>
        </w:numPr>
        <w:ind w:left="709"/>
        <w:rPr>
          <w:b/>
        </w:rPr>
      </w:pPr>
    </w:p>
    <w:p w:rsidR="00D4339C" w:rsidRPr="00D55DC6" w:rsidRDefault="00D4339C" w:rsidP="0038165F">
      <w:pPr>
        <w:pStyle w:val="a"/>
        <w:ind w:left="709" w:hanging="709"/>
        <w:rPr>
          <w:b/>
        </w:rPr>
      </w:pPr>
      <w:bookmarkStart w:id="89" w:name="_Toc407181667"/>
      <w:r w:rsidRPr="00D55DC6">
        <w:rPr>
          <w:b/>
        </w:rPr>
        <w:t>預期效果及影響</w:t>
      </w:r>
      <w:bookmarkEnd w:id="89"/>
    </w:p>
    <w:p w:rsidR="00D4339C" w:rsidRPr="00D55DC6" w:rsidRDefault="00D4339C" w:rsidP="004865C1">
      <w:pPr>
        <w:pStyle w:val="af2"/>
        <w:numPr>
          <w:ilvl w:val="0"/>
          <w:numId w:val="71"/>
        </w:numPr>
        <w:snapToGrid w:val="0"/>
        <w:spacing w:line="460" w:lineRule="exact"/>
        <w:ind w:leftChars="0"/>
        <w:jc w:val="both"/>
        <w:rPr>
          <w:rFonts w:eastAsia="標楷體"/>
          <w:sz w:val="28"/>
          <w:szCs w:val="28"/>
        </w:rPr>
      </w:pPr>
      <w:r w:rsidRPr="00D55DC6">
        <w:rPr>
          <w:rFonts w:eastAsia="標楷體"/>
          <w:sz w:val="28"/>
          <w:szCs w:val="28"/>
        </w:rPr>
        <w:t>結合電動船、電動巴士、步道暨自行車道系統等多元低碳交通運具，形塑日月潭為綠色低碳湖泊，發展永續觀光，建立日月潭生態、永續、運動休閒之優質觀光國際形象。</w:t>
      </w:r>
    </w:p>
    <w:p w:rsidR="00D4339C" w:rsidRPr="00D55DC6" w:rsidRDefault="00D4339C" w:rsidP="004865C1">
      <w:pPr>
        <w:pStyle w:val="af2"/>
        <w:numPr>
          <w:ilvl w:val="0"/>
          <w:numId w:val="71"/>
        </w:numPr>
        <w:snapToGrid w:val="0"/>
        <w:spacing w:line="460" w:lineRule="exact"/>
        <w:ind w:leftChars="0"/>
        <w:jc w:val="both"/>
        <w:rPr>
          <w:rFonts w:eastAsia="標楷體"/>
          <w:sz w:val="28"/>
          <w:szCs w:val="28"/>
        </w:rPr>
      </w:pPr>
      <w:r w:rsidRPr="00D55DC6">
        <w:rPr>
          <w:rFonts w:eastAsia="標楷體"/>
          <w:sz w:val="28"/>
          <w:szCs w:val="28"/>
        </w:rPr>
        <w:t>提升遊客人次：預計遊客人數由</w:t>
      </w:r>
      <w:r w:rsidRPr="00D55DC6">
        <w:rPr>
          <w:rFonts w:eastAsia="標楷體"/>
          <w:sz w:val="28"/>
          <w:szCs w:val="28"/>
        </w:rPr>
        <w:t>105</w:t>
      </w:r>
      <w:r w:rsidRPr="00D55DC6">
        <w:rPr>
          <w:rFonts w:eastAsia="標楷體"/>
          <w:sz w:val="28"/>
          <w:szCs w:val="28"/>
        </w:rPr>
        <w:t>年</w:t>
      </w:r>
      <w:r w:rsidRPr="00D55DC6">
        <w:rPr>
          <w:rFonts w:eastAsia="標楷體"/>
          <w:sz w:val="28"/>
          <w:szCs w:val="28"/>
        </w:rPr>
        <w:t>620</w:t>
      </w:r>
      <w:r w:rsidRPr="00D55DC6">
        <w:rPr>
          <w:rFonts w:eastAsia="標楷體"/>
          <w:sz w:val="28"/>
          <w:szCs w:val="28"/>
        </w:rPr>
        <w:t>萬人次提升至</w:t>
      </w:r>
      <w:r w:rsidRPr="00D55DC6">
        <w:rPr>
          <w:rFonts w:eastAsia="標楷體"/>
          <w:sz w:val="28"/>
          <w:szCs w:val="28"/>
        </w:rPr>
        <w:t>108</w:t>
      </w:r>
      <w:r w:rsidRPr="00D55DC6">
        <w:rPr>
          <w:rFonts w:eastAsia="標楷體"/>
          <w:sz w:val="28"/>
          <w:szCs w:val="28"/>
        </w:rPr>
        <w:t>年</w:t>
      </w:r>
      <w:r w:rsidRPr="00D55DC6">
        <w:rPr>
          <w:rFonts w:eastAsia="標楷體"/>
          <w:sz w:val="28"/>
          <w:szCs w:val="28"/>
        </w:rPr>
        <w:t>650</w:t>
      </w:r>
      <w:r w:rsidRPr="00D55DC6">
        <w:rPr>
          <w:rFonts w:eastAsia="標楷體"/>
          <w:sz w:val="28"/>
          <w:szCs w:val="28"/>
        </w:rPr>
        <w:t>萬人次，成長</w:t>
      </w:r>
      <w:r w:rsidRPr="00D55DC6">
        <w:rPr>
          <w:rFonts w:eastAsia="標楷體"/>
          <w:sz w:val="28"/>
          <w:szCs w:val="28"/>
        </w:rPr>
        <w:t>4.84%</w:t>
      </w:r>
      <w:r w:rsidRPr="00D55DC6">
        <w:rPr>
          <w:rFonts w:eastAsia="標楷體"/>
          <w:sz w:val="28"/>
          <w:szCs w:val="28"/>
        </w:rPr>
        <w:t>。</w:t>
      </w:r>
    </w:p>
    <w:p w:rsidR="00D4339C" w:rsidRPr="00D55DC6" w:rsidRDefault="00D4339C" w:rsidP="004865C1">
      <w:pPr>
        <w:pStyle w:val="af2"/>
        <w:numPr>
          <w:ilvl w:val="0"/>
          <w:numId w:val="71"/>
        </w:numPr>
        <w:snapToGrid w:val="0"/>
        <w:spacing w:line="460" w:lineRule="exact"/>
        <w:ind w:leftChars="0"/>
        <w:jc w:val="both"/>
        <w:rPr>
          <w:rFonts w:eastAsia="標楷體"/>
          <w:sz w:val="28"/>
          <w:szCs w:val="28"/>
        </w:rPr>
      </w:pPr>
      <w:r w:rsidRPr="00D55DC6">
        <w:rPr>
          <w:rFonts w:eastAsia="標楷體"/>
          <w:sz w:val="28"/>
          <w:szCs w:val="28"/>
        </w:rPr>
        <w:t>延長遊客停留時間：提升原鄉觀光服務品質，發展副核心珍珠鏈遊程，串連大水沙連地區豐富的觀光資源，提供多樣化遊憩活動，延長遊客停留天數由</w:t>
      </w:r>
      <w:r w:rsidRPr="00D55DC6">
        <w:rPr>
          <w:rFonts w:eastAsia="標楷體"/>
          <w:sz w:val="28"/>
          <w:szCs w:val="28"/>
        </w:rPr>
        <w:t>1</w:t>
      </w:r>
      <w:r w:rsidRPr="00D55DC6">
        <w:rPr>
          <w:rFonts w:eastAsia="標楷體"/>
          <w:sz w:val="28"/>
          <w:szCs w:val="28"/>
        </w:rPr>
        <w:t>日增加為</w:t>
      </w:r>
      <w:r w:rsidRPr="00D55DC6">
        <w:rPr>
          <w:rFonts w:eastAsia="標楷體"/>
          <w:sz w:val="28"/>
          <w:szCs w:val="28"/>
        </w:rPr>
        <w:t>2</w:t>
      </w:r>
      <w:r w:rsidRPr="00D55DC6">
        <w:rPr>
          <w:rFonts w:eastAsia="標楷體"/>
          <w:sz w:val="28"/>
          <w:szCs w:val="28"/>
        </w:rPr>
        <w:t>日或</w:t>
      </w:r>
      <w:r w:rsidRPr="00D55DC6">
        <w:rPr>
          <w:rFonts w:eastAsia="標楷體"/>
          <w:sz w:val="28"/>
          <w:szCs w:val="28"/>
        </w:rPr>
        <w:t>3</w:t>
      </w:r>
      <w:r w:rsidRPr="00D55DC6">
        <w:rPr>
          <w:rFonts w:eastAsia="標楷體"/>
          <w:sz w:val="28"/>
          <w:szCs w:val="28"/>
        </w:rPr>
        <w:t>日。</w:t>
      </w:r>
    </w:p>
    <w:p w:rsidR="00D4339C" w:rsidRPr="00D55DC6" w:rsidRDefault="00D4339C" w:rsidP="004865C1">
      <w:pPr>
        <w:pStyle w:val="af2"/>
        <w:numPr>
          <w:ilvl w:val="0"/>
          <w:numId w:val="71"/>
        </w:numPr>
        <w:snapToGrid w:val="0"/>
        <w:spacing w:line="460" w:lineRule="exact"/>
        <w:ind w:leftChars="0"/>
        <w:jc w:val="both"/>
        <w:rPr>
          <w:rFonts w:eastAsia="標楷體"/>
          <w:sz w:val="28"/>
          <w:szCs w:val="28"/>
        </w:rPr>
      </w:pPr>
      <w:r w:rsidRPr="00D55DC6">
        <w:rPr>
          <w:rFonts w:eastAsia="標楷體"/>
          <w:sz w:val="28"/>
          <w:szCs w:val="28"/>
        </w:rPr>
        <w:t>增進國民旅遊人次，吸引國際觀光客到訪，帶動觀光產值</w:t>
      </w:r>
      <w:r w:rsidRPr="00D55DC6">
        <w:rPr>
          <w:rFonts w:eastAsia="標楷體"/>
          <w:sz w:val="28"/>
          <w:szCs w:val="28"/>
        </w:rPr>
        <w:t>680</w:t>
      </w:r>
      <w:r w:rsidRPr="00D55DC6">
        <w:rPr>
          <w:rFonts w:eastAsia="標楷體"/>
          <w:sz w:val="28"/>
          <w:szCs w:val="28"/>
        </w:rPr>
        <w:t>億元（以</w:t>
      </w:r>
      <w:r w:rsidRPr="00D55DC6">
        <w:rPr>
          <w:rFonts w:eastAsia="標楷體"/>
          <w:sz w:val="28"/>
          <w:szCs w:val="28"/>
        </w:rPr>
        <w:t>4</w:t>
      </w:r>
      <w:r w:rsidRPr="00D55DC6">
        <w:rPr>
          <w:rFonts w:eastAsia="標楷體"/>
          <w:sz w:val="28"/>
          <w:szCs w:val="28"/>
        </w:rPr>
        <w:t>年遊客人數目標值</w:t>
      </w:r>
      <w:r w:rsidRPr="00D55DC6">
        <w:rPr>
          <w:rFonts w:eastAsia="標楷體"/>
          <w:sz w:val="28"/>
          <w:szCs w:val="28"/>
        </w:rPr>
        <w:t>2,540</w:t>
      </w:r>
      <w:r w:rsidR="00526698" w:rsidRPr="00D55DC6">
        <w:rPr>
          <w:rFonts w:eastAsia="標楷體"/>
          <w:sz w:val="28"/>
          <w:szCs w:val="28"/>
        </w:rPr>
        <w:t>萬</w:t>
      </w:r>
      <w:r w:rsidRPr="00D55DC6">
        <w:rPr>
          <w:rFonts w:eastAsia="標楷體"/>
          <w:sz w:val="28"/>
          <w:szCs w:val="28"/>
        </w:rPr>
        <w:t>人次</w:t>
      </w:r>
      <w:r w:rsidRPr="00D55DC6">
        <w:rPr>
          <w:rFonts w:eastAsia="標楷體"/>
          <w:sz w:val="28"/>
          <w:szCs w:val="28"/>
        </w:rPr>
        <w:t>×</w:t>
      </w:r>
      <w:r w:rsidRPr="00D55DC6">
        <w:rPr>
          <w:rFonts w:eastAsia="標楷體"/>
          <w:sz w:val="28"/>
          <w:szCs w:val="28"/>
        </w:rPr>
        <w:t>每人每日平均消費新臺幣</w:t>
      </w:r>
      <w:r w:rsidRPr="00D55DC6">
        <w:rPr>
          <w:rFonts w:eastAsia="標楷體"/>
          <w:sz w:val="28"/>
          <w:szCs w:val="28"/>
        </w:rPr>
        <w:t>1,941</w:t>
      </w:r>
      <w:r w:rsidRPr="00D55DC6">
        <w:rPr>
          <w:rFonts w:eastAsia="標楷體"/>
          <w:sz w:val="28"/>
          <w:szCs w:val="28"/>
        </w:rPr>
        <w:t>元</w:t>
      </w:r>
      <w:r w:rsidRPr="00D55DC6">
        <w:rPr>
          <w:rFonts w:eastAsia="標楷體"/>
          <w:sz w:val="28"/>
          <w:szCs w:val="28"/>
        </w:rPr>
        <w:t>×</w:t>
      </w:r>
      <w:r w:rsidRPr="00D55DC6">
        <w:rPr>
          <w:rFonts w:eastAsia="標楷體"/>
          <w:sz w:val="28"/>
          <w:szCs w:val="28"/>
        </w:rPr>
        <w:t>停留天數</w:t>
      </w:r>
      <w:r w:rsidRPr="00D55DC6">
        <w:rPr>
          <w:rFonts w:eastAsia="標楷體"/>
          <w:sz w:val="28"/>
          <w:szCs w:val="28"/>
        </w:rPr>
        <w:t>1.38</w:t>
      </w:r>
      <w:r w:rsidRPr="00D55DC6">
        <w:rPr>
          <w:rFonts w:eastAsia="標楷體"/>
          <w:sz w:val="28"/>
          <w:szCs w:val="28"/>
        </w:rPr>
        <w:t>天估算）。</w:t>
      </w:r>
    </w:p>
    <w:p w:rsidR="00ED041B" w:rsidRPr="00D55DC6" w:rsidRDefault="00ED041B" w:rsidP="0038165F">
      <w:pPr>
        <w:pStyle w:val="af2"/>
        <w:snapToGrid w:val="0"/>
        <w:spacing w:line="460" w:lineRule="exact"/>
        <w:ind w:leftChars="0" w:left="864"/>
        <w:jc w:val="both"/>
        <w:rPr>
          <w:rFonts w:eastAsia="標楷體"/>
          <w:sz w:val="28"/>
          <w:szCs w:val="28"/>
        </w:rPr>
      </w:pPr>
    </w:p>
    <w:p w:rsidR="00AA2114" w:rsidRPr="00D55DC6" w:rsidRDefault="00AA2114" w:rsidP="0038165F">
      <w:pPr>
        <w:pStyle w:val="af2"/>
        <w:snapToGrid w:val="0"/>
        <w:spacing w:line="460" w:lineRule="exact"/>
        <w:ind w:leftChars="0" w:left="864"/>
        <w:jc w:val="both"/>
        <w:rPr>
          <w:rFonts w:eastAsia="標楷體"/>
          <w:sz w:val="28"/>
          <w:szCs w:val="28"/>
        </w:rPr>
      </w:pPr>
    </w:p>
    <w:p w:rsidR="00AA2114" w:rsidRPr="00D55DC6" w:rsidRDefault="00AA2114" w:rsidP="0038165F">
      <w:pPr>
        <w:pStyle w:val="af2"/>
        <w:snapToGrid w:val="0"/>
        <w:spacing w:line="460" w:lineRule="exact"/>
        <w:ind w:leftChars="0" w:left="864"/>
        <w:jc w:val="both"/>
        <w:rPr>
          <w:rFonts w:eastAsia="標楷體"/>
          <w:sz w:val="28"/>
          <w:szCs w:val="28"/>
        </w:rPr>
      </w:pPr>
    </w:p>
    <w:p w:rsidR="00D4339C" w:rsidRPr="00D55DC6" w:rsidRDefault="00D4339C" w:rsidP="0038165F">
      <w:pPr>
        <w:pStyle w:val="a"/>
        <w:ind w:left="709" w:hanging="709"/>
        <w:rPr>
          <w:b/>
        </w:rPr>
      </w:pPr>
      <w:bookmarkStart w:id="90" w:name="_Toc407181668"/>
      <w:r w:rsidRPr="00D55DC6">
        <w:rPr>
          <w:b/>
        </w:rPr>
        <w:lastRenderedPageBreak/>
        <w:t>財務計畫</w:t>
      </w:r>
      <w:bookmarkEnd w:id="90"/>
    </w:p>
    <w:p w:rsidR="00D4339C" w:rsidRPr="00D55DC6" w:rsidRDefault="00D4339C" w:rsidP="004865C1">
      <w:pPr>
        <w:pStyle w:val="af2"/>
        <w:numPr>
          <w:ilvl w:val="0"/>
          <w:numId w:val="72"/>
        </w:numPr>
        <w:snapToGrid w:val="0"/>
        <w:spacing w:line="460" w:lineRule="exact"/>
        <w:ind w:leftChars="0"/>
        <w:jc w:val="both"/>
        <w:rPr>
          <w:rFonts w:eastAsia="標楷體"/>
          <w:b/>
          <w:sz w:val="28"/>
          <w:szCs w:val="28"/>
        </w:rPr>
      </w:pPr>
      <w:r w:rsidRPr="00D55DC6">
        <w:rPr>
          <w:rFonts w:eastAsia="標楷體"/>
          <w:b/>
          <w:sz w:val="28"/>
          <w:szCs w:val="28"/>
        </w:rPr>
        <w:t>財務計畫核定情形</w:t>
      </w:r>
    </w:p>
    <w:p w:rsidR="00D4339C" w:rsidRPr="00D55DC6" w:rsidRDefault="00D4339C" w:rsidP="0038165F">
      <w:pPr>
        <w:pStyle w:val="a"/>
        <w:numPr>
          <w:ilvl w:val="0"/>
          <w:numId w:val="0"/>
        </w:numPr>
        <w:ind w:left="851" w:firstLineChars="202" w:firstLine="566"/>
      </w:pPr>
      <w:bookmarkStart w:id="91" w:name="_Toc407181669"/>
      <w:r w:rsidRPr="00D55DC6">
        <w:t>依據行政院</w:t>
      </w:r>
      <w:r w:rsidRPr="00D55DC6">
        <w:t>103</w:t>
      </w:r>
      <w:r w:rsidRPr="00D55DC6">
        <w:t>年</w:t>
      </w:r>
      <w:r w:rsidRPr="00D55DC6">
        <w:t>10</w:t>
      </w:r>
      <w:r w:rsidRPr="00D55DC6">
        <w:t>月</w:t>
      </w:r>
      <w:r w:rsidRPr="00D55DC6">
        <w:t>15</w:t>
      </w:r>
      <w:r w:rsidRPr="00D55DC6">
        <w:t>日院臺交字第</w:t>
      </w:r>
      <w:r w:rsidRPr="00D55DC6">
        <w:t>1030058303</w:t>
      </w:r>
      <w:r w:rsidRPr="00D55DC6">
        <w:t>號函核定「日月潭國家風景區整體發展暨財務計畫」，未來</w:t>
      </w:r>
      <w:r w:rsidRPr="00D55DC6">
        <w:t>20</w:t>
      </w:r>
      <w:r w:rsidRPr="00D55DC6">
        <w:t>年期間</w:t>
      </w:r>
      <w:r w:rsidRPr="00D55DC6">
        <w:t>(103</w:t>
      </w:r>
      <w:r w:rsidRPr="00D55DC6">
        <w:t>至</w:t>
      </w:r>
      <w:r w:rsidRPr="00D55DC6">
        <w:t>122</w:t>
      </w:r>
      <w:r w:rsidRPr="00D55DC6">
        <w:t>年</w:t>
      </w:r>
      <w:r w:rsidRPr="00D55DC6">
        <w:t>)</w:t>
      </w:r>
      <w:r w:rsidRPr="00D55DC6">
        <w:t>計畫投入現值為</w:t>
      </w:r>
      <w:r w:rsidRPr="00D55DC6">
        <w:t>39.31</w:t>
      </w:r>
      <w:r w:rsidRPr="00D55DC6">
        <w:t>億元，收益現值為</w:t>
      </w:r>
      <w:r w:rsidRPr="00D55DC6">
        <w:t>9.83</w:t>
      </w:r>
      <w:r w:rsidRPr="00D55DC6">
        <w:t>億元，整體計畫財務自償率達</w:t>
      </w:r>
      <w:r w:rsidRPr="00D55DC6">
        <w:t>25%</w:t>
      </w:r>
      <w:r w:rsidRPr="00D55DC6">
        <w:t>。</w:t>
      </w:r>
      <w:bookmarkEnd w:id="91"/>
    </w:p>
    <w:p w:rsidR="006B6C3C" w:rsidRPr="00D55DC6" w:rsidRDefault="006B6C3C" w:rsidP="0038165F">
      <w:pPr>
        <w:pStyle w:val="a"/>
        <w:numPr>
          <w:ilvl w:val="0"/>
          <w:numId w:val="0"/>
        </w:numPr>
        <w:ind w:left="851" w:firstLineChars="202" w:firstLine="566"/>
      </w:pPr>
    </w:p>
    <w:p w:rsidR="006B6C3C" w:rsidRPr="00D55DC6" w:rsidRDefault="006B6C3C" w:rsidP="009D33BA">
      <w:pPr>
        <w:keepNext/>
        <w:spacing w:beforeLines="50" w:before="180" w:afterLines="50" w:after="180"/>
        <w:ind w:rightChars="-316" w:right="-758"/>
        <w:rPr>
          <w:rFonts w:eastAsia="標楷體"/>
        </w:rPr>
      </w:pPr>
      <w:r w:rsidRPr="00D55DC6">
        <w:rPr>
          <w:rFonts w:eastAsia="標楷體"/>
        </w:rPr>
        <w:t>原核定自償率分析表</w:t>
      </w:r>
      <w:r w:rsidRPr="00D55DC6">
        <w:rPr>
          <w:rFonts w:eastAsia="標楷體"/>
        </w:rPr>
        <w:t xml:space="preserve">                                              </w:t>
      </w:r>
      <w:r w:rsidRPr="00D55DC6">
        <w:rPr>
          <w:rFonts w:eastAsia="標楷體"/>
        </w:rPr>
        <w:t>（單位：千元）</w:t>
      </w:r>
    </w:p>
    <w:tbl>
      <w:tblPr>
        <w:tblW w:w="10828" w:type="dxa"/>
        <w:tblInd w:w="-681" w:type="dxa"/>
        <w:tblCellMar>
          <w:left w:w="28" w:type="dxa"/>
          <w:right w:w="28" w:type="dxa"/>
        </w:tblCellMar>
        <w:tblLook w:val="04A0" w:firstRow="1" w:lastRow="0" w:firstColumn="1" w:lastColumn="0" w:noHBand="0" w:noVBand="1"/>
      </w:tblPr>
      <w:tblGrid>
        <w:gridCol w:w="993"/>
        <w:gridCol w:w="1134"/>
        <w:gridCol w:w="850"/>
        <w:gridCol w:w="851"/>
        <w:gridCol w:w="850"/>
        <w:gridCol w:w="851"/>
        <w:gridCol w:w="850"/>
        <w:gridCol w:w="851"/>
        <w:gridCol w:w="851"/>
        <w:gridCol w:w="850"/>
        <w:gridCol w:w="851"/>
        <w:gridCol w:w="1046"/>
      </w:tblGrid>
      <w:tr w:rsidR="001D0350" w:rsidRPr="00D55DC6" w:rsidTr="006B6C3C">
        <w:trPr>
          <w:gridAfter w:val="1"/>
          <w:wAfter w:w="1046" w:type="dxa"/>
          <w:trHeight w:val="345"/>
        </w:trPr>
        <w:tc>
          <w:tcPr>
            <w:tcW w:w="993" w:type="dxa"/>
            <w:tcBorders>
              <w:top w:val="single" w:sz="4" w:space="0" w:color="auto"/>
              <w:left w:val="single" w:sz="4" w:space="0" w:color="auto"/>
              <w:bottom w:val="double" w:sz="6" w:space="0" w:color="auto"/>
              <w:right w:val="single" w:sz="4" w:space="0" w:color="auto"/>
            </w:tcBorders>
            <w:shd w:val="clear" w:color="auto" w:fill="FFCC00"/>
            <w:noWrap/>
            <w:vAlign w:val="center"/>
            <w:hideMark/>
          </w:tcPr>
          <w:p w:rsidR="006B6C3C" w:rsidRPr="00D55DC6" w:rsidRDefault="006B6C3C">
            <w:pPr>
              <w:widowControl/>
              <w:rPr>
                <w:rFonts w:eastAsia="標楷體"/>
                <w:kern w:val="0"/>
                <w:sz w:val="22"/>
                <w:szCs w:val="20"/>
              </w:rPr>
            </w:pPr>
            <w:r w:rsidRPr="00D55DC6">
              <w:rPr>
                <w:rFonts w:eastAsia="標楷體"/>
                <w:kern w:val="0"/>
                <w:sz w:val="22"/>
                <w:szCs w:val="20"/>
              </w:rPr>
              <w:t xml:space="preserve">　</w:t>
            </w:r>
          </w:p>
        </w:tc>
        <w:tc>
          <w:tcPr>
            <w:tcW w:w="1134" w:type="dxa"/>
            <w:tcBorders>
              <w:top w:val="single" w:sz="4" w:space="0" w:color="auto"/>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103</w:t>
            </w:r>
          </w:p>
        </w:tc>
        <w:tc>
          <w:tcPr>
            <w:tcW w:w="850" w:type="dxa"/>
            <w:tcBorders>
              <w:top w:val="single" w:sz="4" w:space="0" w:color="auto"/>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104</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105</w:t>
            </w:r>
          </w:p>
        </w:tc>
        <w:tc>
          <w:tcPr>
            <w:tcW w:w="850" w:type="dxa"/>
            <w:tcBorders>
              <w:top w:val="single" w:sz="4" w:space="0" w:color="auto"/>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106</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107</w:t>
            </w:r>
          </w:p>
        </w:tc>
        <w:tc>
          <w:tcPr>
            <w:tcW w:w="850" w:type="dxa"/>
            <w:tcBorders>
              <w:top w:val="single" w:sz="4" w:space="0" w:color="auto"/>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108</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109</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110</w:t>
            </w:r>
          </w:p>
        </w:tc>
        <w:tc>
          <w:tcPr>
            <w:tcW w:w="850" w:type="dxa"/>
            <w:tcBorders>
              <w:top w:val="single" w:sz="4" w:space="0" w:color="auto"/>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111</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112</w:t>
            </w:r>
          </w:p>
        </w:tc>
      </w:tr>
      <w:tr w:rsidR="001D0350" w:rsidRPr="00D55DC6" w:rsidTr="006B6C3C">
        <w:trPr>
          <w:gridAfter w:val="1"/>
          <w:wAfter w:w="1046" w:type="dxa"/>
          <w:trHeight w:val="345"/>
        </w:trPr>
        <w:tc>
          <w:tcPr>
            <w:tcW w:w="993" w:type="dxa"/>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6B6C3C" w:rsidRPr="00D55DC6" w:rsidRDefault="006B6C3C">
            <w:pPr>
              <w:widowControl/>
              <w:rPr>
                <w:rFonts w:eastAsia="標楷體"/>
                <w:kern w:val="0"/>
                <w:sz w:val="22"/>
                <w:szCs w:val="20"/>
              </w:rPr>
            </w:pPr>
            <w:r w:rsidRPr="00D55DC6">
              <w:rPr>
                <w:rFonts w:eastAsia="標楷體"/>
                <w:kern w:val="0"/>
                <w:sz w:val="22"/>
                <w:szCs w:val="20"/>
              </w:rPr>
              <w:t>支出</w:t>
            </w:r>
          </w:p>
        </w:tc>
        <w:tc>
          <w:tcPr>
            <w:tcW w:w="1134"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274,900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280,000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283,000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268,040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285,403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281,067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283,812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268,624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242,239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259,574 </w:t>
            </w:r>
          </w:p>
        </w:tc>
      </w:tr>
      <w:tr w:rsidR="001D0350" w:rsidRPr="00D55DC6" w:rsidTr="006B6C3C">
        <w:trPr>
          <w:gridAfter w:val="1"/>
          <w:wAfter w:w="1046" w:type="dxa"/>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6B6C3C" w:rsidRPr="00D55DC6" w:rsidRDefault="006B6C3C">
            <w:pPr>
              <w:widowControl/>
              <w:rPr>
                <w:rFonts w:eastAsia="標楷體"/>
                <w:kern w:val="0"/>
                <w:sz w:val="22"/>
                <w:szCs w:val="20"/>
              </w:rPr>
            </w:pPr>
            <w:r w:rsidRPr="00D55DC6">
              <w:rPr>
                <w:rFonts w:eastAsia="標楷體"/>
                <w:kern w:val="0"/>
                <w:sz w:val="22"/>
                <w:szCs w:val="20"/>
              </w:rPr>
              <w:t>收入</w:t>
            </w:r>
          </w:p>
        </w:tc>
        <w:tc>
          <w:tcPr>
            <w:tcW w:w="1134"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17,668 </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25,289 </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50,333 </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51,467 </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85,477 </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62,926 </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65,040 </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66,026 </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63,832 </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64,607 </w:t>
            </w:r>
          </w:p>
        </w:tc>
      </w:tr>
      <w:tr w:rsidR="001D0350" w:rsidRPr="00D55DC6" w:rsidTr="006B6C3C">
        <w:trPr>
          <w:gridAfter w:val="1"/>
          <w:wAfter w:w="1046" w:type="dxa"/>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6B6C3C" w:rsidRPr="00D55DC6" w:rsidRDefault="006B6C3C">
            <w:pPr>
              <w:widowControl/>
              <w:rPr>
                <w:rFonts w:eastAsia="標楷體"/>
                <w:kern w:val="0"/>
                <w:sz w:val="22"/>
                <w:szCs w:val="20"/>
              </w:rPr>
            </w:pPr>
            <w:r w:rsidRPr="00D55DC6">
              <w:rPr>
                <w:rFonts w:eastAsia="標楷體"/>
                <w:kern w:val="0"/>
                <w:sz w:val="22"/>
                <w:szCs w:val="20"/>
              </w:rPr>
              <w:t>收支比</w:t>
            </w:r>
          </w:p>
        </w:tc>
        <w:tc>
          <w:tcPr>
            <w:tcW w:w="1134"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6.43%</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9.03%</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17.79%</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19.20%</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29.95%</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22.39%</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22.92%</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24.58%</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26.35%</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24.89%</w:t>
            </w:r>
          </w:p>
        </w:tc>
      </w:tr>
      <w:tr w:rsidR="001D0350" w:rsidRPr="00D55DC6" w:rsidTr="006B6C3C">
        <w:trPr>
          <w:trHeight w:val="345"/>
        </w:trPr>
        <w:tc>
          <w:tcPr>
            <w:tcW w:w="993" w:type="dxa"/>
            <w:tcBorders>
              <w:top w:val="nil"/>
              <w:left w:val="single" w:sz="4" w:space="0" w:color="auto"/>
              <w:bottom w:val="double" w:sz="6" w:space="0" w:color="auto"/>
              <w:right w:val="single" w:sz="4" w:space="0" w:color="auto"/>
            </w:tcBorders>
            <w:shd w:val="clear" w:color="auto" w:fill="FFCC00"/>
            <w:noWrap/>
            <w:vAlign w:val="center"/>
            <w:hideMark/>
          </w:tcPr>
          <w:p w:rsidR="006B6C3C" w:rsidRPr="00D55DC6" w:rsidRDefault="006B6C3C">
            <w:pPr>
              <w:widowControl/>
              <w:rPr>
                <w:rFonts w:eastAsia="標楷體"/>
                <w:kern w:val="0"/>
                <w:sz w:val="22"/>
                <w:szCs w:val="20"/>
              </w:rPr>
            </w:pPr>
            <w:r w:rsidRPr="00D55DC6">
              <w:rPr>
                <w:rFonts w:eastAsia="標楷體"/>
                <w:kern w:val="0"/>
                <w:sz w:val="22"/>
                <w:szCs w:val="20"/>
              </w:rPr>
              <w:t xml:space="preserve">　</w:t>
            </w:r>
          </w:p>
        </w:tc>
        <w:tc>
          <w:tcPr>
            <w:tcW w:w="1134" w:type="dxa"/>
            <w:tcBorders>
              <w:top w:val="nil"/>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113</w:t>
            </w:r>
          </w:p>
        </w:tc>
        <w:tc>
          <w:tcPr>
            <w:tcW w:w="850" w:type="dxa"/>
            <w:tcBorders>
              <w:top w:val="nil"/>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114</w:t>
            </w:r>
          </w:p>
        </w:tc>
        <w:tc>
          <w:tcPr>
            <w:tcW w:w="851" w:type="dxa"/>
            <w:tcBorders>
              <w:top w:val="nil"/>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115</w:t>
            </w:r>
          </w:p>
        </w:tc>
        <w:tc>
          <w:tcPr>
            <w:tcW w:w="850" w:type="dxa"/>
            <w:tcBorders>
              <w:top w:val="nil"/>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116</w:t>
            </w:r>
          </w:p>
        </w:tc>
        <w:tc>
          <w:tcPr>
            <w:tcW w:w="851" w:type="dxa"/>
            <w:tcBorders>
              <w:top w:val="nil"/>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117</w:t>
            </w:r>
          </w:p>
        </w:tc>
        <w:tc>
          <w:tcPr>
            <w:tcW w:w="850" w:type="dxa"/>
            <w:tcBorders>
              <w:top w:val="nil"/>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118</w:t>
            </w:r>
          </w:p>
        </w:tc>
        <w:tc>
          <w:tcPr>
            <w:tcW w:w="851" w:type="dxa"/>
            <w:tcBorders>
              <w:top w:val="nil"/>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119</w:t>
            </w:r>
          </w:p>
        </w:tc>
        <w:tc>
          <w:tcPr>
            <w:tcW w:w="851" w:type="dxa"/>
            <w:tcBorders>
              <w:top w:val="nil"/>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120</w:t>
            </w:r>
          </w:p>
        </w:tc>
        <w:tc>
          <w:tcPr>
            <w:tcW w:w="850" w:type="dxa"/>
            <w:tcBorders>
              <w:top w:val="nil"/>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121</w:t>
            </w:r>
          </w:p>
        </w:tc>
        <w:tc>
          <w:tcPr>
            <w:tcW w:w="851" w:type="dxa"/>
            <w:tcBorders>
              <w:top w:val="nil"/>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122</w:t>
            </w:r>
          </w:p>
        </w:tc>
        <w:tc>
          <w:tcPr>
            <w:tcW w:w="1046" w:type="dxa"/>
            <w:tcBorders>
              <w:top w:val="single" w:sz="4" w:space="0" w:color="auto"/>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合計</w:t>
            </w:r>
          </w:p>
        </w:tc>
      </w:tr>
      <w:tr w:rsidR="001D0350" w:rsidRPr="00D55DC6" w:rsidTr="006B6C3C">
        <w:trPr>
          <w:trHeight w:val="345"/>
        </w:trPr>
        <w:tc>
          <w:tcPr>
            <w:tcW w:w="993" w:type="dxa"/>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6B6C3C" w:rsidRPr="00D55DC6" w:rsidRDefault="006B6C3C">
            <w:pPr>
              <w:widowControl/>
              <w:rPr>
                <w:rFonts w:eastAsia="標楷體"/>
                <w:kern w:val="0"/>
                <w:sz w:val="22"/>
                <w:szCs w:val="20"/>
              </w:rPr>
            </w:pPr>
            <w:r w:rsidRPr="00D55DC6">
              <w:rPr>
                <w:rFonts w:eastAsia="標楷體"/>
                <w:kern w:val="0"/>
                <w:sz w:val="22"/>
                <w:szCs w:val="20"/>
              </w:rPr>
              <w:t>支出</w:t>
            </w:r>
          </w:p>
        </w:tc>
        <w:tc>
          <w:tcPr>
            <w:tcW w:w="1134"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246,036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244,477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258,446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246,945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233,974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248,033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236,624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236,747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251,102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251,790 </w:t>
            </w:r>
          </w:p>
        </w:tc>
        <w:tc>
          <w:tcPr>
            <w:tcW w:w="1046"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5,180,831 </w:t>
            </w:r>
          </w:p>
        </w:tc>
      </w:tr>
      <w:tr w:rsidR="001D0350" w:rsidRPr="00D55DC6" w:rsidTr="006B6C3C">
        <w:trPr>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6B6C3C" w:rsidRPr="00D55DC6" w:rsidRDefault="006B6C3C">
            <w:pPr>
              <w:widowControl/>
              <w:rPr>
                <w:rFonts w:eastAsia="標楷體"/>
                <w:kern w:val="0"/>
                <w:sz w:val="22"/>
                <w:szCs w:val="20"/>
              </w:rPr>
            </w:pPr>
            <w:r w:rsidRPr="00D55DC6">
              <w:rPr>
                <w:rFonts w:eastAsia="標楷體"/>
                <w:kern w:val="0"/>
                <w:sz w:val="22"/>
                <w:szCs w:val="20"/>
              </w:rPr>
              <w:t>收入</w:t>
            </w:r>
          </w:p>
        </w:tc>
        <w:tc>
          <w:tcPr>
            <w:tcW w:w="1134"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81,742 </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74,706 </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75,759 </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83,300 </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77,458 </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78,088 </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85,590 </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79,370 </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80,020 </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87,962 </w:t>
            </w:r>
          </w:p>
        </w:tc>
        <w:tc>
          <w:tcPr>
            <w:tcW w:w="1046"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1,356,659 </w:t>
            </w:r>
          </w:p>
        </w:tc>
      </w:tr>
      <w:tr w:rsidR="001D0350" w:rsidRPr="00D55DC6" w:rsidTr="006B6C3C">
        <w:trPr>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6B6C3C" w:rsidRPr="00D55DC6" w:rsidRDefault="006B6C3C">
            <w:pPr>
              <w:widowControl/>
              <w:rPr>
                <w:rFonts w:eastAsia="標楷體"/>
                <w:kern w:val="0"/>
                <w:sz w:val="22"/>
                <w:szCs w:val="20"/>
              </w:rPr>
            </w:pPr>
            <w:r w:rsidRPr="00D55DC6">
              <w:rPr>
                <w:rFonts w:eastAsia="標楷體"/>
                <w:kern w:val="0"/>
                <w:sz w:val="22"/>
                <w:szCs w:val="20"/>
              </w:rPr>
              <w:t>收支比</w:t>
            </w:r>
          </w:p>
        </w:tc>
        <w:tc>
          <w:tcPr>
            <w:tcW w:w="1134"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33.22%</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30.56%</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29.31%</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33.73%</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33.11%</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31.48%</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36.17%</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33.53%</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31.87%</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34.93%</w:t>
            </w:r>
          </w:p>
        </w:tc>
        <w:tc>
          <w:tcPr>
            <w:tcW w:w="1046"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26.19%</w:t>
            </w:r>
          </w:p>
        </w:tc>
      </w:tr>
      <w:tr w:rsidR="001D0350" w:rsidRPr="00D55DC6" w:rsidTr="006B6C3C">
        <w:trPr>
          <w:gridAfter w:val="10"/>
          <w:wAfter w:w="8701" w:type="dxa"/>
          <w:trHeight w:val="330"/>
        </w:trPr>
        <w:tc>
          <w:tcPr>
            <w:tcW w:w="993" w:type="dxa"/>
            <w:tcBorders>
              <w:top w:val="nil"/>
              <w:left w:val="single" w:sz="4" w:space="0" w:color="auto"/>
              <w:bottom w:val="single" w:sz="4" w:space="0" w:color="auto"/>
              <w:right w:val="single" w:sz="4" w:space="0" w:color="auto"/>
            </w:tcBorders>
            <w:shd w:val="clear" w:color="auto" w:fill="FFFFCC"/>
            <w:noWrap/>
            <w:vAlign w:val="center"/>
            <w:hideMark/>
          </w:tcPr>
          <w:p w:rsidR="006B6C3C" w:rsidRPr="00D55DC6" w:rsidRDefault="006B6C3C">
            <w:pPr>
              <w:widowControl/>
              <w:rPr>
                <w:rFonts w:eastAsia="標楷體"/>
                <w:b/>
                <w:bCs/>
                <w:kern w:val="0"/>
                <w:sz w:val="22"/>
                <w:szCs w:val="20"/>
              </w:rPr>
            </w:pPr>
            <w:r w:rsidRPr="00D55DC6">
              <w:rPr>
                <w:rFonts w:eastAsia="標楷體"/>
                <w:b/>
                <w:bCs/>
                <w:kern w:val="0"/>
                <w:sz w:val="22"/>
                <w:szCs w:val="20"/>
              </w:rPr>
              <w:t>投資現值</w:t>
            </w:r>
          </w:p>
        </w:tc>
        <w:tc>
          <w:tcPr>
            <w:tcW w:w="1134" w:type="dxa"/>
            <w:tcBorders>
              <w:top w:val="nil"/>
              <w:left w:val="nil"/>
              <w:bottom w:val="single" w:sz="4" w:space="0" w:color="auto"/>
              <w:right w:val="single" w:sz="4" w:space="0" w:color="auto"/>
            </w:tcBorders>
            <w:shd w:val="clear" w:color="auto" w:fill="FFFFCC"/>
            <w:noWrap/>
            <w:vAlign w:val="center"/>
            <w:hideMark/>
          </w:tcPr>
          <w:p w:rsidR="006B6C3C" w:rsidRPr="00D55DC6" w:rsidRDefault="006B6C3C">
            <w:pPr>
              <w:widowControl/>
              <w:ind w:rightChars="47" w:right="113"/>
              <w:jc w:val="right"/>
              <w:rPr>
                <w:rFonts w:eastAsia="標楷體"/>
                <w:b/>
                <w:bCs/>
                <w:kern w:val="0"/>
                <w:sz w:val="20"/>
                <w:szCs w:val="20"/>
              </w:rPr>
            </w:pPr>
            <w:r w:rsidRPr="00D55DC6">
              <w:rPr>
                <w:rFonts w:eastAsia="標楷體"/>
                <w:b/>
                <w:bCs/>
                <w:kern w:val="0"/>
                <w:sz w:val="20"/>
                <w:szCs w:val="20"/>
              </w:rPr>
              <w:t>3,931,291</w:t>
            </w:r>
          </w:p>
        </w:tc>
      </w:tr>
      <w:tr w:rsidR="001D0350" w:rsidRPr="00D55DC6" w:rsidTr="006B6C3C">
        <w:trPr>
          <w:gridAfter w:val="10"/>
          <w:wAfter w:w="8701" w:type="dxa"/>
          <w:trHeight w:val="330"/>
        </w:trPr>
        <w:tc>
          <w:tcPr>
            <w:tcW w:w="993" w:type="dxa"/>
            <w:tcBorders>
              <w:top w:val="nil"/>
              <w:left w:val="single" w:sz="4" w:space="0" w:color="auto"/>
              <w:bottom w:val="single" w:sz="4" w:space="0" w:color="auto"/>
              <w:right w:val="single" w:sz="4" w:space="0" w:color="auto"/>
            </w:tcBorders>
            <w:shd w:val="clear" w:color="auto" w:fill="FFFFCC"/>
            <w:noWrap/>
            <w:vAlign w:val="center"/>
            <w:hideMark/>
          </w:tcPr>
          <w:p w:rsidR="006B6C3C" w:rsidRPr="00D55DC6" w:rsidRDefault="006B6C3C">
            <w:pPr>
              <w:widowControl/>
              <w:rPr>
                <w:rFonts w:eastAsia="標楷體"/>
                <w:b/>
                <w:bCs/>
                <w:kern w:val="0"/>
                <w:sz w:val="22"/>
                <w:szCs w:val="20"/>
              </w:rPr>
            </w:pPr>
            <w:r w:rsidRPr="00D55DC6">
              <w:rPr>
                <w:rFonts w:eastAsia="標楷體"/>
                <w:b/>
                <w:bCs/>
                <w:kern w:val="0"/>
                <w:sz w:val="22"/>
                <w:szCs w:val="20"/>
              </w:rPr>
              <w:t>收益現值</w:t>
            </w:r>
          </w:p>
        </w:tc>
        <w:tc>
          <w:tcPr>
            <w:tcW w:w="1134" w:type="dxa"/>
            <w:tcBorders>
              <w:top w:val="nil"/>
              <w:left w:val="nil"/>
              <w:bottom w:val="single" w:sz="4" w:space="0" w:color="auto"/>
              <w:right w:val="single" w:sz="4" w:space="0" w:color="auto"/>
            </w:tcBorders>
            <w:shd w:val="clear" w:color="auto" w:fill="FFFFCC"/>
            <w:noWrap/>
            <w:vAlign w:val="center"/>
            <w:hideMark/>
          </w:tcPr>
          <w:p w:rsidR="006B6C3C" w:rsidRPr="00D55DC6" w:rsidRDefault="006B6C3C">
            <w:pPr>
              <w:widowControl/>
              <w:ind w:rightChars="47" w:right="113"/>
              <w:jc w:val="right"/>
              <w:rPr>
                <w:rFonts w:eastAsia="標楷體"/>
                <w:b/>
                <w:bCs/>
                <w:kern w:val="0"/>
                <w:sz w:val="20"/>
                <w:szCs w:val="20"/>
              </w:rPr>
            </w:pPr>
            <w:r w:rsidRPr="00D55DC6">
              <w:rPr>
                <w:rFonts w:eastAsia="標楷體"/>
                <w:b/>
                <w:bCs/>
                <w:kern w:val="0"/>
                <w:sz w:val="20"/>
                <w:szCs w:val="20"/>
              </w:rPr>
              <w:t>982,879</w:t>
            </w:r>
          </w:p>
        </w:tc>
      </w:tr>
      <w:tr w:rsidR="001D0350" w:rsidRPr="00D55DC6" w:rsidTr="006B6C3C">
        <w:trPr>
          <w:gridAfter w:val="10"/>
          <w:wAfter w:w="8701" w:type="dxa"/>
          <w:trHeight w:val="330"/>
        </w:trPr>
        <w:tc>
          <w:tcPr>
            <w:tcW w:w="993" w:type="dxa"/>
            <w:tcBorders>
              <w:top w:val="nil"/>
              <w:left w:val="single" w:sz="4" w:space="0" w:color="auto"/>
              <w:bottom w:val="single" w:sz="4" w:space="0" w:color="auto"/>
              <w:right w:val="single" w:sz="4" w:space="0" w:color="auto"/>
            </w:tcBorders>
            <w:shd w:val="clear" w:color="auto" w:fill="FDE9D9"/>
            <w:noWrap/>
            <w:vAlign w:val="center"/>
            <w:hideMark/>
          </w:tcPr>
          <w:p w:rsidR="006B6C3C" w:rsidRPr="00D55DC6" w:rsidRDefault="006B6C3C">
            <w:pPr>
              <w:widowControl/>
              <w:rPr>
                <w:rFonts w:eastAsia="標楷體"/>
                <w:kern w:val="0"/>
                <w:sz w:val="22"/>
                <w:szCs w:val="20"/>
              </w:rPr>
            </w:pPr>
            <w:r w:rsidRPr="00D55DC6">
              <w:rPr>
                <w:rFonts w:eastAsia="標楷體"/>
                <w:kern w:val="0"/>
                <w:sz w:val="18"/>
                <w:szCs w:val="20"/>
              </w:rPr>
              <w:t>計畫自償率</w:t>
            </w:r>
          </w:p>
        </w:tc>
        <w:tc>
          <w:tcPr>
            <w:tcW w:w="1134" w:type="dxa"/>
            <w:tcBorders>
              <w:top w:val="nil"/>
              <w:left w:val="nil"/>
              <w:bottom w:val="single" w:sz="4" w:space="0" w:color="auto"/>
              <w:right w:val="single" w:sz="4" w:space="0" w:color="auto"/>
            </w:tcBorders>
            <w:shd w:val="clear" w:color="auto" w:fill="FDE9D9"/>
            <w:noWrap/>
            <w:vAlign w:val="center"/>
            <w:hideMark/>
          </w:tcPr>
          <w:p w:rsidR="006B6C3C" w:rsidRPr="00D55DC6" w:rsidRDefault="006B6C3C">
            <w:pPr>
              <w:widowControl/>
              <w:ind w:rightChars="47" w:right="113"/>
              <w:jc w:val="right"/>
              <w:rPr>
                <w:rFonts w:eastAsia="標楷體"/>
                <w:b/>
                <w:bCs/>
                <w:kern w:val="0"/>
                <w:sz w:val="22"/>
                <w:szCs w:val="20"/>
              </w:rPr>
            </w:pPr>
            <w:r w:rsidRPr="00D55DC6">
              <w:rPr>
                <w:rFonts w:eastAsia="標楷體"/>
                <w:b/>
                <w:bCs/>
                <w:kern w:val="0"/>
                <w:sz w:val="22"/>
                <w:szCs w:val="20"/>
              </w:rPr>
              <w:t>25.00%</w:t>
            </w:r>
          </w:p>
        </w:tc>
      </w:tr>
    </w:tbl>
    <w:p w:rsidR="006B6C3C" w:rsidRPr="00D55DC6" w:rsidRDefault="006B6C3C" w:rsidP="0038165F">
      <w:pPr>
        <w:pStyle w:val="a"/>
        <w:numPr>
          <w:ilvl w:val="0"/>
          <w:numId w:val="0"/>
        </w:numPr>
        <w:ind w:left="851" w:firstLineChars="202" w:firstLine="566"/>
      </w:pPr>
    </w:p>
    <w:p w:rsidR="007876E9" w:rsidRPr="00D55DC6" w:rsidRDefault="007876E9" w:rsidP="0038165F">
      <w:pPr>
        <w:pStyle w:val="a"/>
        <w:numPr>
          <w:ilvl w:val="0"/>
          <w:numId w:val="0"/>
        </w:numPr>
        <w:ind w:left="851" w:firstLineChars="202" w:firstLine="566"/>
      </w:pPr>
    </w:p>
    <w:p w:rsidR="00D4339C" w:rsidRPr="00D55DC6" w:rsidRDefault="00D4339C" w:rsidP="004865C1">
      <w:pPr>
        <w:pStyle w:val="af2"/>
        <w:numPr>
          <w:ilvl w:val="0"/>
          <w:numId w:val="72"/>
        </w:numPr>
        <w:snapToGrid w:val="0"/>
        <w:spacing w:line="460" w:lineRule="exact"/>
        <w:ind w:leftChars="0"/>
        <w:jc w:val="both"/>
        <w:rPr>
          <w:rFonts w:eastAsia="標楷體"/>
          <w:b/>
          <w:sz w:val="28"/>
          <w:szCs w:val="28"/>
        </w:rPr>
      </w:pPr>
      <w:r w:rsidRPr="00D55DC6">
        <w:rPr>
          <w:rFonts w:eastAsia="標楷體"/>
          <w:b/>
          <w:sz w:val="28"/>
          <w:szCs w:val="28"/>
        </w:rPr>
        <w:t>預估財務收入情形</w:t>
      </w:r>
    </w:p>
    <w:p w:rsidR="00D4339C" w:rsidRPr="00D55DC6" w:rsidRDefault="00D4339C" w:rsidP="0038165F">
      <w:pPr>
        <w:pStyle w:val="a"/>
        <w:numPr>
          <w:ilvl w:val="0"/>
          <w:numId w:val="0"/>
        </w:numPr>
        <w:ind w:left="851" w:firstLineChars="202" w:firstLine="566"/>
      </w:pPr>
      <w:bookmarkStart w:id="92" w:name="_Toc407181670"/>
      <w:r w:rsidRPr="00D55DC6">
        <w:t>透過推動設施出租、重大促參案件、使用者付費、跨域合作等方向，積極提升計畫自償率。詳如下列預估財務收入分年規劃表。</w:t>
      </w:r>
      <w:bookmarkEnd w:id="92"/>
    </w:p>
    <w:p w:rsidR="006B6C3C" w:rsidRPr="00D55DC6" w:rsidRDefault="006B6C3C" w:rsidP="0038165F">
      <w:pPr>
        <w:pStyle w:val="a"/>
        <w:numPr>
          <w:ilvl w:val="0"/>
          <w:numId w:val="0"/>
        </w:numPr>
        <w:ind w:left="851" w:firstLineChars="202" w:firstLine="566"/>
      </w:pPr>
    </w:p>
    <w:p w:rsidR="007876E9" w:rsidRPr="00D55DC6" w:rsidRDefault="007876E9" w:rsidP="0038165F">
      <w:pPr>
        <w:pStyle w:val="a"/>
        <w:numPr>
          <w:ilvl w:val="0"/>
          <w:numId w:val="0"/>
        </w:numPr>
        <w:ind w:left="851" w:firstLineChars="202" w:firstLine="566"/>
      </w:pPr>
    </w:p>
    <w:p w:rsidR="007876E9" w:rsidRPr="00D55DC6" w:rsidRDefault="007876E9" w:rsidP="0038165F">
      <w:pPr>
        <w:pStyle w:val="a"/>
        <w:numPr>
          <w:ilvl w:val="0"/>
          <w:numId w:val="0"/>
        </w:numPr>
        <w:ind w:left="851" w:firstLineChars="202" w:firstLine="566"/>
      </w:pPr>
    </w:p>
    <w:p w:rsidR="007876E9" w:rsidRPr="00D55DC6" w:rsidRDefault="007876E9" w:rsidP="0038165F">
      <w:pPr>
        <w:pStyle w:val="a"/>
        <w:numPr>
          <w:ilvl w:val="0"/>
          <w:numId w:val="0"/>
        </w:numPr>
        <w:ind w:left="851" w:firstLineChars="202" w:firstLine="566"/>
      </w:pPr>
    </w:p>
    <w:p w:rsidR="007876E9" w:rsidRPr="00D55DC6" w:rsidRDefault="007876E9" w:rsidP="0038165F">
      <w:pPr>
        <w:pStyle w:val="a"/>
        <w:numPr>
          <w:ilvl w:val="0"/>
          <w:numId w:val="0"/>
        </w:numPr>
        <w:ind w:left="851" w:firstLineChars="202" w:firstLine="566"/>
      </w:pPr>
    </w:p>
    <w:p w:rsidR="007876E9" w:rsidRPr="00D55DC6" w:rsidRDefault="007876E9" w:rsidP="0038165F">
      <w:pPr>
        <w:pStyle w:val="a"/>
        <w:numPr>
          <w:ilvl w:val="0"/>
          <w:numId w:val="0"/>
        </w:numPr>
        <w:ind w:left="851" w:firstLineChars="202" w:firstLine="566"/>
      </w:pPr>
    </w:p>
    <w:p w:rsidR="007876E9" w:rsidRPr="00D55DC6" w:rsidRDefault="007876E9" w:rsidP="0038165F">
      <w:pPr>
        <w:pStyle w:val="a"/>
        <w:numPr>
          <w:ilvl w:val="0"/>
          <w:numId w:val="0"/>
        </w:numPr>
        <w:ind w:left="851" w:firstLineChars="202" w:firstLine="566"/>
      </w:pPr>
    </w:p>
    <w:p w:rsidR="00D4339C" w:rsidRPr="00D55DC6" w:rsidRDefault="00D4339C" w:rsidP="0038165F">
      <w:pPr>
        <w:keepNext/>
        <w:ind w:rightChars="-316" w:right="-758"/>
        <w:rPr>
          <w:rFonts w:eastAsia="標楷體"/>
          <w:sz w:val="20"/>
          <w:szCs w:val="20"/>
        </w:rPr>
      </w:pPr>
      <w:r w:rsidRPr="00D55DC6">
        <w:rPr>
          <w:rFonts w:eastAsia="標楷體"/>
        </w:rPr>
        <w:lastRenderedPageBreak/>
        <w:t>預估財務收入分年規劃表</w:t>
      </w:r>
      <w:r w:rsidRPr="00D55DC6">
        <w:rPr>
          <w:rFonts w:eastAsia="標楷體"/>
        </w:rPr>
        <w:t xml:space="preserve">                       </w:t>
      </w:r>
      <w:r w:rsidRPr="00D55DC6">
        <w:rPr>
          <w:rFonts w:eastAsia="標楷體"/>
        </w:rPr>
        <w:t xml:space="preserve">　　　　　　　　</w:t>
      </w:r>
      <w:r w:rsidRPr="00D55DC6">
        <w:rPr>
          <w:rFonts w:eastAsia="標楷體"/>
        </w:rPr>
        <w:t xml:space="preserve">      </w:t>
      </w:r>
      <w:r w:rsidRPr="00D55DC6">
        <w:rPr>
          <w:rFonts w:eastAsia="標楷體"/>
          <w:sz w:val="20"/>
          <w:szCs w:val="20"/>
        </w:rPr>
        <w:t>（單位：千元）</w:t>
      </w:r>
    </w:p>
    <w:tbl>
      <w:tblPr>
        <w:tblW w:w="9640" w:type="dxa"/>
        <w:tblInd w:w="28" w:type="dxa"/>
        <w:tblLayout w:type="fixed"/>
        <w:tblCellMar>
          <w:left w:w="28" w:type="dxa"/>
          <w:right w:w="28" w:type="dxa"/>
        </w:tblCellMar>
        <w:tblLook w:val="04A0" w:firstRow="1" w:lastRow="0" w:firstColumn="1" w:lastColumn="0" w:noHBand="0" w:noVBand="1"/>
      </w:tblPr>
      <w:tblGrid>
        <w:gridCol w:w="2552"/>
        <w:gridCol w:w="708"/>
        <w:gridCol w:w="709"/>
        <w:gridCol w:w="709"/>
        <w:gridCol w:w="709"/>
        <w:gridCol w:w="709"/>
        <w:gridCol w:w="708"/>
        <w:gridCol w:w="709"/>
        <w:gridCol w:w="709"/>
        <w:gridCol w:w="709"/>
        <w:gridCol w:w="709"/>
      </w:tblGrid>
      <w:tr w:rsidR="001D0350" w:rsidRPr="00D55DC6" w:rsidTr="00C85474">
        <w:trPr>
          <w:trHeight w:val="585"/>
          <w:tblHeader/>
        </w:trPr>
        <w:tc>
          <w:tcPr>
            <w:tcW w:w="2552" w:type="dxa"/>
            <w:tcBorders>
              <w:top w:val="single" w:sz="4" w:space="0" w:color="auto"/>
              <w:left w:val="single" w:sz="4" w:space="0" w:color="auto"/>
              <w:bottom w:val="double" w:sz="6" w:space="0" w:color="auto"/>
              <w:right w:val="single" w:sz="4" w:space="0" w:color="auto"/>
            </w:tcBorders>
            <w:shd w:val="clear" w:color="000000" w:fill="FFCC00"/>
            <w:vAlign w:val="center"/>
          </w:tcPr>
          <w:p w:rsidR="00D4339C" w:rsidRPr="00D55DC6" w:rsidRDefault="00D4339C" w:rsidP="0038165F">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2"/>
                <w:szCs w:val="20"/>
              </w:rPr>
              <w:t>年度</w:t>
            </w:r>
            <w:r w:rsidRPr="00D55DC6">
              <w:rPr>
                <w:rFonts w:eastAsia="標楷體"/>
                <w:kern w:val="0"/>
                <w:sz w:val="22"/>
                <w:szCs w:val="20"/>
              </w:rPr>
              <w:br/>
            </w:r>
            <w:r w:rsidRPr="00D55DC6">
              <w:rPr>
                <w:rFonts w:eastAsia="標楷體"/>
                <w:kern w:val="0"/>
                <w:sz w:val="22"/>
                <w:szCs w:val="20"/>
              </w:rPr>
              <w:t>收益項目</w:t>
            </w:r>
          </w:p>
        </w:tc>
        <w:tc>
          <w:tcPr>
            <w:tcW w:w="708" w:type="dxa"/>
            <w:tcBorders>
              <w:top w:val="single" w:sz="4" w:space="0" w:color="auto"/>
              <w:left w:val="nil"/>
              <w:bottom w:val="double" w:sz="6" w:space="0" w:color="auto"/>
              <w:right w:val="single" w:sz="4" w:space="0" w:color="auto"/>
            </w:tcBorders>
            <w:shd w:val="clear" w:color="000000" w:fill="FFCC00"/>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103</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104</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105</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106</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107</w:t>
            </w:r>
          </w:p>
        </w:tc>
        <w:tc>
          <w:tcPr>
            <w:tcW w:w="708" w:type="dxa"/>
            <w:tcBorders>
              <w:top w:val="single" w:sz="4" w:space="0" w:color="auto"/>
              <w:left w:val="nil"/>
              <w:bottom w:val="double" w:sz="6" w:space="0" w:color="auto"/>
              <w:right w:val="single" w:sz="4" w:space="0" w:color="auto"/>
            </w:tcBorders>
            <w:shd w:val="clear" w:color="000000" w:fill="FFCC00"/>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108</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109</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110</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111</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112</w:t>
            </w:r>
          </w:p>
        </w:tc>
      </w:tr>
      <w:tr w:rsidR="001D0350" w:rsidRPr="00D55DC6" w:rsidTr="00144178">
        <w:trPr>
          <w:trHeight w:val="345"/>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D4339C" w:rsidRPr="00D55DC6" w:rsidRDefault="00D4339C" w:rsidP="0038165F">
            <w:pPr>
              <w:widowControl/>
              <w:rPr>
                <w:rFonts w:eastAsia="標楷體"/>
                <w:kern w:val="0"/>
                <w:sz w:val="20"/>
                <w:szCs w:val="20"/>
              </w:rPr>
            </w:pPr>
            <w:r w:rsidRPr="00D55DC6">
              <w:rPr>
                <w:rFonts w:eastAsia="標楷體"/>
                <w:kern w:val="0"/>
                <w:sz w:val="20"/>
                <w:szCs w:val="20"/>
              </w:rPr>
              <w:t>一、既有出租據點收益</w:t>
            </w:r>
          </w:p>
        </w:tc>
        <w:tc>
          <w:tcPr>
            <w:tcW w:w="708" w:type="dxa"/>
            <w:tcBorders>
              <w:top w:val="nil"/>
              <w:left w:val="nil"/>
              <w:bottom w:val="single" w:sz="4" w:space="0" w:color="auto"/>
              <w:right w:val="single" w:sz="4" w:space="0" w:color="auto"/>
            </w:tcBorders>
            <w:shd w:val="clear" w:color="000000" w:fill="DAEEF3"/>
            <w:noWrap/>
          </w:tcPr>
          <w:p w:rsidR="00D4339C" w:rsidRPr="00D55DC6" w:rsidRDefault="00D4339C" w:rsidP="0038165F">
            <w:pPr>
              <w:rPr>
                <w:rFonts w:eastAsia="標楷體"/>
                <w:kern w:val="0"/>
                <w:sz w:val="20"/>
                <w:szCs w:val="20"/>
              </w:rPr>
            </w:pPr>
            <w:r w:rsidRPr="00D55DC6">
              <w:rPr>
                <w:rFonts w:eastAsia="標楷體"/>
                <w:kern w:val="0"/>
                <w:sz w:val="20"/>
                <w:szCs w:val="20"/>
              </w:rPr>
              <w:t xml:space="preserve">11,488 </w:t>
            </w:r>
          </w:p>
        </w:tc>
        <w:tc>
          <w:tcPr>
            <w:tcW w:w="709" w:type="dxa"/>
            <w:tcBorders>
              <w:top w:val="nil"/>
              <w:left w:val="nil"/>
              <w:bottom w:val="single" w:sz="4" w:space="0" w:color="auto"/>
              <w:right w:val="single" w:sz="4" w:space="0" w:color="auto"/>
            </w:tcBorders>
            <w:shd w:val="clear" w:color="000000" w:fill="DAEEF3"/>
            <w:noWrap/>
          </w:tcPr>
          <w:p w:rsidR="00D4339C" w:rsidRPr="00D55DC6" w:rsidRDefault="00D4339C" w:rsidP="0038165F">
            <w:pPr>
              <w:rPr>
                <w:rFonts w:eastAsia="標楷體"/>
                <w:kern w:val="0"/>
                <w:sz w:val="20"/>
                <w:szCs w:val="20"/>
              </w:rPr>
            </w:pPr>
            <w:r w:rsidRPr="00D55DC6">
              <w:rPr>
                <w:rFonts w:eastAsia="標楷體"/>
                <w:kern w:val="0"/>
                <w:sz w:val="20"/>
                <w:szCs w:val="20"/>
              </w:rPr>
              <w:t xml:space="preserve">11,494 </w:t>
            </w:r>
          </w:p>
        </w:tc>
        <w:tc>
          <w:tcPr>
            <w:tcW w:w="709" w:type="dxa"/>
            <w:tcBorders>
              <w:top w:val="nil"/>
              <w:left w:val="nil"/>
              <w:bottom w:val="single" w:sz="4" w:space="0" w:color="auto"/>
              <w:right w:val="single" w:sz="4" w:space="0" w:color="auto"/>
            </w:tcBorders>
            <w:shd w:val="clear" w:color="000000" w:fill="DAEEF3"/>
            <w:noWrap/>
          </w:tcPr>
          <w:p w:rsidR="00D4339C" w:rsidRPr="00D55DC6" w:rsidRDefault="00D4339C" w:rsidP="0038165F">
            <w:pPr>
              <w:rPr>
                <w:rFonts w:eastAsia="標楷體"/>
                <w:kern w:val="0"/>
                <w:sz w:val="20"/>
                <w:szCs w:val="20"/>
              </w:rPr>
            </w:pPr>
            <w:r w:rsidRPr="00D55DC6">
              <w:rPr>
                <w:rFonts w:eastAsia="標楷體"/>
                <w:kern w:val="0"/>
                <w:sz w:val="20"/>
                <w:szCs w:val="20"/>
              </w:rPr>
              <w:t xml:space="preserve">11,519 </w:t>
            </w:r>
          </w:p>
        </w:tc>
        <w:tc>
          <w:tcPr>
            <w:tcW w:w="709" w:type="dxa"/>
            <w:tcBorders>
              <w:top w:val="nil"/>
              <w:left w:val="nil"/>
              <w:bottom w:val="single" w:sz="4" w:space="0" w:color="auto"/>
              <w:right w:val="single" w:sz="4" w:space="0" w:color="auto"/>
            </w:tcBorders>
            <w:shd w:val="clear" w:color="000000" w:fill="DAEEF3"/>
            <w:noWrap/>
          </w:tcPr>
          <w:p w:rsidR="00D4339C" w:rsidRPr="00D55DC6" w:rsidRDefault="00D4339C" w:rsidP="0038165F">
            <w:pPr>
              <w:rPr>
                <w:rFonts w:eastAsia="標楷體"/>
                <w:kern w:val="0"/>
                <w:sz w:val="20"/>
                <w:szCs w:val="20"/>
              </w:rPr>
            </w:pPr>
            <w:r w:rsidRPr="00D55DC6">
              <w:rPr>
                <w:rFonts w:eastAsia="標楷體"/>
                <w:kern w:val="0"/>
                <w:sz w:val="20"/>
                <w:szCs w:val="20"/>
              </w:rPr>
              <w:t xml:space="preserve">11,824 </w:t>
            </w:r>
          </w:p>
        </w:tc>
        <w:tc>
          <w:tcPr>
            <w:tcW w:w="709" w:type="dxa"/>
            <w:tcBorders>
              <w:top w:val="nil"/>
              <w:left w:val="nil"/>
              <w:bottom w:val="single" w:sz="4" w:space="0" w:color="auto"/>
              <w:right w:val="single" w:sz="4" w:space="0" w:color="auto"/>
            </w:tcBorders>
            <w:shd w:val="clear" w:color="000000" w:fill="DAEEF3"/>
            <w:noWrap/>
          </w:tcPr>
          <w:p w:rsidR="00D4339C" w:rsidRPr="00D55DC6" w:rsidRDefault="00D4339C" w:rsidP="0038165F">
            <w:pPr>
              <w:rPr>
                <w:rFonts w:eastAsia="標楷體"/>
                <w:kern w:val="0"/>
                <w:sz w:val="20"/>
                <w:szCs w:val="20"/>
              </w:rPr>
            </w:pPr>
            <w:r w:rsidRPr="00D55DC6">
              <w:rPr>
                <w:rFonts w:eastAsia="標楷體"/>
                <w:kern w:val="0"/>
                <w:sz w:val="20"/>
                <w:szCs w:val="20"/>
              </w:rPr>
              <w:t xml:space="preserve">11,892 </w:t>
            </w:r>
          </w:p>
        </w:tc>
        <w:tc>
          <w:tcPr>
            <w:tcW w:w="708" w:type="dxa"/>
            <w:tcBorders>
              <w:top w:val="nil"/>
              <w:left w:val="nil"/>
              <w:bottom w:val="single" w:sz="4" w:space="0" w:color="auto"/>
              <w:right w:val="single" w:sz="4" w:space="0" w:color="auto"/>
            </w:tcBorders>
            <w:shd w:val="clear" w:color="000000" w:fill="DAEEF3"/>
            <w:noWrap/>
          </w:tcPr>
          <w:p w:rsidR="00D4339C" w:rsidRPr="00D55DC6" w:rsidRDefault="00D4339C" w:rsidP="0038165F">
            <w:pPr>
              <w:rPr>
                <w:rFonts w:eastAsia="標楷體"/>
                <w:kern w:val="0"/>
                <w:sz w:val="20"/>
                <w:szCs w:val="20"/>
              </w:rPr>
            </w:pPr>
            <w:r w:rsidRPr="00D55DC6">
              <w:rPr>
                <w:rFonts w:eastAsia="標楷體"/>
                <w:kern w:val="0"/>
                <w:sz w:val="20"/>
                <w:szCs w:val="20"/>
              </w:rPr>
              <w:t xml:space="preserve">12,661 </w:t>
            </w:r>
          </w:p>
        </w:tc>
        <w:tc>
          <w:tcPr>
            <w:tcW w:w="709" w:type="dxa"/>
            <w:tcBorders>
              <w:top w:val="nil"/>
              <w:left w:val="nil"/>
              <w:bottom w:val="single" w:sz="4" w:space="0" w:color="auto"/>
              <w:right w:val="single" w:sz="4" w:space="0" w:color="auto"/>
            </w:tcBorders>
            <w:shd w:val="clear" w:color="000000" w:fill="DAEEF3"/>
            <w:noWrap/>
          </w:tcPr>
          <w:p w:rsidR="00D4339C" w:rsidRPr="00D55DC6" w:rsidRDefault="00D4339C" w:rsidP="0038165F">
            <w:pPr>
              <w:rPr>
                <w:rFonts w:eastAsia="標楷體"/>
                <w:kern w:val="0"/>
                <w:sz w:val="20"/>
                <w:szCs w:val="20"/>
              </w:rPr>
            </w:pPr>
            <w:r w:rsidRPr="00D55DC6">
              <w:rPr>
                <w:rFonts w:eastAsia="標楷體"/>
                <w:kern w:val="0"/>
                <w:sz w:val="20"/>
                <w:szCs w:val="20"/>
              </w:rPr>
              <w:t xml:space="preserve">12,956 </w:t>
            </w:r>
          </w:p>
        </w:tc>
        <w:tc>
          <w:tcPr>
            <w:tcW w:w="709" w:type="dxa"/>
            <w:tcBorders>
              <w:top w:val="nil"/>
              <w:left w:val="nil"/>
              <w:bottom w:val="single" w:sz="4" w:space="0" w:color="auto"/>
              <w:right w:val="single" w:sz="4" w:space="0" w:color="auto"/>
            </w:tcBorders>
            <w:shd w:val="clear" w:color="000000" w:fill="DAEEF3"/>
            <w:noWrap/>
          </w:tcPr>
          <w:p w:rsidR="00D4339C" w:rsidRPr="00D55DC6" w:rsidRDefault="00D4339C" w:rsidP="0038165F">
            <w:pPr>
              <w:rPr>
                <w:rFonts w:eastAsia="標楷體"/>
                <w:kern w:val="0"/>
                <w:sz w:val="20"/>
                <w:szCs w:val="20"/>
              </w:rPr>
            </w:pPr>
            <w:r w:rsidRPr="00D55DC6">
              <w:rPr>
                <w:rFonts w:eastAsia="標楷體"/>
                <w:kern w:val="0"/>
                <w:sz w:val="20"/>
                <w:szCs w:val="20"/>
              </w:rPr>
              <w:t xml:space="preserve">13,104 </w:t>
            </w:r>
          </w:p>
        </w:tc>
        <w:tc>
          <w:tcPr>
            <w:tcW w:w="709" w:type="dxa"/>
            <w:tcBorders>
              <w:top w:val="nil"/>
              <w:left w:val="nil"/>
              <w:bottom w:val="single" w:sz="4" w:space="0" w:color="auto"/>
              <w:right w:val="single" w:sz="4" w:space="0" w:color="auto"/>
            </w:tcBorders>
            <w:shd w:val="clear" w:color="000000" w:fill="DAEEF3"/>
            <w:noWrap/>
          </w:tcPr>
          <w:p w:rsidR="00D4339C" w:rsidRPr="00D55DC6" w:rsidRDefault="00D4339C" w:rsidP="0038165F">
            <w:pPr>
              <w:rPr>
                <w:rFonts w:eastAsia="標楷體"/>
                <w:kern w:val="0"/>
                <w:sz w:val="20"/>
                <w:szCs w:val="20"/>
              </w:rPr>
            </w:pPr>
            <w:r w:rsidRPr="00D55DC6">
              <w:rPr>
                <w:rFonts w:eastAsia="標楷體"/>
                <w:kern w:val="0"/>
                <w:sz w:val="20"/>
                <w:szCs w:val="20"/>
              </w:rPr>
              <w:t xml:space="preserve">13,255 </w:t>
            </w:r>
          </w:p>
        </w:tc>
        <w:tc>
          <w:tcPr>
            <w:tcW w:w="709" w:type="dxa"/>
            <w:tcBorders>
              <w:top w:val="nil"/>
              <w:left w:val="nil"/>
              <w:bottom w:val="single" w:sz="4" w:space="0" w:color="auto"/>
              <w:right w:val="single" w:sz="4" w:space="0" w:color="auto"/>
            </w:tcBorders>
            <w:shd w:val="clear" w:color="000000" w:fill="DAEEF3"/>
            <w:noWrap/>
          </w:tcPr>
          <w:p w:rsidR="00D4339C" w:rsidRPr="00D55DC6" w:rsidRDefault="00D4339C" w:rsidP="0038165F">
            <w:pPr>
              <w:rPr>
                <w:rFonts w:eastAsia="標楷體"/>
                <w:kern w:val="0"/>
                <w:sz w:val="20"/>
                <w:szCs w:val="20"/>
              </w:rPr>
            </w:pPr>
            <w:r w:rsidRPr="00D55DC6">
              <w:rPr>
                <w:rFonts w:eastAsia="標楷體"/>
                <w:kern w:val="0"/>
                <w:sz w:val="20"/>
                <w:szCs w:val="20"/>
              </w:rPr>
              <w:t xml:space="preserve">13,409 </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D4339C" w:rsidRPr="00D55DC6" w:rsidRDefault="00D4339C" w:rsidP="0038165F">
            <w:pPr>
              <w:widowControl/>
              <w:rPr>
                <w:rFonts w:eastAsia="標楷體"/>
                <w:kern w:val="0"/>
                <w:sz w:val="20"/>
                <w:szCs w:val="20"/>
              </w:rPr>
            </w:pPr>
            <w:r w:rsidRPr="00D55DC6">
              <w:rPr>
                <w:rFonts w:eastAsia="標楷體"/>
                <w:kern w:val="0"/>
                <w:sz w:val="20"/>
                <w:szCs w:val="20"/>
              </w:rPr>
              <w:t>二、規劃新設據點收益</w:t>
            </w:r>
          </w:p>
        </w:tc>
        <w:tc>
          <w:tcPr>
            <w:tcW w:w="708"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6,180 </w:t>
            </w:r>
          </w:p>
        </w:tc>
        <w:tc>
          <w:tcPr>
            <w:tcW w:w="709"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6,360 </w:t>
            </w:r>
          </w:p>
        </w:tc>
        <w:tc>
          <w:tcPr>
            <w:tcW w:w="709"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7,364 </w:t>
            </w:r>
          </w:p>
        </w:tc>
        <w:tc>
          <w:tcPr>
            <w:tcW w:w="709"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7,567 </w:t>
            </w:r>
          </w:p>
        </w:tc>
        <w:tc>
          <w:tcPr>
            <w:tcW w:w="709"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9,371 </w:t>
            </w:r>
          </w:p>
        </w:tc>
        <w:tc>
          <w:tcPr>
            <w:tcW w:w="708"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9,375 </w:t>
            </w:r>
          </w:p>
        </w:tc>
        <w:tc>
          <w:tcPr>
            <w:tcW w:w="709"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10,379 </w:t>
            </w:r>
          </w:p>
        </w:tc>
        <w:tc>
          <w:tcPr>
            <w:tcW w:w="709"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10,383 </w:t>
            </w:r>
          </w:p>
        </w:tc>
        <w:tc>
          <w:tcPr>
            <w:tcW w:w="709"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4,687 </w:t>
            </w:r>
          </w:p>
        </w:tc>
        <w:tc>
          <w:tcPr>
            <w:tcW w:w="709"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4,391 </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D4339C" w:rsidRPr="00D55DC6" w:rsidRDefault="00D4339C" w:rsidP="0038165F">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中興停車場</w:t>
            </w:r>
          </w:p>
        </w:tc>
        <w:tc>
          <w:tcPr>
            <w:tcW w:w="708"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6,000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6,000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6,000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6,000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6,000 </w:t>
            </w:r>
          </w:p>
        </w:tc>
        <w:tc>
          <w:tcPr>
            <w:tcW w:w="708"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6,000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6,000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6,000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300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   </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D4339C" w:rsidRPr="00D55DC6" w:rsidRDefault="00D4339C" w:rsidP="0038165F">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環潭停車場清潔費</w:t>
            </w:r>
          </w:p>
        </w:tc>
        <w:tc>
          <w:tcPr>
            <w:tcW w:w="708"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1,000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1,200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3,000 </w:t>
            </w:r>
          </w:p>
        </w:tc>
        <w:tc>
          <w:tcPr>
            <w:tcW w:w="708"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3,000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4,000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4,000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4,000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4,000 </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tcPr>
          <w:p w:rsidR="00D4339C" w:rsidRPr="00D55DC6" w:rsidRDefault="00D4339C" w:rsidP="0038165F">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玄光寺廣場設施出租</w:t>
            </w:r>
          </w:p>
        </w:tc>
        <w:tc>
          <w:tcPr>
            <w:tcW w:w="708"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180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180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184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187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191 </w:t>
            </w:r>
          </w:p>
        </w:tc>
        <w:tc>
          <w:tcPr>
            <w:tcW w:w="708"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195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199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203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207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211 </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tcPr>
          <w:p w:rsidR="00D4339C" w:rsidRPr="00D55DC6" w:rsidRDefault="00D4339C" w:rsidP="0038165F">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慈恩塔公園出租案</w:t>
            </w:r>
          </w:p>
        </w:tc>
        <w:tc>
          <w:tcPr>
            <w:tcW w:w="708"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180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180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180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180 </w:t>
            </w:r>
          </w:p>
        </w:tc>
        <w:tc>
          <w:tcPr>
            <w:tcW w:w="708"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180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180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180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180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180 </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D4339C" w:rsidRPr="00D55DC6" w:rsidRDefault="00D4339C" w:rsidP="0038165F">
            <w:pPr>
              <w:widowControl/>
              <w:rPr>
                <w:rFonts w:eastAsia="標楷體"/>
                <w:kern w:val="0"/>
                <w:sz w:val="20"/>
                <w:szCs w:val="20"/>
              </w:rPr>
            </w:pPr>
            <w:r w:rsidRPr="00D55DC6">
              <w:rPr>
                <w:rFonts w:eastAsia="標楷體"/>
                <w:kern w:val="0"/>
                <w:sz w:val="20"/>
                <w:szCs w:val="20"/>
              </w:rPr>
              <w:t>三、規劃新增收益計畫</w:t>
            </w:r>
          </w:p>
        </w:tc>
        <w:tc>
          <w:tcPr>
            <w:tcW w:w="708"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000000" w:fill="DAEEF3"/>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7,435 </w:t>
            </w:r>
          </w:p>
        </w:tc>
        <w:tc>
          <w:tcPr>
            <w:tcW w:w="709" w:type="dxa"/>
            <w:tcBorders>
              <w:top w:val="nil"/>
              <w:left w:val="nil"/>
              <w:bottom w:val="single" w:sz="4" w:space="0" w:color="auto"/>
              <w:right w:val="single" w:sz="4" w:space="0" w:color="auto"/>
            </w:tcBorders>
            <w:shd w:val="clear" w:color="000000" w:fill="DAEEF3"/>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31,450 </w:t>
            </w:r>
          </w:p>
        </w:tc>
        <w:tc>
          <w:tcPr>
            <w:tcW w:w="709" w:type="dxa"/>
            <w:tcBorders>
              <w:top w:val="nil"/>
              <w:left w:val="nil"/>
              <w:bottom w:val="single" w:sz="4" w:space="0" w:color="auto"/>
              <w:right w:val="single" w:sz="4" w:space="0" w:color="auto"/>
            </w:tcBorders>
            <w:shd w:val="clear" w:color="000000" w:fill="DAEEF3"/>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32,076 </w:t>
            </w:r>
          </w:p>
        </w:tc>
        <w:tc>
          <w:tcPr>
            <w:tcW w:w="709" w:type="dxa"/>
            <w:tcBorders>
              <w:top w:val="nil"/>
              <w:left w:val="nil"/>
              <w:bottom w:val="single" w:sz="4" w:space="0" w:color="auto"/>
              <w:right w:val="single" w:sz="4" w:space="0" w:color="auto"/>
            </w:tcBorders>
            <w:shd w:val="clear" w:color="000000" w:fill="DAEEF3"/>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64,215 </w:t>
            </w:r>
          </w:p>
        </w:tc>
        <w:tc>
          <w:tcPr>
            <w:tcW w:w="708" w:type="dxa"/>
            <w:tcBorders>
              <w:top w:val="nil"/>
              <w:left w:val="nil"/>
              <w:bottom w:val="single" w:sz="4" w:space="0" w:color="auto"/>
              <w:right w:val="single" w:sz="4" w:space="0" w:color="auto"/>
            </w:tcBorders>
            <w:shd w:val="clear" w:color="000000" w:fill="DAEEF3"/>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40,890 </w:t>
            </w:r>
          </w:p>
        </w:tc>
        <w:tc>
          <w:tcPr>
            <w:tcW w:w="709" w:type="dxa"/>
            <w:tcBorders>
              <w:top w:val="nil"/>
              <w:left w:val="nil"/>
              <w:bottom w:val="single" w:sz="4" w:space="0" w:color="auto"/>
              <w:right w:val="single" w:sz="4" w:space="0" w:color="auto"/>
            </w:tcBorders>
            <w:shd w:val="clear" w:color="000000" w:fill="DAEEF3"/>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41,705 </w:t>
            </w:r>
          </w:p>
        </w:tc>
        <w:tc>
          <w:tcPr>
            <w:tcW w:w="709" w:type="dxa"/>
            <w:tcBorders>
              <w:top w:val="nil"/>
              <w:left w:val="nil"/>
              <w:bottom w:val="single" w:sz="4" w:space="0" w:color="auto"/>
              <w:right w:val="single" w:sz="4" w:space="0" w:color="auto"/>
            </w:tcBorders>
            <w:shd w:val="clear" w:color="000000" w:fill="DAEEF3"/>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42,539 </w:t>
            </w:r>
          </w:p>
        </w:tc>
        <w:tc>
          <w:tcPr>
            <w:tcW w:w="709" w:type="dxa"/>
            <w:tcBorders>
              <w:top w:val="nil"/>
              <w:left w:val="nil"/>
              <w:bottom w:val="single" w:sz="4" w:space="0" w:color="auto"/>
              <w:right w:val="single" w:sz="4" w:space="0" w:color="auto"/>
            </w:tcBorders>
            <w:shd w:val="clear" w:color="000000" w:fill="DAEEF3"/>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45,890 </w:t>
            </w:r>
          </w:p>
        </w:tc>
        <w:tc>
          <w:tcPr>
            <w:tcW w:w="709" w:type="dxa"/>
            <w:tcBorders>
              <w:top w:val="nil"/>
              <w:left w:val="nil"/>
              <w:bottom w:val="single" w:sz="4" w:space="0" w:color="auto"/>
              <w:right w:val="single" w:sz="4" w:space="0" w:color="auto"/>
            </w:tcBorders>
            <w:shd w:val="clear" w:color="000000" w:fill="DAEEF3"/>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46,808 </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D4339C" w:rsidRPr="00D55DC6" w:rsidRDefault="00D4339C" w:rsidP="0038165F">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碼頭管理與清潔費收益</w:t>
            </w:r>
          </w:p>
        </w:tc>
        <w:tc>
          <w:tcPr>
            <w:tcW w:w="708"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7,435 </w:t>
            </w:r>
          </w:p>
        </w:tc>
        <w:tc>
          <w:tcPr>
            <w:tcW w:w="709" w:type="dxa"/>
            <w:tcBorders>
              <w:top w:val="nil"/>
              <w:left w:val="nil"/>
              <w:bottom w:val="single" w:sz="4" w:space="0" w:color="auto"/>
              <w:right w:val="single" w:sz="4" w:space="0" w:color="auto"/>
            </w:tcBorders>
            <w:shd w:val="clear" w:color="auto" w:fill="auto"/>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31,300 </w:t>
            </w:r>
          </w:p>
        </w:tc>
        <w:tc>
          <w:tcPr>
            <w:tcW w:w="709" w:type="dxa"/>
            <w:tcBorders>
              <w:top w:val="nil"/>
              <w:left w:val="nil"/>
              <w:bottom w:val="single" w:sz="4" w:space="0" w:color="auto"/>
              <w:right w:val="single" w:sz="4" w:space="0" w:color="auto"/>
            </w:tcBorders>
            <w:shd w:val="clear" w:color="auto" w:fill="auto"/>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31,926 </w:t>
            </w:r>
          </w:p>
        </w:tc>
        <w:tc>
          <w:tcPr>
            <w:tcW w:w="709" w:type="dxa"/>
            <w:tcBorders>
              <w:top w:val="nil"/>
              <w:left w:val="nil"/>
              <w:bottom w:val="single" w:sz="4" w:space="0" w:color="auto"/>
              <w:right w:val="single" w:sz="4" w:space="0" w:color="auto"/>
            </w:tcBorders>
            <w:shd w:val="clear" w:color="auto" w:fill="auto"/>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32,565 </w:t>
            </w:r>
          </w:p>
        </w:tc>
        <w:tc>
          <w:tcPr>
            <w:tcW w:w="708" w:type="dxa"/>
            <w:tcBorders>
              <w:top w:val="nil"/>
              <w:left w:val="nil"/>
              <w:bottom w:val="single" w:sz="4" w:space="0" w:color="auto"/>
              <w:right w:val="single" w:sz="4" w:space="0" w:color="auto"/>
            </w:tcBorders>
            <w:shd w:val="clear" w:color="auto" w:fill="auto"/>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33,216 </w:t>
            </w:r>
          </w:p>
        </w:tc>
        <w:tc>
          <w:tcPr>
            <w:tcW w:w="709" w:type="dxa"/>
            <w:tcBorders>
              <w:top w:val="nil"/>
              <w:left w:val="nil"/>
              <w:bottom w:val="single" w:sz="4" w:space="0" w:color="auto"/>
              <w:right w:val="single" w:sz="4" w:space="0" w:color="auto"/>
            </w:tcBorders>
            <w:shd w:val="clear" w:color="auto" w:fill="auto"/>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33,880 </w:t>
            </w:r>
          </w:p>
        </w:tc>
        <w:tc>
          <w:tcPr>
            <w:tcW w:w="709" w:type="dxa"/>
            <w:tcBorders>
              <w:top w:val="nil"/>
              <w:left w:val="nil"/>
              <w:bottom w:val="single" w:sz="4" w:space="0" w:color="auto"/>
              <w:right w:val="single" w:sz="4" w:space="0" w:color="auto"/>
            </w:tcBorders>
            <w:shd w:val="clear" w:color="auto" w:fill="auto"/>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34,558 </w:t>
            </w:r>
          </w:p>
        </w:tc>
        <w:tc>
          <w:tcPr>
            <w:tcW w:w="709" w:type="dxa"/>
            <w:tcBorders>
              <w:top w:val="nil"/>
              <w:left w:val="nil"/>
              <w:bottom w:val="single" w:sz="4" w:space="0" w:color="auto"/>
              <w:right w:val="single" w:sz="4" w:space="0" w:color="auto"/>
            </w:tcBorders>
            <w:shd w:val="clear" w:color="auto" w:fill="auto"/>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35,249 </w:t>
            </w:r>
          </w:p>
        </w:tc>
        <w:tc>
          <w:tcPr>
            <w:tcW w:w="709" w:type="dxa"/>
            <w:tcBorders>
              <w:top w:val="nil"/>
              <w:left w:val="nil"/>
              <w:bottom w:val="single" w:sz="4" w:space="0" w:color="auto"/>
              <w:right w:val="single" w:sz="4" w:space="0" w:color="auto"/>
            </w:tcBorders>
            <w:shd w:val="clear" w:color="auto" w:fill="auto"/>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35,954 </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D4339C" w:rsidRPr="00D55DC6" w:rsidRDefault="00D4339C" w:rsidP="0038165F">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向山觀光旅館</w:t>
            </w:r>
            <w:r w:rsidRPr="00D55DC6">
              <w:rPr>
                <w:rFonts w:eastAsia="標楷體"/>
                <w:kern w:val="0"/>
                <w:sz w:val="20"/>
                <w:szCs w:val="20"/>
              </w:rPr>
              <w:t>BOT</w:t>
            </w:r>
            <w:r w:rsidRPr="00D55DC6">
              <w:rPr>
                <w:rFonts w:eastAsia="標楷體"/>
                <w:kern w:val="0"/>
                <w:sz w:val="20"/>
                <w:szCs w:val="20"/>
              </w:rPr>
              <w:t>案</w:t>
            </w:r>
          </w:p>
        </w:tc>
        <w:tc>
          <w:tcPr>
            <w:tcW w:w="708"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6,500 </w:t>
            </w:r>
          </w:p>
        </w:tc>
        <w:tc>
          <w:tcPr>
            <w:tcW w:w="708"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6,630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6,763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6,898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7,036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7,177 </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D4339C" w:rsidRPr="00D55DC6" w:rsidRDefault="00D4339C" w:rsidP="0038165F">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向山</w:t>
            </w:r>
            <w:r w:rsidRPr="00D55DC6">
              <w:rPr>
                <w:rFonts w:eastAsia="標楷體"/>
                <w:kern w:val="0"/>
                <w:sz w:val="20"/>
                <w:szCs w:val="20"/>
              </w:rPr>
              <w:t>-</w:t>
            </w:r>
            <w:r w:rsidRPr="00D55DC6">
              <w:rPr>
                <w:rFonts w:eastAsia="標楷體"/>
                <w:kern w:val="0"/>
                <w:sz w:val="20"/>
                <w:szCs w:val="20"/>
              </w:rPr>
              <w:t>車埕觀光纜車</w:t>
            </w:r>
            <w:r w:rsidRPr="00D55DC6">
              <w:rPr>
                <w:rFonts w:eastAsia="標楷體"/>
                <w:kern w:val="0"/>
                <w:sz w:val="20"/>
                <w:szCs w:val="20"/>
              </w:rPr>
              <w:t>BOT</w:t>
            </w:r>
          </w:p>
        </w:tc>
        <w:tc>
          <w:tcPr>
            <w:tcW w:w="708"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ind w:right="20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25,000 </w:t>
            </w:r>
          </w:p>
        </w:tc>
        <w:tc>
          <w:tcPr>
            <w:tcW w:w="708"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2,500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2,550 </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D4339C" w:rsidRPr="00D55DC6" w:rsidRDefault="00D4339C" w:rsidP="0038165F">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水里聯勤基地</w:t>
            </w:r>
            <w:r w:rsidRPr="00D55DC6">
              <w:rPr>
                <w:rFonts w:eastAsia="標楷體"/>
                <w:kern w:val="0"/>
                <w:sz w:val="20"/>
                <w:szCs w:val="20"/>
              </w:rPr>
              <w:t>BOT</w:t>
            </w:r>
          </w:p>
        </w:tc>
        <w:tc>
          <w:tcPr>
            <w:tcW w:w="708"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150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150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150 </w:t>
            </w:r>
          </w:p>
        </w:tc>
        <w:tc>
          <w:tcPr>
            <w:tcW w:w="708"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150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150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153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156 </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159 </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D4339C" w:rsidRPr="00D55DC6" w:rsidRDefault="00D4339C" w:rsidP="0038165F">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觀光事業開發回饋</w:t>
            </w:r>
          </w:p>
        </w:tc>
        <w:tc>
          <w:tcPr>
            <w:tcW w:w="708"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8" w:type="dxa"/>
            <w:tcBorders>
              <w:top w:val="nil"/>
              <w:left w:val="nil"/>
              <w:bottom w:val="single" w:sz="4" w:space="0" w:color="auto"/>
              <w:right w:val="single" w:sz="4" w:space="0" w:color="auto"/>
            </w:tcBorders>
            <w:shd w:val="clear" w:color="auto" w:fill="auto"/>
            <w:noWrap/>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D4339C" w:rsidRPr="00D55DC6" w:rsidRDefault="00D4339C" w:rsidP="0038165F">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觀光旅館營業許可</w:t>
            </w:r>
          </w:p>
        </w:tc>
        <w:tc>
          <w:tcPr>
            <w:tcW w:w="708"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ind w:right="20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D4339C" w:rsidRPr="00D55DC6" w:rsidRDefault="00D4339C" w:rsidP="0038165F">
            <w:pPr>
              <w:widowControl/>
              <w:jc w:val="center"/>
              <w:rPr>
                <w:rFonts w:eastAsia="標楷體"/>
                <w:kern w:val="0"/>
                <w:sz w:val="20"/>
                <w:szCs w:val="20"/>
              </w:rPr>
            </w:pPr>
            <w:r w:rsidRPr="00D55DC6">
              <w:rPr>
                <w:rFonts w:eastAsia="標楷體"/>
                <w:kern w:val="0"/>
                <w:sz w:val="20"/>
                <w:szCs w:val="20"/>
              </w:rPr>
              <w:t>-</w:t>
            </w:r>
          </w:p>
        </w:tc>
        <w:tc>
          <w:tcPr>
            <w:tcW w:w="708" w:type="dxa"/>
            <w:tcBorders>
              <w:top w:val="nil"/>
              <w:left w:val="nil"/>
              <w:bottom w:val="single" w:sz="4" w:space="0" w:color="auto"/>
              <w:right w:val="single" w:sz="4" w:space="0" w:color="auto"/>
            </w:tcBorders>
            <w:shd w:val="clear" w:color="auto" w:fill="auto"/>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894 </w:t>
            </w:r>
          </w:p>
        </w:tc>
        <w:tc>
          <w:tcPr>
            <w:tcW w:w="709" w:type="dxa"/>
            <w:tcBorders>
              <w:top w:val="nil"/>
              <w:left w:val="nil"/>
              <w:bottom w:val="single" w:sz="4" w:space="0" w:color="auto"/>
              <w:right w:val="single" w:sz="4" w:space="0" w:color="auto"/>
            </w:tcBorders>
            <w:shd w:val="clear" w:color="auto" w:fill="auto"/>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912 </w:t>
            </w:r>
          </w:p>
        </w:tc>
        <w:tc>
          <w:tcPr>
            <w:tcW w:w="709" w:type="dxa"/>
            <w:tcBorders>
              <w:top w:val="nil"/>
              <w:left w:val="nil"/>
              <w:bottom w:val="single" w:sz="4" w:space="0" w:color="auto"/>
              <w:right w:val="single" w:sz="4" w:space="0" w:color="auto"/>
            </w:tcBorders>
            <w:shd w:val="clear" w:color="auto" w:fill="auto"/>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930 </w:t>
            </w:r>
          </w:p>
        </w:tc>
        <w:tc>
          <w:tcPr>
            <w:tcW w:w="709" w:type="dxa"/>
            <w:tcBorders>
              <w:top w:val="nil"/>
              <w:left w:val="nil"/>
              <w:bottom w:val="single" w:sz="4" w:space="0" w:color="auto"/>
              <w:right w:val="single" w:sz="4" w:space="0" w:color="auto"/>
            </w:tcBorders>
            <w:shd w:val="clear" w:color="auto" w:fill="auto"/>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949 </w:t>
            </w:r>
          </w:p>
        </w:tc>
        <w:tc>
          <w:tcPr>
            <w:tcW w:w="709" w:type="dxa"/>
            <w:tcBorders>
              <w:top w:val="nil"/>
              <w:left w:val="nil"/>
              <w:bottom w:val="single" w:sz="4" w:space="0" w:color="auto"/>
              <w:right w:val="single" w:sz="4" w:space="0" w:color="auto"/>
            </w:tcBorders>
            <w:shd w:val="clear" w:color="auto" w:fill="auto"/>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 968 </w:t>
            </w:r>
          </w:p>
        </w:tc>
      </w:tr>
      <w:tr w:rsidR="001D0350" w:rsidRPr="00D55DC6" w:rsidTr="00144178">
        <w:trPr>
          <w:trHeight w:val="345"/>
        </w:trPr>
        <w:tc>
          <w:tcPr>
            <w:tcW w:w="2552" w:type="dxa"/>
            <w:tcBorders>
              <w:top w:val="nil"/>
              <w:left w:val="single" w:sz="4" w:space="0" w:color="auto"/>
              <w:bottom w:val="double" w:sz="6" w:space="0" w:color="auto"/>
              <w:right w:val="single" w:sz="4" w:space="0" w:color="auto"/>
            </w:tcBorders>
            <w:shd w:val="clear" w:color="000000" w:fill="D9D9D9"/>
            <w:noWrap/>
            <w:vAlign w:val="center"/>
          </w:tcPr>
          <w:p w:rsidR="00D4339C" w:rsidRPr="00D55DC6" w:rsidRDefault="00D4339C" w:rsidP="0038165F">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合</w:t>
            </w:r>
            <w:r w:rsidRPr="00D55DC6">
              <w:rPr>
                <w:rFonts w:eastAsia="標楷體"/>
                <w:kern w:val="0"/>
                <w:sz w:val="20"/>
                <w:szCs w:val="20"/>
              </w:rPr>
              <w:t xml:space="preserve">          </w:t>
            </w:r>
            <w:r w:rsidRPr="00D55DC6">
              <w:rPr>
                <w:rFonts w:eastAsia="標楷體"/>
                <w:kern w:val="0"/>
                <w:sz w:val="20"/>
                <w:szCs w:val="20"/>
              </w:rPr>
              <w:t>計</w:t>
            </w:r>
          </w:p>
        </w:tc>
        <w:tc>
          <w:tcPr>
            <w:tcW w:w="708" w:type="dxa"/>
            <w:tcBorders>
              <w:top w:val="nil"/>
              <w:left w:val="nil"/>
              <w:bottom w:val="double" w:sz="6" w:space="0" w:color="auto"/>
              <w:right w:val="single" w:sz="4" w:space="0" w:color="auto"/>
            </w:tcBorders>
            <w:shd w:val="clear" w:color="000000" w:fill="E4DFEC"/>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17,668 </w:t>
            </w:r>
          </w:p>
        </w:tc>
        <w:tc>
          <w:tcPr>
            <w:tcW w:w="709" w:type="dxa"/>
            <w:tcBorders>
              <w:top w:val="nil"/>
              <w:left w:val="nil"/>
              <w:bottom w:val="double" w:sz="6" w:space="0" w:color="auto"/>
              <w:right w:val="single" w:sz="4" w:space="0" w:color="auto"/>
            </w:tcBorders>
            <w:shd w:val="clear" w:color="000000" w:fill="E4DFEC"/>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25,289 </w:t>
            </w:r>
          </w:p>
        </w:tc>
        <w:tc>
          <w:tcPr>
            <w:tcW w:w="709" w:type="dxa"/>
            <w:tcBorders>
              <w:top w:val="nil"/>
              <w:left w:val="nil"/>
              <w:bottom w:val="double" w:sz="6" w:space="0" w:color="auto"/>
              <w:right w:val="single" w:sz="4" w:space="0" w:color="auto"/>
            </w:tcBorders>
            <w:shd w:val="clear" w:color="000000" w:fill="E4DFEC"/>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50,333 </w:t>
            </w:r>
          </w:p>
        </w:tc>
        <w:tc>
          <w:tcPr>
            <w:tcW w:w="709" w:type="dxa"/>
            <w:tcBorders>
              <w:top w:val="nil"/>
              <w:left w:val="nil"/>
              <w:bottom w:val="double" w:sz="6" w:space="0" w:color="auto"/>
              <w:right w:val="single" w:sz="4" w:space="0" w:color="auto"/>
            </w:tcBorders>
            <w:shd w:val="clear" w:color="000000" w:fill="E4DFEC"/>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51,467 </w:t>
            </w:r>
          </w:p>
        </w:tc>
        <w:tc>
          <w:tcPr>
            <w:tcW w:w="709" w:type="dxa"/>
            <w:tcBorders>
              <w:top w:val="nil"/>
              <w:left w:val="nil"/>
              <w:bottom w:val="double" w:sz="6" w:space="0" w:color="auto"/>
              <w:right w:val="single" w:sz="4" w:space="0" w:color="auto"/>
            </w:tcBorders>
            <w:shd w:val="clear" w:color="000000" w:fill="E4DFEC"/>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85,477 </w:t>
            </w:r>
          </w:p>
        </w:tc>
        <w:tc>
          <w:tcPr>
            <w:tcW w:w="708" w:type="dxa"/>
            <w:tcBorders>
              <w:top w:val="nil"/>
              <w:left w:val="nil"/>
              <w:bottom w:val="double" w:sz="6" w:space="0" w:color="auto"/>
              <w:right w:val="single" w:sz="4" w:space="0" w:color="auto"/>
            </w:tcBorders>
            <w:shd w:val="clear" w:color="000000" w:fill="E4DFEC"/>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62,926 </w:t>
            </w:r>
          </w:p>
        </w:tc>
        <w:tc>
          <w:tcPr>
            <w:tcW w:w="709" w:type="dxa"/>
            <w:tcBorders>
              <w:top w:val="nil"/>
              <w:left w:val="nil"/>
              <w:bottom w:val="double" w:sz="6" w:space="0" w:color="auto"/>
              <w:right w:val="single" w:sz="4" w:space="0" w:color="auto"/>
            </w:tcBorders>
            <w:shd w:val="clear" w:color="000000" w:fill="E4DFEC"/>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65,040 </w:t>
            </w:r>
          </w:p>
        </w:tc>
        <w:tc>
          <w:tcPr>
            <w:tcW w:w="709" w:type="dxa"/>
            <w:tcBorders>
              <w:top w:val="nil"/>
              <w:left w:val="nil"/>
              <w:bottom w:val="double" w:sz="6" w:space="0" w:color="auto"/>
              <w:right w:val="single" w:sz="4" w:space="0" w:color="auto"/>
            </w:tcBorders>
            <w:shd w:val="clear" w:color="000000" w:fill="E4DFEC"/>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66,026 </w:t>
            </w:r>
          </w:p>
        </w:tc>
        <w:tc>
          <w:tcPr>
            <w:tcW w:w="709" w:type="dxa"/>
            <w:tcBorders>
              <w:top w:val="nil"/>
              <w:left w:val="nil"/>
              <w:bottom w:val="double" w:sz="6" w:space="0" w:color="auto"/>
              <w:right w:val="single" w:sz="4" w:space="0" w:color="auto"/>
            </w:tcBorders>
            <w:shd w:val="clear" w:color="000000" w:fill="E4DFEC"/>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63,832 </w:t>
            </w:r>
          </w:p>
        </w:tc>
        <w:tc>
          <w:tcPr>
            <w:tcW w:w="709" w:type="dxa"/>
            <w:tcBorders>
              <w:top w:val="nil"/>
              <w:left w:val="nil"/>
              <w:bottom w:val="double" w:sz="6" w:space="0" w:color="auto"/>
              <w:right w:val="single" w:sz="4" w:space="0" w:color="auto"/>
            </w:tcBorders>
            <w:shd w:val="clear" w:color="000000" w:fill="E4DFEC"/>
            <w:noWrap/>
          </w:tcPr>
          <w:p w:rsidR="00D4339C" w:rsidRPr="00D55DC6" w:rsidRDefault="00D4339C" w:rsidP="0038165F">
            <w:pPr>
              <w:widowControl/>
              <w:jc w:val="right"/>
              <w:rPr>
                <w:rFonts w:eastAsia="標楷體"/>
                <w:kern w:val="0"/>
                <w:sz w:val="20"/>
                <w:szCs w:val="20"/>
              </w:rPr>
            </w:pPr>
            <w:r w:rsidRPr="00D55DC6">
              <w:rPr>
                <w:rFonts w:eastAsia="標楷體"/>
                <w:kern w:val="0"/>
                <w:sz w:val="20"/>
                <w:szCs w:val="20"/>
              </w:rPr>
              <w:t xml:space="preserve">64,607 </w:t>
            </w:r>
          </w:p>
        </w:tc>
      </w:tr>
    </w:tbl>
    <w:p w:rsidR="000A1530" w:rsidRPr="00D55DC6" w:rsidRDefault="000A1530" w:rsidP="009D33BA">
      <w:pPr>
        <w:spacing w:beforeLines="50" w:before="180"/>
        <w:ind w:rightChars="-435" w:right="-1044"/>
        <w:rPr>
          <w:rFonts w:eastAsia="標楷體"/>
        </w:rPr>
      </w:pPr>
    </w:p>
    <w:p w:rsidR="00D4339C" w:rsidRPr="00D55DC6" w:rsidRDefault="00D4339C" w:rsidP="009D33BA">
      <w:pPr>
        <w:spacing w:beforeLines="50" w:before="180"/>
        <w:ind w:rightChars="-435" w:right="-1044"/>
      </w:pPr>
      <w:r w:rsidRPr="00D55DC6">
        <w:rPr>
          <w:rFonts w:eastAsia="標楷體"/>
        </w:rPr>
        <w:t xml:space="preserve"> (</w:t>
      </w:r>
      <w:r w:rsidRPr="00D55DC6">
        <w:rPr>
          <w:rFonts w:eastAsia="標楷體"/>
        </w:rPr>
        <w:t>續</w:t>
      </w:r>
      <w:r w:rsidRPr="00D55DC6">
        <w:rPr>
          <w:rFonts w:eastAsia="標楷體"/>
        </w:rPr>
        <w:t>)</w:t>
      </w:r>
      <w:r w:rsidRPr="00D55DC6">
        <w:t xml:space="preserve"> </w:t>
      </w:r>
    </w:p>
    <w:tbl>
      <w:tblPr>
        <w:tblW w:w="10065" w:type="dxa"/>
        <w:tblInd w:w="28" w:type="dxa"/>
        <w:tblLayout w:type="fixed"/>
        <w:tblCellMar>
          <w:left w:w="28" w:type="dxa"/>
          <w:right w:w="28" w:type="dxa"/>
        </w:tblCellMar>
        <w:tblLook w:val="04A0" w:firstRow="1" w:lastRow="0" w:firstColumn="1" w:lastColumn="0" w:noHBand="0" w:noVBand="1"/>
      </w:tblPr>
      <w:tblGrid>
        <w:gridCol w:w="2552"/>
        <w:gridCol w:w="657"/>
        <w:gridCol w:w="657"/>
        <w:gridCol w:w="657"/>
        <w:gridCol w:w="658"/>
        <w:gridCol w:w="657"/>
        <w:gridCol w:w="657"/>
        <w:gridCol w:w="657"/>
        <w:gridCol w:w="658"/>
        <w:gridCol w:w="657"/>
        <w:gridCol w:w="657"/>
        <w:gridCol w:w="941"/>
      </w:tblGrid>
      <w:tr w:rsidR="001D0350" w:rsidRPr="00D55DC6" w:rsidTr="00144178">
        <w:trPr>
          <w:trHeight w:val="585"/>
          <w:tblHeader/>
        </w:trPr>
        <w:tc>
          <w:tcPr>
            <w:tcW w:w="2552" w:type="dxa"/>
            <w:tcBorders>
              <w:top w:val="single" w:sz="4" w:space="0" w:color="auto"/>
              <w:left w:val="single" w:sz="4" w:space="0" w:color="auto"/>
              <w:bottom w:val="double" w:sz="6" w:space="0" w:color="auto"/>
              <w:right w:val="single" w:sz="4" w:space="0" w:color="auto"/>
            </w:tcBorders>
            <w:shd w:val="clear" w:color="000000" w:fill="FFCC00"/>
            <w:vAlign w:val="center"/>
          </w:tcPr>
          <w:p w:rsidR="00D4339C" w:rsidRPr="00D55DC6" w:rsidRDefault="00D4339C" w:rsidP="000A1530">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2"/>
                <w:szCs w:val="20"/>
              </w:rPr>
              <w:t xml:space="preserve">　　年度</w:t>
            </w:r>
            <w:r w:rsidRPr="00D55DC6">
              <w:rPr>
                <w:rFonts w:eastAsia="標楷體"/>
                <w:kern w:val="0"/>
                <w:sz w:val="22"/>
                <w:szCs w:val="20"/>
              </w:rPr>
              <w:br/>
            </w:r>
            <w:r w:rsidRPr="00D55DC6">
              <w:rPr>
                <w:rFonts w:eastAsia="標楷體"/>
                <w:kern w:val="0"/>
                <w:sz w:val="22"/>
                <w:szCs w:val="20"/>
              </w:rPr>
              <w:t>收益項目</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D4339C" w:rsidRPr="00D55DC6" w:rsidRDefault="00D4339C" w:rsidP="000A1530">
            <w:pPr>
              <w:widowControl/>
              <w:spacing w:line="0" w:lineRule="atLeast"/>
              <w:jc w:val="center"/>
              <w:rPr>
                <w:rFonts w:eastAsia="標楷體"/>
                <w:kern w:val="0"/>
                <w:sz w:val="20"/>
                <w:szCs w:val="20"/>
              </w:rPr>
            </w:pPr>
            <w:r w:rsidRPr="00D55DC6">
              <w:rPr>
                <w:rFonts w:eastAsia="標楷體"/>
                <w:kern w:val="0"/>
                <w:sz w:val="20"/>
                <w:szCs w:val="20"/>
              </w:rPr>
              <w:t>113</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D4339C" w:rsidRPr="00D55DC6" w:rsidRDefault="00D4339C" w:rsidP="000A1530">
            <w:pPr>
              <w:widowControl/>
              <w:spacing w:line="0" w:lineRule="atLeast"/>
              <w:jc w:val="center"/>
              <w:rPr>
                <w:rFonts w:eastAsia="標楷體"/>
                <w:kern w:val="0"/>
                <w:sz w:val="20"/>
                <w:szCs w:val="20"/>
              </w:rPr>
            </w:pPr>
            <w:r w:rsidRPr="00D55DC6">
              <w:rPr>
                <w:rFonts w:eastAsia="標楷體"/>
                <w:kern w:val="0"/>
                <w:sz w:val="20"/>
                <w:szCs w:val="20"/>
              </w:rPr>
              <w:t>114</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D4339C" w:rsidRPr="00D55DC6" w:rsidRDefault="00D4339C" w:rsidP="000A1530">
            <w:pPr>
              <w:widowControl/>
              <w:spacing w:line="0" w:lineRule="atLeast"/>
              <w:jc w:val="center"/>
              <w:rPr>
                <w:rFonts w:eastAsia="標楷體"/>
                <w:kern w:val="0"/>
                <w:sz w:val="20"/>
                <w:szCs w:val="20"/>
              </w:rPr>
            </w:pPr>
            <w:r w:rsidRPr="00D55DC6">
              <w:rPr>
                <w:rFonts w:eastAsia="標楷體"/>
                <w:kern w:val="0"/>
                <w:sz w:val="20"/>
                <w:szCs w:val="20"/>
              </w:rPr>
              <w:t>115</w:t>
            </w:r>
          </w:p>
        </w:tc>
        <w:tc>
          <w:tcPr>
            <w:tcW w:w="658" w:type="dxa"/>
            <w:tcBorders>
              <w:top w:val="single" w:sz="4" w:space="0" w:color="auto"/>
              <w:left w:val="nil"/>
              <w:bottom w:val="double" w:sz="6" w:space="0" w:color="auto"/>
              <w:right w:val="single" w:sz="4" w:space="0" w:color="auto"/>
            </w:tcBorders>
            <w:shd w:val="clear" w:color="000000" w:fill="FFCC00"/>
            <w:noWrap/>
            <w:vAlign w:val="center"/>
          </w:tcPr>
          <w:p w:rsidR="00D4339C" w:rsidRPr="00D55DC6" w:rsidRDefault="00D4339C" w:rsidP="000A1530">
            <w:pPr>
              <w:widowControl/>
              <w:spacing w:line="0" w:lineRule="atLeast"/>
              <w:jc w:val="center"/>
              <w:rPr>
                <w:rFonts w:eastAsia="標楷體"/>
                <w:kern w:val="0"/>
                <w:sz w:val="20"/>
                <w:szCs w:val="20"/>
              </w:rPr>
            </w:pPr>
            <w:r w:rsidRPr="00D55DC6">
              <w:rPr>
                <w:rFonts w:eastAsia="標楷體"/>
                <w:kern w:val="0"/>
                <w:sz w:val="20"/>
                <w:szCs w:val="20"/>
              </w:rPr>
              <w:t>116</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D4339C" w:rsidRPr="00D55DC6" w:rsidRDefault="00D4339C" w:rsidP="000A1530">
            <w:pPr>
              <w:widowControl/>
              <w:spacing w:line="0" w:lineRule="atLeast"/>
              <w:jc w:val="center"/>
              <w:rPr>
                <w:rFonts w:eastAsia="標楷體"/>
                <w:kern w:val="0"/>
                <w:sz w:val="20"/>
                <w:szCs w:val="20"/>
              </w:rPr>
            </w:pPr>
            <w:r w:rsidRPr="00D55DC6">
              <w:rPr>
                <w:rFonts w:eastAsia="標楷體"/>
                <w:kern w:val="0"/>
                <w:sz w:val="20"/>
                <w:szCs w:val="20"/>
              </w:rPr>
              <w:t>117</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D4339C" w:rsidRPr="00D55DC6" w:rsidRDefault="00D4339C" w:rsidP="000A1530">
            <w:pPr>
              <w:widowControl/>
              <w:spacing w:line="0" w:lineRule="atLeast"/>
              <w:jc w:val="center"/>
              <w:rPr>
                <w:rFonts w:eastAsia="標楷體"/>
                <w:kern w:val="0"/>
                <w:sz w:val="20"/>
                <w:szCs w:val="20"/>
              </w:rPr>
            </w:pPr>
            <w:r w:rsidRPr="00D55DC6">
              <w:rPr>
                <w:rFonts w:eastAsia="標楷體"/>
                <w:kern w:val="0"/>
                <w:sz w:val="20"/>
                <w:szCs w:val="20"/>
              </w:rPr>
              <w:t>118</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D4339C" w:rsidRPr="00D55DC6" w:rsidRDefault="00D4339C" w:rsidP="000A1530">
            <w:pPr>
              <w:widowControl/>
              <w:spacing w:line="0" w:lineRule="atLeast"/>
              <w:jc w:val="center"/>
              <w:rPr>
                <w:rFonts w:eastAsia="標楷體"/>
                <w:kern w:val="0"/>
                <w:sz w:val="20"/>
                <w:szCs w:val="20"/>
              </w:rPr>
            </w:pPr>
            <w:r w:rsidRPr="00D55DC6">
              <w:rPr>
                <w:rFonts w:eastAsia="標楷體"/>
                <w:kern w:val="0"/>
                <w:sz w:val="20"/>
                <w:szCs w:val="20"/>
              </w:rPr>
              <w:t>119</w:t>
            </w:r>
          </w:p>
        </w:tc>
        <w:tc>
          <w:tcPr>
            <w:tcW w:w="658" w:type="dxa"/>
            <w:tcBorders>
              <w:top w:val="single" w:sz="4" w:space="0" w:color="auto"/>
              <w:left w:val="nil"/>
              <w:bottom w:val="double" w:sz="6" w:space="0" w:color="auto"/>
              <w:right w:val="single" w:sz="4" w:space="0" w:color="auto"/>
            </w:tcBorders>
            <w:shd w:val="clear" w:color="000000" w:fill="FFCC00"/>
            <w:noWrap/>
            <w:vAlign w:val="center"/>
          </w:tcPr>
          <w:p w:rsidR="00D4339C" w:rsidRPr="00D55DC6" w:rsidRDefault="00D4339C" w:rsidP="000A1530">
            <w:pPr>
              <w:widowControl/>
              <w:spacing w:line="0" w:lineRule="atLeast"/>
              <w:jc w:val="center"/>
              <w:rPr>
                <w:rFonts w:eastAsia="標楷體"/>
                <w:kern w:val="0"/>
                <w:sz w:val="20"/>
                <w:szCs w:val="20"/>
              </w:rPr>
            </w:pPr>
            <w:r w:rsidRPr="00D55DC6">
              <w:rPr>
                <w:rFonts w:eastAsia="標楷體"/>
                <w:kern w:val="0"/>
                <w:sz w:val="20"/>
                <w:szCs w:val="20"/>
              </w:rPr>
              <w:t>120</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D4339C" w:rsidRPr="00D55DC6" w:rsidRDefault="00D4339C" w:rsidP="000A1530">
            <w:pPr>
              <w:widowControl/>
              <w:spacing w:line="0" w:lineRule="atLeast"/>
              <w:jc w:val="center"/>
              <w:rPr>
                <w:rFonts w:eastAsia="標楷體"/>
                <w:kern w:val="0"/>
                <w:sz w:val="20"/>
                <w:szCs w:val="20"/>
              </w:rPr>
            </w:pPr>
            <w:r w:rsidRPr="00D55DC6">
              <w:rPr>
                <w:rFonts w:eastAsia="標楷體"/>
                <w:kern w:val="0"/>
                <w:sz w:val="20"/>
                <w:szCs w:val="20"/>
              </w:rPr>
              <w:t>121</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D4339C" w:rsidRPr="00D55DC6" w:rsidRDefault="00D4339C" w:rsidP="000A1530">
            <w:pPr>
              <w:widowControl/>
              <w:spacing w:line="0" w:lineRule="atLeast"/>
              <w:jc w:val="center"/>
              <w:rPr>
                <w:rFonts w:eastAsia="標楷體"/>
                <w:kern w:val="0"/>
                <w:sz w:val="20"/>
                <w:szCs w:val="20"/>
              </w:rPr>
            </w:pPr>
            <w:r w:rsidRPr="00D55DC6">
              <w:rPr>
                <w:rFonts w:eastAsia="標楷體"/>
                <w:kern w:val="0"/>
                <w:sz w:val="20"/>
                <w:szCs w:val="20"/>
              </w:rPr>
              <w:t>122</w:t>
            </w:r>
          </w:p>
        </w:tc>
        <w:tc>
          <w:tcPr>
            <w:tcW w:w="941" w:type="dxa"/>
            <w:tcBorders>
              <w:top w:val="single" w:sz="4" w:space="0" w:color="auto"/>
              <w:left w:val="nil"/>
              <w:bottom w:val="double" w:sz="6" w:space="0" w:color="auto"/>
              <w:right w:val="single" w:sz="4" w:space="0" w:color="auto"/>
            </w:tcBorders>
            <w:shd w:val="clear" w:color="000000" w:fill="FFCC00"/>
            <w:noWrap/>
            <w:vAlign w:val="center"/>
          </w:tcPr>
          <w:p w:rsidR="00D4339C" w:rsidRPr="00D55DC6" w:rsidRDefault="00D4339C" w:rsidP="000A1530">
            <w:pPr>
              <w:widowControl/>
              <w:spacing w:line="0" w:lineRule="atLeast"/>
              <w:jc w:val="center"/>
              <w:rPr>
                <w:rFonts w:eastAsia="標楷體"/>
                <w:kern w:val="0"/>
                <w:sz w:val="20"/>
                <w:szCs w:val="20"/>
              </w:rPr>
            </w:pPr>
            <w:r w:rsidRPr="00D55DC6">
              <w:rPr>
                <w:rFonts w:eastAsia="標楷體"/>
                <w:kern w:val="0"/>
                <w:sz w:val="20"/>
                <w:szCs w:val="20"/>
              </w:rPr>
              <w:t>合計</w:t>
            </w:r>
          </w:p>
        </w:tc>
      </w:tr>
      <w:tr w:rsidR="001D0350" w:rsidRPr="00D55DC6" w:rsidTr="00144178">
        <w:trPr>
          <w:trHeight w:val="345"/>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D4339C" w:rsidRPr="00D55DC6" w:rsidRDefault="00D4339C" w:rsidP="000A1530">
            <w:pPr>
              <w:widowControl/>
              <w:spacing w:line="0" w:lineRule="atLeast"/>
              <w:rPr>
                <w:rFonts w:eastAsia="標楷體"/>
                <w:kern w:val="0"/>
                <w:sz w:val="20"/>
                <w:szCs w:val="20"/>
              </w:rPr>
            </w:pPr>
            <w:r w:rsidRPr="00D55DC6">
              <w:rPr>
                <w:rFonts w:eastAsia="標楷體"/>
                <w:kern w:val="0"/>
                <w:sz w:val="20"/>
                <w:szCs w:val="20"/>
              </w:rPr>
              <w:t>一、既有出租據點收益</w:t>
            </w:r>
          </w:p>
        </w:tc>
        <w:tc>
          <w:tcPr>
            <w:tcW w:w="657"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13,510 </w:t>
            </w:r>
          </w:p>
        </w:tc>
        <w:tc>
          <w:tcPr>
            <w:tcW w:w="657"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13,612 </w:t>
            </w:r>
          </w:p>
        </w:tc>
        <w:tc>
          <w:tcPr>
            <w:tcW w:w="657"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13,716 </w:t>
            </w:r>
          </w:p>
        </w:tc>
        <w:tc>
          <w:tcPr>
            <w:tcW w:w="658"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13,820 </w:t>
            </w:r>
          </w:p>
        </w:tc>
        <w:tc>
          <w:tcPr>
            <w:tcW w:w="657"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13,926 </w:t>
            </w:r>
          </w:p>
        </w:tc>
        <w:tc>
          <w:tcPr>
            <w:tcW w:w="657"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14,032 </w:t>
            </w:r>
          </w:p>
        </w:tc>
        <w:tc>
          <w:tcPr>
            <w:tcW w:w="657"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14,140 </w:t>
            </w:r>
          </w:p>
        </w:tc>
        <w:tc>
          <w:tcPr>
            <w:tcW w:w="658"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14,248 </w:t>
            </w:r>
          </w:p>
        </w:tc>
        <w:tc>
          <w:tcPr>
            <w:tcW w:w="657"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14,358 </w:t>
            </w:r>
          </w:p>
        </w:tc>
        <w:tc>
          <w:tcPr>
            <w:tcW w:w="657"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14,469 </w:t>
            </w:r>
          </w:p>
        </w:tc>
        <w:tc>
          <w:tcPr>
            <w:tcW w:w="941"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263,434 </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D4339C" w:rsidRPr="00D55DC6" w:rsidRDefault="00D4339C" w:rsidP="000A1530">
            <w:pPr>
              <w:widowControl/>
              <w:spacing w:line="0" w:lineRule="atLeast"/>
              <w:rPr>
                <w:rFonts w:eastAsia="標楷體"/>
                <w:kern w:val="0"/>
                <w:sz w:val="20"/>
                <w:szCs w:val="20"/>
              </w:rPr>
            </w:pPr>
            <w:r w:rsidRPr="00D55DC6">
              <w:rPr>
                <w:rFonts w:eastAsia="標楷體"/>
                <w:kern w:val="0"/>
                <w:sz w:val="20"/>
                <w:szCs w:val="20"/>
              </w:rPr>
              <w:t>二、規劃新設據點收益</w:t>
            </w:r>
          </w:p>
        </w:tc>
        <w:tc>
          <w:tcPr>
            <w:tcW w:w="657"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14,393 </w:t>
            </w:r>
          </w:p>
        </w:tc>
        <w:tc>
          <w:tcPr>
            <w:tcW w:w="657"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12,395 </w:t>
            </w:r>
          </w:p>
        </w:tc>
        <w:tc>
          <w:tcPr>
            <w:tcW w:w="657"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12,397 </w:t>
            </w:r>
          </w:p>
        </w:tc>
        <w:tc>
          <w:tcPr>
            <w:tcW w:w="658"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12,399 </w:t>
            </w:r>
          </w:p>
        </w:tc>
        <w:tc>
          <w:tcPr>
            <w:tcW w:w="657"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12,402 </w:t>
            </w:r>
          </w:p>
        </w:tc>
        <w:tc>
          <w:tcPr>
            <w:tcW w:w="657"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12,404 </w:t>
            </w:r>
          </w:p>
        </w:tc>
        <w:tc>
          <w:tcPr>
            <w:tcW w:w="657"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12,406 </w:t>
            </w:r>
          </w:p>
        </w:tc>
        <w:tc>
          <w:tcPr>
            <w:tcW w:w="658"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12,408 </w:t>
            </w:r>
          </w:p>
        </w:tc>
        <w:tc>
          <w:tcPr>
            <w:tcW w:w="657"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12,411 </w:t>
            </w:r>
          </w:p>
        </w:tc>
        <w:tc>
          <w:tcPr>
            <w:tcW w:w="657"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12,413 </w:t>
            </w:r>
          </w:p>
        </w:tc>
        <w:tc>
          <w:tcPr>
            <w:tcW w:w="941" w:type="dxa"/>
            <w:tcBorders>
              <w:top w:val="nil"/>
              <w:left w:val="nil"/>
              <w:bottom w:val="single" w:sz="4" w:space="0" w:color="auto"/>
              <w:right w:val="single" w:sz="4" w:space="0" w:color="auto"/>
            </w:tcBorders>
            <w:shd w:val="clear" w:color="000000" w:fill="DAEEF3"/>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202,084 </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D4339C" w:rsidRPr="00D55DC6" w:rsidRDefault="00D4339C" w:rsidP="000A1530">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中興停車場</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10,000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8,000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8,000 </w:t>
            </w:r>
          </w:p>
        </w:tc>
        <w:tc>
          <w:tcPr>
            <w:tcW w:w="658"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8,000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8,000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8,000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8,000 </w:t>
            </w:r>
          </w:p>
        </w:tc>
        <w:tc>
          <w:tcPr>
            <w:tcW w:w="658"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8,000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8,000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8,000 </w:t>
            </w:r>
          </w:p>
        </w:tc>
        <w:tc>
          <w:tcPr>
            <w:tcW w:w="941"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130,300 </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D4339C" w:rsidRPr="00D55DC6" w:rsidRDefault="00D4339C" w:rsidP="000A1530">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環潭停車場清潔費</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4,000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4,000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4,000 </w:t>
            </w:r>
          </w:p>
        </w:tc>
        <w:tc>
          <w:tcPr>
            <w:tcW w:w="658"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4,000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4,000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4,000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4,000 </w:t>
            </w:r>
          </w:p>
        </w:tc>
        <w:tc>
          <w:tcPr>
            <w:tcW w:w="658"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4,000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4,000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4,000 </w:t>
            </w:r>
          </w:p>
        </w:tc>
        <w:tc>
          <w:tcPr>
            <w:tcW w:w="941"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64,200 </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tcPr>
          <w:p w:rsidR="00D4339C" w:rsidRPr="00D55DC6" w:rsidRDefault="00D4339C" w:rsidP="000A1530">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玄光寺廣場設施出租</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213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215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217 </w:t>
            </w:r>
          </w:p>
        </w:tc>
        <w:tc>
          <w:tcPr>
            <w:tcW w:w="658"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219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222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224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226 </w:t>
            </w:r>
          </w:p>
        </w:tc>
        <w:tc>
          <w:tcPr>
            <w:tcW w:w="658"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228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231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233 </w:t>
            </w:r>
          </w:p>
        </w:tc>
        <w:tc>
          <w:tcPr>
            <w:tcW w:w="941"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4,164 </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tcPr>
          <w:p w:rsidR="00D4339C" w:rsidRPr="00D55DC6" w:rsidRDefault="00D4339C" w:rsidP="000A1530">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慈恩塔公園出租案</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180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180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180 </w:t>
            </w:r>
          </w:p>
        </w:tc>
        <w:tc>
          <w:tcPr>
            <w:tcW w:w="658"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180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180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180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180 </w:t>
            </w:r>
          </w:p>
        </w:tc>
        <w:tc>
          <w:tcPr>
            <w:tcW w:w="658"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180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180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180 </w:t>
            </w:r>
          </w:p>
        </w:tc>
        <w:tc>
          <w:tcPr>
            <w:tcW w:w="941"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3,420 </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D4339C" w:rsidRPr="00D55DC6" w:rsidRDefault="00D4339C" w:rsidP="000A1530">
            <w:pPr>
              <w:widowControl/>
              <w:spacing w:line="0" w:lineRule="atLeast"/>
              <w:rPr>
                <w:rFonts w:eastAsia="標楷體"/>
                <w:kern w:val="0"/>
                <w:sz w:val="20"/>
                <w:szCs w:val="20"/>
              </w:rPr>
            </w:pPr>
            <w:r w:rsidRPr="00D55DC6">
              <w:rPr>
                <w:rFonts w:eastAsia="標楷體"/>
                <w:kern w:val="0"/>
                <w:sz w:val="20"/>
                <w:szCs w:val="20"/>
              </w:rPr>
              <w:t>三、規劃新增收益計畫</w:t>
            </w:r>
          </w:p>
        </w:tc>
        <w:tc>
          <w:tcPr>
            <w:tcW w:w="657" w:type="dxa"/>
            <w:tcBorders>
              <w:top w:val="nil"/>
              <w:left w:val="nil"/>
              <w:bottom w:val="single" w:sz="4" w:space="0" w:color="auto"/>
              <w:right w:val="single" w:sz="4" w:space="0" w:color="auto"/>
            </w:tcBorders>
            <w:shd w:val="clear" w:color="000000" w:fill="DAEEF3"/>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53,839 </w:t>
            </w:r>
          </w:p>
        </w:tc>
        <w:tc>
          <w:tcPr>
            <w:tcW w:w="657" w:type="dxa"/>
            <w:tcBorders>
              <w:top w:val="nil"/>
              <w:left w:val="nil"/>
              <w:bottom w:val="single" w:sz="4" w:space="0" w:color="auto"/>
              <w:right w:val="single" w:sz="4" w:space="0" w:color="auto"/>
            </w:tcBorders>
            <w:shd w:val="clear" w:color="000000" w:fill="DAEEF3"/>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48,699 </w:t>
            </w:r>
          </w:p>
        </w:tc>
        <w:tc>
          <w:tcPr>
            <w:tcW w:w="657" w:type="dxa"/>
            <w:tcBorders>
              <w:top w:val="nil"/>
              <w:left w:val="nil"/>
              <w:bottom w:val="single" w:sz="4" w:space="0" w:color="auto"/>
              <w:right w:val="single" w:sz="4" w:space="0" w:color="auto"/>
            </w:tcBorders>
            <w:shd w:val="clear" w:color="000000" w:fill="DAEEF3"/>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49,646 </w:t>
            </w:r>
          </w:p>
        </w:tc>
        <w:tc>
          <w:tcPr>
            <w:tcW w:w="658" w:type="dxa"/>
            <w:tcBorders>
              <w:top w:val="nil"/>
              <w:left w:val="nil"/>
              <w:bottom w:val="single" w:sz="4" w:space="0" w:color="auto"/>
              <w:right w:val="single" w:sz="4" w:space="0" w:color="auto"/>
            </w:tcBorders>
            <w:shd w:val="clear" w:color="000000" w:fill="DAEEF3"/>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57,080 </w:t>
            </w:r>
          </w:p>
        </w:tc>
        <w:tc>
          <w:tcPr>
            <w:tcW w:w="657" w:type="dxa"/>
            <w:tcBorders>
              <w:top w:val="nil"/>
              <w:left w:val="nil"/>
              <w:bottom w:val="single" w:sz="4" w:space="0" w:color="auto"/>
              <w:right w:val="single" w:sz="4" w:space="0" w:color="auto"/>
            </w:tcBorders>
            <w:shd w:val="clear" w:color="000000" w:fill="DAEEF3"/>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51,520 </w:t>
            </w:r>
          </w:p>
        </w:tc>
        <w:tc>
          <w:tcPr>
            <w:tcW w:w="657" w:type="dxa"/>
            <w:tcBorders>
              <w:top w:val="nil"/>
              <w:left w:val="nil"/>
              <w:bottom w:val="single" w:sz="4" w:space="0" w:color="auto"/>
              <w:right w:val="single" w:sz="4" w:space="0" w:color="auto"/>
            </w:tcBorders>
            <w:shd w:val="clear" w:color="000000" w:fill="DAEEF3"/>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52,442 </w:t>
            </w:r>
          </w:p>
        </w:tc>
        <w:tc>
          <w:tcPr>
            <w:tcW w:w="657" w:type="dxa"/>
            <w:tcBorders>
              <w:top w:val="nil"/>
              <w:left w:val="nil"/>
              <w:bottom w:val="single" w:sz="4" w:space="0" w:color="auto"/>
              <w:right w:val="single" w:sz="4" w:space="0" w:color="auto"/>
            </w:tcBorders>
            <w:shd w:val="clear" w:color="000000" w:fill="DAEEF3"/>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60,247 </w:t>
            </w:r>
          </w:p>
        </w:tc>
        <w:tc>
          <w:tcPr>
            <w:tcW w:w="658" w:type="dxa"/>
            <w:tcBorders>
              <w:top w:val="nil"/>
              <w:left w:val="nil"/>
              <w:bottom w:val="single" w:sz="4" w:space="0" w:color="auto"/>
              <w:right w:val="single" w:sz="4" w:space="0" w:color="auto"/>
            </w:tcBorders>
            <w:shd w:val="clear" w:color="000000" w:fill="DAEEF3"/>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54,341 </w:t>
            </w:r>
          </w:p>
        </w:tc>
        <w:tc>
          <w:tcPr>
            <w:tcW w:w="657" w:type="dxa"/>
            <w:tcBorders>
              <w:top w:val="nil"/>
              <w:left w:val="nil"/>
              <w:bottom w:val="single" w:sz="4" w:space="0" w:color="auto"/>
              <w:right w:val="single" w:sz="4" w:space="0" w:color="auto"/>
            </w:tcBorders>
            <w:shd w:val="clear" w:color="000000" w:fill="DAEEF3"/>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55,317 </w:t>
            </w:r>
          </w:p>
        </w:tc>
        <w:tc>
          <w:tcPr>
            <w:tcW w:w="657" w:type="dxa"/>
            <w:tcBorders>
              <w:top w:val="nil"/>
              <w:left w:val="nil"/>
              <w:bottom w:val="single" w:sz="4" w:space="0" w:color="auto"/>
              <w:right w:val="single" w:sz="4" w:space="0" w:color="auto"/>
            </w:tcBorders>
            <w:shd w:val="clear" w:color="000000" w:fill="DAEEF3"/>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63,595 </w:t>
            </w:r>
          </w:p>
        </w:tc>
        <w:tc>
          <w:tcPr>
            <w:tcW w:w="941" w:type="dxa"/>
            <w:tcBorders>
              <w:top w:val="nil"/>
              <w:left w:val="nil"/>
              <w:bottom w:val="single" w:sz="4" w:space="0" w:color="auto"/>
              <w:right w:val="single" w:sz="4" w:space="0" w:color="auto"/>
            </w:tcBorders>
            <w:shd w:val="clear" w:color="000000" w:fill="DAEEF3"/>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899,731 </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D4339C" w:rsidRPr="00D55DC6" w:rsidRDefault="00D4339C" w:rsidP="000A1530">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碼頭管理與清潔費收益</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36,673 </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37,406 </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38,155 </w:t>
            </w:r>
          </w:p>
        </w:tc>
        <w:tc>
          <w:tcPr>
            <w:tcW w:w="658"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38,918 </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39,307 </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39,700 </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40,097 </w:t>
            </w:r>
          </w:p>
        </w:tc>
        <w:tc>
          <w:tcPr>
            <w:tcW w:w="658"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40,498 </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40,903 </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41,312 </w:t>
            </w:r>
          </w:p>
        </w:tc>
        <w:tc>
          <w:tcPr>
            <w:tcW w:w="941"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669,049 </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D4339C" w:rsidRPr="00D55DC6" w:rsidRDefault="00D4339C" w:rsidP="000A1530">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向山觀光旅館</w:t>
            </w:r>
            <w:r w:rsidRPr="00D55DC6">
              <w:rPr>
                <w:rFonts w:eastAsia="標楷體"/>
                <w:kern w:val="0"/>
                <w:sz w:val="20"/>
                <w:szCs w:val="20"/>
              </w:rPr>
              <w:t>BOT</w:t>
            </w:r>
            <w:r w:rsidRPr="00D55DC6">
              <w:rPr>
                <w:rFonts w:eastAsia="標楷體"/>
                <w:kern w:val="0"/>
                <w:sz w:val="20"/>
                <w:szCs w:val="20"/>
              </w:rPr>
              <w:t>案</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7,320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7,466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7,616 </w:t>
            </w:r>
          </w:p>
        </w:tc>
        <w:tc>
          <w:tcPr>
            <w:tcW w:w="658"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7,768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7,846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7,924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8,003 </w:t>
            </w:r>
          </w:p>
        </w:tc>
        <w:tc>
          <w:tcPr>
            <w:tcW w:w="658"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8,084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8,164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8,246 </w:t>
            </w:r>
          </w:p>
        </w:tc>
        <w:tc>
          <w:tcPr>
            <w:tcW w:w="941"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119,441 </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D4339C" w:rsidRPr="00D55DC6" w:rsidRDefault="00D4339C" w:rsidP="000A1530">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向山</w:t>
            </w:r>
            <w:r w:rsidRPr="00D55DC6">
              <w:rPr>
                <w:rFonts w:eastAsia="標楷體"/>
                <w:kern w:val="0"/>
                <w:sz w:val="20"/>
                <w:szCs w:val="20"/>
              </w:rPr>
              <w:t>-</w:t>
            </w:r>
            <w:r w:rsidRPr="00D55DC6">
              <w:rPr>
                <w:rFonts w:eastAsia="標楷體"/>
                <w:kern w:val="0"/>
                <w:sz w:val="20"/>
                <w:szCs w:val="20"/>
              </w:rPr>
              <w:t>車埕觀光纜車</w:t>
            </w:r>
            <w:r w:rsidRPr="00D55DC6">
              <w:rPr>
                <w:rFonts w:eastAsia="標楷體"/>
                <w:kern w:val="0"/>
                <w:sz w:val="20"/>
                <w:szCs w:val="20"/>
              </w:rPr>
              <w:t>BOT</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2,601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2,653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2,680 </w:t>
            </w:r>
          </w:p>
        </w:tc>
        <w:tc>
          <w:tcPr>
            <w:tcW w:w="658"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2,706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2,733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2,761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2,788 </w:t>
            </w:r>
          </w:p>
        </w:tc>
        <w:tc>
          <w:tcPr>
            <w:tcW w:w="658"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2,816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2,844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2,873 </w:t>
            </w:r>
          </w:p>
        </w:tc>
        <w:tc>
          <w:tcPr>
            <w:tcW w:w="941"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57,506 </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D4339C" w:rsidRPr="00D55DC6" w:rsidRDefault="00D4339C" w:rsidP="000A1530">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水里聯勤基地</w:t>
            </w:r>
            <w:r w:rsidRPr="00D55DC6">
              <w:rPr>
                <w:rFonts w:eastAsia="標楷體"/>
                <w:kern w:val="0"/>
                <w:sz w:val="20"/>
                <w:szCs w:val="20"/>
              </w:rPr>
              <w:t>BOT</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162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166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169 </w:t>
            </w:r>
          </w:p>
        </w:tc>
        <w:tc>
          <w:tcPr>
            <w:tcW w:w="658"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172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176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178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179 </w:t>
            </w:r>
          </w:p>
        </w:tc>
        <w:tc>
          <w:tcPr>
            <w:tcW w:w="658"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181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183 </w:t>
            </w:r>
          </w:p>
        </w:tc>
        <w:tc>
          <w:tcPr>
            <w:tcW w:w="657"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185 </w:t>
            </w:r>
          </w:p>
        </w:tc>
        <w:tc>
          <w:tcPr>
            <w:tcW w:w="941" w:type="dxa"/>
            <w:tcBorders>
              <w:top w:val="nil"/>
              <w:left w:val="nil"/>
              <w:bottom w:val="single" w:sz="4" w:space="0" w:color="auto"/>
              <w:right w:val="single" w:sz="4" w:space="0" w:color="auto"/>
            </w:tcBorders>
            <w:shd w:val="clear" w:color="auto" w:fill="auto"/>
            <w:noWrap/>
            <w:vAlign w:val="center"/>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2,969 </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D4339C" w:rsidRPr="00D55DC6" w:rsidRDefault="00D4339C" w:rsidP="000A1530">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觀光事業開發回饋</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center"/>
              <w:rPr>
                <w:rFonts w:eastAsia="標楷體"/>
                <w:kern w:val="0"/>
                <w:sz w:val="20"/>
                <w:szCs w:val="20"/>
              </w:rPr>
            </w:pPr>
            <w:r w:rsidRPr="00D55DC6">
              <w:rPr>
                <w:rFonts w:eastAsia="標楷體"/>
                <w:kern w:val="0"/>
                <w:sz w:val="20"/>
                <w:szCs w:val="20"/>
              </w:rPr>
              <w:t xml:space="preserve"> 6,095 </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center"/>
              <w:rPr>
                <w:rFonts w:eastAsia="標楷體"/>
                <w:kern w:val="0"/>
                <w:sz w:val="20"/>
                <w:szCs w:val="20"/>
              </w:rPr>
            </w:pPr>
            <w:r w:rsidRPr="00D55DC6">
              <w:rPr>
                <w:rFonts w:eastAsia="標楷體"/>
                <w:kern w:val="0"/>
                <w:sz w:val="20"/>
                <w:szCs w:val="20"/>
              </w:rPr>
              <w:t xml:space="preserve"> -   </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center"/>
              <w:rPr>
                <w:rFonts w:eastAsia="標楷體"/>
                <w:kern w:val="0"/>
                <w:sz w:val="20"/>
                <w:szCs w:val="20"/>
              </w:rPr>
            </w:pPr>
            <w:r w:rsidRPr="00D55DC6">
              <w:rPr>
                <w:rFonts w:eastAsia="標楷體"/>
                <w:kern w:val="0"/>
                <w:sz w:val="20"/>
                <w:szCs w:val="20"/>
              </w:rPr>
              <w:t xml:space="preserve"> -   </w:t>
            </w:r>
          </w:p>
        </w:tc>
        <w:tc>
          <w:tcPr>
            <w:tcW w:w="658"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center"/>
              <w:rPr>
                <w:rFonts w:eastAsia="標楷體"/>
                <w:kern w:val="0"/>
                <w:sz w:val="20"/>
                <w:szCs w:val="20"/>
              </w:rPr>
            </w:pPr>
            <w:r w:rsidRPr="00D55DC6">
              <w:rPr>
                <w:rFonts w:eastAsia="標楷體"/>
                <w:kern w:val="0"/>
                <w:sz w:val="20"/>
                <w:szCs w:val="20"/>
              </w:rPr>
              <w:t xml:space="preserve"> 6,468 </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center"/>
              <w:rPr>
                <w:rFonts w:eastAsia="標楷體"/>
                <w:kern w:val="0"/>
                <w:sz w:val="20"/>
                <w:szCs w:val="20"/>
              </w:rPr>
            </w:pPr>
            <w:r w:rsidRPr="00D55DC6">
              <w:rPr>
                <w:rFonts w:eastAsia="標楷體"/>
                <w:kern w:val="0"/>
                <w:sz w:val="20"/>
                <w:szCs w:val="20"/>
              </w:rPr>
              <w:t xml:space="preserve"> -   </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center"/>
              <w:rPr>
                <w:rFonts w:eastAsia="標楷體"/>
                <w:kern w:val="0"/>
                <w:sz w:val="20"/>
                <w:szCs w:val="20"/>
              </w:rPr>
            </w:pPr>
            <w:r w:rsidRPr="00D55DC6">
              <w:rPr>
                <w:rFonts w:eastAsia="標楷體"/>
                <w:kern w:val="0"/>
                <w:sz w:val="20"/>
                <w:szCs w:val="20"/>
              </w:rPr>
              <w:t xml:space="preserve"> -   </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center"/>
              <w:rPr>
                <w:rFonts w:eastAsia="標楷體"/>
                <w:kern w:val="0"/>
                <w:sz w:val="20"/>
                <w:szCs w:val="20"/>
              </w:rPr>
            </w:pPr>
            <w:r w:rsidRPr="00D55DC6">
              <w:rPr>
                <w:rFonts w:eastAsia="標楷體"/>
                <w:kern w:val="0"/>
                <w:sz w:val="20"/>
                <w:szCs w:val="20"/>
              </w:rPr>
              <w:t xml:space="preserve"> 6,864 </w:t>
            </w:r>
          </w:p>
        </w:tc>
        <w:tc>
          <w:tcPr>
            <w:tcW w:w="658"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center"/>
              <w:rPr>
                <w:rFonts w:eastAsia="標楷體"/>
                <w:kern w:val="0"/>
                <w:sz w:val="20"/>
                <w:szCs w:val="20"/>
              </w:rPr>
            </w:pPr>
            <w:r w:rsidRPr="00D55DC6">
              <w:rPr>
                <w:rFonts w:eastAsia="標楷體"/>
                <w:kern w:val="0"/>
                <w:sz w:val="20"/>
                <w:szCs w:val="20"/>
              </w:rPr>
              <w:t xml:space="preserve"> -   </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center"/>
              <w:rPr>
                <w:rFonts w:eastAsia="標楷體"/>
                <w:kern w:val="0"/>
                <w:sz w:val="20"/>
                <w:szCs w:val="20"/>
              </w:rPr>
            </w:pPr>
            <w:r w:rsidRPr="00D55DC6">
              <w:rPr>
                <w:rFonts w:eastAsia="標楷體"/>
                <w:kern w:val="0"/>
                <w:sz w:val="20"/>
                <w:szCs w:val="20"/>
              </w:rPr>
              <w:t xml:space="preserve"> -   </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center"/>
              <w:rPr>
                <w:rFonts w:eastAsia="標楷體"/>
                <w:kern w:val="0"/>
                <w:sz w:val="20"/>
                <w:szCs w:val="20"/>
              </w:rPr>
            </w:pPr>
            <w:r w:rsidRPr="00D55DC6">
              <w:rPr>
                <w:rFonts w:eastAsia="標楷體"/>
                <w:kern w:val="0"/>
                <w:sz w:val="20"/>
                <w:szCs w:val="20"/>
              </w:rPr>
              <w:t xml:space="preserve"> 7,284 </w:t>
            </w:r>
          </w:p>
        </w:tc>
        <w:tc>
          <w:tcPr>
            <w:tcW w:w="941"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26,711</w:t>
            </w:r>
          </w:p>
        </w:tc>
      </w:tr>
      <w:tr w:rsidR="001D0350" w:rsidRPr="00D55DC6" w:rsidTr="00144178">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D4339C" w:rsidRPr="00D55DC6" w:rsidRDefault="00D4339C" w:rsidP="000A1530">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觀光旅館營業許可</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987 </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1,007 </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1,027 </w:t>
            </w:r>
          </w:p>
        </w:tc>
        <w:tc>
          <w:tcPr>
            <w:tcW w:w="658"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1,048 </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1,069 </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1,090 </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1,112 </w:t>
            </w:r>
          </w:p>
        </w:tc>
        <w:tc>
          <w:tcPr>
            <w:tcW w:w="658"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1,134 </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1,157 </w:t>
            </w:r>
          </w:p>
        </w:tc>
        <w:tc>
          <w:tcPr>
            <w:tcW w:w="657"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1,180 </w:t>
            </w:r>
          </w:p>
        </w:tc>
        <w:tc>
          <w:tcPr>
            <w:tcW w:w="941" w:type="dxa"/>
            <w:tcBorders>
              <w:top w:val="nil"/>
              <w:left w:val="nil"/>
              <w:bottom w:val="single" w:sz="4" w:space="0" w:color="auto"/>
              <w:right w:val="single" w:sz="4" w:space="0" w:color="auto"/>
            </w:tcBorders>
            <w:shd w:val="clear" w:color="auto" w:fill="auto"/>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 15,465 </w:t>
            </w:r>
          </w:p>
        </w:tc>
      </w:tr>
      <w:tr w:rsidR="001D0350" w:rsidRPr="00D55DC6" w:rsidTr="00144178">
        <w:trPr>
          <w:trHeight w:val="345"/>
        </w:trPr>
        <w:tc>
          <w:tcPr>
            <w:tcW w:w="2552" w:type="dxa"/>
            <w:tcBorders>
              <w:top w:val="nil"/>
              <w:left w:val="single" w:sz="4" w:space="0" w:color="auto"/>
              <w:bottom w:val="double" w:sz="6" w:space="0" w:color="auto"/>
              <w:right w:val="single" w:sz="4" w:space="0" w:color="auto"/>
            </w:tcBorders>
            <w:shd w:val="clear" w:color="000000" w:fill="D9D9D9"/>
            <w:noWrap/>
            <w:vAlign w:val="center"/>
          </w:tcPr>
          <w:p w:rsidR="00D4339C" w:rsidRPr="00D55DC6" w:rsidRDefault="00D4339C" w:rsidP="000A1530">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合</w:t>
            </w:r>
            <w:r w:rsidRPr="00D55DC6">
              <w:rPr>
                <w:rFonts w:eastAsia="標楷體"/>
                <w:kern w:val="0"/>
                <w:sz w:val="20"/>
                <w:szCs w:val="20"/>
              </w:rPr>
              <w:t xml:space="preserve">          </w:t>
            </w:r>
            <w:r w:rsidRPr="00D55DC6">
              <w:rPr>
                <w:rFonts w:eastAsia="標楷體"/>
                <w:kern w:val="0"/>
                <w:sz w:val="20"/>
                <w:szCs w:val="20"/>
              </w:rPr>
              <w:t>計</w:t>
            </w:r>
          </w:p>
        </w:tc>
        <w:tc>
          <w:tcPr>
            <w:tcW w:w="657" w:type="dxa"/>
            <w:tcBorders>
              <w:top w:val="nil"/>
              <w:left w:val="nil"/>
              <w:bottom w:val="double" w:sz="6" w:space="0" w:color="auto"/>
              <w:right w:val="single" w:sz="4" w:space="0" w:color="auto"/>
            </w:tcBorders>
            <w:shd w:val="clear" w:color="000000" w:fill="E4DFEC"/>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81,742 </w:t>
            </w:r>
          </w:p>
        </w:tc>
        <w:tc>
          <w:tcPr>
            <w:tcW w:w="657" w:type="dxa"/>
            <w:tcBorders>
              <w:top w:val="nil"/>
              <w:left w:val="nil"/>
              <w:bottom w:val="double" w:sz="6" w:space="0" w:color="auto"/>
              <w:right w:val="single" w:sz="4" w:space="0" w:color="auto"/>
            </w:tcBorders>
            <w:shd w:val="clear" w:color="000000" w:fill="E4DFEC"/>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74,706 </w:t>
            </w:r>
          </w:p>
        </w:tc>
        <w:tc>
          <w:tcPr>
            <w:tcW w:w="657" w:type="dxa"/>
            <w:tcBorders>
              <w:top w:val="nil"/>
              <w:left w:val="nil"/>
              <w:bottom w:val="double" w:sz="6" w:space="0" w:color="auto"/>
              <w:right w:val="single" w:sz="4" w:space="0" w:color="auto"/>
            </w:tcBorders>
            <w:shd w:val="clear" w:color="000000" w:fill="E4DFEC"/>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75,759 </w:t>
            </w:r>
          </w:p>
        </w:tc>
        <w:tc>
          <w:tcPr>
            <w:tcW w:w="658" w:type="dxa"/>
            <w:tcBorders>
              <w:top w:val="nil"/>
              <w:left w:val="nil"/>
              <w:bottom w:val="double" w:sz="6" w:space="0" w:color="auto"/>
              <w:right w:val="single" w:sz="4" w:space="0" w:color="auto"/>
            </w:tcBorders>
            <w:shd w:val="clear" w:color="000000" w:fill="E4DFEC"/>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83,300 </w:t>
            </w:r>
          </w:p>
        </w:tc>
        <w:tc>
          <w:tcPr>
            <w:tcW w:w="657" w:type="dxa"/>
            <w:tcBorders>
              <w:top w:val="nil"/>
              <w:left w:val="nil"/>
              <w:bottom w:val="double" w:sz="6" w:space="0" w:color="auto"/>
              <w:right w:val="single" w:sz="4" w:space="0" w:color="auto"/>
            </w:tcBorders>
            <w:shd w:val="clear" w:color="000000" w:fill="E4DFEC"/>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77,458 </w:t>
            </w:r>
          </w:p>
        </w:tc>
        <w:tc>
          <w:tcPr>
            <w:tcW w:w="657" w:type="dxa"/>
            <w:tcBorders>
              <w:top w:val="nil"/>
              <w:left w:val="nil"/>
              <w:bottom w:val="double" w:sz="6" w:space="0" w:color="auto"/>
              <w:right w:val="single" w:sz="4" w:space="0" w:color="auto"/>
            </w:tcBorders>
            <w:shd w:val="clear" w:color="000000" w:fill="E4DFEC"/>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78,088 </w:t>
            </w:r>
          </w:p>
        </w:tc>
        <w:tc>
          <w:tcPr>
            <w:tcW w:w="657" w:type="dxa"/>
            <w:tcBorders>
              <w:top w:val="nil"/>
              <w:left w:val="nil"/>
              <w:bottom w:val="double" w:sz="6" w:space="0" w:color="auto"/>
              <w:right w:val="single" w:sz="4" w:space="0" w:color="auto"/>
            </w:tcBorders>
            <w:shd w:val="clear" w:color="000000" w:fill="E4DFEC"/>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85,590 </w:t>
            </w:r>
          </w:p>
        </w:tc>
        <w:tc>
          <w:tcPr>
            <w:tcW w:w="658" w:type="dxa"/>
            <w:tcBorders>
              <w:top w:val="nil"/>
              <w:left w:val="nil"/>
              <w:bottom w:val="double" w:sz="6" w:space="0" w:color="auto"/>
              <w:right w:val="single" w:sz="4" w:space="0" w:color="auto"/>
            </w:tcBorders>
            <w:shd w:val="clear" w:color="000000" w:fill="E4DFEC"/>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79,370 </w:t>
            </w:r>
          </w:p>
        </w:tc>
        <w:tc>
          <w:tcPr>
            <w:tcW w:w="657" w:type="dxa"/>
            <w:tcBorders>
              <w:top w:val="nil"/>
              <w:left w:val="nil"/>
              <w:bottom w:val="double" w:sz="6" w:space="0" w:color="auto"/>
              <w:right w:val="single" w:sz="4" w:space="0" w:color="auto"/>
            </w:tcBorders>
            <w:shd w:val="clear" w:color="000000" w:fill="E4DFEC"/>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80,020 </w:t>
            </w:r>
          </w:p>
        </w:tc>
        <w:tc>
          <w:tcPr>
            <w:tcW w:w="657" w:type="dxa"/>
            <w:tcBorders>
              <w:top w:val="nil"/>
              <w:left w:val="nil"/>
              <w:bottom w:val="double" w:sz="6" w:space="0" w:color="auto"/>
              <w:right w:val="single" w:sz="4" w:space="0" w:color="auto"/>
            </w:tcBorders>
            <w:shd w:val="clear" w:color="000000" w:fill="E4DFEC"/>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20"/>
                <w:szCs w:val="20"/>
              </w:rPr>
              <w:t xml:space="preserve">87,962 </w:t>
            </w:r>
          </w:p>
        </w:tc>
        <w:tc>
          <w:tcPr>
            <w:tcW w:w="941" w:type="dxa"/>
            <w:tcBorders>
              <w:top w:val="nil"/>
              <w:left w:val="nil"/>
              <w:bottom w:val="double" w:sz="6" w:space="0" w:color="auto"/>
              <w:right w:val="single" w:sz="4" w:space="0" w:color="auto"/>
            </w:tcBorders>
            <w:shd w:val="clear" w:color="000000" w:fill="E4DFEC"/>
            <w:noWrap/>
          </w:tcPr>
          <w:p w:rsidR="00D4339C" w:rsidRPr="00D55DC6" w:rsidRDefault="00D4339C" w:rsidP="000A1530">
            <w:pPr>
              <w:widowControl/>
              <w:spacing w:line="0" w:lineRule="atLeast"/>
              <w:jc w:val="right"/>
              <w:rPr>
                <w:rFonts w:eastAsia="標楷體"/>
                <w:kern w:val="0"/>
                <w:sz w:val="20"/>
                <w:szCs w:val="20"/>
              </w:rPr>
            </w:pPr>
            <w:r w:rsidRPr="00D55DC6">
              <w:rPr>
                <w:rFonts w:eastAsia="標楷體"/>
                <w:kern w:val="0"/>
                <w:sz w:val="18"/>
                <w:szCs w:val="20"/>
              </w:rPr>
              <w:t>1,356,659</w:t>
            </w:r>
            <w:r w:rsidRPr="00D55DC6">
              <w:rPr>
                <w:rFonts w:eastAsia="標楷體"/>
                <w:kern w:val="0"/>
                <w:sz w:val="20"/>
                <w:szCs w:val="20"/>
              </w:rPr>
              <w:t xml:space="preserve"> </w:t>
            </w:r>
          </w:p>
        </w:tc>
      </w:tr>
    </w:tbl>
    <w:p w:rsidR="00D4339C" w:rsidRPr="00D55DC6" w:rsidRDefault="00D4339C" w:rsidP="0038165F">
      <w:pPr>
        <w:pStyle w:val="a"/>
        <w:numPr>
          <w:ilvl w:val="0"/>
          <w:numId w:val="0"/>
        </w:numPr>
      </w:pPr>
    </w:p>
    <w:p w:rsidR="007876E9" w:rsidRPr="00D55DC6" w:rsidRDefault="007876E9" w:rsidP="0038165F">
      <w:pPr>
        <w:pStyle w:val="a"/>
        <w:numPr>
          <w:ilvl w:val="0"/>
          <w:numId w:val="0"/>
        </w:numPr>
      </w:pPr>
    </w:p>
    <w:p w:rsidR="00D4339C" w:rsidRPr="00D55DC6" w:rsidRDefault="00D4339C" w:rsidP="004865C1">
      <w:pPr>
        <w:pStyle w:val="af2"/>
        <w:numPr>
          <w:ilvl w:val="0"/>
          <w:numId w:val="72"/>
        </w:numPr>
        <w:snapToGrid w:val="0"/>
        <w:spacing w:line="460" w:lineRule="exact"/>
        <w:ind w:leftChars="0"/>
        <w:jc w:val="both"/>
        <w:rPr>
          <w:rFonts w:eastAsia="標楷體"/>
          <w:b/>
          <w:sz w:val="28"/>
          <w:szCs w:val="28"/>
        </w:rPr>
      </w:pPr>
      <w:r w:rsidRPr="00D55DC6">
        <w:rPr>
          <w:rFonts w:eastAsia="標楷體"/>
          <w:b/>
          <w:sz w:val="28"/>
          <w:szCs w:val="28"/>
        </w:rPr>
        <w:lastRenderedPageBreak/>
        <w:t>自償率估算</w:t>
      </w:r>
    </w:p>
    <w:p w:rsidR="00D4339C" w:rsidRPr="00D55DC6" w:rsidRDefault="00D4339C" w:rsidP="000A1530">
      <w:pPr>
        <w:pStyle w:val="a"/>
        <w:numPr>
          <w:ilvl w:val="0"/>
          <w:numId w:val="0"/>
        </w:numPr>
        <w:ind w:left="851" w:firstLineChars="202" w:firstLine="566"/>
      </w:pPr>
      <w:bookmarkStart w:id="93" w:name="_Toc407181671"/>
      <w:r w:rsidRPr="00D55DC6">
        <w:t>依「日月潭國家風景區整體發展暨財務計畫」，預計未來</w:t>
      </w:r>
      <w:r w:rsidRPr="00D55DC6">
        <w:t>20</w:t>
      </w:r>
      <w:r w:rsidRPr="00D55DC6">
        <w:t>年日月潭國家風景區建設經營分年之現金流量，</w:t>
      </w:r>
      <w:r w:rsidR="006B6C3C" w:rsidRPr="00D55DC6">
        <w:rPr>
          <w:kern w:val="0"/>
        </w:rPr>
        <w:t>另微幅調整</w:t>
      </w:r>
      <w:r w:rsidR="006B6C3C" w:rsidRPr="00D55DC6">
        <w:rPr>
          <w:kern w:val="0"/>
        </w:rPr>
        <w:t>105-108</w:t>
      </w:r>
      <w:r w:rsidR="006B6C3C" w:rsidRPr="00D55DC6">
        <w:rPr>
          <w:kern w:val="0"/>
        </w:rPr>
        <w:t>年度經費需求，</w:t>
      </w:r>
      <w:r w:rsidRPr="00D55DC6">
        <w:t>以</w:t>
      </w:r>
      <w:r w:rsidRPr="00D55DC6">
        <w:t>2.88%</w:t>
      </w:r>
      <w:r w:rsidRPr="00D55DC6">
        <w:t>折現率（參考中央銀行公告五大銀行基本利率）計算，未來</w:t>
      </w:r>
      <w:r w:rsidRPr="00D55DC6">
        <w:t>20</w:t>
      </w:r>
      <w:r w:rsidRPr="00D55DC6">
        <w:t>年期間計畫投入現值為</w:t>
      </w:r>
      <w:r w:rsidRPr="00D55DC6">
        <w:t>39</w:t>
      </w:r>
      <w:r w:rsidRPr="00D55DC6">
        <w:t>億</w:t>
      </w:r>
      <w:r w:rsidRPr="00D55DC6">
        <w:t>3</w:t>
      </w:r>
      <w:r w:rsidRPr="00D55DC6">
        <w:t>千萬元，而收益預估現值為</w:t>
      </w:r>
      <w:r w:rsidRPr="00D55DC6">
        <w:t>9</w:t>
      </w:r>
      <w:r w:rsidRPr="00D55DC6">
        <w:t>億</w:t>
      </w:r>
      <w:r w:rsidRPr="00D55DC6">
        <w:t>8</w:t>
      </w:r>
      <w:r w:rsidRPr="00D55DC6">
        <w:t>千萬元，整體計畫自償率為</w:t>
      </w:r>
      <w:r w:rsidRPr="00D55DC6">
        <w:t>25.00</w:t>
      </w:r>
      <w:r w:rsidRPr="00D55DC6">
        <w:t>％。</w:t>
      </w:r>
      <w:bookmarkEnd w:id="93"/>
    </w:p>
    <w:p w:rsidR="00D4339C" w:rsidRPr="00D55DC6" w:rsidRDefault="006B6C3C" w:rsidP="009D33BA">
      <w:pPr>
        <w:keepNext/>
        <w:spacing w:beforeLines="50" w:before="180" w:afterLines="50" w:after="180"/>
        <w:ind w:rightChars="-316" w:right="-758"/>
        <w:rPr>
          <w:rFonts w:eastAsia="標楷體"/>
        </w:rPr>
      </w:pPr>
      <w:r w:rsidRPr="00D55DC6">
        <w:rPr>
          <w:rFonts w:eastAsia="標楷體"/>
        </w:rPr>
        <w:t>修正之</w:t>
      </w:r>
      <w:r w:rsidR="00D4339C" w:rsidRPr="00D55DC6">
        <w:rPr>
          <w:rFonts w:eastAsia="標楷體"/>
        </w:rPr>
        <w:t>自償率分析表</w:t>
      </w:r>
      <w:r w:rsidR="00D4339C" w:rsidRPr="00D55DC6">
        <w:rPr>
          <w:rFonts w:eastAsia="標楷體"/>
        </w:rPr>
        <w:t xml:space="preserve">                                           </w:t>
      </w:r>
      <w:r w:rsidR="00D4339C" w:rsidRPr="00D55DC6">
        <w:rPr>
          <w:rFonts w:eastAsia="標楷體"/>
        </w:rPr>
        <w:t>（單位：千元）</w:t>
      </w:r>
    </w:p>
    <w:tbl>
      <w:tblPr>
        <w:tblW w:w="10828" w:type="dxa"/>
        <w:tblInd w:w="-681" w:type="dxa"/>
        <w:tblCellMar>
          <w:left w:w="28" w:type="dxa"/>
          <w:right w:w="28" w:type="dxa"/>
        </w:tblCellMar>
        <w:tblLook w:val="04A0" w:firstRow="1" w:lastRow="0" w:firstColumn="1" w:lastColumn="0" w:noHBand="0" w:noVBand="1"/>
      </w:tblPr>
      <w:tblGrid>
        <w:gridCol w:w="993"/>
        <w:gridCol w:w="1134"/>
        <w:gridCol w:w="850"/>
        <w:gridCol w:w="851"/>
        <w:gridCol w:w="850"/>
        <w:gridCol w:w="851"/>
        <w:gridCol w:w="850"/>
        <w:gridCol w:w="851"/>
        <w:gridCol w:w="851"/>
        <w:gridCol w:w="850"/>
        <w:gridCol w:w="851"/>
        <w:gridCol w:w="1046"/>
      </w:tblGrid>
      <w:tr w:rsidR="001D0350" w:rsidRPr="00D55DC6" w:rsidTr="006B6C3C">
        <w:trPr>
          <w:gridAfter w:val="1"/>
          <w:wAfter w:w="1046" w:type="dxa"/>
          <w:trHeight w:val="345"/>
        </w:trPr>
        <w:tc>
          <w:tcPr>
            <w:tcW w:w="993" w:type="dxa"/>
            <w:tcBorders>
              <w:top w:val="single" w:sz="4" w:space="0" w:color="auto"/>
              <w:left w:val="single" w:sz="4" w:space="0" w:color="auto"/>
              <w:bottom w:val="double" w:sz="6" w:space="0" w:color="auto"/>
              <w:right w:val="single" w:sz="4" w:space="0" w:color="auto"/>
            </w:tcBorders>
            <w:shd w:val="clear" w:color="auto" w:fill="FFCC00"/>
            <w:noWrap/>
            <w:vAlign w:val="center"/>
            <w:hideMark/>
          </w:tcPr>
          <w:p w:rsidR="006B6C3C" w:rsidRPr="00D55DC6" w:rsidRDefault="006B6C3C">
            <w:pPr>
              <w:widowControl/>
              <w:rPr>
                <w:rFonts w:eastAsia="標楷體"/>
                <w:kern w:val="0"/>
                <w:sz w:val="22"/>
                <w:szCs w:val="20"/>
              </w:rPr>
            </w:pPr>
            <w:r w:rsidRPr="00D55DC6">
              <w:rPr>
                <w:rFonts w:eastAsia="標楷體"/>
                <w:kern w:val="0"/>
                <w:sz w:val="22"/>
                <w:szCs w:val="20"/>
              </w:rPr>
              <w:t xml:space="preserve">　</w:t>
            </w:r>
          </w:p>
        </w:tc>
        <w:tc>
          <w:tcPr>
            <w:tcW w:w="1134" w:type="dxa"/>
            <w:tcBorders>
              <w:top w:val="single" w:sz="4" w:space="0" w:color="auto"/>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103</w:t>
            </w:r>
          </w:p>
        </w:tc>
        <w:tc>
          <w:tcPr>
            <w:tcW w:w="850" w:type="dxa"/>
            <w:tcBorders>
              <w:top w:val="single" w:sz="4" w:space="0" w:color="auto"/>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104</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105</w:t>
            </w:r>
          </w:p>
        </w:tc>
        <w:tc>
          <w:tcPr>
            <w:tcW w:w="850" w:type="dxa"/>
            <w:tcBorders>
              <w:top w:val="single" w:sz="4" w:space="0" w:color="auto"/>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106</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107</w:t>
            </w:r>
          </w:p>
        </w:tc>
        <w:tc>
          <w:tcPr>
            <w:tcW w:w="850" w:type="dxa"/>
            <w:tcBorders>
              <w:top w:val="single" w:sz="4" w:space="0" w:color="auto"/>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108</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109</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110</w:t>
            </w:r>
          </w:p>
        </w:tc>
        <w:tc>
          <w:tcPr>
            <w:tcW w:w="850" w:type="dxa"/>
            <w:tcBorders>
              <w:top w:val="single" w:sz="4" w:space="0" w:color="auto"/>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111</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112</w:t>
            </w:r>
          </w:p>
        </w:tc>
      </w:tr>
      <w:tr w:rsidR="001D0350" w:rsidRPr="00D55DC6" w:rsidTr="006B6C3C">
        <w:trPr>
          <w:gridAfter w:val="1"/>
          <w:wAfter w:w="1046" w:type="dxa"/>
          <w:trHeight w:val="345"/>
        </w:trPr>
        <w:tc>
          <w:tcPr>
            <w:tcW w:w="993" w:type="dxa"/>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6B6C3C" w:rsidRPr="00D55DC6" w:rsidRDefault="006B6C3C">
            <w:pPr>
              <w:widowControl/>
              <w:rPr>
                <w:rFonts w:eastAsia="標楷體"/>
                <w:kern w:val="0"/>
                <w:sz w:val="22"/>
                <w:szCs w:val="20"/>
              </w:rPr>
            </w:pPr>
            <w:r w:rsidRPr="00D55DC6">
              <w:rPr>
                <w:rFonts w:eastAsia="標楷體"/>
                <w:kern w:val="0"/>
                <w:sz w:val="22"/>
                <w:szCs w:val="20"/>
              </w:rPr>
              <w:t>支出</w:t>
            </w:r>
          </w:p>
        </w:tc>
        <w:tc>
          <w:tcPr>
            <w:tcW w:w="1134"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274,900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280,000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283,000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270,000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284,000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281,000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283,812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268,624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242,239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259,574 </w:t>
            </w:r>
          </w:p>
        </w:tc>
      </w:tr>
      <w:tr w:rsidR="001D0350" w:rsidRPr="00D55DC6" w:rsidTr="006B6C3C">
        <w:trPr>
          <w:gridAfter w:val="1"/>
          <w:wAfter w:w="1046" w:type="dxa"/>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6B6C3C" w:rsidRPr="00D55DC6" w:rsidRDefault="006B6C3C">
            <w:pPr>
              <w:widowControl/>
              <w:rPr>
                <w:rFonts w:eastAsia="標楷體"/>
                <w:kern w:val="0"/>
                <w:sz w:val="22"/>
                <w:szCs w:val="20"/>
              </w:rPr>
            </w:pPr>
            <w:r w:rsidRPr="00D55DC6">
              <w:rPr>
                <w:rFonts w:eastAsia="標楷體"/>
                <w:kern w:val="0"/>
                <w:sz w:val="22"/>
                <w:szCs w:val="20"/>
              </w:rPr>
              <w:t>收入</w:t>
            </w:r>
          </w:p>
        </w:tc>
        <w:tc>
          <w:tcPr>
            <w:tcW w:w="1134"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17,668 </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25,289 </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50,333 </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51,467 </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85,477 </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62,926 </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65,040 </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66,026 </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63,832 </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64,607 </w:t>
            </w:r>
          </w:p>
        </w:tc>
      </w:tr>
      <w:tr w:rsidR="001D0350" w:rsidRPr="00D55DC6" w:rsidTr="006B6C3C">
        <w:trPr>
          <w:gridAfter w:val="1"/>
          <w:wAfter w:w="1046" w:type="dxa"/>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6B6C3C" w:rsidRPr="00D55DC6" w:rsidRDefault="006B6C3C">
            <w:pPr>
              <w:widowControl/>
              <w:rPr>
                <w:rFonts w:eastAsia="標楷體"/>
                <w:kern w:val="0"/>
                <w:sz w:val="22"/>
                <w:szCs w:val="20"/>
              </w:rPr>
            </w:pPr>
            <w:r w:rsidRPr="00D55DC6">
              <w:rPr>
                <w:rFonts w:eastAsia="標楷體"/>
                <w:kern w:val="0"/>
                <w:sz w:val="22"/>
                <w:szCs w:val="20"/>
              </w:rPr>
              <w:t>收支比</w:t>
            </w:r>
          </w:p>
        </w:tc>
        <w:tc>
          <w:tcPr>
            <w:tcW w:w="1134"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6.43%</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9.03%</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17.79%</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19.06%</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30.10%</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22.39%</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22.92%</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24.58%</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26.35%</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24.89%</w:t>
            </w:r>
          </w:p>
        </w:tc>
      </w:tr>
      <w:tr w:rsidR="001D0350" w:rsidRPr="00D55DC6" w:rsidTr="006B6C3C">
        <w:trPr>
          <w:trHeight w:val="345"/>
        </w:trPr>
        <w:tc>
          <w:tcPr>
            <w:tcW w:w="993" w:type="dxa"/>
            <w:tcBorders>
              <w:top w:val="nil"/>
              <w:left w:val="single" w:sz="4" w:space="0" w:color="auto"/>
              <w:bottom w:val="double" w:sz="6" w:space="0" w:color="auto"/>
              <w:right w:val="single" w:sz="4" w:space="0" w:color="auto"/>
            </w:tcBorders>
            <w:shd w:val="clear" w:color="auto" w:fill="FFCC00"/>
            <w:noWrap/>
            <w:vAlign w:val="center"/>
            <w:hideMark/>
          </w:tcPr>
          <w:p w:rsidR="006B6C3C" w:rsidRPr="00D55DC6" w:rsidRDefault="006B6C3C">
            <w:pPr>
              <w:widowControl/>
              <w:rPr>
                <w:rFonts w:eastAsia="標楷體"/>
                <w:kern w:val="0"/>
                <w:sz w:val="22"/>
                <w:szCs w:val="20"/>
              </w:rPr>
            </w:pPr>
            <w:r w:rsidRPr="00D55DC6">
              <w:rPr>
                <w:rFonts w:eastAsia="標楷體"/>
                <w:kern w:val="0"/>
                <w:sz w:val="22"/>
                <w:szCs w:val="20"/>
              </w:rPr>
              <w:t xml:space="preserve">　</w:t>
            </w:r>
          </w:p>
        </w:tc>
        <w:tc>
          <w:tcPr>
            <w:tcW w:w="1134" w:type="dxa"/>
            <w:tcBorders>
              <w:top w:val="nil"/>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113</w:t>
            </w:r>
          </w:p>
        </w:tc>
        <w:tc>
          <w:tcPr>
            <w:tcW w:w="850" w:type="dxa"/>
            <w:tcBorders>
              <w:top w:val="nil"/>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114</w:t>
            </w:r>
          </w:p>
        </w:tc>
        <w:tc>
          <w:tcPr>
            <w:tcW w:w="851" w:type="dxa"/>
            <w:tcBorders>
              <w:top w:val="nil"/>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115</w:t>
            </w:r>
          </w:p>
        </w:tc>
        <w:tc>
          <w:tcPr>
            <w:tcW w:w="850" w:type="dxa"/>
            <w:tcBorders>
              <w:top w:val="nil"/>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116</w:t>
            </w:r>
          </w:p>
        </w:tc>
        <w:tc>
          <w:tcPr>
            <w:tcW w:w="851" w:type="dxa"/>
            <w:tcBorders>
              <w:top w:val="nil"/>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117</w:t>
            </w:r>
          </w:p>
        </w:tc>
        <w:tc>
          <w:tcPr>
            <w:tcW w:w="850" w:type="dxa"/>
            <w:tcBorders>
              <w:top w:val="nil"/>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118</w:t>
            </w:r>
          </w:p>
        </w:tc>
        <w:tc>
          <w:tcPr>
            <w:tcW w:w="851" w:type="dxa"/>
            <w:tcBorders>
              <w:top w:val="nil"/>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119</w:t>
            </w:r>
          </w:p>
        </w:tc>
        <w:tc>
          <w:tcPr>
            <w:tcW w:w="851" w:type="dxa"/>
            <w:tcBorders>
              <w:top w:val="nil"/>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120</w:t>
            </w:r>
          </w:p>
        </w:tc>
        <w:tc>
          <w:tcPr>
            <w:tcW w:w="850" w:type="dxa"/>
            <w:tcBorders>
              <w:top w:val="nil"/>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121</w:t>
            </w:r>
          </w:p>
        </w:tc>
        <w:tc>
          <w:tcPr>
            <w:tcW w:w="851" w:type="dxa"/>
            <w:tcBorders>
              <w:top w:val="nil"/>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122</w:t>
            </w:r>
          </w:p>
        </w:tc>
        <w:tc>
          <w:tcPr>
            <w:tcW w:w="1046" w:type="dxa"/>
            <w:tcBorders>
              <w:top w:val="single" w:sz="4" w:space="0" w:color="auto"/>
              <w:left w:val="nil"/>
              <w:bottom w:val="double" w:sz="6" w:space="0" w:color="auto"/>
              <w:right w:val="single" w:sz="4" w:space="0" w:color="auto"/>
            </w:tcBorders>
            <w:shd w:val="clear" w:color="auto" w:fill="FFCC00"/>
            <w:noWrap/>
            <w:vAlign w:val="center"/>
            <w:hideMark/>
          </w:tcPr>
          <w:p w:rsidR="006B6C3C" w:rsidRPr="00D55DC6" w:rsidRDefault="006B6C3C">
            <w:pPr>
              <w:widowControl/>
              <w:jc w:val="center"/>
              <w:rPr>
                <w:rFonts w:eastAsia="標楷體"/>
                <w:kern w:val="0"/>
                <w:sz w:val="22"/>
                <w:szCs w:val="20"/>
              </w:rPr>
            </w:pPr>
            <w:r w:rsidRPr="00D55DC6">
              <w:rPr>
                <w:rFonts w:eastAsia="標楷體"/>
                <w:kern w:val="0"/>
                <w:sz w:val="22"/>
                <w:szCs w:val="20"/>
              </w:rPr>
              <w:t>合計</w:t>
            </w:r>
          </w:p>
        </w:tc>
      </w:tr>
      <w:tr w:rsidR="001D0350" w:rsidRPr="00D55DC6" w:rsidTr="006B6C3C">
        <w:trPr>
          <w:trHeight w:val="345"/>
        </w:trPr>
        <w:tc>
          <w:tcPr>
            <w:tcW w:w="993" w:type="dxa"/>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6B6C3C" w:rsidRPr="00D55DC6" w:rsidRDefault="006B6C3C">
            <w:pPr>
              <w:widowControl/>
              <w:rPr>
                <w:rFonts w:eastAsia="標楷體"/>
                <w:kern w:val="0"/>
                <w:sz w:val="22"/>
                <w:szCs w:val="20"/>
              </w:rPr>
            </w:pPr>
            <w:r w:rsidRPr="00D55DC6">
              <w:rPr>
                <w:rFonts w:eastAsia="標楷體"/>
                <w:kern w:val="0"/>
                <w:sz w:val="22"/>
                <w:szCs w:val="20"/>
              </w:rPr>
              <w:t>支出</w:t>
            </w:r>
          </w:p>
        </w:tc>
        <w:tc>
          <w:tcPr>
            <w:tcW w:w="1134"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246,036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244,477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258,446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246,945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233,974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248,033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236,624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236,747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251,102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251,790 </w:t>
            </w:r>
          </w:p>
        </w:tc>
        <w:tc>
          <w:tcPr>
            <w:tcW w:w="1046" w:type="dxa"/>
            <w:tcBorders>
              <w:top w:val="single" w:sz="4" w:space="0" w:color="auto"/>
              <w:left w:val="nil"/>
              <w:bottom w:val="single" w:sz="4" w:space="0" w:color="auto"/>
              <w:right w:val="single" w:sz="4" w:space="0" w:color="auto"/>
            </w:tcBorders>
            <w:shd w:val="clear" w:color="auto" w:fill="FDE9D9"/>
            <w:noWrap/>
            <w:vAlign w:val="center"/>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5,181,322 </w:t>
            </w:r>
          </w:p>
        </w:tc>
      </w:tr>
      <w:tr w:rsidR="001D0350" w:rsidRPr="00D55DC6" w:rsidTr="006B6C3C">
        <w:trPr>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6B6C3C" w:rsidRPr="00D55DC6" w:rsidRDefault="006B6C3C">
            <w:pPr>
              <w:widowControl/>
              <w:rPr>
                <w:rFonts w:eastAsia="標楷體"/>
                <w:kern w:val="0"/>
                <w:sz w:val="22"/>
                <w:szCs w:val="20"/>
              </w:rPr>
            </w:pPr>
            <w:r w:rsidRPr="00D55DC6">
              <w:rPr>
                <w:rFonts w:eastAsia="標楷體"/>
                <w:kern w:val="0"/>
                <w:sz w:val="22"/>
                <w:szCs w:val="20"/>
              </w:rPr>
              <w:t>收入</w:t>
            </w:r>
          </w:p>
        </w:tc>
        <w:tc>
          <w:tcPr>
            <w:tcW w:w="1134"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81,742 </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74,706 </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75,759 </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83,300 </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77,458 </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78,088 </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85,590 </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79,370 </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 80,020 </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87,962 </w:t>
            </w:r>
          </w:p>
        </w:tc>
        <w:tc>
          <w:tcPr>
            <w:tcW w:w="1046"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 xml:space="preserve">1,356,659 </w:t>
            </w:r>
          </w:p>
        </w:tc>
      </w:tr>
      <w:tr w:rsidR="001D0350" w:rsidRPr="00D55DC6" w:rsidTr="006B6C3C">
        <w:trPr>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6B6C3C" w:rsidRPr="00D55DC6" w:rsidRDefault="006B6C3C">
            <w:pPr>
              <w:widowControl/>
              <w:rPr>
                <w:rFonts w:eastAsia="標楷體"/>
                <w:kern w:val="0"/>
                <w:sz w:val="22"/>
                <w:szCs w:val="20"/>
              </w:rPr>
            </w:pPr>
            <w:r w:rsidRPr="00D55DC6">
              <w:rPr>
                <w:rFonts w:eastAsia="標楷體"/>
                <w:kern w:val="0"/>
                <w:sz w:val="22"/>
                <w:szCs w:val="20"/>
              </w:rPr>
              <w:t>收支比</w:t>
            </w:r>
          </w:p>
        </w:tc>
        <w:tc>
          <w:tcPr>
            <w:tcW w:w="1134"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33.22%</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30.56%</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29.31%</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33.73%</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33.11%</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31.48%</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36.17%</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33.53%</w:t>
            </w:r>
          </w:p>
        </w:tc>
        <w:tc>
          <w:tcPr>
            <w:tcW w:w="850"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31.87%</w:t>
            </w:r>
          </w:p>
        </w:tc>
        <w:tc>
          <w:tcPr>
            <w:tcW w:w="851"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34.93%</w:t>
            </w:r>
          </w:p>
        </w:tc>
        <w:tc>
          <w:tcPr>
            <w:tcW w:w="1046" w:type="dxa"/>
            <w:tcBorders>
              <w:top w:val="nil"/>
              <w:left w:val="nil"/>
              <w:bottom w:val="single" w:sz="4" w:space="0" w:color="auto"/>
              <w:right w:val="single" w:sz="4" w:space="0" w:color="auto"/>
            </w:tcBorders>
            <w:shd w:val="clear" w:color="auto" w:fill="FFFFFF"/>
            <w:noWrap/>
            <w:hideMark/>
          </w:tcPr>
          <w:p w:rsidR="006B6C3C" w:rsidRPr="00D55DC6" w:rsidRDefault="006B6C3C">
            <w:pPr>
              <w:widowControl/>
              <w:jc w:val="right"/>
              <w:rPr>
                <w:rFonts w:eastAsia="標楷體"/>
                <w:kern w:val="0"/>
                <w:sz w:val="22"/>
                <w:szCs w:val="20"/>
              </w:rPr>
            </w:pPr>
            <w:r w:rsidRPr="00D55DC6">
              <w:rPr>
                <w:rFonts w:eastAsia="標楷體"/>
                <w:kern w:val="0"/>
                <w:sz w:val="22"/>
                <w:szCs w:val="20"/>
              </w:rPr>
              <w:t>26.18%</w:t>
            </w:r>
          </w:p>
        </w:tc>
      </w:tr>
      <w:tr w:rsidR="001D0350" w:rsidRPr="00D55DC6" w:rsidTr="006B6C3C">
        <w:trPr>
          <w:gridAfter w:val="10"/>
          <w:wAfter w:w="8701" w:type="dxa"/>
          <w:trHeight w:val="330"/>
        </w:trPr>
        <w:tc>
          <w:tcPr>
            <w:tcW w:w="993" w:type="dxa"/>
            <w:tcBorders>
              <w:top w:val="nil"/>
              <w:left w:val="single" w:sz="4" w:space="0" w:color="auto"/>
              <w:bottom w:val="single" w:sz="4" w:space="0" w:color="auto"/>
              <w:right w:val="single" w:sz="4" w:space="0" w:color="auto"/>
            </w:tcBorders>
            <w:shd w:val="clear" w:color="auto" w:fill="FFFFCC"/>
            <w:noWrap/>
            <w:vAlign w:val="center"/>
            <w:hideMark/>
          </w:tcPr>
          <w:p w:rsidR="006B6C3C" w:rsidRPr="00D55DC6" w:rsidRDefault="006B6C3C">
            <w:pPr>
              <w:widowControl/>
              <w:rPr>
                <w:rFonts w:eastAsia="標楷體"/>
                <w:b/>
                <w:bCs/>
                <w:kern w:val="0"/>
                <w:sz w:val="22"/>
                <w:szCs w:val="20"/>
              </w:rPr>
            </w:pPr>
            <w:r w:rsidRPr="00D55DC6">
              <w:rPr>
                <w:rFonts w:eastAsia="標楷體"/>
                <w:b/>
                <w:bCs/>
                <w:kern w:val="0"/>
                <w:sz w:val="22"/>
                <w:szCs w:val="20"/>
              </w:rPr>
              <w:t>投資現值</w:t>
            </w:r>
          </w:p>
        </w:tc>
        <w:tc>
          <w:tcPr>
            <w:tcW w:w="1134" w:type="dxa"/>
            <w:tcBorders>
              <w:top w:val="nil"/>
              <w:left w:val="nil"/>
              <w:bottom w:val="single" w:sz="4" w:space="0" w:color="auto"/>
              <w:right w:val="single" w:sz="4" w:space="0" w:color="auto"/>
            </w:tcBorders>
            <w:shd w:val="clear" w:color="auto" w:fill="FFFFCC"/>
            <w:noWrap/>
            <w:vAlign w:val="center"/>
            <w:hideMark/>
          </w:tcPr>
          <w:p w:rsidR="006B6C3C" w:rsidRPr="00D55DC6" w:rsidRDefault="006B6C3C">
            <w:pPr>
              <w:widowControl/>
              <w:ind w:rightChars="47" w:right="113"/>
              <w:jc w:val="right"/>
              <w:rPr>
                <w:rFonts w:eastAsia="標楷體"/>
                <w:b/>
                <w:bCs/>
                <w:kern w:val="0"/>
                <w:sz w:val="20"/>
                <w:szCs w:val="20"/>
              </w:rPr>
            </w:pPr>
            <w:r w:rsidRPr="00D55DC6">
              <w:rPr>
                <w:rFonts w:eastAsia="標楷體"/>
                <w:b/>
                <w:bCs/>
                <w:kern w:val="0"/>
                <w:sz w:val="20"/>
                <w:szCs w:val="20"/>
              </w:rPr>
              <w:t>3,931,767</w:t>
            </w:r>
          </w:p>
        </w:tc>
      </w:tr>
      <w:tr w:rsidR="001D0350" w:rsidRPr="00D55DC6" w:rsidTr="006B6C3C">
        <w:trPr>
          <w:gridAfter w:val="10"/>
          <w:wAfter w:w="8701" w:type="dxa"/>
          <w:trHeight w:val="330"/>
        </w:trPr>
        <w:tc>
          <w:tcPr>
            <w:tcW w:w="993" w:type="dxa"/>
            <w:tcBorders>
              <w:top w:val="nil"/>
              <w:left w:val="single" w:sz="4" w:space="0" w:color="auto"/>
              <w:bottom w:val="single" w:sz="4" w:space="0" w:color="auto"/>
              <w:right w:val="single" w:sz="4" w:space="0" w:color="auto"/>
            </w:tcBorders>
            <w:shd w:val="clear" w:color="auto" w:fill="FFFFCC"/>
            <w:noWrap/>
            <w:vAlign w:val="center"/>
            <w:hideMark/>
          </w:tcPr>
          <w:p w:rsidR="006B6C3C" w:rsidRPr="00D55DC6" w:rsidRDefault="006B6C3C">
            <w:pPr>
              <w:widowControl/>
              <w:rPr>
                <w:rFonts w:eastAsia="標楷體"/>
                <w:b/>
                <w:bCs/>
                <w:kern w:val="0"/>
                <w:sz w:val="22"/>
                <w:szCs w:val="20"/>
              </w:rPr>
            </w:pPr>
            <w:r w:rsidRPr="00D55DC6">
              <w:rPr>
                <w:rFonts w:eastAsia="標楷體"/>
                <w:b/>
                <w:bCs/>
                <w:kern w:val="0"/>
                <w:sz w:val="22"/>
                <w:szCs w:val="20"/>
              </w:rPr>
              <w:t>收益現值</w:t>
            </w:r>
          </w:p>
        </w:tc>
        <w:tc>
          <w:tcPr>
            <w:tcW w:w="1134" w:type="dxa"/>
            <w:tcBorders>
              <w:top w:val="nil"/>
              <w:left w:val="nil"/>
              <w:bottom w:val="single" w:sz="4" w:space="0" w:color="auto"/>
              <w:right w:val="single" w:sz="4" w:space="0" w:color="auto"/>
            </w:tcBorders>
            <w:shd w:val="clear" w:color="auto" w:fill="FFFFCC"/>
            <w:noWrap/>
            <w:vAlign w:val="center"/>
            <w:hideMark/>
          </w:tcPr>
          <w:p w:rsidR="006B6C3C" w:rsidRPr="00D55DC6" w:rsidRDefault="006B6C3C">
            <w:pPr>
              <w:widowControl/>
              <w:ind w:rightChars="47" w:right="113"/>
              <w:jc w:val="right"/>
              <w:rPr>
                <w:rFonts w:eastAsia="標楷體"/>
                <w:b/>
                <w:bCs/>
                <w:kern w:val="0"/>
                <w:sz w:val="20"/>
                <w:szCs w:val="20"/>
              </w:rPr>
            </w:pPr>
            <w:r w:rsidRPr="00D55DC6">
              <w:rPr>
                <w:rFonts w:eastAsia="標楷體"/>
                <w:b/>
                <w:bCs/>
                <w:kern w:val="0"/>
                <w:sz w:val="20"/>
                <w:szCs w:val="20"/>
              </w:rPr>
              <w:t>982,879</w:t>
            </w:r>
          </w:p>
        </w:tc>
      </w:tr>
      <w:tr w:rsidR="001D0350" w:rsidRPr="00D55DC6" w:rsidTr="006B6C3C">
        <w:trPr>
          <w:gridAfter w:val="10"/>
          <w:wAfter w:w="8701" w:type="dxa"/>
          <w:trHeight w:val="330"/>
        </w:trPr>
        <w:tc>
          <w:tcPr>
            <w:tcW w:w="993" w:type="dxa"/>
            <w:tcBorders>
              <w:top w:val="nil"/>
              <w:left w:val="single" w:sz="4" w:space="0" w:color="auto"/>
              <w:bottom w:val="single" w:sz="4" w:space="0" w:color="auto"/>
              <w:right w:val="single" w:sz="4" w:space="0" w:color="auto"/>
            </w:tcBorders>
            <w:shd w:val="clear" w:color="auto" w:fill="FDE9D9"/>
            <w:noWrap/>
            <w:vAlign w:val="center"/>
            <w:hideMark/>
          </w:tcPr>
          <w:p w:rsidR="006B6C3C" w:rsidRPr="00D55DC6" w:rsidRDefault="006B6C3C">
            <w:pPr>
              <w:widowControl/>
              <w:rPr>
                <w:rFonts w:eastAsia="標楷體"/>
                <w:kern w:val="0"/>
                <w:sz w:val="22"/>
                <w:szCs w:val="20"/>
              </w:rPr>
            </w:pPr>
            <w:r w:rsidRPr="00D55DC6">
              <w:rPr>
                <w:rFonts w:eastAsia="標楷體"/>
                <w:kern w:val="0"/>
                <w:sz w:val="18"/>
                <w:szCs w:val="20"/>
              </w:rPr>
              <w:t>計畫自償率</w:t>
            </w:r>
          </w:p>
        </w:tc>
        <w:tc>
          <w:tcPr>
            <w:tcW w:w="1134" w:type="dxa"/>
            <w:tcBorders>
              <w:top w:val="nil"/>
              <w:left w:val="nil"/>
              <w:bottom w:val="single" w:sz="4" w:space="0" w:color="auto"/>
              <w:right w:val="single" w:sz="4" w:space="0" w:color="auto"/>
            </w:tcBorders>
            <w:shd w:val="clear" w:color="auto" w:fill="FDE9D9"/>
            <w:noWrap/>
            <w:vAlign w:val="center"/>
            <w:hideMark/>
          </w:tcPr>
          <w:p w:rsidR="006B6C3C" w:rsidRPr="00D55DC6" w:rsidRDefault="006B6C3C">
            <w:pPr>
              <w:widowControl/>
              <w:ind w:rightChars="47" w:right="113"/>
              <w:jc w:val="right"/>
              <w:rPr>
                <w:rFonts w:eastAsia="標楷體"/>
                <w:b/>
                <w:bCs/>
                <w:kern w:val="0"/>
                <w:sz w:val="22"/>
                <w:szCs w:val="20"/>
              </w:rPr>
            </w:pPr>
            <w:r w:rsidRPr="00D55DC6">
              <w:rPr>
                <w:rFonts w:eastAsia="標楷體"/>
                <w:b/>
                <w:bCs/>
                <w:kern w:val="0"/>
                <w:sz w:val="22"/>
                <w:szCs w:val="20"/>
              </w:rPr>
              <w:t>25.00%</w:t>
            </w:r>
          </w:p>
        </w:tc>
      </w:tr>
    </w:tbl>
    <w:p w:rsidR="004D7B00" w:rsidRPr="00D55DC6" w:rsidRDefault="004D7B00" w:rsidP="0038165F">
      <w:pPr>
        <w:pStyle w:val="a"/>
        <w:numPr>
          <w:ilvl w:val="0"/>
          <w:numId w:val="0"/>
        </w:numPr>
        <w:ind w:left="851" w:firstLineChars="202" w:firstLine="566"/>
      </w:pPr>
      <w:bookmarkStart w:id="94" w:name="_Toc407181672"/>
    </w:p>
    <w:p w:rsidR="004D7B00" w:rsidRPr="00D55DC6" w:rsidRDefault="004D7B00" w:rsidP="0038165F">
      <w:pPr>
        <w:pStyle w:val="a"/>
        <w:numPr>
          <w:ilvl w:val="0"/>
          <w:numId w:val="0"/>
        </w:numPr>
        <w:ind w:left="851" w:firstLineChars="202" w:firstLine="566"/>
      </w:pPr>
    </w:p>
    <w:p w:rsidR="00D4339C" w:rsidRPr="00D55DC6" w:rsidRDefault="00D4339C" w:rsidP="0038165F">
      <w:pPr>
        <w:pStyle w:val="a"/>
        <w:numPr>
          <w:ilvl w:val="0"/>
          <w:numId w:val="0"/>
        </w:numPr>
        <w:ind w:left="851" w:firstLineChars="202" w:firstLine="566"/>
      </w:pPr>
      <w:r w:rsidRPr="00D55DC6">
        <w:t>國家風景區經管範圍雖然廣大，但管理處管理土地甚少，且僅有經營管理權，現況僅能以透過土地相關法令及相關單位之協助，努力達成自償率目標。</w:t>
      </w:r>
      <w:r w:rsidRPr="00D55DC6">
        <w:t>105-108</w:t>
      </w:r>
      <w:r w:rsidRPr="00D55DC6">
        <w:t>年階段將持續以擴大推動設施出租、促參案件為主，並尋求跨機關合作機會，新增碼頭清潔服務費、環潭停車場清潔費等使用者付費機制，惟考量長期計畫可能存在「法規條件無法配套整合收取開發回饋或營業許可費」、「</w:t>
      </w:r>
      <w:r w:rsidRPr="00D55DC6">
        <w:t>BOT</w:t>
      </w:r>
      <w:r w:rsidRPr="00D55DC6">
        <w:t>計畫因環評等不確定因素延宕」、「預估收益或預期市場反應過於樂觀」等眾多不確定風險特性，爰仍需持續依實際推動現況滾動檢討。</w:t>
      </w:r>
      <w:bookmarkEnd w:id="94"/>
    </w:p>
    <w:p w:rsidR="00BC314B" w:rsidRPr="00D55DC6" w:rsidRDefault="00BC314B" w:rsidP="0038165F">
      <w:pPr>
        <w:pStyle w:val="a"/>
        <w:numPr>
          <w:ilvl w:val="0"/>
          <w:numId w:val="0"/>
        </w:numPr>
        <w:ind w:left="851" w:firstLineChars="202" w:firstLine="566"/>
      </w:pPr>
    </w:p>
    <w:p w:rsidR="007876E9" w:rsidRPr="00D55DC6" w:rsidRDefault="007876E9" w:rsidP="0038165F">
      <w:pPr>
        <w:pStyle w:val="a"/>
        <w:numPr>
          <w:ilvl w:val="0"/>
          <w:numId w:val="0"/>
        </w:numPr>
        <w:ind w:left="851" w:firstLineChars="202" w:firstLine="566"/>
      </w:pPr>
    </w:p>
    <w:p w:rsidR="007876E9" w:rsidRPr="00D55DC6" w:rsidRDefault="007876E9" w:rsidP="0038165F">
      <w:pPr>
        <w:pStyle w:val="a"/>
        <w:numPr>
          <w:ilvl w:val="0"/>
          <w:numId w:val="0"/>
        </w:numPr>
        <w:ind w:left="851" w:firstLineChars="202" w:firstLine="566"/>
      </w:pPr>
    </w:p>
    <w:p w:rsidR="0038165F" w:rsidRPr="00D55DC6" w:rsidRDefault="0038165F" w:rsidP="0038165F">
      <w:pPr>
        <w:pStyle w:val="a"/>
        <w:ind w:left="709" w:hanging="709"/>
        <w:rPr>
          <w:b/>
        </w:rPr>
      </w:pPr>
      <w:bookmarkStart w:id="95" w:name="_Toc407181673"/>
      <w:r w:rsidRPr="00D55DC6">
        <w:rPr>
          <w:b/>
        </w:rPr>
        <w:lastRenderedPageBreak/>
        <w:t>附則</w:t>
      </w:r>
      <w:bookmarkEnd w:id="95"/>
    </w:p>
    <w:p w:rsidR="0038165F" w:rsidRPr="00D55DC6" w:rsidRDefault="0038165F" w:rsidP="004865C1">
      <w:pPr>
        <w:numPr>
          <w:ilvl w:val="0"/>
          <w:numId w:val="142"/>
        </w:numPr>
        <w:snapToGrid w:val="0"/>
        <w:spacing w:line="460" w:lineRule="exact"/>
        <w:jc w:val="both"/>
        <w:rPr>
          <w:rFonts w:eastAsia="標楷體"/>
          <w:b/>
          <w:sz w:val="28"/>
          <w:szCs w:val="28"/>
        </w:rPr>
      </w:pPr>
      <w:r w:rsidRPr="00D55DC6">
        <w:rPr>
          <w:rFonts w:eastAsia="標楷體"/>
          <w:b/>
          <w:sz w:val="28"/>
          <w:szCs w:val="28"/>
        </w:rPr>
        <w:t>風險評估</w:t>
      </w:r>
    </w:p>
    <w:p w:rsidR="0038165F" w:rsidRPr="00D55DC6" w:rsidRDefault="0038165F" w:rsidP="0038165F">
      <w:pPr>
        <w:snapToGrid w:val="0"/>
        <w:spacing w:line="460" w:lineRule="exact"/>
        <w:ind w:leftChars="354" w:left="850"/>
        <w:jc w:val="both"/>
        <w:rPr>
          <w:rFonts w:eastAsia="標楷體"/>
          <w:sz w:val="28"/>
          <w:szCs w:val="28"/>
        </w:rPr>
      </w:pPr>
      <w:r w:rsidRPr="00D55DC6">
        <w:rPr>
          <w:rFonts w:eastAsia="標楷體"/>
          <w:sz w:val="28"/>
          <w:szCs w:val="28"/>
        </w:rPr>
        <w:t>本計畫係參考管理處</w:t>
      </w:r>
      <w:r w:rsidRPr="00D55DC6">
        <w:rPr>
          <w:rFonts w:eastAsia="標楷體"/>
          <w:sz w:val="28"/>
          <w:szCs w:val="28"/>
        </w:rPr>
        <w:t>102</w:t>
      </w:r>
      <w:r w:rsidRPr="00D55DC6">
        <w:rPr>
          <w:rFonts w:eastAsia="標楷體"/>
          <w:sz w:val="28"/>
          <w:szCs w:val="28"/>
        </w:rPr>
        <w:t>年委託規劃之「日月潭國家風景區觀光整體綱要計畫」內容，並進行內外環境分析及預測，以訂定實施策略、方法及分期</w:t>
      </w:r>
      <w:r w:rsidRPr="00D55DC6">
        <w:rPr>
          <w:rFonts w:eastAsia="標楷體"/>
          <w:sz w:val="28"/>
          <w:szCs w:val="28"/>
        </w:rPr>
        <w:t>(</w:t>
      </w:r>
      <w:r w:rsidRPr="00D55DC6">
        <w:rPr>
          <w:rFonts w:eastAsia="標楷體"/>
          <w:sz w:val="28"/>
          <w:szCs w:val="28"/>
        </w:rPr>
        <w:t>年</w:t>
      </w:r>
      <w:r w:rsidRPr="00D55DC6">
        <w:rPr>
          <w:rFonts w:eastAsia="標楷體"/>
          <w:sz w:val="28"/>
          <w:szCs w:val="28"/>
        </w:rPr>
        <w:t>)</w:t>
      </w:r>
      <w:r w:rsidRPr="00D55DC6">
        <w:rPr>
          <w:rFonts w:eastAsia="標楷體"/>
          <w:sz w:val="28"/>
          <w:szCs w:val="28"/>
        </w:rPr>
        <w:t>實施計畫，並配合辦理相關工作會議，以確保計畫之完整性與可行性。計畫經核定後，施行期間依實際情形辦理檢討與修正，並將持續與各有關主管機關、地方單位及代表、民間團體及協會等進行溝通協調，以利計畫之執行。</w:t>
      </w:r>
    </w:p>
    <w:p w:rsidR="0038165F" w:rsidRPr="00D55DC6" w:rsidRDefault="0038165F" w:rsidP="004865C1">
      <w:pPr>
        <w:numPr>
          <w:ilvl w:val="0"/>
          <w:numId w:val="142"/>
        </w:numPr>
        <w:snapToGrid w:val="0"/>
        <w:spacing w:line="460" w:lineRule="exact"/>
        <w:jc w:val="both"/>
        <w:rPr>
          <w:rFonts w:eastAsia="標楷體"/>
          <w:b/>
          <w:sz w:val="28"/>
          <w:szCs w:val="28"/>
        </w:rPr>
      </w:pPr>
      <w:r w:rsidRPr="00D55DC6">
        <w:rPr>
          <w:rFonts w:eastAsia="標楷體"/>
          <w:b/>
          <w:sz w:val="28"/>
          <w:szCs w:val="28"/>
        </w:rPr>
        <w:t>相關機關配合事項</w:t>
      </w:r>
    </w:p>
    <w:p w:rsidR="0038165F" w:rsidRPr="00D55DC6" w:rsidRDefault="0038165F" w:rsidP="004865C1">
      <w:pPr>
        <w:numPr>
          <w:ilvl w:val="2"/>
          <w:numId w:val="143"/>
        </w:numPr>
        <w:snapToGrid w:val="0"/>
        <w:spacing w:line="460" w:lineRule="exact"/>
        <w:ind w:left="1276" w:hanging="316"/>
        <w:jc w:val="both"/>
        <w:rPr>
          <w:rFonts w:eastAsia="標楷體"/>
          <w:sz w:val="28"/>
          <w:szCs w:val="28"/>
        </w:rPr>
      </w:pPr>
      <w:r w:rsidRPr="00D55DC6">
        <w:rPr>
          <w:rFonts w:eastAsia="標楷體"/>
          <w:sz w:val="28"/>
          <w:szCs w:val="28"/>
        </w:rPr>
        <w:t>南投縣政府：協助土地使用管制及建築管理許可、國土復育、水利防洪、休閒農業、生態保護、交通設施及相關證照之申請等。</w:t>
      </w:r>
    </w:p>
    <w:p w:rsidR="0038165F" w:rsidRPr="00D55DC6" w:rsidRDefault="0038165F" w:rsidP="004865C1">
      <w:pPr>
        <w:numPr>
          <w:ilvl w:val="2"/>
          <w:numId w:val="143"/>
        </w:numPr>
        <w:snapToGrid w:val="0"/>
        <w:spacing w:line="460" w:lineRule="exact"/>
        <w:ind w:left="1276" w:hanging="316"/>
        <w:jc w:val="both"/>
        <w:rPr>
          <w:rFonts w:eastAsia="標楷體"/>
          <w:sz w:val="28"/>
          <w:szCs w:val="28"/>
        </w:rPr>
      </w:pPr>
      <w:r w:rsidRPr="00D55DC6">
        <w:rPr>
          <w:rFonts w:eastAsia="標楷體"/>
          <w:sz w:val="28"/>
          <w:szCs w:val="28"/>
        </w:rPr>
        <w:t>行政院農委會林務局：建設用地林班解編、部份保安林解編等。</w:t>
      </w:r>
    </w:p>
    <w:p w:rsidR="0038165F" w:rsidRPr="00D55DC6" w:rsidRDefault="0038165F" w:rsidP="004865C1">
      <w:pPr>
        <w:numPr>
          <w:ilvl w:val="2"/>
          <w:numId w:val="143"/>
        </w:numPr>
        <w:snapToGrid w:val="0"/>
        <w:spacing w:line="460" w:lineRule="exact"/>
        <w:ind w:left="1276" w:hanging="316"/>
        <w:jc w:val="both"/>
        <w:rPr>
          <w:rFonts w:eastAsia="標楷體"/>
          <w:sz w:val="28"/>
          <w:szCs w:val="28"/>
        </w:rPr>
      </w:pPr>
      <w:r w:rsidRPr="00D55DC6">
        <w:rPr>
          <w:rFonts w:eastAsia="標楷體"/>
          <w:sz w:val="28"/>
          <w:szCs w:val="28"/>
        </w:rPr>
        <w:t>內政部營建署：建設用地之都計變更相關事宜。</w:t>
      </w:r>
    </w:p>
    <w:p w:rsidR="0038165F" w:rsidRPr="00D55DC6" w:rsidRDefault="0038165F" w:rsidP="004865C1">
      <w:pPr>
        <w:numPr>
          <w:ilvl w:val="2"/>
          <w:numId w:val="143"/>
        </w:numPr>
        <w:snapToGrid w:val="0"/>
        <w:spacing w:line="460" w:lineRule="exact"/>
        <w:ind w:left="1276" w:hanging="316"/>
        <w:jc w:val="both"/>
        <w:rPr>
          <w:rFonts w:eastAsia="標楷體"/>
          <w:sz w:val="28"/>
          <w:szCs w:val="28"/>
        </w:rPr>
      </w:pPr>
      <w:r w:rsidRPr="00D55DC6">
        <w:rPr>
          <w:rFonts w:eastAsia="標楷體"/>
          <w:sz w:val="28"/>
          <w:szCs w:val="28"/>
        </w:rPr>
        <w:t>台灣電力股份有限公司：關於水域設施之相關申請。</w:t>
      </w:r>
    </w:p>
    <w:p w:rsidR="0038165F" w:rsidRPr="00D55DC6" w:rsidRDefault="0038165F" w:rsidP="004865C1">
      <w:pPr>
        <w:numPr>
          <w:ilvl w:val="2"/>
          <w:numId w:val="143"/>
        </w:numPr>
        <w:snapToGrid w:val="0"/>
        <w:spacing w:line="460" w:lineRule="exact"/>
        <w:ind w:left="1276" w:hanging="316"/>
        <w:jc w:val="both"/>
        <w:rPr>
          <w:rFonts w:eastAsia="標楷體"/>
          <w:sz w:val="28"/>
          <w:szCs w:val="28"/>
        </w:rPr>
      </w:pPr>
      <w:r w:rsidRPr="00D55DC6">
        <w:rPr>
          <w:rFonts w:eastAsia="標楷體"/>
          <w:sz w:val="28"/>
          <w:szCs w:val="28"/>
        </w:rPr>
        <w:t>原住民</w:t>
      </w:r>
      <w:r w:rsidR="00B309E2" w:rsidRPr="00D55DC6">
        <w:rPr>
          <w:rFonts w:eastAsia="標楷體" w:hint="eastAsia"/>
          <w:sz w:val="28"/>
          <w:szCs w:val="28"/>
        </w:rPr>
        <w:t>族</w:t>
      </w:r>
      <w:r w:rsidRPr="00D55DC6">
        <w:rPr>
          <w:rFonts w:eastAsia="標楷體"/>
          <w:sz w:val="28"/>
          <w:szCs w:val="28"/>
        </w:rPr>
        <w:t>委員會：協助原住民地區共管協調等事宜。</w:t>
      </w:r>
    </w:p>
    <w:p w:rsidR="005D6EF0" w:rsidRPr="00D55DC6" w:rsidRDefault="005D6EF0" w:rsidP="0038165F">
      <w:pPr>
        <w:snapToGrid w:val="0"/>
        <w:spacing w:line="480" w:lineRule="exact"/>
        <w:jc w:val="both"/>
        <w:rPr>
          <w:rFonts w:eastAsia="標楷體"/>
          <w:b/>
          <w:bCs/>
          <w:sz w:val="28"/>
          <w:szCs w:val="28"/>
        </w:rPr>
        <w:sectPr w:rsidR="005D6EF0" w:rsidRPr="00D55DC6" w:rsidSect="00C51C62">
          <w:pgSz w:w="11906" w:h="16838" w:code="9"/>
          <w:pgMar w:top="1418" w:right="1418" w:bottom="1418" w:left="1418" w:header="567" w:footer="567" w:gutter="0"/>
          <w:pgNumType w:start="1"/>
          <w:cols w:space="425"/>
          <w:docGrid w:type="linesAndChars" w:linePitch="360"/>
        </w:sectPr>
      </w:pPr>
    </w:p>
    <w:p w:rsidR="005D6EF0" w:rsidRPr="00D55DC6" w:rsidRDefault="005D6EF0" w:rsidP="0038165F">
      <w:pPr>
        <w:snapToGrid w:val="0"/>
        <w:spacing w:line="480" w:lineRule="exact"/>
        <w:jc w:val="both"/>
        <w:rPr>
          <w:rFonts w:eastAsia="標楷體"/>
          <w:b/>
          <w:bCs/>
          <w:sz w:val="28"/>
          <w:szCs w:val="28"/>
        </w:rPr>
      </w:pPr>
      <w:r w:rsidRPr="00D55DC6">
        <w:rPr>
          <w:rFonts w:eastAsia="標楷體"/>
          <w:b/>
          <w:bCs/>
          <w:sz w:val="28"/>
          <w:szCs w:val="28"/>
        </w:rPr>
        <w:lastRenderedPageBreak/>
        <w:t>肆、參山國家風景區建設計畫</w:t>
      </w:r>
    </w:p>
    <w:p w:rsidR="005D6EF0" w:rsidRPr="00D55DC6" w:rsidRDefault="005D6EF0" w:rsidP="0038165F">
      <w:pPr>
        <w:snapToGrid w:val="0"/>
        <w:spacing w:line="480" w:lineRule="exact"/>
        <w:ind w:left="1386" w:hanging="1102"/>
        <w:jc w:val="both"/>
        <w:rPr>
          <w:rFonts w:eastAsia="標楷體"/>
          <w:sz w:val="28"/>
          <w:szCs w:val="28"/>
        </w:rPr>
      </w:pPr>
    </w:p>
    <w:p w:rsidR="005D6EF0" w:rsidRPr="00D55DC6" w:rsidRDefault="005D6EF0" w:rsidP="004865C1">
      <w:pPr>
        <w:pStyle w:val="a"/>
        <w:numPr>
          <w:ilvl w:val="0"/>
          <w:numId w:val="74"/>
        </w:numPr>
        <w:spacing w:line="480" w:lineRule="exact"/>
        <w:ind w:left="709"/>
        <w:rPr>
          <w:b/>
          <w:bCs/>
        </w:rPr>
      </w:pPr>
      <w:bookmarkStart w:id="96" w:name="_Toc407181674"/>
      <w:r w:rsidRPr="00D55DC6">
        <w:rPr>
          <w:b/>
          <w:bCs/>
        </w:rPr>
        <w:t>計畫緣起</w:t>
      </w:r>
      <w:bookmarkEnd w:id="96"/>
    </w:p>
    <w:p w:rsidR="005D6EF0" w:rsidRPr="00D55DC6" w:rsidRDefault="005D6EF0" w:rsidP="004865C1">
      <w:pPr>
        <w:pStyle w:val="af2"/>
        <w:numPr>
          <w:ilvl w:val="0"/>
          <w:numId w:val="75"/>
        </w:numPr>
        <w:snapToGrid w:val="0"/>
        <w:spacing w:line="480" w:lineRule="exact"/>
        <w:ind w:leftChars="0"/>
        <w:jc w:val="both"/>
        <w:rPr>
          <w:rFonts w:eastAsia="標楷體"/>
          <w:b/>
          <w:sz w:val="28"/>
          <w:szCs w:val="28"/>
        </w:rPr>
      </w:pPr>
      <w:r w:rsidRPr="00D55DC6">
        <w:rPr>
          <w:rFonts w:eastAsia="標楷體"/>
          <w:b/>
          <w:sz w:val="28"/>
          <w:szCs w:val="28"/>
        </w:rPr>
        <w:t>依據</w:t>
      </w:r>
    </w:p>
    <w:p w:rsidR="005D6EF0" w:rsidRPr="00D55DC6" w:rsidRDefault="005D6EF0" w:rsidP="0038165F">
      <w:pPr>
        <w:pStyle w:val="af2"/>
        <w:snapToGrid w:val="0"/>
        <w:spacing w:line="480" w:lineRule="exact"/>
        <w:ind w:leftChars="250" w:left="849" w:hangingChars="89" w:hanging="249"/>
        <w:jc w:val="both"/>
        <w:rPr>
          <w:rFonts w:eastAsia="標楷體"/>
          <w:sz w:val="28"/>
          <w:szCs w:val="28"/>
        </w:rPr>
      </w:pPr>
      <w:r w:rsidRPr="00D55DC6">
        <w:rPr>
          <w:rFonts w:eastAsia="標楷體"/>
          <w:sz w:val="28"/>
          <w:szCs w:val="28"/>
        </w:rPr>
        <w:t>1.</w:t>
      </w:r>
      <w:r w:rsidRPr="00D55DC6">
        <w:rPr>
          <w:rFonts w:eastAsia="標楷體"/>
          <w:sz w:val="28"/>
          <w:szCs w:val="28"/>
        </w:rPr>
        <w:t>為有效發揮政府重大公共建設計畫觀光次類別經費之投資效益，強化具體投資成果，延續「重要觀光景點建設中程計畫（</w:t>
      </w:r>
      <w:r w:rsidRPr="00D55DC6">
        <w:rPr>
          <w:rFonts w:eastAsia="標楷體"/>
          <w:sz w:val="28"/>
          <w:szCs w:val="28"/>
        </w:rPr>
        <w:t>101</w:t>
      </w:r>
      <w:r w:rsidRPr="00D55DC6">
        <w:rPr>
          <w:rFonts w:eastAsia="標楷體"/>
          <w:sz w:val="28"/>
          <w:szCs w:val="28"/>
        </w:rPr>
        <w:t>至</w:t>
      </w:r>
      <w:r w:rsidRPr="00D55DC6">
        <w:rPr>
          <w:rFonts w:eastAsia="標楷體"/>
          <w:sz w:val="28"/>
          <w:szCs w:val="28"/>
        </w:rPr>
        <w:t>104</w:t>
      </w:r>
      <w:r w:rsidRPr="00D55DC6">
        <w:rPr>
          <w:rFonts w:eastAsia="標楷體"/>
          <w:sz w:val="28"/>
          <w:szCs w:val="28"/>
        </w:rPr>
        <w:t>年）」（行政院</w:t>
      </w:r>
      <w:r w:rsidRPr="00D55DC6">
        <w:rPr>
          <w:rFonts w:eastAsia="標楷體"/>
          <w:sz w:val="28"/>
          <w:szCs w:val="28"/>
        </w:rPr>
        <w:t>100</w:t>
      </w:r>
      <w:r w:rsidRPr="00D55DC6">
        <w:rPr>
          <w:rFonts w:eastAsia="標楷體"/>
          <w:sz w:val="28"/>
          <w:szCs w:val="28"/>
        </w:rPr>
        <w:t>年</w:t>
      </w:r>
      <w:r w:rsidRPr="00D55DC6">
        <w:rPr>
          <w:rFonts w:eastAsia="標楷體"/>
          <w:sz w:val="28"/>
          <w:szCs w:val="28"/>
        </w:rPr>
        <w:t>8</w:t>
      </w:r>
      <w:r w:rsidRPr="00D55DC6">
        <w:rPr>
          <w:rFonts w:eastAsia="標楷體"/>
          <w:sz w:val="28"/>
          <w:szCs w:val="28"/>
        </w:rPr>
        <w:t>月</w:t>
      </w:r>
      <w:r w:rsidRPr="00D55DC6">
        <w:rPr>
          <w:rFonts w:eastAsia="標楷體"/>
          <w:sz w:val="28"/>
          <w:szCs w:val="28"/>
        </w:rPr>
        <w:t>22</w:t>
      </w:r>
      <w:r w:rsidRPr="00D55DC6">
        <w:rPr>
          <w:rFonts w:eastAsia="標楷體"/>
          <w:sz w:val="28"/>
          <w:szCs w:val="28"/>
        </w:rPr>
        <w:t>日院臺交字第</w:t>
      </w:r>
      <w:r w:rsidRPr="00D55DC6">
        <w:rPr>
          <w:rFonts w:eastAsia="標楷體"/>
          <w:sz w:val="28"/>
          <w:szCs w:val="28"/>
        </w:rPr>
        <w:t>1000044174</w:t>
      </w:r>
      <w:r w:rsidRPr="00D55DC6">
        <w:rPr>
          <w:rFonts w:eastAsia="標楷體"/>
          <w:sz w:val="28"/>
          <w:szCs w:val="28"/>
        </w:rPr>
        <w:t>號函核定）建設成果，並調整以</w:t>
      </w:r>
      <w:r w:rsidRPr="00D55DC6">
        <w:rPr>
          <w:rFonts w:eastAsia="標楷體"/>
          <w:sz w:val="28"/>
          <w:szCs w:val="28"/>
        </w:rPr>
        <w:t>(1)</w:t>
      </w:r>
      <w:r w:rsidRPr="00D55DC6">
        <w:rPr>
          <w:rFonts w:eastAsia="標楷體"/>
          <w:sz w:val="28"/>
          <w:szCs w:val="28"/>
        </w:rPr>
        <w:t>國際觀光重要景點建設、</w:t>
      </w:r>
      <w:r w:rsidRPr="00D55DC6">
        <w:rPr>
          <w:rFonts w:eastAsia="標楷體"/>
          <w:sz w:val="28"/>
          <w:szCs w:val="28"/>
        </w:rPr>
        <w:t>(2)</w:t>
      </w:r>
      <w:r w:rsidRPr="00D55DC6">
        <w:rPr>
          <w:rFonts w:eastAsia="標楷體"/>
          <w:sz w:val="28"/>
          <w:szCs w:val="28"/>
        </w:rPr>
        <w:t>國內觀光重要景點建設、</w:t>
      </w:r>
      <w:r w:rsidRPr="00D55DC6">
        <w:rPr>
          <w:rFonts w:eastAsia="標楷體"/>
          <w:sz w:val="28"/>
          <w:szCs w:val="28"/>
        </w:rPr>
        <w:t>(3)</w:t>
      </w:r>
      <w:r w:rsidRPr="00D55DC6">
        <w:rPr>
          <w:rFonts w:eastAsia="標楷體"/>
          <w:sz w:val="28"/>
          <w:szCs w:val="28"/>
        </w:rPr>
        <w:t>國家風景區經營管理維護等投資重點與優先順序，研擬「重要觀光景點建設中程計畫</w:t>
      </w:r>
      <w:r w:rsidRPr="00D55DC6">
        <w:rPr>
          <w:rFonts w:eastAsia="標楷體"/>
          <w:sz w:val="28"/>
          <w:szCs w:val="28"/>
        </w:rPr>
        <w:t>(105-108</w:t>
      </w:r>
      <w:r w:rsidRPr="00D55DC6">
        <w:rPr>
          <w:rFonts w:eastAsia="標楷體"/>
          <w:sz w:val="28"/>
          <w:szCs w:val="28"/>
        </w:rPr>
        <w:t>年</w:t>
      </w:r>
      <w:r w:rsidRPr="00D55DC6">
        <w:rPr>
          <w:rFonts w:eastAsia="標楷體"/>
          <w:sz w:val="28"/>
          <w:szCs w:val="28"/>
        </w:rPr>
        <w:t>)</w:t>
      </w:r>
      <w:r w:rsidRPr="00D55DC6">
        <w:rPr>
          <w:rFonts w:eastAsia="標楷體"/>
          <w:sz w:val="28"/>
          <w:szCs w:val="28"/>
        </w:rPr>
        <w:t>」。</w:t>
      </w:r>
    </w:p>
    <w:p w:rsidR="005D6EF0" w:rsidRPr="00D55DC6" w:rsidRDefault="005D6EF0" w:rsidP="0038165F">
      <w:pPr>
        <w:pStyle w:val="af2"/>
        <w:snapToGrid w:val="0"/>
        <w:spacing w:line="480" w:lineRule="exact"/>
        <w:ind w:leftChars="250" w:left="849" w:hangingChars="89" w:hanging="249"/>
        <w:jc w:val="both"/>
        <w:rPr>
          <w:rFonts w:eastAsia="標楷體"/>
          <w:sz w:val="28"/>
          <w:szCs w:val="28"/>
        </w:rPr>
      </w:pPr>
      <w:r w:rsidRPr="00D55DC6">
        <w:rPr>
          <w:rFonts w:eastAsia="標楷體"/>
          <w:sz w:val="28"/>
          <w:szCs w:val="28"/>
        </w:rPr>
        <w:t>2.</w:t>
      </w:r>
      <w:r w:rsidRPr="00D55DC6">
        <w:rPr>
          <w:rFonts w:eastAsia="標楷體"/>
          <w:sz w:val="28"/>
          <w:szCs w:val="28"/>
        </w:rPr>
        <w:t>依據行政院</w:t>
      </w:r>
      <w:r w:rsidRPr="00D55DC6">
        <w:rPr>
          <w:rFonts w:eastAsia="標楷體"/>
          <w:sz w:val="28"/>
          <w:szCs w:val="28"/>
        </w:rPr>
        <w:t>103</w:t>
      </w:r>
      <w:r w:rsidRPr="00D55DC6">
        <w:rPr>
          <w:rFonts w:eastAsia="標楷體"/>
          <w:sz w:val="28"/>
          <w:szCs w:val="28"/>
        </w:rPr>
        <w:t>年</w:t>
      </w:r>
      <w:r w:rsidRPr="00D55DC6">
        <w:rPr>
          <w:rFonts w:eastAsia="標楷體"/>
          <w:sz w:val="28"/>
          <w:szCs w:val="28"/>
        </w:rPr>
        <w:t>10</w:t>
      </w:r>
      <w:r w:rsidRPr="00D55DC6">
        <w:rPr>
          <w:rFonts w:eastAsia="標楷體"/>
          <w:sz w:val="28"/>
          <w:szCs w:val="28"/>
        </w:rPr>
        <w:t>月</w:t>
      </w:r>
      <w:r w:rsidRPr="00D55DC6">
        <w:rPr>
          <w:rFonts w:eastAsia="標楷體"/>
          <w:sz w:val="28"/>
          <w:szCs w:val="28"/>
        </w:rPr>
        <w:t>15</w:t>
      </w:r>
      <w:r w:rsidRPr="00D55DC6">
        <w:rPr>
          <w:rFonts w:eastAsia="標楷體"/>
          <w:sz w:val="28"/>
          <w:szCs w:val="28"/>
        </w:rPr>
        <w:t>日院臺交字第</w:t>
      </w:r>
      <w:r w:rsidRPr="00D55DC6">
        <w:rPr>
          <w:rFonts w:eastAsia="標楷體"/>
          <w:sz w:val="28"/>
          <w:szCs w:val="28"/>
        </w:rPr>
        <w:t>1030058303</w:t>
      </w:r>
      <w:r w:rsidRPr="00D55DC6">
        <w:rPr>
          <w:rFonts w:eastAsia="標楷體"/>
          <w:sz w:val="28"/>
          <w:szCs w:val="28"/>
        </w:rPr>
        <w:t>號函核定「東北角暨宜蘭海岸國家風景區整體發展暨財務計畫」之意旨辦理。</w:t>
      </w:r>
    </w:p>
    <w:p w:rsidR="005D6EF0" w:rsidRPr="00D55DC6" w:rsidRDefault="005D6EF0" w:rsidP="004865C1">
      <w:pPr>
        <w:pStyle w:val="af2"/>
        <w:numPr>
          <w:ilvl w:val="0"/>
          <w:numId w:val="75"/>
        </w:numPr>
        <w:snapToGrid w:val="0"/>
        <w:spacing w:line="480" w:lineRule="exact"/>
        <w:ind w:leftChars="0"/>
        <w:jc w:val="both"/>
        <w:rPr>
          <w:rFonts w:eastAsia="標楷體"/>
          <w:b/>
          <w:sz w:val="28"/>
          <w:szCs w:val="28"/>
        </w:rPr>
      </w:pPr>
      <w:r w:rsidRPr="00D55DC6">
        <w:rPr>
          <w:rFonts w:eastAsia="標楷體"/>
          <w:b/>
          <w:sz w:val="28"/>
          <w:szCs w:val="28"/>
        </w:rPr>
        <w:t>未來環境預測</w:t>
      </w:r>
    </w:p>
    <w:p w:rsidR="005D6EF0" w:rsidRPr="00D55DC6" w:rsidRDefault="005D6EF0" w:rsidP="0038165F">
      <w:pPr>
        <w:pStyle w:val="af2"/>
        <w:snapToGrid w:val="0"/>
        <w:spacing w:line="480" w:lineRule="exact"/>
        <w:ind w:leftChars="250" w:left="849" w:hangingChars="89" w:hanging="249"/>
        <w:jc w:val="both"/>
        <w:rPr>
          <w:rFonts w:eastAsia="標楷體"/>
          <w:sz w:val="28"/>
          <w:szCs w:val="28"/>
        </w:rPr>
      </w:pPr>
      <w:r w:rsidRPr="00D55DC6">
        <w:rPr>
          <w:rFonts w:eastAsia="標楷體"/>
          <w:sz w:val="28"/>
          <w:szCs w:val="28"/>
        </w:rPr>
        <w:t>1.</w:t>
      </w:r>
      <w:r w:rsidRPr="00D55DC6">
        <w:rPr>
          <w:rFonts w:eastAsia="標楷體"/>
          <w:sz w:val="28"/>
          <w:szCs w:val="28"/>
        </w:rPr>
        <w:t>目前轄區內熱門景點，大多有承載量超載問題，從交通服務水平、食宿供給量等，都無法滿足爆炸性的旅遊需求。且國人旅遊容易有一窩蜂現象，常受電視劇、偶像、電影、潮流產生瞬間大量的旅遊需求，造成服務設施不足，承載量超載。</w:t>
      </w:r>
    </w:p>
    <w:p w:rsidR="005D6EF0" w:rsidRPr="00D55DC6" w:rsidRDefault="005D6EF0" w:rsidP="0038165F">
      <w:pPr>
        <w:pStyle w:val="af2"/>
        <w:snapToGrid w:val="0"/>
        <w:spacing w:line="480" w:lineRule="exact"/>
        <w:ind w:leftChars="250" w:left="849" w:hangingChars="89" w:hanging="249"/>
        <w:jc w:val="both"/>
        <w:rPr>
          <w:rFonts w:eastAsia="標楷體"/>
          <w:sz w:val="28"/>
          <w:szCs w:val="28"/>
        </w:rPr>
      </w:pPr>
      <w:r w:rsidRPr="00D55DC6">
        <w:rPr>
          <w:rFonts w:eastAsia="標楷體"/>
          <w:sz w:val="28"/>
          <w:szCs w:val="28"/>
        </w:rPr>
        <w:t>2.</w:t>
      </w:r>
      <w:r w:rsidRPr="00D55DC6">
        <w:rPr>
          <w:rFonts w:eastAsia="標楷體"/>
          <w:sz w:val="28"/>
          <w:szCs w:val="28"/>
        </w:rPr>
        <w:t>根據研究調查報告資料分析</w:t>
      </w:r>
      <w:r w:rsidRPr="00D55DC6">
        <w:rPr>
          <w:rFonts w:eastAsia="標楷體"/>
          <w:sz w:val="28"/>
          <w:szCs w:val="28"/>
          <w:vertAlign w:val="superscript"/>
        </w:rPr>
        <w:t>1</w:t>
      </w:r>
      <w:r w:rsidRPr="00D55DC6">
        <w:rPr>
          <w:rFonts w:eastAsia="標楷體"/>
          <w:sz w:val="28"/>
          <w:szCs w:val="28"/>
        </w:rPr>
        <w:t>，且臺灣燈會活動這幾年皆在本轄區內辦理</w:t>
      </w:r>
      <w:r w:rsidRPr="00D55DC6">
        <w:rPr>
          <w:rFonts w:eastAsia="標楷體"/>
          <w:sz w:val="28"/>
          <w:szCs w:val="28"/>
        </w:rPr>
        <w:t>(100</w:t>
      </w:r>
      <w:r w:rsidRPr="00D55DC6">
        <w:rPr>
          <w:rFonts w:eastAsia="標楷體"/>
          <w:sz w:val="28"/>
          <w:szCs w:val="28"/>
        </w:rPr>
        <w:t>年度在苗栗縣、</w:t>
      </w:r>
      <w:r w:rsidRPr="00D55DC6">
        <w:rPr>
          <w:rFonts w:eastAsia="標楷體"/>
          <w:sz w:val="28"/>
          <w:szCs w:val="28"/>
        </w:rPr>
        <w:t>101</w:t>
      </w:r>
      <w:r w:rsidRPr="00D55DC6">
        <w:rPr>
          <w:rFonts w:eastAsia="標楷體"/>
          <w:sz w:val="28"/>
          <w:szCs w:val="28"/>
        </w:rPr>
        <w:t>年度在彰化縣鹿港鎮、</w:t>
      </w:r>
      <w:r w:rsidRPr="00D55DC6">
        <w:rPr>
          <w:rFonts w:eastAsia="標楷體"/>
          <w:sz w:val="28"/>
          <w:szCs w:val="28"/>
        </w:rPr>
        <w:t>102</w:t>
      </w:r>
      <w:r w:rsidRPr="00D55DC6">
        <w:rPr>
          <w:rFonts w:eastAsia="標楷體"/>
          <w:sz w:val="28"/>
          <w:szCs w:val="28"/>
        </w:rPr>
        <w:t>年度在新竹縣、</w:t>
      </w:r>
      <w:r w:rsidRPr="00D55DC6">
        <w:rPr>
          <w:rFonts w:eastAsia="標楷體"/>
          <w:sz w:val="28"/>
          <w:szCs w:val="28"/>
        </w:rPr>
        <w:t>103</w:t>
      </w:r>
      <w:r w:rsidRPr="00D55DC6">
        <w:rPr>
          <w:rFonts w:eastAsia="標楷體"/>
          <w:sz w:val="28"/>
          <w:szCs w:val="28"/>
        </w:rPr>
        <w:t>年度在南投縣</w:t>
      </w:r>
      <w:r w:rsidRPr="00D55DC6">
        <w:rPr>
          <w:rFonts w:eastAsia="標楷體"/>
          <w:sz w:val="28"/>
          <w:szCs w:val="28"/>
        </w:rPr>
        <w:t>)</w:t>
      </w:r>
      <w:r w:rsidRPr="00D55DC6">
        <w:rPr>
          <w:rFonts w:eastAsia="標楷體"/>
          <w:sz w:val="28"/>
          <w:szCs w:val="28"/>
        </w:rPr>
        <w:t>，造成遊客量短期劇增之現象，而遊客對於停車位及公廁數量亦需求大增，此為影響遊客旅遊品質及服務滿意度之重要瓶頸。</w:t>
      </w:r>
    </w:p>
    <w:p w:rsidR="005D6EF0" w:rsidRPr="00D55DC6" w:rsidRDefault="005D6EF0" w:rsidP="0038165F">
      <w:pPr>
        <w:pStyle w:val="af2"/>
        <w:snapToGrid w:val="0"/>
        <w:spacing w:line="480" w:lineRule="exact"/>
        <w:ind w:leftChars="250" w:left="849" w:hangingChars="89" w:hanging="249"/>
        <w:jc w:val="both"/>
        <w:rPr>
          <w:rFonts w:eastAsia="標楷體"/>
          <w:sz w:val="28"/>
          <w:szCs w:val="28"/>
        </w:rPr>
      </w:pPr>
      <w:r w:rsidRPr="00D55DC6">
        <w:rPr>
          <w:rFonts w:eastAsia="標楷體"/>
          <w:sz w:val="28"/>
          <w:szCs w:val="28"/>
        </w:rPr>
        <w:t>3.</w:t>
      </w:r>
      <w:r w:rsidRPr="00D55DC6">
        <w:rPr>
          <w:rFonts w:eastAsia="標楷體"/>
          <w:sz w:val="28"/>
          <w:szCs w:val="28"/>
        </w:rPr>
        <w:t>參山管理處轄管獅頭山、梨山、八卦山風景區皆位於山區，遊客人次易受天候及聯外交通等不確定因素影響，鑑於全球氣候變遷，天候變異甚大且難以預測，且考量為維持遊憩品質，應逐步加強總量管制及遊客分流等措施。</w:t>
      </w:r>
    </w:p>
    <w:p w:rsidR="005D6EF0" w:rsidRPr="00D55DC6" w:rsidRDefault="005D6EF0" w:rsidP="0038165F">
      <w:pPr>
        <w:pStyle w:val="af2"/>
        <w:snapToGrid w:val="0"/>
        <w:spacing w:line="480" w:lineRule="exact"/>
        <w:ind w:leftChars="250" w:left="849" w:hangingChars="89" w:hanging="249"/>
        <w:jc w:val="both"/>
        <w:rPr>
          <w:rFonts w:eastAsia="標楷體"/>
          <w:sz w:val="28"/>
          <w:szCs w:val="28"/>
        </w:rPr>
      </w:pPr>
      <w:r w:rsidRPr="00D55DC6">
        <w:rPr>
          <w:rFonts w:eastAsia="標楷體"/>
          <w:sz w:val="28"/>
          <w:szCs w:val="28"/>
        </w:rPr>
        <w:t>4.</w:t>
      </w:r>
      <w:r w:rsidRPr="00D55DC6">
        <w:rPr>
          <w:rFonts w:eastAsia="標楷體"/>
          <w:sz w:val="28"/>
          <w:szCs w:val="28"/>
        </w:rPr>
        <w:t>根據研究調查資料顯示</w:t>
      </w:r>
      <w:r w:rsidRPr="00D55DC6">
        <w:rPr>
          <w:rStyle w:val="afa"/>
          <w:rFonts w:eastAsia="標楷體"/>
          <w:sz w:val="28"/>
          <w:szCs w:val="28"/>
        </w:rPr>
        <w:footnoteReference w:id="1"/>
      </w:r>
      <w:r w:rsidRPr="00D55DC6">
        <w:rPr>
          <w:rFonts w:eastAsia="標楷體"/>
          <w:sz w:val="28"/>
          <w:szCs w:val="28"/>
        </w:rPr>
        <w:t>，參山管理處轄區留宿當地比例部分，以谷</w:t>
      </w:r>
      <w:r w:rsidRPr="00D55DC6">
        <w:rPr>
          <w:rFonts w:eastAsia="標楷體"/>
          <w:sz w:val="28"/>
          <w:szCs w:val="28"/>
        </w:rPr>
        <w:lastRenderedPageBreak/>
        <w:t>關地區的比例最高，梨山地區次之</w:t>
      </w:r>
      <w:r w:rsidRPr="00D55DC6">
        <w:rPr>
          <w:rFonts w:eastAsia="標楷體"/>
          <w:sz w:val="28"/>
          <w:szCs w:val="28"/>
        </w:rPr>
        <w:t>(</w:t>
      </w:r>
      <w:r w:rsidRPr="00D55DC6">
        <w:rPr>
          <w:rFonts w:eastAsia="標楷體"/>
          <w:sz w:val="28"/>
          <w:szCs w:val="28"/>
        </w:rPr>
        <w:t>部分住宿於清境地區</w:t>
      </w:r>
      <w:r w:rsidRPr="00D55DC6">
        <w:rPr>
          <w:rFonts w:eastAsia="標楷體"/>
          <w:sz w:val="28"/>
          <w:szCs w:val="28"/>
        </w:rPr>
        <w:t>)</w:t>
      </w:r>
      <w:r w:rsidRPr="00D55DC6">
        <w:rPr>
          <w:rFonts w:eastAsia="標楷體"/>
          <w:sz w:val="28"/>
          <w:szCs w:val="28"/>
        </w:rPr>
        <w:t>。獅頭山留宿當地比例僅</w:t>
      </w:r>
      <w:r w:rsidRPr="00D55DC6">
        <w:rPr>
          <w:rFonts w:eastAsia="標楷體"/>
          <w:sz w:val="28"/>
          <w:szCs w:val="28"/>
        </w:rPr>
        <w:t>60.71%</w:t>
      </w:r>
      <w:r w:rsidRPr="00D55DC6">
        <w:rPr>
          <w:rFonts w:eastAsia="標楷體"/>
          <w:sz w:val="28"/>
          <w:szCs w:val="28"/>
        </w:rPr>
        <w:t>，因獅頭山風景區本身可容納的住宿量有限，且大部分遊客會選擇於附近的泰安溫泉區作為住宿地點。住宿率與當地留宿率最低的為八卦山地區，主要是八卦山風景區較靠近城鎮市區，交通可及性高，且附近城鎮即有充足的住宿設施，因此住宿相對需求較低。</w:t>
      </w:r>
    </w:p>
    <w:p w:rsidR="005D6EF0" w:rsidRPr="00D55DC6" w:rsidRDefault="005D6EF0" w:rsidP="004865C1">
      <w:pPr>
        <w:pStyle w:val="af2"/>
        <w:numPr>
          <w:ilvl w:val="0"/>
          <w:numId w:val="75"/>
        </w:numPr>
        <w:snapToGrid w:val="0"/>
        <w:spacing w:line="480" w:lineRule="exact"/>
        <w:ind w:leftChars="0"/>
        <w:jc w:val="both"/>
        <w:rPr>
          <w:rFonts w:eastAsia="標楷體"/>
          <w:b/>
          <w:sz w:val="28"/>
          <w:szCs w:val="28"/>
        </w:rPr>
      </w:pPr>
      <w:r w:rsidRPr="00D55DC6">
        <w:rPr>
          <w:rFonts w:eastAsia="標楷體"/>
          <w:b/>
          <w:sz w:val="28"/>
          <w:szCs w:val="28"/>
        </w:rPr>
        <w:t>問題評析</w:t>
      </w:r>
    </w:p>
    <w:p w:rsidR="00EB48E8" w:rsidRPr="00D55DC6" w:rsidRDefault="00EB48E8" w:rsidP="00EB48E8">
      <w:pPr>
        <w:pStyle w:val="af2"/>
        <w:snapToGrid w:val="0"/>
        <w:spacing w:line="480" w:lineRule="exact"/>
        <w:ind w:leftChars="250" w:left="849" w:hangingChars="89" w:hanging="249"/>
        <w:jc w:val="both"/>
        <w:rPr>
          <w:rFonts w:eastAsia="標楷體"/>
          <w:b/>
          <w:sz w:val="28"/>
          <w:szCs w:val="28"/>
        </w:rPr>
      </w:pPr>
      <w:r w:rsidRPr="00D55DC6">
        <w:rPr>
          <w:rFonts w:eastAsia="標楷體"/>
          <w:b/>
          <w:sz w:val="28"/>
          <w:szCs w:val="28"/>
        </w:rPr>
        <w:t>1.</w:t>
      </w:r>
      <w:r w:rsidRPr="00D55DC6">
        <w:rPr>
          <w:rFonts w:eastAsia="標楷體"/>
          <w:b/>
          <w:sz w:val="28"/>
          <w:szCs w:val="28"/>
        </w:rPr>
        <w:t>導入民間活力，增加財務自償效益</w:t>
      </w:r>
    </w:p>
    <w:p w:rsidR="00EB48E8" w:rsidRPr="00D55DC6" w:rsidRDefault="00EB48E8" w:rsidP="00EB48E8">
      <w:pPr>
        <w:pStyle w:val="af2"/>
        <w:snapToGrid w:val="0"/>
        <w:spacing w:line="480" w:lineRule="exact"/>
        <w:ind w:leftChars="336" w:left="806"/>
        <w:jc w:val="both"/>
        <w:rPr>
          <w:rFonts w:eastAsia="標楷體"/>
          <w:sz w:val="28"/>
          <w:szCs w:val="28"/>
        </w:rPr>
      </w:pPr>
      <w:r w:rsidRPr="00D55DC6">
        <w:rPr>
          <w:rFonts w:eastAsia="標楷體"/>
          <w:sz w:val="28"/>
          <w:szCs w:val="28"/>
        </w:rPr>
        <w:t>以跨域合作思維，整合觀光資源，主動研提具觀光效益的開發模式，提出資產活化計畫，逐步提升建設自償性及提高收益。</w:t>
      </w:r>
    </w:p>
    <w:p w:rsidR="00EB48E8" w:rsidRPr="00D55DC6" w:rsidRDefault="00EB48E8" w:rsidP="00EB48E8">
      <w:pPr>
        <w:pStyle w:val="af2"/>
        <w:snapToGrid w:val="0"/>
        <w:spacing w:line="480" w:lineRule="exact"/>
        <w:ind w:leftChars="250" w:left="849" w:hangingChars="89" w:hanging="249"/>
        <w:jc w:val="both"/>
        <w:rPr>
          <w:rFonts w:eastAsia="標楷體"/>
          <w:b/>
          <w:sz w:val="28"/>
          <w:szCs w:val="28"/>
        </w:rPr>
      </w:pPr>
      <w:r w:rsidRPr="00D55DC6">
        <w:rPr>
          <w:rFonts w:eastAsia="標楷體"/>
          <w:b/>
          <w:sz w:val="28"/>
          <w:szCs w:val="28"/>
        </w:rPr>
        <w:t>2.</w:t>
      </w:r>
      <w:r w:rsidRPr="00D55DC6">
        <w:rPr>
          <w:rFonts w:eastAsia="標楷體"/>
          <w:b/>
          <w:sz w:val="28"/>
          <w:szCs w:val="28"/>
        </w:rPr>
        <w:t>潛藏災害因子，旅安問題浮現</w:t>
      </w:r>
    </w:p>
    <w:p w:rsidR="00EB48E8" w:rsidRPr="00D55DC6" w:rsidRDefault="00EB48E8" w:rsidP="00EB48E8">
      <w:pPr>
        <w:pStyle w:val="af2"/>
        <w:snapToGrid w:val="0"/>
        <w:spacing w:line="480" w:lineRule="exact"/>
        <w:ind w:leftChars="336" w:left="806"/>
        <w:jc w:val="both"/>
        <w:rPr>
          <w:rFonts w:eastAsia="標楷體"/>
          <w:sz w:val="28"/>
          <w:szCs w:val="28"/>
        </w:rPr>
      </w:pPr>
      <w:r w:rsidRPr="00D55DC6">
        <w:rPr>
          <w:rFonts w:eastAsia="標楷體"/>
          <w:sz w:val="28"/>
          <w:szCs w:val="28"/>
        </w:rPr>
        <w:t>因應氣候變遷加劇，強化山區旅遊景點設施之安全性，並加強第一線救護災害演練，建立旅遊安全正確觀念。</w:t>
      </w:r>
    </w:p>
    <w:p w:rsidR="00EB48E8" w:rsidRPr="00D55DC6" w:rsidRDefault="00EB48E8" w:rsidP="00EB48E8">
      <w:pPr>
        <w:pStyle w:val="af2"/>
        <w:snapToGrid w:val="0"/>
        <w:spacing w:line="480" w:lineRule="exact"/>
        <w:ind w:leftChars="250" w:left="849" w:hangingChars="89" w:hanging="249"/>
        <w:jc w:val="both"/>
        <w:rPr>
          <w:rFonts w:eastAsia="標楷體"/>
          <w:b/>
          <w:sz w:val="28"/>
          <w:szCs w:val="28"/>
        </w:rPr>
      </w:pPr>
      <w:r w:rsidRPr="00D55DC6">
        <w:rPr>
          <w:rFonts w:eastAsia="標楷體"/>
          <w:b/>
          <w:sz w:val="28"/>
          <w:szCs w:val="28"/>
        </w:rPr>
        <w:t>3.</w:t>
      </w:r>
      <w:r w:rsidRPr="00D55DC6">
        <w:rPr>
          <w:rFonts w:eastAsia="標楷體"/>
          <w:b/>
          <w:sz w:val="28"/>
          <w:szCs w:val="28"/>
        </w:rPr>
        <w:t>資源整合問題，市場定位不足，缺乏客群吸引力</w:t>
      </w:r>
    </w:p>
    <w:p w:rsidR="00EB48E8" w:rsidRPr="00D55DC6" w:rsidRDefault="00EB48E8" w:rsidP="00EB48E8">
      <w:pPr>
        <w:pStyle w:val="af2"/>
        <w:snapToGrid w:val="0"/>
        <w:spacing w:line="480" w:lineRule="exact"/>
        <w:ind w:leftChars="336" w:left="806"/>
        <w:jc w:val="both"/>
        <w:rPr>
          <w:rFonts w:eastAsia="標楷體"/>
          <w:sz w:val="28"/>
          <w:szCs w:val="28"/>
        </w:rPr>
      </w:pPr>
      <w:r w:rsidRPr="00D55DC6">
        <w:rPr>
          <w:rFonts w:eastAsia="標楷體"/>
          <w:sz w:val="28"/>
          <w:szCs w:val="28"/>
        </w:rPr>
        <w:t>加強通用設計概念建置友善旅遊服務設施，擴大不同客群，另加強各項軟體服務，以臻於國際水準，如穆斯林旅遊市場、高端客群等。</w:t>
      </w:r>
    </w:p>
    <w:p w:rsidR="00EB48E8" w:rsidRPr="00D55DC6" w:rsidRDefault="00EB48E8" w:rsidP="00EB48E8">
      <w:pPr>
        <w:pStyle w:val="af2"/>
        <w:snapToGrid w:val="0"/>
        <w:spacing w:line="480" w:lineRule="exact"/>
        <w:ind w:leftChars="250" w:left="849" w:hangingChars="89" w:hanging="249"/>
        <w:jc w:val="both"/>
        <w:rPr>
          <w:rFonts w:eastAsia="標楷體"/>
          <w:b/>
          <w:sz w:val="28"/>
          <w:szCs w:val="28"/>
        </w:rPr>
      </w:pPr>
      <w:r w:rsidRPr="00D55DC6">
        <w:rPr>
          <w:rFonts w:eastAsia="標楷體"/>
          <w:b/>
          <w:sz w:val="28"/>
          <w:szCs w:val="28"/>
        </w:rPr>
        <w:t>4.</w:t>
      </w:r>
      <w:r w:rsidRPr="00D55DC6">
        <w:rPr>
          <w:rFonts w:eastAsia="標楷體"/>
          <w:b/>
          <w:sz w:val="28"/>
          <w:szCs w:val="28"/>
        </w:rPr>
        <w:t>因應高齡少子化時代來臨，設施質與量之轉變</w:t>
      </w:r>
    </w:p>
    <w:p w:rsidR="00EB48E8" w:rsidRPr="00D55DC6" w:rsidRDefault="00EB48E8" w:rsidP="00EB48E8">
      <w:pPr>
        <w:pStyle w:val="af2"/>
        <w:snapToGrid w:val="0"/>
        <w:spacing w:line="480" w:lineRule="exact"/>
        <w:ind w:leftChars="336" w:left="806"/>
        <w:jc w:val="both"/>
        <w:rPr>
          <w:rFonts w:eastAsia="標楷體"/>
          <w:sz w:val="28"/>
          <w:szCs w:val="28"/>
        </w:rPr>
      </w:pPr>
      <w:r w:rsidRPr="00D55DC6">
        <w:rPr>
          <w:rFonts w:eastAsia="標楷體"/>
          <w:sz w:val="28"/>
          <w:szCs w:val="28"/>
        </w:rPr>
        <w:t>積極推動樂齡及親子友善的旅遊環境，並規劃銀髮樂齡旅遊路線，協調交通食宿購等旅遊節點，增加樂齡及親子貼心服務設施，提升旅遊便利性。</w:t>
      </w:r>
    </w:p>
    <w:p w:rsidR="00EB48E8" w:rsidRPr="00D55DC6" w:rsidRDefault="00EB48E8" w:rsidP="00EB48E8">
      <w:pPr>
        <w:pStyle w:val="af2"/>
        <w:snapToGrid w:val="0"/>
        <w:spacing w:line="480" w:lineRule="exact"/>
        <w:ind w:leftChars="250" w:left="849" w:hangingChars="89" w:hanging="249"/>
        <w:jc w:val="both"/>
        <w:rPr>
          <w:rFonts w:eastAsia="標楷體"/>
          <w:b/>
          <w:sz w:val="28"/>
          <w:szCs w:val="28"/>
        </w:rPr>
      </w:pPr>
      <w:r w:rsidRPr="00D55DC6">
        <w:rPr>
          <w:rFonts w:eastAsia="標楷體"/>
          <w:b/>
          <w:sz w:val="28"/>
          <w:szCs w:val="28"/>
        </w:rPr>
        <w:t>5.</w:t>
      </w:r>
      <w:r w:rsidRPr="00D55DC6">
        <w:rPr>
          <w:rFonts w:eastAsia="標楷體"/>
          <w:b/>
          <w:sz w:val="28"/>
          <w:szCs w:val="28"/>
        </w:rPr>
        <w:t>地方特色型據點崛起，深度旅遊可行性大增</w:t>
      </w:r>
    </w:p>
    <w:p w:rsidR="00EB48E8" w:rsidRPr="00D55DC6" w:rsidRDefault="00EB48E8" w:rsidP="00EB48E8">
      <w:pPr>
        <w:pStyle w:val="af2"/>
        <w:snapToGrid w:val="0"/>
        <w:spacing w:line="480" w:lineRule="exact"/>
        <w:ind w:leftChars="336" w:left="806"/>
        <w:jc w:val="both"/>
        <w:rPr>
          <w:rFonts w:eastAsia="標楷體"/>
          <w:sz w:val="28"/>
          <w:szCs w:val="28"/>
        </w:rPr>
      </w:pPr>
      <w:r w:rsidRPr="00D55DC6">
        <w:rPr>
          <w:rFonts w:eastAsia="標楷體"/>
          <w:sz w:val="28"/>
          <w:szCs w:val="28"/>
        </w:rPr>
        <w:t>結合各部會推動地方特色產業營造，適度結合社區周邊觀光資源，辦理整合行銷推廣，帶動地方觀光魅力景點，促進地方經濟繁榮。</w:t>
      </w:r>
    </w:p>
    <w:p w:rsidR="00EB48E8" w:rsidRPr="00D55DC6" w:rsidRDefault="00EB48E8" w:rsidP="0038165F">
      <w:pPr>
        <w:pStyle w:val="af2"/>
        <w:snapToGrid w:val="0"/>
        <w:spacing w:line="480" w:lineRule="exact"/>
        <w:ind w:leftChars="336" w:left="806" w:firstLineChars="201" w:firstLine="563"/>
        <w:jc w:val="both"/>
        <w:rPr>
          <w:rFonts w:eastAsia="標楷體"/>
          <w:sz w:val="28"/>
          <w:szCs w:val="28"/>
        </w:rPr>
      </w:pPr>
    </w:p>
    <w:p w:rsidR="005D6EF0" w:rsidRPr="00D55DC6" w:rsidRDefault="005D6EF0" w:rsidP="004865C1">
      <w:pPr>
        <w:pStyle w:val="af2"/>
        <w:numPr>
          <w:ilvl w:val="0"/>
          <w:numId w:val="75"/>
        </w:numPr>
        <w:snapToGrid w:val="0"/>
        <w:spacing w:line="480" w:lineRule="exact"/>
        <w:ind w:leftChars="0"/>
        <w:jc w:val="both"/>
        <w:rPr>
          <w:rFonts w:eastAsia="標楷體"/>
          <w:b/>
          <w:sz w:val="28"/>
          <w:szCs w:val="28"/>
        </w:rPr>
      </w:pPr>
      <w:r w:rsidRPr="00D55DC6">
        <w:rPr>
          <w:rFonts w:eastAsia="標楷體"/>
          <w:b/>
          <w:sz w:val="28"/>
          <w:szCs w:val="28"/>
        </w:rPr>
        <w:t>社會參與及政策溝通情形</w:t>
      </w:r>
    </w:p>
    <w:p w:rsidR="005D6EF0" w:rsidRPr="00D55DC6" w:rsidRDefault="005D6EF0" w:rsidP="0038165F">
      <w:pPr>
        <w:snapToGrid w:val="0"/>
        <w:spacing w:line="480" w:lineRule="exact"/>
        <w:ind w:leftChars="177" w:left="851" w:hangingChars="152" w:hanging="426"/>
        <w:jc w:val="both"/>
        <w:rPr>
          <w:rFonts w:eastAsia="標楷體"/>
          <w:sz w:val="28"/>
          <w:szCs w:val="28"/>
        </w:rPr>
      </w:pPr>
      <w:r w:rsidRPr="00D55DC6">
        <w:rPr>
          <w:rFonts w:eastAsia="標楷體"/>
          <w:sz w:val="28"/>
          <w:szCs w:val="28"/>
        </w:rPr>
        <w:t>1</w:t>
      </w:r>
      <w:r w:rsidRPr="00D55DC6">
        <w:rPr>
          <w:rFonts w:eastAsia="標楷體"/>
          <w:sz w:val="28"/>
          <w:szCs w:val="28"/>
        </w:rPr>
        <w:t>、參山管理處行政區域幅員遼闊，且牽涉較多機關須加強協調</w:t>
      </w:r>
      <w:r w:rsidRPr="00D55DC6">
        <w:rPr>
          <w:rFonts w:eastAsia="標楷體"/>
          <w:sz w:val="28"/>
          <w:szCs w:val="28"/>
        </w:rPr>
        <w:t>(</w:t>
      </w:r>
      <w:r w:rsidRPr="00D55DC6">
        <w:rPr>
          <w:rFonts w:eastAsia="標楷體"/>
          <w:sz w:val="28"/>
          <w:szCs w:val="28"/>
        </w:rPr>
        <w:t>獅頭山風景區行政區域橫跨新竹縣峨眉鄉、北埔鄉、竹東鎮、苗栗縣南庄鄉、三灣鄉等</w:t>
      </w:r>
      <w:r w:rsidRPr="00D55DC6">
        <w:rPr>
          <w:rFonts w:eastAsia="標楷體"/>
          <w:sz w:val="28"/>
          <w:szCs w:val="28"/>
        </w:rPr>
        <w:t>5</w:t>
      </w:r>
      <w:r w:rsidRPr="00D55DC6">
        <w:rPr>
          <w:rFonts w:eastAsia="標楷體"/>
          <w:sz w:val="28"/>
          <w:szCs w:val="28"/>
        </w:rPr>
        <w:t>鄉鎮；梨山風景區地跨臺中市東勢區、和平區、南投縣仁愛鄉等</w:t>
      </w:r>
      <w:r w:rsidRPr="00D55DC6">
        <w:rPr>
          <w:rFonts w:eastAsia="標楷體"/>
          <w:sz w:val="28"/>
          <w:szCs w:val="28"/>
        </w:rPr>
        <w:t>3</w:t>
      </w:r>
      <w:r w:rsidRPr="00D55DC6">
        <w:rPr>
          <w:rFonts w:eastAsia="標楷體"/>
          <w:sz w:val="28"/>
          <w:szCs w:val="28"/>
        </w:rPr>
        <w:t>鄉鎮；八卦山風景區地跨彰化縣彰化市、花壇鄉、</w:t>
      </w:r>
      <w:r w:rsidRPr="00D55DC6">
        <w:rPr>
          <w:rFonts w:eastAsia="標楷體"/>
          <w:sz w:val="28"/>
          <w:szCs w:val="28"/>
        </w:rPr>
        <w:lastRenderedPageBreak/>
        <w:t>大村鄉、芬園鄉、員林鎮、社頭鄉、田中鎮、二水鄉、南投縣南投市、名間鄉等</w:t>
      </w:r>
      <w:r w:rsidRPr="00D55DC6">
        <w:rPr>
          <w:rFonts w:eastAsia="標楷體"/>
          <w:sz w:val="28"/>
          <w:szCs w:val="28"/>
        </w:rPr>
        <w:t>10</w:t>
      </w:r>
      <w:r w:rsidRPr="00D55DC6">
        <w:rPr>
          <w:rFonts w:eastAsia="標楷體"/>
          <w:sz w:val="28"/>
          <w:szCs w:val="28"/>
        </w:rPr>
        <w:t>個市鄉鎮，共計有</w:t>
      </w:r>
      <w:r w:rsidRPr="00D55DC6">
        <w:rPr>
          <w:rFonts w:eastAsia="標楷體"/>
          <w:sz w:val="28"/>
          <w:szCs w:val="28"/>
        </w:rPr>
        <w:t>18</w:t>
      </w:r>
      <w:r w:rsidRPr="00D55DC6">
        <w:rPr>
          <w:rFonts w:eastAsia="標楷體"/>
          <w:sz w:val="28"/>
          <w:szCs w:val="28"/>
        </w:rPr>
        <w:t>個市區鄉鎮</w:t>
      </w:r>
      <w:r w:rsidRPr="00D55DC6">
        <w:rPr>
          <w:rFonts w:eastAsia="標楷體"/>
          <w:sz w:val="28"/>
          <w:szCs w:val="28"/>
        </w:rPr>
        <w:t>)</w:t>
      </w:r>
      <w:r w:rsidRPr="00D55DC6">
        <w:rPr>
          <w:rFonts w:eastAsia="標楷體"/>
          <w:sz w:val="28"/>
          <w:szCs w:val="28"/>
        </w:rPr>
        <w:t>，幅員遼闊，除辦理國家風景區建設外，尚有公路總局、林務局、原民會、各縣市政府及其他事業機關權責地區，相關建設皆與各目的事業主管機關協調及溝通，並已建立合作溝通管道，藉由協調分工方式，整合觀光資源，帶動地方觀光產業發展。</w:t>
      </w:r>
    </w:p>
    <w:p w:rsidR="005D6EF0" w:rsidRPr="00D55DC6" w:rsidRDefault="005D6EF0" w:rsidP="0038165F">
      <w:pPr>
        <w:snapToGrid w:val="0"/>
        <w:spacing w:line="480" w:lineRule="exact"/>
        <w:ind w:leftChars="177" w:left="851" w:hangingChars="152" w:hanging="426"/>
        <w:jc w:val="both"/>
        <w:rPr>
          <w:rFonts w:eastAsia="標楷體"/>
          <w:sz w:val="28"/>
          <w:szCs w:val="28"/>
        </w:rPr>
      </w:pPr>
      <w:r w:rsidRPr="00D55DC6">
        <w:rPr>
          <w:rFonts w:eastAsia="標楷體"/>
          <w:sz w:val="28"/>
          <w:szCs w:val="28"/>
        </w:rPr>
        <w:t>2</w:t>
      </w:r>
      <w:r w:rsidRPr="00D55DC6">
        <w:rPr>
          <w:rFonts w:eastAsia="標楷體"/>
          <w:sz w:val="28"/>
          <w:szCs w:val="28"/>
        </w:rPr>
        <w:t>、因管理處在觀光、住宿及安全維護等部分權責，時與地方政府之建管、衛生、安全、觀光、水利等方面權責互有重疊，以致少部分行政作為或權管責任可能存在混亂不清的模糊地帶。因此在安全維護及設施管理面，未來將與地方政府協調「管理權責」劃分，明確分工，保障民眾安全及權益</w:t>
      </w:r>
    </w:p>
    <w:p w:rsidR="005D6EF0" w:rsidRPr="00D55DC6" w:rsidRDefault="005D6EF0" w:rsidP="0038165F">
      <w:pPr>
        <w:pStyle w:val="a"/>
        <w:numPr>
          <w:ilvl w:val="0"/>
          <w:numId w:val="0"/>
        </w:numPr>
        <w:spacing w:line="480" w:lineRule="exact"/>
        <w:ind w:left="709"/>
      </w:pPr>
    </w:p>
    <w:p w:rsidR="005D6EF0" w:rsidRPr="00D55DC6" w:rsidRDefault="005D6EF0" w:rsidP="0038165F">
      <w:pPr>
        <w:pStyle w:val="a"/>
        <w:spacing w:line="480" w:lineRule="exact"/>
        <w:ind w:left="709" w:hanging="709"/>
        <w:rPr>
          <w:b/>
          <w:bCs/>
        </w:rPr>
      </w:pPr>
      <w:bookmarkStart w:id="97" w:name="_Toc407181675"/>
      <w:r w:rsidRPr="00D55DC6">
        <w:rPr>
          <w:b/>
          <w:bCs/>
        </w:rPr>
        <w:t>計畫目標</w:t>
      </w:r>
      <w:bookmarkEnd w:id="97"/>
    </w:p>
    <w:p w:rsidR="005D6EF0" w:rsidRPr="00D55DC6" w:rsidRDefault="005D6EF0" w:rsidP="004865C1">
      <w:pPr>
        <w:pStyle w:val="af2"/>
        <w:numPr>
          <w:ilvl w:val="0"/>
          <w:numId w:val="76"/>
        </w:numPr>
        <w:snapToGrid w:val="0"/>
        <w:spacing w:line="480" w:lineRule="exact"/>
        <w:ind w:leftChars="0"/>
        <w:jc w:val="both"/>
        <w:rPr>
          <w:rFonts w:eastAsia="標楷體"/>
          <w:b/>
          <w:sz w:val="28"/>
          <w:szCs w:val="28"/>
        </w:rPr>
      </w:pPr>
      <w:r w:rsidRPr="00D55DC6">
        <w:rPr>
          <w:rFonts w:eastAsia="標楷體"/>
          <w:b/>
          <w:sz w:val="28"/>
          <w:szCs w:val="28"/>
        </w:rPr>
        <w:t>目標說明</w:t>
      </w:r>
    </w:p>
    <w:p w:rsidR="005D6EF0" w:rsidRPr="00D55DC6" w:rsidRDefault="005D6EF0" w:rsidP="0038165F">
      <w:pPr>
        <w:pStyle w:val="af2"/>
        <w:snapToGrid w:val="0"/>
        <w:spacing w:line="480" w:lineRule="exact"/>
        <w:ind w:leftChars="250" w:left="849" w:hangingChars="89" w:hanging="249"/>
        <w:jc w:val="both"/>
        <w:rPr>
          <w:rFonts w:eastAsia="標楷體"/>
          <w:sz w:val="28"/>
          <w:szCs w:val="28"/>
        </w:rPr>
      </w:pPr>
      <w:r w:rsidRPr="00D55DC6">
        <w:rPr>
          <w:rFonts w:eastAsia="標楷體"/>
          <w:sz w:val="28"/>
          <w:szCs w:val="28"/>
        </w:rPr>
        <w:t>1.</w:t>
      </w:r>
      <w:r w:rsidRPr="00D55DC6">
        <w:rPr>
          <w:rFonts w:eastAsia="標楷體"/>
          <w:sz w:val="28"/>
          <w:szCs w:val="28"/>
        </w:rPr>
        <w:t>以「心動參山</w:t>
      </w:r>
      <w:r w:rsidRPr="00D55DC6">
        <w:rPr>
          <w:rFonts w:eastAsia="標楷體"/>
          <w:sz w:val="28"/>
          <w:szCs w:val="28"/>
        </w:rPr>
        <w:t>—</w:t>
      </w:r>
      <w:r w:rsidRPr="00D55DC6">
        <w:rPr>
          <w:rFonts w:eastAsia="標楷體"/>
          <w:sz w:val="28"/>
          <w:szCs w:val="28"/>
        </w:rPr>
        <w:t>愛在參山，愛在旅遊」為各區域發展主軸，推展健行登山、文化體驗、溫泉養身、高山度假及自行車綠能運動等活動，發展「朝活獅山」、「慢活南庄」、「舒活谷關」、「森活梨山」、「綠活八卦」等主題，以吸引國內外觀光遊客。</w:t>
      </w:r>
    </w:p>
    <w:p w:rsidR="005D6EF0" w:rsidRPr="00D55DC6" w:rsidRDefault="005D6EF0" w:rsidP="0038165F">
      <w:pPr>
        <w:pStyle w:val="af2"/>
        <w:snapToGrid w:val="0"/>
        <w:spacing w:line="480" w:lineRule="exact"/>
        <w:ind w:leftChars="250" w:left="849" w:hangingChars="89" w:hanging="249"/>
        <w:jc w:val="both"/>
        <w:rPr>
          <w:rFonts w:eastAsia="標楷體"/>
          <w:sz w:val="28"/>
          <w:szCs w:val="28"/>
        </w:rPr>
      </w:pPr>
      <w:r w:rsidRPr="00D55DC6">
        <w:rPr>
          <w:rFonts w:eastAsia="標楷體"/>
          <w:sz w:val="28"/>
          <w:szCs w:val="28"/>
        </w:rPr>
        <w:t>2.</w:t>
      </w:r>
      <w:r w:rsidRPr="00D55DC6">
        <w:rPr>
          <w:rFonts w:eastAsia="標楷體"/>
          <w:sz w:val="28"/>
          <w:szCs w:val="28"/>
        </w:rPr>
        <w:t>整合各地區觀光資源</w:t>
      </w:r>
      <w:r w:rsidR="00EB48E8" w:rsidRPr="00D55DC6">
        <w:rPr>
          <w:rFonts w:eastAsia="標楷體"/>
          <w:sz w:val="28"/>
          <w:szCs w:val="28"/>
        </w:rPr>
        <w:t>(</w:t>
      </w:r>
      <w:r w:rsidR="00EB48E8" w:rsidRPr="00D55DC6">
        <w:rPr>
          <w:rFonts w:eastAsia="標楷體"/>
          <w:sz w:val="28"/>
          <w:szCs w:val="28"/>
        </w:rPr>
        <w:t>如客庄風土民情及美食</w:t>
      </w:r>
      <w:r w:rsidR="00EB48E8" w:rsidRPr="00D55DC6">
        <w:rPr>
          <w:rFonts w:eastAsia="標楷體"/>
          <w:sz w:val="28"/>
          <w:szCs w:val="28"/>
        </w:rPr>
        <w:t>)</w:t>
      </w:r>
      <w:r w:rsidRPr="00D55DC6">
        <w:rPr>
          <w:rFonts w:eastAsia="標楷體"/>
          <w:sz w:val="28"/>
          <w:szCs w:val="28"/>
        </w:rPr>
        <w:t>，並加強辦理各項遊憩據點建設與經營管理，改善台</w:t>
      </w:r>
      <w:r w:rsidRPr="00D55DC6">
        <w:rPr>
          <w:rFonts w:eastAsia="標楷體"/>
          <w:sz w:val="28"/>
          <w:szCs w:val="28"/>
        </w:rPr>
        <w:t>3</w:t>
      </w:r>
      <w:r w:rsidRPr="00D55DC6">
        <w:rPr>
          <w:rFonts w:eastAsia="標楷體"/>
          <w:sz w:val="28"/>
          <w:szCs w:val="28"/>
        </w:rPr>
        <w:t>線、台</w:t>
      </w:r>
      <w:r w:rsidRPr="00D55DC6">
        <w:rPr>
          <w:rFonts w:eastAsia="標楷體"/>
          <w:sz w:val="28"/>
          <w:szCs w:val="28"/>
        </w:rPr>
        <w:t>7</w:t>
      </w:r>
      <w:r w:rsidRPr="00D55DC6">
        <w:rPr>
          <w:rFonts w:eastAsia="標楷體"/>
          <w:sz w:val="28"/>
          <w:szCs w:val="28"/>
        </w:rPr>
        <w:t>線，以及台</w:t>
      </w:r>
      <w:r w:rsidRPr="00D55DC6">
        <w:rPr>
          <w:rFonts w:eastAsia="標楷體"/>
          <w:sz w:val="28"/>
          <w:szCs w:val="28"/>
        </w:rPr>
        <w:t>8</w:t>
      </w:r>
      <w:r w:rsidRPr="00D55DC6">
        <w:rPr>
          <w:rFonts w:eastAsia="標楷體"/>
          <w:sz w:val="28"/>
          <w:szCs w:val="28"/>
        </w:rPr>
        <w:t>線道路沿線休憩據點、停車場、道路景觀、步道、公共廁所等公共及遊憩服務相關設施，提升整體旅遊環境品質。</w:t>
      </w:r>
    </w:p>
    <w:p w:rsidR="005D6EF0" w:rsidRPr="00D55DC6" w:rsidRDefault="005D6EF0" w:rsidP="0038165F">
      <w:pPr>
        <w:pStyle w:val="af2"/>
        <w:snapToGrid w:val="0"/>
        <w:spacing w:line="480" w:lineRule="exact"/>
        <w:ind w:leftChars="250" w:left="849" w:hangingChars="89" w:hanging="249"/>
        <w:jc w:val="both"/>
        <w:rPr>
          <w:rFonts w:eastAsia="標楷體"/>
          <w:sz w:val="28"/>
          <w:szCs w:val="28"/>
        </w:rPr>
      </w:pPr>
      <w:r w:rsidRPr="00D55DC6">
        <w:rPr>
          <w:rFonts w:eastAsia="標楷體"/>
          <w:sz w:val="28"/>
          <w:szCs w:val="28"/>
        </w:rPr>
        <w:t>3.</w:t>
      </w:r>
      <w:r w:rsidRPr="00D55DC6">
        <w:rPr>
          <w:rFonts w:eastAsia="標楷體"/>
          <w:sz w:val="28"/>
          <w:szCs w:val="28"/>
        </w:rPr>
        <w:t>參訪國家風景區</w:t>
      </w:r>
      <w:r w:rsidRPr="00D55DC6">
        <w:rPr>
          <w:rFonts w:eastAsia="標楷體"/>
          <w:sz w:val="28"/>
          <w:szCs w:val="28"/>
        </w:rPr>
        <w:t>(</w:t>
      </w:r>
      <w:r w:rsidRPr="00D55DC6">
        <w:rPr>
          <w:rFonts w:eastAsia="標楷體"/>
          <w:sz w:val="28"/>
          <w:szCs w:val="28"/>
        </w:rPr>
        <w:t>獅頭山風景區、梨山風景區、八卦山風景區</w:t>
      </w:r>
      <w:r w:rsidRPr="00D55DC6">
        <w:rPr>
          <w:rFonts w:eastAsia="標楷體"/>
          <w:sz w:val="28"/>
          <w:szCs w:val="28"/>
        </w:rPr>
        <w:t>)</w:t>
      </w:r>
      <w:r w:rsidRPr="00D55DC6">
        <w:rPr>
          <w:rFonts w:eastAsia="標楷體"/>
          <w:sz w:val="28"/>
          <w:szCs w:val="28"/>
        </w:rPr>
        <w:t>遊客人數</w:t>
      </w:r>
      <w:r w:rsidRPr="00D55DC6">
        <w:rPr>
          <w:rFonts w:eastAsia="標楷體"/>
          <w:sz w:val="28"/>
          <w:szCs w:val="28"/>
        </w:rPr>
        <w:t>(</w:t>
      </w:r>
      <w:r w:rsidRPr="00D55DC6">
        <w:rPr>
          <w:rFonts w:eastAsia="標楷體"/>
          <w:sz w:val="28"/>
          <w:szCs w:val="28"/>
        </w:rPr>
        <w:t>萬人</w:t>
      </w:r>
      <w:r w:rsidRPr="00D55DC6">
        <w:rPr>
          <w:rFonts w:eastAsia="標楷體"/>
          <w:sz w:val="28"/>
          <w:szCs w:val="28"/>
        </w:rPr>
        <w:t>)</w:t>
      </w:r>
      <w:r w:rsidRPr="00D55DC6">
        <w:rPr>
          <w:rFonts w:eastAsia="標楷體"/>
          <w:sz w:val="28"/>
          <w:szCs w:val="28"/>
        </w:rPr>
        <w:t>，預估由</w:t>
      </w:r>
      <w:r w:rsidRPr="00D55DC6">
        <w:rPr>
          <w:rFonts w:eastAsia="標楷體"/>
          <w:sz w:val="28"/>
          <w:szCs w:val="28"/>
        </w:rPr>
        <w:t>105</w:t>
      </w:r>
      <w:r w:rsidRPr="00D55DC6">
        <w:rPr>
          <w:rFonts w:eastAsia="標楷體"/>
          <w:sz w:val="28"/>
          <w:szCs w:val="28"/>
        </w:rPr>
        <w:t>年</w:t>
      </w:r>
      <w:r w:rsidRPr="00D55DC6">
        <w:rPr>
          <w:rFonts w:eastAsia="標楷體"/>
          <w:sz w:val="28"/>
          <w:szCs w:val="28"/>
        </w:rPr>
        <w:t>675</w:t>
      </w:r>
      <w:r w:rsidRPr="00D55DC6">
        <w:rPr>
          <w:rFonts w:eastAsia="標楷體"/>
          <w:sz w:val="28"/>
          <w:szCs w:val="28"/>
        </w:rPr>
        <w:t>萬人至</w:t>
      </w:r>
      <w:r w:rsidRPr="00D55DC6">
        <w:rPr>
          <w:rFonts w:eastAsia="標楷體"/>
          <w:sz w:val="28"/>
          <w:szCs w:val="28"/>
        </w:rPr>
        <w:t>108</w:t>
      </w:r>
      <w:r w:rsidRPr="00D55DC6">
        <w:rPr>
          <w:rFonts w:eastAsia="標楷體"/>
          <w:sz w:val="28"/>
          <w:szCs w:val="28"/>
        </w:rPr>
        <w:t>年達至</w:t>
      </w:r>
      <w:r w:rsidRPr="00D55DC6">
        <w:rPr>
          <w:rFonts w:eastAsia="標楷體"/>
          <w:sz w:val="28"/>
          <w:szCs w:val="28"/>
        </w:rPr>
        <w:t>690</w:t>
      </w:r>
      <w:r w:rsidRPr="00D55DC6">
        <w:rPr>
          <w:rFonts w:eastAsia="標楷體"/>
          <w:sz w:val="28"/>
          <w:szCs w:val="28"/>
        </w:rPr>
        <w:t>萬人次以上。</w:t>
      </w:r>
    </w:p>
    <w:p w:rsidR="005D6EF0" w:rsidRPr="00D55DC6" w:rsidRDefault="005D6EF0" w:rsidP="0038165F">
      <w:pPr>
        <w:pStyle w:val="af2"/>
        <w:snapToGrid w:val="0"/>
        <w:spacing w:line="480" w:lineRule="exact"/>
        <w:ind w:leftChars="250" w:left="849" w:hangingChars="89" w:hanging="249"/>
        <w:jc w:val="both"/>
        <w:rPr>
          <w:rFonts w:eastAsia="標楷體"/>
          <w:sz w:val="28"/>
          <w:szCs w:val="28"/>
        </w:rPr>
      </w:pPr>
      <w:r w:rsidRPr="00D55DC6">
        <w:rPr>
          <w:rFonts w:eastAsia="標楷體"/>
          <w:sz w:val="28"/>
          <w:szCs w:val="28"/>
        </w:rPr>
        <w:t>4.</w:t>
      </w:r>
      <w:r w:rsidRPr="00D55DC6">
        <w:rPr>
          <w:rFonts w:eastAsia="標楷體"/>
          <w:sz w:val="28"/>
          <w:szCs w:val="28"/>
        </w:rPr>
        <w:t>創新行銷策略，同步增進國民旅遊及國際觀光客到訪率，預估</w:t>
      </w:r>
      <w:r w:rsidRPr="00D55DC6">
        <w:rPr>
          <w:rFonts w:eastAsia="標楷體"/>
          <w:sz w:val="28"/>
          <w:szCs w:val="28"/>
        </w:rPr>
        <w:t>4</w:t>
      </w:r>
      <w:r w:rsidRPr="00D55DC6">
        <w:rPr>
          <w:rFonts w:eastAsia="標楷體"/>
          <w:sz w:val="28"/>
          <w:szCs w:val="28"/>
        </w:rPr>
        <w:t>年觀光產值可達</w:t>
      </w:r>
      <w:r w:rsidRPr="00D55DC6">
        <w:rPr>
          <w:rFonts w:eastAsia="標楷體"/>
          <w:sz w:val="28"/>
          <w:szCs w:val="28"/>
        </w:rPr>
        <w:t>336.03</w:t>
      </w:r>
      <w:r w:rsidRPr="00D55DC6">
        <w:rPr>
          <w:rFonts w:eastAsia="標楷體"/>
          <w:sz w:val="28"/>
          <w:szCs w:val="28"/>
        </w:rPr>
        <w:t>億元。</w:t>
      </w:r>
      <w:r w:rsidRPr="00D55DC6">
        <w:rPr>
          <w:rFonts w:eastAsia="標楷體"/>
          <w:sz w:val="28"/>
          <w:szCs w:val="28"/>
        </w:rPr>
        <w:t>(</w:t>
      </w:r>
      <w:r w:rsidRPr="00D55DC6">
        <w:rPr>
          <w:rFonts w:eastAsia="標楷體"/>
          <w:sz w:val="28"/>
          <w:szCs w:val="28"/>
        </w:rPr>
        <w:t>以「</w:t>
      </w:r>
      <w:r w:rsidRPr="00D55DC6">
        <w:rPr>
          <w:rFonts w:eastAsia="標楷體"/>
          <w:sz w:val="28"/>
          <w:szCs w:val="28"/>
        </w:rPr>
        <w:t>102</w:t>
      </w:r>
      <w:r w:rsidRPr="00D55DC6">
        <w:rPr>
          <w:rFonts w:eastAsia="標楷體"/>
          <w:sz w:val="28"/>
          <w:szCs w:val="28"/>
        </w:rPr>
        <w:t>年度國家風景區遊客調查報告」推估每人每日平均消費</w:t>
      </w:r>
      <w:r w:rsidRPr="00D55DC6">
        <w:rPr>
          <w:rFonts w:eastAsia="標楷體"/>
          <w:sz w:val="28"/>
          <w:szCs w:val="28"/>
        </w:rPr>
        <w:t xml:space="preserve">NT$1,256 × </w:t>
      </w:r>
      <w:r w:rsidRPr="00D55DC6">
        <w:rPr>
          <w:rFonts w:eastAsia="標楷體"/>
          <w:sz w:val="28"/>
          <w:szCs w:val="28"/>
        </w:rPr>
        <w:t>各年度遊客人數目標值</w:t>
      </w:r>
      <w:r w:rsidRPr="00D55DC6">
        <w:rPr>
          <w:rFonts w:eastAsia="標楷體"/>
          <w:sz w:val="28"/>
          <w:szCs w:val="28"/>
        </w:rPr>
        <w:t xml:space="preserve"> × </w:t>
      </w:r>
      <w:r w:rsidRPr="00D55DC6">
        <w:rPr>
          <w:rFonts w:eastAsia="標楷體"/>
          <w:sz w:val="28"/>
          <w:szCs w:val="28"/>
        </w:rPr>
        <w:t>估算停留天數</w:t>
      </w:r>
      <w:r w:rsidRPr="00D55DC6">
        <w:rPr>
          <w:rFonts w:eastAsia="標楷體"/>
          <w:sz w:val="28"/>
          <w:szCs w:val="28"/>
        </w:rPr>
        <w:t>0.98</w:t>
      </w:r>
      <w:r w:rsidRPr="00D55DC6">
        <w:rPr>
          <w:rFonts w:eastAsia="標楷體"/>
          <w:sz w:val="28"/>
          <w:szCs w:val="28"/>
        </w:rPr>
        <w:t>天</w:t>
      </w:r>
      <w:r w:rsidRPr="00D55DC6">
        <w:rPr>
          <w:rFonts w:eastAsia="標楷體"/>
          <w:sz w:val="28"/>
          <w:szCs w:val="28"/>
        </w:rPr>
        <w:t>)</w:t>
      </w:r>
      <w:r w:rsidRPr="00D55DC6">
        <w:rPr>
          <w:rFonts w:eastAsia="標楷體"/>
          <w:sz w:val="28"/>
          <w:szCs w:val="28"/>
        </w:rPr>
        <w:t>。</w:t>
      </w:r>
    </w:p>
    <w:p w:rsidR="005D6EF0" w:rsidRPr="00D55DC6" w:rsidRDefault="005D6EF0" w:rsidP="0038165F">
      <w:pPr>
        <w:pStyle w:val="af2"/>
        <w:snapToGrid w:val="0"/>
        <w:spacing w:line="480" w:lineRule="exact"/>
        <w:ind w:leftChars="250" w:left="849" w:hangingChars="89" w:hanging="249"/>
        <w:jc w:val="both"/>
        <w:rPr>
          <w:rFonts w:eastAsia="標楷體"/>
          <w:sz w:val="28"/>
          <w:szCs w:val="28"/>
        </w:rPr>
      </w:pPr>
      <w:r w:rsidRPr="00D55DC6">
        <w:rPr>
          <w:rFonts w:eastAsia="標楷體"/>
          <w:sz w:val="28"/>
          <w:szCs w:val="28"/>
        </w:rPr>
        <w:t>4.</w:t>
      </w:r>
      <w:r w:rsidRPr="00D55DC6">
        <w:rPr>
          <w:rFonts w:eastAsia="標楷體"/>
          <w:sz w:val="28"/>
          <w:szCs w:val="28"/>
        </w:rPr>
        <w:t>吸引民間經費投資建設、引進民間廠商的專業企業經營理念與管理</w:t>
      </w:r>
      <w:r w:rsidRPr="00D55DC6">
        <w:rPr>
          <w:rFonts w:eastAsia="標楷體"/>
          <w:sz w:val="28"/>
          <w:szCs w:val="28"/>
        </w:rPr>
        <w:lastRenderedPageBreak/>
        <w:t>制度，有效改善各項服務設施品質，推動辦理設施委外經營管理，以提升整體遊客服務品質。</w:t>
      </w:r>
    </w:p>
    <w:p w:rsidR="00D03EE9" w:rsidRPr="00D55DC6" w:rsidRDefault="00D03EE9" w:rsidP="0038165F">
      <w:pPr>
        <w:pStyle w:val="af2"/>
        <w:snapToGrid w:val="0"/>
        <w:spacing w:line="480" w:lineRule="exact"/>
        <w:ind w:leftChars="250" w:left="849" w:hangingChars="89" w:hanging="249"/>
        <w:jc w:val="both"/>
        <w:rPr>
          <w:rFonts w:eastAsia="標楷體"/>
          <w:sz w:val="28"/>
          <w:szCs w:val="28"/>
        </w:rPr>
      </w:pPr>
    </w:p>
    <w:p w:rsidR="005D6EF0" w:rsidRPr="00D55DC6" w:rsidRDefault="005D6EF0" w:rsidP="004865C1">
      <w:pPr>
        <w:pStyle w:val="af2"/>
        <w:numPr>
          <w:ilvl w:val="0"/>
          <w:numId w:val="76"/>
        </w:numPr>
        <w:snapToGrid w:val="0"/>
        <w:spacing w:line="480" w:lineRule="exact"/>
        <w:ind w:leftChars="0" w:left="862" w:hanging="862"/>
        <w:jc w:val="both"/>
        <w:rPr>
          <w:rFonts w:eastAsia="標楷體"/>
          <w:b/>
          <w:sz w:val="28"/>
          <w:szCs w:val="28"/>
        </w:rPr>
      </w:pPr>
      <w:r w:rsidRPr="00D55DC6">
        <w:rPr>
          <w:rFonts w:eastAsia="標楷體"/>
          <w:b/>
          <w:sz w:val="28"/>
          <w:szCs w:val="28"/>
        </w:rPr>
        <w:t>達成目標之限制</w:t>
      </w:r>
    </w:p>
    <w:p w:rsidR="005D6EF0" w:rsidRPr="00D55DC6" w:rsidRDefault="005D6EF0" w:rsidP="0038165F">
      <w:pPr>
        <w:pStyle w:val="af2"/>
        <w:snapToGrid w:val="0"/>
        <w:spacing w:line="480" w:lineRule="exact"/>
        <w:ind w:leftChars="250" w:left="849" w:hangingChars="89" w:hanging="249"/>
        <w:jc w:val="both"/>
        <w:rPr>
          <w:rFonts w:eastAsia="標楷體"/>
          <w:sz w:val="28"/>
          <w:szCs w:val="28"/>
        </w:rPr>
      </w:pPr>
      <w:r w:rsidRPr="00D55DC6">
        <w:rPr>
          <w:rFonts w:eastAsia="標楷體"/>
          <w:sz w:val="28"/>
          <w:szCs w:val="28"/>
        </w:rPr>
        <w:t>1.</w:t>
      </w:r>
      <w:r w:rsidRPr="00D55DC6">
        <w:rPr>
          <w:rFonts w:eastAsia="標楷體"/>
          <w:sz w:val="28"/>
          <w:szCs w:val="28"/>
        </w:rPr>
        <w:tab/>
      </w:r>
      <w:r w:rsidRPr="00D55DC6">
        <w:rPr>
          <w:rFonts w:eastAsia="標楷體"/>
          <w:sz w:val="28"/>
          <w:szCs w:val="28"/>
        </w:rPr>
        <w:t>建設用地取得限制：部分土地位處保護區、森林區、山坡地保育區或水源水質保護區，觀光設施開發受限，地權取得、地用變更耗時費力，延緩觀光建設期程。需提早規劃建設期程，並加強與相關主管機關溝通解決。</w:t>
      </w:r>
    </w:p>
    <w:p w:rsidR="005D6EF0" w:rsidRPr="00D55DC6" w:rsidRDefault="003E4A01" w:rsidP="0038165F">
      <w:pPr>
        <w:pStyle w:val="af2"/>
        <w:snapToGrid w:val="0"/>
        <w:spacing w:line="480" w:lineRule="exact"/>
        <w:ind w:leftChars="250" w:left="849" w:hangingChars="89" w:hanging="249"/>
        <w:jc w:val="both"/>
        <w:rPr>
          <w:rFonts w:eastAsia="標楷體"/>
          <w:sz w:val="28"/>
          <w:szCs w:val="28"/>
        </w:rPr>
      </w:pPr>
      <w:r w:rsidRPr="00D55DC6">
        <w:rPr>
          <w:rFonts w:eastAsia="標楷體"/>
          <w:sz w:val="28"/>
          <w:szCs w:val="28"/>
        </w:rPr>
        <w:t>2</w:t>
      </w:r>
      <w:r w:rsidR="005D6EF0" w:rsidRPr="00D55DC6">
        <w:rPr>
          <w:rFonts w:eastAsia="標楷體"/>
          <w:sz w:val="28"/>
          <w:szCs w:val="28"/>
        </w:rPr>
        <w:t>.</w:t>
      </w:r>
      <w:r w:rsidR="005D6EF0" w:rsidRPr="00D55DC6">
        <w:rPr>
          <w:rFonts w:eastAsia="標楷體"/>
          <w:sz w:val="28"/>
          <w:szCs w:val="28"/>
        </w:rPr>
        <w:tab/>
      </w:r>
      <w:r w:rsidR="005D6EF0" w:rsidRPr="00D55DC6">
        <w:rPr>
          <w:rFonts w:eastAsia="標楷體"/>
          <w:sz w:val="28"/>
          <w:szCs w:val="28"/>
        </w:rPr>
        <w:t>觀光發展管理事權及觀念待整合：景點開發建設事涉眾多公部門權責單位，需逐案透過協調溝通，統合相關權責單位，達發展共識。</w:t>
      </w:r>
    </w:p>
    <w:p w:rsidR="005D6EF0" w:rsidRPr="00D55DC6" w:rsidRDefault="003E4A01" w:rsidP="0038165F">
      <w:pPr>
        <w:pStyle w:val="af2"/>
        <w:snapToGrid w:val="0"/>
        <w:spacing w:line="480" w:lineRule="exact"/>
        <w:ind w:leftChars="250" w:left="849" w:hangingChars="89" w:hanging="249"/>
        <w:jc w:val="both"/>
        <w:rPr>
          <w:rFonts w:eastAsia="標楷體"/>
          <w:sz w:val="28"/>
          <w:szCs w:val="28"/>
        </w:rPr>
      </w:pPr>
      <w:r w:rsidRPr="00D55DC6">
        <w:rPr>
          <w:rFonts w:eastAsia="標楷體"/>
          <w:sz w:val="28"/>
          <w:szCs w:val="28"/>
        </w:rPr>
        <w:t>3</w:t>
      </w:r>
      <w:r w:rsidR="005D6EF0" w:rsidRPr="00D55DC6">
        <w:rPr>
          <w:rFonts w:eastAsia="標楷體"/>
          <w:sz w:val="28"/>
          <w:szCs w:val="28"/>
        </w:rPr>
        <w:t>.</w:t>
      </w:r>
      <w:r w:rsidR="005D6EF0" w:rsidRPr="00D55DC6">
        <w:rPr>
          <w:rFonts w:eastAsia="標楷體"/>
          <w:sz w:val="28"/>
          <w:szCs w:val="28"/>
        </w:rPr>
        <w:tab/>
      </w:r>
      <w:r w:rsidR="005D6EF0" w:rsidRPr="00D55DC6">
        <w:rPr>
          <w:rFonts w:eastAsia="標楷體"/>
          <w:sz w:val="28"/>
          <w:szCs w:val="28"/>
        </w:rPr>
        <w:t>自然地理環境限制：部分熱門景點因發展腹地有限，遊客量、交通易產生擁擠現象，宜針對環境本質推動適宜性的規劃建設，並作適當的承載量規劃及管制。</w:t>
      </w:r>
    </w:p>
    <w:p w:rsidR="005D6EF0" w:rsidRPr="00D55DC6" w:rsidRDefault="003E4A01" w:rsidP="0038165F">
      <w:pPr>
        <w:pStyle w:val="af2"/>
        <w:snapToGrid w:val="0"/>
        <w:spacing w:line="480" w:lineRule="exact"/>
        <w:ind w:leftChars="250" w:left="849" w:hangingChars="89" w:hanging="249"/>
        <w:jc w:val="both"/>
        <w:rPr>
          <w:rFonts w:eastAsia="標楷體"/>
          <w:sz w:val="28"/>
          <w:szCs w:val="28"/>
        </w:rPr>
      </w:pPr>
      <w:r w:rsidRPr="00D55DC6">
        <w:rPr>
          <w:rFonts w:eastAsia="標楷體"/>
          <w:sz w:val="28"/>
          <w:szCs w:val="28"/>
        </w:rPr>
        <w:t>4</w:t>
      </w:r>
      <w:r w:rsidR="005D6EF0" w:rsidRPr="00D55DC6">
        <w:rPr>
          <w:rFonts w:eastAsia="標楷體"/>
          <w:sz w:val="28"/>
          <w:szCs w:val="28"/>
        </w:rPr>
        <w:t>.</w:t>
      </w:r>
      <w:r w:rsidR="005D6EF0" w:rsidRPr="00D55DC6">
        <w:rPr>
          <w:rFonts w:eastAsia="標楷體"/>
          <w:sz w:val="28"/>
          <w:szCs w:val="28"/>
        </w:rPr>
        <w:tab/>
      </w:r>
      <w:r w:rsidR="005D6EF0" w:rsidRPr="00D55DC6">
        <w:rPr>
          <w:rFonts w:eastAsia="標楷體"/>
          <w:sz w:val="28"/>
          <w:szCs w:val="28"/>
        </w:rPr>
        <w:t>原住民地區開發限制：部分景點位於原住民族地區，原住民族基本法公布實施後，規定政府或私人於原住民族土地內從事土地開發、資源利用、生態保育及學術研究，均應諮詢並取得原住民族同意或參與，原住民得分享相關利益；加上區內原住民族自主意志高，衝擊相關建設，進而影響相關建設時程。</w:t>
      </w:r>
    </w:p>
    <w:p w:rsidR="005D6EF0" w:rsidRPr="00D55DC6" w:rsidRDefault="003E4A01" w:rsidP="0038165F">
      <w:pPr>
        <w:pStyle w:val="af2"/>
        <w:snapToGrid w:val="0"/>
        <w:spacing w:line="480" w:lineRule="exact"/>
        <w:ind w:leftChars="250" w:left="849" w:hangingChars="89" w:hanging="249"/>
        <w:jc w:val="both"/>
        <w:rPr>
          <w:rFonts w:eastAsia="標楷體"/>
          <w:sz w:val="28"/>
          <w:szCs w:val="28"/>
        </w:rPr>
      </w:pPr>
      <w:r w:rsidRPr="00D55DC6">
        <w:rPr>
          <w:rFonts w:eastAsia="標楷體"/>
          <w:sz w:val="28"/>
          <w:szCs w:val="28"/>
        </w:rPr>
        <w:t>5</w:t>
      </w:r>
      <w:r w:rsidR="005D6EF0" w:rsidRPr="00D55DC6">
        <w:rPr>
          <w:rFonts w:eastAsia="標楷體"/>
          <w:sz w:val="28"/>
          <w:szCs w:val="28"/>
        </w:rPr>
        <w:t>.</w:t>
      </w:r>
      <w:r w:rsidR="005D6EF0" w:rsidRPr="00D55DC6">
        <w:rPr>
          <w:rFonts w:eastAsia="標楷體"/>
          <w:sz w:val="28"/>
          <w:szCs w:val="28"/>
        </w:rPr>
        <w:tab/>
      </w:r>
      <w:r w:rsidR="005D6EF0" w:rsidRPr="00D55DC6">
        <w:rPr>
          <w:rFonts w:eastAsia="標楷體"/>
          <w:sz w:val="28"/>
          <w:szCs w:val="28"/>
        </w:rPr>
        <w:t>開發行為法規限制：部分開發案需辦理都市計畫變更或環境影響評估，因審議過程繁複，時程不易掌握，常影響景點之開發建設。將寬列計畫推動期程，並積極推動相關應辦事項。</w:t>
      </w:r>
    </w:p>
    <w:p w:rsidR="005D6EF0" w:rsidRPr="00D55DC6" w:rsidRDefault="005D6EF0" w:rsidP="0038165F">
      <w:pPr>
        <w:pStyle w:val="af2"/>
        <w:snapToGrid w:val="0"/>
        <w:spacing w:line="480" w:lineRule="exact"/>
        <w:ind w:leftChars="250" w:left="849" w:hangingChars="89" w:hanging="249"/>
        <w:jc w:val="both"/>
        <w:rPr>
          <w:rFonts w:eastAsia="標楷體"/>
          <w:sz w:val="28"/>
          <w:szCs w:val="28"/>
        </w:rPr>
      </w:pPr>
    </w:p>
    <w:p w:rsidR="003E4A01" w:rsidRPr="00D55DC6" w:rsidRDefault="003E4A01" w:rsidP="0038165F">
      <w:pPr>
        <w:pStyle w:val="af2"/>
        <w:snapToGrid w:val="0"/>
        <w:spacing w:line="480" w:lineRule="exact"/>
        <w:ind w:leftChars="250" w:left="849" w:hangingChars="89" w:hanging="249"/>
        <w:jc w:val="both"/>
        <w:rPr>
          <w:rFonts w:eastAsia="標楷體"/>
          <w:sz w:val="28"/>
          <w:szCs w:val="28"/>
        </w:rPr>
      </w:pPr>
    </w:p>
    <w:p w:rsidR="00D03EE9" w:rsidRPr="00D55DC6" w:rsidRDefault="00D03EE9" w:rsidP="0038165F">
      <w:pPr>
        <w:pStyle w:val="af2"/>
        <w:snapToGrid w:val="0"/>
        <w:spacing w:line="480" w:lineRule="exact"/>
        <w:ind w:leftChars="250" w:left="849" w:hangingChars="89" w:hanging="249"/>
        <w:jc w:val="both"/>
        <w:rPr>
          <w:rFonts w:eastAsia="標楷體"/>
          <w:sz w:val="28"/>
          <w:szCs w:val="28"/>
        </w:rPr>
      </w:pPr>
    </w:p>
    <w:p w:rsidR="003E4A01" w:rsidRPr="00D55DC6" w:rsidRDefault="003E4A01" w:rsidP="0038165F">
      <w:pPr>
        <w:pStyle w:val="af2"/>
        <w:snapToGrid w:val="0"/>
        <w:spacing w:line="480" w:lineRule="exact"/>
        <w:ind w:leftChars="250" w:left="849" w:hangingChars="89" w:hanging="249"/>
        <w:jc w:val="both"/>
        <w:rPr>
          <w:rFonts w:eastAsia="標楷體"/>
          <w:sz w:val="28"/>
          <w:szCs w:val="28"/>
        </w:rPr>
      </w:pPr>
    </w:p>
    <w:p w:rsidR="003E4A01" w:rsidRPr="00D55DC6" w:rsidRDefault="003E4A01" w:rsidP="0038165F">
      <w:pPr>
        <w:pStyle w:val="af2"/>
        <w:snapToGrid w:val="0"/>
        <w:spacing w:line="480" w:lineRule="exact"/>
        <w:ind w:leftChars="250" w:left="849" w:hangingChars="89" w:hanging="249"/>
        <w:jc w:val="both"/>
        <w:rPr>
          <w:rFonts w:eastAsia="標楷體"/>
          <w:sz w:val="28"/>
          <w:szCs w:val="28"/>
        </w:rPr>
      </w:pPr>
    </w:p>
    <w:p w:rsidR="003E4A01" w:rsidRPr="00D55DC6" w:rsidRDefault="003E4A01" w:rsidP="0038165F">
      <w:pPr>
        <w:pStyle w:val="af2"/>
        <w:snapToGrid w:val="0"/>
        <w:spacing w:line="480" w:lineRule="exact"/>
        <w:ind w:leftChars="250" w:left="849" w:hangingChars="89" w:hanging="249"/>
        <w:jc w:val="both"/>
        <w:rPr>
          <w:rFonts w:eastAsia="標楷體"/>
          <w:sz w:val="28"/>
          <w:szCs w:val="28"/>
        </w:rPr>
      </w:pPr>
    </w:p>
    <w:p w:rsidR="003E4A01" w:rsidRPr="00D55DC6" w:rsidRDefault="003E4A01" w:rsidP="0038165F">
      <w:pPr>
        <w:pStyle w:val="af2"/>
        <w:snapToGrid w:val="0"/>
        <w:spacing w:line="480" w:lineRule="exact"/>
        <w:ind w:leftChars="250" w:left="849" w:hangingChars="89" w:hanging="249"/>
        <w:jc w:val="both"/>
        <w:rPr>
          <w:rFonts w:eastAsia="標楷體"/>
          <w:sz w:val="28"/>
          <w:szCs w:val="28"/>
        </w:rPr>
      </w:pPr>
    </w:p>
    <w:p w:rsidR="003E4A01" w:rsidRPr="00D55DC6" w:rsidRDefault="003E4A01" w:rsidP="0038165F">
      <w:pPr>
        <w:pStyle w:val="af2"/>
        <w:snapToGrid w:val="0"/>
        <w:spacing w:line="480" w:lineRule="exact"/>
        <w:ind w:leftChars="250" w:left="849" w:hangingChars="89" w:hanging="249"/>
        <w:jc w:val="both"/>
        <w:rPr>
          <w:rFonts w:eastAsia="標楷體"/>
          <w:sz w:val="28"/>
          <w:szCs w:val="28"/>
        </w:rPr>
      </w:pPr>
    </w:p>
    <w:p w:rsidR="005D6EF0" w:rsidRPr="00D55DC6" w:rsidRDefault="005D6EF0" w:rsidP="004865C1">
      <w:pPr>
        <w:pStyle w:val="af2"/>
        <w:numPr>
          <w:ilvl w:val="0"/>
          <w:numId w:val="76"/>
        </w:numPr>
        <w:snapToGrid w:val="0"/>
        <w:spacing w:afterLines="50" w:after="180" w:line="480" w:lineRule="exact"/>
        <w:ind w:leftChars="0" w:left="862" w:hanging="862"/>
        <w:jc w:val="both"/>
        <w:rPr>
          <w:rFonts w:eastAsia="標楷體"/>
          <w:b/>
          <w:sz w:val="28"/>
          <w:szCs w:val="28"/>
        </w:rPr>
      </w:pPr>
      <w:r w:rsidRPr="00D55DC6">
        <w:rPr>
          <w:rFonts w:eastAsia="標楷體"/>
          <w:b/>
          <w:sz w:val="28"/>
          <w:szCs w:val="28"/>
        </w:rPr>
        <w:lastRenderedPageBreak/>
        <w:t>績效指標、衡量標準及目標值</w:t>
      </w:r>
    </w:p>
    <w:tbl>
      <w:tblPr>
        <w:tblW w:w="9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6"/>
        <w:gridCol w:w="2511"/>
        <w:gridCol w:w="1216"/>
        <w:gridCol w:w="1234"/>
        <w:gridCol w:w="1082"/>
        <w:gridCol w:w="1082"/>
        <w:gridCol w:w="1082"/>
        <w:gridCol w:w="1094"/>
      </w:tblGrid>
      <w:tr w:rsidR="001D0350" w:rsidRPr="00D55DC6" w:rsidTr="00A82A80">
        <w:trPr>
          <w:trHeight w:val="345"/>
          <w:tblHeader/>
          <w:jc w:val="center"/>
        </w:trPr>
        <w:tc>
          <w:tcPr>
            <w:tcW w:w="516" w:type="dxa"/>
            <w:vMerge w:val="restart"/>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項</w:t>
            </w:r>
          </w:p>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目</w:t>
            </w:r>
          </w:p>
        </w:tc>
        <w:tc>
          <w:tcPr>
            <w:tcW w:w="2511" w:type="dxa"/>
            <w:vMerge w:val="restart"/>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衡量指標</w:t>
            </w:r>
          </w:p>
        </w:tc>
        <w:tc>
          <w:tcPr>
            <w:tcW w:w="2450" w:type="dxa"/>
            <w:gridSpan w:val="2"/>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衡量基準</w:t>
            </w:r>
          </w:p>
        </w:tc>
        <w:tc>
          <w:tcPr>
            <w:tcW w:w="4340" w:type="dxa"/>
            <w:gridSpan w:val="4"/>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預期目標值</w:t>
            </w:r>
          </w:p>
        </w:tc>
      </w:tr>
      <w:tr w:rsidR="001D0350" w:rsidRPr="00D55DC6" w:rsidTr="00A82A80">
        <w:trPr>
          <w:trHeight w:val="345"/>
          <w:tblHeader/>
          <w:jc w:val="center"/>
        </w:trPr>
        <w:tc>
          <w:tcPr>
            <w:tcW w:w="516" w:type="dxa"/>
            <w:vMerge/>
            <w:vAlign w:val="center"/>
          </w:tcPr>
          <w:p w:rsidR="005D6EF0" w:rsidRPr="00D55DC6" w:rsidRDefault="005D6EF0" w:rsidP="0038165F">
            <w:pPr>
              <w:widowControl/>
              <w:spacing w:line="480" w:lineRule="exact"/>
              <w:jc w:val="center"/>
              <w:rPr>
                <w:rFonts w:eastAsia="標楷體"/>
                <w:kern w:val="0"/>
                <w:sz w:val="28"/>
                <w:szCs w:val="28"/>
              </w:rPr>
            </w:pPr>
          </w:p>
        </w:tc>
        <w:tc>
          <w:tcPr>
            <w:tcW w:w="2511" w:type="dxa"/>
            <w:vMerge/>
            <w:vAlign w:val="center"/>
          </w:tcPr>
          <w:p w:rsidR="005D6EF0" w:rsidRPr="00D55DC6" w:rsidRDefault="005D6EF0" w:rsidP="0038165F">
            <w:pPr>
              <w:widowControl/>
              <w:spacing w:line="480" w:lineRule="exact"/>
              <w:jc w:val="center"/>
              <w:rPr>
                <w:rFonts w:eastAsia="標楷體"/>
                <w:kern w:val="0"/>
                <w:sz w:val="28"/>
                <w:szCs w:val="28"/>
              </w:rPr>
            </w:pPr>
          </w:p>
        </w:tc>
        <w:tc>
          <w:tcPr>
            <w:tcW w:w="1216" w:type="dxa"/>
            <w:vAlign w:val="center"/>
          </w:tcPr>
          <w:p w:rsidR="005D6EF0" w:rsidRPr="00D55DC6" w:rsidRDefault="005D6EF0" w:rsidP="00F85718">
            <w:pPr>
              <w:widowControl/>
              <w:spacing w:line="480" w:lineRule="exact"/>
              <w:jc w:val="center"/>
              <w:rPr>
                <w:rFonts w:eastAsia="標楷體"/>
                <w:kern w:val="0"/>
                <w:sz w:val="28"/>
                <w:szCs w:val="28"/>
              </w:rPr>
            </w:pPr>
            <w:r w:rsidRPr="00D55DC6">
              <w:rPr>
                <w:rFonts w:eastAsia="標楷體"/>
                <w:kern w:val="0"/>
                <w:sz w:val="28"/>
                <w:szCs w:val="28"/>
              </w:rPr>
              <w:t>102</w:t>
            </w:r>
            <w:r w:rsidRPr="00D55DC6">
              <w:rPr>
                <w:rFonts w:eastAsia="標楷體"/>
                <w:kern w:val="0"/>
                <w:sz w:val="28"/>
                <w:szCs w:val="28"/>
              </w:rPr>
              <w:t>年</w:t>
            </w:r>
          </w:p>
        </w:tc>
        <w:tc>
          <w:tcPr>
            <w:tcW w:w="1234" w:type="dxa"/>
            <w:vAlign w:val="center"/>
          </w:tcPr>
          <w:p w:rsidR="005D6EF0" w:rsidRPr="00D55DC6" w:rsidRDefault="005D6EF0" w:rsidP="00F85718">
            <w:pPr>
              <w:widowControl/>
              <w:spacing w:line="480" w:lineRule="exact"/>
              <w:jc w:val="center"/>
              <w:rPr>
                <w:rFonts w:eastAsia="標楷體"/>
                <w:kern w:val="0"/>
                <w:sz w:val="28"/>
                <w:szCs w:val="28"/>
              </w:rPr>
            </w:pPr>
            <w:r w:rsidRPr="00D55DC6">
              <w:rPr>
                <w:rFonts w:eastAsia="標楷體"/>
                <w:kern w:val="0"/>
                <w:sz w:val="28"/>
                <w:szCs w:val="28"/>
              </w:rPr>
              <w:t>103</w:t>
            </w:r>
            <w:r w:rsidRPr="00D55DC6">
              <w:rPr>
                <w:rFonts w:eastAsia="標楷體"/>
                <w:kern w:val="0"/>
                <w:sz w:val="28"/>
                <w:szCs w:val="28"/>
              </w:rPr>
              <w:t>年</w:t>
            </w:r>
          </w:p>
        </w:tc>
        <w:tc>
          <w:tcPr>
            <w:tcW w:w="1082"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105</w:t>
            </w:r>
            <w:r w:rsidRPr="00D55DC6">
              <w:rPr>
                <w:rFonts w:eastAsia="標楷體"/>
                <w:kern w:val="0"/>
                <w:sz w:val="28"/>
                <w:szCs w:val="28"/>
              </w:rPr>
              <w:t>年</w:t>
            </w:r>
          </w:p>
        </w:tc>
        <w:tc>
          <w:tcPr>
            <w:tcW w:w="1082"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106</w:t>
            </w:r>
            <w:r w:rsidRPr="00D55DC6">
              <w:rPr>
                <w:rFonts w:eastAsia="標楷體"/>
                <w:kern w:val="0"/>
                <w:sz w:val="28"/>
                <w:szCs w:val="28"/>
              </w:rPr>
              <w:t>年</w:t>
            </w:r>
          </w:p>
        </w:tc>
        <w:tc>
          <w:tcPr>
            <w:tcW w:w="1082"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107</w:t>
            </w:r>
            <w:r w:rsidRPr="00D55DC6">
              <w:rPr>
                <w:rFonts w:eastAsia="標楷體"/>
                <w:kern w:val="0"/>
                <w:sz w:val="28"/>
                <w:szCs w:val="28"/>
              </w:rPr>
              <w:t>年</w:t>
            </w:r>
          </w:p>
        </w:tc>
        <w:tc>
          <w:tcPr>
            <w:tcW w:w="1094"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108</w:t>
            </w:r>
            <w:r w:rsidRPr="00D55DC6">
              <w:rPr>
                <w:rFonts w:eastAsia="標楷體"/>
                <w:kern w:val="0"/>
                <w:sz w:val="28"/>
                <w:szCs w:val="28"/>
              </w:rPr>
              <w:t>年</w:t>
            </w:r>
          </w:p>
        </w:tc>
      </w:tr>
      <w:tr w:rsidR="001D0350" w:rsidRPr="00D55DC6" w:rsidTr="00A82A80">
        <w:trPr>
          <w:trHeight w:val="675"/>
          <w:jc w:val="center"/>
        </w:trPr>
        <w:tc>
          <w:tcPr>
            <w:tcW w:w="516"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1</w:t>
            </w:r>
          </w:p>
        </w:tc>
        <w:tc>
          <w:tcPr>
            <w:tcW w:w="2511"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重要觀光景點建設</w:t>
            </w:r>
          </w:p>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完成數</w:t>
            </w:r>
            <w:r w:rsidRPr="00D55DC6">
              <w:rPr>
                <w:rFonts w:eastAsia="標楷體"/>
                <w:kern w:val="0"/>
                <w:sz w:val="28"/>
                <w:szCs w:val="28"/>
              </w:rPr>
              <w:t>(</w:t>
            </w:r>
            <w:r w:rsidRPr="00D55DC6">
              <w:rPr>
                <w:rFonts w:eastAsia="標楷體"/>
                <w:kern w:val="0"/>
                <w:sz w:val="28"/>
                <w:szCs w:val="28"/>
              </w:rPr>
              <w:t>處</w:t>
            </w:r>
            <w:r w:rsidRPr="00D55DC6">
              <w:rPr>
                <w:rFonts w:eastAsia="標楷體"/>
                <w:kern w:val="0"/>
                <w:sz w:val="28"/>
                <w:szCs w:val="28"/>
              </w:rPr>
              <w:t>)</w:t>
            </w:r>
          </w:p>
        </w:tc>
        <w:tc>
          <w:tcPr>
            <w:tcW w:w="1216"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5</w:t>
            </w:r>
          </w:p>
        </w:tc>
        <w:tc>
          <w:tcPr>
            <w:tcW w:w="1234"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5</w:t>
            </w:r>
          </w:p>
        </w:tc>
        <w:tc>
          <w:tcPr>
            <w:tcW w:w="1082"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5</w:t>
            </w:r>
          </w:p>
        </w:tc>
        <w:tc>
          <w:tcPr>
            <w:tcW w:w="1082"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6</w:t>
            </w:r>
          </w:p>
        </w:tc>
        <w:tc>
          <w:tcPr>
            <w:tcW w:w="1082"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5</w:t>
            </w:r>
          </w:p>
        </w:tc>
        <w:tc>
          <w:tcPr>
            <w:tcW w:w="1094"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6</w:t>
            </w:r>
          </w:p>
        </w:tc>
      </w:tr>
      <w:tr w:rsidR="001D0350" w:rsidRPr="00D55DC6" w:rsidTr="00A82A80">
        <w:trPr>
          <w:trHeight w:val="675"/>
          <w:jc w:val="center"/>
        </w:trPr>
        <w:tc>
          <w:tcPr>
            <w:tcW w:w="516"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2</w:t>
            </w:r>
          </w:p>
        </w:tc>
        <w:tc>
          <w:tcPr>
            <w:tcW w:w="2511"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參訪國家風景區</w:t>
            </w:r>
          </w:p>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遊客人數</w:t>
            </w:r>
            <w:r w:rsidRPr="00D55DC6">
              <w:rPr>
                <w:rFonts w:eastAsia="標楷體"/>
                <w:kern w:val="0"/>
                <w:sz w:val="28"/>
                <w:szCs w:val="28"/>
              </w:rPr>
              <w:t>(</w:t>
            </w:r>
            <w:r w:rsidRPr="00D55DC6">
              <w:rPr>
                <w:rFonts w:eastAsia="標楷體"/>
                <w:kern w:val="0"/>
                <w:sz w:val="28"/>
                <w:szCs w:val="28"/>
              </w:rPr>
              <w:t>萬人</w:t>
            </w:r>
            <w:r w:rsidRPr="00D55DC6">
              <w:rPr>
                <w:rFonts w:eastAsia="標楷體"/>
                <w:kern w:val="0"/>
                <w:sz w:val="28"/>
                <w:szCs w:val="28"/>
              </w:rPr>
              <w:t>)</w:t>
            </w:r>
          </w:p>
        </w:tc>
        <w:tc>
          <w:tcPr>
            <w:tcW w:w="1216"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683</w:t>
            </w:r>
          </w:p>
        </w:tc>
        <w:tc>
          <w:tcPr>
            <w:tcW w:w="1234"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605</w:t>
            </w:r>
          </w:p>
        </w:tc>
        <w:tc>
          <w:tcPr>
            <w:tcW w:w="1082"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675</w:t>
            </w:r>
          </w:p>
        </w:tc>
        <w:tc>
          <w:tcPr>
            <w:tcW w:w="1082"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680</w:t>
            </w:r>
          </w:p>
        </w:tc>
        <w:tc>
          <w:tcPr>
            <w:tcW w:w="1082"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685</w:t>
            </w:r>
          </w:p>
        </w:tc>
        <w:tc>
          <w:tcPr>
            <w:tcW w:w="1094"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690</w:t>
            </w:r>
          </w:p>
        </w:tc>
      </w:tr>
      <w:tr w:rsidR="001D0350" w:rsidRPr="00D55DC6" w:rsidTr="00A82A80">
        <w:trPr>
          <w:trHeight w:val="675"/>
          <w:jc w:val="center"/>
        </w:trPr>
        <w:tc>
          <w:tcPr>
            <w:tcW w:w="516"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3</w:t>
            </w:r>
          </w:p>
        </w:tc>
        <w:tc>
          <w:tcPr>
            <w:tcW w:w="2511"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觀光產值</w:t>
            </w:r>
            <w:r w:rsidRPr="00D55DC6">
              <w:rPr>
                <w:rFonts w:eastAsia="標楷體"/>
                <w:kern w:val="0"/>
                <w:sz w:val="28"/>
                <w:szCs w:val="28"/>
              </w:rPr>
              <w:t>(</w:t>
            </w:r>
            <w:r w:rsidRPr="00D55DC6">
              <w:rPr>
                <w:rFonts w:eastAsia="標楷體"/>
                <w:kern w:val="0"/>
                <w:sz w:val="28"/>
                <w:szCs w:val="28"/>
              </w:rPr>
              <w:t>億元</w:t>
            </w:r>
            <w:r w:rsidRPr="00D55DC6">
              <w:rPr>
                <w:rFonts w:eastAsia="標楷體"/>
                <w:kern w:val="0"/>
                <w:sz w:val="28"/>
                <w:szCs w:val="28"/>
              </w:rPr>
              <w:t>)</w:t>
            </w:r>
          </w:p>
        </w:tc>
        <w:tc>
          <w:tcPr>
            <w:tcW w:w="1216"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84.07</w:t>
            </w:r>
          </w:p>
        </w:tc>
        <w:tc>
          <w:tcPr>
            <w:tcW w:w="1234"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74.47</w:t>
            </w:r>
          </w:p>
        </w:tc>
        <w:tc>
          <w:tcPr>
            <w:tcW w:w="1082"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83.08</w:t>
            </w:r>
          </w:p>
        </w:tc>
        <w:tc>
          <w:tcPr>
            <w:tcW w:w="1082"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83.70</w:t>
            </w:r>
          </w:p>
        </w:tc>
        <w:tc>
          <w:tcPr>
            <w:tcW w:w="1082"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84.32</w:t>
            </w:r>
          </w:p>
        </w:tc>
        <w:tc>
          <w:tcPr>
            <w:tcW w:w="1094" w:type="dxa"/>
            <w:vAlign w:val="center"/>
          </w:tcPr>
          <w:p w:rsidR="005D6EF0" w:rsidRPr="00D55DC6" w:rsidRDefault="005D6EF0" w:rsidP="0038165F">
            <w:pPr>
              <w:widowControl/>
              <w:spacing w:line="480" w:lineRule="exact"/>
              <w:jc w:val="center"/>
              <w:rPr>
                <w:rFonts w:eastAsia="標楷體"/>
                <w:kern w:val="0"/>
                <w:sz w:val="28"/>
                <w:szCs w:val="28"/>
              </w:rPr>
            </w:pPr>
            <w:r w:rsidRPr="00D55DC6">
              <w:rPr>
                <w:rFonts w:eastAsia="標楷體"/>
                <w:kern w:val="0"/>
                <w:sz w:val="28"/>
                <w:szCs w:val="28"/>
              </w:rPr>
              <w:t>84.93</w:t>
            </w:r>
          </w:p>
        </w:tc>
      </w:tr>
      <w:tr w:rsidR="001D0350" w:rsidRPr="00D55DC6" w:rsidTr="002A3B8B">
        <w:trPr>
          <w:trHeight w:val="675"/>
          <w:jc w:val="center"/>
        </w:trPr>
        <w:tc>
          <w:tcPr>
            <w:tcW w:w="516" w:type="dxa"/>
          </w:tcPr>
          <w:p w:rsidR="00ED041B" w:rsidRPr="00D55DC6" w:rsidRDefault="00ED041B" w:rsidP="002A3B8B">
            <w:pPr>
              <w:widowControl/>
              <w:spacing w:line="460" w:lineRule="exact"/>
              <w:jc w:val="center"/>
              <w:rPr>
                <w:rFonts w:eastAsia="標楷體"/>
                <w:kern w:val="0"/>
                <w:sz w:val="28"/>
                <w:szCs w:val="28"/>
              </w:rPr>
            </w:pPr>
            <w:r w:rsidRPr="00D55DC6">
              <w:rPr>
                <w:rFonts w:eastAsia="標楷體"/>
                <w:kern w:val="0"/>
                <w:sz w:val="28"/>
                <w:szCs w:val="28"/>
              </w:rPr>
              <w:t>4</w:t>
            </w:r>
          </w:p>
        </w:tc>
        <w:tc>
          <w:tcPr>
            <w:tcW w:w="2511" w:type="dxa"/>
          </w:tcPr>
          <w:p w:rsidR="00ED041B" w:rsidRPr="00D55DC6" w:rsidRDefault="00ED041B" w:rsidP="00ED041B">
            <w:pPr>
              <w:widowControl/>
              <w:spacing w:line="480" w:lineRule="exact"/>
              <w:jc w:val="center"/>
              <w:rPr>
                <w:rFonts w:eastAsia="標楷體"/>
                <w:kern w:val="0"/>
                <w:sz w:val="28"/>
                <w:szCs w:val="28"/>
              </w:rPr>
            </w:pPr>
            <w:r w:rsidRPr="00D55DC6">
              <w:rPr>
                <w:rFonts w:eastAsia="標楷體"/>
                <w:kern w:val="0"/>
                <w:sz w:val="28"/>
                <w:szCs w:val="28"/>
              </w:rPr>
              <w:t>性別友善設施</w:t>
            </w:r>
          </w:p>
          <w:p w:rsidR="00ED041B" w:rsidRPr="00D55DC6" w:rsidRDefault="00ED041B" w:rsidP="00ED041B">
            <w:pPr>
              <w:widowControl/>
              <w:spacing w:line="480" w:lineRule="exact"/>
              <w:jc w:val="center"/>
              <w:rPr>
                <w:rFonts w:eastAsia="標楷體"/>
                <w:kern w:val="0"/>
                <w:sz w:val="28"/>
                <w:szCs w:val="28"/>
              </w:rPr>
            </w:pPr>
            <w:r w:rsidRPr="00D55DC6">
              <w:rPr>
                <w:rFonts w:eastAsia="標楷體"/>
                <w:kern w:val="0"/>
                <w:sz w:val="28"/>
                <w:szCs w:val="28"/>
              </w:rPr>
              <w:t>完成數</w:t>
            </w:r>
            <w:r w:rsidRPr="00D55DC6">
              <w:rPr>
                <w:rFonts w:eastAsia="標楷體"/>
                <w:kern w:val="0"/>
                <w:sz w:val="28"/>
                <w:szCs w:val="28"/>
              </w:rPr>
              <w:t>(</w:t>
            </w:r>
            <w:r w:rsidRPr="00D55DC6">
              <w:rPr>
                <w:rFonts w:eastAsia="標楷體"/>
                <w:kern w:val="0"/>
                <w:sz w:val="28"/>
                <w:szCs w:val="28"/>
              </w:rPr>
              <w:t>處</w:t>
            </w:r>
            <w:r w:rsidRPr="00D55DC6">
              <w:rPr>
                <w:rFonts w:eastAsia="標楷體"/>
                <w:kern w:val="0"/>
                <w:sz w:val="28"/>
                <w:szCs w:val="28"/>
              </w:rPr>
              <w:t>)</w:t>
            </w:r>
          </w:p>
        </w:tc>
        <w:tc>
          <w:tcPr>
            <w:tcW w:w="1216" w:type="dxa"/>
            <w:vAlign w:val="center"/>
          </w:tcPr>
          <w:p w:rsidR="00ED041B" w:rsidRPr="00D55DC6" w:rsidRDefault="00E852D0" w:rsidP="0038165F">
            <w:pPr>
              <w:widowControl/>
              <w:spacing w:line="480" w:lineRule="exact"/>
              <w:jc w:val="center"/>
              <w:rPr>
                <w:rFonts w:eastAsia="標楷體"/>
                <w:kern w:val="0"/>
                <w:sz w:val="28"/>
                <w:szCs w:val="28"/>
              </w:rPr>
            </w:pPr>
            <w:r w:rsidRPr="00D55DC6">
              <w:rPr>
                <w:rFonts w:eastAsia="標楷體"/>
                <w:kern w:val="0"/>
                <w:sz w:val="28"/>
                <w:szCs w:val="28"/>
              </w:rPr>
              <w:t>0</w:t>
            </w:r>
          </w:p>
        </w:tc>
        <w:tc>
          <w:tcPr>
            <w:tcW w:w="1234" w:type="dxa"/>
            <w:vAlign w:val="center"/>
          </w:tcPr>
          <w:p w:rsidR="00ED041B" w:rsidRPr="00D55DC6" w:rsidRDefault="00E852D0" w:rsidP="0038165F">
            <w:pPr>
              <w:widowControl/>
              <w:spacing w:line="480" w:lineRule="exact"/>
              <w:jc w:val="center"/>
              <w:rPr>
                <w:rFonts w:eastAsia="標楷體"/>
                <w:kern w:val="0"/>
                <w:sz w:val="28"/>
                <w:szCs w:val="28"/>
              </w:rPr>
            </w:pPr>
            <w:r w:rsidRPr="00D55DC6">
              <w:rPr>
                <w:rFonts w:eastAsia="標楷體"/>
                <w:kern w:val="0"/>
                <w:sz w:val="28"/>
                <w:szCs w:val="28"/>
              </w:rPr>
              <w:t>1</w:t>
            </w:r>
          </w:p>
        </w:tc>
        <w:tc>
          <w:tcPr>
            <w:tcW w:w="1082" w:type="dxa"/>
            <w:vAlign w:val="center"/>
          </w:tcPr>
          <w:p w:rsidR="00ED041B" w:rsidRPr="00D55DC6" w:rsidRDefault="00E852D0" w:rsidP="0038165F">
            <w:pPr>
              <w:widowControl/>
              <w:spacing w:line="480" w:lineRule="exact"/>
              <w:jc w:val="center"/>
              <w:rPr>
                <w:rFonts w:eastAsia="標楷體"/>
                <w:kern w:val="0"/>
                <w:sz w:val="28"/>
                <w:szCs w:val="28"/>
              </w:rPr>
            </w:pPr>
            <w:r w:rsidRPr="00D55DC6">
              <w:rPr>
                <w:rFonts w:eastAsia="標楷體"/>
                <w:kern w:val="0"/>
                <w:sz w:val="28"/>
                <w:szCs w:val="28"/>
              </w:rPr>
              <w:t>1</w:t>
            </w:r>
          </w:p>
        </w:tc>
        <w:tc>
          <w:tcPr>
            <w:tcW w:w="1082" w:type="dxa"/>
            <w:vAlign w:val="center"/>
          </w:tcPr>
          <w:p w:rsidR="00ED041B" w:rsidRPr="00D55DC6" w:rsidRDefault="00E852D0" w:rsidP="0038165F">
            <w:pPr>
              <w:widowControl/>
              <w:spacing w:line="480" w:lineRule="exact"/>
              <w:jc w:val="center"/>
              <w:rPr>
                <w:rFonts w:eastAsia="標楷體"/>
                <w:kern w:val="0"/>
                <w:sz w:val="28"/>
                <w:szCs w:val="28"/>
              </w:rPr>
            </w:pPr>
            <w:r w:rsidRPr="00D55DC6">
              <w:rPr>
                <w:rFonts w:eastAsia="標楷體"/>
                <w:kern w:val="0"/>
                <w:sz w:val="28"/>
                <w:szCs w:val="28"/>
              </w:rPr>
              <w:t>1</w:t>
            </w:r>
          </w:p>
        </w:tc>
        <w:tc>
          <w:tcPr>
            <w:tcW w:w="1082" w:type="dxa"/>
            <w:vAlign w:val="center"/>
          </w:tcPr>
          <w:p w:rsidR="00ED041B" w:rsidRPr="00D55DC6" w:rsidRDefault="00E852D0" w:rsidP="0038165F">
            <w:pPr>
              <w:widowControl/>
              <w:spacing w:line="480" w:lineRule="exact"/>
              <w:jc w:val="center"/>
              <w:rPr>
                <w:rFonts w:eastAsia="標楷體"/>
                <w:kern w:val="0"/>
                <w:sz w:val="28"/>
                <w:szCs w:val="28"/>
              </w:rPr>
            </w:pPr>
            <w:r w:rsidRPr="00D55DC6">
              <w:rPr>
                <w:rFonts w:eastAsia="標楷體"/>
                <w:kern w:val="0"/>
                <w:sz w:val="28"/>
                <w:szCs w:val="28"/>
              </w:rPr>
              <w:t>1</w:t>
            </w:r>
          </w:p>
        </w:tc>
        <w:tc>
          <w:tcPr>
            <w:tcW w:w="1094" w:type="dxa"/>
            <w:vAlign w:val="center"/>
          </w:tcPr>
          <w:p w:rsidR="00ED041B" w:rsidRPr="00D55DC6" w:rsidRDefault="00E852D0" w:rsidP="0038165F">
            <w:pPr>
              <w:widowControl/>
              <w:spacing w:line="480" w:lineRule="exact"/>
              <w:jc w:val="center"/>
              <w:rPr>
                <w:rFonts w:eastAsia="標楷體"/>
                <w:kern w:val="0"/>
                <w:sz w:val="28"/>
                <w:szCs w:val="28"/>
              </w:rPr>
            </w:pPr>
            <w:r w:rsidRPr="00D55DC6">
              <w:rPr>
                <w:rFonts w:eastAsia="標楷體"/>
                <w:kern w:val="0"/>
                <w:sz w:val="28"/>
                <w:szCs w:val="28"/>
              </w:rPr>
              <w:t>1</w:t>
            </w:r>
          </w:p>
        </w:tc>
      </w:tr>
      <w:tr w:rsidR="001D0350" w:rsidRPr="00D55DC6" w:rsidTr="0029434B">
        <w:trPr>
          <w:trHeight w:val="675"/>
          <w:jc w:val="center"/>
        </w:trPr>
        <w:tc>
          <w:tcPr>
            <w:tcW w:w="516" w:type="dxa"/>
            <w:vAlign w:val="center"/>
          </w:tcPr>
          <w:p w:rsidR="002F5D4E" w:rsidRPr="00D55DC6" w:rsidRDefault="002F5D4E" w:rsidP="0029434B">
            <w:pPr>
              <w:widowControl/>
              <w:spacing w:line="460" w:lineRule="exact"/>
              <w:jc w:val="center"/>
              <w:rPr>
                <w:rFonts w:eastAsia="標楷體"/>
                <w:kern w:val="0"/>
                <w:sz w:val="28"/>
                <w:szCs w:val="28"/>
              </w:rPr>
            </w:pPr>
            <w:r w:rsidRPr="00D55DC6">
              <w:rPr>
                <w:rFonts w:eastAsia="標楷體"/>
                <w:kern w:val="0"/>
                <w:sz w:val="28"/>
                <w:szCs w:val="28"/>
              </w:rPr>
              <w:t>5</w:t>
            </w:r>
          </w:p>
        </w:tc>
        <w:tc>
          <w:tcPr>
            <w:tcW w:w="2511" w:type="dxa"/>
          </w:tcPr>
          <w:p w:rsidR="002F5D4E" w:rsidRPr="00D55DC6" w:rsidRDefault="002F5D4E" w:rsidP="005C51C2">
            <w:pPr>
              <w:widowControl/>
              <w:spacing w:line="480" w:lineRule="exact"/>
              <w:jc w:val="center"/>
              <w:rPr>
                <w:rFonts w:eastAsia="標楷體"/>
                <w:kern w:val="0"/>
                <w:sz w:val="28"/>
                <w:szCs w:val="28"/>
              </w:rPr>
            </w:pPr>
            <w:r w:rsidRPr="00D55DC6">
              <w:rPr>
                <w:rFonts w:eastAsia="標楷體"/>
                <w:kern w:val="0"/>
                <w:sz w:val="28"/>
                <w:szCs w:val="28"/>
              </w:rPr>
              <w:t>轄區經管設施公共意外責任險確</w:t>
            </w:r>
            <w:r w:rsidR="005C51C2" w:rsidRPr="00D55DC6">
              <w:rPr>
                <w:rFonts w:eastAsia="標楷體" w:hint="eastAsia"/>
                <w:kern w:val="0"/>
                <w:sz w:val="28"/>
                <w:szCs w:val="28"/>
              </w:rPr>
              <w:t>定</w:t>
            </w:r>
            <w:r w:rsidRPr="00D55DC6">
              <w:rPr>
                <w:rFonts w:eastAsia="標楷體"/>
                <w:kern w:val="0"/>
                <w:sz w:val="28"/>
                <w:szCs w:val="28"/>
              </w:rPr>
              <w:t>理賠件數上限（件）</w:t>
            </w:r>
          </w:p>
        </w:tc>
        <w:tc>
          <w:tcPr>
            <w:tcW w:w="1216" w:type="dxa"/>
            <w:vAlign w:val="center"/>
          </w:tcPr>
          <w:p w:rsidR="002F5D4E" w:rsidRPr="00D55DC6" w:rsidRDefault="002F5D4E">
            <w:pPr>
              <w:jc w:val="center"/>
              <w:rPr>
                <w:rFonts w:ascii="新細明體" w:hAnsi="新細明體" w:cs="新細明體"/>
                <w:sz w:val="28"/>
              </w:rPr>
            </w:pPr>
            <w:r w:rsidRPr="00D55DC6">
              <w:rPr>
                <w:rFonts w:hint="eastAsia"/>
                <w:sz w:val="28"/>
              </w:rPr>
              <w:t>-</w:t>
            </w:r>
          </w:p>
        </w:tc>
        <w:tc>
          <w:tcPr>
            <w:tcW w:w="1234" w:type="dxa"/>
            <w:vAlign w:val="center"/>
          </w:tcPr>
          <w:p w:rsidR="002F5D4E" w:rsidRPr="00D55DC6" w:rsidRDefault="002F5D4E" w:rsidP="002F5D4E">
            <w:pPr>
              <w:jc w:val="center"/>
              <w:rPr>
                <w:rFonts w:ascii="新細明體" w:hAnsi="新細明體" w:cs="新細明體"/>
                <w:sz w:val="28"/>
              </w:rPr>
            </w:pPr>
            <w:r w:rsidRPr="00D55DC6">
              <w:rPr>
                <w:rFonts w:hint="eastAsia"/>
                <w:sz w:val="28"/>
              </w:rPr>
              <w:t>-</w:t>
            </w:r>
          </w:p>
        </w:tc>
        <w:tc>
          <w:tcPr>
            <w:tcW w:w="1082" w:type="dxa"/>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2</w:t>
            </w:r>
          </w:p>
        </w:tc>
        <w:tc>
          <w:tcPr>
            <w:tcW w:w="1082" w:type="dxa"/>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2</w:t>
            </w:r>
          </w:p>
        </w:tc>
        <w:tc>
          <w:tcPr>
            <w:tcW w:w="1082" w:type="dxa"/>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2</w:t>
            </w:r>
          </w:p>
        </w:tc>
        <w:tc>
          <w:tcPr>
            <w:tcW w:w="1094" w:type="dxa"/>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1</w:t>
            </w:r>
          </w:p>
        </w:tc>
      </w:tr>
      <w:tr w:rsidR="00EB48E8" w:rsidRPr="00D55DC6" w:rsidTr="00A82A80">
        <w:trPr>
          <w:trHeight w:val="675"/>
          <w:jc w:val="center"/>
        </w:trPr>
        <w:tc>
          <w:tcPr>
            <w:tcW w:w="9817" w:type="dxa"/>
            <w:gridSpan w:val="8"/>
          </w:tcPr>
          <w:p w:rsidR="00EB48E8" w:rsidRPr="00D55DC6" w:rsidRDefault="00EB48E8" w:rsidP="0038165F">
            <w:pPr>
              <w:widowControl/>
              <w:rPr>
                <w:rFonts w:eastAsia="標楷體"/>
                <w:kern w:val="0"/>
              </w:rPr>
            </w:pPr>
            <w:r w:rsidRPr="00D55DC6">
              <w:rPr>
                <w:rFonts w:eastAsia="標楷體"/>
                <w:kern w:val="0"/>
              </w:rPr>
              <w:t>註：</w:t>
            </w:r>
          </w:p>
          <w:p w:rsidR="00EB48E8" w:rsidRPr="00D55DC6" w:rsidRDefault="00EB48E8" w:rsidP="0038165F">
            <w:pPr>
              <w:snapToGrid w:val="0"/>
              <w:jc w:val="both"/>
              <w:rPr>
                <w:rFonts w:eastAsia="標楷體"/>
              </w:rPr>
            </w:pPr>
            <w:r w:rsidRPr="00D55DC6">
              <w:rPr>
                <w:rFonts w:eastAsia="標楷體"/>
              </w:rPr>
              <w:t>(1)</w:t>
            </w:r>
            <w:r w:rsidRPr="00D55DC6">
              <w:rPr>
                <w:rFonts w:eastAsia="標楷體"/>
              </w:rPr>
              <w:t>依據交通部觀光局「國家風景區遊客調查報告」資料推估。</w:t>
            </w:r>
          </w:p>
          <w:p w:rsidR="00EB48E8" w:rsidRPr="00D55DC6" w:rsidRDefault="00EB48E8" w:rsidP="0038165F">
            <w:pPr>
              <w:snapToGrid w:val="0"/>
              <w:ind w:left="252" w:hangingChars="105" w:hanging="252"/>
              <w:jc w:val="both"/>
              <w:rPr>
                <w:rFonts w:eastAsia="標楷體"/>
              </w:rPr>
            </w:pPr>
            <w:r w:rsidRPr="00D55DC6">
              <w:rPr>
                <w:rFonts w:eastAsia="標楷體"/>
              </w:rPr>
              <w:t>(2)</w:t>
            </w:r>
            <w:r w:rsidRPr="00D55DC6">
              <w:rPr>
                <w:rFonts w:eastAsia="標楷體"/>
              </w:rPr>
              <w:t>本風景區所轄獅頭山、梨山、八卦山風景區皆位於山區，遊客人次易受天候及聯外交通等不確定因素影響，鑑於全球氣候變遷，天候變異甚大且難以預測，且考量為維持遊憩品質，將逐步加強總量管制及遊客分流等措施，爰保守估計目標值。</w:t>
            </w:r>
          </w:p>
          <w:p w:rsidR="00EB48E8" w:rsidRPr="00D55DC6" w:rsidRDefault="00EB48E8" w:rsidP="0038165F">
            <w:pPr>
              <w:snapToGrid w:val="0"/>
              <w:ind w:left="252" w:hangingChars="105" w:hanging="252"/>
              <w:jc w:val="both"/>
              <w:rPr>
                <w:rFonts w:eastAsia="標楷體"/>
              </w:rPr>
            </w:pPr>
            <w:r w:rsidRPr="00D55DC6">
              <w:rPr>
                <w:rFonts w:eastAsia="標楷體"/>
              </w:rPr>
              <w:t>(3)</w:t>
            </w:r>
            <w:r w:rsidRPr="00D55DC6">
              <w:rPr>
                <w:rFonts w:eastAsia="標楷體"/>
              </w:rPr>
              <w:t>因</w:t>
            </w:r>
            <w:r w:rsidRPr="00D55DC6">
              <w:rPr>
                <w:rFonts w:eastAsia="標楷體"/>
              </w:rPr>
              <w:t>102</w:t>
            </w:r>
            <w:r w:rsidRPr="00D55DC6">
              <w:rPr>
                <w:rFonts w:eastAsia="標楷體"/>
              </w:rPr>
              <w:t>年度蘇力等颱風挾帶驚人雨量，讓溪水暴漲，造成本轄區多處重要觀光景點嚴重損毀，河道邊坡沖蝕崩坍，多數步道及棧道設施全毀，如獅頭山風景區蓬萊溪自然生態園區、神仙谷遊憩區、北埔冷泉區等，另有多數景點設施損傷及樹木倒塌，造成遊客量驟減，因此在訂定</w:t>
            </w:r>
            <w:r w:rsidRPr="00D55DC6">
              <w:rPr>
                <w:rFonts w:eastAsia="標楷體"/>
              </w:rPr>
              <w:t>105-108</w:t>
            </w:r>
            <w:r w:rsidRPr="00D55DC6">
              <w:rPr>
                <w:rFonts w:eastAsia="標楷體"/>
              </w:rPr>
              <w:t>年度預期目標值時，以採取保守估計推算，再逐年增加。</w:t>
            </w:r>
          </w:p>
          <w:p w:rsidR="00EB48E8" w:rsidRPr="00D55DC6" w:rsidRDefault="00EB48E8" w:rsidP="0038165F">
            <w:pPr>
              <w:snapToGrid w:val="0"/>
              <w:ind w:left="252" w:hangingChars="105" w:hanging="252"/>
              <w:jc w:val="both"/>
              <w:rPr>
                <w:rFonts w:eastAsia="標楷體"/>
              </w:rPr>
            </w:pPr>
            <w:r w:rsidRPr="00D55DC6">
              <w:rPr>
                <w:rFonts w:eastAsia="標楷體"/>
              </w:rPr>
              <w:t>(4)</w:t>
            </w:r>
            <w:r w:rsidRPr="00D55DC6">
              <w:rPr>
                <w:rFonts w:eastAsia="標楷體"/>
              </w:rPr>
              <w:t>參山管理處於</w:t>
            </w:r>
            <w:r w:rsidRPr="00D55DC6">
              <w:rPr>
                <w:rFonts w:eastAsia="標楷體"/>
              </w:rPr>
              <w:t>103</w:t>
            </w:r>
            <w:r w:rsidRPr="00D55DC6">
              <w:rPr>
                <w:rFonts w:eastAsia="標楷體"/>
              </w:rPr>
              <w:t>年度辦理「參山國家風景區觀光整體發展計畫」委託規劃案，重新檢討原有之觀光整體發展規劃，檢視轄區之觀光景點及新興資源，並將遊憩資源整合利用，提出更符合實際遊客人次及遊客滿意度調查方法及基礎計算，也冀透過本計畫重新研擬重點發展地區之實質建設計畫，以促進觀光永續經營與發展，並提升觀光旅遊環境與服務品質。</w:t>
            </w:r>
          </w:p>
          <w:p w:rsidR="00EB48E8" w:rsidRPr="00D55DC6" w:rsidRDefault="00EB48E8" w:rsidP="0038165F">
            <w:pPr>
              <w:snapToGrid w:val="0"/>
              <w:ind w:left="252" w:hangingChars="105" w:hanging="252"/>
              <w:jc w:val="both"/>
              <w:rPr>
                <w:rFonts w:eastAsia="標楷體"/>
              </w:rPr>
            </w:pPr>
            <w:r w:rsidRPr="00D55DC6">
              <w:rPr>
                <w:rFonts w:eastAsia="標楷體"/>
              </w:rPr>
              <w:t>(5)</w:t>
            </w:r>
            <w:r w:rsidRPr="00D55DC6">
              <w:rPr>
                <w:rFonts w:eastAsia="標楷體"/>
              </w:rPr>
              <w:t>創新行銷策略，同步增進國民旅遊及國際觀光客到訪率，預估</w:t>
            </w:r>
            <w:r w:rsidRPr="00D55DC6">
              <w:rPr>
                <w:rFonts w:eastAsia="標楷體"/>
              </w:rPr>
              <w:t>4</w:t>
            </w:r>
            <w:r w:rsidRPr="00D55DC6">
              <w:rPr>
                <w:rFonts w:eastAsia="標楷體"/>
              </w:rPr>
              <w:t>年觀光產值可達</w:t>
            </w:r>
            <w:r w:rsidRPr="00D55DC6">
              <w:rPr>
                <w:rFonts w:eastAsia="標楷體"/>
              </w:rPr>
              <w:t>336.03</w:t>
            </w:r>
            <w:r w:rsidRPr="00D55DC6">
              <w:rPr>
                <w:rFonts w:eastAsia="標楷體"/>
              </w:rPr>
              <w:t>億元。</w:t>
            </w:r>
            <w:r w:rsidRPr="00D55DC6">
              <w:rPr>
                <w:rFonts w:eastAsia="標楷體"/>
              </w:rPr>
              <w:t>(</w:t>
            </w:r>
            <w:r w:rsidRPr="00D55DC6">
              <w:rPr>
                <w:rFonts w:eastAsia="標楷體"/>
              </w:rPr>
              <w:t>以「</w:t>
            </w:r>
            <w:r w:rsidRPr="00D55DC6">
              <w:rPr>
                <w:rFonts w:eastAsia="標楷體"/>
              </w:rPr>
              <w:t>102</w:t>
            </w:r>
            <w:r w:rsidRPr="00D55DC6">
              <w:rPr>
                <w:rFonts w:eastAsia="標楷體"/>
              </w:rPr>
              <w:t>年度國家風景區遊客調查報告」推估每人每日平均消費</w:t>
            </w:r>
            <w:r w:rsidRPr="00D55DC6">
              <w:rPr>
                <w:rFonts w:eastAsia="標楷體"/>
              </w:rPr>
              <w:t xml:space="preserve">NT$1,256 × </w:t>
            </w:r>
            <w:r w:rsidRPr="00D55DC6">
              <w:rPr>
                <w:rFonts w:eastAsia="標楷體"/>
              </w:rPr>
              <w:t>各年度遊客人數目標值</w:t>
            </w:r>
            <w:r w:rsidRPr="00D55DC6">
              <w:rPr>
                <w:rFonts w:eastAsia="標楷體"/>
              </w:rPr>
              <w:t xml:space="preserve"> × </w:t>
            </w:r>
            <w:r w:rsidRPr="00D55DC6">
              <w:rPr>
                <w:rFonts w:eastAsia="標楷體"/>
              </w:rPr>
              <w:t>估算停留天數</w:t>
            </w:r>
            <w:r w:rsidRPr="00D55DC6">
              <w:rPr>
                <w:rFonts w:eastAsia="標楷體"/>
              </w:rPr>
              <w:t>0.98</w:t>
            </w:r>
            <w:r w:rsidRPr="00D55DC6">
              <w:rPr>
                <w:rFonts w:eastAsia="標楷體"/>
              </w:rPr>
              <w:t>天</w:t>
            </w:r>
            <w:r w:rsidRPr="00D55DC6">
              <w:rPr>
                <w:rFonts w:eastAsia="標楷體"/>
              </w:rPr>
              <w:t>)</w:t>
            </w:r>
          </w:p>
        </w:tc>
      </w:tr>
    </w:tbl>
    <w:p w:rsidR="005D6EF0" w:rsidRPr="00D55DC6" w:rsidRDefault="005D6EF0" w:rsidP="0038165F">
      <w:pPr>
        <w:pStyle w:val="a"/>
        <w:numPr>
          <w:ilvl w:val="0"/>
          <w:numId w:val="0"/>
        </w:numPr>
        <w:spacing w:line="480" w:lineRule="exact"/>
        <w:ind w:left="709"/>
        <w:rPr>
          <w:b/>
          <w:bCs/>
        </w:rPr>
      </w:pPr>
    </w:p>
    <w:p w:rsidR="005D6EF0" w:rsidRPr="00D55DC6" w:rsidRDefault="005D6EF0" w:rsidP="0038165F">
      <w:pPr>
        <w:pStyle w:val="a"/>
        <w:numPr>
          <w:ilvl w:val="0"/>
          <w:numId w:val="0"/>
        </w:numPr>
        <w:spacing w:line="480" w:lineRule="exact"/>
        <w:ind w:left="709"/>
        <w:rPr>
          <w:b/>
          <w:bCs/>
        </w:rPr>
      </w:pPr>
    </w:p>
    <w:p w:rsidR="005D6EF0" w:rsidRPr="00D55DC6" w:rsidRDefault="005D6EF0" w:rsidP="0038165F">
      <w:pPr>
        <w:pStyle w:val="a"/>
        <w:numPr>
          <w:ilvl w:val="0"/>
          <w:numId w:val="0"/>
        </w:numPr>
        <w:spacing w:line="480" w:lineRule="exact"/>
        <w:ind w:left="709"/>
        <w:rPr>
          <w:b/>
          <w:bCs/>
        </w:rPr>
        <w:sectPr w:rsidR="005D6EF0" w:rsidRPr="00D55DC6" w:rsidSect="005D6EF0">
          <w:pgSz w:w="11906" w:h="16838" w:code="9"/>
          <w:pgMar w:top="1418" w:right="1418" w:bottom="1418" w:left="1418" w:header="567" w:footer="567" w:gutter="0"/>
          <w:cols w:space="425"/>
          <w:docGrid w:type="linesAndChars" w:linePitch="360"/>
        </w:sectPr>
      </w:pPr>
    </w:p>
    <w:p w:rsidR="005D6EF0" w:rsidRPr="00D55DC6" w:rsidRDefault="005D6EF0" w:rsidP="0038165F">
      <w:pPr>
        <w:pStyle w:val="a"/>
        <w:spacing w:line="480" w:lineRule="exact"/>
        <w:ind w:left="709" w:hanging="709"/>
        <w:rPr>
          <w:b/>
          <w:bCs/>
        </w:rPr>
      </w:pPr>
      <w:bookmarkStart w:id="98" w:name="_Toc407181676"/>
      <w:r w:rsidRPr="00D55DC6">
        <w:rPr>
          <w:b/>
          <w:bCs/>
        </w:rPr>
        <w:lastRenderedPageBreak/>
        <w:t>現行相關政策及方案之檢討</w:t>
      </w:r>
      <w:bookmarkEnd w:id="98"/>
    </w:p>
    <w:p w:rsidR="005D6EF0" w:rsidRPr="00D55DC6" w:rsidRDefault="005D6EF0" w:rsidP="004865C1">
      <w:pPr>
        <w:pStyle w:val="af2"/>
        <w:numPr>
          <w:ilvl w:val="0"/>
          <w:numId w:val="77"/>
        </w:numPr>
        <w:snapToGrid w:val="0"/>
        <w:spacing w:line="480" w:lineRule="exact"/>
        <w:ind w:leftChars="0"/>
        <w:jc w:val="both"/>
        <w:rPr>
          <w:rFonts w:eastAsia="標楷體"/>
          <w:sz w:val="28"/>
          <w:szCs w:val="28"/>
        </w:rPr>
      </w:pPr>
      <w:r w:rsidRPr="00D55DC6">
        <w:rPr>
          <w:rFonts w:eastAsia="標楷體"/>
          <w:b/>
          <w:bCs/>
          <w:sz w:val="28"/>
          <w:szCs w:val="28"/>
        </w:rPr>
        <w:t>重要觀光景點建設中程計畫</w:t>
      </w:r>
      <w:r w:rsidRPr="00D55DC6">
        <w:rPr>
          <w:rFonts w:eastAsia="標楷體"/>
          <w:b/>
          <w:bCs/>
          <w:sz w:val="28"/>
          <w:szCs w:val="28"/>
        </w:rPr>
        <w:t>(101-104</w:t>
      </w:r>
      <w:r w:rsidRPr="00D55DC6">
        <w:rPr>
          <w:rFonts w:eastAsia="標楷體"/>
          <w:b/>
          <w:bCs/>
          <w:sz w:val="28"/>
          <w:szCs w:val="28"/>
        </w:rPr>
        <w:t>年</w:t>
      </w:r>
      <w:r w:rsidRPr="00D55DC6">
        <w:rPr>
          <w:rFonts w:eastAsia="標楷體"/>
          <w:b/>
          <w:bCs/>
          <w:sz w:val="28"/>
          <w:szCs w:val="28"/>
        </w:rPr>
        <w:t>)</w:t>
      </w:r>
      <w:r w:rsidRPr="00D55DC6">
        <w:rPr>
          <w:rFonts w:eastAsia="標楷體"/>
          <w:sz w:val="28"/>
          <w:szCs w:val="28"/>
        </w:rPr>
        <w:t>(</w:t>
      </w:r>
      <w:r w:rsidRPr="00D55DC6">
        <w:rPr>
          <w:rFonts w:eastAsia="標楷體"/>
          <w:sz w:val="28"/>
          <w:szCs w:val="28"/>
        </w:rPr>
        <w:t>截至</w:t>
      </w:r>
      <w:r w:rsidRPr="00D55DC6">
        <w:rPr>
          <w:rFonts w:eastAsia="標楷體"/>
          <w:sz w:val="28"/>
          <w:szCs w:val="28"/>
        </w:rPr>
        <w:t>103</w:t>
      </w:r>
      <w:r w:rsidRPr="00D55DC6">
        <w:rPr>
          <w:rFonts w:eastAsia="標楷體"/>
          <w:sz w:val="28"/>
          <w:szCs w:val="28"/>
        </w:rPr>
        <w:t>年</w:t>
      </w:r>
      <w:r w:rsidRPr="00D55DC6">
        <w:rPr>
          <w:rFonts w:eastAsia="標楷體"/>
          <w:sz w:val="28"/>
          <w:szCs w:val="28"/>
        </w:rPr>
        <w:t>1</w:t>
      </w:r>
      <w:r w:rsidR="00EB48E8" w:rsidRPr="00D55DC6">
        <w:rPr>
          <w:rFonts w:eastAsia="標楷體"/>
          <w:sz w:val="28"/>
          <w:szCs w:val="28"/>
        </w:rPr>
        <w:t>2</w:t>
      </w:r>
      <w:r w:rsidRPr="00D55DC6">
        <w:rPr>
          <w:rFonts w:eastAsia="標楷體"/>
          <w:sz w:val="28"/>
          <w:szCs w:val="28"/>
        </w:rPr>
        <w:t>月底成果</w:t>
      </w:r>
      <w:r w:rsidRPr="00D55DC6">
        <w:rPr>
          <w:rFonts w:eastAsia="標楷體"/>
          <w:sz w:val="28"/>
          <w:szCs w:val="28"/>
        </w:rPr>
        <w:t>)</w:t>
      </w:r>
    </w:p>
    <w:p w:rsidR="005D6EF0" w:rsidRPr="00D55DC6" w:rsidRDefault="005D6EF0" w:rsidP="004865C1">
      <w:pPr>
        <w:pStyle w:val="af2"/>
        <w:numPr>
          <w:ilvl w:val="0"/>
          <w:numId w:val="78"/>
        </w:numPr>
        <w:snapToGrid w:val="0"/>
        <w:spacing w:line="480" w:lineRule="exact"/>
        <w:ind w:leftChars="0"/>
        <w:jc w:val="both"/>
        <w:rPr>
          <w:rFonts w:eastAsia="標楷體"/>
          <w:b/>
          <w:bCs/>
          <w:sz w:val="28"/>
          <w:szCs w:val="28"/>
        </w:rPr>
      </w:pPr>
      <w:r w:rsidRPr="00D55DC6">
        <w:rPr>
          <w:rFonts w:eastAsia="標楷體"/>
          <w:b/>
          <w:bCs/>
          <w:sz w:val="28"/>
          <w:szCs w:val="28"/>
        </w:rPr>
        <w:t>預算執行情形</w:t>
      </w:r>
      <w:r w:rsidRPr="00D55DC6">
        <w:rPr>
          <w:rFonts w:eastAsia="標楷體"/>
          <w:b/>
          <w:bCs/>
          <w:sz w:val="28"/>
          <w:szCs w:val="28"/>
        </w:rPr>
        <w:t>(</w:t>
      </w:r>
      <w:r w:rsidRPr="00D55DC6">
        <w:rPr>
          <w:rFonts w:eastAsia="標楷體"/>
          <w:b/>
          <w:bCs/>
          <w:sz w:val="28"/>
          <w:szCs w:val="28"/>
        </w:rPr>
        <w:t>千元</w:t>
      </w:r>
      <w:r w:rsidRPr="00D55DC6">
        <w:rPr>
          <w:rFonts w:eastAsia="標楷體"/>
          <w:b/>
          <w:bCs/>
          <w:sz w:val="28"/>
          <w:szCs w:val="28"/>
        </w:rPr>
        <w:t>)</w:t>
      </w:r>
    </w:p>
    <w:tbl>
      <w:tblPr>
        <w:tblW w:w="8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36"/>
        <w:gridCol w:w="1836"/>
        <w:gridCol w:w="1836"/>
        <w:gridCol w:w="1761"/>
      </w:tblGrid>
      <w:tr w:rsidR="001D0350" w:rsidRPr="00D55DC6" w:rsidTr="00A82A80">
        <w:trPr>
          <w:jc w:val="center"/>
        </w:trPr>
        <w:tc>
          <w:tcPr>
            <w:tcW w:w="3036" w:type="dxa"/>
            <w:vAlign w:val="center"/>
          </w:tcPr>
          <w:p w:rsidR="005D6EF0" w:rsidRPr="00D55DC6" w:rsidRDefault="005D6EF0" w:rsidP="0038165F">
            <w:pPr>
              <w:snapToGrid w:val="0"/>
              <w:jc w:val="center"/>
              <w:rPr>
                <w:rFonts w:eastAsia="標楷體"/>
              </w:rPr>
            </w:pPr>
            <w:r w:rsidRPr="00D55DC6">
              <w:rPr>
                <w:rFonts w:eastAsia="標楷體"/>
              </w:rPr>
              <w:t>計畫名稱</w:t>
            </w:r>
          </w:p>
        </w:tc>
        <w:tc>
          <w:tcPr>
            <w:tcW w:w="1836" w:type="dxa"/>
            <w:vAlign w:val="center"/>
          </w:tcPr>
          <w:p w:rsidR="005D6EF0" w:rsidRPr="00D55DC6" w:rsidRDefault="005D6EF0" w:rsidP="0038165F">
            <w:pPr>
              <w:snapToGrid w:val="0"/>
              <w:jc w:val="center"/>
              <w:rPr>
                <w:rFonts w:eastAsia="標楷體"/>
              </w:rPr>
            </w:pPr>
            <w:r w:rsidRPr="00D55DC6">
              <w:rPr>
                <w:rFonts w:eastAsia="標楷體"/>
              </w:rPr>
              <w:t>總累計編列數</w:t>
            </w:r>
          </w:p>
          <w:p w:rsidR="005D6EF0" w:rsidRPr="00D55DC6" w:rsidRDefault="005D6EF0" w:rsidP="0038165F">
            <w:pPr>
              <w:snapToGrid w:val="0"/>
              <w:jc w:val="center"/>
              <w:rPr>
                <w:rFonts w:eastAsia="標楷體"/>
              </w:rPr>
            </w:pPr>
            <w:r w:rsidRPr="00D55DC6">
              <w:rPr>
                <w:rFonts w:eastAsia="標楷體"/>
              </w:rPr>
              <w:t>(A)</w:t>
            </w:r>
          </w:p>
        </w:tc>
        <w:tc>
          <w:tcPr>
            <w:tcW w:w="1836" w:type="dxa"/>
            <w:vAlign w:val="center"/>
          </w:tcPr>
          <w:p w:rsidR="005D6EF0" w:rsidRPr="00D55DC6" w:rsidRDefault="005D6EF0" w:rsidP="0038165F">
            <w:pPr>
              <w:snapToGrid w:val="0"/>
              <w:jc w:val="center"/>
              <w:rPr>
                <w:rFonts w:eastAsia="標楷體"/>
              </w:rPr>
            </w:pPr>
            <w:r w:rsidRPr="00D55DC6">
              <w:rPr>
                <w:rFonts w:eastAsia="標楷體"/>
              </w:rPr>
              <w:t>總累計實支數</w:t>
            </w:r>
          </w:p>
          <w:p w:rsidR="005D6EF0" w:rsidRPr="00D55DC6" w:rsidRDefault="005D6EF0" w:rsidP="0038165F">
            <w:pPr>
              <w:snapToGrid w:val="0"/>
              <w:jc w:val="center"/>
              <w:rPr>
                <w:rFonts w:eastAsia="標楷體"/>
              </w:rPr>
            </w:pPr>
            <w:r w:rsidRPr="00D55DC6">
              <w:rPr>
                <w:rFonts w:eastAsia="標楷體"/>
              </w:rPr>
              <w:t>(B)</w:t>
            </w:r>
          </w:p>
        </w:tc>
        <w:tc>
          <w:tcPr>
            <w:tcW w:w="1761" w:type="dxa"/>
            <w:vAlign w:val="center"/>
          </w:tcPr>
          <w:p w:rsidR="005D6EF0" w:rsidRPr="00D55DC6" w:rsidRDefault="005D6EF0" w:rsidP="0038165F">
            <w:pPr>
              <w:snapToGrid w:val="0"/>
              <w:jc w:val="center"/>
              <w:rPr>
                <w:rFonts w:eastAsia="標楷體"/>
              </w:rPr>
            </w:pPr>
            <w:r w:rsidRPr="00D55DC6">
              <w:rPr>
                <w:rFonts w:eastAsia="標楷體"/>
              </w:rPr>
              <w:t>支用比</w:t>
            </w:r>
          </w:p>
          <w:p w:rsidR="005D6EF0" w:rsidRPr="00D55DC6" w:rsidRDefault="005D6EF0" w:rsidP="0038165F">
            <w:pPr>
              <w:snapToGrid w:val="0"/>
              <w:jc w:val="center"/>
              <w:rPr>
                <w:rFonts w:eastAsia="標楷體"/>
              </w:rPr>
            </w:pPr>
            <w:r w:rsidRPr="00D55DC6">
              <w:rPr>
                <w:rFonts w:eastAsia="標楷體"/>
              </w:rPr>
              <w:t>(B/A%)</w:t>
            </w:r>
          </w:p>
        </w:tc>
      </w:tr>
      <w:tr w:rsidR="001D0350" w:rsidRPr="00D55DC6" w:rsidTr="002A3B8B">
        <w:trPr>
          <w:jc w:val="center"/>
        </w:trPr>
        <w:tc>
          <w:tcPr>
            <w:tcW w:w="3036" w:type="dxa"/>
            <w:vAlign w:val="center"/>
          </w:tcPr>
          <w:p w:rsidR="00EB48E8" w:rsidRPr="00D55DC6" w:rsidRDefault="00EB48E8" w:rsidP="0038165F">
            <w:pPr>
              <w:widowControl/>
              <w:spacing w:line="480" w:lineRule="exact"/>
              <w:jc w:val="center"/>
              <w:rPr>
                <w:rFonts w:eastAsia="標楷體"/>
                <w:kern w:val="0"/>
              </w:rPr>
            </w:pPr>
            <w:r w:rsidRPr="00D55DC6">
              <w:rPr>
                <w:rFonts w:eastAsia="標楷體"/>
                <w:kern w:val="0"/>
              </w:rPr>
              <w:t>參山國家風景區建設計畫</w:t>
            </w:r>
          </w:p>
        </w:tc>
        <w:tc>
          <w:tcPr>
            <w:tcW w:w="1836" w:type="dxa"/>
          </w:tcPr>
          <w:p w:rsidR="00EB48E8" w:rsidRPr="00D55DC6" w:rsidRDefault="00EB48E8">
            <w:pPr>
              <w:jc w:val="center"/>
            </w:pPr>
            <w:r w:rsidRPr="00D55DC6">
              <w:t xml:space="preserve">4.50845 </w:t>
            </w:r>
          </w:p>
        </w:tc>
        <w:tc>
          <w:tcPr>
            <w:tcW w:w="1836" w:type="dxa"/>
          </w:tcPr>
          <w:p w:rsidR="00EB48E8" w:rsidRPr="00D55DC6" w:rsidRDefault="00EB48E8">
            <w:pPr>
              <w:jc w:val="center"/>
            </w:pPr>
            <w:r w:rsidRPr="00D55DC6">
              <w:t xml:space="preserve">4.50845 </w:t>
            </w:r>
          </w:p>
        </w:tc>
        <w:tc>
          <w:tcPr>
            <w:tcW w:w="1761" w:type="dxa"/>
          </w:tcPr>
          <w:p w:rsidR="00EB48E8" w:rsidRPr="00D55DC6" w:rsidRDefault="00EB48E8">
            <w:pPr>
              <w:jc w:val="center"/>
            </w:pPr>
            <w:r w:rsidRPr="00D55DC6">
              <w:t>100.00%</w:t>
            </w:r>
          </w:p>
        </w:tc>
      </w:tr>
    </w:tbl>
    <w:p w:rsidR="005D6EF0" w:rsidRPr="00D55DC6" w:rsidRDefault="005D6EF0" w:rsidP="0038165F">
      <w:pPr>
        <w:ind w:leftChars="345" w:left="1315" w:hangingChars="203" w:hanging="487"/>
        <w:jc w:val="both"/>
        <w:rPr>
          <w:rFonts w:eastAsia="標楷體"/>
        </w:rPr>
      </w:pPr>
      <w:r w:rsidRPr="00D55DC6">
        <w:rPr>
          <w:rFonts w:eastAsia="標楷體"/>
        </w:rPr>
        <w:t>註</w:t>
      </w:r>
      <w:r w:rsidRPr="00D55DC6">
        <w:rPr>
          <w:rFonts w:eastAsia="標楷體"/>
        </w:rPr>
        <w:t xml:space="preserve"> 1.</w:t>
      </w:r>
      <w:r w:rsidRPr="00D55DC6">
        <w:rPr>
          <w:rFonts w:eastAsia="標楷體"/>
        </w:rPr>
        <w:t>「總累計編列數</w:t>
      </w:r>
      <w:r w:rsidRPr="00D55DC6">
        <w:rPr>
          <w:rFonts w:eastAsia="標楷體"/>
        </w:rPr>
        <w:t>(A)</w:t>
      </w:r>
      <w:r w:rsidRPr="00D55DC6">
        <w:rPr>
          <w:rFonts w:eastAsia="標楷體"/>
        </w:rPr>
        <w:t>」為</w:t>
      </w:r>
      <w:r w:rsidRPr="00D55DC6">
        <w:rPr>
          <w:rFonts w:eastAsia="標楷體"/>
        </w:rPr>
        <w:t>101</w:t>
      </w:r>
      <w:r w:rsidRPr="00D55DC6">
        <w:rPr>
          <w:rFonts w:eastAsia="標楷體"/>
        </w:rPr>
        <w:t>年</w:t>
      </w:r>
      <w:r w:rsidRPr="00D55DC6">
        <w:rPr>
          <w:rFonts w:eastAsia="標楷體"/>
        </w:rPr>
        <w:t>1</w:t>
      </w:r>
      <w:r w:rsidRPr="00D55DC6">
        <w:rPr>
          <w:rFonts w:eastAsia="標楷體"/>
        </w:rPr>
        <w:t>月至</w:t>
      </w:r>
      <w:r w:rsidRPr="00D55DC6">
        <w:rPr>
          <w:rFonts w:eastAsia="標楷體"/>
        </w:rPr>
        <w:t>103</w:t>
      </w:r>
      <w:r w:rsidRPr="00D55DC6">
        <w:rPr>
          <w:rFonts w:eastAsia="標楷體"/>
        </w:rPr>
        <w:t>年</w:t>
      </w:r>
      <w:r w:rsidRPr="00D55DC6">
        <w:rPr>
          <w:rFonts w:eastAsia="標楷體"/>
        </w:rPr>
        <w:t>1</w:t>
      </w:r>
      <w:r w:rsidR="00EB48E8" w:rsidRPr="00D55DC6">
        <w:rPr>
          <w:rFonts w:eastAsia="標楷體"/>
        </w:rPr>
        <w:t>2</w:t>
      </w:r>
      <w:r w:rsidRPr="00D55DC6">
        <w:rPr>
          <w:rFonts w:eastAsia="標楷體"/>
        </w:rPr>
        <w:t>月累計實際可支用數。</w:t>
      </w:r>
    </w:p>
    <w:p w:rsidR="005D6EF0" w:rsidRPr="00D55DC6" w:rsidRDefault="005D6EF0" w:rsidP="0038165F">
      <w:pPr>
        <w:jc w:val="both"/>
        <w:rPr>
          <w:rFonts w:eastAsia="標楷體"/>
        </w:rPr>
      </w:pPr>
      <w:r w:rsidRPr="00D55DC6">
        <w:rPr>
          <w:rFonts w:eastAsia="標楷體"/>
        </w:rPr>
        <w:t xml:space="preserve">          2.</w:t>
      </w:r>
      <w:r w:rsidRPr="00D55DC6">
        <w:rPr>
          <w:rFonts w:eastAsia="標楷體"/>
        </w:rPr>
        <w:t>「總累計實支數</w:t>
      </w:r>
      <w:r w:rsidRPr="00D55DC6">
        <w:rPr>
          <w:rFonts w:eastAsia="標楷體"/>
        </w:rPr>
        <w:t>(B)</w:t>
      </w:r>
      <w:r w:rsidRPr="00D55DC6">
        <w:rPr>
          <w:rFonts w:eastAsia="標楷體"/>
        </w:rPr>
        <w:t>」為</w:t>
      </w:r>
      <w:r w:rsidRPr="00D55DC6">
        <w:rPr>
          <w:rFonts w:eastAsia="標楷體"/>
        </w:rPr>
        <w:t>101</w:t>
      </w:r>
      <w:r w:rsidRPr="00D55DC6">
        <w:rPr>
          <w:rFonts w:eastAsia="標楷體"/>
        </w:rPr>
        <w:t>年</w:t>
      </w:r>
      <w:r w:rsidRPr="00D55DC6">
        <w:rPr>
          <w:rFonts w:eastAsia="標楷體"/>
        </w:rPr>
        <w:t>1</w:t>
      </w:r>
      <w:r w:rsidRPr="00D55DC6">
        <w:rPr>
          <w:rFonts w:eastAsia="標楷體"/>
        </w:rPr>
        <w:t>月至</w:t>
      </w:r>
      <w:r w:rsidRPr="00D55DC6">
        <w:rPr>
          <w:rFonts w:eastAsia="標楷體"/>
        </w:rPr>
        <w:t>103</w:t>
      </w:r>
      <w:r w:rsidRPr="00D55DC6">
        <w:rPr>
          <w:rFonts w:eastAsia="標楷體"/>
        </w:rPr>
        <w:t>年</w:t>
      </w:r>
      <w:r w:rsidRPr="00D55DC6">
        <w:rPr>
          <w:rFonts w:eastAsia="標楷體"/>
        </w:rPr>
        <w:t>1</w:t>
      </w:r>
      <w:r w:rsidR="00EB48E8" w:rsidRPr="00D55DC6">
        <w:rPr>
          <w:rFonts w:eastAsia="標楷體"/>
        </w:rPr>
        <w:t>2</w:t>
      </w:r>
      <w:r w:rsidRPr="00D55DC6">
        <w:rPr>
          <w:rFonts w:eastAsia="標楷體"/>
        </w:rPr>
        <w:t>月累計實支數。</w:t>
      </w:r>
    </w:p>
    <w:p w:rsidR="005D6EF0" w:rsidRPr="00D55DC6" w:rsidRDefault="005D6EF0" w:rsidP="0038165F">
      <w:pPr>
        <w:jc w:val="both"/>
        <w:rPr>
          <w:rFonts w:eastAsia="標楷體"/>
        </w:rPr>
      </w:pPr>
    </w:p>
    <w:p w:rsidR="005D6EF0" w:rsidRPr="00D55DC6" w:rsidRDefault="005D6EF0" w:rsidP="004865C1">
      <w:pPr>
        <w:pStyle w:val="af2"/>
        <w:numPr>
          <w:ilvl w:val="0"/>
          <w:numId w:val="78"/>
        </w:numPr>
        <w:snapToGrid w:val="0"/>
        <w:spacing w:line="480" w:lineRule="exact"/>
        <w:ind w:leftChars="0" w:left="782"/>
        <w:jc w:val="both"/>
        <w:rPr>
          <w:rFonts w:eastAsia="標楷體"/>
          <w:b/>
          <w:bCs/>
          <w:sz w:val="28"/>
          <w:szCs w:val="28"/>
        </w:rPr>
      </w:pPr>
      <w:r w:rsidRPr="00D55DC6">
        <w:rPr>
          <w:rFonts w:eastAsia="標楷體"/>
          <w:b/>
          <w:bCs/>
          <w:sz w:val="28"/>
          <w:szCs w:val="28"/>
        </w:rPr>
        <w:t>重要執行成果</w:t>
      </w:r>
      <w:r w:rsidRPr="00D55DC6">
        <w:rPr>
          <w:rFonts w:eastAsia="標楷體"/>
          <w:b/>
          <w:bCs/>
          <w:sz w:val="28"/>
          <w:szCs w:val="28"/>
        </w:rPr>
        <w:t>-</w:t>
      </w:r>
      <w:r w:rsidRPr="00D55DC6">
        <w:rPr>
          <w:rFonts w:eastAsia="標楷體"/>
          <w:b/>
          <w:bCs/>
          <w:sz w:val="28"/>
          <w:szCs w:val="28"/>
        </w:rPr>
        <w:t>旅遊景點風華再現</w:t>
      </w:r>
    </w:p>
    <w:p w:rsidR="005D6EF0" w:rsidRPr="00D55DC6" w:rsidRDefault="005D6EF0" w:rsidP="0038165F">
      <w:pPr>
        <w:pStyle w:val="af2"/>
        <w:spacing w:line="480" w:lineRule="exact"/>
        <w:ind w:leftChars="158" w:left="379" w:firstLineChars="150" w:firstLine="420"/>
        <w:jc w:val="both"/>
        <w:rPr>
          <w:rFonts w:eastAsia="標楷體"/>
          <w:sz w:val="28"/>
          <w:szCs w:val="28"/>
        </w:rPr>
      </w:pPr>
      <w:r w:rsidRPr="00D55DC6">
        <w:rPr>
          <w:rFonts w:eastAsia="標楷體"/>
          <w:sz w:val="28"/>
          <w:szCs w:val="28"/>
        </w:rPr>
        <w:t>2-1.</w:t>
      </w:r>
      <w:r w:rsidRPr="00D55DC6">
        <w:rPr>
          <w:rFonts w:eastAsia="標楷體"/>
          <w:sz w:val="28"/>
          <w:szCs w:val="28"/>
        </w:rPr>
        <w:t>國際觀光重要景點建設：</w:t>
      </w:r>
    </w:p>
    <w:p w:rsidR="005D6EF0" w:rsidRPr="00D55DC6" w:rsidRDefault="005D6EF0" w:rsidP="0038165F">
      <w:pPr>
        <w:pStyle w:val="af2"/>
        <w:spacing w:line="480" w:lineRule="exact"/>
        <w:ind w:leftChars="552" w:left="1983" w:hangingChars="235" w:hanging="658"/>
        <w:jc w:val="both"/>
        <w:rPr>
          <w:rFonts w:eastAsia="標楷體"/>
          <w:sz w:val="28"/>
          <w:szCs w:val="28"/>
        </w:rPr>
      </w:pPr>
      <w:r w:rsidRPr="00D55DC6">
        <w:rPr>
          <w:rFonts w:eastAsia="標楷體"/>
          <w:sz w:val="28"/>
          <w:szCs w:val="28"/>
        </w:rPr>
        <w:t>2-1-1.</w:t>
      </w:r>
      <w:r w:rsidRPr="00D55DC6">
        <w:rPr>
          <w:rFonts w:eastAsia="標楷體"/>
          <w:sz w:val="28"/>
          <w:szCs w:val="28"/>
        </w:rPr>
        <w:t>完成南庄遊憩區景點建設及公共服務等設施改善</w:t>
      </w:r>
      <w:r w:rsidRPr="00D55DC6">
        <w:rPr>
          <w:rFonts w:eastAsia="標楷體"/>
          <w:sz w:val="28"/>
          <w:szCs w:val="28"/>
        </w:rPr>
        <w:t>(</w:t>
      </w:r>
      <w:r w:rsidRPr="00D55DC6">
        <w:rPr>
          <w:rFonts w:eastAsia="標楷體"/>
          <w:sz w:val="28"/>
          <w:szCs w:val="28"/>
        </w:rPr>
        <w:t>完成東河吊橋、永興吊橋整修及周邊環境改善、南庄遊客中心、公廁、無障礙及公共服務設施改善、南庄</w:t>
      </w:r>
      <w:r w:rsidRPr="00D55DC6">
        <w:rPr>
          <w:rFonts w:eastAsia="標楷體"/>
          <w:sz w:val="28"/>
          <w:szCs w:val="28"/>
        </w:rPr>
        <w:t>1</w:t>
      </w:r>
      <w:r w:rsidRPr="00D55DC6">
        <w:rPr>
          <w:rFonts w:eastAsia="標楷體"/>
          <w:sz w:val="28"/>
          <w:szCs w:val="28"/>
        </w:rPr>
        <w:t>號河川堤防高灘地臨時停車場修復、四十二份坪觀光遊憩公共設施工程、東河瓦祿產業文化館周邊公共設施、小東河觀光遊憩公共服務設施改善等</w:t>
      </w:r>
      <w:r w:rsidRPr="00D55DC6">
        <w:rPr>
          <w:rFonts w:eastAsia="標楷體"/>
          <w:sz w:val="28"/>
          <w:szCs w:val="28"/>
        </w:rPr>
        <w:t>)</w:t>
      </w:r>
      <w:r w:rsidRPr="00D55DC6">
        <w:rPr>
          <w:rFonts w:eastAsia="標楷體"/>
          <w:sz w:val="28"/>
          <w:szCs w:val="28"/>
        </w:rPr>
        <w:t>。</w:t>
      </w:r>
    </w:p>
    <w:p w:rsidR="005D6EF0" w:rsidRPr="00D55DC6" w:rsidRDefault="005D6EF0" w:rsidP="0038165F">
      <w:pPr>
        <w:pStyle w:val="af2"/>
        <w:spacing w:line="480" w:lineRule="exact"/>
        <w:ind w:leftChars="552" w:left="1983" w:hangingChars="235" w:hanging="658"/>
        <w:jc w:val="both"/>
        <w:rPr>
          <w:rFonts w:eastAsia="標楷體"/>
          <w:sz w:val="28"/>
          <w:szCs w:val="28"/>
        </w:rPr>
      </w:pPr>
      <w:r w:rsidRPr="00D55DC6">
        <w:rPr>
          <w:rFonts w:eastAsia="標楷體"/>
          <w:sz w:val="28"/>
          <w:szCs w:val="28"/>
        </w:rPr>
        <w:t>2-1-2.</w:t>
      </w:r>
      <w:r w:rsidRPr="00D55DC6">
        <w:rPr>
          <w:rFonts w:eastAsia="標楷體"/>
          <w:sz w:val="28"/>
          <w:szCs w:val="28"/>
        </w:rPr>
        <w:t>完成谷關遊憩區景點建設及公共服務等設施改善</w:t>
      </w:r>
      <w:r w:rsidRPr="00D55DC6">
        <w:rPr>
          <w:rFonts w:eastAsia="標楷體"/>
          <w:sz w:val="28"/>
          <w:szCs w:val="28"/>
        </w:rPr>
        <w:t>(</w:t>
      </w:r>
      <w:r w:rsidRPr="00D55DC6">
        <w:rPr>
          <w:rFonts w:eastAsia="標楷體"/>
          <w:sz w:val="28"/>
          <w:szCs w:val="28"/>
        </w:rPr>
        <w:t>完成谷關捎來步道整修及景觀改善、谷關遊憩區無障礙旅遊服務設施改善等</w:t>
      </w:r>
      <w:r w:rsidRPr="00D55DC6">
        <w:rPr>
          <w:rFonts w:eastAsia="標楷體"/>
          <w:sz w:val="28"/>
          <w:szCs w:val="28"/>
        </w:rPr>
        <w:t>)</w:t>
      </w:r>
      <w:r w:rsidRPr="00D55DC6">
        <w:rPr>
          <w:rFonts w:eastAsia="標楷體"/>
          <w:sz w:val="28"/>
          <w:szCs w:val="28"/>
        </w:rPr>
        <w:t>。</w:t>
      </w:r>
    </w:p>
    <w:p w:rsidR="005D6EF0" w:rsidRPr="00D55DC6" w:rsidRDefault="005D6EF0" w:rsidP="0038165F">
      <w:pPr>
        <w:pStyle w:val="af2"/>
        <w:spacing w:line="480" w:lineRule="exact"/>
        <w:ind w:leftChars="552" w:left="1983" w:hangingChars="235" w:hanging="658"/>
        <w:jc w:val="both"/>
        <w:rPr>
          <w:rFonts w:eastAsia="標楷體"/>
          <w:sz w:val="28"/>
          <w:szCs w:val="28"/>
        </w:rPr>
      </w:pPr>
      <w:r w:rsidRPr="00D55DC6">
        <w:rPr>
          <w:rFonts w:eastAsia="標楷體"/>
          <w:sz w:val="28"/>
          <w:szCs w:val="28"/>
        </w:rPr>
        <w:t>2-1-3.</w:t>
      </w:r>
      <w:r w:rsidRPr="00D55DC6">
        <w:rPr>
          <w:rFonts w:eastAsia="標楷體"/>
          <w:sz w:val="28"/>
          <w:szCs w:val="28"/>
        </w:rPr>
        <w:t>完成松柏嶺遊憩區景點建設及公共服務等設施改善</w:t>
      </w:r>
      <w:r w:rsidRPr="00D55DC6">
        <w:rPr>
          <w:rFonts w:eastAsia="標楷體"/>
          <w:sz w:val="28"/>
          <w:szCs w:val="28"/>
        </w:rPr>
        <w:t>(</w:t>
      </w:r>
      <w:r w:rsidRPr="00D55DC6">
        <w:rPr>
          <w:rFonts w:eastAsia="標楷體"/>
          <w:sz w:val="28"/>
          <w:szCs w:val="28"/>
        </w:rPr>
        <w:t>完成長青自行車道周邊據點環境改善等、松柏嶺森林公園景觀設施改善、天空之橋興建、猴探井遊憩園區等休憩據點改善、清水岩生態展示中心周邊無障礙設施及公共服務設施改善等</w:t>
      </w:r>
      <w:r w:rsidRPr="00D55DC6">
        <w:rPr>
          <w:rFonts w:eastAsia="標楷體"/>
          <w:sz w:val="28"/>
          <w:szCs w:val="28"/>
        </w:rPr>
        <w:t>)</w:t>
      </w:r>
      <w:r w:rsidRPr="00D55DC6">
        <w:rPr>
          <w:rFonts w:eastAsia="標楷體"/>
          <w:sz w:val="28"/>
          <w:szCs w:val="28"/>
        </w:rPr>
        <w:t>。</w:t>
      </w:r>
    </w:p>
    <w:p w:rsidR="005D6EF0" w:rsidRPr="00D55DC6" w:rsidRDefault="005D6EF0" w:rsidP="0038165F">
      <w:pPr>
        <w:pStyle w:val="af2"/>
        <w:spacing w:line="480" w:lineRule="exact"/>
        <w:ind w:leftChars="158" w:left="379" w:firstLineChars="150" w:firstLine="420"/>
        <w:jc w:val="both"/>
        <w:rPr>
          <w:rFonts w:eastAsia="標楷體"/>
          <w:sz w:val="28"/>
          <w:szCs w:val="28"/>
        </w:rPr>
      </w:pPr>
      <w:r w:rsidRPr="00D55DC6">
        <w:rPr>
          <w:rFonts w:eastAsia="標楷體"/>
          <w:sz w:val="28"/>
          <w:szCs w:val="28"/>
        </w:rPr>
        <w:t>2-2.</w:t>
      </w:r>
      <w:r w:rsidRPr="00D55DC6">
        <w:rPr>
          <w:rFonts w:eastAsia="標楷體"/>
          <w:sz w:val="28"/>
          <w:szCs w:val="28"/>
        </w:rPr>
        <w:t>國內觀光重要景點建設：</w:t>
      </w:r>
    </w:p>
    <w:p w:rsidR="005D6EF0" w:rsidRPr="00D55DC6" w:rsidRDefault="005D6EF0" w:rsidP="0038165F">
      <w:pPr>
        <w:pStyle w:val="af2"/>
        <w:spacing w:line="480" w:lineRule="exact"/>
        <w:ind w:leftChars="552" w:left="1983" w:hangingChars="235" w:hanging="658"/>
        <w:jc w:val="both"/>
        <w:rPr>
          <w:rFonts w:eastAsia="標楷體"/>
          <w:sz w:val="28"/>
          <w:szCs w:val="28"/>
        </w:rPr>
      </w:pPr>
      <w:r w:rsidRPr="00D55DC6">
        <w:rPr>
          <w:rFonts w:eastAsia="標楷體"/>
          <w:sz w:val="28"/>
          <w:szCs w:val="28"/>
        </w:rPr>
        <w:t>2-2-1.</w:t>
      </w:r>
      <w:r w:rsidRPr="00D55DC6">
        <w:rPr>
          <w:rFonts w:eastAsia="標楷體"/>
          <w:sz w:val="28"/>
          <w:szCs w:val="28"/>
        </w:rPr>
        <w:t>獅頭山遊憩區景點建設及公共服務等設施改善</w:t>
      </w:r>
      <w:r w:rsidRPr="00D55DC6">
        <w:rPr>
          <w:rFonts w:eastAsia="標楷體"/>
          <w:sz w:val="28"/>
          <w:szCs w:val="28"/>
        </w:rPr>
        <w:t>(</w:t>
      </w:r>
      <w:r w:rsidRPr="00D55DC6">
        <w:rPr>
          <w:rFonts w:eastAsia="標楷體"/>
          <w:sz w:val="28"/>
          <w:szCs w:val="28"/>
        </w:rPr>
        <w:t>完成獅頭山峨眉湖細茅埔吊橋及周邊環境整修、獅山遊客中心、公廁、無障礙及公共服務設施改善、峨眉湖環湖步道周邊改善等</w:t>
      </w:r>
      <w:r w:rsidRPr="00D55DC6">
        <w:rPr>
          <w:rFonts w:eastAsia="標楷體"/>
          <w:sz w:val="28"/>
          <w:szCs w:val="28"/>
        </w:rPr>
        <w:t>)</w:t>
      </w:r>
      <w:r w:rsidRPr="00D55DC6">
        <w:rPr>
          <w:rFonts w:eastAsia="標楷體"/>
          <w:sz w:val="28"/>
          <w:szCs w:val="28"/>
        </w:rPr>
        <w:t>。</w:t>
      </w:r>
    </w:p>
    <w:p w:rsidR="005D6EF0" w:rsidRPr="00D55DC6" w:rsidRDefault="005D6EF0" w:rsidP="0038165F">
      <w:pPr>
        <w:pStyle w:val="af2"/>
        <w:spacing w:line="480" w:lineRule="exact"/>
        <w:ind w:leftChars="552" w:left="1983" w:hangingChars="235" w:hanging="658"/>
        <w:jc w:val="both"/>
        <w:rPr>
          <w:rFonts w:eastAsia="標楷體"/>
          <w:sz w:val="28"/>
          <w:szCs w:val="28"/>
        </w:rPr>
      </w:pPr>
      <w:r w:rsidRPr="00D55DC6">
        <w:rPr>
          <w:rFonts w:eastAsia="標楷體"/>
          <w:sz w:val="28"/>
          <w:szCs w:val="28"/>
        </w:rPr>
        <w:lastRenderedPageBreak/>
        <w:t>2-2-2.</w:t>
      </w:r>
      <w:r w:rsidRPr="00D55DC6">
        <w:rPr>
          <w:rFonts w:eastAsia="標楷體"/>
          <w:sz w:val="28"/>
          <w:szCs w:val="28"/>
        </w:rPr>
        <w:t>八卦山遊憩區景點建設及公共服務等設施改善</w:t>
      </w:r>
      <w:r w:rsidRPr="00D55DC6">
        <w:rPr>
          <w:rFonts w:eastAsia="標楷體"/>
          <w:sz w:val="28"/>
          <w:szCs w:val="28"/>
        </w:rPr>
        <w:t>(</w:t>
      </w:r>
      <w:r w:rsidRPr="00D55DC6">
        <w:rPr>
          <w:rFonts w:eastAsia="標楷體"/>
          <w:sz w:val="28"/>
          <w:szCs w:val="28"/>
        </w:rPr>
        <w:t>完成高鐵橋下自行車道延伸、芬園挑水古道、芬園休閒體健園區</w:t>
      </w:r>
      <w:r w:rsidRPr="00D55DC6">
        <w:rPr>
          <w:rFonts w:eastAsia="標楷體"/>
          <w:sz w:val="28"/>
          <w:szCs w:val="28"/>
        </w:rPr>
        <w:t>(</w:t>
      </w:r>
      <w:r w:rsidRPr="00D55DC6">
        <w:rPr>
          <w:rFonts w:eastAsia="標楷體"/>
          <w:sz w:val="28"/>
          <w:szCs w:val="28"/>
        </w:rPr>
        <w:t>就是愛茘枝樂園</w:t>
      </w:r>
      <w:r w:rsidRPr="00D55DC6">
        <w:rPr>
          <w:rFonts w:eastAsia="標楷體"/>
          <w:sz w:val="28"/>
          <w:szCs w:val="28"/>
        </w:rPr>
        <w:t>)</w:t>
      </w:r>
      <w:r w:rsidRPr="00D55DC6">
        <w:rPr>
          <w:rFonts w:eastAsia="標楷體"/>
          <w:sz w:val="28"/>
          <w:szCs w:val="28"/>
        </w:rPr>
        <w:t>周邊景觀改善、遊客中心導覽、親子公廁及穆斯林友善服務設施改善等</w:t>
      </w:r>
      <w:r w:rsidRPr="00D55DC6">
        <w:rPr>
          <w:rFonts w:eastAsia="標楷體"/>
          <w:sz w:val="28"/>
          <w:szCs w:val="28"/>
        </w:rPr>
        <w:t>)</w:t>
      </w:r>
      <w:r w:rsidRPr="00D55DC6">
        <w:rPr>
          <w:rFonts w:eastAsia="標楷體"/>
          <w:sz w:val="28"/>
          <w:szCs w:val="28"/>
        </w:rPr>
        <w:t>。</w:t>
      </w:r>
    </w:p>
    <w:p w:rsidR="005D6EF0" w:rsidRPr="00D55DC6" w:rsidRDefault="005D6EF0" w:rsidP="0038165F">
      <w:pPr>
        <w:pStyle w:val="af2"/>
        <w:spacing w:line="480" w:lineRule="exact"/>
        <w:ind w:leftChars="158" w:left="379" w:firstLineChars="150" w:firstLine="420"/>
        <w:jc w:val="both"/>
        <w:rPr>
          <w:rFonts w:eastAsia="標楷體"/>
          <w:sz w:val="28"/>
          <w:szCs w:val="28"/>
        </w:rPr>
      </w:pPr>
      <w:r w:rsidRPr="00D55DC6">
        <w:rPr>
          <w:rFonts w:eastAsia="標楷體"/>
          <w:sz w:val="28"/>
          <w:szCs w:val="28"/>
        </w:rPr>
        <w:t>2-3.</w:t>
      </w:r>
      <w:r w:rsidRPr="00D55DC6">
        <w:rPr>
          <w:rFonts w:eastAsia="標楷體"/>
          <w:sz w:val="28"/>
          <w:szCs w:val="28"/>
        </w:rPr>
        <w:t>地方觀光重要景點建設：</w:t>
      </w:r>
    </w:p>
    <w:p w:rsidR="005D6EF0" w:rsidRPr="00D55DC6" w:rsidRDefault="005D6EF0" w:rsidP="0038165F">
      <w:pPr>
        <w:pStyle w:val="af2"/>
        <w:spacing w:line="480" w:lineRule="exact"/>
        <w:ind w:leftChars="552" w:left="1983" w:hangingChars="235" w:hanging="658"/>
        <w:jc w:val="both"/>
        <w:rPr>
          <w:rFonts w:eastAsia="標楷體"/>
          <w:sz w:val="28"/>
          <w:szCs w:val="28"/>
        </w:rPr>
      </w:pPr>
      <w:r w:rsidRPr="00D55DC6">
        <w:rPr>
          <w:rFonts w:eastAsia="標楷體"/>
          <w:sz w:val="28"/>
          <w:szCs w:val="28"/>
        </w:rPr>
        <w:t>2-3-1.</w:t>
      </w:r>
      <w:r w:rsidRPr="00D55DC6">
        <w:rPr>
          <w:rFonts w:eastAsia="標楷體"/>
          <w:sz w:val="28"/>
          <w:szCs w:val="28"/>
        </w:rPr>
        <w:t>梨山遊憩區景點建設及公共服務等設施改善</w:t>
      </w:r>
      <w:r w:rsidRPr="00D55DC6">
        <w:rPr>
          <w:rFonts w:eastAsia="標楷體"/>
          <w:sz w:val="28"/>
          <w:szCs w:val="28"/>
        </w:rPr>
        <w:t>(</w:t>
      </w:r>
      <w:r w:rsidRPr="00D55DC6">
        <w:rPr>
          <w:rFonts w:eastAsia="標楷體"/>
          <w:sz w:val="28"/>
          <w:szCs w:val="28"/>
        </w:rPr>
        <w:t>完成四季賞花園區</w:t>
      </w:r>
      <w:r w:rsidRPr="00D55DC6">
        <w:rPr>
          <w:rFonts w:eastAsia="標楷體"/>
          <w:sz w:val="28"/>
          <w:szCs w:val="28"/>
        </w:rPr>
        <w:t>(</w:t>
      </w:r>
      <w:r w:rsidRPr="00D55DC6">
        <w:rPr>
          <w:rFonts w:eastAsia="標楷體"/>
          <w:sz w:val="28"/>
          <w:szCs w:val="28"/>
        </w:rPr>
        <w:t>楓之谷</w:t>
      </w:r>
      <w:r w:rsidRPr="00D55DC6">
        <w:rPr>
          <w:rFonts w:eastAsia="標楷體"/>
          <w:sz w:val="28"/>
          <w:szCs w:val="28"/>
        </w:rPr>
        <w:t>-1956</w:t>
      </w:r>
      <w:r w:rsidRPr="00D55DC6">
        <w:rPr>
          <w:rFonts w:eastAsia="標楷體"/>
          <w:sz w:val="28"/>
          <w:szCs w:val="28"/>
        </w:rPr>
        <w:t>祕密花園</w:t>
      </w:r>
      <w:r w:rsidRPr="00D55DC6">
        <w:rPr>
          <w:rFonts w:eastAsia="標楷體"/>
          <w:sz w:val="28"/>
          <w:szCs w:val="28"/>
        </w:rPr>
        <w:t>)</w:t>
      </w:r>
      <w:r w:rsidRPr="00D55DC6">
        <w:rPr>
          <w:rFonts w:eastAsia="標楷體"/>
          <w:sz w:val="28"/>
          <w:szCs w:val="28"/>
        </w:rPr>
        <w:t>整體景觀改善、福壽山農場旁櫻花步道、梨山風景區遊客中心、公廁、無障礙及公共服務設施改善、梨山文物陳列館廣場及周邊環境改善、梨山賓館基礎設施改善等</w:t>
      </w:r>
      <w:r w:rsidRPr="00D55DC6">
        <w:rPr>
          <w:rFonts w:eastAsia="標楷體"/>
          <w:sz w:val="28"/>
          <w:szCs w:val="28"/>
        </w:rPr>
        <w:t>)</w:t>
      </w:r>
      <w:r w:rsidRPr="00D55DC6">
        <w:rPr>
          <w:rFonts w:eastAsia="標楷體"/>
          <w:sz w:val="28"/>
          <w:szCs w:val="28"/>
        </w:rPr>
        <w:t>。</w:t>
      </w:r>
    </w:p>
    <w:p w:rsidR="005D6EF0" w:rsidRPr="00D55DC6" w:rsidRDefault="005D6EF0" w:rsidP="0038165F">
      <w:pPr>
        <w:pStyle w:val="af2"/>
        <w:spacing w:line="480" w:lineRule="exact"/>
        <w:ind w:leftChars="552" w:left="1983" w:hangingChars="235" w:hanging="658"/>
        <w:jc w:val="both"/>
        <w:rPr>
          <w:rFonts w:eastAsia="標楷體"/>
          <w:sz w:val="28"/>
          <w:szCs w:val="28"/>
        </w:rPr>
      </w:pPr>
      <w:r w:rsidRPr="00D55DC6">
        <w:rPr>
          <w:rFonts w:eastAsia="標楷體"/>
          <w:sz w:val="28"/>
          <w:szCs w:val="28"/>
        </w:rPr>
        <w:t>2-3-2.</w:t>
      </w:r>
      <w:r w:rsidRPr="00D55DC6">
        <w:rPr>
          <w:rFonts w:eastAsia="標楷體"/>
          <w:sz w:val="28"/>
          <w:szCs w:val="28"/>
        </w:rPr>
        <w:t>百果山遊憩區景點建設及公共服務等設施改善</w:t>
      </w:r>
      <w:r w:rsidRPr="00D55DC6">
        <w:rPr>
          <w:rFonts w:eastAsia="標楷體"/>
          <w:sz w:val="28"/>
          <w:szCs w:val="28"/>
        </w:rPr>
        <w:t>(</w:t>
      </w:r>
      <w:r w:rsidRPr="00D55DC6">
        <w:rPr>
          <w:rFonts w:eastAsia="標楷體"/>
          <w:sz w:val="28"/>
          <w:szCs w:val="28"/>
        </w:rPr>
        <w:t>完成八卦山風景區高鐵橋下自行車道延伸工程、員林自行車道暨周邊環境改善、員林百果山遊憩區周邊環境及公共服務設施等改善、八卦山員林東山地區景觀綠美化等</w:t>
      </w:r>
      <w:r w:rsidRPr="00D55DC6">
        <w:rPr>
          <w:rFonts w:eastAsia="標楷體"/>
          <w:sz w:val="28"/>
          <w:szCs w:val="28"/>
        </w:rPr>
        <w:t>)</w:t>
      </w:r>
      <w:r w:rsidRPr="00D55DC6">
        <w:rPr>
          <w:rFonts w:eastAsia="標楷體"/>
          <w:sz w:val="28"/>
          <w:szCs w:val="28"/>
        </w:rPr>
        <w:t>。</w:t>
      </w:r>
    </w:p>
    <w:p w:rsidR="005D6EF0" w:rsidRPr="00D55DC6" w:rsidRDefault="005D6EF0" w:rsidP="0038165F">
      <w:pPr>
        <w:pStyle w:val="af2"/>
        <w:spacing w:line="480" w:lineRule="exact"/>
        <w:ind w:leftChars="0" w:left="782"/>
        <w:jc w:val="both"/>
        <w:rPr>
          <w:rFonts w:eastAsia="標楷體"/>
          <w:bCs/>
          <w:sz w:val="28"/>
          <w:szCs w:val="28"/>
        </w:rPr>
      </w:pPr>
      <w:r w:rsidRPr="00D55DC6">
        <w:rPr>
          <w:rFonts w:eastAsia="標楷體"/>
          <w:bCs/>
          <w:sz w:val="28"/>
          <w:szCs w:val="28"/>
        </w:rPr>
        <w:t>2-4.</w:t>
      </w:r>
      <w:r w:rsidRPr="00D55DC6">
        <w:rPr>
          <w:rFonts w:eastAsia="標楷體"/>
          <w:bCs/>
          <w:sz w:val="28"/>
          <w:szCs w:val="28"/>
        </w:rPr>
        <w:t>國家風景區經營管理</w:t>
      </w:r>
    </w:p>
    <w:p w:rsidR="005D6EF0" w:rsidRPr="00D55DC6" w:rsidRDefault="005D6EF0" w:rsidP="0038165F">
      <w:pPr>
        <w:pStyle w:val="af2"/>
        <w:spacing w:line="480" w:lineRule="exact"/>
        <w:ind w:leftChars="552" w:left="1983" w:hangingChars="235" w:hanging="658"/>
        <w:jc w:val="both"/>
        <w:rPr>
          <w:rFonts w:eastAsia="標楷體"/>
          <w:sz w:val="28"/>
          <w:szCs w:val="28"/>
        </w:rPr>
      </w:pPr>
      <w:r w:rsidRPr="00D55DC6">
        <w:rPr>
          <w:rFonts w:eastAsia="標楷體"/>
          <w:sz w:val="28"/>
          <w:szCs w:val="28"/>
        </w:rPr>
        <w:t>2-4-1.</w:t>
      </w:r>
      <w:r w:rsidRPr="00D55DC6">
        <w:rPr>
          <w:rFonts w:eastAsia="標楷體"/>
          <w:sz w:val="28"/>
          <w:szCs w:val="28"/>
        </w:rPr>
        <w:t>沿線據點設施改善：親和性道路指示標誌、雙語化標誌、優質人性化公廁改善、無障礙服務環境及公共服務設施改善等。</w:t>
      </w:r>
    </w:p>
    <w:p w:rsidR="005D6EF0" w:rsidRPr="00D55DC6" w:rsidRDefault="005D6EF0" w:rsidP="0038165F">
      <w:pPr>
        <w:pStyle w:val="af2"/>
        <w:spacing w:line="480" w:lineRule="exact"/>
        <w:ind w:leftChars="552" w:left="1983" w:hangingChars="235" w:hanging="658"/>
        <w:jc w:val="both"/>
        <w:rPr>
          <w:rFonts w:eastAsia="標楷體"/>
          <w:sz w:val="28"/>
          <w:szCs w:val="28"/>
        </w:rPr>
      </w:pPr>
      <w:r w:rsidRPr="00D55DC6">
        <w:rPr>
          <w:rFonts w:eastAsia="標楷體"/>
          <w:sz w:val="28"/>
          <w:szCs w:val="28"/>
        </w:rPr>
        <w:t>2-4-2.</w:t>
      </w:r>
      <w:r w:rsidRPr="00D55DC6">
        <w:rPr>
          <w:rFonts w:eastAsia="標楷體"/>
          <w:sz w:val="28"/>
          <w:szCs w:val="28"/>
        </w:rPr>
        <w:t>定期巡邏檢查</w:t>
      </w:r>
      <w:r w:rsidRPr="00D55DC6">
        <w:rPr>
          <w:rFonts w:eastAsia="標楷體"/>
          <w:sz w:val="28"/>
          <w:szCs w:val="28"/>
        </w:rPr>
        <w:t>-</w:t>
      </w:r>
      <w:r w:rsidRPr="00D55DC6">
        <w:rPr>
          <w:rFonts w:eastAsia="標楷體"/>
          <w:sz w:val="28"/>
          <w:szCs w:val="28"/>
        </w:rPr>
        <w:t>提升遊客安全：定期消防安全檢查及宣導、危險區域警告禁止標誌及定期巡邏、公廁安全巡檢等。</w:t>
      </w:r>
    </w:p>
    <w:p w:rsidR="005D6EF0" w:rsidRPr="00D55DC6" w:rsidRDefault="005D6EF0" w:rsidP="0038165F">
      <w:pPr>
        <w:pStyle w:val="af2"/>
        <w:spacing w:line="480" w:lineRule="exact"/>
        <w:ind w:leftChars="552" w:left="1983" w:hangingChars="235" w:hanging="658"/>
        <w:jc w:val="both"/>
        <w:rPr>
          <w:rFonts w:eastAsia="標楷體"/>
          <w:sz w:val="28"/>
          <w:szCs w:val="28"/>
        </w:rPr>
      </w:pPr>
      <w:r w:rsidRPr="00D55DC6">
        <w:rPr>
          <w:rFonts w:eastAsia="標楷體"/>
          <w:sz w:val="28"/>
          <w:szCs w:val="28"/>
        </w:rPr>
        <w:t>2-4-3.</w:t>
      </w:r>
      <w:r w:rsidRPr="00D55DC6">
        <w:rPr>
          <w:rFonts w:eastAsia="標楷體"/>
          <w:sz w:val="28"/>
          <w:szCs w:val="28"/>
        </w:rPr>
        <w:t>清淨家園環境整潔美化：拆除違規廣告物、流動攤販勸離及取締、辦理轄區公共服務設施周邊環境整潔全民運動等。</w:t>
      </w:r>
    </w:p>
    <w:p w:rsidR="005D6EF0" w:rsidRPr="00D55DC6" w:rsidRDefault="005D6EF0" w:rsidP="0038165F">
      <w:pPr>
        <w:pStyle w:val="af2"/>
        <w:spacing w:line="480" w:lineRule="exact"/>
        <w:ind w:leftChars="552" w:left="1983" w:hangingChars="235" w:hanging="658"/>
        <w:jc w:val="both"/>
        <w:rPr>
          <w:rFonts w:eastAsia="標楷體"/>
          <w:sz w:val="28"/>
          <w:szCs w:val="28"/>
        </w:rPr>
      </w:pPr>
      <w:r w:rsidRPr="00D55DC6">
        <w:rPr>
          <w:rFonts w:eastAsia="標楷體"/>
          <w:sz w:val="28"/>
          <w:szCs w:val="28"/>
        </w:rPr>
        <w:t>2-4-4.</w:t>
      </w:r>
      <w:r w:rsidRPr="00D55DC6">
        <w:rPr>
          <w:rFonts w:eastAsia="標楷體"/>
          <w:sz w:val="28"/>
          <w:szCs w:val="28"/>
        </w:rPr>
        <w:t>民間企業團體合作</w:t>
      </w:r>
      <w:r w:rsidRPr="00D55DC6">
        <w:rPr>
          <w:rFonts w:eastAsia="標楷體"/>
          <w:sz w:val="28"/>
          <w:szCs w:val="28"/>
        </w:rPr>
        <w:t>-</w:t>
      </w:r>
      <w:r w:rsidRPr="00D55DC6">
        <w:rPr>
          <w:rFonts w:eastAsia="標楷體"/>
          <w:sz w:val="28"/>
          <w:szCs w:val="28"/>
        </w:rPr>
        <w:t>建立公共關係：運用志工導覽解說、與民間企業合作戶外休憩活動、辦理生態旅遊活動講習等。</w:t>
      </w:r>
    </w:p>
    <w:p w:rsidR="005D6EF0" w:rsidRPr="00D55DC6" w:rsidRDefault="005D6EF0" w:rsidP="0038165F">
      <w:pPr>
        <w:pStyle w:val="af2"/>
        <w:spacing w:line="480" w:lineRule="exact"/>
        <w:ind w:leftChars="0" w:left="782"/>
        <w:jc w:val="both"/>
        <w:rPr>
          <w:rFonts w:eastAsia="標楷體"/>
          <w:bCs/>
          <w:sz w:val="28"/>
          <w:szCs w:val="28"/>
        </w:rPr>
      </w:pPr>
      <w:r w:rsidRPr="00D55DC6">
        <w:rPr>
          <w:rFonts w:eastAsia="標楷體"/>
          <w:bCs/>
          <w:sz w:val="28"/>
          <w:szCs w:val="28"/>
        </w:rPr>
        <w:t>2-5.</w:t>
      </w:r>
      <w:r w:rsidRPr="00D55DC6">
        <w:rPr>
          <w:rFonts w:eastAsia="標楷體"/>
          <w:bCs/>
          <w:sz w:val="28"/>
          <w:szCs w:val="28"/>
        </w:rPr>
        <w:t>國家風景區行銷推廣</w:t>
      </w:r>
    </w:p>
    <w:p w:rsidR="005D6EF0" w:rsidRPr="00D55DC6" w:rsidRDefault="005D6EF0" w:rsidP="0038165F">
      <w:pPr>
        <w:pStyle w:val="af2"/>
        <w:spacing w:line="480" w:lineRule="exact"/>
        <w:ind w:leftChars="530" w:left="1272" w:firstLineChars="200" w:firstLine="560"/>
        <w:jc w:val="both"/>
        <w:rPr>
          <w:rFonts w:eastAsia="標楷體"/>
          <w:sz w:val="28"/>
          <w:szCs w:val="28"/>
        </w:rPr>
      </w:pPr>
      <w:r w:rsidRPr="00D55DC6">
        <w:rPr>
          <w:rFonts w:eastAsia="標楷體"/>
          <w:sz w:val="28"/>
          <w:szCs w:val="28"/>
        </w:rPr>
        <w:t>設計富有代表意義之伴手禮及吉祥物、旅遊網站即時更新、優質遊客中心、辦理行銷推廣活動</w:t>
      </w:r>
      <w:r w:rsidRPr="00D55DC6">
        <w:rPr>
          <w:rFonts w:eastAsia="標楷體"/>
          <w:sz w:val="28"/>
          <w:szCs w:val="28"/>
        </w:rPr>
        <w:t>(</w:t>
      </w:r>
      <w:r w:rsidRPr="00D55DC6">
        <w:rPr>
          <w:rFonts w:eastAsia="標楷體"/>
          <w:sz w:val="28"/>
          <w:szCs w:val="28"/>
        </w:rPr>
        <w:t>玩美八卦山系列活動、谷關</w:t>
      </w:r>
      <w:r w:rsidRPr="00D55DC6">
        <w:rPr>
          <w:rFonts w:eastAsia="標楷體"/>
          <w:sz w:val="28"/>
          <w:szCs w:val="28"/>
        </w:rPr>
        <w:lastRenderedPageBreak/>
        <w:t>湯饗溫泉季、客家桐花祭「一桐訪螢找茶趣」、彰化縣二水鄉跑水節、八卦山脈美利達盃＆單車嘉年華、彰化社頭織襪芭樂節、梨山賓館及芬園愛荔枝樂園</w:t>
      </w:r>
      <w:r w:rsidRPr="00D55DC6">
        <w:rPr>
          <w:rFonts w:eastAsia="標楷體"/>
          <w:sz w:val="28"/>
          <w:szCs w:val="28"/>
        </w:rPr>
        <w:t>OT</w:t>
      </w:r>
      <w:r w:rsidRPr="00D55DC6">
        <w:rPr>
          <w:rFonts w:eastAsia="標楷體"/>
          <w:sz w:val="28"/>
          <w:szCs w:val="28"/>
        </w:rPr>
        <w:t>案開幕活動、天空之橋啟用等宣導活動，及地方文化、農特產品宣導促銷活動等</w:t>
      </w:r>
      <w:r w:rsidRPr="00D55DC6">
        <w:rPr>
          <w:rFonts w:eastAsia="標楷體"/>
          <w:sz w:val="28"/>
          <w:szCs w:val="28"/>
        </w:rPr>
        <w:t>)</w:t>
      </w:r>
      <w:r w:rsidRPr="00D55DC6">
        <w:rPr>
          <w:rFonts w:eastAsia="標楷體"/>
          <w:sz w:val="28"/>
          <w:szCs w:val="28"/>
        </w:rPr>
        <w:t>，有效宣導施政計畫內容，皆獲得媒體宣傳及肯定。</w:t>
      </w:r>
    </w:p>
    <w:p w:rsidR="005D6EF0" w:rsidRPr="00D55DC6" w:rsidRDefault="005D6EF0" w:rsidP="0038165F">
      <w:pPr>
        <w:pStyle w:val="af2"/>
        <w:spacing w:line="480" w:lineRule="exact"/>
        <w:ind w:leftChars="308" w:left="1153" w:hangingChars="150" w:hanging="414"/>
        <w:jc w:val="both"/>
        <w:rPr>
          <w:rFonts w:eastAsia="標楷體"/>
          <w:spacing w:val="-2"/>
          <w:sz w:val="28"/>
          <w:szCs w:val="28"/>
        </w:rPr>
      </w:pPr>
      <w:r w:rsidRPr="00D55DC6">
        <w:rPr>
          <w:rFonts w:eastAsia="標楷體"/>
          <w:spacing w:val="-2"/>
          <w:sz w:val="28"/>
          <w:szCs w:val="28"/>
        </w:rPr>
        <w:t>2-6.</w:t>
      </w:r>
      <w:r w:rsidRPr="00D55DC6">
        <w:rPr>
          <w:rFonts w:eastAsia="標楷體"/>
          <w:spacing w:val="-2"/>
          <w:sz w:val="28"/>
          <w:szCs w:val="28"/>
        </w:rPr>
        <w:t>提升觀光建設自償性</w:t>
      </w:r>
    </w:p>
    <w:p w:rsidR="005D6EF0" w:rsidRPr="00D55DC6" w:rsidRDefault="005D6EF0" w:rsidP="0038165F">
      <w:pPr>
        <w:pStyle w:val="af2"/>
        <w:spacing w:line="480" w:lineRule="exact"/>
        <w:ind w:leftChars="552" w:left="1974" w:hangingChars="235" w:hanging="649"/>
        <w:jc w:val="both"/>
        <w:rPr>
          <w:rFonts w:eastAsia="標楷體"/>
          <w:sz w:val="28"/>
          <w:szCs w:val="28"/>
        </w:rPr>
      </w:pPr>
      <w:r w:rsidRPr="00D55DC6">
        <w:rPr>
          <w:rFonts w:eastAsia="標楷體"/>
          <w:spacing w:val="-2"/>
          <w:sz w:val="28"/>
          <w:szCs w:val="28"/>
        </w:rPr>
        <w:t>2-6-1.</w:t>
      </w:r>
      <w:r w:rsidRPr="00D55DC6">
        <w:rPr>
          <w:rFonts w:eastAsia="標楷體"/>
          <w:sz w:val="28"/>
          <w:szCs w:val="28"/>
        </w:rPr>
        <w:t>辦理「促進民間參與臺中市梨山賓館委外經營管理案」，促參案件民間投資金額高達</w:t>
      </w:r>
      <w:r w:rsidRPr="00D55DC6">
        <w:rPr>
          <w:rFonts w:eastAsia="標楷體"/>
          <w:sz w:val="28"/>
          <w:szCs w:val="28"/>
        </w:rPr>
        <w:t>0.54</w:t>
      </w:r>
      <w:r w:rsidRPr="00D55DC6">
        <w:rPr>
          <w:rFonts w:eastAsia="標楷體"/>
          <w:sz w:val="28"/>
          <w:szCs w:val="28"/>
        </w:rPr>
        <w:t>億元，引進民間廠商的專業企業經營理念與管理制度，有效改善各項服務設施品質，提升整體服務水準，並於</w:t>
      </w:r>
      <w:r w:rsidRPr="00D55DC6">
        <w:rPr>
          <w:rFonts w:eastAsia="標楷體"/>
          <w:sz w:val="28"/>
          <w:szCs w:val="28"/>
        </w:rPr>
        <w:t>101</w:t>
      </w:r>
      <w:r w:rsidRPr="00D55DC6">
        <w:rPr>
          <w:rFonts w:eastAsia="標楷體"/>
          <w:sz w:val="28"/>
          <w:szCs w:val="28"/>
        </w:rPr>
        <w:t>年</w:t>
      </w:r>
      <w:r w:rsidRPr="00D55DC6">
        <w:rPr>
          <w:rFonts w:eastAsia="標楷體"/>
          <w:sz w:val="28"/>
          <w:szCs w:val="28"/>
        </w:rPr>
        <w:t>12</w:t>
      </w:r>
      <w:r w:rsidRPr="00D55DC6">
        <w:rPr>
          <w:rFonts w:eastAsia="標楷體"/>
          <w:sz w:val="28"/>
          <w:szCs w:val="28"/>
        </w:rPr>
        <w:t>月</w:t>
      </w:r>
      <w:r w:rsidRPr="00D55DC6">
        <w:rPr>
          <w:rFonts w:eastAsia="標楷體"/>
          <w:sz w:val="28"/>
          <w:szCs w:val="28"/>
        </w:rPr>
        <w:t>9</w:t>
      </w:r>
      <w:r w:rsidRPr="00D55DC6">
        <w:rPr>
          <w:rFonts w:eastAsia="標楷體"/>
          <w:sz w:val="28"/>
          <w:szCs w:val="28"/>
        </w:rPr>
        <w:t>日正式營運，讓明星老店「梨山賓館」煥發全新風采、重拾往日風華，進而活絡梨山地區觀光，共創政府、民間與業者的三贏局面。每年土地租金、房屋設施租金共計約有</w:t>
      </w:r>
      <w:r w:rsidRPr="00D55DC6">
        <w:rPr>
          <w:rFonts w:eastAsia="標楷體"/>
          <w:sz w:val="28"/>
          <w:szCs w:val="28"/>
        </w:rPr>
        <w:t>127.3</w:t>
      </w:r>
      <w:r w:rsidRPr="00D55DC6">
        <w:rPr>
          <w:rFonts w:eastAsia="標楷體"/>
          <w:sz w:val="28"/>
          <w:szCs w:val="28"/>
        </w:rPr>
        <w:t>萬元，權利金</w:t>
      </w:r>
      <w:r w:rsidRPr="00D55DC6">
        <w:rPr>
          <w:rFonts w:eastAsia="標楷體"/>
          <w:sz w:val="28"/>
          <w:szCs w:val="28"/>
        </w:rPr>
        <w:t>219.4</w:t>
      </w:r>
      <w:r w:rsidRPr="00D55DC6">
        <w:rPr>
          <w:rFonts w:eastAsia="標楷體"/>
          <w:sz w:val="28"/>
          <w:szCs w:val="28"/>
        </w:rPr>
        <w:t>萬</w:t>
      </w:r>
      <w:r w:rsidRPr="00D55DC6">
        <w:rPr>
          <w:rFonts w:eastAsia="標楷體"/>
          <w:sz w:val="28"/>
          <w:szCs w:val="28"/>
        </w:rPr>
        <w:t>(</w:t>
      </w:r>
      <w:r w:rsidRPr="00D55DC6">
        <w:rPr>
          <w:rFonts w:eastAsia="標楷體"/>
          <w:sz w:val="28"/>
          <w:szCs w:val="28"/>
        </w:rPr>
        <w:t>廠商自提年營運權利金為</w:t>
      </w:r>
      <w:r w:rsidRPr="00D55DC6">
        <w:rPr>
          <w:rFonts w:eastAsia="標楷體"/>
          <w:sz w:val="28"/>
          <w:szCs w:val="28"/>
        </w:rPr>
        <w:t>3.5%</w:t>
      </w:r>
      <w:r w:rsidRPr="00D55DC6">
        <w:rPr>
          <w:rFonts w:eastAsia="標楷體"/>
          <w:sz w:val="28"/>
          <w:szCs w:val="28"/>
        </w:rPr>
        <w:t>，且每年不得少於</w:t>
      </w:r>
      <w:r w:rsidRPr="00D55DC6">
        <w:rPr>
          <w:rFonts w:eastAsia="標楷體"/>
          <w:sz w:val="28"/>
          <w:szCs w:val="28"/>
        </w:rPr>
        <w:t>130</w:t>
      </w:r>
      <w:r w:rsidRPr="00D55DC6">
        <w:rPr>
          <w:rFonts w:eastAsia="標楷體"/>
          <w:sz w:val="28"/>
          <w:szCs w:val="28"/>
        </w:rPr>
        <w:t>萬元</w:t>
      </w:r>
      <w:r w:rsidRPr="00D55DC6">
        <w:rPr>
          <w:rFonts w:eastAsia="標楷體"/>
          <w:sz w:val="28"/>
          <w:szCs w:val="28"/>
        </w:rPr>
        <w:t>)</w:t>
      </w:r>
      <w:r w:rsidRPr="00D55DC6">
        <w:rPr>
          <w:rFonts w:eastAsia="標楷體"/>
          <w:sz w:val="28"/>
          <w:szCs w:val="28"/>
        </w:rPr>
        <w:t>，共計每年可增加收入達</w:t>
      </w:r>
      <w:r w:rsidRPr="00D55DC6">
        <w:rPr>
          <w:rFonts w:eastAsia="標楷體"/>
          <w:sz w:val="28"/>
          <w:szCs w:val="28"/>
        </w:rPr>
        <w:t>346.7</w:t>
      </w:r>
      <w:r w:rsidRPr="00D55DC6">
        <w:rPr>
          <w:rFonts w:eastAsia="標楷體"/>
          <w:sz w:val="28"/>
          <w:szCs w:val="28"/>
        </w:rPr>
        <w:t>萬元，契約年限為</w:t>
      </w:r>
      <w:r w:rsidRPr="00D55DC6">
        <w:rPr>
          <w:rFonts w:eastAsia="標楷體"/>
          <w:sz w:val="28"/>
          <w:szCs w:val="28"/>
        </w:rPr>
        <w:t>11</w:t>
      </w:r>
      <w:r w:rsidRPr="00D55DC6">
        <w:rPr>
          <w:rFonts w:eastAsia="標楷體"/>
          <w:sz w:val="28"/>
          <w:szCs w:val="28"/>
        </w:rPr>
        <w:t>年</w:t>
      </w:r>
      <w:r w:rsidRPr="00D55DC6">
        <w:rPr>
          <w:rFonts w:eastAsia="標楷體"/>
          <w:sz w:val="28"/>
          <w:szCs w:val="28"/>
        </w:rPr>
        <w:t>(</w:t>
      </w:r>
      <w:r w:rsidRPr="00D55DC6">
        <w:rPr>
          <w:rFonts w:eastAsia="標楷體"/>
          <w:sz w:val="28"/>
          <w:szCs w:val="28"/>
        </w:rPr>
        <w:t>自民國</w:t>
      </w:r>
      <w:r w:rsidRPr="00D55DC6">
        <w:rPr>
          <w:rFonts w:eastAsia="標楷體"/>
          <w:sz w:val="28"/>
          <w:szCs w:val="28"/>
        </w:rPr>
        <w:t>100</w:t>
      </w:r>
      <w:r w:rsidRPr="00D55DC6">
        <w:rPr>
          <w:rFonts w:eastAsia="標楷體"/>
          <w:sz w:val="28"/>
          <w:szCs w:val="28"/>
        </w:rPr>
        <w:t>年</w:t>
      </w:r>
      <w:r w:rsidRPr="00D55DC6">
        <w:rPr>
          <w:rFonts w:eastAsia="標楷體"/>
          <w:sz w:val="28"/>
          <w:szCs w:val="28"/>
        </w:rPr>
        <w:t>8</w:t>
      </w:r>
      <w:r w:rsidRPr="00D55DC6">
        <w:rPr>
          <w:rFonts w:eastAsia="標楷體"/>
          <w:sz w:val="28"/>
          <w:szCs w:val="28"/>
        </w:rPr>
        <w:t>月</w:t>
      </w:r>
      <w:r w:rsidRPr="00D55DC6">
        <w:rPr>
          <w:rFonts w:eastAsia="標楷體"/>
          <w:sz w:val="28"/>
          <w:szCs w:val="28"/>
        </w:rPr>
        <w:t>10</w:t>
      </w:r>
      <w:r w:rsidRPr="00D55DC6">
        <w:rPr>
          <w:rFonts w:eastAsia="標楷體"/>
          <w:sz w:val="28"/>
          <w:szCs w:val="28"/>
        </w:rPr>
        <w:t>日至民國</w:t>
      </w:r>
      <w:r w:rsidRPr="00D55DC6">
        <w:rPr>
          <w:rFonts w:eastAsia="標楷體"/>
          <w:sz w:val="28"/>
          <w:szCs w:val="28"/>
        </w:rPr>
        <w:t>111</w:t>
      </w:r>
      <w:r w:rsidRPr="00D55DC6">
        <w:rPr>
          <w:rFonts w:eastAsia="標楷體"/>
          <w:sz w:val="28"/>
          <w:szCs w:val="28"/>
        </w:rPr>
        <w:t>年</w:t>
      </w:r>
      <w:r w:rsidRPr="00D55DC6">
        <w:rPr>
          <w:rFonts w:eastAsia="標楷體"/>
          <w:sz w:val="28"/>
          <w:szCs w:val="28"/>
        </w:rPr>
        <w:t>8</w:t>
      </w:r>
      <w:r w:rsidRPr="00D55DC6">
        <w:rPr>
          <w:rFonts w:eastAsia="標楷體"/>
          <w:sz w:val="28"/>
          <w:szCs w:val="28"/>
        </w:rPr>
        <w:t>月</w:t>
      </w:r>
      <w:r w:rsidRPr="00D55DC6">
        <w:rPr>
          <w:rFonts w:eastAsia="標楷體"/>
          <w:sz w:val="28"/>
          <w:szCs w:val="28"/>
        </w:rPr>
        <w:t>9</w:t>
      </w:r>
      <w:r w:rsidRPr="00D55DC6">
        <w:rPr>
          <w:rFonts w:eastAsia="標楷體"/>
          <w:sz w:val="28"/>
          <w:szCs w:val="28"/>
        </w:rPr>
        <w:t>日</w:t>
      </w:r>
      <w:r w:rsidRPr="00D55DC6">
        <w:rPr>
          <w:rFonts w:eastAsia="標楷體"/>
          <w:sz w:val="28"/>
          <w:szCs w:val="28"/>
        </w:rPr>
        <w:t>)</w:t>
      </w:r>
      <w:r w:rsidRPr="00D55DC6">
        <w:rPr>
          <w:rFonts w:eastAsia="標楷體"/>
          <w:sz w:val="28"/>
          <w:szCs w:val="28"/>
        </w:rPr>
        <w:t>。</w:t>
      </w:r>
    </w:p>
    <w:p w:rsidR="005D6EF0" w:rsidRPr="00D55DC6" w:rsidRDefault="005D6EF0" w:rsidP="0038165F">
      <w:pPr>
        <w:pStyle w:val="af2"/>
        <w:spacing w:line="480" w:lineRule="exact"/>
        <w:ind w:leftChars="552" w:left="1974" w:hangingChars="235" w:hanging="649"/>
        <w:jc w:val="both"/>
        <w:rPr>
          <w:rFonts w:eastAsia="標楷體"/>
          <w:sz w:val="28"/>
          <w:szCs w:val="28"/>
        </w:rPr>
      </w:pPr>
      <w:r w:rsidRPr="00D55DC6">
        <w:rPr>
          <w:rFonts w:eastAsia="標楷體"/>
          <w:spacing w:val="-2"/>
          <w:sz w:val="28"/>
          <w:szCs w:val="28"/>
        </w:rPr>
        <w:t>2-6-2.</w:t>
      </w:r>
      <w:r w:rsidRPr="00D55DC6">
        <w:rPr>
          <w:rFonts w:eastAsia="標楷體"/>
          <w:sz w:val="28"/>
          <w:szCs w:val="28"/>
        </w:rPr>
        <w:t>落實使用者付費精神，尋找可收費或出租景點設施，並於新建工程規劃階段，即先行評估未來收費自償之可行性，循序推動公共投資建設之自償性策略，以創造財源回饋觀光建設經費，冀達觀光遊憩資源永續經營目標。參山管理處與南投縣政府、南投市公所合作辦理「猴探井遊憩區南投天空之橋委外經營管理案」，目前參山管理處經營權利金分配約有</w:t>
      </w:r>
      <w:r w:rsidRPr="00D55DC6">
        <w:rPr>
          <w:rFonts w:eastAsia="標楷體"/>
          <w:sz w:val="28"/>
          <w:szCs w:val="28"/>
        </w:rPr>
        <w:t>1,380</w:t>
      </w:r>
      <w:r w:rsidRPr="00D55DC6">
        <w:rPr>
          <w:rFonts w:eastAsia="標楷體"/>
          <w:sz w:val="28"/>
          <w:szCs w:val="28"/>
        </w:rPr>
        <w:t>萬元之效益收入</w:t>
      </w:r>
      <w:r w:rsidRPr="00D55DC6">
        <w:rPr>
          <w:rFonts w:eastAsia="標楷體"/>
          <w:sz w:val="28"/>
          <w:szCs w:val="28"/>
        </w:rPr>
        <w:t>(102-104</w:t>
      </w:r>
      <w:r w:rsidRPr="00D55DC6">
        <w:rPr>
          <w:rFonts w:eastAsia="標楷體"/>
          <w:sz w:val="28"/>
          <w:szCs w:val="28"/>
        </w:rPr>
        <w:t>年</w:t>
      </w:r>
      <w:r w:rsidRPr="00D55DC6">
        <w:rPr>
          <w:rFonts w:eastAsia="標楷體"/>
          <w:sz w:val="28"/>
          <w:szCs w:val="28"/>
        </w:rPr>
        <w:t>)</w:t>
      </w:r>
      <w:r w:rsidRPr="00D55DC6">
        <w:rPr>
          <w:rFonts w:eastAsia="標楷體"/>
          <w:sz w:val="28"/>
          <w:szCs w:val="28"/>
        </w:rPr>
        <w:t>，平均每年約</w:t>
      </w:r>
      <w:r w:rsidRPr="00D55DC6">
        <w:rPr>
          <w:rFonts w:eastAsia="標楷體"/>
          <w:sz w:val="28"/>
          <w:szCs w:val="28"/>
        </w:rPr>
        <w:t>460</w:t>
      </w:r>
      <w:r w:rsidRPr="00D55DC6">
        <w:rPr>
          <w:rFonts w:eastAsia="標楷體"/>
          <w:sz w:val="28"/>
          <w:szCs w:val="28"/>
        </w:rPr>
        <w:t>萬元。</w:t>
      </w:r>
    </w:p>
    <w:p w:rsidR="005D6EF0" w:rsidRPr="00D55DC6" w:rsidRDefault="005D6EF0" w:rsidP="0038165F">
      <w:pPr>
        <w:pStyle w:val="af2"/>
        <w:spacing w:line="480" w:lineRule="exact"/>
        <w:ind w:leftChars="552" w:left="1974" w:hangingChars="235" w:hanging="649"/>
        <w:jc w:val="both"/>
        <w:rPr>
          <w:rFonts w:eastAsia="標楷體"/>
          <w:sz w:val="28"/>
          <w:szCs w:val="28"/>
        </w:rPr>
      </w:pPr>
      <w:r w:rsidRPr="00D55DC6">
        <w:rPr>
          <w:rFonts w:eastAsia="標楷體"/>
          <w:spacing w:val="-2"/>
          <w:sz w:val="28"/>
          <w:szCs w:val="28"/>
        </w:rPr>
        <w:t>2-6-3.</w:t>
      </w:r>
      <w:r w:rsidRPr="00D55DC6">
        <w:rPr>
          <w:rFonts w:eastAsia="標楷體"/>
          <w:sz w:val="28"/>
          <w:szCs w:val="28"/>
        </w:rPr>
        <w:t>辦理「彰化縣芬園休閒體健園區</w:t>
      </w:r>
      <w:r w:rsidRPr="00D55DC6">
        <w:rPr>
          <w:rFonts w:eastAsia="標楷體"/>
          <w:sz w:val="28"/>
          <w:szCs w:val="28"/>
        </w:rPr>
        <w:t>(</w:t>
      </w:r>
      <w:r w:rsidRPr="00D55DC6">
        <w:rPr>
          <w:rFonts w:eastAsia="標楷體"/>
          <w:sz w:val="28"/>
          <w:szCs w:val="28"/>
        </w:rPr>
        <w:t>就是愛荔枝樂園</w:t>
      </w:r>
      <w:r w:rsidRPr="00D55DC6">
        <w:rPr>
          <w:rFonts w:eastAsia="標楷體"/>
          <w:sz w:val="28"/>
          <w:szCs w:val="28"/>
        </w:rPr>
        <w:t>)</w:t>
      </w:r>
      <w:r w:rsidRPr="00D55DC6">
        <w:rPr>
          <w:rFonts w:eastAsia="標楷體"/>
          <w:sz w:val="28"/>
          <w:szCs w:val="28"/>
        </w:rPr>
        <w:t>」營運移轉案，業者每年投入經費進行營運維護，預估每年可收取權利金約有</w:t>
      </w:r>
      <w:r w:rsidRPr="00D55DC6">
        <w:rPr>
          <w:rFonts w:eastAsia="標楷體"/>
          <w:sz w:val="28"/>
          <w:szCs w:val="28"/>
        </w:rPr>
        <w:t>88</w:t>
      </w:r>
      <w:r w:rsidRPr="00D55DC6">
        <w:rPr>
          <w:rFonts w:eastAsia="標楷體"/>
          <w:sz w:val="28"/>
          <w:szCs w:val="28"/>
        </w:rPr>
        <w:t>萬元。</w:t>
      </w:r>
    </w:p>
    <w:p w:rsidR="005D6EF0" w:rsidRPr="00D55DC6" w:rsidRDefault="005D6EF0" w:rsidP="0038165F">
      <w:pPr>
        <w:pStyle w:val="af2"/>
        <w:spacing w:line="480" w:lineRule="exact"/>
        <w:ind w:leftChars="552" w:left="1974" w:hangingChars="235" w:hanging="649"/>
        <w:jc w:val="both"/>
        <w:rPr>
          <w:rFonts w:eastAsia="標楷體"/>
          <w:sz w:val="28"/>
          <w:szCs w:val="28"/>
        </w:rPr>
      </w:pPr>
      <w:r w:rsidRPr="00D55DC6">
        <w:rPr>
          <w:rFonts w:eastAsia="標楷體"/>
          <w:spacing w:val="-2"/>
          <w:sz w:val="28"/>
          <w:szCs w:val="28"/>
        </w:rPr>
        <w:t>2-6-4.</w:t>
      </w:r>
      <w:r w:rsidRPr="00D55DC6">
        <w:rPr>
          <w:rFonts w:eastAsia="標楷體"/>
          <w:sz w:val="28"/>
          <w:szCs w:val="28"/>
        </w:rPr>
        <w:t>持續辦理「獅頭山管理站歇心茶樓」、「南庄遊客中心地下</w:t>
      </w:r>
      <w:r w:rsidRPr="00D55DC6">
        <w:rPr>
          <w:rFonts w:eastAsia="標楷體"/>
          <w:sz w:val="28"/>
          <w:szCs w:val="28"/>
        </w:rPr>
        <w:lastRenderedPageBreak/>
        <w:t>停車場」等服務設施短期出租案，目前</w:t>
      </w:r>
      <w:r w:rsidRPr="00D55DC6">
        <w:rPr>
          <w:rFonts w:eastAsia="標楷體"/>
          <w:sz w:val="28"/>
          <w:szCs w:val="28"/>
        </w:rPr>
        <w:t>2</w:t>
      </w:r>
      <w:r w:rsidRPr="00D55DC6">
        <w:rPr>
          <w:rFonts w:eastAsia="標楷體"/>
          <w:sz w:val="28"/>
          <w:szCs w:val="28"/>
        </w:rPr>
        <w:t>案合計每年可收取年租金約</w:t>
      </w:r>
      <w:r w:rsidRPr="00D55DC6">
        <w:rPr>
          <w:rFonts w:eastAsia="標楷體"/>
          <w:sz w:val="28"/>
          <w:szCs w:val="28"/>
        </w:rPr>
        <w:t>174.3</w:t>
      </w:r>
      <w:r w:rsidRPr="00D55DC6">
        <w:rPr>
          <w:rFonts w:eastAsia="標楷體"/>
          <w:sz w:val="28"/>
          <w:szCs w:val="28"/>
        </w:rPr>
        <w:t>萬元。</w:t>
      </w:r>
    </w:p>
    <w:p w:rsidR="005D6EF0" w:rsidRPr="00D55DC6" w:rsidRDefault="005D6EF0" w:rsidP="0038165F">
      <w:pPr>
        <w:pStyle w:val="af2"/>
        <w:snapToGrid w:val="0"/>
        <w:spacing w:line="480" w:lineRule="exact"/>
        <w:ind w:leftChars="0" w:left="1145"/>
        <w:jc w:val="both"/>
        <w:rPr>
          <w:rFonts w:eastAsia="標楷體"/>
          <w:sz w:val="28"/>
          <w:szCs w:val="28"/>
        </w:rPr>
      </w:pPr>
    </w:p>
    <w:p w:rsidR="005D6EF0" w:rsidRPr="00D55DC6" w:rsidRDefault="005D6EF0" w:rsidP="0038165F">
      <w:pPr>
        <w:pStyle w:val="a"/>
        <w:spacing w:line="480" w:lineRule="exact"/>
        <w:ind w:left="709" w:hanging="709"/>
        <w:rPr>
          <w:b/>
          <w:bCs/>
        </w:rPr>
      </w:pPr>
      <w:bookmarkStart w:id="99" w:name="_Toc407181677"/>
      <w:r w:rsidRPr="00D55DC6">
        <w:rPr>
          <w:b/>
          <w:bCs/>
        </w:rPr>
        <w:t>執行策略及方法</w:t>
      </w:r>
      <w:bookmarkEnd w:id="99"/>
    </w:p>
    <w:p w:rsidR="005D6EF0" w:rsidRPr="00D55DC6" w:rsidRDefault="005D6EF0" w:rsidP="004865C1">
      <w:pPr>
        <w:pStyle w:val="af2"/>
        <w:numPr>
          <w:ilvl w:val="0"/>
          <w:numId w:val="79"/>
        </w:numPr>
        <w:snapToGrid w:val="0"/>
        <w:spacing w:line="480" w:lineRule="exact"/>
        <w:ind w:leftChars="0"/>
        <w:jc w:val="both"/>
        <w:rPr>
          <w:rFonts w:eastAsia="標楷體"/>
          <w:b/>
          <w:bCs/>
          <w:sz w:val="28"/>
          <w:szCs w:val="28"/>
        </w:rPr>
      </w:pPr>
      <w:r w:rsidRPr="00D55DC6">
        <w:rPr>
          <w:rFonts w:eastAsia="標楷體"/>
          <w:b/>
          <w:bCs/>
          <w:sz w:val="28"/>
          <w:szCs w:val="28"/>
        </w:rPr>
        <w:t>執行策略</w:t>
      </w:r>
    </w:p>
    <w:p w:rsidR="005D6EF0" w:rsidRPr="00D55DC6" w:rsidRDefault="005D6EF0" w:rsidP="004865C1">
      <w:pPr>
        <w:pStyle w:val="af2"/>
        <w:numPr>
          <w:ilvl w:val="0"/>
          <w:numId w:val="73"/>
        </w:numPr>
        <w:snapToGrid w:val="0"/>
        <w:spacing w:line="480" w:lineRule="exact"/>
        <w:ind w:leftChars="0"/>
        <w:jc w:val="both"/>
        <w:rPr>
          <w:rFonts w:eastAsia="標楷體"/>
          <w:b/>
          <w:bCs/>
          <w:sz w:val="28"/>
          <w:szCs w:val="28"/>
        </w:rPr>
      </w:pPr>
      <w:r w:rsidRPr="00D55DC6">
        <w:rPr>
          <w:rFonts w:eastAsia="標楷體"/>
          <w:b/>
          <w:bCs/>
          <w:sz w:val="28"/>
          <w:szCs w:val="28"/>
        </w:rPr>
        <w:t>未來發展主題</w:t>
      </w:r>
    </w:p>
    <w:p w:rsidR="005D6EF0" w:rsidRPr="00D55DC6" w:rsidRDefault="005D6EF0" w:rsidP="0038165F">
      <w:pPr>
        <w:snapToGrid w:val="0"/>
        <w:spacing w:line="480" w:lineRule="exact"/>
        <w:ind w:leftChars="354" w:left="850" w:firstLineChars="200" w:firstLine="560"/>
        <w:jc w:val="both"/>
        <w:rPr>
          <w:rFonts w:eastAsia="標楷體"/>
          <w:sz w:val="28"/>
          <w:szCs w:val="28"/>
        </w:rPr>
      </w:pPr>
      <w:r w:rsidRPr="00D55DC6">
        <w:rPr>
          <w:rFonts w:eastAsia="標楷體"/>
          <w:sz w:val="28"/>
          <w:szCs w:val="28"/>
        </w:rPr>
        <w:t>為打造參山具有清新亮麗的整體景觀風貌、友善便利的旅遊環境、國際化優質的旅遊服務品質、自然悠閒國際休憩度假之願景，並為彰顯參山管理處各區域鮮明整體之特色，發揮各區域特性之精神主軸，未來整體發展重點方向如下：</w:t>
      </w:r>
    </w:p>
    <w:p w:rsidR="005D6EF0" w:rsidRPr="00D55DC6" w:rsidRDefault="005D6EF0" w:rsidP="0038165F">
      <w:pPr>
        <w:snapToGrid w:val="0"/>
        <w:spacing w:line="480" w:lineRule="exact"/>
        <w:ind w:leftChars="354" w:left="850" w:firstLineChars="200" w:firstLine="560"/>
        <w:jc w:val="both"/>
        <w:rPr>
          <w:rFonts w:eastAsia="標楷體"/>
          <w:sz w:val="28"/>
          <w:szCs w:val="28"/>
        </w:rPr>
      </w:pPr>
      <w:r w:rsidRPr="00D55DC6">
        <w:rPr>
          <w:rFonts w:eastAsia="標楷體"/>
          <w:sz w:val="28"/>
          <w:szCs w:val="28"/>
        </w:rPr>
        <w:t>以「心動參山</w:t>
      </w:r>
      <w:r w:rsidRPr="00D55DC6">
        <w:rPr>
          <w:rFonts w:eastAsia="標楷體"/>
          <w:sz w:val="28"/>
          <w:szCs w:val="28"/>
        </w:rPr>
        <w:t>—</w:t>
      </w:r>
      <w:r w:rsidRPr="00D55DC6">
        <w:rPr>
          <w:rFonts w:eastAsia="標楷體"/>
          <w:sz w:val="28"/>
          <w:szCs w:val="28"/>
        </w:rPr>
        <w:t>愛在參山，愛在旅遊」為發展主軸，遵循此主軸之下，根據轄區交通、人文、地形、生態、產業等特性，以「愛」的強烈情感表現，讓遊客喜愛在參山旅遊，並以「舞」的顯明動作特色，讓人感覺到有活力、有律動、有青春等表現，帶出各區域發展重點指標，提出分區發展主軸概念，彰顯各風景區特色之美，以利於訂定明確的發展目標，包括梨山溫泉心、原民之舞，八卦山單車追風、生態之舞，獅頭山自然禪心與客家桐花之舞。</w:t>
      </w:r>
    </w:p>
    <w:p w:rsidR="005D6EF0" w:rsidRPr="00D55DC6" w:rsidRDefault="005D6EF0" w:rsidP="0038165F">
      <w:pPr>
        <w:snapToGrid w:val="0"/>
        <w:spacing w:line="480" w:lineRule="exact"/>
        <w:ind w:leftChars="201" w:left="482" w:firstLineChars="200" w:firstLine="560"/>
        <w:jc w:val="both"/>
        <w:rPr>
          <w:rFonts w:eastAsia="標楷體"/>
          <w:sz w:val="28"/>
          <w:szCs w:val="28"/>
        </w:rPr>
      </w:pPr>
      <w:r w:rsidRPr="00D55DC6">
        <w:rPr>
          <w:rFonts w:eastAsia="標楷體"/>
          <w:sz w:val="28"/>
          <w:szCs w:val="28"/>
        </w:rPr>
        <w:t>谷關泉心</w:t>
      </w:r>
      <w:r w:rsidRPr="00D55DC6">
        <w:rPr>
          <w:rFonts w:eastAsia="標楷體"/>
          <w:sz w:val="28"/>
          <w:szCs w:val="28"/>
        </w:rPr>
        <w:t xml:space="preserve"> </w:t>
      </w:r>
      <w:r w:rsidRPr="00D55DC6">
        <w:rPr>
          <w:rFonts w:eastAsia="標楷體"/>
          <w:sz w:val="28"/>
          <w:szCs w:val="28"/>
        </w:rPr>
        <w:t>梨山原舞</w:t>
      </w:r>
      <w:r w:rsidRPr="00D55DC6">
        <w:rPr>
          <w:rFonts w:eastAsia="標楷體"/>
          <w:sz w:val="28"/>
          <w:szCs w:val="28"/>
        </w:rPr>
        <w:t xml:space="preserve"> – </w:t>
      </w:r>
      <w:r w:rsidRPr="00D55DC6">
        <w:rPr>
          <w:rFonts w:eastAsia="標楷體"/>
          <w:sz w:val="28"/>
          <w:szCs w:val="28"/>
        </w:rPr>
        <w:t>泰雅文化與高山生態、溫泉養生</w:t>
      </w:r>
    </w:p>
    <w:p w:rsidR="005D6EF0" w:rsidRPr="00D55DC6" w:rsidRDefault="005D6EF0" w:rsidP="0038165F">
      <w:pPr>
        <w:snapToGrid w:val="0"/>
        <w:spacing w:line="480" w:lineRule="exact"/>
        <w:ind w:leftChars="201" w:left="482" w:firstLineChars="200" w:firstLine="560"/>
        <w:jc w:val="both"/>
        <w:rPr>
          <w:rFonts w:eastAsia="標楷體"/>
          <w:sz w:val="28"/>
          <w:szCs w:val="28"/>
        </w:rPr>
      </w:pPr>
      <w:r w:rsidRPr="00D55DC6">
        <w:rPr>
          <w:rFonts w:eastAsia="標楷體"/>
          <w:sz w:val="28"/>
          <w:szCs w:val="28"/>
        </w:rPr>
        <w:t>卦山追心</w:t>
      </w:r>
      <w:r w:rsidRPr="00D55DC6">
        <w:rPr>
          <w:rFonts w:eastAsia="標楷體"/>
          <w:sz w:val="28"/>
          <w:szCs w:val="28"/>
        </w:rPr>
        <w:t xml:space="preserve"> </w:t>
      </w:r>
      <w:r w:rsidRPr="00D55DC6">
        <w:rPr>
          <w:rFonts w:eastAsia="標楷體"/>
          <w:sz w:val="28"/>
          <w:szCs w:val="28"/>
        </w:rPr>
        <w:t>生態之舞</w:t>
      </w:r>
      <w:r w:rsidRPr="00D55DC6">
        <w:rPr>
          <w:rFonts w:eastAsia="標楷體"/>
          <w:sz w:val="28"/>
          <w:szCs w:val="28"/>
        </w:rPr>
        <w:t xml:space="preserve"> – </w:t>
      </w:r>
      <w:r w:rsidRPr="00D55DC6">
        <w:rPr>
          <w:rFonts w:eastAsia="標楷體"/>
          <w:sz w:val="28"/>
          <w:szCs w:val="28"/>
        </w:rPr>
        <w:t>自行車運動、灰面鵟鷹、甲蟲季與紫斑蝶</w:t>
      </w:r>
    </w:p>
    <w:p w:rsidR="005D6EF0" w:rsidRPr="00D55DC6" w:rsidRDefault="005D6EF0" w:rsidP="0038165F">
      <w:pPr>
        <w:snapToGrid w:val="0"/>
        <w:spacing w:line="480" w:lineRule="exact"/>
        <w:ind w:leftChars="201" w:left="482" w:firstLineChars="200" w:firstLine="560"/>
        <w:jc w:val="both"/>
        <w:rPr>
          <w:rFonts w:eastAsia="標楷體"/>
          <w:sz w:val="28"/>
          <w:szCs w:val="28"/>
        </w:rPr>
      </w:pPr>
      <w:r w:rsidRPr="00D55DC6">
        <w:rPr>
          <w:rFonts w:eastAsia="標楷體"/>
          <w:sz w:val="28"/>
          <w:szCs w:val="28"/>
        </w:rPr>
        <w:t>獅山禪心</w:t>
      </w:r>
      <w:r w:rsidRPr="00D55DC6">
        <w:rPr>
          <w:rFonts w:eastAsia="標楷體"/>
          <w:sz w:val="28"/>
          <w:szCs w:val="28"/>
        </w:rPr>
        <w:t xml:space="preserve"> </w:t>
      </w:r>
      <w:r w:rsidRPr="00D55DC6">
        <w:rPr>
          <w:rFonts w:eastAsia="標楷體"/>
          <w:sz w:val="28"/>
          <w:szCs w:val="28"/>
        </w:rPr>
        <w:t>南庄桐舞</w:t>
      </w:r>
      <w:r w:rsidRPr="00D55DC6">
        <w:rPr>
          <w:rFonts w:eastAsia="標楷體"/>
          <w:sz w:val="28"/>
          <w:szCs w:val="28"/>
        </w:rPr>
        <w:t xml:space="preserve"> – </w:t>
      </w:r>
      <w:r w:rsidRPr="00D55DC6">
        <w:rPr>
          <w:rFonts w:eastAsia="標楷體"/>
          <w:sz w:val="28"/>
          <w:szCs w:val="28"/>
        </w:rPr>
        <w:t>獅山古廟禪風、客家原民風情、南庄桐花</w:t>
      </w:r>
    </w:p>
    <w:p w:rsidR="005D6EF0" w:rsidRPr="00D55DC6" w:rsidRDefault="005D6EF0" w:rsidP="004865C1">
      <w:pPr>
        <w:pStyle w:val="af2"/>
        <w:numPr>
          <w:ilvl w:val="0"/>
          <w:numId w:val="73"/>
        </w:numPr>
        <w:snapToGrid w:val="0"/>
        <w:spacing w:line="480" w:lineRule="exact"/>
        <w:ind w:leftChars="0"/>
        <w:jc w:val="both"/>
        <w:rPr>
          <w:rFonts w:eastAsia="標楷體"/>
          <w:b/>
          <w:bCs/>
          <w:sz w:val="28"/>
          <w:szCs w:val="28"/>
        </w:rPr>
      </w:pPr>
      <w:r w:rsidRPr="00D55DC6">
        <w:rPr>
          <w:rFonts w:eastAsia="標楷體"/>
          <w:b/>
          <w:bCs/>
          <w:sz w:val="28"/>
          <w:szCs w:val="28"/>
        </w:rPr>
        <w:t>導入民間活力，增加財務自償效益</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2-1.</w:t>
      </w:r>
      <w:r w:rsidRPr="00D55DC6">
        <w:rPr>
          <w:rFonts w:eastAsia="標楷體"/>
          <w:bCs/>
          <w:sz w:val="28"/>
          <w:szCs w:val="28"/>
        </w:rPr>
        <w:t>盤點目前轄內現有及舊有閒置館舍，思考更多元有力的營運模式，提高其效益活化公有資產。</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2-2.</w:t>
      </w:r>
      <w:r w:rsidRPr="00D55DC6">
        <w:rPr>
          <w:rFonts w:eastAsia="標楷體"/>
          <w:bCs/>
          <w:sz w:val="28"/>
          <w:szCs w:val="28"/>
        </w:rPr>
        <w:t>逐步提倡使用者付費觀念，降低營運管理支出，將有限資源轉為潛力資源的開發運用，達成轄區觀光資源永續利用。</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2-3.</w:t>
      </w:r>
      <w:r w:rsidRPr="00D55DC6">
        <w:rPr>
          <w:rFonts w:eastAsia="標楷體"/>
          <w:bCs/>
          <w:sz w:val="28"/>
          <w:szCs w:val="28"/>
        </w:rPr>
        <w:t>具有營運潛力之據點，可考量委外經營或開發。較不具商業利益之據點，則可考量與民間團體合作。</w:t>
      </w:r>
    </w:p>
    <w:p w:rsidR="005D6EF0" w:rsidRPr="00D55DC6" w:rsidRDefault="005D6EF0" w:rsidP="004865C1">
      <w:pPr>
        <w:pStyle w:val="af2"/>
        <w:numPr>
          <w:ilvl w:val="0"/>
          <w:numId w:val="73"/>
        </w:numPr>
        <w:snapToGrid w:val="0"/>
        <w:spacing w:line="480" w:lineRule="exact"/>
        <w:ind w:leftChars="0"/>
        <w:jc w:val="both"/>
        <w:rPr>
          <w:rFonts w:eastAsia="標楷體"/>
          <w:b/>
          <w:bCs/>
          <w:sz w:val="28"/>
          <w:szCs w:val="28"/>
        </w:rPr>
      </w:pPr>
      <w:r w:rsidRPr="00D55DC6">
        <w:rPr>
          <w:rFonts w:eastAsia="標楷體"/>
          <w:b/>
          <w:bCs/>
          <w:sz w:val="28"/>
          <w:szCs w:val="28"/>
        </w:rPr>
        <w:t>通盤檢討潛藏災害因子，旅安問題浮現</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3-1.</w:t>
      </w:r>
      <w:r w:rsidRPr="00D55DC6">
        <w:rPr>
          <w:rFonts w:eastAsia="標楷體"/>
          <w:bCs/>
          <w:sz w:val="28"/>
          <w:szCs w:val="28"/>
        </w:rPr>
        <w:t>通盤檢討轄內各項影響旅遊安全因子，擬定處理方針避免旅遊安</w:t>
      </w:r>
      <w:r w:rsidRPr="00D55DC6">
        <w:rPr>
          <w:rFonts w:eastAsia="標楷體"/>
          <w:bCs/>
          <w:sz w:val="28"/>
          <w:szCs w:val="28"/>
        </w:rPr>
        <w:lastRenderedPageBreak/>
        <w:t>全問題影響。</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3-2.</w:t>
      </w:r>
      <w:r w:rsidRPr="00D55DC6">
        <w:rPr>
          <w:rFonts w:eastAsia="標楷體"/>
          <w:bCs/>
          <w:sz w:val="28"/>
          <w:szCs w:val="28"/>
        </w:rPr>
        <w:t>建立緊急應變救助模式，及標準化設施巡檢制度，提升遊憩系統之觀光服務品質，規劃串連</w:t>
      </w:r>
      <w:r w:rsidR="00397CE7" w:rsidRPr="00D55DC6">
        <w:rPr>
          <w:rFonts w:eastAsia="標楷體"/>
          <w:bCs/>
          <w:sz w:val="28"/>
          <w:szCs w:val="28"/>
        </w:rPr>
        <w:t>周邊</w:t>
      </w:r>
      <w:r w:rsidRPr="00D55DC6">
        <w:rPr>
          <w:rFonts w:eastAsia="標楷體"/>
          <w:bCs/>
          <w:sz w:val="28"/>
          <w:szCs w:val="28"/>
        </w:rPr>
        <w:t>區域深度遊程，延長遊客停留時間，發揮觀光效益。</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3-3.</w:t>
      </w:r>
      <w:r w:rsidRPr="00D55DC6">
        <w:rPr>
          <w:rFonts w:eastAsia="標楷體"/>
          <w:bCs/>
          <w:sz w:val="28"/>
          <w:szCs w:val="28"/>
        </w:rPr>
        <w:t>所轄區域，以登山安全、溪流戲水安全、交通安全、設施安全最易造成各種旅安問題，均加以盤點擬定維管單位，定時通報管理。</w:t>
      </w:r>
    </w:p>
    <w:p w:rsidR="005D6EF0" w:rsidRPr="00D55DC6" w:rsidRDefault="005D6EF0" w:rsidP="004865C1">
      <w:pPr>
        <w:pStyle w:val="af2"/>
        <w:numPr>
          <w:ilvl w:val="0"/>
          <w:numId w:val="73"/>
        </w:numPr>
        <w:snapToGrid w:val="0"/>
        <w:spacing w:line="480" w:lineRule="exact"/>
        <w:ind w:leftChars="0"/>
        <w:jc w:val="both"/>
        <w:rPr>
          <w:rFonts w:eastAsia="標楷體"/>
          <w:b/>
          <w:bCs/>
          <w:sz w:val="28"/>
          <w:szCs w:val="28"/>
        </w:rPr>
      </w:pPr>
      <w:r w:rsidRPr="00D55DC6">
        <w:rPr>
          <w:rFonts w:eastAsia="標楷體"/>
          <w:b/>
          <w:bCs/>
          <w:sz w:val="28"/>
          <w:szCs w:val="28"/>
        </w:rPr>
        <w:t>資源整合問題，市場定位不足，缺乏客群吸引力</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4-1.</w:t>
      </w:r>
      <w:r w:rsidRPr="00D55DC6">
        <w:rPr>
          <w:rFonts w:eastAsia="標楷體"/>
          <w:bCs/>
          <w:sz w:val="28"/>
          <w:szCs w:val="28"/>
        </w:rPr>
        <w:t>為提高資源投資效益，透過各部會間橫向聯繫及建立溝通、合作機制，將有助於激發在地創意與創新，經由計畫的引導，適時、適地、適性的投入各項公共建設計畫，將有助於投資加值效益之浮現，發揮資源投入綜合效益。</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4-2.</w:t>
      </w:r>
      <w:r w:rsidRPr="00D55DC6">
        <w:rPr>
          <w:rFonts w:eastAsia="標楷體"/>
          <w:bCs/>
          <w:sz w:val="28"/>
          <w:szCs w:val="28"/>
        </w:rPr>
        <w:t>擬定跨域整合策略，結合各單位資源，申請中央部會補助費用，彌補現有經費不足，擬定共同目標，一同發展區域觀光。例如：進行跨域觀光產業資源整合、城鎮風貌型塑整體計畫。</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4-3.</w:t>
      </w:r>
      <w:r w:rsidRPr="00D55DC6">
        <w:rPr>
          <w:rFonts w:eastAsia="標楷體"/>
          <w:bCs/>
          <w:sz w:val="28"/>
          <w:szCs w:val="28"/>
        </w:rPr>
        <w:t>加強建置友善旅遊服務設施，滿足不同客群之旅遊需求，並加強各項軟硬體服務，以臻於國際水準，以擴大吸引不同客群，如穆斯林、高端客群等。</w:t>
      </w:r>
    </w:p>
    <w:p w:rsidR="005D6EF0" w:rsidRPr="00D55DC6" w:rsidRDefault="005D6EF0" w:rsidP="004865C1">
      <w:pPr>
        <w:pStyle w:val="af2"/>
        <w:numPr>
          <w:ilvl w:val="0"/>
          <w:numId w:val="73"/>
        </w:numPr>
        <w:snapToGrid w:val="0"/>
        <w:spacing w:line="480" w:lineRule="exact"/>
        <w:ind w:leftChars="0"/>
        <w:jc w:val="both"/>
        <w:rPr>
          <w:rFonts w:eastAsia="標楷體"/>
          <w:b/>
          <w:bCs/>
          <w:sz w:val="28"/>
          <w:szCs w:val="28"/>
        </w:rPr>
      </w:pPr>
      <w:r w:rsidRPr="00D55DC6">
        <w:rPr>
          <w:rFonts w:eastAsia="標楷體"/>
          <w:b/>
          <w:bCs/>
          <w:sz w:val="28"/>
          <w:szCs w:val="28"/>
        </w:rPr>
        <w:t>因應高齡少子化時代來臨，設施質與量之轉變</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5-1.</w:t>
      </w:r>
      <w:r w:rsidRPr="00D55DC6">
        <w:rPr>
          <w:rFonts w:eastAsia="標楷體"/>
          <w:bCs/>
          <w:sz w:val="28"/>
          <w:szCs w:val="28"/>
        </w:rPr>
        <w:t>融入無障礙開放空間通用設計原則，加強轄內公共開放空間及人行步道系統之改善，落實友善旅遊之目標。</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5-2.</w:t>
      </w:r>
      <w:r w:rsidRPr="00D55DC6">
        <w:rPr>
          <w:rFonts w:eastAsia="標楷體"/>
          <w:bCs/>
          <w:sz w:val="28"/>
          <w:szCs w:val="28"/>
        </w:rPr>
        <w:t>各式指標、導引、解說系統與旅遊安全救助系統，均需考量高齡者、特殊需求者之實際需求，加以調整。</w:t>
      </w:r>
    </w:p>
    <w:p w:rsidR="005D6EF0" w:rsidRPr="00D55DC6" w:rsidRDefault="005D6EF0" w:rsidP="004865C1">
      <w:pPr>
        <w:pStyle w:val="af2"/>
        <w:numPr>
          <w:ilvl w:val="0"/>
          <w:numId w:val="73"/>
        </w:numPr>
        <w:snapToGrid w:val="0"/>
        <w:spacing w:line="480" w:lineRule="exact"/>
        <w:ind w:leftChars="0"/>
        <w:jc w:val="both"/>
        <w:rPr>
          <w:rFonts w:eastAsia="標楷體"/>
          <w:b/>
          <w:bCs/>
          <w:sz w:val="28"/>
          <w:szCs w:val="28"/>
        </w:rPr>
      </w:pPr>
      <w:r w:rsidRPr="00D55DC6">
        <w:rPr>
          <w:rFonts w:eastAsia="標楷體"/>
          <w:b/>
          <w:bCs/>
          <w:sz w:val="28"/>
          <w:szCs w:val="28"/>
        </w:rPr>
        <w:t>地方特色型據點崛起，深度旅遊可行性大增</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6-1.</w:t>
      </w:r>
      <w:r w:rsidRPr="00D55DC6">
        <w:rPr>
          <w:rFonts w:eastAsia="標楷體"/>
          <w:bCs/>
          <w:sz w:val="28"/>
          <w:szCs w:val="28"/>
        </w:rPr>
        <w:t>凸顯在地文化特色，打造特色旅遊據點，以強化所特有的自然、人文魅力所形成之在地文化特色，並結合整體規劃、創意設計達成觀光整體發展。</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6-2.</w:t>
      </w:r>
      <w:r w:rsidRPr="00D55DC6">
        <w:rPr>
          <w:rFonts w:eastAsia="標楷體"/>
          <w:bCs/>
          <w:sz w:val="28"/>
          <w:szCs w:val="28"/>
        </w:rPr>
        <w:t>改變現有套裝遊程型態，提供更多元旅遊動線，利用產業達人的操作模式，讓遊客能更深入轄內各特色景點，帶動地區觀光發</w:t>
      </w:r>
      <w:r w:rsidRPr="00D55DC6">
        <w:rPr>
          <w:rFonts w:eastAsia="標楷體"/>
          <w:bCs/>
          <w:sz w:val="28"/>
          <w:szCs w:val="28"/>
        </w:rPr>
        <w:lastRenderedPageBreak/>
        <w:t>展。</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6-3.</w:t>
      </w:r>
      <w:r w:rsidRPr="00D55DC6">
        <w:rPr>
          <w:rFonts w:eastAsia="標楷體"/>
          <w:bCs/>
          <w:sz w:val="28"/>
          <w:szCs w:val="28"/>
        </w:rPr>
        <w:t>規劃四季主軸活動，搭配地方性、常態性、整合性行銷優惠活動及優質服務，營造參山活動饗宴、時時感動之氛圍。</w:t>
      </w:r>
    </w:p>
    <w:p w:rsidR="00EB48E8" w:rsidRPr="00D55DC6" w:rsidRDefault="00EB48E8" w:rsidP="004865C1">
      <w:pPr>
        <w:pStyle w:val="af2"/>
        <w:numPr>
          <w:ilvl w:val="0"/>
          <w:numId w:val="73"/>
        </w:numPr>
        <w:snapToGrid w:val="0"/>
        <w:spacing w:line="480" w:lineRule="exact"/>
        <w:ind w:leftChars="0"/>
        <w:jc w:val="both"/>
        <w:rPr>
          <w:rFonts w:eastAsia="標楷體"/>
          <w:b/>
          <w:bCs/>
          <w:sz w:val="28"/>
          <w:szCs w:val="28"/>
        </w:rPr>
      </w:pPr>
      <w:r w:rsidRPr="00D55DC6">
        <w:rPr>
          <w:rFonts w:eastAsia="標楷體"/>
          <w:b/>
          <w:bCs/>
          <w:sz w:val="28"/>
          <w:szCs w:val="28"/>
        </w:rPr>
        <w:t>啟動智慧觀光感知能力，朝即時回應與迅速變形之有機型態發展</w:t>
      </w:r>
    </w:p>
    <w:p w:rsidR="00EB48E8" w:rsidRPr="00D55DC6" w:rsidRDefault="00EB48E8" w:rsidP="00EB48E8">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7-1.</w:t>
      </w:r>
      <w:r w:rsidRPr="00D55DC6">
        <w:rPr>
          <w:rFonts w:eastAsia="標楷體"/>
          <w:bCs/>
          <w:sz w:val="28"/>
          <w:szCs w:val="28"/>
        </w:rPr>
        <w:t>掌握轄區觀光相關資訊動向，並透過垂直與橫向整合能力之強化，以迅速完成通報並適時執行應變措施。</w:t>
      </w:r>
    </w:p>
    <w:p w:rsidR="00EB48E8" w:rsidRPr="00D55DC6" w:rsidRDefault="00EB48E8" w:rsidP="00EB48E8">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7-2</w:t>
      </w:r>
      <w:r w:rsidRPr="00D55DC6">
        <w:rPr>
          <w:rFonts w:eastAsia="標楷體"/>
          <w:bCs/>
          <w:sz w:val="28"/>
          <w:szCs w:val="28"/>
        </w:rPr>
        <w:t>加強資訊解讀與反應能力，將資訊化為行動方案，並擬定規劃方針與執行方案逐一解決，並且保留彈性調整替代方案，以因應情勢與時局變化。</w:t>
      </w:r>
    </w:p>
    <w:p w:rsidR="00EB48E8" w:rsidRPr="00D55DC6" w:rsidRDefault="00EB48E8" w:rsidP="00EB48E8">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7-3</w:t>
      </w:r>
      <w:r w:rsidRPr="00D55DC6">
        <w:rPr>
          <w:rFonts w:eastAsia="標楷體"/>
          <w:bCs/>
          <w:sz w:val="28"/>
          <w:szCs w:val="28"/>
        </w:rPr>
        <w:t>落實走動式管理與滾動式檢討，加強行動解決的能力。</w:t>
      </w:r>
    </w:p>
    <w:p w:rsidR="00EB48E8" w:rsidRPr="00D55DC6" w:rsidRDefault="00EB48E8" w:rsidP="0038165F">
      <w:pPr>
        <w:pStyle w:val="af2"/>
        <w:spacing w:line="480" w:lineRule="exact"/>
        <w:ind w:leftChars="300" w:left="1140" w:hangingChars="150" w:hanging="420"/>
        <w:jc w:val="both"/>
        <w:rPr>
          <w:rFonts w:eastAsia="標楷體"/>
          <w:bCs/>
          <w:sz w:val="28"/>
          <w:szCs w:val="28"/>
        </w:rPr>
      </w:pPr>
    </w:p>
    <w:p w:rsidR="005D6EF0" w:rsidRPr="00D55DC6" w:rsidRDefault="005D6EF0" w:rsidP="004865C1">
      <w:pPr>
        <w:pStyle w:val="af2"/>
        <w:numPr>
          <w:ilvl w:val="0"/>
          <w:numId w:val="79"/>
        </w:numPr>
        <w:snapToGrid w:val="0"/>
        <w:spacing w:line="480" w:lineRule="exact"/>
        <w:ind w:leftChars="0"/>
        <w:jc w:val="both"/>
        <w:rPr>
          <w:rFonts w:eastAsia="標楷體"/>
          <w:b/>
          <w:bCs/>
          <w:sz w:val="28"/>
          <w:szCs w:val="28"/>
        </w:rPr>
      </w:pPr>
      <w:r w:rsidRPr="00D55DC6">
        <w:rPr>
          <w:rFonts w:eastAsia="標楷體"/>
          <w:b/>
          <w:bCs/>
          <w:sz w:val="28"/>
          <w:szCs w:val="28"/>
        </w:rPr>
        <w:t>主要工作項目</w:t>
      </w:r>
    </w:p>
    <w:p w:rsidR="005D6EF0" w:rsidRPr="00D55DC6" w:rsidRDefault="005D6EF0" w:rsidP="0038165F">
      <w:pPr>
        <w:snapToGrid w:val="0"/>
        <w:spacing w:line="480" w:lineRule="exact"/>
        <w:ind w:left="480"/>
        <w:jc w:val="both"/>
        <w:rPr>
          <w:rFonts w:eastAsia="標楷體"/>
          <w:sz w:val="28"/>
          <w:szCs w:val="28"/>
        </w:rPr>
      </w:pPr>
      <w:r w:rsidRPr="00D55DC6">
        <w:rPr>
          <w:rFonts w:eastAsia="標楷體"/>
          <w:sz w:val="28"/>
          <w:szCs w:val="28"/>
        </w:rPr>
        <w:t>1.</w:t>
      </w:r>
      <w:r w:rsidRPr="00D55DC6">
        <w:rPr>
          <w:rFonts w:eastAsia="標楷體"/>
          <w:sz w:val="28"/>
          <w:szCs w:val="28"/>
        </w:rPr>
        <w:t>國際觀光重要景點建設：</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1-1.</w:t>
      </w:r>
      <w:r w:rsidRPr="00D55DC6">
        <w:rPr>
          <w:rFonts w:eastAsia="標楷體"/>
          <w:bCs/>
          <w:sz w:val="28"/>
          <w:szCs w:val="28"/>
        </w:rPr>
        <w:t>南庄遊憩區旅遊服務設施改善</w:t>
      </w:r>
      <w:r w:rsidRPr="00D55DC6">
        <w:rPr>
          <w:rFonts w:eastAsia="標楷體"/>
          <w:bCs/>
          <w:sz w:val="28"/>
          <w:szCs w:val="28"/>
        </w:rPr>
        <w:t>(</w:t>
      </w:r>
      <w:r w:rsidRPr="00D55DC6">
        <w:rPr>
          <w:rFonts w:eastAsia="標楷體"/>
          <w:bCs/>
          <w:sz w:val="28"/>
          <w:szCs w:val="28"/>
        </w:rPr>
        <w:t>辦理蓬萊溪自然生態園區周邊步道沿線景觀及導覽設施改善、南庄遊客中心周邊環境景觀暨公共服務設施改善等建設</w:t>
      </w:r>
      <w:r w:rsidRPr="00D55DC6">
        <w:rPr>
          <w:rFonts w:eastAsia="標楷體"/>
          <w:bCs/>
          <w:sz w:val="28"/>
          <w:szCs w:val="28"/>
        </w:rPr>
        <w:t>)</w:t>
      </w:r>
      <w:r w:rsidRPr="00D55DC6">
        <w:rPr>
          <w:rFonts w:eastAsia="標楷體"/>
          <w:bCs/>
          <w:sz w:val="28"/>
          <w:szCs w:val="28"/>
        </w:rPr>
        <w:t>。</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1-2.</w:t>
      </w:r>
      <w:r w:rsidRPr="00D55DC6">
        <w:rPr>
          <w:rFonts w:eastAsia="標楷體"/>
          <w:bCs/>
          <w:sz w:val="28"/>
          <w:szCs w:val="28"/>
        </w:rPr>
        <w:t>谷關遊憩區旅遊服務設施改善</w:t>
      </w:r>
      <w:r w:rsidRPr="00D55DC6">
        <w:rPr>
          <w:rFonts w:eastAsia="標楷體"/>
          <w:bCs/>
          <w:sz w:val="28"/>
          <w:szCs w:val="28"/>
        </w:rPr>
        <w:t>(</w:t>
      </w:r>
      <w:r w:rsidRPr="00D55DC6">
        <w:rPr>
          <w:rFonts w:eastAsia="標楷體"/>
          <w:bCs/>
          <w:sz w:val="28"/>
          <w:szCs w:val="28"/>
        </w:rPr>
        <w:t>辦理谷關遊憩區環境綠美化及相關服務設施改善、谷關溫泉區周邊步道整建及公共服務設施改善等建設</w:t>
      </w:r>
      <w:r w:rsidRPr="00D55DC6">
        <w:rPr>
          <w:rFonts w:eastAsia="標楷體"/>
          <w:bCs/>
          <w:sz w:val="28"/>
          <w:szCs w:val="28"/>
        </w:rPr>
        <w:t>)</w:t>
      </w:r>
      <w:r w:rsidRPr="00D55DC6">
        <w:rPr>
          <w:rFonts w:eastAsia="標楷體"/>
          <w:bCs/>
          <w:sz w:val="28"/>
          <w:szCs w:val="28"/>
        </w:rPr>
        <w:t>。</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1-3.</w:t>
      </w:r>
      <w:r w:rsidRPr="00D55DC6">
        <w:rPr>
          <w:rFonts w:eastAsia="標楷體"/>
          <w:bCs/>
          <w:sz w:val="28"/>
          <w:szCs w:val="28"/>
        </w:rPr>
        <w:t>松柏嶺遊憩區旅遊服務設施改善</w:t>
      </w:r>
      <w:r w:rsidRPr="00D55DC6">
        <w:rPr>
          <w:rFonts w:eastAsia="標楷體"/>
          <w:bCs/>
          <w:sz w:val="28"/>
          <w:szCs w:val="28"/>
        </w:rPr>
        <w:t>(</w:t>
      </w:r>
      <w:r w:rsidRPr="00D55DC6">
        <w:rPr>
          <w:rFonts w:eastAsia="標楷體"/>
          <w:bCs/>
          <w:sz w:val="28"/>
          <w:szCs w:val="28"/>
        </w:rPr>
        <w:t>辦理松柏嶺地區周邊環境暨公共服務設施改善等建設</w:t>
      </w:r>
      <w:r w:rsidRPr="00D55DC6">
        <w:rPr>
          <w:rFonts w:eastAsia="標楷體"/>
          <w:bCs/>
          <w:sz w:val="28"/>
          <w:szCs w:val="28"/>
        </w:rPr>
        <w:t>)</w:t>
      </w:r>
      <w:r w:rsidRPr="00D55DC6">
        <w:rPr>
          <w:rFonts w:eastAsia="標楷體"/>
          <w:bCs/>
          <w:sz w:val="28"/>
          <w:szCs w:val="28"/>
        </w:rPr>
        <w:t>。</w:t>
      </w:r>
    </w:p>
    <w:p w:rsidR="005D6EF0" w:rsidRPr="00D55DC6" w:rsidRDefault="005D6EF0" w:rsidP="0038165F">
      <w:pPr>
        <w:snapToGrid w:val="0"/>
        <w:spacing w:line="480" w:lineRule="exact"/>
        <w:ind w:left="480"/>
        <w:jc w:val="both"/>
        <w:rPr>
          <w:rFonts w:eastAsia="標楷體"/>
          <w:sz w:val="28"/>
          <w:szCs w:val="28"/>
        </w:rPr>
      </w:pPr>
      <w:r w:rsidRPr="00D55DC6">
        <w:rPr>
          <w:rFonts w:eastAsia="標楷體"/>
          <w:sz w:val="28"/>
          <w:szCs w:val="28"/>
        </w:rPr>
        <w:t>2.</w:t>
      </w:r>
      <w:r w:rsidRPr="00D55DC6">
        <w:rPr>
          <w:rFonts w:eastAsia="標楷體"/>
          <w:sz w:val="28"/>
          <w:szCs w:val="28"/>
        </w:rPr>
        <w:t>國內觀光重要景點建設：</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2-1.</w:t>
      </w:r>
      <w:r w:rsidRPr="00D55DC6">
        <w:rPr>
          <w:rFonts w:eastAsia="標楷體"/>
          <w:bCs/>
          <w:sz w:val="28"/>
          <w:szCs w:val="28"/>
        </w:rPr>
        <w:t>獅頭山遊憩區旅遊服務設施改善</w:t>
      </w:r>
      <w:r w:rsidRPr="00D55DC6">
        <w:rPr>
          <w:rFonts w:eastAsia="標楷體"/>
          <w:bCs/>
          <w:sz w:val="28"/>
          <w:szCs w:val="28"/>
        </w:rPr>
        <w:t>(</w:t>
      </w:r>
      <w:r w:rsidRPr="00D55DC6">
        <w:rPr>
          <w:rFonts w:eastAsia="標楷體"/>
          <w:bCs/>
          <w:sz w:val="28"/>
          <w:szCs w:val="28"/>
        </w:rPr>
        <w:t>辦理獅頭山風景區步道及公共服務設施串聯整修改善等</w:t>
      </w:r>
      <w:r w:rsidRPr="00D55DC6">
        <w:rPr>
          <w:rFonts w:eastAsia="標楷體"/>
          <w:bCs/>
          <w:sz w:val="28"/>
          <w:szCs w:val="28"/>
        </w:rPr>
        <w:t>)</w:t>
      </w:r>
      <w:r w:rsidRPr="00D55DC6">
        <w:rPr>
          <w:rFonts w:eastAsia="標楷體"/>
          <w:bCs/>
          <w:sz w:val="28"/>
          <w:szCs w:val="28"/>
        </w:rPr>
        <w:t>。</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2-2.</w:t>
      </w:r>
      <w:r w:rsidRPr="00D55DC6">
        <w:rPr>
          <w:rFonts w:eastAsia="標楷體"/>
          <w:bCs/>
          <w:sz w:val="28"/>
          <w:szCs w:val="28"/>
        </w:rPr>
        <w:t>八卦山遊憩區旅遊服務設施改善</w:t>
      </w:r>
      <w:r w:rsidRPr="00D55DC6">
        <w:rPr>
          <w:rFonts w:eastAsia="標楷體"/>
          <w:bCs/>
          <w:sz w:val="28"/>
          <w:szCs w:val="28"/>
        </w:rPr>
        <w:t>(</w:t>
      </w:r>
      <w:r w:rsidRPr="00D55DC6">
        <w:rPr>
          <w:rFonts w:eastAsia="標楷體"/>
          <w:bCs/>
          <w:sz w:val="28"/>
          <w:szCs w:val="28"/>
        </w:rPr>
        <w:t>辦理八卦山風景區自行車道系統暨公共服務設施等改善建設</w:t>
      </w:r>
      <w:r w:rsidRPr="00D55DC6">
        <w:rPr>
          <w:rFonts w:eastAsia="標楷體"/>
          <w:bCs/>
          <w:sz w:val="28"/>
          <w:szCs w:val="28"/>
        </w:rPr>
        <w:t>)</w:t>
      </w:r>
      <w:r w:rsidRPr="00D55DC6">
        <w:rPr>
          <w:rFonts w:eastAsia="標楷體"/>
          <w:bCs/>
          <w:sz w:val="28"/>
          <w:szCs w:val="28"/>
        </w:rPr>
        <w:t>。</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2-3.</w:t>
      </w:r>
      <w:r w:rsidRPr="00D55DC6">
        <w:rPr>
          <w:rFonts w:eastAsia="標楷體"/>
          <w:bCs/>
          <w:sz w:val="28"/>
          <w:szCs w:val="28"/>
        </w:rPr>
        <w:t>梨山遊憩區旅遊服務設施改善</w:t>
      </w:r>
      <w:r w:rsidRPr="00D55DC6">
        <w:rPr>
          <w:rFonts w:eastAsia="標楷體"/>
          <w:bCs/>
          <w:sz w:val="28"/>
          <w:szCs w:val="28"/>
        </w:rPr>
        <w:t>(</w:t>
      </w:r>
      <w:r w:rsidRPr="00D55DC6">
        <w:rPr>
          <w:rFonts w:eastAsia="標楷體"/>
          <w:bCs/>
          <w:sz w:val="28"/>
          <w:szCs w:val="28"/>
        </w:rPr>
        <w:t>辦理梨山遊憩區周邊景觀環境及公共服務設施等改善</w:t>
      </w:r>
      <w:r w:rsidRPr="00D55DC6">
        <w:rPr>
          <w:rFonts w:eastAsia="標楷體"/>
          <w:bCs/>
          <w:sz w:val="28"/>
          <w:szCs w:val="28"/>
        </w:rPr>
        <w:t>)</w:t>
      </w:r>
      <w:r w:rsidRPr="00D55DC6">
        <w:rPr>
          <w:rFonts w:eastAsia="標楷體"/>
          <w:bCs/>
          <w:sz w:val="28"/>
          <w:szCs w:val="28"/>
        </w:rPr>
        <w:t>。</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2-4.</w:t>
      </w:r>
      <w:r w:rsidRPr="00D55DC6">
        <w:rPr>
          <w:rFonts w:eastAsia="標楷體"/>
          <w:bCs/>
          <w:sz w:val="28"/>
          <w:szCs w:val="28"/>
        </w:rPr>
        <w:t>轄區沿線休憩據點公共服務設施改善、景觀綠美化及入口意象改</w:t>
      </w:r>
      <w:r w:rsidRPr="00D55DC6">
        <w:rPr>
          <w:rFonts w:eastAsia="標楷體"/>
          <w:bCs/>
          <w:sz w:val="28"/>
          <w:szCs w:val="28"/>
        </w:rPr>
        <w:lastRenderedPageBreak/>
        <w:t>善等。</w:t>
      </w:r>
    </w:p>
    <w:p w:rsidR="005D6EF0" w:rsidRPr="00D55DC6" w:rsidRDefault="005D6EF0" w:rsidP="0038165F">
      <w:pPr>
        <w:snapToGrid w:val="0"/>
        <w:spacing w:line="480" w:lineRule="exact"/>
        <w:ind w:left="480"/>
        <w:jc w:val="both"/>
        <w:rPr>
          <w:rFonts w:eastAsia="標楷體"/>
          <w:sz w:val="28"/>
          <w:szCs w:val="28"/>
        </w:rPr>
      </w:pPr>
      <w:r w:rsidRPr="00D55DC6">
        <w:rPr>
          <w:rFonts w:eastAsia="標楷體"/>
          <w:sz w:val="28"/>
          <w:szCs w:val="28"/>
        </w:rPr>
        <w:t>3.</w:t>
      </w:r>
      <w:r w:rsidRPr="00D55DC6">
        <w:rPr>
          <w:rFonts w:eastAsia="標楷體"/>
          <w:sz w:val="28"/>
          <w:szCs w:val="28"/>
        </w:rPr>
        <w:t>國家風景區經營管理與行銷推廣：</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3-1</w:t>
      </w:r>
      <w:r w:rsidRPr="00D55DC6">
        <w:rPr>
          <w:rFonts w:eastAsia="標楷體"/>
          <w:bCs/>
          <w:sz w:val="28"/>
          <w:szCs w:val="28"/>
        </w:rPr>
        <w:t>先期規劃設計：辦理年度各項工程先期規劃設計、全區觀光資源調查、整體觀光發展計畫等。</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3-2</w:t>
      </w:r>
      <w:r w:rsidRPr="00D55DC6">
        <w:rPr>
          <w:rFonts w:eastAsia="標楷體"/>
          <w:bCs/>
          <w:sz w:val="28"/>
          <w:szCs w:val="28"/>
        </w:rPr>
        <w:t>用地取得：辦理轄區內遊憩據點服務設施訂樁測量、徵收價購、撥用補償及相關行政作業等。</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3-3</w:t>
      </w:r>
      <w:r w:rsidRPr="00D55DC6">
        <w:rPr>
          <w:rFonts w:eastAsia="標楷體"/>
          <w:bCs/>
          <w:sz w:val="28"/>
          <w:szCs w:val="28"/>
        </w:rPr>
        <w:t>轄區沿線休憩據點公共服務設施改善、景觀綠美化及入口意象改善等。</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3-4</w:t>
      </w:r>
      <w:r w:rsidRPr="00D55DC6">
        <w:rPr>
          <w:rFonts w:eastAsia="標楷體"/>
          <w:bCs/>
          <w:sz w:val="28"/>
          <w:szCs w:val="28"/>
        </w:rPr>
        <w:t>旅遊服務系統：辦理轄區指標導覽標示解說設置改善、旅遊服務設施改善及維護管理、文宣資料製作及創新等。</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3-5</w:t>
      </w:r>
      <w:r w:rsidRPr="00D55DC6">
        <w:rPr>
          <w:rFonts w:eastAsia="標楷體"/>
          <w:bCs/>
          <w:sz w:val="28"/>
          <w:szCs w:val="28"/>
        </w:rPr>
        <w:t>全區災害復舊及一般零星工程：辦理災害復舊零星工程、設施維護管理等。</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3-6</w:t>
      </w:r>
      <w:r w:rsidRPr="00D55DC6">
        <w:rPr>
          <w:rFonts w:eastAsia="標楷體"/>
          <w:bCs/>
          <w:sz w:val="28"/>
          <w:szCs w:val="28"/>
        </w:rPr>
        <w:t>環境維護及設施維持：辦理全區各據點公共服務設施及環境景觀綠美化改善等。</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3-7</w:t>
      </w:r>
      <w:r w:rsidRPr="00D55DC6">
        <w:rPr>
          <w:rFonts w:eastAsia="標楷體"/>
          <w:bCs/>
          <w:sz w:val="28"/>
          <w:szCs w:val="28"/>
        </w:rPr>
        <w:t>經營管理及行銷推廣：辦理轄區遊客、志工安全講習、善用社會資源、提升服務品質、推動觀光行銷活動、優質網站、推動清淨家園、產業聯盟等。</w:t>
      </w:r>
    </w:p>
    <w:p w:rsidR="005D6EF0" w:rsidRPr="00D55DC6" w:rsidRDefault="005D6EF0" w:rsidP="0038165F">
      <w:pPr>
        <w:snapToGrid w:val="0"/>
        <w:spacing w:line="480" w:lineRule="exact"/>
        <w:ind w:left="480"/>
        <w:jc w:val="both"/>
        <w:rPr>
          <w:rFonts w:eastAsia="標楷體"/>
          <w:sz w:val="28"/>
          <w:szCs w:val="28"/>
        </w:rPr>
      </w:pPr>
      <w:r w:rsidRPr="00D55DC6">
        <w:rPr>
          <w:rFonts w:eastAsia="標楷體"/>
          <w:sz w:val="28"/>
          <w:szCs w:val="28"/>
        </w:rPr>
        <w:t>4.</w:t>
      </w:r>
      <w:r w:rsidRPr="00D55DC6">
        <w:rPr>
          <w:rFonts w:eastAsia="標楷體"/>
          <w:sz w:val="28"/>
          <w:szCs w:val="28"/>
        </w:rPr>
        <w:t>提升觀光建設自償性</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4-1.</w:t>
      </w:r>
      <w:r w:rsidRPr="00D55DC6">
        <w:rPr>
          <w:rFonts w:eastAsia="標楷體"/>
          <w:bCs/>
          <w:sz w:val="28"/>
          <w:szCs w:val="28"/>
        </w:rPr>
        <w:t>持續辦理民間投資建設，引進民間廠商的專業企業經營理念與管理制度，對於本風景區內可活化委外的相關設施，落實使用者付費精神，循序推動公共投資建設之自償性策略，辦理促參或設施出租委外經營，以創造財務收益，並能有效改善各項服務設施品質，增加區域經濟效益，帶動相關周邊產業發展，以提升觀光整體服務水準。</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4-2.</w:t>
      </w:r>
      <w:r w:rsidRPr="00D55DC6">
        <w:rPr>
          <w:rFonts w:eastAsia="標楷體"/>
          <w:bCs/>
          <w:sz w:val="28"/>
          <w:szCs w:val="28"/>
        </w:rPr>
        <w:t>設施出租：</w:t>
      </w:r>
    </w:p>
    <w:p w:rsidR="005D6EF0" w:rsidRPr="00D55DC6" w:rsidRDefault="005D6EF0" w:rsidP="0038165F">
      <w:pPr>
        <w:pStyle w:val="af2"/>
        <w:spacing w:line="480" w:lineRule="exact"/>
        <w:ind w:leftChars="552" w:left="1974" w:hangingChars="235" w:hanging="649"/>
        <w:jc w:val="both"/>
        <w:rPr>
          <w:rFonts w:eastAsia="標楷體"/>
          <w:spacing w:val="-2"/>
          <w:sz w:val="28"/>
          <w:szCs w:val="28"/>
        </w:rPr>
      </w:pPr>
      <w:r w:rsidRPr="00D55DC6">
        <w:rPr>
          <w:rFonts w:eastAsia="標楷體"/>
          <w:spacing w:val="-2"/>
          <w:sz w:val="28"/>
          <w:szCs w:val="28"/>
        </w:rPr>
        <w:t>4-2-1.</w:t>
      </w:r>
      <w:r w:rsidRPr="00D55DC6">
        <w:rPr>
          <w:rFonts w:eastAsia="標楷體"/>
          <w:spacing w:val="-2"/>
          <w:sz w:val="28"/>
          <w:szCs w:val="28"/>
        </w:rPr>
        <w:t>持續辦理「獅頭山管理站歇心茶樓」、「南庄遊客中心地下停車場」等服務設施短期出租案，目前</w:t>
      </w:r>
      <w:r w:rsidRPr="00D55DC6">
        <w:rPr>
          <w:rFonts w:eastAsia="標楷體"/>
          <w:spacing w:val="-2"/>
          <w:sz w:val="28"/>
          <w:szCs w:val="28"/>
        </w:rPr>
        <w:t>2</w:t>
      </w:r>
      <w:r w:rsidRPr="00D55DC6">
        <w:rPr>
          <w:rFonts w:eastAsia="標楷體"/>
          <w:spacing w:val="-2"/>
          <w:sz w:val="28"/>
          <w:szCs w:val="28"/>
        </w:rPr>
        <w:t>案合計每年可收取年租金約</w:t>
      </w:r>
      <w:r w:rsidRPr="00D55DC6">
        <w:rPr>
          <w:rFonts w:eastAsia="標楷體"/>
          <w:spacing w:val="-2"/>
          <w:sz w:val="28"/>
          <w:szCs w:val="28"/>
        </w:rPr>
        <w:t>174.3</w:t>
      </w:r>
      <w:r w:rsidRPr="00D55DC6">
        <w:rPr>
          <w:rFonts w:eastAsia="標楷體"/>
          <w:spacing w:val="-2"/>
          <w:sz w:val="28"/>
          <w:szCs w:val="28"/>
        </w:rPr>
        <w:t>萬元。未來擬就透過新年期租約，朝提高出租收入成長為努力目標，期可增加每年租金效益。</w:t>
      </w:r>
    </w:p>
    <w:p w:rsidR="005D6EF0" w:rsidRPr="00D55DC6" w:rsidRDefault="005D6EF0" w:rsidP="0038165F">
      <w:pPr>
        <w:pStyle w:val="af2"/>
        <w:spacing w:line="480" w:lineRule="exact"/>
        <w:ind w:leftChars="552" w:left="1974" w:hangingChars="235" w:hanging="649"/>
        <w:jc w:val="both"/>
        <w:rPr>
          <w:rFonts w:eastAsia="標楷體"/>
          <w:spacing w:val="-2"/>
          <w:sz w:val="28"/>
          <w:szCs w:val="28"/>
        </w:rPr>
      </w:pPr>
      <w:r w:rsidRPr="00D55DC6">
        <w:rPr>
          <w:rFonts w:eastAsia="標楷體"/>
          <w:spacing w:val="-2"/>
          <w:sz w:val="28"/>
          <w:szCs w:val="28"/>
        </w:rPr>
        <w:lastRenderedPageBreak/>
        <w:t>4-2-2.</w:t>
      </w:r>
      <w:r w:rsidRPr="00D55DC6">
        <w:rPr>
          <w:rFonts w:eastAsia="標楷體"/>
          <w:spacing w:val="-2"/>
          <w:sz w:val="28"/>
          <w:szCs w:val="28"/>
        </w:rPr>
        <w:t>預計辦理梨山備勤室、猴探井基地台等設施出租案，預估每年可收取租金計有</w:t>
      </w:r>
      <w:r w:rsidRPr="00D55DC6">
        <w:rPr>
          <w:rFonts w:eastAsia="標楷體"/>
          <w:spacing w:val="-2"/>
          <w:sz w:val="28"/>
          <w:szCs w:val="28"/>
        </w:rPr>
        <w:t>40</w:t>
      </w:r>
      <w:r w:rsidRPr="00D55DC6">
        <w:rPr>
          <w:rFonts w:eastAsia="標楷體"/>
          <w:spacing w:val="-2"/>
          <w:sz w:val="28"/>
          <w:szCs w:val="28"/>
        </w:rPr>
        <w:t>萬元以上。</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4-3.</w:t>
      </w:r>
      <w:r w:rsidRPr="00D55DC6">
        <w:rPr>
          <w:rFonts w:eastAsia="標楷體"/>
          <w:bCs/>
          <w:sz w:val="28"/>
          <w:szCs w:val="28"/>
        </w:rPr>
        <w:t>促進民間參與：</w:t>
      </w:r>
    </w:p>
    <w:p w:rsidR="005D6EF0" w:rsidRPr="00D55DC6" w:rsidRDefault="005D6EF0" w:rsidP="0038165F">
      <w:pPr>
        <w:pStyle w:val="af2"/>
        <w:spacing w:line="480" w:lineRule="exact"/>
        <w:ind w:leftChars="552" w:left="1974" w:hangingChars="235" w:hanging="649"/>
        <w:jc w:val="both"/>
        <w:rPr>
          <w:rFonts w:eastAsia="標楷體"/>
          <w:spacing w:val="-2"/>
          <w:sz w:val="28"/>
          <w:szCs w:val="28"/>
        </w:rPr>
      </w:pPr>
      <w:r w:rsidRPr="00D55DC6">
        <w:rPr>
          <w:rFonts w:eastAsia="標楷體"/>
          <w:spacing w:val="-2"/>
          <w:sz w:val="28"/>
          <w:szCs w:val="28"/>
        </w:rPr>
        <w:t>4-3-1.</w:t>
      </w:r>
      <w:r w:rsidRPr="00D55DC6">
        <w:rPr>
          <w:rFonts w:eastAsia="標楷體"/>
          <w:spacing w:val="-2"/>
          <w:sz w:val="28"/>
          <w:szCs w:val="28"/>
        </w:rPr>
        <w:t>吸引民間經費投資建設、引進民間廠商的專業企業經營理念與管理制度，有效改善各項服務設施品質，推動辦理設施委外經營管理，以提升整體遊客服務品質。</w:t>
      </w:r>
    </w:p>
    <w:p w:rsidR="005D6EF0" w:rsidRPr="00D55DC6" w:rsidRDefault="005D6EF0" w:rsidP="0038165F">
      <w:pPr>
        <w:pStyle w:val="af2"/>
        <w:spacing w:line="480" w:lineRule="exact"/>
        <w:ind w:leftChars="552" w:left="1974" w:hangingChars="235" w:hanging="649"/>
        <w:jc w:val="both"/>
        <w:rPr>
          <w:rFonts w:eastAsia="標楷體"/>
          <w:spacing w:val="-2"/>
          <w:sz w:val="28"/>
          <w:szCs w:val="28"/>
        </w:rPr>
      </w:pPr>
      <w:r w:rsidRPr="00D55DC6">
        <w:rPr>
          <w:rFonts w:eastAsia="標楷體"/>
          <w:spacing w:val="-2"/>
          <w:sz w:val="28"/>
          <w:szCs w:val="28"/>
        </w:rPr>
        <w:t>4-3-2.</w:t>
      </w:r>
      <w:r w:rsidRPr="00D55DC6">
        <w:rPr>
          <w:rFonts w:eastAsia="標楷體"/>
          <w:spacing w:val="-2"/>
          <w:sz w:val="28"/>
          <w:szCs w:val="28"/>
        </w:rPr>
        <w:t>辦理「促進民間參與臺中市梨山賓館委外經營管理案」，每年土地租金、房屋設施租金共計約有</w:t>
      </w:r>
      <w:r w:rsidRPr="00D55DC6">
        <w:rPr>
          <w:rFonts w:eastAsia="標楷體"/>
          <w:spacing w:val="-2"/>
          <w:sz w:val="28"/>
          <w:szCs w:val="28"/>
        </w:rPr>
        <w:t>127.3</w:t>
      </w:r>
      <w:r w:rsidRPr="00D55DC6">
        <w:rPr>
          <w:rFonts w:eastAsia="標楷體"/>
          <w:spacing w:val="-2"/>
          <w:sz w:val="28"/>
          <w:szCs w:val="28"/>
        </w:rPr>
        <w:t>萬元，權利金</w:t>
      </w:r>
      <w:r w:rsidRPr="00D55DC6">
        <w:rPr>
          <w:rFonts w:eastAsia="標楷體"/>
          <w:spacing w:val="-2"/>
          <w:sz w:val="28"/>
          <w:szCs w:val="28"/>
        </w:rPr>
        <w:t>219.4</w:t>
      </w:r>
      <w:r w:rsidRPr="00D55DC6">
        <w:rPr>
          <w:rFonts w:eastAsia="標楷體"/>
          <w:spacing w:val="-2"/>
          <w:sz w:val="28"/>
          <w:szCs w:val="28"/>
        </w:rPr>
        <w:t>萬</w:t>
      </w:r>
      <w:r w:rsidRPr="00D55DC6">
        <w:rPr>
          <w:rFonts w:eastAsia="標楷體"/>
          <w:spacing w:val="-2"/>
          <w:sz w:val="28"/>
          <w:szCs w:val="28"/>
        </w:rPr>
        <w:t>(</w:t>
      </w:r>
      <w:r w:rsidRPr="00D55DC6">
        <w:rPr>
          <w:rFonts w:eastAsia="標楷體"/>
          <w:spacing w:val="-2"/>
          <w:sz w:val="28"/>
          <w:szCs w:val="28"/>
        </w:rPr>
        <w:t>廠商自提年營運權利金為</w:t>
      </w:r>
      <w:r w:rsidRPr="00D55DC6">
        <w:rPr>
          <w:rFonts w:eastAsia="標楷體"/>
          <w:spacing w:val="-2"/>
          <w:sz w:val="28"/>
          <w:szCs w:val="28"/>
        </w:rPr>
        <w:t>3.5%</w:t>
      </w:r>
      <w:r w:rsidRPr="00D55DC6">
        <w:rPr>
          <w:rFonts w:eastAsia="標楷體"/>
          <w:spacing w:val="-2"/>
          <w:sz w:val="28"/>
          <w:szCs w:val="28"/>
        </w:rPr>
        <w:t>，且每年不得少於</w:t>
      </w:r>
      <w:r w:rsidRPr="00D55DC6">
        <w:rPr>
          <w:rFonts w:eastAsia="標楷體"/>
          <w:spacing w:val="-2"/>
          <w:sz w:val="28"/>
          <w:szCs w:val="28"/>
        </w:rPr>
        <w:t>130</w:t>
      </w:r>
      <w:r w:rsidRPr="00D55DC6">
        <w:rPr>
          <w:rFonts w:eastAsia="標楷體"/>
          <w:spacing w:val="-2"/>
          <w:sz w:val="28"/>
          <w:szCs w:val="28"/>
        </w:rPr>
        <w:t>萬元</w:t>
      </w:r>
      <w:r w:rsidRPr="00D55DC6">
        <w:rPr>
          <w:rFonts w:eastAsia="標楷體"/>
          <w:spacing w:val="-2"/>
          <w:sz w:val="28"/>
          <w:szCs w:val="28"/>
        </w:rPr>
        <w:t>)</w:t>
      </w:r>
      <w:r w:rsidRPr="00D55DC6">
        <w:rPr>
          <w:rFonts w:eastAsia="標楷體"/>
          <w:spacing w:val="-2"/>
          <w:sz w:val="28"/>
          <w:szCs w:val="28"/>
        </w:rPr>
        <w:t>，共計每年可增加收入達</w:t>
      </w:r>
      <w:r w:rsidRPr="00D55DC6">
        <w:rPr>
          <w:rFonts w:eastAsia="標楷體"/>
          <w:spacing w:val="-2"/>
          <w:sz w:val="28"/>
          <w:szCs w:val="28"/>
        </w:rPr>
        <w:t>346.7</w:t>
      </w:r>
      <w:r w:rsidRPr="00D55DC6">
        <w:rPr>
          <w:rFonts w:eastAsia="標楷體"/>
          <w:spacing w:val="-2"/>
          <w:sz w:val="28"/>
          <w:szCs w:val="28"/>
        </w:rPr>
        <w:t>萬元，契約年限為</w:t>
      </w:r>
      <w:r w:rsidRPr="00D55DC6">
        <w:rPr>
          <w:rFonts w:eastAsia="標楷體"/>
          <w:spacing w:val="-2"/>
          <w:sz w:val="28"/>
          <w:szCs w:val="28"/>
        </w:rPr>
        <w:t>11</w:t>
      </w:r>
      <w:r w:rsidRPr="00D55DC6">
        <w:rPr>
          <w:rFonts w:eastAsia="標楷體"/>
          <w:spacing w:val="-2"/>
          <w:sz w:val="28"/>
          <w:szCs w:val="28"/>
        </w:rPr>
        <w:t>年</w:t>
      </w:r>
      <w:r w:rsidRPr="00D55DC6">
        <w:rPr>
          <w:rFonts w:eastAsia="標楷體"/>
          <w:spacing w:val="-2"/>
          <w:sz w:val="28"/>
          <w:szCs w:val="28"/>
        </w:rPr>
        <w:t>(</w:t>
      </w:r>
      <w:r w:rsidRPr="00D55DC6">
        <w:rPr>
          <w:rFonts w:eastAsia="標楷體"/>
          <w:spacing w:val="-2"/>
          <w:sz w:val="28"/>
          <w:szCs w:val="28"/>
        </w:rPr>
        <w:t>自民國</w:t>
      </w:r>
      <w:r w:rsidRPr="00D55DC6">
        <w:rPr>
          <w:rFonts w:eastAsia="標楷體"/>
          <w:spacing w:val="-2"/>
          <w:sz w:val="28"/>
          <w:szCs w:val="28"/>
        </w:rPr>
        <w:t>100</w:t>
      </w:r>
      <w:r w:rsidRPr="00D55DC6">
        <w:rPr>
          <w:rFonts w:eastAsia="標楷體"/>
          <w:spacing w:val="-2"/>
          <w:sz w:val="28"/>
          <w:szCs w:val="28"/>
        </w:rPr>
        <w:t>年</w:t>
      </w:r>
      <w:r w:rsidRPr="00D55DC6">
        <w:rPr>
          <w:rFonts w:eastAsia="標楷體"/>
          <w:spacing w:val="-2"/>
          <w:sz w:val="28"/>
          <w:szCs w:val="28"/>
        </w:rPr>
        <w:t>8</w:t>
      </w:r>
      <w:r w:rsidRPr="00D55DC6">
        <w:rPr>
          <w:rFonts w:eastAsia="標楷體"/>
          <w:spacing w:val="-2"/>
          <w:sz w:val="28"/>
          <w:szCs w:val="28"/>
        </w:rPr>
        <w:t>月</w:t>
      </w:r>
      <w:r w:rsidRPr="00D55DC6">
        <w:rPr>
          <w:rFonts w:eastAsia="標楷體"/>
          <w:spacing w:val="-2"/>
          <w:sz w:val="28"/>
          <w:szCs w:val="28"/>
        </w:rPr>
        <w:t>10</w:t>
      </w:r>
      <w:r w:rsidRPr="00D55DC6">
        <w:rPr>
          <w:rFonts w:eastAsia="標楷體"/>
          <w:spacing w:val="-2"/>
          <w:sz w:val="28"/>
          <w:szCs w:val="28"/>
        </w:rPr>
        <w:t>日至民國</w:t>
      </w:r>
      <w:r w:rsidRPr="00D55DC6">
        <w:rPr>
          <w:rFonts w:eastAsia="標楷體"/>
          <w:spacing w:val="-2"/>
          <w:sz w:val="28"/>
          <w:szCs w:val="28"/>
        </w:rPr>
        <w:t>111</w:t>
      </w:r>
      <w:r w:rsidRPr="00D55DC6">
        <w:rPr>
          <w:rFonts w:eastAsia="標楷體"/>
          <w:spacing w:val="-2"/>
          <w:sz w:val="28"/>
          <w:szCs w:val="28"/>
        </w:rPr>
        <w:t>年</w:t>
      </w:r>
      <w:r w:rsidRPr="00D55DC6">
        <w:rPr>
          <w:rFonts w:eastAsia="標楷體"/>
          <w:spacing w:val="-2"/>
          <w:sz w:val="28"/>
          <w:szCs w:val="28"/>
        </w:rPr>
        <w:t>8</w:t>
      </w:r>
      <w:r w:rsidRPr="00D55DC6">
        <w:rPr>
          <w:rFonts w:eastAsia="標楷體"/>
          <w:spacing w:val="-2"/>
          <w:sz w:val="28"/>
          <w:szCs w:val="28"/>
        </w:rPr>
        <w:t>月</w:t>
      </w:r>
      <w:r w:rsidRPr="00D55DC6">
        <w:rPr>
          <w:rFonts w:eastAsia="標楷體"/>
          <w:spacing w:val="-2"/>
          <w:sz w:val="28"/>
          <w:szCs w:val="28"/>
        </w:rPr>
        <w:t>9</w:t>
      </w:r>
      <w:r w:rsidRPr="00D55DC6">
        <w:rPr>
          <w:rFonts w:eastAsia="標楷體"/>
          <w:spacing w:val="-2"/>
          <w:sz w:val="28"/>
          <w:szCs w:val="28"/>
        </w:rPr>
        <w:t>日</w:t>
      </w:r>
      <w:r w:rsidRPr="00D55DC6">
        <w:rPr>
          <w:rFonts w:eastAsia="標楷體"/>
          <w:spacing w:val="-2"/>
          <w:sz w:val="28"/>
          <w:szCs w:val="28"/>
        </w:rPr>
        <w:t>)</w:t>
      </w:r>
      <w:r w:rsidRPr="00D55DC6">
        <w:rPr>
          <w:rFonts w:eastAsia="標楷體"/>
          <w:spacing w:val="-2"/>
          <w:sz w:val="28"/>
          <w:szCs w:val="28"/>
        </w:rPr>
        <w:t>。</w:t>
      </w:r>
    </w:p>
    <w:p w:rsidR="005D6EF0" w:rsidRPr="00D55DC6" w:rsidRDefault="005D6EF0" w:rsidP="0038165F">
      <w:pPr>
        <w:pStyle w:val="af2"/>
        <w:spacing w:line="480" w:lineRule="exact"/>
        <w:ind w:leftChars="552" w:left="1974" w:hangingChars="235" w:hanging="649"/>
        <w:jc w:val="both"/>
        <w:rPr>
          <w:rFonts w:eastAsia="標楷體"/>
          <w:spacing w:val="-2"/>
          <w:sz w:val="28"/>
          <w:szCs w:val="28"/>
        </w:rPr>
      </w:pPr>
      <w:r w:rsidRPr="00D55DC6">
        <w:rPr>
          <w:rFonts w:eastAsia="標楷體"/>
          <w:spacing w:val="-2"/>
          <w:sz w:val="28"/>
          <w:szCs w:val="28"/>
        </w:rPr>
        <w:t>4-3-3.</w:t>
      </w:r>
      <w:r w:rsidRPr="00D55DC6">
        <w:rPr>
          <w:rFonts w:eastAsia="標楷體"/>
          <w:spacing w:val="-2"/>
          <w:sz w:val="28"/>
          <w:szCs w:val="28"/>
        </w:rPr>
        <w:t>辦理「猴探井遊憩區南投天空之橋委外經營管理案」，目前參山管理處經營權利金分配約有</w:t>
      </w:r>
      <w:r w:rsidRPr="00D55DC6">
        <w:rPr>
          <w:rFonts w:eastAsia="標楷體"/>
          <w:spacing w:val="-2"/>
          <w:sz w:val="28"/>
          <w:szCs w:val="28"/>
        </w:rPr>
        <w:t>1,380</w:t>
      </w:r>
      <w:r w:rsidRPr="00D55DC6">
        <w:rPr>
          <w:rFonts w:eastAsia="標楷體"/>
          <w:spacing w:val="-2"/>
          <w:sz w:val="28"/>
          <w:szCs w:val="28"/>
        </w:rPr>
        <w:t>萬元之效益收入</w:t>
      </w:r>
      <w:r w:rsidRPr="00D55DC6">
        <w:rPr>
          <w:rFonts w:eastAsia="標楷體"/>
          <w:spacing w:val="-2"/>
          <w:sz w:val="28"/>
          <w:szCs w:val="28"/>
        </w:rPr>
        <w:t>(102-104</w:t>
      </w:r>
      <w:r w:rsidRPr="00D55DC6">
        <w:rPr>
          <w:rFonts w:eastAsia="標楷體"/>
          <w:spacing w:val="-2"/>
          <w:sz w:val="28"/>
          <w:szCs w:val="28"/>
        </w:rPr>
        <w:t>年</w:t>
      </w:r>
      <w:r w:rsidRPr="00D55DC6">
        <w:rPr>
          <w:rFonts w:eastAsia="標楷體"/>
          <w:spacing w:val="-2"/>
          <w:sz w:val="28"/>
          <w:szCs w:val="28"/>
        </w:rPr>
        <w:t>)</w:t>
      </w:r>
      <w:r w:rsidRPr="00D55DC6">
        <w:rPr>
          <w:rFonts w:eastAsia="標楷體"/>
          <w:spacing w:val="-2"/>
          <w:sz w:val="28"/>
          <w:szCs w:val="28"/>
        </w:rPr>
        <w:t>，平均每年約</w:t>
      </w:r>
      <w:r w:rsidRPr="00D55DC6">
        <w:rPr>
          <w:rFonts w:eastAsia="標楷體"/>
          <w:spacing w:val="-2"/>
          <w:sz w:val="28"/>
          <w:szCs w:val="28"/>
        </w:rPr>
        <w:t>460</w:t>
      </w:r>
      <w:r w:rsidRPr="00D55DC6">
        <w:rPr>
          <w:rFonts w:eastAsia="標楷體"/>
          <w:spacing w:val="-2"/>
          <w:sz w:val="28"/>
          <w:szCs w:val="28"/>
        </w:rPr>
        <w:t>萬元。</w:t>
      </w:r>
    </w:p>
    <w:p w:rsidR="005D6EF0" w:rsidRPr="00D55DC6" w:rsidRDefault="005D6EF0" w:rsidP="0038165F">
      <w:pPr>
        <w:pStyle w:val="af2"/>
        <w:spacing w:line="480" w:lineRule="exact"/>
        <w:ind w:leftChars="552" w:left="1974" w:hangingChars="235" w:hanging="649"/>
        <w:jc w:val="both"/>
        <w:rPr>
          <w:rFonts w:eastAsia="標楷體"/>
          <w:spacing w:val="-2"/>
          <w:sz w:val="28"/>
          <w:szCs w:val="28"/>
        </w:rPr>
      </w:pPr>
      <w:r w:rsidRPr="00D55DC6">
        <w:rPr>
          <w:rFonts w:eastAsia="標楷體"/>
          <w:spacing w:val="-2"/>
          <w:sz w:val="28"/>
          <w:szCs w:val="28"/>
        </w:rPr>
        <w:t>4-3-4.</w:t>
      </w:r>
      <w:r w:rsidRPr="00D55DC6">
        <w:rPr>
          <w:rFonts w:eastAsia="標楷體"/>
          <w:spacing w:val="-2"/>
          <w:sz w:val="28"/>
          <w:szCs w:val="28"/>
        </w:rPr>
        <w:t>辦理「彰化縣芬園休閒體健園區</w:t>
      </w:r>
      <w:r w:rsidRPr="00D55DC6">
        <w:rPr>
          <w:rFonts w:eastAsia="標楷體"/>
          <w:spacing w:val="-2"/>
          <w:sz w:val="28"/>
          <w:szCs w:val="28"/>
        </w:rPr>
        <w:t>(</w:t>
      </w:r>
      <w:r w:rsidRPr="00D55DC6">
        <w:rPr>
          <w:rFonts w:eastAsia="標楷體"/>
          <w:spacing w:val="-2"/>
          <w:sz w:val="28"/>
          <w:szCs w:val="28"/>
        </w:rPr>
        <w:t>就是愛荔枝樂園</w:t>
      </w:r>
      <w:r w:rsidRPr="00D55DC6">
        <w:rPr>
          <w:rFonts w:eastAsia="標楷體"/>
          <w:spacing w:val="-2"/>
          <w:sz w:val="28"/>
          <w:szCs w:val="28"/>
        </w:rPr>
        <w:t>)</w:t>
      </w:r>
      <w:r w:rsidRPr="00D55DC6">
        <w:rPr>
          <w:rFonts w:eastAsia="標楷體"/>
          <w:spacing w:val="-2"/>
          <w:sz w:val="28"/>
          <w:szCs w:val="28"/>
        </w:rPr>
        <w:t>」營運移轉案，業者每年投入經費進行營運維護，預估每年可收取權利金約有</w:t>
      </w:r>
      <w:r w:rsidRPr="00D55DC6">
        <w:rPr>
          <w:rFonts w:eastAsia="標楷體"/>
          <w:spacing w:val="-2"/>
          <w:sz w:val="28"/>
          <w:szCs w:val="28"/>
        </w:rPr>
        <w:t>88</w:t>
      </w:r>
      <w:r w:rsidRPr="00D55DC6">
        <w:rPr>
          <w:rFonts w:eastAsia="標楷體"/>
          <w:spacing w:val="-2"/>
          <w:sz w:val="28"/>
          <w:szCs w:val="28"/>
        </w:rPr>
        <w:t>萬元。</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4-4.</w:t>
      </w:r>
      <w:r w:rsidRPr="00D55DC6">
        <w:rPr>
          <w:rFonts w:eastAsia="標楷體"/>
          <w:bCs/>
          <w:sz w:val="28"/>
          <w:szCs w:val="28"/>
        </w:rPr>
        <w:t>使用者付費：</w:t>
      </w:r>
    </w:p>
    <w:p w:rsidR="005D6EF0" w:rsidRPr="00D55DC6" w:rsidRDefault="005D6EF0" w:rsidP="0038165F">
      <w:pPr>
        <w:pStyle w:val="af2"/>
        <w:spacing w:line="480" w:lineRule="exact"/>
        <w:ind w:leftChars="552" w:left="1974" w:hangingChars="235" w:hanging="649"/>
        <w:jc w:val="both"/>
        <w:rPr>
          <w:rFonts w:eastAsia="標楷體"/>
          <w:spacing w:val="-2"/>
          <w:sz w:val="28"/>
          <w:szCs w:val="28"/>
        </w:rPr>
      </w:pPr>
      <w:r w:rsidRPr="00D55DC6">
        <w:rPr>
          <w:rFonts w:eastAsia="標楷體"/>
          <w:spacing w:val="-2"/>
          <w:sz w:val="28"/>
          <w:szCs w:val="28"/>
        </w:rPr>
        <w:t>4-4-1.</w:t>
      </w:r>
      <w:r w:rsidRPr="00D55DC6">
        <w:rPr>
          <w:rFonts w:eastAsia="標楷體"/>
          <w:spacing w:val="-2"/>
          <w:sz w:val="28"/>
          <w:szCs w:val="28"/>
        </w:rPr>
        <w:t>落實使用者付費精神，循序推動公共投資建設之自償性策略，將儘量尋找可收費或出租景點設施，並於新建工程規劃階段，即先行評估未來收費自償之可行性，以創造財源回饋觀光建設經費，冀達觀光遊憩資源永續經營目標。</w:t>
      </w:r>
    </w:p>
    <w:p w:rsidR="005D6EF0" w:rsidRPr="00D55DC6" w:rsidRDefault="005D6EF0" w:rsidP="0038165F">
      <w:pPr>
        <w:pStyle w:val="af2"/>
        <w:spacing w:line="480" w:lineRule="exact"/>
        <w:ind w:leftChars="552" w:left="1974" w:hangingChars="235" w:hanging="649"/>
        <w:jc w:val="both"/>
        <w:rPr>
          <w:rFonts w:eastAsia="標楷體"/>
          <w:spacing w:val="-2"/>
          <w:sz w:val="28"/>
          <w:szCs w:val="28"/>
        </w:rPr>
      </w:pPr>
      <w:r w:rsidRPr="00D55DC6">
        <w:rPr>
          <w:rFonts w:eastAsia="標楷體"/>
          <w:spacing w:val="-2"/>
          <w:sz w:val="28"/>
          <w:szCs w:val="28"/>
        </w:rPr>
        <w:t>4-4-2.</w:t>
      </w:r>
      <w:r w:rsidRPr="00D55DC6">
        <w:rPr>
          <w:rFonts w:eastAsia="標楷體"/>
          <w:spacing w:val="-2"/>
          <w:sz w:val="28"/>
          <w:szCs w:val="28"/>
        </w:rPr>
        <w:t>未來預計辦理「蓬萊溪自然生態園區委外經營管理案」、「南庄高灘地停車場」等，預估每年可收取效益</w:t>
      </w:r>
      <w:r w:rsidRPr="00D55DC6">
        <w:rPr>
          <w:rFonts w:eastAsia="標楷體"/>
          <w:spacing w:val="-2"/>
          <w:sz w:val="28"/>
          <w:szCs w:val="28"/>
        </w:rPr>
        <w:t>121</w:t>
      </w:r>
      <w:r w:rsidRPr="00D55DC6">
        <w:rPr>
          <w:rFonts w:eastAsia="標楷體"/>
          <w:spacing w:val="-2"/>
          <w:sz w:val="28"/>
          <w:szCs w:val="28"/>
        </w:rPr>
        <w:t>萬元。</w:t>
      </w:r>
    </w:p>
    <w:p w:rsidR="005D6EF0" w:rsidRPr="00D55DC6" w:rsidRDefault="005D6EF0" w:rsidP="0038165F">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4-5.</w:t>
      </w:r>
      <w:r w:rsidRPr="00D55DC6">
        <w:rPr>
          <w:rFonts w:eastAsia="標楷體"/>
          <w:bCs/>
          <w:sz w:val="28"/>
          <w:szCs w:val="28"/>
        </w:rPr>
        <w:t>跨域加值合作：</w:t>
      </w:r>
    </w:p>
    <w:p w:rsidR="005D6EF0" w:rsidRPr="00D55DC6" w:rsidRDefault="005D6EF0" w:rsidP="0038165F">
      <w:pPr>
        <w:pStyle w:val="af2"/>
        <w:spacing w:line="480" w:lineRule="exact"/>
        <w:ind w:leftChars="552" w:left="1974" w:hangingChars="235" w:hanging="649"/>
        <w:jc w:val="both"/>
        <w:rPr>
          <w:rFonts w:eastAsia="標楷體"/>
          <w:spacing w:val="-2"/>
          <w:sz w:val="28"/>
          <w:szCs w:val="28"/>
        </w:rPr>
      </w:pPr>
      <w:r w:rsidRPr="00D55DC6">
        <w:rPr>
          <w:rFonts w:eastAsia="標楷體"/>
          <w:spacing w:val="-2"/>
          <w:sz w:val="28"/>
          <w:szCs w:val="28"/>
        </w:rPr>
        <w:t>4-5-1.</w:t>
      </w:r>
      <w:r w:rsidRPr="00D55DC6">
        <w:rPr>
          <w:rFonts w:eastAsia="標楷體"/>
          <w:spacing w:val="-2"/>
          <w:sz w:val="28"/>
          <w:szCs w:val="28"/>
        </w:rPr>
        <w:t>整合轄域內外重要觀光景點設施，並與各相關地方政府建立溝通協調、合作機制，維持良好關係，除管理權責劃分、明確分工外，積極協商工程整建、用地及周邊環境改善等問題，研擬規劃跨域加值等資源案件。</w:t>
      </w:r>
    </w:p>
    <w:p w:rsidR="005D6EF0" w:rsidRPr="00D55DC6" w:rsidRDefault="005D6EF0" w:rsidP="0038165F">
      <w:pPr>
        <w:pStyle w:val="af2"/>
        <w:spacing w:line="480" w:lineRule="exact"/>
        <w:ind w:leftChars="552" w:left="1974" w:hangingChars="235" w:hanging="649"/>
        <w:jc w:val="both"/>
        <w:rPr>
          <w:rFonts w:eastAsia="標楷體"/>
          <w:spacing w:val="-2"/>
          <w:sz w:val="28"/>
          <w:szCs w:val="28"/>
        </w:rPr>
      </w:pPr>
      <w:r w:rsidRPr="00D55DC6">
        <w:rPr>
          <w:rFonts w:eastAsia="標楷體"/>
          <w:spacing w:val="-2"/>
          <w:sz w:val="28"/>
          <w:szCs w:val="28"/>
        </w:rPr>
        <w:lastRenderedPageBreak/>
        <w:t>4-5-2.</w:t>
      </w:r>
      <w:r w:rsidRPr="00D55DC6">
        <w:rPr>
          <w:rFonts w:eastAsia="標楷體"/>
          <w:spacing w:val="-2"/>
          <w:sz w:val="28"/>
          <w:szCs w:val="28"/>
        </w:rPr>
        <w:t>未來預計辦理「</w:t>
      </w:r>
      <w:r w:rsidR="00A9101C" w:rsidRPr="00D55DC6">
        <w:rPr>
          <w:rFonts w:eastAsia="標楷體" w:hint="eastAsia"/>
          <w:spacing w:val="-2"/>
          <w:sz w:val="28"/>
          <w:szCs w:val="28"/>
        </w:rPr>
        <w:t>谷關遊客中心活化計畫案</w:t>
      </w:r>
      <w:r w:rsidRPr="00D55DC6">
        <w:rPr>
          <w:rFonts w:eastAsia="標楷體"/>
          <w:spacing w:val="-2"/>
          <w:sz w:val="28"/>
          <w:szCs w:val="28"/>
        </w:rPr>
        <w:t>」、「谷關原住民技藝研習中心活化計畫案」、「清水岩溫泉開發計畫案」，及「中臺灣鐵路觀光資源整合與活化推動計畫案」</w:t>
      </w:r>
      <w:r w:rsidRPr="00D55DC6">
        <w:rPr>
          <w:rFonts w:eastAsia="標楷體"/>
          <w:spacing w:val="-2"/>
          <w:sz w:val="28"/>
          <w:szCs w:val="28"/>
        </w:rPr>
        <w:t>(</w:t>
      </w:r>
      <w:r w:rsidRPr="00D55DC6">
        <w:rPr>
          <w:rFonts w:eastAsia="標楷體"/>
          <w:spacing w:val="-2"/>
          <w:sz w:val="28"/>
          <w:szCs w:val="28"/>
        </w:rPr>
        <w:t>轄域外</w:t>
      </w:r>
      <w:r w:rsidRPr="00D55DC6">
        <w:rPr>
          <w:rFonts w:eastAsia="標楷體"/>
          <w:spacing w:val="-2"/>
          <w:sz w:val="28"/>
          <w:szCs w:val="28"/>
        </w:rPr>
        <w:t>)</w:t>
      </w:r>
      <w:r w:rsidRPr="00D55DC6">
        <w:rPr>
          <w:rFonts w:eastAsia="標楷體"/>
          <w:spacing w:val="-2"/>
          <w:sz w:val="28"/>
          <w:szCs w:val="28"/>
        </w:rPr>
        <w:t>等，預估</w:t>
      </w:r>
      <w:r w:rsidRPr="00D55DC6">
        <w:rPr>
          <w:rFonts w:eastAsia="標楷體"/>
          <w:spacing w:val="-2"/>
          <w:sz w:val="28"/>
          <w:szCs w:val="28"/>
        </w:rPr>
        <w:t>113</w:t>
      </w:r>
      <w:r w:rsidRPr="00D55DC6">
        <w:rPr>
          <w:rFonts w:eastAsia="標楷體"/>
          <w:spacing w:val="-2"/>
          <w:sz w:val="28"/>
          <w:szCs w:val="28"/>
        </w:rPr>
        <w:t>年以後每年約有</w:t>
      </w:r>
      <w:r w:rsidRPr="00D55DC6">
        <w:rPr>
          <w:rFonts w:eastAsia="標楷體"/>
          <w:spacing w:val="-2"/>
          <w:sz w:val="28"/>
          <w:szCs w:val="28"/>
        </w:rPr>
        <w:t>2,700~3,000</w:t>
      </w:r>
      <w:r w:rsidRPr="00D55DC6">
        <w:rPr>
          <w:rFonts w:eastAsia="標楷體"/>
          <w:spacing w:val="-2"/>
          <w:sz w:val="28"/>
          <w:szCs w:val="28"/>
        </w:rPr>
        <w:t>萬元的效益。</w:t>
      </w:r>
    </w:p>
    <w:p w:rsidR="00EB48E8" w:rsidRPr="00D55DC6" w:rsidRDefault="00EB48E8" w:rsidP="00EB48E8">
      <w:pPr>
        <w:snapToGrid w:val="0"/>
        <w:spacing w:line="480" w:lineRule="exact"/>
        <w:ind w:left="480"/>
        <w:jc w:val="both"/>
        <w:rPr>
          <w:rFonts w:eastAsia="標楷體"/>
          <w:sz w:val="28"/>
          <w:szCs w:val="28"/>
        </w:rPr>
      </w:pPr>
      <w:r w:rsidRPr="00D55DC6">
        <w:rPr>
          <w:rFonts w:eastAsia="標楷體"/>
          <w:sz w:val="28"/>
          <w:szCs w:val="28"/>
        </w:rPr>
        <w:t>5.</w:t>
      </w:r>
      <w:r w:rsidRPr="00D55DC6">
        <w:rPr>
          <w:rFonts w:eastAsia="標楷體"/>
          <w:sz w:val="28"/>
          <w:szCs w:val="28"/>
        </w:rPr>
        <w:t>發展智慧觀光：</w:t>
      </w:r>
    </w:p>
    <w:p w:rsidR="00EB48E8" w:rsidRPr="00D55DC6" w:rsidRDefault="00EB48E8" w:rsidP="00EB48E8">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5-1.</w:t>
      </w:r>
      <w:r w:rsidRPr="00D55DC6">
        <w:rPr>
          <w:rFonts w:eastAsia="標楷體"/>
          <w:bCs/>
          <w:sz w:val="28"/>
          <w:szCs w:val="28"/>
        </w:rPr>
        <w:t>加強轄區各項資訊收集及機關間垂直、橫向整合能力，迅速完成通報並適時執行應變措施，並研擬規劃方針與執行方案。</w:t>
      </w:r>
    </w:p>
    <w:p w:rsidR="00EB48E8" w:rsidRPr="00D55DC6" w:rsidRDefault="00EB48E8" w:rsidP="00EB48E8">
      <w:pPr>
        <w:pStyle w:val="af2"/>
        <w:spacing w:line="480" w:lineRule="exact"/>
        <w:ind w:leftChars="300" w:left="1140" w:hangingChars="150" w:hanging="420"/>
        <w:jc w:val="both"/>
        <w:rPr>
          <w:rFonts w:eastAsia="標楷體"/>
          <w:bCs/>
          <w:sz w:val="28"/>
          <w:szCs w:val="28"/>
        </w:rPr>
      </w:pPr>
      <w:r w:rsidRPr="00D55DC6">
        <w:rPr>
          <w:rFonts w:eastAsia="標楷體"/>
          <w:bCs/>
          <w:sz w:val="28"/>
          <w:szCs w:val="28"/>
        </w:rPr>
        <w:t>5-2.</w:t>
      </w:r>
      <w:r w:rsidRPr="00D55DC6">
        <w:rPr>
          <w:rFonts w:eastAsia="標楷體"/>
          <w:bCs/>
          <w:sz w:val="28"/>
          <w:szCs w:val="28"/>
        </w:rPr>
        <w:t>導入科技加強資訊傳送與鏈結，並透過內部控制檢討設施巡檢作業及通報機制，滾動式檢討與調整各項計畫執行方案。</w:t>
      </w:r>
    </w:p>
    <w:p w:rsidR="005D6EF0" w:rsidRPr="00D55DC6" w:rsidRDefault="005D6EF0" w:rsidP="0038165F">
      <w:pPr>
        <w:pStyle w:val="af2"/>
        <w:spacing w:line="480" w:lineRule="exact"/>
        <w:ind w:leftChars="552" w:left="1974" w:hangingChars="235" w:hanging="649"/>
        <w:jc w:val="both"/>
        <w:rPr>
          <w:rFonts w:eastAsia="標楷體"/>
          <w:spacing w:val="-2"/>
          <w:sz w:val="28"/>
          <w:szCs w:val="28"/>
        </w:rPr>
      </w:pPr>
    </w:p>
    <w:p w:rsidR="005D6EF0" w:rsidRPr="00D55DC6" w:rsidRDefault="005D6EF0" w:rsidP="004865C1">
      <w:pPr>
        <w:pStyle w:val="af2"/>
        <w:numPr>
          <w:ilvl w:val="0"/>
          <w:numId w:val="79"/>
        </w:numPr>
        <w:snapToGrid w:val="0"/>
        <w:spacing w:line="480" w:lineRule="exact"/>
        <w:ind w:leftChars="0"/>
        <w:jc w:val="both"/>
        <w:rPr>
          <w:rFonts w:eastAsia="標楷體"/>
          <w:b/>
          <w:bCs/>
          <w:sz w:val="28"/>
          <w:szCs w:val="28"/>
        </w:rPr>
      </w:pPr>
      <w:bookmarkStart w:id="100" w:name="_Toc192790807"/>
      <w:bookmarkStart w:id="101" w:name="_Toc195430512"/>
      <w:bookmarkStart w:id="102" w:name="_Toc200857888"/>
      <w:bookmarkStart w:id="103" w:name="_Toc245810252"/>
      <w:bookmarkStart w:id="104" w:name="_Toc288749210"/>
      <w:r w:rsidRPr="00D55DC6">
        <w:rPr>
          <w:rFonts w:eastAsia="標楷體"/>
          <w:b/>
          <w:bCs/>
          <w:sz w:val="28"/>
          <w:szCs w:val="28"/>
        </w:rPr>
        <w:t>分年可達成之建設成果</w:t>
      </w:r>
      <w:bookmarkEnd w:id="100"/>
      <w:bookmarkEnd w:id="101"/>
      <w:bookmarkEnd w:id="102"/>
      <w:bookmarkEnd w:id="103"/>
      <w:bookmarkEnd w:id="104"/>
    </w:p>
    <w:p w:rsidR="005D6EF0" w:rsidRPr="00D55DC6" w:rsidRDefault="005D6EF0" w:rsidP="0038165F">
      <w:pPr>
        <w:pStyle w:val="af7"/>
        <w:spacing w:line="480" w:lineRule="exact"/>
        <w:ind w:left="1800" w:hanging="720"/>
        <w:jc w:val="both"/>
        <w:rPr>
          <w:rFonts w:eastAsia="標楷體"/>
          <w:sz w:val="28"/>
          <w:szCs w:val="28"/>
        </w:rPr>
      </w:pPr>
      <w:r w:rsidRPr="00D55DC6">
        <w:rPr>
          <w:sz w:val="28"/>
          <w:szCs w:val="28"/>
        </w:rPr>
        <w:t>105</w:t>
      </w:r>
      <w:r w:rsidRPr="00D55DC6">
        <w:rPr>
          <w:rFonts w:eastAsia="標楷體"/>
          <w:sz w:val="28"/>
          <w:szCs w:val="28"/>
        </w:rPr>
        <w:t>年可完成</w:t>
      </w:r>
      <w:r w:rsidRPr="00D55DC6">
        <w:rPr>
          <w:rFonts w:eastAsia="標楷體"/>
          <w:b/>
          <w:bCs/>
          <w:sz w:val="28"/>
          <w:szCs w:val="28"/>
        </w:rPr>
        <w:t>國際觀光重要景點</w:t>
      </w:r>
      <w:r w:rsidRPr="00D55DC6">
        <w:rPr>
          <w:rFonts w:eastAsia="標楷體"/>
          <w:b/>
          <w:bCs/>
          <w:sz w:val="28"/>
          <w:szCs w:val="28"/>
        </w:rPr>
        <w:t>-</w:t>
      </w:r>
      <w:r w:rsidRPr="00D55DC6">
        <w:rPr>
          <w:rFonts w:eastAsia="標楷體"/>
          <w:sz w:val="28"/>
          <w:szCs w:val="28"/>
        </w:rPr>
        <w:t>谷關遊憩區</w:t>
      </w:r>
      <w:r w:rsidRPr="00D55DC6">
        <w:rPr>
          <w:rFonts w:eastAsia="標楷體"/>
          <w:sz w:val="28"/>
          <w:szCs w:val="28"/>
        </w:rPr>
        <w:t>(</w:t>
      </w:r>
      <w:r w:rsidRPr="00D55DC6">
        <w:rPr>
          <w:rFonts w:eastAsia="標楷體"/>
          <w:sz w:val="28"/>
          <w:szCs w:val="28"/>
        </w:rPr>
        <w:t>谷關地區周邊步道設施及國際友善旅遊環境整修改善等</w:t>
      </w:r>
      <w:r w:rsidRPr="00D55DC6">
        <w:rPr>
          <w:rFonts w:eastAsia="標楷體"/>
          <w:sz w:val="28"/>
          <w:szCs w:val="28"/>
        </w:rPr>
        <w:t>)</w:t>
      </w:r>
      <w:r w:rsidRPr="00D55DC6">
        <w:rPr>
          <w:rFonts w:eastAsia="標楷體"/>
          <w:sz w:val="28"/>
          <w:szCs w:val="28"/>
        </w:rPr>
        <w:t>、松柏嶺遊憩區</w:t>
      </w:r>
      <w:r w:rsidRPr="00D55DC6">
        <w:rPr>
          <w:rFonts w:eastAsia="標楷體"/>
          <w:sz w:val="28"/>
          <w:szCs w:val="28"/>
        </w:rPr>
        <w:t>(</w:t>
      </w:r>
      <w:r w:rsidRPr="00D55DC6">
        <w:rPr>
          <w:rFonts w:eastAsia="標楷體"/>
          <w:sz w:val="28"/>
          <w:szCs w:val="28"/>
        </w:rPr>
        <w:t>松柏嶺遊客中心整體空間及周邊環境改善等</w:t>
      </w:r>
      <w:r w:rsidRPr="00D55DC6">
        <w:rPr>
          <w:rFonts w:eastAsia="標楷體"/>
          <w:sz w:val="28"/>
          <w:szCs w:val="28"/>
        </w:rPr>
        <w:t>)</w:t>
      </w:r>
      <w:r w:rsidRPr="00D55DC6">
        <w:rPr>
          <w:rFonts w:eastAsia="標楷體"/>
          <w:sz w:val="28"/>
          <w:szCs w:val="28"/>
        </w:rPr>
        <w:t>；</w:t>
      </w:r>
      <w:r w:rsidRPr="00D55DC6">
        <w:rPr>
          <w:rFonts w:eastAsia="標楷體"/>
          <w:b/>
          <w:bCs/>
          <w:sz w:val="28"/>
          <w:szCs w:val="28"/>
        </w:rPr>
        <w:t>國內觀光重要景點</w:t>
      </w:r>
      <w:r w:rsidRPr="00D55DC6">
        <w:rPr>
          <w:rFonts w:eastAsia="標楷體"/>
          <w:b/>
          <w:bCs/>
          <w:sz w:val="28"/>
          <w:szCs w:val="28"/>
        </w:rPr>
        <w:t>-</w:t>
      </w:r>
      <w:r w:rsidRPr="00D55DC6">
        <w:rPr>
          <w:rFonts w:eastAsia="標楷體"/>
          <w:sz w:val="28"/>
          <w:szCs w:val="28"/>
        </w:rPr>
        <w:t>梨山遊憩區</w:t>
      </w:r>
      <w:r w:rsidRPr="00D55DC6">
        <w:rPr>
          <w:rFonts w:eastAsia="標楷體"/>
          <w:sz w:val="28"/>
          <w:szCs w:val="28"/>
        </w:rPr>
        <w:t>(</w:t>
      </w:r>
      <w:r w:rsidRPr="00D55DC6">
        <w:rPr>
          <w:rFonts w:eastAsia="標楷體"/>
          <w:sz w:val="28"/>
          <w:szCs w:val="28"/>
        </w:rPr>
        <w:t>社區部落周邊步道及公共服務設施改善等</w:t>
      </w:r>
      <w:r w:rsidRPr="00D55DC6">
        <w:rPr>
          <w:rFonts w:eastAsia="標楷體"/>
          <w:sz w:val="28"/>
          <w:szCs w:val="28"/>
        </w:rPr>
        <w:t>)</w:t>
      </w:r>
      <w:r w:rsidRPr="00D55DC6">
        <w:rPr>
          <w:rFonts w:eastAsia="標楷體"/>
          <w:sz w:val="28"/>
          <w:szCs w:val="28"/>
        </w:rPr>
        <w:t>、八卦山遊憩區</w:t>
      </w:r>
      <w:r w:rsidRPr="00D55DC6">
        <w:rPr>
          <w:rFonts w:eastAsia="標楷體"/>
          <w:sz w:val="28"/>
          <w:szCs w:val="28"/>
        </w:rPr>
        <w:t>(</w:t>
      </w:r>
      <w:r w:rsidRPr="00D55DC6">
        <w:rPr>
          <w:rFonts w:eastAsia="標楷體"/>
          <w:sz w:val="28"/>
          <w:szCs w:val="28"/>
        </w:rPr>
        <w:t>八卦山風景區自行車道系統暨公共服務設施等改善等</w:t>
      </w:r>
      <w:r w:rsidRPr="00D55DC6">
        <w:rPr>
          <w:rFonts w:eastAsia="標楷體"/>
          <w:sz w:val="28"/>
          <w:szCs w:val="28"/>
        </w:rPr>
        <w:t>)</w:t>
      </w:r>
      <w:r w:rsidRPr="00D55DC6">
        <w:rPr>
          <w:rFonts w:eastAsia="標楷體"/>
          <w:sz w:val="28"/>
          <w:szCs w:val="28"/>
        </w:rPr>
        <w:t>。</w:t>
      </w:r>
    </w:p>
    <w:p w:rsidR="005D6EF0" w:rsidRPr="00D55DC6" w:rsidRDefault="005D6EF0" w:rsidP="0038165F">
      <w:pPr>
        <w:pStyle w:val="af7"/>
        <w:spacing w:line="480" w:lineRule="exact"/>
        <w:ind w:left="1800" w:hanging="720"/>
        <w:jc w:val="both"/>
        <w:rPr>
          <w:rFonts w:eastAsia="標楷體"/>
          <w:sz w:val="28"/>
          <w:szCs w:val="28"/>
        </w:rPr>
      </w:pPr>
      <w:r w:rsidRPr="00D55DC6">
        <w:rPr>
          <w:rFonts w:eastAsia="標楷體"/>
          <w:sz w:val="28"/>
          <w:szCs w:val="28"/>
        </w:rPr>
        <w:t>106</w:t>
      </w:r>
      <w:r w:rsidRPr="00D55DC6">
        <w:rPr>
          <w:rFonts w:eastAsia="標楷體"/>
          <w:sz w:val="28"/>
          <w:szCs w:val="28"/>
        </w:rPr>
        <w:t>年可完成</w:t>
      </w:r>
      <w:r w:rsidRPr="00D55DC6">
        <w:rPr>
          <w:rFonts w:eastAsia="標楷體"/>
          <w:b/>
          <w:bCs/>
          <w:sz w:val="28"/>
          <w:szCs w:val="28"/>
        </w:rPr>
        <w:t>國際觀光重要景點</w:t>
      </w:r>
      <w:r w:rsidRPr="00D55DC6">
        <w:rPr>
          <w:rFonts w:eastAsia="標楷體"/>
          <w:sz w:val="28"/>
          <w:szCs w:val="28"/>
        </w:rPr>
        <w:t>-</w:t>
      </w:r>
      <w:r w:rsidRPr="00D55DC6">
        <w:rPr>
          <w:rFonts w:eastAsia="標楷體"/>
          <w:sz w:val="28"/>
          <w:szCs w:val="28"/>
        </w:rPr>
        <w:t>南庄遊憩區</w:t>
      </w:r>
      <w:r w:rsidRPr="00D55DC6">
        <w:rPr>
          <w:rFonts w:eastAsia="標楷體"/>
          <w:sz w:val="28"/>
          <w:szCs w:val="28"/>
        </w:rPr>
        <w:t>(</w:t>
      </w:r>
      <w:r w:rsidRPr="00D55DC6">
        <w:rPr>
          <w:rFonts w:eastAsia="標楷體"/>
          <w:sz w:val="28"/>
          <w:szCs w:val="28"/>
        </w:rPr>
        <w:t>蓬萊溪自然生態園區周邊步道沿線景觀及導覽設施改善等</w:t>
      </w:r>
      <w:r w:rsidRPr="00D55DC6">
        <w:rPr>
          <w:rFonts w:eastAsia="標楷體"/>
          <w:sz w:val="28"/>
          <w:szCs w:val="28"/>
        </w:rPr>
        <w:t>)</w:t>
      </w:r>
      <w:r w:rsidRPr="00D55DC6">
        <w:rPr>
          <w:rFonts w:eastAsia="標楷體"/>
          <w:sz w:val="28"/>
          <w:szCs w:val="28"/>
        </w:rPr>
        <w:t>、谷關遊憩區</w:t>
      </w:r>
      <w:r w:rsidRPr="00D55DC6">
        <w:rPr>
          <w:rFonts w:eastAsia="標楷體"/>
          <w:sz w:val="28"/>
          <w:szCs w:val="28"/>
        </w:rPr>
        <w:t>(</w:t>
      </w:r>
      <w:r w:rsidRPr="00D55DC6">
        <w:rPr>
          <w:rFonts w:eastAsia="標楷體"/>
          <w:sz w:val="28"/>
          <w:szCs w:val="28"/>
        </w:rPr>
        <w:t>谷關溫泉公園及周邊無障礙服務及設施整修改善等</w:t>
      </w:r>
      <w:r w:rsidRPr="00D55DC6">
        <w:rPr>
          <w:rFonts w:eastAsia="標楷體"/>
          <w:sz w:val="28"/>
          <w:szCs w:val="28"/>
        </w:rPr>
        <w:t>)</w:t>
      </w:r>
      <w:r w:rsidRPr="00D55DC6">
        <w:rPr>
          <w:rFonts w:eastAsia="標楷體"/>
          <w:sz w:val="28"/>
          <w:szCs w:val="28"/>
        </w:rPr>
        <w:t>；</w:t>
      </w:r>
      <w:r w:rsidRPr="00D55DC6">
        <w:rPr>
          <w:rFonts w:eastAsia="標楷體"/>
          <w:b/>
          <w:bCs/>
          <w:sz w:val="28"/>
          <w:szCs w:val="28"/>
        </w:rPr>
        <w:t>國內觀光重要景點</w:t>
      </w:r>
      <w:r w:rsidRPr="00D55DC6">
        <w:rPr>
          <w:rFonts w:eastAsia="標楷體"/>
          <w:sz w:val="28"/>
          <w:szCs w:val="28"/>
        </w:rPr>
        <w:t>-</w:t>
      </w:r>
      <w:r w:rsidRPr="00D55DC6">
        <w:rPr>
          <w:rFonts w:eastAsia="標楷體"/>
          <w:sz w:val="28"/>
          <w:szCs w:val="28"/>
        </w:rPr>
        <w:t>獅頭山遊憩區</w:t>
      </w:r>
      <w:r w:rsidRPr="00D55DC6">
        <w:rPr>
          <w:rFonts w:eastAsia="標楷體"/>
          <w:sz w:val="28"/>
          <w:szCs w:val="28"/>
        </w:rPr>
        <w:t>(</w:t>
      </w:r>
      <w:r w:rsidRPr="00D55DC6">
        <w:rPr>
          <w:rFonts w:eastAsia="標楷體"/>
          <w:sz w:val="28"/>
          <w:szCs w:val="28"/>
        </w:rPr>
        <w:t>社區部落步道指示及串接系統整建改善等</w:t>
      </w:r>
      <w:r w:rsidRPr="00D55DC6">
        <w:rPr>
          <w:rFonts w:eastAsia="標楷體"/>
          <w:sz w:val="28"/>
          <w:szCs w:val="28"/>
        </w:rPr>
        <w:t>)</w:t>
      </w:r>
      <w:r w:rsidRPr="00D55DC6">
        <w:rPr>
          <w:rFonts w:eastAsia="標楷體"/>
          <w:sz w:val="28"/>
          <w:szCs w:val="28"/>
        </w:rPr>
        <w:t>、八卦山遊憩區</w:t>
      </w:r>
      <w:r w:rsidRPr="00D55DC6">
        <w:rPr>
          <w:rFonts w:eastAsia="標楷體"/>
          <w:sz w:val="28"/>
          <w:szCs w:val="28"/>
        </w:rPr>
        <w:t>(</w:t>
      </w:r>
      <w:r w:rsidRPr="00D55DC6">
        <w:rPr>
          <w:rFonts w:eastAsia="標楷體"/>
          <w:sz w:val="28"/>
          <w:szCs w:val="28"/>
        </w:rPr>
        <w:t>百果山地區周邊環境景觀改善及公共服務設施改善等</w:t>
      </w:r>
      <w:r w:rsidRPr="00D55DC6">
        <w:rPr>
          <w:rFonts w:eastAsia="標楷體"/>
          <w:sz w:val="28"/>
          <w:szCs w:val="28"/>
        </w:rPr>
        <w:t>)</w:t>
      </w:r>
      <w:r w:rsidRPr="00D55DC6">
        <w:rPr>
          <w:rFonts w:eastAsia="標楷體"/>
          <w:sz w:val="28"/>
          <w:szCs w:val="28"/>
        </w:rPr>
        <w:t>。</w:t>
      </w:r>
    </w:p>
    <w:p w:rsidR="005D6EF0" w:rsidRPr="00D55DC6" w:rsidRDefault="005D6EF0" w:rsidP="0038165F">
      <w:pPr>
        <w:pStyle w:val="af7"/>
        <w:spacing w:line="480" w:lineRule="exact"/>
        <w:ind w:left="1800" w:hanging="720"/>
        <w:jc w:val="both"/>
        <w:rPr>
          <w:rFonts w:eastAsia="標楷體"/>
          <w:sz w:val="28"/>
          <w:szCs w:val="28"/>
        </w:rPr>
      </w:pPr>
      <w:r w:rsidRPr="00D55DC6">
        <w:rPr>
          <w:rFonts w:eastAsia="標楷體"/>
          <w:sz w:val="28"/>
          <w:szCs w:val="28"/>
        </w:rPr>
        <w:t>107</w:t>
      </w:r>
      <w:r w:rsidRPr="00D55DC6">
        <w:rPr>
          <w:rFonts w:eastAsia="標楷體"/>
          <w:sz w:val="28"/>
          <w:szCs w:val="28"/>
        </w:rPr>
        <w:t>年完成</w:t>
      </w:r>
      <w:r w:rsidRPr="00D55DC6">
        <w:rPr>
          <w:rFonts w:eastAsia="標楷體"/>
          <w:b/>
          <w:bCs/>
          <w:sz w:val="28"/>
          <w:szCs w:val="28"/>
        </w:rPr>
        <w:t>國際觀光重要景點</w:t>
      </w:r>
      <w:r w:rsidRPr="00D55DC6">
        <w:rPr>
          <w:rFonts w:eastAsia="標楷體"/>
          <w:sz w:val="28"/>
          <w:szCs w:val="28"/>
        </w:rPr>
        <w:t>-</w:t>
      </w:r>
      <w:r w:rsidRPr="00D55DC6">
        <w:rPr>
          <w:rFonts w:eastAsia="標楷體"/>
          <w:sz w:val="28"/>
          <w:szCs w:val="28"/>
        </w:rPr>
        <w:t>南庄遊憩區</w:t>
      </w:r>
      <w:r w:rsidRPr="00D55DC6">
        <w:rPr>
          <w:rFonts w:eastAsia="標楷體"/>
          <w:sz w:val="28"/>
          <w:szCs w:val="28"/>
        </w:rPr>
        <w:t>(</w:t>
      </w:r>
      <w:r w:rsidRPr="00D55DC6">
        <w:rPr>
          <w:rFonts w:eastAsia="標楷體"/>
          <w:sz w:val="28"/>
          <w:szCs w:val="28"/>
        </w:rPr>
        <w:t>東河瓦祿地區及露營場相關服務設施改善等</w:t>
      </w:r>
      <w:r w:rsidRPr="00D55DC6">
        <w:rPr>
          <w:rFonts w:eastAsia="標楷體"/>
          <w:sz w:val="28"/>
          <w:szCs w:val="28"/>
        </w:rPr>
        <w:t>)</w:t>
      </w:r>
      <w:r w:rsidRPr="00D55DC6">
        <w:rPr>
          <w:rFonts w:eastAsia="標楷體"/>
          <w:sz w:val="28"/>
          <w:szCs w:val="28"/>
        </w:rPr>
        <w:t>、松柏嶺遊憩區</w:t>
      </w:r>
      <w:r w:rsidRPr="00D55DC6">
        <w:rPr>
          <w:rFonts w:eastAsia="標楷體"/>
          <w:sz w:val="28"/>
          <w:szCs w:val="28"/>
        </w:rPr>
        <w:t>(</w:t>
      </w:r>
      <w:r w:rsidRPr="00D55DC6">
        <w:rPr>
          <w:rFonts w:eastAsia="標楷體"/>
          <w:sz w:val="28"/>
          <w:szCs w:val="28"/>
        </w:rPr>
        <w:t>猴探井園區周邊公共服務設施改善等</w:t>
      </w:r>
      <w:r w:rsidRPr="00D55DC6">
        <w:rPr>
          <w:rFonts w:eastAsia="標楷體"/>
          <w:sz w:val="28"/>
          <w:szCs w:val="28"/>
        </w:rPr>
        <w:t>)</w:t>
      </w:r>
      <w:r w:rsidRPr="00D55DC6">
        <w:rPr>
          <w:rFonts w:eastAsia="標楷體"/>
          <w:sz w:val="28"/>
          <w:szCs w:val="28"/>
        </w:rPr>
        <w:t>；</w:t>
      </w:r>
      <w:r w:rsidRPr="00D55DC6">
        <w:rPr>
          <w:rFonts w:eastAsia="標楷體"/>
          <w:b/>
          <w:bCs/>
          <w:sz w:val="28"/>
          <w:szCs w:val="28"/>
        </w:rPr>
        <w:t>國內觀光重要景點</w:t>
      </w:r>
      <w:r w:rsidRPr="00D55DC6">
        <w:rPr>
          <w:rFonts w:eastAsia="標楷體"/>
          <w:sz w:val="28"/>
          <w:szCs w:val="28"/>
        </w:rPr>
        <w:t>-</w:t>
      </w:r>
      <w:r w:rsidRPr="00D55DC6">
        <w:rPr>
          <w:rFonts w:eastAsia="標楷體"/>
          <w:sz w:val="28"/>
          <w:szCs w:val="28"/>
        </w:rPr>
        <w:t>獅頭山遊憩區</w:t>
      </w:r>
      <w:r w:rsidRPr="00D55DC6">
        <w:rPr>
          <w:rFonts w:eastAsia="標楷體"/>
          <w:sz w:val="28"/>
          <w:szCs w:val="28"/>
        </w:rPr>
        <w:t>(</w:t>
      </w:r>
      <w:r w:rsidRPr="00D55DC6">
        <w:rPr>
          <w:rFonts w:eastAsia="標楷體"/>
          <w:sz w:val="28"/>
          <w:szCs w:val="28"/>
        </w:rPr>
        <w:t>峨眉湖周邊車道、步道、自行車道整合改善等</w:t>
      </w:r>
      <w:r w:rsidRPr="00D55DC6">
        <w:rPr>
          <w:rFonts w:eastAsia="標楷體"/>
          <w:sz w:val="28"/>
          <w:szCs w:val="28"/>
        </w:rPr>
        <w:t>)</w:t>
      </w:r>
      <w:r w:rsidRPr="00D55DC6">
        <w:rPr>
          <w:rFonts w:eastAsia="標楷體"/>
          <w:sz w:val="28"/>
          <w:szCs w:val="28"/>
        </w:rPr>
        <w:t>、梨山遊憩區</w:t>
      </w:r>
      <w:r w:rsidRPr="00D55DC6">
        <w:rPr>
          <w:sz w:val="28"/>
          <w:szCs w:val="28"/>
        </w:rPr>
        <w:t>(</w:t>
      </w:r>
      <w:r w:rsidRPr="00D55DC6">
        <w:rPr>
          <w:rFonts w:eastAsia="標楷體"/>
          <w:sz w:val="28"/>
          <w:szCs w:val="28"/>
        </w:rPr>
        <w:t>梨山地區及耶穌堂周邊服務休憩景點改善等</w:t>
      </w:r>
      <w:r w:rsidRPr="00D55DC6">
        <w:rPr>
          <w:rFonts w:eastAsia="標楷體"/>
          <w:sz w:val="28"/>
          <w:szCs w:val="28"/>
        </w:rPr>
        <w:t>)</w:t>
      </w:r>
      <w:r w:rsidRPr="00D55DC6">
        <w:rPr>
          <w:rFonts w:eastAsia="標楷體"/>
          <w:sz w:val="28"/>
          <w:szCs w:val="28"/>
        </w:rPr>
        <w:t>。</w:t>
      </w:r>
    </w:p>
    <w:p w:rsidR="005D6EF0" w:rsidRPr="00D55DC6" w:rsidRDefault="005D6EF0" w:rsidP="0038165F">
      <w:pPr>
        <w:pStyle w:val="af7"/>
        <w:spacing w:line="480" w:lineRule="exact"/>
        <w:ind w:left="1800" w:hanging="720"/>
        <w:jc w:val="both"/>
        <w:rPr>
          <w:rFonts w:eastAsia="標楷體"/>
          <w:sz w:val="28"/>
          <w:szCs w:val="28"/>
        </w:rPr>
      </w:pPr>
      <w:r w:rsidRPr="00D55DC6">
        <w:rPr>
          <w:rFonts w:eastAsia="標楷體"/>
          <w:sz w:val="28"/>
          <w:szCs w:val="28"/>
        </w:rPr>
        <w:t>108</w:t>
      </w:r>
      <w:r w:rsidRPr="00D55DC6">
        <w:rPr>
          <w:rFonts w:eastAsia="標楷體"/>
          <w:sz w:val="28"/>
          <w:szCs w:val="28"/>
        </w:rPr>
        <w:t>年完成</w:t>
      </w:r>
      <w:r w:rsidRPr="00D55DC6">
        <w:rPr>
          <w:rFonts w:eastAsia="標楷體"/>
          <w:b/>
          <w:bCs/>
          <w:sz w:val="28"/>
          <w:szCs w:val="28"/>
        </w:rPr>
        <w:t>國際觀光重要景點</w:t>
      </w:r>
      <w:r w:rsidRPr="00D55DC6">
        <w:rPr>
          <w:rFonts w:eastAsia="標楷體"/>
          <w:sz w:val="28"/>
          <w:szCs w:val="28"/>
        </w:rPr>
        <w:t>-</w:t>
      </w:r>
      <w:r w:rsidRPr="00D55DC6">
        <w:rPr>
          <w:rFonts w:eastAsia="標楷體"/>
          <w:sz w:val="28"/>
          <w:szCs w:val="28"/>
        </w:rPr>
        <w:t>松柏嶺遊憩區</w:t>
      </w:r>
      <w:r w:rsidRPr="00D55DC6">
        <w:rPr>
          <w:rFonts w:eastAsia="標楷體"/>
          <w:sz w:val="28"/>
          <w:szCs w:val="28"/>
        </w:rPr>
        <w:t>(</w:t>
      </w:r>
      <w:r w:rsidRPr="00D55DC6">
        <w:rPr>
          <w:rFonts w:eastAsia="標楷體"/>
          <w:sz w:val="28"/>
          <w:szCs w:val="28"/>
        </w:rPr>
        <w:t>松柏嶺地區周邊國際</w:t>
      </w:r>
      <w:r w:rsidRPr="00D55DC6">
        <w:rPr>
          <w:rFonts w:eastAsia="標楷體"/>
          <w:sz w:val="28"/>
          <w:szCs w:val="28"/>
        </w:rPr>
        <w:lastRenderedPageBreak/>
        <w:t>友善旅遊環境及公共服務設施改善等建設</w:t>
      </w:r>
      <w:r w:rsidRPr="00D55DC6">
        <w:rPr>
          <w:rFonts w:eastAsia="標楷體"/>
          <w:sz w:val="28"/>
          <w:szCs w:val="28"/>
        </w:rPr>
        <w:t>)</w:t>
      </w:r>
      <w:r w:rsidRPr="00D55DC6">
        <w:rPr>
          <w:rFonts w:eastAsia="標楷體"/>
          <w:sz w:val="28"/>
          <w:szCs w:val="28"/>
        </w:rPr>
        <w:t>、谷關遊憩區</w:t>
      </w:r>
      <w:r w:rsidRPr="00D55DC6">
        <w:rPr>
          <w:rFonts w:eastAsia="標楷體"/>
          <w:sz w:val="28"/>
          <w:szCs w:val="28"/>
        </w:rPr>
        <w:t>(</w:t>
      </w:r>
      <w:r w:rsidRPr="00D55DC6">
        <w:rPr>
          <w:rFonts w:eastAsia="標楷體"/>
          <w:sz w:val="28"/>
          <w:szCs w:val="28"/>
        </w:rPr>
        <w:t>台八線德芙蘭生態步道入口休憩空間營造及景觀改善等</w:t>
      </w:r>
      <w:r w:rsidRPr="00D55DC6">
        <w:rPr>
          <w:rFonts w:eastAsia="標楷體"/>
          <w:sz w:val="28"/>
          <w:szCs w:val="28"/>
        </w:rPr>
        <w:t>)</w:t>
      </w:r>
      <w:r w:rsidRPr="00D55DC6">
        <w:rPr>
          <w:rFonts w:eastAsia="標楷體"/>
          <w:sz w:val="28"/>
          <w:szCs w:val="28"/>
        </w:rPr>
        <w:t>；</w:t>
      </w:r>
      <w:r w:rsidRPr="00D55DC6">
        <w:rPr>
          <w:rFonts w:eastAsia="標楷體"/>
          <w:b/>
          <w:bCs/>
          <w:sz w:val="28"/>
          <w:szCs w:val="28"/>
        </w:rPr>
        <w:t>國內觀光重要景點</w:t>
      </w:r>
      <w:r w:rsidRPr="00D55DC6">
        <w:rPr>
          <w:rFonts w:eastAsia="標楷體"/>
          <w:sz w:val="28"/>
          <w:szCs w:val="28"/>
        </w:rPr>
        <w:t>-</w:t>
      </w:r>
      <w:r w:rsidRPr="00D55DC6">
        <w:rPr>
          <w:rFonts w:eastAsia="標楷體"/>
          <w:sz w:val="28"/>
          <w:szCs w:val="28"/>
        </w:rPr>
        <w:t>八卦山遊憩區</w:t>
      </w:r>
      <w:r w:rsidRPr="00D55DC6">
        <w:rPr>
          <w:rFonts w:eastAsia="標楷體"/>
          <w:sz w:val="28"/>
          <w:szCs w:val="28"/>
        </w:rPr>
        <w:t>(</w:t>
      </w:r>
      <w:r w:rsidRPr="00D55DC6">
        <w:rPr>
          <w:rFonts w:eastAsia="標楷體"/>
          <w:sz w:val="28"/>
          <w:szCs w:val="28"/>
        </w:rPr>
        <w:t>清水岩園區周邊遊憩景觀及服務設施改善等</w:t>
      </w:r>
      <w:r w:rsidRPr="00D55DC6">
        <w:rPr>
          <w:rFonts w:eastAsia="標楷體"/>
          <w:sz w:val="28"/>
          <w:szCs w:val="28"/>
        </w:rPr>
        <w:t>)</w:t>
      </w:r>
      <w:r w:rsidRPr="00D55DC6">
        <w:rPr>
          <w:rFonts w:eastAsia="標楷體"/>
          <w:sz w:val="28"/>
          <w:szCs w:val="28"/>
        </w:rPr>
        <w:t>、獅頭山遊憩區</w:t>
      </w:r>
      <w:r w:rsidRPr="00D55DC6">
        <w:rPr>
          <w:rFonts w:eastAsia="標楷體"/>
          <w:sz w:val="28"/>
          <w:szCs w:val="28"/>
        </w:rPr>
        <w:t>(</w:t>
      </w:r>
      <w:r w:rsidRPr="00D55DC6">
        <w:rPr>
          <w:rFonts w:eastAsia="標楷體"/>
          <w:sz w:val="28"/>
          <w:szCs w:val="28"/>
        </w:rPr>
        <w:t>辦理獅頭山風景區步道及公共服務設施及串聯整修改善等建設</w:t>
      </w:r>
      <w:r w:rsidRPr="00D55DC6">
        <w:rPr>
          <w:rFonts w:eastAsia="標楷體"/>
          <w:sz w:val="28"/>
          <w:szCs w:val="28"/>
        </w:rPr>
        <w:t>)</w:t>
      </w:r>
      <w:r w:rsidRPr="00D55DC6">
        <w:rPr>
          <w:rFonts w:eastAsia="標楷體"/>
          <w:sz w:val="28"/>
          <w:szCs w:val="28"/>
        </w:rPr>
        <w:t>、梨山遊憩區</w:t>
      </w:r>
      <w:r w:rsidRPr="00D55DC6">
        <w:rPr>
          <w:rFonts w:eastAsia="標楷體"/>
          <w:sz w:val="28"/>
          <w:szCs w:val="28"/>
        </w:rPr>
        <w:t>(</w:t>
      </w:r>
      <w:r w:rsidRPr="00D55DC6">
        <w:rPr>
          <w:rFonts w:eastAsia="標楷體"/>
          <w:sz w:val="28"/>
          <w:szCs w:val="28"/>
        </w:rPr>
        <w:t>社區部落周邊步道串聯及友善環境景觀綠美化等</w:t>
      </w:r>
      <w:r w:rsidRPr="00D55DC6">
        <w:rPr>
          <w:rFonts w:eastAsia="標楷體"/>
          <w:sz w:val="28"/>
          <w:szCs w:val="28"/>
        </w:rPr>
        <w:t>)</w:t>
      </w:r>
      <w:r w:rsidRPr="00D55DC6">
        <w:rPr>
          <w:rFonts w:eastAsia="標楷體"/>
          <w:sz w:val="28"/>
          <w:szCs w:val="28"/>
        </w:rPr>
        <w:t>。</w:t>
      </w:r>
    </w:p>
    <w:p w:rsidR="005D6EF0" w:rsidRPr="00D55DC6" w:rsidRDefault="005D6EF0" w:rsidP="0038165F"/>
    <w:p w:rsidR="005D6EF0" w:rsidRPr="00D55DC6" w:rsidRDefault="005D6EF0" w:rsidP="0038165F">
      <w:pPr>
        <w:pStyle w:val="a"/>
        <w:snapToGrid/>
        <w:spacing w:line="480" w:lineRule="exact"/>
        <w:ind w:left="709" w:hanging="709"/>
        <w:rPr>
          <w:b/>
          <w:bCs/>
        </w:rPr>
      </w:pPr>
      <w:bookmarkStart w:id="105" w:name="_Toc407181678"/>
      <w:r w:rsidRPr="00D55DC6">
        <w:rPr>
          <w:b/>
          <w:bCs/>
        </w:rPr>
        <w:t>期程與資源需求</w:t>
      </w:r>
      <w:bookmarkEnd w:id="105"/>
    </w:p>
    <w:p w:rsidR="005D6EF0" w:rsidRPr="00D55DC6" w:rsidRDefault="005D6EF0" w:rsidP="004865C1">
      <w:pPr>
        <w:pStyle w:val="af2"/>
        <w:numPr>
          <w:ilvl w:val="0"/>
          <w:numId w:val="80"/>
        </w:numPr>
        <w:snapToGrid w:val="0"/>
        <w:spacing w:line="480" w:lineRule="exact"/>
        <w:ind w:leftChars="0"/>
        <w:jc w:val="both"/>
        <w:rPr>
          <w:rFonts w:eastAsia="標楷體"/>
          <w:b/>
          <w:bCs/>
          <w:sz w:val="28"/>
          <w:szCs w:val="28"/>
        </w:rPr>
      </w:pPr>
      <w:r w:rsidRPr="00D55DC6">
        <w:rPr>
          <w:rFonts w:eastAsia="標楷體"/>
          <w:b/>
          <w:bCs/>
          <w:sz w:val="28"/>
          <w:szCs w:val="28"/>
        </w:rPr>
        <w:t>計畫期程</w:t>
      </w:r>
    </w:p>
    <w:p w:rsidR="005D6EF0" w:rsidRPr="00D55DC6" w:rsidRDefault="005D6EF0" w:rsidP="0038165F">
      <w:pPr>
        <w:pStyle w:val="af2"/>
        <w:snapToGrid w:val="0"/>
        <w:spacing w:line="480" w:lineRule="exact"/>
        <w:ind w:leftChars="0" w:left="864"/>
        <w:jc w:val="both"/>
        <w:rPr>
          <w:rFonts w:eastAsia="標楷體"/>
          <w:sz w:val="28"/>
          <w:szCs w:val="28"/>
        </w:rPr>
      </w:pPr>
      <w:r w:rsidRPr="00D55DC6">
        <w:rPr>
          <w:rFonts w:eastAsia="標楷體"/>
          <w:sz w:val="28"/>
          <w:szCs w:val="28"/>
        </w:rPr>
        <w:t>自</w:t>
      </w:r>
      <w:r w:rsidRPr="00D55DC6">
        <w:rPr>
          <w:rFonts w:eastAsia="標楷體"/>
          <w:sz w:val="28"/>
          <w:szCs w:val="28"/>
        </w:rPr>
        <w:t>105</w:t>
      </w:r>
      <w:r w:rsidRPr="00D55DC6">
        <w:rPr>
          <w:rFonts w:eastAsia="標楷體"/>
          <w:sz w:val="28"/>
          <w:szCs w:val="28"/>
        </w:rPr>
        <w:t>年至</w:t>
      </w:r>
      <w:r w:rsidRPr="00D55DC6">
        <w:rPr>
          <w:rFonts w:eastAsia="標楷體"/>
          <w:sz w:val="28"/>
          <w:szCs w:val="28"/>
        </w:rPr>
        <w:t>108</w:t>
      </w:r>
      <w:r w:rsidRPr="00D55DC6">
        <w:rPr>
          <w:rFonts w:eastAsia="標楷體"/>
          <w:sz w:val="28"/>
          <w:szCs w:val="28"/>
        </w:rPr>
        <w:t>年。</w:t>
      </w:r>
    </w:p>
    <w:p w:rsidR="005D6EF0" w:rsidRPr="00D55DC6" w:rsidRDefault="005D6EF0" w:rsidP="004865C1">
      <w:pPr>
        <w:pStyle w:val="af2"/>
        <w:numPr>
          <w:ilvl w:val="0"/>
          <w:numId w:val="80"/>
        </w:numPr>
        <w:snapToGrid w:val="0"/>
        <w:spacing w:line="480" w:lineRule="exact"/>
        <w:ind w:leftChars="0"/>
        <w:jc w:val="both"/>
        <w:rPr>
          <w:rFonts w:eastAsia="標楷體"/>
          <w:b/>
          <w:bCs/>
          <w:sz w:val="28"/>
          <w:szCs w:val="28"/>
        </w:rPr>
      </w:pPr>
      <w:r w:rsidRPr="00D55DC6">
        <w:rPr>
          <w:rFonts w:eastAsia="標楷體"/>
          <w:b/>
          <w:bCs/>
          <w:sz w:val="28"/>
          <w:szCs w:val="28"/>
        </w:rPr>
        <w:t>經費需求</w:t>
      </w:r>
      <w:r w:rsidRPr="00D55DC6">
        <w:rPr>
          <w:rFonts w:eastAsia="標楷體"/>
          <w:b/>
          <w:bCs/>
          <w:sz w:val="28"/>
          <w:szCs w:val="28"/>
        </w:rPr>
        <w:t>(</w:t>
      </w:r>
      <w:r w:rsidRPr="00D55DC6">
        <w:rPr>
          <w:rFonts w:eastAsia="標楷體"/>
          <w:b/>
          <w:bCs/>
          <w:sz w:val="28"/>
          <w:szCs w:val="28"/>
        </w:rPr>
        <w:t>含分年經費</w:t>
      </w:r>
      <w:r w:rsidRPr="00D55DC6">
        <w:rPr>
          <w:rFonts w:eastAsia="標楷體"/>
          <w:b/>
          <w:bCs/>
          <w:sz w:val="28"/>
          <w:szCs w:val="28"/>
        </w:rPr>
        <w:t>)</w:t>
      </w:r>
      <w:r w:rsidRPr="00D55DC6">
        <w:rPr>
          <w:rFonts w:eastAsia="標楷體"/>
          <w:b/>
          <w:bCs/>
          <w:sz w:val="28"/>
          <w:szCs w:val="28"/>
        </w:rPr>
        <w:t>及與中程歲出概算額度配合情形</w:t>
      </w:r>
    </w:p>
    <w:p w:rsidR="00486FAE" w:rsidRPr="00D55DC6" w:rsidRDefault="00D03EE9" w:rsidP="00486FAE">
      <w:pPr>
        <w:spacing w:line="460" w:lineRule="exact"/>
        <w:ind w:leftChars="354" w:left="850"/>
        <w:jc w:val="both"/>
        <w:rPr>
          <w:rFonts w:eastAsia="標楷體"/>
          <w:sz w:val="28"/>
          <w:szCs w:val="28"/>
        </w:rPr>
      </w:pPr>
      <w:r w:rsidRPr="00D55DC6">
        <w:rPr>
          <w:rFonts w:eastAsia="標楷體"/>
          <w:sz w:val="28"/>
          <w:szCs w:val="28"/>
        </w:rPr>
        <w:t>本計畫總經費為</w:t>
      </w:r>
      <w:r w:rsidRPr="00D55DC6">
        <w:rPr>
          <w:rFonts w:eastAsia="標楷體"/>
          <w:sz w:val="28"/>
          <w:szCs w:val="28"/>
        </w:rPr>
        <w:t>7.20</w:t>
      </w:r>
      <w:r w:rsidRPr="00D55DC6">
        <w:rPr>
          <w:rFonts w:eastAsia="標楷體"/>
          <w:sz w:val="28"/>
          <w:szCs w:val="28"/>
        </w:rPr>
        <w:t>億元，</w:t>
      </w:r>
      <w:r w:rsidR="00486FAE" w:rsidRPr="00D55DC6">
        <w:rPr>
          <w:rFonts w:eastAsia="標楷體"/>
          <w:sz w:val="28"/>
          <w:szCs w:val="28"/>
        </w:rPr>
        <w:t>經費需求（含分年經費）係與中程歲出概算額度相符，分年投資重點及經費需求如下：</w:t>
      </w:r>
      <w:r w:rsidR="00486FAE" w:rsidRPr="00D55DC6">
        <w:rPr>
          <w:rFonts w:eastAsia="標楷體"/>
          <w:sz w:val="28"/>
          <w:szCs w:val="28"/>
        </w:rPr>
        <w:t xml:space="preserve"> </w:t>
      </w:r>
    </w:p>
    <w:p w:rsidR="005D6EF0" w:rsidRPr="00D55DC6" w:rsidRDefault="005D6EF0" w:rsidP="0038165F">
      <w:pPr>
        <w:snapToGrid w:val="0"/>
        <w:spacing w:line="480" w:lineRule="exact"/>
        <w:ind w:leftChars="354" w:left="850"/>
        <w:jc w:val="right"/>
        <w:rPr>
          <w:rFonts w:eastAsia="標楷體"/>
          <w:sz w:val="28"/>
          <w:szCs w:val="28"/>
        </w:rPr>
      </w:pPr>
      <w:r w:rsidRPr="00D55DC6">
        <w:rPr>
          <w:rFonts w:eastAsia="標楷體"/>
          <w:sz w:val="28"/>
          <w:szCs w:val="28"/>
        </w:rPr>
        <w:t xml:space="preserve"> (</w:t>
      </w:r>
      <w:r w:rsidRPr="00D55DC6">
        <w:rPr>
          <w:rFonts w:eastAsia="標楷體"/>
          <w:sz w:val="28"/>
          <w:szCs w:val="28"/>
        </w:rPr>
        <w:t>單位：億元</w:t>
      </w:r>
      <w:r w:rsidRPr="00D55DC6">
        <w:rPr>
          <w:rFonts w:eastAsia="標楷體"/>
          <w:sz w:val="28"/>
          <w:szCs w:val="28"/>
        </w:rPr>
        <w:t>)</w:t>
      </w:r>
    </w:p>
    <w:tbl>
      <w:tblPr>
        <w:tblW w:w="10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77"/>
        <w:gridCol w:w="717"/>
        <w:gridCol w:w="874"/>
        <w:gridCol w:w="2276"/>
        <w:gridCol w:w="719"/>
        <w:gridCol w:w="719"/>
        <w:gridCol w:w="719"/>
        <w:gridCol w:w="719"/>
        <w:gridCol w:w="778"/>
        <w:gridCol w:w="2059"/>
      </w:tblGrid>
      <w:tr w:rsidR="001D0350" w:rsidRPr="00D55DC6" w:rsidTr="00A82A80">
        <w:trPr>
          <w:trHeight w:val="675"/>
          <w:tblHeader/>
          <w:jc w:val="center"/>
        </w:trPr>
        <w:tc>
          <w:tcPr>
            <w:tcW w:w="477" w:type="dxa"/>
            <w:shd w:val="clear" w:color="auto" w:fill="FFFF99"/>
            <w:vAlign w:val="center"/>
          </w:tcPr>
          <w:p w:rsidR="005D6EF0" w:rsidRPr="00D55DC6" w:rsidRDefault="005D6EF0" w:rsidP="0038165F">
            <w:pPr>
              <w:widowControl/>
              <w:spacing w:line="0" w:lineRule="atLeast"/>
              <w:jc w:val="center"/>
              <w:rPr>
                <w:rFonts w:eastAsia="標楷體"/>
                <w:kern w:val="0"/>
                <w:sz w:val="18"/>
                <w:szCs w:val="18"/>
              </w:rPr>
            </w:pPr>
            <w:r w:rsidRPr="00D55DC6">
              <w:rPr>
                <w:rFonts w:eastAsia="標楷體"/>
                <w:kern w:val="0"/>
                <w:sz w:val="18"/>
                <w:szCs w:val="18"/>
              </w:rPr>
              <w:t>科目別</w:t>
            </w:r>
          </w:p>
        </w:tc>
        <w:tc>
          <w:tcPr>
            <w:tcW w:w="717" w:type="dxa"/>
            <w:shd w:val="clear" w:color="auto" w:fill="FFFF99"/>
            <w:vAlign w:val="center"/>
          </w:tcPr>
          <w:p w:rsidR="005D6EF0" w:rsidRPr="00D55DC6" w:rsidRDefault="005D6EF0" w:rsidP="0038165F">
            <w:pPr>
              <w:widowControl/>
              <w:spacing w:line="0" w:lineRule="atLeast"/>
              <w:jc w:val="center"/>
              <w:rPr>
                <w:rFonts w:eastAsia="標楷體"/>
                <w:kern w:val="0"/>
                <w:sz w:val="18"/>
                <w:szCs w:val="18"/>
              </w:rPr>
            </w:pPr>
            <w:r w:rsidRPr="00D55DC6">
              <w:rPr>
                <w:rFonts w:eastAsia="標楷體"/>
                <w:kern w:val="0"/>
                <w:sz w:val="18"/>
                <w:szCs w:val="18"/>
              </w:rPr>
              <w:t>1</w:t>
            </w:r>
            <w:r w:rsidRPr="00D55DC6">
              <w:rPr>
                <w:rFonts w:eastAsia="標楷體"/>
                <w:kern w:val="0"/>
                <w:sz w:val="18"/>
                <w:szCs w:val="18"/>
              </w:rPr>
              <w:t>級</w:t>
            </w:r>
            <w:r w:rsidRPr="00D55DC6">
              <w:rPr>
                <w:rFonts w:eastAsia="標楷體"/>
                <w:kern w:val="0"/>
                <w:sz w:val="18"/>
                <w:szCs w:val="18"/>
              </w:rPr>
              <w:br/>
            </w:r>
            <w:r w:rsidRPr="00D55DC6">
              <w:rPr>
                <w:rFonts w:eastAsia="標楷體"/>
                <w:kern w:val="0"/>
                <w:sz w:val="18"/>
                <w:szCs w:val="18"/>
              </w:rPr>
              <w:t>用途別</w:t>
            </w:r>
          </w:p>
        </w:tc>
        <w:tc>
          <w:tcPr>
            <w:tcW w:w="874" w:type="dxa"/>
            <w:shd w:val="clear" w:color="auto" w:fill="FFFF99"/>
            <w:vAlign w:val="center"/>
          </w:tcPr>
          <w:p w:rsidR="005D6EF0" w:rsidRPr="00D55DC6" w:rsidRDefault="005D6EF0" w:rsidP="0038165F">
            <w:pPr>
              <w:widowControl/>
              <w:spacing w:line="0" w:lineRule="atLeast"/>
              <w:jc w:val="center"/>
              <w:rPr>
                <w:rFonts w:eastAsia="標楷體"/>
                <w:kern w:val="0"/>
                <w:sz w:val="18"/>
                <w:szCs w:val="18"/>
              </w:rPr>
            </w:pPr>
            <w:r w:rsidRPr="00D55DC6">
              <w:rPr>
                <w:rFonts w:eastAsia="標楷體"/>
                <w:kern w:val="0"/>
                <w:sz w:val="18"/>
                <w:szCs w:val="18"/>
              </w:rPr>
              <w:t>2</w:t>
            </w:r>
            <w:r w:rsidRPr="00D55DC6">
              <w:rPr>
                <w:rFonts w:eastAsia="標楷體"/>
                <w:kern w:val="0"/>
                <w:sz w:val="18"/>
                <w:szCs w:val="18"/>
              </w:rPr>
              <w:t>級</w:t>
            </w:r>
            <w:r w:rsidRPr="00D55DC6">
              <w:rPr>
                <w:rFonts w:eastAsia="標楷體"/>
                <w:kern w:val="0"/>
                <w:sz w:val="18"/>
                <w:szCs w:val="18"/>
              </w:rPr>
              <w:br/>
            </w:r>
            <w:r w:rsidRPr="00D55DC6">
              <w:rPr>
                <w:rFonts w:eastAsia="標楷體"/>
                <w:kern w:val="0"/>
                <w:sz w:val="18"/>
                <w:szCs w:val="18"/>
              </w:rPr>
              <w:t>用途別</w:t>
            </w:r>
          </w:p>
        </w:tc>
        <w:tc>
          <w:tcPr>
            <w:tcW w:w="2276" w:type="dxa"/>
            <w:shd w:val="clear" w:color="auto" w:fill="FFFF99"/>
            <w:vAlign w:val="center"/>
          </w:tcPr>
          <w:p w:rsidR="005D6EF0" w:rsidRPr="00D55DC6" w:rsidRDefault="005D6EF0" w:rsidP="0038165F">
            <w:pPr>
              <w:widowControl/>
              <w:spacing w:line="0" w:lineRule="atLeast"/>
              <w:jc w:val="center"/>
              <w:rPr>
                <w:rFonts w:eastAsia="標楷體"/>
                <w:kern w:val="0"/>
              </w:rPr>
            </w:pPr>
            <w:r w:rsidRPr="00D55DC6">
              <w:rPr>
                <w:rFonts w:eastAsia="標楷體"/>
                <w:kern w:val="0"/>
              </w:rPr>
              <w:t>投資重點</w:t>
            </w:r>
          </w:p>
        </w:tc>
        <w:tc>
          <w:tcPr>
            <w:tcW w:w="719" w:type="dxa"/>
            <w:shd w:val="clear" w:color="auto" w:fill="FFFF99"/>
            <w:vAlign w:val="center"/>
          </w:tcPr>
          <w:p w:rsidR="005D6EF0" w:rsidRPr="00D55DC6" w:rsidRDefault="005D6EF0" w:rsidP="0038165F">
            <w:pPr>
              <w:widowControl/>
              <w:spacing w:line="0" w:lineRule="atLeast"/>
              <w:jc w:val="center"/>
              <w:rPr>
                <w:rFonts w:eastAsia="標楷體"/>
                <w:kern w:val="0"/>
              </w:rPr>
            </w:pPr>
            <w:r w:rsidRPr="00D55DC6">
              <w:rPr>
                <w:rFonts w:eastAsia="標楷體"/>
                <w:kern w:val="0"/>
              </w:rPr>
              <w:t>105</w:t>
            </w:r>
            <w:r w:rsidRPr="00D55DC6">
              <w:rPr>
                <w:rFonts w:eastAsia="標楷體"/>
                <w:kern w:val="0"/>
              </w:rPr>
              <w:t>年</w:t>
            </w:r>
          </w:p>
        </w:tc>
        <w:tc>
          <w:tcPr>
            <w:tcW w:w="719" w:type="dxa"/>
            <w:shd w:val="clear" w:color="auto" w:fill="FFFF99"/>
            <w:vAlign w:val="center"/>
          </w:tcPr>
          <w:p w:rsidR="005D6EF0" w:rsidRPr="00D55DC6" w:rsidRDefault="005D6EF0" w:rsidP="0038165F">
            <w:pPr>
              <w:widowControl/>
              <w:spacing w:line="0" w:lineRule="atLeast"/>
              <w:jc w:val="center"/>
              <w:rPr>
                <w:rFonts w:eastAsia="標楷體"/>
                <w:kern w:val="0"/>
              </w:rPr>
            </w:pPr>
            <w:r w:rsidRPr="00D55DC6">
              <w:rPr>
                <w:rFonts w:eastAsia="標楷體"/>
                <w:kern w:val="0"/>
              </w:rPr>
              <w:t>106</w:t>
            </w:r>
            <w:r w:rsidRPr="00D55DC6">
              <w:rPr>
                <w:rFonts w:eastAsia="標楷體"/>
                <w:kern w:val="0"/>
              </w:rPr>
              <w:t>年</w:t>
            </w:r>
          </w:p>
        </w:tc>
        <w:tc>
          <w:tcPr>
            <w:tcW w:w="719" w:type="dxa"/>
            <w:shd w:val="clear" w:color="auto" w:fill="FFFF99"/>
            <w:vAlign w:val="center"/>
          </w:tcPr>
          <w:p w:rsidR="005D6EF0" w:rsidRPr="00D55DC6" w:rsidRDefault="005D6EF0" w:rsidP="0038165F">
            <w:pPr>
              <w:widowControl/>
              <w:spacing w:line="0" w:lineRule="atLeast"/>
              <w:jc w:val="center"/>
              <w:rPr>
                <w:rFonts w:eastAsia="標楷體"/>
                <w:kern w:val="0"/>
              </w:rPr>
            </w:pPr>
            <w:r w:rsidRPr="00D55DC6">
              <w:rPr>
                <w:rFonts w:eastAsia="標楷體"/>
                <w:kern w:val="0"/>
              </w:rPr>
              <w:t>107</w:t>
            </w:r>
            <w:r w:rsidRPr="00D55DC6">
              <w:rPr>
                <w:rFonts w:eastAsia="標楷體"/>
                <w:kern w:val="0"/>
              </w:rPr>
              <w:t>年</w:t>
            </w:r>
          </w:p>
        </w:tc>
        <w:tc>
          <w:tcPr>
            <w:tcW w:w="719" w:type="dxa"/>
            <w:shd w:val="clear" w:color="auto" w:fill="FFFF99"/>
            <w:vAlign w:val="center"/>
          </w:tcPr>
          <w:p w:rsidR="005D6EF0" w:rsidRPr="00D55DC6" w:rsidRDefault="005D6EF0" w:rsidP="0038165F">
            <w:pPr>
              <w:widowControl/>
              <w:spacing w:line="0" w:lineRule="atLeast"/>
              <w:jc w:val="center"/>
              <w:rPr>
                <w:rFonts w:eastAsia="標楷體"/>
                <w:kern w:val="0"/>
              </w:rPr>
            </w:pPr>
            <w:r w:rsidRPr="00D55DC6">
              <w:rPr>
                <w:rFonts w:eastAsia="標楷體"/>
                <w:kern w:val="0"/>
              </w:rPr>
              <w:t>108</w:t>
            </w:r>
            <w:r w:rsidRPr="00D55DC6">
              <w:rPr>
                <w:rFonts w:eastAsia="標楷體"/>
                <w:kern w:val="0"/>
              </w:rPr>
              <w:t>年</w:t>
            </w:r>
          </w:p>
        </w:tc>
        <w:tc>
          <w:tcPr>
            <w:tcW w:w="778" w:type="dxa"/>
            <w:shd w:val="clear" w:color="auto" w:fill="FFFF99"/>
            <w:vAlign w:val="center"/>
          </w:tcPr>
          <w:p w:rsidR="005D6EF0" w:rsidRPr="00D55DC6" w:rsidRDefault="005D6EF0" w:rsidP="0038165F">
            <w:pPr>
              <w:widowControl/>
              <w:spacing w:line="0" w:lineRule="atLeast"/>
              <w:jc w:val="center"/>
              <w:rPr>
                <w:rFonts w:eastAsia="標楷體"/>
                <w:kern w:val="0"/>
              </w:rPr>
            </w:pPr>
            <w:r w:rsidRPr="00D55DC6">
              <w:rPr>
                <w:rFonts w:eastAsia="標楷體"/>
                <w:kern w:val="0"/>
              </w:rPr>
              <w:t>合計</w:t>
            </w:r>
          </w:p>
        </w:tc>
        <w:tc>
          <w:tcPr>
            <w:tcW w:w="2059" w:type="dxa"/>
            <w:shd w:val="clear" w:color="auto" w:fill="FFFF99"/>
            <w:vAlign w:val="center"/>
          </w:tcPr>
          <w:p w:rsidR="005D6EF0" w:rsidRPr="00D55DC6" w:rsidRDefault="005D6EF0" w:rsidP="0038165F">
            <w:pPr>
              <w:widowControl/>
              <w:spacing w:line="0" w:lineRule="atLeast"/>
              <w:jc w:val="center"/>
              <w:rPr>
                <w:rFonts w:eastAsia="標楷體"/>
                <w:kern w:val="0"/>
              </w:rPr>
            </w:pPr>
            <w:r w:rsidRPr="00D55DC6">
              <w:rPr>
                <w:rFonts w:eastAsia="標楷體"/>
                <w:kern w:val="0"/>
              </w:rPr>
              <w:t>工作內容</w:t>
            </w:r>
          </w:p>
        </w:tc>
      </w:tr>
      <w:tr w:rsidR="001D0350" w:rsidRPr="00D55DC6" w:rsidTr="00A82A80">
        <w:trPr>
          <w:trHeight w:val="254"/>
          <w:jc w:val="center"/>
        </w:trPr>
        <w:tc>
          <w:tcPr>
            <w:tcW w:w="477" w:type="dxa"/>
            <w:vMerge w:val="restart"/>
            <w:shd w:val="clear" w:color="auto" w:fill="CCFFFF"/>
          </w:tcPr>
          <w:p w:rsidR="005D6EF0" w:rsidRPr="00D55DC6" w:rsidRDefault="005D6EF0" w:rsidP="0038165F">
            <w:pPr>
              <w:widowControl/>
              <w:spacing w:line="0" w:lineRule="atLeast"/>
              <w:jc w:val="center"/>
              <w:rPr>
                <w:rFonts w:eastAsia="標楷體"/>
                <w:kern w:val="0"/>
              </w:rPr>
            </w:pPr>
            <w:r w:rsidRPr="00D55DC6">
              <w:rPr>
                <w:rFonts w:eastAsia="標楷體"/>
                <w:kern w:val="0"/>
              </w:rPr>
              <w:t>經</w:t>
            </w:r>
            <w:r w:rsidRPr="00D55DC6">
              <w:rPr>
                <w:rFonts w:eastAsia="標楷體"/>
                <w:kern w:val="0"/>
              </w:rPr>
              <w:br/>
            </w:r>
            <w:r w:rsidRPr="00D55DC6">
              <w:rPr>
                <w:rFonts w:eastAsia="標楷體"/>
                <w:kern w:val="0"/>
              </w:rPr>
              <w:t>常</w:t>
            </w:r>
            <w:r w:rsidRPr="00D55DC6">
              <w:rPr>
                <w:rFonts w:eastAsia="標楷體"/>
                <w:kern w:val="0"/>
              </w:rPr>
              <w:br/>
            </w:r>
            <w:r w:rsidRPr="00D55DC6">
              <w:rPr>
                <w:rFonts w:eastAsia="標楷體"/>
                <w:kern w:val="0"/>
              </w:rPr>
              <w:t>門</w:t>
            </w:r>
          </w:p>
        </w:tc>
        <w:tc>
          <w:tcPr>
            <w:tcW w:w="717" w:type="dxa"/>
            <w:vMerge w:val="restart"/>
            <w:shd w:val="clear" w:color="auto" w:fill="CCFFFF"/>
          </w:tcPr>
          <w:p w:rsidR="005D6EF0" w:rsidRPr="00D55DC6" w:rsidRDefault="005D6EF0" w:rsidP="0038165F">
            <w:pPr>
              <w:widowControl/>
              <w:spacing w:line="0" w:lineRule="atLeast"/>
              <w:jc w:val="both"/>
              <w:rPr>
                <w:rFonts w:eastAsia="標楷體"/>
                <w:kern w:val="0"/>
              </w:rPr>
            </w:pPr>
            <w:r w:rsidRPr="00D55DC6">
              <w:rPr>
                <w:rFonts w:eastAsia="標楷體"/>
                <w:kern w:val="0"/>
              </w:rPr>
              <w:t>0200</w:t>
            </w:r>
            <w:r w:rsidRPr="00D55DC6">
              <w:rPr>
                <w:rFonts w:eastAsia="標楷體"/>
                <w:kern w:val="0"/>
              </w:rPr>
              <w:br/>
            </w:r>
            <w:r w:rsidRPr="00D55DC6">
              <w:rPr>
                <w:rFonts w:eastAsia="標楷體"/>
                <w:kern w:val="0"/>
              </w:rPr>
              <w:t>業務費</w:t>
            </w:r>
          </w:p>
        </w:tc>
        <w:tc>
          <w:tcPr>
            <w:tcW w:w="874" w:type="dxa"/>
            <w:vMerge w:val="restart"/>
            <w:shd w:val="clear" w:color="auto" w:fill="CCFFFF"/>
          </w:tcPr>
          <w:p w:rsidR="005D6EF0" w:rsidRPr="00D55DC6" w:rsidRDefault="005D6EF0" w:rsidP="0038165F">
            <w:pPr>
              <w:widowControl/>
              <w:spacing w:line="0" w:lineRule="atLeast"/>
              <w:jc w:val="both"/>
              <w:rPr>
                <w:rFonts w:eastAsia="標楷體"/>
                <w:kern w:val="0"/>
              </w:rPr>
            </w:pPr>
            <w:r w:rsidRPr="00D55DC6">
              <w:rPr>
                <w:rFonts w:eastAsia="標楷體"/>
                <w:kern w:val="0"/>
              </w:rPr>
              <w:t>0284</w:t>
            </w:r>
            <w:r w:rsidRPr="00D55DC6">
              <w:rPr>
                <w:rFonts w:eastAsia="標楷體"/>
                <w:kern w:val="0"/>
              </w:rPr>
              <w:t>設施及機械設備養護費</w:t>
            </w:r>
          </w:p>
        </w:tc>
        <w:tc>
          <w:tcPr>
            <w:tcW w:w="2276" w:type="dxa"/>
            <w:shd w:val="clear" w:color="auto" w:fill="CCFFFF"/>
          </w:tcPr>
          <w:p w:rsidR="005D6EF0" w:rsidRPr="00D55DC6" w:rsidRDefault="005D6EF0" w:rsidP="0038165F">
            <w:pPr>
              <w:widowControl/>
              <w:spacing w:line="0" w:lineRule="atLeast"/>
              <w:jc w:val="both"/>
              <w:rPr>
                <w:rFonts w:eastAsia="標楷體"/>
                <w:b/>
                <w:bCs/>
                <w:kern w:val="0"/>
              </w:rPr>
            </w:pPr>
            <w:r w:rsidRPr="00D55DC6">
              <w:rPr>
                <w:rFonts w:eastAsia="標楷體"/>
                <w:b/>
                <w:bCs/>
                <w:kern w:val="0"/>
              </w:rPr>
              <w:t>1.</w:t>
            </w:r>
            <w:r w:rsidRPr="00D55DC6">
              <w:rPr>
                <w:rFonts w:eastAsia="標楷體"/>
                <w:b/>
                <w:bCs/>
                <w:kern w:val="0"/>
              </w:rPr>
              <w:t>綠美化養護及設施零星修護</w:t>
            </w:r>
          </w:p>
        </w:tc>
        <w:tc>
          <w:tcPr>
            <w:tcW w:w="719" w:type="dxa"/>
            <w:shd w:val="clear" w:color="auto" w:fill="CCFFFF"/>
            <w:vAlign w:val="center"/>
          </w:tcPr>
          <w:p w:rsidR="005D6EF0" w:rsidRPr="00D55DC6" w:rsidRDefault="005D6EF0" w:rsidP="0038165F">
            <w:pPr>
              <w:widowControl/>
              <w:spacing w:line="0" w:lineRule="atLeast"/>
              <w:jc w:val="right"/>
              <w:rPr>
                <w:rFonts w:eastAsia="標楷體"/>
                <w:kern w:val="0"/>
              </w:rPr>
            </w:pPr>
            <w:r w:rsidRPr="00D55DC6">
              <w:rPr>
                <w:rFonts w:eastAsia="標楷體"/>
                <w:kern w:val="0"/>
              </w:rPr>
              <w:t>0.18</w:t>
            </w:r>
          </w:p>
        </w:tc>
        <w:tc>
          <w:tcPr>
            <w:tcW w:w="719" w:type="dxa"/>
            <w:shd w:val="clear" w:color="auto" w:fill="CCFFFF"/>
            <w:vAlign w:val="center"/>
          </w:tcPr>
          <w:p w:rsidR="005D6EF0" w:rsidRPr="00D55DC6" w:rsidRDefault="005D6EF0" w:rsidP="0038165F">
            <w:pPr>
              <w:widowControl/>
              <w:spacing w:line="0" w:lineRule="atLeast"/>
              <w:jc w:val="right"/>
              <w:rPr>
                <w:rFonts w:eastAsia="標楷體"/>
                <w:kern w:val="0"/>
              </w:rPr>
            </w:pPr>
            <w:r w:rsidRPr="00D55DC6">
              <w:rPr>
                <w:rFonts w:eastAsia="標楷體"/>
                <w:kern w:val="0"/>
              </w:rPr>
              <w:t>0.18</w:t>
            </w:r>
          </w:p>
        </w:tc>
        <w:tc>
          <w:tcPr>
            <w:tcW w:w="719" w:type="dxa"/>
            <w:shd w:val="clear" w:color="auto" w:fill="CCFFFF"/>
            <w:vAlign w:val="center"/>
          </w:tcPr>
          <w:p w:rsidR="005D6EF0" w:rsidRPr="00D55DC6" w:rsidRDefault="005D6EF0" w:rsidP="0038165F">
            <w:pPr>
              <w:widowControl/>
              <w:spacing w:line="0" w:lineRule="atLeast"/>
              <w:jc w:val="right"/>
              <w:rPr>
                <w:rFonts w:eastAsia="標楷體"/>
                <w:kern w:val="0"/>
              </w:rPr>
            </w:pPr>
            <w:r w:rsidRPr="00D55DC6">
              <w:rPr>
                <w:rFonts w:eastAsia="標楷體"/>
                <w:kern w:val="0"/>
              </w:rPr>
              <w:t>0.18</w:t>
            </w:r>
          </w:p>
        </w:tc>
        <w:tc>
          <w:tcPr>
            <w:tcW w:w="719" w:type="dxa"/>
            <w:shd w:val="clear" w:color="auto" w:fill="CCFFFF"/>
            <w:vAlign w:val="center"/>
          </w:tcPr>
          <w:p w:rsidR="005D6EF0" w:rsidRPr="00D55DC6" w:rsidRDefault="005D6EF0" w:rsidP="0038165F">
            <w:pPr>
              <w:widowControl/>
              <w:spacing w:line="0" w:lineRule="atLeast"/>
              <w:jc w:val="right"/>
              <w:rPr>
                <w:rFonts w:eastAsia="標楷體"/>
                <w:kern w:val="0"/>
              </w:rPr>
            </w:pPr>
            <w:r w:rsidRPr="00D55DC6">
              <w:rPr>
                <w:rFonts w:eastAsia="標楷體"/>
                <w:kern w:val="0"/>
              </w:rPr>
              <w:t>0.18</w:t>
            </w:r>
          </w:p>
        </w:tc>
        <w:tc>
          <w:tcPr>
            <w:tcW w:w="778" w:type="dxa"/>
            <w:shd w:val="clear" w:color="auto" w:fill="CCFFFF"/>
            <w:vAlign w:val="center"/>
          </w:tcPr>
          <w:p w:rsidR="005D6EF0" w:rsidRPr="00D55DC6" w:rsidRDefault="005D6EF0" w:rsidP="0038165F">
            <w:pPr>
              <w:widowControl/>
              <w:spacing w:line="0" w:lineRule="atLeast"/>
              <w:jc w:val="right"/>
              <w:rPr>
                <w:rFonts w:eastAsia="標楷體"/>
                <w:kern w:val="0"/>
              </w:rPr>
            </w:pPr>
            <w:r w:rsidRPr="00D55DC6">
              <w:rPr>
                <w:rFonts w:eastAsia="標楷體"/>
                <w:kern w:val="0"/>
              </w:rPr>
              <w:t>0.72</w:t>
            </w:r>
          </w:p>
        </w:tc>
        <w:tc>
          <w:tcPr>
            <w:tcW w:w="2059" w:type="dxa"/>
            <w:vMerge w:val="restart"/>
          </w:tcPr>
          <w:p w:rsidR="005D6EF0" w:rsidRPr="00D55DC6" w:rsidRDefault="005D6EF0" w:rsidP="0038165F">
            <w:pPr>
              <w:widowControl/>
              <w:spacing w:line="0" w:lineRule="atLeast"/>
              <w:jc w:val="both"/>
              <w:rPr>
                <w:rFonts w:eastAsia="標楷體"/>
                <w:kern w:val="0"/>
                <w:sz w:val="20"/>
                <w:szCs w:val="20"/>
              </w:rPr>
            </w:pPr>
            <w:r w:rsidRPr="00D55DC6">
              <w:rPr>
                <w:rFonts w:eastAsia="標楷體"/>
                <w:kern w:val="0"/>
                <w:sz w:val="20"/>
                <w:szCs w:val="20"/>
              </w:rPr>
              <w:t>植栽養護、零星修繕、各據點建物公共安全及消防檢測</w:t>
            </w:r>
          </w:p>
        </w:tc>
      </w:tr>
      <w:tr w:rsidR="001D0350" w:rsidRPr="00D55DC6" w:rsidTr="00A82A80">
        <w:trPr>
          <w:trHeight w:val="435"/>
          <w:jc w:val="center"/>
        </w:trPr>
        <w:tc>
          <w:tcPr>
            <w:tcW w:w="477" w:type="dxa"/>
            <w:vMerge/>
            <w:tcBorders>
              <w:bottom w:val="single" w:sz="8" w:space="0" w:color="auto"/>
            </w:tcBorders>
            <w:vAlign w:val="center"/>
          </w:tcPr>
          <w:p w:rsidR="005D6EF0" w:rsidRPr="00D55DC6" w:rsidRDefault="005D6EF0" w:rsidP="0038165F">
            <w:pPr>
              <w:widowControl/>
              <w:spacing w:line="0" w:lineRule="atLeast"/>
              <w:rPr>
                <w:rFonts w:eastAsia="標楷體"/>
                <w:kern w:val="0"/>
              </w:rPr>
            </w:pPr>
          </w:p>
        </w:tc>
        <w:tc>
          <w:tcPr>
            <w:tcW w:w="717" w:type="dxa"/>
            <w:vMerge/>
            <w:tcBorders>
              <w:bottom w:val="single" w:sz="8" w:space="0" w:color="auto"/>
            </w:tcBorders>
            <w:vAlign w:val="center"/>
          </w:tcPr>
          <w:p w:rsidR="005D6EF0" w:rsidRPr="00D55DC6" w:rsidRDefault="005D6EF0" w:rsidP="0038165F">
            <w:pPr>
              <w:widowControl/>
              <w:spacing w:line="0" w:lineRule="atLeast"/>
              <w:rPr>
                <w:rFonts w:eastAsia="標楷體"/>
                <w:kern w:val="0"/>
              </w:rPr>
            </w:pPr>
          </w:p>
        </w:tc>
        <w:tc>
          <w:tcPr>
            <w:tcW w:w="874" w:type="dxa"/>
            <w:vMerge/>
            <w:vAlign w:val="center"/>
          </w:tcPr>
          <w:p w:rsidR="005D6EF0" w:rsidRPr="00D55DC6" w:rsidRDefault="005D6EF0" w:rsidP="0038165F">
            <w:pPr>
              <w:widowControl/>
              <w:spacing w:line="0" w:lineRule="atLeast"/>
              <w:rPr>
                <w:rFonts w:eastAsia="標楷體"/>
                <w:kern w:val="0"/>
              </w:rPr>
            </w:pPr>
          </w:p>
        </w:tc>
        <w:tc>
          <w:tcPr>
            <w:tcW w:w="2276" w:type="dxa"/>
            <w:shd w:val="clear" w:color="auto" w:fill="CCFFFF"/>
            <w:vAlign w:val="center"/>
          </w:tcPr>
          <w:p w:rsidR="005D6EF0" w:rsidRPr="00D55DC6" w:rsidRDefault="005D6EF0" w:rsidP="0038165F">
            <w:pPr>
              <w:widowControl/>
              <w:spacing w:line="0" w:lineRule="atLeast"/>
              <w:jc w:val="center"/>
              <w:rPr>
                <w:rFonts w:eastAsia="標楷體"/>
                <w:b/>
                <w:bCs/>
                <w:kern w:val="0"/>
              </w:rPr>
            </w:pPr>
            <w:r w:rsidRPr="00D55DC6">
              <w:rPr>
                <w:rFonts w:eastAsia="標楷體"/>
                <w:b/>
                <w:bCs/>
                <w:kern w:val="0"/>
              </w:rPr>
              <w:t>經常門合計</w:t>
            </w:r>
          </w:p>
        </w:tc>
        <w:tc>
          <w:tcPr>
            <w:tcW w:w="719" w:type="dxa"/>
            <w:shd w:val="clear" w:color="auto" w:fill="CCFFFF"/>
            <w:vAlign w:val="center"/>
          </w:tcPr>
          <w:p w:rsidR="005D6EF0" w:rsidRPr="00D55DC6" w:rsidRDefault="005D6EF0" w:rsidP="0038165F">
            <w:pPr>
              <w:widowControl/>
              <w:spacing w:line="0" w:lineRule="atLeast"/>
              <w:jc w:val="right"/>
              <w:rPr>
                <w:rFonts w:eastAsia="標楷體"/>
                <w:kern w:val="0"/>
              </w:rPr>
            </w:pPr>
            <w:r w:rsidRPr="00D55DC6">
              <w:rPr>
                <w:rFonts w:eastAsia="標楷體"/>
                <w:kern w:val="0"/>
              </w:rPr>
              <w:t>0.18</w:t>
            </w:r>
          </w:p>
        </w:tc>
        <w:tc>
          <w:tcPr>
            <w:tcW w:w="719" w:type="dxa"/>
            <w:shd w:val="clear" w:color="auto" w:fill="CCFFFF"/>
            <w:vAlign w:val="center"/>
          </w:tcPr>
          <w:p w:rsidR="005D6EF0" w:rsidRPr="00D55DC6" w:rsidRDefault="005D6EF0" w:rsidP="0038165F">
            <w:pPr>
              <w:widowControl/>
              <w:spacing w:line="0" w:lineRule="atLeast"/>
              <w:jc w:val="right"/>
              <w:rPr>
                <w:rFonts w:eastAsia="標楷體"/>
                <w:kern w:val="0"/>
              </w:rPr>
            </w:pPr>
            <w:r w:rsidRPr="00D55DC6">
              <w:rPr>
                <w:rFonts w:eastAsia="標楷體"/>
                <w:kern w:val="0"/>
              </w:rPr>
              <w:t>0.18</w:t>
            </w:r>
          </w:p>
        </w:tc>
        <w:tc>
          <w:tcPr>
            <w:tcW w:w="719" w:type="dxa"/>
            <w:shd w:val="clear" w:color="auto" w:fill="CCFFFF"/>
            <w:vAlign w:val="center"/>
          </w:tcPr>
          <w:p w:rsidR="005D6EF0" w:rsidRPr="00D55DC6" w:rsidRDefault="005D6EF0" w:rsidP="0038165F">
            <w:pPr>
              <w:widowControl/>
              <w:spacing w:line="0" w:lineRule="atLeast"/>
              <w:jc w:val="right"/>
              <w:rPr>
                <w:rFonts w:eastAsia="標楷體"/>
                <w:kern w:val="0"/>
              </w:rPr>
            </w:pPr>
            <w:r w:rsidRPr="00D55DC6">
              <w:rPr>
                <w:rFonts w:eastAsia="標楷體"/>
                <w:kern w:val="0"/>
              </w:rPr>
              <w:t>0.18</w:t>
            </w:r>
          </w:p>
        </w:tc>
        <w:tc>
          <w:tcPr>
            <w:tcW w:w="719" w:type="dxa"/>
            <w:shd w:val="clear" w:color="auto" w:fill="CCFFFF"/>
            <w:vAlign w:val="center"/>
          </w:tcPr>
          <w:p w:rsidR="005D6EF0" w:rsidRPr="00D55DC6" w:rsidRDefault="005D6EF0" w:rsidP="0038165F">
            <w:pPr>
              <w:widowControl/>
              <w:spacing w:line="0" w:lineRule="atLeast"/>
              <w:jc w:val="right"/>
              <w:rPr>
                <w:rFonts w:eastAsia="標楷體"/>
                <w:kern w:val="0"/>
              </w:rPr>
            </w:pPr>
            <w:r w:rsidRPr="00D55DC6">
              <w:rPr>
                <w:rFonts w:eastAsia="標楷體"/>
                <w:kern w:val="0"/>
              </w:rPr>
              <w:t>0.18</w:t>
            </w:r>
          </w:p>
        </w:tc>
        <w:tc>
          <w:tcPr>
            <w:tcW w:w="778" w:type="dxa"/>
            <w:shd w:val="clear" w:color="auto" w:fill="CCFFFF"/>
            <w:vAlign w:val="center"/>
          </w:tcPr>
          <w:p w:rsidR="005D6EF0" w:rsidRPr="00D55DC6" w:rsidRDefault="005D6EF0" w:rsidP="0038165F">
            <w:pPr>
              <w:widowControl/>
              <w:spacing w:line="0" w:lineRule="atLeast"/>
              <w:jc w:val="right"/>
              <w:rPr>
                <w:rFonts w:eastAsia="標楷體"/>
                <w:kern w:val="0"/>
              </w:rPr>
            </w:pPr>
            <w:r w:rsidRPr="00D55DC6">
              <w:rPr>
                <w:rFonts w:eastAsia="標楷體"/>
                <w:kern w:val="0"/>
              </w:rPr>
              <w:t>0.72</w:t>
            </w:r>
          </w:p>
        </w:tc>
        <w:tc>
          <w:tcPr>
            <w:tcW w:w="2059" w:type="dxa"/>
            <w:vMerge/>
            <w:vAlign w:val="center"/>
          </w:tcPr>
          <w:p w:rsidR="005D6EF0" w:rsidRPr="00D55DC6" w:rsidRDefault="005D6EF0" w:rsidP="0038165F">
            <w:pPr>
              <w:widowControl/>
              <w:spacing w:line="0" w:lineRule="atLeast"/>
              <w:jc w:val="both"/>
              <w:rPr>
                <w:rFonts w:eastAsia="標楷體"/>
                <w:kern w:val="0"/>
                <w:sz w:val="20"/>
                <w:szCs w:val="20"/>
              </w:rPr>
            </w:pPr>
          </w:p>
        </w:tc>
      </w:tr>
      <w:tr w:rsidR="001D0350" w:rsidRPr="00D55DC6" w:rsidTr="00A82A80">
        <w:trPr>
          <w:trHeight w:val="1024"/>
          <w:jc w:val="center"/>
        </w:trPr>
        <w:tc>
          <w:tcPr>
            <w:tcW w:w="477" w:type="dxa"/>
            <w:vMerge w:val="restart"/>
            <w:tcBorders>
              <w:top w:val="single" w:sz="8" w:space="0" w:color="auto"/>
            </w:tcBorders>
            <w:shd w:val="clear" w:color="auto" w:fill="99FFCC"/>
          </w:tcPr>
          <w:p w:rsidR="005D6EF0" w:rsidRPr="00D55DC6" w:rsidRDefault="005D6EF0" w:rsidP="0038165F">
            <w:pPr>
              <w:widowControl/>
              <w:spacing w:line="0" w:lineRule="atLeast"/>
              <w:jc w:val="center"/>
              <w:rPr>
                <w:rFonts w:eastAsia="標楷體"/>
                <w:kern w:val="0"/>
              </w:rPr>
            </w:pPr>
            <w:r w:rsidRPr="00D55DC6">
              <w:rPr>
                <w:rFonts w:eastAsia="標楷體"/>
                <w:kern w:val="0"/>
              </w:rPr>
              <w:t>資</w:t>
            </w:r>
            <w:r w:rsidRPr="00D55DC6">
              <w:rPr>
                <w:rFonts w:eastAsia="標楷體"/>
                <w:kern w:val="0"/>
              </w:rPr>
              <w:br/>
            </w:r>
            <w:r w:rsidRPr="00D55DC6">
              <w:rPr>
                <w:rFonts w:eastAsia="標楷體"/>
                <w:kern w:val="0"/>
              </w:rPr>
              <w:t>本</w:t>
            </w:r>
            <w:r w:rsidRPr="00D55DC6">
              <w:rPr>
                <w:rFonts w:eastAsia="標楷體"/>
                <w:kern w:val="0"/>
              </w:rPr>
              <w:br/>
            </w:r>
            <w:r w:rsidRPr="00D55DC6">
              <w:rPr>
                <w:rFonts w:eastAsia="標楷體"/>
                <w:kern w:val="0"/>
              </w:rPr>
              <w:t>門</w:t>
            </w:r>
          </w:p>
        </w:tc>
        <w:tc>
          <w:tcPr>
            <w:tcW w:w="717" w:type="dxa"/>
            <w:vMerge w:val="restart"/>
            <w:tcBorders>
              <w:top w:val="single" w:sz="8" w:space="0" w:color="auto"/>
            </w:tcBorders>
            <w:shd w:val="clear" w:color="auto" w:fill="99FFCC"/>
          </w:tcPr>
          <w:p w:rsidR="005D6EF0" w:rsidRPr="00D55DC6" w:rsidRDefault="005D6EF0" w:rsidP="0038165F">
            <w:pPr>
              <w:widowControl/>
              <w:spacing w:line="0" w:lineRule="atLeast"/>
              <w:jc w:val="both"/>
              <w:rPr>
                <w:rFonts w:eastAsia="標楷體"/>
                <w:kern w:val="0"/>
              </w:rPr>
            </w:pPr>
            <w:r w:rsidRPr="00D55DC6">
              <w:rPr>
                <w:rFonts w:eastAsia="標楷體"/>
                <w:kern w:val="0"/>
              </w:rPr>
              <w:t>0300</w:t>
            </w:r>
            <w:r w:rsidRPr="00D55DC6">
              <w:rPr>
                <w:rFonts w:eastAsia="標楷體"/>
                <w:kern w:val="0"/>
              </w:rPr>
              <w:br/>
            </w:r>
            <w:r w:rsidRPr="00D55DC6">
              <w:rPr>
                <w:rFonts w:eastAsia="標楷體"/>
                <w:kern w:val="0"/>
              </w:rPr>
              <w:t>設備及投資</w:t>
            </w:r>
          </w:p>
        </w:tc>
        <w:tc>
          <w:tcPr>
            <w:tcW w:w="874" w:type="dxa"/>
            <w:shd w:val="clear" w:color="auto" w:fill="99FFCC"/>
          </w:tcPr>
          <w:p w:rsidR="005D6EF0" w:rsidRPr="00D55DC6" w:rsidRDefault="005D6EF0" w:rsidP="0038165F">
            <w:pPr>
              <w:widowControl/>
              <w:spacing w:line="0" w:lineRule="atLeast"/>
              <w:jc w:val="both"/>
              <w:rPr>
                <w:rFonts w:eastAsia="標楷體"/>
                <w:kern w:val="0"/>
              </w:rPr>
            </w:pPr>
            <w:r w:rsidRPr="00D55DC6">
              <w:rPr>
                <w:rFonts w:eastAsia="標楷體"/>
                <w:kern w:val="0"/>
              </w:rPr>
              <w:t>0301</w:t>
            </w:r>
            <w:r w:rsidRPr="00D55DC6">
              <w:rPr>
                <w:rFonts w:eastAsia="標楷體"/>
                <w:kern w:val="0"/>
              </w:rPr>
              <w:br/>
            </w:r>
            <w:r w:rsidRPr="00D55DC6">
              <w:rPr>
                <w:rFonts w:eastAsia="標楷體"/>
                <w:kern w:val="0"/>
              </w:rPr>
              <w:t>土地費</w:t>
            </w:r>
          </w:p>
        </w:tc>
        <w:tc>
          <w:tcPr>
            <w:tcW w:w="2276" w:type="dxa"/>
            <w:shd w:val="clear" w:color="auto" w:fill="99FFCC"/>
          </w:tcPr>
          <w:p w:rsidR="005D6EF0" w:rsidRPr="00D55DC6" w:rsidRDefault="005D6EF0" w:rsidP="0038165F">
            <w:pPr>
              <w:widowControl/>
              <w:spacing w:line="0" w:lineRule="atLeast"/>
              <w:jc w:val="both"/>
              <w:rPr>
                <w:rFonts w:eastAsia="標楷體"/>
                <w:b/>
                <w:bCs/>
                <w:kern w:val="0"/>
              </w:rPr>
            </w:pPr>
            <w:r w:rsidRPr="00D55DC6">
              <w:rPr>
                <w:rFonts w:eastAsia="標楷體"/>
                <w:b/>
                <w:bCs/>
                <w:kern w:val="0"/>
              </w:rPr>
              <w:t>1.</w:t>
            </w:r>
            <w:r w:rsidRPr="00D55DC6">
              <w:rPr>
                <w:rFonts w:eastAsia="標楷體"/>
                <w:b/>
                <w:bCs/>
                <w:kern w:val="0"/>
              </w:rPr>
              <w:t>土地取得</w:t>
            </w:r>
          </w:p>
        </w:tc>
        <w:tc>
          <w:tcPr>
            <w:tcW w:w="719" w:type="dxa"/>
            <w:shd w:val="clear" w:color="auto" w:fill="99FFCC"/>
          </w:tcPr>
          <w:p w:rsidR="005D6EF0" w:rsidRPr="00D55DC6" w:rsidRDefault="005D6EF0" w:rsidP="0038165F">
            <w:pPr>
              <w:widowControl/>
              <w:spacing w:line="0" w:lineRule="atLeast"/>
              <w:jc w:val="right"/>
              <w:rPr>
                <w:rFonts w:eastAsia="標楷體"/>
                <w:b/>
                <w:bCs/>
                <w:kern w:val="0"/>
              </w:rPr>
            </w:pPr>
            <w:r w:rsidRPr="00D55DC6">
              <w:rPr>
                <w:rFonts w:eastAsia="標楷體"/>
                <w:b/>
                <w:bCs/>
                <w:kern w:val="0"/>
              </w:rPr>
              <w:t xml:space="preserve">0.00 </w:t>
            </w:r>
          </w:p>
        </w:tc>
        <w:tc>
          <w:tcPr>
            <w:tcW w:w="719" w:type="dxa"/>
            <w:shd w:val="clear" w:color="auto" w:fill="99FFCC"/>
          </w:tcPr>
          <w:p w:rsidR="005D6EF0" w:rsidRPr="00D55DC6" w:rsidRDefault="005D6EF0" w:rsidP="0038165F">
            <w:pPr>
              <w:widowControl/>
              <w:spacing w:line="0" w:lineRule="atLeast"/>
              <w:jc w:val="right"/>
              <w:rPr>
                <w:rFonts w:eastAsia="標楷體"/>
                <w:b/>
                <w:bCs/>
                <w:kern w:val="0"/>
              </w:rPr>
            </w:pPr>
            <w:r w:rsidRPr="00D55DC6">
              <w:rPr>
                <w:rFonts w:eastAsia="標楷體"/>
                <w:b/>
                <w:bCs/>
                <w:kern w:val="0"/>
              </w:rPr>
              <w:t xml:space="preserve">0.00 </w:t>
            </w:r>
          </w:p>
        </w:tc>
        <w:tc>
          <w:tcPr>
            <w:tcW w:w="719" w:type="dxa"/>
            <w:shd w:val="clear" w:color="auto" w:fill="99FFCC"/>
          </w:tcPr>
          <w:p w:rsidR="005D6EF0" w:rsidRPr="00D55DC6" w:rsidRDefault="005D6EF0" w:rsidP="0038165F">
            <w:pPr>
              <w:widowControl/>
              <w:spacing w:line="0" w:lineRule="atLeast"/>
              <w:jc w:val="right"/>
              <w:rPr>
                <w:rFonts w:eastAsia="標楷體"/>
                <w:b/>
                <w:bCs/>
                <w:kern w:val="0"/>
              </w:rPr>
            </w:pPr>
            <w:r w:rsidRPr="00D55DC6">
              <w:rPr>
                <w:rFonts w:eastAsia="標楷體"/>
                <w:b/>
                <w:bCs/>
                <w:kern w:val="0"/>
              </w:rPr>
              <w:t xml:space="preserve">0.00 </w:t>
            </w:r>
          </w:p>
        </w:tc>
        <w:tc>
          <w:tcPr>
            <w:tcW w:w="719" w:type="dxa"/>
            <w:shd w:val="clear" w:color="auto" w:fill="99FFCC"/>
          </w:tcPr>
          <w:p w:rsidR="005D6EF0" w:rsidRPr="00D55DC6" w:rsidRDefault="005D6EF0" w:rsidP="0038165F">
            <w:pPr>
              <w:widowControl/>
              <w:spacing w:line="0" w:lineRule="atLeast"/>
              <w:jc w:val="right"/>
              <w:rPr>
                <w:rFonts w:eastAsia="標楷體"/>
                <w:b/>
                <w:bCs/>
                <w:kern w:val="0"/>
              </w:rPr>
            </w:pPr>
            <w:r w:rsidRPr="00D55DC6">
              <w:rPr>
                <w:rFonts w:eastAsia="標楷體"/>
                <w:b/>
                <w:bCs/>
                <w:kern w:val="0"/>
              </w:rPr>
              <w:t xml:space="preserve">0.00 </w:t>
            </w:r>
          </w:p>
        </w:tc>
        <w:tc>
          <w:tcPr>
            <w:tcW w:w="778" w:type="dxa"/>
            <w:shd w:val="clear" w:color="auto" w:fill="99FFCC"/>
          </w:tcPr>
          <w:p w:rsidR="005D6EF0" w:rsidRPr="00D55DC6" w:rsidRDefault="005D6EF0" w:rsidP="0038165F">
            <w:pPr>
              <w:widowControl/>
              <w:spacing w:line="0" w:lineRule="atLeast"/>
              <w:jc w:val="right"/>
              <w:rPr>
                <w:rFonts w:eastAsia="標楷體"/>
                <w:b/>
                <w:bCs/>
                <w:kern w:val="0"/>
              </w:rPr>
            </w:pPr>
            <w:r w:rsidRPr="00D55DC6">
              <w:rPr>
                <w:rFonts w:eastAsia="標楷體"/>
                <w:b/>
                <w:bCs/>
                <w:kern w:val="0"/>
              </w:rPr>
              <w:t xml:space="preserve">0.00 </w:t>
            </w:r>
          </w:p>
        </w:tc>
        <w:tc>
          <w:tcPr>
            <w:tcW w:w="2059" w:type="dxa"/>
          </w:tcPr>
          <w:p w:rsidR="005D6EF0" w:rsidRPr="00D55DC6" w:rsidRDefault="005D6EF0" w:rsidP="0038165F">
            <w:pPr>
              <w:widowControl/>
              <w:spacing w:line="0" w:lineRule="atLeast"/>
              <w:jc w:val="both"/>
              <w:rPr>
                <w:rFonts w:eastAsia="標楷體"/>
                <w:kern w:val="0"/>
                <w:sz w:val="20"/>
                <w:szCs w:val="20"/>
              </w:rPr>
            </w:pPr>
          </w:p>
        </w:tc>
      </w:tr>
      <w:tr w:rsidR="001D0350" w:rsidRPr="00D55DC6" w:rsidTr="00A82A80">
        <w:trPr>
          <w:trHeight w:val="379"/>
          <w:jc w:val="center"/>
        </w:trPr>
        <w:tc>
          <w:tcPr>
            <w:tcW w:w="477" w:type="dxa"/>
            <w:vMerge/>
            <w:shd w:val="clear" w:color="auto" w:fill="99FFCC"/>
            <w:vAlign w:val="center"/>
          </w:tcPr>
          <w:p w:rsidR="005D6EF0" w:rsidRPr="00D55DC6" w:rsidRDefault="005D6EF0" w:rsidP="0038165F">
            <w:pPr>
              <w:widowControl/>
              <w:spacing w:line="0" w:lineRule="atLeast"/>
              <w:rPr>
                <w:rFonts w:eastAsia="標楷體"/>
                <w:kern w:val="0"/>
              </w:rPr>
            </w:pPr>
          </w:p>
        </w:tc>
        <w:tc>
          <w:tcPr>
            <w:tcW w:w="717" w:type="dxa"/>
            <w:vMerge/>
            <w:shd w:val="clear" w:color="auto" w:fill="99FFCC"/>
            <w:vAlign w:val="center"/>
          </w:tcPr>
          <w:p w:rsidR="005D6EF0" w:rsidRPr="00D55DC6" w:rsidRDefault="005D6EF0" w:rsidP="0038165F">
            <w:pPr>
              <w:widowControl/>
              <w:spacing w:line="0" w:lineRule="atLeast"/>
              <w:rPr>
                <w:rFonts w:eastAsia="標楷體"/>
                <w:kern w:val="0"/>
              </w:rPr>
            </w:pPr>
          </w:p>
        </w:tc>
        <w:tc>
          <w:tcPr>
            <w:tcW w:w="874" w:type="dxa"/>
            <w:tcBorders>
              <w:bottom w:val="single" w:sz="8" w:space="0" w:color="auto"/>
            </w:tcBorders>
            <w:shd w:val="clear" w:color="auto" w:fill="99FFCC"/>
          </w:tcPr>
          <w:p w:rsidR="005D6EF0" w:rsidRPr="00D55DC6" w:rsidRDefault="005D6EF0" w:rsidP="0038165F">
            <w:pPr>
              <w:spacing w:line="0" w:lineRule="atLeast"/>
              <w:jc w:val="both"/>
              <w:rPr>
                <w:rFonts w:eastAsia="標楷體"/>
                <w:kern w:val="0"/>
              </w:rPr>
            </w:pPr>
            <w:r w:rsidRPr="00D55DC6">
              <w:rPr>
                <w:rFonts w:eastAsia="標楷體"/>
                <w:kern w:val="0"/>
              </w:rPr>
              <w:t>0302</w:t>
            </w:r>
          </w:p>
          <w:p w:rsidR="005D6EF0" w:rsidRPr="00D55DC6" w:rsidRDefault="005D6EF0" w:rsidP="0038165F">
            <w:pPr>
              <w:spacing w:line="0" w:lineRule="atLeast"/>
              <w:jc w:val="both"/>
              <w:rPr>
                <w:rFonts w:eastAsia="標楷體"/>
                <w:kern w:val="0"/>
              </w:rPr>
            </w:pPr>
            <w:r w:rsidRPr="00D55DC6">
              <w:rPr>
                <w:rFonts w:eastAsia="標楷體"/>
                <w:kern w:val="0"/>
              </w:rPr>
              <w:t>房屋建築及設備費</w:t>
            </w:r>
          </w:p>
        </w:tc>
        <w:tc>
          <w:tcPr>
            <w:tcW w:w="2276" w:type="dxa"/>
            <w:shd w:val="clear" w:color="auto" w:fill="99FFCC"/>
          </w:tcPr>
          <w:p w:rsidR="005D6EF0" w:rsidRPr="00D55DC6" w:rsidRDefault="005D6EF0" w:rsidP="0038165F">
            <w:pPr>
              <w:widowControl/>
              <w:spacing w:line="0" w:lineRule="atLeast"/>
              <w:jc w:val="both"/>
              <w:rPr>
                <w:rFonts w:eastAsia="標楷體"/>
                <w:b/>
                <w:bCs/>
                <w:kern w:val="0"/>
              </w:rPr>
            </w:pPr>
            <w:r w:rsidRPr="00D55DC6">
              <w:rPr>
                <w:rFonts w:eastAsia="標楷體"/>
                <w:b/>
                <w:bCs/>
                <w:kern w:val="0"/>
              </w:rPr>
              <w:t>2.</w:t>
            </w:r>
            <w:r w:rsidRPr="00D55DC6">
              <w:rPr>
                <w:rFonts w:eastAsia="標楷體"/>
                <w:b/>
                <w:bCs/>
                <w:kern w:val="0"/>
              </w:rPr>
              <w:t>房屋建築及設備</w:t>
            </w:r>
          </w:p>
        </w:tc>
        <w:tc>
          <w:tcPr>
            <w:tcW w:w="719" w:type="dxa"/>
            <w:shd w:val="clear" w:color="auto" w:fill="99FFCC"/>
          </w:tcPr>
          <w:p w:rsidR="005D6EF0" w:rsidRPr="00D55DC6" w:rsidRDefault="005D6EF0" w:rsidP="0038165F">
            <w:pPr>
              <w:widowControl/>
              <w:spacing w:line="0" w:lineRule="atLeast"/>
              <w:jc w:val="right"/>
              <w:rPr>
                <w:rFonts w:eastAsia="標楷體"/>
                <w:b/>
                <w:bCs/>
                <w:kern w:val="0"/>
              </w:rPr>
            </w:pPr>
            <w:r w:rsidRPr="00D55DC6">
              <w:rPr>
                <w:rFonts w:eastAsia="標楷體"/>
                <w:b/>
                <w:bCs/>
                <w:kern w:val="0"/>
              </w:rPr>
              <w:t>0.00</w:t>
            </w:r>
          </w:p>
        </w:tc>
        <w:tc>
          <w:tcPr>
            <w:tcW w:w="719" w:type="dxa"/>
            <w:shd w:val="clear" w:color="auto" w:fill="99FFCC"/>
          </w:tcPr>
          <w:p w:rsidR="005D6EF0" w:rsidRPr="00D55DC6" w:rsidRDefault="005D6EF0" w:rsidP="0038165F">
            <w:pPr>
              <w:widowControl/>
              <w:spacing w:line="0" w:lineRule="atLeast"/>
              <w:jc w:val="right"/>
              <w:rPr>
                <w:rFonts w:eastAsia="標楷體"/>
                <w:b/>
                <w:bCs/>
                <w:kern w:val="0"/>
              </w:rPr>
            </w:pPr>
            <w:r w:rsidRPr="00D55DC6">
              <w:rPr>
                <w:rFonts w:eastAsia="標楷體"/>
                <w:b/>
                <w:bCs/>
                <w:kern w:val="0"/>
              </w:rPr>
              <w:t>0.00</w:t>
            </w:r>
          </w:p>
        </w:tc>
        <w:tc>
          <w:tcPr>
            <w:tcW w:w="719" w:type="dxa"/>
            <w:shd w:val="clear" w:color="auto" w:fill="99FFCC"/>
          </w:tcPr>
          <w:p w:rsidR="005D6EF0" w:rsidRPr="00D55DC6" w:rsidRDefault="005D6EF0" w:rsidP="0038165F">
            <w:pPr>
              <w:widowControl/>
              <w:spacing w:line="0" w:lineRule="atLeast"/>
              <w:jc w:val="right"/>
              <w:rPr>
                <w:rFonts w:eastAsia="標楷體"/>
                <w:b/>
                <w:bCs/>
                <w:kern w:val="0"/>
              </w:rPr>
            </w:pPr>
            <w:r w:rsidRPr="00D55DC6">
              <w:rPr>
                <w:rFonts w:eastAsia="標楷體"/>
                <w:b/>
                <w:bCs/>
                <w:kern w:val="0"/>
              </w:rPr>
              <w:t>0.00</w:t>
            </w:r>
          </w:p>
        </w:tc>
        <w:tc>
          <w:tcPr>
            <w:tcW w:w="719" w:type="dxa"/>
            <w:shd w:val="clear" w:color="auto" w:fill="99FFCC"/>
          </w:tcPr>
          <w:p w:rsidR="005D6EF0" w:rsidRPr="00D55DC6" w:rsidRDefault="005D6EF0" w:rsidP="0038165F">
            <w:pPr>
              <w:widowControl/>
              <w:spacing w:line="0" w:lineRule="atLeast"/>
              <w:jc w:val="right"/>
              <w:rPr>
                <w:rFonts w:eastAsia="標楷體"/>
                <w:b/>
                <w:bCs/>
                <w:kern w:val="0"/>
              </w:rPr>
            </w:pPr>
            <w:r w:rsidRPr="00D55DC6">
              <w:rPr>
                <w:rFonts w:eastAsia="標楷體"/>
                <w:b/>
                <w:bCs/>
                <w:kern w:val="0"/>
              </w:rPr>
              <w:t>0.00</w:t>
            </w:r>
          </w:p>
        </w:tc>
        <w:tc>
          <w:tcPr>
            <w:tcW w:w="778" w:type="dxa"/>
            <w:tcBorders>
              <w:bottom w:val="single" w:sz="8" w:space="0" w:color="auto"/>
            </w:tcBorders>
            <w:shd w:val="clear" w:color="auto" w:fill="99FFCC"/>
          </w:tcPr>
          <w:p w:rsidR="005D6EF0" w:rsidRPr="00D55DC6" w:rsidRDefault="005D6EF0" w:rsidP="0038165F">
            <w:pPr>
              <w:widowControl/>
              <w:spacing w:line="0" w:lineRule="atLeast"/>
              <w:jc w:val="right"/>
              <w:rPr>
                <w:rFonts w:eastAsia="標楷體"/>
                <w:b/>
                <w:bCs/>
                <w:kern w:val="0"/>
              </w:rPr>
            </w:pPr>
            <w:r w:rsidRPr="00D55DC6">
              <w:rPr>
                <w:rFonts w:eastAsia="標楷體"/>
                <w:b/>
                <w:bCs/>
                <w:kern w:val="0"/>
              </w:rPr>
              <w:t>0.00</w:t>
            </w:r>
          </w:p>
        </w:tc>
        <w:tc>
          <w:tcPr>
            <w:tcW w:w="2059" w:type="dxa"/>
            <w:tcBorders>
              <w:bottom w:val="single" w:sz="8" w:space="0" w:color="auto"/>
            </w:tcBorders>
          </w:tcPr>
          <w:p w:rsidR="005D6EF0" w:rsidRPr="00D55DC6" w:rsidRDefault="005D6EF0" w:rsidP="0038165F">
            <w:pPr>
              <w:widowControl/>
              <w:spacing w:line="0" w:lineRule="atLeast"/>
              <w:jc w:val="both"/>
              <w:rPr>
                <w:rFonts w:eastAsia="標楷體"/>
                <w:kern w:val="0"/>
                <w:sz w:val="20"/>
                <w:szCs w:val="20"/>
              </w:rPr>
            </w:pPr>
          </w:p>
        </w:tc>
      </w:tr>
      <w:tr w:rsidR="001D0350" w:rsidRPr="00D55DC6" w:rsidTr="00A82A80">
        <w:trPr>
          <w:trHeight w:val="420"/>
          <w:jc w:val="center"/>
        </w:trPr>
        <w:tc>
          <w:tcPr>
            <w:tcW w:w="477" w:type="dxa"/>
            <w:vMerge/>
            <w:shd w:val="clear" w:color="auto" w:fill="99FFCC"/>
            <w:vAlign w:val="center"/>
          </w:tcPr>
          <w:p w:rsidR="005D6EF0" w:rsidRPr="00D55DC6" w:rsidRDefault="005D6EF0" w:rsidP="0038165F">
            <w:pPr>
              <w:widowControl/>
              <w:spacing w:line="0" w:lineRule="atLeast"/>
              <w:rPr>
                <w:rFonts w:eastAsia="標楷體"/>
                <w:kern w:val="0"/>
              </w:rPr>
            </w:pPr>
          </w:p>
        </w:tc>
        <w:tc>
          <w:tcPr>
            <w:tcW w:w="717" w:type="dxa"/>
            <w:vMerge/>
            <w:shd w:val="clear" w:color="auto" w:fill="99FFCC"/>
            <w:vAlign w:val="center"/>
          </w:tcPr>
          <w:p w:rsidR="005D6EF0" w:rsidRPr="00D55DC6" w:rsidRDefault="005D6EF0" w:rsidP="0038165F">
            <w:pPr>
              <w:widowControl/>
              <w:spacing w:line="0" w:lineRule="atLeast"/>
              <w:rPr>
                <w:rFonts w:eastAsia="標楷體"/>
                <w:kern w:val="0"/>
              </w:rPr>
            </w:pPr>
          </w:p>
        </w:tc>
        <w:tc>
          <w:tcPr>
            <w:tcW w:w="874" w:type="dxa"/>
            <w:vMerge w:val="restart"/>
            <w:shd w:val="clear" w:color="auto" w:fill="99FFCC"/>
          </w:tcPr>
          <w:p w:rsidR="005D6EF0" w:rsidRPr="00D55DC6" w:rsidRDefault="005D6EF0" w:rsidP="0038165F">
            <w:pPr>
              <w:widowControl/>
              <w:spacing w:line="0" w:lineRule="atLeast"/>
              <w:jc w:val="both"/>
              <w:rPr>
                <w:rFonts w:eastAsia="標楷體"/>
                <w:kern w:val="0"/>
              </w:rPr>
            </w:pPr>
            <w:r w:rsidRPr="00D55DC6">
              <w:rPr>
                <w:rFonts w:eastAsia="標楷體"/>
                <w:kern w:val="0"/>
              </w:rPr>
              <w:t>0303</w:t>
            </w:r>
            <w:r w:rsidRPr="00D55DC6">
              <w:rPr>
                <w:rFonts w:eastAsia="標楷體"/>
                <w:kern w:val="0"/>
              </w:rPr>
              <w:br/>
            </w:r>
            <w:r w:rsidRPr="00D55DC6">
              <w:rPr>
                <w:rFonts w:eastAsia="標楷體"/>
                <w:kern w:val="0"/>
              </w:rPr>
              <w:t>公共建設及設施費</w:t>
            </w:r>
          </w:p>
        </w:tc>
        <w:tc>
          <w:tcPr>
            <w:tcW w:w="2276" w:type="dxa"/>
            <w:shd w:val="clear" w:color="auto" w:fill="99FFCC"/>
          </w:tcPr>
          <w:p w:rsidR="005D6EF0" w:rsidRPr="00D55DC6" w:rsidRDefault="005D6EF0" w:rsidP="0038165F">
            <w:pPr>
              <w:widowControl/>
              <w:spacing w:line="0" w:lineRule="atLeast"/>
              <w:jc w:val="both"/>
              <w:rPr>
                <w:rFonts w:eastAsia="標楷體"/>
                <w:b/>
                <w:bCs/>
                <w:kern w:val="0"/>
              </w:rPr>
            </w:pPr>
            <w:r w:rsidRPr="00D55DC6">
              <w:rPr>
                <w:rFonts w:eastAsia="標楷體"/>
                <w:b/>
                <w:bCs/>
                <w:kern w:val="0"/>
              </w:rPr>
              <w:t>3.</w:t>
            </w:r>
            <w:r w:rsidRPr="00D55DC6">
              <w:rPr>
                <w:rFonts w:eastAsia="標楷體"/>
                <w:b/>
                <w:bCs/>
                <w:kern w:val="0"/>
              </w:rPr>
              <w:t>公共建設及設施</w:t>
            </w:r>
          </w:p>
        </w:tc>
        <w:tc>
          <w:tcPr>
            <w:tcW w:w="719" w:type="dxa"/>
            <w:shd w:val="clear" w:color="auto" w:fill="99FFCC"/>
          </w:tcPr>
          <w:p w:rsidR="005D6EF0" w:rsidRPr="00D55DC6" w:rsidRDefault="005D6EF0" w:rsidP="0038165F">
            <w:pPr>
              <w:widowControl/>
              <w:spacing w:line="0" w:lineRule="atLeast"/>
              <w:jc w:val="right"/>
              <w:rPr>
                <w:rFonts w:eastAsia="標楷體"/>
                <w:b/>
                <w:bCs/>
                <w:kern w:val="0"/>
              </w:rPr>
            </w:pPr>
            <w:r w:rsidRPr="00D55DC6">
              <w:rPr>
                <w:rFonts w:eastAsia="標楷體"/>
                <w:b/>
                <w:bCs/>
                <w:kern w:val="0"/>
              </w:rPr>
              <w:t>1.62</w:t>
            </w:r>
          </w:p>
        </w:tc>
        <w:tc>
          <w:tcPr>
            <w:tcW w:w="719" w:type="dxa"/>
            <w:shd w:val="clear" w:color="auto" w:fill="99FFCC"/>
          </w:tcPr>
          <w:p w:rsidR="005D6EF0" w:rsidRPr="00D55DC6" w:rsidRDefault="005D6EF0" w:rsidP="0038165F">
            <w:pPr>
              <w:widowControl/>
              <w:spacing w:line="0" w:lineRule="atLeast"/>
              <w:jc w:val="right"/>
              <w:rPr>
                <w:rFonts w:eastAsia="標楷體"/>
                <w:b/>
                <w:bCs/>
                <w:kern w:val="0"/>
              </w:rPr>
            </w:pPr>
            <w:r w:rsidRPr="00D55DC6">
              <w:rPr>
                <w:rFonts w:eastAsia="標楷體"/>
                <w:b/>
                <w:bCs/>
                <w:kern w:val="0"/>
              </w:rPr>
              <w:t>1.62</w:t>
            </w:r>
          </w:p>
        </w:tc>
        <w:tc>
          <w:tcPr>
            <w:tcW w:w="719" w:type="dxa"/>
            <w:shd w:val="clear" w:color="auto" w:fill="99FFCC"/>
          </w:tcPr>
          <w:p w:rsidR="005D6EF0" w:rsidRPr="00D55DC6" w:rsidRDefault="005D6EF0" w:rsidP="0038165F">
            <w:pPr>
              <w:widowControl/>
              <w:spacing w:line="0" w:lineRule="atLeast"/>
              <w:jc w:val="right"/>
              <w:rPr>
                <w:rFonts w:eastAsia="標楷體"/>
                <w:b/>
                <w:bCs/>
                <w:kern w:val="0"/>
              </w:rPr>
            </w:pPr>
            <w:r w:rsidRPr="00D55DC6">
              <w:rPr>
                <w:rFonts w:eastAsia="標楷體"/>
                <w:b/>
                <w:bCs/>
                <w:kern w:val="0"/>
              </w:rPr>
              <w:t>1.62</w:t>
            </w:r>
          </w:p>
        </w:tc>
        <w:tc>
          <w:tcPr>
            <w:tcW w:w="719" w:type="dxa"/>
            <w:shd w:val="clear" w:color="auto" w:fill="99FFCC"/>
          </w:tcPr>
          <w:p w:rsidR="005D6EF0" w:rsidRPr="00D55DC6" w:rsidRDefault="005D6EF0" w:rsidP="0038165F">
            <w:pPr>
              <w:widowControl/>
              <w:spacing w:line="0" w:lineRule="atLeast"/>
              <w:jc w:val="right"/>
              <w:rPr>
                <w:rFonts w:eastAsia="標楷體"/>
                <w:b/>
                <w:bCs/>
                <w:kern w:val="0"/>
              </w:rPr>
            </w:pPr>
            <w:r w:rsidRPr="00D55DC6">
              <w:rPr>
                <w:rFonts w:eastAsia="標楷體"/>
                <w:b/>
                <w:bCs/>
                <w:kern w:val="0"/>
              </w:rPr>
              <w:t>1.62</w:t>
            </w:r>
          </w:p>
        </w:tc>
        <w:tc>
          <w:tcPr>
            <w:tcW w:w="778" w:type="dxa"/>
            <w:shd w:val="clear" w:color="auto" w:fill="99FFCC"/>
          </w:tcPr>
          <w:p w:rsidR="005D6EF0" w:rsidRPr="00D55DC6" w:rsidRDefault="005D6EF0" w:rsidP="0038165F">
            <w:pPr>
              <w:widowControl/>
              <w:spacing w:line="0" w:lineRule="atLeast"/>
              <w:jc w:val="right"/>
              <w:rPr>
                <w:rFonts w:eastAsia="標楷體"/>
                <w:b/>
                <w:bCs/>
                <w:kern w:val="0"/>
              </w:rPr>
            </w:pPr>
            <w:r w:rsidRPr="00D55DC6">
              <w:rPr>
                <w:rFonts w:eastAsia="標楷體"/>
                <w:b/>
                <w:bCs/>
                <w:kern w:val="0"/>
              </w:rPr>
              <w:t>6.48</w:t>
            </w:r>
          </w:p>
        </w:tc>
        <w:tc>
          <w:tcPr>
            <w:tcW w:w="2059" w:type="dxa"/>
            <w:vAlign w:val="center"/>
          </w:tcPr>
          <w:p w:rsidR="005D6EF0" w:rsidRPr="00D55DC6" w:rsidRDefault="005D6EF0" w:rsidP="0038165F">
            <w:pPr>
              <w:widowControl/>
              <w:spacing w:line="0" w:lineRule="atLeast"/>
              <w:jc w:val="both"/>
              <w:rPr>
                <w:rFonts w:eastAsia="標楷體"/>
                <w:kern w:val="0"/>
                <w:sz w:val="20"/>
                <w:szCs w:val="20"/>
              </w:rPr>
            </w:pPr>
          </w:p>
        </w:tc>
      </w:tr>
      <w:tr w:rsidR="001D0350" w:rsidRPr="00D55DC6" w:rsidTr="00A82A80">
        <w:trPr>
          <w:trHeight w:val="493"/>
          <w:jc w:val="center"/>
        </w:trPr>
        <w:tc>
          <w:tcPr>
            <w:tcW w:w="477" w:type="dxa"/>
            <w:vMerge/>
            <w:vAlign w:val="center"/>
          </w:tcPr>
          <w:p w:rsidR="005D6EF0" w:rsidRPr="00D55DC6" w:rsidRDefault="005D6EF0" w:rsidP="0038165F">
            <w:pPr>
              <w:widowControl/>
              <w:spacing w:line="0" w:lineRule="atLeast"/>
              <w:rPr>
                <w:rFonts w:eastAsia="標楷體"/>
                <w:kern w:val="0"/>
              </w:rPr>
            </w:pPr>
          </w:p>
        </w:tc>
        <w:tc>
          <w:tcPr>
            <w:tcW w:w="717" w:type="dxa"/>
            <w:vMerge/>
            <w:vAlign w:val="center"/>
          </w:tcPr>
          <w:p w:rsidR="005D6EF0" w:rsidRPr="00D55DC6" w:rsidRDefault="005D6EF0" w:rsidP="0038165F">
            <w:pPr>
              <w:widowControl/>
              <w:spacing w:line="0" w:lineRule="atLeast"/>
              <w:rPr>
                <w:rFonts w:eastAsia="標楷體"/>
                <w:kern w:val="0"/>
              </w:rPr>
            </w:pPr>
          </w:p>
        </w:tc>
        <w:tc>
          <w:tcPr>
            <w:tcW w:w="874" w:type="dxa"/>
            <w:vMerge/>
            <w:vAlign w:val="center"/>
          </w:tcPr>
          <w:p w:rsidR="005D6EF0" w:rsidRPr="00D55DC6" w:rsidRDefault="005D6EF0" w:rsidP="0038165F">
            <w:pPr>
              <w:widowControl/>
              <w:spacing w:line="0" w:lineRule="atLeast"/>
              <w:rPr>
                <w:rFonts w:eastAsia="標楷體"/>
                <w:kern w:val="0"/>
              </w:rPr>
            </w:pPr>
          </w:p>
        </w:tc>
        <w:tc>
          <w:tcPr>
            <w:tcW w:w="2276" w:type="dxa"/>
            <w:shd w:val="clear" w:color="auto" w:fill="E6E6E6"/>
          </w:tcPr>
          <w:p w:rsidR="005D6EF0" w:rsidRPr="00D55DC6" w:rsidRDefault="005D6EF0" w:rsidP="0038165F">
            <w:pPr>
              <w:widowControl/>
              <w:spacing w:line="0" w:lineRule="atLeast"/>
              <w:jc w:val="both"/>
              <w:rPr>
                <w:rFonts w:eastAsia="標楷體"/>
                <w:kern w:val="0"/>
              </w:rPr>
            </w:pPr>
            <w:r w:rsidRPr="00D55DC6">
              <w:rPr>
                <w:rFonts w:eastAsia="標楷體"/>
                <w:kern w:val="0"/>
              </w:rPr>
              <w:t>(1)</w:t>
            </w:r>
            <w:r w:rsidRPr="00D55DC6">
              <w:rPr>
                <w:rFonts w:eastAsia="標楷體"/>
                <w:kern w:val="0"/>
              </w:rPr>
              <w:t>先期規劃設計</w:t>
            </w:r>
          </w:p>
        </w:tc>
        <w:tc>
          <w:tcPr>
            <w:tcW w:w="719" w:type="dxa"/>
            <w:shd w:val="clear" w:color="auto" w:fill="E6E6E6"/>
          </w:tcPr>
          <w:p w:rsidR="005D6EF0" w:rsidRPr="00D55DC6" w:rsidRDefault="005D6EF0" w:rsidP="0038165F">
            <w:pPr>
              <w:widowControl/>
              <w:spacing w:line="0" w:lineRule="atLeast"/>
              <w:jc w:val="right"/>
              <w:rPr>
                <w:rFonts w:eastAsia="標楷體"/>
                <w:kern w:val="0"/>
              </w:rPr>
            </w:pPr>
            <w:r w:rsidRPr="00D55DC6">
              <w:rPr>
                <w:rFonts w:eastAsia="標楷體"/>
                <w:kern w:val="0"/>
              </w:rPr>
              <w:t>0.08</w:t>
            </w:r>
          </w:p>
        </w:tc>
        <w:tc>
          <w:tcPr>
            <w:tcW w:w="719" w:type="dxa"/>
            <w:shd w:val="clear" w:color="auto" w:fill="E6E6E6"/>
          </w:tcPr>
          <w:p w:rsidR="005D6EF0" w:rsidRPr="00D55DC6" w:rsidRDefault="005D6EF0" w:rsidP="0038165F">
            <w:pPr>
              <w:widowControl/>
              <w:spacing w:line="0" w:lineRule="atLeast"/>
              <w:jc w:val="right"/>
              <w:rPr>
                <w:rFonts w:eastAsia="標楷體"/>
                <w:kern w:val="0"/>
              </w:rPr>
            </w:pPr>
            <w:r w:rsidRPr="00D55DC6">
              <w:rPr>
                <w:rFonts w:eastAsia="標楷體"/>
                <w:kern w:val="0"/>
              </w:rPr>
              <w:t>0.08</w:t>
            </w:r>
          </w:p>
        </w:tc>
        <w:tc>
          <w:tcPr>
            <w:tcW w:w="719" w:type="dxa"/>
            <w:shd w:val="clear" w:color="auto" w:fill="E6E6E6"/>
          </w:tcPr>
          <w:p w:rsidR="005D6EF0" w:rsidRPr="00D55DC6" w:rsidRDefault="005D6EF0" w:rsidP="0038165F">
            <w:pPr>
              <w:widowControl/>
              <w:spacing w:line="0" w:lineRule="atLeast"/>
              <w:jc w:val="right"/>
              <w:rPr>
                <w:rFonts w:eastAsia="標楷體"/>
                <w:kern w:val="0"/>
              </w:rPr>
            </w:pPr>
            <w:r w:rsidRPr="00D55DC6">
              <w:rPr>
                <w:rFonts w:eastAsia="標楷體"/>
                <w:kern w:val="0"/>
              </w:rPr>
              <w:t>0.08</w:t>
            </w:r>
          </w:p>
        </w:tc>
        <w:tc>
          <w:tcPr>
            <w:tcW w:w="719" w:type="dxa"/>
            <w:shd w:val="clear" w:color="auto" w:fill="E6E6E6"/>
          </w:tcPr>
          <w:p w:rsidR="005D6EF0" w:rsidRPr="00D55DC6" w:rsidRDefault="005D6EF0" w:rsidP="0038165F">
            <w:pPr>
              <w:widowControl/>
              <w:spacing w:line="0" w:lineRule="atLeast"/>
              <w:jc w:val="right"/>
              <w:rPr>
                <w:rFonts w:eastAsia="標楷體"/>
                <w:kern w:val="0"/>
              </w:rPr>
            </w:pPr>
            <w:r w:rsidRPr="00D55DC6">
              <w:rPr>
                <w:rFonts w:eastAsia="標楷體"/>
                <w:kern w:val="0"/>
              </w:rPr>
              <w:t>0.08</w:t>
            </w:r>
          </w:p>
        </w:tc>
        <w:tc>
          <w:tcPr>
            <w:tcW w:w="778" w:type="dxa"/>
            <w:shd w:val="clear" w:color="auto" w:fill="E6E6E6"/>
          </w:tcPr>
          <w:p w:rsidR="005D6EF0" w:rsidRPr="00D55DC6" w:rsidRDefault="005D6EF0" w:rsidP="0038165F">
            <w:pPr>
              <w:widowControl/>
              <w:spacing w:line="0" w:lineRule="atLeast"/>
              <w:jc w:val="right"/>
              <w:rPr>
                <w:rFonts w:eastAsia="標楷體"/>
                <w:kern w:val="0"/>
              </w:rPr>
            </w:pPr>
            <w:r w:rsidRPr="00D55DC6">
              <w:rPr>
                <w:rFonts w:eastAsia="標楷體"/>
                <w:kern w:val="0"/>
              </w:rPr>
              <w:t>0.32</w:t>
            </w:r>
          </w:p>
        </w:tc>
        <w:tc>
          <w:tcPr>
            <w:tcW w:w="2059" w:type="dxa"/>
          </w:tcPr>
          <w:p w:rsidR="005D6EF0" w:rsidRPr="00D55DC6" w:rsidRDefault="005D6EF0" w:rsidP="0038165F">
            <w:pPr>
              <w:widowControl/>
              <w:spacing w:line="0" w:lineRule="atLeast"/>
              <w:jc w:val="both"/>
              <w:rPr>
                <w:rFonts w:eastAsia="標楷體"/>
                <w:kern w:val="0"/>
                <w:sz w:val="20"/>
                <w:szCs w:val="20"/>
              </w:rPr>
            </w:pPr>
            <w:r w:rsidRPr="00D55DC6">
              <w:rPr>
                <w:rFonts w:eastAsia="標楷體"/>
                <w:kern w:val="0"/>
                <w:sz w:val="20"/>
                <w:szCs w:val="20"/>
              </w:rPr>
              <w:t>辦理工程先期規劃設計及整體觀光發展計畫</w:t>
            </w:r>
          </w:p>
        </w:tc>
      </w:tr>
      <w:tr w:rsidR="001D0350" w:rsidRPr="00D55DC6" w:rsidTr="00A82A80">
        <w:trPr>
          <w:trHeight w:val="330"/>
          <w:jc w:val="center"/>
        </w:trPr>
        <w:tc>
          <w:tcPr>
            <w:tcW w:w="477" w:type="dxa"/>
            <w:vMerge/>
            <w:vAlign w:val="center"/>
          </w:tcPr>
          <w:p w:rsidR="005D6EF0" w:rsidRPr="00D55DC6" w:rsidRDefault="005D6EF0" w:rsidP="0038165F">
            <w:pPr>
              <w:widowControl/>
              <w:spacing w:line="0" w:lineRule="atLeast"/>
              <w:rPr>
                <w:rFonts w:eastAsia="標楷體"/>
                <w:kern w:val="0"/>
              </w:rPr>
            </w:pPr>
          </w:p>
        </w:tc>
        <w:tc>
          <w:tcPr>
            <w:tcW w:w="717" w:type="dxa"/>
            <w:vMerge/>
            <w:vAlign w:val="center"/>
          </w:tcPr>
          <w:p w:rsidR="005D6EF0" w:rsidRPr="00D55DC6" w:rsidRDefault="005D6EF0" w:rsidP="0038165F">
            <w:pPr>
              <w:widowControl/>
              <w:spacing w:line="0" w:lineRule="atLeast"/>
              <w:rPr>
                <w:rFonts w:eastAsia="標楷體"/>
                <w:kern w:val="0"/>
              </w:rPr>
            </w:pPr>
          </w:p>
        </w:tc>
        <w:tc>
          <w:tcPr>
            <w:tcW w:w="874" w:type="dxa"/>
            <w:vMerge/>
            <w:vAlign w:val="center"/>
          </w:tcPr>
          <w:p w:rsidR="005D6EF0" w:rsidRPr="00D55DC6" w:rsidRDefault="005D6EF0" w:rsidP="0038165F">
            <w:pPr>
              <w:widowControl/>
              <w:spacing w:line="0" w:lineRule="atLeast"/>
              <w:rPr>
                <w:rFonts w:eastAsia="標楷體"/>
                <w:kern w:val="0"/>
              </w:rPr>
            </w:pPr>
          </w:p>
        </w:tc>
        <w:tc>
          <w:tcPr>
            <w:tcW w:w="2276" w:type="dxa"/>
            <w:shd w:val="clear" w:color="auto" w:fill="E6E6E6"/>
          </w:tcPr>
          <w:p w:rsidR="005D6EF0" w:rsidRPr="00D55DC6" w:rsidRDefault="005D6EF0" w:rsidP="0038165F">
            <w:pPr>
              <w:widowControl/>
              <w:spacing w:line="0" w:lineRule="atLeast"/>
              <w:ind w:left="240" w:hangingChars="100" w:hanging="240"/>
              <w:jc w:val="both"/>
              <w:rPr>
                <w:rFonts w:eastAsia="標楷體"/>
                <w:kern w:val="0"/>
              </w:rPr>
            </w:pPr>
            <w:r w:rsidRPr="00D55DC6">
              <w:rPr>
                <w:rFonts w:eastAsia="標楷體"/>
                <w:kern w:val="0"/>
              </w:rPr>
              <w:t>(2)</w:t>
            </w:r>
            <w:r w:rsidRPr="00D55DC6">
              <w:rPr>
                <w:rFonts w:eastAsia="標楷體"/>
                <w:kern w:val="0"/>
              </w:rPr>
              <w:t>國際觀光重要景點</w:t>
            </w:r>
          </w:p>
        </w:tc>
        <w:tc>
          <w:tcPr>
            <w:tcW w:w="719" w:type="dxa"/>
            <w:shd w:val="clear" w:color="auto" w:fill="E6E6E6"/>
          </w:tcPr>
          <w:p w:rsidR="005D6EF0" w:rsidRPr="00D55DC6" w:rsidRDefault="005D6EF0" w:rsidP="0038165F">
            <w:pPr>
              <w:widowControl/>
              <w:spacing w:line="0" w:lineRule="atLeast"/>
              <w:jc w:val="right"/>
              <w:rPr>
                <w:rFonts w:eastAsia="標楷體"/>
                <w:kern w:val="0"/>
              </w:rPr>
            </w:pPr>
            <w:r w:rsidRPr="00D55DC6">
              <w:rPr>
                <w:rFonts w:eastAsia="標楷體"/>
                <w:kern w:val="0"/>
              </w:rPr>
              <w:t>0.60</w:t>
            </w:r>
          </w:p>
        </w:tc>
        <w:tc>
          <w:tcPr>
            <w:tcW w:w="719" w:type="dxa"/>
            <w:shd w:val="clear" w:color="auto" w:fill="E6E6E6"/>
          </w:tcPr>
          <w:p w:rsidR="005D6EF0" w:rsidRPr="00D55DC6" w:rsidRDefault="005D6EF0" w:rsidP="0038165F">
            <w:pPr>
              <w:widowControl/>
              <w:spacing w:line="0" w:lineRule="atLeast"/>
              <w:jc w:val="right"/>
              <w:rPr>
                <w:rFonts w:eastAsia="標楷體"/>
                <w:kern w:val="0"/>
              </w:rPr>
            </w:pPr>
            <w:r w:rsidRPr="00D55DC6">
              <w:rPr>
                <w:rFonts w:eastAsia="標楷體"/>
                <w:kern w:val="0"/>
              </w:rPr>
              <w:t>0.62</w:t>
            </w:r>
          </w:p>
        </w:tc>
        <w:tc>
          <w:tcPr>
            <w:tcW w:w="719" w:type="dxa"/>
            <w:shd w:val="clear" w:color="auto" w:fill="E6E6E6"/>
          </w:tcPr>
          <w:p w:rsidR="005D6EF0" w:rsidRPr="00D55DC6" w:rsidRDefault="005D6EF0" w:rsidP="0038165F">
            <w:pPr>
              <w:widowControl/>
              <w:spacing w:line="0" w:lineRule="atLeast"/>
              <w:jc w:val="right"/>
              <w:rPr>
                <w:rFonts w:eastAsia="標楷體"/>
                <w:kern w:val="0"/>
              </w:rPr>
            </w:pPr>
            <w:r w:rsidRPr="00D55DC6">
              <w:rPr>
                <w:rFonts w:eastAsia="標楷體"/>
                <w:kern w:val="0"/>
              </w:rPr>
              <w:t>0.64</w:t>
            </w:r>
          </w:p>
        </w:tc>
        <w:tc>
          <w:tcPr>
            <w:tcW w:w="719" w:type="dxa"/>
            <w:shd w:val="clear" w:color="auto" w:fill="E6E6E6"/>
          </w:tcPr>
          <w:p w:rsidR="005D6EF0" w:rsidRPr="00D55DC6" w:rsidRDefault="005D6EF0" w:rsidP="0038165F">
            <w:pPr>
              <w:widowControl/>
              <w:spacing w:line="0" w:lineRule="atLeast"/>
              <w:jc w:val="right"/>
              <w:rPr>
                <w:rFonts w:eastAsia="標楷體"/>
                <w:kern w:val="0"/>
              </w:rPr>
            </w:pPr>
            <w:r w:rsidRPr="00D55DC6">
              <w:rPr>
                <w:rFonts w:eastAsia="標楷體"/>
                <w:kern w:val="0"/>
              </w:rPr>
              <w:t>0.62</w:t>
            </w:r>
          </w:p>
        </w:tc>
        <w:tc>
          <w:tcPr>
            <w:tcW w:w="778" w:type="dxa"/>
            <w:shd w:val="clear" w:color="auto" w:fill="E6E6E6"/>
          </w:tcPr>
          <w:p w:rsidR="005D6EF0" w:rsidRPr="00D55DC6" w:rsidRDefault="005D6EF0" w:rsidP="0038165F">
            <w:pPr>
              <w:widowControl/>
              <w:spacing w:line="0" w:lineRule="atLeast"/>
              <w:jc w:val="right"/>
              <w:rPr>
                <w:rFonts w:eastAsia="標楷體"/>
                <w:kern w:val="0"/>
              </w:rPr>
            </w:pPr>
            <w:r w:rsidRPr="00D55DC6">
              <w:rPr>
                <w:rFonts w:eastAsia="標楷體"/>
                <w:kern w:val="0"/>
              </w:rPr>
              <w:t>2.48</w:t>
            </w:r>
          </w:p>
        </w:tc>
        <w:tc>
          <w:tcPr>
            <w:tcW w:w="2059" w:type="dxa"/>
            <w:vAlign w:val="center"/>
          </w:tcPr>
          <w:p w:rsidR="005D6EF0" w:rsidRPr="00D55DC6" w:rsidRDefault="005D6EF0" w:rsidP="0038165F">
            <w:pPr>
              <w:widowControl/>
              <w:spacing w:line="0" w:lineRule="atLeast"/>
              <w:jc w:val="both"/>
              <w:rPr>
                <w:rFonts w:eastAsia="標楷體"/>
                <w:kern w:val="0"/>
                <w:sz w:val="20"/>
                <w:szCs w:val="20"/>
              </w:rPr>
            </w:pPr>
            <w:r w:rsidRPr="00D55DC6">
              <w:rPr>
                <w:rFonts w:eastAsia="標楷體"/>
                <w:kern w:val="0"/>
                <w:sz w:val="20"/>
                <w:szCs w:val="20"/>
              </w:rPr>
              <w:t>辦理轄區重要景點建設</w:t>
            </w:r>
          </w:p>
        </w:tc>
      </w:tr>
      <w:tr w:rsidR="001D0350" w:rsidRPr="00D55DC6" w:rsidTr="00A82A80">
        <w:trPr>
          <w:trHeight w:val="330"/>
          <w:jc w:val="center"/>
        </w:trPr>
        <w:tc>
          <w:tcPr>
            <w:tcW w:w="477" w:type="dxa"/>
            <w:vMerge/>
            <w:vAlign w:val="center"/>
          </w:tcPr>
          <w:p w:rsidR="005D6EF0" w:rsidRPr="00D55DC6" w:rsidRDefault="005D6EF0" w:rsidP="0038165F">
            <w:pPr>
              <w:widowControl/>
              <w:spacing w:line="0" w:lineRule="atLeast"/>
              <w:rPr>
                <w:rFonts w:eastAsia="標楷體"/>
                <w:kern w:val="0"/>
              </w:rPr>
            </w:pPr>
          </w:p>
        </w:tc>
        <w:tc>
          <w:tcPr>
            <w:tcW w:w="717" w:type="dxa"/>
            <w:vMerge/>
            <w:vAlign w:val="center"/>
          </w:tcPr>
          <w:p w:rsidR="005D6EF0" w:rsidRPr="00D55DC6" w:rsidRDefault="005D6EF0" w:rsidP="0038165F">
            <w:pPr>
              <w:widowControl/>
              <w:spacing w:line="0" w:lineRule="atLeast"/>
              <w:rPr>
                <w:rFonts w:eastAsia="標楷體"/>
                <w:kern w:val="0"/>
              </w:rPr>
            </w:pPr>
          </w:p>
        </w:tc>
        <w:tc>
          <w:tcPr>
            <w:tcW w:w="874" w:type="dxa"/>
            <w:vMerge/>
            <w:vAlign w:val="center"/>
          </w:tcPr>
          <w:p w:rsidR="005D6EF0" w:rsidRPr="00D55DC6" w:rsidRDefault="005D6EF0" w:rsidP="0038165F">
            <w:pPr>
              <w:widowControl/>
              <w:spacing w:line="0" w:lineRule="atLeast"/>
              <w:rPr>
                <w:rFonts w:eastAsia="標楷體"/>
                <w:kern w:val="0"/>
              </w:rPr>
            </w:pPr>
          </w:p>
        </w:tc>
        <w:tc>
          <w:tcPr>
            <w:tcW w:w="2276" w:type="dxa"/>
          </w:tcPr>
          <w:p w:rsidR="005D6EF0" w:rsidRPr="00D55DC6" w:rsidRDefault="005D6EF0" w:rsidP="0038165F">
            <w:pPr>
              <w:widowControl/>
              <w:spacing w:line="0" w:lineRule="atLeast"/>
              <w:jc w:val="both"/>
              <w:rPr>
                <w:rFonts w:eastAsia="標楷體"/>
                <w:kern w:val="0"/>
              </w:rPr>
            </w:pPr>
            <w:r w:rsidRPr="00D55DC6">
              <w:rPr>
                <w:rFonts w:eastAsia="標楷體"/>
                <w:kern w:val="0"/>
              </w:rPr>
              <w:t>A.</w:t>
            </w:r>
            <w:r w:rsidRPr="00D55DC6">
              <w:rPr>
                <w:rFonts w:eastAsia="標楷體"/>
                <w:kern w:val="0"/>
              </w:rPr>
              <w:t>南庄遊憩區</w:t>
            </w:r>
          </w:p>
        </w:tc>
        <w:tc>
          <w:tcPr>
            <w:tcW w:w="719" w:type="dxa"/>
          </w:tcPr>
          <w:p w:rsidR="005D6EF0" w:rsidRPr="00D55DC6" w:rsidRDefault="005D6EF0" w:rsidP="0038165F">
            <w:pPr>
              <w:widowControl/>
              <w:spacing w:line="0" w:lineRule="atLeast"/>
              <w:jc w:val="right"/>
              <w:rPr>
                <w:rFonts w:eastAsia="標楷體"/>
                <w:kern w:val="0"/>
              </w:rPr>
            </w:pPr>
            <w:r w:rsidRPr="00D55DC6">
              <w:rPr>
                <w:rFonts w:eastAsia="標楷體"/>
                <w:kern w:val="0"/>
              </w:rPr>
              <w:t>0.20</w:t>
            </w:r>
          </w:p>
        </w:tc>
        <w:tc>
          <w:tcPr>
            <w:tcW w:w="719" w:type="dxa"/>
          </w:tcPr>
          <w:p w:rsidR="005D6EF0" w:rsidRPr="00D55DC6" w:rsidRDefault="005D6EF0" w:rsidP="0038165F">
            <w:pPr>
              <w:widowControl/>
              <w:spacing w:line="0" w:lineRule="atLeast"/>
              <w:jc w:val="right"/>
              <w:rPr>
                <w:rFonts w:eastAsia="標楷體"/>
                <w:kern w:val="0"/>
              </w:rPr>
            </w:pPr>
            <w:r w:rsidRPr="00D55DC6">
              <w:rPr>
                <w:rFonts w:eastAsia="標楷體"/>
                <w:kern w:val="0"/>
              </w:rPr>
              <w:t>0.20</w:t>
            </w:r>
          </w:p>
        </w:tc>
        <w:tc>
          <w:tcPr>
            <w:tcW w:w="719" w:type="dxa"/>
          </w:tcPr>
          <w:p w:rsidR="005D6EF0" w:rsidRPr="00D55DC6" w:rsidRDefault="005D6EF0" w:rsidP="0038165F">
            <w:pPr>
              <w:widowControl/>
              <w:spacing w:line="0" w:lineRule="atLeast"/>
              <w:jc w:val="right"/>
              <w:rPr>
                <w:rFonts w:eastAsia="標楷體"/>
                <w:kern w:val="0"/>
              </w:rPr>
            </w:pPr>
            <w:r w:rsidRPr="00D55DC6">
              <w:rPr>
                <w:rFonts w:eastAsia="標楷體"/>
                <w:kern w:val="0"/>
              </w:rPr>
              <w:t>0.22</w:t>
            </w:r>
          </w:p>
        </w:tc>
        <w:tc>
          <w:tcPr>
            <w:tcW w:w="719" w:type="dxa"/>
          </w:tcPr>
          <w:p w:rsidR="005D6EF0" w:rsidRPr="00D55DC6" w:rsidRDefault="005D6EF0" w:rsidP="0038165F">
            <w:pPr>
              <w:widowControl/>
              <w:spacing w:line="0" w:lineRule="atLeast"/>
              <w:jc w:val="right"/>
              <w:rPr>
                <w:rFonts w:eastAsia="標楷體"/>
                <w:kern w:val="0"/>
              </w:rPr>
            </w:pPr>
            <w:r w:rsidRPr="00D55DC6">
              <w:rPr>
                <w:rFonts w:eastAsia="標楷體"/>
                <w:kern w:val="0"/>
              </w:rPr>
              <w:t>0.20</w:t>
            </w:r>
          </w:p>
        </w:tc>
        <w:tc>
          <w:tcPr>
            <w:tcW w:w="778" w:type="dxa"/>
          </w:tcPr>
          <w:p w:rsidR="005D6EF0" w:rsidRPr="00D55DC6" w:rsidRDefault="005D6EF0" w:rsidP="0038165F">
            <w:pPr>
              <w:widowControl/>
              <w:spacing w:line="0" w:lineRule="atLeast"/>
              <w:jc w:val="right"/>
              <w:rPr>
                <w:rFonts w:eastAsia="標楷體"/>
                <w:kern w:val="0"/>
              </w:rPr>
            </w:pPr>
            <w:r w:rsidRPr="00D55DC6">
              <w:rPr>
                <w:rFonts w:eastAsia="標楷體"/>
                <w:kern w:val="0"/>
              </w:rPr>
              <w:t>0.82</w:t>
            </w:r>
          </w:p>
        </w:tc>
        <w:tc>
          <w:tcPr>
            <w:tcW w:w="2059" w:type="dxa"/>
            <w:vAlign w:val="center"/>
          </w:tcPr>
          <w:p w:rsidR="005D6EF0" w:rsidRPr="00D55DC6" w:rsidRDefault="005D6EF0" w:rsidP="0038165F">
            <w:pPr>
              <w:widowControl/>
              <w:spacing w:line="0" w:lineRule="atLeast"/>
              <w:jc w:val="both"/>
              <w:rPr>
                <w:rFonts w:eastAsia="標楷體"/>
                <w:sz w:val="20"/>
                <w:szCs w:val="20"/>
              </w:rPr>
            </w:pPr>
            <w:r w:rsidRPr="00D55DC6">
              <w:rPr>
                <w:rFonts w:eastAsia="標楷體"/>
                <w:sz w:val="20"/>
                <w:szCs w:val="20"/>
              </w:rPr>
              <w:t>辦理蓬萊溪自然生態園區周邊步道沿線景觀及導覽設施改善、南庄遊客中心周邊環境景觀暨公共服務設施改善等建設</w:t>
            </w:r>
          </w:p>
        </w:tc>
      </w:tr>
      <w:tr w:rsidR="001D0350" w:rsidRPr="00D55DC6" w:rsidTr="00A82A80">
        <w:trPr>
          <w:trHeight w:val="379"/>
          <w:jc w:val="center"/>
        </w:trPr>
        <w:tc>
          <w:tcPr>
            <w:tcW w:w="477" w:type="dxa"/>
            <w:vMerge/>
            <w:vAlign w:val="center"/>
          </w:tcPr>
          <w:p w:rsidR="005D6EF0" w:rsidRPr="00D55DC6" w:rsidRDefault="005D6EF0" w:rsidP="0038165F">
            <w:pPr>
              <w:widowControl/>
              <w:spacing w:line="0" w:lineRule="atLeast"/>
              <w:rPr>
                <w:rFonts w:eastAsia="標楷體"/>
                <w:kern w:val="0"/>
              </w:rPr>
            </w:pPr>
          </w:p>
        </w:tc>
        <w:tc>
          <w:tcPr>
            <w:tcW w:w="717" w:type="dxa"/>
            <w:vMerge/>
            <w:vAlign w:val="center"/>
          </w:tcPr>
          <w:p w:rsidR="005D6EF0" w:rsidRPr="00D55DC6" w:rsidRDefault="005D6EF0" w:rsidP="0038165F">
            <w:pPr>
              <w:widowControl/>
              <w:spacing w:line="0" w:lineRule="atLeast"/>
              <w:rPr>
                <w:rFonts w:eastAsia="標楷體"/>
                <w:kern w:val="0"/>
              </w:rPr>
            </w:pPr>
          </w:p>
        </w:tc>
        <w:tc>
          <w:tcPr>
            <w:tcW w:w="874" w:type="dxa"/>
            <w:vMerge/>
            <w:vAlign w:val="center"/>
          </w:tcPr>
          <w:p w:rsidR="005D6EF0" w:rsidRPr="00D55DC6" w:rsidRDefault="005D6EF0" w:rsidP="0038165F">
            <w:pPr>
              <w:widowControl/>
              <w:spacing w:line="0" w:lineRule="atLeast"/>
              <w:rPr>
                <w:rFonts w:eastAsia="標楷體"/>
                <w:kern w:val="0"/>
              </w:rPr>
            </w:pPr>
          </w:p>
        </w:tc>
        <w:tc>
          <w:tcPr>
            <w:tcW w:w="2276" w:type="dxa"/>
          </w:tcPr>
          <w:p w:rsidR="005D6EF0" w:rsidRPr="00D55DC6" w:rsidRDefault="005D6EF0" w:rsidP="0038165F">
            <w:pPr>
              <w:widowControl/>
              <w:spacing w:line="0" w:lineRule="atLeast"/>
              <w:jc w:val="both"/>
              <w:rPr>
                <w:rFonts w:eastAsia="標楷體"/>
                <w:kern w:val="0"/>
              </w:rPr>
            </w:pPr>
            <w:r w:rsidRPr="00D55DC6">
              <w:rPr>
                <w:rFonts w:eastAsia="標楷體"/>
                <w:kern w:val="0"/>
              </w:rPr>
              <w:t>B.</w:t>
            </w:r>
            <w:r w:rsidRPr="00D55DC6">
              <w:rPr>
                <w:rFonts w:eastAsia="標楷體"/>
                <w:kern w:val="0"/>
              </w:rPr>
              <w:t>谷關遊憩區</w:t>
            </w:r>
          </w:p>
        </w:tc>
        <w:tc>
          <w:tcPr>
            <w:tcW w:w="719" w:type="dxa"/>
          </w:tcPr>
          <w:p w:rsidR="005D6EF0" w:rsidRPr="00D55DC6" w:rsidRDefault="005D6EF0" w:rsidP="0038165F">
            <w:pPr>
              <w:widowControl/>
              <w:spacing w:line="0" w:lineRule="atLeast"/>
              <w:jc w:val="right"/>
              <w:rPr>
                <w:rFonts w:eastAsia="標楷體"/>
                <w:kern w:val="0"/>
              </w:rPr>
            </w:pPr>
            <w:r w:rsidRPr="00D55DC6">
              <w:rPr>
                <w:rFonts w:eastAsia="標楷體"/>
                <w:kern w:val="0"/>
              </w:rPr>
              <w:t>0.20</w:t>
            </w:r>
          </w:p>
        </w:tc>
        <w:tc>
          <w:tcPr>
            <w:tcW w:w="719" w:type="dxa"/>
          </w:tcPr>
          <w:p w:rsidR="005D6EF0" w:rsidRPr="00D55DC6" w:rsidRDefault="005D6EF0" w:rsidP="0038165F">
            <w:pPr>
              <w:widowControl/>
              <w:spacing w:line="0" w:lineRule="atLeast"/>
              <w:jc w:val="right"/>
              <w:rPr>
                <w:rFonts w:eastAsia="標楷體"/>
                <w:kern w:val="0"/>
              </w:rPr>
            </w:pPr>
            <w:r w:rsidRPr="00D55DC6">
              <w:rPr>
                <w:rFonts w:eastAsia="標楷體"/>
                <w:kern w:val="0"/>
              </w:rPr>
              <w:t>0.22</w:t>
            </w:r>
          </w:p>
        </w:tc>
        <w:tc>
          <w:tcPr>
            <w:tcW w:w="719" w:type="dxa"/>
          </w:tcPr>
          <w:p w:rsidR="005D6EF0" w:rsidRPr="00D55DC6" w:rsidRDefault="005D6EF0" w:rsidP="0038165F">
            <w:pPr>
              <w:widowControl/>
              <w:spacing w:line="0" w:lineRule="atLeast"/>
              <w:jc w:val="right"/>
              <w:rPr>
                <w:rFonts w:eastAsia="標楷體"/>
                <w:kern w:val="0"/>
              </w:rPr>
            </w:pPr>
            <w:r w:rsidRPr="00D55DC6">
              <w:rPr>
                <w:rFonts w:eastAsia="標楷體"/>
                <w:kern w:val="0"/>
              </w:rPr>
              <w:t>0.22</w:t>
            </w:r>
          </w:p>
        </w:tc>
        <w:tc>
          <w:tcPr>
            <w:tcW w:w="719" w:type="dxa"/>
          </w:tcPr>
          <w:p w:rsidR="005D6EF0" w:rsidRPr="00D55DC6" w:rsidRDefault="005D6EF0" w:rsidP="0038165F">
            <w:pPr>
              <w:widowControl/>
              <w:spacing w:line="0" w:lineRule="atLeast"/>
              <w:jc w:val="right"/>
              <w:rPr>
                <w:rFonts w:eastAsia="標楷體"/>
                <w:kern w:val="0"/>
              </w:rPr>
            </w:pPr>
            <w:r w:rsidRPr="00D55DC6">
              <w:rPr>
                <w:rFonts w:eastAsia="標楷體"/>
                <w:kern w:val="0"/>
              </w:rPr>
              <w:t>0.20</w:t>
            </w:r>
          </w:p>
        </w:tc>
        <w:tc>
          <w:tcPr>
            <w:tcW w:w="778" w:type="dxa"/>
          </w:tcPr>
          <w:p w:rsidR="005D6EF0" w:rsidRPr="00D55DC6" w:rsidRDefault="005D6EF0" w:rsidP="0038165F">
            <w:pPr>
              <w:widowControl/>
              <w:spacing w:line="0" w:lineRule="atLeast"/>
              <w:jc w:val="right"/>
              <w:rPr>
                <w:rFonts w:eastAsia="標楷體"/>
                <w:kern w:val="0"/>
              </w:rPr>
            </w:pPr>
            <w:r w:rsidRPr="00D55DC6">
              <w:rPr>
                <w:rFonts w:eastAsia="標楷體"/>
                <w:kern w:val="0"/>
              </w:rPr>
              <w:t>0.84</w:t>
            </w:r>
          </w:p>
        </w:tc>
        <w:tc>
          <w:tcPr>
            <w:tcW w:w="2059" w:type="dxa"/>
            <w:vAlign w:val="center"/>
          </w:tcPr>
          <w:p w:rsidR="005D6EF0" w:rsidRPr="00D55DC6" w:rsidRDefault="005D6EF0" w:rsidP="0038165F">
            <w:pPr>
              <w:widowControl/>
              <w:spacing w:line="0" w:lineRule="atLeast"/>
              <w:jc w:val="both"/>
              <w:rPr>
                <w:rFonts w:eastAsia="標楷體"/>
                <w:sz w:val="20"/>
                <w:szCs w:val="20"/>
              </w:rPr>
            </w:pPr>
            <w:r w:rsidRPr="00D55DC6">
              <w:rPr>
                <w:rFonts w:eastAsia="標楷體"/>
                <w:sz w:val="20"/>
                <w:szCs w:val="20"/>
              </w:rPr>
              <w:t>辦理谷關遊憩區環境綠美化及相關服務設施改善、谷關溫泉區周邊步道整建及公共服務設施改善等建設</w:t>
            </w:r>
          </w:p>
        </w:tc>
      </w:tr>
      <w:tr w:rsidR="001D0350" w:rsidRPr="00D55DC6" w:rsidTr="00A82A80">
        <w:trPr>
          <w:trHeight w:val="379"/>
          <w:jc w:val="center"/>
        </w:trPr>
        <w:tc>
          <w:tcPr>
            <w:tcW w:w="477" w:type="dxa"/>
            <w:vMerge/>
            <w:vAlign w:val="center"/>
          </w:tcPr>
          <w:p w:rsidR="005D6EF0" w:rsidRPr="00D55DC6" w:rsidRDefault="005D6EF0" w:rsidP="0038165F">
            <w:pPr>
              <w:widowControl/>
              <w:spacing w:line="0" w:lineRule="atLeast"/>
              <w:rPr>
                <w:rFonts w:eastAsia="標楷體"/>
                <w:kern w:val="0"/>
              </w:rPr>
            </w:pPr>
          </w:p>
        </w:tc>
        <w:tc>
          <w:tcPr>
            <w:tcW w:w="717" w:type="dxa"/>
            <w:vMerge/>
            <w:vAlign w:val="center"/>
          </w:tcPr>
          <w:p w:rsidR="005D6EF0" w:rsidRPr="00D55DC6" w:rsidRDefault="005D6EF0" w:rsidP="0038165F">
            <w:pPr>
              <w:widowControl/>
              <w:spacing w:line="0" w:lineRule="atLeast"/>
              <w:rPr>
                <w:rFonts w:eastAsia="標楷體"/>
                <w:kern w:val="0"/>
              </w:rPr>
            </w:pPr>
          </w:p>
        </w:tc>
        <w:tc>
          <w:tcPr>
            <w:tcW w:w="874" w:type="dxa"/>
            <w:vMerge/>
            <w:vAlign w:val="center"/>
          </w:tcPr>
          <w:p w:rsidR="005D6EF0" w:rsidRPr="00D55DC6" w:rsidRDefault="005D6EF0" w:rsidP="0038165F">
            <w:pPr>
              <w:widowControl/>
              <w:spacing w:line="0" w:lineRule="atLeast"/>
              <w:rPr>
                <w:rFonts w:eastAsia="標楷體"/>
                <w:kern w:val="0"/>
              </w:rPr>
            </w:pPr>
          </w:p>
        </w:tc>
        <w:tc>
          <w:tcPr>
            <w:tcW w:w="2276" w:type="dxa"/>
          </w:tcPr>
          <w:p w:rsidR="005D6EF0" w:rsidRPr="00D55DC6" w:rsidRDefault="005D6EF0" w:rsidP="0038165F">
            <w:pPr>
              <w:widowControl/>
              <w:spacing w:line="0" w:lineRule="atLeast"/>
              <w:jc w:val="both"/>
              <w:rPr>
                <w:rFonts w:eastAsia="標楷體"/>
                <w:kern w:val="0"/>
              </w:rPr>
            </w:pPr>
            <w:r w:rsidRPr="00D55DC6">
              <w:rPr>
                <w:rFonts w:eastAsia="標楷體"/>
                <w:kern w:val="0"/>
              </w:rPr>
              <w:t>C.</w:t>
            </w:r>
            <w:r w:rsidRPr="00D55DC6">
              <w:rPr>
                <w:rFonts w:eastAsia="標楷體"/>
                <w:kern w:val="0"/>
              </w:rPr>
              <w:t>松柏嶺遊憩區</w:t>
            </w:r>
          </w:p>
        </w:tc>
        <w:tc>
          <w:tcPr>
            <w:tcW w:w="719" w:type="dxa"/>
          </w:tcPr>
          <w:p w:rsidR="005D6EF0" w:rsidRPr="00D55DC6" w:rsidRDefault="005D6EF0" w:rsidP="0038165F">
            <w:pPr>
              <w:spacing w:line="0" w:lineRule="atLeast"/>
              <w:jc w:val="right"/>
              <w:rPr>
                <w:rFonts w:eastAsia="標楷體"/>
                <w:kern w:val="0"/>
              </w:rPr>
            </w:pPr>
            <w:r w:rsidRPr="00D55DC6">
              <w:rPr>
                <w:rFonts w:eastAsia="標楷體"/>
                <w:kern w:val="0"/>
              </w:rPr>
              <w:t>0.20</w:t>
            </w:r>
          </w:p>
        </w:tc>
        <w:tc>
          <w:tcPr>
            <w:tcW w:w="719" w:type="dxa"/>
          </w:tcPr>
          <w:p w:rsidR="005D6EF0" w:rsidRPr="00D55DC6" w:rsidRDefault="005D6EF0" w:rsidP="0038165F">
            <w:pPr>
              <w:spacing w:line="0" w:lineRule="atLeast"/>
              <w:jc w:val="right"/>
              <w:rPr>
                <w:rFonts w:eastAsia="標楷體"/>
                <w:kern w:val="0"/>
              </w:rPr>
            </w:pPr>
            <w:r w:rsidRPr="00D55DC6">
              <w:rPr>
                <w:rFonts w:eastAsia="標楷體"/>
                <w:kern w:val="0"/>
              </w:rPr>
              <w:t>0.20</w:t>
            </w:r>
          </w:p>
        </w:tc>
        <w:tc>
          <w:tcPr>
            <w:tcW w:w="719" w:type="dxa"/>
          </w:tcPr>
          <w:p w:rsidR="005D6EF0" w:rsidRPr="00D55DC6" w:rsidRDefault="005D6EF0" w:rsidP="0038165F">
            <w:pPr>
              <w:spacing w:line="0" w:lineRule="atLeast"/>
              <w:jc w:val="right"/>
              <w:rPr>
                <w:rFonts w:eastAsia="標楷體"/>
                <w:kern w:val="0"/>
              </w:rPr>
            </w:pPr>
            <w:r w:rsidRPr="00D55DC6">
              <w:rPr>
                <w:rFonts w:eastAsia="標楷體"/>
                <w:kern w:val="0"/>
              </w:rPr>
              <w:t>0.20</w:t>
            </w:r>
          </w:p>
        </w:tc>
        <w:tc>
          <w:tcPr>
            <w:tcW w:w="719" w:type="dxa"/>
          </w:tcPr>
          <w:p w:rsidR="005D6EF0" w:rsidRPr="00D55DC6" w:rsidRDefault="005D6EF0" w:rsidP="0038165F">
            <w:pPr>
              <w:spacing w:line="0" w:lineRule="atLeast"/>
              <w:jc w:val="right"/>
              <w:rPr>
                <w:rFonts w:eastAsia="標楷體"/>
                <w:kern w:val="0"/>
              </w:rPr>
            </w:pPr>
            <w:r w:rsidRPr="00D55DC6">
              <w:rPr>
                <w:rFonts w:eastAsia="標楷體"/>
                <w:kern w:val="0"/>
              </w:rPr>
              <w:t>0.22</w:t>
            </w:r>
          </w:p>
        </w:tc>
        <w:tc>
          <w:tcPr>
            <w:tcW w:w="778" w:type="dxa"/>
          </w:tcPr>
          <w:p w:rsidR="005D6EF0" w:rsidRPr="00D55DC6" w:rsidRDefault="005D6EF0" w:rsidP="0038165F">
            <w:pPr>
              <w:spacing w:line="0" w:lineRule="atLeast"/>
              <w:jc w:val="right"/>
              <w:rPr>
                <w:rFonts w:eastAsia="標楷體"/>
                <w:kern w:val="0"/>
              </w:rPr>
            </w:pPr>
            <w:r w:rsidRPr="00D55DC6">
              <w:rPr>
                <w:rFonts w:eastAsia="標楷體"/>
                <w:kern w:val="0"/>
              </w:rPr>
              <w:t>0.82</w:t>
            </w:r>
          </w:p>
        </w:tc>
        <w:tc>
          <w:tcPr>
            <w:tcW w:w="2059" w:type="dxa"/>
            <w:vAlign w:val="center"/>
          </w:tcPr>
          <w:p w:rsidR="005D6EF0" w:rsidRPr="00D55DC6" w:rsidRDefault="005D6EF0" w:rsidP="0038165F">
            <w:pPr>
              <w:widowControl/>
              <w:spacing w:line="0" w:lineRule="atLeast"/>
              <w:jc w:val="both"/>
              <w:rPr>
                <w:rFonts w:eastAsia="標楷體"/>
                <w:kern w:val="0"/>
                <w:sz w:val="20"/>
                <w:szCs w:val="20"/>
              </w:rPr>
            </w:pPr>
            <w:r w:rsidRPr="00D55DC6">
              <w:rPr>
                <w:rFonts w:eastAsia="標楷體"/>
                <w:kern w:val="0"/>
                <w:sz w:val="20"/>
                <w:szCs w:val="20"/>
              </w:rPr>
              <w:t>完成松柏嶺、百果山等遊憩地區環境及公共服務設施改善等</w:t>
            </w:r>
          </w:p>
        </w:tc>
      </w:tr>
      <w:tr w:rsidR="001D0350" w:rsidRPr="00D55DC6" w:rsidTr="00A82A80">
        <w:trPr>
          <w:trHeight w:val="379"/>
          <w:jc w:val="center"/>
        </w:trPr>
        <w:tc>
          <w:tcPr>
            <w:tcW w:w="477" w:type="dxa"/>
            <w:vMerge/>
            <w:vAlign w:val="center"/>
          </w:tcPr>
          <w:p w:rsidR="005D6EF0" w:rsidRPr="00D55DC6" w:rsidRDefault="005D6EF0" w:rsidP="0038165F">
            <w:pPr>
              <w:widowControl/>
              <w:spacing w:line="0" w:lineRule="atLeast"/>
              <w:rPr>
                <w:rFonts w:eastAsia="標楷體"/>
                <w:kern w:val="0"/>
              </w:rPr>
            </w:pPr>
          </w:p>
        </w:tc>
        <w:tc>
          <w:tcPr>
            <w:tcW w:w="717" w:type="dxa"/>
            <w:vMerge/>
            <w:vAlign w:val="center"/>
          </w:tcPr>
          <w:p w:rsidR="005D6EF0" w:rsidRPr="00D55DC6" w:rsidRDefault="005D6EF0" w:rsidP="0038165F">
            <w:pPr>
              <w:widowControl/>
              <w:spacing w:line="0" w:lineRule="atLeast"/>
              <w:rPr>
                <w:rFonts w:eastAsia="標楷體"/>
                <w:kern w:val="0"/>
              </w:rPr>
            </w:pPr>
          </w:p>
        </w:tc>
        <w:tc>
          <w:tcPr>
            <w:tcW w:w="874" w:type="dxa"/>
            <w:vMerge/>
            <w:vAlign w:val="center"/>
          </w:tcPr>
          <w:p w:rsidR="005D6EF0" w:rsidRPr="00D55DC6" w:rsidRDefault="005D6EF0" w:rsidP="0038165F">
            <w:pPr>
              <w:widowControl/>
              <w:spacing w:line="0" w:lineRule="atLeast"/>
              <w:rPr>
                <w:rFonts w:eastAsia="標楷體"/>
                <w:kern w:val="0"/>
              </w:rPr>
            </w:pPr>
          </w:p>
        </w:tc>
        <w:tc>
          <w:tcPr>
            <w:tcW w:w="2276" w:type="dxa"/>
            <w:shd w:val="clear" w:color="auto" w:fill="E6E6E6"/>
          </w:tcPr>
          <w:p w:rsidR="005D6EF0" w:rsidRPr="00D55DC6" w:rsidRDefault="005D6EF0" w:rsidP="0038165F">
            <w:pPr>
              <w:widowControl/>
              <w:spacing w:line="0" w:lineRule="atLeast"/>
              <w:jc w:val="both"/>
              <w:rPr>
                <w:rFonts w:eastAsia="標楷體"/>
                <w:kern w:val="0"/>
              </w:rPr>
            </w:pPr>
            <w:r w:rsidRPr="00D55DC6">
              <w:rPr>
                <w:rFonts w:eastAsia="標楷體"/>
                <w:kern w:val="0"/>
              </w:rPr>
              <w:t>(3)</w:t>
            </w:r>
            <w:r w:rsidRPr="00D55DC6">
              <w:rPr>
                <w:rFonts w:eastAsia="標楷體"/>
                <w:kern w:val="0"/>
              </w:rPr>
              <w:t>國內觀光重要景點</w:t>
            </w:r>
          </w:p>
        </w:tc>
        <w:tc>
          <w:tcPr>
            <w:tcW w:w="719" w:type="dxa"/>
            <w:shd w:val="clear" w:color="auto" w:fill="E6E6E6"/>
          </w:tcPr>
          <w:p w:rsidR="005D6EF0" w:rsidRPr="00D55DC6" w:rsidRDefault="005D6EF0" w:rsidP="0038165F">
            <w:pPr>
              <w:widowControl/>
              <w:spacing w:line="0" w:lineRule="atLeast"/>
              <w:jc w:val="right"/>
              <w:rPr>
                <w:rFonts w:eastAsia="標楷體"/>
                <w:kern w:val="0"/>
              </w:rPr>
            </w:pPr>
            <w:r w:rsidRPr="00D55DC6">
              <w:rPr>
                <w:rFonts w:eastAsia="標楷體"/>
                <w:kern w:val="0"/>
              </w:rPr>
              <w:t>0.52</w:t>
            </w:r>
          </w:p>
        </w:tc>
        <w:tc>
          <w:tcPr>
            <w:tcW w:w="719" w:type="dxa"/>
            <w:shd w:val="clear" w:color="auto" w:fill="E6E6E6"/>
          </w:tcPr>
          <w:p w:rsidR="005D6EF0" w:rsidRPr="00D55DC6" w:rsidRDefault="005D6EF0" w:rsidP="0038165F">
            <w:pPr>
              <w:widowControl/>
              <w:spacing w:line="0" w:lineRule="atLeast"/>
              <w:jc w:val="right"/>
              <w:rPr>
                <w:rFonts w:eastAsia="標楷體"/>
                <w:kern w:val="0"/>
              </w:rPr>
            </w:pPr>
            <w:r w:rsidRPr="00D55DC6">
              <w:rPr>
                <w:rFonts w:eastAsia="標楷體"/>
                <w:kern w:val="0"/>
              </w:rPr>
              <w:t>0.50</w:t>
            </w:r>
          </w:p>
        </w:tc>
        <w:tc>
          <w:tcPr>
            <w:tcW w:w="719" w:type="dxa"/>
            <w:shd w:val="clear" w:color="auto" w:fill="E6E6E6"/>
          </w:tcPr>
          <w:p w:rsidR="005D6EF0" w:rsidRPr="00D55DC6" w:rsidRDefault="005D6EF0" w:rsidP="0038165F">
            <w:pPr>
              <w:widowControl/>
              <w:spacing w:line="0" w:lineRule="atLeast"/>
              <w:jc w:val="right"/>
              <w:rPr>
                <w:rFonts w:eastAsia="標楷體"/>
                <w:kern w:val="0"/>
              </w:rPr>
            </w:pPr>
            <w:r w:rsidRPr="00D55DC6">
              <w:rPr>
                <w:rFonts w:eastAsia="標楷體"/>
                <w:kern w:val="0"/>
              </w:rPr>
              <w:t>0.48</w:t>
            </w:r>
          </w:p>
        </w:tc>
        <w:tc>
          <w:tcPr>
            <w:tcW w:w="719" w:type="dxa"/>
            <w:shd w:val="clear" w:color="auto" w:fill="E6E6E6"/>
          </w:tcPr>
          <w:p w:rsidR="005D6EF0" w:rsidRPr="00D55DC6" w:rsidRDefault="005D6EF0" w:rsidP="0038165F">
            <w:pPr>
              <w:widowControl/>
              <w:spacing w:line="0" w:lineRule="atLeast"/>
              <w:jc w:val="right"/>
              <w:rPr>
                <w:rFonts w:eastAsia="標楷體"/>
                <w:kern w:val="0"/>
              </w:rPr>
            </w:pPr>
            <w:r w:rsidRPr="00D55DC6">
              <w:rPr>
                <w:rFonts w:eastAsia="標楷體"/>
                <w:kern w:val="0"/>
              </w:rPr>
              <w:t>0.50</w:t>
            </w:r>
          </w:p>
        </w:tc>
        <w:tc>
          <w:tcPr>
            <w:tcW w:w="778" w:type="dxa"/>
            <w:shd w:val="clear" w:color="auto" w:fill="E6E6E6"/>
          </w:tcPr>
          <w:p w:rsidR="005D6EF0" w:rsidRPr="00D55DC6" w:rsidRDefault="005D6EF0" w:rsidP="0038165F">
            <w:pPr>
              <w:widowControl/>
              <w:spacing w:line="0" w:lineRule="atLeast"/>
              <w:jc w:val="right"/>
              <w:rPr>
                <w:rFonts w:eastAsia="標楷體"/>
                <w:kern w:val="0"/>
              </w:rPr>
            </w:pPr>
            <w:r w:rsidRPr="00D55DC6">
              <w:rPr>
                <w:rFonts w:eastAsia="標楷體"/>
                <w:kern w:val="0"/>
              </w:rPr>
              <w:t>2.00</w:t>
            </w:r>
          </w:p>
        </w:tc>
        <w:tc>
          <w:tcPr>
            <w:tcW w:w="2059" w:type="dxa"/>
            <w:vAlign w:val="center"/>
          </w:tcPr>
          <w:p w:rsidR="005D6EF0" w:rsidRPr="00D55DC6" w:rsidRDefault="005D6EF0" w:rsidP="0038165F">
            <w:pPr>
              <w:spacing w:line="0" w:lineRule="atLeast"/>
              <w:jc w:val="both"/>
              <w:rPr>
                <w:rFonts w:eastAsia="標楷體"/>
                <w:sz w:val="20"/>
                <w:szCs w:val="20"/>
              </w:rPr>
            </w:pPr>
            <w:r w:rsidRPr="00D55DC6">
              <w:rPr>
                <w:rFonts w:eastAsia="標楷體"/>
                <w:kern w:val="0"/>
                <w:sz w:val="20"/>
                <w:szCs w:val="20"/>
              </w:rPr>
              <w:t>辦理轄區重要景點建設</w:t>
            </w:r>
          </w:p>
        </w:tc>
      </w:tr>
      <w:tr w:rsidR="001D0350" w:rsidRPr="00D55DC6" w:rsidTr="00A82A80">
        <w:trPr>
          <w:trHeight w:val="513"/>
          <w:jc w:val="center"/>
        </w:trPr>
        <w:tc>
          <w:tcPr>
            <w:tcW w:w="477" w:type="dxa"/>
            <w:vMerge/>
            <w:vAlign w:val="center"/>
          </w:tcPr>
          <w:p w:rsidR="005D6EF0" w:rsidRPr="00D55DC6" w:rsidRDefault="005D6EF0" w:rsidP="0038165F">
            <w:pPr>
              <w:widowControl/>
              <w:spacing w:line="0" w:lineRule="atLeast"/>
              <w:rPr>
                <w:rFonts w:eastAsia="標楷體"/>
                <w:kern w:val="0"/>
              </w:rPr>
            </w:pPr>
          </w:p>
        </w:tc>
        <w:tc>
          <w:tcPr>
            <w:tcW w:w="717" w:type="dxa"/>
            <w:vMerge/>
            <w:vAlign w:val="center"/>
          </w:tcPr>
          <w:p w:rsidR="005D6EF0" w:rsidRPr="00D55DC6" w:rsidRDefault="005D6EF0" w:rsidP="0038165F">
            <w:pPr>
              <w:widowControl/>
              <w:spacing w:line="0" w:lineRule="atLeast"/>
              <w:rPr>
                <w:rFonts w:eastAsia="標楷體"/>
                <w:kern w:val="0"/>
              </w:rPr>
            </w:pPr>
          </w:p>
        </w:tc>
        <w:tc>
          <w:tcPr>
            <w:tcW w:w="874" w:type="dxa"/>
            <w:vMerge/>
            <w:vAlign w:val="center"/>
          </w:tcPr>
          <w:p w:rsidR="005D6EF0" w:rsidRPr="00D55DC6" w:rsidRDefault="005D6EF0" w:rsidP="0038165F">
            <w:pPr>
              <w:widowControl/>
              <w:spacing w:line="0" w:lineRule="atLeast"/>
              <w:rPr>
                <w:rFonts w:eastAsia="標楷體"/>
                <w:kern w:val="0"/>
              </w:rPr>
            </w:pPr>
          </w:p>
        </w:tc>
        <w:tc>
          <w:tcPr>
            <w:tcW w:w="2276" w:type="dxa"/>
          </w:tcPr>
          <w:p w:rsidR="005D6EF0" w:rsidRPr="00D55DC6" w:rsidRDefault="005D6EF0" w:rsidP="0038165F">
            <w:pPr>
              <w:widowControl/>
              <w:spacing w:line="0" w:lineRule="atLeast"/>
              <w:jc w:val="both"/>
              <w:rPr>
                <w:rFonts w:eastAsia="標楷體"/>
                <w:kern w:val="0"/>
              </w:rPr>
            </w:pPr>
            <w:r w:rsidRPr="00D55DC6">
              <w:rPr>
                <w:rFonts w:eastAsia="標楷體"/>
                <w:kern w:val="0"/>
              </w:rPr>
              <w:t>A.</w:t>
            </w:r>
            <w:r w:rsidRPr="00D55DC6">
              <w:rPr>
                <w:rFonts w:eastAsia="標楷體"/>
                <w:kern w:val="0"/>
              </w:rPr>
              <w:t>獅頭山遊憩區</w:t>
            </w:r>
          </w:p>
        </w:tc>
        <w:tc>
          <w:tcPr>
            <w:tcW w:w="719" w:type="dxa"/>
          </w:tcPr>
          <w:p w:rsidR="005D6EF0" w:rsidRPr="00D55DC6" w:rsidRDefault="005D6EF0" w:rsidP="0038165F">
            <w:pPr>
              <w:spacing w:line="0" w:lineRule="atLeast"/>
              <w:jc w:val="right"/>
              <w:rPr>
                <w:rFonts w:eastAsia="標楷體"/>
                <w:kern w:val="0"/>
              </w:rPr>
            </w:pPr>
            <w:r w:rsidRPr="00D55DC6">
              <w:rPr>
                <w:rFonts w:eastAsia="標楷體"/>
                <w:kern w:val="0"/>
              </w:rPr>
              <w:t>0.17</w:t>
            </w:r>
          </w:p>
        </w:tc>
        <w:tc>
          <w:tcPr>
            <w:tcW w:w="719" w:type="dxa"/>
          </w:tcPr>
          <w:p w:rsidR="005D6EF0" w:rsidRPr="00D55DC6" w:rsidRDefault="005D6EF0" w:rsidP="0038165F">
            <w:pPr>
              <w:spacing w:line="0" w:lineRule="atLeast"/>
              <w:jc w:val="right"/>
              <w:rPr>
                <w:rFonts w:eastAsia="標楷體"/>
                <w:kern w:val="0"/>
              </w:rPr>
            </w:pPr>
            <w:r w:rsidRPr="00D55DC6">
              <w:rPr>
                <w:rFonts w:eastAsia="標楷體"/>
                <w:kern w:val="0"/>
              </w:rPr>
              <w:t>0.16</w:t>
            </w:r>
          </w:p>
        </w:tc>
        <w:tc>
          <w:tcPr>
            <w:tcW w:w="719" w:type="dxa"/>
          </w:tcPr>
          <w:p w:rsidR="005D6EF0" w:rsidRPr="00D55DC6" w:rsidRDefault="005D6EF0" w:rsidP="0038165F">
            <w:pPr>
              <w:spacing w:line="0" w:lineRule="atLeast"/>
              <w:jc w:val="right"/>
              <w:rPr>
                <w:rFonts w:eastAsia="標楷體"/>
                <w:kern w:val="0"/>
              </w:rPr>
            </w:pPr>
            <w:r w:rsidRPr="00D55DC6">
              <w:rPr>
                <w:rFonts w:eastAsia="標楷體"/>
                <w:kern w:val="0"/>
              </w:rPr>
              <w:t>0.15</w:t>
            </w:r>
          </w:p>
        </w:tc>
        <w:tc>
          <w:tcPr>
            <w:tcW w:w="719" w:type="dxa"/>
          </w:tcPr>
          <w:p w:rsidR="005D6EF0" w:rsidRPr="00D55DC6" w:rsidRDefault="005D6EF0" w:rsidP="0038165F">
            <w:pPr>
              <w:spacing w:line="0" w:lineRule="atLeast"/>
              <w:jc w:val="right"/>
              <w:rPr>
                <w:rFonts w:eastAsia="標楷體"/>
                <w:kern w:val="0"/>
              </w:rPr>
            </w:pPr>
            <w:r w:rsidRPr="00D55DC6">
              <w:rPr>
                <w:rFonts w:eastAsia="標楷體"/>
                <w:kern w:val="0"/>
              </w:rPr>
              <w:t>0.16</w:t>
            </w:r>
          </w:p>
        </w:tc>
        <w:tc>
          <w:tcPr>
            <w:tcW w:w="778" w:type="dxa"/>
          </w:tcPr>
          <w:p w:rsidR="005D6EF0" w:rsidRPr="00D55DC6" w:rsidRDefault="005D6EF0" w:rsidP="0038165F">
            <w:pPr>
              <w:spacing w:line="0" w:lineRule="atLeast"/>
              <w:jc w:val="right"/>
              <w:rPr>
                <w:rFonts w:eastAsia="標楷體"/>
                <w:kern w:val="0"/>
              </w:rPr>
            </w:pPr>
            <w:r w:rsidRPr="00D55DC6">
              <w:rPr>
                <w:rFonts w:eastAsia="標楷體"/>
                <w:kern w:val="0"/>
              </w:rPr>
              <w:t>0.64</w:t>
            </w:r>
          </w:p>
        </w:tc>
        <w:tc>
          <w:tcPr>
            <w:tcW w:w="2059" w:type="dxa"/>
            <w:vAlign w:val="center"/>
          </w:tcPr>
          <w:p w:rsidR="005D6EF0" w:rsidRPr="00D55DC6" w:rsidRDefault="005D6EF0" w:rsidP="0038165F">
            <w:pPr>
              <w:spacing w:line="0" w:lineRule="atLeast"/>
              <w:jc w:val="both"/>
              <w:rPr>
                <w:rFonts w:eastAsia="標楷體"/>
                <w:kern w:val="0"/>
                <w:sz w:val="20"/>
                <w:szCs w:val="20"/>
              </w:rPr>
            </w:pPr>
            <w:r w:rsidRPr="00D55DC6">
              <w:rPr>
                <w:rFonts w:eastAsia="標楷體"/>
                <w:kern w:val="0"/>
                <w:sz w:val="20"/>
                <w:szCs w:val="20"/>
              </w:rPr>
              <w:t>辦理獅山地區社區部落公共服務設施及步道串聯整修改善等</w:t>
            </w:r>
          </w:p>
        </w:tc>
      </w:tr>
      <w:tr w:rsidR="001D0350" w:rsidRPr="00D55DC6" w:rsidTr="00A82A80">
        <w:trPr>
          <w:trHeight w:val="513"/>
          <w:jc w:val="center"/>
        </w:trPr>
        <w:tc>
          <w:tcPr>
            <w:tcW w:w="477" w:type="dxa"/>
            <w:vMerge/>
            <w:vAlign w:val="center"/>
          </w:tcPr>
          <w:p w:rsidR="005D6EF0" w:rsidRPr="00D55DC6" w:rsidRDefault="005D6EF0" w:rsidP="0038165F">
            <w:pPr>
              <w:widowControl/>
              <w:spacing w:line="0" w:lineRule="atLeast"/>
              <w:rPr>
                <w:rFonts w:eastAsia="標楷體"/>
                <w:kern w:val="0"/>
              </w:rPr>
            </w:pPr>
          </w:p>
        </w:tc>
        <w:tc>
          <w:tcPr>
            <w:tcW w:w="717" w:type="dxa"/>
            <w:vMerge/>
            <w:vAlign w:val="center"/>
          </w:tcPr>
          <w:p w:rsidR="005D6EF0" w:rsidRPr="00D55DC6" w:rsidRDefault="005D6EF0" w:rsidP="0038165F">
            <w:pPr>
              <w:widowControl/>
              <w:spacing w:line="0" w:lineRule="atLeast"/>
              <w:rPr>
                <w:rFonts w:eastAsia="標楷體"/>
                <w:kern w:val="0"/>
              </w:rPr>
            </w:pPr>
          </w:p>
        </w:tc>
        <w:tc>
          <w:tcPr>
            <w:tcW w:w="874" w:type="dxa"/>
            <w:vMerge/>
            <w:vAlign w:val="center"/>
          </w:tcPr>
          <w:p w:rsidR="005D6EF0" w:rsidRPr="00D55DC6" w:rsidRDefault="005D6EF0" w:rsidP="0038165F">
            <w:pPr>
              <w:widowControl/>
              <w:spacing w:line="0" w:lineRule="atLeast"/>
              <w:rPr>
                <w:rFonts w:eastAsia="標楷體"/>
                <w:kern w:val="0"/>
              </w:rPr>
            </w:pPr>
          </w:p>
        </w:tc>
        <w:tc>
          <w:tcPr>
            <w:tcW w:w="2276" w:type="dxa"/>
          </w:tcPr>
          <w:p w:rsidR="005D6EF0" w:rsidRPr="00D55DC6" w:rsidRDefault="005D6EF0" w:rsidP="0038165F">
            <w:pPr>
              <w:widowControl/>
              <w:spacing w:line="0" w:lineRule="atLeast"/>
              <w:jc w:val="both"/>
              <w:rPr>
                <w:rFonts w:eastAsia="標楷體"/>
                <w:kern w:val="0"/>
              </w:rPr>
            </w:pPr>
            <w:r w:rsidRPr="00D55DC6">
              <w:rPr>
                <w:rFonts w:eastAsia="標楷體"/>
                <w:kern w:val="0"/>
              </w:rPr>
              <w:t>B.</w:t>
            </w:r>
            <w:r w:rsidRPr="00D55DC6">
              <w:rPr>
                <w:rFonts w:eastAsia="標楷體"/>
                <w:kern w:val="0"/>
              </w:rPr>
              <w:t>梨山遊憩區</w:t>
            </w:r>
          </w:p>
        </w:tc>
        <w:tc>
          <w:tcPr>
            <w:tcW w:w="719" w:type="dxa"/>
          </w:tcPr>
          <w:p w:rsidR="005D6EF0" w:rsidRPr="00D55DC6" w:rsidRDefault="005D6EF0" w:rsidP="0038165F">
            <w:pPr>
              <w:spacing w:line="0" w:lineRule="atLeast"/>
              <w:jc w:val="right"/>
              <w:rPr>
                <w:rFonts w:eastAsia="標楷體"/>
                <w:kern w:val="0"/>
              </w:rPr>
            </w:pPr>
            <w:r w:rsidRPr="00D55DC6">
              <w:rPr>
                <w:rFonts w:eastAsia="標楷體"/>
                <w:kern w:val="0"/>
              </w:rPr>
              <w:t>0.18</w:t>
            </w:r>
          </w:p>
        </w:tc>
        <w:tc>
          <w:tcPr>
            <w:tcW w:w="719" w:type="dxa"/>
          </w:tcPr>
          <w:p w:rsidR="005D6EF0" w:rsidRPr="00D55DC6" w:rsidRDefault="005D6EF0" w:rsidP="0038165F">
            <w:pPr>
              <w:spacing w:line="0" w:lineRule="atLeast"/>
              <w:jc w:val="right"/>
              <w:rPr>
                <w:rFonts w:eastAsia="標楷體"/>
                <w:kern w:val="0"/>
              </w:rPr>
            </w:pPr>
            <w:r w:rsidRPr="00D55DC6">
              <w:rPr>
                <w:rFonts w:eastAsia="標楷體"/>
                <w:kern w:val="0"/>
              </w:rPr>
              <w:t>0.16</w:t>
            </w:r>
          </w:p>
        </w:tc>
        <w:tc>
          <w:tcPr>
            <w:tcW w:w="719" w:type="dxa"/>
          </w:tcPr>
          <w:p w:rsidR="005D6EF0" w:rsidRPr="00D55DC6" w:rsidRDefault="005D6EF0" w:rsidP="0038165F">
            <w:pPr>
              <w:spacing w:line="0" w:lineRule="atLeast"/>
              <w:jc w:val="right"/>
              <w:rPr>
                <w:rFonts w:eastAsia="標楷體"/>
                <w:kern w:val="0"/>
              </w:rPr>
            </w:pPr>
            <w:r w:rsidRPr="00D55DC6">
              <w:rPr>
                <w:rFonts w:eastAsia="標楷體"/>
                <w:kern w:val="0"/>
              </w:rPr>
              <w:t>0.16</w:t>
            </w:r>
          </w:p>
        </w:tc>
        <w:tc>
          <w:tcPr>
            <w:tcW w:w="719" w:type="dxa"/>
          </w:tcPr>
          <w:p w:rsidR="005D6EF0" w:rsidRPr="00D55DC6" w:rsidRDefault="005D6EF0" w:rsidP="0038165F">
            <w:pPr>
              <w:spacing w:line="0" w:lineRule="atLeast"/>
              <w:jc w:val="right"/>
              <w:rPr>
                <w:rFonts w:eastAsia="標楷體"/>
                <w:kern w:val="0"/>
              </w:rPr>
            </w:pPr>
            <w:r w:rsidRPr="00D55DC6">
              <w:rPr>
                <w:rFonts w:eastAsia="標楷體"/>
                <w:kern w:val="0"/>
              </w:rPr>
              <w:t>0.16</w:t>
            </w:r>
          </w:p>
        </w:tc>
        <w:tc>
          <w:tcPr>
            <w:tcW w:w="778" w:type="dxa"/>
          </w:tcPr>
          <w:p w:rsidR="005D6EF0" w:rsidRPr="00D55DC6" w:rsidRDefault="005D6EF0" w:rsidP="0038165F">
            <w:pPr>
              <w:spacing w:line="0" w:lineRule="atLeast"/>
              <w:jc w:val="right"/>
              <w:rPr>
                <w:rFonts w:eastAsia="標楷體"/>
                <w:kern w:val="0"/>
              </w:rPr>
            </w:pPr>
            <w:r w:rsidRPr="00D55DC6">
              <w:rPr>
                <w:rFonts w:eastAsia="標楷體"/>
                <w:kern w:val="0"/>
              </w:rPr>
              <w:t>0.66</w:t>
            </w:r>
          </w:p>
        </w:tc>
        <w:tc>
          <w:tcPr>
            <w:tcW w:w="2059" w:type="dxa"/>
          </w:tcPr>
          <w:p w:rsidR="005D6EF0" w:rsidRPr="00D55DC6" w:rsidRDefault="005D6EF0" w:rsidP="0038165F">
            <w:pPr>
              <w:spacing w:line="0" w:lineRule="atLeast"/>
              <w:jc w:val="both"/>
              <w:rPr>
                <w:rFonts w:eastAsia="標楷體"/>
                <w:kern w:val="0"/>
                <w:sz w:val="20"/>
                <w:szCs w:val="20"/>
              </w:rPr>
            </w:pPr>
            <w:r w:rsidRPr="00D55DC6">
              <w:rPr>
                <w:rFonts w:eastAsia="標楷體"/>
                <w:kern w:val="0"/>
                <w:sz w:val="20"/>
                <w:szCs w:val="20"/>
              </w:rPr>
              <w:t>辦理梨山地區社區部落周邊景觀環境及公共服務設施等改建設</w:t>
            </w:r>
          </w:p>
        </w:tc>
      </w:tr>
      <w:tr w:rsidR="001D0350" w:rsidRPr="00D55DC6" w:rsidTr="00A82A80">
        <w:trPr>
          <w:trHeight w:val="54"/>
          <w:jc w:val="center"/>
        </w:trPr>
        <w:tc>
          <w:tcPr>
            <w:tcW w:w="477" w:type="dxa"/>
            <w:vMerge/>
            <w:vAlign w:val="center"/>
          </w:tcPr>
          <w:p w:rsidR="005D6EF0" w:rsidRPr="00D55DC6" w:rsidRDefault="005D6EF0" w:rsidP="0038165F">
            <w:pPr>
              <w:widowControl/>
              <w:spacing w:line="0" w:lineRule="atLeast"/>
              <w:rPr>
                <w:rFonts w:eastAsia="標楷體"/>
                <w:kern w:val="0"/>
              </w:rPr>
            </w:pPr>
          </w:p>
        </w:tc>
        <w:tc>
          <w:tcPr>
            <w:tcW w:w="717" w:type="dxa"/>
            <w:vMerge/>
            <w:vAlign w:val="center"/>
          </w:tcPr>
          <w:p w:rsidR="005D6EF0" w:rsidRPr="00D55DC6" w:rsidRDefault="005D6EF0" w:rsidP="0038165F">
            <w:pPr>
              <w:widowControl/>
              <w:spacing w:line="0" w:lineRule="atLeast"/>
              <w:rPr>
                <w:rFonts w:eastAsia="標楷體"/>
                <w:kern w:val="0"/>
              </w:rPr>
            </w:pPr>
          </w:p>
        </w:tc>
        <w:tc>
          <w:tcPr>
            <w:tcW w:w="874" w:type="dxa"/>
            <w:vMerge/>
            <w:vAlign w:val="center"/>
          </w:tcPr>
          <w:p w:rsidR="005D6EF0" w:rsidRPr="00D55DC6" w:rsidRDefault="005D6EF0" w:rsidP="0038165F">
            <w:pPr>
              <w:widowControl/>
              <w:spacing w:line="0" w:lineRule="atLeast"/>
              <w:rPr>
                <w:rFonts w:eastAsia="標楷體"/>
                <w:kern w:val="0"/>
              </w:rPr>
            </w:pPr>
          </w:p>
        </w:tc>
        <w:tc>
          <w:tcPr>
            <w:tcW w:w="2276" w:type="dxa"/>
          </w:tcPr>
          <w:p w:rsidR="005D6EF0" w:rsidRPr="00D55DC6" w:rsidRDefault="005D6EF0" w:rsidP="0038165F">
            <w:pPr>
              <w:spacing w:line="0" w:lineRule="atLeast"/>
              <w:jc w:val="both"/>
              <w:rPr>
                <w:rFonts w:eastAsia="標楷體"/>
                <w:kern w:val="0"/>
              </w:rPr>
            </w:pPr>
            <w:r w:rsidRPr="00D55DC6">
              <w:rPr>
                <w:rFonts w:eastAsia="標楷體"/>
                <w:kern w:val="0"/>
              </w:rPr>
              <w:t>C.</w:t>
            </w:r>
            <w:r w:rsidRPr="00D55DC6">
              <w:rPr>
                <w:rFonts w:eastAsia="標楷體"/>
                <w:kern w:val="0"/>
              </w:rPr>
              <w:t>八卦山遊憩區</w:t>
            </w:r>
          </w:p>
        </w:tc>
        <w:tc>
          <w:tcPr>
            <w:tcW w:w="719" w:type="dxa"/>
          </w:tcPr>
          <w:p w:rsidR="005D6EF0" w:rsidRPr="00D55DC6" w:rsidRDefault="005D6EF0" w:rsidP="0038165F">
            <w:pPr>
              <w:spacing w:line="0" w:lineRule="atLeast"/>
              <w:jc w:val="right"/>
              <w:rPr>
                <w:rFonts w:eastAsia="標楷體"/>
                <w:kern w:val="0"/>
              </w:rPr>
            </w:pPr>
            <w:r w:rsidRPr="00D55DC6">
              <w:rPr>
                <w:rFonts w:eastAsia="標楷體"/>
                <w:kern w:val="0"/>
              </w:rPr>
              <w:t>0.17</w:t>
            </w:r>
          </w:p>
        </w:tc>
        <w:tc>
          <w:tcPr>
            <w:tcW w:w="719" w:type="dxa"/>
          </w:tcPr>
          <w:p w:rsidR="005D6EF0" w:rsidRPr="00D55DC6" w:rsidRDefault="005D6EF0" w:rsidP="0038165F">
            <w:pPr>
              <w:spacing w:line="0" w:lineRule="atLeast"/>
              <w:jc w:val="right"/>
              <w:rPr>
                <w:rFonts w:eastAsia="標楷體"/>
                <w:kern w:val="0"/>
              </w:rPr>
            </w:pPr>
            <w:r w:rsidRPr="00D55DC6">
              <w:rPr>
                <w:rFonts w:eastAsia="標楷體"/>
                <w:kern w:val="0"/>
              </w:rPr>
              <w:t>0.18</w:t>
            </w:r>
          </w:p>
        </w:tc>
        <w:tc>
          <w:tcPr>
            <w:tcW w:w="719" w:type="dxa"/>
          </w:tcPr>
          <w:p w:rsidR="005D6EF0" w:rsidRPr="00D55DC6" w:rsidRDefault="005D6EF0" w:rsidP="0038165F">
            <w:pPr>
              <w:spacing w:line="0" w:lineRule="atLeast"/>
              <w:jc w:val="right"/>
              <w:rPr>
                <w:rFonts w:eastAsia="標楷體"/>
                <w:kern w:val="0"/>
              </w:rPr>
            </w:pPr>
            <w:r w:rsidRPr="00D55DC6">
              <w:rPr>
                <w:rFonts w:eastAsia="標楷體"/>
                <w:kern w:val="0"/>
              </w:rPr>
              <w:t>0.17</w:t>
            </w:r>
          </w:p>
        </w:tc>
        <w:tc>
          <w:tcPr>
            <w:tcW w:w="719" w:type="dxa"/>
          </w:tcPr>
          <w:p w:rsidR="005D6EF0" w:rsidRPr="00D55DC6" w:rsidRDefault="005D6EF0" w:rsidP="0038165F">
            <w:pPr>
              <w:spacing w:line="0" w:lineRule="atLeast"/>
              <w:jc w:val="right"/>
              <w:rPr>
                <w:rFonts w:eastAsia="標楷體"/>
                <w:kern w:val="0"/>
              </w:rPr>
            </w:pPr>
            <w:r w:rsidRPr="00D55DC6">
              <w:rPr>
                <w:rFonts w:eastAsia="標楷體"/>
                <w:kern w:val="0"/>
              </w:rPr>
              <w:t>0.18</w:t>
            </w:r>
          </w:p>
        </w:tc>
        <w:tc>
          <w:tcPr>
            <w:tcW w:w="778" w:type="dxa"/>
          </w:tcPr>
          <w:p w:rsidR="005D6EF0" w:rsidRPr="00D55DC6" w:rsidRDefault="005D6EF0" w:rsidP="0038165F">
            <w:pPr>
              <w:spacing w:line="0" w:lineRule="atLeast"/>
              <w:jc w:val="right"/>
              <w:rPr>
                <w:rFonts w:eastAsia="標楷體"/>
                <w:kern w:val="0"/>
              </w:rPr>
            </w:pPr>
            <w:r w:rsidRPr="00D55DC6">
              <w:rPr>
                <w:rFonts w:eastAsia="標楷體"/>
                <w:kern w:val="0"/>
              </w:rPr>
              <w:t>0.70</w:t>
            </w:r>
          </w:p>
        </w:tc>
        <w:tc>
          <w:tcPr>
            <w:tcW w:w="2059" w:type="dxa"/>
            <w:vAlign w:val="center"/>
          </w:tcPr>
          <w:p w:rsidR="005D6EF0" w:rsidRPr="00D55DC6" w:rsidRDefault="005D6EF0" w:rsidP="0038165F">
            <w:pPr>
              <w:widowControl/>
              <w:spacing w:line="0" w:lineRule="atLeast"/>
              <w:jc w:val="both"/>
              <w:rPr>
                <w:rFonts w:eastAsia="標楷體"/>
                <w:kern w:val="0"/>
                <w:sz w:val="20"/>
                <w:szCs w:val="20"/>
              </w:rPr>
            </w:pPr>
            <w:r w:rsidRPr="00D55DC6">
              <w:rPr>
                <w:rFonts w:eastAsia="標楷體"/>
                <w:kern w:val="0"/>
                <w:sz w:val="20"/>
                <w:szCs w:val="20"/>
              </w:rPr>
              <w:t>辦理八卦山風景區自行車道系統暨公共服務設施、清水岩遊憩區等改善建設</w:t>
            </w:r>
          </w:p>
        </w:tc>
      </w:tr>
      <w:tr w:rsidR="001D0350" w:rsidRPr="00D55DC6" w:rsidTr="00A82A80">
        <w:trPr>
          <w:trHeight w:val="615"/>
          <w:jc w:val="center"/>
        </w:trPr>
        <w:tc>
          <w:tcPr>
            <w:tcW w:w="477" w:type="dxa"/>
            <w:vMerge/>
            <w:vAlign w:val="center"/>
          </w:tcPr>
          <w:p w:rsidR="005D6EF0" w:rsidRPr="00D55DC6" w:rsidRDefault="005D6EF0" w:rsidP="0038165F">
            <w:pPr>
              <w:widowControl/>
              <w:spacing w:line="0" w:lineRule="atLeast"/>
              <w:rPr>
                <w:rFonts w:eastAsia="標楷體"/>
                <w:kern w:val="0"/>
              </w:rPr>
            </w:pPr>
          </w:p>
        </w:tc>
        <w:tc>
          <w:tcPr>
            <w:tcW w:w="717" w:type="dxa"/>
            <w:vMerge/>
            <w:vAlign w:val="center"/>
          </w:tcPr>
          <w:p w:rsidR="005D6EF0" w:rsidRPr="00D55DC6" w:rsidRDefault="005D6EF0" w:rsidP="0038165F">
            <w:pPr>
              <w:widowControl/>
              <w:spacing w:line="0" w:lineRule="atLeast"/>
              <w:rPr>
                <w:rFonts w:eastAsia="標楷體"/>
                <w:kern w:val="0"/>
              </w:rPr>
            </w:pPr>
          </w:p>
        </w:tc>
        <w:tc>
          <w:tcPr>
            <w:tcW w:w="874" w:type="dxa"/>
            <w:vMerge/>
            <w:vAlign w:val="center"/>
          </w:tcPr>
          <w:p w:rsidR="005D6EF0" w:rsidRPr="00D55DC6" w:rsidRDefault="005D6EF0" w:rsidP="0038165F">
            <w:pPr>
              <w:widowControl/>
              <w:spacing w:line="0" w:lineRule="atLeast"/>
              <w:rPr>
                <w:rFonts w:eastAsia="標楷體"/>
                <w:kern w:val="0"/>
              </w:rPr>
            </w:pPr>
          </w:p>
        </w:tc>
        <w:tc>
          <w:tcPr>
            <w:tcW w:w="2276" w:type="dxa"/>
            <w:shd w:val="clear" w:color="auto" w:fill="E6E6E6"/>
          </w:tcPr>
          <w:p w:rsidR="005D6EF0" w:rsidRPr="00D55DC6" w:rsidRDefault="005D6EF0" w:rsidP="0038165F">
            <w:pPr>
              <w:widowControl/>
              <w:spacing w:line="0" w:lineRule="atLeast"/>
              <w:jc w:val="both"/>
              <w:rPr>
                <w:rFonts w:eastAsia="標楷體"/>
                <w:kern w:val="0"/>
              </w:rPr>
            </w:pPr>
            <w:r w:rsidRPr="00D55DC6">
              <w:rPr>
                <w:rFonts w:eastAsia="標楷體"/>
                <w:kern w:val="0"/>
              </w:rPr>
              <w:t>(4)</w:t>
            </w:r>
            <w:r w:rsidRPr="00D55DC6">
              <w:rPr>
                <w:rFonts w:eastAsia="標楷體"/>
                <w:kern w:val="0"/>
              </w:rPr>
              <w:t>環境及設施整修</w:t>
            </w:r>
          </w:p>
        </w:tc>
        <w:tc>
          <w:tcPr>
            <w:tcW w:w="719" w:type="dxa"/>
            <w:shd w:val="clear" w:color="auto" w:fill="E6E6E6"/>
          </w:tcPr>
          <w:p w:rsidR="005D6EF0" w:rsidRPr="00D55DC6" w:rsidRDefault="005D6EF0" w:rsidP="0038165F">
            <w:pPr>
              <w:widowControl/>
              <w:spacing w:line="0" w:lineRule="atLeast"/>
              <w:jc w:val="right"/>
              <w:rPr>
                <w:rFonts w:eastAsia="標楷體"/>
                <w:kern w:val="0"/>
              </w:rPr>
            </w:pPr>
            <w:r w:rsidRPr="00D55DC6">
              <w:rPr>
                <w:rFonts w:eastAsia="標楷體"/>
                <w:kern w:val="0"/>
              </w:rPr>
              <w:t>0.42</w:t>
            </w:r>
          </w:p>
        </w:tc>
        <w:tc>
          <w:tcPr>
            <w:tcW w:w="719" w:type="dxa"/>
            <w:shd w:val="clear" w:color="auto" w:fill="E6E6E6"/>
          </w:tcPr>
          <w:p w:rsidR="005D6EF0" w:rsidRPr="00D55DC6" w:rsidRDefault="005D6EF0" w:rsidP="0038165F">
            <w:pPr>
              <w:widowControl/>
              <w:spacing w:line="0" w:lineRule="atLeast"/>
              <w:jc w:val="right"/>
              <w:rPr>
                <w:rFonts w:eastAsia="標楷體"/>
                <w:kern w:val="0"/>
              </w:rPr>
            </w:pPr>
            <w:r w:rsidRPr="00D55DC6">
              <w:rPr>
                <w:rFonts w:eastAsia="標楷體"/>
                <w:kern w:val="0"/>
              </w:rPr>
              <w:t>0.42</w:t>
            </w:r>
          </w:p>
        </w:tc>
        <w:tc>
          <w:tcPr>
            <w:tcW w:w="719" w:type="dxa"/>
            <w:shd w:val="clear" w:color="auto" w:fill="E6E6E6"/>
          </w:tcPr>
          <w:p w:rsidR="005D6EF0" w:rsidRPr="00D55DC6" w:rsidRDefault="005D6EF0" w:rsidP="0038165F">
            <w:pPr>
              <w:widowControl/>
              <w:spacing w:line="0" w:lineRule="atLeast"/>
              <w:jc w:val="right"/>
              <w:rPr>
                <w:rFonts w:eastAsia="標楷體"/>
                <w:kern w:val="0"/>
              </w:rPr>
            </w:pPr>
            <w:r w:rsidRPr="00D55DC6">
              <w:rPr>
                <w:rFonts w:eastAsia="標楷體"/>
                <w:kern w:val="0"/>
              </w:rPr>
              <w:t xml:space="preserve">0.42 </w:t>
            </w:r>
          </w:p>
        </w:tc>
        <w:tc>
          <w:tcPr>
            <w:tcW w:w="719" w:type="dxa"/>
            <w:shd w:val="clear" w:color="auto" w:fill="E6E6E6"/>
          </w:tcPr>
          <w:p w:rsidR="005D6EF0" w:rsidRPr="00D55DC6" w:rsidRDefault="005D6EF0" w:rsidP="0038165F">
            <w:pPr>
              <w:widowControl/>
              <w:spacing w:line="0" w:lineRule="atLeast"/>
              <w:jc w:val="right"/>
              <w:rPr>
                <w:rFonts w:eastAsia="標楷體"/>
                <w:kern w:val="0"/>
              </w:rPr>
            </w:pPr>
            <w:r w:rsidRPr="00D55DC6">
              <w:rPr>
                <w:rFonts w:eastAsia="標楷體"/>
                <w:kern w:val="0"/>
              </w:rPr>
              <w:t>0.42</w:t>
            </w:r>
          </w:p>
        </w:tc>
        <w:tc>
          <w:tcPr>
            <w:tcW w:w="778" w:type="dxa"/>
            <w:shd w:val="clear" w:color="auto" w:fill="E6E6E6"/>
          </w:tcPr>
          <w:p w:rsidR="005D6EF0" w:rsidRPr="00D55DC6" w:rsidRDefault="005D6EF0" w:rsidP="0038165F">
            <w:pPr>
              <w:widowControl/>
              <w:spacing w:line="0" w:lineRule="atLeast"/>
              <w:jc w:val="right"/>
              <w:rPr>
                <w:rFonts w:eastAsia="標楷體"/>
                <w:kern w:val="0"/>
              </w:rPr>
            </w:pPr>
            <w:r w:rsidRPr="00D55DC6">
              <w:rPr>
                <w:rFonts w:eastAsia="標楷體"/>
                <w:kern w:val="0"/>
              </w:rPr>
              <w:t>1.68</w:t>
            </w:r>
          </w:p>
        </w:tc>
        <w:tc>
          <w:tcPr>
            <w:tcW w:w="2059" w:type="dxa"/>
          </w:tcPr>
          <w:p w:rsidR="005D6EF0" w:rsidRPr="00D55DC6" w:rsidRDefault="005D6EF0" w:rsidP="0038165F">
            <w:pPr>
              <w:widowControl/>
              <w:spacing w:line="0" w:lineRule="atLeast"/>
              <w:jc w:val="both"/>
              <w:rPr>
                <w:rFonts w:eastAsia="標楷體"/>
                <w:kern w:val="0"/>
                <w:sz w:val="20"/>
                <w:szCs w:val="20"/>
              </w:rPr>
            </w:pPr>
            <w:r w:rsidRPr="00D55DC6">
              <w:rPr>
                <w:rFonts w:eastAsia="標楷體"/>
                <w:kern w:val="0"/>
                <w:sz w:val="20"/>
                <w:szCs w:val="20"/>
              </w:rPr>
              <w:t>公共設施整修或緊急修繕工程、全區災害復舊及一般零星工程</w:t>
            </w:r>
          </w:p>
        </w:tc>
      </w:tr>
      <w:tr w:rsidR="001D0350" w:rsidRPr="00D55DC6" w:rsidTr="00A82A80">
        <w:trPr>
          <w:trHeight w:val="390"/>
          <w:jc w:val="center"/>
        </w:trPr>
        <w:tc>
          <w:tcPr>
            <w:tcW w:w="477" w:type="dxa"/>
            <w:vMerge/>
            <w:vAlign w:val="center"/>
          </w:tcPr>
          <w:p w:rsidR="005D6EF0" w:rsidRPr="00D55DC6" w:rsidRDefault="005D6EF0" w:rsidP="0038165F">
            <w:pPr>
              <w:widowControl/>
              <w:spacing w:line="0" w:lineRule="atLeast"/>
              <w:rPr>
                <w:rFonts w:eastAsia="標楷體"/>
                <w:kern w:val="0"/>
              </w:rPr>
            </w:pPr>
          </w:p>
        </w:tc>
        <w:tc>
          <w:tcPr>
            <w:tcW w:w="717" w:type="dxa"/>
            <w:vMerge/>
            <w:vAlign w:val="center"/>
          </w:tcPr>
          <w:p w:rsidR="005D6EF0" w:rsidRPr="00D55DC6" w:rsidRDefault="005D6EF0" w:rsidP="0038165F">
            <w:pPr>
              <w:widowControl/>
              <w:spacing w:line="0" w:lineRule="atLeast"/>
              <w:rPr>
                <w:rFonts w:eastAsia="標楷體"/>
                <w:kern w:val="0"/>
              </w:rPr>
            </w:pPr>
          </w:p>
        </w:tc>
        <w:tc>
          <w:tcPr>
            <w:tcW w:w="874" w:type="dxa"/>
            <w:vMerge/>
            <w:vAlign w:val="center"/>
          </w:tcPr>
          <w:p w:rsidR="005D6EF0" w:rsidRPr="00D55DC6" w:rsidRDefault="005D6EF0" w:rsidP="0038165F">
            <w:pPr>
              <w:widowControl/>
              <w:spacing w:line="0" w:lineRule="atLeast"/>
              <w:rPr>
                <w:rFonts w:eastAsia="標楷體"/>
                <w:kern w:val="0"/>
              </w:rPr>
            </w:pPr>
          </w:p>
        </w:tc>
        <w:tc>
          <w:tcPr>
            <w:tcW w:w="2276" w:type="dxa"/>
            <w:shd w:val="clear" w:color="auto" w:fill="99FFCC"/>
          </w:tcPr>
          <w:p w:rsidR="005D6EF0" w:rsidRPr="00D55DC6" w:rsidRDefault="005D6EF0" w:rsidP="0038165F">
            <w:pPr>
              <w:widowControl/>
              <w:spacing w:line="0" w:lineRule="atLeast"/>
              <w:jc w:val="center"/>
              <w:rPr>
                <w:rFonts w:eastAsia="標楷體"/>
                <w:b/>
                <w:bCs/>
                <w:kern w:val="0"/>
              </w:rPr>
            </w:pPr>
            <w:r w:rsidRPr="00D55DC6">
              <w:rPr>
                <w:rFonts w:eastAsia="標楷體"/>
                <w:b/>
                <w:bCs/>
                <w:kern w:val="0"/>
              </w:rPr>
              <w:t>資本門合計</w:t>
            </w:r>
          </w:p>
        </w:tc>
        <w:tc>
          <w:tcPr>
            <w:tcW w:w="719" w:type="dxa"/>
            <w:shd w:val="clear" w:color="auto" w:fill="99FFCC"/>
          </w:tcPr>
          <w:p w:rsidR="005D6EF0" w:rsidRPr="00D55DC6" w:rsidRDefault="005D6EF0" w:rsidP="0038165F">
            <w:pPr>
              <w:widowControl/>
              <w:spacing w:line="0" w:lineRule="atLeast"/>
              <w:jc w:val="right"/>
              <w:rPr>
                <w:rFonts w:eastAsia="標楷體"/>
                <w:b/>
                <w:bCs/>
                <w:kern w:val="0"/>
              </w:rPr>
            </w:pPr>
            <w:r w:rsidRPr="00D55DC6">
              <w:rPr>
                <w:rFonts w:eastAsia="標楷體"/>
                <w:b/>
                <w:bCs/>
                <w:kern w:val="0"/>
              </w:rPr>
              <w:t>1.62</w:t>
            </w:r>
          </w:p>
        </w:tc>
        <w:tc>
          <w:tcPr>
            <w:tcW w:w="719" w:type="dxa"/>
            <w:shd w:val="clear" w:color="auto" w:fill="99FFCC"/>
          </w:tcPr>
          <w:p w:rsidR="005D6EF0" w:rsidRPr="00D55DC6" w:rsidRDefault="005D6EF0" w:rsidP="0038165F">
            <w:pPr>
              <w:widowControl/>
              <w:spacing w:line="0" w:lineRule="atLeast"/>
              <w:jc w:val="right"/>
              <w:rPr>
                <w:rFonts w:eastAsia="標楷體"/>
                <w:b/>
                <w:bCs/>
                <w:kern w:val="0"/>
              </w:rPr>
            </w:pPr>
            <w:r w:rsidRPr="00D55DC6">
              <w:rPr>
                <w:rFonts w:eastAsia="標楷體"/>
                <w:b/>
                <w:bCs/>
                <w:kern w:val="0"/>
              </w:rPr>
              <w:t>1.62</w:t>
            </w:r>
          </w:p>
        </w:tc>
        <w:tc>
          <w:tcPr>
            <w:tcW w:w="719" w:type="dxa"/>
            <w:shd w:val="clear" w:color="auto" w:fill="99FFCC"/>
          </w:tcPr>
          <w:p w:rsidR="005D6EF0" w:rsidRPr="00D55DC6" w:rsidRDefault="005D6EF0" w:rsidP="0038165F">
            <w:pPr>
              <w:widowControl/>
              <w:spacing w:line="0" w:lineRule="atLeast"/>
              <w:jc w:val="right"/>
              <w:rPr>
                <w:rFonts w:eastAsia="標楷體"/>
                <w:b/>
                <w:bCs/>
                <w:kern w:val="0"/>
              </w:rPr>
            </w:pPr>
            <w:r w:rsidRPr="00D55DC6">
              <w:rPr>
                <w:rFonts w:eastAsia="標楷體"/>
                <w:b/>
                <w:bCs/>
                <w:kern w:val="0"/>
              </w:rPr>
              <w:t>1.62</w:t>
            </w:r>
          </w:p>
        </w:tc>
        <w:tc>
          <w:tcPr>
            <w:tcW w:w="719" w:type="dxa"/>
            <w:shd w:val="clear" w:color="auto" w:fill="99FFCC"/>
          </w:tcPr>
          <w:p w:rsidR="005D6EF0" w:rsidRPr="00D55DC6" w:rsidRDefault="005D6EF0" w:rsidP="0038165F">
            <w:pPr>
              <w:widowControl/>
              <w:spacing w:line="0" w:lineRule="atLeast"/>
              <w:jc w:val="right"/>
              <w:rPr>
                <w:rFonts w:eastAsia="標楷體"/>
                <w:b/>
                <w:bCs/>
                <w:kern w:val="0"/>
              </w:rPr>
            </w:pPr>
            <w:r w:rsidRPr="00D55DC6">
              <w:rPr>
                <w:rFonts w:eastAsia="標楷體"/>
                <w:b/>
                <w:bCs/>
                <w:kern w:val="0"/>
              </w:rPr>
              <w:t>1.62</w:t>
            </w:r>
          </w:p>
        </w:tc>
        <w:tc>
          <w:tcPr>
            <w:tcW w:w="778" w:type="dxa"/>
            <w:shd w:val="clear" w:color="auto" w:fill="99FFCC"/>
          </w:tcPr>
          <w:p w:rsidR="005D6EF0" w:rsidRPr="00D55DC6" w:rsidRDefault="005D6EF0" w:rsidP="0038165F">
            <w:pPr>
              <w:widowControl/>
              <w:spacing w:line="0" w:lineRule="atLeast"/>
              <w:jc w:val="right"/>
              <w:rPr>
                <w:rFonts w:eastAsia="標楷體"/>
                <w:b/>
                <w:bCs/>
                <w:kern w:val="0"/>
              </w:rPr>
            </w:pPr>
            <w:r w:rsidRPr="00D55DC6">
              <w:rPr>
                <w:rFonts w:eastAsia="標楷體"/>
                <w:b/>
                <w:bCs/>
                <w:kern w:val="0"/>
              </w:rPr>
              <w:t>6.48</w:t>
            </w:r>
          </w:p>
        </w:tc>
        <w:tc>
          <w:tcPr>
            <w:tcW w:w="2059" w:type="dxa"/>
          </w:tcPr>
          <w:p w:rsidR="005D6EF0" w:rsidRPr="00D55DC6" w:rsidRDefault="005D6EF0" w:rsidP="0038165F">
            <w:pPr>
              <w:widowControl/>
              <w:spacing w:line="0" w:lineRule="atLeast"/>
              <w:jc w:val="both"/>
              <w:rPr>
                <w:rFonts w:eastAsia="標楷體"/>
                <w:kern w:val="0"/>
              </w:rPr>
            </w:pPr>
          </w:p>
        </w:tc>
      </w:tr>
      <w:tr w:rsidR="001D0350" w:rsidRPr="00D55DC6" w:rsidTr="00A82A80">
        <w:trPr>
          <w:trHeight w:val="649"/>
          <w:jc w:val="center"/>
        </w:trPr>
        <w:tc>
          <w:tcPr>
            <w:tcW w:w="4344" w:type="dxa"/>
            <w:gridSpan w:val="4"/>
            <w:shd w:val="clear" w:color="auto" w:fill="00B0F0"/>
            <w:vAlign w:val="center"/>
          </w:tcPr>
          <w:p w:rsidR="005D6EF0" w:rsidRPr="00D55DC6" w:rsidRDefault="005D6EF0" w:rsidP="0038165F">
            <w:pPr>
              <w:widowControl/>
              <w:spacing w:line="0" w:lineRule="atLeast"/>
              <w:jc w:val="distribute"/>
              <w:rPr>
                <w:rFonts w:eastAsia="標楷體"/>
                <w:b/>
                <w:bCs/>
                <w:kern w:val="0"/>
              </w:rPr>
            </w:pPr>
            <w:r w:rsidRPr="00D55DC6">
              <w:rPr>
                <w:rFonts w:eastAsia="標楷體"/>
                <w:b/>
                <w:kern w:val="0"/>
              </w:rPr>
              <w:t>經資門合計</w:t>
            </w:r>
          </w:p>
        </w:tc>
        <w:tc>
          <w:tcPr>
            <w:tcW w:w="719" w:type="dxa"/>
            <w:shd w:val="clear" w:color="auto" w:fill="00B0F0"/>
            <w:vAlign w:val="center"/>
          </w:tcPr>
          <w:p w:rsidR="005D6EF0" w:rsidRPr="00D55DC6" w:rsidRDefault="005D6EF0" w:rsidP="0038165F">
            <w:pPr>
              <w:spacing w:line="0" w:lineRule="atLeast"/>
              <w:jc w:val="right"/>
              <w:rPr>
                <w:rFonts w:eastAsia="標楷體"/>
                <w:b/>
                <w:kern w:val="0"/>
              </w:rPr>
            </w:pPr>
            <w:r w:rsidRPr="00D55DC6">
              <w:rPr>
                <w:rFonts w:eastAsia="標楷體"/>
                <w:b/>
                <w:kern w:val="0"/>
              </w:rPr>
              <w:t>1.80</w:t>
            </w:r>
          </w:p>
        </w:tc>
        <w:tc>
          <w:tcPr>
            <w:tcW w:w="719" w:type="dxa"/>
            <w:shd w:val="clear" w:color="auto" w:fill="00B0F0"/>
            <w:vAlign w:val="center"/>
          </w:tcPr>
          <w:p w:rsidR="005D6EF0" w:rsidRPr="00D55DC6" w:rsidRDefault="005D6EF0" w:rsidP="0038165F">
            <w:pPr>
              <w:spacing w:line="0" w:lineRule="atLeast"/>
              <w:jc w:val="right"/>
              <w:rPr>
                <w:rFonts w:eastAsia="標楷體"/>
                <w:b/>
                <w:kern w:val="0"/>
              </w:rPr>
            </w:pPr>
            <w:r w:rsidRPr="00D55DC6">
              <w:rPr>
                <w:rFonts w:eastAsia="標楷體"/>
                <w:b/>
                <w:kern w:val="0"/>
              </w:rPr>
              <w:t>1.80</w:t>
            </w:r>
          </w:p>
        </w:tc>
        <w:tc>
          <w:tcPr>
            <w:tcW w:w="719" w:type="dxa"/>
            <w:shd w:val="clear" w:color="auto" w:fill="00B0F0"/>
            <w:vAlign w:val="center"/>
          </w:tcPr>
          <w:p w:rsidR="005D6EF0" w:rsidRPr="00D55DC6" w:rsidRDefault="005D6EF0" w:rsidP="0038165F">
            <w:pPr>
              <w:spacing w:line="0" w:lineRule="atLeast"/>
              <w:jc w:val="right"/>
              <w:rPr>
                <w:rFonts w:eastAsia="標楷體"/>
                <w:b/>
                <w:kern w:val="0"/>
              </w:rPr>
            </w:pPr>
            <w:r w:rsidRPr="00D55DC6">
              <w:rPr>
                <w:rFonts w:eastAsia="標楷體"/>
                <w:b/>
                <w:kern w:val="0"/>
              </w:rPr>
              <w:t>1.80</w:t>
            </w:r>
          </w:p>
        </w:tc>
        <w:tc>
          <w:tcPr>
            <w:tcW w:w="719" w:type="dxa"/>
            <w:shd w:val="clear" w:color="auto" w:fill="00B0F0"/>
            <w:vAlign w:val="center"/>
          </w:tcPr>
          <w:p w:rsidR="005D6EF0" w:rsidRPr="00D55DC6" w:rsidRDefault="005D6EF0" w:rsidP="0038165F">
            <w:pPr>
              <w:spacing w:line="0" w:lineRule="atLeast"/>
              <w:jc w:val="right"/>
              <w:rPr>
                <w:rFonts w:eastAsia="標楷體"/>
                <w:b/>
                <w:kern w:val="0"/>
              </w:rPr>
            </w:pPr>
            <w:r w:rsidRPr="00D55DC6">
              <w:rPr>
                <w:rFonts w:eastAsia="標楷體"/>
                <w:b/>
                <w:kern w:val="0"/>
              </w:rPr>
              <w:t>1.80</w:t>
            </w:r>
          </w:p>
        </w:tc>
        <w:tc>
          <w:tcPr>
            <w:tcW w:w="778" w:type="dxa"/>
            <w:shd w:val="clear" w:color="auto" w:fill="00B0F0"/>
            <w:vAlign w:val="center"/>
          </w:tcPr>
          <w:p w:rsidR="005D6EF0" w:rsidRPr="00D55DC6" w:rsidRDefault="005D6EF0" w:rsidP="0038165F">
            <w:pPr>
              <w:spacing w:line="0" w:lineRule="atLeast"/>
              <w:jc w:val="right"/>
              <w:rPr>
                <w:rFonts w:eastAsia="標楷體"/>
                <w:b/>
                <w:kern w:val="0"/>
              </w:rPr>
            </w:pPr>
            <w:r w:rsidRPr="00D55DC6">
              <w:rPr>
                <w:rFonts w:eastAsia="標楷體"/>
                <w:b/>
                <w:kern w:val="0"/>
              </w:rPr>
              <w:t>7.20</w:t>
            </w:r>
          </w:p>
        </w:tc>
        <w:tc>
          <w:tcPr>
            <w:tcW w:w="2059" w:type="dxa"/>
            <w:shd w:val="clear" w:color="auto" w:fill="FFFFFF"/>
            <w:vAlign w:val="center"/>
          </w:tcPr>
          <w:p w:rsidR="005D6EF0" w:rsidRPr="00D55DC6" w:rsidRDefault="005D6EF0" w:rsidP="0038165F">
            <w:pPr>
              <w:widowControl/>
              <w:spacing w:line="0" w:lineRule="atLeast"/>
              <w:jc w:val="center"/>
              <w:rPr>
                <w:rFonts w:eastAsia="標楷體"/>
                <w:b/>
                <w:bCs/>
                <w:kern w:val="0"/>
              </w:rPr>
            </w:pPr>
          </w:p>
        </w:tc>
      </w:tr>
    </w:tbl>
    <w:p w:rsidR="005D6EF0" w:rsidRPr="00D55DC6" w:rsidRDefault="005D6EF0" w:rsidP="0038165F">
      <w:pPr>
        <w:pStyle w:val="a"/>
        <w:numPr>
          <w:ilvl w:val="0"/>
          <w:numId w:val="0"/>
        </w:numPr>
        <w:spacing w:line="480" w:lineRule="exact"/>
        <w:rPr>
          <w:b/>
          <w:bCs/>
        </w:rPr>
      </w:pPr>
    </w:p>
    <w:p w:rsidR="004D7B00" w:rsidRPr="00D55DC6" w:rsidRDefault="004D7B00" w:rsidP="0038165F">
      <w:pPr>
        <w:pStyle w:val="a"/>
        <w:numPr>
          <w:ilvl w:val="0"/>
          <w:numId w:val="0"/>
        </w:numPr>
        <w:spacing w:line="480" w:lineRule="exact"/>
        <w:rPr>
          <w:b/>
          <w:bCs/>
        </w:rPr>
      </w:pPr>
    </w:p>
    <w:p w:rsidR="00A9101C" w:rsidRPr="00D55DC6" w:rsidRDefault="00A9101C" w:rsidP="0038165F">
      <w:pPr>
        <w:pStyle w:val="a"/>
        <w:numPr>
          <w:ilvl w:val="0"/>
          <w:numId w:val="0"/>
        </w:numPr>
        <w:spacing w:line="480" w:lineRule="exact"/>
        <w:rPr>
          <w:b/>
          <w:bCs/>
        </w:rPr>
      </w:pPr>
    </w:p>
    <w:p w:rsidR="005D6EF0" w:rsidRPr="00D55DC6" w:rsidRDefault="005D6EF0" w:rsidP="0038165F">
      <w:pPr>
        <w:pStyle w:val="a"/>
        <w:spacing w:line="480" w:lineRule="exact"/>
        <w:ind w:left="709" w:hanging="709"/>
        <w:rPr>
          <w:b/>
          <w:bCs/>
        </w:rPr>
      </w:pPr>
      <w:bookmarkStart w:id="106" w:name="_Toc407181679"/>
      <w:r w:rsidRPr="00D55DC6">
        <w:rPr>
          <w:b/>
          <w:bCs/>
        </w:rPr>
        <w:t>預期效果及影響</w:t>
      </w:r>
      <w:bookmarkEnd w:id="106"/>
    </w:p>
    <w:p w:rsidR="005D6EF0" w:rsidRPr="00D55DC6" w:rsidRDefault="005D6EF0" w:rsidP="004865C1">
      <w:pPr>
        <w:pStyle w:val="af2"/>
        <w:numPr>
          <w:ilvl w:val="0"/>
          <w:numId w:val="81"/>
        </w:numPr>
        <w:snapToGrid w:val="0"/>
        <w:spacing w:line="480" w:lineRule="exact"/>
        <w:ind w:leftChars="0"/>
        <w:jc w:val="both"/>
        <w:rPr>
          <w:rFonts w:eastAsia="標楷體"/>
          <w:sz w:val="28"/>
          <w:szCs w:val="28"/>
        </w:rPr>
      </w:pPr>
      <w:r w:rsidRPr="00D55DC6">
        <w:rPr>
          <w:rFonts w:eastAsia="標楷體"/>
          <w:sz w:val="28"/>
          <w:szCs w:val="28"/>
        </w:rPr>
        <w:t>賡續盤點轄區觀光資源，積極開發新興亮點，營造具深度、廣度、永續經營的「心動參山</w:t>
      </w:r>
      <w:r w:rsidRPr="00D55DC6">
        <w:rPr>
          <w:rFonts w:eastAsia="標楷體"/>
          <w:sz w:val="28"/>
          <w:szCs w:val="28"/>
        </w:rPr>
        <w:t>—</w:t>
      </w:r>
      <w:r w:rsidRPr="00D55DC6">
        <w:rPr>
          <w:rFonts w:eastAsia="標楷體"/>
          <w:sz w:val="28"/>
          <w:szCs w:val="28"/>
        </w:rPr>
        <w:t>愛在參山，愛在旅遊」優質旅遊環境，吸引國、內外高端客群造訪，希望遊客停留天數由目前</w:t>
      </w:r>
      <w:r w:rsidRPr="00D55DC6">
        <w:rPr>
          <w:rFonts w:eastAsia="標楷體"/>
          <w:sz w:val="28"/>
          <w:szCs w:val="28"/>
        </w:rPr>
        <w:t>1~2</w:t>
      </w:r>
      <w:r w:rsidRPr="00D55DC6">
        <w:rPr>
          <w:rFonts w:eastAsia="標楷體"/>
          <w:sz w:val="28"/>
          <w:szCs w:val="28"/>
        </w:rPr>
        <w:t>日遊程，增加為</w:t>
      </w:r>
      <w:r w:rsidRPr="00D55DC6">
        <w:rPr>
          <w:rFonts w:eastAsia="標楷體"/>
          <w:sz w:val="28"/>
          <w:szCs w:val="28"/>
        </w:rPr>
        <w:t>2~3</w:t>
      </w:r>
      <w:r w:rsidRPr="00D55DC6">
        <w:rPr>
          <w:rFonts w:eastAsia="標楷體"/>
          <w:sz w:val="28"/>
          <w:szCs w:val="28"/>
        </w:rPr>
        <w:t>日遊程。</w:t>
      </w:r>
    </w:p>
    <w:p w:rsidR="005D6EF0" w:rsidRPr="00D55DC6" w:rsidRDefault="005D6EF0" w:rsidP="004865C1">
      <w:pPr>
        <w:pStyle w:val="af2"/>
        <w:numPr>
          <w:ilvl w:val="0"/>
          <w:numId w:val="81"/>
        </w:numPr>
        <w:snapToGrid w:val="0"/>
        <w:spacing w:line="480" w:lineRule="exact"/>
        <w:ind w:leftChars="0"/>
        <w:jc w:val="both"/>
        <w:rPr>
          <w:rFonts w:eastAsia="標楷體"/>
          <w:sz w:val="28"/>
          <w:szCs w:val="28"/>
        </w:rPr>
      </w:pPr>
      <w:r w:rsidRPr="00D55DC6">
        <w:rPr>
          <w:rFonts w:eastAsia="標楷體"/>
          <w:sz w:val="28"/>
          <w:szCs w:val="28"/>
        </w:rPr>
        <w:t>加強行銷推廣吸引觀光客：</w:t>
      </w:r>
    </w:p>
    <w:p w:rsidR="005D6EF0" w:rsidRPr="00D55DC6" w:rsidRDefault="005D6EF0" w:rsidP="0038165F">
      <w:pPr>
        <w:pStyle w:val="af2"/>
        <w:snapToGrid w:val="0"/>
        <w:spacing w:line="480" w:lineRule="exact"/>
        <w:ind w:leftChars="0" w:left="864" w:firstLineChars="200" w:firstLine="560"/>
        <w:jc w:val="both"/>
        <w:rPr>
          <w:rFonts w:eastAsia="標楷體"/>
          <w:sz w:val="28"/>
          <w:szCs w:val="28"/>
        </w:rPr>
      </w:pPr>
      <w:r w:rsidRPr="00D55DC6">
        <w:rPr>
          <w:rFonts w:eastAsia="標楷體"/>
          <w:sz w:val="28"/>
          <w:szCs w:val="28"/>
        </w:rPr>
        <w:t>創新行銷策略，同步增進國民旅遊及國際觀光客到訪率，預估</w:t>
      </w:r>
      <w:r w:rsidRPr="00D55DC6">
        <w:rPr>
          <w:rFonts w:eastAsia="標楷體"/>
          <w:sz w:val="28"/>
          <w:szCs w:val="28"/>
        </w:rPr>
        <w:t>4</w:t>
      </w:r>
      <w:r w:rsidRPr="00D55DC6">
        <w:rPr>
          <w:rFonts w:eastAsia="標楷體"/>
          <w:sz w:val="28"/>
          <w:szCs w:val="28"/>
        </w:rPr>
        <w:t>年觀光產值可達</w:t>
      </w:r>
      <w:r w:rsidRPr="00D55DC6">
        <w:rPr>
          <w:rFonts w:eastAsia="標楷體"/>
          <w:sz w:val="28"/>
          <w:szCs w:val="28"/>
        </w:rPr>
        <w:t>336.03</w:t>
      </w:r>
      <w:r w:rsidRPr="00D55DC6">
        <w:rPr>
          <w:rFonts w:eastAsia="標楷體"/>
          <w:sz w:val="28"/>
          <w:szCs w:val="28"/>
        </w:rPr>
        <w:t>億元，國際觀光遊客由</w:t>
      </w:r>
      <w:r w:rsidRPr="00D55DC6">
        <w:rPr>
          <w:rFonts w:eastAsia="標楷體"/>
          <w:sz w:val="28"/>
          <w:szCs w:val="28"/>
        </w:rPr>
        <w:t>5%</w:t>
      </w:r>
      <w:r w:rsidRPr="00D55DC6">
        <w:rPr>
          <w:rFonts w:eastAsia="標楷體"/>
          <w:sz w:val="28"/>
          <w:szCs w:val="28"/>
        </w:rPr>
        <w:t>提升至</w:t>
      </w:r>
      <w:r w:rsidRPr="00D55DC6">
        <w:rPr>
          <w:rFonts w:eastAsia="標楷體"/>
          <w:sz w:val="28"/>
          <w:szCs w:val="28"/>
        </w:rPr>
        <w:t>7%</w:t>
      </w:r>
      <w:r w:rsidRPr="00D55DC6">
        <w:rPr>
          <w:rFonts w:eastAsia="標楷體"/>
          <w:sz w:val="28"/>
          <w:szCs w:val="28"/>
        </w:rPr>
        <w:t>。</w:t>
      </w:r>
      <w:r w:rsidRPr="00D55DC6">
        <w:rPr>
          <w:rFonts w:eastAsia="標楷體"/>
          <w:sz w:val="28"/>
          <w:szCs w:val="28"/>
        </w:rPr>
        <w:t>(</w:t>
      </w:r>
      <w:r w:rsidRPr="00D55DC6">
        <w:rPr>
          <w:rFonts w:eastAsia="標楷體"/>
          <w:sz w:val="28"/>
          <w:szCs w:val="28"/>
        </w:rPr>
        <w:t>以「</w:t>
      </w:r>
      <w:r w:rsidRPr="00D55DC6">
        <w:rPr>
          <w:rFonts w:eastAsia="標楷體"/>
          <w:sz w:val="28"/>
          <w:szCs w:val="28"/>
        </w:rPr>
        <w:t>102</w:t>
      </w:r>
      <w:r w:rsidRPr="00D55DC6">
        <w:rPr>
          <w:rFonts w:eastAsia="標楷體"/>
          <w:sz w:val="28"/>
          <w:szCs w:val="28"/>
        </w:rPr>
        <w:t>年度國家風景區遊客調查報告」推估每人每日平均消費</w:t>
      </w:r>
      <w:r w:rsidRPr="00D55DC6">
        <w:rPr>
          <w:rFonts w:eastAsia="標楷體"/>
          <w:sz w:val="28"/>
          <w:szCs w:val="28"/>
        </w:rPr>
        <w:t xml:space="preserve">NT$1,256 × </w:t>
      </w:r>
      <w:r w:rsidRPr="00D55DC6">
        <w:rPr>
          <w:rFonts w:eastAsia="標楷體"/>
          <w:sz w:val="28"/>
          <w:szCs w:val="28"/>
        </w:rPr>
        <w:t>各年度遊客人數目標值</w:t>
      </w:r>
      <w:r w:rsidRPr="00D55DC6">
        <w:rPr>
          <w:rFonts w:eastAsia="標楷體"/>
          <w:sz w:val="28"/>
          <w:szCs w:val="28"/>
        </w:rPr>
        <w:t xml:space="preserve"> × </w:t>
      </w:r>
      <w:r w:rsidRPr="00D55DC6">
        <w:rPr>
          <w:rFonts w:eastAsia="標楷體"/>
          <w:sz w:val="28"/>
          <w:szCs w:val="28"/>
        </w:rPr>
        <w:t>估算停留天數</w:t>
      </w:r>
      <w:r w:rsidRPr="00D55DC6">
        <w:rPr>
          <w:rFonts w:eastAsia="標楷體"/>
          <w:sz w:val="28"/>
          <w:szCs w:val="28"/>
        </w:rPr>
        <w:t>0.98</w:t>
      </w:r>
      <w:r w:rsidRPr="00D55DC6">
        <w:rPr>
          <w:rFonts w:eastAsia="標楷體"/>
          <w:sz w:val="28"/>
          <w:szCs w:val="28"/>
        </w:rPr>
        <w:t>天</w:t>
      </w:r>
      <w:r w:rsidRPr="00D55DC6">
        <w:rPr>
          <w:rFonts w:eastAsia="標楷體"/>
          <w:sz w:val="28"/>
          <w:szCs w:val="28"/>
        </w:rPr>
        <w:t>)</w:t>
      </w:r>
    </w:p>
    <w:p w:rsidR="005D6EF0" w:rsidRPr="00D55DC6" w:rsidRDefault="005D6EF0" w:rsidP="004865C1">
      <w:pPr>
        <w:pStyle w:val="af2"/>
        <w:numPr>
          <w:ilvl w:val="0"/>
          <w:numId w:val="81"/>
        </w:numPr>
        <w:snapToGrid w:val="0"/>
        <w:spacing w:line="480" w:lineRule="exact"/>
        <w:ind w:leftChars="0"/>
        <w:jc w:val="both"/>
        <w:rPr>
          <w:rFonts w:eastAsia="標楷體"/>
          <w:sz w:val="28"/>
          <w:szCs w:val="28"/>
        </w:rPr>
      </w:pPr>
      <w:r w:rsidRPr="00D55DC6">
        <w:rPr>
          <w:rFonts w:eastAsia="標楷體"/>
          <w:sz w:val="28"/>
          <w:szCs w:val="28"/>
        </w:rPr>
        <w:lastRenderedPageBreak/>
        <w:t>推動觀光發展，促進民間參與公共建設：</w:t>
      </w:r>
    </w:p>
    <w:p w:rsidR="005D6EF0" w:rsidRPr="00D55DC6" w:rsidRDefault="005D6EF0" w:rsidP="0038165F">
      <w:pPr>
        <w:pStyle w:val="af2"/>
        <w:snapToGrid w:val="0"/>
        <w:spacing w:line="480" w:lineRule="exact"/>
        <w:ind w:leftChars="0" w:left="864" w:firstLineChars="200" w:firstLine="560"/>
        <w:jc w:val="both"/>
        <w:rPr>
          <w:rFonts w:eastAsia="標楷體"/>
          <w:sz w:val="28"/>
          <w:szCs w:val="28"/>
        </w:rPr>
      </w:pPr>
      <w:r w:rsidRPr="00D55DC6">
        <w:rPr>
          <w:rFonts w:eastAsia="標楷體"/>
          <w:sz w:val="28"/>
          <w:szCs w:val="28"/>
        </w:rPr>
        <w:t>持續導入民間資源推動具開發潛力之遊憩據點，以減輕政府財政負擔，並提升公共建設品質。並推動觀光發展各項建設，促進地方產業發展，預期有其正面效益，並可增加區內人口之就業機會。</w:t>
      </w:r>
    </w:p>
    <w:p w:rsidR="005D6EF0" w:rsidRPr="00D55DC6" w:rsidRDefault="005D6EF0" w:rsidP="0038165F">
      <w:pPr>
        <w:pStyle w:val="af2"/>
        <w:snapToGrid w:val="0"/>
        <w:spacing w:line="480" w:lineRule="exact"/>
        <w:ind w:leftChars="0" w:left="864"/>
        <w:jc w:val="both"/>
        <w:rPr>
          <w:rFonts w:eastAsia="標楷體"/>
          <w:sz w:val="28"/>
          <w:szCs w:val="28"/>
        </w:rPr>
      </w:pPr>
    </w:p>
    <w:p w:rsidR="00FF52E3" w:rsidRPr="00D55DC6" w:rsidRDefault="00FF52E3" w:rsidP="0038165F">
      <w:pPr>
        <w:pStyle w:val="af2"/>
        <w:snapToGrid w:val="0"/>
        <w:spacing w:line="480" w:lineRule="exact"/>
        <w:ind w:leftChars="0" w:left="864"/>
        <w:jc w:val="both"/>
        <w:rPr>
          <w:rFonts w:eastAsia="標楷體"/>
          <w:sz w:val="28"/>
          <w:szCs w:val="28"/>
        </w:rPr>
      </w:pPr>
    </w:p>
    <w:p w:rsidR="004D7B00" w:rsidRPr="00D55DC6" w:rsidRDefault="004D7B00" w:rsidP="0038165F">
      <w:pPr>
        <w:pStyle w:val="af2"/>
        <w:snapToGrid w:val="0"/>
        <w:spacing w:line="480" w:lineRule="exact"/>
        <w:ind w:leftChars="0" w:left="864"/>
        <w:jc w:val="both"/>
        <w:rPr>
          <w:rFonts w:eastAsia="標楷體"/>
          <w:sz w:val="28"/>
          <w:szCs w:val="28"/>
        </w:rPr>
      </w:pPr>
    </w:p>
    <w:p w:rsidR="005D6EF0" w:rsidRPr="00D55DC6" w:rsidRDefault="005D6EF0" w:rsidP="0038165F">
      <w:pPr>
        <w:pStyle w:val="a"/>
        <w:spacing w:line="480" w:lineRule="exact"/>
        <w:ind w:left="709" w:hanging="709"/>
        <w:rPr>
          <w:b/>
          <w:bCs/>
        </w:rPr>
      </w:pPr>
      <w:bookmarkStart w:id="107" w:name="_Toc407181680"/>
      <w:r w:rsidRPr="00D55DC6">
        <w:rPr>
          <w:b/>
          <w:bCs/>
        </w:rPr>
        <w:t>財務計畫</w:t>
      </w:r>
      <w:bookmarkEnd w:id="107"/>
    </w:p>
    <w:p w:rsidR="005D6EF0" w:rsidRPr="00D55DC6" w:rsidRDefault="005D6EF0" w:rsidP="004865C1">
      <w:pPr>
        <w:pStyle w:val="af2"/>
        <w:numPr>
          <w:ilvl w:val="0"/>
          <w:numId w:val="82"/>
        </w:numPr>
        <w:snapToGrid w:val="0"/>
        <w:spacing w:line="480" w:lineRule="exact"/>
        <w:ind w:leftChars="0"/>
        <w:jc w:val="both"/>
        <w:rPr>
          <w:rFonts w:eastAsia="標楷體"/>
          <w:b/>
          <w:bCs/>
          <w:sz w:val="28"/>
          <w:szCs w:val="28"/>
        </w:rPr>
      </w:pPr>
      <w:r w:rsidRPr="00D55DC6">
        <w:rPr>
          <w:rFonts w:eastAsia="標楷體"/>
          <w:b/>
          <w:bCs/>
          <w:sz w:val="28"/>
          <w:szCs w:val="28"/>
        </w:rPr>
        <w:t>財務計畫核定情形</w:t>
      </w:r>
    </w:p>
    <w:p w:rsidR="005D6EF0" w:rsidRPr="00D55DC6" w:rsidRDefault="005D6EF0" w:rsidP="0038165F">
      <w:pPr>
        <w:pStyle w:val="a"/>
        <w:numPr>
          <w:ilvl w:val="0"/>
          <w:numId w:val="0"/>
        </w:numPr>
        <w:spacing w:line="480" w:lineRule="exact"/>
        <w:ind w:left="709" w:firstLineChars="200" w:firstLine="560"/>
      </w:pPr>
      <w:bookmarkStart w:id="108" w:name="_Toc407181681"/>
      <w:r w:rsidRPr="00D55DC6">
        <w:t>依據行政院</w:t>
      </w:r>
      <w:r w:rsidRPr="00D55DC6">
        <w:t>103</w:t>
      </w:r>
      <w:r w:rsidRPr="00D55DC6">
        <w:t>年</w:t>
      </w:r>
      <w:r w:rsidRPr="00D55DC6">
        <w:t>10</w:t>
      </w:r>
      <w:r w:rsidRPr="00D55DC6">
        <w:t>月</w:t>
      </w:r>
      <w:r w:rsidRPr="00D55DC6">
        <w:t>15</w:t>
      </w:r>
      <w:r w:rsidRPr="00D55DC6">
        <w:t>日院臺交字第</w:t>
      </w:r>
      <w:r w:rsidRPr="00D55DC6">
        <w:t>1030058303</w:t>
      </w:r>
      <w:r w:rsidRPr="00D55DC6">
        <w:t>號函核定「參山國家風景區整體發展暨財務計畫」，預估未來</w:t>
      </w:r>
      <w:r w:rsidRPr="00D55DC6">
        <w:t>20</w:t>
      </w:r>
      <w:r w:rsidRPr="00D55DC6">
        <w:t>年期間</w:t>
      </w:r>
      <w:r w:rsidRPr="00D55DC6">
        <w:t>(103</w:t>
      </w:r>
      <w:r w:rsidRPr="00D55DC6">
        <w:t>至</w:t>
      </w:r>
      <w:r w:rsidRPr="00D55DC6">
        <w:t>122</w:t>
      </w:r>
      <w:r w:rsidRPr="00D55DC6">
        <w:t>年</w:t>
      </w:r>
      <w:r w:rsidRPr="00D55DC6">
        <w:t>)</w:t>
      </w:r>
      <w:r w:rsidRPr="00D55DC6">
        <w:t>計畫投入現值為</w:t>
      </w:r>
      <w:r w:rsidRPr="00D55DC6">
        <w:t>19</w:t>
      </w:r>
      <w:r w:rsidRPr="00D55DC6">
        <w:t>億</w:t>
      </w:r>
      <w:r w:rsidRPr="00D55DC6">
        <w:t>7</w:t>
      </w:r>
      <w:r w:rsidRPr="00D55DC6">
        <w:t>千</w:t>
      </w:r>
      <w:r w:rsidRPr="00D55DC6">
        <w:t>969</w:t>
      </w:r>
      <w:r w:rsidRPr="00D55DC6">
        <w:t>萬元，收益現值為</w:t>
      </w:r>
      <w:r w:rsidRPr="00D55DC6">
        <w:t>5</w:t>
      </w:r>
      <w:r w:rsidRPr="00D55DC6">
        <w:t>億</w:t>
      </w:r>
      <w:r w:rsidRPr="00D55DC6">
        <w:t>219</w:t>
      </w:r>
      <w:r w:rsidRPr="00D55DC6">
        <w:t>萬元，整體計畫財務自償率達</w:t>
      </w:r>
      <w:r w:rsidRPr="00D55DC6">
        <w:t>25.37 % (</w:t>
      </w:r>
      <w:r w:rsidRPr="00D55DC6">
        <w:t>考慮折現率為</w:t>
      </w:r>
      <w:r w:rsidRPr="00D55DC6">
        <w:t>2.88%)</w:t>
      </w:r>
      <w:r w:rsidRPr="00D55DC6">
        <w:t>，計畫之自償率分析詳如下表</w:t>
      </w:r>
      <w:r w:rsidRPr="00D55DC6">
        <w:t>1</w:t>
      </w:r>
      <w:r w:rsidRPr="00D55DC6">
        <w:t>所示。</w:t>
      </w:r>
      <w:bookmarkEnd w:id="108"/>
    </w:p>
    <w:p w:rsidR="00FF52E3" w:rsidRPr="00D55DC6" w:rsidRDefault="00FF52E3" w:rsidP="0038165F">
      <w:pPr>
        <w:pStyle w:val="a"/>
        <w:numPr>
          <w:ilvl w:val="0"/>
          <w:numId w:val="0"/>
        </w:numPr>
        <w:spacing w:line="480" w:lineRule="exact"/>
        <w:ind w:left="709" w:firstLineChars="200" w:firstLine="560"/>
      </w:pPr>
    </w:p>
    <w:p w:rsidR="005D6EF0" w:rsidRPr="00D55DC6" w:rsidRDefault="005D6EF0" w:rsidP="004865C1">
      <w:pPr>
        <w:pStyle w:val="af2"/>
        <w:numPr>
          <w:ilvl w:val="0"/>
          <w:numId w:val="82"/>
        </w:numPr>
        <w:snapToGrid w:val="0"/>
        <w:spacing w:line="480" w:lineRule="exact"/>
        <w:ind w:leftChars="0"/>
        <w:jc w:val="both"/>
        <w:rPr>
          <w:rFonts w:eastAsia="標楷體"/>
          <w:b/>
          <w:bCs/>
          <w:sz w:val="28"/>
          <w:szCs w:val="28"/>
        </w:rPr>
      </w:pPr>
      <w:r w:rsidRPr="00D55DC6">
        <w:rPr>
          <w:rFonts w:eastAsia="標楷體"/>
          <w:b/>
          <w:bCs/>
          <w:sz w:val="28"/>
          <w:szCs w:val="28"/>
        </w:rPr>
        <w:t>整合性財務策略</w:t>
      </w:r>
    </w:p>
    <w:p w:rsidR="005D6EF0" w:rsidRPr="00D55DC6" w:rsidRDefault="005D6EF0" w:rsidP="0038165F">
      <w:pPr>
        <w:pStyle w:val="a"/>
        <w:numPr>
          <w:ilvl w:val="0"/>
          <w:numId w:val="0"/>
        </w:numPr>
        <w:snapToGrid/>
        <w:spacing w:line="480" w:lineRule="exact"/>
        <w:ind w:left="709" w:firstLineChars="200" w:firstLine="560"/>
      </w:pPr>
      <w:bookmarkStart w:id="109" w:name="_Toc407181682"/>
      <w:r w:rsidRPr="00D55DC6">
        <w:t>將透過重大促參案件、設施出租、使用者付費，以及跨域合作共同開發等方式，針對轄區推動設施景點之活化，積極引入民間企業之投資或委辦經營管理，另也引進使用者付費之概念，積極提升計畫自償率，後續財務策略將朝下列方向推動。</w:t>
      </w:r>
      <w:bookmarkEnd w:id="109"/>
    </w:p>
    <w:p w:rsidR="005D6EF0" w:rsidRPr="00D55DC6" w:rsidRDefault="005D6EF0" w:rsidP="0038165F">
      <w:pPr>
        <w:pStyle w:val="a"/>
        <w:numPr>
          <w:ilvl w:val="0"/>
          <w:numId w:val="0"/>
        </w:numPr>
        <w:snapToGrid/>
        <w:spacing w:line="480" w:lineRule="exact"/>
        <w:ind w:leftChars="343" w:left="1263" w:hangingChars="157" w:hanging="440"/>
      </w:pPr>
      <w:bookmarkStart w:id="110" w:name="_Toc398547501"/>
      <w:bookmarkStart w:id="111" w:name="_Toc407181683"/>
      <w:r w:rsidRPr="00D55DC6">
        <w:t>1</w:t>
      </w:r>
      <w:r w:rsidRPr="00D55DC6">
        <w:t>、重視資源永續利用與開發財務平衡</w:t>
      </w:r>
      <w:r w:rsidRPr="00D55DC6">
        <w:t>-</w:t>
      </w:r>
      <w:r w:rsidRPr="00D55DC6">
        <w:t>研訂觀光整體發展計畫</w:t>
      </w:r>
      <w:bookmarkEnd w:id="110"/>
      <w:bookmarkEnd w:id="111"/>
    </w:p>
    <w:p w:rsidR="005D6EF0" w:rsidRPr="00D55DC6" w:rsidRDefault="005D6EF0" w:rsidP="0038165F">
      <w:pPr>
        <w:pStyle w:val="a"/>
        <w:numPr>
          <w:ilvl w:val="0"/>
          <w:numId w:val="0"/>
        </w:numPr>
        <w:snapToGrid/>
        <w:spacing w:line="480" w:lineRule="exact"/>
        <w:ind w:leftChars="500" w:left="1200" w:firstLineChars="200" w:firstLine="560"/>
      </w:pPr>
      <w:bookmarkStart w:id="112" w:name="_Toc407181684"/>
      <w:r w:rsidRPr="00D55DC6">
        <w:t>為使國家風景區內之土地使用具引導功能，以及進行定期通盤檢討所轄風景區之觀光整體發展計畫，將儘速辦理觀光整體發展計畫，作為觀光發展之指導及中程建設計畫與國家風景區範圍檢討之參據。</w:t>
      </w:r>
      <w:bookmarkEnd w:id="112"/>
    </w:p>
    <w:p w:rsidR="005D6EF0" w:rsidRPr="00D55DC6" w:rsidRDefault="005D6EF0" w:rsidP="0038165F">
      <w:pPr>
        <w:pStyle w:val="a"/>
        <w:numPr>
          <w:ilvl w:val="0"/>
          <w:numId w:val="0"/>
        </w:numPr>
        <w:snapToGrid/>
        <w:spacing w:line="480" w:lineRule="exact"/>
        <w:ind w:leftChars="500" w:left="1200" w:firstLineChars="200" w:firstLine="560"/>
      </w:pPr>
      <w:bookmarkStart w:id="113" w:name="_Toc407181685"/>
      <w:r w:rsidRPr="00D55DC6">
        <w:t>計畫將配合管理處經營管理範圍，進行觀光據點開發規劃時，將優先考量未來經營管理模式，分析以促參方式或可委外營運辦理之可行性，節省機關建設及經營管理預算支出，同時增加基金收入。</w:t>
      </w:r>
      <w:bookmarkEnd w:id="113"/>
    </w:p>
    <w:p w:rsidR="005D6EF0" w:rsidRPr="00D55DC6" w:rsidRDefault="005D6EF0" w:rsidP="0038165F">
      <w:pPr>
        <w:pStyle w:val="a"/>
        <w:numPr>
          <w:ilvl w:val="0"/>
          <w:numId w:val="0"/>
        </w:numPr>
        <w:snapToGrid/>
        <w:spacing w:line="480" w:lineRule="exact"/>
        <w:ind w:leftChars="500" w:left="1200" w:firstLineChars="200" w:firstLine="560"/>
      </w:pPr>
      <w:bookmarkStart w:id="114" w:name="_Toc407181686"/>
      <w:r w:rsidRPr="00D55DC6">
        <w:lastRenderedPageBreak/>
        <w:t>「觀光整體發展計畫」作為本國家風景區未來發展及土地使用計畫之上位指導，並作為土地開發把關之依據，以減輕環境負面影響，取得環境保護與經濟開發之平衡。</w:t>
      </w:r>
      <w:bookmarkEnd w:id="114"/>
    </w:p>
    <w:p w:rsidR="005D6EF0" w:rsidRPr="00D55DC6" w:rsidRDefault="005D6EF0" w:rsidP="0038165F">
      <w:pPr>
        <w:pStyle w:val="a"/>
        <w:numPr>
          <w:ilvl w:val="0"/>
          <w:numId w:val="0"/>
        </w:numPr>
        <w:snapToGrid/>
        <w:spacing w:line="480" w:lineRule="exact"/>
        <w:ind w:leftChars="343" w:left="1263" w:hangingChars="157" w:hanging="440"/>
      </w:pPr>
      <w:bookmarkStart w:id="115" w:name="_Toc398547502"/>
      <w:bookmarkStart w:id="116" w:name="_Toc407181687"/>
      <w:r w:rsidRPr="00D55DC6">
        <w:t>2</w:t>
      </w:r>
      <w:r w:rsidRPr="00D55DC6">
        <w:t>、擴大部門間與地方政府合作</w:t>
      </w:r>
      <w:r w:rsidRPr="00D55DC6">
        <w:t>-</w:t>
      </w:r>
      <w:r w:rsidRPr="00D55DC6">
        <w:t>增加收益型投資項目</w:t>
      </w:r>
      <w:bookmarkEnd w:id="115"/>
      <w:bookmarkEnd w:id="116"/>
    </w:p>
    <w:p w:rsidR="005D6EF0" w:rsidRPr="00D55DC6" w:rsidRDefault="005D6EF0" w:rsidP="0038165F">
      <w:pPr>
        <w:pStyle w:val="a"/>
        <w:numPr>
          <w:ilvl w:val="0"/>
          <w:numId w:val="0"/>
        </w:numPr>
        <w:snapToGrid/>
        <w:spacing w:line="480" w:lineRule="exact"/>
        <w:ind w:leftChars="500" w:left="1200" w:firstLineChars="200" w:firstLine="560"/>
      </w:pPr>
      <w:bookmarkStart w:id="117" w:name="_Toc407181688"/>
      <w:r w:rsidRPr="00D55DC6">
        <w:t>由於轄內各公私部門機關複雜，包含土地、資源、預算使用等。參山管理處將積極朝向觀光發展整合推動，於轄內具有觀光發展潛力地區，結合其他部門資源共同發展，增加收益型投資項目，並依逐年發展原則，擬定自償率平均成長率方案，逐年提高提高建設計畫自償率。</w:t>
      </w:r>
      <w:bookmarkEnd w:id="117"/>
    </w:p>
    <w:p w:rsidR="005D6EF0" w:rsidRPr="00D55DC6" w:rsidRDefault="005D6EF0" w:rsidP="0038165F">
      <w:pPr>
        <w:pStyle w:val="a"/>
        <w:numPr>
          <w:ilvl w:val="0"/>
          <w:numId w:val="0"/>
        </w:numPr>
        <w:snapToGrid/>
        <w:spacing w:line="480" w:lineRule="exact"/>
        <w:ind w:leftChars="343" w:left="1263" w:hangingChars="157" w:hanging="440"/>
      </w:pPr>
      <w:bookmarkStart w:id="118" w:name="_Toc398547503"/>
      <w:bookmarkStart w:id="119" w:name="_Toc407181689"/>
      <w:r w:rsidRPr="00D55DC6">
        <w:t>3</w:t>
      </w:r>
      <w:r w:rsidRPr="00D55DC6">
        <w:t>、開闢多元財源，落實使用者付費</w:t>
      </w:r>
      <w:bookmarkEnd w:id="118"/>
      <w:bookmarkEnd w:id="119"/>
    </w:p>
    <w:p w:rsidR="005D6EF0" w:rsidRPr="00D55DC6" w:rsidRDefault="005D6EF0" w:rsidP="0038165F">
      <w:pPr>
        <w:pStyle w:val="a"/>
        <w:numPr>
          <w:ilvl w:val="0"/>
          <w:numId w:val="0"/>
        </w:numPr>
        <w:snapToGrid/>
        <w:spacing w:line="480" w:lineRule="exact"/>
        <w:ind w:leftChars="500" w:left="1200" w:firstLineChars="200" w:firstLine="560"/>
      </w:pPr>
      <w:bookmarkStart w:id="120" w:name="_Toc407181690"/>
      <w:r w:rsidRPr="00D55DC6">
        <w:t>檢討現有設施、場站使用方式，研擬包含生態旅遊環境教育、設施空間出租、文創導入等發展模式，運用相關資源提高出租效益。並研擬公共設施清潔費，落實使用者付費。</w:t>
      </w:r>
      <w:bookmarkEnd w:id="120"/>
    </w:p>
    <w:p w:rsidR="00FF52E3" w:rsidRPr="00D55DC6" w:rsidRDefault="00FF52E3" w:rsidP="0038165F">
      <w:pPr>
        <w:pStyle w:val="a"/>
        <w:numPr>
          <w:ilvl w:val="0"/>
          <w:numId w:val="0"/>
        </w:numPr>
        <w:snapToGrid/>
        <w:spacing w:line="480" w:lineRule="exact"/>
        <w:ind w:leftChars="500" w:left="1200" w:firstLineChars="200" w:firstLine="560"/>
      </w:pPr>
    </w:p>
    <w:p w:rsidR="005D6EF0" w:rsidRPr="00D55DC6" w:rsidRDefault="005D6EF0" w:rsidP="004865C1">
      <w:pPr>
        <w:pStyle w:val="af2"/>
        <w:numPr>
          <w:ilvl w:val="0"/>
          <w:numId w:val="82"/>
        </w:numPr>
        <w:snapToGrid w:val="0"/>
        <w:spacing w:line="480" w:lineRule="exact"/>
        <w:ind w:leftChars="0"/>
        <w:jc w:val="both"/>
        <w:rPr>
          <w:rFonts w:eastAsia="標楷體"/>
          <w:b/>
          <w:bCs/>
          <w:sz w:val="28"/>
          <w:szCs w:val="28"/>
        </w:rPr>
      </w:pPr>
      <w:r w:rsidRPr="00D55DC6">
        <w:rPr>
          <w:rFonts w:eastAsia="標楷體"/>
          <w:b/>
          <w:bCs/>
          <w:sz w:val="28"/>
          <w:szCs w:val="28"/>
        </w:rPr>
        <w:t>財務風險評估</w:t>
      </w:r>
    </w:p>
    <w:p w:rsidR="005D6EF0" w:rsidRPr="00D55DC6" w:rsidRDefault="005D6EF0" w:rsidP="0038165F">
      <w:pPr>
        <w:pStyle w:val="a"/>
        <w:numPr>
          <w:ilvl w:val="0"/>
          <w:numId w:val="0"/>
        </w:numPr>
        <w:spacing w:line="480" w:lineRule="exact"/>
        <w:ind w:left="709" w:firstLineChars="200" w:firstLine="560"/>
      </w:pPr>
      <w:bookmarkStart w:id="121" w:name="_Toc407181691"/>
      <w:r w:rsidRPr="00D55DC6">
        <w:t>參山管理處對於可活化委外的相關設施，落實使用者付費精神，循序推動公共投資建設之自償性策略，陸續已辦理促參或設施出租委外經營，創造財務收益；另也針對風景區土地開發，研提觀光整體發展計畫及多項跨域機關合作之案件構想，雖具較高之自償性，惟個別案件尚需與地方政府或其他機關單位協商所涉權利義務關係、配套法規，以及相關收益</w:t>
      </w:r>
      <w:r w:rsidRPr="00D55DC6">
        <w:t>(</w:t>
      </w:r>
      <w:r w:rsidRPr="00D55DC6">
        <w:t>權利金與租金等</w:t>
      </w:r>
      <w:r w:rsidRPr="00D55DC6">
        <w:t>)</w:t>
      </w:r>
      <w:r w:rsidRPr="00D55DC6">
        <w:t>分配比例等問題，此舉可能提升各種合作之困難度及複雜度，又可能影響未來廠商投資意願等，增生案件變數。</w:t>
      </w:r>
      <w:bookmarkEnd w:id="121"/>
    </w:p>
    <w:p w:rsidR="005D6EF0" w:rsidRPr="00D55DC6" w:rsidRDefault="005D6EF0" w:rsidP="0038165F">
      <w:pPr>
        <w:pStyle w:val="a"/>
        <w:numPr>
          <w:ilvl w:val="0"/>
          <w:numId w:val="0"/>
        </w:numPr>
        <w:spacing w:line="480" w:lineRule="exact"/>
        <w:ind w:left="709" w:firstLineChars="200" w:firstLine="560"/>
      </w:pPr>
      <w:bookmarkStart w:id="122" w:name="_Toc407181692"/>
      <w:r w:rsidRPr="00D55DC6">
        <w:t>復以本計畫所提跨域效益合作開發構想及財務試算等，必須經過各參與機關研商計算，並獲致共識、確實如期進行後，方能有預期效益；倘涉及轄域外案件，則應有相關法令規範，方能進行合作開發。各項跨域合作案件</w:t>
      </w:r>
      <w:r w:rsidRPr="00D55DC6">
        <w:t>(</w:t>
      </w:r>
      <w:r w:rsidRPr="00D55DC6">
        <w:t>含轄域外</w:t>
      </w:r>
      <w:r w:rsidRPr="00D55DC6">
        <w:t>)</w:t>
      </w:r>
      <w:r w:rsidRPr="00D55DC6">
        <w:t>，尚有待協商、合作及法律規範適用性及合法性為前題，皆為本計畫財務之風險及不確定性，爰仍需持續依實際推動現況滾動檢討，適時反應各項財務投入及效益。</w:t>
      </w:r>
      <w:bookmarkEnd w:id="122"/>
    </w:p>
    <w:p w:rsidR="005D6EF0" w:rsidRPr="00D55DC6" w:rsidRDefault="005D6EF0" w:rsidP="004865C1">
      <w:pPr>
        <w:pStyle w:val="af2"/>
        <w:numPr>
          <w:ilvl w:val="0"/>
          <w:numId w:val="82"/>
        </w:numPr>
        <w:snapToGrid w:val="0"/>
        <w:spacing w:line="480" w:lineRule="exact"/>
        <w:ind w:leftChars="0"/>
        <w:jc w:val="both"/>
        <w:rPr>
          <w:rFonts w:eastAsia="標楷體"/>
          <w:b/>
          <w:bCs/>
          <w:sz w:val="28"/>
          <w:szCs w:val="28"/>
        </w:rPr>
      </w:pPr>
      <w:r w:rsidRPr="00D55DC6">
        <w:rPr>
          <w:rFonts w:eastAsia="標楷體"/>
          <w:b/>
          <w:bCs/>
          <w:sz w:val="28"/>
          <w:szCs w:val="28"/>
        </w:rPr>
        <w:lastRenderedPageBreak/>
        <w:t>預估財務收入情形</w:t>
      </w:r>
    </w:p>
    <w:p w:rsidR="005D6EF0" w:rsidRPr="00D55DC6" w:rsidRDefault="005D6EF0" w:rsidP="0038165F">
      <w:pPr>
        <w:pStyle w:val="a"/>
        <w:numPr>
          <w:ilvl w:val="0"/>
          <w:numId w:val="0"/>
        </w:numPr>
        <w:spacing w:line="480" w:lineRule="exact"/>
        <w:ind w:left="709" w:firstLineChars="200" w:firstLine="560"/>
      </w:pPr>
      <w:bookmarkStart w:id="123" w:name="_Toc407181693"/>
      <w:r w:rsidRPr="00D55DC6">
        <w:t>將持續與地方政府協商研議重要景點設施共同開發之可行性，減少徵收私有地或有償撥用公有地成本，在支出最少及獲益最大之原則下，增加財源；另也極力增加創新財源收入，透過跨域合作、協商分收、創意收入，以及減少支出等方式，例如規劃辦理特色創意伴手禮開發，與業者洽收授權金、辦理活動廣告效益收入、摺頁、地圖出售等多元財務創新構想，以提高自償性作業，可浥注至觀光發展基金，作為未來國家風景區建設經費。詳如下列預估財務收入分年規劃表。</w:t>
      </w:r>
      <w:bookmarkEnd w:id="123"/>
    </w:p>
    <w:p w:rsidR="00FF52E3" w:rsidRPr="00D55DC6" w:rsidRDefault="00FF52E3" w:rsidP="0038165F">
      <w:pPr>
        <w:pStyle w:val="a"/>
        <w:numPr>
          <w:ilvl w:val="0"/>
          <w:numId w:val="0"/>
        </w:numPr>
        <w:spacing w:line="480" w:lineRule="exact"/>
        <w:ind w:left="709" w:firstLineChars="200" w:firstLine="560"/>
      </w:pPr>
    </w:p>
    <w:p w:rsidR="005D6EF0" w:rsidRPr="00D55DC6" w:rsidRDefault="005D6EF0" w:rsidP="004865C1">
      <w:pPr>
        <w:pStyle w:val="af2"/>
        <w:numPr>
          <w:ilvl w:val="0"/>
          <w:numId w:val="82"/>
        </w:numPr>
        <w:snapToGrid w:val="0"/>
        <w:spacing w:line="480" w:lineRule="exact"/>
        <w:ind w:leftChars="0"/>
        <w:jc w:val="both"/>
        <w:rPr>
          <w:rFonts w:eastAsia="標楷體"/>
          <w:b/>
          <w:bCs/>
          <w:sz w:val="28"/>
          <w:szCs w:val="28"/>
        </w:rPr>
      </w:pPr>
      <w:r w:rsidRPr="00D55DC6">
        <w:rPr>
          <w:rFonts w:eastAsia="標楷體"/>
          <w:b/>
          <w:bCs/>
          <w:sz w:val="28"/>
          <w:szCs w:val="28"/>
        </w:rPr>
        <w:t>自償率估算</w:t>
      </w:r>
    </w:p>
    <w:p w:rsidR="005D6EF0" w:rsidRPr="00D55DC6" w:rsidRDefault="005D6EF0" w:rsidP="0038165F">
      <w:pPr>
        <w:pStyle w:val="a"/>
        <w:numPr>
          <w:ilvl w:val="0"/>
          <w:numId w:val="0"/>
        </w:numPr>
        <w:spacing w:line="480" w:lineRule="exact"/>
        <w:ind w:left="709" w:firstLineChars="200" w:firstLine="560"/>
      </w:pPr>
      <w:bookmarkStart w:id="124" w:name="_Toc407181694"/>
      <w:r w:rsidRPr="00D55DC6">
        <w:t>本計畫將採滾動式檢討修正，若遇經費拮拒，將檢討經費運用方式，改採優先運用在國際觀光重要景點建設為主，國內觀光重要景點建設及風景區經營管理費用為輔之策略，作為替代方案，以建立永續觀光發展。</w:t>
      </w:r>
      <w:bookmarkEnd w:id="124"/>
    </w:p>
    <w:p w:rsidR="005D6EF0" w:rsidRPr="00D55DC6" w:rsidRDefault="005D6EF0" w:rsidP="0038165F">
      <w:pPr>
        <w:pStyle w:val="a"/>
        <w:numPr>
          <w:ilvl w:val="0"/>
          <w:numId w:val="0"/>
        </w:numPr>
        <w:spacing w:line="480" w:lineRule="exact"/>
        <w:ind w:left="709" w:firstLineChars="200" w:firstLine="560"/>
      </w:pPr>
      <w:bookmarkStart w:id="125" w:name="_Toc407181695"/>
      <w:r w:rsidRPr="00D55DC6">
        <w:t>原核定計畫之財務計畫</w:t>
      </w:r>
      <w:r w:rsidRPr="00D55DC6">
        <w:t>(</w:t>
      </w:r>
      <w:r w:rsidRPr="00D55DC6">
        <w:t>詳如下表</w:t>
      </w:r>
      <w:r w:rsidRPr="00D55DC6">
        <w:t>1)</w:t>
      </w:r>
      <w:r w:rsidRPr="00D55DC6">
        <w:t>，另擬於</w:t>
      </w:r>
      <w:r w:rsidRPr="00D55DC6">
        <w:t>105-108</w:t>
      </w:r>
      <w:r w:rsidRPr="00D55DC6">
        <w:t>年增加建設經費</w:t>
      </w:r>
      <w:r w:rsidRPr="00D55DC6">
        <w:t>0.6</w:t>
      </w:r>
      <w:r w:rsidRPr="00D55DC6">
        <w:t>億元，並適時檢討修正整體發展財務計畫，因此，預估未來</w:t>
      </w:r>
      <w:r w:rsidRPr="00D55DC6">
        <w:t>20</w:t>
      </w:r>
      <w:r w:rsidRPr="00D55DC6">
        <w:t>年國家風景區建設經營投入現值調整為</w:t>
      </w:r>
      <w:r w:rsidRPr="00D55DC6">
        <w:t>21</w:t>
      </w:r>
      <w:r w:rsidRPr="00D55DC6">
        <w:t>億</w:t>
      </w:r>
      <w:r w:rsidRPr="00D55DC6">
        <w:t>1</w:t>
      </w:r>
      <w:r w:rsidRPr="00D55DC6">
        <w:t>千</w:t>
      </w:r>
      <w:r w:rsidRPr="00D55DC6">
        <w:t>590</w:t>
      </w:r>
      <w:r w:rsidRPr="00D55DC6">
        <w:t>萬元，</w:t>
      </w:r>
      <w:r w:rsidRPr="00D55DC6">
        <w:rPr>
          <w:b/>
        </w:rPr>
        <w:t>收益現值為</w:t>
      </w:r>
      <w:r w:rsidRPr="00D55DC6">
        <w:rPr>
          <w:b/>
        </w:rPr>
        <w:t>5</w:t>
      </w:r>
      <w:r w:rsidRPr="00D55DC6">
        <w:rPr>
          <w:b/>
        </w:rPr>
        <w:t>億</w:t>
      </w:r>
      <w:r w:rsidRPr="00D55DC6">
        <w:rPr>
          <w:b/>
        </w:rPr>
        <w:t>2</w:t>
      </w:r>
      <w:r w:rsidRPr="00D55DC6">
        <w:rPr>
          <w:b/>
        </w:rPr>
        <w:t>千</w:t>
      </w:r>
      <w:r w:rsidRPr="00D55DC6">
        <w:rPr>
          <w:b/>
        </w:rPr>
        <w:t>991</w:t>
      </w:r>
      <w:r w:rsidRPr="00D55DC6">
        <w:rPr>
          <w:b/>
        </w:rPr>
        <w:t>萬元</w:t>
      </w:r>
      <w:r w:rsidRPr="00D55DC6">
        <w:t>，整體計畫財務自償率可達</w:t>
      </w:r>
      <w:r w:rsidRPr="00D55DC6">
        <w:rPr>
          <w:b/>
        </w:rPr>
        <w:t xml:space="preserve">25.04 % </w:t>
      </w:r>
      <w:r w:rsidRPr="00D55DC6">
        <w:t>(</w:t>
      </w:r>
      <w:r w:rsidRPr="00D55DC6">
        <w:t>折現率</w:t>
      </w:r>
      <w:r w:rsidRPr="00D55DC6">
        <w:t>2.88%)</w:t>
      </w:r>
      <w:r w:rsidRPr="00D55DC6">
        <w:t>。修正後預估財務收入分年規劃表及自償率分析表，詳如下表</w:t>
      </w:r>
      <w:r w:rsidRPr="00D55DC6">
        <w:t>2</w:t>
      </w:r>
      <w:r w:rsidRPr="00D55DC6">
        <w:t>及表</w:t>
      </w:r>
      <w:r w:rsidRPr="00D55DC6">
        <w:t>3</w:t>
      </w:r>
      <w:r w:rsidRPr="00D55DC6">
        <w:t>所示。</w:t>
      </w:r>
      <w:bookmarkEnd w:id="125"/>
    </w:p>
    <w:p w:rsidR="005D6EF0" w:rsidRPr="00D55DC6" w:rsidRDefault="005D6EF0" w:rsidP="0038165F">
      <w:pPr>
        <w:pStyle w:val="a"/>
        <w:numPr>
          <w:ilvl w:val="0"/>
          <w:numId w:val="0"/>
        </w:numPr>
        <w:spacing w:line="480" w:lineRule="exact"/>
        <w:ind w:left="709" w:firstLineChars="200" w:firstLine="560"/>
      </w:pPr>
    </w:p>
    <w:p w:rsidR="005D6EF0" w:rsidRPr="00D55DC6" w:rsidRDefault="005D6EF0" w:rsidP="0038165F">
      <w:pPr>
        <w:pStyle w:val="a"/>
        <w:numPr>
          <w:ilvl w:val="0"/>
          <w:numId w:val="0"/>
        </w:numPr>
        <w:spacing w:line="480" w:lineRule="exact"/>
        <w:ind w:left="709" w:firstLineChars="200" w:firstLine="560"/>
      </w:pPr>
    </w:p>
    <w:p w:rsidR="005D6EF0" w:rsidRPr="00D55DC6" w:rsidRDefault="005D6EF0" w:rsidP="0038165F">
      <w:pPr>
        <w:pStyle w:val="a"/>
        <w:numPr>
          <w:ilvl w:val="0"/>
          <w:numId w:val="0"/>
        </w:numPr>
        <w:spacing w:line="480" w:lineRule="exact"/>
        <w:ind w:left="709"/>
        <w:sectPr w:rsidR="005D6EF0" w:rsidRPr="00D55DC6" w:rsidSect="00A82A80">
          <w:pgSz w:w="11906" w:h="16838" w:code="9"/>
          <w:pgMar w:top="1418" w:right="1418" w:bottom="1418" w:left="1418" w:header="567" w:footer="567" w:gutter="0"/>
          <w:cols w:space="425"/>
          <w:docGrid w:type="linesAndChars" w:linePitch="360"/>
        </w:sectPr>
      </w:pPr>
    </w:p>
    <w:p w:rsidR="005D6EF0" w:rsidRPr="00D55DC6" w:rsidRDefault="005D6EF0" w:rsidP="009D33BA">
      <w:pPr>
        <w:keepNext/>
        <w:spacing w:beforeLines="50" w:before="180" w:afterLines="50" w:after="180" w:line="480" w:lineRule="exact"/>
        <w:ind w:rightChars="-316" w:right="-758"/>
        <w:rPr>
          <w:rFonts w:eastAsia="標楷體"/>
          <w:b/>
          <w:bCs/>
        </w:rPr>
      </w:pPr>
      <w:r w:rsidRPr="00D55DC6">
        <w:rPr>
          <w:rFonts w:eastAsia="標楷體"/>
          <w:b/>
          <w:bCs/>
        </w:rPr>
        <w:lastRenderedPageBreak/>
        <w:t>表</w:t>
      </w:r>
      <w:r w:rsidRPr="00D55DC6">
        <w:rPr>
          <w:rFonts w:eastAsia="標楷體"/>
          <w:b/>
          <w:bCs/>
        </w:rPr>
        <w:t>1</w:t>
      </w:r>
      <w:r w:rsidRPr="00D55DC6">
        <w:rPr>
          <w:rFonts w:eastAsia="標楷體"/>
          <w:b/>
          <w:bCs/>
        </w:rPr>
        <w:t xml:space="preserve">　原核定計畫之自償率分析表</w:t>
      </w:r>
      <w:r w:rsidRPr="00D55DC6">
        <w:rPr>
          <w:rFonts w:eastAsia="標楷體"/>
          <w:b/>
          <w:bCs/>
        </w:rPr>
        <w:t xml:space="preserve">                                                 </w:t>
      </w:r>
      <w:r w:rsidRPr="00D55DC6">
        <w:rPr>
          <w:rFonts w:eastAsia="標楷體"/>
          <w:b/>
          <w:bCs/>
        </w:rPr>
        <w:t>（單位：千元）</w:t>
      </w:r>
    </w:p>
    <w:tbl>
      <w:tblPr>
        <w:tblW w:w="15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858"/>
        <w:gridCol w:w="691"/>
        <w:gridCol w:w="691"/>
        <w:gridCol w:w="691"/>
        <w:gridCol w:w="691"/>
        <w:gridCol w:w="691"/>
        <w:gridCol w:w="691"/>
        <w:gridCol w:w="691"/>
        <w:gridCol w:w="691"/>
        <w:gridCol w:w="691"/>
        <w:gridCol w:w="691"/>
        <w:gridCol w:w="691"/>
        <w:gridCol w:w="691"/>
        <w:gridCol w:w="691"/>
        <w:gridCol w:w="691"/>
        <w:gridCol w:w="691"/>
        <w:gridCol w:w="691"/>
        <w:gridCol w:w="691"/>
        <w:gridCol w:w="691"/>
        <w:gridCol w:w="691"/>
        <w:gridCol w:w="691"/>
      </w:tblGrid>
      <w:tr w:rsidR="001D0350" w:rsidRPr="00D55DC6" w:rsidTr="00A82A80">
        <w:trPr>
          <w:trHeight w:val="624"/>
          <w:jc w:val="center"/>
        </w:trPr>
        <w:tc>
          <w:tcPr>
            <w:tcW w:w="1858" w:type="dxa"/>
            <w:tcBorders>
              <w:tl2br w:val="single" w:sz="4" w:space="0" w:color="auto"/>
            </w:tcBorders>
            <w:noWrap/>
            <w:vAlign w:val="center"/>
          </w:tcPr>
          <w:p w:rsidR="005D6EF0" w:rsidRPr="00D55DC6" w:rsidRDefault="005D6EF0" w:rsidP="0038165F">
            <w:pPr>
              <w:widowControl/>
              <w:spacing w:line="480" w:lineRule="exact"/>
              <w:jc w:val="right"/>
              <w:rPr>
                <w:rFonts w:eastAsia="標楷體"/>
                <w:b/>
                <w:bCs/>
                <w:kern w:val="0"/>
                <w:sz w:val="20"/>
                <w:szCs w:val="20"/>
              </w:rPr>
            </w:pPr>
            <w:r w:rsidRPr="00D55DC6">
              <w:rPr>
                <w:rFonts w:eastAsia="標楷體"/>
                <w:b/>
                <w:bCs/>
                <w:kern w:val="0"/>
                <w:sz w:val="20"/>
                <w:szCs w:val="20"/>
              </w:rPr>
              <w:t>年度</w:t>
            </w:r>
          </w:p>
          <w:p w:rsidR="005D6EF0" w:rsidRPr="00D55DC6" w:rsidRDefault="005D6EF0" w:rsidP="0038165F">
            <w:pPr>
              <w:widowControl/>
              <w:spacing w:line="480" w:lineRule="exact"/>
              <w:rPr>
                <w:rFonts w:eastAsia="標楷體"/>
                <w:b/>
                <w:bCs/>
                <w:kern w:val="0"/>
                <w:sz w:val="20"/>
                <w:szCs w:val="20"/>
              </w:rPr>
            </w:pPr>
            <w:r w:rsidRPr="00D55DC6">
              <w:rPr>
                <w:rFonts w:eastAsia="標楷體"/>
                <w:b/>
                <w:bCs/>
                <w:kern w:val="0"/>
                <w:sz w:val="20"/>
                <w:szCs w:val="20"/>
              </w:rPr>
              <w:t>項目</w:t>
            </w:r>
          </w:p>
        </w:tc>
        <w:tc>
          <w:tcPr>
            <w:tcW w:w="691" w:type="dxa"/>
            <w:noWrap/>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103</w:t>
            </w:r>
          </w:p>
        </w:tc>
        <w:tc>
          <w:tcPr>
            <w:tcW w:w="691" w:type="dxa"/>
            <w:noWrap/>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104</w:t>
            </w:r>
          </w:p>
        </w:tc>
        <w:tc>
          <w:tcPr>
            <w:tcW w:w="691" w:type="dxa"/>
            <w:noWrap/>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105</w:t>
            </w:r>
          </w:p>
        </w:tc>
        <w:tc>
          <w:tcPr>
            <w:tcW w:w="691" w:type="dxa"/>
            <w:noWrap/>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106</w:t>
            </w:r>
          </w:p>
        </w:tc>
        <w:tc>
          <w:tcPr>
            <w:tcW w:w="691" w:type="dxa"/>
            <w:noWrap/>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107</w:t>
            </w:r>
          </w:p>
        </w:tc>
        <w:tc>
          <w:tcPr>
            <w:tcW w:w="691" w:type="dxa"/>
            <w:noWrap/>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108</w:t>
            </w:r>
          </w:p>
        </w:tc>
        <w:tc>
          <w:tcPr>
            <w:tcW w:w="691" w:type="dxa"/>
            <w:noWrap/>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109</w:t>
            </w:r>
          </w:p>
        </w:tc>
        <w:tc>
          <w:tcPr>
            <w:tcW w:w="691" w:type="dxa"/>
            <w:noWrap/>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110</w:t>
            </w:r>
          </w:p>
        </w:tc>
        <w:tc>
          <w:tcPr>
            <w:tcW w:w="691" w:type="dxa"/>
            <w:noWrap/>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111</w:t>
            </w:r>
          </w:p>
        </w:tc>
        <w:tc>
          <w:tcPr>
            <w:tcW w:w="691" w:type="dxa"/>
            <w:noWrap/>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112</w:t>
            </w:r>
          </w:p>
        </w:tc>
        <w:tc>
          <w:tcPr>
            <w:tcW w:w="691" w:type="dxa"/>
            <w:noWrap/>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113</w:t>
            </w:r>
          </w:p>
        </w:tc>
        <w:tc>
          <w:tcPr>
            <w:tcW w:w="691" w:type="dxa"/>
            <w:noWrap/>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114</w:t>
            </w:r>
          </w:p>
        </w:tc>
        <w:tc>
          <w:tcPr>
            <w:tcW w:w="691" w:type="dxa"/>
            <w:noWrap/>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115</w:t>
            </w:r>
          </w:p>
        </w:tc>
        <w:tc>
          <w:tcPr>
            <w:tcW w:w="691" w:type="dxa"/>
            <w:noWrap/>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116</w:t>
            </w:r>
          </w:p>
        </w:tc>
        <w:tc>
          <w:tcPr>
            <w:tcW w:w="691" w:type="dxa"/>
            <w:noWrap/>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117</w:t>
            </w:r>
          </w:p>
        </w:tc>
        <w:tc>
          <w:tcPr>
            <w:tcW w:w="691" w:type="dxa"/>
            <w:noWrap/>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118</w:t>
            </w:r>
          </w:p>
        </w:tc>
        <w:tc>
          <w:tcPr>
            <w:tcW w:w="691" w:type="dxa"/>
            <w:noWrap/>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119</w:t>
            </w:r>
          </w:p>
        </w:tc>
        <w:tc>
          <w:tcPr>
            <w:tcW w:w="691" w:type="dxa"/>
            <w:noWrap/>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120</w:t>
            </w:r>
          </w:p>
        </w:tc>
        <w:tc>
          <w:tcPr>
            <w:tcW w:w="691" w:type="dxa"/>
            <w:noWrap/>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121</w:t>
            </w:r>
          </w:p>
        </w:tc>
        <w:tc>
          <w:tcPr>
            <w:tcW w:w="691" w:type="dxa"/>
            <w:noWrap/>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122</w:t>
            </w:r>
          </w:p>
        </w:tc>
      </w:tr>
      <w:tr w:rsidR="001D0350" w:rsidRPr="00D55DC6" w:rsidTr="00A82A80">
        <w:trPr>
          <w:trHeight w:val="624"/>
          <w:jc w:val="center"/>
        </w:trPr>
        <w:tc>
          <w:tcPr>
            <w:tcW w:w="1858" w:type="dxa"/>
            <w:vAlign w:val="center"/>
          </w:tcPr>
          <w:p w:rsidR="005D6EF0" w:rsidRPr="00D55DC6" w:rsidRDefault="005D6EF0" w:rsidP="0038165F">
            <w:pPr>
              <w:widowControl/>
              <w:spacing w:line="480" w:lineRule="exact"/>
              <w:jc w:val="center"/>
              <w:rPr>
                <w:rFonts w:eastAsia="標楷體"/>
                <w:b/>
                <w:bCs/>
                <w:kern w:val="0"/>
                <w:sz w:val="20"/>
                <w:szCs w:val="20"/>
              </w:rPr>
            </w:pPr>
            <w:r w:rsidRPr="00D55DC6">
              <w:rPr>
                <w:rFonts w:eastAsia="標楷體"/>
                <w:b/>
                <w:bCs/>
                <w:kern w:val="0"/>
                <w:sz w:val="20"/>
                <w:szCs w:val="20"/>
              </w:rPr>
              <w:t>建設計畫總預算</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196,300</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176,000</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180,000</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170,000</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160,000</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150,000</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140,000</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130,000</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120,000</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110,000</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100,000</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100,000</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100,000</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100,000</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100,000</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100,000</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100,000</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100,000</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100,000</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100,000</w:t>
            </w:r>
          </w:p>
        </w:tc>
      </w:tr>
      <w:tr w:rsidR="001D0350" w:rsidRPr="00D55DC6" w:rsidTr="00A82A80">
        <w:trPr>
          <w:trHeight w:val="624"/>
          <w:jc w:val="center"/>
        </w:trPr>
        <w:tc>
          <w:tcPr>
            <w:tcW w:w="1858" w:type="dxa"/>
            <w:noWrap/>
            <w:vAlign w:val="center"/>
          </w:tcPr>
          <w:p w:rsidR="005D6EF0" w:rsidRPr="00D55DC6" w:rsidRDefault="005D6EF0" w:rsidP="0038165F">
            <w:pPr>
              <w:widowControl/>
              <w:spacing w:line="480" w:lineRule="exact"/>
              <w:jc w:val="center"/>
              <w:rPr>
                <w:rFonts w:eastAsia="標楷體"/>
                <w:b/>
                <w:bCs/>
                <w:kern w:val="0"/>
                <w:sz w:val="20"/>
                <w:szCs w:val="20"/>
              </w:rPr>
            </w:pPr>
            <w:r w:rsidRPr="00D55DC6">
              <w:rPr>
                <w:rFonts w:eastAsia="標楷體"/>
                <w:b/>
                <w:bCs/>
                <w:kern w:val="0"/>
                <w:sz w:val="20"/>
                <w:szCs w:val="20"/>
              </w:rPr>
              <w:t>計畫收益規劃</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10,713</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11,851</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12,266</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12,266</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24,666</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28,166</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34,271</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34,591</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34,591</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34,591</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45,560</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45,560</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45,560</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45,560</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47,755</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47,755</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47,755</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48,755</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49,255</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49,255</w:t>
            </w:r>
          </w:p>
        </w:tc>
      </w:tr>
      <w:tr w:rsidR="001D0350" w:rsidRPr="00D55DC6" w:rsidTr="00A82A80">
        <w:trPr>
          <w:trHeight w:val="624"/>
          <w:jc w:val="center"/>
        </w:trPr>
        <w:tc>
          <w:tcPr>
            <w:tcW w:w="1858" w:type="dxa"/>
            <w:vAlign w:val="center"/>
          </w:tcPr>
          <w:p w:rsidR="005D6EF0" w:rsidRPr="00D55DC6" w:rsidRDefault="005D6EF0" w:rsidP="0038165F">
            <w:pPr>
              <w:widowControl/>
              <w:spacing w:line="480" w:lineRule="exact"/>
              <w:jc w:val="center"/>
              <w:rPr>
                <w:rFonts w:eastAsia="標楷體"/>
                <w:b/>
                <w:bCs/>
                <w:kern w:val="0"/>
                <w:sz w:val="20"/>
                <w:szCs w:val="20"/>
              </w:rPr>
            </w:pPr>
            <w:r w:rsidRPr="00D55DC6">
              <w:rPr>
                <w:rFonts w:eastAsia="標楷體"/>
                <w:b/>
                <w:bCs/>
                <w:kern w:val="0"/>
                <w:sz w:val="20"/>
                <w:szCs w:val="20"/>
              </w:rPr>
              <w:t>建設計畫分年收支比</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5.46%</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6.73%</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6.81%</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7.22%</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15.42%</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18.78%</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24.48%</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26.61%</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28.83%</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31.45%</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45.56%</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45.56%</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45.56%</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45.56%</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47.76%</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47.76%</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47.76%</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48.76%</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49.26%</w:t>
            </w:r>
          </w:p>
        </w:tc>
        <w:tc>
          <w:tcPr>
            <w:tcW w:w="691" w:type="dxa"/>
            <w:vAlign w:val="center"/>
          </w:tcPr>
          <w:p w:rsidR="005D6EF0" w:rsidRPr="00D55DC6" w:rsidRDefault="005D6EF0" w:rsidP="0038165F">
            <w:pPr>
              <w:widowControl/>
              <w:spacing w:line="480" w:lineRule="exact"/>
              <w:jc w:val="center"/>
              <w:rPr>
                <w:rFonts w:eastAsia="標楷體"/>
                <w:b/>
                <w:bCs/>
                <w:kern w:val="0"/>
                <w:sz w:val="18"/>
                <w:szCs w:val="18"/>
              </w:rPr>
            </w:pPr>
            <w:r w:rsidRPr="00D55DC6">
              <w:rPr>
                <w:rFonts w:eastAsia="標楷體"/>
                <w:b/>
                <w:bCs/>
                <w:kern w:val="0"/>
                <w:sz w:val="18"/>
                <w:szCs w:val="18"/>
              </w:rPr>
              <w:t>49.26%</w:t>
            </w:r>
          </w:p>
        </w:tc>
      </w:tr>
      <w:tr w:rsidR="001D0350" w:rsidRPr="00D55DC6" w:rsidTr="00A82A80">
        <w:trPr>
          <w:trHeight w:val="624"/>
          <w:jc w:val="center"/>
        </w:trPr>
        <w:tc>
          <w:tcPr>
            <w:tcW w:w="1858" w:type="dxa"/>
            <w:noWrap/>
            <w:vAlign w:val="center"/>
          </w:tcPr>
          <w:p w:rsidR="005D6EF0" w:rsidRPr="00D55DC6" w:rsidRDefault="005D6EF0" w:rsidP="0038165F">
            <w:pPr>
              <w:widowControl/>
              <w:spacing w:line="480" w:lineRule="exact"/>
              <w:jc w:val="center"/>
              <w:rPr>
                <w:rFonts w:eastAsia="標楷體"/>
                <w:b/>
                <w:bCs/>
                <w:kern w:val="0"/>
                <w:sz w:val="20"/>
                <w:szCs w:val="20"/>
              </w:rPr>
            </w:pPr>
            <w:r w:rsidRPr="00D55DC6">
              <w:rPr>
                <w:rFonts w:eastAsia="標楷體"/>
                <w:b/>
                <w:bCs/>
                <w:kern w:val="0"/>
                <w:sz w:val="20"/>
                <w:szCs w:val="20"/>
              </w:rPr>
              <w:t>建設計畫投資現值</w:t>
            </w:r>
          </w:p>
        </w:tc>
        <w:tc>
          <w:tcPr>
            <w:tcW w:w="13820" w:type="dxa"/>
            <w:gridSpan w:val="20"/>
            <w:noWrap/>
            <w:vAlign w:val="center"/>
          </w:tcPr>
          <w:p w:rsidR="005D6EF0" w:rsidRPr="00D55DC6" w:rsidRDefault="005D6EF0" w:rsidP="0038165F">
            <w:pPr>
              <w:widowControl/>
              <w:spacing w:line="480" w:lineRule="exact"/>
              <w:rPr>
                <w:rFonts w:eastAsia="標楷體"/>
                <w:b/>
                <w:bCs/>
                <w:kern w:val="0"/>
              </w:rPr>
            </w:pPr>
            <w:r w:rsidRPr="00D55DC6">
              <w:rPr>
                <w:rFonts w:eastAsia="標楷體"/>
                <w:b/>
                <w:bCs/>
                <w:kern w:val="0"/>
              </w:rPr>
              <w:t>$1,979,689</w:t>
            </w:r>
          </w:p>
        </w:tc>
      </w:tr>
      <w:tr w:rsidR="001D0350" w:rsidRPr="00D55DC6" w:rsidTr="00A82A80">
        <w:trPr>
          <w:trHeight w:val="624"/>
          <w:jc w:val="center"/>
        </w:trPr>
        <w:tc>
          <w:tcPr>
            <w:tcW w:w="1858" w:type="dxa"/>
            <w:noWrap/>
            <w:vAlign w:val="center"/>
          </w:tcPr>
          <w:p w:rsidR="005D6EF0" w:rsidRPr="00D55DC6" w:rsidRDefault="005D6EF0" w:rsidP="0038165F">
            <w:pPr>
              <w:widowControl/>
              <w:spacing w:line="480" w:lineRule="exact"/>
              <w:jc w:val="center"/>
              <w:rPr>
                <w:rFonts w:eastAsia="標楷體"/>
                <w:b/>
                <w:bCs/>
                <w:kern w:val="0"/>
                <w:sz w:val="20"/>
                <w:szCs w:val="20"/>
              </w:rPr>
            </w:pPr>
            <w:r w:rsidRPr="00D55DC6">
              <w:rPr>
                <w:rFonts w:eastAsia="標楷體"/>
                <w:b/>
                <w:bCs/>
                <w:kern w:val="0"/>
                <w:sz w:val="20"/>
                <w:szCs w:val="20"/>
              </w:rPr>
              <w:t>收益現值</w:t>
            </w:r>
          </w:p>
        </w:tc>
        <w:tc>
          <w:tcPr>
            <w:tcW w:w="13820" w:type="dxa"/>
            <w:gridSpan w:val="20"/>
            <w:noWrap/>
            <w:vAlign w:val="center"/>
          </w:tcPr>
          <w:p w:rsidR="005D6EF0" w:rsidRPr="00D55DC6" w:rsidRDefault="005D6EF0" w:rsidP="0038165F">
            <w:pPr>
              <w:widowControl/>
              <w:spacing w:line="480" w:lineRule="exact"/>
              <w:rPr>
                <w:rFonts w:eastAsia="標楷體"/>
                <w:b/>
                <w:bCs/>
                <w:kern w:val="0"/>
              </w:rPr>
            </w:pPr>
            <w:r w:rsidRPr="00D55DC6">
              <w:rPr>
                <w:rFonts w:eastAsia="標楷體"/>
                <w:b/>
                <w:bCs/>
                <w:kern w:val="0"/>
              </w:rPr>
              <w:t>$502,186</w:t>
            </w:r>
          </w:p>
        </w:tc>
      </w:tr>
      <w:tr w:rsidR="001D0350" w:rsidRPr="00D55DC6" w:rsidTr="00A82A80">
        <w:trPr>
          <w:trHeight w:val="624"/>
          <w:jc w:val="center"/>
        </w:trPr>
        <w:tc>
          <w:tcPr>
            <w:tcW w:w="1858" w:type="dxa"/>
            <w:noWrap/>
            <w:vAlign w:val="center"/>
          </w:tcPr>
          <w:p w:rsidR="005D6EF0" w:rsidRPr="00D55DC6" w:rsidRDefault="005D6EF0" w:rsidP="0038165F">
            <w:pPr>
              <w:widowControl/>
              <w:spacing w:line="480" w:lineRule="exact"/>
              <w:jc w:val="center"/>
              <w:rPr>
                <w:rFonts w:eastAsia="標楷體"/>
                <w:b/>
                <w:bCs/>
                <w:kern w:val="0"/>
                <w:sz w:val="20"/>
                <w:szCs w:val="20"/>
              </w:rPr>
            </w:pPr>
            <w:r w:rsidRPr="00D55DC6">
              <w:rPr>
                <w:rFonts w:eastAsia="標楷體"/>
                <w:b/>
                <w:bCs/>
                <w:kern w:val="0"/>
                <w:sz w:val="20"/>
                <w:szCs w:val="20"/>
              </w:rPr>
              <w:t>建設計畫自償率</w:t>
            </w:r>
          </w:p>
        </w:tc>
        <w:tc>
          <w:tcPr>
            <w:tcW w:w="13820" w:type="dxa"/>
            <w:gridSpan w:val="20"/>
            <w:noWrap/>
            <w:vAlign w:val="center"/>
          </w:tcPr>
          <w:p w:rsidR="005D6EF0" w:rsidRPr="00D55DC6" w:rsidRDefault="005D6EF0" w:rsidP="0038165F">
            <w:pPr>
              <w:widowControl/>
              <w:spacing w:line="480" w:lineRule="exact"/>
              <w:rPr>
                <w:rFonts w:eastAsia="標楷體"/>
                <w:b/>
                <w:bCs/>
                <w:kern w:val="0"/>
              </w:rPr>
            </w:pPr>
            <w:r w:rsidRPr="00D55DC6">
              <w:rPr>
                <w:rFonts w:eastAsia="標楷體"/>
                <w:b/>
                <w:bCs/>
                <w:kern w:val="0"/>
              </w:rPr>
              <w:t>25.37 %</w:t>
            </w:r>
          </w:p>
        </w:tc>
      </w:tr>
      <w:tr w:rsidR="005D6EF0" w:rsidRPr="00D55DC6" w:rsidTr="00A82A80">
        <w:trPr>
          <w:trHeight w:val="624"/>
          <w:jc w:val="center"/>
        </w:trPr>
        <w:tc>
          <w:tcPr>
            <w:tcW w:w="15678" w:type="dxa"/>
            <w:gridSpan w:val="21"/>
            <w:noWrap/>
            <w:vAlign w:val="center"/>
          </w:tcPr>
          <w:p w:rsidR="005D6EF0" w:rsidRPr="00D55DC6" w:rsidRDefault="005D6EF0" w:rsidP="0038165F">
            <w:pPr>
              <w:widowControl/>
              <w:spacing w:line="480" w:lineRule="exact"/>
              <w:rPr>
                <w:rFonts w:eastAsia="標楷體"/>
                <w:b/>
                <w:bCs/>
                <w:kern w:val="0"/>
                <w:sz w:val="20"/>
                <w:szCs w:val="20"/>
              </w:rPr>
            </w:pPr>
            <w:r w:rsidRPr="00D55DC6">
              <w:rPr>
                <w:rFonts w:eastAsia="標楷體"/>
                <w:sz w:val="20"/>
                <w:szCs w:val="20"/>
              </w:rPr>
              <w:t>註：折現率</w:t>
            </w:r>
            <w:r w:rsidRPr="00D55DC6">
              <w:rPr>
                <w:rFonts w:eastAsia="標楷體"/>
                <w:sz w:val="20"/>
                <w:szCs w:val="20"/>
              </w:rPr>
              <w:t>2.88%</w:t>
            </w:r>
            <w:r w:rsidRPr="00D55DC6">
              <w:rPr>
                <w:rFonts w:eastAsia="標楷體"/>
                <w:sz w:val="20"/>
                <w:szCs w:val="20"/>
              </w:rPr>
              <w:t>。</w:t>
            </w:r>
          </w:p>
        </w:tc>
      </w:tr>
    </w:tbl>
    <w:p w:rsidR="005D6EF0" w:rsidRPr="00D55DC6" w:rsidRDefault="005D6EF0" w:rsidP="0038165F">
      <w:pPr>
        <w:keepNext/>
        <w:snapToGrid w:val="0"/>
        <w:spacing w:line="400" w:lineRule="exact"/>
        <w:ind w:rightChars="-316" w:right="-758"/>
        <w:contextualSpacing/>
        <w:rPr>
          <w:rFonts w:eastAsia="標楷體"/>
          <w:b/>
          <w:bCs/>
        </w:rPr>
      </w:pPr>
    </w:p>
    <w:p w:rsidR="005D6EF0" w:rsidRPr="00D55DC6" w:rsidRDefault="005D6EF0" w:rsidP="0038165F">
      <w:pPr>
        <w:keepNext/>
        <w:snapToGrid w:val="0"/>
        <w:spacing w:line="400" w:lineRule="exact"/>
        <w:ind w:rightChars="-316" w:right="-758"/>
        <w:contextualSpacing/>
        <w:rPr>
          <w:rFonts w:eastAsia="標楷體"/>
          <w:b/>
          <w:bCs/>
        </w:rPr>
      </w:pPr>
    </w:p>
    <w:p w:rsidR="005D6EF0" w:rsidRPr="00D55DC6" w:rsidRDefault="005D6EF0" w:rsidP="0038165F">
      <w:pPr>
        <w:keepNext/>
        <w:snapToGrid w:val="0"/>
        <w:spacing w:line="400" w:lineRule="exact"/>
        <w:ind w:rightChars="-316" w:right="-758"/>
        <w:contextualSpacing/>
        <w:rPr>
          <w:rFonts w:eastAsia="標楷體"/>
          <w:b/>
          <w:bCs/>
        </w:rPr>
        <w:sectPr w:rsidR="005D6EF0" w:rsidRPr="00D55DC6" w:rsidSect="00A82A80">
          <w:pgSz w:w="16838" w:h="11906" w:orient="landscape" w:code="9"/>
          <w:pgMar w:top="1134" w:right="1134" w:bottom="1134" w:left="1134" w:header="567" w:footer="567" w:gutter="0"/>
          <w:cols w:space="425"/>
          <w:docGrid w:type="linesAndChars" w:linePitch="360"/>
        </w:sectPr>
      </w:pPr>
    </w:p>
    <w:p w:rsidR="005D6EF0" w:rsidRPr="00D55DC6" w:rsidRDefault="005D6EF0" w:rsidP="0038165F">
      <w:pPr>
        <w:keepNext/>
        <w:snapToGrid w:val="0"/>
        <w:spacing w:line="400" w:lineRule="exact"/>
        <w:ind w:rightChars="-316" w:right="-758"/>
        <w:contextualSpacing/>
        <w:rPr>
          <w:rFonts w:eastAsia="標楷體"/>
          <w:b/>
          <w:bCs/>
          <w:sz w:val="20"/>
          <w:szCs w:val="20"/>
        </w:rPr>
      </w:pPr>
      <w:r w:rsidRPr="00D55DC6">
        <w:rPr>
          <w:rFonts w:eastAsia="標楷體"/>
          <w:b/>
          <w:bCs/>
        </w:rPr>
        <w:lastRenderedPageBreak/>
        <w:t>表</w:t>
      </w:r>
      <w:r w:rsidRPr="00D55DC6">
        <w:rPr>
          <w:rFonts w:eastAsia="標楷體"/>
          <w:b/>
          <w:bCs/>
        </w:rPr>
        <w:t xml:space="preserve">2 </w:t>
      </w:r>
      <w:r w:rsidRPr="00D55DC6">
        <w:rPr>
          <w:rFonts w:eastAsia="標楷體"/>
          <w:b/>
          <w:bCs/>
        </w:rPr>
        <w:t>預估財務收入分年規劃表</w:t>
      </w:r>
      <w:r w:rsidRPr="00D55DC6">
        <w:rPr>
          <w:rFonts w:eastAsia="標楷體"/>
          <w:b/>
          <w:bCs/>
          <w:sz w:val="20"/>
          <w:szCs w:val="20"/>
        </w:rPr>
        <w:t>（單位：千元）</w:t>
      </w:r>
    </w:p>
    <w:tbl>
      <w:tblPr>
        <w:tblW w:w="15136" w:type="dxa"/>
        <w:jc w:val="center"/>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356"/>
        <w:gridCol w:w="838"/>
        <w:gridCol w:w="838"/>
        <w:gridCol w:w="838"/>
        <w:gridCol w:w="838"/>
        <w:gridCol w:w="838"/>
        <w:gridCol w:w="838"/>
        <w:gridCol w:w="938"/>
        <w:gridCol w:w="938"/>
        <w:gridCol w:w="938"/>
        <w:gridCol w:w="938"/>
      </w:tblGrid>
      <w:tr w:rsidR="001D0350" w:rsidRPr="00D55DC6" w:rsidTr="00A82A80">
        <w:trPr>
          <w:jc w:val="center"/>
        </w:trPr>
        <w:tc>
          <w:tcPr>
            <w:tcW w:w="6356" w:type="dxa"/>
            <w:shd w:val="clear" w:color="000000" w:fill="FFFF99"/>
            <w:vAlign w:val="center"/>
            <w:hideMark/>
          </w:tcPr>
          <w:p w:rsidR="005D6EF0" w:rsidRPr="00D55DC6" w:rsidRDefault="005D6EF0" w:rsidP="0038165F">
            <w:pPr>
              <w:widowControl/>
              <w:jc w:val="center"/>
              <w:rPr>
                <w:rFonts w:eastAsia="標楷體"/>
                <w:b/>
                <w:bCs/>
                <w:kern w:val="0"/>
              </w:rPr>
            </w:pPr>
            <w:r w:rsidRPr="00D55DC6">
              <w:rPr>
                <w:rFonts w:eastAsia="標楷體"/>
                <w:b/>
                <w:bCs/>
                <w:kern w:val="0"/>
              </w:rPr>
              <w:t>年度</w:t>
            </w:r>
            <w:r w:rsidRPr="00D55DC6">
              <w:rPr>
                <w:rFonts w:eastAsia="標楷體"/>
                <w:b/>
                <w:bCs/>
                <w:kern w:val="0"/>
              </w:rPr>
              <w:t>(</w:t>
            </w:r>
            <w:r w:rsidRPr="00D55DC6">
              <w:rPr>
                <w:rFonts w:eastAsia="標楷體"/>
                <w:b/>
                <w:bCs/>
                <w:kern w:val="0"/>
              </w:rPr>
              <w:t>千元</w:t>
            </w:r>
            <w:r w:rsidRPr="00D55DC6">
              <w:rPr>
                <w:rFonts w:eastAsia="標楷體"/>
                <w:b/>
                <w:bCs/>
                <w:kern w:val="0"/>
              </w:rPr>
              <w:t>)</w:t>
            </w:r>
          </w:p>
        </w:tc>
        <w:tc>
          <w:tcPr>
            <w:tcW w:w="838" w:type="dxa"/>
            <w:shd w:val="clear" w:color="000000" w:fill="FFFF99"/>
            <w:vAlign w:val="center"/>
          </w:tcPr>
          <w:p w:rsidR="005D6EF0" w:rsidRPr="00D55DC6" w:rsidRDefault="005D6EF0" w:rsidP="0038165F">
            <w:pPr>
              <w:jc w:val="center"/>
              <w:rPr>
                <w:rFonts w:eastAsia="標楷體"/>
                <w:b/>
                <w:bCs/>
              </w:rPr>
            </w:pPr>
            <w:r w:rsidRPr="00D55DC6">
              <w:rPr>
                <w:rFonts w:eastAsia="標楷體"/>
                <w:b/>
                <w:bCs/>
              </w:rPr>
              <w:t xml:space="preserve">103 </w:t>
            </w:r>
          </w:p>
        </w:tc>
        <w:tc>
          <w:tcPr>
            <w:tcW w:w="838" w:type="dxa"/>
            <w:shd w:val="clear" w:color="000000" w:fill="FFFF99"/>
            <w:vAlign w:val="center"/>
          </w:tcPr>
          <w:p w:rsidR="005D6EF0" w:rsidRPr="00D55DC6" w:rsidRDefault="005D6EF0" w:rsidP="0038165F">
            <w:pPr>
              <w:jc w:val="center"/>
              <w:rPr>
                <w:rFonts w:eastAsia="標楷體"/>
                <w:b/>
                <w:bCs/>
              </w:rPr>
            </w:pPr>
            <w:r w:rsidRPr="00D55DC6">
              <w:rPr>
                <w:rFonts w:eastAsia="標楷體"/>
                <w:b/>
                <w:bCs/>
              </w:rPr>
              <w:t xml:space="preserve">104 </w:t>
            </w:r>
          </w:p>
        </w:tc>
        <w:tc>
          <w:tcPr>
            <w:tcW w:w="838" w:type="dxa"/>
            <w:shd w:val="clear" w:color="000000" w:fill="FFFF99"/>
            <w:vAlign w:val="center"/>
          </w:tcPr>
          <w:p w:rsidR="005D6EF0" w:rsidRPr="00D55DC6" w:rsidRDefault="005D6EF0" w:rsidP="0038165F">
            <w:pPr>
              <w:jc w:val="center"/>
              <w:rPr>
                <w:rFonts w:eastAsia="標楷體"/>
                <w:b/>
                <w:bCs/>
              </w:rPr>
            </w:pPr>
            <w:r w:rsidRPr="00D55DC6">
              <w:rPr>
                <w:rFonts w:eastAsia="標楷體"/>
                <w:b/>
                <w:bCs/>
              </w:rPr>
              <w:t xml:space="preserve">105 </w:t>
            </w:r>
          </w:p>
        </w:tc>
        <w:tc>
          <w:tcPr>
            <w:tcW w:w="838" w:type="dxa"/>
            <w:shd w:val="clear" w:color="000000" w:fill="FFFF99"/>
            <w:vAlign w:val="center"/>
          </w:tcPr>
          <w:p w:rsidR="005D6EF0" w:rsidRPr="00D55DC6" w:rsidRDefault="005D6EF0" w:rsidP="0038165F">
            <w:pPr>
              <w:jc w:val="center"/>
              <w:rPr>
                <w:rFonts w:eastAsia="標楷體"/>
                <w:b/>
                <w:bCs/>
              </w:rPr>
            </w:pPr>
            <w:r w:rsidRPr="00D55DC6">
              <w:rPr>
                <w:rFonts w:eastAsia="標楷體"/>
                <w:b/>
                <w:bCs/>
              </w:rPr>
              <w:t xml:space="preserve">106 </w:t>
            </w:r>
          </w:p>
        </w:tc>
        <w:tc>
          <w:tcPr>
            <w:tcW w:w="838" w:type="dxa"/>
            <w:shd w:val="clear" w:color="000000" w:fill="FFFF99"/>
            <w:vAlign w:val="center"/>
          </w:tcPr>
          <w:p w:rsidR="005D6EF0" w:rsidRPr="00D55DC6" w:rsidRDefault="005D6EF0" w:rsidP="0038165F">
            <w:pPr>
              <w:jc w:val="center"/>
              <w:rPr>
                <w:rFonts w:eastAsia="標楷體"/>
                <w:b/>
                <w:bCs/>
              </w:rPr>
            </w:pPr>
            <w:r w:rsidRPr="00D55DC6">
              <w:rPr>
                <w:rFonts w:eastAsia="標楷體"/>
                <w:b/>
                <w:bCs/>
              </w:rPr>
              <w:t xml:space="preserve">107 </w:t>
            </w:r>
          </w:p>
        </w:tc>
        <w:tc>
          <w:tcPr>
            <w:tcW w:w="838" w:type="dxa"/>
            <w:shd w:val="clear" w:color="000000" w:fill="FFFF99"/>
            <w:vAlign w:val="center"/>
          </w:tcPr>
          <w:p w:rsidR="005D6EF0" w:rsidRPr="00D55DC6" w:rsidRDefault="005D6EF0" w:rsidP="0038165F">
            <w:pPr>
              <w:jc w:val="center"/>
              <w:rPr>
                <w:rFonts w:eastAsia="標楷體"/>
                <w:b/>
                <w:bCs/>
              </w:rPr>
            </w:pPr>
            <w:r w:rsidRPr="00D55DC6">
              <w:rPr>
                <w:rFonts w:eastAsia="標楷體"/>
                <w:b/>
                <w:bCs/>
              </w:rPr>
              <w:t xml:space="preserve">108 </w:t>
            </w:r>
          </w:p>
        </w:tc>
        <w:tc>
          <w:tcPr>
            <w:tcW w:w="938" w:type="dxa"/>
            <w:shd w:val="clear" w:color="000000" w:fill="FFFF99"/>
            <w:vAlign w:val="center"/>
          </w:tcPr>
          <w:p w:rsidR="005D6EF0" w:rsidRPr="00D55DC6" w:rsidRDefault="005D6EF0" w:rsidP="0038165F">
            <w:pPr>
              <w:jc w:val="center"/>
              <w:rPr>
                <w:rFonts w:eastAsia="標楷體"/>
                <w:b/>
                <w:bCs/>
              </w:rPr>
            </w:pPr>
            <w:r w:rsidRPr="00D55DC6">
              <w:rPr>
                <w:rFonts w:eastAsia="標楷體"/>
                <w:b/>
                <w:bCs/>
              </w:rPr>
              <w:t xml:space="preserve">109 </w:t>
            </w:r>
          </w:p>
        </w:tc>
        <w:tc>
          <w:tcPr>
            <w:tcW w:w="938" w:type="dxa"/>
            <w:shd w:val="clear" w:color="000000" w:fill="FFFF99"/>
            <w:vAlign w:val="center"/>
          </w:tcPr>
          <w:p w:rsidR="005D6EF0" w:rsidRPr="00D55DC6" w:rsidRDefault="005D6EF0" w:rsidP="0038165F">
            <w:pPr>
              <w:jc w:val="center"/>
              <w:rPr>
                <w:rFonts w:eastAsia="標楷體"/>
                <w:b/>
                <w:bCs/>
              </w:rPr>
            </w:pPr>
            <w:r w:rsidRPr="00D55DC6">
              <w:rPr>
                <w:rFonts w:eastAsia="標楷體"/>
                <w:b/>
                <w:bCs/>
              </w:rPr>
              <w:t xml:space="preserve">110 </w:t>
            </w:r>
          </w:p>
        </w:tc>
        <w:tc>
          <w:tcPr>
            <w:tcW w:w="938" w:type="dxa"/>
            <w:shd w:val="clear" w:color="000000" w:fill="FFFF99"/>
            <w:vAlign w:val="center"/>
          </w:tcPr>
          <w:p w:rsidR="005D6EF0" w:rsidRPr="00D55DC6" w:rsidRDefault="005D6EF0" w:rsidP="0038165F">
            <w:pPr>
              <w:jc w:val="center"/>
              <w:rPr>
                <w:rFonts w:eastAsia="標楷體"/>
                <w:b/>
                <w:bCs/>
              </w:rPr>
            </w:pPr>
            <w:r w:rsidRPr="00D55DC6">
              <w:rPr>
                <w:rFonts w:eastAsia="標楷體"/>
                <w:b/>
                <w:bCs/>
              </w:rPr>
              <w:t xml:space="preserve">111 </w:t>
            </w:r>
          </w:p>
        </w:tc>
        <w:tc>
          <w:tcPr>
            <w:tcW w:w="938" w:type="dxa"/>
            <w:shd w:val="clear" w:color="000000" w:fill="FFFF99"/>
            <w:vAlign w:val="center"/>
          </w:tcPr>
          <w:p w:rsidR="005D6EF0" w:rsidRPr="00D55DC6" w:rsidRDefault="005D6EF0" w:rsidP="0038165F">
            <w:pPr>
              <w:jc w:val="center"/>
              <w:rPr>
                <w:rFonts w:eastAsia="標楷體"/>
                <w:b/>
                <w:bCs/>
              </w:rPr>
            </w:pPr>
            <w:r w:rsidRPr="00D55DC6">
              <w:rPr>
                <w:rFonts w:eastAsia="標楷體"/>
                <w:b/>
                <w:bCs/>
              </w:rPr>
              <w:t xml:space="preserve">112 </w:t>
            </w:r>
          </w:p>
        </w:tc>
      </w:tr>
      <w:tr w:rsidR="001D0350" w:rsidRPr="00D55DC6" w:rsidTr="00A82A80">
        <w:trPr>
          <w:jc w:val="center"/>
        </w:trPr>
        <w:tc>
          <w:tcPr>
            <w:tcW w:w="6356" w:type="dxa"/>
            <w:shd w:val="clear" w:color="auto" w:fill="auto"/>
            <w:vAlign w:val="center"/>
            <w:hideMark/>
          </w:tcPr>
          <w:p w:rsidR="005D6EF0" w:rsidRPr="00D55DC6" w:rsidRDefault="005D6EF0" w:rsidP="0038165F">
            <w:pPr>
              <w:widowControl/>
              <w:rPr>
                <w:rFonts w:eastAsia="標楷體"/>
                <w:b/>
                <w:bCs/>
                <w:kern w:val="0"/>
              </w:rPr>
            </w:pPr>
            <w:r w:rsidRPr="00D55DC6">
              <w:rPr>
                <w:rFonts w:eastAsia="標楷體"/>
                <w:b/>
                <w:bCs/>
                <w:kern w:val="0"/>
              </w:rPr>
              <w:t>短期出租</w:t>
            </w:r>
          </w:p>
        </w:tc>
        <w:tc>
          <w:tcPr>
            <w:tcW w:w="8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1,743 </w:t>
            </w:r>
          </w:p>
        </w:tc>
        <w:tc>
          <w:tcPr>
            <w:tcW w:w="8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1,671 </w:t>
            </w:r>
          </w:p>
        </w:tc>
        <w:tc>
          <w:tcPr>
            <w:tcW w:w="8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1,676 </w:t>
            </w:r>
          </w:p>
        </w:tc>
        <w:tc>
          <w:tcPr>
            <w:tcW w:w="8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1,676 </w:t>
            </w:r>
          </w:p>
        </w:tc>
        <w:tc>
          <w:tcPr>
            <w:tcW w:w="8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1,676 </w:t>
            </w:r>
          </w:p>
        </w:tc>
        <w:tc>
          <w:tcPr>
            <w:tcW w:w="8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1,676 </w:t>
            </w:r>
          </w:p>
        </w:tc>
        <w:tc>
          <w:tcPr>
            <w:tcW w:w="9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1,681 </w:t>
            </w:r>
          </w:p>
        </w:tc>
        <w:tc>
          <w:tcPr>
            <w:tcW w:w="9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1,681 </w:t>
            </w:r>
          </w:p>
        </w:tc>
        <w:tc>
          <w:tcPr>
            <w:tcW w:w="9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1,681 </w:t>
            </w:r>
          </w:p>
        </w:tc>
        <w:tc>
          <w:tcPr>
            <w:tcW w:w="9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1,681 </w:t>
            </w:r>
          </w:p>
        </w:tc>
      </w:tr>
      <w:tr w:rsidR="001D0350" w:rsidRPr="00D55DC6" w:rsidTr="00A82A80">
        <w:trPr>
          <w:jc w:val="center"/>
        </w:trPr>
        <w:tc>
          <w:tcPr>
            <w:tcW w:w="6356" w:type="dxa"/>
            <w:shd w:val="clear" w:color="auto" w:fill="auto"/>
            <w:vAlign w:val="center"/>
            <w:hideMark/>
          </w:tcPr>
          <w:p w:rsidR="005D6EF0" w:rsidRPr="00D55DC6" w:rsidRDefault="005D6EF0" w:rsidP="0038165F">
            <w:pPr>
              <w:widowControl/>
              <w:rPr>
                <w:rFonts w:eastAsia="標楷體"/>
                <w:kern w:val="0"/>
              </w:rPr>
            </w:pPr>
            <w:r w:rsidRPr="00D55DC6">
              <w:rPr>
                <w:rFonts w:eastAsia="標楷體"/>
                <w:kern w:val="0"/>
              </w:rPr>
              <w:t>-</w:t>
            </w:r>
            <w:r w:rsidRPr="00D55DC6">
              <w:rPr>
                <w:rFonts w:eastAsia="標楷體"/>
                <w:kern w:val="0"/>
              </w:rPr>
              <w:t>獅頭山管理站歇心茶樓租金</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136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136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136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136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136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136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136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136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136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136 </w:t>
            </w:r>
          </w:p>
        </w:tc>
      </w:tr>
      <w:tr w:rsidR="001D0350" w:rsidRPr="00D55DC6" w:rsidTr="00A82A80">
        <w:trPr>
          <w:jc w:val="center"/>
        </w:trPr>
        <w:tc>
          <w:tcPr>
            <w:tcW w:w="6356" w:type="dxa"/>
            <w:shd w:val="clear" w:color="auto" w:fill="auto"/>
            <w:vAlign w:val="center"/>
            <w:hideMark/>
          </w:tcPr>
          <w:p w:rsidR="005D6EF0" w:rsidRPr="00D55DC6" w:rsidRDefault="005D6EF0" w:rsidP="0038165F">
            <w:pPr>
              <w:widowControl/>
              <w:rPr>
                <w:rFonts w:eastAsia="標楷體"/>
                <w:kern w:val="0"/>
              </w:rPr>
            </w:pPr>
            <w:r w:rsidRPr="00D55DC6">
              <w:rPr>
                <w:rFonts w:eastAsia="標楷體"/>
                <w:kern w:val="0"/>
              </w:rPr>
              <w:t>-</w:t>
            </w:r>
            <w:r w:rsidRPr="00D55DC6">
              <w:rPr>
                <w:rFonts w:eastAsia="標楷體"/>
                <w:kern w:val="0"/>
              </w:rPr>
              <w:t>南庄遊客中心地下停車場租金</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1,572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1,500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1,500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1,500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1,500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1,500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1,500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1,500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1,500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1,500 </w:t>
            </w:r>
          </w:p>
        </w:tc>
      </w:tr>
      <w:tr w:rsidR="001D0350" w:rsidRPr="00D55DC6" w:rsidTr="00A82A80">
        <w:trPr>
          <w:jc w:val="center"/>
        </w:trPr>
        <w:tc>
          <w:tcPr>
            <w:tcW w:w="6356" w:type="dxa"/>
            <w:shd w:val="clear" w:color="auto" w:fill="auto"/>
            <w:vAlign w:val="center"/>
            <w:hideMark/>
          </w:tcPr>
          <w:p w:rsidR="005D6EF0" w:rsidRPr="00D55DC6" w:rsidRDefault="005D6EF0" w:rsidP="0038165F">
            <w:pPr>
              <w:widowControl/>
              <w:rPr>
                <w:rFonts w:eastAsia="標楷體"/>
                <w:kern w:val="0"/>
              </w:rPr>
            </w:pPr>
            <w:r w:rsidRPr="00D55DC6">
              <w:rPr>
                <w:rFonts w:eastAsia="標楷體"/>
                <w:kern w:val="0"/>
              </w:rPr>
              <w:t>-</w:t>
            </w:r>
            <w:r w:rsidRPr="00D55DC6">
              <w:rPr>
                <w:rFonts w:eastAsia="標楷體"/>
                <w:kern w:val="0"/>
              </w:rPr>
              <w:t>其他</w:t>
            </w:r>
            <w:r w:rsidRPr="00D55DC6">
              <w:rPr>
                <w:rFonts w:eastAsia="標楷體"/>
                <w:kern w:val="0"/>
              </w:rPr>
              <w:t>(</w:t>
            </w:r>
            <w:r w:rsidRPr="00D55DC6">
              <w:rPr>
                <w:rFonts w:eastAsia="標楷體"/>
                <w:kern w:val="0"/>
              </w:rPr>
              <w:t>梨山備勤室租金、猴探井基地台租金等</w:t>
            </w:r>
            <w:r w:rsidRPr="00D55DC6">
              <w:rPr>
                <w:rFonts w:eastAsia="標楷體"/>
                <w:kern w:val="0"/>
              </w:rPr>
              <w:t>)</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35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35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45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45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45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45 </w:t>
            </w:r>
          </w:p>
        </w:tc>
      </w:tr>
      <w:tr w:rsidR="001D0350" w:rsidRPr="00D55DC6" w:rsidTr="00A82A80">
        <w:trPr>
          <w:jc w:val="center"/>
        </w:trPr>
        <w:tc>
          <w:tcPr>
            <w:tcW w:w="6356" w:type="dxa"/>
            <w:shd w:val="clear" w:color="auto" w:fill="auto"/>
            <w:vAlign w:val="center"/>
            <w:hideMark/>
          </w:tcPr>
          <w:p w:rsidR="005D6EF0" w:rsidRPr="00D55DC6" w:rsidRDefault="005D6EF0" w:rsidP="0038165F">
            <w:pPr>
              <w:widowControl/>
              <w:jc w:val="both"/>
              <w:rPr>
                <w:rFonts w:eastAsia="標楷體"/>
                <w:b/>
                <w:bCs/>
                <w:kern w:val="0"/>
              </w:rPr>
            </w:pPr>
            <w:r w:rsidRPr="00D55DC6">
              <w:rPr>
                <w:rFonts w:eastAsia="標楷體"/>
                <w:b/>
                <w:bCs/>
                <w:kern w:val="0"/>
              </w:rPr>
              <w:t>租金及權利金收入</w:t>
            </w:r>
          </w:p>
        </w:tc>
        <w:tc>
          <w:tcPr>
            <w:tcW w:w="8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8,970 </w:t>
            </w:r>
          </w:p>
        </w:tc>
        <w:tc>
          <w:tcPr>
            <w:tcW w:w="8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9,220 </w:t>
            </w:r>
          </w:p>
        </w:tc>
        <w:tc>
          <w:tcPr>
            <w:tcW w:w="8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9,630 </w:t>
            </w:r>
          </w:p>
        </w:tc>
        <w:tc>
          <w:tcPr>
            <w:tcW w:w="8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9,630 </w:t>
            </w:r>
          </w:p>
        </w:tc>
        <w:tc>
          <w:tcPr>
            <w:tcW w:w="8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10,130 </w:t>
            </w:r>
          </w:p>
        </w:tc>
        <w:tc>
          <w:tcPr>
            <w:tcW w:w="8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10,130 </w:t>
            </w:r>
          </w:p>
        </w:tc>
        <w:tc>
          <w:tcPr>
            <w:tcW w:w="9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11,680 </w:t>
            </w:r>
          </w:p>
        </w:tc>
        <w:tc>
          <w:tcPr>
            <w:tcW w:w="9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12,000 </w:t>
            </w:r>
          </w:p>
        </w:tc>
        <w:tc>
          <w:tcPr>
            <w:tcW w:w="9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12,000 </w:t>
            </w:r>
          </w:p>
        </w:tc>
        <w:tc>
          <w:tcPr>
            <w:tcW w:w="9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12,000 </w:t>
            </w:r>
          </w:p>
        </w:tc>
      </w:tr>
      <w:tr w:rsidR="001D0350" w:rsidRPr="00D55DC6" w:rsidTr="00A82A80">
        <w:trPr>
          <w:jc w:val="center"/>
        </w:trPr>
        <w:tc>
          <w:tcPr>
            <w:tcW w:w="6356" w:type="dxa"/>
            <w:shd w:val="clear" w:color="auto" w:fill="auto"/>
            <w:vAlign w:val="center"/>
            <w:hideMark/>
          </w:tcPr>
          <w:p w:rsidR="005D6EF0" w:rsidRPr="00D55DC6" w:rsidRDefault="005D6EF0" w:rsidP="0038165F">
            <w:pPr>
              <w:widowControl/>
              <w:rPr>
                <w:rFonts w:eastAsia="標楷體"/>
                <w:kern w:val="0"/>
              </w:rPr>
            </w:pPr>
            <w:r w:rsidRPr="00D55DC6">
              <w:rPr>
                <w:rFonts w:eastAsia="標楷體"/>
                <w:kern w:val="0"/>
              </w:rPr>
              <w:t>-</w:t>
            </w:r>
            <w:r w:rsidRPr="00D55DC6">
              <w:rPr>
                <w:rFonts w:eastAsia="標楷體"/>
                <w:kern w:val="0"/>
              </w:rPr>
              <w:t>民間參與臺中市梨山賓館委外經營管理案</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3,500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3,500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3,500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3,500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4,000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4,000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4,500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4,500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4,500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4,500 </w:t>
            </w:r>
          </w:p>
        </w:tc>
      </w:tr>
      <w:tr w:rsidR="001D0350" w:rsidRPr="00D55DC6" w:rsidTr="00A82A80">
        <w:trPr>
          <w:jc w:val="center"/>
        </w:trPr>
        <w:tc>
          <w:tcPr>
            <w:tcW w:w="6356" w:type="dxa"/>
            <w:shd w:val="clear" w:color="auto" w:fill="auto"/>
            <w:vAlign w:val="center"/>
            <w:hideMark/>
          </w:tcPr>
          <w:p w:rsidR="005D6EF0" w:rsidRPr="00D55DC6" w:rsidRDefault="005D6EF0" w:rsidP="0038165F">
            <w:pPr>
              <w:widowControl/>
              <w:rPr>
                <w:rFonts w:eastAsia="標楷體"/>
                <w:kern w:val="0"/>
              </w:rPr>
            </w:pPr>
            <w:r w:rsidRPr="00D55DC6">
              <w:rPr>
                <w:rFonts w:eastAsia="標楷體"/>
                <w:kern w:val="0"/>
              </w:rPr>
              <w:t>-</w:t>
            </w:r>
            <w:r w:rsidRPr="00D55DC6">
              <w:rPr>
                <w:rFonts w:eastAsia="標楷體"/>
                <w:kern w:val="0"/>
              </w:rPr>
              <w:t>彰化縣芬園休閒體健園區營運移轉案</w:t>
            </w:r>
            <w:r w:rsidRPr="00D55DC6">
              <w:rPr>
                <w:rFonts w:eastAsia="標楷體"/>
                <w:kern w:val="0"/>
              </w:rPr>
              <w:t>(</w:t>
            </w:r>
            <w:r w:rsidRPr="00D55DC6">
              <w:rPr>
                <w:rFonts w:eastAsia="標楷體"/>
                <w:kern w:val="0"/>
              </w:rPr>
              <w:t>就是愛荔枝樂園</w:t>
            </w:r>
            <w:r w:rsidRPr="00D55DC6">
              <w:rPr>
                <w:rFonts w:eastAsia="標楷體"/>
                <w:kern w:val="0"/>
              </w:rPr>
              <w:t>)</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880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880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880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880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880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880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880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1,200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1,200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1,200 </w:t>
            </w:r>
          </w:p>
        </w:tc>
      </w:tr>
      <w:tr w:rsidR="001D0350" w:rsidRPr="00D55DC6" w:rsidTr="00A82A80">
        <w:trPr>
          <w:jc w:val="center"/>
        </w:trPr>
        <w:tc>
          <w:tcPr>
            <w:tcW w:w="6356" w:type="dxa"/>
            <w:shd w:val="clear" w:color="auto" w:fill="auto"/>
            <w:vAlign w:val="center"/>
            <w:hideMark/>
          </w:tcPr>
          <w:p w:rsidR="005D6EF0" w:rsidRPr="00D55DC6" w:rsidRDefault="005D6EF0" w:rsidP="0038165F">
            <w:pPr>
              <w:widowControl/>
              <w:rPr>
                <w:rFonts w:eastAsia="標楷體"/>
                <w:kern w:val="0"/>
              </w:rPr>
            </w:pPr>
            <w:r w:rsidRPr="00D55DC6">
              <w:rPr>
                <w:rFonts w:eastAsia="標楷體"/>
                <w:kern w:val="0"/>
              </w:rPr>
              <w:t>-</w:t>
            </w:r>
            <w:r w:rsidRPr="00D55DC6">
              <w:rPr>
                <w:rFonts w:eastAsia="標楷體"/>
                <w:kern w:val="0"/>
              </w:rPr>
              <w:t>猴探井遊憩區南投天空之橋委外經營管理案</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4,590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4,590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5,000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5,000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5,000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5,000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6,000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6,000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6,000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6,000 </w:t>
            </w:r>
          </w:p>
        </w:tc>
      </w:tr>
      <w:tr w:rsidR="001D0350" w:rsidRPr="00D55DC6" w:rsidTr="00A82A80">
        <w:trPr>
          <w:jc w:val="center"/>
        </w:trPr>
        <w:tc>
          <w:tcPr>
            <w:tcW w:w="6356" w:type="dxa"/>
            <w:shd w:val="clear" w:color="auto" w:fill="auto"/>
            <w:vAlign w:val="center"/>
            <w:hideMark/>
          </w:tcPr>
          <w:p w:rsidR="005D6EF0" w:rsidRPr="00D55DC6" w:rsidRDefault="005D6EF0" w:rsidP="0038165F">
            <w:pPr>
              <w:widowControl/>
              <w:rPr>
                <w:rFonts w:eastAsia="標楷體"/>
                <w:kern w:val="0"/>
              </w:rPr>
            </w:pPr>
            <w:r w:rsidRPr="00D55DC6">
              <w:rPr>
                <w:rFonts w:eastAsia="標楷體"/>
                <w:kern w:val="0"/>
              </w:rPr>
              <w:t>-</w:t>
            </w:r>
            <w:r w:rsidRPr="00D55DC6">
              <w:rPr>
                <w:rFonts w:eastAsia="標楷體"/>
                <w:kern w:val="0"/>
              </w:rPr>
              <w:t>員林新百果山出租案</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250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250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250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250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250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300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300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300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300 </w:t>
            </w:r>
          </w:p>
        </w:tc>
      </w:tr>
      <w:tr w:rsidR="001D0350" w:rsidRPr="00D55DC6" w:rsidTr="00A82A80">
        <w:trPr>
          <w:jc w:val="center"/>
        </w:trPr>
        <w:tc>
          <w:tcPr>
            <w:tcW w:w="6356" w:type="dxa"/>
            <w:shd w:val="clear" w:color="auto" w:fill="auto"/>
            <w:vAlign w:val="center"/>
            <w:hideMark/>
          </w:tcPr>
          <w:p w:rsidR="005D6EF0" w:rsidRPr="00D55DC6" w:rsidRDefault="005D6EF0" w:rsidP="0038165F">
            <w:pPr>
              <w:widowControl/>
              <w:jc w:val="both"/>
              <w:rPr>
                <w:rFonts w:eastAsia="標楷體"/>
                <w:b/>
                <w:bCs/>
                <w:kern w:val="0"/>
              </w:rPr>
            </w:pPr>
            <w:r w:rsidRPr="00D55DC6">
              <w:rPr>
                <w:rFonts w:eastAsia="標楷體"/>
                <w:b/>
                <w:bCs/>
                <w:kern w:val="0"/>
              </w:rPr>
              <w:t>跨域加值資源整合案件收入</w:t>
            </w:r>
            <w:r w:rsidRPr="00D55DC6">
              <w:rPr>
                <w:rFonts w:eastAsia="標楷體"/>
                <w:b/>
                <w:bCs/>
                <w:kern w:val="0"/>
              </w:rPr>
              <w:t>(</w:t>
            </w:r>
            <w:r w:rsidRPr="00D55DC6">
              <w:rPr>
                <w:rFonts w:eastAsia="標楷體"/>
                <w:b/>
                <w:bCs/>
                <w:kern w:val="0"/>
              </w:rPr>
              <w:t>預估</w:t>
            </w:r>
            <w:r w:rsidRPr="00D55DC6">
              <w:rPr>
                <w:rFonts w:eastAsia="標楷體"/>
                <w:b/>
                <w:bCs/>
                <w:kern w:val="0"/>
              </w:rPr>
              <w:t>)</w:t>
            </w:r>
          </w:p>
        </w:tc>
        <w:tc>
          <w:tcPr>
            <w:tcW w:w="8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　</w:t>
            </w:r>
          </w:p>
        </w:tc>
        <w:tc>
          <w:tcPr>
            <w:tcW w:w="8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960 </w:t>
            </w:r>
          </w:p>
        </w:tc>
        <w:tc>
          <w:tcPr>
            <w:tcW w:w="8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960 </w:t>
            </w:r>
          </w:p>
        </w:tc>
        <w:tc>
          <w:tcPr>
            <w:tcW w:w="8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960 </w:t>
            </w:r>
          </w:p>
        </w:tc>
        <w:tc>
          <w:tcPr>
            <w:tcW w:w="8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5,960 </w:t>
            </w:r>
          </w:p>
        </w:tc>
        <w:tc>
          <w:tcPr>
            <w:tcW w:w="8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12,460 </w:t>
            </w:r>
          </w:p>
        </w:tc>
        <w:tc>
          <w:tcPr>
            <w:tcW w:w="9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20,960 </w:t>
            </w:r>
          </w:p>
        </w:tc>
        <w:tc>
          <w:tcPr>
            <w:tcW w:w="9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20,960 </w:t>
            </w:r>
          </w:p>
        </w:tc>
        <w:tc>
          <w:tcPr>
            <w:tcW w:w="9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20,960 </w:t>
            </w:r>
          </w:p>
        </w:tc>
        <w:tc>
          <w:tcPr>
            <w:tcW w:w="9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20,960 </w:t>
            </w:r>
          </w:p>
        </w:tc>
      </w:tr>
      <w:tr w:rsidR="001D0350" w:rsidRPr="00D55DC6" w:rsidTr="00A82A80">
        <w:trPr>
          <w:jc w:val="center"/>
        </w:trPr>
        <w:tc>
          <w:tcPr>
            <w:tcW w:w="6356" w:type="dxa"/>
            <w:shd w:val="clear" w:color="auto" w:fill="auto"/>
            <w:vAlign w:val="center"/>
            <w:hideMark/>
          </w:tcPr>
          <w:p w:rsidR="005D6EF0" w:rsidRPr="00D55DC6" w:rsidRDefault="005D6EF0" w:rsidP="0038165F">
            <w:pPr>
              <w:widowControl/>
              <w:rPr>
                <w:rFonts w:eastAsia="標楷體"/>
                <w:kern w:val="0"/>
              </w:rPr>
            </w:pPr>
            <w:r w:rsidRPr="00D55DC6">
              <w:rPr>
                <w:rFonts w:eastAsia="標楷體"/>
                <w:kern w:val="0"/>
              </w:rPr>
              <w:t>-</w:t>
            </w:r>
            <w:r w:rsidRPr="00D55DC6">
              <w:rPr>
                <w:rFonts w:eastAsia="標楷體"/>
                <w:kern w:val="0"/>
              </w:rPr>
              <w:t>蓬萊溪自然生態園區委外經營管理案</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540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540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540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540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540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540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540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540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540 </w:t>
            </w:r>
          </w:p>
        </w:tc>
      </w:tr>
      <w:tr w:rsidR="001D0350" w:rsidRPr="00D55DC6" w:rsidTr="00A82A80">
        <w:trPr>
          <w:jc w:val="center"/>
        </w:trPr>
        <w:tc>
          <w:tcPr>
            <w:tcW w:w="6356" w:type="dxa"/>
            <w:shd w:val="clear" w:color="auto" w:fill="auto"/>
            <w:vAlign w:val="center"/>
            <w:hideMark/>
          </w:tcPr>
          <w:p w:rsidR="005D6EF0" w:rsidRPr="00D55DC6" w:rsidRDefault="005D6EF0" w:rsidP="0038165F">
            <w:pPr>
              <w:widowControl/>
              <w:rPr>
                <w:rFonts w:eastAsia="標楷體"/>
                <w:kern w:val="0"/>
              </w:rPr>
            </w:pPr>
            <w:r w:rsidRPr="00D55DC6">
              <w:rPr>
                <w:rFonts w:eastAsia="標楷體"/>
                <w:kern w:val="0"/>
              </w:rPr>
              <w:t>-</w:t>
            </w:r>
            <w:r w:rsidRPr="00D55DC6">
              <w:rPr>
                <w:rFonts w:eastAsia="標楷體"/>
                <w:kern w:val="0"/>
              </w:rPr>
              <w:t>南庄高灘地停車場</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420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420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420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420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420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420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420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420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420 </w:t>
            </w:r>
          </w:p>
        </w:tc>
      </w:tr>
      <w:tr w:rsidR="001D0350" w:rsidRPr="00D55DC6" w:rsidTr="00A82A80">
        <w:trPr>
          <w:jc w:val="center"/>
        </w:trPr>
        <w:tc>
          <w:tcPr>
            <w:tcW w:w="6356" w:type="dxa"/>
            <w:shd w:val="clear" w:color="auto" w:fill="auto"/>
            <w:vAlign w:val="center"/>
            <w:hideMark/>
          </w:tcPr>
          <w:p w:rsidR="005D6EF0" w:rsidRPr="00D55DC6" w:rsidRDefault="005D6EF0" w:rsidP="0038165F">
            <w:pPr>
              <w:widowControl/>
              <w:rPr>
                <w:rFonts w:eastAsia="標楷體"/>
                <w:kern w:val="0"/>
              </w:rPr>
            </w:pPr>
            <w:r w:rsidRPr="00D55DC6">
              <w:rPr>
                <w:rFonts w:eastAsia="標楷體"/>
                <w:kern w:val="0"/>
              </w:rPr>
              <w:t>-</w:t>
            </w:r>
            <w:r w:rsidRPr="00D55DC6">
              <w:rPr>
                <w:rFonts w:eastAsia="標楷體"/>
                <w:kern w:val="0"/>
              </w:rPr>
              <w:t>清水岩童軍營區溫泉開發計畫案</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1,500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3,000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3,000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3,000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3,000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3,000 </w:t>
            </w:r>
          </w:p>
        </w:tc>
      </w:tr>
      <w:tr w:rsidR="001D0350" w:rsidRPr="00D55DC6" w:rsidTr="00A82A80">
        <w:trPr>
          <w:jc w:val="center"/>
        </w:trPr>
        <w:tc>
          <w:tcPr>
            <w:tcW w:w="6356" w:type="dxa"/>
            <w:shd w:val="clear" w:color="auto" w:fill="auto"/>
            <w:vAlign w:val="center"/>
            <w:hideMark/>
          </w:tcPr>
          <w:p w:rsidR="005D6EF0" w:rsidRPr="00D55DC6" w:rsidRDefault="005D6EF0" w:rsidP="0038165F">
            <w:pPr>
              <w:widowControl/>
              <w:rPr>
                <w:rFonts w:eastAsia="標楷體"/>
                <w:kern w:val="0"/>
              </w:rPr>
            </w:pPr>
            <w:r w:rsidRPr="00D55DC6">
              <w:rPr>
                <w:rFonts w:eastAsia="標楷體"/>
                <w:kern w:val="0"/>
              </w:rPr>
              <w:t>-</w:t>
            </w:r>
            <w:r w:rsidRPr="00D55DC6">
              <w:rPr>
                <w:rFonts w:eastAsia="標楷體"/>
                <w:kern w:val="0"/>
              </w:rPr>
              <w:t>谷關原住民技藝研習中心活化計畫案</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1,500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2,500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2,500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2,500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2,500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2,500 </w:t>
            </w:r>
          </w:p>
        </w:tc>
      </w:tr>
      <w:tr w:rsidR="001D0350" w:rsidRPr="00D55DC6" w:rsidTr="00A82A80">
        <w:trPr>
          <w:jc w:val="center"/>
        </w:trPr>
        <w:tc>
          <w:tcPr>
            <w:tcW w:w="6356" w:type="dxa"/>
            <w:shd w:val="clear" w:color="auto" w:fill="auto"/>
            <w:vAlign w:val="center"/>
            <w:hideMark/>
          </w:tcPr>
          <w:p w:rsidR="005D6EF0" w:rsidRPr="00D55DC6" w:rsidRDefault="005D6EF0" w:rsidP="00EB48E8">
            <w:pPr>
              <w:widowControl/>
              <w:rPr>
                <w:rFonts w:eastAsia="標楷體"/>
                <w:kern w:val="0"/>
              </w:rPr>
            </w:pPr>
            <w:r w:rsidRPr="00D55DC6">
              <w:rPr>
                <w:rFonts w:eastAsia="標楷體"/>
                <w:kern w:val="0"/>
              </w:rPr>
              <w:t>-</w:t>
            </w:r>
            <w:r w:rsidR="00EB48E8" w:rsidRPr="00D55DC6">
              <w:rPr>
                <w:rFonts w:eastAsia="標楷體"/>
                <w:kern w:val="0"/>
              </w:rPr>
              <w:t>谷關遊客中心活化計畫案</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2,000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4,000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6,000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6,000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6,000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6,000 </w:t>
            </w:r>
          </w:p>
        </w:tc>
      </w:tr>
      <w:tr w:rsidR="001D0350" w:rsidRPr="00D55DC6" w:rsidTr="00A82A80">
        <w:trPr>
          <w:jc w:val="center"/>
        </w:trPr>
        <w:tc>
          <w:tcPr>
            <w:tcW w:w="6356" w:type="dxa"/>
            <w:shd w:val="clear" w:color="auto" w:fill="auto"/>
            <w:vAlign w:val="center"/>
            <w:hideMark/>
          </w:tcPr>
          <w:p w:rsidR="005D6EF0" w:rsidRPr="00D55DC6" w:rsidRDefault="005D6EF0" w:rsidP="0038165F">
            <w:pPr>
              <w:widowControl/>
              <w:rPr>
                <w:rFonts w:eastAsia="標楷體"/>
                <w:kern w:val="0"/>
              </w:rPr>
            </w:pPr>
            <w:r w:rsidRPr="00D55DC6">
              <w:rPr>
                <w:rFonts w:eastAsia="標楷體"/>
                <w:kern w:val="0"/>
              </w:rPr>
              <w:t>-</w:t>
            </w:r>
            <w:r w:rsidRPr="00D55DC6">
              <w:rPr>
                <w:rFonts w:eastAsia="標楷體"/>
                <w:kern w:val="0"/>
              </w:rPr>
              <w:t>南庄遊客中心經營範圍擴大計畫案</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2,000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3,500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3,500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3,500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3,500 </w:t>
            </w:r>
          </w:p>
        </w:tc>
      </w:tr>
      <w:tr w:rsidR="001D0350" w:rsidRPr="00D55DC6" w:rsidTr="00A82A80">
        <w:trPr>
          <w:jc w:val="center"/>
        </w:trPr>
        <w:tc>
          <w:tcPr>
            <w:tcW w:w="6356" w:type="dxa"/>
            <w:shd w:val="clear" w:color="auto" w:fill="auto"/>
            <w:vAlign w:val="center"/>
            <w:hideMark/>
          </w:tcPr>
          <w:p w:rsidR="005D6EF0" w:rsidRPr="00D55DC6" w:rsidRDefault="005D6EF0" w:rsidP="0038165F">
            <w:pPr>
              <w:widowControl/>
              <w:rPr>
                <w:rFonts w:eastAsia="標楷體"/>
                <w:kern w:val="0"/>
              </w:rPr>
            </w:pPr>
            <w:r w:rsidRPr="00D55DC6">
              <w:rPr>
                <w:rFonts w:eastAsia="標楷體"/>
                <w:kern w:val="0"/>
              </w:rPr>
              <w:t>-</w:t>
            </w:r>
            <w:r w:rsidRPr="00D55DC6">
              <w:rPr>
                <w:rFonts w:eastAsia="標楷體"/>
                <w:kern w:val="0"/>
              </w:rPr>
              <w:t>八卦山自行車環教園區整體開發案</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3,500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3,500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3,500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3,500 </w:t>
            </w:r>
          </w:p>
        </w:tc>
      </w:tr>
      <w:tr w:rsidR="001D0350" w:rsidRPr="00D55DC6" w:rsidTr="00A82A80">
        <w:trPr>
          <w:jc w:val="center"/>
        </w:trPr>
        <w:tc>
          <w:tcPr>
            <w:tcW w:w="6356" w:type="dxa"/>
            <w:shd w:val="clear" w:color="auto" w:fill="auto"/>
            <w:vAlign w:val="center"/>
            <w:hideMark/>
          </w:tcPr>
          <w:p w:rsidR="005D6EF0" w:rsidRPr="00D55DC6" w:rsidRDefault="005D6EF0" w:rsidP="0038165F">
            <w:pPr>
              <w:widowControl/>
              <w:rPr>
                <w:rFonts w:eastAsia="標楷體"/>
                <w:kern w:val="0"/>
              </w:rPr>
            </w:pPr>
            <w:r w:rsidRPr="00D55DC6">
              <w:rPr>
                <w:rFonts w:eastAsia="標楷體"/>
                <w:kern w:val="0"/>
              </w:rPr>
              <w:t>-</w:t>
            </w:r>
            <w:r w:rsidRPr="00D55DC6">
              <w:rPr>
                <w:rFonts w:eastAsia="標楷體"/>
                <w:kern w:val="0"/>
              </w:rPr>
              <w:t>松柏嶺天空步道案</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1,500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1,500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1,500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1,500 </w:t>
            </w:r>
          </w:p>
        </w:tc>
      </w:tr>
      <w:tr w:rsidR="001D0350" w:rsidRPr="00D55DC6" w:rsidTr="00A82A80">
        <w:trPr>
          <w:jc w:val="center"/>
        </w:trPr>
        <w:tc>
          <w:tcPr>
            <w:tcW w:w="6356" w:type="dxa"/>
            <w:shd w:val="clear" w:color="auto" w:fill="auto"/>
            <w:vAlign w:val="center"/>
            <w:hideMark/>
          </w:tcPr>
          <w:p w:rsidR="005D6EF0" w:rsidRPr="00D55DC6" w:rsidRDefault="005D6EF0" w:rsidP="0038165F">
            <w:pPr>
              <w:widowControl/>
              <w:rPr>
                <w:rFonts w:eastAsia="標楷體"/>
                <w:kern w:val="0"/>
              </w:rPr>
            </w:pPr>
            <w:r w:rsidRPr="00D55DC6">
              <w:rPr>
                <w:rFonts w:eastAsia="標楷體"/>
                <w:kern w:val="0"/>
              </w:rPr>
              <w:t>-</w:t>
            </w:r>
            <w:r w:rsidRPr="00D55DC6">
              <w:rPr>
                <w:rFonts w:eastAsia="標楷體"/>
                <w:kern w:val="0"/>
              </w:rPr>
              <w:t>峨嵋湖觀光整體發展計畫案</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r>
      <w:tr w:rsidR="001D0350" w:rsidRPr="00D55DC6" w:rsidTr="00A82A80">
        <w:trPr>
          <w:jc w:val="center"/>
        </w:trPr>
        <w:tc>
          <w:tcPr>
            <w:tcW w:w="6356" w:type="dxa"/>
            <w:shd w:val="clear" w:color="auto" w:fill="auto"/>
            <w:vAlign w:val="center"/>
            <w:hideMark/>
          </w:tcPr>
          <w:p w:rsidR="005D6EF0" w:rsidRPr="00D55DC6" w:rsidRDefault="005D6EF0" w:rsidP="0038165F">
            <w:pPr>
              <w:widowControl/>
              <w:rPr>
                <w:rFonts w:eastAsia="標楷體"/>
                <w:kern w:val="0"/>
              </w:rPr>
            </w:pPr>
            <w:r w:rsidRPr="00D55DC6">
              <w:rPr>
                <w:rFonts w:eastAsia="標楷體"/>
                <w:kern w:val="0"/>
              </w:rPr>
              <w:t>-</w:t>
            </w:r>
            <w:r w:rsidRPr="00D55DC6">
              <w:rPr>
                <w:rFonts w:eastAsia="標楷體"/>
                <w:kern w:val="0"/>
              </w:rPr>
              <w:t>北埔冷泉整體園區開發案</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r>
      <w:tr w:rsidR="001D0350" w:rsidRPr="00D55DC6" w:rsidTr="00A82A80">
        <w:trPr>
          <w:jc w:val="center"/>
        </w:trPr>
        <w:tc>
          <w:tcPr>
            <w:tcW w:w="6356" w:type="dxa"/>
            <w:shd w:val="clear" w:color="000000" w:fill="FFC000"/>
            <w:vAlign w:val="center"/>
            <w:hideMark/>
          </w:tcPr>
          <w:p w:rsidR="005D6EF0" w:rsidRPr="00D55DC6" w:rsidRDefault="005D6EF0" w:rsidP="0038165F">
            <w:pPr>
              <w:widowControl/>
              <w:rPr>
                <w:rFonts w:eastAsia="標楷體"/>
                <w:kern w:val="0"/>
              </w:rPr>
            </w:pPr>
            <w:r w:rsidRPr="00D55DC6">
              <w:rPr>
                <w:rFonts w:eastAsia="標楷體"/>
                <w:kern w:val="0"/>
              </w:rPr>
              <w:t>-</w:t>
            </w:r>
            <w:r w:rsidRPr="00D55DC6">
              <w:rPr>
                <w:rFonts w:eastAsia="標楷體"/>
                <w:kern w:val="0"/>
              </w:rPr>
              <w:t>彰化溪州費茲洛公園觀光發展計畫案</w:t>
            </w:r>
            <w:r w:rsidRPr="00D55DC6">
              <w:rPr>
                <w:rFonts w:eastAsia="標楷體"/>
                <w:kern w:val="0"/>
              </w:rPr>
              <w:t>(</w:t>
            </w:r>
            <w:r w:rsidRPr="00D55DC6">
              <w:rPr>
                <w:rFonts w:eastAsia="標楷體"/>
                <w:kern w:val="0"/>
              </w:rPr>
              <w:t>轄域外</w:t>
            </w:r>
            <w:r w:rsidRPr="00D55DC6">
              <w:rPr>
                <w:rFonts w:eastAsia="標楷體"/>
                <w:kern w:val="0"/>
              </w:rPr>
              <w:t>)</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r>
      <w:tr w:rsidR="001D0350" w:rsidRPr="00D55DC6" w:rsidTr="00A82A80">
        <w:trPr>
          <w:jc w:val="center"/>
        </w:trPr>
        <w:tc>
          <w:tcPr>
            <w:tcW w:w="6356" w:type="dxa"/>
            <w:shd w:val="clear" w:color="000000" w:fill="FFC000"/>
            <w:vAlign w:val="center"/>
            <w:hideMark/>
          </w:tcPr>
          <w:p w:rsidR="005D6EF0" w:rsidRPr="00D55DC6" w:rsidRDefault="005D6EF0" w:rsidP="0038165F">
            <w:pPr>
              <w:widowControl/>
              <w:rPr>
                <w:rFonts w:eastAsia="標楷體"/>
                <w:kern w:val="0"/>
              </w:rPr>
            </w:pPr>
            <w:r w:rsidRPr="00D55DC6">
              <w:rPr>
                <w:rFonts w:eastAsia="標楷體"/>
                <w:kern w:val="0"/>
              </w:rPr>
              <w:t>-</w:t>
            </w:r>
            <w:r w:rsidRPr="00D55DC6">
              <w:rPr>
                <w:rFonts w:eastAsia="標楷體"/>
                <w:kern w:val="0"/>
              </w:rPr>
              <w:t>「中臺灣鐵路觀光資源整合與活化推動計畫」案</w:t>
            </w:r>
            <w:r w:rsidRPr="00D55DC6">
              <w:rPr>
                <w:rFonts w:eastAsia="標楷體"/>
                <w:kern w:val="0"/>
              </w:rPr>
              <w:t>(</w:t>
            </w:r>
            <w:r w:rsidRPr="00D55DC6">
              <w:rPr>
                <w:rFonts w:eastAsia="標楷體"/>
                <w:kern w:val="0"/>
              </w:rPr>
              <w:t>轄域外</w:t>
            </w:r>
            <w:r w:rsidRPr="00D55DC6">
              <w:rPr>
                <w:rFonts w:eastAsia="標楷體"/>
                <w:kern w:val="0"/>
              </w:rPr>
              <w:t>)</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8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c>
          <w:tcPr>
            <w:tcW w:w="938" w:type="dxa"/>
            <w:shd w:val="clear" w:color="auto" w:fill="auto"/>
            <w:vAlign w:val="center"/>
          </w:tcPr>
          <w:p w:rsidR="005D6EF0" w:rsidRPr="00D55DC6" w:rsidRDefault="005D6EF0" w:rsidP="0038165F">
            <w:pPr>
              <w:jc w:val="right"/>
              <w:rPr>
                <w:rFonts w:eastAsia="標楷體"/>
              </w:rPr>
            </w:pPr>
            <w:r w:rsidRPr="00D55DC6">
              <w:rPr>
                <w:rFonts w:eastAsia="標楷體"/>
              </w:rPr>
              <w:t xml:space="preserve">　</w:t>
            </w:r>
          </w:p>
        </w:tc>
      </w:tr>
      <w:tr w:rsidR="001D0350" w:rsidRPr="00D55DC6" w:rsidTr="00A82A80">
        <w:trPr>
          <w:jc w:val="center"/>
        </w:trPr>
        <w:tc>
          <w:tcPr>
            <w:tcW w:w="6356" w:type="dxa"/>
            <w:shd w:val="clear" w:color="auto" w:fill="auto"/>
            <w:vAlign w:val="center"/>
            <w:hideMark/>
          </w:tcPr>
          <w:p w:rsidR="005D6EF0" w:rsidRPr="00D55DC6" w:rsidRDefault="005D6EF0" w:rsidP="0038165F">
            <w:pPr>
              <w:widowControl/>
              <w:jc w:val="both"/>
              <w:rPr>
                <w:rFonts w:eastAsia="標楷體"/>
                <w:b/>
                <w:bCs/>
                <w:kern w:val="0"/>
              </w:rPr>
            </w:pPr>
            <w:r w:rsidRPr="00D55DC6">
              <w:rPr>
                <w:rFonts w:eastAsia="標楷體"/>
                <w:b/>
                <w:bCs/>
                <w:kern w:val="0"/>
              </w:rPr>
              <w:t>特色創意伴手禮開發收入</w:t>
            </w:r>
          </w:p>
        </w:tc>
        <w:tc>
          <w:tcPr>
            <w:tcW w:w="8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　</w:t>
            </w:r>
          </w:p>
        </w:tc>
        <w:tc>
          <w:tcPr>
            <w:tcW w:w="8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　</w:t>
            </w:r>
          </w:p>
        </w:tc>
        <w:tc>
          <w:tcPr>
            <w:tcW w:w="8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　</w:t>
            </w:r>
          </w:p>
        </w:tc>
        <w:tc>
          <w:tcPr>
            <w:tcW w:w="8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　</w:t>
            </w:r>
          </w:p>
        </w:tc>
        <w:tc>
          <w:tcPr>
            <w:tcW w:w="838" w:type="dxa"/>
            <w:shd w:val="clear" w:color="000000" w:fill="FFFFFF"/>
            <w:vAlign w:val="center"/>
          </w:tcPr>
          <w:p w:rsidR="005D6EF0" w:rsidRPr="00D55DC6" w:rsidRDefault="005D6EF0" w:rsidP="0038165F">
            <w:pPr>
              <w:jc w:val="right"/>
              <w:rPr>
                <w:rFonts w:eastAsia="標楷體"/>
                <w:b/>
                <w:bCs/>
              </w:rPr>
            </w:pPr>
            <w:r w:rsidRPr="00D55DC6">
              <w:rPr>
                <w:rFonts w:eastAsia="標楷體"/>
                <w:b/>
                <w:bCs/>
              </w:rPr>
              <w:t xml:space="preserve">300 </w:t>
            </w:r>
          </w:p>
        </w:tc>
        <w:tc>
          <w:tcPr>
            <w:tcW w:w="8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300 </w:t>
            </w:r>
          </w:p>
        </w:tc>
        <w:tc>
          <w:tcPr>
            <w:tcW w:w="9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400 </w:t>
            </w:r>
          </w:p>
        </w:tc>
        <w:tc>
          <w:tcPr>
            <w:tcW w:w="9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400 </w:t>
            </w:r>
          </w:p>
        </w:tc>
        <w:tc>
          <w:tcPr>
            <w:tcW w:w="9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400 </w:t>
            </w:r>
          </w:p>
        </w:tc>
        <w:tc>
          <w:tcPr>
            <w:tcW w:w="938" w:type="dxa"/>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400 </w:t>
            </w:r>
          </w:p>
        </w:tc>
      </w:tr>
      <w:tr w:rsidR="001D0350" w:rsidRPr="00D55DC6" w:rsidTr="00A82A80">
        <w:trPr>
          <w:jc w:val="center"/>
        </w:trPr>
        <w:tc>
          <w:tcPr>
            <w:tcW w:w="6356" w:type="dxa"/>
            <w:shd w:val="clear" w:color="000000" w:fill="FF99CC"/>
            <w:vAlign w:val="center"/>
            <w:hideMark/>
          </w:tcPr>
          <w:p w:rsidR="005D6EF0" w:rsidRPr="00D55DC6" w:rsidRDefault="005D6EF0" w:rsidP="0038165F">
            <w:pPr>
              <w:widowControl/>
              <w:jc w:val="distribute"/>
              <w:rPr>
                <w:rFonts w:eastAsia="標楷體"/>
                <w:b/>
                <w:bCs/>
                <w:kern w:val="0"/>
              </w:rPr>
            </w:pPr>
            <w:r w:rsidRPr="00D55DC6">
              <w:rPr>
                <w:rFonts w:eastAsia="標楷體"/>
                <w:b/>
                <w:bCs/>
                <w:kern w:val="0"/>
              </w:rPr>
              <w:t>總計</w:t>
            </w:r>
          </w:p>
        </w:tc>
        <w:tc>
          <w:tcPr>
            <w:tcW w:w="838" w:type="dxa"/>
            <w:shd w:val="clear" w:color="000000" w:fill="FF99CC"/>
            <w:vAlign w:val="center"/>
          </w:tcPr>
          <w:p w:rsidR="005D6EF0" w:rsidRPr="00D55DC6" w:rsidRDefault="005D6EF0" w:rsidP="0038165F">
            <w:pPr>
              <w:jc w:val="center"/>
              <w:rPr>
                <w:rFonts w:eastAsia="標楷體"/>
                <w:b/>
                <w:bCs/>
              </w:rPr>
            </w:pPr>
            <w:r w:rsidRPr="00D55DC6">
              <w:rPr>
                <w:rFonts w:eastAsia="標楷體"/>
                <w:b/>
                <w:bCs/>
              </w:rPr>
              <w:t xml:space="preserve">10,713 </w:t>
            </w:r>
          </w:p>
        </w:tc>
        <w:tc>
          <w:tcPr>
            <w:tcW w:w="838" w:type="dxa"/>
            <w:shd w:val="clear" w:color="000000" w:fill="FF99CC"/>
            <w:vAlign w:val="center"/>
          </w:tcPr>
          <w:p w:rsidR="005D6EF0" w:rsidRPr="00D55DC6" w:rsidRDefault="005D6EF0" w:rsidP="0038165F">
            <w:pPr>
              <w:jc w:val="center"/>
              <w:rPr>
                <w:rFonts w:eastAsia="標楷體"/>
                <w:b/>
                <w:bCs/>
              </w:rPr>
            </w:pPr>
            <w:r w:rsidRPr="00D55DC6">
              <w:rPr>
                <w:rFonts w:eastAsia="標楷體"/>
                <w:b/>
                <w:bCs/>
              </w:rPr>
              <w:t xml:space="preserve">11,851 </w:t>
            </w:r>
          </w:p>
        </w:tc>
        <w:tc>
          <w:tcPr>
            <w:tcW w:w="838" w:type="dxa"/>
            <w:shd w:val="clear" w:color="000000" w:fill="FF99CC"/>
            <w:vAlign w:val="center"/>
          </w:tcPr>
          <w:p w:rsidR="005D6EF0" w:rsidRPr="00D55DC6" w:rsidRDefault="005D6EF0" w:rsidP="0038165F">
            <w:pPr>
              <w:jc w:val="center"/>
              <w:rPr>
                <w:rFonts w:eastAsia="標楷體"/>
                <w:b/>
                <w:bCs/>
              </w:rPr>
            </w:pPr>
            <w:r w:rsidRPr="00D55DC6">
              <w:rPr>
                <w:rFonts w:eastAsia="標楷體"/>
                <w:b/>
                <w:bCs/>
              </w:rPr>
              <w:t xml:space="preserve">12,266 </w:t>
            </w:r>
          </w:p>
        </w:tc>
        <w:tc>
          <w:tcPr>
            <w:tcW w:w="838" w:type="dxa"/>
            <w:shd w:val="clear" w:color="000000" w:fill="FF99CC"/>
            <w:vAlign w:val="center"/>
          </w:tcPr>
          <w:p w:rsidR="005D6EF0" w:rsidRPr="00D55DC6" w:rsidRDefault="005D6EF0" w:rsidP="0038165F">
            <w:pPr>
              <w:jc w:val="center"/>
              <w:rPr>
                <w:rFonts w:eastAsia="標楷體"/>
                <w:b/>
                <w:bCs/>
              </w:rPr>
            </w:pPr>
            <w:r w:rsidRPr="00D55DC6">
              <w:rPr>
                <w:rFonts w:eastAsia="標楷體"/>
                <w:b/>
                <w:bCs/>
              </w:rPr>
              <w:t xml:space="preserve">12,266 </w:t>
            </w:r>
          </w:p>
        </w:tc>
        <w:tc>
          <w:tcPr>
            <w:tcW w:w="838" w:type="dxa"/>
            <w:shd w:val="clear" w:color="000000" w:fill="FF99CC"/>
            <w:vAlign w:val="center"/>
          </w:tcPr>
          <w:p w:rsidR="005D6EF0" w:rsidRPr="00D55DC6" w:rsidRDefault="005D6EF0" w:rsidP="0038165F">
            <w:pPr>
              <w:jc w:val="center"/>
              <w:rPr>
                <w:rFonts w:eastAsia="標楷體"/>
                <w:b/>
                <w:bCs/>
              </w:rPr>
            </w:pPr>
            <w:r w:rsidRPr="00D55DC6">
              <w:rPr>
                <w:rFonts w:eastAsia="標楷體"/>
                <w:b/>
                <w:bCs/>
              </w:rPr>
              <w:t xml:space="preserve">18,066 </w:t>
            </w:r>
          </w:p>
        </w:tc>
        <w:tc>
          <w:tcPr>
            <w:tcW w:w="838" w:type="dxa"/>
            <w:shd w:val="clear" w:color="000000" w:fill="FF99CC"/>
            <w:vAlign w:val="center"/>
          </w:tcPr>
          <w:p w:rsidR="005D6EF0" w:rsidRPr="00D55DC6" w:rsidRDefault="005D6EF0" w:rsidP="0038165F">
            <w:pPr>
              <w:jc w:val="center"/>
              <w:rPr>
                <w:rFonts w:eastAsia="標楷體"/>
                <w:b/>
                <w:bCs/>
              </w:rPr>
            </w:pPr>
            <w:r w:rsidRPr="00D55DC6">
              <w:rPr>
                <w:rFonts w:eastAsia="標楷體"/>
                <w:b/>
                <w:bCs/>
              </w:rPr>
              <w:t xml:space="preserve">24,566 </w:t>
            </w:r>
          </w:p>
        </w:tc>
        <w:tc>
          <w:tcPr>
            <w:tcW w:w="938" w:type="dxa"/>
            <w:shd w:val="clear" w:color="000000" w:fill="FF99CC"/>
            <w:vAlign w:val="center"/>
          </w:tcPr>
          <w:p w:rsidR="005D6EF0" w:rsidRPr="00D55DC6" w:rsidRDefault="005D6EF0" w:rsidP="0038165F">
            <w:pPr>
              <w:jc w:val="center"/>
              <w:rPr>
                <w:rFonts w:eastAsia="標楷體"/>
                <w:b/>
                <w:bCs/>
              </w:rPr>
            </w:pPr>
            <w:r w:rsidRPr="00D55DC6">
              <w:rPr>
                <w:rFonts w:eastAsia="標楷體"/>
                <w:b/>
                <w:bCs/>
              </w:rPr>
              <w:t xml:space="preserve">34,721 </w:t>
            </w:r>
          </w:p>
        </w:tc>
        <w:tc>
          <w:tcPr>
            <w:tcW w:w="938" w:type="dxa"/>
            <w:shd w:val="clear" w:color="000000" w:fill="FF99CC"/>
            <w:vAlign w:val="center"/>
          </w:tcPr>
          <w:p w:rsidR="005D6EF0" w:rsidRPr="00D55DC6" w:rsidRDefault="005D6EF0" w:rsidP="0038165F">
            <w:pPr>
              <w:jc w:val="center"/>
              <w:rPr>
                <w:rFonts w:eastAsia="標楷體"/>
                <w:b/>
                <w:bCs/>
              </w:rPr>
            </w:pPr>
            <w:r w:rsidRPr="00D55DC6">
              <w:rPr>
                <w:rFonts w:eastAsia="標楷體"/>
                <w:b/>
                <w:bCs/>
              </w:rPr>
              <w:t xml:space="preserve">35,041 </w:t>
            </w:r>
          </w:p>
        </w:tc>
        <w:tc>
          <w:tcPr>
            <w:tcW w:w="938" w:type="dxa"/>
            <w:shd w:val="clear" w:color="000000" w:fill="FF99CC"/>
            <w:vAlign w:val="center"/>
          </w:tcPr>
          <w:p w:rsidR="005D6EF0" w:rsidRPr="00D55DC6" w:rsidRDefault="005D6EF0" w:rsidP="0038165F">
            <w:pPr>
              <w:jc w:val="center"/>
              <w:rPr>
                <w:rFonts w:eastAsia="標楷體"/>
                <w:b/>
                <w:bCs/>
              </w:rPr>
            </w:pPr>
            <w:r w:rsidRPr="00D55DC6">
              <w:rPr>
                <w:rFonts w:eastAsia="標楷體"/>
                <w:b/>
                <w:bCs/>
              </w:rPr>
              <w:t xml:space="preserve">35,041 </w:t>
            </w:r>
          </w:p>
        </w:tc>
        <w:tc>
          <w:tcPr>
            <w:tcW w:w="938" w:type="dxa"/>
            <w:shd w:val="clear" w:color="000000" w:fill="FF99CC"/>
            <w:vAlign w:val="center"/>
          </w:tcPr>
          <w:p w:rsidR="005D6EF0" w:rsidRPr="00D55DC6" w:rsidRDefault="005D6EF0" w:rsidP="0038165F">
            <w:pPr>
              <w:jc w:val="center"/>
              <w:rPr>
                <w:rFonts w:eastAsia="標楷體"/>
                <w:b/>
                <w:bCs/>
              </w:rPr>
            </w:pPr>
            <w:r w:rsidRPr="00D55DC6">
              <w:rPr>
                <w:rFonts w:eastAsia="標楷體"/>
                <w:b/>
                <w:bCs/>
              </w:rPr>
              <w:t xml:space="preserve">35,041 </w:t>
            </w:r>
          </w:p>
        </w:tc>
      </w:tr>
    </w:tbl>
    <w:p w:rsidR="005D6EF0" w:rsidRPr="00D55DC6" w:rsidRDefault="005D6EF0" w:rsidP="0038165F">
      <w:pPr>
        <w:spacing w:line="480" w:lineRule="exact"/>
        <w:ind w:rightChars="-435" w:right="-1044"/>
        <w:rPr>
          <w:rFonts w:eastAsia="標楷體"/>
        </w:rPr>
        <w:sectPr w:rsidR="005D6EF0" w:rsidRPr="00D55DC6" w:rsidSect="00A82A80">
          <w:pgSz w:w="16838" w:h="11906" w:orient="landscape" w:code="9"/>
          <w:pgMar w:top="851" w:right="851" w:bottom="851" w:left="851" w:header="567" w:footer="567" w:gutter="0"/>
          <w:cols w:space="425"/>
          <w:docGrid w:type="linesAndChars" w:linePitch="360"/>
        </w:sectPr>
      </w:pPr>
    </w:p>
    <w:p w:rsidR="005D6EF0" w:rsidRPr="00D55DC6" w:rsidRDefault="005D6EF0" w:rsidP="0038165F">
      <w:pPr>
        <w:keepNext/>
        <w:snapToGrid w:val="0"/>
        <w:spacing w:line="400" w:lineRule="exact"/>
        <w:ind w:rightChars="-316" w:right="-758"/>
        <w:contextualSpacing/>
        <w:rPr>
          <w:rFonts w:eastAsia="標楷體"/>
          <w:b/>
          <w:bCs/>
        </w:rPr>
      </w:pPr>
      <w:r w:rsidRPr="00D55DC6">
        <w:rPr>
          <w:rFonts w:eastAsia="標楷體"/>
          <w:b/>
          <w:bCs/>
        </w:rPr>
        <w:lastRenderedPageBreak/>
        <w:t>表</w:t>
      </w:r>
      <w:r w:rsidRPr="00D55DC6">
        <w:rPr>
          <w:rFonts w:eastAsia="標楷體"/>
          <w:b/>
          <w:bCs/>
        </w:rPr>
        <w:t>2(</w:t>
      </w:r>
      <w:r w:rsidRPr="00D55DC6">
        <w:rPr>
          <w:rFonts w:eastAsia="標楷體"/>
          <w:b/>
          <w:bCs/>
        </w:rPr>
        <w:t>續</w:t>
      </w:r>
      <w:r w:rsidRPr="00D55DC6">
        <w:rPr>
          <w:rFonts w:eastAsia="標楷體"/>
          <w:b/>
          <w:bCs/>
        </w:rPr>
        <w:t xml:space="preserve">) </w:t>
      </w:r>
      <w:r w:rsidRPr="00D55DC6">
        <w:rPr>
          <w:rFonts w:eastAsia="標楷體"/>
          <w:b/>
          <w:bCs/>
        </w:rPr>
        <w:t>預估財務收入分年規劃表</w:t>
      </w:r>
      <w:r w:rsidRPr="00D55DC6">
        <w:rPr>
          <w:rFonts w:eastAsia="標楷體"/>
          <w:b/>
          <w:bCs/>
        </w:rPr>
        <w:t>(</w:t>
      </w:r>
      <w:r w:rsidRPr="00D55DC6">
        <w:rPr>
          <w:rFonts w:eastAsia="標楷體"/>
          <w:b/>
          <w:bCs/>
        </w:rPr>
        <w:t>續</w:t>
      </w:r>
      <w:r w:rsidRPr="00D55DC6">
        <w:rPr>
          <w:rFonts w:eastAsia="標楷體"/>
          <w:b/>
          <w:bCs/>
        </w:rPr>
        <w:t>)</w:t>
      </w:r>
      <w:r w:rsidRPr="00D55DC6">
        <w:rPr>
          <w:rFonts w:eastAsia="標楷體"/>
          <w:b/>
          <w:bCs/>
        </w:rPr>
        <w:t>（單位：千元）</w:t>
      </w:r>
    </w:p>
    <w:tbl>
      <w:tblPr>
        <w:tblW w:w="15926" w:type="dxa"/>
        <w:jc w:val="center"/>
        <w:tblInd w:w="13" w:type="dxa"/>
        <w:tblCellMar>
          <w:left w:w="28" w:type="dxa"/>
          <w:right w:w="28" w:type="dxa"/>
        </w:tblCellMar>
        <w:tblLook w:val="04A0" w:firstRow="1" w:lastRow="0" w:firstColumn="1" w:lastColumn="0" w:noHBand="0" w:noVBand="1"/>
      </w:tblPr>
      <w:tblGrid>
        <w:gridCol w:w="5846"/>
        <w:gridCol w:w="1008"/>
        <w:gridCol w:w="1008"/>
        <w:gridCol w:w="1008"/>
        <w:gridCol w:w="1008"/>
        <w:gridCol w:w="1008"/>
        <w:gridCol w:w="1008"/>
        <w:gridCol w:w="1008"/>
        <w:gridCol w:w="1008"/>
        <w:gridCol w:w="1008"/>
        <w:gridCol w:w="1008"/>
      </w:tblGrid>
      <w:tr w:rsidR="001D0350" w:rsidRPr="00D55DC6" w:rsidTr="00A82A80">
        <w:trPr>
          <w:jc w:val="center"/>
        </w:trPr>
        <w:tc>
          <w:tcPr>
            <w:tcW w:w="5846" w:type="dxa"/>
            <w:tcBorders>
              <w:top w:val="single" w:sz="8" w:space="0" w:color="auto"/>
              <w:left w:val="single" w:sz="8" w:space="0" w:color="auto"/>
              <w:bottom w:val="single" w:sz="8" w:space="0" w:color="auto"/>
              <w:right w:val="single" w:sz="8" w:space="0" w:color="auto"/>
            </w:tcBorders>
            <w:shd w:val="clear" w:color="auto" w:fill="FFFF00"/>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年度</w:t>
            </w:r>
            <w:r w:rsidRPr="00D55DC6">
              <w:rPr>
                <w:rFonts w:eastAsia="標楷體"/>
                <w:b/>
                <w:bCs/>
                <w:kern w:val="0"/>
                <w:sz w:val="22"/>
                <w:szCs w:val="22"/>
              </w:rPr>
              <w:t>(</w:t>
            </w:r>
            <w:r w:rsidRPr="00D55DC6">
              <w:rPr>
                <w:rFonts w:eastAsia="標楷體"/>
                <w:b/>
                <w:bCs/>
                <w:kern w:val="0"/>
                <w:sz w:val="22"/>
                <w:szCs w:val="22"/>
              </w:rPr>
              <w:t>千元</w:t>
            </w:r>
            <w:r w:rsidRPr="00D55DC6">
              <w:rPr>
                <w:rFonts w:eastAsia="標楷體"/>
                <w:b/>
                <w:bCs/>
                <w:kern w:val="0"/>
                <w:sz w:val="22"/>
                <w:szCs w:val="22"/>
              </w:rPr>
              <w:t>)</w:t>
            </w:r>
          </w:p>
        </w:tc>
        <w:tc>
          <w:tcPr>
            <w:tcW w:w="1008" w:type="dxa"/>
            <w:tcBorders>
              <w:top w:val="single" w:sz="8" w:space="0" w:color="auto"/>
              <w:left w:val="single" w:sz="8" w:space="0" w:color="auto"/>
              <w:bottom w:val="single" w:sz="4" w:space="0" w:color="auto"/>
              <w:right w:val="single" w:sz="4" w:space="0" w:color="auto"/>
            </w:tcBorders>
            <w:shd w:val="clear" w:color="auto" w:fill="FFFF00"/>
            <w:vAlign w:val="center"/>
          </w:tcPr>
          <w:p w:rsidR="005D6EF0" w:rsidRPr="00D55DC6" w:rsidRDefault="005D6EF0" w:rsidP="0038165F">
            <w:pPr>
              <w:jc w:val="center"/>
              <w:rPr>
                <w:rFonts w:eastAsia="標楷體"/>
                <w:b/>
                <w:bCs/>
              </w:rPr>
            </w:pPr>
            <w:r w:rsidRPr="00D55DC6">
              <w:rPr>
                <w:rFonts w:eastAsia="標楷體"/>
                <w:b/>
                <w:bCs/>
              </w:rPr>
              <w:t xml:space="preserve">113 </w:t>
            </w:r>
          </w:p>
        </w:tc>
        <w:tc>
          <w:tcPr>
            <w:tcW w:w="1008" w:type="dxa"/>
            <w:tcBorders>
              <w:top w:val="single" w:sz="8" w:space="0" w:color="auto"/>
              <w:left w:val="nil"/>
              <w:bottom w:val="single" w:sz="4" w:space="0" w:color="auto"/>
              <w:right w:val="single" w:sz="4" w:space="0" w:color="auto"/>
            </w:tcBorders>
            <w:shd w:val="clear" w:color="auto" w:fill="FFFF00"/>
            <w:vAlign w:val="center"/>
          </w:tcPr>
          <w:p w:rsidR="005D6EF0" w:rsidRPr="00D55DC6" w:rsidRDefault="005D6EF0" w:rsidP="0038165F">
            <w:pPr>
              <w:jc w:val="center"/>
              <w:rPr>
                <w:rFonts w:eastAsia="標楷體"/>
                <w:b/>
                <w:bCs/>
              </w:rPr>
            </w:pPr>
            <w:r w:rsidRPr="00D55DC6">
              <w:rPr>
                <w:rFonts w:eastAsia="標楷體"/>
                <w:b/>
                <w:bCs/>
              </w:rPr>
              <w:t xml:space="preserve">114 </w:t>
            </w:r>
          </w:p>
        </w:tc>
        <w:tc>
          <w:tcPr>
            <w:tcW w:w="1008" w:type="dxa"/>
            <w:tcBorders>
              <w:top w:val="single" w:sz="8" w:space="0" w:color="auto"/>
              <w:left w:val="nil"/>
              <w:bottom w:val="single" w:sz="4" w:space="0" w:color="auto"/>
              <w:right w:val="single" w:sz="4" w:space="0" w:color="auto"/>
            </w:tcBorders>
            <w:shd w:val="clear" w:color="auto" w:fill="FFFF00"/>
            <w:vAlign w:val="center"/>
          </w:tcPr>
          <w:p w:rsidR="005D6EF0" w:rsidRPr="00D55DC6" w:rsidRDefault="005D6EF0" w:rsidP="0038165F">
            <w:pPr>
              <w:jc w:val="center"/>
              <w:rPr>
                <w:rFonts w:eastAsia="標楷體"/>
                <w:b/>
                <w:bCs/>
              </w:rPr>
            </w:pPr>
            <w:r w:rsidRPr="00D55DC6">
              <w:rPr>
                <w:rFonts w:eastAsia="標楷體"/>
                <w:b/>
                <w:bCs/>
              </w:rPr>
              <w:t xml:space="preserve">115 </w:t>
            </w:r>
          </w:p>
        </w:tc>
        <w:tc>
          <w:tcPr>
            <w:tcW w:w="1008" w:type="dxa"/>
            <w:tcBorders>
              <w:top w:val="single" w:sz="8" w:space="0" w:color="auto"/>
              <w:left w:val="nil"/>
              <w:bottom w:val="single" w:sz="4" w:space="0" w:color="auto"/>
              <w:right w:val="single" w:sz="4" w:space="0" w:color="auto"/>
            </w:tcBorders>
            <w:shd w:val="clear" w:color="auto" w:fill="FFFF00"/>
            <w:vAlign w:val="center"/>
          </w:tcPr>
          <w:p w:rsidR="005D6EF0" w:rsidRPr="00D55DC6" w:rsidRDefault="005D6EF0" w:rsidP="0038165F">
            <w:pPr>
              <w:jc w:val="center"/>
              <w:rPr>
                <w:rFonts w:eastAsia="標楷體"/>
                <w:b/>
                <w:bCs/>
              </w:rPr>
            </w:pPr>
            <w:r w:rsidRPr="00D55DC6">
              <w:rPr>
                <w:rFonts w:eastAsia="標楷體"/>
                <w:b/>
                <w:bCs/>
              </w:rPr>
              <w:t xml:space="preserve">116 </w:t>
            </w:r>
          </w:p>
        </w:tc>
        <w:tc>
          <w:tcPr>
            <w:tcW w:w="1008" w:type="dxa"/>
            <w:tcBorders>
              <w:top w:val="single" w:sz="8" w:space="0" w:color="auto"/>
              <w:left w:val="nil"/>
              <w:bottom w:val="single" w:sz="4" w:space="0" w:color="auto"/>
              <w:right w:val="single" w:sz="4" w:space="0" w:color="auto"/>
            </w:tcBorders>
            <w:shd w:val="clear" w:color="auto" w:fill="FFFF00"/>
            <w:vAlign w:val="center"/>
          </w:tcPr>
          <w:p w:rsidR="005D6EF0" w:rsidRPr="00D55DC6" w:rsidRDefault="005D6EF0" w:rsidP="0038165F">
            <w:pPr>
              <w:jc w:val="center"/>
              <w:rPr>
                <w:rFonts w:eastAsia="標楷體"/>
                <w:b/>
                <w:bCs/>
              </w:rPr>
            </w:pPr>
            <w:r w:rsidRPr="00D55DC6">
              <w:rPr>
                <w:rFonts w:eastAsia="標楷體"/>
                <w:b/>
                <w:bCs/>
              </w:rPr>
              <w:t xml:space="preserve">117 </w:t>
            </w:r>
          </w:p>
        </w:tc>
        <w:tc>
          <w:tcPr>
            <w:tcW w:w="1008" w:type="dxa"/>
            <w:tcBorders>
              <w:top w:val="single" w:sz="8" w:space="0" w:color="auto"/>
              <w:left w:val="nil"/>
              <w:bottom w:val="single" w:sz="4" w:space="0" w:color="auto"/>
              <w:right w:val="single" w:sz="4" w:space="0" w:color="auto"/>
            </w:tcBorders>
            <w:shd w:val="clear" w:color="auto" w:fill="FFFF00"/>
            <w:vAlign w:val="center"/>
          </w:tcPr>
          <w:p w:rsidR="005D6EF0" w:rsidRPr="00D55DC6" w:rsidRDefault="005D6EF0" w:rsidP="0038165F">
            <w:pPr>
              <w:jc w:val="center"/>
              <w:rPr>
                <w:rFonts w:eastAsia="標楷體"/>
                <w:b/>
                <w:bCs/>
              </w:rPr>
            </w:pPr>
            <w:r w:rsidRPr="00D55DC6">
              <w:rPr>
                <w:rFonts w:eastAsia="標楷體"/>
                <w:b/>
                <w:bCs/>
              </w:rPr>
              <w:t xml:space="preserve">118 </w:t>
            </w:r>
          </w:p>
        </w:tc>
        <w:tc>
          <w:tcPr>
            <w:tcW w:w="1008" w:type="dxa"/>
            <w:tcBorders>
              <w:top w:val="single" w:sz="8" w:space="0" w:color="auto"/>
              <w:left w:val="nil"/>
              <w:bottom w:val="single" w:sz="4" w:space="0" w:color="auto"/>
              <w:right w:val="single" w:sz="4" w:space="0" w:color="auto"/>
            </w:tcBorders>
            <w:shd w:val="clear" w:color="auto" w:fill="FFFF00"/>
            <w:vAlign w:val="center"/>
          </w:tcPr>
          <w:p w:rsidR="005D6EF0" w:rsidRPr="00D55DC6" w:rsidRDefault="005D6EF0" w:rsidP="0038165F">
            <w:pPr>
              <w:jc w:val="center"/>
              <w:rPr>
                <w:rFonts w:eastAsia="標楷體"/>
                <w:b/>
                <w:bCs/>
              </w:rPr>
            </w:pPr>
            <w:r w:rsidRPr="00D55DC6">
              <w:rPr>
                <w:rFonts w:eastAsia="標楷體"/>
                <w:b/>
                <w:bCs/>
              </w:rPr>
              <w:t xml:space="preserve">119 </w:t>
            </w:r>
          </w:p>
        </w:tc>
        <w:tc>
          <w:tcPr>
            <w:tcW w:w="1008" w:type="dxa"/>
            <w:tcBorders>
              <w:top w:val="single" w:sz="8" w:space="0" w:color="auto"/>
              <w:left w:val="nil"/>
              <w:bottom w:val="single" w:sz="4" w:space="0" w:color="auto"/>
              <w:right w:val="single" w:sz="4" w:space="0" w:color="auto"/>
            </w:tcBorders>
            <w:shd w:val="clear" w:color="auto" w:fill="FFFF00"/>
            <w:vAlign w:val="center"/>
          </w:tcPr>
          <w:p w:rsidR="005D6EF0" w:rsidRPr="00D55DC6" w:rsidRDefault="005D6EF0" w:rsidP="0038165F">
            <w:pPr>
              <w:jc w:val="center"/>
              <w:rPr>
                <w:rFonts w:eastAsia="標楷體"/>
                <w:b/>
                <w:bCs/>
              </w:rPr>
            </w:pPr>
            <w:r w:rsidRPr="00D55DC6">
              <w:rPr>
                <w:rFonts w:eastAsia="標楷體"/>
                <w:b/>
                <w:bCs/>
              </w:rPr>
              <w:t xml:space="preserve">120 </w:t>
            </w:r>
          </w:p>
        </w:tc>
        <w:tc>
          <w:tcPr>
            <w:tcW w:w="1008" w:type="dxa"/>
            <w:tcBorders>
              <w:top w:val="single" w:sz="8" w:space="0" w:color="auto"/>
              <w:left w:val="nil"/>
              <w:bottom w:val="single" w:sz="4" w:space="0" w:color="auto"/>
              <w:right w:val="single" w:sz="4" w:space="0" w:color="auto"/>
            </w:tcBorders>
            <w:shd w:val="clear" w:color="auto" w:fill="FFFF00"/>
            <w:vAlign w:val="center"/>
          </w:tcPr>
          <w:p w:rsidR="005D6EF0" w:rsidRPr="00D55DC6" w:rsidRDefault="005D6EF0" w:rsidP="0038165F">
            <w:pPr>
              <w:jc w:val="center"/>
              <w:rPr>
                <w:rFonts w:eastAsia="標楷體"/>
                <w:b/>
                <w:bCs/>
              </w:rPr>
            </w:pPr>
            <w:r w:rsidRPr="00D55DC6">
              <w:rPr>
                <w:rFonts w:eastAsia="標楷體"/>
                <w:b/>
                <w:bCs/>
              </w:rPr>
              <w:t xml:space="preserve">121 </w:t>
            </w:r>
          </w:p>
        </w:tc>
        <w:tc>
          <w:tcPr>
            <w:tcW w:w="1008" w:type="dxa"/>
            <w:tcBorders>
              <w:top w:val="single" w:sz="8" w:space="0" w:color="auto"/>
              <w:left w:val="nil"/>
              <w:bottom w:val="single" w:sz="4" w:space="0" w:color="auto"/>
              <w:right w:val="single" w:sz="8" w:space="0" w:color="auto"/>
            </w:tcBorders>
            <w:shd w:val="clear" w:color="auto" w:fill="FFFF00"/>
            <w:vAlign w:val="center"/>
          </w:tcPr>
          <w:p w:rsidR="005D6EF0" w:rsidRPr="00D55DC6" w:rsidRDefault="005D6EF0" w:rsidP="0038165F">
            <w:pPr>
              <w:jc w:val="center"/>
              <w:rPr>
                <w:rFonts w:eastAsia="標楷體"/>
                <w:b/>
                <w:bCs/>
              </w:rPr>
            </w:pPr>
            <w:r w:rsidRPr="00D55DC6">
              <w:rPr>
                <w:rFonts w:eastAsia="標楷體"/>
                <w:b/>
                <w:bCs/>
              </w:rPr>
              <w:t xml:space="preserve">122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auto" w:fill="auto"/>
            <w:vAlign w:val="center"/>
            <w:hideMark/>
          </w:tcPr>
          <w:p w:rsidR="005D6EF0" w:rsidRPr="00D55DC6" w:rsidRDefault="005D6EF0" w:rsidP="0038165F">
            <w:pPr>
              <w:widowControl/>
              <w:rPr>
                <w:rFonts w:eastAsia="標楷體"/>
                <w:b/>
                <w:bCs/>
                <w:kern w:val="0"/>
                <w:sz w:val="22"/>
                <w:szCs w:val="22"/>
              </w:rPr>
            </w:pPr>
            <w:r w:rsidRPr="00D55DC6">
              <w:rPr>
                <w:rFonts w:eastAsia="標楷體"/>
                <w:b/>
                <w:bCs/>
                <w:kern w:val="0"/>
                <w:sz w:val="22"/>
                <w:szCs w:val="22"/>
              </w:rPr>
              <w:t>短期出租</w:t>
            </w:r>
          </w:p>
        </w:tc>
        <w:tc>
          <w:tcPr>
            <w:tcW w:w="1008" w:type="dxa"/>
            <w:tcBorders>
              <w:top w:val="nil"/>
              <w:left w:val="single" w:sz="8" w:space="0" w:color="auto"/>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2,110 </w:t>
            </w:r>
          </w:p>
        </w:tc>
        <w:tc>
          <w:tcPr>
            <w:tcW w:w="1008" w:type="dxa"/>
            <w:tcBorders>
              <w:top w:val="nil"/>
              <w:left w:val="nil"/>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2,110 </w:t>
            </w:r>
          </w:p>
        </w:tc>
        <w:tc>
          <w:tcPr>
            <w:tcW w:w="1008" w:type="dxa"/>
            <w:tcBorders>
              <w:top w:val="nil"/>
              <w:left w:val="nil"/>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2,110 </w:t>
            </w:r>
          </w:p>
        </w:tc>
        <w:tc>
          <w:tcPr>
            <w:tcW w:w="1008" w:type="dxa"/>
            <w:tcBorders>
              <w:top w:val="nil"/>
              <w:left w:val="nil"/>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2,110 </w:t>
            </w:r>
          </w:p>
        </w:tc>
        <w:tc>
          <w:tcPr>
            <w:tcW w:w="1008" w:type="dxa"/>
            <w:tcBorders>
              <w:top w:val="nil"/>
              <w:left w:val="nil"/>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2,170 </w:t>
            </w:r>
          </w:p>
        </w:tc>
        <w:tc>
          <w:tcPr>
            <w:tcW w:w="1008" w:type="dxa"/>
            <w:tcBorders>
              <w:top w:val="nil"/>
              <w:left w:val="nil"/>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2,170 </w:t>
            </w:r>
          </w:p>
        </w:tc>
        <w:tc>
          <w:tcPr>
            <w:tcW w:w="1008" w:type="dxa"/>
            <w:tcBorders>
              <w:top w:val="nil"/>
              <w:left w:val="nil"/>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2,170 </w:t>
            </w:r>
          </w:p>
        </w:tc>
        <w:tc>
          <w:tcPr>
            <w:tcW w:w="1008" w:type="dxa"/>
            <w:tcBorders>
              <w:top w:val="nil"/>
              <w:left w:val="nil"/>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2,170 </w:t>
            </w:r>
          </w:p>
        </w:tc>
        <w:tc>
          <w:tcPr>
            <w:tcW w:w="1008" w:type="dxa"/>
            <w:tcBorders>
              <w:top w:val="nil"/>
              <w:left w:val="nil"/>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2,280 </w:t>
            </w:r>
          </w:p>
        </w:tc>
        <w:tc>
          <w:tcPr>
            <w:tcW w:w="1008" w:type="dxa"/>
            <w:tcBorders>
              <w:top w:val="nil"/>
              <w:left w:val="nil"/>
              <w:bottom w:val="single" w:sz="4" w:space="0" w:color="auto"/>
              <w:right w:val="single" w:sz="8"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2,280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auto" w:fill="FFFFFF"/>
            <w:vAlign w:val="center"/>
            <w:hideMark/>
          </w:tcPr>
          <w:p w:rsidR="005D6EF0" w:rsidRPr="00D55DC6" w:rsidRDefault="005D6EF0" w:rsidP="0038165F">
            <w:pPr>
              <w:widowControl/>
              <w:rPr>
                <w:rFonts w:eastAsia="標楷體"/>
                <w:kern w:val="0"/>
                <w:sz w:val="22"/>
                <w:szCs w:val="22"/>
              </w:rPr>
            </w:pPr>
            <w:r w:rsidRPr="00D55DC6">
              <w:rPr>
                <w:rFonts w:eastAsia="標楷體"/>
                <w:kern w:val="0"/>
                <w:sz w:val="22"/>
                <w:szCs w:val="22"/>
              </w:rPr>
              <w:t>-</w:t>
            </w:r>
            <w:r w:rsidRPr="00D55DC6">
              <w:rPr>
                <w:rFonts w:eastAsia="標楷體"/>
                <w:kern w:val="0"/>
                <w:sz w:val="22"/>
                <w:szCs w:val="22"/>
              </w:rPr>
              <w:t>獅頭山管理站歇心茶樓租金</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200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auto" w:fill="FFFFFF"/>
            <w:vAlign w:val="center"/>
            <w:hideMark/>
          </w:tcPr>
          <w:p w:rsidR="005D6EF0" w:rsidRPr="00D55DC6" w:rsidRDefault="005D6EF0" w:rsidP="0038165F">
            <w:pPr>
              <w:widowControl/>
              <w:rPr>
                <w:rFonts w:eastAsia="標楷體"/>
                <w:kern w:val="0"/>
                <w:sz w:val="22"/>
                <w:szCs w:val="22"/>
              </w:rPr>
            </w:pPr>
            <w:r w:rsidRPr="00D55DC6">
              <w:rPr>
                <w:rFonts w:eastAsia="標楷體"/>
                <w:kern w:val="0"/>
                <w:sz w:val="22"/>
                <w:szCs w:val="22"/>
              </w:rPr>
              <w:t>-</w:t>
            </w:r>
            <w:r w:rsidRPr="00D55DC6">
              <w:rPr>
                <w:rFonts w:eastAsia="標楷體"/>
                <w:kern w:val="0"/>
                <w:sz w:val="22"/>
                <w:szCs w:val="22"/>
              </w:rPr>
              <w:t>南庄遊客中心地下停車場租金</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1,900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1,900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1,900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1,900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1,900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1,900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1,900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1,900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2,000 </w:t>
            </w:r>
          </w:p>
        </w:tc>
        <w:tc>
          <w:tcPr>
            <w:tcW w:w="1008" w:type="dxa"/>
            <w:tcBorders>
              <w:top w:val="nil"/>
              <w:left w:val="nil"/>
              <w:bottom w:val="single" w:sz="4" w:space="0" w:color="auto"/>
              <w:right w:val="single" w:sz="8"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2,000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auto" w:fill="FFFFFF"/>
            <w:vAlign w:val="center"/>
            <w:hideMark/>
          </w:tcPr>
          <w:p w:rsidR="005D6EF0" w:rsidRPr="00D55DC6" w:rsidRDefault="005D6EF0" w:rsidP="0038165F">
            <w:pPr>
              <w:widowControl/>
              <w:rPr>
                <w:rFonts w:eastAsia="標楷體"/>
                <w:kern w:val="0"/>
                <w:sz w:val="22"/>
                <w:szCs w:val="22"/>
              </w:rPr>
            </w:pPr>
            <w:r w:rsidRPr="00D55DC6">
              <w:rPr>
                <w:rFonts w:eastAsia="標楷體"/>
                <w:kern w:val="0"/>
                <w:sz w:val="22"/>
                <w:szCs w:val="22"/>
              </w:rPr>
              <w:t>-</w:t>
            </w:r>
            <w:r w:rsidRPr="00D55DC6">
              <w:rPr>
                <w:rFonts w:eastAsia="標楷體"/>
                <w:kern w:val="0"/>
                <w:sz w:val="22"/>
                <w:szCs w:val="22"/>
              </w:rPr>
              <w:t>其他</w:t>
            </w:r>
            <w:r w:rsidRPr="00D55DC6">
              <w:rPr>
                <w:rFonts w:eastAsia="標楷體"/>
                <w:kern w:val="0"/>
                <w:sz w:val="22"/>
                <w:szCs w:val="22"/>
              </w:rPr>
              <w:t>(</w:t>
            </w:r>
            <w:r w:rsidRPr="00D55DC6">
              <w:rPr>
                <w:rFonts w:eastAsia="標楷體"/>
                <w:kern w:val="0"/>
                <w:sz w:val="22"/>
                <w:szCs w:val="22"/>
              </w:rPr>
              <w:t>梨山備勤室租金、猴探井基地台租金等</w:t>
            </w:r>
            <w:r w:rsidRPr="00D55DC6">
              <w:rPr>
                <w:rFonts w:eastAsia="標楷體"/>
                <w:kern w:val="0"/>
                <w:sz w:val="22"/>
                <w:szCs w:val="22"/>
              </w:rPr>
              <w:t>)</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60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60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60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60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70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70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70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70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80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80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auto" w:fill="auto"/>
            <w:vAlign w:val="center"/>
            <w:hideMark/>
          </w:tcPr>
          <w:p w:rsidR="005D6EF0" w:rsidRPr="00D55DC6" w:rsidRDefault="005D6EF0" w:rsidP="0038165F">
            <w:pPr>
              <w:widowControl/>
              <w:jc w:val="both"/>
              <w:rPr>
                <w:rFonts w:eastAsia="標楷體"/>
                <w:b/>
                <w:bCs/>
                <w:kern w:val="0"/>
                <w:sz w:val="22"/>
                <w:szCs w:val="22"/>
              </w:rPr>
            </w:pPr>
            <w:r w:rsidRPr="00D55DC6">
              <w:rPr>
                <w:rFonts w:eastAsia="標楷體"/>
                <w:b/>
                <w:bCs/>
                <w:kern w:val="0"/>
                <w:sz w:val="22"/>
                <w:szCs w:val="22"/>
              </w:rPr>
              <w:t>租金及權利金收入</w:t>
            </w:r>
          </w:p>
        </w:tc>
        <w:tc>
          <w:tcPr>
            <w:tcW w:w="1008" w:type="dxa"/>
            <w:tcBorders>
              <w:top w:val="nil"/>
              <w:left w:val="single" w:sz="8" w:space="0" w:color="auto"/>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13,050 </w:t>
            </w:r>
          </w:p>
        </w:tc>
        <w:tc>
          <w:tcPr>
            <w:tcW w:w="1008" w:type="dxa"/>
            <w:tcBorders>
              <w:top w:val="nil"/>
              <w:left w:val="nil"/>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13,050 </w:t>
            </w:r>
          </w:p>
        </w:tc>
        <w:tc>
          <w:tcPr>
            <w:tcW w:w="1008" w:type="dxa"/>
            <w:tcBorders>
              <w:top w:val="nil"/>
              <w:left w:val="nil"/>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13,050 </w:t>
            </w:r>
          </w:p>
        </w:tc>
        <w:tc>
          <w:tcPr>
            <w:tcW w:w="1008" w:type="dxa"/>
            <w:tcBorders>
              <w:top w:val="nil"/>
              <w:left w:val="nil"/>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13,050 </w:t>
            </w:r>
          </w:p>
        </w:tc>
        <w:tc>
          <w:tcPr>
            <w:tcW w:w="1008" w:type="dxa"/>
            <w:tcBorders>
              <w:top w:val="nil"/>
              <w:left w:val="nil"/>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14,500 </w:t>
            </w:r>
          </w:p>
        </w:tc>
        <w:tc>
          <w:tcPr>
            <w:tcW w:w="1008" w:type="dxa"/>
            <w:tcBorders>
              <w:top w:val="nil"/>
              <w:left w:val="nil"/>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14,500 </w:t>
            </w:r>
          </w:p>
        </w:tc>
        <w:tc>
          <w:tcPr>
            <w:tcW w:w="1008" w:type="dxa"/>
            <w:tcBorders>
              <w:top w:val="nil"/>
              <w:left w:val="nil"/>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14,500 </w:t>
            </w:r>
          </w:p>
        </w:tc>
        <w:tc>
          <w:tcPr>
            <w:tcW w:w="1008" w:type="dxa"/>
            <w:tcBorders>
              <w:top w:val="nil"/>
              <w:left w:val="nil"/>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14,500 </w:t>
            </w:r>
          </w:p>
        </w:tc>
        <w:tc>
          <w:tcPr>
            <w:tcW w:w="1008" w:type="dxa"/>
            <w:tcBorders>
              <w:top w:val="nil"/>
              <w:left w:val="nil"/>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15,100 </w:t>
            </w:r>
          </w:p>
        </w:tc>
        <w:tc>
          <w:tcPr>
            <w:tcW w:w="1008" w:type="dxa"/>
            <w:tcBorders>
              <w:top w:val="nil"/>
              <w:left w:val="nil"/>
              <w:bottom w:val="single" w:sz="4" w:space="0" w:color="auto"/>
              <w:right w:val="single" w:sz="8"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15,100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auto" w:fill="FFFFFF"/>
            <w:vAlign w:val="center"/>
            <w:hideMark/>
          </w:tcPr>
          <w:p w:rsidR="005D6EF0" w:rsidRPr="00D55DC6" w:rsidRDefault="005D6EF0" w:rsidP="0038165F">
            <w:pPr>
              <w:widowControl/>
              <w:rPr>
                <w:rFonts w:eastAsia="標楷體"/>
                <w:kern w:val="0"/>
                <w:sz w:val="22"/>
                <w:szCs w:val="22"/>
              </w:rPr>
            </w:pPr>
            <w:r w:rsidRPr="00D55DC6">
              <w:rPr>
                <w:rFonts w:eastAsia="標楷體"/>
                <w:kern w:val="0"/>
                <w:sz w:val="22"/>
                <w:szCs w:val="22"/>
              </w:rPr>
              <w:t>-</w:t>
            </w:r>
            <w:r w:rsidRPr="00D55DC6">
              <w:rPr>
                <w:rFonts w:eastAsia="標楷體"/>
                <w:kern w:val="0"/>
                <w:sz w:val="22"/>
                <w:szCs w:val="22"/>
              </w:rPr>
              <w:t>民間參與臺中市梨山賓館委外經營管理案</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4,500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4,500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4,500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4,500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4,500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4,500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4,500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4,500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5,000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5,000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auto" w:fill="FFFFFF"/>
            <w:vAlign w:val="center"/>
            <w:hideMark/>
          </w:tcPr>
          <w:p w:rsidR="005D6EF0" w:rsidRPr="00D55DC6" w:rsidRDefault="005D6EF0" w:rsidP="0038165F">
            <w:pPr>
              <w:widowControl/>
              <w:rPr>
                <w:rFonts w:eastAsia="標楷體"/>
                <w:kern w:val="0"/>
                <w:sz w:val="22"/>
                <w:szCs w:val="22"/>
              </w:rPr>
            </w:pPr>
            <w:r w:rsidRPr="00D55DC6">
              <w:rPr>
                <w:rFonts w:eastAsia="標楷體"/>
                <w:kern w:val="0"/>
                <w:sz w:val="22"/>
                <w:szCs w:val="22"/>
              </w:rPr>
              <w:t>-</w:t>
            </w:r>
            <w:r w:rsidRPr="00D55DC6">
              <w:rPr>
                <w:rFonts w:eastAsia="標楷體"/>
                <w:kern w:val="0"/>
                <w:sz w:val="22"/>
                <w:szCs w:val="22"/>
              </w:rPr>
              <w:t>彰化縣芬園休閒體健園區營運移轉案</w:t>
            </w:r>
            <w:r w:rsidRPr="00D55DC6">
              <w:rPr>
                <w:rFonts w:eastAsia="標楷體"/>
                <w:kern w:val="0"/>
                <w:sz w:val="22"/>
                <w:szCs w:val="22"/>
              </w:rPr>
              <w:t>(</w:t>
            </w:r>
            <w:r w:rsidRPr="00D55DC6">
              <w:rPr>
                <w:rFonts w:eastAsia="標楷體"/>
                <w:kern w:val="0"/>
                <w:sz w:val="22"/>
                <w:szCs w:val="22"/>
              </w:rPr>
              <w:t>就是愛荔枝樂園</w:t>
            </w:r>
            <w:r w:rsidRPr="00D55DC6">
              <w:rPr>
                <w:rFonts w:eastAsia="標楷體"/>
                <w:kern w:val="0"/>
                <w:sz w:val="22"/>
                <w:szCs w:val="22"/>
              </w:rPr>
              <w:t>)</w:t>
            </w:r>
          </w:p>
        </w:tc>
        <w:tc>
          <w:tcPr>
            <w:tcW w:w="1008" w:type="dxa"/>
            <w:tcBorders>
              <w:top w:val="nil"/>
              <w:left w:val="nil"/>
              <w:bottom w:val="single" w:sz="8" w:space="0" w:color="auto"/>
              <w:right w:val="single" w:sz="8"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1,200 </w:t>
            </w:r>
          </w:p>
        </w:tc>
        <w:tc>
          <w:tcPr>
            <w:tcW w:w="1008" w:type="dxa"/>
            <w:tcBorders>
              <w:top w:val="nil"/>
              <w:left w:val="nil"/>
              <w:bottom w:val="single" w:sz="8" w:space="0" w:color="auto"/>
              <w:right w:val="single" w:sz="8"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1,200 </w:t>
            </w:r>
          </w:p>
        </w:tc>
        <w:tc>
          <w:tcPr>
            <w:tcW w:w="1008" w:type="dxa"/>
            <w:tcBorders>
              <w:top w:val="nil"/>
              <w:left w:val="nil"/>
              <w:bottom w:val="single" w:sz="8" w:space="0" w:color="auto"/>
              <w:right w:val="single" w:sz="8"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1,200 </w:t>
            </w:r>
          </w:p>
        </w:tc>
        <w:tc>
          <w:tcPr>
            <w:tcW w:w="1008" w:type="dxa"/>
            <w:tcBorders>
              <w:top w:val="nil"/>
              <w:left w:val="nil"/>
              <w:bottom w:val="single" w:sz="8" w:space="0" w:color="auto"/>
              <w:right w:val="single" w:sz="8"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1,200 </w:t>
            </w:r>
          </w:p>
        </w:tc>
        <w:tc>
          <w:tcPr>
            <w:tcW w:w="1008" w:type="dxa"/>
            <w:tcBorders>
              <w:top w:val="nil"/>
              <w:left w:val="single" w:sz="4"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auto" w:fill="FFFFFF"/>
            <w:vAlign w:val="center"/>
            <w:hideMark/>
          </w:tcPr>
          <w:p w:rsidR="005D6EF0" w:rsidRPr="00D55DC6" w:rsidRDefault="005D6EF0" w:rsidP="0038165F">
            <w:pPr>
              <w:widowControl/>
              <w:rPr>
                <w:rFonts w:eastAsia="標楷體"/>
                <w:kern w:val="0"/>
                <w:sz w:val="22"/>
                <w:szCs w:val="22"/>
              </w:rPr>
            </w:pPr>
            <w:r w:rsidRPr="00D55DC6">
              <w:rPr>
                <w:rFonts w:eastAsia="標楷體"/>
                <w:kern w:val="0"/>
                <w:sz w:val="22"/>
                <w:szCs w:val="22"/>
              </w:rPr>
              <w:t>-</w:t>
            </w:r>
            <w:r w:rsidRPr="00D55DC6">
              <w:rPr>
                <w:rFonts w:eastAsia="標楷體"/>
                <w:kern w:val="0"/>
                <w:sz w:val="22"/>
                <w:szCs w:val="22"/>
              </w:rPr>
              <w:t>猴探井遊憩區南投天空之橋委外經營管理案</w:t>
            </w:r>
          </w:p>
        </w:tc>
        <w:tc>
          <w:tcPr>
            <w:tcW w:w="1008" w:type="dxa"/>
            <w:tcBorders>
              <w:top w:val="single" w:sz="4" w:space="0" w:color="auto"/>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7,000 </w:t>
            </w:r>
          </w:p>
        </w:tc>
        <w:tc>
          <w:tcPr>
            <w:tcW w:w="1008" w:type="dxa"/>
            <w:tcBorders>
              <w:top w:val="single" w:sz="4" w:space="0" w:color="auto"/>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7,000 </w:t>
            </w:r>
          </w:p>
        </w:tc>
        <w:tc>
          <w:tcPr>
            <w:tcW w:w="1008" w:type="dxa"/>
            <w:tcBorders>
              <w:top w:val="single" w:sz="4" w:space="0" w:color="auto"/>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7,000 </w:t>
            </w:r>
          </w:p>
        </w:tc>
        <w:tc>
          <w:tcPr>
            <w:tcW w:w="1008" w:type="dxa"/>
            <w:tcBorders>
              <w:top w:val="single" w:sz="4" w:space="0" w:color="auto"/>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7,000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8,000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8,000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8,000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8,000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8,000 </w:t>
            </w:r>
          </w:p>
        </w:tc>
        <w:tc>
          <w:tcPr>
            <w:tcW w:w="1008" w:type="dxa"/>
            <w:tcBorders>
              <w:top w:val="nil"/>
              <w:left w:val="nil"/>
              <w:bottom w:val="single" w:sz="4" w:space="0" w:color="auto"/>
              <w:right w:val="single" w:sz="8"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8,000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auto" w:fill="FFFFFF"/>
            <w:vAlign w:val="center"/>
            <w:hideMark/>
          </w:tcPr>
          <w:p w:rsidR="005D6EF0" w:rsidRPr="00D55DC6" w:rsidRDefault="005D6EF0" w:rsidP="0038165F">
            <w:pPr>
              <w:widowControl/>
              <w:rPr>
                <w:rFonts w:eastAsia="標楷體"/>
                <w:kern w:val="0"/>
                <w:sz w:val="22"/>
                <w:szCs w:val="22"/>
              </w:rPr>
            </w:pPr>
            <w:r w:rsidRPr="00D55DC6">
              <w:rPr>
                <w:rFonts w:eastAsia="標楷體"/>
                <w:kern w:val="0"/>
                <w:sz w:val="22"/>
                <w:szCs w:val="22"/>
              </w:rPr>
              <w:t>-</w:t>
            </w:r>
            <w:r w:rsidRPr="00D55DC6">
              <w:rPr>
                <w:rFonts w:eastAsia="標楷體"/>
                <w:kern w:val="0"/>
                <w:sz w:val="22"/>
                <w:szCs w:val="22"/>
              </w:rPr>
              <w:t>員林新百果山出租案</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350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350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350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350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600 </w:t>
            </w:r>
          </w:p>
        </w:tc>
        <w:tc>
          <w:tcPr>
            <w:tcW w:w="1008" w:type="dxa"/>
            <w:tcBorders>
              <w:top w:val="nil"/>
              <w:left w:val="nil"/>
              <w:bottom w:val="single" w:sz="4" w:space="0" w:color="auto"/>
              <w:right w:val="single" w:sz="8"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600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auto" w:fill="auto"/>
            <w:vAlign w:val="center"/>
            <w:hideMark/>
          </w:tcPr>
          <w:p w:rsidR="005D6EF0" w:rsidRPr="00D55DC6" w:rsidRDefault="005D6EF0" w:rsidP="0038165F">
            <w:pPr>
              <w:widowControl/>
              <w:jc w:val="both"/>
              <w:rPr>
                <w:rFonts w:eastAsia="標楷體"/>
                <w:b/>
                <w:bCs/>
                <w:kern w:val="0"/>
                <w:sz w:val="22"/>
                <w:szCs w:val="22"/>
              </w:rPr>
            </w:pPr>
            <w:r w:rsidRPr="00D55DC6">
              <w:rPr>
                <w:rFonts w:eastAsia="標楷體"/>
                <w:b/>
                <w:bCs/>
                <w:kern w:val="0"/>
                <w:sz w:val="22"/>
                <w:szCs w:val="22"/>
              </w:rPr>
              <w:t>跨域加值資源整合案件收入</w:t>
            </w:r>
            <w:r w:rsidRPr="00D55DC6">
              <w:rPr>
                <w:rFonts w:eastAsia="標楷體"/>
                <w:b/>
                <w:bCs/>
                <w:kern w:val="0"/>
                <w:sz w:val="22"/>
                <w:szCs w:val="22"/>
              </w:rPr>
              <w:t>(</w:t>
            </w:r>
            <w:r w:rsidRPr="00D55DC6">
              <w:rPr>
                <w:rFonts w:eastAsia="標楷體"/>
                <w:b/>
                <w:bCs/>
                <w:kern w:val="0"/>
                <w:sz w:val="22"/>
                <w:szCs w:val="22"/>
              </w:rPr>
              <w:t>預估</w:t>
            </w:r>
            <w:r w:rsidRPr="00D55DC6">
              <w:rPr>
                <w:rFonts w:eastAsia="標楷體"/>
                <w:b/>
                <w:bCs/>
                <w:kern w:val="0"/>
                <w:sz w:val="22"/>
                <w:szCs w:val="22"/>
              </w:rPr>
              <w:t>)</w:t>
            </w:r>
          </w:p>
        </w:tc>
        <w:tc>
          <w:tcPr>
            <w:tcW w:w="1008" w:type="dxa"/>
            <w:tcBorders>
              <w:top w:val="nil"/>
              <w:left w:val="nil"/>
              <w:bottom w:val="single" w:sz="8" w:space="0" w:color="auto"/>
              <w:right w:val="single" w:sz="8"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32,040 </w:t>
            </w:r>
          </w:p>
        </w:tc>
        <w:tc>
          <w:tcPr>
            <w:tcW w:w="1008" w:type="dxa"/>
            <w:tcBorders>
              <w:top w:val="nil"/>
              <w:left w:val="nil"/>
              <w:bottom w:val="single" w:sz="8" w:space="0" w:color="auto"/>
              <w:right w:val="single" w:sz="8"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32,040 </w:t>
            </w:r>
          </w:p>
        </w:tc>
        <w:tc>
          <w:tcPr>
            <w:tcW w:w="1008" w:type="dxa"/>
            <w:tcBorders>
              <w:top w:val="nil"/>
              <w:left w:val="nil"/>
              <w:bottom w:val="single" w:sz="8" w:space="0" w:color="auto"/>
              <w:right w:val="single" w:sz="8"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32,040 </w:t>
            </w:r>
          </w:p>
        </w:tc>
        <w:tc>
          <w:tcPr>
            <w:tcW w:w="1008" w:type="dxa"/>
            <w:tcBorders>
              <w:top w:val="nil"/>
              <w:left w:val="nil"/>
              <w:bottom w:val="single" w:sz="8" w:space="0" w:color="auto"/>
              <w:right w:val="single" w:sz="8"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32,040 </w:t>
            </w:r>
          </w:p>
        </w:tc>
        <w:tc>
          <w:tcPr>
            <w:tcW w:w="1008" w:type="dxa"/>
            <w:tcBorders>
              <w:top w:val="nil"/>
              <w:left w:val="nil"/>
              <w:bottom w:val="single" w:sz="8" w:space="0" w:color="auto"/>
              <w:right w:val="single" w:sz="8"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37,750 </w:t>
            </w:r>
          </w:p>
        </w:tc>
        <w:tc>
          <w:tcPr>
            <w:tcW w:w="1008" w:type="dxa"/>
            <w:tcBorders>
              <w:top w:val="nil"/>
              <w:left w:val="nil"/>
              <w:bottom w:val="single" w:sz="8" w:space="0" w:color="auto"/>
              <w:right w:val="single" w:sz="8"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37,750 </w:t>
            </w:r>
          </w:p>
        </w:tc>
        <w:tc>
          <w:tcPr>
            <w:tcW w:w="1008" w:type="dxa"/>
            <w:tcBorders>
              <w:top w:val="nil"/>
              <w:left w:val="nil"/>
              <w:bottom w:val="single" w:sz="8" w:space="0" w:color="auto"/>
              <w:right w:val="single" w:sz="8"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37,750 </w:t>
            </w:r>
          </w:p>
        </w:tc>
        <w:tc>
          <w:tcPr>
            <w:tcW w:w="1008" w:type="dxa"/>
            <w:tcBorders>
              <w:top w:val="nil"/>
              <w:left w:val="nil"/>
              <w:bottom w:val="single" w:sz="8" w:space="0" w:color="auto"/>
              <w:right w:val="single" w:sz="8"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37,750 </w:t>
            </w:r>
          </w:p>
        </w:tc>
        <w:tc>
          <w:tcPr>
            <w:tcW w:w="1008" w:type="dxa"/>
            <w:tcBorders>
              <w:top w:val="nil"/>
              <w:left w:val="nil"/>
              <w:bottom w:val="single" w:sz="8" w:space="0" w:color="auto"/>
              <w:right w:val="single" w:sz="8"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41,250 </w:t>
            </w:r>
          </w:p>
        </w:tc>
        <w:tc>
          <w:tcPr>
            <w:tcW w:w="1008" w:type="dxa"/>
            <w:tcBorders>
              <w:top w:val="nil"/>
              <w:left w:val="nil"/>
              <w:bottom w:val="single" w:sz="8" w:space="0" w:color="auto"/>
              <w:right w:val="single" w:sz="8"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41,250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auto" w:fill="FFFFFF"/>
            <w:vAlign w:val="center"/>
            <w:hideMark/>
          </w:tcPr>
          <w:p w:rsidR="005D6EF0" w:rsidRPr="00D55DC6" w:rsidRDefault="005D6EF0" w:rsidP="0038165F">
            <w:pPr>
              <w:widowControl/>
              <w:rPr>
                <w:rFonts w:eastAsia="標楷體"/>
                <w:kern w:val="0"/>
                <w:sz w:val="22"/>
                <w:szCs w:val="22"/>
              </w:rPr>
            </w:pPr>
            <w:r w:rsidRPr="00D55DC6">
              <w:rPr>
                <w:rFonts w:eastAsia="標楷體"/>
                <w:kern w:val="0"/>
                <w:sz w:val="22"/>
                <w:szCs w:val="22"/>
              </w:rPr>
              <w:t>-</w:t>
            </w:r>
            <w:r w:rsidRPr="00D55DC6">
              <w:rPr>
                <w:rFonts w:eastAsia="標楷體"/>
                <w:kern w:val="0"/>
                <w:sz w:val="22"/>
                <w:szCs w:val="22"/>
              </w:rPr>
              <w:t>蓬萊溪自然生態園區委外經營管理案</w:t>
            </w:r>
          </w:p>
        </w:tc>
        <w:tc>
          <w:tcPr>
            <w:tcW w:w="1008" w:type="dxa"/>
            <w:tcBorders>
              <w:top w:val="single" w:sz="4" w:space="0" w:color="auto"/>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540 </w:t>
            </w:r>
          </w:p>
        </w:tc>
        <w:tc>
          <w:tcPr>
            <w:tcW w:w="1008" w:type="dxa"/>
            <w:tcBorders>
              <w:top w:val="single" w:sz="4" w:space="0" w:color="auto"/>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540 </w:t>
            </w:r>
          </w:p>
        </w:tc>
        <w:tc>
          <w:tcPr>
            <w:tcW w:w="1008" w:type="dxa"/>
            <w:tcBorders>
              <w:top w:val="single" w:sz="4" w:space="0" w:color="auto"/>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540 </w:t>
            </w:r>
          </w:p>
        </w:tc>
        <w:tc>
          <w:tcPr>
            <w:tcW w:w="1008" w:type="dxa"/>
            <w:tcBorders>
              <w:top w:val="single" w:sz="4" w:space="0" w:color="auto"/>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540 </w:t>
            </w:r>
          </w:p>
        </w:tc>
        <w:tc>
          <w:tcPr>
            <w:tcW w:w="1008" w:type="dxa"/>
            <w:tcBorders>
              <w:top w:val="single" w:sz="4" w:space="0" w:color="auto"/>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650 </w:t>
            </w:r>
          </w:p>
        </w:tc>
        <w:tc>
          <w:tcPr>
            <w:tcW w:w="1008" w:type="dxa"/>
            <w:tcBorders>
              <w:top w:val="single" w:sz="4" w:space="0" w:color="auto"/>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650 </w:t>
            </w:r>
          </w:p>
        </w:tc>
        <w:tc>
          <w:tcPr>
            <w:tcW w:w="1008" w:type="dxa"/>
            <w:tcBorders>
              <w:top w:val="single" w:sz="4" w:space="0" w:color="auto"/>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650 </w:t>
            </w:r>
          </w:p>
        </w:tc>
        <w:tc>
          <w:tcPr>
            <w:tcW w:w="1008" w:type="dxa"/>
            <w:tcBorders>
              <w:top w:val="single" w:sz="4" w:space="0" w:color="auto"/>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650 </w:t>
            </w:r>
          </w:p>
        </w:tc>
        <w:tc>
          <w:tcPr>
            <w:tcW w:w="1008" w:type="dxa"/>
            <w:tcBorders>
              <w:top w:val="single" w:sz="4" w:space="0" w:color="auto"/>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650 </w:t>
            </w:r>
          </w:p>
        </w:tc>
        <w:tc>
          <w:tcPr>
            <w:tcW w:w="1008" w:type="dxa"/>
            <w:tcBorders>
              <w:top w:val="single" w:sz="4" w:space="0" w:color="auto"/>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650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auto" w:fill="FFFFFF"/>
            <w:vAlign w:val="center"/>
            <w:hideMark/>
          </w:tcPr>
          <w:p w:rsidR="005D6EF0" w:rsidRPr="00D55DC6" w:rsidRDefault="005D6EF0" w:rsidP="0038165F">
            <w:pPr>
              <w:widowControl/>
              <w:rPr>
                <w:rFonts w:eastAsia="標楷體"/>
                <w:kern w:val="0"/>
                <w:sz w:val="22"/>
                <w:szCs w:val="22"/>
              </w:rPr>
            </w:pPr>
            <w:r w:rsidRPr="00D55DC6">
              <w:rPr>
                <w:rFonts w:eastAsia="標楷體"/>
                <w:kern w:val="0"/>
                <w:sz w:val="22"/>
                <w:szCs w:val="22"/>
              </w:rPr>
              <w:t>-</w:t>
            </w:r>
            <w:r w:rsidRPr="00D55DC6">
              <w:rPr>
                <w:rFonts w:eastAsia="標楷體"/>
                <w:kern w:val="0"/>
                <w:sz w:val="22"/>
                <w:szCs w:val="22"/>
              </w:rPr>
              <w:t>南庄高灘地停車場</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600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600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600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600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600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600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auto" w:fill="FFFFFF"/>
            <w:vAlign w:val="center"/>
            <w:hideMark/>
          </w:tcPr>
          <w:p w:rsidR="005D6EF0" w:rsidRPr="00D55DC6" w:rsidRDefault="005D6EF0" w:rsidP="0038165F">
            <w:pPr>
              <w:widowControl/>
              <w:rPr>
                <w:rFonts w:eastAsia="標楷體"/>
                <w:kern w:val="0"/>
                <w:sz w:val="22"/>
                <w:szCs w:val="22"/>
              </w:rPr>
            </w:pPr>
            <w:r w:rsidRPr="00D55DC6">
              <w:rPr>
                <w:rFonts w:eastAsia="標楷體"/>
                <w:kern w:val="0"/>
                <w:sz w:val="22"/>
                <w:szCs w:val="22"/>
              </w:rPr>
              <w:t>-</w:t>
            </w:r>
            <w:r w:rsidRPr="00D55DC6">
              <w:rPr>
                <w:rFonts w:eastAsia="標楷體"/>
                <w:kern w:val="0"/>
                <w:sz w:val="22"/>
                <w:szCs w:val="22"/>
              </w:rPr>
              <w:t>清水岩童軍營區溫泉開發計畫案</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4,000 </w:t>
            </w:r>
          </w:p>
        </w:tc>
        <w:tc>
          <w:tcPr>
            <w:tcW w:w="1008" w:type="dxa"/>
            <w:tcBorders>
              <w:top w:val="nil"/>
              <w:left w:val="nil"/>
              <w:bottom w:val="single" w:sz="8" w:space="0" w:color="auto"/>
              <w:right w:val="single" w:sz="8"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4,000 </w:t>
            </w:r>
          </w:p>
        </w:tc>
        <w:tc>
          <w:tcPr>
            <w:tcW w:w="1008" w:type="dxa"/>
            <w:tcBorders>
              <w:top w:val="nil"/>
              <w:left w:val="nil"/>
              <w:bottom w:val="single" w:sz="8" w:space="0" w:color="auto"/>
              <w:right w:val="single" w:sz="8"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4,000 </w:t>
            </w:r>
          </w:p>
        </w:tc>
        <w:tc>
          <w:tcPr>
            <w:tcW w:w="1008" w:type="dxa"/>
            <w:tcBorders>
              <w:top w:val="nil"/>
              <w:left w:val="nil"/>
              <w:bottom w:val="single" w:sz="8" w:space="0" w:color="auto"/>
              <w:right w:val="single" w:sz="8"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4,000 </w:t>
            </w:r>
          </w:p>
        </w:tc>
        <w:tc>
          <w:tcPr>
            <w:tcW w:w="1008" w:type="dxa"/>
            <w:tcBorders>
              <w:top w:val="nil"/>
              <w:left w:val="nil"/>
              <w:bottom w:val="single" w:sz="8" w:space="0" w:color="auto"/>
              <w:right w:val="single" w:sz="8"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5,000 </w:t>
            </w:r>
          </w:p>
        </w:tc>
        <w:tc>
          <w:tcPr>
            <w:tcW w:w="1008" w:type="dxa"/>
            <w:tcBorders>
              <w:top w:val="nil"/>
              <w:left w:val="nil"/>
              <w:bottom w:val="single" w:sz="8" w:space="0" w:color="auto"/>
              <w:right w:val="single" w:sz="8"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5,000 </w:t>
            </w:r>
          </w:p>
        </w:tc>
        <w:tc>
          <w:tcPr>
            <w:tcW w:w="1008" w:type="dxa"/>
            <w:tcBorders>
              <w:top w:val="nil"/>
              <w:left w:val="nil"/>
              <w:bottom w:val="single" w:sz="8" w:space="0" w:color="auto"/>
              <w:right w:val="single" w:sz="8"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5,000 </w:t>
            </w:r>
          </w:p>
        </w:tc>
        <w:tc>
          <w:tcPr>
            <w:tcW w:w="1008" w:type="dxa"/>
            <w:tcBorders>
              <w:top w:val="nil"/>
              <w:left w:val="nil"/>
              <w:bottom w:val="single" w:sz="8" w:space="0" w:color="auto"/>
              <w:right w:val="single" w:sz="8"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5,000 </w:t>
            </w:r>
          </w:p>
        </w:tc>
        <w:tc>
          <w:tcPr>
            <w:tcW w:w="1008" w:type="dxa"/>
            <w:tcBorders>
              <w:top w:val="nil"/>
              <w:left w:val="nil"/>
              <w:bottom w:val="single" w:sz="8" w:space="0" w:color="auto"/>
              <w:right w:val="single" w:sz="8"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5,000 </w:t>
            </w:r>
          </w:p>
        </w:tc>
        <w:tc>
          <w:tcPr>
            <w:tcW w:w="1008" w:type="dxa"/>
            <w:tcBorders>
              <w:top w:val="nil"/>
              <w:left w:val="nil"/>
              <w:bottom w:val="single" w:sz="8" w:space="0" w:color="auto"/>
              <w:right w:val="single" w:sz="8"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5,000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auto" w:fill="FFFFFF"/>
            <w:vAlign w:val="center"/>
            <w:hideMark/>
          </w:tcPr>
          <w:p w:rsidR="005D6EF0" w:rsidRPr="00D55DC6" w:rsidRDefault="005D6EF0" w:rsidP="0038165F">
            <w:pPr>
              <w:widowControl/>
              <w:rPr>
                <w:rFonts w:eastAsia="標楷體"/>
                <w:kern w:val="0"/>
                <w:sz w:val="22"/>
                <w:szCs w:val="22"/>
              </w:rPr>
            </w:pPr>
            <w:r w:rsidRPr="00D55DC6">
              <w:rPr>
                <w:rFonts w:eastAsia="標楷體"/>
                <w:kern w:val="0"/>
                <w:sz w:val="22"/>
                <w:szCs w:val="22"/>
              </w:rPr>
              <w:t>-</w:t>
            </w:r>
            <w:r w:rsidRPr="00D55DC6">
              <w:rPr>
                <w:rFonts w:eastAsia="標楷體"/>
                <w:kern w:val="0"/>
                <w:sz w:val="22"/>
                <w:szCs w:val="22"/>
              </w:rPr>
              <w:t>谷關原住民技藝研習中心活化計畫案</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3,000 </w:t>
            </w:r>
          </w:p>
        </w:tc>
        <w:tc>
          <w:tcPr>
            <w:tcW w:w="1008" w:type="dxa"/>
            <w:tcBorders>
              <w:top w:val="single" w:sz="4" w:space="0" w:color="auto"/>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3,000 </w:t>
            </w:r>
          </w:p>
        </w:tc>
        <w:tc>
          <w:tcPr>
            <w:tcW w:w="1008" w:type="dxa"/>
            <w:tcBorders>
              <w:top w:val="single" w:sz="4" w:space="0" w:color="auto"/>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3,000 </w:t>
            </w:r>
          </w:p>
        </w:tc>
        <w:tc>
          <w:tcPr>
            <w:tcW w:w="1008" w:type="dxa"/>
            <w:tcBorders>
              <w:top w:val="single" w:sz="4" w:space="0" w:color="auto"/>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3,000 </w:t>
            </w:r>
          </w:p>
        </w:tc>
        <w:tc>
          <w:tcPr>
            <w:tcW w:w="1008" w:type="dxa"/>
            <w:tcBorders>
              <w:top w:val="single" w:sz="4" w:space="0" w:color="auto"/>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3,500 </w:t>
            </w:r>
          </w:p>
        </w:tc>
        <w:tc>
          <w:tcPr>
            <w:tcW w:w="1008" w:type="dxa"/>
            <w:tcBorders>
              <w:top w:val="single" w:sz="4" w:space="0" w:color="auto"/>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3,500 </w:t>
            </w:r>
          </w:p>
        </w:tc>
        <w:tc>
          <w:tcPr>
            <w:tcW w:w="1008" w:type="dxa"/>
            <w:tcBorders>
              <w:top w:val="single" w:sz="4" w:space="0" w:color="auto"/>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3,500 </w:t>
            </w:r>
          </w:p>
        </w:tc>
        <w:tc>
          <w:tcPr>
            <w:tcW w:w="1008" w:type="dxa"/>
            <w:tcBorders>
              <w:top w:val="single" w:sz="4" w:space="0" w:color="auto"/>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3,500 </w:t>
            </w:r>
          </w:p>
        </w:tc>
        <w:tc>
          <w:tcPr>
            <w:tcW w:w="1008" w:type="dxa"/>
            <w:tcBorders>
              <w:top w:val="single" w:sz="4" w:space="0" w:color="auto"/>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4,000 </w:t>
            </w:r>
          </w:p>
        </w:tc>
        <w:tc>
          <w:tcPr>
            <w:tcW w:w="1008" w:type="dxa"/>
            <w:tcBorders>
              <w:top w:val="single" w:sz="4" w:space="0" w:color="auto"/>
              <w:left w:val="nil"/>
              <w:bottom w:val="single" w:sz="4" w:space="0" w:color="auto"/>
              <w:right w:val="single" w:sz="8"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4,000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auto" w:fill="FFFFFF"/>
            <w:vAlign w:val="center"/>
            <w:hideMark/>
          </w:tcPr>
          <w:p w:rsidR="005D6EF0" w:rsidRPr="00D55DC6" w:rsidRDefault="005D6EF0" w:rsidP="0038165F">
            <w:pPr>
              <w:widowControl/>
              <w:rPr>
                <w:rFonts w:eastAsia="標楷體"/>
                <w:kern w:val="0"/>
                <w:sz w:val="22"/>
                <w:szCs w:val="22"/>
              </w:rPr>
            </w:pPr>
            <w:r w:rsidRPr="00D55DC6">
              <w:rPr>
                <w:rFonts w:eastAsia="標楷體"/>
                <w:kern w:val="0"/>
                <w:sz w:val="22"/>
                <w:szCs w:val="22"/>
              </w:rPr>
              <w:t>-</w:t>
            </w:r>
            <w:r w:rsidR="00EB48E8" w:rsidRPr="00D55DC6">
              <w:rPr>
                <w:rFonts w:eastAsia="標楷體"/>
                <w:kern w:val="0"/>
              </w:rPr>
              <w:t>谷關遊客中心活化計畫案</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7,000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7,000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7,000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7,000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8,000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8,000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8,000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8,000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9,000 </w:t>
            </w:r>
          </w:p>
        </w:tc>
        <w:tc>
          <w:tcPr>
            <w:tcW w:w="1008" w:type="dxa"/>
            <w:tcBorders>
              <w:top w:val="nil"/>
              <w:left w:val="nil"/>
              <w:bottom w:val="single" w:sz="4" w:space="0" w:color="auto"/>
              <w:right w:val="single" w:sz="8"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9,000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auto" w:fill="FFFFFF"/>
            <w:vAlign w:val="center"/>
            <w:hideMark/>
          </w:tcPr>
          <w:p w:rsidR="005D6EF0" w:rsidRPr="00D55DC6" w:rsidRDefault="005D6EF0" w:rsidP="0038165F">
            <w:pPr>
              <w:widowControl/>
              <w:rPr>
                <w:rFonts w:eastAsia="標楷體"/>
                <w:kern w:val="0"/>
                <w:sz w:val="22"/>
                <w:szCs w:val="22"/>
              </w:rPr>
            </w:pPr>
            <w:r w:rsidRPr="00D55DC6">
              <w:rPr>
                <w:rFonts w:eastAsia="標楷體"/>
                <w:kern w:val="0"/>
                <w:sz w:val="22"/>
                <w:szCs w:val="22"/>
              </w:rPr>
              <w:t>-</w:t>
            </w:r>
            <w:r w:rsidRPr="00D55DC6">
              <w:rPr>
                <w:rFonts w:eastAsia="標楷體"/>
                <w:kern w:val="0"/>
                <w:sz w:val="22"/>
                <w:szCs w:val="22"/>
              </w:rPr>
              <w:t>南庄遊客中心經營範圍擴大計畫案</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6,000 </w:t>
            </w:r>
          </w:p>
        </w:tc>
        <w:tc>
          <w:tcPr>
            <w:tcW w:w="1008" w:type="dxa"/>
            <w:tcBorders>
              <w:top w:val="nil"/>
              <w:left w:val="nil"/>
              <w:bottom w:val="single" w:sz="4" w:space="0" w:color="auto"/>
              <w:right w:val="single" w:sz="8"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6,000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auto" w:fill="FFFFFF"/>
            <w:vAlign w:val="center"/>
            <w:hideMark/>
          </w:tcPr>
          <w:p w:rsidR="005D6EF0" w:rsidRPr="00D55DC6" w:rsidRDefault="005D6EF0" w:rsidP="0038165F">
            <w:pPr>
              <w:widowControl/>
              <w:rPr>
                <w:rFonts w:eastAsia="標楷體"/>
                <w:kern w:val="0"/>
                <w:sz w:val="22"/>
                <w:szCs w:val="22"/>
              </w:rPr>
            </w:pPr>
            <w:r w:rsidRPr="00D55DC6">
              <w:rPr>
                <w:rFonts w:eastAsia="標楷體"/>
                <w:kern w:val="0"/>
                <w:sz w:val="22"/>
                <w:szCs w:val="22"/>
              </w:rPr>
              <w:t>-</w:t>
            </w:r>
            <w:r w:rsidRPr="00D55DC6">
              <w:rPr>
                <w:rFonts w:eastAsia="標楷體"/>
                <w:kern w:val="0"/>
                <w:sz w:val="22"/>
                <w:szCs w:val="22"/>
              </w:rPr>
              <w:t>八卦山自行車環教園區整體開發案</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4,500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5,000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auto" w:fill="FFFFFF"/>
            <w:vAlign w:val="center"/>
            <w:hideMark/>
          </w:tcPr>
          <w:p w:rsidR="005D6EF0" w:rsidRPr="00D55DC6" w:rsidRDefault="005D6EF0" w:rsidP="0038165F">
            <w:pPr>
              <w:widowControl/>
              <w:rPr>
                <w:rFonts w:eastAsia="標楷體"/>
                <w:kern w:val="0"/>
                <w:sz w:val="22"/>
                <w:szCs w:val="22"/>
              </w:rPr>
            </w:pPr>
            <w:r w:rsidRPr="00D55DC6">
              <w:rPr>
                <w:rFonts w:eastAsia="標楷體"/>
                <w:kern w:val="0"/>
                <w:sz w:val="22"/>
                <w:szCs w:val="22"/>
              </w:rPr>
              <w:t>-</w:t>
            </w:r>
            <w:r w:rsidRPr="00D55DC6">
              <w:rPr>
                <w:rFonts w:eastAsia="標楷體"/>
                <w:kern w:val="0"/>
                <w:sz w:val="22"/>
                <w:szCs w:val="22"/>
              </w:rPr>
              <w:t>松柏嶺天空步道案</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2,000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3,000 </w:t>
            </w:r>
          </w:p>
        </w:tc>
        <w:tc>
          <w:tcPr>
            <w:tcW w:w="1008" w:type="dxa"/>
            <w:tcBorders>
              <w:top w:val="nil"/>
              <w:left w:val="nil"/>
              <w:bottom w:val="single" w:sz="4" w:space="0" w:color="auto"/>
              <w:right w:val="single" w:sz="8"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3,000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auto" w:fill="FFFFFF"/>
            <w:vAlign w:val="center"/>
            <w:hideMark/>
          </w:tcPr>
          <w:p w:rsidR="005D6EF0" w:rsidRPr="00D55DC6" w:rsidRDefault="005D6EF0" w:rsidP="0038165F">
            <w:pPr>
              <w:widowControl/>
              <w:rPr>
                <w:rFonts w:eastAsia="標楷體"/>
                <w:kern w:val="0"/>
                <w:sz w:val="22"/>
                <w:szCs w:val="22"/>
              </w:rPr>
            </w:pPr>
            <w:r w:rsidRPr="00D55DC6">
              <w:rPr>
                <w:rFonts w:eastAsia="標楷體"/>
                <w:kern w:val="0"/>
                <w:sz w:val="22"/>
                <w:szCs w:val="22"/>
              </w:rPr>
              <w:t>-</w:t>
            </w:r>
            <w:r w:rsidRPr="00D55DC6">
              <w:rPr>
                <w:rFonts w:eastAsia="標楷體"/>
                <w:kern w:val="0"/>
                <w:sz w:val="22"/>
                <w:szCs w:val="22"/>
              </w:rPr>
              <w:t>峨嵋湖觀光整體發展計畫案</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nil"/>
              <w:bottom w:val="single" w:sz="4" w:space="0" w:color="auto"/>
              <w:right w:val="single" w:sz="8"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auto" w:fill="FFFFFF"/>
            <w:vAlign w:val="center"/>
            <w:hideMark/>
          </w:tcPr>
          <w:p w:rsidR="005D6EF0" w:rsidRPr="00D55DC6" w:rsidRDefault="005D6EF0" w:rsidP="0038165F">
            <w:pPr>
              <w:widowControl/>
              <w:rPr>
                <w:rFonts w:eastAsia="標楷體"/>
                <w:kern w:val="0"/>
                <w:sz w:val="22"/>
                <w:szCs w:val="22"/>
              </w:rPr>
            </w:pPr>
            <w:r w:rsidRPr="00D55DC6">
              <w:rPr>
                <w:rFonts w:eastAsia="標楷體"/>
                <w:kern w:val="0"/>
                <w:sz w:val="22"/>
                <w:szCs w:val="22"/>
              </w:rPr>
              <w:t>-</w:t>
            </w:r>
            <w:r w:rsidRPr="00D55DC6">
              <w:rPr>
                <w:rFonts w:eastAsia="標楷體"/>
                <w:kern w:val="0"/>
                <w:sz w:val="22"/>
                <w:szCs w:val="22"/>
              </w:rPr>
              <w:t>北埔冷泉整體園區開發案</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nil"/>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nil"/>
              <w:bottom w:val="single" w:sz="4" w:space="0" w:color="auto"/>
              <w:right w:val="single" w:sz="8"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000000" w:fill="FFC000"/>
            <w:vAlign w:val="center"/>
            <w:hideMark/>
          </w:tcPr>
          <w:p w:rsidR="005D6EF0" w:rsidRPr="00D55DC6" w:rsidRDefault="005D6EF0" w:rsidP="0038165F">
            <w:pPr>
              <w:widowControl/>
              <w:rPr>
                <w:rFonts w:eastAsia="標楷體"/>
                <w:kern w:val="0"/>
                <w:sz w:val="22"/>
                <w:szCs w:val="22"/>
              </w:rPr>
            </w:pPr>
            <w:r w:rsidRPr="00D55DC6">
              <w:rPr>
                <w:rFonts w:eastAsia="標楷體"/>
                <w:kern w:val="0"/>
                <w:sz w:val="22"/>
                <w:szCs w:val="22"/>
              </w:rPr>
              <w:t>-</w:t>
            </w:r>
            <w:r w:rsidRPr="00D55DC6">
              <w:rPr>
                <w:rFonts w:eastAsia="標楷體"/>
                <w:kern w:val="0"/>
                <w:sz w:val="22"/>
                <w:szCs w:val="22"/>
              </w:rPr>
              <w:t>彰化溪州費茲洛公園觀光發展計畫案</w:t>
            </w:r>
            <w:r w:rsidRPr="00D55DC6">
              <w:rPr>
                <w:rFonts w:eastAsia="標楷體"/>
                <w:kern w:val="0"/>
                <w:sz w:val="22"/>
                <w:szCs w:val="22"/>
              </w:rPr>
              <w:t>(</w:t>
            </w:r>
            <w:r w:rsidRPr="00D55DC6">
              <w:rPr>
                <w:rFonts w:eastAsia="標楷體"/>
                <w:kern w:val="0"/>
                <w:sz w:val="22"/>
                <w:szCs w:val="22"/>
              </w:rPr>
              <w:t>轄域外</w:t>
            </w:r>
            <w:r w:rsidRPr="00D55DC6">
              <w:rPr>
                <w:rFonts w:eastAsia="標楷體"/>
                <w:kern w:val="0"/>
                <w:sz w:val="22"/>
                <w:szCs w:val="22"/>
              </w:rPr>
              <w:t>)</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1,500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2,000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2,000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2,000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2,000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2,000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2,000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000000" w:fill="FFC000"/>
            <w:vAlign w:val="center"/>
            <w:hideMark/>
          </w:tcPr>
          <w:p w:rsidR="005D6EF0" w:rsidRPr="00D55DC6" w:rsidRDefault="005D6EF0" w:rsidP="0038165F">
            <w:pPr>
              <w:widowControl/>
              <w:rPr>
                <w:rFonts w:eastAsia="標楷體"/>
                <w:kern w:val="0"/>
                <w:sz w:val="22"/>
                <w:szCs w:val="22"/>
              </w:rPr>
            </w:pPr>
            <w:r w:rsidRPr="00D55DC6">
              <w:rPr>
                <w:rFonts w:eastAsia="標楷體"/>
                <w:kern w:val="0"/>
                <w:sz w:val="22"/>
                <w:szCs w:val="22"/>
              </w:rPr>
              <w:t>-</w:t>
            </w:r>
            <w:r w:rsidRPr="00D55DC6">
              <w:rPr>
                <w:rFonts w:eastAsia="標楷體"/>
                <w:kern w:val="0"/>
                <w:sz w:val="22"/>
                <w:szCs w:val="22"/>
              </w:rPr>
              <w:t>「中臺灣鐵路觀光資源整合與活化推動計畫」案</w:t>
            </w:r>
            <w:r w:rsidRPr="00D55DC6">
              <w:rPr>
                <w:rFonts w:eastAsia="標楷體"/>
                <w:kern w:val="0"/>
                <w:sz w:val="22"/>
                <w:szCs w:val="22"/>
              </w:rPr>
              <w:t>(</w:t>
            </w:r>
            <w:r w:rsidRPr="00D55DC6">
              <w:rPr>
                <w:rFonts w:eastAsia="標楷體"/>
                <w:kern w:val="0"/>
                <w:sz w:val="22"/>
                <w:szCs w:val="22"/>
              </w:rPr>
              <w:t>轄域外</w:t>
            </w:r>
            <w:r w:rsidRPr="00D55DC6">
              <w:rPr>
                <w:rFonts w:eastAsia="標楷體"/>
                <w:kern w:val="0"/>
                <w:sz w:val="22"/>
                <w:szCs w:val="22"/>
              </w:rPr>
              <w:t>)</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2,500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2,500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2,500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2,500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3,000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3,000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3,000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3,000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3,000 </w:t>
            </w:r>
          </w:p>
        </w:tc>
        <w:tc>
          <w:tcPr>
            <w:tcW w:w="1008" w:type="dxa"/>
            <w:tcBorders>
              <w:top w:val="nil"/>
              <w:left w:val="single" w:sz="8" w:space="0" w:color="auto"/>
              <w:bottom w:val="single" w:sz="4" w:space="0" w:color="auto"/>
              <w:right w:val="single" w:sz="4" w:space="0" w:color="auto"/>
            </w:tcBorders>
            <w:shd w:val="clear" w:color="auto" w:fill="FFFFFF"/>
            <w:vAlign w:val="center"/>
          </w:tcPr>
          <w:p w:rsidR="005D6EF0" w:rsidRPr="00D55DC6" w:rsidRDefault="005D6EF0" w:rsidP="0038165F">
            <w:pPr>
              <w:jc w:val="right"/>
              <w:rPr>
                <w:rFonts w:eastAsia="標楷體"/>
              </w:rPr>
            </w:pPr>
            <w:r w:rsidRPr="00D55DC6">
              <w:rPr>
                <w:rFonts w:eastAsia="標楷體"/>
              </w:rPr>
              <w:t xml:space="preserve">3,000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auto" w:fill="auto"/>
            <w:vAlign w:val="center"/>
            <w:hideMark/>
          </w:tcPr>
          <w:p w:rsidR="005D6EF0" w:rsidRPr="00D55DC6" w:rsidRDefault="005D6EF0" w:rsidP="0038165F">
            <w:pPr>
              <w:widowControl/>
              <w:jc w:val="both"/>
              <w:rPr>
                <w:rFonts w:eastAsia="標楷體"/>
                <w:b/>
                <w:bCs/>
                <w:kern w:val="0"/>
                <w:sz w:val="22"/>
                <w:szCs w:val="22"/>
              </w:rPr>
            </w:pPr>
            <w:r w:rsidRPr="00D55DC6">
              <w:rPr>
                <w:rFonts w:eastAsia="標楷體"/>
                <w:b/>
                <w:bCs/>
                <w:kern w:val="0"/>
                <w:sz w:val="22"/>
                <w:szCs w:val="22"/>
              </w:rPr>
              <w:t>特色創意伴手禮開發收入</w:t>
            </w:r>
          </w:p>
        </w:tc>
        <w:tc>
          <w:tcPr>
            <w:tcW w:w="1008" w:type="dxa"/>
            <w:tcBorders>
              <w:top w:val="nil"/>
              <w:left w:val="nil"/>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500 </w:t>
            </w:r>
          </w:p>
        </w:tc>
        <w:tc>
          <w:tcPr>
            <w:tcW w:w="1008" w:type="dxa"/>
            <w:tcBorders>
              <w:top w:val="nil"/>
              <w:left w:val="single" w:sz="8" w:space="0" w:color="auto"/>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500 </w:t>
            </w:r>
          </w:p>
        </w:tc>
        <w:tc>
          <w:tcPr>
            <w:tcW w:w="1008" w:type="dxa"/>
            <w:tcBorders>
              <w:top w:val="nil"/>
              <w:left w:val="single" w:sz="8" w:space="0" w:color="auto"/>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500 </w:t>
            </w:r>
          </w:p>
        </w:tc>
        <w:tc>
          <w:tcPr>
            <w:tcW w:w="1008" w:type="dxa"/>
            <w:tcBorders>
              <w:top w:val="nil"/>
              <w:left w:val="single" w:sz="8" w:space="0" w:color="auto"/>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500 </w:t>
            </w:r>
          </w:p>
        </w:tc>
        <w:tc>
          <w:tcPr>
            <w:tcW w:w="1008" w:type="dxa"/>
            <w:tcBorders>
              <w:top w:val="nil"/>
              <w:left w:val="nil"/>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600 </w:t>
            </w:r>
          </w:p>
        </w:tc>
        <w:tc>
          <w:tcPr>
            <w:tcW w:w="1008" w:type="dxa"/>
            <w:tcBorders>
              <w:top w:val="nil"/>
              <w:left w:val="nil"/>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600 </w:t>
            </w:r>
          </w:p>
        </w:tc>
        <w:tc>
          <w:tcPr>
            <w:tcW w:w="1008" w:type="dxa"/>
            <w:tcBorders>
              <w:top w:val="nil"/>
              <w:left w:val="nil"/>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600 </w:t>
            </w:r>
          </w:p>
        </w:tc>
        <w:tc>
          <w:tcPr>
            <w:tcW w:w="1008" w:type="dxa"/>
            <w:tcBorders>
              <w:top w:val="nil"/>
              <w:left w:val="nil"/>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600 </w:t>
            </w:r>
          </w:p>
        </w:tc>
        <w:tc>
          <w:tcPr>
            <w:tcW w:w="1008" w:type="dxa"/>
            <w:tcBorders>
              <w:top w:val="nil"/>
              <w:left w:val="nil"/>
              <w:bottom w:val="single" w:sz="4" w:space="0" w:color="auto"/>
              <w:right w:val="single" w:sz="4"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600 </w:t>
            </w:r>
          </w:p>
        </w:tc>
        <w:tc>
          <w:tcPr>
            <w:tcW w:w="1008" w:type="dxa"/>
            <w:tcBorders>
              <w:top w:val="nil"/>
              <w:left w:val="nil"/>
              <w:bottom w:val="single" w:sz="4" w:space="0" w:color="auto"/>
              <w:right w:val="single" w:sz="8" w:space="0" w:color="auto"/>
            </w:tcBorders>
            <w:shd w:val="clear" w:color="auto" w:fill="auto"/>
            <w:vAlign w:val="center"/>
          </w:tcPr>
          <w:p w:rsidR="005D6EF0" w:rsidRPr="00D55DC6" w:rsidRDefault="005D6EF0" w:rsidP="0038165F">
            <w:pPr>
              <w:jc w:val="right"/>
              <w:rPr>
                <w:rFonts w:eastAsia="標楷體"/>
                <w:b/>
                <w:bCs/>
              </w:rPr>
            </w:pPr>
            <w:r w:rsidRPr="00D55DC6">
              <w:rPr>
                <w:rFonts w:eastAsia="標楷體"/>
                <w:b/>
                <w:bCs/>
              </w:rPr>
              <w:t xml:space="preserve">600 </w:t>
            </w:r>
          </w:p>
        </w:tc>
      </w:tr>
      <w:tr w:rsidR="001D0350" w:rsidRPr="00D55DC6" w:rsidTr="00A82A80">
        <w:trPr>
          <w:jc w:val="center"/>
        </w:trPr>
        <w:tc>
          <w:tcPr>
            <w:tcW w:w="5846" w:type="dxa"/>
            <w:tcBorders>
              <w:top w:val="nil"/>
              <w:left w:val="single" w:sz="8" w:space="0" w:color="auto"/>
              <w:bottom w:val="single" w:sz="8" w:space="0" w:color="auto"/>
              <w:right w:val="single" w:sz="8" w:space="0" w:color="auto"/>
            </w:tcBorders>
            <w:shd w:val="clear" w:color="000000" w:fill="FF99CC"/>
            <w:vAlign w:val="center"/>
            <w:hideMark/>
          </w:tcPr>
          <w:p w:rsidR="005D6EF0" w:rsidRPr="00D55DC6" w:rsidRDefault="005D6EF0" w:rsidP="0038165F">
            <w:pPr>
              <w:widowControl/>
              <w:jc w:val="distribute"/>
              <w:rPr>
                <w:rFonts w:eastAsia="標楷體"/>
                <w:b/>
                <w:bCs/>
                <w:kern w:val="0"/>
                <w:sz w:val="22"/>
                <w:szCs w:val="22"/>
              </w:rPr>
            </w:pPr>
            <w:r w:rsidRPr="00D55DC6">
              <w:rPr>
                <w:rFonts w:eastAsia="標楷體"/>
                <w:b/>
                <w:bCs/>
                <w:kern w:val="0"/>
                <w:sz w:val="22"/>
                <w:szCs w:val="22"/>
              </w:rPr>
              <w:t>總計</w:t>
            </w:r>
          </w:p>
        </w:tc>
        <w:tc>
          <w:tcPr>
            <w:tcW w:w="1008" w:type="dxa"/>
            <w:tcBorders>
              <w:top w:val="nil"/>
              <w:left w:val="single" w:sz="8" w:space="0" w:color="auto"/>
              <w:bottom w:val="single" w:sz="8" w:space="0" w:color="auto"/>
              <w:right w:val="single" w:sz="4" w:space="0" w:color="auto"/>
            </w:tcBorders>
            <w:shd w:val="clear" w:color="000000" w:fill="FF99CC"/>
            <w:vAlign w:val="center"/>
          </w:tcPr>
          <w:p w:rsidR="005D6EF0" w:rsidRPr="00D55DC6" w:rsidRDefault="005D6EF0" w:rsidP="0038165F">
            <w:pPr>
              <w:jc w:val="center"/>
              <w:rPr>
                <w:rFonts w:eastAsia="標楷體"/>
                <w:b/>
                <w:bCs/>
              </w:rPr>
            </w:pPr>
            <w:r w:rsidRPr="00D55DC6">
              <w:rPr>
                <w:rFonts w:eastAsia="標楷體"/>
                <w:b/>
                <w:bCs/>
              </w:rPr>
              <w:t xml:space="preserve">47,700 </w:t>
            </w:r>
          </w:p>
        </w:tc>
        <w:tc>
          <w:tcPr>
            <w:tcW w:w="1008" w:type="dxa"/>
            <w:tcBorders>
              <w:top w:val="nil"/>
              <w:left w:val="nil"/>
              <w:bottom w:val="single" w:sz="8" w:space="0" w:color="auto"/>
              <w:right w:val="single" w:sz="4" w:space="0" w:color="auto"/>
            </w:tcBorders>
            <w:shd w:val="clear" w:color="000000" w:fill="FF99CC"/>
            <w:vAlign w:val="center"/>
          </w:tcPr>
          <w:p w:rsidR="005D6EF0" w:rsidRPr="00D55DC6" w:rsidRDefault="005D6EF0" w:rsidP="0038165F">
            <w:pPr>
              <w:jc w:val="center"/>
              <w:rPr>
                <w:rFonts w:eastAsia="標楷體"/>
                <w:b/>
                <w:bCs/>
              </w:rPr>
            </w:pPr>
            <w:r w:rsidRPr="00D55DC6">
              <w:rPr>
                <w:rFonts w:eastAsia="標楷體"/>
                <w:b/>
                <w:bCs/>
              </w:rPr>
              <w:t xml:space="preserve">47,700 </w:t>
            </w:r>
          </w:p>
        </w:tc>
        <w:tc>
          <w:tcPr>
            <w:tcW w:w="1008" w:type="dxa"/>
            <w:tcBorders>
              <w:top w:val="nil"/>
              <w:left w:val="nil"/>
              <w:bottom w:val="single" w:sz="8" w:space="0" w:color="auto"/>
              <w:right w:val="single" w:sz="4" w:space="0" w:color="auto"/>
            </w:tcBorders>
            <w:shd w:val="clear" w:color="000000" w:fill="FF99CC"/>
            <w:vAlign w:val="center"/>
          </w:tcPr>
          <w:p w:rsidR="005D6EF0" w:rsidRPr="00D55DC6" w:rsidRDefault="005D6EF0" w:rsidP="0038165F">
            <w:pPr>
              <w:jc w:val="center"/>
              <w:rPr>
                <w:rFonts w:eastAsia="標楷體"/>
                <w:b/>
                <w:bCs/>
              </w:rPr>
            </w:pPr>
            <w:r w:rsidRPr="00D55DC6">
              <w:rPr>
                <w:rFonts w:eastAsia="標楷體"/>
                <w:b/>
                <w:bCs/>
              </w:rPr>
              <w:t xml:space="preserve">47,700 </w:t>
            </w:r>
          </w:p>
        </w:tc>
        <w:tc>
          <w:tcPr>
            <w:tcW w:w="1008" w:type="dxa"/>
            <w:tcBorders>
              <w:top w:val="nil"/>
              <w:left w:val="nil"/>
              <w:bottom w:val="single" w:sz="8" w:space="0" w:color="auto"/>
              <w:right w:val="single" w:sz="4" w:space="0" w:color="auto"/>
            </w:tcBorders>
            <w:shd w:val="clear" w:color="000000" w:fill="FF99CC"/>
            <w:vAlign w:val="center"/>
          </w:tcPr>
          <w:p w:rsidR="005D6EF0" w:rsidRPr="00D55DC6" w:rsidRDefault="005D6EF0" w:rsidP="0038165F">
            <w:pPr>
              <w:jc w:val="center"/>
              <w:rPr>
                <w:rFonts w:eastAsia="標楷體"/>
                <w:b/>
                <w:bCs/>
              </w:rPr>
            </w:pPr>
            <w:r w:rsidRPr="00D55DC6">
              <w:rPr>
                <w:rFonts w:eastAsia="標楷體"/>
                <w:b/>
                <w:bCs/>
              </w:rPr>
              <w:t xml:space="preserve">47,700 </w:t>
            </w:r>
          </w:p>
        </w:tc>
        <w:tc>
          <w:tcPr>
            <w:tcW w:w="1008" w:type="dxa"/>
            <w:tcBorders>
              <w:top w:val="nil"/>
              <w:left w:val="nil"/>
              <w:bottom w:val="single" w:sz="8" w:space="0" w:color="auto"/>
              <w:right w:val="single" w:sz="4" w:space="0" w:color="auto"/>
            </w:tcBorders>
            <w:shd w:val="clear" w:color="000000" w:fill="FF99CC"/>
            <w:vAlign w:val="center"/>
          </w:tcPr>
          <w:p w:rsidR="005D6EF0" w:rsidRPr="00D55DC6" w:rsidRDefault="005D6EF0" w:rsidP="0038165F">
            <w:pPr>
              <w:jc w:val="center"/>
              <w:rPr>
                <w:rFonts w:eastAsia="標楷體"/>
                <w:b/>
                <w:bCs/>
              </w:rPr>
            </w:pPr>
            <w:r w:rsidRPr="00D55DC6">
              <w:rPr>
                <w:rFonts w:eastAsia="標楷體"/>
                <w:b/>
                <w:bCs/>
              </w:rPr>
              <w:t xml:space="preserve">55,020 </w:t>
            </w:r>
          </w:p>
        </w:tc>
        <w:tc>
          <w:tcPr>
            <w:tcW w:w="1008" w:type="dxa"/>
            <w:tcBorders>
              <w:top w:val="nil"/>
              <w:left w:val="nil"/>
              <w:bottom w:val="single" w:sz="8" w:space="0" w:color="auto"/>
              <w:right w:val="single" w:sz="4" w:space="0" w:color="auto"/>
            </w:tcBorders>
            <w:shd w:val="clear" w:color="000000" w:fill="FF99CC"/>
            <w:vAlign w:val="center"/>
          </w:tcPr>
          <w:p w:rsidR="005D6EF0" w:rsidRPr="00D55DC6" w:rsidRDefault="005D6EF0" w:rsidP="0038165F">
            <w:pPr>
              <w:jc w:val="center"/>
              <w:rPr>
                <w:rFonts w:eastAsia="標楷體"/>
                <w:b/>
                <w:bCs/>
              </w:rPr>
            </w:pPr>
            <w:r w:rsidRPr="00D55DC6">
              <w:rPr>
                <w:rFonts w:eastAsia="標楷體"/>
                <w:b/>
                <w:bCs/>
              </w:rPr>
              <w:t xml:space="preserve">55,020 </w:t>
            </w:r>
          </w:p>
        </w:tc>
        <w:tc>
          <w:tcPr>
            <w:tcW w:w="1008" w:type="dxa"/>
            <w:tcBorders>
              <w:top w:val="nil"/>
              <w:left w:val="nil"/>
              <w:bottom w:val="single" w:sz="8" w:space="0" w:color="auto"/>
              <w:right w:val="single" w:sz="4" w:space="0" w:color="auto"/>
            </w:tcBorders>
            <w:shd w:val="clear" w:color="000000" w:fill="FF99CC"/>
            <w:vAlign w:val="center"/>
          </w:tcPr>
          <w:p w:rsidR="005D6EF0" w:rsidRPr="00D55DC6" w:rsidRDefault="005D6EF0" w:rsidP="0038165F">
            <w:pPr>
              <w:jc w:val="center"/>
              <w:rPr>
                <w:rFonts w:eastAsia="標楷體"/>
                <w:b/>
                <w:bCs/>
              </w:rPr>
            </w:pPr>
            <w:r w:rsidRPr="00D55DC6">
              <w:rPr>
                <w:rFonts w:eastAsia="標楷體"/>
                <w:b/>
                <w:bCs/>
              </w:rPr>
              <w:t xml:space="preserve">55,020 </w:t>
            </w:r>
          </w:p>
        </w:tc>
        <w:tc>
          <w:tcPr>
            <w:tcW w:w="1008" w:type="dxa"/>
            <w:tcBorders>
              <w:top w:val="nil"/>
              <w:left w:val="nil"/>
              <w:bottom w:val="single" w:sz="8" w:space="0" w:color="auto"/>
              <w:right w:val="single" w:sz="4" w:space="0" w:color="auto"/>
            </w:tcBorders>
            <w:shd w:val="clear" w:color="000000" w:fill="FF99CC"/>
            <w:vAlign w:val="center"/>
          </w:tcPr>
          <w:p w:rsidR="005D6EF0" w:rsidRPr="00D55DC6" w:rsidRDefault="005D6EF0" w:rsidP="0038165F">
            <w:pPr>
              <w:jc w:val="center"/>
              <w:rPr>
                <w:rFonts w:eastAsia="標楷體"/>
                <w:b/>
                <w:bCs/>
              </w:rPr>
            </w:pPr>
            <w:r w:rsidRPr="00D55DC6">
              <w:rPr>
                <w:rFonts w:eastAsia="標楷體"/>
                <w:b/>
                <w:bCs/>
              </w:rPr>
              <w:t xml:space="preserve">55,020 </w:t>
            </w:r>
          </w:p>
        </w:tc>
        <w:tc>
          <w:tcPr>
            <w:tcW w:w="1008" w:type="dxa"/>
            <w:tcBorders>
              <w:top w:val="nil"/>
              <w:left w:val="nil"/>
              <w:bottom w:val="single" w:sz="8" w:space="0" w:color="auto"/>
              <w:right w:val="single" w:sz="4" w:space="0" w:color="auto"/>
            </w:tcBorders>
            <w:shd w:val="clear" w:color="000000" w:fill="FF99CC"/>
            <w:vAlign w:val="center"/>
          </w:tcPr>
          <w:p w:rsidR="005D6EF0" w:rsidRPr="00D55DC6" w:rsidRDefault="005D6EF0" w:rsidP="0038165F">
            <w:pPr>
              <w:jc w:val="center"/>
              <w:rPr>
                <w:rFonts w:eastAsia="標楷體"/>
                <w:b/>
                <w:bCs/>
              </w:rPr>
            </w:pPr>
            <w:r w:rsidRPr="00D55DC6">
              <w:rPr>
                <w:rFonts w:eastAsia="標楷體"/>
                <w:b/>
                <w:bCs/>
              </w:rPr>
              <w:t xml:space="preserve">59,230 </w:t>
            </w:r>
          </w:p>
        </w:tc>
        <w:tc>
          <w:tcPr>
            <w:tcW w:w="1008" w:type="dxa"/>
            <w:tcBorders>
              <w:top w:val="nil"/>
              <w:left w:val="nil"/>
              <w:bottom w:val="single" w:sz="8" w:space="0" w:color="auto"/>
              <w:right w:val="single" w:sz="8" w:space="0" w:color="auto"/>
            </w:tcBorders>
            <w:shd w:val="clear" w:color="000000" w:fill="FF99CC"/>
            <w:vAlign w:val="center"/>
          </w:tcPr>
          <w:p w:rsidR="005D6EF0" w:rsidRPr="00D55DC6" w:rsidRDefault="005D6EF0" w:rsidP="0038165F">
            <w:pPr>
              <w:jc w:val="center"/>
              <w:rPr>
                <w:rFonts w:eastAsia="標楷體"/>
                <w:b/>
                <w:bCs/>
              </w:rPr>
            </w:pPr>
            <w:r w:rsidRPr="00D55DC6">
              <w:rPr>
                <w:rFonts w:eastAsia="標楷體"/>
                <w:b/>
                <w:bCs/>
              </w:rPr>
              <w:t xml:space="preserve">59,230 </w:t>
            </w:r>
          </w:p>
        </w:tc>
      </w:tr>
    </w:tbl>
    <w:p w:rsidR="005D6EF0" w:rsidRPr="00D55DC6" w:rsidRDefault="005D6EF0" w:rsidP="009D33BA">
      <w:pPr>
        <w:spacing w:beforeLines="50" w:before="180" w:line="480" w:lineRule="exact"/>
        <w:ind w:rightChars="-435" w:right="-1044"/>
        <w:sectPr w:rsidR="005D6EF0" w:rsidRPr="00D55DC6" w:rsidSect="00A82A80">
          <w:pgSz w:w="16838" w:h="11906" w:orient="landscape" w:code="9"/>
          <w:pgMar w:top="851" w:right="851" w:bottom="851" w:left="851" w:header="567" w:footer="567" w:gutter="0"/>
          <w:cols w:space="425"/>
          <w:docGrid w:type="linesAndChars" w:linePitch="360"/>
        </w:sectPr>
      </w:pPr>
    </w:p>
    <w:p w:rsidR="005D6EF0" w:rsidRPr="00D55DC6" w:rsidRDefault="005D6EF0" w:rsidP="009D33BA">
      <w:pPr>
        <w:keepNext/>
        <w:spacing w:beforeLines="50" w:before="180" w:afterLines="50" w:after="180" w:line="480" w:lineRule="exact"/>
        <w:ind w:rightChars="-316" w:right="-758"/>
        <w:rPr>
          <w:rFonts w:eastAsia="標楷體"/>
          <w:b/>
          <w:bCs/>
        </w:rPr>
      </w:pPr>
      <w:r w:rsidRPr="00D55DC6">
        <w:rPr>
          <w:rFonts w:eastAsia="標楷體"/>
          <w:b/>
          <w:bCs/>
        </w:rPr>
        <w:lastRenderedPageBreak/>
        <w:t>表</w:t>
      </w:r>
      <w:r w:rsidRPr="00D55DC6">
        <w:rPr>
          <w:rFonts w:eastAsia="標楷體"/>
          <w:b/>
          <w:bCs/>
        </w:rPr>
        <w:t>3</w:t>
      </w:r>
      <w:r w:rsidRPr="00D55DC6">
        <w:rPr>
          <w:rFonts w:eastAsia="標楷體"/>
          <w:b/>
          <w:bCs/>
        </w:rPr>
        <w:t xml:space="preserve">　本修正計畫之自償率分析表</w:t>
      </w:r>
      <w:r w:rsidRPr="00D55DC6">
        <w:rPr>
          <w:rFonts w:eastAsia="標楷體"/>
          <w:b/>
          <w:bCs/>
        </w:rPr>
        <w:t xml:space="preserve">                                                 </w:t>
      </w:r>
      <w:r w:rsidRPr="00D55DC6">
        <w:rPr>
          <w:rFonts w:eastAsia="標楷體"/>
          <w:b/>
          <w:bCs/>
        </w:rPr>
        <w:t>（單位：千元）</w:t>
      </w:r>
    </w:p>
    <w:tbl>
      <w:tblPr>
        <w:tblW w:w="15255" w:type="dxa"/>
        <w:jc w:val="center"/>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88"/>
        <w:gridCol w:w="738"/>
        <w:gridCol w:w="752"/>
        <w:gridCol w:w="706"/>
        <w:gridCol w:w="706"/>
        <w:gridCol w:w="706"/>
        <w:gridCol w:w="706"/>
        <w:gridCol w:w="706"/>
        <w:gridCol w:w="706"/>
        <w:gridCol w:w="706"/>
        <w:gridCol w:w="706"/>
        <w:gridCol w:w="706"/>
        <w:gridCol w:w="706"/>
        <w:gridCol w:w="706"/>
        <w:gridCol w:w="706"/>
        <w:gridCol w:w="706"/>
        <w:gridCol w:w="706"/>
        <w:gridCol w:w="706"/>
        <w:gridCol w:w="706"/>
        <w:gridCol w:w="706"/>
        <w:gridCol w:w="798"/>
      </w:tblGrid>
      <w:tr w:rsidR="001D0350" w:rsidRPr="00D55DC6" w:rsidTr="00A82A80">
        <w:trPr>
          <w:trHeight w:val="732"/>
          <w:jc w:val="center"/>
        </w:trPr>
        <w:tc>
          <w:tcPr>
            <w:tcW w:w="1488" w:type="dxa"/>
            <w:shd w:val="clear" w:color="auto" w:fill="auto"/>
            <w:noWrap/>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年度</w:t>
            </w:r>
          </w:p>
        </w:tc>
        <w:tc>
          <w:tcPr>
            <w:tcW w:w="738" w:type="dxa"/>
            <w:shd w:val="clear" w:color="auto" w:fill="auto"/>
            <w:noWrap/>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103</w:t>
            </w:r>
          </w:p>
        </w:tc>
        <w:tc>
          <w:tcPr>
            <w:tcW w:w="752" w:type="dxa"/>
            <w:shd w:val="clear" w:color="auto" w:fill="auto"/>
            <w:noWrap/>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104</w:t>
            </w:r>
          </w:p>
        </w:tc>
        <w:tc>
          <w:tcPr>
            <w:tcW w:w="0" w:type="auto"/>
            <w:shd w:val="clear" w:color="auto" w:fill="auto"/>
            <w:noWrap/>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105</w:t>
            </w:r>
          </w:p>
        </w:tc>
        <w:tc>
          <w:tcPr>
            <w:tcW w:w="0" w:type="auto"/>
            <w:shd w:val="clear" w:color="auto" w:fill="auto"/>
            <w:noWrap/>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106</w:t>
            </w:r>
          </w:p>
        </w:tc>
        <w:tc>
          <w:tcPr>
            <w:tcW w:w="0" w:type="auto"/>
            <w:shd w:val="clear" w:color="auto" w:fill="auto"/>
            <w:noWrap/>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107</w:t>
            </w:r>
          </w:p>
        </w:tc>
        <w:tc>
          <w:tcPr>
            <w:tcW w:w="0" w:type="auto"/>
            <w:shd w:val="clear" w:color="auto" w:fill="auto"/>
            <w:noWrap/>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108</w:t>
            </w:r>
          </w:p>
        </w:tc>
        <w:tc>
          <w:tcPr>
            <w:tcW w:w="0" w:type="auto"/>
            <w:shd w:val="clear" w:color="auto" w:fill="auto"/>
            <w:noWrap/>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109</w:t>
            </w:r>
          </w:p>
        </w:tc>
        <w:tc>
          <w:tcPr>
            <w:tcW w:w="0" w:type="auto"/>
            <w:shd w:val="clear" w:color="auto" w:fill="auto"/>
            <w:noWrap/>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110</w:t>
            </w:r>
          </w:p>
        </w:tc>
        <w:tc>
          <w:tcPr>
            <w:tcW w:w="0" w:type="auto"/>
            <w:shd w:val="clear" w:color="auto" w:fill="auto"/>
            <w:noWrap/>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111</w:t>
            </w:r>
          </w:p>
        </w:tc>
        <w:tc>
          <w:tcPr>
            <w:tcW w:w="0" w:type="auto"/>
            <w:shd w:val="clear" w:color="auto" w:fill="auto"/>
            <w:noWrap/>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112</w:t>
            </w:r>
          </w:p>
        </w:tc>
        <w:tc>
          <w:tcPr>
            <w:tcW w:w="0" w:type="auto"/>
            <w:shd w:val="clear" w:color="auto" w:fill="auto"/>
            <w:noWrap/>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113</w:t>
            </w:r>
          </w:p>
        </w:tc>
        <w:tc>
          <w:tcPr>
            <w:tcW w:w="0" w:type="auto"/>
            <w:shd w:val="clear" w:color="auto" w:fill="auto"/>
            <w:noWrap/>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114</w:t>
            </w:r>
          </w:p>
        </w:tc>
        <w:tc>
          <w:tcPr>
            <w:tcW w:w="0" w:type="auto"/>
            <w:shd w:val="clear" w:color="auto" w:fill="auto"/>
            <w:noWrap/>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115</w:t>
            </w:r>
          </w:p>
        </w:tc>
        <w:tc>
          <w:tcPr>
            <w:tcW w:w="0" w:type="auto"/>
            <w:shd w:val="clear" w:color="auto" w:fill="auto"/>
            <w:noWrap/>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116</w:t>
            </w:r>
          </w:p>
        </w:tc>
        <w:tc>
          <w:tcPr>
            <w:tcW w:w="0" w:type="auto"/>
            <w:shd w:val="clear" w:color="auto" w:fill="auto"/>
            <w:noWrap/>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117</w:t>
            </w:r>
          </w:p>
        </w:tc>
        <w:tc>
          <w:tcPr>
            <w:tcW w:w="0" w:type="auto"/>
            <w:shd w:val="clear" w:color="auto" w:fill="auto"/>
            <w:noWrap/>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118</w:t>
            </w:r>
          </w:p>
        </w:tc>
        <w:tc>
          <w:tcPr>
            <w:tcW w:w="0" w:type="auto"/>
            <w:shd w:val="clear" w:color="auto" w:fill="auto"/>
            <w:noWrap/>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119</w:t>
            </w:r>
          </w:p>
        </w:tc>
        <w:tc>
          <w:tcPr>
            <w:tcW w:w="0" w:type="auto"/>
            <w:shd w:val="clear" w:color="auto" w:fill="auto"/>
            <w:noWrap/>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120</w:t>
            </w:r>
          </w:p>
        </w:tc>
        <w:tc>
          <w:tcPr>
            <w:tcW w:w="0" w:type="auto"/>
            <w:shd w:val="clear" w:color="auto" w:fill="auto"/>
            <w:noWrap/>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121</w:t>
            </w:r>
          </w:p>
        </w:tc>
        <w:tc>
          <w:tcPr>
            <w:tcW w:w="798" w:type="dxa"/>
            <w:shd w:val="clear" w:color="auto" w:fill="auto"/>
            <w:noWrap/>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122</w:t>
            </w:r>
          </w:p>
        </w:tc>
      </w:tr>
      <w:tr w:rsidR="001D0350" w:rsidRPr="00D55DC6" w:rsidTr="00A82A80">
        <w:trPr>
          <w:trHeight w:val="732"/>
          <w:jc w:val="center"/>
        </w:trPr>
        <w:tc>
          <w:tcPr>
            <w:tcW w:w="1488" w:type="dxa"/>
            <w:shd w:val="clear" w:color="000000" w:fill="FFFF00"/>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建設計畫</w:t>
            </w:r>
          </w:p>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總預算</w:t>
            </w:r>
          </w:p>
        </w:tc>
        <w:tc>
          <w:tcPr>
            <w:tcW w:w="738" w:type="dxa"/>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196,300</w:t>
            </w:r>
          </w:p>
        </w:tc>
        <w:tc>
          <w:tcPr>
            <w:tcW w:w="752" w:type="dxa"/>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176,000</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180,000</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180,000</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180,000</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180,000</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160,000</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150,000</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140,000</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130,000</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120,000</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110,000</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100,000</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100,000</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100,000</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100,000</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100,000</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100,000</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100,000</w:t>
            </w:r>
          </w:p>
        </w:tc>
        <w:tc>
          <w:tcPr>
            <w:tcW w:w="798" w:type="dxa"/>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100,000</w:t>
            </w:r>
          </w:p>
        </w:tc>
      </w:tr>
      <w:tr w:rsidR="001D0350" w:rsidRPr="00D55DC6" w:rsidTr="00A82A80">
        <w:trPr>
          <w:trHeight w:val="732"/>
          <w:jc w:val="center"/>
        </w:trPr>
        <w:tc>
          <w:tcPr>
            <w:tcW w:w="1488" w:type="dxa"/>
            <w:shd w:val="clear" w:color="auto" w:fill="FF99FF"/>
            <w:noWrap/>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計畫收益規劃</w:t>
            </w:r>
          </w:p>
        </w:tc>
        <w:tc>
          <w:tcPr>
            <w:tcW w:w="738" w:type="dxa"/>
            <w:shd w:val="clear" w:color="auto" w:fill="FF99FF"/>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10,713</w:t>
            </w:r>
          </w:p>
        </w:tc>
        <w:tc>
          <w:tcPr>
            <w:tcW w:w="752" w:type="dxa"/>
            <w:shd w:val="clear" w:color="auto" w:fill="FF99FF"/>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11,851</w:t>
            </w:r>
          </w:p>
        </w:tc>
        <w:tc>
          <w:tcPr>
            <w:tcW w:w="0" w:type="auto"/>
            <w:shd w:val="clear" w:color="auto" w:fill="FF99FF"/>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12,266</w:t>
            </w:r>
          </w:p>
        </w:tc>
        <w:tc>
          <w:tcPr>
            <w:tcW w:w="0" w:type="auto"/>
            <w:shd w:val="clear" w:color="auto" w:fill="FF99FF"/>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12,266</w:t>
            </w:r>
          </w:p>
        </w:tc>
        <w:tc>
          <w:tcPr>
            <w:tcW w:w="0" w:type="auto"/>
            <w:shd w:val="clear" w:color="auto" w:fill="FF99FF"/>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18,066</w:t>
            </w:r>
          </w:p>
        </w:tc>
        <w:tc>
          <w:tcPr>
            <w:tcW w:w="0" w:type="auto"/>
            <w:shd w:val="clear" w:color="auto" w:fill="FF99FF"/>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24,566</w:t>
            </w:r>
          </w:p>
        </w:tc>
        <w:tc>
          <w:tcPr>
            <w:tcW w:w="0" w:type="auto"/>
            <w:shd w:val="clear" w:color="auto" w:fill="FF99FF"/>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34,721</w:t>
            </w:r>
          </w:p>
        </w:tc>
        <w:tc>
          <w:tcPr>
            <w:tcW w:w="0" w:type="auto"/>
            <w:shd w:val="clear" w:color="auto" w:fill="FF99FF"/>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35,041</w:t>
            </w:r>
          </w:p>
        </w:tc>
        <w:tc>
          <w:tcPr>
            <w:tcW w:w="0" w:type="auto"/>
            <w:shd w:val="clear" w:color="auto" w:fill="FF99FF"/>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35,041</w:t>
            </w:r>
          </w:p>
        </w:tc>
        <w:tc>
          <w:tcPr>
            <w:tcW w:w="0" w:type="auto"/>
            <w:shd w:val="clear" w:color="auto" w:fill="FF99FF"/>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35,041</w:t>
            </w:r>
          </w:p>
        </w:tc>
        <w:tc>
          <w:tcPr>
            <w:tcW w:w="0" w:type="auto"/>
            <w:shd w:val="clear" w:color="auto" w:fill="FF99FF"/>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47,700</w:t>
            </w:r>
          </w:p>
        </w:tc>
        <w:tc>
          <w:tcPr>
            <w:tcW w:w="0" w:type="auto"/>
            <w:shd w:val="clear" w:color="auto" w:fill="FF99FF"/>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47,700</w:t>
            </w:r>
          </w:p>
        </w:tc>
        <w:tc>
          <w:tcPr>
            <w:tcW w:w="0" w:type="auto"/>
            <w:shd w:val="clear" w:color="auto" w:fill="FF99FF"/>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47,700</w:t>
            </w:r>
          </w:p>
        </w:tc>
        <w:tc>
          <w:tcPr>
            <w:tcW w:w="0" w:type="auto"/>
            <w:shd w:val="clear" w:color="auto" w:fill="FF99FF"/>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47,700</w:t>
            </w:r>
          </w:p>
        </w:tc>
        <w:tc>
          <w:tcPr>
            <w:tcW w:w="0" w:type="auto"/>
            <w:shd w:val="clear" w:color="auto" w:fill="FF99FF"/>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55,020</w:t>
            </w:r>
          </w:p>
        </w:tc>
        <w:tc>
          <w:tcPr>
            <w:tcW w:w="0" w:type="auto"/>
            <w:shd w:val="clear" w:color="auto" w:fill="FF99FF"/>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55,020</w:t>
            </w:r>
          </w:p>
        </w:tc>
        <w:tc>
          <w:tcPr>
            <w:tcW w:w="0" w:type="auto"/>
            <w:shd w:val="clear" w:color="auto" w:fill="FF99FF"/>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55,020</w:t>
            </w:r>
          </w:p>
        </w:tc>
        <w:tc>
          <w:tcPr>
            <w:tcW w:w="0" w:type="auto"/>
            <w:shd w:val="clear" w:color="auto" w:fill="FF99FF"/>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55,020</w:t>
            </w:r>
          </w:p>
        </w:tc>
        <w:tc>
          <w:tcPr>
            <w:tcW w:w="0" w:type="auto"/>
            <w:shd w:val="clear" w:color="auto" w:fill="FF99FF"/>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59,230</w:t>
            </w:r>
          </w:p>
        </w:tc>
        <w:tc>
          <w:tcPr>
            <w:tcW w:w="798" w:type="dxa"/>
            <w:shd w:val="clear" w:color="auto" w:fill="FF99FF"/>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59,230</w:t>
            </w:r>
          </w:p>
        </w:tc>
      </w:tr>
      <w:tr w:rsidR="001D0350" w:rsidRPr="00D55DC6" w:rsidTr="00A82A80">
        <w:trPr>
          <w:trHeight w:val="732"/>
          <w:jc w:val="center"/>
        </w:trPr>
        <w:tc>
          <w:tcPr>
            <w:tcW w:w="1488" w:type="dxa"/>
            <w:shd w:val="clear" w:color="000000" w:fill="FFFF00"/>
            <w:vAlign w:val="center"/>
            <w:hideMark/>
          </w:tcPr>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建設計畫</w:t>
            </w:r>
          </w:p>
          <w:p w:rsidR="005D6EF0" w:rsidRPr="00D55DC6" w:rsidRDefault="005D6EF0" w:rsidP="0038165F">
            <w:pPr>
              <w:widowControl/>
              <w:jc w:val="center"/>
              <w:rPr>
                <w:rFonts w:eastAsia="標楷體"/>
                <w:b/>
                <w:bCs/>
                <w:kern w:val="0"/>
                <w:sz w:val="22"/>
                <w:szCs w:val="22"/>
              </w:rPr>
            </w:pPr>
            <w:r w:rsidRPr="00D55DC6">
              <w:rPr>
                <w:rFonts w:eastAsia="標楷體"/>
                <w:b/>
                <w:bCs/>
                <w:kern w:val="0"/>
                <w:sz w:val="22"/>
                <w:szCs w:val="22"/>
              </w:rPr>
              <w:t>分年收支比</w:t>
            </w:r>
          </w:p>
        </w:tc>
        <w:tc>
          <w:tcPr>
            <w:tcW w:w="738" w:type="dxa"/>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5.46%</w:t>
            </w:r>
          </w:p>
        </w:tc>
        <w:tc>
          <w:tcPr>
            <w:tcW w:w="752" w:type="dxa"/>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6.73%</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6.81%</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6.81%</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10.04%</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13.65%</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21.70%</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23.36%</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25.03%</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26.95%</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39.75%</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43.36%</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47.70%</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47.70%</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55.02%</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55.02%</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55.02%</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55.02%</w:t>
            </w:r>
          </w:p>
        </w:tc>
        <w:tc>
          <w:tcPr>
            <w:tcW w:w="0" w:type="auto"/>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59.23%</w:t>
            </w:r>
          </w:p>
        </w:tc>
        <w:tc>
          <w:tcPr>
            <w:tcW w:w="798" w:type="dxa"/>
            <w:shd w:val="clear" w:color="auto" w:fill="auto"/>
            <w:vAlign w:val="center"/>
          </w:tcPr>
          <w:p w:rsidR="005D6EF0" w:rsidRPr="00D55DC6" w:rsidRDefault="005D6EF0" w:rsidP="0038165F">
            <w:pPr>
              <w:jc w:val="center"/>
              <w:rPr>
                <w:rFonts w:eastAsia="標楷體"/>
                <w:b/>
                <w:bCs/>
                <w:sz w:val="20"/>
                <w:szCs w:val="20"/>
              </w:rPr>
            </w:pPr>
            <w:r w:rsidRPr="00D55DC6">
              <w:rPr>
                <w:rFonts w:eastAsia="標楷體"/>
                <w:b/>
                <w:bCs/>
                <w:sz w:val="20"/>
                <w:szCs w:val="20"/>
              </w:rPr>
              <w:t>59.23%</w:t>
            </w:r>
          </w:p>
        </w:tc>
      </w:tr>
      <w:tr w:rsidR="001D0350" w:rsidRPr="00D55DC6" w:rsidTr="00A82A80">
        <w:trPr>
          <w:trHeight w:val="732"/>
          <w:jc w:val="center"/>
        </w:trPr>
        <w:tc>
          <w:tcPr>
            <w:tcW w:w="1488" w:type="dxa"/>
            <w:shd w:val="clear" w:color="000000" w:fill="FFFF00"/>
            <w:vAlign w:val="center"/>
          </w:tcPr>
          <w:p w:rsidR="005D6EF0" w:rsidRPr="00D55DC6" w:rsidRDefault="005D6EF0" w:rsidP="0038165F">
            <w:pPr>
              <w:widowControl/>
              <w:spacing w:line="480" w:lineRule="exact"/>
              <w:jc w:val="center"/>
              <w:rPr>
                <w:rFonts w:eastAsia="標楷體"/>
                <w:b/>
                <w:bCs/>
                <w:kern w:val="0"/>
                <w:sz w:val="22"/>
                <w:szCs w:val="22"/>
              </w:rPr>
            </w:pPr>
            <w:r w:rsidRPr="00D55DC6">
              <w:rPr>
                <w:rFonts w:eastAsia="標楷體"/>
                <w:b/>
                <w:bCs/>
                <w:kern w:val="0"/>
                <w:sz w:val="22"/>
                <w:szCs w:val="22"/>
              </w:rPr>
              <w:t>建設計畫</w:t>
            </w:r>
          </w:p>
          <w:p w:rsidR="005D6EF0" w:rsidRPr="00D55DC6" w:rsidRDefault="005D6EF0" w:rsidP="0038165F">
            <w:pPr>
              <w:widowControl/>
              <w:spacing w:line="480" w:lineRule="exact"/>
              <w:jc w:val="center"/>
              <w:rPr>
                <w:rFonts w:eastAsia="標楷體"/>
                <w:b/>
                <w:bCs/>
                <w:kern w:val="0"/>
                <w:sz w:val="22"/>
                <w:szCs w:val="22"/>
              </w:rPr>
            </w:pPr>
            <w:r w:rsidRPr="00D55DC6">
              <w:rPr>
                <w:rFonts w:eastAsia="標楷體"/>
                <w:b/>
                <w:bCs/>
                <w:kern w:val="0"/>
                <w:sz w:val="22"/>
                <w:szCs w:val="22"/>
              </w:rPr>
              <w:t>投資現值</w:t>
            </w:r>
          </w:p>
        </w:tc>
        <w:tc>
          <w:tcPr>
            <w:tcW w:w="13767" w:type="dxa"/>
            <w:gridSpan w:val="20"/>
            <w:shd w:val="clear" w:color="auto" w:fill="auto"/>
            <w:vAlign w:val="center"/>
          </w:tcPr>
          <w:p w:rsidR="005D6EF0" w:rsidRPr="00D55DC6" w:rsidRDefault="005D6EF0" w:rsidP="0038165F">
            <w:pPr>
              <w:rPr>
                <w:rFonts w:eastAsia="標楷體"/>
                <w:b/>
                <w:bCs/>
                <w:sz w:val="22"/>
                <w:szCs w:val="22"/>
              </w:rPr>
            </w:pPr>
            <w:r w:rsidRPr="00D55DC6">
              <w:rPr>
                <w:rFonts w:eastAsia="標楷體"/>
                <w:b/>
                <w:bCs/>
                <w:sz w:val="22"/>
                <w:szCs w:val="22"/>
              </w:rPr>
              <w:t>$2,115,895</w:t>
            </w:r>
          </w:p>
        </w:tc>
      </w:tr>
      <w:tr w:rsidR="001D0350" w:rsidRPr="00D55DC6" w:rsidTr="00A82A80">
        <w:trPr>
          <w:trHeight w:val="732"/>
          <w:jc w:val="center"/>
        </w:trPr>
        <w:tc>
          <w:tcPr>
            <w:tcW w:w="1488" w:type="dxa"/>
            <w:shd w:val="clear" w:color="000000" w:fill="FFFF00"/>
            <w:vAlign w:val="center"/>
          </w:tcPr>
          <w:p w:rsidR="005D6EF0" w:rsidRPr="00D55DC6" w:rsidRDefault="005D6EF0" w:rsidP="0038165F">
            <w:pPr>
              <w:widowControl/>
              <w:spacing w:line="480" w:lineRule="exact"/>
              <w:jc w:val="center"/>
              <w:rPr>
                <w:rFonts w:eastAsia="標楷體"/>
                <w:b/>
                <w:bCs/>
                <w:kern w:val="0"/>
                <w:sz w:val="22"/>
                <w:szCs w:val="22"/>
              </w:rPr>
            </w:pPr>
            <w:r w:rsidRPr="00D55DC6">
              <w:rPr>
                <w:rFonts w:eastAsia="標楷體"/>
                <w:b/>
                <w:bCs/>
                <w:kern w:val="0"/>
                <w:sz w:val="22"/>
                <w:szCs w:val="22"/>
              </w:rPr>
              <w:t>收益現值</w:t>
            </w:r>
          </w:p>
        </w:tc>
        <w:tc>
          <w:tcPr>
            <w:tcW w:w="13767" w:type="dxa"/>
            <w:gridSpan w:val="20"/>
            <w:shd w:val="clear" w:color="auto" w:fill="auto"/>
            <w:vAlign w:val="center"/>
          </w:tcPr>
          <w:p w:rsidR="005D6EF0" w:rsidRPr="00D55DC6" w:rsidRDefault="005D6EF0" w:rsidP="0038165F">
            <w:pPr>
              <w:rPr>
                <w:rFonts w:eastAsia="標楷體"/>
                <w:b/>
                <w:bCs/>
                <w:sz w:val="22"/>
                <w:szCs w:val="22"/>
              </w:rPr>
            </w:pPr>
            <w:r w:rsidRPr="00D55DC6">
              <w:rPr>
                <w:rFonts w:eastAsia="標楷體"/>
                <w:b/>
                <w:bCs/>
                <w:sz w:val="22"/>
                <w:szCs w:val="22"/>
              </w:rPr>
              <w:t>$529,912</w:t>
            </w:r>
          </w:p>
        </w:tc>
      </w:tr>
      <w:tr w:rsidR="001D0350" w:rsidRPr="00D55DC6" w:rsidTr="00A82A80">
        <w:trPr>
          <w:trHeight w:val="732"/>
          <w:jc w:val="center"/>
        </w:trPr>
        <w:tc>
          <w:tcPr>
            <w:tcW w:w="1488" w:type="dxa"/>
            <w:shd w:val="clear" w:color="000000" w:fill="FFFF00"/>
            <w:vAlign w:val="center"/>
          </w:tcPr>
          <w:p w:rsidR="005D6EF0" w:rsidRPr="00D55DC6" w:rsidRDefault="005D6EF0" w:rsidP="0038165F">
            <w:pPr>
              <w:widowControl/>
              <w:spacing w:line="480" w:lineRule="exact"/>
              <w:jc w:val="center"/>
              <w:rPr>
                <w:rFonts w:eastAsia="標楷體"/>
                <w:b/>
                <w:bCs/>
                <w:kern w:val="0"/>
                <w:sz w:val="22"/>
                <w:szCs w:val="22"/>
              </w:rPr>
            </w:pPr>
            <w:r w:rsidRPr="00D55DC6">
              <w:rPr>
                <w:rFonts w:eastAsia="標楷體"/>
                <w:b/>
                <w:bCs/>
                <w:kern w:val="0"/>
                <w:sz w:val="22"/>
                <w:szCs w:val="22"/>
              </w:rPr>
              <w:t>建設計畫</w:t>
            </w:r>
          </w:p>
          <w:p w:rsidR="005D6EF0" w:rsidRPr="00D55DC6" w:rsidRDefault="005D6EF0" w:rsidP="0038165F">
            <w:pPr>
              <w:widowControl/>
              <w:spacing w:line="480" w:lineRule="exact"/>
              <w:jc w:val="center"/>
              <w:rPr>
                <w:rFonts w:eastAsia="標楷體"/>
                <w:b/>
                <w:bCs/>
                <w:kern w:val="0"/>
                <w:sz w:val="22"/>
                <w:szCs w:val="22"/>
              </w:rPr>
            </w:pPr>
            <w:r w:rsidRPr="00D55DC6">
              <w:rPr>
                <w:rFonts w:eastAsia="標楷體"/>
                <w:b/>
                <w:bCs/>
                <w:kern w:val="0"/>
                <w:sz w:val="22"/>
                <w:szCs w:val="22"/>
              </w:rPr>
              <w:t>自償率</w:t>
            </w:r>
          </w:p>
        </w:tc>
        <w:tc>
          <w:tcPr>
            <w:tcW w:w="13767" w:type="dxa"/>
            <w:gridSpan w:val="20"/>
            <w:shd w:val="clear" w:color="auto" w:fill="auto"/>
            <w:vAlign w:val="center"/>
          </w:tcPr>
          <w:p w:rsidR="005D6EF0" w:rsidRPr="00D55DC6" w:rsidRDefault="005D6EF0" w:rsidP="0038165F">
            <w:pPr>
              <w:rPr>
                <w:rFonts w:eastAsia="標楷體"/>
                <w:b/>
                <w:bCs/>
                <w:sz w:val="22"/>
                <w:szCs w:val="22"/>
              </w:rPr>
            </w:pPr>
            <w:r w:rsidRPr="00D55DC6">
              <w:rPr>
                <w:rFonts w:eastAsia="標楷體"/>
                <w:b/>
                <w:bCs/>
                <w:sz w:val="22"/>
                <w:szCs w:val="22"/>
              </w:rPr>
              <w:t>25.04 %</w:t>
            </w:r>
          </w:p>
        </w:tc>
      </w:tr>
      <w:tr w:rsidR="001D0350" w:rsidRPr="00D55DC6" w:rsidTr="00A82A80">
        <w:trPr>
          <w:trHeight w:val="732"/>
          <w:jc w:val="center"/>
        </w:trPr>
        <w:tc>
          <w:tcPr>
            <w:tcW w:w="15255" w:type="dxa"/>
            <w:gridSpan w:val="21"/>
            <w:shd w:val="clear" w:color="auto" w:fill="FFFFFF"/>
            <w:vAlign w:val="center"/>
          </w:tcPr>
          <w:p w:rsidR="005D6EF0" w:rsidRPr="00D55DC6" w:rsidRDefault="005D6EF0" w:rsidP="0038165F">
            <w:pPr>
              <w:widowControl/>
              <w:rPr>
                <w:rFonts w:eastAsia="標楷體"/>
                <w:b/>
                <w:bCs/>
                <w:kern w:val="0"/>
                <w:sz w:val="22"/>
                <w:szCs w:val="22"/>
              </w:rPr>
            </w:pPr>
            <w:r w:rsidRPr="00D55DC6">
              <w:rPr>
                <w:rFonts w:eastAsia="標楷體"/>
                <w:sz w:val="22"/>
                <w:szCs w:val="22"/>
              </w:rPr>
              <w:t>註：折現率</w:t>
            </w:r>
            <w:r w:rsidRPr="00D55DC6">
              <w:rPr>
                <w:rFonts w:eastAsia="標楷體"/>
                <w:sz w:val="22"/>
                <w:szCs w:val="22"/>
              </w:rPr>
              <w:t>2.88%</w:t>
            </w:r>
            <w:r w:rsidRPr="00D55DC6">
              <w:rPr>
                <w:rFonts w:eastAsia="標楷體"/>
                <w:sz w:val="22"/>
                <w:szCs w:val="22"/>
              </w:rPr>
              <w:t>。</w:t>
            </w:r>
          </w:p>
        </w:tc>
      </w:tr>
    </w:tbl>
    <w:p w:rsidR="005D6EF0" w:rsidRPr="00D55DC6" w:rsidRDefault="005D6EF0" w:rsidP="0038165F">
      <w:pPr>
        <w:pStyle w:val="a"/>
        <w:numPr>
          <w:ilvl w:val="0"/>
          <w:numId w:val="0"/>
        </w:numPr>
        <w:spacing w:line="480" w:lineRule="exact"/>
        <w:ind w:left="709"/>
        <w:rPr>
          <w:b/>
          <w:bCs/>
        </w:rPr>
      </w:pPr>
    </w:p>
    <w:p w:rsidR="005D6EF0" w:rsidRPr="00D55DC6" w:rsidRDefault="005D6EF0" w:rsidP="0038165F">
      <w:pPr>
        <w:pStyle w:val="a"/>
        <w:numPr>
          <w:ilvl w:val="0"/>
          <w:numId w:val="0"/>
        </w:numPr>
        <w:spacing w:line="480" w:lineRule="exact"/>
        <w:ind w:left="709"/>
        <w:rPr>
          <w:b/>
          <w:bCs/>
        </w:rPr>
        <w:sectPr w:rsidR="005D6EF0" w:rsidRPr="00D55DC6" w:rsidSect="00A82A80">
          <w:pgSz w:w="16838" w:h="11906" w:orient="landscape" w:code="9"/>
          <w:pgMar w:top="1418" w:right="1418" w:bottom="1418" w:left="1418" w:header="567" w:footer="567" w:gutter="0"/>
          <w:cols w:space="425"/>
          <w:docGrid w:type="linesAndChars" w:linePitch="360"/>
        </w:sectPr>
      </w:pPr>
    </w:p>
    <w:p w:rsidR="003E4A01" w:rsidRPr="00D55DC6" w:rsidRDefault="003E4A01" w:rsidP="0038165F">
      <w:pPr>
        <w:pStyle w:val="a"/>
        <w:spacing w:line="480" w:lineRule="exact"/>
        <w:ind w:left="709" w:hanging="709"/>
        <w:rPr>
          <w:b/>
          <w:bCs/>
        </w:rPr>
      </w:pPr>
      <w:bookmarkStart w:id="126" w:name="_Toc407181696"/>
      <w:r w:rsidRPr="00D55DC6">
        <w:rPr>
          <w:b/>
          <w:bCs/>
        </w:rPr>
        <w:lastRenderedPageBreak/>
        <w:t>附則</w:t>
      </w:r>
      <w:bookmarkEnd w:id="126"/>
    </w:p>
    <w:p w:rsidR="003E4A01" w:rsidRPr="00D55DC6" w:rsidRDefault="003E4A01" w:rsidP="003E4A01">
      <w:pPr>
        <w:snapToGrid w:val="0"/>
        <w:spacing w:line="480" w:lineRule="exact"/>
        <w:jc w:val="both"/>
      </w:pPr>
      <w:r w:rsidRPr="00D55DC6">
        <w:rPr>
          <w:rFonts w:eastAsia="標楷體"/>
          <w:b/>
          <w:bCs/>
          <w:sz w:val="28"/>
          <w:szCs w:val="28"/>
        </w:rPr>
        <w:t>（一）風險評估</w:t>
      </w:r>
    </w:p>
    <w:p w:rsidR="003E4A01" w:rsidRPr="00D55DC6" w:rsidRDefault="003E4A01" w:rsidP="003E4A01">
      <w:pPr>
        <w:snapToGrid w:val="0"/>
        <w:spacing w:line="480" w:lineRule="exact"/>
        <w:ind w:leftChars="354" w:left="850" w:firstLineChars="200" w:firstLine="560"/>
        <w:jc w:val="both"/>
        <w:rPr>
          <w:rFonts w:eastAsia="標楷體"/>
          <w:sz w:val="28"/>
          <w:szCs w:val="28"/>
        </w:rPr>
      </w:pPr>
      <w:r w:rsidRPr="00D55DC6">
        <w:rPr>
          <w:rFonts w:eastAsia="標楷體"/>
          <w:sz w:val="28"/>
          <w:szCs w:val="28"/>
        </w:rPr>
        <w:t>本建設計畫行政區域幅員遼闊，且牽涉較多機關須加強協調</w:t>
      </w:r>
      <w:r w:rsidRPr="00D55DC6">
        <w:rPr>
          <w:rFonts w:eastAsia="標楷體"/>
          <w:sz w:val="28"/>
          <w:szCs w:val="28"/>
        </w:rPr>
        <w:t>(</w:t>
      </w:r>
      <w:r w:rsidRPr="00D55DC6">
        <w:rPr>
          <w:rFonts w:eastAsia="標楷體"/>
          <w:sz w:val="28"/>
          <w:szCs w:val="28"/>
        </w:rPr>
        <w:t>獅頭山風景區行政區域橫跨新竹縣峨眉鄉、北埔鄉、竹東鎮、苗栗縣南庄鄉、三灣鄉等</w:t>
      </w:r>
      <w:r w:rsidRPr="00D55DC6">
        <w:rPr>
          <w:rFonts w:eastAsia="標楷體"/>
          <w:sz w:val="28"/>
          <w:szCs w:val="28"/>
        </w:rPr>
        <w:t>5</w:t>
      </w:r>
      <w:r w:rsidRPr="00D55DC6">
        <w:rPr>
          <w:rFonts w:eastAsia="標楷體"/>
          <w:sz w:val="28"/>
          <w:szCs w:val="28"/>
        </w:rPr>
        <w:t>鄉鎮</w:t>
      </w:r>
      <w:r w:rsidRPr="00D55DC6">
        <w:rPr>
          <w:rFonts w:eastAsia="標楷體"/>
          <w:sz w:val="28"/>
          <w:szCs w:val="28"/>
        </w:rPr>
        <w:t xml:space="preserve"> ; </w:t>
      </w:r>
      <w:r w:rsidRPr="00D55DC6">
        <w:rPr>
          <w:rFonts w:eastAsia="標楷體"/>
          <w:sz w:val="28"/>
          <w:szCs w:val="28"/>
        </w:rPr>
        <w:t>梨山風景區地跨臺中市東勢區、和平區、南投縣仁愛鄉等</w:t>
      </w:r>
      <w:r w:rsidRPr="00D55DC6">
        <w:rPr>
          <w:rFonts w:eastAsia="標楷體"/>
          <w:sz w:val="28"/>
          <w:szCs w:val="28"/>
        </w:rPr>
        <w:t>3</w:t>
      </w:r>
      <w:r w:rsidRPr="00D55DC6">
        <w:rPr>
          <w:rFonts w:eastAsia="標楷體"/>
          <w:sz w:val="28"/>
          <w:szCs w:val="28"/>
        </w:rPr>
        <w:t>鄉鎮</w:t>
      </w:r>
      <w:r w:rsidRPr="00D55DC6">
        <w:rPr>
          <w:rFonts w:eastAsia="標楷體"/>
          <w:sz w:val="28"/>
          <w:szCs w:val="28"/>
        </w:rPr>
        <w:t xml:space="preserve"> ; </w:t>
      </w:r>
      <w:r w:rsidRPr="00D55DC6">
        <w:rPr>
          <w:rFonts w:eastAsia="標楷體"/>
          <w:sz w:val="28"/>
          <w:szCs w:val="28"/>
        </w:rPr>
        <w:t>八卦山風景區地跨彰化縣彰化市、花壇鄉、大村鄉、芬園鄉、員林鎮、社頭鄉、田中鎮、二水鄉、南投縣南投市、名間鄉等</w:t>
      </w:r>
      <w:r w:rsidRPr="00D55DC6">
        <w:rPr>
          <w:rFonts w:eastAsia="標楷體"/>
          <w:sz w:val="28"/>
          <w:szCs w:val="28"/>
        </w:rPr>
        <w:t>10</w:t>
      </w:r>
      <w:r w:rsidRPr="00D55DC6">
        <w:rPr>
          <w:rFonts w:eastAsia="標楷體"/>
          <w:sz w:val="28"/>
          <w:szCs w:val="28"/>
        </w:rPr>
        <w:t>個市鄉鎮，共計有</w:t>
      </w:r>
      <w:r w:rsidRPr="00D55DC6">
        <w:rPr>
          <w:rFonts w:eastAsia="標楷體"/>
          <w:sz w:val="28"/>
          <w:szCs w:val="28"/>
        </w:rPr>
        <w:t>18</w:t>
      </w:r>
      <w:r w:rsidRPr="00D55DC6">
        <w:rPr>
          <w:rFonts w:eastAsia="標楷體"/>
          <w:sz w:val="28"/>
          <w:szCs w:val="28"/>
        </w:rPr>
        <w:t>個市區鄉鎮</w:t>
      </w:r>
      <w:r w:rsidRPr="00D55DC6">
        <w:rPr>
          <w:rFonts w:eastAsia="標楷體"/>
          <w:sz w:val="28"/>
          <w:szCs w:val="28"/>
        </w:rPr>
        <w:t>)</w:t>
      </w:r>
      <w:r w:rsidRPr="00D55DC6">
        <w:rPr>
          <w:rFonts w:eastAsia="標楷體"/>
          <w:sz w:val="28"/>
          <w:szCs w:val="28"/>
        </w:rPr>
        <w:t>，幅員遼闊，除辦理國家風景區建設外，尚有公路總局、林務局、原民會、各縣市政府及其他事業機關權責地區，相關建設皆需與各目的事業主管機關協調及溝通，在執行困難度上相對提高，以致影響執行成效。</w:t>
      </w:r>
    </w:p>
    <w:p w:rsidR="003E4A01" w:rsidRPr="00D55DC6" w:rsidRDefault="003E4A01" w:rsidP="003E4A01">
      <w:pPr>
        <w:snapToGrid w:val="0"/>
        <w:spacing w:line="480" w:lineRule="exact"/>
        <w:jc w:val="both"/>
        <w:rPr>
          <w:rFonts w:eastAsia="標楷體"/>
          <w:b/>
          <w:bCs/>
          <w:sz w:val="28"/>
          <w:szCs w:val="28"/>
        </w:rPr>
      </w:pPr>
      <w:r w:rsidRPr="00D55DC6">
        <w:rPr>
          <w:rFonts w:eastAsia="標楷體"/>
          <w:b/>
          <w:bCs/>
          <w:sz w:val="28"/>
          <w:szCs w:val="28"/>
        </w:rPr>
        <w:t>（二）相關機關配合事項</w:t>
      </w:r>
    </w:p>
    <w:p w:rsidR="003E4A01" w:rsidRPr="00D55DC6" w:rsidRDefault="003E4A01" w:rsidP="003E4A01">
      <w:pPr>
        <w:snapToGrid w:val="0"/>
        <w:spacing w:line="480" w:lineRule="exact"/>
        <w:ind w:leftChars="354" w:left="850" w:firstLineChars="200" w:firstLine="560"/>
        <w:jc w:val="both"/>
        <w:rPr>
          <w:rFonts w:eastAsia="標楷體"/>
          <w:sz w:val="28"/>
          <w:szCs w:val="28"/>
        </w:rPr>
      </w:pPr>
      <w:r w:rsidRPr="00D55DC6">
        <w:rPr>
          <w:rFonts w:eastAsia="標楷體"/>
          <w:sz w:val="28"/>
          <w:szCs w:val="28"/>
        </w:rPr>
        <w:t>國家風景區內各據點之觀光發展與開發，事涉不同政府部門權責，除參山管理處主管觀光業務外，尚需各機關配合，包括尚包括原民會</w:t>
      </w:r>
      <w:r w:rsidRPr="00D55DC6">
        <w:rPr>
          <w:rFonts w:eastAsia="標楷體"/>
          <w:sz w:val="28"/>
          <w:szCs w:val="28"/>
        </w:rPr>
        <w:t>(</w:t>
      </w:r>
      <w:r w:rsidRPr="00D55DC6">
        <w:rPr>
          <w:rFonts w:eastAsia="標楷體"/>
          <w:sz w:val="28"/>
          <w:szCs w:val="28"/>
        </w:rPr>
        <w:t>原住民保留地</w:t>
      </w:r>
      <w:r w:rsidRPr="00D55DC6">
        <w:rPr>
          <w:rFonts w:eastAsia="標楷體"/>
          <w:sz w:val="28"/>
          <w:szCs w:val="28"/>
        </w:rPr>
        <w:t>)</w:t>
      </w:r>
      <w:r w:rsidRPr="00D55DC6">
        <w:rPr>
          <w:rFonts w:eastAsia="標楷體"/>
          <w:sz w:val="28"/>
          <w:szCs w:val="28"/>
        </w:rPr>
        <w:t>、行政院農委會林務局</w:t>
      </w:r>
      <w:r w:rsidRPr="00D55DC6">
        <w:rPr>
          <w:rFonts w:eastAsia="標楷體"/>
          <w:sz w:val="28"/>
          <w:szCs w:val="28"/>
        </w:rPr>
        <w:t>(</w:t>
      </w:r>
      <w:r w:rsidRPr="00D55DC6">
        <w:rPr>
          <w:rFonts w:eastAsia="標楷體"/>
          <w:sz w:val="28"/>
          <w:szCs w:val="28"/>
        </w:rPr>
        <w:t>林班地</w:t>
      </w:r>
      <w:r w:rsidRPr="00D55DC6">
        <w:rPr>
          <w:rFonts w:eastAsia="標楷體"/>
          <w:sz w:val="28"/>
          <w:szCs w:val="28"/>
        </w:rPr>
        <w:t>)</w:t>
      </w:r>
      <w:r w:rsidRPr="00D55DC6">
        <w:rPr>
          <w:rFonts w:eastAsia="標楷體"/>
          <w:sz w:val="28"/>
          <w:szCs w:val="28"/>
        </w:rPr>
        <w:t>、國有財產署</w:t>
      </w:r>
      <w:r w:rsidRPr="00D55DC6">
        <w:rPr>
          <w:rFonts w:eastAsia="標楷體"/>
          <w:sz w:val="28"/>
          <w:szCs w:val="28"/>
        </w:rPr>
        <w:t>(</w:t>
      </w:r>
      <w:r w:rsidRPr="00D55DC6">
        <w:rPr>
          <w:rFonts w:eastAsia="標楷體"/>
          <w:sz w:val="28"/>
          <w:szCs w:val="28"/>
        </w:rPr>
        <w:t>公有地</w:t>
      </w:r>
      <w:r w:rsidRPr="00D55DC6">
        <w:rPr>
          <w:rFonts w:eastAsia="標楷體"/>
          <w:sz w:val="28"/>
          <w:szCs w:val="28"/>
        </w:rPr>
        <w:t>)</w:t>
      </w:r>
      <w:r w:rsidRPr="00D55DC6">
        <w:rPr>
          <w:rFonts w:eastAsia="標楷體"/>
          <w:sz w:val="28"/>
          <w:szCs w:val="28"/>
        </w:rPr>
        <w:t>、公路總局</w:t>
      </w:r>
      <w:r w:rsidRPr="00D55DC6">
        <w:rPr>
          <w:rFonts w:eastAsia="標楷體"/>
          <w:sz w:val="28"/>
          <w:szCs w:val="28"/>
        </w:rPr>
        <w:t>(</w:t>
      </w:r>
      <w:r w:rsidRPr="00D55DC6">
        <w:rPr>
          <w:rFonts w:eastAsia="標楷體"/>
          <w:sz w:val="28"/>
          <w:szCs w:val="28"/>
        </w:rPr>
        <w:t>臺</w:t>
      </w:r>
      <w:r w:rsidRPr="00D55DC6">
        <w:rPr>
          <w:rFonts w:eastAsia="標楷體"/>
          <w:sz w:val="28"/>
          <w:szCs w:val="28"/>
        </w:rPr>
        <w:t>3</w:t>
      </w:r>
      <w:r w:rsidRPr="00D55DC6">
        <w:rPr>
          <w:rFonts w:eastAsia="標楷體"/>
          <w:sz w:val="28"/>
          <w:szCs w:val="28"/>
        </w:rPr>
        <w:t>線公路</w:t>
      </w:r>
      <w:r w:rsidRPr="00D55DC6">
        <w:rPr>
          <w:rFonts w:eastAsia="標楷體"/>
          <w:sz w:val="28"/>
          <w:szCs w:val="28"/>
        </w:rPr>
        <w:t>)</w:t>
      </w:r>
      <w:r w:rsidRPr="00D55DC6">
        <w:rPr>
          <w:rFonts w:eastAsia="標楷體"/>
          <w:sz w:val="28"/>
          <w:szCs w:val="28"/>
        </w:rPr>
        <w:t>、各縣市政府</w:t>
      </w:r>
      <w:r w:rsidRPr="00D55DC6">
        <w:rPr>
          <w:rFonts w:eastAsia="標楷體"/>
          <w:sz w:val="28"/>
          <w:szCs w:val="28"/>
        </w:rPr>
        <w:t>(</w:t>
      </w:r>
      <w:r w:rsidRPr="00D55DC6">
        <w:rPr>
          <w:rFonts w:eastAsia="標楷體"/>
          <w:sz w:val="28"/>
          <w:szCs w:val="28"/>
        </w:rPr>
        <w:t>開發計畫、地用變更、建管審查</w:t>
      </w:r>
      <w:r w:rsidRPr="00D55DC6">
        <w:rPr>
          <w:rFonts w:eastAsia="標楷體"/>
          <w:sz w:val="28"/>
          <w:szCs w:val="28"/>
        </w:rPr>
        <w:t>)</w:t>
      </w:r>
      <w:r w:rsidRPr="00D55DC6">
        <w:rPr>
          <w:rFonts w:eastAsia="標楷體"/>
          <w:sz w:val="28"/>
          <w:szCs w:val="28"/>
        </w:rPr>
        <w:t>等相關機關，將持續透過溝通協調平台或機制，針對景點建設、環境整頓、經營管理等業務，妥善溝通協調、分工合作，共同達成觀光發展之目標。</w:t>
      </w:r>
    </w:p>
    <w:p w:rsidR="005D6EF0" w:rsidRPr="00D55DC6" w:rsidRDefault="005D6EF0" w:rsidP="0038165F">
      <w:pPr>
        <w:snapToGrid w:val="0"/>
        <w:spacing w:line="480" w:lineRule="exact"/>
        <w:ind w:leftChars="354" w:left="850" w:firstLineChars="200" w:firstLine="560"/>
        <w:jc w:val="both"/>
        <w:rPr>
          <w:rFonts w:eastAsia="標楷體"/>
          <w:sz w:val="28"/>
          <w:szCs w:val="28"/>
        </w:rPr>
      </w:pPr>
      <w:r w:rsidRPr="00D55DC6">
        <w:rPr>
          <w:rFonts w:eastAsia="標楷體"/>
          <w:sz w:val="28"/>
          <w:szCs w:val="28"/>
        </w:rPr>
        <w:t>國家風景區內各據點之觀光發展與開發，事涉不同政府部門權責，除參山管理處主管觀光業務外，尚需各機關配合，包括尚包括原民會</w:t>
      </w:r>
      <w:r w:rsidRPr="00D55DC6">
        <w:rPr>
          <w:rFonts w:eastAsia="標楷體"/>
          <w:sz w:val="28"/>
          <w:szCs w:val="28"/>
        </w:rPr>
        <w:t>(</w:t>
      </w:r>
      <w:r w:rsidRPr="00D55DC6">
        <w:rPr>
          <w:rFonts w:eastAsia="標楷體"/>
          <w:sz w:val="28"/>
          <w:szCs w:val="28"/>
        </w:rPr>
        <w:t>原住民保留地</w:t>
      </w:r>
      <w:r w:rsidRPr="00D55DC6">
        <w:rPr>
          <w:rFonts w:eastAsia="標楷體"/>
          <w:sz w:val="28"/>
          <w:szCs w:val="28"/>
        </w:rPr>
        <w:t>)</w:t>
      </w:r>
      <w:r w:rsidRPr="00D55DC6">
        <w:rPr>
          <w:rFonts w:eastAsia="標楷體"/>
          <w:sz w:val="28"/>
          <w:szCs w:val="28"/>
        </w:rPr>
        <w:t>、行政院農委會林務局</w:t>
      </w:r>
      <w:r w:rsidRPr="00D55DC6">
        <w:rPr>
          <w:rFonts w:eastAsia="標楷體"/>
          <w:sz w:val="28"/>
          <w:szCs w:val="28"/>
        </w:rPr>
        <w:t>(</w:t>
      </w:r>
      <w:r w:rsidRPr="00D55DC6">
        <w:rPr>
          <w:rFonts w:eastAsia="標楷體"/>
          <w:sz w:val="28"/>
          <w:szCs w:val="28"/>
        </w:rPr>
        <w:t>林班地</w:t>
      </w:r>
      <w:r w:rsidRPr="00D55DC6">
        <w:rPr>
          <w:rFonts w:eastAsia="標楷體"/>
          <w:sz w:val="28"/>
          <w:szCs w:val="28"/>
        </w:rPr>
        <w:t>)</w:t>
      </w:r>
      <w:r w:rsidRPr="00D55DC6">
        <w:rPr>
          <w:rFonts w:eastAsia="標楷體"/>
          <w:sz w:val="28"/>
          <w:szCs w:val="28"/>
        </w:rPr>
        <w:t>、國有財產署</w:t>
      </w:r>
      <w:r w:rsidRPr="00D55DC6">
        <w:rPr>
          <w:rFonts w:eastAsia="標楷體"/>
          <w:sz w:val="28"/>
          <w:szCs w:val="28"/>
        </w:rPr>
        <w:t>(</w:t>
      </w:r>
      <w:r w:rsidRPr="00D55DC6">
        <w:rPr>
          <w:rFonts w:eastAsia="標楷體"/>
          <w:sz w:val="28"/>
          <w:szCs w:val="28"/>
        </w:rPr>
        <w:t>公有地</w:t>
      </w:r>
      <w:r w:rsidRPr="00D55DC6">
        <w:rPr>
          <w:rFonts w:eastAsia="標楷體"/>
          <w:sz w:val="28"/>
          <w:szCs w:val="28"/>
        </w:rPr>
        <w:t>)</w:t>
      </w:r>
      <w:r w:rsidRPr="00D55DC6">
        <w:rPr>
          <w:rFonts w:eastAsia="標楷體"/>
          <w:sz w:val="28"/>
          <w:szCs w:val="28"/>
        </w:rPr>
        <w:t>、公路總局</w:t>
      </w:r>
      <w:r w:rsidRPr="00D55DC6">
        <w:rPr>
          <w:rFonts w:eastAsia="標楷體"/>
          <w:sz w:val="28"/>
          <w:szCs w:val="28"/>
        </w:rPr>
        <w:t>(</w:t>
      </w:r>
      <w:r w:rsidRPr="00D55DC6">
        <w:rPr>
          <w:rFonts w:eastAsia="標楷體"/>
          <w:sz w:val="28"/>
          <w:szCs w:val="28"/>
        </w:rPr>
        <w:t>臺</w:t>
      </w:r>
      <w:r w:rsidRPr="00D55DC6">
        <w:rPr>
          <w:rFonts w:eastAsia="標楷體"/>
          <w:sz w:val="28"/>
          <w:szCs w:val="28"/>
        </w:rPr>
        <w:t>3</w:t>
      </w:r>
      <w:r w:rsidRPr="00D55DC6">
        <w:rPr>
          <w:rFonts w:eastAsia="標楷體"/>
          <w:sz w:val="28"/>
          <w:szCs w:val="28"/>
        </w:rPr>
        <w:t>線公路</w:t>
      </w:r>
      <w:r w:rsidRPr="00D55DC6">
        <w:rPr>
          <w:rFonts w:eastAsia="標楷體"/>
          <w:sz w:val="28"/>
          <w:szCs w:val="28"/>
        </w:rPr>
        <w:t>)</w:t>
      </w:r>
      <w:r w:rsidRPr="00D55DC6">
        <w:rPr>
          <w:rFonts w:eastAsia="標楷體"/>
          <w:sz w:val="28"/>
          <w:szCs w:val="28"/>
        </w:rPr>
        <w:t>、各縣市政府</w:t>
      </w:r>
      <w:r w:rsidRPr="00D55DC6">
        <w:rPr>
          <w:rFonts w:eastAsia="標楷體"/>
          <w:sz w:val="28"/>
          <w:szCs w:val="28"/>
        </w:rPr>
        <w:t>(</w:t>
      </w:r>
      <w:r w:rsidRPr="00D55DC6">
        <w:rPr>
          <w:rFonts w:eastAsia="標楷體"/>
          <w:sz w:val="28"/>
          <w:szCs w:val="28"/>
        </w:rPr>
        <w:t>開發計畫、地用變更、建管審查</w:t>
      </w:r>
      <w:r w:rsidRPr="00D55DC6">
        <w:rPr>
          <w:rFonts w:eastAsia="標楷體"/>
          <w:sz w:val="28"/>
          <w:szCs w:val="28"/>
        </w:rPr>
        <w:t>)</w:t>
      </w:r>
      <w:r w:rsidRPr="00D55DC6">
        <w:rPr>
          <w:rFonts w:eastAsia="標楷體"/>
          <w:sz w:val="28"/>
          <w:szCs w:val="28"/>
        </w:rPr>
        <w:t>等相關機關，將持續透過溝通協調平台或機制，針對景點建設、環境整頓、經營管理等業務，妥善溝通協調、分工合作，共同達成觀光發展之目標。</w:t>
      </w:r>
    </w:p>
    <w:p w:rsidR="00FF52E3" w:rsidRPr="00D55DC6" w:rsidRDefault="00FF52E3" w:rsidP="0038165F">
      <w:pPr>
        <w:widowControl/>
        <w:rPr>
          <w:rFonts w:eastAsia="標楷體"/>
          <w:b/>
          <w:sz w:val="32"/>
          <w:szCs w:val="32"/>
        </w:rPr>
        <w:sectPr w:rsidR="00FF52E3" w:rsidRPr="00D55DC6" w:rsidSect="00050F6E">
          <w:footerReference w:type="default" r:id="rId26"/>
          <w:pgSz w:w="11906" w:h="16838"/>
          <w:pgMar w:top="1440" w:right="1274" w:bottom="1440" w:left="1418" w:header="851" w:footer="992" w:gutter="0"/>
          <w:cols w:space="425"/>
          <w:docGrid w:type="lines" w:linePitch="360"/>
        </w:sectPr>
      </w:pPr>
    </w:p>
    <w:p w:rsidR="00C050DB" w:rsidRPr="00D55DC6" w:rsidRDefault="00C050DB" w:rsidP="0038165F">
      <w:pPr>
        <w:snapToGrid w:val="0"/>
        <w:spacing w:line="460" w:lineRule="exact"/>
        <w:jc w:val="both"/>
        <w:rPr>
          <w:rFonts w:eastAsia="標楷體"/>
          <w:b/>
          <w:sz w:val="28"/>
          <w:szCs w:val="28"/>
        </w:rPr>
      </w:pPr>
      <w:r w:rsidRPr="00D55DC6">
        <w:rPr>
          <w:rFonts w:eastAsia="標楷體"/>
          <w:b/>
          <w:sz w:val="28"/>
          <w:szCs w:val="28"/>
        </w:rPr>
        <w:lastRenderedPageBreak/>
        <w:t>伍、阿里山國家風景區建設計畫</w:t>
      </w:r>
    </w:p>
    <w:p w:rsidR="00C050DB" w:rsidRPr="00D55DC6" w:rsidRDefault="00C050DB" w:rsidP="0038165F">
      <w:pPr>
        <w:snapToGrid w:val="0"/>
        <w:spacing w:line="460" w:lineRule="exact"/>
        <w:ind w:left="1386" w:hanging="1102"/>
        <w:jc w:val="both"/>
        <w:rPr>
          <w:rFonts w:eastAsia="標楷體"/>
          <w:sz w:val="28"/>
          <w:szCs w:val="28"/>
        </w:rPr>
      </w:pPr>
    </w:p>
    <w:p w:rsidR="00C050DB" w:rsidRPr="00D55DC6" w:rsidRDefault="00C050DB" w:rsidP="0038165F">
      <w:pPr>
        <w:snapToGrid w:val="0"/>
        <w:spacing w:line="460" w:lineRule="exact"/>
        <w:ind w:left="709" w:hanging="709"/>
        <w:jc w:val="both"/>
        <w:rPr>
          <w:rFonts w:eastAsia="標楷體"/>
          <w:b/>
          <w:sz w:val="28"/>
          <w:szCs w:val="28"/>
        </w:rPr>
      </w:pPr>
      <w:r w:rsidRPr="00D55DC6">
        <w:rPr>
          <w:rFonts w:eastAsia="標楷體"/>
          <w:b/>
          <w:sz w:val="28"/>
          <w:szCs w:val="28"/>
        </w:rPr>
        <w:t>一、計畫緣起</w:t>
      </w:r>
    </w:p>
    <w:p w:rsidR="00C050DB" w:rsidRPr="00D55DC6" w:rsidRDefault="00C050DB" w:rsidP="004865C1">
      <w:pPr>
        <w:numPr>
          <w:ilvl w:val="0"/>
          <w:numId w:val="87"/>
        </w:numPr>
        <w:snapToGrid w:val="0"/>
        <w:spacing w:beforeLines="50" w:before="180" w:line="460" w:lineRule="exact"/>
        <w:jc w:val="both"/>
        <w:rPr>
          <w:rFonts w:eastAsia="標楷體"/>
          <w:b/>
          <w:sz w:val="28"/>
          <w:szCs w:val="28"/>
        </w:rPr>
      </w:pPr>
      <w:r w:rsidRPr="00D55DC6">
        <w:rPr>
          <w:rFonts w:eastAsia="標楷體"/>
          <w:b/>
          <w:sz w:val="28"/>
          <w:szCs w:val="28"/>
        </w:rPr>
        <w:t>依據</w:t>
      </w:r>
    </w:p>
    <w:p w:rsidR="00C050DB" w:rsidRPr="00D55DC6" w:rsidRDefault="00C050DB" w:rsidP="004865C1">
      <w:pPr>
        <w:numPr>
          <w:ilvl w:val="1"/>
          <w:numId w:val="87"/>
        </w:numPr>
        <w:snapToGrid w:val="0"/>
        <w:spacing w:line="460" w:lineRule="exact"/>
        <w:ind w:left="840" w:hanging="360"/>
        <w:jc w:val="both"/>
        <w:rPr>
          <w:rFonts w:eastAsia="標楷體"/>
          <w:kern w:val="0"/>
          <w:sz w:val="28"/>
          <w:szCs w:val="28"/>
        </w:rPr>
      </w:pPr>
      <w:r w:rsidRPr="00D55DC6">
        <w:rPr>
          <w:rFonts w:eastAsia="標楷體"/>
          <w:kern w:val="0"/>
          <w:sz w:val="28"/>
          <w:szCs w:val="28"/>
        </w:rPr>
        <w:t>為有效發揮政府重大公共建設計畫觀光次類別經費之投資效益，強化具體投資成果，延續「重要觀光景點建設中程計畫（</w:t>
      </w:r>
      <w:r w:rsidRPr="00D55DC6">
        <w:rPr>
          <w:rFonts w:eastAsia="標楷體"/>
          <w:kern w:val="0"/>
          <w:sz w:val="28"/>
          <w:szCs w:val="28"/>
        </w:rPr>
        <w:t>101</w:t>
      </w:r>
      <w:r w:rsidRPr="00D55DC6">
        <w:rPr>
          <w:rFonts w:eastAsia="標楷體"/>
          <w:kern w:val="0"/>
          <w:sz w:val="28"/>
          <w:szCs w:val="28"/>
        </w:rPr>
        <w:t>至</w:t>
      </w:r>
      <w:r w:rsidRPr="00D55DC6">
        <w:rPr>
          <w:rFonts w:eastAsia="標楷體"/>
          <w:kern w:val="0"/>
          <w:sz w:val="28"/>
          <w:szCs w:val="28"/>
        </w:rPr>
        <w:t>104</w:t>
      </w:r>
      <w:r w:rsidRPr="00D55DC6">
        <w:rPr>
          <w:rFonts w:eastAsia="標楷體"/>
          <w:kern w:val="0"/>
          <w:sz w:val="28"/>
          <w:szCs w:val="28"/>
        </w:rPr>
        <w:t>年）」（行政院</w:t>
      </w:r>
      <w:r w:rsidRPr="00D55DC6">
        <w:rPr>
          <w:rFonts w:eastAsia="標楷體"/>
          <w:kern w:val="0"/>
          <w:sz w:val="28"/>
          <w:szCs w:val="28"/>
        </w:rPr>
        <w:t>100</w:t>
      </w:r>
      <w:r w:rsidRPr="00D55DC6">
        <w:rPr>
          <w:rFonts w:eastAsia="標楷體"/>
          <w:kern w:val="0"/>
          <w:sz w:val="28"/>
          <w:szCs w:val="28"/>
        </w:rPr>
        <w:t>年</w:t>
      </w:r>
      <w:r w:rsidRPr="00D55DC6">
        <w:rPr>
          <w:rFonts w:eastAsia="標楷體"/>
          <w:kern w:val="0"/>
          <w:sz w:val="28"/>
          <w:szCs w:val="28"/>
        </w:rPr>
        <w:t>8</w:t>
      </w:r>
      <w:r w:rsidRPr="00D55DC6">
        <w:rPr>
          <w:rFonts w:eastAsia="標楷體"/>
          <w:kern w:val="0"/>
          <w:sz w:val="28"/>
          <w:szCs w:val="28"/>
        </w:rPr>
        <w:t>月</w:t>
      </w:r>
      <w:r w:rsidRPr="00D55DC6">
        <w:rPr>
          <w:rFonts w:eastAsia="標楷體"/>
          <w:kern w:val="0"/>
          <w:sz w:val="28"/>
          <w:szCs w:val="28"/>
        </w:rPr>
        <w:t>22</w:t>
      </w:r>
      <w:r w:rsidRPr="00D55DC6">
        <w:rPr>
          <w:rFonts w:eastAsia="標楷體"/>
          <w:kern w:val="0"/>
          <w:sz w:val="28"/>
          <w:szCs w:val="28"/>
        </w:rPr>
        <w:t>日院臺交字第</w:t>
      </w:r>
      <w:r w:rsidRPr="00D55DC6">
        <w:rPr>
          <w:rFonts w:eastAsia="標楷體"/>
          <w:kern w:val="0"/>
          <w:sz w:val="28"/>
          <w:szCs w:val="28"/>
        </w:rPr>
        <w:t>1000044174</w:t>
      </w:r>
      <w:r w:rsidRPr="00D55DC6">
        <w:rPr>
          <w:rFonts w:eastAsia="標楷體"/>
          <w:kern w:val="0"/>
          <w:sz w:val="28"/>
          <w:szCs w:val="28"/>
        </w:rPr>
        <w:t>號函核定）建設成果，並調整以</w:t>
      </w:r>
      <w:r w:rsidRPr="00D55DC6">
        <w:rPr>
          <w:rFonts w:eastAsia="標楷體"/>
          <w:kern w:val="0"/>
          <w:sz w:val="28"/>
          <w:szCs w:val="28"/>
        </w:rPr>
        <w:t>1.</w:t>
      </w:r>
      <w:r w:rsidRPr="00D55DC6">
        <w:rPr>
          <w:rFonts w:eastAsia="標楷體"/>
          <w:kern w:val="0"/>
          <w:sz w:val="28"/>
          <w:szCs w:val="28"/>
        </w:rPr>
        <w:t>國際觀光重要景點建設、</w:t>
      </w:r>
      <w:r w:rsidRPr="00D55DC6">
        <w:rPr>
          <w:rFonts w:eastAsia="標楷體"/>
          <w:kern w:val="0"/>
          <w:sz w:val="28"/>
          <w:szCs w:val="28"/>
        </w:rPr>
        <w:t>2.</w:t>
      </w:r>
      <w:r w:rsidRPr="00D55DC6">
        <w:rPr>
          <w:rFonts w:eastAsia="標楷體"/>
          <w:kern w:val="0"/>
          <w:sz w:val="28"/>
          <w:szCs w:val="28"/>
        </w:rPr>
        <w:t>國內觀光重要景點建設、</w:t>
      </w:r>
      <w:r w:rsidRPr="00D55DC6">
        <w:rPr>
          <w:rFonts w:eastAsia="標楷體"/>
          <w:kern w:val="0"/>
          <w:sz w:val="28"/>
          <w:szCs w:val="28"/>
        </w:rPr>
        <w:t>3.</w:t>
      </w:r>
      <w:r w:rsidRPr="00D55DC6">
        <w:rPr>
          <w:rFonts w:eastAsia="標楷體"/>
          <w:kern w:val="0"/>
          <w:sz w:val="28"/>
          <w:szCs w:val="28"/>
        </w:rPr>
        <w:t>國家風景區經營管理維護等投資重點與優先順序，研擬「重要觀光景點建設中程計畫</w:t>
      </w:r>
      <w:r w:rsidRPr="00D55DC6">
        <w:rPr>
          <w:rFonts w:eastAsia="標楷體"/>
          <w:kern w:val="0"/>
          <w:sz w:val="28"/>
          <w:szCs w:val="28"/>
        </w:rPr>
        <w:t>(105-108</w:t>
      </w:r>
      <w:r w:rsidRPr="00D55DC6">
        <w:rPr>
          <w:rFonts w:eastAsia="標楷體"/>
          <w:kern w:val="0"/>
          <w:sz w:val="28"/>
          <w:szCs w:val="28"/>
        </w:rPr>
        <w:t>年</w:t>
      </w:r>
      <w:r w:rsidRPr="00D55DC6">
        <w:rPr>
          <w:rFonts w:eastAsia="標楷體"/>
          <w:kern w:val="0"/>
          <w:sz w:val="28"/>
          <w:szCs w:val="28"/>
        </w:rPr>
        <w:t>)</w:t>
      </w:r>
      <w:r w:rsidRPr="00D55DC6">
        <w:rPr>
          <w:rFonts w:eastAsia="標楷體"/>
          <w:kern w:val="0"/>
          <w:sz w:val="28"/>
          <w:szCs w:val="28"/>
        </w:rPr>
        <w:t>」。</w:t>
      </w:r>
    </w:p>
    <w:p w:rsidR="00C050DB" w:rsidRPr="00D55DC6" w:rsidRDefault="00C050DB" w:rsidP="004865C1">
      <w:pPr>
        <w:numPr>
          <w:ilvl w:val="1"/>
          <w:numId w:val="87"/>
        </w:numPr>
        <w:snapToGrid w:val="0"/>
        <w:spacing w:line="460" w:lineRule="exact"/>
        <w:ind w:left="840" w:hanging="360"/>
        <w:jc w:val="both"/>
        <w:rPr>
          <w:rFonts w:eastAsia="標楷體"/>
          <w:kern w:val="0"/>
          <w:sz w:val="28"/>
          <w:szCs w:val="28"/>
        </w:rPr>
      </w:pPr>
      <w:r w:rsidRPr="00D55DC6">
        <w:rPr>
          <w:rFonts w:eastAsia="標楷體"/>
          <w:kern w:val="0"/>
          <w:sz w:val="28"/>
          <w:szCs w:val="28"/>
        </w:rPr>
        <w:t>依據行政院</w:t>
      </w:r>
      <w:r w:rsidRPr="00D55DC6">
        <w:rPr>
          <w:rFonts w:eastAsia="標楷體"/>
          <w:kern w:val="0"/>
          <w:sz w:val="28"/>
          <w:szCs w:val="28"/>
        </w:rPr>
        <w:t>103</w:t>
      </w:r>
      <w:r w:rsidRPr="00D55DC6">
        <w:rPr>
          <w:rFonts w:eastAsia="標楷體"/>
          <w:kern w:val="0"/>
          <w:sz w:val="28"/>
          <w:szCs w:val="28"/>
        </w:rPr>
        <w:t>年</w:t>
      </w:r>
      <w:r w:rsidRPr="00D55DC6">
        <w:rPr>
          <w:rFonts w:eastAsia="標楷體"/>
          <w:kern w:val="0"/>
          <w:sz w:val="28"/>
          <w:szCs w:val="28"/>
        </w:rPr>
        <w:t>10</w:t>
      </w:r>
      <w:r w:rsidRPr="00D55DC6">
        <w:rPr>
          <w:rFonts w:eastAsia="標楷體"/>
          <w:kern w:val="0"/>
          <w:sz w:val="28"/>
          <w:szCs w:val="28"/>
        </w:rPr>
        <w:t>月</w:t>
      </w:r>
      <w:r w:rsidRPr="00D55DC6">
        <w:rPr>
          <w:rFonts w:eastAsia="標楷體"/>
          <w:kern w:val="0"/>
          <w:sz w:val="28"/>
          <w:szCs w:val="28"/>
        </w:rPr>
        <w:t>15</w:t>
      </w:r>
      <w:r w:rsidRPr="00D55DC6">
        <w:rPr>
          <w:rFonts w:eastAsia="標楷體"/>
          <w:kern w:val="0"/>
          <w:sz w:val="28"/>
          <w:szCs w:val="28"/>
        </w:rPr>
        <w:t>日院臺交字第</w:t>
      </w:r>
      <w:r w:rsidRPr="00D55DC6">
        <w:rPr>
          <w:rFonts w:eastAsia="標楷體"/>
          <w:kern w:val="0"/>
          <w:sz w:val="28"/>
          <w:szCs w:val="28"/>
        </w:rPr>
        <w:t>1030058303</w:t>
      </w:r>
      <w:r w:rsidRPr="00D55DC6">
        <w:rPr>
          <w:rFonts w:eastAsia="標楷體"/>
          <w:kern w:val="0"/>
          <w:sz w:val="28"/>
          <w:szCs w:val="28"/>
        </w:rPr>
        <w:t>號函核定「日月潭等</w:t>
      </w:r>
      <w:r w:rsidRPr="00D55DC6">
        <w:rPr>
          <w:rFonts w:eastAsia="標楷體"/>
          <w:kern w:val="0"/>
          <w:sz w:val="28"/>
          <w:szCs w:val="28"/>
        </w:rPr>
        <w:t>6</w:t>
      </w:r>
      <w:r w:rsidRPr="00D55DC6">
        <w:rPr>
          <w:rFonts w:eastAsia="標楷體"/>
          <w:kern w:val="0"/>
          <w:sz w:val="28"/>
          <w:szCs w:val="28"/>
        </w:rPr>
        <w:t>處國家風景區整體發展暨財務計畫」（包含日月潭、東北角暨宜蘭海岸、北海岸及觀音山、阿里山、參山、雲嘉南濱海）之意旨辦理。</w:t>
      </w:r>
    </w:p>
    <w:p w:rsidR="00C050DB" w:rsidRPr="00D55DC6" w:rsidRDefault="00C050DB" w:rsidP="004865C1">
      <w:pPr>
        <w:numPr>
          <w:ilvl w:val="0"/>
          <w:numId w:val="87"/>
        </w:numPr>
        <w:snapToGrid w:val="0"/>
        <w:spacing w:beforeLines="50" w:before="180" w:line="460" w:lineRule="exact"/>
        <w:ind w:left="862" w:hanging="862"/>
        <w:jc w:val="both"/>
        <w:rPr>
          <w:rFonts w:eastAsia="標楷體"/>
          <w:b/>
          <w:sz w:val="28"/>
          <w:szCs w:val="28"/>
        </w:rPr>
      </w:pPr>
      <w:r w:rsidRPr="00D55DC6">
        <w:rPr>
          <w:rFonts w:eastAsia="標楷體"/>
          <w:b/>
          <w:sz w:val="28"/>
          <w:szCs w:val="28"/>
        </w:rPr>
        <w:t>未來環境預測</w:t>
      </w:r>
    </w:p>
    <w:p w:rsidR="00C050DB" w:rsidRPr="00D55DC6" w:rsidRDefault="00C050DB" w:rsidP="009D33BA">
      <w:pPr>
        <w:snapToGrid w:val="0"/>
        <w:spacing w:beforeLines="30" w:before="108" w:line="460" w:lineRule="exact"/>
        <w:ind w:leftChars="216" w:left="848" w:hangingChars="118" w:hanging="330"/>
        <w:jc w:val="both"/>
        <w:rPr>
          <w:rFonts w:eastAsia="標楷體"/>
          <w:kern w:val="0"/>
          <w:sz w:val="28"/>
          <w:szCs w:val="28"/>
        </w:rPr>
      </w:pPr>
      <w:r w:rsidRPr="00D55DC6">
        <w:rPr>
          <w:rFonts w:eastAsia="標楷體"/>
          <w:kern w:val="0"/>
          <w:sz w:val="28"/>
          <w:szCs w:val="28"/>
        </w:rPr>
        <w:t xml:space="preserve">1. </w:t>
      </w:r>
      <w:r w:rsidRPr="00D55DC6">
        <w:rPr>
          <w:rFonts w:eastAsia="標楷體"/>
          <w:kern w:val="0"/>
          <w:sz w:val="28"/>
          <w:szCs w:val="28"/>
        </w:rPr>
        <w:t>依據交通部觀光局「來臺旅客消費及動向調查報告」，以及阿里山國家風景區管理處陸客人次統計，</w:t>
      </w:r>
      <w:r w:rsidRPr="00D55DC6">
        <w:rPr>
          <w:rFonts w:eastAsia="標楷體"/>
          <w:kern w:val="0"/>
          <w:sz w:val="28"/>
          <w:szCs w:val="28"/>
        </w:rPr>
        <w:t>98</w:t>
      </w:r>
      <w:r w:rsidRPr="00D55DC6">
        <w:rPr>
          <w:rFonts w:eastAsia="標楷體"/>
          <w:kern w:val="0"/>
          <w:sz w:val="28"/>
          <w:szCs w:val="28"/>
        </w:rPr>
        <w:t>至</w:t>
      </w:r>
      <w:r w:rsidRPr="00D55DC6">
        <w:rPr>
          <w:rFonts w:eastAsia="標楷體"/>
          <w:kern w:val="0"/>
          <w:sz w:val="28"/>
          <w:szCs w:val="28"/>
        </w:rPr>
        <w:t>102</w:t>
      </w:r>
      <w:r w:rsidRPr="00D55DC6">
        <w:rPr>
          <w:rFonts w:eastAsia="標楷體"/>
          <w:kern w:val="0"/>
          <w:sz w:val="28"/>
          <w:szCs w:val="28"/>
        </w:rPr>
        <w:t>年中，來臺大陸觀光客平均到訪阿里山國家風景區的比例為</w:t>
      </w:r>
      <w:r w:rsidRPr="00D55DC6">
        <w:rPr>
          <w:rFonts w:eastAsia="標楷體"/>
          <w:kern w:val="0"/>
          <w:sz w:val="28"/>
          <w:szCs w:val="28"/>
        </w:rPr>
        <w:t>47.03%</w:t>
      </w:r>
      <w:r w:rsidRPr="00D55DC6">
        <w:rPr>
          <w:rFonts w:eastAsia="標楷體"/>
          <w:kern w:val="0"/>
          <w:sz w:val="28"/>
          <w:szCs w:val="28"/>
        </w:rPr>
        <w:t>。</w:t>
      </w:r>
    </w:p>
    <w:p w:rsidR="00C050DB" w:rsidRPr="00D55DC6" w:rsidRDefault="00C050DB" w:rsidP="009D33BA">
      <w:pPr>
        <w:snapToGrid w:val="0"/>
        <w:spacing w:beforeLines="30" w:before="108" w:line="460" w:lineRule="exact"/>
        <w:ind w:leftChars="216" w:left="848" w:hangingChars="118" w:hanging="330"/>
        <w:jc w:val="both"/>
        <w:rPr>
          <w:rFonts w:eastAsia="標楷體"/>
          <w:kern w:val="0"/>
          <w:sz w:val="28"/>
          <w:szCs w:val="28"/>
        </w:rPr>
      </w:pPr>
      <w:r w:rsidRPr="00D55DC6">
        <w:rPr>
          <w:rFonts w:eastAsia="標楷體"/>
          <w:kern w:val="0"/>
          <w:sz w:val="28"/>
          <w:szCs w:val="28"/>
        </w:rPr>
        <w:t xml:space="preserve">2. </w:t>
      </w:r>
      <w:r w:rsidRPr="00D55DC6">
        <w:rPr>
          <w:rFonts w:eastAsia="標楷體"/>
          <w:kern w:val="0"/>
          <w:sz w:val="28"/>
          <w:szCs w:val="28"/>
        </w:rPr>
        <w:t>推估阿里山國家風景區未來之遊客量，「一般國民旅遊</w:t>
      </w:r>
      <w:r w:rsidRPr="00D55DC6">
        <w:rPr>
          <w:rFonts w:eastAsia="標楷體"/>
          <w:kern w:val="0"/>
          <w:sz w:val="28"/>
          <w:szCs w:val="28"/>
        </w:rPr>
        <w:t>/</w:t>
      </w:r>
      <w:r w:rsidRPr="00D55DC6">
        <w:rPr>
          <w:rFonts w:eastAsia="標楷體"/>
          <w:kern w:val="0"/>
          <w:sz w:val="28"/>
          <w:szCs w:val="28"/>
        </w:rPr>
        <w:t>國際觀光客」</w:t>
      </w:r>
      <w:r w:rsidRPr="00D55DC6">
        <w:rPr>
          <w:rFonts w:eastAsia="標楷體"/>
          <w:kern w:val="0"/>
          <w:sz w:val="28"/>
          <w:szCs w:val="28"/>
        </w:rPr>
        <w:t>(</w:t>
      </w:r>
      <w:r w:rsidRPr="00D55DC6">
        <w:rPr>
          <w:rFonts w:eastAsia="標楷體"/>
          <w:kern w:val="0"/>
          <w:sz w:val="28"/>
          <w:szCs w:val="28"/>
        </w:rPr>
        <w:t>不含大陸觀光客</w:t>
      </w:r>
      <w:r w:rsidRPr="00D55DC6">
        <w:rPr>
          <w:rFonts w:eastAsia="標楷體"/>
          <w:kern w:val="0"/>
          <w:sz w:val="28"/>
          <w:szCs w:val="28"/>
        </w:rPr>
        <w:t>)</w:t>
      </w:r>
      <w:r w:rsidRPr="00D55DC6">
        <w:rPr>
          <w:rFonts w:eastAsia="標楷體"/>
          <w:kern w:val="0"/>
          <w:sz w:val="28"/>
          <w:szCs w:val="28"/>
        </w:rPr>
        <w:t>成長趨勢，採阿里山國家風景區近</w:t>
      </w:r>
      <w:r w:rsidRPr="00D55DC6">
        <w:rPr>
          <w:rFonts w:eastAsia="標楷體"/>
          <w:kern w:val="0"/>
          <w:sz w:val="28"/>
          <w:szCs w:val="28"/>
        </w:rPr>
        <w:t>7</w:t>
      </w:r>
      <w:r w:rsidRPr="00D55DC6">
        <w:rPr>
          <w:rFonts w:eastAsia="標楷體"/>
          <w:kern w:val="0"/>
          <w:sz w:val="28"/>
          <w:szCs w:val="28"/>
        </w:rPr>
        <w:t>年來遊客量穩定成長之統計資料</w:t>
      </w:r>
      <w:r w:rsidRPr="00D55DC6">
        <w:rPr>
          <w:rFonts w:eastAsia="標楷體"/>
          <w:kern w:val="0"/>
          <w:sz w:val="28"/>
          <w:szCs w:val="28"/>
        </w:rPr>
        <w:t>(96</w:t>
      </w:r>
      <w:r w:rsidRPr="00D55DC6">
        <w:rPr>
          <w:rFonts w:eastAsia="標楷體"/>
          <w:kern w:val="0"/>
          <w:sz w:val="28"/>
          <w:szCs w:val="28"/>
        </w:rPr>
        <w:t>至</w:t>
      </w:r>
      <w:r w:rsidRPr="00D55DC6">
        <w:rPr>
          <w:rFonts w:eastAsia="標楷體"/>
          <w:kern w:val="0"/>
          <w:sz w:val="28"/>
          <w:szCs w:val="28"/>
        </w:rPr>
        <w:t>102</w:t>
      </w:r>
      <w:r w:rsidRPr="00D55DC6">
        <w:rPr>
          <w:rFonts w:eastAsia="標楷體"/>
          <w:kern w:val="0"/>
          <w:sz w:val="28"/>
          <w:szCs w:val="28"/>
        </w:rPr>
        <w:t>年</w:t>
      </w:r>
      <w:r w:rsidRPr="00D55DC6">
        <w:rPr>
          <w:rFonts w:eastAsia="標楷體"/>
          <w:kern w:val="0"/>
          <w:sz w:val="28"/>
          <w:szCs w:val="28"/>
        </w:rPr>
        <w:t>)</w:t>
      </w:r>
      <w:r w:rsidRPr="00D55DC6">
        <w:rPr>
          <w:rFonts w:eastAsia="標楷體"/>
          <w:kern w:val="0"/>
          <w:sz w:val="28"/>
          <w:szCs w:val="28"/>
        </w:rPr>
        <w:t>，排除成長率為負值者，可得未來（</w:t>
      </w:r>
      <w:r w:rsidRPr="00D55DC6">
        <w:rPr>
          <w:rFonts w:eastAsia="標楷體"/>
          <w:kern w:val="0"/>
          <w:sz w:val="28"/>
          <w:szCs w:val="28"/>
        </w:rPr>
        <w:t xml:space="preserve">105 </w:t>
      </w:r>
      <w:r w:rsidRPr="00D55DC6">
        <w:rPr>
          <w:rFonts w:eastAsia="標楷體"/>
          <w:kern w:val="0"/>
          <w:sz w:val="28"/>
          <w:szCs w:val="28"/>
        </w:rPr>
        <w:t>至</w:t>
      </w:r>
      <w:r w:rsidRPr="00D55DC6">
        <w:rPr>
          <w:rFonts w:eastAsia="標楷體"/>
          <w:kern w:val="0"/>
          <w:sz w:val="28"/>
          <w:szCs w:val="28"/>
        </w:rPr>
        <w:t xml:space="preserve">108 </w:t>
      </w:r>
      <w:r w:rsidRPr="00D55DC6">
        <w:rPr>
          <w:rFonts w:eastAsia="標楷體"/>
          <w:kern w:val="0"/>
          <w:sz w:val="28"/>
          <w:szCs w:val="28"/>
        </w:rPr>
        <w:t>年）「一般國民旅遊</w:t>
      </w:r>
      <w:r w:rsidRPr="00D55DC6">
        <w:rPr>
          <w:rFonts w:eastAsia="標楷體"/>
          <w:kern w:val="0"/>
          <w:sz w:val="28"/>
          <w:szCs w:val="28"/>
        </w:rPr>
        <w:t>/</w:t>
      </w:r>
      <w:r w:rsidRPr="00D55DC6">
        <w:rPr>
          <w:rFonts w:eastAsia="標楷體"/>
          <w:kern w:val="0"/>
          <w:sz w:val="28"/>
          <w:szCs w:val="28"/>
        </w:rPr>
        <w:t>國際觀光客」</w:t>
      </w:r>
      <w:r w:rsidRPr="00D55DC6">
        <w:rPr>
          <w:rFonts w:eastAsia="標楷體"/>
          <w:kern w:val="0"/>
          <w:sz w:val="28"/>
          <w:szCs w:val="28"/>
        </w:rPr>
        <w:t>(</w:t>
      </w:r>
      <w:r w:rsidRPr="00D55DC6">
        <w:rPr>
          <w:rFonts w:eastAsia="標楷體"/>
          <w:kern w:val="0"/>
          <w:sz w:val="28"/>
          <w:szCs w:val="28"/>
        </w:rPr>
        <w:t>不含大陸觀光客</w:t>
      </w:r>
      <w:r w:rsidRPr="00D55DC6">
        <w:rPr>
          <w:rFonts w:eastAsia="標楷體"/>
          <w:kern w:val="0"/>
          <w:sz w:val="28"/>
          <w:szCs w:val="28"/>
        </w:rPr>
        <w:t>)</w:t>
      </w:r>
      <w:r w:rsidRPr="00D55DC6">
        <w:rPr>
          <w:rFonts w:eastAsia="標楷體"/>
          <w:kern w:val="0"/>
          <w:sz w:val="28"/>
          <w:szCs w:val="28"/>
        </w:rPr>
        <w:t>之遊客量成長率平均值為</w:t>
      </w:r>
      <w:r w:rsidRPr="00D55DC6">
        <w:rPr>
          <w:rFonts w:eastAsia="標楷體"/>
          <w:kern w:val="0"/>
          <w:sz w:val="28"/>
          <w:szCs w:val="28"/>
        </w:rPr>
        <w:t>4.69%</w:t>
      </w:r>
      <w:r w:rsidRPr="00D55DC6">
        <w:rPr>
          <w:rFonts w:eastAsia="標楷體"/>
          <w:kern w:val="0"/>
          <w:sz w:val="28"/>
          <w:szCs w:val="28"/>
        </w:rPr>
        <w:t>，「大陸觀光客」則以來臺大陸觀光客平均到訪阿里山國家風景區的比例值</w:t>
      </w:r>
      <w:r w:rsidRPr="00D55DC6">
        <w:rPr>
          <w:rFonts w:eastAsia="標楷體"/>
          <w:kern w:val="0"/>
          <w:sz w:val="28"/>
          <w:szCs w:val="28"/>
        </w:rPr>
        <w:t>47.03%</w:t>
      </w:r>
      <w:r w:rsidRPr="00D55DC6">
        <w:rPr>
          <w:rFonts w:eastAsia="標楷體"/>
          <w:kern w:val="0"/>
          <w:sz w:val="28"/>
          <w:szCs w:val="28"/>
        </w:rPr>
        <w:t>，推估阿里山國家風景區遊客量將可由</w:t>
      </w:r>
      <w:r w:rsidRPr="00D55DC6">
        <w:rPr>
          <w:rFonts w:eastAsia="標楷體"/>
          <w:kern w:val="0"/>
          <w:sz w:val="28"/>
          <w:szCs w:val="28"/>
        </w:rPr>
        <w:t>103</w:t>
      </w:r>
      <w:r w:rsidRPr="00D55DC6">
        <w:rPr>
          <w:rFonts w:eastAsia="標楷體"/>
          <w:kern w:val="0"/>
          <w:sz w:val="28"/>
          <w:szCs w:val="28"/>
        </w:rPr>
        <w:t>年</w:t>
      </w:r>
      <w:r w:rsidRPr="00D55DC6">
        <w:rPr>
          <w:rFonts w:eastAsia="標楷體"/>
          <w:kern w:val="0"/>
          <w:sz w:val="28"/>
          <w:szCs w:val="28"/>
        </w:rPr>
        <w:t>357</w:t>
      </w:r>
      <w:r w:rsidRPr="00D55DC6">
        <w:rPr>
          <w:rFonts w:eastAsia="標楷體"/>
          <w:kern w:val="0"/>
          <w:sz w:val="28"/>
          <w:szCs w:val="28"/>
        </w:rPr>
        <w:t>萬人次提升至</w:t>
      </w:r>
      <w:r w:rsidRPr="00D55DC6">
        <w:rPr>
          <w:rFonts w:eastAsia="標楷體"/>
          <w:kern w:val="0"/>
          <w:sz w:val="28"/>
          <w:szCs w:val="28"/>
        </w:rPr>
        <w:t>108</w:t>
      </w:r>
      <w:r w:rsidRPr="00D55DC6">
        <w:rPr>
          <w:rFonts w:eastAsia="標楷體"/>
          <w:kern w:val="0"/>
          <w:sz w:val="28"/>
          <w:szCs w:val="28"/>
        </w:rPr>
        <w:t>年</w:t>
      </w:r>
      <w:r w:rsidRPr="00D55DC6">
        <w:rPr>
          <w:rFonts w:eastAsia="標楷體"/>
          <w:kern w:val="0"/>
          <w:sz w:val="28"/>
          <w:szCs w:val="28"/>
        </w:rPr>
        <w:t>434</w:t>
      </w:r>
      <w:r w:rsidRPr="00D55DC6">
        <w:rPr>
          <w:rFonts w:eastAsia="標楷體"/>
          <w:kern w:val="0"/>
          <w:sz w:val="28"/>
          <w:szCs w:val="28"/>
        </w:rPr>
        <w:t>萬人次，成長</w:t>
      </w:r>
      <w:r w:rsidRPr="00D55DC6">
        <w:rPr>
          <w:rFonts w:eastAsia="標楷體"/>
          <w:kern w:val="0"/>
          <w:sz w:val="28"/>
          <w:szCs w:val="28"/>
        </w:rPr>
        <w:t>21.6%</w:t>
      </w:r>
      <w:r w:rsidRPr="00D55DC6">
        <w:rPr>
          <w:rFonts w:eastAsia="標楷體"/>
          <w:kern w:val="0"/>
          <w:sz w:val="28"/>
          <w:szCs w:val="28"/>
        </w:rPr>
        <w:t>。</w:t>
      </w:r>
    </w:p>
    <w:p w:rsidR="00C050DB" w:rsidRPr="00D55DC6" w:rsidRDefault="00C050DB" w:rsidP="009D33BA">
      <w:pPr>
        <w:snapToGrid w:val="0"/>
        <w:spacing w:beforeLines="30" w:before="108" w:line="460" w:lineRule="exact"/>
        <w:ind w:leftChars="216" w:left="848" w:hangingChars="118" w:hanging="330"/>
        <w:jc w:val="both"/>
        <w:rPr>
          <w:rFonts w:eastAsia="標楷體"/>
          <w:kern w:val="0"/>
          <w:sz w:val="28"/>
          <w:szCs w:val="28"/>
        </w:rPr>
      </w:pPr>
      <w:r w:rsidRPr="00D55DC6">
        <w:rPr>
          <w:rFonts w:eastAsia="標楷體"/>
          <w:kern w:val="0"/>
          <w:sz w:val="28"/>
          <w:szCs w:val="28"/>
        </w:rPr>
        <w:t xml:space="preserve">3. </w:t>
      </w:r>
      <w:r w:rsidRPr="00D55DC6">
        <w:rPr>
          <w:rFonts w:eastAsia="標楷體"/>
          <w:kern w:val="0"/>
          <w:sz w:val="28"/>
          <w:szCs w:val="28"/>
        </w:rPr>
        <w:t>阿里山國家風景區內的遊客分布，依據</w:t>
      </w:r>
      <w:r w:rsidRPr="00D55DC6">
        <w:rPr>
          <w:rFonts w:eastAsia="標楷體"/>
          <w:kern w:val="0"/>
          <w:sz w:val="28"/>
          <w:szCs w:val="28"/>
        </w:rPr>
        <w:t>100</w:t>
      </w:r>
      <w:r w:rsidRPr="00D55DC6">
        <w:rPr>
          <w:rFonts w:eastAsia="標楷體"/>
          <w:kern w:val="0"/>
          <w:sz w:val="28"/>
          <w:szCs w:val="28"/>
        </w:rPr>
        <w:t>年阿里山國家風景區旅遊意向調查報告，遊客主要從臺</w:t>
      </w:r>
      <w:r w:rsidRPr="00D55DC6">
        <w:rPr>
          <w:rFonts w:eastAsia="標楷體"/>
          <w:kern w:val="0"/>
          <w:sz w:val="28"/>
          <w:szCs w:val="28"/>
        </w:rPr>
        <w:t>18</w:t>
      </w:r>
      <w:r w:rsidRPr="00D55DC6">
        <w:rPr>
          <w:rFonts w:eastAsia="標楷體"/>
          <w:kern w:val="0"/>
          <w:sz w:val="28"/>
          <w:szCs w:val="28"/>
        </w:rPr>
        <w:t>線</w:t>
      </w:r>
      <w:r w:rsidRPr="00D55DC6">
        <w:rPr>
          <w:rFonts w:eastAsia="標楷體"/>
          <w:kern w:val="0"/>
          <w:sz w:val="28"/>
          <w:szCs w:val="28"/>
        </w:rPr>
        <w:t>-</w:t>
      </w:r>
      <w:r w:rsidRPr="00D55DC6">
        <w:rPr>
          <w:rFonts w:eastAsia="標楷體"/>
          <w:kern w:val="0"/>
          <w:sz w:val="28"/>
          <w:szCs w:val="28"/>
        </w:rPr>
        <w:t>觸口</w:t>
      </w:r>
      <w:r w:rsidRPr="00D55DC6">
        <w:rPr>
          <w:rFonts w:eastAsia="標楷體"/>
          <w:kern w:val="0"/>
          <w:sz w:val="28"/>
          <w:szCs w:val="28"/>
        </w:rPr>
        <w:t>(60%)</w:t>
      </w:r>
      <w:r w:rsidRPr="00D55DC6">
        <w:rPr>
          <w:rFonts w:eastAsia="標楷體"/>
          <w:kern w:val="0"/>
          <w:sz w:val="28"/>
          <w:szCs w:val="28"/>
        </w:rPr>
        <w:t>進入阿里山國家風景區，其次由縣</w:t>
      </w:r>
      <w:r w:rsidRPr="00D55DC6">
        <w:rPr>
          <w:rFonts w:eastAsia="標楷體"/>
          <w:kern w:val="0"/>
          <w:sz w:val="28"/>
          <w:szCs w:val="28"/>
        </w:rPr>
        <w:t>162</w:t>
      </w:r>
      <w:r w:rsidRPr="00D55DC6">
        <w:rPr>
          <w:rFonts w:eastAsia="標楷體"/>
          <w:kern w:val="0"/>
          <w:sz w:val="28"/>
          <w:szCs w:val="28"/>
        </w:rPr>
        <w:t>甲「太平」</w:t>
      </w:r>
      <w:r w:rsidRPr="00D55DC6">
        <w:rPr>
          <w:rFonts w:eastAsia="標楷體"/>
          <w:kern w:val="0"/>
          <w:sz w:val="28"/>
          <w:szCs w:val="28"/>
        </w:rPr>
        <w:t>(12%)</w:t>
      </w:r>
      <w:r w:rsidRPr="00D55DC6">
        <w:rPr>
          <w:rFonts w:eastAsia="標楷體"/>
          <w:kern w:val="0"/>
          <w:sz w:val="28"/>
          <w:szCs w:val="28"/>
        </w:rPr>
        <w:t>進入；各景點的遊客量分析，</w:t>
      </w:r>
      <w:r w:rsidRPr="00D55DC6">
        <w:rPr>
          <w:rFonts w:eastAsia="標楷體"/>
          <w:kern w:val="0"/>
          <w:sz w:val="28"/>
          <w:szCs w:val="28"/>
        </w:rPr>
        <w:t>102</w:t>
      </w:r>
      <w:r w:rsidRPr="00D55DC6">
        <w:rPr>
          <w:rFonts w:eastAsia="標楷體"/>
          <w:kern w:val="0"/>
          <w:sz w:val="28"/>
          <w:szCs w:val="28"/>
        </w:rPr>
        <w:t>年全</w:t>
      </w:r>
      <w:r w:rsidRPr="00D55DC6">
        <w:rPr>
          <w:rFonts w:eastAsia="標楷體"/>
          <w:kern w:val="0"/>
          <w:sz w:val="28"/>
          <w:szCs w:val="28"/>
        </w:rPr>
        <w:lastRenderedPageBreak/>
        <w:t>區遊客量</w:t>
      </w:r>
      <w:r w:rsidRPr="00D55DC6">
        <w:rPr>
          <w:rFonts w:eastAsia="標楷體"/>
          <w:kern w:val="0"/>
          <w:sz w:val="28"/>
          <w:szCs w:val="28"/>
        </w:rPr>
        <w:t>354</w:t>
      </w:r>
      <w:r w:rsidRPr="00D55DC6">
        <w:rPr>
          <w:rFonts w:eastAsia="標楷體"/>
          <w:kern w:val="0"/>
          <w:sz w:val="28"/>
          <w:szCs w:val="28"/>
        </w:rPr>
        <w:t>萬人次，主要集中在臺</w:t>
      </w:r>
      <w:r w:rsidRPr="00D55DC6">
        <w:rPr>
          <w:rFonts w:eastAsia="標楷體"/>
          <w:kern w:val="0"/>
          <w:sz w:val="28"/>
          <w:szCs w:val="28"/>
        </w:rPr>
        <w:t>18</w:t>
      </w:r>
      <w:r w:rsidRPr="00D55DC6">
        <w:rPr>
          <w:rFonts w:eastAsia="標楷體"/>
          <w:kern w:val="0"/>
          <w:sz w:val="28"/>
          <w:szCs w:val="28"/>
        </w:rPr>
        <w:t>線沿線的阿里山國家森林遊樂區</w:t>
      </w:r>
      <w:r w:rsidRPr="00D55DC6">
        <w:rPr>
          <w:rFonts w:eastAsia="標楷體"/>
          <w:kern w:val="0"/>
          <w:sz w:val="28"/>
          <w:szCs w:val="28"/>
        </w:rPr>
        <w:t>(58%)</w:t>
      </w:r>
      <w:r w:rsidRPr="00D55DC6">
        <w:rPr>
          <w:rFonts w:eastAsia="標楷體"/>
          <w:kern w:val="0"/>
          <w:sz w:val="28"/>
          <w:szCs w:val="28"/>
        </w:rPr>
        <w:t>、奮起湖</w:t>
      </w:r>
      <w:r w:rsidRPr="00D55DC6">
        <w:rPr>
          <w:rFonts w:eastAsia="標楷體"/>
          <w:kern w:val="0"/>
          <w:sz w:val="28"/>
          <w:szCs w:val="28"/>
        </w:rPr>
        <w:t>(36%)</w:t>
      </w:r>
      <w:r w:rsidRPr="00D55DC6">
        <w:rPr>
          <w:rFonts w:eastAsia="標楷體"/>
          <w:kern w:val="0"/>
          <w:sz w:val="28"/>
          <w:szCs w:val="28"/>
        </w:rPr>
        <w:t>，其餘景點之遊客量相對較少。</w:t>
      </w:r>
      <w:r w:rsidRPr="00D55DC6">
        <w:rPr>
          <w:rFonts w:eastAsia="標楷體"/>
          <w:kern w:val="0"/>
          <w:sz w:val="28"/>
          <w:szCs w:val="28"/>
        </w:rPr>
        <w:t xml:space="preserve"> </w:t>
      </w:r>
    </w:p>
    <w:p w:rsidR="00C050DB" w:rsidRPr="00D55DC6" w:rsidRDefault="00C050DB" w:rsidP="009D33BA">
      <w:pPr>
        <w:snapToGrid w:val="0"/>
        <w:spacing w:beforeLines="30" w:before="108" w:line="460" w:lineRule="exact"/>
        <w:ind w:leftChars="216" w:left="848" w:hangingChars="118" w:hanging="330"/>
        <w:jc w:val="both"/>
        <w:rPr>
          <w:rFonts w:eastAsia="標楷體"/>
          <w:kern w:val="0"/>
          <w:sz w:val="28"/>
          <w:szCs w:val="28"/>
        </w:rPr>
      </w:pPr>
      <w:r w:rsidRPr="00D55DC6">
        <w:rPr>
          <w:rFonts w:eastAsia="標楷體"/>
          <w:kern w:val="0"/>
          <w:sz w:val="28"/>
          <w:szCs w:val="28"/>
        </w:rPr>
        <w:t xml:space="preserve">4. </w:t>
      </w:r>
      <w:r w:rsidRPr="00D55DC6">
        <w:rPr>
          <w:rFonts w:eastAsia="標楷體"/>
          <w:kern w:val="0"/>
          <w:sz w:val="28"/>
          <w:szCs w:val="28"/>
        </w:rPr>
        <w:t>阿里山國家風景區的遊客特性，依據交通部觀光局「</w:t>
      </w:r>
      <w:r w:rsidRPr="00D55DC6">
        <w:rPr>
          <w:rFonts w:eastAsia="標楷體"/>
          <w:kern w:val="0"/>
          <w:sz w:val="28"/>
          <w:szCs w:val="28"/>
        </w:rPr>
        <w:t>102</w:t>
      </w:r>
      <w:r w:rsidRPr="00D55DC6">
        <w:rPr>
          <w:rFonts w:eastAsia="標楷體"/>
          <w:kern w:val="0"/>
          <w:sz w:val="28"/>
          <w:szCs w:val="28"/>
        </w:rPr>
        <w:t>年國家風景區遊客調查報告」分析如下：</w:t>
      </w:r>
    </w:p>
    <w:p w:rsidR="00C050DB" w:rsidRPr="00D55DC6" w:rsidRDefault="00C050DB" w:rsidP="0038165F">
      <w:pPr>
        <w:snapToGrid w:val="0"/>
        <w:spacing w:line="460" w:lineRule="exact"/>
        <w:ind w:leftChars="216" w:left="1134" w:hangingChars="220" w:hanging="616"/>
        <w:jc w:val="both"/>
        <w:rPr>
          <w:rFonts w:eastAsia="標楷體"/>
          <w:kern w:val="0"/>
          <w:sz w:val="28"/>
          <w:szCs w:val="28"/>
        </w:rPr>
      </w:pPr>
      <w:r w:rsidRPr="00D55DC6">
        <w:rPr>
          <w:rFonts w:eastAsia="標楷體"/>
          <w:kern w:val="0"/>
          <w:sz w:val="28"/>
          <w:szCs w:val="28"/>
        </w:rPr>
        <w:t xml:space="preserve"> (1) </w:t>
      </w:r>
      <w:r w:rsidRPr="00D55DC6">
        <w:rPr>
          <w:rFonts w:eastAsia="標楷體"/>
          <w:kern w:val="0"/>
          <w:sz w:val="28"/>
          <w:szCs w:val="28"/>
        </w:rPr>
        <w:t>旅遊決策：到阿里山國家風景區旅遊以自行規劃遊程為主</w:t>
      </w:r>
      <w:r w:rsidRPr="00D55DC6">
        <w:rPr>
          <w:rFonts w:eastAsia="標楷體"/>
          <w:kern w:val="0"/>
          <w:sz w:val="28"/>
          <w:szCs w:val="28"/>
        </w:rPr>
        <w:t>(92%)</w:t>
      </w:r>
      <w:r w:rsidRPr="00D55DC6">
        <w:rPr>
          <w:rFonts w:eastAsia="標楷體"/>
          <w:kern w:val="0"/>
          <w:sz w:val="28"/>
          <w:szCs w:val="28"/>
        </w:rPr>
        <w:t>，旅遊資訊以透過電腦網路獲得之比例最高</w:t>
      </w:r>
      <w:r w:rsidRPr="00D55DC6">
        <w:rPr>
          <w:rFonts w:eastAsia="標楷體"/>
          <w:kern w:val="0"/>
          <w:sz w:val="28"/>
          <w:szCs w:val="28"/>
        </w:rPr>
        <w:t>(49%)</w:t>
      </w:r>
      <w:r w:rsidRPr="00D55DC6">
        <w:rPr>
          <w:rFonts w:eastAsia="標楷體"/>
          <w:kern w:val="0"/>
          <w:sz w:val="28"/>
          <w:szCs w:val="28"/>
        </w:rPr>
        <w:t>，最主要的交通工具是自小客車</w:t>
      </w:r>
      <w:r w:rsidRPr="00D55DC6">
        <w:rPr>
          <w:rFonts w:eastAsia="標楷體"/>
          <w:kern w:val="0"/>
          <w:sz w:val="28"/>
          <w:szCs w:val="28"/>
        </w:rPr>
        <w:t>(75%)</w:t>
      </w:r>
      <w:r w:rsidRPr="00D55DC6">
        <w:rPr>
          <w:rFonts w:eastAsia="標楷體"/>
          <w:kern w:val="0"/>
          <w:sz w:val="28"/>
          <w:szCs w:val="28"/>
        </w:rPr>
        <w:t>，旅遊同伴主要為家人</w:t>
      </w:r>
      <w:r w:rsidRPr="00D55DC6">
        <w:rPr>
          <w:rFonts w:eastAsia="標楷體"/>
          <w:kern w:val="0"/>
          <w:sz w:val="28"/>
          <w:szCs w:val="28"/>
        </w:rPr>
        <w:t>(60%)</w:t>
      </w:r>
      <w:r w:rsidRPr="00D55DC6">
        <w:rPr>
          <w:rFonts w:eastAsia="標楷體"/>
          <w:kern w:val="0"/>
          <w:sz w:val="28"/>
          <w:szCs w:val="28"/>
        </w:rPr>
        <w:t>，選擇到此旅遊的主要原因為景觀優美</w:t>
      </w:r>
      <w:r w:rsidRPr="00D55DC6">
        <w:rPr>
          <w:rFonts w:eastAsia="標楷體"/>
          <w:kern w:val="0"/>
          <w:sz w:val="28"/>
          <w:szCs w:val="28"/>
        </w:rPr>
        <w:t>(82%)</w:t>
      </w:r>
      <w:r w:rsidRPr="00D55DC6">
        <w:rPr>
          <w:rFonts w:eastAsia="標楷體"/>
          <w:kern w:val="0"/>
          <w:sz w:val="28"/>
          <w:szCs w:val="28"/>
        </w:rPr>
        <w:t>。</w:t>
      </w:r>
    </w:p>
    <w:p w:rsidR="00C050DB" w:rsidRPr="00D55DC6" w:rsidRDefault="00C050DB" w:rsidP="0038165F">
      <w:pPr>
        <w:snapToGrid w:val="0"/>
        <w:spacing w:line="460" w:lineRule="exact"/>
        <w:ind w:leftChars="216" w:left="1134" w:hangingChars="220" w:hanging="616"/>
        <w:jc w:val="both"/>
        <w:rPr>
          <w:rFonts w:eastAsia="標楷體"/>
          <w:kern w:val="0"/>
          <w:sz w:val="28"/>
          <w:szCs w:val="28"/>
        </w:rPr>
      </w:pPr>
      <w:r w:rsidRPr="00D55DC6">
        <w:rPr>
          <w:rFonts w:eastAsia="標楷體"/>
          <w:kern w:val="0"/>
          <w:sz w:val="28"/>
          <w:szCs w:val="28"/>
        </w:rPr>
        <w:t xml:space="preserve"> (2) </w:t>
      </w:r>
      <w:r w:rsidRPr="00D55DC6">
        <w:rPr>
          <w:rFonts w:eastAsia="標楷體"/>
          <w:kern w:val="0"/>
          <w:sz w:val="28"/>
          <w:szCs w:val="28"/>
        </w:rPr>
        <w:t>遊憩行為：在阿里山國家風景區內旅遊天數有</w:t>
      </w:r>
      <w:r w:rsidRPr="00D55DC6">
        <w:rPr>
          <w:rFonts w:eastAsia="標楷體"/>
          <w:kern w:val="0"/>
          <w:sz w:val="28"/>
          <w:szCs w:val="28"/>
        </w:rPr>
        <w:t>46%</w:t>
      </w:r>
      <w:r w:rsidRPr="00D55DC6">
        <w:rPr>
          <w:rFonts w:eastAsia="標楷體"/>
          <w:kern w:val="0"/>
          <w:sz w:val="28"/>
          <w:szCs w:val="28"/>
        </w:rPr>
        <w:t>為</w:t>
      </w:r>
      <w:r w:rsidRPr="00D55DC6">
        <w:rPr>
          <w:rFonts w:eastAsia="標楷體"/>
          <w:kern w:val="0"/>
          <w:sz w:val="28"/>
          <w:szCs w:val="28"/>
        </w:rPr>
        <w:t>2</w:t>
      </w:r>
      <w:r w:rsidRPr="00D55DC6">
        <w:rPr>
          <w:rFonts w:eastAsia="標楷體"/>
          <w:kern w:val="0"/>
          <w:sz w:val="28"/>
          <w:szCs w:val="28"/>
        </w:rPr>
        <w:t>天</w:t>
      </w:r>
      <w:r w:rsidRPr="00D55DC6">
        <w:rPr>
          <w:rFonts w:eastAsia="標楷體"/>
          <w:kern w:val="0"/>
          <w:sz w:val="28"/>
          <w:szCs w:val="28"/>
        </w:rPr>
        <w:t>1</w:t>
      </w:r>
      <w:r w:rsidRPr="00D55DC6">
        <w:rPr>
          <w:rFonts w:eastAsia="標楷體"/>
          <w:kern w:val="0"/>
          <w:sz w:val="28"/>
          <w:szCs w:val="28"/>
        </w:rPr>
        <w:t>夜，其次為</w:t>
      </w:r>
      <w:r w:rsidRPr="00D55DC6">
        <w:rPr>
          <w:rFonts w:eastAsia="標楷體"/>
          <w:kern w:val="0"/>
          <w:sz w:val="28"/>
          <w:szCs w:val="28"/>
        </w:rPr>
        <w:t>1</w:t>
      </w:r>
      <w:r w:rsidRPr="00D55DC6">
        <w:rPr>
          <w:rFonts w:eastAsia="標楷體"/>
          <w:kern w:val="0"/>
          <w:sz w:val="28"/>
          <w:szCs w:val="28"/>
        </w:rPr>
        <w:t>天不過夜</w:t>
      </w:r>
      <w:r w:rsidRPr="00D55DC6">
        <w:rPr>
          <w:rFonts w:eastAsia="標楷體"/>
          <w:kern w:val="0"/>
          <w:sz w:val="28"/>
          <w:szCs w:val="28"/>
        </w:rPr>
        <w:t>(30%)</w:t>
      </w:r>
      <w:r w:rsidRPr="00D55DC6">
        <w:rPr>
          <w:rFonts w:eastAsia="標楷體"/>
          <w:kern w:val="0"/>
          <w:sz w:val="28"/>
          <w:szCs w:val="28"/>
        </w:rPr>
        <w:t>、半天</w:t>
      </w:r>
      <w:r w:rsidRPr="00D55DC6">
        <w:rPr>
          <w:rFonts w:eastAsia="標楷體"/>
          <w:kern w:val="0"/>
          <w:sz w:val="28"/>
          <w:szCs w:val="28"/>
        </w:rPr>
        <w:t>(19%)</w:t>
      </w:r>
      <w:r w:rsidRPr="00D55DC6">
        <w:rPr>
          <w:rFonts w:eastAsia="標楷體"/>
          <w:kern w:val="0"/>
          <w:sz w:val="28"/>
          <w:szCs w:val="28"/>
        </w:rPr>
        <w:t>，住宿方式以民宿為主</w:t>
      </w:r>
      <w:r w:rsidRPr="00D55DC6">
        <w:rPr>
          <w:rFonts w:eastAsia="標楷體"/>
          <w:kern w:val="0"/>
          <w:sz w:val="28"/>
          <w:szCs w:val="28"/>
        </w:rPr>
        <w:t>(71%)</w:t>
      </w:r>
      <w:r w:rsidRPr="00D55DC6">
        <w:rPr>
          <w:rFonts w:eastAsia="標楷體"/>
          <w:kern w:val="0"/>
          <w:sz w:val="28"/>
          <w:szCs w:val="28"/>
        </w:rPr>
        <w:t>、其次為旅館</w:t>
      </w:r>
      <w:r w:rsidRPr="00D55DC6">
        <w:rPr>
          <w:rFonts w:eastAsia="標楷體"/>
          <w:kern w:val="0"/>
          <w:sz w:val="28"/>
          <w:szCs w:val="28"/>
        </w:rPr>
        <w:t>(21%)</w:t>
      </w:r>
      <w:r w:rsidRPr="00D55DC6">
        <w:rPr>
          <w:rFonts w:eastAsia="標楷體"/>
          <w:kern w:val="0"/>
          <w:sz w:val="28"/>
          <w:szCs w:val="28"/>
        </w:rPr>
        <w:t>，有</w:t>
      </w:r>
      <w:r w:rsidRPr="00D55DC6">
        <w:rPr>
          <w:rFonts w:eastAsia="標楷體"/>
          <w:kern w:val="0"/>
          <w:sz w:val="28"/>
          <w:szCs w:val="28"/>
        </w:rPr>
        <w:t>98%</w:t>
      </w:r>
      <w:r w:rsidRPr="00D55DC6">
        <w:rPr>
          <w:rFonts w:eastAsia="標楷體"/>
          <w:kern w:val="0"/>
          <w:sz w:val="28"/>
          <w:szCs w:val="28"/>
        </w:rPr>
        <w:t>的受訪遊客表示願意重遊，不願意重遊的原因包括交通不便、缺乏特色等。</w:t>
      </w:r>
    </w:p>
    <w:p w:rsidR="00C050DB" w:rsidRPr="00D55DC6" w:rsidRDefault="00C050DB" w:rsidP="0038165F">
      <w:pPr>
        <w:snapToGrid w:val="0"/>
        <w:spacing w:line="460" w:lineRule="exact"/>
        <w:ind w:leftChars="216" w:left="1134" w:hangingChars="220" w:hanging="616"/>
        <w:jc w:val="both"/>
        <w:rPr>
          <w:rFonts w:eastAsia="標楷體"/>
          <w:kern w:val="0"/>
          <w:sz w:val="28"/>
          <w:szCs w:val="28"/>
        </w:rPr>
      </w:pPr>
      <w:r w:rsidRPr="00D55DC6">
        <w:rPr>
          <w:rFonts w:eastAsia="標楷體"/>
          <w:kern w:val="0"/>
          <w:sz w:val="28"/>
          <w:szCs w:val="28"/>
        </w:rPr>
        <w:t xml:space="preserve"> (3) </w:t>
      </w:r>
      <w:r w:rsidRPr="00D55DC6">
        <w:rPr>
          <w:rFonts w:eastAsia="標楷體"/>
          <w:kern w:val="0"/>
          <w:sz w:val="28"/>
          <w:szCs w:val="28"/>
        </w:rPr>
        <w:t>旅遊偏好：有</w:t>
      </w:r>
      <w:r w:rsidRPr="00D55DC6">
        <w:rPr>
          <w:rFonts w:eastAsia="標楷體"/>
          <w:kern w:val="0"/>
          <w:sz w:val="28"/>
          <w:szCs w:val="28"/>
        </w:rPr>
        <w:t>93%</w:t>
      </w:r>
      <w:r w:rsidRPr="00D55DC6">
        <w:rPr>
          <w:rFonts w:eastAsia="標楷體"/>
          <w:kern w:val="0"/>
          <w:sz w:val="28"/>
          <w:szCs w:val="28"/>
        </w:rPr>
        <w:t>的受訪遊客表示，在阿里山國家風景區內喜歡從事的活動項目為自然賞景</w:t>
      </w:r>
      <w:r w:rsidRPr="00D55DC6">
        <w:rPr>
          <w:rFonts w:eastAsia="標楷體"/>
          <w:kern w:val="0"/>
          <w:sz w:val="28"/>
          <w:szCs w:val="28"/>
        </w:rPr>
        <w:t>(</w:t>
      </w:r>
      <w:r w:rsidRPr="00D55DC6">
        <w:rPr>
          <w:rFonts w:eastAsia="標楷體"/>
          <w:kern w:val="0"/>
          <w:sz w:val="28"/>
          <w:szCs w:val="28"/>
        </w:rPr>
        <w:t>觀賞田園風光、溪流瀑布、動植物、日出</w:t>
      </w:r>
      <w:r w:rsidRPr="00D55DC6">
        <w:rPr>
          <w:rFonts w:eastAsia="標楷體"/>
          <w:kern w:val="0"/>
          <w:sz w:val="28"/>
          <w:szCs w:val="28"/>
        </w:rPr>
        <w:t>)</w:t>
      </w:r>
      <w:r w:rsidRPr="00D55DC6">
        <w:rPr>
          <w:rFonts w:eastAsia="標楷體"/>
          <w:kern w:val="0"/>
          <w:sz w:val="28"/>
          <w:szCs w:val="28"/>
        </w:rPr>
        <w:t>，其次為運動型活動</w:t>
      </w:r>
      <w:r w:rsidRPr="00D55DC6">
        <w:rPr>
          <w:rFonts w:eastAsia="標楷體"/>
          <w:kern w:val="0"/>
          <w:sz w:val="28"/>
          <w:szCs w:val="28"/>
        </w:rPr>
        <w:t>(48%)(</w:t>
      </w:r>
      <w:r w:rsidRPr="00D55DC6">
        <w:rPr>
          <w:rFonts w:eastAsia="標楷體"/>
          <w:kern w:val="0"/>
          <w:sz w:val="28"/>
          <w:szCs w:val="28"/>
        </w:rPr>
        <w:t>登山、森林步道健行</w:t>
      </w:r>
      <w:r w:rsidRPr="00D55DC6">
        <w:rPr>
          <w:rFonts w:eastAsia="標楷體"/>
          <w:kern w:val="0"/>
          <w:sz w:val="28"/>
          <w:szCs w:val="28"/>
        </w:rPr>
        <w:t>)</w:t>
      </w:r>
      <w:r w:rsidRPr="00D55DC6">
        <w:rPr>
          <w:rFonts w:eastAsia="標楷體"/>
          <w:kern w:val="0"/>
          <w:sz w:val="28"/>
          <w:szCs w:val="28"/>
        </w:rPr>
        <w:t>、文化體驗</w:t>
      </w:r>
      <w:r w:rsidRPr="00D55DC6">
        <w:rPr>
          <w:rFonts w:eastAsia="標楷體"/>
          <w:kern w:val="0"/>
          <w:sz w:val="28"/>
          <w:szCs w:val="28"/>
        </w:rPr>
        <w:t>(38%)(</w:t>
      </w:r>
      <w:r w:rsidRPr="00D55DC6">
        <w:rPr>
          <w:rFonts w:eastAsia="標楷體"/>
          <w:kern w:val="0"/>
          <w:sz w:val="28"/>
          <w:szCs w:val="28"/>
        </w:rPr>
        <w:t>鐵道懷舊、原住民文化體驗</w:t>
      </w:r>
      <w:r w:rsidRPr="00D55DC6">
        <w:rPr>
          <w:rFonts w:eastAsia="標楷體"/>
          <w:kern w:val="0"/>
          <w:sz w:val="28"/>
          <w:szCs w:val="28"/>
        </w:rPr>
        <w:t>)</w:t>
      </w:r>
      <w:r w:rsidRPr="00D55DC6">
        <w:rPr>
          <w:rFonts w:eastAsia="標楷體"/>
          <w:kern w:val="0"/>
          <w:sz w:val="28"/>
          <w:szCs w:val="28"/>
        </w:rPr>
        <w:t>，及其他休閒活動</w:t>
      </w:r>
      <w:r w:rsidRPr="00D55DC6">
        <w:rPr>
          <w:rFonts w:eastAsia="標楷體"/>
          <w:kern w:val="0"/>
          <w:sz w:val="28"/>
          <w:szCs w:val="28"/>
        </w:rPr>
        <w:t>(29%)(</w:t>
      </w:r>
      <w:r w:rsidRPr="00D55DC6">
        <w:rPr>
          <w:rFonts w:eastAsia="標楷體"/>
          <w:kern w:val="0"/>
          <w:sz w:val="28"/>
          <w:szCs w:val="28"/>
        </w:rPr>
        <w:t>品嚐當地美食、茗茶、喝咖啡</w:t>
      </w:r>
      <w:r w:rsidRPr="00D55DC6">
        <w:rPr>
          <w:rFonts w:eastAsia="標楷體"/>
          <w:kern w:val="0"/>
          <w:sz w:val="28"/>
          <w:szCs w:val="28"/>
        </w:rPr>
        <w:t>)</w:t>
      </w:r>
      <w:r w:rsidRPr="00D55DC6">
        <w:rPr>
          <w:rFonts w:eastAsia="標楷體"/>
          <w:kern w:val="0"/>
          <w:sz w:val="28"/>
          <w:szCs w:val="28"/>
        </w:rPr>
        <w:t>。</w:t>
      </w:r>
    </w:p>
    <w:p w:rsidR="00C050DB" w:rsidRPr="00D55DC6" w:rsidRDefault="00C050DB" w:rsidP="0038165F">
      <w:pPr>
        <w:snapToGrid w:val="0"/>
        <w:spacing w:line="460" w:lineRule="exact"/>
        <w:ind w:leftChars="216" w:left="1134" w:hangingChars="220" w:hanging="616"/>
        <w:jc w:val="both"/>
        <w:rPr>
          <w:rFonts w:eastAsia="標楷體"/>
          <w:kern w:val="0"/>
          <w:sz w:val="28"/>
          <w:szCs w:val="28"/>
        </w:rPr>
      </w:pPr>
      <w:r w:rsidRPr="00D55DC6">
        <w:rPr>
          <w:rFonts w:eastAsia="標楷體"/>
          <w:kern w:val="0"/>
          <w:sz w:val="28"/>
          <w:szCs w:val="28"/>
        </w:rPr>
        <w:t xml:space="preserve"> (4) </w:t>
      </w:r>
      <w:r w:rsidRPr="00D55DC6">
        <w:rPr>
          <w:rFonts w:eastAsia="標楷體"/>
          <w:kern w:val="0"/>
          <w:sz w:val="28"/>
          <w:szCs w:val="28"/>
        </w:rPr>
        <w:t>消費行為：在阿里山國家風景區旅遊之受訪遊客平均預計消費金額為</w:t>
      </w:r>
      <w:r w:rsidRPr="00D55DC6">
        <w:rPr>
          <w:rFonts w:eastAsia="標楷體"/>
          <w:kern w:val="0"/>
          <w:sz w:val="28"/>
          <w:szCs w:val="28"/>
        </w:rPr>
        <w:t>2,068</w:t>
      </w:r>
      <w:r w:rsidRPr="00D55DC6">
        <w:rPr>
          <w:rFonts w:eastAsia="標楷體"/>
          <w:kern w:val="0"/>
          <w:sz w:val="28"/>
          <w:szCs w:val="28"/>
        </w:rPr>
        <w:t>元</w:t>
      </w:r>
      <w:r w:rsidRPr="00D55DC6">
        <w:rPr>
          <w:rFonts w:eastAsia="標楷體"/>
          <w:kern w:val="0"/>
          <w:sz w:val="28"/>
          <w:szCs w:val="28"/>
        </w:rPr>
        <w:t>(</w:t>
      </w:r>
      <w:r w:rsidRPr="00D55DC6">
        <w:rPr>
          <w:rFonts w:eastAsia="標楷體"/>
          <w:kern w:val="0"/>
          <w:sz w:val="28"/>
          <w:szCs w:val="28"/>
        </w:rPr>
        <w:t>平均旅遊天數</w:t>
      </w:r>
      <w:r w:rsidRPr="00D55DC6">
        <w:rPr>
          <w:rFonts w:eastAsia="標楷體"/>
          <w:kern w:val="0"/>
          <w:sz w:val="28"/>
          <w:szCs w:val="28"/>
        </w:rPr>
        <w:t>1.49</w:t>
      </w:r>
      <w:r w:rsidRPr="00D55DC6">
        <w:rPr>
          <w:rFonts w:eastAsia="標楷體"/>
          <w:kern w:val="0"/>
          <w:sz w:val="28"/>
          <w:szCs w:val="28"/>
        </w:rPr>
        <w:t>天，平均每日消費金額為</w:t>
      </w:r>
      <w:r w:rsidRPr="00D55DC6">
        <w:rPr>
          <w:rFonts w:eastAsia="標楷體"/>
          <w:kern w:val="0"/>
          <w:sz w:val="28"/>
          <w:szCs w:val="28"/>
        </w:rPr>
        <w:t>1,388</w:t>
      </w:r>
      <w:r w:rsidRPr="00D55DC6">
        <w:rPr>
          <w:rFonts w:eastAsia="標楷體"/>
          <w:kern w:val="0"/>
          <w:sz w:val="28"/>
          <w:szCs w:val="28"/>
        </w:rPr>
        <w:t>元</w:t>
      </w:r>
      <w:r w:rsidRPr="00D55DC6">
        <w:rPr>
          <w:rFonts w:eastAsia="標楷體"/>
          <w:kern w:val="0"/>
          <w:sz w:val="28"/>
          <w:szCs w:val="28"/>
        </w:rPr>
        <w:t>)</w:t>
      </w:r>
      <w:r w:rsidRPr="00D55DC6">
        <w:rPr>
          <w:rFonts w:eastAsia="標楷體"/>
          <w:kern w:val="0"/>
          <w:sz w:val="28"/>
          <w:szCs w:val="28"/>
        </w:rPr>
        <w:t>。</w:t>
      </w:r>
    </w:p>
    <w:p w:rsidR="00C050DB" w:rsidRPr="00D55DC6" w:rsidRDefault="00C050DB" w:rsidP="0038165F">
      <w:pPr>
        <w:snapToGrid w:val="0"/>
        <w:spacing w:line="460" w:lineRule="exact"/>
        <w:ind w:leftChars="215" w:left="838" w:hangingChars="115" w:hanging="322"/>
        <w:jc w:val="both"/>
        <w:rPr>
          <w:rFonts w:eastAsia="標楷體"/>
          <w:kern w:val="0"/>
          <w:sz w:val="28"/>
          <w:szCs w:val="28"/>
        </w:rPr>
      </w:pPr>
      <w:r w:rsidRPr="00D55DC6">
        <w:rPr>
          <w:rFonts w:eastAsia="標楷體"/>
          <w:kern w:val="0"/>
          <w:sz w:val="28"/>
          <w:szCs w:val="28"/>
        </w:rPr>
        <w:t xml:space="preserve">5. </w:t>
      </w:r>
      <w:r w:rsidRPr="00D55DC6">
        <w:rPr>
          <w:rFonts w:eastAsia="標楷體"/>
          <w:kern w:val="0"/>
          <w:sz w:val="28"/>
          <w:szCs w:val="28"/>
        </w:rPr>
        <w:t>大阿里山地區的住宿設施，目前阿里山國家風景區內的旅館及民宿計</w:t>
      </w:r>
      <w:r w:rsidRPr="00D55DC6">
        <w:rPr>
          <w:rFonts w:eastAsia="標楷體"/>
          <w:kern w:val="0"/>
          <w:sz w:val="28"/>
          <w:szCs w:val="28"/>
        </w:rPr>
        <w:t>196</w:t>
      </w:r>
      <w:r w:rsidRPr="00D55DC6">
        <w:rPr>
          <w:rFonts w:eastAsia="標楷體"/>
          <w:kern w:val="0"/>
          <w:sz w:val="28"/>
          <w:szCs w:val="28"/>
        </w:rPr>
        <w:t>家、</w:t>
      </w:r>
      <w:r w:rsidRPr="00D55DC6">
        <w:rPr>
          <w:rFonts w:eastAsia="標楷體"/>
          <w:kern w:val="0"/>
          <w:sz w:val="28"/>
          <w:szCs w:val="28"/>
        </w:rPr>
        <w:t>1,944</w:t>
      </w:r>
      <w:r w:rsidRPr="00D55DC6">
        <w:rPr>
          <w:rFonts w:eastAsia="標楷體"/>
          <w:kern w:val="0"/>
          <w:sz w:val="28"/>
          <w:szCs w:val="28"/>
        </w:rPr>
        <w:t>間房，鄰近嘉義縣市的旅館及民宿則可提供</w:t>
      </w:r>
      <w:r w:rsidRPr="00D55DC6">
        <w:rPr>
          <w:rFonts w:eastAsia="標楷體"/>
          <w:kern w:val="0"/>
          <w:sz w:val="28"/>
          <w:szCs w:val="28"/>
        </w:rPr>
        <w:t>4,994</w:t>
      </w:r>
      <w:r w:rsidRPr="00D55DC6">
        <w:rPr>
          <w:rFonts w:eastAsia="標楷體"/>
          <w:kern w:val="0"/>
          <w:sz w:val="28"/>
          <w:szCs w:val="28"/>
        </w:rPr>
        <w:t>間房，合計為</w:t>
      </w:r>
      <w:r w:rsidRPr="00D55DC6">
        <w:rPr>
          <w:rFonts w:eastAsia="標楷體"/>
          <w:kern w:val="0"/>
          <w:sz w:val="28"/>
          <w:szCs w:val="28"/>
        </w:rPr>
        <w:t>6,938</w:t>
      </w:r>
      <w:r w:rsidRPr="00D55DC6">
        <w:rPr>
          <w:rFonts w:eastAsia="標楷體"/>
          <w:kern w:val="0"/>
          <w:sz w:val="28"/>
          <w:szCs w:val="28"/>
        </w:rPr>
        <w:t>間房。依管理處</w:t>
      </w:r>
      <w:r w:rsidRPr="00D55DC6">
        <w:rPr>
          <w:rFonts w:eastAsia="標楷體"/>
          <w:kern w:val="0"/>
          <w:sz w:val="28"/>
          <w:szCs w:val="28"/>
        </w:rPr>
        <w:t>100</w:t>
      </w:r>
      <w:r w:rsidRPr="00D55DC6">
        <w:rPr>
          <w:rFonts w:eastAsia="標楷體"/>
          <w:kern w:val="0"/>
          <w:sz w:val="28"/>
          <w:szCs w:val="28"/>
        </w:rPr>
        <w:t>年阿里山國家風景區旅遊意向調查報告，遊客留宿率為</w:t>
      </w:r>
      <w:r w:rsidRPr="00D55DC6">
        <w:rPr>
          <w:rFonts w:eastAsia="標楷體"/>
          <w:kern w:val="0"/>
          <w:sz w:val="28"/>
          <w:szCs w:val="28"/>
        </w:rPr>
        <w:t>40.97%</w:t>
      </w:r>
      <w:r w:rsidRPr="00D55DC6">
        <w:rPr>
          <w:rFonts w:eastAsia="標楷體"/>
          <w:kern w:val="0"/>
          <w:sz w:val="28"/>
          <w:szCs w:val="28"/>
        </w:rPr>
        <w:t>，預估</w:t>
      </w:r>
      <w:r w:rsidRPr="00D55DC6">
        <w:rPr>
          <w:rFonts w:eastAsia="標楷體"/>
          <w:kern w:val="0"/>
          <w:sz w:val="28"/>
          <w:szCs w:val="28"/>
        </w:rPr>
        <w:t>108</w:t>
      </w:r>
      <w:r w:rsidRPr="00D55DC6">
        <w:rPr>
          <w:rFonts w:eastAsia="標楷體"/>
          <w:kern w:val="0"/>
          <w:sz w:val="28"/>
          <w:szCs w:val="28"/>
        </w:rPr>
        <w:t>年假日尖峰之遊客住宿需求量為</w:t>
      </w:r>
      <w:r w:rsidRPr="00D55DC6">
        <w:rPr>
          <w:rFonts w:eastAsia="標楷體"/>
          <w:kern w:val="0"/>
          <w:sz w:val="28"/>
          <w:szCs w:val="28"/>
        </w:rPr>
        <w:t>5,367</w:t>
      </w:r>
      <w:r w:rsidRPr="00D55DC6">
        <w:rPr>
          <w:rFonts w:eastAsia="標楷體"/>
          <w:kern w:val="0"/>
          <w:sz w:val="28"/>
          <w:szCs w:val="28"/>
        </w:rPr>
        <w:t>間房，以大阿里山地區的住宿設施</w:t>
      </w:r>
      <w:r w:rsidRPr="00D55DC6">
        <w:rPr>
          <w:rFonts w:eastAsia="標楷體"/>
          <w:kern w:val="0"/>
          <w:sz w:val="28"/>
          <w:szCs w:val="28"/>
        </w:rPr>
        <w:t>(</w:t>
      </w:r>
      <w:r w:rsidRPr="00D55DC6">
        <w:rPr>
          <w:rFonts w:eastAsia="標楷體"/>
          <w:kern w:val="0"/>
          <w:sz w:val="28"/>
          <w:szCs w:val="28"/>
        </w:rPr>
        <w:t>包含嘉義縣市</w:t>
      </w:r>
      <w:r w:rsidRPr="00D55DC6">
        <w:rPr>
          <w:rFonts w:eastAsia="標楷體"/>
          <w:kern w:val="0"/>
          <w:sz w:val="28"/>
          <w:szCs w:val="28"/>
        </w:rPr>
        <w:t>)</w:t>
      </w:r>
      <w:r w:rsidRPr="00D55DC6">
        <w:rPr>
          <w:rFonts w:eastAsia="標楷體"/>
          <w:kern w:val="0"/>
          <w:sz w:val="28"/>
          <w:szCs w:val="28"/>
        </w:rPr>
        <w:t>應可滿足</w:t>
      </w:r>
      <w:r w:rsidRPr="00D55DC6">
        <w:rPr>
          <w:rFonts w:eastAsia="標楷體"/>
          <w:kern w:val="0"/>
          <w:sz w:val="28"/>
          <w:szCs w:val="28"/>
        </w:rPr>
        <w:t>108</w:t>
      </w:r>
      <w:r w:rsidRPr="00D55DC6">
        <w:rPr>
          <w:rFonts w:eastAsia="標楷體"/>
          <w:kern w:val="0"/>
          <w:sz w:val="28"/>
          <w:szCs w:val="28"/>
        </w:rPr>
        <w:t>年之住宿需求，惟亦顯示阿里山國家風景區內之住宿供給仍有相當大的發展空間，應可考量環境區位、土地開發適宜性及市場成熟度，適度發展住宿設施。</w:t>
      </w:r>
    </w:p>
    <w:p w:rsidR="00C050DB" w:rsidRPr="00D55DC6" w:rsidRDefault="00C050DB" w:rsidP="0038165F">
      <w:pPr>
        <w:snapToGrid w:val="0"/>
        <w:spacing w:line="460" w:lineRule="exact"/>
        <w:ind w:leftChars="215" w:left="838" w:hangingChars="115" w:hanging="322"/>
        <w:jc w:val="both"/>
        <w:rPr>
          <w:rFonts w:eastAsia="標楷體"/>
          <w:kern w:val="0"/>
          <w:sz w:val="28"/>
          <w:szCs w:val="28"/>
        </w:rPr>
      </w:pPr>
    </w:p>
    <w:p w:rsidR="00C050DB" w:rsidRPr="00D55DC6" w:rsidRDefault="00C050DB" w:rsidP="0038165F">
      <w:pPr>
        <w:snapToGrid w:val="0"/>
        <w:spacing w:line="460" w:lineRule="exact"/>
        <w:ind w:leftChars="215" w:left="838" w:hangingChars="115" w:hanging="322"/>
        <w:jc w:val="both"/>
        <w:rPr>
          <w:rFonts w:eastAsia="標楷體"/>
          <w:kern w:val="0"/>
          <w:sz w:val="28"/>
          <w:szCs w:val="28"/>
        </w:rPr>
      </w:pPr>
    </w:p>
    <w:p w:rsidR="00C050DB" w:rsidRPr="00D55DC6" w:rsidRDefault="00C050DB" w:rsidP="004865C1">
      <w:pPr>
        <w:numPr>
          <w:ilvl w:val="0"/>
          <w:numId w:val="87"/>
        </w:numPr>
        <w:snapToGrid w:val="0"/>
        <w:spacing w:beforeLines="50" w:before="180" w:line="460" w:lineRule="exact"/>
        <w:ind w:left="862" w:hanging="862"/>
        <w:jc w:val="both"/>
        <w:rPr>
          <w:rFonts w:eastAsia="標楷體"/>
          <w:b/>
          <w:sz w:val="28"/>
          <w:szCs w:val="28"/>
        </w:rPr>
      </w:pPr>
      <w:r w:rsidRPr="00D55DC6">
        <w:rPr>
          <w:rFonts w:eastAsia="標楷體"/>
          <w:b/>
          <w:sz w:val="28"/>
          <w:szCs w:val="28"/>
        </w:rPr>
        <w:lastRenderedPageBreak/>
        <w:t>問題評析</w:t>
      </w:r>
    </w:p>
    <w:p w:rsidR="00C050DB" w:rsidRPr="00D55DC6" w:rsidRDefault="00C050DB" w:rsidP="009D33BA">
      <w:pPr>
        <w:snapToGrid w:val="0"/>
        <w:spacing w:beforeLines="30" w:before="108" w:line="460" w:lineRule="exact"/>
        <w:ind w:leftChars="216" w:left="849" w:hangingChars="118" w:hanging="331"/>
        <w:jc w:val="both"/>
        <w:rPr>
          <w:rFonts w:eastAsia="標楷體"/>
          <w:b/>
          <w:kern w:val="0"/>
          <w:sz w:val="28"/>
          <w:szCs w:val="28"/>
        </w:rPr>
      </w:pPr>
      <w:r w:rsidRPr="00D55DC6">
        <w:rPr>
          <w:rFonts w:eastAsia="標楷體"/>
          <w:b/>
          <w:kern w:val="0"/>
          <w:sz w:val="28"/>
          <w:szCs w:val="28"/>
        </w:rPr>
        <w:t xml:space="preserve">1. </w:t>
      </w:r>
      <w:r w:rsidRPr="00D55DC6">
        <w:rPr>
          <w:rFonts w:eastAsia="標楷體"/>
          <w:b/>
          <w:kern w:val="0"/>
          <w:sz w:val="28"/>
          <w:szCs w:val="28"/>
        </w:rPr>
        <w:t>區域觀光發展不均，遊客過度集中，部分景點遊憩承載壓力過重</w:t>
      </w:r>
    </w:p>
    <w:p w:rsidR="00C050DB" w:rsidRPr="00D55DC6" w:rsidRDefault="00C050DB" w:rsidP="0038165F">
      <w:pPr>
        <w:snapToGrid w:val="0"/>
        <w:spacing w:line="460" w:lineRule="exact"/>
        <w:ind w:leftChars="350" w:left="848" w:hangingChars="3" w:hanging="8"/>
        <w:jc w:val="both"/>
        <w:rPr>
          <w:rFonts w:eastAsia="標楷體"/>
          <w:kern w:val="0"/>
          <w:sz w:val="28"/>
          <w:szCs w:val="28"/>
        </w:rPr>
      </w:pPr>
      <w:r w:rsidRPr="00D55DC6">
        <w:rPr>
          <w:rFonts w:eastAsia="標楷體"/>
          <w:kern w:val="0"/>
          <w:sz w:val="28"/>
          <w:szCs w:val="28"/>
        </w:rPr>
        <w:t>阿里山國家風景區內的遊客分布，多集中在臺</w:t>
      </w:r>
      <w:r w:rsidRPr="00D55DC6">
        <w:rPr>
          <w:rFonts w:eastAsia="標楷體"/>
          <w:kern w:val="0"/>
          <w:sz w:val="28"/>
          <w:szCs w:val="28"/>
        </w:rPr>
        <w:t>18</w:t>
      </w:r>
      <w:r w:rsidRPr="00D55DC6">
        <w:rPr>
          <w:rFonts w:eastAsia="標楷體"/>
          <w:kern w:val="0"/>
          <w:sz w:val="28"/>
          <w:szCs w:val="28"/>
        </w:rPr>
        <w:t>線沿線的阿里山國家森林遊樂區及奮起湖（</w:t>
      </w:r>
      <w:r w:rsidRPr="00D55DC6">
        <w:rPr>
          <w:rFonts w:eastAsia="標楷體"/>
          <w:kern w:val="0"/>
          <w:sz w:val="28"/>
          <w:szCs w:val="28"/>
        </w:rPr>
        <w:t>102</w:t>
      </w:r>
      <w:r w:rsidRPr="00D55DC6">
        <w:rPr>
          <w:rFonts w:eastAsia="標楷體"/>
          <w:kern w:val="0"/>
          <w:sz w:val="28"/>
          <w:szCs w:val="28"/>
        </w:rPr>
        <w:t>年遊客量分別為</w:t>
      </w:r>
      <w:r w:rsidRPr="00D55DC6">
        <w:rPr>
          <w:rFonts w:eastAsia="標楷體"/>
          <w:kern w:val="0"/>
          <w:sz w:val="28"/>
          <w:szCs w:val="28"/>
        </w:rPr>
        <w:t>206</w:t>
      </w:r>
      <w:r w:rsidRPr="00D55DC6">
        <w:rPr>
          <w:rFonts w:eastAsia="標楷體"/>
          <w:kern w:val="0"/>
          <w:sz w:val="28"/>
          <w:szCs w:val="28"/>
        </w:rPr>
        <w:t>萬人次、</w:t>
      </w:r>
      <w:r w:rsidRPr="00D55DC6">
        <w:rPr>
          <w:rFonts w:eastAsia="標楷體"/>
          <w:kern w:val="0"/>
          <w:sz w:val="28"/>
          <w:szCs w:val="28"/>
        </w:rPr>
        <w:t>129</w:t>
      </w:r>
      <w:r w:rsidRPr="00D55DC6">
        <w:rPr>
          <w:rFonts w:eastAsia="標楷體"/>
          <w:kern w:val="0"/>
          <w:sz w:val="28"/>
          <w:szCs w:val="28"/>
        </w:rPr>
        <w:t>萬人次，分佔全區遊客量</w:t>
      </w:r>
      <w:r w:rsidRPr="00D55DC6">
        <w:rPr>
          <w:rFonts w:eastAsia="標楷體"/>
          <w:kern w:val="0"/>
          <w:sz w:val="28"/>
          <w:szCs w:val="28"/>
        </w:rPr>
        <w:t>58%</w:t>
      </w:r>
      <w:r w:rsidRPr="00D55DC6">
        <w:rPr>
          <w:rFonts w:eastAsia="標楷體"/>
          <w:kern w:val="0"/>
          <w:sz w:val="28"/>
          <w:szCs w:val="28"/>
        </w:rPr>
        <w:t>、</w:t>
      </w:r>
      <w:r w:rsidRPr="00D55DC6">
        <w:rPr>
          <w:rFonts w:eastAsia="標楷體"/>
          <w:kern w:val="0"/>
          <w:sz w:val="28"/>
          <w:szCs w:val="28"/>
        </w:rPr>
        <w:t>36%</w:t>
      </w:r>
      <w:r w:rsidRPr="00D55DC6">
        <w:rPr>
          <w:rFonts w:eastAsia="標楷體"/>
          <w:kern w:val="0"/>
          <w:sz w:val="28"/>
          <w:szCs w:val="28"/>
        </w:rPr>
        <w:t>），造成該二景點之道路交通、服務設施與環境承載等遊憩壓力過重，其他如西北廊道、鄒族文化等遊憩系統景點之遊客相對較少，形成各區域之觀光發展不均，將以「入口、延時、分流、融合」發展策略，推動整體觀光發展。</w:t>
      </w:r>
    </w:p>
    <w:p w:rsidR="00C050DB" w:rsidRPr="00D55DC6" w:rsidRDefault="00C050DB" w:rsidP="009D33BA">
      <w:pPr>
        <w:snapToGrid w:val="0"/>
        <w:spacing w:beforeLines="30" w:before="108" w:line="460" w:lineRule="exact"/>
        <w:ind w:leftChars="216" w:left="849" w:hangingChars="118" w:hanging="331"/>
        <w:jc w:val="both"/>
        <w:rPr>
          <w:rFonts w:eastAsia="標楷體"/>
          <w:b/>
          <w:kern w:val="0"/>
          <w:sz w:val="28"/>
          <w:szCs w:val="28"/>
        </w:rPr>
      </w:pPr>
      <w:r w:rsidRPr="00D55DC6">
        <w:rPr>
          <w:rFonts w:eastAsia="標楷體"/>
          <w:b/>
          <w:kern w:val="0"/>
          <w:sz w:val="28"/>
          <w:szCs w:val="28"/>
        </w:rPr>
        <w:t xml:space="preserve">2. </w:t>
      </w:r>
      <w:r w:rsidRPr="00D55DC6">
        <w:rPr>
          <w:rFonts w:eastAsia="標楷體"/>
          <w:b/>
          <w:kern w:val="0"/>
          <w:sz w:val="28"/>
          <w:szCs w:val="28"/>
        </w:rPr>
        <w:t>因應未來遊客量成長，遊憩需求增加，服務設施接待能量不足</w:t>
      </w:r>
    </w:p>
    <w:p w:rsidR="00C050DB" w:rsidRPr="00D55DC6" w:rsidRDefault="00C050DB" w:rsidP="0038165F">
      <w:pPr>
        <w:snapToGrid w:val="0"/>
        <w:spacing w:line="460" w:lineRule="exact"/>
        <w:ind w:leftChars="216" w:left="848" w:hangingChars="118" w:hanging="330"/>
        <w:jc w:val="both"/>
        <w:rPr>
          <w:rFonts w:eastAsia="標楷體"/>
          <w:kern w:val="0"/>
          <w:sz w:val="28"/>
          <w:szCs w:val="28"/>
        </w:rPr>
      </w:pPr>
      <w:r w:rsidRPr="00D55DC6">
        <w:rPr>
          <w:rFonts w:eastAsia="標楷體"/>
          <w:kern w:val="0"/>
          <w:sz w:val="28"/>
          <w:szCs w:val="28"/>
        </w:rPr>
        <w:t xml:space="preserve">  </w:t>
      </w:r>
      <w:r w:rsidRPr="00D55DC6">
        <w:rPr>
          <w:rFonts w:eastAsia="標楷體"/>
          <w:kern w:val="0"/>
          <w:sz w:val="28"/>
          <w:szCs w:val="28"/>
        </w:rPr>
        <w:t>阿里山國家風景區未來之遊客量，預計將由</w:t>
      </w:r>
      <w:r w:rsidRPr="00D55DC6">
        <w:rPr>
          <w:rFonts w:eastAsia="標楷體"/>
          <w:kern w:val="0"/>
          <w:sz w:val="28"/>
          <w:szCs w:val="28"/>
        </w:rPr>
        <w:t>102</w:t>
      </w:r>
      <w:r w:rsidRPr="00D55DC6">
        <w:rPr>
          <w:rFonts w:eastAsia="標楷體"/>
          <w:kern w:val="0"/>
          <w:sz w:val="28"/>
          <w:szCs w:val="28"/>
        </w:rPr>
        <w:t>年</w:t>
      </w:r>
      <w:r w:rsidRPr="00D55DC6">
        <w:rPr>
          <w:rFonts w:eastAsia="標楷體"/>
          <w:kern w:val="0"/>
          <w:sz w:val="28"/>
          <w:szCs w:val="28"/>
        </w:rPr>
        <w:t>354</w:t>
      </w:r>
      <w:r w:rsidRPr="00D55DC6">
        <w:rPr>
          <w:rFonts w:eastAsia="標楷體"/>
          <w:kern w:val="0"/>
          <w:sz w:val="28"/>
          <w:szCs w:val="28"/>
        </w:rPr>
        <w:t>萬人次成長至</w:t>
      </w:r>
      <w:r w:rsidRPr="00D55DC6">
        <w:rPr>
          <w:rFonts w:eastAsia="標楷體"/>
          <w:kern w:val="0"/>
          <w:sz w:val="28"/>
          <w:szCs w:val="28"/>
        </w:rPr>
        <w:t>108</w:t>
      </w:r>
      <w:r w:rsidRPr="00D55DC6">
        <w:rPr>
          <w:rFonts w:eastAsia="標楷體"/>
          <w:kern w:val="0"/>
          <w:sz w:val="28"/>
          <w:szCs w:val="28"/>
        </w:rPr>
        <w:t>年</w:t>
      </w:r>
      <w:r w:rsidRPr="00D55DC6">
        <w:rPr>
          <w:rFonts w:eastAsia="標楷體"/>
          <w:kern w:val="0"/>
          <w:sz w:val="28"/>
          <w:szCs w:val="28"/>
        </w:rPr>
        <w:t>434</w:t>
      </w:r>
      <w:r w:rsidRPr="00D55DC6">
        <w:rPr>
          <w:rFonts w:eastAsia="標楷體"/>
          <w:kern w:val="0"/>
          <w:sz w:val="28"/>
          <w:szCs w:val="28"/>
        </w:rPr>
        <w:t>萬人次，將面臨目前可供服務之遊憩與住宿設施，未能滿足新增之遊客需求，且因阿里山地區缺乏較具規模或高品質的觀光旅館、餐廳、特色商店，地方產業又多為傳統經營模式，服務設施接待能量不足，影響旅遊品質及遊客滿意度，未來應提升服務水準及接待能量，營造優質旅遊環境。</w:t>
      </w:r>
    </w:p>
    <w:p w:rsidR="00C050DB" w:rsidRPr="00D55DC6" w:rsidRDefault="00C050DB" w:rsidP="009D33BA">
      <w:pPr>
        <w:snapToGrid w:val="0"/>
        <w:spacing w:beforeLines="30" w:before="108" w:line="460" w:lineRule="exact"/>
        <w:ind w:leftChars="216" w:left="849" w:hangingChars="118" w:hanging="331"/>
        <w:jc w:val="both"/>
        <w:rPr>
          <w:rFonts w:eastAsia="標楷體"/>
          <w:b/>
          <w:kern w:val="0"/>
          <w:sz w:val="28"/>
          <w:szCs w:val="28"/>
        </w:rPr>
      </w:pPr>
      <w:r w:rsidRPr="00D55DC6">
        <w:rPr>
          <w:rFonts w:eastAsia="標楷體"/>
          <w:b/>
          <w:kern w:val="0"/>
          <w:sz w:val="28"/>
          <w:szCs w:val="28"/>
        </w:rPr>
        <w:t xml:space="preserve">3. </w:t>
      </w:r>
      <w:r w:rsidRPr="00D55DC6">
        <w:rPr>
          <w:rFonts w:eastAsia="標楷體"/>
          <w:b/>
          <w:kern w:val="0"/>
          <w:sz w:val="28"/>
          <w:szCs w:val="28"/>
        </w:rPr>
        <w:t>旅遊模式或產業活動同質性高，觀光吸引力及品牌特色有待創造</w:t>
      </w:r>
    </w:p>
    <w:p w:rsidR="00C050DB" w:rsidRPr="00D55DC6" w:rsidRDefault="00C050DB" w:rsidP="0038165F">
      <w:pPr>
        <w:snapToGrid w:val="0"/>
        <w:spacing w:line="460" w:lineRule="exact"/>
        <w:ind w:leftChars="350" w:left="840"/>
        <w:jc w:val="both"/>
        <w:rPr>
          <w:rFonts w:eastAsia="標楷體"/>
          <w:kern w:val="0"/>
          <w:sz w:val="28"/>
          <w:szCs w:val="28"/>
        </w:rPr>
      </w:pPr>
      <w:r w:rsidRPr="00D55DC6">
        <w:rPr>
          <w:rFonts w:eastAsia="標楷體"/>
          <w:kern w:val="0"/>
          <w:sz w:val="28"/>
          <w:szCs w:val="28"/>
        </w:rPr>
        <w:t>阿里山國家風景區幅員廣大，擁有豐富的自然與人文資源，但旅遊模式多以傳統觀賞自然風景、原住民表演及登山健行為主，缺乏具深度與廣度的旅遊活動，且景點設施、在地產業等同質性較高，較少著力於品牌特色經營，應深化旅遊內涵，提升觀光遊憩魅力。</w:t>
      </w:r>
    </w:p>
    <w:p w:rsidR="00C050DB" w:rsidRPr="00D55DC6" w:rsidRDefault="00C050DB" w:rsidP="009D33BA">
      <w:pPr>
        <w:snapToGrid w:val="0"/>
        <w:spacing w:beforeLines="30" w:before="108" w:line="460" w:lineRule="exact"/>
        <w:ind w:leftChars="216" w:left="849" w:hangingChars="118" w:hanging="331"/>
        <w:jc w:val="both"/>
        <w:rPr>
          <w:rFonts w:eastAsia="標楷體"/>
          <w:b/>
          <w:kern w:val="0"/>
          <w:sz w:val="28"/>
          <w:szCs w:val="28"/>
        </w:rPr>
      </w:pPr>
      <w:r w:rsidRPr="00D55DC6">
        <w:rPr>
          <w:rFonts w:eastAsia="標楷體"/>
          <w:b/>
          <w:kern w:val="0"/>
          <w:sz w:val="28"/>
          <w:szCs w:val="28"/>
        </w:rPr>
        <w:t xml:space="preserve">4. </w:t>
      </w:r>
      <w:r w:rsidRPr="00D55DC6">
        <w:rPr>
          <w:rFonts w:eastAsia="標楷體"/>
          <w:b/>
          <w:kern w:val="0"/>
          <w:sz w:val="28"/>
          <w:szCs w:val="28"/>
        </w:rPr>
        <w:t>風景區經營成本遞增，惟政府財政短絀，需提高計畫財務自償</w:t>
      </w:r>
    </w:p>
    <w:p w:rsidR="00C050DB" w:rsidRPr="00D55DC6" w:rsidRDefault="00C050DB" w:rsidP="0038165F">
      <w:pPr>
        <w:snapToGrid w:val="0"/>
        <w:spacing w:line="460" w:lineRule="exact"/>
        <w:ind w:leftChars="350" w:left="848" w:hangingChars="3" w:hanging="8"/>
        <w:jc w:val="both"/>
        <w:rPr>
          <w:rFonts w:eastAsia="標楷體"/>
          <w:kern w:val="0"/>
          <w:sz w:val="28"/>
          <w:szCs w:val="28"/>
        </w:rPr>
      </w:pPr>
      <w:r w:rsidRPr="00D55DC6">
        <w:rPr>
          <w:rFonts w:eastAsia="標楷體"/>
          <w:kern w:val="0"/>
          <w:sz w:val="28"/>
          <w:szCs w:val="28"/>
        </w:rPr>
        <w:t>隨著風景區景點開發，相關建設經營成本遞增，惟近年來政府財政短絀，配合國家發展委員會推動之「跨域加值公共建設財務規劃方案」，未來應推動跨域加值合作及創新財務作法，以提升整體觀光效益。</w:t>
      </w:r>
    </w:p>
    <w:p w:rsidR="00C050DB" w:rsidRPr="00D55DC6" w:rsidRDefault="00C050DB" w:rsidP="004865C1">
      <w:pPr>
        <w:numPr>
          <w:ilvl w:val="0"/>
          <w:numId w:val="87"/>
        </w:numPr>
        <w:snapToGrid w:val="0"/>
        <w:spacing w:beforeLines="50" w:before="180" w:line="460" w:lineRule="exact"/>
        <w:ind w:left="862" w:hanging="862"/>
        <w:jc w:val="both"/>
        <w:rPr>
          <w:rFonts w:eastAsia="標楷體"/>
          <w:b/>
          <w:sz w:val="28"/>
          <w:szCs w:val="28"/>
        </w:rPr>
      </w:pPr>
      <w:r w:rsidRPr="00D55DC6">
        <w:rPr>
          <w:rFonts w:eastAsia="標楷體"/>
          <w:b/>
          <w:sz w:val="28"/>
          <w:szCs w:val="28"/>
        </w:rPr>
        <w:t>社會參與及政策溝通情形</w:t>
      </w:r>
    </w:p>
    <w:p w:rsidR="00C050DB" w:rsidRPr="00D55DC6" w:rsidRDefault="00C050DB" w:rsidP="009D33BA">
      <w:pPr>
        <w:snapToGrid w:val="0"/>
        <w:spacing w:beforeLines="30" w:before="108" w:line="460" w:lineRule="exact"/>
        <w:ind w:leftChars="216" w:left="848" w:hangingChars="118" w:hanging="330"/>
        <w:jc w:val="both"/>
        <w:rPr>
          <w:rFonts w:eastAsia="標楷體"/>
          <w:kern w:val="0"/>
          <w:sz w:val="28"/>
          <w:szCs w:val="28"/>
        </w:rPr>
      </w:pPr>
      <w:r w:rsidRPr="00D55DC6">
        <w:rPr>
          <w:rFonts w:eastAsia="標楷體"/>
          <w:kern w:val="0"/>
          <w:sz w:val="28"/>
          <w:szCs w:val="28"/>
        </w:rPr>
        <w:t xml:space="preserve">1. </w:t>
      </w:r>
      <w:r w:rsidRPr="00D55DC6">
        <w:rPr>
          <w:rFonts w:eastAsia="標楷體"/>
          <w:kern w:val="0"/>
          <w:sz w:val="28"/>
          <w:szCs w:val="28"/>
        </w:rPr>
        <w:t>在社會參與面上，管理處舉辦用地取得、建設工程之公聽會及說明會，參採民眾對觀光建設之需求意見；利用首長信箱、申訴專線、遊客滿意度調查，蒐集遊客意見，作為經營改善之參考；透過觀光推廣活動、</w:t>
      </w:r>
      <w:r w:rsidRPr="00D55DC6">
        <w:rPr>
          <w:rFonts w:eastAsia="標楷體"/>
          <w:kern w:val="0"/>
          <w:sz w:val="28"/>
          <w:szCs w:val="28"/>
        </w:rPr>
        <w:lastRenderedPageBreak/>
        <w:t>媒體及社群網站，有效宣導施政措施，以促進社會參與觀光發展業務。</w:t>
      </w:r>
    </w:p>
    <w:p w:rsidR="00C050DB" w:rsidRPr="00D55DC6" w:rsidRDefault="00C050DB" w:rsidP="0038165F">
      <w:pPr>
        <w:snapToGrid w:val="0"/>
        <w:spacing w:line="460" w:lineRule="exact"/>
        <w:ind w:leftChars="216" w:left="848" w:hangingChars="118" w:hanging="330"/>
        <w:jc w:val="both"/>
        <w:rPr>
          <w:rFonts w:eastAsia="標楷體"/>
          <w:kern w:val="0"/>
          <w:sz w:val="28"/>
          <w:szCs w:val="28"/>
        </w:rPr>
      </w:pPr>
      <w:r w:rsidRPr="00D55DC6">
        <w:rPr>
          <w:rFonts w:eastAsia="標楷體"/>
          <w:kern w:val="0"/>
          <w:sz w:val="28"/>
          <w:szCs w:val="28"/>
        </w:rPr>
        <w:t xml:space="preserve">2. </w:t>
      </w:r>
      <w:r w:rsidRPr="00D55DC6">
        <w:rPr>
          <w:rFonts w:eastAsia="標楷體"/>
          <w:kern w:val="0"/>
          <w:sz w:val="28"/>
          <w:szCs w:val="28"/>
        </w:rPr>
        <w:t>在政策溝通上，配合嘉義縣政府召開「嘉義縣觀光發展聯繫會報」，與地方政府溝通協調，共同推動各項觀光軟、硬體建設；成立轄區內</w:t>
      </w:r>
      <w:r w:rsidRPr="00D55DC6">
        <w:rPr>
          <w:kern w:val="0"/>
          <w:sz w:val="28"/>
          <w:szCs w:val="28"/>
        </w:rPr>
        <w:t>「</w:t>
      </w:r>
      <w:r w:rsidRPr="00D55DC6">
        <w:rPr>
          <w:rFonts w:eastAsia="標楷體"/>
          <w:kern w:val="0"/>
          <w:sz w:val="28"/>
          <w:szCs w:val="28"/>
        </w:rPr>
        <w:t>鄒族文化與觀光發展資源共同管理會」及「社區理事長會議」，與社區、部落建立良好互動及溝通管道，凝聚觀光產業發展共識。</w:t>
      </w:r>
    </w:p>
    <w:p w:rsidR="00C050DB" w:rsidRPr="00D55DC6" w:rsidRDefault="00C050DB" w:rsidP="0038165F">
      <w:pPr>
        <w:snapToGrid w:val="0"/>
        <w:spacing w:line="460" w:lineRule="exact"/>
        <w:ind w:left="709"/>
        <w:jc w:val="both"/>
        <w:rPr>
          <w:rFonts w:eastAsia="標楷體"/>
          <w:sz w:val="28"/>
          <w:szCs w:val="28"/>
        </w:rPr>
      </w:pPr>
    </w:p>
    <w:p w:rsidR="00C050DB" w:rsidRPr="00D55DC6" w:rsidRDefault="00C050DB" w:rsidP="0038165F">
      <w:pPr>
        <w:snapToGrid w:val="0"/>
        <w:spacing w:line="460" w:lineRule="exact"/>
        <w:ind w:left="709" w:hanging="709"/>
        <w:jc w:val="both"/>
        <w:rPr>
          <w:rFonts w:eastAsia="標楷體"/>
          <w:b/>
          <w:sz w:val="28"/>
          <w:szCs w:val="28"/>
        </w:rPr>
      </w:pPr>
      <w:r w:rsidRPr="00D55DC6">
        <w:rPr>
          <w:rFonts w:eastAsia="標楷體"/>
          <w:b/>
          <w:sz w:val="28"/>
          <w:szCs w:val="28"/>
        </w:rPr>
        <w:t>二、計畫目標</w:t>
      </w:r>
    </w:p>
    <w:p w:rsidR="00C050DB" w:rsidRPr="00D55DC6" w:rsidRDefault="00C050DB" w:rsidP="004865C1">
      <w:pPr>
        <w:numPr>
          <w:ilvl w:val="0"/>
          <w:numId w:val="88"/>
        </w:numPr>
        <w:snapToGrid w:val="0"/>
        <w:spacing w:beforeLines="50" w:before="180" w:line="460" w:lineRule="exact"/>
        <w:jc w:val="both"/>
        <w:rPr>
          <w:rFonts w:eastAsia="標楷體"/>
          <w:b/>
          <w:sz w:val="28"/>
          <w:szCs w:val="28"/>
        </w:rPr>
      </w:pPr>
      <w:r w:rsidRPr="00D55DC6">
        <w:rPr>
          <w:rFonts w:eastAsia="標楷體"/>
          <w:b/>
          <w:sz w:val="28"/>
          <w:szCs w:val="28"/>
        </w:rPr>
        <w:t>目標說明</w:t>
      </w:r>
    </w:p>
    <w:p w:rsidR="00C050DB" w:rsidRPr="00D55DC6" w:rsidRDefault="00C050DB" w:rsidP="0038165F">
      <w:pPr>
        <w:snapToGrid w:val="0"/>
        <w:spacing w:line="460" w:lineRule="exact"/>
        <w:ind w:leftChars="216" w:left="848" w:hangingChars="118" w:hanging="330"/>
        <w:jc w:val="both"/>
        <w:rPr>
          <w:rFonts w:eastAsia="標楷體"/>
          <w:kern w:val="0"/>
          <w:sz w:val="28"/>
          <w:szCs w:val="28"/>
        </w:rPr>
      </w:pPr>
      <w:bookmarkStart w:id="127" w:name="_Toc288749246"/>
      <w:r w:rsidRPr="00D55DC6">
        <w:rPr>
          <w:rFonts w:eastAsia="標楷體"/>
          <w:kern w:val="0"/>
          <w:sz w:val="28"/>
          <w:szCs w:val="28"/>
        </w:rPr>
        <w:t xml:space="preserve">1. </w:t>
      </w:r>
      <w:r w:rsidRPr="00D55DC6">
        <w:rPr>
          <w:rFonts w:eastAsia="標楷體"/>
          <w:kern w:val="0"/>
          <w:sz w:val="28"/>
          <w:szCs w:val="28"/>
        </w:rPr>
        <w:t>以入口、延時、分流、融合發展策略，推動</w:t>
      </w:r>
      <w:r w:rsidRPr="00D55DC6">
        <w:rPr>
          <w:kern w:val="0"/>
          <w:sz w:val="28"/>
          <w:szCs w:val="28"/>
        </w:rPr>
        <w:t>「</w:t>
      </w:r>
      <w:r w:rsidRPr="00D55DC6">
        <w:rPr>
          <w:rFonts w:eastAsia="標楷體"/>
          <w:kern w:val="0"/>
          <w:sz w:val="28"/>
          <w:szCs w:val="28"/>
        </w:rPr>
        <w:t>資源永續、旅遊生態、產業文化</w:t>
      </w:r>
      <w:r w:rsidRPr="00D55DC6">
        <w:rPr>
          <w:kern w:val="0"/>
          <w:sz w:val="28"/>
          <w:szCs w:val="28"/>
        </w:rPr>
        <w:t>」</w:t>
      </w:r>
      <w:r w:rsidRPr="00D55DC6">
        <w:rPr>
          <w:rFonts w:eastAsia="標楷體"/>
          <w:kern w:val="0"/>
          <w:sz w:val="28"/>
          <w:szCs w:val="28"/>
        </w:rPr>
        <w:t>三大觀光主軸，建構「阿里山</w:t>
      </w:r>
      <w:r w:rsidRPr="00D55DC6">
        <w:rPr>
          <w:rFonts w:eastAsia="標楷體"/>
          <w:kern w:val="0"/>
          <w:sz w:val="28"/>
          <w:szCs w:val="28"/>
        </w:rPr>
        <w:t>-</w:t>
      </w:r>
      <w:r w:rsidRPr="00D55DC6">
        <w:rPr>
          <w:rFonts w:eastAsia="標楷體"/>
          <w:kern w:val="0"/>
          <w:sz w:val="28"/>
          <w:szCs w:val="28"/>
        </w:rPr>
        <w:t>臺</w:t>
      </w:r>
      <w:r w:rsidRPr="00D55DC6">
        <w:rPr>
          <w:rFonts w:eastAsia="標楷體"/>
          <w:kern w:val="0"/>
          <w:sz w:val="28"/>
          <w:szCs w:val="28"/>
        </w:rPr>
        <w:t>ONE</w:t>
      </w:r>
      <w:r w:rsidRPr="00D55DC6">
        <w:rPr>
          <w:rFonts w:eastAsia="標楷體"/>
          <w:kern w:val="0"/>
          <w:sz w:val="28"/>
          <w:szCs w:val="28"/>
        </w:rPr>
        <w:t>樂活山林度假區」。</w:t>
      </w:r>
      <w:bookmarkEnd w:id="127"/>
    </w:p>
    <w:p w:rsidR="00C050DB" w:rsidRPr="00D55DC6" w:rsidRDefault="00C050DB" w:rsidP="0038165F">
      <w:pPr>
        <w:snapToGrid w:val="0"/>
        <w:spacing w:line="460" w:lineRule="exact"/>
        <w:ind w:leftChars="216" w:left="848" w:hangingChars="118" w:hanging="330"/>
        <w:jc w:val="both"/>
        <w:rPr>
          <w:rFonts w:eastAsia="標楷體"/>
          <w:kern w:val="0"/>
          <w:sz w:val="28"/>
          <w:szCs w:val="28"/>
        </w:rPr>
      </w:pPr>
      <w:bookmarkStart w:id="128" w:name="_Toc288749247"/>
      <w:r w:rsidRPr="00D55DC6">
        <w:rPr>
          <w:rFonts w:eastAsia="標楷體"/>
          <w:kern w:val="0"/>
          <w:sz w:val="28"/>
          <w:szCs w:val="28"/>
        </w:rPr>
        <w:t xml:space="preserve">2. </w:t>
      </w:r>
      <w:r w:rsidRPr="00D55DC6">
        <w:rPr>
          <w:rFonts w:eastAsia="標楷體"/>
          <w:kern w:val="0"/>
          <w:sz w:val="28"/>
          <w:szCs w:val="28"/>
        </w:rPr>
        <w:t>營造阿里山入口門戶及臺</w:t>
      </w:r>
      <w:r w:rsidRPr="00D55DC6">
        <w:rPr>
          <w:rFonts w:eastAsia="標楷體"/>
          <w:kern w:val="0"/>
          <w:sz w:val="28"/>
          <w:szCs w:val="28"/>
        </w:rPr>
        <w:t>18</w:t>
      </w:r>
      <w:r w:rsidRPr="00D55DC6">
        <w:rPr>
          <w:rFonts w:eastAsia="標楷體"/>
          <w:kern w:val="0"/>
          <w:sz w:val="28"/>
          <w:szCs w:val="28"/>
        </w:rPr>
        <w:t>線旅遊路廊，提供樂活旅遊體驗，並延長遊客駐留時間。</w:t>
      </w:r>
    </w:p>
    <w:p w:rsidR="00C050DB" w:rsidRPr="00D55DC6" w:rsidRDefault="00C050DB" w:rsidP="0038165F">
      <w:pPr>
        <w:snapToGrid w:val="0"/>
        <w:spacing w:line="460" w:lineRule="exact"/>
        <w:ind w:leftChars="216" w:left="848" w:hangingChars="118" w:hanging="330"/>
        <w:jc w:val="both"/>
        <w:rPr>
          <w:rFonts w:eastAsia="標楷體"/>
          <w:kern w:val="0"/>
          <w:sz w:val="28"/>
          <w:szCs w:val="28"/>
        </w:rPr>
      </w:pPr>
      <w:r w:rsidRPr="00D55DC6">
        <w:rPr>
          <w:rFonts w:eastAsia="標楷體"/>
          <w:kern w:val="0"/>
          <w:sz w:val="28"/>
          <w:szCs w:val="28"/>
        </w:rPr>
        <w:t xml:space="preserve">3. </w:t>
      </w:r>
      <w:r w:rsidRPr="00D55DC6">
        <w:rPr>
          <w:rFonts w:eastAsia="標楷體"/>
          <w:kern w:val="0"/>
          <w:sz w:val="28"/>
          <w:szCs w:val="28"/>
        </w:rPr>
        <w:t>分流並串連西北廊道之生態旅遊與特色民宿產業，以及鄒族部落之原民文化與生活體驗等多元主題遊程。</w:t>
      </w:r>
      <w:bookmarkEnd w:id="128"/>
    </w:p>
    <w:p w:rsidR="00C050DB" w:rsidRPr="00D55DC6" w:rsidRDefault="00C050DB" w:rsidP="0038165F">
      <w:pPr>
        <w:snapToGrid w:val="0"/>
        <w:spacing w:line="460" w:lineRule="exact"/>
        <w:ind w:leftChars="216" w:left="848" w:hangingChars="118" w:hanging="330"/>
        <w:jc w:val="both"/>
        <w:rPr>
          <w:rFonts w:eastAsia="標楷體"/>
          <w:kern w:val="0"/>
          <w:sz w:val="28"/>
          <w:szCs w:val="28"/>
        </w:rPr>
      </w:pPr>
      <w:bookmarkStart w:id="129" w:name="_Toc288749249"/>
      <w:r w:rsidRPr="00D55DC6">
        <w:rPr>
          <w:rFonts w:eastAsia="標楷體"/>
          <w:kern w:val="0"/>
          <w:sz w:val="28"/>
          <w:szCs w:val="28"/>
        </w:rPr>
        <w:t xml:space="preserve">4. </w:t>
      </w:r>
      <w:r w:rsidRPr="00D55DC6">
        <w:rPr>
          <w:rFonts w:eastAsia="標楷體"/>
          <w:kern w:val="0"/>
          <w:sz w:val="28"/>
          <w:szCs w:val="28"/>
        </w:rPr>
        <w:t>融合周邊觀光資源，帶動觀光旅遊熱潮，遊客人數由</w:t>
      </w:r>
      <w:r w:rsidRPr="00D55DC6">
        <w:rPr>
          <w:rFonts w:eastAsia="標楷體"/>
          <w:kern w:val="0"/>
          <w:sz w:val="28"/>
          <w:szCs w:val="28"/>
        </w:rPr>
        <w:t>103</w:t>
      </w:r>
      <w:r w:rsidRPr="00D55DC6">
        <w:rPr>
          <w:rFonts w:eastAsia="標楷體"/>
          <w:kern w:val="0"/>
          <w:sz w:val="28"/>
          <w:szCs w:val="28"/>
        </w:rPr>
        <w:t>年</w:t>
      </w:r>
      <w:r w:rsidRPr="00D55DC6">
        <w:rPr>
          <w:rFonts w:eastAsia="標楷體"/>
          <w:kern w:val="0"/>
          <w:sz w:val="28"/>
          <w:szCs w:val="28"/>
        </w:rPr>
        <w:t>357</w:t>
      </w:r>
      <w:r w:rsidRPr="00D55DC6">
        <w:rPr>
          <w:rFonts w:eastAsia="標楷體"/>
          <w:kern w:val="0"/>
          <w:sz w:val="28"/>
          <w:szCs w:val="28"/>
        </w:rPr>
        <w:t>萬人次提升至</w:t>
      </w:r>
      <w:r w:rsidRPr="00D55DC6">
        <w:rPr>
          <w:rFonts w:eastAsia="標楷體"/>
          <w:kern w:val="0"/>
          <w:sz w:val="28"/>
          <w:szCs w:val="28"/>
        </w:rPr>
        <w:t>108</w:t>
      </w:r>
      <w:r w:rsidRPr="00D55DC6">
        <w:rPr>
          <w:rFonts w:eastAsia="標楷體"/>
          <w:kern w:val="0"/>
          <w:sz w:val="28"/>
          <w:szCs w:val="28"/>
        </w:rPr>
        <w:t>年</w:t>
      </w:r>
      <w:r w:rsidRPr="00D55DC6">
        <w:rPr>
          <w:rFonts w:eastAsia="標楷體"/>
          <w:kern w:val="0"/>
          <w:sz w:val="28"/>
          <w:szCs w:val="28"/>
        </w:rPr>
        <w:t>434</w:t>
      </w:r>
      <w:r w:rsidRPr="00D55DC6">
        <w:rPr>
          <w:rFonts w:eastAsia="標楷體"/>
          <w:kern w:val="0"/>
          <w:sz w:val="28"/>
          <w:szCs w:val="28"/>
        </w:rPr>
        <w:t>萬人次，成長</w:t>
      </w:r>
      <w:r w:rsidRPr="00D55DC6">
        <w:rPr>
          <w:rFonts w:eastAsia="標楷體"/>
          <w:kern w:val="0"/>
          <w:sz w:val="28"/>
          <w:szCs w:val="28"/>
        </w:rPr>
        <w:t>21.6%</w:t>
      </w:r>
      <w:r w:rsidRPr="00D55DC6">
        <w:rPr>
          <w:rFonts w:eastAsia="標楷體"/>
          <w:kern w:val="0"/>
          <w:sz w:val="28"/>
          <w:szCs w:val="28"/>
        </w:rPr>
        <w:t>。</w:t>
      </w:r>
      <w:bookmarkEnd w:id="129"/>
    </w:p>
    <w:p w:rsidR="00C050DB" w:rsidRPr="00D55DC6" w:rsidRDefault="00C050DB" w:rsidP="004865C1">
      <w:pPr>
        <w:numPr>
          <w:ilvl w:val="0"/>
          <w:numId w:val="88"/>
        </w:numPr>
        <w:snapToGrid w:val="0"/>
        <w:spacing w:beforeLines="50" w:before="180" w:line="460" w:lineRule="exact"/>
        <w:ind w:left="862" w:hanging="862"/>
        <w:jc w:val="both"/>
        <w:rPr>
          <w:rFonts w:eastAsia="標楷體"/>
          <w:b/>
          <w:sz w:val="28"/>
          <w:szCs w:val="28"/>
        </w:rPr>
      </w:pPr>
      <w:r w:rsidRPr="00D55DC6">
        <w:rPr>
          <w:rFonts w:eastAsia="標楷體"/>
          <w:b/>
          <w:sz w:val="28"/>
          <w:szCs w:val="28"/>
        </w:rPr>
        <w:t>達成目標之限制</w:t>
      </w:r>
    </w:p>
    <w:p w:rsidR="00C050DB" w:rsidRPr="00D55DC6" w:rsidRDefault="00C050DB" w:rsidP="0038165F">
      <w:pPr>
        <w:snapToGrid w:val="0"/>
        <w:spacing w:line="460" w:lineRule="exact"/>
        <w:ind w:leftChars="216" w:left="848" w:hangingChars="118" w:hanging="330"/>
        <w:jc w:val="both"/>
        <w:rPr>
          <w:rFonts w:eastAsia="標楷體"/>
          <w:kern w:val="0"/>
          <w:sz w:val="28"/>
          <w:szCs w:val="28"/>
        </w:rPr>
      </w:pPr>
      <w:r w:rsidRPr="00D55DC6">
        <w:rPr>
          <w:rFonts w:eastAsia="標楷體"/>
          <w:kern w:val="0"/>
          <w:sz w:val="28"/>
          <w:szCs w:val="28"/>
        </w:rPr>
        <w:t xml:space="preserve">1. </w:t>
      </w:r>
      <w:r w:rsidRPr="00D55DC6">
        <w:rPr>
          <w:rFonts w:eastAsia="標楷體"/>
          <w:kern w:val="0"/>
          <w:sz w:val="28"/>
          <w:szCs w:val="28"/>
        </w:rPr>
        <w:t>觀光發展管理事權及觀念待整合：景點開發建設事涉眾多公部門單位，需持續透過溝通協調機制，統合相關單位之權責分工與合作。</w:t>
      </w:r>
    </w:p>
    <w:p w:rsidR="00C050DB" w:rsidRPr="00D55DC6" w:rsidRDefault="00C050DB" w:rsidP="0038165F">
      <w:pPr>
        <w:snapToGrid w:val="0"/>
        <w:spacing w:line="460" w:lineRule="exact"/>
        <w:ind w:leftChars="216" w:left="848" w:hangingChars="118" w:hanging="330"/>
        <w:jc w:val="both"/>
        <w:rPr>
          <w:rFonts w:eastAsia="標楷體"/>
          <w:kern w:val="0"/>
          <w:sz w:val="28"/>
          <w:szCs w:val="28"/>
        </w:rPr>
      </w:pPr>
      <w:r w:rsidRPr="00D55DC6">
        <w:rPr>
          <w:rFonts w:eastAsia="標楷體"/>
          <w:kern w:val="0"/>
          <w:sz w:val="28"/>
          <w:szCs w:val="28"/>
        </w:rPr>
        <w:t xml:space="preserve">2. </w:t>
      </w:r>
      <w:r w:rsidRPr="00D55DC6">
        <w:rPr>
          <w:rFonts w:eastAsia="標楷體"/>
          <w:kern w:val="0"/>
          <w:sz w:val="28"/>
          <w:szCs w:val="28"/>
        </w:rPr>
        <w:t>原住民地區開發限制：部分景點位於原住民族地區，原住民族基本法公布實施後，規定政府或私人於原住民族土地內從事土地開發、資源利用、生態保育及學術研究，均應諮詢並取得原住民族同意或參與；復區內原住民族自主意志高，進而影響相關用地取得及開發。</w:t>
      </w:r>
    </w:p>
    <w:p w:rsidR="00C050DB" w:rsidRPr="00D55DC6" w:rsidRDefault="00C050DB" w:rsidP="0038165F">
      <w:pPr>
        <w:snapToGrid w:val="0"/>
        <w:spacing w:line="460" w:lineRule="exact"/>
        <w:ind w:leftChars="216" w:left="848" w:hangingChars="118" w:hanging="330"/>
        <w:jc w:val="both"/>
        <w:rPr>
          <w:rFonts w:eastAsia="標楷體"/>
          <w:kern w:val="0"/>
          <w:sz w:val="28"/>
          <w:szCs w:val="28"/>
        </w:rPr>
      </w:pPr>
      <w:r w:rsidRPr="00D55DC6">
        <w:rPr>
          <w:rFonts w:eastAsia="標楷體"/>
          <w:kern w:val="0"/>
          <w:sz w:val="28"/>
          <w:szCs w:val="28"/>
        </w:rPr>
        <w:t xml:space="preserve">3. </w:t>
      </w:r>
      <w:r w:rsidRPr="00D55DC6">
        <w:rPr>
          <w:rFonts w:eastAsia="標楷體"/>
          <w:kern w:val="0"/>
          <w:sz w:val="28"/>
          <w:szCs w:val="28"/>
        </w:rPr>
        <w:t>設施用地開發限制：部分土地位處森林區、山坡地保育區或水源水質保護區，觀光設施開發受限，地用變更耗時費力，延緩觀光建設期程。</w:t>
      </w:r>
    </w:p>
    <w:p w:rsidR="00C050DB" w:rsidRPr="00D55DC6" w:rsidRDefault="00C050DB" w:rsidP="0038165F">
      <w:pPr>
        <w:snapToGrid w:val="0"/>
        <w:spacing w:line="460" w:lineRule="exact"/>
        <w:ind w:leftChars="216" w:left="848" w:hangingChars="118" w:hanging="330"/>
        <w:jc w:val="both"/>
        <w:rPr>
          <w:rFonts w:eastAsia="標楷體"/>
          <w:kern w:val="0"/>
          <w:sz w:val="28"/>
          <w:szCs w:val="28"/>
        </w:rPr>
      </w:pPr>
      <w:r w:rsidRPr="00D55DC6">
        <w:rPr>
          <w:rFonts w:eastAsia="標楷體"/>
          <w:kern w:val="0"/>
          <w:sz w:val="28"/>
          <w:szCs w:val="28"/>
        </w:rPr>
        <w:t xml:space="preserve">4. </w:t>
      </w:r>
      <w:r w:rsidRPr="00D55DC6">
        <w:rPr>
          <w:rFonts w:eastAsia="標楷體"/>
          <w:kern w:val="0"/>
          <w:sz w:val="28"/>
          <w:szCs w:val="28"/>
        </w:rPr>
        <w:t>自然地理環境限制：部分景點常因天候不佳而造成聯外交通中斷、或因聯外道路路幅狹小、易受天災坍塌，而影響遊客前往，或因地區水源不足、缺乏污水處理設施等，致觀光發展受限。</w:t>
      </w:r>
    </w:p>
    <w:p w:rsidR="00C050DB" w:rsidRPr="00D55DC6" w:rsidRDefault="00C050DB" w:rsidP="0038165F">
      <w:pPr>
        <w:snapToGrid w:val="0"/>
        <w:spacing w:line="460" w:lineRule="exact"/>
        <w:ind w:leftChars="216" w:left="848" w:hangingChars="118" w:hanging="330"/>
        <w:jc w:val="both"/>
        <w:rPr>
          <w:rFonts w:eastAsia="標楷體"/>
          <w:kern w:val="0"/>
          <w:sz w:val="28"/>
          <w:szCs w:val="28"/>
        </w:rPr>
      </w:pPr>
      <w:r w:rsidRPr="00D55DC6">
        <w:rPr>
          <w:rFonts w:eastAsia="標楷體"/>
          <w:kern w:val="0"/>
          <w:sz w:val="28"/>
          <w:szCs w:val="28"/>
        </w:rPr>
        <w:lastRenderedPageBreak/>
        <w:t xml:space="preserve">5. </w:t>
      </w:r>
      <w:r w:rsidRPr="00D55DC6">
        <w:rPr>
          <w:rFonts w:eastAsia="標楷體"/>
          <w:kern w:val="0"/>
          <w:sz w:val="28"/>
          <w:szCs w:val="28"/>
        </w:rPr>
        <w:t>開發行為法規限制：部分開發案需辦理用地變更或環境影響評估，因審議過程繁複，時程不易掌握，常影響景點之開發建設。</w:t>
      </w:r>
    </w:p>
    <w:p w:rsidR="00C050DB" w:rsidRPr="00D55DC6" w:rsidRDefault="00C050DB" w:rsidP="004865C1">
      <w:pPr>
        <w:numPr>
          <w:ilvl w:val="0"/>
          <w:numId w:val="88"/>
        </w:numPr>
        <w:snapToGrid w:val="0"/>
        <w:spacing w:beforeLines="50" w:before="180" w:afterLines="50" w:after="180" w:line="460" w:lineRule="exact"/>
        <w:ind w:left="862" w:hanging="862"/>
        <w:jc w:val="both"/>
        <w:rPr>
          <w:rFonts w:eastAsia="標楷體"/>
          <w:b/>
          <w:sz w:val="28"/>
          <w:szCs w:val="28"/>
        </w:rPr>
      </w:pPr>
      <w:r w:rsidRPr="00D55DC6">
        <w:rPr>
          <w:rFonts w:eastAsia="標楷體"/>
          <w:b/>
          <w:sz w:val="28"/>
          <w:szCs w:val="28"/>
        </w:rPr>
        <w:t>績效指標、衡量標準及目標值</w:t>
      </w:r>
    </w:p>
    <w:tbl>
      <w:tblPr>
        <w:tblW w:w="7746"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5"/>
        <w:gridCol w:w="2127"/>
        <w:gridCol w:w="865"/>
        <w:gridCol w:w="868"/>
        <w:gridCol w:w="865"/>
        <w:gridCol w:w="865"/>
        <w:gridCol w:w="865"/>
        <w:gridCol w:w="866"/>
      </w:tblGrid>
      <w:tr w:rsidR="001D0350" w:rsidRPr="00D55DC6" w:rsidTr="00A82A80">
        <w:trPr>
          <w:trHeight w:val="345"/>
          <w:tblHeader/>
        </w:trPr>
        <w:tc>
          <w:tcPr>
            <w:tcW w:w="425" w:type="dxa"/>
            <w:vMerge w:val="restart"/>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項目</w:t>
            </w:r>
          </w:p>
        </w:tc>
        <w:tc>
          <w:tcPr>
            <w:tcW w:w="2127" w:type="dxa"/>
            <w:vMerge w:val="restart"/>
            <w:vAlign w:val="center"/>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衡量指標</w:t>
            </w:r>
          </w:p>
        </w:tc>
        <w:tc>
          <w:tcPr>
            <w:tcW w:w="1733" w:type="dxa"/>
            <w:gridSpan w:val="2"/>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衡量基準</w:t>
            </w:r>
          </w:p>
        </w:tc>
        <w:tc>
          <w:tcPr>
            <w:tcW w:w="3461" w:type="dxa"/>
            <w:gridSpan w:val="4"/>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預期目標值</w:t>
            </w:r>
          </w:p>
        </w:tc>
      </w:tr>
      <w:tr w:rsidR="001D0350" w:rsidRPr="00D55DC6" w:rsidTr="00A82A80">
        <w:trPr>
          <w:trHeight w:val="345"/>
          <w:tblHeader/>
        </w:trPr>
        <w:tc>
          <w:tcPr>
            <w:tcW w:w="425" w:type="dxa"/>
            <w:vMerge/>
          </w:tcPr>
          <w:p w:rsidR="00C050DB" w:rsidRPr="00D55DC6" w:rsidRDefault="00C050DB" w:rsidP="0038165F">
            <w:pPr>
              <w:widowControl/>
              <w:spacing w:line="400" w:lineRule="exact"/>
              <w:jc w:val="center"/>
              <w:rPr>
                <w:rFonts w:eastAsia="標楷體"/>
                <w:kern w:val="0"/>
                <w:sz w:val="28"/>
                <w:szCs w:val="28"/>
              </w:rPr>
            </w:pPr>
          </w:p>
        </w:tc>
        <w:tc>
          <w:tcPr>
            <w:tcW w:w="2127" w:type="dxa"/>
            <w:vMerge/>
            <w:vAlign w:val="center"/>
          </w:tcPr>
          <w:p w:rsidR="00C050DB" w:rsidRPr="00D55DC6" w:rsidRDefault="00C050DB" w:rsidP="0038165F">
            <w:pPr>
              <w:widowControl/>
              <w:spacing w:line="400" w:lineRule="exact"/>
              <w:rPr>
                <w:rFonts w:eastAsia="標楷體"/>
                <w:kern w:val="0"/>
                <w:sz w:val="28"/>
                <w:szCs w:val="28"/>
              </w:rPr>
            </w:pPr>
          </w:p>
        </w:tc>
        <w:tc>
          <w:tcPr>
            <w:tcW w:w="865" w:type="dxa"/>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102</w:t>
            </w:r>
            <w:r w:rsidRPr="00D55DC6">
              <w:rPr>
                <w:rFonts w:eastAsia="標楷體"/>
                <w:kern w:val="0"/>
                <w:sz w:val="28"/>
                <w:szCs w:val="28"/>
              </w:rPr>
              <w:t>年</w:t>
            </w:r>
          </w:p>
        </w:tc>
        <w:tc>
          <w:tcPr>
            <w:tcW w:w="868" w:type="dxa"/>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103</w:t>
            </w:r>
            <w:r w:rsidRPr="00D55DC6">
              <w:rPr>
                <w:rFonts w:eastAsia="標楷體"/>
                <w:kern w:val="0"/>
                <w:sz w:val="28"/>
                <w:szCs w:val="28"/>
              </w:rPr>
              <w:t>年</w:t>
            </w:r>
          </w:p>
        </w:tc>
        <w:tc>
          <w:tcPr>
            <w:tcW w:w="865" w:type="dxa"/>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105</w:t>
            </w:r>
            <w:r w:rsidRPr="00D55DC6">
              <w:rPr>
                <w:rFonts w:eastAsia="標楷體"/>
                <w:kern w:val="0"/>
                <w:sz w:val="28"/>
                <w:szCs w:val="28"/>
              </w:rPr>
              <w:t>年</w:t>
            </w:r>
          </w:p>
        </w:tc>
        <w:tc>
          <w:tcPr>
            <w:tcW w:w="865" w:type="dxa"/>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106</w:t>
            </w:r>
            <w:r w:rsidRPr="00D55DC6">
              <w:rPr>
                <w:rFonts w:eastAsia="標楷體"/>
                <w:kern w:val="0"/>
                <w:sz w:val="28"/>
                <w:szCs w:val="28"/>
              </w:rPr>
              <w:t>年</w:t>
            </w:r>
          </w:p>
        </w:tc>
        <w:tc>
          <w:tcPr>
            <w:tcW w:w="865" w:type="dxa"/>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107</w:t>
            </w:r>
            <w:r w:rsidRPr="00D55DC6">
              <w:rPr>
                <w:rFonts w:eastAsia="標楷體"/>
                <w:kern w:val="0"/>
                <w:sz w:val="28"/>
                <w:szCs w:val="28"/>
              </w:rPr>
              <w:t>年</w:t>
            </w:r>
          </w:p>
        </w:tc>
        <w:tc>
          <w:tcPr>
            <w:tcW w:w="866" w:type="dxa"/>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108</w:t>
            </w:r>
            <w:r w:rsidRPr="00D55DC6">
              <w:rPr>
                <w:rFonts w:eastAsia="標楷體"/>
                <w:kern w:val="0"/>
                <w:sz w:val="28"/>
                <w:szCs w:val="28"/>
              </w:rPr>
              <w:t>年</w:t>
            </w:r>
          </w:p>
        </w:tc>
      </w:tr>
      <w:tr w:rsidR="001D0350" w:rsidRPr="00D55DC6" w:rsidTr="00A82A80">
        <w:trPr>
          <w:trHeight w:val="675"/>
        </w:trPr>
        <w:tc>
          <w:tcPr>
            <w:tcW w:w="425" w:type="dxa"/>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1</w:t>
            </w:r>
          </w:p>
        </w:tc>
        <w:tc>
          <w:tcPr>
            <w:tcW w:w="2127" w:type="dxa"/>
          </w:tcPr>
          <w:p w:rsidR="00C050DB" w:rsidRPr="00D55DC6" w:rsidRDefault="00C050DB" w:rsidP="0038165F">
            <w:pPr>
              <w:widowControl/>
              <w:spacing w:line="400" w:lineRule="exact"/>
              <w:jc w:val="both"/>
              <w:rPr>
                <w:rFonts w:eastAsia="標楷體"/>
                <w:kern w:val="0"/>
                <w:sz w:val="28"/>
                <w:szCs w:val="28"/>
              </w:rPr>
            </w:pPr>
            <w:r w:rsidRPr="00D55DC6">
              <w:rPr>
                <w:rFonts w:eastAsia="標楷體"/>
                <w:kern w:val="0"/>
                <w:sz w:val="28"/>
                <w:szCs w:val="28"/>
              </w:rPr>
              <w:t>重要觀光景點建設完成數</w:t>
            </w:r>
            <w:r w:rsidRPr="00D55DC6">
              <w:rPr>
                <w:rFonts w:eastAsia="標楷體"/>
                <w:kern w:val="0"/>
                <w:sz w:val="28"/>
                <w:szCs w:val="28"/>
              </w:rPr>
              <w:t>(</w:t>
            </w:r>
            <w:r w:rsidRPr="00D55DC6">
              <w:rPr>
                <w:rFonts w:eastAsia="標楷體"/>
                <w:kern w:val="0"/>
                <w:sz w:val="28"/>
                <w:szCs w:val="28"/>
              </w:rPr>
              <w:t>處</w:t>
            </w:r>
            <w:r w:rsidRPr="00D55DC6">
              <w:rPr>
                <w:rFonts w:eastAsia="標楷體"/>
                <w:kern w:val="0"/>
                <w:sz w:val="28"/>
                <w:szCs w:val="28"/>
              </w:rPr>
              <w:t>)</w:t>
            </w:r>
          </w:p>
        </w:tc>
        <w:tc>
          <w:tcPr>
            <w:tcW w:w="865" w:type="dxa"/>
            <w:vAlign w:val="center"/>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5</w:t>
            </w:r>
          </w:p>
        </w:tc>
        <w:tc>
          <w:tcPr>
            <w:tcW w:w="868" w:type="dxa"/>
            <w:vAlign w:val="center"/>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4</w:t>
            </w:r>
          </w:p>
        </w:tc>
        <w:tc>
          <w:tcPr>
            <w:tcW w:w="865" w:type="dxa"/>
            <w:vAlign w:val="center"/>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4</w:t>
            </w:r>
          </w:p>
        </w:tc>
        <w:tc>
          <w:tcPr>
            <w:tcW w:w="865" w:type="dxa"/>
            <w:vAlign w:val="center"/>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4</w:t>
            </w:r>
          </w:p>
        </w:tc>
        <w:tc>
          <w:tcPr>
            <w:tcW w:w="865" w:type="dxa"/>
            <w:vAlign w:val="center"/>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4</w:t>
            </w:r>
          </w:p>
        </w:tc>
        <w:tc>
          <w:tcPr>
            <w:tcW w:w="866" w:type="dxa"/>
            <w:vAlign w:val="center"/>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4</w:t>
            </w:r>
          </w:p>
        </w:tc>
      </w:tr>
      <w:tr w:rsidR="001D0350" w:rsidRPr="00D55DC6" w:rsidTr="00A82A80">
        <w:trPr>
          <w:trHeight w:val="675"/>
        </w:trPr>
        <w:tc>
          <w:tcPr>
            <w:tcW w:w="425" w:type="dxa"/>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2</w:t>
            </w:r>
          </w:p>
        </w:tc>
        <w:tc>
          <w:tcPr>
            <w:tcW w:w="2127" w:type="dxa"/>
          </w:tcPr>
          <w:p w:rsidR="00C050DB" w:rsidRPr="00D55DC6" w:rsidRDefault="00C050DB" w:rsidP="0038165F">
            <w:pPr>
              <w:widowControl/>
              <w:spacing w:line="400" w:lineRule="exact"/>
              <w:jc w:val="both"/>
              <w:rPr>
                <w:rFonts w:eastAsia="標楷體"/>
                <w:kern w:val="0"/>
                <w:sz w:val="28"/>
                <w:szCs w:val="28"/>
              </w:rPr>
            </w:pPr>
            <w:r w:rsidRPr="00D55DC6">
              <w:rPr>
                <w:rFonts w:eastAsia="標楷體"/>
                <w:kern w:val="0"/>
                <w:sz w:val="28"/>
                <w:szCs w:val="28"/>
              </w:rPr>
              <w:t>參訪國家風景區遊客人數</w:t>
            </w:r>
            <w:r w:rsidRPr="00D55DC6">
              <w:rPr>
                <w:rFonts w:eastAsia="標楷體"/>
                <w:kern w:val="0"/>
                <w:sz w:val="28"/>
                <w:szCs w:val="28"/>
              </w:rPr>
              <w:t>(</w:t>
            </w:r>
            <w:r w:rsidRPr="00D55DC6">
              <w:rPr>
                <w:rFonts w:eastAsia="標楷體"/>
                <w:kern w:val="0"/>
                <w:sz w:val="28"/>
                <w:szCs w:val="28"/>
              </w:rPr>
              <w:t>萬人</w:t>
            </w:r>
            <w:r w:rsidRPr="00D55DC6">
              <w:rPr>
                <w:rFonts w:eastAsia="標楷體"/>
                <w:kern w:val="0"/>
                <w:sz w:val="28"/>
                <w:szCs w:val="28"/>
              </w:rPr>
              <w:t xml:space="preserve">) </w:t>
            </w:r>
          </w:p>
        </w:tc>
        <w:tc>
          <w:tcPr>
            <w:tcW w:w="865" w:type="dxa"/>
            <w:vAlign w:val="center"/>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354</w:t>
            </w:r>
          </w:p>
        </w:tc>
        <w:tc>
          <w:tcPr>
            <w:tcW w:w="868" w:type="dxa"/>
            <w:vAlign w:val="center"/>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357</w:t>
            </w:r>
          </w:p>
        </w:tc>
        <w:tc>
          <w:tcPr>
            <w:tcW w:w="865" w:type="dxa"/>
            <w:vAlign w:val="center"/>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399</w:t>
            </w:r>
          </w:p>
        </w:tc>
        <w:tc>
          <w:tcPr>
            <w:tcW w:w="865" w:type="dxa"/>
            <w:vAlign w:val="center"/>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410</w:t>
            </w:r>
          </w:p>
        </w:tc>
        <w:tc>
          <w:tcPr>
            <w:tcW w:w="865" w:type="dxa"/>
            <w:vAlign w:val="center"/>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422</w:t>
            </w:r>
          </w:p>
        </w:tc>
        <w:tc>
          <w:tcPr>
            <w:tcW w:w="866" w:type="dxa"/>
            <w:vAlign w:val="center"/>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434</w:t>
            </w:r>
          </w:p>
        </w:tc>
      </w:tr>
      <w:tr w:rsidR="001D0350" w:rsidRPr="00D55DC6" w:rsidTr="00A82A80">
        <w:trPr>
          <w:trHeight w:val="51"/>
        </w:trPr>
        <w:tc>
          <w:tcPr>
            <w:tcW w:w="425" w:type="dxa"/>
          </w:tcPr>
          <w:p w:rsidR="00C050DB" w:rsidRPr="00D55DC6" w:rsidRDefault="00C050DB" w:rsidP="0038165F">
            <w:pPr>
              <w:widowControl/>
              <w:spacing w:line="400" w:lineRule="exact"/>
              <w:jc w:val="center"/>
              <w:rPr>
                <w:rFonts w:eastAsia="標楷體"/>
                <w:kern w:val="0"/>
                <w:sz w:val="28"/>
                <w:szCs w:val="28"/>
              </w:rPr>
            </w:pPr>
            <w:r w:rsidRPr="00D55DC6">
              <w:rPr>
                <w:rFonts w:eastAsia="標楷體"/>
                <w:kern w:val="0"/>
                <w:sz w:val="28"/>
                <w:szCs w:val="28"/>
              </w:rPr>
              <w:t>3</w:t>
            </w:r>
          </w:p>
        </w:tc>
        <w:tc>
          <w:tcPr>
            <w:tcW w:w="2127" w:type="dxa"/>
          </w:tcPr>
          <w:p w:rsidR="00C050DB" w:rsidRPr="00D55DC6" w:rsidRDefault="00C050DB" w:rsidP="0038165F">
            <w:pPr>
              <w:widowControl/>
              <w:spacing w:line="400" w:lineRule="exact"/>
              <w:jc w:val="both"/>
              <w:rPr>
                <w:rFonts w:eastAsia="標楷體"/>
                <w:kern w:val="0"/>
                <w:sz w:val="28"/>
                <w:szCs w:val="28"/>
              </w:rPr>
            </w:pPr>
            <w:r w:rsidRPr="00D55DC6">
              <w:rPr>
                <w:rFonts w:eastAsia="標楷體"/>
                <w:kern w:val="0"/>
                <w:sz w:val="28"/>
                <w:szCs w:val="28"/>
              </w:rPr>
              <w:t>觀光產值</w:t>
            </w:r>
            <w:r w:rsidRPr="00D55DC6">
              <w:rPr>
                <w:rFonts w:eastAsia="標楷體"/>
                <w:kern w:val="0"/>
                <w:sz w:val="28"/>
                <w:szCs w:val="28"/>
              </w:rPr>
              <w:t>(</w:t>
            </w:r>
            <w:r w:rsidRPr="00D55DC6">
              <w:rPr>
                <w:rFonts w:eastAsia="標楷體"/>
                <w:kern w:val="0"/>
                <w:sz w:val="28"/>
                <w:szCs w:val="28"/>
              </w:rPr>
              <w:t>億元</w:t>
            </w:r>
            <w:r w:rsidRPr="00D55DC6">
              <w:rPr>
                <w:rFonts w:eastAsia="標楷體"/>
                <w:kern w:val="0"/>
                <w:sz w:val="28"/>
                <w:szCs w:val="28"/>
              </w:rPr>
              <w:t>)</w:t>
            </w:r>
          </w:p>
        </w:tc>
        <w:tc>
          <w:tcPr>
            <w:tcW w:w="865" w:type="dxa"/>
            <w:vAlign w:val="center"/>
          </w:tcPr>
          <w:p w:rsidR="00C050DB" w:rsidRPr="00D55DC6" w:rsidRDefault="000A1530" w:rsidP="0038165F">
            <w:pPr>
              <w:widowControl/>
              <w:spacing w:line="400" w:lineRule="exact"/>
              <w:jc w:val="center"/>
              <w:rPr>
                <w:rFonts w:eastAsia="標楷體"/>
                <w:spacing w:val="-20"/>
                <w:kern w:val="0"/>
                <w:sz w:val="28"/>
                <w:szCs w:val="28"/>
              </w:rPr>
            </w:pPr>
            <w:r w:rsidRPr="00D55DC6">
              <w:rPr>
                <w:rFonts w:eastAsia="標楷體"/>
                <w:spacing w:val="-20"/>
                <w:kern w:val="0"/>
                <w:sz w:val="28"/>
                <w:szCs w:val="28"/>
              </w:rPr>
              <w:t>73.21</w:t>
            </w:r>
          </w:p>
        </w:tc>
        <w:tc>
          <w:tcPr>
            <w:tcW w:w="868" w:type="dxa"/>
            <w:vAlign w:val="center"/>
          </w:tcPr>
          <w:p w:rsidR="00C050DB" w:rsidRPr="00D55DC6" w:rsidRDefault="000A1530" w:rsidP="0038165F">
            <w:pPr>
              <w:widowControl/>
              <w:spacing w:line="400" w:lineRule="exact"/>
              <w:jc w:val="center"/>
              <w:rPr>
                <w:rFonts w:eastAsia="標楷體"/>
                <w:spacing w:val="-20"/>
                <w:kern w:val="0"/>
                <w:sz w:val="28"/>
                <w:szCs w:val="28"/>
              </w:rPr>
            </w:pPr>
            <w:r w:rsidRPr="00D55DC6">
              <w:rPr>
                <w:rFonts w:eastAsia="標楷體"/>
                <w:spacing w:val="-20"/>
                <w:kern w:val="0"/>
                <w:sz w:val="28"/>
                <w:szCs w:val="28"/>
              </w:rPr>
              <w:t>73.83</w:t>
            </w:r>
          </w:p>
        </w:tc>
        <w:tc>
          <w:tcPr>
            <w:tcW w:w="865" w:type="dxa"/>
            <w:vAlign w:val="center"/>
          </w:tcPr>
          <w:p w:rsidR="00C050DB" w:rsidRPr="00D55DC6" w:rsidRDefault="000A1530" w:rsidP="0038165F">
            <w:pPr>
              <w:widowControl/>
              <w:spacing w:line="400" w:lineRule="exact"/>
              <w:jc w:val="center"/>
              <w:rPr>
                <w:rFonts w:eastAsia="標楷體"/>
                <w:spacing w:val="-20"/>
                <w:kern w:val="0"/>
                <w:sz w:val="28"/>
                <w:szCs w:val="28"/>
              </w:rPr>
            </w:pPr>
            <w:r w:rsidRPr="00D55DC6">
              <w:rPr>
                <w:rFonts w:eastAsia="標楷體"/>
                <w:spacing w:val="-20"/>
                <w:kern w:val="0"/>
                <w:sz w:val="28"/>
                <w:szCs w:val="28"/>
              </w:rPr>
              <w:t>82.52</w:t>
            </w:r>
          </w:p>
        </w:tc>
        <w:tc>
          <w:tcPr>
            <w:tcW w:w="865" w:type="dxa"/>
            <w:vAlign w:val="center"/>
          </w:tcPr>
          <w:p w:rsidR="00C050DB" w:rsidRPr="00D55DC6" w:rsidRDefault="000A1530" w:rsidP="0038165F">
            <w:pPr>
              <w:widowControl/>
              <w:spacing w:line="400" w:lineRule="exact"/>
              <w:jc w:val="center"/>
              <w:rPr>
                <w:rFonts w:eastAsia="標楷體"/>
                <w:spacing w:val="-20"/>
                <w:kern w:val="0"/>
                <w:sz w:val="28"/>
                <w:szCs w:val="28"/>
              </w:rPr>
            </w:pPr>
            <w:r w:rsidRPr="00D55DC6">
              <w:rPr>
                <w:rFonts w:eastAsia="標楷體"/>
                <w:spacing w:val="-20"/>
                <w:kern w:val="0"/>
                <w:sz w:val="28"/>
                <w:szCs w:val="28"/>
              </w:rPr>
              <w:t>84.79</w:t>
            </w:r>
          </w:p>
        </w:tc>
        <w:tc>
          <w:tcPr>
            <w:tcW w:w="865" w:type="dxa"/>
            <w:vAlign w:val="center"/>
          </w:tcPr>
          <w:p w:rsidR="00C050DB" w:rsidRPr="00D55DC6" w:rsidRDefault="000A1530" w:rsidP="0038165F">
            <w:pPr>
              <w:widowControl/>
              <w:spacing w:line="400" w:lineRule="exact"/>
              <w:jc w:val="center"/>
              <w:rPr>
                <w:rFonts w:eastAsia="標楷體"/>
                <w:spacing w:val="-20"/>
                <w:kern w:val="0"/>
                <w:sz w:val="28"/>
                <w:szCs w:val="28"/>
              </w:rPr>
            </w:pPr>
            <w:r w:rsidRPr="00D55DC6">
              <w:rPr>
                <w:rFonts w:eastAsia="標楷體"/>
                <w:spacing w:val="-20"/>
                <w:kern w:val="0"/>
                <w:sz w:val="28"/>
                <w:szCs w:val="28"/>
              </w:rPr>
              <w:t>87.27</w:t>
            </w:r>
          </w:p>
        </w:tc>
        <w:tc>
          <w:tcPr>
            <w:tcW w:w="866" w:type="dxa"/>
            <w:vAlign w:val="center"/>
          </w:tcPr>
          <w:p w:rsidR="00C050DB" w:rsidRPr="00D55DC6" w:rsidRDefault="000A1530" w:rsidP="0038165F">
            <w:pPr>
              <w:widowControl/>
              <w:spacing w:line="400" w:lineRule="exact"/>
              <w:jc w:val="center"/>
              <w:rPr>
                <w:rFonts w:eastAsia="標楷體"/>
                <w:spacing w:val="-20"/>
                <w:kern w:val="0"/>
                <w:sz w:val="28"/>
                <w:szCs w:val="28"/>
              </w:rPr>
            </w:pPr>
            <w:r w:rsidRPr="00D55DC6">
              <w:rPr>
                <w:rFonts w:eastAsia="標楷體"/>
                <w:spacing w:val="-20"/>
                <w:kern w:val="0"/>
                <w:sz w:val="28"/>
                <w:szCs w:val="28"/>
              </w:rPr>
              <w:t>89.76</w:t>
            </w:r>
          </w:p>
        </w:tc>
      </w:tr>
      <w:tr w:rsidR="001D0350" w:rsidRPr="00D55DC6" w:rsidTr="00A82A80">
        <w:trPr>
          <w:trHeight w:val="51"/>
        </w:trPr>
        <w:tc>
          <w:tcPr>
            <w:tcW w:w="425" w:type="dxa"/>
          </w:tcPr>
          <w:p w:rsidR="000A1530" w:rsidRPr="00D55DC6" w:rsidRDefault="000A1530" w:rsidP="002A3B8B">
            <w:pPr>
              <w:widowControl/>
              <w:spacing w:line="460" w:lineRule="exact"/>
              <w:jc w:val="center"/>
              <w:rPr>
                <w:rFonts w:eastAsia="標楷體"/>
                <w:kern w:val="0"/>
                <w:sz w:val="28"/>
                <w:szCs w:val="28"/>
              </w:rPr>
            </w:pPr>
            <w:r w:rsidRPr="00D55DC6">
              <w:rPr>
                <w:rFonts w:eastAsia="標楷體"/>
                <w:kern w:val="0"/>
                <w:sz w:val="28"/>
                <w:szCs w:val="28"/>
              </w:rPr>
              <w:t>4</w:t>
            </w:r>
          </w:p>
        </w:tc>
        <w:tc>
          <w:tcPr>
            <w:tcW w:w="2127" w:type="dxa"/>
          </w:tcPr>
          <w:p w:rsidR="000A1530" w:rsidRPr="00D55DC6" w:rsidRDefault="000A1530" w:rsidP="000A1530">
            <w:pPr>
              <w:widowControl/>
              <w:spacing w:line="400" w:lineRule="exact"/>
              <w:jc w:val="both"/>
              <w:rPr>
                <w:rFonts w:eastAsia="標楷體"/>
                <w:kern w:val="0"/>
                <w:sz w:val="28"/>
                <w:szCs w:val="28"/>
              </w:rPr>
            </w:pPr>
            <w:r w:rsidRPr="00D55DC6">
              <w:rPr>
                <w:rFonts w:eastAsia="標楷體"/>
                <w:kern w:val="0"/>
                <w:sz w:val="28"/>
                <w:szCs w:val="28"/>
              </w:rPr>
              <w:t>性別友善設施完成數</w:t>
            </w:r>
            <w:r w:rsidRPr="00D55DC6">
              <w:rPr>
                <w:rFonts w:eastAsia="標楷體"/>
                <w:kern w:val="0"/>
                <w:sz w:val="28"/>
                <w:szCs w:val="28"/>
              </w:rPr>
              <w:t>(</w:t>
            </w:r>
            <w:r w:rsidRPr="00D55DC6">
              <w:rPr>
                <w:rFonts w:eastAsia="標楷體"/>
                <w:kern w:val="0"/>
                <w:sz w:val="28"/>
                <w:szCs w:val="28"/>
              </w:rPr>
              <w:t>處</w:t>
            </w:r>
            <w:r w:rsidRPr="00D55DC6">
              <w:rPr>
                <w:rFonts w:eastAsia="標楷體"/>
                <w:kern w:val="0"/>
                <w:sz w:val="28"/>
                <w:szCs w:val="28"/>
              </w:rPr>
              <w:t>)</w:t>
            </w:r>
          </w:p>
        </w:tc>
        <w:tc>
          <w:tcPr>
            <w:tcW w:w="865" w:type="dxa"/>
            <w:vAlign w:val="center"/>
          </w:tcPr>
          <w:p w:rsidR="000A1530" w:rsidRPr="00D55DC6" w:rsidRDefault="00E852D0" w:rsidP="0038165F">
            <w:pPr>
              <w:widowControl/>
              <w:spacing w:line="400" w:lineRule="exact"/>
              <w:jc w:val="center"/>
              <w:rPr>
                <w:rFonts w:eastAsia="標楷體"/>
                <w:spacing w:val="-20"/>
                <w:kern w:val="0"/>
                <w:sz w:val="28"/>
                <w:szCs w:val="28"/>
              </w:rPr>
            </w:pPr>
            <w:r w:rsidRPr="00D55DC6">
              <w:rPr>
                <w:rFonts w:eastAsia="標楷體"/>
                <w:spacing w:val="-20"/>
                <w:kern w:val="0"/>
                <w:sz w:val="28"/>
                <w:szCs w:val="28"/>
              </w:rPr>
              <w:t>1</w:t>
            </w:r>
          </w:p>
        </w:tc>
        <w:tc>
          <w:tcPr>
            <w:tcW w:w="868" w:type="dxa"/>
            <w:vAlign w:val="center"/>
          </w:tcPr>
          <w:p w:rsidR="000A1530" w:rsidRPr="00D55DC6" w:rsidRDefault="00E852D0" w:rsidP="0038165F">
            <w:pPr>
              <w:widowControl/>
              <w:spacing w:line="400" w:lineRule="exact"/>
              <w:jc w:val="center"/>
              <w:rPr>
                <w:rFonts w:eastAsia="標楷體"/>
                <w:spacing w:val="-20"/>
                <w:kern w:val="0"/>
                <w:sz w:val="28"/>
                <w:szCs w:val="28"/>
              </w:rPr>
            </w:pPr>
            <w:r w:rsidRPr="00D55DC6">
              <w:rPr>
                <w:rFonts w:eastAsia="標楷體"/>
                <w:spacing w:val="-20"/>
                <w:kern w:val="0"/>
                <w:sz w:val="28"/>
                <w:szCs w:val="28"/>
              </w:rPr>
              <w:t>1</w:t>
            </w:r>
          </w:p>
        </w:tc>
        <w:tc>
          <w:tcPr>
            <w:tcW w:w="865" w:type="dxa"/>
            <w:vAlign w:val="center"/>
          </w:tcPr>
          <w:p w:rsidR="000A1530" w:rsidRPr="00D55DC6" w:rsidRDefault="00E852D0" w:rsidP="0038165F">
            <w:pPr>
              <w:widowControl/>
              <w:spacing w:line="400" w:lineRule="exact"/>
              <w:jc w:val="center"/>
              <w:rPr>
                <w:rFonts w:eastAsia="標楷體"/>
                <w:spacing w:val="-20"/>
                <w:kern w:val="0"/>
                <w:sz w:val="28"/>
                <w:szCs w:val="28"/>
              </w:rPr>
            </w:pPr>
            <w:r w:rsidRPr="00D55DC6">
              <w:rPr>
                <w:rFonts w:eastAsia="標楷體"/>
                <w:spacing w:val="-20"/>
                <w:kern w:val="0"/>
                <w:sz w:val="28"/>
                <w:szCs w:val="28"/>
              </w:rPr>
              <w:t>1</w:t>
            </w:r>
          </w:p>
        </w:tc>
        <w:tc>
          <w:tcPr>
            <w:tcW w:w="865" w:type="dxa"/>
            <w:vAlign w:val="center"/>
          </w:tcPr>
          <w:p w:rsidR="000A1530" w:rsidRPr="00D55DC6" w:rsidRDefault="00E852D0" w:rsidP="0038165F">
            <w:pPr>
              <w:widowControl/>
              <w:spacing w:line="400" w:lineRule="exact"/>
              <w:jc w:val="center"/>
              <w:rPr>
                <w:rFonts w:eastAsia="標楷體"/>
                <w:spacing w:val="-20"/>
                <w:kern w:val="0"/>
                <w:sz w:val="28"/>
                <w:szCs w:val="28"/>
              </w:rPr>
            </w:pPr>
            <w:r w:rsidRPr="00D55DC6">
              <w:rPr>
                <w:rFonts w:eastAsia="標楷體"/>
                <w:spacing w:val="-20"/>
                <w:kern w:val="0"/>
                <w:sz w:val="28"/>
                <w:szCs w:val="28"/>
              </w:rPr>
              <w:t>1</w:t>
            </w:r>
          </w:p>
        </w:tc>
        <w:tc>
          <w:tcPr>
            <w:tcW w:w="865" w:type="dxa"/>
            <w:vAlign w:val="center"/>
          </w:tcPr>
          <w:p w:rsidR="000A1530" w:rsidRPr="00D55DC6" w:rsidRDefault="00E852D0" w:rsidP="0038165F">
            <w:pPr>
              <w:widowControl/>
              <w:spacing w:line="400" w:lineRule="exact"/>
              <w:jc w:val="center"/>
              <w:rPr>
                <w:rFonts w:eastAsia="標楷體"/>
                <w:spacing w:val="-20"/>
                <w:kern w:val="0"/>
                <w:sz w:val="28"/>
                <w:szCs w:val="28"/>
              </w:rPr>
            </w:pPr>
            <w:r w:rsidRPr="00D55DC6">
              <w:rPr>
                <w:rFonts w:eastAsia="標楷體"/>
                <w:spacing w:val="-20"/>
                <w:kern w:val="0"/>
                <w:sz w:val="28"/>
                <w:szCs w:val="28"/>
              </w:rPr>
              <w:t>1</w:t>
            </w:r>
          </w:p>
        </w:tc>
        <w:tc>
          <w:tcPr>
            <w:tcW w:w="866" w:type="dxa"/>
            <w:vAlign w:val="center"/>
          </w:tcPr>
          <w:p w:rsidR="000A1530" w:rsidRPr="00D55DC6" w:rsidRDefault="00E852D0" w:rsidP="0038165F">
            <w:pPr>
              <w:widowControl/>
              <w:spacing w:line="400" w:lineRule="exact"/>
              <w:jc w:val="center"/>
              <w:rPr>
                <w:rFonts w:eastAsia="標楷體"/>
                <w:spacing w:val="-20"/>
                <w:kern w:val="0"/>
                <w:sz w:val="28"/>
                <w:szCs w:val="28"/>
              </w:rPr>
            </w:pPr>
            <w:r w:rsidRPr="00D55DC6">
              <w:rPr>
                <w:rFonts w:eastAsia="標楷體"/>
                <w:spacing w:val="-20"/>
                <w:kern w:val="0"/>
                <w:sz w:val="28"/>
                <w:szCs w:val="28"/>
              </w:rPr>
              <w:t>1</w:t>
            </w:r>
          </w:p>
        </w:tc>
      </w:tr>
      <w:tr w:rsidR="001D0350" w:rsidRPr="00D55DC6" w:rsidTr="00A82A80">
        <w:trPr>
          <w:trHeight w:val="51"/>
        </w:trPr>
        <w:tc>
          <w:tcPr>
            <w:tcW w:w="425" w:type="dxa"/>
          </w:tcPr>
          <w:p w:rsidR="002F5D4E" w:rsidRPr="00D55DC6" w:rsidRDefault="002F5D4E" w:rsidP="002A3B8B">
            <w:pPr>
              <w:widowControl/>
              <w:spacing w:line="460" w:lineRule="exact"/>
              <w:jc w:val="center"/>
              <w:rPr>
                <w:rFonts w:eastAsia="標楷體"/>
                <w:kern w:val="0"/>
                <w:sz w:val="28"/>
                <w:szCs w:val="28"/>
              </w:rPr>
            </w:pPr>
            <w:r w:rsidRPr="00D55DC6">
              <w:rPr>
                <w:rFonts w:eastAsia="標楷體"/>
                <w:kern w:val="0"/>
                <w:sz w:val="28"/>
                <w:szCs w:val="28"/>
              </w:rPr>
              <w:t>5</w:t>
            </w:r>
          </w:p>
        </w:tc>
        <w:tc>
          <w:tcPr>
            <w:tcW w:w="2127" w:type="dxa"/>
          </w:tcPr>
          <w:p w:rsidR="002F5D4E" w:rsidRPr="00D55DC6" w:rsidRDefault="005C51C2" w:rsidP="00435440">
            <w:pPr>
              <w:widowControl/>
              <w:spacing w:line="400" w:lineRule="exact"/>
              <w:jc w:val="both"/>
              <w:rPr>
                <w:rFonts w:eastAsia="標楷體"/>
                <w:kern w:val="0"/>
                <w:sz w:val="28"/>
                <w:szCs w:val="28"/>
              </w:rPr>
            </w:pPr>
            <w:r w:rsidRPr="00D55DC6">
              <w:rPr>
                <w:rFonts w:eastAsia="標楷體"/>
                <w:kern w:val="0"/>
                <w:sz w:val="28"/>
                <w:szCs w:val="28"/>
              </w:rPr>
              <w:t>轄區經管設施公共意外責任險確</w:t>
            </w:r>
            <w:r w:rsidRPr="00D55DC6">
              <w:rPr>
                <w:rFonts w:eastAsia="標楷體" w:hint="eastAsia"/>
                <w:kern w:val="0"/>
                <w:sz w:val="28"/>
                <w:szCs w:val="28"/>
              </w:rPr>
              <w:t>定</w:t>
            </w:r>
            <w:r w:rsidR="002F5D4E" w:rsidRPr="00D55DC6">
              <w:rPr>
                <w:rFonts w:eastAsia="標楷體"/>
                <w:kern w:val="0"/>
                <w:sz w:val="28"/>
                <w:szCs w:val="28"/>
              </w:rPr>
              <w:t>理賠件數上限（件）</w:t>
            </w:r>
          </w:p>
        </w:tc>
        <w:tc>
          <w:tcPr>
            <w:tcW w:w="865" w:type="dxa"/>
            <w:vAlign w:val="center"/>
          </w:tcPr>
          <w:p w:rsidR="002F5D4E" w:rsidRPr="00D55DC6" w:rsidRDefault="002F5D4E">
            <w:pPr>
              <w:jc w:val="center"/>
              <w:rPr>
                <w:rFonts w:ascii="新細明體" w:hAnsi="新細明體" w:cs="新細明體"/>
                <w:sz w:val="28"/>
              </w:rPr>
            </w:pPr>
            <w:r w:rsidRPr="00D55DC6">
              <w:rPr>
                <w:rFonts w:ascii="新細明體" w:hAnsi="新細明體" w:cs="新細明體" w:hint="eastAsia"/>
                <w:sz w:val="28"/>
              </w:rPr>
              <w:t>-</w:t>
            </w:r>
          </w:p>
        </w:tc>
        <w:tc>
          <w:tcPr>
            <w:tcW w:w="868" w:type="dxa"/>
            <w:vAlign w:val="center"/>
          </w:tcPr>
          <w:p w:rsidR="002F5D4E" w:rsidRPr="00D55DC6" w:rsidRDefault="002F5D4E">
            <w:pPr>
              <w:jc w:val="center"/>
              <w:rPr>
                <w:rFonts w:ascii="新細明體" w:hAnsi="新細明體" w:cs="新細明體"/>
                <w:sz w:val="28"/>
              </w:rPr>
            </w:pPr>
            <w:r w:rsidRPr="00D55DC6">
              <w:rPr>
                <w:rFonts w:ascii="新細明體" w:hAnsi="新細明體" w:cs="新細明體" w:hint="eastAsia"/>
                <w:sz w:val="28"/>
              </w:rPr>
              <w:t>-</w:t>
            </w:r>
          </w:p>
        </w:tc>
        <w:tc>
          <w:tcPr>
            <w:tcW w:w="865" w:type="dxa"/>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2</w:t>
            </w:r>
          </w:p>
        </w:tc>
        <w:tc>
          <w:tcPr>
            <w:tcW w:w="865" w:type="dxa"/>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2</w:t>
            </w:r>
          </w:p>
        </w:tc>
        <w:tc>
          <w:tcPr>
            <w:tcW w:w="865" w:type="dxa"/>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2</w:t>
            </w:r>
          </w:p>
        </w:tc>
        <w:tc>
          <w:tcPr>
            <w:tcW w:w="866" w:type="dxa"/>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1</w:t>
            </w:r>
          </w:p>
        </w:tc>
      </w:tr>
    </w:tbl>
    <w:p w:rsidR="00C050DB" w:rsidRPr="00D55DC6" w:rsidRDefault="00C050DB" w:rsidP="0038165F">
      <w:pPr>
        <w:snapToGrid w:val="0"/>
        <w:spacing w:line="460" w:lineRule="exact"/>
        <w:ind w:leftChars="296" w:left="1802" w:hangingChars="390" w:hanging="1092"/>
        <w:jc w:val="both"/>
        <w:rPr>
          <w:rFonts w:eastAsia="標楷體"/>
          <w:sz w:val="28"/>
          <w:szCs w:val="28"/>
        </w:rPr>
      </w:pPr>
      <w:r w:rsidRPr="00D55DC6">
        <w:rPr>
          <w:rFonts w:eastAsia="標楷體"/>
          <w:sz w:val="28"/>
          <w:szCs w:val="28"/>
        </w:rPr>
        <w:t xml:space="preserve">　　</w:t>
      </w:r>
    </w:p>
    <w:p w:rsidR="00C050DB" w:rsidRPr="00D55DC6" w:rsidRDefault="00C050DB" w:rsidP="0038165F">
      <w:pPr>
        <w:snapToGrid w:val="0"/>
        <w:spacing w:line="460" w:lineRule="exact"/>
        <w:ind w:leftChars="296" w:left="1802" w:hangingChars="390" w:hanging="1092"/>
        <w:jc w:val="both"/>
        <w:rPr>
          <w:rFonts w:eastAsia="標楷體"/>
          <w:sz w:val="28"/>
          <w:szCs w:val="28"/>
        </w:rPr>
      </w:pPr>
    </w:p>
    <w:p w:rsidR="00C050DB" w:rsidRPr="00D55DC6" w:rsidRDefault="00C050DB" w:rsidP="0038165F">
      <w:pPr>
        <w:snapToGrid w:val="0"/>
        <w:spacing w:line="460" w:lineRule="exact"/>
        <w:ind w:left="709" w:hanging="709"/>
        <w:jc w:val="both"/>
        <w:rPr>
          <w:rFonts w:eastAsia="標楷體"/>
          <w:b/>
          <w:sz w:val="28"/>
          <w:szCs w:val="28"/>
        </w:rPr>
      </w:pPr>
      <w:r w:rsidRPr="00D55DC6">
        <w:rPr>
          <w:rFonts w:eastAsia="標楷體"/>
          <w:b/>
          <w:sz w:val="28"/>
          <w:szCs w:val="28"/>
        </w:rPr>
        <w:t>三、現行相關政策及方案之檢討</w:t>
      </w:r>
    </w:p>
    <w:p w:rsidR="00C050DB" w:rsidRPr="00D55DC6" w:rsidRDefault="00C050DB" w:rsidP="0038165F">
      <w:pPr>
        <w:numPr>
          <w:ilvl w:val="0"/>
          <w:numId w:val="6"/>
        </w:numPr>
        <w:snapToGrid w:val="0"/>
        <w:spacing w:line="460" w:lineRule="exact"/>
        <w:jc w:val="both"/>
        <w:rPr>
          <w:rFonts w:eastAsia="標楷體"/>
          <w:sz w:val="28"/>
          <w:szCs w:val="28"/>
        </w:rPr>
      </w:pPr>
      <w:r w:rsidRPr="00D55DC6">
        <w:rPr>
          <w:rFonts w:eastAsia="標楷體"/>
          <w:b/>
          <w:sz w:val="28"/>
          <w:szCs w:val="28"/>
        </w:rPr>
        <w:t>重要觀光景點建設中程計畫</w:t>
      </w:r>
      <w:r w:rsidRPr="00D55DC6">
        <w:rPr>
          <w:rFonts w:eastAsia="標楷體"/>
          <w:b/>
          <w:sz w:val="28"/>
          <w:szCs w:val="28"/>
        </w:rPr>
        <w:t>(101-104</w:t>
      </w:r>
      <w:r w:rsidRPr="00D55DC6">
        <w:rPr>
          <w:rFonts w:eastAsia="標楷體"/>
          <w:b/>
          <w:sz w:val="28"/>
          <w:szCs w:val="28"/>
        </w:rPr>
        <w:t>年</w:t>
      </w:r>
      <w:r w:rsidRPr="00D55DC6">
        <w:rPr>
          <w:rFonts w:eastAsia="標楷體"/>
          <w:b/>
          <w:sz w:val="28"/>
          <w:szCs w:val="28"/>
        </w:rPr>
        <w:t>)</w:t>
      </w:r>
      <w:r w:rsidRPr="00D55DC6">
        <w:rPr>
          <w:rFonts w:eastAsia="標楷體"/>
          <w:sz w:val="28"/>
          <w:szCs w:val="28"/>
        </w:rPr>
        <w:t>(</w:t>
      </w:r>
      <w:r w:rsidRPr="00D55DC6">
        <w:rPr>
          <w:rFonts w:eastAsia="標楷體"/>
          <w:sz w:val="28"/>
          <w:szCs w:val="28"/>
        </w:rPr>
        <w:t>截至</w:t>
      </w:r>
      <w:r w:rsidRPr="00D55DC6">
        <w:rPr>
          <w:rFonts w:eastAsia="標楷體"/>
          <w:sz w:val="28"/>
          <w:szCs w:val="28"/>
        </w:rPr>
        <w:t>103</w:t>
      </w:r>
      <w:r w:rsidRPr="00D55DC6">
        <w:rPr>
          <w:rFonts w:eastAsia="標楷體"/>
          <w:sz w:val="28"/>
          <w:szCs w:val="28"/>
        </w:rPr>
        <w:t>年</w:t>
      </w:r>
      <w:r w:rsidRPr="00D55DC6">
        <w:rPr>
          <w:rFonts w:eastAsia="標楷體"/>
          <w:sz w:val="28"/>
          <w:szCs w:val="28"/>
        </w:rPr>
        <w:t>1</w:t>
      </w:r>
      <w:r w:rsidR="00435440" w:rsidRPr="00D55DC6">
        <w:rPr>
          <w:rFonts w:eastAsia="標楷體"/>
          <w:sz w:val="28"/>
          <w:szCs w:val="28"/>
        </w:rPr>
        <w:t>2</w:t>
      </w:r>
      <w:r w:rsidRPr="00D55DC6">
        <w:rPr>
          <w:rFonts w:eastAsia="標楷體"/>
          <w:sz w:val="28"/>
          <w:szCs w:val="28"/>
        </w:rPr>
        <w:t>月底</w:t>
      </w:r>
      <w:r w:rsidRPr="00D55DC6">
        <w:rPr>
          <w:rFonts w:eastAsia="標楷體"/>
          <w:sz w:val="28"/>
          <w:szCs w:val="28"/>
        </w:rPr>
        <w:t>)</w:t>
      </w:r>
    </w:p>
    <w:p w:rsidR="00C050DB" w:rsidRPr="00D55DC6" w:rsidRDefault="00C050DB" w:rsidP="009D33BA">
      <w:pPr>
        <w:snapToGrid w:val="0"/>
        <w:spacing w:beforeLines="50" w:before="180" w:afterLines="50" w:after="180" w:line="460" w:lineRule="exact"/>
        <w:ind w:left="482"/>
        <w:jc w:val="both"/>
        <w:rPr>
          <w:rFonts w:eastAsia="標楷體"/>
          <w:b/>
          <w:sz w:val="28"/>
          <w:szCs w:val="28"/>
        </w:rPr>
      </w:pPr>
      <w:r w:rsidRPr="00D55DC6">
        <w:rPr>
          <w:rFonts w:eastAsia="標楷體"/>
          <w:b/>
          <w:sz w:val="28"/>
          <w:szCs w:val="28"/>
        </w:rPr>
        <w:t xml:space="preserve">1. </w:t>
      </w:r>
      <w:r w:rsidRPr="00D55DC6">
        <w:rPr>
          <w:rFonts w:eastAsia="標楷體"/>
          <w:b/>
          <w:sz w:val="28"/>
          <w:szCs w:val="28"/>
        </w:rPr>
        <w:t>預算執行情形</w:t>
      </w:r>
      <w:r w:rsidR="000A1530" w:rsidRPr="00D55DC6">
        <w:rPr>
          <w:rFonts w:eastAsia="標楷體"/>
          <w:b/>
          <w:sz w:val="28"/>
          <w:szCs w:val="28"/>
        </w:rPr>
        <w:t xml:space="preserve">             (</w:t>
      </w:r>
      <w:r w:rsidR="000A1530" w:rsidRPr="00D55DC6">
        <w:rPr>
          <w:rFonts w:eastAsia="標楷體"/>
          <w:b/>
          <w:sz w:val="28"/>
          <w:szCs w:val="28"/>
        </w:rPr>
        <w:t>單位：</w:t>
      </w:r>
      <w:r w:rsidR="00A43131" w:rsidRPr="00D55DC6">
        <w:rPr>
          <w:rFonts w:eastAsia="標楷體"/>
          <w:b/>
          <w:sz w:val="28"/>
          <w:szCs w:val="28"/>
        </w:rPr>
        <w:t>億</w:t>
      </w:r>
      <w:r w:rsidR="000A1530" w:rsidRPr="00D55DC6">
        <w:rPr>
          <w:rFonts w:eastAsia="標楷體"/>
          <w:b/>
          <w:sz w:val="28"/>
          <w:szCs w:val="28"/>
        </w:rPr>
        <w:t>元</w:t>
      </w:r>
      <w:r w:rsidR="000A1530" w:rsidRPr="00D55DC6">
        <w:rPr>
          <w:rFonts w:eastAsia="標楷體"/>
          <w:b/>
          <w:sz w:val="28"/>
          <w:szCs w:val="28"/>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731"/>
        <w:gridCol w:w="1731"/>
        <w:gridCol w:w="1731"/>
      </w:tblGrid>
      <w:tr w:rsidR="001D0350" w:rsidRPr="00D55DC6" w:rsidTr="00A82A80">
        <w:tc>
          <w:tcPr>
            <w:tcW w:w="3260" w:type="dxa"/>
            <w:vAlign w:val="center"/>
          </w:tcPr>
          <w:p w:rsidR="00C050DB" w:rsidRPr="00D55DC6" w:rsidRDefault="00C050DB" w:rsidP="0038165F">
            <w:pPr>
              <w:snapToGrid w:val="0"/>
              <w:jc w:val="center"/>
              <w:rPr>
                <w:rFonts w:eastAsia="標楷體"/>
                <w:szCs w:val="28"/>
              </w:rPr>
            </w:pPr>
            <w:r w:rsidRPr="00D55DC6">
              <w:rPr>
                <w:rFonts w:eastAsia="標楷體"/>
                <w:szCs w:val="28"/>
              </w:rPr>
              <w:t>計畫名稱</w:t>
            </w:r>
          </w:p>
        </w:tc>
        <w:tc>
          <w:tcPr>
            <w:tcW w:w="1731" w:type="dxa"/>
          </w:tcPr>
          <w:p w:rsidR="00C050DB" w:rsidRPr="00D55DC6" w:rsidRDefault="00C050DB" w:rsidP="0038165F">
            <w:pPr>
              <w:snapToGrid w:val="0"/>
              <w:jc w:val="center"/>
              <w:rPr>
                <w:rFonts w:eastAsia="標楷體"/>
                <w:szCs w:val="28"/>
              </w:rPr>
            </w:pPr>
            <w:r w:rsidRPr="00D55DC6">
              <w:rPr>
                <w:rFonts w:eastAsia="標楷體"/>
                <w:szCs w:val="28"/>
              </w:rPr>
              <w:t>總累計編列數</w:t>
            </w:r>
            <w:r w:rsidRPr="00D55DC6">
              <w:rPr>
                <w:rFonts w:eastAsia="標楷體"/>
                <w:szCs w:val="28"/>
              </w:rPr>
              <w:t>(A)</w:t>
            </w:r>
          </w:p>
        </w:tc>
        <w:tc>
          <w:tcPr>
            <w:tcW w:w="1731" w:type="dxa"/>
          </w:tcPr>
          <w:p w:rsidR="00C050DB" w:rsidRPr="00D55DC6" w:rsidRDefault="00C050DB" w:rsidP="0038165F">
            <w:pPr>
              <w:snapToGrid w:val="0"/>
              <w:jc w:val="center"/>
              <w:rPr>
                <w:rFonts w:eastAsia="標楷體"/>
                <w:szCs w:val="28"/>
              </w:rPr>
            </w:pPr>
            <w:r w:rsidRPr="00D55DC6">
              <w:rPr>
                <w:rFonts w:eastAsia="標楷體"/>
                <w:szCs w:val="28"/>
              </w:rPr>
              <w:t>總累計實支數</w:t>
            </w:r>
            <w:r w:rsidRPr="00D55DC6">
              <w:rPr>
                <w:rFonts w:eastAsia="標楷體"/>
                <w:szCs w:val="28"/>
              </w:rPr>
              <w:t>(B)</w:t>
            </w:r>
          </w:p>
        </w:tc>
        <w:tc>
          <w:tcPr>
            <w:tcW w:w="1731" w:type="dxa"/>
          </w:tcPr>
          <w:p w:rsidR="00C050DB" w:rsidRPr="00D55DC6" w:rsidRDefault="00C050DB" w:rsidP="0038165F">
            <w:pPr>
              <w:snapToGrid w:val="0"/>
              <w:jc w:val="center"/>
              <w:rPr>
                <w:rFonts w:eastAsia="標楷體"/>
                <w:szCs w:val="28"/>
              </w:rPr>
            </w:pPr>
            <w:r w:rsidRPr="00D55DC6">
              <w:rPr>
                <w:rFonts w:eastAsia="標楷體"/>
                <w:szCs w:val="28"/>
              </w:rPr>
              <w:t>支用比</w:t>
            </w:r>
          </w:p>
          <w:p w:rsidR="00C050DB" w:rsidRPr="00D55DC6" w:rsidRDefault="00C050DB" w:rsidP="0038165F">
            <w:pPr>
              <w:snapToGrid w:val="0"/>
              <w:jc w:val="center"/>
              <w:rPr>
                <w:rFonts w:eastAsia="標楷體"/>
                <w:szCs w:val="28"/>
              </w:rPr>
            </w:pPr>
            <w:r w:rsidRPr="00D55DC6">
              <w:rPr>
                <w:rFonts w:eastAsia="標楷體"/>
                <w:szCs w:val="28"/>
              </w:rPr>
              <w:t>(B/A%)</w:t>
            </w:r>
          </w:p>
        </w:tc>
      </w:tr>
      <w:tr w:rsidR="001D0350" w:rsidRPr="00D55DC6" w:rsidTr="00435440">
        <w:trPr>
          <w:trHeight w:val="726"/>
        </w:trPr>
        <w:tc>
          <w:tcPr>
            <w:tcW w:w="3260" w:type="dxa"/>
            <w:vAlign w:val="center"/>
          </w:tcPr>
          <w:p w:rsidR="00435440" w:rsidRPr="00D55DC6" w:rsidRDefault="00435440" w:rsidP="0038165F">
            <w:pPr>
              <w:widowControl/>
              <w:jc w:val="center"/>
              <w:rPr>
                <w:rFonts w:eastAsia="標楷體"/>
                <w:kern w:val="0"/>
                <w:lang w:bidi="sa-IN"/>
              </w:rPr>
            </w:pPr>
            <w:r w:rsidRPr="00D55DC6">
              <w:rPr>
                <w:rFonts w:eastAsia="標楷體"/>
                <w:kern w:val="0"/>
                <w:lang w:bidi="sa-IN"/>
              </w:rPr>
              <w:t>阿里山國家風景區建設計畫</w:t>
            </w:r>
          </w:p>
        </w:tc>
        <w:tc>
          <w:tcPr>
            <w:tcW w:w="1731" w:type="dxa"/>
            <w:vAlign w:val="center"/>
          </w:tcPr>
          <w:p w:rsidR="00435440" w:rsidRPr="00D55DC6" w:rsidRDefault="00435440" w:rsidP="00435440">
            <w:pPr>
              <w:jc w:val="center"/>
            </w:pPr>
            <w:r w:rsidRPr="00D55DC6">
              <w:t>8.20858</w:t>
            </w:r>
          </w:p>
        </w:tc>
        <w:tc>
          <w:tcPr>
            <w:tcW w:w="1731" w:type="dxa"/>
            <w:vAlign w:val="center"/>
          </w:tcPr>
          <w:p w:rsidR="00435440" w:rsidRPr="00D55DC6" w:rsidRDefault="00435440" w:rsidP="00435440">
            <w:pPr>
              <w:jc w:val="center"/>
            </w:pPr>
            <w:r w:rsidRPr="00D55DC6">
              <w:t>8.20391</w:t>
            </w:r>
          </w:p>
        </w:tc>
        <w:tc>
          <w:tcPr>
            <w:tcW w:w="1731" w:type="dxa"/>
            <w:vAlign w:val="center"/>
          </w:tcPr>
          <w:p w:rsidR="00435440" w:rsidRPr="00D55DC6" w:rsidRDefault="00435440" w:rsidP="00435440">
            <w:pPr>
              <w:jc w:val="center"/>
            </w:pPr>
            <w:r w:rsidRPr="00D55DC6">
              <w:t>99.94%</w:t>
            </w:r>
          </w:p>
        </w:tc>
      </w:tr>
    </w:tbl>
    <w:p w:rsidR="00C050DB" w:rsidRPr="00D55DC6" w:rsidRDefault="00C050DB" w:rsidP="0038165F">
      <w:pPr>
        <w:snapToGrid w:val="0"/>
        <w:ind w:leftChars="295" w:left="1315" w:hangingChars="253" w:hanging="607"/>
        <w:jc w:val="both"/>
        <w:rPr>
          <w:rFonts w:eastAsia="標楷體"/>
          <w:szCs w:val="28"/>
        </w:rPr>
      </w:pPr>
      <w:r w:rsidRPr="00D55DC6">
        <w:rPr>
          <w:rFonts w:eastAsia="標楷體"/>
          <w:szCs w:val="28"/>
        </w:rPr>
        <w:t>註</w:t>
      </w:r>
      <w:r w:rsidRPr="00D55DC6">
        <w:rPr>
          <w:rFonts w:eastAsia="標楷體"/>
          <w:szCs w:val="28"/>
        </w:rPr>
        <w:t xml:space="preserve"> 1.</w:t>
      </w:r>
      <w:r w:rsidRPr="00D55DC6">
        <w:rPr>
          <w:rFonts w:eastAsia="標楷體"/>
          <w:szCs w:val="28"/>
        </w:rPr>
        <w:t>「總累計編列數</w:t>
      </w:r>
      <w:r w:rsidRPr="00D55DC6">
        <w:rPr>
          <w:rFonts w:eastAsia="標楷體"/>
          <w:szCs w:val="28"/>
        </w:rPr>
        <w:t>(A)</w:t>
      </w:r>
      <w:r w:rsidRPr="00D55DC6">
        <w:rPr>
          <w:rFonts w:eastAsia="標楷體"/>
          <w:szCs w:val="28"/>
        </w:rPr>
        <w:t>」為</w:t>
      </w:r>
      <w:r w:rsidRPr="00D55DC6">
        <w:rPr>
          <w:rFonts w:eastAsia="標楷體"/>
          <w:szCs w:val="28"/>
        </w:rPr>
        <w:t>101</w:t>
      </w:r>
      <w:r w:rsidRPr="00D55DC6">
        <w:rPr>
          <w:rFonts w:eastAsia="標楷體"/>
          <w:szCs w:val="28"/>
        </w:rPr>
        <w:t>年</w:t>
      </w:r>
      <w:r w:rsidRPr="00D55DC6">
        <w:rPr>
          <w:rFonts w:eastAsia="標楷體"/>
          <w:szCs w:val="28"/>
        </w:rPr>
        <w:t>1</w:t>
      </w:r>
      <w:r w:rsidRPr="00D55DC6">
        <w:rPr>
          <w:rFonts w:eastAsia="標楷體"/>
          <w:szCs w:val="28"/>
        </w:rPr>
        <w:t>月至</w:t>
      </w:r>
      <w:r w:rsidRPr="00D55DC6">
        <w:rPr>
          <w:rFonts w:eastAsia="標楷體"/>
          <w:szCs w:val="28"/>
        </w:rPr>
        <w:t>103</w:t>
      </w:r>
      <w:r w:rsidRPr="00D55DC6">
        <w:rPr>
          <w:rFonts w:eastAsia="標楷體"/>
          <w:szCs w:val="28"/>
        </w:rPr>
        <w:t>年</w:t>
      </w:r>
      <w:r w:rsidRPr="00D55DC6">
        <w:rPr>
          <w:rFonts w:eastAsia="標楷體"/>
          <w:szCs w:val="28"/>
        </w:rPr>
        <w:t>1</w:t>
      </w:r>
      <w:r w:rsidR="00435440" w:rsidRPr="00D55DC6">
        <w:rPr>
          <w:rFonts w:eastAsia="標楷體"/>
          <w:szCs w:val="28"/>
        </w:rPr>
        <w:t>2</w:t>
      </w:r>
      <w:r w:rsidRPr="00D55DC6">
        <w:rPr>
          <w:rFonts w:eastAsia="標楷體"/>
          <w:szCs w:val="28"/>
        </w:rPr>
        <w:t>月累計實際可支用數。</w:t>
      </w:r>
    </w:p>
    <w:p w:rsidR="00C050DB" w:rsidRPr="00D55DC6" w:rsidRDefault="00C050DB" w:rsidP="0038165F">
      <w:pPr>
        <w:snapToGrid w:val="0"/>
        <w:jc w:val="both"/>
        <w:rPr>
          <w:rFonts w:eastAsia="標楷體"/>
          <w:szCs w:val="28"/>
        </w:rPr>
      </w:pPr>
      <w:r w:rsidRPr="00D55DC6">
        <w:rPr>
          <w:rFonts w:eastAsia="標楷體"/>
          <w:szCs w:val="28"/>
        </w:rPr>
        <w:t xml:space="preserve">         2.</w:t>
      </w:r>
      <w:r w:rsidRPr="00D55DC6">
        <w:rPr>
          <w:rFonts w:eastAsia="標楷體"/>
          <w:szCs w:val="28"/>
        </w:rPr>
        <w:t>「總累計實支數</w:t>
      </w:r>
      <w:r w:rsidRPr="00D55DC6">
        <w:rPr>
          <w:rFonts w:eastAsia="標楷體"/>
          <w:szCs w:val="28"/>
        </w:rPr>
        <w:t>(B)</w:t>
      </w:r>
      <w:r w:rsidRPr="00D55DC6">
        <w:rPr>
          <w:rFonts w:eastAsia="標楷體"/>
          <w:szCs w:val="28"/>
        </w:rPr>
        <w:t>」為</w:t>
      </w:r>
      <w:r w:rsidRPr="00D55DC6">
        <w:rPr>
          <w:rFonts w:eastAsia="標楷體"/>
          <w:szCs w:val="28"/>
        </w:rPr>
        <w:t>101</w:t>
      </w:r>
      <w:r w:rsidRPr="00D55DC6">
        <w:rPr>
          <w:rFonts w:eastAsia="標楷體"/>
          <w:szCs w:val="28"/>
        </w:rPr>
        <w:t>年</w:t>
      </w:r>
      <w:r w:rsidRPr="00D55DC6">
        <w:rPr>
          <w:rFonts w:eastAsia="標楷體"/>
          <w:szCs w:val="28"/>
        </w:rPr>
        <w:t>1</w:t>
      </w:r>
      <w:r w:rsidRPr="00D55DC6">
        <w:rPr>
          <w:rFonts w:eastAsia="標楷體"/>
          <w:szCs w:val="28"/>
        </w:rPr>
        <w:t>月至</w:t>
      </w:r>
      <w:r w:rsidRPr="00D55DC6">
        <w:rPr>
          <w:rFonts w:eastAsia="標楷體"/>
          <w:szCs w:val="28"/>
        </w:rPr>
        <w:t>103</w:t>
      </w:r>
      <w:r w:rsidRPr="00D55DC6">
        <w:rPr>
          <w:rFonts w:eastAsia="標楷體"/>
          <w:szCs w:val="28"/>
        </w:rPr>
        <w:t>年</w:t>
      </w:r>
      <w:r w:rsidRPr="00D55DC6">
        <w:rPr>
          <w:rFonts w:eastAsia="標楷體"/>
          <w:szCs w:val="28"/>
        </w:rPr>
        <w:t>1</w:t>
      </w:r>
      <w:r w:rsidR="00435440" w:rsidRPr="00D55DC6">
        <w:rPr>
          <w:rFonts w:eastAsia="標楷體"/>
          <w:szCs w:val="28"/>
        </w:rPr>
        <w:t>2</w:t>
      </w:r>
      <w:r w:rsidRPr="00D55DC6">
        <w:rPr>
          <w:rFonts w:eastAsia="標楷體"/>
          <w:szCs w:val="28"/>
        </w:rPr>
        <w:t>月累計實支數。</w:t>
      </w:r>
    </w:p>
    <w:p w:rsidR="00C050DB" w:rsidRPr="00D55DC6" w:rsidRDefault="00C050DB" w:rsidP="0038165F">
      <w:pPr>
        <w:snapToGrid w:val="0"/>
        <w:jc w:val="both"/>
        <w:rPr>
          <w:rFonts w:eastAsia="標楷體"/>
          <w:szCs w:val="28"/>
        </w:rPr>
      </w:pPr>
    </w:p>
    <w:p w:rsidR="00C050DB" w:rsidRPr="00D55DC6" w:rsidRDefault="00C050DB" w:rsidP="0038165F">
      <w:pPr>
        <w:snapToGrid w:val="0"/>
        <w:spacing w:line="460" w:lineRule="exact"/>
        <w:ind w:left="482"/>
        <w:jc w:val="both"/>
        <w:rPr>
          <w:rFonts w:eastAsia="標楷體"/>
          <w:b/>
          <w:sz w:val="28"/>
          <w:szCs w:val="28"/>
        </w:rPr>
      </w:pPr>
      <w:r w:rsidRPr="00D55DC6">
        <w:rPr>
          <w:rFonts w:eastAsia="標楷體"/>
          <w:b/>
          <w:sz w:val="28"/>
          <w:szCs w:val="28"/>
        </w:rPr>
        <w:t xml:space="preserve">2. </w:t>
      </w:r>
      <w:r w:rsidRPr="00D55DC6">
        <w:rPr>
          <w:rFonts w:eastAsia="標楷體"/>
          <w:b/>
          <w:sz w:val="28"/>
          <w:szCs w:val="28"/>
        </w:rPr>
        <w:t>重要執行成果</w:t>
      </w:r>
    </w:p>
    <w:p w:rsidR="00C050DB" w:rsidRPr="00D55DC6" w:rsidRDefault="00C050DB" w:rsidP="009D33BA">
      <w:pPr>
        <w:snapToGrid w:val="0"/>
        <w:spacing w:beforeLines="20" w:before="72" w:line="460" w:lineRule="exact"/>
        <w:jc w:val="both"/>
        <w:rPr>
          <w:rFonts w:eastAsia="標楷體"/>
          <w:b/>
          <w:sz w:val="28"/>
          <w:szCs w:val="28"/>
        </w:rPr>
      </w:pPr>
      <w:r w:rsidRPr="00D55DC6">
        <w:rPr>
          <w:rFonts w:eastAsia="標楷體"/>
          <w:b/>
          <w:sz w:val="28"/>
          <w:szCs w:val="28"/>
        </w:rPr>
        <w:t xml:space="preserve">      2-1.</w:t>
      </w:r>
      <w:r w:rsidRPr="00D55DC6">
        <w:rPr>
          <w:rFonts w:eastAsia="標楷體"/>
          <w:b/>
          <w:sz w:val="28"/>
          <w:szCs w:val="28"/>
        </w:rPr>
        <w:t>國際觀光重要景點建設</w:t>
      </w:r>
    </w:p>
    <w:p w:rsidR="00C050DB" w:rsidRPr="00D55DC6" w:rsidRDefault="00C050DB" w:rsidP="0038165F">
      <w:pPr>
        <w:snapToGrid w:val="0"/>
        <w:spacing w:line="460" w:lineRule="exact"/>
        <w:ind w:leftChars="475" w:left="2000" w:hangingChars="307" w:hanging="860"/>
        <w:jc w:val="both"/>
        <w:rPr>
          <w:rFonts w:eastAsia="標楷體"/>
          <w:sz w:val="28"/>
          <w:szCs w:val="28"/>
        </w:rPr>
      </w:pPr>
      <w:r w:rsidRPr="00D55DC6">
        <w:rPr>
          <w:rFonts w:eastAsia="標楷體"/>
          <w:sz w:val="28"/>
          <w:szCs w:val="28"/>
        </w:rPr>
        <w:t xml:space="preserve"> </w:t>
      </w:r>
      <w:r w:rsidRPr="00D55DC6">
        <w:rPr>
          <w:rFonts w:eastAsia="標楷體"/>
          <w:b/>
          <w:sz w:val="28"/>
          <w:szCs w:val="28"/>
        </w:rPr>
        <w:t>2-1-1.</w:t>
      </w:r>
      <w:r w:rsidRPr="00D55DC6">
        <w:rPr>
          <w:rFonts w:eastAsia="標楷體"/>
          <w:b/>
          <w:sz w:val="28"/>
          <w:szCs w:val="28"/>
        </w:rPr>
        <w:t>臺</w:t>
      </w:r>
      <w:r w:rsidRPr="00D55DC6">
        <w:rPr>
          <w:rFonts w:eastAsia="標楷體"/>
          <w:b/>
          <w:sz w:val="28"/>
          <w:szCs w:val="28"/>
        </w:rPr>
        <w:t>18</w:t>
      </w:r>
      <w:r w:rsidRPr="00D55DC6">
        <w:rPr>
          <w:rFonts w:eastAsia="標楷體"/>
          <w:b/>
          <w:sz w:val="28"/>
          <w:szCs w:val="28"/>
        </w:rPr>
        <w:t>線遊憩系統：</w:t>
      </w:r>
      <w:r w:rsidRPr="00D55DC6">
        <w:rPr>
          <w:rFonts w:eastAsia="標楷體"/>
          <w:sz w:val="28"/>
          <w:szCs w:val="28"/>
        </w:rPr>
        <w:t>完成觸口行政暨遊客中心、臺</w:t>
      </w:r>
      <w:r w:rsidRPr="00D55DC6">
        <w:rPr>
          <w:rFonts w:eastAsia="標楷體"/>
          <w:sz w:val="28"/>
          <w:szCs w:val="28"/>
        </w:rPr>
        <w:t>18</w:t>
      </w:r>
      <w:r w:rsidRPr="00D55DC6">
        <w:rPr>
          <w:rFonts w:eastAsia="標楷體"/>
          <w:sz w:val="28"/>
          <w:szCs w:val="28"/>
        </w:rPr>
        <w:t>線</w:t>
      </w:r>
      <w:r w:rsidRPr="00D55DC6">
        <w:rPr>
          <w:rFonts w:eastAsia="標楷體"/>
          <w:sz w:val="28"/>
          <w:szCs w:val="28"/>
        </w:rPr>
        <w:t>32K</w:t>
      </w:r>
      <w:r w:rsidRPr="00D55DC6">
        <w:rPr>
          <w:rFonts w:eastAsia="標楷體"/>
          <w:sz w:val="28"/>
          <w:szCs w:val="28"/>
        </w:rPr>
        <w:t>南側自行車道、阿里山愛情絲路、觸口天長橋災修、龍美服</w:t>
      </w:r>
      <w:r w:rsidRPr="00D55DC6">
        <w:rPr>
          <w:rFonts w:eastAsia="標楷體"/>
          <w:sz w:val="28"/>
          <w:szCs w:val="28"/>
        </w:rPr>
        <w:lastRenderedPageBreak/>
        <w:t>務區（雜項工程、景觀步道）、隙頂街景改善、頂石棹民宿區休閒步道等工程，型塑阿里山入口意象及延長旅遊廊道。</w:t>
      </w:r>
    </w:p>
    <w:p w:rsidR="00C050DB" w:rsidRPr="00D55DC6" w:rsidRDefault="00C050DB" w:rsidP="009D33BA">
      <w:pPr>
        <w:snapToGrid w:val="0"/>
        <w:spacing w:beforeLines="20" w:before="72" w:line="460" w:lineRule="exact"/>
        <w:jc w:val="both"/>
        <w:rPr>
          <w:rFonts w:eastAsia="標楷體"/>
          <w:b/>
          <w:sz w:val="28"/>
          <w:szCs w:val="28"/>
        </w:rPr>
      </w:pPr>
      <w:r w:rsidRPr="00D55DC6">
        <w:rPr>
          <w:rFonts w:eastAsia="標楷體"/>
          <w:b/>
          <w:sz w:val="28"/>
          <w:szCs w:val="28"/>
        </w:rPr>
        <w:t xml:space="preserve">      2-2.</w:t>
      </w:r>
      <w:r w:rsidRPr="00D55DC6">
        <w:rPr>
          <w:rFonts w:eastAsia="標楷體"/>
          <w:b/>
          <w:sz w:val="28"/>
          <w:szCs w:val="28"/>
        </w:rPr>
        <w:t>國內觀光重要景點建設</w:t>
      </w:r>
    </w:p>
    <w:p w:rsidR="00C050DB" w:rsidRPr="00D55DC6" w:rsidRDefault="00C050DB" w:rsidP="0038165F">
      <w:pPr>
        <w:snapToGrid w:val="0"/>
        <w:spacing w:line="460" w:lineRule="exact"/>
        <w:ind w:leftChars="477" w:left="1986" w:hangingChars="300" w:hanging="841"/>
        <w:jc w:val="both"/>
        <w:rPr>
          <w:rFonts w:eastAsia="標楷體"/>
          <w:sz w:val="28"/>
          <w:szCs w:val="28"/>
        </w:rPr>
      </w:pPr>
      <w:r w:rsidRPr="00D55DC6">
        <w:rPr>
          <w:rFonts w:eastAsia="標楷體"/>
          <w:b/>
          <w:sz w:val="28"/>
          <w:szCs w:val="28"/>
        </w:rPr>
        <w:t xml:space="preserve"> 2-2-1.</w:t>
      </w:r>
      <w:r w:rsidRPr="00D55DC6">
        <w:rPr>
          <w:rFonts w:eastAsia="標楷體"/>
          <w:b/>
          <w:sz w:val="28"/>
          <w:szCs w:val="28"/>
        </w:rPr>
        <w:t>鄒族文化遊憩系統：</w:t>
      </w:r>
      <w:r w:rsidRPr="00D55DC6">
        <w:rPr>
          <w:rFonts w:eastAsia="標楷體"/>
          <w:sz w:val="28"/>
          <w:szCs w:val="28"/>
        </w:rPr>
        <w:t>完成達邦鄒族自然與文化中心、特富野庫巴周邊環境設施、樂野福山古道設施、山美達娜伊谷遊憩設施等改善工程，型塑鄒族部落特色原鄉風貌。</w:t>
      </w:r>
    </w:p>
    <w:p w:rsidR="00C050DB" w:rsidRPr="00D55DC6" w:rsidRDefault="00C050DB" w:rsidP="0038165F">
      <w:pPr>
        <w:snapToGrid w:val="0"/>
        <w:spacing w:line="460" w:lineRule="exact"/>
        <w:ind w:leftChars="477" w:left="1986" w:hangingChars="300" w:hanging="841"/>
        <w:jc w:val="both"/>
        <w:rPr>
          <w:rFonts w:eastAsia="標楷體"/>
          <w:sz w:val="28"/>
          <w:szCs w:val="28"/>
        </w:rPr>
      </w:pPr>
      <w:r w:rsidRPr="00D55DC6">
        <w:rPr>
          <w:rFonts w:eastAsia="標楷體"/>
          <w:b/>
          <w:sz w:val="28"/>
          <w:szCs w:val="28"/>
        </w:rPr>
        <w:t xml:space="preserve"> 2-2-2.</w:t>
      </w:r>
      <w:r w:rsidRPr="00D55DC6">
        <w:rPr>
          <w:rFonts w:eastAsia="標楷體"/>
          <w:b/>
          <w:sz w:val="28"/>
          <w:szCs w:val="28"/>
        </w:rPr>
        <w:t>西北廊道遊憩系統：</w:t>
      </w:r>
      <w:r w:rsidRPr="00D55DC6">
        <w:rPr>
          <w:rFonts w:eastAsia="標楷體"/>
          <w:sz w:val="28"/>
          <w:szCs w:val="28"/>
        </w:rPr>
        <w:t>完成文峰遊客中心、豐山遊憩設施、來吉觀光設施復建、瑞峰進學步道、瑞里青年嶺步道入口意象、行運橋至塘湖古道等改善工程，串連西北廊道旅遊景點。</w:t>
      </w:r>
    </w:p>
    <w:p w:rsidR="00C050DB" w:rsidRPr="00D55DC6" w:rsidRDefault="00C050DB" w:rsidP="009D33BA">
      <w:pPr>
        <w:snapToGrid w:val="0"/>
        <w:spacing w:beforeLines="20" w:before="72" w:line="460" w:lineRule="exact"/>
        <w:jc w:val="both"/>
        <w:rPr>
          <w:rFonts w:eastAsia="標楷體"/>
          <w:b/>
          <w:sz w:val="28"/>
          <w:szCs w:val="28"/>
        </w:rPr>
      </w:pPr>
      <w:r w:rsidRPr="00D55DC6">
        <w:rPr>
          <w:rFonts w:eastAsia="標楷體"/>
          <w:b/>
          <w:sz w:val="28"/>
          <w:szCs w:val="28"/>
        </w:rPr>
        <w:t xml:space="preserve">      2-3.</w:t>
      </w:r>
      <w:r w:rsidRPr="00D55DC6">
        <w:rPr>
          <w:rFonts w:eastAsia="標楷體"/>
          <w:b/>
          <w:sz w:val="28"/>
          <w:szCs w:val="28"/>
        </w:rPr>
        <w:t>地方觀光重要景點建設</w:t>
      </w:r>
    </w:p>
    <w:p w:rsidR="00C050DB" w:rsidRPr="00D55DC6" w:rsidRDefault="00C050DB" w:rsidP="0038165F">
      <w:pPr>
        <w:snapToGrid w:val="0"/>
        <w:spacing w:line="460" w:lineRule="exact"/>
        <w:ind w:leftChars="476" w:left="1299" w:hangingChars="56" w:hanging="157"/>
        <w:jc w:val="both"/>
        <w:rPr>
          <w:rFonts w:eastAsia="標楷體"/>
          <w:sz w:val="28"/>
          <w:szCs w:val="28"/>
        </w:rPr>
      </w:pPr>
      <w:r w:rsidRPr="00D55DC6">
        <w:rPr>
          <w:rFonts w:eastAsia="標楷體"/>
          <w:sz w:val="28"/>
          <w:szCs w:val="28"/>
        </w:rPr>
        <w:t xml:space="preserve"> </w:t>
      </w:r>
      <w:r w:rsidRPr="00D55DC6">
        <w:rPr>
          <w:rFonts w:eastAsia="標楷體"/>
          <w:sz w:val="28"/>
          <w:szCs w:val="28"/>
        </w:rPr>
        <w:t>完成光華頂笨仔及驛馬溪等遊憩設施工程，整備阿里山旅遊線配套景點。</w:t>
      </w:r>
    </w:p>
    <w:p w:rsidR="00C050DB" w:rsidRPr="00D55DC6" w:rsidRDefault="00C050DB" w:rsidP="009D33BA">
      <w:pPr>
        <w:snapToGrid w:val="0"/>
        <w:spacing w:beforeLines="20" w:before="72" w:line="460" w:lineRule="exact"/>
        <w:jc w:val="both"/>
        <w:rPr>
          <w:rFonts w:eastAsia="標楷體"/>
          <w:sz w:val="28"/>
          <w:szCs w:val="28"/>
        </w:rPr>
      </w:pPr>
      <w:r w:rsidRPr="00D55DC6">
        <w:rPr>
          <w:rFonts w:eastAsia="標楷體"/>
          <w:b/>
          <w:sz w:val="28"/>
          <w:szCs w:val="28"/>
        </w:rPr>
        <w:t xml:space="preserve">      2-4.</w:t>
      </w:r>
      <w:r w:rsidRPr="00D55DC6">
        <w:rPr>
          <w:rFonts w:eastAsia="標楷體"/>
          <w:b/>
          <w:sz w:val="28"/>
          <w:szCs w:val="28"/>
        </w:rPr>
        <w:t>經營管理及行銷推廣</w:t>
      </w:r>
      <w:r w:rsidRPr="00D55DC6">
        <w:rPr>
          <w:rFonts w:eastAsia="標楷體"/>
          <w:sz w:val="28"/>
          <w:szCs w:val="28"/>
        </w:rPr>
        <w:t xml:space="preserve"> </w:t>
      </w:r>
    </w:p>
    <w:p w:rsidR="00C050DB" w:rsidRPr="00D55DC6" w:rsidRDefault="00C050DB" w:rsidP="0038165F">
      <w:pPr>
        <w:snapToGrid w:val="0"/>
        <w:spacing w:line="460" w:lineRule="exact"/>
        <w:ind w:leftChars="551" w:left="2014" w:hangingChars="247" w:hanging="692"/>
        <w:jc w:val="both"/>
        <w:rPr>
          <w:rFonts w:eastAsia="標楷體"/>
          <w:sz w:val="28"/>
          <w:szCs w:val="28"/>
        </w:rPr>
      </w:pPr>
      <w:r w:rsidRPr="00D55DC6">
        <w:rPr>
          <w:rFonts w:eastAsia="標楷體"/>
          <w:b/>
          <w:sz w:val="28"/>
          <w:szCs w:val="28"/>
        </w:rPr>
        <w:t>2-4-1.</w:t>
      </w:r>
      <w:r w:rsidRPr="00D55DC6">
        <w:rPr>
          <w:rFonts w:eastAsia="標楷體"/>
          <w:b/>
          <w:sz w:val="28"/>
          <w:szCs w:val="28"/>
        </w:rPr>
        <w:t>經營管理：</w:t>
      </w:r>
      <w:r w:rsidRPr="00D55DC6">
        <w:rPr>
          <w:rFonts w:eastAsia="標楷體"/>
          <w:sz w:val="28"/>
          <w:szCs w:val="28"/>
        </w:rPr>
        <w:t>執行遊客意見調查及運用、春節暨櫻花季交通疏運計畫、台灣好行觀光景點無縫隙旅遊服務計畫、緊急應變災害防救、安全指牌示設置、無障礙設施設置、設施巡查維護、環境清潔管理、景點設施出租認養、物價稽查、植栽綠美化、特色花卉景觀營造、螢火蟲棲地復育等經營管理工作。</w:t>
      </w:r>
    </w:p>
    <w:p w:rsidR="00C050DB" w:rsidRPr="00D55DC6" w:rsidRDefault="00C050DB" w:rsidP="0038165F">
      <w:pPr>
        <w:snapToGrid w:val="0"/>
        <w:spacing w:line="460" w:lineRule="exact"/>
        <w:ind w:leftChars="538" w:left="1983" w:hangingChars="247" w:hanging="692"/>
        <w:jc w:val="both"/>
        <w:rPr>
          <w:rFonts w:eastAsia="標楷體"/>
          <w:sz w:val="28"/>
          <w:szCs w:val="28"/>
        </w:rPr>
      </w:pPr>
      <w:r w:rsidRPr="00D55DC6">
        <w:rPr>
          <w:rFonts w:eastAsia="標楷體"/>
          <w:b/>
          <w:sz w:val="28"/>
          <w:szCs w:val="28"/>
        </w:rPr>
        <w:t>2-4-2.</w:t>
      </w:r>
      <w:r w:rsidRPr="00D55DC6">
        <w:rPr>
          <w:rFonts w:eastAsia="標楷體"/>
          <w:b/>
          <w:sz w:val="28"/>
          <w:szCs w:val="28"/>
        </w:rPr>
        <w:t>行銷推廣：</w:t>
      </w:r>
      <w:r w:rsidRPr="00D55DC6">
        <w:rPr>
          <w:rFonts w:eastAsia="標楷體"/>
          <w:sz w:val="28"/>
          <w:szCs w:val="28"/>
        </w:rPr>
        <w:t>辦理阿里山新印象</w:t>
      </w:r>
      <w:r w:rsidRPr="00D55DC6">
        <w:rPr>
          <w:rFonts w:eastAsia="標楷體"/>
          <w:sz w:val="28"/>
          <w:szCs w:val="28"/>
        </w:rPr>
        <w:t>-</w:t>
      </w:r>
      <w:r w:rsidRPr="00D55DC6">
        <w:rPr>
          <w:rFonts w:eastAsia="標楷體"/>
          <w:sz w:val="28"/>
          <w:szCs w:val="28"/>
        </w:rPr>
        <w:t>日出印象音樂會、與螢共舞、步道遊蹤、神木下婚禮山海戀、夏至</w:t>
      </w:r>
      <w:r w:rsidRPr="00D55DC6">
        <w:rPr>
          <w:rFonts w:eastAsia="標楷體"/>
          <w:sz w:val="28"/>
          <w:szCs w:val="28"/>
        </w:rPr>
        <w:t>235</w:t>
      </w:r>
      <w:r w:rsidRPr="00D55DC6">
        <w:rPr>
          <w:rFonts w:eastAsia="標楷體"/>
          <w:sz w:val="28"/>
          <w:szCs w:val="28"/>
        </w:rPr>
        <w:t>等年度觀光活動，協助部落節慶活動、辦理寫真達人攝影比賽、套裝遊程規劃行銷，執行民宿及餐飲業者、導覽人員、志工甄選等輔導培訓工作，以及電子半年刊、手札、摺頁、導覽手冊、影音光碟等文宣品編印。</w:t>
      </w:r>
    </w:p>
    <w:p w:rsidR="00C050DB" w:rsidRPr="00D55DC6" w:rsidRDefault="00C050DB" w:rsidP="0038165F">
      <w:pPr>
        <w:snapToGrid w:val="0"/>
        <w:spacing w:line="460" w:lineRule="exact"/>
        <w:ind w:left="1145"/>
        <w:jc w:val="both"/>
        <w:rPr>
          <w:rFonts w:eastAsia="標楷體"/>
          <w:sz w:val="28"/>
          <w:szCs w:val="28"/>
        </w:rPr>
      </w:pPr>
    </w:p>
    <w:p w:rsidR="00D03EE9" w:rsidRPr="00D55DC6" w:rsidRDefault="00D03EE9" w:rsidP="0038165F">
      <w:pPr>
        <w:snapToGrid w:val="0"/>
        <w:spacing w:line="460" w:lineRule="exact"/>
        <w:ind w:left="1145"/>
        <w:jc w:val="both"/>
        <w:rPr>
          <w:rFonts w:eastAsia="標楷體"/>
          <w:sz w:val="28"/>
          <w:szCs w:val="28"/>
        </w:rPr>
      </w:pPr>
    </w:p>
    <w:p w:rsidR="00D03EE9" w:rsidRPr="00D55DC6" w:rsidRDefault="00D03EE9" w:rsidP="0038165F">
      <w:pPr>
        <w:snapToGrid w:val="0"/>
        <w:spacing w:line="460" w:lineRule="exact"/>
        <w:ind w:left="1145"/>
        <w:jc w:val="both"/>
        <w:rPr>
          <w:rFonts w:eastAsia="標楷體"/>
          <w:sz w:val="28"/>
          <w:szCs w:val="28"/>
        </w:rPr>
      </w:pPr>
    </w:p>
    <w:p w:rsidR="00D03EE9" w:rsidRPr="00D55DC6" w:rsidRDefault="00D03EE9" w:rsidP="0038165F">
      <w:pPr>
        <w:snapToGrid w:val="0"/>
        <w:spacing w:line="460" w:lineRule="exact"/>
        <w:ind w:left="1145"/>
        <w:jc w:val="both"/>
        <w:rPr>
          <w:rFonts w:eastAsia="標楷體"/>
          <w:sz w:val="28"/>
          <w:szCs w:val="28"/>
        </w:rPr>
      </w:pPr>
    </w:p>
    <w:p w:rsidR="00C050DB" w:rsidRPr="00D55DC6" w:rsidRDefault="00C050DB" w:rsidP="0038165F">
      <w:pPr>
        <w:snapToGrid w:val="0"/>
        <w:spacing w:line="460" w:lineRule="exact"/>
        <w:ind w:left="709" w:hanging="709"/>
        <w:jc w:val="both"/>
        <w:rPr>
          <w:rFonts w:eastAsia="標楷體"/>
          <w:b/>
          <w:sz w:val="28"/>
          <w:szCs w:val="28"/>
        </w:rPr>
      </w:pPr>
      <w:r w:rsidRPr="00D55DC6">
        <w:rPr>
          <w:rFonts w:eastAsia="標楷體"/>
          <w:b/>
          <w:sz w:val="28"/>
          <w:szCs w:val="28"/>
        </w:rPr>
        <w:lastRenderedPageBreak/>
        <w:t>四、執行策略及方法</w:t>
      </w:r>
    </w:p>
    <w:p w:rsidR="00C050DB" w:rsidRPr="00D55DC6" w:rsidRDefault="00C050DB" w:rsidP="009D33BA">
      <w:pPr>
        <w:numPr>
          <w:ilvl w:val="0"/>
          <w:numId w:val="4"/>
        </w:numPr>
        <w:snapToGrid w:val="0"/>
        <w:spacing w:beforeLines="50" w:before="180" w:line="460" w:lineRule="exact"/>
        <w:ind w:left="862" w:hanging="862"/>
        <w:jc w:val="both"/>
        <w:rPr>
          <w:rFonts w:eastAsia="標楷體"/>
          <w:b/>
          <w:sz w:val="28"/>
          <w:szCs w:val="28"/>
        </w:rPr>
      </w:pPr>
      <w:r w:rsidRPr="00D55DC6">
        <w:rPr>
          <w:rFonts w:eastAsia="標楷體"/>
          <w:b/>
          <w:sz w:val="28"/>
          <w:szCs w:val="28"/>
        </w:rPr>
        <w:t>執行策略</w:t>
      </w:r>
    </w:p>
    <w:p w:rsidR="00C050DB" w:rsidRPr="00D55DC6" w:rsidRDefault="00C050DB" w:rsidP="009D33BA">
      <w:pPr>
        <w:autoSpaceDE w:val="0"/>
        <w:autoSpaceDN w:val="0"/>
        <w:adjustRightInd w:val="0"/>
        <w:snapToGrid w:val="0"/>
        <w:spacing w:beforeLines="30" w:before="108" w:line="460" w:lineRule="exact"/>
        <w:ind w:leftChars="234" w:left="912" w:hangingChars="125" w:hanging="350"/>
        <w:jc w:val="both"/>
        <w:rPr>
          <w:rFonts w:eastAsia="標楷體"/>
          <w:b/>
          <w:sz w:val="28"/>
          <w:szCs w:val="28"/>
        </w:rPr>
      </w:pPr>
      <w:r w:rsidRPr="00D55DC6">
        <w:rPr>
          <w:rFonts w:eastAsia="標楷體"/>
          <w:b/>
          <w:sz w:val="28"/>
          <w:szCs w:val="28"/>
        </w:rPr>
        <w:t xml:space="preserve">1. </w:t>
      </w:r>
      <w:r w:rsidRPr="00D55DC6">
        <w:rPr>
          <w:rFonts w:eastAsia="標楷體"/>
          <w:b/>
          <w:sz w:val="28"/>
          <w:szCs w:val="28"/>
        </w:rPr>
        <w:t>擬定「入口、延時、分流、融合」發展策略，推動整體觀光發展</w:t>
      </w:r>
    </w:p>
    <w:p w:rsidR="00C050DB" w:rsidRPr="00D55DC6" w:rsidRDefault="00C050DB" w:rsidP="009D33BA">
      <w:pPr>
        <w:autoSpaceDE w:val="0"/>
        <w:autoSpaceDN w:val="0"/>
        <w:adjustRightInd w:val="0"/>
        <w:snapToGrid w:val="0"/>
        <w:spacing w:beforeLines="20" w:before="72" w:line="460" w:lineRule="exact"/>
        <w:ind w:leftChars="300" w:left="1421" w:hangingChars="250" w:hanging="701"/>
        <w:jc w:val="both"/>
        <w:rPr>
          <w:rFonts w:eastAsia="標楷體"/>
          <w:b/>
          <w:kern w:val="0"/>
          <w:sz w:val="28"/>
          <w:szCs w:val="28"/>
        </w:rPr>
      </w:pPr>
      <w:r w:rsidRPr="00D55DC6">
        <w:rPr>
          <w:rFonts w:eastAsia="標楷體"/>
          <w:b/>
          <w:kern w:val="0"/>
          <w:sz w:val="28"/>
          <w:szCs w:val="28"/>
        </w:rPr>
        <w:t>(1)</w:t>
      </w:r>
      <w:r w:rsidRPr="00D55DC6">
        <w:rPr>
          <w:rFonts w:eastAsia="標楷體"/>
          <w:b/>
          <w:kern w:val="0"/>
          <w:sz w:val="28"/>
          <w:szCs w:val="28"/>
        </w:rPr>
        <w:t>「入口」打造阿里山入口門戶並強化旅遊服務功能</w:t>
      </w:r>
    </w:p>
    <w:p w:rsidR="00C050DB" w:rsidRPr="00D55DC6" w:rsidRDefault="00C050DB" w:rsidP="0038165F">
      <w:pPr>
        <w:snapToGrid w:val="0"/>
        <w:spacing w:line="460" w:lineRule="exact"/>
        <w:ind w:leftChars="550" w:left="1320"/>
        <w:jc w:val="both"/>
        <w:rPr>
          <w:rFonts w:eastAsia="標楷體"/>
          <w:sz w:val="28"/>
          <w:szCs w:val="28"/>
        </w:rPr>
      </w:pPr>
      <w:r w:rsidRPr="00D55DC6">
        <w:rPr>
          <w:rFonts w:eastAsia="標楷體"/>
          <w:sz w:val="28"/>
          <w:szCs w:val="28"/>
        </w:rPr>
        <w:t>型塑觸口、牛埔仔</w:t>
      </w:r>
      <w:r w:rsidRPr="00D55DC6">
        <w:rPr>
          <w:rFonts w:eastAsia="標楷體"/>
          <w:sz w:val="28"/>
          <w:szCs w:val="28"/>
        </w:rPr>
        <w:t>(</w:t>
      </w:r>
      <w:r w:rsidRPr="00D55DC6">
        <w:rPr>
          <w:rFonts w:eastAsia="標楷體"/>
          <w:sz w:val="28"/>
          <w:szCs w:val="28"/>
        </w:rPr>
        <w:t>臺</w:t>
      </w:r>
      <w:r w:rsidRPr="00D55DC6">
        <w:rPr>
          <w:rFonts w:eastAsia="標楷體"/>
          <w:sz w:val="28"/>
          <w:szCs w:val="28"/>
        </w:rPr>
        <w:t>18</w:t>
      </w:r>
      <w:r w:rsidRPr="00D55DC6">
        <w:rPr>
          <w:rFonts w:eastAsia="標楷體"/>
          <w:sz w:val="28"/>
          <w:szCs w:val="28"/>
        </w:rPr>
        <w:t>線遊憩系統</w:t>
      </w:r>
      <w:r w:rsidRPr="00D55DC6">
        <w:rPr>
          <w:rFonts w:eastAsia="標楷體"/>
          <w:sz w:val="28"/>
          <w:szCs w:val="28"/>
        </w:rPr>
        <w:t>)</w:t>
      </w:r>
      <w:r w:rsidRPr="00D55DC6">
        <w:rPr>
          <w:rFonts w:eastAsia="標楷體"/>
          <w:sz w:val="28"/>
          <w:szCs w:val="28"/>
        </w:rPr>
        <w:t>；文峰、太平雲梯</w:t>
      </w:r>
      <w:r w:rsidRPr="00D55DC6">
        <w:rPr>
          <w:rFonts w:eastAsia="標楷體"/>
          <w:sz w:val="28"/>
          <w:szCs w:val="28"/>
        </w:rPr>
        <w:t xml:space="preserve"> (</w:t>
      </w:r>
      <w:r w:rsidRPr="00D55DC6">
        <w:rPr>
          <w:rFonts w:eastAsia="標楷體"/>
          <w:sz w:val="28"/>
          <w:szCs w:val="28"/>
        </w:rPr>
        <w:t>西北廊道遊憩系統</w:t>
      </w:r>
      <w:r w:rsidRPr="00D55DC6">
        <w:rPr>
          <w:rFonts w:eastAsia="標楷體"/>
          <w:sz w:val="28"/>
          <w:szCs w:val="28"/>
        </w:rPr>
        <w:t>)</w:t>
      </w:r>
      <w:r w:rsidRPr="00D55DC6">
        <w:rPr>
          <w:rFonts w:eastAsia="標楷體"/>
          <w:sz w:val="28"/>
          <w:szCs w:val="28"/>
        </w:rPr>
        <w:t>為阿里山入口門戶，強化風景區入口之旅遊資訊與交通轉運等服務功能。</w:t>
      </w:r>
    </w:p>
    <w:p w:rsidR="00C050DB" w:rsidRPr="00D55DC6" w:rsidRDefault="00C050DB" w:rsidP="009D33BA">
      <w:pPr>
        <w:autoSpaceDE w:val="0"/>
        <w:autoSpaceDN w:val="0"/>
        <w:adjustRightInd w:val="0"/>
        <w:snapToGrid w:val="0"/>
        <w:spacing w:beforeLines="20" w:before="72" w:line="460" w:lineRule="exact"/>
        <w:ind w:leftChars="300" w:left="1421" w:hangingChars="250" w:hanging="701"/>
        <w:jc w:val="both"/>
        <w:rPr>
          <w:rFonts w:eastAsia="標楷體"/>
          <w:b/>
          <w:kern w:val="0"/>
          <w:sz w:val="28"/>
          <w:szCs w:val="28"/>
        </w:rPr>
      </w:pPr>
      <w:r w:rsidRPr="00D55DC6">
        <w:rPr>
          <w:rFonts w:eastAsia="標楷體"/>
          <w:b/>
          <w:kern w:val="0"/>
          <w:sz w:val="28"/>
          <w:szCs w:val="28"/>
        </w:rPr>
        <w:t>(2)</w:t>
      </w:r>
      <w:r w:rsidRPr="00D55DC6">
        <w:rPr>
          <w:rFonts w:eastAsia="標楷體"/>
          <w:b/>
          <w:kern w:val="0"/>
          <w:sz w:val="28"/>
          <w:szCs w:val="28"/>
        </w:rPr>
        <w:t>「延時」營造臺</w:t>
      </w:r>
      <w:r w:rsidRPr="00D55DC6">
        <w:rPr>
          <w:rFonts w:eastAsia="標楷體"/>
          <w:b/>
          <w:kern w:val="0"/>
          <w:sz w:val="28"/>
          <w:szCs w:val="28"/>
        </w:rPr>
        <w:t>18</w:t>
      </w:r>
      <w:r w:rsidRPr="00D55DC6">
        <w:rPr>
          <w:rFonts w:eastAsia="標楷體"/>
          <w:b/>
          <w:kern w:val="0"/>
          <w:sz w:val="28"/>
          <w:szCs w:val="28"/>
        </w:rPr>
        <w:t>線旅遊路廊並延長遊客駐留時間</w:t>
      </w:r>
    </w:p>
    <w:p w:rsidR="00C050DB" w:rsidRPr="00D55DC6" w:rsidRDefault="00C050DB" w:rsidP="0038165F">
      <w:pPr>
        <w:snapToGrid w:val="0"/>
        <w:spacing w:line="460" w:lineRule="exact"/>
        <w:ind w:leftChars="550" w:left="1320"/>
        <w:jc w:val="both"/>
        <w:rPr>
          <w:rFonts w:eastAsia="標楷體"/>
          <w:sz w:val="28"/>
          <w:szCs w:val="28"/>
        </w:rPr>
      </w:pPr>
      <w:r w:rsidRPr="00D55DC6">
        <w:rPr>
          <w:rFonts w:eastAsia="標楷體"/>
          <w:sz w:val="28"/>
          <w:szCs w:val="28"/>
        </w:rPr>
        <w:t>沿臺</w:t>
      </w:r>
      <w:r w:rsidRPr="00D55DC6">
        <w:rPr>
          <w:rFonts w:eastAsia="標楷體"/>
          <w:sz w:val="28"/>
          <w:szCs w:val="28"/>
        </w:rPr>
        <w:t>18</w:t>
      </w:r>
      <w:r w:rsidRPr="00D55DC6">
        <w:rPr>
          <w:rFonts w:eastAsia="標楷體"/>
          <w:sz w:val="28"/>
          <w:szCs w:val="28"/>
        </w:rPr>
        <w:t>線阿里山公路，打造隙頂紫色公路、石棹茶香民宿村、光華五星旅遊地、奮起湖懷舊山城，並推動特色景觀營造計畫，以延伸阿里山旅遊路廊，提供樂活旅遊體驗，並延長遊客駐留時間。</w:t>
      </w:r>
    </w:p>
    <w:p w:rsidR="00C050DB" w:rsidRPr="00D55DC6" w:rsidRDefault="00C050DB" w:rsidP="009D33BA">
      <w:pPr>
        <w:autoSpaceDE w:val="0"/>
        <w:autoSpaceDN w:val="0"/>
        <w:adjustRightInd w:val="0"/>
        <w:snapToGrid w:val="0"/>
        <w:spacing w:beforeLines="20" w:before="72" w:line="460" w:lineRule="exact"/>
        <w:ind w:leftChars="300" w:left="1421" w:hangingChars="250" w:hanging="701"/>
        <w:jc w:val="both"/>
        <w:rPr>
          <w:rFonts w:eastAsia="標楷體"/>
          <w:b/>
          <w:kern w:val="0"/>
          <w:sz w:val="28"/>
          <w:szCs w:val="28"/>
        </w:rPr>
      </w:pPr>
      <w:r w:rsidRPr="00D55DC6">
        <w:rPr>
          <w:rFonts w:eastAsia="標楷體"/>
          <w:b/>
          <w:kern w:val="0"/>
          <w:sz w:val="28"/>
          <w:szCs w:val="28"/>
        </w:rPr>
        <w:t>(3)</w:t>
      </w:r>
      <w:r w:rsidRPr="00D55DC6">
        <w:rPr>
          <w:rFonts w:eastAsia="標楷體"/>
          <w:b/>
          <w:kern w:val="0"/>
          <w:sz w:val="28"/>
          <w:szCs w:val="28"/>
        </w:rPr>
        <w:t>「分流」串連旅遊路線並提供多元主題遊程</w:t>
      </w:r>
    </w:p>
    <w:p w:rsidR="00C050DB" w:rsidRPr="00D55DC6" w:rsidRDefault="00C050DB" w:rsidP="0038165F">
      <w:pPr>
        <w:snapToGrid w:val="0"/>
        <w:spacing w:line="460" w:lineRule="exact"/>
        <w:ind w:leftChars="592" w:left="1421"/>
        <w:jc w:val="both"/>
        <w:rPr>
          <w:rFonts w:eastAsia="標楷體"/>
          <w:sz w:val="28"/>
          <w:szCs w:val="28"/>
        </w:rPr>
      </w:pPr>
      <w:r w:rsidRPr="00D55DC6">
        <w:rPr>
          <w:rFonts w:eastAsia="標楷體"/>
          <w:sz w:val="28"/>
          <w:szCs w:val="28"/>
        </w:rPr>
        <w:t>針對遊憩壓力過重之景點實施承載量管制</w:t>
      </w:r>
      <w:r w:rsidRPr="00D55DC6">
        <w:rPr>
          <w:rFonts w:eastAsia="標楷體"/>
          <w:sz w:val="28"/>
          <w:szCs w:val="28"/>
        </w:rPr>
        <w:t>(</w:t>
      </w:r>
      <w:r w:rsidRPr="00D55DC6">
        <w:rPr>
          <w:rFonts w:eastAsia="標楷體"/>
          <w:sz w:val="28"/>
          <w:szCs w:val="28"/>
        </w:rPr>
        <w:t>如林務局已實施阿里山國家森林遊樂區團體遊客入園分流預約制度，每日上限為</w:t>
      </w:r>
      <w:r w:rsidRPr="00D55DC6">
        <w:rPr>
          <w:rFonts w:eastAsia="標楷體"/>
          <w:sz w:val="28"/>
          <w:szCs w:val="28"/>
        </w:rPr>
        <w:t>8,000</w:t>
      </w:r>
      <w:r w:rsidRPr="00D55DC6">
        <w:rPr>
          <w:rFonts w:eastAsia="標楷體"/>
          <w:sz w:val="28"/>
          <w:szCs w:val="28"/>
        </w:rPr>
        <w:t>人次</w:t>
      </w:r>
      <w:r w:rsidRPr="00D55DC6">
        <w:rPr>
          <w:rFonts w:eastAsia="標楷體"/>
          <w:sz w:val="28"/>
          <w:szCs w:val="28"/>
        </w:rPr>
        <w:t>)</w:t>
      </w:r>
      <w:r w:rsidRPr="00D55DC6">
        <w:rPr>
          <w:rFonts w:eastAsia="標楷體"/>
          <w:sz w:val="28"/>
          <w:szCs w:val="28"/>
        </w:rPr>
        <w:t>，並建立臺</w:t>
      </w:r>
      <w:r w:rsidRPr="00D55DC6">
        <w:rPr>
          <w:rFonts w:eastAsia="標楷體"/>
          <w:sz w:val="28"/>
          <w:szCs w:val="28"/>
        </w:rPr>
        <w:t>18</w:t>
      </w:r>
      <w:r w:rsidRPr="00D55DC6">
        <w:rPr>
          <w:rFonts w:eastAsia="標楷體"/>
          <w:sz w:val="28"/>
          <w:szCs w:val="28"/>
        </w:rPr>
        <w:t>線</w:t>
      </w:r>
      <w:r w:rsidRPr="00D55DC6">
        <w:rPr>
          <w:sz w:val="28"/>
          <w:szCs w:val="28"/>
        </w:rPr>
        <w:t>「</w:t>
      </w:r>
      <w:r w:rsidRPr="00D55DC6">
        <w:rPr>
          <w:rFonts w:eastAsia="標楷體"/>
          <w:sz w:val="28"/>
          <w:szCs w:val="28"/>
        </w:rPr>
        <w:t>石棹</w:t>
      </w:r>
      <w:r w:rsidRPr="00D55DC6">
        <w:rPr>
          <w:sz w:val="28"/>
          <w:szCs w:val="28"/>
        </w:rPr>
        <w:t>」</w:t>
      </w:r>
      <w:r w:rsidRPr="00D55DC6">
        <w:rPr>
          <w:rFonts w:eastAsia="標楷體"/>
          <w:sz w:val="28"/>
          <w:szCs w:val="28"/>
        </w:rPr>
        <w:t>為遊客分流據點，提供北分流</w:t>
      </w:r>
      <w:r w:rsidRPr="00D55DC6">
        <w:rPr>
          <w:sz w:val="28"/>
          <w:szCs w:val="28"/>
        </w:rPr>
        <w:t>「</w:t>
      </w:r>
      <w:r w:rsidRPr="00D55DC6">
        <w:rPr>
          <w:rFonts w:eastAsia="標楷體"/>
          <w:sz w:val="28"/>
          <w:szCs w:val="28"/>
        </w:rPr>
        <w:t>西北廊道</w:t>
      </w:r>
      <w:r w:rsidRPr="00D55DC6">
        <w:rPr>
          <w:sz w:val="28"/>
          <w:szCs w:val="28"/>
        </w:rPr>
        <w:t>」</w:t>
      </w:r>
      <w:r w:rsidRPr="00D55DC6">
        <w:rPr>
          <w:rFonts w:eastAsia="標楷體"/>
          <w:sz w:val="28"/>
          <w:szCs w:val="28"/>
        </w:rPr>
        <w:t>景點之生態旅遊與特色民宿產業體驗，以及南分流</w:t>
      </w:r>
      <w:r w:rsidRPr="00D55DC6">
        <w:rPr>
          <w:sz w:val="28"/>
          <w:szCs w:val="28"/>
        </w:rPr>
        <w:t>「</w:t>
      </w:r>
      <w:r w:rsidRPr="00D55DC6">
        <w:rPr>
          <w:rFonts w:eastAsia="標楷體"/>
          <w:sz w:val="28"/>
          <w:szCs w:val="28"/>
        </w:rPr>
        <w:t>鄒族部落</w:t>
      </w:r>
      <w:r w:rsidRPr="00D55DC6">
        <w:rPr>
          <w:sz w:val="28"/>
          <w:szCs w:val="28"/>
        </w:rPr>
        <w:t>」</w:t>
      </w:r>
      <w:r w:rsidRPr="00D55DC6">
        <w:rPr>
          <w:rFonts w:eastAsia="標楷體"/>
          <w:sz w:val="28"/>
          <w:szCs w:val="28"/>
        </w:rPr>
        <w:t>之原住民文化與生活體驗等多元主題遊程。</w:t>
      </w:r>
      <w:r w:rsidRPr="00D55DC6">
        <w:rPr>
          <w:rFonts w:eastAsia="標楷體"/>
          <w:sz w:val="28"/>
          <w:szCs w:val="28"/>
        </w:rPr>
        <w:t xml:space="preserve"> </w:t>
      </w:r>
    </w:p>
    <w:p w:rsidR="00C050DB" w:rsidRPr="00D55DC6" w:rsidRDefault="00C050DB" w:rsidP="009D33BA">
      <w:pPr>
        <w:autoSpaceDE w:val="0"/>
        <w:autoSpaceDN w:val="0"/>
        <w:adjustRightInd w:val="0"/>
        <w:snapToGrid w:val="0"/>
        <w:spacing w:beforeLines="20" w:before="72" w:line="460" w:lineRule="exact"/>
        <w:ind w:leftChars="300" w:left="1421" w:hangingChars="250" w:hanging="701"/>
        <w:jc w:val="both"/>
        <w:rPr>
          <w:rFonts w:eastAsia="標楷體"/>
          <w:b/>
          <w:kern w:val="0"/>
          <w:sz w:val="28"/>
          <w:szCs w:val="28"/>
        </w:rPr>
      </w:pPr>
      <w:r w:rsidRPr="00D55DC6">
        <w:rPr>
          <w:rFonts w:eastAsia="標楷體"/>
          <w:b/>
          <w:kern w:val="0"/>
          <w:sz w:val="28"/>
          <w:szCs w:val="28"/>
        </w:rPr>
        <w:t>(4)</w:t>
      </w:r>
      <w:r w:rsidRPr="00D55DC6">
        <w:rPr>
          <w:rFonts w:eastAsia="標楷體"/>
          <w:b/>
          <w:kern w:val="0"/>
          <w:sz w:val="28"/>
          <w:szCs w:val="28"/>
        </w:rPr>
        <w:t>「融合」鄰近地區之觀光資源並帶動觀光旅遊熱潮</w:t>
      </w:r>
    </w:p>
    <w:p w:rsidR="00C050DB" w:rsidRPr="00D55DC6" w:rsidRDefault="00C050DB" w:rsidP="0038165F">
      <w:pPr>
        <w:snapToGrid w:val="0"/>
        <w:spacing w:line="460" w:lineRule="exact"/>
        <w:ind w:leftChars="550" w:left="1320"/>
        <w:jc w:val="both"/>
        <w:rPr>
          <w:rFonts w:eastAsia="標楷體"/>
          <w:sz w:val="28"/>
          <w:szCs w:val="28"/>
        </w:rPr>
      </w:pPr>
      <w:r w:rsidRPr="00D55DC6">
        <w:rPr>
          <w:rFonts w:eastAsia="標楷體"/>
          <w:sz w:val="28"/>
          <w:szCs w:val="28"/>
        </w:rPr>
        <w:t>整合大阿里山地區</w:t>
      </w:r>
      <w:r w:rsidRPr="00D55DC6">
        <w:rPr>
          <w:rFonts w:eastAsia="標楷體"/>
          <w:sz w:val="28"/>
          <w:szCs w:val="28"/>
        </w:rPr>
        <w:t>(</w:t>
      </w:r>
      <w:r w:rsidRPr="00D55DC6">
        <w:rPr>
          <w:rFonts w:eastAsia="標楷體"/>
          <w:sz w:val="28"/>
          <w:szCs w:val="28"/>
        </w:rPr>
        <w:t>包括林務局轄管之阿里山國家森林遊樂區、臺鐵局接管之阿里山森林鐵路</w:t>
      </w:r>
      <w:r w:rsidRPr="00D55DC6">
        <w:rPr>
          <w:rFonts w:eastAsia="標楷體"/>
          <w:sz w:val="28"/>
          <w:szCs w:val="28"/>
        </w:rPr>
        <w:t>)</w:t>
      </w:r>
      <w:r w:rsidRPr="00D55DC6">
        <w:rPr>
          <w:rFonts w:eastAsia="標楷體"/>
          <w:sz w:val="28"/>
          <w:szCs w:val="28"/>
        </w:rPr>
        <w:t>及鄰近縣市、景點的生態、文化、產業、旅遊服務設施等觀光資源，發展多元主題套裝遊程及精緻旅遊服務，帶動觀光旅遊熱潮，並提升整體觀光效益。</w:t>
      </w:r>
    </w:p>
    <w:p w:rsidR="00C050DB" w:rsidRPr="00D55DC6" w:rsidRDefault="00C050DB" w:rsidP="009D33BA">
      <w:pPr>
        <w:autoSpaceDE w:val="0"/>
        <w:autoSpaceDN w:val="0"/>
        <w:adjustRightInd w:val="0"/>
        <w:snapToGrid w:val="0"/>
        <w:spacing w:beforeLines="30" w:before="108" w:line="460" w:lineRule="exact"/>
        <w:ind w:firstLineChars="200" w:firstLine="561"/>
        <w:jc w:val="both"/>
        <w:rPr>
          <w:rFonts w:eastAsia="標楷體"/>
          <w:b/>
          <w:sz w:val="28"/>
          <w:szCs w:val="28"/>
        </w:rPr>
      </w:pPr>
      <w:r w:rsidRPr="00D55DC6">
        <w:rPr>
          <w:rFonts w:eastAsia="標楷體"/>
          <w:b/>
          <w:sz w:val="28"/>
          <w:szCs w:val="28"/>
        </w:rPr>
        <w:t xml:space="preserve">2. </w:t>
      </w:r>
      <w:r w:rsidRPr="00D55DC6">
        <w:rPr>
          <w:rFonts w:eastAsia="標楷體"/>
          <w:b/>
          <w:sz w:val="28"/>
          <w:szCs w:val="28"/>
        </w:rPr>
        <w:t>資源永續經營及提升服務接待能量，營造優質旅遊環境</w:t>
      </w:r>
      <w:r w:rsidRPr="00D55DC6">
        <w:rPr>
          <w:rFonts w:eastAsia="標楷體"/>
          <w:b/>
          <w:sz w:val="28"/>
          <w:szCs w:val="28"/>
        </w:rPr>
        <w:t xml:space="preserve"> </w:t>
      </w:r>
    </w:p>
    <w:p w:rsidR="00435440" w:rsidRPr="00D55DC6" w:rsidRDefault="00C050DB" w:rsidP="009D33BA">
      <w:pPr>
        <w:autoSpaceDE w:val="0"/>
        <w:autoSpaceDN w:val="0"/>
        <w:adjustRightInd w:val="0"/>
        <w:snapToGrid w:val="0"/>
        <w:spacing w:beforeLines="20" w:before="72" w:line="460" w:lineRule="exact"/>
        <w:ind w:leftChars="299" w:left="1242" w:hangingChars="187" w:hanging="524"/>
        <w:jc w:val="both"/>
        <w:rPr>
          <w:rFonts w:eastAsia="標楷體"/>
          <w:kern w:val="0"/>
          <w:sz w:val="28"/>
          <w:szCs w:val="28"/>
        </w:rPr>
      </w:pPr>
      <w:r w:rsidRPr="00D55DC6">
        <w:rPr>
          <w:rFonts w:eastAsia="標楷體"/>
          <w:kern w:val="0"/>
          <w:sz w:val="28"/>
          <w:szCs w:val="28"/>
        </w:rPr>
        <w:t xml:space="preserve">(1) </w:t>
      </w:r>
      <w:r w:rsidR="00435440" w:rsidRPr="00D55DC6">
        <w:rPr>
          <w:rFonts w:eastAsia="標楷體"/>
          <w:kern w:val="0"/>
          <w:sz w:val="28"/>
          <w:szCs w:val="28"/>
        </w:rPr>
        <w:t>資源永續：阿里山國家風景區觀光資源豐富，日出、森林、高山鐵路、鄒族文化、自然生態等皆具國際特色，將加強環境有效管理，即時掌握觀光資源變動，有效解讀、分析、研擬對策並解決問題，以智慧觀光概念達成資源永續經營目標。</w:t>
      </w:r>
    </w:p>
    <w:p w:rsidR="00C050DB" w:rsidRPr="00D55DC6" w:rsidRDefault="00C050DB" w:rsidP="009D33BA">
      <w:pPr>
        <w:autoSpaceDE w:val="0"/>
        <w:autoSpaceDN w:val="0"/>
        <w:adjustRightInd w:val="0"/>
        <w:snapToGrid w:val="0"/>
        <w:spacing w:beforeLines="20" w:before="72" w:line="460" w:lineRule="exact"/>
        <w:ind w:leftChars="299" w:left="1242" w:hangingChars="187" w:hanging="524"/>
        <w:jc w:val="both"/>
        <w:rPr>
          <w:rFonts w:eastAsia="標楷體"/>
          <w:kern w:val="0"/>
          <w:sz w:val="28"/>
          <w:szCs w:val="28"/>
        </w:rPr>
      </w:pPr>
      <w:r w:rsidRPr="00D55DC6">
        <w:rPr>
          <w:rFonts w:eastAsia="標楷體"/>
          <w:kern w:val="0"/>
          <w:sz w:val="28"/>
          <w:szCs w:val="28"/>
        </w:rPr>
        <w:t xml:space="preserve">(2) </w:t>
      </w:r>
      <w:r w:rsidRPr="00D55DC6">
        <w:rPr>
          <w:rFonts w:eastAsia="標楷體"/>
          <w:kern w:val="0"/>
          <w:sz w:val="28"/>
          <w:szCs w:val="28"/>
        </w:rPr>
        <w:t>環境友善：提供暢通旅遊資訊及交通輸運，使國內、外遊客感受友</w:t>
      </w:r>
      <w:r w:rsidRPr="00D55DC6">
        <w:rPr>
          <w:rFonts w:eastAsia="標楷體"/>
          <w:kern w:val="0"/>
          <w:sz w:val="28"/>
          <w:szCs w:val="28"/>
        </w:rPr>
        <w:lastRenderedPageBreak/>
        <w:t>善環境及旅遊便利性。</w:t>
      </w:r>
    </w:p>
    <w:p w:rsidR="00C050DB" w:rsidRPr="00D55DC6" w:rsidRDefault="00C050DB" w:rsidP="009D33BA">
      <w:pPr>
        <w:autoSpaceDE w:val="0"/>
        <w:autoSpaceDN w:val="0"/>
        <w:adjustRightInd w:val="0"/>
        <w:snapToGrid w:val="0"/>
        <w:spacing w:beforeLines="20" w:before="72" w:line="460" w:lineRule="exact"/>
        <w:ind w:leftChars="299" w:left="1242" w:hangingChars="187" w:hanging="524"/>
        <w:jc w:val="both"/>
        <w:rPr>
          <w:rFonts w:eastAsia="標楷體"/>
          <w:kern w:val="0"/>
          <w:sz w:val="28"/>
          <w:szCs w:val="28"/>
        </w:rPr>
      </w:pPr>
      <w:r w:rsidRPr="00D55DC6">
        <w:rPr>
          <w:rFonts w:eastAsia="標楷體"/>
          <w:kern w:val="0"/>
          <w:sz w:val="28"/>
          <w:szCs w:val="28"/>
        </w:rPr>
        <w:t xml:space="preserve">(3) </w:t>
      </w:r>
      <w:r w:rsidRPr="00D55DC6">
        <w:rPr>
          <w:rFonts w:eastAsia="標楷體"/>
          <w:kern w:val="0"/>
          <w:sz w:val="28"/>
          <w:szCs w:val="28"/>
        </w:rPr>
        <w:t>品質提升：輔導住宿、餐飲及購物</w:t>
      </w:r>
      <w:r w:rsidRPr="00D55DC6">
        <w:rPr>
          <w:rFonts w:eastAsia="標楷體"/>
          <w:kern w:val="0"/>
          <w:sz w:val="28"/>
          <w:szCs w:val="28"/>
        </w:rPr>
        <w:t>…</w:t>
      </w:r>
      <w:r w:rsidRPr="00D55DC6">
        <w:rPr>
          <w:rFonts w:eastAsia="標楷體"/>
          <w:kern w:val="0"/>
          <w:sz w:val="28"/>
          <w:szCs w:val="28"/>
        </w:rPr>
        <w:t>等之業者進行服務設施與品質提升計畫，提升服務水準及接待能量。</w:t>
      </w:r>
    </w:p>
    <w:p w:rsidR="00C050DB" w:rsidRPr="00D55DC6" w:rsidRDefault="00C050DB" w:rsidP="009D33BA">
      <w:pPr>
        <w:autoSpaceDE w:val="0"/>
        <w:autoSpaceDN w:val="0"/>
        <w:adjustRightInd w:val="0"/>
        <w:snapToGrid w:val="0"/>
        <w:spacing w:beforeLines="30" w:before="108" w:line="460" w:lineRule="exact"/>
        <w:ind w:firstLineChars="200" w:firstLine="561"/>
        <w:jc w:val="both"/>
        <w:rPr>
          <w:rFonts w:eastAsia="標楷體"/>
          <w:b/>
          <w:sz w:val="28"/>
          <w:szCs w:val="28"/>
        </w:rPr>
      </w:pPr>
      <w:r w:rsidRPr="00D55DC6">
        <w:rPr>
          <w:rFonts w:eastAsia="標楷體"/>
          <w:b/>
          <w:sz w:val="28"/>
          <w:szCs w:val="28"/>
        </w:rPr>
        <w:t xml:space="preserve">3. </w:t>
      </w:r>
      <w:r w:rsidRPr="00D55DC6">
        <w:rPr>
          <w:rFonts w:eastAsia="標楷體"/>
          <w:b/>
          <w:sz w:val="28"/>
          <w:szCs w:val="28"/>
        </w:rPr>
        <w:t>深化旅遊內涵及建立品牌特色，提升觀光遊憩魅力</w:t>
      </w:r>
    </w:p>
    <w:p w:rsidR="00C050DB" w:rsidRPr="00D55DC6" w:rsidRDefault="00C050DB" w:rsidP="009D33BA">
      <w:pPr>
        <w:autoSpaceDE w:val="0"/>
        <w:autoSpaceDN w:val="0"/>
        <w:adjustRightInd w:val="0"/>
        <w:snapToGrid w:val="0"/>
        <w:spacing w:beforeLines="20" w:before="72" w:line="460" w:lineRule="exact"/>
        <w:ind w:leftChars="300" w:left="1420" w:hangingChars="250" w:hanging="700"/>
        <w:jc w:val="both"/>
        <w:rPr>
          <w:rFonts w:eastAsia="標楷體"/>
          <w:kern w:val="0"/>
          <w:sz w:val="28"/>
          <w:szCs w:val="28"/>
        </w:rPr>
      </w:pPr>
      <w:r w:rsidRPr="00D55DC6">
        <w:rPr>
          <w:rFonts w:eastAsia="標楷體"/>
          <w:kern w:val="0"/>
          <w:sz w:val="28"/>
          <w:szCs w:val="28"/>
        </w:rPr>
        <w:t xml:space="preserve">(1) </w:t>
      </w:r>
      <w:r w:rsidRPr="00D55DC6">
        <w:rPr>
          <w:rFonts w:eastAsia="標楷體"/>
          <w:kern w:val="0"/>
          <w:sz w:val="28"/>
          <w:szCs w:val="28"/>
        </w:rPr>
        <w:t>現有資源加值創新</w:t>
      </w:r>
    </w:p>
    <w:p w:rsidR="00C050DB" w:rsidRPr="00D55DC6" w:rsidRDefault="00C050DB" w:rsidP="0038165F">
      <w:pPr>
        <w:snapToGrid w:val="0"/>
        <w:spacing w:line="460" w:lineRule="exact"/>
        <w:ind w:leftChars="467" w:left="1135" w:hangingChars="5" w:hanging="14"/>
        <w:jc w:val="both"/>
        <w:rPr>
          <w:rFonts w:eastAsia="標楷體"/>
          <w:sz w:val="28"/>
          <w:szCs w:val="28"/>
        </w:rPr>
      </w:pPr>
      <w:r w:rsidRPr="00D55DC6">
        <w:rPr>
          <w:rFonts w:eastAsia="標楷體"/>
          <w:sz w:val="28"/>
          <w:szCs w:val="28"/>
        </w:rPr>
        <w:t>鼓勵社區或業者利用現有環境資源</w:t>
      </w:r>
      <w:r w:rsidRPr="00D55DC6">
        <w:rPr>
          <w:rFonts w:eastAsia="標楷體"/>
          <w:sz w:val="28"/>
          <w:szCs w:val="28"/>
        </w:rPr>
        <w:t>(</w:t>
      </w:r>
      <w:r w:rsidRPr="00D55DC6">
        <w:rPr>
          <w:rFonts w:eastAsia="標楷體"/>
          <w:sz w:val="28"/>
          <w:szCs w:val="28"/>
        </w:rPr>
        <w:t>森林、山岳地形、鄒族文化</w:t>
      </w:r>
      <w:r w:rsidRPr="00D55DC6">
        <w:rPr>
          <w:rFonts w:eastAsia="標楷體"/>
          <w:sz w:val="28"/>
          <w:szCs w:val="28"/>
        </w:rPr>
        <w:t>…)</w:t>
      </w:r>
      <w:r w:rsidRPr="00D55DC6">
        <w:rPr>
          <w:rFonts w:eastAsia="標楷體"/>
          <w:sz w:val="28"/>
          <w:szCs w:val="28"/>
        </w:rPr>
        <w:t>或設施</w:t>
      </w:r>
      <w:r w:rsidRPr="00D55DC6">
        <w:rPr>
          <w:rFonts w:eastAsia="標楷體"/>
          <w:sz w:val="28"/>
          <w:szCs w:val="28"/>
        </w:rPr>
        <w:t>(</w:t>
      </w:r>
      <w:r w:rsidRPr="00D55DC6">
        <w:rPr>
          <w:rFonts w:eastAsia="標楷體"/>
          <w:sz w:val="28"/>
          <w:szCs w:val="28"/>
        </w:rPr>
        <w:t>閒置校舍、水泥廠產業轉型</w:t>
      </w:r>
      <w:r w:rsidRPr="00D55DC6">
        <w:rPr>
          <w:rFonts w:eastAsia="標楷體"/>
          <w:sz w:val="28"/>
          <w:szCs w:val="28"/>
        </w:rPr>
        <w:t>…)</w:t>
      </w:r>
      <w:r w:rsidRPr="00D55DC6">
        <w:rPr>
          <w:rFonts w:eastAsia="標楷體"/>
          <w:sz w:val="28"/>
          <w:szCs w:val="28"/>
        </w:rPr>
        <w:t>，導入具創意性活動，如：定向越野、高山馬拉松、高山自行車賽、林間藝術裝置、玩木工匠體驗營、鄒之美術日、山林生活講堂、茶之道學習營、季節限定美食大賞、夜間生態體驗、觀星等活動，展現山野、生態、人文、產業的另一種風貌。</w:t>
      </w:r>
    </w:p>
    <w:p w:rsidR="00C050DB" w:rsidRPr="00D55DC6" w:rsidRDefault="00C050DB" w:rsidP="009D33BA">
      <w:pPr>
        <w:autoSpaceDE w:val="0"/>
        <w:autoSpaceDN w:val="0"/>
        <w:adjustRightInd w:val="0"/>
        <w:snapToGrid w:val="0"/>
        <w:spacing w:beforeLines="20" w:before="72" w:line="460" w:lineRule="exact"/>
        <w:ind w:leftChars="300" w:left="1420" w:hangingChars="250" w:hanging="700"/>
        <w:jc w:val="both"/>
        <w:rPr>
          <w:rFonts w:eastAsia="標楷體"/>
          <w:kern w:val="0"/>
          <w:sz w:val="28"/>
          <w:szCs w:val="28"/>
        </w:rPr>
      </w:pPr>
      <w:r w:rsidRPr="00D55DC6">
        <w:rPr>
          <w:rFonts w:eastAsia="標楷體"/>
          <w:kern w:val="0"/>
          <w:sz w:val="28"/>
          <w:szCs w:val="28"/>
        </w:rPr>
        <w:t xml:space="preserve">(2) </w:t>
      </w:r>
      <w:r w:rsidRPr="00D55DC6">
        <w:rPr>
          <w:rFonts w:eastAsia="標楷體"/>
          <w:kern w:val="0"/>
          <w:sz w:val="28"/>
          <w:szCs w:val="28"/>
        </w:rPr>
        <w:t>觀光吸引力創造</w:t>
      </w:r>
    </w:p>
    <w:p w:rsidR="00C050DB" w:rsidRPr="00D55DC6" w:rsidRDefault="00C050DB" w:rsidP="0038165F">
      <w:pPr>
        <w:snapToGrid w:val="0"/>
        <w:spacing w:line="460" w:lineRule="exact"/>
        <w:ind w:leftChars="400" w:left="1092" w:hanging="132"/>
        <w:jc w:val="both"/>
        <w:rPr>
          <w:rFonts w:eastAsia="標楷體"/>
          <w:sz w:val="28"/>
          <w:szCs w:val="28"/>
        </w:rPr>
      </w:pPr>
      <w:r w:rsidRPr="00D55DC6">
        <w:rPr>
          <w:rFonts w:eastAsia="標楷體"/>
          <w:sz w:val="28"/>
          <w:szCs w:val="28"/>
        </w:rPr>
        <w:t xml:space="preserve"> </w:t>
      </w:r>
      <w:r w:rsidRPr="00D55DC6">
        <w:rPr>
          <w:rFonts w:eastAsia="標楷體"/>
          <w:sz w:val="28"/>
          <w:szCs w:val="28"/>
        </w:rPr>
        <w:t>輔導具發展潛力與深度之在地產業，開發文創產品或旅遊服務商品，建立特色品牌行銷；配合大自然時序更迭之美麗景色及地方文化慶典，舉辦欣賞自然地景、花季及特色節慶活動，與社區居民或藝術家合作打造地景藝術，創造話題，提升觀光遊憩魅力。</w:t>
      </w:r>
    </w:p>
    <w:p w:rsidR="00C050DB" w:rsidRPr="00D55DC6" w:rsidRDefault="00C050DB" w:rsidP="009D33BA">
      <w:pPr>
        <w:autoSpaceDE w:val="0"/>
        <w:autoSpaceDN w:val="0"/>
        <w:adjustRightInd w:val="0"/>
        <w:snapToGrid w:val="0"/>
        <w:spacing w:beforeLines="30" w:before="108" w:line="460" w:lineRule="exact"/>
        <w:ind w:firstLineChars="200" w:firstLine="561"/>
        <w:jc w:val="both"/>
        <w:rPr>
          <w:rFonts w:eastAsia="標楷體"/>
          <w:b/>
          <w:sz w:val="28"/>
          <w:szCs w:val="28"/>
        </w:rPr>
      </w:pPr>
      <w:r w:rsidRPr="00D55DC6">
        <w:rPr>
          <w:rFonts w:eastAsia="標楷體"/>
          <w:b/>
          <w:sz w:val="28"/>
          <w:szCs w:val="28"/>
        </w:rPr>
        <w:t xml:space="preserve">4. </w:t>
      </w:r>
      <w:r w:rsidRPr="00D55DC6">
        <w:rPr>
          <w:rFonts w:eastAsia="標楷體"/>
          <w:b/>
          <w:sz w:val="28"/>
          <w:szCs w:val="28"/>
        </w:rPr>
        <w:t>推動跨域加值合作及創新財務作法，提升整體觀光效益</w:t>
      </w:r>
    </w:p>
    <w:p w:rsidR="00C050DB" w:rsidRPr="00D55DC6" w:rsidRDefault="00C050DB" w:rsidP="0038165F">
      <w:pPr>
        <w:snapToGrid w:val="0"/>
        <w:spacing w:line="460" w:lineRule="exact"/>
        <w:ind w:leftChars="400" w:left="960"/>
        <w:jc w:val="both"/>
        <w:rPr>
          <w:rFonts w:eastAsia="標楷體"/>
          <w:sz w:val="28"/>
          <w:szCs w:val="28"/>
        </w:rPr>
      </w:pPr>
      <w:r w:rsidRPr="00D55DC6">
        <w:rPr>
          <w:rFonts w:eastAsia="標楷體"/>
          <w:sz w:val="28"/>
          <w:szCs w:val="28"/>
        </w:rPr>
        <w:t>風景區的觀光發展與經營面向多元，涉及相關部會、地方政府、社區、團體、民間業者之權責與分工，將推動跨域合作機制，尋求公私部門合作機會，並針對國家風景區之景點活化與開發，推動設施出租、促參案件、使用者付費、跨域加值合作等創新財務作法，以提升計畫自償率及整體觀光效益。</w:t>
      </w:r>
    </w:p>
    <w:p w:rsidR="00C050DB" w:rsidRPr="00D55DC6" w:rsidRDefault="00C050DB" w:rsidP="009D33BA">
      <w:pPr>
        <w:numPr>
          <w:ilvl w:val="0"/>
          <w:numId w:val="4"/>
        </w:numPr>
        <w:snapToGrid w:val="0"/>
        <w:spacing w:beforeLines="50" w:before="180" w:line="460" w:lineRule="exact"/>
        <w:ind w:left="862" w:hanging="862"/>
        <w:jc w:val="both"/>
        <w:rPr>
          <w:rFonts w:eastAsia="標楷體"/>
          <w:b/>
          <w:sz w:val="28"/>
          <w:szCs w:val="28"/>
        </w:rPr>
      </w:pPr>
      <w:r w:rsidRPr="00D55DC6">
        <w:rPr>
          <w:rFonts w:eastAsia="標楷體"/>
          <w:b/>
          <w:sz w:val="28"/>
          <w:szCs w:val="28"/>
        </w:rPr>
        <w:t>主要工作項目</w:t>
      </w:r>
      <w:r w:rsidRPr="00D55DC6">
        <w:rPr>
          <w:rFonts w:eastAsia="標楷體"/>
          <w:b/>
          <w:sz w:val="28"/>
          <w:szCs w:val="28"/>
        </w:rPr>
        <w:t xml:space="preserve"> </w:t>
      </w:r>
    </w:p>
    <w:p w:rsidR="00C050DB" w:rsidRPr="00D55DC6" w:rsidRDefault="00C050DB" w:rsidP="009D33BA">
      <w:pPr>
        <w:numPr>
          <w:ilvl w:val="1"/>
          <w:numId w:val="4"/>
        </w:numPr>
        <w:snapToGrid w:val="0"/>
        <w:spacing w:beforeLines="30" w:before="108" w:line="460" w:lineRule="exact"/>
        <w:ind w:left="839" w:hanging="357"/>
        <w:jc w:val="both"/>
        <w:rPr>
          <w:rFonts w:eastAsia="標楷體"/>
          <w:b/>
          <w:sz w:val="28"/>
          <w:szCs w:val="28"/>
        </w:rPr>
      </w:pPr>
      <w:r w:rsidRPr="00D55DC6">
        <w:rPr>
          <w:rFonts w:eastAsia="標楷體"/>
          <w:b/>
          <w:sz w:val="28"/>
          <w:szCs w:val="28"/>
        </w:rPr>
        <w:t>國際觀光重要景點建設</w:t>
      </w:r>
    </w:p>
    <w:p w:rsidR="00C050DB" w:rsidRPr="00D55DC6" w:rsidRDefault="00C050DB" w:rsidP="0038165F">
      <w:pPr>
        <w:tabs>
          <w:tab w:val="left" w:pos="993"/>
        </w:tabs>
        <w:snapToGrid w:val="0"/>
        <w:spacing w:line="460" w:lineRule="exact"/>
        <w:ind w:leftChars="352" w:left="1315" w:hangingChars="168" w:hanging="470"/>
        <w:jc w:val="both"/>
        <w:rPr>
          <w:rFonts w:eastAsia="標楷體"/>
          <w:sz w:val="28"/>
          <w:szCs w:val="28"/>
        </w:rPr>
      </w:pPr>
      <w:r w:rsidRPr="00D55DC6">
        <w:rPr>
          <w:rFonts w:eastAsia="標楷體"/>
          <w:sz w:val="28"/>
          <w:szCs w:val="28"/>
        </w:rPr>
        <w:t>1-1.</w:t>
      </w:r>
      <w:r w:rsidRPr="00D55DC6">
        <w:rPr>
          <w:rFonts w:eastAsia="標楷體"/>
          <w:sz w:val="28"/>
          <w:szCs w:val="28"/>
        </w:rPr>
        <w:t>臺</w:t>
      </w:r>
      <w:r w:rsidRPr="00D55DC6">
        <w:rPr>
          <w:rFonts w:eastAsia="標楷體"/>
          <w:sz w:val="28"/>
          <w:szCs w:val="28"/>
        </w:rPr>
        <w:t>18</w:t>
      </w:r>
      <w:r w:rsidRPr="00D55DC6">
        <w:rPr>
          <w:rFonts w:eastAsia="標楷體"/>
          <w:sz w:val="28"/>
          <w:szCs w:val="28"/>
        </w:rPr>
        <w:t>線遊憩系統：辦理觸口、牛埔仔、龍美、鞍頂、隙頂、巃頭等臺</w:t>
      </w:r>
      <w:r w:rsidRPr="00D55DC6">
        <w:rPr>
          <w:rFonts w:eastAsia="標楷體"/>
          <w:sz w:val="28"/>
          <w:szCs w:val="28"/>
        </w:rPr>
        <w:t>18</w:t>
      </w:r>
      <w:r w:rsidRPr="00D55DC6">
        <w:rPr>
          <w:rFonts w:eastAsia="標楷體"/>
          <w:sz w:val="28"/>
          <w:szCs w:val="28"/>
        </w:rPr>
        <w:t>線入口門戶與旅遊路廊之營造，並推動奮起湖、石棹、頂湖、光華、半天岩等亮點旅遊環境與特色景觀營造，以打造阿里山入口門戶及延伸旅遊路廊，並延長遊客駐留時間。</w:t>
      </w:r>
    </w:p>
    <w:p w:rsidR="00C050DB" w:rsidRPr="00D55DC6" w:rsidRDefault="00C050DB" w:rsidP="009D33BA">
      <w:pPr>
        <w:numPr>
          <w:ilvl w:val="1"/>
          <w:numId w:val="4"/>
        </w:numPr>
        <w:snapToGrid w:val="0"/>
        <w:spacing w:beforeLines="30" w:before="108" w:line="460" w:lineRule="exact"/>
        <w:ind w:left="839" w:hanging="357"/>
        <w:jc w:val="both"/>
        <w:rPr>
          <w:rFonts w:eastAsia="標楷體"/>
          <w:b/>
          <w:sz w:val="28"/>
          <w:szCs w:val="28"/>
        </w:rPr>
      </w:pPr>
      <w:r w:rsidRPr="00D55DC6">
        <w:rPr>
          <w:rFonts w:eastAsia="標楷體"/>
          <w:b/>
          <w:sz w:val="28"/>
          <w:szCs w:val="28"/>
        </w:rPr>
        <w:lastRenderedPageBreak/>
        <w:t>國內觀光重要景點建設</w:t>
      </w:r>
    </w:p>
    <w:p w:rsidR="00C050DB" w:rsidRPr="00D55DC6" w:rsidRDefault="00C050DB" w:rsidP="0038165F">
      <w:pPr>
        <w:tabs>
          <w:tab w:val="left" w:pos="1134"/>
        </w:tabs>
        <w:snapToGrid w:val="0"/>
        <w:spacing w:line="460" w:lineRule="exact"/>
        <w:ind w:leftChars="353" w:left="1326" w:hangingChars="171" w:hanging="479"/>
        <w:jc w:val="both"/>
        <w:rPr>
          <w:rFonts w:eastAsia="標楷體"/>
          <w:sz w:val="28"/>
          <w:szCs w:val="28"/>
        </w:rPr>
      </w:pPr>
      <w:r w:rsidRPr="00D55DC6">
        <w:rPr>
          <w:rFonts w:eastAsia="標楷體"/>
          <w:sz w:val="28"/>
          <w:szCs w:val="28"/>
        </w:rPr>
        <w:t>2-1.</w:t>
      </w:r>
      <w:r w:rsidRPr="00D55DC6">
        <w:rPr>
          <w:rFonts w:eastAsia="標楷體"/>
          <w:sz w:val="28"/>
          <w:szCs w:val="28"/>
        </w:rPr>
        <w:t>鄒族文化遊憩系統：辦理達邦、特富野、里佳、樂野、山美、新美、茶山等部落特色風貌營造、災後設施復建、周邊遊憩設施與景觀改善，以推廣鄒族部落之原住民文化與生活體驗等多元遊程。</w:t>
      </w:r>
    </w:p>
    <w:p w:rsidR="00C050DB" w:rsidRPr="00D55DC6" w:rsidRDefault="00C050DB" w:rsidP="0038165F">
      <w:pPr>
        <w:snapToGrid w:val="0"/>
        <w:spacing w:line="460" w:lineRule="exact"/>
        <w:ind w:leftChars="350" w:left="1327" w:hangingChars="174" w:hanging="487"/>
        <w:jc w:val="both"/>
        <w:rPr>
          <w:rFonts w:eastAsia="標楷體"/>
          <w:sz w:val="28"/>
          <w:szCs w:val="28"/>
        </w:rPr>
      </w:pPr>
      <w:r w:rsidRPr="00D55DC6">
        <w:rPr>
          <w:rFonts w:eastAsia="標楷體"/>
          <w:sz w:val="28"/>
          <w:szCs w:val="28"/>
        </w:rPr>
        <w:t>2-2.</w:t>
      </w:r>
      <w:r w:rsidRPr="00D55DC6">
        <w:rPr>
          <w:rFonts w:eastAsia="標楷體"/>
          <w:sz w:val="28"/>
          <w:szCs w:val="28"/>
        </w:rPr>
        <w:t>西北廊道遊憩系統：辦理豐山、來吉、太和、瑞里、瑞峰、仁壽、金獅、文峰、太平、太興、碧湖、龍眼等生態旅遊與觀光產業環境營造，以及周邊遊憩設施與景觀改善。</w:t>
      </w:r>
    </w:p>
    <w:p w:rsidR="00C050DB" w:rsidRPr="00D55DC6" w:rsidRDefault="00C050DB" w:rsidP="009D33BA">
      <w:pPr>
        <w:numPr>
          <w:ilvl w:val="1"/>
          <w:numId w:val="4"/>
        </w:numPr>
        <w:snapToGrid w:val="0"/>
        <w:spacing w:beforeLines="30" w:before="108" w:line="460" w:lineRule="exact"/>
        <w:ind w:left="839" w:hanging="357"/>
        <w:jc w:val="both"/>
        <w:rPr>
          <w:rFonts w:eastAsia="標楷體"/>
          <w:b/>
          <w:sz w:val="28"/>
          <w:szCs w:val="28"/>
        </w:rPr>
      </w:pPr>
      <w:r w:rsidRPr="00D55DC6">
        <w:rPr>
          <w:rFonts w:eastAsia="標楷體"/>
          <w:b/>
          <w:sz w:val="28"/>
          <w:szCs w:val="28"/>
        </w:rPr>
        <w:t>國家風景區經營管理</w:t>
      </w:r>
    </w:p>
    <w:p w:rsidR="00C050DB" w:rsidRPr="00D55DC6" w:rsidRDefault="00C050DB" w:rsidP="0038165F">
      <w:pPr>
        <w:snapToGrid w:val="0"/>
        <w:spacing w:line="460" w:lineRule="exact"/>
        <w:ind w:left="840"/>
        <w:jc w:val="both"/>
        <w:rPr>
          <w:rFonts w:eastAsia="標楷體"/>
          <w:sz w:val="28"/>
          <w:szCs w:val="28"/>
        </w:rPr>
      </w:pPr>
      <w:r w:rsidRPr="00D55DC6">
        <w:rPr>
          <w:rFonts w:eastAsia="標楷體"/>
          <w:sz w:val="28"/>
          <w:szCs w:val="28"/>
        </w:rPr>
        <w:t>3-1.</w:t>
      </w:r>
      <w:r w:rsidRPr="00D55DC6">
        <w:rPr>
          <w:rFonts w:eastAsia="標楷體"/>
          <w:sz w:val="28"/>
          <w:szCs w:val="28"/>
        </w:rPr>
        <w:t>用地取得：辦理各遊憩景點、設施開發建設用地取得相關作業。</w:t>
      </w:r>
    </w:p>
    <w:p w:rsidR="00C050DB" w:rsidRPr="00D55DC6" w:rsidRDefault="00C050DB" w:rsidP="0038165F">
      <w:pPr>
        <w:snapToGrid w:val="0"/>
        <w:spacing w:line="460" w:lineRule="exact"/>
        <w:ind w:left="840"/>
        <w:jc w:val="both"/>
        <w:rPr>
          <w:rFonts w:eastAsia="標楷體"/>
          <w:sz w:val="28"/>
          <w:szCs w:val="28"/>
        </w:rPr>
      </w:pPr>
      <w:r w:rsidRPr="00D55DC6">
        <w:rPr>
          <w:rFonts w:eastAsia="標楷體"/>
          <w:sz w:val="28"/>
          <w:szCs w:val="28"/>
        </w:rPr>
        <w:t>3-2.</w:t>
      </w:r>
      <w:r w:rsidRPr="00D55DC6">
        <w:rPr>
          <w:rFonts w:eastAsia="標楷體"/>
          <w:sz w:val="28"/>
          <w:szCs w:val="28"/>
        </w:rPr>
        <w:t>先期規劃設計：辦理觀光資源調查及遊憩景點先期規劃設計。</w:t>
      </w:r>
    </w:p>
    <w:p w:rsidR="00C050DB" w:rsidRPr="00D55DC6" w:rsidRDefault="00C050DB" w:rsidP="0038165F">
      <w:pPr>
        <w:snapToGrid w:val="0"/>
        <w:spacing w:line="460" w:lineRule="exact"/>
        <w:ind w:left="1344" w:hanging="493"/>
        <w:jc w:val="both"/>
        <w:rPr>
          <w:rFonts w:eastAsia="標楷體"/>
          <w:sz w:val="28"/>
          <w:szCs w:val="28"/>
        </w:rPr>
      </w:pPr>
      <w:r w:rsidRPr="00D55DC6">
        <w:rPr>
          <w:rFonts w:eastAsia="標楷體"/>
          <w:sz w:val="28"/>
          <w:szCs w:val="28"/>
        </w:rPr>
        <w:t>3-3.</w:t>
      </w:r>
      <w:r w:rsidRPr="00D55DC6">
        <w:rPr>
          <w:rFonts w:eastAsia="標楷體"/>
          <w:sz w:val="28"/>
          <w:szCs w:val="28"/>
        </w:rPr>
        <w:t>旅遊服務系統：辦理阿里山旅遊線周邊遊憩設施、導覽解說及道路指標牌示等建置更新。</w:t>
      </w:r>
    </w:p>
    <w:p w:rsidR="00C050DB" w:rsidRPr="00D55DC6" w:rsidRDefault="00C050DB" w:rsidP="0038165F">
      <w:pPr>
        <w:snapToGrid w:val="0"/>
        <w:spacing w:line="460" w:lineRule="exact"/>
        <w:ind w:leftChars="344" w:left="1355" w:hangingChars="189" w:hanging="529"/>
        <w:jc w:val="both"/>
        <w:rPr>
          <w:rFonts w:eastAsia="標楷體"/>
          <w:sz w:val="28"/>
          <w:szCs w:val="28"/>
        </w:rPr>
      </w:pPr>
      <w:r w:rsidRPr="00D55DC6">
        <w:rPr>
          <w:rFonts w:eastAsia="標楷體"/>
          <w:sz w:val="28"/>
          <w:szCs w:val="28"/>
        </w:rPr>
        <w:t>3-4.</w:t>
      </w:r>
      <w:r w:rsidRPr="00D55DC6">
        <w:rPr>
          <w:rFonts w:eastAsia="標楷體"/>
          <w:sz w:val="28"/>
          <w:szCs w:val="28"/>
        </w:rPr>
        <w:t>環境維護及設施維持：辦理主要道路及遊憩景點之環境清潔維護與全區遊憩設施維持工作。</w:t>
      </w:r>
    </w:p>
    <w:p w:rsidR="00C050DB" w:rsidRPr="00D55DC6" w:rsidRDefault="00C050DB" w:rsidP="0038165F">
      <w:pPr>
        <w:snapToGrid w:val="0"/>
        <w:spacing w:line="460" w:lineRule="exact"/>
        <w:ind w:leftChars="354" w:left="1354" w:hangingChars="180" w:hanging="504"/>
        <w:jc w:val="both"/>
        <w:rPr>
          <w:rFonts w:eastAsia="標楷體"/>
          <w:sz w:val="28"/>
          <w:szCs w:val="28"/>
        </w:rPr>
      </w:pPr>
      <w:r w:rsidRPr="00D55DC6">
        <w:rPr>
          <w:rFonts w:eastAsia="標楷體"/>
          <w:sz w:val="28"/>
          <w:szCs w:val="28"/>
        </w:rPr>
        <w:t>3-5.</w:t>
      </w:r>
      <w:r w:rsidRPr="00D55DC6">
        <w:rPr>
          <w:rFonts w:eastAsia="標楷體"/>
          <w:sz w:val="28"/>
          <w:szCs w:val="28"/>
        </w:rPr>
        <w:t>全區災害復舊及一般零星工程：辦理全區遊憩景點災害修復及一般零星工程。</w:t>
      </w:r>
    </w:p>
    <w:p w:rsidR="00C050DB" w:rsidRPr="00D55DC6" w:rsidRDefault="00C050DB" w:rsidP="009D33BA">
      <w:pPr>
        <w:numPr>
          <w:ilvl w:val="1"/>
          <w:numId w:val="4"/>
        </w:numPr>
        <w:snapToGrid w:val="0"/>
        <w:spacing w:beforeLines="30" w:before="108" w:line="460" w:lineRule="exact"/>
        <w:ind w:left="839" w:hanging="357"/>
        <w:jc w:val="both"/>
        <w:rPr>
          <w:rFonts w:eastAsia="標楷體"/>
          <w:b/>
          <w:sz w:val="28"/>
          <w:szCs w:val="28"/>
        </w:rPr>
      </w:pPr>
      <w:r w:rsidRPr="00D55DC6">
        <w:rPr>
          <w:rFonts w:eastAsia="標楷體"/>
          <w:b/>
          <w:sz w:val="28"/>
          <w:szCs w:val="28"/>
        </w:rPr>
        <w:t>經營管理及行銷推廣</w:t>
      </w:r>
    </w:p>
    <w:p w:rsidR="00C050DB" w:rsidRPr="00D55DC6" w:rsidRDefault="00C050DB" w:rsidP="0038165F">
      <w:pPr>
        <w:snapToGrid w:val="0"/>
        <w:spacing w:line="460" w:lineRule="exact"/>
        <w:ind w:leftChars="354" w:left="1357" w:hangingChars="181" w:hanging="507"/>
        <w:jc w:val="both"/>
        <w:rPr>
          <w:rFonts w:eastAsia="標楷體"/>
          <w:sz w:val="28"/>
          <w:szCs w:val="28"/>
        </w:rPr>
      </w:pPr>
      <w:r w:rsidRPr="00D55DC6">
        <w:rPr>
          <w:rFonts w:eastAsia="標楷體"/>
          <w:sz w:val="28"/>
          <w:szCs w:val="28"/>
        </w:rPr>
        <w:t>4-1.</w:t>
      </w:r>
      <w:r w:rsidRPr="00D55DC6">
        <w:rPr>
          <w:rFonts w:eastAsia="標楷體"/>
          <w:sz w:val="28"/>
          <w:szCs w:val="28"/>
        </w:rPr>
        <w:t>經營管理：辦理遊客安全管理、緊急應變災害防救、環境清潔維護、設施巡查維護、社區經營管理機制、旅遊旺季交通疏運、遊客接駁服務、觀光資源保育等工作。</w:t>
      </w:r>
    </w:p>
    <w:p w:rsidR="00C050DB" w:rsidRPr="00D55DC6" w:rsidRDefault="00C050DB" w:rsidP="0038165F">
      <w:pPr>
        <w:snapToGrid w:val="0"/>
        <w:spacing w:line="460" w:lineRule="exact"/>
        <w:ind w:leftChars="354" w:left="1343" w:hangingChars="176" w:hanging="493"/>
        <w:jc w:val="both"/>
        <w:rPr>
          <w:rFonts w:eastAsia="標楷體"/>
          <w:sz w:val="28"/>
          <w:szCs w:val="28"/>
        </w:rPr>
      </w:pPr>
      <w:r w:rsidRPr="00D55DC6">
        <w:rPr>
          <w:rFonts w:eastAsia="標楷體"/>
          <w:sz w:val="28"/>
          <w:szCs w:val="28"/>
        </w:rPr>
        <w:t>4-2.</w:t>
      </w:r>
      <w:r w:rsidRPr="00D55DC6">
        <w:rPr>
          <w:rFonts w:eastAsia="標楷體"/>
          <w:sz w:val="28"/>
          <w:szCs w:val="28"/>
        </w:rPr>
        <w:t>行銷推廣：辦理年度觀光活動如日出印象音樂會、與螢共舞、步道遊蹤、神木下婚禮，協助部落觀光節慶活動，規劃多元套裝遊程、產業輔導培訓及文宣品編印等工作。</w:t>
      </w:r>
    </w:p>
    <w:p w:rsidR="00C050DB" w:rsidRPr="00D55DC6" w:rsidRDefault="00C050DB" w:rsidP="009D33BA">
      <w:pPr>
        <w:numPr>
          <w:ilvl w:val="1"/>
          <w:numId w:val="4"/>
        </w:numPr>
        <w:snapToGrid w:val="0"/>
        <w:spacing w:beforeLines="30" w:before="108" w:line="460" w:lineRule="exact"/>
        <w:ind w:left="839" w:hanging="357"/>
        <w:jc w:val="both"/>
        <w:rPr>
          <w:rFonts w:eastAsia="標楷體"/>
          <w:b/>
          <w:sz w:val="28"/>
          <w:szCs w:val="28"/>
        </w:rPr>
      </w:pPr>
      <w:r w:rsidRPr="00D55DC6">
        <w:rPr>
          <w:rFonts w:eastAsia="標楷體"/>
          <w:b/>
          <w:sz w:val="28"/>
          <w:szCs w:val="28"/>
        </w:rPr>
        <w:t>提升觀光建設自償性</w:t>
      </w:r>
      <w:r w:rsidRPr="00D55DC6">
        <w:rPr>
          <w:rFonts w:eastAsia="標楷體"/>
          <w:b/>
          <w:sz w:val="28"/>
          <w:szCs w:val="28"/>
        </w:rPr>
        <w:t xml:space="preserve"> </w:t>
      </w:r>
    </w:p>
    <w:p w:rsidR="00C050DB" w:rsidRPr="00D55DC6" w:rsidRDefault="00C050DB" w:rsidP="0038165F">
      <w:pPr>
        <w:snapToGrid w:val="0"/>
        <w:spacing w:line="460" w:lineRule="exact"/>
        <w:ind w:leftChars="354" w:left="1371" w:hangingChars="186" w:hanging="521"/>
        <w:jc w:val="both"/>
        <w:rPr>
          <w:rFonts w:eastAsia="標楷體"/>
          <w:sz w:val="28"/>
          <w:szCs w:val="28"/>
        </w:rPr>
      </w:pPr>
      <w:r w:rsidRPr="00D55DC6">
        <w:rPr>
          <w:rFonts w:eastAsia="標楷體"/>
          <w:sz w:val="28"/>
          <w:szCs w:val="28"/>
        </w:rPr>
        <w:t>5-1.</w:t>
      </w:r>
      <w:r w:rsidRPr="00D55DC6">
        <w:rPr>
          <w:rFonts w:eastAsia="標楷體"/>
          <w:sz w:val="28"/>
          <w:szCs w:val="28"/>
        </w:rPr>
        <w:t>設施出租：強化既有設施，增加遊客使用率，以擴大據點設施出租收益，如據點賣店出租。</w:t>
      </w:r>
    </w:p>
    <w:p w:rsidR="00C050DB" w:rsidRPr="00D55DC6" w:rsidRDefault="00C050DB" w:rsidP="0038165F">
      <w:pPr>
        <w:snapToGrid w:val="0"/>
        <w:spacing w:line="460" w:lineRule="exact"/>
        <w:ind w:leftChars="353" w:left="1326" w:hangingChars="171" w:hanging="479"/>
        <w:jc w:val="both"/>
        <w:rPr>
          <w:rFonts w:eastAsia="標楷體"/>
          <w:sz w:val="28"/>
          <w:szCs w:val="28"/>
        </w:rPr>
      </w:pPr>
      <w:r w:rsidRPr="00D55DC6">
        <w:rPr>
          <w:rFonts w:eastAsia="標楷體"/>
          <w:sz w:val="28"/>
          <w:szCs w:val="28"/>
        </w:rPr>
        <w:t>5-2.</w:t>
      </w:r>
      <w:r w:rsidRPr="00D55DC6">
        <w:rPr>
          <w:rFonts w:eastAsia="標楷體"/>
          <w:sz w:val="28"/>
          <w:szCs w:val="28"/>
        </w:rPr>
        <w:t>促參：推動促參專案計畫，如牛埔仔遊客中心、太平雲梯遊憩服務區、龍美服務區等</w:t>
      </w:r>
      <w:r w:rsidRPr="00D55DC6">
        <w:rPr>
          <w:rFonts w:eastAsia="標楷體"/>
          <w:sz w:val="28"/>
          <w:szCs w:val="28"/>
        </w:rPr>
        <w:t>OT</w:t>
      </w:r>
      <w:r w:rsidRPr="00D55DC6">
        <w:rPr>
          <w:rFonts w:eastAsia="標楷體"/>
          <w:sz w:val="28"/>
          <w:szCs w:val="28"/>
        </w:rPr>
        <w:t>案。</w:t>
      </w:r>
    </w:p>
    <w:p w:rsidR="00C050DB" w:rsidRPr="00D55DC6" w:rsidRDefault="00C050DB" w:rsidP="0038165F">
      <w:pPr>
        <w:snapToGrid w:val="0"/>
        <w:spacing w:line="460" w:lineRule="exact"/>
        <w:ind w:leftChars="350" w:left="1355" w:hangingChars="184" w:hanging="515"/>
        <w:jc w:val="both"/>
        <w:rPr>
          <w:rFonts w:eastAsia="標楷體"/>
          <w:sz w:val="28"/>
          <w:szCs w:val="28"/>
        </w:rPr>
      </w:pPr>
      <w:r w:rsidRPr="00D55DC6">
        <w:rPr>
          <w:rFonts w:eastAsia="標楷體"/>
          <w:sz w:val="28"/>
          <w:szCs w:val="28"/>
        </w:rPr>
        <w:lastRenderedPageBreak/>
        <w:t>5-3.</w:t>
      </w:r>
      <w:r w:rsidRPr="00D55DC6">
        <w:rPr>
          <w:rFonts w:eastAsia="標楷體"/>
          <w:sz w:val="28"/>
          <w:szCs w:val="28"/>
        </w:rPr>
        <w:t>使用者付費：規劃封閉園區或動線之景點、停車場等收取清潔維護費，如太平雲梯、圓潭自然生態園區、景點停車場。</w:t>
      </w:r>
    </w:p>
    <w:p w:rsidR="00C050DB" w:rsidRPr="00D55DC6" w:rsidRDefault="00C050DB" w:rsidP="0038165F">
      <w:pPr>
        <w:snapToGrid w:val="0"/>
        <w:spacing w:line="460" w:lineRule="exact"/>
        <w:ind w:leftChars="354" w:left="1312" w:hangingChars="165" w:hanging="462"/>
        <w:jc w:val="both"/>
        <w:rPr>
          <w:rFonts w:eastAsia="標楷體"/>
          <w:sz w:val="28"/>
          <w:szCs w:val="28"/>
        </w:rPr>
      </w:pPr>
      <w:r w:rsidRPr="00D55DC6">
        <w:rPr>
          <w:rFonts w:eastAsia="標楷體"/>
          <w:sz w:val="28"/>
          <w:szCs w:val="28"/>
        </w:rPr>
        <w:t>5-4.</w:t>
      </w:r>
      <w:r w:rsidRPr="00D55DC6">
        <w:rPr>
          <w:rFonts w:eastAsia="標楷體"/>
          <w:sz w:val="28"/>
          <w:szCs w:val="28"/>
        </w:rPr>
        <w:t>跨域合作：與土地所有權單位合作共同開發，結合部落、社區、業者發展主題旅遊產品、紀念品或廣告、</w:t>
      </w:r>
      <w:r w:rsidRPr="00D55DC6">
        <w:rPr>
          <w:rFonts w:eastAsia="標楷體"/>
          <w:sz w:val="28"/>
          <w:szCs w:val="28"/>
        </w:rPr>
        <w:t>logo</w:t>
      </w:r>
      <w:r w:rsidRPr="00D55DC6">
        <w:rPr>
          <w:rFonts w:eastAsia="標楷體"/>
          <w:sz w:val="28"/>
          <w:szCs w:val="28"/>
        </w:rPr>
        <w:t>授權。</w:t>
      </w:r>
    </w:p>
    <w:p w:rsidR="00C050DB" w:rsidRPr="00D55DC6" w:rsidRDefault="00C050DB" w:rsidP="009D33BA">
      <w:pPr>
        <w:numPr>
          <w:ilvl w:val="0"/>
          <w:numId w:val="4"/>
        </w:numPr>
        <w:snapToGrid w:val="0"/>
        <w:spacing w:beforeLines="50" w:before="180" w:line="460" w:lineRule="exact"/>
        <w:ind w:left="862" w:hanging="862"/>
        <w:jc w:val="both"/>
        <w:rPr>
          <w:rFonts w:eastAsia="標楷體"/>
          <w:b/>
          <w:sz w:val="28"/>
          <w:szCs w:val="28"/>
        </w:rPr>
      </w:pPr>
      <w:r w:rsidRPr="00D55DC6">
        <w:rPr>
          <w:rFonts w:eastAsia="標楷體"/>
          <w:b/>
          <w:sz w:val="28"/>
          <w:szCs w:val="28"/>
        </w:rPr>
        <w:t xml:space="preserve">分年預期成果　</w:t>
      </w:r>
    </w:p>
    <w:p w:rsidR="00C050DB" w:rsidRPr="00D55DC6" w:rsidRDefault="00C050DB" w:rsidP="004865C1">
      <w:pPr>
        <w:numPr>
          <w:ilvl w:val="0"/>
          <w:numId w:val="223"/>
        </w:numPr>
        <w:snapToGrid w:val="0"/>
        <w:spacing w:beforeLines="50" w:before="180" w:line="460" w:lineRule="exact"/>
        <w:jc w:val="both"/>
        <w:rPr>
          <w:rFonts w:eastAsia="標楷體"/>
          <w:b/>
          <w:sz w:val="28"/>
          <w:szCs w:val="28"/>
        </w:rPr>
      </w:pPr>
      <w:r w:rsidRPr="00D55DC6">
        <w:rPr>
          <w:rFonts w:eastAsia="標楷體"/>
          <w:b/>
          <w:sz w:val="28"/>
          <w:szCs w:val="28"/>
        </w:rPr>
        <w:t>105</w:t>
      </w:r>
      <w:r w:rsidRPr="00D55DC6">
        <w:rPr>
          <w:rFonts w:eastAsia="標楷體"/>
          <w:b/>
          <w:sz w:val="28"/>
          <w:szCs w:val="28"/>
        </w:rPr>
        <w:t>年完成：</w:t>
      </w:r>
    </w:p>
    <w:p w:rsidR="00C050DB" w:rsidRPr="00D55DC6" w:rsidRDefault="00C050DB" w:rsidP="0038165F">
      <w:pPr>
        <w:snapToGrid w:val="0"/>
        <w:spacing w:line="460" w:lineRule="exact"/>
        <w:ind w:left="1319" w:hanging="480"/>
        <w:jc w:val="both"/>
        <w:rPr>
          <w:rFonts w:eastAsia="標楷體"/>
          <w:sz w:val="28"/>
          <w:szCs w:val="28"/>
        </w:rPr>
      </w:pPr>
      <w:r w:rsidRPr="00D55DC6">
        <w:rPr>
          <w:rFonts w:eastAsia="標楷體"/>
          <w:sz w:val="28"/>
          <w:szCs w:val="28"/>
        </w:rPr>
        <w:t>1-1.</w:t>
      </w:r>
      <w:r w:rsidRPr="00D55DC6">
        <w:rPr>
          <w:rFonts w:eastAsia="標楷體"/>
          <w:sz w:val="28"/>
          <w:szCs w:val="28"/>
        </w:rPr>
        <w:t>國際觀光重要景點：臺</w:t>
      </w:r>
      <w:r w:rsidRPr="00D55DC6">
        <w:rPr>
          <w:rFonts w:eastAsia="標楷體"/>
          <w:sz w:val="28"/>
          <w:szCs w:val="28"/>
        </w:rPr>
        <w:t>18</w:t>
      </w:r>
      <w:r w:rsidRPr="00D55DC6">
        <w:rPr>
          <w:rFonts w:eastAsia="標楷體"/>
          <w:sz w:val="28"/>
          <w:szCs w:val="28"/>
        </w:rPr>
        <w:t>線遊憩系統（觸口牛埔仔地區周邊遊憩設施、龍美隙頂地區周邊遊憩設施）。</w:t>
      </w:r>
    </w:p>
    <w:p w:rsidR="00C050DB" w:rsidRPr="00D55DC6" w:rsidRDefault="00C050DB" w:rsidP="0038165F">
      <w:pPr>
        <w:snapToGrid w:val="0"/>
        <w:spacing w:line="460" w:lineRule="exact"/>
        <w:ind w:left="1319" w:hanging="480"/>
        <w:jc w:val="both"/>
        <w:rPr>
          <w:rFonts w:eastAsia="標楷體"/>
          <w:b/>
          <w:sz w:val="28"/>
          <w:szCs w:val="28"/>
        </w:rPr>
      </w:pPr>
      <w:r w:rsidRPr="00D55DC6">
        <w:rPr>
          <w:rFonts w:eastAsia="標楷體"/>
          <w:sz w:val="28"/>
          <w:szCs w:val="28"/>
        </w:rPr>
        <w:t>1-2.</w:t>
      </w:r>
      <w:r w:rsidRPr="00D55DC6">
        <w:rPr>
          <w:rFonts w:eastAsia="標楷體"/>
          <w:sz w:val="28"/>
          <w:szCs w:val="28"/>
        </w:rPr>
        <w:t>國內觀光重要景點：鄒族文化遊憩系統（達邦里佳地區周邊遊憩設施）、西北廊道遊憩系統（太平龍眼地區周邊遊憩設施）。</w:t>
      </w:r>
    </w:p>
    <w:p w:rsidR="00C050DB" w:rsidRPr="00D55DC6" w:rsidRDefault="00C050DB" w:rsidP="004865C1">
      <w:pPr>
        <w:numPr>
          <w:ilvl w:val="0"/>
          <w:numId w:val="223"/>
        </w:numPr>
        <w:snapToGrid w:val="0"/>
        <w:spacing w:beforeLines="50" w:before="180" w:line="460" w:lineRule="exact"/>
        <w:ind w:left="839" w:hanging="357"/>
        <w:jc w:val="both"/>
        <w:rPr>
          <w:rFonts w:eastAsia="標楷體"/>
          <w:b/>
          <w:sz w:val="28"/>
          <w:szCs w:val="28"/>
        </w:rPr>
      </w:pPr>
      <w:r w:rsidRPr="00D55DC6">
        <w:rPr>
          <w:rFonts w:eastAsia="標楷體"/>
          <w:b/>
          <w:sz w:val="28"/>
          <w:szCs w:val="28"/>
        </w:rPr>
        <w:t>106</w:t>
      </w:r>
      <w:r w:rsidRPr="00D55DC6">
        <w:rPr>
          <w:rFonts w:eastAsia="標楷體"/>
          <w:b/>
          <w:sz w:val="28"/>
          <w:szCs w:val="28"/>
        </w:rPr>
        <w:t>年完成：</w:t>
      </w:r>
    </w:p>
    <w:p w:rsidR="00C050DB" w:rsidRPr="00D55DC6" w:rsidRDefault="00C050DB" w:rsidP="0038165F">
      <w:pPr>
        <w:snapToGrid w:val="0"/>
        <w:spacing w:line="460" w:lineRule="exact"/>
        <w:ind w:left="1319" w:hanging="480"/>
        <w:jc w:val="both"/>
        <w:rPr>
          <w:rFonts w:eastAsia="標楷體"/>
          <w:sz w:val="28"/>
          <w:szCs w:val="28"/>
        </w:rPr>
      </w:pPr>
      <w:r w:rsidRPr="00D55DC6">
        <w:rPr>
          <w:rFonts w:eastAsia="標楷體"/>
          <w:sz w:val="28"/>
          <w:szCs w:val="28"/>
        </w:rPr>
        <w:t>2-1.</w:t>
      </w:r>
      <w:r w:rsidRPr="00D55DC6">
        <w:rPr>
          <w:rFonts w:eastAsia="標楷體"/>
          <w:sz w:val="28"/>
          <w:szCs w:val="28"/>
        </w:rPr>
        <w:t>國際觀光重要景點：臺</w:t>
      </w:r>
      <w:r w:rsidRPr="00D55DC6">
        <w:rPr>
          <w:rFonts w:eastAsia="標楷體"/>
          <w:sz w:val="28"/>
          <w:szCs w:val="28"/>
        </w:rPr>
        <w:t>18</w:t>
      </w:r>
      <w:r w:rsidRPr="00D55DC6">
        <w:rPr>
          <w:rFonts w:eastAsia="標楷體"/>
          <w:sz w:val="28"/>
          <w:szCs w:val="28"/>
        </w:rPr>
        <w:t>線遊憩系統（奮起湖龍美地區周邊遊憩設施、光華半天岩地區周邊遊憩設施）。</w:t>
      </w:r>
    </w:p>
    <w:p w:rsidR="00C050DB" w:rsidRPr="00D55DC6" w:rsidRDefault="00C050DB" w:rsidP="0038165F">
      <w:pPr>
        <w:snapToGrid w:val="0"/>
        <w:spacing w:line="460" w:lineRule="exact"/>
        <w:ind w:left="1319" w:hanging="480"/>
        <w:jc w:val="both"/>
        <w:rPr>
          <w:rFonts w:eastAsia="標楷體"/>
          <w:b/>
          <w:sz w:val="28"/>
          <w:szCs w:val="28"/>
        </w:rPr>
      </w:pPr>
      <w:r w:rsidRPr="00D55DC6">
        <w:rPr>
          <w:rFonts w:eastAsia="標楷體"/>
          <w:sz w:val="28"/>
          <w:szCs w:val="28"/>
        </w:rPr>
        <w:t>2-2.</w:t>
      </w:r>
      <w:r w:rsidRPr="00D55DC6">
        <w:rPr>
          <w:rFonts w:eastAsia="標楷體"/>
          <w:sz w:val="28"/>
          <w:szCs w:val="28"/>
        </w:rPr>
        <w:t>國內觀光重要景點：鄒族文化遊憩系統（山美茶山地區周邊遊憩設施）、西北廊道遊憩系統（太興文峰地區周邊遊憩設施）。</w:t>
      </w:r>
    </w:p>
    <w:p w:rsidR="00C050DB" w:rsidRPr="00D55DC6" w:rsidRDefault="00C050DB" w:rsidP="004865C1">
      <w:pPr>
        <w:numPr>
          <w:ilvl w:val="0"/>
          <w:numId w:val="223"/>
        </w:numPr>
        <w:snapToGrid w:val="0"/>
        <w:spacing w:beforeLines="50" w:before="180" w:line="460" w:lineRule="exact"/>
        <w:ind w:left="839" w:hanging="357"/>
        <w:jc w:val="both"/>
        <w:rPr>
          <w:rFonts w:eastAsia="標楷體"/>
          <w:b/>
          <w:sz w:val="28"/>
          <w:szCs w:val="28"/>
        </w:rPr>
      </w:pPr>
      <w:r w:rsidRPr="00D55DC6">
        <w:rPr>
          <w:rFonts w:eastAsia="標楷體"/>
          <w:b/>
          <w:sz w:val="28"/>
          <w:szCs w:val="28"/>
        </w:rPr>
        <w:t>107</w:t>
      </w:r>
      <w:r w:rsidRPr="00D55DC6">
        <w:rPr>
          <w:rFonts w:eastAsia="標楷體"/>
          <w:b/>
          <w:sz w:val="28"/>
          <w:szCs w:val="28"/>
        </w:rPr>
        <w:t>年完成：</w:t>
      </w:r>
    </w:p>
    <w:p w:rsidR="00C050DB" w:rsidRPr="00D55DC6" w:rsidRDefault="00C050DB" w:rsidP="0038165F">
      <w:pPr>
        <w:snapToGrid w:val="0"/>
        <w:spacing w:line="460" w:lineRule="exact"/>
        <w:ind w:left="1319" w:hanging="480"/>
        <w:jc w:val="both"/>
        <w:rPr>
          <w:rFonts w:eastAsia="標楷體"/>
          <w:sz w:val="28"/>
          <w:szCs w:val="28"/>
        </w:rPr>
      </w:pPr>
      <w:r w:rsidRPr="00D55DC6">
        <w:rPr>
          <w:rFonts w:eastAsia="標楷體"/>
          <w:sz w:val="28"/>
          <w:szCs w:val="28"/>
        </w:rPr>
        <w:t>3-1.</w:t>
      </w:r>
      <w:r w:rsidRPr="00D55DC6">
        <w:rPr>
          <w:rFonts w:eastAsia="標楷體"/>
          <w:sz w:val="28"/>
          <w:szCs w:val="28"/>
        </w:rPr>
        <w:t>國際觀光重要景點：臺</w:t>
      </w:r>
      <w:r w:rsidRPr="00D55DC6">
        <w:rPr>
          <w:rFonts w:eastAsia="標楷體"/>
          <w:sz w:val="28"/>
          <w:szCs w:val="28"/>
        </w:rPr>
        <w:t>18</w:t>
      </w:r>
      <w:r w:rsidRPr="00D55DC6">
        <w:rPr>
          <w:rFonts w:eastAsia="標楷體"/>
          <w:sz w:val="28"/>
          <w:szCs w:val="28"/>
        </w:rPr>
        <w:t>線遊憩系統（觸口地區周邊遊憩設施、石棹地區周邊遊憩設施）。</w:t>
      </w:r>
    </w:p>
    <w:p w:rsidR="00C050DB" w:rsidRPr="00D55DC6" w:rsidRDefault="00C050DB" w:rsidP="0038165F">
      <w:pPr>
        <w:snapToGrid w:val="0"/>
        <w:spacing w:line="460" w:lineRule="exact"/>
        <w:ind w:left="1319" w:hanging="480"/>
        <w:jc w:val="both"/>
        <w:rPr>
          <w:rFonts w:eastAsia="標楷體"/>
          <w:b/>
          <w:sz w:val="28"/>
          <w:szCs w:val="28"/>
        </w:rPr>
      </w:pPr>
      <w:r w:rsidRPr="00D55DC6">
        <w:rPr>
          <w:rFonts w:eastAsia="標楷體"/>
          <w:sz w:val="28"/>
          <w:szCs w:val="28"/>
        </w:rPr>
        <w:t>3-2.</w:t>
      </w:r>
      <w:r w:rsidRPr="00D55DC6">
        <w:rPr>
          <w:rFonts w:eastAsia="標楷體"/>
          <w:sz w:val="28"/>
          <w:szCs w:val="28"/>
        </w:rPr>
        <w:t>國內觀光重要景點：鄒族文化遊憩系統（達邦樂野地區周邊遊憩設施）、西北廊道遊憩系統（瑞峰仁壽地區周邊遊憩設施）。</w:t>
      </w:r>
    </w:p>
    <w:p w:rsidR="00C050DB" w:rsidRPr="00D55DC6" w:rsidRDefault="00C050DB" w:rsidP="004865C1">
      <w:pPr>
        <w:numPr>
          <w:ilvl w:val="0"/>
          <w:numId w:val="223"/>
        </w:numPr>
        <w:snapToGrid w:val="0"/>
        <w:spacing w:beforeLines="50" w:before="180" w:line="460" w:lineRule="exact"/>
        <w:ind w:left="839" w:hanging="357"/>
        <w:jc w:val="both"/>
        <w:rPr>
          <w:rFonts w:eastAsia="標楷體"/>
          <w:b/>
          <w:sz w:val="28"/>
          <w:szCs w:val="28"/>
        </w:rPr>
      </w:pPr>
      <w:r w:rsidRPr="00D55DC6">
        <w:rPr>
          <w:rFonts w:eastAsia="標楷體"/>
          <w:b/>
          <w:sz w:val="28"/>
          <w:szCs w:val="28"/>
        </w:rPr>
        <w:t>108</w:t>
      </w:r>
      <w:r w:rsidRPr="00D55DC6">
        <w:rPr>
          <w:rFonts w:eastAsia="標楷體"/>
          <w:b/>
          <w:sz w:val="28"/>
          <w:szCs w:val="28"/>
        </w:rPr>
        <w:t>年完成：</w:t>
      </w:r>
    </w:p>
    <w:p w:rsidR="00C050DB" w:rsidRPr="00D55DC6" w:rsidRDefault="00C050DB" w:rsidP="0038165F">
      <w:pPr>
        <w:snapToGrid w:val="0"/>
        <w:spacing w:line="460" w:lineRule="exact"/>
        <w:ind w:left="1319" w:hanging="480"/>
        <w:jc w:val="both"/>
        <w:rPr>
          <w:rFonts w:eastAsia="標楷體"/>
          <w:sz w:val="28"/>
          <w:szCs w:val="28"/>
        </w:rPr>
      </w:pPr>
      <w:r w:rsidRPr="00D55DC6">
        <w:rPr>
          <w:rFonts w:eastAsia="標楷體"/>
          <w:sz w:val="28"/>
          <w:szCs w:val="28"/>
        </w:rPr>
        <w:t>4-1.</w:t>
      </w:r>
      <w:r w:rsidRPr="00D55DC6">
        <w:rPr>
          <w:rFonts w:eastAsia="標楷體"/>
          <w:sz w:val="28"/>
          <w:szCs w:val="28"/>
        </w:rPr>
        <w:t>國際觀光重要景點：臺</w:t>
      </w:r>
      <w:r w:rsidRPr="00D55DC6">
        <w:rPr>
          <w:rFonts w:eastAsia="標楷體"/>
          <w:sz w:val="28"/>
          <w:szCs w:val="28"/>
        </w:rPr>
        <w:t>18</w:t>
      </w:r>
      <w:r w:rsidRPr="00D55DC6">
        <w:rPr>
          <w:rFonts w:eastAsia="標楷體"/>
          <w:sz w:val="28"/>
          <w:szCs w:val="28"/>
        </w:rPr>
        <w:t>線遊憩系統（觸口光華地區周邊遊憩設施、石棹頂湖地區周邊遊憩設施）。</w:t>
      </w:r>
    </w:p>
    <w:p w:rsidR="00C050DB" w:rsidRPr="00D55DC6" w:rsidRDefault="00C050DB" w:rsidP="0038165F">
      <w:pPr>
        <w:snapToGrid w:val="0"/>
        <w:spacing w:line="460" w:lineRule="exact"/>
        <w:ind w:left="1319" w:hanging="480"/>
        <w:jc w:val="both"/>
        <w:rPr>
          <w:rFonts w:eastAsia="標楷體"/>
          <w:b/>
          <w:sz w:val="28"/>
          <w:szCs w:val="28"/>
        </w:rPr>
      </w:pPr>
      <w:r w:rsidRPr="00D55DC6">
        <w:rPr>
          <w:rFonts w:eastAsia="標楷體"/>
          <w:sz w:val="28"/>
          <w:szCs w:val="28"/>
        </w:rPr>
        <w:t>4-2.</w:t>
      </w:r>
      <w:r w:rsidRPr="00D55DC6">
        <w:rPr>
          <w:rFonts w:eastAsia="標楷體"/>
          <w:sz w:val="28"/>
          <w:szCs w:val="28"/>
        </w:rPr>
        <w:t>國內觀光重要景點：鄒族文化遊憩系統（山美新美地區周邊遊憩設施）、西北廊道遊憩系統（豐山來吉地區周邊遊憩設施）。</w:t>
      </w:r>
    </w:p>
    <w:p w:rsidR="00C050DB" w:rsidRPr="00D55DC6" w:rsidRDefault="00C050DB" w:rsidP="0038165F">
      <w:pPr>
        <w:snapToGrid w:val="0"/>
        <w:spacing w:line="460" w:lineRule="exact"/>
        <w:ind w:left="864"/>
        <w:jc w:val="both"/>
        <w:rPr>
          <w:rFonts w:eastAsia="標楷體"/>
          <w:sz w:val="28"/>
          <w:szCs w:val="28"/>
        </w:rPr>
      </w:pPr>
    </w:p>
    <w:p w:rsidR="00D03EE9" w:rsidRPr="00D55DC6" w:rsidRDefault="00D03EE9" w:rsidP="0038165F">
      <w:pPr>
        <w:snapToGrid w:val="0"/>
        <w:spacing w:line="460" w:lineRule="exact"/>
        <w:ind w:left="864"/>
        <w:jc w:val="both"/>
        <w:rPr>
          <w:rFonts w:eastAsia="標楷體"/>
          <w:sz w:val="28"/>
          <w:szCs w:val="28"/>
        </w:rPr>
      </w:pPr>
    </w:p>
    <w:p w:rsidR="00D03EE9" w:rsidRPr="00D55DC6" w:rsidRDefault="00D03EE9" w:rsidP="0038165F">
      <w:pPr>
        <w:snapToGrid w:val="0"/>
        <w:spacing w:line="460" w:lineRule="exact"/>
        <w:ind w:left="864"/>
        <w:jc w:val="both"/>
        <w:rPr>
          <w:rFonts w:eastAsia="標楷體"/>
          <w:sz w:val="28"/>
          <w:szCs w:val="28"/>
        </w:rPr>
      </w:pPr>
    </w:p>
    <w:p w:rsidR="00C050DB" w:rsidRPr="00D55DC6" w:rsidRDefault="00C050DB" w:rsidP="0038165F">
      <w:pPr>
        <w:snapToGrid w:val="0"/>
        <w:spacing w:line="460" w:lineRule="exact"/>
        <w:ind w:left="709" w:hanging="709"/>
        <w:jc w:val="both"/>
        <w:rPr>
          <w:rFonts w:eastAsia="標楷體"/>
          <w:b/>
          <w:sz w:val="28"/>
          <w:szCs w:val="28"/>
        </w:rPr>
      </w:pPr>
      <w:r w:rsidRPr="00D55DC6">
        <w:rPr>
          <w:rFonts w:eastAsia="標楷體"/>
          <w:b/>
          <w:sz w:val="28"/>
          <w:szCs w:val="28"/>
        </w:rPr>
        <w:lastRenderedPageBreak/>
        <w:t>五、期程與資源需求</w:t>
      </w:r>
    </w:p>
    <w:p w:rsidR="00C050DB" w:rsidRPr="00D55DC6" w:rsidRDefault="00C050DB" w:rsidP="004865C1">
      <w:pPr>
        <w:numPr>
          <w:ilvl w:val="0"/>
          <w:numId w:val="89"/>
        </w:numPr>
        <w:snapToGrid w:val="0"/>
        <w:spacing w:beforeLines="50" w:before="180" w:line="460" w:lineRule="exact"/>
        <w:jc w:val="both"/>
        <w:rPr>
          <w:rFonts w:eastAsia="標楷體"/>
          <w:b/>
          <w:sz w:val="28"/>
          <w:szCs w:val="28"/>
        </w:rPr>
      </w:pPr>
      <w:r w:rsidRPr="00D55DC6">
        <w:rPr>
          <w:rFonts w:eastAsia="標楷體"/>
          <w:b/>
          <w:sz w:val="28"/>
          <w:szCs w:val="28"/>
        </w:rPr>
        <w:t>計畫期程</w:t>
      </w:r>
    </w:p>
    <w:p w:rsidR="00C050DB" w:rsidRPr="00D55DC6" w:rsidRDefault="00C050DB" w:rsidP="0038165F">
      <w:pPr>
        <w:snapToGrid w:val="0"/>
        <w:spacing w:line="460" w:lineRule="exact"/>
        <w:ind w:left="864"/>
        <w:jc w:val="both"/>
        <w:rPr>
          <w:rFonts w:eastAsia="標楷體"/>
          <w:sz w:val="28"/>
          <w:szCs w:val="28"/>
        </w:rPr>
      </w:pPr>
      <w:r w:rsidRPr="00D55DC6">
        <w:rPr>
          <w:rFonts w:eastAsia="標楷體"/>
          <w:sz w:val="28"/>
          <w:szCs w:val="28"/>
        </w:rPr>
        <w:t>自</w:t>
      </w:r>
      <w:r w:rsidRPr="00D55DC6">
        <w:rPr>
          <w:rFonts w:eastAsia="標楷體"/>
          <w:sz w:val="28"/>
          <w:szCs w:val="28"/>
        </w:rPr>
        <w:t>105</w:t>
      </w:r>
      <w:r w:rsidRPr="00D55DC6">
        <w:rPr>
          <w:rFonts w:eastAsia="標楷體"/>
          <w:sz w:val="28"/>
          <w:szCs w:val="28"/>
        </w:rPr>
        <w:t>年至</w:t>
      </w:r>
      <w:r w:rsidRPr="00D55DC6">
        <w:rPr>
          <w:rFonts w:eastAsia="標楷體"/>
          <w:sz w:val="28"/>
          <w:szCs w:val="28"/>
        </w:rPr>
        <w:t>108</w:t>
      </w:r>
      <w:r w:rsidRPr="00D55DC6">
        <w:rPr>
          <w:rFonts w:eastAsia="標楷體"/>
          <w:sz w:val="28"/>
          <w:szCs w:val="28"/>
        </w:rPr>
        <w:t>年。</w:t>
      </w:r>
    </w:p>
    <w:p w:rsidR="00C050DB" w:rsidRPr="00D55DC6" w:rsidRDefault="00C050DB" w:rsidP="004865C1">
      <w:pPr>
        <w:numPr>
          <w:ilvl w:val="0"/>
          <w:numId w:val="89"/>
        </w:numPr>
        <w:snapToGrid w:val="0"/>
        <w:spacing w:beforeLines="50" w:before="180" w:line="460" w:lineRule="exact"/>
        <w:ind w:left="862" w:hanging="862"/>
        <w:jc w:val="both"/>
        <w:rPr>
          <w:rFonts w:eastAsia="標楷體"/>
          <w:b/>
          <w:sz w:val="28"/>
          <w:szCs w:val="28"/>
        </w:rPr>
      </w:pPr>
      <w:r w:rsidRPr="00D55DC6">
        <w:rPr>
          <w:rFonts w:eastAsia="標楷體"/>
          <w:b/>
          <w:sz w:val="28"/>
          <w:szCs w:val="28"/>
        </w:rPr>
        <w:t>經費需求</w:t>
      </w:r>
      <w:r w:rsidRPr="00D55DC6">
        <w:rPr>
          <w:rFonts w:eastAsia="標楷體"/>
          <w:b/>
          <w:sz w:val="28"/>
          <w:szCs w:val="28"/>
        </w:rPr>
        <w:t>(</w:t>
      </w:r>
      <w:r w:rsidRPr="00D55DC6">
        <w:rPr>
          <w:rFonts w:eastAsia="標楷體"/>
          <w:b/>
          <w:sz w:val="28"/>
          <w:szCs w:val="28"/>
        </w:rPr>
        <w:t>含分年經費</w:t>
      </w:r>
      <w:r w:rsidRPr="00D55DC6">
        <w:rPr>
          <w:rFonts w:eastAsia="標楷體"/>
          <w:b/>
          <w:sz w:val="28"/>
          <w:szCs w:val="28"/>
        </w:rPr>
        <w:t>)</w:t>
      </w:r>
      <w:r w:rsidRPr="00D55DC6">
        <w:rPr>
          <w:rFonts w:eastAsia="標楷體"/>
          <w:b/>
          <w:sz w:val="28"/>
          <w:szCs w:val="28"/>
        </w:rPr>
        <w:t>及與中程歲出概算額度配合情形</w:t>
      </w:r>
    </w:p>
    <w:p w:rsidR="00C050DB" w:rsidRPr="00D55DC6" w:rsidRDefault="00486FAE" w:rsidP="00486FAE">
      <w:pPr>
        <w:pStyle w:val="af2"/>
        <w:spacing w:line="460" w:lineRule="exact"/>
        <w:ind w:leftChars="0" w:left="864"/>
        <w:jc w:val="both"/>
        <w:rPr>
          <w:rFonts w:eastAsia="標楷體"/>
          <w:sz w:val="28"/>
          <w:szCs w:val="28"/>
        </w:rPr>
      </w:pPr>
      <w:r w:rsidRPr="00D55DC6">
        <w:rPr>
          <w:rFonts w:eastAsia="標楷體"/>
          <w:sz w:val="28"/>
          <w:szCs w:val="28"/>
        </w:rPr>
        <w:t>本計畫</w:t>
      </w:r>
      <w:r w:rsidR="00D03EE9" w:rsidRPr="00D55DC6">
        <w:rPr>
          <w:rFonts w:eastAsia="標楷體"/>
          <w:sz w:val="28"/>
          <w:szCs w:val="28"/>
        </w:rPr>
        <w:t>總經費為</w:t>
      </w:r>
      <w:r w:rsidR="00D03EE9" w:rsidRPr="00D55DC6">
        <w:rPr>
          <w:rFonts w:eastAsia="標楷體"/>
          <w:sz w:val="28"/>
          <w:szCs w:val="28"/>
        </w:rPr>
        <w:t>12.71</w:t>
      </w:r>
      <w:r w:rsidR="00D03EE9" w:rsidRPr="00D55DC6">
        <w:rPr>
          <w:rFonts w:eastAsia="標楷體"/>
          <w:sz w:val="28"/>
          <w:szCs w:val="28"/>
        </w:rPr>
        <w:t>億元，</w:t>
      </w:r>
      <w:r w:rsidRPr="00D55DC6">
        <w:rPr>
          <w:rFonts w:eastAsia="標楷體"/>
          <w:sz w:val="28"/>
          <w:szCs w:val="28"/>
        </w:rPr>
        <w:t>經費需求（含分年經費）係與中程歲出概算額度相符，分年投資重點及經費需求如下：</w:t>
      </w:r>
      <w:r w:rsidRPr="00D55DC6">
        <w:rPr>
          <w:rFonts w:eastAsia="標楷體"/>
          <w:sz w:val="28"/>
          <w:szCs w:val="28"/>
        </w:rPr>
        <w:t xml:space="preserve"> </w:t>
      </w:r>
    </w:p>
    <w:p w:rsidR="00D03EE9" w:rsidRPr="00D55DC6" w:rsidRDefault="00D03EE9" w:rsidP="00486FAE">
      <w:pPr>
        <w:pStyle w:val="af2"/>
        <w:spacing w:line="460" w:lineRule="exact"/>
        <w:ind w:leftChars="0" w:left="864"/>
        <w:jc w:val="both"/>
        <w:rPr>
          <w:rFonts w:eastAsia="標楷體"/>
          <w:sz w:val="28"/>
          <w:szCs w:val="28"/>
        </w:rPr>
      </w:pPr>
    </w:p>
    <w:p w:rsidR="00C050DB" w:rsidRPr="00D55DC6" w:rsidRDefault="00C050DB" w:rsidP="0038165F">
      <w:pPr>
        <w:snapToGrid w:val="0"/>
        <w:spacing w:line="460" w:lineRule="exact"/>
        <w:ind w:leftChars="354" w:left="850"/>
        <w:jc w:val="right"/>
        <w:rPr>
          <w:rFonts w:eastAsia="標楷體"/>
        </w:rPr>
      </w:pPr>
      <w:r w:rsidRPr="00D55DC6">
        <w:rPr>
          <w:rFonts w:eastAsia="標楷體"/>
          <w:sz w:val="28"/>
          <w:szCs w:val="28"/>
        </w:rPr>
        <w:t xml:space="preserve">                            </w:t>
      </w:r>
      <w:r w:rsidRPr="00D55DC6">
        <w:rPr>
          <w:rFonts w:eastAsia="標楷體"/>
        </w:rPr>
        <w:t>(</w:t>
      </w:r>
      <w:r w:rsidRPr="00D55DC6">
        <w:rPr>
          <w:rFonts w:eastAsia="標楷體"/>
        </w:rPr>
        <w:t>單位：億元</w:t>
      </w:r>
      <w:r w:rsidRPr="00D55DC6">
        <w:rPr>
          <w:rFonts w:eastAsia="標楷體"/>
        </w:rPr>
        <w:t>)</w:t>
      </w:r>
    </w:p>
    <w:tbl>
      <w:tblPr>
        <w:tblW w:w="10207" w:type="dxa"/>
        <w:tblInd w:w="-398" w:type="dxa"/>
        <w:tblCellMar>
          <w:left w:w="28" w:type="dxa"/>
          <w:right w:w="28" w:type="dxa"/>
        </w:tblCellMar>
        <w:tblLook w:val="00A0" w:firstRow="1" w:lastRow="0" w:firstColumn="1" w:lastColumn="0" w:noHBand="0" w:noVBand="0"/>
      </w:tblPr>
      <w:tblGrid>
        <w:gridCol w:w="400"/>
        <w:gridCol w:w="891"/>
        <w:gridCol w:w="1102"/>
        <w:gridCol w:w="2344"/>
        <w:gridCol w:w="709"/>
        <w:gridCol w:w="709"/>
        <w:gridCol w:w="709"/>
        <w:gridCol w:w="708"/>
        <w:gridCol w:w="851"/>
        <w:gridCol w:w="1784"/>
      </w:tblGrid>
      <w:tr w:rsidR="001D0350" w:rsidRPr="00D55DC6" w:rsidTr="00C050DB">
        <w:trPr>
          <w:trHeight w:val="345"/>
          <w:tblHeader/>
        </w:trPr>
        <w:tc>
          <w:tcPr>
            <w:tcW w:w="400"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C050DB" w:rsidRPr="00D55DC6" w:rsidRDefault="00C050DB" w:rsidP="0038165F">
            <w:pPr>
              <w:widowControl/>
              <w:spacing w:line="0" w:lineRule="atLeast"/>
              <w:jc w:val="center"/>
              <w:rPr>
                <w:rFonts w:eastAsia="標楷體"/>
                <w:kern w:val="0"/>
              </w:rPr>
            </w:pPr>
            <w:r w:rsidRPr="00D55DC6">
              <w:rPr>
                <w:rFonts w:eastAsia="標楷體"/>
                <w:kern w:val="0"/>
              </w:rPr>
              <w:t>科目別</w:t>
            </w:r>
          </w:p>
        </w:tc>
        <w:tc>
          <w:tcPr>
            <w:tcW w:w="891" w:type="dxa"/>
            <w:tcBorders>
              <w:top w:val="single" w:sz="8" w:space="0" w:color="auto"/>
              <w:left w:val="nil"/>
              <w:bottom w:val="single" w:sz="8" w:space="0" w:color="auto"/>
              <w:right w:val="single" w:sz="8" w:space="0" w:color="auto"/>
            </w:tcBorders>
            <w:shd w:val="clear" w:color="000000" w:fill="FFFF99"/>
            <w:vAlign w:val="center"/>
          </w:tcPr>
          <w:p w:rsidR="00C050DB" w:rsidRPr="00D55DC6" w:rsidRDefault="00C050DB" w:rsidP="0038165F">
            <w:pPr>
              <w:widowControl/>
              <w:spacing w:line="0" w:lineRule="atLeast"/>
              <w:jc w:val="center"/>
              <w:rPr>
                <w:rFonts w:eastAsia="標楷體"/>
                <w:kern w:val="0"/>
              </w:rPr>
            </w:pPr>
            <w:r w:rsidRPr="00D55DC6">
              <w:rPr>
                <w:rFonts w:eastAsia="標楷體"/>
                <w:kern w:val="0"/>
                <w:szCs w:val="22"/>
              </w:rPr>
              <w:t>1</w:t>
            </w:r>
            <w:r w:rsidRPr="00D55DC6">
              <w:rPr>
                <w:rFonts w:eastAsia="標楷體"/>
                <w:kern w:val="0"/>
                <w:szCs w:val="22"/>
              </w:rPr>
              <w:t>級</w:t>
            </w:r>
          </w:p>
        </w:tc>
        <w:tc>
          <w:tcPr>
            <w:tcW w:w="1102" w:type="dxa"/>
            <w:tcBorders>
              <w:top w:val="single" w:sz="8" w:space="0" w:color="auto"/>
              <w:left w:val="nil"/>
              <w:bottom w:val="single" w:sz="8" w:space="0" w:color="auto"/>
              <w:right w:val="single" w:sz="8" w:space="0" w:color="auto"/>
            </w:tcBorders>
            <w:shd w:val="clear" w:color="000000" w:fill="FFFF99"/>
            <w:vAlign w:val="center"/>
          </w:tcPr>
          <w:p w:rsidR="00C050DB" w:rsidRPr="00D55DC6" w:rsidRDefault="00C050DB" w:rsidP="0038165F">
            <w:pPr>
              <w:widowControl/>
              <w:spacing w:line="0" w:lineRule="atLeast"/>
              <w:jc w:val="center"/>
              <w:rPr>
                <w:rFonts w:eastAsia="標楷體"/>
                <w:kern w:val="0"/>
              </w:rPr>
            </w:pPr>
            <w:r w:rsidRPr="00D55DC6">
              <w:rPr>
                <w:rFonts w:eastAsia="標楷體"/>
                <w:kern w:val="0"/>
                <w:szCs w:val="22"/>
              </w:rPr>
              <w:t>2</w:t>
            </w:r>
            <w:r w:rsidRPr="00D55DC6">
              <w:rPr>
                <w:rFonts w:eastAsia="標楷體"/>
                <w:kern w:val="0"/>
                <w:szCs w:val="22"/>
              </w:rPr>
              <w:t>級</w:t>
            </w:r>
          </w:p>
        </w:tc>
        <w:tc>
          <w:tcPr>
            <w:tcW w:w="2344"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C050DB" w:rsidRPr="00D55DC6" w:rsidRDefault="00C050DB" w:rsidP="0038165F">
            <w:pPr>
              <w:widowControl/>
              <w:spacing w:line="0" w:lineRule="atLeast"/>
              <w:jc w:val="center"/>
              <w:rPr>
                <w:rFonts w:eastAsia="標楷體"/>
                <w:kern w:val="0"/>
              </w:rPr>
            </w:pPr>
            <w:r w:rsidRPr="00D55DC6">
              <w:rPr>
                <w:rFonts w:eastAsia="標楷體"/>
                <w:kern w:val="0"/>
                <w:szCs w:val="22"/>
              </w:rPr>
              <w:t>投資重點</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C050DB" w:rsidRPr="00D55DC6" w:rsidRDefault="00C050DB" w:rsidP="0038165F">
            <w:pPr>
              <w:widowControl/>
              <w:spacing w:line="0" w:lineRule="atLeast"/>
              <w:jc w:val="center"/>
              <w:rPr>
                <w:rFonts w:eastAsia="標楷體"/>
                <w:kern w:val="0"/>
              </w:rPr>
            </w:pPr>
            <w:r w:rsidRPr="00D55DC6">
              <w:rPr>
                <w:rFonts w:eastAsia="標楷體"/>
                <w:kern w:val="0"/>
                <w:szCs w:val="22"/>
              </w:rPr>
              <w:t>105</w:t>
            </w:r>
            <w:r w:rsidRPr="00D55DC6">
              <w:rPr>
                <w:rFonts w:eastAsia="標楷體"/>
                <w:kern w:val="0"/>
                <w:szCs w:val="22"/>
              </w:rPr>
              <w:t>年</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C050DB" w:rsidRPr="00D55DC6" w:rsidRDefault="00C050DB" w:rsidP="0038165F">
            <w:pPr>
              <w:widowControl/>
              <w:spacing w:line="0" w:lineRule="atLeast"/>
              <w:jc w:val="center"/>
              <w:rPr>
                <w:rFonts w:eastAsia="標楷體"/>
                <w:kern w:val="0"/>
              </w:rPr>
            </w:pPr>
            <w:r w:rsidRPr="00D55DC6">
              <w:rPr>
                <w:rFonts w:eastAsia="標楷體"/>
                <w:kern w:val="0"/>
                <w:szCs w:val="22"/>
              </w:rPr>
              <w:t>106</w:t>
            </w:r>
            <w:r w:rsidRPr="00D55DC6">
              <w:rPr>
                <w:rFonts w:eastAsia="標楷體"/>
                <w:kern w:val="0"/>
                <w:szCs w:val="22"/>
              </w:rPr>
              <w:t>年</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C050DB" w:rsidRPr="00D55DC6" w:rsidRDefault="00C050DB" w:rsidP="0038165F">
            <w:pPr>
              <w:widowControl/>
              <w:spacing w:line="0" w:lineRule="atLeast"/>
              <w:jc w:val="center"/>
              <w:rPr>
                <w:rFonts w:eastAsia="標楷體"/>
                <w:kern w:val="0"/>
              </w:rPr>
            </w:pPr>
            <w:r w:rsidRPr="00D55DC6">
              <w:rPr>
                <w:rFonts w:eastAsia="標楷體"/>
                <w:kern w:val="0"/>
                <w:szCs w:val="22"/>
              </w:rPr>
              <w:t>107</w:t>
            </w:r>
            <w:r w:rsidRPr="00D55DC6">
              <w:rPr>
                <w:rFonts w:eastAsia="標楷體"/>
                <w:kern w:val="0"/>
                <w:szCs w:val="22"/>
              </w:rPr>
              <w:t>年</w:t>
            </w:r>
          </w:p>
        </w:tc>
        <w:tc>
          <w:tcPr>
            <w:tcW w:w="708"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C050DB" w:rsidRPr="00D55DC6" w:rsidRDefault="00C050DB" w:rsidP="0038165F">
            <w:pPr>
              <w:widowControl/>
              <w:spacing w:line="0" w:lineRule="atLeast"/>
              <w:jc w:val="center"/>
              <w:rPr>
                <w:rFonts w:eastAsia="標楷體"/>
                <w:kern w:val="0"/>
              </w:rPr>
            </w:pPr>
            <w:r w:rsidRPr="00D55DC6">
              <w:rPr>
                <w:rFonts w:eastAsia="標楷體"/>
                <w:kern w:val="0"/>
                <w:szCs w:val="22"/>
              </w:rPr>
              <w:t>108</w:t>
            </w:r>
            <w:r w:rsidRPr="00D55DC6">
              <w:rPr>
                <w:rFonts w:eastAsia="標楷體"/>
                <w:kern w:val="0"/>
                <w:szCs w:val="22"/>
              </w:rPr>
              <w:t>年</w:t>
            </w:r>
          </w:p>
        </w:tc>
        <w:tc>
          <w:tcPr>
            <w:tcW w:w="851"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C050DB" w:rsidRPr="00D55DC6" w:rsidRDefault="00C050DB" w:rsidP="0038165F">
            <w:pPr>
              <w:widowControl/>
              <w:spacing w:line="0" w:lineRule="atLeast"/>
              <w:jc w:val="center"/>
              <w:rPr>
                <w:rFonts w:eastAsia="標楷體"/>
                <w:kern w:val="0"/>
                <w:szCs w:val="22"/>
              </w:rPr>
            </w:pPr>
            <w:r w:rsidRPr="00D55DC6">
              <w:rPr>
                <w:rFonts w:eastAsia="標楷體"/>
                <w:kern w:val="0"/>
                <w:szCs w:val="22"/>
              </w:rPr>
              <w:t>合計</w:t>
            </w:r>
          </w:p>
        </w:tc>
        <w:tc>
          <w:tcPr>
            <w:tcW w:w="1784"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C050DB" w:rsidRPr="00D55DC6" w:rsidRDefault="00C050DB" w:rsidP="0038165F">
            <w:pPr>
              <w:widowControl/>
              <w:spacing w:line="0" w:lineRule="atLeast"/>
              <w:jc w:val="center"/>
              <w:rPr>
                <w:rFonts w:eastAsia="標楷體"/>
                <w:kern w:val="0"/>
              </w:rPr>
            </w:pPr>
            <w:r w:rsidRPr="00D55DC6">
              <w:rPr>
                <w:rFonts w:eastAsia="標楷體"/>
                <w:kern w:val="0"/>
                <w:szCs w:val="22"/>
              </w:rPr>
              <w:t>工作內容</w:t>
            </w:r>
          </w:p>
        </w:tc>
      </w:tr>
      <w:tr w:rsidR="001D0350" w:rsidRPr="00D55DC6" w:rsidTr="00C050DB">
        <w:trPr>
          <w:trHeight w:val="227"/>
          <w:tblHeader/>
        </w:trPr>
        <w:tc>
          <w:tcPr>
            <w:tcW w:w="400" w:type="dxa"/>
            <w:vMerge/>
            <w:tcBorders>
              <w:top w:val="single" w:sz="8" w:space="0" w:color="auto"/>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891" w:type="dxa"/>
            <w:tcBorders>
              <w:top w:val="nil"/>
              <w:left w:val="nil"/>
              <w:bottom w:val="single" w:sz="8" w:space="0" w:color="auto"/>
              <w:right w:val="single" w:sz="8" w:space="0" w:color="auto"/>
            </w:tcBorders>
            <w:shd w:val="clear" w:color="000000" w:fill="FFFF99"/>
            <w:vAlign w:val="center"/>
          </w:tcPr>
          <w:p w:rsidR="00C050DB" w:rsidRPr="00D55DC6" w:rsidRDefault="00C050DB" w:rsidP="0038165F">
            <w:pPr>
              <w:widowControl/>
              <w:spacing w:line="0" w:lineRule="atLeast"/>
              <w:jc w:val="center"/>
              <w:rPr>
                <w:rFonts w:eastAsia="標楷體"/>
                <w:kern w:val="0"/>
              </w:rPr>
            </w:pPr>
            <w:r w:rsidRPr="00D55DC6">
              <w:rPr>
                <w:rFonts w:eastAsia="標楷體"/>
                <w:kern w:val="0"/>
                <w:szCs w:val="22"/>
              </w:rPr>
              <w:t>用途別</w:t>
            </w:r>
          </w:p>
        </w:tc>
        <w:tc>
          <w:tcPr>
            <w:tcW w:w="1102" w:type="dxa"/>
            <w:tcBorders>
              <w:top w:val="nil"/>
              <w:left w:val="nil"/>
              <w:bottom w:val="single" w:sz="8" w:space="0" w:color="auto"/>
              <w:right w:val="single" w:sz="8" w:space="0" w:color="auto"/>
            </w:tcBorders>
            <w:shd w:val="clear" w:color="000000" w:fill="FFFF99"/>
            <w:vAlign w:val="center"/>
          </w:tcPr>
          <w:p w:rsidR="00C050DB" w:rsidRPr="00D55DC6" w:rsidRDefault="00C050DB" w:rsidP="0038165F">
            <w:pPr>
              <w:widowControl/>
              <w:spacing w:line="0" w:lineRule="atLeast"/>
              <w:jc w:val="center"/>
              <w:rPr>
                <w:rFonts w:eastAsia="標楷體"/>
                <w:kern w:val="0"/>
              </w:rPr>
            </w:pPr>
            <w:r w:rsidRPr="00D55DC6">
              <w:rPr>
                <w:rFonts w:eastAsia="標楷體"/>
                <w:kern w:val="0"/>
                <w:szCs w:val="22"/>
              </w:rPr>
              <w:t>用途別</w:t>
            </w:r>
          </w:p>
        </w:tc>
        <w:tc>
          <w:tcPr>
            <w:tcW w:w="2344" w:type="dxa"/>
            <w:vMerge/>
            <w:tcBorders>
              <w:top w:val="single" w:sz="8" w:space="0" w:color="auto"/>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708" w:type="dxa"/>
            <w:vMerge/>
            <w:tcBorders>
              <w:top w:val="single" w:sz="8" w:space="0" w:color="auto"/>
              <w:left w:val="single" w:sz="8" w:space="0" w:color="auto"/>
              <w:bottom w:val="single" w:sz="8" w:space="0" w:color="000000"/>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851" w:type="dxa"/>
            <w:vMerge/>
            <w:tcBorders>
              <w:top w:val="single" w:sz="8" w:space="0" w:color="auto"/>
              <w:left w:val="single" w:sz="8" w:space="0" w:color="auto"/>
              <w:bottom w:val="single" w:sz="8" w:space="0" w:color="000000"/>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1784" w:type="dxa"/>
            <w:vMerge/>
            <w:tcBorders>
              <w:top w:val="single" w:sz="8" w:space="0" w:color="auto"/>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r>
      <w:tr w:rsidR="001D0350" w:rsidRPr="00D55DC6" w:rsidTr="00C050DB">
        <w:trPr>
          <w:trHeight w:val="619"/>
        </w:trPr>
        <w:tc>
          <w:tcPr>
            <w:tcW w:w="400" w:type="dxa"/>
            <w:vMerge w:val="restart"/>
            <w:tcBorders>
              <w:top w:val="nil"/>
              <w:left w:val="single" w:sz="8" w:space="0" w:color="auto"/>
              <w:bottom w:val="single" w:sz="8" w:space="0" w:color="auto"/>
              <w:right w:val="single" w:sz="8" w:space="0" w:color="auto"/>
            </w:tcBorders>
            <w:shd w:val="clear" w:color="000000" w:fill="CCFFFF"/>
          </w:tcPr>
          <w:p w:rsidR="00C050DB" w:rsidRPr="00D55DC6" w:rsidRDefault="00C050DB" w:rsidP="0038165F">
            <w:pPr>
              <w:widowControl/>
              <w:spacing w:line="0" w:lineRule="atLeast"/>
              <w:jc w:val="center"/>
              <w:rPr>
                <w:rFonts w:eastAsia="標楷體"/>
                <w:kern w:val="0"/>
              </w:rPr>
            </w:pPr>
            <w:r w:rsidRPr="00D55DC6">
              <w:rPr>
                <w:rFonts w:eastAsia="標楷體"/>
                <w:kern w:val="0"/>
                <w:szCs w:val="22"/>
              </w:rPr>
              <w:t>經常門</w:t>
            </w:r>
          </w:p>
        </w:tc>
        <w:tc>
          <w:tcPr>
            <w:tcW w:w="891" w:type="dxa"/>
            <w:vMerge w:val="restart"/>
            <w:tcBorders>
              <w:top w:val="nil"/>
              <w:left w:val="single" w:sz="8" w:space="0" w:color="auto"/>
              <w:bottom w:val="single" w:sz="8" w:space="0" w:color="auto"/>
              <w:right w:val="single" w:sz="8" w:space="0" w:color="auto"/>
            </w:tcBorders>
            <w:shd w:val="clear" w:color="000000" w:fill="CCFFFF"/>
          </w:tcPr>
          <w:p w:rsidR="00C050DB" w:rsidRPr="00D55DC6" w:rsidRDefault="00C050DB" w:rsidP="0038165F">
            <w:pPr>
              <w:widowControl/>
              <w:spacing w:line="0" w:lineRule="atLeast"/>
              <w:jc w:val="center"/>
              <w:rPr>
                <w:rFonts w:eastAsia="標楷體"/>
                <w:kern w:val="0"/>
              </w:rPr>
            </w:pPr>
            <w:r w:rsidRPr="00D55DC6">
              <w:rPr>
                <w:rFonts w:eastAsia="標楷體"/>
                <w:kern w:val="0"/>
                <w:szCs w:val="22"/>
              </w:rPr>
              <w:t>0200</w:t>
            </w:r>
            <w:r w:rsidRPr="00D55DC6">
              <w:rPr>
                <w:rFonts w:eastAsia="標楷體"/>
                <w:kern w:val="0"/>
                <w:szCs w:val="22"/>
              </w:rPr>
              <w:t>業務費</w:t>
            </w:r>
          </w:p>
        </w:tc>
        <w:tc>
          <w:tcPr>
            <w:tcW w:w="1102" w:type="dxa"/>
            <w:vMerge w:val="restart"/>
            <w:tcBorders>
              <w:top w:val="nil"/>
              <w:left w:val="single" w:sz="8" w:space="0" w:color="auto"/>
              <w:bottom w:val="single" w:sz="8" w:space="0" w:color="auto"/>
              <w:right w:val="single" w:sz="8" w:space="0" w:color="auto"/>
            </w:tcBorders>
            <w:shd w:val="clear" w:color="000000" w:fill="CCFFFF"/>
          </w:tcPr>
          <w:p w:rsidR="00C050DB" w:rsidRPr="00D55DC6" w:rsidRDefault="00C050DB" w:rsidP="0038165F">
            <w:pPr>
              <w:widowControl/>
              <w:spacing w:line="0" w:lineRule="atLeast"/>
              <w:rPr>
                <w:rFonts w:eastAsia="標楷體"/>
                <w:kern w:val="0"/>
              </w:rPr>
            </w:pPr>
            <w:r w:rsidRPr="00D55DC6">
              <w:rPr>
                <w:rFonts w:eastAsia="標楷體"/>
                <w:kern w:val="0"/>
                <w:szCs w:val="22"/>
              </w:rPr>
              <w:t>0284</w:t>
            </w:r>
            <w:r w:rsidRPr="00D55DC6">
              <w:rPr>
                <w:rFonts w:eastAsia="標楷體"/>
                <w:kern w:val="0"/>
                <w:szCs w:val="22"/>
              </w:rPr>
              <w:t>設施及機械設備養護費</w:t>
            </w:r>
          </w:p>
        </w:tc>
        <w:tc>
          <w:tcPr>
            <w:tcW w:w="2344"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ind w:left="332" w:hangingChars="138" w:hanging="332"/>
              <w:rPr>
                <w:rFonts w:eastAsia="標楷體"/>
                <w:b/>
                <w:bCs/>
                <w:kern w:val="0"/>
              </w:rPr>
            </w:pPr>
            <w:r w:rsidRPr="00D55DC6">
              <w:rPr>
                <w:rFonts w:eastAsia="標楷體"/>
                <w:b/>
                <w:bCs/>
                <w:kern w:val="0"/>
                <w:szCs w:val="22"/>
              </w:rPr>
              <w:t>1.</w:t>
            </w:r>
            <w:r w:rsidRPr="00D55DC6">
              <w:rPr>
                <w:rFonts w:eastAsia="標楷體"/>
                <w:b/>
                <w:bCs/>
                <w:kern w:val="0"/>
                <w:szCs w:val="22"/>
              </w:rPr>
              <w:t>綠美化養護及設施零星修護</w:t>
            </w:r>
          </w:p>
        </w:tc>
        <w:tc>
          <w:tcPr>
            <w:tcW w:w="709"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szCs w:val="22"/>
              </w:rPr>
              <w:t xml:space="preserve">0.25 </w:t>
            </w:r>
          </w:p>
        </w:tc>
        <w:tc>
          <w:tcPr>
            <w:tcW w:w="709"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szCs w:val="22"/>
              </w:rPr>
              <w:t xml:space="preserve"> 0.25 </w:t>
            </w:r>
          </w:p>
        </w:tc>
        <w:tc>
          <w:tcPr>
            <w:tcW w:w="709"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szCs w:val="22"/>
              </w:rPr>
              <w:t xml:space="preserve"> 0.25 </w:t>
            </w:r>
          </w:p>
        </w:tc>
        <w:tc>
          <w:tcPr>
            <w:tcW w:w="708"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szCs w:val="22"/>
              </w:rPr>
              <w:t xml:space="preserve"> 0.25 </w:t>
            </w:r>
          </w:p>
        </w:tc>
        <w:tc>
          <w:tcPr>
            <w:tcW w:w="851"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szCs w:val="22"/>
              </w:rPr>
              <w:t xml:space="preserve">  1.00 </w:t>
            </w:r>
          </w:p>
        </w:tc>
        <w:tc>
          <w:tcPr>
            <w:tcW w:w="1784" w:type="dxa"/>
            <w:vMerge w:val="restart"/>
            <w:tcBorders>
              <w:top w:val="nil"/>
              <w:left w:val="single" w:sz="8" w:space="0" w:color="auto"/>
              <w:bottom w:val="single" w:sz="8" w:space="0" w:color="auto"/>
              <w:right w:val="single" w:sz="8" w:space="0" w:color="auto"/>
            </w:tcBorders>
            <w:shd w:val="clear" w:color="000000" w:fill="CCFFFF"/>
          </w:tcPr>
          <w:p w:rsidR="00C050DB" w:rsidRPr="00D55DC6" w:rsidRDefault="00C050DB" w:rsidP="0038165F">
            <w:pPr>
              <w:widowControl/>
              <w:spacing w:line="0" w:lineRule="atLeast"/>
              <w:rPr>
                <w:rFonts w:eastAsia="標楷體"/>
                <w:kern w:val="0"/>
              </w:rPr>
            </w:pPr>
            <w:r w:rsidRPr="00D55DC6">
              <w:rPr>
                <w:rFonts w:eastAsia="標楷體"/>
                <w:kern w:val="0"/>
                <w:szCs w:val="22"/>
              </w:rPr>
              <w:t>植栽養護、零星修繕、各據點建物公共安全及消防檢測</w:t>
            </w:r>
          </w:p>
        </w:tc>
      </w:tr>
      <w:tr w:rsidR="001D0350" w:rsidRPr="00D55DC6" w:rsidTr="00C050DB">
        <w:trPr>
          <w:trHeight w:val="405"/>
        </w:trPr>
        <w:tc>
          <w:tcPr>
            <w:tcW w:w="400"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center"/>
              <w:rPr>
                <w:rFonts w:eastAsia="標楷體"/>
                <w:b/>
                <w:bCs/>
                <w:kern w:val="0"/>
              </w:rPr>
            </w:pPr>
            <w:r w:rsidRPr="00D55DC6">
              <w:rPr>
                <w:rFonts w:eastAsia="標楷體"/>
                <w:b/>
                <w:bCs/>
                <w:kern w:val="0"/>
                <w:szCs w:val="22"/>
              </w:rPr>
              <w:t>經常門合計</w:t>
            </w:r>
          </w:p>
        </w:tc>
        <w:tc>
          <w:tcPr>
            <w:tcW w:w="709"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Cs/>
                <w:kern w:val="0"/>
              </w:rPr>
            </w:pPr>
            <w:r w:rsidRPr="00D55DC6">
              <w:rPr>
                <w:rFonts w:eastAsia="標楷體"/>
                <w:bCs/>
                <w:kern w:val="0"/>
                <w:szCs w:val="22"/>
              </w:rPr>
              <w:t xml:space="preserve">0.25 </w:t>
            </w:r>
          </w:p>
        </w:tc>
        <w:tc>
          <w:tcPr>
            <w:tcW w:w="709"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Cs/>
                <w:kern w:val="0"/>
              </w:rPr>
            </w:pPr>
            <w:r w:rsidRPr="00D55DC6">
              <w:rPr>
                <w:rFonts w:eastAsia="標楷體"/>
                <w:bCs/>
                <w:kern w:val="0"/>
                <w:szCs w:val="22"/>
              </w:rPr>
              <w:t xml:space="preserve"> 0.25 </w:t>
            </w:r>
          </w:p>
        </w:tc>
        <w:tc>
          <w:tcPr>
            <w:tcW w:w="709"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Cs/>
                <w:kern w:val="0"/>
              </w:rPr>
            </w:pPr>
            <w:r w:rsidRPr="00D55DC6">
              <w:rPr>
                <w:rFonts w:eastAsia="標楷體"/>
                <w:bCs/>
                <w:kern w:val="0"/>
                <w:szCs w:val="22"/>
              </w:rPr>
              <w:t xml:space="preserve"> 0.25 </w:t>
            </w:r>
          </w:p>
        </w:tc>
        <w:tc>
          <w:tcPr>
            <w:tcW w:w="708"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Cs/>
                <w:kern w:val="0"/>
              </w:rPr>
            </w:pPr>
            <w:r w:rsidRPr="00D55DC6">
              <w:rPr>
                <w:rFonts w:eastAsia="標楷體"/>
                <w:bCs/>
                <w:kern w:val="0"/>
                <w:szCs w:val="22"/>
              </w:rPr>
              <w:t xml:space="preserve"> 0.25 </w:t>
            </w:r>
          </w:p>
        </w:tc>
        <w:tc>
          <w:tcPr>
            <w:tcW w:w="851"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Cs/>
                <w:kern w:val="0"/>
              </w:rPr>
            </w:pPr>
            <w:r w:rsidRPr="00D55DC6">
              <w:rPr>
                <w:rFonts w:eastAsia="標楷體"/>
                <w:bCs/>
                <w:kern w:val="0"/>
                <w:szCs w:val="22"/>
              </w:rPr>
              <w:t xml:space="preserve">  1.00 </w:t>
            </w:r>
          </w:p>
        </w:tc>
        <w:tc>
          <w:tcPr>
            <w:tcW w:w="1784"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r>
      <w:tr w:rsidR="001D0350" w:rsidRPr="00D55DC6" w:rsidTr="00C050DB">
        <w:trPr>
          <w:trHeight w:val="1305"/>
        </w:trPr>
        <w:tc>
          <w:tcPr>
            <w:tcW w:w="400" w:type="dxa"/>
            <w:vMerge w:val="restart"/>
            <w:tcBorders>
              <w:top w:val="nil"/>
              <w:left w:val="single" w:sz="8" w:space="0" w:color="auto"/>
              <w:bottom w:val="nil"/>
              <w:right w:val="single" w:sz="8" w:space="0" w:color="auto"/>
            </w:tcBorders>
            <w:shd w:val="clear" w:color="000000" w:fill="CCFFCC"/>
          </w:tcPr>
          <w:p w:rsidR="00C050DB" w:rsidRPr="00D55DC6" w:rsidRDefault="00C050DB" w:rsidP="0038165F">
            <w:pPr>
              <w:widowControl/>
              <w:spacing w:line="0" w:lineRule="atLeast"/>
              <w:jc w:val="center"/>
              <w:rPr>
                <w:rFonts w:eastAsia="標楷體"/>
                <w:kern w:val="0"/>
              </w:rPr>
            </w:pPr>
            <w:r w:rsidRPr="00D55DC6">
              <w:rPr>
                <w:rFonts w:eastAsia="標楷體"/>
                <w:kern w:val="0"/>
                <w:szCs w:val="22"/>
              </w:rPr>
              <w:t>資本門</w:t>
            </w:r>
          </w:p>
        </w:tc>
        <w:tc>
          <w:tcPr>
            <w:tcW w:w="891" w:type="dxa"/>
            <w:vMerge w:val="restart"/>
            <w:tcBorders>
              <w:top w:val="nil"/>
              <w:left w:val="single" w:sz="8" w:space="0" w:color="auto"/>
              <w:bottom w:val="single" w:sz="8" w:space="0" w:color="auto"/>
              <w:right w:val="single" w:sz="8" w:space="0" w:color="auto"/>
            </w:tcBorders>
            <w:shd w:val="clear" w:color="000000" w:fill="CCFFCC"/>
          </w:tcPr>
          <w:p w:rsidR="00C050DB" w:rsidRPr="00D55DC6" w:rsidRDefault="00C050DB" w:rsidP="0038165F">
            <w:pPr>
              <w:widowControl/>
              <w:spacing w:line="0" w:lineRule="atLeast"/>
              <w:jc w:val="center"/>
              <w:rPr>
                <w:rFonts w:eastAsia="標楷體"/>
                <w:kern w:val="0"/>
              </w:rPr>
            </w:pPr>
            <w:r w:rsidRPr="00D55DC6">
              <w:rPr>
                <w:rFonts w:eastAsia="標楷體"/>
                <w:kern w:val="0"/>
                <w:szCs w:val="22"/>
              </w:rPr>
              <w:t>0300</w:t>
            </w:r>
            <w:r w:rsidRPr="00D55DC6">
              <w:rPr>
                <w:rFonts w:eastAsia="標楷體"/>
                <w:kern w:val="0"/>
                <w:szCs w:val="22"/>
              </w:rPr>
              <w:t>設備及投資</w:t>
            </w:r>
          </w:p>
        </w:tc>
        <w:tc>
          <w:tcPr>
            <w:tcW w:w="1102"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rPr>
                <w:rFonts w:eastAsia="標楷體"/>
                <w:kern w:val="0"/>
              </w:rPr>
            </w:pPr>
            <w:r w:rsidRPr="00D55DC6">
              <w:rPr>
                <w:rFonts w:eastAsia="標楷體"/>
                <w:kern w:val="0"/>
                <w:szCs w:val="22"/>
              </w:rPr>
              <w:t>0301</w:t>
            </w:r>
            <w:r w:rsidRPr="00D55DC6">
              <w:rPr>
                <w:rFonts w:eastAsia="標楷體"/>
                <w:kern w:val="0"/>
                <w:szCs w:val="22"/>
              </w:rPr>
              <w:t>土地費</w:t>
            </w:r>
          </w:p>
        </w:tc>
        <w:tc>
          <w:tcPr>
            <w:tcW w:w="2344"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rPr>
                <w:rFonts w:eastAsia="標楷體"/>
                <w:b/>
                <w:bCs/>
                <w:kern w:val="0"/>
              </w:rPr>
            </w:pPr>
            <w:r w:rsidRPr="00D55DC6">
              <w:rPr>
                <w:rFonts w:eastAsia="標楷體"/>
                <w:b/>
                <w:bCs/>
                <w:kern w:val="0"/>
                <w:szCs w:val="22"/>
              </w:rPr>
              <w:t>1.</w:t>
            </w:r>
            <w:r w:rsidRPr="00D55DC6">
              <w:rPr>
                <w:rFonts w:eastAsia="標楷體"/>
                <w:b/>
                <w:bCs/>
                <w:kern w:val="0"/>
                <w:szCs w:val="22"/>
              </w:rPr>
              <w:t>土地取得</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szCs w:val="22"/>
              </w:rPr>
              <w:t xml:space="preserve">0.05 </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szCs w:val="22"/>
              </w:rPr>
              <w:t xml:space="preserve"> 0.05 </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szCs w:val="22"/>
              </w:rPr>
              <w:t xml:space="preserve"> 0.05 </w:t>
            </w:r>
          </w:p>
        </w:tc>
        <w:tc>
          <w:tcPr>
            <w:tcW w:w="708"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szCs w:val="22"/>
              </w:rPr>
              <w:t xml:space="preserve"> 0.05 </w:t>
            </w:r>
          </w:p>
        </w:tc>
        <w:tc>
          <w:tcPr>
            <w:tcW w:w="851"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szCs w:val="22"/>
              </w:rPr>
              <w:t xml:space="preserve">  0.20 </w:t>
            </w:r>
          </w:p>
        </w:tc>
        <w:tc>
          <w:tcPr>
            <w:tcW w:w="1784" w:type="dxa"/>
            <w:tcBorders>
              <w:top w:val="nil"/>
              <w:left w:val="nil"/>
              <w:bottom w:val="single" w:sz="8" w:space="0" w:color="auto"/>
              <w:right w:val="single" w:sz="8" w:space="0" w:color="auto"/>
            </w:tcBorders>
          </w:tcPr>
          <w:p w:rsidR="00C050DB" w:rsidRPr="00D55DC6" w:rsidRDefault="00A43131" w:rsidP="0038165F">
            <w:pPr>
              <w:widowControl/>
              <w:spacing w:line="0" w:lineRule="atLeast"/>
              <w:rPr>
                <w:rFonts w:eastAsia="標楷體"/>
                <w:kern w:val="0"/>
              </w:rPr>
            </w:pPr>
            <w:r w:rsidRPr="00D55DC6">
              <w:rPr>
                <w:rFonts w:eastAsia="標楷體"/>
                <w:kern w:val="0"/>
                <w:szCs w:val="22"/>
              </w:rPr>
              <w:t>轄區訂樁測量、徵收價購、撥用補償及相關作業</w:t>
            </w:r>
          </w:p>
        </w:tc>
      </w:tr>
      <w:tr w:rsidR="001D0350" w:rsidRPr="00D55DC6" w:rsidTr="00C050DB">
        <w:trPr>
          <w:trHeight w:val="375"/>
        </w:trPr>
        <w:tc>
          <w:tcPr>
            <w:tcW w:w="400" w:type="dxa"/>
            <w:vMerge/>
            <w:tcBorders>
              <w:top w:val="nil"/>
              <w:left w:val="single" w:sz="8" w:space="0" w:color="auto"/>
              <w:bottom w:val="nil"/>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1102" w:type="dxa"/>
            <w:vMerge w:val="restart"/>
            <w:tcBorders>
              <w:top w:val="nil"/>
              <w:left w:val="single" w:sz="8" w:space="0" w:color="auto"/>
              <w:bottom w:val="single" w:sz="8" w:space="0" w:color="000000"/>
              <w:right w:val="single" w:sz="8" w:space="0" w:color="auto"/>
            </w:tcBorders>
            <w:shd w:val="clear" w:color="000000" w:fill="CCFFCC"/>
          </w:tcPr>
          <w:p w:rsidR="00C050DB" w:rsidRPr="00D55DC6" w:rsidRDefault="00C050DB" w:rsidP="0038165F">
            <w:pPr>
              <w:widowControl/>
              <w:spacing w:line="0" w:lineRule="atLeast"/>
              <w:rPr>
                <w:rFonts w:eastAsia="標楷體"/>
                <w:kern w:val="0"/>
              </w:rPr>
            </w:pPr>
            <w:r w:rsidRPr="00D55DC6">
              <w:rPr>
                <w:rFonts w:eastAsia="標楷體"/>
                <w:kern w:val="0"/>
                <w:szCs w:val="22"/>
              </w:rPr>
              <w:t>0302</w:t>
            </w:r>
            <w:r w:rsidRPr="00D55DC6">
              <w:rPr>
                <w:rFonts w:eastAsia="標楷體"/>
                <w:kern w:val="0"/>
                <w:szCs w:val="22"/>
              </w:rPr>
              <w:t>房屋建築及設備費</w:t>
            </w:r>
          </w:p>
        </w:tc>
        <w:tc>
          <w:tcPr>
            <w:tcW w:w="2344"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rPr>
                <w:rFonts w:eastAsia="標楷體"/>
                <w:b/>
                <w:bCs/>
                <w:kern w:val="0"/>
              </w:rPr>
            </w:pPr>
            <w:r w:rsidRPr="00D55DC6">
              <w:rPr>
                <w:rFonts w:eastAsia="標楷體"/>
                <w:b/>
                <w:bCs/>
                <w:kern w:val="0"/>
                <w:szCs w:val="22"/>
              </w:rPr>
              <w:t>2.</w:t>
            </w:r>
            <w:r w:rsidRPr="00D55DC6">
              <w:rPr>
                <w:rFonts w:eastAsia="標楷體"/>
                <w:b/>
                <w:bCs/>
                <w:kern w:val="0"/>
                <w:szCs w:val="22"/>
              </w:rPr>
              <w:t>房屋建築及設備</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szCs w:val="22"/>
              </w:rPr>
              <w:t xml:space="preserve">0.00 </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szCs w:val="22"/>
              </w:rPr>
              <w:t xml:space="preserve">0.00 </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szCs w:val="22"/>
              </w:rPr>
              <w:t xml:space="preserve">0.00 </w:t>
            </w:r>
          </w:p>
        </w:tc>
        <w:tc>
          <w:tcPr>
            <w:tcW w:w="708"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szCs w:val="22"/>
              </w:rPr>
              <w:t xml:space="preserve">0.00 </w:t>
            </w:r>
          </w:p>
        </w:tc>
        <w:tc>
          <w:tcPr>
            <w:tcW w:w="851"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szCs w:val="22"/>
              </w:rPr>
              <w:t xml:space="preserve">  0.00 </w:t>
            </w:r>
          </w:p>
        </w:tc>
        <w:tc>
          <w:tcPr>
            <w:tcW w:w="1784" w:type="dxa"/>
            <w:vMerge w:val="restart"/>
            <w:tcBorders>
              <w:top w:val="nil"/>
              <w:left w:val="single" w:sz="8" w:space="0" w:color="auto"/>
              <w:right w:val="single" w:sz="8" w:space="0" w:color="auto"/>
            </w:tcBorders>
          </w:tcPr>
          <w:p w:rsidR="00C050DB" w:rsidRPr="00D55DC6" w:rsidRDefault="00C050DB" w:rsidP="0038165F">
            <w:pPr>
              <w:widowControl/>
              <w:spacing w:line="0" w:lineRule="atLeast"/>
              <w:jc w:val="both"/>
              <w:rPr>
                <w:rFonts w:eastAsia="標楷體"/>
                <w:kern w:val="0"/>
              </w:rPr>
            </w:pPr>
          </w:p>
        </w:tc>
      </w:tr>
      <w:tr w:rsidR="001D0350" w:rsidRPr="00D55DC6" w:rsidTr="00C050DB">
        <w:trPr>
          <w:trHeight w:val="375"/>
        </w:trPr>
        <w:tc>
          <w:tcPr>
            <w:tcW w:w="400" w:type="dxa"/>
            <w:vMerge/>
            <w:tcBorders>
              <w:top w:val="nil"/>
              <w:left w:val="single" w:sz="8" w:space="0" w:color="auto"/>
              <w:bottom w:val="nil"/>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1102" w:type="dxa"/>
            <w:vMerge/>
            <w:tcBorders>
              <w:top w:val="nil"/>
              <w:left w:val="single" w:sz="8" w:space="0" w:color="auto"/>
              <w:bottom w:val="single" w:sz="8" w:space="0" w:color="000000"/>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both"/>
              <w:rPr>
                <w:rFonts w:eastAsia="標楷體"/>
                <w:kern w:val="0"/>
              </w:rPr>
            </w:pPr>
            <w:r w:rsidRPr="00D55DC6">
              <w:rPr>
                <w:rFonts w:eastAsia="標楷體"/>
                <w:kern w:val="0"/>
                <w:szCs w:val="22"/>
              </w:rPr>
              <w:t>(1)</w:t>
            </w:r>
            <w:r w:rsidRPr="00D55DC6">
              <w:rPr>
                <w:rFonts w:eastAsia="標楷體"/>
                <w:kern w:val="0"/>
                <w:szCs w:val="22"/>
              </w:rPr>
              <w:t>國際觀光重要景點</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Cs/>
                <w:kern w:val="0"/>
              </w:rPr>
            </w:pPr>
            <w:r w:rsidRPr="00D55DC6">
              <w:rPr>
                <w:rFonts w:eastAsia="標楷體"/>
                <w:bCs/>
                <w:kern w:val="0"/>
                <w:szCs w:val="22"/>
              </w:rPr>
              <w:t xml:space="preserve">0.00 </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Cs/>
                <w:kern w:val="0"/>
              </w:rPr>
            </w:pPr>
            <w:r w:rsidRPr="00D55DC6">
              <w:rPr>
                <w:rFonts w:eastAsia="標楷體"/>
                <w:bCs/>
                <w:kern w:val="0"/>
                <w:szCs w:val="22"/>
              </w:rPr>
              <w:t xml:space="preserve">0.00 </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Cs/>
                <w:kern w:val="0"/>
              </w:rPr>
            </w:pPr>
            <w:r w:rsidRPr="00D55DC6">
              <w:rPr>
                <w:rFonts w:eastAsia="標楷體"/>
                <w:bCs/>
                <w:kern w:val="0"/>
                <w:szCs w:val="22"/>
              </w:rPr>
              <w:t xml:space="preserve">0.00 </w:t>
            </w:r>
          </w:p>
        </w:tc>
        <w:tc>
          <w:tcPr>
            <w:tcW w:w="708"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Cs/>
                <w:kern w:val="0"/>
              </w:rPr>
            </w:pPr>
            <w:r w:rsidRPr="00D55DC6">
              <w:rPr>
                <w:rFonts w:eastAsia="標楷體"/>
                <w:bCs/>
                <w:kern w:val="0"/>
                <w:szCs w:val="22"/>
              </w:rPr>
              <w:t xml:space="preserve">0.00 </w:t>
            </w:r>
          </w:p>
        </w:tc>
        <w:tc>
          <w:tcPr>
            <w:tcW w:w="851"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Cs/>
                <w:kern w:val="0"/>
              </w:rPr>
            </w:pPr>
            <w:r w:rsidRPr="00D55DC6">
              <w:rPr>
                <w:rFonts w:eastAsia="標楷體"/>
                <w:bCs/>
                <w:kern w:val="0"/>
                <w:szCs w:val="22"/>
              </w:rPr>
              <w:t xml:space="preserve">  0.00 </w:t>
            </w:r>
          </w:p>
        </w:tc>
        <w:tc>
          <w:tcPr>
            <w:tcW w:w="1784" w:type="dxa"/>
            <w:vMerge/>
            <w:tcBorders>
              <w:left w:val="single" w:sz="8" w:space="0" w:color="auto"/>
              <w:right w:val="single" w:sz="8" w:space="0" w:color="auto"/>
            </w:tcBorders>
          </w:tcPr>
          <w:p w:rsidR="00C050DB" w:rsidRPr="00D55DC6" w:rsidRDefault="00C050DB" w:rsidP="0038165F">
            <w:pPr>
              <w:widowControl/>
              <w:spacing w:line="0" w:lineRule="atLeast"/>
              <w:jc w:val="both"/>
              <w:rPr>
                <w:rFonts w:eastAsia="標楷體"/>
                <w:kern w:val="0"/>
              </w:rPr>
            </w:pPr>
          </w:p>
        </w:tc>
      </w:tr>
      <w:tr w:rsidR="001D0350" w:rsidRPr="00D55DC6" w:rsidTr="00C050DB">
        <w:trPr>
          <w:trHeight w:val="345"/>
        </w:trPr>
        <w:tc>
          <w:tcPr>
            <w:tcW w:w="400" w:type="dxa"/>
            <w:vMerge/>
            <w:tcBorders>
              <w:top w:val="nil"/>
              <w:left w:val="single" w:sz="8" w:space="0" w:color="auto"/>
              <w:bottom w:val="nil"/>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1102" w:type="dxa"/>
            <w:vMerge/>
            <w:tcBorders>
              <w:top w:val="nil"/>
              <w:left w:val="single" w:sz="8" w:space="0" w:color="auto"/>
              <w:bottom w:val="single" w:sz="8" w:space="0" w:color="000000"/>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shd w:val="clear" w:color="000000" w:fill="CCFFCC"/>
            <w:vAlign w:val="center"/>
          </w:tcPr>
          <w:p w:rsidR="00C050DB" w:rsidRPr="00D55DC6" w:rsidRDefault="00C050DB" w:rsidP="0038165F">
            <w:pPr>
              <w:widowControl/>
              <w:spacing w:line="0" w:lineRule="atLeast"/>
              <w:rPr>
                <w:rFonts w:eastAsia="標楷體"/>
                <w:kern w:val="0"/>
              </w:rPr>
            </w:pPr>
            <w:r w:rsidRPr="00D55DC6">
              <w:rPr>
                <w:rFonts w:eastAsia="標楷體"/>
                <w:kern w:val="0"/>
                <w:szCs w:val="22"/>
              </w:rPr>
              <w:t>(2)</w:t>
            </w:r>
            <w:r w:rsidRPr="00D55DC6">
              <w:rPr>
                <w:rFonts w:eastAsia="標楷體"/>
                <w:kern w:val="0"/>
                <w:szCs w:val="22"/>
              </w:rPr>
              <w:t>國內觀光重要景點</w:t>
            </w:r>
          </w:p>
        </w:tc>
        <w:tc>
          <w:tcPr>
            <w:tcW w:w="709" w:type="dxa"/>
            <w:tcBorders>
              <w:top w:val="single" w:sz="8" w:space="0" w:color="auto"/>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Cs/>
                <w:kern w:val="0"/>
              </w:rPr>
            </w:pPr>
            <w:r w:rsidRPr="00D55DC6">
              <w:rPr>
                <w:rFonts w:eastAsia="標楷體"/>
                <w:bCs/>
                <w:kern w:val="0"/>
                <w:szCs w:val="22"/>
              </w:rPr>
              <w:t xml:space="preserve">0.00 </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Cs/>
                <w:kern w:val="0"/>
              </w:rPr>
            </w:pPr>
            <w:r w:rsidRPr="00D55DC6">
              <w:rPr>
                <w:rFonts w:eastAsia="標楷體"/>
                <w:bCs/>
                <w:kern w:val="0"/>
                <w:szCs w:val="22"/>
              </w:rPr>
              <w:t xml:space="preserve">0.00 </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Cs/>
                <w:kern w:val="0"/>
              </w:rPr>
            </w:pPr>
            <w:r w:rsidRPr="00D55DC6">
              <w:rPr>
                <w:rFonts w:eastAsia="標楷體"/>
                <w:bCs/>
                <w:kern w:val="0"/>
                <w:szCs w:val="22"/>
              </w:rPr>
              <w:t xml:space="preserve">0.00 </w:t>
            </w:r>
          </w:p>
        </w:tc>
        <w:tc>
          <w:tcPr>
            <w:tcW w:w="708"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Cs/>
                <w:kern w:val="0"/>
              </w:rPr>
            </w:pPr>
            <w:r w:rsidRPr="00D55DC6">
              <w:rPr>
                <w:rFonts w:eastAsia="標楷體"/>
                <w:bCs/>
                <w:kern w:val="0"/>
                <w:szCs w:val="22"/>
              </w:rPr>
              <w:t xml:space="preserve">0.00 </w:t>
            </w:r>
          </w:p>
        </w:tc>
        <w:tc>
          <w:tcPr>
            <w:tcW w:w="851"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Cs/>
                <w:kern w:val="0"/>
              </w:rPr>
            </w:pPr>
            <w:r w:rsidRPr="00D55DC6">
              <w:rPr>
                <w:rFonts w:eastAsia="標楷體"/>
                <w:bCs/>
                <w:kern w:val="0"/>
                <w:szCs w:val="22"/>
              </w:rPr>
              <w:t xml:space="preserve">  0.00 </w:t>
            </w:r>
          </w:p>
        </w:tc>
        <w:tc>
          <w:tcPr>
            <w:tcW w:w="1784" w:type="dxa"/>
            <w:tcBorders>
              <w:top w:val="nil"/>
              <w:left w:val="single" w:sz="8" w:space="0" w:color="auto"/>
              <w:bottom w:val="single" w:sz="4" w:space="0" w:color="auto"/>
              <w:right w:val="single" w:sz="8" w:space="0" w:color="auto"/>
            </w:tcBorders>
          </w:tcPr>
          <w:p w:rsidR="00C050DB" w:rsidRPr="00D55DC6" w:rsidRDefault="00C050DB" w:rsidP="0038165F">
            <w:pPr>
              <w:widowControl/>
              <w:spacing w:line="0" w:lineRule="atLeast"/>
              <w:jc w:val="both"/>
              <w:rPr>
                <w:rFonts w:eastAsia="標楷體"/>
                <w:kern w:val="0"/>
              </w:rPr>
            </w:pPr>
          </w:p>
        </w:tc>
      </w:tr>
      <w:tr w:rsidR="001D0350" w:rsidRPr="00D55DC6" w:rsidTr="00C050DB">
        <w:trPr>
          <w:trHeight w:val="345"/>
        </w:trPr>
        <w:tc>
          <w:tcPr>
            <w:tcW w:w="400" w:type="dxa"/>
            <w:vMerge/>
            <w:tcBorders>
              <w:top w:val="nil"/>
              <w:left w:val="single" w:sz="8" w:space="0" w:color="auto"/>
              <w:bottom w:val="nil"/>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1102" w:type="dxa"/>
            <w:vMerge w:val="restart"/>
            <w:tcBorders>
              <w:top w:val="nil"/>
              <w:left w:val="single" w:sz="8" w:space="0" w:color="auto"/>
              <w:bottom w:val="single" w:sz="8" w:space="0" w:color="auto"/>
              <w:right w:val="single" w:sz="8" w:space="0" w:color="auto"/>
            </w:tcBorders>
            <w:shd w:val="clear" w:color="000000" w:fill="CCFFCC"/>
          </w:tcPr>
          <w:p w:rsidR="00C050DB" w:rsidRPr="00D55DC6" w:rsidRDefault="00C050DB" w:rsidP="0038165F">
            <w:pPr>
              <w:widowControl/>
              <w:spacing w:line="0" w:lineRule="atLeast"/>
              <w:rPr>
                <w:rFonts w:eastAsia="標楷體"/>
                <w:kern w:val="0"/>
              </w:rPr>
            </w:pPr>
            <w:r w:rsidRPr="00D55DC6">
              <w:rPr>
                <w:rFonts w:eastAsia="標楷體"/>
                <w:kern w:val="0"/>
                <w:szCs w:val="22"/>
              </w:rPr>
              <w:t>0303</w:t>
            </w:r>
            <w:r w:rsidRPr="00D55DC6">
              <w:rPr>
                <w:rFonts w:eastAsia="標楷體"/>
                <w:kern w:val="0"/>
                <w:szCs w:val="22"/>
              </w:rPr>
              <w:t>公共建設及設施費</w:t>
            </w:r>
          </w:p>
        </w:tc>
        <w:tc>
          <w:tcPr>
            <w:tcW w:w="2344" w:type="dxa"/>
            <w:tcBorders>
              <w:top w:val="nil"/>
              <w:left w:val="nil"/>
              <w:bottom w:val="single" w:sz="8" w:space="0" w:color="auto"/>
              <w:right w:val="single" w:sz="8" w:space="0" w:color="auto"/>
            </w:tcBorders>
            <w:shd w:val="clear" w:color="000000" w:fill="CCFFCC"/>
            <w:vAlign w:val="center"/>
          </w:tcPr>
          <w:p w:rsidR="00C050DB" w:rsidRPr="00D55DC6" w:rsidRDefault="00C050DB" w:rsidP="0038165F">
            <w:pPr>
              <w:widowControl/>
              <w:spacing w:line="0" w:lineRule="atLeast"/>
              <w:rPr>
                <w:rFonts w:eastAsia="標楷體"/>
                <w:b/>
                <w:bCs/>
                <w:kern w:val="0"/>
              </w:rPr>
            </w:pPr>
            <w:r w:rsidRPr="00D55DC6">
              <w:rPr>
                <w:rFonts w:eastAsia="標楷體"/>
                <w:b/>
                <w:bCs/>
                <w:kern w:val="0"/>
                <w:szCs w:val="22"/>
              </w:rPr>
              <w:t>3.</w:t>
            </w:r>
            <w:r w:rsidRPr="00D55DC6">
              <w:rPr>
                <w:rFonts w:eastAsia="標楷體"/>
                <w:b/>
                <w:bCs/>
                <w:kern w:val="0"/>
                <w:szCs w:val="22"/>
              </w:rPr>
              <w:t>公共建設及設施</w:t>
            </w:r>
          </w:p>
        </w:tc>
        <w:tc>
          <w:tcPr>
            <w:tcW w:w="709" w:type="dxa"/>
            <w:tcBorders>
              <w:top w:val="nil"/>
              <w:left w:val="nil"/>
              <w:bottom w:val="single" w:sz="8" w:space="0" w:color="auto"/>
              <w:right w:val="single" w:sz="8" w:space="0" w:color="auto"/>
            </w:tcBorders>
            <w:shd w:val="clear" w:color="000000" w:fill="CCFFCC"/>
            <w:vAlign w:val="center"/>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2.76</w:t>
            </w:r>
          </w:p>
        </w:tc>
        <w:tc>
          <w:tcPr>
            <w:tcW w:w="709" w:type="dxa"/>
            <w:tcBorders>
              <w:top w:val="nil"/>
              <w:left w:val="nil"/>
              <w:bottom w:val="single" w:sz="8" w:space="0" w:color="auto"/>
              <w:right w:val="single" w:sz="8" w:space="0" w:color="auto"/>
            </w:tcBorders>
            <w:shd w:val="clear" w:color="000000" w:fill="CCFFCC"/>
            <w:vAlign w:val="center"/>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2.80</w:t>
            </w:r>
          </w:p>
        </w:tc>
        <w:tc>
          <w:tcPr>
            <w:tcW w:w="709" w:type="dxa"/>
            <w:tcBorders>
              <w:top w:val="nil"/>
              <w:left w:val="nil"/>
              <w:bottom w:val="single" w:sz="8" w:space="0" w:color="auto"/>
              <w:right w:val="single" w:sz="8" w:space="0" w:color="auto"/>
            </w:tcBorders>
            <w:shd w:val="clear" w:color="000000" w:fill="CCFFCC"/>
            <w:vAlign w:val="center"/>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3.05</w:t>
            </w:r>
          </w:p>
        </w:tc>
        <w:tc>
          <w:tcPr>
            <w:tcW w:w="708" w:type="dxa"/>
            <w:tcBorders>
              <w:top w:val="nil"/>
              <w:left w:val="nil"/>
              <w:bottom w:val="single" w:sz="8" w:space="0" w:color="auto"/>
              <w:right w:val="single" w:sz="8" w:space="0" w:color="auto"/>
            </w:tcBorders>
            <w:shd w:val="clear" w:color="000000" w:fill="CCFFCC"/>
            <w:vAlign w:val="center"/>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2.90</w:t>
            </w:r>
          </w:p>
        </w:tc>
        <w:tc>
          <w:tcPr>
            <w:tcW w:w="851"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11.51</w:t>
            </w:r>
          </w:p>
        </w:tc>
        <w:tc>
          <w:tcPr>
            <w:tcW w:w="1784" w:type="dxa"/>
            <w:tcBorders>
              <w:top w:val="single" w:sz="4" w:space="0" w:color="auto"/>
              <w:left w:val="nil"/>
              <w:bottom w:val="single" w:sz="8" w:space="0" w:color="auto"/>
              <w:right w:val="single" w:sz="8" w:space="0" w:color="auto"/>
            </w:tcBorders>
          </w:tcPr>
          <w:p w:rsidR="00C050DB" w:rsidRPr="00D55DC6" w:rsidRDefault="00C050DB" w:rsidP="0038165F">
            <w:pPr>
              <w:widowControl/>
              <w:spacing w:line="0" w:lineRule="atLeast"/>
              <w:jc w:val="both"/>
              <w:rPr>
                <w:rFonts w:eastAsia="標楷體"/>
                <w:kern w:val="0"/>
              </w:rPr>
            </w:pPr>
          </w:p>
        </w:tc>
      </w:tr>
      <w:tr w:rsidR="001D0350" w:rsidRPr="00D55DC6" w:rsidTr="00C050DB">
        <w:trPr>
          <w:trHeight w:val="360"/>
        </w:trPr>
        <w:tc>
          <w:tcPr>
            <w:tcW w:w="400" w:type="dxa"/>
            <w:vMerge/>
            <w:tcBorders>
              <w:top w:val="nil"/>
              <w:left w:val="single" w:sz="8" w:space="0" w:color="auto"/>
              <w:bottom w:val="nil"/>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both"/>
              <w:rPr>
                <w:rFonts w:eastAsia="標楷體"/>
                <w:kern w:val="0"/>
              </w:rPr>
            </w:pPr>
            <w:r w:rsidRPr="00D55DC6">
              <w:rPr>
                <w:rFonts w:eastAsia="標楷體"/>
                <w:kern w:val="0"/>
                <w:szCs w:val="22"/>
              </w:rPr>
              <w:t>(1)</w:t>
            </w:r>
            <w:r w:rsidRPr="00D55DC6">
              <w:rPr>
                <w:rFonts w:eastAsia="標楷體"/>
                <w:kern w:val="0"/>
                <w:szCs w:val="22"/>
              </w:rPr>
              <w:t>先期規劃設計</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kern w:val="0"/>
              </w:rPr>
            </w:pPr>
            <w:r w:rsidRPr="00D55DC6">
              <w:rPr>
                <w:rFonts w:eastAsia="標楷體"/>
                <w:kern w:val="0"/>
              </w:rPr>
              <w:t>0.10</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kern w:val="0"/>
              </w:rPr>
            </w:pPr>
            <w:r w:rsidRPr="00D55DC6">
              <w:rPr>
                <w:rFonts w:eastAsia="標楷體"/>
                <w:kern w:val="0"/>
              </w:rPr>
              <w:t>0.10</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kern w:val="0"/>
              </w:rPr>
            </w:pPr>
            <w:r w:rsidRPr="00D55DC6">
              <w:rPr>
                <w:rFonts w:eastAsia="標楷體"/>
                <w:kern w:val="0"/>
              </w:rPr>
              <w:t>0.10</w:t>
            </w:r>
          </w:p>
        </w:tc>
        <w:tc>
          <w:tcPr>
            <w:tcW w:w="708"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kern w:val="0"/>
              </w:rPr>
            </w:pPr>
            <w:r w:rsidRPr="00D55DC6">
              <w:rPr>
                <w:rFonts w:eastAsia="標楷體"/>
                <w:kern w:val="0"/>
              </w:rPr>
              <w:t>0.10</w:t>
            </w:r>
          </w:p>
        </w:tc>
        <w:tc>
          <w:tcPr>
            <w:tcW w:w="851"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0.40</w:t>
            </w:r>
          </w:p>
        </w:tc>
        <w:tc>
          <w:tcPr>
            <w:tcW w:w="1784" w:type="dxa"/>
            <w:tcBorders>
              <w:top w:val="nil"/>
              <w:left w:val="nil"/>
              <w:bottom w:val="single" w:sz="8" w:space="0" w:color="auto"/>
              <w:right w:val="single" w:sz="8" w:space="0" w:color="auto"/>
            </w:tcBorders>
          </w:tcPr>
          <w:p w:rsidR="00C050DB" w:rsidRPr="00D55DC6" w:rsidRDefault="00C050DB" w:rsidP="00A43131">
            <w:pPr>
              <w:widowControl/>
              <w:spacing w:line="0" w:lineRule="atLeast"/>
              <w:jc w:val="both"/>
              <w:rPr>
                <w:rFonts w:eastAsia="標楷體"/>
                <w:kern w:val="0"/>
              </w:rPr>
            </w:pPr>
            <w:r w:rsidRPr="00D55DC6">
              <w:rPr>
                <w:rFonts w:eastAsia="標楷體"/>
                <w:kern w:val="0"/>
              </w:rPr>
              <w:t>全區資源調查及各項工程建設先期規劃設計</w:t>
            </w:r>
          </w:p>
        </w:tc>
      </w:tr>
      <w:tr w:rsidR="001D0350" w:rsidRPr="00D55DC6" w:rsidTr="00C050DB">
        <w:trPr>
          <w:trHeight w:val="390"/>
        </w:trPr>
        <w:tc>
          <w:tcPr>
            <w:tcW w:w="400" w:type="dxa"/>
            <w:vMerge/>
            <w:tcBorders>
              <w:top w:val="nil"/>
              <w:left w:val="single" w:sz="8" w:space="0" w:color="auto"/>
              <w:bottom w:val="nil"/>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both"/>
              <w:rPr>
                <w:rFonts w:eastAsia="標楷體"/>
                <w:kern w:val="0"/>
              </w:rPr>
            </w:pPr>
            <w:r w:rsidRPr="00D55DC6">
              <w:rPr>
                <w:rFonts w:eastAsia="標楷體"/>
                <w:kern w:val="0"/>
                <w:szCs w:val="22"/>
              </w:rPr>
              <w:t>(2)</w:t>
            </w:r>
            <w:r w:rsidRPr="00D55DC6">
              <w:rPr>
                <w:rFonts w:eastAsia="標楷體"/>
                <w:kern w:val="0"/>
                <w:szCs w:val="22"/>
              </w:rPr>
              <w:t>國際觀光重要景點</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kern w:val="0"/>
              </w:rPr>
            </w:pPr>
            <w:r w:rsidRPr="00D55DC6">
              <w:rPr>
                <w:rFonts w:eastAsia="標楷體"/>
                <w:b/>
                <w:kern w:val="0"/>
              </w:rPr>
              <w:t>0.86</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kern w:val="0"/>
              </w:rPr>
            </w:pPr>
            <w:r w:rsidRPr="00D55DC6">
              <w:rPr>
                <w:rFonts w:eastAsia="標楷體"/>
                <w:b/>
                <w:kern w:val="0"/>
              </w:rPr>
              <w:t>1.00</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kern w:val="0"/>
              </w:rPr>
            </w:pPr>
            <w:r w:rsidRPr="00D55DC6">
              <w:rPr>
                <w:rFonts w:eastAsia="標楷體"/>
                <w:b/>
                <w:kern w:val="0"/>
              </w:rPr>
              <w:t>1.20</w:t>
            </w:r>
          </w:p>
        </w:tc>
        <w:tc>
          <w:tcPr>
            <w:tcW w:w="708"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kern w:val="0"/>
              </w:rPr>
            </w:pPr>
            <w:r w:rsidRPr="00D55DC6">
              <w:rPr>
                <w:rFonts w:eastAsia="標楷體"/>
                <w:b/>
                <w:kern w:val="0"/>
              </w:rPr>
              <w:t>0.90</w:t>
            </w:r>
          </w:p>
        </w:tc>
        <w:tc>
          <w:tcPr>
            <w:tcW w:w="851"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3.96</w:t>
            </w:r>
          </w:p>
        </w:tc>
        <w:tc>
          <w:tcPr>
            <w:tcW w:w="1784" w:type="dxa"/>
            <w:tcBorders>
              <w:top w:val="single" w:sz="8" w:space="0" w:color="auto"/>
              <w:left w:val="single" w:sz="8" w:space="0" w:color="auto"/>
              <w:bottom w:val="single" w:sz="4" w:space="0" w:color="auto"/>
              <w:right w:val="single" w:sz="8" w:space="0" w:color="auto"/>
            </w:tcBorders>
          </w:tcPr>
          <w:p w:rsidR="00C050DB" w:rsidRPr="00D55DC6" w:rsidRDefault="00C050DB" w:rsidP="0038165F">
            <w:pPr>
              <w:widowControl/>
              <w:spacing w:line="0" w:lineRule="atLeast"/>
              <w:jc w:val="both"/>
              <w:rPr>
                <w:rFonts w:eastAsia="標楷體"/>
                <w:kern w:val="0"/>
              </w:rPr>
            </w:pPr>
          </w:p>
        </w:tc>
      </w:tr>
      <w:tr w:rsidR="001D0350" w:rsidRPr="00D55DC6" w:rsidTr="00C050DB">
        <w:trPr>
          <w:trHeight w:val="142"/>
        </w:trPr>
        <w:tc>
          <w:tcPr>
            <w:tcW w:w="400" w:type="dxa"/>
            <w:vMerge/>
            <w:tcBorders>
              <w:top w:val="nil"/>
              <w:left w:val="single" w:sz="8" w:space="0" w:color="auto"/>
              <w:bottom w:val="nil"/>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tcPr>
          <w:p w:rsidR="00C050DB" w:rsidRPr="00D55DC6" w:rsidRDefault="00C050DB" w:rsidP="0038165F">
            <w:pPr>
              <w:widowControl/>
              <w:spacing w:line="0" w:lineRule="atLeast"/>
              <w:rPr>
                <w:rFonts w:eastAsia="標楷體"/>
                <w:kern w:val="0"/>
              </w:rPr>
            </w:pPr>
            <w:r w:rsidRPr="00D55DC6">
              <w:rPr>
                <w:rFonts w:eastAsia="標楷體"/>
                <w:kern w:val="0"/>
              </w:rPr>
              <w:t>臺</w:t>
            </w:r>
            <w:r w:rsidRPr="00D55DC6">
              <w:rPr>
                <w:rFonts w:eastAsia="標楷體"/>
                <w:kern w:val="0"/>
              </w:rPr>
              <w:t>18</w:t>
            </w:r>
            <w:r w:rsidRPr="00D55DC6">
              <w:rPr>
                <w:rFonts w:eastAsia="標楷體"/>
                <w:kern w:val="0"/>
              </w:rPr>
              <w:t>線遊憩系統</w:t>
            </w:r>
          </w:p>
        </w:tc>
        <w:tc>
          <w:tcPr>
            <w:tcW w:w="709"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right"/>
              <w:rPr>
                <w:rFonts w:eastAsia="標楷體"/>
                <w:kern w:val="0"/>
              </w:rPr>
            </w:pPr>
            <w:r w:rsidRPr="00D55DC6">
              <w:rPr>
                <w:rFonts w:eastAsia="標楷體"/>
                <w:kern w:val="0"/>
              </w:rPr>
              <w:t>0.86</w:t>
            </w:r>
          </w:p>
        </w:tc>
        <w:tc>
          <w:tcPr>
            <w:tcW w:w="709"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right"/>
              <w:rPr>
                <w:rFonts w:eastAsia="標楷體"/>
                <w:kern w:val="0"/>
              </w:rPr>
            </w:pPr>
            <w:r w:rsidRPr="00D55DC6">
              <w:rPr>
                <w:rFonts w:eastAsia="標楷體"/>
                <w:kern w:val="0"/>
              </w:rPr>
              <w:t>1.00</w:t>
            </w:r>
          </w:p>
        </w:tc>
        <w:tc>
          <w:tcPr>
            <w:tcW w:w="709"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right"/>
              <w:rPr>
                <w:rFonts w:eastAsia="標楷體"/>
                <w:kern w:val="0"/>
              </w:rPr>
            </w:pPr>
            <w:r w:rsidRPr="00D55DC6">
              <w:rPr>
                <w:rFonts w:eastAsia="標楷體"/>
                <w:kern w:val="0"/>
              </w:rPr>
              <w:t>1.20</w:t>
            </w:r>
          </w:p>
        </w:tc>
        <w:tc>
          <w:tcPr>
            <w:tcW w:w="708"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right"/>
              <w:rPr>
                <w:rFonts w:eastAsia="標楷體"/>
                <w:kern w:val="0"/>
              </w:rPr>
            </w:pPr>
            <w:r w:rsidRPr="00D55DC6">
              <w:rPr>
                <w:rFonts w:eastAsia="標楷體"/>
                <w:kern w:val="0"/>
              </w:rPr>
              <w:t>0.90</w:t>
            </w:r>
          </w:p>
        </w:tc>
        <w:tc>
          <w:tcPr>
            <w:tcW w:w="851"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3.96</w:t>
            </w:r>
          </w:p>
        </w:tc>
        <w:tc>
          <w:tcPr>
            <w:tcW w:w="1784" w:type="dxa"/>
            <w:tcBorders>
              <w:top w:val="single" w:sz="4" w:space="0" w:color="auto"/>
              <w:left w:val="single" w:sz="8" w:space="0" w:color="auto"/>
              <w:right w:val="single" w:sz="8" w:space="0" w:color="auto"/>
            </w:tcBorders>
          </w:tcPr>
          <w:p w:rsidR="00C050DB" w:rsidRPr="00D55DC6" w:rsidRDefault="00C050DB" w:rsidP="0038165F">
            <w:pPr>
              <w:widowControl/>
              <w:spacing w:line="0" w:lineRule="atLeast"/>
              <w:jc w:val="both"/>
              <w:rPr>
                <w:rFonts w:eastAsia="標楷體"/>
                <w:kern w:val="0"/>
              </w:rPr>
            </w:pPr>
            <w:r w:rsidRPr="00D55DC6">
              <w:rPr>
                <w:rFonts w:eastAsia="標楷體"/>
                <w:kern w:val="0"/>
              </w:rPr>
              <w:t>臺</w:t>
            </w:r>
            <w:r w:rsidRPr="00D55DC6">
              <w:rPr>
                <w:rFonts w:eastAsia="標楷體"/>
                <w:kern w:val="0"/>
              </w:rPr>
              <w:t>18</w:t>
            </w:r>
            <w:r w:rsidRPr="00D55DC6">
              <w:rPr>
                <w:rFonts w:eastAsia="標楷體"/>
                <w:kern w:val="0"/>
              </w:rPr>
              <w:t>線遊憩系統（觸口、牛埔仔、龍美、鞍頂、隙頂、巃頭、奮起湖、石棹、頂湖、光華、半天岩）等地區周邊遊憩設施與景觀改善</w:t>
            </w:r>
          </w:p>
          <w:p w:rsidR="00D03EE9" w:rsidRPr="00D55DC6" w:rsidRDefault="00D03EE9" w:rsidP="0038165F">
            <w:pPr>
              <w:widowControl/>
              <w:spacing w:line="0" w:lineRule="atLeast"/>
              <w:jc w:val="both"/>
              <w:rPr>
                <w:rFonts w:eastAsia="標楷體"/>
                <w:kern w:val="0"/>
              </w:rPr>
            </w:pPr>
          </w:p>
        </w:tc>
      </w:tr>
      <w:tr w:rsidR="001D0350" w:rsidRPr="00D55DC6" w:rsidTr="00C050DB">
        <w:trPr>
          <w:trHeight w:val="345"/>
        </w:trPr>
        <w:tc>
          <w:tcPr>
            <w:tcW w:w="400" w:type="dxa"/>
            <w:vMerge/>
            <w:tcBorders>
              <w:top w:val="nil"/>
              <w:left w:val="single" w:sz="8" w:space="0" w:color="auto"/>
              <w:bottom w:val="nil"/>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both"/>
              <w:rPr>
                <w:rFonts w:eastAsia="標楷體"/>
                <w:kern w:val="0"/>
              </w:rPr>
            </w:pPr>
            <w:r w:rsidRPr="00D55DC6">
              <w:rPr>
                <w:rFonts w:eastAsia="標楷體"/>
                <w:kern w:val="0"/>
                <w:szCs w:val="22"/>
              </w:rPr>
              <w:t>(3)</w:t>
            </w:r>
            <w:r w:rsidRPr="00D55DC6">
              <w:rPr>
                <w:rFonts w:eastAsia="標楷體"/>
                <w:kern w:val="0"/>
                <w:szCs w:val="22"/>
              </w:rPr>
              <w:t>國內觀光重要景點</w:t>
            </w:r>
          </w:p>
        </w:tc>
        <w:tc>
          <w:tcPr>
            <w:tcW w:w="709" w:type="dxa"/>
            <w:tcBorders>
              <w:top w:val="nil"/>
              <w:left w:val="nil"/>
              <w:bottom w:val="single" w:sz="8" w:space="0" w:color="auto"/>
              <w:right w:val="single" w:sz="8" w:space="0" w:color="auto"/>
            </w:tcBorders>
            <w:shd w:val="clear" w:color="000000" w:fill="CCFFCC"/>
            <w:vAlign w:val="center"/>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1.40</w:t>
            </w:r>
          </w:p>
        </w:tc>
        <w:tc>
          <w:tcPr>
            <w:tcW w:w="709" w:type="dxa"/>
            <w:tcBorders>
              <w:top w:val="nil"/>
              <w:left w:val="nil"/>
              <w:bottom w:val="single" w:sz="8" w:space="0" w:color="auto"/>
              <w:right w:val="single" w:sz="8" w:space="0" w:color="auto"/>
            </w:tcBorders>
            <w:shd w:val="clear" w:color="000000" w:fill="CCFFCC"/>
            <w:vAlign w:val="center"/>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1.30</w:t>
            </w:r>
          </w:p>
        </w:tc>
        <w:tc>
          <w:tcPr>
            <w:tcW w:w="709" w:type="dxa"/>
            <w:tcBorders>
              <w:top w:val="nil"/>
              <w:left w:val="nil"/>
              <w:bottom w:val="single" w:sz="8" w:space="0" w:color="auto"/>
              <w:right w:val="single" w:sz="8" w:space="0" w:color="auto"/>
            </w:tcBorders>
            <w:shd w:val="clear" w:color="000000" w:fill="CCFFCC"/>
            <w:vAlign w:val="center"/>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1.30</w:t>
            </w:r>
          </w:p>
        </w:tc>
        <w:tc>
          <w:tcPr>
            <w:tcW w:w="708" w:type="dxa"/>
            <w:tcBorders>
              <w:top w:val="nil"/>
              <w:left w:val="nil"/>
              <w:bottom w:val="single" w:sz="8" w:space="0" w:color="auto"/>
              <w:right w:val="single" w:sz="8" w:space="0" w:color="auto"/>
            </w:tcBorders>
            <w:shd w:val="clear" w:color="000000" w:fill="CCFFCC"/>
            <w:vAlign w:val="center"/>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1.50</w:t>
            </w:r>
          </w:p>
        </w:tc>
        <w:tc>
          <w:tcPr>
            <w:tcW w:w="851"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5.50</w:t>
            </w:r>
          </w:p>
        </w:tc>
        <w:tc>
          <w:tcPr>
            <w:tcW w:w="1784" w:type="dxa"/>
            <w:tcBorders>
              <w:top w:val="single" w:sz="8" w:space="0" w:color="auto"/>
              <w:left w:val="single" w:sz="8" w:space="0" w:color="auto"/>
              <w:bottom w:val="nil"/>
              <w:right w:val="single" w:sz="8" w:space="0" w:color="auto"/>
            </w:tcBorders>
          </w:tcPr>
          <w:p w:rsidR="00C050DB" w:rsidRPr="00D55DC6" w:rsidRDefault="00C050DB" w:rsidP="0038165F">
            <w:pPr>
              <w:widowControl/>
              <w:spacing w:line="0" w:lineRule="atLeast"/>
              <w:jc w:val="both"/>
              <w:rPr>
                <w:rFonts w:eastAsia="標楷體"/>
                <w:kern w:val="0"/>
              </w:rPr>
            </w:pPr>
          </w:p>
        </w:tc>
      </w:tr>
      <w:tr w:rsidR="001D0350" w:rsidRPr="00D55DC6" w:rsidTr="00C050DB">
        <w:trPr>
          <w:trHeight w:val="292"/>
        </w:trPr>
        <w:tc>
          <w:tcPr>
            <w:tcW w:w="400" w:type="dxa"/>
            <w:vMerge/>
            <w:tcBorders>
              <w:top w:val="nil"/>
              <w:left w:val="single" w:sz="8" w:space="0" w:color="auto"/>
              <w:bottom w:val="nil"/>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tcPr>
          <w:p w:rsidR="00C050DB" w:rsidRPr="00D55DC6" w:rsidRDefault="00C050DB" w:rsidP="0038165F">
            <w:pPr>
              <w:spacing w:line="0" w:lineRule="atLeast"/>
            </w:pPr>
            <w:r w:rsidRPr="00D55DC6">
              <w:rPr>
                <w:rFonts w:eastAsia="標楷體"/>
                <w:kern w:val="0"/>
              </w:rPr>
              <w:t>鄒族文化遊憩系統</w:t>
            </w:r>
          </w:p>
        </w:tc>
        <w:tc>
          <w:tcPr>
            <w:tcW w:w="709"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right"/>
              <w:rPr>
                <w:rFonts w:eastAsia="標楷體"/>
                <w:kern w:val="0"/>
              </w:rPr>
            </w:pPr>
            <w:r w:rsidRPr="00D55DC6">
              <w:rPr>
                <w:rFonts w:eastAsia="標楷體"/>
                <w:kern w:val="0"/>
              </w:rPr>
              <w:t>0.50</w:t>
            </w:r>
          </w:p>
        </w:tc>
        <w:tc>
          <w:tcPr>
            <w:tcW w:w="709"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right"/>
              <w:rPr>
                <w:rFonts w:eastAsia="標楷體"/>
                <w:kern w:val="0"/>
              </w:rPr>
            </w:pPr>
            <w:r w:rsidRPr="00D55DC6">
              <w:rPr>
                <w:rFonts w:eastAsia="標楷體"/>
                <w:kern w:val="0"/>
              </w:rPr>
              <w:t>0.50</w:t>
            </w:r>
          </w:p>
        </w:tc>
        <w:tc>
          <w:tcPr>
            <w:tcW w:w="709"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right"/>
              <w:rPr>
                <w:rFonts w:eastAsia="標楷體"/>
                <w:kern w:val="0"/>
              </w:rPr>
            </w:pPr>
            <w:r w:rsidRPr="00D55DC6">
              <w:rPr>
                <w:rFonts w:eastAsia="標楷體"/>
                <w:kern w:val="0"/>
              </w:rPr>
              <w:t>0.50</w:t>
            </w:r>
          </w:p>
        </w:tc>
        <w:tc>
          <w:tcPr>
            <w:tcW w:w="708"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right"/>
              <w:rPr>
                <w:rFonts w:eastAsia="標楷體"/>
                <w:kern w:val="0"/>
              </w:rPr>
            </w:pPr>
            <w:r w:rsidRPr="00D55DC6">
              <w:rPr>
                <w:rFonts w:eastAsia="標楷體"/>
                <w:kern w:val="0"/>
              </w:rPr>
              <w:t>0.50</w:t>
            </w:r>
          </w:p>
        </w:tc>
        <w:tc>
          <w:tcPr>
            <w:tcW w:w="851"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2.00</w:t>
            </w:r>
          </w:p>
        </w:tc>
        <w:tc>
          <w:tcPr>
            <w:tcW w:w="1784" w:type="dxa"/>
            <w:tcBorders>
              <w:top w:val="single" w:sz="8" w:space="0" w:color="auto"/>
              <w:left w:val="single" w:sz="8" w:space="0" w:color="auto"/>
              <w:bottom w:val="nil"/>
              <w:right w:val="single" w:sz="8" w:space="0" w:color="auto"/>
            </w:tcBorders>
            <w:vAlign w:val="center"/>
          </w:tcPr>
          <w:p w:rsidR="00C050DB" w:rsidRPr="00D55DC6" w:rsidRDefault="00C050DB" w:rsidP="0038165F">
            <w:pPr>
              <w:widowControl/>
              <w:spacing w:line="0" w:lineRule="atLeast"/>
              <w:rPr>
                <w:rFonts w:eastAsia="標楷體"/>
                <w:kern w:val="0"/>
              </w:rPr>
            </w:pPr>
            <w:r w:rsidRPr="00D55DC6">
              <w:rPr>
                <w:rFonts w:eastAsia="標楷體"/>
                <w:kern w:val="0"/>
              </w:rPr>
              <w:t>鄒族文化遊憩系統（達邦、特富野、里佳、樂野、山美、新美、茶山）等地區周邊遊憩設施與景觀改善</w:t>
            </w:r>
          </w:p>
        </w:tc>
      </w:tr>
      <w:tr w:rsidR="001D0350" w:rsidRPr="00D55DC6" w:rsidTr="00C050DB">
        <w:trPr>
          <w:trHeight w:val="183"/>
        </w:trPr>
        <w:tc>
          <w:tcPr>
            <w:tcW w:w="400" w:type="dxa"/>
            <w:vMerge/>
            <w:tcBorders>
              <w:top w:val="nil"/>
              <w:left w:val="single" w:sz="8" w:space="0" w:color="auto"/>
              <w:bottom w:val="nil"/>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tcPr>
          <w:p w:rsidR="00C050DB" w:rsidRPr="00D55DC6" w:rsidRDefault="00C050DB" w:rsidP="0038165F">
            <w:pPr>
              <w:spacing w:line="0" w:lineRule="atLeast"/>
            </w:pPr>
            <w:r w:rsidRPr="00D55DC6">
              <w:rPr>
                <w:rFonts w:eastAsia="標楷體"/>
                <w:kern w:val="0"/>
              </w:rPr>
              <w:t>西北廊道遊憩系統</w:t>
            </w:r>
          </w:p>
        </w:tc>
        <w:tc>
          <w:tcPr>
            <w:tcW w:w="709"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right"/>
              <w:rPr>
                <w:rFonts w:eastAsia="標楷體"/>
                <w:kern w:val="0"/>
                <w:szCs w:val="22"/>
              </w:rPr>
            </w:pPr>
            <w:r w:rsidRPr="00D55DC6">
              <w:rPr>
                <w:rFonts w:eastAsia="標楷體"/>
                <w:kern w:val="0"/>
                <w:szCs w:val="22"/>
              </w:rPr>
              <w:t>0.90</w:t>
            </w:r>
          </w:p>
        </w:tc>
        <w:tc>
          <w:tcPr>
            <w:tcW w:w="709"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right"/>
              <w:rPr>
                <w:rFonts w:eastAsia="標楷體"/>
                <w:kern w:val="0"/>
                <w:szCs w:val="22"/>
              </w:rPr>
            </w:pPr>
            <w:r w:rsidRPr="00D55DC6">
              <w:rPr>
                <w:rFonts w:eastAsia="標楷體"/>
                <w:kern w:val="0"/>
                <w:szCs w:val="22"/>
              </w:rPr>
              <w:t>0.80</w:t>
            </w:r>
          </w:p>
        </w:tc>
        <w:tc>
          <w:tcPr>
            <w:tcW w:w="709"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right"/>
              <w:rPr>
                <w:rFonts w:eastAsia="標楷體"/>
                <w:kern w:val="0"/>
                <w:szCs w:val="22"/>
              </w:rPr>
            </w:pPr>
            <w:r w:rsidRPr="00D55DC6">
              <w:rPr>
                <w:rFonts w:eastAsia="標楷體"/>
                <w:kern w:val="0"/>
                <w:szCs w:val="22"/>
              </w:rPr>
              <w:t>0.80</w:t>
            </w:r>
          </w:p>
        </w:tc>
        <w:tc>
          <w:tcPr>
            <w:tcW w:w="708"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right"/>
              <w:rPr>
                <w:rFonts w:eastAsia="標楷體"/>
                <w:kern w:val="0"/>
                <w:szCs w:val="22"/>
              </w:rPr>
            </w:pPr>
            <w:r w:rsidRPr="00D55DC6">
              <w:rPr>
                <w:rFonts w:eastAsia="標楷體"/>
                <w:kern w:val="0"/>
                <w:szCs w:val="22"/>
              </w:rPr>
              <w:t>1.00</w:t>
            </w:r>
          </w:p>
        </w:tc>
        <w:tc>
          <w:tcPr>
            <w:tcW w:w="851"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
                <w:bCs/>
                <w:kern w:val="0"/>
                <w:szCs w:val="22"/>
              </w:rPr>
            </w:pPr>
            <w:r w:rsidRPr="00D55DC6">
              <w:rPr>
                <w:rFonts w:eastAsia="標楷體"/>
                <w:b/>
                <w:bCs/>
                <w:kern w:val="0"/>
                <w:szCs w:val="22"/>
              </w:rPr>
              <w:t>3.50</w:t>
            </w:r>
          </w:p>
        </w:tc>
        <w:tc>
          <w:tcPr>
            <w:tcW w:w="1784" w:type="dxa"/>
            <w:tcBorders>
              <w:top w:val="single" w:sz="8" w:space="0" w:color="auto"/>
              <w:left w:val="single" w:sz="8" w:space="0" w:color="auto"/>
              <w:bottom w:val="nil"/>
              <w:right w:val="single" w:sz="8" w:space="0" w:color="auto"/>
            </w:tcBorders>
            <w:vAlign w:val="center"/>
          </w:tcPr>
          <w:p w:rsidR="00C050DB" w:rsidRPr="00D55DC6" w:rsidRDefault="00C050DB" w:rsidP="0038165F">
            <w:pPr>
              <w:widowControl/>
              <w:spacing w:line="0" w:lineRule="atLeast"/>
              <w:rPr>
                <w:rFonts w:eastAsia="標楷體"/>
                <w:kern w:val="0"/>
              </w:rPr>
            </w:pPr>
            <w:r w:rsidRPr="00D55DC6">
              <w:rPr>
                <w:rFonts w:eastAsia="標楷體"/>
                <w:kern w:val="0"/>
              </w:rPr>
              <w:t>西北廊道遊憩系統（豐山、來吉、太和、瑞里、瑞峰、仁壽、金獅、文峰、太平、太興、碧湖、龍眼）等地區周邊遊憩設施與景觀改善</w:t>
            </w:r>
          </w:p>
        </w:tc>
      </w:tr>
      <w:tr w:rsidR="001D0350" w:rsidRPr="00D55DC6" w:rsidTr="00C050DB">
        <w:trPr>
          <w:trHeight w:val="345"/>
        </w:trPr>
        <w:tc>
          <w:tcPr>
            <w:tcW w:w="400" w:type="dxa"/>
            <w:vMerge/>
            <w:tcBorders>
              <w:top w:val="nil"/>
              <w:left w:val="single" w:sz="8" w:space="0" w:color="auto"/>
              <w:bottom w:val="nil"/>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2344" w:type="dxa"/>
            <w:tcBorders>
              <w:top w:val="single" w:sz="8" w:space="0" w:color="auto"/>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both"/>
              <w:rPr>
                <w:rFonts w:eastAsia="標楷體"/>
                <w:kern w:val="0"/>
              </w:rPr>
            </w:pPr>
            <w:r w:rsidRPr="00D55DC6">
              <w:rPr>
                <w:rFonts w:eastAsia="標楷體"/>
                <w:kern w:val="0"/>
                <w:szCs w:val="22"/>
              </w:rPr>
              <w:t>(4)</w:t>
            </w:r>
            <w:r w:rsidRPr="00D55DC6">
              <w:rPr>
                <w:rFonts w:eastAsia="標楷體"/>
                <w:kern w:val="0"/>
                <w:szCs w:val="22"/>
              </w:rPr>
              <w:t>環境及設施整修</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kern w:val="0"/>
              </w:rPr>
            </w:pPr>
            <w:r w:rsidRPr="00D55DC6">
              <w:rPr>
                <w:rFonts w:eastAsia="標楷體"/>
                <w:b/>
                <w:kern w:val="0"/>
              </w:rPr>
              <w:t>0.40</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kern w:val="0"/>
              </w:rPr>
            </w:pPr>
            <w:r w:rsidRPr="00D55DC6">
              <w:rPr>
                <w:rFonts w:eastAsia="標楷體"/>
                <w:b/>
                <w:kern w:val="0"/>
              </w:rPr>
              <w:t>0.40</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kern w:val="0"/>
              </w:rPr>
            </w:pPr>
            <w:r w:rsidRPr="00D55DC6">
              <w:rPr>
                <w:rFonts w:eastAsia="標楷體"/>
                <w:b/>
                <w:kern w:val="0"/>
              </w:rPr>
              <w:t>0.45</w:t>
            </w:r>
          </w:p>
        </w:tc>
        <w:tc>
          <w:tcPr>
            <w:tcW w:w="708"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kern w:val="0"/>
              </w:rPr>
            </w:pPr>
            <w:r w:rsidRPr="00D55DC6">
              <w:rPr>
                <w:rFonts w:eastAsia="標楷體"/>
                <w:b/>
                <w:kern w:val="0"/>
              </w:rPr>
              <w:t>0.40</w:t>
            </w:r>
          </w:p>
        </w:tc>
        <w:tc>
          <w:tcPr>
            <w:tcW w:w="851"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1.65</w:t>
            </w:r>
          </w:p>
        </w:tc>
        <w:tc>
          <w:tcPr>
            <w:tcW w:w="1784" w:type="dxa"/>
            <w:vMerge w:val="restart"/>
            <w:tcBorders>
              <w:top w:val="single" w:sz="8" w:space="0" w:color="auto"/>
              <w:left w:val="single" w:sz="8" w:space="0" w:color="auto"/>
              <w:bottom w:val="single" w:sz="8" w:space="0" w:color="000000"/>
              <w:right w:val="single" w:sz="8" w:space="0" w:color="auto"/>
            </w:tcBorders>
          </w:tcPr>
          <w:p w:rsidR="00C050DB" w:rsidRPr="00D55DC6" w:rsidRDefault="00C050DB" w:rsidP="0038165F">
            <w:pPr>
              <w:widowControl/>
              <w:spacing w:line="0" w:lineRule="atLeast"/>
              <w:rPr>
                <w:rFonts w:eastAsia="標楷體"/>
                <w:kern w:val="0"/>
              </w:rPr>
            </w:pPr>
            <w:r w:rsidRPr="00D55DC6">
              <w:rPr>
                <w:rFonts w:eastAsia="標楷體"/>
                <w:kern w:val="0"/>
              </w:rPr>
              <w:t>旅遊服務系統、環境維護及設施維持、全區災害復舊及一般零星工程</w:t>
            </w:r>
          </w:p>
        </w:tc>
      </w:tr>
      <w:tr w:rsidR="001D0350" w:rsidRPr="00D55DC6" w:rsidTr="00C050DB">
        <w:trPr>
          <w:trHeight w:val="345"/>
        </w:trPr>
        <w:tc>
          <w:tcPr>
            <w:tcW w:w="400" w:type="dxa"/>
            <w:vMerge/>
            <w:tcBorders>
              <w:top w:val="nil"/>
              <w:left w:val="single" w:sz="8" w:space="0" w:color="auto"/>
              <w:bottom w:val="nil"/>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both"/>
              <w:rPr>
                <w:rFonts w:eastAsia="標楷體"/>
                <w:kern w:val="0"/>
              </w:rPr>
            </w:pPr>
            <w:r w:rsidRPr="00D55DC6">
              <w:rPr>
                <w:rFonts w:eastAsia="標楷體"/>
                <w:kern w:val="0"/>
                <w:szCs w:val="22"/>
              </w:rPr>
              <w:t>旅遊服務系統</w:t>
            </w:r>
          </w:p>
        </w:tc>
        <w:tc>
          <w:tcPr>
            <w:tcW w:w="709" w:type="dxa"/>
            <w:tcBorders>
              <w:top w:val="nil"/>
              <w:left w:val="nil"/>
              <w:bottom w:val="single" w:sz="8" w:space="0" w:color="auto"/>
              <w:right w:val="single" w:sz="8" w:space="0" w:color="auto"/>
            </w:tcBorders>
            <w:vAlign w:val="center"/>
          </w:tcPr>
          <w:p w:rsidR="00C050DB" w:rsidRPr="00D55DC6" w:rsidRDefault="00C050DB" w:rsidP="0038165F">
            <w:pPr>
              <w:widowControl/>
              <w:spacing w:line="0" w:lineRule="atLeast"/>
              <w:jc w:val="right"/>
              <w:rPr>
                <w:rFonts w:eastAsia="標楷體"/>
                <w:kern w:val="0"/>
              </w:rPr>
            </w:pPr>
            <w:r w:rsidRPr="00D55DC6">
              <w:rPr>
                <w:rFonts w:eastAsia="標楷體"/>
                <w:kern w:val="0"/>
              </w:rPr>
              <w:t>0.05</w:t>
            </w:r>
          </w:p>
        </w:tc>
        <w:tc>
          <w:tcPr>
            <w:tcW w:w="709"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right"/>
              <w:rPr>
                <w:rFonts w:eastAsia="標楷體"/>
                <w:kern w:val="0"/>
              </w:rPr>
            </w:pPr>
            <w:r w:rsidRPr="00D55DC6">
              <w:rPr>
                <w:rFonts w:eastAsia="標楷體"/>
                <w:kern w:val="0"/>
              </w:rPr>
              <w:t>0.05</w:t>
            </w:r>
          </w:p>
        </w:tc>
        <w:tc>
          <w:tcPr>
            <w:tcW w:w="709"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right"/>
              <w:rPr>
                <w:rFonts w:eastAsia="標楷體"/>
                <w:kern w:val="0"/>
              </w:rPr>
            </w:pPr>
            <w:r w:rsidRPr="00D55DC6">
              <w:rPr>
                <w:rFonts w:eastAsia="標楷體"/>
                <w:kern w:val="0"/>
              </w:rPr>
              <w:t>0.05</w:t>
            </w:r>
          </w:p>
        </w:tc>
        <w:tc>
          <w:tcPr>
            <w:tcW w:w="708"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right"/>
              <w:rPr>
                <w:rFonts w:eastAsia="標楷體"/>
                <w:kern w:val="0"/>
              </w:rPr>
            </w:pPr>
            <w:r w:rsidRPr="00D55DC6">
              <w:rPr>
                <w:rFonts w:eastAsia="標楷體"/>
                <w:kern w:val="0"/>
              </w:rPr>
              <w:t>0.05</w:t>
            </w:r>
          </w:p>
        </w:tc>
        <w:tc>
          <w:tcPr>
            <w:tcW w:w="851"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0.20</w:t>
            </w:r>
          </w:p>
        </w:tc>
        <w:tc>
          <w:tcPr>
            <w:tcW w:w="1784" w:type="dxa"/>
            <w:vMerge/>
            <w:tcBorders>
              <w:top w:val="single" w:sz="8" w:space="0" w:color="auto"/>
              <w:left w:val="single" w:sz="8" w:space="0" w:color="auto"/>
              <w:bottom w:val="single" w:sz="8" w:space="0" w:color="000000"/>
              <w:right w:val="single" w:sz="8" w:space="0" w:color="auto"/>
            </w:tcBorders>
            <w:vAlign w:val="center"/>
          </w:tcPr>
          <w:p w:rsidR="00C050DB" w:rsidRPr="00D55DC6" w:rsidRDefault="00C050DB" w:rsidP="0038165F">
            <w:pPr>
              <w:widowControl/>
              <w:spacing w:line="0" w:lineRule="atLeast"/>
              <w:rPr>
                <w:rFonts w:eastAsia="標楷體"/>
                <w:kern w:val="0"/>
              </w:rPr>
            </w:pPr>
          </w:p>
        </w:tc>
      </w:tr>
      <w:tr w:rsidR="001D0350" w:rsidRPr="00D55DC6" w:rsidTr="00C050DB">
        <w:trPr>
          <w:trHeight w:val="345"/>
        </w:trPr>
        <w:tc>
          <w:tcPr>
            <w:tcW w:w="400" w:type="dxa"/>
            <w:vMerge/>
            <w:tcBorders>
              <w:top w:val="nil"/>
              <w:left w:val="single" w:sz="8" w:space="0" w:color="auto"/>
              <w:bottom w:val="nil"/>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both"/>
              <w:rPr>
                <w:rFonts w:eastAsia="標楷體"/>
                <w:kern w:val="0"/>
              </w:rPr>
            </w:pPr>
            <w:r w:rsidRPr="00D55DC6">
              <w:rPr>
                <w:rFonts w:eastAsia="標楷體"/>
                <w:kern w:val="0"/>
                <w:szCs w:val="22"/>
              </w:rPr>
              <w:t>環境維護及設施維持</w:t>
            </w:r>
          </w:p>
        </w:tc>
        <w:tc>
          <w:tcPr>
            <w:tcW w:w="709" w:type="dxa"/>
            <w:tcBorders>
              <w:top w:val="nil"/>
              <w:left w:val="nil"/>
              <w:bottom w:val="single" w:sz="8" w:space="0" w:color="auto"/>
              <w:right w:val="single" w:sz="8" w:space="0" w:color="auto"/>
            </w:tcBorders>
            <w:vAlign w:val="center"/>
          </w:tcPr>
          <w:p w:rsidR="00C050DB" w:rsidRPr="00D55DC6" w:rsidRDefault="00C050DB" w:rsidP="0038165F">
            <w:pPr>
              <w:widowControl/>
              <w:spacing w:line="0" w:lineRule="atLeast"/>
              <w:jc w:val="right"/>
              <w:rPr>
                <w:rFonts w:eastAsia="標楷體"/>
                <w:kern w:val="0"/>
              </w:rPr>
            </w:pPr>
            <w:r w:rsidRPr="00D55DC6">
              <w:rPr>
                <w:rFonts w:eastAsia="標楷體"/>
                <w:kern w:val="0"/>
              </w:rPr>
              <w:t>0.20</w:t>
            </w:r>
          </w:p>
        </w:tc>
        <w:tc>
          <w:tcPr>
            <w:tcW w:w="709"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right"/>
              <w:rPr>
                <w:rFonts w:eastAsia="標楷體"/>
                <w:kern w:val="0"/>
              </w:rPr>
            </w:pPr>
            <w:r w:rsidRPr="00D55DC6">
              <w:rPr>
                <w:rFonts w:eastAsia="標楷體"/>
                <w:kern w:val="0"/>
              </w:rPr>
              <w:t>0.20</w:t>
            </w:r>
          </w:p>
        </w:tc>
        <w:tc>
          <w:tcPr>
            <w:tcW w:w="709"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right"/>
              <w:rPr>
                <w:rFonts w:eastAsia="標楷體"/>
                <w:kern w:val="0"/>
              </w:rPr>
            </w:pPr>
            <w:r w:rsidRPr="00D55DC6">
              <w:rPr>
                <w:rFonts w:eastAsia="標楷體"/>
                <w:kern w:val="0"/>
              </w:rPr>
              <w:t>0.20</w:t>
            </w:r>
          </w:p>
        </w:tc>
        <w:tc>
          <w:tcPr>
            <w:tcW w:w="708"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right"/>
              <w:rPr>
                <w:rFonts w:eastAsia="標楷體"/>
                <w:kern w:val="0"/>
              </w:rPr>
            </w:pPr>
            <w:r w:rsidRPr="00D55DC6">
              <w:rPr>
                <w:rFonts w:eastAsia="標楷體"/>
                <w:kern w:val="0"/>
              </w:rPr>
              <w:t>0.20</w:t>
            </w:r>
          </w:p>
        </w:tc>
        <w:tc>
          <w:tcPr>
            <w:tcW w:w="851"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0.80</w:t>
            </w:r>
          </w:p>
        </w:tc>
        <w:tc>
          <w:tcPr>
            <w:tcW w:w="1784" w:type="dxa"/>
            <w:vMerge/>
            <w:tcBorders>
              <w:top w:val="single" w:sz="8" w:space="0" w:color="auto"/>
              <w:left w:val="single" w:sz="8" w:space="0" w:color="auto"/>
              <w:bottom w:val="single" w:sz="8" w:space="0" w:color="000000"/>
              <w:right w:val="single" w:sz="8" w:space="0" w:color="auto"/>
            </w:tcBorders>
            <w:vAlign w:val="center"/>
          </w:tcPr>
          <w:p w:rsidR="00C050DB" w:rsidRPr="00D55DC6" w:rsidRDefault="00C050DB" w:rsidP="0038165F">
            <w:pPr>
              <w:widowControl/>
              <w:spacing w:line="0" w:lineRule="atLeast"/>
              <w:rPr>
                <w:rFonts w:eastAsia="標楷體"/>
                <w:kern w:val="0"/>
              </w:rPr>
            </w:pPr>
          </w:p>
        </w:tc>
      </w:tr>
      <w:tr w:rsidR="001D0350" w:rsidRPr="00D55DC6" w:rsidTr="00C050DB">
        <w:trPr>
          <w:trHeight w:val="645"/>
        </w:trPr>
        <w:tc>
          <w:tcPr>
            <w:tcW w:w="400" w:type="dxa"/>
            <w:vMerge/>
            <w:tcBorders>
              <w:top w:val="nil"/>
              <w:left w:val="single" w:sz="8" w:space="0" w:color="auto"/>
              <w:bottom w:val="nil"/>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both"/>
              <w:rPr>
                <w:rFonts w:eastAsia="標楷體"/>
                <w:kern w:val="0"/>
              </w:rPr>
            </w:pPr>
            <w:r w:rsidRPr="00D55DC6">
              <w:rPr>
                <w:rFonts w:eastAsia="標楷體"/>
                <w:kern w:val="0"/>
                <w:szCs w:val="22"/>
              </w:rPr>
              <w:t>全區災害復舊及一般零星工程</w:t>
            </w:r>
          </w:p>
        </w:tc>
        <w:tc>
          <w:tcPr>
            <w:tcW w:w="709"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right"/>
              <w:rPr>
                <w:rFonts w:eastAsia="標楷體"/>
                <w:kern w:val="0"/>
              </w:rPr>
            </w:pPr>
            <w:r w:rsidRPr="00D55DC6">
              <w:rPr>
                <w:rFonts w:eastAsia="標楷體"/>
                <w:kern w:val="0"/>
              </w:rPr>
              <w:t>0.15</w:t>
            </w:r>
          </w:p>
        </w:tc>
        <w:tc>
          <w:tcPr>
            <w:tcW w:w="709"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right"/>
              <w:rPr>
                <w:rFonts w:eastAsia="標楷體"/>
                <w:kern w:val="0"/>
              </w:rPr>
            </w:pPr>
            <w:r w:rsidRPr="00D55DC6">
              <w:rPr>
                <w:rFonts w:eastAsia="標楷體"/>
                <w:kern w:val="0"/>
              </w:rPr>
              <w:t>0.15</w:t>
            </w:r>
          </w:p>
        </w:tc>
        <w:tc>
          <w:tcPr>
            <w:tcW w:w="709"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right"/>
              <w:rPr>
                <w:rFonts w:eastAsia="標楷體"/>
                <w:kern w:val="0"/>
              </w:rPr>
            </w:pPr>
            <w:r w:rsidRPr="00D55DC6">
              <w:rPr>
                <w:rFonts w:eastAsia="標楷體"/>
                <w:kern w:val="0"/>
              </w:rPr>
              <w:t>0.20</w:t>
            </w:r>
          </w:p>
        </w:tc>
        <w:tc>
          <w:tcPr>
            <w:tcW w:w="708" w:type="dxa"/>
            <w:tcBorders>
              <w:top w:val="nil"/>
              <w:left w:val="nil"/>
              <w:bottom w:val="single" w:sz="8" w:space="0" w:color="auto"/>
              <w:right w:val="single" w:sz="8" w:space="0" w:color="auto"/>
            </w:tcBorders>
          </w:tcPr>
          <w:p w:rsidR="00C050DB" w:rsidRPr="00D55DC6" w:rsidRDefault="00C050DB" w:rsidP="0038165F">
            <w:pPr>
              <w:widowControl/>
              <w:spacing w:line="0" w:lineRule="atLeast"/>
              <w:jc w:val="right"/>
              <w:rPr>
                <w:rFonts w:eastAsia="標楷體"/>
                <w:kern w:val="0"/>
              </w:rPr>
            </w:pPr>
            <w:r w:rsidRPr="00D55DC6">
              <w:rPr>
                <w:rFonts w:eastAsia="標楷體"/>
                <w:kern w:val="0"/>
              </w:rPr>
              <w:t>0.15</w:t>
            </w:r>
          </w:p>
        </w:tc>
        <w:tc>
          <w:tcPr>
            <w:tcW w:w="851"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0.65</w:t>
            </w:r>
          </w:p>
        </w:tc>
        <w:tc>
          <w:tcPr>
            <w:tcW w:w="1784" w:type="dxa"/>
            <w:vMerge/>
            <w:tcBorders>
              <w:top w:val="single" w:sz="8" w:space="0" w:color="auto"/>
              <w:left w:val="single" w:sz="8" w:space="0" w:color="auto"/>
              <w:bottom w:val="single" w:sz="8" w:space="0" w:color="000000"/>
              <w:right w:val="single" w:sz="8" w:space="0" w:color="auto"/>
            </w:tcBorders>
            <w:vAlign w:val="center"/>
          </w:tcPr>
          <w:p w:rsidR="00C050DB" w:rsidRPr="00D55DC6" w:rsidRDefault="00C050DB" w:rsidP="0038165F">
            <w:pPr>
              <w:widowControl/>
              <w:spacing w:line="0" w:lineRule="atLeast"/>
              <w:rPr>
                <w:rFonts w:eastAsia="標楷體"/>
                <w:kern w:val="0"/>
              </w:rPr>
            </w:pPr>
          </w:p>
        </w:tc>
      </w:tr>
      <w:tr w:rsidR="001D0350" w:rsidRPr="00D55DC6" w:rsidTr="00C050DB">
        <w:trPr>
          <w:trHeight w:val="345"/>
        </w:trPr>
        <w:tc>
          <w:tcPr>
            <w:tcW w:w="400" w:type="dxa"/>
            <w:tcBorders>
              <w:top w:val="nil"/>
              <w:left w:val="single" w:sz="8" w:space="0" w:color="auto"/>
              <w:bottom w:val="single" w:sz="8" w:space="0" w:color="auto"/>
              <w:right w:val="single" w:sz="8" w:space="0" w:color="auto"/>
            </w:tcBorders>
            <w:shd w:val="clear" w:color="000000" w:fill="CCFFCC"/>
          </w:tcPr>
          <w:p w:rsidR="00C050DB" w:rsidRPr="00D55DC6" w:rsidRDefault="00C050DB" w:rsidP="0038165F">
            <w:pPr>
              <w:widowControl/>
              <w:spacing w:line="0" w:lineRule="atLeast"/>
              <w:jc w:val="center"/>
              <w:rPr>
                <w:rFonts w:eastAsia="標楷體"/>
                <w:kern w:val="0"/>
              </w:rPr>
            </w:pPr>
            <w:r w:rsidRPr="00D55DC6">
              <w:rPr>
                <w:rFonts w:eastAsia="標楷體"/>
                <w:kern w:val="0"/>
                <w:szCs w:val="22"/>
              </w:rPr>
              <w:t xml:space="preserve">　</w:t>
            </w:r>
          </w:p>
        </w:tc>
        <w:tc>
          <w:tcPr>
            <w:tcW w:w="891"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center"/>
              <w:rPr>
                <w:rFonts w:eastAsia="標楷體"/>
                <w:kern w:val="0"/>
              </w:rPr>
            </w:pPr>
            <w:r w:rsidRPr="00D55DC6">
              <w:rPr>
                <w:rFonts w:eastAsia="標楷體"/>
                <w:kern w:val="0"/>
                <w:szCs w:val="22"/>
              </w:rPr>
              <w:t xml:space="preserve">　</w:t>
            </w:r>
          </w:p>
        </w:tc>
        <w:tc>
          <w:tcPr>
            <w:tcW w:w="1102"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center"/>
              <w:rPr>
                <w:rFonts w:eastAsia="標楷體"/>
                <w:kern w:val="0"/>
              </w:rPr>
            </w:pPr>
            <w:r w:rsidRPr="00D55DC6">
              <w:rPr>
                <w:rFonts w:eastAsia="標楷體"/>
                <w:kern w:val="0"/>
                <w:szCs w:val="22"/>
              </w:rPr>
              <w:t xml:space="preserve">　</w:t>
            </w:r>
          </w:p>
        </w:tc>
        <w:tc>
          <w:tcPr>
            <w:tcW w:w="2344"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center"/>
              <w:rPr>
                <w:rFonts w:eastAsia="標楷體"/>
                <w:b/>
                <w:bCs/>
                <w:kern w:val="0"/>
              </w:rPr>
            </w:pPr>
            <w:r w:rsidRPr="00D55DC6">
              <w:rPr>
                <w:rFonts w:eastAsia="標楷體"/>
                <w:b/>
                <w:bCs/>
                <w:kern w:val="0"/>
                <w:szCs w:val="22"/>
              </w:rPr>
              <w:t>資本門合計</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2.81</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2.85</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3.10</w:t>
            </w:r>
          </w:p>
        </w:tc>
        <w:tc>
          <w:tcPr>
            <w:tcW w:w="708"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2.95</w:t>
            </w:r>
          </w:p>
        </w:tc>
        <w:tc>
          <w:tcPr>
            <w:tcW w:w="851"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11.71</w:t>
            </w:r>
          </w:p>
        </w:tc>
        <w:tc>
          <w:tcPr>
            <w:tcW w:w="1784" w:type="dxa"/>
            <w:tcBorders>
              <w:top w:val="nil"/>
              <w:left w:val="nil"/>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r w:rsidRPr="00D55DC6">
              <w:rPr>
                <w:rFonts w:eastAsia="標楷體"/>
                <w:kern w:val="0"/>
                <w:szCs w:val="22"/>
              </w:rPr>
              <w:t xml:space="preserve">　</w:t>
            </w:r>
          </w:p>
        </w:tc>
      </w:tr>
      <w:tr w:rsidR="001D0350" w:rsidRPr="00D55DC6" w:rsidTr="00C050DB">
        <w:trPr>
          <w:trHeight w:val="345"/>
        </w:trPr>
        <w:tc>
          <w:tcPr>
            <w:tcW w:w="4737" w:type="dxa"/>
            <w:gridSpan w:val="4"/>
            <w:tcBorders>
              <w:top w:val="single" w:sz="8" w:space="0" w:color="auto"/>
              <w:left w:val="single" w:sz="8" w:space="0" w:color="auto"/>
              <w:bottom w:val="single" w:sz="8" w:space="0" w:color="auto"/>
              <w:right w:val="single" w:sz="8" w:space="0" w:color="auto"/>
            </w:tcBorders>
            <w:shd w:val="clear" w:color="000000" w:fill="CCFFCC"/>
          </w:tcPr>
          <w:p w:rsidR="00C050DB" w:rsidRPr="00D55DC6" w:rsidRDefault="00C050DB" w:rsidP="0038165F">
            <w:pPr>
              <w:widowControl/>
              <w:spacing w:line="0" w:lineRule="atLeast"/>
              <w:jc w:val="center"/>
              <w:rPr>
                <w:rFonts w:eastAsia="標楷體"/>
                <w:b/>
                <w:bCs/>
                <w:kern w:val="0"/>
              </w:rPr>
            </w:pPr>
            <w:r w:rsidRPr="00D55DC6">
              <w:rPr>
                <w:rFonts w:eastAsia="標楷體"/>
                <w:b/>
                <w:bCs/>
                <w:kern w:val="0"/>
                <w:szCs w:val="22"/>
              </w:rPr>
              <w:t xml:space="preserve">經資門合計　　</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3.06</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3.10</w:t>
            </w:r>
          </w:p>
        </w:tc>
        <w:tc>
          <w:tcPr>
            <w:tcW w:w="709"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3.35</w:t>
            </w:r>
          </w:p>
        </w:tc>
        <w:tc>
          <w:tcPr>
            <w:tcW w:w="708" w:type="dxa"/>
            <w:tcBorders>
              <w:top w:val="nil"/>
              <w:left w:val="nil"/>
              <w:bottom w:val="single" w:sz="8" w:space="0" w:color="auto"/>
              <w:right w:val="single" w:sz="8" w:space="0" w:color="auto"/>
            </w:tcBorders>
            <w:shd w:val="clear" w:color="000000" w:fill="CCFFCC"/>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3.20</w:t>
            </w:r>
          </w:p>
        </w:tc>
        <w:tc>
          <w:tcPr>
            <w:tcW w:w="851" w:type="dxa"/>
            <w:tcBorders>
              <w:top w:val="nil"/>
              <w:left w:val="nil"/>
              <w:bottom w:val="single" w:sz="8" w:space="0" w:color="auto"/>
              <w:right w:val="single" w:sz="8" w:space="0" w:color="auto"/>
            </w:tcBorders>
            <w:shd w:val="clear" w:color="000000" w:fill="CCFFFF"/>
          </w:tcPr>
          <w:p w:rsidR="00C050DB" w:rsidRPr="00D55DC6" w:rsidRDefault="00C050DB" w:rsidP="0038165F">
            <w:pPr>
              <w:widowControl/>
              <w:spacing w:line="0" w:lineRule="atLeast"/>
              <w:jc w:val="right"/>
              <w:rPr>
                <w:rFonts w:eastAsia="標楷體"/>
                <w:b/>
                <w:bCs/>
                <w:kern w:val="0"/>
              </w:rPr>
            </w:pPr>
            <w:r w:rsidRPr="00D55DC6">
              <w:rPr>
                <w:rFonts w:eastAsia="標楷體"/>
                <w:b/>
                <w:bCs/>
                <w:kern w:val="0"/>
              </w:rPr>
              <w:t>12.71</w:t>
            </w:r>
          </w:p>
        </w:tc>
        <w:tc>
          <w:tcPr>
            <w:tcW w:w="1784" w:type="dxa"/>
            <w:tcBorders>
              <w:top w:val="nil"/>
              <w:left w:val="nil"/>
              <w:bottom w:val="single" w:sz="8" w:space="0" w:color="auto"/>
              <w:right w:val="single" w:sz="8" w:space="0" w:color="auto"/>
            </w:tcBorders>
            <w:vAlign w:val="center"/>
          </w:tcPr>
          <w:p w:rsidR="00C050DB" w:rsidRPr="00D55DC6" w:rsidRDefault="00C050DB" w:rsidP="0038165F">
            <w:pPr>
              <w:widowControl/>
              <w:spacing w:line="0" w:lineRule="atLeast"/>
              <w:rPr>
                <w:rFonts w:eastAsia="標楷體"/>
                <w:kern w:val="0"/>
              </w:rPr>
            </w:pPr>
            <w:r w:rsidRPr="00D55DC6">
              <w:rPr>
                <w:rFonts w:eastAsia="標楷體"/>
                <w:kern w:val="0"/>
                <w:szCs w:val="22"/>
              </w:rPr>
              <w:t xml:space="preserve">　</w:t>
            </w:r>
          </w:p>
        </w:tc>
      </w:tr>
    </w:tbl>
    <w:p w:rsidR="00C050DB" w:rsidRPr="00D55DC6" w:rsidRDefault="00C050DB" w:rsidP="0038165F">
      <w:pPr>
        <w:snapToGrid w:val="0"/>
        <w:spacing w:line="460" w:lineRule="exact"/>
        <w:jc w:val="both"/>
        <w:rPr>
          <w:rFonts w:eastAsia="標楷體"/>
          <w:sz w:val="28"/>
          <w:szCs w:val="28"/>
        </w:rPr>
      </w:pPr>
    </w:p>
    <w:p w:rsidR="00C050DB" w:rsidRPr="00D55DC6" w:rsidRDefault="00C050DB" w:rsidP="0038165F">
      <w:pPr>
        <w:snapToGrid w:val="0"/>
        <w:spacing w:line="460" w:lineRule="exact"/>
        <w:ind w:left="709" w:hanging="709"/>
        <w:jc w:val="both"/>
        <w:rPr>
          <w:rFonts w:eastAsia="標楷體"/>
          <w:b/>
          <w:sz w:val="28"/>
          <w:szCs w:val="28"/>
        </w:rPr>
      </w:pPr>
      <w:r w:rsidRPr="00D55DC6">
        <w:rPr>
          <w:rFonts w:eastAsia="標楷體"/>
          <w:b/>
          <w:sz w:val="28"/>
          <w:szCs w:val="28"/>
        </w:rPr>
        <w:t>六、預期效果及影響</w:t>
      </w:r>
    </w:p>
    <w:p w:rsidR="00C050DB" w:rsidRPr="00D55DC6" w:rsidRDefault="00C050DB" w:rsidP="004865C1">
      <w:pPr>
        <w:numPr>
          <w:ilvl w:val="0"/>
          <w:numId w:val="84"/>
        </w:numPr>
        <w:snapToGrid w:val="0"/>
        <w:spacing w:beforeLines="30" w:before="108" w:line="460" w:lineRule="exact"/>
        <w:ind w:left="862" w:hanging="862"/>
        <w:jc w:val="both"/>
        <w:rPr>
          <w:rFonts w:eastAsia="標楷體"/>
          <w:sz w:val="28"/>
          <w:szCs w:val="28"/>
        </w:rPr>
      </w:pPr>
      <w:r w:rsidRPr="00D55DC6">
        <w:rPr>
          <w:rFonts w:eastAsia="標楷體"/>
          <w:sz w:val="28"/>
          <w:szCs w:val="28"/>
        </w:rPr>
        <w:t>打造阿里山成為「臺</w:t>
      </w:r>
      <w:r w:rsidRPr="00D55DC6">
        <w:rPr>
          <w:rFonts w:eastAsia="標楷體"/>
          <w:sz w:val="28"/>
          <w:szCs w:val="28"/>
        </w:rPr>
        <w:t>ONE</w:t>
      </w:r>
      <w:r w:rsidRPr="00D55DC6">
        <w:rPr>
          <w:rFonts w:eastAsia="標楷體"/>
          <w:sz w:val="28"/>
          <w:szCs w:val="28"/>
        </w:rPr>
        <w:t>樂活山林度假區」，營造優質旅遊環境與多樣性遊憩空間，並深化旅遊內涵與遊憩服務品質，以促進觀光產業發展，提升整體觀光效益。</w:t>
      </w:r>
    </w:p>
    <w:p w:rsidR="00C050DB" w:rsidRPr="00D55DC6" w:rsidRDefault="00C050DB" w:rsidP="004865C1">
      <w:pPr>
        <w:numPr>
          <w:ilvl w:val="0"/>
          <w:numId w:val="84"/>
        </w:numPr>
        <w:snapToGrid w:val="0"/>
        <w:spacing w:beforeLines="30" w:before="108" w:line="460" w:lineRule="exact"/>
        <w:ind w:left="862" w:hanging="862"/>
        <w:jc w:val="both"/>
        <w:rPr>
          <w:rFonts w:eastAsia="標楷體"/>
          <w:sz w:val="28"/>
          <w:szCs w:val="28"/>
        </w:rPr>
      </w:pPr>
      <w:r w:rsidRPr="00D55DC6">
        <w:rPr>
          <w:rFonts w:eastAsia="標楷體"/>
          <w:sz w:val="28"/>
          <w:szCs w:val="28"/>
        </w:rPr>
        <w:t>提升遊客人次：吸引國內外觀光人潮到訪，預計遊客人數由</w:t>
      </w:r>
      <w:r w:rsidRPr="00D55DC6">
        <w:rPr>
          <w:rFonts w:eastAsia="標楷體"/>
          <w:sz w:val="28"/>
          <w:szCs w:val="28"/>
        </w:rPr>
        <w:t>103</w:t>
      </w:r>
      <w:r w:rsidRPr="00D55DC6">
        <w:rPr>
          <w:rFonts w:eastAsia="標楷體"/>
          <w:sz w:val="28"/>
          <w:szCs w:val="28"/>
        </w:rPr>
        <w:t>年</w:t>
      </w:r>
      <w:r w:rsidRPr="00D55DC6">
        <w:rPr>
          <w:rFonts w:eastAsia="標楷體"/>
          <w:sz w:val="28"/>
          <w:szCs w:val="28"/>
        </w:rPr>
        <w:t>357</w:t>
      </w:r>
      <w:r w:rsidRPr="00D55DC6">
        <w:rPr>
          <w:rFonts w:eastAsia="標楷體"/>
          <w:sz w:val="28"/>
          <w:szCs w:val="28"/>
        </w:rPr>
        <w:t>萬人次提升至</w:t>
      </w:r>
      <w:r w:rsidRPr="00D55DC6">
        <w:rPr>
          <w:rFonts w:eastAsia="標楷體"/>
          <w:sz w:val="28"/>
          <w:szCs w:val="28"/>
        </w:rPr>
        <w:t>108</w:t>
      </w:r>
      <w:r w:rsidRPr="00D55DC6">
        <w:rPr>
          <w:rFonts w:eastAsia="標楷體"/>
          <w:sz w:val="28"/>
          <w:szCs w:val="28"/>
        </w:rPr>
        <w:t>年</w:t>
      </w:r>
      <w:r w:rsidRPr="00D55DC6">
        <w:rPr>
          <w:rFonts w:eastAsia="標楷體"/>
          <w:sz w:val="28"/>
          <w:szCs w:val="28"/>
        </w:rPr>
        <w:t>434</w:t>
      </w:r>
      <w:r w:rsidRPr="00D55DC6">
        <w:rPr>
          <w:rFonts w:eastAsia="標楷體"/>
          <w:sz w:val="28"/>
          <w:szCs w:val="28"/>
        </w:rPr>
        <w:t>萬人次，總體成長</w:t>
      </w:r>
      <w:r w:rsidRPr="00D55DC6">
        <w:rPr>
          <w:rFonts w:eastAsia="標楷體"/>
          <w:sz w:val="28"/>
          <w:szCs w:val="28"/>
        </w:rPr>
        <w:t>21.6%</w:t>
      </w:r>
      <w:r w:rsidRPr="00D55DC6">
        <w:rPr>
          <w:rFonts w:eastAsia="標楷體"/>
          <w:sz w:val="28"/>
          <w:szCs w:val="28"/>
        </w:rPr>
        <w:t>，平均年成長</w:t>
      </w:r>
      <w:r w:rsidRPr="00D55DC6">
        <w:rPr>
          <w:rFonts w:eastAsia="標楷體"/>
          <w:sz w:val="28"/>
          <w:szCs w:val="28"/>
        </w:rPr>
        <w:t>4.3%</w:t>
      </w:r>
      <w:r w:rsidRPr="00D55DC6">
        <w:rPr>
          <w:rFonts w:eastAsia="標楷體"/>
          <w:sz w:val="28"/>
          <w:szCs w:val="28"/>
        </w:rPr>
        <w:t>。</w:t>
      </w:r>
    </w:p>
    <w:p w:rsidR="00C050DB" w:rsidRPr="00D55DC6" w:rsidRDefault="00C050DB" w:rsidP="004865C1">
      <w:pPr>
        <w:numPr>
          <w:ilvl w:val="0"/>
          <w:numId w:val="84"/>
        </w:numPr>
        <w:snapToGrid w:val="0"/>
        <w:spacing w:beforeLines="30" w:before="108" w:line="460" w:lineRule="exact"/>
        <w:ind w:left="862" w:hanging="862"/>
        <w:jc w:val="both"/>
        <w:rPr>
          <w:rFonts w:eastAsia="標楷體"/>
          <w:sz w:val="28"/>
          <w:szCs w:val="28"/>
        </w:rPr>
      </w:pPr>
      <w:r w:rsidRPr="00D55DC6">
        <w:rPr>
          <w:rFonts w:eastAsia="標楷體"/>
          <w:sz w:val="28"/>
          <w:szCs w:val="28"/>
        </w:rPr>
        <w:t>帶動觀光產值：活絡在地產業並繁榮地方經濟，帶動觀光產值</w:t>
      </w:r>
      <w:r w:rsidRPr="00D55DC6">
        <w:rPr>
          <w:rFonts w:eastAsia="標楷體"/>
          <w:sz w:val="28"/>
          <w:szCs w:val="28"/>
        </w:rPr>
        <w:t>344.34</w:t>
      </w:r>
      <w:r w:rsidRPr="00D55DC6">
        <w:rPr>
          <w:rFonts w:eastAsia="標楷體"/>
          <w:sz w:val="28"/>
          <w:szCs w:val="28"/>
        </w:rPr>
        <w:t>億元（以</w:t>
      </w:r>
      <w:r w:rsidRPr="00D55DC6">
        <w:rPr>
          <w:rFonts w:eastAsia="標楷體"/>
          <w:sz w:val="28"/>
          <w:szCs w:val="28"/>
        </w:rPr>
        <w:t>4</w:t>
      </w:r>
      <w:r w:rsidRPr="00D55DC6">
        <w:rPr>
          <w:rFonts w:eastAsia="標楷體"/>
          <w:sz w:val="28"/>
          <w:szCs w:val="28"/>
        </w:rPr>
        <w:t>年遊客人數目標值</w:t>
      </w:r>
      <w:r w:rsidRPr="00D55DC6">
        <w:rPr>
          <w:rFonts w:eastAsia="標楷體"/>
          <w:sz w:val="28"/>
          <w:szCs w:val="28"/>
        </w:rPr>
        <w:t>1,665</w:t>
      </w:r>
      <w:r w:rsidRPr="00D55DC6">
        <w:rPr>
          <w:rFonts w:eastAsia="標楷體"/>
          <w:sz w:val="28"/>
          <w:szCs w:val="28"/>
        </w:rPr>
        <w:t>萬人次</w:t>
      </w:r>
      <w:r w:rsidRPr="00D55DC6">
        <w:rPr>
          <w:rFonts w:eastAsia="標楷體"/>
          <w:sz w:val="28"/>
          <w:szCs w:val="28"/>
        </w:rPr>
        <w:t>*</w:t>
      </w:r>
      <w:r w:rsidRPr="00D55DC6">
        <w:rPr>
          <w:rFonts w:eastAsia="標楷體"/>
          <w:sz w:val="28"/>
          <w:szCs w:val="28"/>
        </w:rPr>
        <w:t>每人每日平均消費新臺幣</w:t>
      </w:r>
      <w:r w:rsidRPr="00D55DC6">
        <w:rPr>
          <w:rFonts w:eastAsia="標楷體"/>
          <w:sz w:val="28"/>
          <w:szCs w:val="28"/>
        </w:rPr>
        <w:t xml:space="preserve"> 1,388</w:t>
      </w:r>
      <w:r w:rsidRPr="00D55DC6">
        <w:rPr>
          <w:rFonts w:eastAsia="標楷體"/>
          <w:sz w:val="28"/>
          <w:szCs w:val="28"/>
        </w:rPr>
        <w:t>元</w:t>
      </w:r>
      <w:r w:rsidRPr="00D55DC6">
        <w:rPr>
          <w:rFonts w:eastAsia="標楷體"/>
          <w:sz w:val="28"/>
          <w:szCs w:val="28"/>
        </w:rPr>
        <w:t>*</w:t>
      </w:r>
      <w:r w:rsidRPr="00D55DC6">
        <w:rPr>
          <w:rFonts w:eastAsia="標楷體"/>
          <w:sz w:val="28"/>
          <w:szCs w:val="28"/>
        </w:rPr>
        <w:t>停留天數</w:t>
      </w:r>
      <w:r w:rsidRPr="00D55DC6">
        <w:rPr>
          <w:rFonts w:eastAsia="標楷體"/>
          <w:sz w:val="28"/>
          <w:szCs w:val="28"/>
        </w:rPr>
        <w:t>1.49</w:t>
      </w:r>
      <w:r w:rsidRPr="00D55DC6">
        <w:rPr>
          <w:rFonts w:eastAsia="標楷體"/>
          <w:sz w:val="28"/>
          <w:szCs w:val="28"/>
        </w:rPr>
        <w:t>天估算）。</w:t>
      </w:r>
    </w:p>
    <w:p w:rsidR="00C050DB" w:rsidRPr="00D55DC6" w:rsidRDefault="00C050DB" w:rsidP="0038165F">
      <w:pPr>
        <w:tabs>
          <w:tab w:val="num" w:pos="900"/>
        </w:tabs>
        <w:snapToGrid w:val="0"/>
        <w:spacing w:line="460" w:lineRule="exact"/>
        <w:ind w:leftChars="75" w:left="641" w:hangingChars="192" w:hanging="461"/>
        <w:jc w:val="both"/>
        <w:rPr>
          <w:rFonts w:eastAsia="標楷體"/>
        </w:rPr>
      </w:pPr>
    </w:p>
    <w:p w:rsidR="00C050DB" w:rsidRPr="00D55DC6" w:rsidRDefault="00C050DB" w:rsidP="0038165F">
      <w:pPr>
        <w:snapToGrid w:val="0"/>
        <w:spacing w:line="460" w:lineRule="exact"/>
        <w:ind w:left="709" w:hanging="709"/>
        <w:jc w:val="both"/>
        <w:rPr>
          <w:rFonts w:eastAsia="標楷體"/>
          <w:b/>
          <w:sz w:val="28"/>
          <w:szCs w:val="28"/>
        </w:rPr>
      </w:pPr>
      <w:r w:rsidRPr="00D55DC6">
        <w:rPr>
          <w:rFonts w:eastAsia="標楷體"/>
          <w:b/>
          <w:sz w:val="28"/>
          <w:szCs w:val="28"/>
        </w:rPr>
        <w:lastRenderedPageBreak/>
        <w:t>七、財務計畫</w:t>
      </w:r>
    </w:p>
    <w:p w:rsidR="00C050DB" w:rsidRPr="00D55DC6" w:rsidRDefault="00C050DB" w:rsidP="004865C1">
      <w:pPr>
        <w:numPr>
          <w:ilvl w:val="0"/>
          <w:numId w:val="90"/>
        </w:numPr>
        <w:snapToGrid w:val="0"/>
        <w:spacing w:beforeLines="50" w:before="180" w:line="460" w:lineRule="exact"/>
        <w:jc w:val="both"/>
        <w:rPr>
          <w:rFonts w:eastAsia="標楷體"/>
          <w:b/>
          <w:sz w:val="28"/>
          <w:szCs w:val="28"/>
        </w:rPr>
      </w:pPr>
      <w:r w:rsidRPr="00D55DC6">
        <w:rPr>
          <w:rFonts w:eastAsia="標楷體"/>
          <w:b/>
          <w:sz w:val="28"/>
          <w:szCs w:val="28"/>
        </w:rPr>
        <w:t>財務計畫核定情形</w:t>
      </w:r>
    </w:p>
    <w:p w:rsidR="00C050DB" w:rsidRPr="00D55DC6" w:rsidRDefault="00C050DB" w:rsidP="0038165F">
      <w:pPr>
        <w:snapToGrid w:val="0"/>
        <w:spacing w:line="460" w:lineRule="exact"/>
        <w:ind w:left="851"/>
        <w:jc w:val="both"/>
        <w:rPr>
          <w:rFonts w:eastAsia="標楷體"/>
          <w:sz w:val="28"/>
          <w:szCs w:val="28"/>
        </w:rPr>
      </w:pPr>
      <w:r w:rsidRPr="00D55DC6">
        <w:rPr>
          <w:rFonts w:eastAsia="標楷體"/>
          <w:sz w:val="28"/>
          <w:szCs w:val="28"/>
        </w:rPr>
        <w:t>依據行政院</w:t>
      </w:r>
      <w:r w:rsidRPr="00D55DC6">
        <w:rPr>
          <w:rFonts w:eastAsia="標楷體"/>
          <w:sz w:val="28"/>
          <w:szCs w:val="28"/>
        </w:rPr>
        <w:t>103</w:t>
      </w:r>
      <w:r w:rsidRPr="00D55DC6">
        <w:rPr>
          <w:rFonts w:eastAsia="標楷體"/>
          <w:sz w:val="28"/>
          <w:szCs w:val="28"/>
        </w:rPr>
        <w:t>年</w:t>
      </w:r>
      <w:r w:rsidRPr="00D55DC6">
        <w:rPr>
          <w:rFonts w:eastAsia="標楷體"/>
          <w:sz w:val="28"/>
          <w:szCs w:val="28"/>
        </w:rPr>
        <w:t>10</w:t>
      </w:r>
      <w:r w:rsidRPr="00D55DC6">
        <w:rPr>
          <w:rFonts w:eastAsia="標楷體"/>
          <w:sz w:val="28"/>
          <w:szCs w:val="28"/>
        </w:rPr>
        <w:t>月</w:t>
      </w:r>
      <w:r w:rsidRPr="00D55DC6">
        <w:rPr>
          <w:rFonts w:eastAsia="標楷體"/>
          <w:sz w:val="28"/>
          <w:szCs w:val="28"/>
        </w:rPr>
        <w:t>15</w:t>
      </w:r>
      <w:r w:rsidRPr="00D55DC6">
        <w:rPr>
          <w:rFonts w:eastAsia="標楷體"/>
          <w:sz w:val="28"/>
          <w:szCs w:val="28"/>
        </w:rPr>
        <w:t>日院臺交字第</w:t>
      </w:r>
      <w:r w:rsidRPr="00D55DC6">
        <w:rPr>
          <w:rFonts w:eastAsia="標楷體"/>
          <w:sz w:val="28"/>
          <w:szCs w:val="28"/>
        </w:rPr>
        <w:t>1030058303</w:t>
      </w:r>
      <w:r w:rsidRPr="00D55DC6">
        <w:rPr>
          <w:rFonts w:eastAsia="標楷體"/>
          <w:sz w:val="28"/>
          <w:szCs w:val="28"/>
        </w:rPr>
        <w:t>號函核定「阿里山國家風景區整體發展暨財務計畫」，未來</w:t>
      </w:r>
      <w:r w:rsidRPr="00D55DC6">
        <w:rPr>
          <w:rFonts w:eastAsia="標楷體"/>
          <w:sz w:val="28"/>
          <w:szCs w:val="28"/>
        </w:rPr>
        <w:t>20</w:t>
      </w:r>
      <w:r w:rsidRPr="00D55DC6">
        <w:rPr>
          <w:rFonts w:eastAsia="標楷體"/>
          <w:sz w:val="28"/>
          <w:szCs w:val="28"/>
        </w:rPr>
        <w:t>年期間</w:t>
      </w:r>
      <w:r w:rsidRPr="00D55DC6">
        <w:rPr>
          <w:rFonts w:eastAsia="標楷體"/>
          <w:sz w:val="28"/>
          <w:szCs w:val="28"/>
        </w:rPr>
        <w:t>(103</w:t>
      </w:r>
      <w:r w:rsidRPr="00D55DC6">
        <w:rPr>
          <w:rFonts w:eastAsia="標楷體"/>
          <w:sz w:val="28"/>
          <w:szCs w:val="28"/>
        </w:rPr>
        <w:t>至</w:t>
      </w:r>
      <w:r w:rsidRPr="00D55DC6">
        <w:rPr>
          <w:rFonts w:eastAsia="標楷體"/>
          <w:sz w:val="28"/>
          <w:szCs w:val="28"/>
        </w:rPr>
        <w:t>122</w:t>
      </w:r>
      <w:r w:rsidRPr="00D55DC6">
        <w:rPr>
          <w:rFonts w:eastAsia="標楷體"/>
          <w:sz w:val="28"/>
          <w:szCs w:val="28"/>
        </w:rPr>
        <w:t>年</w:t>
      </w:r>
      <w:r w:rsidRPr="00D55DC6">
        <w:rPr>
          <w:rFonts w:eastAsia="標楷體"/>
          <w:sz w:val="28"/>
          <w:szCs w:val="28"/>
        </w:rPr>
        <w:t>)</w:t>
      </w:r>
      <w:r w:rsidRPr="00D55DC6">
        <w:rPr>
          <w:rFonts w:eastAsia="標楷體"/>
          <w:sz w:val="28"/>
          <w:szCs w:val="28"/>
        </w:rPr>
        <w:t>計畫投入現值為</w:t>
      </w:r>
      <w:r w:rsidRPr="00D55DC6">
        <w:rPr>
          <w:rFonts w:eastAsia="標楷體"/>
          <w:sz w:val="28"/>
          <w:szCs w:val="28"/>
        </w:rPr>
        <w:t>41.038</w:t>
      </w:r>
      <w:r w:rsidRPr="00D55DC6">
        <w:rPr>
          <w:rFonts w:eastAsia="標楷體"/>
          <w:sz w:val="28"/>
          <w:szCs w:val="28"/>
        </w:rPr>
        <w:t>億元，收益現值為</w:t>
      </w:r>
      <w:r w:rsidRPr="00D55DC6">
        <w:rPr>
          <w:rFonts w:eastAsia="標楷體"/>
          <w:sz w:val="28"/>
          <w:szCs w:val="28"/>
        </w:rPr>
        <w:t>10.372</w:t>
      </w:r>
      <w:r w:rsidRPr="00D55DC6">
        <w:rPr>
          <w:rFonts w:eastAsia="標楷體"/>
          <w:sz w:val="28"/>
          <w:szCs w:val="28"/>
        </w:rPr>
        <w:t>億元，整體計畫財務自償率達</w:t>
      </w:r>
      <w:r w:rsidRPr="00D55DC6">
        <w:rPr>
          <w:rFonts w:eastAsia="標楷體"/>
          <w:sz w:val="28"/>
          <w:szCs w:val="28"/>
        </w:rPr>
        <w:t>25.27%</w:t>
      </w:r>
      <w:r w:rsidRPr="00D55DC6">
        <w:rPr>
          <w:rFonts w:eastAsia="標楷體"/>
          <w:sz w:val="28"/>
          <w:szCs w:val="28"/>
        </w:rPr>
        <w:t>。</w:t>
      </w:r>
    </w:p>
    <w:p w:rsidR="00C050DB" w:rsidRPr="00D55DC6" w:rsidRDefault="00C050DB" w:rsidP="004865C1">
      <w:pPr>
        <w:numPr>
          <w:ilvl w:val="0"/>
          <w:numId w:val="90"/>
        </w:numPr>
        <w:snapToGrid w:val="0"/>
        <w:spacing w:beforeLines="50" w:before="180" w:line="460" w:lineRule="exact"/>
        <w:ind w:left="862" w:hanging="862"/>
        <w:jc w:val="both"/>
        <w:rPr>
          <w:rFonts w:eastAsia="標楷體"/>
          <w:b/>
          <w:sz w:val="28"/>
          <w:szCs w:val="28"/>
        </w:rPr>
      </w:pPr>
      <w:r w:rsidRPr="00D55DC6">
        <w:rPr>
          <w:rFonts w:eastAsia="標楷體"/>
          <w:b/>
          <w:sz w:val="28"/>
          <w:szCs w:val="28"/>
        </w:rPr>
        <w:t>預估財務收入情形</w:t>
      </w:r>
    </w:p>
    <w:p w:rsidR="00C050DB" w:rsidRPr="00D55DC6" w:rsidRDefault="00C050DB" w:rsidP="0038165F">
      <w:pPr>
        <w:snapToGrid w:val="0"/>
        <w:spacing w:line="460" w:lineRule="exact"/>
        <w:ind w:left="851"/>
        <w:jc w:val="both"/>
        <w:rPr>
          <w:rFonts w:eastAsia="標楷體"/>
          <w:sz w:val="28"/>
          <w:szCs w:val="28"/>
        </w:rPr>
      </w:pPr>
      <w:r w:rsidRPr="00D55DC6">
        <w:rPr>
          <w:rFonts w:eastAsia="標楷體"/>
          <w:sz w:val="28"/>
          <w:szCs w:val="28"/>
        </w:rPr>
        <w:t>透過推動設施出租、重大促參案件、使用者付費、跨域合作等方向，積極提升計畫自償率。詳如下列預估財務收入分年規劃表。</w:t>
      </w:r>
    </w:p>
    <w:p w:rsidR="00C050DB" w:rsidRPr="00D55DC6" w:rsidRDefault="00C050DB" w:rsidP="0038165F">
      <w:pPr>
        <w:snapToGrid w:val="0"/>
        <w:spacing w:line="460" w:lineRule="exact"/>
        <w:ind w:left="851"/>
        <w:jc w:val="both"/>
        <w:rPr>
          <w:rFonts w:eastAsia="標楷體"/>
          <w:sz w:val="28"/>
          <w:szCs w:val="28"/>
        </w:rPr>
      </w:pPr>
      <w:r w:rsidRPr="00D55DC6">
        <w:rPr>
          <w:rFonts w:eastAsia="標楷體"/>
          <w:sz w:val="28"/>
          <w:szCs w:val="28"/>
        </w:rPr>
        <w:br w:type="page"/>
      </w:r>
    </w:p>
    <w:p w:rsidR="00C050DB" w:rsidRPr="00D55DC6" w:rsidRDefault="00C050DB" w:rsidP="0038165F">
      <w:pPr>
        <w:keepNext/>
        <w:ind w:rightChars="-316" w:right="-758"/>
        <w:rPr>
          <w:rFonts w:eastAsia="標楷體"/>
          <w:sz w:val="20"/>
          <w:szCs w:val="20"/>
        </w:rPr>
      </w:pPr>
      <w:r w:rsidRPr="00D55DC6">
        <w:rPr>
          <w:rFonts w:eastAsia="標楷體"/>
        </w:rPr>
        <w:lastRenderedPageBreak/>
        <w:t>表</w:t>
      </w:r>
      <w:r w:rsidRPr="00D55DC6">
        <w:rPr>
          <w:rFonts w:eastAsia="標楷體"/>
        </w:rPr>
        <w:t xml:space="preserve">  </w:t>
      </w:r>
      <w:r w:rsidRPr="00D55DC6">
        <w:rPr>
          <w:rFonts w:eastAsia="標楷體"/>
        </w:rPr>
        <w:t>預估財務收入分年規劃表</w:t>
      </w:r>
      <w:r w:rsidRPr="00D55DC6">
        <w:rPr>
          <w:rFonts w:eastAsia="標楷體"/>
        </w:rPr>
        <w:t xml:space="preserve">                       </w:t>
      </w:r>
      <w:r w:rsidRPr="00D55DC6">
        <w:rPr>
          <w:rFonts w:eastAsia="標楷體"/>
        </w:rPr>
        <w:t xml:space="preserve">　　　　　　　　</w:t>
      </w:r>
      <w:r w:rsidRPr="00D55DC6">
        <w:rPr>
          <w:rFonts w:eastAsia="標楷體"/>
        </w:rPr>
        <w:t xml:space="preserve"> </w:t>
      </w:r>
      <w:r w:rsidRPr="00D55DC6">
        <w:rPr>
          <w:rFonts w:eastAsia="標楷體"/>
          <w:sz w:val="20"/>
          <w:szCs w:val="20"/>
        </w:rPr>
        <w:t>（單位：千元）</w:t>
      </w:r>
    </w:p>
    <w:tbl>
      <w:tblPr>
        <w:tblW w:w="9640" w:type="dxa"/>
        <w:tblInd w:w="28" w:type="dxa"/>
        <w:tblLayout w:type="fixed"/>
        <w:tblCellMar>
          <w:left w:w="28" w:type="dxa"/>
          <w:right w:w="28" w:type="dxa"/>
        </w:tblCellMar>
        <w:tblLook w:val="04A0" w:firstRow="1" w:lastRow="0" w:firstColumn="1" w:lastColumn="0" w:noHBand="0" w:noVBand="1"/>
      </w:tblPr>
      <w:tblGrid>
        <w:gridCol w:w="2552"/>
        <w:gridCol w:w="708"/>
        <w:gridCol w:w="709"/>
        <w:gridCol w:w="709"/>
        <w:gridCol w:w="709"/>
        <w:gridCol w:w="709"/>
        <w:gridCol w:w="708"/>
        <w:gridCol w:w="709"/>
        <w:gridCol w:w="709"/>
        <w:gridCol w:w="709"/>
        <w:gridCol w:w="709"/>
      </w:tblGrid>
      <w:tr w:rsidR="001D0350" w:rsidRPr="00D55DC6" w:rsidTr="00A82A80">
        <w:trPr>
          <w:trHeight w:val="585"/>
          <w:tblHeader/>
        </w:trPr>
        <w:tc>
          <w:tcPr>
            <w:tcW w:w="2552" w:type="dxa"/>
            <w:tcBorders>
              <w:top w:val="single" w:sz="4" w:space="0" w:color="auto"/>
              <w:left w:val="single" w:sz="4" w:space="0" w:color="auto"/>
              <w:bottom w:val="double" w:sz="6" w:space="0" w:color="auto"/>
              <w:right w:val="single" w:sz="4" w:space="0" w:color="auto"/>
            </w:tcBorders>
            <w:shd w:val="clear" w:color="000000" w:fill="FFCC00"/>
            <w:vAlign w:val="center"/>
          </w:tcPr>
          <w:p w:rsidR="00C050DB" w:rsidRPr="00D55DC6" w:rsidRDefault="00C050DB" w:rsidP="0038165F">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2"/>
                <w:szCs w:val="20"/>
              </w:rPr>
              <w:t>年度</w:t>
            </w:r>
            <w:r w:rsidRPr="00D55DC6">
              <w:rPr>
                <w:rFonts w:eastAsia="標楷體"/>
                <w:kern w:val="0"/>
                <w:sz w:val="22"/>
                <w:szCs w:val="20"/>
              </w:rPr>
              <w:br/>
            </w:r>
            <w:r w:rsidRPr="00D55DC6">
              <w:rPr>
                <w:rFonts w:eastAsia="標楷體"/>
                <w:kern w:val="0"/>
                <w:sz w:val="22"/>
                <w:szCs w:val="20"/>
              </w:rPr>
              <w:t>收益項目</w:t>
            </w:r>
          </w:p>
        </w:tc>
        <w:tc>
          <w:tcPr>
            <w:tcW w:w="708"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103</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104</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105</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106</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107</w:t>
            </w:r>
          </w:p>
        </w:tc>
        <w:tc>
          <w:tcPr>
            <w:tcW w:w="708"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108</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109</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110</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111</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112</w:t>
            </w:r>
          </w:p>
        </w:tc>
      </w:tr>
      <w:tr w:rsidR="001D0350" w:rsidRPr="00D55DC6" w:rsidTr="00A82A80">
        <w:trPr>
          <w:trHeight w:val="345"/>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1.</w:t>
            </w:r>
            <w:r w:rsidRPr="00D55DC6">
              <w:rPr>
                <w:rFonts w:eastAsia="標楷體"/>
                <w:kern w:val="0"/>
                <w:sz w:val="20"/>
                <w:szCs w:val="20"/>
              </w:rPr>
              <w:t>觸口遊客中心賣店出租</w:t>
            </w:r>
          </w:p>
        </w:tc>
        <w:tc>
          <w:tcPr>
            <w:tcW w:w="708" w:type="dxa"/>
            <w:tcBorders>
              <w:top w:val="double" w:sz="6"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460 </w:t>
            </w:r>
          </w:p>
        </w:tc>
        <w:tc>
          <w:tcPr>
            <w:tcW w:w="709" w:type="dxa"/>
            <w:tcBorders>
              <w:top w:val="double" w:sz="6"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624 </w:t>
            </w:r>
          </w:p>
        </w:tc>
        <w:tc>
          <w:tcPr>
            <w:tcW w:w="709" w:type="dxa"/>
            <w:tcBorders>
              <w:top w:val="double" w:sz="6"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624 </w:t>
            </w:r>
          </w:p>
        </w:tc>
        <w:tc>
          <w:tcPr>
            <w:tcW w:w="709" w:type="dxa"/>
            <w:tcBorders>
              <w:top w:val="double" w:sz="6"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624 </w:t>
            </w:r>
          </w:p>
        </w:tc>
        <w:tc>
          <w:tcPr>
            <w:tcW w:w="709" w:type="dxa"/>
            <w:tcBorders>
              <w:top w:val="double" w:sz="6"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624 </w:t>
            </w:r>
          </w:p>
        </w:tc>
        <w:tc>
          <w:tcPr>
            <w:tcW w:w="708" w:type="dxa"/>
            <w:tcBorders>
              <w:top w:val="double" w:sz="6"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624 </w:t>
            </w:r>
          </w:p>
        </w:tc>
        <w:tc>
          <w:tcPr>
            <w:tcW w:w="709" w:type="dxa"/>
            <w:tcBorders>
              <w:top w:val="double" w:sz="6"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624 </w:t>
            </w:r>
          </w:p>
        </w:tc>
        <w:tc>
          <w:tcPr>
            <w:tcW w:w="709" w:type="dxa"/>
            <w:tcBorders>
              <w:top w:val="double" w:sz="6"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624 </w:t>
            </w:r>
          </w:p>
        </w:tc>
        <w:tc>
          <w:tcPr>
            <w:tcW w:w="709" w:type="dxa"/>
            <w:tcBorders>
              <w:top w:val="double" w:sz="6"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624 </w:t>
            </w:r>
          </w:p>
        </w:tc>
        <w:tc>
          <w:tcPr>
            <w:tcW w:w="709" w:type="dxa"/>
            <w:tcBorders>
              <w:top w:val="double" w:sz="6"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624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ind w:left="210" w:hangingChars="105" w:hanging="210"/>
              <w:rPr>
                <w:rFonts w:eastAsia="標楷體"/>
                <w:kern w:val="0"/>
                <w:sz w:val="20"/>
                <w:szCs w:val="20"/>
              </w:rPr>
            </w:pPr>
            <w:r w:rsidRPr="00D55DC6">
              <w:rPr>
                <w:rFonts w:eastAsia="標楷體"/>
                <w:kern w:val="0"/>
                <w:sz w:val="20"/>
                <w:szCs w:val="20"/>
              </w:rPr>
              <w:t>2.</w:t>
            </w:r>
            <w:r w:rsidRPr="00D55DC6">
              <w:rPr>
                <w:rFonts w:eastAsia="標楷體"/>
                <w:kern w:val="0"/>
                <w:sz w:val="20"/>
                <w:szCs w:val="20"/>
              </w:rPr>
              <w:t>奮起湖文史陳列室賣店出租</w:t>
            </w:r>
          </w:p>
        </w:tc>
        <w:tc>
          <w:tcPr>
            <w:tcW w:w="70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30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60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60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60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60 </w:t>
            </w:r>
          </w:p>
        </w:tc>
        <w:tc>
          <w:tcPr>
            <w:tcW w:w="70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60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60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60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60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60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3.</w:t>
            </w:r>
            <w:r w:rsidRPr="00D55DC6">
              <w:rPr>
                <w:rFonts w:eastAsia="標楷體"/>
                <w:kern w:val="0"/>
                <w:sz w:val="20"/>
                <w:szCs w:val="20"/>
              </w:rPr>
              <w:t>文峰遊客中心賣店出租</w:t>
            </w:r>
          </w:p>
        </w:tc>
        <w:tc>
          <w:tcPr>
            <w:tcW w:w="70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32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48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48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48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48 </w:t>
            </w:r>
          </w:p>
        </w:tc>
        <w:tc>
          <w:tcPr>
            <w:tcW w:w="70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48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48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48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48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48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ind w:left="224" w:hangingChars="112" w:hanging="224"/>
              <w:rPr>
                <w:rFonts w:eastAsia="標楷體"/>
                <w:kern w:val="0"/>
                <w:sz w:val="20"/>
                <w:szCs w:val="20"/>
              </w:rPr>
            </w:pPr>
            <w:r w:rsidRPr="00D55DC6">
              <w:rPr>
                <w:rFonts w:eastAsia="標楷體"/>
                <w:kern w:val="0"/>
                <w:sz w:val="20"/>
                <w:szCs w:val="20"/>
              </w:rPr>
              <w:t>4.</w:t>
            </w:r>
            <w:r w:rsidRPr="00D55DC6">
              <w:rPr>
                <w:rFonts w:eastAsia="標楷體"/>
                <w:kern w:val="0"/>
                <w:sz w:val="20"/>
                <w:szCs w:val="20"/>
              </w:rPr>
              <w:t>圓潭自然生態園區賣店出租</w:t>
            </w:r>
          </w:p>
        </w:tc>
        <w:tc>
          <w:tcPr>
            <w:tcW w:w="70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63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63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63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63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63 </w:t>
            </w:r>
          </w:p>
        </w:tc>
        <w:tc>
          <w:tcPr>
            <w:tcW w:w="70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63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63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63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63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63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5.</w:t>
            </w:r>
            <w:r w:rsidRPr="00D55DC6">
              <w:rPr>
                <w:rFonts w:eastAsia="標楷體"/>
                <w:kern w:val="0"/>
                <w:sz w:val="20"/>
                <w:szCs w:val="20"/>
              </w:rPr>
              <w:t>豐山石盤谷賣店出租</w:t>
            </w:r>
          </w:p>
        </w:tc>
        <w:tc>
          <w:tcPr>
            <w:tcW w:w="70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9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9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9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9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9 </w:t>
            </w:r>
          </w:p>
        </w:tc>
        <w:tc>
          <w:tcPr>
            <w:tcW w:w="70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9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9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9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9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9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6.</w:t>
            </w:r>
            <w:r w:rsidRPr="00D55DC6">
              <w:rPr>
                <w:rFonts w:eastAsia="標楷體"/>
                <w:kern w:val="0"/>
                <w:sz w:val="20"/>
                <w:szCs w:val="20"/>
              </w:rPr>
              <w:t>瑞太資訊站出租</w:t>
            </w:r>
          </w:p>
        </w:tc>
        <w:tc>
          <w:tcPr>
            <w:tcW w:w="70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20 </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40</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40</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40</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40</w:t>
            </w:r>
          </w:p>
        </w:tc>
        <w:tc>
          <w:tcPr>
            <w:tcW w:w="70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40</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40</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40</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40</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40</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7.</w:t>
            </w:r>
            <w:r w:rsidRPr="00D55DC6">
              <w:rPr>
                <w:rFonts w:eastAsia="標楷體"/>
                <w:kern w:val="0"/>
                <w:sz w:val="20"/>
                <w:szCs w:val="20"/>
              </w:rPr>
              <w:t>里佳資訊站出租</w:t>
            </w:r>
          </w:p>
        </w:tc>
        <w:tc>
          <w:tcPr>
            <w:tcW w:w="70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30</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30</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30</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30</w:t>
            </w:r>
          </w:p>
        </w:tc>
        <w:tc>
          <w:tcPr>
            <w:tcW w:w="70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30</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30</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30</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30</w:t>
            </w:r>
          </w:p>
        </w:tc>
        <w:tc>
          <w:tcPr>
            <w:tcW w:w="709"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30</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ind w:left="224" w:hangingChars="112" w:hanging="224"/>
              <w:rPr>
                <w:rFonts w:eastAsia="標楷體"/>
                <w:kern w:val="0"/>
                <w:sz w:val="20"/>
                <w:szCs w:val="20"/>
              </w:rPr>
            </w:pPr>
            <w:r w:rsidRPr="00D55DC6">
              <w:rPr>
                <w:rFonts w:eastAsia="標楷體"/>
                <w:kern w:val="0"/>
                <w:sz w:val="20"/>
                <w:szCs w:val="20"/>
              </w:rPr>
              <w:t>8.</w:t>
            </w:r>
            <w:r w:rsidRPr="00D55DC6">
              <w:rPr>
                <w:rFonts w:eastAsia="標楷體"/>
                <w:kern w:val="0"/>
                <w:sz w:val="20"/>
                <w:szCs w:val="20"/>
              </w:rPr>
              <w:t>鄒族自然文化中心賣店出租</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30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60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60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60</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60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60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60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60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60</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9.</w:t>
            </w:r>
            <w:r w:rsidRPr="00D55DC6">
              <w:rPr>
                <w:rFonts w:eastAsia="標楷體"/>
                <w:kern w:val="0"/>
                <w:sz w:val="20"/>
                <w:szCs w:val="20"/>
              </w:rPr>
              <w:t>簡式賣點場地出租</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200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200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200</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200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200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200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200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200</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10.</w:t>
            </w:r>
            <w:r w:rsidRPr="00D55DC6">
              <w:rPr>
                <w:rFonts w:eastAsia="標楷體"/>
                <w:kern w:val="0"/>
                <w:sz w:val="20"/>
                <w:szCs w:val="20"/>
              </w:rPr>
              <w:t>來吉觀光推廣中心出租</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100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100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100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100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11.</w:t>
            </w:r>
            <w:r w:rsidRPr="00D55DC6">
              <w:rPr>
                <w:rFonts w:eastAsia="標楷體"/>
                <w:kern w:val="0"/>
                <w:sz w:val="20"/>
                <w:szCs w:val="20"/>
              </w:rPr>
              <w:t>牛埔仔遊客中心</w:t>
            </w:r>
            <w:r w:rsidRPr="00D55DC6">
              <w:rPr>
                <w:rFonts w:eastAsia="標楷體"/>
                <w:kern w:val="0"/>
                <w:sz w:val="20"/>
                <w:szCs w:val="20"/>
              </w:rPr>
              <w:t>OT</w:t>
            </w:r>
            <w:r w:rsidRPr="00D55DC6">
              <w:rPr>
                <w:rFonts w:eastAsia="標楷體"/>
                <w:kern w:val="0"/>
                <w:sz w:val="20"/>
                <w:szCs w:val="20"/>
              </w:rPr>
              <w:t>案</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260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260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260 </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260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260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286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286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286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ind w:left="336" w:hangingChars="168" w:hanging="336"/>
              <w:rPr>
                <w:rFonts w:eastAsia="標楷體"/>
                <w:kern w:val="0"/>
                <w:sz w:val="20"/>
                <w:szCs w:val="20"/>
              </w:rPr>
            </w:pPr>
            <w:r w:rsidRPr="00D55DC6">
              <w:rPr>
                <w:rFonts w:eastAsia="標楷體"/>
                <w:kern w:val="0"/>
                <w:sz w:val="20"/>
                <w:szCs w:val="20"/>
              </w:rPr>
              <w:t>12.</w:t>
            </w:r>
            <w:r w:rsidRPr="00D55DC6">
              <w:rPr>
                <w:rFonts w:eastAsia="標楷體"/>
                <w:kern w:val="0"/>
                <w:sz w:val="20"/>
                <w:szCs w:val="20"/>
              </w:rPr>
              <w:t>太平雲梯遊憩服務區</w:t>
            </w:r>
            <w:r w:rsidRPr="00D55DC6">
              <w:rPr>
                <w:rFonts w:eastAsia="標楷體"/>
                <w:kern w:val="0"/>
                <w:sz w:val="20"/>
                <w:szCs w:val="20"/>
              </w:rPr>
              <w:t>OT</w:t>
            </w:r>
            <w:r w:rsidRPr="00D55DC6">
              <w:rPr>
                <w:rFonts w:eastAsia="標楷體"/>
                <w:kern w:val="0"/>
                <w:sz w:val="20"/>
                <w:szCs w:val="20"/>
              </w:rPr>
              <w:t>案</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8,000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16,100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16,100 </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16,100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16,100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17,710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17,710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17,710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13.</w:t>
            </w:r>
            <w:r w:rsidRPr="00D55DC6">
              <w:rPr>
                <w:rFonts w:eastAsia="標楷體"/>
                <w:kern w:val="0"/>
                <w:sz w:val="20"/>
                <w:szCs w:val="20"/>
              </w:rPr>
              <w:t>龍美服務區</w:t>
            </w:r>
            <w:r w:rsidRPr="00D55DC6">
              <w:rPr>
                <w:rFonts w:eastAsia="標楷體"/>
                <w:kern w:val="0"/>
                <w:sz w:val="20"/>
                <w:szCs w:val="20"/>
              </w:rPr>
              <w:t>OT</w:t>
            </w:r>
            <w:r w:rsidRPr="00D55DC6">
              <w:rPr>
                <w:rFonts w:eastAsia="標楷體"/>
                <w:kern w:val="0"/>
                <w:sz w:val="20"/>
                <w:szCs w:val="20"/>
              </w:rPr>
              <w:t>案</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300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300 </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300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300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300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330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330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ind w:left="322" w:hangingChars="161" w:hanging="322"/>
              <w:rPr>
                <w:rFonts w:eastAsia="標楷體"/>
                <w:kern w:val="0"/>
                <w:sz w:val="20"/>
                <w:szCs w:val="20"/>
              </w:rPr>
            </w:pPr>
            <w:r w:rsidRPr="00D55DC6">
              <w:rPr>
                <w:rFonts w:eastAsia="標楷體"/>
                <w:kern w:val="0"/>
                <w:sz w:val="20"/>
                <w:szCs w:val="20"/>
              </w:rPr>
              <w:t>14.</w:t>
            </w:r>
            <w:r w:rsidRPr="00D55DC6">
              <w:rPr>
                <w:rFonts w:eastAsia="標楷體"/>
                <w:kern w:val="0"/>
                <w:sz w:val="20"/>
                <w:szCs w:val="20"/>
              </w:rPr>
              <w:t>奮起湖食宿慢活體驗區</w:t>
            </w:r>
            <w:r w:rsidRPr="00D55DC6">
              <w:rPr>
                <w:rFonts w:eastAsia="標楷體"/>
                <w:kern w:val="0"/>
                <w:sz w:val="20"/>
                <w:szCs w:val="20"/>
              </w:rPr>
              <w:t>BOT</w:t>
            </w:r>
            <w:r w:rsidRPr="00D55DC6">
              <w:rPr>
                <w:rFonts w:eastAsia="標楷體"/>
                <w:kern w:val="0"/>
                <w:sz w:val="20"/>
                <w:szCs w:val="20"/>
              </w:rPr>
              <w:t>案</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5,000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5,000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1,000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1,000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1,000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15.</w:t>
            </w:r>
            <w:r w:rsidRPr="00D55DC6">
              <w:rPr>
                <w:rFonts w:eastAsia="標楷體"/>
                <w:kern w:val="0"/>
                <w:sz w:val="20"/>
                <w:szCs w:val="20"/>
              </w:rPr>
              <w:t>牛埔仔遊憩區</w:t>
            </w:r>
            <w:r w:rsidRPr="00D55DC6">
              <w:rPr>
                <w:rFonts w:eastAsia="標楷體"/>
                <w:kern w:val="0"/>
                <w:sz w:val="20"/>
                <w:szCs w:val="20"/>
              </w:rPr>
              <w:t>BOT</w:t>
            </w:r>
            <w:r w:rsidRPr="00D55DC6">
              <w:rPr>
                <w:rFonts w:eastAsia="標楷體"/>
                <w:kern w:val="0"/>
                <w:sz w:val="20"/>
                <w:szCs w:val="20"/>
              </w:rPr>
              <w:t>案</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41,000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41,000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10,000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10,000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ind w:left="336" w:hangingChars="168" w:hanging="336"/>
              <w:rPr>
                <w:rFonts w:eastAsia="標楷體"/>
                <w:kern w:val="0"/>
                <w:sz w:val="20"/>
                <w:szCs w:val="20"/>
              </w:rPr>
            </w:pPr>
            <w:r w:rsidRPr="00D55DC6">
              <w:rPr>
                <w:rFonts w:eastAsia="標楷體"/>
                <w:kern w:val="0"/>
                <w:sz w:val="20"/>
                <w:szCs w:val="20"/>
              </w:rPr>
              <w:t>16.</w:t>
            </w:r>
            <w:r w:rsidRPr="00D55DC6">
              <w:rPr>
                <w:rFonts w:eastAsia="標楷體"/>
                <w:kern w:val="0"/>
                <w:sz w:val="20"/>
                <w:szCs w:val="20"/>
              </w:rPr>
              <w:t>龍美住宿區</w:t>
            </w:r>
            <w:r w:rsidRPr="00D55DC6">
              <w:rPr>
                <w:rFonts w:eastAsia="標楷體"/>
                <w:kern w:val="0"/>
                <w:sz w:val="20"/>
                <w:szCs w:val="20"/>
              </w:rPr>
              <w:t>(</w:t>
            </w:r>
            <w:r w:rsidRPr="00D55DC6">
              <w:rPr>
                <w:rFonts w:eastAsia="標楷體"/>
                <w:kern w:val="0"/>
                <w:sz w:val="20"/>
                <w:szCs w:val="20"/>
              </w:rPr>
              <w:t>含</w:t>
            </w:r>
            <w:r w:rsidRPr="00D55DC6">
              <w:rPr>
                <w:rFonts w:eastAsia="標楷體"/>
                <w:kern w:val="0"/>
                <w:sz w:val="20"/>
                <w:szCs w:val="20"/>
              </w:rPr>
              <w:t>villa</w:t>
            </w:r>
            <w:r w:rsidRPr="00D55DC6">
              <w:rPr>
                <w:rFonts w:eastAsia="標楷體"/>
                <w:kern w:val="0"/>
                <w:sz w:val="20"/>
                <w:szCs w:val="20"/>
              </w:rPr>
              <w:t>及旅館</w:t>
            </w:r>
            <w:r w:rsidRPr="00D55DC6">
              <w:rPr>
                <w:rFonts w:eastAsia="標楷體"/>
                <w:kern w:val="0"/>
                <w:sz w:val="20"/>
                <w:szCs w:val="20"/>
              </w:rPr>
              <w:t>)BOT</w:t>
            </w:r>
            <w:r w:rsidRPr="00D55DC6">
              <w:rPr>
                <w:rFonts w:eastAsia="標楷體"/>
                <w:kern w:val="0"/>
                <w:sz w:val="20"/>
                <w:szCs w:val="20"/>
              </w:rPr>
              <w:t>案</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15,000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15,000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5,000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5,000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ind w:left="336" w:hangingChars="168" w:hanging="336"/>
              <w:rPr>
                <w:rFonts w:eastAsia="標楷體"/>
                <w:kern w:val="0"/>
                <w:sz w:val="20"/>
                <w:szCs w:val="20"/>
              </w:rPr>
            </w:pPr>
            <w:r w:rsidRPr="00D55DC6">
              <w:rPr>
                <w:rFonts w:eastAsia="標楷體"/>
                <w:kern w:val="0"/>
                <w:sz w:val="20"/>
                <w:szCs w:val="20"/>
              </w:rPr>
              <w:t>17.</w:t>
            </w:r>
            <w:r w:rsidRPr="00D55DC6">
              <w:rPr>
                <w:rFonts w:eastAsia="標楷體"/>
                <w:kern w:val="0"/>
                <w:sz w:val="20"/>
                <w:szCs w:val="20"/>
              </w:rPr>
              <w:t>樂野觀光遊憩服務區</w:t>
            </w:r>
            <w:r w:rsidRPr="00D55DC6">
              <w:rPr>
                <w:rFonts w:eastAsia="標楷體"/>
                <w:kern w:val="0"/>
                <w:sz w:val="20"/>
                <w:szCs w:val="20"/>
              </w:rPr>
              <w:t>BOT</w:t>
            </w:r>
            <w:r w:rsidRPr="00D55DC6">
              <w:rPr>
                <w:rFonts w:eastAsia="標楷體"/>
                <w:kern w:val="0"/>
                <w:sz w:val="20"/>
                <w:szCs w:val="20"/>
              </w:rPr>
              <w:t>案</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5,000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5,000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2,000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2,000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ind w:left="322" w:hangingChars="161" w:hanging="322"/>
              <w:rPr>
                <w:rFonts w:eastAsia="標楷體"/>
                <w:kern w:val="0"/>
                <w:sz w:val="20"/>
                <w:szCs w:val="20"/>
              </w:rPr>
            </w:pPr>
            <w:r w:rsidRPr="00D55DC6">
              <w:rPr>
                <w:rFonts w:eastAsia="標楷體"/>
                <w:kern w:val="0"/>
                <w:sz w:val="20"/>
                <w:szCs w:val="20"/>
              </w:rPr>
              <w:t>18.</w:t>
            </w:r>
            <w:r w:rsidRPr="00D55DC6">
              <w:rPr>
                <w:rFonts w:eastAsia="標楷體"/>
                <w:kern w:val="0"/>
                <w:sz w:val="20"/>
                <w:szCs w:val="20"/>
              </w:rPr>
              <w:t>奮起湖</w:t>
            </w:r>
            <w:r w:rsidRPr="00D55DC6">
              <w:rPr>
                <w:rFonts w:eastAsia="標楷體"/>
                <w:kern w:val="0"/>
                <w:sz w:val="20"/>
                <w:szCs w:val="20"/>
              </w:rPr>
              <w:t>-</w:t>
            </w:r>
            <w:r w:rsidRPr="00D55DC6">
              <w:rPr>
                <w:rFonts w:eastAsia="標楷體"/>
                <w:kern w:val="0"/>
                <w:sz w:val="20"/>
                <w:szCs w:val="20"/>
              </w:rPr>
              <w:t>頂湖</w:t>
            </w:r>
            <w:r w:rsidRPr="00D55DC6">
              <w:rPr>
                <w:rFonts w:eastAsia="標楷體"/>
                <w:kern w:val="0"/>
                <w:sz w:val="20"/>
                <w:szCs w:val="20"/>
              </w:rPr>
              <w:t>(</w:t>
            </w:r>
            <w:r w:rsidRPr="00D55DC6">
              <w:rPr>
                <w:rFonts w:eastAsia="標楷體"/>
                <w:kern w:val="0"/>
                <w:sz w:val="20"/>
                <w:szCs w:val="20"/>
              </w:rPr>
              <w:t>支線大凍山</w:t>
            </w:r>
            <w:r w:rsidRPr="00D55DC6">
              <w:rPr>
                <w:rFonts w:eastAsia="標楷體"/>
                <w:kern w:val="0"/>
                <w:sz w:val="20"/>
                <w:szCs w:val="20"/>
              </w:rPr>
              <w:t>)</w:t>
            </w:r>
            <w:r w:rsidRPr="00D55DC6">
              <w:rPr>
                <w:rFonts w:eastAsia="標楷體"/>
                <w:kern w:val="0"/>
                <w:sz w:val="20"/>
                <w:szCs w:val="20"/>
              </w:rPr>
              <w:t>觀光纜車及旅館站區</w:t>
            </w:r>
            <w:r w:rsidRPr="00D55DC6">
              <w:rPr>
                <w:rFonts w:eastAsia="標楷體"/>
                <w:kern w:val="0"/>
                <w:sz w:val="20"/>
                <w:szCs w:val="20"/>
              </w:rPr>
              <w:t>BOT</w:t>
            </w:r>
            <w:r w:rsidRPr="00D55DC6">
              <w:rPr>
                <w:rFonts w:eastAsia="標楷體"/>
                <w:kern w:val="0"/>
                <w:sz w:val="20"/>
                <w:szCs w:val="20"/>
              </w:rPr>
              <w:t>案</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15,000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15,000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5,000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5,000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ind w:left="322" w:hangingChars="161" w:hanging="322"/>
              <w:rPr>
                <w:rFonts w:eastAsia="標楷體"/>
                <w:kern w:val="0"/>
                <w:sz w:val="20"/>
                <w:szCs w:val="20"/>
              </w:rPr>
            </w:pPr>
            <w:r w:rsidRPr="00D55DC6">
              <w:rPr>
                <w:rFonts w:eastAsia="標楷體"/>
                <w:kern w:val="0"/>
                <w:sz w:val="20"/>
                <w:szCs w:val="20"/>
              </w:rPr>
              <w:t>19.</w:t>
            </w:r>
            <w:r w:rsidRPr="00D55DC6">
              <w:rPr>
                <w:rFonts w:eastAsia="標楷體"/>
                <w:kern w:val="0"/>
                <w:sz w:val="20"/>
                <w:szCs w:val="20"/>
              </w:rPr>
              <w:t>圓潭自然生態園區入園費</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5,004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5,004 </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5,004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5,004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5,004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5,504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5,504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20.</w:t>
            </w:r>
            <w:r w:rsidRPr="00D55DC6">
              <w:rPr>
                <w:rFonts w:eastAsia="標楷體"/>
                <w:kern w:val="0"/>
                <w:sz w:val="20"/>
                <w:szCs w:val="20"/>
              </w:rPr>
              <w:t>停車場收費</w:t>
            </w:r>
            <w:r w:rsidRPr="00D55DC6">
              <w:rPr>
                <w:rFonts w:eastAsia="標楷體"/>
                <w:kern w:val="0"/>
                <w:sz w:val="20"/>
                <w:szCs w:val="20"/>
              </w:rPr>
              <w:br/>
              <w:t>(</w:t>
            </w:r>
            <w:r w:rsidRPr="00D55DC6">
              <w:rPr>
                <w:rFonts w:eastAsia="標楷體"/>
                <w:kern w:val="0"/>
                <w:sz w:val="20"/>
                <w:szCs w:val="20"/>
              </w:rPr>
              <w:t>圓潭自然生態園區停車場、牛埔仔遊客中心周邊停車場、奮起湖停車場及路邊停車格</w:t>
            </w:r>
            <w:r w:rsidRPr="00D55DC6">
              <w:rPr>
                <w:rFonts w:eastAsia="標楷體"/>
                <w:kern w:val="0"/>
                <w:sz w:val="20"/>
                <w:szCs w:val="20"/>
              </w:rPr>
              <w:t>)</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26,741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26,741 </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26,741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26,741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26,741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26,741 </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26,741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ind w:left="336" w:hangingChars="168" w:hanging="336"/>
              <w:rPr>
                <w:rFonts w:eastAsia="標楷體"/>
                <w:kern w:val="0"/>
                <w:sz w:val="20"/>
                <w:szCs w:val="20"/>
              </w:rPr>
            </w:pPr>
            <w:r w:rsidRPr="00D55DC6">
              <w:rPr>
                <w:rFonts w:eastAsia="標楷體"/>
                <w:kern w:val="0"/>
                <w:sz w:val="20"/>
                <w:szCs w:val="20"/>
              </w:rPr>
              <w:t>21.</w:t>
            </w:r>
            <w:r w:rsidRPr="00D55DC6">
              <w:rPr>
                <w:rFonts w:eastAsia="標楷體"/>
                <w:kern w:val="0"/>
                <w:sz w:val="20"/>
                <w:szCs w:val="20"/>
              </w:rPr>
              <w:t>廣告收益</w:t>
            </w:r>
            <w:r w:rsidRPr="00D55DC6">
              <w:rPr>
                <w:rFonts w:eastAsia="標楷體"/>
                <w:kern w:val="0"/>
                <w:sz w:val="20"/>
                <w:szCs w:val="20"/>
              </w:rPr>
              <w:t>(</w:t>
            </w:r>
            <w:r w:rsidRPr="00D55DC6">
              <w:rPr>
                <w:rFonts w:eastAsia="標楷體"/>
                <w:kern w:val="0"/>
                <w:sz w:val="20"/>
                <w:szCs w:val="20"/>
              </w:rPr>
              <w:t>活動期間、停車場電子看板</w:t>
            </w:r>
            <w:r w:rsidRPr="00D55DC6">
              <w:rPr>
                <w:rFonts w:eastAsia="標楷體"/>
                <w:kern w:val="0"/>
                <w:sz w:val="20"/>
                <w:szCs w:val="20"/>
              </w:rPr>
              <w:t>)</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1,090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1,090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1,090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1,090</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1,090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1,090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1,090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1,090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1,090</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22.</w:t>
            </w:r>
            <w:r w:rsidRPr="00D55DC6">
              <w:rPr>
                <w:rFonts w:eastAsia="標楷體"/>
                <w:kern w:val="0"/>
                <w:sz w:val="20"/>
                <w:szCs w:val="20"/>
              </w:rPr>
              <w:t>紀念品開發與</w:t>
            </w:r>
            <w:r w:rsidRPr="00D55DC6">
              <w:rPr>
                <w:rFonts w:eastAsia="標楷體"/>
                <w:kern w:val="0"/>
                <w:sz w:val="20"/>
                <w:szCs w:val="20"/>
              </w:rPr>
              <w:t>logo</w:t>
            </w:r>
            <w:r w:rsidRPr="00D55DC6">
              <w:rPr>
                <w:rFonts w:eastAsia="標楷體"/>
                <w:kern w:val="0"/>
                <w:sz w:val="20"/>
                <w:szCs w:val="20"/>
              </w:rPr>
              <w:t>授權</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2,000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2,000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2,000</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2,000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2,000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2,000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2,000</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2,000</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23.</w:t>
            </w:r>
            <w:r w:rsidRPr="00D55DC6">
              <w:rPr>
                <w:rFonts w:eastAsia="標楷體"/>
                <w:kern w:val="0"/>
                <w:sz w:val="20"/>
                <w:szCs w:val="20"/>
              </w:rPr>
              <w:t>用地變更回饋金</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8"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c>
          <w:tcPr>
            <w:tcW w:w="709" w:type="dxa"/>
            <w:tcBorders>
              <w:top w:val="nil"/>
              <w:left w:val="nil"/>
              <w:bottom w:val="single" w:sz="4" w:space="0" w:color="auto"/>
              <w:right w:val="single" w:sz="4" w:space="0" w:color="auto"/>
            </w:tcBorders>
            <w:noWrap/>
            <w:vAlign w:val="center"/>
          </w:tcPr>
          <w:p w:rsidR="00C050DB" w:rsidRPr="00D55DC6" w:rsidRDefault="00C050DB" w:rsidP="0038165F">
            <w:pPr>
              <w:widowControl/>
              <w:snapToGrid w:val="0"/>
              <w:jc w:val="center"/>
              <w:rPr>
                <w:rFonts w:eastAsia="標楷體"/>
                <w:kern w:val="0"/>
                <w:sz w:val="20"/>
                <w:szCs w:val="20"/>
              </w:rPr>
            </w:pPr>
            <w:r w:rsidRPr="00D55DC6">
              <w:rPr>
                <w:rFonts w:eastAsia="標楷體"/>
                <w:kern w:val="0"/>
                <w:sz w:val="20"/>
                <w:szCs w:val="20"/>
              </w:rPr>
              <w:t>-</w:t>
            </w:r>
          </w:p>
        </w:tc>
      </w:tr>
      <w:tr w:rsidR="001D0350" w:rsidRPr="00D55DC6" w:rsidTr="00A82A80">
        <w:trPr>
          <w:trHeight w:val="587"/>
        </w:trPr>
        <w:tc>
          <w:tcPr>
            <w:tcW w:w="2552" w:type="dxa"/>
            <w:tcBorders>
              <w:top w:val="nil"/>
              <w:left w:val="single" w:sz="4" w:space="0" w:color="auto"/>
              <w:bottom w:val="double" w:sz="6" w:space="0" w:color="auto"/>
              <w:right w:val="single" w:sz="4" w:space="0" w:color="auto"/>
            </w:tcBorders>
            <w:shd w:val="clear" w:color="000000" w:fill="D9D9D9"/>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合</w:t>
            </w:r>
            <w:r w:rsidRPr="00D55DC6">
              <w:rPr>
                <w:rFonts w:eastAsia="標楷體"/>
                <w:kern w:val="0"/>
                <w:sz w:val="20"/>
                <w:szCs w:val="20"/>
              </w:rPr>
              <w:t xml:space="preserve">          </w:t>
            </w:r>
            <w:r w:rsidRPr="00D55DC6">
              <w:rPr>
                <w:rFonts w:eastAsia="標楷體"/>
                <w:kern w:val="0"/>
                <w:sz w:val="20"/>
                <w:szCs w:val="20"/>
              </w:rPr>
              <w:t>計</w:t>
            </w:r>
          </w:p>
        </w:tc>
        <w:tc>
          <w:tcPr>
            <w:tcW w:w="708" w:type="dxa"/>
            <w:tcBorders>
              <w:top w:val="nil"/>
              <w:left w:val="nil"/>
              <w:bottom w:val="double" w:sz="6" w:space="0" w:color="auto"/>
              <w:right w:val="single" w:sz="4" w:space="0" w:color="auto"/>
            </w:tcBorders>
            <w:shd w:val="clear" w:color="000000" w:fill="E4DFEC"/>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614 </w:t>
            </w:r>
          </w:p>
        </w:tc>
        <w:tc>
          <w:tcPr>
            <w:tcW w:w="709" w:type="dxa"/>
            <w:tcBorders>
              <w:top w:val="nil"/>
              <w:left w:val="nil"/>
              <w:bottom w:val="double" w:sz="6" w:space="0" w:color="auto"/>
              <w:right w:val="single" w:sz="4" w:space="0" w:color="auto"/>
            </w:tcBorders>
            <w:shd w:val="clear" w:color="000000" w:fill="E4DFEC"/>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1,994 </w:t>
            </w:r>
          </w:p>
        </w:tc>
        <w:tc>
          <w:tcPr>
            <w:tcW w:w="709" w:type="dxa"/>
            <w:tcBorders>
              <w:top w:val="nil"/>
              <w:left w:val="nil"/>
              <w:bottom w:val="double" w:sz="6" w:space="0" w:color="auto"/>
              <w:right w:val="single" w:sz="4" w:space="0" w:color="auto"/>
            </w:tcBorders>
            <w:shd w:val="clear" w:color="000000" w:fill="E4DFEC"/>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12,484 </w:t>
            </w:r>
          </w:p>
        </w:tc>
        <w:tc>
          <w:tcPr>
            <w:tcW w:w="709" w:type="dxa"/>
            <w:tcBorders>
              <w:top w:val="nil"/>
              <w:left w:val="nil"/>
              <w:bottom w:val="double" w:sz="6" w:space="0" w:color="auto"/>
              <w:right w:val="single" w:sz="4" w:space="0" w:color="auto"/>
            </w:tcBorders>
            <w:shd w:val="clear" w:color="000000" w:fill="E4DFEC"/>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52,629 </w:t>
            </w:r>
          </w:p>
        </w:tc>
        <w:tc>
          <w:tcPr>
            <w:tcW w:w="709" w:type="dxa"/>
            <w:tcBorders>
              <w:top w:val="nil"/>
              <w:left w:val="nil"/>
              <w:bottom w:val="double" w:sz="6" w:space="0" w:color="auto"/>
              <w:right w:val="single" w:sz="4" w:space="0" w:color="auto"/>
            </w:tcBorders>
            <w:shd w:val="clear" w:color="000000" w:fill="E4DFEC"/>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52,629 </w:t>
            </w:r>
          </w:p>
        </w:tc>
        <w:tc>
          <w:tcPr>
            <w:tcW w:w="708" w:type="dxa"/>
            <w:tcBorders>
              <w:top w:val="nil"/>
              <w:left w:val="nil"/>
              <w:bottom w:val="double" w:sz="6" w:space="0" w:color="auto"/>
              <w:right w:val="single" w:sz="4" w:space="0" w:color="auto"/>
            </w:tcBorders>
            <w:shd w:val="clear" w:color="000000" w:fill="E4DFEC"/>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57,629 </w:t>
            </w:r>
          </w:p>
        </w:tc>
        <w:tc>
          <w:tcPr>
            <w:tcW w:w="709" w:type="dxa"/>
            <w:tcBorders>
              <w:top w:val="nil"/>
              <w:left w:val="nil"/>
              <w:bottom w:val="double" w:sz="6" w:space="0" w:color="auto"/>
              <w:right w:val="single" w:sz="4" w:space="0" w:color="auto"/>
            </w:tcBorders>
            <w:shd w:val="clear" w:color="000000" w:fill="E4DFEC"/>
            <w:noWrap/>
            <w:vAlign w:val="center"/>
          </w:tcPr>
          <w:p w:rsidR="00C050DB" w:rsidRPr="00D55DC6" w:rsidRDefault="00C050DB" w:rsidP="0038165F">
            <w:pPr>
              <w:widowControl/>
              <w:snapToGrid w:val="0"/>
              <w:jc w:val="right"/>
              <w:rPr>
                <w:rFonts w:eastAsia="標楷體"/>
                <w:spacing w:val="-10"/>
                <w:kern w:val="0"/>
                <w:sz w:val="20"/>
                <w:szCs w:val="20"/>
              </w:rPr>
            </w:pPr>
            <w:r w:rsidRPr="00D55DC6">
              <w:rPr>
                <w:rFonts w:eastAsia="標楷體"/>
                <w:spacing w:val="-10"/>
                <w:kern w:val="0"/>
                <w:sz w:val="20"/>
                <w:szCs w:val="20"/>
              </w:rPr>
              <w:t xml:space="preserve">133,729 </w:t>
            </w:r>
          </w:p>
        </w:tc>
        <w:tc>
          <w:tcPr>
            <w:tcW w:w="709" w:type="dxa"/>
            <w:tcBorders>
              <w:top w:val="nil"/>
              <w:left w:val="nil"/>
              <w:bottom w:val="double" w:sz="6" w:space="0" w:color="auto"/>
              <w:right w:val="single" w:sz="4" w:space="0" w:color="auto"/>
            </w:tcBorders>
            <w:shd w:val="clear" w:color="000000" w:fill="E4DFEC"/>
            <w:noWrap/>
            <w:vAlign w:val="center"/>
          </w:tcPr>
          <w:p w:rsidR="00C050DB" w:rsidRPr="00D55DC6" w:rsidRDefault="00C050DB" w:rsidP="0038165F">
            <w:pPr>
              <w:widowControl/>
              <w:snapToGrid w:val="0"/>
              <w:jc w:val="right"/>
              <w:rPr>
                <w:rFonts w:eastAsia="標楷體"/>
                <w:spacing w:val="-10"/>
                <w:kern w:val="0"/>
                <w:sz w:val="20"/>
                <w:szCs w:val="20"/>
              </w:rPr>
            </w:pPr>
            <w:r w:rsidRPr="00D55DC6">
              <w:rPr>
                <w:rFonts w:eastAsia="標楷體"/>
                <w:spacing w:val="-10"/>
                <w:kern w:val="0"/>
                <w:sz w:val="20"/>
                <w:szCs w:val="20"/>
              </w:rPr>
              <w:t xml:space="preserve">131,365 </w:t>
            </w:r>
          </w:p>
        </w:tc>
        <w:tc>
          <w:tcPr>
            <w:tcW w:w="709" w:type="dxa"/>
            <w:tcBorders>
              <w:top w:val="nil"/>
              <w:left w:val="nil"/>
              <w:bottom w:val="double" w:sz="6" w:space="0" w:color="auto"/>
              <w:right w:val="single" w:sz="4" w:space="0" w:color="auto"/>
            </w:tcBorders>
            <w:shd w:val="clear" w:color="000000" w:fill="E4DFEC"/>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77,895 </w:t>
            </w:r>
          </w:p>
        </w:tc>
        <w:tc>
          <w:tcPr>
            <w:tcW w:w="709" w:type="dxa"/>
            <w:tcBorders>
              <w:top w:val="nil"/>
              <w:left w:val="nil"/>
              <w:bottom w:val="double" w:sz="6" w:space="0" w:color="auto"/>
              <w:right w:val="single" w:sz="4" w:space="0" w:color="auto"/>
            </w:tcBorders>
            <w:shd w:val="clear" w:color="000000" w:fill="E4DFEC"/>
            <w:noWrap/>
            <w:vAlign w:val="center"/>
          </w:tcPr>
          <w:p w:rsidR="00C050DB" w:rsidRPr="00D55DC6" w:rsidRDefault="00C050DB" w:rsidP="0038165F">
            <w:pPr>
              <w:widowControl/>
              <w:snapToGrid w:val="0"/>
              <w:jc w:val="right"/>
              <w:rPr>
                <w:rFonts w:eastAsia="標楷體"/>
                <w:kern w:val="0"/>
                <w:sz w:val="20"/>
                <w:szCs w:val="20"/>
              </w:rPr>
            </w:pPr>
            <w:r w:rsidRPr="00D55DC6">
              <w:rPr>
                <w:rFonts w:eastAsia="標楷體"/>
                <w:kern w:val="0"/>
                <w:sz w:val="20"/>
                <w:szCs w:val="20"/>
              </w:rPr>
              <w:t xml:space="preserve">77,895 </w:t>
            </w:r>
          </w:p>
        </w:tc>
      </w:tr>
    </w:tbl>
    <w:p w:rsidR="00C050DB" w:rsidRPr="00D55DC6" w:rsidRDefault="00C050DB" w:rsidP="009D33BA">
      <w:pPr>
        <w:spacing w:beforeLines="100" w:before="360"/>
        <w:ind w:rightChars="-435" w:right="-1044"/>
        <w:rPr>
          <w:rFonts w:eastAsia="標楷體"/>
        </w:rPr>
      </w:pPr>
    </w:p>
    <w:p w:rsidR="00C050DB" w:rsidRPr="00D55DC6" w:rsidRDefault="00C050DB" w:rsidP="009D33BA">
      <w:pPr>
        <w:spacing w:beforeLines="100" w:before="360"/>
        <w:ind w:rightChars="-435" w:right="-1044"/>
      </w:pPr>
      <w:r w:rsidRPr="00D55DC6">
        <w:rPr>
          <w:rFonts w:eastAsia="標楷體"/>
        </w:rPr>
        <w:lastRenderedPageBreak/>
        <w:t xml:space="preserve"> (</w:t>
      </w:r>
      <w:r w:rsidRPr="00D55DC6">
        <w:rPr>
          <w:rFonts w:eastAsia="標楷體"/>
        </w:rPr>
        <w:t>續</w:t>
      </w:r>
      <w:r w:rsidRPr="00D55DC6">
        <w:rPr>
          <w:rFonts w:eastAsia="標楷體"/>
        </w:rPr>
        <w:t>)</w:t>
      </w:r>
      <w:r w:rsidRPr="00D55DC6">
        <w:t xml:space="preserve">                                                              </w:t>
      </w:r>
      <w:r w:rsidRPr="00D55DC6">
        <w:rPr>
          <w:rFonts w:eastAsia="標楷體"/>
          <w:sz w:val="20"/>
          <w:szCs w:val="20"/>
        </w:rPr>
        <w:t>（單位：千元）</w:t>
      </w:r>
    </w:p>
    <w:tbl>
      <w:tblPr>
        <w:tblW w:w="10065" w:type="dxa"/>
        <w:tblInd w:w="28" w:type="dxa"/>
        <w:tblLayout w:type="fixed"/>
        <w:tblCellMar>
          <w:left w:w="28" w:type="dxa"/>
          <w:right w:w="28" w:type="dxa"/>
        </w:tblCellMar>
        <w:tblLook w:val="04A0" w:firstRow="1" w:lastRow="0" w:firstColumn="1" w:lastColumn="0" w:noHBand="0" w:noVBand="1"/>
      </w:tblPr>
      <w:tblGrid>
        <w:gridCol w:w="2552"/>
        <w:gridCol w:w="657"/>
        <w:gridCol w:w="657"/>
        <w:gridCol w:w="657"/>
        <w:gridCol w:w="658"/>
        <w:gridCol w:w="657"/>
        <w:gridCol w:w="657"/>
        <w:gridCol w:w="657"/>
        <w:gridCol w:w="658"/>
        <w:gridCol w:w="657"/>
        <w:gridCol w:w="657"/>
        <w:gridCol w:w="941"/>
      </w:tblGrid>
      <w:tr w:rsidR="001D0350" w:rsidRPr="00D55DC6" w:rsidTr="00A82A80">
        <w:trPr>
          <w:trHeight w:val="585"/>
          <w:tblHeader/>
        </w:trPr>
        <w:tc>
          <w:tcPr>
            <w:tcW w:w="2552" w:type="dxa"/>
            <w:tcBorders>
              <w:top w:val="single" w:sz="4" w:space="0" w:color="auto"/>
              <w:left w:val="single" w:sz="4" w:space="0" w:color="auto"/>
              <w:bottom w:val="double" w:sz="6" w:space="0" w:color="auto"/>
              <w:right w:val="single" w:sz="4" w:space="0" w:color="auto"/>
            </w:tcBorders>
            <w:shd w:val="clear" w:color="000000" w:fill="FFCC00"/>
            <w:vAlign w:val="center"/>
          </w:tcPr>
          <w:p w:rsidR="00C050DB" w:rsidRPr="00D55DC6" w:rsidRDefault="00C050DB" w:rsidP="0038165F">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2"/>
                <w:szCs w:val="20"/>
              </w:rPr>
              <w:t xml:space="preserve">　　年度</w:t>
            </w:r>
            <w:r w:rsidRPr="00D55DC6">
              <w:rPr>
                <w:rFonts w:eastAsia="標楷體"/>
                <w:kern w:val="0"/>
                <w:sz w:val="22"/>
                <w:szCs w:val="20"/>
              </w:rPr>
              <w:br/>
            </w:r>
            <w:r w:rsidRPr="00D55DC6">
              <w:rPr>
                <w:rFonts w:eastAsia="標楷體"/>
                <w:kern w:val="0"/>
                <w:sz w:val="22"/>
                <w:szCs w:val="20"/>
              </w:rPr>
              <w:t>收益項目</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113</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114</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115</w:t>
            </w:r>
          </w:p>
        </w:tc>
        <w:tc>
          <w:tcPr>
            <w:tcW w:w="658"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116</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117</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118</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119</w:t>
            </w:r>
          </w:p>
        </w:tc>
        <w:tc>
          <w:tcPr>
            <w:tcW w:w="658"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120</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121</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122</w:t>
            </w:r>
          </w:p>
        </w:tc>
        <w:tc>
          <w:tcPr>
            <w:tcW w:w="941"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合計</w:t>
            </w:r>
          </w:p>
        </w:tc>
      </w:tr>
      <w:tr w:rsidR="001D0350" w:rsidRPr="00D55DC6" w:rsidTr="00A82A80">
        <w:trPr>
          <w:trHeight w:val="345"/>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1.</w:t>
            </w:r>
            <w:r w:rsidRPr="00D55DC6">
              <w:rPr>
                <w:rFonts w:eastAsia="標楷體"/>
                <w:kern w:val="0"/>
                <w:sz w:val="20"/>
                <w:szCs w:val="20"/>
              </w:rPr>
              <w:t>觸口遊客中心賣店出租</w:t>
            </w:r>
          </w:p>
        </w:tc>
        <w:tc>
          <w:tcPr>
            <w:tcW w:w="657" w:type="dxa"/>
            <w:tcBorders>
              <w:top w:val="double" w:sz="6"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624 </w:t>
            </w:r>
          </w:p>
        </w:tc>
        <w:tc>
          <w:tcPr>
            <w:tcW w:w="657" w:type="dxa"/>
            <w:tcBorders>
              <w:top w:val="double" w:sz="6"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624 </w:t>
            </w:r>
          </w:p>
        </w:tc>
        <w:tc>
          <w:tcPr>
            <w:tcW w:w="657" w:type="dxa"/>
            <w:tcBorders>
              <w:top w:val="double" w:sz="6"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624 </w:t>
            </w:r>
          </w:p>
        </w:tc>
        <w:tc>
          <w:tcPr>
            <w:tcW w:w="658" w:type="dxa"/>
            <w:tcBorders>
              <w:top w:val="double" w:sz="6"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624 </w:t>
            </w:r>
          </w:p>
        </w:tc>
        <w:tc>
          <w:tcPr>
            <w:tcW w:w="657" w:type="dxa"/>
            <w:tcBorders>
              <w:top w:val="double" w:sz="6"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624 </w:t>
            </w:r>
          </w:p>
        </w:tc>
        <w:tc>
          <w:tcPr>
            <w:tcW w:w="657" w:type="dxa"/>
            <w:tcBorders>
              <w:top w:val="double" w:sz="6"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624 </w:t>
            </w:r>
          </w:p>
        </w:tc>
        <w:tc>
          <w:tcPr>
            <w:tcW w:w="657" w:type="dxa"/>
            <w:tcBorders>
              <w:top w:val="double" w:sz="6"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624 </w:t>
            </w:r>
          </w:p>
        </w:tc>
        <w:tc>
          <w:tcPr>
            <w:tcW w:w="658" w:type="dxa"/>
            <w:tcBorders>
              <w:top w:val="double" w:sz="6"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624 </w:t>
            </w:r>
          </w:p>
        </w:tc>
        <w:tc>
          <w:tcPr>
            <w:tcW w:w="657" w:type="dxa"/>
            <w:tcBorders>
              <w:top w:val="double" w:sz="6"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624 </w:t>
            </w:r>
          </w:p>
        </w:tc>
        <w:tc>
          <w:tcPr>
            <w:tcW w:w="657" w:type="dxa"/>
            <w:tcBorders>
              <w:top w:val="double" w:sz="6"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624 </w:t>
            </w:r>
          </w:p>
        </w:tc>
        <w:tc>
          <w:tcPr>
            <w:tcW w:w="941" w:type="dxa"/>
            <w:tcBorders>
              <w:top w:val="double" w:sz="6"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12,316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ind w:left="210" w:hangingChars="105" w:hanging="210"/>
              <w:rPr>
                <w:rFonts w:eastAsia="標楷體"/>
                <w:kern w:val="0"/>
                <w:sz w:val="20"/>
                <w:szCs w:val="20"/>
              </w:rPr>
            </w:pPr>
            <w:r w:rsidRPr="00D55DC6">
              <w:rPr>
                <w:rFonts w:eastAsia="標楷體"/>
                <w:kern w:val="0"/>
                <w:sz w:val="20"/>
                <w:szCs w:val="20"/>
              </w:rPr>
              <w:t>2.</w:t>
            </w:r>
            <w:r w:rsidRPr="00D55DC6">
              <w:rPr>
                <w:rFonts w:eastAsia="標楷體"/>
                <w:kern w:val="0"/>
                <w:sz w:val="20"/>
                <w:szCs w:val="20"/>
              </w:rPr>
              <w:t>奮起湖文史陳列室賣店出租</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60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60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60 </w:t>
            </w:r>
          </w:p>
        </w:tc>
        <w:tc>
          <w:tcPr>
            <w:tcW w:w="941"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1,170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3.</w:t>
            </w:r>
            <w:r w:rsidRPr="00D55DC6">
              <w:rPr>
                <w:rFonts w:eastAsia="標楷體"/>
                <w:kern w:val="0"/>
                <w:sz w:val="20"/>
                <w:szCs w:val="20"/>
              </w:rPr>
              <w:t>文峰遊客中心賣店出租</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48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48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48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48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48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48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48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48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48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48 </w:t>
            </w:r>
          </w:p>
        </w:tc>
        <w:tc>
          <w:tcPr>
            <w:tcW w:w="941"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944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ind w:left="224" w:hangingChars="112" w:hanging="224"/>
              <w:rPr>
                <w:rFonts w:eastAsia="標楷體"/>
                <w:kern w:val="0"/>
                <w:sz w:val="20"/>
                <w:szCs w:val="20"/>
              </w:rPr>
            </w:pPr>
            <w:r w:rsidRPr="00D55DC6">
              <w:rPr>
                <w:rFonts w:eastAsia="標楷體"/>
                <w:kern w:val="0"/>
                <w:sz w:val="20"/>
                <w:szCs w:val="20"/>
              </w:rPr>
              <w:t>4.</w:t>
            </w:r>
            <w:r w:rsidRPr="00D55DC6">
              <w:rPr>
                <w:rFonts w:eastAsia="標楷體"/>
                <w:kern w:val="0"/>
                <w:sz w:val="20"/>
                <w:szCs w:val="20"/>
              </w:rPr>
              <w:t>圓潭自然生態園區賣店出租</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63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63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63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63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63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63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63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63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63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63 </w:t>
            </w:r>
          </w:p>
        </w:tc>
        <w:tc>
          <w:tcPr>
            <w:tcW w:w="941"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1,260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5.</w:t>
            </w:r>
            <w:r w:rsidRPr="00D55DC6">
              <w:rPr>
                <w:rFonts w:eastAsia="標楷體"/>
                <w:kern w:val="0"/>
                <w:sz w:val="20"/>
                <w:szCs w:val="20"/>
              </w:rPr>
              <w:t>豐山石盤谷賣店出租</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9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9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9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9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9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9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9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9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9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9 </w:t>
            </w:r>
          </w:p>
        </w:tc>
        <w:tc>
          <w:tcPr>
            <w:tcW w:w="941"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180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6.</w:t>
            </w:r>
            <w:r w:rsidRPr="00D55DC6">
              <w:rPr>
                <w:rFonts w:eastAsia="標楷體"/>
                <w:kern w:val="0"/>
                <w:sz w:val="20"/>
                <w:szCs w:val="20"/>
              </w:rPr>
              <w:t>瑞太資訊站出租</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40</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40</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40</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40</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40</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40</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40</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40</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40</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40</w:t>
            </w:r>
          </w:p>
        </w:tc>
        <w:tc>
          <w:tcPr>
            <w:tcW w:w="941"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780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7.</w:t>
            </w:r>
            <w:r w:rsidRPr="00D55DC6">
              <w:rPr>
                <w:rFonts w:eastAsia="標楷體"/>
                <w:kern w:val="0"/>
                <w:sz w:val="20"/>
                <w:szCs w:val="20"/>
              </w:rPr>
              <w:t>里佳資訊站出租</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30</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30</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30</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30</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30</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30</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30</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30</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30</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30</w:t>
            </w:r>
          </w:p>
        </w:tc>
        <w:tc>
          <w:tcPr>
            <w:tcW w:w="941"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570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ind w:left="224" w:hangingChars="112" w:hanging="224"/>
              <w:rPr>
                <w:rFonts w:eastAsia="標楷體"/>
                <w:kern w:val="0"/>
                <w:sz w:val="20"/>
                <w:szCs w:val="20"/>
              </w:rPr>
            </w:pPr>
            <w:r w:rsidRPr="00D55DC6">
              <w:rPr>
                <w:rFonts w:eastAsia="標楷體"/>
                <w:kern w:val="0"/>
                <w:sz w:val="20"/>
                <w:szCs w:val="20"/>
              </w:rPr>
              <w:t>8.</w:t>
            </w:r>
            <w:r w:rsidRPr="00D55DC6">
              <w:rPr>
                <w:rFonts w:eastAsia="標楷體"/>
                <w:kern w:val="0"/>
                <w:sz w:val="20"/>
                <w:szCs w:val="20"/>
              </w:rPr>
              <w:t>鄒族自然文化中心賣店出租</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60</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60</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60</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60</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60</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60</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60</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60</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60</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60</w:t>
            </w:r>
          </w:p>
        </w:tc>
        <w:tc>
          <w:tcPr>
            <w:tcW w:w="941"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1,110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9.</w:t>
            </w:r>
            <w:r w:rsidRPr="00D55DC6">
              <w:rPr>
                <w:rFonts w:eastAsia="標楷體"/>
                <w:kern w:val="0"/>
                <w:sz w:val="20"/>
                <w:szCs w:val="20"/>
              </w:rPr>
              <w:t>簡式賣點場地出租</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300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300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300 </w:t>
            </w:r>
          </w:p>
        </w:tc>
        <w:tc>
          <w:tcPr>
            <w:tcW w:w="941"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4,600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10.</w:t>
            </w:r>
            <w:r w:rsidRPr="00D55DC6">
              <w:rPr>
                <w:rFonts w:eastAsia="標楷體"/>
                <w:kern w:val="0"/>
                <w:sz w:val="20"/>
                <w:szCs w:val="20"/>
              </w:rPr>
              <w:t>來吉觀光推廣中心出租</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100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100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100 </w:t>
            </w:r>
          </w:p>
        </w:tc>
        <w:tc>
          <w:tcPr>
            <w:tcW w:w="658"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100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100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100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100 </w:t>
            </w:r>
          </w:p>
        </w:tc>
        <w:tc>
          <w:tcPr>
            <w:tcW w:w="658"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100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100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100 </w:t>
            </w:r>
          </w:p>
        </w:tc>
        <w:tc>
          <w:tcPr>
            <w:tcW w:w="941"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1,400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11.</w:t>
            </w:r>
            <w:r w:rsidRPr="00D55DC6">
              <w:rPr>
                <w:rFonts w:eastAsia="標楷體"/>
                <w:kern w:val="0"/>
                <w:sz w:val="20"/>
                <w:szCs w:val="20"/>
              </w:rPr>
              <w:t>牛埔仔遊客中心</w:t>
            </w:r>
            <w:r w:rsidRPr="00D55DC6">
              <w:rPr>
                <w:rFonts w:eastAsia="標楷體"/>
                <w:kern w:val="0"/>
                <w:sz w:val="20"/>
                <w:szCs w:val="20"/>
              </w:rPr>
              <w:t>OT</w:t>
            </w:r>
            <w:r w:rsidRPr="00D55DC6">
              <w:rPr>
                <w:rFonts w:eastAsia="標楷體"/>
                <w:kern w:val="0"/>
                <w:sz w:val="20"/>
                <w:szCs w:val="20"/>
              </w:rPr>
              <w:t>案</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286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286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315 </w:t>
            </w:r>
          </w:p>
        </w:tc>
        <w:tc>
          <w:tcPr>
            <w:tcW w:w="658"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315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315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315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315 </w:t>
            </w:r>
          </w:p>
        </w:tc>
        <w:tc>
          <w:tcPr>
            <w:tcW w:w="658"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346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346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346 </w:t>
            </w:r>
          </w:p>
        </w:tc>
        <w:tc>
          <w:tcPr>
            <w:tcW w:w="941"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5,341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ind w:left="336" w:hangingChars="168" w:hanging="336"/>
              <w:rPr>
                <w:rFonts w:eastAsia="標楷體"/>
                <w:kern w:val="0"/>
                <w:sz w:val="20"/>
                <w:szCs w:val="20"/>
              </w:rPr>
            </w:pPr>
            <w:r w:rsidRPr="00D55DC6">
              <w:rPr>
                <w:rFonts w:eastAsia="標楷體"/>
                <w:kern w:val="0"/>
                <w:sz w:val="20"/>
                <w:szCs w:val="20"/>
              </w:rPr>
              <w:t>12.</w:t>
            </w:r>
            <w:r w:rsidRPr="00D55DC6">
              <w:rPr>
                <w:rFonts w:eastAsia="標楷體"/>
                <w:kern w:val="0"/>
                <w:sz w:val="20"/>
                <w:szCs w:val="20"/>
              </w:rPr>
              <w:t>太平雲梯遊憩服務區</w:t>
            </w:r>
            <w:r w:rsidRPr="00D55DC6">
              <w:rPr>
                <w:rFonts w:eastAsia="標楷體"/>
                <w:kern w:val="0"/>
                <w:sz w:val="20"/>
                <w:szCs w:val="20"/>
              </w:rPr>
              <w:t>OT</w:t>
            </w:r>
            <w:r w:rsidRPr="00D55DC6">
              <w:rPr>
                <w:rFonts w:eastAsia="標楷體"/>
                <w:kern w:val="0"/>
                <w:sz w:val="20"/>
                <w:szCs w:val="20"/>
              </w:rPr>
              <w:t>案</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17,710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17,710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19,481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19,481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19,481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19,481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19,481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21,429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21,429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21,429 </w:t>
            </w:r>
          </w:p>
        </w:tc>
        <w:tc>
          <w:tcPr>
            <w:tcW w:w="941"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322,642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13.</w:t>
            </w:r>
            <w:r w:rsidRPr="00D55DC6">
              <w:rPr>
                <w:rFonts w:eastAsia="標楷體"/>
                <w:kern w:val="0"/>
                <w:sz w:val="20"/>
                <w:szCs w:val="20"/>
              </w:rPr>
              <w:t>龍美服務區</w:t>
            </w:r>
            <w:r w:rsidRPr="00D55DC6">
              <w:rPr>
                <w:rFonts w:eastAsia="標楷體"/>
                <w:kern w:val="0"/>
                <w:sz w:val="20"/>
                <w:szCs w:val="20"/>
              </w:rPr>
              <w:t>OT</w:t>
            </w:r>
            <w:r w:rsidRPr="00D55DC6">
              <w:rPr>
                <w:rFonts w:eastAsia="標楷體"/>
                <w:kern w:val="0"/>
                <w:sz w:val="20"/>
                <w:szCs w:val="20"/>
              </w:rPr>
              <w:t>案</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330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330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330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363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363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363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363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363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399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399 </w:t>
            </w:r>
          </w:p>
        </w:tc>
        <w:tc>
          <w:tcPr>
            <w:tcW w:w="941"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5,764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vAlign w:val="center"/>
          </w:tcPr>
          <w:p w:rsidR="00C050DB" w:rsidRPr="00D55DC6" w:rsidRDefault="00C050DB" w:rsidP="0038165F">
            <w:pPr>
              <w:widowControl/>
              <w:snapToGrid w:val="0"/>
              <w:ind w:left="322" w:hangingChars="161" w:hanging="322"/>
              <w:rPr>
                <w:rFonts w:eastAsia="標楷體"/>
                <w:kern w:val="0"/>
                <w:sz w:val="20"/>
                <w:szCs w:val="20"/>
              </w:rPr>
            </w:pPr>
            <w:r w:rsidRPr="00D55DC6">
              <w:rPr>
                <w:rFonts w:eastAsia="標楷體"/>
                <w:kern w:val="0"/>
                <w:sz w:val="20"/>
                <w:szCs w:val="20"/>
              </w:rPr>
              <w:t>14.</w:t>
            </w:r>
            <w:r w:rsidRPr="00D55DC6">
              <w:rPr>
                <w:rFonts w:eastAsia="標楷體"/>
                <w:kern w:val="0"/>
                <w:sz w:val="20"/>
                <w:szCs w:val="20"/>
              </w:rPr>
              <w:t>奮起湖食宿慢活體驗區</w:t>
            </w:r>
            <w:r w:rsidRPr="00D55DC6">
              <w:rPr>
                <w:rFonts w:eastAsia="標楷體"/>
                <w:kern w:val="0"/>
                <w:sz w:val="20"/>
                <w:szCs w:val="20"/>
              </w:rPr>
              <w:t>BOT</w:t>
            </w:r>
            <w:r w:rsidRPr="00D55DC6">
              <w:rPr>
                <w:rFonts w:eastAsia="標楷體"/>
                <w:kern w:val="0"/>
                <w:sz w:val="20"/>
                <w:szCs w:val="20"/>
              </w:rPr>
              <w:t>案</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1,100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1,100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1,100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1,100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1,100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1,210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1,210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1,210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1,210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1,210 </w:t>
            </w:r>
          </w:p>
        </w:tc>
        <w:tc>
          <w:tcPr>
            <w:tcW w:w="941"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24,550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15.</w:t>
            </w:r>
            <w:r w:rsidRPr="00D55DC6">
              <w:rPr>
                <w:rFonts w:eastAsia="標楷體"/>
                <w:kern w:val="0"/>
                <w:sz w:val="20"/>
                <w:szCs w:val="20"/>
              </w:rPr>
              <w:t>牛埔仔遊憩區</w:t>
            </w:r>
            <w:r w:rsidRPr="00D55DC6">
              <w:rPr>
                <w:rFonts w:eastAsia="標楷體"/>
                <w:kern w:val="0"/>
                <w:sz w:val="20"/>
                <w:szCs w:val="20"/>
              </w:rPr>
              <w:t>BOT</w:t>
            </w:r>
            <w:r w:rsidRPr="00D55DC6">
              <w:rPr>
                <w:rFonts w:eastAsia="標楷體"/>
                <w:kern w:val="0"/>
                <w:sz w:val="20"/>
                <w:szCs w:val="20"/>
              </w:rPr>
              <w:t>案</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10,000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11,000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11,000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11,000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11,000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11,000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12,100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12,100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12,100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12,100 </w:t>
            </w:r>
          </w:p>
        </w:tc>
        <w:tc>
          <w:tcPr>
            <w:tcW w:w="941"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215,400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ind w:left="336" w:hangingChars="168" w:hanging="336"/>
              <w:rPr>
                <w:rFonts w:eastAsia="標楷體"/>
                <w:kern w:val="0"/>
                <w:sz w:val="20"/>
                <w:szCs w:val="20"/>
              </w:rPr>
            </w:pPr>
            <w:r w:rsidRPr="00D55DC6">
              <w:rPr>
                <w:rFonts w:eastAsia="標楷體"/>
                <w:kern w:val="0"/>
                <w:sz w:val="20"/>
                <w:szCs w:val="20"/>
              </w:rPr>
              <w:t>16.</w:t>
            </w:r>
            <w:r w:rsidRPr="00D55DC6">
              <w:rPr>
                <w:rFonts w:eastAsia="標楷體"/>
                <w:kern w:val="0"/>
                <w:sz w:val="20"/>
                <w:szCs w:val="20"/>
              </w:rPr>
              <w:t>龍美住宿區</w:t>
            </w:r>
            <w:r w:rsidRPr="00D55DC6">
              <w:rPr>
                <w:rFonts w:eastAsia="標楷體"/>
                <w:kern w:val="0"/>
                <w:sz w:val="20"/>
                <w:szCs w:val="20"/>
              </w:rPr>
              <w:t>(</w:t>
            </w:r>
            <w:r w:rsidRPr="00D55DC6">
              <w:rPr>
                <w:rFonts w:eastAsia="標楷體"/>
                <w:kern w:val="0"/>
                <w:sz w:val="20"/>
                <w:szCs w:val="20"/>
              </w:rPr>
              <w:t>含</w:t>
            </w:r>
            <w:r w:rsidRPr="00D55DC6">
              <w:rPr>
                <w:rFonts w:eastAsia="標楷體"/>
                <w:kern w:val="0"/>
                <w:sz w:val="20"/>
                <w:szCs w:val="20"/>
              </w:rPr>
              <w:t>villa</w:t>
            </w:r>
            <w:r w:rsidRPr="00D55DC6">
              <w:rPr>
                <w:rFonts w:eastAsia="標楷體"/>
                <w:kern w:val="0"/>
                <w:sz w:val="20"/>
                <w:szCs w:val="20"/>
              </w:rPr>
              <w:t>及旅館</w:t>
            </w:r>
            <w:r w:rsidRPr="00D55DC6">
              <w:rPr>
                <w:rFonts w:eastAsia="標楷體"/>
                <w:kern w:val="0"/>
                <w:sz w:val="20"/>
                <w:szCs w:val="20"/>
              </w:rPr>
              <w:t>)BOT</w:t>
            </w:r>
            <w:r w:rsidRPr="00D55DC6">
              <w:rPr>
                <w:rFonts w:eastAsia="標楷體"/>
                <w:kern w:val="0"/>
                <w:sz w:val="20"/>
                <w:szCs w:val="20"/>
              </w:rPr>
              <w:t>案</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5,000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5,000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5,000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5,500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5,500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5,500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5,500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5,500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6,050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6,050 </w:t>
            </w:r>
          </w:p>
        </w:tc>
        <w:tc>
          <w:tcPr>
            <w:tcW w:w="941"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94,600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ind w:left="336" w:hangingChars="168" w:hanging="336"/>
              <w:rPr>
                <w:rFonts w:eastAsia="標楷體"/>
                <w:kern w:val="0"/>
                <w:sz w:val="20"/>
                <w:szCs w:val="20"/>
              </w:rPr>
            </w:pPr>
            <w:r w:rsidRPr="00D55DC6">
              <w:rPr>
                <w:rFonts w:eastAsia="標楷體"/>
                <w:kern w:val="0"/>
                <w:sz w:val="20"/>
                <w:szCs w:val="20"/>
              </w:rPr>
              <w:t>17.</w:t>
            </w:r>
            <w:r w:rsidRPr="00D55DC6">
              <w:rPr>
                <w:rFonts w:eastAsia="標楷體"/>
                <w:kern w:val="0"/>
                <w:sz w:val="20"/>
                <w:szCs w:val="20"/>
              </w:rPr>
              <w:t>樂野觀光遊憩服務區</w:t>
            </w:r>
            <w:r w:rsidRPr="00D55DC6">
              <w:rPr>
                <w:rFonts w:eastAsia="標楷體"/>
                <w:kern w:val="0"/>
                <w:sz w:val="20"/>
                <w:szCs w:val="20"/>
              </w:rPr>
              <w:t>BOT</w:t>
            </w:r>
            <w:r w:rsidRPr="00D55DC6">
              <w:rPr>
                <w:rFonts w:eastAsia="標楷體"/>
                <w:kern w:val="0"/>
                <w:sz w:val="20"/>
                <w:szCs w:val="20"/>
              </w:rPr>
              <w:t>案</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2,200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2,200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2,200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2,200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2,200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2,420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2,662 </w:t>
            </w:r>
          </w:p>
        </w:tc>
        <w:tc>
          <w:tcPr>
            <w:tcW w:w="941"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36,082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ind w:left="322" w:hangingChars="161" w:hanging="322"/>
              <w:rPr>
                <w:rFonts w:eastAsia="標楷體"/>
                <w:kern w:val="0"/>
                <w:sz w:val="20"/>
                <w:szCs w:val="20"/>
              </w:rPr>
            </w:pPr>
            <w:r w:rsidRPr="00D55DC6">
              <w:rPr>
                <w:rFonts w:eastAsia="標楷體"/>
                <w:kern w:val="0"/>
                <w:sz w:val="20"/>
                <w:szCs w:val="20"/>
              </w:rPr>
              <w:t>18.</w:t>
            </w:r>
            <w:r w:rsidRPr="00D55DC6">
              <w:rPr>
                <w:rFonts w:eastAsia="標楷體"/>
                <w:kern w:val="0"/>
                <w:sz w:val="20"/>
                <w:szCs w:val="20"/>
              </w:rPr>
              <w:t>奮起湖</w:t>
            </w:r>
            <w:r w:rsidRPr="00D55DC6">
              <w:rPr>
                <w:rFonts w:eastAsia="標楷體"/>
                <w:kern w:val="0"/>
                <w:sz w:val="20"/>
                <w:szCs w:val="20"/>
              </w:rPr>
              <w:t>-</w:t>
            </w:r>
            <w:r w:rsidRPr="00D55DC6">
              <w:rPr>
                <w:rFonts w:eastAsia="標楷體"/>
                <w:kern w:val="0"/>
                <w:sz w:val="20"/>
                <w:szCs w:val="20"/>
              </w:rPr>
              <w:t>頂湖</w:t>
            </w:r>
            <w:r w:rsidRPr="00D55DC6">
              <w:rPr>
                <w:rFonts w:eastAsia="標楷體"/>
                <w:kern w:val="0"/>
                <w:sz w:val="20"/>
                <w:szCs w:val="20"/>
              </w:rPr>
              <w:t>(</w:t>
            </w:r>
            <w:r w:rsidRPr="00D55DC6">
              <w:rPr>
                <w:rFonts w:eastAsia="標楷體"/>
                <w:kern w:val="0"/>
                <w:sz w:val="20"/>
                <w:szCs w:val="20"/>
              </w:rPr>
              <w:t>支線大凍山</w:t>
            </w:r>
            <w:r w:rsidRPr="00D55DC6">
              <w:rPr>
                <w:rFonts w:eastAsia="標楷體"/>
                <w:kern w:val="0"/>
                <w:sz w:val="20"/>
                <w:szCs w:val="20"/>
              </w:rPr>
              <w:t>)</w:t>
            </w:r>
            <w:r w:rsidRPr="00D55DC6">
              <w:rPr>
                <w:rFonts w:eastAsia="標楷體"/>
                <w:kern w:val="0"/>
                <w:sz w:val="20"/>
                <w:szCs w:val="20"/>
              </w:rPr>
              <w:t>觀光纜車及旅館站區</w:t>
            </w:r>
            <w:r w:rsidRPr="00D55DC6">
              <w:rPr>
                <w:rFonts w:eastAsia="標楷體"/>
                <w:kern w:val="0"/>
                <w:sz w:val="20"/>
                <w:szCs w:val="20"/>
              </w:rPr>
              <w:t>BOT</w:t>
            </w:r>
            <w:r w:rsidRPr="00D55DC6">
              <w:rPr>
                <w:rFonts w:eastAsia="標楷體"/>
                <w:kern w:val="0"/>
                <w:sz w:val="20"/>
                <w:szCs w:val="20"/>
              </w:rPr>
              <w:t>案</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5,000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5,000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5,000 </w:t>
            </w:r>
          </w:p>
        </w:tc>
        <w:tc>
          <w:tcPr>
            <w:tcW w:w="658"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5,500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5,500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5,500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5,500 </w:t>
            </w:r>
          </w:p>
        </w:tc>
        <w:tc>
          <w:tcPr>
            <w:tcW w:w="658"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5,500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6,050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6,050 </w:t>
            </w:r>
          </w:p>
        </w:tc>
        <w:tc>
          <w:tcPr>
            <w:tcW w:w="941"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94,600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ind w:left="322" w:hangingChars="161" w:hanging="322"/>
              <w:rPr>
                <w:rFonts w:eastAsia="標楷體"/>
                <w:kern w:val="0"/>
                <w:sz w:val="20"/>
                <w:szCs w:val="20"/>
              </w:rPr>
            </w:pPr>
            <w:r w:rsidRPr="00D55DC6">
              <w:rPr>
                <w:rFonts w:eastAsia="標楷體"/>
                <w:kern w:val="0"/>
                <w:sz w:val="20"/>
                <w:szCs w:val="20"/>
              </w:rPr>
              <w:t>19.</w:t>
            </w:r>
            <w:r w:rsidRPr="00D55DC6">
              <w:rPr>
                <w:rFonts w:eastAsia="標楷體"/>
                <w:kern w:val="0"/>
                <w:sz w:val="20"/>
                <w:szCs w:val="20"/>
              </w:rPr>
              <w:t>圓潭自然生態園區入園費</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5,504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5,504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5,504 </w:t>
            </w:r>
          </w:p>
        </w:tc>
        <w:tc>
          <w:tcPr>
            <w:tcW w:w="658"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6,055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6,055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6,055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6,055 </w:t>
            </w:r>
          </w:p>
        </w:tc>
        <w:tc>
          <w:tcPr>
            <w:tcW w:w="658"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6,055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6,660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6,660 </w:t>
            </w:r>
          </w:p>
        </w:tc>
        <w:tc>
          <w:tcPr>
            <w:tcW w:w="941"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96,133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20.</w:t>
            </w:r>
            <w:r w:rsidRPr="00D55DC6">
              <w:rPr>
                <w:rFonts w:eastAsia="標楷體"/>
                <w:kern w:val="0"/>
                <w:sz w:val="20"/>
                <w:szCs w:val="20"/>
              </w:rPr>
              <w:t>停車場收費</w:t>
            </w:r>
            <w:r w:rsidRPr="00D55DC6">
              <w:rPr>
                <w:rFonts w:eastAsia="標楷體"/>
                <w:kern w:val="0"/>
                <w:sz w:val="20"/>
                <w:szCs w:val="20"/>
              </w:rPr>
              <w:br/>
              <w:t>(</w:t>
            </w:r>
            <w:r w:rsidRPr="00D55DC6">
              <w:rPr>
                <w:rFonts w:eastAsia="標楷體"/>
                <w:kern w:val="0"/>
                <w:sz w:val="20"/>
                <w:szCs w:val="20"/>
              </w:rPr>
              <w:t>圓潭自然生態園區停車場、牛埔仔遊客中心周邊停車場、奮起湖停車場及路邊停車格</w:t>
            </w:r>
            <w:r w:rsidRPr="00D55DC6">
              <w:rPr>
                <w:rFonts w:eastAsia="標楷體"/>
                <w:kern w:val="0"/>
                <w:sz w:val="20"/>
                <w:szCs w:val="20"/>
              </w:rPr>
              <w:t>)</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26,741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26,741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26,741 </w:t>
            </w:r>
          </w:p>
        </w:tc>
        <w:tc>
          <w:tcPr>
            <w:tcW w:w="658"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26,741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26,741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26,741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26,741 </w:t>
            </w:r>
          </w:p>
        </w:tc>
        <w:tc>
          <w:tcPr>
            <w:tcW w:w="658"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26,741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26,741 </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26,741 </w:t>
            </w:r>
          </w:p>
        </w:tc>
        <w:tc>
          <w:tcPr>
            <w:tcW w:w="941"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454,601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ind w:left="336" w:hangingChars="168" w:hanging="336"/>
              <w:rPr>
                <w:rFonts w:eastAsia="標楷體"/>
                <w:kern w:val="0"/>
                <w:sz w:val="20"/>
                <w:szCs w:val="20"/>
              </w:rPr>
            </w:pPr>
            <w:r w:rsidRPr="00D55DC6">
              <w:rPr>
                <w:rFonts w:eastAsia="標楷體"/>
                <w:kern w:val="0"/>
                <w:sz w:val="20"/>
                <w:szCs w:val="20"/>
              </w:rPr>
              <w:t>21.</w:t>
            </w:r>
            <w:r w:rsidRPr="00D55DC6">
              <w:rPr>
                <w:rFonts w:eastAsia="標楷體"/>
                <w:kern w:val="0"/>
                <w:sz w:val="20"/>
                <w:szCs w:val="20"/>
              </w:rPr>
              <w:t>廣告收益</w:t>
            </w:r>
            <w:r w:rsidRPr="00D55DC6">
              <w:rPr>
                <w:rFonts w:eastAsia="標楷體"/>
                <w:kern w:val="0"/>
                <w:sz w:val="20"/>
                <w:szCs w:val="20"/>
              </w:rPr>
              <w:t>(</w:t>
            </w:r>
            <w:r w:rsidRPr="00D55DC6">
              <w:rPr>
                <w:rFonts w:eastAsia="標楷體"/>
                <w:kern w:val="0"/>
                <w:sz w:val="20"/>
                <w:szCs w:val="20"/>
              </w:rPr>
              <w:t>活動期間、停車場電子看板</w:t>
            </w:r>
            <w:r w:rsidRPr="00D55DC6">
              <w:rPr>
                <w:rFonts w:eastAsia="標楷體"/>
                <w:kern w:val="0"/>
                <w:sz w:val="20"/>
                <w:szCs w:val="20"/>
              </w:rPr>
              <w:t>)</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1,090</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1,090</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1,090</w:t>
            </w:r>
          </w:p>
        </w:tc>
        <w:tc>
          <w:tcPr>
            <w:tcW w:w="658"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1,090</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1,090</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1,090</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1,090</w:t>
            </w:r>
          </w:p>
        </w:tc>
        <w:tc>
          <w:tcPr>
            <w:tcW w:w="658"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1,090</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1,090</w:t>
            </w:r>
          </w:p>
        </w:tc>
        <w:tc>
          <w:tcPr>
            <w:tcW w:w="657"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1,090</w:t>
            </w:r>
          </w:p>
        </w:tc>
        <w:tc>
          <w:tcPr>
            <w:tcW w:w="941" w:type="dxa"/>
            <w:tcBorders>
              <w:top w:val="nil"/>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20,710 </w:t>
            </w:r>
          </w:p>
        </w:tc>
      </w:tr>
      <w:tr w:rsidR="001D0350" w:rsidRPr="00D55DC6" w:rsidTr="00A82A80">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22.</w:t>
            </w:r>
            <w:r w:rsidRPr="00D55DC6">
              <w:rPr>
                <w:rFonts w:eastAsia="標楷體"/>
                <w:kern w:val="0"/>
                <w:sz w:val="20"/>
                <w:szCs w:val="20"/>
              </w:rPr>
              <w:t>紀念品開發與</w:t>
            </w:r>
            <w:r w:rsidRPr="00D55DC6">
              <w:rPr>
                <w:rFonts w:eastAsia="標楷體"/>
                <w:kern w:val="0"/>
                <w:sz w:val="20"/>
                <w:szCs w:val="20"/>
              </w:rPr>
              <w:t>logo</w:t>
            </w:r>
            <w:r w:rsidRPr="00D55DC6">
              <w:rPr>
                <w:rFonts w:eastAsia="標楷體"/>
                <w:kern w:val="0"/>
                <w:sz w:val="20"/>
                <w:szCs w:val="20"/>
              </w:rPr>
              <w:t>授權</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 </w:t>
            </w:r>
          </w:p>
        </w:tc>
        <w:tc>
          <w:tcPr>
            <w:tcW w:w="941"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36,000 </w:t>
            </w:r>
          </w:p>
        </w:tc>
      </w:tr>
      <w:tr w:rsidR="001D0350" w:rsidRPr="00D55DC6" w:rsidTr="00A82A80">
        <w:trPr>
          <w:trHeight w:val="345"/>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050DB" w:rsidRPr="00D55DC6" w:rsidRDefault="00C050DB" w:rsidP="0038165F">
            <w:pPr>
              <w:widowControl/>
              <w:snapToGrid w:val="0"/>
              <w:rPr>
                <w:rFonts w:eastAsia="標楷體"/>
                <w:kern w:val="0"/>
                <w:sz w:val="20"/>
                <w:szCs w:val="20"/>
              </w:rPr>
            </w:pPr>
            <w:r w:rsidRPr="00D55DC6">
              <w:rPr>
                <w:rFonts w:eastAsia="標楷體"/>
                <w:kern w:val="0"/>
                <w:sz w:val="20"/>
                <w:szCs w:val="20"/>
              </w:rPr>
              <w:t>23.</w:t>
            </w:r>
            <w:r w:rsidRPr="00D55DC6">
              <w:rPr>
                <w:rFonts w:eastAsia="標楷體"/>
                <w:kern w:val="0"/>
                <w:sz w:val="20"/>
                <w:szCs w:val="20"/>
              </w:rPr>
              <w:t>用地變更回饋金</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 </w:t>
            </w:r>
          </w:p>
        </w:tc>
        <w:tc>
          <w:tcPr>
            <w:tcW w:w="658"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 </w:t>
            </w:r>
          </w:p>
        </w:tc>
        <w:tc>
          <w:tcPr>
            <w:tcW w:w="657"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 </w:t>
            </w:r>
          </w:p>
        </w:tc>
        <w:tc>
          <w:tcPr>
            <w:tcW w:w="941" w:type="dxa"/>
            <w:tcBorders>
              <w:top w:val="single" w:sz="4" w:space="0" w:color="auto"/>
              <w:left w:val="nil"/>
              <w:bottom w:val="single" w:sz="4" w:space="0" w:color="auto"/>
              <w:right w:val="single" w:sz="4" w:space="0" w:color="auto"/>
            </w:tcBorders>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20,000 </w:t>
            </w:r>
          </w:p>
        </w:tc>
      </w:tr>
      <w:tr w:rsidR="001D0350" w:rsidRPr="00D55DC6" w:rsidTr="00A82A80">
        <w:trPr>
          <w:trHeight w:val="592"/>
        </w:trPr>
        <w:tc>
          <w:tcPr>
            <w:tcW w:w="2552" w:type="dxa"/>
            <w:tcBorders>
              <w:top w:val="nil"/>
              <w:left w:val="single" w:sz="4" w:space="0" w:color="auto"/>
              <w:bottom w:val="double" w:sz="6" w:space="0" w:color="auto"/>
              <w:right w:val="single" w:sz="4" w:space="0" w:color="auto"/>
            </w:tcBorders>
            <w:shd w:val="clear" w:color="000000" w:fill="D9D9D9"/>
            <w:noWrap/>
            <w:vAlign w:val="center"/>
          </w:tcPr>
          <w:p w:rsidR="00C050DB" w:rsidRPr="00D55DC6" w:rsidRDefault="00C050DB" w:rsidP="0038165F">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合</w:t>
            </w:r>
            <w:r w:rsidRPr="00D55DC6">
              <w:rPr>
                <w:rFonts w:eastAsia="標楷體"/>
                <w:kern w:val="0"/>
                <w:sz w:val="20"/>
                <w:szCs w:val="20"/>
              </w:rPr>
              <w:t xml:space="preserve">          </w:t>
            </w:r>
            <w:r w:rsidRPr="00D55DC6">
              <w:rPr>
                <w:rFonts w:eastAsia="標楷體"/>
                <w:kern w:val="0"/>
                <w:sz w:val="20"/>
                <w:szCs w:val="20"/>
              </w:rPr>
              <w:t>計</w:t>
            </w:r>
          </w:p>
        </w:tc>
        <w:tc>
          <w:tcPr>
            <w:tcW w:w="657" w:type="dxa"/>
            <w:tcBorders>
              <w:top w:val="single" w:sz="4" w:space="0" w:color="auto"/>
              <w:left w:val="nil"/>
              <w:bottom w:val="double" w:sz="6" w:space="0" w:color="auto"/>
              <w:right w:val="single" w:sz="4" w:space="0" w:color="auto"/>
            </w:tcBorders>
            <w:shd w:val="clear" w:color="000000" w:fill="E4DFEC"/>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80,095 </w:t>
            </w:r>
          </w:p>
        </w:tc>
        <w:tc>
          <w:tcPr>
            <w:tcW w:w="657" w:type="dxa"/>
            <w:tcBorders>
              <w:top w:val="single" w:sz="4" w:space="0" w:color="auto"/>
              <w:left w:val="nil"/>
              <w:bottom w:val="double" w:sz="6" w:space="0" w:color="auto"/>
              <w:right w:val="single" w:sz="4" w:space="0" w:color="auto"/>
            </w:tcBorders>
            <w:shd w:val="clear" w:color="000000" w:fill="E4DFEC"/>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81,095 </w:t>
            </w:r>
          </w:p>
        </w:tc>
        <w:tc>
          <w:tcPr>
            <w:tcW w:w="657" w:type="dxa"/>
            <w:tcBorders>
              <w:top w:val="single" w:sz="4" w:space="0" w:color="auto"/>
              <w:left w:val="nil"/>
              <w:bottom w:val="double" w:sz="6" w:space="0" w:color="auto"/>
              <w:right w:val="single" w:sz="4" w:space="0" w:color="auto"/>
            </w:tcBorders>
            <w:shd w:val="clear" w:color="000000" w:fill="E4DFEC"/>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82,895 </w:t>
            </w:r>
          </w:p>
        </w:tc>
        <w:tc>
          <w:tcPr>
            <w:tcW w:w="658" w:type="dxa"/>
            <w:tcBorders>
              <w:top w:val="single" w:sz="4" w:space="0" w:color="auto"/>
              <w:left w:val="nil"/>
              <w:bottom w:val="double" w:sz="6" w:space="0" w:color="auto"/>
              <w:right w:val="single" w:sz="4" w:space="0" w:color="auto"/>
            </w:tcBorders>
            <w:shd w:val="clear" w:color="000000" w:fill="E4DFEC"/>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84,678 </w:t>
            </w:r>
          </w:p>
        </w:tc>
        <w:tc>
          <w:tcPr>
            <w:tcW w:w="657" w:type="dxa"/>
            <w:tcBorders>
              <w:top w:val="single" w:sz="4" w:space="0" w:color="auto"/>
              <w:left w:val="nil"/>
              <w:bottom w:val="double" w:sz="6" w:space="0" w:color="auto"/>
              <w:right w:val="single" w:sz="4" w:space="0" w:color="auto"/>
            </w:tcBorders>
            <w:shd w:val="clear" w:color="000000" w:fill="E4DFEC"/>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84,678 </w:t>
            </w:r>
          </w:p>
        </w:tc>
        <w:tc>
          <w:tcPr>
            <w:tcW w:w="657" w:type="dxa"/>
            <w:tcBorders>
              <w:top w:val="single" w:sz="4" w:space="0" w:color="auto"/>
              <w:left w:val="nil"/>
              <w:bottom w:val="double" w:sz="6" w:space="0" w:color="auto"/>
              <w:right w:val="single" w:sz="4" w:space="0" w:color="auto"/>
            </w:tcBorders>
            <w:shd w:val="clear" w:color="000000" w:fill="E4DFEC"/>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84,788 </w:t>
            </w:r>
          </w:p>
        </w:tc>
        <w:tc>
          <w:tcPr>
            <w:tcW w:w="657" w:type="dxa"/>
            <w:tcBorders>
              <w:top w:val="single" w:sz="4" w:space="0" w:color="auto"/>
              <w:left w:val="nil"/>
              <w:bottom w:val="double" w:sz="6" w:space="0" w:color="auto"/>
              <w:right w:val="single" w:sz="4" w:space="0" w:color="auto"/>
            </w:tcBorders>
            <w:shd w:val="clear" w:color="000000" w:fill="E4DFEC"/>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85,888 </w:t>
            </w:r>
          </w:p>
        </w:tc>
        <w:tc>
          <w:tcPr>
            <w:tcW w:w="658" w:type="dxa"/>
            <w:tcBorders>
              <w:top w:val="single" w:sz="4" w:space="0" w:color="auto"/>
              <w:left w:val="nil"/>
              <w:bottom w:val="double" w:sz="6" w:space="0" w:color="auto"/>
              <w:right w:val="single" w:sz="4" w:space="0" w:color="auto"/>
            </w:tcBorders>
            <w:shd w:val="clear" w:color="000000" w:fill="E4DFEC"/>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87,868 </w:t>
            </w:r>
          </w:p>
        </w:tc>
        <w:tc>
          <w:tcPr>
            <w:tcW w:w="657" w:type="dxa"/>
            <w:tcBorders>
              <w:top w:val="single" w:sz="4" w:space="0" w:color="auto"/>
              <w:left w:val="nil"/>
              <w:bottom w:val="double" w:sz="6" w:space="0" w:color="auto"/>
              <w:right w:val="single" w:sz="4" w:space="0" w:color="auto"/>
            </w:tcBorders>
            <w:shd w:val="clear" w:color="000000" w:fill="E4DFEC"/>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89,830 </w:t>
            </w:r>
          </w:p>
        </w:tc>
        <w:tc>
          <w:tcPr>
            <w:tcW w:w="657" w:type="dxa"/>
            <w:tcBorders>
              <w:top w:val="single" w:sz="4" w:space="0" w:color="auto"/>
              <w:left w:val="nil"/>
              <w:bottom w:val="double" w:sz="6" w:space="0" w:color="auto"/>
              <w:right w:val="single" w:sz="4" w:space="0" w:color="auto"/>
            </w:tcBorders>
            <w:shd w:val="clear" w:color="000000" w:fill="E4DFEC"/>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 xml:space="preserve">90,072 </w:t>
            </w:r>
          </w:p>
        </w:tc>
        <w:tc>
          <w:tcPr>
            <w:tcW w:w="941" w:type="dxa"/>
            <w:tcBorders>
              <w:top w:val="single" w:sz="4" w:space="0" w:color="auto"/>
              <w:left w:val="nil"/>
              <w:bottom w:val="double" w:sz="6" w:space="0" w:color="auto"/>
              <w:right w:val="single" w:sz="4" w:space="0" w:color="auto"/>
            </w:tcBorders>
            <w:shd w:val="clear" w:color="000000" w:fill="E4DFEC"/>
            <w:noWrap/>
            <w:vAlign w:val="center"/>
          </w:tcPr>
          <w:p w:rsidR="00C050DB" w:rsidRPr="00D55DC6" w:rsidRDefault="00C050DB" w:rsidP="0038165F">
            <w:pPr>
              <w:widowControl/>
              <w:jc w:val="right"/>
              <w:rPr>
                <w:rFonts w:eastAsia="標楷體"/>
                <w:spacing w:val="-10"/>
                <w:kern w:val="0"/>
                <w:sz w:val="20"/>
                <w:szCs w:val="20"/>
              </w:rPr>
            </w:pPr>
            <w:r w:rsidRPr="00D55DC6">
              <w:rPr>
                <w:rFonts w:eastAsia="標楷體"/>
                <w:spacing w:val="-10"/>
                <w:kern w:val="0"/>
                <w:sz w:val="20"/>
                <w:szCs w:val="20"/>
              </w:rPr>
              <w:t xml:space="preserve">1,450,753 </w:t>
            </w:r>
          </w:p>
        </w:tc>
      </w:tr>
    </w:tbl>
    <w:p w:rsidR="00C050DB" w:rsidRPr="00D55DC6" w:rsidRDefault="00C050DB" w:rsidP="009D33BA">
      <w:pPr>
        <w:spacing w:beforeLines="50" w:before="180"/>
        <w:rPr>
          <w:rFonts w:eastAsia="標楷體"/>
        </w:rPr>
      </w:pPr>
    </w:p>
    <w:p w:rsidR="00C050DB" w:rsidRPr="00D55DC6" w:rsidRDefault="00C050DB" w:rsidP="004865C1">
      <w:pPr>
        <w:numPr>
          <w:ilvl w:val="0"/>
          <w:numId w:val="90"/>
        </w:numPr>
        <w:snapToGrid w:val="0"/>
        <w:spacing w:line="460" w:lineRule="exact"/>
        <w:jc w:val="both"/>
        <w:rPr>
          <w:rFonts w:eastAsia="標楷體"/>
          <w:b/>
          <w:sz w:val="28"/>
          <w:szCs w:val="28"/>
        </w:rPr>
      </w:pPr>
      <w:r w:rsidRPr="00D55DC6">
        <w:rPr>
          <w:rFonts w:eastAsia="標楷體"/>
          <w:b/>
          <w:sz w:val="28"/>
          <w:szCs w:val="28"/>
        </w:rPr>
        <w:t>自償率估算</w:t>
      </w:r>
    </w:p>
    <w:p w:rsidR="00C050DB" w:rsidRPr="00D55DC6" w:rsidRDefault="00C050DB" w:rsidP="0038165F">
      <w:pPr>
        <w:snapToGrid w:val="0"/>
        <w:spacing w:line="460" w:lineRule="exact"/>
        <w:ind w:left="851"/>
        <w:jc w:val="both"/>
        <w:rPr>
          <w:rFonts w:eastAsia="標楷體"/>
          <w:sz w:val="28"/>
          <w:szCs w:val="28"/>
        </w:rPr>
      </w:pPr>
      <w:r w:rsidRPr="00D55DC6">
        <w:rPr>
          <w:rFonts w:eastAsia="標楷體"/>
          <w:sz w:val="28"/>
          <w:szCs w:val="28"/>
        </w:rPr>
        <w:lastRenderedPageBreak/>
        <w:t>依「阿里山國家風景區整體發展暨財務計畫」，預計未來</w:t>
      </w:r>
      <w:r w:rsidRPr="00D55DC6">
        <w:rPr>
          <w:rFonts w:eastAsia="標楷體"/>
          <w:sz w:val="28"/>
          <w:szCs w:val="28"/>
        </w:rPr>
        <w:t>20</w:t>
      </w:r>
      <w:r w:rsidRPr="00D55DC6">
        <w:rPr>
          <w:rFonts w:eastAsia="標楷體"/>
          <w:sz w:val="28"/>
          <w:szCs w:val="28"/>
        </w:rPr>
        <w:t>年阿里山國家風景區建設經營分年之現金流量，以</w:t>
      </w:r>
      <w:r w:rsidRPr="00D55DC6">
        <w:rPr>
          <w:rFonts w:eastAsia="標楷體"/>
          <w:sz w:val="28"/>
          <w:szCs w:val="28"/>
        </w:rPr>
        <w:t>2.88%</w:t>
      </w:r>
      <w:r w:rsidRPr="00D55DC6">
        <w:rPr>
          <w:rFonts w:eastAsia="標楷體"/>
          <w:sz w:val="28"/>
          <w:szCs w:val="28"/>
        </w:rPr>
        <w:t>折現率（參考中央銀行公告五大銀行基本利率）計算，未來</w:t>
      </w:r>
      <w:r w:rsidRPr="00D55DC6">
        <w:rPr>
          <w:rFonts w:eastAsia="標楷體"/>
          <w:sz w:val="28"/>
          <w:szCs w:val="28"/>
        </w:rPr>
        <w:t>20</w:t>
      </w:r>
      <w:r w:rsidRPr="00D55DC6">
        <w:rPr>
          <w:rFonts w:eastAsia="標楷體"/>
          <w:sz w:val="28"/>
          <w:szCs w:val="28"/>
        </w:rPr>
        <w:t>年期間計畫投入現值為</w:t>
      </w:r>
      <w:r w:rsidRPr="00D55DC6">
        <w:rPr>
          <w:rFonts w:eastAsia="標楷體"/>
          <w:sz w:val="28"/>
          <w:szCs w:val="28"/>
        </w:rPr>
        <w:t>41</w:t>
      </w:r>
      <w:r w:rsidRPr="00D55DC6">
        <w:rPr>
          <w:rFonts w:eastAsia="標楷體"/>
          <w:sz w:val="28"/>
          <w:szCs w:val="28"/>
        </w:rPr>
        <w:t>億</w:t>
      </w:r>
      <w:r w:rsidRPr="00D55DC6">
        <w:rPr>
          <w:rFonts w:eastAsia="標楷體"/>
          <w:sz w:val="28"/>
          <w:szCs w:val="28"/>
        </w:rPr>
        <w:t>385.6</w:t>
      </w:r>
      <w:r w:rsidRPr="00D55DC6">
        <w:rPr>
          <w:rFonts w:eastAsia="標楷體"/>
          <w:sz w:val="28"/>
          <w:szCs w:val="28"/>
        </w:rPr>
        <w:t>萬元，而收益預估現值為</w:t>
      </w:r>
      <w:r w:rsidRPr="00D55DC6">
        <w:rPr>
          <w:rFonts w:eastAsia="標楷體"/>
          <w:sz w:val="28"/>
          <w:szCs w:val="28"/>
        </w:rPr>
        <w:t>10</w:t>
      </w:r>
      <w:r w:rsidRPr="00D55DC6">
        <w:rPr>
          <w:rFonts w:eastAsia="標楷體"/>
          <w:sz w:val="28"/>
          <w:szCs w:val="28"/>
        </w:rPr>
        <w:t>億</w:t>
      </w:r>
      <w:r w:rsidRPr="00D55DC6">
        <w:rPr>
          <w:rFonts w:eastAsia="標楷體"/>
          <w:sz w:val="28"/>
          <w:szCs w:val="28"/>
        </w:rPr>
        <w:t>3,723.8</w:t>
      </w:r>
      <w:r w:rsidRPr="00D55DC6">
        <w:rPr>
          <w:rFonts w:eastAsia="標楷體"/>
          <w:sz w:val="28"/>
          <w:szCs w:val="28"/>
        </w:rPr>
        <w:t>萬元，整體計畫自償率為</w:t>
      </w:r>
      <w:r w:rsidRPr="00D55DC6">
        <w:rPr>
          <w:rFonts w:eastAsia="標楷體"/>
          <w:sz w:val="28"/>
          <w:szCs w:val="28"/>
        </w:rPr>
        <w:t>25.27</w:t>
      </w:r>
      <w:r w:rsidRPr="00D55DC6">
        <w:rPr>
          <w:rFonts w:eastAsia="標楷體"/>
          <w:sz w:val="28"/>
          <w:szCs w:val="28"/>
        </w:rPr>
        <w:t>％。</w:t>
      </w:r>
    </w:p>
    <w:p w:rsidR="00C050DB" w:rsidRPr="00D55DC6" w:rsidRDefault="00C050DB" w:rsidP="0038165F">
      <w:pPr>
        <w:snapToGrid w:val="0"/>
        <w:spacing w:line="460" w:lineRule="exact"/>
        <w:ind w:left="851"/>
        <w:jc w:val="both"/>
        <w:rPr>
          <w:rFonts w:eastAsia="標楷體"/>
          <w:sz w:val="28"/>
          <w:szCs w:val="28"/>
        </w:rPr>
      </w:pPr>
    </w:p>
    <w:p w:rsidR="00C050DB" w:rsidRPr="00D55DC6" w:rsidRDefault="00C050DB" w:rsidP="009D33BA">
      <w:pPr>
        <w:keepNext/>
        <w:spacing w:beforeLines="50" w:before="180"/>
        <w:ind w:rightChars="-316" w:right="-758"/>
        <w:rPr>
          <w:rFonts w:eastAsia="標楷體"/>
          <w:sz w:val="20"/>
          <w:szCs w:val="20"/>
        </w:rPr>
      </w:pPr>
      <w:r w:rsidRPr="00D55DC6">
        <w:rPr>
          <w:rFonts w:eastAsia="標楷體"/>
        </w:rPr>
        <w:t>表　自償率分析表</w:t>
      </w:r>
      <w:r w:rsidRPr="00D55DC6">
        <w:rPr>
          <w:rFonts w:eastAsia="標楷體"/>
        </w:rPr>
        <w:t xml:space="preserve">                                                </w:t>
      </w:r>
      <w:r w:rsidRPr="00D55DC6">
        <w:rPr>
          <w:rFonts w:eastAsia="標楷體"/>
          <w:sz w:val="20"/>
          <w:szCs w:val="20"/>
        </w:rPr>
        <w:t xml:space="preserve"> </w:t>
      </w:r>
      <w:r w:rsidRPr="00D55DC6">
        <w:rPr>
          <w:rFonts w:eastAsia="標楷體"/>
          <w:sz w:val="20"/>
          <w:szCs w:val="20"/>
        </w:rPr>
        <w:t>（單位：千元）</w:t>
      </w:r>
    </w:p>
    <w:tbl>
      <w:tblPr>
        <w:tblW w:w="10828" w:type="dxa"/>
        <w:tblInd w:w="-681" w:type="dxa"/>
        <w:tblCellMar>
          <w:left w:w="28" w:type="dxa"/>
          <w:right w:w="28" w:type="dxa"/>
        </w:tblCellMar>
        <w:tblLook w:val="04A0" w:firstRow="1" w:lastRow="0" w:firstColumn="1" w:lastColumn="0" w:noHBand="0" w:noVBand="1"/>
      </w:tblPr>
      <w:tblGrid>
        <w:gridCol w:w="993"/>
        <w:gridCol w:w="1134"/>
        <w:gridCol w:w="850"/>
        <w:gridCol w:w="851"/>
        <w:gridCol w:w="850"/>
        <w:gridCol w:w="851"/>
        <w:gridCol w:w="850"/>
        <w:gridCol w:w="851"/>
        <w:gridCol w:w="851"/>
        <w:gridCol w:w="850"/>
        <w:gridCol w:w="851"/>
        <w:gridCol w:w="1046"/>
      </w:tblGrid>
      <w:tr w:rsidR="001D0350" w:rsidRPr="00D55DC6" w:rsidTr="00A82A80">
        <w:trPr>
          <w:gridAfter w:val="1"/>
          <w:wAfter w:w="1046" w:type="dxa"/>
          <w:trHeight w:val="454"/>
        </w:trPr>
        <w:tc>
          <w:tcPr>
            <w:tcW w:w="993" w:type="dxa"/>
            <w:tcBorders>
              <w:top w:val="single" w:sz="4" w:space="0" w:color="auto"/>
              <w:left w:val="single" w:sz="4" w:space="0" w:color="auto"/>
              <w:bottom w:val="double" w:sz="6" w:space="0" w:color="auto"/>
              <w:right w:val="single" w:sz="4" w:space="0" w:color="auto"/>
            </w:tcBorders>
            <w:shd w:val="clear" w:color="000000" w:fill="FFCC00"/>
            <w:noWrap/>
            <w:vAlign w:val="center"/>
          </w:tcPr>
          <w:p w:rsidR="00C050DB" w:rsidRPr="00D55DC6" w:rsidRDefault="00C050DB" w:rsidP="0038165F">
            <w:pPr>
              <w:widowControl/>
              <w:rPr>
                <w:rFonts w:eastAsia="標楷體"/>
                <w:kern w:val="0"/>
                <w:sz w:val="22"/>
                <w:szCs w:val="20"/>
              </w:rPr>
            </w:pPr>
            <w:r w:rsidRPr="00D55DC6">
              <w:rPr>
                <w:rFonts w:eastAsia="標楷體"/>
                <w:kern w:val="0"/>
                <w:sz w:val="22"/>
                <w:szCs w:val="20"/>
              </w:rPr>
              <w:t xml:space="preserve">　</w:t>
            </w:r>
          </w:p>
        </w:tc>
        <w:tc>
          <w:tcPr>
            <w:tcW w:w="1134"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103</w:t>
            </w:r>
          </w:p>
        </w:tc>
        <w:tc>
          <w:tcPr>
            <w:tcW w:w="850"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104</w:t>
            </w:r>
          </w:p>
        </w:tc>
        <w:tc>
          <w:tcPr>
            <w:tcW w:w="851"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105</w:t>
            </w:r>
          </w:p>
        </w:tc>
        <w:tc>
          <w:tcPr>
            <w:tcW w:w="850"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106</w:t>
            </w:r>
          </w:p>
        </w:tc>
        <w:tc>
          <w:tcPr>
            <w:tcW w:w="851"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107</w:t>
            </w:r>
          </w:p>
        </w:tc>
        <w:tc>
          <w:tcPr>
            <w:tcW w:w="850"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108</w:t>
            </w:r>
          </w:p>
        </w:tc>
        <w:tc>
          <w:tcPr>
            <w:tcW w:w="851"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109</w:t>
            </w:r>
          </w:p>
        </w:tc>
        <w:tc>
          <w:tcPr>
            <w:tcW w:w="851"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110</w:t>
            </w:r>
          </w:p>
        </w:tc>
        <w:tc>
          <w:tcPr>
            <w:tcW w:w="850"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111</w:t>
            </w:r>
          </w:p>
        </w:tc>
        <w:tc>
          <w:tcPr>
            <w:tcW w:w="851"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112</w:t>
            </w:r>
          </w:p>
        </w:tc>
      </w:tr>
      <w:tr w:rsidR="001D0350" w:rsidRPr="00D55DC6" w:rsidTr="00A82A80">
        <w:trPr>
          <w:gridAfter w:val="1"/>
          <w:wAfter w:w="1046" w:type="dxa"/>
          <w:trHeight w:val="454"/>
        </w:trPr>
        <w:tc>
          <w:tcPr>
            <w:tcW w:w="993" w:type="dxa"/>
            <w:tcBorders>
              <w:top w:val="single" w:sz="4" w:space="0" w:color="auto"/>
              <w:left w:val="single" w:sz="4" w:space="0" w:color="auto"/>
              <w:bottom w:val="single" w:sz="4" w:space="0" w:color="auto"/>
              <w:right w:val="single" w:sz="4" w:space="0" w:color="auto"/>
            </w:tcBorders>
            <w:shd w:val="clear" w:color="000000" w:fill="FDE9D9"/>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支出</w:t>
            </w:r>
          </w:p>
        </w:tc>
        <w:tc>
          <w:tcPr>
            <w:tcW w:w="1134" w:type="dxa"/>
            <w:tcBorders>
              <w:top w:val="single" w:sz="4" w:space="0" w:color="auto"/>
              <w:left w:val="nil"/>
              <w:bottom w:val="single" w:sz="4" w:space="0" w:color="auto"/>
              <w:right w:val="single" w:sz="4" w:space="0" w:color="auto"/>
            </w:tcBorders>
            <w:shd w:val="clear" w:color="000000" w:fill="FDE9D9"/>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338,700</w:t>
            </w:r>
          </w:p>
        </w:tc>
        <w:tc>
          <w:tcPr>
            <w:tcW w:w="850" w:type="dxa"/>
            <w:tcBorders>
              <w:top w:val="single" w:sz="4" w:space="0" w:color="auto"/>
              <w:left w:val="nil"/>
              <w:bottom w:val="single" w:sz="4" w:space="0" w:color="auto"/>
              <w:right w:val="single" w:sz="4" w:space="0" w:color="auto"/>
            </w:tcBorders>
            <w:shd w:val="clear" w:color="000000" w:fill="FDE9D9"/>
            <w:noWrap/>
            <w:vAlign w:val="center"/>
          </w:tcPr>
          <w:p w:rsidR="00C050DB" w:rsidRPr="00D55DC6" w:rsidRDefault="00C050DB" w:rsidP="0038165F">
            <w:pPr>
              <w:widowControl/>
              <w:jc w:val="center"/>
              <w:rPr>
                <w:rFonts w:eastAsia="標楷體"/>
                <w:bCs/>
                <w:kern w:val="0"/>
                <w:sz w:val="20"/>
                <w:szCs w:val="20"/>
              </w:rPr>
            </w:pPr>
            <w:r w:rsidRPr="00D55DC6">
              <w:rPr>
                <w:rFonts w:eastAsia="標楷體"/>
                <w:bCs/>
                <w:kern w:val="0"/>
                <w:sz w:val="20"/>
                <w:szCs w:val="20"/>
              </w:rPr>
              <w:t>270,000</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306,000</w:t>
            </w:r>
          </w:p>
        </w:tc>
        <w:tc>
          <w:tcPr>
            <w:tcW w:w="850" w:type="dxa"/>
            <w:tcBorders>
              <w:top w:val="single" w:sz="4" w:space="0" w:color="auto"/>
              <w:left w:val="nil"/>
              <w:bottom w:val="single" w:sz="4" w:space="0" w:color="auto"/>
              <w:right w:val="single" w:sz="4" w:space="0" w:color="auto"/>
            </w:tcBorders>
            <w:shd w:val="clear" w:color="000000" w:fill="FDE9D9"/>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310,000</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335,000</w:t>
            </w:r>
          </w:p>
        </w:tc>
        <w:tc>
          <w:tcPr>
            <w:tcW w:w="850" w:type="dxa"/>
            <w:tcBorders>
              <w:top w:val="single" w:sz="4" w:space="0" w:color="auto"/>
              <w:left w:val="nil"/>
              <w:bottom w:val="single" w:sz="4" w:space="0" w:color="auto"/>
              <w:right w:val="single" w:sz="4" w:space="0" w:color="auto"/>
            </w:tcBorders>
            <w:shd w:val="clear" w:color="000000" w:fill="FDE9D9"/>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320,000</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250,000</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250,000</w:t>
            </w:r>
          </w:p>
        </w:tc>
        <w:tc>
          <w:tcPr>
            <w:tcW w:w="850" w:type="dxa"/>
            <w:tcBorders>
              <w:top w:val="single" w:sz="4" w:space="0" w:color="auto"/>
              <w:left w:val="nil"/>
              <w:bottom w:val="single" w:sz="4" w:space="0" w:color="auto"/>
              <w:right w:val="single" w:sz="4" w:space="0" w:color="auto"/>
            </w:tcBorders>
            <w:shd w:val="clear" w:color="000000" w:fill="FDE9D9"/>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250,000</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250,000</w:t>
            </w:r>
          </w:p>
        </w:tc>
      </w:tr>
      <w:tr w:rsidR="001D0350" w:rsidRPr="00D55DC6" w:rsidTr="00A82A80">
        <w:trPr>
          <w:gridAfter w:val="1"/>
          <w:wAfter w:w="1046" w:type="dxa"/>
          <w:trHeight w:val="454"/>
        </w:trPr>
        <w:tc>
          <w:tcPr>
            <w:tcW w:w="993" w:type="dxa"/>
            <w:tcBorders>
              <w:top w:val="nil"/>
              <w:left w:val="single" w:sz="4" w:space="0" w:color="auto"/>
              <w:bottom w:val="single" w:sz="4" w:space="0" w:color="auto"/>
              <w:right w:val="single" w:sz="4" w:space="0" w:color="auto"/>
            </w:tcBorders>
            <w:shd w:val="clear" w:color="000000" w:fill="FFFFFF"/>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收入</w:t>
            </w:r>
          </w:p>
        </w:tc>
        <w:tc>
          <w:tcPr>
            <w:tcW w:w="1134"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614</w:t>
            </w:r>
          </w:p>
        </w:tc>
        <w:tc>
          <w:tcPr>
            <w:tcW w:w="850"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1,994</w:t>
            </w:r>
          </w:p>
        </w:tc>
        <w:tc>
          <w:tcPr>
            <w:tcW w:w="851"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12,484</w:t>
            </w:r>
          </w:p>
        </w:tc>
        <w:tc>
          <w:tcPr>
            <w:tcW w:w="850"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52,629</w:t>
            </w:r>
          </w:p>
        </w:tc>
        <w:tc>
          <w:tcPr>
            <w:tcW w:w="851"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52,629</w:t>
            </w:r>
          </w:p>
        </w:tc>
        <w:tc>
          <w:tcPr>
            <w:tcW w:w="850"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57,629</w:t>
            </w:r>
          </w:p>
        </w:tc>
        <w:tc>
          <w:tcPr>
            <w:tcW w:w="851"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133,729</w:t>
            </w:r>
          </w:p>
        </w:tc>
        <w:tc>
          <w:tcPr>
            <w:tcW w:w="851"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131,365</w:t>
            </w:r>
          </w:p>
        </w:tc>
        <w:tc>
          <w:tcPr>
            <w:tcW w:w="850"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77,895</w:t>
            </w:r>
          </w:p>
        </w:tc>
        <w:tc>
          <w:tcPr>
            <w:tcW w:w="851"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77,895</w:t>
            </w:r>
          </w:p>
        </w:tc>
      </w:tr>
      <w:tr w:rsidR="001D0350" w:rsidRPr="00D55DC6" w:rsidTr="00A82A80">
        <w:trPr>
          <w:gridAfter w:val="1"/>
          <w:wAfter w:w="1046" w:type="dxa"/>
          <w:trHeight w:val="454"/>
        </w:trPr>
        <w:tc>
          <w:tcPr>
            <w:tcW w:w="993" w:type="dxa"/>
            <w:tcBorders>
              <w:top w:val="nil"/>
              <w:left w:val="single" w:sz="4" w:space="0" w:color="auto"/>
              <w:bottom w:val="single" w:sz="4" w:space="0" w:color="auto"/>
              <w:right w:val="single" w:sz="4" w:space="0" w:color="auto"/>
            </w:tcBorders>
            <w:shd w:val="clear" w:color="000000" w:fill="FFFFFF"/>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收支比</w:t>
            </w:r>
          </w:p>
        </w:tc>
        <w:tc>
          <w:tcPr>
            <w:tcW w:w="1134"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0.18%</w:t>
            </w:r>
          </w:p>
        </w:tc>
        <w:tc>
          <w:tcPr>
            <w:tcW w:w="850"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bCs/>
                <w:sz w:val="20"/>
                <w:szCs w:val="20"/>
              </w:rPr>
            </w:pPr>
            <w:r w:rsidRPr="00D55DC6">
              <w:rPr>
                <w:rFonts w:eastAsia="標楷體"/>
                <w:bCs/>
                <w:sz w:val="20"/>
                <w:szCs w:val="20"/>
              </w:rPr>
              <w:t>0.74%</w:t>
            </w:r>
          </w:p>
        </w:tc>
        <w:tc>
          <w:tcPr>
            <w:tcW w:w="851"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4.08%</w:t>
            </w:r>
          </w:p>
        </w:tc>
        <w:tc>
          <w:tcPr>
            <w:tcW w:w="850"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16.98%</w:t>
            </w:r>
          </w:p>
        </w:tc>
        <w:tc>
          <w:tcPr>
            <w:tcW w:w="851"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15.71%</w:t>
            </w:r>
          </w:p>
        </w:tc>
        <w:tc>
          <w:tcPr>
            <w:tcW w:w="850"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18.01%</w:t>
            </w:r>
          </w:p>
        </w:tc>
        <w:tc>
          <w:tcPr>
            <w:tcW w:w="851"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53.49%</w:t>
            </w:r>
          </w:p>
        </w:tc>
        <w:tc>
          <w:tcPr>
            <w:tcW w:w="851"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52.55%</w:t>
            </w:r>
          </w:p>
        </w:tc>
        <w:tc>
          <w:tcPr>
            <w:tcW w:w="850"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31.16%</w:t>
            </w:r>
          </w:p>
        </w:tc>
        <w:tc>
          <w:tcPr>
            <w:tcW w:w="851"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31.16%</w:t>
            </w:r>
          </w:p>
        </w:tc>
      </w:tr>
      <w:tr w:rsidR="001D0350" w:rsidRPr="00D55DC6" w:rsidTr="00A82A80">
        <w:trPr>
          <w:trHeight w:val="454"/>
        </w:trPr>
        <w:tc>
          <w:tcPr>
            <w:tcW w:w="993" w:type="dxa"/>
            <w:tcBorders>
              <w:top w:val="nil"/>
              <w:left w:val="single" w:sz="4" w:space="0" w:color="auto"/>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2"/>
                <w:szCs w:val="20"/>
              </w:rPr>
            </w:pPr>
          </w:p>
        </w:tc>
        <w:tc>
          <w:tcPr>
            <w:tcW w:w="1134" w:type="dxa"/>
            <w:tcBorders>
              <w:top w:val="nil"/>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113</w:t>
            </w:r>
          </w:p>
        </w:tc>
        <w:tc>
          <w:tcPr>
            <w:tcW w:w="850" w:type="dxa"/>
            <w:tcBorders>
              <w:top w:val="nil"/>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114</w:t>
            </w:r>
          </w:p>
        </w:tc>
        <w:tc>
          <w:tcPr>
            <w:tcW w:w="851" w:type="dxa"/>
            <w:tcBorders>
              <w:top w:val="nil"/>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115</w:t>
            </w:r>
          </w:p>
        </w:tc>
        <w:tc>
          <w:tcPr>
            <w:tcW w:w="850" w:type="dxa"/>
            <w:tcBorders>
              <w:top w:val="nil"/>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116</w:t>
            </w:r>
          </w:p>
        </w:tc>
        <w:tc>
          <w:tcPr>
            <w:tcW w:w="851" w:type="dxa"/>
            <w:tcBorders>
              <w:top w:val="nil"/>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117</w:t>
            </w:r>
          </w:p>
        </w:tc>
        <w:tc>
          <w:tcPr>
            <w:tcW w:w="850" w:type="dxa"/>
            <w:tcBorders>
              <w:top w:val="nil"/>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118</w:t>
            </w:r>
          </w:p>
        </w:tc>
        <w:tc>
          <w:tcPr>
            <w:tcW w:w="851" w:type="dxa"/>
            <w:tcBorders>
              <w:top w:val="nil"/>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119</w:t>
            </w:r>
          </w:p>
        </w:tc>
        <w:tc>
          <w:tcPr>
            <w:tcW w:w="851" w:type="dxa"/>
            <w:tcBorders>
              <w:top w:val="nil"/>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120</w:t>
            </w:r>
          </w:p>
        </w:tc>
        <w:tc>
          <w:tcPr>
            <w:tcW w:w="850" w:type="dxa"/>
            <w:tcBorders>
              <w:top w:val="nil"/>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121</w:t>
            </w:r>
          </w:p>
        </w:tc>
        <w:tc>
          <w:tcPr>
            <w:tcW w:w="851" w:type="dxa"/>
            <w:tcBorders>
              <w:top w:val="nil"/>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122</w:t>
            </w:r>
          </w:p>
        </w:tc>
        <w:tc>
          <w:tcPr>
            <w:tcW w:w="1046" w:type="dxa"/>
            <w:tcBorders>
              <w:top w:val="single" w:sz="4" w:space="0" w:color="auto"/>
              <w:left w:val="nil"/>
              <w:bottom w:val="double" w:sz="6" w:space="0" w:color="auto"/>
              <w:right w:val="single" w:sz="4" w:space="0" w:color="auto"/>
            </w:tcBorders>
            <w:shd w:val="clear" w:color="000000" w:fill="FFCC00"/>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合計</w:t>
            </w:r>
          </w:p>
        </w:tc>
      </w:tr>
      <w:tr w:rsidR="001D0350" w:rsidRPr="00D55DC6" w:rsidTr="00A82A80">
        <w:trPr>
          <w:trHeight w:val="454"/>
        </w:trPr>
        <w:tc>
          <w:tcPr>
            <w:tcW w:w="993" w:type="dxa"/>
            <w:tcBorders>
              <w:top w:val="single" w:sz="4" w:space="0" w:color="auto"/>
              <w:left w:val="single" w:sz="4" w:space="0" w:color="auto"/>
              <w:bottom w:val="single" w:sz="4" w:space="0" w:color="auto"/>
              <w:right w:val="single" w:sz="4" w:space="0" w:color="auto"/>
            </w:tcBorders>
            <w:shd w:val="clear" w:color="000000" w:fill="FDE9D9"/>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支出</w:t>
            </w:r>
          </w:p>
        </w:tc>
        <w:tc>
          <w:tcPr>
            <w:tcW w:w="1134" w:type="dxa"/>
            <w:tcBorders>
              <w:top w:val="single" w:sz="4" w:space="0" w:color="auto"/>
              <w:left w:val="nil"/>
              <w:bottom w:val="single" w:sz="4" w:space="0" w:color="auto"/>
              <w:right w:val="single" w:sz="4" w:space="0" w:color="auto"/>
            </w:tcBorders>
            <w:shd w:val="clear" w:color="000000" w:fill="FDE9D9"/>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250,000</w:t>
            </w:r>
          </w:p>
        </w:tc>
        <w:tc>
          <w:tcPr>
            <w:tcW w:w="850" w:type="dxa"/>
            <w:tcBorders>
              <w:top w:val="single" w:sz="4" w:space="0" w:color="auto"/>
              <w:left w:val="nil"/>
              <w:bottom w:val="single" w:sz="4" w:space="0" w:color="auto"/>
              <w:right w:val="single" w:sz="4" w:space="0" w:color="auto"/>
            </w:tcBorders>
            <w:shd w:val="clear" w:color="000000" w:fill="FDE9D9"/>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250,000</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250,000</w:t>
            </w:r>
          </w:p>
        </w:tc>
        <w:tc>
          <w:tcPr>
            <w:tcW w:w="850" w:type="dxa"/>
            <w:tcBorders>
              <w:top w:val="single" w:sz="4" w:space="0" w:color="auto"/>
              <w:left w:val="nil"/>
              <w:bottom w:val="single" w:sz="4" w:space="0" w:color="auto"/>
              <w:right w:val="single" w:sz="4" w:space="0" w:color="auto"/>
            </w:tcBorders>
            <w:shd w:val="clear" w:color="000000" w:fill="FDE9D9"/>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250,000</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250,000</w:t>
            </w:r>
          </w:p>
        </w:tc>
        <w:tc>
          <w:tcPr>
            <w:tcW w:w="850" w:type="dxa"/>
            <w:tcBorders>
              <w:top w:val="single" w:sz="4" w:space="0" w:color="auto"/>
              <w:left w:val="nil"/>
              <w:bottom w:val="single" w:sz="4" w:space="0" w:color="auto"/>
              <w:right w:val="single" w:sz="4" w:space="0" w:color="auto"/>
            </w:tcBorders>
            <w:shd w:val="clear" w:color="000000" w:fill="FDE9D9"/>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250,000</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250,000</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250,000</w:t>
            </w:r>
          </w:p>
        </w:tc>
        <w:tc>
          <w:tcPr>
            <w:tcW w:w="850" w:type="dxa"/>
            <w:tcBorders>
              <w:top w:val="single" w:sz="4" w:space="0" w:color="auto"/>
              <w:left w:val="nil"/>
              <w:bottom w:val="single" w:sz="4" w:space="0" w:color="auto"/>
              <w:right w:val="single" w:sz="4" w:space="0" w:color="auto"/>
            </w:tcBorders>
            <w:shd w:val="clear" w:color="000000" w:fill="FDE9D9"/>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250,000</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C050DB" w:rsidRPr="00D55DC6" w:rsidRDefault="00C050DB" w:rsidP="0038165F">
            <w:pPr>
              <w:widowControl/>
              <w:jc w:val="center"/>
              <w:rPr>
                <w:rFonts w:eastAsia="標楷體"/>
                <w:kern w:val="0"/>
                <w:sz w:val="20"/>
                <w:szCs w:val="20"/>
              </w:rPr>
            </w:pPr>
            <w:r w:rsidRPr="00D55DC6">
              <w:rPr>
                <w:rFonts w:eastAsia="標楷體"/>
                <w:kern w:val="0"/>
                <w:sz w:val="20"/>
                <w:szCs w:val="20"/>
              </w:rPr>
              <w:t>250,000</w:t>
            </w:r>
          </w:p>
        </w:tc>
        <w:tc>
          <w:tcPr>
            <w:tcW w:w="1046" w:type="dxa"/>
            <w:tcBorders>
              <w:top w:val="single" w:sz="4" w:space="0" w:color="auto"/>
              <w:left w:val="nil"/>
              <w:bottom w:val="single" w:sz="4" w:space="0" w:color="auto"/>
              <w:right w:val="single" w:sz="4" w:space="0" w:color="auto"/>
            </w:tcBorders>
            <w:shd w:val="clear" w:color="000000" w:fill="FDE9D9"/>
            <w:noWrap/>
            <w:vAlign w:val="center"/>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5,379,700</w:t>
            </w:r>
          </w:p>
        </w:tc>
      </w:tr>
      <w:tr w:rsidR="001D0350" w:rsidRPr="00D55DC6" w:rsidTr="00A82A80">
        <w:trPr>
          <w:trHeight w:val="454"/>
        </w:trPr>
        <w:tc>
          <w:tcPr>
            <w:tcW w:w="993" w:type="dxa"/>
            <w:tcBorders>
              <w:top w:val="nil"/>
              <w:left w:val="single" w:sz="4" w:space="0" w:color="auto"/>
              <w:bottom w:val="single" w:sz="4" w:space="0" w:color="auto"/>
              <w:right w:val="single" w:sz="4" w:space="0" w:color="auto"/>
            </w:tcBorders>
            <w:shd w:val="clear" w:color="000000" w:fill="FFFFFF"/>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收入</w:t>
            </w:r>
          </w:p>
        </w:tc>
        <w:tc>
          <w:tcPr>
            <w:tcW w:w="1134"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80,095</w:t>
            </w:r>
          </w:p>
        </w:tc>
        <w:tc>
          <w:tcPr>
            <w:tcW w:w="850"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81,095</w:t>
            </w:r>
          </w:p>
        </w:tc>
        <w:tc>
          <w:tcPr>
            <w:tcW w:w="851"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82,895</w:t>
            </w:r>
          </w:p>
        </w:tc>
        <w:tc>
          <w:tcPr>
            <w:tcW w:w="850"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84,678</w:t>
            </w:r>
          </w:p>
        </w:tc>
        <w:tc>
          <w:tcPr>
            <w:tcW w:w="851"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84,678</w:t>
            </w:r>
          </w:p>
        </w:tc>
        <w:tc>
          <w:tcPr>
            <w:tcW w:w="850"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84,788</w:t>
            </w:r>
          </w:p>
        </w:tc>
        <w:tc>
          <w:tcPr>
            <w:tcW w:w="851"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85,888</w:t>
            </w:r>
          </w:p>
        </w:tc>
        <w:tc>
          <w:tcPr>
            <w:tcW w:w="851"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87,868</w:t>
            </w:r>
          </w:p>
        </w:tc>
        <w:tc>
          <w:tcPr>
            <w:tcW w:w="850"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89,830</w:t>
            </w:r>
          </w:p>
        </w:tc>
        <w:tc>
          <w:tcPr>
            <w:tcW w:w="851"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90,072</w:t>
            </w:r>
          </w:p>
        </w:tc>
        <w:tc>
          <w:tcPr>
            <w:tcW w:w="1046" w:type="dxa"/>
            <w:tcBorders>
              <w:top w:val="nil"/>
              <w:left w:val="nil"/>
              <w:bottom w:val="single" w:sz="4" w:space="0" w:color="auto"/>
              <w:right w:val="single" w:sz="4" w:space="0" w:color="auto"/>
            </w:tcBorders>
            <w:shd w:val="clear" w:color="000000" w:fill="FFFFFF"/>
            <w:noWrap/>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1,450,753</w:t>
            </w:r>
          </w:p>
        </w:tc>
      </w:tr>
      <w:tr w:rsidR="001D0350" w:rsidRPr="00D55DC6" w:rsidTr="00A82A80">
        <w:trPr>
          <w:trHeight w:val="454"/>
        </w:trPr>
        <w:tc>
          <w:tcPr>
            <w:tcW w:w="993" w:type="dxa"/>
            <w:tcBorders>
              <w:top w:val="nil"/>
              <w:left w:val="single" w:sz="4" w:space="0" w:color="auto"/>
              <w:bottom w:val="single" w:sz="4" w:space="0" w:color="auto"/>
              <w:right w:val="single" w:sz="4" w:space="0" w:color="auto"/>
            </w:tcBorders>
            <w:shd w:val="clear" w:color="000000" w:fill="FFFFFF"/>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22"/>
                <w:szCs w:val="20"/>
              </w:rPr>
              <w:t>收支比</w:t>
            </w:r>
          </w:p>
        </w:tc>
        <w:tc>
          <w:tcPr>
            <w:tcW w:w="1134"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32.04%</w:t>
            </w:r>
          </w:p>
        </w:tc>
        <w:tc>
          <w:tcPr>
            <w:tcW w:w="850"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32.44%</w:t>
            </w:r>
          </w:p>
        </w:tc>
        <w:tc>
          <w:tcPr>
            <w:tcW w:w="851"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33.16%</w:t>
            </w:r>
          </w:p>
        </w:tc>
        <w:tc>
          <w:tcPr>
            <w:tcW w:w="850"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33.87%</w:t>
            </w:r>
          </w:p>
        </w:tc>
        <w:tc>
          <w:tcPr>
            <w:tcW w:w="851"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33.87%</w:t>
            </w:r>
          </w:p>
        </w:tc>
        <w:tc>
          <w:tcPr>
            <w:tcW w:w="850"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33.92%</w:t>
            </w:r>
          </w:p>
        </w:tc>
        <w:tc>
          <w:tcPr>
            <w:tcW w:w="851"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34.36%</w:t>
            </w:r>
          </w:p>
        </w:tc>
        <w:tc>
          <w:tcPr>
            <w:tcW w:w="851"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35.15%</w:t>
            </w:r>
          </w:p>
        </w:tc>
        <w:tc>
          <w:tcPr>
            <w:tcW w:w="850"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35.93%</w:t>
            </w:r>
          </w:p>
        </w:tc>
        <w:tc>
          <w:tcPr>
            <w:tcW w:w="851" w:type="dxa"/>
            <w:tcBorders>
              <w:top w:val="nil"/>
              <w:left w:val="nil"/>
              <w:bottom w:val="single" w:sz="4" w:space="0" w:color="auto"/>
              <w:right w:val="single" w:sz="4" w:space="0" w:color="auto"/>
            </w:tcBorders>
            <w:shd w:val="clear" w:color="000000" w:fill="FFFFFF"/>
            <w:noWrap/>
            <w:vAlign w:val="center"/>
          </w:tcPr>
          <w:p w:rsidR="00C050DB" w:rsidRPr="00D55DC6" w:rsidRDefault="00C050DB" w:rsidP="0038165F">
            <w:pPr>
              <w:jc w:val="center"/>
              <w:rPr>
                <w:rFonts w:eastAsia="標楷體"/>
                <w:sz w:val="20"/>
                <w:szCs w:val="20"/>
              </w:rPr>
            </w:pPr>
            <w:r w:rsidRPr="00D55DC6">
              <w:rPr>
                <w:rFonts w:eastAsia="標楷體"/>
                <w:sz w:val="20"/>
                <w:szCs w:val="20"/>
              </w:rPr>
              <w:t>36.03%</w:t>
            </w:r>
          </w:p>
        </w:tc>
        <w:tc>
          <w:tcPr>
            <w:tcW w:w="1046" w:type="dxa"/>
            <w:tcBorders>
              <w:top w:val="nil"/>
              <w:left w:val="nil"/>
              <w:bottom w:val="single" w:sz="4" w:space="0" w:color="auto"/>
              <w:right w:val="single" w:sz="4" w:space="0" w:color="auto"/>
            </w:tcBorders>
            <w:shd w:val="clear" w:color="000000" w:fill="FFFFFF"/>
            <w:noWrap/>
          </w:tcPr>
          <w:p w:rsidR="00C050DB" w:rsidRPr="00D55DC6" w:rsidRDefault="00C050DB" w:rsidP="0038165F">
            <w:pPr>
              <w:widowControl/>
              <w:jc w:val="right"/>
              <w:rPr>
                <w:rFonts w:eastAsia="標楷體"/>
                <w:kern w:val="0"/>
                <w:sz w:val="20"/>
                <w:szCs w:val="20"/>
              </w:rPr>
            </w:pPr>
            <w:r w:rsidRPr="00D55DC6">
              <w:rPr>
                <w:rFonts w:eastAsia="標楷體"/>
                <w:kern w:val="0"/>
                <w:sz w:val="20"/>
                <w:szCs w:val="20"/>
              </w:rPr>
              <w:t>26.97%</w:t>
            </w:r>
          </w:p>
        </w:tc>
      </w:tr>
      <w:tr w:rsidR="001D0350" w:rsidRPr="00D55DC6" w:rsidTr="00A82A80">
        <w:trPr>
          <w:gridAfter w:val="10"/>
          <w:wAfter w:w="8701" w:type="dxa"/>
          <w:trHeight w:val="454"/>
        </w:trPr>
        <w:tc>
          <w:tcPr>
            <w:tcW w:w="993" w:type="dxa"/>
            <w:tcBorders>
              <w:top w:val="nil"/>
              <w:left w:val="single" w:sz="4" w:space="0" w:color="auto"/>
              <w:bottom w:val="single" w:sz="4" w:space="0" w:color="auto"/>
              <w:right w:val="single" w:sz="4" w:space="0" w:color="auto"/>
            </w:tcBorders>
            <w:shd w:val="clear" w:color="000000" w:fill="FFFFCC"/>
            <w:noWrap/>
            <w:vAlign w:val="center"/>
          </w:tcPr>
          <w:p w:rsidR="00C050DB" w:rsidRPr="00D55DC6" w:rsidRDefault="00C050DB" w:rsidP="0038165F">
            <w:pPr>
              <w:widowControl/>
              <w:jc w:val="center"/>
              <w:rPr>
                <w:rFonts w:eastAsia="標楷體"/>
                <w:b/>
                <w:bCs/>
                <w:kern w:val="0"/>
                <w:sz w:val="22"/>
                <w:szCs w:val="20"/>
              </w:rPr>
            </w:pPr>
            <w:r w:rsidRPr="00D55DC6">
              <w:rPr>
                <w:rFonts w:eastAsia="標楷體"/>
                <w:b/>
                <w:bCs/>
                <w:kern w:val="0"/>
                <w:sz w:val="22"/>
                <w:szCs w:val="20"/>
              </w:rPr>
              <w:t>投資現值</w:t>
            </w:r>
          </w:p>
        </w:tc>
        <w:tc>
          <w:tcPr>
            <w:tcW w:w="1134" w:type="dxa"/>
            <w:tcBorders>
              <w:top w:val="nil"/>
              <w:left w:val="nil"/>
              <w:bottom w:val="single" w:sz="4" w:space="0" w:color="auto"/>
              <w:right w:val="single" w:sz="4" w:space="0" w:color="auto"/>
            </w:tcBorders>
            <w:shd w:val="clear" w:color="000000" w:fill="FFFFCC"/>
            <w:noWrap/>
            <w:vAlign w:val="center"/>
          </w:tcPr>
          <w:p w:rsidR="00C050DB" w:rsidRPr="00D55DC6" w:rsidRDefault="00C050DB" w:rsidP="0038165F">
            <w:pPr>
              <w:widowControl/>
              <w:ind w:rightChars="47" w:right="113"/>
              <w:jc w:val="right"/>
              <w:rPr>
                <w:rFonts w:eastAsia="標楷體"/>
                <w:b/>
                <w:bCs/>
                <w:kern w:val="0"/>
                <w:sz w:val="20"/>
                <w:szCs w:val="20"/>
              </w:rPr>
            </w:pPr>
            <w:r w:rsidRPr="00D55DC6">
              <w:rPr>
                <w:rFonts w:eastAsia="標楷體"/>
                <w:b/>
                <w:bCs/>
                <w:kern w:val="0"/>
                <w:sz w:val="20"/>
                <w:szCs w:val="20"/>
              </w:rPr>
              <w:t>4,103,856</w:t>
            </w:r>
          </w:p>
        </w:tc>
      </w:tr>
      <w:tr w:rsidR="001D0350" w:rsidRPr="00D55DC6" w:rsidTr="00A82A80">
        <w:trPr>
          <w:gridAfter w:val="10"/>
          <w:wAfter w:w="8701" w:type="dxa"/>
          <w:trHeight w:val="454"/>
        </w:trPr>
        <w:tc>
          <w:tcPr>
            <w:tcW w:w="993" w:type="dxa"/>
            <w:tcBorders>
              <w:top w:val="nil"/>
              <w:left w:val="single" w:sz="4" w:space="0" w:color="auto"/>
              <w:bottom w:val="single" w:sz="4" w:space="0" w:color="auto"/>
              <w:right w:val="single" w:sz="4" w:space="0" w:color="auto"/>
            </w:tcBorders>
            <w:shd w:val="clear" w:color="000000" w:fill="FFFFCC"/>
            <w:noWrap/>
            <w:vAlign w:val="center"/>
          </w:tcPr>
          <w:p w:rsidR="00C050DB" w:rsidRPr="00D55DC6" w:rsidRDefault="00C050DB" w:rsidP="0038165F">
            <w:pPr>
              <w:widowControl/>
              <w:jc w:val="center"/>
              <w:rPr>
                <w:rFonts w:eastAsia="標楷體"/>
                <w:b/>
                <w:bCs/>
                <w:kern w:val="0"/>
                <w:sz w:val="22"/>
                <w:szCs w:val="20"/>
              </w:rPr>
            </w:pPr>
            <w:r w:rsidRPr="00D55DC6">
              <w:rPr>
                <w:rFonts w:eastAsia="標楷體"/>
                <w:b/>
                <w:bCs/>
                <w:kern w:val="0"/>
                <w:sz w:val="22"/>
                <w:szCs w:val="20"/>
              </w:rPr>
              <w:t>收益現值</w:t>
            </w:r>
          </w:p>
        </w:tc>
        <w:tc>
          <w:tcPr>
            <w:tcW w:w="1134" w:type="dxa"/>
            <w:tcBorders>
              <w:top w:val="nil"/>
              <w:left w:val="nil"/>
              <w:bottom w:val="single" w:sz="4" w:space="0" w:color="auto"/>
              <w:right w:val="single" w:sz="4" w:space="0" w:color="auto"/>
            </w:tcBorders>
            <w:shd w:val="clear" w:color="000000" w:fill="FFFFCC"/>
            <w:noWrap/>
            <w:vAlign w:val="center"/>
          </w:tcPr>
          <w:p w:rsidR="00C050DB" w:rsidRPr="00D55DC6" w:rsidRDefault="00C050DB" w:rsidP="0038165F">
            <w:pPr>
              <w:widowControl/>
              <w:ind w:rightChars="47" w:right="113"/>
              <w:jc w:val="right"/>
              <w:rPr>
                <w:rFonts w:eastAsia="標楷體"/>
                <w:b/>
                <w:bCs/>
                <w:kern w:val="0"/>
                <w:sz w:val="20"/>
                <w:szCs w:val="20"/>
              </w:rPr>
            </w:pPr>
            <w:r w:rsidRPr="00D55DC6">
              <w:rPr>
                <w:rFonts w:eastAsia="標楷體"/>
                <w:b/>
                <w:bCs/>
                <w:kern w:val="0"/>
                <w:sz w:val="20"/>
                <w:szCs w:val="20"/>
              </w:rPr>
              <w:t>1,037,238</w:t>
            </w:r>
          </w:p>
        </w:tc>
      </w:tr>
      <w:tr w:rsidR="001D0350" w:rsidRPr="00D55DC6" w:rsidTr="00A82A80">
        <w:trPr>
          <w:gridAfter w:val="10"/>
          <w:wAfter w:w="8701" w:type="dxa"/>
          <w:trHeight w:val="454"/>
        </w:trPr>
        <w:tc>
          <w:tcPr>
            <w:tcW w:w="993" w:type="dxa"/>
            <w:tcBorders>
              <w:top w:val="nil"/>
              <w:left w:val="single" w:sz="4" w:space="0" w:color="auto"/>
              <w:bottom w:val="single" w:sz="4" w:space="0" w:color="auto"/>
              <w:right w:val="single" w:sz="4" w:space="0" w:color="auto"/>
            </w:tcBorders>
            <w:shd w:val="clear" w:color="000000" w:fill="FDE9D9"/>
            <w:noWrap/>
            <w:vAlign w:val="center"/>
          </w:tcPr>
          <w:p w:rsidR="00C050DB" w:rsidRPr="00D55DC6" w:rsidRDefault="00C050DB" w:rsidP="0038165F">
            <w:pPr>
              <w:widowControl/>
              <w:jc w:val="center"/>
              <w:rPr>
                <w:rFonts w:eastAsia="標楷體"/>
                <w:kern w:val="0"/>
                <w:sz w:val="22"/>
                <w:szCs w:val="20"/>
              </w:rPr>
            </w:pPr>
            <w:r w:rsidRPr="00D55DC6">
              <w:rPr>
                <w:rFonts w:eastAsia="標楷體"/>
                <w:kern w:val="0"/>
                <w:sz w:val="18"/>
                <w:szCs w:val="20"/>
              </w:rPr>
              <w:t>計畫自償率</w:t>
            </w:r>
          </w:p>
        </w:tc>
        <w:tc>
          <w:tcPr>
            <w:tcW w:w="1134" w:type="dxa"/>
            <w:tcBorders>
              <w:top w:val="nil"/>
              <w:left w:val="nil"/>
              <w:bottom w:val="single" w:sz="4" w:space="0" w:color="auto"/>
              <w:right w:val="single" w:sz="4" w:space="0" w:color="auto"/>
            </w:tcBorders>
            <w:shd w:val="clear" w:color="000000" w:fill="FDE9D9"/>
            <w:noWrap/>
            <w:vAlign w:val="center"/>
          </w:tcPr>
          <w:p w:rsidR="00C050DB" w:rsidRPr="00D55DC6" w:rsidRDefault="00C050DB" w:rsidP="0038165F">
            <w:pPr>
              <w:widowControl/>
              <w:ind w:rightChars="47" w:right="113"/>
              <w:jc w:val="right"/>
              <w:rPr>
                <w:rFonts w:eastAsia="標楷體"/>
                <w:b/>
                <w:bCs/>
                <w:kern w:val="0"/>
                <w:sz w:val="22"/>
                <w:szCs w:val="20"/>
              </w:rPr>
            </w:pPr>
            <w:r w:rsidRPr="00D55DC6">
              <w:rPr>
                <w:rFonts w:eastAsia="標楷體"/>
                <w:b/>
                <w:bCs/>
                <w:kern w:val="0"/>
                <w:sz w:val="22"/>
                <w:szCs w:val="20"/>
              </w:rPr>
              <w:t>25.27%</w:t>
            </w:r>
          </w:p>
        </w:tc>
      </w:tr>
    </w:tbl>
    <w:p w:rsidR="00C050DB" w:rsidRPr="00D55DC6" w:rsidRDefault="00C050DB" w:rsidP="0038165F">
      <w:pPr>
        <w:snapToGrid w:val="0"/>
        <w:spacing w:line="460" w:lineRule="exact"/>
        <w:ind w:left="864"/>
        <w:jc w:val="both"/>
        <w:rPr>
          <w:rFonts w:eastAsia="標楷體"/>
          <w:b/>
          <w:sz w:val="28"/>
          <w:szCs w:val="28"/>
        </w:rPr>
      </w:pPr>
    </w:p>
    <w:p w:rsidR="004D7B00" w:rsidRPr="00D55DC6" w:rsidRDefault="004D7B00" w:rsidP="0038165F">
      <w:pPr>
        <w:snapToGrid w:val="0"/>
        <w:spacing w:line="460" w:lineRule="exact"/>
        <w:ind w:left="864"/>
        <w:jc w:val="both"/>
        <w:rPr>
          <w:rFonts w:eastAsia="標楷體"/>
          <w:b/>
          <w:sz w:val="28"/>
          <w:szCs w:val="28"/>
        </w:rPr>
      </w:pPr>
    </w:p>
    <w:p w:rsidR="00C050DB" w:rsidRPr="00D55DC6" w:rsidRDefault="00C050DB" w:rsidP="004865C1">
      <w:pPr>
        <w:numPr>
          <w:ilvl w:val="0"/>
          <w:numId w:val="85"/>
        </w:numPr>
        <w:snapToGrid w:val="0"/>
        <w:spacing w:line="460" w:lineRule="exact"/>
        <w:jc w:val="both"/>
        <w:rPr>
          <w:rFonts w:eastAsia="標楷體"/>
          <w:b/>
          <w:sz w:val="28"/>
          <w:szCs w:val="28"/>
        </w:rPr>
      </w:pPr>
      <w:r w:rsidRPr="00D55DC6">
        <w:rPr>
          <w:rFonts w:eastAsia="標楷體"/>
          <w:b/>
          <w:sz w:val="28"/>
          <w:szCs w:val="28"/>
        </w:rPr>
        <w:t>自償率欲達成之限制條件與風險</w:t>
      </w:r>
    </w:p>
    <w:p w:rsidR="00C050DB" w:rsidRPr="00D55DC6" w:rsidRDefault="00C050DB" w:rsidP="009D33BA">
      <w:pPr>
        <w:snapToGrid w:val="0"/>
        <w:spacing w:beforeLines="20" w:before="72" w:line="460" w:lineRule="exact"/>
        <w:ind w:left="862"/>
        <w:jc w:val="both"/>
        <w:rPr>
          <w:rFonts w:eastAsia="標楷體"/>
          <w:sz w:val="28"/>
          <w:szCs w:val="28"/>
        </w:rPr>
      </w:pPr>
      <w:r w:rsidRPr="00D55DC6">
        <w:rPr>
          <w:rFonts w:eastAsia="標楷體"/>
          <w:sz w:val="28"/>
          <w:szCs w:val="28"/>
        </w:rPr>
        <w:t>國家風景區經管範圍雖然廣大，但管理處管理土地甚少，且僅有經營管理權，現況僅能以透過土地相關法令及相關單位之協助，努力達成自償率目標。</w:t>
      </w:r>
      <w:r w:rsidRPr="00D55DC6">
        <w:rPr>
          <w:rFonts w:eastAsia="標楷體"/>
          <w:sz w:val="28"/>
          <w:szCs w:val="28"/>
        </w:rPr>
        <w:t>105-108</w:t>
      </w:r>
      <w:r w:rsidRPr="00D55DC6">
        <w:rPr>
          <w:rFonts w:eastAsia="標楷體"/>
          <w:sz w:val="28"/>
          <w:szCs w:val="28"/>
        </w:rPr>
        <w:t>年階段將持續以推動設施出租、促參案件等為主，並尋求跨域合作機會，惟考量長期計畫可能存在「法規條件無法配套整合收取開發回饋或營業許可費」、「促參案件因土地取得、地用變更、環評等不確定因素延宕」、「預估收益或預期市場反應過於樂觀」等眾多不確定風險特性，爰仍需持續依實際推動現況滾動檢討，本計畫自償率欲達成之限制條件與風險說明如下：</w:t>
      </w:r>
    </w:p>
    <w:p w:rsidR="00C050DB" w:rsidRPr="00D55DC6" w:rsidRDefault="00C050DB" w:rsidP="004865C1">
      <w:pPr>
        <w:numPr>
          <w:ilvl w:val="0"/>
          <w:numId w:val="86"/>
        </w:numPr>
        <w:snapToGrid w:val="0"/>
        <w:spacing w:beforeLines="20" w:before="72" w:line="460" w:lineRule="exact"/>
        <w:jc w:val="both"/>
        <w:rPr>
          <w:rFonts w:eastAsia="標楷體"/>
          <w:b/>
          <w:sz w:val="28"/>
          <w:szCs w:val="28"/>
        </w:rPr>
      </w:pPr>
      <w:r w:rsidRPr="00D55DC6">
        <w:rPr>
          <w:rFonts w:eastAsia="標楷體"/>
          <w:b/>
          <w:sz w:val="28"/>
          <w:szCs w:val="28"/>
        </w:rPr>
        <w:lastRenderedPageBreak/>
        <w:t>牛埔仔遊客中心</w:t>
      </w:r>
      <w:r w:rsidRPr="00D55DC6">
        <w:rPr>
          <w:rFonts w:eastAsia="標楷體"/>
          <w:b/>
          <w:sz w:val="28"/>
          <w:szCs w:val="28"/>
        </w:rPr>
        <w:t>OT</w:t>
      </w:r>
      <w:r w:rsidRPr="00D55DC6">
        <w:rPr>
          <w:rFonts w:eastAsia="標楷體"/>
          <w:b/>
          <w:sz w:val="28"/>
          <w:szCs w:val="28"/>
        </w:rPr>
        <w:t>案</w:t>
      </w:r>
    </w:p>
    <w:p w:rsidR="00C050DB" w:rsidRPr="00D55DC6" w:rsidRDefault="00C050DB" w:rsidP="0038165F">
      <w:pPr>
        <w:snapToGrid w:val="0"/>
        <w:spacing w:line="460" w:lineRule="exact"/>
        <w:ind w:leftChars="350" w:left="840"/>
        <w:jc w:val="both"/>
        <w:rPr>
          <w:rFonts w:eastAsia="標楷體"/>
          <w:sz w:val="28"/>
          <w:szCs w:val="28"/>
        </w:rPr>
      </w:pPr>
      <w:r w:rsidRPr="00D55DC6">
        <w:rPr>
          <w:rFonts w:eastAsia="標楷體"/>
          <w:sz w:val="28"/>
          <w:szCs w:val="28"/>
        </w:rPr>
        <w:t>配合遊客中心預計開發完成之時程辦理招商，合理之經營權利金為民間廠商考量是否投資之重要因素。</w:t>
      </w:r>
    </w:p>
    <w:p w:rsidR="00C050DB" w:rsidRPr="00D55DC6" w:rsidRDefault="00C050DB" w:rsidP="004865C1">
      <w:pPr>
        <w:numPr>
          <w:ilvl w:val="0"/>
          <w:numId w:val="86"/>
        </w:numPr>
        <w:snapToGrid w:val="0"/>
        <w:spacing w:beforeLines="20" w:before="72" w:line="460" w:lineRule="exact"/>
        <w:ind w:left="918" w:hanging="357"/>
        <w:jc w:val="both"/>
        <w:rPr>
          <w:rFonts w:eastAsia="標楷體"/>
          <w:b/>
          <w:sz w:val="28"/>
          <w:szCs w:val="28"/>
        </w:rPr>
      </w:pPr>
      <w:r w:rsidRPr="00D55DC6">
        <w:rPr>
          <w:rFonts w:eastAsia="標楷體"/>
          <w:b/>
          <w:sz w:val="28"/>
          <w:szCs w:val="28"/>
        </w:rPr>
        <w:t>太平雲梯遊憩服務區</w:t>
      </w:r>
      <w:r w:rsidRPr="00D55DC6">
        <w:rPr>
          <w:rFonts w:eastAsia="標楷體"/>
          <w:b/>
          <w:sz w:val="28"/>
          <w:szCs w:val="28"/>
        </w:rPr>
        <w:t>OT</w:t>
      </w:r>
      <w:r w:rsidRPr="00D55DC6">
        <w:rPr>
          <w:rFonts w:eastAsia="標楷體"/>
          <w:b/>
          <w:sz w:val="28"/>
          <w:szCs w:val="28"/>
        </w:rPr>
        <w:t>案</w:t>
      </w:r>
    </w:p>
    <w:p w:rsidR="00C050DB" w:rsidRPr="00D55DC6" w:rsidRDefault="00C050DB" w:rsidP="0038165F">
      <w:pPr>
        <w:snapToGrid w:val="0"/>
        <w:spacing w:line="460" w:lineRule="exact"/>
        <w:ind w:leftChars="350" w:left="848" w:hangingChars="3" w:hanging="8"/>
        <w:jc w:val="both"/>
        <w:rPr>
          <w:rFonts w:eastAsia="標楷體"/>
          <w:sz w:val="28"/>
          <w:szCs w:val="28"/>
        </w:rPr>
      </w:pPr>
      <w:r w:rsidRPr="00D55DC6">
        <w:rPr>
          <w:rFonts w:eastAsia="標楷體"/>
          <w:sz w:val="28"/>
          <w:szCs w:val="28"/>
        </w:rPr>
        <w:t>配合用地變更與建物興建預計完成之時程辦理招商，合理之經營權利金為民間廠商考量是否投資之重要因素。</w:t>
      </w:r>
    </w:p>
    <w:p w:rsidR="00C050DB" w:rsidRPr="00D55DC6" w:rsidRDefault="00C050DB" w:rsidP="004865C1">
      <w:pPr>
        <w:numPr>
          <w:ilvl w:val="0"/>
          <w:numId w:val="86"/>
        </w:numPr>
        <w:snapToGrid w:val="0"/>
        <w:spacing w:beforeLines="20" w:before="72" w:line="460" w:lineRule="exact"/>
        <w:ind w:left="918" w:hanging="357"/>
        <w:jc w:val="both"/>
        <w:rPr>
          <w:rFonts w:eastAsia="標楷體"/>
          <w:b/>
          <w:sz w:val="28"/>
          <w:szCs w:val="28"/>
        </w:rPr>
      </w:pPr>
      <w:r w:rsidRPr="00D55DC6">
        <w:rPr>
          <w:rFonts w:eastAsia="標楷體"/>
          <w:b/>
          <w:sz w:val="28"/>
          <w:szCs w:val="28"/>
        </w:rPr>
        <w:t>龍美服務區</w:t>
      </w:r>
      <w:r w:rsidRPr="00D55DC6">
        <w:rPr>
          <w:rFonts w:eastAsia="標楷體"/>
          <w:b/>
          <w:sz w:val="28"/>
          <w:szCs w:val="28"/>
        </w:rPr>
        <w:t>OT</w:t>
      </w:r>
      <w:r w:rsidRPr="00D55DC6">
        <w:rPr>
          <w:rFonts w:eastAsia="標楷體"/>
          <w:b/>
          <w:sz w:val="28"/>
          <w:szCs w:val="28"/>
        </w:rPr>
        <w:t>案</w:t>
      </w:r>
    </w:p>
    <w:p w:rsidR="00C050DB" w:rsidRPr="00D55DC6" w:rsidRDefault="00C050DB" w:rsidP="0038165F">
      <w:pPr>
        <w:snapToGrid w:val="0"/>
        <w:spacing w:line="460" w:lineRule="exact"/>
        <w:ind w:leftChars="350" w:left="848" w:hangingChars="3" w:hanging="8"/>
        <w:jc w:val="both"/>
        <w:rPr>
          <w:rFonts w:eastAsia="標楷體"/>
          <w:sz w:val="28"/>
          <w:szCs w:val="28"/>
        </w:rPr>
      </w:pPr>
      <w:r w:rsidRPr="00D55DC6">
        <w:rPr>
          <w:rFonts w:eastAsia="標楷體"/>
          <w:sz w:val="28"/>
          <w:szCs w:val="28"/>
        </w:rPr>
        <w:t>本案風險在於建物須配合計畫興建完成方得辦理招商，而市場規模、投資金額與合理之經營權利金為影響民間廠商投資意願之重要因素。</w:t>
      </w:r>
    </w:p>
    <w:p w:rsidR="00C050DB" w:rsidRPr="00D55DC6" w:rsidRDefault="00C050DB" w:rsidP="004865C1">
      <w:pPr>
        <w:numPr>
          <w:ilvl w:val="0"/>
          <w:numId w:val="86"/>
        </w:numPr>
        <w:snapToGrid w:val="0"/>
        <w:spacing w:beforeLines="20" w:before="72" w:line="460" w:lineRule="exact"/>
        <w:ind w:left="918" w:hanging="357"/>
        <w:jc w:val="both"/>
        <w:rPr>
          <w:rFonts w:eastAsia="標楷體"/>
          <w:b/>
          <w:sz w:val="28"/>
          <w:szCs w:val="28"/>
        </w:rPr>
      </w:pPr>
      <w:r w:rsidRPr="00D55DC6">
        <w:rPr>
          <w:rFonts w:eastAsia="標楷體"/>
          <w:b/>
          <w:sz w:val="28"/>
          <w:szCs w:val="28"/>
        </w:rPr>
        <w:t>奮起湖食宿慢活體驗區</w:t>
      </w:r>
      <w:r w:rsidRPr="00D55DC6">
        <w:rPr>
          <w:rFonts w:eastAsia="標楷體"/>
          <w:b/>
          <w:sz w:val="28"/>
          <w:szCs w:val="28"/>
        </w:rPr>
        <w:t>BOT</w:t>
      </w:r>
    </w:p>
    <w:p w:rsidR="00C050DB" w:rsidRPr="00D55DC6" w:rsidRDefault="00C050DB" w:rsidP="0038165F">
      <w:pPr>
        <w:snapToGrid w:val="0"/>
        <w:spacing w:line="460" w:lineRule="exact"/>
        <w:ind w:leftChars="350" w:left="848" w:hangingChars="3" w:hanging="8"/>
        <w:jc w:val="both"/>
        <w:rPr>
          <w:rFonts w:eastAsia="標楷體"/>
          <w:sz w:val="28"/>
          <w:szCs w:val="28"/>
        </w:rPr>
      </w:pPr>
      <w:r w:rsidRPr="00D55DC6">
        <w:rPr>
          <w:rFonts w:eastAsia="標楷體"/>
          <w:sz w:val="28"/>
          <w:szCs w:val="28"/>
        </w:rPr>
        <w:t>有關奮起湖食宿慢活體驗區，涉及土地撥用及變更事宜，需邀請國有財產署、嘉義林管處、嘉義縣政府等相關單位研議，必要時則請國發會協調，確認基地為國有非公用土地後，管理機關移交給國有財產署，同時配合嘉義縣政府辦理更正編定為丙種建築用地，並由管理處辦理撥用及</w:t>
      </w:r>
      <w:r w:rsidRPr="00D55DC6">
        <w:rPr>
          <w:rFonts w:eastAsia="標楷體"/>
          <w:sz w:val="28"/>
          <w:szCs w:val="28"/>
        </w:rPr>
        <w:t>BOT</w:t>
      </w:r>
      <w:r w:rsidRPr="00D55DC6">
        <w:rPr>
          <w:rFonts w:eastAsia="標楷體"/>
          <w:sz w:val="28"/>
          <w:szCs w:val="28"/>
        </w:rPr>
        <w:t>相關作業。</w:t>
      </w:r>
    </w:p>
    <w:p w:rsidR="00C050DB" w:rsidRPr="00D55DC6" w:rsidRDefault="00C050DB" w:rsidP="0038165F">
      <w:pPr>
        <w:snapToGrid w:val="0"/>
        <w:spacing w:line="460" w:lineRule="exact"/>
        <w:ind w:leftChars="350" w:left="848" w:hangingChars="3" w:hanging="8"/>
        <w:jc w:val="both"/>
        <w:rPr>
          <w:rFonts w:eastAsia="標楷體"/>
          <w:sz w:val="28"/>
          <w:szCs w:val="28"/>
        </w:rPr>
      </w:pPr>
      <w:r w:rsidRPr="00D55DC6">
        <w:rPr>
          <w:rFonts w:eastAsia="標楷體"/>
          <w:sz w:val="28"/>
          <w:szCs w:val="28"/>
        </w:rPr>
        <w:t>辦理招商時，合理之權利金與彈性之開發內容為民間廠商考量是否投資之重要因素。</w:t>
      </w:r>
    </w:p>
    <w:p w:rsidR="00C050DB" w:rsidRPr="00D55DC6" w:rsidRDefault="00C050DB" w:rsidP="004865C1">
      <w:pPr>
        <w:numPr>
          <w:ilvl w:val="0"/>
          <w:numId w:val="86"/>
        </w:numPr>
        <w:snapToGrid w:val="0"/>
        <w:spacing w:beforeLines="20" w:before="72" w:line="460" w:lineRule="exact"/>
        <w:ind w:left="918" w:hanging="357"/>
        <w:jc w:val="both"/>
        <w:rPr>
          <w:rFonts w:eastAsia="標楷體"/>
          <w:b/>
          <w:sz w:val="28"/>
          <w:szCs w:val="28"/>
        </w:rPr>
      </w:pPr>
      <w:r w:rsidRPr="00D55DC6">
        <w:rPr>
          <w:rFonts w:eastAsia="標楷體"/>
          <w:b/>
          <w:sz w:val="28"/>
          <w:szCs w:val="28"/>
        </w:rPr>
        <w:t>牛埔仔遊憩區</w:t>
      </w:r>
      <w:r w:rsidRPr="00D55DC6">
        <w:rPr>
          <w:rFonts w:eastAsia="標楷體"/>
          <w:b/>
          <w:sz w:val="28"/>
          <w:szCs w:val="28"/>
        </w:rPr>
        <w:t>BOT</w:t>
      </w:r>
    </w:p>
    <w:p w:rsidR="00C050DB" w:rsidRPr="00D55DC6" w:rsidRDefault="00C050DB" w:rsidP="0038165F">
      <w:pPr>
        <w:snapToGrid w:val="0"/>
        <w:spacing w:line="460" w:lineRule="exact"/>
        <w:ind w:left="848" w:hangingChars="303" w:hanging="848"/>
        <w:jc w:val="both"/>
        <w:rPr>
          <w:rFonts w:eastAsia="標楷體"/>
          <w:sz w:val="28"/>
          <w:szCs w:val="28"/>
        </w:rPr>
      </w:pPr>
      <w:r w:rsidRPr="00D55DC6">
        <w:rPr>
          <w:rFonts w:eastAsia="標楷體"/>
          <w:sz w:val="28"/>
          <w:szCs w:val="28"/>
        </w:rPr>
        <w:t xml:space="preserve">      </w:t>
      </w:r>
      <w:r w:rsidRPr="00D55DC6">
        <w:rPr>
          <w:rFonts w:eastAsia="標楷體"/>
          <w:sz w:val="28"/>
          <w:szCs w:val="28"/>
        </w:rPr>
        <w:t>有關牛埔仔遊憩區</w:t>
      </w:r>
      <w:r w:rsidRPr="00D55DC6">
        <w:rPr>
          <w:rFonts w:eastAsia="標楷體"/>
          <w:sz w:val="28"/>
          <w:szCs w:val="28"/>
        </w:rPr>
        <w:t>BOT</w:t>
      </w:r>
      <w:r w:rsidRPr="00D55DC6">
        <w:rPr>
          <w:rFonts w:eastAsia="標楷體"/>
          <w:sz w:val="28"/>
          <w:szCs w:val="28"/>
        </w:rPr>
        <w:t>因位處八掌溪飲用水水源水質保護區範圍，且位於吳鳳橋取水口上游，距離河川行水區</w:t>
      </w:r>
      <w:r w:rsidRPr="00D55DC6">
        <w:rPr>
          <w:rFonts w:eastAsia="標楷體"/>
          <w:sz w:val="28"/>
          <w:szCs w:val="28"/>
        </w:rPr>
        <w:t>1000</w:t>
      </w:r>
      <w:r w:rsidRPr="00D55DC6">
        <w:rPr>
          <w:rFonts w:eastAsia="標楷體"/>
          <w:sz w:val="28"/>
          <w:szCs w:val="28"/>
        </w:rPr>
        <w:t>公尺範圍內，相關開發行為受到嚴格管制。需透過向行政院環保署申請「吳鳳橋取水口」上移至觸口取水口，解除位於飲用水水源水質保護區之禁建限制，並由觸口設置引水道至仁義潭；或向內政部營建署爭取經費，興闢專用污水下水道至區外排放，以排除非都市土地開發審議作業規範之開發限制。未來應邀請內政部營建署、行政院環保署、經濟部水利署、自來水公司、嘉義縣政府、台糖公司等相關單位共同研議，必要時則請國發會協調解決地用問題，提高招商可行性。故本案最大風險在於能否順利完成地用變更。</w:t>
      </w:r>
    </w:p>
    <w:p w:rsidR="00C050DB" w:rsidRPr="00D55DC6" w:rsidRDefault="00C050DB" w:rsidP="004865C1">
      <w:pPr>
        <w:numPr>
          <w:ilvl w:val="0"/>
          <w:numId w:val="86"/>
        </w:numPr>
        <w:snapToGrid w:val="0"/>
        <w:spacing w:beforeLines="20" w:before="72" w:line="460" w:lineRule="exact"/>
        <w:ind w:left="918" w:hanging="357"/>
        <w:jc w:val="both"/>
        <w:rPr>
          <w:rFonts w:eastAsia="標楷體"/>
          <w:b/>
          <w:sz w:val="28"/>
          <w:szCs w:val="28"/>
        </w:rPr>
      </w:pPr>
      <w:r w:rsidRPr="00D55DC6">
        <w:rPr>
          <w:rFonts w:eastAsia="標楷體"/>
          <w:b/>
          <w:sz w:val="28"/>
          <w:szCs w:val="28"/>
        </w:rPr>
        <w:lastRenderedPageBreak/>
        <w:t>龍美住宿區</w:t>
      </w:r>
      <w:r w:rsidRPr="00D55DC6">
        <w:rPr>
          <w:rFonts w:eastAsia="標楷體"/>
          <w:b/>
          <w:sz w:val="28"/>
          <w:szCs w:val="28"/>
        </w:rPr>
        <w:t>(</w:t>
      </w:r>
      <w:r w:rsidRPr="00D55DC6">
        <w:rPr>
          <w:rFonts w:eastAsia="標楷體"/>
          <w:b/>
          <w:sz w:val="28"/>
          <w:szCs w:val="28"/>
        </w:rPr>
        <w:t>含</w:t>
      </w:r>
      <w:r w:rsidRPr="00D55DC6">
        <w:rPr>
          <w:rFonts w:eastAsia="標楷體"/>
          <w:b/>
          <w:sz w:val="28"/>
          <w:szCs w:val="28"/>
        </w:rPr>
        <w:t>villa</w:t>
      </w:r>
      <w:r w:rsidRPr="00D55DC6">
        <w:rPr>
          <w:rFonts w:eastAsia="標楷體"/>
          <w:b/>
          <w:sz w:val="28"/>
          <w:szCs w:val="28"/>
        </w:rPr>
        <w:t>及旅館</w:t>
      </w:r>
      <w:r w:rsidRPr="00D55DC6">
        <w:rPr>
          <w:rFonts w:eastAsia="標楷體"/>
          <w:b/>
          <w:sz w:val="28"/>
          <w:szCs w:val="28"/>
        </w:rPr>
        <w:t>)BOT</w:t>
      </w:r>
      <w:r w:rsidRPr="00D55DC6">
        <w:rPr>
          <w:rFonts w:eastAsia="標楷體"/>
          <w:b/>
          <w:sz w:val="28"/>
          <w:szCs w:val="28"/>
        </w:rPr>
        <w:t>案</w:t>
      </w:r>
    </w:p>
    <w:p w:rsidR="00C050DB" w:rsidRPr="00D55DC6" w:rsidRDefault="00C050DB" w:rsidP="0038165F">
      <w:pPr>
        <w:snapToGrid w:val="0"/>
        <w:spacing w:line="460" w:lineRule="exact"/>
        <w:ind w:leftChars="350" w:left="848" w:hangingChars="3" w:hanging="8"/>
        <w:jc w:val="both"/>
        <w:rPr>
          <w:rFonts w:eastAsia="標楷體"/>
          <w:sz w:val="28"/>
          <w:szCs w:val="28"/>
        </w:rPr>
      </w:pPr>
      <w:r w:rsidRPr="00D55DC6">
        <w:rPr>
          <w:rFonts w:eastAsia="標楷體"/>
          <w:sz w:val="28"/>
          <w:szCs w:val="28"/>
        </w:rPr>
        <w:t>所需土地位於森林區與飲用水水源水質保護區，屬非都市土地開發審議作業規範第</w:t>
      </w:r>
      <w:r w:rsidRPr="00D55DC6">
        <w:rPr>
          <w:rFonts w:eastAsia="標楷體"/>
          <w:sz w:val="28"/>
          <w:szCs w:val="28"/>
        </w:rPr>
        <w:t>9</w:t>
      </w:r>
      <w:r w:rsidRPr="00D55DC6">
        <w:rPr>
          <w:rFonts w:eastAsia="標楷體"/>
          <w:sz w:val="28"/>
          <w:szCs w:val="28"/>
        </w:rPr>
        <w:t>、</w:t>
      </w:r>
      <w:r w:rsidRPr="00D55DC6">
        <w:rPr>
          <w:rFonts w:eastAsia="標楷體"/>
          <w:sz w:val="28"/>
          <w:szCs w:val="28"/>
        </w:rPr>
        <w:t>10</w:t>
      </w:r>
      <w:r w:rsidRPr="00D55DC6">
        <w:rPr>
          <w:rFonts w:eastAsia="標楷體"/>
          <w:sz w:val="28"/>
          <w:szCs w:val="28"/>
        </w:rPr>
        <w:t>條之限制發展地區，尚需經中央目的事業主管法令許可開發並依飲用水管理條例相關規定辦理。</w:t>
      </w:r>
    </w:p>
    <w:p w:rsidR="00C050DB" w:rsidRPr="00D55DC6" w:rsidRDefault="00C050DB" w:rsidP="0038165F">
      <w:pPr>
        <w:snapToGrid w:val="0"/>
        <w:spacing w:line="460" w:lineRule="exact"/>
        <w:ind w:leftChars="350" w:left="848" w:hangingChars="3" w:hanging="8"/>
        <w:jc w:val="both"/>
        <w:rPr>
          <w:rFonts w:eastAsia="標楷體"/>
          <w:sz w:val="28"/>
          <w:szCs w:val="28"/>
        </w:rPr>
      </w:pPr>
      <w:r w:rsidRPr="00D55DC6">
        <w:rPr>
          <w:rFonts w:eastAsia="標楷體"/>
          <w:sz w:val="28"/>
          <w:szCs w:val="28"/>
        </w:rPr>
        <w:t>因此本案最大風險在於能否順利完成地用變更及引進民間投資。</w:t>
      </w:r>
    </w:p>
    <w:p w:rsidR="00C050DB" w:rsidRPr="00D55DC6" w:rsidRDefault="00C050DB" w:rsidP="004865C1">
      <w:pPr>
        <w:numPr>
          <w:ilvl w:val="0"/>
          <w:numId w:val="86"/>
        </w:numPr>
        <w:snapToGrid w:val="0"/>
        <w:spacing w:beforeLines="20" w:before="72" w:line="460" w:lineRule="exact"/>
        <w:ind w:left="918" w:hanging="357"/>
        <w:jc w:val="both"/>
        <w:rPr>
          <w:rFonts w:eastAsia="標楷體"/>
          <w:b/>
          <w:sz w:val="28"/>
          <w:szCs w:val="28"/>
        </w:rPr>
      </w:pPr>
      <w:r w:rsidRPr="00D55DC6">
        <w:rPr>
          <w:rFonts w:eastAsia="標楷體"/>
          <w:b/>
          <w:sz w:val="28"/>
          <w:szCs w:val="28"/>
        </w:rPr>
        <w:t>樂野觀光遊憩服務區</w:t>
      </w:r>
      <w:r w:rsidRPr="00D55DC6">
        <w:rPr>
          <w:rFonts w:eastAsia="標楷體"/>
          <w:b/>
          <w:sz w:val="28"/>
          <w:szCs w:val="28"/>
        </w:rPr>
        <w:t>BOT</w:t>
      </w:r>
      <w:r w:rsidRPr="00D55DC6">
        <w:rPr>
          <w:rFonts w:eastAsia="標楷體"/>
          <w:b/>
          <w:sz w:val="28"/>
          <w:szCs w:val="28"/>
        </w:rPr>
        <w:t>案</w:t>
      </w:r>
    </w:p>
    <w:p w:rsidR="00C050DB" w:rsidRPr="00D55DC6" w:rsidRDefault="00C050DB" w:rsidP="0038165F">
      <w:pPr>
        <w:snapToGrid w:val="0"/>
        <w:spacing w:line="460" w:lineRule="exact"/>
        <w:ind w:leftChars="350" w:left="848" w:hangingChars="3" w:hanging="8"/>
        <w:jc w:val="both"/>
        <w:rPr>
          <w:rFonts w:eastAsia="標楷體"/>
          <w:sz w:val="28"/>
          <w:szCs w:val="28"/>
        </w:rPr>
      </w:pPr>
      <w:r w:rsidRPr="00D55DC6">
        <w:rPr>
          <w:rFonts w:eastAsia="標楷體"/>
          <w:sz w:val="28"/>
          <w:szCs w:val="28"/>
        </w:rPr>
        <w:t>基地涉及土地撥用及變更事宜，並位於原住民保留地，依原住民基本法第</w:t>
      </w:r>
      <w:r w:rsidRPr="00D55DC6">
        <w:rPr>
          <w:rFonts w:eastAsia="標楷體"/>
          <w:sz w:val="28"/>
          <w:szCs w:val="28"/>
        </w:rPr>
        <w:t>21</w:t>
      </w:r>
      <w:r w:rsidRPr="00D55DC6">
        <w:rPr>
          <w:rFonts w:eastAsia="標楷體"/>
          <w:sz w:val="28"/>
          <w:szCs w:val="28"/>
        </w:rPr>
        <w:t>、</w:t>
      </w:r>
      <w:r w:rsidRPr="00D55DC6">
        <w:rPr>
          <w:rFonts w:eastAsia="標楷體"/>
          <w:sz w:val="28"/>
          <w:szCs w:val="28"/>
        </w:rPr>
        <w:t>22</w:t>
      </w:r>
      <w:r w:rsidRPr="00D55DC6">
        <w:rPr>
          <w:rFonts w:eastAsia="標楷體"/>
          <w:sz w:val="28"/>
          <w:szCs w:val="28"/>
        </w:rPr>
        <w:t>條規定，從事土地開發，應諮詢並取得原住民族同意或參與，並與原住民族建立共同管理機制。</w:t>
      </w:r>
    </w:p>
    <w:p w:rsidR="00C050DB" w:rsidRPr="00D55DC6" w:rsidRDefault="00C050DB" w:rsidP="0038165F">
      <w:pPr>
        <w:snapToGrid w:val="0"/>
        <w:spacing w:line="460" w:lineRule="exact"/>
        <w:ind w:leftChars="350" w:left="848" w:hangingChars="3" w:hanging="8"/>
        <w:jc w:val="both"/>
        <w:rPr>
          <w:rFonts w:eastAsia="標楷體"/>
          <w:sz w:val="28"/>
          <w:szCs w:val="28"/>
        </w:rPr>
      </w:pPr>
      <w:r w:rsidRPr="00D55DC6">
        <w:rPr>
          <w:rFonts w:eastAsia="標楷體"/>
          <w:sz w:val="28"/>
          <w:szCs w:val="28"/>
        </w:rPr>
        <w:t>故本案最大風險與難度在於能否完成地用合法化以及與原住民族取得共識及建立合作機制。</w:t>
      </w:r>
    </w:p>
    <w:p w:rsidR="00C050DB" w:rsidRPr="00D55DC6" w:rsidRDefault="00C050DB" w:rsidP="004865C1">
      <w:pPr>
        <w:numPr>
          <w:ilvl w:val="0"/>
          <w:numId w:val="86"/>
        </w:numPr>
        <w:snapToGrid w:val="0"/>
        <w:spacing w:beforeLines="20" w:before="72" w:line="460" w:lineRule="exact"/>
        <w:ind w:left="918" w:hanging="357"/>
        <w:jc w:val="both"/>
        <w:rPr>
          <w:rFonts w:eastAsia="標楷體"/>
          <w:b/>
          <w:sz w:val="28"/>
          <w:szCs w:val="28"/>
        </w:rPr>
      </w:pPr>
      <w:r w:rsidRPr="00D55DC6">
        <w:rPr>
          <w:rFonts w:eastAsia="標楷體"/>
          <w:b/>
          <w:sz w:val="28"/>
          <w:szCs w:val="28"/>
        </w:rPr>
        <w:t>奮起湖</w:t>
      </w:r>
      <w:r w:rsidRPr="00D55DC6">
        <w:rPr>
          <w:rFonts w:eastAsia="標楷體"/>
          <w:b/>
          <w:sz w:val="28"/>
          <w:szCs w:val="28"/>
        </w:rPr>
        <w:t>-</w:t>
      </w:r>
      <w:r w:rsidRPr="00D55DC6">
        <w:rPr>
          <w:rFonts w:eastAsia="標楷體"/>
          <w:b/>
          <w:sz w:val="28"/>
          <w:szCs w:val="28"/>
        </w:rPr>
        <w:t>頂湖（支線大凍山）觀光纜車及旅館站區</w:t>
      </w:r>
      <w:r w:rsidRPr="00D55DC6">
        <w:rPr>
          <w:rFonts w:eastAsia="標楷體"/>
          <w:b/>
          <w:sz w:val="28"/>
          <w:szCs w:val="28"/>
        </w:rPr>
        <w:t xml:space="preserve"> BOT</w:t>
      </w:r>
    </w:p>
    <w:p w:rsidR="00C050DB" w:rsidRPr="00D55DC6" w:rsidRDefault="00C050DB" w:rsidP="0038165F">
      <w:pPr>
        <w:snapToGrid w:val="0"/>
        <w:spacing w:line="460" w:lineRule="exact"/>
        <w:ind w:leftChars="350" w:left="848" w:hangingChars="3" w:hanging="8"/>
        <w:jc w:val="both"/>
        <w:rPr>
          <w:rFonts w:eastAsia="標楷體"/>
          <w:sz w:val="28"/>
          <w:szCs w:val="28"/>
        </w:rPr>
      </w:pPr>
      <w:r w:rsidRPr="00D55DC6">
        <w:rPr>
          <w:rFonts w:eastAsia="標楷體"/>
          <w:sz w:val="28"/>
          <w:szCs w:val="28"/>
        </w:rPr>
        <w:t>為紓解奮起湖地區之停車問題及遊憩壓力，建議規劃「奮起湖</w:t>
      </w:r>
      <w:r w:rsidRPr="00D55DC6">
        <w:rPr>
          <w:rFonts w:eastAsia="標楷體"/>
          <w:sz w:val="28"/>
          <w:szCs w:val="28"/>
        </w:rPr>
        <w:t>-</w:t>
      </w:r>
      <w:r w:rsidRPr="00D55DC6">
        <w:rPr>
          <w:rFonts w:eastAsia="標楷體"/>
          <w:sz w:val="28"/>
          <w:szCs w:val="28"/>
        </w:rPr>
        <w:t>頂湖」之觀光纜車路線及「頂湖</w:t>
      </w:r>
      <w:r w:rsidRPr="00D55DC6">
        <w:rPr>
          <w:rFonts w:eastAsia="標楷體"/>
          <w:sz w:val="28"/>
          <w:szCs w:val="28"/>
        </w:rPr>
        <w:t>-</w:t>
      </w:r>
      <w:r w:rsidRPr="00D55DC6">
        <w:rPr>
          <w:rFonts w:eastAsia="標楷體"/>
          <w:sz w:val="28"/>
          <w:szCs w:val="28"/>
        </w:rPr>
        <w:t>大凍山」之觀光纜車支線，為提高民間投資意願建議頂湖可結合站區及旅館規劃，惟所需土地屬林班地，需解除林班地後移交國產署，並由管理處辦理撥用及</w:t>
      </w:r>
      <w:r w:rsidRPr="00D55DC6">
        <w:rPr>
          <w:rFonts w:eastAsia="標楷體"/>
          <w:sz w:val="28"/>
          <w:szCs w:val="28"/>
        </w:rPr>
        <w:t>BOT</w:t>
      </w:r>
      <w:r w:rsidRPr="00D55DC6">
        <w:rPr>
          <w:rFonts w:eastAsia="標楷體"/>
          <w:sz w:val="28"/>
          <w:szCs w:val="28"/>
        </w:rPr>
        <w:t>相關作業。</w:t>
      </w:r>
    </w:p>
    <w:p w:rsidR="00C050DB" w:rsidRPr="00D55DC6" w:rsidRDefault="00C050DB" w:rsidP="0038165F">
      <w:pPr>
        <w:snapToGrid w:val="0"/>
        <w:spacing w:line="460" w:lineRule="exact"/>
        <w:ind w:leftChars="350" w:left="848" w:hangingChars="3" w:hanging="8"/>
        <w:jc w:val="both"/>
        <w:rPr>
          <w:rFonts w:eastAsia="標楷體"/>
          <w:sz w:val="28"/>
          <w:szCs w:val="28"/>
        </w:rPr>
      </w:pPr>
      <w:r w:rsidRPr="00D55DC6">
        <w:rPr>
          <w:rFonts w:eastAsia="標楷體"/>
          <w:sz w:val="28"/>
          <w:szCs w:val="28"/>
        </w:rPr>
        <w:t>本案最大風險在於地權取得及地用合法需邀集國有財產署、嘉義林管處、嘉義縣政府等相關單位研議，取得共識後，方得執行。</w:t>
      </w:r>
    </w:p>
    <w:p w:rsidR="00C050DB" w:rsidRPr="00D55DC6" w:rsidRDefault="00C050DB" w:rsidP="004865C1">
      <w:pPr>
        <w:numPr>
          <w:ilvl w:val="0"/>
          <w:numId w:val="86"/>
        </w:numPr>
        <w:snapToGrid w:val="0"/>
        <w:spacing w:beforeLines="20" w:before="72" w:line="460" w:lineRule="exact"/>
        <w:ind w:left="918" w:hanging="357"/>
        <w:jc w:val="both"/>
        <w:rPr>
          <w:rFonts w:eastAsia="標楷體"/>
          <w:b/>
          <w:sz w:val="28"/>
          <w:szCs w:val="28"/>
        </w:rPr>
      </w:pPr>
      <w:r w:rsidRPr="00D55DC6">
        <w:rPr>
          <w:rFonts w:eastAsia="標楷體"/>
          <w:b/>
          <w:sz w:val="28"/>
          <w:szCs w:val="28"/>
        </w:rPr>
        <w:t>停車場收費</w:t>
      </w:r>
    </w:p>
    <w:p w:rsidR="00C050DB" w:rsidRPr="00D55DC6" w:rsidRDefault="00C050DB" w:rsidP="0038165F">
      <w:pPr>
        <w:snapToGrid w:val="0"/>
        <w:spacing w:line="460" w:lineRule="exact"/>
        <w:ind w:leftChars="350" w:left="848" w:hangingChars="3" w:hanging="8"/>
        <w:jc w:val="both"/>
        <w:rPr>
          <w:rFonts w:eastAsia="標楷體"/>
          <w:sz w:val="28"/>
          <w:szCs w:val="28"/>
        </w:rPr>
      </w:pPr>
      <w:r w:rsidRPr="00D55DC6">
        <w:rPr>
          <w:rFonts w:eastAsia="標楷體"/>
          <w:sz w:val="28"/>
          <w:szCs w:val="28"/>
        </w:rPr>
        <w:t>涉及社會觀感、遊客接受度，以及相關單位之費用分收問題。</w:t>
      </w:r>
    </w:p>
    <w:p w:rsidR="00C050DB" w:rsidRPr="00D55DC6" w:rsidRDefault="00C050DB" w:rsidP="004865C1">
      <w:pPr>
        <w:numPr>
          <w:ilvl w:val="0"/>
          <w:numId w:val="86"/>
        </w:numPr>
        <w:snapToGrid w:val="0"/>
        <w:spacing w:beforeLines="20" w:before="72" w:line="460" w:lineRule="exact"/>
        <w:ind w:left="918" w:hanging="357"/>
        <w:jc w:val="both"/>
        <w:rPr>
          <w:rFonts w:eastAsia="標楷體"/>
          <w:b/>
          <w:sz w:val="28"/>
          <w:szCs w:val="28"/>
        </w:rPr>
      </w:pPr>
      <w:r w:rsidRPr="00D55DC6">
        <w:rPr>
          <w:rFonts w:eastAsia="標楷體"/>
          <w:b/>
          <w:sz w:val="28"/>
          <w:szCs w:val="28"/>
        </w:rPr>
        <w:t>廣告收益</w:t>
      </w:r>
    </w:p>
    <w:p w:rsidR="00C050DB" w:rsidRPr="00D55DC6" w:rsidRDefault="00C050DB" w:rsidP="0038165F">
      <w:pPr>
        <w:snapToGrid w:val="0"/>
        <w:spacing w:line="460" w:lineRule="exact"/>
        <w:ind w:leftChars="350" w:left="848" w:hangingChars="3" w:hanging="8"/>
        <w:jc w:val="both"/>
        <w:rPr>
          <w:rFonts w:eastAsia="標楷體"/>
          <w:sz w:val="28"/>
          <w:szCs w:val="28"/>
        </w:rPr>
      </w:pPr>
      <w:r w:rsidRPr="00D55DC6">
        <w:rPr>
          <w:rFonts w:eastAsia="標楷體"/>
          <w:sz w:val="28"/>
          <w:szCs w:val="28"/>
        </w:rPr>
        <w:t>本收益最大風險在於廣告租金及廣告效益是否可吸引民間廠商投資。</w:t>
      </w:r>
    </w:p>
    <w:p w:rsidR="00C050DB" w:rsidRPr="00D55DC6" w:rsidRDefault="00C050DB" w:rsidP="009D33BA">
      <w:pPr>
        <w:snapToGrid w:val="0"/>
        <w:spacing w:beforeLines="20" w:before="72" w:line="460" w:lineRule="exact"/>
        <w:ind w:firstLineChars="200" w:firstLine="561"/>
        <w:jc w:val="both"/>
        <w:rPr>
          <w:rFonts w:eastAsia="標楷體"/>
          <w:b/>
          <w:sz w:val="28"/>
          <w:szCs w:val="28"/>
        </w:rPr>
      </w:pPr>
      <w:r w:rsidRPr="00D55DC6">
        <w:rPr>
          <w:rFonts w:eastAsia="標楷體"/>
          <w:b/>
          <w:sz w:val="28"/>
          <w:szCs w:val="28"/>
        </w:rPr>
        <w:t>11.</w:t>
      </w:r>
      <w:r w:rsidRPr="00D55DC6">
        <w:rPr>
          <w:rFonts w:eastAsia="標楷體"/>
          <w:b/>
          <w:sz w:val="28"/>
          <w:szCs w:val="28"/>
        </w:rPr>
        <w:t>用地變更回饋金</w:t>
      </w:r>
    </w:p>
    <w:p w:rsidR="00C050DB" w:rsidRPr="00D55DC6" w:rsidRDefault="00C050DB" w:rsidP="0038165F">
      <w:pPr>
        <w:snapToGrid w:val="0"/>
        <w:spacing w:line="460" w:lineRule="exact"/>
        <w:ind w:left="864"/>
        <w:jc w:val="both"/>
        <w:rPr>
          <w:rFonts w:eastAsia="標楷體"/>
          <w:b/>
          <w:sz w:val="28"/>
          <w:szCs w:val="28"/>
        </w:rPr>
      </w:pPr>
      <w:r w:rsidRPr="00D55DC6">
        <w:rPr>
          <w:rFonts w:eastAsia="標楷體"/>
          <w:sz w:val="28"/>
          <w:szCs w:val="28"/>
        </w:rPr>
        <w:t>執行相關回饋機制前應有法源依據，以做為執行之參據。故需俟</w:t>
      </w:r>
      <w:bookmarkStart w:id="130" w:name="OLE_LINK1"/>
      <w:r w:rsidRPr="00D55DC6">
        <w:rPr>
          <w:rFonts w:eastAsia="標楷體"/>
          <w:sz w:val="28"/>
          <w:szCs w:val="28"/>
        </w:rPr>
        <w:t>「發展觀光條例」之修法，增訂相關規定及法律授權</w:t>
      </w:r>
      <w:r w:rsidRPr="00D55DC6">
        <w:rPr>
          <w:rFonts w:eastAsia="標楷體"/>
          <w:sz w:val="28"/>
          <w:szCs w:val="28"/>
        </w:rPr>
        <w:t>(</w:t>
      </w:r>
      <w:r w:rsidRPr="00D55DC6">
        <w:rPr>
          <w:rFonts w:eastAsia="標楷體"/>
          <w:sz w:val="28"/>
          <w:szCs w:val="28"/>
        </w:rPr>
        <w:t>包括課徵對象、範圍、時機、標準</w:t>
      </w:r>
      <w:r w:rsidRPr="00D55DC6">
        <w:rPr>
          <w:rFonts w:eastAsia="標楷體"/>
          <w:sz w:val="28"/>
          <w:szCs w:val="28"/>
        </w:rPr>
        <w:t>..)</w:t>
      </w:r>
      <w:r w:rsidRPr="00D55DC6">
        <w:rPr>
          <w:rFonts w:eastAsia="標楷體"/>
          <w:sz w:val="28"/>
          <w:szCs w:val="28"/>
        </w:rPr>
        <w:t>，取得法源後，再配合以行政命令研擬相關規範據以落實。</w:t>
      </w:r>
      <w:bookmarkEnd w:id="130"/>
    </w:p>
    <w:p w:rsidR="00C050DB" w:rsidRPr="00D55DC6" w:rsidRDefault="00C050DB" w:rsidP="0038165F">
      <w:pPr>
        <w:snapToGrid w:val="0"/>
        <w:spacing w:line="460" w:lineRule="exact"/>
        <w:ind w:leftChars="350" w:left="848" w:hangingChars="3" w:hanging="8"/>
        <w:jc w:val="both"/>
        <w:rPr>
          <w:rFonts w:eastAsia="標楷體"/>
          <w:sz w:val="28"/>
          <w:szCs w:val="28"/>
        </w:rPr>
      </w:pPr>
    </w:p>
    <w:p w:rsidR="00742A58" w:rsidRPr="00D55DC6" w:rsidRDefault="00742A58" w:rsidP="0038165F">
      <w:pPr>
        <w:snapToGrid w:val="0"/>
        <w:spacing w:line="460" w:lineRule="exact"/>
        <w:ind w:leftChars="350" w:left="848" w:hangingChars="3" w:hanging="8"/>
        <w:jc w:val="both"/>
        <w:rPr>
          <w:rFonts w:eastAsia="標楷體"/>
          <w:sz w:val="28"/>
          <w:szCs w:val="28"/>
        </w:rPr>
      </w:pPr>
    </w:p>
    <w:p w:rsidR="00F165E2" w:rsidRPr="00D55DC6" w:rsidRDefault="00C050DB" w:rsidP="0038165F">
      <w:pPr>
        <w:snapToGrid w:val="0"/>
        <w:spacing w:line="460" w:lineRule="exact"/>
        <w:ind w:left="709" w:hanging="709"/>
        <w:jc w:val="both"/>
        <w:rPr>
          <w:rFonts w:eastAsia="標楷體"/>
          <w:b/>
          <w:sz w:val="28"/>
          <w:szCs w:val="28"/>
        </w:rPr>
      </w:pPr>
      <w:r w:rsidRPr="00D55DC6">
        <w:rPr>
          <w:rFonts w:eastAsia="標楷體"/>
          <w:b/>
          <w:sz w:val="28"/>
          <w:szCs w:val="28"/>
        </w:rPr>
        <w:t>八、</w:t>
      </w:r>
      <w:r w:rsidR="00F165E2" w:rsidRPr="00D55DC6">
        <w:rPr>
          <w:rFonts w:eastAsia="標楷體"/>
          <w:b/>
          <w:sz w:val="28"/>
          <w:szCs w:val="28"/>
        </w:rPr>
        <w:t>附則</w:t>
      </w:r>
    </w:p>
    <w:p w:rsidR="00F165E2" w:rsidRPr="00D55DC6" w:rsidRDefault="00F165E2" w:rsidP="0038165F">
      <w:pPr>
        <w:snapToGrid w:val="0"/>
        <w:spacing w:line="460" w:lineRule="exact"/>
        <w:ind w:left="709" w:hanging="709"/>
        <w:jc w:val="both"/>
        <w:rPr>
          <w:rFonts w:eastAsia="標楷體"/>
          <w:b/>
          <w:sz w:val="28"/>
          <w:szCs w:val="28"/>
        </w:rPr>
      </w:pPr>
      <w:r w:rsidRPr="00D55DC6">
        <w:rPr>
          <w:rFonts w:eastAsia="標楷體"/>
          <w:b/>
          <w:sz w:val="28"/>
          <w:szCs w:val="28"/>
        </w:rPr>
        <w:t>（一）風險評估</w:t>
      </w:r>
    </w:p>
    <w:p w:rsidR="00F165E2" w:rsidRPr="00D55DC6" w:rsidRDefault="00F165E2" w:rsidP="00F165E2">
      <w:pPr>
        <w:snapToGrid w:val="0"/>
        <w:spacing w:line="460" w:lineRule="exact"/>
        <w:ind w:left="709"/>
        <w:jc w:val="both"/>
        <w:rPr>
          <w:rFonts w:eastAsia="標楷體"/>
          <w:sz w:val="28"/>
          <w:szCs w:val="28"/>
        </w:rPr>
      </w:pPr>
      <w:r w:rsidRPr="00D55DC6">
        <w:rPr>
          <w:rFonts w:eastAsia="標楷體"/>
          <w:sz w:val="28"/>
          <w:szCs w:val="28"/>
        </w:rPr>
        <w:t>依據國家風景區之業務特性，進行風險項目辨識，訂定風險影響程度及發生機率之評量指標</w:t>
      </w:r>
      <w:r w:rsidRPr="00D55DC6">
        <w:rPr>
          <w:rFonts w:eastAsia="標楷體"/>
          <w:sz w:val="28"/>
          <w:szCs w:val="28"/>
        </w:rPr>
        <w:t>(</w:t>
      </w:r>
      <w:r w:rsidRPr="00D55DC6">
        <w:rPr>
          <w:rFonts w:eastAsia="標楷體"/>
          <w:sz w:val="28"/>
          <w:szCs w:val="28"/>
        </w:rPr>
        <w:t>如影響機關形象、產業發展、財物損失、人員傷亡、民眾抱怨</w:t>
      </w:r>
      <w:r w:rsidRPr="00D55DC6">
        <w:rPr>
          <w:rFonts w:eastAsia="標楷體"/>
          <w:sz w:val="28"/>
          <w:szCs w:val="28"/>
        </w:rPr>
        <w:t>)</w:t>
      </w:r>
      <w:r w:rsidRPr="00D55DC6">
        <w:rPr>
          <w:rFonts w:eastAsia="標楷體"/>
          <w:sz w:val="28"/>
          <w:szCs w:val="28"/>
        </w:rPr>
        <w:t>，並依風險容忍度訂定風險標準與等級，據以辦理風險評估。</w:t>
      </w:r>
      <w:r w:rsidR="009B2D95" w:rsidRPr="00D55DC6">
        <w:rPr>
          <w:rFonts w:eastAsia="標楷體"/>
          <w:sz w:val="28"/>
          <w:szCs w:val="28"/>
        </w:rPr>
        <w:t>管理處</w:t>
      </w:r>
      <w:r w:rsidRPr="00D55DC6">
        <w:rPr>
          <w:rFonts w:eastAsia="標楷體"/>
          <w:sz w:val="28"/>
          <w:szCs w:val="28"/>
        </w:rPr>
        <w:t>經風險評估結果，就超過風險容忍度之高風險項目，找出對應之相關業務設計控制作業</w:t>
      </w:r>
      <w:r w:rsidRPr="00D55DC6">
        <w:rPr>
          <w:rFonts w:eastAsia="標楷體"/>
          <w:sz w:val="28"/>
          <w:szCs w:val="28"/>
        </w:rPr>
        <w:t>(</w:t>
      </w:r>
      <w:r w:rsidRPr="00D55DC6">
        <w:rPr>
          <w:rFonts w:eastAsia="標楷體"/>
          <w:sz w:val="28"/>
          <w:szCs w:val="28"/>
        </w:rPr>
        <w:t>包括公共建設計畫、用地取得、景點興辦開發、工程施工督導、旅遊意外事故、設施維護管理、活動遊客安全、資訊安全、財產管理</w:t>
      </w:r>
      <w:r w:rsidRPr="00D55DC6">
        <w:rPr>
          <w:rFonts w:eastAsia="標楷體"/>
          <w:sz w:val="28"/>
          <w:szCs w:val="28"/>
        </w:rPr>
        <w:t>…</w:t>
      </w:r>
      <w:r w:rsidRPr="00D55DC6">
        <w:rPr>
          <w:rFonts w:eastAsia="標楷體"/>
          <w:sz w:val="28"/>
          <w:szCs w:val="28"/>
        </w:rPr>
        <w:t>等控制作業</w:t>
      </w:r>
      <w:r w:rsidRPr="00D55DC6">
        <w:rPr>
          <w:rFonts w:eastAsia="標楷體"/>
          <w:sz w:val="28"/>
          <w:szCs w:val="28"/>
        </w:rPr>
        <w:t>)</w:t>
      </w:r>
      <w:r w:rsidRPr="00D55DC6">
        <w:rPr>
          <w:rFonts w:eastAsia="標楷體"/>
          <w:sz w:val="28"/>
          <w:szCs w:val="28"/>
        </w:rPr>
        <w:t>，定期召開內部控制會議，執行各項控制作業之檢討、評估與稽核，並持續檢視區內風險變化，提出因應對策，以降低風險落實業務管控，以達成計畫目標。</w:t>
      </w:r>
    </w:p>
    <w:p w:rsidR="00F165E2" w:rsidRPr="00D55DC6" w:rsidRDefault="00F165E2" w:rsidP="0038165F">
      <w:pPr>
        <w:snapToGrid w:val="0"/>
        <w:spacing w:line="460" w:lineRule="exact"/>
        <w:ind w:left="709" w:hanging="709"/>
        <w:jc w:val="both"/>
        <w:rPr>
          <w:rFonts w:eastAsia="標楷體"/>
          <w:b/>
          <w:sz w:val="28"/>
          <w:szCs w:val="28"/>
        </w:rPr>
      </w:pPr>
    </w:p>
    <w:p w:rsidR="00C050DB" w:rsidRPr="00D55DC6" w:rsidRDefault="00F165E2" w:rsidP="0038165F">
      <w:pPr>
        <w:snapToGrid w:val="0"/>
        <w:spacing w:line="460" w:lineRule="exact"/>
        <w:ind w:left="709" w:hanging="709"/>
        <w:jc w:val="both"/>
        <w:rPr>
          <w:rFonts w:eastAsia="標楷體"/>
          <w:b/>
          <w:sz w:val="28"/>
          <w:szCs w:val="28"/>
        </w:rPr>
      </w:pPr>
      <w:r w:rsidRPr="00D55DC6">
        <w:rPr>
          <w:rFonts w:eastAsia="標楷體"/>
          <w:b/>
          <w:sz w:val="28"/>
          <w:szCs w:val="28"/>
        </w:rPr>
        <w:t>（二）</w:t>
      </w:r>
      <w:r w:rsidR="00C050DB" w:rsidRPr="00D55DC6">
        <w:rPr>
          <w:rFonts w:eastAsia="標楷體"/>
          <w:b/>
          <w:sz w:val="28"/>
          <w:szCs w:val="28"/>
        </w:rPr>
        <w:t>相關機關配合事項</w:t>
      </w:r>
    </w:p>
    <w:p w:rsidR="00C050DB" w:rsidRPr="00D55DC6" w:rsidRDefault="00C050DB" w:rsidP="004865C1">
      <w:pPr>
        <w:numPr>
          <w:ilvl w:val="0"/>
          <w:numId w:val="144"/>
        </w:numPr>
        <w:snapToGrid w:val="0"/>
        <w:spacing w:line="460" w:lineRule="exact"/>
        <w:ind w:hanging="297"/>
        <w:jc w:val="both"/>
        <w:rPr>
          <w:rFonts w:eastAsia="標楷體"/>
          <w:sz w:val="28"/>
          <w:szCs w:val="28"/>
        </w:rPr>
      </w:pPr>
      <w:r w:rsidRPr="00D55DC6">
        <w:rPr>
          <w:rFonts w:eastAsia="標楷體"/>
          <w:sz w:val="28"/>
          <w:szCs w:val="28"/>
        </w:rPr>
        <w:t>嘉義縣政府：觀光發展事宜、土地使用管制及建築管理許可、國土復育、水利防洪、休閒農業、生態保護、交通設施及相關證照之申請等。</w:t>
      </w:r>
    </w:p>
    <w:p w:rsidR="00C050DB" w:rsidRPr="00D55DC6" w:rsidRDefault="00C050DB" w:rsidP="004865C1">
      <w:pPr>
        <w:numPr>
          <w:ilvl w:val="0"/>
          <w:numId w:val="144"/>
        </w:numPr>
        <w:snapToGrid w:val="0"/>
        <w:spacing w:line="460" w:lineRule="exact"/>
        <w:ind w:hanging="297"/>
        <w:jc w:val="both"/>
        <w:rPr>
          <w:rFonts w:eastAsia="標楷體"/>
          <w:sz w:val="28"/>
          <w:szCs w:val="28"/>
        </w:rPr>
      </w:pPr>
      <w:r w:rsidRPr="00D55DC6">
        <w:rPr>
          <w:rFonts w:eastAsia="標楷體"/>
          <w:sz w:val="28"/>
          <w:szCs w:val="28"/>
        </w:rPr>
        <w:t>行政院農委會林務局：阿里山國家森林遊樂區觀光發展事宜、建設用地林班解編、部份保安林解編，以及同意土地撥用等。</w:t>
      </w:r>
    </w:p>
    <w:p w:rsidR="00C050DB" w:rsidRPr="00D55DC6" w:rsidRDefault="00C050DB" w:rsidP="004865C1">
      <w:pPr>
        <w:numPr>
          <w:ilvl w:val="0"/>
          <w:numId w:val="144"/>
        </w:numPr>
        <w:snapToGrid w:val="0"/>
        <w:spacing w:line="460" w:lineRule="exact"/>
        <w:ind w:hanging="297"/>
        <w:jc w:val="both"/>
        <w:rPr>
          <w:rFonts w:eastAsia="標楷體"/>
          <w:sz w:val="28"/>
          <w:szCs w:val="28"/>
        </w:rPr>
      </w:pPr>
      <w:r w:rsidRPr="00D55DC6">
        <w:rPr>
          <w:rFonts w:eastAsia="標楷體"/>
          <w:sz w:val="28"/>
          <w:szCs w:val="28"/>
        </w:rPr>
        <w:t>交通部公路總局：臺</w:t>
      </w:r>
      <w:r w:rsidRPr="00D55DC6">
        <w:rPr>
          <w:rFonts w:eastAsia="標楷體"/>
          <w:sz w:val="28"/>
          <w:szCs w:val="28"/>
        </w:rPr>
        <w:t>18</w:t>
      </w:r>
      <w:r w:rsidRPr="00D55DC6">
        <w:rPr>
          <w:rFonts w:eastAsia="標楷體"/>
          <w:sz w:val="28"/>
          <w:szCs w:val="28"/>
        </w:rPr>
        <w:t>線、</w:t>
      </w:r>
      <w:r w:rsidRPr="00D55DC6">
        <w:rPr>
          <w:rFonts w:eastAsia="標楷體"/>
          <w:sz w:val="28"/>
          <w:szCs w:val="28"/>
        </w:rPr>
        <w:t>166</w:t>
      </w:r>
      <w:r w:rsidRPr="00D55DC6">
        <w:rPr>
          <w:rFonts w:eastAsia="標楷體"/>
          <w:sz w:val="28"/>
          <w:szCs w:val="28"/>
        </w:rPr>
        <w:t>線及</w:t>
      </w:r>
      <w:r w:rsidRPr="00D55DC6">
        <w:rPr>
          <w:rFonts w:eastAsia="標楷體"/>
          <w:sz w:val="28"/>
          <w:szCs w:val="28"/>
        </w:rPr>
        <w:t>162</w:t>
      </w:r>
      <w:r w:rsidRPr="00D55DC6">
        <w:rPr>
          <w:rFonts w:eastAsia="標楷體"/>
          <w:sz w:val="28"/>
          <w:szCs w:val="28"/>
        </w:rPr>
        <w:t>甲線公路景觀維護事宜。</w:t>
      </w:r>
    </w:p>
    <w:p w:rsidR="00C050DB" w:rsidRPr="00D55DC6" w:rsidRDefault="00C050DB" w:rsidP="004865C1">
      <w:pPr>
        <w:numPr>
          <w:ilvl w:val="0"/>
          <w:numId w:val="144"/>
        </w:numPr>
        <w:snapToGrid w:val="0"/>
        <w:spacing w:line="460" w:lineRule="exact"/>
        <w:ind w:hanging="297"/>
        <w:jc w:val="both"/>
        <w:rPr>
          <w:rFonts w:eastAsia="標楷體"/>
          <w:sz w:val="28"/>
          <w:szCs w:val="28"/>
        </w:rPr>
      </w:pPr>
      <w:r w:rsidRPr="00D55DC6">
        <w:rPr>
          <w:rFonts w:eastAsia="標楷體"/>
          <w:sz w:val="28"/>
          <w:szCs w:val="28"/>
        </w:rPr>
        <w:t>交通部臺灣鐵路管理局：阿里山森林鐵路觀光推廣事宜。</w:t>
      </w:r>
    </w:p>
    <w:p w:rsidR="00C050DB" w:rsidRPr="00D55DC6" w:rsidRDefault="00C050DB" w:rsidP="004865C1">
      <w:pPr>
        <w:numPr>
          <w:ilvl w:val="0"/>
          <w:numId w:val="144"/>
        </w:numPr>
        <w:snapToGrid w:val="0"/>
        <w:spacing w:line="460" w:lineRule="exact"/>
        <w:ind w:hanging="297"/>
        <w:jc w:val="both"/>
        <w:rPr>
          <w:rFonts w:eastAsia="標楷體"/>
          <w:sz w:val="28"/>
          <w:szCs w:val="28"/>
        </w:rPr>
      </w:pPr>
      <w:r w:rsidRPr="00D55DC6">
        <w:rPr>
          <w:rFonts w:eastAsia="標楷體"/>
          <w:sz w:val="28"/>
          <w:szCs w:val="28"/>
        </w:rPr>
        <w:t>原住民</w:t>
      </w:r>
      <w:r w:rsidR="00435440" w:rsidRPr="00D55DC6">
        <w:rPr>
          <w:rFonts w:eastAsia="標楷體"/>
          <w:sz w:val="28"/>
          <w:szCs w:val="28"/>
        </w:rPr>
        <w:t>族</w:t>
      </w:r>
      <w:r w:rsidRPr="00D55DC6">
        <w:rPr>
          <w:rFonts w:eastAsia="標楷體"/>
          <w:sz w:val="28"/>
          <w:szCs w:val="28"/>
        </w:rPr>
        <w:t>委員會：原住民保留地撥用、原住民地區共管協調事宜等。</w:t>
      </w:r>
    </w:p>
    <w:p w:rsidR="00C050DB" w:rsidRPr="00D55DC6" w:rsidRDefault="00C050DB" w:rsidP="004865C1">
      <w:pPr>
        <w:numPr>
          <w:ilvl w:val="0"/>
          <w:numId w:val="144"/>
        </w:numPr>
        <w:snapToGrid w:val="0"/>
        <w:spacing w:line="460" w:lineRule="exact"/>
        <w:ind w:hanging="297"/>
        <w:jc w:val="both"/>
        <w:rPr>
          <w:rFonts w:eastAsia="標楷體"/>
          <w:sz w:val="28"/>
          <w:szCs w:val="28"/>
        </w:rPr>
      </w:pPr>
      <w:r w:rsidRPr="00D55DC6">
        <w:rPr>
          <w:rFonts w:eastAsia="標楷體"/>
          <w:sz w:val="28"/>
          <w:szCs w:val="28"/>
        </w:rPr>
        <w:t>財政部國有財產署：公有地同意撥用或同意使用等。</w:t>
      </w:r>
    </w:p>
    <w:p w:rsidR="00261ADB" w:rsidRPr="00D55DC6" w:rsidRDefault="00C050DB" w:rsidP="004865C1">
      <w:pPr>
        <w:numPr>
          <w:ilvl w:val="0"/>
          <w:numId w:val="144"/>
        </w:numPr>
        <w:snapToGrid w:val="0"/>
        <w:spacing w:line="460" w:lineRule="exact"/>
        <w:ind w:hanging="297"/>
        <w:jc w:val="both"/>
        <w:rPr>
          <w:rFonts w:eastAsia="標楷體"/>
          <w:sz w:val="28"/>
          <w:szCs w:val="28"/>
        </w:rPr>
      </w:pPr>
      <w:r w:rsidRPr="00D55DC6">
        <w:rPr>
          <w:rFonts w:eastAsia="標楷體"/>
          <w:sz w:val="28"/>
          <w:szCs w:val="28"/>
        </w:rPr>
        <w:t>內政部：建設用地之變更相關事宜。</w:t>
      </w:r>
    </w:p>
    <w:p w:rsidR="00F47623" w:rsidRPr="00D55DC6" w:rsidRDefault="00F47623" w:rsidP="0038165F">
      <w:pPr>
        <w:widowControl/>
        <w:rPr>
          <w:rFonts w:eastAsia="標楷體"/>
          <w:sz w:val="28"/>
          <w:szCs w:val="28"/>
        </w:rPr>
      </w:pPr>
      <w:r w:rsidRPr="00D55DC6">
        <w:rPr>
          <w:rFonts w:eastAsia="標楷體"/>
          <w:sz w:val="28"/>
          <w:szCs w:val="28"/>
        </w:rPr>
        <w:br w:type="page"/>
      </w:r>
    </w:p>
    <w:p w:rsidR="00F47623" w:rsidRPr="00D55DC6" w:rsidRDefault="00F47623" w:rsidP="0038165F">
      <w:pPr>
        <w:snapToGrid w:val="0"/>
        <w:spacing w:line="460" w:lineRule="exact"/>
        <w:jc w:val="both"/>
        <w:rPr>
          <w:rFonts w:eastAsia="標楷體"/>
          <w:b/>
          <w:sz w:val="28"/>
          <w:szCs w:val="28"/>
        </w:rPr>
      </w:pPr>
      <w:r w:rsidRPr="00D55DC6">
        <w:rPr>
          <w:rFonts w:eastAsia="標楷體"/>
          <w:b/>
          <w:sz w:val="28"/>
          <w:szCs w:val="28"/>
        </w:rPr>
        <w:lastRenderedPageBreak/>
        <w:t>陸、雲嘉南濱海國家風景區建設計畫</w:t>
      </w:r>
    </w:p>
    <w:p w:rsidR="00F47623" w:rsidRPr="00D55DC6" w:rsidRDefault="00F47623" w:rsidP="0038165F">
      <w:pPr>
        <w:snapToGrid w:val="0"/>
        <w:spacing w:line="460" w:lineRule="exact"/>
        <w:ind w:left="1386" w:hanging="1102"/>
        <w:jc w:val="both"/>
        <w:rPr>
          <w:rFonts w:eastAsia="標楷體"/>
          <w:sz w:val="28"/>
          <w:szCs w:val="28"/>
        </w:rPr>
      </w:pPr>
    </w:p>
    <w:p w:rsidR="00F47623" w:rsidRPr="00D55DC6" w:rsidRDefault="00F47623" w:rsidP="004865C1">
      <w:pPr>
        <w:pStyle w:val="a"/>
        <w:numPr>
          <w:ilvl w:val="0"/>
          <w:numId w:val="99"/>
        </w:numPr>
        <w:ind w:left="709"/>
        <w:rPr>
          <w:b/>
        </w:rPr>
      </w:pPr>
      <w:bookmarkStart w:id="131" w:name="_Toc407181697"/>
      <w:r w:rsidRPr="00D55DC6">
        <w:rPr>
          <w:b/>
        </w:rPr>
        <w:t>計畫緣起</w:t>
      </w:r>
      <w:bookmarkEnd w:id="131"/>
    </w:p>
    <w:p w:rsidR="00F47623" w:rsidRPr="00D55DC6" w:rsidRDefault="00F47623" w:rsidP="004865C1">
      <w:pPr>
        <w:numPr>
          <w:ilvl w:val="0"/>
          <w:numId w:val="100"/>
        </w:numPr>
        <w:snapToGrid w:val="0"/>
        <w:spacing w:line="460" w:lineRule="exact"/>
        <w:jc w:val="both"/>
        <w:rPr>
          <w:rFonts w:eastAsia="標楷體"/>
          <w:sz w:val="28"/>
          <w:szCs w:val="28"/>
        </w:rPr>
      </w:pPr>
      <w:r w:rsidRPr="00D55DC6">
        <w:rPr>
          <w:rFonts w:eastAsia="標楷體"/>
          <w:b/>
          <w:sz w:val="28"/>
          <w:szCs w:val="28"/>
        </w:rPr>
        <w:t>依據</w:t>
      </w:r>
    </w:p>
    <w:p w:rsidR="00F47623" w:rsidRPr="00D55DC6" w:rsidRDefault="00F47623" w:rsidP="004865C1">
      <w:pPr>
        <w:numPr>
          <w:ilvl w:val="0"/>
          <w:numId w:val="94"/>
        </w:numPr>
        <w:snapToGrid w:val="0"/>
        <w:spacing w:line="460" w:lineRule="exact"/>
        <w:ind w:left="851" w:hanging="425"/>
        <w:jc w:val="both"/>
        <w:rPr>
          <w:rFonts w:eastAsia="標楷體"/>
          <w:sz w:val="28"/>
          <w:szCs w:val="28"/>
        </w:rPr>
      </w:pPr>
      <w:r w:rsidRPr="00D55DC6">
        <w:rPr>
          <w:rFonts w:eastAsia="標楷體"/>
          <w:sz w:val="28"/>
          <w:szCs w:val="28"/>
        </w:rPr>
        <w:t>為有效發揮政府重大公共建設計畫觀光次類別經費之投資效益，強化具體投資成果，延續「重要觀光景點建設中程計畫（</w:t>
      </w:r>
      <w:r w:rsidRPr="00D55DC6">
        <w:rPr>
          <w:rFonts w:eastAsia="標楷體"/>
          <w:sz w:val="28"/>
          <w:szCs w:val="28"/>
        </w:rPr>
        <w:t>101</w:t>
      </w:r>
      <w:r w:rsidRPr="00D55DC6">
        <w:rPr>
          <w:rFonts w:eastAsia="標楷體"/>
          <w:sz w:val="28"/>
          <w:szCs w:val="28"/>
        </w:rPr>
        <w:t>至</w:t>
      </w:r>
      <w:r w:rsidRPr="00D55DC6">
        <w:rPr>
          <w:rFonts w:eastAsia="標楷體"/>
          <w:sz w:val="28"/>
          <w:szCs w:val="28"/>
        </w:rPr>
        <w:t>104</w:t>
      </w:r>
      <w:r w:rsidRPr="00D55DC6">
        <w:rPr>
          <w:rFonts w:eastAsia="標楷體"/>
          <w:sz w:val="28"/>
          <w:szCs w:val="28"/>
        </w:rPr>
        <w:t>年）」（行政院</w:t>
      </w:r>
      <w:r w:rsidRPr="00D55DC6">
        <w:rPr>
          <w:rFonts w:eastAsia="標楷體"/>
          <w:sz w:val="28"/>
          <w:szCs w:val="28"/>
        </w:rPr>
        <w:t>100</w:t>
      </w:r>
      <w:r w:rsidRPr="00D55DC6">
        <w:rPr>
          <w:rFonts w:eastAsia="標楷體"/>
          <w:sz w:val="28"/>
          <w:szCs w:val="28"/>
        </w:rPr>
        <w:t>年</w:t>
      </w:r>
      <w:r w:rsidRPr="00D55DC6">
        <w:rPr>
          <w:rFonts w:eastAsia="標楷體"/>
          <w:sz w:val="28"/>
          <w:szCs w:val="28"/>
        </w:rPr>
        <w:t>8</w:t>
      </w:r>
      <w:r w:rsidRPr="00D55DC6">
        <w:rPr>
          <w:rFonts w:eastAsia="標楷體"/>
          <w:sz w:val="28"/>
          <w:szCs w:val="28"/>
        </w:rPr>
        <w:t>月</w:t>
      </w:r>
      <w:r w:rsidRPr="00D55DC6">
        <w:rPr>
          <w:rFonts w:eastAsia="標楷體"/>
          <w:sz w:val="28"/>
          <w:szCs w:val="28"/>
        </w:rPr>
        <w:t>22</w:t>
      </w:r>
      <w:r w:rsidRPr="00D55DC6">
        <w:rPr>
          <w:rFonts w:eastAsia="標楷體"/>
          <w:sz w:val="28"/>
          <w:szCs w:val="28"/>
        </w:rPr>
        <w:t>日院臺交字第</w:t>
      </w:r>
      <w:r w:rsidRPr="00D55DC6">
        <w:rPr>
          <w:rFonts w:eastAsia="標楷體"/>
          <w:sz w:val="28"/>
          <w:szCs w:val="28"/>
        </w:rPr>
        <w:t>1000044174</w:t>
      </w:r>
      <w:r w:rsidRPr="00D55DC6">
        <w:rPr>
          <w:rFonts w:eastAsia="標楷體"/>
          <w:sz w:val="28"/>
          <w:szCs w:val="28"/>
        </w:rPr>
        <w:t>號函核定）建設成果，並調整以</w:t>
      </w:r>
      <w:r w:rsidRPr="00D55DC6">
        <w:rPr>
          <w:rFonts w:eastAsia="標楷體"/>
          <w:sz w:val="28"/>
          <w:szCs w:val="28"/>
        </w:rPr>
        <w:t>1.</w:t>
      </w:r>
      <w:r w:rsidRPr="00D55DC6">
        <w:rPr>
          <w:rFonts w:eastAsia="標楷體"/>
          <w:sz w:val="28"/>
          <w:szCs w:val="28"/>
        </w:rPr>
        <w:t>國際觀光重要景點建設、</w:t>
      </w:r>
      <w:r w:rsidRPr="00D55DC6">
        <w:rPr>
          <w:rFonts w:eastAsia="標楷體"/>
          <w:sz w:val="28"/>
          <w:szCs w:val="28"/>
        </w:rPr>
        <w:t>2.</w:t>
      </w:r>
      <w:r w:rsidRPr="00D55DC6">
        <w:rPr>
          <w:rFonts w:eastAsia="標楷體"/>
          <w:sz w:val="28"/>
          <w:szCs w:val="28"/>
        </w:rPr>
        <w:t>國內觀光重要景點建設、</w:t>
      </w:r>
      <w:r w:rsidRPr="00D55DC6">
        <w:rPr>
          <w:rFonts w:eastAsia="標楷體"/>
          <w:sz w:val="28"/>
          <w:szCs w:val="28"/>
        </w:rPr>
        <w:t>3.</w:t>
      </w:r>
      <w:r w:rsidRPr="00D55DC6">
        <w:rPr>
          <w:rFonts w:eastAsia="標楷體"/>
          <w:sz w:val="28"/>
          <w:szCs w:val="28"/>
        </w:rPr>
        <w:t>國家風景區經營管理維護等投資重點與優先順序，研擬「重要觀光景點建設中程計畫</w:t>
      </w:r>
      <w:r w:rsidRPr="00D55DC6">
        <w:rPr>
          <w:rFonts w:eastAsia="標楷體"/>
          <w:sz w:val="28"/>
          <w:szCs w:val="28"/>
        </w:rPr>
        <w:t>(105-108</w:t>
      </w:r>
      <w:r w:rsidRPr="00D55DC6">
        <w:rPr>
          <w:rFonts w:eastAsia="標楷體"/>
          <w:sz w:val="28"/>
          <w:szCs w:val="28"/>
        </w:rPr>
        <w:t>年</w:t>
      </w:r>
      <w:r w:rsidRPr="00D55DC6">
        <w:rPr>
          <w:rFonts w:eastAsia="標楷體"/>
          <w:sz w:val="28"/>
          <w:szCs w:val="28"/>
        </w:rPr>
        <w:t>)</w:t>
      </w:r>
      <w:r w:rsidRPr="00D55DC6">
        <w:rPr>
          <w:rFonts w:eastAsia="標楷體"/>
          <w:sz w:val="28"/>
          <w:szCs w:val="28"/>
        </w:rPr>
        <w:t>」。</w:t>
      </w:r>
    </w:p>
    <w:p w:rsidR="00F47623" w:rsidRPr="00D55DC6" w:rsidRDefault="00F47623" w:rsidP="004865C1">
      <w:pPr>
        <w:numPr>
          <w:ilvl w:val="0"/>
          <w:numId w:val="94"/>
        </w:numPr>
        <w:snapToGrid w:val="0"/>
        <w:spacing w:line="460" w:lineRule="exact"/>
        <w:ind w:left="851" w:hanging="425"/>
        <w:jc w:val="both"/>
        <w:rPr>
          <w:rFonts w:eastAsia="標楷體"/>
          <w:sz w:val="28"/>
          <w:szCs w:val="28"/>
        </w:rPr>
      </w:pPr>
      <w:r w:rsidRPr="00D55DC6">
        <w:rPr>
          <w:rFonts w:eastAsia="標楷體"/>
          <w:sz w:val="28"/>
          <w:szCs w:val="28"/>
        </w:rPr>
        <w:t>依據行政院</w:t>
      </w:r>
      <w:r w:rsidRPr="00D55DC6">
        <w:rPr>
          <w:rFonts w:eastAsia="標楷體"/>
          <w:sz w:val="28"/>
          <w:szCs w:val="28"/>
        </w:rPr>
        <w:t>103</w:t>
      </w:r>
      <w:r w:rsidRPr="00D55DC6">
        <w:rPr>
          <w:rFonts w:eastAsia="標楷體"/>
          <w:sz w:val="28"/>
          <w:szCs w:val="28"/>
        </w:rPr>
        <w:t>年</w:t>
      </w:r>
      <w:r w:rsidRPr="00D55DC6">
        <w:rPr>
          <w:rFonts w:eastAsia="標楷體"/>
          <w:sz w:val="28"/>
          <w:szCs w:val="28"/>
        </w:rPr>
        <w:t>10</w:t>
      </w:r>
      <w:r w:rsidRPr="00D55DC6">
        <w:rPr>
          <w:rFonts w:eastAsia="標楷體"/>
          <w:sz w:val="28"/>
          <w:szCs w:val="28"/>
        </w:rPr>
        <w:t>月</w:t>
      </w:r>
      <w:r w:rsidRPr="00D55DC6">
        <w:rPr>
          <w:rFonts w:eastAsia="標楷體"/>
          <w:sz w:val="28"/>
          <w:szCs w:val="28"/>
        </w:rPr>
        <w:t>15</w:t>
      </w:r>
      <w:r w:rsidRPr="00D55DC6">
        <w:rPr>
          <w:rFonts w:eastAsia="標楷體"/>
          <w:sz w:val="28"/>
          <w:szCs w:val="28"/>
        </w:rPr>
        <w:t>日院臺交字第</w:t>
      </w:r>
      <w:r w:rsidRPr="00D55DC6">
        <w:rPr>
          <w:rFonts w:eastAsia="標楷體"/>
          <w:sz w:val="28"/>
          <w:szCs w:val="28"/>
        </w:rPr>
        <w:t>1030058303</w:t>
      </w:r>
      <w:r w:rsidRPr="00D55DC6">
        <w:rPr>
          <w:rFonts w:eastAsia="標楷體"/>
          <w:sz w:val="28"/>
          <w:szCs w:val="28"/>
        </w:rPr>
        <w:t>號函核定「雲嘉南濱海國家風景區整體發展暨財務計畫」之意旨辦理。</w:t>
      </w:r>
    </w:p>
    <w:p w:rsidR="00F47623" w:rsidRPr="00D55DC6" w:rsidRDefault="00F47623" w:rsidP="004865C1">
      <w:pPr>
        <w:numPr>
          <w:ilvl w:val="0"/>
          <w:numId w:val="94"/>
        </w:numPr>
        <w:snapToGrid w:val="0"/>
        <w:spacing w:line="460" w:lineRule="exact"/>
        <w:ind w:left="851" w:hanging="425"/>
        <w:jc w:val="both"/>
        <w:rPr>
          <w:rFonts w:eastAsia="標楷體"/>
          <w:sz w:val="28"/>
          <w:szCs w:val="28"/>
        </w:rPr>
      </w:pPr>
      <w:r w:rsidRPr="00D55DC6">
        <w:rPr>
          <w:rFonts w:eastAsia="標楷體"/>
          <w:spacing w:val="-10"/>
          <w:kern w:val="0"/>
          <w:sz w:val="28"/>
          <w:szCs w:val="28"/>
        </w:rPr>
        <w:t>依據行政院</w:t>
      </w:r>
      <w:r w:rsidRPr="00D55DC6">
        <w:rPr>
          <w:rFonts w:eastAsia="標楷體"/>
          <w:spacing w:val="-10"/>
          <w:kern w:val="0"/>
          <w:sz w:val="28"/>
          <w:szCs w:val="28"/>
        </w:rPr>
        <w:t>102</w:t>
      </w:r>
      <w:r w:rsidRPr="00D55DC6">
        <w:rPr>
          <w:rFonts w:eastAsia="標楷體"/>
          <w:spacing w:val="-10"/>
          <w:kern w:val="0"/>
          <w:sz w:val="28"/>
          <w:szCs w:val="28"/>
        </w:rPr>
        <w:t>年</w:t>
      </w:r>
      <w:r w:rsidRPr="00D55DC6">
        <w:rPr>
          <w:rFonts w:eastAsia="標楷體"/>
          <w:spacing w:val="-10"/>
          <w:kern w:val="0"/>
          <w:sz w:val="28"/>
          <w:szCs w:val="28"/>
        </w:rPr>
        <w:t>2</w:t>
      </w:r>
      <w:r w:rsidRPr="00D55DC6">
        <w:rPr>
          <w:rFonts w:eastAsia="標楷體"/>
          <w:spacing w:val="-10"/>
          <w:kern w:val="0"/>
          <w:sz w:val="28"/>
          <w:szCs w:val="28"/>
        </w:rPr>
        <w:t>月</w:t>
      </w:r>
      <w:r w:rsidRPr="00D55DC6">
        <w:rPr>
          <w:rFonts w:eastAsia="標楷體"/>
          <w:spacing w:val="-10"/>
          <w:kern w:val="0"/>
          <w:sz w:val="28"/>
          <w:szCs w:val="28"/>
        </w:rPr>
        <w:t>18</w:t>
      </w:r>
      <w:r w:rsidRPr="00D55DC6">
        <w:rPr>
          <w:rFonts w:eastAsia="標楷體"/>
          <w:spacing w:val="-10"/>
          <w:kern w:val="0"/>
          <w:sz w:val="28"/>
          <w:szCs w:val="28"/>
        </w:rPr>
        <w:t>日院臺建字第</w:t>
      </w:r>
      <w:r w:rsidRPr="00D55DC6">
        <w:rPr>
          <w:rFonts w:eastAsia="標楷體"/>
          <w:spacing w:val="-10"/>
          <w:kern w:val="0"/>
          <w:sz w:val="28"/>
          <w:szCs w:val="28"/>
        </w:rPr>
        <w:t>1020007363</w:t>
      </w:r>
      <w:r w:rsidRPr="00D55DC6">
        <w:rPr>
          <w:rFonts w:eastAsia="標楷體"/>
          <w:spacing w:val="-10"/>
          <w:kern w:val="0"/>
          <w:sz w:val="28"/>
          <w:szCs w:val="28"/>
        </w:rPr>
        <w:t>號函同意「雲嘉南濱海國家風景特定區範圍檢討評估報告」一案照行政院經濟建設委員會</w:t>
      </w:r>
      <w:r w:rsidRPr="00D55DC6">
        <w:rPr>
          <w:rFonts w:eastAsia="標楷體"/>
          <w:spacing w:val="-10"/>
          <w:kern w:val="0"/>
          <w:sz w:val="28"/>
          <w:szCs w:val="28"/>
        </w:rPr>
        <w:t>102</w:t>
      </w:r>
      <w:r w:rsidRPr="00D55DC6">
        <w:rPr>
          <w:rFonts w:eastAsia="標楷體"/>
          <w:spacing w:val="-10"/>
          <w:kern w:val="0"/>
          <w:sz w:val="28"/>
          <w:szCs w:val="28"/>
        </w:rPr>
        <w:t>年</w:t>
      </w:r>
      <w:r w:rsidRPr="00D55DC6">
        <w:rPr>
          <w:rFonts w:eastAsia="標楷體"/>
          <w:spacing w:val="-10"/>
          <w:kern w:val="0"/>
          <w:sz w:val="28"/>
          <w:szCs w:val="28"/>
        </w:rPr>
        <w:t>1</w:t>
      </w:r>
      <w:r w:rsidRPr="00D55DC6">
        <w:rPr>
          <w:rFonts w:eastAsia="標楷體"/>
          <w:spacing w:val="-10"/>
          <w:kern w:val="0"/>
          <w:sz w:val="28"/>
          <w:szCs w:val="28"/>
        </w:rPr>
        <w:t>月</w:t>
      </w:r>
      <w:r w:rsidRPr="00D55DC6">
        <w:rPr>
          <w:rFonts w:eastAsia="標楷體"/>
          <w:spacing w:val="-10"/>
          <w:kern w:val="0"/>
          <w:sz w:val="28"/>
          <w:szCs w:val="28"/>
        </w:rPr>
        <w:t>29</w:t>
      </w:r>
      <w:r w:rsidRPr="00D55DC6">
        <w:rPr>
          <w:rFonts w:eastAsia="標楷體"/>
          <w:spacing w:val="-10"/>
          <w:kern w:val="0"/>
          <w:sz w:val="28"/>
          <w:szCs w:val="28"/>
        </w:rPr>
        <w:t>日都字第</w:t>
      </w:r>
      <w:r w:rsidRPr="00D55DC6">
        <w:rPr>
          <w:rFonts w:eastAsia="標楷體"/>
          <w:spacing w:val="-10"/>
          <w:kern w:val="0"/>
          <w:sz w:val="28"/>
          <w:szCs w:val="28"/>
        </w:rPr>
        <w:t>1020000503</w:t>
      </w:r>
      <w:r w:rsidRPr="00D55DC6">
        <w:rPr>
          <w:rFonts w:eastAsia="標楷體"/>
          <w:spacing w:val="-10"/>
          <w:kern w:val="0"/>
          <w:sz w:val="28"/>
          <w:szCs w:val="28"/>
        </w:rPr>
        <w:t>號函會商結論辦理，已於</w:t>
      </w:r>
      <w:r w:rsidRPr="00D55DC6">
        <w:rPr>
          <w:rFonts w:eastAsia="標楷體"/>
          <w:spacing w:val="-10"/>
          <w:kern w:val="0"/>
          <w:sz w:val="28"/>
          <w:szCs w:val="28"/>
        </w:rPr>
        <w:t>102</w:t>
      </w:r>
      <w:r w:rsidRPr="00D55DC6">
        <w:rPr>
          <w:rFonts w:eastAsia="標楷體"/>
          <w:spacing w:val="-10"/>
          <w:kern w:val="0"/>
          <w:sz w:val="28"/>
          <w:szCs w:val="28"/>
        </w:rPr>
        <w:t>年</w:t>
      </w:r>
      <w:r w:rsidRPr="00D55DC6">
        <w:rPr>
          <w:rFonts w:eastAsia="標楷體"/>
          <w:spacing w:val="-10"/>
          <w:kern w:val="0"/>
          <w:sz w:val="28"/>
          <w:szCs w:val="28"/>
        </w:rPr>
        <w:t>3</w:t>
      </w:r>
      <w:r w:rsidRPr="00D55DC6">
        <w:rPr>
          <w:rFonts w:eastAsia="標楷體"/>
          <w:spacing w:val="-10"/>
          <w:kern w:val="0"/>
          <w:sz w:val="28"/>
          <w:szCs w:val="28"/>
        </w:rPr>
        <w:t>月</w:t>
      </w:r>
      <w:r w:rsidRPr="00D55DC6">
        <w:rPr>
          <w:rFonts w:eastAsia="標楷體"/>
          <w:spacing w:val="-10"/>
          <w:kern w:val="0"/>
          <w:sz w:val="28"/>
          <w:szCs w:val="28"/>
        </w:rPr>
        <w:t>27</w:t>
      </w:r>
      <w:r w:rsidRPr="00D55DC6">
        <w:rPr>
          <w:rFonts w:eastAsia="標楷體"/>
          <w:spacing w:val="-10"/>
          <w:kern w:val="0"/>
          <w:sz w:val="28"/>
          <w:szCs w:val="28"/>
        </w:rPr>
        <w:t>日奉行政院核定公告調整雲嘉南濱海國家風景區，擴大面積約</w:t>
      </w:r>
      <w:r w:rsidRPr="00D55DC6">
        <w:rPr>
          <w:rFonts w:eastAsia="標楷體"/>
          <w:spacing w:val="-10"/>
          <w:kern w:val="0"/>
          <w:sz w:val="28"/>
          <w:szCs w:val="28"/>
        </w:rPr>
        <w:t>3,753.32</w:t>
      </w:r>
      <w:r w:rsidRPr="00D55DC6">
        <w:rPr>
          <w:rFonts w:eastAsia="標楷體"/>
          <w:spacing w:val="-10"/>
          <w:kern w:val="0"/>
          <w:sz w:val="28"/>
          <w:szCs w:val="28"/>
        </w:rPr>
        <w:t>公頃，納入本計畫推動觀光建設。</w:t>
      </w:r>
    </w:p>
    <w:p w:rsidR="00F47623" w:rsidRPr="00D55DC6" w:rsidRDefault="00F47623" w:rsidP="0038165F">
      <w:pPr>
        <w:snapToGrid w:val="0"/>
        <w:spacing w:line="460" w:lineRule="exact"/>
        <w:ind w:left="851"/>
        <w:jc w:val="both"/>
        <w:rPr>
          <w:rFonts w:eastAsia="標楷體"/>
          <w:sz w:val="28"/>
          <w:szCs w:val="28"/>
        </w:rPr>
      </w:pPr>
    </w:p>
    <w:p w:rsidR="00F47623" w:rsidRPr="00D55DC6" w:rsidRDefault="00F47623" w:rsidP="004865C1">
      <w:pPr>
        <w:numPr>
          <w:ilvl w:val="0"/>
          <w:numId w:val="100"/>
        </w:numPr>
        <w:snapToGrid w:val="0"/>
        <w:spacing w:line="460" w:lineRule="exact"/>
        <w:jc w:val="both"/>
        <w:rPr>
          <w:rFonts w:eastAsia="標楷體"/>
          <w:b/>
          <w:sz w:val="28"/>
          <w:szCs w:val="28"/>
        </w:rPr>
      </w:pPr>
      <w:r w:rsidRPr="00D55DC6">
        <w:rPr>
          <w:rFonts w:eastAsia="標楷體"/>
          <w:b/>
          <w:sz w:val="28"/>
          <w:szCs w:val="28"/>
        </w:rPr>
        <w:t>未來環境預測</w:t>
      </w:r>
    </w:p>
    <w:p w:rsidR="00F47623" w:rsidRPr="00D55DC6" w:rsidRDefault="00F47623" w:rsidP="0038165F">
      <w:pPr>
        <w:snapToGrid w:val="0"/>
        <w:spacing w:line="460" w:lineRule="exact"/>
        <w:ind w:left="905"/>
        <w:jc w:val="both"/>
        <w:rPr>
          <w:rFonts w:eastAsia="標楷體"/>
          <w:sz w:val="28"/>
          <w:szCs w:val="28"/>
        </w:rPr>
      </w:pPr>
      <w:r w:rsidRPr="00D55DC6">
        <w:rPr>
          <w:rFonts w:eastAsia="標楷體"/>
          <w:sz w:val="28"/>
          <w:szCs w:val="28"/>
        </w:rPr>
        <w:t>未來本風景區進行各項觀光資源的整合及遊憩據點的營造與串連，預期</w:t>
      </w:r>
      <w:r w:rsidRPr="00D55DC6">
        <w:rPr>
          <w:rFonts w:eastAsia="標楷體"/>
          <w:sz w:val="28"/>
          <w:szCs w:val="28"/>
        </w:rPr>
        <w:t>105-108</w:t>
      </w:r>
      <w:r w:rsidRPr="00D55DC6">
        <w:rPr>
          <w:rFonts w:eastAsia="標楷體"/>
          <w:sz w:val="28"/>
          <w:szCs w:val="28"/>
        </w:rPr>
        <w:t>年區內遊客人數可突破</w:t>
      </w:r>
      <w:r w:rsidRPr="00D55DC6">
        <w:rPr>
          <w:rFonts w:eastAsia="標楷體"/>
          <w:sz w:val="28"/>
          <w:szCs w:val="28"/>
        </w:rPr>
        <w:t>400</w:t>
      </w:r>
      <w:r w:rsidRPr="00D55DC6">
        <w:rPr>
          <w:rFonts w:eastAsia="標楷體"/>
          <w:sz w:val="28"/>
          <w:szCs w:val="28"/>
        </w:rPr>
        <w:t>萬人次，</w:t>
      </w:r>
      <w:r w:rsidRPr="00D55DC6">
        <w:rPr>
          <w:rFonts w:eastAsia="標楷體"/>
          <w:sz w:val="28"/>
          <w:szCs w:val="28"/>
        </w:rPr>
        <w:t>112</w:t>
      </w:r>
      <w:r w:rsidRPr="00D55DC6">
        <w:rPr>
          <w:rFonts w:eastAsia="標楷體"/>
          <w:sz w:val="28"/>
          <w:szCs w:val="28"/>
        </w:rPr>
        <w:t>年可達</w:t>
      </w:r>
      <w:r w:rsidRPr="00D55DC6">
        <w:rPr>
          <w:rFonts w:eastAsia="標楷體"/>
          <w:sz w:val="28"/>
          <w:szCs w:val="28"/>
        </w:rPr>
        <w:t>420</w:t>
      </w:r>
      <w:r w:rsidRPr="00D55DC6">
        <w:rPr>
          <w:rFonts w:eastAsia="標楷體"/>
          <w:sz w:val="28"/>
          <w:szCs w:val="28"/>
        </w:rPr>
        <w:t>萬人次以上。隨之而來的住宿需求，尖峰日住宿量將達</w:t>
      </w:r>
      <w:r w:rsidRPr="00D55DC6">
        <w:rPr>
          <w:rFonts w:eastAsia="標楷體"/>
          <w:sz w:val="28"/>
          <w:szCs w:val="28"/>
        </w:rPr>
        <w:t>4,597</w:t>
      </w:r>
      <w:r w:rsidRPr="00D55DC6">
        <w:rPr>
          <w:rFonts w:eastAsia="標楷體"/>
          <w:sz w:val="28"/>
          <w:szCs w:val="28"/>
        </w:rPr>
        <w:t>人次，與現有</w:t>
      </w:r>
      <w:r w:rsidRPr="00D55DC6">
        <w:rPr>
          <w:rFonts w:eastAsia="標楷體"/>
          <w:sz w:val="28"/>
          <w:szCs w:val="28"/>
        </w:rPr>
        <w:t>284</w:t>
      </w:r>
      <w:r w:rsidRPr="00D55DC6">
        <w:rPr>
          <w:rFonts w:eastAsia="標楷體"/>
          <w:sz w:val="28"/>
          <w:szCs w:val="28"/>
        </w:rPr>
        <w:t>人次相較，仍有成長空間。另如停車、廁所、休憩空間等公共設施需求，預期也需提升改善，以維持高品質的旅遊環境。</w:t>
      </w:r>
    </w:p>
    <w:p w:rsidR="00F47623" w:rsidRPr="00D55DC6" w:rsidRDefault="00F47623" w:rsidP="0038165F">
      <w:pPr>
        <w:snapToGrid w:val="0"/>
        <w:spacing w:line="460" w:lineRule="exact"/>
        <w:jc w:val="both"/>
        <w:rPr>
          <w:rFonts w:eastAsia="標楷體"/>
          <w:sz w:val="28"/>
          <w:szCs w:val="28"/>
        </w:rPr>
      </w:pPr>
    </w:p>
    <w:p w:rsidR="00F47623" w:rsidRPr="00D55DC6" w:rsidRDefault="00F47623" w:rsidP="004865C1">
      <w:pPr>
        <w:numPr>
          <w:ilvl w:val="0"/>
          <w:numId w:val="100"/>
        </w:numPr>
        <w:snapToGrid w:val="0"/>
        <w:spacing w:line="460" w:lineRule="exact"/>
        <w:jc w:val="both"/>
        <w:rPr>
          <w:rFonts w:eastAsia="標楷體"/>
          <w:b/>
          <w:sz w:val="28"/>
          <w:szCs w:val="28"/>
        </w:rPr>
      </w:pPr>
      <w:r w:rsidRPr="00D55DC6">
        <w:rPr>
          <w:rFonts w:eastAsia="標楷體"/>
          <w:b/>
          <w:sz w:val="28"/>
          <w:szCs w:val="28"/>
        </w:rPr>
        <w:t>問題評析</w:t>
      </w:r>
    </w:p>
    <w:p w:rsidR="00F47623" w:rsidRPr="00D55DC6" w:rsidRDefault="00F47623" w:rsidP="004865C1">
      <w:pPr>
        <w:numPr>
          <w:ilvl w:val="0"/>
          <w:numId w:val="95"/>
        </w:numPr>
        <w:snapToGrid w:val="0"/>
        <w:spacing w:line="460" w:lineRule="exact"/>
        <w:ind w:left="851" w:hanging="425"/>
        <w:jc w:val="both"/>
        <w:rPr>
          <w:rFonts w:eastAsia="標楷體"/>
          <w:b/>
          <w:sz w:val="28"/>
          <w:szCs w:val="28"/>
        </w:rPr>
      </w:pPr>
      <w:r w:rsidRPr="00D55DC6">
        <w:rPr>
          <w:rFonts w:eastAsia="標楷體"/>
          <w:b/>
          <w:sz w:val="28"/>
          <w:szCs w:val="28"/>
        </w:rPr>
        <w:t>生活及旅遊服務機能缺乏，住宿設施不足</w:t>
      </w:r>
    </w:p>
    <w:p w:rsidR="00F47623" w:rsidRPr="00D55DC6" w:rsidRDefault="00F47623" w:rsidP="0038165F">
      <w:pPr>
        <w:autoSpaceDE w:val="0"/>
        <w:autoSpaceDN w:val="0"/>
        <w:adjustRightInd w:val="0"/>
        <w:snapToGrid w:val="0"/>
        <w:spacing w:line="460" w:lineRule="exact"/>
        <w:ind w:left="851" w:hanging="2"/>
        <w:rPr>
          <w:rFonts w:eastAsia="標楷體"/>
          <w:kern w:val="0"/>
          <w:sz w:val="28"/>
          <w:szCs w:val="28"/>
        </w:rPr>
      </w:pPr>
      <w:r w:rsidRPr="00D55DC6">
        <w:rPr>
          <w:rFonts w:eastAsia="標楷體"/>
          <w:kern w:val="0"/>
          <w:sz w:val="28"/>
          <w:szCs w:val="28"/>
        </w:rPr>
        <w:t>由於當地集居的漁村或聚落多呈現人數較少的規模，許多基本生活服務設施相對缺乏，現有餐飲住宿服務的量體與規模更為稀缺，故仍需提升區內旅遊服務設施，使服務機能更加完備，滿足各項旅遊需求。</w:t>
      </w:r>
      <w:r w:rsidRPr="00D55DC6">
        <w:rPr>
          <w:rFonts w:eastAsia="標楷體"/>
          <w:kern w:val="0"/>
          <w:sz w:val="28"/>
          <w:szCs w:val="28"/>
        </w:rPr>
        <w:lastRenderedPageBreak/>
        <w:t>未來持續引進民間業者投資經營，並適度發展提供基本便利服務。</w:t>
      </w:r>
    </w:p>
    <w:p w:rsidR="00F47623" w:rsidRPr="00D55DC6" w:rsidRDefault="00F47623" w:rsidP="004865C1">
      <w:pPr>
        <w:numPr>
          <w:ilvl w:val="0"/>
          <w:numId w:val="95"/>
        </w:numPr>
        <w:autoSpaceDE w:val="0"/>
        <w:autoSpaceDN w:val="0"/>
        <w:adjustRightInd w:val="0"/>
        <w:snapToGrid w:val="0"/>
        <w:spacing w:line="460" w:lineRule="exact"/>
        <w:ind w:left="851" w:hanging="425"/>
        <w:rPr>
          <w:rFonts w:eastAsia="標楷體"/>
          <w:b/>
          <w:kern w:val="0"/>
          <w:sz w:val="28"/>
          <w:szCs w:val="28"/>
        </w:rPr>
      </w:pPr>
      <w:r w:rsidRPr="00D55DC6">
        <w:rPr>
          <w:rFonts w:eastAsia="標楷體"/>
          <w:b/>
          <w:kern w:val="0"/>
          <w:sz w:val="28"/>
          <w:szCs w:val="28"/>
        </w:rPr>
        <w:t>地理區位邊陲，氣候條件嚴酷</w:t>
      </w:r>
    </w:p>
    <w:p w:rsidR="00F47623" w:rsidRPr="00D55DC6" w:rsidRDefault="00F47623" w:rsidP="0038165F">
      <w:pPr>
        <w:snapToGrid w:val="0"/>
        <w:spacing w:line="460" w:lineRule="exact"/>
        <w:ind w:left="851"/>
        <w:jc w:val="both"/>
        <w:rPr>
          <w:rFonts w:eastAsia="標楷體"/>
          <w:sz w:val="28"/>
          <w:szCs w:val="28"/>
        </w:rPr>
      </w:pPr>
      <w:r w:rsidRPr="00D55DC6">
        <w:rPr>
          <w:rFonts w:eastAsia="標楷體"/>
          <w:sz w:val="28"/>
          <w:szCs w:val="28"/>
        </w:rPr>
        <w:t>本風景區距工商繁榮大都市偏遠，旅遊往來時間較長，並因地理氣候因素，面臨冬季寒風、夏季酷暑，沿海植栽亦受鹽害影響，綠美化植栽培植不易，遮陽遮風效果有限，爰營造推廣觀光資源實屬不易。然本風景區特殊人文、自然景觀資源豐富，仍具多元發展題材，並輔以交通建設漸為完備，未來在串連區內外之特色遊程及結合在地文化、景觀資源等發展面向，皆有機會持續提升區內遊客人數，提升觀光產值，改善地方經濟。</w:t>
      </w:r>
    </w:p>
    <w:p w:rsidR="00F47623" w:rsidRPr="00D55DC6" w:rsidRDefault="00F47623" w:rsidP="004865C1">
      <w:pPr>
        <w:numPr>
          <w:ilvl w:val="0"/>
          <w:numId w:val="95"/>
        </w:numPr>
        <w:snapToGrid w:val="0"/>
        <w:spacing w:line="460" w:lineRule="exact"/>
        <w:ind w:left="851" w:hanging="425"/>
        <w:jc w:val="both"/>
        <w:rPr>
          <w:rFonts w:eastAsia="標楷體"/>
          <w:b/>
          <w:sz w:val="28"/>
          <w:szCs w:val="28"/>
        </w:rPr>
      </w:pPr>
      <w:r w:rsidRPr="00D55DC6">
        <w:rPr>
          <w:rFonts w:eastAsia="標楷體"/>
          <w:b/>
          <w:sz w:val="28"/>
          <w:szCs w:val="28"/>
        </w:rPr>
        <w:t>舊有產業弱化，文化特色亟需營造</w:t>
      </w:r>
    </w:p>
    <w:p w:rsidR="00F47623" w:rsidRPr="00D55DC6" w:rsidRDefault="00F47623" w:rsidP="0038165F">
      <w:pPr>
        <w:snapToGrid w:val="0"/>
        <w:spacing w:line="460" w:lineRule="exact"/>
        <w:ind w:left="851"/>
        <w:jc w:val="both"/>
        <w:rPr>
          <w:rFonts w:eastAsia="標楷體"/>
          <w:sz w:val="28"/>
          <w:szCs w:val="28"/>
        </w:rPr>
      </w:pPr>
      <w:r w:rsidRPr="00D55DC6">
        <w:rPr>
          <w:rFonts w:eastAsia="標楷體"/>
          <w:sz w:val="28"/>
          <w:szCs w:val="28"/>
        </w:rPr>
        <w:t>雲嘉南濱海地區為漁鹽之鄉，許多在地產業文化，如鹽業特色景觀、設施等現皆保存，惟因產業轉型外移後伴隨在地人口外移，產業文化瞬即弱化，許多設施因無使用需求而廢置，年久破損。考量觀光結合文化之旅遊亮點，將持續活化既有設施，營造產業文化特色，並引進民間資源充分推動活化效益。另外，結合雲嘉南地景特色，打造新穎幸福意象，期能新舊文創並行推動，多元創造旅遊亮點</w:t>
      </w:r>
    </w:p>
    <w:p w:rsidR="00F47623" w:rsidRPr="00D55DC6" w:rsidRDefault="00F47623" w:rsidP="004865C1">
      <w:pPr>
        <w:numPr>
          <w:ilvl w:val="0"/>
          <w:numId w:val="95"/>
        </w:numPr>
        <w:snapToGrid w:val="0"/>
        <w:spacing w:line="460" w:lineRule="exact"/>
        <w:ind w:left="851" w:hanging="425"/>
        <w:jc w:val="both"/>
        <w:rPr>
          <w:rFonts w:eastAsia="標楷體"/>
          <w:b/>
          <w:sz w:val="28"/>
          <w:szCs w:val="28"/>
        </w:rPr>
      </w:pPr>
      <w:r w:rsidRPr="00D55DC6">
        <w:rPr>
          <w:rFonts w:eastAsia="標楷體"/>
          <w:b/>
          <w:sz w:val="28"/>
          <w:szCs w:val="28"/>
        </w:rPr>
        <w:t>在地資源貧瘠，開發環境受限</w:t>
      </w:r>
    </w:p>
    <w:p w:rsidR="00F47623" w:rsidRPr="00D55DC6" w:rsidRDefault="00F47623" w:rsidP="0038165F">
      <w:pPr>
        <w:snapToGrid w:val="0"/>
        <w:spacing w:line="460" w:lineRule="exact"/>
        <w:ind w:left="851"/>
        <w:jc w:val="both"/>
        <w:rPr>
          <w:rFonts w:eastAsia="標楷體"/>
          <w:sz w:val="28"/>
          <w:szCs w:val="28"/>
        </w:rPr>
      </w:pPr>
      <w:r w:rsidRPr="00D55DC6">
        <w:rPr>
          <w:rFonts w:eastAsia="標楷體"/>
          <w:sz w:val="28"/>
          <w:szCs w:val="28"/>
        </w:rPr>
        <w:t>本風景區因社會、產業轉型因素，地方資源不斷弱化，地方民眾收入皆遠低於全國平均，連帶生活及教育品質皆呈現低落，實有賴政府機能創造突破性之產業環境，使建設效益滲透偏鄉地區。又因區內多屬地層下陷、濕地等環境敏感地區，推動觀光產業是刺激地方產業動能相對低環境影響之發展方向，惟隨著環境相關法規範遽增，可能擴大開發之限制，產生推動建設之風險，並囿於環境法令之限制，環境受限之建設作為</w:t>
      </w:r>
      <w:r w:rsidRPr="00D55DC6">
        <w:rPr>
          <w:rFonts w:eastAsia="標楷體"/>
          <w:sz w:val="28"/>
          <w:szCs w:val="28"/>
        </w:rPr>
        <w:t>(</w:t>
      </w:r>
      <w:r w:rsidRPr="00D55DC6">
        <w:rPr>
          <w:rFonts w:eastAsia="標楷體"/>
          <w:sz w:val="28"/>
          <w:szCs w:val="28"/>
        </w:rPr>
        <w:t>如用地變更、開發等</w:t>
      </w:r>
      <w:r w:rsidRPr="00D55DC6">
        <w:rPr>
          <w:rFonts w:eastAsia="標楷體"/>
          <w:sz w:val="28"/>
          <w:szCs w:val="28"/>
        </w:rPr>
        <w:t>)</w:t>
      </w:r>
      <w:r w:rsidRPr="00D55DC6">
        <w:rPr>
          <w:rFonts w:eastAsia="標楷體"/>
          <w:sz w:val="28"/>
          <w:szCs w:val="28"/>
        </w:rPr>
        <w:t>將須歷經繁雜之行政程序，甚有環境影響評估等相關過程，恐降低建設效益推動之實質效率。</w:t>
      </w:r>
    </w:p>
    <w:p w:rsidR="00F47623" w:rsidRPr="00D55DC6" w:rsidRDefault="00F47623" w:rsidP="0038165F">
      <w:pPr>
        <w:snapToGrid w:val="0"/>
        <w:spacing w:line="460" w:lineRule="exact"/>
        <w:jc w:val="both"/>
        <w:rPr>
          <w:rFonts w:eastAsia="標楷體"/>
          <w:sz w:val="28"/>
          <w:szCs w:val="28"/>
        </w:rPr>
      </w:pPr>
    </w:p>
    <w:p w:rsidR="00F47623" w:rsidRPr="00D55DC6" w:rsidRDefault="00F47623" w:rsidP="004865C1">
      <w:pPr>
        <w:numPr>
          <w:ilvl w:val="0"/>
          <w:numId w:val="100"/>
        </w:numPr>
        <w:snapToGrid w:val="0"/>
        <w:spacing w:line="460" w:lineRule="exact"/>
        <w:jc w:val="both"/>
        <w:rPr>
          <w:rFonts w:eastAsia="標楷體"/>
          <w:b/>
          <w:sz w:val="28"/>
          <w:szCs w:val="28"/>
        </w:rPr>
      </w:pPr>
      <w:r w:rsidRPr="00D55DC6">
        <w:rPr>
          <w:rFonts w:eastAsia="標楷體"/>
          <w:b/>
          <w:sz w:val="28"/>
          <w:szCs w:val="28"/>
        </w:rPr>
        <w:t>社會參與及政策溝通情形</w:t>
      </w:r>
    </w:p>
    <w:p w:rsidR="00F47623" w:rsidRPr="00D55DC6" w:rsidRDefault="00F47623" w:rsidP="004865C1">
      <w:pPr>
        <w:numPr>
          <w:ilvl w:val="0"/>
          <w:numId w:val="91"/>
        </w:numPr>
        <w:snapToGrid w:val="0"/>
        <w:spacing w:line="460" w:lineRule="exact"/>
        <w:jc w:val="both"/>
        <w:rPr>
          <w:rFonts w:eastAsia="標楷體"/>
          <w:sz w:val="28"/>
          <w:szCs w:val="28"/>
        </w:rPr>
      </w:pPr>
      <w:r w:rsidRPr="00D55DC6">
        <w:rPr>
          <w:rFonts w:eastAsia="標楷體"/>
          <w:sz w:val="28"/>
          <w:szCs w:val="28"/>
        </w:rPr>
        <w:t>引進社會資源推動建設，運用民間促進參與方式積極形塑雲嘉南濱海地區觀光資源並增進服務機能。</w:t>
      </w:r>
    </w:p>
    <w:p w:rsidR="00F47623" w:rsidRPr="00D55DC6" w:rsidRDefault="00F47623" w:rsidP="004865C1">
      <w:pPr>
        <w:numPr>
          <w:ilvl w:val="0"/>
          <w:numId w:val="91"/>
        </w:numPr>
        <w:snapToGrid w:val="0"/>
        <w:spacing w:line="460" w:lineRule="exact"/>
        <w:ind w:leftChars="177" w:left="851" w:hanging="426"/>
        <w:jc w:val="both"/>
        <w:rPr>
          <w:rFonts w:eastAsia="標楷體"/>
          <w:sz w:val="28"/>
          <w:szCs w:val="28"/>
        </w:rPr>
      </w:pPr>
      <w:r w:rsidRPr="00D55DC6">
        <w:rPr>
          <w:rFonts w:eastAsia="標楷體"/>
          <w:sz w:val="28"/>
          <w:szCs w:val="28"/>
        </w:rPr>
        <w:t>各項建設完竣後之行銷推廣與經營管理，以納入弱勢扶助及社會、環</w:t>
      </w:r>
      <w:r w:rsidRPr="00D55DC6">
        <w:rPr>
          <w:rFonts w:eastAsia="標楷體"/>
          <w:sz w:val="28"/>
          <w:szCs w:val="28"/>
        </w:rPr>
        <w:lastRenderedPageBreak/>
        <w:t>境教育之功能推動，多元化創造建設效益。</w:t>
      </w:r>
    </w:p>
    <w:p w:rsidR="00F47623" w:rsidRPr="00D55DC6" w:rsidRDefault="00F47623" w:rsidP="004865C1">
      <w:pPr>
        <w:numPr>
          <w:ilvl w:val="0"/>
          <w:numId w:val="91"/>
        </w:numPr>
        <w:snapToGrid w:val="0"/>
        <w:spacing w:line="460" w:lineRule="exact"/>
        <w:ind w:leftChars="177" w:left="851" w:hanging="426"/>
        <w:jc w:val="both"/>
        <w:rPr>
          <w:rFonts w:eastAsia="標楷體"/>
          <w:sz w:val="28"/>
          <w:szCs w:val="28"/>
        </w:rPr>
      </w:pPr>
      <w:r w:rsidRPr="00D55DC6">
        <w:rPr>
          <w:rFonts w:eastAsia="標楷體"/>
          <w:sz w:val="28"/>
          <w:szCs w:val="28"/>
        </w:rPr>
        <w:t>定期於「嘉義縣觀光發展聯繫會報」、「大臺南轄區內國家公園與國家風景區機關業務合作協調聯繫會報」與地方政府協商建設事項，協調相互協助內容，如觀光據點推廣串聯、個案權責劃分等，強化計畫執行效益。</w:t>
      </w:r>
    </w:p>
    <w:p w:rsidR="00F47623" w:rsidRPr="00D55DC6" w:rsidRDefault="00F47623" w:rsidP="004865C1">
      <w:pPr>
        <w:numPr>
          <w:ilvl w:val="0"/>
          <w:numId w:val="91"/>
        </w:numPr>
        <w:snapToGrid w:val="0"/>
        <w:spacing w:line="460" w:lineRule="exact"/>
        <w:ind w:leftChars="177" w:left="850" w:hanging="425"/>
        <w:jc w:val="both"/>
        <w:rPr>
          <w:rFonts w:eastAsia="標楷體"/>
          <w:sz w:val="28"/>
          <w:szCs w:val="28"/>
        </w:rPr>
      </w:pPr>
      <w:r w:rsidRPr="00D55DC6">
        <w:rPr>
          <w:rFonts w:eastAsia="標楷體"/>
          <w:sz w:val="28"/>
          <w:szCs w:val="28"/>
        </w:rPr>
        <w:t>推動各項建設，依法令規定進行必要之公聽會、說明會、協調會等，並積極經營社群網站、提升線上資訊服務等，確保政策溝通與宣傳順暢。</w:t>
      </w:r>
    </w:p>
    <w:p w:rsidR="00F47623" w:rsidRPr="00D55DC6" w:rsidRDefault="00F47623" w:rsidP="0038165F">
      <w:pPr>
        <w:snapToGrid w:val="0"/>
        <w:spacing w:line="460" w:lineRule="exact"/>
        <w:ind w:left="709"/>
        <w:jc w:val="both"/>
        <w:rPr>
          <w:rFonts w:eastAsia="標楷體"/>
          <w:sz w:val="28"/>
          <w:szCs w:val="28"/>
        </w:rPr>
      </w:pPr>
    </w:p>
    <w:p w:rsidR="00F47623" w:rsidRPr="00D55DC6" w:rsidRDefault="00F47623" w:rsidP="0038165F">
      <w:pPr>
        <w:numPr>
          <w:ilvl w:val="0"/>
          <w:numId w:val="1"/>
        </w:numPr>
        <w:snapToGrid w:val="0"/>
        <w:spacing w:line="460" w:lineRule="exact"/>
        <w:ind w:left="709" w:hanging="709"/>
        <w:jc w:val="both"/>
        <w:rPr>
          <w:rFonts w:eastAsia="標楷體"/>
          <w:b/>
          <w:sz w:val="28"/>
          <w:szCs w:val="28"/>
        </w:rPr>
      </w:pPr>
      <w:r w:rsidRPr="00D55DC6">
        <w:rPr>
          <w:rFonts w:eastAsia="標楷體"/>
          <w:b/>
          <w:sz w:val="28"/>
          <w:szCs w:val="28"/>
        </w:rPr>
        <w:t>計畫目標</w:t>
      </w:r>
    </w:p>
    <w:p w:rsidR="00F47623" w:rsidRPr="00D55DC6" w:rsidRDefault="00F47623" w:rsidP="004865C1">
      <w:pPr>
        <w:numPr>
          <w:ilvl w:val="0"/>
          <w:numId w:val="101"/>
        </w:numPr>
        <w:snapToGrid w:val="0"/>
        <w:spacing w:line="460" w:lineRule="exact"/>
        <w:jc w:val="both"/>
        <w:rPr>
          <w:rFonts w:eastAsia="標楷體"/>
          <w:b/>
          <w:sz w:val="28"/>
          <w:szCs w:val="28"/>
        </w:rPr>
      </w:pPr>
      <w:r w:rsidRPr="00D55DC6">
        <w:rPr>
          <w:rFonts w:eastAsia="標楷體"/>
          <w:b/>
          <w:sz w:val="28"/>
          <w:szCs w:val="28"/>
        </w:rPr>
        <w:t>目標說明</w:t>
      </w:r>
    </w:p>
    <w:p w:rsidR="00627CA4" w:rsidRPr="00D55DC6" w:rsidRDefault="00627CA4" w:rsidP="004865C1">
      <w:pPr>
        <w:numPr>
          <w:ilvl w:val="0"/>
          <w:numId w:val="93"/>
        </w:numPr>
        <w:snapToGrid w:val="0"/>
        <w:spacing w:line="460" w:lineRule="exact"/>
        <w:jc w:val="both"/>
        <w:rPr>
          <w:rFonts w:eastAsia="標楷體"/>
          <w:sz w:val="28"/>
          <w:szCs w:val="28"/>
        </w:rPr>
      </w:pPr>
      <w:r w:rsidRPr="00D55DC6">
        <w:rPr>
          <w:rFonts w:eastAsia="標楷體"/>
          <w:sz w:val="28"/>
          <w:szCs w:val="28"/>
        </w:rPr>
        <w:t>打造「白色雲嘉南」</w:t>
      </w:r>
      <w:r w:rsidRPr="00D55DC6">
        <w:rPr>
          <w:rFonts w:eastAsia="標楷體"/>
          <w:sz w:val="28"/>
          <w:szCs w:val="28"/>
        </w:rPr>
        <w:t>-</w:t>
      </w:r>
      <w:r w:rsidRPr="00D55DC6">
        <w:rPr>
          <w:rFonts w:eastAsia="標楷體"/>
          <w:sz w:val="28"/>
          <w:szCs w:val="28"/>
        </w:rPr>
        <w:t>優質旅遊服務的風景區。</w:t>
      </w:r>
    </w:p>
    <w:p w:rsidR="00627CA4" w:rsidRPr="00D55DC6" w:rsidRDefault="00627CA4" w:rsidP="004865C1">
      <w:pPr>
        <w:numPr>
          <w:ilvl w:val="0"/>
          <w:numId w:val="93"/>
        </w:numPr>
        <w:snapToGrid w:val="0"/>
        <w:spacing w:line="460" w:lineRule="exact"/>
        <w:jc w:val="both"/>
        <w:rPr>
          <w:rFonts w:eastAsia="標楷體"/>
          <w:sz w:val="28"/>
          <w:szCs w:val="28"/>
        </w:rPr>
      </w:pPr>
      <w:r w:rsidRPr="00D55DC6">
        <w:rPr>
          <w:rFonts w:eastAsia="標楷體"/>
          <w:sz w:val="28"/>
          <w:szCs w:val="28"/>
        </w:rPr>
        <w:t>推動風景區內國際觀光重要景點、國內觀光重要景點建設，結合地方產業，提供優質環境。</w:t>
      </w:r>
    </w:p>
    <w:p w:rsidR="00627CA4" w:rsidRPr="00D55DC6" w:rsidRDefault="00627CA4" w:rsidP="004865C1">
      <w:pPr>
        <w:numPr>
          <w:ilvl w:val="0"/>
          <w:numId w:val="93"/>
        </w:numPr>
        <w:snapToGrid w:val="0"/>
        <w:spacing w:line="460" w:lineRule="exact"/>
        <w:jc w:val="both"/>
        <w:rPr>
          <w:rFonts w:eastAsia="標楷體"/>
          <w:sz w:val="28"/>
          <w:szCs w:val="28"/>
        </w:rPr>
      </w:pPr>
      <w:r w:rsidRPr="00D55DC6">
        <w:rPr>
          <w:rFonts w:eastAsia="標楷體"/>
          <w:kern w:val="0"/>
          <w:sz w:val="28"/>
          <w:szCs w:val="28"/>
        </w:rPr>
        <w:t>重要觀光景點建設，</w:t>
      </w:r>
      <w:r w:rsidRPr="00D55DC6">
        <w:rPr>
          <w:rFonts w:eastAsia="標楷體"/>
          <w:kern w:val="0"/>
          <w:sz w:val="28"/>
          <w:szCs w:val="28"/>
        </w:rPr>
        <w:t>105</w:t>
      </w:r>
      <w:r w:rsidRPr="00D55DC6">
        <w:rPr>
          <w:rFonts w:eastAsia="標楷體"/>
          <w:kern w:val="0"/>
          <w:sz w:val="28"/>
          <w:szCs w:val="28"/>
        </w:rPr>
        <w:t>至</w:t>
      </w:r>
      <w:r w:rsidRPr="00D55DC6">
        <w:rPr>
          <w:rFonts w:eastAsia="標楷體"/>
          <w:kern w:val="0"/>
          <w:sz w:val="28"/>
          <w:szCs w:val="28"/>
        </w:rPr>
        <w:t>108</w:t>
      </w:r>
      <w:r w:rsidRPr="00D55DC6">
        <w:rPr>
          <w:rFonts w:eastAsia="標楷體"/>
          <w:kern w:val="0"/>
          <w:sz w:val="28"/>
          <w:szCs w:val="28"/>
        </w:rPr>
        <w:t>年每年完成</w:t>
      </w:r>
      <w:r w:rsidRPr="00D55DC6">
        <w:rPr>
          <w:rFonts w:eastAsia="標楷體"/>
          <w:kern w:val="0"/>
          <w:sz w:val="28"/>
          <w:szCs w:val="28"/>
        </w:rPr>
        <w:t>3</w:t>
      </w:r>
      <w:r w:rsidRPr="00D55DC6">
        <w:rPr>
          <w:rFonts w:eastAsia="標楷體"/>
          <w:kern w:val="0"/>
          <w:sz w:val="28"/>
          <w:szCs w:val="28"/>
        </w:rPr>
        <w:t>處，計</w:t>
      </w:r>
      <w:r w:rsidRPr="00D55DC6">
        <w:rPr>
          <w:rFonts w:eastAsia="標楷體"/>
          <w:kern w:val="0"/>
          <w:sz w:val="28"/>
          <w:szCs w:val="28"/>
        </w:rPr>
        <w:t>12</w:t>
      </w:r>
      <w:r w:rsidRPr="00D55DC6">
        <w:rPr>
          <w:rFonts w:eastAsia="標楷體"/>
          <w:kern w:val="0"/>
          <w:sz w:val="28"/>
          <w:szCs w:val="28"/>
        </w:rPr>
        <w:t>處。</w:t>
      </w:r>
    </w:p>
    <w:p w:rsidR="00627CA4" w:rsidRPr="00D55DC6" w:rsidRDefault="00627CA4" w:rsidP="004865C1">
      <w:pPr>
        <w:numPr>
          <w:ilvl w:val="0"/>
          <w:numId w:val="93"/>
        </w:numPr>
        <w:snapToGrid w:val="0"/>
        <w:spacing w:line="460" w:lineRule="exact"/>
        <w:jc w:val="both"/>
        <w:rPr>
          <w:rFonts w:eastAsia="標楷體"/>
          <w:sz w:val="28"/>
          <w:szCs w:val="28"/>
        </w:rPr>
      </w:pPr>
      <w:r w:rsidRPr="00D55DC6">
        <w:rPr>
          <w:rFonts w:eastAsia="標楷體"/>
          <w:sz w:val="28"/>
          <w:szCs w:val="28"/>
        </w:rPr>
        <w:t>遊客人數由</w:t>
      </w:r>
      <w:r w:rsidRPr="00D55DC6">
        <w:rPr>
          <w:rFonts w:eastAsia="標楷體"/>
          <w:sz w:val="28"/>
          <w:szCs w:val="28"/>
        </w:rPr>
        <w:t>105</w:t>
      </w:r>
      <w:r w:rsidRPr="00D55DC6">
        <w:rPr>
          <w:rFonts w:eastAsia="標楷體"/>
          <w:sz w:val="28"/>
          <w:szCs w:val="28"/>
        </w:rPr>
        <w:t>年</w:t>
      </w:r>
      <w:r w:rsidRPr="00D55DC6">
        <w:rPr>
          <w:rFonts w:eastAsia="標楷體"/>
          <w:sz w:val="28"/>
          <w:szCs w:val="28"/>
        </w:rPr>
        <w:t>400</w:t>
      </w:r>
      <w:r w:rsidRPr="00D55DC6">
        <w:rPr>
          <w:rFonts w:eastAsia="標楷體"/>
          <w:sz w:val="28"/>
          <w:szCs w:val="28"/>
        </w:rPr>
        <w:t>萬人次提升至</w:t>
      </w:r>
      <w:r w:rsidRPr="00D55DC6">
        <w:rPr>
          <w:rFonts w:eastAsia="標楷體"/>
          <w:sz w:val="28"/>
          <w:szCs w:val="28"/>
        </w:rPr>
        <w:t>108</w:t>
      </w:r>
      <w:r w:rsidRPr="00D55DC6">
        <w:rPr>
          <w:rFonts w:eastAsia="標楷體"/>
          <w:sz w:val="28"/>
          <w:szCs w:val="28"/>
        </w:rPr>
        <w:t>年</w:t>
      </w:r>
      <w:r w:rsidRPr="00D55DC6">
        <w:rPr>
          <w:rFonts w:eastAsia="標楷體"/>
          <w:sz w:val="28"/>
          <w:szCs w:val="28"/>
        </w:rPr>
        <w:t>420</w:t>
      </w:r>
      <w:r w:rsidRPr="00D55DC6">
        <w:rPr>
          <w:rFonts w:eastAsia="標楷體"/>
          <w:sz w:val="28"/>
          <w:szCs w:val="28"/>
        </w:rPr>
        <w:t>萬人次。</w:t>
      </w:r>
    </w:p>
    <w:p w:rsidR="00627CA4" w:rsidRPr="00D55DC6" w:rsidRDefault="00627CA4" w:rsidP="004865C1">
      <w:pPr>
        <w:numPr>
          <w:ilvl w:val="0"/>
          <w:numId w:val="93"/>
        </w:numPr>
        <w:snapToGrid w:val="0"/>
        <w:spacing w:line="460" w:lineRule="exact"/>
        <w:jc w:val="both"/>
        <w:rPr>
          <w:rFonts w:eastAsia="標楷體"/>
          <w:sz w:val="28"/>
          <w:szCs w:val="28"/>
        </w:rPr>
      </w:pPr>
      <w:r w:rsidRPr="00D55DC6">
        <w:rPr>
          <w:rFonts w:eastAsia="標楷體"/>
          <w:kern w:val="0"/>
          <w:sz w:val="28"/>
          <w:szCs w:val="28"/>
        </w:rPr>
        <w:t>觀光產值</w:t>
      </w:r>
      <w:r w:rsidRPr="00D55DC6">
        <w:rPr>
          <w:rFonts w:eastAsia="標楷體"/>
          <w:sz w:val="28"/>
          <w:szCs w:val="28"/>
        </w:rPr>
        <w:t>由</w:t>
      </w:r>
      <w:r w:rsidRPr="00D55DC6">
        <w:rPr>
          <w:rFonts w:eastAsia="標楷體"/>
          <w:sz w:val="28"/>
          <w:szCs w:val="28"/>
        </w:rPr>
        <w:t>105</w:t>
      </w:r>
      <w:r w:rsidRPr="00D55DC6">
        <w:rPr>
          <w:rFonts w:eastAsia="標楷體"/>
          <w:sz w:val="28"/>
          <w:szCs w:val="28"/>
        </w:rPr>
        <w:t>年</w:t>
      </w:r>
      <w:r w:rsidRPr="00D55DC6">
        <w:rPr>
          <w:rFonts w:eastAsia="標楷體"/>
          <w:sz w:val="28"/>
          <w:szCs w:val="28"/>
        </w:rPr>
        <w:t>56.54</w:t>
      </w:r>
      <w:r w:rsidRPr="00D55DC6">
        <w:rPr>
          <w:rFonts w:eastAsia="標楷體"/>
          <w:sz w:val="28"/>
          <w:szCs w:val="28"/>
        </w:rPr>
        <w:t>億元提升至</w:t>
      </w:r>
      <w:r w:rsidRPr="00D55DC6">
        <w:rPr>
          <w:rFonts w:eastAsia="標楷體"/>
          <w:sz w:val="28"/>
          <w:szCs w:val="28"/>
        </w:rPr>
        <w:t>108</w:t>
      </w:r>
      <w:r w:rsidRPr="00D55DC6">
        <w:rPr>
          <w:rFonts w:eastAsia="標楷體"/>
          <w:sz w:val="28"/>
          <w:szCs w:val="28"/>
        </w:rPr>
        <w:t>年</w:t>
      </w:r>
      <w:r w:rsidRPr="00D55DC6">
        <w:rPr>
          <w:rFonts w:eastAsia="標楷體"/>
          <w:sz w:val="28"/>
          <w:szCs w:val="28"/>
        </w:rPr>
        <w:t>66.22</w:t>
      </w:r>
      <w:r w:rsidRPr="00D55DC6">
        <w:rPr>
          <w:rFonts w:eastAsia="標楷體"/>
          <w:sz w:val="28"/>
          <w:szCs w:val="28"/>
        </w:rPr>
        <w:t>億元。</w:t>
      </w:r>
    </w:p>
    <w:p w:rsidR="00627CA4" w:rsidRPr="00D55DC6" w:rsidRDefault="00627CA4" w:rsidP="004865C1">
      <w:pPr>
        <w:numPr>
          <w:ilvl w:val="0"/>
          <w:numId w:val="93"/>
        </w:numPr>
        <w:snapToGrid w:val="0"/>
        <w:spacing w:line="460" w:lineRule="exact"/>
        <w:jc w:val="both"/>
        <w:rPr>
          <w:rFonts w:eastAsia="標楷體"/>
          <w:sz w:val="28"/>
          <w:szCs w:val="28"/>
        </w:rPr>
      </w:pPr>
      <w:r w:rsidRPr="00D55DC6">
        <w:rPr>
          <w:rFonts w:eastAsia="標楷體"/>
          <w:kern w:val="0"/>
          <w:sz w:val="28"/>
          <w:szCs w:val="28"/>
        </w:rPr>
        <w:t>性別友善設施，</w:t>
      </w:r>
      <w:r w:rsidRPr="00D55DC6">
        <w:rPr>
          <w:rFonts w:eastAsia="標楷體"/>
          <w:kern w:val="0"/>
          <w:sz w:val="28"/>
          <w:szCs w:val="28"/>
        </w:rPr>
        <w:t>105</w:t>
      </w:r>
      <w:r w:rsidRPr="00D55DC6">
        <w:rPr>
          <w:rFonts w:eastAsia="標楷體"/>
          <w:kern w:val="0"/>
          <w:sz w:val="28"/>
          <w:szCs w:val="28"/>
        </w:rPr>
        <w:t>至</w:t>
      </w:r>
      <w:r w:rsidRPr="00D55DC6">
        <w:rPr>
          <w:rFonts w:eastAsia="標楷體"/>
          <w:kern w:val="0"/>
          <w:sz w:val="28"/>
          <w:szCs w:val="28"/>
        </w:rPr>
        <w:t>108</w:t>
      </w:r>
      <w:r w:rsidRPr="00D55DC6">
        <w:rPr>
          <w:rFonts w:eastAsia="標楷體"/>
          <w:kern w:val="0"/>
          <w:sz w:val="28"/>
          <w:szCs w:val="28"/>
        </w:rPr>
        <w:t>年每年完成</w:t>
      </w:r>
      <w:r w:rsidRPr="00D55DC6">
        <w:rPr>
          <w:rFonts w:eastAsia="標楷體"/>
          <w:kern w:val="0"/>
          <w:sz w:val="28"/>
          <w:szCs w:val="28"/>
        </w:rPr>
        <w:t>1</w:t>
      </w:r>
      <w:r w:rsidRPr="00D55DC6">
        <w:rPr>
          <w:rFonts w:eastAsia="標楷體"/>
          <w:kern w:val="0"/>
          <w:sz w:val="28"/>
          <w:szCs w:val="28"/>
        </w:rPr>
        <w:t>處，計</w:t>
      </w:r>
      <w:r w:rsidRPr="00D55DC6">
        <w:rPr>
          <w:rFonts w:eastAsia="標楷體"/>
          <w:kern w:val="0"/>
          <w:sz w:val="28"/>
          <w:szCs w:val="28"/>
        </w:rPr>
        <w:t>4</w:t>
      </w:r>
      <w:r w:rsidRPr="00D55DC6">
        <w:rPr>
          <w:rFonts w:eastAsia="標楷體"/>
          <w:kern w:val="0"/>
          <w:sz w:val="28"/>
          <w:szCs w:val="28"/>
        </w:rPr>
        <w:t>處。</w:t>
      </w:r>
    </w:p>
    <w:p w:rsidR="00627CA4" w:rsidRPr="00D55DC6" w:rsidRDefault="00627CA4" w:rsidP="004865C1">
      <w:pPr>
        <w:numPr>
          <w:ilvl w:val="0"/>
          <w:numId w:val="93"/>
        </w:numPr>
        <w:snapToGrid w:val="0"/>
        <w:spacing w:line="460" w:lineRule="exact"/>
        <w:jc w:val="both"/>
        <w:rPr>
          <w:rFonts w:eastAsia="標楷體"/>
          <w:sz w:val="28"/>
          <w:szCs w:val="28"/>
        </w:rPr>
      </w:pPr>
      <w:r w:rsidRPr="00D55DC6">
        <w:rPr>
          <w:rFonts w:eastAsia="標楷體"/>
          <w:kern w:val="0"/>
          <w:sz w:val="28"/>
          <w:szCs w:val="28"/>
        </w:rPr>
        <w:t>轄區經管設施公共意外責任險</w:t>
      </w:r>
      <w:r w:rsidR="005C51C2" w:rsidRPr="00D55DC6">
        <w:rPr>
          <w:rFonts w:eastAsia="標楷體" w:hint="eastAsia"/>
          <w:kern w:val="0"/>
          <w:sz w:val="28"/>
          <w:szCs w:val="28"/>
        </w:rPr>
        <w:t>確定</w:t>
      </w:r>
      <w:r w:rsidRPr="00D55DC6">
        <w:rPr>
          <w:rFonts w:eastAsia="標楷體"/>
          <w:kern w:val="0"/>
          <w:sz w:val="28"/>
          <w:szCs w:val="28"/>
        </w:rPr>
        <w:t>理賠件數，</w:t>
      </w:r>
      <w:r w:rsidRPr="00D55DC6">
        <w:rPr>
          <w:rFonts w:eastAsia="標楷體"/>
          <w:kern w:val="0"/>
          <w:sz w:val="28"/>
          <w:szCs w:val="28"/>
        </w:rPr>
        <w:t>105</w:t>
      </w:r>
      <w:r w:rsidRPr="00D55DC6">
        <w:rPr>
          <w:rFonts w:eastAsia="標楷體"/>
          <w:kern w:val="0"/>
          <w:sz w:val="28"/>
          <w:szCs w:val="28"/>
        </w:rPr>
        <w:t>年</w:t>
      </w:r>
      <w:r w:rsidR="002C14D1" w:rsidRPr="00D55DC6">
        <w:rPr>
          <w:rFonts w:eastAsia="標楷體" w:hint="eastAsia"/>
          <w:sz w:val="28"/>
          <w:szCs w:val="28"/>
        </w:rPr>
        <w:t>每年</w:t>
      </w:r>
      <w:r w:rsidR="002C14D1" w:rsidRPr="00D55DC6">
        <w:rPr>
          <w:rFonts w:eastAsia="標楷體" w:hint="eastAsia"/>
          <w:sz w:val="28"/>
          <w:szCs w:val="28"/>
        </w:rPr>
        <w:t>2</w:t>
      </w:r>
      <w:r w:rsidRPr="00D55DC6">
        <w:rPr>
          <w:rFonts w:eastAsia="標楷體"/>
          <w:sz w:val="28"/>
          <w:szCs w:val="28"/>
        </w:rPr>
        <w:t>件</w:t>
      </w:r>
      <w:r w:rsidR="002C14D1" w:rsidRPr="00D55DC6">
        <w:rPr>
          <w:rFonts w:eastAsia="標楷體" w:hint="eastAsia"/>
          <w:sz w:val="28"/>
          <w:szCs w:val="28"/>
        </w:rPr>
        <w:t>以下</w:t>
      </w:r>
      <w:r w:rsidR="002F5D4E" w:rsidRPr="00D55DC6">
        <w:rPr>
          <w:rFonts w:eastAsia="標楷體" w:hint="eastAsia"/>
          <w:sz w:val="28"/>
          <w:szCs w:val="28"/>
        </w:rPr>
        <w:t>至</w:t>
      </w:r>
      <w:r w:rsidR="002F5D4E" w:rsidRPr="00D55DC6">
        <w:rPr>
          <w:rFonts w:eastAsia="標楷體" w:hint="eastAsia"/>
          <w:sz w:val="28"/>
          <w:szCs w:val="28"/>
        </w:rPr>
        <w:t>108</w:t>
      </w:r>
      <w:r w:rsidR="002F5D4E" w:rsidRPr="00D55DC6">
        <w:rPr>
          <w:rFonts w:eastAsia="標楷體" w:hint="eastAsia"/>
          <w:sz w:val="28"/>
          <w:szCs w:val="28"/>
        </w:rPr>
        <w:t>年</w:t>
      </w:r>
      <w:r w:rsidR="002F5D4E" w:rsidRPr="00D55DC6">
        <w:rPr>
          <w:rFonts w:eastAsia="標楷體" w:hint="eastAsia"/>
          <w:sz w:val="28"/>
          <w:szCs w:val="28"/>
        </w:rPr>
        <w:t>1</w:t>
      </w:r>
      <w:r w:rsidR="002F5D4E" w:rsidRPr="00D55DC6">
        <w:rPr>
          <w:rFonts w:eastAsia="標楷體" w:hint="eastAsia"/>
          <w:sz w:val="28"/>
          <w:szCs w:val="28"/>
        </w:rPr>
        <w:t>件以下</w:t>
      </w:r>
      <w:r w:rsidRPr="00D55DC6">
        <w:rPr>
          <w:rFonts w:eastAsia="標楷體"/>
          <w:sz w:val="28"/>
          <w:szCs w:val="28"/>
        </w:rPr>
        <w:t>為目標。</w:t>
      </w:r>
    </w:p>
    <w:p w:rsidR="00627CA4" w:rsidRPr="00D55DC6" w:rsidRDefault="00627CA4" w:rsidP="00627CA4">
      <w:pPr>
        <w:snapToGrid w:val="0"/>
        <w:spacing w:line="460" w:lineRule="exact"/>
        <w:ind w:left="787"/>
        <w:jc w:val="both"/>
        <w:rPr>
          <w:rFonts w:eastAsia="標楷體"/>
          <w:sz w:val="28"/>
          <w:szCs w:val="28"/>
        </w:rPr>
      </w:pPr>
    </w:p>
    <w:p w:rsidR="00F47623" w:rsidRPr="00D55DC6" w:rsidRDefault="00F47623" w:rsidP="004865C1">
      <w:pPr>
        <w:numPr>
          <w:ilvl w:val="0"/>
          <w:numId w:val="101"/>
        </w:numPr>
        <w:snapToGrid w:val="0"/>
        <w:spacing w:line="460" w:lineRule="exact"/>
        <w:jc w:val="both"/>
        <w:rPr>
          <w:rFonts w:eastAsia="標楷體"/>
          <w:b/>
          <w:sz w:val="28"/>
          <w:szCs w:val="28"/>
        </w:rPr>
      </w:pPr>
      <w:r w:rsidRPr="00D55DC6">
        <w:rPr>
          <w:rFonts w:eastAsia="標楷體"/>
          <w:b/>
          <w:sz w:val="28"/>
          <w:szCs w:val="28"/>
        </w:rPr>
        <w:t>達成目標之限制</w:t>
      </w:r>
    </w:p>
    <w:p w:rsidR="00F47623" w:rsidRPr="00D55DC6" w:rsidRDefault="00F47623" w:rsidP="004865C1">
      <w:pPr>
        <w:numPr>
          <w:ilvl w:val="0"/>
          <w:numId w:val="92"/>
        </w:numPr>
        <w:snapToGrid w:val="0"/>
        <w:spacing w:line="460" w:lineRule="exact"/>
        <w:jc w:val="both"/>
        <w:rPr>
          <w:rFonts w:eastAsia="標楷體"/>
          <w:sz w:val="28"/>
          <w:szCs w:val="28"/>
        </w:rPr>
      </w:pPr>
      <w:r w:rsidRPr="00D55DC6">
        <w:rPr>
          <w:rFonts w:eastAsia="標楷體"/>
          <w:sz w:val="28"/>
          <w:szCs w:val="28"/>
        </w:rPr>
        <w:t>地理區位偏遠，旅遊往來時間較長，影響遊客到訪意願，且氣候條件係有酷暑、強風等因素，綠美化植栽培植不易，增加建設施作之影響。</w:t>
      </w:r>
    </w:p>
    <w:p w:rsidR="00F47623" w:rsidRPr="00D55DC6" w:rsidRDefault="00F47623" w:rsidP="004865C1">
      <w:pPr>
        <w:numPr>
          <w:ilvl w:val="0"/>
          <w:numId w:val="92"/>
        </w:numPr>
        <w:snapToGrid w:val="0"/>
        <w:spacing w:line="460" w:lineRule="exact"/>
        <w:jc w:val="both"/>
        <w:rPr>
          <w:rFonts w:eastAsia="標楷體"/>
          <w:sz w:val="28"/>
          <w:szCs w:val="28"/>
        </w:rPr>
      </w:pPr>
      <w:r w:rsidRPr="00D55DC6">
        <w:rPr>
          <w:rFonts w:eastAsia="標楷體"/>
          <w:sz w:val="28"/>
          <w:szCs w:val="28"/>
        </w:rPr>
        <w:t>當地集居的漁村或聚落多呈現人數較少的規模，許多基本生活服務設施相對缺乏，現有旅遊服務設施缺乏更為稀缺，且在地服務人力稀少，在地旅遊服務人力素質尚須提升。</w:t>
      </w:r>
    </w:p>
    <w:p w:rsidR="00F47623" w:rsidRPr="00D55DC6" w:rsidRDefault="00F47623" w:rsidP="004865C1">
      <w:pPr>
        <w:numPr>
          <w:ilvl w:val="0"/>
          <w:numId w:val="92"/>
        </w:numPr>
        <w:snapToGrid w:val="0"/>
        <w:spacing w:line="460" w:lineRule="exact"/>
        <w:jc w:val="both"/>
        <w:rPr>
          <w:rFonts w:eastAsia="標楷體"/>
          <w:sz w:val="28"/>
          <w:szCs w:val="28"/>
        </w:rPr>
      </w:pPr>
      <w:r w:rsidRPr="00D55DC6">
        <w:rPr>
          <w:rFonts w:eastAsia="標楷體"/>
          <w:sz w:val="28"/>
          <w:szCs w:val="28"/>
        </w:rPr>
        <w:t>本風景區多屬地層下陷、濕地等環境敏感地區，隨著環境相關法規範遽增，可能擴大開發之限制，產生推動建設之風險，或需歷經繁雜之行政程序，降低建設之實質效率，並阻絕觀光建設擴散效益。</w:t>
      </w:r>
    </w:p>
    <w:p w:rsidR="00F47623" w:rsidRPr="00D55DC6" w:rsidRDefault="00F47623" w:rsidP="004865C1">
      <w:pPr>
        <w:numPr>
          <w:ilvl w:val="0"/>
          <w:numId w:val="101"/>
        </w:numPr>
        <w:snapToGrid w:val="0"/>
        <w:spacing w:line="460" w:lineRule="exact"/>
        <w:jc w:val="both"/>
        <w:rPr>
          <w:rFonts w:eastAsia="標楷體"/>
          <w:b/>
          <w:sz w:val="28"/>
          <w:szCs w:val="28"/>
        </w:rPr>
      </w:pPr>
      <w:r w:rsidRPr="00D55DC6">
        <w:rPr>
          <w:rFonts w:eastAsia="標楷體"/>
          <w:b/>
          <w:sz w:val="28"/>
          <w:szCs w:val="28"/>
        </w:rPr>
        <w:lastRenderedPageBreak/>
        <w:t>績效指標、衡量標準及目標值</w:t>
      </w:r>
    </w:p>
    <w:tbl>
      <w:tblPr>
        <w:tblW w:w="8788"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5"/>
        <w:gridCol w:w="2410"/>
        <w:gridCol w:w="1007"/>
        <w:gridCol w:w="977"/>
        <w:gridCol w:w="992"/>
        <w:gridCol w:w="993"/>
        <w:gridCol w:w="992"/>
        <w:gridCol w:w="992"/>
      </w:tblGrid>
      <w:tr w:rsidR="001D0350" w:rsidRPr="00D55DC6" w:rsidTr="00F47623">
        <w:trPr>
          <w:trHeight w:val="345"/>
          <w:tblHeader/>
        </w:trPr>
        <w:tc>
          <w:tcPr>
            <w:tcW w:w="425" w:type="dxa"/>
            <w:vMerge w:val="restart"/>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項目</w:t>
            </w:r>
          </w:p>
        </w:tc>
        <w:tc>
          <w:tcPr>
            <w:tcW w:w="2410" w:type="dxa"/>
            <w:vMerge w:val="restart"/>
            <w:vAlign w:val="center"/>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衡量指標</w:t>
            </w:r>
          </w:p>
        </w:tc>
        <w:tc>
          <w:tcPr>
            <w:tcW w:w="1984" w:type="dxa"/>
            <w:gridSpan w:val="2"/>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衡量基準</w:t>
            </w:r>
          </w:p>
        </w:tc>
        <w:tc>
          <w:tcPr>
            <w:tcW w:w="3969" w:type="dxa"/>
            <w:gridSpan w:val="4"/>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預期目標值</w:t>
            </w:r>
          </w:p>
        </w:tc>
      </w:tr>
      <w:tr w:rsidR="001D0350" w:rsidRPr="00D55DC6" w:rsidTr="00F47623">
        <w:trPr>
          <w:trHeight w:val="345"/>
          <w:tblHeader/>
        </w:trPr>
        <w:tc>
          <w:tcPr>
            <w:tcW w:w="425" w:type="dxa"/>
            <w:vMerge/>
          </w:tcPr>
          <w:p w:rsidR="00F47623" w:rsidRPr="00D55DC6" w:rsidRDefault="00F47623" w:rsidP="0038165F">
            <w:pPr>
              <w:widowControl/>
              <w:spacing w:line="460" w:lineRule="exact"/>
              <w:jc w:val="center"/>
              <w:rPr>
                <w:rFonts w:eastAsia="標楷體"/>
                <w:kern w:val="0"/>
                <w:sz w:val="28"/>
                <w:szCs w:val="28"/>
              </w:rPr>
            </w:pPr>
          </w:p>
        </w:tc>
        <w:tc>
          <w:tcPr>
            <w:tcW w:w="2410" w:type="dxa"/>
            <w:vMerge/>
            <w:vAlign w:val="center"/>
          </w:tcPr>
          <w:p w:rsidR="00F47623" w:rsidRPr="00D55DC6" w:rsidRDefault="00F47623" w:rsidP="0038165F">
            <w:pPr>
              <w:widowControl/>
              <w:spacing w:line="460" w:lineRule="exact"/>
              <w:rPr>
                <w:rFonts w:eastAsia="標楷體"/>
                <w:kern w:val="0"/>
                <w:sz w:val="28"/>
                <w:szCs w:val="28"/>
              </w:rPr>
            </w:pPr>
          </w:p>
        </w:tc>
        <w:tc>
          <w:tcPr>
            <w:tcW w:w="1007" w:type="dxa"/>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102</w:t>
            </w:r>
            <w:r w:rsidRPr="00D55DC6">
              <w:rPr>
                <w:rFonts w:eastAsia="標楷體"/>
                <w:kern w:val="0"/>
                <w:sz w:val="28"/>
                <w:szCs w:val="28"/>
              </w:rPr>
              <w:t>年</w:t>
            </w:r>
          </w:p>
        </w:tc>
        <w:tc>
          <w:tcPr>
            <w:tcW w:w="977" w:type="dxa"/>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103</w:t>
            </w:r>
            <w:r w:rsidRPr="00D55DC6">
              <w:rPr>
                <w:rFonts w:eastAsia="標楷體"/>
                <w:kern w:val="0"/>
                <w:sz w:val="28"/>
                <w:szCs w:val="28"/>
              </w:rPr>
              <w:t>年</w:t>
            </w:r>
          </w:p>
        </w:tc>
        <w:tc>
          <w:tcPr>
            <w:tcW w:w="992" w:type="dxa"/>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105</w:t>
            </w:r>
            <w:r w:rsidRPr="00D55DC6">
              <w:rPr>
                <w:rFonts w:eastAsia="標楷體"/>
                <w:kern w:val="0"/>
                <w:sz w:val="28"/>
                <w:szCs w:val="28"/>
              </w:rPr>
              <w:t>年</w:t>
            </w:r>
          </w:p>
        </w:tc>
        <w:tc>
          <w:tcPr>
            <w:tcW w:w="993" w:type="dxa"/>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106</w:t>
            </w:r>
            <w:r w:rsidRPr="00D55DC6">
              <w:rPr>
                <w:rFonts w:eastAsia="標楷體"/>
                <w:kern w:val="0"/>
                <w:sz w:val="28"/>
                <w:szCs w:val="28"/>
              </w:rPr>
              <w:t>年</w:t>
            </w:r>
          </w:p>
        </w:tc>
        <w:tc>
          <w:tcPr>
            <w:tcW w:w="992" w:type="dxa"/>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107</w:t>
            </w:r>
            <w:r w:rsidRPr="00D55DC6">
              <w:rPr>
                <w:rFonts w:eastAsia="標楷體"/>
                <w:kern w:val="0"/>
                <w:sz w:val="28"/>
                <w:szCs w:val="28"/>
              </w:rPr>
              <w:t>年</w:t>
            </w:r>
          </w:p>
        </w:tc>
        <w:tc>
          <w:tcPr>
            <w:tcW w:w="992" w:type="dxa"/>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108</w:t>
            </w:r>
            <w:r w:rsidRPr="00D55DC6">
              <w:rPr>
                <w:rFonts w:eastAsia="標楷體"/>
                <w:kern w:val="0"/>
                <w:sz w:val="28"/>
                <w:szCs w:val="28"/>
              </w:rPr>
              <w:t>年</w:t>
            </w:r>
          </w:p>
        </w:tc>
      </w:tr>
      <w:tr w:rsidR="001D0350" w:rsidRPr="00D55DC6" w:rsidTr="00F47623">
        <w:trPr>
          <w:trHeight w:val="675"/>
        </w:trPr>
        <w:tc>
          <w:tcPr>
            <w:tcW w:w="425" w:type="dxa"/>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1</w:t>
            </w:r>
          </w:p>
        </w:tc>
        <w:tc>
          <w:tcPr>
            <w:tcW w:w="2410" w:type="dxa"/>
          </w:tcPr>
          <w:p w:rsidR="00F47623" w:rsidRPr="00D55DC6" w:rsidRDefault="00F47623" w:rsidP="0038165F">
            <w:pPr>
              <w:widowControl/>
              <w:spacing w:line="460" w:lineRule="exact"/>
              <w:jc w:val="both"/>
              <w:rPr>
                <w:rFonts w:eastAsia="標楷體"/>
                <w:kern w:val="0"/>
                <w:sz w:val="28"/>
                <w:szCs w:val="28"/>
              </w:rPr>
            </w:pPr>
            <w:r w:rsidRPr="00D55DC6">
              <w:rPr>
                <w:rFonts w:eastAsia="標楷體"/>
                <w:kern w:val="0"/>
                <w:sz w:val="28"/>
                <w:szCs w:val="28"/>
              </w:rPr>
              <w:t>重要觀光景點建設完成數</w:t>
            </w:r>
            <w:r w:rsidRPr="00D55DC6">
              <w:rPr>
                <w:rFonts w:eastAsia="標楷體"/>
                <w:kern w:val="0"/>
                <w:sz w:val="28"/>
                <w:szCs w:val="28"/>
              </w:rPr>
              <w:t>(</w:t>
            </w:r>
            <w:r w:rsidRPr="00D55DC6">
              <w:rPr>
                <w:rFonts w:eastAsia="標楷體"/>
                <w:kern w:val="0"/>
                <w:sz w:val="28"/>
                <w:szCs w:val="28"/>
              </w:rPr>
              <w:t>處</w:t>
            </w:r>
            <w:r w:rsidRPr="00D55DC6">
              <w:rPr>
                <w:rFonts w:eastAsia="標楷體"/>
                <w:kern w:val="0"/>
                <w:sz w:val="28"/>
                <w:szCs w:val="28"/>
              </w:rPr>
              <w:t>)</w:t>
            </w:r>
          </w:p>
        </w:tc>
        <w:tc>
          <w:tcPr>
            <w:tcW w:w="1007" w:type="dxa"/>
            <w:vAlign w:val="center"/>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3</w:t>
            </w:r>
          </w:p>
        </w:tc>
        <w:tc>
          <w:tcPr>
            <w:tcW w:w="977" w:type="dxa"/>
            <w:vAlign w:val="center"/>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3</w:t>
            </w:r>
          </w:p>
        </w:tc>
        <w:tc>
          <w:tcPr>
            <w:tcW w:w="992" w:type="dxa"/>
            <w:vAlign w:val="center"/>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3</w:t>
            </w:r>
          </w:p>
        </w:tc>
        <w:tc>
          <w:tcPr>
            <w:tcW w:w="993" w:type="dxa"/>
            <w:vAlign w:val="center"/>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3</w:t>
            </w:r>
          </w:p>
        </w:tc>
        <w:tc>
          <w:tcPr>
            <w:tcW w:w="992" w:type="dxa"/>
            <w:vAlign w:val="center"/>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3</w:t>
            </w:r>
          </w:p>
        </w:tc>
        <w:tc>
          <w:tcPr>
            <w:tcW w:w="992" w:type="dxa"/>
            <w:vAlign w:val="center"/>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3</w:t>
            </w:r>
          </w:p>
        </w:tc>
      </w:tr>
      <w:tr w:rsidR="001D0350" w:rsidRPr="00D55DC6" w:rsidTr="00F47623">
        <w:trPr>
          <w:trHeight w:val="675"/>
        </w:trPr>
        <w:tc>
          <w:tcPr>
            <w:tcW w:w="425" w:type="dxa"/>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2</w:t>
            </w:r>
          </w:p>
        </w:tc>
        <w:tc>
          <w:tcPr>
            <w:tcW w:w="2410" w:type="dxa"/>
          </w:tcPr>
          <w:p w:rsidR="00F47623" w:rsidRPr="00D55DC6" w:rsidRDefault="00F47623" w:rsidP="0038165F">
            <w:pPr>
              <w:widowControl/>
              <w:spacing w:line="460" w:lineRule="exact"/>
              <w:jc w:val="both"/>
              <w:rPr>
                <w:rFonts w:eastAsia="標楷體"/>
                <w:kern w:val="0"/>
                <w:sz w:val="28"/>
                <w:szCs w:val="28"/>
              </w:rPr>
            </w:pPr>
            <w:r w:rsidRPr="00D55DC6">
              <w:rPr>
                <w:rFonts w:eastAsia="標楷體"/>
                <w:kern w:val="0"/>
                <w:sz w:val="28"/>
                <w:szCs w:val="28"/>
              </w:rPr>
              <w:t>參訪國家風景區遊客人數</w:t>
            </w:r>
            <w:r w:rsidRPr="00D55DC6">
              <w:rPr>
                <w:rFonts w:eastAsia="標楷體"/>
                <w:kern w:val="0"/>
                <w:sz w:val="28"/>
                <w:szCs w:val="28"/>
              </w:rPr>
              <w:t>(</w:t>
            </w:r>
            <w:r w:rsidRPr="00D55DC6">
              <w:rPr>
                <w:rFonts w:eastAsia="標楷體"/>
                <w:kern w:val="0"/>
                <w:sz w:val="28"/>
                <w:szCs w:val="28"/>
              </w:rPr>
              <w:t>萬人</w:t>
            </w:r>
            <w:r w:rsidRPr="00D55DC6">
              <w:rPr>
                <w:rFonts w:eastAsia="標楷體"/>
                <w:kern w:val="0"/>
                <w:sz w:val="28"/>
                <w:szCs w:val="28"/>
              </w:rPr>
              <w:t>)</w:t>
            </w:r>
            <w:r w:rsidRPr="00D55DC6">
              <w:rPr>
                <w:rFonts w:eastAsia="標楷體"/>
                <w:kern w:val="0"/>
                <w:sz w:val="18"/>
                <w:szCs w:val="18"/>
              </w:rPr>
              <w:t>註</w:t>
            </w:r>
            <w:r w:rsidRPr="00D55DC6">
              <w:rPr>
                <w:rFonts w:eastAsia="標楷體"/>
                <w:kern w:val="0"/>
                <w:sz w:val="18"/>
                <w:szCs w:val="18"/>
              </w:rPr>
              <w:t>1</w:t>
            </w:r>
            <w:r w:rsidRPr="00D55DC6">
              <w:rPr>
                <w:rFonts w:eastAsia="標楷體"/>
                <w:kern w:val="0"/>
                <w:sz w:val="18"/>
                <w:szCs w:val="18"/>
              </w:rPr>
              <w:t>、</w:t>
            </w:r>
            <w:r w:rsidRPr="00D55DC6">
              <w:rPr>
                <w:rFonts w:eastAsia="標楷體"/>
                <w:kern w:val="0"/>
                <w:sz w:val="18"/>
                <w:szCs w:val="18"/>
              </w:rPr>
              <w:t xml:space="preserve">2 </w:t>
            </w:r>
          </w:p>
        </w:tc>
        <w:tc>
          <w:tcPr>
            <w:tcW w:w="1007" w:type="dxa"/>
            <w:vAlign w:val="center"/>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395</w:t>
            </w:r>
          </w:p>
        </w:tc>
        <w:tc>
          <w:tcPr>
            <w:tcW w:w="977" w:type="dxa"/>
            <w:vAlign w:val="center"/>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388</w:t>
            </w:r>
          </w:p>
        </w:tc>
        <w:tc>
          <w:tcPr>
            <w:tcW w:w="992" w:type="dxa"/>
            <w:vAlign w:val="center"/>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400</w:t>
            </w:r>
          </w:p>
        </w:tc>
        <w:tc>
          <w:tcPr>
            <w:tcW w:w="993" w:type="dxa"/>
            <w:vAlign w:val="center"/>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406</w:t>
            </w:r>
          </w:p>
        </w:tc>
        <w:tc>
          <w:tcPr>
            <w:tcW w:w="992" w:type="dxa"/>
            <w:vAlign w:val="center"/>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413</w:t>
            </w:r>
          </w:p>
        </w:tc>
        <w:tc>
          <w:tcPr>
            <w:tcW w:w="992" w:type="dxa"/>
            <w:vAlign w:val="center"/>
          </w:tcPr>
          <w:p w:rsidR="00F47623" w:rsidRPr="00D55DC6" w:rsidRDefault="00F47623" w:rsidP="0038165F">
            <w:pPr>
              <w:widowControl/>
              <w:spacing w:line="460" w:lineRule="exact"/>
              <w:jc w:val="center"/>
              <w:rPr>
                <w:rFonts w:eastAsia="標楷體"/>
                <w:kern w:val="0"/>
                <w:sz w:val="28"/>
                <w:szCs w:val="28"/>
              </w:rPr>
            </w:pPr>
            <w:r w:rsidRPr="00D55DC6">
              <w:rPr>
                <w:rFonts w:eastAsia="標楷體"/>
                <w:kern w:val="0"/>
                <w:sz w:val="28"/>
                <w:szCs w:val="28"/>
              </w:rPr>
              <w:t>420</w:t>
            </w:r>
          </w:p>
        </w:tc>
      </w:tr>
      <w:tr w:rsidR="001D0350" w:rsidRPr="00D55DC6" w:rsidTr="00F47623">
        <w:trPr>
          <w:trHeight w:val="51"/>
        </w:trPr>
        <w:tc>
          <w:tcPr>
            <w:tcW w:w="425" w:type="dxa"/>
          </w:tcPr>
          <w:p w:rsidR="00627CA4" w:rsidRPr="00D55DC6" w:rsidRDefault="00627CA4" w:rsidP="0029434B">
            <w:pPr>
              <w:widowControl/>
              <w:spacing w:line="460" w:lineRule="exact"/>
              <w:jc w:val="center"/>
              <w:rPr>
                <w:rFonts w:eastAsia="標楷體"/>
                <w:kern w:val="0"/>
                <w:sz w:val="28"/>
                <w:szCs w:val="28"/>
              </w:rPr>
            </w:pPr>
            <w:r w:rsidRPr="00D55DC6">
              <w:rPr>
                <w:rFonts w:eastAsia="標楷體"/>
                <w:kern w:val="0"/>
                <w:sz w:val="28"/>
                <w:szCs w:val="28"/>
              </w:rPr>
              <w:t>3</w:t>
            </w:r>
          </w:p>
        </w:tc>
        <w:tc>
          <w:tcPr>
            <w:tcW w:w="2410" w:type="dxa"/>
          </w:tcPr>
          <w:p w:rsidR="00627CA4" w:rsidRPr="00D55DC6" w:rsidRDefault="00627CA4" w:rsidP="0029434B">
            <w:pPr>
              <w:widowControl/>
              <w:spacing w:line="460" w:lineRule="exact"/>
              <w:jc w:val="both"/>
              <w:rPr>
                <w:rFonts w:eastAsia="標楷體"/>
                <w:kern w:val="0"/>
                <w:sz w:val="28"/>
                <w:szCs w:val="28"/>
              </w:rPr>
            </w:pPr>
            <w:r w:rsidRPr="00D55DC6">
              <w:rPr>
                <w:rFonts w:eastAsia="標楷體"/>
                <w:kern w:val="0"/>
                <w:sz w:val="28"/>
                <w:szCs w:val="28"/>
              </w:rPr>
              <w:t>觀光產值</w:t>
            </w:r>
            <w:r w:rsidRPr="00D55DC6">
              <w:rPr>
                <w:rFonts w:eastAsia="標楷體"/>
                <w:kern w:val="0"/>
                <w:sz w:val="28"/>
                <w:szCs w:val="28"/>
              </w:rPr>
              <w:t>(</w:t>
            </w:r>
            <w:r w:rsidRPr="00D55DC6">
              <w:rPr>
                <w:rFonts w:eastAsia="標楷體"/>
                <w:kern w:val="0"/>
                <w:sz w:val="28"/>
                <w:szCs w:val="28"/>
              </w:rPr>
              <w:t>億元</w:t>
            </w:r>
            <w:r w:rsidRPr="00D55DC6">
              <w:rPr>
                <w:rFonts w:eastAsia="標楷體"/>
                <w:kern w:val="0"/>
                <w:sz w:val="28"/>
                <w:szCs w:val="28"/>
              </w:rPr>
              <w:t>)</w:t>
            </w:r>
            <w:r w:rsidRPr="00D55DC6">
              <w:rPr>
                <w:rFonts w:eastAsia="標楷體"/>
                <w:kern w:val="0"/>
                <w:sz w:val="18"/>
                <w:szCs w:val="18"/>
              </w:rPr>
              <w:t>註</w:t>
            </w:r>
            <w:r w:rsidRPr="00D55DC6">
              <w:rPr>
                <w:rFonts w:eastAsia="標楷體"/>
                <w:kern w:val="0"/>
                <w:sz w:val="18"/>
                <w:szCs w:val="18"/>
              </w:rPr>
              <w:t>3</w:t>
            </w:r>
          </w:p>
        </w:tc>
        <w:tc>
          <w:tcPr>
            <w:tcW w:w="1007" w:type="dxa"/>
            <w:vAlign w:val="center"/>
          </w:tcPr>
          <w:p w:rsidR="00627CA4" w:rsidRPr="00D55DC6" w:rsidRDefault="00627CA4" w:rsidP="0029434B">
            <w:pPr>
              <w:widowControl/>
              <w:spacing w:line="460" w:lineRule="exact"/>
              <w:jc w:val="center"/>
              <w:rPr>
                <w:rFonts w:eastAsia="標楷體"/>
                <w:kern w:val="0"/>
                <w:sz w:val="28"/>
                <w:szCs w:val="28"/>
              </w:rPr>
            </w:pPr>
            <w:r w:rsidRPr="00D55DC6">
              <w:rPr>
                <w:rFonts w:eastAsia="標楷體"/>
                <w:kern w:val="0"/>
                <w:sz w:val="28"/>
                <w:szCs w:val="28"/>
              </w:rPr>
              <w:t>48.48</w:t>
            </w:r>
          </w:p>
        </w:tc>
        <w:tc>
          <w:tcPr>
            <w:tcW w:w="977" w:type="dxa"/>
            <w:vAlign w:val="center"/>
          </w:tcPr>
          <w:p w:rsidR="00627CA4" w:rsidRPr="00D55DC6" w:rsidRDefault="00627CA4" w:rsidP="0029434B">
            <w:pPr>
              <w:widowControl/>
              <w:spacing w:line="460" w:lineRule="exact"/>
              <w:jc w:val="center"/>
              <w:rPr>
                <w:rFonts w:eastAsia="標楷體"/>
                <w:kern w:val="0"/>
                <w:sz w:val="28"/>
                <w:szCs w:val="28"/>
              </w:rPr>
            </w:pPr>
            <w:r w:rsidRPr="00D55DC6">
              <w:rPr>
                <w:rFonts w:eastAsia="標楷體"/>
                <w:kern w:val="0"/>
                <w:sz w:val="28"/>
                <w:szCs w:val="28"/>
              </w:rPr>
              <w:t>47.62</w:t>
            </w:r>
          </w:p>
        </w:tc>
        <w:tc>
          <w:tcPr>
            <w:tcW w:w="992" w:type="dxa"/>
            <w:vAlign w:val="center"/>
          </w:tcPr>
          <w:p w:rsidR="00627CA4" w:rsidRPr="00D55DC6" w:rsidRDefault="00627CA4" w:rsidP="0029434B">
            <w:pPr>
              <w:widowControl/>
              <w:spacing w:line="460" w:lineRule="exact"/>
              <w:jc w:val="center"/>
              <w:rPr>
                <w:rFonts w:eastAsia="標楷體"/>
                <w:kern w:val="0"/>
                <w:sz w:val="28"/>
                <w:szCs w:val="28"/>
              </w:rPr>
            </w:pPr>
            <w:r w:rsidRPr="00D55DC6">
              <w:rPr>
                <w:rFonts w:eastAsia="標楷體"/>
                <w:kern w:val="0"/>
                <w:sz w:val="28"/>
                <w:szCs w:val="28"/>
              </w:rPr>
              <w:t>56.54</w:t>
            </w:r>
          </w:p>
        </w:tc>
        <w:tc>
          <w:tcPr>
            <w:tcW w:w="993" w:type="dxa"/>
            <w:vAlign w:val="center"/>
          </w:tcPr>
          <w:p w:rsidR="00627CA4" w:rsidRPr="00D55DC6" w:rsidRDefault="00627CA4" w:rsidP="0029434B">
            <w:pPr>
              <w:widowControl/>
              <w:spacing w:line="460" w:lineRule="exact"/>
              <w:jc w:val="center"/>
              <w:rPr>
                <w:rFonts w:eastAsia="標楷體"/>
                <w:kern w:val="0"/>
                <w:sz w:val="28"/>
                <w:szCs w:val="28"/>
              </w:rPr>
            </w:pPr>
            <w:r w:rsidRPr="00D55DC6">
              <w:rPr>
                <w:rFonts w:eastAsia="標楷體"/>
                <w:kern w:val="0"/>
                <w:sz w:val="28"/>
                <w:szCs w:val="28"/>
              </w:rPr>
              <w:t>59.66</w:t>
            </w:r>
          </w:p>
        </w:tc>
        <w:tc>
          <w:tcPr>
            <w:tcW w:w="992" w:type="dxa"/>
            <w:vAlign w:val="center"/>
          </w:tcPr>
          <w:p w:rsidR="00627CA4" w:rsidRPr="00D55DC6" w:rsidRDefault="00627CA4" w:rsidP="0029434B">
            <w:pPr>
              <w:widowControl/>
              <w:spacing w:line="460" w:lineRule="exact"/>
              <w:jc w:val="center"/>
              <w:rPr>
                <w:rFonts w:eastAsia="標楷體"/>
                <w:kern w:val="0"/>
                <w:sz w:val="28"/>
                <w:szCs w:val="28"/>
              </w:rPr>
            </w:pPr>
            <w:r w:rsidRPr="00D55DC6">
              <w:rPr>
                <w:rFonts w:eastAsia="標楷體"/>
                <w:kern w:val="0"/>
                <w:sz w:val="28"/>
                <w:szCs w:val="28"/>
              </w:rPr>
              <w:t>62.92</w:t>
            </w:r>
          </w:p>
        </w:tc>
        <w:tc>
          <w:tcPr>
            <w:tcW w:w="992" w:type="dxa"/>
            <w:vAlign w:val="center"/>
          </w:tcPr>
          <w:p w:rsidR="00627CA4" w:rsidRPr="00D55DC6" w:rsidRDefault="00627CA4" w:rsidP="0029434B">
            <w:pPr>
              <w:spacing w:line="460" w:lineRule="exact"/>
              <w:jc w:val="center"/>
              <w:rPr>
                <w:rFonts w:eastAsia="標楷體"/>
                <w:kern w:val="0"/>
                <w:sz w:val="28"/>
                <w:szCs w:val="28"/>
              </w:rPr>
            </w:pPr>
            <w:r w:rsidRPr="00D55DC6">
              <w:rPr>
                <w:rFonts w:eastAsia="標楷體"/>
                <w:kern w:val="0"/>
                <w:sz w:val="28"/>
                <w:szCs w:val="28"/>
              </w:rPr>
              <w:t>66.22</w:t>
            </w:r>
          </w:p>
        </w:tc>
      </w:tr>
      <w:tr w:rsidR="001D0350" w:rsidRPr="00D55DC6" w:rsidTr="00E852D0">
        <w:trPr>
          <w:trHeight w:val="51"/>
        </w:trPr>
        <w:tc>
          <w:tcPr>
            <w:tcW w:w="425" w:type="dxa"/>
          </w:tcPr>
          <w:p w:rsidR="00E6747C" w:rsidRPr="00D55DC6" w:rsidRDefault="00E6747C" w:rsidP="0038165F">
            <w:pPr>
              <w:widowControl/>
              <w:spacing w:line="460" w:lineRule="exact"/>
              <w:jc w:val="center"/>
              <w:rPr>
                <w:rFonts w:eastAsia="標楷體"/>
                <w:kern w:val="0"/>
                <w:sz w:val="28"/>
                <w:szCs w:val="28"/>
              </w:rPr>
            </w:pPr>
            <w:r w:rsidRPr="00D55DC6">
              <w:rPr>
                <w:rFonts w:eastAsia="標楷體"/>
                <w:kern w:val="0"/>
                <w:sz w:val="28"/>
                <w:szCs w:val="28"/>
              </w:rPr>
              <w:t>4</w:t>
            </w:r>
          </w:p>
        </w:tc>
        <w:tc>
          <w:tcPr>
            <w:tcW w:w="2410" w:type="dxa"/>
          </w:tcPr>
          <w:p w:rsidR="00E6747C" w:rsidRPr="00D55DC6" w:rsidRDefault="00E6747C" w:rsidP="0038165F">
            <w:pPr>
              <w:widowControl/>
              <w:spacing w:line="460" w:lineRule="exact"/>
              <w:jc w:val="both"/>
              <w:rPr>
                <w:rFonts w:eastAsia="標楷體"/>
                <w:kern w:val="0"/>
                <w:sz w:val="28"/>
                <w:szCs w:val="28"/>
              </w:rPr>
            </w:pPr>
            <w:r w:rsidRPr="00D55DC6">
              <w:rPr>
                <w:rFonts w:eastAsia="標楷體"/>
                <w:kern w:val="0"/>
                <w:sz w:val="28"/>
                <w:szCs w:val="28"/>
              </w:rPr>
              <w:t>性別友善設施完成數</w:t>
            </w:r>
            <w:r w:rsidRPr="00D55DC6">
              <w:rPr>
                <w:rFonts w:eastAsia="標楷體"/>
                <w:kern w:val="0"/>
                <w:sz w:val="28"/>
                <w:szCs w:val="28"/>
              </w:rPr>
              <w:t>(</w:t>
            </w:r>
            <w:r w:rsidRPr="00D55DC6">
              <w:rPr>
                <w:rFonts w:eastAsia="標楷體"/>
                <w:kern w:val="0"/>
                <w:sz w:val="28"/>
                <w:szCs w:val="28"/>
              </w:rPr>
              <w:t>處</w:t>
            </w:r>
            <w:r w:rsidRPr="00D55DC6">
              <w:rPr>
                <w:rFonts w:eastAsia="標楷體"/>
                <w:kern w:val="0"/>
                <w:sz w:val="28"/>
                <w:szCs w:val="28"/>
              </w:rPr>
              <w:t>)</w:t>
            </w:r>
          </w:p>
        </w:tc>
        <w:tc>
          <w:tcPr>
            <w:tcW w:w="1007" w:type="dxa"/>
            <w:vAlign w:val="center"/>
          </w:tcPr>
          <w:p w:rsidR="00E6747C" w:rsidRPr="00D55DC6" w:rsidRDefault="00E852D0" w:rsidP="0038165F">
            <w:pPr>
              <w:widowControl/>
              <w:spacing w:line="460" w:lineRule="exact"/>
              <w:jc w:val="center"/>
              <w:rPr>
                <w:rFonts w:eastAsia="標楷體"/>
                <w:kern w:val="0"/>
                <w:sz w:val="28"/>
                <w:szCs w:val="28"/>
              </w:rPr>
            </w:pPr>
            <w:r w:rsidRPr="00D55DC6">
              <w:rPr>
                <w:rFonts w:eastAsia="標楷體"/>
                <w:kern w:val="0"/>
                <w:sz w:val="28"/>
                <w:szCs w:val="28"/>
              </w:rPr>
              <w:t>0</w:t>
            </w:r>
          </w:p>
        </w:tc>
        <w:tc>
          <w:tcPr>
            <w:tcW w:w="977" w:type="dxa"/>
            <w:vAlign w:val="center"/>
          </w:tcPr>
          <w:p w:rsidR="00E6747C" w:rsidRPr="00D55DC6" w:rsidRDefault="00E852D0" w:rsidP="0038165F">
            <w:pPr>
              <w:widowControl/>
              <w:spacing w:line="460" w:lineRule="exact"/>
              <w:jc w:val="center"/>
              <w:rPr>
                <w:rFonts w:eastAsia="標楷體"/>
                <w:kern w:val="0"/>
                <w:sz w:val="28"/>
                <w:szCs w:val="28"/>
              </w:rPr>
            </w:pPr>
            <w:r w:rsidRPr="00D55DC6">
              <w:rPr>
                <w:rFonts w:eastAsia="標楷體"/>
                <w:kern w:val="0"/>
                <w:sz w:val="28"/>
                <w:szCs w:val="28"/>
              </w:rPr>
              <w:t>0</w:t>
            </w:r>
          </w:p>
        </w:tc>
        <w:tc>
          <w:tcPr>
            <w:tcW w:w="992" w:type="dxa"/>
            <w:vAlign w:val="center"/>
          </w:tcPr>
          <w:p w:rsidR="00E6747C" w:rsidRPr="00D55DC6" w:rsidRDefault="00E852D0" w:rsidP="0038165F">
            <w:pPr>
              <w:widowControl/>
              <w:spacing w:line="460" w:lineRule="exact"/>
              <w:jc w:val="center"/>
              <w:rPr>
                <w:rFonts w:eastAsia="標楷體"/>
                <w:kern w:val="0"/>
                <w:sz w:val="28"/>
                <w:szCs w:val="28"/>
              </w:rPr>
            </w:pPr>
            <w:r w:rsidRPr="00D55DC6">
              <w:rPr>
                <w:rFonts w:eastAsia="標楷體"/>
                <w:kern w:val="0"/>
                <w:sz w:val="28"/>
                <w:szCs w:val="28"/>
              </w:rPr>
              <w:t>1</w:t>
            </w:r>
          </w:p>
        </w:tc>
        <w:tc>
          <w:tcPr>
            <w:tcW w:w="993" w:type="dxa"/>
            <w:vAlign w:val="center"/>
          </w:tcPr>
          <w:p w:rsidR="00E6747C" w:rsidRPr="00D55DC6" w:rsidRDefault="00E852D0" w:rsidP="0038165F">
            <w:pPr>
              <w:widowControl/>
              <w:spacing w:line="460" w:lineRule="exact"/>
              <w:jc w:val="center"/>
              <w:rPr>
                <w:rFonts w:eastAsia="標楷體"/>
                <w:kern w:val="0"/>
                <w:sz w:val="28"/>
                <w:szCs w:val="28"/>
              </w:rPr>
            </w:pPr>
            <w:r w:rsidRPr="00D55DC6">
              <w:rPr>
                <w:rFonts w:eastAsia="標楷體"/>
                <w:kern w:val="0"/>
                <w:sz w:val="28"/>
                <w:szCs w:val="28"/>
              </w:rPr>
              <w:t>1</w:t>
            </w:r>
          </w:p>
        </w:tc>
        <w:tc>
          <w:tcPr>
            <w:tcW w:w="992" w:type="dxa"/>
            <w:vAlign w:val="center"/>
          </w:tcPr>
          <w:p w:rsidR="00E6747C" w:rsidRPr="00D55DC6" w:rsidRDefault="00E852D0" w:rsidP="0038165F">
            <w:pPr>
              <w:widowControl/>
              <w:spacing w:line="460" w:lineRule="exact"/>
              <w:jc w:val="center"/>
              <w:rPr>
                <w:rFonts w:eastAsia="標楷體"/>
                <w:kern w:val="0"/>
                <w:sz w:val="28"/>
                <w:szCs w:val="28"/>
              </w:rPr>
            </w:pPr>
            <w:r w:rsidRPr="00D55DC6">
              <w:rPr>
                <w:rFonts w:eastAsia="標楷體"/>
                <w:kern w:val="0"/>
                <w:sz w:val="28"/>
                <w:szCs w:val="28"/>
              </w:rPr>
              <w:t>1</w:t>
            </w:r>
          </w:p>
        </w:tc>
        <w:tc>
          <w:tcPr>
            <w:tcW w:w="992" w:type="dxa"/>
            <w:vAlign w:val="center"/>
          </w:tcPr>
          <w:p w:rsidR="00E6747C" w:rsidRPr="00D55DC6" w:rsidRDefault="00E852D0" w:rsidP="00E852D0">
            <w:pPr>
              <w:spacing w:line="460" w:lineRule="exact"/>
              <w:jc w:val="center"/>
              <w:rPr>
                <w:rFonts w:eastAsia="標楷體"/>
                <w:kern w:val="0"/>
                <w:sz w:val="28"/>
                <w:szCs w:val="28"/>
              </w:rPr>
            </w:pPr>
            <w:r w:rsidRPr="00D55DC6">
              <w:rPr>
                <w:rFonts w:eastAsia="標楷體"/>
                <w:kern w:val="0"/>
                <w:sz w:val="28"/>
                <w:szCs w:val="28"/>
              </w:rPr>
              <w:t>1</w:t>
            </w:r>
          </w:p>
        </w:tc>
      </w:tr>
      <w:tr w:rsidR="001D0350" w:rsidRPr="00D55DC6" w:rsidTr="0029434B">
        <w:trPr>
          <w:trHeight w:val="51"/>
        </w:trPr>
        <w:tc>
          <w:tcPr>
            <w:tcW w:w="425" w:type="dxa"/>
          </w:tcPr>
          <w:p w:rsidR="00627CA4" w:rsidRPr="00D55DC6" w:rsidRDefault="00627CA4" w:rsidP="0029434B">
            <w:pPr>
              <w:widowControl/>
              <w:spacing w:line="460" w:lineRule="exact"/>
              <w:jc w:val="center"/>
              <w:rPr>
                <w:rFonts w:eastAsia="標楷體"/>
                <w:kern w:val="0"/>
                <w:sz w:val="28"/>
                <w:szCs w:val="28"/>
              </w:rPr>
            </w:pPr>
            <w:r w:rsidRPr="00D55DC6">
              <w:rPr>
                <w:rFonts w:eastAsia="標楷體"/>
                <w:kern w:val="0"/>
                <w:sz w:val="28"/>
                <w:szCs w:val="28"/>
              </w:rPr>
              <w:t>5</w:t>
            </w:r>
          </w:p>
        </w:tc>
        <w:tc>
          <w:tcPr>
            <w:tcW w:w="2410" w:type="dxa"/>
          </w:tcPr>
          <w:p w:rsidR="00627CA4" w:rsidRPr="00D55DC6" w:rsidRDefault="002F5D4E" w:rsidP="007E2055">
            <w:pPr>
              <w:widowControl/>
              <w:spacing w:line="460" w:lineRule="exact"/>
              <w:jc w:val="both"/>
              <w:rPr>
                <w:rFonts w:eastAsia="標楷體"/>
                <w:kern w:val="0"/>
                <w:sz w:val="28"/>
                <w:szCs w:val="28"/>
              </w:rPr>
            </w:pPr>
            <w:r w:rsidRPr="00D55DC6">
              <w:rPr>
                <w:rFonts w:eastAsia="標楷體" w:hint="eastAsia"/>
                <w:kern w:val="0"/>
                <w:sz w:val="28"/>
                <w:szCs w:val="28"/>
              </w:rPr>
              <w:t>轄區經管設施公共意外責任險確</w:t>
            </w:r>
            <w:r w:rsidR="005C51C2" w:rsidRPr="00D55DC6">
              <w:rPr>
                <w:rFonts w:eastAsia="標楷體" w:hint="eastAsia"/>
                <w:kern w:val="0"/>
                <w:sz w:val="28"/>
                <w:szCs w:val="28"/>
              </w:rPr>
              <w:t>定</w:t>
            </w:r>
            <w:r w:rsidRPr="00D55DC6">
              <w:rPr>
                <w:rFonts w:eastAsia="標楷體" w:hint="eastAsia"/>
                <w:kern w:val="0"/>
                <w:sz w:val="28"/>
                <w:szCs w:val="28"/>
              </w:rPr>
              <w:t>理賠件數上限</w:t>
            </w:r>
            <w:r w:rsidR="007E2055" w:rsidRPr="00D55DC6">
              <w:rPr>
                <w:rFonts w:eastAsia="標楷體" w:hint="eastAsia"/>
                <w:kern w:val="0"/>
                <w:sz w:val="28"/>
                <w:szCs w:val="28"/>
              </w:rPr>
              <w:t>（件）</w:t>
            </w:r>
            <w:r w:rsidR="00627CA4" w:rsidRPr="00D55DC6">
              <w:rPr>
                <w:rFonts w:eastAsia="標楷體"/>
                <w:kern w:val="0"/>
                <w:sz w:val="18"/>
                <w:szCs w:val="18"/>
              </w:rPr>
              <w:t>註</w:t>
            </w:r>
            <w:r w:rsidR="00627CA4" w:rsidRPr="00D55DC6">
              <w:rPr>
                <w:rFonts w:eastAsia="標楷體"/>
                <w:kern w:val="0"/>
                <w:sz w:val="18"/>
                <w:szCs w:val="18"/>
              </w:rPr>
              <w:t>4</w:t>
            </w:r>
          </w:p>
        </w:tc>
        <w:tc>
          <w:tcPr>
            <w:tcW w:w="1007" w:type="dxa"/>
            <w:vAlign w:val="center"/>
          </w:tcPr>
          <w:p w:rsidR="00627CA4" w:rsidRPr="00D55DC6" w:rsidRDefault="002F5D4E" w:rsidP="0029434B">
            <w:pPr>
              <w:widowControl/>
              <w:spacing w:line="460" w:lineRule="exact"/>
              <w:jc w:val="center"/>
              <w:rPr>
                <w:rFonts w:eastAsia="標楷體"/>
                <w:kern w:val="0"/>
                <w:sz w:val="28"/>
                <w:szCs w:val="28"/>
              </w:rPr>
            </w:pPr>
            <w:r w:rsidRPr="00D55DC6">
              <w:rPr>
                <w:rFonts w:eastAsia="標楷體" w:hint="eastAsia"/>
                <w:kern w:val="0"/>
                <w:sz w:val="28"/>
                <w:szCs w:val="28"/>
              </w:rPr>
              <w:t>-</w:t>
            </w:r>
          </w:p>
        </w:tc>
        <w:tc>
          <w:tcPr>
            <w:tcW w:w="977" w:type="dxa"/>
            <w:vAlign w:val="center"/>
          </w:tcPr>
          <w:p w:rsidR="00627CA4" w:rsidRPr="00D55DC6" w:rsidRDefault="002F5D4E" w:rsidP="0029434B">
            <w:pPr>
              <w:widowControl/>
              <w:spacing w:line="460" w:lineRule="exact"/>
              <w:jc w:val="center"/>
              <w:rPr>
                <w:rFonts w:eastAsia="標楷體"/>
                <w:kern w:val="0"/>
                <w:sz w:val="28"/>
                <w:szCs w:val="28"/>
              </w:rPr>
            </w:pPr>
            <w:r w:rsidRPr="00D55DC6">
              <w:rPr>
                <w:rFonts w:eastAsia="標楷體" w:hint="eastAsia"/>
                <w:kern w:val="0"/>
                <w:sz w:val="28"/>
                <w:szCs w:val="28"/>
              </w:rPr>
              <w:t>-</w:t>
            </w:r>
          </w:p>
        </w:tc>
        <w:tc>
          <w:tcPr>
            <w:tcW w:w="992" w:type="dxa"/>
            <w:vAlign w:val="center"/>
          </w:tcPr>
          <w:p w:rsidR="00627CA4" w:rsidRPr="00D55DC6" w:rsidRDefault="002C14D1" w:rsidP="0029434B">
            <w:pPr>
              <w:widowControl/>
              <w:spacing w:line="460" w:lineRule="exact"/>
              <w:jc w:val="center"/>
              <w:rPr>
                <w:rFonts w:eastAsia="標楷體"/>
                <w:kern w:val="0"/>
                <w:sz w:val="28"/>
                <w:szCs w:val="28"/>
              </w:rPr>
            </w:pPr>
            <w:r w:rsidRPr="00D55DC6">
              <w:rPr>
                <w:rFonts w:eastAsia="標楷體" w:hint="eastAsia"/>
                <w:kern w:val="0"/>
                <w:sz w:val="28"/>
                <w:szCs w:val="28"/>
              </w:rPr>
              <w:t>2</w:t>
            </w:r>
          </w:p>
        </w:tc>
        <w:tc>
          <w:tcPr>
            <w:tcW w:w="993" w:type="dxa"/>
            <w:vAlign w:val="center"/>
          </w:tcPr>
          <w:p w:rsidR="00627CA4" w:rsidRPr="00D55DC6" w:rsidRDefault="002C14D1" w:rsidP="0029434B">
            <w:pPr>
              <w:widowControl/>
              <w:spacing w:line="460" w:lineRule="exact"/>
              <w:jc w:val="center"/>
              <w:rPr>
                <w:rFonts w:eastAsia="標楷體"/>
                <w:kern w:val="0"/>
                <w:sz w:val="28"/>
                <w:szCs w:val="28"/>
              </w:rPr>
            </w:pPr>
            <w:r w:rsidRPr="00D55DC6">
              <w:rPr>
                <w:rFonts w:eastAsia="標楷體" w:hint="eastAsia"/>
                <w:kern w:val="0"/>
                <w:sz w:val="28"/>
                <w:szCs w:val="28"/>
              </w:rPr>
              <w:t>2</w:t>
            </w:r>
          </w:p>
        </w:tc>
        <w:tc>
          <w:tcPr>
            <w:tcW w:w="992" w:type="dxa"/>
            <w:vAlign w:val="center"/>
          </w:tcPr>
          <w:p w:rsidR="00627CA4" w:rsidRPr="00D55DC6" w:rsidRDefault="002C14D1" w:rsidP="0029434B">
            <w:pPr>
              <w:widowControl/>
              <w:spacing w:line="460" w:lineRule="exact"/>
              <w:jc w:val="center"/>
              <w:rPr>
                <w:rFonts w:eastAsia="標楷體"/>
                <w:kern w:val="0"/>
                <w:sz w:val="28"/>
                <w:szCs w:val="28"/>
              </w:rPr>
            </w:pPr>
            <w:r w:rsidRPr="00D55DC6">
              <w:rPr>
                <w:rFonts w:eastAsia="標楷體" w:hint="eastAsia"/>
                <w:kern w:val="0"/>
                <w:sz w:val="28"/>
                <w:szCs w:val="28"/>
              </w:rPr>
              <w:t>2</w:t>
            </w:r>
          </w:p>
        </w:tc>
        <w:tc>
          <w:tcPr>
            <w:tcW w:w="992" w:type="dxa"/>
            <w:vAlign w:val="center"/>
          </w:tcPr>
          <w:p w:rsidR="00627CA4" w:rsidRPr="00D55DC6" w:rsidRDefault="002F5D4E" w:rsidP="0029434B">
            <w:pPr>
              <w:spacing w:line="460" w:lineRule="exact"/>
              <w:jc w:val="center"/>
              <w:rPr>
                <w:rFonts w:eastAsia="標楷體"/>
                <w:kern w:val="0"/>
                <w:sz w:val="28"/>
                <w:szCs w:val="28"/>
              </w:rPr>
            </w:pPr>
            <w:r w:rsidRPr="00D55DC6">
              <w:rPr>
                <w:rFonts w:eastAsia="標楷體" w:hint="eastAsia"/>
                <w:kern w:val="0"/>
                <w:sz w:val="28"/>
                <w:szCs w:val="28"/>
              </w:rPr>
              <w:t>1</w:t>
            </w:r>
          </w:p>
        </w:tc>
      </w:tr>
    </w:tbl>
    <w:p w:rsidR="00627CA4" w:rsidRPr="00D55DC6" w:rsidRDefault="00627CA4" w:rsidP="00627CA4">
      <w:pPr>
        <w:snapToGrid w:val="0"/>
        <w:spacing w:line="0" w:lineRule="atLeast"/>
        <w:ind w:leftChars="296" w:left="1568" w:hangingChars="390" w:hanging="858"/>
        <w:jc w:val="both"/>
        <w:rPr>
          <w:rFonts w:eastAsia="標楷體"/>
          <w:sz w:val="22"/>
          <w:szCs w:val="22"/>
        </w:rPr>
      </w:pPr>
      <w:r w:rsidRPr="00D55DC6">
        <w:rPr>
          <w:rFonts w:eastAsia="標楷體"/>
          <w:sz w:val="22"/>
          <w:szCs w:val="22"/>
        </w:rPr>
        <w:t>備註</w:t>
      </w:r>
      <w:r w:rsidRPr="00D55DC6">
        <w:rPr>
          <w:rFonts w:eastAsia="標楷體"/>
          <w:sz w:val="22"/>
          <w:szCs w:val="22"/>
        </w:rPr>
        <w:t>:</w:t>
      </w:r>
    </w:p>
    <w:p w:rsidR="00627CA4" w:rsidRPr="00D55DC6" w:rsidRDefault="00627CA4" w:rsidP="00627CA4">
      <w:pPr>
        <w:snapToGrid w:val="0"/>
        <w:spacing w:line="0" w:lineRule="atLeast"/>
        <w:ind w:leftChars="296" w:left="1568" w:hangingChars="390" w:hanging="858"/>
        <w:jc w:val="both"/>
        <w:rPr>
          <w:rFonts w:eastAsia="標楷體"/>
          <w:sz w:val="22"/>
          <w:szCs w:val="22"/>
        </w:rPr>
      </w:pPr>
      <w:r w:rsidRPr="00D55DC6">
        <w:rPr>
          <w:rFonts w:eastAsia="標楷體"/>
          <w:sz w:val="22"/>
          <w:szCs w:val="22"/>
        </w:rPr>
        <w:t>1.</w:t>
      </w:r>
      <w:r w:rsidRPr="00D55DC6">
        <w:rPr>
          <w:rFonts w:eastAsia="標楷體"/>
          <w:sz w:val="22"/>
          <w:szCs w:val="22"/>
        </w:rPr>
        <w:t>依據交通部觀光局「國家風景區遊客調查報告」資料推估。</w:t>
      </w:r>
    </w:p>
    <w:p w:rsidR="00627CA4" w:rsidRPr="00D55DC6" w:rsidRDefault="00627CA4" w:rsidP="00627CA4">
      <w:pPr>
        <w:snapToGrid w:val="0"/>
        <w:spacing w:line="0" w:lineRule="atLeast"/>
        <w:ind w:leftChars="296" w:left="932" w:hangingChars="101" w:hanging="222"/>
        <w:jc w:val="both"/>
        <w:rPr>
          <w:rFonts w:eastAsia="標楷體"/>
          <w:sz w:val="22"/>
          <w:szCs w:val="22"/>
        </w:rPr>
      </w:pPr>
      <w:r w:rsidRPr="00D55DC6">
        <w:rPr>
          <w:rFonts w:eastAsia="標楷體"/>
          <w:sz w:val="22"/>
          <w:szCs w:val="22"/>
        </w:rPr>
        <w:t>2.</w:t>
      </w:r>
      <w:r w:rsidRPr="00D55DC6">
        <w:rPr>
          <w:rFonts w:eastAsia="標楷體"/>
          <w:kern w:val="0"/>
          <w:sz w:val="22"/>
          <w:szCs w:val="22"/>
        </w:rPr>
        <w:t>遊客人數</w:t>
      </w:r>
      <w:r w:rsidRPr="00D55DC6">
        <w:rPr>
          <w:rFonts w:eastAsia="標楷體"/>
          <w:sz w:val="22"/>
          <w:szCs w:val="22"/>
        </w:rPr>
        <w:t>102</w:t>
      </w:r>
      <w:r w:rsidRPr="00D55DC6">
        <w:rPr>
          <w:rFonts w:eastAsia="標楷體"/>
          <w:sz w:val="22"/>
          <w:szCs w:val="22"/>
        </w:rPr>
        <w:t>年</w:t>
      </w:r>
      <w:r w:rsidRPr="00D55DC6">
        <w:rPr>
          <w:rFonts w:eastAsia="標楷體"/>
          <w:sz w:val="22"/>
          <w:szCs w:val="22"/>
        </w:rPr>
        <w:t>395</w:t>
      </w:r>
      <w:r w:rsidRPr="00D55DC6">
        <w:rPr>
          <w:rFonts w:eastAsia="標楷體"/>
          <w:sz w:val="22"/>
          <w:szCs w:val="22"/>
        </w:rPr>
        <w:t>萬、</w:t>
      </w:r>
      <w:r w:rsidRPr="00D55DC6">
        <w:rPr>
          <w:rFonts w:eastAsia="標楷體"/>
          <w:sz w:val="22"/>
          <w:szCs w:val="22"/>
        </w:rPr>
        <w:t>103</w:t>
      </w:r>
      <w:r w:rsidRPr="00D55DC6">
        <w:rPr>
          <w:rFonts w:eastAsia="標楷體"/>
          <w:sz w:val="22"/>
          <w:szCs w:val="22"/>
        </w:rPr>
        <w:t>年暫推估</w:t>
      </w:r>
      <w:r w:rsidRPr="00D55DC6">
        <w:rPr>
          <w:rFonts w:eastAsia="標楷體"/>
          <w:sz w:val="22"/>
          <w:szCs w:val="22"/>
        </w:rPr>
        <w:t>388</w:t>
      </w:r>
      <w:r w:rsidRPr="00D55DC6">
        <w:rPr>
          <w:rFonts w:eastAsia="標楷體"/>
          <w:sz w:val="22"/>
          <w:szCs w:val="22"/>
        </w:rPr>
        <w:t>萬人次，以</w:t>
      </w:r>
      <w:r w:rsidRPr="00D55DC6">
        <w:rPr>
          <w:rFonts w:eastAsia="標楷體"/>
          <w:sz w:val="22"/>
          <w:szCs w:val="22"/>
        </w:rPr>
        <w:t>102</w:t>
      </w:r>
      <w:r w:rsidRPr="00D55DC6">
        <w:rPr>
          <w:rFonts w:eastAsia="標楷體"/>
          <w:sz w:val="22"/>
          <w:szCs w:val="22"/>
        </w:rPr>
        <w:t>、</w:t>
      </w:r>
      <w:r w:rsidRPr="00D55DC6">
        <w:rPr>
          <w:rFonts w:eastAsia="標楷體"/>
          <w:sz w:val="22"/>
          <w:szCs w:val="22"/>
        </w:rPr>
        <w:t>103</w:t>
      </w:r>
      <w:r w:rsidRPr="00D55DC6">
        <w:rPr>
          <w:rFonts w:eastAsia="標楷體"/>
          <w:sz w:val="22"/>
          <w:szCs w:val="22"/>
        </w:rPr>
        <w:t>年平均</w:t>
      </w:r>
      <w:r w:rsidRPr="00D55DC6">
        <w:rPr>
          <w:rFonts w:eastAsia="標楷體"/>
          <w:sz w:val="22"/>
          <w:szCs w:val="22"/>
        </w:rPr>
        <w:t>392</w:t>
      </w:r>
      <w:r w:rsidRPr="00D55DC6">
        <w:rPr>
          <w:rFonts w:eastAsia="標楷體"/>
          <w:sz w:val="22"/>
          <w:szCs w:val="22"/>
        </w:rPr>
        <w:t>萬人次為基準保守設定</w:t>
      </w:r>
      <w:r w:rsidRPr="00D55DC6">
        <w:rPr>
          <w:rFonts w:eastAsia="標楷體"/>
          <w:sz w:val="22"/>
          <w:szCs w:val="22"/>
        </w:rPr>
        <w:t>105-108</w:t>
      </w:r>
      <w:r w:rsidRPr="00D55DC6">
        <w:rPr>
          <w:rFonts w:eastAsia="標楷體"/>
          <w:sz w:val="22"/>
          <w:szCs w:val="22"/>
        </w:rPr>
        <w:t>年度預期目標。</w:t>
      </w:r>
    </w:p>
    <w:p w:rsidR="00627CA4" w:rsidRPr="00D55DC6" w:rsidRDefault="00627CA4" w:rsidP="00627CA4">
      <w:pPr>
        <w:snapToGrid w:val="0"/>
        <w:spacing w:line="0" w:lineRule="atLeast"/>
        <w:ind w:leftChars="296" w:left="932" w:hangingChars="101" w:hanging="222"/>
        <w:jc w:val="both"/>
        <w:rPr>
          <w:rFonts w:eastAsia="標楷體"/>
          <w:sz w:val="22"/>
          <w:szCs w:val="22"/>
        </w:rPr>
      </w:pPr>
      <w:r w:rsidRPr="00D55DC6">
        <w:rPr>
          <w:rFonts w:eastAsia="標楷體"/>
          <w:sz w:val="22"/>
          <w:szCs w:val="22"/>
        </w:rPr>
        <w:t>3.</w:t>
      </w:r>
      <w:r w:rsidRPr="00D55DC6">
        <w:rPr>
          <w:rFonts w:eastAsia="標楷體"/>
          <w:sz w:val="22"/>
          <w:szCs w:val="22"/>
        </w:rPr>
        <w:t>觀光產值以「國家風景區遊客調查報告」遊客推估人數乘以每人每次消費金額</w:t>
      </w:r>
      <w:r w:rsidRPr="00D55DC6">
        <w:rPr>
          <w:rFonts w:eastAsia="標楷體"/>
          <w:sz w:val="22"/>
          <w:szCs w:val="22"/>
        </w:rPr>
        <w:t>(</w:t>
      </w:r>
      <w:r w:rsidRPr="00D55DC6">
        <w:rPr>
          <w:rFonts w:eastAsia="標楷體"/>
          <w:sz w:val="22"/>
          <w:szCs w:val="22"/>
        </w:rPr>
        <w:t>每人每天消費金額乘以停留天數</w:t>
      </w:r>
      <w:r w:rsidRPr="00D55DC6">
        <w:rPr>
          <w:rFonts w:eastAsia="標楷體"/>
          <w:sz w:val="22"/>
          <w:szCs w:val="22"/>
        </w:rPr>
        <w:t>)</w:t>
      </w:r>
      <w:r w:rsidRPr="00D55DC6">
        <w:rPr>
          <w:rFonts w:eastAsia="標楷體"/>
          <w:sz w:val="22"/>
          <w:szCs w:val="22"/>
        </w:rPr>
        <w:t>估算。</w:t>
      </w:r>
    </w:p>
    <w:p w:rsidR="00627CA4" w:rsidRPr="00D55DC6" w:rsidRDefault="00627CA4" w:rsidP="00627CA4">
      <w:pPr>
        <w:snapToGrid w:val="0"/>
        <w:spacing w:line="0" w:lineRule="atLeast"/>
        <w:ind w:leftChars="296" w:left="932" w:hangingChars="101" w:hanging="222"/>
        <w:jc w:val="both"/>
        <w:rPr>
          <w:rFonts w:eastAsia="標楷體"/>
          <w:sz w:val="22"/>
          <w:szCs w:val="22"/>
        </w:rPr>
      </w:pPr>
      <w:r w:rsidRPr="00D55DC6">
        <w:rPr>
          <w:rFonts w:eastAsia="標楷體"/>
          <w:sz w:val="22"/>
          <w:szCs w:val="22"/>
        </w:rPr>
        <w:t>4.</w:t>
      </w:r>
      <w:r w:rsidRPr="00D55DC6">
        <w:rPr>
          <w:rFonts w:eastAsia="標楷體"/>
          <w:sz w:val="22"/>
          <w:szCs w:val="22"/>
        </w:rPr>
        <w:t>以維持目標值以下之案件數為衡量績效標準。</w:t>
      </w:r>
    </w:p>
    <w:p w:rsidR="00F47623" w:rsidRPr="00D55DC6" w:rsidRDefault="00F47623" w:rsidP="0038165F">
      <w:pPr>
        <w:snapToGrid w:val="0"/>
        <w:spacing w:line="460" w:lineRule="exact"/>
        <w:ind w:leftChars="296" w:left="1802" w:hangingChars="390" w:hanging="1092"/>
        <w:jc w:val="both"/>
        <w:rPr>
          <w:rFonts w:eastAsia="標楷體"/>
          <w:sz w:val="28"/>
          <w:szCs w:val="28"/>
        </w:rPr>
      </w:pPr>
    </w:p>
    <w:p w:rsidR="00F47623" w:rsidRPr="00D55DC6" w:rsidRDefault="00F47623" w:rsidP="0038165F">
      <w:pPr>
        <w:numPr>
          <w:ilvl w:val="0"/>
          <w:numId w:val="1"/>
        </w:numPr>
        <w:snapToGrid w:val="0"/>
        <w:spacing w:line="460" w:lineRule="exact"/>
        <w:ind w:left="709" w:hanging="709"/>
        <w:jc w:val="both"/>
        <w:rPr>
          <w:rFonts w:eastAsia="標楷體"/>
          <w:b/>
          <w:sz w:val="28"/>
          <w:szCs w:val="28"/>
        </w:rPr>
      </w:pPr>
      <w:r w:rsidRPr="00D55DC6">
        <w:rPr>
          <w:rFonts w:eastAsia="標楷體"/>
          <w:b/>
          <w:sz w:val="28"/>
          <w:szCs w:val="28"/>
        </w:rPr>
        <w:t>現行相關政策及方案之檢討</w:t>
      </w:r>
    </w:p>
    <w:p w:rsidR="00F47623" w:rsidRPr="00D55DC6" w:rsidRDefault="00F47623" w:rsidP="0038165F">
      <w:pPr>
        <w:numPr>
          <w:ilvl w:val="0"/>
          <w:numId w:val="6"/>
        </w:numPr>
        <w:snapToGrid w:val="0"/>
        <w:spacing w:line="460" w:lineRule="exact"/>
        <w:jc w:val="both"/>
        <w:rPr>
          <w:rFonts w:eastAsia="標楷體"/>
          <w:b/>
          <w:sz w:val="28"/>
          <w:szCs w:val="28"/>
        </w:rPr>
      </w:pPr>
      <w:r w:rsidRPr="00D55DC6">
        <w:rPr>
          <w:rFonts w:eastAsia="標楷體"/>
          <w:b/>
          <w:sz w:val="28"/>
          <w:szCs w:val="28"/>
        </w:rPr>
        <w:t>重要觀光景點建設中程計畫</w:t>
      </w:r>
      <w:r w:rsidRPr="00D55DC6">
        <w:rPr>
          <w:rFonts w:eastAsia="標楷體"/>
          <w:b/>
          <w:sz w:val="28"/>
          <w:szCs w:val="28"/>
        </w:rPr>
        <w:t>(101-104</w:t>
      </w:r>
      <w:r w:rsidRPr="00D55DC6">
        <w:rPr>
          <w:rFonts w:eastAsia="標楷體"/>
          <w:b/>
          <w:sz w:val="28"/>
          <w:szCs w:val="28"/>
        </w:rPr>
        <w:t>年</w:t>
      </w:r>
      <w:r w:rsidRPr="00D55DC6">
        <w:rPr>
          <w:rFonts w:eastAsia="標楷體"/>
          <w:b/>
          <w:sz w:val="28"/>
          <w:szCs w:val="28"/>
        </w:rPr>
        <w:t>)(</w:t>
      </w:r>
      <w:r w:rsidRPr="00D55DC6">
        <w:rPr>
          <w:rFonts w:eastAsia="標楷體"/>
          <w:b/>
          <w:sz w:val="28"/>
          <w:szCs w:val="28"/>
        </w:rPr>
        <w:t>截至</w:t>
      </w:r>
      <w:r w:rsidRPr="00D55DC6">
        <w:rPr>
          <w:rFonts w:eastAsia="標楷體"/>
          <w:b/>
          <w:sz w:val="28"/>
          <w:szCs w:val="28"/>
        </w:rPr>
        <w:t>103</w:t>
      </w:r>
      <w:r w:rsidRPr="00D55DC6">
        <w:rPr>
          <w:rFonts w:eastAsia="標楷體"/>
          <w:b/>
          <w:sz w:val="28"/>
          <w:szCs w:val="28"/>
        </w:rPr>
        <w:t>年</w:t>
      </w:r>
      <w:r w:rsidRPr="00D55DC6">
        <w:rPr>
          <w:rFonts w:eastAsia="標楷體"/>
          <w:b/>
          <w:sz w:val="28"/>
          <w:szCs w:val="28"/>
        </w:rPr>
        <w:t>1</w:t>
      </w:r>
      <w:r w:rsidR="00627CA4" w:rsidRPr="00D55DC6">
        <w:rPr>
          <w:rFonts w:eastAsia="標楷體"/>
          <w:b/>
          <w:sz w:val="28"/>
          <w:szCs w:val="28"/>
        </w:rPr>
        <w:t>2</w:t>
      </w:r>
      <w:r w:rsidRPr="00D55DC6">
        <w:rPr>
          <w:rFonts w:eastAsia="標楷體"/>
          <w:b/>
          <w:sz w:val="28"/>
          <w:szCs w:val="28"/>
        </w:rPr>
        <w:t>月底成果</w:t>
      </w:r>
      <w:r w:rsidRPr="00D55DC6">
        <w:rPr>
          <w:rFonts w:eastAsia="標楷體"/>
          <w:b/>
          <w:sz w:val="28"/>
          <w:szCs w:val="28"/>
        </w:rPr>
        <w:t>)</w:t>
      </w:r>
    </w:p>
    <w:p w:rsidR="00F47623" w:rsidRPr="00D55DC6" w:rsidRDefault="00F47623" w:rsidP="004865C1">
      <w:pPr>
        <w:numPr>
          <w:ilvl w:val="0"/>
          <w:numId w:val="102"/>
        </w:numPr>
        <w:snapToGrid w:val="0"/>
        <w:spacing w:line="460" w:lineRule="exact"/>
        <w:jc w:val="both"/>
        <w:rPr>
          <w:rFonts w:eastAsia="標楷體"/>
          <w:b/>
          <w:sz w:val="28"/>
          <w:szCs w:val="28"/>
        </w:rPr>
      </w:pPr>
      <w:r w:rsidRPr="00D55DC6">
        <w:rPr>
          <w:rFonts w:eastAsia="標楷體"/>
          <w:b/>
          <w:sz w:val="28"/>
          <w:szCs w:val="28"/>
        </w:rPr>
        <w:t>預算執行情形</w:t>
      </w:r>
      <w:r w:rsidR="00E6747C" w:rsidRPr="00D55DC6">
        <w:rPr>
          <w:rFonts w:eastAsia="標楷體"/>
          <w:b/>
          <w:sz w:val="28"/>
          <w:szCs w:val="28"/>
        </w:rPr>
        <w:t xml:space="preserve">           (</w:t>
      </w:r>
      <w:r w:rsidR="00E6747C" w:rsidRPr="00D55DC6">
        <w:rPr>
          <w:rFonts w:eastAsia="標楷體"/>
          <w:b/>
          <w:sz w:val="28"/>
          <w:szCs w:val="28"/>
        </w:rPr>
        <w:t>單位</w:t>
      </w:r>
      <w:r w:rsidR="00E6747C" w:rsidRPr="00D55DC6">
        <w:rPr>
          <w:rFonts w:eastAsia="標楷體"/>
          <w:b/>
          <w:sz w:val="28"/>
          <w:szCs w:val="28"/>
        </w:rPr>
        <w:t>:</w:t>
      </w:r>
      <w:r w:rsidR="00E6747C" w:rsidRPr="00D55DC6">
        <w:rPr>
          <w:rFonts w:eastAsia="標楷體"/>
          <w:b/>
          <w:sz w:val="28"/>
          <w:szCs w:val="28"/>
        </w:rPr>
        <w:t>億元</w:t>
      </w:r>
      <w:r w:rsidR="00E6747C" w:rsidRPr="00D55DC6">
        <w:rPr>
          <w:rFonts w:eastAsia="標楷體"/>
          <w:b/>
          <w:sz w:val="28"/>
          <w:szCs w:val="28"/>
        </w:rPr>
        <w:t>)</w:t>
      </w:r>
    </w:p>
    <w:tbl>
      <w:tblPr>
        <w:tblStyle w:val="19"/>
        <w:tblW w:w="0" w:type="auto"/>
        <w:tblInd w:w="817" w:type="dxa"/>
        <w:tblLook w:val="04A0" w:firstRow="1" w:lastRow="0" w:firstColumn="1" w:lastColumn="0" w:noHBand="0" w:noVBand="1"/>
      </w:tblPr>
      <w:tblGrid>
        <w:gridCol w:w="3513"/>
        <w:gridCol w:w="1701"/>
        <w:gridCol w:w="1701"/>
        <w:gridCol w:w="1082"/>
      </w:tblGrid>
      <w:tr w:rsidR="001D0350" w:rsidRPr="00D55DC6" w:rsidTr="00F47623">
        <w:tc>
          <w:tcPr>
            <w:tcW w:w="3513" w:type="dxa"/>
            <w:vAlign w:val="center"/>
          </w:tcPr>
          <w:p w:rsidR="00F47623" w:rsidRPr="00D55DC6" w:rsidRDefault="00F47623" w:rsidP="0038165F">
            <w:pPr>
              <w:snapToGrid w:val="0"/>
              <w:spacing w:line="460" w:lineRule="exact"/>
              <w:jc w:val="center"/>
              <w:rPr>
                <w:rFonts w:eastAsia="標楷體"/>
                <w:szCs w:val="28"/>
              </w:rPr>
            </w:pPr>
            <w:r w:rsidRPr="00D55DC6">
              <w:rPr>
                <w:rFonts w:eastAsia="標楷體"/>
                <w:szCs w:val="28"/>
              </w:rPr>
              <w:t>計畫名稱</w:t>
            </w:r>
          </w:p>
        </w:tc>
        <w:tc>
          <w:tcPr>
            <w:tcW w:w="1701" w:type="dxa"/>
          </w:tcPr>
          <w:p w:rsidR="00F47623" w:rsidRPr="00D55DC6" w:rsidRDefault="00F47623" w:rsidP="0038165F">
            <w:pPr>
              <w:snapToGrid w:val="0"/>
              <w:spacing w:line="460" w:lineRule="exact"/>
              <w:jc w:val="center"/>
              <w:rPr>
                <w:rFonts w:eastAsia="標楷體"/>
                <w:szCs w:val="28"/>
              </w:rPr>
            </w:pPr>
            <w:r w:rsidRPr="00D55DC6">
              <w:rPr>
                <w:rFonts w:eastAsia="標楷體"/>
                <w:szCs w:val="28"/>
              </w:rPr>
              <w:t>總累計編列數</w:t>
            </w:r>
            <w:r w:rsidRPr="00D55DC6">
              <w:rPr>
                <w:rFonts w:eastAsia="標楷體"/>
                <w:szCs w:val="28"/>
              </w:rPr>
              <w:t>(A)</w:t>
            </w:r>
          </w:p>
        </w:tc>
        <w:tc>
          <w:tcPr>
            <w:tcW w:w="1701" w:type="dxa"/>
          </w:tcPr>
          <w:p w:rsidR="00F47623" w:rsidRPr="00D55DC6" w:rsidRDefault="00F47623" w:rsidP="0038165F">
            <w:pPr>
              <w:snapToGrid w:val="0"/>
              <w:spacing w:line="460" w:lineRule="exact"/>
              <w:jc w:val="center"/>
              <w:rPr>
                <w:rFonts w:eastAsia="標楷體"/>
                <w:szCs w:val="28"/>
              </w:rPr>
            </w:pPr>
            <w:r w:rsidRPr="00D55DC6">
              <w:rPr>
                <w:rFonts w:eastAsia="標楷體"/>
                <w:szCs w:val="28"/>
              </w:rPr>
              <w:t>總累計實支數</w:t>
            </w:r>
            <w:r w:rsidRPr="00D55DC6">
              <w:rPr>
                <w:rFonts w:eastAsia="標楷體"/>
                <w:szCs w:val="28"/>
              </w:rPr>
              <w:t>(B)</w:t>
            </w:r>
          </w:p>
        </w:tc>
        <w:tc>
          <w:tcPr>
            <w:tcW w:w="1082" w:type="dxa"/>
          </w:tcPr>
          <w:p w:rsidR="00F47623" w:rsidRPr="00D55DC6" w:rsidRDefault="00F47623" w:rsidP="0038165F">
            <w:pPr>
              <w:snapToGrid w:val="0"/>
              <w:spacing w:line="460" w:lineRule="exact"/>
              <w:jc w:val="center"/>
              <w:rPr>
                <w:rFonts w:eastAsia="標楷體"/>
                <w:szCs w:val="28"/>
              </w:rPr>
            </w:pPr>
            <w:r w:rsidRPr="00D55DC6">
              <w:rPr>
                <w:rFonts w:eastAsia="標楷體"/>
                <w:szCs w:val="28"/>
              </w:rPr>
              <w:t>支用比</w:t>
            </w:r>
          </w:p>
          <w:p w:rsidR="00F47623" w:rsidRPr="00D55DC6" w:rsidRDefault="00F47623" w:rsidP="0038165F">
            <w:pPr>
              <w:snapToGrid w:val="0"/>
              <w:spacing w:line="460" w:lineRule="exact"/>
              <w:jc w:val="center"/>
              <w:rPr>
                <w:rFonts w:eastAsia="標楷體"/>
                <w:szCs w:val="28"/>
              </w:rPr>
            </w:pPr>
            <w:r w:rsidRPr="00D55DC6">
              <w:rPr>
                <w:rFonts w:eastAsia="標楷體"/>
                <w:szCs w:val="28"/>
              </w:rPr>
              <w:t>(B/A%)</w:t>
            </w:r>
          </w:p>
        </w:tc>
      </w:tr>
      <w:tr w:rsidR="001D0350" w:rsidRPr="00D55DC6" w:rsidTr="00627CA4">
        <w:tc>
          <w:tcPr>
            <w:tcW w:w="3513" w:type="dxa"/>
            <w:vAlign w:val="center"/>
          </w:tcPr>
          <w:p w:rsidR="00627CA4" w:rsidRPr="00D55DC6" w:rsidRDefault="00627CA4" w:rsidP="0038165F">
            <w:pPr>
              <w:widowControl/>
              <w:spacing w:line="460" w:lineRule="exact"/>
              <w:rPr>
                <w:rFonts w:eastAsia="標楷體"/>
                <w:kern w:val="0"/>
                <w:lang w:bidi="sa-IN"/>
              </w:rPr>
            </w:pPr>
            <w:r w:rsidRPr="00D55DC6">
              <w:rPr>
                <w:rFonts w:eastAsia="標楷體"/>
                <w:kern w:val="0"/>
                <w:sz w:val="22"/>
                <w:lang w:bidi="sa-IN"/>
              </w:rPr>
              <w:t>雲嘉南濱海國家風景區建設計畫</w:t>
            </w:r>
          </w:p>
        </w:tc>
        <w:tc>
          <w:tcPr>
            <w:tcW w:w="1701" w:type="dxa"/>
            <w:vAlign w:val="center"/>
          </w:tcPr>
          <w:p w:rsidR="00627CA4" w:rsidRPr="00D55DC6" w:rsidRDefault="00627CA4" w:rsidP="00627CA4">
            <w:pPr>
              <w:jc w:val="center"/>
            </w:pPr>
            <w:r w:rsidRPr="00D55DC6">
              <w:t>4.73720</w:t>
            </w:r>
          </w:p>
        </w:tc>
        <w:tc>
          <w:tcPr>
            <w:tcW w:w="1701" w:type="dxa"/>
            <w:vAlign w:val="center"/>
          </w:tcPr>
          <w:p w:rsidR="00627CA4" w:rsidRPr="00D55DC6" w:rsidRDefault="00627CA4" w:rsidP="00627CA4">
            <w:pPr>
              <w:jc w:val="center"/>
            </w:pPr>
            <w:r w:rsidRPr="00D55DC6">
              <w:t>4.73720</w:t>
            </w:r>
          </w:p>
        </w:tc>
        <w:tc>
          <w:tcPr>
            <w:tcW w:w="1082" w:type="dxa"/>
            <w:vAlign w:val="center"/>
          </w:tcPr>
          <w:p w:rsidR="00627CA4" w:rsidRPr="00D55DC6" w:rsidRDefault="00627CA4" w:rsidP="00627CA4">
            <w:pPr>
              <w:jc w:val="center"/>
            </w:pPr>
            <w:r w:rsidRPr="00D55DC6">
              <w:t>100.00%</w:t>
            </w:r>
          </w:p>
        </w:tc>
      </w:tr>
    </w:tbl>
    <w:p w:rsidR="00F47623" w:rsidRPr="00D55DC6" w:rsidRDefault="00F47623" w:rsidP="0038165F">
      <w:pPr>
        <w:snapToGrid w:val="0"/>
        <w:spacing w:line="300" w:lineRule="exact"/>
        <w:ind w:leftChars="295" w:left="1315" w:hangingChars="253" w:hanging="607"/>
        <w:jc w:val="both"/>
        <w:rPr>
          <w:rFonts w:eastAsia="標楷體"/>
          <w:szCs w:val="28"/>
        </w:rPr>
      </w:pPr>
      <w:r w:rsidRPr="00D55DC6">
        <w:rPr>
          <w:rFonts w:eastAsia="標楷體"/>
          <w:szCs w:val="28"/>
        </w:rPr>
        <w:t>註</w:t>
      </w:r>
      <w:r w:rsidRPr="00D55DC6">
        <w:rPr>
          <w:rFonts w:eastAsia="標楷體"/>
          <w:szCs w:val="28"/>
        </w:rPr>
        <w:t xml:space="preserve"> 1.</w:t>
      </w:r>
      <w:r w:rsidRPr="00D55DC6">
        <w:rPr>
          <w:rFonts w:eastAsia="標楷體"/>
          <w:szCs w:val="28"/>
        </w:rPr>
        <w:t>「總累計編列數</w:t>
      </w:r>
      <w:r w:rsidRPr="00D55DC6">
        <w:rPr>
          <w:rFonts w:eastAsia="標楷體"/>
          <w:szCs w:val="28"/>
        </w:rPr>
        <w:t>(A)</w:t>
      </w:r>
      <w:r w:rsidRPr="00D55DC6">
        <w:rPr>
          <w:rFonts w:eastAsia="標楷體"/>
          <w:szCs w:val="28"/>
        </w:rPr>
        <w:t>」為</w:t>
      </w:r>
      <w:r w:rsidRPr="00D55DC6">
        <w:rPr>
          <w:rFonts w:eastAsia="標楷體"/>
          <w:szCs w:val="28"/>
        </w:rPr>
        <w:t>101</w:t>
      </w:r>
      <w:r w:rsidRPr="00D55DC6">
        <w:rPr>
          <w:rFonts w:eastAsia="標楷體"/>
          <w:szCs w:val="28"/>
        </w:rPr>
        <w:t>年</w:t>
      </w:r>
      <w:r w:rsidRPr="00D55DC6">
        <w:rPr>
          <w:rFonts w:eastAsia="標楷體"/>
          <w:szCs w:val="28"/>
        </w:rPr>
        <w:t>1</w:t>
      </w:r>
      <w:r w:rsidRPr="00D55DC6">
        <w:rPr>
          <w:rFonts w:eastAsia="標楷體"/>
          <w:szCs w:val="28"/>
        </w:rPr>
        <w:t>月至</w:t>
      </w:r>
      <w:r w:rsidRPr="00D55DC6">
        <w:rPr>
          <w:rFonts w:eastAsia="標楷體"/>
          <w:szCs w:val="28"/>
        </w:rPr>
        <w:t>103</w:t>
      </w:r>
      <w:r w:rsidRPr="00D55DC6">
        <w:rPr>
          <w:rFonts w:eastAsia="標楷體"/>
          <w:szCs w:val="28"/>
        </w:rPr>
        <w:t>年</w:t>
      </w:r>
      <w:r w:rsidRPr="00D55DC6">
        <w:rPr>
          <w:rFonts w:eastAsia="標楷體"/>
          <w:szCs w:val="28"/>
        </w:rPr>
        <w:t>1</w:t>
      </w:r>
      <w:r w:rsidR="00627CA4" w:rsidRPr="00D55DC6">
        <w:rPr>
          <w:rFonts w:eastAsia="標楷體"/>
          <w:szCs w:val="28"/>
        </w:rPr>
        <w:t>2</w:t>
      </w:r>
      <w:r w:rsidRPr="00D55DC6">
        <w:rPr>
          <w:rFonts w:eastAsia="標楷體"/>
          <w:szCs w:val="28"/>
        </w:rPr>
        <w:t>月累計實際可支用數。</w:t>
      </w:r>
    </w:p>
    <w:p w:rsidR="00F47623" w:rsidRPr="00D55DC6" w:rsidRDefault="00F47623" w:rsidP="0038165F">
      <w:pPr>
        <w:snapToGrid w:val="0"/>
        <w:spacing w:line="300" w:lineRule="exact"/>
        <w:jc w:val="both"/>
        <w:rPr>
          <w:rFonts w:eastAsia="標楷體"/>
          <w:szCs w:val="28"/>
        </w:rPr>
      </w:pPr>
      <w:r w:rsidRPr="00D55DC6">
        <w:rPr>
          <w:rFonts w:eastAsia="標楷體"/>
          <w:szCs w:val="28"/>
        </w:rPr>
        <w:t xml:space="preserve">         2.</w:t>
      </w:r>
      <w:r w:rsidRPr="00D55DC6">
        <w:rPr>
          <w:rFonts w:eastAsia="標楷體"/>
          <w:szCs w:val="28"/>
        </w:rPr>
        <w:t>「總累計實支數</w:t>
      </w:r>
      <w:r w:rsidRPr="00D55DC6">
        <w:rPr>
          <w:rFonts w:eastAsia="標楷體"/>
          <w:szCs w:val="28"/>
        </w:rPr>
        <w:t>(B)</w:t>
      </w:r>
      <w:r w:rsidRPr="00D55DC6">
        <w:rPr>
          <w:rFonts w:eastAsia="標楷體"/>
          <w:szCs w:val="28"/>
        </w:rPr>
        <w:t>」為</w:t>
      </w:r>
      <w:r w:rsidRPr="00D55DC6">
        <w:rPr>
          <w:rFonts w:eastAsia="標楷體"/>
          <w:szCs w:val="28"/>
        </w:rPr>
        <w:t>101</w:t>
      </w:r>
      <w:r w:rsidRPr="00D55DC6">
        <w:rPr>
          <w:rFonts w:eastAsia="標楷體"/>
          <w:szCs w:val="28"/>
        </w:rPr>
        <w:t>年</w:t>
      </w:r>
      <w:r w:rsidRPr="00D55DC6">
        <w:rPr>
          <w:rFonts w:eastAsia="標楷體"/>
          <w:szCs w:val="28"/>
        </w:rPr>
        <w:t>1</w:t>
      </w:r>
      <w:r w:rsidRPr="00D55DC6">
        <w:rPr>
          <w:rFonts w:eastAsia="標楷體"/>
          <w:szCs w:val="28"/>
        </w:rPr>
        <w:t>月至</w:t>
      </w:r>
      <w:r w:rsidRPr="00D55DC6">
        <w:rPr>
          <w:rFonts w:eastAsia="標楷體"/>
          <w:szCs w:val="28"/>
        </w:rPr>
        <w:t>103</w:t>
      </w:r>
      <w:r w:rsidRPr="00D55DC6">
        <w:rPr>
          <w:rFonts w:eastAsia="標楷體"/>
          <w:szCs w:val="28"/>
        </w:rPr>
        <w:t>年</w:t>
      </w:r>
      <w:r w:rsidRPr="00D55DC6">
        <w:rPr>
          <w:rFonts w:eastAsia="標楷體"/>
          <w:szCs w:val="28"/>
        </w:rPr>
        <w:t>1</w:t>
      </w:r>
      <w:r w:rsidR="00627CA4" w:rsidRPr="00D55DC6">
        <w:rPr>
          <w:rFonts w:eastAsia="標楷體"/>
          <w:szCs w:val="28"/>
        </w:rPr>
        <w:t>2</w:t>
      </w:r>
      <w:r w:rsidRPr="00D55DC6">
        <w:rPr>
          <w:rFonts w:eastAsia="標楷體"/>
          <w:szCs w:val="28"/>
        </w:rPr>
        <w:t>月累計實支數。</w:t>
      </w:r>
    </w:p>
    <w:p w:rsidR="00F47623" w:rsidRPr="00D55DC6" w:rsidRDefault="00F47623" w:rsidP="0038165F">
      <w:pPr>
        <w:snapToGrid w:val="0"/>
        <w:spacing w:line="300" w:lineRule="exact"/>
        <w:jc w:val="both"/>
        <w:rPr>
          <w:rFonts w:eastAsia="標楷體"/>
          <w:szCs w:val="28"/>
        </w:rPr>
      </w:pPr>
    </w:p>
    <w:p w:rsidR="00F47623" w:rsidRPr="00D55DC6" w:rsidRDefault="00F47623" w:rsidP="004865C1">
      <w:pPr>
        <w:numPr>
          <w:ilvl w:val="0"/>
          <w:numId w:val="102"/>
        </w:numPr>
        <w:snapToGrid w:val="0"/>
        <w:spacing w:line="460" w:lineRule="exact"/>
        <w:jc w:val="both"/>
        <w:rPr>
          <w:rFonts w:eastAsia="標楷體"/>
          <w:b/>
          <w:sz w:val="28"/>
          <w:szCs w:val="28"/>
        </w:rPr>
      </w:pPr>
      <w:r w:rsidRPr="00D55DC6">
        <w:rPr>
          <w:rFonts w:eastAsia="標楷體"/>
          <w:b/>
          <w:sz w:val="28"/>
          <w:szCs w:val="28"/>
        </w:rPr>
        <w:t>重要執行成果</w:t>
      </w:r>
      <w:r w:rsidRPr="00D55DC6">
        <w:rPr>
          <w:rFonts w:eastAsia="標楷體"/>
          <w:b/>
          <w:sz w:val="28"/>
          <w:szCs w:val="28"/>
        </w:rPr>
        <w:t xml:space="preserve"> </w:t>
      </w:r>
    </w:p>
    <w:p w:rsidR="00F47623" w:rsidRPr="00D55DC6" w:rsidRDefault="00F47623" w:rsidP="0038165F">
      <w:pPr>
        <w:snapToGrid w:val="0"/>
        <w:spacing w:line="460" w:lineRule="exact"/>
        <w:ind w:left="785"/>
        <w:jc w:val="both"/>
        <w:rPr>
          <w:rFonts w:eastAsia="標楷體"/>
          <w:b/>
          <w:sz w:val="28"/>
          <w:szCs w:val="28"/>
        </w:rPr>
      </w:pPr>
      <w:r w:rsidRPr="00D55DC6">
        <w:rPr>
          <w:rFonts w:eastAsia="標楷體"/>
          <w:b/>
          <w:sz w:val="28"/>
          <w:szCs w:val="28"/>
        </w:rPr>
        <w:t>2-1.</w:t>
      </w:r>
      <w:r w:rsidRPr="00D55DC6">
        <w:rPr>
          <w:rFonts w:eastAsia="標楷體"/>
          <w:b/>
          <w:sz w:val="28"/>
          <w:szCs w:val="28"/>
        </w:rPr>
        <w:t>國際觀光重要景點建設</w:t>
      </w:r>
    </w:p>
    <w:p w:rsidR="00F47623" w:rsidRPr="00D55DC6" w:rsidRDefault="00F47623" w:rsidP="0038165F">
      <w:pPr>
        <w:snapToGrid w:val="0"/>
        <w:spacing w:line="460" w:lineRule="exact"/>
        <w:ind w:leftChars="531" w:left="1982" w:hangingChars="253" w:hanging="708"/>
        <w:jc w:val="both"/>
        <w:rPr>
          <w:rFonts w:eastAsia="標楷體"/>
          <w:sz w:val="28"/>
          <w:szCs w:val="28"/>
        </w:rPr>
      </w:pPr>
      <w:r w:rsidRPr="00D55DC6">
        <w:rPr>
          <w:rFonts w:eastAsia="標楷體"/>
          <w:sz w:val="28"/>
          <w:szCs w:val="28"/>
        </w:rPr>
        <w:lastRenderedPageBreak/>
        <w:t>2-1-1.</w:t>
      </w:r>
      <w:r w:rsidRPr="00D55DC6">
        <w:rPr>
          <w:rFonts w:eastAsia="標楷體"/>
          <w:sz w:val="28"/>
          <w:szCs w:val="28"/>
        </w:rPr>
        <w:t>七股地區服務設施改善－辦理七股遊客中心新建工程、臺灣鹽博物館</w:t>
      </w:r>
      <w:r w:rsidR="00397CE7" w:rsidRPr="00D55DC6">
        <w:rPr>
          <w:rFonts w:eastAsia="標楷體"/>
          <w:sz w:val="28"/>
          <w:szCs w:val="28"/>
        </w:rPr>
        <w:t>周邊</w:t>
      </w:r>
      <w:r w:rsidRPr="00D55DC6">
        <w:rPr>
          <w:rFonts w:eastAsia="標楷體"/>
          <w:sz w:val="28"/>
          <w:szCs w:val="28"/>
        </w:rPr>
        <w:t>服務設施暨景觀改善工程、遊客服務設施改善工程等。</w:t>
      </w:r>
    </w:p>
    <w:p w:rsidR="00F47623" w:rsidRPr="00D55DC6" w:rsidRDefault="00F47623" w:rsidP="0038165F">
      <w:pPr>
        <w:snapToGrid w:val="0"/>
        <w:spacing w:line="460" w:lineRule="exact"/>
        <w:ind w:leftChars="531" w:left="1977" w:hangingChars="251" w:hanging="703"/>
        <w:jc w:val="both"/>
        <w:rPr>
          <w:rFonts w:eastAsia="標楷體"/>
          <w:sz w:val="28"/>
          <w:szCs w:val="28"/>
        </w:rPr>
      </w:pPr>
      <w:r w:rsidRPr="00D55DC6">
        <w:rPr>
          <w:rFonts w:eastAsia="標楷體"/>
          <w:sz w:val="28"/>
          <w:szCs w:val="28"/>
        </w:rPr>
        <w:t>2-1-2.</w:t>
      </w:r>
      <w:r w:rsidRPr="00D55DC6">
        <w:rPr>
          <w:rFonts w:eastAsia="標楷體"/>
          <w:sz w:val="28"/>
          <w:szCs w:val="28"/>
        </w:rPr>
        <w:t>北門地區服務設施改善－辦理</w:t>
      </w:r>
      <w:r w:rsidRPr="00D55DC6">
        <w:rPr>
          <w:rFonts w:eastAsia="標楷體"/>
          <w:kern w:val="0"/>
          <w:sz w:val="28"/>
          <w:szCs w:val="28"/>
        </w:rPr>
        <w:t>北門洗滌鹽工場建築群修建工程</w:t>
      </w:r>
      <w:r w:rsidRPr="00D55DC6">
        <w:rPr>
          <w:rFonts w:eastAsia="標楷體"/>
          <w:sz w:val="28"/>
          <w:szCs w:val="28"/>
        </w:rPr>
        <w:t>、北門歷史建築空間再利用工程</w:t>
      </w:r>
      <w:r w:rsidRPr="00D55DC6">
        <w:rPr>
          <w:rFonts w:eastAsia="標楷體"/>
          <w:kern w:val="0"/>
          <w:sz w:val="28"/>
          <w:szCs w:val="28"/>
        </w:rPr>
        <w:t>、遊客服務設施暨景觀改善工程、</w:t>
      </w:r>
      <w:r w:rsidRPr="00D55DC6">
        <w:rPr>
          <w:rFonts w:eastAsia="標楷體"/>
          <w:sz w:val="28"/>
          <w:szCs w:val="28"/>
        </w:rPr>
        <w:t>節能設施設備工程等。</w:t>
      </w:r>
    </w:p>
    <w:p w:rsidR="00F47623" w:rsidRPr="00D55DC6" w:rsidRDefault="00F47623" w:rsidP="0038165F">
      <w:pPr>
        <w:snapToGrid w:val="0"/>
        <w:spacing w:line="460" w:lineRule="exact"/>
        <w:ind w:left="785"/>
        <w:jc w:val="both"/>
        <w:rPr>
          <w:rFonts w:eastAsia="標楷體"/>
          <w:b/>
          <w:sz w:val="28"/>
          <w:szCs w:val="28"/>
        </w:rPr>
      </w:pPr>
      <w:r w:rsidRPr="00D55DC6">
        <w:rPr>
          <w:rFonts w:eastAsia="標楷體"/>
          <w:b/>
          <w:sz w:val="28"/>
          <w:szCs w:val="28"/>
        </w:rPr>
        <w:t>2-2.</w:t>
      </w:r>
      <w:r w:rsidRPr="00D55DC6">
        <w:rPr>
          <w:rFonts w:eastAsia="標楷體"/>
          <w:b/>
          <w:sz w:val="28"/>
          <w:szCs w:val="28"/>
        </w:rPr>
        <w:t>國內觀光重要景點建設</w:t>
      </w:r>
    </w:p>
    <w:p w:rsidR="00F47623" w:rsidRPr="00D55DC6" w:rsidRDefault="00F47623" w:rsidP="0038165F">
      <w:pPr>
        <w:snapToGrid w:val="0"/>
        <w:spacing w:line="460" w:lineRule="exact"/>
        <w:ind w:leftChars="531" w:left="1982" w:hangingChars="253" w:hanging="708"/>
        <w:jc w:val="both"/>
        <w:rPr>
          <w:rFonts w:eastAsia="標楷體"/>
          <w:sz w:val="28"/>
          <w:szCs w:val="28"/>
        </w:rPr>
      </w:pPr>
      <w:r w:rsidRPr="00D55DC6">
        <w:rPr>
          <w:rFonts w:eastAsia="標楷體"/>
          <w:sz w:val="28"/>
          <w:szCs w:val="28"/>
        </w:rPr>
        <w:t>2-2-1.</w:t>
      </w:r>
      <w:r w:rsidRPr="00D55DC6">
        <w:rPr>
          <w:rFonts w:eastAsia="標楷體"/>
          <w:sz w:val="28"/>
          <w:szCs w:val="28"/>
        </w:rPr>
        <w:t>雲嘉南濱海國家風景區：辦理布袋東石服務設施暨景觀改善工程、將軍地區服務設施暨景觀改善工程等、安南地區服務設施暨景觀改善工程、口湖四湖地區服務設施暨景觀改善工程等。</w:t>
      </w:r>
    </w:p>
    <w:p w:rsidR="00F47623" w:rsidRPr="00D55DC6" w:rsidRDefault="00F47623" w:rsidP="0038165F">
      <w:pPr>
        <w:snapToGrid w:val="0"/>
        <w:spacing w:line="460" w:lineRule="exact"/>
        <w:ind w:leftChars="326" w:left="919" w:hangingChars="49" w:hanging="137"/>
        <w:jc w:val="both"/>
        <w:rPr>
          <w:rFonts w:eastAsia="標楷體"/>
          <w:b/>
          <w:sz w:val="28"/>
          <w:szCs w:val="28"/>
        </w:rPr>
      </w:pPr>
      <w:r w:rsidRPr="00D55DC6">
        <w:rPr>
          <w:rFonts w:eastAsia="標楷體"/>
          <w:b/>
          <w:sz w:val="28"/>
          <w:szCs w:val="28"/>
        </w:rPr>
        <w:t>2-3.</w:t>
      </w:r>
      <w:r w:rsidRPr="00D55DC6">
        <w:rPr>
          <w:rFonts w:eastAsia="標楷體"/>
          <w:b/>
          <w:sz w:val="28"/>
          <w:szCs w:val="28"/>
        </w:rPr>
        <w:t>地方觀光重要景點建設</w:t>
      </w:r>
    </w:p>
    <w:p w:rsidR="00F47623" w:rsidRPr="00D55DC6" w:rsidRDefault="00F47623" w:rsidP="0038165F">
      <w:pPr>
        <w:snapToGrid w:val="0"/>
        <w:spacing w:line="460" w:lineRule="exact"/>
        <w:ind w:leftChars="531" w:left="1982" w:hangingChars="253" w:hanging="708"/>
        <w:jc w:val="both"/>
        <w:rPr>
          <w:rFonts w:eastAsia="標楷體"/>
          <w:sz w:val="28"/>
          <w:szCs w:val="28"/>
        </w:rPr>
      </w:pPr>
      <w:r w:rsidRPr="00D55DC6">
        <w:rPr>
          <w:rFonts w:eastAsia="標楷體"/>
          <w:sz w:val="28"/>
          <w:szCs w:val="28"/>
        </w:rPr>
        <w:t>2-3.1.</w:t>
      </w:r>
      <w:r w:rsidRPr="00D55DC6">
        <w:rPr>
          <w:rFonts w:eastAsia="標楷體"/>
          <w:sz w:val="28"/>
          <w:szCs w:val="28"/>
        </w:rPr>
        <w:t>雲嘉南濱海國家風景區：雲嘉南各遊憩次系統綠美化、服務設施景觀改善。</w:t>
      </w:r>
    </w:p>
    <w:p w:rsidR="00F47623" w:rsidRPr="00D55DC6" w:rsidRDefault="00F47623" w:rsidP="0038165F">
      <w:pPr>
        <w:adjustRightInd w:val="0"/>
        <w:snapToGrid w:val="0"/>
        <w:spacing w:line="460" w:lineRule="exact"/>
        <w:ind w:leftChars="337" w:left="1386" w:hangingChars="206" w:hanging="577"/>
        <w:jc w:val="both"/>
        <w:rPr>
          <w:rFonts w:eastAsia="標楷體"/>
          <w:b/>
          <w:sz w:val="28"/>
          <w:szCs w:val="28"/>
        </w:rPr>
      </w:pPr>
      <w:r w:rsidRPr="00D55DC6">
        <w:rPr>
          <w:rFonts w:eastAsia="標楷體"/>
          <w:b/>
          <w:sz w:val="28"/>
          <w:szCs w:val="28"/>
        </w:rPr>
        <w:t>2-4.</w:t>
      </w:r>
      <w:r w:rsidRPr="00D55DC6">
        <w:rPr>
          <w:rFonts w:eastAsia="標楷體"/>
          <w:b/>
          <w:sz w:val="28"/>
          <w:szCs w:val="28"/>
        </w:rPr>
        <w:t>國家風景區經營管理建設</w:t>
      </w:r>
    </w:p>
    <w:p w:rsidR="00F47623" w:rsidRPr="00D55DC6" w:rsidRDefault="00F47623" w:rsidP="0038165F">
      <w:pPr>
        <w:adjustRightInd w:val="0"/>
        <w:snapToGrid w:val="0"/>
        <w:spacing w:line="460" w:lineRule="exact"/>
        <w:ind w:leftChars="531" w:left="1977" w:hangingChars="251" w:hanging="703"/>
        <w:jc w:val="both"/>
        <w:rPr>
          <w:rFonts w:eastAsia="標楷體"/>
          <w:sz w:val="28"/>
          <w:szCs w:val="28"/>
        </w:rPr>
      </w:pPr>
      <w:r w:rsidRPr="00D55DC6">
        <w:rPr>
          <w:rFonts w:eastAsia="標楷體"/>
          <w:sz w:val="28"/>
          <w:szCs w:val="28"/>
        </w:rPr>
        <w:t>2-4-1.</w:t>
      </w:r>
      <w:r w:rsidRPr="00D55DC6">
        <w:rPr>
          <w:rFonts w:eastAsia="標楷體"/>
          <w:sz w:val="28"/>
          <w:szCs w:val="28"/>
        </w:rPr>
        <w:t>用地取得：辦理風景區內觀光遊憩據點用地取得作業。</w:t>
      </w:r>
    </w:p>
    <w:p w:rsidR="00F47623" w:rsidRPr="00D55DC6" w:rsidRDefault="00F47623" w:rsidP="0038165F">
      <w:pPr>
        <w:adjustRightInd w:val="0"/>
        <w:snapToGrid w:val="0"/>
        <w:spacing w:line="460" w:lineRule="exact"/>
        <w:ind w:leftChars="531" w:left="1977" w:hangingChars="251" w:hanging="703"/>
        <w:jc w:val="both"/>
        <w:rPr>
          <w:rFonts w:eastAsia="標楷體"/>
          <w:sz w:val="28"/>
          <w:szCs w:val="28"/>
        </w:rPr>
      </w:pPr>
      <w:r w:rsidRPr="00D55DC6">
        <w:rPr>
          <w:rFonts w:eastAsia="標楷體"/>
          <w:sz w:val="28"/>
          <w:szCs w:val="28"/>
        </w:rPr>
        <w:t>2-5-2.</w:t>
      </w:r>
      <w:r w:rsidRPr="00D55DC6">
        <w:rPr>
          <w:rFonts w:eastAsia="標楷體"/>
          <w:sz w:val="28"/>
          <w:szCs w:val="28"/>
        </w:rPr>
        <w:t>先期規劃設計：辦理轄區內遊憩據點各項先期規劃、資源調查、開發經營管理策略研究及工程建設設計。</w:t>
      </w:r>
      <w:r w:rsidRPr="00D55DC6">
        <w:rPr>
          <w:rFonts w:eastAsia="標楷體"/>
          <w:sz w:val="28"/>
          <w:szCs w:val="28"/>
        </w:rPr>
        <w:t xml:space="preserve"> </w:t>
      </w:r>
    </w:p>
    <w:p w:rsidR="00F47623" w:rsidRPr="00D55DC6" w:rsidRDefault="00F47623" w:rsidP="0038165F">
      <w:pPr>
        <w:adjustRightInd w:val="0"/>
        <w:snapToGrid w:val="0"/>
        <w:spacing w:line="460" w:lineRule="exact"/>
        <w:ind w:leftChars="531" w:left="1977" w:hangingChars="251" w:hanging="703"/>
        <w:jc w:val="both"/>
        <w:rPr>
          <w:rFonts w:eastAsia="標楷體"/>
          <w:sz w:val="28"/>
          <w:szCs w:val="28"/>
        </w:rPr>
      </w:pPr>
      <w:r w:rsidRPr="00D55DC6">
        <w:rPr>
          <w:rFonts w:eastAsia="標楷體"/>
          <w:sz w:val="28"/>
          <w:szCs w:val="28"/>
        </w:rPr>
        <w:t>2-4-3.</w:t>
      </w:r>
      <w:r w:rsidRPr="00D55DC6">
        <w:rPr>
          <w:rFonts w:eastAsia="標楷體"/>
          <w:sz w:val="28"/>
          <w:szCs w:val="28"/>
        </w:rPr>
        <w:t>旅遊服務系統：確立雲嘉南濱海觀光發展定位、推動雲嘉南濱海觀光亮點。</w:t>
      </w:r>
    </w:p>
    <w:p w:rsidR="00F47623" w:rsidRPr="00D55DC6" w:rsidRDefault="00F47623" w:rsidP="0038165F">
      <w:pPr>
        <w:adjustRightInd w:val="0"/>
        <w:snapToGrid w:val="0"/>
        <w:spacing w:line="460" w:lineRule="exact"/>
        <w:ind w:leftChars="531" w:left="1977" w:hangingChars="251" w:hanging="703"/>
        <w:jc w:val="both"/>
        <w:rPr>
          <w:rFonts w:eastAsia="標楷體"/>
          <w:sz w:val="28"/>
          <w:szCs w:val="28"/>
        </w:rPr>
      </w:pPr>
      <w:r w:rsidRPr="00D55DC6">
        <w:rPr>
          <w:rFonts w:eastAsia="標楷體"/>
          <w:sz w:val="28"/>
          <w:szCs w:val="28"/>
        </w:rPr>
        <w:t>2-4-4.</w:t>
      </w:r>
      <w:r w:rsidRPr="00D55DC6">
        <w:rPr>
          <w:rFonts w:eastAsia="標楷體"/>
          <w:sz w:val="28"/>
          <w:szCs w:val="28"/>
        </w:rPr>
        <w:t>環境維護及設施維持：各遊憩據點建築物與設施定期巡查及保養維護，以提升遊客安全。</w:t>
      </w:r>
    </w:p>
    <w:p w:rsidR="00F47623" w:rsidRPr="00D55DC6" w:rsidRDefault="00F47623" w:rsidP="0038165F">
      <w:pPr>
        <w:adjustRightInd w:val="0"/>
        <w:snapToGrid w:val="0"/>
        <w:spacing w:line="460" w:lineRule="exact"/>
        <w:ind w:leftChars="531" w:left="1977" w:hangingChars="251" w:hanging="703"/>
        <w:jc w:val="both"/>
        <w:rPr>
          <w:rFonts w:eastAsia="標楷體"/>
          <w:sz w:val="28"/>
          <w:szCs w:val="28"/>
        </w:rPr>
      </w:pPr>
      <w:r w:rsidRPr="00D55DC6">
        <w:rPr>
          <w:rFonts w:eastAsia="標楷體"/>
          <w:sz w:val="28"/>
          <w:szCs w:val="28"/>
        </w:rPr>
        <w:t>2-4-5.</w:t>
      </w:r>
      <w:r w:rsidRPr="00D55DC6">
        <w:rPr>
          <w:rFonts w:eastAsia="標楷體"/>
          <w:sz w:val="28"/>
          <w:szCs w:val="28"/>
        </w:rPr>
        <w:t>全區災害復舊及一般零星工程：辦理全區災害緊急修繕及公共設施整修。</w:t>
      </w:r>
    </w:p>
    <w:p w:rsidR="00F47623" w:rsidRPr="00D55DC6" w:rsidRDefault="00F47623" w:rsidP="0038165F">
      <w:pPr>
        <w:snapToGrid w:val="0"/>
        <w:spacing w:line="460" w:lineRule="exact"/>
        <w:ind w:leftChars="344" w:left="848" w:hangingChars="8" w:hanging="22"/>
        <w:jc w:val="both"/>
        <w:rPr>
          <w:rFonts w:eastAsia="標楷體"/>
          <w:b/>
          <w:sz w:val="28"/>
          <w:szCs w:val="28"/>
        </w:rPr>
      </w:pPr>
      <w:r w:rsidRPr="00D55DC6">
        <w:rPr>
          <w:rFonts w:eastAsia="標楷體"/>
          <w:b/>
          <w:sz w:val="28"/>
          <w:szCs w:val="28"/>
        </w:rPr>
        <w:t>2-5.</w:t>
      </w:r>
      <w:r w:rsidRPr="00D55DC6">
        <w:rPr>
          <w:rFonts w:eastAsia="標楷體"/>
          <w:b/>
          <w:sz w:val="28"/>
          <w:szCs w:val="28"/>
        </w:rPr>
        <w:t>經營管理及行銷推廣</w:t>
      </w:r>
    </w:p>
    <w:p w:rsidR="00F47623" w:rsidRPr="00D55DC6" w:rsidRDefault="00F47623" w:rsidP="0038165F">
      <w:pPr>
        <w:snapToGrid w:val="0"/>
        <w:spacing w:line="460" w:lineRule="exact"/>
        <w:ind w:leftChars="354" w:left="850" w:firstLineChars="152" w:firstLine="426"/>
        <w:jc w:val="both"/>
        <w:rPr>
          <w:rFonts w:eastAsia="標楷體"/>
          <w:sz w:val="28"/>
          <w:szCs w:val="28"/>
        </w:rPr>
      </w:pPr>
      <w:r w:rsidRPr="00D55DC6">
        <w:rPr>
          <w:rFonts w:eastAsia="標楷體"/>
          <w:sz w:val="28"/>
          <w:szCs w:val="28"/>
        </w:rPr>
        <w:t>2-5-1.</w:t>
      </w:r>
      <w:r w:rsidRPr="00D55DC6">
        <w:rPr>
          <w:rFonts w:eastAsia="標楷體"/>
          <w:sz w:val="28"/>
          <w:szCs w:val="28"/>
        </w:rPr>
        <w:t>經營管理</w:t>
      </w:r>
    </w:p>
    <w:p w:rsidR="00F47623" w:rsidRPr="00D55DC6" w:rsidRDefault="00F47623" w:rsidP="0038165F">
      <w:pPr>
        <w:snapToGrid w:val="0"/>
        <w:spacing w:line="460" w:lineRule="exact"/>
        <w:ind w:leftChars="671" w:left="2551" w:hangingChars="336" w:hanging="941"/>
        <w:jc w:val="both"/>
        <w:rPr>
          <w:rFonts w:eastAsia="標楷體"/>
          <w:sz w:val="28"/>
          <w:szCs w:val="28"/>
        </w:rPr>
      </w:pPr>
      <w:r w:rsidRPr="00D55DC6">
        <w:rPr>
          <w:rFonts w:eastAsia="標楷體"/>
          <w:sz w:val="28"/>
          <w:szCs w:val="28"/>
        </w:rPr>
        <w:t>2-5-1-1.</w:t>
      </w:r>
      <w:r w:rsidRPr="00D55DC6">
        <w:rPr>
          <w:rFonts w:eastAsia="標楷體"/>
          <w:sz w:val="28"/>
          <w:szCs w:val="28"/>
        </w:rPr>
        <w:t>遊憩資源維護計畫：雲嘉南濱海遊憩區環境改善及綠美化、推動資源認養維護及委由民間經營維護。</w:t>
      </w:r>
    </w:p>
    <w:p w:rsidR="00F47623" w:rsidRPr="00D55DC6" w:rsidRDefault="00F47623" w:rsidP="0038165F">
      <w:pPr>
        <w:snapToGrid w:val="0"/>
        <w:spacing w:line="460" w:lineRule="exact"/>
        <w:ind w:leftChars="354" w:left="850" w:firstLineChars="276" w:firstLine="773"/>
        <w:jc w:val="both"/>
        <w:rPr>
          <w:rFonts w:eastAsia="標楷體"/>
          <w:sz w:val="28"/>
          <w:szCs w:val="28"/>
        </w:rPr>
      </w:pPr>
      <w:r w:rsidRPr="00D55DC6">
        <w:rPr>
          <w:rFonts w:eastAsia="標楷體"/>
          <w:sz w:val="28"/>
          <w:szCs w:val="28"/>
        </w:rPr>
        <w:t>2-5-1-2.</w:t>
      </w:r>
      <w:r w:rsidRPr="00D55DC6">
        <w:rPr>
          <w:rFonts w:eastAsia="標楷體"/>
          <w:sz w:val="28"/>
          <w:szCs w:val="28"/>
        </w:rPr>
        <w:t>遊憩設備安全檢查制度：定期保固維護以維旅遊安全。</w:t>
      </w:r>
    </w:p>
    <w:p w:rsidR="00F47623" w:rsidRPr="00D55DC6" w:rsidRDefault="00F47623" w:rsidP="0038165F">
      <w:pPr>
        <w:snapToGrid w:val="0"/>
        <w:spacing w:line="460" w:lineRule="exact"/>
        <w:ind w:leftChars="671" w:left="2551" w:hangingChars="336" w:hanging="941"/>
        <w:jc w:val="both"/>
        <w:rPr>
          <w:rFonts w:eastAsia="標楷體"/>
          <w:sz w:val="28"/>
          <w:szCs w:val="28"/>
        </w:rPr>
      </w:pPr>
      <w:r w:rsidRPr="00D55DC6">
        <w:rPr>
          <w:rFonts w:eastAsia="標楷體"/>
          <w:sz w:val="28"/>
          <w:szCs w:val="28"/>
        </w:rPr>
        <w:t>2-5-1-3.</w:t>
      </w:r>
      <w:r w:rsidRPr="00D55DC6">
        <w:rPr>
          <w:rFonts w:eastAsia="標楷體"/>
          <w:sz w:val="28"/>
          <w:szCs w:val="28"/>
        </w:rPr>
        <w:t>遊憩服務設施修繕維護：各類遊憩服務設施定期維護整</w:t>
      </w:r>
      <w:r w:rsidRPr="00D55DC6">
        <w:rPr>
          <w:rFonts w:eastAsia="標楷體"/>
          <w:sz w:val="28"/>
          <w:szCs w:val="28"/>
        </w:rPr>
        <w:lastRenderedPageBreak/>
        <w:t>修或重建。</w:t>
      </w:r>
    </w:p>
    <w:p w:rsidR="00F47623" w:rsidRPr="00D55DC6" w:rsidRDefault="00F47623" w:rsidP="0038165F">
      <w:pPr>
        <w:snapToGrid w:val="0"/>
        <w:spacing w:line="460" w:lineRule="exact"/>
        <w:ind w:leftChars="671" w:left="2551" w:hangingChars="336" w:hanging="941"/>
        <w:jc w:val="both"/>
        <w:rPr>
          <w:rFonts w:eastAsia="標楷體"/>
          <w:sz w:val="28"/>
          <w:szCs w:val="28"/>
        </w:rPr>
      </w:pPr>
      <w:r w:rsidRPr="00D55DC6">
        <w:rPr>
          <w:rFonts w:eastAsia="標楷體"/>
          <w:sz w:val="28"/>
          <w:szCs w:val="28"/>
        </w:rPr>
        <w:t>2-5-1-4</w:t>
      </w:r>
      <w:r w:rsidRPr="00D55DC6">
        <w:rPr>
          <w:rFonts w:eastAsia="標楷體"/>
          <w:sz w:val="28"/>
          <w:szCs w:val="28"/>
        </w:rPr>
        <w:t>海岸線及遊憩據點環境整理維護：加強遊憩區環境清潔、委託專業公司辦理清潔維護工作、不定期舉辦淨灘活動。</w:t>
      </w:r>
    </w:p>
    <w:p w:rsidR="00F47623" w:rsidRPr="00D55DC6" w:rsidRDefault="00F47623" w:rsidP="0038165F">
      <w:pPr>
        <w:snapToGrid w:val="0"/>
        <w:spacing w:line="460" w:lineRule="exact"/>
        <w:ind w:leftChars="471" w:left="1130" w:firstLineChars="52" w:firstLine="146"/>
        <w:jc w:val="both"/>
        <w:rPr>
          <w:rFonts w:eastAsia="標楷體"/>
          <w:sz w:val="28"/>
          <w:szCs w:val="28"/>
        </w:rPr>
      </w:pPr>
      <w:r w:rsidRPr="00D55DC6">
        <w:rPr>
          <w:rFonts w:eastAsia="標楷體"/>
          <w:sz w:val="28"/>
          <w:szCs w:val="28"/>
        </w:rPr>
        <w:t>2-5-2.</w:t>
      </w:r>
      <w:r w:rsidRPr="00D55DC6">
        <w:rPr>
          <w:rFonts w:eastAsia="標楷體"/>
          <w:sz w:val="28"/>
          <w:szCs w:val="28"/>
        </w:rPr>
        <w:t>行銷推廣</w:t>
      </w:r>
    </w:p>
    <w:p w:rsidR="00F47623" w:rsidRPr="00D55DC6" w:rsidRDefault="00F47623" w:rsidP="0038165F">
      <w:pPr>
        <w:snapToGrid w:val="0"/>
        <w:spacing w:line="460" w:lineRule="exact"/>
        <w:ind w:leftChars="471" w:left="1130" w:firstLineChars="171" w:firstLine="479"/>
        <w:jc w:val="both"/>
        <w:rPr>
          <w:rFonts w:eastAsia="標楷體"/>
          <w:sz w:val="28"/>
          <w:szCs w:val="28"/>
        </w:rPr>
      </w:pPr>
      <w:r w:rsidRPr="00D55DC6">
        <w:rPr>
          <w:rFonts w:eastAsia="標楷體"/>
          <w:sz w:val="28"/>
          <w:szCs w:val="28"/>
        </w:rPr>
        <w:t>2-5-2-1</w:t>
      </w:r>
      <w:r w:rsidRPr="00D55DC6">
        <w:rPr>
          <w:rFonts w:eastAsia="標楷體"/>
          <w:sz w:val="28"/>
          <w:szCs w:val="28"/>
        </w:rPr>
        <w:t>推動優質行銷方案，拓展觀光市場客源。</w:t>
      </w:r>
    </w:p>
    <w:p w:rsidR="00F47623" w:rsidRPr="00D55DC6" w:rsidRDefault="00F47623" w:rsidP="0038165F">
      <w:pPr>
        <w:snapToGrid w:val="0"/>
        <w:spacing w:line="460" w:lineRule="exact"/>
        <w:ind w:leftChars="671" w:left="2551" w:hangingChars="336" w:hanging="941"/>
        <w:jc w:val="both"/>
        <w:rPr>
          <w:rFonts w:eastAsia="標楷體"/>
          <w:sz w:val="28"/>
          <w:szCs w:val="28"/>
        </w:rPr>
      </w:pPr>
      <w:r w:rsidRPr="00D55DC6">
        <w:rPr>
          <w:rFonts w:eastAsia="標楷體"/>
          <w:sz w:val="28"/>
          <w:szCs w:val="28"/>
        </w:rPr>
        <w:t>2-5-2-2</w:t>
      </w:r>
      <w:r w:rsidRPr="00D55DC6">
        <w:rPr>
          <w:rFonts w:eastAsia="標楷體"/>
          <w:sz w:val="28"/>
          <w:szCs w:val="28"/>
        </w:rPr>
        <w:t>舉辦多樣性活動如鯤鯓王平安鹽祭、一見雙雕藝術季、白色耶誕與送夕陽、東石海之夏祭與國際觀鳥馬拉松活動。</w:t>
      </w:r>
    </w:p>
    <w:p w:rsidR="00F47623" w:rsidRPr="00D55DC6" w:rsidRDefault="00F47623" w:rsidP="0038165F">
      <w:pPr>
        <w:snapToGrid w:val="0"/>
        <w:spacing w:line="460" w:lineRule="exact"/>
        <w:ind w:leftChars="671" w:left="2551" w:hangingChars="336" w:hanging="941"/>
        <w:jc w:val="both"/>
        <w:rPr>
          <w:rFonts w:eastAsia="標楷體"/>
          <w:sz w:val="28"/>
          <w:szCs w:val="28"/>
        </w:rPr>
      </w:pPr>
    </w:p>
    <w:p w:rsidR="00F47623" w:rsidRPr="00D55DC6" w:rsidRDefault="00F47623" w:rsidP="0038165F">
      <w:pPr>
        <w:numPr>
          <w:ilvl w:val="0"/>
          <w:numId w:val="1"/>
        </w:numPr>
        <w:snapToGrid w:val="0"/>
        <w:spacing w:line="460" w:lineRule="exact"/>
        <w:ind w:left="709" w:hanging="709"/>
        <w:jc w:val="both"/>
        <w:rPr>
          <w:rFonts w:eastAsia="標楷體"/>
          <w:b/>
          <w:sz w:val="28"/>
          <w:szCs w:val="28"/>
        </w:rPr>
      </w:pPr>
      <w:r w:rsidRPr="00D55DC6">
        <w:rPr>
          <w:rFonts w:eastAsia="標楷體"/>
          <w:b/>
          <w:sz w:val="28"/>
          <w:szCs w:val="28"/>
        </w:rPr>
        <w:t>執行策略及方法</w:t>
      </w:r>
    </w:p>
    <w:p w:rsidR="00F47623" w:rsidRPr="00D55DC6" w:rsidRDefault="00F47623" w:rsidP="004865C1">
      <w:pPr>
        <w:numPr>
          <w:ilvl w:val="0"/>
          <w:numId w:val="103"/>
        </w:numPr>
        <w:snapToGrid w:val="0"/>
        <w:spacing w:line="460" w:lineRule="exact"/>
        <w:jc w:val="both"/>
        <w:rPr>
          <w:rFonts w:eastAsia="標楷體"/>
          <w:b/>
          <w:sz w:val="28"/>
          <w:szCs w:val="28"/>
        </w:rPr>
      </w:pPr>
      <w:r w:rsidRPr="00D55DC6">
        <w:rPr>
          <w:rFonts w:eastAsia="標楷體"/>
          <w:b/>
          <w:sz w:val="28"/>
          <w:szCs w:val="28"/>
        </w:rPr>
        <w:t>執行策略</w:t>
      </w:r>
    </w:p>
    <w:p w:rsidR="00F47623" w:rsidRPr="00D55DC6" w:rsidRDefault="00F47623" w:rsidP="009D33BA">
      <w:pPr>
        <w:snapToGrid w:val="0"/>
        <w:spacing w:beforeLines="25" w:before="90" w:afterLines="25" w:after="90" w:line="460" w:lineRule="exact"/>
        <w:ind w:leftChars="354" w:left="850"/>
        <w:jc w:val="both"/>
        <w:rPr>
          <w:rFonts w:eastAsia="標楷體"/>
          <w:sz w:val="28"/>
          <w:szCs w:val="28"/>
        </w:rPr>
      </w:pPr>
      <w:r w:rsidRPr="00D55DC6">
        <w:rPr>
          <w:rFonts w:eastAsia="標楷體"/>
          <w:sz w:val="28"/>
          <w:szCs w:val="28"/>
        </w:rPr>
        <w:t>本計畫以「白色雲嘉南」為宣傳意象，規劃以北門、七股將軍、東石布袋及四湖口湖</w:t>
      </w:r>
      <w:r w:rsidRPr="00D55DC6">
        <w:rPr>
          <w:rFonts w:eastAsia="標楷體"/>
          <w:sz w:val="28"/>
          <w:szCs w:val="28"/>
        </w:rPr>
        <w:t>4</w:t>
      </w:r>
      <w:r w:rsidRPr="00D55DC6">
        <w:rPr>
          <w:rFonts w:eastAsia="標楷體"/>
          <w:sz w:val="28"/>
          <w:szCs w:val="28"/>
        </w:rPr>
        <w:t>大次系統作為核心發展區位，並與</w:t>
      </w:r>
      <w:r w:rsidRPr="00D55DC6">
        <w:rPr>
          <w:rFonts w:eastAsia="標楷體"/>
          <w:sz w:val="28"/>
          <w:szCs w:val="28"/>
        </w:rPr>
        <w:t>2</w:t>
      </w:r>
      <w:r w:rsidRPr="00D55DC6">
        <w:rPr>
          <w:rFonts w:eastAsia="標楷體"/>
          <w:sz w:val="28"/>
          <w:szCs w:val="28"/>
        </w:rPr>
        <w:t>條聯外意象軸銜接阿里山與西拉雅</w:t>
      </w:r>
      <w:r w:rsidRPr="00D55DC6">
        <w:rPr>
          <w:rFonts w:eastAsia="標楷體"/>
          <w:sz w:val="28"/>
          <w:szCs w:val="28"/>
        </w:rPr>
        <w:t>2</w:t>
      </w:r>
      <w:r w:rsidRPr="00D55DC6">
        <w:rPr>
          <w:rFonts w:eastAsia="標楷體"/>
          <w:sz w:val="28"/>
          <w:szCs w:val="28"/>
        </w:rPr>
        <w:t>大國家風景區，及逐步推動綠色自行車道、內海藍色公路等，形成四心四軸之跨域延伸的特色遊程。</w:t>
      </w:r>
    </w:p>
    <w:p w:rsidR="00F47623" w:rsidRPr="00D55DC6" w:rsidRDefault="00F47623" w:rsidP="009D33BA">
      <w:pPr>
        <w:snapToGrid w:val="0"/>
        <w:spacing w:beforeLines="25" w:before="90" w:afterLines="25" w:after="90" w:line="460" w:lineRule="exact"/>
        <w:ind w:leftChars="354" w:left="850"/>
        <w:jc w:val="both"/>
        <w:rPr>
          <w:rFonts w:eastAsia="標楷體"/>
          <w:sz w:val="28"/>
          <w:szCs w:val="28"/>
        </w:rPr>
      </w:pPr>
      <w:r w:rsidRPr="00D55DC6">
        <w:rPr>
          <w:rFonts w:eastAsia="標楷體"/>
          <w:sz w:val="28"/>
          <w:szCs w:val="28"/>
        </w:rPr>
        <w:t>執行策略係藉由推動「觀光建設」、深化「產業輔導」、強化「宣傳行銷」並引入「民間投資」等，使各次系統均衡發展，以打造「白色雲嘉南」</w:t>
      </w:r>
      <w:r w:rsidRPr="00D55DC6">
        <w:rPr>
          <w:rFonts w:eastAsia="標楷體"/>
          <w:sz w:val="28"/>
          <w:szCs w:val="28"/>
        </w:rPr>
        <w:t>-</w:t>
      </w:r>
      <w:r w:rsidRPr="00D55DC6">
        <w:rPr>
          <w:rFonts w:eastAsia="標楷體"/>
          <w:sz w:val="28"/>
          <w:szCs w:val="28"/>
        </w:rPr>
        <w:t>優質旅遊服務的風景區。</w:t>
      </w:r>
    </w:p>
    <w:p w:rsidR="00F47623" w:rsidRPr="00D55DC6" w:rsidRDefault="00F47623" w:rsidP="004865C1">
      <w:pPr>
        <w:numPr>
          <w:ilvl w:val="0"/>
          <w:numId w:val="96"/>
        </w:numPr>
        <w:snapToGrid w:val="0"/>
        <w:spacing w:line="460" w:lineRule="exact"/>
        <w:jc w:val="both"/>
        <w:rPr>
          <w:rFonts w:eastAsia="標楷體"/>
          <w:sz w:val="28"/>
          <w:szCs w:val="28"/>
        </w:rPr>
      </w:pPr>
      <w:r w:rsidRPr="00D55DC6">
        <w:rPr>
          <w:rFonts w:eastAsia="標楷體"/>
          <w:sz w:val="28"/>
          <w:szCs w:val="28"/>
        </w:rPr>
        <w:t>觀光建設</w:t>
      </w:r>
    </w:p>
    <w:p w:rsidR="00F47623" w:rsidRPr="00D55DC6" w:rsidRDefault="00F47623" w:rsidP="0038165F">
      <w:pPr>
        <w:snapToGrid w:val="0"/>
        <w:spacing w:line="460" w:lineRule="exact"/>
        <w:ind w:left="785"/>
        <w:jc w:val="both"/>
        <w:rPr>
          <w:rFonts w:eastAsia="標楷體"/>
          <w:sz w:val="28"/>
          <w:szCs w:val="28"/>
        </w:rPr>
      </w:pPr>
      <w:r w:rsidRPr="00D55DC6">
        <w:rPr>
          <w:rFonts w:eastAsia="標楷體"/>
          <w:sz w:val="28"/>
          <w:szCs w:val="28"/>
        </w:rPr>
        <w:t>本計畫以加強觀光建設提升地方遊憩及旅遊服務動能，打造地方亮點帶動周邊服務機能之成長需求，並活化整修舊有資產，結合幸福意象，營造新舊文化創意並進發展之吸引力，並審慎研參開發受限因素，兼顧建設效率與效益。</w:t>
      </w:r>
    </w:p>
    <w:p w:rsidR="00F47623" w:rsidRPr="00D55DC6" w:rsidRDefault="00F47623" w:rsidP="004865C1">
      <w:pPr>
        <w:numPr>
          <w:ilvl w:val="0"/>
          <w:numId w:val="96"/>
        </w:numPr>
        <w:snapToGrid w:val="0"/>
        <w:spacing w:line="460" w:lineRule="exact"/>
        <w:jc w:val="both"/>
        <w:rPr>
          <w:rFonts w:eastAsia="標楷體"/>
          <w:sz w:val="28"/>
          <w:szCs w:val="28"/>
        </w:rPr>
      </w:pPr>
      <w:r w:rsidRPr="00D55DC6">
        <w:rPr>
          <w:rFonts w:eastAsia="標楷體"/>
          <w:sz w:val="28"/>
          <w:szCs w:val="28"/>
        </w:rPr>
        <w:t>產業輔導</w:t>
      </w:r>
    </w:p>
    <w:p w:rsidR="00F47623" w:rsidRPr="00D55DC6" w:rsidRDefault="00F47623" w:rsidP="0038165F">
      <w:pPr>
        <w:snapToGrid w:val="0"/>
        <w:spacing w:line="460" w:lineRule="exact"/>
        <w:ind w:left="785"/>
        <w:jc w:val="both"/>
        <w:rPr>
          <w:rFonts w:eastAsia="標楷體"/>
          <w:sz w:val="28"/>
          <w:szCs w:val="28"/>
        </w:rPr>
      </w:pPr>
      <w:r w:rsidRPr="00D55DC6">
        <w:rPr>
          <w:rFonts w:eastAsia="標楷體"/>
          <w:sz w:val="28"/>
          <w:szCs w:val="28"/>
        </w:rPr>
        <w:t>輔導在地特色產業，強化觀光亮點與旅遊服務能量，消弭地緣氣候等弱勢因素，轉化成特色遊程之發展根基。</w:t>
      </w:r>
    </w:p>
    <w:p w:rsidR="00F47623" w:rsidRPr="00D55DC6" w:rsidRDefault="00F47623" w:rsidP="004865C1">
      <w:pPr>
        <w:numPr>
          <w:ilvl w:val="0"/>
          <w:numId w:val="96"/>
        </w:numPr>
        <w:snapToGrid w:val="0"/>
        <w:spacing w:line="460" w:lineRule="exact"/>
        <w:jc w:val="both"/>
        <w:rPr>
          <w:rFonts w:eastAsia="標楷體"/>
          <w:sz w:val="28"/>
          <w:szCs w:val="28"/>
        </w:rPr>
      </w:pPr>
      <w:r w:rsidRPr="00D55DC6">
        <w:rPr>
          <w:rFonts w:eastAsia="標楷體"/>
          <w:sz w:val="28"/>
          <w:szCs w:val="28"/>
        </w:rPr>
        <w:t>宣傳行銷</w:t>
      </w:r>
    </w:p>
    <w:p w:rsidR="0047570F" w:rsidRPr="00D55DC6" w:rsidRDefault="00F47623" w:rsidP="0047570F">
      <w:pPr>
        <w:snapToGrid w:val="0"/>
        <w:spacing w:line="460" w:lineRule="exact"/>
        <w:ind w:left="785"/>
        <w:jc w:val="both"/>
        <w:rPr>
          <w:rFonts w:eastAsia="標楷體"/>
          <w:sz w:val="28"/>
          <w:szCs w:val="28"/>
        </w:rPr>
      </w:pPr>
      <w:r w:rsidRPr="00D55DC6">
        <w:rPr>
          <w:rFonts w:eastAsia="標楷體"/>
          <w:sz w:val="28"/>
          <w:szCs w:val="28"/>
        </w:rPr>
        <w:t>整合在地觀光資源，串連各據點之旅遊服務，善用多元媒體管道提供</w:t>
      </w:r>
      <w:r w:rsidRPr="00D55DC6">
        <w:rPr>
          <w:rFonts w:eastAsia="標楷體"/>
          <w:sz w:val="28"/>
          <w:szCs w:val="28"/>
        </w:rPr>
        <w:lastRenderedPageBreak/>
        <w:t>多面向的資訊，以強化宣傳行銷效益，使各項建設及地方產業文化得以推廣，消除地理氣候等嚴酷條件，吸引遊客來訪駐足。</w:t>
      </w:r>
      <w:r w:rsidR="0047570F" w:rsidRPr="00D55DC6">
        <w:rPr>
          <w:rFonts w:eastAsia="標楷體"/>
          <w:sz w:val="28"/>
          <w:szCs w:val="28"/>
        </w:rPr>
        <w:t>充實智慧觀光資源基礎，逐步推動智慧觀光服務機能。</w:t>
      </w:r>
    </w:p>
    <w:p w:rsidR="00F47623" w:rsidRPr="00D55DC6" w:rsidRDefault="00F47623" w:rsidP="004865C1">
      <w:pPr>
        <w:numPr>
          <w:ilvl w:val="0"/>
          <w:numId w:val="96"/>
        </w:numPr>
        <w:snapToGrid w:val="0"/>
        <w:spacing w:line="460" w:lineRule="exact"/>
        <w:jc w:val="both"/>
        <w:rPr>
          <w:rFonts w:eastAsia="標楷體"/>
          <w:sz w:val="28"/>
          <w:szCs w:val="28"/>
        </w:rPr>
      </w:pPr>
      <w:r w:rsidRPr="00D55DC6">
        <w:rPr>
          <w:rFonts w:eastAsia="標楷體"/>
          <w:sz w:val="28"/>
          <w:szCs w:val="28"/>
        </w:rPr>
        <w:t>民間投資</w:t>
      </w:r>
    </w:p>
    <w:p w:rsidR="00F47623" w:rsidRPr="00D55DC6" w:rsidRDefault="00F47623" w:rsidP="0038165F">
      <w:pPr>
        <w:snapToGrid w:val="0"/>
        <w:spacing w:line="460" w:lineRule="exact"/>
        <w:ind w:left="785"/>
        <w:jc w:val="both"/>
        <w:rPr>
          <w:rFonts w:eastAsia="標楷體"/>
          <w:sz w:val="28"/>
          <w:szCs w:val="28"/>
        </w:rPr>
      </w:pPr>
      <w:r w:rsidRPr="00D55DC6">
        <w:rPr>
          <w:rFonts w:eastAsia="標楷體"/>
          <w:sz w:val="28"/>
          <w:szCs w:val="28"/>
        </w:rPr>
        <w:t>吸引民間資源充實區內旅遊服務軟硬體內容，提升服務功能與品質，並推動觀光活動與各項如文創、運動等元素結合之發展，打造專業、有活力之旅遊環境。</w:t>
      </w:r>
    </w:p>
    <w:p w:rsidR="00F47623" w:rsidRPr="00D55DC6" w:rsidRDefault="00F47623" w:rsidP="009D33BA">
      <w:pPr>
        <w:snapToGrid w:val="0"/>
        <w:spacing w:beforeLines="25" w:before="90" w:afterLines="25" w:after="90" w:line="460" w:lineRule="exact"/>
        <w:jc w:val="both"/>
        <w:rPr>
          <w:rFonts w:eastAsia="標楷體"/>
          <w:sz w:val="28"/>
          <w:szCs w:val="28"/>
        </w:rPr>
      </w:pPr>
    </w:p>
    <w:p w:rsidR="00F47623" w:rsidRPr="00D55DC6" w:rsidRDefault="003F7B40" w:rsidP="009D33BA">
      <w:pPr>
        <w:snapToGrid w:val="0"/>
        <w:spacing w:beforeLines="25" w:before="90" w:afterLines="25" w:after="90" w:line="460" w:lineRule="exact"/>
        <w:ind w:leftChars="400" w:left="960" w:firstLineChars="13" w:firstLine="36"/>
        <w:jc w:val="both"/>
        <w:rPr>
          <w:rFonts w:eastAsia="標楷體"/>
          <w:sz w:val="28"/>
          <w:szCs w:val="28"/>
        </w:rPr>
      </w:pPr>
      <w:r w:rsidRPr="00D55DC6">
        <w:rPr>
          <w:rFonts w:eastAsia="標楷體"/>
          <w:noProof/>
          <w:sz w:val="28"/>
          <w:szCs w:val="28"/>
        </w:rPr>
        <mc:AlternateContent>
          <mc:Choice Requires="wpg">
            <w:drawing>
              <wp:anchor distT="0" distB="0" distL="114300" distR="114300" simplePos="0" relativeHeight="251659264" behindDoc="0" locked="0" layoutInCell="1" allowOverlap="1" wp14:anchorId="445740DD" wp14:editId="6260399F">
                <wp:simplePos x="0" y="0"/>
                <wp:positionH relativeFrom="column">
                  <wp:posOffset>13970</wp:posOffset>
                </wp:positionH>
                <wp:positionV relativeFrom="paragraph">
                  <wp:posOffset>63500</wp:posOffset>
                </wp:positionV>
                <wp:extent cx="5986145" cy="2668270"/>
                <wp:effectExtent l="13970" t="6350" r="10160" b="11430"/>
                <wp:wrapTopAndBottom/>
                <wp:docPr id="1" name="群組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145" cy="2668270"/>
                          <a:chOff x="0" y="0"/>
                          <a:chExt cx="59861" cy="26682"/>
                        </a:xfrm>
                      </wpg:grpSpPr>
                      <wps:wsp>
                        <wps:cNvPr id="2" name="文字方塊 2"/>
                        <wps:cNvSpPr txBox="1">
                          <a:spLocks noChangeArrowheads="1"/>
                        </wps:cNvSpPr>
                        <wps:spPr bwMode="auto">
                          <a:xfrm>
                            <a:off x="0" y="0"/>
                            <a:ext cx="59861" cy="26682"/>
                          </a:xfrm>
                          <a:prstGeom prst="rect">
                            <a:avLst/>
                          </a:prstGeom>
                          <a:solidFill>
                            <a:srgbClr val="FFFFFF"/>
                          </a:solidFill>
                          <a:ln w="9525">
                            <a:solidFill>
                              <a:srgbClr val="000000"/>
                            </a:solidFill>
                            <a:miter lim="800000"/>
                            <a:headEnd/>
                            <a:tailEnd/>
                          </a:ln>
                        </wps:spPr>
                        <wps:txbx>
                          <w:txbxContent>
                            <w:p w:rsidR="00C57342" w:rsidRDefault="00C57342" w:rsidP="00F47623"/>
                          </w:txbxContent>
                        </wps:txbx>
                        <wps:bodyPr rot="0" vert="horz" wrap="square" lIns="91440" tIns="45720" rIns="91440" bIns="45720" anchor="t" anchorCtr="0" upright="1">
                          <a:noAutofit/>
                        </wps:bodyPr>
                      </wps:wsp>
                      <wps:wsp>
                        <wps:cNvPr id="3" name="矩形 1"/>
                        <wps:cNvSpPr>
                          <a:spLocks noChangeArrowheads="1"/>
                        </wps:cNvSpPr>
                        <wps:spPr bwMode="auto">
                          <a:xfrm>
                            <a:off x="21371" y="1169"/>
                            <a:ext cx="14992" cy="5423"/>
                          </a:xfrm>
                          <a:prstGeom prst="rect">
                            <a:avLst/>
                          </a:prstGeom>
                          <a:solidFill>
                            <a:srgbClr val="F79646"/>
                          </a:solidFill>
                          <a:ln w="38100">
                            <a:solidFill>
                              <a:srgbClr val="FFFFFF"/>
                            </a:solidFill>
                            <a:miter lim="800000"/>
                            <a:headEnd/>
                            <a:tailEnd/>
                          </a:ln>
                          <a:effectLst>
                            <a:outerShdw dist="20000" dir="5400000" rotWithShape="0">
                              <a:srgbClr val="000000">
                                <a:alpha val="37999"/>
                              </a:srgbClr>
                            </a:outerShdw>
                          </a:effectLst>
                        </wps:spPr>
                        <wps:txbx>
                          <w:txbxContent>
                            <w:p w:rsidR="00C57342" w:rsidRPr="00E04C5B" w:rsidRDefault="00C57342" w:rsidP="00F47623">
                              <w:pPr>
                                <w:jc w:val="center"/>
                                <w:rPr>
                                  <w:rFonts w:ascii="標楷體" w:eastAsia="標楷體" w:hAnsi="標楷體"/>
                                  <w:b/>
                                  <w:color w:val="FFFFFF" w:themeColor="background1"/>
                                  <w:sz w:val="36"/>
                                  <w:szCs w:val="36"/>
                                </w:rPr>
                              </w:pPr>
                              <w:r w:rsidRPr="00E04C5B">
                                <w:rPr>
                                  <w:rFonts w:ascii="標楷體" w:eastAsia="標楷體" w:hAnsi="標楷體" w:hint="eastAsia"/>
                                  <w:b/>
                                  <w:color w:val="FFFFFF" w:themeColor="background1"/>
                                  <w:sz w:val="36"/>
                                  <w:szCs w:val="36"/>
                                </w:rPr>
                                <w:t>白色雲嘉南</w:t>
                              </w:r>
                            </w:p>
                          </w:txbxContent>
                        </wps:txbx>
                        <wps:bodyPr rot="0" vert="horz" wrap="square" lIns="91440" tIns="45720" rIns="91440" bIns="45720" anchor="ctr" anchorCtr="0" upright="1">
                          <a:noAutofit/>
                        </wps:bodyPr>
                      </wps:wsp>
                      <wps:wsp>
                        <wps:cNvPr id="4" name="矩形 2"/>
                        <wps:cNvSpPr>
                          <a:spLocks noChangeArrowheads="1"/>
                        </wps:cNvSpPr>
                        <wps:spPr bwMode="auto">
                          <a:xfrm>
                            <a:off x="45826" y="19776"/>
                            <a:ext cx="13494" cy="4890"/>
                          </a:xfrm>
                          <a:prstGeom prst="rect">
                            <a:avLst/>
                          </a:prstGeom>
                          <a:solidFill>
                            <a:srgbClr val="FFFFFF"/>
                          </a:solidFill>
                          <a:ln w="25400">
                            <a:solidFill>
                              <a:srgbClr val="C0504D"/>
                            </a:solidFill>
                            <a:miter lim="800000"/>
                            <a:headEnd/>
                            <a:tailEnd/>
                          </a:ln>
                        </wps:spPr>
                        <wps:txbx>
                          <w:txbxContent>
                            <w:p w:rsidR="00C57342" w:rsidRPr="00CF4C7A" w:rsidRDefault="00C57342" w:rsidP="00F47623">
                              <w:pPr>
                                <w:jc w:val="center"/>
                                <w:rPr>
                                  <w:rFonts w:ascii="標楷體" w:eastAsia="標楷體" w:hAnsi="標楷體"/>
                                  <w:color w:val="943634" w:themeColor="accent2" w:themeShade="BF"/>
                                  <w:sz w:val="32"/>
                                  <w:szCs w:val="32"/>
                                </w:rPr>
                              </w:pPr>
                              <w:r w:rsidRPr="00CF4C7A">
                                <w:rPr>
                                  <w:rFonts w:ascii="標楷體" w:eastAsia="標楷體" w:hAnsi="標楷體" w:hint="eastAsia"/>
                                  <w:color w:val="943634" w:themeColor="accent2" w:themeShade="BF"/>
                                  <w:sz w:val="32"/>
                                  <w:szCs w:val="32"/>
                                </w:rPr>
                                <w:t>民間投資</w:t>
                              </w:r>
                            </w:p>
                          </w:txbxContent>
                        </wps:txbx>
                        <wps:bodyPr rot="0" vert="horz" wrap="square" lIns="91440" tIns="45720" rIns="91440" bIns="45720" anchor="ctr" anchorCtr="0" upright="1">
                          <a:noAutofit/>
                        </wps:bodyPr>
                      </wps:wsp>
                      <wps:wsp>
                        <wps:cNvPr id="5" name="矩形 3"/>
                        <wps:cNvSpPr>
                          <a:spLocks noChangeArrowheads="1"/>
                        </wps:cNvSpPr>
                        <wps:spPr bwMode="auto">
                          <a:xfrm>
                            <a:off x="30515" y="19882"/>
                            <a:ext cx="13075" cy="4890"/>
                          </a:xfrm>
                          <a:prstGeom prst="rect">
                            <a:avLst/>
                          </a:prstGeom>
                          <a:solidFill>
                            <a:srgbClr val="FFFFFF"/>
                          </a:solidFill>
                          <a:ln w="25400">
                            <a:solidFill>
                              <a:srgbClr val="C0504D"/>
                            </a:solidFill>
                            <a:miter lim="800000"/>
                            <a:headEnd/>
                            <a:tailEnd/>
                          </a:ln>
                        </wps:spPr>
                        <wps:txbx>
                          <w:txbxContent>
                            <w:p w:rsidR="00C57342" w:rsidRPr="00CF4C7A" w:rsidRDefault="00C57342" w:rsidP="00F47623">
                              <w:pPr>
                                <w:jc w:val="center"/>
                                <w:rPr>
                                  <w:rFonts w:ascii="標楷體" w:eastAsia="標楷體" w:hAnsi="標楷體"/>
                                  <w:color w:val="943634" w:themeColor="accent2" w:themeShade="BF"/>
                                  <w:sz w:val="32"/>
                                  <w:szCs w:val="32"/>
                                </w:rPr>
                              </w:pPr>
                              <w:r w:rsidRPr="00CF4C7A">
                                <w:rPr>
                                  <w:rFonts w:ascii="標楷體" w:eastAsia="標楷體" w:hAnsi="標楷體" w:hint="eastAsia"/>
                                  <w:color w:val="943634" w:themeColor="accent2" w:themeShade="BF"/>
                                  <w:sz w:val="32"/>
                                  <w:szCs w:val="32"/>
                                </w:rPr>
                                <w:t>宣傳行銷</w:t>
                              </w:r>
                            </w:p>
                          </w:txbxContent>
                        </wps:txbx>
                        <wps:bodyPr rot="0" vert="horz" wrap="square" lIns="91440" tIns="45720" rIns="91440" bIns="45720" anchor="ctr" anchorCtr="0" upright="1">
                          <a:noAutofit/>
                        </wps:bodyPr>
                      </wps:wsp>
                      <wps:wsp>
                        <wps:cNvPr id="6" name="矩形 4"/>
                        <wps:cNvSpPr>
                          <a:spLocks noChangeArrowheads="1"/>
                        </wps:cNvSpPr>
                        <wps:spPr bwMode="auto">
                          <a:xfrm>
                            <a:off x="14991" y="19882"/>
                            <a:ext cx="13494" cy="4890"/>
                          </a:xfrm>
                          <a:prstGeom prst="rect">
                            <a:avLst/>
                          </a:prstGeom>
                          <a:solidFill>
                            <a:srgbClr val="FFFFFF"/>
                          </a:solidFill>
                          <a:ln w="25400">
                            <a:solidFill>
                              <a:srgbClr val="C0504D"/>
                            </a:solidFill>
                            <a:miter lim="800000"/>
                            <a:headEnd/>
                            <a:tailEnd/>
                          </a:ln>
                        </wps:spPr>
                        <wps:txbx>
                          <w:txbxContent>
                            <w:p w:rsidR="00C57342" w:rsidRPr="00CF4C7A" w:rsidRDefault="00C57342" w:rsidP="00F47623">
                              <w:pPr>
                                <w:jc w:val="center"/>
                                <w:rPr>
                                  <w:rFonts w:ascii="標楷體" w:eastAsia="標楷體" w:hAnsi="標楷體"/>
                                  <w:color w:val="943634" w:themeColor="accent2" w:themeShade="BF"/>
                                  <w:sz w:val="32"/>
                                  <w:szCs w:val="32"/>
                                </w:rPr>
                              </w:pPr>
                              <w:r w:rsidRPr="00CF4C7A">
                                <w:rPr>
                                  <w:rFonts w:ascii="標楷體" w:eastAsia="標楷體" w:hAnsi="標楷體" w:hint="eastAsia"/>
                                  <w:color w:val="943634" w:themeColor="accent2" w:themeShade="BF"/>
                                  <w:sz w:val="32"/>
                                  <w:szCs w:val="32"/>
                                </w:rPr>
                                <w:t>產業輔導</w:t>
                              </w:r>
                            </w:p>
                          </w:txbxContent>
                        </wps:txbx>
                        <wps:bodyPr rot="0" vert="horz" wrap="square" lIns="91440" tIns="45720" rIns="91440" bIns="45720" anchor="ctr" anchorCtr="0" upright="1">
                          <a:noAutofit/>
                        </wps:bodyPr>
                      </wps:wsp>
                      <wps:wsp>
                        <wps:cNvPr id="7" name="矩形 5"/>
                        <wps:cNvSpPr>
                          <a:spLocks noChangeArrowheads="1"/>
                        </wps:cNvSpPr>
                        <wps:spPr bwMode="auto">
                          <a:xfrm>
                            <a:off x="425" y="19989"/>
                            <a:ext cx="12751" cy="4889"/>
                          </a:xfrm>
                          <a:prstGeom prst="rect">
                            <a:avLst/>
                          </a:prstGeom>
                          <a:solidFill>
                            <a:srgbClr val="FFFFFF"/>
                          </a:solidFill>
                          <a:ln w="25400">
                            <a:solidFill>
                              <a:srgbClr val="C0504D"/>
                            </a:solidFill>
                            <a:miter lim="800000"/>
                            <a:headEnd/>
                            <a:tailEnd/>
                          </a:ln>
                        </wps:spPr>
                        <wps:txbx>
                          <w:txbxContent>
                            <w:p w:rsidR="00C57342" w:rsidRPr="00CF4C7A" w:rsidRDefault="00C57342" w:rsidP="00F47623">
                              <w:pPr>
                                <w:jc w:val="center"/>
                                <w:rPr>
                                  <w:rFonts w:ascii="標楷體" w:eastAsia="標楷體" w:hAnsi="標楷體"/>
                                  <w:color w:val="943634" w:themeColor="accent2" w:themeShade="BF"/>
                                  <w:sz w:val="32"/>
                                  <w:szCs w:val="32"/>
                                </w:rPr>
                              </w:pPr>
                              <w:r w:rsidRPr="00CF4C7A">
                                <w:rPr>
                                  <w:rFonts w:ascii="標楷體" w:eastAsia="標楷體" w:hAnsi="標楷體" w:hint="eastAsia"/>
                                  <w:color w:val="943634" w:themeColor="accent2" w:themeShade="BF"/>
                                  <w:sz w:val="32"/>
                                  <w:szCs w:val="32"/>
                                </w:rPr>
                                <w:t>觀光建設</w:t>
                              </w:r>
                            </w:p>
                          </w:txbxContent>
                        </wps:txbx>
                        <wps:bodyPr rot="0" vert="horz" wrap="square" lIns="91440" tIns="45720" rIns="91440" bIns="45720" anchor="ctr" anchorCtr="0" upright="1">
                          <a:noAutofit/>
                        </wps:bodyPr>
                      </wps:wsp>
                      <wps:wsp>
                        <wps:cNvPr id="9" name="矩形 6"/>
                        <wps:cNvSpPr>
                          <a:spLocks noChangeArrowheads="1"/>
                        </wps:cNvSpPr>
                        <wps:spPr bwMode="auto">
                          <a:xfrm>
                            <a:off x="22434" y="9250"/>
                            <a:ext cx="13287" cy="5529"/>
                          </a:xfrm>
                          <a:prstGeom prst="rect">
                            <a:avLst/>
                          </a:prstGeom>
                          <a:solidFill>
                            <a:srgbClr val="F79646"/>
                          </a:solidFill>
                          <a:ln w="38100">
                            <a:solidFill>
                              <a:srgbClr val="FFFFFF"/>
                            </a:solidFill>
                            <a:miter lim="800000"/>
                            <a:headEnd/>
                            <a:tailEnd/>
                          </a:ln>
                          <a:effectLst>
                            <a:outerShdw dist="20000" dir="5400000" rotWithShape="0">
                              <a:srgbClr val="000000">
                                <a:alpha val="37999"/>
                              </a:srgbClr>
                            </a:outerShdw>
                          </a:effectLst>
                        </wps:spPr>
                        <wps:txbx>
                          <w:txbxContent>
                            <w:p w:rsidR="00C57342" w:rsidRPr="00E04C5B" w:rsidRDefault="00C57342" w:rsidP="00F47623">
                              <w:pPr>
                                <w:jc w:val="center"/>
                                <w:rPr>
                                  <w:rFonts w:ascii="標楷體" w:eastAsia="標楷體" w:hAnsi="標楷體"/>
                                  <w:b/>
                                  <w:color w:val="FFFFFF" w:themeColor="background1"/>
                                  <w:sz w:val="32"/>
                                  <w:szCs w:val="32"/>
                                </w:rPr>
                              </w:pPr>
                              <w:r w:rsidRPr="00E04C5B">
                                <w:rPr>
                                  <w:rFonts w:ascii="標楷體" w:eastAsia="標楷體" w:hAnsi="標楷體" w:hint="eastAsia"/>
                                  <w:b/>
                                  <w:color w:val="FFFFFF" w:themeColor="background1"/>
                                  <w:sz w:val="32"/>
                                  <w:szCs w:val="32"/>
                                </w:rPr>
                                <w:t>四心四軸</w:t>
                              </w:r>
                            </w:p>
                          </w:txbxContent>
                        </wps:txbx>
                        <wps:bodyPr rot="0" vert="horz" wrap="square" lIns="91440" tIns="45720" rIns="91440" bIns="45720" anchor="ctr" anchorCtr="0" upright="1">
                          <a:noAutofit/>
                        </wps:bodyPr>
                      </wps:wsp>
                      <wps:wsp>
                        <wps:cNvPr id="10" name="直線接點 7"/>
                        <wps:cNvCnPr/>
                        <wps:spPr bwMode="auto">
                          <a:xfrm flipV="1">
                            <a:off x="6485" y="17118"/>
                            <a:ext cx="0" cy="2762"/>
                          </a:xfrm>
                          <a:prstGeom prst="line">
                            <a:avLst/>
                          </a:prstGeom>
                          <a:noFill/>
                          <a:ln w="25400">
                            <a:solidFill>
                              <a:srgbClr val="F79646"/>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1" name="直線接點 9"/>
                        <wps:cNvCnPr/>
                        <wps:spPr bwMode="auto">
                          <a:xfrm flipV="1">
                            <a:off x="21371" y="17118"/>
                            <a:ext cx="0" cy="2762"/>
                          </a:xfrm>
                          <a:prstGeom prst="line">
                            <a:avLst/>
                          </a:prstGeom>
                          <a:noFill/>
                          <a:ln w="25400">
                            <a:solidFill>
                              <a:srgbClr val="F79646"/>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2" name="直線接點 10"/>
                        <wps:cNvCnPr/>
                        <wps:spPr bwMode="auto">
                          <a:xfrm flipV="1">
                            <a:off x="52631" y="17012"/>
                            <a:ext cx="0" cy="2762"/>
                          </a:xfrm>
                          <a:prstGeom prst="line">
                            <a:avLst/>
                          </a:prstGeom>
                          <a:noFill/>
                          <a:ln w="25400">
                            <a:solidFill>
                              <a:srgbClr val="F79646"/>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3" name="直線接點 11"/>
                        <wps:cNvCnPr/>
                        <wps:spPr bwMode="auto">
                          <a:xfrm flipV="1">
                            <a:off x="37107" y="17224"/>
                            <a:ext cx="0" cy="2763"/>
                          </a:xfrm>
                          <a:prstGeom prst="line">
                            <a:avLst/>
                          </a:prstGeom>
                          <a:noFill/>
                          <a:ln w="25400">
                            <a:solidFill>
                              <a:srgbClr val="F79646"/>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 name="直線接點 12"/>
                        <wps:cNvCnPr/>
                        <wps:spPr bwMode="auto">
                          <a:xfrm>
                            <a:off x="6485" y="17224"/>
                            <a:ext cx="46252" cy="0"/>
                          </a:xfrm>
                          <a:prstGeom prst="line">
                            <a:avLst/>
                          </a:prstGeom>
                          <a:noFill/>
                          <a:ln w="25400">
                            <a:solidFill>
                              <a:srgbClr val="F79646"/>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5" name="直線單箭頭接點 13"/>
                        <wps:cNvCnPr>
                          <a:cxnSpLocks noChangeShapeType="1"/>
                        </wps:cNvCnPr>
                        <wps:spPr bwMode="auto">
                          <a:xfrm flipH="1" flipV="1">
                            <a:off x="28601" y="14779"/>
                            <a:ext cx="106" cy="2450"/>
                          </a:xfrm>
                          <a:prstGeom prst="straightConnector1">
                            <a:avLst/>
                          </a:prstGeom>
                          <a:noFill/>
                          <a:ln w="25400">
                            <a:solidFill>
                              <a:srgbClr val="F79646"/>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6" name="直線單箭頭接點 15"/>
                        <wps:cNvCnPr>
                          <a:cxnSpLocks noChangeShapeType="1"/>
                        </wps:cNvCnPr>
                        <wps:spPr bwMode="auto">
                          <a:xfrm flipH="1" flipV="1">
                            <a:off x="28707" y="6592"/>
                            <a:ext cx="102" cy="2444"/>
                          </a:xfrm>
                          <a:prstGeom prst="straightConnector1">
                            <a:avLst/>
                          </a:prstGeom>
                          <a:noFill/>
                          <a:ln w="25400">
                            <a:solidFill>
                              <a:srgbClr val="F79646"/>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16" o:spid="_x0000_s1026" style="position:absolute;left:0;text-align:left;margin-left:1.1pt;margin-top:5pt;width:471.35pt;height:210.1pt;z-index:251659264" coordsize="59861,26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">
                <v:shapetype id="_x0000_t202" coordsize="21600,21600" o:spt="202" path="m,l,21600r21600,l21600,xe">
                  <v:stroke joinstyle="miter"/>
                  <v:path gradientshapeok="t" o:connecttype="rect"/>
                </v:shapetype>
                <v:shape id="文字方塊 2" o:spid="_x0000_s1027" type="#_x0000_t202" style="position:absolute;width:59861;height:26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C57342" w:rsidRDefault="00C57342" w:rsidP="00F47623"/>
                    </w:txbxContent>
                  </v:textbox>
                </v:shape>
                <v:rect id="矩形 1" o:spid="_x0000_s1028" style="position:absolute;left:21371;top:1169;width:14992;height:54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c5XMUA&#10;AADaAAAADwAAAGRycy9kb3ducmV2LnhtbESPT2vCQBTE74LfYXlCb7rRYinRVUQRi8WDtj14e2Rf&#10;/mj2bchuk9hP7woFj8PM/IaZLztTioZqV1hWMB5FIIgTqwvOFHx/bYfvIJxH1lhaJgU3crBc9Htz&#10;jLVt+UjNyWciQNjFqCD3voqldElOBt3IVsTBS21t0AdZZ1LX2Aa4KeUkit6kwYLDQo4VrXNKrqdf&#10;o+Bvnx4onf40h8+d37Xp/nzZTM5KvQy61QyEp84/w//tD63gFR5Xwg2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1zlcxQAAANoAAAAPAAAAAAAAAAAAAAAAAJgCAABkcnMv&#10;ZG93bnJldi54bWxQSwUGAAAAAAQABAD1AAAAigMAAAAA&#10;" fillcolor="#f79646" strokecolor="white" strokeweight="3pt">
                  <v:shadow on="t" color="black" opacity="24903f" origin=",.5" offset="0,.55556mm"/>
                  <v:textbox>
                    <w:txbxContent>
                      <w:p w:rsidR="00C57342" w:rsidRPr="00E04C5B" w:rsidRDefault="00C57342" w:rsidP="00F47623">
                        <w:pPr>
                          <w:jc w:val="center"/>
                          <w:rPr>
                            <w:rFonts w:ascii="標楷體" w:eastAsia="標楷體" w:hAnsi="標楷體"/>
                            <w:b/>
                            <w:color w:val="FFFFFF" w:themeColor="background1"/>
                            <w:sz w:val="36"/>
                            <w:szCs w:val="36"/>
                          </w:rPr>
                        </w:pPr>
                        <w:r w:rsidRPr="00E04C5B">
                          <w:rPr>
                            <w:rFonts w:ascii="標楷體" w:eastAsia="標楷體" w:hAnsi="標楷體" w:hint="eastAsia"/>
                            <w:b/>
                            <w:color w:val="FFFFFF" w:themeColor="background1"/>
                            <w:sz w:val="36"/>
                            <w:szCs w:val="36"/>
                          </w:rPr>
                          <w:t>白色雲嘉南</w:t>
                        </w:r>
                      </w:p>
                    </w:txbxContent>
                  </v:textbox>
                </v:rect>
                <v:rect id="矩形 2" o:spid="_x0000_s1029" style="position:absolute;left:45826;top:19776;width:13494;height:48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cgb8A&#10;AADaAAAADwAAAGRycy9kb3ducmV2LnhtbESPQYvCMBSE78L+h/AEbzZ1EV2qUWRxYa9W8fxo3rbB&#10;5qUksXb99UYQPA4z8w2z3g62FT35YBwrmGU5COLKacO1gtPxZ/oFIkRkja1jUvBPAbabj9EaC+1u&#10;fKC+jLVIEA4FKmhi7AopQ9WQxZC5jjh5f85bjEn6WmqPtwS3rfzM84W0aDgtNNjRd0PVpbxaBYfe&#10;tb05L9zSmIvfD8e7zsu7UpPxsFuBiDTEd/jV/tUK5vC8km6A3D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6JyBvwAAANoAAAAPAAAAAAAAAAAAAAAAAJgCAABkcnMvZG93bnJl&#10;di54bWxQSwUGAAAAAAQABAD1AAAAhAMAAAAA&#10;" strokecolor="#c0504d" strokeweight="2pt">
                  <v:textbox>
                    <w:txbxContent>
                      <w:p w:rsidR="00C57342" w:rsidRPr="00CF4C7A" w:rsidRDefault="00C57342" w:rsidP="00F47623">
                        <w:pPr>
                          <w:jc w:val="center"/>
                          <w:rPr>
                            <w:rFonts w:ascii="標楷體" w:eastAsia="標楷體" w:hAnsi="標楷體"/>
                            <w:color w:val="943634" w:themeColor="accent2" w:themeShade="BF"/>
                            <w:sz w:val="32"/>
                            <w:szCs w:val="32"/>
                          </w:rPr>
                        </w:pPr>
                        <w:r w:rsidRPr="00CF4C7A">
                          <w:rPr>
                            <w:rFonts w:ascii="標楷體" w:eastAsia="標楷體" w:hAnsi="標楷體" w:hint="eastAsia"/>
                            <w:color w:val="943634" w:themeColor="accent2" w:themeShade="BF"/>
                            <w:sz w:val="32"/>
                            <w:szCs w:val="32"/>
                          </w:rPr>
                          <w:t>民間投資</w:t>
                        </w:r>
                      </w:p>
                    </w:txbxContent>
                  </v:textbox>
                </v:rect>
                <v:rect id="矩形 3" o:spid="_x0000_s1030" style="position:absolute;left:30515;top:19882;width:13075;height:48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Q5Gr8A&#10;AADaAAAADwAAAGRycy9kb3ducmV2LnhtbESPQYvCMBSE78L+h/AEbzZ1QV2qUWRxYa9W8fxo3rbB&#10;5qUksXb99UYQPA4z8w2z3g62FT35YBwrmGU5COLKacO1gtPxZ/oFIkRkja1jUvBPAbabj9EaC+1u&#10;fKC+jLVIEA4FKmhi7AopQ9WQxZC5jjh5f85bjEn6WmqPtwS3rfzM84W0aDgtNNjRd0PVpbxaBYfe&#10;tb05L9zSmIvfD8e7zsu7UpPxsFuBiDTEd/jV/tUK5vC8km6A3D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pDkavwAAANoAAAAPAAAAAAAAAAAAAAAAAJgCAABkcnMvZG93bnJl&#10;di54bWxQSwUGAAAAAAQABAD1AAAAhAMAAAAA&#10;" strokecolor="#c0504d" strokeweight="2pt">
                  <v:textbox>
                    <w:txbxContent>
                      <w:p w:rsidR="00C57342" w:rsidRPr="00CF4C7A" w:rsidRDefault="00C57342" w:rsidP="00F47623">
                        <w:pPr>
                          <w:jc w:val="center"/>
                          <w:rPr>
                            <w:rFonts w:ascii="標楷體" w:eastAsia="標楷體" w:hAnsi="標楷體"/>
                            <w:color w:val="943634" w:themeColor="accent2" w:themeShade="BF"/>
                            <w:sz w:val="32"/>
                            <w:szCs w:val="32"/>
                          </w:rPr>
                        </w:pPr>
                        <w:r w:rsidRPr="00CF4C7A">
                          <w:rPr>
                            <w:rFonts w:ascii="標楷體" w:eastAsia="標楷體" w:hAnsi="標楷體" w:hint="eastAsia"/>
                            <w:color w:val="943634" w:themeColor="accent2" w:themeShade="BF"/>
                            <w:sz w:val="32"/>
                            <w:szCs w:val="32"/>
                          </w:rPr>
                          <w:t>宣傳行銷</w:t>
                        </w:r>
                      </w:p>
                    </w:txbxContent>
                  </v:textbox>
                </v:rect>
                <v:rect id="矩形 4" o:spid="_x0000_s1031" style="position:absolute;left:14991;top:19882;width:13494;height:48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anbb8A&#10;AADaAAAADwAAAGRycy9kb3ducmV2LnhtbESPQYvCMBSE78L+h/AW9mbT9VClGkVEYa9W8fxonm2w&#10;eSlJtlZ//WZB8DjMzDfMajPaTgzkg3Gs4DvLQRDXThtuFJxPh+kCRIjIGjvHpOBBATbrj8kKS+3u&#10;fKShio1IEA4lKmhj7EspQ92SxZC5njh5V+ctxiR9I7XHe4LbTs7yvJAWDaeFFnvatVTfql+r4Di4&#10;bjCXws2Nufn9eHrqvHoq9fU5bpcgIo3xHX61f7SCAv6vpBsg1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dqdtvwAAANoAAAAPAAAAAAAAAAAAAAAAAJgCAABkcnMvZG93bnJl&#10;di54bWxQSwUGAAAAAAQABAD1AAAAhAMAAAAA&#10;" strokecolor="#c0504d" strokeweight="2pt">
                  <v:textbox>
                    <w:txbxContent>
                      <w:p w:rsidR="00C57342" w:rsidRPr="00CF4C7A" w:rsidRDefault="00C57342" w:rsidP="00F47623">
                        <w:pPr>
                          <w:jc w:val="center"/>
                          <w:rPr>
                            <w:rFonts w:ascii="標楷體" w:eastAsia="標楷體" w:hAnsi="標楷體"/>
                            <w:color w:val="943634" w:themeColor="accent2" w:themeShade="BF"/>
                            <w:sz w:val="32"/>
                            <w:szCs w:val="32"/>
                          </w:rPr>
                        </w:pPr>
                        <w:r w:rsidRPr="00CF4C7A">
                          <w:rPr>
                            <w:rFonts w:ascii="標楷體" w:eastAsia="標楷體" w:hAnsi="標楷體" w:hint="eastAsia"/>
                            <w:color w:val="943634" w:themeColor="accent2" w:themeShade="BF"/>
                            <w:sz w:val="32"/>
                            <w:szCs w:val="32"/>
                          </w:rPr>
                          <w:t>產業輔導</w:t>
                        </w:r>
                      </w:p>
                    </w:txbxContent>
                  </v:textbox>
                </v:rect>
                <v:rect id="矩形 5" o:spid="_x0000_s1032" style="position:absolute;left:425;top:19989;width:12751;height:48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oC9r8A&#10;AADaAAAADwAAAGRycy9kb3ducmV2LnhtbESPQYvCMBSE78L+h/AWvGmqB5VqKoussFereH40b9vQ&#10;5qUk2dr11xtB8DjMzDfMbj/aTgzkg3GsYDHPQBBXThuuFVzOx9kGRIjIGjvHpOCfAuyLj8kOc+1u&#10;fKKhjLVIEA45Kmhi7HMpQ9WQxTB3PXHyfp23GJP0tdQebwluO7nMspW0aDgtNNjToaGqLf+sgtPg&#10;usFcV25tTOu/x/NdZ+Vdqenn+LUFEWmM7/Cr/aMVrOF5Jd0AWT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OgL2vwAAANoAAAAPAAAAAAAAAAAAAAAAAJgCAABkcnMvZG93bnJl&#10;di54bWxQSwUGAAAAAAQABAD1AAAAhAMAAAAA&#10;" strokecolor="#c0504d" strokeweight="2pt">
                  <v:textbox>
                    <w:txbxContent>
                      <w:p w:rsidR="00C57342" w:rsidRPr="00CF4C7A" w:rsidRDefault="00C57342" w:rsidP="00F47623">
                        <w:pPr>
                          <w:jc w:val="center"/>
                          <w:rPr>
                            <w:rFonts w:ascii="標楷體" w:eastAsia="標楷體" w:hAnsi="標楷體"/>
                            <w:color w:val="943634" w:themeColor="accent2" w:themeShade="BF"/>
                            <w:sz w:val="32"/>
                            <w:szCs w:val="32"/>
                          </w:rPr>
                        </w:pPr>
                        <w:r w:rsidRPr="00CF4C7A">
                          <w:rPr>
                            <w:rFonts w:ascii="標楷體" w:eastAsia="標楷體" w:hAnsi="標楷體" w:hint="eastAsia"/>
                            <w:color w:val="943634" w:themeColor="accent2" w:themeShade="BF"/>
                            <w:sz w:val="32"/>
                            <w:szCs w:val="32"/>
                          </w:rPr>
                          <w:t>觀光建設</w:t>
                        </w:r>
                      </w:p>
                    </w:txbxContent>
                  </v:textbox>
                </v:rect>
                <v:rect id="矩形 6" o:spid="_x0000_s1033" style="position:absolute;left:22434;top:9250;width:13287;height:55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8OtsUA&#10;AADaAAAADwAAAGRycy9kb3ducmV2LnhtbESPT2vCQBTE74LfYXlCb7pRqLTRVUQRi8WDtj14e2Rf&#10;/mj2bchuk9hP7woFj8PM/IaZLztTioZqV1hWMB5FIIgTqwvOFHx/bYdvIJxH1lhaJgU3crBc9Htz&#10;jLVt+UjNyWciQNjFqCD3voqldElOBt3IVsTBS21t0AdZZ1LX2Aa4KeUkiqbSYMFhIceK1jkl19Ov&#10;UfC3Tw+Uvv40h8+d37Xp/nzZTM5KvQy61QyEp84/w//tD63gHR5Xwg2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Pw62xQAAANoAAAAPAAAAAAAAAAAAAAAAAJgCAABkcnMv&#10;ZG93bnJldi54bWxQSwUGAAAAAAQABAD1AAAAigMAAAAA&#10;" fillcolor="#f79646" strokecolor="white" strokeweight="3pt">
                  <v:shadow on="t" color="black" opacity="24903f" origin=",.5" offset="0,.55556mm"/>
                  <v:textbox>
                    <w:txbxContent>
                      <w:p w:rsidR="00C57342" w:rsidRPr="00E04C5B" w:rsidRDefault="00C57342" w:rsidP="00F47623">
                        <w:pPr>
                          <w:jc w:val="center"/>
                          <w:rPr>
                            <w:rFonts w:ascii="標楷體" w:eastAsia="標楷體" w:hAnsi="標楷體"/>
                            <w:b/>
                            <w:color w:val="FFFFFF" w:themeColor="background1"/>
                            <w:sz w:val="32"/>
                            <w:szCs w:val="32"/>
                          </w:rPr>
                        </w:pPr>
                        <w:r w:rsidRPr="00E04C5B">
                          <w:rPr>
                            <w:rFonts w:ascii="標楷體" w:eastAsia="標楷體" w:hAnsi="標楷體" w:hint="eastAsia"/>
                            <w:b/>
                            <w:color w:val="FFFFFF" w:themeColor="background1"/>
                            <w:sz w:val="32"/>
                            <w:szCs w:val="32"/>
                          </w:rPr>
                          <w:t>四心四軸</w:t>
                        </w:r>
                      </w:p>
                    </w:txbxContent>
                  </v:textbox>
                </v:rect>
                <v:line id="直線接點 7" o:spid="_x0000_s1034" style="position:absolute;flip:y;visibility:visible;mso-wrap-style:square" from="6485,17118" to="6485,19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gCisMAAADbAAAADwAAAGRycy9kb3ducmV2LnhtbESPTWvCQBCG70L/wzKF3nSjQluiq0jV&#10;KkKhjUqvQ3aahGZnQ3Yb47/vHARvM8z78cx82btaddSGyrOB8SgBRZx7W3Fh4HTcDl9BhYhssfZM&#10;Bq4UYLl4GMwxtf7CX9RlsVASwiFFA2WMTap1yEtyGEa+IZbbj28dRlnbQtsWLxLuaj1JkmftsGJp&#10;KLGht5Ly3+zPSe9av+yKbnf+/nzvDxta2+nBfxjz9NivZqAi9fEuvrn3VvCFXn6RAf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oAorDAAAA2wAAAA8AAAAAAAAAAAAA&#10;AAAAoQIAAGRycy9kb3ducmV2LnhtbFBLBQYAAAAABAAEAPkAAACRAwAAAAA=&#10;" strokecolor="#f79646" strokeweight="2pt">
                  <v:shadow on="t" color="black" opacity="24903f" origin=",.5" offset="0,.55556mm"/>
                </v:line>
                <v:line id="直線接點 9" o:spid="_x0000_s1035" style="position:absolute;flip:y;visibility:visible;mso-wrap-style:square" from="21371,17118" to="21371,19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SnEcQAAADbAAAADwAAAGRycy9kb3ducmV2LnhtbESP3YrCMBCF7xd8hzCCd5qqoNI1iviz&#10;iiCou4u3QzO2xWZSmmytb28EYe9mOGfOd2Y6b0whaqpcbllBvxeBIE6szjlV8PO96U5AOI+ssbBM&#10;Ch7kYD5rfUwx1vbOJ6rPPhUhhF2MCjLvy1hKl2Rk0PVsSRy0q60M+rBWqdQV3kO4KeQgikbSYM6B&#10;kGFJy4yS2/nPBO5Kjrdpvf29HL+a/ZpWeri3B6U67WbxCcJT4//N7+udDvX78PolDCB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ZKcRxAAAANsAAAAPAAAAAAAAAAAA&#10;AAAAAKECAABkcnMvZG93bnJldi54bWxQSwUGAAAAAAQABAD5AAAAkgMAAAAA&#10;" strokecolor="#f79646" strokeweight="2pt">
                  <v:shadow on="t" color="black" opacity="24903f" origin=",.5" offset="0,.55556mm"/>
                </v:line>
                <v:line id="直線接點 10" o:spid="_x0000_s1036" style="position:absolute;flip:y;visibility:visible;mso-wrap-style:square" from="52631,17012" to="52631,19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Y5ZsMAAADbAAAADwAAAGRycy9kb3ducmV2LnhtbESP3YrCMBCF7wXfIYywd5rqgkrXKLL+&#10;Igjq7uLt0Ixt2WZSmljr2xtB8G6Gc+Z8ZyazxhSipsrllhX0exEI4sTqnFMFvz+r7hiE88gaC8uk&#10;4E4OZtN2a4Kxtjc+Un3yqQgh7GJUkHlfxlK6JCODrmdL4qBdbGXQh7VKpa7wFsJNIQdRNJQGcw6E&#10;DEv6zij5P11N4C7kaJPWm7/zYd3slrTQnzu7V+qj08y/QHhq/Nv8ut7qUH8Az1/CAH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2OWbDAAAA2wAAAA8AAAAAAAAAAAAA&#10;AAAAoQIAAGRycy9kb3ducmV2LnhtbFBLBQYAAAAABAAEAPkAAACRAwAAAAA=&#10;" strokecolor="#f79646" strokeweight="2pt">
                  <v:shadow on="t" color="black" opacity="24903f" origin=",.5" offset="0,.55556mm"/>
                </v:line>
                <v:line id="直線接點 11" o:spid="_x0000_s1037" style="position:absolute;flip:y;visibility:visible;mso-wrap-style:square" from="37107,17224" to="37107,19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c/cMAAADbAAAADwAAAGRycy9kb3ducmV2LnhtbESP3YrCMBCF7wXfIYzgnaYq7ErXKOI/&#10;gqDuLt4OzdgWm0lpYu2+vVkQvJvhnDnfmcmsMYWoqXK5ZQWDfgSCOLE651TBz/e6NwbhPLLGwjIp&#10;+CMHs2m7NcFY2wefqD77VIQQdjEqyLwvYyldkpFB17clcdCutjLow1qlUlf4COGmkMMo+pAGcw6E&#10;DEtaZJTczncTuEv5uU3r7e/luGn2K1rq0d4elOp2mvkXCE+Nf5tf1zsd6o/g/5cwgJ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6nP3DAAAA2wAAAA8AAAAAAAAAAAAA&#10;AAAAoQIAAGRycy9kb3ducmV2LnhtbFBLBQYAAAAABAAEAPkAAACRAwAAAAA=&#10;" strokecolor="#f79646" strokeweight="2pt">
                  <v:shadow on="t" color="black" opacity="24903f" origin=",.5" offset="0,.55556mm"/>
                </v:line>
                <v:line id="直線接點 12" o:spid="_x0000_s1038" style="position:absolute;visibility:visible;mso-wrap-style:square" from="6485,17224" to="52737,17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F5zMMAAADbAAAADwAAAGRycy9kb3ducmV2LnhtbERPTWvCQBC9C/6HZQQvRTet0tboKqUi&#10;CGKLWvE6ZMckmJ0N2TWJ/94VCt7m8T5ntmhNIWqqXG5ZweswAkGcWJ1zquDvsBp8gnAeWWNhmRTc&#10;yMFi3u3MMNa24R3Ve5+KEMIuRgWZ92UspUsyMuiGtiQO3NlWBn2AVSp1hU0IN4V8i6J3aTDn0JBh&#10;Sd8ZJZf91ShoXzbLn/W42X38Tsp6dD6tjvX2qFS/135NQXhq/VP8717rMH8Mj1/CA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ReczDAAAA2wAAAA8AAAAAAAAAAAAA&#10;AAAAoQIAAGRycy9kb3ducmV2LnhtbFBLBQYAAAAABAAEAPkAAACRAwAAAAA=&#10;" strokecolor="#f79646" strokeweight="2pt">
                  <v:shadow on="t" color="black" opacity="24903f" origin=",.5" offset="0,.55556mm"/>
                </v:line>
                <v:shapetype id="_x0000_t32" coordsize="21600,21600" o:spt="32" o:oned="t" path="m,l21600,21600e" filled="f">
                  <v:path arrowok="t" fillok="f" o:connecttype="none"/>
                  <o:lock v:ext="edit" shapetype="t"/>
                </v:shapetype>
                <v:shape id="直線單箭頭接點 13" o:spid="_x0000_s1039" type="#_x0000_t32" style="position:absolute;left:28601;top:14779;width:106;height:245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B2sAAAADbAAAADwAAAGRycy9kb3ducmV2LnhtbERP32vCMBB+H/g/hBN8W1MFZXSNMobC&#10;Xq2b4NuZnE1Zc6lNpvW/N4Kwt/v4fl65GlwrLtSHxrOCaZaDINbeNFwr+N5tXt9AhIhssPVMCm4U&#10;YLUcvZRYGH/lLV2qWIsUwqFABTbGrpAyaEsOQ+Y74sSdfO8wJtjX0vR4TeGulbM8X0iHDacGix19&#10;WtK/1Z9TsP85tNuTnpl1tTvON/Y8rMlapSbj4eMdRKQh/ouf7i+T5s/h8Us6QC7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flgdrAAAAA2wAAAA8AAAAAAAAAAAAAAAAA&#10;oQIAAGRycy9kb3ducmV2LnhtbFBLBQYAAAAABAAEAPkAAACOAwAAAAA=&#10;" strokecolor="#f79646" strokeweight="2pt">
                  <v:stroke endarrow="open"/>
                  <v:shadow on="t" color="black" opacity="24903f" origin=",.5" offset="0,.55556mm"/>
                </v:shape>
                <v:shape id="直線單箭頭接點 15" o:spid="_x0000_s1040" type="#_x0000_t32" style="position:absolute;left:28707;top:6592;width:102;height:244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cfrb4AAADbAAAADwAAAGRycy9kb3ducmV2LnhtbERPTYvCMBC9C/6HMII3TRUUqUYRUfBq&#10;XQVvYzM2xWZSm6jdf78RhL3N433OYtXaSryo8aVjBaNhAoI4d7rkQsHPcTeYgfABWWPlmBT8kofV&#10;sttZYKrdmw/0ykIhYgj7FBWYEOpUSp8bsuiHriaO3M01FkOETSF1g+8Ybis5TpKptFhybDBY08ZQ&#10;fs+eVsH5dKkOt3yst9nxOtmZR7slY5Tq99r1HESgNvyLv+69jvOn8PklHiCXf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3Nx+tvgAAANsAAAAPAAAAAAAAAAAAAAAAAKEC&#10;AABkcnMvZG93bnJldi54bWxQSwUGAAAAAAQABAD5AAAAjAMAAAAA&#10;" strokecolor="#f79646" strokeweight="2pt">
                  <v:stroke endarrow="open"/>
                  <v:shadow on="t" color="black" opacity="24903f" origin=",.5" offset="0,.55556mm"/>
                </v:shape>
                <w10:wrap type="topAndBottom"/>
              </v:group>
            </w:pict>
          </mc:Fallback>
        </mc:AlternateContent>
      </w:r>
    </w:p>
    <w:p w:rsidR="00F47623" w:rsidRPr="00D55DC6" w:rsidRDefault="00F47623" w:rsidP="004865C1">
      <w:pPr>
        <w:numPr>
          <w:ilvl w:val="0"/>
          <w:numId w:val="103"/>
        </w:numPr>
        <w:snapToGrid w:val="0"/>
        <w:spacing w:line="460" w:lineRule="exact"/>
        <w:jc w:val="both"/>
        <w:rPr>
          <w:rFonts w:eastAsia="標楷體"/>
          <w:b/>
          <w:sz w:val="28"/>
          <w:szCs w:val="28"/>
        </w:rPr>
      </w:pPr>
      <w:r w:rsidRPr="00D55DC6">
        <w:rPr>
          <w:rFonts w:eastAsia="標楷體"/>
          <w:b/>
          <w:sz w:val="28"/>
          <w:szCs w:val="28"/>
        </w:rPr>
        <w:t>主要工作項目</w:t>
      </w:r>
      <w:r w:rsidRPr="00D55DC6">
        <w:rPr>
          <w:rFonts w:eastAsia="標楷體"/>
          <w:b/>
          <w:sz w:val="28"/>
          <w:szCs w:val="28"/>
        </w:rPr>
        <w:t xml:space="preserve"> </w:t>
      </w:r>
    </w:p>
    <w:p w:rsidR="00F47623" w:rsidRPr="00D55DC6" w:rsidRDefault="00F47623" w:rsidP="004865C1">
      <w:pPr>
        <w:numPr>
          <w:ilvl w:val="1"/>
          <w:numId w:val="103"/>
        </w:numPr>
        <w:snapToGrid w:val="0"/>
        <w:spacing w:line="460" w:lineRule="exact"/>
        <w:jc w:val="both"/>
        <w:rPr>
          <w:rFonts w:eastAsia="標楷體"/>
          <w:b/>
          <w:sz w:val="28"/>
          <w:szCs w:val="28"/>
        </w:rPr>
      </w:pPr>
      <w:r w:rsidRPr="00D55DC6">
        <w:rPr>
          <w:rFonts w:eastAsia="標楷體"/>
          <w:b/>
          <w:sz w:val="28"/>
          <w:szCs w:val="28"/>
        </w:rPr>
        <w:t>國際觀光景點建設</w:t>
      </w:r>
    </w:p>
    <w:p w:rsidR="00F47623" w:rsidRPr="00D55DC6" w:rsidRDefault="00F47623" w:rsidP="0038165F">
      <w:pPr>
        <w:snapToGrid w:val="0"/>
        <w:spacing w:line="460" w:lineRule="exact"/>
        <w:ind w:leftChars="349" w:left="1275" w:hangingChars="156" w:hanging="437"/>
        <w:jc w:val="both"/>
        <w:rPr>
          <w:rFonts w:eastAsia="標楷體"/>
          <w:sz w:val="28"/>
          <w:szCs w:val="28"/>
        </w:rPr>
      </w:pPr>
      <w:r w:rsidRPr="00D55DC6">
        <w:rPr>
          <w:rFonts w:eastAsia="標楷體"/>
          <w:sz w:val="28"/>
          <w:szCs w:val="28"/>
        </w:rPr>
        <w:t>1-1.</w:t>
      </w:r>
      <w:r w:rsidRPr="00D55DC6">
        <w:rPr>
          <w:rFonts w:eastAsia="標楷體"/>
          <w:sz w:val="28"/>
          <w:szCs w:val="28"/>
        </w:rPr>
        <w:t>北門地區服務設施改善：辦理北門遊客中心、北門</w:t>
      </w:r>
      <w:r w:rsidRPr="00D55DC6">
        <w:rPr>
          <w:rFonts w:eastAsia="標楷體"/>
          <w:b/>
          <w:sz w:val="28"/>
          <w:szCs w:val="28"/>
        </w:rPr>
        <w:t>婚紗美地</w:t>
      </w:r>
      <w:r w:rsidRPr="00D55DC6">
        <w:rPr>
          <w:rFonts w:eastAsia="標楷體"/>
          <w:sz w:val="28"/>
          <w:szCs w:val="28"/>
        </w:rPr>
        <w:t>周邊服務設施改善暨景觀改善、井仔腳周邊服務設施改善暨景觀改善等北門地區服務設施改善工程。</w:t>
      </w:r>
    </w:p>
    <w:p w:rsidR="00F47623" w:rsidRPr="00D55DC6" w:rsidRDefault="00F47623" w:rsidP="0038165F">
      <w:pPr>
        <w:snapToGrid w:val="0"/>
        <w:spacing w:line="460" w:lineRule="exact"/>
        <w:ind w:leftChars="354" w:left="1273" w:hangingChars="151" w:hanging="423"/>
        <w:jc w:val="both"/>
        <w:rPr>
          <w:rFonts w:eastAsia="標楷體"/>
          <w:b/>
          <w:sz w:val="28"/>
          <w:szCs w:val="28"/>
        </w:rPr>
      </w:pPr>
      <w:r w:rsidRPr="00D55DC6">
        <w:rPr>
          <w:rFonts w:eastAsia="標楷體"/>
          <w:sz w:val="28"/>
          <w:szCs w:val="28"/>
        </w:rPr>
        <w:t>1-2.</w:t>
      </w:r>
      <w:r w:rsidRPr="00D55DC6">
        <w:rPr>
          <w:rFonts w:eastAsia="標楷體"/>
          <w:sz w:val="28"/>
          <w:szCs w:val="28"/>
        </w:rPr>
        <w:t>將軍七股地區服務設施改善：辦理七股遊客中心、臺灣鹽博物館周邊服務設施暨景觀改善工程、</w:t>
      </w:r>
      <w:r w:rsidRPr="00D55DC6">
        <w:rPr>
          <w:rFonts w:eastAsia="標楷體"/>
          <w:b/>
          <w:sz w:val="28"/>
          <w:szCs w:val="28"/>
        </w:rPr>
        <w:t>戀愛意象</w:t>
      </w:r>
      <w:r w:rsidRPr="00D55DC6">
        <w:rPr>
          <w:rFonts w:eastAsia="標楷體"/>
          <w:sz w:val="28"/>
          <w:szCs w:val="28"/>
        </w:rPr>
        <w:t>相關遊客服務設施暨景觀改善、七股地區遊客服務設施暨景觀改善工程、將軍地區遊客服務設施暨景觀改善工程等。</w:t>
      </w:r>
    </w:p>
    <w:p w:rsidR="00F47623" w:rsidRPr="00D55DC6" w:rsidRDefault="00F47623" w:rsidP="004865C1">
      <w:pPr>
        <w:numPr>
          <w:ilvl w:val="1"/>
          <w:numId w:val="103"/>
        </w:numPr>
        <w:snapToGrid w:val="0"/>
        <w:spacing w:line="460" w:lineRule="exact"/>
        <w:jc w:val="both"/>
        <w:rPr>
          <w:rFonts w:eastAsia="標楷體"/>
          <w:b/>
          <w:sz w:val="28"/>
          <w:szCs w:val="28"/>
        </w:rPr>
      </w:pPr>
      <w:r w:rsidRPr="00D55DC6">
        <w:rPr>
          <w:rFonts w:eastAsia="標楷體"/>
          <w:b/>
          <w:sz w:val="28"/>
          <w:szCs w:val="28"/>
        </w:rPr>
        <w:t>國內觀光景點建設</w:t>
      </w:r>
    </w:p>
    <w:p w:rsidR="00F47623" w:rsidRPr="00D55DC6" w:rsidRDefault="00F47623"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2-1.</w:t>
      </w:r>
      <w:r w:rsidRPr="00D55DC6">
        <w:rPr>
          <w:rFonts w:eastAsia="標楷體"/>
          <w:sz w:val="28"/>
          <w:szCs w:val="28"/>
        </w:rPr>
        <w:t>東石布袋地區服務設施改善：辦理</w:t>
      </w:r>
      <w:r w:rsidRPr="00D55DC6">
        <w:rPr>
          <w:rFonts w:eastAsia="標楷體"/>
          <w:b/>
          <w:sz w:val="28"/>
          <w:szCs w:val="28"/>
        </w:rPr>
        <w:t>結婚意象</w:t>
      </w:r>
      <w:r w:rsidRPr="00D55DC6">
        <w:rPr>
          <w:rFonts w:eastAsia="標楷體"/>
          <w:sz w:val="28"/>
          <w:szCs w:val="28"/>
        </w:rPr>
        <w:t>相關遊客服務設施暨</w:t>
      </w:r>
      <w:r w:rsidRPr="00D55DC6">
        <w:rPr>
          <w:rFonts w:eastAsia="標楷體"/>
          <w:sz w:val="28"/>
          <w:szCs w:val="28"/>
        </w:rPr>
        <w:lastRenderedPageBreak/>
        <w:t>景觀改善、布袋地區遊客服務設施暨景觀改善工程、東石地區遊客服務設施暨景觀改善工程等。</w:t>
      </w:r>
    </w:p>
    <w:p w:rsidR="00F47623" w:rsidRPr="00D55DC6" w:rsidRDefault="00F47623"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2-2.</w:t>
      </w:r>
      <w:r w:rsidRPr="00D55DC6">
        <w:rPr>
          <w:rFonts w:eastAsia="標楷體"/>
          <w:sz w:val="28"/>
          <w:szCs w:val="28"/>
        </w:rPr>
        <w:t>四湖口湖地區服務設施改善：辦理</w:t>
      </w:r>
      <w:r w:rsidRPr="00D55DC6">
        <w:rPr>
          <w:rFonts w:eastAsia="標楷體"/>
          <w:b/>
          <w:sz w:val="28"/>
          <w:szCs w:val="28"/>
        </w:rPr>
        <w:t>幸</w:t>
      </w:r>
      <w:r w:rsidR="000431FE" w:rsidRPr="00D55DC6">
        <w:rPr>
          <w:rFonts w:eastAsia="標楷體" w:hint="eastAsia"/>
          <w:b/>
          <w:sz w:val="28"/>
          <w:szCs w:val="28"/>
        </w:rPr>
        <w:t>福</w:t>
      </w:r>
      <w:r w:rsidRPr="00D55DC6">
        <w:rPr>
          <w:rFonts w:eastAsia="標楷體"/>
          <w:b/>
          <w:sz w:val="28"/>
          <w:szCs w:val="28"/>
        </w:rPr>
        <w:t>、失戀意象</w:t>
      </w:r>
      <w:r w:rsidRPr="00D55DC6">
        <w:rPr>
          <w:rFonts w:eastAsia="標楷體"/>
          <w:sz w:val="28"/>
          <w:szCs w:val="28"/>
        </w:rPr>
        <w:t>相關遊客服務設施暨景觀改善、口湖地區遊客服務設施暨景觀改善工程、四湖地區遊客服務設施暨景觀改善工程。</w:t>
      </w:r>
    </w:p>
    <w:p w:rsidR="00F47623" w:rsidRPr="00D55DC6" w:rsidRDefault="00F47623" w:rsidP="004865C1">
      <w:pPr>
        <w:numPr>
          <w:ilvl w:val="1"/>
          <w:numId w:val="103"/>
        </w:numPr>
        <w:snapToGrid w:val="0"/>
        <w:spacing w:line="460" w:lineRule="exact"/>
        <w:jc w:val="both"/>
        <w:rPr>
          <w:rFonts w:eastAsia="標楷體"/>
          <w:b/>
          <w:sz w:val="28"/>
          <w:szCs w:val="28"/>
        </w:rPr>
      </w:pPr>
      <w:r w:rsidRPr="00D55DC6">
        <w:rPr>
          <w:rFonts w:eastAsia="標楷體"/>
          <w:b/>
          <w:sz w:val="28"/>
          <w:szCs w:val="28"/>
        </w:rPr>
        <w:t>國家風景區經營管理</w:t>
      </w:r>
    </w:p>
    <w:p w:rsidR="00F47623" w:rsidRPr="00D55DC6" w:rsidRDefault="00F47623"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3-1.</w:t>
      </w:r>
      <w:r w:rsidRPr="00D55DC6">
        <w:rPr>
          <w:rFonts w:eastAsia="標楷體"/>
          <w:sz w:val="28"/>
          <w:szCs w:val="28"/>
        </w:rPr>
        <w:t>用地取得：辦理風景區內觀光遊憩據點用地取得作業。</w:t>
      </w:r>
    </w:p>
    <w:p w:rsidR="00F47623" w:rsidRPr="00D55DC6" w:rsidRDefault="00F47623"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3-2.</w:t>
      </w:r>
      <w:r w:rsidRPr="00D55DC6">
        <w:rPr>
          <w:rFonts w:eastAsia="標楷體"/>
          <w:sz w:val="28"/>
          <w:szCs w:val="28"/>
        </w:rPr>
        <w:t>先期規劃設計：辦理轄區內遊憩據點各項先期規劃、資源調查、開發經營管理策略研究及工程建設設計。</w:t>
      </w:r>
    </w:p>
    <w:p w:rsidR="00F47623" w:rsidRPr="00D55DC6" w:rsidRDefault="00F47623"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3-3.</w:t>
      </w:r>
      <w:r w:rsidRPr="00D55DC6">
        <w:rPr>
          <w:rFonts w:eastAsia="標楷體"/>
          <w:sz w:val="28"/>
          <w:szCs w:val="28"/>
        </w:rPr>
        <w:t>環境維護及設施維持：各遊憩據點建築物與設施定期巡查及保養維護，以提升遊客安全。</w:t>
      </w:r>
    </w:p>
    <w:p w:rsidR="00F47623" w:rsidRPr="00D55DC6" w:rsidRDefault="00F47623"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3-4.</w:t>
      </w:r>
      <w:r w:rsidRPr="00D55DC6">
        <w:rPr>
          <w:rFonts w:eastAsia="標楷體"/>
          <w:sz w:val="28"/>
          <w:szCs w:val="28"/>
        </w:rPr>
        <w:t>全區災害復舊及一般零星工程：辦理全區災害緊急修繕及公共設施整修。</w:t>
      </w:r>
    </w:p>
    <w:p w:rsidR="00F47623" w:rsidRPr="00D55DC6" w:rsidRDefault="00F47623" w:rsidP="004865C1">
      <w:pPr>
        <w:numPr>
          <w:ilvl w:val="1"/>
          <w:numId w:val="103"/>
        </w:numPr>
        <w:snapToGrid w:val="0"/>
        <w:spacing w:line="460" w:lineRule="exact"/>
        <w:jc w:val="both"/>
        <w:rPr>
          <w:rFonts w:eastAsia="標楷體"/>
          <w:b/>
          <w:sz w:val="28"/>
          <w:szCs w:val="28"/>
        </w:rPr>
      </w:pPr>
      <w:r w:rsidRPr="00D55DC6">
        <w:rPr>
          <w:rFonts w:eastAsia="標楷體"/>
          <w:b/>
          <w:sz w:val="28"/>
          <w:szCs w:val="28"/>
        </w:rPr>
        <w:t>經營管理及行銷推廣</w:t>
      </w:r>
    </w:p>
    <w:p w:rsidR="00F47623" w:rsidRPr="00D55DC6" w:rsidRDefault="00F47623" w:rsidP="0038165F">
      <w:pPr>
        <w:snapToGrid w:val="0"/>
        <w:spacing w:line="460" w:lineRule="exact"/>
        <w:ind w:left="840"/>
        <w:jc w:val="both"/>
        <w:rPr>
          <w:rFonts w:eastAsia="標楷體"/>
          <w:sz w:val="28"/>
          <w:szCs w:val="28"/>
        </w:rPr>
      </w:pPr>
      <w:r w:rsidRPr="00D55DC6">
        <w:rPr>
          <w:rFonts w:eastAsia="標楷體"/>
          <w:sz w:val="28"/>
          <w:szCs w:val="28"/>
        </w:rPr>
        <w:t>4-1.</w:t>
      </w:r>
      <w:r w:rsidRPr="00D55DC6">
        <w:rPr>
          <w:rFonts w:eastAsia="標楷體"/>
          <w:sz w:val="28"/>
          <w:szCs w:val="28"/>
        </w:rPr>
        <w:t>經營管理：</w:t>
      </w:r>
      <w:r w:rsidRPr="00D55DC6">
        <w:rPr>
          <w:rFonts w:eastAsia="標楷體"/>
          <w:sz w:val="28"/>
          <w:szCs w:val="28"/>
        </w:rPr>
        <w:t xml:space="preserve"> </w:t>
      </w:r>
    </w:p>
    <w:p w:rsidR="00F47623" w:rsidRPr="00D55DC6" w:rsidRDefault="00F47623" w:rsidP="0038165F">
      <w:pPr>
        <w:snapToGrid w:val="0"/>
        <w:spacing w:line="460" w:lineRule="exact"/>
        <w:ind w:leftChars="532" w:left="1985" w:hangingChars="253" w:hanging="708"/>
        <w:jc w:val="both"/>
        <w:rPr>
          <w:rFonts w:eastAsia="標楷體"/>
          <w:sz w:val="28"/>
          <w:szCs w:val="28"/>
        </w:rPr>
      </w:pPr>
      <w:r w:rsidRPr="00D55DC6">
        <w:rPr>
          <w:rFonts w:eastAsia="標楷體"/>
          <w:sz w:val="28"/>
          <w:szCs w:val="28"/>
        </w:rPr>
        <w:t>4-1-1.</w:t>
      </w:r>
      <w:r w:rsidRPr="00D55DC6">
        <w:rPr>
          <w:rFonts w:eastAsia="標楷體"/>
          <w:sz w:val="28"/>
          <w:szCs w:val="28"/>
        </w:rPr>
        <w:t>遊憩資源維護計畫：雲嘉南濱海遊憩區環境改善及綠美化、推動資源認養維護。</w:t>
      </w:r>
    </w:p>
    <w:p w:rsidR="00F47623" w:rsidRPr="00D55DC6" w:rsidRDefault="00F47623" w:rsidP="0038165F">
      <w:pPr>
        <w:snapToGrid w:val="0"/>
        <w:spacing w:line="460" w:lineRule="exact"/>
        <w:ind w:leftChars="532" w:left="1985" w:hangingChars="253" w:hanging="708"/>
        <w:jc w:val="both"/>
        <w:rPr>
          <w:rFonts w:eastAsia="標楷體"/>
          <w:sz w:val="28"/>
          <w:szCs w:val="28"/>
        </w:rPr>
      </w:pPr>
      <w:r w:rsidRPr="00D55DC6">
        <w:rPr>
          <w:rFonts w:eastAsia="標楷體"/>
          <w:sz w:val="28"/>
          <w:szCs w:val="28"/>
        </w:rPr>
        <w:t>4-1-2.</w:t>
      </w:r>
      <w:r w:rsidRPr="00D55DC6">
        <w:rPr>
          <w:rFonts w:eastAsia="標楷體"/>
          <w:sz w:val="28"/>
          <w:szCs w:val="28"/>
        </w:rPr>
        <w:t>遊憩設備安全檢查制度：定期保固維護並落實設施巡查，以維旅遊安全。</w:t>
      </w:r>
    </w:p>
    <w:p w:rsidR="00F47623" w:rsidRPr="00D55DC6" w:rsidRDefault="00F47623" w:rsidP="0038165F">
      <w:pPr>
        <w:snapToGrid w:val="0"/>
        <w:spacing w:line="460" w:lineRule="exact"/>
        <w:ind w:leftChars="532" w:left="1985" w:hangingChars="253" w:hanging="708"/>
        <w:jc w:val="both"/>
        <w:rPr>
          <w:rFonts w:eastAsia="標楷體"/>
          <w:sz w:val="28"/>
          <w:szCs w:val="28"/>
        </w:rPr>
      </w:pPr>
      <w:r w:rsidRPr="00D55DC6">
        <w:rPr>
          <w:rFonts w:eastAsia="標楷體"/>
          <w:sz w:val="28"/>
          <w:szCs w:val="28"/>
        </w:rPr>
        <w:t>4-1-3.</w:t>
      </w:r>
      <w:r w:rsidRPr="00D55DC6">
        <w:rPr>
          <w:rFonts w:eastAsia="標楷體"/>
          <w:sz w:val="28"/>
          <w:szCs w:val="28"/>
        </w:rPr>
        <w:t>遊憩服務設施修繕維護：各類遊憩服務設施定期維護整修或重建。</w:t>
      </w:r>
    </w:p>
    <w:p w:rsidR="00F47623" w:rsidRPr="00D55DC6" w:rsidRDefault="00F47623" w:rsidP="0038165F">
      <w:pPr>
        <w:snapToGrid w:val="0"/>
        <w:spacing w:line="460" w:lineRule="exact"/>
        <w:ind w:leftChars="532" w:left="1985" w:hangingChars="253" w:hanging="708"/>
        <w:jc w:val="both"/>
        <w:rPr>
          <w:rFonts w:eastAsia="標楷體"/>
          <w:sz w:val="28"/>
          <w:szCs w:val="28"/>
        </w:rPr>
      </w:pPr>
      <w:r w:rsidRPr="00D55DC6">
        <w:rPr>
          <w:rFonts w:eastAsia="標楷體"/>
          <w:sz w:val="28"/>
          <w:szCs w:val="28"/>
        </w:rPr>
        <w:t>4-1-4.</w:t>
      </w:r>
      <w:r w:rsidRPr="00D55DC6">
        <w:rPr>
          <w:rFonts w:eastAsia="標楷體"/>
          <w:sz w:val="28"/>
          <w:szCs w:val="28"/>
        </w:rPr>
        <w:t>海岸線及遊憩據點環境整理維護：加強遊憩區環境清潔、委託專業公司辦理清潔維護工作、不定期舉辦淨灘活動。</w:t>
      </w:r>
    </w:p>
    <w:p w:rsidR="00F47623" w:rsidRPr="00D55DC6" w:rsidRDefault="00F47623" w:rsidP="0038165F">
      <w:pPr>
        <w:snapToGrid w:val="0"/>
        <w:spacing w:line="460" w:lineRule="exact"/>
        <w:ind w:leftChars="532" w:left="1985" w:hangingChars="253" w:hanging="708"/>
        <w:jc w:val="both"/>
        <w:rPr>
          <w:rFonts w:eastAsia="標楷體"/>
          <w:sz w:val="28"/>
          <w:szCs w:val="28"/>
        </w:rPr>
      </w:pPr>
      <w:r w:rsidRPr="00D55DC6">
        <w:rPr>
          <w:rFonts w:eastAsia="標楷體"/>
          <w:sz w:val="28"/>
          <w:szCs w:val="28"/>
        </w:rPr>
        <w:t>4-1-5.</w:t>
      </w:r>
      <w:r w:rsidRPr="00D55DC6">
        <w:rPr>
          <w:rFonts w:eastAsia="標楷體"/>
          <w:sz w:val="28"/>
          <w:szCs w:val="28"/>
        </w:rPr>
        <w:t>委外民間經營：撙節公務支出，強化經營能量。</w:t>
      </w:r>
    </w:p>
    <w:p w:rsidR="00F47623" w:rsidRPr="00D55DC6" w:rsidRDefault="00F47623" w:rsidP="0038165F">
      <w:pPr>
        <w:snapToGrid w:val="0"/>
        <w:spacing w:line="460" w:lineRule="exact"/>
        <w:ind w:left="840"/>
        <w:jc w:val="both"/>
        <w:rPr>
          <w:rFonts w:eastAsia="標楷體"/>
          <w:sz w:val="28"/>
          <w:szCs w:val="28"/>
        </w:rPr>
      </w:pPr>
      <w:r w:rsidRPr="00D55DC6">
        <w:rPr>
          <w:rFonts w:eastAsia="標楷體"/>
          <w:sz w:val="28"/>
          <w:szCs w:val="28"/>
        </w:rPr>
        <w:t>4-2.</w:t>
      </w:r>
      <w:r w:rsidRPr="00D55DC6">
        <w:rPr>
          <w:rFonts w:eastAsia="標楷體"/>
          <w:sz w:val="28"/>
          <w:szCs w:val="28"/>
        </w:rPr>
        <w:t>行銷推廣：</w:t>
      </w:r>
    </w:p>
    <w:p w:rsidR="00F47623" w:rsidRPr="00D55DC6" w:rsidRDefault="00F47623" w:rsidP="0038165F">
      <w:pPr>
        <w:snapToGrid w:val="0"/>
        <w:spacing w:line="460" w:lineRule="exact"/>
        <w:ind w:leftChars="530" w:left="1980" w:hangingChars="253" w:hanging="708"/>
        <w:jc w:val="both"/>
        <w:rPr>
          <w:rFonts w:eastAsia="標楷體"/>
          <w:sz w:val="28"/>
          <w:szCs w:val="28"/>
        </w:rPr>
      </w:pPr>
      <w:r w:rsidRPr="00D55DC6">
        <w:rPr>
          <w:rFonts w:eastAsia="標楷體"/>
          <w:sz w:val="28"/>
          <w:szCs w:val="28"/>
        </w:rPr>
        <w:t>4-2-1.</w:t>
      </w:r>
      <w:r w:rsidRPr="00D55DC6">
        <w:rPr>
          <w:rFonts w:eastAsia="標楷體"/>
          <w:sz w:val="28"/>
          <w:szCs w:val="28"/>
        </w:rPr>
        <w:t>推動優質行銷方案，強化媒體及網路宣傳經營，拓展觀光市場客源。</w:t>
      </w:r>
    </w:p>
    <w:p w:rsidR="00F47623" w:rsidRPr="00D55DC6" w:rsidRDefault="00F47623" w:rsidP="0038165F">
      <w:pPr>
        <w:snapToGrid w:val="0"/>
        <w:spacing w:line="460" w:lineRule="exact"/>
        <w:ind w:leftChars="530" w:left="1980" w:hangingChars="253" w:hanging="708"/>
        <w:jc w:val="both"/>
        <w:rPr>
          <w:rFonts w:eastAsia="標楷體"/>
          <w:sz w:val="28"/>
          <w:szCs w:val="28"/>
        </w:rPr>
      </w:pPr>
      <w:r w:rsidRPr="00D55DC6">
        <w:rPr>
          <w:rFonts w:eastAsia="標楷體"/>
          <w:sz w:val="28"/>
          <w:szCs w:val="28"/>
        </w:rPr>
        <w:t>4-2-2.</w:t>
      </w:r>
      <w:r w:rsidRPr="00D55DC6">
        <w:rPr>
          <w:rFonts w:eastAsia="標楷體"/>
          <w:sz w:val="28"/>
          <w:szCs w:val="28"/>
        </w:rPr>
        <w:t>舉辦多樣性活動如白色耶誕與送夕陽及東石海之夏祭等活動。</w:t>
      </w:r>
    </w:p>
    <w:p w:rsidR="0099296A" w:rsidRPr="00D55DC6" w:rsidRDefault="0099296A" w:rsidP="0038165F">
      <w:pPr>
        <w:snapToGrid w:val="0"/>
        <w:spacing w:line="460" w:lineRule="exact"/>
        <w:ind w:leftChars="530" w:left="1980" w:hangingChars="253" w:hanging="708"/>
        <w:jc w:val="both"/>
        <w:rPr>
          <w:rFonts w:eastAsia="標楷體"/>
          <w:sz w:val="28"/>
          <w:szCs w:val="28"/>
        </w:rPr>
      </w:pPr>
    </w:p>
    <w:p w:rsidR="00F47623" w:rsidRPr="00D55DC6" w:rsidRDefault="00F47623" w:rsidP="004865C1">
      <w:pPr>
        <w:numPr>
          <w:ilvl w:val="1"/>
          <w:numId w:val="103"/>
        </w:numPr>
        <w:snapToGrid w:val="0"/>
        <w:spacing w:line="460" w:lineRule="exact"/>
        <w:jc w:val="both"/>
        <w:rPr>
          <w:rFonts w:eastAsia="標楷體"/>
          <w:b/>
          <w:sz w:val="28"/>
          <w:szCs w:val="28"/>
        </w:rPr>
      </w:pPr>
      <w:r w:rsidRPr="00D55DC6">
        <w:rPr>
          <w:rFonts w:eastAsia="標楷體"/>
          <w:b/>
          <w:sz w:val="28"/>
          <w:szCs w:val="28"/>
        </w:rPr>
        <w:lastRenderedPageBreak/>
        <w:t>提升觀光建設自償性</w:t>
      </w:r>
    </w:p>
    <w:p w:rsidR="00F47623" w:rsidRPr="00D55DC6" w:rsidRDefault="00F47623"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5-1.</w:t>
      </w:r>
      <w:r w:rsidRPr="00D55DC6">
        <w:rPr>
          <w:rFonts w:eastAsia="標楷體"/>
          <w:sz w:val="28"/>
          <w:szCs w:val="28"/>
        </w:rPr>
        <w:t>設施出租：出租</w:t>
      </w:r>
      <w:r w:rsidRPr="00D55DC6">
        <w:rPr>
          <w:rFonts w:eastAsia="標楷體"/>
          <w:kern w:val="0"/>
          <w:sz w:val="28"/>
          <w:szCs w:val="28"/>
        </w:rPr>
        <w:t>北門嶼</w:t>
      </w:r>
      <w:r w:rsidRPr="00D55DC6">
        <w:rPr>
          <w:rFonts w:eastAsia="標楷體"/>
          <w:sz w:val="28"/>
          <w:szCs w:val="28"/>
        </w:rPr>
        <w:t>餐廳、雲嘉南號小船、錢來也商店、口湖遊客中心等設施。</w:t>
      </w:r>
    </w:p>
    <w:p w:rsidR="00F47623" w:rsidRPr="00D55DC6" w:rsidRDefault="00F47623"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5-2.</w:t>
      </w:r>
      <w:r w:rsidRPr="00D55DC6">
        <w:rPr>
          <w:rFonts w:eastAsia="標楷體"/>
          <w:sz w:val="28"/>
          <w:szCs w:val="28"/>
        </w:rPr>
        <w:t>促參：辦理布袋遊客中心促參案、北門鹽工宿舍促參案、井仔腳鹽田促參案等。</w:t>
      </w:r>
    </w:p>
    <w:p w:rsidR="00F47623" w:rsidRPr="00D55DC6" w:rsidRDefault="00F47623"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5-3.</w:t>
      </w:r>
      <w:r w:rsidRPr="00D55DC6">
        <w:rPr>
          <w:rFonts w:eastAsia="標楷體"/>
          <w:sz w:val="28"/>
          <w:szCs w:val="28"/>
        </w:rPr>
        <w:t>使用者付費：逐步評估推動停車場收費效益、環境資源費用等。</w:t>
      </w:r>
    </w:p>
    <w:p w:rsidR="00F47623" w:rsidRPr="00D55DC6" w:rsidRDefault="00F47623"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5-4.</w:t>
      </w:r>
      <w:r w:rsidRPr="00D55DC6">
        <w:rPr>
          <w:rFonts w:eastAsia="標楷體"/>
          <w:sz w:val="28"/>
          <w:szCs w:val="28"/>
        </w:rPr>
        <w:t>跨域合作：積極與地方政府及各業務推動單位等議題合作。</w:t>
      </w:r>
    </w:p>
    <w:p w:rsidR="00F47623" w:rsidRPr="00D55DC6" w:rsidRDefault="00F47623" w:rsidP="0038165F">
      <w:pPr>
        <w:widowControl/>
        <w:spacing w:line="460" w:lineRule="exact"/>
        <w:rPr>
          <w:rFonts w:eastAsia="標楷體"/>
          <w:sz w:val="28"/>
          <w:szCs w:val="28"/>
        </w:rPr>
      </w:pPr>
    </w:p>
    <w:p w:rsidR="00F47623" w:rsidRPr="00D55DC6" w:rsidRDefault="00F47623" w:rsidP="004865C1">
      <w:pPr>
        <w:numPr>
          <w:ilvl w:val="0"/>
          <w:numId w:val="103"/>
        </w:numPr>
        <w:snapToGrid w:val="0"/>
        <w:spacing w:line="460" w:lineRule="exact"/>
        <w:jc w:val="both"/>
        <w:rPr>
          <w:rFonts w:eastAsia="標楷體"/>
          <w:b/>
          <w:sz w:val="28"/>
          <w:szCs w:val="28"/>
        </w:rPr>
      </w:pPr>
      <w:r w:rsidRPr="00D55DC6">
        <w:rPr>
          <w:rFonts w:eastAsia="標楷體"/>
          <w:b/>
          <w:sz w:val="28"/>
          <w:szCs w:val="28"/>
        </w:rPr>
        <w:t xml:space="preserve">分年預期成果　</w:t>
      </w:r>
    </w:p>
    <w:p w:rsidR="00F47623" w:rsidRPr="00D55DC6" w:rsidRDefault="00F47623" w:rsidP="004865C1">
      <w:pPr>
        <w:numPr>
          <w:ilvl w:val="0"/>
          <w:numId w:val="104"/>
        </w:numPr>
        <w:snapToGrid w:val="0"/>
        <w:spacing w:line="460" w:lineRule="exact"/>
        <w:jc w:val="both"/>
        <w:rPr>
          <w:rFonts w:eastAsia="標楷體"/>
          <w:b/>
          <w:sz w:val="28"/>
          <w:szCs w:val="28"/>
        </w:rPr>
      </w:pPr>
      <w:r w:rsidRPr="00D55DC6">
        <w:rPr>
          <w:rFonts w:eastAsia="標楷體"/>
          <w:b/>
          <w:sz w:val="28"/>
          <w:szCs w:val="28"/>
        </w:rPr>
        <w:t>105</w:t>
      </w:r>
      <w:r w:rsidRPr="00D55DC6">
        <w:rPr>
          <w:rFonts w:eastAsia="標楷體"/>
          <w:b/>
          <w:sz w:val="28"/>
          <w:szCs w:val="28"/>
        </w:rPr>
        <w:t>年完成：</w:t>
      </w:r>
    </w:p>
    <w:p w:rsidR="00F47623" w:rsidRPr="00D55DC6" w:rsidRDefault="00F47623" w:rsidP="0038165F">
      <w:pPr>
        <w:snapToGrid w:val="0"/>
        <w:spacing w:line="460" w:lineRule="exact"/>
        <w:ind w:leftChars="350" w:left="1274" w:hangingChars="155" w:hanging="434"/>
        <w:jc w:val="both"/>
        <w:rPr>
          <w:rFonts w:eastAsia="標楷體"/>
          <w:sz w:val="28"/>
          <w:szCs w:val="28"/>
        </w:rPr>
      </w:pPr>
      <w:r w:rsidRPr="00D55DC6">
        <w:rPr>
          <w:rFonts w:eastAsia="標楷體"/>
          <w:b/>
          <w:sz w:val="28"/>
          <w:szCs w:val="28"/>
        </w:rPr>
        <w:t>1-1.</w:t>
      </w:r>
      <w:r w:rsidRPr="00D55DC6">
        <w:rPr>
          <w:rFonts w:eastAsia="標楷體"/>
          <w:b/>
          <w:sz w:val="28"/>
          <w:szCs w:val="28"/>
        </w:rPr>
        <w:t>國際觀光重要景點：</w:t>
      </w:r>
      <w:r w:rsidRPr="00D55DC6">
        <w:rPr>
          <w:rFonts w:eastAsia="標楷體"/>
          <w:sz w:val="28"/>
          <w:szCs w:val="28"/>
        </w:rPr>
        <w:t>北門地區服務設施改善</w:t>
      </w:r>
      <w:r w:rsidRPr="00D55DC6">
        <w:rPr>
          <w:rFonts w:eastAsia="標楷體"/>
          <w:sz w:val="28"/>
          <w:szCs w:val="28"/>
        </w:rPr>
        <w:t>(</w:t>
      </w:r>
      <w:r w:rsidRPr="00D55DC6">
        <w:rPr>
          <w:rFonts w:eastAsia="標楷體"/>
          <w:sz w:val="28"/>
          <w:szCs w:val="28"/>
        </w:rPr>
        <w:t>北門</w:t>
      </w:r>
      <w:r w:rsidRPr="00D55DC6">
        <w:rPr>
          <w:rFonts w:eastAsia="標楷體"/>
          <w:b/>
          <w:sz w:val="28"/>
          <w:szCs w:val="28"/>
        </w:rPr>
        <w:t>婚紗美地</w:t>
      </w:r>
      <w:r w:rsidRPr="00D55DC6">
        <w:rPr>
          <w:rFonts w:eastAsia="標楷體"/>
          <w:sz w:val="28"/>
          <w:szCs w:val="28"/>
        </w:rPr>
        <w:t>周邊服務設施改善暨景觀改善工程</w:t>
      </w:r>
      <w:r w:rsidRPr="00D55DC6">
        <w:rPr>
          <w:rFonts w:eastAsia="標楷體"/>
          <w:sz w:val="28"/>
          <w:szCs w:val="28"/>
        </w:rPr>
        <w:t>)</w:t>
      </w:r>
      <w:r w:rsidRPr="00D55DC6">
        <w:rPr>
          <w:rFonts w:eastAsia="標楷體"/>
          <w:sz w:val="28"/>
          <w:szCs w:val="28"/>
        </w:rPr>
        <w:t>。</w:t>
      </w:r>
    </w:p>
    <w:p w:rsidR="00F47623" w:rsidRPr="00D55DC6" w:rsidRDefault="00F47623" w:rsidP="0038165F">
      <w:pPr>
        <w:snapToGrid w:val="0"/>
        <w:spacing w:line="460" w:lineRule="exact"/>
        <w:ind w:leftChars="350" w:left="1274" w:hangingChars="155" w:hanging="434"/>
        <w:jc w:val="both"/>
        <w:rPr>
          <w:rFonts w:eastAsia="標楷體"/>
          <w:b/>
          <w:sz w:val="28"/>
          <w:szCs w:val="28"/>
        </w:rPr>
      </w:pPr>
      <w:r w:rsidRPr="00D55DC6">
        <w:rPr>
          <w:rFonts w:eastAsia="標楷體"/>
          <w:b/>
          <w:sz w:val="28"/>
          <w:szCs w:val="28"/>
        </w:rPr>
        <w:t xml:space="preserve">1-2. </w:t>
      </w:r>
      <w:r w:rsidRPr="00D55DC6">
        <w:rPr>
          <w:rFonts w:eastAsia="標楷體"/>
          <w:b/>
          <w:sz w:val="28"/>
          <w:szCs w:val="28"/>
        </w:rPr>
        <w:t>國內觀光重要景點：</w:t>
      </w:r>
      <w:r w:rsidRPr="00D55DC6">
        <w:rPr>
          <w:rFonts w:eastAsia="標楷體"/>
          <w:sz w:val="28"/>
          <w:szCs w:val="28"/>
        </w:rPr>
        <w:t>東石布袋地區服務設施改善</w:t>
      </w:r>
      <w:r w:rsidRPr="00D55DC6">
        <w:rPr>
          <w:rFonts w:eastAsia="標楷體"/>
          <w:sz w:val="28"/>
          <w:szCs w:val="28"/>
        </w:rPr>
        <w:t>(</w:t>
      </w:r>
      <w:r w:rsidRPr="00D55DC6">
        <w:rPr>
          <w:rFonts w:eastAsia="標楷體"/>
          <w:sz w:val="28"/>
          <w:szCs w:val="28"/>
        </w:rPr>
        <w:t>布袋地區周邊遊客服務設施暨景觀改善工程</w:t>
      </w:r>
      <w:r w:rsidRPr="00D55DC6">
        <w:rPr>
          <w:rFonts w:eastAsia="標楷體"/>
          <w:sz w:val="28"/>
          <w:szCs w:val="28"/>
        </w:rPr>
        <w:t>)</w:t>
      </w:r>
      <w:r w:rsidRPr="00D55DC6">
        <w:rPr>
          <w:rFonts w:eastAsia="標楷體"/>
          <w:sz w:val="28"/>
          <w:szCs w:val="28"/>
        </w:rPr>
        <w:t>。</w:t>
      </w:r>
    </w:p>
    <w:p w:rsidR="00F47623" w:rsidRPr="00D55DC6" w:rsidRDefault="00F47623" w:rsidP="004865C1">
      <w:pPr>
        <w:numPr>
          <w:ilvl w:val="0"/>
          <w:numId w:val="104"/>
        </w:numPr>
        <w:snapToGrid w:val="0"/>
        <w:spacing w:line="460" w:lineRule="exact"/>
        <w:jc w:val="both"/>
        <w:rPr>
          <w:rFonts w:eastAsia="標楷體"/>
          <w:b/>
          <w:sz w:val="28"/>
          <w:szCs w:val="28"/>
        </w:rPr>
      </w:pPr>
      <w:r w:rsidRPr="00D55DC6">
        <w:rPr>
          <w:rFonts w:eastAsia="標楷體"/>
          <w:b/>
          <w:sz w:val="28"/>
          <w:szCs w:val="28"/>
        </w:rPr>
        <w:t>106</w:t>
      </w:r>
      <w:r w:rsidRPr="00D55DC6">
        <w:rPr>
          <w:rFonts w:eastAsia="標楷體"/>
          <w:b/>
          <w:sz w:val="28"/>
          <w:szCs w:val="28"/>
        </w:rPr>
        <w:t>年完成：</w:t>
      </w:r>
    </w:p>
    <w:p w:rsidR="00F47623" w:rsidRPr="00D55DC6" w:rsidRDefault="00F47623" w:rsidP="0038165F">
      <w:pPr>
        <w:snapToGrid w:val="0"/>
        <w:spacing w:line="460" w:lineRule="exact"/>
        <w:ind w:leftChars="350" w:left="1274" w:hangingChars="155" w:hanging="434"/>
        <w:jc w:val="both"/>
        <w:rPr>
          <w:rFonts w:eastAsia="標楷體"/>
          <w:b/>
          <w:sz w:val="28"/>
          <w:szCs w:val="28"/>
        </w:rPr>
      </w:pPr>
      <w:r w:rsidRPr="00D55DC6">
        <w:rPr>
          <w:rFonts w:eastAsia="標楷體"/>
          <w:b/>
          <w:sz w:val="28"/>
          <w:szCs w:val="28"/>
        </w:rPr>
        <w:t>2-1.</w:t>
      </w:r>
      <w:r w:rsidRPr="00D55DC6">
        <w:rPr>
          <w:rFonts w:eastAsia="標楷體"/>
          <w:b/>
          <w:sz w:val="28"/>
          <w:szCs w:val="28"/>
        </w:rPr>
        <w:t>國際觀光重要景點：</w:t>
      </w:r>
      <w:r w:rsidRPr="00D55DC6">
        <w:rPr>
          <w:rFonts w:eastAsia="標楷體"/>
          <w:sz w:val="28"/>
          <w:szCs w:val="28"/>
        </w:rPr>
        <w:t>將軍七股地區服務設施改善</w:t>
      </w:r>
      <w:r w:rsidRPr="00D55DC6">
        <w:rPr>
          <w:rFonts w:eastAsia="標楷體"/>
          <w:sz w:val="28"/>
          <w:szCs w:val="28"/>
        </w:rPr>
        <w:t>(</w:t>
      </w:r>
      <w:r w:rsidRPr="00D55DC6">
        <w:rPr>
          <w:rFonts w:eastAsia="標楷體"/>
          <w:b/>
          <w:sz w:val="28"/>
          <w:szCs w:val="28"/>
        </w:rPr>
        <w:t>戀愛意象</w:t>
      </w:r>
      <w:r w:rsidRPr="00D55DC6">
        <w:rPr>
          <w:rFonts w:eastAsia="標楷體"/>
          <w:sz w:val="28"/>
          <w:szCs w:val="28"/>
        </w:rPr>
        <w:t>相關服務設施暨景觀改善工程</w:t>
      </w:r>
      <w:r w:rsidRPr="00D55DC6">
        <w:rPr>
          <w:rFonts w:eastAsia="標楷體"/>
          <w:sz w:val="28"/>
          <w:szCs w:val="28"/>
        </w:rPr>
        <w:t>)</w:t>
      </w:r>
      <w:r w:rsidRPr="00D55DC6">
        <w:rPr>
          <w:rFonts w:eastAsia="標楷體"/>
          <w:sz w:val="28"/>
          <w:szCs w:val="28"/>
        </w:rPr>
        <w:t>。</w:t>
      </w:r>
    </w:p>
    <w:p w:rsidR="00F47623" w:rsidRPr="00D55DC6" w:rsidRDefault="00F47623" w:rsidP="004865C1">
      <w:pPr>
        <w:numPr>
          <w:ilvl w:val="0"/>
          <w:numId w:val="104"/>
        </w:numPr>
        <w:snapToGrid w:val="0"/>
        <w:spacing w:line="460" w:lineRule="exact"/>
        <w:jc w:val="both"/>
        <w:rPr>
          <w:rFonts w:eastAsia="標楷體"/>
          <w:b/>
          <w:sz w:val="28"/>
          <w:szCs w:val="28"/>
        </w:rPr>
      </w:pPr>
      <w:r w:rsidRPr="00D55DC6">
        <w:rPr>
          <w:rFonts w:eastAsia="標楷體"/>
          <w:b/>
          <w:sz w:val="28"/>
          <w:szCs w:val="28"/>
        </w:rPr>
        <w:t>107</w:t>
      </w:r>
      <w:r w:rsidRPr="00D55DC6">
        <w:rPr>
          <w:rFonts w:eastAsia="標楷體"/>
          <w:b/>
          <w:sz w:val="28"/>
          <w:szCs w:val="28"/>
        </w:rPr>
        <w:t>年完成：</w:t>
      </w:r>
    </w:p>
    <w:p w:rsidR="00F47623" w:rsidRPr="00D55DC6" w:rsidRDefault="00F47623" w:rsidP="0038165F">
      <w:pPr>
        <w:snapToGrid w:val="0"/>
        <w:spacing w:line="460" w:lineRule="exact"/>
        <w:ind w:leftChars="350" w:left="1274" w:hangingChars="155" w:hanging="434"/>
        <w:jc w:val="both"/>
        <w:rPr>
          <w:rFonts w:eastAsia="標楷體"/>
          <w:sz w:val="28"/>
          <w:szCs w:val="28"/>
        </w:rPr>
      </w:pPr>
      <w:r w:rsidRPr="00D55DC6">
        <w:rPr>
          <w:rFonts w:eastAsia="標楷體"/>
          <w:b/>
          <w:sz w:val="28"/>
          <w:szCs w:val="28"/>
        </w:rPr>
        <w:t>3-1.</w:t>
      </w:r>
      <w:r w:rsidRPr="00D55DC6">
        <w:rPr>
          <w:rFonts w:eastAsia="標楷體"/>
          <w:b/>
          <w:sz w:val="28"/>
          <w:szCs w:val="28"/>
        </w:rPr>
        <w:t>國際觀光重要景點：</w:t>
      </w:r>
      <w:r w:rsidRPr="00D55DC6">
        <w:rPr>
          <w:rFonts w:eastAsia="標楷體"/>
          <w:sz w:val="28"/>
          <w:szCs w:val="28"/>
        </w:rPr>
        <w:t>北門地區服務設施改善</w:t>
      </w:r>
      <w:r w:rsidRPr="00D55DC6">
        <w:rPr>
          <w:rFonts w:eastAsia="標楷體"/>
          <w:sz w:val="28"/>
          <w:szCs w:val="28"/>
        </w:rPr>
        <w:t>(</w:t>
      </w:r>
      <w:r w:rsidRPr="00D55DC6">
        <w:rPr>
          <w:rFonts w:eastAsia="標楷體"/>
          <w:sz w:val="28"/>
          <w:szCs w:val="28"/>
        </w:rPr>
        <w:t>北門地區服務設施改善暨景觀改善工程</w:t>
      </w:r>
      <w:r w:rsidRPr="00D55DC6">
        <w:rPr>
          <w:rFonts w:eastAsia="標楷體"/>
          <w:sz w:val="28"/>
          <w:szCs w:val="28"/>
        </w:rPr>
        <w:t>)</w:t>
      </w:r>
      <w:r w:rsidRPr="00D55DC6">
        <w:rPr>
          <w:rFonts w:eastAsia="標楷體"/>
          <w:sz w:val="28"/>
          <w:szCs w:val="28"/>
        </w:rPr>
        <w:t>。</w:t>
      </w:r>
    </w:p>
    <w:p w:rsidR="00F47623" w:rsidRPr="00D55DC6" w:rsidRDefault="00F47623" w:rsidP="0038165F">
      <w:pPr>
        <w:snapToGrid w:val="0"/>
        <w:spacing w:line="460" w:lineRule="exact"/>
        <w:ind w:leftChars="350" w:left="1274" w:hangingChars="155" w:hanging="434"/>
        <w:jc w:val="both"/>
        <w:rPr>
          <w:rFonts w:eastAsia="標楷體"/>
          <w:b/>
          <w:sz w:val="28"/>
          <w:szCs w:val="28"/>
        </w:rPr>
      </w:pPr>
      <w:r w:rsidRPr="00D55DC6">
        <w:rPr>
          <w:rFonts w:eastAsia="標楷體"/>
          <w:b/>
          <w:sz w:val="28"/>
          <w:szCs w:val="28"/>
        </w:rPr>
        <w:t>3-2.</w:t>
      </w:r>
      <w:r w:rsidRPr="00D55DC6">
        <w:rPr>
          <w:rFonts w:eastAsia="標楷體"/>
          <w:b/>
          <w:sz w:val="28"/>
          <w:szCs w:val="28"/>
        </w:rPr>
        <w:t>國內觀光重要景點：</w:t>
      </w:r>
      <w:r w:rsidRPr="00D55DC6">
        <w:rPr>
          <w:rFonts w:eastAsia="標楷體"/>
          <w:sz w:val="28"/>
          <w:szCs w:val="28"/>
        </w:rPr>
        <w:t>四湖口湖地區服務設施改善</w:t>
      </w:r>
      <w:r w:rsidRPr="00D55DC6">
        <w:rPr>
          <w:rFonts w:eastAsia="標楷體"/>
          <w:sz w:val="28"/>
          <w:szCs w:val="28"/>
        </w:rPr>
        <w:t>(</w:t>
      </w:r>
      <w:r w:rsidR="000431FE" w:rsidRPr="00D55DC6">
        <w:rPr>
          <w:rFonts w:eastAsia="標楷體"/>
          <w:b/>
          <w:sz w:val="28"/>
          <w:szCs w:val="28"/>
        </w:rPr>
        <w:t>幸福</w:t>
      </w:r>
      <w:r w:rsidRPr="00D55DC6">
        <w:rPr>
          <w:rFonts w:eastAsia="標楷體"/>
          <w:b/>
          <w:sz w:val="28"/>
          <w:szCs w:val="28"/>
        </w:rPr>
        <w:t>、</w:t>
      </w:r>
      <w:r w:rsidRPr="00D55DC6">
        <w:rPr>
          <w:rFonts w:eastAsia="標楷體"/>
          <w:sz w:val="28"/>
          <w:szCs w:val="28"/>
        </w:rPr>
        <w:t>失戀意象相關遊客服務設施暨景觀改善工程</w:t>
      </w:r>
      <w:r w:rsidRPr="00D55DC6">
        <w:rPr>
          <w:rFonts w:eastAsia="標楷體"/>
          <w:sz w:val="28"/>
          <w:szCs w:val="28"/>
        </w:rPr>
        <w:t>)</w:t>
      </w:r>
      <w:r w:rsidRPr="00D55DC6">
        <w:rPr>
          <w:rFonts w:eastAsia="標楷體"/>
          <w:sz w:val="28"/>
          <w:szCs w:val="28"/>
        </w:rPr>
        <w:t>。</w:t>
      </w:r>
    </w:p>
    <w:p w:rsidR="00F47623" w:rsidRPr="00D55DC6" w:rsidRDefault="00F47623" w:rsidP="004865C1">
      <w:pPr>
        <w:numPr>
          <w:ilvl w:val="0"/>
          <w:numId w:val="104"/>
        </w:numPr>
        <w:snapToGrid w:val="0"/>
        <w:spacing w:line="460" w:lineRule="exact"/>
        <w:jc w:val="both"/>
        <w:rPr>
          <w:rFonts w:eastAsia="標楷體"/>
          <w:b/>
          <w:sz w:val="28"/>
          <w:szCs w:val="28"/>
        </w:rPr>
      </w:pPr>
      <w:r w:rsidRPr="00D55DC6">
        <w:rPr>
          <w:rFonts w:eastAsia="標楷體"/>
          <w:b/>
          <w:sz w:val="28"/>
          <w:szCs w:val="28"/>
        </w:rPr>
        <w:t>108</w:t>
      </w:r>
      <w:r w:rsidRPr="00D55DC6">
        <w:rPr>
          <w:rFonts w:eastAsia="標楷體"/>
          <w:b/>
          <w:sz w:val="28"/>
          <w:szCs w:val="28"/>
        </w:rPr>
        <w:t>年完成：</w:t>
      </w:r>
    </w:p>
    <w:p w:rsidR="00F47623" w:rsidRPr="00D55DC6" w:rsidRDefault="00F47623" w:rsidP="0038165F">
      <w:pPr>
        <w:snapToGrid w:val="0"/>
        <w:spacing w:line="460" w:lineRule="exact"/>
        <w:ind w:leftChars="350" w:left="1274" w:hangingChars="155" w:hanging="434"/>
        <w:jc w:val="both"/>
        <w:rPr>
          <w:rFonts w:eastAsia="標楷體"/>
          <w:sz w:val="28"/>
          <w:szCs w:val="28"/>
        </w:rPr>
      </w:pPr>
      <w:r w:rsidRPr="00D55DC6">
        <w:rPr>
          <w:rFonts w:eastAsia="標楷體"/>
          <w:b/>
          <w:sz w:val="28"/>
          <w:szCs w:val="28"/>
        </w:rPr>
        <w:t>4-1.</w:t>
      </w:r>
      <w:r w:rsidRPr="00D55DC6">
        <w:rPr>
          <w:rFonts w:eastAsia="標楷體"/>
          <w:b/>
          <w:sz w:val="28"/>
          <w:szCs w:val="28"/>
        </w:rPr>
        <w:t>國際觀光重要景點：</w:t>
      </w:r>
      <w:r w:rsidRPr="00D55DC6">
        <w:rPr>
          <w:rFonts w:eastAsia="標楷體"/>
          <w:sz w:val="28"/>
          <w:szCs w:val="28"/>
        </w:rPr>
        <w:t>將軍七股地區服務設施改善</w:t>
      </w:r>
      <w:r w:rsidRPr="00D55DC6">
        <w:rPr>
          <w:rFonts w:eastAsia="標楷體"/>
          <w:sz w:val="28"/>
          <w:szCs w:val="28"/>
        </w:rPr>
        <w:t>(</w:t>
      </w:r>
      <w:r w:rsidRPr="00D55DC6">
        <w:rPr>
          <w:rFonts w:eastAsia="標楷體"/>
          <w:sz w:val="28"/>
          <w:szCs w:val="28"/>
        </w:rPr>
        <w:t>七股遊客中心周邊遊客服務設施暨景觀改善工程</w:t>
      </w:r>
      <w:r w:rsidRPr="00D55DC6">
        <w:rPr>
          <w:rFonts w:eastAsia="標楷體"/>
          <w:sz w:val="28"/>
          <w:szCs w:val="28"/>
        </w:rPr>
        <w:t>)</w:t>
      </w:r>
      <w:r w:rsidRPr="00D55DC6">
        <w:rPr>
          <w:rFonts w:eastAsia="標楷體"/>
          <w:sz w:val="28"/>
          <w:szCs w:val="28"/>
        </w:rPr>
        <w:t>。</w:t>
      </w:r>
    </w:p>
    <w:p w:rsidR="00F47623" w:rsidRPr="00D55DC6" w:rsidRDefault="00F47623" w:rsidP="0038165F">
      <w:pPr>
        <w:snapToGrid w:val="0"/>
        <w:spacing w:line="460" w:lineRule="exact"/>
        <w:ind w:leftChars="350" w:left="1274" w:hangingChars="155" w:hanging="434"/>
        <w:jc w:val="both"/>
        <w:rPr>
          <w:rFonts w:eastAsia="標楷體"/>
          <w:sz w:val="28"/>
          <w:szCs w:val="28"/>
        </w:rPr>
      </w:pPr>
      <w:r w:rsidRPr="00D55DC6">
        <w:rPr>
          <w:rFonts w:eastAsia="標楷體"/>
          <w:b/>
          <w:sz w:val="28"/>
          <w:szCs w:val="28"/>
        </w:rPr>
        <w:t>4-2.</w:t>
      </w:r>
      <w:r w:rsidRPr="00D55DC6">
        <w:rPr>
          <w:rFonts w:eastAsia="標楷體"/>
          <w:b/>
          <w:sz w:val="28"/>
          <w:szCs w:val="28"/>
        </w:rPr>
        <w:t>國內觀光重要景點：</w:t>
      </w:r>
      <w:r w:rsidRPr="00D55DC6">
        <w:rPr>
          <w:rFonts w:eastAsia="標楷體"/>
          <w:sz w:val="28"/>
          <w:szCs w:val="28"/>
        </w:rPr>
        <w:t>東石布袋地區服務設施改善</w:t>
      </w:r>
      <w:r w:rsidRPr="00D55DC6">
        <w:rPr>
          <w:rFonts w:eastAsia="標楷體"/>
          <w:b/>
          <w:sz w:val="28"/>
          <w:szCs w:val="28"/>
        </w:rPr>
        <w:t>(</w:t>
      </w:r>
      <w:r w:rsidRPr="00D55DC6">
        <w:rPr>
          <w:rFonts w:eastAsia="標楷體"/>
          <w:b/>
          <w:sz w:val="28"/>
          <w:szCs w:val="28"/>
        </w:rPr>
        <w:t>結婚意象</w:t>
      </w:r>
      <w:r w:rsidRPr="00D55DC6">
        <w:rPr>
          <w:rFonts w:eastAsia="標楷體"/>
          <w:sz w:val="28"/>
          <w:szCs w:val="28"/>
        </w:rPr>
        <w:t>相關遊客服務設施暨景觀改善工程</w:t>
      </w:r>
      <w:r w:rsidRPr="00D55DC6">
        <w:rPr>
          <w:rFonts w:eastAsia="標楷體"/>
          <w:sz w:val="28"/>
          <w:szCs w:val="28"/>
        </w:rPr>
        <w:t>)</w:t>
      </w:r>
      <w:r w:rsidRPr="00D55DC6">
        <w:rPr>
          <w:rFonts w:eastAsia="標楷體"/>
          <w:sz w:val="28"/>
          <w:szCs w:val="28"/>
        </w:rPr>
        <w:t>。</w:t>
      </w:r>
    </w:p>
    <w:p w:rsidR="00F47623" w:rsidRPr="00D55DC6" w:rsidRDefault="00F47623" w:rsidP="0038165F">
      <w:pPr>
        <w:snapToGrid w:val="0"/>
        <w:spacing w:line="460" w:lineRule="exact"/>
        <w:ind w:left="840"/>
        <w:jc w:val="both"/>
        <w:rPr>
          <w:rFonts w:eastAsia="標楷體"/>
          <w:b/>
          <w:sz w:val="28"/>
          <w:szCs w:val="28"/>
        </w:rPr>
      </w:pPr>
    </w:p>
    <w:p w:rsidR="00D03EE9" w:rsidRPr="00D55DC6" w:rsidRDefault="00D03EE9" w:rsidP="0038165F">
      <w:pPr>
        <w:snapToGrid w:val="0"/>
        <w:spacing w:line="460" w:lineRule="exact"/>
        <w:ind w:left="840"/>
        <w:jc w:val="both"/>
        <w:rPr>
          <w:rFonts w:eastAsia="標楷體"/>
          <w:b/>
          <w:sz w:val="28"/>
          <w:szCs w:val="28"/>
        </w:rPr>
      </w:pPr>
    </w:p>
    <w:p w:rsidR="0099296A" w:rsidRPr="00D55DC6" w:rsidRDefault="0099296A" w:rsidP="0038165F">
      <w:pPr>
        <w:snapToGrid w:val="0"/>
        <w:spacing w:line="460" w:lineRule="exact"/>
        <w:ind w:left="840"/>
        <w:jc w:val="both"/>
        <w:rPr>
          <w:rFonts w:eastAsia="標楷體"/>
          <w:b/>
          <w:sz w:val="28"/>
          <w:szCs w:val="28"/>
        </w:rPr>
      </w:pPr>
    </w:p>
    <w:p w:rsidR="00F47623" w:rsidRPr="00D55DC6" w:rsidRDefault="00F47623" w:rsidP="0038165F">
      <w:pPr>
        <w:numPr>
          <w:ilvl w:val="0"/>
          <w:numId w:val="1"/>
        </w:numPr>
        <w:snapToGrid w:val="0"/>
        <w:spacing w:line="460" w:lineRule="exact"/>
        <w:ind w:left="709" w:hanging="709"/>
        <w:jc w:val="both"/>
        <w:rPr>
          <w:rFonts w:eastAsia="標楷體"/>
          <w:b/>
          <w:sz w:val="28"/>
          <w:szCs w:val="28"/>
        </w:rPr>
      </w:pPr>
      <w:r w:rsidRPr="00D55DC6">
        <w:rPr>
          <w:rFonts w:eastAsia="標楷體"/>
          <w:b/>
          <w:sz w:val="28"/>
          <w:szCs w:val="28"/>
        </w:rPr>
        <w:lastRenderedPageBreak/>
        <w:t>期程與資源需求</w:t>
      </w:r>
    </w:p>
    <w:p w:rsidR="00F47623" w:rsidRPr="00D55DC6" w:rsidRDefault="00F47623" w:rsidP="004865C1">
      <w:pPr>
        <w:numPr>
          <w:ilvl w:val="0"/>
          <w:numId w:val="105"/>
        </w:numPr>
        <w:snapToGrid w:val="0"/>
        <w:spacing w:line="460" w:lineRule="exact"/>
        <w:jc w:val="both"/>
        <w:rPr>
          <w:rFonts w:eastAsia="標楷體"/>
          <w:b/>
          <w:sz w:val="28"/>
          <w:szCs w:val="28"/>
        </w:rPr>
      </w:pPr>
      <w:r w:rsidRPr="00D55DC6">
        <w:rPr>
          <w:rFonts w:eastAsia="標楷體"/>
          <w:b/>
          <w:sz w:val="28"/>
          <w:szCs w:val="28"/>
        </w:rPr>
        <w:t>計畫期程</w:t>
      </w:r>
    </w:p>
    <w:p w:rsidR="00F47623" w:rsidRPr="00D55DC6" w:rsidRDefault="00F47623" w:rsidP="0038165F">
      <w:pPr>
        <w:snapToGrid w:val="0"/>
        <w:spacing w:line="460" w:lineRule="exact"/>
        <w:ind w:left="864"/>
        <w:jc w:val="both"/>
        <w:rPr>
          <w:rFonts w:eastAsia="標楷體"/>
          <w:sz w:val="28"/>
          <w:szCs w:val="28"/>
        </w:rPr>
      </w:pPr>
      <w:r w:rsidRPr="00D55DC6">
        <w:rPr>
          <w:rFonts w:eastAsia="標楷體"/>
          <w:sz w:val="28"/>
          <w:szCs w:val="28"/>
        </w:rPr>
        <w:t>自</w:t>
      </w:r>
      <w:r w:rsidRPr="00D55DC6">
        <w:rPr>
          <w:rFonts w:eastAsia="標楷體"/>
          <w:sz w:val="28"/>
          <w:szCs w:val="28"/>
        </w:rPr>
        <w:t>105</w:t>
      </w:r>
      <w:r w:rsidRPr="00D55DC6">
        <w:rPr>
          <w:rFonts w:eastAsia="標楷體"/>
          <w:sz w:val="28"/>
          <w:szCs w:val="28"/>
        </w:rPr>
        <w:t>年至</w:t>
      </w:r>
      <w:r w:rsidRPr="00D55DC6">
        <w:rPr>
          <w:rFonts w:eastAsia="標楷體"/>
          <w:sz w:val="28"/>
          <w:szCs w:val="28"/>
        </w:rPr>
        <w:t>108</w:t>
      </w:r>
      <w:r w:rsidRPr="00D55DC6">
        <w:rPr>
          <w:rFonts w:eastAsia="標楷體"/>
          <w:sz w:val="28"/>
          <w:szCs w:val="28"/>
        </w:rPr>
        <w:t>年。</w:t>
      </w:r>
    </w:p>
    <w:p w:rsidR="00F47623" w:rsidRPr="00D55DC6" w:rsidRDefault="00F47623" w:rsidP="004865C1">
      <w:pPr>
        <w:numPr>
          <w:ilvl w:val="0"/>
          <w:numId w:val="105"/>
        </w:numPr>
        <w:snapToGrid w:val="0"/>
        <w:spacing w:line="460" w:lineRule="exact"/>
        <w:jc w:val="both"/>
        <w:rPr>
          <w:rFonts w:eastAsia="標楷體"/>
          <w:b/>
          <w:sz w:val="28"/>
          <w:szCs w:val="28"/>
        </w:rPr>
      </w:pPr>
      <w:r w:rsidRPr="00D55DC6">
        <w:rPr>
          <w:rFonts w:eastAsia="標楷體"/>
          <w:b/>
          <w:sz w:val="28"/>
          <w:szCs w:val="28"/>
        </w:rPr>
        <w:t>經費需求</w:t>
      </w:r>
      <w:r w:rsidRPr="00D55DC6">
        <w:rPr>
          <w:rFonts w:eastAsia="標楷體"/>
          <w:b/>
          <w:sz w:val="28"/>
          <w:szCs w:val="28"/>
        </w:rPr>
        <w:t>(</w:t>
      </w:r>
      <w:r w:rsidRPr="00D55DC6">
        <w:rPr>
          <w:rFonts w:eastAsia="標楷體"/>
          <w:b/>
          <w:sz w:val="28"/>
          <w:szCs w:val="28"/>
        </w:rPr>
        <w:t>含分年經費</w:t>
      </w:r>
      <w:r w:rsidRPr="00D55DC6">
        <w:rPr>
          <w:rFonts w:eastAsia="標楷體"/>
          <w:b/>
          <w:sz w:val="28"/>
          <w:szCs w:val="28"/>
        </w:rPr>
        <w:t>)</w:t>
      </w:r>
      <w:r w:rsidRPr="00D55DC6">
        <w:rPr>
          <w:rFonts w:eastAsia="標楷體"/>
          <w:b/>
          <w:sz w:val="28"/>
          <w:szCs w:val="28"/>
        </w:rPr>
        <w:t>及與中程歲出概算額度配合情形</w:t>
      </w:r>
    </w:p>
    <w:p w:rsidR="00F47623" w:rsidRPr="00D55DC6" w:rsidRDefault="00486FAE" w:rsidP="00486FAE">
      <w:pPr>
        <w:pStyle w:val="af2"/>
        <w:spacing w:line="460" w:lineRule="exact"/>
        <w:ind w:leftChars="0" w:left="864"/>
        <w:jc w:val="both"/>
        <w:rPr>
          <w:rFonts w:eastAsia="標楷體"/>
          <w:sz w:val="28"/>
          <w:szCs w:val="28"/>
        </w:rPr>
      </w:pPr>
      <w:r w:rsidRPr="00D55DC6">
        <w:rPr>
          <w:rFonts w:eastAsia="標楷體"/>
          <w:sz w:val="28"/>
          <w:szCs w:val="28"/>
        </w:rPr>
        <w:t>本計畫</w:t>
      </w:r>
      <w:r w:rsidR="00D03EE9" w:rsidRPr="00D55DC6">
        <w:rPr>
          <w:rFonts w:eastAsia="標楷體"/>
          <w:sz w:val="28"/>
          <w:szCs w:val="28"/>
        </w:rPr>
        <w:t>總經費</w:t>
      </w:r>
      <w:r w:rsidR="00D03EE9" w:rsidRPr="00D55DC6">
        <w:rPr>
          <w:rFonts w:eastAsia="標楷體"/>
          <w:sz w:val="28"/>
          <w:szCs w:val="28"/>
        </w:rPr>
        <w:t>12</w:t>
      </w:r>
      <w:r w:rsidR="00D03EE9" w:rsidRPr="00D55DC6">
        <w:rPr>
          <w:rFonts w:eastAsia="標楷體"/>
          <w:sz w:val="28"/>
          <w:szCs w:val="28"/>
        </w:rPr>
        <w:t>億元，</w:t>
      </w:r>
      <w:r w:rsidRPr="00D55DC6">
        <w:rPr>
          <w:rFonts w:eastAsia="標楷體"/>
          <w:sz w:val="28"/>
          <w:szCs w:val="28"/>
        </w:rPr>
        <w:t>經費需求（含分年經費）係與中程歲出概算額度相符，分年投資重點及經費需求如下：</w:t>
      </w:r>
      <w:r w:rsidRPr="00D55DC6">
        <w:rPr>
          <w:rFonts w:eastAsia="標楷體"/>
          <w:sz w:val="28"/>
          <w:szCs w:val="28"/>
        </w:rPr>
        <w:t xml:space="preserve"> </w:t>
      </w:r>
    </w:p>
    <w:p w:rsidR="00D03EE9" w:rsidRPr="00D55DC6" w:rsidRDefault="00D03EE9" w:rsidP="00486FAE">
      <w:pPr>
        <w:pStyle w:val="af2"/>
        <w:spacing w:line="460" w:lineRule="exact"/>
        <w:ind w:leftChars="0" w:left="864"/>
        <w:jc w:val="both"/>
        <w:rPr>
          <w:rFonts w:eastAsia="標楷體"/>
          <w:sz w:val="28"/>
          <w:szCs w:val="28"/>
        </w:rPr>
      </w:pPr>
    </w:p>
    <w:p w:rsidR="00F53930" w:rsidRPr="00D55DC6" w:rsidRDefault="00486FAE" w:rsidP="00486FAE">
      <w:pPr>
        <w:snapToGrid w:val="0"/>
        <w:spacing w:line="460" w:lineRule="exact"/>
        <w:ind w:leftChars="354" w:left="850"/>
        <w:jc w:val="right"/>
        <w:rPr>
          <w:rFonts w:eastAsia="標楷體"/>
          <w:sz w:val="28"/>
          <w:szCs w:val="28"/>
        </w:rPr>
      </w:pPr>
      <w:r w:rsidRPr="00D55DC6">
        <w:rPr>
          <w:rFonts w:eastAsia="標楷體"/>
          <w:sz w:val="28"/>
          <w:szCs w:val="28"/>
        </w:rPr>
        <w:t>（單位：億元）</w:t>
      </w:r>
    </w:p>
    <w:tbl>
      <w:tblPr>
        <w:tblW w:w="9982" w:type="dxa"/>
        <w:tblInd w:w="-398" w:type="dxa"/>
        <w:tblCellMar>
          <w:left w:w="28" w:type="dxa"/>
          <w:right w:w="28" w:type="dxa"/>
        </w:tblCellMar>
        <w:tblLook w:val="00A0" w:firstRow="1" w:lastRow="0" w:firstColumn="1" w:lastColumn="0" w:noHBand="0" w:noVBand="0"/>
      </w:tblPr>
      <w:tblGrid>
        <w:gridCol w:w="399"/>
        <w:gridCol w:w="891"/>
        <w:gridCol w:w="1106"/>
        <w:gridCol w:w="2342"/>
        <w:gridCol w:w="709"/>
        <w:gridCol w:w="709"/>
        <w:gridCol w:w="709"/>
        <w:gridCol w:w="708"/>
        <w:gridCol w:w="851"/>
        <w:gridCol w:w="1558"/>
      </w:tblGrid>
      <w:tr w:rsidR="001D0350" w:rsidRPr="00D55DC6" w:rsidTr="00F47623">
        <w:trPr>
          <w:trHeight w:val="345"/>
          <w:tblHeader/>
        </w:trPr>
        <w:tc>
          <w:tcPr>
            <w:tcW w:w="399"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F47623" w:rsidRPr="00D55DC6" w:rsidRDefault="00F47623" w:rsidP="0038165F">
            <w:pPr>
              <w:widowControl/>
              <w:spacing w:line="0" w:lineRule="atLeast"/>
              <w:jc w:val="center"/>
              <w:rPr>
                <w:rFonts w:eastAsia="標楷體"/>
                <w:kern w:val="0"/>
              </w:rPr>
            </w:pPr>
            <w:r w:rsidRPr="00D55DC6">
              <w:rPr>
                <w:rFonts w:eastAsia="標楷體"/>
                <w:kern w:val="0"/>
              </w:rPr>
              <w:t>科目別</w:t>
            </w:r>
          </w:p>
        </w:tc>
        <w:tc>
          <w:tcPr>
            <w:tcW w:w="891" w:type="dxa"/>
            <w:tcBorders>
              <w:top w:val="single" w:sz="8" w:space="0" w:color="auto"/>
              <w:left w:val="nil"/>
              <w:bottom w:val="single" w:sz="8" w:space="0" w:color="auto"/>
              <w:right w:val="single" w:sz="8" w:space="0" w:color="auto"/>
            </w:tcBorders>
            <w:shd w:val="clear" w:color="000000" w:fill="FFFF99"/>
            <w:vAlign w:val="center"/>
          </w:tcPr>
          <w:p w:rsidR="00F47623" w:rsidRPr="00D55DC6" w:rsidRDefault="00F47623" w:rsidP="0038165F">
            <w:pPr>
              <w:widowControl/>
              <w:spacing w:line="0" w:lineRule="atLeast"/>
              <w:jc w:val="center"/>
              <w:rPr>
                <w:rFonts w:eastAsia="標楷體"/>
                <w:kern w:val="0"/>
              </w:rPr>
            </w:pPr>
            <w:r w:rsidRPr="00D55DC6">
              <w:rPr>
                <w:rFonts w:eastAsia="標楷體"/>
                <w:kern w:val="0"/>
                <w:szCs w:val="22"/>
              </w:rPr>
              <w:t>1</w:t>
            </w:r>
            <w:r w:rsidRPr="00D55DC6">
              <w:rPr>
                <w:rFonts w:eastAsia="標楷體"/>
                <w:kern w:val="0"/>
                <w:szCs w:val="22"/>
              </w:rPr>
              <w:t>級</w:t>
            </w:r>
          </w:p>
        </w:tc>
        <w:tc>
          <w:tcPr>
            <w:tcW w:w="1106" w:type="dxa"/>
            <w:tcBorders>
              <w:top w:val="single" w:sz="8" w:space="0" w:color="auto"/>
              <w:left w:val="nil"/>
              <w:bottom w:val="single" w:sz="8" w:space="0" w:color="auto"/>
              <w:right w:val="single" w:sz="8" w:space="0" w:color="auto"/>
            </w:tcBorders>
            <w:shd w:val="clear" w:color="000000" w:fill="FFFF99"/>
            <w:vAlign w:val="center"/>
          </w:tcPr>
          <w:p w:rsidR="00F47623" w:rsidRPr="00D55DC6" w:rsidRDefault="00F47623" w:rsidP="0038165F">
            <w:pPr>
              <w:widowControl/>
              <w:spacing w:line="0" w:lineRule="atLeast"/>
              <w:jc w:val="center"/>
              <w:rPr>
                <w:rFonts w:eastAsia="標楷體"/>
                <w:kern w:val="0"/>
              </w:rPr>
            </w:pPr>
            <w:r w:rsidRPr="00D55DC6">
              <w:rPr>
                <w:rFonts w:eastAsia="標楷體"/>
                <w:kern w:val="0"/>
                <w:szCs w:val="22"/>
              </w:rPr>
              <w:t>2</w:t>
            </w:r>
            <w:r w:rsidRPr="00D55DC6">
              <w:rPr>
                <w:rFonts w:eastAsia="標楷體"/>
                <w:kern w:val="0"/>
                <w:szCs w:val="22"/>
              </w:rPr>
              <w:t>級</w:t>
            </w:r>
          </w:p>
        </w:tc>
        <w:tc>
          <w:tcPr>
            <w:tcW w:w="2342"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F47623" w:rsidRPr="00D55DC6" w:rsidRDefault="00F47623" w:rsidP="0038165F">
            <w:pPr>
              <w:widowControl/>
              <w:spacing w:line="0" w:lineRule="atLeast"/>
              <w:jc w:val="center"/>
              <w:rPr>
                <w:rFonts w:eastAsia="標楷體"/>
                <w:kern w:val="0"/>
              </w:rPr>
            </w:pPr>
            <w:r w:rsidRPr="00D55DC6">
              <w:rPr>
                <w:rFonts w:eastAsia="標楷體"/>
                <w:kern w:val="0"/>
                <w:szCs w:val="22"/>
              </w:rPr>
              <w:t>投資重點</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F47623" w:rsidRPr="00D55DC6" w:rsidRDefault="00F47623" w:rsidP="0038165F">
            <w:pPr>
              <w:widowControl/>
              <w:spacing w:line="0" w:lineRule="atLeast"/>
              <w:jc w:val="center"/>
              <w:rPr>
                <w:rFonts w:eastAsia="標楷體"/>
                <w:kern w:val="0"/>
              </w:rPr>
            </w:pPr>
            <w:r w:rsidRPr="00D55DC6">
              <w:rPr>
                <w:rFonts w:eastAsia="標楷體"/>
                <w:kern w:val="0"/>
              </w:rPr>
              <w:t>105</w:t>
            </w:r>
            <w:r w:rsidRPr="00D55DC6">
              <w:rPr>
                <w:rFonts w:eastAsia="標楷體"/>
                <w:kern w:val="0"/>
              </w:rPr>
              <w:t>年</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F47623" w:rsidRPr="00D55DC6" w:rsidRDefault="00F47623" w:rsidP="0038165F">
            <w:pPr>
              <w:widowControl/>
              <w:spacing w:line="0" w:lineRule="atLeast"/>
              <w:jc w:val="center"/>
              <w:rPr>
                <w:rFonts w:eastAsia="標楷體"/>
                <w:kern w:val="0"/>
              </w:rPr>
            </w:pPr>
            <w:r w:rsidRPr="00D55DC6">
              <w:rPr>
                <w:rFonts w:eastAsia="標楷體"/>
                <w:kern w:val="0"/>
              </w:rPr>
              <w:t>106</w:t>
            </w:r>
            <w:r w:rsidRPr="00D55DC6">
              <w:rPr>
                <w:rFonts w:eastAsia="標楷體"/>
                <w:kern w:val="0"/>
              </w:rPr>
              <w:t>年</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F47623" w:rsidRPr="00D55DC6" w:rsidRDefault="00F47623" w:rsidP="0038165F">
            <w:pPr>
              <w:widowControl/>
              <w:spacing w:line="0" w:lineRule="atLeast"/>
              <w:jc w:val="center"/>
              <w:rPr>
                <w:rFonts w:eastAsia="標楷體"/>
                <w:kern w:val="0"/>
              </w:rPr>
            </w:pPr>
            <w:r w:rsidRPr="00D55DC6">
              <w:rPr>
                <w:rFonts w:eastAsia="標楷體"/>
                <w:kern w:val="0"/>
              </w:rPr>
              <w:t>107</w:t>
            </w:r>
            <w:r w:rsidRPr="00D55DC6">
              <w:rPr>
                <w:rFonts w:eastAsia="標楷體"/>
                <w:kern w:val="0"/>
              </w:rPr>
              <w:t>年</w:t>
            </w:r>
          </w:p>
        </w:tc>
        <w:tc>
          <w:tcPr>
            <w:tcW w:w="708"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F47623" w:rsidRPr="00D55DC6" w:rsidRDefault="00F47623" w:rsidP="0038165F">
            <w:pPr>
              <w:widowControl/>
              <w:spacing w:line="0" w:lineRule="atLeast"/>
              <w:jc w:val="center"/>
              <w:rPr>
                <w:rFonts w:eastAsia="標楷體"/>
                <w:kern w:val="0"/>
              </w:rPr>
            </w:pPr>
            <w:r w:rsidRPr="00D55DC6">
              <w:rPr>
                <w:rFonts w:eastAsia="標楷體"/>
                <w:kern w:val="0"/>
              </w:rPr>
              <w:t>108</w:t>
            </w:r>
            <w:r w:rsidRPr="00D55DC6">
              <w:rPr>
                <w:rFonts w:eastAsia="標楷體"/>
                <w:kern w:val="0"/>
              </w:rPr>
              <w:t>年</w:t>
            </w:r>
          </w:p>
        </w:tc>
        <w:tc>
          <w:tcPr>
            <w:tcW w:w="851"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F47623" w:rsidRPr="00D55DC6" w:rsidRDefault="00F47623" w:rsidP="0038165F">
            <w:pPr>
              <w:widowControl/>
              <w:spacing w:line="0" w:lineRule="atLeast"/>
              <w:jc w:val="center"/>
              <w:rPr>
                <w:rFonts w:eastAsia="標楷體"/>
                <w:b/>
                <w:kern w:val="0"/>
              </w:rPr>
            </w:pPr>
            <w:r w:rsidRPr="00D55DC6">
              <w:rPr>
                <w:rFonts w:eastAsia="標楷體"/>
                <w:b/>
                <w:kern w:val="0"/>
              </w:rPr>
              <w:t>合計</w:t>
            </w:r>
          </w:p>
        </w:tc>
        <w:tc>
          <w:tcPr>
            <w:tcW w:w="1558"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F47623" w:rsidRPr="00D55DC6" w:rsidRDefault="00F47623" w:rsidP="0038165F">
            <w:pPr>
              <w:widowControl/>
              <w:spacing w:line="0" w:lineRule="atLeast"/>
              <w:jc w:val="center"/>
              <w:rPr>
                <w:rFonts w:eastAsia="標楷體"/>
                <w:kern w:val="0"/>
              </w:rPr>
            </w:pPr>
            <w:r w:rsidRPr="00D55DC6">
              <w:rPr>
                <w:rFonts w:eastAsia="標楷體"/>
                <w:kern w:val="0"/>
                <w:szCs w:val="22"/>
              </w:rPr>
              <w:t>工作內容</w:t>
            </w:r>
          </w:p>
        </w:tc>
      </w:tr>
      <w:tr w:rsidR="001D0350" w:rsidRPr="00D55DC6" w:rsidTr="00F47623">
        <w:trPr>
          <w:trHeight w:val="227"/>
          <w:tblHeader/>
        </w:trPr>
        <w:tc>
          <w:tcPr>
            <w:tcW w:w="399" w:type="dxa"/>
            <w:vMerge/>
            <w:tcBorders>
              <w:top w:val="single" w:sz="8" w:space="0" w:color="auto"/>
              <w:left w:val="single" w:sz="8" w:space="0" w:color="auto"/>
              <w:bottom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891" w:type="dxa"/>
            <w:tcBorders>
              <w:top w:val="nil"/>
              <w:left w:val="nil"/>
              <w:bottom w:val="single" w:sz="8" w:space="0" w:color="auto"/>
              <w:right w:val="single" w:sz="8" w:space="0" w:color="auto"/>
            </w:tcBorders>
            <w:shd w:val="clear" w:color="000000" w:fill="FFFF99"/>
            <w:vAlign w:val="center"/>
          </w:tcPr>
          <w:p w:rsidR="00F47623" w:rsidRPr="00D55DC6" w:rsidRDefault="00F47623" w:rsidP="0038165F">
            <w:pPr>
              <w:widowControl/>
              <w:spacing w:line="0" w:lineRule="atLeast"/>
              <w:jc w:val="center"/>
              <w:rPr>
                <w:rFonts w:eastAsia="標楷體"/>
                <w:kern w:val="0"/>
              </w:rPr>
            </w:pPr>
            <w:r w:rsidRPr="00D55DC6">
              <w:rPr>
                <w:rFonts w:eastAsia="標楷體"/>
                <w:kern w:val="0"/>
                <w:szCs w:val="22"/>
              </w:rPr>
              <w:t>用途別</w:t>
            </w:r>
          </w:p>
        </w:tc>
        <w:tc>
          <w:tcPr>
            <w:tcW w:w="1106" w:type="dxa"/>
            <w:tcBorders>
              <w:top w:val="nil"/>
              <w:left w:val="nil"/>
              <w:bottom w:val="single" w:sz="8" w:space="0" w:color="auto"/>
              <w:right w:val="single" w:sz="8" w:space="0" w:color="auto"/>
            </w:tcBorders>
            <w:shd w:val="clear" w:color="000000" w:fill="FFFF99"/>
            <w:vAlign w:val="center"/>
          </w:tcPr>
          <w:p w:rsidR="00F47623" w:rsidRPr="00D55DC6" w:rsidRDefault="00F47623" w:rsidP="0038165F">
            <w:pPr>
              <w:widowControl/>
              <w:spacing w:line="0" w:lineRule="atLeast"/>
              <w:jc w:val="center"/>
              <w:rPr>
                <w:rFonts w:eastAsia="標楷體"/>
                <w:kern w:val="0"/>
              </w:rPr>
            </w:pPr>
            <w:r w:rsidRPr="00D55DC6">
              <w:rPr>
                <w:rFonts w:eastAsia="標楷體"/>
                <w:kern w:val="0"/>
                <w:szCs w:val="22"/>
              </w:rPr>
              <w:t>用途別</w:t>
            </w:r>
          </w:p>
        </w:tc>
        <w:tc>
          <w:tcPr>
            <w:tcW w:w="2342" w:type="dxa"/>
            <w:vMerge/>
            <w:tcBorders>
              <w:top w:val="single" w:sz="8" w:space="0" w:color="auto"/>
              <w:left w:val="single" w:sz="8" w:space="0" w:color="auto"/>
              <w:bottom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708" w:type="dxa"/>
            <w:vMerge/>
            <w:tcBorders>
              <w:top w:val="single" w:sz="8" w:space="0" w:color="auto"/>
              <w:left w:val="single" w:sz="8" w:space="0" w:color="auto"/>
              <w:bottom w:val="single" w:sz="8" w:space="0" w:color="000000"/>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851" w:type="dxa"/>
            <w:vMerge/>
            <w:tcBorders>
              <w:top w:val="single" w:sz="8" w:space="0" w:color="auto"/>
              <w:left w:val="single" w:sz="8" w:space="0" w:color="auto"/>
              <w:bottom w:val="single" w:sz="8" w:space="0" w:color="000000"/>
              <w:right w:val="single" w:sz="8" w:space="0" w:color="auto"/>
            </w:tcBorders>
            <w:vAlign w:val="center"/>
          </w:tcPr>
          <w:p w:rsidR="00F47623" w:rsidRPr="00D55DC6" w:rsidRDefault="00F47623" w:rsidP="0038165F">
            <w:pPr>
              <w:widowControl/>
              <w:spacing w:line="0" w:lineRule="atLeast"/>
              <w:rPr>
                <w:rFonts w:eastAsia="標楷體"/>
                <w:b/>
                <w:kern w:val="0"/>
              </w:rPr>
            </w:pPr>
          </w:p>
        </w:tc>
        <w:tc>
          <w:tcPr>
            <w:tcW w:w="1558" w:type="dxa"/>
            <w:vMerge/>
            <w:tcBorders>
              <w:top w:val="single" w:sz="8" w:space="0" w:color="auto"/>
              <w:left w:val="single" w:sz="8" w:space="0" w:color="auto"/>
              <w:bottom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r>
      <w:tr w:rsidR="001D0350" w:rsidRPr="00D55DC6" w:rsidTr="00F47623">
        <w:trPr>
          <w:trHeight w:val="619"/>
        </w:trPr>
        <w:tc>
          <w:tcPr>
            <w:tcW w:w="399" w:type="dxa"/>
            <w:vMerge w:val="restart"/>
            <w:tcBorders>
              <w:top w:val="nil"/>
              <w:left w:val="single" w:sz="8" w:space="0" w:color="auto"/>
              <w:bottom w:val="single" w:sz="8" w:space="0" w:color="auto"/>
              <w:right w:val="single" w:sz="8" w:space="0" w:color="auto"/>
            </w:tcBorders>
            <w:shd w:val="clear" w:color="000000" w:fill="CCFFFF"/>
          </w:tcPr>
          <w:p w:rsidR="00F47623" w:rsidRPr="00D55DC6" w:rsidRDefault="00F47623" w:rsidP="0038165F">
            <w:pPr>
              <w:widowControl/>
              <w:spacing w:line="0" w:lineRule="atLeast"/>
              <w:jc w:val="center"/>
              <w:rPr>
                <w:rFonts w:eastAsia="標楷體"/>
                <w:kern w:val="0"/>
              </w:rPr>
            </w:pPr>
            <w:r w:rsidRPr="00D55DC6">
              <w:rPr>
                <w:rFonts w:eastAsia="標楷體"/>
                <w:kern w:val="0"/>
                <w:szCs w:val="22"/>
              </w:rPr>
              <w:t>經常門</w:t>
            </w:r>
          </w:p>
        </w:tc>
        <w:tc>
          <w:tcPr>
            <w:tcW w:w="891" w:type="dxa"/>
            <w:vMerge w:val="restart"/>
            <w:tcBorders>
              <w:top w:val="nil"/>
              <w:left w:val="single" w:sz="8" w:space="0" w:color="auto"/>
              <w:bottom w:val="single" w:sz="8" w:space="0" w:color="auto"/>
              <w:right w:val="single" w:sz="8" w:space="0" w:color="auto"/>
            </w:tcBorders>
            <w:shd w:val="clear" w:color="000000" w:fill="CCFFFF"/>
          </w:tcPr>
          <w:p w:rsidR="00F47623" w:rsidRPr="00D55DC6" w:rsidRDefault="00F47623" w:rsidP="0038165F">
            <w:pPr>
              <w:widowControl/>
              <w:spacing w:line="0" w:lineRule="atLeast"/>
              <w:jc w:val="center"/>
              <w:rPr>
                <w:rFonts w:eastAsia="標楷體"/>
                <w:kern w:val="0"/>
              </w:rPr>
            </w:pPr>
            <w:r w:rsidRPr="00D55DC6">
              <w:rPr>
                <w:rFonts w:eastAsia="標楷體"/>
                <w:kern w:val="0"/>
                <w:szCs w:val="22"/>
              </w:rPr>
              <w:t>0200</w:t>
            </w:r>
            <w:r w:rsidRPr="00D55DC6">
              <w:rPr>
                <w:rFonts w:eastAsia="標楷體"/>
                <w:kern w:val="0"/>
                <w:szCs w:val="22"/>
              </w:rPr>
              <w:t>業務費</w:t>
            </w:r>
          </w:p>
        </w:tc>
        <w:tc>
          <w:tcPr>
            <w:tcW w:w="1106" w:type="dxa"/>
            <w:vMerge w:val="restart"/>
            <w:tcBorders>
              <w:top w:val="nil"/>
              <w:left w:val="single" w:sz="8" w:space="0" w:color="auto"/>
              <w:bottom w:val="single" w:sz="8" w:space="0" w:color="auto"/>
              <w:right w:val="single" w:sz="8" w:space="0" w:color="auto"/>
            </w:tcBorders>
            <w:shd w:val="clear" w:color="000000" w:fill="CCFFFF"/>
          </w:tcPr>
          <w:p w:rsidR="00F47623" w:rsidRPr="00D55DC6" w:rsidRDefault="00F47623" w:rsidP="0038165F">
            <w:pPr>
              <w:widowControl/>
              <w:spacing w:line="0" w:lineRule="atLeast"/>
              <w:rPr>
                <w:rFonts w:eastAsia="標楷體"/>
                <w:kern w:val="0"/>
              </w:rPr>
            </w:pPr>
            <w:r w:rsidRPr="00D55DC6">
              <w:rPr>
                <w:rFonts w:eastAsia="標楷體"/>
                <w:kern w:val="0"/>
                <w:szCs w:val="22"/>
              </w:rPr>
              <w:t>0284</w:t>
            </w:r>
            <w:r w:rsidRPr="00D55DC6">
              <w:rPr>
                <w:rFonts w:eastAsia="標楷體"/>
                <w:kern w:val="0"/>
                <w:szCs w:val="22"/>
              </w:rPr>
              <w:t>設施及機械設備養護費</w:t>
            </w:r>
          </w:p>
        </w:tc>
        <w:tc>
          <w:tcPr>
            <w:tcW w:w="2342" w:type="dxa"/>
            <w:tcBorders>
              <w:top w:val="nil"/>
              <w:left w:val="nil"/>
              <w:bottom w:val="single" w:sz="8" w:space="0" w:color="auto"/>
              <w:right w:val="single" w:sz="8" w:space="0" w:color="auto"/>
            </w:tcBorders>
            <w:shd w:val="clear" w:color="000000" w:fill="CCFFFF"/>
            <w:vAlign w:val="center"/>
          </w:tcPr>
          <w:p w:rsidR="00F47623" w:rsidRPr="00D55DC6" w:rsidRDefault="00F47623" w:rsidP="0038165F">
            <w:pPr>
              <w:spacing w:line="0" w:lineRule="atLeast"/>
              <w:rPr>
                <w:rFonts w:eastAsia="標楷體"/>
                <w:b/>
                <w:bCs/>
                <w:sz w:val="22"/>
                <w:szCs w:val="22"/>
              </w:rPr>
            </w:pPr>
            <w:r w:rsidRPr="00D55DC6">
              <w:rPr>
                <w:rFonts w:eastAsia="標楷體"/>
                <w:b/>
                <w:bCs/>
                <w:sz w:val="22"/>
                <w:szCs w:val="22"/>
              </w:rPr>
              <w:t>1.</w:t>
            </w:r>
            <w:r w:rsidRPr="00D55DC6">
              <w:rPr>
                <w:rFonts w:eastAsia="標楷體"/>
                <w:b/>
                <w:bCs/>
                <w:sz w:val="22"/>
                <w:szCs w:val="22"/>
              </w:rPr>
              <w:t>綠美化養護及設施零星修護</w:t>
            </w:r>
          </w:p>
        </w:tc>
        <w:tc>
          <w:tcPr>
            <w:tcW w:w="709" w:type="dxa"/>
            <w:tcBorders>
              <w:top w:val="nil"/>
              <w:left w:val="nil"/>
              <w:bottom w:val="single" w:sz="8"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rPr>
            </w:pPr>
            <w:r w:rsidRPr="00D55DC6">
              <w:rPr>
                <w:rFonts w:eastAsia="標楷體"/>
              </w:rPr>
              <w:t xml:space="preserve">0.30 </w:t>
            </w:r>
          </w:p>
        </w:tc>
        <w:tc>
          <w:tcPr>
            <w:tcW w:w="709" w:type="dxa"/>
            <w:tcBorders>
              <w:top w:val="nil"/>
              <w:left w:val="nil"/>
              <w:bottom w:val="single" w:sz="8"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rPr>
            </w:pPr>
            <w:r w:rsidRPr="00D55DC6">
              <w:rPr>
                <w:rFonts w:eastAsia="標楷體"/>
              </w:rPr>
              <w:t xml:space="preserve">0.30 </w:t>
            </w:r>
          </w:p>
        </w:tc>
        <w:tc>
          <w:tcPr>
            <w:tcW w:w="709" w:type="dxa"/>
            <w:tcBorders>
              <w:top w:val="nil"/>
              <w:left w:val="nil"/>
              <w:bottom w:val="single" w:sz="8"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rPr>
            </w:pPr>
            <w:r w:rsidRPr="00D55DC6">
              <w:rPr>
                <w:rFonts w:eastAsia="標楷體"/>
              </w:rPr>
              <w:t xml:space="preserve">0.30 </w:t>
            </w:r>
          </w:p>
        </w:tc>
        <w:tc>
          <w:tcPr>
            <w:tcW w:w="708" w:type="dxa"/>
            <w:tcBorders>
              <w:top w:val="nil"/>
              <w:left w:val="nil"/>
              <w:bottom w:val="single" w:sz="8"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rPr>
            </w:pPr>
            <w:r w:rsidRPr="00D55DC6">
              <w:rPr>
                <w:rFonts w:eastAsia="標楷體"/>
              </w:rPr>
              <w:t xml:space="preserve">0.30 </w:t>
            </w:r>
          </w:p>
        </w:tc>
        <w:tc>
          <w:tcPr>
            <w:tcW w:w="851" w:type="dxa"/>
            <w:tcBorders>
              <w:top w:val="nil"/>
              <w:left w:val="nil"/>
              <w:bottom w:val="single" w:sz="8"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b/>
              </w:rPr>
            </w:pPr>
            <w:r w:rsidRPr="00D55DC6">
              <w:rPr>
                <w:rFonts w:eastAsia="標楷體"/>
                <w:b/>
              </w:rPr>
              <w:t xml:space="preserve">1.20 </w:t>
            </w:r>
          </w:p>
        </w:tc>
        <w:tc>
          <w:tcPr>
            <w:tcW w:w="1558" w:type="dxa"/>
            <w:vMerge w:val="restart"/>
            <w:tcBorders>
              <w:top w:val="nil"/>
              <w:left w:val="single" w:sz="8" w:space="0" w:color="auto"/>
              <w:bottom w:val="single" w:sz="8" w:space="0" w:color="auto"/>
              <w:right w:val="single" w:sz="8" w:space="0" w:color="auto"/>
            </w:tcBorders>
            <w:shd w:val="clear" w:color="000000" w:fill="CCFFFF"/>
            <w:vAlign w:val="center"/>
          </w:tcPr>
          <w:p w:rsidR="00F47623" w:rsidRPr="00D55DC6" w:rsidRDefault="00F47623" w:rsidP="0038165F">
            <w:pPr>
              <w:spacing w:line="0" w:lineRule="atLeast"/>
              <w:rPr>
                <w:rFonts w:eastAsia="標楷體"/>
                <w:sz w:val="22"/>
                <w:szCs w:val="22"/>
              </w:rPr>
            </w:pPr>
            <w:r w:rsidRPr="00D55DC6">
              <w:rPr>
                <w:rFonts w:eastAsia="標楷體"/>
                <w:sz w:val="22"/>
                <w:szCs w:val="22"/>
              </w:rPr>
              <w:t>植栽養護、零星修繕、各據點建物公共安全及消防檢測。</w:t>
            </w:r>
          </w:p>
        </w:tc>
      </w:tr>
      <w:tr w:rsidR="001D0350" w:rsidRPr="00D55DC6" w:rsidTr="00F47623">
        <w:trPr>
          <w:trHeight w:val="405"/>
        </w:trPr>
        <w:tc>
          <w:tcPr>
            <w:tcW w:w="399" w:type="dxa"/>
            <w:vMerge/>
            <w:tcBorders>
              <w:top w:val="nil"/>
              <w:left w:val="single" w:sz="8" w:space="0" w:color="auto"/>
              <w:bottom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1106" w:type="dxa"/>
            <w:vMerge/>
            <w:tcBorders>
              <w:top w:val="nil"/>
              <w:left w:val="single" w:sz="8" w:space="0" w:color="auto"/>
              <w:bottom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2342" w:type="dxa"/>
            <w:tcBorders>
              <w:top w:val="nil"/>
              <w:left w:val="nil"/>
              <w:bottom w:val="single" w:sz="8" w:space="0" w:color="auto"/>
              <w:right w:val="single" w:sz="8" w:space="0" w:color="auto"/>
            </w:tcBorders>
            <w:shd w:val="clear" w:color="000000" w:fill="CCFFFF"/>
            <w:vAlign w:val="center"/>
          </w:tcPr>
          <w:p w:rsidR="00F47623" w:rsidRPr="00D55DC6" w:rsidRDefault="00F47623" w:rsidP="0038165F">
            <w:pPr>
              <w:widowControl/>
              <w:spacing w:line="0" w:lineRule="atLeast"/>
              <w:jc w:val="center"/>
              <w:rPr>
                <w:rFonts w:eastAsia="標楷體"/>
                <w:b/>
                <w:bCs/>
                <w:kern w:val="0"/>
                <w:sz w:val="22"/>
                <w:szCs w:val="22"/>
              </w:rPr>
            </w:pPr>
            <w:r w:rsidRPr="00D55DC6">
              <w:rPr>
                <w:rFonts w:eastAsia="標楷體"/>
                <w:b/>
                <w:bCs/>
                <w:sz w:val="22"/>
                <w:szCs w:val="22"/>
              </w:rPr>
              <w:t>經常門合計</w:t>
            </w:r>
          </w:p>
        </w:tc>
        <w:tc>
          <w:tcPr>
            <w:tcW w:w="709" w:type="dxa"/>
            <w:tcBorders>
              <w:top w:val="nil"/>
              <w:left w:val="nil"/>
              <w:bottom w:val="single" w:sz="8"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b/>
                <w:bCs/>
              </w:rPr>
            </w:pPr>
            <w:r w:rsidRPr="00D55DC6">
              <w:rPr>
                <w:rFonts w:eastAsia="標楷體"/>
                <w:b/>
                <w:bCs/>
              </w:rPr>
              <w:t xml:space="preserve">0.30 </w:t>
            </w:r>
          </w:p>
        </w:tc>
        <w:tc>
          <w:tcPr>
            <w:tcW w:w="709" w:type="dxa"/>
            <w:tcBorders>
              <w:top w:val="nil"/>
              <w:left w:val="nil"/>
              <w:bottom w:val="single" w:sz="8"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b/>
                <w:bCs/>
              </w:rPr>
            </w:pPr>
            <w:r w:rsidRPr="00D55DC6">
              <w:rPr>
                <w:rFonts w:eastAsia="標楷體"/>
                <w:b/>
                <w:bCs/>
              </w:rPr>
              <w:t xml:space="preserve">0.30 </w:t>
            </w:r>
          </w:p>
        </w:tc>
        <w:tc>
          <w:tcPr>
            <w:tcW w:w="709" w:type="dxa"/>
            <w:tcBorders>
              <w:top w:val="nil"/>
              <w:left w:val="nil"/>
              <w:bottom w:val="single" w:sz="8"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b/>
                <w:bCs/>
              </w:rPr>
            </w:pPr>
            <w:r w:rsidRPr="00D55DC6">
              <w:rPr>
                <w:rFonts w:eastAsia="標楷體"/>
                <w:b/>
                <w:bCs/>
              </w:rPr>
              <w:t xml:space="preserve">0.30 </w:t>
            </w:r>
          </w:p>
        </w:tc>
        <w:tc>
          <w:tcPr>
            <w:tcW w:w="708" w:type="dxa"/>
            <w:tcBorders>
              <w:top w:val="nil"/>
              <w:left w:val="nil"/>
              <w:bottom w:val="single" w:sz="8"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b/>
                <w:bCs/>
              </w:rPr>
            </w:pPr>
            <w:r w:rsidRPr="00D55DC6">
              <w:rPr>
                <w:rFonts w:eastAsia="標楷體"/>
                <w:b/>
                <w:bCs/>
              </w:rPr>
              <w:t xml:space="preserve">0.30 </w:t>
            </w:r>
          </w:p>
        </w:tc>
        <w:tc>
          <w:tcPr>
            <w:tcW w:w="851" w:type="dxa"/>
            <w:tcBorders>
              <w:top w:val="nil"/>
              <w:left w:val="nil"/>
              <w:bottom w:val="single" w:sz="8"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b/>
              </w:rPr>
            </w:pPr>
            <w:r w:rsidRPr="00D55DC6">
              <w:rPr>
                <w:rFonts w:eastAsia="標楷體"/>
                <w:b/>
              </w:rPr>
              <w:t xml:space="preserve">1.20 </w:t>
            </w:r>
          </w:p>
        </w:tc>
        <w:tc>
          <w:tcPr>
            <w:tcW w:w="1558" w:type="dxa"/>
            <w:vMerge/>
            <w:tcBorders>
              <w:top w:val="nil"/>
              <w:left w:val="single" w:sz="8" w:space="0" w:color="auto"/>
              <w:bottom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sz w:val="22"/>
                <w:szCs w:val="22"/>
              </w:rPr>
            </w:pPr>
          </w:p>
        </w:tc>
      </w:tr>
      <w:tr w:rsidR="001D0350" w:rsidRPr="00D55DC6" w:rsidTr="005A4735">
        <w:trPr>
          <w:trHeight w:val="981"/>
        </w:trPr>
        <w:tc>
          <w:tcPr>
            <w:tcW w:w="399" w:type="dxa"/>
            <w:vMerge w:val="restart"/>
            <w:tcBorders>
              <w:top w:val="single" w:sz="4" w:space="0" w:color="auto"/>
              <w:left w:val="single" w:sz="8" w:space="0" w:color="auto"/>
              <w:right w:val="single" w:sz="8" w:space="0" w:color="auto"/>
            </w:tcBorders>
            <w:shd w:val="clear" w:color="000000" w:fill="CCFFCC"/>
          </w:tcPr>
          <w:p w:rsidR="00F47623" w:rsidRPr="00D55DC6" w:rsidRDefault="00F47623" w:rsidP="0038165F">
            <w:pPr>
              <w:widowControl/>
              <w:spacing w:line="0" w:lineRule="atLeast"/>
              <w:jc w:val="center"/>
              <w:rPr>
                <w:rFonts w:eastAsia="標楷體"/>
                <w:kern w:val="0"/>
              </w:rPr>
            </w:pPr>
            <w:r w:rsidRPr="00D55DC6">
              <w:rPr>
                <w:rFonts w:eastAsia="標楷體"/>
                <w:kern w:val="0"/>
                <w:szCs w:val="22"/>
              </w:rPr>
              <w:t>資本門</w:t>
            </w:r>
          </w:p>
        </w:tc>
        <w:tc>
          <w:tcPr>
            <w:tcW w:w="891" w:type="dxa"/>
            <w:vMerge w:val="restart"/>
            <w:tcBorders>
              <w:top w:val="nil"/>
              <w:left w:val="single" w:sz="8" w:space="0" w:color="auto"/>
              <w:right w:val="single" w:sz="8" w:space="0" w:color="auto"/>
            </w:tcBorders>
            <w:shd w:val="clear" w:color="000000" w:fill="CCFFCC"/>
          </w:tcPr>
          <w:p w:rsidR="00F47623" w:rsidRPr="00D55DC6" w:rsidRDefault="00F47623" w:rsidP="0038165F">
            <w:pPr>
              <w:widowControl/>
              <w:spacing w:line="0" w:lineRule="atLeast"/>
              <w:jc w:val="center"/>
              <w:rPr>
                <w:rFonts w:eastAsia="標楷體"/>
                <w:kern w:val="0"/>
              </w:rPr>
            </w:pPr>
            <w:r w:rsidRPr="00D55DC6">
              <w:rPr>
                <w:rFonts w:eastAsia="標楷體"/>
                <w:kern w:val="0"/>
                <w:szCs w:val="22"/>
              </w:rPr>
              <w:t>0300</w:t>
            </w:r>
            <w:r w:rsidRPr="00D55DC6">
              <w:rPr>
                <w:rFonts w:eastAsia="標楷體"/>
                <w:kern w:val="0"/>
                <w:szCs w:val="22"/>
              </w:rPr>
              <w:t>設備及投資</w:t>
            </w:r>
          </w:p>
        </w:tc>
        <w:tc>
          <w:tcPr>
            <w:tcW w:w="1106" w:type="dxa"/>
            <w:tcBorders>
              <w:top w:val="nil"/>
              <w:left w:val="nil"/>
              <w:bottom w:val="single" w:sz="8" w:space="0" w:color="auto"/>
              <w:right w:val="single" w:sz="8" w:space="0" w:color="auto"/>
            </w:tcBorders>
            <w:shd w:val="clear" w:color="000000" w:fill="CCFFCC"/>
          </w:tcPr>
          <w:p w:rsidR="00F47623" w:rsidRPr="00D55DC6" w:rsidRDefault="00F47623" w:rsidP="0038165F">
            <w:pPr>
              <w:widowControl/>
              <w:spacing w:line="0" w:lineRule="atLeast"/>
              <w:rPr>
                <w:rFonts w:eastAsia="標楷體"/>
                <w:kern w:val="0"/>
              </w:rPr>
            </w:pPr>
            <w:r w:rsidRPr="00D55DC6">
              <w:rPr>
                <w:rFonts w:eastAsia="標楷體"/>
                <w:kern w:val="0"/>
                <w:szCs w:val="22"/>
              </w:rPr>
              <w:t>0301</w:t>
            </w:r>
            <w:r w:rsidRPr="00D55DC6">
              <w:rPr>
                <w:rFonts w:eastAsia="標楷體"/>
                <w:kern w:val="0"/>
                <w:szCs w:val="22"/>
              </w:rPr>
              <w:t>土地費</w:t>
            </w:r>
          </w:p>
        </w:tc>
        <w:tc>
          <w:tcPr>
            <w:tcW w:w="2342"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rPr>
                <w:rFonts w:eastAsia="標楷體"/>
                <w:b/>
                <w:bCs/>
                <w:sz w:val="22"/>
                <w:szCs w:val="22"/>
              </w:rPr>
            </w:pPr>
            <w:r w:rsidRPr="00D55DC6">
              <w:rPr>
                <w:rFonts w:eastAsia="標楷體"/>
                <w:b/>
                <w:bCs/>
                <w:sz w:val="22"/>
                <w:szCs w:val="22"/>
              </w:rPr>
              <w:t>1.</w:t>
            </w:r>
            <w:r w:rsidRPr="00D55DC6">
              <w:rPr>
                <w:rFonts w:eastAsia="標楷體"/>
                <w:b/>
                <w:bCs/>
                <w:sz w:val="22"/>
                <w:szCs w:val="22"/>
              </w:rPr>
              <w:t>土地取得</w:t>
            </w:r>
          </w:p>
        </w:tc>
        <w:tc>
          <w:tcPr>
            <w:tcW w:w="709"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b/>
                <w:bCs/>
              </w:rPr>
            </w:pPr>
            <w:r w:rsidRPr="00D55DC6">
              <w:rPr>
                <w:rFonts w:eastAsia="標楷體"/>
                <w:b/>
                <w:bCs/>
              </w:rPr>
              <w:t xml:space="preserve">0.04 </w:t>
            </w:r>
          </w:p>
        </w:tc>
        <w:tc>
          <w:tcPr>
            <w:tcW w:w="709"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b/>
                <w:bCs/>
              </w:rPr>
            </w:pPr>
            <w:r w:rsidRPr="00D55DC6">
              <w:rPr>
                <w:rFonts w:eastAsia="標楷體"/>
                <w:b/>
                <w:bCs/>
              </w:rPr>
              <w:t xml:space="preserve">0.04 </w:t>
            </w:r>
          </w:p>
        </w:tc>
        <w:tc>
          <w:tcPr>
            <w:tcW w:w="709"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b/>
                <w:bCs/>
              </w:rPr>
            </w:pPr>
            <w:r w:rsidRPr="00D55DC6">
              <w:rPr>
                <w:rFonts w:eastAsia="標楷體"/>
                <w:b/>
                <w:bCs/>
              </w:rPr>
              <w:t xml:space="preserve">0.04 </w:t>
            </w:r>
          </w:p>
        </w:tc>
        <w:tc>
          <w:tcPr>
            <w:tcW w:w="708"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b/>
                <w:bCs/>
              </w:rPr>
            </w:pPr>
            <w:r w:rsidRPr="00D55DC6">
              <w:rPr>
                <w:rFonts w:eastAsia="標楷體"/>
                <w:b/>
                <w:bCs/>
              </w:rPr>
              <w:t xml:space="preserve">0.04 </w:t>
            </w:r>
          </w:p>
        </w:tc>
        <w:tc>
          <w:tcPr>
            <w:tcW w:w="851" w:type="dxa"/>
            <w:tcBorders>
              <w:top w:val="nil"/>
              <w:left w:val="nil"/>
              <w:bottom w:val="single" w:sz="8"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b/>
              </w:rPr>
            </w:pPr>
            <w:r w:rsidRPr="00D55DC6">
              <w:rPr>
                <w:rFonts w:eastAsia="標楷體"/>
                <w:b/>
              </w:rPr>
              <w:t xml:space="preserve">0.16 </w:t>
            </w:r>
          </w:p>
        </w:tc>
        <w:tc>
          <w:tcPr>
            <w:tcW w:w="1558"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rPr>
                <w:rFonts w:eastAsia="標楷體"/>
                <w:sz w:val="22"/>
                <w:szCs w:val="22"/>
              </w:rPr>
            </w:pPr>
            <w:r w:rsidRPr="00D55DC6">
              <w:rPr>
                <w:rFonts w:eastAsia="標楷體"/>
                <w:sz w:val="22"/>
                <w:szCs w:val="22"/>
              </w:rPr>
              <w:t>辦理轄區訂樁測量、土地取得等相關作業。</w:t>
            </w:r>
          </w:p>
        </w:tc>
      </w:tr>
      <w:tr w:rsidR="001D0350" w:rsidRPr="00D55DC6" w:rsidTr="00F47623">
        <w:trPr>
          <w:trHeight w:val="1156"/>
        </w:trPr>
        <w:tc>
          <w:tcPr>
            <w:tcW w:w="399"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1106" w:type="dxa"/>
            <w:tcBorders>
              <w:top w:val="nil"/>
              <w:left w:val="single" w:sz="8" w:space="0" w:color="auto"/>
              <w:bottom w:val="single" w:sz="4" w:space="0" w:color="auto"/>
              <w:right w:val="single" w:sz="8" w:space="0" w:color="auto"/>
            </w:tcBorders>
            <w:shd w:val="clear" w:color="000000" w:fill="CCFFCC"/>
          </w:tcPr>
          <w:p w:rsidR="00F47623" w:rsidRPr="00D55DC6" w:rsidRDefault="00F47623" w:rsidP="0038165F">
            <w:pPr>
              <w:widowControl/>
              <w:spacing w:line="0" w:lineRule="atLeast"/>
              <w:rPr>
                <w:rFonts w:eastAsia="標楷體"/>
                <w:kern w:val="0"/>
              </w:rPr>
            </w:pPr>
            <w:r w:rsidRPr="00D55DC6">
              <w:rPr>
                <w:rFonts w:eastAsia="標楷體"/>
                <w:kern w:val="0"/>
                <w:szCs w:val="22"/>
              </w:rPr>
              <w:t>0302</w:t>
            </w:r>
            <w:r w:rsidRPr="00D55DC6">
              <w:rPr>
                <w:rFonts w:eastAsia="標楷體"/>
                <w:kern w:val="0"/>
                <w:szCs w:val="22"/>
              </w:rPr>
              <w:t>房屋建築及設備費</w:t>
            </w:r>
          </w:p>
        </w:tc>
        <w:tc>
          <w:tcPr>
            <w:tcW w:w="2342" w:type="dxa"/>
            <w:tcBorders>
              <w:top w:val="nil"/>
              <w:left w:val="nil"/>
              <w:bottom w:val="single" w:sz="4" w:space="0" w:color="auto"/>
              <w:right w:val="single" w:sz="8" w:space="0" w:color="auto"/>
            </w:tcBorders>
            <w:shd w:val="clear" w:color="000000" w:fill="CCFFCC"/>
            <w:vAlign w:val="center"/>
          </w:tcPr>
          <w:p w:rsidR="00F47623" w:rsidRPr="00D55DC6" w:rsidRDefault="00F47623" w:rsidP="0038165F">
            <w:pPr>
              <w:spacing w:line="0" w:lineRule="atLeast"/>
              <w:rPr>
                <w:rFonts w:eastAsia="標楷體"/>
                <w:b/>
                <w:bCs/>
                <w:sz w:val="22"/>
                <w:szCs w:val="22"/>
              </w:rPr>
            </w:pPr>
            <w:r w:rsidRPr="00D55DC6">
              <w:rPr>
                <w:rFonts w:eastAsia="標楷體"/>
                <w:b/>
                <w:bCs/>
                <w:sz w:val="22"/>
                <w:szCs w:val="22"/>
              </w:rPr>
              <w:t>2.</w:t>
            </w:r>
            <w:r w:rsidRPr="00D55DC6">
              <w:rPr>
                <w:rFonts w:eastAsia="標楷體"/>
                <w:b/>
                <w:bCs/>
                <w:sz w:val="22"/>
                <w:szCs w:val="22"/>
              </w:rPr>
              <w:t>房屋建築及設備</w:t>
            </w:r>
          </w:p>
        </w:tc>
        <w:tc>
          <w:tcPr>
            <w:tcW w:w="709" w:type="dxa"/>
            <w:tcBorders>
              <w:top w:val="nil"/>
              <w:left w:val="nil"/>
              <w:bottom w:val="single" w:sz="4"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b/>
                <w:bCs/>
              </w:rPr>
            </w:pPr>
            <w:r w:rsidRPr="00D55DC6">
              <w:rPr>
                <w:rFonts w:eastAsia="標楷體"/>
                <w:b/>
                <w:bCs/>
              </w:rPr>
              <w:t xml:space="preserve">0.00 </w:t>
            </w:r>
          </w:p>
        </w:tc>
        <w:tc>
          <w:tcPr>
            <w:tcW w:w="709" w:type="dxa"/>
            <w:tcBorders>
              <w:top w:val="nil"/>
              <w:left w:val="nil"/>
              <w:bottom w:val="single" w:sz="4"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b/>
                <w:bCs/>
              </w:rPr>
            </w:pPr>
            <w:r w:rsidRPr="00D55DC6">
              <w:rPr>
                <w:rFonts w:eastAsia="標楷體"/>
                <w:b/>
                <w:bCs/>
              </w:rPr>
              <w:t xml:space="preserve">0.00 </w:t>
            </w:r>
          </w:p>
        </w:tc>
        <w:tc>
          <w:tcPr>
            <w:tcW w:w="709" w:type="dxa"/>
            <w:tcBorders>
              <w:top w:val="nil"/>
              <w:left w:val="nil"/>
              <w:bottom w:val="single" w:sz="4"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b/>
                <w:bCs/>
              </w:rPr>
            </w:pPr>
            <w:r w:rsidRPr="00D55DC6">
              <w:rPr>
                <w:rFonts w:eastAsia="標楷體"/>
                <w:b/>
                <w:bCs/>
              </w:rPr>
              <w:t xml:space="preserve">0.00 </w:t>
            </w:r>
          </w:p>
        </w:tc>
        <w:tc>
          <w:tcPr>
            <w:tcW w:w="708" w:type="dxa"/>
            <w:tcBorders>
              <w:top w:val="nil"/>
              <w:left w:val="nil"/>
              <w:bottom w:val="single" w:sz="4"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b/>
                <w:bCs/>
              </w:rPr>
            </w:pPr>
            <w:r w:rsidRPr="00D55DC6">
              <w:rPr>
                <w:rFonts w:eastAsia="標楷體"/>
                <w:b/>
                <w:bCs/>
              </w:rPr>
              <w:t xml:space="preserve">0.00 </w:t>
            </w:r>
          </w:p>
        </w:tc>
        <w:tc>
          <w:tcPr>
            <w:tcW w:w="851" w:type="dxa"/>
            <w:tcBorders>
              <w:top w:val="nil"/>
              <w:left w:val="nil"/>
              <w:bottom w:val="single" w:sz="4"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b/>
              </w:rPr>
            </w:pPr>
            <w:r w:rsidRPr="00D55DC6">
              <w:rPr>
                <w:rFonts w:eastAsia="標楷體"/>
                <w:b/>
              </w:rPr>
              <w:t xml:space="preserve">0.00 </w:t>
            </w:r>
          </w:p>
        </w:tc>
        <w:tc>
          <w:tcPr>
            <w:tcW w:w="1558" w:type="dxa"/>
            <w:tcBorders>
              <w:top w:val="nil"/>
              <w:left w:val="single" w:sz="8" w:space="0" w:color="auto"/>
              <w:bottom w:val="single" w:sz="4" w:space="0" w:color="auto"/>
              <w:right w:val="single" w:sz="8" w:space="0" w:color="auto"/>
            </w:tcBorders>
            <w:vAlign w:val="center"/>
          </w:tcPr>
          <w:p w:rsidR="00F47623" w:rsidRPr="00D55DC6" w:rsidRDefault="00F47623" w:rsidP="0038165F">
            <w:pPr>
              <w:spacing w:line="0" w:lineRule="atLeast"/>
              <w:jc w:val="both"/>
              <w:rPr>
                <w:sz w:val="22"/>
                <w:szCs w:val="22"/>
              </w:rPr>
            </w:pPr>
            <w:r w:rsidRPr="00D55DC6">
              <w:rPr>
                <w:rFonts w:eastAsia="標楷體"/>
                <w:sz w:val="22"/>
                <w:szCs w:val="22"/>
              </w:rPr>
              <w:t xml:space="preserve">　</w:t>
            </w:r>
          </w:p>
        </w:tc>
      </w:tr>
      <w:tr w:rsidR="001D0350" w:rsidRPr="00D55DC6" w:rsidTr="00F47623">
        <w:trPr>
          <w:trHeight w:val="345"/>
        </w:trPr>
        <w:tc>
          <w:tcPr>
            <w:tcW w:w="399"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1106" w:type="dxa"/>
            <w:vMerge w:val="restart"/>
            <w:tcBorders>
              <w:top w:val="single" w:sz="4" w:space="0" w:color="auto"/>
              <w:left w:val="single" w:sz="8" w:space="0" w:color="auto"/>
              <w:right w:val="single" w:sz="8" w:space="0" w:color="auto"/>
            </w:tcBorders>
            <w:shd w:val="clear" w:color="000000" w:fill="CCFFCC"/>
          </w:tcPr>
          <w:p w:rsidR="00F47623" w:rsidRPr="00D55DC6" w:rsidRDefault="00F47623" w:rsidP="0038165F">
            <w:pPr>
              <w:widowControl/>
              <w:spacing w:line="0" w:lineRule="atLeast"/>
              <w:rPr>
                <w:rFonts w:eastAsia="標楷體"/>
                <w:kern w:val="0"/>
              </w:rPr>
            </w:pPr>
            <w:r w:rsidRPr="00D55DC6">
              <w:rPr>
                <w:rFonts w:eastAsia="標楷體"/>
                <w:kern w:val="0"/>
                <w:szCs w:val="22"/>
              </w:rPr>
              <w:t>0303</w:t>
            </w:r>
            <w:r w:rsidRPr="00D55DC6">
              <w:rPr>
                <w:rFonts w:eastAsia="標楷體"/>
                <w:kern w:val="0"/>
                <w:szCs w:val="22"/>
              </w:rPr>
              <w:t>公共建設及設施費</w:t>
            </w:r>
          </w:p>
        </w:tc>
        <w:tc>
          <w:tcPr>
            <w:tcW w:w="2342" w:type="dxa"/>
            <w:tcBorders>
              <w:top w:val="single" w:sz="4" w:space="0" w:color="auto"/>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rPr>
                <w:rFonts w:eastAsia="標楷體"/>
                <w:b/>
                <w:bCs/>
                <w:sz w:val="22"/>
                <w:szCs w:val="22"/>
              </w:rPr>
            </w:pPr>
            <w:r w:rsidRPr="00D55DC6">
              <w:rPr>
                <w:rFonts w:eastAsia="標楷體"/>
                <w:b/>
                <w:bCs/>
                <w:sz w:val="22"/>
                <w:szCs w:val="22"/>
              </w:rPr>
              <w:t>3.</w:t>
            </w:r>
            <w:r w:rsidRPr="00D55DC6">
              <w:rPr>
                <w:rFonts w:eastAsia="標楷體"/>
                <w:b/>
                <w:bCs/>
                <w:sz w:val="22"/>
                <w:szCs w:val="22"/>
              </w:rPr>
              <w:t>公共建設及設施</w:t>
            </w:r>
          </w:p>
        </w:tc>
        <w:tc>
          <w:tcPr>
            <w:tcW w:w="709" w:type="dxa"/>
            <w:tcBorders>
              <w:top w:val="single" w:sz="4" w:space="0" w:color="auto"/>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b/>
                <w:bCs/>
              </w:rPr>
            </w:pPr>
            <w:r w:rsidRPr="00D55DC6">
              <w:rPr>
                <w:rFonts w:eastAsia="標楷體"/>
                <w:b/>
                <w:bCs/>
              </w:rPr>
              <w:t xml:space="preserve">2.66 </w:t>
            </w:r>
          </w:p>
        </w:tc>
        <w:tc>
          <w:tcPr>
            <w:tcW w:w="709" w:type="dxa"/>
            <w:tcBorders>
              <w:top w:val="single" w:sz="4" w:space="0" w:color="auto"/>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b/>
                <w:bCs/>
              </w:rPr>
            </w:pPr>
            <w:r w:rsidRPr="00D55DC6">
              <w:rPr>
                <w:rFonts w:eastAsia="標楷體"/>
                <w:b/>
                <w:bCs/>
              </w:rPr>
              <w:t xml:space="preserve">2.66 </w:t>
            </w:r>
          </w:p>
        </w:tc>
        <w:tc>
          <w:tcPr>
            <w:tcW w:w="709" w:type="dxa"/>
            <w:tcBorders>
              <w:top w:val="single" w:sz="4" w:space="0" w:color="auto"/>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b/>
                <w:bCs/>
              </w:rPr>
            </w:pPr>
            <w:r w:rsidRPr="00D55DC6">
              <w:rPr>
                <w:rFonts w:eastAsia="標楷體"/>
                <w:b/>
                <w:bCs/>
              </w:rPr>
              <w:t xml:space="preserve">2.66 </w:t>
            </w:r>
          </w:p>
        </w:tc>
        <w:tc>
          <w:tcPr>
            <w:tcW w:w="708" w:type="dxa"/>
            <w:tcBorders>
              <w:top w:val="single" w:sz="4" w:space="0" w:color="auto"/>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b/>
                <w:bCs/>
              </w:rPr>
            </w:pPr>
            <w:r w:rsidRPr="00D55DC6">
              <w:rPr>
                <w:rFonts w:eastAsia="標楷體"/>
                <w:b/>
                <w:bCs/>
              </w:rPr>
              <w:t xml:space="preserve">2.66 </w:t>
            </w:r>
          </w:p>
        </w:tc>
        <w:tc>
          <w:tcPr>
            <w:tcW w:w="851" w:type="dxa"/>
            <w:tcBorders>
              <w:top w:val="single" w:sz="4" w:space="0" w:color="auto"/>
              <w:left w:val="nil"/>
              <w:bottom w:val="single" w:sz="8"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b/>
              </w:rPr>
            </w:pPr>
            <w:r w:rsidRPr="00D55DC6">
              <w:rPr>
                <w:rFonts w:eastAsia="標楷體"/>
                <w:b/>
              </w:rPr>
              <w:t xml:space="preserve">10.64 </w:t>
            </w:r>
          </w:p>
        </w:tc>
        <w:tc>
          <w:tcPr>
            <w:tcW w:w="1558" w:type="dxa"/>
            <w:tcBorders>
              <w:top w:val="single" w:sz="4" w:space="0" w:color="auto"/>
              <w:left w:val="single" w:sz="8" w:space="0" w:color="auto"/>
              <w:bottom w:val="single" w:sz="8" w:space="0" w:color="auto"/>
              <w:right w:val="single" w:sz="8" w:space="0" w:color="auto"/>
            </w:tcBorders>
            <w:vAlign w:val="center"/>
          </w:tcPr>
          <w:p w:rsidR="00F47623" w:rsidRPr="00D55DC6" w:rsidRDefault="00F47623" w:rsidP="0038165F">
            <w:pPr>
              <w:spacing w:line="0" w:lineRule="atLeast"/>
              <w:jc w:val="both"/>
              <w:rPr>
                <w:rFonts w:eastAsia="標楷體"/>
                <w:sz w:val="22"/>
                <w:szCs w:val="22"/>
              </w:rPr>
            </w:pPr>
          </w:p>
        </w:tc>
      </w:tr>
      <w:tr w:rsidR="001D0350" w:rsidRPr="00D55DC6" w:rsidTr="00F47623">
        <w:trPr>
          <w:trHeight w:val="360"/>
        </w:trPr>
        <w:tc>
          <w:tcPr>
            <w:tcW w:w="399"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1106"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2342"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both"/>
              <w:rPr>
                <w:rFonts w:eastAsia="標楷體"/>
                <w:sz w:val="22"/>
                <w:szCs w:val="22"/>
              </w:rPr>
            </w:pPr>
            <w:r w:rsidRPr="00D55DC6">
              <w:rPr>
                <w:rFonts w:eastAsia="標楷體"/>
                <w:sz w:val="22"/>
                <w:szCs w:val="22"/>
              </w:rPr>
              <w:t>(1)</w:t>
            </w:r>
            <w:r w:rsidRPr="00D55DC6">
              <w:rPr>
                <w:rFonts w:eastAsia="標楷體"/>
                <w:sz w:val="22"/>
                <w:szCs w:val="22"/>
              </w:rPr>
              <w:t>先期規劃設計</w:t>
            </w:r>
          </w:p>
        </w:tc>
        <w:tc>
          <w:tcPr>
            <w:tcW w:w="709"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rPr>
            </w:pPr>
            <w:r w:rsidRPr="00D55DC6">
              <w:rPr>
                <w:rFonts w:eastAsia="標楷體"/>
              </w:rPr>
              <w:t xml:space="preserve">0.06 </w:t>
            </w:r>
          </w:p>
        </w:tc>
        <w:tc>
          <w:tcPr>
            <w:tcW w:w="709"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rPr>
            </w:pPr>
            <w:r w:rsidRPr="00D55DC6">
              <w:rPr>
                <w:rFonts w:eastAsia="標楷體"/>
              </w:rPr>
              <w:t xml:space="preserve">0.06 </w:t>
            </w:r>
          </w:p>
        </w:tc>
        <w:tc>
          <w:tcPr>
            <w:tcW w:w="709"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rPr>
            </w:pPr>
            <w:r w:rsidRPr="00D55DC6">
              <w:rPr>
                <w:rFonts w:eastAsia="標楷體"/>
              </w:rPr>
              <w:t xml:space="preserve">0.06 </w:t>
            </w:r>
          </w:p>
        </w:tc>
        <w:tc>
          <w:tcPr>
            <w:tcW w:w="708"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rPr>
            </w:pPr>
            <w:r w:rsidRPr="00D55DC6">
              <w:rPr>
                <w:rFonts w:eastAsia="標楷體"/>
              </w:rPr>
              <w:t xml:space="preserve">0.06 </w:t>
            </w:r>
          </w:p>
        </w:tc>
        <w:tc>
          <w:tcPr>
            <w:tcW w:w="851" w:type="dxa"/>
            <w:tcBorders>
              <w:top w:val="nil"/>
              <w:left w:val="nil"/>
              <w:bottom w:val="single" w:sz="8"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b/>
              </w:rPr>
            </w:pPr>
            <w:r w:rsidRPr="00D55DC6">
              <w:rPr>
                <w:rFonts w:eastAsia="標楷體"/>
                <w:b/>
              </w:rPr>
              <w:t xml:space="preserve">0.24 </w:t>
            </w:r>
          </w:p>
        </w:tc>
        <w:tc>
          <w:tcPr>
            <w:tcW w:w="1558"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jc w:val="both"/>
              <w:rPr>
                <w:rFonts w:eastAsia="標楷體"/>
                <w:sz w:val="22"/>
                <w:szCs w:val="22"/>
              </w:rPr>
            </w:pPr>
            <w:r w:rsidRPr="00D55DC6">
              <w:rPr>
                <w:rFonts w:eastAsia="標楷體"/>
                <w:sz w:val="22"/>
                <w:szCs w:val="22"/>
              </w:rPr>
              <w:t xml:space="preserve">　</w:t>
            </w:r>
          </w:p>
        </w:tc>
      </w:tr>
      <w:tr w:rsidR="001D0350" w:rsidRPr="00D55DC6" w:rsidTr="00F47623">
        <w:trPr>
          <w:trHeight w:val="390"/>
        </w:trPr>
        <w:tc>
          <w:tcPr>
            <w:tcW w:w="399"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1106"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2342"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both"/>
              <w:rPr>
                <w:rFonts w:eastAsia="標楷體"/>
                <w:sz w:val="22"/>
                <w:szCs w:val="22"/>
              </w:rPr>
            </w:pPr>
            <w:r w:rsidRPr="00D55DC6">
              <w:rPr>
                <w:rFonts w:eastAsia="標楷體"/>
                <w:sz w:val="22"/>
                <w:szCs w:val="22"/>
              </w:rPr>
              <w:t>(2)</w:t>
            </w:r>
            <w:r w:rsidRPr="00D55DC6">
              <w:rPr>
                <w:rFonts w:eastAsia="標楷體"/>
                <w:sz w:val="22"/>
                <w:szCs w:val="22"/>
              </w:rPr>
              <w:t>國際觀光重要景點</w:t>
            </w:r>
          </w:p>
        </w:tc>
        <w:tc>
          <w:tcPr>
            <w:tcW w:w="709"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rPr>
            </w:pPr>
            <w:r w:rsidRPr="00D55DC6">
              <w:rPr>
                <w:rFonts w:eastAsia="標楷體"/>
              </w:rPr>
              <w:t xml:space="preserve">1.30 </w:t>
            </w:r>
          </w:p>
        </w:tc>
        <w:tc>
          <w:tcPr>
            <w:tcW w:w="709"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rPr>
            </w:pPr>
            <w:r w:rsidRPr="00D55DC6">
              <w:rPr>
                <w:rFonts w:eastAsia="標楷體"/>
              </w:rPr>
              <w:t xml:space="preserve">1.20 </w:t>
            </w:r>
          </w:p>
        </w:tc>
        <w:tc>
          <w:tcPr>
            <w:tcW w:w="709"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rPr>
            </w:pPr>
            <w:r w:rsidRPr="00D55DC6">
              <w:rPr>
                <w:rFonts w:eastAsia="標楷體"/>
              </w:rPr>
              <w:t xml:space="preserve">1.10 </w:t>
            </w:r>
          </w:p>
        </w:tc>
        <w:tc>
          <w:tcPr>
            <w:tcW w:w="708"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rPr>
            </w:pPr>
            <w:r w:rsidRPr="00D55DC6">
              <w:rPr>
                <w:rFonts w:eastAsia="標楷體"/>
              </w:rPr>
              <w:t xml:space="preserve">1.00 </w:t>
            </w:r>
          </w:p>
        </w:tc>
        <w:tc>
          <w:tcPr>
            <w:tcW w:w="851" w:type="dxa"/>
            <w:tcBorders>
              <w:top w:val="nil"/>
              <w:left w:val="nil"/>
              <w:bottom w:val="single" w:sz="8"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b/>
              </w:rPr>
            </w:pPr>
            <w:r w:rsidRPr="00D55DC6">
              <w:rPr>
                <w:rFonts w:eastAsia="標楷體"/>
                <w:b/>
              </w:rPr>
              <w:t xml:space="preserve">4.60 </w:t>
            </w:r>
          </w:p>
        </w:tc>
        <w:tc>
          <w:tcPr>
            <w:tcW w:w="1558" w:type="dxa"/>
            <w:tcBorders>
              <w:top w:val="nil"/>
              <w:left w:val="single" w:sz="8" w:space="0" w:color="auto"/>
              <w:bottom w:val="single" w:sz="4" w:space="0" w:color="auto"/>
              <w:right w:val="single" w:sz="8" w:space="0" w:color="auto"/>
            </w:tcBorders>
            <w:vAlign w:val="center"/>
          </w:tcPr>
          <w:p w:rsidR="00F47623" w:rsidRPr="00D55DC6" w:rsidRDefault="00F47623" w:rsidP="0038165F">
            <w:pPr>
              <w:spacing w:line="0" w:lineRule="atLeast"/>
              <w:jc w:val="both"/>
              <w:rPr>
                <w:rFonts w:eastAsia="標楷體"/>
                <w:sz w:val="22"/>
                <w:szCs w:val="22"/>
              </w:rPr>
            </w:pPr>
          </w:p>
        </w:tc>
      </w:tr>
      <w:tr w:rsidR="001D0350" w:rsidRPr="00D55DC6" w:rsidTr="00F47623">
        <w:trPr>
          <w:trHeight w:val="142"/>
        </w:trPr>
        <w:tc>
          <w:tcPr>
            <w:tcW w:w="399"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1106"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2342" w:type="dxa"/>
            <w:tcBorders>
              <w:top w:val="nil"/>
              <w:left w:val="nil"/>
              <w:bottom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sz w:val="22"/>
                <w:szCs w:val="22"/>
              </w:rPr>
            </w:pPr>
            <w:r w:rsidRPr="00D55DC6">
              <w:rPr>
                <w:rFonts w:eastAsia="標楷體"/>
                <w:sz w:val="22"/>
                <w:szCs w:val="22"/>
              </w:rPr>
              <w:t>北門地區服務設施改善</w:t>
            </w:r>
          </w:p>
        </w:tc>
        <w:tc>
          <w:tcPr>
            <w:tcW w:w="709"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0.65 </w:t>
            </w:r>
          </w:p>
        </w:tc>
        <w:tc>
          <w:tcPr>
            <w:tcW w:w="709"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0.60 </w:t>
            </w:r>
          </w:p>
        </w:tc>
        <w:tc>
          <w:tcPr>
            <w:tcW w:w="709"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0.55 </w:t>
            </w:r>
          </w:p>
        </w:tc>
        <w:tc>
          <w:tcPr>
            <w:tcW w:w="708"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0.50 </w:t>
            </w:r>
          </w:p>
        </w:tc>
        <w:tc>
          <w:tcPr>
            <w:tcW w:w="851" w:type="dxa"/>
            <w:tcBorders>
              <w:top w:val="nil"/>
              <w:left w:val="nil"/>
              <w:bottom w:val="single" w:sz="8"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b/>
              </w:rPr>
            </w:pPr>
            <w:r w:rsidRPr="00D55DC6">
              <w:rPr>
                <w:rFonts w:eastAsia="標楷體"/>
                <w:b/>
              </w:rPr>
              <w:t xml:space="preserve">2.30 </w:t>
            </w:r>
          </w:p>
        </w:tc>
        <w:tc>
          <w:tcPr>
            <w:tcW w:w="1558" w:type="dxa"/>
            <w:tcBorders>
              <w:top w:val="single" w:sz="4" w:space="0" w:color="auto"/>
              <w:left w:val="single" w:sz="8" w:space="0" w:color="auto"/>
              <w:bottom w:val="single" w:sz="4" w:space="0" w:color="auto"/>
              <w:right w:val="single" w:sz="8" w:space="0" w:color="auto"/>
            </w:tcBorders>
            <w:vAlign w:val="center"/>
          </w:tcPr>
          <w:p w:rsidR="00F47623" w:rsidRPr="00D55DC6" w:rsidRDefault="00F47623" w:rsidP="0038165F">
            <w:pPr>
              <w:spacing w:line="0" w:lineRule="atLeast"/>
              <w:jc w:val="both"/>
              <w:rPr>
                <w:rFonts w:eastAsia="標楷體"/>
                <w:kern w:val="0"/>
                <w:sz w:val="22"/>
                <w:szCs w:val="22"/>
              </w:rPr>
            </w:pPr>
            <w:r w:rsidRPr="00D55DC6">
              <w:rPr>
                <w:rFonts w:eastAsia="標楷體"/>
                <w:sz w:val="22"/>
                <w:szCs w:val="22"/>
              </w:rPr>
              <w:t>辦理北門婚紗美地、井仔腳周邊服務設施暨景觀改善等工程。</w:t>
            </w:r>
          </w:p>
        </w:tc>
      </w:tr>
      <w:tr w:rsidR="001D0350" w:rsidRPr="00D55DC6" w:rsidTr="00F47623">
        <w:trPr>
          <w:trHeight w:val="190"/>
        </w:trPr>
        <w:tc>
          <w:tcPr>
            <w:tcW w:w="399"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1106"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2342" w:type="dxa"/>
            <w:tcBorders>
              <w:top w:val="nil"/>
              <w:left w:val="nil"/>
              <w:bottom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sz w:val="22"/>
                <w:szCs w:val="22"/>
              </w:rPr>
            </w:pPr>
            <w:r w:rsidRPr="00D55DC6">
              <w:rPr>
                <w:rFonts w:eastAsia="標楷體"/>
                <w:sz w:val="22"/>
                <w:szCs w:val="22"/>
              </w:rPr>
              <w:t>將軍七股地區服務設施改善</w:t>
            </w:r>
          </w:p>
        </w:tc>
        <w:tc>
          <w:tcPr>
            <w:tcW w:w="709"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0.65 </w:t>
            </w:r>
          </w:p>
        </w:tc>
        <w:tc>
          <w:tcPr>
            <w:tcW w:w="709"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0.60 </w:t>
            </w:r>
          </w:p>
        </w:tc>
        <w:tc>
          <w:tcPr>
            <w:tcW w:w="709"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0.55 </w:t>
            </w:r>
          </w:p>
        </w:tc>
        <w:tc>
          <w:tcPr>
            <w:tcW w:w="708"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0.50 </w:t>
            </w:r>
          </w:p>
        </w:tc>
        <w:tc>
          <w:tcPr>
            <w:tcW w:w="851" w:type="dxa"/>
            <w:tcBorders>
              <w:top w:val="nil"/>
              <w:left w:val="nil"/>
              <w:bottom w:val="single" w:sz="8"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b/>
              </w:rPr>
            </w:pPr>
            <w:r w:rsidRPr="00D55DC6">
              <w:rPr>
                <w:rFonts w:eastAsia="標楷體"/>
                <w:b/>
              </w:rPr>
              <w:t xml:space="preserve">2.30 </w:t>
            </w:r>
          </w:p>
        </w:tc>
        <w:tc>
          <w:tcPr>
            <w:tcW w:w="1558" w:type="dxa"/>
            <w:tcBorders>
              <w:top w:val="single" w:sz="4" w:space="0" w:color="auto"/>
              <w:left w:val="single" w:sz="8" w:space="0" w:color="auto"/>
              <w:bottom w:val="nil"/>
              <w:right w:val="single" w:sz="8" w:space="0" w:color="auto"/>
            </w:tcBorders>
            <w:vAlign w:val="center"/>
          </w:tcPr>
          <w:p w:rsidR="00F47623" w:rsidRPr="00D55DC6" w:rsidRDefault="00F47623" w:rsidP="0038165F">
            <w:pPr>
              <w:spacing w:line="0" w:lineRule="atLeast"/>
              <w:jc w:val="both"/>
              <w:rPr>
                <w:rFonts w:eastAsia="標楷體"/>
                <w:kern w:val="0"/>
                <w:sz w:val="22"/>
                <w:szCs w:val="22"/>
              </w:rPr>
            </w:pPr>
            <w:r w:rsidRPr="00D55DC6">
              <w:rPr>
                <w:rFonts w:eastAsia="標楷體"/>
                <w:sz w:val="22"/>
                <w:szCs w:val="22"/>
              </w:rPr>
              <w:t>七股遊客中心周邊及戀愛意象相關服務設施暨景觀改善等工程。</w:t>
            </w:r>
          </w:p>
        </w:tc>
      </w:tr>
      <w:tr w:rsidR="001D0350" w:rsidRPr="00D55DC6" w:rsidTr="00F47623">
        <w:trPr>
          <w:trHeight w:val="345"/>
        </w:trPr>
        <w:tc>
          <w:tcPr>
            <w:tcW w:w="399"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1106"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2342"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both"/>
              <w:rPr>
                <w:rFonts w:eastAsia="標楷體"/>
                <w:sz w:val="22"/>
                <w:szCs w:val="22"/>
              </w:rPr>
            </w:pPr>
            <w:r w:rsidRPr="00D55DC6">
              <w:rPr>
                <w:rFonts w:eastAsia="標楷體"/>
                <w:sz w:val="22"/>
                <w:szCs w:val="22"/>
              </w:rPr>
              <w:t>(3)</w:t>
            </w:r>
            <w:r w:rsidRPr="00D55DC6">
              <w:rPr>
                <w:rFonts w:eastAsia="標楷體"/>
                <w:sz w:val="22"/>
                <w:szCs w:val="22"/>
              </w:rPr>
              <w:t>國內觀光重要景點</w:t>
            </w:r>
          </w:p>
        </w:tc>
        <w:tc>
          <w:tcPr>
            <w:tcW w:w="709"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rPr>
            </w:pPr>
            <w:r w:rsidRPr="00D55DC6">
              <w:rPr>
                <w:rFonts w:eastAsia="標楷體"/>
              </w:rPr>
              <w:t xml:space="preserve">1.00 </w:t>
            </w:r>
          </w:p>
        </w:tc>
        <w:tc>
          <w:tcPr>
            <w:tcW w:w="709"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rPr>
            </w:pPr>
            <w:r w:rsidRPr="00D55DC6">
              <w:rPr>
                <w:rFonts w:eastAsia="標楷體"/>
              </w:rPr>
              <w:t xml:space="preserve">1.10 </w:t>
            </w:r>
          </w:p>
        </w:tc>
        <w:tc>
          <w:tcPr>
            <w:tcW w:w="709"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rPr>
            </w:pPr>
            <w:r w:rsidRPr="00D55DC6">
              <w:rPr>
                <w:rFonts w:eastAsia="標楷體"/>
              </w:rPr>
              <w:t xml:space="preserve">1.20 </w:t>
            </w:r>
          </w:p>
        </w:tc>
        <w:tc>
          <w:tcPr>
            <w:tcW w:w="708"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rPr>
            </w:pPr>
            <w:r w:rsidRPr="00D55DC6">
              <w:rPr>
                <w:rFonts w:eastAsia="標楷體"/>
              </w:rPr>
              <w:t xml:space="preserve">1.30 </w:t>
            </w:r>
          </w:p>
        </w:tc>
        <w:tc>
          <w:tcPr>
            <w:tcW w:w="851" w:type="dxa"/>
            <w:tcBorders>
              <w:top w:val="nil"/>
              <w:left w:val="nil"/>
              <w:bottom w:val="single" w:sz="4"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b/>
              </w:rPr>
            </w:pPr>
            <w:r w:rsidRPr="00D55DC6">
              <w:rPr>
                <w:rFonts w:eastAsia="標楷體"/>
                <w:b/>
              </w:rPr>
              <w:t xml:space="preserve">4.60 </w:t>
            </w:r>
          </w:p>
        </w:tc>
        <w:tc>
          <w:tcPr>
            <w:tcW w:w="1558" w:type="dxa"/>
            <w:tcBorders>
              <w:top w:val="single" w:sz="8" w:space="0" w:color="auto"/>
              <w:left w:val="single" w:sz="8" w:space="0" w:color="auto"/>
              <w:bottom w:val="single" w:sz="4" w:space="0" w:color="auto"/>
              <w:right w:val="single" w:sz="8" w:space="0" w:color="auto"/>
            </w:tcBorders>
            <w:vAlign w:val="center"/>
          </w:tcPr>
          <w:p w:rsidR="00F47623" w:rsidRPr="00D55DC6" w:rsidRDefault="00F47623" w:rsidP="0038165F">
            <w:pPr>
              <w:spacing w:line="0" w:lineRule="atLeast"/>
              <w:rPr>
                <w:rFonts w:eastAsia="標楷體"/>
                <w:sz w:val="22"/>
                <w:szCs w:val="22"/>
              </w:rPr>
            </w:pPr>
          </w:p>
        </w:tc>
      </w:tr>
      <w:tr w:rsidR="001D0350" w:rsidRPr="00D55DC6" w:rsidTr="00F47623">
        <w:trPr>
          <w:trHeight w:val="292"/>
        </w:trPr>
        <w:tc>
          <w:tcPr>
            <w:tcW w:w="399"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1106"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2342"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rPr>
                <w:sz w:val="22"/>
                <w:szCs w:val="22"/>
              </w:rPr>
            </w:pPr>
            <w:r w:rsidRPr="00D55DC6">
              <w:rPr>
                <w:rFonts w:eastAsia="標楷體"/>
                <w:sz w:val="22"/>
                <w:szCs w:val="22"/>
              </w:rPr>
              <w:t>東石布袋地區服務設施改善</w:t>
            </w:r>
          </w:p>
        </w:tc>
        <w:tc>
          <w:tcPr>
            <w:tcW w:w="709"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0.65 </w:t>
            </w:r>
          </w:p>
        </w:tc>
        <w:tc>
          <w:tcPr>
            <w:tcW w:w="709"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0.70 </w:t>
            </w:r>
          </w:p>
        </w:tc>
        <w:tc>
          <w:tcPr>
            <w:tcW w:w="709"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0.75 </w:t>
            </w:r>
          </w:p>
        </w:tc>
        <w:tc>
          <w:tcPr>
            <w:tcW w:w="708"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0.80 </w:t>
            </w:r>
          </w:p>
        </w:tc>
        <w:tc>
          <w:tcPr>
            <w:tcW w:w="851" w:type="dxa"/>
            <w:tcBorders>
              <w:top w:val="nil"/>
              <w:left w:val="nil"/>
              <w:bottom w:val="single" w:sz="8"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b/>
              </w:rPr>
            </w:pPr>
            <w:r w:rsidRPr="00D55DC6">
              <w:rPr>
                <w:rFonts w:eastAsia="標楷體"/>
                <w:b/>
              </w:rPr>
              <w:t xml:space="preserve">2.90 </w:t>
            </w:r>
          </w:p>
        </w:tc>
        <w:tc>
          <w:tcPr>
            <w:tcW w:w="1558" w:type="dxa"/>
            <w:tcBorders>
              <w:top w:val="single" w:sz="4" w:space="0" w:color="auto"/>
              <w:left w:val="single" w:sz="8" w:space="0" w:color="auto"/>
              <w:bottom w:val="single" w:sz="4" w:space="0" w:color="auto"/>
              <w:right w:val="single" w:sz="8" w:space="0" w:color="auto"/>
            </w:tcBorders>
            <w:vAlign w:val="center"/>
          </w:tcPr>
          <w:p w:rsidR="00F47623" w:rsidRPr="00D55DC6" w:rsidRDefault="00F47623" w:rsidP="0038165F">
            <w:pPr>
              <w:spacing w:line="0" w:lineRule="atLeast"/>
              <w:rPr>
                <w:rFonts w:eastAsia="標楷體"/>
                <w:kern w:val="0"/>
                <w:sz w:val="22"/>
                <w:szCs w:val="22"/>
              </w:rPr>
            </w:pPr>
            <w:r w:rsidRPr="00D55DC6">
              <w:rPr>
                <w:rFonts w:eastAsia="標楷體"/>
                <w:sz w:val="22"/>
                <w:szCs w:val="22"/>
              </w:rPr>
              <w:t>辦理結婚意象相關、東石布袋地區周邊服務設施暨景觀改善等工程。</w:t>
            </w:r>
          </w:p>
        </w:tc>
      </w:tr>
      <w:tr w:rsidR="001D0350" w:rsidRPr="00D55DC6" w:rsidTr="00F47623">
        <w:trPr>
          <w:trHeight w:val="183"/>
        </w:trPr>
        <w:tc>
          <w:tcPr>
            <w:tcW w:w="399"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1106"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2342"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rPr>
                <w:rFonts w:eastAsia="標楷體"/>
                <w:sz w:val="22"/>
                <w:szCs w:val="22"/>
              </w:rPr>
            </w:pPr>
            <w:r w:rsidRPr="00D55DC6">
              <w:rPr>
                <w:rFonts w:eastAsia="標楷體"/>
                <w:sz w:val="22"/>
                <w:szCs w:val="22"/>
              </w:rPr>
              <w:t>四湖口湖地區服務設施改善</w:t>
            </w:r>
          </w:p>
        </w:tc>
        <w:tc>
          <w:tcPr>
            <w:tcW w:w="709"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0.35 </w:t>
            </w:r>
          </w:p>
        </w:tc>
        <w:tc>
          <w:tcPr>
            <w:tcW w:w="709"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0.40 </w:t>
            </w:r>
          </w:p>
        </w:tc>
        <w:tc>
          <w:tcPr>
            <w:tcW w:w="709"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0.45 </w:t>
            </w:r>
          </w:p>
        </w:tc>
        <w:tc>
          <w:tcPr>
            <w:tcW w:w="708"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0.50 </w:t>
            </w:r>
          </w:p>
        </w:tc>
        <w:tc>
          <w:tcPr>
            <w:tcW w:w="851" w:type="dxa"/>
            <w:tcBorders>
              <w:top w:val="nil"/>
              <w:left w:val="nil"/>
              <w:bottom w:val="single" w:sz="8"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b/>
              </w:rPr>
            </w:pPr>
            <w:r w:rsidRPr="00D55DC6">
              <w:rPr>
                <w:rFonts w:eastAsia="標楷體"/>
                <w:b/>
              </w:rPr>
              <w:t xml:space="preserve">1.70 </w:t>
            </w:r>
          </w:p>
        </w:tc>
        <w:tc>
          <w:tcPr>
            <w:tcW w:w="1558" w:type="dxa"/>
            <w:tcBorders>
              <w:top w:val="single" w:sz="4" w:space="0" w:color="auto"/>
              <w:left w:val="single" w:sz="8" w:space="0" w:color="auto"/>
              <w:bottom w:val="nil"/>
              <w:right w:val="single" w:sz="8" w:space="0" w:color="auto"/>
            </w:tcBorders>
            <w:vAlign w:val="center"/>
          </w:tcPr>
          <w:p w:rsidR="00F47623" w:rsidRPr="00D55DC6" w:rsidRDefault="00F47623" w:rsidP="0038165F">
            <w:pPr>
              <w:spacing w:line="0" w:lineRule="atLeast"/>
              <w:rPr>
                <w:rFonts w:eastAsia="標楷體"/>
                <w:sz w:val="22"/>
                <w:szCs w:val="22"/>
              </w:rPr>
            </w:pPr>
            <w:r w:rsidRPr="00D55DC6">
              <w:rPr>
                <w:rFonts w:eastAsia="標楷體"/>
                <w:sz w:val="22"/>
                <w:szCs w:val="22"/>
              </w:rPr>
              <w:t>辦理</w:t>
            </w:r>
            <w:r w:rsidR="000431FE" w:rsidRPr="00D55DC6">
              <w:rPr>
                <w:rFonts w:eastAsia="標楷體"/>
                <w:sz w:val="22"/>
                <w:szCs w:val="22"/>
              </w:rPr>
              <w:t>幸福</w:t>
            </w:r>
            <w:r w:rsidRPr="00D55DC6">
              <w:rPr>
                <w:rFonts w:eastAsia="標楷體"/>
                <w:sz w:val="22"/>
                <w:szCs w:val="22"/>
              </w:rPr>
              <w:t>、失戀意象相關及四湖口湖施暨景觀改善等工程。</w:t>
            </w:r>
          </w:p>
        </w:tc>
      </w:tr>
      <w:tr w:rsidR="001D0350" w:rsidRPr="00D55DC6" w:rsidTr="00F47623">
        <w:trPr>
          <w:trHeight w:val="345"/>
        </w:trPr>
        <w:tc>
          <w:tcPr>
            <w:tcW w:w="399"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1106"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2342" w:type="dxa"/>
            <w:tcBorders>
              <w:top w:val="single" w:sz="8" w:space="0" w:color="auto"/>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both"/>
              <w:rPr>
                <w:rFonts w:eastAsia="標楷體"/>
                <w:sz w:val="22"/>
                <w:szCs w:val="22"/>
              </w:rPr>
            </w:pPr>
            <w:r w:rsidRPr="00D55DC6">
              <w:rPr>
                <w:rFonts w:eastAsia="標楷體"/>
                <w:sz w:val="22"/>
                <w:szCs w:val="22"/>
              </w:rPr>
              <w:t>(4)</w:t>
            </w:r>
            <w:r w:rsidRPr="00D55DC6">
              <w:rPr>
                <w:rFonts w:eastAsia="標楷體"/>
                <w:sz w:val="22"/>
                <w:szCs w:val="22"/>
              </w:rPr>
              <w:t>環境及設施整修</w:t>
            </w:r>
          </w:p>
        </w:tc>
        <w:tc>
          <w:tcPr>
            <w:tcW w:w="709"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rPr>
            </w:pPr>
            <w:r w:rsidRPr="00D55DC6">
              <w:rPr>
                <w:rFonts w:eastAsia="標楷體"/>
              </w:rPr>
              <w:t xml:space="preserve">0.30 </w:t>
            </w:r>
          </w:p>
        </w:tc>
        <w:tc>
          <w:tcPr>
            <w:tcW w:w="709"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rPr>
            </w:pPr>
            <w:r w:rsidRPr="00D55DC6">
              <w:rPr>
                <w:rFonts w:eastAsia="標楷體"/>
              </w:rPr>
              <w:t xml:space="preserve">0.30 </w:t>
            </w:r>
          </w:p>
        </w:tc>
        <w:tc>
          <w:tcPr>
            <w:tcW w:w="709"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rPr>
            </w:pPr>
            <w:r w:rsidRPr="00D55DC6">
              <w:rPr>
                <w:rFonts w:eastAsia="標楷體"/>
              </w:rPr>
              <w:t xml:space="preserve">0.30 </w:t>
            </w:r>
          </w:p>
        </w:tc>
        <w:tc>
          <w:tcPr>
            <w:tcW w:w="708"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rPr>
            </w:pPr>
            <w:r w:rsidRPr="00D55DC6">
              <w:rPr>
                <w:rFonts w:eastAsia="標楷體"/>
              </w:rPr>
              <w:t xml:space="preserve">0.30 </w:t>
            </w:r>
          </w:p>
        </w:tc>
        <w:tc>
          <w:tcPr>
            <w:tcW w:w="851" w:type="dxa"/>
            <w:tcBorders>
              <w:top w:val="nil"/>
              <w:left w:val="nil"/>
              <w:bottom w:val="single" w:sz="8"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b/>
              </w:rPr>
            </w:pPr>
            <w:r w:rsidRPr="00D55DC6">
              <w:rPr>
                <w:rFonts w:eastAsia="標楷體"/>
                <w:b/>
              </w:rPr>
              <w:t xml:space="preserve">1.20 </w:t>
            </w:r>
          </w:p>
        </w:tc>
        <w:tc>
          <w:tcPr>
            <w:tcW w:w="1558" w:type="dxa"/>
            <w:vMerge w:val="restart"/>
            <w:tcBorders>
              <w:top w:val="single" w:sz="8" w:space="0" w:color="auto"/>
              <w:left w:val="single" w:sz="8" w:space="0" w:color="auto"/>
              <w:right w:val="single" w:sz="8" w:space="0" w:color="auto"/>
            </w:tcBorders>
            <w:vAlign w:val="center"/>
          </w:tcPr>
          <w:p w:rsidR="00F47623" w:rsidRPr="00D55DC6" w:rsidRDefault="00F47623" w:rsidP="0038165F">
            <w:pPr>
              <w:spacing w:line="0" w:lineRule="atLeast"/>
              <w:rPr>
                <w:rFonts w:eastAsia="標楷體"/>
                <w:sz w:val="22"/>
                <w:szCs w:val="22"/>
              </w:rPr>
            </w:pPr>
            <w:r w:rsidRPr="00D55DC6">
              <w:rPr>
                <w:rFonts w:eastAsia="標楷體"/>
                <w:sz w:val="22"/>
                <w:szCs w:val="22"/>
              </w:rPr>
              <w:t xml:space="preserve">　</w:t>
            </w:r>
          </w:p>
        </w:tc>
      </w:tr>
      <w:tr w:rsidR="001D0350" w:rsidRPr="00D55DC6" w:rsidTr="00F47623">
        <w:trPr>
          <w:trHeight w:val="345"/>
        </w:trPr>
        <w:tc>
          <w:tcPr>
            <w:tcW w:w="399"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1106"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2342" w:type="dxa"/>
            <w:tcBorders>
              <w:top w:val="nil"/>
              <w:left w:val="nil"/>
              <w:bottom w:val="single" w:sz="4" w:space="0" w:color="auto"/>
              <w:right w:val="single" w:sz="8" w:space="0" w:color="auto"/>
            </w:tcBorders>
            <w:vAlign w:val="center"/>
          </w:tcPr>
          <w:p w:rsidR="00F47623" w:rsidRPr="00D55DC6" w:rsidRDefault="00F47623" w:rsidP="0038165F">
            <w:pPr>
              <w:widowControl/>
              <w:spacing w:line="0" w:lineRule="atLeast"/>
              <w:jc w:val="both"/>
              <w:rPr>
                <w:rFonts w:eastAsia="標楷體"/>
                <w:kern w:val="0"/>
                <w:sz w:val="22"/>
                <w:szCs w:val="22"/>
              </w:rPr>
            </w:pPr>
            <w:r w:rsidRPr="00D55DC6">
              <w:rPr>
                <w:rFonts w:eastAsia="標楷體"/>
                <w:sz w:val="22"/>
                <w:szCs w:val="22"/>
              </w:rPr>
              <w:t>旅遊服務系統</w:t>
            </w:r>
          </w:p>
        </w:tc>
        <w:tc>
          <w:tcPr>
            <w:tcW w:w="709" w:type="dxa"/>
            <w:tcBorders>
              <w:top w:val="nil"/>
              <w:left w:val="nil"/>
              <w:bottom w:val="single" w:sz="4"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0.08 </w:t>
            </w:r>
          </w:p>
        </w:tc>
        <w:tc>
          <w:tcPr>
            <w:tcW w:w="709" w:type="dxa"/>
            <w:tcBorders>
              <w:top w:val="nil"/>
              <w:left w:val="nil"/>
              <w:bottom w:val="single" w:sz="4"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0.08 </w:t>
            </w:r>
          </w:p>
        </w:tc>
        <w:tc>
          <w:tcPr>
            <w:tcW w:w="709" w:type="dxa"/>
            <w:tcBorders>
              <w:top w:val="nil"/>
              <w:left w:val="nil"/>
              <w:bottom w:val="single" w:sz="4"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0.08 </w:t>
            </w:r>
          </w:p>
        </w:tc>
        <w:tc>
          <w:tcPr>
            <w:tcW w:w="708" w:type="dxa"/>
            <w:tcBorders>
              <w:top w:val="nil"/>
              <w:left w:val="nil"/>
              <w:bottom w:val="single" w:sz="4"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0.08 </w:t>
            </w:r>
          </w:p>
        </w:tc>
        <w:tc>
          <w:tcPr>
            <w:tcW w:w="851" w:type="dxa"/>
            <w:tcBorders>
              <w:top w:val="nil"/>
              <w:left w:val="nil"/>
              <w:bottom w:val="single" w:sz="4"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b/>
              </w:rPr>
            </w:pPr>
            <w:r w:rsidRPr="00D55DC6">
              <w:rPr>
                <w:rFonts w:eastAsia="標楷體"/>
                <w:b/>
              </w:rPr>
              <w:t xml:space="preserve">0.32 </w:t>
            </w:r>
          </w:p>
        </w:tc>
        <w:tc>
          <w:tcPr>
            <w:tcW w:w="1558" w:type="dxa"/>
            <w:vMerge/>
            <w:tcBorders>
              <w:left w:val="single" w:sz="8" w:space="0" w:color="auto"/>
              <w:right w:val="single" w:sz="8" w:space="0" w:color="auto"/>
            </w:tcBorders>
            <w:vAlign w:val="center"/>
          </w:tcPr>
          <w:p w:rsidR="00F47623" w:rsidRPr="00D55DC6" w:rsidRDefault="00F47623" w:rsidP="0038165F">
            <w:pPr>
              <w:spacing w:line="0" w:lineRule="atLeast"/>
              <w:rPr>
                <w:rFonts w:eastAsia="標楷體"/>
                <w:kern w:val="0"/>
                <w:sz w:val="22"/>
                <w:szCs w:val="22"/>
              </w:rPr>
            </w:pPr>
          </w:p>
        </w:tc>
      </w:tr>
      <w:tr w:rsidR="001D0350" w:rsidRPr="00D55DC6" w:rsidTr="00F47623">
        <w:trPr>
          <w:trHeight w:val="345"/>
        </w:trPr>
        <w:tc>
          <w:tcPr>
            <w:tcW w:w="399"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F47623" w:rsidRPr="00D55DC6" w:rsidRDefault="00F47623" w:rsidP="0038165F">
            <w:pPr>
              <w:spacing w:line="0" w:lineRule="atLeast"/>
              <w:rPr>
                <w:rFonts w:eastAsia="標楷體"/>
                <w:kern w:val="0"/>
              </w:rPr>
            </w:pPr>
          </w:p>
        </w:tc>
        <w:tc>
          <w:tcPr>
            <w:tcW w:w="1106" w:type="dxa"/>
            <w:vMerge/>
            <w:tcBorders>
              <w:left w:val="single" w:sz="8" w:space="0" w:color="auto"/>
              <w:right w:val="single" w:sz="8" w:space="0" w:color="auto"/>
            </w:tcBorders>
            <w:vAlign w:val="center"/>
          </w:tcPr>
          <w:p w:rsidR="00F47623" w:rsidRPr="00D55DC6" w:rsidRDefault="00F47623" w:rsidP="0038165F">
            <w:pPr>
              <w:spacing w:line="0" w:lineRule="atLeast"/>
              <w:rPr>
                <w:rFonts w:eastAsia="標楷體"/>
                <w:kern w:val="0"/>
              </w:rPr>
            </w:pPr>
          </w:p>
        </w:tc>
        <w:tc>
          <w:tcPr>
            <w:tcW w:w="2342" w:type="dxa"/>
            <w:tcBorders>
              <w:top w:val="single" w:sz="4" w:space="0" w:color="auto"/>
              <w:left w:val="nil"/>
              <w:bottom w:val="single" w:sz="4" w:space="0" w:color="auto"/>
              <w:right w:val="single" w:sz="8" w:space="0" w:color="auto"/>
            </w:tcBorders>
            <w:vAlign w:val="center"/>
          </w:tcPr>
          <w:p w:rsidR="00F47623" w:rsidRPr="00D55DC6" w:rsidRDefault="00F47623" w:rsidP="0038165F">
            <w:pPr>
              <w:widowControl/>
              <w:spacing w:line="0" w:lineRule="atLeast"/>
              <w:jc w:val="both"/>
              <w:rPr>
                <w:rFonts w:eastAsia="標楷體"/>
                <w:kern w:val="0"/>
                <w:sz w:val="22"/>
                <w:szCs w:val="22"/>
              </w:rPr>
            </w:pPr>
            <w:r w:rsidRPr="00D55DC6">
              <w:rPr>
                <w:rFonts w:eastAsia="標楷體"/>
                <w:sz w:val="22"/>
                <w:szCs w:val="22"/>
              </w:rPr>
              <w:t>環境維護及設施維持</w:t>
            </w:r>
          </w:p>
        </w:tc>
        <w:tc>
          <w:tcPr>
            <w:tcW w:w="709" w:type="dxa"/>
            <w:tcBorders>
              <w:top w:val="single" w:sz="4" w:space="0" w:color="auto"/>
              <w:left w:val="nil"/>
              <w:bottom w:val="single" w:sz="4"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0.15 </w:t>
            </w:r>
          </w:p>
        </w:tc>
        <w:tc>
          <w:tcPr>
            <w:tcW w:w="709" w:type="dxa"/>
            <w:tcBorders>
              <w:top w:val="single" w:sz="4" w:space="0" w:color="auto"/>
              <w:left w:val="nil"/>
              <w:bottom w:val="single" w:sz="4"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0.15 </w:t>
            </w:r>
          </w:p>
        </w:tc>
        <w:tc>
          <w:tcPr>
            <w:tcW w:w="709" w:type="dxa"/>
            <w:tcBorders>
              <w:top w:val="single" w:sz="4" w:space="0" w:color="auto"/>
              <w:left w:val="nil"/>
              <w:bottom w:val="single" w:sz="4"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0.15 </w:t>
            </w:r>
          </w:p>
        </w:tc>
        <w:tc>
          <w:tcPr>
            <w:tcW w:w="708" w:type="dxa"/>
            <w:tcBorders>
              <w:top w:val="single" w:sz="4" w:space="0" w:color="auto"/>
              <w:left w:val="nil"/>
              <w:bottom w:val="single" w:sz="4"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 xml:space="preserve">0.15 </w:t>
            </w:r>
          </w:p>
        </w:tc>
        <w:tc>
          <w:tcPr>
            <w:tcW w:w="851" w:type="dxa"/>
            <w:tcBorders>
              <w:top w:val="single" w:sz="4" w:space="0" w:color="auto"/>
              <w:left w:val="nil"/>
              <w:bottom w:val="single" w:sz="4"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b/>
              </w:rPr>
            </w:pPr>
            <w:r w:rsidRPr="00D55DC6">
              <w:rPr>
                <w:rFonts w:eastAsia="標楷體"/>
                <w:b/>
              </w:rPr>
              <w:t xml:space="preserve">0.60 </w:t>
            </w:r>
          </w:p>
        </w:tc>
        <w:tc>
          <w:tcPr>
            <w:tcW w:w="1558" w:type="dxa"/>
            <w:vMerge/>
            <w:tcBorders>
              <w:left w:val="single" w:sz="8" w:space="0" w:color="auto"/>
              <w:right w:val="single" w:sz="8" w:space="0" w:color="auto"/>
            </w:tcBorders>
            <w:vAlign w:val="center"/>
          </w:tcPr>
          <w:p w:rsidR="00F47623" w:rsidRPr="00D55DC6" w:rsidRDefault="00F47623" w:rsidP="0038165F">
            <w:pPr>
              <w:spacing w:line="0" w:lineRule="atLeast"/>
              <w:rPr>
                <w:rFonts w:eastAsia="標楷體"/>
                <w:kern w:val="0"/>
                <w:sz w:val="22"/>
                <w:szCs w:val="22"/>
              </w:rPr>
            </w:pPr>
          </w:p>
        </w:tc>
      </w:tr>
      <w:tr w:rsidR="001D0350" w:rsidRPr="00D55DC6" w:rsidTr="00F47623">
        <w:trPr>
          <w:trHeight w:val="947"/>
        </w:trPr>
        <w:tc>
          <w:tcPr>
            <w:tcW w:w="399" w:type="dxa"/>
            <w:vMerge/>
            <w:tcBorders>
              <w:left w:val="single" w:sz="8" w:space="0" w:color="auto"/>
              <w:bottom w:val="nil"/>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891"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1106" w:type="dxa"/>
            <w:vMerge/>
            <w:tcBorders>
              <w:left w:val="single" w:sz="8" w:space="0" w:color="auto"/>
              <w:right w:val="single" w:sz="8" w:space="0" w:color="auto"/>
            </w:tcBorders>
            <w:vAlign w:val="center"/>
          </w:tcPr>
          <w:p w:rsidR="00F47623" w:rsidRPr="00D55DC6" w:rsidRDefault="00F47623" w:rsidP="0038165F">
            <w:pPr>
              <w:widowControl/>
              <w:spacing w:line="0" w:lineRule="atLeast"/>
              <w:rPr>
                <w:rFonts w:eastAsia="標楷體"/>
                <w:kern w:val="0"/>
              </w:rPr>
            </w:pPr>
          </w:p>
        </w:tc>
        <w:tc>
          <w:tcPr>
            <w:tcW w:w="2342" w:type="dxa"/>
            <w:tcBorders>
              <w:top w:val="nil"/>
              <w:left w:val="single" w:sz="8" w:space="0" w:color="auto"/>
              <w:bottom w:val="single" w:sz="8" w:space="0" w:color="auto"/>
              <w:right w:val="single" w:sz="8" w:space="0" w:color="auto"/>
            </w:tcBorders>
            <w:vAlign w:val="center"/>
          </w:tcPr>
          <w:p w:rsidR="00F47623" w:rsidRPr="00D55DC6" w:rsidRDefault="00F47623" w:rsidP="0038165F">
            <w:pPr>
              <w:widowControl/>
              <w:spacing w:line="0" w:lineRule="atLeast"/>
              <w:jc w:val="both"/>
              <w:rPr>
                <w:rFonts w:eastAsia="標楷體"/>
                <w:kern w:val="0"/>
                <w:sz w:val="22"/>
                <w:szCs w:val="22"/>
              </w:rPr>
            </w:pPr>
            <w:r w:rsidRPr="00D55DC6">
              <w:rPr>
                <w:rFonts w:eastAsia="標楷體"/>
                <w:sz w:val="22"/>
                <w:szCs w:val="22"/>
              </w:rPr>
              <w:t>全區災害復舊及一般零星工程</w:t>
            </w:r>
          </w:p>
        </w:tc>
        <w:tc>
          <w:tcPr>
            <w:tcW w:w="709"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0.07</w:t>
            </w:r>
          </w:p>
          <w:p w:rsidR="00F47623" w:rsidRPr="00D55DC6" w:rsidRDefault="00F47623" w:rsidP="0038165F">
            <w:pPr>
              <w:spacing w:line="0" w:lineRule="atLeast"/>
              <w:jc w:val="right"/>
              <w:rPr>
                <w:rFonts w:eastAsia="標楷體"/>
              </w:rPr>
            </w:pPr>
            <w:r w:rsidRPr="00D55DC6">
              <w:rPr>
                <w:rFonts w:eastAsia="標楷體"/>
              </w:rPr>
              <w:t xml:space="preserve"> </w:t>
            </w:r>
          </w:p>
        </w:tc>
        <w:tc>
          <w:tcPr>
            <w:tcW w:w="709"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0.07</w:t>
            </w:r>
          </w:p>
          <w:p w:rsidR="00F47623" w:rsidRPr="00D55DC6" w:rsidRDefault="00F47623" w:rsidP="0038165F">
            <w:pPr>
              <w:spacing w:line="0" w:lineRule="atLeast"/>
              <w:jc w:val="right"/>
              <w:rPr>
                <w:rFonts w:eastAsia="標楷體"/>
              </w:rPr>
            </w:pPr>
            <w:r w:rsidRPr="00D55DC6">
              <w:rPr>
                <w:rFonts w:eastAsia="標楷體"/>
              </w:rPr>
              <w:t xml:space="preserve"> </w:t>
            </w:r>
          </w:p>
        </w:tc>
        <w:tc>
          <w:tcPr>
            <w:tcW w:w="709"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0.07</w:t>
            </w:r>
          </w:p>
          <w:p w:rsidR="00F47623" w:rsidRPr="00D55DC6" w:rsidRDefault="00F47623" w:rsidP="0038165F">
            <w:pPr>
              <w:spacing w:line="0" w:lineRule="atLeast"/>
              <w:jc w:val="right"/>
              <w:rPr>
                <w:rFonts w:eastAsia="標楷體"/>
              </w:rPr>
            </w:pPr>
            <w:r w:rsidRPr="00D55DC6">
              <w:rPr>
                <w:rFonts w:eastAsia="標楷體"/>
              </w:rPr>
              <w:t xml:space="preserve"> </w:t>
            </w:r>
          </w:p>
        </w:tc>
        <w:tc>
          <w:tcPr>
            <w:tcW w:w="708"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jc w:val="right"/>
              <w:rPr>
                <w:rFonts w:eastAsia="標楷體"/>
              </w:rPr>
            </w:pPr>
            <w:r w:rsidRPr="00D55DC6">
              <w:rPr>
                <w:rFonts w:eastAsia="標楷體"/>
              </w:rPr>
              <w:t>0.07</w:t>
            </w:r>
          </w:p>
          <w:p w:rsidR="00F47623" w:rsidRPr="00D55DC6" w:rsidRDefault="00F47623" w:rsidP="0038165F">
            <w:pPr>
              <w:spacing w:line="0" w:lineRule="atLeast"/>
              <w:jc w:val="right"/>
              <w:rPr>
                <w:rFonts w:eastAsia="標楷體"/>
              </w:rPr>
            </w:pPr>
            <w:r w:rsidRPr="00D55DC6">
              <w:rPr>
                <w:rFonts w:eastAsia="標楷體"/>
              </w:rPr>
              <w:t xml:space="preserve"> </w:t>
            </w:r>
          </w:p>
        </w:tc>
        <w:tc>
          <w:tcPr>
            <w:tcW w:w="851" w:type="dxa"/>
            <w:tcBorders>
              <w:top w:val="nil"/>
              <w:left w:val="nil"/>
              <w:bottom w:val="single" w:sz="8"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b/>
              </w:rPr>
            </w:pPr>
            <w:r w:rsidRPr="00D55DC6">
              <w:rPr>
                <w:rFonts w:eastAsia="標楷體"/>
                <w:b/>
              </w:rPr>
              <w:t>0.28</w:t>
            </w:r>
          </w:p>
          <w:p w:rsidR="00F47623" w:rsidRPr="00D55DC6" w:rsidRDefault="00F47623" w:rsidP="0038165F">
            <w:pPr>
              <w:spacing w:line="0" w:lineRule="atLeast"/>
              <w:jc w:val="right"/>
              <w:rPr>
                <w:rFonts w:eastAsia="標楷體"/>
                <w:b/>
              </w:rPr>
            </w:pPr>
            <w:r w:rsidRPr="00D55DC6">
              <w:rPr>
                <w:rFonts w:eastAsia="標楷體"/>
                <w:b/>
              </w:rPr>
              <w:t xml:space="preserve"> </w:t>
            </w:r>
          </w:p>
        </w:tc>
        <w:tc>
          <w:tcPr>
            <w:tcW w:w="1558" w:type="dxa"/>
            <w:vMerge/>
            <w:tcBorders>
              <w:left w:val="single" w:sz="8" w:space="0" w:color="auto"/>
              <w:right w:val="single" w:sz="8" w:space="0" w:color="auto"/>
            </w:tcBorders>
            <w:vAlign w:val="center"/>
          </w:tcPr>
          <w:p w:rsidR="00F47623" w:rsidRPr="00D55DC6" w:rsidRDefault="00F47623" w:rsidP="0038165F">
            <w:pPr>
              <w:spacing w:line="0" w:lineRule="atLeast"/>
              <w:rPr>
                <w:rFonts w:eastAsia="標楷體"/>
                <w:kern w:val="0"/>
                <w:sz w:val="22"/>
                <w:szCs w:val="22"/>
              </w:rPr>
            </w:pPr>
          </w:p>
        </w:tc>
      </w:tr>
      <w:tr w:rsidR="001D0350" w:rsidRPr="00D55DC6" w:rsidTr="00F47623">
        <w:trPr>
          <w:trHeight w:val="345"/>
        </w:trPr>
        <w:tc>
          <w:tcPr>
            <w:tcW w:w="399" w:type="dxa"/>
            <w:tcBorders>
              <w:top w:val="nil"/>
              <w:left w:val="single" w:sz="8" w:space="0" w:color="auto"/>
              <w:bottom w:val="single" w:sz="8" w:space="0" w:color="auto"/>
              <w:right w:val="single" w:sz="8" w:space="0" w:color="auto"/>
            </w:tcBorders>
            <w:shd w:val="clear" w:color="000000" w:fill="CCFFCC"/>
          </w:tcPr>
          <w:p w:rsidR="00F47623" w:rsidRPr="00D55DC6" w:rsidRDefault="00F47623" w:rsidP="0038165F">
            <w:pPr>
              <w:widowControl/>
              <w:spacing w:line="0" w:lineRule="atLeast"/>
              <w:jc w:val="center"/>
              <w:rPr>
                <w:rFonts w:eastAsia="標楷體"/>
                <w:kern w:val="0"/>
              </w:rPr>
            </w:pPr>
            <w:r w:rsidRPr="00D55DC6">
              <w:rPr>
                <w:rFonts w:eastAsia="標楷體"/>
                <w:kern w:val="0"/>
                <w:szCs w:val="22"/>
              </w:rPr>
              <w:t xml:space="preserve">　</w:t>
            </w:r>
          </w:p>
        </w:tc>
        <w:tc>
          <w:tcPr>
            <w:tcW w:w="891" w:type="dxa"/>
            <w:vMerge/>
            <w:tcBorders>
              <w:left w:val="single" w:sz="8" w:space="0" w:color="auto"/>
              <w:bottom w:val="single" w:sz="8" w:space="0" w:color="auto"/>
              <w:right w:val="single" w:sz="8" w:space="0" w:color="auto"/>
            </w:tcBorders>
            <w:shd w:val="clear" w:color="000000" w:fill="CCFFCC"/>
          </w:tcPr>
          <w:p w:rsidR="00F47623" w:rsidRPr="00D55DC6" w:rsidRDefault="00F47623" w:rsidP="0038165F">
            <w:pPr>
              <w:widowControl/>
              <w:spacing w:line="0" w:lineRule="atLeast"/>
              <w:rPr>
                <w:rFonts w:eastAsia="標楷體"/>
                <w:kern w:val="0"/>
              </w:rPr>
            </w:pPr>
          </w:p>
        </w:tc>
        <w:tc>
          <w:tcPr>
            <w:tcW w:w="1106" w:type="dxa"/>
            <w:vMerge/>
            <w:tcBorders>
              <w:left w:val="single" w:sz="8" w:space="0" w:color="auto"/>
              <w:bottom w:val="single" w:sz="8" w:space="0" w:color="auto"/>
              <w:right w:val="single" w:sz="8" w:space="0" w:color="auto"/>
            </w:tcBorders>
            <w:shd w:val="clear" w:color="000000" w:fill="CCFFCC"/>
          </w:tcPr>
          <w:p w:rsidR="00F47623" w:rsidRPr="00D55DC6" w:rsidRDefault="00F47623" w:rsidP="0038165F">
            <w:pPr>
              <w:widowControl/>
              <w:spacing w:line="0" w:lineRule="atLeast"/>
              <w:rPr>
                <w:rFonts w:eastAsia="標楷體"/>
                <w:kern w:val="0"/>
              </w:rPr>
            </w:pPr>
          </w:p>
        </w:tc>
        <w:tc>
          <w:tcPr>
            <w:tcW w:w="2342" w:type="dxa"/>
            <w:tcBorders>
              <w:top w:val="nil"/>
              <w:left w:val="single" w:sz="8" w:space="0" w:color="auto"/>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center"/>
              <w:rPr>
                <w:rFonts w:eastAsia="標楷體"/>
                <w:b/>
                <w:bCs/>
                <w:sz w:val="22"/>
                <w:szCs w:val="22"/>
              </w:rPr>
            </w:pPr>
            <w:r w:rsidRPr="00D55DC6">
              <w:rPr>
                <w:rFonts w:eastAsia="標楷體"/>
                <w:b/>
                <w:bCs/>
                <w:sz w:val="22"/>
                <w:szCs w:val="22"/>
              </w:rPr>
              <w:t>資本門合計</w:t>
            </w:r>
          </w:p>
        </w:tc>
        <w:tc>
          <w:tcPr>
            <w:tcW w:w="709"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b/>
                <w:bCs/>
              </w:rPr>
            </w:pPr>
            <w:r w:rsidRPr="00D55DC6">
              <w:rPr>
                <w:rFonts w:eastAsia="標楷體"/>
                <w:b/>
                <w:bCs/>
              </w:rPr>
              <w:t xml:space="preserve">2.70 </w:t>
            </w:r>
          </w:p>
        </w:tc>
        <w:tc>
          <w:tcPr>
            <w:tcW w:w="709"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b/>
                <w:bCs/>
              </w:rPr>
            </w:pPr>
            <w:r w:rsidRPr="00D55DC6">
              <w:rPr>
                <w:rFonts w:eastAsia="標楷體"/>
                <w:b/>
                <w:bCs/>
              </w:rPr>
              <w:t xml:space="preserve">2.70 </w:t>
            </w:r>
          </w:p>
        </w:tc>
        <w:tc>
          <w:tcPr>
            <w:tcW w:w="709"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b/>
                <w:bCs/>
              </w:rPr>
            </w:pPr>
            <w:r w:rsidRPr="00D55DC6">
              <w:rPr>
                <w:rFonts w:eastAsia="標楷體"/>
                <w:b/>
                <w:bCs/>
              </w:rPr>
              <w:t xml:space="preserve">2.70 </w:t>
            </w:r>
          </w:p>
        </w:tc>
        <w:tc>
          <w:tcPr>
            <w:tcW w:w="708"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b/>
                <w:bCs/>
              </w:rPr>
            </w:pPr>
            <w:r w:rsidRPr="00D55DC6">
              <w:rPr>
                <w:rFonts w:eastAsia="標楷體"/>
                <w:b/>
                <w:bCs/>
              </w:rPr>
              <w:t xml:space="preserve">2.70 </w:t>
            </w:r>
          </w:p>
        </w:tc>
        <w:tc>
          <w:tcPr>
            <w:tcW w:w="851" w:type="dxa"/>
            <w:tcBorders>
              <w:top w:val="nil"/>
              <w:left w:val="nil"/>
              <w:bottom w:val="single" w:sz="8"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b/>
              </w:rPr>
            </w:pPr>
            <w:r w:rsidRPr="00D55DC6">
              <w:rPr>
                <w:rFonts w:eastAsia="標楷體"/>
                <w:b/>
              </w:rPr>
              <w:t xml:space="preserve">10.80 </w:t>
            </w:r>
          </w:p>
        </w:tc>
        <w:tc>
          <w:tcPr>
            <w:tcW w:w="1558" w:type="dxa"/>
            <w:vMerge/>
            <w:tcBorders>
              <w:left w:val="single" w:sz="8" w:space="0" w:color="auto"/>
              <w:bottom w:val="single" w:sz="8" w:space="0" w:color="auto"/>
              <w:right w:val="single" w:sz="8" w:space="0" w:color="auto"/>
            </w:tcBorders>
            <w:vAlign w:val="center"/>
          </w:tcPr>
          <w:p w:rsidR="00F47623" w:rsidRPr="00D55DC6" w:rsidRDefault="00F47623" w:rsidP="0038165F">
            <w:pPr>
              <w:spacing w:line="0" w:lineRule="atLeast"/>
              <w:rPr>
                <w:rFonts w:eastAsia="標楷體"/>
                <w:sz w:val="22"/>
                <w:szCs w:val="22"/>
              </w:rPr>
            </w:pPr>
          </w:p>
        </w:tc>
      </w:tr>
      <w:tr w:rsidR="001D0350" w:rsidRPr="00D55DC6" w:rsidTr="00F47623">
        <w:trPr>
          <w:trHeight w:val="345"/>
        </w:trPr>
        <w:tc>
          <w:tcPr>
            <w:tcW w:w="4738" w:type="dxa"/>
            <w:gridSpan w:val="4"/>
            <w:tcBorders>
              <w:top w:val="single" w:sz="8" w:space="0" w:color="auto"/>
              <w:left w:val="single" w:sz="8" w:space="0" w:color="auto"/>
              <w:bottom w:val="single" w:sz="8" w:space="0" w:color="auto"/>
              <w:right w:val="single" w:sz="8" w:space="0" w:color="auto"/>
            </w:tcBorders>
            <w:shd w:val="clear" w:color="000000" w:fill="CCFFCC"/>
          </w:tcPr>
          <w:p w:rsidR="00F47623" w:rsidRPr="00D55DC6" w:rsidRDefault="00F47623" w:rsidP="0038165F">
            <w:pPr>
              <w:widowControl/>
              <w:spacing w:line="0" w:lineRule="atLeast"/>
              <w:jc w:val="center"/>
              <w:rPr>
                <w:rFonts w:eastAsia="標楷體"/>
                <w:b/>
                <w:bCs/>
                <w:kern w:val="0"/>
                <w:sz w:val="22"/>
                <w:szCs w:val="22"/>
              </w:rPr>
            </w:pPr>
            <w:r w:rsidRPr="00D55DC6">
              <w:rPr>
                <w:rFonts w:eastAsia="標楷體"/>
                <w:b/>
                <w:bCs/>
                <w:kern w:val="0"/>
                <w:sz w:val="22"/>
                <w:szCs w:val="22"/>
              </w:rPr>
              <w:t>經資門合計</w:t>
            </w:r>
          </w:p>
        </w:tc>
        <w:tc>
          <w:tcPr>
            <w:tcW w:w="709" w:type="dxa"/>
            <w:tcBorders>
              <w:top w:val="nil"/>
              <w:left w:val="nil"/>
              <w:bottom w:val="single" w:sz="8" w:space="0" w:color="auto"/>
              <w:right w:val="single" w:sz="8" w:space="0" w:color="auto"/>
            </w:tcBorders>
            <w:shd w:val="clear" w:color="000000" w:fill="CCFFCC"/>
          </w:tcPr>
          <w:p w:rsidR="00F47623" w:rsidRPr="00D55DC6" w:rsidRDefault="00F47623" w:rsidP="0038165F">
            <w:pPr>
              <w:widowControl/>
              <w:spacing w:line="0" w:lineRule="atLeast"/>
              <w:jc w:val="right"/>
              <w:rPr>
                <w:rFonts w:eastAsia="標楷體"/>
                <w:b/>
                <w:bCs/>
                <w:kern w:val="0"/>
              </w:rPr>
            </w:pPr>
            <w:r w:rsidRPr="00D55DC6">
              <w:rPr>
                <w:rFonts w:eastAsia="標楷體"/>
                <w:b/>
                <w:bCs/>
                <w:kern w:val="0"/>
              </w:rPr>
              <w:t>3.00</w:t>
            </w:r>
          </w:p>
        </w:tc>
        <w:tc>
          <w:tcPr>
            <w:tcW w:w="709" w:type="dxa"/>
            <w:tcBorders>
              <w:top w:val="nil"/>
              <w:left w:val="nil"/>
              <w:bottom w:val="single" w:sz="8" w:space="0" w:color="auto"/>
              <w:right w:val="single" w:sz="8" w:space="0" w:color="auto"/>
            </w:tcBorders>
            <w:shd w:val="clear" w:color="000000" w:fill="CCFFCC"/>
          </w:tcPr>
          <w:p w:rsidR="00F47623" w:rsidRPr="00D55DC6" w:rsidRDefault="00F47623" w:rsidP="0038165F">
            <w:pPr>
              <w:widowControl/>
              <w:spacing w:line="0" w:lineRule="atLeast"/>
              <w:jc w:val="right"/>
              <w:rPr>
                <w:rFonts w:eastAsia="標楷體"/>
                <w:b/>
                <w:bCs/>
                <w:kern w:val="0"/>
              </w:rPr>
            </w:pPr>
            <w:r w:rsidRPr="00D55DC6">
              <w:rPr>
                <w:rFonts w:eastAsia="標楷體"/>
                <w:b/>
                <w:bCs/>
                <w:kern w:val="0"/>
              </w:rPr>
              <w:t>3.00</w:t>
            </w:r>
          </w:p>
        </w:tc>
        <w:tc>
          <w:tcPr>
            <w:tcW w:w="709" w:type="dxa"/>
            <w:tcBorders>
              <w:top w:val="nil"/>
              <w:left w:val="nil"/>
              <w:bottom w:val="single" w:sz="8" w:space="0" w:color="auto"/>
              <w:right w:val="single" w:sz="8" w:space="0" w:color="auto"/>
            </w:tcBorders>
            <w:shd w:val="clear" w:color="000000" w:fill="CCFFCC"/>
          </w:tcPr>
          <w:p w:rsidR="00F47623" w:rsidRPr="00D55DC6" w:rsidRDefault="00F47623" w:rsidP="0038165F">
            <w:pPr>
              <w:widowControl/>
              <w:spacing w:line="0" w:lineRule="atLeast"/>
              <w:jc w:val="right"/>
              <w:rPr>
                <w:rFonts w:eastAsia="標楷體"/>
                <w:b/>
                <w:bCs/>
                <w:kern w:val="0"/>
              </w:rPr>
            </w:pPr>
            <w:r w:rsidRPr="00D55DC6">
              <w:rPr>
                <w:rFonts w:eastAsia="標楷體"/>
                <w:b/>
                <w:bCs/>
                <w:kern w:val="0"/>
              </w:rPr>
              <w:t>3.00</w:t>
            </w:r>
          </w:p>
        </w:tc>
        <w:tc>
          <w:tcPr>
            <w:tcW w:w="708" w:type="dxa"/>
            <w:tcBorders>
              <w:top w:val="nil"/>
              <w:left w:val="nil"/>
              <w:bottom w:val="single" w:sz="8" w:space="0" w:color="auto"/>
              <w:right w:val="single" w:sz="8" w:space="0" w:color="auto"/>
            </w:tcBorders>
            <w:shd w:val="clear" w:color="000000" w:fill="CCFFCC"/>
            <w:vAlign w:val="center"/>
          </w:tcPr>
          <w:p w:rsidR="00F47623" w:rsidRPr="00D55DC6" w:rsidRDefault="00F47623" w:rsidP="0038165F">
            <w:pPr>
              <w:spacing w:line="0" w:lineRule="atLeast"/>
              <w:jc w:val="right"/>
              <w:rPr>
                <w:rFonts w:eastAsia="標楷體"/>
                <w:b/>
                <w:bCs/>
              </w:rPr>
            </w:pPr>
            <w:r w:rsidRPr="00D55DC6">
              <w:rPr>
                <w:rFonts w:eastAsia="標楷體"/>
                <w:b/>
                <w:bCs/>
              </w:rPr>
              <w:t>3.00</w:t>
            </w:r>
          </w:p>
        </w:tc>
        <w:tc>
          <w:tcPr>
            <w:tcW w:w="851" w:type="dxa"/>
            <w:tcBorders>
              <w:top w:val="nil"/>
              <w:left w:val="nil"/>
              <w:bottom w:val="single" w:sz="8" w:space="0" w:color="auto"/>
              <w:right w:val="single" w:sz="8" w:space="0" w:color="auto"/>
            </w:tcBorders>
            <w:shd w:val="clear" w:color="000000" w:fill="CCFFFF"/>
            <w:vAlign w:val="center"/>
          </w:tcPr>
          <w:p w:rsidR="00F47623" w:rsidRPr="00D55DC6" w:rsidRDefault="00F47623" w:rsidP="0038165F">
            <w:pPr>
              <w:spacing w:line="0" w:lineRule="atLeast"/>
              <w:jc w:val="right"/>
              <w:rPr>
                <w:rFonts w:eastAsia="標楷體"/>
                <w:b/>
                <w:bCs/>
              </w:rPr>
            </w:pPr>
            <w:r w:rsidRPr="00D55DC6">
              <w:rPr>
                <w:rFonts w:eastAsia="標楷體"/>
                <w:b/>
                <w:bCs/>
              </w:rPr>
              <w:t>12.00</w:t>
            </w:r>
          </w:p>
        </w:tc>
        <w:tc>
          <w:tcPr>
            <w:tcW w:w="1558" w:type="dxa"/>
            <w:tcBorders>
              <w:top w:val="nil"/>
              <w:left w:val="nil"/>
              <w:bottom w:val="single" w:sz="8" w:space="0" w:color="auto"/>
              <w:right w:val="single" w:sz="8" w:space="0" w:color="auto"/>
            </w:tcBorders>
            <w:vAlign w:val="center"/>
          </w:tcPr>
          <w:p w:rsidR="00F47623" w:rsidRPr="00D55DC6" w:rsidRDefault="00F47623" w:rsidP="0038165F">
            <w:pPr>
              <w:spacing w:line="0" w:lineRule="atLeast"/>
              <w:jc w:val="right"/>
              <w:rPr>
                <w:rFonts w:eastAsia="標楷體"/>
                <w:b/>
                <w:bCs/>
              </w:rPr>
            </w:pPr>
          </w:p>
        </w:tc>
      </w:tr>
    </w:tbl>
    <w:p w:rsidR="00F47623" w:rsidRPr="00D55DC6" w:rsidRDefault="00F47623" w:rsidP="0038165F">
      <w:pPr>
        <w:snapToGrid w:val="0"/>
        <w:spacing w:line="460" w:lineRule="exact"/>
        <w:ind w:left="709"/>
        <w:jc w:val="both"/>
        <w:rPr>
          <w:rFonts w:eastAsia="標楷體"/>
          <w:b/>
          <w:sz w:val="28"/>
          <w:szCs w:val="28"/>
        </w:rPr>
      </w:pPr>
    </w:p>
    <w:p w:rsidR="00F47623" w:rsidRPr="00D55DC6" w:rsidRDefault="00F47623" w:rsidP="0038165F">
      <w:pPr>
        <w:snapToGrid w:val="0"/>
        <w:spacing w:line="460" w:lineRule="exact"/>
        <w:ind w:left="709"/>
        <w:jc w:val="both"/>
        <w:rPr>
          <w:rFonts w:eastAsia="標楷體"/>
          <w:b/>
          <w:sz w:val="28"/>
          <w:szCs w:val="28"/>
        </w:rPr>
      </w:pPr>
    </w:p>
    <w:p w:rsidR="00F47623" w:rsidRPr="00D55DC6" w:rsidRDefault="00F47623" w:rsidP="0038165F">
      <w:pPr>
        <w:snapToGrid w:val="0"/>
        <w:spacing w:line="460" w:lineRule="exact"/>
        <w:ind w:left="709"/>
        <w:jc w:val="both"/>
        <w:rPr>
          <w:rFonts w:eastAsia="標楷體"/>
          <w:b/>
          <w:sz w:val="28"/>
          <w:szCs w:val="28"/>
        </w:rPr>
      </w:pPr>
    </w:p>
    <w:p w:rsidR="00F47623" w:rsidRPr="00D55DC6" w:rsidRDefault="00F47623" w:rsidP="0038165F">
      <w:pPr>
        <w:numPr>
          <w:ilvl w:val="0"/>
          <w:numId w:val="1"/>
        </w:numPr>
        <w:snapToGrid w:val="0"/>
        <w:spacing w:line="460" w:lineRule="exact"/>
        <w:ind w:left="709" w:hanging="709"/>
        <w:jc w:val="both"/>
        <w:rPr>
          <w:rFonts w:eastAsia="標楷體"/>
          <w:b/>
          <w:sz w:val="28"/>
          <w:szCs w:val="28"/>
        </w:rPr>
      </w:pPr>
      <w:r w:rsidRPr="00D55DC6">
        <w:rPr>
          <w:rFonts w:eastAsia="標楷體"/>
          <w:b/>
          <w:sz w:val="28"/>
          <w:szCs w:val="28"/>
        </w:rPr>
        <w:t>預期效果及影響</w:t>
      </w:r>
    </w:p>
    <w:p w:rsidR="00F47623" w:rsidRPr="00D55DC6" w:rsidRDefault="00F47623" w:rsidP="004865C1">
      <w:pPr>
        <w:numPr>
          <w:ilvl w:val="0"/>
          <w:numId w:val="106"/>
        </w:numPr>
        <w:snapToGrid w:val="0"/>
        <w:spacing w:line="460" w:lineRule="exact"/>
        <w:jc w:val="both"/>
        <w:rPr>
          <w:rFonts w:eastAsia="標楷體"/>
          <w:sz w:val="28"/>
          <w:szCs w:val="28"/>
        </w:rPr>
      </w:pPr>
      <w:r w:rsidRPr="00D55DC6">
        <w:rPr>
          <w:rFonts w:eastAsia="標楷體"/>
          <w:sz w:val="28"/>
          <w:szCs w:val="28"/>
        </w:rPr>
        <w:t>完成遊憩服務設施建設，美化環境景觀，提升國家風景區優質旅遊環境。</w:t>
      </w:r>
    </w:p>
    <w:p w:rsidR="00F47623" w:rsidRPr="00D55DC6" w:rsidRDefault="00F47623" w:rsidP="004865C1">
      <w:pPr>
        <w:numPr>
          <w:ilvl w:val="0"/>
          <w:numId w:val="106"/>
        </w:numPr>
        <w:snapToGrid w:val="0"/>
        <w:spacing w:line="460" w:lineRule="exact"/>
        <w:jc w:val="both"/>
        <w:rPr>
          <w:rFonts w:eastAsia="標楷體"/>
          <w:sz w:val="28"/>
          <w:szCs w:val="28"/>
        </w:rPr>
      </w:pPr>
      <w:r w:rsidRPr="00D55DC6">
        <w:rPr>
          <w:rFonts w:eastAsia="標楷體"/>
          <w:sz w:val="28"/>
          <w:szCs w:val="28"/>
        </w:rPr>
        <w:t>建立特色觀光行銷活動，加強行銷推廣吸引國內外遊客，促進旅遊人次提升，並帶動地方觀光產業經濟效益。</w:t>
      </w:r>
    </w:p>
    <w:p w:rsidR="00F47623" w:rsidRPr="00D55DC6" w:rsidRDefault="0047570F" w:rsidP="004865C1">
      <w:pPr>
        <w:numPr>
          <w:ilvl w:val="0"/>
          <w:numId w:val="106"/>
        </w:numPr>
        <w:snapToGrid w:val="0"/>
        <w:spacing w:line="460" w:lineRule="exact"/>
        <w:jc w:val="both"/>
        <w:rPr>
          <w:rFonts w:eastAsia="標楷體"/>
          <w:sz w:val="28"/>
          <w:szCs w:val="28"/>
        </w:rPr>
      </w:pPr>
      <w:r w:rsidRPr="00D55DC6">
        <w:rPr>
          <w:rFonts w:eastAsia="標楷體"/>
          <w:sz w:val="28"/>
          <w:szCs w:val="28"/>
        </w:rPr>
        <w:t>預期</w:t>
      </w:r>
      <w:r w:rsidRPr="00D55DC6">
        <w:rPr>
          <w:rFonts w:eastAsia="標楷體"/>
          <w:sz w:val="28"/>
          <w:szCs w:val="28"/>
        </w:rPr>
        <w:t>105-108</w:t>
      </w:r>
      <w:r w:rsidRPr="00D55DC6">
        <w:rPr>
          <w:rFonts w:eastAsia="標楷體"/>
          <w:sz w:val="28"/>
          <w:szCs w:val="28"/>
        </w:rPr>
        <w:t>年合計總遊客量達</w:t>
      </w:r>
      <w:r w:rsidRPr="00D55DC6">
        <w:rPr>
          <w:rFonts w:eastAsia="標楷體"/>
          <w:sz w:val="28"/>
          <w:szCs w:val="28"/>
        </w:rPr>
        <w:t>1,639</w:t>
      </w:r>
      <w:r w:rsidRPr="00D55DC6">
        <w:rPr>
          <w:rFonts w:eastAsia="標楷體"/>
          <w:sz w:val="28"/>
          <w:szCs w:val="28"/>
        </w:rPr>
        <w:t>萬人次，活絡地方經濟繁榮，</w:t>
      </w:r>
      <w:r w:rsidRPr="00D55DC6">
        <w:rPr>
          <w:rFonts w:eastAsia="標楷體"/>
          <w:sz w:val="28"/>
          <w:szCs w:val="28"/>
        </w:rPr>
        <w:t>4</w:t>
      </w:r>
      <w:r w:rsidRPr="00D55DC6">
        <w:rPr>
          <w:rFonts w:eastAsia="標楷體"/>
          <w:sz w:val="28"/>
          <w:szCs w:val="28"/>
        </w:rPr>
        <w:t>年合計將可帶動</w:t>
      </w:r>
      <w:r w:rsidRPr="00D55DC6">
        <w:rPr>
          <w:rFonts w:eastAsia="標楷體"/>
          <w:sz w:val="28"/>
          <w:szCs w:val="28"/>
        </w:rPr>
        <w:t>245.34</w:t>
      </w:r>
      <w:r w:rsidRPr="00D55DC6">
        <w:rPr>
          <w:rFonts w:eastAsia="標楷體"/>
          <w:sz w:val="28"/>
          <w:szCs w:val="28"/>
        </w:rPr>
        <w:t>億元觀光產值</w:t>
      </w:r>
      <w:r w:rsidRPr="00D55DC6">
        <w:rPr>
          <w:rFonts w:eastAsia="標楷體"/>
          <w:sz w:val="28"/>
          <w:szCs w:val="28"/>
        </w:rPr>
        <w:t>(</w:t>
      </w:r>
      <w:r w:rsidRPr="00D55DC6">
        <w:rPr>
          <w:rFonts w:eastAsia="標楷體"/>
          <w:sz w:val="28"/>
          <w:szCs w:val="28"/>
        </w:rPr>
        <w:t>以</w:t>
      </w:r>
      <w:r w:rsidRPr="00D55DC6">
        <w:rPr>
          <w:rFonts w:eastAsia="標楷體"/>
          <w:sz w:val="28"/>
          <w:szCs w:val="28"/>
        </w:rPr>
        <w:t>102</w:t>
      </w:r>
      <w:r w:rsidRPr="00D55DC6">
        <w:rPr>
          <w:rFonts w:eastAsia="標楷體"/>
          <w:sz w:val="28"/>
          <w:szCs w:val="28"/>
        </w:rPr>
        <w:t>年度遊客推估人數</w:t>
      </w:r>
      <w:r w:rsidRPr="00D55DC6">
        <w:rPr>
          <w:rFonts w:eastAsia="標楷體"/>
          <w:sz w:val="28"/>
          <w:szCs w:val="28"/>
        </w:rPr>
        <w:t>*</w:t>
      </w:r>
      <w:r w:rsidRPr="00D55DC6">
        <w:rPr>
          <w:rFonts w:eastAsia="標楷體"/>
          <w:sz w:val="28"/>
          <w:szCs w:val="28"/>
        </w:rPr>
        <w:t>每人每日平均消費</w:t>
      </w:r>
      <w:r w:rsidRPr="00D55DC6">
        <w:rPr>
          <w:rFonts w:eastAsia="標楷體"/>
          <w:sz w:val="28"/>
          <w:szCs w:val="28"/>
        </w:rPr>
        <w:t>NT$1,427</w:t>
      </w:r>
      <w:r w:rsidRPr="00D55DC6">
        <w:rPr>
          <w:rFonts w:eastAsia="標楷體"/>
          <w:sz w:val="28"/>
          <w:szCs w:val="28"/>
        </w:rPr>
        <w:t>元</w:t>
      </w:r>
      <w:r w:rsidRPr="00D55DC6">
        <w:rPr>
          <w:rFonts w:eastAsia="標楷體"/>
          <w:sz w:val="28"/>
          <w:szCs w:val="28"/>
        </w:rPr>
        <w:t>*</w:t>
      </w:r>
      <w:r w:rsidRPr="00D55DC6">
        <w:rPr>
          <w:rFonts w:eastAsia="標楷體"/>
          <w:sz w:val="28"/>
          <w:szCs w:val="28"/>
        </w:rPr>
        <w:t>停留天數</w:t>
      </w:r>
      <w:r w:rsidRPr="00D55DC6">
        <w:rPr>
          <w:rFonts w:eastAsia="標楷體"/>
          <w:sz w:val="28"/>
          <w:szCs w:val="28"/>
        </w:rPr>
        <w:t xml:space="preserve"> 0.86</w:t>
      </w:r>
      <w:r w:rsidRPr="00D55DC6">
        <w:rPr>
          <w:rFonts w:eastAsia="標楷體"/>
          <w:sz w:val="28"/>
          <w:szCs w:val="28"/>
        </w:rPr>
        <w:t>天為基準估算。每人每日平均消費以每年</w:t>
      </w:r>
      <w:r w:rsidRPr="00D55DC6">
        <w:rPr>
          <w:rFonts w:eastAsia="標楷體"/>
          <w:sz w:val="28"/>
          <w:szCs w:val="28"/>
        </w:rPr>
        <w:t>2%</w:t>
      </w:r>
      <w:r w:rsidRPr="00D55DC6">
        <w:rPr>
          <w:rFonts w:eastAsia="標楷體"/>
          <w:sz w:val="28"/>
          <w:szCs w:val="28"/>
        </w:rPr>
        <w:t>之通膨成長目標預估，</w:t>
      </w:r>
      <w:r w:rsidRPr="00D55DC6">
        <w:rPr>
          <w:rFonts w:eastAsia="標楷體"/>
          <w:sz w:val="28"/>
          <w:szCs w:val="28"/>
        </w:rPr>
        <w:t>105-108</w:t>
      </w:r>
      <w:r w:rsidRPr="00D55DC6">
        <w:rPr>
          <w:rFonts w:eastAsia="標楷體"/>
          <w:sz w:val="28"/>
          <w:szCs w:val="28"/>
        </w:rPr>
        <w:t>年將由</w:t>
      </w:r>
      <w:r w:rsidRPr="00D55DC6">
        <w:rPr>
          <w:rFonts w:eastAsia="標楷體"/>
          <w:sz w:val="28"/>
          <w:szCs w:val="28"/>
        </w:rPr>
        <w:t xml:space="preserve">1,413.63 </w:t>
      </w:r>
      <w:r w:rsidRPr="00D55DC6">
        <w:rPr>
          <w:rFonts w:eastAsia="標楷體"/>
          <w:sz w:val="28"/>
          <w:szCs w:val="28"/>
        </w:rPr>
        <w:t>元成長至</w:t>
      </w:r>
      <w:r w:rsidRPr="00D55DC6">
        <w:rPr>
          <w:rFonts w:eastAsia="標楷體"/>
          <w:sz w:val="28"/>
          <w:szCs w:val="28"/>
        </w:rPr>
        <w:t>1,576.56</w:t>
      </w:r>
      <w:r w:rsidRPr="00D55DC6">
        <w:rPr>
          <w:rFonts w:eastAsia="標楷體"/>
          <w:sz w:val="28"/>
          <w:szCs w:val="28"/>
        </w:rPr>
        <w:t>元，停留天數以</w:t>
      </w:r>
      <w:r w:rsidRPr="00D55DC6">
        <w:rPr>
          <w:rFonts w:eastAsia="標楷體"/>
          <w:sz w:val="28"/>
          <w:szCs w:val="28"/>
        </w:rPr>
        <w:t>99-102</w:t>
      </w:r>
      <w:r w:rsidRPr="00D55DC6">
        <w:rPr>
          <w:rFonts w:eastAsia="標楷體"/>
          <w:sz w:val="28"/>
          <w:szCs w:val="28"/>
        </w:rPr>
        <w:t>年最近</w:t>
      </w:r>
      <w:r w:rsidRPr="00D55DC6">
        <w:rPr>
          <w:rFonts w:eastAsia="標楷體"/>
          <w:sz w:val="28"/>
          <w:szCs w:val="28"/>
        </w:rPr>
        <w:t>4</w:t>
      </w:r>
      <w:r w:rsidRPr="00D55DC6">
        <w:rPr>
          <w:rFonts w:eastAsia="標楷體"/>
          <w:sz w:val="28"/>
          <w:szCs w:val="28"/>
        </w:rPr>
        <w:t>年數據對數迴歸推估，</w:t>
      </w:r>
      <w:r w:rsidRPr="00D55DC6">
        <w:rPr>
          <w:rFonts w:eastAsia="標楷體"/>
          <w:sz w:val="28"/>
          <w:szCs w:val="28"/>
        </w:rPr>
        <w:t>105-108</w:t>
      </w:r>
      <w:r w:rsidRPr="00D55DC6">
        <w:rPr>
          <w:rFonts w:eastAsia="標楷體"/>
          <w:sz w:val="28"/>
          <w:szCs w:val="28"/>
        </w:rPr>
        <w:t>年將由</w:t>
      </w:r>
      <w:r w:rsidRPr="00D55DC6">
        <w:rPr>
          <w:rFonts w:eastAsia="標楷體"/>
          <w:sz w:val="28"/>
          <w:szCs w:val="28"/>
        </w:rPr>
        <w:t>0.93</w:t>
      </w:r>
      <w:r w:rsidRPr="00D55DC6">
        <w:rPr>
          <w:rFonts w:eastAsia="標楷體"/>
          <w:sz w:val="28"/>
          <w:szCs w:val="28"/>
        </w:rPr>
        <w:t>天成長至</w:t>
      </w:r>
      <w:r w:rsidRPr="00D55DC6">
        <w:rPr>
          <w:rFonts w:eastAsia="標楷體"/>
          <w:sz w:val="28"/>
          <w:szCs w:val="28"/>
        </w:rPr>
        <w:t>0.98</w:t>
      </w:r>
      <w:r w:rsidRPr="00D55DC6">
        <w:rPr>
          <w:rFonts w:eastAsia="標楷體"/>
          <w:sz w:val="28"/>
          <w:szCs w:val="28"/>
        </w:rPr>
        <w:t>天</w:t>
      </w:r>
      <w:r w:rsidRPr="00D55DC6">
        <w:rPr>
          <w:rFonts w:eastAsia="標楷體"/>
          <w:sz w:val="28"/>
          <w:szCs w:val="28"/>
        </w:rPr>
        <w:t>)</w:t>
      </w:r>
      <w:r w:rsidRPr="00D55DC6">
        <w:rPr>
          <w:rFonts w:eastAsia="標楷體"/>
          <w:sz w:val="28"/>
          <w:szCs w:val="28"/>
        </w:rPr>
        <w:t>。</w:t>
      </w:r>
    </w:p>
    <w:p w:rsidR="00D03EE9" w:rsidRPr="00D55DC6" w:rsidRDefault="00D03EE9" w:rsidP="00D03EE9">
      <w:pPr>
        <w:snapToGrid w:val="0"/>
        <w:spacing w:line="460" w:lineRule="exact"/>
        <w:jc w:val="both"/>
        <w:rPr>
          <w:rFonts w:eastAsia="標楷體"/>
          <w:sz w:val="28"/>
          <w:szCs w:val="28"/>
        </w:rPr>
      </w:pPr>
    </w:p>
    <w:p w:rsidR="00D03EE9" w:rsidRPr="00D55DC6" w:rsidRDefault="00D03EE9" w:rsidP="00D03EE9">
      <w:pPr>
        <w:snapToGrid w:val="0"/>
        <w:spacing w:line="460" w:lineRule="exact"/>
        <w:jc w:val="both"/>
        <w:rPr>
          <w:rFonts w:eastAsia="標楷體"/>
          <w:sz w:val="28"/>
          <w:szCs w:val="28"/>
        </w:rPr>
      </w:pPr>
    </w:p>
    <w:p w:rsidR="00D03EE9" w:rsidRPr="00D55DC6" w:rsidRDefault="00D03EE9" w:rsidP="00D03EE9">
      <w:pPr>
        <w:snapToGrid w:val="0"/>
        <w:spacing w:line="460" w:lineRule="exact"/>
        <w:jc w:val="both"/>
        <w:rPr>
          <w:rFonts w:eastAsia="標楷體"/>
          <w:sz w:val="28"/>
          <w:szCs w:val="28"/>
        </w:rPr>
      </w:pPr>
    </w:p>
    <w:p w:rsidR="00D03EE9" w:rsidRPr="00D55DC6" w:rsidRDefault="00D03EE9" w:rsidP="00D03EE9">
      <w:pPr>
        <w:snapToGrid w:val="0"/>
        <w:spacing w:line="460" w:lineRule="exact"/>
        <w:jc w:val="both"/>
        <w:rPr>
          <w:rFonts w:eastAsia="標楷體"/>
          <w:sz w:val="28"/>
          <w:szCs w:val="28"/>
        </w:rPr>
      </w:pPr>
    </w:p>
    <w:p w:rsidR="00D03EE9" w:rsidRPr="00D55DC6" w:rsidRDefault="00D03EE9" w:rsidP="00D03EE9">
      <w:pPr>
        <w:snapToGrid w:val="0"/>
        <w:spacing w:line="460" w:lineRule="exact"/>
        <w:jc w:val="both"/>
        <w:rPr>
          <w:rFonts w:eastAsia="標楷體"/>
          <w:sz w:val="28"/>
          <w:szCs w:val="28"/>
        </w:rPr>
      </w:pPr>
    </w:p>
    <w:p w:rsidR="00F47623" w:rsidRPr="00D55DC6" w:rsidRDefault="00F47623" w:rsidP="0038165F">
      <w:pPr>
        <w:numPr>
          <w:ilvl w:val="0"/>
          <w:numId w:val="1"/>
        </w:numPr>
        <w:snapToGrid w:val="0"/>
        <w:spacing w:line="460" w:lineRule="exact"/>
        <w:ind w:left="709" w:hanging="709"/>
        <w:jc w:val="both"/>
        <w:rPr>
          <w:rFonts w:eastAsia="標楷體"/>
          <w:b/>
          <w:sz w:val="28"/>
          <w:szCs w:val="28"/>
        </w:rPr>
      </w:pPr>
      <w:r w:rsidRPr="00D55DC6">
        <w:rPr>
          <w:rFonts w:eastAsia="標楷體"/>
          <w:b/>
          <w:sz w:val="28"/>
          <w:szCs w:val="28"/>
        </w:rPr>
        <w:lastRenderedPageBreak/>
        <w:t>財務計畫</w:t>
      </w:r>
    </w:p>
    <w:p w:rsidR="00F47623" w:rsidRPr="00D55DC6" w:rsidRDefault="00F47623" w:rsidP="004865C1">
      <w:pPr>
        <w:numPr>
          <w:ilvl w:val="0"/>
          <w:numId w:val="107"/>
        </w:numPr>
        <w:snapToGrid w:val="0"/>
        <w:spacing w:line="460" w:lineRule="exact"/>
        <w:jc w:val="both"/>
        <w:rPr>
          <w:rFonts w:eastAsia="標楷體"/>
          <w:b/>
          <w:sz w:val="28"/>
          <w:szCs w:val="28"/>
        </w:rPr>
      </w:pPr>
      <w:r w:rsidRPr="00D55DC6">
        <w:rPr>
          <w:rFonts w:eastAsia="標楷體"/>
          <w:b/>
          <w:sz w:val="28"/>
          <w:szCs w:val="28"/>
        </w:rPr>
        <w:t>財務計畫核定情形</w:t>
      </w:r>
    </w:p>
    <w:p w:rsidR="00F64BBC" w:rsidRPr="00D55DC6" w:rsidRDefault="00F47623" w:rsidP="00F64BBC">
      <w:pPr>
        <w:snapToGrid w:val="0"/>
        <w:spacing w:line="460" w:lineRule="exact"/>
        <w:ind w:left="709"/>
        <w:jc w:val="both"/>
        <w:rPr>
          <w:rFonts w:eastAsia="標楷體"/>
          <w:sz w:val="28"/>
          <w:szCs w:val="28"/>
        </w:rPr>
      </w:pPr>
      <w:r w:rsidRPr="00D55DC6">
        <w:rPr>
          <w:rFonts w:eastAsia="標楷體"/>
          <w:sz w:val="28"/>
          <w:szCs w:val="28"/>
        </w:rPr>
        <w:t xml:space="preserve">    </w:t>
      </w:r>
      <w:r w:rsidRPr="00D55DC6">
        <w:rPr>
          <w:rFonts w:eastAsia="標楷體"/>
          <w:sz w:val="28"/>
          <w:szCs w:val="28"/>
        </w:rPr>
        <w:t>依據行政院</w:t>
      </w:r>
      <w:r w:rsidRPr="00D55DC6">
        <w:rPr>
          <w:rFonts w:eastAsia="標楷體"/>
          <w:sz w:val="28"/>
          <w:szCs w:val="28"/>
        </w:rPr>
        <w:t>103</w:t>
      </w:r>
      <w:r w:rsidRPr="00D55DC6">
        <w:rPr>
          <w:rFonts w:eastAsia="標楷體"/>
          <w:sz w:val="28"/>
          <w:szCs w:val="28"/>
        </w:rPr>
        <w:t>年</w:t>
      </w:r>
      <w:r w:rsidRPr="00D55DC6">
        <w:rPr>
          <w:rFonts w:eastAsia="標楷體"/>
          <w:sz w:val="28"/>
          <w:szCs w:val="28"/>
        </w:rPr>
        <w:t>10</w:t>
      </w:r>
      <w:r w:rsidRPr="00D55DC6">
        <w:rPr>
          <w:rFonts w:eastAsia="標楷體"/>
          <w:sz w:val="28"/>
          <w:szCs w:val="28"/>
        </w:rPr>
        <w:t>月</w:t>
      </w:r>
      <w:r w:rsidRPr="00D55DC6">
        <w:rPr>
          <w:rFonts w:eastAsia="標楷體"/>
          <w:sz w:val="28"/>
          <w:szCs w:val="28"/>
        </w:rPr>
        <w:t>15</w:t>
      </w:r>
      <w:r w:rsidRPr="00D55DC6">
        <w:rPr>
          <w:rFonts w:eastAsia="標楷體"/>
          <w:sz w:val="28"/>
          <w:szCs w:val="28"/>
        </w:rPr>
        <w:t>日院臺交字第</w:t>
      </w:r>
      <w:r w:rsidRPr="00D55DC6">
        <w:rPr>
          <w:rFonts w:eastAsia="標楷體"/>
          <w:sz w:val="28"/>
          <w:szCs w:val="28"/>
        </w:rPr>
        <w:t>1030058303</w:t>
      </w:r>
      <w:r w:rsidRPr="00D55DC6">
        <w:rPr>
          <w:rFonts w:eastAsia="標楷體"/>
          <w:sz w:val="28"/>
          <w:szCs w:val="28"/>
        </w:rPr>
        <w:t>號函核定「雲嘉南濱海國家風景區整體發展暨財務計畫」，未來</w:t>
      </w:r>
      <w:r w:rsidRPr="00D55DC6">
        <w:rPr>
          <w:rFonts w:eastAsia="標楷體"/>
          <w:sz w:val="28"/>
          <w:szCs w:val="28"/>
        </w:rPr>
        <w:t>20</w:t>
      </w:r>
      <w:r w:rsidRPr="00D55DC6">
        <w:rPr>
          <w:rFonts w:eastAsia="標楷體"/>
          <w:sz w:val="28"/>
          <w:szCs w:val="28"/>
        </w:rPr>
        <w:t>年期間</w:t>
      </w:r>
      <w:r w:rsidRPr="00D55DC6">
        <w:rPr>
          <w:rFonts w:eastAsia="標楷體"/>
          <w:sz w:val="28"/>
          <w:szCs w:val="28"/>
        </w:rPr>
        <w:t>(103</w:t>
      </w:r>
      <w:r w:rsidRPr="00D55DC6">
        <w:rPr>
          <w:rFonts w:eastAsia="標楷體"/>
          <w:sz w:val="28"/>
          <w:szCs w:val="28"/>
        </w:rPr>
        <w:t>至</w:t>
      </w:r>
      <w:r w:rsidRPr="00D55DC6">
        <w:rPr>
          <w:rFonts w:eastAsia="標楷體"/>
          <w:sz w:val="28"/>
          <w:szCs w:val="28"/>
        </w:rPr>
        <w:t>122</w:t>
      </w:r>
      <w:r w:rsidRPr="00D55DC6">
        <w:rPr>
          <w:rFonts w:eastAsia="標楷體"/>
          <w:sz w:val="28"/>
          <w:szCs w:val="28"/>
        </w:rPr>
        <w:t>年</w:t>
      </w:r>
      <w:r w:rsidRPr="00D55DC6">
        <w:rPr>
          <w:rFonts w:eastAsia="標楷體"/>
          <w:sz w:val="28"/>
          <w:szCs w:val="28"/>
        </w:rPr>
        <w:t>)</w:t>
      </w:r>
      <w:r w:rsidRPr="00D55DC6">
        <w:rPr>
          <w:rFonts w:eastAsia="標楷體"/>
          <w:sz w:val="28"/>
          <w:szCs w:val="28"/>
        </w:rPr>
        <w:t>計畫投入現值為</w:t>
      </w:r>
      <w:r w:rsidRPr="00D55DC6">
        <w:rPr>
          <w:rFonts w:eastAsia="標楷體"/>
          <w:sz w:val="28"/>
          <w:szCs w:val="28"/>
        </w:rPr>
        <w:t>36.0637</w:t>
      </w:r>
      <w:r w:rsidRPr="00D55DC6">
        <w:rPr>
          <w:rFonts w:eastAsia="標楷體"/>
          <w:sz w:val="28"/>
          <w:szCs w:val="28"/>
        </w:rPr>
        <w:t>億元，收益現值為</w:t>
      </w:r>
      <w:r w:rsidRPr="00D55DC6">
        <w:rPr>
          <w:rFonts w:eastAsia="標楷體"/>
          <w:sz w:val="28"/>
          <w:szCs w:val="28"/>
        </w:rPr>
        <w:t>9.4893</w:t>
      </w:r>
      <w:r w:rsidRPr="00D55DC6">
        <w:rPr>
          <w:rFonts w:eastAsia="標楷體"/>
          <w:sz w:val="28"/>
          <w:szCs w:val="28"/>
        </w:rPr>
        <w:t>億元，整體計畫財務自償率達</w:t>
      </w:r>
      <w:r w:rsidRPr="00D55DC6">
        <w:rPr>
          <w:rFonts w:eastAsia="標楷體"/>
          <w:sz w:val="28"/>
          <w:szCs w:val="28"/>
        </w:rPr>
        <w:t>26.31%</w:t>
      </w:r>
      <w:r w:rsidRPr="00D55DC6">
        <w:rPr>
          <w:rFonts w:eastAsia="標楷體"/>
          <w:sz w:val="28"/>
          <w:szCs w:val="28"/>
        </w:rPr>
        <w:t>。管理處為積極打造基礎觀光建設及友善旅遊環境，強化地方資源弱化地區之後續民間投資意願，爰在恪遵行政院</w:t>
      </w:r>
      <w:r w:rsidRPr="00D55DC6">
        <w:rPr>
          <w:rFonts w:eastAsia="標楷體"/>
          <w:sz w:val="28"/>
          <w:szCs w:val="28"/>
        </w:rPr>
        <w:t>103</w:t>
      </w:r>
      <w:r w:rsidRPr="00D55DC6">
        <w:rPr>
          <w:rFonts w:eastAsia="標楷體"/>
          <w:sz w:val="28"/>
          <w:szCs w:val="28"/>
        </w:rPr>
        <w:t>年</w:t>
      </w:r>
      <w:r w:rsidRPr="00D55DC6">
        <w:rPr>
          <w:rFonts w:eastAsia="標楷體"/>
          <w:sz w:val="28"/>
          <w:szCs w:val="28"/>
        </w:rPr>
        <w:t>6</w:t>
      </w:r>
      <w:r w:rsidRPr="00D55DC6">
        <w:rPr>
          <w:rFonts w:eastAsia="標楷體"/>
          <w:sz w:val="28"/>
          <w:szCs w:val="28"/>
        </w:rPr>
        <w:t>月</w:t>
      </w:r>
      <w:r w:rsidRPr="00D55DC6">
        <w:rPr>
          <w:rFonts w:eastAsia="標楷體"/>
          <w:sz w:val="28"/>
          <w:szCs w:val="28"/>
        </w:rPr>
        <w:t>6</w:t>
      </w:r>
      <w:r w:rsidRPr="00D55DC6">
        <w:rPr>
          <w:rFonts w:eastAsia="標楷體"/>
          <w:sz w:val="28"/>
          <w:szCs w:val="28"/>
        </w:rPr>
        <w:t>日函示以</w:t>
      </w:r>
      <w:r w:rsidRPr="00D55DC6">
        <w:rPr>
          <w:rFonts w:eastAsia="標楷體"/>
          <w:sz w:val="28"/>
          <w:szCs w:val="28"/>
        </w:rPr>
        <w:t>25%</w:t>
      </w:r>
      <w:r w:rsidRPr="00D55DC6">
        <w:rPr>
          <w:rFonts w:eastAsia="標楷體"/>
          <w:sz w:val="28"/>
          <w:szCs w:val="28"/>
        </w:rPr>
        <w:t>自償率之目標原則下，</w:t>
      </w:r>
      <w:r w:rsidR="00F64BBC" w:rsidRPr="00D55DC6">
        <w:rPr>
          <w:rFonts w:eastAsia="標楷體" w:hint="eastAsia"/>
          <w:sz w:val="28"/>
          <w:szCs w:val="28"/>
        </w:rPr>
        <w:t>調節</w:t>
      </w:r>
      <w:r w:rsidR="00F64BBC" w:rsidRPr="00D55DC6">
        <w:rPr>
          <w:rFonts w:eastAsia="標楷體" w:hint="eastAsia"/>
          <w:sz w:val="28"/>
          <w:szCs w:val="28"/>
        </w:rPr>
        <w:t>20</w:t>
      </w:r>
      <w:r w:rsidR="00F64BBC" w:rsidRPr="00D55DC6">
        <w:rPr>
          <w:rFonts w:eastAsia="標楷體" w:hint="eastAsia"/>
          <w:sz w:val="28"/>
          <w:szCs w:val="28"/>
        </w:rPr>
        <w:t>年期財務投入數額，</w:t>
      </w:r>
      <w:r w:rsidR="00F64BBC" w:rsidRPr="00D55DC6">
        <w:rPr>
          <w:rFonts w:eastAsia="標楷體"/>
          <w:sz w:val="28"/>
          <w:szCs w:val="28"/>
        </w:rPr>
        <w:t>105-108</w:t>
      </w:r>
      <w:r w:rsidR="00F64BBC" w:rsidRPr="00D55DC6">
        <w:rPr>
          <w:rFonts w:eastAsia="標楷體"/>
          <w:sz w:val="28"/>
          <w:szCs w:val="28"/>
        </w:rPr>
        <w:t>年計畫</w:t>
      </w:r>
      <w:r w:rsidR="00F64BBC" w:rsidRPr="00D55DC6">
        <w:rPr>
          <w:rFonts w:eastAsia="標楷體" w:hint="eastAsia"/>
          <w:sz w:val="28"/>
          <w:szCs w:val="28"/>
        </w:rPr>
        <w:t>以</w:t>
      </w:r>
      <w:r w:rsidR="00F64BBC" w:rsidRPr="00D55DC6">
        <w:rPr>
          <w:rFonts w:eastAsia="標楷體"/>
          <w:sz w:val="28"/>
          <w:szCs w:val="28"/>
        </w:rPr>
        <w:t>每年</w:t>
      </w:r>
      <w:r w:rsidR="00F64BBC" w:rsidRPr="00D55DC6">
        <w:rPr>
          <w:rFonts w:eastAsia="標楷體"/>
          <w:sz w:val="28"/>
          <w:szCs w:val="28"/>
        </w:rPr>
        <w:t>3</w:t>
      </w:r>
      <w:r w:rsidR="00F64BBC" w:rsidRPr="00D55DC6">
        <w:rPr>
          <w:rFonts w:eastAsia="標楷體"/>
          <w:sz w:val="28"/>
          <w:szCs w:val="28"/>
        </w:rPr>
        <w:t>億元</w:t>
      </w:r>
      <w:r w:rsidR="00F64BBC" w:rsidRPr="00D55DC6">
        <w:rPr>
          <w:rFonts w:eastAsia="標楷體" w:hint="eastAsia"/>
          <w:sz w:val="28"/>
          <w:szCs w:val="28"/>
        </w:rPr>
        <w:t>為</w:t>
      </w:r>
      <w:r w:rsidR="00F64BBC" w:rsidRPr="00D55DC6">
        <w:rPr>
          <w:rFonts w:eastAsia="標楷體"/>
          <w:sz w:val="28"/>
          <w:szCs w:val="28"/>
        </w:rPr>
        <w:t>投入經費，</w:t>
      </w:r>
      <w:r w:rsidR="00F64BBC" w:rsidRPr="00D55DC6">
        <w:rPr>
          <w:rFonts w:eastAsia="標楷體" w:hint="eastAsia"/>
          <w:sz w:val="28"/>
          <w:szCs w:val="28"/>
        </w:rPr>
        <w:t>後續年度則依序節流調降投入數額，</w:t>
      </w:r>
      <w:r w:rsidR="00F64BBC" w:rsidRPr="00D55DC6">
        <w:rPr>
          <w:rFonts w:eastAsia="標楷體"/>
          <w:sz w:val="28"/>
          <w:szCs w:val="28"/>
        </w:rPr>
        <w:t>以期穩健達成財務自償目標</w:t>
      </w:r>
      <w:r w:rsidR="00F64BBC" w:rsidRPr="00D55DC6">
        <w:rPr>
          <w:rFonts w:eastAsia="標楷體" w:hint="eastAsia"/>
          <w:sz w:val="28"/>
          <w:szCs w:val="28"/>
        </w:rPr>
        <w:t>，惟本財務計畫仍須視實際發展情形，以</w:t>
      </w:r>
      <w:r w:rsidR="00F64BBC" w:rsidRPr="00D55DC6">
        <w:rPr>
          <w:rFonts w:eastAsia="標楷體"/>
          <w:sz w:val="28"/>
          <w:szCs w:val="28"/>
        </w:rPr>
        <w:t>提升地方</w:t>
      </w:r>
      <w:r w:rsidR="00F64BBC" w:rsidRPr="00D55DC6">
        <w:rPr>
          <w:rFonts w:eastAsia="標楷體" w:hint="eastAsia"/>
          <w:sz w:val="28"/>
          <w:szCs w:val="28"/>
        </w:rPr>
        <w:t>觀光</w:t>
      </w:r>
      <w:r w:rsidR="00F64BBC" w:rsidRPr="00D55DC6">
        <w:rPr>
          <w:rFonts w:eastAsia="標楷體"/>
          <w:sz w:val="28"/>
          <w:szCs w:val="28"/>
        </w:rPr>
        <w:t>產業發展之</w:t>
      </w:r>
      <w:r w:rsidR="00F64BBC" w:rsidRPr="00D55DC6">
        <w:rPr>
          <w:rFonts w:eastAsia="標楷體" w:hint="eastAsia"/>
          <w:sz w:val="28"/>
          <w:szCs w:val="28"/>
        </w:rPr>
        <w:t>觀光</w:t>
      </w:r>
      <w:r w:rsidR="00F64BBC" w:rsidRPr="00D55DC6">
        <w:rPr>
          <w:rFonts w:eastAsia="標楷體"/>
          <w:sz w:val="28"/>
          <w:szCs w:val="28"/>
        </w:rPr>
        <w:t>效益</w:t>
      </w:r>
      <w:r w:rsidR="00F64BBC" w:rsidRPr="00D55DC6">
        <w:rPr>
          <w:rFonts w:eastAsia="標楷體" w:hint="eastAsia"/>
          <w:sz w:val="28"/>
          <w:szCs w:val="28"/>
        </w:rPr>
        <w:t>為主要目標，作為實際投入經費之準據</w:t>
      </w:r>
      <w:r w:rsidR="00F64BBC" w:rsidRPr="00D55DC6">
        <w:rPr>
          <w:rFonts w:eastAsia="標楷體"/>
          <w:sz w:val="28"/>
          <w:szCs w:val="28"/>
        </w:rPr>
        <w:t>。</w:t>
      </w:r>
      <w:r w:rsidR="00F64BBC" w:rsidRPr="00D55DC6">
        <w:rPr>
          <w:rFonts w:eastAsia="標楷體" w:hint="eastAsia"/>
          <w:sz w:val="28"/>
          <w:szCs w:val="28"/>
        </w:rPr>
        <w:t>經調節後</w:t>
      </w:r>
      <w:r w:rsidR="00F64BBC" w:rsidRPr="00D55DC6">
        <w:rPr>
          <w:rFonts w:eastAsia="標楷體"/>
          <w:sz w:val="28"/>
          <w:szCs w:val="28"/>
        </w:rPr>
        <w:t>估算未來</w:t>
      </w:r>
      <w:r w:rsidR="00F64BBC" w:rsidRPr="00D55DC6">
        <w:rPr>
          <w:rFonts w:eastAsia="標楷體"/>
          <w:sz w:val="28"/>
          <w:szCs w:val="28"/>
        </w:rPr>
        <w:t>20</w:t>
      </w:r>
      <w:r w:rsidR="00F64BBC" w:rsidRPr="00D55DC6">
        <w:rPr>
          <w:rFonts w:eastAsia="標楷體"/>
          <w:sz w:val="28"/>
          <w:szCs w:val="28"/>
        </w:rPr>
        <w:t>年期間</w:t>
      </w:r>
      <w:r w:rsidR="00F64BBC" w:rsidRPr="00D55DC6">
        <w:rPr>
          <w:rFonts w:eastAsia="標楷體"/>
          <w:sz w:val="28"/>
          <w:szCs w:val="28"/>
        </w:rPr>
        <w:t>(103</w:t>
      </w:r>
      <w:r w:rsidR="00F64BBC" w:rsidRPr="00D55DC6">
        <w:rPr>
          <w:rFonts w:eastAsia="標楷體"/>
          <w:sz w:val="28"/>
          <w:szCs w:val="28"/>
        </w:rPr>
        <w:t>至</w:t>
      </w:r>
      <w:r w:rsidR="00F64BBC" w:rsidRPr="00D55DC6">
        <w:rPr>
          <w:rFonts w:eastAsia="標楷體"/>
          <w:sz w:val="28"/>
          <w:szCs w:val="28"/>
        </w:rPr>
        <w:t>122</w:t>
      </w:r>
      <w:r w:rsidR="00F64BBC" w:rsidRPr="00D55DC6">
        <w:rPr>
          <w:rFonts w:eastAsia="標楷體"/>
          <w:sz w:val="28"/>
          <w:szCs w:val="28"/>
        </w:rPr>
        <w:t>年</w:t>
      </w:r>
      <w:r w:rsidR="00F64BBC" w:rsidRPr="00D55DC6">
        <w:rPr>
          <w:rFonts w:eastAsia="標楷體"/>
          <w:sz w:val="28"/>
          <w:szCs w:val="28"/>
        </w:rPr>
        <w:t>)</w:t>
      </w:r>
      <w:r w:rsidR="00F64BBC" w:rsidRPr="00D55DC6">
        <w:rPr>
          <w:rFonts w:eastAsia="標楷體"/>
          <w:sz w:val="28"/>
          <w:szCs w:val="28"/>
        </w:rPr>
        <w:t>計畫投入現值為</w:t>
      </w:r>
      <w:r w:rsidR="00F64BBC" w:rsidRPr="00D55DC6">
        <w:rPr>
          <w:rFonts w:eastAsia="標楷體"/>
          <w:sz w:val="28"/>
          <w:szCs w:val="28"/>
        </w:rPr>
        <w:t>3</w:t>
      </w:r>
      <w:r w:rsidR="00F64BBC" w:rsidRPr="00D55DC6">
        <w:rPr>
          <w:rFonts w:eastAsia="標楷體" w:hint="eastAsia"/>
          <w:sz w:val="28"/>
          <w:szCs w:val="28"/>
        </w:rPr>
        <w:t>6.072</w:t>
      </w:r>
      <w:r w:rsidR="00F64BBC" w:rsidRPr="00D55DC6">
        <w:rPr>
          <w:rFonts w:eastAsia="標楷體"/>
          <w:sz w:val="28"/>
          <w:szCs w:val="28"/>
        </w:rPr>
        <w:t>7</w:t>
      </w:r>
      <w:r w:rsidR="00F64BBC" w:rsidRPr="00D55DC6">
        <w:rPr>
          <w:rFonts w:eastAsia="標楷體" w:hint="eastAsia"/>
          <w:sz w:val="28"/>
          <w:szCs w:val="28"/>
        </w:rPr>
        <w:t>億</w:t>
      </w:r>
      <w:r w:rsidR="00F64BBC" w:rsidRPr="00D55DC6">
        <w:rPr>
          <w:rFonts w:eastAsia="標楷體"/>
          <w:sz w:val="28"/>
          <w:szCs w:val="28"/>
        </w:rPr>
        <w:t>元，整體計畫財務自償率達</w:t>
      </w:r>
      <w:r w:rsidR="00F64BBC" w:rsidRPr="00D55DC6">
        <w:rPr>
          <w:rFonts w:eastAsia="標楷體" w:hint="eastAsia"/>
          <w:sz w:val="28"/>
          <w:szCs w:val="28"/>
        </w:rPr>
        <w:t>26</w:t>
      </w:r>
      <w:r w:rsidR="00F64BBC" w:rsidRPr="00D55DC6">
        <w:rPr>
          <w:rFonts w:eastAsia="標楷體"/>
          <w:sz w:val="28"/>
          <w:szCs w:val="28"/>
        </w:rPr>
        <w:t>.</w:t>
      </w:r>
      <w:r w:rsidR="00F64BBC" w:rsidRPr="00D55DC6">
        <w:rPr>
          <w:rFonts w:eastAsia="標楷體" w:hint="eastAsia"/>
          <w:sz w:val="28"/>
          <w:szCs w:val="28"/>
        </w:rPr>
        <w:t>31</w:t>
      </w:r>
      <w:r w:rsidR="00F64BBC" w:rsidRPr="00D55DC6">
        <w:rPr>
          <w:rFonts w:eastAsia="標楷體"/>
          <w:sz w:val="28"/>
          <w:szCs w:val="28"/>
        </w:rPr>
        <w:t>%</w:t>
      </w:r>
      <w:r w:rsidR="00F64BBC" w:rsidRPr="00D55DC6">
        <w:rPr>
          <w:rFonts w:eastAsia="標楷體"/>
          <w:sz w:val="28"/>
          <w:szCs w:val="28"/>
        </w:rPr>
        <w:t>。</w:t>
      </w:r>
    </w:p>
    <w:p w:rsidR="00F47623" w:rsidRPr="00D55DC6" w:rsidRDefault="00F47623" w:rsidP="0038165F">
      <w:pPr>
        <w:snapToGrid w:val="0"/>
        <w:spacing w:line="460" w:lineRule="exact"/>
        <w:ind w:left="709"/>
        <w:jc w:val="both"/>
        <w:rPr>
          <w:rFonts w:eastAsia="標楷體"/>
          <w:sz w:val="28"/>
          <w:szCs w:val="28"/>
        </w:rPr>
      </w:pPr>
      <w:r w:rsidRPr="00D55DC6">
        <w:rPr>
          <w:rFonts w:eastAsia="標楷體"/>
          <w:sz w:val="28"/>
          <w:szCs w:val="28"/>
        </w:rPr>
        <w:t xml:space="preserve">    </w:t>
      </w:r>
      <w:r w:rsidRPr="00D55DC6">
        <w:rPr>
          <w:rFonts w:eastAsia="標楷體"/>
          <w:kern w:val="0"/>
          <w:sz w:val="28"/>
          <w:szCs w:val="28"/>
        </w:rPr>
        <w:t>105-108</w:t>
      </w:r>
      <w:r w:rsidRPr="00D55DC6">
        <w:rPr>
          <w:rFonts w:eastAsia="標楷體"/>
          <w:kern w:val="0"/>
          <w:sz w:val="28"/>
          <w:szCs w:val="28"/>
        </w:rPr>
        <w:t>年階段將持續以「擴大出租據點收益」、「新設據點收益</w:t>
      </w:r>
      <w:r w:rsidRPr="00D55DC6">
        <w:rPr>
          <w:rFonts w:eastAsia="標楷體"/>
          <w:kern w:val="0"/>
          <w:sz w:val="28"/>
          <w:szCs w:val="28"/>
        </w:rPr>
        <w:t>(</w:t>
      </w:r>
      <w:r w:rsidRPr="00D55DC6">
        <w:rPr>
          <w:rFonts w:eastAsia="標楷體"/>
          <w:kern w:val="0"/>
          <w:sz w:val="28"/>
          <w:szCs w:val="28"/>
        </w:rPr>
        <w:t>促參</w:t>
      </w:r>
      <w:r w:rsidRPr="00D55DC6">
        <w:rPr>
          <w:rFonts w:eastAsia="標楷體"/>
          <w:kern w:val="0"/>
          <w:sz w:val="28"/>
          <w:szCs w:val="28"/>
        </w:rPr>
        <w:t>)</w:t>
      </w:r>
      <w:r w:rsidRPr="00D55DC6">
        <w:rPr>
          <w:rFonts w:eastAsia="標楷體"/>
          <w:kern w:val="0"/>
          <w:sz w:val="28"/>
          <w:szCs w:val="28"/>
        </w:rPr>
        <w:t>」等執行推動財務收益，惟考量計畫可能存在「促參計畫因環評等不確定因素延宕」、「預估收益或預期市場反應過於樂觀」等眾多不確定風險特性，爰仍需持續依實際推動現況滾動檢討。</w:t>
      </w:r>
    </w:p>
    <w:p w:rsidR="00F47623" w:rsidRPr="00D55DC6" w:rsidRDefault="00F47623" w:rsidP="0038165F">
      <w:pPr>
        <w:snapToGrid w:val="0"/>
        <w:spacing w:line="460" w:lineRule="exact"/>
        <w:ind w:left="709"/>
        <w:jc w:val="both"/>
        <w:rPr>
          <w:rFonts w:eastAsia="標楷體"/>
          <w:sz w:val="28"/>
          <w:szCs w:val="28"/>
        </w:rPr>
      </w:pPr>
    </w:p>
    <w:p w:rsidR="00F47623" w:rsidRPr="00D55DC6" w:rsidRDefault="00F47623" w:rsidP="004865C1">
      <w:pPr>
        <w:numPr>
          <w:ilvl w:val="0"/>
          <w:numId w:val="107"/>
        </w:numPr>
        <w:snapToGrid w:val="0"/>
        <w:spacing w:line="460" w:lineRule="exact"/>
        <w:jc w:val="both"/>
        <w:rPr>
          <w:rFonts w:eastAsia="標楷體"/>
          <w:b/>
          <w:sz w:val="28"/>
          <w:szCs w:val="28"/>
        </w:rPr>
      </w:pPr>
      <w:r w:rsidRPr="00D55DC6">
        <w:rPr>
          <w:rFonts w:eastAsia="標楷體"/>
          <w:b/>
          <w:sz w:val="28"/>
          <w:szCs w:val="28"/>
        </w:rPr>
        <w:t>預估財務收入情形</w:t>
      </w:r>
    </w:p>
    <w:p w:rsidR="00F47623" w:rsidRPr="00D55DC6" w:rsidRDefault="00F47623" w:rsidP="0038165F">
      <w:pPr>
        <w:snapToGrid w:val="0"/>
        <w:spacing w:line="460" w:lineRule="exact"/>
        <w:ind w:left="709"/>
        <w:jc w:val="both"/>
        <w:rPr>
          <w:rFonts w:eastAsia="標楷體"/>
          <w:sz w:val="28"/>
          <w:szCs w:val="28"/>
        </w:rPr>
      </w:pPr>
      <w:r w:rsidRPr="00D55DC6">
        <w:rPr>
          <w:rFonts w:eastAsia="標楷體"/>
          <w:sz w:val="28"/>
          <w:szCs w:val="28"/>
        </w:rPr>
        <w:t xml:space="preserve">    </w:t>
      </w:r>
      <w:r w:rsidRPr="00D55DC6">
        <w:rPr>
          <w:rFonts w:eastAsia="標楷體"/>
          <w:sz w:val="28"/>
          <w:szCs w:val="28"/>
        </w:rPr>
        <w:t>透過推動擴大設施出租、推動促參案件、使用者付費、</w:t>
      </w:r>
      <w:r w:rsidRPr="00D55DC6">
        <w:rPr>
          <w:rFonts w:eastAsia="標楷體"/>
          <w:kern w:val="0"/>
          <w:sz w:val="28"/>
          <w:szCs w:val="28"/>
        </w:rPr>
        <w:t>環境資源收益</w:t>
      </w:r>
      <w:r w:rsidRPr="00D55DC6">
        <w:rPr>
          <w:rFonts w:eastAsia="標楷體"/>
          <w:sz w:val="28"/>
          <w:szCs w:val="28"/>
        </w:rPr>
        <w:t>等創新收益機制方向，積極提升計畫自償率。詳如下列預估財務收入分年規劃表。</w:t>
      </w:r>
    </w:p>
    <w:p w:rsidR="00F47623" w:rsidRPr="00D55DC6" w:rsidRDefault="00F47623" w:rsidP="0038165F">
      <w:pPr>
        <w:snapToGrid w:val="0"/>
        <w:spacing w:line="460" w:lineRule="exact"/>
        <w:ind w:left="709"/>
        <w:jc w:val="both"/>
        <w:rPr>
          <w:rFonts w:eastAsia="標楷體"/>
          <w:sz w:val="28"/>
          <w:szCs w:val="28"/>
        </w:rPr>
      </w:pPr>
    </w:p>
    <w:p w:rsidR="00F47623" w:rsidRPr="00D55DC6" w:rsidRDefault="00F47623" w:rsidP="0038165F">
      <w:pPr>
        <w:widowControl/>
        <w:rPr>
          <w:rFonts w:eastAsia="標楷體"/>
        </w:rPr>
      </w:pPr>
      <w:r w:rsidRPr="00D55DC6">
        <w:rPr>
          <w:rFonts w:eastAsia="標楷體"/>
        </w:rPr>
        <w:br w:type="page"/>
      </w:r>
    </w:p>
    <w:p w:rsidR="00F47623" w:rsidRPr="00D55DC6" w:rsidRDefault="00F47623" w:rsidP="009D33BA">
      <w:pPr>
        <w:spacing w:beforeLines="50" w:before="180" w:line="460" w:lineRule="exact"/>
        <w:ind w:left="1361" w:hangingChars="567" w:hanging="1361"/>
        <w:jc w:val="both"/>
        <w:rPr>
          <w:rFonts w:eastAsia="標楷體"/>
        </w:rPr>
      </w:pPr>
      <w:r w:rsidRPr="00D55DC6">
        <w:rPr>
          <w:rFonts w:eastAsia="標楷體"/>
        </w:rPr>
        <w:lastRenderedPageBreak/>
        <w:t>財務收入分年規劃表（單位：千元）</w:t>
      </w:r>
    </w:p>
    <w:tbl>
      <w:tblPr>
        <w:tblW w:w="9864" w:type="dxa"/>
        <w:tblInd w:w="28" w:type="dxa"/>
        <w:tblLayout w:type="fixed"/>
        <w:tblCellMar>
          <w:left w:w="28" w:type="dxa"/>
          <w:right w:w="28" w:type="dxa"/>
        </w:tblCellMar>
        <w:tblLook w:val="04A0" w:firstRow="1" w:lastRow="0" w:firstColumn="1" w:lastColumn="0" w:noHBand="0" w:noVBand="1"/>
      </w:tblPr>
      <w:tblGrid>
        <w:gridCol w:w="2552"/>
        <w:gridCol w:w="708"/>
        <w:gridCol w:w="709"/>
        <w:gridCol w:w="709"/>
        <w:gridCol w:w="709"/>
        <w:gridCol w:w="709"/>
        <w:gridCol w:w="708"/>
        <w:gridCol w:w="709"/>
        <w:gridCol w:w="788"/>
        <w:gridCol w:w="854"/>
        <w:gridCol w:w="709"/>
      </w:tblGrid>
      <w:tr w:rsidR="001D0350" w:rsidRPr="00D55DC6" w:rsidTr="00F47623">
        <w:trPr>
          <w:trHeight w:val="585"/>
        </w:trPr>
        <w:tc>
          <w:tcPr>
            <w:tcW w:w="2552" w:type="dxa"/>
            <w:tcBorders>
              <w:top w:val="single" w:sz="4" w:space="0" w:color="auto"/>
              <w:left w:val="single" w:sz="4" w:space="0" w:color="auto"/>
              <w:bottom w:val="double" w:sz="6" w:space="0" w:color="auto"/>
              <w:right w:val="single" w:sz="4" w:space="0" w:color="auto"/>
            </w:tcBorders>
            <w:shd w:val="clear" w:color="000000" w:fill="FFCC00"/>
            <w:vAlign w:val="center"/>
          </w:tcPr>
          <w:p w:rsidR="00F47623" w:rsidRPr="00D55DC6" w:rsidRDefault="00F47623" w:rsidP="0038165F">
            <w:pPr>
              <w:widowControl/>
              <w:spacing w:line="0" w:lineRule="atLeast"/>
              <w:rPr>
                <w:rFonts w:eastAsia="標楷體"/>
                <w:kern w:val="0"/>
                <w:sz w:val="20"/>
                <w:szCs w:val="20"/>
              </w:rPr>
            </w:pPr>
            <w:r w:rsidRPr="00D55DC6">
              <w:rPr>
                <w:rFonts w:eastAsia="標楷體"/>
                <w:kern w:val="0"/>
                <w:sz w:val="22"/>
                <w:szCs w:val="20"/>
              </w:rPr>
              <w:t>年度收益項目</w:t>
            </w:r>
          </w:p>
        </w:tc>
        <w:tc>
          <w:tcPr>
            <w:tcW w:w="708" w:type="dxa"/>
            <w:tcBorders>
              <w:top w:val="single" w:sz="4" w:space="0" w:color="auto"/>
              <w:left w:val="nil"/>
              <w:bottom w:val="double" w:sz="6" w:space="0" w:color="auto"/>
              <w:right w:val="single" w:sz="4" w:space="0" w:color="auto"/>
            </w:tcBorders>
            <w:shd w:val="clear" w:color="000000" w:fill="FFCC00"/>
            <w:noWrap/>
            <w:vAlign w:val="center"/>
          </w:tcPr>
          <w:p w:rsidR="00F47623" w:rsidRPr="00D55DC6" w:rsidRDefault="00F47623" w:rsidP="0038165F">
            <w:pPr>
              <w:widowControl/>
              <w:spacing w:line="0" w:lineRule="atLeast"/>
              <w:jc w:val="center"/>
              <w:rPr>
                <w:rFonts w:eastAsia="標楷體"/>
                <w:kern w:val="0"/>
                <w:sz w:val="20"/>
                <w:szCs w:val="20"/>
              </w:rPr>
            </w:pPr>
            <w:r w:rsidRPr="00D55DC6">
              <w:rPr>
                <w:rFonts w:eastAsia="標楷體"/>
                <w:kern w:val="0"/>
                <w:sz w:val="20"/>
                <w:szCs w:val="20"/>
              </w:rPr>
              <w:t>103</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F47623" w:rsidRPr="00D55DC6" w:rsidRDefault="00F47623" w:rsidP="0038165F">
            <w:pPr>
              <w:widowControl/>
              <w:spacing w:line="0" w:lineRule="atLeast"/>
              <w:jc w:val="center"/>
              <w:rPr>
                <w:rFonts w:eastAsia="標楷體"/>
                <w:kern w:val="0"/>
                <w:sz w:val="20"/>
                <w:szCs w:val="20"/>
              </w:rPr>
            </w:pPr>
            <w:r w:rsidRPr="00D55DC6">
              <w:rPr>
                <w:rFonts w:eastAsia="標楷體"/>
                <w:kern w:val="0"/>
                <w:sz w:val="20"/>
                <w:szCs w:val="20"/>
              </w:rPr>
              <w:t>104</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F47623" w:rsidRPr="00D55DC6" w:rsidRDefault="00F47623" w:rsidP="0038165F">
            <w:pPr>
              <w:widowControl/>
              <w:spacing w:line="0" w:lineRule="atLeast"/>
              <w:jc w:val="center"/>
              <w:rPr>
                <w:rFonts w:eastAsia="標楷體"/>
                <w:kern w:val="0"/>
                <w:sz w:val="20"/>
                <w:szCs w:val="20"/>
              </w:rPr>
            </w:pPr>
            <w:r w:rsidRPr="00D55DC6">
              <w:rPr>
                <w:rFonts w:eastAsia="標楷體"/>
                <w:kern w:val="0"/>
                <w:sz w:val="20"/>
                <w:szCs w:val="20"/>
              </w:rPr>
              <w:t>105</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F47623" w:rsidRPr="00D55DC6" w:rsidRDefault="00F47623" w:rsidP="0038165F">
            <w:pPr>
              <w:widowControl/>
              <w:spacing w:line="0" w:lineRule="atLeast"/>
              <w:jc w:val="center"/>
              <w:rPr>
                <w:rFonts w:eastAsia="標楷體"/>
                <w:kern w:val="0"/>
                <w:sz w:val="20"/>
                <w:szCs w:val="20"/>
              </w:rPr>
            </w:pPr>
            <w:r w:rsidRPr="00D55DC6">
              <w:rPr>
                <w:rFonts w:eastAsia="標楷體"/>
                <w:kern w:val="0"/>
                <w:sz w:val="20"/>
                <w:szCs w:val="20"/>
              </w:rPr>
              <w:t>106</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F47623" w:rsidRPr="00D55DC6" w:rsidRDefault="00F47623" w:rsidP="0038165F">
            <w:pPr>
              <w:widowControl/>
              <w:spacing w:line="0" w:lineRule="atLeast"/>
              <w:jc w:val="center"/>
              <w:rPr>
                <w:rFonts w:eastAsia="標楷體"/>
                <w:kern w:val="0"/>
                <w:sz w:val="20"/>
                <w:szCs w:val="20"/>
              </w:rPr>
            </w:pPr>
            <w:r w:rsidRPr="00D55DC6">
              <w:rPr>
                <w:rFonts w:eastAsia="標楷體"/>
                <w:kern w:val="0"/>
                <w:sz w:val="20"/>
                <w:szCs w:val="20"/>
              </w:rPr>
              <w:t>107</w:t>
            </w:r>
          </w:p>
        </w:tc>
        <w:tc>
          <w:tcPr>
            <w:tcW w:w="708" w:type="dxa"/>
            <w:tcBorders>
              <w:top w:val="single" w:sz="4" w:space="0" w:color="auto"/>
              <w:left w:val="nil"/>
              <w:bottom w:val="double" w:sz="6" w:space="0" w:color="auto"/>
              <w:right w:val="single" w:sz="4" w:space="0" w:color="auto"/>
            </w:tcBorders>
            <w:shd w:val="clear" w:color="000000" w:fill="FFCC00"/>
            <w:noWrap/>
            <w:vAlign w:val="center"/>
          </w:tcPr>
          <w:p w:rsidR="00F47623" w:rsidRPr="00D55DC6" w:rsidRDefault="00F47623" w:rsidP="0038165F">
            <w:pPr>
              <w:widowControl/>
              <w:spacing w:line="0" w:lineRule="atLeast"/>
              <w:jc w:val="center"/>
              <w:rPr>
                <w:rFonts w:eastAsia="標楷體"/>
                <w:kern w:val="0"/>
                <w:sz w:val="20"/>
                <w:szCs w:val="20"/>
              </w:rPr>
            </w:pPr>
            <w:r w:rsidRPr="00D55DC6">
              <w:rPr>
                <w:rFonts w:eastAsia="標楷體"/>
                <w:kern w:val="0"/>
                <w:sz w:val="20"/>
                <w:szCs w:val="20"/>
              </w:rPr>
              <w:t>108</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F47623" w:rsidRPr="00D55DC6" w:rsidRDefault="00F47623" w:rsidP="0038165F">
            <w:pPr>
              <w:widowControl/>
              <w:spacing w:line="0" w:lineRule="atLeast"/>
              <w:jc w:val="center"/>
              <w:rPr>
                <w:rFonts w:eastAsia="標楷體"/>
                <w:kern w:val="0"/>
                <w:sz w:val="20"/>
                <w:szCs w:val="20"/>
              </w:rPr>
            </w:pPr>
            <w:r w:rsidRPr="00D55DC6">
              <w:rPr>
                <w:rFonts w:eastAsia="標楷體"/>
                <w:kern w:val="0"/>
                <w:sz w:val="20"/>
                <w:szCs w:val="20"/>
              </w:rPr>
              <w:t>109</w:t>
            </w:r>
          </w:p>
        </w:tc>
        <w:tc>
          <w:tcPr>
            <w:tcW w:w="788" w:type="dxa"/>
            <w:tcBorders>
              <w:top w:val="single" w:sz="4" w:space="0" w:color="auto"/>
              <w:left w:val="nil"/>
              <w:bottom w:val="double" w:sz="6" w:space="0" w:color="auto"/>
              <w:right w:val="single" w:sz="4" w:space="0" w:color="auto"/>
            </w:tcBorders>
            <w:shd w:val="clear" w:color="000000" w:fill="FFCC00"/>
            <w:noWrap/>
            <w:vAlign w:val="center"/>
          </w:tcPr>
          <w:p w:rsidR="00F47623" w:rsidRPr="00D55DC6" w:rsidRDefault="00F47623" w:rsidP="0038165F">
            <w:pPr>
              <w:widowControl/>
              <w:spacing w:line="0" w:lineRule="atLeast"/>
              <w:jc w:val="center"/>
              <w:rPr>
                <w:rFonts w:eastAsia="標楷體"/>
                <w:kern w:val="0"/>
                <w:sz w:val="20"/>
                <w:szCs w:val="20"/>
              </w:rPr>
            </w:pPr>
            <w:r w:rsidRPr="00D55DC6">
              <w:rPr>
                <w:rFonts w:eastAsia="標楷體"/>
                <w:kern w:val="0"/>
                <w:sz w:val="20"/>
                <w:szCs w:val="20"/>
              </w:rPr>
              <w:t>110</w:t>
            </w:r>
          </w:p>
        </w:tc>
        <w:tc>
          <w:tcPr>
            <w:tcW w:w="854" w:type="dxa"/>
            <w:tcBorders>
              <w:top w:val="single" w:sz="4" w:space="0" w:color="auto"/>
              <w:left w:val="nil"/>
              <w:bottom w:val="double" w:sz="6" w:space="0" w:color="auto"/>
              <w:right w:val="single" w:sz="4" w:space="0" w:color="auto"/>
            </w:tcBorders>
            <w:shd w:val="clear" w:color="000000" w:fill="FFCC00"/>
            <w:noWrap/>
            <w:vAlign w:val="center"/>
          </w:tcPr>
          <w:p w:rsidR="00F47623" w:rsidRPr="00D55DC6" w:rsidRDefault="00F47623" w:rsidP="0038165F">
            <w:pPr>
              <w:widowControl/>
              <w:spacing w:line="0" w:lineRule="atLeast"/>
              <w:jc w:val="center"/>
              <w:rPr>
                <w:rFonts w:eastAsia="標楷體"/>
                <w:kern w:val="0"/>
                <w:sz w:val="20"/>
                <w:szCs w:val="20"/>
              </w:rPr>
            </w:pPr>
            <w:r w:rsidRPr="00D55DC6">
              <w:rPr>
                <w:rFonts w:eastAsia="標楷體"/>
                <w:kern w:val="0"/>
                <w:sz w:val="20"/>
                <w:szCs w:val="20"/>
              </w:rPr>
              <w:t>111</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F47623" w:rsidRPr="00D55DC6" w:rsidRDefault="00F47623" w:rsidP="0038165F">
            <w:pPr>
              <w:widowControl/>
              <w:spacing w:line="0" w:lineRule="atLeast"/>
              <w:jc w:val="center"/>
              <w:rPr>
                <w:rFonts w:eastAsia="標楷體"/>
                <w:kern w:val="0"/>
                <w:sz w:val="20"/>
                <w:szCs w:val="20"/>
              </w:rPr>
            </w:pPr>
            <w:r w:rsidRPr="00D55DC6">
              <w:rPr>
                <w:rFonts w:eastAsia="標楷體"/>
                <w:kern w:val="0"/>
                <w:sz w:val="20"/>
                <w:szCs w:val="20"/>
              </w:rPr>
              <w:t>112</w:t>
            </w:r>
          </w:p>
        </w:tc>
      </w:tr>
      <w:tr w:rsidR="001D0350" w:rsidRPr="00D55DC6" w:rsidTr="00F47623">
        <w:trPr>
          <w:trHeight w:val="345"/>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F47623" w:rsidRPr="00D55DC6" w:rsidRDefault="00F47623" w:rsidP="0038165F">
            <w:pPr>
              <w:widowControl/>
              <w:spacing w:line="0" w:lineRule="atLeast"/>
              <w:rPr>
                <w:rFonts w:eastAsia="標楷體"/>
                <w:kern w:val="0"/>
                <w:sz w:val="20"/>
                <w:szCs w:val="20"/>
              </w:rPr>
            </w:pPr>
            <w:r w:rsidRPr="00D55DC6">
              <w:rPr>
                <w:rFonts w:eastAsia="標楷體"/>
                <w:kern w:val="0"/>
                <w:sz w:val="20"/>
                <w:szCs w:val="20"/>
              </w:rPr>
              <w:t>一、擴大出租據點收益</w:t>
            </w:r>
          </w:p>
        </w:tc>
        <w:tc>
          <w:tcPr>
            <w:tcW w:w="708"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 xml:space="preserve">2,791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 xml:space="preserve">2,812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 xml:space="preserve">2,186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 xml:space="preserve">2,027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 xml:space="preserve">2,027 </w:t>
            </w:r>
          </w:p>
        </w:tc>
        <w:tc>
          <w:tcPr>
            <w:tcW w:w="708"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 xml:space="preserve">2,149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 xml:space="preserve">2,149 </w:t>
            </w:r>
          </w:p>
        </w:tc>
        <w:tc>
          <w:tcPr>
            <w:tcW w:w="788"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 xml:space="preserve">2,149 </w:t>
            </w:r>
          </w:p>
        </w:tc>
        <w:tc>
          <w:tcPr>
            <w:tcW w:w="854"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 xml:space="preserve">2,278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 xml:space="preserve">2,278 </w:t>
            </w:r>
          </w:p>
        </w:tc>
      </w:tr>
      <w:tr w:rsidR="001D0350" w:rsidRPr="00D55DC6" w:rsidTr="00F47623">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F47623" w:rsidRPr="00D55DC6" w:rsidRDefault="00F47623" w:rsidP="0038165F">
            <w:pPr>
              <w:widowControl/>
              <w:spacing w:line="0" w:lineRule="atLeast"/>
              <w:rPr>
                <w:rFonts w:eastAsia="標楷體"/>
                <w:kern w:val="0"/>
                <w:sz w:val="20"/>
                <w:szCs w:val="20"/>
              </w:rPr>
            </w:pPr>
            <w:r w:rsidRPr="00D55DC6">
              <w:rPr>
                <w:rFonts w:eastAsia="標楷體"/>
                <w:kern w:val="0"/>
                <w:sz w:val="20"/>
                <w:szCs w:val="20"/>
              </w:rPr>
              <w:t>二、新設據點收益</w:t>
            </w:r>
          </w:p>
        </w:tc>
        <w:tc>
          <w:tcPr>
            <w:tcW w:w="708"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0"/>
                <w:szCs w:val="20"/>
              </w:rPr>
            </w:pPr>
            <w:r w:rsidRPr="00D55DC6">
              <w:rPr>
                <w:sz w:val="20"/>
                <w:szCs w:val="20"/>
              </w:rPr>
              <w:t xml:space="preserve">3,974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0"/>
                <w:szCs w:val="20"/>
              </w:rPr>
            </w:pPr>
            <w:r w:rsidRPr="00D55DC6">
              <w:rPr>
                <w:sz w:val="20"/>
                <w:szCs w:val="20"/>
              </w:rPr>
              <w:t xml:space="preserve">5,588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0"/>
                <w:szCs w:val="20"/>
              </w:rPr>
            </w:pPr>
            <w:r w:rsidRPr="00D55DC6">
              <w:rPr>
                <w:sz w:val="20"/>
                <w:szCs w:val="20"/>
              </w:rPr>
              <w:t xml:space="preserve">10,803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0"/>
                <w:szCs w:val="20"/>
              </w:rPr>
            </w:pPr>
            <w:r w:rsidRPr="00D55DC6">
              <w:rPr>
                <w:sz w:val="20"/>
                <w:szCs w:val="20"/>
              </w:rPr>
              <w:t xml:space="preserve">17,974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0"/>
                <w:szCs w:val="20"/>
              </w:rPr>
            </w:pPr>
            <w:r w:rsidRPr="00D55DC6">
              <w:rPr>
                <w:sz w:val="20"/>
                <w:szCs w:val="20"/>
              </w:rPr>
              <w:t xml:space="preserve">18,898 </w:t>
            </w:r>
          </w:p>
        </w:tc>
        <w:tc>
          <w:tcPr>
            <w:tcW w:w="708"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0"/>
                <w:szCs w:val="20"/>
              </w:rPr>
            </w:pPr>
            <w:r w:rsidRPr="00D55DC6">
              <w:rPr>
                <w:sz w:val="20"/>
                <w:szCs w:val="20"/>
              </w:rPr>
              <w:t xml:space="preserve">29,307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0"/>
                <w:szCs w:val="20"/>
              </w:rPr>
            </w:pPr>
            <w:r w:rsidRPr="00D55DC6">
              <w:rPr>
                <w:sz w:val="20"/>
                <w:szCs w:val="20"/>
              </w:rPr>
              <w:t xml:space="preserve">30,081 </w:t>
            </w:r>
          </w:p>
        </w:tc>
        <w:tc>
          <w:tcPr>
            <w:tcW w:w="788"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0"/>
                <w:szCs w:val="20"/>
              </w:rPr>
            </w:pPr>
            <w:r w:rsidRPr="00D55DC6">
              <w:rPr>
                <w:sz w:val="20"/>
                <w:szCs w:val="20"/>
              </w:rPr>
              <w:t xml:space="preserve">109,386 </w:t>
            </w:r>
          </w:p>
        </w:tc>
        <w:tc>
          <w:tcPr>
            <w:tcW w:w="854"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0"/>
                <w:szCs w:val="20"/>
              </w:rPr>
            </w:pPr>
            <w:r w:rsidRPr="00D55DC6">
              <w:rPr>
                <w:sz w:val="20"/>
                <w:szCs w:val="20"/>
              </w:rPr>
              <w:t xml:space="preserve">110,918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0"/>
                <w:szCs w:val="20"/>
              </w:rPr>
            </w:pPr>
            <w:r w:rsidRPr="00D55DC6">
              <w:rPr>
                <w:sz w:val="20"/>
                <w:szCs w:val="20"/>
              </w:rPr>
              <w:t xml:space="preserve">80,467 </w:t>
            </w:r>
          </w:p>
        </w:tc>
      </w:tr>
      <w:tr w:rsidR="001D0350" w:rsidRPr="00D55DC6" w:rsidTr="00F47623">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F47623" w:rsidRPr="00D55DC6" w:rsidRDefault="00F47623" w:rsidP="0038165F">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北門舊鹽工宿舍</w:t>
            </w:r>
            <w:r w:rsidRPr="00D55DC6">
              <w:rPr>
                <w:rFonts w:eastAsia="標楷體"/>
                <w:kern w:val="0"/>
                <w:sz w:val="20"/>
                <w:szCs w:val="20"/>
              </w:rPr>
              <w:t>BOT</w:t>
            </w:r>
            <w:r w:rsidRPr="00D55DC6">
              <w:rPr>
                <w:rFonts w:eastAsia="標楷體"/>
                <w:kern w:val="0"/>
                <w:sz w:val="20"/>
                <w:szCs w:val="20"/>
              </w:rPr>
              <w:t>案</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center"/>
              <w:rPr>
                <w:sz w:val="20"/>
                <w:szCs w:val="20"/>
              </w:rP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1,614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1,615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1,041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1,157 </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1,279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1,297 </w:t>
            </w:r>
          </w:p>
        </w:tc>
        <w:tc>
          <w:tcPr>
            <w:tcW w:w="78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1,316 </w:t>
            </w:r>
          </w:p>
        </w:tc>
        <w:tc>
          <w:tcPr>
            <w:tcW w:w="854"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1,338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1,357 </w:t>
            </w:r>
          </w:p>
        </w:tc>
      </w:tr>
      <w:tr w:rsidR="001D0350" w:rsidRPr="00D55DC6" w:rsidTr="00F47623">
        <w:trPr>
          <w:trHeight w:val="330"/>
        </w:trPr>
        <w:tc>
          <w:tcPr>
            <w:tcW w:w="2552" w:type="dxa"/>
            <w:tcBorders>
              <w:top w:val="nil"/>
              <w:left w:val="single" w:sz="4" w:space="0" w:color="auto"/>
              <w:bottom w:val="single" w:sz="4" w:space="0" w:color="auto"/>
              <w:right w:val="single" w:sz="4" w:space="0" w:color="auto"/>
            </w:tcBorders>
            <w:shd w:val="clear" w:color="000000" w:fill="D9D9D9"/>
          </w:tcPr>
          <w:p w:rsidR="00F47623" w:rsidRPr="00D55DC6" w:rsidRDefault="00F47623" w:rsidP="0038165F">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馬沙溝濱海遊憩區</w:t>
            </w:r>
            <w:r w:rsidRPr="00D55DC6">
              <w:rPr>
                <w:rFonts w:eastAsia="標楷體"/>
                <w:kern w:val="0"/>
                <w:sz w:val="20"/>
                <w:szCs w:val="20"/>
              </w:rPr>
              <w:t xml:space="preserve">   </w:t>
            </w:r>
          </w:p>
          <w:p w:rsidR="00F47623" w:rsidRPr="00D55DC6" w:rsidRDefault="00F47623" w:rsidP="0038165F">
            <w:pPr>
              <w:widowControl/>
              <w:spacing w:line="0" w:lineRule="atLeast"/>
              <w:rPr>
                <w:rFonts w:eastAsia="標楷體"/>
                <w:kern w:val="0"/>
                <w:sz w:val="20"/>
                <w:szCs w:val="20"/>
              </w:rPr>
            </w:pPr>
            <w:r w:rsidRPr="00D55DC6">
              <w:rPr>
                <w:rFonts w:eastAsia="標楷體"/>
                <w:kern w:val="0"/>
                <w:sz w:val="20"/>
                <w:szCs w:val="20"/>
              </w:rPr>
              <w:t xml:space="preserve">   OT+BOT</w:t>
            </w:r>
            <w:r w:rsidRPr="00D55DC6">
              <w:rPr>
                <w:rFonts w:eastAsia="標楷體"/>
                <w:kern w:val="0"/>
                <w:sz w:val="20"/>
                <w:szCs w:val="20"/>
              </w:rPr>
              <w:t>案</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center"/>
              <w:rPr>
                <w:sz w:val="20"/>
                <w:szCs w:val="20"/>
              </w:rP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center"/>
              <w:rPr>
                <w:sz w:val="20"/>
                <w:szCs w:val="20"/>
              </w:rP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6,486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6,486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6,115 </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6,735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7,362 </w:t>
            </w:r>
          </w:p>
        </w:tc>
        <w:tc>
          <w:tcPr>
            <w:tcW w:w="78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7,470 </w:t>
            </w:r>
          </w:p>
        </w:tc>
        <w:tc>
          <w:tcPr>
            <w:tcW w:w="854"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7,590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7,701 </w:t>
            </w:r>
          </w:p>
        </w:tc>
      </w:tr>
      <w:tr w:rsidR="001D0350" w:rsidRPr="00D55DC6" w:rsidTr="00F47623">
        <w:trPr>
          <w:trHeight w:val="330"/>
        </w:trPr>
        <w:tc>
          <w:tcPr>
            <w:tcW w:w="2552" w:type="dxa"/>
            <w:tcBorders>
              <w:top w:val="nil"/>
              <w:left w:val="single" w:sz="4" w:space="0" w:color="auto"/>
              <w:bottom w:val="single" w:sz="4" w:space="0" w:color="auto"/>
              <w:right w:val="single" w:sz="4" w:space="0" w:color="auto"/>
            </w:tcBorders>
            <w:shd w:val="clear" w:color="000000" w:fill="D9D9D9"/>
            <w:vAlign w:val="center"/>
          </w:tcPr>
          <w:p w:rsidR="00F47623" w:rsidRPr="00D55DC6" w:rsidRDefault="00F47623" w:rsidP="0038165F">
            <w:pPr>
              <w:widowControl/>
              <w:spacing w:line="0" w:lineRule="atLeast"/>
              <w:jc w:val="both"/>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布袋遊客中心</w:t>
            </w:r>
            <w:r w:rsidRPr="00D55DC6">
              <w:rPr>
                <w:rFonts w:eastAsia="標楷體"/>
                <w:kern w:val="0"/>
                <w:sz w:val="20"/>
                <w:szCs w:val="20"/>
              </w:rPr>
              <w:t>ROT</w:t>
            </w:r>
            <w:r w:rsidRPr="00D55DC6">
              <w:rPr>
                <w:rFonts w:eastAsia="標楷體"/>
                <w:kern w:val="0"/>
                <w:sz w:val="20"/>
                <w:szCs w:val="20"/>
              </w:rPr>
              <w:t>案</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3,974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3,974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1,657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1,668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1,679 </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1,746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1,757 </w:t>
            </w:r>
          </w:p>
        </w:tc>
        <w:tc>
          <w:tcPr>
            <w:tcW w:w="78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1,769 </w:t>
            </w:r>
          </w:p>
        </w:tc>
        <w:tc>
          <w:tcPr>
            <w:tcW w:w="854"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1,840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1,852 </w:t>
            </w:r>
          </w:p>
        </w:tc>
      </w:tr>
      <w:tr w:rsidR="001D0350" w:rsidRPr="00D55DC6" w:rsidTr="00F47623">
        <w:trPr>
          <w:trHeight w:val="330"/>
        </w:trPr>
        <w:tc>
          <w:tcPr>
            <w:tcW w:w="2552" w:type="dxa"/>
            <w:tcBorders>
              <w:top w:val="nil"/>
              <w:left w:val="single" w:sz="4" w:space="0" w:color="auto"/>
              <w:bottom w:val="single" w:sz="4" w:space="0" w:color="auto"/>
              <w:right w:val="single" w:sz="4" w:space="0" w:color="auto"/>
            </w:tcBorders>
            <w:shd w:val="clear" w:color="000000" w:fill="D9D9D9"/>
            <w:vAlign w:val="center"/>
          </w:tcPr>
          <w:p w:rsidR="00F47623" w:rsidRPr="00D55DC6" w:rsidRDefault="00F47623" w:rsidP="0038165F">
            <w:pPr>
              <w:widowControl/>
              <w:spacing w:line="0" w:lineRule="atLeast"/>
              <w:jc w:val="both"/>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井仔腳鹽田</w:t>
            </w:r>
            <w:r w:rsidRPr="00D55DC6">
              <w:rPr>
                <w:rFonts w:eastAsia="標楷體"/>
                <w:kern w:val="0"/>
                <w:sz w:val="20"/>
                <w:szCs w:val="20"/>
              </w:rPr>
              <w:t>BOT+OT</w:t>
            </w:r>
            <w:r w:rsidRPr="00D55DC6">
              <w:rPr>
                <w:rFonts w:eastAsia="標楷體"/>
                <w:kern w:val="0"/>
                <w:sz w:val="20"/>
                <w:szCs w:val="20"/>
              </w:rPr>
              <w:t>案</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center"/>
              <w:rPr>
                <w:sz w:val="20"/>
                <w:szCs w:val="20"/>
              </w:rP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center"/>
              <w:rPr>
                <w:sz w:val="20"/>
                <w:szCs w:val="20"/>
              </w:rP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center"/>
              <w:rPr>
                <w:sz w:val="20"/>
                <w:szCs w:val="20"/>
              </w:rP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7,719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7,719 </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6,110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6,198 </w:t>
            </w:r>
          </w:p>
        </w:tc>
        <w:tc>
          <w:tcPr>
            <w:tcW w:w="78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6,287 </w:t>
            </w:r>
          </w:p>
        </w:tc>
        <w:tc>
          <w:tcPr>
            <w:tcW w:w="854"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6,393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6,485 </w:t>
            </w:r>
          </w:p>
        </w:tc>
      </w:tr>
      <w:tr w:rsidR="001D0350" w:rsidRPr="00D55DC6" w:rsidTr="00F47623">
        <w:trPr>
          <w:trHeight w:val="330"/>
        </w:trPr>
        <w:tc>
          <w:tcPr>
            <w:tcW w:w="2552" w:type="dxa"/>
            <w:tcBorders>
              <w:top w:val="nil"/>
              <w:left w:val="single" w:sz="4" w:space="0" w:color="auto"/>
              <w:bottom w:val="single" w:sz="4" w:space="0" w:color="auto"/>
              <w:right w:val="single" w:sz="4" w:space="0" w:color="auto"/>
            </w:tcBorders>
            <w:shd w:val="clear" w:color="000000" w:fill="D9D9D9"/>
            <w:vAlign w:val="center"/>
          </w:tcPr>
          <w:p w:rsidR="00F47623" w:rsidRPr="00D55DC6" w:rsidRDefault="00F47623" w:rsidP="0038165F">
            <w:pPr>
              <w:widowControl/>
              <w:spacing w:line="0" w:lineRule="atLeast"/>
              <w:jc w:val="both"/>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七股遊客中心</w:t>
            </w:r>
            <w:r w:rsidRPr="00D55DC6">
              <w:rPr>
                <w:rFonts w:eastAsia="標楷體"/>
                <w:kern w:val="0"/>
                <w:sz w:val="20"/>
                <w:szCs w:val="20"/>
              </w:rPr>
              <w:t>OT</w:t>
            </w:r>
            <w:r w:rsidRPr="00D55DC6">
              <w:rPr>
                <w:rFonts w:eastAsia="標楷體"/>
                <w:kern w:val="0"/>
                <w:sz w:val="20"/>
                <w:szCs w:val="20"/>
              </w:rPr>
              <w:t>案</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center"/>
              <w:rPr>
                <w:sz w:val="20"/>
                <w:szCs w:val="20"/>
              </w:rP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center"/>
              <w:rPr>
                <w:sz w:val="20"/>
                <w:szCs w:val="20"/>
              </w:rP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1,046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1,061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1,076 </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1,094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1,110 </w:t>
            </w:r>
          </w:p>
        </w:tc>
        <w:tc>
          <w:tcPr>
            <w:tcW w:w="78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1,126 </w:t>
            </w:r>
          </w:p>
        </w:tc>
        <w:tc>
          <w:tcPr>
            <w:tcW w:w="854"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1,144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1,161 </w:t>
            </w:r>
          </w:p>
        </w:tc>
      </w:tr>
      <w:tr w:rsidR="001D0350" w:rsidRPr="00D55DC6" w:rsidTr="00F47623">
        <w:trPr>
          <w:trHeight w:val="330"/>
        </w:trPr>
        <w:tc>
          <w:tcPr>
            <w:tcW w:w="2552" w:type="dxa"/>
            <w:tcBorders>
              <w:top w:val="nil"/>
              <w:left w:val="single" w:sz="4" w:space="0" w:color="auto"/>
              <w:bottom w:val="single" w:sz="4" w:space="0" w:color="auto"/>
              <w:right w:val="single" w:sz="4" w:space="0" w:color="auto"/>
            </w:tcBorders>
            <w:shd w:val="clear" w:color="000000" w:fill="D9D9D9"/>
          </w:tcPr>
          <w:p w:rsidR="00F47623" w:rsidRPr="00D55DC6" w:rsidRDefault="00F47623" w:rsidP="0038165F">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其他項目</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widowControl/>
              <w:spacing w:line="0" w:lineRule="atLeast"/>
              <w:jc w:val="center"/>
              <w:rPr>
                <w:rFonts w:eastAsia="標楷體"/>
                <w:kern w:val="0"/>
                <w:sz w:val="20"/>
                <w:szCs w:val="20"/>
              </w:rP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widowControl/>
              <w:spacing w:line="0" w:lineRule="atLeast"/>
              <w:jc w:val="center"/>
              <w:rPr>
                <w:rFonts w:eastAsia="標楷體"/>
                <w:kern w:val="0"/>
                <w:sz w:val="20"/>
                <w:szCs w:val="20"/>
              </w:rP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widowControl/>
              <w:spacing w:line="0" w:lineRule="atLeast"/>
              <w:jc w:val="center"/>
              <w:rPr>
                <w:rFonts w:eastAsia="標楷體"/>
                <w:kern w:val="0"/>
                <w:sz w:val="20"/>
                <w:szCs w:val="20"/>
              </w:rP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widowControl/>
              <w:spacing w:line="0" w:lineRule="atLeast"/>
              <w:jc w:val="center"/>
              <w:rPr>
                <w:rFonts w:eastAsia="標楷體"/>
                <w:kern w:val="0"/>
                <w:sz w:val="20"/>
                <w:szCs w:val="20"/>
              </w:rP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1,152</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12,344</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12,357</w:t>
            </w:r>
          </w:p>
        </w:tc>
        <w:tc>
          <w:tcPr>
            <w:tcW w:w="78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 xml:space="preserve">91,420 </w:t>
            </w:r>
          </w:p>
        </w:tc>
        <w:tc>
          <w:tcPr>
            <w:tcW w:w="854"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 xml:space="preserve">92,614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 xml:space="preserve">61,913 </w:t>
            </w:r>
          </w:p>
        </w:tc>
      </w:tr>
      <w:tr w:rsidR="001D0350" w:rsidRPr="00D55DC6" w:rsidTr="00F47623">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F47623" w:rsidRPr="00D55DC6" w:rsidRDefault="00F47623" w:rsidP="0038165F">
            <w:pPr>
              <w:widowControl/>
              <w:spacing w:line="0" w:lineRule="atLeast"/>
              <w:rPr>
                <w:rFonts w:eastAsia="標楷體"/>
                <w:kern w:val="0"/>
                <w:sz w:val="20"/>
                <w:szCs w:val="20"/>
              </w:rPr>
            </w:pPr>
            <w:r w:rsidRPr="00D55DC6">
              <w:rPr>
                <w:rFonts w:eastAsia="標楷體"/>
                <w:kern w:val="0"/>
                <w:sz w:val="20"/>
                <w:szCs w:val="20"/>
              </w:rPr>
              <w:t>三、規劃新增收益計畫</w:t>
            </w:r>
          </w:p>
        </w:tc>
        <w:tc>
          <w:tcPr>
            <w:tcW w:w="708" w:type="dxa"/>
            <w:tcBorders>
              <w:top w:val="nil"/>
              <w:left w:val="nil"/>
              <w:bottom w:val="single" w:sz="4" w:space="0" w:color="auto"/>
              <w:right w:val="single" w:sz="4" w:space="0" w:color="auto"/>
            </w:tcBorders>
            <w:shd w:val="clear" w:color="000000" w:fill="DAEEF3"/>
            <w:noWrap/>
          </w:tcPr>
          <w:p w:rsidR="00F47623" w:rsidRPr="00D55DC6" w:rsidRDefault="00F47623" w:rsidP="0038165F">
            <w:pPr>
              <w:spacing w:line="0" w:lineRule="atLeast"/>
              <w:jc w:val="center"/>
            </w:pPr>
            <w:r w:rsidRPr="00D55DC6">
              <w:rPr>
                <w:sz w:val="20"/>
                <w:szCs w:val="20"/>
              </w:rPr>
              <w:t>-</w:t>
            </w:r>
          </w:p>
        </w:tc>
        <w:tc>
          <w:tcPr>
            <w:tcW w:w="709" w:type="dxa"/>
            <w:tcBorders>
              <w:top w:val="nil"/>
              <w:left w:val="nil"/>
              <w:bottom w:val="single" w:sz="4" w:space="0" w:color="auto"/>
              <w:right w:val="single" w:sz="4" w:space="0" w:color="auto"/>
            </w:tcBorders>
            <w:shd w:val="clear" w:color="000000" w:fill="DAEEF3"/>
            <w:noWrap/>
          </w:tcPr>
          <w:p w:rsidR="00F47623" w:rsidRPr="00D55DC6" w:rsidRDefault="00F47623" w:rsidP="0038165F">
            <w:pPr>
              <w:spacing w:line="0" w:lineRule="atLeast"/>
              <w:jc w:val="center"/>
            </w:pPr>
            <w:r w:rsidRPr="00D55DC6">
              <w:rPr>
                <w:sz w:val="20"/>
                <w:szCs w:val="20"/>
              </w:rPr>
              <w:t>-</w:t>
            </w:r>
          </w:p>
        </w:tc>
        <w:tc>
          <w:tcPr>
            <w:tcW w:w="709" w:type="dxa"/>
            <w:tcBorders>
              <w:top w:val="nil"/>
              <w:left w:val="nil"/>
              <w:bottom w:val="single" w:sz="4" w:space="0" w:color="auto"/>
              <w:right w:val="single" w:sz="4" w:space="0" w:color="auto"/>
            </w:tcBorders>
            <w:shd w:val="clear" w:color="000000" w:fill="DAEEF3"/>
            <w:noWrap/>
          </w:tcPr>
          <w:p w:rsidR="00F47623" w:rsidRPr="00D55DC6" w:rsidRDefault="00F47623" w:rsidP="0038165F">
            <w:pPr>
              <w:spacing w:line="0" w:lineRule="atLeast"/>
              <w:jc w:val="center"/>
            </w:pPr>
            <w:r w:rsidRPr="00D55DC6">
              <w:rPr>
                <w:sz w:val="20"/>
                <w:szCs w:val="20"/>
              </w:rPr>
              <w:t>-</w:t>
            </w:r>
          </w:p>
        </w:tc>
        <w:tc>
          <w:tcPr>
            <w:tcW w:w="709" w:type="dxa"/>
            <w:tcBorders>
              <w:top w:val="nil"/>
              <w:left w:val="nil"/>
              <w:bottom w:val="single" w:sz="4" w:space="0" w:color="auto"/>
              <w:right w:val="single" w:sz="4" w:space="0" w:color="auto"/>
            </w:tcBorders>
            <w:shd w:val="clear" w:color="000000" w:fill="DAEEF3"/>
            <w:noWrap/>
          </w:tcPr>
          <w:p w:rsidR="00F47623" w:rsidRPr="00D55DC6" w:rsidRDefault="00F47623" w:rsidP="0038165F">
            <w:pPr>
              <w:spacing w:line="0" w:lineRule="atLeast"/>
              <w:jc w:val="center"/>
            </w:pPr>
            <w:r w:rsidRPr="00D55DC6">
              <w:rPr>
                <w:sz w:val="20"/>
                <w:szCs w:val="20"/>
              </w:rPr>
              <w:t>-</w:t>
            </w:r>
          </w:p>
        </w:tc>
        <w:tc>
          <w:tcPr>
            <w:tcW w:w="709" w:type="dxa"/>
            <w:tcBorders>
              <w:top w:val="nil"/>
              <w:left w:val="nil"/>
              <w:bottom w:val="single" w:sz="4" w:space="0" w:color="auto"/>
              <w:right w:val="single" w:sz="4" w:space="0" w:color="auto"/>
            </w:tcBorders>
            <w:shd w:val="clear" w:color="000000" w:fill="DAEEF3"/>
            <w:noWrap/>
          </w:tcPr>
          <w:p w:rsidR="00F47623" w:rsidRPr="00D55DC6" w:rsidRDefault="00F47623" w:rsidP="0038165F">
            <w:pPr>
              <w:spacing w:line="0" w:lineRule="atLeast"/>
              <w:jc w:val="center"/>
            </w:pPr>
            <w:r w:rsidRPr="00D55DC6">
              <w:rPr>
                <w:sz w:val="20"/>
                <w:szCs w:val="20"/>
              </w:rPr>
              <w:t>-</w:t>
            </w:r>
          </w:p>
        </w:tc>
        <w:tc>
          <w:tcPr>
            <w:tcW w:w="708" w:type="dxa"/>
            <w:tcBorders>
              <w:top w:val="nil"/>
              <w:left w:val="nil"/>
              <w:bottom w:val="single" w:sz="4" w:space="0" w:color="auto"/>
              <w:right w:val="single" w:sz="4" w:space="0" w:color="auto"/>
            </w:tcBorders>
            <w:shd w:val="clear" w:color="000000" w:fill="DAEEF3"/>
            <w:noWrap/>
          </w:tcPr>
          <w:p w:rsidR="00F47623" w:rsidRPr="00D55DC6" w:rsidRDefault="00F47623" w:rsidP="0038165F">
            <w:pPr>
              <w:spacing w:line="0" w:lineRule="atLeast"/>
              <w:jc w:val="center"/>
            </w:pPr>
            <w:r w:rsidRPr="00D55DC6">
              <w:rPr>
                <w:sz w:val="20"/>
                <w:szCs w:val="20"/>
              </w:rPr>
              <w:t>-</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900</w:t>
            </w:r>
          </w:p>
        </w:tc>
        <w:tc>
          <w:tcPr>
            <w:tcW w:w="788"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1,034</w:t>
            </w:r>
          </w:p>
        </w:tc>
        <w:tc>
          <w:tcPr>
            <w:tcW w:w="854"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1,249</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1,468</w:t>
            </w:r>
          </w:p>
        </w:tc>
      </w:tr>
      <w:tr w:rsidR="001D0350" w:rsidRPr="00D55DC6" w:rsidTr="00F47623">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F47623" w:rsidRPr="00D55DC6" w:rsidRDefault="00F47623" w:rsidP="0038165F">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2"/>
                <w:szCs w:val="22"/>
              </w:rPr>
              <w:t>停車場委外經營收費</w:t>
            </w:r>
          </w:p>
        </w:tc>
        <w:tc>
          <w:tcPr>
            <w:tcW w:w="708" w:type="dxa"/>
            <w:tcBorders>
              <w:top w:val="nil"/>
              <w:left w:val="nil"/>
              <w:bottom w:val="single" w:sz="4" w:space="0" w:color="auto"/>
              <w:right w:val="single" w:sz="4" w:space="0" w:color="auto"/>
            </w:tcBorders>
            <w:shd w:val="clear" w:color="auto" w:fill="auto"/>
            <w:noWrap/>
          </w:tcPr>
          <w:p w:rsidR="00F47623" w:rsidRPr="00D55DC6" w:rsidRDefault="00F47623" w:rsidP="0038165F">
            <w:pPr>
              <w:spacing w:line="0" w:lineRule="atLeast"/>
              <w:jc w:val="cente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tcPr>
          <w:p w:rsidR="00F47623" w:rsidRPr="00D55DC6" w:rsidRDefault="00F47623" w:rsidP="0038165F">
            <w:pPr>
              <w:spacing w:line="0" w:lineRule="atLeast"/>
              <w:jc w:val="cente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tcPr>
          <w:p w:rsidR="00F47623" w:rsidRPr="00D55DC6" w:rsidRDefault="00F47623" w:rsidP="0038165F">
            <w:pPr>
              <w:spacing w:line="0" w:lineRule="atLeast"/>
              <w:jc w:val="cente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tcPr>
          <w:p w:rsidR="00F47623" w:rsidRPr="00D55DC6" w:rsidRDefault="00F47623" w:rsidP="0038165F">
            <w:pPr>
              <w:spacing w:line="0" w:lineRule="atLeast"/>
              <w:jc w:val="cente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tcPr>
          <w:p w:rsidR="00F47623" w:rsidRPr="00D55DC6" w:rsidRDefault="00F47623" w:rsidP="0038165F">
            <w:pPr>
              <w:spacing w:line="0" w:lineRule="atLeast"/>
              <w:jc w:val="center"/>
            </w:pPr>
            <w:r w:rsidRPr="00D55DC6">
              <w:rPr>
                <w:sz w:val="20"/>
                <w:szCs w:val="20"/>
              </w:rPr>
              <w:t>-</w:t>
            </w:r>
          </w:p>
        </w:tc>
        <w:tc>
          <w:tcPr>
            <w:tcW w:w="708" w:type="dxa"/>
            <w:tcBorders>
              <w:top w:val="nil"/>
              <w:left w:val="nil"/>
              <w:bottom w:val="single" w:sz="4" w:space="0" w:color="auto"/>
              <w:right w:val="single" w:sz="4" w:space="0" w:color="auto"/>
            </w:tcBorders>
            <w:shd w:val="clear" w:color="auto" w:fill="auto"/>
            <w:noWrap/>
          </w:tcPr>
          <w:p w:rsidR="00F47623" w:rsidRPr="00D55DC6" w:rsidRDefault="00F47623" w:rsidP="0038165F">
            <w:pPr>
              <w:spacing w:line="0" w:lineRule="atLeast"/>
              <w:jc w:val="cente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tcPr>
          <w:p w:rsidR="00F47623" w:rsidRPr="00D55DC6" w:rsidRDefault="00F47623" w:rsidP="0038165F">
            <w:pPr>
              <w:spacing w:line="0" w:lineRule="atLeast"/>
              <w:jc w:val="center"/>
            </w:pPr>
            <w:r w:rsidRPr="00D55DC6">
              <w:rPr>
                <w:sz w:val="20"/>
                <w:szCs w:val="20"/>
              </w:rPr>
              <w:t>-</w:t>
            </w:r>
          </w:p>
        </w:tc>
        <w:tc>
          <w:tcPr>
            <w:tcW w:w="78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120</w:t>
            </w:r>
          </w:p>
        </w:tc>
        <w:tc>
          <w:tcPr>
            <w:tcW w:w="854"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122</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124</w:t>
            </w:r>
          </w:p>
        </w:tc>
      </w:tr>
      <w:tr w:rsidR="001D0350" w:rsidRPr="00D55DC6" w:rsidTr="00F47623">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F47623" w:rsidRPr="00D55DC6" w:rsidRDefault="00F47623" w:rsidP="0038165F">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2"/>
                <w:szCs w:val="22"/>
              </w:rPr>
              <w:t>環境資源收益</w:t>
            </w:r>
          </w:p>
        </w:tc>
        <w:tc>
          <w:tcPr>
            <w:tcW w:w="708" w:type="dxa"/>
            <w:tcBorders>
              <w:top w:val="nil"/>
              <w:left w:val="nil"/>
              <w:bottom w:val="single" w:sz="4" w:space="0" w:color="auto"/>
              <w:right w:val="single" w:sz="4" w:space="0" w:color="auto"/>
            </w:tcBorders>
            <w:shd w:val="clear" w:color="auto" w:fill="auto"/>
            <w:noWrap/>
          </w:tcPr>
          <w:p w:rsidR="00F47623" w:rsidRPr="00D55DC6" w:rsidRDefault="00F47623" w:rsidP="0038165F">
            <w:pPr>
              <w:spacing w:line="0" w:lineRule="atLeast"/>
              <w:jc w:val="cente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tcPr>
          <w:p w:rsidR="00F47623" w:rsidRPr="00D55DC6" w:rsidRDefault="00F47623" w:rsidP="0038165F">
            <w:pPr>
              <w:spacing w:line="0" w:lineRule="atLeast"/>
              <w:jc w:val="cente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tcPr>
          <w:p w:rsidR="00F47623" w:rsidRPr="00D55DC6" w:rsidRDefault="00F47623" w:rsidP="0038165F">
            <w:pPr>
              <w:spacing w:line="0" w:lineRule="atLeast"/>
              <w:jc w:val="cente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tcPr>
          <w:p w:rsidR="00F47623" w:rsidRPr="00D55DC6" w:rsidRDefault="00F47623" w:rsidP="0038165F">
            <w:pPr>
              <w:spacing w:line="0" w:lineRule="atLeast"/>
              <w:jc w:val="cente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tcPr>
          <w:p w:rsidR="00F47623" w:rsidRPr="00D55DC6" w:rsidRDefault="00F47623" w:rsidP="0038165F">
            <w:pPr>
              <w:spacing w:line="0" w:lineRule="atLeast"/>
              <w:jc w:val="center"/>
            </w:pPr>
            <w:r w:rsidRPr="00D55DC6">
              <w:rPr>
                <w:sz w:val="20"/>
                <w:szCs w:val="20"/>
              </w:rPr>
              <w:t>-</w:t>
            </w:r>
          </w:p>
        </w:tc>
        <w:tc>
          <w:tcPr>
            <w:tcW w:w="708" w:type="dxa"/>
            <w:tcBorders>
              <w:top w:val="nil"/>
              <w:left w:val="nil"/>
              <w:bottom w:val="single" w:sz="4" w:space="0" w:color="auto"/>
              <w:right w:val="single" w:sz="4" w:space="0" w:color="auto"/>
            </w:tcBorders>
            <w:shd w:val="clear" w:color="auto" w:fill="auto"/>
            <w:noWrap/>
          </w:tcPr>
          <w:p w:rsidR="00F47623" w:rsidRPr="00D55DC6" w:rsidRDefault="00F47623" w:rsidP="0038165F">
            <w:pPr>
              <w:spacing w:line="0" w:lineRule="atLeast"/>
              <w:jc w:val="cente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tcPr>
          <w:p w:rsidR="00F47623" w:rsidRPr="00D55DC6" w:rsidRDefault="00F47623" w:rsidP="0038165F">
            <w:pPr>
              <w:spacing w:line="0" w:lineRule="atLeast"/>
              <w:jc w:val="center"/>
            </w:pPr>
            <w:r w:rsidRPr="00D55DC6">
              <w:rPr>
                <w:sz w:val="20"/>
                <w:szCs w:val="20"/>
              </w:rPr>
              <w:t>-</w:t>
            </w:r>
          </w:p>
        </w:tc>
        <w:tc>
          <w:tcPr>
            <w:tcW w:w="78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widowControl/>
              <w:spacing w:line="0" w:lineRule="atLeast"/>
              <w:jc w:val="center"/>
              <w:rPr>
                <w:rFonts w:eastAsia="標楷體"/>
                <w:kern w:val="0"/>
                <w:sz w:val="20"/>
                <w:szCs w:val="20"/>
              </w:rPr>
            </w:pPr>
            <w:r w:rsidRPr="00D55DC6">
              <w:rPr>
                <w:sz w:val="20"/>
                <w:szCs w:val="20"/>
              </w:rPr>
              <w:t>-</w:t>
            </w:r>
          </w:p>
        </w:tc>
        <w:tc>
          <w:tcPr>
            <w:tcW w:w="854"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200</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403</w:t>
            </w:r>
          </w:p>
        </w:tc>
      </w:tr>
      <w:tr w:rsidR="001D0350" w:rsidRPr="00D55DC6" w:rsidTr="00F47623">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F47623" w:rsidRPr="00D55DC6" w:rsidRDefault="00F47623" w:rsidP="0038165F">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2"/>
                <w:szCs w:val="22"/>
              </w:rPr>
              <w:t>船票收益</w:t>
            </w:r>
          </w:p>
        </w:tc>
        <w:tc>
          <w:tcPr>
            <w:tcW w:w="708" w:type="dxa"/>
            <w:tcBorders>
              <w:top w:val="nil"/>
              <w:left w:val="nil"/>
              <w:bottom w:val="single" w:sz="4" w:space="0" w:color="auto"/>
              <w:right w:val="single" w:sz="4" w:space="0" w:color="auto"/>
            </w:tcBorders>
            <w:shd w:val="clear" w:color="auto" w:fill="auto"/>
            <w:noWrap/>
          </w:tcPr>
          <w:p w:rsidR="00F47623" w:rsidRPr="00D55DC6" w:rsidRDefault="00F47623" w:rsidP="0038165F">
            <w:pPr>
              <w:spacing w:line="0" w:lineRule="atLeast"/>
              <w:jc w:val="cente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tcPr>
          <w:p w:rsidR="00F47623" w:rsidRPr="00D55DC6" w:rsidRDefault="00F47623" w:rsidP="0038165F">
            <w:pPr>
              <w:spacing w:line="0" w:lineRule="atLeast"/>
              <w:jc w:val="cente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tcPr>
          <w:p w:rsidR="00F47623" w:rsidRPr="00D55DC6" w:rsidRDefault="00F47623" w:rsidP="0038165F">
            <w:pPr>
              <w:spacing w:line="0" w:lineRule="atLeast"/>
              <w:jc w:val="cente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tcPr>
          <w:p w:rsidR="00F47623" w:rsidRPr="00D55DC6" w:rsidRDefault="00F47623" w:rsidP="0038165F">
            <w:pPr>
              <w:spacing w:line="0" w:lineRule="atLeast"/>
              <w:jc w:val="cente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tcPr>
          <w:p w:rsidR="00F47623" w:rsidRPr="00D55DC6" w:rsidRDefault="00F47623" w:rsidP="0038165F">
            <w:pPr>
              <w:spacing w:line="0" w:lineRule="atLeast"/>
              <w:jc w:val="center"/>
            </w:pPr>
            <w:r w:rsidRPr="00D55DC6">
              <w:rPr>
                <w:sz w:val="20"/>
                <w:szCs w:val="20"/>
              </w:rPr>
              <w:t>-</w:t>
            </w:r>
          </w:p>
        </w:tc>
        <w:tc>
          <w:tcPr>
            <w:tcW w:w="708" w:type="dxa"/>
            <w:tcBorders>
              <w:top w:val="nil"/>
              <w:left w:val="nil"/>
              <w:bottom w:val="single" w:sz="4" w:space="0" w:color="auto"/>
              <w:right w:val="single" w:sz="4" w:space="0" w:color="auto"/>
            </w:tcBorders>
            <w:shd w:val="clear" w:color="auto" w:fill="auto"/>
            <w:noWrap/>
          </w:tcPr>
          <w:p w:rsidR="00F47623" w:rsidRPr="00D55DC6" w:rsidRDefault="00F47623" w:rsidP="0038165F">
            <w:pPr>
              <w:spacing w:line="0" w:lineRule="atLeast"/>
              <w:jc w:val="center"/>
            </w:pPr>
            <w:r w:rsidRPr="00D55DC6">
              <w:rPr>
                <w:sz w:val="20"/>
                <w:szCs w:val="20"/>
              </w:rPr>
              <w:t>-</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900</w:t>
            </w:r>
          </w:p>
        </w:tc>
        <w:tc>
          <w:tcPr>
            <w:tcW w:w="78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914</w:t>
            </w:r>
          </w:p>
        </w:tc>
        <w:tc>
          <w:tcPr>
            <w:tcW w:w="854"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927</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941</w:t>
            </w:r>
          </w:p>
        </w:tc>
      </w:tr>
      <w:tr w:rsidR="001D0350" w:rsidRPr="00D55DC6" w:rsidTr="00F47623">
        <w:trPr>
          <w:trHeight w:val="345"/>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F47623" w:rsidRPr="00D55DC6" w:rsidRDefault="00F47623" w:rsidP="0038165F">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合</w:t>
            </w:r>
            <w:r w:rsidRPr="00D55DC6">
              <w:rPr>
                <w:rFonts w:eastAsia="標楷體"/>
                <w:kern w:val="0"/>
                <w:sz w:val="20"/>
                <w:szCs w:val="20"/>
              </w:rPr>
              <w:t xml:space="preserve">          </w:t>
            </w:r>
            <w:r w:rsidRPr="00D55DC6">
              <w:rPr>
                <w:rFonts w:eastAsia="標楷體"/>
                <w:kern w:val="0"/>
                <w:sz w:val="20"/>
                <w:szCs w:val="20"/>
              </w:rPr>
              <w:t>計</w:t>
            </w:r>
          </w:p>
        </w:tc>
        <w:tc>
          <w:tcPr>
            <w:tcW w:w="708" w:type="dxa"/>
            <w:tcBorders>
              <w:top w:val="nil"/>
              <w:left w:val="nil"/>
              <w:bottom w:val="single" w:sz="4" w:space="0" w:color="auto"/>
              <w:right w:val="single" w:sz="4" w:space="0" w:color="auto"/>
            </w:tcBorders>
            <w:shd w:val="clear" w:color="000000" w:fill="E4DFEC"/>
            <w:noWrap/>
          </w:tcPr>
          <w:p w:rsidR="00F47623" w:rsidRPr="00D55DC6" w:rsidRDefault="00F47623" w:rsidP="0038165F">
            <w:pPr>
              <w:spacing w:line="0" w:lineRule="atLeast"/>
              <w:jc w:val="right"/>
              <w:rPr>
                <w:sz w:val="20"/>
                <w:szCs w:val="20"/>
              </w:rPr>
            </w:pPr>
            <w:r w:rsidRPr="00D55DC6">
              <w:rPr>
                <w:sz w:val="20"/>
                <w:szCs w:val="20"/>
              </w:rPr>
              <w:t>6,765</w:t>
            </w:r>
          </w:p>
        </w:tc>
        <w:tc>
          <w:tcPr>
            <w:tcW w:w="709" w:type="dxa"/>
            <w:tcBorders>
              <w:top w:val="nil"/>
              <w:left w:val="nil"/>
              <w:bottom w:val="single" w:sz="4" w:space="0" w:color="auto"/>
              <w:right w:val="single" w:sz="4" w:space="0" w:color="auto"/>
            </w:tcBorders>
            <w:shd w:val="clear" w:color="000000" w:fill="E4DFEC"/>
            <w:noWrap/>
            <w:vAlign w:val="center"/>
          </w:tcPr>
          <w:p w:rsidR="00F47623" w:rsidRPr="00D55DC6" w:rsidRDefault="00F47623" w:rsidP="0038165F">
            <w:pPr>
              <w:spacing w:line="0" w:lineRule="atLeast"/>
              <w:jc w:val="right"/>
              <w:rPr>
                <w:sz w:val="22"/>
                <w:szCs w:val="22"/>
              </w:rPr>
            </w:pPr>
            <w:r w:rsidRPr="00D55DC6">
              <w:rPr>
                <w:sz w:val="22"/>
                <w:szCs w:val="22"/>
              </w:rPr>
              <w:t xml:space="preserve">8,401 </w:t>
            </w:r>
          </w:p>
        </w:tc>
        <w:tc>
          <w:tcPr>
            <w:tcW w:w="709" w:type="dxa"/>
            <w:tcBorders>
              <w:top w:val="nil"/>
              <w:left w:val="nil"/>
              <w:bottom w:val="single" w:sz="4" w:space="0" w:color="auto"/>
              <w:right w:val="single" w:sz="4" w:space="0" w:color="auto"/>
            </w:tcBorders>
            <w:shd w:val="clear" w:color="000000" w:fill="E4DFEC"/>
            <w:noWrap/>
            <w:vAlign w:val="center"/>
          </w:tcPr>
          <w:p w:rsidR="00F47623" w:rsidRPr="00D55DC6" w:rsidRDefault="00F47623" w:rsidP="0038165F">
            <w:pPr>
              <w:spacing w:line="0" w:lineRule="atLeast"/>
              <w:jc w:val="right"/>
              <w:rPr>
                <w:sz w:val="22"/>
                <w:szCs w:val="22"/>
              </w:rPr>
            </w:pPr>
            <w:r w:rsidRPr="00D55DC6">
              <w:rPr>
                <w:sz w:val="22"/>
                <w:szCs w:val="22"/>
              </w:rPr>
              <w:t xml:space="preserve">12,990 </w:t>
            </w:r>
          </w:p>
        </w:tc>
        <w:tc>
          <w:tcPr>
            <w:tcW w:w="709" w:type="dxa"/>
            <w:tcBorders>
              <w:top w:val="nil"/>
              <w:left w:val="nil"/>
              <w:bottom w:val="single" w:sz="4" w:space="0" w:color="auto"/>
              <w:right w:val="single" w:sz="4" w:space="0" w:color="auto"/>
            </w:tcBorders>
            <w:shd w:val="clear" w:color="000000" w:fill="E4DFEC"/>
            <w:noWrap/>
            <w:vAlign w:val="center"/>
          </w:tcPr>
          <w:p w:rsidR="00F47623" w:rsidRPr="00D55DC6" w:rsidRDefault="00F47623" w:rsidP="0038165F">
            <w:pPr>
              <w:spacing w:line="0" w:lineRule="atLeast"/>
              <w:jc w:val="right"/>
              <w:rPr>
                <w:sz w:val="22"/>
                <w:szCs w:val="22"/>
              </w:rPr>
            </w:pPr>
            <w:r w:rsidRPr="00D55DC6">
              <w:rPr>
                <w:sz w:val="22"/>
                <w:szCs w:val="22"/>
              </w:rPr>
              <w:t xml:space="preserve">20,002 </w:t>
            </w:r>
          </w:p>
        </w:tc>
        <w:tc>
          <w:tcPr>
            <w:tcW w:w="709" w:type="dxa"/>
            <w:tcBorders>
              <w:top w:val="nil"/>
              <w:left w:val="nil"/>
              <w:bottom w:val="single" w:sz="4" w:space="0" w:color="auto"/>
              <w:right w:val="single" w:sz="4" w:space="0" w:color="auto"/>
            </w:tcBorders>
            <w:shd w:val="clear" w:color="000000" w:fill="E4DFEC"/>
            <w:noWrap/>
            <w:vAlign w:val="center"/>
          </w:tcPr>
          <w:p w:rsidR="00F47623" w:rsidRPr="00D55DC6" w:rsidRDefault="00F47623" w:rsidP="0038165F">
            <w:pPr>
              <w:spacing w:line="0" w:lineRule="atLeast"/>
              <w:jc w:val="right"/>
              <w:rPr>
                <w:sz w:val="22"/>
                <w:szCs w:val="22"/>
              </w:rPr>
            </w:pPr>
            <w:r w:rsidRPr="00D55DC6">
              <w:rPr>
                <w:sz w:val="22"/>
                <w:szCs w:val="22"/>
              </w:rPr>
              <w:t xml:space="preserve">20,925 </w:t>
            </w:r>
          </w:p>
        </w:tc>
        <w:tc>
          <w:tcPr>
            <w:tcW w:w="708" w:type="dxa"/>
            <w:tcBorders>
              <w:top w:val="nil"/>
              <w:left w:val="nil"/>
              <w:bottom w:val="single" w:sz="4" w:space="0" w:color="auto"/>
              <w:right w:val="single" w:sz="4" w:space="0" w:color="auto"/>
            </w:tcBorders>
            <w:shd w:val="clear" w:color="000000" w:fill="E4DFEC"/>
            <w:noWrap/>
            <w:vAlign w:val="center"/>
          </w:tcPr>
          <w:p w:rsidR="00F47623" w:rsidRPr="00D55DC6" w:rsidRDefault="00F47623" w:rsidP="0038165F">
            <w:pPr>
              <w:spacing w:line="0" w:lineRule="atLeast"/>
              <w:jc w:val="right"/>
              <w:rPr>
                <w:sz w:val="22"/>
                <w:szCs w:val="22"/>
              </w:rPr>
            </w:pPr>
            <w:r w:rsidRPr="00D55DC6">
              <w:rPr>
                <w:sz w:val="22"/>
                <w:szCs w:val="22"/>
              </w:rPr>
              <w:t xml:space="preserve">31,456 </w:t>
            </w:r>
          </w:p>
        </w:tc>
        <w:tc>
          <w:tcPr>
            <w:tcW w:w="709" w:type="dxa"/>
            <w:tcBorders>
              <w:top w:val="nil"/>
              <w:left w:val="nil"/>
              <w:bottom w:val="single" w:sz="4" w:space="0" w:color="auto"/>
              <w:right w:val="single" w:sz="4" w:space="0" w:color="auto"/>
            </w:tcBorders>
            <w:shd w:val="clear" w:color="000000" w:fill="E4DFEC"/>
            <w:noWrap/>
            <w:vAlign w:val="center"/>
          </w:tcPr>
          <w:p w:rsidR="00F47623" w:rsidRPr="00D55DC6" w:rsidRDefault="00F47623" w:rsidP="0038165F">
            <w:pPr>
              <w:spacing w:line="0" w:lineRule="atLeast"/>
              <w:jc w:val="right"/>
              <w:rPr>
                <w:sz w:val="22"/>
                <w:szCs w:val="22"/>
              </w:rPr>
            </w:pPr>
            <w:r w:rsidRPr="00D55DC6">
              <w:rPr>
                <w:sz w:val="22"/>
                <w:szCs w:val="22"/>
              </w:rPr>
              <w:t xml:space="preserve">33,130 </w:t>
            </w:r>
          </w:p>
        </w:tc>
        <w:tc>
          <w:tcPr>
            <w:tcW w:w="788" w:type="dxa"/>
            <w:tcBorders>
              <w:top w:val="nil"/>
              <w:left w:val="nil"/>
              <w:bottom w:val="single" w:sz="4" w:space="0" w:color="auto"/>
              <w:right w:val="single" w:sz="4" w:space="0" w:color="auto"/>
            </w:tcBorders>
            <w:shd w:val="clear" w:color="000000" w:fill="E4DFEC"/>
            <w:noWrap/>
            <w:vAlign w:val="center"/>
          </w:tcPr>
          <w:p w:rsidR="00F47623" w:rsidRPr="00D55DC6" w:rsidRDefault="00F47623" w:rsidP="0038165F">
            <w:pPr>
              <w:spacing w:line="0" w:lineRule="atLeast"/>
              <w:jc w:val="right"/>
              <w:rPr>
                <w:sz w:val="22"/>
                <w:szCs w:val="22"/>
              </w:rPr>
            </w:pPr>
            <w:r w:rsidRPr="00D55DC6">
              <w:rPr>
                <w:sz w:val="22"/>
                <w:szCs w:val="22"/>
              </w:rPr>
              <w:t xml:space="preserve">112,569 </w:t>
            </w:r>
          </w:p>
        </w:tc>
        <w:tc>
          <w:tcPr>
            <w:tcW w:w="854" w:type="dxa"/>
            <w:tcBorders>
              <w:top w:val="nil"/>
              <w:left w:val="nil"/>
              <w:bottom w:val="single" w:sz="4" w:space="0" w:color="auto"/>
              <w:right w:val="single" w:sz="4" w:space="0" w:color="auto"/>
            </w:tcBorders>
            <w:shd w:val="clear" w:color="000000" w:fill="E4DFEC"/>
            <w:noWrap/>
            <w:vAlign w:val="center"/>
          </w:tcPr>
          <w:p w:rsidR="00F47623" w:rsidRPr="00D55DC6" w:rsidRDefault="00F47623" w:rsidP="0038165F">
            <w:pPr>
              <w:spacing w:line="0" w:lineRule="atLeast"/>
              <w:jc w:val="right"/>
              <w:rPr>
                <w:sz w:val="22"/>
                <w:szCs w:val="22"/>
              </w:rPr>
            </w:pPr>
            <w:r w:rsidRPr="00D55DC6">
              <w:rPr>
                <w:sz w:val="22"/>
                <w:szCs w:val="22"/>
              </w:rPr>
              <w:t xml:space="preserve">114,445 </w:t>
            </w:r>
          </w:p>
        </w:tc>
        <w:tc>
          <w:tcPr>
            <w:tcW w:w="709" w:type="dxa"/>
            <w:tcBorders>
              <w:top w:val="nil"/>
              <w:left w:val="nil"/>
              <w:bottom w:val="single" w:sz="4" w:space="0" w:color="auto"/>
              <w:right w:val="single" w:sz="4" w:space="0" w:color="auto"/>
            </w:tcBorders>
            <w:shd w:val="clear" w:color="000000" w:fill="E4DFEC"/>
            <w:noWrap/>
            <w:vAlign w:val="center"/>
          </w:tcPr>
          <w:p w:rsidR="00F47623" w:rsidRPr="00D55DC6" w:rsidRDefault="00F47623" w:rsidP="0038165F">
            <w:pPr>
              <w:spacing w:line="0" w:lineRule="atLeast"/>
              <w:jc w:val="right"/>
              <w:rPr>
                <w:sz w:val="22"/>
                <w:szCs w:val="22"/>
              </w:rPr>
            </w:pPr>
            <w:r w:rsidRPr="00D55DC6">
              <w:rPr>
                <w:sz w:val="22"/>
                <w:szCs w:val="22"/>
              </w:rPr>
              <w:t xml:space="preserve">84,213 </w:t>
            </w:r>
          </w:p>
        </w:tc>
      </w:tr>
    </w:tbl>
    <w:p w:rsidR="00F47623" w:rsidRPr="00D55DC6" w:rsidRDefault="00F47623" w:rsidP="009D33BA">
      <w:pPr>
        <w:spacing w:beforeLines="50" w:before="180" w:line="460" w:lineRule="exact"/>
        <w:ind w:rightChars="-435" w:right="-1044"/>
      </w:pPr>
      <w:r w:rsidRPr="00D55DC6">
        <w:rPr>
          <w:rFonts w:eastAsia="標楷體"/>
        </w:rPr>
        <w:t xml:space="preserve"> (</w:t>
      </w:r>
      <w:r w:rsidRPr="00D55DC6">
        <w:rPr>
          <w:rFonts w:eastAsia="標楷體"/>
        </w:rPr>
        <w:t>續</w:t>
      </w:r>
      <w:r w:rsidRPr="00D55DC6">
        <w:rPr>
          <w:rFonts w:eastAsia="標楷體"/>
        </w:rPr>
        <w:t>)</w:t>
      </w:r>
      <w:r w:rsidRPr="00D55DC6">
        <w:t xml:space="preserve"> </w:t>
      </w:r>
    </w:p>
    <w:tbl>
      <w:tblPr>
        <w:tblW w:w="10916" w:type="dxa"/>
        <w:tblInd w:w="-823" w:type="dxa"/>
        <w:tblLayout w:type="fixed"/>
        <w:tblCellMar>
          <w:left w:w="28" w:type="dxa"/>
          <w:right w:w="28" w:type="dxa"/>
        </w:tblCellMar>
        <w:tblLook w:val="04A0" w:firstRow="1" w:lastRow="0" w:firstColumn="1" w:lastColumn="0" w:noHBand="0" w:noVBand="1"/>
      </w:tblPr>
      <w:tblGrid>
        <w:gridCol w:w="2836"/>
        <w:gridCol w:w="709"/>
        <w:gridCol w:w="708"/>
        <w:gridCol w:w="709"/>
        <w:gridCol w:w="709"/>
        <w:gridCol w:w="709"/>
        <w:gridCol w:w="708"/>
        <w:gridCol w:w="709"/>
        <w:gridCol w:w="709"/>
        <w:gridCol w:w="709"/>
        <w:gridCol w:w="708"/>
        <w:gridCol w:w="993"/>
      </w:tblGrid>
      <w:tr w:rsidR="001D0350" w:rsidRPr="00D55DC6" w:rsidTr="0047570F">
        <w:trPr>
          <w:trHeight w:val="585"/>
          <w:tblHeader/>
        </w:trPr>
        <w:tc>
          <w:tcPr>
            <w:tcW w:w="2836" w:type="dxa"/>
            <w:tcBorders>
              <w:top w:val="single" w:sz="4" w:space="0" w:color="auto"/>
              <w:left w:val="single" w:sz="4" w:space="0" w:color="auto"/>
              <w:bottom w:val="double" w:sz="6" w:space="0" w:color="auto"/>
              <w:right w:val="single" w:sz="4" w:space="0" w:color="auto"/>
            </w:tcBorders>
            <w:shd w:val="clear" w:color="000000" w:fill="FFCC00"/>
            <w:vAlign w:val="center"/>
          </w:tcPr>
          <w:p w:rsidR="00F47623" w:rsidRPr="00D55DC6" w:rsidRDefault="00F47623" w:rsidP="0038165F">
            <w:pPr>
              <w:widowControl/>
              <w:spacing w:line="0" w:lineRule="atLeast"/>
              <w:rPr>
                <w:rFonts w:eastAsia="標楷體"/>
                <w:kern w:val="0"/>
                <w:sz w:val="20"/>
                <w:szCs w:val="20"/>
              </w:rPr>
            </w:pPr>
            <w:r w:rsidRPr="00D55DC6">
              <w:rPr>
                <w:rFonts w:eastAsia="標楷體"/>
                <w:kern w:val="0"/>
                <w:sz w:val="22"/>
                <w:szCs w:val="20"/>
              </w:rPr>
              <w:t>年度收益項目</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F47623" w:rsidRPr="00D55DC6" w:rsidRDefault="00F47623" w:rsidP="0038165F">
            <w:pPr>
              <w:widowControl/>
              <w:spacing w:line="0" w:lineRule="atLeast"/>
              <w:jc w:val="center"/>
              <w:rPr>
                <w:rFonts w:eastAsia="標楷體"/>
                <w:kern w:val="0"/>
                <w:sz w:val="20"/>
                <w:szCs w:val="20"/>
              </w:rPr>
            </w:pPr>
            <w:r w:rsidRPr="00D55DC6">
              <w:rPr>
                <w:rFonts w:eastAsia="標楷體"/>
                <w:kern w:val="0"/>
                <w:sz w:val="20"/>
                <w:szCs w:val="20"/>
              </w:rPr>
              <w:t>113</w:t>
            </w:r>
          </w:p>
        </w:tc>
        <w:tc>
          <w:tcPr>
            <w:tcW w:w="708" w:type="dxa"/>
            <w:tcBorders>
              <w:top w:val="single" w:sz="4" w:space="0" w:color="auto"/>
              <w:left w:val="nil"/>
              <w:bottom w:val="double" w:sz="6" w:space="0" w:color="auto"/>
              <w:right w:val="single" w:sz="4" w:space="0" w:color="auto"/>
            </w:tcBorders>
            <w:shd w:val="clear" w:color="000000" w:fill="FFCC00"/>
            <w:noWrap/>
            <w:vAlign w:val="center"/>
          </w:tcPr>
          <w:p w:rsidR="00F47623" w:rsidRPr="00D55DC6" w:rsidRDefault="00F47623" w:rsidP="0038165F">
            <w:pPr>
              <w:widowControl/>
              <w:spacing w:line="0" w:lineRule="atLeast"/>
              <w:jc w:val="center"/>
              <w:rPr>
                <w:rFonts w:eastAsia="標楷體"/>
                <w:kern w:val="0"/>
                <w:sz w:val="20"/>
                <w:szCs w:val="20"/>
              </w:rPr>
            </w:pPr>
            <w:r w:rsidRPr="00D55DC6">
              <w:rPr>
                <w:rFonts w:eastAsia="標楷體"/>
                <w:kern w:val="0"/>
                <w:sz w:val="20"/>
                <w:szCs w:val="20"/>
              </w:rPr>
              <w:t>114</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F47623" w:rsidRPr="00D55DC6" w:rsidRDefault="00F47623" w:rsidP="0038165F">
            <w:pPr>
              <w:widowControl/>
              <w:spacing w:line="0" w:lineRule="atLeast"/>
              <w:jc w:val="center"/>
              <w:rPr>
                <w:rFonts w:eastAsia="標楷體"/>
                <w:kern w:val="0"/>
                <w:sz w:val="20"/>
                <w:szCs w:val="20"/>
              </w:rPr>
            </w:pPr>
            <w:r w:rsidRPr="00D55DC6">
              <w:rPr>
                <w:rFonts w:eastAsia="標楷體"/>
                <w:kern w:val="0"/>
                <w:sz w:val="20"/>
                <w:szCs w:val="20"/>
              </w:rPr>
              <w:t>115</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F47623" w:rsidRPr="00D55DC6" w:rsidRDefault="00F47623" w:rsidP="0038165F">
            <w:pPr>
              <w:widowControl/>
              <w:spacing w:line="0" w:lineRule="atLeast"/>
              <w:jc w:val="center"/>
              <w:rPr>
                <w:rFonts w:eastAsia="標楷體"/>
                <w:kern w:val="0"/>
                <w:sz w:val="20"/>
                <w:szCs w:val="20"/>
              </w:rPr>
            </w:pPr>
            <w:r w:rsidRPr="00D55DC6">
              <w:rPr>
                <w:rFonts w:eastAsia="標楷體"/>
                <w:kern w:val="0"/>
                <w:sz w:val="20"/>
                <w:szCs w:val="20"/>
              </w:rPr>
              <w:t>116</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F47623" w:rsidRPr="00D55DC6" w:rsidRDefault="00F47623" w:rsidP="0038165F">
            <w:pPr>
              <w:widowControl/>
              <w:spacing w:line="0" w:lineRule="atLeast"/>
              <w:jc w:val="center"/>
              <w:rPr>
                <w:rFonts w:eastAsia="標楷體"/>
                <w:kern w:val="0"/>
                <w:sz w:val="20"/>
                <w:szCs w:val="20"/>
              </w:rPr>
            </w:pPr>
            <w:r w:rsidRPr="00D55DC6">
              <w:rPr>
                <w:rFonts w:eastAsia="標楷體"/>
                <w:kern w:val="0"/>
                <w:sz w:val="20"/>
                <w:szCs w:val="20"/>
              </w:rPr>
              <w:t>117</w:t>
            </w:r>
          </w:p>
        </w:tc>
        <w:tc>
          <w:tcPr>
            <w:tcW w:w="708" w:type="dxa"/>
            <w:tcBorders>
              <w:top w:val="single" w:sz="4" w:space="0" w:color="auto"/>
              <w:left w:val="nil"/>
              <w:bottom w:val="double" w:sz="6" w:space="0" w:color="auto"/>
              <w:right w:val="single" w:sz="4" w:space="0" w:color="auto"/>
            </w:tcBorders>
            <w:shd w:val="clear" w:color="000000" w:fill="FFCC00"/>
            <w:noWrap/>
            <w:vAlign w:val="center"/>
          </w:tcPr>
          <w:p w:rsidR="00F47623" w:rsidRPr="00D55DC6" w:rsidRDefault="00F47623" w:rsidP="0038165F">
            <w:pPr>
              <w:widowControl/>
              <w:spacing w:line="0" w:lineRule="atLeast"/>
              <w:jc w:val="center"/>
              <w:rPr>
                <w:rFonts w:eastAsia="標楷體"/>
                <w:kern w:val="0"/>
                <w:sz w:val="20"/>
                <w:szCs w:val="20"/>
              </w:rPr>
            </w:pPr>
            <w:r w:rsidRPr="00D55DC6">
              <w:rPr>
                <w:rFonts w:eastAsia="標楷體"/>
                <w:kern w:val="0"/>
                <w:sz w:val="20"/>
                <w:szCs w:val="20"/>
              </w:rPr>
              <w:t>118</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F47623" w:rsidRPr="00D55DC6" w:rsidRDefault="00F47623" w:rsidP="0038165F">
            <w:pPr>
              <w:widowControl/>
              <w:spacing w:line="0" w:lineRule="atLeast"/>
              <w:jc w:val="center"/>
              <w:rPr>
                <w:rFonts w:eastAsia="標楷體"/>
                <w:kern w:val="0"/>
                <w:sz w:val="20"/>
                <w:szCs w:val="20"/>
              </w:rPr>
            </w:pPr>
            <w:r w:rsidRPr="00D55DC6">
              <w:rPr>
                <w:rFonts w:eastAsia="標楷體"/>
                <w:kern w:val="0"/>
                <w:sz w:val="20"/>
                <w:szCs w:val="20"/>
              </w:rPr>
              <w:t>119</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F47623" w:rsidRPr="00D55DC6" w:rsidRDefault="00F47623" w:rsidP="0038165F">
            <w:pPr>
              <w:widowControl/>
              <w:spacing w:line="0" w:lineRule="atLeast"/>
              <w:jc w:val="center"/>
              <w:rPr>
                <w:rFonts w:eastAsia="標楷體"/>
                <w:kern w:val="0"/>
                <w:sz w:val="20"/>
                <w:szCs w:val="20"/>
              </w:rPr>
            </w:pPr>
            <w:r w:rsidRPr="00D55DC6">
              <w:rPr>
                <w:rFonts w:eastAsia="標楷體"/>
                <w:kern w:val="0"/>
                <w:sz w:val="20"/>
                <w:szCs w:val="20"/>
              </w:rPr>
              <w:t>120</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F47623" w:rsidRPr="00D55DC6" w:rsidRDefault="00F47623" w:rsidP="0038165F">
            <w:pPr>
              <w:widowControl/>
              <w:spacing w:line="0" w:lineRule="atLeast"/>
              <w:jc w:val="center"/>
              <w:rPr>
                <w:rFonts w:eastAsia="標楷體"/>
                <w:kern w:val="0"/>
                <w:sz w:val="20"/>
                <w:szCs w:val="20"/>
              </w:rPr>
            </w:pPr>
            <w:r w:rsidRPr="00D55DC6">
              <w:rPr>
                <w:rFonts w:eastAsia="標楷體"/>
                <w:kern w:val="0"/>
                <w:sz w:val="20"/>
                <w:szCs w:val="20"/>
              </w:rPr>
              <w:t>121</w:t>
            </w:r>
          </w:p>
        </w:tc>
        <w:tc>
          <w:tcPr>
            <w:tcW w:w="708" w:type="dxa"/>
            <w:tcBorders>
              <w:top w:val="single" w:sz="4" w:space="0" w:color="auto"/>
              <w:left w:val="nil"/>
              <w:bottom w:val="double" w:sz="6" w:space="0" w:color="auto"/>
              <w:right w:val="single" w:sz="4" w:space="0" w:color="auto"/>
            </w:tcBorders>
            <w:shd w:val="clear" w:color="000000" w:fill="FFCC00"/>
            <w:noWrap/>
            <w:vAlign w:val="center"/>
          </w:tcPr>
          <w:p w:rsidR="00F47623" w:rsidRPr="00D55DC6" w:rsidRDefault="00F47623" w:rsidP="0038165F">
            <w:pPr>
              <w:widowControl/>
              <w:spacing w:line="0" w:lineRule="atLeast"/>
              <w:jc w:val="center"/>
              <w:rPr>
                <w:rFonts w:eastAsia="標楷體"/>
                <w:kern w:val="0"/>
                <w:sz w:val="20"/>
                <w:szCs w:val="20"/>
              </w:rPr>
            </w:pPr>
            <w:r w:rsidRPr="00D55DC6">
              <w:rPr>
                <w:rFonts w:eastAsia="標楷體"/>
                <w:kern w:val="0"/>
                <w:sz w:val="20"/>
                <w:szCs w:val="20"/>
              </w:rPr>
              <w:t>122</w:t>
            </w:r>
          </w:p>
        </w:tc>
        <w:tc>
          <w:tcPr>
            <w:tcW w:w="993" w:type="dxa"/>
            <w:tcBorders>
              <w:top w:val="single" w:sz="4" w:space="0" w:color="auto"/>
              <w:left w:val="nil"/>
              <w:bottom w:val="double" w:sz="6" w:space="0" w:color="auto"/>
              <w:right w:val="single" w:sz="4" w:space="0" w:color="auto"/>
            </w:tcBorders>
            <w:shd w:val="clear" w:color="000000" w:fill="FFCC00"/>
            <w:noWrap/>
            <w:vAlign w:val="center"/>
          </w:tcPr>
          <w:p w:rsidR="00F47623" w:rsidRPr="00D55DC6" w:rsidRDefault="00F47623" w:rsidP="0038165F">
            <w:pPr>
              <w:widowControl/>
              <w:spacing w:line="0" w:lineRule="atLeast"/>
              <w:jc w:val="center"/>
              <w:rPr>
                <w:rFonts w:eastAsia="標楷體"/>
                <w:kern w:val="0"/>
                <w:sz w:val="20"/>
                <w:szCs w:val="20"/>
              </w:rPr>
            </w:pPr>
            <w:r w:rsidRPr="00D55DC6">
              <w:rPr>
                <w:rFonts w:eastAsia="標楷體"/>
                <w:kern w:val="0"/>
                <w:sz w:val="20"/>
                <w:szCs w:val="20"/>
              </w:rPr>
              <w:t>合計</w:t>
            </w:r>
          </w:p>
        </w:tc>
      </w:tr>
      <w:tr w:rsidR="001D0350" w:rsidRPr="00D55DC6" w:rsidTr="0047570F">
        <w:trPr>
          <w:trHeight w:val="345"/>
        </w:trPr>
        <w:tc>
          <w:tcPr>
            <w:tcW w:w="2836" w:type="dxa"/>
            <w:tcBorders>
              <w:top w:val="nil"/>
              <w:left w:val="single" w:sz="4" w:space="0" w:color="auto"/>
              <w:bottom w:val="single" w:sz="4" w:space="0" w:color="auto"/>
              <w:right w:val="single" w:sz="4" w:space="0" w:color="auto"/>
            </w:tcBorders>
            <w:shd w:val="clear" w:color="000000" w:fill="D9D9D9"/>
            <w:noWrap/>
            <w:vAlign w:val="center"/>
          </w:tcPr>
          <w:p w:rsidR="00F47623" w:rsidRPr="00D55DC6" w:rsidRDefault="00F47623" w:rsidP="0038165F">
            <w:pPr>
              <w:widowControl/>
              <w:spacing w:line="0" w:lineRule="atLeast"/>
              <w:rPr>
                <w:rFonts w:eastAsia="標楷體"/>
                <w:kern w:val="0"/>
                <w:sz w:val="20"/>
                <w:szCs w:val="20"/>
              </w:rPr>
            </w:pPr>
            <w:r w:rsidRPr="00D55DC6">
              <w:rPr>
                <w:rFonts w:eastAsia="標楷體"/>
                <w:kern w:val="0"/>
                <w:sz w:val="20"/>
                <w:szCs w:val="20"/>
              </w:rPr>
              <w:t>一、擴大出租據點收益</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 xml:space="preserve">2,278 </w:t>
            </w:r>
          </w:p>
        </w:tc>
        <w:tc>
          <w:tcPr>
            <w:tcW w:w="708"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 xml:space="preserve">2,414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 xml:space="preserve">2,414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 xml:space="preserve">2,414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 xml:space="preserve">2,559 </w:t>
            </w:r>
          </w:p>
        </w:tc>
        <w:tc>
          <w:tcPr>
            <w:tcW w:w="708"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 xml:space="preserve">2,559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 xml:space="preserve">2,559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 xml:space="preserve">2,713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 xml:space="preserve">2,713 </w:t>
            </w:r>
          </w:p>
        </w:tc>
        <w:tc>
          <w:tcPr>
            <w:tcW w:w="708"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 xml:space="preserve">2,713 </w:t>
            </w:r>
          </w:p>
        </w:tc>
        <w:tc>
          <w:tcPr>
            <w:tcW w:w="993"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widowControl/>
              <w:spacing w:line="0" w:lineRule="atLeast"/>
              <w:jc w:val="right"/>
              <w:rPr>
                <w:sz w:val="22"/>
                <w:szCs w:val="22"/>
              </w:rPr>
            </w:pPr>
            <w:r w:rsidRPr="00D55DC6">
              <w:rPr>
                <w:sz w:val="22"/>
                <w:szCs w:val="22"/>
              </w:rPr>
              <w:t>48,184</w:t>
            </w:r>
          </w:p>
        </w:tc>
      </w:tr>
      <w:tr w:rsidR="001D0350" w:rsidRPr="00D55DC6" w:rsidTr="0047570F">
        <w:trPr>
          <w:trHeight w:val="330"/>
        </w:trPr>
        <w:tc>
          <w:tcPr>
            <w:tcW w:w="2836" w:type="dxa"/>
            <w:tcBorders>
              <w:top w:val="nil"/>
              <w:left w:val="single" w:sz="4" w:space="0" w:color="auto"/>
              <w:bottom w:val="single" w:sz="4" w:space="0" w:color="auto"/>
              <w:right w:val="single" w:sz="4" w:space="0" w:color="auto"/>
            </w:tcBorders>
            <w:shd w:val="clear" w:color="000000" w:fill="D9D9D9"/>
            <w:noWrap/>
            <w:vAlign w:val="center"/>
          </w:tcPr>
          <w:p w:rsidR="00F47623" w:rsidRPr="00D55DC6" w:rsidRDefault="00F47623" w:rsidP="0038165F">
            <w:pPr>
              <w:widowControl/>
              <w:spacing w:line="0" w:lineRule="atLeast"/>
              <w:rPr>
                <w:rFonts w:eastAsia="標楷體"/>
                <w:kern w:val="0"/>
                <w:sz w:val="20"/>
                <w:szCs w:val="20"/>
              </w:rPr>
            </w:pPr>
            <w:r w:rsidRPr="00D55DC6">
              <w:rPr>
                <w:rFonts w:eastAsia="標楷體"/>
                <w:kern w:val="0"/>
                <w:sz w:val="20"/>
                <w:szCs w:val="20"/>
              </w:rPr>
              <w:t>二、新設據點收益</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0"/>
                <w:szCs w:val="20"/>
              </w:rPr>
            </w:pPr>
            <w:r w:rsidRPr="00D55DC6">
              <w:rPr>
                <w:sz w:val="20"/>
                <w:szCs w:val="20"/>
              </w:rPr>
              <w:t xml:space="preserve">81,586 </w:t>
            </w:r>
          </w:p>
        </w:tc>
        <w:tc>
          <w:tcPr>
            <w:tcW w:w="708"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0"/>
                <w:szCs w:val="20"/>
              </w:rPr>
            </w:pPr>
            <w:r w:rsidRPr="00D55DC6">
              <w:rPr>
                <w:sz w:val="20"/>
                <w:szCs w:val="20"/>
              </w:rPr>
              <w:t xml:space="preserve">83,071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0"/>
                <w:szCs w:val="20"/>
              </w:rPr>
            </w:pPr>
            <w:r w:rsidRPr="00D55DC6">
              <w:rPr>
                <w:sz w:val="20"/>
                <w:szCs w:val="20"/>
              </w:rPr>
              <w:t xml:space="preserve">84,224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0"/>
                <w:szCs w:val="20"/>
              </w:rPr>
            </w:pPr>
            <w:r w:rsidRPr="00D55DC6">
              <w:rPr>
                <w:sz w:val="20"/>
                <w:szCs w:val="20"/>
              </w:rPr>
              <w:t xml:space="preserve">85,397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0"/>
                <w:szCs w:val="20"/>
              </w:rPr>
            </w:pPr>
            <w:r w:rsidRPr="00D55DC6">
              <w:rPr>
                <w:sz w:val="20"/>
                <w:szCs w:val="20"/>
              </w:rPr>
              <w:t xml:space="preserve">86,932 </w:t>
            </w:r>
          </w:p>
        </w:tc>
        <w:tc>
          <w:tcPr>
            <w:tcW w:w="708"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0"/>
                <w:szCs w:val="20"/>
              </w:rPr>
            </w:pPr>
            <w:r w:rsidRPr="00D55DC6">
              <w:rPr>
                <w:sz w:val="20"/>
                <w:szCs w:val="20"/>
              </w:rPr>
              <w:t xml:space="preserve">88,137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0"/>
                <w:szCs w:val="20"/>
              </w:rPr>
            </w:pPr>
            <w:r w:rsidRPr="00D55DC6">
              <w:rPr>
                <w:sz w:val="20"/>
                <w:szCs w:val="20"/>
              </w:rPr>
              <w:t xml:space="preserve">89,364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0"/>
                <w:szCs w:val="20"/>
              </w:rPr>
            </w:pPr>
            <w:r w:rsidRPr="00D55DC6">
              <w:rPr>
                <w:sz w:val="20"/>
                <w:szCs w:val="20"/>
              </w:rPr>
              <w:t xml:space="preserve">90,997 </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0"/>
                <w:szCs w:val="20"/>
              </w:rPr>
            </w:pPr>
            <w:r w:rsidRPr="00D55DC6">
              <w:rPr>
                <w:sz w:val="20"/>
                <w:szCs w:val="20"/>
              </w:rPr>
              <w:t xml:space="preserve">92,257 </w:t>
            </w:r>
          </w:p>
        </w:tc>
        <w:tc>
          <w:tcPr>
            <w:tcW w:w="708"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0"/>
                <w:szCs w:val="20"/>
              </w:rPr>
            </w:pPr>
            <w:r w:rsidRPr="00D55DC6">
              <w:rPr>
                <w:sz w:val="20"/>
                <w:szCs w:val="20"/>
              </w:rPr>
              <w:t xml:space="preserve">93,540 </w:t>
            </w:r>
          </w:p>
        </w:tc>
        <w:tc>
          <w:tcPr>
            <w:tcW w:w="993"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widowControl/>
              <w:spacing w:line="0" w:lineRule="atLeast"/>
              <w:jc w:val="right"/>
              <w:rPr>
                <w:sz w:val="22"/>
                <w:szCs w:val="22"/>
              </w:rPr>
            </w:pPr>
            <w:r w:rsidRPr="00D55DC6">
              <w:rPr>
                <w:sz w:val="22"/>
                <w:szCs w:val="22"/>
              </w:rPr>
              <w:t>1,292,905</w:t>
            </w:r>
          </w:p>
        </w:tc>
      </w:tr>
      <w:tr w:rsidR="001D0350" w:rsidRPr="00D55DC6" w:rsidTr="0047570F">
        <w:trPr>
          <w:trHeight w:val="312"/>
        </w:trPr>
        <w:tc>
          <w:tcPr>
            <w:tcW w:w="2836" w:type="dxa"/>
            <w:tcBorders>
              <w:top w:val="nil"/>
              <w:left w:val="single" w:sz="4" w:space="0" w:color="auto"/>
              <w:bottom w:val="single" w:sz="4" w:space="0" w:color="auto"/>
              <w:right w:val="single" w:sz="4" w:space="0" w:color="auto"/>
            </w:tcBorders>
            <w:shd w:val="clear" w:color="000000" w:fill="D9D9D9"/>
            <w:noWrap/>
            <w:vAlign w:val="center"/>
          </w:tcPr>
          <w:p w:rsidR="00F47623" w:rsidRPr="00D55DC6" w:rsidRDefault="00F47623" w:rsidP="0038165F">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北門舊鹽工宿舍</w:t>
            </w:r>
            <w:r w:rsidRPr="00D55DC6">
              <w:rPr>
                <w:rFonts w:eastAsia="標楷體"/>
                <w:kern w:val="0"/>
                <w:sz w:val="20"/>
                <w:szCs w:val="20"/>
              </w:rPr>
              <w:t>BOT</w:t>
            </w:r>
            <w:r w:rsidRPr="00D55DC6">
              <w:rPr>
                <w:rFonts w:eastAsia="標楷體"/>
                <w:kern w:val="0"/>
                <w:sz w:val="20"/>
                <w:szCs w:val="20"/>
              </w:rPr>
              <w:t>案</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1,376 </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1,396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1,416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1,440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1,461 </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1,482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1,507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1,528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1,550 </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1,576 </w:t>
            </w:r>
          </w:p>
        </w:tc>
        <w:tc>
          <w:tcPr>
            <w:tcW w:w="993"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 xml:space="preserve">26,746 </w:t>
            </w:r>
          </w:p>
        </w:tc>
      </w:tr>
      <w:tr w:rsidR="001D0350" w:rsidRPr="00D55DC6" w:rsidTr="0047570F">
        <w:trPr>
          <w:trHeight w:val="330"/>
        </w:trPr>
        <w:tc>
          <w:tcPr>
            <w:tcW w:w="2836" w:type="dxa"/>
            <w:tcBorders>
              <w:top w:val="nil"/>
              <w:left w:val="single" w:sz="4" w:space="0" w:color="auto"/>
              <w:bottom w:val="single" w:sz="4" w:space="0" w:color="auto"/>
              <w:right w:val="single" w:sz="4" w:space="0" w:color="auto"/>
            </w:tcBorders>
            <w:shd w:val="clear" w:color="000000" w:fill="D9D9D9"/>
            <w:noWrap/>
          </w:tcPr>
          <w:p w:rsidR="00F47623" w:rsidRPr="00D55DC6" w:rsidRDefault="0047570F" w:rsidP="0047570F">
            <w:pPr>
              <w:widowControl/>
              <w:spacing w:line="0" w:lineRule="atLeast"/>
              <w:ind w:leftChars="106" w:left="254"/>
              <w:rPr>
                <w:rFonts w:eastAsia="標楷體"/>
                <w:kern w:val="0"/>
                <w:sz w:val="20"/>
                <w:szCs w:val="20"/>
              </w:rPr>
            </w:pPr>
            <w:r w:rsidRPr="00D55DC6">
              <w:rPr>
                <w:rFonts w:eastAsia="標楷體"/>
                <w:kern w:val="0"/>
                <w:sz w:val="20"/>
                <w:szCs w:val="20"/>
              </w:rPr>
              <w:t>馬沙溝濱海遊憩</w:t>
            </w:r>
            <w:r w:rsidR="00F47623" w:rsidRPr="00D55DC6">
              <w:rPr>
                <w:rFonts w:eastAsia="標楷體"/>
                <w:kern w:val="0"/>
                <w:sz w:val="20"/>
                <w:szCs w:val="20"/>
              </w:rPr>
              <w:t>OT+BOT</w:t>
            </w:r>
            <w:r w:rsidR="00F47623" w:rsidRPr="00D55DC6">
              <w:rPr>
                <w:rFonts w:eastAsia="標楷體"/>
                <w:kern w:val="0"/>
                <w:sz w:val="20"/>
                <w:szCs w:val="20"/>
              </w:rPr>
              <w:t>案</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7,813 </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7,939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8,055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8,173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8,305 </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8,426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8,549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8,687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8,814 </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8,943 </w:t>
            </w:r>
          </w:p>
        </w:tc>
        <w:tc>
          <w:tcPr>
            <w:tcW w:w="993"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 xml:space="preserve">139,650 </w:t>
            </w:r>
          </w:p>
        </w:tc>
      </w:tr>
      <w:tr w:rsidR="001D0350" w:rsidRPr="00D55DC6" w:rsidTr="0047570F">
        <w:trPr>
          <w:trHeight w:val="330"/>
        </w:trPr>
        <w:tc>
          <w:tcPr>
            <w:tcW w:w="2836" w:type="dxa"/>
            <w:tcBorders>
              <w:top w:val="nil"/>
              <w:left w:val="single" w:sz="4" w:space="0" w:color="auto"/>
              <w:bottom w:val="single" w:sz="4" w:space="0" w:color="auto"/>
              <w:right w:val="single" w:sz="4" w:space="0" w:color="auto"/>
            </w:tcBorders>
            <w:shd w:val="clear" w:color="000000" w:fill="D9D9D9"/>
            <w:vAlign w:val="center"/>
          </w:tcPr>
          <w:p w:rsidR="00F47623" w:rsidRPr="00D55DC6" w:rsidRDefault="00F47623" w:rsidP="0038165F">
            <w:pPr>
              <w:widowControl/>
              <w:spacing w:line="0" w:lineRule="atLeast"/>
              <w:jc w:val="both"/>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布袋遊客中心</w:t>
            </w:r>
            <w:r w:rsidRPr="00D55DC6">
              <w:rPr>
                <w:rFonts w:eastAsia="標楷體"/>
                <w:kern w:val="0"/>
                <w:sz w:val="20"/>
                <w:szCs w:val="20"/>
              </w:rPr>
              <w:t>ROT</w:t>
            </w:r>
            <w:r w:rsidRPr="00D55DC6">
              <w:rPr>
                <w:rFonts w:eastAsia="標楷體"/>
                <w:kern w:val="0"/>
                <w:sz w:val="20"/>
                <w:szCs w:val="20"/>
              </w:rPr>
              <w:t>案</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1,864 </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1,939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1,951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1,964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2,043 </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2,056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2,069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2,153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2,167 </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2,181 </w:t>
            </w:r>
          </w:p>
        </w:tc>
        <w:tc>
          <w:tcPr>
            <w:tcW w:w="993"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 xml:space="preserve">42,302 </w:t>
            </w:r>
          </w:p>
        </w:tc>
      </w:tr>
      <w:tr w:rsidR="001D0350" w:rsidRPr="00D55DC6" w:rsidTr="0047570F">
        <w:trPr>
          <w:trHeight w:val="330"/>
        </w:trPr>
        <w:tc>
          <w:tcPr>
            <w:tcW w:w="2836" w:type="dxa"/>
            <w:tcBorders>
              <w:top w:val="nil"/>
              <w:left w:val="single" w:sz="4" w:space="0" w:color="auto"/>
              <w:bottom w:val="single" w:sz="4" w:space="0" w:color="auto"/>
              <w:right w:val="single" w:sz="4" w:space="0" w:color="auto"/>
            </w:tcBorders>
            <w:shd w:val="clear" w:color="000000" w:fill="D9D9D9"/>
            <w:vAlign w:val="center"/>
          </w:tcPr>
          <w:p w:rsidR="00F47623" w:rsidRPr="00D55DC6" w:rsidRDefault="00F47623" w:rsidP="0038165F">
            <w:pPr>
              <w:widowControl/>
              <w:spacing w:line="0" w:lineRule="atLeast"/>
              <w:jc w:val="both"/>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井仔腳鹽田</w:t>
            </w:r>
            <w:r w:rsidRPr="00D55DC6">
              <w:rPr>
                <w:rFonts w:eastAsia="標楷體"/>
                <w:kern w:val="0"/>
                <w:sz w:val="20"/>
                <w:szCs w:val="20"/>
              </w:rPr>
              <w:t>BOT+OT</w:t>
            </w:r>
            <w:r w:rsidRPr="00D55DC6">
              <w:rPr>
                <w:rFonts w:eastAsia="標楷體"/>
                <w:kern w:val="0"/>
                <w:sz w:val="20"/>
                <w:szCs w:val="20"/>
              </w:rPr>
              <w:t>案</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6,578 </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6,689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6,785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6,882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6,998 </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7,099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7,201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7,322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7,427 </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7,534 </w:t>
            </w:r>
          </w:p>
        </w:tc>
        <w:tc>
          <w:tcPr>
            <w:tcW w:w="993"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 xml:space="preserve">117,425 </w:t>
            </w:r>
          </w:p>
        </w:tc>
      </w:tr>
      <w:tr w:rsidR="001D0350" w:rsidRPr="00D55DC6" w:rsidTr="0047570F">
        <w:trPr>
          <w:trHeight w:val="330"/>
        </w:trPr>
        <w:tc>
          <w:tcPr>
            <w:tcW w:w="2836" w:type="dxa"/>
            <w:tcBorders>
              <w:top w:val="nil"/>
              <w:left w:val="single" w:sz="4" w:space="0" w:color="auto"/>
              <w:bottom w:val="single" w:sz="4" w:space="0" w:color="auto"/>
              <w:right w:val="single" w:sz="4" w:space="0" w:color="auto"/>
            </w:tcBorders>
            <w:shd w:val="clear" w:color="000000" w:fill="D9D9D9"/>
            <w:vAlign w:val="center"/>
          </w:tcPr>
          <w:p w:rsidR="00F47623" w:rsidRPr="00D55DC6" w:rsidRDefault="00F47623" w:rsidP="0038165F">
            <w:pPr>
              <w:widowControl/>
              <w:spacing w:line="0" w:lineRule="atLeast"/>
              <w:jc w:val="both"/>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七股遊客中心</w:t>
            </w:r>
            <w:r w:rsidRPr="00D55DC6">
              <w:rPr>
                <w:rFonts w:eastAsia="標楷體"/>
                <w:kern w:val="0"/>
                <w:sz w:val="20"/>
                <w:szCs w:val="20"/>
              </w:rPr>
              <w:t>OT</w:t>
            </w:r>
            <w:r w:rsidRPr="00D55DC6">
              <w:rPr>
                <w:rFonts w:eastAsia="標楷體"/>
                <w:kern w:val="0"/>
                <w:sz w:val="20"/>
                <w:szCs w:val="20"/>
              </w:rPr>
              <w:t>案</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1,178 </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1,197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1,214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1,232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1,253 </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1,271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1,289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1,310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1,329 </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0"/>
                <w:szCs w:val="20"/>
              </w:rPr>
            </w:pPr>
            <w:r w:rsidRPr="00D55DC6">
              <w:rPr>
                <w:sz w:val="20"/>
                <w:szCs w:val="20"/>
              </w:rPr>
              <w:t xml:space="preserve">1,349 </w:t>
            </w:r>
          </w:p>
        </w:tc>
        <w:tc>
          <w:tcPr>
            <w:tcW w:w="993"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widowControl/>
              <w:spacing w:line="0" w:lineRule="atLeast"/>
              <w:jc w:val="right"/>
              <w:rPr>
                <w:sz w:val="22"/>
                <w:szCs w:val="22"/>
              </w:rPr>
            </w:pPr>
            <w:r w:rsidRPr="00D55DC6">
              <w:rPr>
                <w:sz w:val="22"/>
                <w:szCs w:val="22"/>
              </w:rPr>
              <w:t>21,438</w:t>
            </w:r>
          </w:p>
        </w:tc>
      </w:tr>
      <w:tr w:rsidR="001D0350" w:rsidRPr="00D55DC6" w:rsidTr="0047570F">
        <w:trPr>
          <w:trHeight w:val="330"/>
        </w:trPr>
        <w:tc>
          <w:tcPr>
            <w:tcW w:w="2836" w:type="dxa"/>
            <w:tcBorders>
              <w:top w:val="nil"/>
              <w:left w:val="single" w:sz="4" w:space="0" w:color="auto"/>
              <w:bottom w:val="single" w:sz="4" w:space="0" w:color="auto"/>
              <w:right w:val="single" w:sz="4" w:space="0" w:color="auto"/>
            </w:tcBorders>
            <w:shd w:val="clear" w:color="000000" w:fill="D9D9D9"/>
          </w:tcPr>
          <w:p w:rsidR="00F47623" w:rsidRPr="00D55DC6" w:rsidRDefault="00F47623" w:rsidP="0038165F">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其他項目</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widowControl/>
              <w:spacing w:line="0" w:lineRule="atLeast"/>
              <w:jc w:val="right"/>
              <w:rPr>
                <w:rFonts w:eastAsia="標楷體"/>
                <w:kern w:val="0"/>
                <w:sz w:val="20"/>
                <w:szCs w:val="20"/>
              </w:rPr>
            </w:pPr>
            <w:r w:rsidRPr="00D55DC6">
              <w:rPr>
                <w:rFonts w:eastAsia="標楷體"/>
                <w:kern w:val="0"/>
                <w:sz w:val="20"/>
                <w:szCs w:val="20"/>
              </w:rPr>
              <w:t>62</w:t>
            </w:r>
            <w:r w:rsidRPr="00D55DC6">
              <w:rPr>
                <w:sz w:val="20"/>
                <w:szCs w:val="20"/>
              </w:rPr>
              <w:t>,777</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widowControl/>
              <w:spacing w:line="0" w:lineRule="atLeast"/>
              <w:jc w:val="right"/>
              <w:rPr>
                <w:rFonts w:eastAsia="標楷體"/>
                <w:kern w:val="0"/>
                <w:sz w:val="20"/>
                <w:szCs w:val="20"/>
              </w:rPr>
            </w:pPr>
            <w:r w:rsidRPr="00D55DC6">
              <w:rPr>
                <w:rFonts w:eastAsia="標楷體"/>
                <w:kern w:val="0"/>
                <w:sz w:val="20"/>
                <w:szCs w:val="20"/>
              </w:rPr>
              <w:t>63</w:t>
            </w:r>
            <w:r w:rsidRPr="00D55DC6">
              <w:rPr>
                <w:sz w:val="20"/>
                <w:szCs w:val="20"/>
              </w:rPr>
              <w:t>,911</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 xml:space="preserve">64,802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 xml:space="preserve">65,706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 xml:space="preserve">66,872 </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 xml:space="preserve">67,804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 xml:space="preserve">68,749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 xml:space="preserve">69,996 </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 xml:space="preserve">70,970 </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 xml:space="preserve">71,958 </w:t>
            </w:r>
          </w:p>
        </w:tc>
        <w:tc>
          <w:tcPr>
            <w:tcW w:w="993"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 xml:space="preserve">945,345 </w:t>
            </w:r>
          </w:p>
        </w:tc>
      </w:tr>
      <w:tr w:rsidR="001D0350" w:rsidRPr="00D55DC6" w:rsidTr="0047570F">
        <w:trPr>
          <w:trHeight w:val="330"/>
        </w:trPr>
        <w:tc>
          <w:tcPr>
            <w:tcW w:w="2836" w:type="dxa"/>
            <w:tcBorders>
              <w:top w:val="nil"/>
              <w:left w:val="single" w:sz="4" w:space="0" w:color="auto"/>
              <w:bottom w:val="single" w:sz="4" w:space="0" w:color="auto"/>
              <w:right w:val="single" w:sz="4" w:space="0" w:color="auto"/>
            </w:tcBorders>
            <w:shd w:val="clear" w:color="000000" w:fill="D9D9D9"/>
            <w:noWrap/>
            <w:vAlign w:val="center"/>
          </w:tcPr>
          <w:p w:rsidR="00F47623" w:rsidRPr="00D55DC6" w:rsidRDefault="00F47623" w:rsidP="0038165F">
            <w:pPr>
              <w:widowControl/>
              <w:spacing w:line="0" w:lineRule="atLeast"/>
              <w:rPr>
                <w:rFonts w:eastAsia="標楷體"/>
                <w:kern w:val="0"/>
                <w:sz w:val="20"/>
                <w:szCs w:val="20"/>
              </w:rPr>
            </w:pPr>
            <w:r w:rsidRPr="00D55DC6">
              <w:rPr>
                <w:rFonts w:eastAsia="標楷體"/>
                <w:kern w:val="0"/>
                <w:sz w:val="20"/>
                <w:szCs w:val="20"/>
              </w:rPr>
              <w:t>三、規劃新增收益計畫</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1,610</w:t>
            </w:r>
          </w:p>
        </w:tc>
        <w:tc>
          <w:tcPr>
            <w:tcW w:w="708"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1,634</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1,658</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1,683</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1,709</w:t>
            </w:r>
          </w:p>
        </w:tc>
        <w:tc>
          <w:tcPr>
            <w:tcW w:w="708"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1,734</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1,760</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1,787</w:t>
            </w:r>
          </w:p>
        </w:tc>
        <w:tc>
          <w:tcPr>
            <w:tcW w:w="709"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1,813</w:t>
            </w:r>
          </w:p>
        </w:tc>
        <w:tc>
          <w:tcPr>
            <w:tcW w:w="708" w:type="dxa"/>
            <w:tcBorders>
              <w:top w:val="nil"/>
              <w:left w:val="nil"/>
              <w:bottom w:val="single" w:sz="4" w:space="0" w:color="auto"/>
              <w:right w:val="single" w:sz="4" w:space="0" w:color="auto"/>
            </w:tcBorders>
            <w:shd w:val="clear" w:color="000000" w:fill="DAEEF3"/>
            <w:noWrap/>
            <w:vAlign w:val="center"/>
          </w:tcPr>
          <w:p w:rsidR="00F47623" w:rsidRPr="00D55DC6" w:rsidRDefault="00F47623" w:rsidP="0038165F">
            <w:pPr>
              <w:spacing w:line="0" w:lineRule="atLeast"/>
              <w:jc w:val="right"/>
              <w:rPr>
                <w:sz w:val="22"/>
                <w:szCs w:val="22"/>
              </w:rPr>
            </w:pPr>
            <w:r w:rsidRPr="00D55DC6">
              <w:rPr>
                <w:sz w:val="22"/>
                <w:szCs w:val="22"/>
              </w:rPr>
              <w:t>1,841</w:t>
            </w:r>
          </w:p>
        </w:tc>
        <w:tc>
          <w:tcPr>
            <w:tcW w:w="993" w:type="dxa"/>
            <w:tcBorders>
              <w:top w:val="nil"/>
              <w:left w:val="nil"/>
              <w:bottom w:val="single" w:sz="4" w:space="0" w:color="auto"/>
              <w:right w:val="single" w:sz="4" w:space="0" w:color="auto"/>
            </w:tcBorders>
            <w:shd w:val="clear" w:color="000000" w:fill="DAEEF3"/>
            <w:noWrap/>
          </w:tcPr>
          <w:p w:rsidR="00F47623" w:rsidRPr="00D55DC6" w:rsidRDefault="00F47623" w:rsidP="0038165F">
            <w:pPr>
              <w:widowControl/>
              <w:spacing w:line="0" w:lineRule="atLeast"/>
              <w:jc w:val="right"/>
              <w:rPr>
                <w:sz w:val="22"/>
                <w:szCs w:val="22"/>
              </w:rPr>
            </w:pPr>
            <w:r w:rsidRPr="00D55DC6">
              <w:rPr>
                <w:sz w:val="22"/>
                <w:szCs w:val="22"/>
              </w:rPr>
              <w:t>21,879</w:t>
            </w:r>
          </w:p>
        </w:tc>
      </w:tr>
      <w:tr w:rsidR="001D0350" w:rsidRPr="00D55DC6" w:rsidTr="0047570F">
        <w:trPr>
          <w:trHeight w:val="330"/>
        </w:trPr>
        <w:tc>
          <w:tcPr>
            <w:tcW w:w="2836" w:type="dxa"/>
            <w:tcBorders>
              <w:top w:val="nil"/>
              <w:left w:val="single" w:sz="4" w:space="0" w:color="auto"/>
              <w:bottom w:val="single" w:sz="4" w:space="0" w:color="auto"/>
              <w:right w:val="single" w:sz="4" w:space="0" w:color="auto"/>
            </w:tcBorders>
            <w:shd w:val="clear" w:color="000000" w:fill="D9D9D9"/>
            <w:noWrap/>
            <w:vAlign w:val="center"/>
          </w:tcPr>
          <w:p w:rsidR="00F47623" w:rsidRPr="00D55DC6" w:rsidRDefault="00F47623" w:rsidP="0038165F">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2"/>
                <w:szCs w:val="22"/>
              </w:rPr>
              <w:t>停車場委外經營收費</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125</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127</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129</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131</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133</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135</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137</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139</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141</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143</w:t>
            </w:r>
          </w:p>
        </w:tc>
        <w:tc>
          <w:tcPr>
            <w:tcW w:w="993"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 xml:space="preserve">1,708 </w:t>
            </w:r>
          </w:p>
        </w:tc>
      </w:tr>
      <w:tr w:rsidR="001D0350" w:rsidRPr="00D55DC6" w:rsidTr="0047570F">
        <w:trPr>
          <w:trHeight w:val="330"/>
        </w:trPr>
        <w:tc>
          <w:tcPr>
            <w:tcW w:w="2836" w:type="dxa"/>
            <w:tcBorders>
              <w:top w:val="nil"/>
              <w:left w:val="single" w:sz="4" w:space="0" w:color="auto"/>
              <w:bottom w:val="single" w:sz="4" w:space="0" w:color="auto"/>
              <w:right w:val="single" w:sz="4" w:space="0" w:color="auto"/>
            </w:tcBorders>
            <w:shd w:val="clear" w:color="000000" w:fill="D9D9D9"/>
            <w:noWrap/>
            <w:vAlign w:val="center"/>
          </w:tcPr>
          <w:p w:rsidR="00F47623" w:rsidRPr="00D55DC6" w:rsidRDefault="00F47623" w:rsidP="0038165F">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2"/>
                <w:szCs w:val="22"/>
              </w:rPr>
              <w:t>環境資源收益</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529</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537</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545</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553</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562</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570</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578</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587</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596</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605</w:t>
            </w:r>
          </w:p>
        </w:tc>
        <w:tc>
          <w:tcPr>
            <w:tcW w:w="993"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 xml:space="preserve">6,265 </w:t>
            </w:r>
          </w:p>
        </w:tc>
      </w:tr>
      <w:tr w:rsidR="001D0350" w:rsidRPr="00D55DC6" w:rsidTr="0047570F">
        <w:trPr>
          <w:trHeight w:val="330"/>
        </w:trPr>
        <w:tc>
          <w:tcPr>
            <w:tcW w:w="2836" w:type="dxa"/>
            <w:tcBorders>
              <w:top w:val="nil"/>
              <w:left w:val="single" w:sz="4" w:space="0" w:color="auto"/>
              <w:bottom w:val="single" w:sz="4" w:space="0" w:color="auto"/>
              <w:right w:val="single" w:sz="4" w:space="0" w:color="auto"/>
            </w:tcBorders>
            <w:shd w:val="clear" w:color="000000" w:fill="D9D9D9"/>
            <w:noWrap/>
            <w:vAlign w:val="center"/>
          </w:tcPr>
          <w:p w:rsidR="00F47623" w:rsidRPr="00D55DC6" w:rsidRDefault="00F47623" w:rsidP="0038165F">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2"/>
                <w:szCs w:val="22"/>
              </w:rPr>
              <w:t>船票收益</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955</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970</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984</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999</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1,014</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1,029</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1,044</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1,060</w:t>
            </w:r>
          </w:p>
        </w:tc>
        <w:tc>
          <w:tcPr>
            <w:tcW w:w="709"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1,076</w:t>
            </w:r>
          </w:p>
        </w:tc>
        <w:tc>
          <w:tcPr>
            <w:tcW w:w="708"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1,092</w:t>
            </w:r>
          </w:p>
        </w:tc>
        <w:tc>
          <w:tcPr>
            <w:tcW w:w="993" w:type="dxa"/>
            <w:tcBorders>
              <w:top w:val="nil"/>
              <w:left w:val="nil"/>
              <w:bottom w:val="single" w:sz="4" w:space="0" w:color="auto"/>
              <w:right w:val="single" w:sz="4" w:space="0" w:color="auto"/>
            </w:tcBorders>
            <w:shd w:val="clear" w:color="auto" w:fill="auto"/>
            <w:noWrap/>
            <w:vAlign w:val="center"/>
          </w:tcPr>
          <w:p w:rsidR="00F47623" w:rsidRPr="00D55DC6" w:rsidRDefault="00F47623" w:rsidP="0038165F">
            <w:pPr>
              <w:spacing w:line="0" w:lineRule="atLeast"/>
              <w:jc w:val="right"/>
              <w:rPr>
                <w:sz w:val="22"/>
                <w:szCs w:val="22"/>
              </w:rPr>
            </w:pPr>
            <w:r w:rsidRPr="00D55DC6">
              <w:rPr>
                <w:sz w:val="22"/>
                <w:szCs w:val="22"/>
              </w:rPr>
              <w:t xml:space="preserve">13,905 </w:t>
            </w:r>
          </w:p>
        </w:tc>
      </w:tr>
      <w:tr w:rsidR="001D0350" w:rsidRPr="00D55DC6" w:rsidTr="0047570F">
        <w:trPr>
          <w:trHeight w:val="345"/>
        </w:trPr>
        <w:tc>
          <w:tcPr>
            <w:tcW w:w="2836" w:type="dxa"/>
            <w:tcBorders>
              <w:top w:val="nil"/>
              <w:left w:val="single" w:sz="4" w:space="0" w:color="auto"/>
              <w:bottom w:val="single" w:sz="4" w:space="0" w:color="auto"/>
              <w:right w:val="single" w:sz="4" w:space="0" w:color="auto"/>
            </w:tcBorders>
            <w:shd w:val="clear" w:color="000000" w:fill="D9D9D9"/>
            <w:noWrap/>
            <w:vAlign w:val="center"/>
          </w:tcPr>
          <w:p w:rsidR="00F47623" w:rsidRPr="00D55DC6" w:rsidRDefault="00F47623" w:rsidP="0038165F">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合</w:t>
            </w:r>
            <w:r w:rsidRPr="00D55DC6">
              <w:rPr>
                <w:rFonts w:eastAsia="標楷體"/>
                <w:kern w:val="0"/>
                <w:sz w:val="20"/>
                <w:szCs w:val="20"/>
              </w:rPr>
              <w:t xml:space="preserve">          </w:t>
            </w:r>
            <w:r w:rsidRPr="00D55DC6">
              <w:rPr>
                <w:rFonts w:eastAsia="標楷體"/>
                <w:kern w:val="0"/>
                <w:sz w:val="20"/>
                <w:szCs w:val="20"/>
              </w:rPr>
              <w:t>計</w:t>
            </w:r>
          </w:p>
        </w:tc>
        <w:tc>
          <w:tcPr>
            <w:tcW w:w="709" w:type="dxa"/>
            <w:tcBorders>
              <w:top w:val="nil"/>
              <w:left w:val="nil"/>
              <w:bottom w:val="single" w:sz="4" w:space="0" w:color="auto"/>
              <w:right w:val="single" w:sz="4" w:space="0" w:color="auto"/>
            </w:tcBorders>
            <w:shd w:val="clear" w:color="000000" w:fill="E4DFEC"/>
            <w:noWrap/>
            <w:vAlign w:val="center"/>
          </w:tcPr>
          <w:p w:rsidR="00F47623" w:rsidRPr="00D55DC6" w:rsidRDefault="00F47623" w:rsidP="0038165F">
            <w:pPr>
              <w:spacing w:line="0" w:lineRule="atLeast"/>
              <w:jc w:val="right"/>
              <w:rPr>
                <w:sz w:val="22"/>
                <w:szCs w:val="22"/>
              </w:rPr>
            </w:pPr>
            <w:r w:rsidRPr="00D55DC6">
              <w:rPr>
                <w:sz w:val="22"/>
                <w:szCs w:val="22"/>
              </w:rPr>
              <w:t xml:space="preserve">85,474 </w:t>
            </w:r>
          </w:p>
        </w:tc>
        <w:tc>
          <w:tcPr>
            <w:tcW w:w="708" w:type="dxa"/>
            <w:tcBorders>
              <w:top w:val="nil"/>
              <w:left w:val="nil"/>
              <w:bottom w:val="single" w:sz="4" w:space="0" w:color="auto"/>
              <w:right w:val="single" w:sz="4" w:space="0" w:color="auto"/>
            </w:tcBorders>
            <w:shd w:val="clear" w:color="000000" w:fill="E4DFEC"/>
            <w:noWrap/>
            <w:vAlign w:val="center"/>
          </w:tcPr>
          <w:p w:rsidR="00F47623" w:rsidRPr="00D55DC6" w:rsidRDefault="00F47623" w:rsidP="0038165F">
            <w:pPr>
              <w:spacing w:line="0" w:lineRule="atLeast"/>
              <w:jc w:val="right"/>
              <w:rPr>
                <w:sz w:val="22"/>
                <w:szCs w:val="22"/>
              </w:rPr>
            </w:pPr>
            <w:r w:rsidRPr="00D55DC6">
              <w:rPr>
                <w:sz w:val="22"/>
                <w:szCs w:val="22"/>
              </w:rPr>
              <w:t xml:space="preserve">87,120 </w:t>
            </w:r>
          </w:p>
        </w:tc>
        <w:tc>
          <w:tcPr>
            <w:tcW w:w="709" w:type="dxa"/>
            <w:tcBorders>
              <w:top w:val="nil"/>
              <w:left w:val="nil"/>
              <w:bottom w:val="single" w:sz="4" w:space="0" w:color="auto"/>
              <w:right w:val="single" w:sz="4" w:space="0" w:color="auto"/>
            </w:tcBorders>
            <w:shd w:val="clear" w:color="000000" w:fill="E4DFEC"/>
            <w:noWrap/>
            <w:vAlign w:val="center"/>
          </w:tcPr>
          <w:p w:rsidR="00F47623" w:rsidRPr="00D55DC6" w:rsidRDefault="00F47623" w:rsidP="0038165F">
            <w:pPr>
              <w:spacing w:line="0" w:lineRule="atLeast"/>
              <w:jc w:val="right"/>
              <w:rPr>
                <w:sz w:val="22"/>
                <w:szCs w:val="22"/>
              </w:rPr>
            </w:pPr>
            <w:r w:rsidRPr="00D55DC6">
              <w:rPr>
                <w:sz w:val="22"/>
                <w:szCs w:val="22"/>
              </w:rPr>
              <w:t xml:space="preserve">88,297 </w:t>
            </w:r>
          </w:p>
        </w:tc>
        <w:tc>
          <w:tcPr>
            <w:tcW w:w="709" w:type="dxa"/>
            <w:tcBorders>
              <w:top w:val="nil"/>
              <w:left w:val="nil"/>
              <w:bottom w:val="single" w:sz="4" w:space="0" w:color="auto"/>
              <w:right w:val="single" w:sz="4" w:space="0" w:color="auto"/>
            </w:tcBorders>
            <w:shd w:val="clear" w:color="000000" w:fill="E4DFEC"/>
            <w:noWrap/>
            <w:vAlign w:val="center"/>
          </w:tcPr>
          <w:p w:rsidR="00F47623" w:rsidRPr="00D55DC6" w:rsidRDefault="00F47623" w:rsidP="0038165F">
            <w:pPr>
              <w:spacing w:line="0" w:lineRule="atLeast"/>
              <w:jc w:val="right"/>
              <w:rPr>
                <w:sz w:val="22"/>
                <w:szCs w:val="22"/>
              </w:rPr>
            </w:pPr>
            <w:r w:rsidRPr="00D55DC6">
              <w:rPr>
                <w:sz w:val="22"/>
                <w:szCs w:val="22"/>
              </w:rPr>
              <w:t xml:space="preserve">89,495 </w:t>
            </w:r>
          </w:p>
        </w:tc>
        <w:tc>
          <w:tcPr>
            <w:tcW w:w="709" w:type="dxa"/>
            <w:tcBorders>
              <w:top w:val="nil"/>
              <w:left w:val="nil"/>
              <w:bottom w:val="single" w:sz="4" w:space="0" w:color="auto"/>
              <w:right w:val="single" w:sz="4" w:space="0" w:color="auto"/>
            </w:tcBorders>
            <w:shd w:val="clear" w:color="000000" w:fill="E4DFEC"/>
            <w:noWrap/>
            <w:vAlign w:val="center"/>
          </w:tcPr>
          <w:p w:rsidR="00F47623" w:rsidRPr="00D55DC6" w:rsidRDefault="00F47623" w:rsidP="0038165F">
            <w:pPr>
              <w:spacing w:line="0" w:lineRule="atLeast"/>
              <w:jc w:val="right"/>
              <w:rPr>
                <w:sz w:val="22"/>
                <w:szCs w:val="22"/>
              </w:rPr>
            </w:pPr>
            <w:r w:rsidRPr="00D55DC6">
              <w:rPr>
                <w:sz w:val="22"/>
                <w:szCs w:val="22"/>
              </w:rPr>
              <w:t xml:space="preserve">91,200 </w:t>
            </w:r>
          </w:p>
        </w:tc>
        <w:tc>
          <w:tcPr>
            <w:tcW w:w="708" w:type="dxa"/>
            <w:tcBorders>
              <w:top w:val="nil"/>
              <w:left w:val="nil"/>
              <w:bottom w:val="single" w:sz="4" w:space="0" w:color="auto"/>
              <w:right w:val="single" w:sz="4" w:space="0" w:color="auto"/>
            </w:tcBorders>
            <w:shd w:val="clear" w:color="000000" w:fill="E4DFEC"/>
            <w:noWrap/>
            <w:vAlign w:val="center"/>
          </w:tcPr>
          <w:p w:rsidR="00F47623" w:rsidRPr="00D55DC6" w:rsidRDefault="00F47623" w:rsidP="0038165F">
            <w:pPr>
              <w:spacing w:line="0" w:lineRule="atLeast"/>
              <w:jc w:val="right"/>
              <w:rPr>
                <w:sz w:val="22"/>
                <w:szCs w:val="22"/>
              </w:rPr>
            </w:pPr>
            <w:r w:rsidRPr="00D55DC6">
              <w:rPr>
                <w:sz w:val="22"/>
                <w:szCs w:val="22"/>
              </w:rPr>
              <w:t xml:space="preserve">92,431 </w:t>
            </w:r>
          </w:p>
        </w:tc>
        <w:tc>
          <w:tcPr>
            <w:tcW w:w="709" w:type="dxa"/>
            <w:tcBorders>
              <w:top w:val="nil"/>
              <w:left w:val="nil"/>
              <w:bottom w:val="single" w:sz="4" w:space="0" w:color="auto"/>
              <w:right w:val="single" w:sz="4" w:space="0" w:color="auto"/>
            </w:tcBorders>
            <w:shd w:val="clear" w:color="000000" w:fill="E4DFEC"/>
            <w:noWrap/>
            <w:vAlign w:val="center"/>
          </w:tcPr>
          <w:p w:rsidR="00F47623" w:rsidRPr="00D55DC6" w:rsidRDefault="00F47623" w:rsidP="0038165F">
            <w:pPr>
              <w:spacing w:line="0" w:lineRule="atLeast"/>
              <w:jc w:val="right"/>
              <w:rPr>
                <w:sz w:val="22"/>
                <w:szCs w:val="22"/>
              </w:rPr>
            </w:pPr>
            <w:r w:rsidRPr="00D55DC6">
              <w:rPr>
                <w:sz w:val="22"/>
                <w:szCs w:val="22"/>
              </w:rPr>
              <w:t xml:space="preserve">93,684 </w:t>
            </w:r>
          </w:p>
        </w:tc>
        <w:tc>
          <w:tcPr>
            <w:tcW w:w="709" w:type="dxa"/>
            <w:tcBorders>
              <w:top w:val="nil"/>
              <w:left w:val="nil"/>
              <w:bottom w:val="single" w:sz="4" w:space="0" w:color="auto"/>
              <w:right w:val="single" w:sz="4" w:space="0" w:color="auto"/>
            </w:tcBorders>
            <w:shd w:val="clear" w:color="000000" w:fill="E4DFEC"/>
            <w:noWrap/>
            <w:vAlign w:val="center"/>
          </w:tcPr>
          <w:p w:rsidR="00F47623" w:rsidRPr="00D55DC6" w:rsidRDefault="00F47623" w:rsidP="0038165F">
            <w:pPr>
              <w:spacing w:line="0" w:lineRule="atLeast"/>
              <w:jc w:val="right"/>
              <w:rPr>
                <w:sz w:val="22"/>
                <w:szCs w:val="22"/>
              </w:rPr>
            </w:pPr>
            <w:r w:rsidRPr="00D55DC6">
              <w:rPr>
                <w:sz w:val="22"/>
                <w:szCs w:val="22"/>
              </w:rPr>
              <w:t xml:space="preserve">95,496 </w:t>
            </w:r>
          </w:p>
        </w:tc>
        <w:tc>
          <w:tcPr>
            <w:tcW w:w="709" w:type="dxa"/>
            <w:tcBorders>
              <w:top w:val="nil"/>
              <w:left w:val="nil"/>
              <w:bottom w:val="single" w:sz="4" w:space="0" w:color="auto"/>
              <w:right w:val="single" w:sz="4" w:space="0" w:color="auto"/>
            </w:tcBorders>
            <w:shd w:val="clear" w:color="000000" w:fill="E4DFEC"/>
            <w:noWrap/>
            <w:vAlign w:val="center"/>
          </w:tcPr>
          <w:p w:rsidR="00F47623" w:rsidRPr="00D55DC6" w:rsidRDefault="00F47623" w:rsidP="0038165F">
            <w:pPr>
              <w:spacing w:line="0" w:lineRule="atLeast"/>
              <w:jc w:val="right"/>
              <w:rPr>
                <w:sz w:val="22"/>
                <w:szCs w:val="22"/>
              </w:rPr>
            </w:pPr>
            <w:r w:rsidRPr="00D55DC6">
              <w:rPr>
                <w:sz w:val="22"/>
                <w:szCs w:val="22"/>
              </w:rPr>
              <w:t xml:space="preserve">96,784 </w:t>
            </w:r>
          </w:p>
        </w:tc>
        <w:tc>
          <w:tcPr>
            <w:tcW w:w="708" w:type="dxa"/>
            <w:tcBorders>
              <w:top w:val="nil"/>
              <w:left w:val="nil"/>
              <w:bottom w:val="single" w:sz="4" w:space="0" w:color="auto"/>
              <w:right w:val="single" w:sz="4" w:space="0" w:color="auto"/>
            </w:tcBorders>
            <w:shd w:val="clear" w:color="000000" w:fill="E4DFEC"/>
            <w:noWrap/>
            <w:vAlign w:val="center"/>
          </w:tcPr>
          <w:p w:rsidR="00F47623" w:rsidRPr="00D55DC6" w:rsidRDefault="00F47623" w:rsidP="0038165F">
            <w:pPr>
              <w:spacing w:line="0" w:lineRule="atLeast"/>
              <w:jc w:val="right"/>
              <w:rPr>
                <w:sz w:val="22"/>
                <w:szCs w:val="22"/>
              </w:rPr>
            </w:pPr>
            <w:r w:rsidRPr="00D55DC6">
              <w:rPr>
                <w:sz w:val="22"/>
                <w:szCs w:val="22"/>
              </w:rPr>
              <w:t xml:space="preserve">98,094 </w:t>
            </w:r>
          </w:p>
        </w:tc>
        <w:tc>
          <w:tcPr>
            <w:tcW w:w="993" w:type="dxa"/>
            <w:tcBorders>
              <w:top w:val="nil"/>
              <w:left w:val="nil"/>
              <w:bottom w:val="single" w:sz="4" w:space="0" w:color="auto"/>
              <w:right w:val="single" w:sz="4" w:space="0" w:color="auto"/>
            </w:tcBorders>
            <w:shd w:val="clear" w:color="000000" w:fill="E4DFEC"/>
            <w:noWrap/>
          </w:tcPr>
          <w:p w:rsidR="00F47623" w:rsidRPr="00D55DC6" w:rsidRDefault="00F47623" w:rsidP="0038165F">
            <w:pPr>
              <w:widowControl/>
              <w:spacing w:line="0" w:lineRule="atLeast"/>
              <w:jc w:val="right"/>
              <w:rPr>
                <w:sz w:val="22"/>
                <w:szCs w:val="22"/>
              </w:rPr>
            </w:pPr>
            <w:r w:rsidRPr="00D55DC6">
              <w:rPr>
                <w:sz w:val="22"/>
                <w:szCs w:val="22"/>
              </w:rPr>
              <w:t>1,362,968</w:t>
            </w:r>
          </w:p>
        </w:tc>
      </w:tr>
    </w:tbl>
    <w:p w:rsidR="00F47623" w:rsidRPr="00D55DC6" w:rsidRDefault="00F47623" w:rsidP="0038165F">
      <w:pPr>
        <w:snapToGrid w:val="0"/>
        <w:spacing w:line="460" w:lineRule="exact"/>
        <w:ind w:left="864"/>
        <w:jc w:val="both"/>
        <w:rPr>
          <w:rFonts w:eastAsia="標楷體"/>
          <w:b/>
          <w:sz w:val="28"/>
          <w:szCs w:val="28"/>
        </w:rPr>
      </w:pPr>
    </w:p>
    <w:p w:rsidR="00F47623" w:rsidRPr="00D55DC6" w:rsidRDefault="00F47623" w:rsidP="0038165F">
      <w:pPr>
        <w:snapToGrid w:val="0"/>
        <w:spacing w:line="460" w:lineRule="exact"/>
        <w:ind w:left="864"/>
        <w:jc w:val="both"/>
        <w:rPr>
          <w:rFonts w:eastAsia="標楷體"/>
          <w:b/>
          <w:sz w:val="28"/>
          <w:szCs w:val="28"/>
        </w:rPr>
      </w:pPr>
    </w:p>
    <w:p w:rsidR="00F47623" w:rsidRPr="00D55DC6" w:rsidRDefault="00F47623" w:rsidP="0038165F">
      <w:pPr>
        <w:snapToGrid w:val="0"/>
        <w:spacing w:line="460" w:lineRule="exact"/>
        <w:ind w:left="864"/>
        <w:jc w:val="both"/>
        <w:rPr>
          <w:rFonts w:eastAsia="標楷體"/>
          <w:b/>
          <w:sz w:val="28"/>
          <w:szCs w:val="28"/>
        </w:rPr>
      </w:pPr>
    </w:p>
    <w:p w:rsidR="00F47623" w:rsidRPr="00D55DC6" w:rsidRDefault="00F47623" w:rsidP="0038165F">
      <w:pPr>
        <w:snapToGrid w:val="0"/>
        <w:spacing w:line="460" w:lineRule="exact"/>
        <w:ind w:left="864"/>
        <w:jc w:val="both"/>
        <w:rPr>
          <w:rFonts w:eastAsia="標楷體"/>
          <w:b/>
          <w:sz w:val="28"/>
          <w:szCs w:val="28"/>
        </w:rPr>
      </w:pPr>
    </w:p>
    <w:p w:rsidR="00F47623" w:rsidRPr="00D55DC6" w:rsidRDefault="00F47623" w:rsidP="0038165F">
      <w:pPr>
        <w:snapToGrid w:val="0"/>
        <w:spacing w:line="460" w:lineRule="exact"/>
        <w:ind w:left="864"/>
        <w:jc w:val="both"/>
        <w:rPr>
          <w:rFonts w:eastAsia="標楷體"/>
          <w:b/>
          <w:sz w:val="28"/>
          <w:szCs w:val="28"/>
        </w:rPr>
      </w:pPr>
    </w:p>
    <w:p w:rsidR="00F47623" w:rsidRPr="00D55DC6" w:rsidRDefault="00F47623" w:rsidP="004865C1">
      <w:pPr>
        <w:numPr>
          <w:ilvl w:val="0"/>
          <w:numId w:val="107"/>
        </w:numPr>
        <w:snapToGrid w:val="0"/>
        <w:spacing w:line="460" w:lineRule="exact"/>
        <w:jc w:val="both"/>
        <w:rPr>
          <w:rFonts w:eastAsia="標楷體"/>
          <w:b/>
          <w:sz w:val="28"/>
          <w:szCs w:val="28"/>
        </w:rPr>
      </w:pPr>
      <w:r w:rsidRPr="00D55DC6">
        <w:rPr>
          <w:rFonts w:eastAsia="標楷體"/>
          <w:b/>
          <w:sz w:val="28"/>
          <w:szCs w:val="28"/>
        </w:rPr>
        <w:lastRenderedPageBreak/>
        <w:t>自償率估算</w:t>
      </w:r>
    </w:p>
    <w:p w:rsidR="00F64BBC" w:rsidRPr="00D55DC6" w:rsidRDefault="00F47623" w:rsidP="00F64BBC">
      <w:pPr>
        <w:snapToGrid w:val="0"/>
        <w:spacing w:line="460" w:lineRule="exact"/>
        <w:ind w:left="709"/>
        <w:jc w:val="both"/>
        <w:rPr>
          <w:rFonts w:eastAsia="標楷體"/>
          <w:sz w:val="28"/>
          <w:szCs w:val="28"/>
        </w:rPr>
      </w:pPr>
      <w:r w:rsidRPr="00D55DC6">
        <w:rPr>
          <w:rFonts w:eastAsia="標楷體"/>
          <w:sz w:val="28"/>
          <w:szCs w:val="28"/>
        </w:rPr>
        <w:t xml:space="preserve">　　</w:t>
      </w:r>
      <w:r w:rsidR="00F64BBC" w:rsidRPr="00D55DC6">
        <w:rPr>
          <w:rFonts w:eastAsia="標楷體"/>
          <w:sz w:val="28"/>
          <w:szCs w:val="28"/>
        </w:rPr>
        <w:t>本計畫預計未來</w:t>
      </w:r>
      <w:r w:rsidR="00F64BBC" w:rsidRPr="00D55DC6">
        <w:rPr>
          <w:rFonts w:eastAsia="標楷體"/>
          <w:sz w:val="28"/>
          <w:szCs w:val="28"/>
        </w:rPr>
        <w:t>20</w:t>
      </w:r>
      <w:r w:rsidR="00F64BBC" w:rsidRPr="00D55DC6">
        <w:rPr>
          <w:rFonts w:eastAsia="標楷體"/>
          <w:sz w:val="28"/>
          <w:szCs w:val="28"/>
        </w:rPr>
        <w:t>年雲嘉南濱海國家風景區建設經營分年之現金流量如表，以</w:t>
      </w:r>
      <w:r w:rsidR="00F64BBC" w:rsidRPr="00D55DC6">
        <w:rPr>
          <w:rFonts w:eastAsia="標楷體"/>
          <w:sz w:val="28"/>
          <w:szCs w:val="28"/>
        </w:rPr>
        <w:t>2.88%</w:t>
      </w:r>
      <w:r w:rsidR="00F64BBC" w:rsidRPr="00D55DC6">
        <w:rPr>
          <w:rFonts w:eastAsia="標楷體"/>
          <w:sz w:val="28"/>
          <w:szCs w:val="28"/>
        </w:rPr>
        <w:t>折現率（參考中央銀行公告五大銀行基本利率）計算，未來</w:t>
      </w:r>
      <w:r w:rsidR="00F64BBC" w:rsidRPr="00D55DC6">
        <w:rPr>
          <w:rFonts w:eastAsia="標楷體"/>
          <w:sz w:val="28"/>
          <w:szCs w:val="28"/>
        </w:rPr>
        <w:t>20</w:t>
      </w:r>
      <w:r w:rsidR="00F64BBC" w:rsidRPr="00D55DC6">
        <w:rPr>
          <w:rFonts w:eastAsia="標楷體"/>
          <w:sz w:val="28"/>
          <w:szCs w:val="28"/>
        </w:rPr>
        <w:t>年期間計畫投入現值為</w:t>
      </w:r>
      <w:r w:rsidR="00F64BBC" w:rsidRPr="00D55DC6">
        <w:rPr>
          <w:rFonts w:eastAsia="標楷體"/>
          <w:sz w:val="28"/>
          <w:szCs w:val="28"/>
        </w:rPr>
        <w:t>3</w:t>
      </w:r>
      <w:r w:rsidR="00F64BBC" w:rsidRPr="00D55DC6">
        <w:rPr>
          <w:rFonts w:eastAsia="標楷體" w:hint="eastAsia"/>
          <w:sz w:val="28"/>
          <w:szCs w:val="28"/>
        </w:rPr>
        <w:t>6</w:t>
      </w:r>
      <w:r w:rsidR="00F64BBC" w:rsidRPr="00D55DC6">
        <w:rPr>
          <w:rFonts w:eastAsia="標楷體"/>
          <w:sz w:val="28"/>
          <w:szCs w:val="28"/>
        </w:rPr>
        <w:t>億</w:t>
      </w:r>
      <w:r w:rsidR="00F64BBC" w:rsidRPr="00D55DC6">
        <w:rPr>
          <w:rFonts w:eastAsia="標楷體" w:hint="eastAsia"/>
          <w:sz w:val="28"/>
          <w:szCs w:val="28"/>
        </w:rPr>
        <w:t>7</w:t>
      </w:r>
      <w:r w:rsidR="00F64BBC" w:rsidRPr="00D55DC6">
        <w:rPr>
          <w:rFonts w:eastAsia="標楷體"/>
          <w:sz w:val="28"/>
          <w:szCs w:val="28"/>
        </w:rPr>
        <w:t>2</w:t>
      </w:r>
      <w:r w:rsidR="00F64BBC" w:rsidRPr="00D55DC6">
        <w:rPr>
          <w:rFonts w:eastAsia="標楷體" w:hint="eastAsia"/>
          <w:sz w:val="28"/>
          <w:szCs w:val="28"/>
        </w:rPr>
        <w:t>7</w:t>
      </w:r>
      <w:r w:rsidR="00F64BBC" w:rsidRPr="00D55DC6">
        <w:rPr>
          <w:rFonts w:eastAsia="標楷體"/>
          <w:sz w:val="28"/>
          <w:szCs w:val="28"/>
        </w:rPr>
        <w:t>萬元，而收益預估現值為</w:t>
      </w:r>
      <w:r w:rsidR="00F64BBC" w:rsidRPr="00D55DC6">
        <w:rPr>
          <w:rFonts w:eastAsia="標楷體"/>
          <w:sz w:val="28"/>
          <w:szCs w:val="28"/>
        </w:rPr>
        <w:t>9</w:t>
      </w:r>
      <w:r w:rsidR="00F64BBC" w:rsidRPr="00D55DC6">
        <w:rPr>
          <w:rFonts w:eastAsia="標楷體"/>
          <w:sz w:val="28"/>
          <w:szCs w:val="28"/>
        </w:rPr>
        <w:t>億</w:t>
      </w:r>
      <w:r w:rsidR="00F64BBC" w:rsidRPr="00D55DC6">
        <w:rPr>
          <w:rFonts w:eastAsia="標楷體"/>
          <w:sz w:val="28"/>
          <w:szCs w:val="28"/>
        </w:rPr>
        <w:t>4,894</w:t>
      </w:r>
      <w:r w:rsidR="00F64BBC" w:rsidRPr="00D55DC6">
        <w:rPr>
          <w:rFonts w:eastAsia="標楷體"/>
          <w:sz w:val="28"/>
          <w:szCs w:val="28"/>
        </w:rPr>
        <w:t>萬元，整體計畫自償率為</w:t>
      </w:r>
      <w:r w:rsidR="00F64BBC" w:rsidRPr="00D55DC6">
        <w:rPr>
          <w:rFonts w:eastAsia="標楷體"/>
          <w:sz w:val="28"/>
          <w:szCs w:val="28"/>
        </w:rPr>
        <w:t>2</w:t>
      </w:r>
      <w:r w:rsidR="00F64BBC" w:rsidRPr="00D55DC6">
        <w:rPr>
          <w:rFonts w:eastAsia="標楷體" w:hint="eastAsia"/>
          <w:sz w:val="28"/>
          <w:szCs w:val="28"/>
        </w:rPr>
        <w:t>6.31</w:t>
      </w:r>
      <w:r w:rsidR="00F64BBC" w:rsidRPr="00D55DC6">
        <w:rPr>
          <w:rFonts w:eastAsia="標楷體"/>
          <w:sz w:val="28"/>
          <w:szCs w:val="28"/>
        </w:rPr>
        <w:t>%</w:t>
      </w:r>
      <w:r w:rsidR="00F64BBC" w:rsidRPr="00D55DC6">
        <w:rPr>
          <w:rFonts w:eastAsia="標楷體"/>
          <w:sz w:val="28"/>
          <w:szCs w:val="28"/>
        </w:rPr>
        <w:t>。</w:t>
      </w:r>
    </w:p>
    <w:p w:rsidR="00F64BBC" w:rsidRPr="00D55DC6" w:rsidRDefault="00F64BBC" w:rsidP="00F64BBC">
      <w:pPr>
        <w:snapToGrid w:val="0"/>
        <w:spacing w:line="460" w:lineRule="exact"/>
        <w:ind w:left="709"/>
        <w:jc w:val="both"/>
        <w:rPr>
          <w:rFonts w:eastAsia="標楷體"/>
          <w:sz w:val="28"/>
          <w:szCs w:val="28"/>
        </w:rPr>
      </w:pPr>
    </w:p>
    <w:p w:rsidR="00F64BBC" w:rsidRPr="00D55DC6" w:rsidRDefault="00F64BBC" w:rsidP="00F64BBC">
      <w:pPr>
        <w:snapToGrid w:val="0"/>
        <w:spacing w:line="460" w:lineRule="exact"/>
        <w:jc w:val="both"/>
        <w:rPr>
          <w:rFonts w:eastAsia="標楷體"/>
          <w:sz w:val="28"/>
          <w:szCs w:val="22"/>
        </w:rPr>
      </w:pPr>
      <w:r w:rsidRPr="00D55DC6">
        <w:rPr>
          <w:rFonts w:eastAsia="標楷體"/>
          <w:sz w:val="28"/>
          <w:szCs w:val="22"/>
        </w:rPr>
        <w:t>自償率分析表（單位：千元）</w:t>
      </w:r>
    </w:p>
    <w:tbl>
      <w:tblPr>
        <w:tblW w:w="11154" w:type="dxa"/>
        <w:jc w:val="center"/>
        <w:tblInd w:w="312" w:type="dxa"/>
        <w:tblCellMar>
          <w:left w:w="28" w:type="dxa"/>
          <w:right w:w="28" w:type="dxa"/>
        </w:tblCellMar>
        <w:tblLook w:val="04A0" w:firstRow="1" w:lastRow="0" w:firstColumn="1" w:lastColumn="0" w:noHBand="0" w:noVBand="1"/>
      </w:tblPr>
      <w:tblGrid>
        <w:gridCol w:w="1196"/>
        <w:gridCol w:w="1136"/>
        <w:gridCol w:w="906"/>
        <w:gridCol w:w="836"/>
        <w:gridCol w:w="868"/>
        <w:gridCol w:w="867"/>
        <w:gridCol w:w="867"/>
        <w:gridCol w:w="868"/>
        <w:gridCol w:w="867"/>
        <w:gridCol w:w="867"/>
        <w:gridCol w:w="868"/>
        <w:gridCol w:w="1016"/>
      </w:tblGrid>
      <w:tr w:rsidR="001D0350" w:rsidRPr="00D55DC6" w:rsidTr="00BB7B91">
        <w:trPr>
          <w:gridAfter w:val="1"/>
          <w:wAfter w:w="1016" w:type="dxa"/>
          <w:trHeight w:val="345"/>
          <w:tblHeader/>
          <w:jc w:val="center"/>
        </w:trPr>
        <w:tc>
          <w:tcPr>
            <w:tcW w:w="1196" w:type="dxa"/>
            <w:tcBorders>
              <w:top w:val="single" w:sz="4" w:space="0" w:color="auto"/>
              <w:left w:val="single" w:sz="4" w:space="0" w:color="auto"/>
              <w:bottom w:val="double" w:sz="6" w:space="0" w:color="auto"/>
              <w:right w:val="single" w:sz="4" w:space="0" w:color="auto"/>
            </w:tcBorders>
            <w:shd w:val="clear" w:color="000000" w:fill="FFCC00"/>
            <w:noWrap/>
            <w:vAlign w:val="center"/>
            <w:hideMark/>
          </w:tcPr>
          <w:p w:rsidR="00BB7B91" w:rsidRPr="00D55DC6" w:rsidRDefault="00BB7B91" w:rsidP="00F64BBC">
            <w:pPr>
              <w:widowControl/>
              <w:spacing w:line="460" w:lineRule="exact"/>
              <w:jc w:val="both"/>
              <w:rPr>
                <w:rFonts w:eastAsia="標楷體"/>
                <w:kern w:val="0"/>
                <w:szCs w:val="20"/>
              </w:rPr>
            </w:pPr>
            <w:r w:rsidRPr="00D55DC6">
              <w:rPr>
                <w:rFonts w:eastAsia="標楷體"/>
                <w:kern w:val="0"/>
                <w:szCs w:val="20"/>
              </w:rPr>
              <w:t>項目</w:t>
            </w:r>
            <w:r w:rsidRPr="00D55DC6">
              <w:rPr>
                <w:rFonts w:eastAsia="標楷體"/>
                <w:kern w:val="0"/>
                <w:szCs w:val="20"/>
              </w:rPr>
              <w:t>\</w:t>
            </w:r>
            <w:r w:rsidRPr="00D55DC6">
              <w:rPr>
                <w:rFonts w:eastAsia="標楷體"/>
                <w:kern w:val="0"/>
                <w:szCs w:val="20"/>
              </w:rPr>
              <w:t>年度</w:t>
            </w:r>
          </w:p>
        </w:tc>
        <w:tc>
          <w:tcPr>
            <w:tcW w:w="1136" w:type="dxa"/>
            <w:tcBorders>
              <w:top w:val="single" w:sz="4" w:space="0" w:color="auto"/>
              <w:left w:val="nil"/>
              <w:bottom w:val="double" w:sz="6" w:space="0" w:color="auto"/>
              <w:right w:val="single" w:sz="4" w:space="0" w:color="auto"/>
            </w:tcBorders>
            <w:shd w:val="clear" w:color="000000" w:fill="FFCC00"/>
            <w:noWrap/>
            <w:vAlign w:val="center"/>
            <w:hideMark/>
          </w:tcPr>
          <w:p w:rsidR="00BB7B91" w:rsidRPr="00D55DC6" w:rsidRDefault="00BB7B91" w:rsidP="00F64BBC">
            <w:pPr>
              <w:widowControl/>
              <w:spacing w:line="460" w:lineRule="exact"/>
              <w:jc w:val="both"/>
              <w:rPr>
                <w:rFonts w:eastAsia="標楷體"/>
                <w:kern w:val="0"/>
                <w:szCs w:val="22"/>
              </w:rPr>
            </w:pPr>
            <w:r w:rsidRPr="00D55DC6">
              <w:rPr>
                <w:rFonts w:eastAsia="標楷體"/>
                <w:kern w:val="0"/>
                <w:szCs w:val="22"/>
              </w:rPr>
              <w:t>103</w:t>
            </w:r>
            <w:r w:rsidRPr="00D55DC6">
              <w:rPr>
                <w:rFonts w:eastAsia="標楷體"/>
                <w:kern w:val="0"/>
                <w:szCs w:val="22"/>
              </w:rPr>
              <w:t>年</w:t>
            </w:r>
          </w:p>
        </w:tc>
        <w:tc>
          <w:tcPr>
            <w:tcW w:w="906" w:type="dxa"/>
            <w:tcBorders>
              <w:top w:val="single" w:sz="4" w:space="0" w:color="auto"/>
              <w:left w:val="nil"/>
              <w:bottom w:val="double" w:sz="6" w:space="0" w:color="auto"/>
              <w:right w:val="single" w:sz="4" w:space="0" w:color="auto"/>
            </w:tcBorders>
            <w:shd w:val="clear" w:color="000000" w:fill="FFCC00"/>
            <w:noWrap/>
            <w:vAlign w:val="center"/>
            <w:hideMark/>
          </w:tcPr>
          <w:p w:rsidR="00BB7B91" w:rsidRPr="00D55DC6" w:rsidRDefault="00BB7B91" w:rsidP="00F64BBC">
            <w:pPr>
              <w:widowControl/>
              <w:spacing w:line="460" w:lineRule="exact"/>
              <w:jc w:val="both"/>
              <w:rPr>
                <w:rFonts w:eastAsia="標楷體"/>
                <w:kern w:val="0"/>
                <w:szCs w:val="22"/>
              </w:rPr>
            </w:pPr>
            <w:r w:rsidRPr="00D55DC6">
              <w:rPr>
                <w:rFonts w:eastAsia="標楷體"/>
                <w:kern w:val="0"/>
                <w:szCs w:val="22"/>
              </w:rPr>
              <w:t>104</w:t>
            </w:r>
            <w:r w:rsidRPr="00D55DC6">
              <w:rPr>
                <w:rFonts w:eastAsia="標楷體"/>
                <w:kern w:val="0"/>
                <w:szCs w:val="22"/>
              </w:rPr>
              <w:t>年</w:t>
            </w:r>
          </w:p>
        </w:tc>
        <w:tc>
          <w:tcPr>
            <w:tcW w:w="828" w:type="dxa"/>
            <w:tcBorders>
              <w:top w:val="single" w:sz="4" w:space="0" w:color="auto"/>
              <w:left w:val="nil"/>
              <w:bottom w:val="double" w:sz="6" w:space="0" w:color="auto"/>
              <w:right w:val="single" w:sz="4" w:space="0" w:color="auto"/>
            </w:tcBorders>
            <w:shd w:val="clear" w:color="000000" w:fill="FFCC00"/>
            <w:noWrap/>
            <w:vAlign w:val="center"/>
            <w:hideMark/>
          </w:tcPr>
          <w:p w:rsidR="00BB7B91" w:rsidRPr="00D55DC6" w:rsidRDefault="00BB7B91" w:rsidP="00F64BBC">
            <w:pPr>
              <w:widowControl/>
              <w:spacing w:line="460" w:lineRule="exact"/>
              <w:jc w:val="both"/>
              <w:rPr>
                <w:rFonts w:eastAsia="標楷體"/>
                <w:kern w:val="0"/>
                <w:szCs w:val="22"/>
              </w:rPr>
            </w:pPr>
            <w:r w:rsidRPr="00D55DC6">
              <w:rPr>
                <w:rFonts w:eastAsia="標楷體"/>
                <w:kern w:val="0"/>
                <w:szCs w:val="22"/>
              </w:rPr>
              <w:t>105</w:t>
            </w:r>
            <w:r w:rsidRPr="00D55DC6">
              <w:rPr>
                <w:rFonts w:eastAsia="標楷體"/>
                <w:kern w:val="0"/>
                <w:szCs w:val="22"/>
              </w:rPr>
              <w:t>年</w:t>
            </w:r>
          </w:p>
        </w:tc>
        <w:tc>
          <w:tcPr>
            <w:tcW w:w="868" w:type="dxa"/>
            <w:tcBorders>
              <w:top w:val="single" w:sz="4" w:space="0" w:color="auto"/>
              <w:left w:val="nil"/>
              <w:bottom w:val="double" w:sz="6" w:space="0" w:color="auto"/>
              <w:right w:val="single" w:sz="4" w:space="0" w:color="auto"/>
            </w:tcBorders>
            <w:shd w:val="clear" w:color="000000" w:fill="FFCC00"/>
            <w:noWrap/>
            <w:vAlign w:val="center"/>
            <w:hideMark/>
          </w:tcPr>
          <w:p w:rsidR="00BB7B91" w:rsidRPr="00D55DC6" w:rsidRDefault="00BB7B91" w:rsidP="00F64BBC">
            <w:pPr>
              <w:widowControl/>
              <w:spacing w:line="460" w:lineRule="exact"/>
              <w:jc w:val="both"/>
              <w:rPr>
                <w:rFonts w:eastAsia="標楷體"/>
                <w:kern w:val="0"/>
                <w:szCs w:val="22"/>
              </w:rPr>
            </w:pPr>
            <w:r w:rsidRPr="00D55DC6">
              <w:rPr>
                <w:rFonts w:eastAsia="標楷體"/>
                <w:kern w:val="0"/>
                <w:szCs w:val="22"/>
              </w:rPr>
              <w:t>106</w:t>
            </w:r>
            <w:r w:rsidRPr="00D55DC6">
              <w:rPr>
                <w:rFonts w:eastAsia="標楷體"/>
                <w:kern w:val="0"/>
                <w:szCs w:val="22"/>
              </w:rPr>
              <w:t>年</w:t>
            </w:r>
          </w:p>
        </w:tc>
        <w:tc>
          <w:tcPr>
            <w:tcW w:w="867" w:type="dxa"/>
            <w:tcBorders>
              <w:top w:val="single" w:sz="4" w:space="0" w:color="auto"/>
              <w:left w:val="nil"/>
              <w:bottom w:val="double" w:sz="6" w:space="0" w:color="auto"/>
              <w:right w:val="single" w:sz="4" w:space="0" w:color="auto"/>
            </w:tcBorders>
            <w:shd w:val="clear" w:color="000000" w:fill="FFCC00"/>
            <w:noWrap/>
            <w:vAlign w:val="center"/>
            <w:hideMark/>
          </w:tcPr>
          <w:p w:rsidR="00BB7B91" w:rsidRPr="00D55DC6" w:rsidRDefault="00BB7B91" w:rsidP="00F64BBC">
            <w:pPr>
              <w:widowControl/>
              <w:spacing w:line="460" w:lineRule="exact"/>
              <w:jc w:val="both"/>
              <w:rPr>
                <w:rFonts w:eastAsia="標楷體"/>
                <w:kern w:val="0"/>
                <w:szCs w:val="22"/>
              </w:rPr>
            </w:pPr>
            <w:r w:rsidRPr="00D55DC6">
              <w:rPr>
                <w:rFonts w:eastAsia="標楷體"/>
                <w:kern w:val="0"/>
                <w:szCs w:val="22"/>
              </w:rPr>
              <w:t>107</w:t>
            </w:r>
            <w:r w:rsidRPr="00D55DC6">
              <w:rPr>
                <w:rFonts w:eastAsia="標楷體"/>
                <w:kern w:val="0"/>
                <w:szCs w:val="22"/>
              </w:rPr>
              <w:t>年</w:t>
            </w:r>
          </w:p>
        </w:tc>
        <w:tc>
          <w:tcPr>
            <w:tcW w:w="867" w:type="dxa"/>
            <w:tcBorders>
              <w:top w:val="single" w:sz="4" w:space="0" w:color="auto"/>
              <w:left w:val="nil"/>
              <w:bottom w:val="double" w:sz="6" w:space="0" w:color="auto"/>
              <w:right w:val="single" w:sz="4" w:space="0" w:color="auto"/>
            </w:tcBorders>
            <w:shd w:val="clear" w:color="000000" w:fill="FFCC00"/>
            <w:noWrap/>
            <w:vAlign w:val="center"/>
            <w:hideMark/>
          </w:tcPr>
          <w:p w:rsidR="00BB7B91" w:rsidRPr="00D55DC6" w:rsidRDefault="00BB7B91" w:rsidP="00F64BBC">
            <w:pPr>
              <w:widowControl/>
              <w:spacing w:line="460" w:lineRule="exact"/>
              <w:jc w:val="both"/>
              <w:rPr>
                <w:rFonts w:eastAsia="標楷體"/>
                <w:kern w:val="0"/>
                <w:szCs w:val="22"/>
              </w:rPr>
            </w:pPr>
            <w:r w:rsidRPr="00D55DC6">
              <w:rPr>
                <w:rFonts w:eastAsia="標楷體"/>
                <w:kern w:val="0"/>
                <w:szCs w:val="22"/>
              </w:rPr>
              <w:t>108</w:t>
            </w:r>
            <w:r w:rsidRPr="00D55DC6">
              <w:rPr>
                <w:rFonts w:eastAsia="標楷體"/>
                <w:kern w:val="0"/>
                <w:szCs w:val="22"/>
              </w:rPr>
              <w:t>年</w:t>
            </w:r>
          </w:p>
        </w:tc>
        <w:tc>
          <w:tcPr>
            <w:tcW w:w="868" w:type="dxa"/>
            <w:tcBorders>
              <w:top w:val="single" w:sz="4" w:space="0" w:color="auto"/>
              <w:left w:val="nil"/>
              <w:bottom w:val="double" w:sz="6" w:space="0" w:color="auto"/>
              <w:right w:val="single" w:sz="4" w:space="0" w:color="auto"/>
            </w:tcBorders>
            <w:shd w:val="clear" w:color="000000" w:fill="FFCC00"/>
            <w:noWrap/>
            <w:vAlign w:val="center"/>
            <w:hideMark/>
          </w:tcPr>
          <w:p w:rsidR="00BB7B91" w:rsidRPr="00D55DC6" w:rsidRDefault="00BB7B91" w:rsidP="00F64BBC">
            <w:pPr>
              <w:widowControl/>
              <w:spacing w:line="460" w:lineRule="exact"/>
              <w:jc w:val="both"/>
              <w:rPr>
                <w:rFonts w:eastAsia="標楷體"/>
                <w:kern w:val="0"/>
                <w:szCs w:val="22"/>
              </w:rPr>
            </w:pPr>
            <w:r w:rsidRPr="00D55DC6">
              <w:rPr>
                <w:rFonts w:eastAsia="標楷體"/>
                <w:kern w:val="0"/>
                <w:szCs w:val="22"/>
              </w:rPr>
              <w:t>109</w:t>
            </w:r>
            <w:r w:rsidRPr="00D55DC6">
              <w:rPr>
                <w:rFonts w:eastAsia="標楷體"/>
                <w:kern w:val="0"/>
                <w:szCs w:val="22"/>
              </w:rPr>
              <w:t>年</w:t>
            </w:r>
          </w:p>
        </w:tc>
        <w:tc>
          <w:tcPr>
            <w:tcW w:w="867" w:type="dxa"/>
            <w:tcBorders>
              <w:top w:val="single" w:sz="4" w:space="0" w:color="auto"/>
              <w:left w:val="nil"/>
              <w:bottom w:val="double" w:sz="6" w:space="0" w:color="auto"/>
              <w:right w:val="single" w:sz="4" w:space="0" w:color="auto"/>
            </w:tcBorders>
            <w:shd w:val="clear" w:color="000000" w:fill="FFCC00"/>
            <w:noWrap/>
            <w:vAlign w:val="center"/>
            <w:hideMark/>
          </w:tcPr>
          <w:p w:rsidR="00BB7B91" w:rsidRPr="00D55DC6" w:rsidRDefault="00BB7B91" w:rsidP="00F64BBC">
            <w:pPr>
              <w:widowControl/>
              <w:spacing w:line="460" w:lineRule="exact"/>
              <w:jc w:val="both"/>
              <w:rPr>
                <w:rFonts w:eastAsia="標楷體"/>
                <w:kern w:val="0"/>
                <w:szCs w:val="22"/>
              </w:rPr>
            </w:pPr>
            <w:r w:rsidRPr="00D55DC6">
              <w:rPr>
                <w:rFonts w:eastAsia="標楷體"/>
                <w:kern w:val="0"/>
                <w:szCs w:val="22"/>
              </w:rPr>
              <w:t>110</w:t>
            </w:r>
            <w:r w:rsidRPr="00D55DC6">
              <w:rPr>
                <w:rFonts w:eastAsia="標楷體"/>
                <w:kern w:val="0"/>
                <w:szCs w:val="22"/>
              </w:rPr>
              <w:t>年</w:t>
            </w:r>
          </w:p>
        </w:tc>
        <w:tc>
          <w:tcPr>
            <w:tcW w:w="867" w:type="dxa"/>
            <w:tcBorders>
              <w:top w:val="single" w:sz="4" w:space="0" w:color="auto"/>
              <w:left w:val="nil"/>
              <w:bottom w:val="double" w:sz="6" w:space="0" w:color="auto"/>
              <w:right w:val="single" w:sz="4" w:space="0" w:color="auto"/>
            </w:tcBorders>
            <w:shd w:val="clear" w:color="000000" w:fill="FFCC00"/>
            <w:noWrap/>
            <w:vAlign w:val="center"/>
            <w:hideMark/>
          </w:tcPr>
          <w:p w:rsidR="00BB7B91" w:rsidRPr="00D55DC6" w:rsidRDefault="00BB7B91" w:rsidP="00F64BBC">
            <w:pPr>
              <w:widowControl/>
              <w:spacing w:line="460" w:lineRule="exact"/>
              <w:jc w:val="both"/>
              <w:rPr>
                <w:rFonts w:eastAsia="標楷體"/>
                <w:kern w:val="0"/>
                <w:szCs w:val="22"/>
              </w:rPr>
            </w:pPr>
            <w:r w:rsidRPr="00D55DC6">
              <w:rPr>
                <w:rFonts w:eastAsia="標楷體"/>
                <w:kern w:val="0"/>
                <w:szCs w:val="22"/>
              </w:rPr>
              <w:t>111</w:t>
            </w:r>
            <w:r w:rsidRPr="00D55DC6">
              <w:rPr>
                <w:rFonts w:eastAsia="標楷體"/>
                <w:kern w:val="0"/>
                <w:szCs w:val="22"/>
              </w:rPr>
              <w:t>年</w:t>
            </w:r>
          </w:p>
        </w:tc>
        <w:tc>
          <w:tcPr>
            <w:tcW w:w="868" w:type="dxa"/>
            <w:tcBorders>
              <w:top w:val="single" w:sz="4" w:space="0" w:color="auto"/>
              <w:left w:val="nil"/>
              <w:bottom w:val="double" w:sz="6" w:space="0" w:color="auto"/>
              <w:right w:val="single" w:sz="4" w:space="0" w:color="auto"/>
            </w:tcBorders>
            <w:shd w:val="clear" w:color="000000" w:fill="FFCC00"/>
            <w:noWrap/>
            <w:vAlign w:val="center"/>
            <w:hideMark/>
          </w:tcPr>
          <w:p w:rsidR="00BB7B91" w:rsidRPr="00D55DC6" w:rsidRDefault="00BB7B91" w:rsidP="00F64BBC">
            <w:pPr>
              <w:widowControl/>
              <w:spacing w:line="460" w:lineRule="exact"/>
              <w:jc w:val="both"/>
              <w:rPr>
                <w:rFonts w:eastAsia="標楷體"/>
                <w:kern w:val="0"/>
                <w:szCs w:val="22"/>
              </w:rPr>
            </w:pPr>
            <w:r w:rsidRPr="00D55DC6">
              <w:rPr>
                <w:rFonts w:eastAsia="標楷體"/>
                <w:kern w:val="0"/>
                <w:szCs w:val="22"/>
              </w:rPr>
              <w:t>112</w:t>
            </w:r>
            <w:r w:rsidRPr="00D55DC6">
              <w:rPr>
                <w:rFonts w:eastAsia="標楷體"/>
                <w:kern w:val="0"/>
                <w:szCs w:val="22"/>
              </w:rPr>
              <w:t>年</w:t>
            </w:r>
          </w:p>
        </w:tc>
      </w:tr>
      <w:tr w:rsidR="001D0350" w:rsidRPr="00D55DC6" w:rsidTr="00BB7B91">
        <w:trPr>
          <w:gridAfter w:val="1"/>
          <w:wAfter w:w="1016" w:type="dxa"/>
          <w:trHeight w:val="345"/>
          <w:jc w:val="center"/>
        </w:trPr>
        <w:tc>
          <w:tcPr>
            <w:tcW w:w="1196"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B7B91" w:rsidRPr="00D55DC6" w:rsidRDefault="00BB7B91" w:rsidP="00F64BBC">
            <w:pPr>
              <w:widowControl/>
              <w:spacing w:line="460" w:lineRule="exact"/>
              <w:jc w:val="both"/>
              <w:rPr>
                <w:rFonts w:eastAsia="標楷體"/>
                <w:kern w:val="0"/>
              </w:rPr>
            </w:pPr>
            <w:r w:rsidRPr="00D55DC6">
              <w:rPr>
                <w:rFonts w:eastAsia="標楷體"/>
                <w:kern w:val="0"/>
              </w:rPr>
              <w:t>支出</w:t>
            </w:r>
          </w:p>
        </w:tc>
        <w:tc>
          <w:tcPr>
            <w:tcW w:w="1136" w:type="dxa"/>
            <w:tcBorders>
              <w:top w:val="single" w:sz="4" w:space="0" w:color="auto"/>
              <w:left w:val="nil"/>
              <w:bottom w:val="single" w:sz="4" w:space="0" w:color="auto"/>
              <w:right w:val="single" w:sz="4" w:space="0" w:color="auto"/>
            </w:tcBorders>
            <w:shd w:val="clear" w:color="000000" w:fill="FDE9D9"/>
            <w:noWrap/>
            <w:vAlign w:val="center"/>
            <w:hideMark/>
          </w:tcPr>
          <w:p w:rsidR="00BB7B91" w:rsidRPr="00D55DC6" w:rsidRDefault="00BB7B91" w:rsidP="00F64BBC">
            <w:pPr>
              <w:jc w:val="center"/>
            </w:pPr>
            <w:r w:rsidRPr="00D55DC6">
              <w:t>196,300</w:t>
            </w:r>
          </w:p>
        </w:tc>
        <w:tc>
          <w:tcPr>
            <w:tcW w:w="906" w:type="dxa"/>
            <w:tcBorders>
              <w:top w:val="single" w:sz="4" w:space="0" w:color="auto"/>
              <w:left w:val="nil"/>
              <w:bottom w:val="single" w:sz="4" w:space="0" w:color="auto"/>
              <w:right w:val="single" w:sz="4" w:space="0" w:color="auto"/>
            </w:tcBorders>
            <w:shd w:val="clear" w:color="000000" w:fill="FDE9D9"/>
            <w:noWrap/>
            <w:vAlign w:val="center"/>
            <w:hideMark/>
          </w:tcPr>
          <w:p w:rsidR="00BB7B91" w:rsidRPr="00D55DC6" w:rsidRDefault="00BB7B91" w:rsidP="00F64BBC">
            <w:pPr>
              <w:jc w:val="center"/>
            </w:pPr>
            <w:r w:rsidRPr="00D55DC6">
              <w:t>210,000</w:t>
            </w:r>
          </w:p>
        </w:tc>
        <w:tc>
          <w:tcPr>
            <w:tcW w:w="828" w:type="dxa"/>
            <w:tcBorders>
              <w:top w:val="single" w:sz="4" w:space="0" w:color="auto"/>
              <w:left w:val="nil"/>
              <w:bottom w:val="single" w:sz="4" w:space="0" w:color="auto"/>
              <w:right w:val="single" w:sz="4" w:space="0" w:color="auto"/>
            </w:tcBorders>
            <w:shd w:val="clear" w:color="000000" w:fill="FDE9D9"/>
            <w:noWrap/>
            <w:vAlign w:val="center"/>
            <w:hideMark/>
          </w:tcPr>
          <w:p w:rsidR="00BB7B91" w:rsidRPr="00D55DC6" w:rsidRDefault="00BB7B91" w:rsidP="00F64BBC">
            <w:pPr>
              <w:jc w:val="center"/>
            </w:pPr>
            <w:r w:rsidRPr="00D55DC6">
              <w:t>300,000</w:t>
            </w:r>
          </w:p>
        </w:tc>
        <w:tc>
          <w:tcPr>
            <w:tcW w:w="868" w:type="dxa"/>
            <w:tcBorders>
              <w:top w:val="single" w:sz="4" w:space="0" w:color="auto"/>
              <w:left w:val="nil"/>
              <w:bottom w:val="single" w:sz="4" w:space="0" w:color="auto"/>
              <w:right w:val="single" w:sz="4" w:space="0" w:color="auto"/>
            </w:tcBorders>
            <w:shd w:val="clear" w:color="000000" w:fill="FDE9D9"/>
            <w:noWrap/>
            <w:vAlign w:val="center"/>
            <w:hideMark/>
          </w:tcPr>
          <w:p w:rsidR="00BB7B91" w:rsidRPr="00D55DC6" w:rsidRDefault="00BB7B91" w:rsidP="00F64BBC">
            <w:pPr>
              <w:jc w:val="center"/>
            </w:pPr>
            <w:r w:rsidRPr="00D55DC6">
              <w:t>300,000</w:t>
            </w:r>
          </w:p>
        </w:tc>
        <w:tc>
          <w:tcPr>
            <w:tcW w:w="867" w:type="dxa"/>
            <w:tcBorders>
              <w:top w:val="single" w:sz="4" w:space="0" w:color="auto"/>
              <w:left w:val="nil"/>
              <w:bottom w:val="single" w:sz="4" w:space="0" w:color="auto"/>
              <w:right w:val="single" w:sz="4" w:space="0" w:color="auto"/>
            </w:tcBorders>
            <w:shd w:val="clear" w:color="000000" w:fill="FDE9D9"/>
            <w:noWrap/>
            <w:vAlign w:val="center"/>
            <w:hideMark/>
          </w:tcPr>
          <w:p w:rsidR="00BB7B91" w:rsidRPr="00D55DC6" w:rsidRDefault="00BB7B91" w:rsidP="00F64BBC">
            <w:pPr>
              <w:jc w:val="center"/>
            </w:pPr>
            <w:r w:rsidRPr="00D55DC6">
              <w:t>300,000</w:t>
            </w:r>
          </w:p>
        </w:tc>
        <w:tc>
          <w:tcPr>
            <w:tcW w:w="867" w:type="dxa"/>
            <w:tcBorders>
              <w:top w:val="single" w:sz="4" w:space="0" w:color="auto"/>
              <w:left w:val="nil"/>
              <w:bottom w:val="single" w:sz="4" w:space="0" w:color="auto"/>
              <w:right w:val="single" w:sz="4" w:space="0" w:color="auto"/>
            </w:tcBorders>
            <w:shd w:val="clear" w:color="000000" w:fill="FDE9D9"/>
            <w:noWrap/>
            <w:vAlign w:val="center"/>
            <w:hideMark/>
          </w:tcPr>
          <w:p w:rsidR="00BB7B91" w:rsidRPr="00D55DC6" w:rsidRDefault="00BB7B91" w:rsidP="00F64BBC">
            <w:pPr>
              <w:jc w:val="center"/>
            </w:pPr>
            <w:r w:rsidRPr="00D55DC6">
              <w:t>300,000</w:t>
            </w:r>
          </w:p>
        </w:tc>
        <w:tc>
          <w:tcPr>
            <w:tcW w:w="868" w:type="dxa"/>
            <w:tcBorders>
              <w:top w:val="single" w:sz="4" w:space="0" w:color="auto"/>
              <w:left w:val="nil"/>
              <w:bottom w:val="single" w:sz="4" w:space="0" w:color="auto"/>
              <w:right w:val="single" w:sz="4" w:space="0" w:color="auto"/>
            </w:tcBorders>
            <w:shd w:val="clear" w:color="000000" w:fill="FDE9D9"/>
            <w:noWrap/>
            <w:vAlign w:val="center"/>
            <w:hideMark/>
          </w:tcPr>
          <w:p w:rsidR="00BB7B91" w:rsidRPr="00D55DC6" w:rsidRDefault="00BB7B91" w:rsidP="00F64BBC">
            <w:pPr>
              <w:jc w:val="center"/>
            </w:pPr>
            <w:r w:rsidRPr="00D55DC6">
              <w:t>250,000</w:t>
            </w:r>
          </w:p>
        </w:tc>
        <w:tc>
          <w:tcPr>
            <w:tcW w:w="867" w:type="dxa"/>
            <w:tcBorders>
              <w:top w:val="single" w:sz="4" w:space="0" w:color="auto"/>
              <w:left w:val="nil"/>
              <w:bottom w:val="single" w:sz="4" w:space="0" w:color="auto"/>
              <w:right w:val="single" w:sz="4" w:space="0" w:color="auto"/>
            </w:tcBorders>
            <w:shd w:val="clear" w:color="000000" w:fill="FDE9D9"/>
            <w:noWrap/>
            <w:vAlign w:val="center"/>
            <w:hideMark/>
          </w:tcPr>
          <w:p w:rsidR="00BB7B91" w:rsidRPr="00D55DC6" w:rsidRDefault="00BB7B91" w:rsidP="00F64BBC">
            <w:pPr>
              <w:jc w:val="center"/>
            </w:pPr>
            <w:r w:rsidRPr="00D55DC6">
              <w:t>250,000</w:t>
            </w:r>
          </w:p>
        </w:tc>
        <w:tc>
          <w:tcPr>
            <w:tcW w:w="867" w:type="dxa"/>
            <w:tcBorders>
              <w:top w:val="single" w:sz="4" w:space="0" w:color="auto"/>
              <w:left w:val="nil"/>
              <w:bottom w:val="single" w:sz="4" w:space="0" w:color="auto"/>
              <w:right w:val="single" w:sz="4" w:space="0" w:color="auto"/>
            </w:tcBorders>
            <w:shd w:val="clear" w:color="000000" w:fill="FDE9D9"/>
            <w:noWrap/>
            <w:vAlign w:val="center"/>
            <w:hideMark/>
          </w:tcPr>
          <w:p w:rsidR="00BB7B91" w:rsidRPr="00D55DC6" w:rsidRDefault="00BB7B91" w:rsidP="00F64BBC">
            <w:pPr>
              <w:jc w:val="center"/>
            </w:pPr>
            <w:r w:rsidRPr="00D55DC6">
              <w:t>240,000</w:t>
            </w:r>
          </w:p>
        </w:tc>
        <w:tc>
          <w:tcPr>
            <w:tcW w:w="868" w:type="dxa"/>
            <w:tcBorders>
              <w:top w:val="single" w:sz="4" w:space="0" w:color="auto"/>
              <w:left w:val="nil"/>
              <w:bottom w:val="single" w:sz="4" w:space="0" w:color="auto"/>
              <w:right w:val="single" w:sz="4" w:space="0" w:color="auto"/>
            </w:tcBorders>
            <w:shd w:val="clear" w:color="000000" w:fill="FDE9D9"/>
            <w:noWrap/>
            <w:vAlign w:val="center"/>
            <w:hideMark/>
          </w:tcPr>
          <w:p w:rsidR="00BB7B91" w:rsidRPr="00D55DC6" w:rsidRDefault="00BB7B91" w:rsidP="00F64BBC">
            <w:pPr>
              <w:jc w:val="center"/>
            </w:pPr>
            <w:r w:rsidRPr="00D55DC6">
              <w:t>240,000</w:t>
            </w:r>
          </w:p>
        </w:tc>
      </w:tr>
      <w:tr w:rsidR="001D0350" w:rsidRPr="00D55DC6" w:rsidTr="00BB7B91">
        <w:trPr>
          <w:gridAfter w:val="1"/>
          <w:wAfter w:w="1016" w:type="dxa"/>
          <w:trHeight w:val="330"/>
          <w:jc w:val="center"/>
        </w:trPr>
        <w:tc>
          <w:tcPr>
            <w:tcW w:w="1196" w:type="dxa"/>
            <w:tcBorders>
              <w:top w:val="nil"/>
              <w:left w:val="single" w:sz="4" w:space="0" w:color="auto"/>
              <w:bottom w:val="single" w:sz="4" w:space="0" w:color="auto"/>
              <w:right w:val="single" w:sz="4" w:space="0" w:color="auto"/>
            </w:tcBorders>
            <w:shd w:val="clear" w:color="000000" w:fill="FFFFFF"/>
            <w:noWrap/>
            <w:vAlign w:val="center"/>
            <w:hideMark/>
          </w:tcPr>
          <w:p w:rsidR="00BB7B91" w:rsidRPr="00D55DC6" w:rsidRDefault="00BB7B91" w:rsidP="00F64BBC">
            <w:pPr>
              <w:widowControl/>
              <w:spacing w:line="460" w:lineRule="exact"/>
              <w:jc w:val="both"/>
              <w:rPr>
                <w:rFonts w:eastAsia="標楷體"/>
                <w:kern w:val="0"/>
              </w:rPr>
            </w:pPr>
            <w:r w:rsidRPr="00D55DC6">
              <w:rPr>
                <w:rFonts w:eastAsia="標楷體"/>
                <w:kern w:val="0"/>
              </w:rPr>
              <w:t>收入</w:t>
            </w:r>
          </w:p>
        </w:tc>
        <w:tc>
          <w:tcPr>
            <w:tcW w:w="1136"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6,765</w:t>
            </w:r>
          </w:p>
        </w:tc>
        <w:tc>
          <w:tcPr>
            <w:tcW w:w="906"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8,401</w:t>
            </w:r>
          </w:p>
        </w:tc>
        <w:tc>
          <w:tcPr>
            <w:tcW w:w="828"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12,990</w:t>
            </w:r>
          </w:p>
        </w:tc>
        <w:tc>
          <w:tcPr>
            <w:tcW w:w="868"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20,002</w:t>
            </w:r>
          </w:p>
        </w:tc>
        <w:tc>
          <w:tcPr>
            <w:tcW w:w="867"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20,925</w:t>
            </w:r>
          </w:p>
        </w:tc>
        <w:tc>
          <w:tcPr>
            <w:tcW w:w="867"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31,456</w:t>
            </w:r>
          </w:p>
        </w:tc>
        <w:tc>
          <w:tcPr>
            <w:tcW w:w="868"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33,130</w:t>
            </w:r>
          </w:p>
        </w:tc>
        <w:tc>
          <w:tcPr>
            <w:tcW w:w="867"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112,569</w:t>
            </w:r>
          </w:p>
        </w:tc>
        <w:tc>
          <w:tcPr>
            <w:tcW w:w="867"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114,445</w:t>
            </w:r>
          </w:p>
        </w:tc>
        <w:tc>
          <w:tcPr>
            <w:tcW w:w="868"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84,213</w:t>
            </w:r>
          </w:p>
        </w:tc>
      </w:tr>
      <w:tr w:rsidR="001D0350" w:rsidRPr="00D55DC6" w:rsidTr="00BB7B91">
        <w:trPr>
          <w:gridAfter w:val="1"/>
          <w:wAfter w:w="1016" w:type="dxa"/>
          <w:trHeight w:val="330"/>
          <w:jc w:val="center"/>
        </w:trPr>
        <w:tc>
          <w:tcPr>
            <w:tcW w:w="1196" w:type="dxa"/>
            <w:tcBorders>
              <w:top w:val="nil"/>
              <w:left w:val="single" w:sz="4" w:space="0" w:color="auto"/>
              <w:bottom w:val="single" w:sz="4" w:space="0" w:color="auto"/>
              <w:right w:val="single" w:sz="4" w:space="0" w:color="auto"/>
            </w:tcBorders>
            <w:shd w:val="clear" w:color="000000" w:fill="FFFFFF"/>
            <w:noWrap/>
            <w:vAlign w:val="center"/>
            <w:hideMark/>
          </w:tcPr>
          <w:p w:rsidR="00BB7B91" w:rsidRPr="00D55DC6" w:rsidRDefault="00BB7B91" w:rsidP="00F64BBC">
            <w:pPr>
              <w:widowControl/>
              <w:spacing w:line="460" w:lineRule="exact"/>
              <w:jc w:val="both"/>
              <w:rPr>
                <w:rFonts w:eastAsia="標楷體"/>
                <w:kern w:val="0"/>
              </w:rPr>
            </w:pPr>
            <w:r w:rsidRPr="00D55DC6">
              <w:rPr>
                <w:rFonts w:eastAsia="標楷體"/>
                <w:kern w:val="0"/>
              </w:rPr>
              <w:t>收支比</w:t>
            </w:r>
          </w:p>
        </w:tc>
        <w:tc>
          <w:tcPr>
            <w:tcW w:w="1136"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3.45%</w:t>
            </w:r>
          </w:p>
        </w:tc>
        <w:tc>
          <w:tcPr>
            <w:tcW w:w="906"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4.00%</w:t>
            </w:r>
          </w:p>
        </w:tc>
        <w:tc>
          <w:tcPr>
            <w:tcW w:w="828"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4.33%</w:t>
            </w:r>
          </w:p>
        </w:tc>
        <w:tc>
          <w:tcPr>
            <w:tcW w:w="868"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6.67%</w:t>
            </w:r>
          </w:p>
        </w:tc>
        <w:tc>
          <w:tcPr>
            <w:tcW w:w="867"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6.97%</w:t>
            </w:r>
          </w:p>
        </w:tc>
        <w:tc>
          <w:tcPr>
            <w:tcW w:w="867"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10.49%</w:t>
            </w:r>
          </w:p>
        </w:tc>
        <w:tc>
          <w:tcPr>
            <w:tcW w:w="868"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13.25%</w:t>
            </w:r>
          </w:p>
        </w:tc>
        <w:tc>
          <w:tcPr>
            <w:tcW w:w="867"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45.03%</w:t>
            </w:r>
          </w:p>
        </w:tc>
        <w:tc>
          <w:tcPr>
            <w:tcW w:w="867"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47.69%</w:t>
            </w:r>
          </w:p>
        </w:tc>
        <w:tc>
          <w:tcPr>
            <w:tcW w:w="868"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35.09%</w:t>
            </w:r>
          </w:p>
        </w:tc>
      </w:tr>
      <w:tr w:rsidR="001D0350" w:rsidRPr="00D55DC6" w:rsidTr="00BB7B91">
        <w:trPr>
          <w:trHeight w:val="345"/>
          <w:tblHeader/>
          <w:jc w:val="center"/>
        </w:trPr>
        <w:tc>
          <w:tcPr>
            <w:tcW w:w="1196" w:type="dxa"/>
            <w:tcBorders>
              <w:top w:val="single" w:sz="4" w:space="0" w:color="auto"/>
              <w:left w:val="single" w:sz="4" w:space="0" w:color="auto"/>
              <w:bottom w:val="double" w:sz="6" w:space="0" w:color="auto"/>
              <w:right w:val="single" w:sz="4" w:space="0" w:color="auto"/>
            </w:tcBorders>
            <w:shd w:val="clear" w:color="000000" w:fill="FFCC00"/>
            <w:noWrap/>
            <w:vAlign w:val="center"/>
            <w:hideMark/>
          </w:tcPr>
          <w:p w:rsidR="00BB7B91" w:rsidRPr="00D55DC6" w:rsidRDefault="00BB7B91" w:rsidP="00F64BBC">
            <w:pPr>
              <w:widowControl/>
              <w:spacing w:line="460" w:lineRule="exact"/>
              <w:jc w:val="both"/>
              <w:rPr>
                <w:rFonts w:eastAsia="標楷體"/>
                <w:kern w:val="0"/>
              </w:rPr>
            </w:pPr>
            <w:r w:rsidRPr="00D55DC6">
              <w:rPr>
                <w:rFonts w:eastAsia="標楷體"/>
                <w:kern w:val="0"/>
              </w:rPr>
              <w:t>項目</w:t>
            </w:r>
            <w:r w:rsidRPr="00D55DC6">
              <w:rPr>
                <w:rFonts w:eastAsia="標楷體"/>
                <w:kern w:val="0"/>
              </w:rPr>
              <w:t>\</w:t>
            </w:r>
            <w:r w:rsidRPr="00D55DC6">
              <w:rPr>
                <w:rFonts w:eastAsia="標楷體"/>
                <w:kern w:val="0"/>
              </w:rPr>
              <w:t>年度</w:t>
            </w:r>
          </w:p>
        </w:tc>
        <w:tc>
          <w:tcPr>
            <w:tcW w:w="1136" w:type="dxa"/>
            <w:tcBorders>
              <w:top w:val="single" w:sz="4" w:space="0" w:color="auto"/>
              <w:left w:val="nil"/>
              <w:bottom w:val="double" w:sz="6" w:space="0" w:color="auto"/>
              <w:right w:val="single" w:sz="4" w:space="0" w:color="auto"/>
            </w:tcBorders>
            <w:shd w:val="clear" w:color="000000" w:fill="FFCC00"/>
            <w:noWrap/>
            <w:vAlign w:val="center"/>
            <w:hideMark/>
          </w:tcPr>
          <w:p w:rsidR="00BB7B91" w:rsidRPr="00D55DC6" w:rsidRDefault="00BB7B91" w:rsidP="00F64BBC">
            <w:pPr>
              <w:widowControl/>
              <w:jc w:val="center"/>
              <w:rPr>
                <w:rFonts w:eastAsia="標楷體"/>
                <w:kern w:val="0"/>
              </w:rPr>
            </w:pPr>
            <w:r w:rsidRPr="00D55DC6">
              <w:rPr>
                <w:rFonts w:eastAsia="標楷體"/>
                <w:kern w:val="0"/>
              </w:rPr>
              <w:t>113</w:t>
            </w:r>
            <w:r w:rsidRPr="00D55DC6">
              <w:rPr>
                <w:rFonts w:eastAsia="標楷體"/>
                <w:kern w:val="0"/>
              </w:rPr>
              <w:t>年</w:t>
            </w:r>
          </w:p>
        </w:tc>
        <w:tc>
          <w:tcPr>
            <w:tcW w:w="906" w:type="dxa"/>
            <w:tcBorders>
              <w:top w:val="single" w:sz="4" w:space="0" w:color="auto"/>
              <w:left w:val="nil"/>
              <w:bottom w:val="double" w:sz="6" w:space="0" w:color="auto"/>
              <w:right w:val="single" w:sz="4" w:space="0" w:color="auto"/>
            </w:tcBorders>
            <w:shd w:val="clear" w:color="000000" w:fill="FFCC00"/>
            <w:noWrap/>
            <w:vAlign w:val="center"/>
            <w:hideMark/>
          </w:tcPr>
          <w:p w:rsidR="00BB7B91" w:rsidRPr="00D55DC6" w:rsidRDefault="00BB7B91" w:rsidP="00F64BBC">
            <w:pPr>
              <w:widowControl/>
              <w:jc w:val="center"/>
              <w:rPr>
                <w:rFonts w:eastAsia="標楷體"/>
                <w:kern w:val="0"/>
              </w:rPr>
            </w:pPr>
            <w:r w:rsidRPr="00D55DC6">
              <w:rPr>
                <w:rFonts w:eastAsia="標楷體"/>
                <w:kern w:val="0"/>
              </w:rPr>
              <w:t>114</w:t>
            </w:r>
            <w:r w:rsidRPr="00D55DC6">
              <w:rPr>
                <w:rFonts w:eastAsia="標楷體"/>
                <w:kern w:val="0"/>
              </w:rPr>
              <w:t>年</w:t>
            </w:r>
          </w:p>
        </w:tc>
        <w:tc>
          <w:tcPr>
            <w:tcW w:w="828" w:type="dxa"/>
            <w:tcBorders>
              <w:top w:val="single" w:sz="4" w:space="0" w:color="auto"/>
              <w:left w:val="nil"/>
              <w:bottom w:val="double" w:sz="6" w:space="0" w:color="auto"/>
              <w:right w:val="single" w:sz="4" w:space="0" w:color="auto"/>
            </w:tcBorders>
            <w:shd w:val="clear" w:color="000000" w:fill="FFCC00"/>
            <w:noWrap/>
            <w:vAlign w:val="center"/>
            <w:hideMark/>
          </w:tcPr>
          <w:p w:rsidR="00BB7B91" w:rsidRPr="00D55DC6" w:rsidRDefault="00BB7B91" w:rsidP="00F64BBC">
            <w:pPr>
              <w:widowControl/>
              <w:jc w:val="center"/>
              <w:rPr>
                <w:rFonts w:eastAsia="標楷體"/>
                <w:kern w:val="0"/>
              </w:rPr>
            </w:pPr>
            <w:r w:rsidRPr="00D55DC6">
              <w:rPr>
                <w:rFonts w:eastAsia="標楷體"/>
                <w:kern w:val="0"/>
              </w:rPr>
              <w:t>115</w:t>
            </w:r>
            <w:r w:rsidRPr="00D55DC6">
              <w:rPr>
                <w:rFonts w:eastAsia="標楷體"/>
                <w:kern w:val="0"/>
              </w:rPr>
              <w:t>年</w:t>
            </w:r>
          </w:p>
        </w:tc>
        <w:tc>
          <w:tcPr>
            <w:tcW w:w="868" w:type="dxa"/>
            <w:tcBorders>
              <w:top w:val="single" w:sz="4" w:space="0" w:color="auto"/>
              <w:left w:val="nil"/>
              <w:bottom w:val="double" w:sz="6" w:space="0" w:color="auto"/>
              <w:right w:val="single" w:sz="4" w:space="0" w:color="auto"/>
            </w:tcBorders>
            <w:shd w:val="clear" w:color="000000" w:fill="FFCC00"/>
            <w:noWrap/>
            <w:vAlign w:val="center"/>
            <w:hideMark/>
          </w:tcPr>
          <w:p w:rsidR="00BB7B91" w:rsidRPr="00D55DC6" w:rsidRDefault="00BB7B91" w:rsidP="00F64BBC">
            <w:pPr>
              <w:widowControl/>
              <w:jc w:val="center"/>
              <w:rPr>
                <w:rFonts w:eastAsia="標楷體"/>
                <w:kern w:val="0"/>
              </w:rPr>
            </w:pPr>
            <w:r w:rsidRPr="00D55DC6">
              <w:rPr>
                <w:rFonts w:eastAsia="標楷體"/>
                <w:kern w:val="0"/>
              </w:rPr>
              <w:t>116</w:t>
            </w:r>
            <w:r w:rsidRPr="00D55DC6">
              <w:rPr>
                <w:rFonts w:eastAsia="標楷體"/>
                <w:kern w:val="0"/>
              </w:rPr>
              <w:t>年</w:t>
            </w:r>
          </w:p>
        </w:tc>
        <w:tc>
          <w:tcPr>
            <w:tcW w:w="867" w:type="dxa"/>
            <w:tcBorders>
              <w:top w:val="single" w:sz="4" w:space="0" w:color="auto"/>
              <w:left w:val="nil"/>
              <w:bottom w:val="double" w:sz="6" w:space="0" w:color="auto"/>
              <w:right w:val="single" w:sz="4" w:space="0" w:color="auto"/>
            </w:tcBorders>
            <w:shd w:val="clear" w:color="000000" w:fill="FFCC00"/>
            <w:noWrap/>
            <w:vAlign w:val="center"/>
            <w:hideMark/>
          </w:tcPr>
          <w:p w:rsidR="00BB7B91" w:rsidRPr="00D55DC6" w:rsidRDefault="00BB7B91" w:rsidP="00F64BBC">
            <w:pPr>
              <w:widowControl/>
              <w:jc w:val="center"/>
              <w:rPr>
                <w:rFonts w:eastAsia="標楷體"/>
                <w:kern w:val="0"/>
              </w:rPr>
            </w:pPr>
            <w:r w:rsidRPr="00D55DC6">
              <w:rPr>
                <w:rFonts w:eastAsia="標楷體"/>
                <w:kern w:val="0"/>
              </w:rPr>
              <w:t>117</w:t>
            </w:r>
            <w:r w:rsidRPr="00D55DC6">
              <w:rPr>
                <w:rFonts w:eastAsia="標楷體"/>
                <w:kern w:val="0"/>
              </w:rPr>
              <w:t>年</w:t>
            </w:r>
          </w:p>
        </w:tc>
        <w:tc>
          <w:tcPr>
            <w:tcW w:w="867" w:type="dxa"/>
            <w:tcBorders>
              <w:top w:val="single" w:sz="4" w:space="0" w:color="auto"/>
              <w:left w:val="nil"/>
              <w:bottom w:val="double" w:sz="6" w:space="0" w:color="auto"/>
              <w:right w:val="single" w:sz="4" w:space="0" w:color="auto"/>
            </w:tcBorders>
            <w:shd w:val="clear" w:color="000000" w:fill="FFCC00"/>
            <w:noWrap/>
            <w:vAlign w:val="center"/>
            <w:hideMark/>
          </w:tcPr>
          <w:p w:rsidR="00BB7B91" w:rsidRPr="00D55DC6" w:rsidRDefault="00BB7B91" w:rsidP="00F64BBC">
            <w:pPr>
              <w:widowControl/>
              <w:jc w:val="center"/>
              <w:rPr>
                <w:rFonts w:eastAsia="標楷體"/>
                <w:kern w:val="0"/>
              </w:rPr>
            </w:pPr>
            <w:r w:rsidRPr="00D55DC6">
              <w:rPr>
                <w:rFonts w:eastAsia="標楷體"/>
                <w:kern w:val="0"/>
              </w:rPr>
              <w:t>118</w:t>
            </w:r>
            <w:r w:rsidRPr="00D55DC6">
              <w:rPr>
                <w:rFonts w:eastAsia="標楷體"/>
                <w:kern w:val="0"/>
              </w:rPr>
              <w:t>年</w:t>
            </w:r>
          </w:p>
        </w:tc>
        <w:tc>
          <w:tcPr>
            <w:tcW w:w="868" w:type="dxa"/>
            <w:tcBorders>
              <w:top w:val="single" w:sz="4" w:space="0" w:color="auto"/>
              <w:left w:val="nil"/>
              <w:bottom w:val="double" w:sz="6" w:space="0" w:color="auto"/>
              <w:right w:val="single" w:sz="4" w:space="0" w:color="auto"/>
            </w:tcBorders>
            <w:shd w:val="clear" w:color="000000" w:fill="FFCC00"/>
            <w:noWrap/>
            <w:vAlign w:val="center"/>
            <w:hideMark/>
          </w:tcPr>
          <w:p w:rsidR="00BB7B91" w:rsidRPr="00D55DC6" w:rsidRDefault="00BB7B91" w:rsidP="00F64BBC">
            <w:pPr>
              <w:widowControl/>
              <w:jc w:val="center"/>
              <w:rPr>
                <w:rFonts w:eastAsia="標楷體"/>
                <w:kern w:val="0"/>
              </w:rPr>
            </w:pPr>
            <w:r w:rsidRPr="00D55DC6">
              <w:rPr>
                <w:rFonts w:eastAsia="標楷體"/>
                <w:kern w:val="0"/>
              </w:rPr>
              <w:t>119</w:t>
            </w:r>
            <w:r w:rsidRPr="00D55DC6">
              <w:rPr>
                <w:rFonts w:eastAsia="標楷體"/>
                <w:kern w:val="0"/>
              </w:rPr>
              <w:t>年</w:t>
            </w:r>
          </w:p>
        </w:tc>
        <w:tc>
          <w:tcPr>
            <w:tcW w:w="867" w:type="dxa"/>
            <w:tcBorders>
              <w:top w:val="single" w:sz="4" w:space="0" w:color="auto"/>
              <w:left w:val="nil"/>
              <w:bottom w:val="double" w:sz="6" w:space="0" w:color="auto"/>
              <w:right w:val="single" w:sz="4" w:space="0" w:color="auto"/>
            </w:tcBorders>
            <w:shd w:val="clear" w:color="000000" w:fill="FFCC00"/>
            <w:noWrap/>
            <w:vAlign w:val="center"/>
            <w:hideMark/>
          </w:tcPr>
          <w:p w:rsidR="00BB7B91" w:rsidRPr="00D55DC6" w:rsidRDefault="00BB7B91" w:rsidP="00F64BBC">
            <w:pPr>
              <w:widowControl/>
              <w:jc w:val="center"/>
              <w:rPr>
                <w:rFonts w:eastAsia="標楷體"/>
                <w:kern w:val="0"/>
              </w:rPr>
            </w:pPr>
            <w:r w:rsidRPr="00D55DC6">
              <w:rPr>
                <w:rFonts w:eastAsia="標楷體"/>
                <w:kern w:val="0"/>
              </w:rPr>
              <w:t>120</w:t>
            </w:r>
            <w:r w:rsidRPr="00D55DC6">
              <w:rPr>
                <w:rFonts w:eastAsia="標楷體"/>
                <w:kern w:val="0"/>
              </w:rPr>
              <w:t>年</w:t>
            </w:r>
          </w:p>
        </w:tc>
        <w:tc>
          <w:tcPr>
            <w:tcW w:w="867" w:type="dxa"/>
            <w:tcBorders>
              <w:top w:val="single" w:sz="4" w:space="0" w:color="auto"/>
              <w:left w:val="nil"/>
              <w:bottom w:val="double" w:sz="6" w:space="0" w:color="auto"/>
              <w:right w:val="single" w:sz="4" w:space="0" w:color="auto"/>
            </w:tcBorders>
            <w:shd w:val="clear" w:color="000000" w:fill="FFCC00"/>
            <w:noWrap/>
            <w:vAlign w:val="center"/>
            <w:hideMark/>
          </w:tcPr>
          <w:p w:rsidR="00BB7B91" w:rsidRPr="00D55DC6" w:rsidRDefault="00BB7B91" w:rsidP="00F64BBC">
            <w:pPr>
              <w:widowControl/>
              <w:jc w:val="center"/>
              <w:rPr>
                <w:rFonts w:eastAsia="標楷體"/>
                <w:kern w:val="0"/>
              </w:rPr>
            </w:pPr>
            <w:r w:rsidRPr="00D55DC6">
              <w:rPr>
                <w:rFonts w:eastAsia="標楷體"/>
                <w:kern w:val="0"/>
              </w:rPr>
              <w:t>121</w:t>
            </w:r>
            <w:r w:rsidRPr="00D55DC6">
              <w:rPr>
                <w:rFonts w:eastAsia="標楷體"/>
                <w:kern w:val="0"/>
              </w:rPr>
              <w:t>年</w:t>
            </w:r>
          </w:p>
        </w:tc>
        <w:tc>
          <w:tcPr>
            <w:tcW w:w="868" w:type="dxa"/>
            <w:tcBorders>
              <w:top w:val="single" w:sz="4" w:space="0" w:color="auto"/>
              <w:left w:val="nil"/>
              <w:bottom w:val="double" w:sz="6" w:space="0" w:color="auto"/>
              <w:right w:val="single" w:sz="4" w:space="0" w:color="auto"/>
            </w:tcBorders>
            <w:shd w:val="clear" w:color="000000" w:fill="FFCC00"/>
            <w:noWrap/>
            <w:vAlign w:val="center"/>
            <w:hideMark/>
          </w:tcPr>
          <w:p w:rsidR="00BB7B91" w:rsidRPr="00D55DC6" w:rsidRDefault="00BB7B91" w:rsidP="00F64BBC">
            <w:pPr>
              <w:widowControl/>
              <w:jc w:val="center"/>
              <w:rPr>
                <w:rFonts w:eastAsia="標楷體"/>
                <w:kern w:val="0"/>
              </w:rPr>
            </w:pPr>
            <w:r w:rsidRPr="00D55DC6">
              <w:rPr>
                <w:rFonts w:eastAsia="標楷體"/>
                <w:kern w:val="0"/>
              </w:rPr>
              <w:t>122</w:t>
            </w:r>
            <w:r w:rsidRPr="00D55DC6">
              <w:rPr>
                <w:rFonts w:eastAsia="標楷體"/>
                <w:kern w:val="0"/>
              </w:rPr>
              <w:t>年</w:t>
            </w:r>
          </w:p>
        </w:tc>
        <w:tc>
          <w:tcPr>
            <w:tcW w:w="1016" w:type="dxa"/>
            <w:tcBorders>
              <w:top w:val="single" w:sz="4" w:space="0" w:color="auto"/>
              <w:left w:val="nil"/>
              <w:bottom w:val="double" w:sz="6" w:space="0" w:color="auto"/>
              <w:right w:val="single" w:sz="4" w:space="0" w:color="auto"/>
            </w:tcBorders>
            <w:shd w:val="clear" w:color="000000" w:fill="FFCC00"/>
            <w:vAlign w:val="center"/>
          </w:tcPr>
          <w:p w:rsidR="00BB7B91" w:rsidRPr="00D55DC6" w:rsidRDefault="00BB7B91">
            <w:pPr>
              <w:jc w:val="center"/>
              <w:rPr>
                <w:rFonts w:ascii="標楷體" w:eastAsia="標楷體" w:hAnsi="標楷體" w:cs="新細明體"/>
                <w:sz w:val="22"/>
                <w:szCs w:val="22"/>
              </w:rPr>
            </w:pPr>
            <w:r w:rsidRPr="00D55DC6">
              <w:rPr>
                <w:rFonts w:ascii="標楷體" w:eastAsia="標楷體" w:hAnsi="標楷體" w:hint="eastAsia"/>
                <w:sz w:val="22"/>
                <w:szCs w:val="22"/>
              </w:rPr>
              <w:t>合計</w:t>
            </w:r>
          </w:p>
        </w:tc>
      </w:tr>
      <w:tr w:rsidR="001D0350" w:rsidRPr="00D55DC6" w:rsidTr="00BB7B91">
        <w:trPr>
          <w:trHeight w:val="345"/>
          <w:jc w:val="center"/>
        </w:trPr>
        <w:tc>
          <w:tcPr>
            <w:tcW w:w="1196"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B7B91" w:rsidRPr="00D55DC6" w:rsidRDefault="00BB7B91" w:rsidP="00F64BBC">
            <w:pPr>
              <w:widowControl/>
              <w:spacing w:line="460" w:lineRule="exact"/>
              <w:jc w:val="both"/>
              <w:rPr>
                <w:rFonts w:eastAsia="標楷體"/>
                <w:kern w:val="0"/>
              </w:rPr>
            </w:pPr>
            <w:r w:rsidRPr="00D55DC6">
              <w:rPr>
                <w:rFonts w:eastAsia="標楷體"/>
                <w:kern w:val="0"/>
              </w:rPr>
              <w:t>支出</w:t>
            </w:r>
          </w:p>
        </w:tc>
        <w:tc>
          <w:tcPr>
            <w:tcW w:w="1136" w:type="dxa"/>
            <w:tcBorders>
              <w:top w:val="single" w:sz="4" w:space="0" w:color="auto"/>
              <w:left w:val="nil"/>
              <w:bottom w:val="single" w:sz="4" w:space="0" w:color="auto"/>
              <w:right w:val="single" w:sz="4" w:space="0" w:color="auto"/>
            </w:tcBorders>
            <w:shd w:val="clear" w:color="000000" w:fill="FDE9D9"/>
            <w:noWrap/>
            <w:vAlign w:val="center"/>
            <w:hideMark/>
          </w:tcPr>
          <w:p w:rsidR="00BB7B91" w:rsidRPr="00D55DC6" w:rsidRDefault="00BB7B91" w:rsidP="00F64BBC">
            <w:pPr>
              <w:jc w:val="center"/>
            </w:pPr>
            <w:r w:rsidRPr="00D55DC6">
              <w:t>230,000</w:t>
            </w:r>
          </w:p>
        </w:tc>
        <w:tc>
          <w:tcPr>
            <w:tcW w:w="906" w:type="dxa"/>
            <w:tcBorders>
              <w:top w:val="single" w:sz="4" w:space="0" w:color="auto"/>
              <w:left w:val="nil"/>
              <w:bottom w:val="single" w:sz="4" w:space="0" w:color="auto"/>
              <w:right w:val="single" w:sz="4" w:space="0" w:color="auto"/>
            </w:tcBorders>
            <w:shd w:val="clear" w:color="000000" w:fill="FDE9D9"/>
            <w:noWrap/>
            <w:vAlign w:val="center"/>
            <w:hideMark/>
          </w:tcPr>
          <w:p w:rsidR="00BB7B91" w:rsidRPr="00D55DC6" w:rsidRDefault="00BB7B91" w:rsidP="00F64BBC">
            <w:pPr>
              <w:jc w:val="center"/>
            </w:pPr>
            <w:r w:rsidRPr="00D55DC6">
              <w:t>230,000</w:t>
            </w:r>
          </w:p>
        </w:tc>
        <w:tc>
          <w:tcPr>
            <w:tcW w:w="828" w:type="dxa"/>
            <w:tcBorders>
              <w:top w:val="single" w:sz="4" w:space="0" w:color="auto"/>
              <w:left w:val="nil"/>
              <w:bottom w:val="single" w:sz="4" w:space="0" w:color="auto"/>
              <w:right w:val="single" w:sz="4" w:space="0" w:color="auto"/>
            </w:tcBorders>
            <w:shd w:val="clear" w:color="000000" w:fill="FDE9D9"/>
            <w:noWrap/>
            <w:vAlign w:val="center"/>
            <w:hideMark/>
          </w:tcPr>
          <w:p w:rsidR="00BB7B91" w:rsidRPr="00D55DC6" w:rsidRDefault="00BB7B91" w:rsidP="00F64BBC">
            <w:pPr>
              <w:jc w:val="center"/>
            </w:pPr>
            <w:r w:rsidRPr="00D55DC6">
              <w:t>220,000</w:t>
            </w:r>
          </w:p>
        </w:tc>
        <w:tc>
          <w:tcPr>
            <w:tcW w:w="868" w:type="dxa"/>
            <w:tcBorders>
              <w:top w:val="single" w:sz="4" w:space="0" w:color="auto"/>
              <w:left w:val="nil"/>
              <w:bottom w:val="single" w:sz="4" w:space="0" w:color="auto"/>
              <w:right w:val="single" w:sz="4" w:space="0" w:color="auto"/>
            </w:tcBorders>
            <w:shd w:val="clear" w:color="000000" w:fill="FDE9D9"/>
            <w:noWrap/>
            <w:vAlign w:val="center"/>
            <w:hideMark/>
          </w:tcPr>
          <w:p w:rsidR="00BB7B91" w:rsidRPr="00D55DC6" w:rsidRDefault="00BB7B91" w:rsidP="00F64BBC">
            <w:pPr>
              <w:jc w:val="center"/>
            </w:pPr>
            <w:r w:rsidRPr="00D55DC6">
              <w:t>220,000</w:t>
            </w:r>
          </w:p>
        </w:tc>
        <w:tc>
          <w:tcPr>
            <w:tcW w:w="867" w:type="dxa"/>
            <w:tcBorders>
              <w:top w:val="single" w:sz="4" w:space="0" w:color="auto"/>
              <w:left w:val="nil"/>
              <w:bottom w:val="single" w:sz="4" w:space="0" w:color="auto"/>
              <w:right w:val="single" w:sz="4" w:space="0" w:color="auto"/>
            </w:tcBorders>
            <w:shd w:val="clear" w:color="000000" w:fill="FDE9D9"/>
            <w:noWrap/>
            <w:vAlign w:val="center"/>
            <w:hideMark/>
          </w:tcPr>
          <w:p w:rsidR="00BB7B91" w:rsidRPr="00D55DC6" w:rsidRDefault="00BB7B91" w:rsidP="00F64BBC">
            <w:pPr>
              <w:jc w:val="center"/>
            </w:pPr>
            <w:r w:rsidRPr="00D55DC6">
              <w:t>210,000</w:t>
            </w:r>
          </w:p>
        </w:tc>
        <w:tc>
          <w:tcPr>
            <w:tcW w:w="867" w:type="dxa"/>
            <w:tcBorders>
              <w:top w:val="single" w:sz="4" w:space="0" w:color="auto"/>
              <w:left w:val="nil"/>
              <w:bottom w:val="single" w:sz="4" w:space="0" w:color="auto"/>
              <w:right w:val="single" w:sz="4" w:space="0" w:color="auto"/>
            </w:tcBorders>
            <w:shd w:val="clear" w:color="000000" w:fill="FDE9D9"/>
            <w:noWrap/>
            <w:vAlign w:val="center"/>
            <w:hideMark/>
          </w:tcPr>
          <w:p w:rsidR="00BB7B91" w:rsidRPr="00D55DC6" w:rsidRDefault="00BB7B91" w:rsidP="00F64BBC">
            <w:pPr>
              <w:jc w:val="center"/>
            </w:pPr>
            <w:r w:rsidRPr="00D55DC6">
              <w:t>210,000</w:t>
            </w:r>
          </w:p>
        </w:tc>
        <w:tc>
          <w:tcPr>
            <w:tcW w:w="868" w:type="dxa"/>
            <w:tcBorders>
              <w:top w:val="single" w:sz="4" w:space="0" w:color="auto"/>
              <w:left w:val="nil"/>
              <w:bottom w:val="single" w:sz="4" w:space="0" w:color="auto"/>
              <w:right w:val="single" w:sz="4" w:space="0" w:color="auto"/>
            </w:tcBorders>
            <w:shd w:val="clear" w:color="000000" w:fill="FDE9D9"/>
            <w:noWrap/>
            <w:vAlign w:val="center"/>
            <w:hideMark/>
          </w:tcPr>
          <w:p w:rsidR="00BB7B91" w:rsidRPr="00D55DC6" w:rsidRDefault="00BB7B91" w:rsidP="00F64BBC">
            <w:pPr>
              <w:jc w:val="center"/>
            </w:pPr>
            <w:r w:rsidRPr="00D55DC6">
              <w:t>210,000</w:t>
            </w:r>
          </w:p>
        </w:tc>
        <w:tc>
          <w:tcPr>
            <w:tcW w:w="867" w:type="dxa"/>
            <w:tcBorders>
              <w:top w:val="single" w:sz="4" w:space="0" w:color="auto"/>
              <w:left w:val="nil"/>
              <w:bottom w:val="single" w:sz="4" w:space="0" w:color="auto"/>
              <w:right w:val="single" w:sz="4" w:space="0" w:color="auto"/>
            </w:tcBorders>
            <w:shd w:val="clear" w:color="000000" w:fill="FDE9D9"/>
            <w:noWrap/>
            <w:vAlign w:val="center"/>
            <w:hideMark/>
          </w:tcPr>
          <w:p w:rsidR="00BB7B91" w:rsidRPr="00D55DC6" w:rsidRDefault="00BB7B91" w:rsidP="00F64BBC">
            <w:pPr>
              <w:jc w:val="center"/>
            </w:pPr>
            <w:r w:rsidRPr="00D55DC6">
              <w:t>210,000</w:t>
            </w:r>
          </w:p>
        </w:tc>
        <w:tc>
          <w:tcPr>
            <w:tcW w:w="867" w:type="dxa"/>
            <w:tcBorders>
              <w:top w:val="single" w:sz="4" w:space="0" w:color="auto"/>
              <w:left w:val="nil"/>
              <w:bottom w:val="single" w:sz="4" w:space="0" w:color="auto"/>
              <w:right w:val="single" w:sz="4" w:space="0" w:color="auto"/>
            </w:tcBorders>
            <w:shd w:val="clear" w:color="000000" w:fill="FDE9D9"/>
            <w:noWrap/>
            <w:vAlign w:val="center"/>
            <w:hideMark/>
          </w:tcPr>
          <w:p w:rsidR="00BB7B91" w:rsidRPr="00D55DC6" w:rsidRDefault="00BB7B91" w:rsidP="00F64BBC">
            <w:pPr>
              <w:jc w:val="center"/>
            </w:pPr>
            <w:r w:rsidRPr="00D55DC6">
              <w:t>205,000</w:t>
            </w:r>
          </w:p>
        </w:tc>
        <w:tc>
          <w:tcPr>
            <w:tcW w:w="868" w:type="dxa"/>
            <w:tcBorders>
              <w:top w:val="single" w:sz="4" w:space="0" w:color="auto"/>
              <w:left w:val="nil"/>
              <w:bottom w:val="single" w:sz="4" w:space="0" w:color="auto"/>
              <w:right w:val="single" w:sz="4" w:space="0" w:color="auto"/>
            </w:tcBorders>
            <w:shd w:val="clear" w:color="000000" w:fill="FDE9D9"/>
            <w:noWrap/>
            <w:vAlign w:val="center"/>
            <w:hideMark/>
          </w:tcPr>
          <w:p w:rsidR="00BB7B91" w:rsidRPr="00D55DC6" w:rsidRDefault="00BB7B91" w:rsidP="00F64BBC">
            <w:pPr>
              <w:jc w:val="center"/>
            </w:pPr>
            <w:r w:rsidRPr="00D55DC6">
              <w:t>200,000</w:t>
            </w:r>
          </w:p>
        </w:tc>
        <w:tc>
          <w:tcPr>
            <w:tcW w:w="1016" w:type="dxa"/>
            <w:tcBorders>
              <w:top w:val="single" w:sz="4" w:space="0" w:color="auto"/>
              <w:left w:val="nil"/>
              <w:bottom w:val="single" w:sz="4" w:space="0" w:color="auto"/>
              <w:right w:val="single" w:sz="4" w:space="0" w:color="auto"/>
            </w:tcBorders>
            <w:shd w:val="clear" w:color="000000" w:fill="FDE9D9"/>
            <w:vAlign w:val="center"/>
          </w:tcPr>
          <w:p w:rsidR="00BB7B91" w:rsidRPr="00D55DC6" w:rsidRDefault="00BB7B91">
            <w:pPr>
              <w:jc w:val="right"/>
              <w:rPr>
                <w:rFonts w:ascii="新細明體" w:hAnsi="新細明體" w:cs="新細明體"/>
              </w:rPr>
            </w:pPr>
            <w:r w:rsidRPr="00D55DC6">
              <w:rPr>
                <w:rFonts w:hint="eastAsia"/>
              </w:rPr>
              <w:t>4,731,300</w:t>
            </w:r>
          </w:p>
        </w:tc>
      </w:tr>
      <w:tr w:rsidR="001D0350" w:rsidRPr="00D55DC6" w:rsidTr="00BB7B91">
        <w:trPr>
          <w:trHeight w:val="330"/>
          <w:jc w:val="center"/>
        </w:trPr>
        <w:tc>
          <w:tcPr>
            <w:tcW w:w="1196" w:type="dxa"/>
            <w:tcBorders>
              <w:top w:val="nil"/>
              <w:left w:val="single" w:sz="4" w:space="0" w:color="auto"/>
              <w:bottom w:val="single" w:sz="4" w:space="0" w:color="auto"/>
              <w:right w:val="single" w:sz="4" w:space="0" w:color="auto"/>
            </w:tcBorders>
            <w:shd w:val="clear" w:color="000000" w:fill="FFFFFF"/>
            <w:noWrap/>
            <w:vAlign w:val="center"/>
            <w:hideMark/>
          </w:tcPr>
          <w:p w:rsidR="00BB7B91" w:rsidRPr="00D55DC6" w:rsidRDefault="00BB7B91" w:rsidP="00F64BBC">
            <w:pPr>
              <w:widowControl/>
              <w:spacing w:line="460" w:lineRule="exact"/>
              <w:jc w:val="both"/>
              <w:rPr>
                <w:rFonts w:eastAsia="標楷體"/>
                <w:kern w:val="0"/>
              </w:rPr>
            </w:pPr>
            <w:r w:rsidRPr="00D55DC6">
              <w:rPr>
                <w:rFonts w:eastAsia="標楷體"/>
                <w:kern w:val="0"/>
              </w:rPr>
              <w:t>收入</w:t>
            </w:r>
          </w:p>
        </w:tc>
        <w:tc>
          <w:tcPr>
            <w:tcW w:w="1136"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85,474</w:t>
            </w:r>
          </w:p>
        </w:tc>
        <w:tc>
          <w:tcPr>
            <w:tcW w:w="906"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87,120</w:t>
            </w:r>
          </w:p>
        </w:tc>
        <w:tc>
          <w:tcPr>
            <w:tcW w:w="828"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88,297</w:t>
            </w:r>
          </w:p>
        </w:tc>
        <w:tc>
          <w:tcPr>
            <w:tcW w:w="868"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89,495</w:t>
            </w:r>
          </w:p>
        </w:tc>
        <w:tc>
          <w:tcPr>
            <w:tcW w:w="867"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91,200</w:t>
            </w:r>
          </w:p>
        </w:tc>
        <w:tc>
          <w:tcPr>
            <w:tcW w:w="867"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92,431</w:t>
            </w:r>
          </w:p>
        </w:tc>
        <w:tc>
          <w:tcPr>
            <w:tcW w:w="868"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93,684</w:t>
            </w:r>
          </w:p>
        </w:tc>
        <w:tc>
          <w:tcPr>
            <w:tcW w:w="867"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95,496</w:t>
            </w:r>
          </w:p>
        </w:tc>
        <w:tc>
          <w:tcPr>
            <w:tcW w:w="867"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96,784</w:t>
            </w:r>
          </w:p>
        </w:tc>
        <w:tc>
          <w:tcPr>
            <w:tcW w:w="868" w:type="dxa"/>
            <w:tcBorders>
              <w:top w:val="nil"/>
              <w:left w:val="nil"/>
              <w:bottom w:val="sing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98,094</w:t>
            </w:r>
          </w:p>
        </w:tc>
        <w:tc>
          <w:tcPr>
            <w:tcW w:w="1016" w:type="dxa"/>
            <w:tcBorders>
              <w:top w:val="nil"/>
              <w:left w:val="nil"/>
              <w:bottom w:val="single" w:sz="4" w:space="0" w:color="auto"/>
              <w:right w:val="single" w:sz="4" w:space="0" w:color="auto"/>
            </w:tcBorders>
            <w:shd w:val="clear" w:color="000000" w:fill="FFFFFF"/>
            <w:vAlign w:val="center"/>
          </w:tcPr>
          <w:p w:rsidR="00BB7B91" w:rsidRPr="00D55DC6" w:rsidRDefault="00BB7B91">
            <w:pPr>
              <w:jc w:val="right"/>
              <w:rPr>
                <w:rFonts w:ascii="新細明體" w:hAnsi="新細明體" w:cs="新細明體"/>
              </w:rPr>
            </w:pPr>
            <w:r w:rsidRPr="00D55DC6">
              <w:rPr>
                <w:rFonts w:hint="eastAsia"/>
              </w:rPr>
              <w:t>1,362,971</w:t>
            </w:r>
          </w:p>
        </w:tc>
      </w:tr>
      <w:tr w:rsidR="001D0350" w:rsidRPr="00D55DC6" w:rsidTr="00BB7B91">
        <w:trPr>
          <w:trHeight w:val="330"/>
          <w:jc w:val="center"/>
        </w:trPr>
        <w:tc>
          <w:tcPr>
            <w:tcW w:w="1196" w:type="dxa"/>
            <w:tcBorders>
              <w:top w:val="nil"/>
              <w:left w:val="single" w:sz="4" w:space="0" w:color="auto"/>
              <w:bottom w:val="double" w:sz="4" w:space="0" w:color="auto"/>
              <w:right w:val="single" w:sz="4" w:space="0" w:color="auto"/>
            </w:tcBorders>
            <w:shd w:val="clear" w:color="000000" w:fill="FFFFFF"/>
            <w:noWrap/>
            <w:vAlign w:val="center"/>
            <w:hideMark/>
          </w:tcPr>
          <w:p w:rsidR="00BB7B91" w:rsidRPr="00D55DC6" w:rsidRDefault="00BB7B91" w:rsidP="00F64BBC">
            <w:pPr>
              <w:widowControl/>
              <w:spacing w:line="460" w:lineRule="exact"/>
              <w:jc w:val="both"/>
              <w:rPr>
                <w:rFonts w:eastAsia="標楷體"/>
                <w:kern w:val="0"/>
              </w:rPr>
            </w:pPr>
            <w:r w:rsidRPr="00D55DC6">
              <w:rPr>
                <w:rFonts w:eastAsia="標楷體"/>
                <w:kern w:val="0"/>
              </w:rPr>
              <w:t>收支比</w:t>
            </w:r>
          </w:p>
        </w:tc>
        <w:tc>
          <w:tcPr>
            <w:tcW w:w="1136" w:type="dxa"/>
            <w:tcBorders>
              <w:top w:val="nil"/>
              <w:left w:val="nil"/>
              <w:bottom w:val="doub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37.16%</w:t>
            </w:r>
          </w:p>
        </w:tc>
        <w:tc>
          <w:tcPr>
            <w:tcW w:w="906" w:type="dxa"/>
            <w:tcBorders>
              <w:top w:val="nil"/>
              <w:left w:val="nil"/>
              <w:bottom w:val="doub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37.88%</w:t>
            </w:r>
          </w:p>
        </w:tc>
        <w:tc>
          <w:tcPr>
            <w:tcW w:w="828" w:type="dxa"/>
            <w:tcBorders>
              <w:top w:val="nil"/>
              <w:left w:val="nil"/>
              <w:bottom w:val="doub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40.14%</w:t>
            </w:r>
          </w:p>
        </w:tc>
        <w:tc>
          <w:tcPr>
            <w:tcW w:w="868" w:type="dxa"/>
            <w:tcBorders>
              <w:top w:val="nil"/>
              <w:left w:val="nil"/>
              <w:bottom w:val="doub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40.68%</w:t>
            </w:r>
          </w:p>
        </w:tc>
        <w:tc>
          <w:tcPr>
            <w:tcW w:w="867" w:type="dxa"/>
            <w:tcBorders>
              <w:top w:val="nil"/>
              <w:left w:val="nil"/>
              <w:bottom w:val="doub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43.43%</w:t>
            </w:r>
          </w:p>
        </w:tc>
        <w:tc>
          <w:tcPr>
            <w:tcW w:w="867" w:type="dxa"/>
            <w:tcBorders>
              <w:top w:val="nil"/>
              <w:left w:val="nil"/>
              <w:bottom w:val="doub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44.01%</w:t>
            </w:r>
          </w:p>
        </w:tc>
        <w:tc>
          <w:tcPr>
            <w:tcW w:w="868" w:type="dxa"/>
            <w:tcBorders>
              <w:top w:val="nil"/>
              <w:left w:val="nil"/>
              <w:bottom w:val="doub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44.61%</w:t>
            </w:r>
          </w:p>
        </w:tc>
        <w:tc>
          <w:tcPr>
            <w:tcW w:w="867" w:type="dxa"/>
            <w:tcBorders>
              <w:top w:val="nil"/>
              <w:left w:val="nil"/>
              <w:bottom w:val="doub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45.47%</w:t>
            </w:r>
          </w:p>
        </w:tc>
        <w:tc>
          <w:tcPr>
            <w:tcW w:w="867" w:type="dxa"/>
            <w:tcBorders>
              <w:top w:val="nil"/>
              <w:left w:val="nil"/>
              <w:bottom w:val="doub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47.21%</w:t>
            </w:r>
          </w:p>
        </w:tc>
        <w:tc>
          <w:tcPr>
            <w:tcW w:w="868" w:type="dxa"/>
            <w:tcBorders>
              <w:top w:val="nil"/>
              <w:left w:val="nil"/>
              <w:bottom w:val="double" w:sz="4" w:space="0" w:color="auto"/>
              <w:right w:val="single" w:sz="4" w:space="0" w:color="auto"/>
            </w:tcBorders>
            <w:shd w:val="clear" w:color="000000" w:fill="FFFFFF"/>
            <w:noWrap/>
            <w:vAlign w:val="center"/>
            <w:hideMark/>
          </w:tcPr>
          <w:p w:rsidR="00BB7B91" w:rsidRPr="00D55DC6" w:rsidRDefault="00BB7B91" w:rsidP="00F64BBC">
            <w:pPr>
              <w:jc w:val="center"/>
            </w:pPr>
            <w:r w:rsidRPr="00D55DC6">
              <w:t>49.05%</w:t>
            </w:r>
          </w:p>
        </w:tc>
        <w:tc>
          <w:tcPr>
            <w:tcW w:w="1016" w:type="dxa"/>
            <w:tcBorders>
              <w:top w:val="nil"/>
              <w:left w:val="nil"/>
              <w:bottom w:val="double" w:sz="4" w:space="0" w:color="auto"/>
              <w:right w:val="single" w:sz="4" w:space="0" w:color="auto"/>
            </w:tcBorders>
            <w:shd w:val="clear" w:color="000000" w:fill="FFFFFF"/>
            <w:vAlign w:val="center"/>
          </w:tcPr>
          <w:p w:rsidR="00BB7B91" w:rsidRPr="00D55DC6" w:rsidRDefault="00BB7B91">
            <w:pPr>
              <w:jc w:val="right"/>
              <w:rPr>
                <w:rFonts w:ascii="新細明體" w:hAnsi="新細明體" w:cs="新細明體"/>
              </w:rPr>
            </w:pPr>
            <w:r w:rsidRPr="00D55DC6">
              <w:rPr>
                <w:rFonts w:hint="eastAsia"/>
              </w:rPr>
              <w:t>28.81%</w:t>
            </w:r>
          </w:p>
        </w:tc>
      </w:tr>
      <w:tr w:rsidR="001D0350" w:rsidRPr="00D55DC6" w:rsidTr="00BB7B91">
        <w:trPr>
          <w:gridAfter w:val="9"/>
          <w:wAfter w:w="7916" w:type="dxa"/>
          <w:trHeight w:val="330"/>
          <w:jc w:val="center"/>
        </w:trPr>
        <w:tc>
          <w:tcPr>
            <w:tcW w:w="1196" w:type="dxa"/>
            <w:tcBorders>
              <w:top w:val="double" w:sz="4" w:space="0" w:color="auto"/>
              <w:left w:val="single" w:sz="4" w:space="0" w:color="auto"/>
              <w:bottom w:val="single" w:sz="4" w:space="0" w:color="auto"/>
              <w:right w:val="single" w:sz="4" w:space="0" w:color="auto"/>
            </w:tcBorders>
            <w:shd w:val="clear" w:color="000000" w:fill="FFFFCC"/>
            <w:noWrap/>
            <w:vAlign w:val="center"/>
            <w:hideMark/>
          </w:tcPr>
          <w:p w:rsidR="00BB7B91" w:rsidRPr="00D55DC6" w:rsidRDefault="00BB7B91" w:rsidP="00F64BBC">
            <w:pPr>
              <w:widowControl/>
              <w:spacing w:line="460" w:lineRule="exact"/>
              <w:jc w:val="both"/>
              <w:rPr>
                <w:rFonts w:eastAsia="標楷體"/>
                <w:b/>
                <w:bCs/>
                <w:kern w:val="0"/>
                <w:sz w:val="20"/>
                <w:szCs w:val="20"/>
              </w:rPr>
            </w:pPr>
            <w:r w:rsidRPr="00D55DC6">
              <w:rPr>
                <w:rFonts w:eastAsia="標楷體"/>
                <w:b/>
                <w:bCs/>
                <w:kern w:val="0"/>
                <w:sz w:val="20"/>
                <w:szCs w:val="20"/>
              </w:rPr>
              <w:t>投資現值</w:t>
            </w:r>
          </w:p>
        </w:tc>
        <w:tc>
          <w:tcPr>
            <w:tcW w:w="2042" w:type="dxa"/>
            <w:gridSpan w:val="2"/>
            <w:tcBorders>
              <w:top w:val="double" w:sz="4" w:space="0" w:color="auto"/>
              <w:left w:val="nil"/>
              <w:bottom w:val="single" w:sz="4" w:space="0" w:color="auto"/>
              <w:right w:val="single" w:sz="4" w:space="0" w:color="auto"/>
            </w:tcBorders>
            <w:shd w:val="clear" w:color="000000" w:fill="FFFFCC"/>
            <w:noWrap/>
            <w:vAlign w:val="center"/>
          </w:tcPr>
          <w:p w:rsidR="00BB7B91" w:rsidRPr="00D55DC6" w:rsidRDefault="00BB7B91" w:rsidP="00BB7B91">
            <w:pPr>
              <w:widowControl/>
              <w:autoSpaceDE w:val="0"/>
              <w:autoSpaceDN w:val="0"/>
              <w:adjustRightInd w:val="0"/>
              <w:snapToGrid w:val="0"/>
              <w:spacing w:line="460" w:lineRule="exact"/>
              <w:ind w:left="511" w:hangingChars="213" w:hanging="511"/>
              <w:jc w:val="right"/>
            </w:pPr>
            <w:r w:rsidRPr="00D55DC6">
              <w:t>$3,</w:t>
            </w:r>
            <w:r w:rsidRPr="00D55DC6">
              <w:rPr>
                <w:rFonts w:hint="eastAsia"/>
              </w:rPr>
              <w:t>607</w:t>
            </w:r>
            <w:r w:rsidRPr="00D55DC6">
              <w:t>,</w:t>
            </w:r>
            <w:r w:rsidRPr="00D55DC6">
              <w:rPr>
                <w:rFonts w:hint="eastAsia"/>
              </w:rPr>
              <w:t>272</w:t>
            </w:r>
          </w:p>
        </w:tc>
      </w:tr>
      <w:tr w:rsidR="001D0350" w:rsidRPr="00D55DC6" w:rsidTr="00BB7B91">
        <w:trPr>
          <w:gridAfter w:val="9"/>
          <w:wAfter w:w="7916" w:type="dxa"/>
          <w:trHeight w:val="330"/>
          <w:jc w:val="center"/>
        </w:trPr>
        <w:tc>
          <w:tcPr>
            <w:tcW w:w="1196" w:type="dxa"/>
            <w:tcBorders>
              <w:top w:val="nil"/>
              <w:left w:val="single" w:sz="4" w:space="0" w:color="auto"/>
              <w:bottom w:val="single" w:sz="4" w:space="0" w:color="auto"/>
              <w:right w:val="single" w:sz="4" w:space="0" w:color="auto"/>
            </w:tcBorders>
            <w:shd w:val="clear" w:color="000000" w:fill="FFFFCC"/>
            <w:noWrap/>
            <w:vAlign w:val="center"/>
            <w:hideMark/>
          </w:tcPr>
          <w:p w:rsidR="00BB7B91" w:rsidRPr="00D55DC6" w:rsidRDefault="00BB7B91" w:rsidP="00F64BBC">
            <w:pPr>
              <w:widowControl/>
              <w:spacing w:line="460" w:lineRule="exact"/>
              <w:jc w:val="both"/>
              <w:rPr>
                <w:rFonts w:eastAsia="標楷體"/>
                <w:b/>
                <w:bCs/>
                <w:kern w:val="0"/>
                <w:sz w:val="20"/>
                <w:szCs w:val="20"/>
              </w:rPr>
            </w:pPr>
            <w:r w:rsidRPr="00D55DC6">
              <w:rPr>
                <w:rFonts w:eastAsia="標楷體"/>
                <w:b/>
                <w:bCs/>
                <w:kern w:val="0"/>
                <w:sz w:val="20"/>
                <w:szCs w:val="20"/>
              </w:rPr>
              <w:t>收益現值</w:t>
            </w:r>
          </w:p>
        </w:tc>
        <w:tc>
          <w:tcPr>
            <w:tcW w:w="2042" w:type="dxa"/>
            <w:gridSpan w:val="2"/>
            <w:tcBorders>
              <w:top w:val="nil"/>
              <w:left w:val="nil"/>
              <w:bottom w:val="single" w:sz="4" w:space="0" w:color="auto"/>
              <w:right w:val="single" w:sz="4" w:space="0" w:color="auto"/>
            </w:tcBorders>
            <w:shd w:val="clear" w:color="000000" w:fill="FFFFCC"/>
            <w:noWrap/>
            <w:vAlign w:val="center"/>
          </w:tcPr>
          <w:p w:rsidR="00BB7B91" w:rsidRPr="00D55DC6" w:rsidRDefault="00BB7B91" w:rsidP="00BB7B91">
            <w:pPr>
              <w:spacing w:line="460" w:lineRule="exact"/>
              <w:jc w:val="right"/>
            </w:pPr>
            <w:r w:rsidRPr="00D55DC6">
              <w:t>$948,939</w:t>
            </w:r>
          </w:p>
        </w:tc>
      </w:tr>
      <w:tr w:rsidR="001D0350" w:rsidRPr="00D55DC6" w:rsidTr="00BB7B91">
        <w:trPr>
          <w:gridAfter w:val="9"/>
          <w:wAfter w:w="7916" w:type="dxa"/>
          <w:trHeight w:val="330"/>
          <w:jc w:val="center"/>
        </w:trPr>
        <w:tc>
          <w:tcPr>
            <w:tcW w:w="1196"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BB7B91" w:rsidRPr="00D55DC6" w:rsidRDefault="00BB7B91" w:rsidP="00F64BBC">
            <w:pPr>
              <w:widowControl/>
              <w:spacing w:line="460" w:lineRule="exact"/>
              <w:jc w:val="both"/>
              <w:rPr>
                <w:rFonts w:eastAsia="標楷體"/>
                <w:kern w:val="0"/>
                <w:sz w:val="20"/>
                <w:szCs w:val="20"/>
              </w:rPr>
            </w:pPr>
            <w:r w:rsidRPr="00D55DC6">
              <w:rPr>
                <w:rFonts w:eastAsia="標楷體"/>
                <w:kern w:val="0"/>
                <w:sz w:val="20"/>
                <w:szCs w:val="20"/>
              </w:rPr>
              <w:t>計畫自償率</w:t>
            </w:r>
          </w:p>
        </w:tc>
        <w:tc>
          <w:tcPr>
            <w:tcW w:w="2042" w:type="dxa"/>
            <w:gridSpan w:val="2"/>
            <w:tcBorders>
              <w:top w:val="single" w:sz="4" w:space="0" w:color="auto"/>
              <w:left w:val="nil"/>
              <w:bottom w:val="single" w:sz="4" w:space="0" w:color="auto"/>
              <w:right w:val="single" w:sz="4" w:space="0" w:color="auto"/>
            </w:tcBorders>
            <w:shd w:val="clear" w:color="000000" w:fill="FDE9D9"/>
            <w:noWrap/>
            <w:vAlign w:val="center"/>
          </w:tcPr>
          <w:p w:rsidR="00BB7B91" w:rsidRPr="00D55DC6" w:rsidRDefault="00BB7B91" w:rsidP="00BB7B91">
            <w:pPr>
              <w:spacing w:line="460" w:lineRule="exact"/>
              <w:jc w:val="right"/>
            </w:pPr>
            <w:r w:rsidRPr="00D55DC6">
              <w:t>2</w:t>
            </w:r>
            <w:r w:rsidRPr="00D55DC6">
              <w:rPr>
                <w:rFonts w:hint="eastAsia"/>
              </w:rPr>
              <w:t>6.31</w:t>
            </w:r>
            <w:r w:rsidRPr="00D55DC6">
              <w:t>%</w:t>
            </w:r>
          </w:p>
        </w:tc>
      </w:tr>
    </w:tbl>
    <w:p w:rsidR="00F64BBC" w:rsidRPr="00D55DC6" w:rsidRDefault="00F64BBC" w:rsidP="00F64BBC">
      <w:pPr>
        <w:snapToGrid w:val="0"/>
        <w:spacing w:line="460" w:lineRule="exact"/>
        <w:jc w:val="both"/>
        <w:rPr>
          <w:rFonts w:eastAsia="標楷體"/>
          <w:b/>
          <w:sz w:val="28"/>
          <w:szCs w:val="28"/>
        </w:rPr>
      </w:pPr>
    </w:p>
    <w:p w:rsidR="00F47623" w:rsidRPr="00D55DC6" w:rsidRDefault="00F47623" w:rsidP="00F64BBC">
      <w:pPr>
        <w:snapToGrid w:val="0"/>
        <w:spacing w:line="460" w:lineRule="exact"/>
        <w:ind w:left="709"/>
        <w:jc w:val="both"/>
        <w:rPr>
          <w:rFonts w:eastAsia="標楷體"/>
          <w:b/>
          <w:sz w:val="28"/>
          <w:szCs w:val="28"/>
        </w:rPr>
      </w:pPr>
    </w:p>
    <w:p w:rsidR="00F47623" w:rsidRPr="00D55DC6" w:rsidRDefault="00F47623" w:rsidP="0038165F">
      <w:pPr>
        <w:numPr>
          <w:ilvl w:val="0"/>
          <w:numId w:val="1"/>
        </w:numPr>
        <w:snapToGrid w:val="0"/>
        <w:spacing w:line="460" w:lineRule="exact"/>
        <w:ind w:left="709" w:hanging="709"/>
        <w:jc w:val="both"/>
        <w:rPr>
          <w:rFonts w:eastAsia="標楷體"/>
          <w:b/>
          <w:sz w:val="28"/>
          <w:szCs w:val="28"/>
        </w:rPr>
      </w:pPr>
      <w:r w:rsidRPr="00D55DC6">
        <w:rPr>
          <w:rFonts w:eastAsia="標楷體"/>
          <w:b/>
          <w:sz w:val="28"/>
          <w:szCs w:val="28"/>
        </w:rPr>
        <w:t>附則</w:t>
      </w:r>
    </w:p>
    <w:p w:rsidR="00F47623" w:rsidRPr="00D55DC6" w:rsidRDefault="00F47623" w:rsidP="004865C1">
      <w:pPr>
        <w:numPr>
          <w:ilvl w:val="0"/>
          <w:numId w:val="108"/>
        </w:numPr>
        <w:snapToGrid w:val="0"/>
        <w:spacing w:line="460" w:lineRule="exact"/>
        <w:jc w:val="both"/>
        <w:rPr>
          <w:rFonts w:eastAsia="標楷體"/>
          <w:b/>
          <w:sz w:val="28"/>
          <w:szCs w:val="28"/>
        </w:rPr>
      </w:pPr>
      <w:r w:rsidRPr="00D55DC6">
        <w:rPr>
          <w:rFonts w:eastAsia="標楷體"/>
          <w:b/>
          <w:sz w:val="28"/>
          <w:szCs w:val="28"/>
        </w:rPr>
        <w:t>風險評估</w:t>
      </w:r>
    </w:p>
    <w:p w:rsidR="00F47623" w:rsidRPr="00D55DC6" w:rsidRDefault="00F47623" w:rsidP="004865C1">
      <w:pPr>
        <w:numPr>
          <w:ilvl w:val="0"/>
          <w:numId w:val="98"/>
        </w:numPr>
        <w:snapToGrid w:val="0"/>
        <w:spacing w:line="460" w:lineRule="exact"/>
        <w:jc w:val="both"/>
        <w:rPr>
          <w:rFonts w:eastAsia="標楷體"/>
          <w:sz w:val="28"/>
          <w:szCs w:val="28"/>
        </w:rPr>
      </w:pPr>
      <w:r w:rsidRPr="00D55DC6">
        <w:rPr>
          <w:rFonts w:eastAsia="標楷體"/>
          <w:sz w:val="28"/>
          <w:szCs w:val="28"/>
        </w:rPr>
        <w:t>氣候及地理區位所造成之自然災害具風險性，爰各項建設將謹慎評估氣候及土地條件，並已能配合地方政府防災資訊與設施，降低災害影響。</w:t>
      </w:r>
    </w:p>
    <w:p w:rsidR="00F47623" w:rsidRPr="00D55DC6" w:rsidRDefault="00F47623" w:rsidP="004865C1">
      <w:pPr>
        <w:numPr>
          <w:ilvl w:val="0"/>
          <w:numId w:val="98"/>
        </w:numPr>
        <w:snapToGrid w:val="0"/>
        <w:spacing w:line="460" w:lineRule="exact"/>
        <w:ind w:left="851" w:hanging="371"/>
        <w:jc w:val="both"/>
        <w:rPr>
          <w:rFonts w:eastAsia="標楷體"/>
          <w:sz w:val="28"/>
          <w:szCs w:val="28"/>
        </w:rPr>
      </w:pPr>
      <w:r w:rsidRPr="00D55DC6">
        <w:rPr>
          <w:rFonts w:eastAsia="標楷體"/>
          <w:sz w:val="28"/>
          <w:szCs w:val="28"/>
        </w:rPr>
        <w:t>建設施工依規定辦理發包施作，並積極確保施工品質，追蹤施工進度，以電子攝錄影紀錄方式積極辦理，確保如期如質完工。</w:t>
      </w:r>
    </w:p>
    <w:p w:rsidR="00F47623" w:rsidRPr="00D55DC6" w:rsidRDefault="00F47623" w:rsidP="004865C1">
      <w:pPr>
        <w:numPr>
          <w:ilvl w:val="0"/>
          <w:numId w:val="98"/>
        </w:numPr>
        <w:snapToGrid w:val="0"/>
        <w:spacing w:line="460" w:lineRule="exact"/>
        <w:ind w:left="851" w:hanging="371"/>
        <w:jc w:val="both"/>
        <w:rPr>
          <w:rFonts w:eastAsia="標楷體"/>
          <w:sz w:val="28"/>
          <w:szCs w:val="28"/>
        </w:rPr>
      </w:pPr>
      <w:r w:rsidRPr="00D55DC6">
        <w:rPr>
          <w:rFonts w:eastAsia="標楷體"/>
          <w:sz w:val="28"/>
          <w:szCs w:val="28"/>
        </w:rPr>
        <w:t>各項建設積極溝通爭取地方民眾認同，已能藉由地方政府、公所至里辦公室之聯繫，宣導本計畫推動，並以聯繫會議加強溝通，爭取地方</w:t>
      </w:r>
      <w:r w:rsidRPr="00D55DC6">
        <w:rPr>
          <w:rFonts w:eastAsia="標楷體"/>
          <w:sz w:val="28"/>
          <w:szCs w:val="28"/>
        </w:rPr>
        <w:lastRenderedPageBreak/>
        <w:t>認同。</w:t>
      </w:r>
    </w:p>
    <w:p w:rsidR="00F47623" w:rsidRPr="00D55DC6" w:rsidRDefault="00F47623" w:rsidP="004865C1">
      <w:pPr>
        <w:numPr>
          <w:ilvl w:val="0"/>
          <w:numId w:val="98"/>
        </w:numPr>
        <w:snapToGrid w:val="0"/>
        <w:spacing w:line="460" w:lineRule="exact"/>
        <w:ind w:left="851" w:hanging="371"/>
        <w:jc w:val="both"/>
        <w:rPr>
          <w:rFonts w:eastAsia="標楷體"/>
          <w:sz w:val="28"/>
          <w:szCs w:val="28"/>
        </w:rPr>
      </w:pPr>
      <w:r w:rsidRPr="00D55DC6">
        <w:rPr>
          <w:rFonts w:eastAsia="標楷體"/>
          <w:sz w:val="28"/>
          <w:szCs w:val="28"/>
        </w:rPr>
        <w:t>經營管理之風險控管，各種維安檢測皆納入檢核項目，並持續實施救難演練確保旅遊安全。</w:t>
      </w:r>
    </w:p>
    <w:p w:rsidR="00F47623" w:rsidRPr="00D55DC6" w:rsidRDefault="00F47623" w:rsidP="004865C1">
      <w:pPr>
        <w:numPr>
          <w:ilvl w:val="0"/>
          <w:numId w:val="98"/>
        </w:numPr>
        <w:snapToGrid w:val="0"/>
        <w:spacing w:line="460" w:lineRule="exact"/>
        <w:ind w:left="851" w:hanging="371"/>
        <w:jc w:val="both"/>
        <w:rPr>
          <w:rFonts w:eastAsia="標楷體"/>
          <w:sz w:val="28"/>
          <w:szCs w:val="28"/>
        </w:rPr>
      </w:pPr>
      <w:r w:rsidRPr="00D55DC6">
        <w:rPr>
          <w:rFonts w:eastAsia="標楷體"/>
          <w:sz w:val="28"/>
          <w:szCs w:val="28"/>
        </w:rPr>
        <w:t>本風景區多屬地層下陷、濕地等環境敏感地區，隨著環境相關法規範遽增，可能擴大開發之限制，產生推動建設之風險，或需歷經繁雜之行政程序，降低建設之實質效率，並阻絕觀光建設擴散效益。</w:t>
      </w:r>
    </w:p>
    <w:p w:rsidR="00F47623" w:rsidRPr="00D55DC6" w:rsidRDefault="00F47623" w:rsidP="004865C1">
      <w:pPr>
        <w:numPr>
          <w:ilvl w:val="0"/>
          <w:numId w:val="98"/>
        </w:numPr>
        <w:snapToGrid w:val="0"/>
        <w:spacing w:line="460" w:lineRule="exact"/>
        <w:ind w:left="851" w:hanging="371"/>
        <w:jc w:val="both"/>
        <w:rPr>
          <w:rFonts w:eastAsia="標楷體"/>
          <w:sz w:val="28"/>
          <w:szCs w:val="28"/>
        </w:rPr>
      </w:pPr>
      <w:r w:rsidRPr="00D55DC6">
        <w:rPr>
          <w:rFonts w:eastAsia="標楷體"/>
          <w:kern w:val="0"/>
          <w:sz w:val="28"/>
          <w:szCs w:val="28"/>
        </w:rPr>
        <w:t>105-108</w:t>
      </w:r>
      <w:r w:rsidRPr="00D55DC6">
        <w:rPr>
          <w:rFonts w:eastAsia="標楷體"/>
          <w:kern w:val="0"/>
          <w:sz w:val="28"/>
          <w:szCs w:val="28"/>
        </w:rPr>
        <w:t>年階段將持續以「擴大出租據點收益」、「新設據點收益</w:t>
      </w:r>
      <w:r w:rsidRPr="00D55DC6">
        <w:rPr>
          <w:rFonts w:eastAsia="標楷體"/>
          <w:kern w:val="0"/>
          <w:sz w:val="28"/>
          <w:szCs w:val="28"/>
        </w:rPr>
        <w:t>(</w:t>
      </w:r>
      <w:r w:rsidRPr="00D55DC6">
        <w:rPr>
          <w:rFonts w:eastAsia="標楷體"/>
          <w:kern w:val="0"/>
          <w:sz w:val="28"/>
          <w:szCs w:val="28"/>
        </w:rPr>
        <w:t>促參</w:t>
      </w:r>
      <w:r w:rsidRPr="00D55DC6">
        <w:rPr>
          <w:rFonts w:eastAsia="標楷體"/>
          <w:kern w:val="0"/>
          <w:sz w:val="28"/>
          <w:szCs w:val="28"/>
        </w:rPr>
        <w:t>)</w:t>
      </w:r>
      <w:r w:rsidRPr="00D55DC6">
        <w:rPr>
          <w:rFonts w:eastAsia="標楷體"/>
          <w:kern w:val="0"/>
          <w:sz w:val="28"/>
          <w:szCs w:val="28"/>
        </w:rPr>
        <w:t>」等執行推動財務收益，惟考量計畫可能存在「促參計畫因環評等不確定因素延宕」、「預估收益或預期市場反應過於樂觀」等眾多不確定風險特性，爰仍需持續依實際推動現況滾動檢討。</w:t>
      </w:r>
    </w:p>
    <w:p w:rsidR="00F47623" w:rsidRPr="00D55DC6" w:rsidRDefault="00F47623" w:rsidP="004865C1">
      <w:pPr>
        <w:numPr>
          <w:ilvl w:val="0"/>
          <w:numId w:val="108"/>
        </w:numPr>
        <w:snapToGrid w:val="0"/>
        <w:spacing w:line="460" w:lineRule="exact"/>
        <w:jc w:val="both"/>
        <w:rPr>
          <w:rFonts w:eastAsia="標楷體"/>
          <w:b/>
          <w:sz w:val="28"/>
          <w:szCs w:val="28"/>
        </w:rPr>
      </w:pPr>
      <w:r w:rsidRPr="00D55DC6">
        <w:rPr>
          <w:rFonts w:eastAsia="標楷體"/>
          <w:b/>
          <w:sz w:val="28"/>
          <w:szCs w:val="28"/>
        </w:rPr>
        <w:t>相關機關配合事項</w:t>
      </w:r>
    </w:p>
    <w:p w:rsidR="00F47623" w:rsidRPr="00D55DC6" w:rsidRDefault="00F47623" w:rsidP="004865C1">
      <w:pPr>
        <w:numPr>
          <w:ilvl w:val="0"/>
          <w:numId w:val="97"/>
        </w:numPr>
        <w:snapToGrid w:val="0"/>
        <w:spacing w:line="460" w:lineRule="exact"/>
        <w:ind w:left="851" w:hanging="371"/>
        <w:jc w:val="both"/>
        <w:rPr>
          <w:rFonts w:eastAsia="標楷體"/>
          <w:sz w:val="28"/>
          <w:szCs w:val="28"/>
        </w:rPr>
      </w:pPr>
      <w:r w:rsidRPr="00D55DC6">
        <w:rPr>
          <w:rFonts w:eastAsia="標楷體"/>
          <w:sz w:val="28"/>
          <w:szCs w:val="28"/>
        </w:rPr>
        <w:t>雲林縣政府：協助土地使用管制及建築管理許可、國土復育、水利防洪、休閒農業、生態保護、交通設施及相關證照之申請等。</w:t>
      </w:r>
    </w:p>
    <w:p w:rsidR="00F47623" w:rsidRPr="00D55DC6" w:rsidRDefault="00F47623" w:rsidP="004865C1">
      <w:pPr>
        <w:numPr>
          <w:ilvl w:val="0"/>
          <w:numId w:val="97"/>
        </w:numPr>
        <w:snapToGrid w:val="0"/>
        <w:spacing w:line="460" w:lineRule="exact"/>
        <w:ind w:left="851" w:hanging="371"/>
        <w:jc w:val="both"/>
        <w:rPr>
          <w:rFonts w:eastAsia="標楷體"/>
          <w:sz w:val="28"/>
          <w:szCs w:val="28"/>
        </w:rPr>
      </w:pPr>
      <w:r w:rsidRPr="00D55DC6">
        <w:rPr>
          <w:rFonts w:eastAsia="標楷體"/>
          <w:sz w:val="28"/>
          <w:szCs w:val="28"/>
        </w:rPr>
        <w:t>嘉義縣政府：協助土地使用管制及建築管理許可、國土復育、水利防洪、休閒農業、生態保護、交通設施及相關證照之申請等。</w:t>
      </w:r>
    </w:p>
    <w:p w:rsidR="00F47623" w:rsidRPr="00D55DC6" w:rsidRDefault="00F47623" w:rsidP="004865C1">
      <w:pPr>
        <w:numPr>
          <w:ilvl w:val="0"/>
          <w:numId w:val="97"/>
        </w:numPr>
        <w:snapToGrid w:val="0"/>
        <w:spacing w:line="460" w:lineRule="exact"/>
        <w:ind w:left="851" w:hanging="371"/>
        <w:jc w:val="both"/>
        <w:rPr>
          <w:rFonts w:eastAsia="標楷體"/>
          <w:sz w:val="28"/>
          <w:szCs w:val="28"/>
        </w:rPr>
      </w:pPr>
      <w:r w:rsidRPr="00D55DC6">
        <w:rPr>
          <w:rFonts w:eastAsia="標楷體"/>
          <w:sz w:val="28"/>
          <w:szCs w:val="28"/>
        </w:rPr>
        <w:t>台南市政府：協助土地使用管制及建築管理許可、國土復育、水利防洪、休閒農業、生態保護、交通設施及相關證照之申請等。</w:t>
      </w:r>
    </w:p>
    <w:p w:rsidR="00F47623" w:rsidRPr="00D55DC6" w:rsidRDefault="00F47623" w:rsidP="004865C1">
      <w:pPr>
        <w:numPr>
          <w:ilvl w:val="0"/>
          <w:numId w:val="97"/>
        </w:numPr>
        <w:snapToGrid w:val="0"/>
        <w:spacing w:line="460" w:lineRule="exact"/>
        <w:ind w:left="851" w:hanging="371"/>
        <w:jc w:val="both"/>
        <w:rPr>
          <w:rFonts w:eastAsia="標楷體"/>
          <w:sz w:val="28"/>
          <w:szCs w:val="28"/>
        </w:rPr>
      </w:pPr>
      <w:r w:rsidRPr="00D55DC6">
        <w:rPr>
          <w:rFonts w:eastAsia="標楷體"/>
          <w:sz w:val="28"/>
          <w:szCs w:val="28"/>
        </w:rPr>
        <w:t>行政院農委會林務局：建設用地林班解編、部份保安林解編等。</w:t>
      </w:r>
    </w:p>
    <w:p w:rsidR="00F47623" w:rsidRPr="00D55DC6" w:rsidRDefault="00F47623" w:rsidP="004865C1">
      <w:pPr>
        <w:numPr>
          <w:ilvl w:val="0"/>
          <w:numId w:val="97"/>
        </w:numPr>
        <w:snapToGrid w:val="0"/>
        <w:spacing w:line="460" w:lineRule="exact"/>
        <w:ind w:left="851" w:hanging="371"/>
        <w:jc w:val="both"/>
        <w:rPr>
          <w:rFonts w:eastAsia="標楷體"/>
          <w:sz w:val="28"/>
          <w:szCs w:val="28"/>
        </w:rPr>
      </w:pPr>
      <w:r w:rsidRPr="00D55DC6">
        <w:rPr>
          <w:rFonts w:eastAsia="標楷體"/>
          <w:sz w:val="28"/>
          <w:szCs w:val="28"/>
        </w:rPr>
        <w:t>內政部營建署：建設用地之都計變更相關事宜。</w:t>
      </w:r>
    </w:p>
    <w:p w:rsidR="00F47623" w:rsidRPr="00D55DC6" w:rsidRDefault="00F47623" w:rsidP="004865C1">
      <w:pPr>
        <w:numPr>
          <w:ilvl w:val="0"/>
          <w:numId w:val="97"/>
        </w:numPr>
        <w:snapToGrid w:val="0"/>
        <w:spacing w:line="460" w:lineRule="exact"/>
        <w:ind w:left="851" w:hanging="371"/>
        <w:jc w:val="both"/>
        <w:rPr>
          <w:rFonts w:eastAsia="標楷體"/>
          <w:sz w:val="28"/>
          <w:szCs w:val="28"/>
        </w:rPr>
      </w:pPr>
      <w:r w:rsidRPr="00D55DC6">
        <w:rPr>
          <w:rFonts w:eastAsia="標楷體"/>
          <w:sz w:val="28"/>
          <w:szCs w:val="28"/>
        </w:rPr>
        <w:t>台灣電力股份有限公司：關於設施用電之相關申請。</w:t>
      </w:r>
    </w:p>
    <w:p w:rsidR="00F47623" w:rsidRPr="00D55DC6" w:rsidRDefault="00F47623" w:rsidP="004865C1">
      <w:pPr>
        <w:numPr>
          <w:ilvl w:val="0"/>
          <w:numId w:val="97"/>
        </w:numPr>
        <w:snapToGrid w:val="0"/>
        <w:spacing w:line="460" w:lineRule="exact"/>
        <w:ind w:left="851" w:hanging="371"/>
        <w:jc w:val="both"/>
        <w:rPr>
          <w:rFonts w:eastAsia="標楷體"/>
          <w:sz w:val="28"/>
          <w:szCs w:val="28"/>
        </w:rPr>
      </w:pPr>
      <w:r w:rsidRPr="00D55DC6">
        <w:rPr>
          <w:rFonts w:eastAsia="標楷體"/>
          <w:sz w:val="28"/>
          <w:szCs w:val="28"/>
        </w:rPr>
        <w:t>台灣自來水股份有限公司：關於設施用水之相關申請。</w:t>
      </w:r>
    </w:p>
    <w:p w:rsidR="00A82A80" w:rsidRPr="00D55DC6" w:rsidRDefault="00A82A80" w:rsidP="0038165F">
      <w:pPr>
        <w:widowControl/>
        <w:rPr>
          <w:rFonts w:eastAsia="標楷體"/>
          <w:sz w:val="28"/>
          <w:szCs w:val="28"/>
        </w:rPr>
      </w:pPr>
    </w:p>
    <w:p w:rsidR="005A4735" w:rsidRPr="00D55DC6" w:rsidRDefault="005A4735" w:rsidP="0038165F">
      <w:pPr>
        <w:widowControl/>
        <w:rPr>
          <w:rFonts w:eastAsia="標楷體"/>
          <w:sz w:val="28"/>
          <w:szCs w:val="28"/>
        </w:rPr>
      </w:pPr>
      <w:r w:rsidRPr="00D55DC6">
        <w:rPr>
          <w:rFonts w:eastAsia="標楷體"/>
          <w:sz w:val="28"/>
          <w:szCs w:val="28"/>
        </w:rPr>
        <w:br w:type="page"/>
      </w:r>
    </w:p>
    <w:p w:rsidR="00612A4B" w:rsidRPr="00D55DC6" w:rsidRDefault="00612A4B" w:rsidP="0038165F">
      <w:pPr>
        <w:snapToGrid w:val="0"/>
        <w:spacing w:line="460" w:lineRule="exact"/>
        <w:jc w:val="both"/>
        <w:rPr>
          <w:rFonts w:eastAsia="標楷體"/>
          <w:b/>
          <w:sz w:val="28"/>
          <w:szCs w:val="28"/>
        </w:rPr>
      </w:pPr>
      <w:r w:rsidRPr="00D55DC6">
        <w:rPr>
          <w:rFonts w:eastAsia="標楷體"/>
          <w:b/>
          <w:sz w:val="28"/>
          <w:szCs w:val="28"/>
        </w:rPr>
        <w:lastRenderedPageBreak/>
        <w:t>柒、西拉雅國家風景區建設計畫</w:t>
      </w:r>
    </w:p>
    <w:p w:rsidR="00612A4B" w:rsidRPr="00D55DC6" w:rsidRDefault="00612A4B" w:rsidP="0038165F">
      <w:pPr>
        <w:snapToGrid w:val="0"/>
        <w:spacing w:line="460" w:lineRule="exact"/>
        <w:ind w:left="1386" w:hanging="1102"/>
        <w:jc w:val="both"/>
        <w:rPr>
          <w:rFonts w:eastAsia="標楷體"/>
          <w:b/>
          <w:sz w:val="28"/>
          <w:szCs w:val="28"/>
        </w:rPr>
      </w:pPr>
    </w:p>
    <w:p w:rsidR="00612A4B" w:rsidRPr="00D55DC6" w:rsidRDefault="00612A4B" w:rsidP="004865C1">
      <w:pPr>
        <w:pStyle w:val="a"/>
        <w:numPr>
          <w:ilvl w:val="0"/>
          <w:numId w:val="111"/>
        </w:numPr>
        <w:ind w:left="709"/>
        <w:rPr>
          <w:b/>
        </w:rPr>
      </w:pPr>
      <w:bookmarkStart w:id="132" w:name="_Toc407181698"/>
      <w:r w:rsidRPr="00D55DC6">
        <w:rPr>
          <w:b/>
        </w:rPr>
        <w:t>計畫緣起</w:t>
      </w:r>
      <w:bookmarkEnd w:id="132"/>
    </w:p>
    <w:p w:rsidR="00612A4B" w:rsidRPr="00D55DC6" w:rsidRDefault="00612A4B" w:rsidP="004865C1">
      <w:pPr>
        <w:numPr>
          <w:ilvl w:val="0"/>
          <w:numId w:val="112"/>
        </w:numPr>
        <w:snapToGrid w:val="0"/>
        <w:spacing w:line="460" w:lineRule="exact"/>
        <w:jc w:val="both"/>
        <w:rPr>
          <w:rFonts w:eastAsia="標楷體"/>
          <w:b/>
          <w:sz w:val="28"/>
          <w:szCs w:val="28"/>
        </w:rPr>
      </w:pPr>
      <w:r w:rsidRPr="00D55DC6">
        <w:rPr>
          <w:rFonts w:eastAsia="標楷體"/>
          <w:b/>
          <w:sz w:val="28"/>
          <w:szCs w:val="28"/>
        </w:rPr>
        <w:t>依據</w:t>
      </w:r>
    </w:p>
    <w:p w:rsidR="00612A4B" w:rsidRPr="00D55DC6" w:rsidRDefault="00612A4B" w:rsidP="004865C1">
      <w:pPr>
        <w:numPr>
          <w:ilvl w:val="0"/>
          <w:numId w:val="110"/>
        </w:numPr>
        <w:snapToGrid w:val="0"/>
        <w:spacing w:line="460" w:lineRule="exact"/>
        <w:ind w:leftChars="177" w:left="705" w:hangingChars="100" w:hanging="280"/>
        <w:jc w:val="both"/>
        <w:rPr>
          <w:rFonts w:eastAsia="標楷體"/>
          <w:sz w:val="28"/>
          <w:szCs w:val="28"/>
        </w:rPr>
      </w:pPr>
      <w:r w:rsidRPr="00D55DC6">
        <w:rPr>
          <w:rFonts w:eastAsia="標楷體"/>
          <w:sz w:val="28"/>
          <w:szCs w:val="28"/>
        </w:rPr>
        <w:t>為有效發揮政府重大公共建設計畫觀光次類別經費之投資效益，強化具體投資成果，延續「重要觀光景點建設中程計畫（</w:t>
      </w:r>
      <w:r w:rsidRPr="00D55DC6">
        <w:rPr>
          <w:rFonts w:eastAsia="標楷體"/>
          <w:sz w:val="28"/>
          <w:szCs w:val="28"/>
        </w:rPr>
        <w:t>101</w:t>
      </w:r>
      <w:r w:rsidRPr="00D55DC6">
        <w:rPr>
          <w:rFonts w:eastAsia="標楷體"/>
          <w:sz w:val="28"/>
          <w:szCs w:val="28"/>
        </w:rPr>
        <w:t>至</w:t>
      </w:r>
      <w:r w:rsidRPr="00D55DC6">
        <w:rPr>
          <w:rFonts w:eastAsia="標楷體"/>
          <w:sz w:val="28"/>
          <w:szCs w:val="28"/>
        </w:rPr>
        <w:t>104</w:t>
      </w:r>
      <w:r w:rsidRPr="00D55DC6">
        <w:rPr>
          <w:rFonts w:eastAsia="標楷體"/>
          <w:sz w:val="28"/>
          <w:szCs w:val="28"/>
        </w:rPr>
        <w:t>年）」（行政院</w:t>
      </w:r>
      <w:r w:rsidRPr="00D55DC6">
        <w:rPr>
          <w:rFonts w:eastAsia="標楷體"/>
          <w:sz w:val="28"/>
          <w:szCs w:val="28"/>
        </w:rPr>
        <w:t>100</w:t>
      </w:r>
      <w:r w:rsidRPr="00D55DC6">
        <w:rPr>
          <w:rFonts w:eastAsia="標楷體"/>
          <w:sz w:val="28"/>
          <w:szCs w:val="28"/>
        </w:rPr>
        <w:t>年</w:t>
      </w:r>
      <w:r w:rsidRPr="00D55DC6">
        <w:rPr>
          <w:rFonts w:eastAsia="標楷體"/>
          <w:sz w:val="28"/>
          <w:szCs w:val="28"/>
        </w:rPr>
        <w:t>8</w:t>
      </w:r>
      <w:r w:rsidRPr="00D55DC6">
        <w:rPr>
          <w:rFonts w:eastAsia="標楷體"/>
          <w:sz w:val="28"/>
          <w:szCs w:val="28"/>
        </w:rPr>
        <w:t>月</w:t>
      </w:r>
      <w:r w:rsidRPr="00D55DC6">
        <w:rPr>
          <w:rFonts w:eastAsia="標楷體"/>
          <w:sz w:val="28"/>
          <w:szCs w:val="28"/>
        </w:rPr>
        <w:t>22</w:t>
      </w:r>
      <w:r w:rsidRPr="00D55DC6">
        <w:rPr>
          <w:rFonts w:eastAsia="標楷體"/>
          <w:sz w:val="28"/>
          <w:szCs w:val="28"/>
        </w:rPr>
        <w:t>日院臺交字第</w:t>
      </w:r>
      <w:r w:rsidRPr="00D55DC6">
        <w:rPr>
          <w:rFonts w:eastAsia="標楷體"/>
          <w:sz w:val="28"/>
          <w:szCs w:val="28"/>
        </w:rPr>
        <w:t>1000044174</w:t>
      </w:r>
      <w:r w:rsidRPr="00D55DC6">
        <w:rPr>
          <w:rFonts w:eastAsia="標楷體"/>
          <w:sz w:val="28"/>
          <w:szCs w:val="28"/>
        </w:rPr>
        <w:t>號函核定）建設成果，並調整以</w:t>
      </w:r>
      <w:r w:rsidRPr="00D55DC6">
        <w:rPr>
          <w:rFonts w:eastAsia="標楷體"/>
          <w:sz w:val="28"/>
          <w:szCs w:val="28"/>
        </w:rPr>
        <w:t>1.</w:t>
      </w:r>
      <w:r w:rsidRPr="00D55DC6">
        <w:rPr>
          <w:rFonts w:eastAsia="標楷體"/>
          <w:sz w:val="28"/>
          <w:szCs w:val="28"/>
        </w:rPr>
        <w:t>國際觀光重要景點建設、</w:t>
      </w:r>
      <w:r w:rsidRPr="00D55DC6">
        <w:rPr>
          <w:rFonts w:eastAsia="標楷體"/>
          <w:sz w:val="28"/>
          <w:szCs w:val="28"/>
        </w:rPr>
        <w:t>2.</w:t>
      </w:r>
      <w:r w:rsidRPr="00D55DC6">
        <w:rPr>
          <w:rFonts w:eastAsia="標楷體"/>
          <w:sz w:val="28"/>
          <w:szCs w:val="28"/>
        </w:rPr>
        <w:t>國內觀光重要景點建設、</w:t>
      </w:r>
      <w:r w:rsidRPr="00D55DC6">
        <w:rPr>
          <w:rFonts w:eastAsia="標楷體"/>
          <w:sz w:val="28"/>
          <w:szCs w:val="28"/>
        </w:rPr>
        <w:t>3.</w:t>
      </w:r>
      <w:r w:rsidRPr="00D55DC6">
        <w:rPr>
          <w:rFonts w:eastAsia="標楷體"/>
          <w:sz w:val="28"/>
          <w:szCs w:val="28"/>
        </w:rPr>
        <w:t>國家風景區經營管理維護等投資重點與優先順序，研擬「重要觀光景點建設中程計畫</w:t>
      </w:r>
      <w:r w:rsidRPr="00D55DC6">
        <w:rPr>
          <w:rFonts w:eastAsia="標楷體"/>
          <w:sz w:val="28"/>
          <w:szCs w:val="28"/>
        </w:rPr>
        <w:t>(105-108</w:t>
      </w:r>
      <w:r w:rsidRPr="00D55DC6">
        <w:rPr>
          <w:rFonts w:eastAsia="標楷體"/>
          <w:sz w:val="28"/>
          <w:szCs w:val="28"/>
        </w:rPr>
        <w:t>年</w:t>
      </w:r>
      <w:r w:rsidRPr="00D55DC6">
        <w:rPr>
          <w:rFonts w:eastAsia="標楷體"/>
          <w:sz w:val="28"/>
          <w:szCs w:val="28"/>
        </w:rPr>
        <w:t>)</w:t>
      </w:r>
      <w:r w:rsidRPr="00D55DC6">
        <w:rPr>
          <w:rFonts w:eastAsia="標楷體"/>
          <w:sz w:val="28"/>
          <w:szCs w:val="28"/>
        </w:rPr>
        <w:t>」。</w:t>
      </w:r>
    </w:p>
    <w:p w:rsidR="00612A4B" w:rsidRPr="00D55DC6" w:rsidRDefault="00612A4B" w:rsidP="0038165F">
      <w:pPr>
        <w:snapToGrid w:val="0"/>
        <w:spacing w:line="460" w:lineRule="exact"/>
        <w:ind w:leftChars="177" w:left="705" w:hangingChars="100" w:hanging="280"/>
        <w:jc w:val="both"/>
        <w:rPr>
          <w:rFonts w:eastAsia="標楷體"/>
          <w:sz w:val="28"/>
          <w:szCs w:val="28"/>
        </w:rPr>
      </w:pPr>
      <w:r w:rsidRPr="00D55DC6">
        <w:rPr>
          <w:rFonts w:eastAsia="標楷體"/>
          <w:sz w:val="28"/>
          <w:szCs w:val="28"/>
        </w:rPr>
        <w:t>2.</w:t>
      </w:r>
      <w:r w:rsidRPr="00D55DC6">
        <w:rPr>
          <w:rFonts w:eastAsia="標楷體"/>
          <w:sz w:val="28"/>
          <w:szCs w:val="28"/>
        </w:rPr>
        <w:t>另西拉雅國家風景區管理處業於</w:t>
      </w:r>
      <w:r w:rsidRPr="00D55DC6">
        <w:rPr>
          <w:rFonts w:eastAsia="標楷體"/>
          <w:sz w:val="28"/>
          <w:szCs w:val="28"/>
        </w:rPr>
        <w:t>101</w:t>
      </w:r>
      <w:r w:rsidRPr="00D55DC6">
        <w:rPr>
          <w:rFonts w:eastAsia="標楷體"/>
          <w:sz w:val="28"/>
          <w:szCs w:val="28"/>
        </w:rPr>
        <w:t>年</w:t>
      </w:r>
      <w:r w:rsidRPr="00D55DC6">
        <w:rPr>
          <w:rFonts w:eastAsia="標楷體"/>
          <w:sz w:val="28"/>
          <w:szCs w:val="28"/>
        </w:rPr>
        <w:t>6</w:t>
      </w:r>
      <w:r w:rsidRPr="00D55DC6">
        <w:rPr>
          <w:rFonts w:eastAsia="標楷體"/>
          <w:sz w:val="28"/>
          <w:szCs w:val="28"/>
        </w:rPr>
        <w:t>月</w:t>
      </w:r>
      <w:r w:rsidRPr="00D55DC6">
        <w:rPr>
          <w:rFonts w:eastAsia="標楷體"/>
          <w:sz w:val="28"/>
          <w:szCs w:val="28"/>
        </w:rPr>
        <w:t>26</w:t>
      </w:r>
      <w:r w:rsidRPr="00D55DC6">
        <w:rPr>
          <w:rFonts w:eastAsia="標楷體"/>
          <w:sz w:val="28"/>
          <w:szCs w:val="28"/>
        </w:rPr>
        <w:t>日由交通部公告擴大經營管理範圍，面積由原本</w:t>
      </w:r>
      <w:r w:rsidRPr="00D55DC6">
        <w:rPr>
          <w:rFonts w:eastAsia="標楷體"/>
          <w:sz w:val="28"/>
          <w:szCs w:val="28"/>
        </w:rPr>
        <w:t>91,450</w:t>
      </w:r>
      <w:r w:rsidRPr="00D55DC6">
        <w:rPr>
          <w:rFonts w:eastAsia="標楷體"/>
          <w:sz w:val="28"/>
          <w:szCs w:val="28"/>
        </w:rPr>
        <w:t>公頃調整為</w:t>
      </w:r>
      <w:r w:rsidRPr="00D55DC6">
        <w:rPr>
          <w:rFonts w:eastAsia="標楷體"/>
          <w:sz w:val="28"/>
          <w:szCs w:val="28"/>
        </w:rPr>
        <w:t>95,470</w:t>
      </w:r>
      <w:r w:rsidRPr="00D55DC6">
        <w:rPr>
          <w:rFonts w:eastAsia="標楷體"/>
          <w:sz w:val="28"/>
          <w:szCs w:val="28"/>
        </w:rPr>
        <w:t>公頃，爰在核定總經費額度下，配合修正計畫景點分級及各期景點建設項目。</w:t>
      </w:r>
    </w:p>
    <w:p w:rsidR="00612A4B" w:rsidRPr="00D55DC6" w:rsidRDefault="00612A4B" w:rsidP="0038165F">
      <w:pPr>
        <w:snapToGrid w:val="0"/>
        <w:spacing w:line="460" w:lineRule="exact"/>
        <w:ind w:leftChars="177" w:left="705" w:hangingChars="100" w:hanging="280"/>
        <w:jc w:val="both"/>
        <w:rPr>
          <w:rFonts w:eastAsia="標楷體"/>
          <w:sz w:val="28"/>
          <w:szCs w:val="28"/>
        </w:rPr>
      </w:pPr>
    </w:p>
    <w:p w:rsidR="00612A4B" w:rsidRPr="00D55DC6" w:rsidRDefault="00612A4B" w:rsidP="004865C1">
      <w:pPr>
        <w:numPr>
          <w:ilvl w:val="0"/>
          <w:numId w:val="112"/>
        </w:numPr>
        <w:snapToGrid w:val="0"/>
        <w:spacing w:line="460" w:lineRule="exact"/>
        <w:jc w:val="both"/>
        <w:rPr>
          <w:rFonts w:eastAsia="標楷體"/>
          <w:b/>
          <w:sz w:val="28"/>
          <w:szCs w:val="28"/>
        </w:rPr>
      </w:pPr>
      <w:r w:rsidRPr="00D55DC6">
        <w:rPr>
          <w:rFonts w:eastAsia="標楷體"/>
          <w:b/>
          <w:sz w:val="28"/>
          <w:szCs w:val="28"/>
        </w:rPr>
        <w:t>未來環境預測</w:t>
      </w:r>
    </w:p>
    <w:p w:rsidR="00612A4B" w:rsidRPr="00D55DC6" w:rsidRDefault="00612A4B" w:rsidP="0038165F">
      <w:pPr>
        <w:snapToGrid w:val="0"/>
        <w:spacing w:line="460" w:lineRule="exact"/>
        <w:ind w:leftChars="177" w:left="705" w:hangingChars="100" w:hanging="280"/>
        <w:jc w:val="both"/>
        <w:rPr>
          <w:rFonts w:eastAsia="標楷體"/>
          <w:sz w:val="28"/>
          <w:szCs w:val="28"/>
        </w:rPr>
      </w:pPr>
      <w:r w:rsidRPr="00D55DC6">
        <w:rPr>
          <w:rFonts w:eastAsia="標楷體"/>
          <w:sz w:val="28"/>
          <w:szCs w:val="28"/>
        </w:rPr>
        <w:t>1.</w:t>
      </w:r>
      <w:r w:rsidRPr="00D55DC6">
        <w:rPr>
          <w:rFonts w:eastAsia="標楷體"/>
          <w:b/>
          <w:sz w:val="28"/>
          <w:szCs w:val="28"/>
        </w:rPr>
        <w:t>考量無障礙及銀髮族群之旅遊需求</w:t>
      </w:r>
      <w:r w:rsidRPr="00D55DC6">
        <w:rPr>
          <w:rFonts w:eastAsia="標楷體"/>
          <w:sz w:val="28"/>
          <w:szCs w:val="28"/>
        </w:rPr>
        <w:t>：在各遊憩據點中規劃無障礙設施，以「養生、樂活」為概念，以便利、貼心為出發，提供無障礙的設施及服務，讓銀髮族及身心障礙朋友們，能有一個友善、暢行無阻的旅遊路線。</w:t>
      </w:r>
    </w:p>
    <w:p w:rsidR="00612A4B" w:rsidRPr="00D55DC6" w:rsidRDefault="00612A4B" w:rsidP="0038165F">
      <w:pPr>
        <w:snapToGrid w:val="0"/>
        <w:spacing w:line="460" w:lineRule="exact"/>
        <w:ind w:leftChars="177" w:left="705" w:hangingChars="100" w:hanging="280"/>
        <w:jc w:val="both"/>
        <w:rPr>
          <w:rFonts w:eastAsia="標楷體"/>
          <w:sz w:val="28"/>
          <w:szCs w:val="28"/>
        </w:rPr>
      </w:pPr>
      <w:r w:rsidRPr="00D55DC6">
        <w:rPr>
          <w:rFonts w:eastAsia="標楷體"/>
          <w:sz w:val="28"/>
          <w:szCs w:val="28"/>
        </w:rPr>
        <w:t>2.</w:t>
      </w:r>
      <w:r w:rsidRPr="00D55DC6">
        <w:rPr>
          <w:rFonts w:eastAsia="標楷體"/>
          <w:b/>
          <w:sz w:val="28"/>
          <w:szCs w:val="28"/>
        </w:rPr>
        <w:t>農村轉型為觀光休閒產業潛能</w:t>
      </w:r>
      <w:r w:rsidRPr="00D55DC6">
        <w:rPr>
          <w:rFonts w:eastAsia="標楷體"/>
          <w:sz w:val="28"/>
          <w:szCs w:val="28"/>
        </w:rPr>
        <w:t>：轄區均有主要的農特產品，配合休閒農場為行銷推廣據點，推動以傳統農產為主題的產業觀光，運用農業生產過程、農產品加工、展售、導覽解說、民宿體驗，設計具有體驗農業生產、農村生活的鄉村旅遊遊程。</w:t>
      </w:r>
    </w:p>
    <w:p w:rsidR="00612A4B" w:rsidRPr="00D55DC6" w:rsidRDefault="00612A4B" w:rsidP="0038165F">
      <w:pPr>
        <w:snapToGrid w:val="0"/>
        <w:spacing w:line="460" w:lineRule="exact"/>
        <w:ind w:leftChars="177" w:left="705" w:hangingChars="100" w:hanging="280"/>
        <w:jc w:val="both"/>
        <w:rPr>
          <w:rFonts w:eastAsia="標楷體"/>
          <w:sz w:val="28"/>
          <w:szCs w:val="28"/>
        </w:rPr>
      </w:pPr>
      <w:r w:rsidRPr="00D55DC6">
        <w:rPr>
          <w:rFonts w:eastAsia="標楷體"/>
          <w:sz w:val="28"/>
          <w:szCs w:val="28"/>
        </w:rPr>
        <w:t>4.</w:t>
      </w:r>
      <w:r w:rsidRPr="00D55DC6">
        <w:rPr>
          <w:rFonts w:eastAsia="標楷體"/>
          <w:b/>
          <w:sz w:val="28"/>
          <w:szCs w:val="28"/>
        </w:rPr>
        <w:t>經濟發展軌跡，進入體驗經濟時代</w:t>
      </w:r>
      <w:r w:rsidRPr="00D55DC6">
        <w:rPr>
          <w:rFonts w:eastAsia="標楷體"/>
          <w:sz w:val="28"/>
          <w:szCs w:val="28"/>
        </w:rPr>
        <w:t>：旅遊市場歷經「商品經濟」、「服務經濟」，進入「體驗經濟」時代，「體驗」是一種創造難忘經驗的活動，西拉雅國家風景區轄內產業資源豐富，有多個主題休閒農場，四季皆有主題物產，未來發展產業體驗的前景可期。</w:t>
      </w:r>
    </w:p>
    <w:p w:rsidR="00612A4B" w:rsidRPr="00D55DC6" w:rsidRDefault="00612A4B" w:rsidP="0038165F">
      <w:pPr>
        <w:snapToGrid w:val="0"/>
        <w:spacing w:line="460" w:lineRule="exact"/>
        <w:ind w:leftChars="177" w:left="705" w:hangingChars="100" w:hanging="280"/>
        <w:jc w:val="both"/>
        <w:rPr>
          <w:rFonts w:eastAsia="標楷體"/>
          <w:sz w:val="28"/>
          <w:szCs w:val="28"/>
        </w:rPr>
      </w:pPr>
      <w:r w:rsidRPr="00D55DC6">
        <w:rPr>
          <w:rFonts w:eastAsia="標楷體"/>
          <w:sz w:val="28"/>
          <w:szCs w:val="28"/>
        </w:rPr>
        <w:t>5.</w:t>
      </w:r>
      <w:r w:rsidRPr="00D55DC6">
        <w:rPr>
          <w:rFonts w:eastAsia="標楷體"/>
          <w:b/>
          <w:sz w:val="28"/>
          <w:szCs w:val="28"/>
        </w:rPr>
        <w:t>觀光景點質量優化</w:t>
      </w:r>
      <w:r w:rsidRPr="00D55DC6">
        <w:rPr>
          <w:rFonts w:eastAsia="標楷體"/>
          <w:sz w:val="28"/>
          <w:szCs w:val="28"/>
        </w:rPr>
        <w:t>：呼應觀光局「邁向千萬觀光大國」願景，目標在處處皆可觀光，將景點優化、亮點化、讓景點遍地開花，未來管理處將依循在此理念下辦理相關建設。</w:t>
      </w:r>
    </w:p>
    <w:p w:rsidR="00612A4B" w:rsidRPr="00D55DC6" w:rsidRDefault="00612A4B" w:rsidP="0038165F">
      <w:pPr>
        <w:snapToGrid w:val="0"/>
        <w:spacing w:line="460" w:lineRule="exact"/>
        <w:ind w:leftChars="177" w:left="705" w:hangingChars="100" w:hanging="280"/>
        <w:jc w:val="both"/>
        <w:rPr>
          <w:rFonts w:eastAsia="標楷體"/>
          <w:noProof/>
        </w:rPr>
      </w:pPr>
      <w:r w:rsidRPr="00D55DC6">
        <w:rPr>
          <w:rFonts w:eastAsia="標楷體"/>
          <w:sz w:val="28"/>
          <w:szCs w:val="28"/>
        </w:rPr>
        <w:lastRenderedPageBreak/>
        <w:t>6.</w:t>
      </w:r>
      <w:r w:rsidRPr="00D55DC6">
        <w:rPr>
          <w:rFonts w:eastAsia="標楷體"/>
          <w:b/>
          <w:sz w:val="28"/>
          <w:szCs w:val="28"/>
        </w:rPr>
        <w:t>旅遊市場蓬勃，遊客成長量顯著</w:t>
      </w:r>
      <w:r w:rsidRPr="00D55DC6">
        <w:rPr>
          <w:rFonts w:eastAsia="標楷體"/>
          <w:sz w:val="28"/>
          <w:szCs w:val="28"/>
        </w:rPr>
        <w:t>：西拉雅國家風景區遊客量前二期中程計畫</w:t>
      </w:r>
      <w:r w:rsidRPr="00D55DC6">
        <w:rPr>
          <w:rFonts w:eastAsia="標楷體"/>
          <w:sz w:val="28"/>
          <w:szCs w:val="28"/>
        </w:rPr>
        <w:t>(94</w:t>
      </w:r>
      <w:r w:rsidRPr="00D55DC6">
        <w:rPr>
          <w:rFonts w:eastAsia="標楷體"/>
          <w:sz w:val="28"/>
          <w:szCs w:val="28"/>
        </w:rPr>
        <w:t>年</w:t>
      </w:r>
      <w:r w:rsidRPr="00D55DC6">
        <w:rPr>
          <w:rFonts w:eastAsia="標楷體"/>
          <w:sz w:val="28"/>
          <w:szCs w:val="28"/>
        </w:rPr>
        <w:t>~102</w:t>
      </w:r>
      <w:r w:rsidRPr="00D55DC6">
        <w:rPr>
          <w:rFonts w:eastAsia="標楷體"/>
          <w:sz w:val="28"/>
          <w:szCs w:val="28"/>
        </w:rPr>
        <w:t>年</w:t>
      </w:r>
      <w:r w:rsidRPr="00D55DC6">
        <w:rPr>
          <w:rFonts w:eastAsia="標楷體"/>
          <w:sz w:val="28"/>
          <w:szCs w:val="28"/>
        </w:rPr>
        <w:t>)</w:t>
      </w:r>
      <w:r w:rsidRPr="00D55DC6">
        <w:rPr>
          <w:rFonts w:eastAsia="標楷體"/>
          <w:sz w:val="28"/>
          <w:szCs w:val="28"/>
        </w:rPr>
        <w:t>，</w:t>
      </w:r>
      <w:r w:rsidRPr="00D55DC6">
        <w:rPr>
          <w:rFonts w:eastAsia="標楷體"/>
          <w:bCs/>
          <w:iCs/>
          <w:sz w:val="28"/>
          <w:szCs w:val="28"/>
        </w:rPr>
        <w:t>遊客</w:t>
      </w:r>
      <w:r w:rsidRPr="00D55DC6">
        <w:rPr>
          <w:rFonts w:eastAsia="標楷體"/>
          <w:sz w:val="28"/>
          <w:szCs w:val="28"/>
        </w:rPr>
        <w:t>人次由</w:t>
      </w:r>
      <w:r w:rsidRPr="00D55DC6">
        <w:rPr>
          <w:rFonts w:eastAsia="標楷體"/>
          <w:sz w:val="28"/>
          <w:szCs w:val="28"/>
        </w:rPr>
        <w:t>209</w:t>
      </w:r>
      <w:r w:rsidRPr="00D55DC6">
        <w:rPr>
          <w:rFonts w:eastAsia="標楷體"/>
          <w:sz w:val="28"/>
          <w:szCs w:val="28"/>
        </w:rPr>
        <w:t>萬人次成長至</w:t>
      </w:r>
      <w:r w:rsidRPr="00D55DC6">
        <w:rPr>
          <w:rFonts w:eastAsia="標楷體"/>
          <w:sz w:val="28"/>
          <w:szCs w:val="28"/>
        </w:rPr>
        <w:t>269</w:t>
      </w:r>
      <w:r w:rsidRPr="00D55DC6">
        <w:rPr>
          <w:rFonts w:eastAsia="標楷體"/>
          <w:sz w:val="28"/>
          <w:szCs w:val="28"/>
        </w:rPr>
        <w:t>萬人次，顯見西拉雅國家風景區旅遊市場蓬勃發展。</w:t>
      </w:r>
      <w:r w:rsidRPr="00D55DC6">
        <w:rPr>
          <w:rFonts w:eastAsia="標楷體"/>
        </w:rPr>
        <w:t xml:space="preserve"> </w:t>
      </w:r>
    </w:p>
    <w:p w:rsidR="0029434B" w:rsidRPr="00D55DC6" w:rsidRDefault="0029434B" w:rsidP="0029434B">
      <w:pPr>
        <w:snapToGrid w:val="0"/>
        <w:spacing w:line="460" w:lineRule="exact"/>
        <w:ind w:leftChars="177" w:left="705" w:hangingChars="100" w:hanging="280"/>
        <w:jc w:val="both"/>
        <w:rPr>
          <w:rFonts w:eastAsia="標楷體"/>
          <w:noProof/>
        </w:rPr>
      </w:pPr>
      <w:r w:rsidRPr="00D55DC6">
        <w:rPr>
          <w:rFonts w:eastAsia="標楷體"/>
          <w:b/>
          <w:sz w:val="28"/>
          <w:szCs w:val="28"/>
        </w:rPr>
        <w:t>7.</w:t>
      </w:r>
      <w:r w:rsidRPr="00D55DC6">
        <w:rPr>
          <w:rFonts w:eastAsia="標楷體"/>
          <w:b/>
          <w:sz w:val="28"/>
          <w:szCs w:val="28"/>
        </w:rPr>
        <w:t>智慧觀光新趨勢</w:t>
      </w:r>
      <w:r w:rsidRPr="00D55DC6">
        <w:rPr>
          <w:rFonts w:eastAsia="標楷體"/>
          <w:sz w:val="28"/>
          <w:szCs w:val="28"/>
        </w:rPr>
        <w:t>：管理處未來將積極發展並導入智慧觀光之概念，除了將旅遊服務型態從</w:t>
      </w:r>
      <w:r w:rsidRPr="00D55DC6">
        <w:rPr>
          <w:sz w:val="28"/>
          <w:szCs w:val="28"/>
        </w:rPr>
        <w:t>「</w:t>
      </w:r>
      <w:r w:rsidRPr="00D55DC6">
        <w:rPr>
          <w:rFonts w:eastAsia="標楷體"/>
          <w:sz w:val="28"/>
          <w:szCs w:val="28"/>
        </w:rPr>
        <w:t>供給導向」轉型為</w:t>
      </w:r>
      <w:r w:rsidRPr="00D55DC6">
        <w:rPr>
          <w:sz w:val="28"/>
          <w:szCs w:val="28"/>
        </w:rPr>
        <w:t>「</w:t>
      </w:r>
      <w:r w:rsidRPr="00D55DC6">
        <w:rPr>
          <w:rFonts w:eastAsia="標楷體"/>
          <w:sz w:val="28"/>
          <w:szCs w:val="28"/>
        </w:rPr>
        <w:t>需求導向」外，並透過觀光資源變動之即時掌握，提供遊客適時、適地、適性之旅遊資訊及旅遊服務。</w:t>
      </w:r>
    </w:p>
    <w:p w:rsidR="00612A4B" w:rsidRPr="00D55DC6" w:rsidRDefault="00612A4B" w:rsidP="0038165F">
      <w:pPr>
        <w:snapToGrid w:val="0"/>
        <w:spacing w:line="460" w:lineRule="exact"/>
        <w:ind w:leftChars="177" w:left="665" w:hangingChars="100" w:hanging="240"/>
        <w:jc w:val="both"/>
        <w:rPr>
          <w:rFonts w:eastAsia="標楷體"/>
          <w:noProof/>
        </w:rPr>
      </w:pPr>
    </w:p>
    <w:p w:rsidR="00612A4B" w:rsidRPr="00D55DC6" w:rsidRDefault="00612A4B" w:rsidP="004865C1">
      <w:pPr>
        <w:numPr>
          <w:ilvl w:val="0"/>
          <w:numId w:val="112"/>
        </w:numPr>
        <w:snapToGrid w:val="0"/>
        <w:spacing w:line="460" w:lineRule="exact"/>
        <w:jc w:val="both"/>
        <w:rPr>
          <w:rFonts w:eastAsia="標楷體"/>
          <w:b/>
          <w:sz w:val="28"/>
          <w:szCs w:val="28"/>
        </w:rPr>
      </w:pPr>
      <w:r w:rsidRPr="00D55DC6">
        <w:rPr>
          <w:rFonts w:eastAsia="標楷體"/>
          <w:b/>
          <w:sz w:val="28"/>
          <w:szCs w:val="28"/>
        </w:rPr>
        <w:t>問題評析</w:t>
      </w:r>
    </w:p>
    <w:p w:rsidR="00612A4B" w:rsidRPr="00D55DC6" w:rsidRDefault="00612A4B" w:rsidP="0038165F">
      <w:pPr>
        <w:tabs>
          <w:tab w:val="num" w:pos="720"/>
          <w:tab w:val="num" w:pos="900"/>
        </w:tabs>
        <w:snapToGrid w:val="0"/>
        <w:spacing w:line="460" w:lineRule="exact"/>
        <w:ind w:leftChars="177" w:left="705" w:hangingChars="100" w:hanging="280"/>
        <w:jc w:val="both"/>
        <w:rPr>
          <w:rFonts w:eastAsia="標楷體"/>
          <w:sz w:val="28"/>
          <w:szCs w:val="28"/>
        </w:rPr>
      </w:pPr>
      <w:r w:rsidRPr="00D55DC6">
        <w:rPr>
          <w:rFonts w:eastAsia="標楷體"/>
          <w:b/>
          <w:sz w:val="28"/>
          <w:szCs w:val="28"/>
        </w:rPr>
        <w:t>1.</w:t>
      </w:r>
      <w:r w:rsidRPr="00D55DC6">
        <w:rPr>
          <w:rFonts w:eastAsia="標楷體"/>
          <w:b/>
          <w:sz w:val="28"/>
          <w:szCs w:val="28"/>
        </w:rPr>
        <w:t>遊憩服務需求量增加：</w:t>
      </w:r>
      <w:r w:rsidRPr="00D55DC6">
        <w:rPr>
          <w:rFonts w:eastAsia="標楷體"/>
          <w:sz w:val="28"/>
          <w:szCs w:val="28"/>
        </w:rPr>
        <w:t>管理處從成立以來，</w:t>
      </w:r>
      <w:r w:rsidRPr="00D55DC6">
        <w:rPr>
          <w:rFonts w:eastAsia="標楷體"/>
          <w:sz w:val="28"/>
          <w:szCs w:val="28"/>
        </w:rPr>
        <w:t>94~102</w:t>
      </w:r>
      <w:r w:rsidRPr="00D55DC6">
        <w:rPr>
          <w:rFonts w:eastAsia="標楷體"/>
          <w:sz w:val="28"/>
          <w:szCs w:val="28"/>
        </w:rPr>
        <w:t>年遊客量成長</w:t>
      </w:r>
      <w:r w:rsidRPr="00D55DC6">
        <w:rPr>
          <w:rFonts w:eastAsia="標楷體"/>
          <w:sz w:val="28"/>
          <w:szCs w:val="28"/>
        </w:rPr>
        <w:t>60</w:t>
      </w:r>
      <w:r w:rsidRPr="00D55DC6">
        <w:rPr>
          <w:rFonts w:eastAsia="標楷體"/>
          <w:sz w:val="28"/>
          <w:szCs w:val="28"/>
        </w:rPr>
        <w:t>萬人次，成長量達</w:t>
      </w:r>
      <w:r w:rsidRPr="00D55DC6">
        <w:rPr>
          <w:rFonts w:eastAsia="標楷體"/>
          <w:sz w:val="28"/>
          <w:szCs w:val="28"/>
        </w:rPr>
        <w:t>28%</w:t>
      </w:r>
      <w:r w:rsidRPr="00D55DC6">
        <w:rPr>
          <w:rFonts w:eastAsia="標楷體"/>
          <w:sz w:val="28"/>
          <w:szCs w:val="28"/>
        </w:rPr>
        <w:t>，相關遊憩及服務設施需求大幅增加。</w:t>
      </w:r>
    </w:p>
    <w:p w:rsidR="00612A4B" w:rsidRPr="00D55DC6" w:rsidRDefault="00612A4B" w:rsidP="0038165F">
      <w:pPr>
        <w:tabs>
          <w:tab w:val="num" w:pos="720"/>
          <w:tab w:val="num" w:pos="900"/>
        </w:tabs>
        <w:snapToGrid w:val="0"/>
        <w:spacing w:line="460" w:lineRule="exact"/>
        <w:ind w:leftChars="177" w:left="705" w:hangingChars="100" w:hanging="280"/>
        <w:jc w:val="both"/>
        <w:rPr>
          <w:rFonts w:eastAsia="標楷體"/>
          <w:sz w:val="28"/>
          <w:szCs w:val="28"/>
        </w:rPr>
      </w:pPr>
      <w:r w:rsidRPr="00D55DC6">
        <w:rPr>
          <w:rFonts w:eastAsia="標楷體"/>
          <w:b/>
          <w:sz w:val="28"/>
          <w:szCs w:val="28"/>
        </w:rPr>
        <w:t>2.</w:t>
      </w:r>
      <w:r w:rsidRPr="00D55DC6">
        <w:rPr>
          <w:rFonts w:eastAsia="標楷體"/>
          <w:b/>
          <w:sz w:val="28"/>
          <w:szCs w:val="28"/>
        </w:rPr>
        <w:t>景點淡旺季承載量：</w:t>
      </w:r>
      <w:r w:rsidRPr="00D55DC6">
        <w:rPr>
          <w:rFonts w:eastAsia="標楷體"/>
          <w:sz w:val="28"/>
          <w:szCs w:val="28"/>
        </w:rPr>
        <w:t>轄內景點因知名度或季節因素，致使遊客集中於特定時間及地點，如：關子嶺及梅嶺冬、夏季遊客量差異大，遊客過度集中於假日及冬季，影響道路及停車服務品質。</w:t>
      </w:r>
    </w:p>
    <w:p w:rsidR="00612A4B" w:rsidRPr="00D55DC6" w:rsidRDefault="00612A4B" w:rsidP="0038165F">
      <w:pPr>
        <w:tabs>
          <w:tab w:val="num" w:pos="720"/>
          <w:tab w:val="num" w:pos="900"/>
        </w:tabs>
        <w:snapToGrid w:val="0"/>
        <w:spacing w:line="460" w:lineRule="exact"/>
        <w:ind w:leftChars="177" w:left="705" w:hangingChars="100" w:hanging="280"/>
        <w:jc w:val="both"/>
        <w:rPr>
          <w:rFonts w:eastAsia="標楷體"/>
          <w:sz w:val="28"/>
          <w:szCs w:val="28"/>
        </w:rPr>
      </w:pPr>
      <w:r w:rsidRPr="00D55DC6">
        <w:rPr>
          <w:rFonts w:eastAsia="標楷體"/>
          <w:b/>
          <w:sz w:val="28"/>
          <w:szCs w:val="28"/>
        </w:rPr>
        <w:t>3.</w:t>
      </w:r>
      <w:r w:rsidRPr="00D55DC6">
        <w:rPr>
          <w:rFonts w:eastAsia="標楷體"/>
          <w:b/>
          <w:sz w:val="28"/>
          <w:szCs w:val="28"/>
        </w:rPr>
        <w:t>經營管理成本增加：</w:t>
      </w:r>
      <w:r w:rsidRPr="00D55DC6">
        <w:rPr>
          <w:rFonts w:eastAsia="標楷體"/>
          <w:sz w:val="28"/>
          <w:szCs w:val="28"/>
        </w:rPr>
        <w:t>管理處隨著時間累積建設設施及據點量，設施維護及經營成本與日俱增，開源部分，需整合民間投入經營維護，節流部分，應導入社區認養機制。</w:t>
      </w:r>
    </w:p>
    <w:p w:rsidR="00612A4B" w:rsidRPr="00D55DC6" w:rsidRDefault="00612A4B" w:rsidP="0038165F">
      <w:pPr>
        <w:tabs>
          <w:tab w:val="num" w:pos="720"/>
          <w:tab w:val="num" w:pos="900"/>
        </w:tabs>
        <w:snapToGrid w:val="0"/>
        <w:spacing w:line="460" w:lineRule="exact"/>
        <w:ind w:leftChars="177" w:left="705" w:hangingChars="100" w:hanging="280"/>
        <w:jc w:val="both"/>
        <w:rPr>
          <w:rFonts w:eastAsia="標楷體"/>
          <w:b/>
          <w:sz w:val="28"/>
          <w:szCs w:val="28"/>
        </w:rPr>
      </w:pPr>
      <w:r w:rsidRPr="00D55DC6">
        <w:rPr>
          <w:rFonts w:eastAsia="標楷體"/>
          <w:b/>
          <w:sz w:val="28"/>
          <w:szCs w:val="28"/>
        </w:rPr>
        <w:t>4.</w:t>
      </w:r>
      <w:r w:rsidRPr="00D55DC6">
        <w:rPr>
          <w:rFonts w:eastAsia="標楷體"/>
          <w:b/>
          <w:sz w:val="28"/>
          <w:szCs w:val="28"/>
        </w:rPr>
        <w:t>觀光產業品質須提升：</w:t>
      </w:r>
      <w:r w:rsidRPr="00D55DC6">
        <w:rPr>
          <w:rFonts w:eastAsia="標楷體"/>
          <w:sz w:val="28"/>
          <w:szCs w:val="28"/>
        </w:rPr>
        <w:t>西拉雅國家風景區轄內農特產業蓬勃，但多屬一級產業，需要透過觀光與產業整合提升質量。</w:t>
      </w:r>
    </w:p>
    <w:p w:rsidR="00612A4B" w:rsidRPr="00D55DC6" w:rsidRDefault="00612A4B" w:rsidP="0038165F">
      <w:pPr>
        <w:tabs>
          <w:tab w:val="num" w:pos="720"/>
          <w:tab w:val="num" w:pos="900"/>
        </w:tabs>
        <w:snapToGrid w:val="0"/>
        <w:spacing w:line="460" w:lineRule="exact"/>
        <w:ind w:leftChars="177" w:left="705" w:hangingChars="100" w:hanging="280"/>
        <w:jc w:val="both"/>
        <w:rPr>
          <w:rFonts w:eastAsia="標楷體"/>
          <w:sz w:val="28"/>
          <w:szCs w:val="28"/>
        </w:rPr>
      </w:pPr>
      <w:r w:rsidRPr="00D55DC6">
        <w:rPr>
          <w:rFonts w:eastAsia="標楷體"/>
          <w:b/>
          <w:sz w:val="28"/>
          <w:szCs w:val="28"/>
        </w:rPr>
        <w:t>5.</w:t>
      </w:r>
      <w:r w:rsidRPr="00D55DC6">
        <w:rPr>
          <w:rFonts w:eastAsia="標楷體"/>
          <w:b/>
          <w:sz w:val="28"/>
          <w:szCs w:val="28"/>
        </w:rPr>
        <w:t>財務自償及使用者付費觀念：</w:t>
      </w:r>
      <w:r w:rsidRPr="00D55DC6">
        <w:rPr>
          <w:rFonts w:eastAsia="標楷體"/>
          <w:sz w:val="28"/>
          <w:szCs w:val="28"/>
        </w:rPr>
        <w:t>政府財政短絀，無法無止境挹注觀光服務設施及產業，且為促進設施永續經營及使用者付費觀念，觀光建設投入需考量財務自償性。</w:t>
      </w:r>
    </w:p>
    <w:p w:rsidR="00612A4B" w:rsidRPr="00D55DC6" w:rsidRDefault="00612A4B" w:rsidP="0038165F">
      <w:pPr>
        <w:tabs>
          <w:tab w:val="num" w:pos="720"/>
          <w:tab w:val="num" w:pos="900"/>
        </w:tabs>
        <w:snapToGrid w:val="0"/>
        <w:spacing w:line="460" w:lineRule="exact"/>
        <w:ind w:leftChars="177" w:left="705" w:hangingChars="100" w:hanging="280"/>
        <w:jc w:val="both"/>
        <w:rPr>
          <w:rFonts w:eastAsia="標楷體"/>
          <w:sz w:val="28"/>
          <w:szCs w:val="28"/>
        </w:rPr>
      </w:pPr>
      <w:r w:rsidRPr="00D55DC6">
        <w:rPr>
          <w:rFonts w:eastAsia="標楷體"/>
          <w:sz w:val="28"/>
          <w:szCs w:val="28"/>
        </w:rPr>
        <w:t>6.</w:t>
      </w:r>
      <w:r w:rsidRPr="00D55DC6">
        <w:rPr>
          <w:rFonts w:eastAsia="標楷體"/>
          <w:b/>
          <w:sz w:val="28"/>
          <w:szCs w:val="28"/>
        </w:rPr>
        <w:t>景點設施老舊：</w:t>
      </w:r>
      <w:r w:rsidRPr="00D55DC6">
        <w:rPr>
          <w:rFonts w:eastAsia="標楷體"/>
          <w:sz w:val="28"/>
          <w:szCs w:val="28"/>
        </w:rPr>
        <w:t>區內遊憩據點多為經營多年的老景點，如關子嶺、虎頭埤、烏山頭，具知名度但特色不足，且因設施老舊及話題性不足，吸引力較弱。</w:t>
      </w:r>
    </w:p>
    <w:p w:rsidR="00612A4B" w:rsidRPr="00D55DC6" w:rsidRDefault="00612A4B" w:rsidP="0038165F">
      <w:pPr>
        <w:tabs>
          <w:tab w:val="num" w:pos="720"/>
          <w:tab w:val="num" w:pos="900"/>
        </w:tabs>
        <w:snapToGrid w:val="0"/>
        <w:spacing w:line="460" w:lineRule="exact"/>
        <w:ind w:leftChars="177" w:left="705" w:hangingChars="100" w:hanging="280"/>
        <w:jc w:val="both"/>
        <w:rPr>
          <w:rFonts w:eastAsia="標楷體"/>
          <w:bCs/>
          <w:iCs/>
          <w:sz w:val="28"/>
          <w:szCs w:val="28"/>
        </w:rPr>
      </w:pPr>
      <w:r w:rsidRPr="00D55DC6">
        <w:rPr>
          <w:rFonts w:eastAsia="標楷體"/>
          <w:b/>
          <w:sz w:val="28"/>
          <w:szCs w:val="28"/>
        </w:rPr>
        <w:t>7.</w:t>
      </w:r>
      <w:r w:rsidRPr="00D55DC6">
        <w:rPr>
          <w:rFonts w:eastAsia="標楷體"/>
          <w:b/>
          <w:sz w:val="28"/>
          <w:szCs w:val="28"/>
        </w:rPr>
        <w:t>交通接駁系統不普及：</w:t>
      </w:r>
      <w:r w:rsidRPr="00D55DC6">
        <w:rPr>
          <w:rFonts w:eastAsia="標楷體"/>
          <w:bCs/>
          <w:iCs/>
          <w:sz w:val="28"/>
          <w:szCs w:val="28"/>
        </w:rPr>
        <w:t>轄區內各景點分散、未能集中，大眾運輸無法普及服務，依據</w:t>
      </w:r>
      <w:r w:rsidRPr="00D55DC6">
        <w:rPr>
          <w:rFonts w:eastAsia="標楷體"/>
          <w:bCs/>
          <w:iCs/>
          <w:sz w:val="28"/>
          <w:szCs w:val="28"/>
        </w:rPr>
        <w:t>102</w:t>
      </w:r>
      <w:r w:rsidRPr="00D55DC6">
        <w:rPr>
          <w:rFonts w:eastAsia="標楷體"/>
          <w:bCs/>
          <w:iCs/>
          <w:sz w:val="28"/>
          <w:szCs w:val="28"/>
        </w:rPr>
        <w:t>年交通部觀光局遊客特性調查，至西拉雅國家風景區遊客</w:t>
      </w:r>
      <w:r w:rsidRPr="00D55DC6">
        <w:rPr>
          <w:rFonts w:eastAsia="標楷體"/>
          <w:bCs/>
          <w:iCs/>
          <w:sz w:val="28"/>
          <w:szCs w:val="28"/>
        </w:rPr>
        <w:t>76.89%</w:t>
      </w:r>
      <w:r w:rsidRPr="00D55DC6">
        <w:rPr>
          <w:rFonts w:eastAsia="標楷體"/>
          <w:bCs/>
          <w:iCs/>
          <w:sz w:val="28"/>
          <w:szCs w:val="28"/>
        </w:rPr>
        <w:t>利用小客車當運具。</w:t>
      </w:r>
    </w:p>
    <w:p w:rsidR="00612A4B" w:rsidRPr="00D55DC6" w:rsidRDefault="00612A4B" w:rsidP="0038165F">
      <w:pPr>
        <w:snapToGrid w:val="0"/>
        <w:spacing w:line="460" w:lineRule="exact"/>
        <w:ind w:leftChars="177" w:left="425"/>
        <w:jc w:val="both"/>
        <w:rPr>
          <w:rFonts w:eastAsia="標楷體"/>
          <w:sz w:val="28"/>
          <w:szCs w:val="28"/>
        </w:rPr>
      </w:pPr>
      <w:r w:rsidRPr="00D55DC6">
        <w:rPr>
          <w:rFonts w:eastAsia="標楷體"/>
          <w:sz w:val="28"/>
          <w:szCs w:val="28"/>
        </w:rPr>
        <w:t xml:space="preserve">    </w:t>
      </w:r>
      <w:r w:rsidRPr="00D55DC6">
        <w:rPr>
          <w:rFonts w:eastAsia="標楷體"/>
          <w:sz w:val="28"/>
          <w:szCs w:val="28"/>
        </w:rPr>
        <w:t>以上課題，以滾動式檢討方式逐年調整，並依序將各層服務據點建設到位，系統化建設經營行銷北中南三大據點，擴大公共設施認養機制，</w:t>
      </w:r>
      <w:r w:rsidRPr="00D55DC6">
        <w:rPr>
          <w:rFonts w:eastAsia="標楷體"/>
          <w:sz w:val="28"/>
          <w:szCs w:val="28"/>
        </w:rPr>
        <w:lastRenderedPageBreak/>
        <w:t>以降低經營維護成本等。</w:t>
      </w:r>
    </w:p>
    <w:p w:rsidR="00612A4B" w:rsidRPr="00D55DC6" w:rsidRDefault="00612A4B" w:rsidP="0038165F">
      <w:pPr>
        <w:snapToGrid w:val="0"/>
        <w:spacing w:line="460" w:lineRule="exact"/>
        <w:ind w:leftChars="177" w:left="425"/>
        <w:jc w:val="both"/>
        <w:rPr>
          <w:rFonts w:eastAsia="標楷體"/>
          <w:bCs/>
          <w:iCs/>
          <w:sz w:val="28"/>
          <w:szCs w:val="28"/>
        </w:rPr>
      </w:pPr>
    </w:p>
    <w:p w:rsidR="00612A4B" w:rsidRPr="00D55DC6" w:rsidRDefault="00612A4B" w:rsidP="004865C1">
      <w:pPr>
        <w:numPr>
          <w:ilvl w:val="0"/>
          <w:numId w:val="112"/>
        </w:numPr>
        <w:snapToGrid w:val="0"/>
        <w:spacing w:line="460" w:lineRule="exact"/>
        <w:jc w:val="both"/>
        <w:rPr>
          <w:rFonts w:eastAsia="標楷體"/>
          <w:b/>
          <w:sz w:val="28"/>
          <w:szCs w:val="28"/>
        </w:rPr>
      </w:pPr>
      <w:r w:rsidRPr="00D55DC6">
        <w:rPr>
          <w:rFonts w:eastAsia="標楷體"/>
          <w:b/>
          <w:sz w:val="28"/>
          <w:szCs w:val="28"/>
        </w:rPr>
        <w:t>社會參與及政策溝通情形</w:t>
      </w:r>
    </w:p>
    <w:p w:rsidR="00612A4B" w:rsidRPr="00D55DC6" w:rsidRDefault="00612A4B" w:rsidP="0038165F">
      <w:pPr>
        <w:tabs>
          <w:tab w:val="num" w:pos="720"/>
          <w:tab w:val="num" w:pos="900"/>
        </w:tabs>
        <w:snapToGrid w:val="0"/>
        <w:spacing w:line="460" w:lineRule="exact"/>
        <w:ind w:leftChars="177" w:left="705" w:hangingChars="100" w:hanging="280"/>
        <w:jc w:val="both"/>
        <w:rPr>
          <w:rFonts w:eastAsia="標楷體"/>
          <w:bCs/>
          <w:iCs/>
          <w:sz w:val="28"/>
          <w:szCs w:val="28"/>
        </w:rPr>
      </w:pPr>
      <w:r w:rsidRPr="00D55DC6">
        <w:rPr>
          <w:rFonts w:eastAsia="標楷體"/>
          <w:bCs/>
          <w:iCs/>
          <w:sz w:val="28"/>
          <w:szCs w:val="28"/>
        </w:rPr>
        <w:t>1.</w:t>
      </w:r>
      <w:r w:rsidRPr="00D55DC6">
        <w:rPr>
          <w:rFonts w:eastAsia="標楷體"/>
          <w:b/>
          <w:bCs/>
          <w:iCs/>
          <w:sz w:val="28"/>
          <w:szCs w:val="28"/>
        </w:rPr>
        <w:t>府處聯繫會議促進政策溝通</w:t>
      </w:r>
      <w:r w:rsidRPr="00D55DC6">
        <w:rPr>
          <w:rFonts w:eastAsia="標楷體"/>
          <w:bCs/>
          <w:iCs/>
          <w:sz w:val="28"/>
          <w:szCs w:val="28"/>
        </w:rPr>
        <w:t>：管理處已建立與臺南市政府、嘉義縣政府等各機關單位聯繫窗口，一年約辦理</w:t>
      </w:r>
      <w:r w:rsidRPr="00D55DC6">
        <w:rPr>
          <w:rFonts w:eastAsia="標楷體"/>
          <w:bCs/>
          <w:iCs/>
          <w:sz w:val="28"/>
          <w:szCs w:val="28"/>
        </w:rPr>
        <w:t>3</w:t>
      </w:r>
      <w:r w:rsidRPr="00D55DC6">
        <w:rPr>
          <w:rFonts w:eastAsia="標楷體"/>
          <w:bCs/>
          <w:iCs/>
          <w:sz w:val="28"/>
          <w:szCs w:val="28"/>
        </w:rPr>
        <w:t>次業務協調會議，協商觀光服務、建設各項業務；另建立水域稽查及聯合通報機制，運用手機</w:t>
      </w:r>
      <w:r w:rsidRPr="00D55DC6">
        <w:rPr>
          <w:rFonts w:eastAsia="標楷體"/>
          <w:bCs/>
          <w:iCs/>
          <w:sz w:val="28"/>
          <w:szCs w:val="28"/>
        </w:rPr>
        <w:t>LINE</w:t>
      </w:r>
      <w:r w:rsidRPr="00D55DC6">
        <w:rPr>
          <w:rFonts w:eastAsia="標楷體"/>
          <w:bCs/>
          <w:iCs/>
          <w:sz w:val="28"/>
          <w:szCs w:val="28"/>
        </w:rPr>
        <w:t>群組，橫向通報相關緊急事故及災情，以達機關間合作之效率。</w:t>
      </w:r>
    </w:p>
    <w:p w:rsidR="00612A4B" w:rsidRPr="00D55DC6" w:rsidRDefault="00612A4B" w:rsidP="0038165F">
      <w:pPr>
        <w:tabs>
          <w:tab w:val="num" w:pos="720"/>
          <w:tab w:val="num" w:pos="900"/>
        </w:tabs>
        <w:snapToGrid w:val="0"/>
        <w:spacing w:line="460" w:lineRule="exact"/>
        <w:ind w:leftChars="177" w:left="705" w:hangingChars="100" w:hanging="280"/>
        <w:jc w:val="both"/>
        <w:rPr>
          <w:rFonts w:eastAsia="標楷體"/>
          <w:bCs/>
          <w:iCs/>
          <w:sz w:val="28"/>
          <w:szCs w:val="28"/>
        </w:rPr>
      </w:pPr>
      <w:r w:rsidRPr="00D55DC6">
        <w:rPr>
          <w:rFonts w:eastAsia="標楷體"/>
          <w:bCs/>
          <w:iCs/>
          <w:sz w:val="28"/>
          <w:szCs w:val="28"/>
        </w:rPr>
        <w:t>2.</w:t>
      </w:r>
      <w:r w:rsidRPr="00D55DC6">
        <w:rPr>
          <w:rFonts w:eastAsia="標楷體"/>
          <w:b/>
          <w:bCs/>
          <w:iCs/>
          <w:sz w:val="28"/>
          <w:szCs w:val="28"/>
        </w:rPr>
        <w:t>召開說明會凝聚地方共識</w:t>
      </w:r>
      <w:r w:rsidRPr="00D55DC6">
        <w:rPr>
          <w:rFonts w:eastAsia="標楷體"/>
          <w:bCs/>
          <w:iCs/>
          <w:sz w:val="28"/>
          <w:szCs w:val="28"/>
        </w:rPr>
        <w:t>：管理處據點建設若涉都市計畫變更、建設方向調整，為求計畫周延，除與地方公所充分溝通、召開法定說明會外，管理處均會視情況召開協調會，並與相關組織、團體、所有權人充分溝通取得共識。</w:t>
      </w:r>
    </w:p>
    <w:p w:rsidR="00612A4B" w:rsidRPr="00D55DC6" w:rsidRDefault="00612A4B" w:rsidP="0038165F">
      <w:pPr>
        <w:tabs>
          <w:tab w:val="num" w:pos="720"/>
          <w:tab w:val="num" w:pos="900"/>
        </w:tabs>
        <w:snapToGrid w:val="0"/>
        <w:spacing w:line="460" w:lineRule="exact"/>
        <w:ind w:leftChars="177" w:left="705" w:hangingChars="100" w:hanging="280"/>
        <w:jc w:val="both"/>
        <w:rPr>
          <w:rFonts w:eastAsia="標楷體"/>
          <w:bCs/>
          <w:iCs/>
          <w:sz w:val="28"/>
          <w:szCs w:val="28"/>
        </w:rPr>
      </w:pPr>
      <w:r w:rsidRPr="00D55DC6">
        <w:rPr>
          <w:rFonts w:eastAsia="標楷體"/>
          <w:bCs/>
          <w:iCs/>
          <w:sz w:val="28"/>
          <w:szCs w:val="28"/>
        </w:rPr>
        <w:t>3.</w:t>
      </w:r>
      <w:r w:rsidRPr="00D55DC6">
        <w:rPr>
          <w:rFonts w:eastAsia="標楷體"/>
          <w:b/>
          <w:bCs/>
          <w:iCs/>
          <w:sz w:val="28"/>
          <w:szCs w:val="28"/>
        </w:rPr>
        <w:t>工程說明會增進地方互動</w:t>
      </w:r>
      <w:r w:rsidRPr="00D55DC6">
        <w:rPr>
          <w:rFonts w:eastAsia="標楷體"/>
          <w:bCs/>
          <w:iCs/>
          <w:sz w:val="28"/>
          <w:szCs w:val="28"/>
        </w:rPr>
        <w:t>：管理處在辦理建設工程施作前、執行活動前，為廣納民意及降低衝突，視實際情形邀請地區民眾及民意代表召開地方說明會，除參與溝通工程內容外，並凝聚社區發展觀光共識。</w:t>
      </w:r>
    </w:p>
    <w:p w:rsidR="00612A4B" w:rsidRPr="00D55DC6" w:rsidRDefault="00612A4B" w:rsidP="0038165F">
      <w:pPr>
        <w:tabs>
          <w:tab w:val="num" w:pos="720"/>
          <w:tab w:val="num" w:pos="900"/>
        </w:tabs>
        <w:snapToGrid w:val="0"/>
        <w:spacing w:line="460" w:lineRule="exact"/>
        <w:ind w:leftChars="177" w:left="705" w:hangingChars="100" w:hanging="280"/>
        <w:jc w:val="both"/>
        <w:rPr>
          <w:rFonts w:eastAsia="標楷體"/>
          <w:bCs/>
          <w:iCs/>
          <w:sz w:val="28"/>
          <w:szCs w:val="28"/>
        </w:rPr>
      </w:pPr>
      <w:r w:rsidRPr="00D55DC6">
        <w:rPr>
          <w:rFonts w:eastAsia="標楷體"/>
          <w:bCs/>
          <w:iCs/>
          <w:sz w:val="28"/>
          <w:szCs w:val="28"/>
        </w:rPr>
        <w:t>4.</w:t>
      </w:r>
      <w:r w:rsidRPr="00D55DC6">
        <w:rPr>
          <w:rFonts w:eastAsia="標楷體"/>
          <w:b/>
          <w:bCs/>
          <w:iCs/>
          <w:sz w:val="28"/>
          <w:szCs w:val="28"/>
        </w:rPr>
        <w:t>深層輔導社區徹底改善體質</w:t>
      </w:r>
      <w:r w:rsidRPr="00D55DC6">
        <w:rPr>
          <w:rFonts w:eastAsia="標楷體"/>
          <w:bCs/>
          <w:iCs/>
          <w:sz w:val="28"/>
          <w:szCs w:val="28"/>
        </w:rPr>
        <w:t>：管理處辦理多處社區深層輔導，透過工作坊進行觀光發展、產業、文化、建設等議題討論，促進地方自主成立服務據點，產出季節、產業小旅行產品。</w:t>
      </w:r>
    </w:p>
    <w:p w:rsidR="00612A4B" w:rsidRPr="00D55DC6" w:rsidRDefault="00612A4B" w:rsidP="0038165F">
      <w:pPr>
        <w:tabs>
          <w:tab w:val="num" w:pos="720"/>
          <w:tab w:val="num" w:pos="900"/>
        </w:tabs>
        <w:snapToGrid w:val="0"/>
        <w:spacing w:line="460" w:lineRule="exact"/>
        <w:ind w:leftChars="177" w:left="705" w:hangingChars="100" w:hanging="280"/>
        <w:jc w:val="both"/>
        <w:rPr>
          <w:rFonts w:eastAsia="標楷體"/>
          <w:bCs/>
          <w:iCs/>
          <w:sz w:val="28"/>
          <w:szCs w:val="28"/>
        </w:rPr>
      </w:pPr>
      <w:r w:rsidRPr="00D55DC6">
        <w:rPr>
          <w:rFonts w:eastAsia="標楷體"/>
          <w:bCs/>
          <w:iCs/>
          <w:sz w:val="28"/>
          <w:szCs w:val="28"/>
        </w:rPr>
        <w:t>5.</w:t>
      </w:r>
      <w:r w:rsidRPr="00D55DC6">
        <w:rPr>
          <w:rFonts w:eastAsia="標楷體"/>
          <w:b/>
          <w:bCs/>
          <w:iCs/>
          <w:sz w:val="28"/>
          <w:szCs w:val="28"/>
        </w:rPr>
        <w:t>運用社區資源降低設施管理成本</w:t>
      </w:r>
      <w:r w:rsidRPr="00D55DC6">
        <w:rPr>
          <w:rFonts w:eastAsia="標楷體"/>
          <w:bCs/>
          <w:iCs/>
          <w:sz w:val="28"/>
          <w:szCs w:val="28"/>
        </w:rPr>
        <w:t>：管理處至</w:t>
      </w:r>
      <w:r w:rsidRPr="00D55DC6">
        <w:rPr>
          <w:rFonts w:eastAsia="標楷體"/>
          <w:bCs/>
          <w:iCs/>
          <w:sz w:val="28"/>
          <w:szCs w:val="28"/>
        </w:rPr>
        <w:t>103</w:t>
      </w:r>
      <w:r w:rsidRPr="00D55DC6">
        <w:rPr>
          <w:rFonts w:eastAsia="標楷體"/>
          <w:bCs/>
          <w:iCs/>
          <w:sz w:val="28"/>
          <w:szCs w:val="28"/>
        </w:rPr>
        <w:t>年</w:t>
      </w:r>
      <w:r w:rsidRPr="00D55DC6">
        <w:rPr>
          <w:rFonts w:eastAsia="標楷體"/>
          <w:bCs/>
          <w:iCs/>
          <w:sz w:val="28"/>
          <w:szCs w:val="28"/>
        </w:rPr>
        <w:t>10</w:t>
      </w:r>
      <w:r w:rsidRPr="00D55DC6">
        <w:rPr>
          <w:rFonts w:eastAsia="標楷體"/>
          <w:bCs/>
          <w:iCs/>
          <w:sz w:val="28"/>
          <w:szCs w:val="28"/>
        </w:rPr>
        <w:t>月已有</w:t>
      </w:r>
      <w:r w:rsidRPr="00D55DC6">
        <w:rPr>
          <w:rFonts w:eastAsia="標楷體"/>
          <w:bCs/>
          <w:iCs/>
          <w:sz w:val="28"/>
          <w:szCs w:val="28"/>
        </w:rPr>
        <w:t>11</w:t>
      </w:r>
      <w:r w:rsidRPr="00D55DC6">
        <w:rPr>
          <w:rFonts w:eastAsia="標楷體"/>
          <w:bCs/>
          <w:iCs/>
          <w:sz w:val="28"/>
          <w:szCs w:val="28"/>
        </w:rPr>
        <w:t>處設施委由社區認養照護，透過在地社區就近維護，除增加養護效率，亦節省設施維修成本；另均常態性與社區辦理清淨家園活動。</w:t>
      </w:r>
    </w:p>
    <w:p w:rsidR="00612A4B" w:rsidRPr="00D55DC6" w:rsidRDefault="00612A4B" w:rsidP="0038165F">
      <w:pPr>
        <w:tabs>
          <w:tab w:val="num" w:pos="720"/>
          <w:tab w:val="num" w:pos="900"/>
        </w:tabs>
        <w:snapToGrid w:val="0"/>
        <w:spacing w:line="460" w:lineRule="exact"/>
        <w:ind w:leftChars="177" w:left="705" w:hangingChars="100" w:hanging="280"/>
        <w:jc w:val="both"/>
        <w:rPr>
          <w:rFonts w:eastAsia="標楷體"/>
          <w:bCs/>
          <w:iCs/>
          <w:sz w:val="28"/>
          <w:szCs w:val="28"/>
        </w:rPr>
      </w:pPr>
      <w:r w:rsidRPr="00D55DC6">
        <w:rPr>
          <w:rFonts w:eastAsia="標楷體"/>
          <w:bCs/>
          <w:iCs/>
          <w:sz w:val="28"/>
          <w:szCs w:val="28"/>
        </w:rPr>
        <w:t>6.</w:t>
      </w:r>
      <w:r w:rsidRPr="00D55DC6">
        <w:rPr>
          <w:rFonts w:eastAsia="標楷體"/>
          <w:b/>
          <w:bCs/>
          <w:iCs/>
          <w:sz w:val="28"/>
          <w:szCs w:val="28"/>
        </w:rPr>
        <w:t>引進民間參與辦理促參及出租</w:t>
      </w:r>
      <w:r w:rsidRPr="00D55DC6">
        <w:rPr>
          <w:rFonts w:eastAsia="標楷體"/>
          <w:bCs/>
          <w:iCs/>
          <w:sz w:val="28"/>
          <w:szCs w:val="28"/>
        </w:rPr>
        <w:t>：管理處已完成之設施均朝辦理出租等委外經營作業；另針對有潛力之土地，管理處目前正辦理促參前置作業評估，以引進民間資源，增加活力創意為目標。</w:t>
      </w:r>
    </w:p>
    <w:p w:rsidR="00612A4B" w:rsidRPr="00D55DC6" w:rsidRDefault="00612A4B" w:rsidP="0038165F">
      <w:pPr>
        <w:tabs>
          <w:tab w:val="num" w:pos="720"/>
          <w:tab w:val="num" w:pos="900"/>
        </w:tabs>
        <w:snapToGrid w:val="0"/>
        <w:spacing w:line="460" w:lineRule="exact"/>
        <w:ind w:leftChars="177" w:left="705" w:hangingChars="100" w:hanging="280"/>
        <w:jc w:val="both"/>
        <w:rPr>
          <w:rFonts w:eastAsia="標楷體"/>
          <w:bCs/>
          <w:iCs/>
          <w:sz w:val="28"/>
          <w:szCs w:val="28"/>
        </w:rPr>
      </w:pPr>
      <w:r w:rsidRPr="00D55DC6">
        <w:rPr>
          <w:rFonts w:eastAsia="標楷體"/>
          <w:bCs/>
          <w:iCs/>
          <w:sz w:val="28"/>
          <w:szCs w:val="28"/>
        </w:rPr>
        <w:t>7.</w:t>
      </w:r>
      <w:r w:rsidRPr="00D55DC6">
        <w:rPr>
          <w:rFonts w:eastAsia="標楷體"/>
          <w:b/>
          <w:bCs/>
          <w:iCs/>
          <w:sz w:val="28"/>
          <w:szCs w:val="28"/>
        </w:rPr>
        <w:t>社會責任</w:t>
      </w:r>
      <w:r w:rsidRPr="00D55DC6">
        <w:rPr>
          <w:rFonts w:eastAsia="標楷體"/>
          <w:b/>
          <w:bCs/>
          <w:iCs/>
          <w:sz w:val="28"/>
          <w:szCs w:val="28"/>
        </w:rPr>
        <w:t>-</w:t>
      </w:r>
      <w:r w:rsidRPr="00D55DC6">
        <w:rPr>
          <w:rFonts w:eastAsia="標楷體"/>
          <w:b/>
          <w:bCs/>
          <w:iCs/>
          <w:sz w:val="28"/>
          <w:szCs w:val="28"/>
        </w:rPr>
        <w:t>照護弱勢及偏鄉</w:t>
      </w:r>
      <w:r w:rsidRPr="00D55DC6">
        <w:rPr>
          <w:rFonts w:eastAsia="標楷體"/>
          <w:bCs/>
          <w:iCs/>
          <w:sz w:val="28"/>
          <w:szCs w:val="28"/>
        </w:rPr>
        <w:t>：整合管理處人力及志工資源，辦理社區照護、環境清潔守護、弱勢孩童課後輔導；相關觀光宣導活動均整合以公益目的，辦理物資、金錢等捐贈活動。</w:t>
      </w:r>
    </w:p>
    <w:p w:rsidR="00612A4B" w:rsidRPr="00D55DC6" w:rsidRDefault="00612A4B" w:rsidP="0038165F">
      <w:pPr>
        <w:tabs>
          <w:tab w:val="num" w:pos="720"/>
          <w:tab w:val="num" w:pos="900"/>
        </w:tabs>
        <w:snapToGrid w:val="0"/>
        <w:spacing w:line="460" w:lineRule="exact"/>
        <w:ind w:leftChars="177" w:left="705" w:hangingChars="100" w:hanging="280"/>
        <w:jc w:val="both"/>
        <w:rPr>
          <w:rFonts w:eastAsia="標楷體"/>
          <w:bCs/>
          <w:iCs/>
          <w:sz w:val="28"/>
          <w:szCs w:val="28"/>
        </w:rPr>
      </w:pPr>
    </w:p>
    <w:p w:rsidR="00612A4B" w:rsidRPr="00D55DC6" w:rsidRDefault="00612A4B" w:rsidP="0038165F">
      <w:pPr>
        <w:numPr>
          <w:ilvl w:val="0"/>
          <w:numId w:val="1"/>
        </w:numPr>
        <w:snapToGrid w:val="0"/>
        <w:spacing w:line="460" w:lineRule="exact"/>
        <w:ind w:left="709" w:hanging="709"/>
        <w:jc w:val="both"/>
        <w:rPr>
          <w:rFonts w:eastAsia="標楷體"/>
          <w:b/>
          <w:sz w:val="28"/>
          <w:szCs w:val="28"/>
        </w:rPr>
      </w:pPr>
      <w:r w:rsidRPr="00D55DC6">
        <w:rPr>
          <w:rFonts w:eastAsia="標楷體"/>
          <w:b/>
          <w:sz w:val="28"/>
          <w:szCs w:val="28"/>
        </w:rPr>
        <w:t>計畫目標</w:t>
      </w:r>
    </w:p>
    <w:p w:rsidR="00612A4B" w:rsidRPr="00D55DC6" w:rsidRDefault="00612A4B" w:rsidP="004865C1">
      <w:pPr>
        <w:numPr>
          <w:ilvl w:val="0"/>
          <w:numId w:val="113"/>
        </w:numPr>
        <w:snapToGrid w:val="0"/>
        <w:spacing w:line="460" w:lineRule="exact"/>
        <w:jc w:val="both"/>
        <w:rPr>
          <w:rFonts w:eastAsia="標楷體"/>
          <w:b/>
          <w:sz w:val="28"/>
          <w:szCs w:val="28"/>
        </w:rPr>
      </w:pPr>
      <w:r w:rsidRPr="00D55DC6">
        <w:rPr>
          <w:rFonts w:eastAsia="標楷體"/>
          <w:b/>
          <w:sz w:val="28"/>
          <w:szCs w:val="28"/>
        </w:rPr>
        <w:t>目標說明：</w:t>
      </w:r>
    </w:p>
    <w:p w:rsidR="00612A4B" w:rsidRPr="00D55DC6" w:rsidRDefault="00612A4B" w:rsidP="0038165F">
      <w:pPr>
        <w:snapToGrid w:val="0"/>
        <w:spacing w:line="460" w:lineRule="exact"/>
        <w:ind w:leftChars="176" w:left="706" w:hanging="284"/>
        <w:jc w:val="both"/>
        <w:rPr>
          <w:rFonts w:eastAsia="標楷體"/>
          <w:sz w:val="28"/>
          <w:szCs w:val="28"/>
        </w:rPr>
      </w:pPr>
      <w:r w:rsidRPr="00D55DC6">
        <w:rPr>
          <w:rFonts w:eastAsia="標楷體"/>
          <w:sz w:val="28"/>
          <w:szCs w:val="28"/>
        </w:rPr>
        <w:t>1.</w:t>
      </w:r>
      <w:bookmarkStart w:id="133" w:name="_Toc288749353"/>
      <w:r w:rsidRPr="00D55DC6">
        <w:rPr>
          <w:rFonts w:eastAsia="標楷體"/>
          <w:b/>
          <w:sz w:val="28"/>
          <w:szCs w:val="28"/>
        </w:rPr>
        <w:t>發展願景</w:t>
      </w:r>
      <w:r w:rsidRPr="00D55DC6">
        <w:rPr>
          <w:rFonts w:eastAsia="標楷體"/>
          <w:sz w:val="28"/>
          <w:szCs w:val="28"/>
        </w:rPr>
        <w:t>：</w:t>
      </w:r>
      <w:r w:rsidRPr="00D55DC6">
        <w:rPr>
          <w:rFonts w:eastAsia="標楷體"/>
          <w:sz w:val="28"/>
          <w:szCs w:val="28"/>
        </w:rPr>
        <w:t xml:space="preserve"> “LOHAS_SIRAYA”(</w:t>
      </w:r>
      <w:r w:rsidRPr="00D55DC6">
        <w:rPr>
          <w:rFonts w:eastAsia="標楷體"/>
          <w:sz w:val="28"/>
          <w:szCs w:val="28"/>
        </w:rPr>
        <w:t>樂活</w:t>
      </w:r>
      <w:r w:rsidRPr="00D55DC6">
        <w:rPr>
          <w:rFonts w:eastAsia="標楷體"/>
          <w:sz w:val="28"/>
          <w:szCs w:val="28"/>
        </w:rPr>
        <w:t>_</w:t>
      </w:r>
      <w:r w:rsidRPr="00D55DC6">
        <w:rPr>
          <w:rFonts w:eastAsia="標楷體"/>
          <w:sz w:val="28"/>
          <w:szCs w:val="28"/>
        </w:rPr>
        <w:t>西拉雅</w:t>
      </w:r>
      <w:r w:rsidRPr="00D55DC6">
        <w:rPr>
          <w:rFonts w:eastAsia="標楷體"/>
          <w:sz w:val="28"/>
          <w:szCs w:val="28"/>
        </w:rPr>
        <w:t>)</w:t>
      </w:r>
    </w:p>
    <w:p w:rsidR="00612A4B" w:rsidRPr="00D55DC6" w:rsidRDefault="00612A4B" w:rsidP="0038165F">
      <w:pPr>
        <w:ind w:left="864" w:firstLineChars="96" w:firstLine="269"/>
        <w:rPr>
          <w:rFonts w:eastAsia="標楷體"/>
          <w:sz w:val="28"/>
          <w:szCs w:val="28"/>
        </w:rPr>
      </w:pPr>
      <w:r w:rsidRPr="00D55DC6">
        <w:rPr>
          <w:rFonts w:eastAsia="標楷體"/>
          <w:sz w:val="28"/>
          <w:szCs w:val="28"/>
        </w:rPr>
        <w:lastRenderedPageBreak/>
        <w:t xml:space="preserve">        (LOHAS= lifestyles of health and sustainability)</w:t>
      </w:r>
    </w:p>
    <w:p w:rsidR="00612A4B" w:rsidRPr="00D55DC6" w:rsidRDefault="00612A4B" w:rsidP="0038165F">
      <w:pPr>
        <w:snapToGrid w:val="0"/>
        <w:spacing w:line="460" w:lineRule="exact"/>
        <w:ind w:leftChars="176" w:left="706" w:hanging="284"/>
        <w:jc w:val="both"/>
        <w:rPr>
          <w:rFonts w:eastAsia="標楷體"/>
          <w:sz w:val="28"/>
          <w:szCs w:val="28"/>
        </w:rPr>
      </w:pPr>
      <w:r w:rsidRPr="00D55DC6">
        <w:rPr>
          <w:rFonts w:eastAsia="標楷體"/>
          <w:sz w:val="28"/>
          <w:szCs w:val="28"/>
        </w:rPr>
        <w:t>2.</w:t>
      </w:r>
      <w:r w:rsidRPr="00D55DC6">
        <w:rPr>
          <w:rFonts w:eastAsia="標楷體"/>
          <w:b/>
          <w:sz w:val="28"/>
          <w:szCs w:val="28"/>
        </w:rPr>
        <w:t>發展鄉村旅遊</w:t>
      </w:r>
      <w:r w:rsidRPr="00D55DC6">
        <w:rPr>
          <w:rFonts w:eastAsia="標楷體"/>
          <w:sz w:val="28"/>
          <w:szCs w:val="28"/>
        </w:rPr>
        <w:t>：透過鄉村旅遊活動推展，整合觀光與產業，將產業優化，兼顧環境教育，並提升旅遊深度。</w:t>
      </w:r>
    </w:p>
    <w:p w:rsidR="00612A4B" w:rsidRPr="00D55DC6" w:rsidRDefault="00612A4B" w:rsidP="0038165F">
      <w:pPr>
        <w:snapToGrid w:val="0"/>
        <w:spacing w:line="460" w:lineRule="exact"/>
        <w:ind w:leftChars="176" w:left="706" w:hanging="284"/>
        <w:jc w:val="both"/>
        <w:rPr>
          <w:rFonts w:eastAsia="標楷體"/>
          <w:sz w:val="28"/>
          <w:szCs w:val="28"/>
        </w:rPr>
      </w:pPr>
      <w:r w:rsidRPr="00D55DC6">
        <w:rPr>
          <w:rFonts w:eastAsia="標楷體"/>
          <w:sz w:val="28"/>
          <w:szCs w:val="28"/>
        </w:rPr>
        <w:t>3.</w:t>
      </w:r>
      <w:r w:rsidRPr="00D55DC6">
        <w:rPr>
          <w:rFonts w:eastAsia="標楷體"/>
          <w:b/>
          <w:sz w:val="28"/>
          <w:szCs w:val="28"/>
        </w:rPr>
        <w:t>國際景點串聯</w:t>
      </w:r>
      <w:r w:rsidRPr="00D55DC6">
        <w:rPr>
          <w:rFonts w:eastAsia="標楷體"/>
          <w:sz w:val="28"/>
          <w:szCs w:val="28"/>
        </w:rPr>
        <w:t>：連結八田與一紀念園區、烏山頭水庫、關子嶺溫泉、東山咖啡等景點，推向國際舞臺，成為鄉村旅遊國際級路線。</w:t>
      </w:r>
    </w:p>
    <w:p w:rsidR="00612A4B" w:rsidRPr="00D55DC6" w:rsidRDefault="00612A4B" w:rsidP="0038165F">
      <w:pPr>
        <w:snapToGrid w:val="0"/>
        <w:spacing w:line="460" w:lineRule="exact"/>
        <w:ind w:leftChars="176" w:left="706" w:hanging="284"/>
        <w:jc w:val="both"/>
        <w:rPr>
          <w:rFonts w:eastAsia="標楷體"/>
          <w:sz w:val="28"/>
          <w:szCs w:val="28"/>
        </w:rPr>
      </w:pPr>
      <w:r w:rsidRPr="00D55DC6">
        <w:rPr>
          <w:rFonts w:eastAsia="標楷體"/>
          <w:sz w:val="28"/>
          <w:szCs w:val="28"/>
        </w:rPr>
        <w:t>4.</w:t>
      </w:r>
      <w:r w:rsidRPr="00D55DC6">
        <w:rPr>
          <w:rFonts w:eastAsia="標楷體"/>
          <w:b/>
          <w:sz w:val="28"/>
          <w:szCs w:val="28"/>
        </w:rPr>
        <w:t>國內景點優化</w:t>
      </w:r>
      <w:r w:rsidRPr="00D55DC6">
        <w:rPr>
          <w:rFonts w:eastAsia="標楷體"/>
          <w:sz w:val="28"/>
          <w:szCs w:val="28"/>
        </w:rPr>
        <w:t>：觀光升級、景點優化及亮點化，透過建設妝點及話題行銷，將國內景點優化，提供觀光價值及產值。</w:t>
      </w:r>
    </w:p>
    <w:bookmarkEnd w:id="133"/>
    <w:p w:rsidR="0029434B" w:rsidRPr="00D55DC6" w:rsidRDefault="0029434B" w:rsidP="0029434B">
      <w:pPr>
        <w:snapToGrid w:val="0"/>
        <w:spacing w:line="460" w:lineRule="exact"/>
        <w:ind w:leftChars="176" w:left="706" w:hanging="284"/>
        <w:jc w:val="both"/>
        <w:rPr>
          <w:rFonts w:eastAsia="標楷體"/>
          <w:sz w:val="28"/>
          <w:szCs w:val="28"/>
        </w:rPr>
      </w:pPr>
      <w:r w:rsidRPr="00D55DC6">
        <w:rPr>
          <w:rFonts w:eastAsia="標楷體"/>
          <w:sz w:val="28"/>
          <w:szCs w:val="28"/>
        </w:rPr>
        <w:t>5.</w:t>
      </w:r>
      <w:r w:rsidRPr="00D55DC6">
        <w:rPr>
          <w:rFonts w:eastAsia="標楷體"/>
          <w:b/>
          <w:sz w:val="28"/>
          <w:szCs w:val="28"/>
        </w:rPr>
        <w:t>遊客人次成長</w:t>
      </w:r>
      <w:r w:rsidRPr="00D55DC6">
        <w:rPr>
          <w:rFonts w:eastAsia="標楷體"/>
          <w:sz w:val="28"/>
          <w:szCs w:val="28"/>
        </w:rPr>
        <w:t>：由</w:t>
      </w:r>
      <w:r w:rsidRPr="00D55DC6">
        <w:rPr>
          <w:rFonts w:eastAsia="標楷體"/>
          <w:sz w:val="28"/>
          <w:szCs w:val="28"/>
        </w:rPr>
        <w:t>105</w:t>
      </w:r>
      <w:r w:rsidRPr="00D55DC6">
        <w:rPr>
          <w:rFonts w:eastAsia="標楷體"/>
          <w:sz w:val="28"/>
          <w:szCs w:val="28"/>
        </w:rPr>
        <w:t>年</w:t>
      </w:r>
      <w:r w:rsidRPr="00D55DC6">
        <w:rPr>
          <w:rFonts w:eastAsia="標楷體"/>
          <w:sz w:val="28"/>
          <w:szCs w:val="28"/>
        </w:rPr>
        <w:t>258</w:t>
      </w:r>
      <w:r w:rsidRPr="00D55DC6">
        <w:rPr>
          <w:rFonts w:eastAsia="標楷體"/>
          <w:sz w:val="28"/>
          <w:szCs w:val="28"/>
        </w:rPr>
        <w:t>萬人次提升至</w:t>
      </w:r>
      <w:r w:rsidRPr="00D55DC6">
        <w:rPr>
          <w:rFonts w:eastAsia="標楷體"/>
          <w:sz w:val="28"/>
          <w:szCs w:val="28"/>
        </w:rPr>
        <w:t>108</w:t>
      </w:r>
      <w:r w:rsidRPr="00D55DC6">
        <w:rPr>
          <w:rFonts w:eastAsia="標楷體"/>
          <w:sz w:val="28"/>
          <w:szCs w:val="28"/>
        </w:rPr>
        <w:t>年</w:t>
      </w:r>
      <w:r w:rsidRPr="00D55DC6">
        <w:rPr>
          <w:rFonts w:eastAsia="標楷體"/>
          <w:sz w:val="28"/>
          <w:szCs w:val="28"/>
        </w:rPr>
        <w:t>264</w:t>
      </w:r>
      <w:r w:rsidRPr="00D55DC6">
        <w:rPr>
          <w:rFonts w:eastAsia="標楷體"/>
          <w:sz w:val="28"/>
          <w:szCs w:val="28"/>
        </w:rPr>
        <w:t>萬人次，成長</w:t>
      </w:r>
      <w:r w:rsidRPr="00D55DC6">
        <w:rPr>
          <w:rFonts w:eastAsia="標楷體"/>
          <w:sz w:val="28"/>
          <w:szCs w:val="28"/>
        </w:rPr>
        <w:t>2.33%</w:t>
      </w:r>
      <w:r w:rsidRPr="00D55DC6">
        <w:rPr>
          <w:rFonts w:eastAsia="標楷體"/>
          <w:sz w:val="28"/>
          <w:szCs w:val="28"/>
        </w:rPr>
        <w:t>。</w:t>
      </w:r>
    </w:p>
    <w:p w:rsidR="00612A4B" w:rsidRPr="00D55DC6" w:rsidRDefault="00612A4B" w:rsidP="0038165F">
      <w:pPr>
        <w:snapToGrid w:val="0"/>
        <w:spacing w:line="460" w:lineRule="exact"/>
        <w:ind w:leftChars="176" w:left="706" w:hanging="284"/>
        <w:jc w:val="both"/>
        <w:rPr>
          <w:rFonts w:eastAsia="標楷體"/>
          <w:sz w:val="28"/>
          <w:szCs w:val="28"/>
        </w:rPr>
      </w:pPr>
    </w:p>
    <w:p w:rsidR="00612A4B" w:rsidRPr="00D55DC6" w:rsidRDefault="00612A4B" w:rsidP="004865C1">
      <w:pPr>
        <w:numPr>
          <w:ilvl w:val="0"/>
          <w:numId w:val="113"/>
        </w:numPr>
        <w:snapToGrid w:val="0"/>
        <w:spacing w:line="460" w:lineRule="exact"/>
        <w:jc w:val="both"/>
        <w:rPr>
          <w:rFonts w:eastAsia="標楷體"/>
          <w:b/>
          <w:sz w:val="28"/>
          <w:szCs w:val="28"/>
        </w:rPr>
      </w:pPr>
      <w:r w:rsidRPr="00D55DC6">
        <w:rPr>
          <w:rFonts w:eastAsia="標楷體"/>
          <w:b/>
          <w:sz w:val="28"/>
          <w:szCs w:val="28"/>
        </w:rPr>
        <w:t>達成目標之限制</w:t>
      </w:r>
    </w:p>
    <w:p w:rsidR="00612A4B" w:rsidRPr="00D55DC6" w:rsidRDefault="00612A4B" w:rsidP="0038165F">
      <w:pPr>
        <w:snapToGrid w:val="0"/>
        <w:spacing w:line="460" w:lineRule="exact"/>
        <w:ind w:leftChars="176" w:left="705" w:hangingChars="101" w:hanging="283"/>
        <w:jc w:val="both"/>
        <w:rPr>
          <w:rFonts w:eastAsia="標楷體"/>
          <w:sz w:val="28"/>
          <w:szCs w:val="28"/>
        </w:rPr>
      </w:pPr>
      <w:r w:rsidRPr="00D55DC6">
        <w:rPr>
          <w:rFonts w:eastAsia="標楷體"/>
          <w:sz w:val="28"/>
          <w:szCs w:val="28"/>
        </w:rPr>
        <w:t>1.</w:t>
      </w:r>
      <w:r w:rsidRPr="00D55DC6">
        <w:rPr>
          <w:rFonts w:eastAsia="標楷體"/>
          <w:b/>
          <w:sz w:val="28"/>
          <w:szCs w:val="28"/>
        </w:rPr>
        <w:t>環境敏感區限制</w:t>
      </w:r>
      <w:r w:rsidRPr="00D55DC6">
        <w:rPr>
          <w:rFonts w:eastAsia="標楷體"/>
          <w:sz w:val="28"/>
          <w:szCs w:val="28"/>
        </w:rPr>
        <w:t>：轄區土地多位於山坡地及水庫集水區，區內雖有</w:t>
      </w:r>
      <w:r w:rsidRPr="00D55DC6">
        <w:rPr>
          <w:rFonts w:eastAsia="標楷體"/>
          <w:sz w:val="28"/>
          <w:szCs w:val="28"/>
        </w:rPr>
        <w:t>5</w:t>
      </w:r>
      <w:r w:rsidRPr="00D55DC6">
        <w:rPr>
          <w:rFonts w:eastAsia="標楷體"/>
          <w:sz w:val="28"/>
          <w:szCs w:val="28"/>
        </w:rPr>
        <w:t>大水庫、特殊月世界地質、獨特泥漿溫泉等觀光資源，但多數景點位於環境敏感區，不允許開發利用，亦不適宜過多遊客及活動導入，多數具旅遊潛力土地均位於山坡地、特定水土保持區、保安林、水庫集水區、自來水質水量保護區等限制發展範圍，有多層主管機關管制，存在多重發展限制，針對有潛力發展據點，管理處除尋求解決之道外，發展上也將以環境教育為優先，兼顧觀光與保育。</w:t>
      </w:r>
    </w:p>
    <w:p w:rsidR="00612A4B" w:rsidRPr="00D55DC6" w:rsidRDefault="00612A4B" w:rsidP="0038165F">
      <w:pPr>
        <w:snapToGrid w:val="0"/>
        <w:spacing w:line="460" w:lineRule="exact"/>
        <w:ind w:leftChars="176" w:left="705" w:hangingChars="101" w:hanging="283"/>
        <w:jc w:val="both"/>
        <w:rPr>
          <w:rFonts w:eastAsia="標楷體"/>
          <w:sz w:val="28"/>
          <w:szCs w:val="28"/>
        </w:rPr>
      </w:pPr>
      <w:r w:rsidRPr="00D55DC6">
        <w:rPr>
          <w:rFonts w:eastAsia="標楷體"/>
          <w:sz w:val="28"/>
          <w:szCs w:val="28"/>
        </w:rPr>
        <w:t>2.</w:t>
      </w:r>
      <w:r w:rsidRPr="00D55DC6">
        <w:rPr>
          <w:rFonts w:eastAsia="標楷體"/>
          <w:b/>
          <w:sz w:val="28"/>
          <w:szCs w:val="28"/>
        </w:rPr>
        <w:t>遊憩據點多屬收費範圍限制</w:t>
      </w:r>
      <w:r w:rsidRPr="00D55DC6">
        <w:rPr>
          <w:rFonts w:eastAsia="標楷體"/>
          <w:sz w:val="28"/>
          <w:szCs w:val="28"/>
        </w:rPr>
        <w:t>：轄區內資源豐富據點多屬獨立收費範圍，各有其管理機關及組織，如虎頭埤水庫屬臺南市政府經營、尖山埤水庫屬台糖公司委託民間經營、烏山頭水庫及八田與一紀念園區由台灣嘉南農田水利會經營，公部門僅能轉達遊客調查意見，溝通建議改善方向，目前管理處以「合作開發」向各據點提出合作協議，但因涉及合作雙方意願，可完成時間較難精確掌握。</w:t>
      </w:r>
    </w:p>
    <w:p w:rsidR="00612A4B" w:rsidRPr="00D55DC6" w:rsidRDefault="00612A4B" w:rsidP="0038165F">
      <w:pPr>
        <w:snapToGrid w:val="0"/>
        <w:spacing w:line="460" w:lineRule="exact"/>
        <w:ind w:leftChars="176" w:left="705" w:hangingChars="101" w:hanging="283"/>
        <w:jc w:val="both"/>
        <w:rPr>
          <w:rFonts w:eastAsia="標楷體"/>
          <w:sz w:val="28"/>
          <w:szCs w:val="28"/>
        </w:rPr>
      </w:pPr>
      <w:r w:rsidRPr="00D55DC6">
        <w:rPr>
          <w:rFonts w:eastAsia="標楷體"/>
          <w:sz w:val="28"/>
          <w:szCs w:val="28"/>
        </w:rPr>
        <w:t>3.</w:t>
      </w:r>
      <w:r w:rsidRPr="00D55DC6">
        <w:rPr>
          <w:rFonts w:eastAsia="標楷體"/>
          <w:b/>
          <w:sz w:val="28"/>
          <w:szCs w:val="28"/>
        </w:rPr>
        <w:t>加強橫向行政機關合作機制</w:t>
      </w:r>
      <w:r w:rsidRPr="00D55DC6">
        <w:rPr>
          <w:rFonts w:eastAsia="標楷體"/>
          <w:sz w:val="28"/>
          <w:szCs w:val="28"/>
        </w:rPr>
        <w:t>：管理處雖為轄內觀光主管機關，但所有建築管理、土地管理等權責皆屬地方政府，影響據點開發時程及增加不確定因素；另範圍內各司其職之行政機關、法令與發展計畫複雜，影響觀光建設之推動，未來需加強橫向合作，創造雙贏。</w:t>
      </w:r>
    </w:p>
    <w:p w:rsidR="00612A4B" w:rsidRPr="00D55DC6" w:rsidRDefault="00612A4B" w:rsidP="0038165F">
      <w:pPr>
        <w:snapToGrid w:val="0"/>
        <w:spacing w:line="460" w:lineRule="exact"/>
        <w:ind w:leftChars="176" w:left="705" w:hangingChars="101" w:hanging="283"/>
        <w:jc w:val="both"/>
        <w:rPr>
          <w:rFonts w:eastAsia="標楷體"/>
          <w:sz w:val="28"/>
          <w:szCs w:val="28"/>
        </w:rPr>
      </w:pPr>
      <w:r w:rsidRPr="00D55DC6">
        <w:rPr>
          <w:rFonts w:eastAsia="標楷體"/>
          <w:sz w:val="28"/>
          <w:szCs w:val="28"/>
        </w:rPr>
        <w:t>4.</w:t>
      </w:r>
      <w:r w:rsidRPr="00D55DC6">
        <w:rPr>
          <w:rFonts w:eastAsia="標楷體"/>
          <w:b/>
          <w:sz w:val="28"/>
          <w:szCs w:val="28"/>
        </w:rPr>
        <w:t>水資源活化的發展觀念待轉化、深化</w:t>
      </w:r>
      <w:r w:rsidRPr="00D55DC6">
        <w:rPr>
          <w:rFonts w:eastAsia="標楷體"/>
          <w:sz w:val="28"/>
          <w:szCs w:val="28"/>
        </w:rPr>
        <w:t>：區內有豐富水資源，但水庫主管機關皆以供水、發電為主軸，誤以為引入觀光活動，必然會影響正常</w:t>
      </w:r>
      <w:r w:rsidRPr="00D55DC6">
        <w:rPr>
          <w:rFonts w:eastAsia="標楷體"/>
          <w:sz w:val="28"/>
          <w:szCs w:val="28"/>
        </w:rPr>
        <w:lastRenderedPageBreak/>
        <w:t>穩定的供水機能，參考日本等水庫觀光案例，水資源活化觀念需再深化，重新從觀光、休閒與生態旅遊發展水資源再利用。</w:t>
      </w:r>
    </w:p>
    <w:p w:rsidR="00612A4B" w:rsidRPr="00D55DC6" w:rsidRDefault="00612A4B" w:rsidP="0038165F">
      <w:pPr>
        <w:snapToGrid w:val="0"/>
        <w:spacing w:line="460" w:lineRule="exact"/>
        <w:ind w:leftChars="176" w:left="705" w:hangingChars="101" w:hanging="283"/>
        <w:jc w:val="both"/>
        <w:rPr>
          <w:rFonts w:eastAsia="標楷體"/>
          <w:sz w:val="28"/>
          <w:szCs w:val="28"/>
        </w:rPr>
      </w:pPr>
      <w:r w:rsidRPr="00D55DC6">
        <w:rPr>
          <w:rFonts w:eastAsia="標楷體"/>
          <w:sz w:val="28"/>
          <w:szCs w:val="28"/>
        </w:rPr>
        <w:t>5.</w:t>
      </w:r>
      <w:r w:rsidRPr="00D55DC6">
        <w:rPr>
          <w:rFonts w:eastAsia="標楷體"/>
          <w:b/>
          <w:sz w:val="28"/>
          <w:szCs w:val="28"/>
        </w:rPr>
        <w:t>需土地取得無虞</w:t>
      </w:r>
      <w:r w:rsidRPr="00D55DC6">
        <w:rPr>
          <w:rFonts w:eastAsia="標楷體"/>
          <w:sz w:val="28"/>
          <w:szCs w:val="28"/>
        </w:rPr>
        <w:t>：推動各項觀光建設，計畫開發的各重點區域及據點，均需使用到一定規模的公私有土地，才能承接後續的建設計畫。管理處對於規劃發展據點，將以國有土地為優先發展，並進行撥用作業，對於所需私有地，將配合建設時程，辦理取得作業，故土地取得的難易度將影響整體開發時程。</w:t>
      </w:r>
    </w:p>
    <w:p w:rsidR="00612A4B" w:rsidRPr="00D55DC6" w:rsidRDefault="00612A4B" w:rsidP="0038165F">
      <w:pPr>
        <w:snapToGrid w:val="0"/>
        <w:spacing w:line="460" w:lineRule="exact"/>
        <w:ind w:leftChars="176" w:left="705" w:hangingChars="101" w:hanging="283"/>
        <w:jc w:val="both"/>
        <w:rPr>
          <w:rFonts w:eastAsia="標楷體"/>
          <w:sz w:val="28"/>
          <w:szCs w:val="28"/>
        </w:rPr>
      </w:pPr>
      <w:r w:rsidRPr="00D55DC6">
        <w:rPr>
          <w:rFonts w:eastAsia="標楷體"/>
          <w:sz w:val="28"/>
          <w:szCs w:val="28"/>
        </w:rPr>
        <w:t>6.</w:t>
      </w:r>
      <w:r w:rsidRPr="00D55DC6">
        <w:rPr>
          <w:rFonts w:eastAsia="標楷體"/>
          <w:b/>
          <w:sz w:val="28"/>
          <w:szCs w:val="28"/>
        </w:rPr>
        <w:t>較難導入完整大眾運具</w:t>
      </w:r>
      <w:r w:rsidRPr="00D55DC6">
        <w:rPr>
          <w:rFonts w:eastAsia="標楷體"/>
          <w:sz w:val="28"/>
          <w:szCs w:val="28"/>
        </w:rPr>
        <w:t>：區內遊憩據點較為分散、未能集中，使得來西拉雅地區觀光的遊客多以定點式的旅遊型態為主，造成觀光遊憩系統發展缺乏完整性交通旅遊運具的考量，無法連結各特色資源，提昇觀光發展競爭力。</w:t>
      </w:r>
    </w:p>
    <w:p w:rsidR="00E61FF7" w:rsidRPr="00D55DC6" w:rsidRDefault="00E61FF7" w:rsidP="0038165F">
      <w:pPr>
        <w:snapToGrid w:val="0"/>
        <w:spacing w:line="460" w:lineRule="exact"/>
        <w:ind w:leftChars="176" w:left="705" w:hangingChars="101" w:hanging="283"/>
        <w:jc w:val="both"/>
        <w:rPr>
          <w:rFonts w:eastAsia="標楷體"/>
          <w:sz w:val="28"/>
          <w:szCs w:val="28"/>
        </w:rPr>
      </w:pPr>
      <w:r w:rsidRPr="00D55DC6">
        <w:rPr>
          <w:rFonts w:eastAsia="標楷體" w:hint="eastAsia"/>
          <w:sz w:val="28"/>
          <w:szCs w:val="28"/>
        </w:rPr>
        <w:t>7.</w:t>
      </w:r>
      <w:r w:rsidRPr="00D55DC6">
        <w:rPr>
          <w:rFonts w:eastAsia="標楷體" w:hint="eastAsia"/>
          <w:b/>
          <w:sz w:val="28"/>
          <w:szCs w:val="28"/>
        </w:rPr>
        <w:t>預算員額</w:t>
      </w:r>
      <w:r w:rsidR="004C2697" w:rsidRPr="00D55DC6">
        <w:rPr>
          <w:rFonts w:eastAsia="標楷體" w:hint="eastAsia"/>
          <w:b/>
          <w:sz w:val="28"/>
          <w:szCs w:val="28"/>
        </w:rPr>
        <w:t>有限</w:t>
      </w:r>
      <w:r w:rsidRPr="00D55DC6">
        <w:rPr>
          <w:rFonts w:eastAsia="標楷體" w:hint="eastAsia"/>
          <w:sz w:val="28"/>
          <w:szCs w:val="28"/>
        </w:rPr>
        <w:t>：管理處編制員額</w:t>
      </w:r>
      <w:r w:rsidRPr="00D55DC6">
        <w:rPr>
          <w:rFonts w:eastAsia="標楷體" w:hint="eastAsia"/>
          <w:sz w:val="28"/>
          <w:szCs w:val="28"/>
        </w:rPr>
        <w:t>62</w:t>
      </w:r>
      <w:r w:rsidRPr="00D55DC6">
        <w:rPr>
          <w:rFonts w:eastAsia="標楷體" w:hint="eastAsia"/>
          <w:sz w:val="28"/>
          <w:szCs w:val="28"/>
        </w:rPr>
        <w:t>名，預算員額</w:t>
      </w:r>
      <w:r w:rsidRPr="00D55DC6">
        <w:rPr>
          <w:rFonts w:eastAsia="標楷體" w:hint="eastAsia"/>
          <w:sz w:val="28"/>
          <w:szCs w:val="28"/>
        </w:rPr>
        <w:t>20</w:t>
      </w:r>
      <w:r w:rsidRPr="00D55DC6">
        <w:rPr>
          <w:rFonts w:eastAsia="標楷體" w:hint="eastAsia"/>
          <w:sz w:val="28"/>
          <w:szCs w:val="28"/>
        </w:rPr>
        <w:t>名，係考量</w:t>
      </w:r>
      <w:r w:rsidRPr="00D55DC6">
        <w:rPr>
          <w:rFonts w:eastAsia="標楷體" w:hint="eastAsia"/>
          <w:sz w:val="28"/>
          <w:szCs w:val="28"/>
        </w:rPr>
        <w:t>94</w:t>
      </w:r>
      <w:r w:rsidRPr="00D55DC6">
        <w:rPr>
          <w:rFonts w:eastAsia="標楷體" w:hint="eastAsia"/>
          <w:sz w:val="28"/>
          <w:szCs w:val="28"/>
        </w:rPr>
        <w:t>年管理處成立時的業務量，未來組改後預算員額雖調整為</w:t>
      </w:r>
      <w:r w:rsidRPr="00D55DC6">
        <w:rPr>
          <w:rFonts w:eastAsia="標楷體" w:hint="eastAsia"/>
          <w:sz w:val="28"/>
          <w:szCs w:val="28"/>
        </w:rPr>
        <w:t>25</w:t>
      </w:r>
      <w:r w:rsidRPr="00D55DC6">
        <w:rPr>
          <w:rFonts w:eastAsia="標楷體" w:hint="eastAsia"/>
          <w:sz w:val="28"/>
          <w:szCs w:val="28"/>
        </w:rPr>
        <w:t>名，但自</w:t>
      </w:r>
      <w:r w:rsidRPr="00D55DC6">
        <w:rPr>
          <w:rFonts w:eastAsia="標楷體" w:hint="eastAsia"/>
          <w:sz w:val="28"/>
          <w:szCs w:val="28"/>
        </w:rPr>
        <w:t>94</w:t>
      </w:r>
      <w:r w:rsidRPr="00D55DC6">
        <w:rPr>
          <w:rFonts w:eastAsia="標楷體" w:hint="eastAsia"/>
          <w:sz w:val="28"/>
          <w:szCs w:val="28"/>
        </w:rPr>
        <w:t>年管理處成立以來，除管理處行政中心，目前已成立</w:t>
      </w:r>
      <w:r w:rsidRPr="00D55DC6">
        <w:rPr>
          <w:rFonts w:eastAsia="標楷體" w:hint="eastAsia"/>
          <w:sz w:val="28"/>
          <w:szCs w:val="28"/>
        </w:rPr>
        <w:t>1</w:t>
      </w:r>
      <w:r w:rsidRPr="00D55DC6">
        <w:rPr>
          <w:rFonts w:eastAsia="標楷體" w:hint="eastAsia"/>
          <w:sz w:val="28"/>
          <w:szCs w:val="28"/>
        </w:rPr>
        <w:t>處管理站，預計至</w:t>
      </w:r>
      <w:r w:rsidRPr="00D55DC6">
        <w:rPr>
          <w:rFonts w:eastAsia="標楷體" w:hint="eastAsia"/>
          <w:sz w:val="28"/>
          <w:szCs w:val="28"/>
        </w:rPr>
        <w:t>108</w:t>
      </w:r>
      <w:r w:rsidRPr="00D55DC6">
        <w:rPr>
          <w:rFonts w:eastAsia="標楷體" w:hint="eastAsia"/>
          <w:sz w:val="28"/>
          <w:szCs w:val="28"/>
        </w:rPr>
        <w:t>年配合旅遊服務及管理範圍，共</w:t>
      </w:r>
      <w:r w:rsidRPr="00D55DC6">
        <w:rPr>
          <w:rFonts w:eastAsia="標楷體" w:hint="eastAsia"/>
          <w:sz w:val="28"/>
          <w:szCs w:val="28"/>
        </w:rPr>
        <w:t>2</w:t>
      </w:r>
      <w:r w:rsidRPr="00D55DC6">
        <w:rPr>
          <w:rFonts w:eastAsia="標楷體" w:hint="eastAsia"/>
          <w:sz w:val="28"/>
          <w:szCs w:val="28"/>
        </w:rPr>
        <w:t>處管理站、</w:t>
      </w:r>
      <w:r w:rsidRPr="00D55DC6">
        <w:rPr>
          <w:rFonts w:eastAsia="標楷體" w:hint="eastAsia"/>
          <w:sz w:val="28"/>
          <w:szCs w:val="28"/>
        </w:rPr>
        <w:t>2</w:t>
      </w:r>
      <w:r w:rsidRPr="00D55DC6">
        <w:rPr>
          <w:rFonts w:eastAsia="標楷體" w:hint="eastAsia"/>
          <w:sz w:val="28"/>
          <w:szCs w:val="28"/>
        </w:rPr>
        <w:t>處遊客中心將陸續到位，轄管範圍亦於</w:t>
      </w:r>
      <w:r w:rsidRPr="00D55DC6">
        <w:rPr>
          <w:rFonts w:eastAsia="標楷體" w:hint="eastAsia"/>
          <w:sz w:val="28"/>
          <w:szCs w:val="28"/>
        </w:rPr>
        <w:t>101</w:t>
      </w:r>
      <w:r w:rsidRPr="00D55DC6">
        <w:rPr>
          <w:rFonts w:eastAsia="標楷體" w:hint="eastAsia"/>
          <w:sz w:val="28"/>
          <w:szCs w:val="28"/>
        </w:rPr>
        <w:t>年公告增加</w:t>
      </w:r>
      <w:r w:rsidRPr="00D55DC6">
        <w:rPr>
          <w:rFonts w:eastAsia="標楷體" w:hint="eastAsia"/>
          <w:sz w:val="28"/>
          <w:szCs w:val="28"/>
        </w:rPr>
        <w:t>4,020</w:t>
      </w:r>
      <w:r w:rsidRPr="00D55DC6">
        <w:rPr>
          <w:rFonts w:eastAsia="標楷體" w:hint="eastAsia"/>
          <w:sz w:val="28"/>
          <w:szCs w:val="28"/>
        </w:rPr>
        <w:t>公頃，且請為提高自償率，增加促參、合作開發等業務，將</w:t>
      </w:r>
      <w:r w:rsidR="004C2697" w:rsidRPr="00D55DC6">
        <w:rPr>
          <w:rFonts w:eastAsia="標楷體" w:hint="eastAsia"/>
          <w:sz w:val="28"/>
          <w:szCs w:val="28"/>
        </w:rPr>
        <w:t>另行</w:t>
      </w:r>
      <w:r w:rsidRPr="00D55DC6">
        <w:rPr>
          <w:rFonts w:eastAsia="標楷體" w:hint="eastAsia"/>
          <w:sz w:val="28"/>
          <w:szCs w:val="28"/>
        </w:rPr>
        <w:t>爭取酌予增加預算員額。</w:t>
      </w:r>
    </w:p>
    <w:p w:rsidR="00612A4B" w:rsidRPr="00D55DC6" w:rsidRDefault="00612A4B" w:rsidP="0038165F">
      <w:pPr>
        <w:snapToGrid w:val="0"/>
        <w:spacing w:line="460" w:lineRule="exact"/>
        <w:ind w:leftChars="176" w:left="705" w:hangingChars="101" w:hanging="283"/>
        <w:jc w:val="both"/>
        <w:rPr>
          <w:rFonts w:eastAsia="標楷體"/>
          <w:sz w:val="28"/>
          <w:szCs w:val="28"/>
        </w:rPr>
      </w:pPr>
    </w:p>
    <w:p w:rsidR="00612A4B" w:rsidRPr="00D55DC6" w:rsidRDefault="00612A4B" w:rsidP="004865C1">
      <w:pPr>
        <w:numPr>
          <w:ilvl w:val="0"/>
          <w:numId w:val="113"/>
        </w:numPr>
        <w:snapToGrid w:val="0"/>
        <w:spacing w:line="460" w:lineRule="exact"/>
        <w:jc w:val="both"/>
        <w:rPr>
          <w:rFonts w:eastAsia="標楷體"/>
          <w:b/>
          <w:sz w:val="28"/>
          <w:szCs w:val="28"/>
        </w:rPr>
      </w:pPr>
      <w:r w:rsidRPr="00D55DC6">
        <w:rPr>
          <w:rFonts w:eastAsia="標楷體"/>
          <w:b/>
          <w:sz w:val="28"/>
          <w:szCs w:val="28"/>
        </w:rPr>
        <w:t>績效指標、衡量標準及目標值</w:t>
      </w:r>
    </w:p>
    <w:tbl>
      <w:tblPr>
        <w:tblW w:w="8171"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5"/>
        <w:gridCol w:w="2552"/>
        <w:gridCol w:w="865"/>
        <w:gridCol w:w="868"/>
        <w:gridCol w:w="865"/>
        <w:gridCol w:w="865"/>
        <w:gridCol w:w="865"/>
        <w:gridCol w:w="866"/>
      </w:tblGrid>
      <w:tr w:rsidR="001D0350" w:rsidRPr="00D55DC6" w:rsidTr="009009E1">
        <w:trPr>
          <w:trHeight w:val="345"/>
          <w:tblHeader/>
        </w:trPr>
        <w:tc>
          <w:tcPr>
            <w:tcW w:w="425" w:type="dxa"/>
            <w:vMerge w:val="restart"/>
          </w:tcPr>
          <w:p w:rsidR="00612A4B" w:rsidRPr="00D55DC6" w:rsidRDefault="00612A4B" w:rsidP="0038165F">
            <w:pPr>
              <w:widowControl/>
              <w:spacing w:line="400" w:lineRule="exact"/>
              <w:jc w:val="center"/>
              <w:rPr>
                <w:rFonts w:eastAsia="標楷體"/>
                <w:kern w:val="0"/>
                <w:sz w:val="28"/>
                <w:szCs w:val="28"/>
              </w:rPr>
            </w:pPr>
            <w:r w:rsidRPr="00D55DC6">
              <w:rPr>
                <w:rFonts w:eastAsia="標楷體"/>
                <w:kern w:val="0"/>
                <w:sz w:val="28"/>
                <w:szCs w:val="28"/>
              </w:rPr>
              <w:t>項目</w:t>
            </w:r>
          </w:p>
        </w:tc>
        <w:tc>
          <w:tcPr>
            <w:tcW w:w="2552" w:type="dxa"/>
            <w:vMerge w:val="restart"/>
            <w:vAlign w:val="center"/>
          </w:tcPr>
          <w:p w:rsidR="00612A4B" w:rsidRPr="00D55DC6" w:rsidRDefault="00612A4B" w:rsidP="0038165F">
            <w:pPr>
              <w:widowControl/>
              <w:spacing w:line="400" w:lineRule="exact"/>
              <w:jc w:val="center"/>
              <w:rPr>
                <w:rFonts w:eastAsia="標楷體"/>
                <w:kern w:val="0"/>
                <w:sz w:val="28"/>
                <w:szCs w:val="28"/>
              </w:rPr>
            </w:pPr>
            <w:r w:rsidRPr="00D55DC6">
              <w:rPr>
                <w:rFonts w:eastAsia="標楷體"/>
                <w:kern w:val="0"/>
                <w:sz w:val="28"/>
                <w:szCs w:val="28"/>
              </w:rPr>
              <w:t>衡量指標</w:t>
            </w:r>
          </w:p>
        </w:tc>
        <w:tc>
          <w:tcPr>
            <w:tcW w:w="1733" w:type="dxa"/>
            <w:gridSpan w:val="2"/>
          </w:tcPr>
          <w:p w:rsidR="00612A4B" w:rsidRPr="00D55DC6" w:rsidRDefault="00612A4B" w:rsidP="0038165F">
            <w:pPr>
              <w:widowControl/>
              <w:spacing w:line="400" w:lineRule="exact"/>
              <w:jc w:val="center"/>
              <w:rPr>
                <w:rFonts w:eastAsia="標楷體"/>
                <w:kern w:val="0"/>
                <w:sz w:val="28"/>
                <w:szCs w:val="28"/>
              </w:rPr>
            </w:pPr>
            <w:r w:rsidRPr="00D55DC6">
              <w:rPr>
                <w:rFonts w:eastAsia="標楷體"/>
                <w:kern w:val="0"/>
                <w:sz w:val="28"/>
                <w:szCs w:val="28"/>
              </w:rPr>
              <w:t>衡量基準</w:t>
            </w:r>
          </w:p>
        </w:tc>
        <w:tc>
          <w:tcPr>
            <w:tcW w:w="3461" w:type="dxa"/>
            <w:gridSpan w:val="4"/>
          </w:tcPr>
          <w:p w:rsidR="00612A4B" w:rsidRPr="00D55DC6" w:rsidRDefault="00612A4B" w:rsidP="0038165F">
            <w:pPr>
              <w:widowControl/>
              <w:spacing w:line="400" w:lineRule="exact"/>
              <w:jc w:val="center"/>
              <w:rPr>
                <w:rFonts w:eastAsia="標楷體"/>
                <w:kern w:val="0"/>
                <w:sz w:val="28"/>
                <w:szCs w:val="28"/>
              </w:rPr>
            </w:pPr>
            <w:r w:rsidRPr="00D55DC6">
              <w:rPr>
                <w:rFonts w:eastAsia="標楷體"/>
                <w:kern w:val="0"/>
                <w:sz w:val="28"/>
                <w:szCs w:val="28"/>
              </w:rPr>
              <w:t>預期目標值</w:t>
            </w:r>
          </w:p>
        </w:tc>
      </w:tr>
      <w:tr w:rsidR="001D0350" w:rsidRPr="00D55DC6" w:rsidTr="009009E1">
        <w:trPr>
          <w:trHeight w:val="345"/>
          <w:tblHeader/>
        </w:trPr>
        <w:tc>
          <w:tcPr>
            <w:tcW w:w="425" w:type="dxa"/>
            <w:vMerge/>
          </w:tcPr>
          <w:p w:rsidR="00612A4B" w:rsidRPr="00D55DC6" w:rsidRDefault="00612A4B" w:rsidP="0038165F">
            <w:pPr>
              <w:widowControl/>
              <w:spacing w:line="400" w:lineRule="exact"/>
              <w:jc w:val="center"/>
              <w:rPr>
                <w:rFonts w:eastAsia="標楷體"/>
                <w:kern w:val="0"/>
                <w:sz w:val="28"/>
                <w:szCs w:val="28"/>
              </w:rPr>
            </w:pPr>
          </w:p>
        </w:tc>
        <w:tc>
          <w:tcPr>
            <w:tcW w:w="2552" w:type="dxa"/>
            <w:vMerge/>
            <w:vAlign w:val="center"/>
          </w:tcPr>
          <w:p w:rsidR="00612A4B" w:rsidRPr="00D55DC6" w:rsidRDefault="00612A4B" w:rsidP="0038165F">
            <w:pPr>
              <w:widowControl/>
              <w:spacing w:line="400" w:lineRule="exact"/>
              <w:rPr>
                <w:rFonts w:eastAsia="標楷體"/>
                <w:kern w:val="0"/>
                <w:sz w:val="28"/>
                <w:szCs w:val="28"/>
              </w:rPr>
            </w:pPr>
          </w:p>
        </w:tc>
        <w:tc>
          <w:tcPr>
            <w:tcW w:w="865" w:type="dxa"/>
          </w:tcPr>
          <w:p w:rsidR="00612A4B" w:rsidRPr="00D55DC6" w:rsidRDefault="00612A4B" w:rsidP="0038165F">
            <w:pPr>
              <w:widowControl/>
              <w:spacing w:line="400" w:lineRule="exact"/>
              <w:jc w:val="center"/>
              <w:rPr>
                <w:rFonts w:eastAsia="標楷體"/>
                <w:kern w:val="0"/>
                <w:sz w:val="28"/>
                <w:szCs w:val="28"/>
              </w:rPr>
            </w:pPr>
            <w:r w:rsidRPr="00D55DC6">
              <w:rPr>
                <w:rFonts w:eastAsia="標楷體"/>
                <w:kern w:val="0"/>
                <w:sz w:val="28"/>
                <w:szCs w:val="28"/>
              </w:rPr>
              <w:t>102</w:t>
            </w:r>
            <w:r w:rsidRPr="00D55DC6">
              <w:rPr>
                <w:rFonts w:eastAsia="標楷體"/>
                <w:kern w:val="0"/>
                <w:sz w:val="28"/>
                <w:szCs w:val="28"/>
              </w:rPr>
              <w:t>年</w:t>
            </w:r>
          </w:p>
        </w:tc>
        <w:tc>
          <w:tcPr>
            <w:tcW w:w="868" w:type="dxa"/>
          </w:tcPr>
          <w:p w:rsidR="00612A4B" w:rsidRPr="00D55DC6" w:rsidRDefault="00612A4B" w:rsidP="0038165F">
            <w:pPr>
              <w:widowControl/>
              <w:spacing w:line="400" w:lineRule="exact"/>
              <w:jc w:val="center"/>
              <w:rPr>
                <w:rFonts w:eastAsia="標楷體"/>
                <w:kern w:val="0"/>
                <w:sz w:val="28"/>
                <w:szCs w:val="28"/>
              </w:rPr>
            </w:pPr>
            <w:r w:rsidRPr="00D55DC6">
              <w:rPr>
                <w:rFonts w:eastAsia="標楷體"/>
                <w:kern w:val="0"/>
                <w:sz w:val="28"/>
                <w:szCs w:val="28"/>
              </w:rPr>
              <w:t>103</w:t>
            </w:r>
            <w:r w:rsidRPr="00D55DC6">
              <w:rPr>
                <w:rFonts w:eastAsia="標楷體"/>
                <w:kern w:val="0"/>
                <w:sz w:val="28"/>
                <w:szCs w:val="28"/>
              </w:rPr>
              <w:t>年</w:t>
            </w:r>
          </w:p>
        </w:tc>
        <w:tc>
          <w:tcPr>
            <w:tcW w:w="865" w:type="dxa"/>
          </w:tcPr>
          <w:p w:rsidR="00612A4B" w:rsidRPr="00D55DC6" w:rsidRDefault="00612A4B" w:rsidP="0038165F">
            <w:pPr>
              <w:widowControl/>
              <w:spacing w:line="400" w:lineRule="exact"/>
              <w:jc w:val="center"/>
              <w:rPr>
                <w:rFonts w:eastAsia="標楷體"/>
                <w:kern w:val="0"/>
                <w:sz w:val="28"/>
                <w:szCs w:val="28"/>
              </w:rPr>
            </w:pPr>
            <w:r w:rsidRPr="00D55DC6">
              <w:rPr>
                <w:rFonts w:eastAsia="標楷體"/>
                <w:kern w:val="0"/>
                <w:sz w:val="28"/>
                <w:szCs w:val="28"/>
              </w:rPr>
              <w:t>105</w:t>
            </w:r>
            <w:r w:rsidRPr="00D55DC6">
              <w:rPr>
                <w:rFonts w:eastAsia="標楷體"/>
                <w:kern w:val="0"/>
                <w:sz w:val="28"/>
                <w:szCs w:val="28"/>
              </w:rPr>
              <w:t>年</w:t>
            </w:r>
          </w:p>
        </w:tc>
        <w:tc>
          <w:tcPr>
            <w:tcW w:w="865" w:type="dxa"/>
          </w:tcPr>
          <w:p w:rsidR="00612A4B" w:rsidRPr="00D55DC6" w:rsidRDefault="00612A4B" w:rsidP="0038165F">
            <w:pPr>
              <w:widowControl/>
              <w:spacing w:line="400" w:lineRule="exact"/>
              <w:jc w:val="center"/>
              <w:rPr>
                <w:rFonts w:eastAsia="標楷體"/>
                <w:kern w:val="0"/>
                <w:sz w:val="28"/>
                <w:szCs w:val="28"/>
              </w:rPr>
            </w:pPr>
            <w:r w:rsidRPr="00D55DC6">
              <w:rPr>
                <w:rFonts w:eastAsia="標楷體"/>
                <w:kern w:val="0"/>
                <w:sz w:val="28"/>
                <w:szCs w:val="28"/>
              </w:rPr>
              <w:t>106</w:t>
            </w:r>
            <w:r w:rsidRPr="00D55DC6">
              <w:rPr>
                <w:rFonts w:eastAsia="標楷體"/>
                <w:kern w:val="0"/>
                <w:sz w:val="28"/>
                <w:szCs w:val="28"/>
              </w:rPr>
              <w:t>年</w:t>
            </w:r>
          </w:p>
        </w:tc>
        <w:tc>
          <w:tcPr>
            <w:tcW w:w="865" w:type="dxa"/>
          </w:tcPr>
          <w:p w:rsidR="00612A4B" w:rsidRPr="00D55DC6" w:rsidRDefault="00612A4B" w:rsidP="0038165F">
            <w:pPr>
              <w:widowControl/>
              <w:spacing w:line="400" w:lineRule="exact"/>
              <w:jc w:val="center"/>
              <w:rPr>
                <w:rFonts w:eastAsia="標楷體"/>
                <w:kern w:val="0"/>
                <w:sz w:val="28"/>
                <w:szCs w:val="28"/>
              </w:rPr>
            </w:pPr>
            <w:r w:rsidRPr="00D55DC6">
              <w:rPr>
                <w:rFonts w:eastAsia="標楷體"/>
                <w:kern w:val="0"/>
                <w:sz w:val="28"/>
                <w:szCs w:val="28"/>
              </w:rPr>
              <w:t>107</w:t>
            </w:r>
            <w:r w:rsidRPr="00D55DC6">
              <w:rPr>
                <w:rFonts w:eastAsia="標楷體"/>
                <w:kern w:val="0"/>
                <w:sz w:val="28"/>
                <w:szCs w:val="28"/>
              </w:rPr>
              <w:t>年</w:t>
            </w:r>
          </w:p>
        </w:tc>
        <w:tc>
          <w:tcPr>
            <w:tcW w:w="866" w:type="dxa"/>
          </w:tcPr>
          <w:p w:rsidR="00612A4B" w:rsidRPr="00D55DC6" w:rsidRDefault="00612A4B" w:rsidP="0038165F">
            <w:pPr>
              <w:widowControl/>
              <w:spacing w:line="400" w:lineRule="exact"/>
              <w:jc w:val="center"/>
              <w:rPr>
                <w:rFonts w:eastAsia="標楷體"/>
                <w:kern w:val="0"/>
                <w:sz w:val="28"/>
                <w:szCs w:val="28"/>
              </w:rPr>
            </w:pPr>
            <w:r w:rsidRPr="00D55DC6">
              <w:rPr>
                <w:rFonts w:eastAsia="標楷體"/>
                <w:kern w:val="0"/>
                <w:sz w:val="28"/>
                <w:szCs w:val="28"/>
              </w:rPr>
              <w:t>108</w:t>
            </w:r>
            <w:r w:rsidRPr="00D55DC6">
              <w:rPr>
                <w:rFonts w:eastAsia="標楷體"/>
                <w:kern w:val="0"/>
                <w:sz w:val="28"/>
                <w:szCs w:val="28"/>
              </w:rPr>
              <w:t>年</w:t>
            </w:r>
          </w:p>
        </w:tc>
      </w:tr>
      <w:tr w:rsidR="001D0350" w:rsidRPr="00D55DC6" w:rsidTr="009009E1">
        <w:trPr>
          <w:trHeight w:val="675"/>
        </w:trPr>
        <w:tc>
          <w:tcPr>
            <w:tcW w:w="425" w:type="dxa"/>
          </w:tcPr>
          <w:p w:rsidR="00612A4B" w:rsidRPr="00D55DC6" w:rsidRDefault="00612A4B" w:rsidP="0038165F">
            <w:pPr>
              <w:widowControl/>
              <w:spacing w:line="400" w:lineRule="exact"/>
              <w:jc w:val="center"/>
              <w:rPr>
                <w:rFonts w:eastAsia="標楷體"/>
                <w:kern w:val="0"/>
                <w:sz w:val="28"/>
                <w:szCs w:val="28"/>
              </w:rPr>
            </w:pPr>
            <w:r w:rsidRPr="00D55DC6">
              <w:rPr>
                <w:rFonts w:eastAsia="標楷體"/>
                <w:kern w:val="0"/>
                <w:sz w:val="28"/>
                <w:szCs w:val="28"/>
              </w:rPr>
              <w:t>1</w:t>
            </w:r>
          </w:p>
        </w:tc>
        <w:tc>
          <w:tcPr>
            <w:tcW w:w="2552" w:type="dxa"/>
          </w:tcPr>
          <w:p w:rsidR="00612A4B" w:rsidRPr="00D55DC6" w:rsidRDefault="00612A4B" w:rsidP="0038165F">
            <w:pPr>
              <w:widowControl/>
              <w:spacing w:line="400" w:lineRule="exact"/>
              <w:jc w:val="both"/>
              <w:rPr>
                <w:rFonts w:eastAsia="標楷體"/>
                <w:kern w:val="0"/>
                <w:sz w:val="28"/>
                <w:szCs w:val="28"/>
              </w:rPr>
            </w:pPr>
            <w:r w:rsidRPr="00D55DC6">
              <w:rPr>
                <w:rFonts w:eastAsia="標楷體"/>
                <w:kern w:val="0"/>
                <w:sz w:val="28"/>
                <w:szCs w:val="28"/>
              </w:rPr>
              <w:t>重要觀光景點建設完成數</w:t>
            </w:r>
            <w:r w:rsidRPr="00D55DC6">
              <w:rPr>
                <w:rFonts w:eastAsia="標楷體"/>
                <w:kern w:val="0"/>
                <w:sz w:val="28"/>
                <w:szCs w:val="28"/>
              </w:rPr>
              <w:t>(</w:t>
            </w:r>
            <w:r w:rsidRPr="00D55DC6">
              <w:rPr>
                <w:rFonts w:eastAsia="標楷體"/>
                <w:kern w:val="0"/>
                <w:sz w:val="28"/>
                <w:szCs w:val="28"/>
              </w:rPr>
              <w:t>處</w:t>
            </w:r>
            <w:r w:rsidRPr="00D55DC6">
              <w:rPr>
                <w:rFonts w:eastAsia="標楷體"/>
                <w:kern w:val="0"/>
                <w:sz w:val="28"/>
                <w:szCs w:val="28"/>
              </w:rPr>
              <w:t>)</w:t>
            </w:r>
          </w:p>
        </w:tc>
        <w:tc>
          <w:tcPr>
            <w:tcW w:w="865" w:type="dxa"/>
            <w:vAlign w:val="center"/>
          </w:tcPr>
          <w:p w:rsidR="00612A4B" w:rsidRPr="00D55DC6" w:rsidRDefault="00612A4B" w:rsidP="0038165F">
            <w:pPr>
              <w:widowControl/>
              <w:spacing w:line="400" w:lineRule="exact"/>
              <w:jc w:val="center"/>
              <w:rPr>
                <w:rFonts w:eastAsia="標楷體"/>
                <w:kern w:val="0"/>
                <w:sz w:val="28"/>
                <w:szCs w:val="28"/>
              </w:rPr>
            </w:pPr>
            <w:r w:rsidRPr="00D55DC6">
              <w:rPr>
                <w:rFonts w:eastAsia="標楷體"/>
                <w:kern w:val="0"/>
                <w:sz w:val="28"/>
                <w:szCs w:val="28"/>
              </w:rPr>
              <w:t>2</w:t>
            </w:r>
          </w:p>
        </w:tc>
        <w:tc>
          <w:tcPr>
            <w:tcW w:w="868" w:type="dxa"/>
            <w:vAlign w:val="center"/>
          </w:tcPr>
          <w:p w:rsidR="00612A4B" w:rsidRPr="00D55DC6" w:rsidRDefault="00612A4B" w:rsidP="0038165F">
            <w:pPr>
              <w:widowControl/>
              <w:spacing w:line="400" w:lineRule="exact"/>
              <w:jc w:val="center"/>
              <w:rPr>
                <w:rFonts w:eastAsia="標楷體"/>
                <w:kern w:val="0"/>
                <w:sz w:val="28"/>
                <w:szCs w:val="28"/>
              </w:rPr>
            </w:pPr>
            <w:r w:rsidRPr="00D55DC6">
              <w:rPr>
                <w:rFonts w:eastAsia="標楷體"/>
                <w:kern w:val="0"/>
                <w:sz w:val="28"/>
                <w:szCs w:val="28"/>
              </w:rPr>
              <w:t>2</w:t>
            </w:r>
          </w:p>
        </w:tc>
        <w:tc>
          <w:tcPr>
            <w:tcW w:w="865" w:type="dxa"/>
            <w:vAlign w:val="center"/>
          </w:tcPr>
          <w:p w:rsidR="00612A4B" w:rsidRPr="00D55DC6" w:rsidRDefault="00612A4B" w:rsidP="0038165F">
            <w:pPr>
              <w:widowControl/>
              <w:spacing w:line="400" w:lineRule="exact"/>
              <w:jc w:val="center"/>
              <w:rPr>
                <w:rFonts w:eastAsia="標楷體"/>
                <w:kern w:val="0"/>
                <w:sz w:val="28"/>
                <w:szCs w:val="28"/>
              </w:rPr>
            </w:pPr>
            <w:r w:rsidRPr="00D55DC6">
              <w:rPr>
                <w:rFonts w:eastAsia="標楷體"/>
                <w:kern w:val="0"/>
                <w:sz w:val="28"/>
                <w:szCs w:val="28"/>
              </w:rPr>
              <w:t>2</w:t>
            </w:r>
          </w:p>
        </w:tc>
        <w:tc>
          <w:tcPr>
            <w:tcW w:w="865" w:type="dxa"/>
            <w:vAlign w:val="center"/>
          </w:tcPr>
          <w:p w:rsidR="00612A4B" w:rsidRPr="00D55DC6" w:rsidRDefault="00612A4B" w:rsidP="0038165F">
            <w:pPr>
              <w:widowControl/>
              <w:spacing w:line="400" w:lineRule="exact"/>
              <w:jc w:val="center"/>
              <w:rPr>
                <w:rFonts w:eastAsia="標楷體"/>
                <w:kern w:val="0"/>
                <w:sz w:val="28"/>
                <w:szCs w:val="28"/>
              </w:rPr>
            </w:pPr>
            <w:r w:rsidRPr="00D55DC6">
              <w:rPr>
                <w:rFonts w:eastAsia="標楷體"/>
                <w:kern w:val="0"/>
                <w:sz w:val="28"/>
                <w:szCs w:val="28"/>
              </w:rPr>
              <w:t>2</w:t>
            </w:r>
          </w:p>
        </w:tc>
        <w:tc>
          <w:tcPr>
            <w:tcW w:w="865" w:type="dxa"/>
            <w:vAlign w:val="center"/>
          </w:tcPr>
          <w:p w:rsidR="00612A4B" w:rsidRPr="00D55DC6" w:rsidRDefault="00612A4B" w:rsidP="0038165F">
            <w:pPr>
              <w:widowControl/>
              <w:spacing w:line="400" w:lineRule="exact"/>
              <w:jc w:val="center"/>
              <w:rPr>
                <w:rFonts w:eastAsia="標楷體"/>
                <w:kern w:val="0"/>
                <w:sz w:val="28"/>
                <w:szCs w:val="28"/>
              </w:rPr>
            </w:pPr>
            <w:r w:rsidRPr="00D55DC6">
              <w:rPr>
                <w:rFonts w:eastAsia="標楷體"/>
                <w:kern w:val="0"/>
                <w:sz w:val="28"/>
                <w:szCs w:val="28"/>
              </w:rPr>
              <w:t>2</w:t>
            </w:r>
          </w:p>
        </w:tc>
        <w:tc>
          <w:tcPr>
            <w:tcW w:w="866" w:type="dxa"/>
            <w:vAlign w:val="center"/>
          </w:tcPr>
          <w:p w:rsidR="00612A4B" w:rsidRPr="00D55DC6" w:rsidRDefault="00612A4B" w:rsidP="0038165F">
            <w:pPr>
              <w:widowControl/>
              <w:spacing w:line="400" w:lineRule="exact"/>
              <w:jc w:val="center"/>
              <w:rPr>
                <w:rFonts w:eastAsia="標楷體"/>
                <w:kern w:val="0"/>
                <w:sz w:val="28"/>
                <w:szCs w:val="28"/>
              </w:rPr>
            </w:pPr>
            <w:r w:rsidRPr="00D55DC6">
              <w:rPr>
                <w:rFonts w:eastAsia="標楷體"/>
                <w:kern w:val="0"/>
                <w:sz w:val="28"/>
                <w:szCs w:val="28"/>
              </w:rPr>
              <w:t>2</w:t>
            </w:r>
          </w:p>
        </w:tc>
      </w:tr>
      <w:tr w:rsidR="001D0350" w:rsidRPr="00D55DC6" w:rsidTr="009009E1">
        <w:trPr>
          <w:trHeight w:val="675"/>
        </w:trPr>
        <w:tc>
          <w:tcPr>
            <w:tcW w:w="425" w:type="dxa"/>
          </w:tcPr>
          <w:p w:rsidR="004A3FAE" w:rsidRPr="00D55DC6" w:rsidRDefault="004A3FAE" w:rsidP="0038165F">
            <w:pPr>
              <w:widowControl/>
              <w:spacing w:line="400" w:lineRule="exact"/>
              <w:jc w:val="center"/>
              <w:rPr>
                <w:rFonts w:eastAsia="標楷體"/>
                <w:kern w:val="0"/>
                <w:sz w:val="28"/>
                <w:szCs w:val="28"/>
              </w:rPr>
            </w:pPr>
            <w:r w:rsidRPr="00D55DC6">
              <w:rPr>
                <w:rFonts w:eastAsia="標楷體"/>
                <w:kern w:val="0"/>
                <w:sz w:val="28"/>
                <w:szCs w:val="28"/>
              </w:rPr>
              <w:t>2</w:t>
            </w:r>
          </w:p>
        </w:tc>
        <w:tc>
          <w:tcPr>
            <w:tcW w:w="2552" w:type="dxa"/>
          </w:tcPr>
          <w:p w:rsidR="004A3FAE" w:rsidRPr="00D55DC6" w:rsidRDefault="004A3FAE" w:rsidP="0038165F">
            <w:pPr>
              <w:widowControl/>
              <w:spacing w:line="400" w:lineRule="exact"/>
              <w:jc w:val="both"/>
              <w:rPr>
                <w:rFonts w:eastAsia="標楷體"/>
                <w:kern w:val="0"/>
                <w:sz w:val="28"/>
                <w:szCs w:val="28"/>
              </w:rPr>
            </w:pPr>
            <w:r w:rsidRPr="00D55DC6">
              <w:rPr>
                <w:rFonts w:eastAsia="標楷體"/>
                <w:kern w:val="0"/>
                <w:sz w:val="28"/>
                <w:szCs w:val="28"/>
              </w:rPr>
              <w:t>參訪國家風景區遊客人數</w:t>
            </w:r>
            <w:r w:rsidRPr="00D55DC6">
              <w:rPr>
                <w:rFonts w:eastAsia="標楷體"/>
                <w:kern w:val="0"/>
                <w:sz w:val="28"/>
                <w:szCs w:val="28"/>
              </w:rPr>
              <w:t>(</w:t>
            </w:r>
            <w:r w:rsidRPr="00D55DC6">
              <w:rPr>
                <w:rFonts w:eastAsia="標楷體"/>
                <w:kern w:val="0"/>
                <w:sz w:val="28"/>
                <w:szCs w:val="28"/>
              </w:rPr>
              <w:t>萬人</w:t>
            </w:r>
            <w:r w:rsidRPr="00D55DC6">
              <w:rPr>
                <w:rFonts w:eastAsia="標楷體"/>
                <w:kern w:val="0"/>
                <w:sz w:val="28"/>
                <w:szCs w:val="28"/>
              </w:rPr>
              <w:t xml:space="preserve">) </w:t>
            </w:r>
          </w:p>
        </w:tc>
        <w:tc>
          <w:tcPr>
            <w:tcW w:w="865" w:type="dxa"/>
            <w:vAlign w:val="center"/>
          </w:tcPr>
          <w:p w:rsidR="004A3FAE" w:rsidRPr="00D55DC6" w:rsidRDefault="004A3FAE" w:rsidP="0038165F">
            <w:pPr>
              <w:widowControl/>
              <w:spacing w:line="400" w:lineRule="exact"/>
              <w:jc w:val="center"/>
              <w:rPr>
                <w:rFonts w:eastAsia="標楷體"/>
                <w:kern w:val="0"/>
                <w:sz w:val="28"/>
                <w:szCs w:val="28"/>
              </w:rPr>
            </w:pPr>
            <w:r w:rsidRPr="00D55DC6">
              <w:rPr>
                <w:rFonts w:eastAsia="標楷體"/>
                <w:kern w:val="0"/>
                <w:sz w:val="28"/>
                <w:szCs w:val="28"/>
              </w:rPr>
              <w:t>254</w:t>
            </w:r>
          </w:p>
        </w:tc>
        <w:tc>
          <w:tcPr>
            <w:tcW w:w="868" w:type="dxa"/>
            <w:vAlign w:val="center"/>
          </w:tcPr>
          <w:p w:rsidR="004A3FAE" w:rsidRPr="00D55DC6" w:rsidRDefault="004A3FAE" w:rsidP="0038165F">
            <w:pPr>
              <w:widowControl/>
              <w:spacing w:line="400" w:lineRule="exact"/>
              <w:jc w:val="center"/>
              <w:rPr>
                <w:rFonts w:eastAsia="標楷體"/>
                <w:kern w:val="0"/>
                <w:sz w:val="28"/>
                <w:szCs w:val="28"/>
              </w:rPr>
            </w:pPr>
            <w:r w:rsidRPr="00D55DC6">
              <w:rPr>
                <w:rFonts w:eastAsia="標楷體"/>
                <w:kern w:val="0"/>
                <w:sz w:val="28"/>
                <w:szCs w:val="28"/>
              </w:rPr>
              <w:t>255</w:t>
            </w:r>
          </w:p>
        </w:tc>
        <w:tc>
          <w:tcPr>
            <w:tcW w:w="865" w:type="dxa"/>
            <w:vAlign w:val="center"/>
          </w:tcPr>
          <w:p w:rsidR="004A3FAE" w:rsidRPr="00D55DC6" w:rsidRDefault="004A3FAE" w:rsidP="000725AB">
            <w:pPr>
              <w:widowControl/>
              <w:spacing w:line="400" w:lineRule="exact"/>
              <w:jc w:val="center"/>
              <w:rPr>
                <w:rFonts w:eastAsia="標楷體"/>
                <w:kern w:val="0"/>
                <w:sz w:val="28"/>
                <w:szCs w:val="28"/>
              </w:rPr>
            </w:pPr>
            <w:r w:rsidRPr="00D55DC6">
              <w:rPr>
                <w:rFonts w:eastAsia="標楷體"/>
                <w:kern w:val="0"/>
                <w:sz w:val="28"/>
                <w:szCs w:val="28"/>
              </w:rPr>
              <w:t>258</w:t>
            </w:r>
          </w:p>
        </w:tc>
        <w:tc>
          <w:tcPr>
            <w:tcW w:w="865" w:type="dxa"/>
            <w:vAlign w:val="center"/>
          </w:tcPr>
          <w:p w:rsidR="004A3FAE" w:rsidRPr="00D55DC6" w:rsidRDefault="004A3FAE" w:rsidP="000725AB">
            <w:pPr>
              <w:widowControl/>
              <w:spacing w:line="400" w:lineRule="exact"/>
              <w:jc w:val="center"/>
              <w:rPr>
                <w:rFonts w:eastAsia="標楷體"/>
                <w:kern w:val="0"/>
                <w:sz w:val="28"/>
                <w:szCs w:val="28"/>
              </w:rPr>
            </w:pPr>
            <w:r w:rsidRPr="00D55DC6">
              <w:rPr>
                <w:rFonts w:eastAsia="標楷體"/>
                <w:kern w:val="0"/>
                <w:sz w:val="28"/>
                <w:szCs w:val="28"/>
              </w:rPr>
              <w:t>260</w:t>
            </w:r>
          </w:p>
        </w:tc>
        <w:tc>
          <w:tcPr>
            <w:tcW w:w="865" w:type="dxa"/>
            <w:vAlign w:val="center"/>
          </w:tcPr>
          <w:p w:rsidR="004A3FAE" w:rsidRPr="00D55DC6" w:rsidRDefault="004A3FAE" w:rsidP="000725AB">
            <w:pPr>
              <w:widowControl/>
              <w:spacing w:line="400" w:lineRule="exact"/>
              <w:jc w:val="center"/>
              <w:rPr>
                <w:rFonts w:eastAsia="標楷體"/>
                <w:kern w:val="0"/>
                <w:sz w:val="28"/>
                <w:szCs w:val="28"/>
              </w:rPr>
            </w:pPr>
            <w:r w:rsidRPr="00D55DC6">
              <w:rPr>
                <w:rFonts w:eastAsia="標楷體"/>
                <w:kern w:val="0"/>
                <w:sz w:val="28"/>
                <w:szCs w:val="28"/>
              </w:rPr>
              <w:t>262</w:t>
            </w:r>
          </w:p>
        </w:tc>
        <w:tc>
          <w:tcPr>
            <w:tcW w:w="866" w:type="dxa"/>
            <w:vAlign w:val="center"/>
          </w:tcPr>
          <w:p w:rsidR="004A3FAE" w:rsidRPr="00D55DC6" w:rsidRDefault="004A3FAE" w:rsidP="000725AB">
            <w:pPr>
              <w:widowControl/>
              <w:spacing w:line="400" w:lineRule="exact"/>
              <w:jc w:val="center"/>
              <w:rPr>
                <w:rFonts w:eastAsia="標楷體"/>
                <w:kern w:val="0"/>
                <w:sz w:val="28"/>
                <w:szCs w:val="28"/>
              </w:rPr>
            </w:pPr>
            <w:r w:rsidRPr="00D55DC6">
              <w:rPr>
                <w:rFonts w:eastAsia="標楷體"/>
                <w:kern w:val="0"/>
                <w:sz w:val="28"/>
                <w:szCs w:val="28"/>
              </w:rPr>
              <w:t>264</w:t>
            </w:r>
          </w:p>
        </w:tc>
      </w:tr>
      <w:tr w:rsidR="001D0350" w:rsidRPr="00D55DC6" w:rsidTr="009009E1">
        <w:trPr>
          <w:trHeight w:val="567"/>
        </w:trPr>
        <w:tc>
          <w:tcPr>
            <w:tcW w:w="425" w:type="dxa"/>
          </w:tcPr>
          <w:p w:rsidR="004A3FAE" w:rsidRPr="00D55DC6" w:rsidRDefault="004A3FAE" w:rsidP="0038165F">
            <w:pPr>
              <w:widowControl/>
              <w:spacing w:line="400" w:lineRule="exact"/>
              <w:jc w:val="center"/>
              <w:rPr>
                <w:rFonts w:eastAsia="標楷體"/>
                <w:kern w:val="0"/>
                <w:sz w:val="28"/>
                <w:szCs w:val="28"/>
              </w:rPr>
            </w:pPr>
            <w:r w:rsidRPr="00D55DC6">
              <w:rPr>
                <w:rFonts w:eastAsia="標楷體"/>
                <w:kern w:val="0"/>
                <w:sz w:val="28"/>
                <w:szCs w:val="28"/>
              </w:rPr>
              <w:t>3</w:t>
            </w:r>
          </w:p>
        </w:tc>
        <w:tc>
          <w:tcPr>
            <w:tcW w:w="2552" w:type="dxa"/>
          </w:tcPr>
          <w:p w:rsidR="004A3FAE" w:rsidRPr="00D55DC6" w:rsidRDefault="004A3FAE" w:rsidP="0038165F">
            <w:pPr>
              <w:widowControl/>
              <w:spacing w:line="400" w:lineRule="exact"/>
              <w:jc w:val="both"/>
              <w:rPr>
                <w:rFonts w:eastAsia="標楷體"/>
                <w:kern w:val="0"/>
                <w:sz w:val="28"/>
                <w:szCs w:val="28"/>
              </w:rPr>
            </w:pPr>
            <w:r w:rsidRPr="00D55DC6">
              <w:rPr>
                <w:rFonts w:eastAsia="標楷體"/>
                <w:kern w:val="0"/>
                <w:sz w:val="28"/>
                <w:szCs w:val="28"/>
              </w:rPr>
              <w:t>觀光產值</w:t>
            </w:r>
            <w:r w:rsidRPr="00D55DC6">
              <w:rPr>
                <w:rFonts w:eastAsia="標楷體"/>
                <w:kern w:val="0"/>
                <w:sz w:val="28"/>
                <w:szCs w:val="28"/>
              </w:rPr>
              <w:t>(</w:t>
            </w:r>
            <w:r w:rsidRPr="00D55DC6">
              <w:rPr>
                <w:rFonts w:eastAsia="標楷體"/>
                <w:kern w:val="0"/>
                <w:sz w:val="28"/>
                <w:szCs w:val="28"/>
              </w:rPr>
              <w:t>億元</w:t>
            </w:r>
            <w:r w:rsidRPr="00D55DC6">
              <w:rPr>
                <w:rFonts w:eastAsia="標楷體"/>
                <w:kern w:val="0"/>
                <w:sz w:val="28"/>
                <w:szCs w:val="28"/>
              </w:rPr>
              <w:t>)</w:t>
            </w:r>
          </w:p>
        </w:tc>
        <w:tc>
          <w:tcPr>
            <w:tcW w:w="865" w:type="dxa"/>
            <w:vAlign w:val="center"/>
          </w:tcPr>
          <w:p w:rsidR="004A3FAE" w:rsidRPr="00D55DC6" w:rsidRDefault="004A3FAE" w:rsidP="0038165F">
            <w:pPr>
              <w:widowControl/>
              <w:spacing w:line="400" w:lineRule="exact"/>
              <w:jc w:val="center"/>
              <w:rPr>
                <w:rFonts w:eastAsia="標楷體"/>
                <w:kern w:val="0"/>
              </w:rPr>
            </w:pPr>
            <w:r w:rsidRPr="00D55DC6">
              <w:rPr>
                <w:rFonts w:eastAsia="標楷體"/>
                <w:kern w:val="0"/>
              </w:rPr>
              <w:t>28.76</w:t>
            </w:r>
          </w:p>
        </w:tc>
        <w:tc>
          <w:tcPr>
            <w:tcW w:w="868" w:type="dxa"/>
            <w:vAlign w:val="center"/>
          </w:tcPr>
          <w:p w:rsidR="004A3FAE" w:rsidRPr="00D55DC6" w:rsidRDefault="004A3FAE" w:rsidP="0038165F">
            <w:pPr>
              <w:widowControl/>
              <w:spacing w:line="400" w:lineRule="exact"/>
              <w:jc w:val="center"/>
              <w:rPr>
                <w:rFonts w:eastAsia="標楷體"/>
                <w:kern w:val="0"/>
              </w:rPr>
            </w:pPr>
            <w:r w:rsidRPr="00D55DC6">
              <w:rPr>
                <w:rFonts w:eastAsia="標楷體"/>
                <w:kern w:val="0"/>
              </w:rPr>
              <w:t>28.88</w:t>
            </w:r>
          </w:p>
        </w:tc>
        <w:tc>
          <w:tcPr>
            <w:tcW w:w="865" w:type="dxa"/>
            <w:vAlign w:val="center"/>
          </w:tcPr>
          <w:p w:rsidR="004A3FAE" w:rsidRPr="00D55DC6" w:rsidRDefault="004A3FAE" w:rsidP="004A3FAE">
            <w:pPr>
              <w:jc w:val="center"/>
            </w:pPr>
            <w:r w:rsidRPr="00D55DC6">
              <w:t>29.22</w:t>
            </w:r>
          </w:p>
        </w:tc>
        <w:tc>
          <w:tcPr>
            <w:tcW w:w="865" w:type="dxa"/>
            <w:vAlign w:val="center"/>
          </w:tcPr>
          <w:p w:rsidR="004A3FAE" w:rsidRPr="00D55DC6" w:rsidRDefault="004A3FAE" w:rsidP="004A3FAE">
            <w:pPr>
              <w:jc w:val="center"/>
            </w:pPr>
            <w:r w:rsidRPr="00D55DC6">
              <w:t>29.45</w:t>
            </w:r>
          </w:p>
        </w:tc>
        <w:tc>
          <w:tcPr>
            <w:tcW w:w="865" w:type="dxa"/>
            <w:vAlign w:val="center"/>
          </w:tcPr>
          <w:p w:rsidR="004A3FAE" w:rsidRPr="00D55DC6" w:rsidRDefault="004A3FAE" w:rsidP="004A3FAE">
            <w:pPr>
              <w:jc w:val="center"/>
            </w:pPr>
            <w:r w:rsidRPr="00D55DC6">
              <w:t>29.67</w:t>
            </w:r>
          </w:p>
        </w:tc>
        <w:tc>
          <w:tcPr>
            <w:tcW w:w="866" w:type="dxa"/>
            <w:vAlign w:val="center"/>
          </w:tcPr>
          <w:p w:rsidR="004A3FAE" w:rsidRPr="00D55DC6" w:rsidRDefault="004A3FAE" w:rsidP="004A3FAE">
            <w:pPr>
              <w:jc w:val="center"/>
            </w:pPr>
            <w:r w:rsidRPr="00D55DC6">
              <w:t>29.90</w:t>
            </w:r>
          </w:p>
        </w:tc>
      </w:tr>
      <w:tr w:rsidR="001D0350" w:rsidRPr="00D55DC6" w:rsidTr="009009E1">
        <w:trPr>
          <w:trHeight w:val="675"/>
        </w:trPr>
        <w:tc>
          <w:tcPr>
            <w:tcW w:w="425" w:type="dxa"/>
          </w:tcPr>
          <w:p w:rsidR="00E6747C" w:rsidRPr="00D55DC6" w:rsidRDefault="00E6747C" w:rsidP="0038165F">
            <w:pPr>
              <w:widowControl/>
              <w:spacing w:line="400" w:lineRule="exact"/>
              <w:jc w:val="center"/>
              <w:rPr>
                <w:rFonts w:eastAsia="標楷體"/>
                <w:kern w:val="0"/>
                <w:sz w:val="28"/>
                <w:szCs w:val="28"/>
              </w:rPr>
            </w:pPr>
            <w:r w:rsidRPr="00D55DC6">
              <w:rPr>
                <w:rFonts w:eastAsia="標楷體"/>
                <w:kern w:val="0"/>
                <w:sz w:val="28"/>
                <w:szCs w:val="28"/>
              </w:rPr>
              <w:t>4</w:t>
            </w:r>
          </w:p>
        </w:tc>
        <w:tc>
          <w:tcPr>
            <w:tcW w:w="2552" w:type="dxa"/>
          </w:tcPr>
          <w:p w:rsidR="00E6747C" w:rsidRPr="00D55DC6" w:rsidRDefault="00E6747C" w:rsidP="0038165F">
            <w:pPr>
              <w:widowControl/>
              <w:spacing w:line="400" w:lineRule="exact"/>
              <w:jc w:val="both"/>
              <w:rPr>
                <w:rFonts w:eastAsia="標楷體"/>
                <w:kern w:val="0"/>
                <w:sz w:val="28"/>
                <w:szCs w:val="28"/>
              </w:rPr>
            </w:pPr>
            <w:r w:rsidRPr="00D55DC6">
              <w:rPr>
                <w:rFonts w:eastAsia="標楷體"/>
                <w:kern w:val="0"/>
                <w:sz w:val="28"/>
                <w:szCs w:val="28"/>
              </w:rPr>
              <w:t>性別友善設施完成數</w:t>
            </w:r>
            <w:r w:rsidRPr="00D55DC6">
              <w:rPr>
                <w:rFonts w:eastAsia="標楷體"/>
                <w:kern w:val="0"/>
                <w:sz w:val="28"/>
                <w:szCs w:val="28"/>
              </w:rPr>
              <w:t>(</w:t>
            </w:r>
            <w:r w:rsidRPr="00D55DC6">
              <w:rPr>
                <w:rFonts w:eastAsia="標楷體"/>
                <w:kern w:val="0"/>
                <w:sz w:val="28"/>
                <w:szCs w:val="28"/>
              </w:rPr>
              <w:t>處</w:t>
            </w:r>
            <w:r w:rsidRPr="00D55DC6">
              <w:rPr>
                <w:rFonts w:eastAsia="標楷體"/>
                <w:kern w:val="0"/>
                <w:sz w:val="28"/>
                <w:szCs w:val="28"/>
              </w:rPr>
              <w:t>)</w:t>
            </w:r>
          </w:p>
        </w:tc>
        <w:tc>
          <w:tcPr>
            <w:tcW w:w="865" w:type="dxa"/>
            <w:vAlign w:val="center"/>
          </w:tcPr>
          <w:p w:rsidR="00E6747C" w:rsidRPr="00D55DC6" w:rsidRDefault="00E852D0" w:rsidP="0038165F">
            <w:pPr>
              <w:widowControl/>
              <w:spacing w:line="400" w:lineRule="exact"/>
              <w:jc w:val="center"/>
              <w:rPr>
                <w:rFonts w:eastAsia="標楷體"/>
                <w:kern w:val="0"/>
              </w:rPr>
            </w:pPr>
            <w:r w:rsidRPr="00D55DC6">
              <w:rPr>
                <w:rFonts w:eastAsia="標楷體"/>
                <w:kern w:val="0"/>
              </w:rPr>
              <w:t>1</w:t>
            </w:r>
          </w:p>
        </w:tc>
        <w:tc>
          <w:tcPr>
            <w:tcW w:w="868" w:type="dxa"/>
            <w:vAlign w:val="center"/>
          </w:tcPr>
          <w:p w:rsidR="00E6747C" w:rsidRPr="00D55DC6" w:rsidRDefault="00E852D0" w:rsidP="0038165F">
            <w:pPr>
              <w:widowControl/>
              <w:spacing w:line="400" w:lineRule="exact"/>
              <w:jc w:val="center"/>
              <w:rPr>
                <w:rFonts w:eastAsia="標楷體"/>
                <w:kern w:val="0"/>
              </w:rPr>
            </w:pPr>
            <w:r w:rsidRPr="00D55DC6">
              <w:rPr>
                <w:rFonts w:eastAsia="標楷體"/>
                <w:kern w:val="0"/>
              </w:rPr>
              <w:t>1</w:t>
            </w:r>
          </w:p>
        </w:tc>
        <w:tc>
          <w:tcPr>
            <w:tcW w:w="865" w:type="dxa"/>
            <w:vAlign w:val="center"/>
          </w:tcPr>
          <w:p w:rsidR="00E6747C" w:rsidRPr="00D55DC6" w:rsidRDefault="00E852D0" w:rsidP="0038165F">
            <w:pPr>
              <w:widowControl/>
              <w:spacing w:line="400" w:lineRule="exact"/>
              <w:jc w:val="center"/>
              <w:rPr>
                <w:rFonts w:eastAsia="標楷體"/>
                <w:kern w:val="0"/>
              </w:rPr>
            </w:pPr>
            <w:r w:rsidRPr="00D55DC6">
              <w:rPr>
                <w:rFonts w:eastAsia="標楷體"/>
                <w:kern w:val="0"/>
              </w:rPr>
              <w:t>1</w:t>
            </w:r>
          </w:p>
        </w:tc>
        <w:tc>
          <w:tcPr>
            <w:tcW w:w="865" w:type="dxa"/>
            <w:vAlign w:val="center"/>
          </w:tcPr>
          <w:p w:rsidR="00E6747C" w:rsidRPr="00D55DC6" w:rsidRDefault="00E852D0" w:rsidP="0038165F">
            <w:pPr>
              <w:widowControl/>
              <w:spacing w:line="400" w:lineRule="exact"/>
              <w:jc w:val="center"/>
              <w:rPr>
                <w:rFonts w:eastAsia="標楷體"/>
                <w:kern w:val="0"/>
              </w:rPr>
            </w:pPr>
            <w:r w:rsidRPr="00D55DC6">
              <w:rPr>
                <w:rFonts w:eastAsia="標楷體"/>
                <w:kern w:val="0"/>
              </w:rPr>
              <w:t>1</w:t>
            </w:r>
          </w:p>
        </w:tc>
        <w:tc>
          <w:tcPr>
            <w:tcW w:w="865" w:type="dxa"/>
            <w:vAlign w:val="center"/>
          </w:tcPr>
          <w:p w:rsidR="00E6747C" w:rsidRPr="00D55DC6" w:rsidRDefault="00E852D0" w:rsidP="0038165F">
            <w:pPr>
              <w:widowControl/>
              <w:spacing w:line="400" w:lineRule="exact"/>
              <w:jc w:val="center"/>
              <w:rPr>
                <w:rFonts w:eastAsia="標楷體"/>
                <w:kern w:val="0"/>
              </w:rPr>
            </w:pPr>
            <w:r w:rsidRPr="00D55DC6">
              <w:rPr>
                <w:rFonts w:eastAsia="標楷體"/>
                <w:kern w:val="0"/>
              </w:rPr>
              <w:t>2</w:t>
            </w:r>
          </w:p>
        </w:tc>
        <w:tc>
          <w:tcPr>
            <w:tcW w:w="866" w:type="dxa"/>
            <w:vAlign w:val="center"/>
          </w:tcPr>
          <w:p w:rsidR="00E6747C" w:rsidRPr="00D55DC6" w:rsidRDefault="00E852D0" w:rsidP="0038165F">
            <w:pPr>
              <w:spacing w:line="400" w:lineRule="exact"/>
              <w:jc w:val="center"/>
              <w:rPr>
                <w:rFonts w:eastAsia="標楷體"/>
              </w:rPr>
            </w:pPr>
            <w:r w:rsidRPr="00D55DC6">
              <w:rPr>
                <w:rFonts w:eastAsia="標楷體"/>
              </w:rPr>
              <w:t>2</w:t>
            </w:r>
          </w:p>
        </w:tc>
      </w:tr>
      <w:tr w:rsidR="001D0350" w:rsidRPr="00D55DC6" w:rsidTr="009009E1">
        <w:trPr>
          <w:trHeight w:val="675"/>
        </w:trPr>
        <w:tc>
          <w:tcPr>
            <w:tcW w:w="425" w:type="dxa"/>
          </w:tcPr>
          <w:p w:rsidR="002F5D4E" w:rsidRPr="00D55DC6" w:rsidRDefault="002F5D4E" w:rsidP="000725AB">
            <w:pPr>
              <w:widowControl/>
              <w:spacing w:line="400" w:lineRule="exact"/>
              <w:jc w:val="center"/>
              <w:rPr>
                <w:rFonts w:eastAsia="標楷體"/>
                <w:kern w:val="0"/>
                <w:sz w:val="28"/>
                <w:szCs w:val="28"/>
              </w:rPr>
            </w:pPr>
            <w:r w:rsidRPr="00D55DC6">
              <w:rPr>
                <w:rFonts w:eastAsia="標楷體"/>
                <w:sz w:val="28"/>
                <w:szCs w:val="28"/>
              </w:rPr>
              <w:t xml:space="preserve">　　</w:t>
            </w:r>
            <w:r w:rsidRPr="00D55DC6">
              <w:rPr>
                <w:rFonts w:eastAsia="標楷體"/>
                <w:kern w:val="0"/>
                <w:sz w:val="28"/>
                <w:szCs w:val="28"/>
              </w:rPr>
              <w:t>5</w:t>
            </w:r>
          </w:p>
        </w:tc>
        <w:tc>
          <w:tcPr>
            <w:tcW w:w="2552" w:type="dxa"/>
          </w:tcPr>
          <w:p w:rsidR="002F5D4E" w:rsidRPr="00D55DC6" w:rsidRDefault="002F5D4E" w:rsidP="005C51C2">
            <w:pPr>
              <w:widowControl/>
              <w:spacing w:line="400" w:lineRule="exact"/>
              <w:jc w:val="both"/>
              <w:rPr>
                <w:rFonts w:eastAsia="標楷體"/>
                <w:kern w:val="0"/>
                <w:sz w:val="28"/>
                <w:szCs w:val="28"/>
              </w:rPr>
            </w:pPr>
            <w:r w:rsidRPr="00D55DC6">
              <w:rPr>
                <w:rFonts w:eastAsia="標楷體"/>
                <w:kern w:val="0"/>
                <w:sz w:val="28"/>
                <w:szCs w:val="28"/>
              </w:rPr>
              <w:t>轄區經管設施公共意外責任險確</w:t>
            </w:r>
            <w:r w:rsidR="005C51C2" w:rsidRPr="00D55DC6">
              <w:rPr>
                <w:rFonts w:eastAsia="標楷體" w:hint="eastAsia"/>
                <w:kern w:val="0"/>
                <w:sz w:val="28"/>
                <w:szCs w:val="28"/>
              </w:rPr>
              <w:t>定</w:t>
            </w:r>
            <w:r w:rsidRPr="00D55DC6">
              <w:rPr>
                <w:rFonts w:eastAsia="標楷體"/>
                <w:kern w:val="0"/>
                <w:sz w:val="28"/>
                <w:szCs w:val="28"/>
              </w:rPr>
              <w:t>理賠件數上限</w:t>
            </w:r>
            <w:r w:rsidRPr="00D55DC6">
              <w:rPr>
                <w:rFonts w:eastAsia="標楷體"/>
                <w:kern w:val="0"/>
                <w:sz w:val="28"/>
                <w:szCs w:val="28"/>
              </w:rPr>
              <w:t>(</w:t>
            </w:r>
            <w:r w:rsidRPr="00D55DC6">
              <w:rPr>
                <w:rFonts w:eastAsia="標楷體"/>
                <w:kern w:val="0"/>
                <w:sz w:val="28"/>
                <w:szCs w:val="28"/>
              </w:rPr>
              <w:t>件</w:t>
            </w:r>
            <w:r w:rsidRPr="00D55DC6">
              <w:rPr>
                <w:rFonts w:eastAsia="標楷體"/>
                <w:kern w:val="0"/>
                <w:sz w:val="28"/>
                <w:szCs w:val="28"/>
              </w:rPr>
              <w:t>)</w:t>
            </w:r>
          </w:p>
        </w:tc>
        <w:tc>
          <w:tcPr>
            <w:tcW w:w="865" w:type="dxa"/>
            <w:vAlign w:val="center"/>
          </w:tcPr>
          <w:p w:rsidR="002F5D4E" w:rsidRPr="00D55DC6" w:rsidRDefault="002F5D4E">
            <w:pPr>
              <w:jc w:val="center"/>
              <w:rPr>
                <w:rFonts w:ascii="新細明體" w:hAnsi="新細明體" w:cs="新細明體"/>
                <w:sz w:val="28"/>
              </w:rPr>
            </w:pPr>
            <w:r w:rsidRPr="00D55DC6">
              <w:rPr>
                <w:rFonts w:ascii="新細明體" w:hAnsi="新細明體" w:cs="新細明體" w:hint="eastAsia"/>
                <w:sz w:val="28"/>
              </w:rPr>
              <w:t>-</w:t>
            </w:r>
          </w:p>
        </w:tc>
        <w:tc>
          <w:tcPr>
            <w:tcW w:w="868" w:type="dxa"/>
            <w:vAlign w:val="center"/>
          </w:tcPr>
          <w:p w:rsidR="002F5D4E" w:rsidRPr="00D55DC6" w:rsidRDefault="002F5D4E">
            <w:pPr>
              <w:jc w:val="center"/>
              <w:rPr>
                <w:rFonts w:ascii="新細明體" w:hAnsi="新細明體" w:cs="新細明體"/>
                <w:sz w:val="28"/>
              </w:rPr>
            </w:pPr>
            <w:r w:rsidRPr="00D55DC6">
              <w:rPr>
                <w:rFonts w:ascii="新細明體" w:hAnsi="新細明體" w:cs="新細明體" w:hint="eastAsia"/>
                <w:sz w:val="28"/>
              </w:rPr>
              <w:t>-</w:t>
            </w:r>
          </w:p>
        </w:tc>
        <w:tc>
          <w:tcPr>
            <w:tcW w:w="865" w:type="dxa"/>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2</w:t>
            </w:r>
          </w:p>
        </w:tc>
        <w:tc>
          <w:tcPr>
            <w:tcW w:w="865" w:type="dxa"/>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2</w:t>
            </w:r>
          </w:p>
        </w:tc>
        <w:tc>
          <w:tcPr>
            <w:tcW w:w="865" w:type="dxa"/>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2</w:t>
            </w:r>
          </w:p>
        </w:tc>
        <w:tc>
          <w:tcPr>
            <w:tcW w:w="866" w:type="dxa"/>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2</w:t>
            </w:r>
          </w:p>
        </w:tc>
      </w:tr>
    </w:tbl>
    <w:p w:rsidR="00612A4B" w:rsidRPr="00D55DC6" w:rsidRDefault="00612A4B" w:rsidP="00E6747C">
      <w:pPr>
        <w:snapToGrid w:val="0"/>
        <w:spacing w:line="0" w:lineRule="atLeast"/>
        <w:ind w:leftChars="296" w:left="1802" w:hangingChars="390" w:hanging="1092"/>
        <w:jc w:val="both"/>
        <w:rPr>
          <w:rFonts w:eastAsia="標楷體"/>
          <w:sz w:val="28"/>
          <w:szCs w:val="28"/>
        </w:rPr>
      </w:pPr>
      <w:r w:rsidRPr="00D55DC6">
        <w:rPr>
          <w:rFonts w:eastAsia="標楷體"/>
          <w:sz w:val="28"/>
          <w:szCs w:val="28"/>
        </w:rPr>
        <w:lastRenderedPageBreak/>
        <w:t>備註</w:t>
      </w:r>
      <w:r w:rsidRPr="00D55DC6">
        <w:rPr>
          <w:rFonts w:eastAsia="標楷體"/>
          <w:sz w:val="28"/>
          <w:szCs w:val="28"/>
        </w:rPr>
        <w:t>:1.</w:t>
      </w:r>
      <w:r w:rsidRPr="00D55DC6">
        <w:rPr>
          <w:rFonts w:eastAsia="標楷體"/>
          <w:sz w:val="28"/>
          <w:szCs w:val="28"/>
        </w:rPr>
        <w:t>依據交通部觀光局「國家風景區遊客調查報告」資料推估。</w:t>
      </w:r>
    </w:p>
    <w:p w:rsidR="00612A4B" w:rsidRPr="00D55DC6" w:rsidRDefault="00612A4B" w:rsidP="004A3FAE">
      <w:pPr>
        <w:snapToGrid w:val="0"/>
        <w:spacing w:line="0" w:lineRule="atLeast"/>
        <w:ind w:leftChars="600" w:left="1723" w:hangingChars="101" w:hanging="283"/>
        <w:jc w:val="both"/>
        <w:rPr>
          <w:rFonts w:eastAsia="標楷體"/>
          <w:sz w:val="28"/>
          <w:szCs w:val="28"/>
        </w:rPr>
      </w:pPr>
      <w:r w:rsidRPr="00D55DC6">
        <w:rPr>
          <w:rFonts w:eastAsia="標楷體"/>
          <w:sz w:val="28"/>
          <w:szCs w:val="28"/>
        </w:rPr>
        <w:t>2.</w:t>
      </w:r>
      <w:r w:rsidRPr="00D55DC6">
        <w:rPr>
          <w:rFonts w:eastAsia="標楷體"/>
          <w:sz w:val="28"/>
          <w:szCs w:val="28"/>
        </w:rPr>
        <w:t>管理處成立以來</w:t>
      </w:r>
      <w:r w:rsidRPr="00D55DC6">
        <w:rPr>
          <w:rFonts w:eastAsia="標楷體"/>
          <w:sz w:val="28"/>
          <w:szCs w:val="28"/>
        </w:rPr>
        <w:t>(95-103</w:t>
      </w:r>
      <w:r w:rsidRPr="00D55DC6">
        <w:rPr>
          <w:rFonts w:eastAsia="標楷體"/>
          <w:sz w:val="28"/>
          <w:szCs w:val="28"/>
        </w:rPr>
        <w:t>年）平均約</w:t>
      </w:r>
      <w:r w:rsidRPr="00D55DC6">
        <w:rPr>
          <w:rFonts w:eastAsia="標楷體"/>
          <w:sz w:val="28"/>
          <w:szCs w:val="28"/>
        </w:rPr>
        <w:t>193</w:t>
      </w:r>
      <w:r w:rsidRPr="00D55DC6">
        <w:rPr>
          <w:rFonts w:eastAsia="標楷體"/>
          <w:sz w:val="28"/>
          <w:szCs w:val="28"/>
        </w:rPr>
        <w:t>萬人次，</w:t>
      </w:r>
      <w:r w:rsidRPr="00D55DC6">
        <w:rPr>
          <w:rFonts w:eastAsia="標楷體"/>
          <w:sz w:val="28"/>
          <w:szCs w:val="28"/>
        </w:rPr>
        <w:t>102</w:t>
      </w:r>
      <w:r w:rsidRPr="00D55DC6">
        <w:rPr>
          <w:rFonts w:eastAsia="標楷體"/>
          <w:sz w:val="28"/>
          <w:szCs w:val="28"/>
        </w:rPr>
        <w:t>年因區內走馬瀨農場首次舉辦熱氣球嘉年華，當年該點遊客數由</w:t>
      </w:r>
      <w:r w:rsidRPr="00D55DC6">
        <w:rPr>
          <w:rFonts w:eastAsia="標楷體"/>
          <w:sz w:val="28"/>
          <w:szCs w:val="28"/>
        </w:rPr>
        <w:t>39</w:t>
      </w:r>
      <w:r w:rsidRPr="00D55DC6">
        <w:rPr>
          <w:rFonts w:eastAsia="標楷體"/>
          <w:sz w:val="28"/>
          <w:szCs w:val="28"/>
        </w:rPr>
        <w:t>萬人次暴增至</w:t>
      </w:r>
      <w:r w:rsidRPr="00D55DC6">
        <w:rPr>
          <w:rFonts w:eastAsia="標楷體"/>
          <w:sz w:val="28"/>
          <w:szCs w:val="28"/>
        </w:rPr>
        <w:t>87</w:t>
      </w:r>
      <w:r w:rsidRPr="00D55DC6">
        <w:rPr>
          <w:rFonts w:eastAsia="標楷體"/>
          <w:sz w:val="28"/>
          <w:szCs w:val="28"/>
        </w:rPr>
        <w:t>萬人次，鑑於熱氣球熱潮消退之經驗，以及避免追求遊客人次「量」之成長影響遊憩品質，</w:t>
      </w:r>
      <w:r w:rsidR="004A3FAE" w:rsidRPr="00D55DC6">
        <w:rPr>
          <w:rFonts w:eastAsia="標楷體"/>
          <w:sz w:val="28"/>
          <w:szCs w:val="28"/>
        </w:rPr>
        <w:t>爰妥適檢討調整遊客人數目標值。</w:t>
      </w:r>
      <w:r w:rsidRPr="00D55DC6">
        <w:rPr>
          <w:rFonts w:eastAsia="標楷體"/>
          <w:sz w:val="28"/>
          <w:szCs w:val="28"/>
        </w:rPr>
        <w:t xml:space="preserve">  </w:t>
      </w:r>
    </w:p>
    <w:p w:rsidR="00612A4B" w:rsidRPr="00D55DC6" w:rsidRDefault="00612A4B" w:rsidP="00E6747C">
      <w:pPr>
        <w:widowControl/>
        <w:spacing w:line="0" w:lineRule="atLeast"/>
        <w:rPr>
          <w:rFonts w:eastAsia="標楷體"/>
          <w:sz w:val="28"/>
          <w:szCs w:val="28"/>
        </w:rPr>
      </w:pPr>
    </w:p>
    <w:p w:rsidR="000C5765" w:rsidRPr="00D55DC6" w:rsidRDefault="000C5765" w:rsidP="00E6747C">
      <w:pPr>
        <w:widowControl/>
        <w:spacing w:line="0" w:lineRule="atLeast"/>
        <w:rPr>
          <w:rFonts w:eastAsia="標楷體"/>
          <w:sz w:val="28"/>
          <w:szCs w:val="28"/>
        </w:rPr>
      </w:pPr>
    </w:p>
    <w:p w:rsidR="000C5765" w:rsidRPr="00D55DC6" w:rsidRDefault="000C5765" w:rsidP="00E6747C">
      <w:pPr>
        <w:widowControl/>
        <w:spacing w:line="0" w:lineRule="atLeast"/>
        <w:rPr>
          <w:rFonts w:eastAsia="標楷體"/>
          <w:sz w:val="28"/>
          <w:szCs w:val="28"/>
        </w:rPr>
      </w:pPr>
    </w:p>
    <w:p w:rsidR="00612A4B" w:rsidRPr="00D55DC6" w:rsidRDefault="00612A4B" w:rsidP="0038165F">
      <w:pPr>
        <w:numPr>
          <w:ilvl w:val="0"/>
          <w:numId w:val="1"/>
        </w:numPr>
        <w:snapToGrid w:val="0"/>
        <w:spacing w:line="460" w:lineRule="exact"/>
        <w:ind w:left="709" w:hanging="709"/>
        <w:jc w:val="both"/>
        <w:rPr>
          <w:rFonts w:eastAsia="標楷體"/>
          <w:b/>
          <w:sz w:val="28"/>
          <w:szCs w:val="28"/>
        </w:rPr>
      </w:pPr>
      <w:r w:rsidRPr="00D55DC6">
        <w:rPr>
          <w:rFonts w:eastAsia="標楷體"/>
          <w:b/>
          <w:sz w:val="28"/>
          <w:szCs w:val="28"/>
        </w:rPr>
        <w:t>現行相關政策及方案之檢討</w:t>
      </w:r>
    </w:p>
    <w:p w:rsidR="00612A4B" w:rsidRPr="00D55DC6" w:rsidRDefault="00612A4B" w:rsidP="004865C1">
      <w:pPr>
        <w:numPr>
          <w:ilvl w:val="0"/>
          <w:numId w:val="114"/>
        </w:numPr>
        <w:snapToGrid w:val="0"/>
        <w:spacing w:line="460" w:lineRule="exact"/>
        <w:jc w:val="both"/>
        <w:rPr>
          <w:rFonts w:eastAsia="標楷體"/>
          <w:sz w:val="28"/>
          <w:szCs w:val="28"/>
        </w:rPr>
      </w:pPr>
      <w:r w:rsidRPr="00D55DC6">
        <w:rPr>
          <w:rFonts w:eastAsia="標楷體"/>
          <w:b/>
          <w:sz w:val="28"/>
          <w:szCs w:val="28"/>
        </w:rPr>
        <w:t>重要觀光景點建設中程計畫</w:t>
      </w:r>
      <w:r w:rsidRPr="00D55DC6">
        <w:rPr>
          <w:rFonts w:eastAsia="標楷體"/>
          <w:b/>
          <w:sz w:val="28"/>
          <w:szCs w:val="28"/>
        </w:rPr>
        <w:t>(101-104</w:t>
      </w:r>
      <w:r w:rsidRPr="00D55DC6">
        <w:rPr>
          <w:rFonts w:eastAsia="標楷體"/>
          <w:b/>
          <w:sz w:val="28"/>
          <w:szCs w:val="28"/>
        </w:rPr>
        <w:t>年</w:t>
      </w:r>
      <w:r w:rsidRPr="00D55DC6">
        <w:rPr>
          <w:rFonts w:eastAsia="標楷體"/>
          <w:b/>
          <w:sz w:val="28"/>
          <w:szCs w:val="28"/>
        </w:rPr>
        <w:t>)</w:t>
      </w:r>
      <w:r w:rsidR="004A3FAE" w:rsidRPr="00D55DC6">
        <w:rPr>
          <w:rFonts w:eastAsia="標楷體"/>
          <w:b/>
          <w:sz w:val="28"/>
          <w:szCs w:val="28"/>
        </w:rPr>
        <w:t>(</w:t>
      </w:r>
      <w:r w:rsidR="004A3FAE" w:rsidRPr="00D55DC6">
        <w:rPr>
          <w:rFonts w:eastAsia="標楷體"/>
          <w:b/>
          <w:sz w:val="28"/>
          <w:szCs w:val="28"/>
        </w:rPr>
        <w:t>截至</w:t>
      </w:r>
      <w:r w:rsidR="004A3FAE" w:rsidRPr="00D55DC6">
        <w:rPr>
          <w:rFonts w:eastAsia="標楷體"/>
          <w:b/>
          <w:sz w:val="28"/>
          <w:szCs w:val="28"/>
        </w:rPr>
        <w:t xml:space="preserve">103 </w:t>
      </w:r>
      <w:r w:rsidR="004A3FAE" w:rsidRPr="00D55DC6">
        <w:rPr>
          <w:rFonts w:eastAsia="標楷體"/>
          <w:b/>
          <w:sz w:val="28"/>
          <w:szCs w:val="28"/>
        </w:rPr>
        <w:t>年</w:t>
      </w:r>
      <w:r w:rsidR="004A3FAE" w:rsidRPr="00D55DC6">
        <w:rPr>
          <w:rFonts w:eastAsia="標楷體"/>
          <w:b/>
          <w:sz w:val="28"/>
          <w:szCs w:val="28"/>
        </w:rPr>
        <w:t>12</w:t>
      </w:r>
      <w:r w:rsidR="004A3FAE" w:rsidRPr="00D55DC6">
        <w:rPr>
          <w:rFonts w:eastAsia="標楷體"/>
          <w:b/>
          <w:sz w:val="28"/>
          <w:szCs w:val="28"/>
        </w:rPr>
        <w:t>月執行成果</w:t>
      </w:r>
      <w:r w:rsidR="004A3FAE" w:rsidRPr="00D55DC6">
        <w:rPr>
          <w:rFonts w:eastAsia="標楷體"/>
          <w:b/>
          <w:sz w:val="28"/>
          <w:szCs w:val="28"/>
        </w:rPr>
        <w:t>)</w:t>
      </w:r>
    </w:p>
    <w:p w:rsidR="00612A4B" w:rsidRPr="00D55DC6" w:rsidRDefault="00612A4B" w:rsidP="004865C1">
      <w:pPr>
        <w:numPr>
          <w:ilvl w:val="0"/>
          <w:numId w:val="115"/>
        </w:numPr>
        <w:snapToGrid w:val="0"/>
        <w:spacing w:line="460" w:lineRule="exact"/>
        <w:jc w:val="both"/>
        <w:rPr>
          <w:rFonts w:eastAsia="標楷體"/>
          <w:b/>
          <w:sz w:val="28"/>
          <w:szCs w:val="28"/>
        </w:rPr>
      </w:pPr>
      <w:r w:rsidRPr="00D55DC6">
        <w:rPr>
          <w:rFonts w:eastAsia="標楷體"/>
          <w:b/>
          <w:sz w:val="28"/>
          <w:szCs w:val="28"/>
        </w:rPr>
        <w:t>預算執行情形</w:t>
      </w:r>
    </w:p>
    <w:tbl>
      <w:tblPr>
        <w:tblStyle w:val="24"/>
        <w:tblW w:w="0" w:type="auto"/>
        <w:tblInd w:w="817" w:type="dxa"/>
        <w:tblLook w:val="04A0" w:firstRow="1" w:lastRow="0" w:firstColumn="1" w:lastColumn="0" w:noHBand="0" w:noVBand="1"/>
      </w:tblPr>
      <w:tblGrid>
        <w:gridCol w:w="3513"/>
        <w:gridCol w:w="1701"/>
        <w:gridCol w:w="1701"/>
        <w:gridCol w:w="1082"/>
      </w:tblGrid>
      <w:tr w:rsidR="001D0350" w:rsidRPr="00D55DC6" w:rsidTr="008D5222">
        <w:tc>
          <w:tcPr>
            <w:tcW w:w="3513" w:type="dxa"/>
            <w:vAlign w:val="center"/>
          </w:tcPr>
          <w:p w:rsidR="00612A4B" w:rsidRPr="00D55DC6" w:rsidRDefault="00612A4B" w:rsidP="0038165F">
            <w:pPr>
              <w:snapToGrid w:val="0"/>
              <w:jc w:val="center"/>
              <w:rPr>
                <w:rFonts w:eastAsia="標楷體"/>
                <w:szCs w:val="28"/>
              </w:rPr>
            </w:pPr>
            <w:r w:rsidRPr="00D55DC6">
              <w:rPr>
                <w:rFonts w:eastAsia="標楷體"/>
                <w:szCs w:val="28"/>
              </w:rPr>
              <w:t>計畫名稱</w:t>
            </w:r>
          </w:p>
        </w:tc>
        <w:tc>
          <w:tcPr>
            <w:tcW w:w="1701" w:type="dxa"/>
          </w:tcPr>
          <w:p w:rsidR="00612A4B" w:rsidRPr="00D55DC6" w:rsidRDefault="00612A4B" w:rsidP="0038165F">
            <w:pPr>
              <w:snapToGrid w:val="0"/>
              <w:jc w:val="center"/>
              <w:rPr>
                <w:rFonts w:eastAsia="標楷體"/>
                <w:szCs w:val="28"/>
              </w:rPr>
            </w:pPr>
            <w:r w:rsidRPr="00D55DC6">
              <w:rPr>
                <w:rFonts w:eastAsia="標楷體"/>
                <w:szCs w:val="28"/>
              </w:rPr>
              <w:t>總累計編列數</w:t>
            </w:r>
            <w:r w:rsidRPr="00D55DC6">
              <w:rPr>
                <w:rFonts w:eastAsia="標楷體"/>
                <w:szCs w:val="28"/>
              </w:rPr>
              <w:t>(A)</w:t>
            </w:r>
          </w:p>
        </w:tc>
        <w:tc>
          <w:tcPr>
            <w:tcW w:w="1701" w:type="dxa"/>
          </w:tcPr>
          <w:p w:rsidR="00612A4B" w:rsidRPr="00D55DC6" w:rsidRDefault="00612A4B" w:rsidP="0038165F">
            <w:pPr>
              <w:snapToGrid w:val="0"/>
              <w:jc w:val="center"/>
              <w:rPr>
                <w:rFonts w:eastAsia="標楷體"/>
                <w:szCs w:val="28"/>
              </w:rPr>
            </w:pPr>
            <w:r w:rsidRPr="00D55DC6">
              <w:rPr>
                <w:rFonts w:eastAsia="標楷體"/>
                <w:szCs w:val="28"/>
              </w:rPr>
              <w:t>總累計實支數</w:t>
            </w:r>
            <w:r w:rsidRPr="00D55DC6">
              <w:rPr>
                <w:rFonts w:eastAsia="標楷體"/>
                <w:szCs w:val="28"/>
              </w:rPr>
              <w:t>(B)</w:t>
            </w:r>
          </w:p>
        </w:tc>
        <w:tc>
          <w:tcPr>
            <w:tcW w:w="1082" w:type="dxa"/>
          </w:tcPr>
          <w:p w:rsidR="00612A4B" w:rsidRPr="00D55DC6" w:rsidRDefault="00612A4B" w:rsidP="0038165F">
            <w:pPr>
              <w:snapToGrid w:val="0"/>
              <w:jc w:val="center"/>
              <w:rPr>
                <w:rFonts w:eastAsia="標楷體"/>
                <w:szCs w:val="28"/>
              </w:rPr>
            </w:pPr>
            <w:r w:rsidRPr="00D55DC6">
              <w:rPr>
                <w:rFonts w:eastAsia="標楷體"/>
                <w:szCs w:val="28"/>
              </w:rPr>
              <w:t>支用比</w:t>
            </w:r>
          </w:p>
          <w:p w:rsidR="00612A4B" w:rsidRPr="00D55DC6" w:rsidRDefault="00612A4B" w:rsidP="0038165F">
            <w:pPr>
              <w:snapToGrid w:val="0"/>
              <w:jc w:val="center"/>
              <w:rPr>
                <w:rFonts w:eastAsia="標楷體"/>
                <w:szCs w:val="28"/>
              </w:rPr>
            </w:pPr>
            <w:r w:rsidRPr="00D55DC6">
              <w:rPr>
                <w:rFonts w:eastAsia="標楷體"/>
                <w:szCs w:val="28"/>
              </w:rPr>
              <w:t>(B/A%)</w:t>
            </w:r>
          </w:p>
        </w:tc>
      </w:tr>
      <w:tr w:rsidR="001D0350" w:rsidRPr="00D55DC6" w:rsidTr="002A3B8B">
        <w:tc>
          <w:tcPr>
            <w:tcW w:w="3513" w:type="dxa"/>
            <w:vAlign w:val="center"/>
          </w:tcPr>
          <w:p w:rsidR="004A3FAE" w:rsidRPr="00D55DC6" w:rsidRDefault="004A3FAE" w:rsidP="0038165F">
            <w:pPr>
              <w:widowControl/>
              <w:rPr>
                <w:rFonts w:eastAsia="標楷體"/>
                <w:kern w:val="0"/>
                <w:lang w:bidi="sa-IN"/>
              </w:rPr>
            </w:pPr>
            <w:r w:rsidRPr="00D55DC6">
              <w:rPr>
                <w:rFonts w:eastAsia="標楷體"/>
                <w:kern w:val="0"/>
                <w:lang w:bidi="sa-IN"/>
              </w:rPr>
              <w:t>西拉雅國家風景區建設計畫</w:t>
            </w:r>
          </w:p>
        </w:tc>
        <w:tc>
          <w:tcPr>
            <w:tcW w:w="1701" w:type="dxa"/>
            <w:vAlign w:val="center"/>
          </w:tcPr>
          <w:p w:rsidR="004A3FAE" w:rsidRPr="00D55DC6" w:rsidRDefault="004A3FAE">
            <w:pPr>
              <w:jc w:val="center"/>
            </w:pPr>
            <w:r w:rsidRPr="00D55DC6">
              <w:t xml:space="preserve">3.32349 </w:t>
            </w:r>
          </w:p>
        </w:tc>
        <w:tc>
          <w:tcPr>
            <w:tcW w:w="1701" w:type="dxa"/>
          </w:tcPr>
          <w:p w:rsidR="004A3FAE" w:rsidRPr="00D55DC6" w:rsidRDefault="004A3FAE">
            <w:pPr>
              <w:jc w:val="center"/>
            </w:pPr>
            <w:r w:rsidRPr="00D55DC6">
              <w:t xml:space="preserve">3.28826 </w:t>
            </w:r>
          </w:p>
        </w:tc>
        <w:tc>
          <w:tcPr>
            <w:tcW w:w="1082" w:type="dxa"/>
          </w:tcPr>
          <w:p w:rsidR="004A3FAE" w:rsidRPr="00D55DC6" w:rsidRDefault="004A3FAE">
            <w:pPr>
              <w:jc w:val="center"/>
            </w:pPr>
            <w:r w:rsidRPr="00D55DC6">
              <w:t>98.94%</w:t>
            </w:r>
          </w:p>
        </w:tc>
      </w:tr>
    </w:tbl>
    <w:p w:rsidR="00612A4B" w:rsidRPr="00D55DC6" w:rsidRDefault="00612A4B" w:rsidP="0038165F">
      <w:pPr>
        <w:snapToGrid w:val="0"/>
        <w:ind w:leftChars="295" w:left="1315" w:hangingChars="253" w:hanging="607"/>
        <w:jc w:val="both"/>
        <w:rPr>
          <w:rFonts w:eastAsia="標楷體"/>
          <w:szCs w:val="28"/>
        </w:rPr>
      </w:pPr>
      <w:r w:rsidRPr="00D55DC6">
        <w:rPr>
          <w:rFonts w:eastAsia="標楷體"/>
          <w:szCs w:val="28"/>
        </w:rPr>
        <w:t>註</w:t>
      </w:r>
      <w:r w:rsidRPr="00D55DC6">
        <w:rPr>
          <w:rFonts w:eastAsia="標楷體"/>
          <w:szCs w:val="28"/>
        </w:rPr>
        <w:t xml:space="preserve"> 1.</w:t>
      </w:r>
      <w:r w:rsidRPr="00D55DC6">
        <w:rPr>
          <w:rFonts w:eastAsia="標楷體"/>
          <w:szCs w:val="28"/>
        </w:rPr>
        <w:t>「總累計編列數</w:t>
      </w:r>
      <w:r w:rsidRPr="00D55DC6">
        <w:rPr>
          <w:rFonts w:eastAsia="標楷體"/>
          <w:szCs w:val="28"/>
        </w:rPr>
        <w:t>(A)</w:t>
      </w:r>
      <w:r w:rsidRPr="00D55DC6">
        <w:rPr>
          <w:rFonts w:eastAsia="標楷體"/>
          <w:szCs w:val="28"/>
        </w:rPr>
        <w:t>」為</w:t>
      </w:r>
      <w:r w:rsidRPr="00D55DC6">
        <w:rPr>
          <w:rFonts w:eastAsia="標楷體"/>
          <w:szCs w:val="28"/>
        </w:rPr>
        <w:t>101</w:t>
      </w:r>
      <w:r w:rsidRPr="00D55DC6">
        <w:rPr>
          <w:rFonts w:eastAsia="標楷體"/>
          <w:szCs w:val="28"/>
        </w:rPr>
        <w:t>年</w:t>
      </w:r>
      <w:r w:rsidRPr="00D55DC6">
        <w:rPr>
          <w:rFonts w:eastAsia="標楷體"/>
          <w:szCs w:val="28"/>
        </w:rPr>
        <w:t>1</w:t>
      </w:r>
      <w:r w:rsidRPr="00D55DC6">
        <w:rPr>
          <w:rFonts w:eastAsia="標楷體"/>
          <w:szCs w:val="28"/>
        </w:rPr>
        <w:t>月至</w:t>
      </w:r>
      <w:r w:rsidRPr="00D55DC6">
        <w:rPr>
          <w:rFonts w:eastAsia="標楷體"/>
          <w:szCs w:val="28"/>
        </w:rPr>
        <w:t>103</w:t>
      </w:r>
      <w:r w:rsidRPr="00D55DC6">
        <w:rPr>
          <w:rFonts w:eastAsia="標楷體"/>
          <w:szCs w:val="28"/>
        </w:rPr>
        <w:t>年</w:t>
      </w:r>
      <w:r w:rsidRPr="00D55DC6">
        <w:rPr>
          <w:rFonts w:eastAsia="標楷體"/>
          <w:szCs w:val="28"/>
        </w:rPr>
        <w:t>1</w:t>
      </w:r>
      <w:r w:rsidR="004A3FAE" w:rsidRPr="00D55DC6">
        <w:rPr>
          <w:rFonts w:eastAsia="標楷體"/>
          <w:szCs w:val="28"/>
        </w:rPr>
        <w:t>2</w:t>
      </w:r>
      <w:r w:rsidRPr="00D55DC6">
        <w:rPr>
          <w:rFonts w:eastAsia="標楷體"/>
          <w:szCs w:val="28"/>
        </w:rPr>
        <w:t>月累計實際可支用數。</w:t>
      </w:r>
    </w:p>
    <w:p w:rsidR="00612A4B" w:rsidRPr="00D55DC6" w:rsidRDefault="00612A4B" w:rsidP="0038165F">
      <w:pPr>
        <w:snapToGrid w:val="0"/>
        <w:jc w:val="both"/>
        <w:rPr>
          <w:rFonts w:eastAsia="標楷體"/>
          <w:szCs w:val="28"/>
        </w:rPr>
      </w:pPr>
      <w:r w:rsidRPr="00D55DC6">
        <w:rPr>
          <w:rFonts w:eastAsia="標楷體"/>
          <w:szCs w:val="28"/>
        </w:rPr>
        <w:t xml:space="preserve">         2.</w:t>
      </w:r>
      <w:r w:rsidRPr="00D55DC6">
        <w:rPr>
          <w:rFonts w:eastAsia="標楷體"/>
          <w:szCs w:val="28"/>
        </w:rPr>
        <w:t>「總累計實支數</w:t>
      </w:r>
      <w:r w:rsidRPr="00D55DC6">
        <w:rPr>
          <w:rFonts w:eastAsia="標楷體"/>
          <w:szCs w:val="28"/>
        </w:rPr>
        <w:t>(B)</w:t>
      </w:r>
      <w:r w:rsidRPr="00D55DC6">
        <w:rPr>
          <w:rFonts w:eastAsia="標楷體"/>
          <w:szCs w:val="28"/>
        </w:rPr>
        <w:t>」為</w:t>
      </w:r>
      <w:r w:rsidRPr="00D55DC6">
        <w:rPr>
          <w:rFonts w:eastAsia="標楷體"/>
          <w:szCs w:val="28"/>
        </w:rPr>
        <w:t>101</w:t>
      </w:r>
      <w:r w:rsidRPr="00D55DC6">
        <w:rPr>
          <w:rFonts w:eastAsia="標楷體"/>
          <w:szCs w:val="28"/>
        </w:rPr>
        <w:t>年</w:t>
      </w:r>
      <w:r w:rsidRPr="00D55DC6">
        <w:rPr>
          <w:rFonts w:eastAsia="標楷體"/>
          <w:szCs w:val="28"/>
        </w:rPr>
        <w:t>1</w:t>
      </w:r>
      <w:r w:rsidRPr="00D55DC6">
        <w:rPr>
          <w:rFonts w:eastAsia="標楷體"/>
          <w:szCs w:val="28"/>
        </w:rPr>
        <w:t>月至</w:t>
      </w:r>
      <w:r w:rsidRPr="00D55DC6">
        <w:rPr>
          <w:rFonts w:eastAsia="標楷體"/>
          <w:szCs w:val="28"/>
        </w:rPr>
        <w:t>103</w:t>
      </w:r>
      <w:r w:rsidRPr="00D55DC6">
        <w:rPr>
          <w:rFonts w:eastAsia="標楷體"/>
          <w:szCs w:val="28"/>
        </w:rPr>
        <w:t>年</w:t>
      </w:r>
      <w:r w:rsidRPr="00D55DC6">
        <w:rPr>
          <w:rFonts w:eastAsia="標楷體"/>
          <w:szCs w:val="28"/>
        </w:rPr>
        <w:t>1</w:t>
      </w:r>
      <w:r w:rsidR="004A3FAE" w:rsidRPr="00D55DC6">
        <w:rPr>
          <w:rFonts w:eastAsia="標楷體"/>
          <w:szCs w:val="28"/>
        </w:rPr>
        <w:t>2</w:t>
      </w:r>
      <w:r w:rsidRPr="00D55DC6">
        <w:rPr>
          <w:rFonts w:eastAsia="標楷體"/>
          <w:szCs w:val="28"/>
        </w:rPr>
        <w:t>月累計實支數。</w:t>
      </w:r>
    </w:p>
    <w:p w:rsidR="00612A4B" w:rsidRPr="00D55DC6" w:rsidRDefault="00612A4B" w:rsidP="0038165F">
      <w:pPr>
        <w:snapToGrid w:val="0"/>
        <w:jc w:val="both"/>
        <w:rPr>
          <w:rFonts w:eastAsia="標楷體"/>
          <w:szCs w:val="28"/>
        </w:rPr>
      </w:pPr>
    </w:p>
    <w:p w:rsidR="00612A4B" w:rsidRPr="00D55DC6" w:rsidRDefault="00612A4B" w:rsidP="0038165F">
      <w:pPr>
        <w:snapToGrid w:val="0"/>
        <w:jc w:val="both"/>
        <w:rPr>
          <w:rFonts w:eastAsia="標楷體"/>
          <w:szCs w:val="28"/>
        </w:rPr>
      </w:pPr>
    </w:p>
    <w:p w:rsidR="00612A4B" w:rsidRPr="00D55DC6" w:rsidRDefault="00612A4B" w:rsidP="004865C1">
      <w:pPr>
        <w:numPr>
          <w:ilvl w:val="0"/>
          <w:numId w:val="115"/>
        </w:numPr>
        <w:snapToGrid w:val="0"/>
        <w:spacing w:line="460" w:lineRule="exact"/>
        <w:jc w:val="both"/>
        <w:rPr>
          <w:rFonts w:eastAsia="標楷體"/>
          <w:b/>
          <w:sz w:val="28"/>
          <w:szCs w:val="28"/>
        </w:rPr>
      </w:pPr>
      <w:r w:rsidRPr="00D55DC6">
        <w:rPr>
          <w:rFonts w:eastAsia="標楷體"/>
          <w:b/>
          <w:sz w:val="28"/>
          <w:szCs w:val="28"/>
        </w:rPr>
        <w:t>重要執行成果</w:t>
      </w:r>
      <w:r w:rsidRPr="00D55DC6">
        <w:rPr>
          <w:rFonts w:eastAsia="標楷體"/>
          <w:b/>
          <w:sz w:val="28"/>
          <w:szCs w:val="28"/>
        </w:rPr>
        <w:t xml:space="preserve"> </w:t>
      </w:r>
    </w:p>
    <w:p w:rsidR="00612A4B" w:rsidRPr="00D55DC6" w:rsidRDefault="00612A4B" w:rsidP="0038165F">
      <w:pPr>
        <w:snapToGrid w:val="0"/>
        <w:spacing w:line="460" w:lineRule="exact"/>
        <w:ind w:left="851"/>
        <w:jc w:val="both"/>
        <w:rPr>
          <w:rFonts w:eastAsia="標楷體"/>
          <w:b/>
          <w:sz w:val="28"/>
          <w:szCs w:val="28"/>
        </w:rPr>
      </w:pPr>
      <w:r w:rsidRPr="00D55DC6">
        <w:rPr>
          <w:rFonts w:eastAsia="標楷體"/>
          <w:b/>
          <w:sz w:val="28"/>
          <w:szCs w:val="28"/>
        </w:rPr>
        <w:t>2-1</w:t>
      </w:r>
      <w:r w:rsidRPr="00D55DC6">
        <w:rPr>
          <w:rFonts w:eastAsia="標楷體"/>
          <w:b/>
          <w:sz w:val="28"/>
          <w:szCs w:val="28"/>
        </w:rPr>
        <w:t>國際觀光重要景點建設</w:t>
      </w:r>
    </w:p>
    <w:p w:rsidR="00612A4B" w:rsidRPr="00D55DC6" w:rsidRDefault="00612A4B" w:rsidP="0038165F">
      <w:pPr>
        <w:snapToGrid w:val="0"/>
        <w:spacing w:line="460" w:lineRule="exact"/>
        <w:ind w:leftChars="529" w:left="1981" w:hangingChars="254" w:hanging="711"/>
        <w:jc w:val="both"/>
        <w:rPr>
          <w:rFonts w:eastAsia="標楷體"/>
          <w:sz w:val="28"/>
          <w:szCs w:val="28"/>
        </w:rPr>
      </w:pPr>
      <w:r w:rsidRPr="00D55DC6">
        <w:rPr>
          <w:rFonts w:eastAsia="標楷體"/>
          <w:sz w:val="28"/>
          <w:szCs w:val="28"/>
        </w:rPr>
        <w:t>2-1-1</w:t>
      </w:r>
      <w:r w:rsidRPr="00D55DC6">
        <w:rPr>
          <w:rFonts w:eastAsia="標楷體"/>
          <w:sz w:val="28"/>
          <w:szCs w:val="28"/>
        </w:rPr>
        <w:t>關子嶺溫泉療養圈</w:t>
      </w:r>
      <w:r w:rsidRPr="00D55DC6">
        <w:rPr>
          <w:rFonts w:eastAsia="標楷體"/>
          <w:sz w:val="28"/>
          <w:szCs w:val="28"/>
        </w:rPr>
        <w:t>(</w:t>
      </w:r>
      <w:r w:rsidRPr="00D55DC6">
        <w:rPr>
          <w:rFonts w:eastAsia="標楷體"/>
          <w:sz w:val="28"/>
          <w:szCs w:val="28"/>
        </w:rPr>
        <w:t>嶺頂公園改造、紅葉公園景觀設施、水火同源景觀設施、寶泉露頭公園景觀設施、管線地下化、無障礙設施、夜間氛圍營造等</w:t>
      </w:r>
      <w:r w:rsidRPr="00D55DC6">
        <w:rPr>
          <w:rFonts w:eastAsia="標楷體"/>
          <w:sz w:val="28"/>
          <w:szCs w:val="28"/>
        </w:rPr>
        <w:t>)</w:t>
      </w:r>
    </w:p>
    <w:p w:rsidR="00612A4B" w:rsidRPr="00D55DC6" w:rsidRDefault="00612A4B" w:rsidP="0038165F">
      <w:pPr>
        <w:snapToGrid w:val="0"/>
        <w:spacing w:line="460" w:lineRule="exact"/>
        <w:ind w:leftChars="529" w:left="1981" w:hangingChars="254" w:hanging="711"/>
        <w:jc w:val="both"/>
        <w:rPr>
          <w:rFonts w:eastAsia="標楷體"/>
          <w:sz w:val="28"/>
          <w:szCs w:val="28"/>
        </w:rPr>
      </w:pPr>
      <w:r w:rsidRPr="00D55DC6">
        <w:rPr>
          <w:rFonts w:eastAsia="標楷體"/>
          <w:sz w:val="28"/>
          <w:szCs w:val="28"/>
        </w:rPr>
        <w:t>2-1-2</w:t>
      </w:r>
      <w:r w:rsidRPr="00D55DC6">
        <w:rPr>
          <w:rFonts w:eastAsia="標楷體"/>
          <w:sz w:val="28"/>
          <w:szCs w:val="28"/>
        </w:rPr>
        <w:t>烏山頭歷史懷舊旅遊圈</w:t>
      </w:r>
      <w:r w:rsidRPr="00D55DC6">
        <w:rPr>
          <w:rFonts w:eastAsia="標楷體"/>
          <w:sz w:val="28"/>
          <w:szCs w:val="28"/>
        </w:rPr>
        <w:t>(</w:t>
      </w:r>
      <w:r w:rsidRPr="00D55DC6">
        <w:rPr>
          <w:rFonts w:eastAsia="標楷體"/>
          <w:sz w:val="28"/>
          <w:szCs w:val="28"/>
        </w:rPr>
        <w:t>管線地下化、景點入口景觀等</w:t>
      </w:r>
      <w:r w:rsidRPr="00D55DC6">
        <w:rPr>
          <w:rFonts w:eastAsia="標楷體"/>
          <w:sz w:val="28"/>
          <w:szCs w:val="28"/>
        </w:rPr>
        <w:t>)</w:t>
      </w:r>
      <w:r w:rsidRPr="00D55DC6">
        <w:rPr>
          <w:rFonts w:eastAsia="標楷體"/>
          <w:sz w:val="28"/>
          <w:szCs w:val="28"/>
        </w:rPr>
        <w:t>等景點建設及環境改善。</w:t>
      </w:r>
    </w:p>
    <w:p w:rsidR="00612A4B" w:rsidRPr="00D55DC6" w:rsidRDefault="00612A4B" w:rsidP="0038165F">
      <w:pPr>
        <w:snapToGrid w:val="0"/>
        <w:spacing w:line="460" w:lineRule="exact"/>
        <w:ind w:left="851"/>
        <w:jc w:val="both"/>
        <w:rPr>
          <w:rFonts w:eastAsia="標楷體"/>
          <w:b/>
          <w:sz w:val="28"/>
          <w:szCs w:val="28"/>
        </w:rPr>
      </w:pPr>
      <w:r w:rsidRPr="00D55DC6">
        <w:rPr>
          <w:rFonts w:eastAsia="標楷體"/>
          <w:b/>
          <w:sz w:val="28"/>
          <w:szCs w:val="28"/>
        </w:rPr>
        <w:t>2-2</w:t>
      </w:r>
      <w:r w:rsidRPr="00D55DC6">
        <w:rPr>
          <w:rFonts w:eastAsia="標楷體"/>
          <w:b/>
          <w:sz w:val="28"/>
          <w:szCs w:val="28"/>
        </w:rPr>
        <w:t>國內觀光重要景點建設</w:t>
      </w:r>
    </w:p>
    <w:p w:rsidR="00612A4B" w:rsidRPr="00D55DC6" w:rsidRDefault="00612A4B" w:rsidP="0038165F">
      <w:pPr>
        <w:snapToGrid w:val="0"/>
        <w:spacing w:line="460" w:lineRule="exact"/>
        <w:ind w:leftChars="529" w:left="1981" w:hangingChars="254" w:hanging="711"/>
        <w:jc w:val="both"/>
        <w:rPr>
          <w:rFonts w:eastAsia="標楷體"/>
          <w:sz w:val="28"/>
          <w:szCs w:val="28"/>
        </w:rPr>
      </w:pPr>
      <w:r w:rsidRPr="00D55DC6">
        <w:rPr>
          <w:rFonts w:eastAsia="標楷體"/>
          <w:sz w:val="28"/>
          <w:szCs w:val="28"/>
        </w:rPr>
        <w:t>2-2-1</w:t>
      </w:r>
      <w:r w:rsidRPr="00D55DC6">
        <w:rPr>
          <w:rFonts w:eastAsia="標楷體"/>
          <w:sz w:val="28"/>
          <w:szCs w:val="28"/>
        </w:rPr>
        <w:t>西拉雅探索園區</w:t>
      </w:r>
      <w:r w:rsidRPr="00D55DC6">
        <w:rPr>
          <w:rFonts w:eastAsia="標楷體"/>
          <w:sz w:val="28"/>
          <w:szCs w:val="28"/>
        </w:rPr>
        <w:t>(</w:t>
      </w:r>
      <w:r w:rsidRPr="00D55DC6">
        <w:rPr>
          <w:rFonts w:eastAsia="標楷體"/>
          <w:sz w:val="28"/>
          <w:szCs w:val="28"/>
        </w:rPr>
        <w:t>西拉雅探索園區環境改善</w:t>
      </w:r>
      <w:r w:rsidRPr="00D55DC6">
        <w:rPr>
          <w:rFonts w:eastAsia="標楷體"/>
          <w:sz w:val="28"/>
          <w:szCs w:val="28"/>
        </w:rPr>
        <w:t>)</w:t>
      </w:r>
      <w:r w:rsidRPr="00D55DC6">
        <w:rPr>
          <w:rFonts w:eastAsia="標楷體"/>
          <w:sz w:val="28"/>
          <w:szCs w:val="28"/>
        </w:rPr>
        <w:t>，包括二寮觀景台、南化遊客中心、觀景平台等。</w:t>
      </w:r>
    </w:p>
    <w:p w:rsidR="00612A4B" w:rsidRPr="00D55DC6" w:rsidRDefault="00612A4B" w:rsidP="0038165F">
      <w:pPr>
        <w:snapToGrid w:val="0"/>
        <w:spacing w:line="460" w:lineRule="exact"/>
        <w:ind w:leftChars="529" w:left="1981" w:hangingChars="254" w:hanging="711"/>
        <w:jc w:val="both"/>
        <w:rPr>
          <w:rFonts w:eastAsia="標楷體"/>
          <w:sz w:val="28"/>
          <w:szCs w:val="28"/>
        </w:rPr>
      </w:pPr>
      <w:r w:rsidRPr="00D55DC6">
        <w:rPr>
          <w:rFonts w:eastAsia="標楷體"/>
          <w:sz w:val="28"/>
          <w:szCs w:val="28"/>
        </w:rPr>
        <w:t>2-2-2</w:t>
      </w:r>
      <w:r w:rsidRPr="00D55DC6">
        <w:rPr>
          <w:rFonts w:eastAsia="標楷體"/>
          <w:sz w:val="28"/>
          <w:szCs w:val="28"/>
        </w:rPr>
        <w:t>西拉雅芒果酒莊</w:t>
      </w:r>
      <w:r w:rsidRPr="00D55DC6">
        <w:rPr>
          <w:rFonts w:eastAsia="標楷體"/>
          <w:sz w:val="28"/>
          <w:szCs w:val="28"/>
        </w:rPr>
        <w:t>(</w:t>
      </w:r>
      <w:r w:rsidRPr="00D55DC6">
        <w:rPr>
          <w:rFonts w:eastAsia="標楷體"/>
          <w:sz w:val="28"/>
          <w:szCs w:val="28"/>
        </w:rPr>
        <w:t>南化青青草原環境改善</w:t>
      </w:r>
      <w:r w:rsidRPr="00D55DC6">
        <w:rPr>
          <w:rFonts w:eastAsia="標楷體"/>
          <w:sz w:val="28"/>
          <w:szCs w:val="28"/>
        </w:rPr>
        <w:t>)</w:t>
      </w:r>
      <w:r w:rsidRPr="00D55DC6">
        <w:rPr>
          <w:rFonts w:eastAsia="標楷體"/>
          <w:sz w:val="28"/>
          <w:szCs w:val="28"/>
        </w:rPr>
        <w:t>，包括南化生態農場等景點建設及環境改善。</w:t>
      </w:r>
    </w:p>
    <w:p w:rsidR="00612A4B" w:rsidRPr="00D55DC6" w:rsidRDefault="00612A4B" w:rsidP="0038165F">
      <w:pPr>
        <w:snapToGrid w:val="0"/>
        <w:spacing w:line="460" w:lineRule="exact"/>
        <w:ind w:left="851"/>
        <w:jc w:val="both"/>
        <w:rPr>
          <w:rFonts w:eastAsia="標楷體"/>
          <w:b/>
          <w:sz w:val="28"/>
          <w:szCs w:val="28"/>
        </w:rPr>
      </w:pPr>
      <w:r w:rsidRPr="00D55DC6">
        <w:rPr>
          <w:rFonts w:eastAsia="標楷體"/>
          <w:b/>
          <w:sz w:val="28"/>
          <w:szCs w:val="28"/>
        </w:rPr>
        <w:t>2-3</w:t>
      </w:r>
      <w:r w:rsidRPr="00D55DC6">
        <w:rPr>
          <w:rFonts w:eastAsia="標楷體"/>
          <w:b/>
          <w:sz w:val="28"/>
          <w:szCs w:val="28"/>
        </w:rPr>
        <w:t>地方觀光重要景點建設</w:t>
      </w:r>
    </w:p>
    <w:p w:rsidR="00612A4B" w:rsidRPr="00D55DC6" w:rsidRDefault="00612A4B" w:rsidP="0038165F">
      <w:pPr>
        <w:snapToGrid w:val="0"/>
        <w:spacing w:line="460" w:lineRule="exact"/>
        <w:ind w:leftChars="529" w:left="1981" w:hangingChars="254" w:hanging="711"/>
        <w:jc w:val="both"/>
        <w:rPr>
          <w:rFonts w:eastAsia="標楷體"/>
          <w:sz w:val="28"/>
          <w:szCs w:val="28"/>
        </w:rPr>
      </w:pPr>
      <w:r w:rsidRPr="00D55DC6">
        <w:rPr>
          <w:rFonts w:eastAsia="標楷體"/>
          <w:sz w:val="28"/>
          <w:szCs w:val="28"/>
        </w:rPr>
        <w:t>2-3-1</w:t>
      </w:r>
      <w:r w:rsidRPr="00D55DC6">
        <w:rPr>
          <w:rFonts w:eastAsia="標楷體"/>
          <w:sz w:val="28"/>
          <w:szCs w:val="28"/>
        </w:rPr>
        <w:t>文化藝術體驗區</w:t>
      </w:r>
      <w:r w:rsidRPr="00D55DC6">
        <w:rPr>
          <w:rFonts w:eastAsia="標楷體"/>
          <w:sz w:val="28"/>
          <w:szCs w:val="28"/>
        </w:rPr>
        <w:t>(</w:t>
      </w:r>
      <w:r w:rsidRPr="00D55DC6">
        <w:rPr>
          <w:rFonts w:eastAsia="標楷體"/>
          <w:sz w:val="28"/>
          <w:szCs w:val="28"/>
        </w:rPr>
        <w:t>景觀改善</w:t>
      </w:r>
      <w:r w:rsidRPr="00D55DC6">
        <w:rPr>
          <w:rFonts w:eastAsia="標楷體"/>
          <w:sz w:val="28"/>
          <w:szCs w:val="28"/>
        </w:rPr>
        <w:t xml:space="preserve">) </w:t>
      </w:r>
      <w:r w:rsidRPr="00D55DC6">
        <w:rPr>
          <w:rFonts w:eastAsia="標楷體"/>
          <w:sz w:val="28"/>
          <w:szCs w:val="28"/>
        </w:rPr>
        <w:t>，包括曾文管理站、白馬亭服務設施改造。</w:t>
      </w:r>
    </w:p>
    <w:p w:rsidR="00612A4B" w:rsidRPr="00D55DC6" w:rsidRDefault="00612A4B" w:rsidP="0038165F">
      <w:pPr>
        <w:snapToGrid w:val="0"/>
        <w:spacing w:line="460" w:lineRule="exact"/>
        <w:ind w:leftChars="529" w:left="1981" w:hangingChars="254" w:hanging="711"/>
        <w:jc w:val="both"/>
        <w:rPr>
          <w:rFonts w:eastAsia="標楷體"/>
          <w:sz w:val="28"/>
          <w:szCs w:val="28"/>
        </w:rPr>
      </w:pPr>
      <w:r w:rsidRPr="00D55DC6">
        <w:rPr>
          <w:rFonts w:eastAsia="標楷體"/>
          <w:sz w:val="28"/>
          <w:szCs w:val="28"/>
        </w:rPr>
        <w:lastRenderedPageBreak/>
        <w:t>2-3-2</w:t>
      </w:r>
      <w:r w:rsidRPr="00D55DC6">
        <w:rPr>
          <w:rFonts w:eastAsia="標楷體"/>
          <w:sz w:val="28"/>
          <w:szCs w:val="28"/>
        </w:rPr>
        <w:t>生態棲地體驗區</w:t>
      </w:r>
      <w:r w:rsidRPr="00D55DC6">
        <w:rPr>
          <w:rFonts w:eastAsia="標楷體"/>
          <w:sz w:val="28"/>
          <w:szCs w:val="28"/>
        </w:rPr>
        <w:t>(</w:t>
      </w:r>
      <w:r w:rsidRPr="00D55DC6">
        <w:rPr>
          <w:rFonts w:eastAsia="標楷體"/>
          <w:sz w:val="28"/>
          <w:szCs w:val="28"/>
        </w:rPr>
        <w:t>景觀改善</w:t>
      </w:r>
      <w:r w:rsidRPr="00D55DC6">
        <w:rPr>
          <w:rFonts w:eastAsia="標楷體"/>
          <w:sz w:val="28"/>
          <w:szCs w:val="28"/>
        </w:rPr>
        <w:t>)</w:t>
      </w:r>
      <w:r w:rsidRPr="00D55DC6">
        <w:rPr>
          <w:rFonts w:eastAsia="標楷體"/>
          <w:sz w:val="28"/>
          <w:szCs w:val="28"/>
        </w:rPr>
        <w:t>，包括台</w:t>
      </w:r>
      <w:r w:rsidRPr="00D55DC6">
        <w:rPr>
          <w:rFonts w:eastAsia="標楷體"/>
          <w:sz w:val="28"/>
          <w:szCs w:val="28"/>
        </w:rPr>
        <w:t>3</w:t>
      </w:r>
      <w:r w:rsidRPr="00D55DC6">
        <w:rPr>
          <w:rFonts w:eastAsia="標楷體"/>
          <w:sz w:val="28"/>
          <w:szCs w:val="28"/>
        </w:rPr>
        <w:t>線</w:t>
      </w:r>
      <w:r w:rsidRPr="00D55DC6">
        <w:rPr>
          <w:rFonts w:eastAsia="標楷體"/>
          <w:sz w:val="28"/>
          <w:szCs w:val="28"/>
        </w:rPr>
        <w:t>348K</w:t>
      </w:r>
      <w:r w:rsidRPr="00D55DC6">
        <w:rPr>
          <w:rFonts w:eastAsia="標楷體"/>
          <w:sz w:val="28"/>
          <w:szCs w:val="28"/>
        </w:rPr>
        <w:t>服務設施、梅嶺老梅區景觀設施、梅峰古道、伍龍步道、石弄林場景觀及服務設施改善。</w:t>
      </w:r>
    </w:p>
    <w:p w:rsidR="00612A4B" w:rsidRPr="00D55DC6" w:rsidRDefault="00612A4B" w:rsidP="0038165F">
      <w:pPr>
        <w:snapToGrid w:val="0"/>
        <w:spacing w:line="460" w:lineRule="exact"/>
        <w:ind w:left="851"/>
        <w:jc w:val="both"/>
        <w:rPr>
          <w:rFonts w:eastAsia="標楷體"/>
          <w:sz w:val="28"/>
          <w:szCs w:val="28"/>
        </w:rPr>
      </w:pPr>
      <w:r w:rsidRPr="00D55DC6">
        <w:rPr>
          <w:rFonts w:eastAsia="標楷體"/>
          <w:b/>
          <w:sz w:val="28"/>
          <w:szCs w:val="28"/>
        </w:rPr>
        <w:t>2-4</w:t>
      </w:r>
      <w:r w:rsidRPr="00D55DC6">
        <w:rPr>
          <w:rFonts w:eastAsia="標楷體"/>
          <w:b/>
          <w:sz w:val="28"/>
          <w:szCs w:val="28"/>
        </w:rPr>
        <w:t>經營管理及行銷推廣</w:t>
      </w:r>
      <w:r w:rsidRPr="00D55DC6">
        <w:rPr>
          <w:rFonts w:eastAsia="標楷體"/>
          <w:sz w:val="28"/>
          <w:szCs w:val="28"/>
        </w:rPr>
        <w:t xml:space="preserve"> </w:t>
      </w:r>
    </w:p>
    <w:p w:rsidR="00612A4B" w:rsidRPr="00D55DC6" w:rsidRDefault="00612A4B" w:rsidP="0038165F">
      <w:pPr>
        <w:snapToGrid w:val="0"/>
        <w:spacing w:line="460" w:lineRule="exact"/>
        <w:ind w:left="1505"/>
        <w:jc w:val="both"/>
        <w:rPr>
          <w:rFonts w:eastAsia="標楷體"/>
          <w:b/>
          <w:sz w:val="28"/>
          <w:szCs w:val="28"/>
        </w:rPr>
      </w:pPr>
      <w:r w:rsidRPr="00D55DC6">
        <w:rPr>
          <w:rFonts w:eastAsia="標楷體"/>
          <w:b/>
          <w:sz w:val="28"/>
          <w:szCs w:val="28"/>
        </w:rPr>
        <w:t>2-4-1</w:t>
      </w:r>
      <w:r w:rsidRPr="00D55DC6">
        <w:rPr>
          <w:rFonts w:eastAsia="標楷體"/>
          <w:b/>
          <w:sz w:val="28"/>
          <w:szCs w:val="28"/>
        </w:rPr>
        <w:t>經營管理</w:t>
      </w:r>
    </w:p>
    <w:p w:rsidR="00612A4B" w:rsidRPr="00D55DC6" w:rsidRDefault="00612A4B" w:rsidP="0038165F">
      <w:pPr>
        <w:snapToGrid w:val="0"/>
        <w:spacing w:line="460" w:lineRule="exact"/>
        <w:ind w:leftChars="627" w:left="2409" w:hangingChars="323" w:hanging="904"/>
        <w:jc w:val="both"/>
        <w:rPr>
          <w:rFonts w:eastAsia="標楷體"/>
          <w:sz w:val="28"/>
          <w:szCs w:val="28"/>
        </w:rPr>
      </w:pPr>
      <w:r w:rsidRPr="00D55DC6">
        <w:rPr>
          <w:rFonts w:eastAsia="標楷體"/>
          <w:sz w:val="28"/>
          <w:szCs w:val="28"/>
        </w:rPr>
        <w:t>2-4-1-1</w:t>
      </w:r>
      <w:r w:rsidRPr="00D55DC6">
        <w:rPr>
          <w:rFonts w:eastAsia="標楷體"/>
          <w:b/>
          <w:sz w:val="28"/>
          <w:szCs w:val="28"/>
        </w:rPr>
        <w:t>土地取得</w:t>
      </w:r>
      <w:r w:rsidRPr="00D55DC6">
        <w:rPr>
          <w:rFonts w:eastAsia="標楷體"/>
          <w:sz w:val="28"/>
          <w:szCs w:val="28"/>
        </w:rPr>
        <w:t>：完成</w:t>
      </w:r>
      <w:r w:rsidRPr="00D55DC6">
        <w:rPr>
          <w:rFonts w:eastAsia="標楷體"/>
          <w:sz w:val="28"/>
          <w:szCs w:val="28"/>
        </w:rPr>
        <w:t>8</w:t>
      </w:r>
      <w:r w:rsidRPr="00D55DC6">
        <w:rPr>
          <w:rFonts w:eastAsia="標楷體"/>
          <w:sz w:val="28"/>
          <w:szCs w:val="28"/>
        </w:rPr>
        <w:t>處據點土地取得</w:t>
      </w:r>
      <w:r w:rsidRPr="00D55DC6">
        <w:rPr>
          <w:rFonts w:eastAsia="標楷體"/>
          <w:sz w:val="28"/>
          <w:szCs w:val="28"/>
        </w:rPr>
        <w:t>(</w:t>
      </w:r>
      <w:r w:rsidRPr="00D55DC6">
        <w:rPr>
          <w:rFonts w:eastAsia="標楷體"/>
          <w:sz w:val="28"/>
          <w:szCs w:val="28"/>
        </w:rPr>
        <w:t>嶺頂公園、紅葉公園、六溪香路古道、官田處本部、二寮觀景台、南化遊客中心、南化生態農場、曾文管理站</w:t>
      </w:r>
      <w:r w:rsidRPr="00D55DC6">
        <w:rPr>
          <w:rFonts w:eastAsia="標楷體"/>
          <w:sz w:val="28"/>
          <w:szCs w:val="28"/>
        </w:rPr>
        <w:t>)</w:t>
      </w:r>
      <w:r w:rsidRPr="00D55DC6">
        <w:rPr>
          <w:rFonts w:eastAsia="標楷體"/>
          <w:sz w:val="28"/>
          <w:szCs w:val="28"/>
        </w:rPr>
        <w:t>，並同步辦理土地變更作業。</w:t>
      </w:r>
    </w:p>
    <w:p w:rsidR="00612A4B" w:rsidRPr="00D55DC6" w:rsidRDefault="00612A4B" w:rsidP="0038165F">
      <w:pPr>
        <w:snapToGrid w:val="0"/>
        <w:spacing w:line="460" w:lineRule="exact"/>
        <w:ind w:leftChars="627" w:left="2409" w:hangingChars="323" w:hanging="904"/>
        <w:jc w:val="both"/>
        <w:rPr>
          <w:rFonts w:eastAsia="標楷體"/>
          <w:sz w:val="28"/>
          <w:szCs w:val="28"/>
        </w:rPr>
      </w:pPr>
      <w:r w:rsidRPr="00D55DC6">
        <w:rPr>
          <w:rFonts w:eastAsia="標楷體"/>
          <w:sz w:val="28"/>
          <w:szCs w:val="28"/>
        </w:rPr>
        <w:t>2-4-1-2</w:t>
      </w:r>
      <w:r w:rsidRPr="00D55DC6">
        <w:rPr>
          <w:rFonts w:eastAsia="標楷體"/>
          <w:b/>
          <w:sz w:val="28"/>
          <w:szCs w:val="28"/>
        </w:rPr>
        <w:t>經營管理</w:t>
      </w:r>
      <w:r w:rsidRPr="00D55DC6">
        <w:rPr>
          <w:rFonts w:eastAsia="標楷體"/>
          <w:b/>
          <w:sz w:val="28"/>
          <w:szCs w:val="28"/>
        </w:rPr>
        <w:t>-</w:t>
      </w:r>
      <w:r w:rsidRPr="00D55DC6">
        <w:rPr>
          <w:rFonts w:eastAsia="標楷體"/>
          <w:b/>
          <w:sz w:val="28"/>
          <w:szCs w:val="28"/>
        </w:rPr>
        <w:t>建置「西拉雅國家風景區管理處資源管理系統」</w:t>
      </w:r>
      <w:r w:rsidRPr="00D55DC6">
        <w:rPr>
          <w:rFonts w:eastAsia="標楷體"/>
          <w:sz w:val="28"/>
          <w:szCs w:val="28"/>
        </w:rPr>
        <w:t>：整合土地管理、工程、行動巡查、薪資、派車等功能，協助土地管理及規劃使用，建立行動巡查系統提供巡查使用，增進線上巡查即時通報效率，並減少紙本負擔。</w:t>
      </w:r>
    </w:p>
    <w:p w:rsidR="00612A4B" w:rsidRPr="00D55DC6" w:rsidRDefault="00612A4B" w:rsidP="0038165F">
      <w:pPr>
        <w:snapToGrid w:val="0"/>
        <w:spacing w:line="460" w:lineRule="exact"/>
        <w:ind w:leftChars="627" w:left="2409" w:hangingChars="323" w:hanging="904"/>
        <w:jc w:val="both"/>
        <w:rPr>
          <w:rFonts w:eastAsia="標楷體"/>
          <w:sz w:val="28"/>
          <w:szCs w:val="28"/>
        </w:rPr>
      </w:pPr>
      <w:r w:rsidRPr="00D55DC6">
        <w:rPr>
          <w:rFonts w:eastAsia="標楷體"/>
          <w:sz w:val="28"/>
          <w:szCs w:val="28"/>
        </w:rPr>
        <w:t>2-4-1-3</w:t>
      </w:r>
      <w:r w:rsidRPr="00D55DC6">
        <w:rPr>
          <w:rFonts w:eastAsia="標楷體"/>
          <w:b/>
          <w:sz w:val="28"/>
          <w:szCs w:val="28"/>
        </w:rPr>
        <w:t>經營管理</w:t>
      </w:r>
      <w:r w:rsidRPr="00D55DC6">
        <w:rPr>
          <w:rFonts w:eastAsia="標楷體"/>
          <w:b/>
          <w:sz w:val="28"/>
          <w:szCs w:val="28"/>
        </w:rPr>
        <w:t>-</w:t>
      </w:r>
      <w:r w:rsidRPr="00D55DC6">
        <w:rPr>
          <w:rFonts w:eastAsia="標楷體"/>
          <w:b/>
          <w:sz w:val="28"/>
          <w:szCs w:val="28"/>
        </w:rPr>
        <w:t>辦理各項生態調查與監測</w:t>
      </w:r>
      <w:r w:rsidRPr="00D55DC6">
        <w:rPr>
          <w:rFonts w:eastAsia="標楷體"/>
          <w:sz w:val="28"/>
          <w:szCs w:val="28"/>
        </w:rPr>
        <w:t>：為兼顧觀光發展與環境生態保育，並作為發展環境教育之用，管理處辦理蝶類、鳥類、兩棲爬蟲類等調查及監測。</w:t>
      </w:r>
    </w:p>
    <w:p w:rsidR="00612A4B" w:rsidRPr="00D55DC6" w:rsidRDefault="00612A4B" w:rsidP="0038165F">
      <w:pPr>
        <w:snapToGrid w:val="0"/>
        <w:spacing w:line="460" w:lineRule="exact"/>
        <w:ind w:leftChars="627" w:left="2409" w:hangingChars="323" w:hanging="904"/>
        <w:jc w:val="both"/>
        <w:rPr>
          <w:rFonts w:eastAsia="標楷體"/>
          <w:sz w:val="28"/>
          <w:szCs w:val="28"/>
        </w:rPr>
      </w:pPr>
      <w:r w:rsidRPr="00D55DC6">
        <w:rPr>
          <w:rFonts w:eastAsia="標楷體"/>
          <w:sz w:val="28"/>
          <w:szCs w:val="28"/>
        </w:rPr>
        <w:t>2-4-1-4</w:t>
      </w:r>
      <w:r w:rsidRPr="00D55DC6">
        <w:rPr>
          <w:rFonts w:eastAsia="標楷體"/>
          <w:b/>
          <w:sz w:val="28"/>
          <w:szCs w:val="28"/>
        </w:rPr>
        <w:t>經營管理</w:t>
      </w:r>
      <w:r w:rsidRPr="00D55DC6">
        <w:rPr>
          <w:rFonts w:eastAsia="標楷體"/>
          <w:b/>
          <w:sz w:val="28"/>
          <w:szCs w:val="28"/>
        </w:rPr>
        <w:t>-</w:t>
      </w:r>
      <w:r w:rsidRPr="00D55DC6">
        <w:rPr>
          <w:rFonts w:eastAsia="標楷體"/>
          <w:b/>
          <w:sz w:val="28"/>
          <w:szCs w:val="28"/>
        </w:rPr>
        <w:t>特色服務據點開張</w:t>
      </w:r>
      <w:r w:rsidRPr="00D55DC6">
        <w:rPr>
          <w:rFonts w:eastAsia="標楷體"/>
          <w:sz w:val="28"/>
          <w:szCs w:val="28"/>
        </w:rPr>
        <w:t>：包括</w:t>
      </w:r>
      <w:r w:rsidRPr="00D55DC6">
        <w:rPr>
          <w:rFonts w:eastAsia="標楷體"/>
          <w:sz w:val="28"/>
          <w:szCs w:val="28"/>
        </w:rPr>
        <w:t>175</w:t>
      </w:r>
      <w:r w:rsidRPr="00D55DC6">
        <w:rPr>
          <w:rFonts w:eastAsia="標楷體"/>
          <w:sz w:val="28"/>
          <w:szCs w:val="28"/>
        </w:rPr>
        <w:t>咖啡公路上之南寮鐵馬驛站、李子園小舖、大埔林本中藥鋪等地方特色服務空間皆於</w:t>
      </w:r>
      <w:r w:rsidRPr="00D55DC6">
        <w:rPr>
          <w:rFonts w:eastAsia="標楷體"/>
          <w:sz w:val="28"/>
          <w:szCs w:val="28"/>
        </w:rPr>
        <w:t>103</w:t>
      </w:r>
      <w:r w:rsidRPr="00D55DC6">
        <w:rPr>
          <w:rFonts w:eastAsia="標楷體"/>
          <w:sz w:val="28"/>
          <w:szCs w:val="28"/>
        </w:rPr>
        <w:t>年開張服務。</w:t>
      </w:r>
    </w:p>
    <w:p w:rsidR="00612A4B" w:rsidRPr="00D55DC6" w:rsidRDefault="00612A4B" w:rsidP="0038165F">
      <w:pPr>
        <w:snapToGrid w:val="0"/>
        <w:spacing w:line="460" w:lineRule="exact"/>
        <w:ind w:leftChars="472" w:left="1133"/>
        <w:jc w:val="both"/>
        <w:rPr>
          <w:rFonts w:eastAsia="標楷體"/>
          <w:b/>
          <w:sz w:val="28"/>
          <w:szCs w:val="28"/>
        </w:rPr>
      </w:pPr>
      <w:r w:rsidRPr="00D55DC6">
        <w:rPr>
          <w:rFonts w:eastAsia="標楷體"/>
          <w:b/>
          <w:sz w:val="28"/>
          <w:szCs w:val="28"/>
        </w:rPr>
        <w:t>2-4-2</w:t>
      </w:r>
      <w:r w:rsidRPr="00D55DC6">
        <w:rPr>
          <w:rFonts w:eastAsia="標楷體"/>
          <w:b/>
          <w:sz w:val="28"/>
          <w:szCs w:val="28"/>
        </w:rPr>
        <w:t>行銷推廣</w:t>
      </w:r>
    </w:p>
    <w:p w:rsidR="00612A4B" w:rsidRPr="00D55DC6" w:rsidRDefault="00612A4B" w:rsidP="0038165F">
      <w:pPr>
        <w:snapToGrid w:val="0"/>
        <w:spacing w:line="460" w:lineRule="exact"/>
        <w:ind w:leftChars="627" w:left="2409" w:hangingChars="323" w:hanging="904"/>
        <w:jc w:val="both"/>
        <w:rPr>
          <w:rFonts w:eastAsia="標楷體"/>
          <w:sz w:val="28"/>
          <w:szCs w:val="28"/>
        </w:rPr>
      </w:pPr>
      <w:r w:rsidRPr="00D55DC6">
        <w:rPr>
          <w:rFonts w:eastAsia="標楷體"/>
          <w:sz w:val="28"/>
          <w:szCs w:val="28"/>
        </w:rPr>
        <w:t>2-4-2-1</w:t>
      </w:r>
      <w:r w:rsidRPr="00D55DC6">
        <w:rPr>
          <w:rFonts w:eastAsia="標楷體"/>
          <w:b/>
          <w:sz w:val="28"/>
          <w:szCs w:val="28"/>
        </w:rPr>
        <w:t>行銷推廣</w:t>
      </w:r>
      <w:r w:rsidRPr="00D55DC6">
        <w:rPr>
          <w:rFonts w:eastAsia="標楷體"/>
          <w:b/>
          <w:sz w:val="28"/>
          <w:szCs w:val="28"/>
        </w:rPr>
        <w:t>-</w:t>
      </w:r>
      <w:r w:rsidRPr="00D55DC6">
        <w:rPr>
          <w:rFonts w:eastAsia="標楷體"/>
          <w:b/>
          <w:sz w:val="28"/>
          <w:szCs w:val="28"/>
        </w:rPr>
        <w:t>輔導地方產業升級，東山咖啡上雲端</w:t>
      </w:r>
      <w:r w:rsidRPr="00D55DC6">
        <w:rPr>
          <w:rFonts w:eastAsia="標楷體"/>
          <w:sz w:val="28"/>
          <w:szCs w:val="28"/>
        </w:rPr>
        <w:t>：輔導咖啡、龍眼、芒果乾等</w:t>
      </w:r>
      <w:r w:rsidRPr="00D55DC6">
        <w:rPr>
          <w:rFonts w:eastAsia="標楷體"/>
          <w:sz w:val="28"/>
          <w:szCs w:val="28"/>
        </w:rPr>
        <w:t>10</w:t>
      </w:r>
      <w:r w:rsidRPr="00D55DC6">
        <w:rPr>
          <w:rFonts w:eastAsia="標楷體"/>
          <w:sz w:val="28"/>
          <w:szCs w:val="28"/>
        </w:rPr>
        <w:t>樣伴手禮改裝；另與華膳空廚合作研發咖啡入菜料理，讓山野間的料理及伴手禮飛上國際。</w:t>
      </w:r>
    </w:p>
    <w:p w:rsidR="00612A4B" w:rsidRPr="00D55DC6" w:rsidRDefault="00612A4B" w:rsidP="0038165F">
      <w:pPr>
        <w:snapToGrid w:val="0"/>
        <w:spacing w:line="460" w:lineRule="exact"/>
        <w:ind w:leftChars="627" w:left="2409" w:hangingChars="323" w:hanging="904"/>
        <w:jc w:val="both"/>
        <w:rPr>
          <w:rFonts w:eastAsia="標楷體"/>
          <w:sz w:val="28"/>
          <w:szCs w:val="28"/>
        </w:rPr>
      </w:pPr>
      <w:r w:rsidRPr="00D55DC6">
        <w:rPr>
          <w:rFonts w:eastAsia="標楷體"/>
          <w:sz w:val="28"/>
          <w:szCs w:val="28"/>
        </w:rPr>
        <w:t>2-4-2-2</w:t>
      </w:r>
      <w:r w:rsidRPr="00D55DC6">
        <w:rPr>
          <w:rFonts w:eastAsia="標楷體"/>
          <w:b/>
          <w:sz w:val="28"/>
          <w:szCs w:val="28"/>
        </w:rPr>
        <w:t>行銷推廣</w:t>
      </w:r>
      <w:r w:rsidRPr="00D55DC6">
        <w:rPr>
          <w:rFonts w:eastAsia="標楷體"/>
          <w:b/>
          <w:sz w:val="28"/>
          <w:szCs w:val="28"/>
        </w:rPr>
        <w:t>-</w:t>
      </w:r>
      <w:r w:rsidRPr="00D55DC6">
        <w:rPr>
          <w:rFonts w:eastAsia="標楷體"/>
          <w:b/>
          <w:sz w:val="28"/>
          <w:szCs w:val="28"/>
        </w:rPr>
        <w:t>與國道休息站合作設置服務櫃台</w:t>
      </w:r>
      <w:r w:rsidRPr="00D55DC6">
        <w:rPr>
          <w:rFonts w:eastAsia="標楷體"/>
          <w:sz w:val="28"/>
          <w:szCs w:val="28"/>
        </w:rPr>
        <w:t>：首創國家風景區與國道休息站合作，在東南亞最大公路服務區</w:t>
      </w:r>
      <w:r w:rsidRPr="00D55DC6">
        <w:rPr>
          <w:rFonts w:eastAsia="標楷體"/>
          <w:sz w:val="28"/>
          <w:szCs w:val="28"/>
        </w:rPr>
        <w:t>-</w:t>
      </w:r>
      <w:r w:rsidRPr="00D55DC6">
        <w:rPr>
          <w:rFonts w:eastAsia="標楷體"/>
          <w:sz w:val="28"/>
          <w:szCs w:val="28"/>
        </w:rPr>
        <w:t>東山休息站共設服務櫃臺。</w:t>
      </w:r>
    </w:p>
    <w:p w:rsidR="00612A4B" w:rsidRPr="00D55DC6" w:rsidRDefault="00612A4B" w:rsidP="0038165F">
      <w:pPr>
        <w:snapToGrid w:val="0"/>
        <w:spacing w:line="460" w:lineRule="exact"/>
        <w:ind w:leftChars="627" w:left="2409" w:hangingChars="323" w:hanging="904"/>
        <w:jc w:val="both"/>
        <w:rPr>
          <w:rFonts w:eastAsia="標楷體"/>
          <w:sz w:val="28"/>
          <w:szCs w:val="28"/>
        </w:rPr>
      </w:pPr>
      <w:r w:rsidRPr="00D55DC6">
        <w:rPr>
          <w:rFonts w:eastAsia="標楷體"/>
          <w:sz w:val="28"/>
          <w:szCs w:val="28"/>
        </w:rPr>
        <w:t>2-4-2-3</w:t>
      </w:r>
      <w:r w:rsidRPr="00D55DC6">
        <w:rPr>
          <w:rFonts w:eastAsia="標楷體"/>
          <w:b/>
          <w:sz w:val="28"/>
          <w:szCs w:val="28"/>
        </w:rPr>
        <w:t>行銷推廣</w:t>
      </w:r>
      <w:r w:rsidRPr="00D55DC6">
        <w:rPr>
          <w:rFonts w:eastAsia="標楷體"/>
          <w:b/>
          <w:sz w:val="28"/>
          <w:szCs w:val="28"/>
        </w:rPr>
        <w:t>-</w:t>
      </w:r>
      <w:r w:rsidRPr="00D55DC6">
        <w:rPr>
          <w:rFonts w:eastAsia="標楷體"/>
          <w:b/>
          <w:sz w:val="28"/>
          <w:szCs w:val="28"/>
        </w:rPr>
        <w:t>與網路購物平台合作：</w:t>
      </w:r>
      <w:r w:rsidRPr="00D55DC6">
        <w:rPr>
          <w:rFonts w:eastAsia="標楷體"/>
          <w:sz w:val="28"/>
          <w:szCs w:val="28"/>
        </w:rPr>
        <w:t>與</w:t>
      </w:r>
      <w:r w:rsidRPr="00D55DC6">
        <w:rPr>
          <w:rFonts w:eastAsia="標楷體"/>
          <w:sz w:val="28"/>
          <w:szCs w:val="28"/>
        </w:rPr>
        <w:t>yam</w:t>
      </w:r>
      <w:r w:rsidRPr="00D55DC6">
        <w:rPr>
          <w:rFonts w:eastAsia="標楷體"/>
          <w:sz w:val="28"/>
          <w:szCs w:val="28"/>
        </w:rPr>
        <w:t>（蕃薯藤）及</w:t>
      </w:r>
      <w:r w:rsidRPr="00D55DC6">
        <w:rPr>
          <w:rFonts w:eastAsia="標楷體"/>
          <w:sz w:val="28"/>
          <w:szCs w:val="28"/>
        </w:rPr>
        <w:t>7net</w:t>
      </w:r>
      <w:r w:rsidRPr="00D55DC6">
        <w:rPr>
          <w:rFonts w:eastAsia="標楷體"/>
          <w:sz w:val="28"/>
          <w:szCs w:val="28"/>
        </w:rPr>
        <w:t>合作，在</w:t>
      </w:r>
      <w:r w:rsidRPr="00D55DC6">
        <w:rPr>
          <w:rFonts w:eastAsia="標楷體"/>
          <w:sz w:val="28"/>
          <w:szCs w:val="28"/>
        </w:rPr>
        <w:t>2</w:t>
      </w:r>
      <w:r w:rsidRPr="00D55DC6">
        <w:rPr>
          <w:rFonts w:eastAsia="標楷體"/>
          <w:sz w:val="28"/>
          <w:szCs w:val="28"/>
        </w:rPr>
        <w:t>個網路購物平臺販售西拉雅輔導之伴手禮。</w:t>
      </w:r>
    </w:p>
    <w:p w:rsidR="00612A4B" w:rsidRPr="00D55DC6" w:rsidRDefault="00612A4B" w:rsidP="0038165F">
      <w:pPr>
        <w:snapToGrid w:val="0"/>
        <w:spacing w:line="460" w:lineRule="exact"/>
        <w:ind w:leftChars="627" w:left="2409" w:hangingChars="323" w:hanging="904"/>
        <w:jc w:val="both"/>
        <w:rPr>
          <w:rFonts w:eastAsia="標楷體"/>
          <w:sz w:val="28"/>
          <w:szCs w:val="28"/>
        </w:rPr>
      </w:pPr>
      <w:r w:rsidRPr="00D55DC6">
        <w:rPr>
          <w:rFonts w:eastAsia="標楷體"/>
          <w:sz w:val="28"/>
          <w:szCs w:val="28"/>
        </w:rPr>
        <w:t>2-4-2-4</w:t>
      </w:r>
      <w:r w:rsidRPr="00D55DC6">
        <w:rPr>
          <w:rFonts w:eastAsia="標楷體"/>
          <w:b/>
          <w:sz w:val="28"/>
          <w:szCs w:val="28"/>
        </w:rPr>
        <w:t>行銷推廣</w:t>
      </w:r>
      <w:r w:rsidRPr="00D55DC6">
        <w:rPr>
          <w:rFonts w:eastAsia="標楷體"/>
          <w:b/>
          <w:sz w:val="28"/>
          <w:szCs w:val="28"/>
        </w:rPr>
        <w:t>-</w:t>
      </w:r>
      <w:r w:rsidRPr="00D55DC6">
        <w:rPr>
          <w:rFonts w:eastAsia="標楷體"/>
          <w:b/>
          <w:sz w:val="28"/>
          <w:szCs w:val="28"/>
        </w:rPr>
        <w:t>共同舉辦「跨年三部曲」活動</w:t>
      </w:r>
      <w:r w:rsidRPr="00D55DC6">
        <w:rPr>
          <w:rFonts w:eastAsia="標楷體"/>
          <w:sz w:val="28"/>
          <w:szCs w:val="28"/>
        </w:rPr>
        <w:t>：與臺南市政府、</w:t>
      </w:r>
      <w:r w:rsidRPr="00D55DC6">
        <w:rPr>
          <w:rFonts w:eastAsia="標楷體"/>
          <w:sz w:val="28"/>
          <w:szCs w:val="28"/>
        </w:rPr>
        <w:lastRenderedPageBreak/>
        <w:t>雲嘉南濱海管理處共同辦理「臺南跨年三部曲</w:t>
      </w:r>
      <w:r w:rsidRPr="00D55DC6">
        <w:rPr>
          <w:rFonts w:eastAsia="標楷體"/>
          <w:sz w:val="28"/>
          <w:szCs w:val="28"/>
        </w:rPr>
        <w:t>-</w:t>
      </w:r>
      <w:r w:rsidRPr="00D55DC6">
        <w:rPr>
          <w:rFonts w:eastAsia="標楷體"/>
          <w:sz w:val="28"/>
          <w:szCs w:val="28"/>
        </w:rPr>
        <w:t>北門送夕陽、無煙火環保跨年晚會、二寮迎曙光」活動。</w:t>
      </w:r>
    </w:p>
    <w:p w:rsidR="00612A4B" w:rsidRPr="00D55DC6" w:rsidRDefault="00612A4B" w:rsidP="0038165F">
      <w:pPr>
        <w:snapToGrid w:val="0"/>
        <w:spacing w:line="460" w:lineRule="exact"/>
        <w:ind w:leftChars="627" w:left="1841" w:hangingChars="120" w:hanging="336"/>
        <w:jc w:val="both"/>
        <w:rPr>
          <w:rFonts w:eastAsia="標楷體"/>
          <w:sz w:val="28"/>
          <w:szCs w:val="28"/>
        </w:rPr>
      </w:pPr>
      <w:r w:rsidRPr="00D55DC6">
        <w:rPr>
          <w:rFonts w:eastAsia="標楷體"/>
          <w:sz w:val="28"/>
          <w:szCs w:val="28"/>
        </w:rPr>
        <w:t>2-4-2-5</w:t>
      </w:r>
      <w:r w:rsidRPr="00D55DC6">
        <w:rPr>
          <w:rFonts w:eastAsia="標楷體"/>
          <w:b/>
          <w:sz w:val="28"/>
          <w:szCs w:val="28"/>
        </w:rPr>
        <w:t>行銷推廣</w:t>
      </w:r>
      <w:r w:rsidRPr="00D55DC6">
        <w:rPr>
          <w:rFonts w:eastAsia="標楷體"/>
          <w:b/>
          <w:sz w:val="28"/>
          <w:szCs w:val="28"/>
        </w:rPr>
        <w:t>-</w:t>
      </w:r>
      <w:r w:rsidRPr="00D55DC6">
        <w:rPr>
          <w:rFonts w:eastAsia="標楷體"/>
          <w:b/>
          <w:sz w:val="28"/>
          <w:szCs w:val="28"/>
        </w:rPr>
        <w:t>舉辦各項行銷活動</w:t>
      </w:r>
      <w:r w:rsidRPr="00D55DC6">
        <w:rPr>
          <w:rFonts w:eastAsia="標楷體"/>
          <w:sz w:val="28"/>
          <w:szCs w:val="28"/>
        </w:rPr>
        <w:t>：辦理蝴蝶遊樂園系列活動、大埔瘋單車、走馬飛車等行銷活動。</w:t>
      </w:r>
      <w:r w:rsidRPr="00D55DC6">
        <w:rPr>
          <w:rFonts w:eastAsia="標楷體"/>
          <w:sz w:val="28"/>
          <w:szCs w:val="28"/>
        </w:rPr>
        <w:t xml:space="preserve"> </w:t>
      </w:r>
    </w:p>
    <w:p w:rsidR="00612A4B" w:rsidRPr="00D55DC6" w:rsidRDefault="00612A4B" w:rsidP="0038165F">
      <w:pPr>
        <w:snapToGrid w:val="0"/>
        <w:spacing w:line="460" w:lineRule="exact"/>
        <w:ind w:leftChars="627" w:left="1841" w:hangingChars="120" w:hanging="336"/>
        <w:jc w:val="both"/>
        <w:rPr>
          <w:rFonts w:eastAsia="標楷體"/>
          <w:sz w:val="28"/>
          <w:szCs w:val="28"/>
        </w:rPr>
      </w:pPr>
    </w:p>
    <w:p w:rsidR="009009E1" w:rsidRPr="00D55DC6" w:rsidRDefault="009009E1" w:rsidP="0038165F">
      <w:pPr>
        <w:snapToGrid w:val="0"/>
        <w:spacing w:line="460" w:lineRule="exact"/>
        <w:ind w:leftChars="627" w:left="1841" w:hangingChars="120" w:hanging="336"/>
        <w:jc w:val="both"/>
        <w:rPr>
          <w:rFonts w:eastAsia="標楷體"/>
          <w:sz w:val="28"/>
          <w:szCs w:val="28"/>
        </w:rPr>
      </w:pPr>
    </w:p>
    <w:p w:rsidR="00612A4B" w:rsidRPr="00D55DC6" w:rsidRDefault="00612A4B" w:rsidP="0038165F">
      <w:pPr>
        <w:numPr>
          <w:ilvl w:val="0"/>
          <w:numId w:val="1"/>
        </w:numPr>
        <w:snapToGrid w:val="0"/>
        <w:spacing w:line="460" w:lineRule="exact"/>
        <w:ind w:left="709" w:hanging="709"/>
        <w:jc w:val="both"/>
        <w:rPr>
          <w:rFonts w:eastAsia="標楷體"/>
          <w:b/>
          <w:sz w:val="28"/>
          <w:szCs w:val="28"/>
        </w:rPr>
      </w:pPr>
      <w:r w:rsidRPr="00D55DC6">
        <w:rPr>
          <w:rFonts w:eastAsia="標楷體"/>
          <w:b/>
          <w:sz w:val="28"/>
          <w:szCs w:val="28"/>
        </w:rPr>
        <w:t>執行策略及方法</w:t>
      </w:r>
    </w:p>
    <w:p w:rsidR="00612A4B" w:rsidRPr="00D55DC6" w:rsidRDefault="00612A4B" w:rsidP="004865C1">
      <w:pPr>
        <w:numPr>
          <w:ilvl w:val="0"/>
          <w:numId w:val="116"/>
        </w:numPr>
        <w:snapToGrid w:val="0"/>
        <w:spacing w:line="460" w:lineRule="exact"/>
        <w:jc w:val="both"/>
        <w:rPr>
          <w:rFonts w:eastAsia="標楷體"/>
          <w:b/>
          <w:sz w:val="28"/>
          <w:szCs w:val="28"/>
        </w:rPr>
      </w:pPr>
      <w:r w:rsidRPr="00D55DC6">
        <w:rPr>
          <w:rFonts w:eastAsia="標楷體"/>
          <w:b/>
          <w:sz w:val="28"/>
          <w:szCs w:val="28"/>
        </w:rPr>
        <w:t>執行策略</w:t>
      </w:r>
    </w:p>
    <w:p w:rsidR="00612A4B" w:rsidRPr="00D55DC6" w:rsidRDefault="00612A4B" w:rsidP="004865C1">
      <w:pPr>
        <w:numPr>
          <w:ilvl w:val="1"/>
          <w:numId w:val="116"/>
        </w:numPr>
        <w:snapToGrid w:val="0"/>
        <w:spacing w:line="460" w:lineRule="exact"/>
        <w:jc w:val="both"/>
        <w:rPr>
          <w:rFonts w:eastAsia="標楷體"/>
          <w:b/>
          <w:sz w:val="28"/>
          <w:szCs w:val="28"/>
        </w:rPr>
      </w:pPr>
      <w:r w:rsidRPr="00D55DC6">
        <w:rPr>
          <w:rFonts w:eastAsia="標楷體"/>
          <w:b/>
          <w:sz w:val="28"/>
          <w:szCs w:val="28"/>
        </w:rPr>
        <w:t>建設理念</w:t>
      </w:r>
    </w:p>
    <w:p w:rsidR="00612A4B" w:rsidRPr="00D55DC6" w:rsidRDefault="00612A4B" w:rsidP="0038165F">
      <w:pPr>
        <w:snapToGrid w:val="0"/>
        <w:spacing w:line="460" w:lineRule="exact"/>
        <w:ind w:left="864"/>
        <w:jc w:val="both"/>
        <w:rPr>
          <w:rFonts w:eastAsia="標楷體"/>
          <w:sz w:val="28"/>
          <w:szCs w:val="28"/>
        </w:rPr>
      </w:pPr>
      <w:r w:rsidRPr="00D55DC6">
        <w:rPr>
          <w:rFonts w:eastAsia="標楷體"/>
          <w:sz w:val="28"/>
          <w:szCs w:val="28"/>
        </w:rPr>
        <w:t>1-1</w:t>
      </w:r>
      <w:r w:rsidRPr="00D55DC6">
        <w:rPr>
          <w:rFonts w:eastAsia="標楷體"/>
          <w:sz w:val="28"/>
          <w:szCs w:val="28"/>
        </w:rPr>
        <w:t>考量遊憩供給與需求，觀光與生態發展兼顧</w:t>
      </w:r>
    </w:p>
    <w:p w:rsidR="00612A4B" w:rsidRPr="00D55DC6" w:rsidRDefault="00612A4B" w:rsidP="0038165F">
      <w:pPr>
        <w:snapToGrid w:val="0"/>
        <w:spacing w:line="460" w:lineRule="exact"/>
        <w:ind w:left="864"/>
        <w:jc w:val="both"/>
        <w:rPr>
          <w:rFonts w:eastAsia="標楷體"/>
          <w:sz w:val="28"/>
          <w:szCs w:val="28"/>
        </w:rPr>
      </w:pPr>
      <w:r w:rsidRPr="00D55DC6">
        <w:rPr>
          <w:rFonts w:eastAsia="標楷體"/>
          <w:sz w:val="28"/>
          <w:szCs w:val="28"/>
        </w:rPr>
        <w:t>1-2</w:t>
      </w:r>
      <w:r w:rsidRPr="00D55DC6">
        <w:rPr>
          <w:rFonts w:eastAsia="標楷體"/>
          <w:sz w:val="28"/>
          <w:szCs w:val="28"/>
        </w:rPr>
        <w:t>善用社會活力促進跨域加值，降低經營成本並提高自償率</w:t>
      </w:r>
    </w:p>
    <w:p w:rsidR="00612A4B" w:rsidRPr="00D55DC6" w:rsidRDefault="00612A4B" w:rsidP="0038165F">
      <w:pPr>
        <w:snapToGrid w:val="0"/>
        <w:spacing w:line="460" w:lineRule="exact"/>
        <w:ind w:left="864"/>
        <w:jc w:val="both"/>
        <w:rPr>
          <w:rFonts w:eastAsia="標楷體"/>
          <w:sz w:val="28"/>
          <w:szCs w:val="28"/>
        </w:rPr>
      </w:pPr>
      <w:r w:rsidRPr="00D55DC6">
        <w:rPr>
          <w:rFonts w:eastAsia="標楷體"/>
          <w:sz w:val="28"/>
          <w:szCs w:val="28"/>
        </w:rPr>
        <w:t>1-3</w:t>
      </w:r>
      <w:r w:rsidRPr="00D55DC6">
        <w:rPr>
          <w:rFonts w:eastAsia="標楷體"/>
          <w:sz w:val="28"/>
          <w:szCs w:val="28"/>
        </w:rPr>
        <w:t>發展鄉村旅遊，地方特色產業與觀光整合</w:t>
      </w:r>
    </w:p>
    <w:p w:rsidR="00612A4B" w:rsidRPr="00D55DC6" w:rsidRDefault="00612A4B" w:rsidP="004865C1">
      <w:pPr>
        <w:numPr>
          <w:ilvl w:val="1"/>
          <w:numId w:val="116"/>
        </w:numPr>
        <w:snapToGrid w:val="0"/>
        <w:spacing w:line="460" w:lineRule="exact"/>
        <w:jc w:val="both"/>
        <w:rPr>
          <w:rFonts w:eastAsia="標楷體"/>
          <w:b/>
          <w:sz w:val="28"/>
          <w:szCs w:val="28"/>
        </w:rPr>
      </w:pPr>
      <w:r w:rsidRPr="00D55DC6">
        <w:rPr>
          <w:rFonts w:eastAsia="標楷體"/>
          <w:b/>
          <w:sz w:val="28"/>
          <w:szCs w:val="28"/>
        </w:rPr>
        <w:t>執行策略</w:t>
      </w:r>
    </w:p>
    <w:p w:rsidR="00612A4B" w:rsidRPr="00D55DC6" w:rsidRDefault="00612A4B"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2-1</w:t>
      </w:r>
      <w:r w:rsidRPr="00D55DC6">
        <w:rPr>
          <w:rFonts w:eastAsia="標楷體"/>
          <w:sz w:val="28"/>
          <w:szCs w:val="28"/>
        </w:rPr>
        <w:t>依序將各層服務據點建設到位，穩定拓展第四層服務據點</w:t>
      </w:r>
    </w:p>
    <w:p w:rsidR="00612A4B" w:rsidRPr="00D55DC6" w:rsidRDefault="00612A4B"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2-2</w:t>
      </w:r>
      <w:r w:rsidRPr="00D55DC6">
        <w:rPr>
          <w:rFonts w:eastAsia="標楷體"/>
          <w:sz w:val="28"/>
          <w:szCs w:val="28"/>
        </w:rPr>
        <w:t>系統化建設經營行銷北中南三大據點，將尖峰時間、擁塞景點遊客分流</w:t>
      </w:r>
    </w:p>
    <w:p w:rsidR="00612A4B" w:rsidRPr="00D55DC6" w:rsidRDefault="00612A4B"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2-3</w:t>
      </w:r>
      <w:r w:rsidRPr="00D55DC6">
        <w:rPr>
          <w:rFonts w:eastAsia="標楷體"/>
          <w:sz w:val="28"/>
          <w:szCs w:val="28"/>
        </w:rPr>
        <w:t>擴大公共設施認養機制，以降低經營維護成本</w:t>
      </w:r>
    </w:p>
    <w:p w:rsidR="00612A4B" w:rsidRPr="00D55DC6" w:rsidRDefault="00612A4B"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2-4</w:t>
      </w:r>
      <w:r w:rsidRPr="00D55DC6">
        <w:rPr>
          <w:rFonts w:eastAsia="標楷體"/>
          <w:sz w:val="28"/>
          <w:szCs w:val="28"/>
        </w:rPr>
        <w:t>辦理產業輔導，建置繽紛的鄉村服務據點、辦理鄉村小旅行</w:t>
      </w:r>
    </w:p>
    <w:p w:rsidR="00612A4B" w:rsidRPr="00D55DC6" w:rsidRDefault="00612A4B"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2-5</w:t>
      </w:r>
      <w:r w:rsidRPr="00D55DC6">
        <w:rPr>
          <w:rFonts w:eastAsia="標楷體"/>
          <w:sz w:val="28"/>
          <w:szCs w:val="28"/>
        </w:rPr>
        <w:t>建立合作開發機制，擴大設施出租及促參機制</w:t>
      </w:r>
    </w:p>
    <w:p w:rsidR="00612A4B" w:rsidRPr="00D55DC6" w:rsidRDefault="00612A4B" w:rsidP="0038165F">
      <w:pPr>
        <w:snapToGrid w:val="0"/>
        <w:spacing w:line="460" w:lineRule="exact"/>
        <w:ind w:left="840"/>
        <w:jc w:val="both"/>
        <w:rPr>
          <w:rFonts w:eastAsia="標楷體"/>
          <w:sz w:val="28"/>
          <w:szCs w:val="28"/>
        </w:rPr>
      </w:pPr>
      <w:r w:rsidRPr="00D55DC6">
        <w:rPr>
          <w:rFonts w:eastAsia="標楷體"/>
          <w:sz w:val="28"/>
          <w:szCs w:val="28"/>
        </w:rPr>
        <w:t>2-6</w:t>
      </w:r>
      <w:r w:rsidRPr="00D55DC6">
        <w:rPr>
          <w:rFonts w:eastAsia="標楷體"/>
          <w:sz w:val="28"/>
          <w:szCs w:val="28"/>
        </w:rPr>
        <w:t>景點妝點及亮點化，增加自明性</w:t>
      </w:r>
    </w:p>
    <w:p w:rsidR="00612A4B" w:rsidRPr="00D55DC6" w:rsidRDefault="00612A4B" w:rsidP="0038165F">
      <w:pPr>
        <w:snapToGrid w:val="0"/>
        <w:spacing w:line="460" w:lineRule="exact"/>
        <w:ind w:leftChars="354" w:left="1273" w:hangingChars="151" w:hanging="423"/>
        <w:jc w:val="both"/>
        <w:rPr>
          <w:rFonts w:eastAsia="標楷體"/>
          <w:bCs/>
          <w:iCs/>
          <w:sz w:val="28"/>
          <w:szCs w:val="28"/>
        </w:rPr>
      </w:pPr>
      <w:r w:rsidRPr="00D55DC6">
        <w:rPr>
          <w:rFonts w:eastAsia="標楷體"/>
          <w:sz w:val="28"/>
          <w:szCs w:val="28"/>
        </w:rPr>
        <w:t>2-7</w:t>
      </w:r>
      <w:r w:rsidRPr="00D55DC6">
        <w:rPr>
          <w:rFonts w:eastAsia="標楷體"/>
          <w:bCs/>
          <w:iCs/>
          <w:sz w:val="28"/>
          <w:szCs w:val="28"/>
        </w:rPr>
        <w:t>強化「台灣好行」、「台灣觀巴」，及協調輔導地方自主提供接駁</w:t>
      </w:r>
    </w:p>
    <w:p w:rsidR="00612A4B" w:rsidRPr="00D55DC6" w:rsidRDefault="00612A4B" w:rsidP="0038165F">
      <w:pPr>
        <w:snapToGrid w:val="0"/>
        <w:spacing w:line="460" w:lineRule="exact"/>
        <w:ind w:leftChars="354" w:left="1273" w:hangingChars="151" w:hanging="423"/>
        <w:jc w:val="both"/>
        <w:rPr>
          <w:rFonts w:eastAsia="標楷體"/>
          <w:bCs/>
          <w:iCs/>
          <w:sz w:val="28"/>
          <w:szCs w:val="28"/>
        </w:rPr>
      </w:pPr>
    </w:p>
    <w:p w:rsidR="00612A4B" w:rsidRPr="00D55DC6" w:rsidRDefault="00612A4B" w:rsidP="004865C1">
      <w:pPr>
        <w:numPr>
          <w:ilvl w:val="0"/>
          <w:numId w:val="116"/>
        </w:numPr>
        <w:snapToGrid w:val="0"/>
        <w:spacing w:line="460" w:lineRule="exact"/>
        <w:jc w:val="both"/>
        <w:rPr>
          <w:rFonts w:eastAsia="標楷體"/>
          <w:b/>
          <w:sz w:val="28"/>
          <w:szCs w:val="28"/>
        </w:rPr>
      </w:pPr>
      <w:r w:rsidRPr="00D55DC6">
        <w:rPr>
          <w:rFonts w:eastAsia="標楷體"/>
          <w:b/>
          <w:sz w:val="28"/>
          <w:szCs w:val="28"/>
        </w:rPr>
        <w:t>主要工作項目</w:t>
      </w:r>
      <w:r w:rsidRPr="00D55DC6">
        <w:rPr>
          <w:rFonts w:eastAsia="標楷體"/>
          <w:b/>
          <w:sz w:val="28"/>
          <w:szCs w:val="28"/>
        </w:rPr>
        <w:t xml:space="preserve"> </w:t>
      </w:r>
    </w:p>
    <w:p w:rsidR="00612A4B" w:rsidRPr="00D55DC6" w:rsidRDefault="00612A4B" w:rsidP="004865C1">
      <w:pPr>
        <w:numPr>
          <w:ilvl w:val="1"/>
          <w:numId w:val="116"/>
        </w:numPr>
        <w:snapToGrid w:val="0"/>
        <w:spacing w:line="460" w:lineRule="exact"/>
        <w:jc w:val="both"/>
        <w:rPr>
          <w:rFonts w:eastAsia="標楷體"/>
          <w:b/>
          <w:sz w:val="28"/>
          <w:szCs w:val="28"/>
        </w:rPr>
      </w:pPr>
      <w:r w:rsidRPr="00D55DC6">
        <w:rPr>
          <w:rFonts w:eastAsia="標楷體"/>
          <w:b/>
          <w:sz w:val="28"/>
          <w:szCs w:val="28"/>
        </w:rPr>
        <w:t>國際觀光景點建設</w:t>
      </w:r>
    </w:p>
    <w:p w:rsidR="00612A4B" w:rsidRPr="00D55DC6" w:rsidRDefault="00612A4B"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1-1.</w:t>
      </w:r>
      <w:r w:rsidRPr="00D55DC6">
        <w:rPr>
          <w:rFonts w:eastAsia="標楷體"/>
          <w:sz w:val="28"/>
          <w:szCs w:val="28"/>
        </w:rPr>
        <w:t>關子嶺遊憩區：辦理關子嶺溫泉區、嶺頂資訊站、白河東山產業廊道等周邊景觀改善及公共設施新建及整建。</w:t>
      </w:r>
    </w:p>
    <w:p w:rsidR="00612A4B" w:rsidRPr="00D55DC6" w:rsidRDefault="00612A4B"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1-2.</w:t>
      </w:r>
      <w:r w:rsidRPr="00D55DC6">
        <w:rPr>
          <w:rFonts w:eastAsia="標楷體"/>
          <w:sz w:val="28"/>
          <w:szCs w:val="28"/>
        </w:rPr>
        <w:t>烏山頭遊憩區：辦理西拉雅行政中心、西拉雅遊客中心、烏山頭資訊站等周邊景觀改善及公共設施新建及整建。</w:t>
      </w:r>
    </w:p>
    <w:p w:rsidR="00612A4B" w:rsidRPr="00D55DC6" w:rsidRDefault="00612A4B" w:rsidP="004865C1">
      <w:pPr>
        <w:numPr>
          <w:ilvl w:val="1"/>
          <w:numId w:val="116"/>
        </w:numPr>
        <w:snapToGrid w:val="0"/>
        <w:spacing w:line="460" w:lineRule="exact"/>
        <w:jc w:val="both"/>
        <w:rPr>
          <w:rFonts w:eastAsia="標楷體"/>
          <w:b/>
          <w:sz w:val="28"/>
          <w:szCs w:val="28"/>
        </w:rPr>
      </w:pPr>
      <w:r w:rsidRPr="00D55DC6">
        <w:rPr>
          <w:rFonts w:eastAsia="標楷體"/>
          <w:b/>
          <w:sz w:val="28"/>
          <w:szCs w:val="28"/>
        </w:rPr>
        <w:t>國內觀光景點建設</w:t>
      </w:r>
    </w:p>
    <w:p w:rsidR="00612A4B" w:rsidRPr="00D55DC6" w:rsidRDefault="00612A4B"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2-1.</w:t>
      </w:r>
      <w:r w:rsidRPr="00D55DC6">
        <w:rPr>
          <w:rFonts w:eastAsia="標楷體"/>
          <w:sz w:val="28"/>
          <w:szCs w:val="28"/>
        </w:rPr>
        <w:t>曾文</w:t>
      </w:r>
      <w:r w:rsidRPr="00D55DC6">
        <w:rPr>
          <w:rFonts w:eastAsia="標楷體"/>
          <w:sz w:val="28"/>
          <w:szCs w:val="28"/>
        </w:rPr>
        <w:t>/</w:t>
      </w:r>
      <w:r w:rsidRPr="00D55DC6">
        <w:rPr>
          <w:rFonts w:eastAsia="標楷體"/>
          <w:sz w:val="28"/>
          <w:szCs w:val="28"/>
        </w:rPr>
        <w:t>中埔遊憩區：辦理大埔、中埔、玉井、楠西嶺等景觀改善及</w:t>
      </w:r>
      <w:r w:rsidRPr="00D55DC6">
        <w:rPr>
          <w:rFonts w:eastAsia="標楷體"/>
          <w:sz w:val="28"/>
          <w:szCs w:val="28"/>
        </w:rPr>
        <w:lastRenderedPageBreak/>
        <w:t>公共設施新、整建。</w:t>
      </w:r>
    </w:p>
    <w:p w:rsidR="00612A4B" w:rsidRPr="00D55DC6" w:rsidRDefault="00612A4B"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2-2.</w:t>
      </w:r>
      <w:r w:rsidRPr="00D55DC6">
        <w:rPr>
          <w:rFonts w:eastAsia="標楷體"/>
          <w:sz w:val="28"/>
          <w:szCs w:val="28"/>
        </w:rPr>
        <w:t>左鎮遊憩區：辦理二寮觀日亭、南化生態農場、南化遊客中心暨資訊站、左鎮、南化等景觀改善及公共設施新、整建。</w:t>
      </w:r>
    </w:p>
    <w:p w:rsidR="00612A4B" w:rsidRPr="00D55DC6" w:rsidRDefault="00612A4B"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2-3.</w:t>
      </w:r>
      <w:r w:rsidRPr="00D55DC6">
        <w:rPr>
          <w:rFonts w:eastAsia="標楷體"/>
          <w:sz w:val="28"/>
          <w:szCs w:val="28"/>
        </w:rPr>
        <w:t>虎頭埤遊憩區：大內、新化等景觀改善及公共設施新、整建。</w:t>
      </w:r>
    </w:p>
    <w:p w:rsidR="00612A4B" w:rsidRPr="00D55DC6" w:rsidRDefault="00612A4B" w:rsidP="004865C1">
      <w:pPr>
        <w:numPr>
          <w:ilvl w:val="1"/>
          <w:numId w:val="116"/>
        </w:numPr>
        <w:snapToGrid w:val="0"/>
        <w:spacing w:line="460" w:lineRule="exact"/>
        <w:jc w:val="both"/>
        <w:rPr>
          <w:rFonts w:eastAsia="標楷體"/>
          <w:b/>
          <w:sz w:val="28"/>
          <w:szCs w:val="28"/>
        </w:rPr>
      </w:pPr>
      <w:r w:rsidRPr="00D55DC6">
        <w:rPr>
          <w:rFonts w:eastAsia="標楷體"/>
          <w:b/>
          <w:sz w:val="28"/>
          <w:szCs w:val="28"/>
        </w:rPr>
        <w:t>經營管理</w:t>
      </w:r>
    </w:p>
    <w:p w:rsidR="00612A4B" w:rsidRPr="00D55DC6" w:rsidRDefault="00612A4B"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3-1.</w:t>
      </w:r>
      <w:r w:rsidRPr="00D55DC6">
        <w:rPr>
          <w:rFonts w:eastAsia="標楷體"/>
          <w:sz w:val="28"/>
          <w:szCs w:val="28"/>
        </w:rPr>
        <w:t>用地取得：辦理鑑界訂樁、測量、徵收價購、撥用、補償以及地上物清理等土地作業。</w:t>
      </w:r>
    </w:p>
    <w:p w:rsidR="00612A4B" w:rsidRPr="00D55DC6" w:rsidRDefault="00612A4B"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3-2.</w:t>
      </w:r>
      <w:r w:rsidRPr="00D55DC6">
        <w:rPr>
          <w:rFonts w:eastAsia="標楷體"/>
          <w:sz w:val="28"/>
          <w:szCs w:val="28"/>
        </w:rPr>
        <w:t>先期規劃設計：辦理遊憩據點規劃設計、資源調查監測、委託民間辦理評估作業、興辦事業計畫、工程建設設計等。</w:t>
      </w:r>
    </w:p>
    <w:p w:rsidR="00612A4B" w:rsidRPr="00D55DC6" w:rsidRDefault="00612A4B"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3-3.</w:t>
      </w:r>
      <w:r w:rsidRPr="00D55DC6">
        <w:rPr>
          <w:rFonts w:eastAsia="標楷體"/>
          <w:sz w:val="28"/>
          <w:szCs w:val="28"/>
        </w:rPr>
        <w:t>環境維護及設施維持：各遊憩據點清潔維護、建築物與設施定期巡查及保養。</w:t>
      </w:r>
    </w:p>
    <w:p w:rsidR="00612A4B" w:rsidRPr="00D55DC6" w:rsidRDefault="00612A4B"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3-4.</w:t>
      </w:r>
      <w:r w:rsidRPr="00D55DC6">
        <w:rPr>
          <w:rFonts w:eastAsia="標楷體"/>
          <w:sz w:val="28"/>
          <w:szCs w:val="28"/>
        </w:rPr>
        <w:t>全區災害復舊及一般零星工程：辦理全區災害緊急修繕及公共設施整修。</w:t>
      </w:r>
    </w:p>
    <w:p w:rsidR="00612A4B" w:rsidRPr="00D55DC6" w:rsidRDefault="00612A4B" w:rsidP="004865C1">
      <w:pPr>
        <w:numPr>
          <w:ilvl w:val="1"/>
          <w:numId w:val="116"/>
        </w:numPr>
        <w:snapToGrid w:val="0"/>
        <w:spacing w:line="460" w:lineRule="exact"/>
        <w:jc w:val="both"/>
        <w:rPr>
          <w:rFonts w:eastAsia="標楷體"/>
          <w:b/>
          <w:sz w:val="28"/>
          <w:szCs w:val="28"/>
        </w:rPr>
      </w:pPr>
      <w:r w:rsidRPr="00D55DC6">
        <w:rPr>
          <w:rFonts w:eastAsia="標楷體"/>
          <w:b/>
          <w:sz w:val="28"/>
          <w:szCs w:val="28"/>
        </w:rPr>
        <w:t>經營管理及行銷推廣</w:t>
      </w:r>
    </w:p>
    <w:p w:rsidR="00612A4B" w:rsidRPr="00D55DC6" w:rsidRDefault="00612A4B"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4-1.</w:t>
      </w:r>
      <w:r w:rsidRPr="00D55DC6">
        <w:rPr>
          <w:rFonts w:eastAsia="標楷體"/>
          <w:sz w:val="28"/>
          <w:szCs w:val="28"/>
        </w:rPr>
        <w:t>經營管理：設施巡查維護、環境維護及綠美化、推動設施認養機制、委由民間經營、辦理督導考核觀摩等。</w:t>
      </w:r>
    </w:p>
    <w:p w:rsidR="00612A4B" w:rsidRPr="00D55DC6" w:rsidRDefault="00612A4B"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4-2.</w:t>
      </w:r>
      <w:r w:rsidRPr="00D55DC6">
        <w:rPr>
          <w:rFonts w:eastAsia="標楷體"/>
          <w:sz w:val="28"/>
          <w:szCs w:val="28"/>
        </w:rPr>
        <w:t>行銷推廣：製作及編印各類導覽解說手冊及摺頁、依資源特色自辦多樣性行銷活動、與地方合辦行銷活動、輔導辦理產業特色小旅行。</w:t>
      </w:r>
    </w:p>
    <w:p w:rsidR="00612A4B" w:rsidRPr="00D55DC6" w:rsidRDefault="00612A4B" w:rsidP="004865C1">
      <w:pPr>
        <w:numPr>
          <w:ilvl w:val="1"/>
          <w:numId w:val="116"/>
        </w:numPr>
        <w:snapToGrid w:val="0"/>
        <w:spacing w:line="460" w:lineRule="exact"/>
        <w:jc w:val="both"/>
        <w:rPr>
          <w:rFonts w:eastAsia="標楷體"/>
          <w:b/>
          <w:sz w:val="28"/>
          <w:szCs w:val="28"/>
        </w:rPr>
      </w:pPr>
      <w:r w:rsidRPr="00D55DC6">
        <w:rPr>
          <w:rFonts w:eastAsia="標楷體"/>
          <w:b/>
          <w:sz w:val="28"/>
          <w:szCs w:val="28"/>
        </w:rPr>
        <w:t>提升觀光建設自償性</w:t>
      </w:r>
      <w:r w:rsidRPr="00D55DC6">
        <w:rPr>
          <w:rFonts w:eastAsia="標楷體"/>
          <w:b/>
          <w:sz w:val="28"/>
          <w:szCs w:val="28"/>
        </w:rPr>
        <w:t xml:space="preserve"> (</w:t>
      </w:r>
      <w:r w:rsidRPr="00D55DC6">
        <w:rPr>
          <w:rFonts w:eastAsia="標楷體"/>
          <w:b/>
          <w:sz w:val="28"/>
          <w:szCs w:val="28"/>
        </w:rPr>
        <w:t>包含獎勵民間投資、使用者付費、跨域合作</w:t>
      </w:r>
      <w:r w:rsidRPr="00D55DC6">
        <w:rPr>
          <w:rFonts w:eastAsia="標楷體"/>
          <w:b/>
          <w:sz w:val="28"/>
          <w:szCs w:val="28"/>
        </w:rPr>
        <w:t>)</w:t>
      </w:r>
    </w:p>
    <w:p w:rsidR="00612A4B" w:rsidRPr="00D55DC6" w:rsidRDefault="00612A4B"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5-1.</w:t>
      </w:r>
      <w:r w:rsidRPr="00D55DC6">
        <w:rPr>
          <w:rFonts w:eastAsia="標楷體"/>
          <w:sz w:val="28"/>
          <w:szCs w:val="28"/>
        </w:rPr>
        <w:t>設施出租：嶺頂公園服務區、紅葉公園賣店、梅嶺資訊站、南化遊客中心賣店、南化生態農場等。</w:t>
      </w:r>
    </w:p>
    <w:p w:rsidR="00612A4B" w:rsidRPr="00D55DC6" w:rsidRDefault="00612A4B"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5-2.</w:t>
      </w:r>
      <w:r w:rsidRPr="00D55DC6">
        <w:rPr>
          <w:rFonts w:eastAsia="標楷體"/>
          <w:sz w:val="28"/>
          <w:szCs w:val="28"/>
        </w:rPr>
        <w:t>促參：推動關子嶺旅館區</w:t>
      </w:r>
      <w:r w:rsidRPr="00D55DC6">
        <w:rPr>
          <w:rFonts w:eastAsia="標楷體"/>
          <w:sz w:val="28"/>
          <w:szCs w:val="28"/>
        </w:rPr>
        <w:t>BOT</w:t>
      </w:r>
      <w:r w:rsidRPr="00D55DC6">
        <w:rPr>
          <w:rFonts w:eastAsia="標楷體"/>
          <w:sz w:val="28"/>
          <w:szCs w:val="28"/>
        </w:rPr>
        <w:t>案、中崙溫泉區</w:t>
      </w:r>
      <w:r w:rsidRPr="00D55DC6">
        <w:rPr>
          <w:rFonts w:eastAsia="標楷體"/>
          <w:sz w:val="28"/>
          <w:szCs w:val="28"/>
        </w:rPr>
        <w:t>BOT</w:t>
      </w:r>
      <w:r w:rsidRPr="00D55DC6">
        <w:rPr>
          <w:rFonts w:eastAsia="標楷體"/>
          <w:sz w:val="28"/>
          <w:szCs w:val="28"/>
        </w:rPr>
        <w:t>案、官田遊憩區</w:t>
      </w:r>
      <w:r w:rsidRPr="00D55DC6">
        <w:rPr>
          <w:rFonts w:eastAsia="標楷體"/>
          <w:sz w:val="28"/>
          <w:szCs w:val="28"/>
        </w:rPr>
        <w:t>BOT</w:t>
      </w:r>
      <w:r w:rsidRPr="00D55DC6">
        <w:rPr>
          <w:rFonts w:eastAsia="標楷體"/>
          <w:sz w:val="28"/>
          <w:szCs w:val="28"/>
        </w:rPr>
        <w:t>案等。</w:t>
      </w:r>
    </w:p>
    <w:p w:rsidR="00612A4B" w:rsidRPr="00D55DC6" w:rsidRDefault="00612A4B" w:rsidP="0038165F">
      <w:pPr>
        <w:snapToGrid w:val="0"/>
        <w:spacing w:line="460" w:lineRule="exact"/>
        <w:ind w:leftChars="354" w:left="1273" w:hangingChars="151" w:hanging="423"/>
        <w:jc w:val="both"/>
        <w:rPr>
          <w:rFonts w:eastAsia="標楷體"/>
          <w:sz w:val="28"/>
          <w:szCs w:val="28"/>
        </w:rPr>
      </w:pPr>
      <w:r w:rsidRPr="00D55DC6">
        <w:rPr>
          <w:rFonts w:eastAsia="標楷體"/>
          <w:sz w:val="28"/>
          <w:szCs w:val="28"/>
        </w:rPr>
        <w:t>5-3.</w:t>
      </w:r>
      <w:r w:rsidRPr="00D55DC6">
        <w:rPr>
          <w:rFonts w:eastAsia="標楷體"/>
          <w:sz w:val="28"/>
          <w:szCs w:val="28"/>
        </w:rPr>
        <w:t>跨域合作：與據點辦理合作開發（走馬瀨農場、尖山埤水庫、烏山頭水庫等）。</w:t>
      </w:r>
    </w:p>
    <w:p w:rsidR="00612A4B" w:rsidRPr="00D55DC6" w:rsidRDefault="00612A4B" w:rsidP="0038165F">
      <w:pPr>
        <w:snapToGrid w:val="0"/>
        <w:spacing w:line="460" w:lineRule="exact"/>
        <w:ind w:left="840"/>
        <w:jc w:val="both"/>
        <w:rPr>
          <w:rFonts w:eastAsia="標楷體"/>
          <w:kern w:val="0"/>
          <w:sz w:val="28"/>
          <w:szCs w:val="28"/>
        </w:rPr>
      </w:pPr>
      <w:r w:rsidRPr="00D55DC6">
        <w:rPr>
          <w:rFonts w:eastAsia="標楷體"/>
          <w:sz w:val="28"/>
          <w:szCs w:val="28"/>
        </w:rPr>
        <w:t>5-4.</w:t>
      </w:r>
      <w:r w:rsidRPr="00D55DC6">
        <w:rPr>
          <w:rFonts w:eastAsia="標楷體"/>
          <w:sz w:val="28"/>
          <w:szCs w:val="28"/>
        </w:rPr>
        <w:t>創新收入</w:t>
      </w:r>
      <w:r w:rsidRPr="00D55DC6">
        <w:rPr>
          <w:rFonts w:eastAsia="標楷體"/>
          <w:kern w:val="0"/>
          <w:sz w:val="28"/>
          <w:szCs w:val="28"/>
        </w:rPr>
        <w:t>：包括文創品開發、廣告牆出租等。</w:t>
      </w:r>
    </w:p>
    <w:p w:rsidR="00612A4B" w:rsidRPr="00D55DC6" w:rsidRDefault="00612A4B" w:rsidP="0038165F">
      <w:pPr>
        <w:snapToGrid w:val="0"/>
        <w:spacing w:line="460" w:lineRule="exact"/>
        <w:ind w:left="840"/>
        <w:jc w:val="both"/>
        <w:rPr>
          <w:rFonts w:eastAsia="標楷體"/>
          <w:sz w:val="28"/>
          <w:szCs w:val="28"/>
        </w:rPr>
      </w:pPr>
    </w:p>
    <w:p w:rsidR="00612A4B" w:rsidRPr="00D55DC6" w:rsidRDefault="00612A4B" w:rsidP="004865C1">
      <w:pPr>
        <w:numPr>
          <w:ilvl w:val="0"/>
          <w:numId w:val="116"/>
        </w:numPr>
        <w:snapToGrid w:val="0"/>
        <w:spacing w:line="460" w:lineRule="exact"/>
        <w:jc w:val="both"/>
        <w:rPr>
          <w:rFonts w:eastAsia="標楷體"/>
          <w:b/>
          <w:sz w:val="28"/>
          <w:szCs w:val="28"/>
        </w:rPr>
      </w:pPr>
      <w:r w:rsidRPr="00D55DC6">
        <w:rPr>
          <w:rFonts w:eastAsia="標楷體"/>
          <w:b/>
          <w:sz w:val="28"/>
          <w:szCs w:val="28"/>
        </w:rPr>
        <w:t>分年預期成果</w:t>
      </w:r>
    </w:p>
    <w:p w:rsidR="00612A4B" w:rsidRPr="00D55DC6" w:rsidRDefault="00612A4B" w:rsidP="004865C1">
      <w:pPr>
        <w:numPr>
          <w:ilvl w:val="0"/>
          <w:numId w:val="117"/>
        </w:numPr>
        <w:snapToGrid w:val="0"/>
        <w:spacing w:line="460" w:lineRule="exact"/>
        <w:jc w:val="both"/>
        <w:rPr>
          <w:rFonts w:eastAsia="標楷體"/>
          <w:sz w:val="28"/>
          <w:szCs w:val="28"/>
        </w:rPr>
      </w:pPr>
      <w:r w:rsidRPr="00D55DC6">
        <w:rPr>
          <w:rFonts w:eastAsia="標楷體"/>
          <w:b/>
          <w:sz w:val="28"/>
          <w:szCs w:val="28"/>
        </w:rPr>
        <w:t>105</w:t>
      </w:r>
      <w:r w:rsidRPr="00D55DC6">
        <w:rPr>
          <w:rFonts w:eastAsia="標楷體"/>
          <w:b/>
          <w:sz w:val="28"/>
          <w:szCs w:val="28"/>
        </w:rPr>
        <w:t>年：</w:t>
      </w:r>
    </w:p>
    <w:p w:rsidR="00612A4B" w:rsidRPr="00D55DC6" w:rsidRDefault="00612A4B" w:rsidP="0038165F">
      <w:pPr>
        <w:snapToGrid w:val="0"/>
        <w:spacing w:line="460" w:lineRule="exact"/>
        <w:ind w:leftChars="294" w:left="1132" w:hangingChars="152" w:hanging="426"/>
        <w:jc w:val="both"/>
        <w:rPr>
          <w:rFonts w:eastAsia="標楷體"/>
          <w:sz w:val="28"/>
          <w:szCs w:val="28"/>
        </w:rPr>
      </w:pPr>
      <w:r w:rsidRPr="00D55DC6">
        <w:rPr>
          <w:rFonts w:eastAsia="標楷體"/>
          <w:b/>
          <w:sz w:val="28"/>
          <w:szCs w:val="28"/>
        </w:rPr>
        <w:lastRenderedPageBreak/>
        <w:t>1-1</w:t>
      </w:r>
      <w:r w:rsidRPr="00D55DC6">
        <w:rPr>
          <w:rFonts w:eastAsia="標楷體"/>
          <w:b/>
          <w:sz w:val="28"/>
          <w:szCs w:val="28"/>
        </w:rPr>
        <w:t>國際觀光景點建設</w:t>
      </w:r>
      <w:r w:rsidRPr="00D55DC6">
        <w:rPr>
          <w:rFonts w:eastAsia="標楷體"/>
          <w:b/>
          <w:sz w:val="28"/>
          <w:szCs w:val="28"/>
        </w:rPr>
        <w:t>-</w:t>
      </w:r>
      <w:r w:rsidRPr="00D55DC6">
        <w:rPr>
          <w:rFonts w:eastAsia="標楷體"/>
          <w:sz w:val="28"/>
          <w:szCs w:val="28"/>
        </w:rPr>
        <w:t>關子嶺風景區（嶺頂溫泉區）、烏山頭風景區景點建設（官田行政中心暨遊客中心、景觀改善）。</w:t>
      </w:r>
    </w:p>
    <w:p w:rsidR="00612A4B" w:rsidRPr="00D55DC6" w:rsidRDefault="00612A4B" w:rsidP="0038165F">
      <w:pPr>
        <w:snapToGrid w:val="0"/>
        <w:spacing w:line="460" w:lineRule="exact"/>
        <w:ind w:leftChars="294" w:left="1132" w:hangingChars="152" w:hanging="426"/>
        <w:jc w:val="both"/>
        <w:rPr>
          <w:rFonts w:eastAsia="標楷體"/>
          <w:sz w:val="28"/>
          <w:szCs w:val="28"/>
        </w:rPr>
      </w:pPr>
      <w:r w:rsidRPr="00D55DC6">
        <w:rPr>
          <w:rFonts w:eastAsia="標楷體"/>
          <w:b/>
          <w:sz w:val="28"/>
          <w:szCs w:val="28"/>
        </w:rPr>
        <w:t>1-2</w:t>
      </w:r>
      <w:r w:rsidRPr="00D55DC6">
        <w:rPr>
          <w:rFonts w:eastAsia="標楷體"/>
          <w:b/>
          <w:sz w:val="28"/>
          <w:szCs w:val="28"/>
        </w:rPr>
        <w:t>國內觀光景點建設</w:t>
      </w:r>
      <w:r w:rsidRPr="00D55DC6">
        <w:rPr>
          <w:rFonts w:eastAsia="標楷體"/>
          <w:b/>
          <w:sz w:val="28"/>
          <w:szCs w:val="28"/>
        </w:rPr>
        <w:t>-</w:t>
      </w:r>
      <w:r w:rsidRPr="00D55DC6">
        <w:rPr>
          <w:rFonts w:eastAsia="標楷體"/>
          <w:sz w:val="28"/>
          <w:szCs w:val="28"/>
        </w:rPr>
        <w:t>左鎮風景區、曾文</w:t>
      </w:r>
      <w:r w:rsidRPr="00D55DC6">
        <w:rPr>
          <w:rFonts w:eastAsia="標楷體"/>
          <w:sz w:val="28"/>
          <w:szCs w:val="28"/>
        </w:rPr>
        <w:t>/</w:t>
      </w:r>
      <w:r w:rsidRPr="00D55DC6">
        <w:rPr>
          <w:rFonts w:eastAsia="標楷體"/>
          <w:sz w:val="28"/>
          <w:szCs w:val="28"/>
        </w:rPr>
        <w:t>大埔風景區</w:t>
      </w:r>
      <w:r w:rsidRPr="00D55DC6">
        <w:rPr>
          <w:rFonts w:eastAsia="標楷體"/>
          <w:sz w:val="28"/>
          <w:szCs w:val="28"/>
        </w:rPr>
        <w:t>(</w:t>
      </w:r>
      <w:r w:rsidRPr="00D55DC6">
        <w:rPr>
          <w:rFonts w:eastAsia="標楷體"/>
          <w:sz w:val="28"/>
          <w:szCs w:val="28"/>
        </w:rPr>
        <w:t>中埔</w:t>
      </w:r>
      <w:r w:rsidRPr="00D55DC6">
        <w:rPr>
          <w:rFonts w:eastAsia="標楷體"/>
          <w:sz w:val="28"/>
          <w:szCs w:val="28"/>
        </w:rPr>
        <w:t>)</w:t>
      </w:r>
      <w:r w:rsidRPr="00D55DC6">
        <w:rPr>
          <w:rFonts w:eastAsia="標楷體"/>
          <w:sz w:val="28"/>
          <w:szCs w:val="28"/>
        </w:rPr>
        <w:t>改善旅遊服務設施，提升整體遊憩品質等。</w:t>
      </w:r>
    </w:p>
    <w:p w:rsidR="00612A4B" w:rsidRPr="00D55DC6" w:rsidRDefault="00612A4B" w:rsidP="004865C1">
      <w:pPr>
        <w:numPr>
          <w:ilvl w:val="0"/>
          <w:numId w:val="117"/>
        </w:numPr>
        <w:snapToGrid w:val="0"/>
        <w:spacing w:line="460" w:lineRule="exact"/>
        <w:jc w:val="both"/>
        <w:rPr>
          <w:rFonts w:eastAsia="標楷體"/>
          <w:b/>
          <w:sz w:val="28"/>
          <w:szCs w:val="28"/>
        </w:rPr>
      </w:pPr>
      <w:r w:rsidRPr="00D55DC6">
        <w:rPr>
          <w:rFonts w:eastAsia="標楷體"/>
          <w:b/>
          <w:sz w:val="28"/>
          <w:szCs w:val="28"/>
        </w:rPr>
        <w:t>106</w:t>
      </w:r>
      <w:r w:rsidRPr="00D55DC6">
        <w:rPr>
          <w:rFonts w:eastAsia="標楷體"/>
          <w:b/>
          <w:sz w:val="28"/>
          <w:szCs w:val="28"/>
        </w:rPr>
        <w:t>年：</w:t>
      </w:r>
    </w:p>
    <w:p w:rsidR="00612A4B" w:rsidRPr="00D55DC6" w:rsidRDefault="00612A4B" w:rsidP="0038165F">
      <w:pPr>
        <w:snapToGrid w:val="0"/>
        <w:spacing w:line="460" w:lineRule="exact"/>
        <w:ind w:leftChars="294" w:left="1132" w:hangingChars="152" w:hanging="426"/>
        <w:jc w:val="both"/>
        <w:rPr>
          <w:rFonts w:eastAsia="標楷體"/>
          <w:sz w:val="28"/>
          <w:szCs w:val="28"/>
        </w:rPr>
      </w:pPr>
      <w:r w:rsidRPr="00D55DC6">
        <w:rPr>
          <w:rFonts w:eastAsia="標楷體"/>
          <w:b/>
          <w:sz w:val="28"/>
          <w:szCs w:val="28"/>
        </w:rPr>
        <w:t>2-1</w:t>
      </w:r>
      <w:r w:rsidRPr="00D55DC6">
        <w:rPr>
          <w:rFonts w:eastAsia="標楷體"/>
          <w:b/>
          <w:sz w:val="28"/>
          <w:szCs w:val="28"/>
        </w:rPr>
        <w:t>國際觀光景點建設</w:t>
      </w:r>
      <w:r w:rsidRPr="00D55DC6">
        <w:rPr>
          <w:rFonts w:eastAsia="標楷體"/>
          <w:b/>
          <w:sz w:val="28"/>
          <w:szCs w:val="28"/>
        </w:rPr>
        <w:t>-</w:t>
      </w:r>
      <w:r w:rsidRPr="00D55DC6">
        <w:rPr>
          <w:rFonts w:eastAsia="標楷體"/>
          <w:sz w:val="28"/>
          <w:szCs w:val="28"/>
        </w:rPr>
        <w:t>烏山頭風景區景點建設（官田行政中心暨遊客中心、景觀改善）。</w:t>
      </w:r>
    </w:p>
    <w:p w:rsidR="00612A4B" w:rsidRPr="00D55DC6" w:rsidRDefault="00612A4B" w:rsidP="0038165F">
      <w:pPr>
        <w:snapToGrid w:val="0"/>
        <w:spacing w:line="460" w:lineRule="exact"/>
        <w:ind w:leftChars="294" w:left="1132" w:hangingChars="152" w:hanging="426"/>
        <w:jc w:val="both"/>
        <w:rPr>
          <w:rFonts w:eastAsia="標楷體"/>
          <w:b/>
          <w:sz w:val="28"/>
          <w:szCs w:val="28"/>
        </w:rPr>
      </w:pPr>
      <w:r w:rsidRPr="00D55DC6">
        <w:rPr>
          <w:rFonts w:eastAsia="標楷體"/>
          <w:b/>
          <w:sz w:val="28"/>
          <w:szCs w:val="28"/>
        </w:rPr>
        <w:t>2-2</w:t>
      </w:r>
      <w:r w:rsidRPr="00D55DC6">
        <w:rPr>
          <w:rFonts w:eastAsia="標楷體"/>
          <w:b/>
          <w:sz w:val="28"/>
          <w:szCs w:val="28"/>
        </w:rPr>
        <w:t>國內觀光景點建設</w:t>
      </w:r>
      <w:r w:rsidRPr="00D55DC6">
        <w:rPr>
          <w:rFonts w:eastAsia="標楷體"/>
          <w:b/>
          <w:sz w:val="28"/>
          <w:szCs w:val="28"/>
        </w:rPr>
        <w:t>-</w:t>
      </w:r>
      <w:r w:rsidRPr="00D55DC6">
        <w:rPr>
          <w:rFonts w:eastAsia="標楷體"/>
          <w:sz w:val="28"/>
          <w:szCs w:val="28"/>
        </w:rPr>
        <w:t>左鎮風景區</w:t>
      </w:r>
      <w:r w:rsidRPr="00D55DC6">
        <w:rPr>
          <w:rFonts w:eastAsia="標楷體"/>
          <w:sz w:val="28"/>
          <w:szCs w:val="28"/>
        </w:rPr>
        <w:t>(</w:t>
      </w:r>
      <w:r w:rsidRPr="00D55DC6">
        <w:rPr>
          <w:rFonts w:eastAsia="標楷體"/>
          <w:sz w:val="28"/>
          <w:szCs w:val="28"/>
        </w:rPr>
        <w:t>南化等</w:t>
      </w:r>
      <w:r w:rsidRPr="00D55DC6">
        <w:rPr>
          <w:rFonts w:eastAsia="標楷體"/>
          <w:sz w:val="28"/>
          <w:szCs w:val="28"/>
        </w:rPr>
        <w:t>)</w:t>
      </w:r>
      <w:r w:rsidRPr="00D55DC6">
        <w:rPr>
          <w:rFonts w:eastAsia="標楷體"/>
          <w:sz w:val="28"/>
          <w:szCs w:val="28"/>
        </w:rPr>
        <w:t>改善旅遊服務設施，提升整體遊憩品質等。</w:t>
      </w:r>
    </w:p>
    <w:p w:rsidR="00612A4B" w:rsidRPr="00D55DC6" w:rsidRDefault="00612A4B" w:rsidP="004865C1">
      <w:pPr>
        <w:numPr>
          <w:ilvl w:val="0"/>
          <w:numId w:val="117"/>
        </w:numPr>
        <w:snapToGrid w:val="0"/>
        <w:spacing w:line="460" w:lineRule="exact"/>
        <w:jc w:val="both"/>
        <w:rPr>
          <w:rFonts w:eastAsia="標楷體"/>
          <w:b/>
          <w:sz w:val="28"/>
          <w:szCs w:val="28"/>
        </w:rPr>
      </w:pPr>
      <w:r w:rsidRPr="00D55DC6">
        <w:rPr>
          <w:rFonts w:eastAsia="標楷體"/>
          <w:b/>
          <w:sz w:val="28"/>
          <w:szCs w:val="28"/>
        </w:rPr>
        <w:t>107</w:t>
      </w:r>
      <w:r w:rsidRPr="00D55DC6">
        <w:rPr>
          <w:rFonts w:eastAsia="標楷體"/>
          <w:b/>
          <w:sz w:val="28"/>
          <w:szCs w:val="28"/>
        </w:rPr>
        <w:t>年：</w:t>
      </w:r>
    </w:p>
    <w:p w:rsidR="00612A4B" w:rsidRPr="00D55DC6" w:rsidRDefault="00612A4B" w:rsidP="0038165F">
      <w:pPr>
        <w:snapToGrid w:val="0"/>
        <w:spacing w:line="460" w:lineRule="exact"/>
        <w:ind w:leftChars="294" w:left="1132" w:hangingChars="152" w:hanging="426"/>
        <w:jc w:val="both"/>
        <w:rPr>
          <w:rFonts w:eastAsia="標楷體"/>
          <w:sz w:val="28"/>
          <w:szCs w:val="28"/>
        </w:rPr>
      </w:pPr>
      <w:r w:rsidRPr="00D55DC6">
        <w:rPr>
          <w:rFonts w:eastAsia="標楷體"/>
          <w:b/>
          <w:sz w:val="28"/>
          <w:szCs w:val="28"/>
        </w:rPr>
        <w:t>3-1</w:t>
      </w:r>
      <w:r w:rsidRPr="00D55DC6">
        <w:rPr>
          <w:rFonts w:eastAsia="標楷體"/>
          <w:b/>
          <w:sz w:val="28"/>
          <w:szCs w:val="28"/>
        </w:rPr>
        <w:t>國際觀光景點建設</w:t>
      </w:r>
      <w:r w:rsidRPr="00D55DC6">
        <w:rPr>
          <w:rFonts w:eastAsia="標楷體"/>
          <w:sz w:val="28"/>
          <w:szCs w:val="28"/>
        </w:rPr>
        <w:t>-</w:t>
      </w:r>
      <w:r w:rsidRPr="00D55DC6">
        <w:rPr>
          <w:rFonts w:eastAsia="標楷體"/>
          <w:sz w:val="28"/>
          <w:szCs w:val="28"/>
        </w:rPr>
        <w:t>關子嶺風景區（白河東山廊道）、烏山頭風景區景點建設（官田遊客中心、景觀改善、烏山頭水庫）。</w:t>
      </w:r>
    </w:p>
    <w:p w:rsidR="00612A4B" w:rsidRPr="00D55DC6" w:rsidRDefault="00612A4B" w:rsidP="0038165F">
      <w:pPr>
        <w:snapToGrid w:val="0"/>
        <w:spacing w:line="460" w:lineRule="exact"/>
        <w:ind w:leftChars="294" w:left="1132" w:hangingChars="152" w:hanging="426"/>
        <w:jc w:val="both"/>
        <w:rPr>
          <w:rFonts w:eastAsia="標楷體"/>
          <w:b/>
          <w:sz w:val="28"/>
          <w:szCs w:val="28"/>
        </w:rPr>
      </w:pPr>
      <w:r w:rsidRPr="00D55DC6">
        <w:rPr>
          <w:rFonts w:eastAsia="標楷體"/>
          <w:b/>
          <w:sz w:val="28"/>
          <w:szCs w:val="28"/>
        </w:rPr>
        <w:t>3-2</w:t>
      </w:r>
      <w:r w:rsidRPr="00D55DC6">
        <w:rPr>
          <w:rFonts w:eastAsia="標楷體"/>
          <w:b/>
          <w:sz w:val="28"/>
          <w:szCs w:val="28"/>
        </w:rPr>
        <w:t>國內觀光景點建設</w:t>
      </w:r>
      <w:r w:rsidRPr="00D55DC6">
        <w:rPr>
          <w:rFonts w:eastAsia="標楷體"/>
          <w:sz w:val="28"/>
          <w:szCs w:val="28"/>
        </w:rPr>
        <w:t>-</w:t>
      </w:r>
      <w:r w:rsidRPr="00D55DC6">
        <w:rPr>
          <w:rFonts w:eastAsia="標楷體"/>
          <w:sz w:val="28"/>
          <w:szCs w:val="28"/>
        </w:rPr>
        <w:t>曾文</w:t>
      </w:r>
      <w:r w:rsidRPr="00D55DC6">
        <w:rPr>
          <w:rFonts w:eastAsia="標楷體"/>
          <w:sz w:val="28"/>
          <w:szCs w:val="28"/>
        </w:rPr>
        <w:t>/</w:t>
      </w:r>
      <w:r w:rsidRPr="00D55DC6">
        <w:rPr>
          <w:rFonts w:eastAsia="標楷體"/>
          <w:sz w:val="28"/>
          <w:szCs w:val="28"/>
        </w:rPr>
        <w:t>大埔風景區</w:t>
      </w:r>
      <w:r w:rsidRPr="00D55DC6">
        <w:rPr>
          <w:rFonts w:eastAsia="標楷體"/>
          <w:sz w:val="28"/>
          <w:szCs w:val="28"/>
        </w:rPr>
        <w:t>(</w:t>
      </w:r>
      <w:r w:rsidRPr="00D55DC6">
        <w:rPr>
          <w:rFonts w:eastAsia="標楷體"/>
          <w:sz w:val="28"/>
          <w:szCs w:val="28"/>
        </w:rPr>
        <w:t>中埔</w:t>
      </w:r>
      <w:r w:rsidRPr="00D55DC6">
        <w:rPr>
          <w:rFonts w:eastAsia="標楷體"/>
          <w:sz w:val="28"/>
          <w:szCs w:val="28"/>
        </w:rPr>
        <w:t>)</w:t>
      </w:r>
      <w:r w:rsidRPr="00D55DC6">
        <w:rPr>
          <w:rFonts w:eastAsia="標楷體"/>
          <w:sz w:val="28"/>
          <w:szCs w:val="28"/>
        </w:rPr>
        <w:t>改善旅遊服務設施，提升整體遊憩品質等。</w:t>
      </w:r>
    </w:p>
    <w:p w:rsidR="00612A4B" w:rsidRPr="00D55DC6" w:rsidRDefault="00612A4B" w:rsidP="004865C1">
      <w:pPr>
        <w:numPr>
          <w:ilvl w:val="0"/>
          <w:numId w:val="117"/>
        </w:numPr>
        <w:snapToGrid w:val="0"/>
        <w:spacing w:line="460" w:lineRule="exact"/>
        <w:jc w:val="both"/>
        <w:rPr>
          <w:rFonts w:eastAsia="標楷體"/>
          <w:b/>
          <w:sz w:val="28"/>
          <w:szCs w:val="28"/>
        </w:rPr>
      </w:pPr>
      <w:r w:rsidRPr="00D55DC6">
        <w:rPr>
          <w:rFonts w:eastAsia="標楷體"/>
          <w:b/>
          <w:sz w:val="28"/>
          <w:szCs w:val="28"/>
        </w:rPr>
        <w:t>108</w:t>
      </w:r>
      <w:r w:rsidRPr="00D55DC6">
        <w:rPr>
          <w:rFonts w:eastAsia="標楷體"/>
          <w:b/>
          <w:sz w:val="28"/>
          <w:szCs w:val="28"/>
        </w:rPr>
        <w:t>年：</w:t>
      </w:r>
    </w:p>
    <w:p w:rsidR="00612A4B" w:rsidRPr="00D55DC6" w:rsidRDefault="00612A4B" w:rsidP="0038165F">
      <w:pPr>
        <w:snapToGrid w:val="0"/>
        <w:spacing w:line="460" w:lineRule="exact"/>
        <w:ind w:leftChars="294" w:left="1132" w:hangingChars="152" w:hanging="426"/>
        <w:jc w:val="both"/>
        <w:rPr>
          <w:rFonts w:eastAsia="標楷體"/>
          <w:sz w:val="28"/>
          <w:szCs w:val="28"/>
        </w:rPr>
      </w:pPr>
      <w:r w:rsidRPr="00D55DC6">
        <w:rPr>
          <w:rFonts w:eastAsia="標楷體"/>
          <w:b/>
          <w:sz w:val="28"/>
          <w:szCs w:val="28"/>
        </w:rPr>
        <w:t>4-1</w:t>
      </w:r>
      <w:r w:rsidRPr="00D55DC6">
        <w:rPr>
          <w:rFonts w:eastAsia="標楷體"/>
          <w:b/>
          <w:sz w:val="28"/>
          <w:szCs w:val="28"/>
        </w:rPr>
        <w:t>國際觀光景點建設</w:t>
      </w:r>
      <w:r w:rsidRPr="00D55DC6">
        <w:rPr>
          <w:rFonts w:eastAsia="標楷體"/>
          <w:b/>
          <w:sz w:val="28"/>
          <w:szCs w:val="28"/>
        </w:rPr>
        <w:t>-</w:t>
      </w:r>
      <w:r w:rsidRPr="00D55DC6">
        <w:rPr>
          <w:rFonts w:eastAsia="標楷體"/>
          <w:sz w:val="28"/>
          <w:szCs w:val="28"/>
        </w:rPr>
        <w:t>關子嶺風景區（白河東山廊道）、烏山頭風景區景點建設（官田遊客中心、景觀改善、烏山頭水庫）。</w:t>
      </w:r>
    </w:p>
    <w:p w:rsidR="00612A4B" w:rsidRPr="00D55DC6" w:rsidRDefault="00612A4B" w:rsidP="0038165F">
      <w:pPr>
        <w:snapToGrid w:val="0"/>
        <w:spacing w:line="460" w:lineRule="exact"/>
        <w:ind w:leftChars="294" w:left="1132" w:hangingChars="152" w:hanging="426"/>
        <w:jc w:val="both"/>
        <w:rPr>
          <w:rFonts w:eastAsia="標楷體"/>
          <w:sz w:val="28"/>
          <w:szCs w:val="28"/>
        </w:rPr>
      </w:pPr>
      <w:r w:rsidRPr="00D55DC6">
        <w:rPr>
          <w:rFonts w:eastAsia="標楷體"/>
          <w:b/>
          <w:sz w:val="28"/>
          <w:szCs w:val="28"/>
        </w:rPr>
        <w:t>4-2</w:t>
      </w:r>
      <w:r w:rsidRPr="00D55DC6">
        <w:rPr>
          <w:rFonts w:eastAsia="標楷體"/>
          <w:b/>
          <w:sz w:val="28"/>
          <w:szCs w:val="28"/>
        </w:rPr>
        <w:t>國內觀光景點建設</w:t>
      </w:r>
      <w:r w:rsidRPr="00D55DC6">
        <w:rPr>
          <w:rFonts w:eastAsia="標楷體"/>
          <w:b/>
          <w:sz w:val="28"/>
          <w:szCs w:val="28"/>
        </w:rPr>
        <w:t>-</w:t>
      </w:r>
      <w:r w:rsidRPr="00D55DC6">
        <w:rPr>
          <w:rFonts w:eastAsia="標楷體"/>
          <w:sz w:val="28"/>
          <w:szCs w:val="28"/>
        </w:rPr>
        <w:t>曾文</w:t>
      </w:r>
      <w:r w:rsidRPr="00D55DC6">
        <w:rPr>
          <w:rFonts w:eastAsia="標楷體"/>
          <w:sz w:val="28"/>
          <w:szCs w:val="28"/>
        </w:rPr>
        <w:t>/</w:t>
      </w:r>
      <w:r w:rsidRPr="00D55DC6">
        <w:rPr>
          <w:rFonts w:eastAsia="標楷體"/>
          <w:sz w:val="28"/>
          <w:szCs w:val="28"/>
        </w:rPr>
        <w:t>大埔風景區</w:t>
      </w:r>
      <w:r w:rsidRPr="00D55DC6">
        <w:rPr>
          <w:rFonts w:eastAsia="標楷體"/>
          <w:sz w:val="28"/>
          <w:szCs w:val="28"/>
        </w:rPr>
        <w:t>(</w:t>
      </w:r>
      <w:r w:rsidRPr="00D55DC6">
        <w:rPr>
          <w:rFonts w:eastAsia="標楷體"/>
          <w:sz w:val="28"/>
          <w:szCs w:val="28"/>
        </w:rPr>
        <w:t>梅嶺等</w:t>
      </w:r>
      <w:r w:rsidRPr="00D55DC6">
        <w:rPr>
          <w:rFonts w:eastAsia="標楷體"/>
          <w:sz w:val="28"/>
          <w:szCs w:val="28"/>
        </w:rPr>
        <w:t>)</w:t>
      </w:r>
      <w:r w:rsidRPr="00D55DC6">
        <w:rPr>
          <w:rFonts w:eastAsia="標楷體"/>
          <w:sz w:val="28"/>
          <w:szCs w:val="28"/>
        </w:rPr>
        <w:t>、左鎮風景區</w:t>
      </w:r>
      <w:r w:rsidRPr="00D55DC6">
        <w:rPr>
          <w:rFonts w:eastAsia="標楷體"/>
          <w:sz w:val="28"/>
          <w:szCs w:val="28"/>
        </w:rPr>
        <w:t>(</w:t>
      </w:r>
      <w:r w:rsidRPr="00D55DC6">
        <w:rPr>
          <w:rFonts w:eastAsia="標楷體"/>
          <w:sz w:val="28"/>
          <w:szCs w:val="28"/>
        </w:rPr>
        <w:t>南化等</w:t>
      </w:r>
      <w:r w:rsidRPr="00D55DC6">
        <w:rPr>
          <w:rFonts w:eastAsia="標楷體"/>
          <w:sz w:val="28"/>
          <w:szCs w:val="28"/>
        </w:rPr>
        <w:t>)</w:t>
      </w:r>
      <w:r w:rsidRPr="00D55DC6">
        <w:rPr>
          <w:rFonts w:eastAsia="標楷體"/>
          <w:sz w:val="28"/>
          <w:szCs w:val="28"/>
        </w:rPr>
        <w:t>、虎頭埤風景區改善旅遊服務設施，提升整體遊憩品質等。</w:t>
      </w:r>
    </w:p>
    <w:p w:rsidR="00612A4B" w:rsidRPr="00D55DC6" w:rsidRDefault="00612A4B" w:rsidP="0038165F">
      <w:pPr>
        <w:snapToGrid w:val="0"/>
        <w:spacing w:line="460" w:lineRule="exact"/>
        <w:ind w:left="840"/>
        <w:jc w:val="both"/>
        <w:rPr>
          <w:rFonts w:eastAsia="標楷體"/>
          <w:b/>
          <w:sz w:val="28"/>
          <w:szCs w:val="28"/>
        </w:rPr>
      </w:pPr>
    </w:p>
    <w:p w:rsidR="009009E1" w:rsidRPr="00D55DC6" w:rsidRDefault="009009E1" w:rsidP="0038165F">
      <w:pPr>
        <w:snapToGrid w:val="0"/>
        <w:spacing w:line="460" w:lineRule="exact"/>
        <w:ind w:left="840"/>
        <w:jc w:val="both"/>
        <w:rPr>
          <w:rFonts w:eastAsia="標楷體"/>
          <w:b/>
          <w:sz w:val="28"/>
          <w:szCs w:val="28"/>
        </w:rPr>
      </w:pPr>
    </w:p>
    <w:p w:rsidR="00612A4B" w:rsidRPr="00D55DC6" w:rsidRDefault="00612A4B" w:rsidP="0038165F">
      <w:pPr>
        <w:numPr>
          <w:ilvl w:val="0"/>
          <w:numId w:val="1"/>
        </w:numPr>
        <w:snapToGrid w:val="0"/>
        <w:spacing w:line="460" w:lineRule="exact"/>
        <w:ind w:left="709" w:hanging="709"/>
        <w:jc w:val="both"/>
        <w:rPr>
          <w:rFonts w:eastAsia="標楷體"/>
          <w:b/>
          <w:sz w:val="28"/>
          <w:szCs w:val="28"/>
        </w:rPr>
      </w:pPr>
      <w:r w:rsidRPr="00D55DC6">
        <w:rPr>
          <w:rFonts w:eastAsia="標楷體"/>
          <w:b/>
          <w:sz w:val="28"/>
          <w:szCs w:val="28"/>
        </w:rPr>
        <w:t>期程與資源需求</w:t>
      </w:r>
    </w:p>
    <w:p w:rsidR="00612A4B" w:rsidRPr="00D55DC6" w:rsidRDefault="00612A4B" w:rsidP="004865C1">
      <w:pPr>
        <w:numPr>
          <w:ilvl w:val="0"/>
          <w:numId w:val="118"/>
        </w:numPr>
        <w:snapToGrid w:val="0"/>
        <w:spacing w:line="460" w:lineRule="exact"/>
        <w:jc w:val="both"/>
        <w:rPr>
          <w:rFonts w:eastAsia="標楷體"/>
          <w:b/>
          <w:sz w:val="28"/>
          <w:szCs w:val="28"/>
        </w:rPr>
      </w:pPr>
      <w:r w:rsidRPr="00D55DC6">
        <w:rPr>
          <w:rFonts w:eastAsia="標楷體"/>
          <w:b/>
          <w:sz w:val="28"/>
          <w:szCs w:val="28"/>
        </w:rPr>
        <w:t>計畫期程</w:t>
      </w:r>
    </w:p>
    <w:p w:rsidR="00612A4B" w:rsidRPr="00D55DC6" w:rsidRDefault="00612A4B" w:rsidP="0038165F">
      <w:pPr>
        <w:snapToGrid w:val="0"/>
        <w:spacing w:line="460" w:lineRule="exact"/>
        <w:ind w:left="864"/>
        <w:jc w:val="both"/>
        <w:rPr>
          <w:rFonts w:eastAsia="標楷體"/>
          <w:sz w:val="28"/>
          <w:szCs w:val="28"/>
        </w:rPr>
      </w:pPr>
      <w:r w:rsidRPr="00D55DC6">
        <w:rPr>
          <w:rFonts w:eastAsia="標楷體"/>
          <w:sz w:val="28"/>
          <w:szCs w:val="28"/>
        </w:rPr>
        <w:t>自</w:t>
      </w:r>
      <w:r w:rsidRPr="00D55DC6">
        <w:rPr>
          <w:rFonts w:eastAsia="標楷體"/>
          <w:sz w:val="28"/>
          <w:szCs w:val="28"/>
        </w:rPr>
        <w:t>105</w:t>
      </w:r>
      <w:r w:rsidRPr="00D55DC6">
        <w:rPr>
          <w:rFonts w:eastAsia="標楷體"/>
          <w:sz w:val="28"/>
          <w:szCs w:val="28"/>
        </w:rPr>
        <w:t>年至</w:t>
      </w:r>
      <w:r w:rsidRPr="00D55DC6">
        <w:rPr>
          <w:rFonts w:eastAsia="標楷體"/>
          <w:sz w:val="28"/>
          <w:szCs w:val="28"/>
        </w:rPr>
        <w:t>108</w:t>
      </w:r>
      <w:r w:rsidRPr="00D55DC6">
        <w:rPr>
          <w:rFonts w:eastAsia="標楷體"/>
          <w:sz w:val="28"/>
          <w:szCs w:val="28"/>
        </w:rPr>
        <w:t>年。</w:t>
      </w:r>
    </w:p>
    <w:p w:rsidR="00612A4B" w:rsidRPr="00D55DC6" w:rsidRDefault="00612A4B" w:rsidP="004865C1">
      <w:pPr>
        <w:numPr>
          <w:ilvl w:val="0"/>
          <w:numId w:val="118"/>
        </w:numPr>
        <w:snapToGrid w:val="0"/>
        <w:spacing w:line="460" w:lineRule="exact"/>
        <w:jc w:val="both"/>
        <w:rPr>
          <w:rFonts w:eastAsia="標楷體"/>
          <w:b/>
          <w:sz w:val="28"/>
          <w:szCs w:val="28"/>
        </w:rPr>
      </w:pPr>
      <w:r w:rsidRPr="00D55DC6">
        <w:rPr>
          <w:rFonts w:eastAsia="標楷體"/>
          <w:b/>
          <w:sz w:val="28"/>
          <w:szCs w:val="28"/>
        </w:rPr>
        <w:t>經費需求</w:t>
      </w:r>
      <w:r w:rsidRPr="00D55DC6">
        <w:rPr>
          <w:rFonts w:eastAsia="標楷體"/>
          <w:b/>
          <w:sz w:val="28"/>
          <w:szCs w:val="28"/>
        </w:rPr>
        <w:t>(</w:t>
      </w:r>
      <w:r w:rsidRPr="00D55DC6">
        <w:rPr>
          <w:rFonts w:eastAsia="標楷體"/>
          <w:b/>
          <w:sz w:val="28"/>
          <w:szCs w:val="28"/>
        </w:rPr>
        <w:t>含分年經費</w:t>
      </w:r>
      <w:r w:rsidRPr="00D55DC6">
        <w:rPr>
          <w:rFonts w:eastAsia="標楷體"/>
          <w:b/>
          <w:sz w:val="28"/>
          <w:szCs w:val="28"/>
        </w:rPr>
        <w:t>)</w:t>
      </w:r>
      <w:r w:rsidRPr="00D55DC6">
        <w:rPr>
          <w:rFonts w:eastAsia="標楷體"/>
          <w:b/>
          <w:sz w:val="28"/>
          <w:szCs w:val="28"/>
        </w:rPr>
        <w:t>及與中程歲出概算額度配合情形</w:t>
      </w:r>
    </w:p>
    <w:p w:rsidR="00486FAE" w:rsidRPr="00D55DC6" w:rsidRDefault="00D03EE9" w:rsidP="00486FAE">
      <w:pPr>
        <w:pStyle w:val="af2"/>
        <w:spacing w:line="460" w:lineRule="exact"/>
        <w:ind w:leftChars="0" w:left="864"/>
        <w:jc w:val="both"/>
        <w:rPr>
          <w:rFonts w:eastAsia="標楷體"/>
          <w:sz w:val="28"/>
          <w:szCs w:val="28"/>
        </w:rPr>
      </w:pPr>
      <w:r w:rsidRPr="00D55DC6">
        <w:rPr>
          <w:rFonts w:eastAsia="標楷體"/>
          <w:sz w:val="28"/>
          <w:szCs w:val="28"/>
        </w:rPr>
        <w:t>本計畫總經費為</w:t>
      </w:r>
      <w:r w:rsidRPr="00D55DC6">
        <w:rPr>
          <w:rFonts w:eastAsia="標楷體"/>
          <w:sz w:val="28"/>
          <w:szCs w:val="28"/>
        </w:rPr>
        <w:t>6</w:t>
      </w:r>
      <w:r w:rsidRPr="00D55DC6">
        <w:rPr>
          <w:rFonts w:eastAsia="標楷體"/>
          <w:sz w:val="28"/>
          <w:szCs w:val="28"/>
        </w:rPr>
        <w:t>億元，</w:t>
      </w:r>
      <w:r w:rsidR="00486FAE" w:rsidRPr="00D55DC6">
        <w:rPr>
          <w:rFonts w:eastAsia="標楷體"/>
          <w:sz w:val="28"/>
          <w:szCs w:val="28"/>
        </w:rPr>
        <w:t>經費需求（含分年經費）係與中程歲出概算額度相符，分年投資重點及經費需求如下：</w:t>
      </w:r>
      <w:r w:rsidR="00486FAE" w:rsidRPr="00D55DC6">
        <w:rPr>
          <w:rFonts w:eastAsia="標楷體"/>
          <w:sz w:val="28"/>
          <w:szCs w:val="28"/>
        </w:rPr>
        <w:t xml:space="preserve"> </w:t>
      </w:r>
    </w:p>
    <w:p w:rsidR="000C5765" w:rsidRPr="00D55DC6" w:rsidRDefault="000C5765" w:rsidP="00486FAE">
      <w:pPr>
        <w:pStyle w:val="af2"/>
        <w:spacing w:line="460" w:lineRule="exact"/>
        <w:ind w:leftChars="0" w:left="864"/>
        <w:jc w:val="both"/>
        <w:rPr>
          <w:rFonts w:eastAsia="標楷體"/>
          <w:sz w:val="28"/>
          <w:szCs w:val="28"/>
        </w:rPr>
      </w:pPr>
    </w:p>
    <w:p w:rsidR="009009E1" w:rsidRPr="00D55DC6" w:rsidRDefault="009009E1" w:rsidP="00486FAE">
      <w:pPr>
        <w:pStyle w:val="af2"/>
        <w:spacing w:line="460" w:lineRule="exact"/>
        <w:ind w:leftChars="0" w:left="864"/>
        <w:jc w:val="both"/>
        <w:rPr>
          <w:rFonts w:eastAsia="標楷體"/>
          <w:sz w:val="28"/>
          <w:szCs w:val="28"/>
        </w:rPr>
      </w:pPr>
    </w:p>
    <w:p w:rsidR="000C5765" w:rsidRPr="00D55DC6" w:rsidRDefault="000C5765" w:rsidP="00486FAE">
      <w:pPr>
        <w:pStyle w:val="af2"/>
        <w:spacing w:line="460" w:lineRule="exact"/>
        <w:ind w:leftChars="0" w:left="864"/>
        <w:jc w:val="both"/>
        <w:rPr>
          <w:rFonts w:eastAsia="標楷體"/>
          <w:sz w:val="28"/>
          <w:szCs w:val="28"/>
        </w:rPr>
      </w:pPr>
    </w:p>
    <w:p w:rsidR="00612A4B" w:rsidRPr="00D55DC6" w:rsidRDefault="00612A4B" w:rsidP="0038165F">
      <w:pPr>
        <w:snapToGrid w:val="0"/>
        <w:spacing w:line="460" w:lineRule="exact"/>
        <w:ind w:leftChars="354" w:left="850"/>
        <w:jc w:val="right"/>
        <w:rPr>
          <w:rFonts w:eastAsia="標楷體"/>
          <w:sz w:val="28"/>
          <w:szCs w:val="28"/>
        </w:rPr>
      </w:pPr>
      <w:r w:rsidRPr="00D55DC6">
        <w:rPr>
          <w:rFonts w:eastAsia="標楷體"/>
          <w:sz w:val="28"/>
          <w:szCs w:val="28"/>
        </w:rPr>
        <w:lastRenderedPageBreak/>
        <w:t>(</w:t>
      </w:r>
      <w:r w:rsidRPr="00D55DC6">
        <w:rPr>
          <w:rFonts w:eastAsia="標楷體"/>
          <w:sz w:val="28"/>
          <w:szCs w:val="28"/>
        </w:rPr>
        <w:t>單位：億元</w:t>
      </w:r>
      <w:r w:rsidRPr="00D55DC6">
        <w:rPr>
          <w:rFonts w:eastAsia="標楷體"/>
          <w:sz w:val="28"/>
          <w:szCs w:val="28"/>
        </w:rPr>
        <w:t>)</w:t>
      </w:r>
    </w:p>
    <w:tbl>
      <w:tblPr>
        <w:tblW w:w="10000" w:type="dxa"/>
        <w:tblInd w:w="13" w:type="dxa"/>
        <w:tblCellMar>
          <w:left w:w="28" w:type="dxa"/>
          <w:right w:w="28" w:type="dxa"/>
        </w:tblCellMar>
        <w:tblLook w:val="04A0" w:firstRow="1" w:lastRow="0" w:firstColumn="1" w:lastColumn="0" w:noHBand="0" w:noVBand="1"/>
      </w:tblPr>
      <w:tblGrid>
        <w:gridCol w:w="500"/>
        <w:gridCol w:w="791"/>
        <w:gridCol w:w="992"/>
        <w:gridCol w:w="2477"/>
        <w:gridCol w:w="760"/>
        <w:gridCol w:w="760"/>
        <w:gridCol w:w="800"/>
        <w:gridCol w:w="760"/>
        <w:gridCol w:w="720"/>
        <w:gridCol w:w="1440"/>
      </w:tblGrid>
      <w:tr w:rsidR="001D0350" w:rsidRPr="00D55DC6" w:rsidTr="008D5222">
        <w:trPr>
          <w:trHeight w:val="330"/>
          <w:tblHeader/>
        </w:trPr>
        <w:tc>
          <w:tcPr>
            <w:tcW w:w="500" w:type="dxa"/>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rsidR="00612A4B" w:rsidRPr="00D55DC6" w:rsidRDefault="00612A4B" w:rsidP="0038165F">
            <w:pPr>
              <w:widowControl/>
              <w:spacing w:line="240" w:lineRule="exact"/>
              <w:jc w:val="center"/>
              <w:rPr>
                <w:rFonts w:eastAsia="標楷體"/>
                <w:kern w:val="0"/>
              </w:rPr>
            </w:pPr>
            <w:r w:rsidRPr="00D55DC6">
              <w:rPr>
                <w:rFonts w:eastAsia="標楷體"/>
                <w:sz w:val="28"/>
                <w:szCs w:val="28"/>
              </w:rPr>
              <w:br w:type="page"/>
            </w:r>
            <w:r w:rsidRPr="00D55DC6">
              <w:rPr>
                <w:rFonts w:eastAsia="標楷體"/>
                <w:sz w:val="28"/>
                <w:szCs w:val="28"/>
              </w:rPr>
              <w:br w:type="page"/>
            </w:r>
            <w:r w:rsidRPr="00D55DC6">
              <w:rPr>
                <w:rFonts w:eastAsia="標楷體"/>
                <w:kern w:val="0"/>
              </w:rPr>
              <w:t>科目別</w:t>
            </w:r>
          </w:p>
        </w:tc>
        <w:tc>
          <w:tcPr>
            <w:tcW w:w="791" w:type="dxa"/>
            <w:tcBorders>
              <w:top w:val="single" w:sz="4" w:space="0" w:color="auto"/>
              <w:left w:val="nil"/>
              <w:bottom w:val="single" w:sz="4" w:space="0" w:color="auto"/>
              <w:right w:val="single" w:sz="4" w:space="0" w:color="auto"/>
            </w:tcBorders>
            <w:shd w:val="clear" w:color="000000" w:fill="FFFF99"/>
            <w:vAlign w:val="center"/>
            <w:hideMark/>
          </w:tcPr>
          <w:p w:rsidR="00612A4B" w:rsidRPr="00D55DC6" w:rsidRDefault="00612A4B" w:rsidP="0038165F">
            <w:pPr>
              <w:widowControl/>
              <w:spacing w:line="240" w:lineRule="exact"/>
              <w:jc w:val="center"/>
              <w:rPr>
                <w:rFonts w:eastAsia="標楷體"/>
                <w:kern w:val="0"/>
              </w:rPr>
            </w:pPr>
            <w:r w:rsidRPr="00D55DC6">
              <w:rPr>
                <w:rFonts w:eastAsia="標楷體"/>
                <w:kern w:val="0"/>
              </w:rPr>
              <w:t>1</w:t>
            </w:r>
            <w:r w:rsidRPr="00D55DC6">
              <w:rPr>
                <w:rFonts w:eastAsia="標楷體"/>
                <w:kern w:val="0"/>
              </w:rPr>
              <w:t>級</w:t>
            </w:r>
          </w:p>
        </w:tc>
        <w:tc>
          <w:tcPr>
            <w:tcW w:w="992" w:type="dxa"/>
            <w:tcBorders>
              <w:top w:val="single" w:sz="4" w:space="0" w:color="auto"/>
              <w:left w:val="nil"/>
              <w:bottom w:val="single" w:sz="4" w:space="0" w:color="auto"/>
              <w:right w:val="single" w:sz="4" w:space="0" w:color="auto"/>
            </w:tcBorders>
            <w:shd w:val="clear" w:color="000000" w:fill="FFFF99"/>
            <w:vAlign w:val="center"/>
            <w:hideMark/>
          </w:tcPr>
          <w:p w:rsidR="00612A4B" w:rsidRPr="00D55DC6" w:rsidRDefault="00612A4B" w:rsidP="0038165F">
            <w:pPr>
              <w:widowControl/>
              <w:spacing w:line="240" w:lineRule="exact"/>
              <w:jc w:val="center"/>
              <w:rPr>
                <w:rFonts w:eastAsia="標楷體"/>
                <w:kern w:val="0"/>
              </w:rPr>
            </w:pPr>
            <w:r w:rsidRPr="00D55DC6">
              <w:rPr>
                <w:rFonts w:eastAsia="標楷體"/>
                <w:kern w:val="0"/>
              </w:rPr>
              <w:t>2</w:t>
            </w:r>
            <w:r w:rsidRPr="00D55DC6">
              <w:rPr>
                <w:rFonts w:eastAsia="標楷體"/>
                <w:kern w:val="0"/>
              </w:rPr>
              <w:t>級</w:t>
            </w:r>
          </w:p>
        </w:tc>
        <w:tc>
          <w:tcPr>
            <w:tcW w:w="2477" w:type="dxa"/>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rsidR="00612A4B" w:rsidRPr="00D55DC6" w:rsidRDefault="00612A4B" w:rsidP="0038165F">
            <w:pPr>
              <w:widowControl/>
              <w:spacing w:line="240" w:lineRule="exact"/>
              <w:jc w:val="center"/>
              <w:rPr>
                <w:rFonts w:eastAsia="標楷體"/>
                <w:kern w:val="0"/>
              </w:rPr>
            </w:pPr>
            <w:r w:rsidRPr="00D55DC6">
              <w:rPr>
                <w:rFonts w:eastAsia="標楷體"/>
                <w:kern w:val="0"/>
              </w:rPr>
              <w:t>投資重點</w:t>
            </w:r>
          </w:p>
        </w:tc>
        <w:tc>
          <w:tcPr>
            <w:tcW w:w="760" w:type="dxa"/>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rsidR="00612A4B" w:rsidRPr="00D55DC6" w:rsidRDefault="00612A4B" w:rsidP="0038165F">
            <w:pPr>
              <w:widowControl/>
              <w:spacing w:line="240" w:lineRule="exact"/>
              <w:jc w:val="center"/>
              <w:rPr>
                <w:rFonts w:eastAsia="標楷體"/>
                <w:kern w:val="0"/>
              </w:rPr>
            </w:pPr>
            <w:r w:rsidRPr="00D55DC6">
              <w:rPr>
                <w:rFonts w:eastAsia="標楷體"/>
                <w:kern w:val="0"/>
              </w:rPr>
              <w:t>105</w:t>
            </w:r>
            <w:r w:rsidRPr="00D55DC6">
              <w:rPr>
                <w:rFonts w:eastAsia="標楷體"/>
                <w:kern w:val="0"/>
              </w:rPr>
              <w:t>年</w:t>
            </w:r>
          </w:p>
        </w:tc>
        <w:tc>
          <w:tcPr>
            <w:tcW w:w="760" w:type="dxa"/>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rsidR="00612A4B" w:rsidRPr="00D55DC6" w:rsidRDefault="00612A4B" w:rsidP="0038165F">
            <w:pPr>
              <w:widowControl/>
              <w:spacing w:line="240" w:lineRule="exact"/>
              <w:jc w:val="center"/>
              <w:rPr>
                <w:rFonts w:eastAsia="標楷體"/>
                <w:kern w:val="0"/>
              </w:rPr>
            </w:pPr>
            <w:r w:rsidRPr="00D55DC6">
              <w:rPr>
                <w:rFonts w:eastAsia="標楷體"/>
                <w:kern w:val="0"/>
              </w:rPr>
              <w:t>106</w:t>
            </w:r>
            <w:r w:rsidRPr="00D55DC6">
              <w:rPr>
                <w:rFonts w:eastAsia="標楷體"/>
                <w:kern w:val="0"/>
              </w:rPr>
              <w:t>年</w:t>
            </w:r>
          </w:p>
        </w:tc>
        <w:tc>
          <w:tcPr>
            <w:tcW w:w="800" w:type="dxa"/>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rsidR="00612A4B" w:rsidRPr="00D55DC6" w:rsidRDefault="00612A4B" w:rsidP="0038165F">
            <w:pPr>
              <w:widowControl/>
              <w:spacing w:line="240" w:lineRule="exact"/>
              <w:jc w:val="center"/>
              <w:rPr>
                <w:rFonts w:eastAsia="標楷體"/>
                <w:kern w:val="0"/>
              </w:rPr>
            </w:pPr>
            <w:r w:rsidRPr="00D55DC6">
              <w:rPr>
                <w:rFonts w:eastAsia="標楷體"/>
                <w:kern w:val="0"/>
              </w:rPr>
              <w:t>107</w:t>
            </w:r>
            <w:r w:rsidRPr="00D55DC6">
              <w:rPr>
                <w:rFonts w:eastAsia="標楷體"/>
                <w:kern w:val="0"/>
              </w:rPr>
              <w:t>年</w:t>
            </w:r>
          </w:p>
        </w:tc>
        <w:tc>
          <w:tcPr>
            <w:tcW w:w="760" w:type="dxa"/>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rsidR="00612A4B" w:rsidRPr="00D55DC6" w:rsidRDefault="00612A4B" w:rsidP="0038165F">
            <w:pPr>
              <w:widowControl/>
              <w:spacing w:line="240" w:lineRule="exact"/>
              <w:jc w:val="center"/>
              <w:rPr>
                <w:rFonts w:eastAsia="標楷體"/>
                <w:kern w:val="0"/>
              </w:rPr>
            </w:pPr>
            <w:r w:rsidRPr="00D55DC6">
              <w:rPr>
                <w:rFonts w:eastAsia="標楷體"/>
                <w:kern w:val="0"/>
              </w:rPr>
              <w:t>108</w:t>
            </w:r>
            <w:r w:rsidRPr="00D55DC6">
              <w:rPr>
                <w:rFonts w:eastAsia="標楷體"/>
                <w:kern w:val="0"/>
              </w:rPr>
              <w:t>年</w:t>
            </w:r>
          </w:p>
        </w:tc>
        <w:tc>
          <w:tcPr>
            <w:tcW w:w="720" w:type="dxa"/>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rsidR="00612A4B" w:rsidRPr="00D55DC6" w:rsidRDefault="00612A4B" w:rsidP="0038165F">
            <w:pPr>
              <w:widowControl/>
              <w:spacing w:line="240" w:lineRule="exact"/>
              <w:jc w:val="center"/>
              <w:rPr>
                <w:rFonts w:eastAsia="標楷體"/>
                <w:kern w:val="0"/>
              </w:rPr>
            </w:pPr>
            <w:r w:rsidRPr="00D55DC6">
              <w:rPr>
                <w:rFonts w:eastAsia="標楷體"/>
                <w:kern w:val="0"/>
              </w:rPr>
              <w:t>合計</w:t>
            </w:r>
          </w:p>
        </w:tc>
        <w:tc>
          <w:tcPr>
            <w:tcW w:w="1440" w:type="dxa"/>
            <w:vMerge w:val="restart"/>
            <w:tcBorders>
              <w:top w:val="single" w:sz="4" w:space="0" w:color="auto"/>
              <w:left w:val="single" w:sz="4" w:space="0" w:color="auto"/>
              <w:bottom w:val="single" w:sz="4" w:space="0" w:color="auto"/>
              <w:right w:val="single" w:sz="4" w:space="0" w:color="auto"/>
            </w:tcBorders>
            <w:shd w:val="clear" w:color="000000" w:fill="FFFF99"/>
            <w:vAlign w:val="center"/>
            <w:hideMark/>
          </w:tcPr>
          <w:p w:rsidR="00612A4B" w:rsidRPr="00D55DC6" w:rsidRDefault="00612A4B" w:rsidP="0038165F">
            <w:pPr>
              <w:widowControl/>
              <w:spacing w:line="280" w:lineRule="exact"/>
              <w:jc w:val="center"/>
              <w:rPr>
                <w:rFonts w:eastAsia="標楷體"/>
                <w:kern w:val="0"/>
              </w:rPr>
            </w:pPr>
            <w:r w:rsidRPr="00D55DC6">
              <w:rPr>
                <w:rFonts w:eastAsia="標楷體"/>
                <w:kern w:val="0"/>
              </w:rPr>
              <w:t>工作內容</w:t>
            </w:r>
          </w:p>
        </w:tc>
      </w:tr>
      <w:tr w:rsidR="001D0350" w:rsidRPr="00D55DC6" w:rsidTr="008D5222">
        <w:trPr>
          <w:trHeight w:val="330"/>
          <w:tblHeader/>
        </w:trPr>
        <w:tc>
          <w:tcPr>
            <w:tcW w:w="500" w:type="dxa"/>
            <w:vMerge/>
            <w:tcBorders>
              <w:top w:val="single" w:sz="4" w:space="0" w:color="auto"/>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91" w:type="dxa"/>
            <w:tcBorders>
              <w:top w:val="nil"/>
              <w:left w:val="nil"/>
              <w:bottom w:val="single" w:sz="4" w:space="0" w:color="auto"/>
              <w:right w:val="single" w:sz="4" w:space="0" w:color="auto"/>
            </w:tcBorders>
            <w:shd w:val="clear" w:color="000000" w:fill="FFFF99"/>
            <w:vAlign w:val="center"/>
            <w:hideMark/>
          </w:tcPr>
          <w:p w:rsidR="00612A4B" w:rsidRPr="00D55DC6" w:rsidRDefault="00612A4B" w:rsidP="0038165F">
            <w:pPr>
              <w:widowControl/>
              <w:spacing w:line="240" w:lineRule="exact"/>
              <w:jc w:val="center"/>
              <w:rPr>
                <w:rFonts w:eastAsia="標楷體"/>
                <w:kern w:val="0"/>
              </w:rPr>
            </w:pPr>
            <w:r w:rsidRPr="00D55DC6">
              <w:rPr>
                <w:rFonts w:eastAsia="標楷體"/>
                <w:kern w:val="0"/>
              </w:rPr>
              <w:t>用途別</w:t>
            </w:r>
          </w:p>
        </w:tc>
        <w:tc>
          <w:tcPr>
            <w:tcW w:w="992" w:type="dxa"/>
            <w:tcBorders>
              <w:top w:val="nil"/>
              <w:left w:val="nil"/>
              <w:bottom w:val="single" w:sz="4" w:space="0" w:color="auto"/>
              <w:right w:val="single" w:sz="4" w:space="0" w:color="auto"/>
            </w:tcBorders>
            <w:shd w:val="clear" w:color="000000" w:fill="FFFF99"/>
            <w:vAlign w:val="center"/>
            <w:hideMark/>
          </w:tcPr>
          <w:p w:rsidR="00612A4B" w:rsidRPr="00D55DC6" w:rsidRDefault="00612A4B" w:rsidP="0038165F">
            <w:pPr>
              <w:widowControl/>
              <w:spacing w:line="240" w:lineRule="exact"/>
              <w:jc w:val="center"/>
              <w:rPr>
                <w:rFonts w:eastAsia="標楷體"/>
                <w:kern w:val="0"/>
              </w:rPr>
            </w:pPr>
            <w:r w:rsidRPr="00D55DC6">
              <w:rPr>
                <w:rFonts w:eastAsia="標楷體"/>
                <w:kern w:val="0"/>
              </w:rPr>
              <w:t>用途別</w:t>
            </w:r>
          </w:p>
        </w:tc>
        <w:tc>
          <w:tcPr>
            <w:tcW w:w="2477" w:type="dxa"/>
            <w:vMerge/>
            <w:tcBorders>
              <w:top w:val="single" w:sz="4" w:space="0" w:color="auto"/>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612A4B" w:rsidRPr="00D55DC6" w:rsidRDefault="00612A4B" w:rsidP="0038165F">
            <w:pPr>
              <w:widowControl/>
              <w:spacing w:line="280" w:lineRule="exact"/>
              <w:rPr>
                <w:rFonts w:eastAsia="標楷體"/>
                <w:kern w:val="0"/>
              </w:rPr>
            </w:pPr>
          </w:p>
        </w:tc>
      </w:tr>
      <w:tr w:rsidR="001D0350" w:rsidRPr="00D55DC6" w:rsidTr="008D5222">
        <w:trPr>
          <w:trHeight w:val="525"/>
        </w:trPr>
        <w:tc>
          <w:tcPr>
            <w:tcW w:w="500" w:type="dxa"/>
            <w:vMerge w:val="restart"/>
            <w:tcBorders>
              <w:top w:val="nil"/>
              <w:left w:val="single" w:sz="4" w:space="0" w:color="auto"/>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center"/>
              <w:rPr>
                <w:rFonts w:eastAsia="標楷體"/>
                <w:kern w:val="0"/>
              </w:rPr>
            </w:pPr>
            <w:r w:rsidRPr="00D55DC6">
              <w:rPr>
                <w:rFonts w:eastAsia="標楷體"/>
                <w:kern w:val="0"/>
              </w:rPr>
              <w:t>經常門</w:t>
            </w:r>
          </w:p>
        </w:tc>
        <w:tc>
          <w:tcPr>
            <w:tcW w:w="791" w:type="dxa"/>
            <w:vMerge w:val="restart"/>
            <w:tcBorders>
              <w:top w:val="nil"/>
              <w:left w:val="single" w:sz="4" w:space="0" w:color="auto"/>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center"/>
              <w:rPr>
                <w:rFonts w:eastAsia="標楷體"/>
                <w:kern w:val="0"/>
              </w:rPr>
            </w:pPr>
            <w:r w:rsidRPr="00D55DC6">
              <w:rPr>
                <w:rFonts w:eastAsia="標楷體"/>
                <w:kern w:val="0"/>
              </w:rPr>
              <w:t>0200</w:t>
            </w:r>
            <w:r w:rsidRPr="00D55DC6">
              <w:rPr>
                <w:rFonts w:eastAsia="標楷體"/>
                <w:kern w:val="0"/>
              </w:rPr>
              <w:t>業務費</w:t>
            </w:r>
          </w:p>
        </w:tc>
        <w:tc>
          <w:tcPr>
            <w:tcW w:w="992" w:type="dxa"/>
            <w:vMerge w:val="restart"/>
            <w:tcBorders>
              <w:top w:val="nil"/>
              <w:left w:val="single" w:sz="4" w:space="0" w:color="auto"/>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rPr>
                <w:rFonts w:eastAsia="標楷體"/>
                <w:kern w:val="0"/>
              </w:rPr>
            </w:pPr>
            <w:r w:rsidRPr="00D55DC6">
              <w:rPr>
                <w:rFonts w:eastAsia="標楷體"/>
                <w:kern w:val="0"/>
              </w:rPr>
              <w:t>0284</w:t>
            </w:r>
            <w:r w:rsidRPr="00D55DC6">
              <w:rPr>
                <w:rFonts w:eastAsia="標楷體"/>
                <w:kern w:val="0"/>
              </w:rPr>
              <w:t>設施及機械設備養護費</w:t>
            </w:r>
          </w:p>
        </w:tc>
        <w:tc>
          <w:tcPr>
            <w:tcW w:w="2477"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rPr>
                <w:rFonts w:eastAsia="標楷體"/>
                <w:b/>
                <w:bCs/>
                <w:kern w:val="0"/>
              </w:rPr>
            </w:pPr>
            <w:r w:rsidRPr="00D55DC6">
              <w:rPr>
                <w:rFonts w:eastAsia="標楷體"/>
                <w:b/>
                <w:bCs/>
                <w:kern w:val="0"/>
              </w:rPr>
              <w:t>1.</w:t>
            </w:r>
            <w:r w:rsidRPr="00D55DC6">
              <w:rPr>
                <w:rFonts w:eastAsia="標楷體"/>
                <w:b/>
                <w:bCs/>
                <w:kern w:val="0"/>
              </w:rPr>
              <w:t>綠美化養護及設施零星修護</w:t>
            </w:r>
          </w:p>
        </w:tc>
        <w:tc>
          <w:tcPr>
            <w:tcW w:w="76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0.10</w:t>
            </w:r>
          </w:p>
        </w:tc>
        <w:tc>
          <w:tcPr>
            <w:tcW w:w="76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0.10</w:t>
            </w:r>
          </w:p>
        </w:tc>
        <w:tc>
          <w:tcPr>
            <w:tcW w:w="80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0.15</w:t>
            </w:r>
          </w:p>
        </w:tc>
        <w:tc>
          <w:tcPr>
            <w:tcW w:w="76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0.15</w:t>
            </w:r>
          </w:p>
        </w:tc>
        <w:tc>
          <w:tcPr>
            <w:tcW w:w="72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0.50</w:t>
            </w:r>
          </w:p>
        </w:tc>
        <w:tc>
          <w:tcPr>
            <w:tcW w:w="1440" w:type="dxa"/>
            <w:vMerge w:val="restart"/>
            <w:tcBorders>
              <w:top w:val="nil"/>
              <w:left w:val="single" w:sz="4" w:space="0" w:color="auto"/>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rPr>
                <w:rFonts w:eastAsia="標楷體"/>
                <w:kern w:val="0"/>
                <w:sz w:val="22"/>
                <w:szCs w:val="22"/>
              </w:rPr>
            </w:pPr>
            <w:r w:rsidRPr="00D55DC6">
              <w:rPr>
                <w:rFonts w:eastAsia="標楷體"/>
                <w:kern w:val="0"/>
                <w:sz w:val="22"/>
                <w:szCs w:val="22"/>
              </w:rPr>
              <w:t>植栽養護、零星修繕、各據點建物公共安全及消防檢測</w:t>
            </w:r>
          </w:p>
        </w:tc>
      </w:tr>
      <w:tr w:rsidR="001D0350" w:rsidRPr="00D55DC6" w:rsidTr="008D5222">
        <w:trPr>
          <w:trHeight w:val="579"/>
        </w:trPr>
        <w:tc>
          <w:tcPr>
            <w:tcW w:w="500"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91"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992"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2477"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center"/>
              <w:rPr>
                <w:rFonts w:eastAsia="標楷體"/>
                <w:b/>
                <w:bCs/>
                <w:kern w:val="0"/>
              </w:rPr>
            </w:pPr>
            <w:r w:rsidRPr="00D55DC6">
              <w:rPr>
                <w:rFonts w:eastAsia="標楷體"/>
                <w:b/>
                <w:bCs/>
                <w:kern w:val="0"/>
              </w:rPr>
              <w:t>經常門合計</w:t>
            </w:r>
          </w:p>
        </w:tc>
        <w:tc>
          <w:tcPr>
            <w:tcW w:w="76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0.10</w:t>
            </w:r>
          </w:p>
        </w:tc>
        <w:tc>
          <w:tcPr>
            <w:tcW w:w="76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0.10</w:t>
            </w:r>
          </w:p>
        </w:tc>
        <w:tc>
          <w:tcPr>
            <w:tcW w:w="80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0.15</w:t>
            </w:r>
          </w:p>
        </w:tc>
        <w:tc>
          <w:tcPr>
            <w:tcW w:w="76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0.15</w:t>
            </w:r>
          </w:p>
        </w:tc>
        <w:tc>
          <w:tcPr>
            <w:tcW w:w="72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0.50</w:t>
            </w:r>
          </w:p>
        </w:tc>
        <w:tc>
          <w:tcPr>
            <w:tcW w:w="1440"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sz w:val="22"/>
                <w:szCs w:val="22"/>
              </w:rPr>
            </w:pPr>
          </w:p>
        </w:tc>
      </w:tr>
      <w:tr w:rsidR="001D0350" w:rsidRPr="00D55DC6" w:rsidTr="008D5222">
        <w:trPr>
          <w:trHeight w:val="1235"/>
        </w:trPr>
        <w:tc>
          <w:tcPr>
            <w:tcW w:w="500" w:type="dxa"/>
            <w:vMerge w:val="restart"/>
            <w:tcBorders>
              <w:top w:val="nil"/>
              <w:left w:val="single" w:sz="4" w:space="0" w:color="auto"/>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center"/>
              <w:rPr>
                <w:rFonts w:eastAsia="標楷體"/>
                <w:kern w:val="0"/>
              </w:rPr>
            </w:pPr>
            <w:r w:rsidRPr="00D55DC6">
              <w:rPr>
                <w:rFonts w:eastAsia="標楷體"/>
                <w:kern w:val="0"/>
              </w:rPr>
              <w:t>資本門</w:t>
            </w:r>
          </w:p>
        </w:tc>
        <w:tc>
          <w:tcPr>
            <w:tcW w:w="791" w:type="dxa"/>
            <w:vMerge w:val="restart"/>
            <w:tcBorders>
              <w:top w:val="nil"/>
              <w:left w:val="single" w:sz="4" w:space="0" w:color="auto"/>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center"/>
              <w:rPr>
                <w:rFonts w:eastAsia="標楷體"/>
                <w:kern w:val="0"/>
              </w:rPr>
            </w:pPr>
            <w:r w:rsidRPr="00D55DC6">
              <w:rPr>
                <w:rFonts w:eastAsia="標楷體"/>
                <w:kern w:val="0"/>
              </w:rPr>
              <w:t>0300</w:t>
            </w:r>
            <w:r w:rsidRPr="00D55DC6">
              <w:rPr>
                <w:rFonts w:eastAsia="標楷體"/>
                <w:kern w:val="0"/>
              </w:rPr>
              <w:t>設備及投資</w:t>
            </w:r>
          </w:p>
        </w:tc>
        <w:tc>
          <w:tcPr>
            <w:tcW w:w="992"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rPr>
                <w:rFonts w:eastAsia="標楷體"/>
                <w:kern w:val="0"/>
              </w:rPr>
            </w:pPr>
            <w:r w:rsidRPr="00D55DC6">
              <w:rPr>
                <w:rFonts w:eastAsia="標楷體"/>
                <w:kern w:val="0"/>
              </w:rPr>
              <w:t>0301</w:t>
            </w:r>
            <w:r w:rsidRPr="00D55DC6">
              <w:rPr>
                <w:rFonts w:eastAsia="標楷體"/>
                <w:kern w:val="0"/>
              </w:rPr>
              <w:t>土地費</w:t>
            </w:r>
          </w:p>
        </w:tc>
        <w:tc>
          <w:tcPr>
            <w:tcW w:w="2477"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rPr>
                <w:rFonts w:eastAsia="標楷體"/>
                <w:b/>
                <w:bCs/>
                <w:kern w:val="0"/>
              </w:rPr>
            </w:pPr>
            <w:r w:rsidRPr="00D55DC6">
              <w:rPr>
                <w:rFonts w:eastAsia="標楷體"/>
                <w:b/>
                <w:bCs/>
                <w:kern w:val="0"/>
              </w:rPr>
              <w:t>1.</w:t>
            </w:r>
            <w:r w:rsidRPr="00D55DC6">
              <w:rPr>
                <w:rFonts w:eastAsia="標楷體"/>
                <w:b/>
                <w:bCs/>
                <w:kern w:val="0"/>
              </w:rPr>
              <w:t>土地取得</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0.05</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0.05</w:t>
            </w:r>
          </w:p>
        </w:tc>
        <w:tc>
          <w:tcPr>
            <w:tcW w:w="80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0.05</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0.05</w:t>
            </w:r>
          </w:p>
        </w:tc>
        <w:tc>
          <w:tcPr>
            <w:tcW w:w="72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0.20</w:t>
            </w:r>
          </w:p>
        </w:tc>
        <w:tc>
          <w:tcPr>
            <w:tcW w:w="1440" w:type="dxa"/>
            <w:tcBorders>
              <w:top w:val="nil"/>
              <w:left w:val="nil"/>
              <w:bottom w:val="nil"/>
              <w:right w:val="single" w:sz="4" w:space="0" w:color="auto"/>
            </w:tcBorders>
            <w:shd w:val="clear" w:color="auto" w:fill="auto"/>
            <w:vAlign w:val="center"/>
            <w:hideMark/>
          </w:tcPr>
          <w:p w:rsidR="00612A4B" w:rsidRPr="00D55DC6" w:rsidRDefault="00612A4B" w:rsidP="0038165F">
            <w:pPr>
              <w:widowControl/>
              <w:spacing w:line="240" w:lineRule="exact"/>
              <w:rPr>
                <w:rFonts w:eastAsia="標楷體"/>
                <w:kern w:val="0"/>
                <w:sz w:val="22"/>
                <w:szCs w:val="22"/>
              </w:rPr>
            </w:pPr>
            <w:r w:rsidRPr="00D55DC6">
              <w:rPr>
                <w:rFonts w:eastAsia="標楷體"/>
                <w:kern w:val="0"/>
                <w:sz w:val="22"/>
                <w:szCs w:val="22"/>
              </w:rPr>
              <w:t>訂樁、測量、徵收價購、撥用、補償以及地上物清理等土地作業</w:t>
            </w:r>
          </w:p>
        </w:tc>
      </w:tr>
      <w:tr w:rsidR="001D0350" w:rsidRPr="00D55DC6" w:rsidTr="008D5222">
        <w:trPr>
          <w:trHeight w:val="330"/>
        </w:trPr>
        <w:tc>
          <w:tcPr>
            <w:tcW w:w="500"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91"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992" w:type="dxa"/>
            <w:vMerge w:val="restart"/>
            <w:tcBorders>
              <w:top w:val="nil"/>
              <w:left w:val="single" w:sz="4" w:space="0" w:color="auto"/>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rPr>
                <w:rFonts w:eastAsia="標楷體"/>
                <w:kern w:val="0"/>
              </w:rPr>
            </w:pPr>
            <w:r w:rsidRPr="00D55DC6">
              <w:rPr>
                <w:rFonts w:eastAsia="標楷體"/>
                <w:kern w:val="0"/>
              </w:rPr>
              <w:t>0302</w:t>
            </w:r>
            <w:r w:rsidRPr="00D55DC6">
              <w:rPr>
                <w:rFonts w:eastAsia="標楷體"/>
                <w:kern w:val="0"/>
              </w:rPr>
              <w:t>房屋建築及設備費</w:t>
            </w:r>
          </w:p>
        </w:tc>
        <w:tc>
          <w:tcPr>
            <w:tcW w:w="2477"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rPr>
                <w:rFonts w:eastAsia="標楷體"/>
                <w:b/>
                <w:bCs/>
                <w:kern w:val="0"/>
              </w:rPr>
            </w:pPr>
            <w:r w:rsidRPr="00D55DC6">
              <w:rPr>
                <w:rFonts w:eastAsia="標楷體"/>
                <w:b/>
                <w:bCs/>
                <w:kern w:val="0"/>
              </w:rPr>
              <w:t>2.</w:t>
            </w:r>
            <w:r w:rsidRPr="00D55DC6">
              <w:rPr>
                <w:rFonts w:eastAsia="標楷體"/>
                <w:b/>
                <w:bCs/>
                <w:kern w:val="0"/>
              </w:rPr>
              <w:t>房屋建築及設備</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0.46</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0.46</w:t>
            </w:r>
          </w:p>
        </w:tc>
        <w:tc>
          <w:tcPr>
            <w:tcW w:w="80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0.36</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0.36</w:t>
            </w:r>
          </w:p>
        </w:tc>
        <w:tc>
          <w:tcPr>
            <w:tcW w:w="72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1.64</w:t>
            </w:r>
          </w:p>
        </w:tc>
        <w:tc>
          <w:tcPr>
            <w:tcW w:w="1440" w:type="dxa"/>
            <w:tcBorders>
              <w:top w:val="single" w:sz="4" w:space="0" w:color="auto"/>
              <w:left w:val="nil"/>
              <w:bottom w:val="nil"/>
              <w:right w:val="single" w:sz="4" w:space="0" w:color="auto"/>
            </w:tcBorders>
            <w:shd w:val="clear" w:color="auto" w:fill="auto"/>
            <w:vAlign w:val="center"/>
            <w:hideMark/>
          </w:tcPr>
          <w:p w:rsidR="00612A4B" w:rsidRPr="00D55DC6" w:rsidRDefault="00612A4B" w:rsidP="0038165F">
            <w:pPr>
              <w:widowControl/>
              <w:spacing w:line="240" w:lineRule="exact"/>
              <w:jc w:val="both"/>
              <w:rPr>
                <w:rFonts w:eastAsia="標楷體"/>
                <w:kern w:val="0"/>
                <w:sz w:val="22"/>
                <w:szCs w:val="22"/>
              </w:rPr>
            </w:pPr>
            <w:r w:rsidRPr="00D55DC6">
              <w:rPr>
                <w:rFonts w:eastAsia="標楷體"/>
                <w:kern w:val="0"/>
                <w:sz w:val="22"/>
                <w:szCs w:val="22"/>
              </w:rPr>
              <w:t xml:space="preserve">　</w:t>
            </w:r>
          </w:p>
        </w:tc>
      </w:tr>
      <w:tr w:rsidR="001D0350" w:rsidRPr="00D55DC6" w:rsidTr="008D5222">
        <w:trPr>
          <w:trHeight w:val="660"/>
        </w:trPr>
        <w:tc>
          <w:tcPr>
            <w:tcW w:w="500"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91"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992"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2477"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both"/>
              <w:rPr>
                <w:rFonts w:eastAsia="標楷體"/>
                <w:kern w:val="0"/>
              </w:rPr>
            </w:pPr>
            <w:r w:rsidRPr="00D55DC6">
              <w:rPr>
                <w:rFonts w:eastAsia="標楷體"/>
                <w:kern w:val="0"/>
              </w:rPr>
              <w:t>(1)</w:t>
            </w:r>
            <w:r w:rsidRPr="00D55DC6">
              <w:rPr>
                <w:rFonts w:eastAsia="標楷體"/>
                <w:kern w:val="0"/>
              </w:rPr>
              <w:t>國際觀光重要景點</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0.36</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0.36</w:t>
            </w:r>
          </w:p>
        </w:tc>
        <w:tc>
          <w:tcPr>
            <w:tcW w:w="80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0.26</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0.26</w:t>
            </w:r>
          </w:p>
        </w:tc>
        <w:tc>
          <w:tcPr>
            <w:tcW w:w="72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1.24</w:t>
            </w:r>
          </w:p>
        </w:tc>
        <w:tc>
          <w:tcPr>
            <w:tcW w:w="14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12A4B" w:rsidRPr="00D55DC6" w:rsidRDefault="00612A4B" w:rsidP="0038165F">
            <w:pPr>
              <w:widowControl/>
              <w:spacing w:line="240" w:lineRule="exact"/>
              <w:jc w:val="both"/>
              <w:rPr>
                <w:rFonts w:eastAsia="標楷體"/>
                <w:kern w:val="0"/>
                <w:sz w:val="22"/>
                <w:szCs w:val="22"/>
              </w:rPr>
            </w:pPr>
            <w:r w:rsidRPr="00D55DC6">
              <w:rPr>
                <w:rFonts w:eastAsia="標楷體"/>
                <w:kern w:val="0"/>
                <w:sz w:val="22"/>
                <w:szCs w:val="22"/>
              </w:rPr>
              <w:t>辦理嶺頂資訊站、行政中心、遊客中心、文化體驗資訊站。</w:t>
            </w:r>
          </w:p>
        </w:tc>
      </w:tr>
      <w:tr w:rsidR="001D0350" w:rsidRPr="00D55DC6" w:rsidTr="008D5222">
        <w:trPr>
          <w:trHeight w:val="330"/>
        </w:trPr>
        <w:tc>
          <w:tcPr>
            <w:tcW w:w="500"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91"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992"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2477"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rPr>
                <w:rFonts w:eastAsia="標楷體"/>
                <w:kern w:val="0"/>
              </w:rPr>
            </w:pPr>
            <w:r w:rsidRPr="00D55DC6">
              <w:rPr>
                <w:rFonts w:eastAsia="標楷體"/>
                <w:kern w:val="0"/>
              </w:rPr>
              <w:t>關子嶺遊憩區</w:t>
            </w:r>
          </w:p>
        </w:tc>
        <w:tc>
          <w:tcPr>
            <w:tcW w:w="760" w:type="dxa"/>
            <w:tcBorders>
              <w:top w:val="nil"/>
              <w:left w:val="nil"/>
              <w:bottom w:val="single" w:sz="4" w:space="0" w:color="auto"/>
              <w:right w:val="single" w:sz="4" w:space="0" w:color="auto"/>
            </w:tcBorders>
            <w:shd w:val="clear" w:color="auto" w:fill="auto"/>
            <w:noWrap/>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0.05</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0.05</w:t>
            </w:r>
          </w:p>
        </w:tc>
        <w:tc>
          <w:tcPr>
            <w:tcW w:w="80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0.05</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0.05</w:t>
            </w:r>
          </w:p>
        </w:tc>
        <w:tc>
          <w:tcPr>
            <w:tcW w:w="72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0.20</w:t>
            </w:r>
          </w:p>
        </w:tc>
        <w:tc>
          <w:tcPr>
            <w:tcW w:w="1440" w:type="dxa"/>
            <w:vMerge/>
            <w:tcBorders>
              <w:top w:val="single" w:sz="4" w:space="0" w:color="auto"/>
              <w:left w:val="single" w:sz="4" w:space="0" w:color="auto"/>
              <w:bottom w:val="single" w:sz="4" w:space="0" w:color="000000"/>
              <w:right w:val="single" w:sz="4" w:space="0" w:color="auto"/>
            </w:tcBorders>
            <w:vAlign w:val="center"/>
            <w:hideMark/>
          </w:tcPr>
          <w:p w:rsidR="00612A4B" w:rsidRPr="00D55DC6" w:rsidRDefault="00612A4B" w:rsidP="0038165F">
            <w:pPr>
              <w:widowControl/>
              <w:spacing w:line="240" w:lineRule="exact"/>
              <w:rPr>
                <w:rFonts w:eastAsia="標楷體"/>
                <w:kern w:val="0"/>
                <w:sz w:val="22"/>
                <w:szCs w:val="22"/>
              </w:rPr>
            </w:pPr>
          </w:p>
        </w:tc>
      </w:tr>
      <w:tr w:rsidR="001D0350" w:rsidRPr="00D55DC6" w:rsidTr="008D5222">
        <w:trPr>
          <w:trHeight w:val="209"/>
        </w:trPr>
        <w:tc>
          <w:tcPr>
            <w:tcW w:w="500"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91"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992"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2477"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rPr>
                <w:rFonts w:eastAsia="標楷體"/>
                <w:kern w:val="0"/>
              </w:rPr>
            </w:pPr>
            <w:r w:rsidRPr="00D55DC6">
              <w:rPr>
                <w:rFonts w:eastAsia="標楷體"/>
                <w:kern w:val="0"/>
              </w:rPr>
              <w:t>烏山頭遊憩區</w:t>
            </w:r>
          </w:p>
        </w:tc>
        <w:tc>
          <w:tcPr>
            <w:tcW w:w="760" w:type="dxa"/>
            <w:tcBorders>
              <w:top w:val="nil"/>
              <w:left w:val="nil"/>
              <w:bottom w:val="single" w:sz="4" w:space="0" w:color="auto"/>
              <w:right w:val="single" w:sz="4" w:space="0" w:color="auto"/>
            </w:tcBorders>
            <w:shd w:val="clear" w:color="auto" w:fill="auto"/>
            <w:noWrap/>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0.31</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0.31</w:t>
            </w:r>
          </w:p>
        </w:tc>
        <w:tc>
          <w:tcPr>
            <w:tcW w:w="80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0.21</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0.21</w:t>
            </w:r>
          </w:p>
        </w:tc>
        <w:tc>
          <w:tcPr>
            <w:tcW w:w="72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1.04</w:t>
            </w:r>
          </w:p>
        </w:tc>
        <w:tc>
          <w:tcPr>
            <w:tcW w:w="1440" w:type="dxa"/>
            <w:vMerge/>
            <w:tcBorders>
              <w:top w:val="single" w:sz="4" w:space="0" w:color="auto"/>
              <w:left w:val="single" w:sz="4" w:space="0" w:color="auto"/>
              <w:bottom w:val="single" w:sz="4" w:space="0" w:color="000000"/>
              <w:right w:val="single" w:sz="4" w:space="0" w:color="auto"/>
            </w:tcBorders>
            <w:vAlign w:val="center"/>
            <w:hideMark/>
          </w:tcPr>
          <w:p w:rsidR="00612A4B" w:rsidRPr="00D55DC6" w:rsidRDefault="00612A4B" w:rsidP="0038165F">
            <w:pPr>
              <w:widowControl/>
              <w:spacing w:line="240" w:lineRule="exact"/>
              <w:rPr>
                <w:rFonts w:eastAsia="標楷體"/>
                <w:kern w:val="0"/>
                <w:sz w:val="22"/>
                <w:szCs w:val="22"/>
              </w:rPr>
            </w:pPr>
          </w:p>
        </w:tc>
      </w:tr>
      <w:tr w:rsidR="001D0350" w:rsidRPr="00D55DC6" w:rsidTr="008D5222">
        <w:trPr>
          <w:trHeight w:val="241"/>
        </w:trPr>
        <w:tc>
          <w:tcPr>
            <w:tcW w:w="500"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91"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992"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2477"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rPr>
                <w:rFonts w:eastAsia="標楷體"/>
                <w:kern w:val="0"/>
              </w:rPr>
            </w:pPr>
            <w:r w:rsidRPr="00D55DC6">
              <w:rPr>
                <w:rFonts w:eastAsia="標楷體"/>
                <w:kern w:val="0"/>
              </w:rPr>
              <w:t>(2)</w:t>
            </w:r>
            <w:r w:rsidRPr="00D55DC6">
              <w:rPr>
                <w:rFonts w:eastAsia="標楷體"/>
                <w:kern w:val="0"/>
              </w:rPr>
              <w:t>國內觀光重要景點</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0.10</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0.10</w:t>
            </w:r>
          </w:p>
        </w:tc>
        <w:tc>
          <w:tcPr>
            <w:tcW w:w="80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0.10</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0.10</w:t>
            </w:r>
          </w:p>
        </w:tc>
        <w:tc>
          <w:tcPr>
            <w:tcW w:w="72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0.40</w:t>
            </w:r>
          </w:p>
        </w:tc>
        <w:tc>
          <w:tcPr>
            <w:tcW w:w="1440" w:type="dxa"/>
            <w:vMerge w:val="restart"/>
            <w:tcBorders>
              <w:top w:val="nil"/>
              <w:left w:val="single" w:sz="4" w:space="0" w:color="auto"/>
              <w:bottom w:val="single" w:sz="4" w:space="0" w:color="000000"/>
              <w:right w:val="single" w:sz="4" w:space="0" w:color="auto"/>
            </w:tcBorders>
            <w:shd w:val="clear" w:color="auto" w:fill="auto"/>
            <w:vAlign w:val="center"/>
            <w:hideMark/>
          </w:tcPr>
          <w:p w:rsidR="00612A4B" w:rsidRPr="00D55DC6" w:rsidRDefault="00612A4B" w:rsidP="0038165F">
            <w:pPr>
              <w:widowControl/>
              <w:spacing w:line="240" w:lineRule="exact"/>
              <w:jc w:val="both"/>
              <w:rPr>
                <w:rFonts w:eastAsia="標楷體"/>
                <w:kern w:val="0"/>
                <w:sz w:val="22"/>
                <w:szCs w:val="22"/>
              </w:rPr>
            </w:pPr>
            <w:r w:rsidRPr="00D55DC6">
              <w:rPr>
                <w:rFonts w:eastAsia="標楷體"/>
                <w:kern w:val="0"/>
                <w:sz w:val="22"/>
                <w:szCs w:val="22"/>
              </w:rPr>
              <w:t>辦理生態體驗資訊站</w:t>
            </w:r>
          </w:p>
        </w:tc>
      </w:tr>
      <w:tr w:rsidR="001D0350" w:rsidRPr="00D55DC6" w:rsidTr="008D5222">
        <w:trPr>
          <w:trHeight w:val="259"/>
        </w:trPr>
        <w:tc>
          <w:tcPr>
            <w:tcW w:w="500"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91"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992"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2477"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rPr>
                <w:rFonts w:eastAsia="標楷體"/>
                <w:kern w:val="0"/>
              </w:rPr>
            </w:pPr>
            <w:r w:rsidRPr="00D55DC6">
              <w:rPr>
                <w:rFonts w:eastAsia="標楷體"/>
                <w:kern w:val="0"/>
              </w:rPr>
              <w:t>左鎮遊憩區</w:t>
            </w:r>
          </w:p>
        </w:tc>
        <w:tc>
          <w:tcPr>
            <w:tcW w:w="760" w:type="dxa"/>
            <w:tcBorders>
              <w:top w:val="nil"/>
              <w:left w:val="nil"/>
              <w:bottom w:val="single" w:sz="4" w:space="0" w:color="auto"/>
              <w:right w:val="single" w:sz="4" w:space="0" w:color="auto"/>
            </w:tcBorders>
            <w:shd w:val="clear" w:color="auto" w:fill="auto"/>
            <w:noWrap/>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0.10</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0.10</w:t>
            </w:r>
          </w:p>
        </w:tc>
        <w:tc>
          <w:tcPr>
            <w:tcW w:w="80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0.10</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0.10</w:t>
            </w:r>
          </w:p>
        </w:tc>
        <w:tc>
          <w:tcPr>
            <w:tcW w:w="72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0.40</w:t>
            </w:r>
          </w:p>
        </w:tc>
        <w:tc>
          <w:tcPr>
            <w:tcW w:w="1440" w:type="dxa"/>
            <w:vMerge/>
            <w:tcBorders>
              <w:top w:val="nil"/>
              <w:left w:val="single" w:sz="4" w:space="0" w:color="auto"/>
              <w:bottom w:val="single" w:sz="4" w:space="0" w:color="000000"/>
              <w:right w:val="single" w:sz="4" w:space="0" w:color="auto"/>
            </w:tcBorders>
            <w:vAlign w:val="center"/>
            <w:hideMark/>
          </w:tcPr>
          <w:p w:rsidR="00612A4B" w:rsidRPr="00D55DC6" w:rsidRDefault="00612A4B" w:rsidP="0038165F">
            <w:pPr>
              <w:widowControl/>
              <w:spacing w:line="240" w:lineRule="exact"/>
              <w:rPr>
                <w:rFonts w:eastAsia="標楷體"/>
                <w:kern w:val="0"/>
                <w:sz w:val="22"/>
                <w:szCs w:val="22"/>
              </w:rPr>
            </w:pPr>
          </w:p>
        </w:tc>
      </w:tr>
      <w:tr w:rsidR="001D0350" w:rsidRPr="00D55DC6" w:rsidTr="008D5222">
        <w:trPr>
          <w:trHeight w:val="330"/>
        </w:trPr>
        <w:tc>
          <w:tcPr>
            <w:tcW w:w="500"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91"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992" w:type="dxa"/>
            <w:vMerge w:val="restart"/>
            <w:tcBorders>
              <w:top w:val="nil"/>
              <w:left w:val="single" w:sz="4" w:space="0" w:color="auto"/>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rPr>
                <w:rFonts w:eastAsia="標楷體"/>
                <w:kern w:val="0"/>
              </w:rPr>
            </w:pPr>
            <w:r w:rsidRPr="00D55DC6">
              <w:rPr>
                <w:rFonts w:eastAsia="標楷體"/>
                <w:kern w:val="0"/>
              </w:rPr>
              <w:t>0303</w:t>
            </w:r>
            <w:r w:rsidRPr="00D55DC6">
              <w:rPr>
                <w:rFonts w:eastAsia="標楷體"/>
                <w:kern w:val="0"/>
              </w:rPr>
              <w:t>公共建設及設施費</w:t>
            </w:r>
          </w:p>
        </w:tc>
        <w:tc>
          <w:tcPr>
            <w:tcW w:w="2477"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rPr>
                <w:rFonts w:eastAsia="標楷體"/>
                <w:b/>
                <w:bCs/>
                <w:kern w:val="0"/>
              </w:rPr>
            </w:pPr>
            <w:r w:rsidRPr="00D55DC6">
              <w:rPr>
                <w:rFonts w:eastAsia="標楷體"/>
                <w:b/>
                <w:bCs/>
                <w:kern w:val="0"/>
              </w:rPr>
              <w:t>3.</w:t>
            </w:r>
            <w:r w:rsidRPr="00D55DC6">
              <w:rPr>
                <w:rFonts w:eastAsia="標楷體"/>
                <w:b/>
                <w:bCs/>
                <w:kern w:val="0"/>
              </w:rPr>
              <w:t>公共建設及設施</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0.87</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0.87</w:t>
            </w:r>
          </w:p>
        </w:tc>
        <w:tc>
          <w:tcPr>
            <w:tcW w:w="80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0.92</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0.92</w:t>
            </w:r>
          </w:p>
        </w:tc>
        <w:tc>
          <w:tcPr>
            <w:tcW w:w="72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3.58</w:t>
            </w:r>
          </w:p>
        </w:tc>
        <w:tc>
          <w:tcPr>
            <w:tcW w:w="144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both"/>
              <w:rPr>
                <w:rFonts w:eastAsia="標楷體"/>
                <w:kern w:val="0"/>
                <w:sz w:val="22"/>
                <w:szCs w:val="22"/>
              </w:rPr>
            </w:pPr>
            <w:r w:rsidRPr="00D55DC6">
              <w:rPr>
                <w:rFonts w:eastAsia="標楷體"/>
                <w:kern w:val="0"/>
                <w:sz w:val="22"/>
                <w:szCs w:val="22"/>
              </w:rPr>
              <w:t xml:space="preserve">　</w:t>
            </w:r>
          </w:p>
        </w:tc>
      </w:tr>
      <w:tr w:rsidR="001D0350" w:rsidRPr="00D55DC6" w:rsidTr="008D5222">
        <w:trPr>
          <w:trHeight w:val="1509"/>
        </w:trPr>
        <w:tc>
          <w:tcPr>
            <w:tcW w:w="500" w:type="dxa"/>
            <w:vMerge/>
            <w:tcBorders>
              <w:top w:val="nil"/>
              <w:left w:val="single" w:sz="4" w:space="0" w:color="auto"/>
              <w:bottom w:val="single" w:sz="4" w:space="0" w:color="auto"/>
              <w:right w:val="single" w:sz="4" w:space="0" w:color="auto"/>
            </w:tcBorders>
            <w:vAlign w:val="center"/>
            <w:hideMark/>
          </w:tcPr>
          <w:p w:rsidR="00B27263" w:rsidRPr="00D55DC6" w:rsidRDefault="00B27263" w:rsidP="0038165F">
            <w:pPr>
              <w:widowControl/>
              <w:spacing w:line="240" w:lineRule="exact"/>
              <w:rPr>
                <w:rFonts w:eastAsia="標楷體"/>
                <w:kern w:val="0"/>
              </w:rPr>
            </w:pPr>
          </w:p>
        </w:tc>
        <w:tc>
          <w:tcPr>
            <w:tcW w:w="791" w:type="dxa"/>
            <w:vMerge/>
            <w:tcBorders>
              <w:top w:val="nil"/>
              <w:left w:val="single" w:sz="4" w:space="0" w:color="auto"/>
              <w:bottom w:val="single" w:sz="4" w:space="0" w:color="auto"/>
              <w:right w:val="single" w:sz="4" w:space="0" w:color="auto"/>
            </w:tcBorders>
            <w:vAlign w:val="center"/>
            <w:hideMark/>
          </w:tcPr>
          <w:p w:rsidR="00B27263" w:rsidRPr="00D55DC6" w:rsidRDefault="00B27263" w:rsidP="0038165F">
            <w:pPr>
              <w:widowControl/>
              <w:spacing w:line="240" w:lineRule="exact"/>
              <w:rPr>
                <w:rFonts w:eastAsia="標楷體"/>
                <w:kern w:val="0"/>
              </w:rPr>
            </w:pPr>
          </w:p>
        </w:tc>
        <w:tc>
          <w:tcPr>
            <w:tcW w:w="992" w:type="dxa"/>
            <w:vMerge/>
            <w:tcBorders>
              <w:top w:val="nil"/>
              <w:left w:val="single" w:sz="4" w:space="0" w:color="auto"/>
              <w:bottom w:val="single" w:sz="4" w:space="0" w:color="auto"/>
              <w:right w:val="single" w:sz="4" w:space="0" w:color="auto"/>
            </w:tcBorders>
            <w:vAlign w:val="center"/>
            <w:hideMark/>
          </w:tcPr>
          <w:p w:rsidR="00B27263" w:rsidRPr="00D55DC6" w:rsidRDefault="00B27263" w:rsidP="0038165F">
            <w:pPr>
              <w:widowControl/>
              <w:spacing w:line="240" w:lineRule="exact"/>
              <w:rPr>
                <w:rFonts w:eastAsia="標楷體"/>
                <w:kern w:val="0"/>
              </w:rPr>
            </w:pPr>
          </w:p>
        </w:tc>
        <w:tc>
          <w:tcPr>
            <w:tcW w:w="2477" w:type="dxa"/>
            <w:tcBorders>
              <w:top w:val="nil"/>
              <w:left w:val="nil"/>
              <w:bottom w:val="single" w:sz="4" w:space="0" w:color="auto"/>
              <w:right w:val="single" w:sz="4" w:space="0" w:color="auto"/>
            </w:tcBorders>
            <w:shd w:val="clear" w:color="000000" w:fill="CCFFCC"/>
            <w:vAlign w:val="center"/>
            <w:hideMark/>
          </w:tcPr>
          <w:p w:rsidR="00B27263" w:rsidRPr="00D55DC6" w:rsidRDefault="00B27263" w:rsidP="0038165F">
            <w:pPr>
              <w:widowControl/>
              <w:spacing w:line="240" w:lineRule="exact"/>
              <w:jc w:val="both"/>
              <w:rPr>
                <w:rFonts w:eastAsia="標楷體"/>
                <w:b/>
                <w:bCs/>
                <w:kern w:val="0"/>
              </w:rPr>
            </w:pPr>
            <w:r w:rsidRPr="00D55DC6">
              <w:rPr>
                <w:rFonts w:eastAsia="標楷體"/>
                <w:b/>
                <w:bCs/>
                <w:kern w:val="0"/>
              </w:rPr>
              <w:t>(1)</w:t>
            </w:r>
            <w:r w:rsidRPr="00D55DC6">
              <w:rPr>
                <w:rFonts w:eastAsia="標楷體"/>
                <w:b/>
                <w:bCs/>
                <w:kern w:val="0"/>
              </w:rPr>
              <w:t>先期規劃設計</w:t>
            </w:r>
          </w:p>
        </w:tc>
        <w:tc>
          <w:tcPr>
            <w:tcW w:w="760" w:type="dxa"/>
            <w:tcBorders>
              <w:top w:val="nil"/>
              <w:left w:val="nil"/>
              <w:bottom w:val="single" w:sz="4" w:space="0" w:color="auto"/>
              <w:right w:val="single" w:sz="4" w:space="0" w:color="auto"/>
            </w:tcBorders>
            <w:shd w:val="clear" w:color="000000" w:fill="CCFFCC"/>
            <w:vAlign w:val="center"/>
            <w:hideMark/>
          </w:tcPr>
          <w:p w:rsidR="00B27263" w:rsidRPr="00D55DC6" w:rsidRDefault="00B27263">
            <w:pPr>
              <w:widowControl/>
              <w:spacing w:line="240" w:lineRule="exact"/>
              <w:jc w:val="right"/>
              <w:rPr>
                <w:rFonts w:eastAsia="標楷體"/>
                <w:b/>
                <w:bCs/>
                <w:kern w:val="0"/>
              </w:rPr>
            </w:pPr>
            <w:r w:rsidRPr="00D55DC6">
              <w:rPr>
                <w:rFonts w:eastAsia="標楷體"/>
                <w:b/>
                <w:bCs/>
                <w:kern w:val="0"/>
              </w:rPr>
              <w:t>0.12</w:t>
            </w:r>
          </w:p>
        </w:tc>
        <w:tc>
          <w:tcPr>
            <w:tcW w:w="760" w:type="dxa"/>
            <w:tcBorders>
              <w:top w:val="nil"/>
              <w:left w:val="nil"/>
              <w:bottom w:val="single" w:sz="4" w:space="0" w:color="auto"/>
              <w:right w:val="single" w:sz="4" w:space="0" w:color="auto"/>
            </w:tcBorders>
            <w:shd w:val="clear" w:color="000000" w:fill="CCFFCC"/>
            <w:vAlign w:val="center"/>
            <w:hideMark/>
          </w:tcPr>
          <w:p w:rsidR="00B27263" w:rsidRPr="00D55DC6" w:rsidRDefault="00B27263">
            <w:pPr>
              <w:widowControl/>
              <w:spacing w:line="240" w:lineRule="exact"/>
              <w:jc w:val="right"/>
              <w:rPr>
                <w:rFonts w:eastAsia="標楷體"/>
                <w:b/>
                <w:bCs/>
                <w:kern w:val="0"/>
              </w:rPr>
            </w:pPr>
            <w:r w:rsidRPr="00D55DC6">
              <w:rPr>
                <w:rFonts w:eastAsia="標楷體"/>
                <w:b/>
                <w:bCs/>
                <w:kern w:val="0"/>
              </w:rPr>
              <w:t>0.12</w:t>
            </w:r>
          </w:p>
        </w:tc>
        <w:tc>
          <w:tcPr>
            <w:tcW w:w="800" w:type="dxa"/>
            <w:tcBorders>
              <w:top w:val="nil"/>
              <w:left w:val="nil"/>
              <w:bottom w:val="single" w:sz="4" w:space="0" w:color="auto"/>
              <w:right w:val="single" w:sz="4" w:space="0" w:color="auto"/>
            </w:tcBorders>
            <w:shd w:val="clear" w:color="000000" w:fill="CCFFCC"/>
            <w:vAlign w:val="center"/>
            <w:hideMark/>
          </w:tcPr>
          <w:p w:rsidR="00B27263" w:rsidRPr="00D55DC6" w:rsidRDefault="00B27263">
            <w:pPr>
              <w:widowControl/>
              <w:spacing w:line="240" w:lineRule="exact"/>
              <w:jc w:val="right"/>
              <w:rPr>
                <w:rFonts w:eastAsia="標楷體"/>
                <w:b/>
                <w:bCs/>
                <w:kern w:val="0"/>
              </w:rPr>
            </w:pPr>
            <w:r w:rsidRPr="00D55DC6">
              <w:rPr>
                <w:rFonts w:eastAsia="標楷體"/>
                <w:b/>
                <w:bCs/>
                <w:kern w:val="0"/>
              </w:rPr>
              <w:t>0.12</w:t>
            </w:r>
          </w:p>
        </w:tc>
        <w:tc>
          <w:tcPr>
            <w:tcW w:w="760" w:type="dxa"/>
            <w:tcBorders>
              <w:top w:val="nil"/>
              <w:left w:val="nil"/>
              <w:bottom w:val="single" w:sz="4" w:space="0" w:color="auto"/>
              <w:right w:val="single" w:sz="4" w:space="0" w:color="auto"/>
            </w:tcBorders>
            <w:shd w:val="clear" w:color="000000" w:fill="CCFFCC"/>
            <w:vAlign w:val="center"/>
            <w:hideMark/>
          </w:tcPr>
          <w:p w:rsidR="00B27263" w:rsidRPr="00D55DC6" w:rsidRDefault="00B27263">
            <w:pPr>
              <w:widowControl/>
              <w:spacing w:line="240" w:lineRule="exact"/>
              <w:jc w:val="right"/>
              <w:rPr>
                <w:rFonts w:eastAsia="標楷體"/>
                <w:b/>
                <w:bCs/>
                <w:kern w:val="0"/>
              </w:rPr>
            </w:pPr>
            <w:r w:rsidRPr="00D55DC6">
              <w:rPr>
                <w:rFonts w:eastAsia="標楷體"/>
                <w:b/>
                <w:bCs/>
                <w:kern w:val="0"/>
              </w:rPr>
              <w:t>0.12</w:t>
            </w:r>
          </w:p>
        </w:tc>
        <w:tc>
          <w:tcPr>
            <w:tcW w:w="720" w:type="dxa"/>
            <w:tcBorders>
              <w:top w:val="nil"/>
              <w:left w:val="nil"/>
              <w:bottom w:val="single" w:sz="4" w:space="0" w:color="auto"/>
              <w:right w:val="single" w:sz="4" w:space="0" w:color="auto"/>
            </w:tcBorders>
            <w:shd w:val="clear" w:color="000000" w:fill="CCFFFF"/>
            <w:vAlign w:val="center"/>
            <w:hideMark/>
          </w:tcPr>
          <w:p w:rsidR="00B27263" w:rsidRPr="00D55DC6" w:rsidRDefault="00B27263">
            <w:pPr>
              <w:widowControl/>
              <w:spacing w:line="240" w:lineRule="exact"/>
              <w:jc w:val="right"/>
              <w:rPr>
                <w:rFonts w:eastAsia="標楷體"/>
                <w:b/>
                <w:bCs/>
                <w:kern w:val="0"/>
              </w:rPr>
            </w:pPr>
            <w:r w:rsidRPr="00D55DC6">
              <w:rPr>
                <w:rFonts w:eastAsia="標楷體"/>
                <w:b/>
                <w:bCs/>
                <w:kern w:val="0"/>
              </w:rPr>
              <w:t>0.48</w:t>
            </w:r>
          </w:p>
        </w:tc>
        <w:tc>
          <w:tcPr>
            <w:tcW w:w="1440" w:type="dxa"/>
            <w:tcBorders>
              <w:top w:val="nil"/>
              <w:left w:val="nil"/>
              <w:bottom w:val="single" w:sz="4" w:space="0" w:color="auto"/>
              <w:right w:val="single" w:sz="4" w:space="0" w:color="auto"/>
            </w:tcBorders>
            <w:shd w:val="clear" w:color="auto" w:fill="auto"/>
            <w:vAlign w:val="center"/>
            <w:hideMark/>
          </w:tcPr>
          <w:p w:rsidR="00B27263" w:rsidRPr="00D55DC6" w:rsidRDefault="00B27263">
            <w:pPr>
              <w:widowControl/>
              <w:spacing w:line="240" w:lineRule="exact"/>
              <w:jc w:val="both"/>
              <w:rPr>
                <w:rFonts w:eastAsia="標楷體"/>
                <w:kern w:val="0"/>
                <w:sz w:val="22"/>
                <w:szCs w:val="22"/>
              </w:rPr>
            </w:pPr>
            <w:r w:rsidRPr="00D55DC6">
              <w:rPr>
                <w:rFonts w:eastAsia="標楷體"/>
                <w:kern w:val="0"/>
                <w:sz w:val="22"/>
                <w:szCs w:val="22"/>
              </w:rPr>
              <w:t>辦理遊憩據點規劃設計、資源調查監測、社區輔導、委託民間辦理評估作業、工程建設設計等</w:t>
            </w:r>
          </w:p>
        </w:tc>
      </w:tr>
      <w:tr w:rsidR="001D0350" w:rsidRPr="00D55DC6" w:rsidTr="008D5222">
        <w:trPr>
          <w:trHeight w:val="630"/>
        </w:trPr>
        <w:tc>
          <w:tcPr>
            <w:tcW w:w="500"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91"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992"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2477"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both"/>
              <w:rPr>
                <w:rFonts w:eastAsia="標楷體"/>
                <w:b/>
                <w:bCs/>
                <w:kern w:val="0"/>
              </w:rPr>
            </w:pPr>
            <w:r w:rsidRPr="00D55DC6">
              <w:rPr>
                <w:rFonts w:eastAsia="標楷體"/>
                <w:b/>
                <w:bCs/>
                <w:kern w:val="0"/>
              </w:rPr>
              <w:t>(2)</w:t>
            </w:r>
            <w:r w:rsidRPr="00D55DC6">
              <w:rPr>
                <w:rFonts w:eastAsia="標楷體"/>
                <w:b/>
                <w:bCs/>
                <w:kern w:val="0"/>
              </w:rPr>
              <w:t>國際觀光重要景點</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0.39</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0.39</w:t>
            </w:r>
          </w:p>
        </w:tc>
        <w:tc>
          <w:tcPr>
            <w:tcW w:w="80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0.44</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0.44</w:t>
            </w:r>
          </w:p>
        </w:tc>
        <w:tc>
          <w:tcPr>
            <w:tcW w:w="72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1.66</w:t>
            </w:r>
          </w:p>
        </w:tc>
        <w:tc>
          <w:tcPr>
            <w:tcW w:w="1440" w:type="dxa"/>
            <w:vMerge w:val="restart"/>
            <w:tcBorders>
              <w:top w:val="nil"/>
              <w:left w:val="single" w:sz="4" w:space="0" w:color="auto"/>
              <w:bottom w:val="single" w:sz="4" w:space="0" w:color="000000"/>
              <w:right w:val="single" w:sz="4" w:space="0" w:color="auto"/>
            </w:tcBorders>
            <w:shd w:val="clear" w:color="auto" w:fill="auto"/>
            <w:vAlign w:val="center"/>
            <w:hideMark/>
          </w:tcPr>
          <w:p w:rsidR="00612A4B" w:rsidRPr="00D55DC6" w:rsidRDefault="00612A4B" w:rsidP="0038165F">
            <w:pPr>
              <w:widowControl/>
              <w:spacing w:line="240" w:lineRule="exact"/>
              <w:jc w:val="both"/>
              <w:rPr>
                <w:rFonts w:eastAsia="標楷體"/>
                <w:kern w:val="0"/>
                <w:sz w:val="22"/>
                <w:szCs w:val="22"/>
              </w:rPr>
            </w:pPr>
            <w:r w:rsidRPr="00D55DC6">
              <w:rPr>
                <w:rFonts w:eastAsia="標楷體"/>
                <w:kern w:val="0"/>
                <w:sz w:val="22"/>
                <w:szCs w:val="22"/>
              </w:rPr>
              <w:t>辦理溫泉區設施改善、官田服務園區暨行政中心遊憩整備、烏山頭周邊設施改善等</w:t>
            </w:r>
          </w:p>
          <w:p w:rsidR="00612A4B" w:rsidRPr="00D55DC6" w:rsidRDefault="00612A4B" w:rsidP="0038165F">
            <w:pPr>
              <w:widowControl/>
              <w:spacing w:line="240" w:lineRule="exact"/>
              <w:jc w:val="both"/>
              <w:rPr>
                <w:rFonts w:eastAsia="標楷體"/>
                <w:kern w:val="0"/>
                <w:sz w:val="22"/>
                <w:szCs w:val="22"/>
              </w:rPr>
            </w:pPr>
          </w:p>
          <w:p w:rsidR="00612A4B" w:rsidRPr="00D55DC6" w:rsidRDefault="00612A4B" w:rsidP="0038165F">
            <w:pPr>
              <w:widowControl/>
              <w:spacing w:line="240" w:lineRule="exact"/>
              <w:jc w:val="both"/>
              <w:rPr>
                <w:rFonts w:eastAsia="標楷體"/>
                <w:kern w:val="0"/>
                <w:sz w:val="22"/>
                <w:szCs w:val="22"/>
              </w:rPr>
            </w:pPr>
          </w:p>
        </w:tc>
      </w:tr>
      <w:tr w:rsidR="001D0350" w:rsidRPr="00D55DC6" w:rsidTr="008D5222">
        <w:trPr>
          <w:trHeight w:val="339"/>
        </w:trPr>
        <w:tc>
          <w:tcPr>
            <w:tcW w:w="500"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91"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992"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2477"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rPr>
                <w:rFonts w:eastAsia="標楷體"/>
                <w:kern w:val="0"/>
              </w:rPr>
            </w:pPr>
            <w:r w:rsidRPr="00D55DC6">
              <w:rPr>
                <w:rFonts w:eastAsia="標楷體"/>
                <w:kern w:val="0"/>
              </w:rPr>
              <w:t>關子嶺遊憩區</w:t>
            </w:r>
          </w:p>
        </w:tc>
        <w:tc>
          <w:tcPr>
            <w:tcW w:w="760" w:type="dxa"/>
            <w:tcBorders>
              <w:top w:val="nil"/>
              <w:left w:val="nil"/>
              <w:bottom w:val="single" w:sz="4" w:space="0" w:color="auto"/>
              <w:right w:val="single" w:sz="4" w:space="0" w:color="auto"/>
            </w:tcBorders>
            <w:shd w:val="clear" w:color="auto" w:fill="auto"/>
            <w:noWrap/>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0.16</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0.16</w:t>
            </w:r>
          </w:p>
        </w:tc>
        <w:tc>
          <w:tcPr>
            <w:tcW w:w="80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0.19</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0.19</w:t>
            </w:r>
          </w:p>
        </w:tc>
        <w:tc>
          <w:tcPr>
            <w:tcW w:w="72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0.70</w:t>
            </w:r>
          </w:p>
        </w:tc>
        <w:tc>
          <w:tcPr>
            <w:tcW w:w="1440" w:type="dxa"/>
            <w:vMerge/>
            <w:tcBorders>
              <w:top w:val="nil"/>
              <w:left w:val="single" w:sz="4" w:space="0" w:color="auto"/>
              <w:bottom w:val="single" w:sz="4" w:space="0" w:color="000000"/>
              <w:right w:val="single" w:sz="4" w:space="0" w:color="auto"/>
            </w:tcBorders>
            <w:vAlign w:val="center"/>
            <w:hideMark/>
          </w:tcPr>
          <w:p w:rsidR="00612A4B" w:rsidRPr="00D55DC6" w:rsidRDefault="00612A4B" w:rsidP="0038165F">
            <w:pPr>
              <w:widowControl/>
              <w:spacing w:line="240" w:lineRule="exact"/>
              <w:rPr>
                <w:rFonts w:eastAsia="標楷體"/>
                <w:kern w:val="0"/>
                <w:sz w:val="22"/>
                <w:szCs w:val="22"/>
              </w:rPr>
            </w:pPr>
          </w:p>
        </w:tc>
      </w:tr>
      <w:tr w:rsidR="001D0350" w:rsidRPr="00D55DC6" w:rsidTr="008D5222">
        <w:trPr>
          <w:trHeight w:val="273"/>
        </w:trPr>
        <w:tc>
          <w:tcPr>
            <w:tcW w:w="500"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91"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992"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2477"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rPr>
                <w:rFonts w:eastAsia="標楷體"/>
                <w:kern w:val="0"/>
              </w:rPr>
            </w:pPr>
            <w:r w:rsidRPr="00D55DC6">
              <w:rPr>
                <w:rFonts w:eastAsia="標楷體"/>
                <w:kern w:val="0"/>
              </w:rPr>
              <w:t>烏山頭遊憩區</w:t>
            </w:r>
          </w:p>
        </w:tc>
        <w:tc>
          <w:tcPr>
            <w:tcW w:w="760" w:type="dxa"/>
            <w:tcBorders>
              <w:top w:val="nil"/>
              <w:left w:val="nil"/>
              <w:bottom w:val="single" w:sz="4" w:space="0" w:color="auto"/>
              <w:right w:val="single" w:sz="4" w:space="0" w:color="auto"/>
            </w:tcBorders>
            <w:shd w:val="clear" w:color="auto" w:fill="auto"/>
            <w:noWrap/>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0.23</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0.23</w:t>
            </w:r>
          </w:p>
        </w:tc>
        <w:tc>
          <w:tcPr>
            <w:tcW w:w="80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0.25</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0.25</w:t>
            </w:r>
          </w:p>
        </w:tc>
        <w:tc>
          <w:tcPr>
            <w:tcW w:w="72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0.96</w:t>
            </w:r>
          </w:p>
        </w:tc>
        <w:tc>
          <w:tcPr>
            <w:tcW w:w="1440" w:type="dxa"/>
            <w:vMerge/>
            <w:tcBorders>
              <w:top w:val="nil"/>
              <w:left w:val="single" w:sz="4" w:space="0" w:color="auto"/>
              <w:bottom w:val="single" w:sz="4" w:space="0" w:color="000000"/>
              <w:right w:val="single" w:sz="4" w:space="0" w:color="auto"/>
            </w:tcBorders>
            <w:vAlign w:val="center"/>
            <w:hideMark/>
          </w:tcPr>
          <w:p w:rsidR="00612A4B" w:rsidRPr="00D55DC6" w:rsidRDefault="00612A4B" w:rsidP="0038165F">
            <w:pPr>
              <w:widowControl/>
              <w:spacing w:line="240" w:lineRule="exact"/>
              <w:rPr>
                <w:rFonts w:eastAsia="標楷體"/>
                <w:kern w:val="0"/>
                <w:sz w:val="22"/>
                <w:szCs w:val="22"/>
              </w:rPr>
            </w:pPr>
          </w:p>
        </w:tc>
      </w:tr>
      <w:tr w:rsidR="001D0350" w:rsidRPr="00D55DC6" w:rsidTr="008D5222">
        <w:trPr>
          <w:trHeight w:val="381"/>
        </w:trPr>
        <w:tc>
          <w:tcPr>
            <w:tcW w:w="500"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91"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992"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2477"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both"/>
              <w:rPr>
                <w:rFonts w:eastAsia="標楷體"/>
                <w:b/>
                <w:bCs/>
                <w:kern w:val="0"/>
              </w:rPr>
            </w:pPr>
            <w:r w:rsidRPr="00D55DC6">
              <w:rPr>
                <w:rFonts w:eastAsia="標楷體"/>
                <w:b/>
                <w:bCs/>
                <w:kern w:val="0"/>
              </w:rPr>
              <w:t>(3)</w:t>
            </w:r>
            <w:r w:rsidRPr="00D55DC6">
              <w:rPr>
                <w:rFonts w:eastAsia="標楷體"/>
                <w:b/>
                <w:bCs/>
                <w:kern w:val="0"/>
              </w:rPr>
              <w:t>國內觀光重要景點</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0.25</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0.25</w:t>
            </w:r>
          </w:p>
        </w:tc>
        <w:tc>
          <w:tcPr>
            <w:tcW w:w="80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0.25</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0.25</w:t>
            </w:r>
          </w:p>
        </w:tc>
        <w:tc>
          <w:tcPr>
            <w:tcW w:w="72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1.00</w:t>
            </w:r>
          </w:p>
        </w:tc>
        <w:tc>
          <w:tcPr>
            <w:tcW w:w="1440" w:type="dxa"/>
            <w:vMerge w:val="restart"/>
            <w:tcBorders>
              <w:top w:val="nil"/>
              <w:left w:val="single" w:sz="4" w:space="0" w:color="auto"/>
              <w:bottom w:val="single" w:sz="4" w:space="0" w:color="000000"/>
              <w:right w:val="single" w:sz="4" w:space="0" w:color="auto"/>
            </w:tcBorders>
            <w:shd w:val="clear" w:color="auto" w:fill="auto"/>
            <w:vAlign w:val="center"/>
            <w:hideMark/>
          </w:tcPr>
          <w:p w:rsidR="00612A4B" w:rsidRPr="00D55DC6" w:rsidRDefault="00612A4B" w:rsidP="0038165F">
            <w:pPr>
              <w:widowControl/>
              <w:spacing w:line="240" w:lineRule="exact"/>
              <w:jc w:val="both"/>
              <w:rPr>
                <w:rFonts w:eastAsia="標楷體"/>
                <w:kern w:val="0"/>
                <w:sz w:val="22"/>
                <w:szCs w:val="22"/>
              </w:rPr>
            </w:pPr>
            <w:r w:rsidRPr="00D55DC6">
              <w:rPr>
                <w:rFonts w:eastAsia="標楷體"/>
                <w:kern w:val="0"/>
                <w:sz w:val="22"/>
                <w:szCs w:val="22"/>
              </w:rPr>
              <w:t>辦理梅嶺周邊設施改善、二寮周邊設施改善、南化周邊設施改善等</w:t>
            </w:r>
          </w:p>
        </w:tc>
      </w:tr>
      <w:tr w:rsidR="001D0350" w:rsidRPr="00D55DC6" w:rsidTr="008D5222">
        <w:trPr>
          <w:trHeight w:val="410"/>
        </w:trPr>
        <w:tc>
          <w:tcPr>
            <w:tcW w:w="500"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91"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992"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2477"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rPr>
                <w:rFonts w:eastAsia="標楷體"/>
                <w:kern w:val="0"/>
              </w:rPr>
            </w:pPr>
            <w:r w:rsidRPr="00D55DC6">
              <w:rPr>
                <w:rFonts w:eastAsia="標楷體"/>
                <w:kern w:val="0"/>
              </w:rPr>
              <w:t>曾文</w:t>
            </w:r>
            <w:r w:rsidRPr="00D55DC6">
              <w:rPr>
                <w:rFonts w:eastAsia="標楷體"/>
                <w:kern w:val="0"/>
              </w:rPr>
              <w:t>/</w:t>
            </w:r>
            <w:r w:rsidRPr="00D55DC6">
              <w:rPr>
                <w:rFonts w:eastAsia="標楷體"/>
                <w:kern w:val="0"/>
              </w:rPr>
              <w:t>中埔遊憩區</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0.15</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0.15</w:t>
            </w:r>
          </w:p>
        </w:tc>
        <w:tc>
          <w:tcPr>
            <w:tcW w:w="80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0.15</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0.15</w:t>
            </w:r>
          </w:p>
        </w:tc>
        <w:tc>
          <w:tcPr>
            <w:tcW w:w="72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0.60</w:t>
            </w:r>
          </w:p>
        </w:tc>
        <w:tc>
          <w:tcPr>
            <w:tcW w:w="1440" w:type="dxa"/>
            <w:vMerge/>
            <w:tcBorders>
              <w:top w:val="nil"/>
              <w:left w:val="single" w:sz="4" w:space="0" w:color="auto"/>
              <w:bottom w:val="single" w:sz="4" w:space="0" w:color="000000"/>
              <w:right w:val="single" w:sz="4" w:space="0" w:color="auto"/>
            </w:tcBorders>
            <w:vAlign w:val="center"/>
            <w:hideMark/>
          </w:tcPr>
          <w:p w:rsidR="00612A4B" w:rsidRPr="00D55DC6" w:rsidRDefault="00612A4B" w:rsidP="0038165F">
            <w:pPr>
              <w:widowControl/>
              <w:spacing w:line="240" w:lineRule="exact"/>
              <w:rPr>
                <w:rFonts w:eastAsia="標楷體"/>
                <w:kern w:val="0"/>
                <w:sz w:val="22"/>
                <w:szCs w:val="22"/>
              </w:rPr>
            </w:pPr>
          </w:p>
        </w:tc>
      </w:tr>
      <w:tr w:rsidR="001D0350" w:rsidRPr="00D55DC6" w:rsidTr="008D5222">
        <w:trPr>
          <w:trHeight w:val="289"/>
        </w:trPr>
        <w:tc>
          <w:tcPr>
            <w:tcW w:w="500"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91"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992"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2477"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rPr>
                <w:rFonts w:eastAsia="標楷體"/>
                <w:kern w:val="0"/>
              </w:rPr>
            </w:pPr>
            <w:r w:rsidRPr="00D55DC6">
              <w:rPr>
                <w:rFonts w:eastAsia="標楷體"/>
                <w:kern w:val="0"/>
              </w:rPr>
              <w:t>虎頭埤遊憩區</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0.05</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0.05</w:t>
            </w:r>
          </w:p>
        </w:tc>
        <w:tc>
          <w:tcPr>
            <w:tcW w:w="80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0.05</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0.05</w:t>
            </w:r>
          </w:p>
        </w:tc>
        <w:tc>
          <w:tcPr>
            <w:tcW w:w="72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0.20</w:t>
            </w:r>
          </w:p>
        </w:tc>
        <w:tc>
          <w:tcPr>
            <w:tcW w:w="1440" w:type="dxa"/>
            <w:vMerge/>
            <w:tcBorders>
              <w:top w:val="nil"/>
              <w:left w:val="single" w:sz="4" w:space="0" w:color="auto"/>
              <w:bottom w:val="single" w:sz="4" w:space="0" w:color="000000"/>
              <w:right w:val="single" w:sz="4" w:space="0" w:color="auto"/>
            </w:tcBorders>
            <w:vAlign w:val="center"/>
            <w:hideMark/>
          </w:tcPr>
          <w:p w:rsidR="00612A4B" w:rsidRPr="00D55DC6" w:rsidRDefault="00612A4B" w:rsidP="0038165F">
            <w:pPr>
              <w:widowControl/>
              <w:spacing w:line="240" w:lineRule="exact"/>
              <w:rPr>
                <w:rFonts w:eastAsia="標楷體"/>
                <w:kern w:val="0"/>
                <w:sz w:val="22"/>
                <w:szCs w:val="22"/>
              </w:rPr>
            </w:pPr>
          </w:p>
        </w:tc>
      </w:tr>
      <w:tr w:rsidR="001D0350" w:rsidRPr="00D55DC6" w:rsidTr="008D5222">
        <w:trPr>
          <w:trHeight w:val="265"/>
        </w:trPr>
        <w:tc>
          <w:tcPr>
            <w:tcW w:w="500"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91"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992"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2477"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rPr>
                <w:rFonts w:eastAsia="標楷體"/>
                <w:kern w:val="0"/>
              </w:rPr>
            </w:pPr>
            <w:r w:rsidRPr="00D55DC6">
              <w:rPr>
                <w:rFonts w:eastAsia="標楷體"/>
                <w:kern w:val="0"/>
              </w:rPr>
              <w:t>左鎮遊憩區</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0.05</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0.05</w:t>
            </w:r>
          </w:p>
        </w:tc>
        <w:tc>
          <w:tcPr>
            <w:tcW w:w="80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0.05</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0.05</w:t>
            </w:r>
          </w:p>
        </w:tc>
        <w:tc>
          <w:tcPr>
            <w:tcW w:w="72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0.20</w:t>
            </w:r>
          </w:p>
        </w:tc>
        <w:tc>
          <w:tcPr>
            <w:tcW w:w="1440" w:type="dxa"/>
            <w:vMerge/>
            <w:tcBorders>
              <w:top w:val="nil"/>
              <w:left w:val="single" w:sz="4" w:space="0" w:color="auto"/>
              <w:bottom w:val="single" w:sz="4" w:space="0" w:color="000000"/>
              <w:right w:val="single" w:sz="4" w:space="0" w:color="auto"/>
            </w:tcBorders>
            <w:vAlign w:val="center"/>
            <w:hideMark/>
          </w:tcPr>
          <w:p w:rsidR="00612A4B" w:rsidRPr="00D55DC6" w:rsidRDefault="00612A4B" w:rsidP="0038165F">
            <w:pPr>
              <w:widowControl/>
              <w:spacing w:line="240" w:lineRule="exact"/>
              <w:rPr>
                <w:rFonts w:eastAsia="標楷體"/>
                <w:kern w:val="0"/>
                <w:sz w:val="22"/>
                <w:szCs w:val="22"/>
              </w:rPr>
            </w:pPr>
          </w:p>
        </w:tc>
      </w:tr>
      <w:tr w:rsidR="001D0350" w:rsidRPr="00D55DC6" w:rsidTr="008D5222">
        <w:trPr>
          <w:trHeight w:val="359"/>
        </w:trPr>
        <w:tc>
          <w:tcPr>
            <w:tcW w:w="500"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91"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992"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2477"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both"/>
              <w:rPr>
                <w:rFonts w:eastAsia="標楷體"/>
                <w:b/>
                <w:bCs/>
                <w:kern w:val="0"/>
              </w:rPr>
            </w:pPr>
            <w:r w:rsidRPr="00D55DC6">
              <w:rPr>
                <w:rFonts w:eastAsia="標楷體"/>
                <w:b/>
                <w:bCs/>
                <w:kern w:val="0"/>
              </w:rPr>
              <w:t>(4)</w:t>
            </w:r>
            <w:r w:rsidRPr="00D55DC6">
              <w:rPr>
                <w:rFonts w:eastAsia="標楷體"/>
                <w:b/>
                <w:bCs/>
                <w:kern w:val="0"/>
              </w:rPr>
              <w:t>環境及設施整修</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0.13</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0.13</w:t>
            </w:r>
          </w:p>
        </w:tc>
        <w:tc>
          <w:tcPr>
            <w:tcW w:w="80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0.13</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0.13</w:t>
            </w:r>
          </w:p>
        </w:tc>
        <w:tc>
          <w:tcPr>
            <w:tcW w:w="72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0.52</w:t>
            </w:r>
          </w:p>
        </w:tc>
        <w:tc>
          <w:tcPr>
            <w:tcW w:w="1440" w:type="dxa"/>
            <w:vMerge w:val="restart"/>
            <w:tcBorders>
              <w:top w:val="nil"/>
              <w:left w:val="single" w:sz="4" w:space="0" w:color="auto"/>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rPr>
                <w:rFonts w:eastAsia="標楷體"/>
                <w:kern w:val="0"/>
                <w:sz w:val="22"/>
                <w:szCs w:val="22"/>
              </w:rPr>
            </w:pPr>
            <w:r w:rsidRPr="00D55DC6">
              <w:rPr>
                <w:rFonts w:eastAsia="標楷體"/>
                <w:kern w:val="0"/>
                <w:sz w:val="22"/>
                <w:szCs w:val="22"/>
              </w:rPr>
              <w:t>全區無障礙服務設施改善，及全區景觀廊道改善工程。</w:t>
            </w:r>
          </w:p>
        </w:tc>
      </w:tr>
      <w:tr w:rsidR="001D0350" w:rsidRPr="00D55DC6" w:rsidTr="008D5222">
        <w:trPr>
          <w:trHeight w:val="330"/>
        </w:trPr>
        <w:tc>
          <w:tcPr>
            <w:tcW w:w="500"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91"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992"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2477"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both"/>
              <w:rPr>
                <w:rFonts w:eastAsia="標楷體"/>
                <w:kern w:val="0"/>
              </w:rPr>
            </w:pPr>
            <w:r w:rsidRPr="00D55DC6">
              <w:rPr>
                <w:rFonts w:eastAsia="標楷體"/>
                <w:kern w:val="0"/>
              </w:rPr>
              <w:t>旅遊服務系統</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0.03</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0.03</w:t>
            </w:r>
          </w:p>
        </w:tc>
        <w:tc>
          <w:tcPr>
            <w:tcW w:w="80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0.03</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0.03</w:t>
            </w:r>
          </w:p>
        </w:tc>
        <w:tc>
          <w:tcPr>
            <w:tcW w:w="72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0.12</w:t>
            </w:r>
          </w:p>
        </w:tc>
        <w:tc>
          <w:tcPr>
            <w:tcW w:w="1440"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sz w:val="22"/>
                <w:szCs w:val="22"/>
              </w:rPr>
            </w:pPr>
          </w:p>
        </w:tc>
      </w:tr>
      <w:tr w:rsidR="001D0350" w:rsidRPr="00D55DC6" w:rsidTr="008D5222">
        <w:trPr>
          <w:trHeight w:val="330"/>
        </w:trPr>
        <w:tc>
          <w:tcPr>
            <w:tcW w:w="500"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91"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992"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2477"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both"/>
              <w:rPr>
                <w:rFonts w:eastAsia="標楷體"/>
                <w:kern w:val="0"/>
              </w:rPr>
            </w:pPr>
            <w:r w:rsidRPr="00D55DC6">
              <w:rPr>
                <w:rFonts w:eastAsia="標楷體"/>
                <w:kern w:val="0"/>
              </w:rPr>
              <w:t>環境維護及設施維持</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0.05</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0.05</w:t>
            </w:r>
          </w:p>
        </w:tc>
        <w:tc>
          <w:tcPr>
            <w:tcW w:w="80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0.05</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0.05</w:t>
            </w:r>
          </w:p>
        </w:tc>
        <w:tc>
          <w:tcPr>
            <w:tcW w:w="72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0.20</w:t>
            </w:r>
          </w:p>
        </w:tc>
        <w:tc>
          <w:tcPr>
            <w:tcW w:w="1440"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sz w:val="22"/>
                <w:szCs w:val="22"/>
              </w:rPr>
            </w:pPr>
          </w:p>
        </w:tc>
      </w:tr>
      <w:tr w:rsidR="001D0350" w:rsidRPr="00D55DC6" w:rsidTr="008D5222">
        <w:trPr>
          <w:trHeight w:val="438"/>
        </w:trPr>
        <w:tc>
          <w:tcPr>
            <w:tcW w:w="500"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791"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992"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rPr>
            </w:pPr>
          </w:p>
        </w:tc>
        <w:tc>
          <w:tcPr>
            <w:tcW w:w="2477"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both"/>
              <w:rPr>
                <w:rFonts w:eastAsia="標楷體"/>
                <w:kern w:val="0"/>
              </w:rPr>
            </w:pPr>
            <w:r w:rsidRPr="00D55DC6">
              <w:rPr>
                <w:rFonts w:eastAsia="標楷體"/>
                <w:kern w:val="0"/>
              </w:rPr>
              <w:t>全區災害復舊及一般零星工程</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0.05</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0.05</w:t>
            </w:r>
          </w:p>
        </w:tc>
        <w:tc>
          <w:tcPr>
            <w:tcW w:w="80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0.05</w:t>
            </w:r>
          </w:p>
        </w:tc>
        <w:tc>
          <w:tcPr>
            <w:tcW w:w="76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40" w:lineRule="exact"/>
              <w:jc w:val="right"/>
              <w:rPr>
                <w:rFonts w:eastAsia="標楷體"/>
                <w:kern w:val="0"/>
              </w:rPr>
            </w:pPr>
            <w:r w:rsidRPr="00D55DC6">
              <w:rPr>
                <w:rFonts w:eastAsia="標楷體"/>
                <w:kern w:val="0"/>
              </w:rPr>
              <w:t>0.05</w:t>
            </w:r>
          </w:p>
        </w:tc>
        <w:tc>
          <w:tcPr>
            <w:tcW w:w="72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0.20</w:t>
            </w:r>
          </w:p>
        </w:tc>
        <w:tc>
          <w:tcPr>
            <w:tcW w:w="1440" w:type="dxa"/>
            <w:vMerge/>
            <w:tcBorders>
              <w:top w:val="nil"/>
              <w:left w:val="single" w:sz="4" w:space="0" w:color="auto"/>
              <w:bottom w:val="single" w:sz="4" w:space="0" w:color="auto"/>
              <w:right w:val="single" w:sz="4" w:space="0" w:color="auto"/>
            </w:tcBorders>
            <w:vAlign w:val="center"/>
            <w:hideMark/>
          </w:tcPr>
          <w:p w:rsidR="00612A4B" w:rsidRPr="00D55DC6" w:rsidRDefault="00612A4B" w:rsidP="0038165F">
            <w:pPr>
              <w:widowControl/>
              <w:spacing w:line="240" w:lineRule="exact"/>
              <w:rPr>
                <w:rFonts w:eastAsia="標楷體"/>
                <w:kern w:val="0"/>
                <w:sz w:val="22"/>
                <w:szCs w:val="22"/>
              </w:rPr>
            </w:pPr>
          </w:p>
        </w:tc>
      </w:tr>
      <w:tr w:rsidR="001D0350" w:rsidRPr="00D55DC6" w:rsidTr="008D5222">
        <w:trPr>
          <w:trHeight w:val="330"/>
        </w:trPr>
        <w:tc>
          <w:tcPr>
            <w:tcW w:w="500" w:type="dxa"/>
            <w:tcBorders>
              <w:top w:val="nil"/>
              <w:left w:val="single" w:sz="4" w:space="0" w:color="auto"/>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center"/>
              <w:rPr>
                <w:rFonts w:eastAsia="標楷體"/>
                <w:kern w:val="0"/>
              </w:rPr>
            </w:pPr>
            <w:r w:rsidRPr="00D55DC6">
              <w:rPr>
                <w:rFonts w:eastAsia="標楷體"/>
                <w:kern w:val="0"/>
              </w:rPr>
              <w:t xml:space="preserve">　</w:t>
            </w:r>
          </w:p>
        </w:tc>
        <w:tc>
          <w:tcPr>
            <w:tcW w:w="791"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center"/>
              <w:rPr>
                <w:rFonts w:eastAsia="標楷體"/>
                <w:kern w:val="0"/>
              </w:rPr>
            </w:pPr>
            <w:r w:rsidRPr="00D55DC6">
              <w:rPr>
                <w:rFonts w:eastAsia="標楷體"/>
                <w:kern w:val="0"/>
              </w:rPr>
              <w:t xml:space="preserve">　</w:t>
            </w:r>
          </w:p>
        </w:tc>
        <w:tc>
          <w:tcPr>
            <w:tcW w:w="992"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center"/>
              <w:rPr>
                <w:rFonts w:eastAsia="標楷體"/>
                <w:kern w:val="0"/>
              </w:rPr>
            </w:pPr>
            <w:r w:rsidRPr="00D55DC6">
              <w:rPr>
                <w:rFonts w:eastAsia="標楷體"/>
                <w:kern w:val="0"/>
              </w:rPr>
              <w:t xml:space="preserve">　</w:t>
            </w:r>
          </w:p>
        </w:tc>
        <w:tc>
          <w:tcPr>
            <w:tcW w:w="2477"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center"/>
              <w:rPr>
                <w:rFonts w:eastAsia="標楷體"/>
                <w:b/>
                <w:bCs/>
                <w:kern w:val="0"/>
              </w:rPr>
            </w:pPr>
            <w:r w:rsidRPr="00D55DC6">
              <w:rPr>
                <w:rFonts w:eastAsia="標楷體"/>
                <w:b/>
                <w:bCs/>
                <w:kern w:val="0"/>
              </w:rPr>
              <w:t>資本門合計</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1.40</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1.40</w:t>
            </w:r>
          </w:p>
        </w:tc>
        <w:tc>
          <w:tcPr>
            <w:tcW w:w="80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1.35</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1.35</w:t>
            </w:r>
          </w:p>
        </w:tc>
        <w:tc>
          <w:tcPr>
            <w:tcW w:w="72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5.50</w:t>
            </w:r>
          </w:p>
        </w:tc>
        <w:tc>
          <w:tcPr>
            <w:tcW w:w="144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80" w:lineRule="exact"/>
              <w:rPr>
                <w:rFonts w:eastAsia="標楷體"/>
                <w:kern w:val="0"/>
              </w:rPr>
            </w:pPr>
            <w:r w:rsidRPr="00D55DC6">
              <w:rPr>
                <w:rFonts w:eastAsia="標楷體"/>
                <w:kern w:val="0"/>
              </w:rPr>
              <w:t xml:space="preserve">　</w:t>
            </w:r>
          </w:p>
        </w:tc>
      </w:tr>
      <w:tr w:rsidR="001D0350" w:rsidRPr="00D55DC6" w:rsidTr="008D5222">
        <w:trPr>
          <w:trHeight w:val="330"/>
        </w:trPr>
        <w:tc>
          <w:tcPr>
            <w:tcW w:w="4760" w:type="dxa"/>
            <w:gridSpan w:val="4"/>
            <w:tcBorders>
              <w:top w:val="single" w:sz="4" w:space="0" w:color="auto"/>
              <w:left w:val="single" w:sz="4" w:space="0" w:color="auto"/>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center"/>
              <w:rPr>
                <w:rFonts w:eastAsia="標楷體"/>
                <w:b/>
                <w:bCs/>
                <w:kern w:val="0"/>
              </w:rPr>
            </w:pPr>
            <w:r w:rsidRPr="00D55DC6">
              <w:rPr>
                <w:rFonts w:eastAsia="標楷體"/>
                <w:b/>
                <w:bCs/>
                <w:kern w:val="0"/>
              </w:rPr>
              <w:t xml:space="preserve">經資門合計　　</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1.50</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1.50</w:t>
            </w:r>
          </w:p>
        </w:tc>
        <w:tc>
          <w:tcPr>
            <w:tcW w:w="80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1.50</w:t>
            </w:r>
          </w:p>
        </w:tc>
        <w:tc>
          <w:tcPr>
            <w:tcW w:w="760" w:type="dxa"/>
            <w:tcBorders>
              <w:top w:val="nil"/>
              <w:left w:val="nil"/>
              <w:bottom w:val="single" w:sz="4" w:space="0" w:color="auto"/>
              <w:right w:val="single" w:sz="4" w:space="0" w:color="auto"/>
            </w:tcBorders>
            <w:shd w:val="clear" w:color="000000" w:fill="CCFFCC"/>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1.50</w:t>
            </w:r>
          </w:p>
        </w:tc>
        <w:tc>
          <w:tcPr>
            <w:tcW w:w="720" w:type="dxa"/>
            <w:tcBorders>
              <w:top w:val="nil"/>
              <w:left w:val="nil"/>
              <w:bottom w:val="single" w:sz="4" w:space="0" w:color="auto"/>
              <w:right w:val="single" w:sz="4" w:space="0" w:color="auto"/>
            </w:tcBorders>
            <w:shd w:val="clear" w:color="000000" w:fill="CCFFFF"/>
            <w:vAlign w:val="center"/>
            <w:hideMark/>
          </w:tcPr>
          <w:p w:rsidR="00612A4B" w:rsidRPr="00D55DC6" w:rsidRDefault="00612A4B" w:rsidP="0038165F">
            <w:pPr>
              <w:widowControl/>
              <w:spacing w:line="240" w:lineRule="exact"/>
              <w:jc w:val="right"/>
              <w:rPr>
                <w:rFonts w:eastAsia="標楷體"/>
                <w:b/>
                <w:bCs/>
                <w:kern w:val="0"/>
              </w:rPr>
            </w:pPr>
            <w:r w:rsidRPr="00D55DC6">
              <w:rPr>
                <w:rFonts w:eastAsia="標楷體"/>
                <w:b/>
                <w:bCs/>
                <w:kern w:val="0"/>
              </w:rPr>
              <w:t>6.00</w:t>
            </w:r>
          </w:p>
        </w:tc>
        <w:tc>
          <w:tcPr>
            <w:tcW w:w="1440" w:type="dxa"/>
            <w:tcBorders>
              <w:top w:val="nil"/>
              <w:left w:val="nil"/>
              <w:bottom w:val="single" w:sz="4" w:space="0" w:color="auto"/>
              <w:right w:val="single" w:sz="4" w:space="0" w:color="auto"/>
            </w:tcBorders>
            <w:shd w:val="clear" w:color="auto" w:fill="auto"/>
            <w:vAlign w:val="center"/>
            <w:hideMark/>
          </w:tcPr>
          <w:p w:rsidR="00612A4B" w:rsidRPr="00D55DC6" w:rsidRDefault="00612A4B" w:rsidP="0038165F">
            <w:pPr>
              <w:widowControl/>
              <w:spacing w:line="280" w:lineRule="exact"/>
              <w:rPr>
                <w:rFonts w:eastAsia="標楷體"/>
                <w:kern w:val="0"/>
              </w:rPr>
            </w:pPr>
            <w:r w:rsidRPr="00D55DC6">
              <w:rPr>
                <w:rFonts w:eastAsia="標楷體"/>
                <w:kern w:val="0"/>
              </w:rPr>
              <w:t xml:space="preserve">　</w:t>
            </w:r>
          </w:p>
        </w:tc>
      </w:tr>
    </w:tbl>
    <w:p w:rsidR="00612A4B" w:rsidRPr="00D55DC6" w:rsidRDefault="00612A4B" w:rsidP="0038165F">
      <w:pPr>
        <w:snapToGrid w:val="0"/>
        <w:spacing w:line="460" w:lineRule="exact"/>
        <w:ind w:left="709"/>
        <w:jc w:val="both"/>
        <w:rPr>
          <w:rFonts w:eastAsia="標楷體"/>
          <w:b/>
          <w:sz w:val="28"/>
          <w:szCs w:val="28"/>
        </w:rPr>
      </w:pPr>
    </w:p>
    <w:p w:rsidR="00612A4B" w:rsidRPr="00D55DC6" w:rsidRDefault="00612A4B" w:rsidP="0038165F">
      <w:pPr>
        <w:numPr>
          <w:ilvl w:val="0"/>
          <w:numId w:val="1"/>
        </w:numPr>
        <w:snapToGrid w:val="0"/>
        <w:spacing w:line="460" w:lineRule="exact"/>
        <w:ind w:left="709" w:hanging="709"/>
        <w:jc w:val="both"/>
        <w:rPr>
          <w:rFonts w:eastAsia="標楷體"/>
          <w:b/>
          <w:sz w:val="28"/>
          <w:szCs w:val="28"/>
        </w:rPr>
      </w:pPr>
      <w:r w:rsidRPr="00D55DC6">
        <w:rPr>
          <w:rFonts w:eastAsia="標楷體"/>
          <w:b/>
          <w:sz w:val="28"/>
          <w:szCs w:val="28"/>
        </w:rPr>
        <w:lastRenderedPageBreak/>
        <w:t>預期效果及影響</w:t>
      </w:r>
    </w:p>
    <w:p w:rsidR="00612A4B" w:rsidRPr="00D55DC6" w:rsidRDefault="00612A4B" w:rsidP="004865C1">
      <w:pPr>
        <w:numPr>
          <w:ilvl w:val="0"/>
          <w:numId w:val="119"/>
        </w:numPr>
        <w:snapToGrid w:val="0"/>
        <w:spacing w:line="460" w:lineRule="exact"/>
        <w:jc w:val="both"/>
        <w:rPr>
          <w:rFonts w:eastAsia="標楷體"/>
          <w:sz w:val="28"/>
          <w:szCs w:val="28"/>
        </w:rPr>
      </w:pPr>
      <w:r w:rsidRPr="00D55DC6">
        <w:rPr>
          <w:rFonts w:eastAsia="標楷體"/>
          <w:sz w:val="28"/>
          <w:szCs w:val="28"/>
        </w:rPr>
        <w:t>以「鄉村旅遊」為主軸，以「產業與觀光結合」為核心，主推西拉雅「歡樂、浪漫、繽紛」三條旅遊線。</w:t>
      </w:r>
    </w:p>
    <w:p w:rsidR="00612A4B" w:rsidRPr="00D55DC6" w:rsidRDefault="00612A4B" w:rsidP="004865C1">
      <w:pPr>
        <w:numPr>
          <w:ilvl w:val="0"/>
          <w:numId w:val="119"/>
        </w:numPr>
        <w:snapToGrid w:val="0"/>
        <w:spacing w:line="460" w:lineRule="exact"/>
        <w:jc w:val="both"/>
        <w:rPr>
          <w:rFonts w:eastAsia="標楷體"/>
          <w:sz w:val="28"/>
          <w:szCs w:val="28"/>
        </w:rPr>
      </w:pPr>
      <w:r w:rsidRPr="00D55DC6">
        <w:rPr>
          <w:rFonts w:eastAsia="標楷體"/>
          <w:sz w:val="28"/>
          <w:szCs w:val="28"/>
        </w:rPr>
        <w:t>觀光升級、景點優化及亮點化，透過建設妝點及話題行銷，將原有景點優化，提供觀光價值及產值。</w:t>
      </w:r>
    </w:p>
    <w:p w:rsidR="00612A4B" w:rsidRPr="00D55DC6" w:rsidRDefault="00612A4B" w:rsidP="004865C1">
      <w:pPr>
        <w:numPr>
          <w:ilvl w:val="0"/>
          <w:numId w:val="119"/>
        </w:numPr>
        <w:snapToGrid w:val="0"/>
        <w:spacing w:line="460" w:lineRule="exact"/>
        <w:jc w:val="both"/>
        <w:rPr>
          <w:rFonts w:eastAsia="標楷體"/>
          <w:sz w:val="28"/>
          <w:szCs w:val="28"/>
        </w:rPr>
      </w:pPr>
      <w:r w:rsidRPr="00D55DC6">
        <w:rPr>
          <w:rFonts w:eastAsia="標楷體"/>
          <w:sz w:val="28"/>
          <w:szCs w:val="28"/>
        </w:rPr>
        <w:t>改善現有觀光服務設施，提昇服務品質，提升遊客造訪人次，以創造商機並增加居民就業機會。</w:t>
      </w:r>
    </w:p>
    <w:p w:rsidR="004A3FAE" w:rsidRPr="00D55DC6" w:rsidRDefault="004A3FAE" w:rsidP="004865C1">
      <w:pPr>
        <w:numPr>
          <w:ilvl w:val="0"/>
          <w:numId w:val="119"/>
        </w:numPr>
        <w:snapToGrid w:val="0"/>
        <w:spacing w:line="460" w:lineRule="exact"/>
        <w:jc w:val="both"/>
        <w:rPr>
          <w:rFonts w:eastAsia="標楷體"/>
          <w:sz w:val="28"/>
          <w:szCs w:val="28"/>
        </w:rPr>
      </w:pPr>
      <w:r w:rsidRPr="00D55DC6">
        <w:rPr>
          <w:rFonts w:eastAsia="標楷體"/>
          <w:sz w:val="28"/>
          <w:szCs w:val="28"/>
        </w:rPr>
        <w:t>帶動觀光產值</w:t>
      </w:r>
      <w:r w:rsidRPr="00D55DC6">
        <w:rPr>
          <w:rFonts w:eastAsia="標楷體"/>
          <w:sz w:val="28"/>
          <w:szCs w:val="28"/>
        </w:rPr>
        <w:t>118.24</w:t>
      </w:r>
      <w:r w:rsidRPr="00D55DC6">
        <w:rPr>
          <w:rFonts w:eastAsia="標楷體"/>
          <w:sz w:val="28"/>
          <w:szCs w:val="28"/>
        </w:rPr>
        <w:t>億元（以</w:t>
      </w:r>
      <w:r w:rsidRPr="00D55DC6">
        <w:rPr>
          <w:rFonts w:eastAsia="標楷體"/>
          <w:sz w:val="28"/>
          <w:szCs w:val="28"/>
        </w:rPr>
        <w:t>4</w:t>
      </w:r>
      <w:r w:rsidRPr="00D55DC6">
        <w:rPr>
          <w:rFonts w:eastAsia="標楷體"/>
          <w:sz w:val="28"/>
          <w:szCs w:val="28"/>
        </w:rPr>
        <w:t>年遊客人數目標值</w:t>
      </w:r>
      <w:r w:rsidRPr="00D55DC6">
        <w:rPr>
          <w:rFonts w:eastAsia="標楷體"/>
          <w:sz w:val="28"/>
          <w:szCs w:val="28"/>
        </w:rPr>
        <w:t>1,044</w:t>
      </w:r>
      <w:r w:rsidRPr="00D55DC6">
        <w:rPr>
          <w:rFonts w:eastAsia="標楷體"/>
          <w:sz w:val="28"/>
          <w:szCs w:val="28"/>
        </w:rPr>
        <w:t>萬人次</w:t>
      </w:r>
      <w:r w:rsidRPr="00D55DC6">
        <w:rPr>
          <w:rFonts w:eastAsia="標楷體"/>
          <w:sz w:val="28"/>
          <w:szCs w:val="28"/>
        </w:rPr>
        <w:t xml:space="preserve"> × </w:t>
      </w:r>
      <w:r w:rsidRPr="00D55DC6">
        <w:rPr>
          <w:rFonts w:eastAsia="標楷體"/>
          <w:sz w:val="28"/>
          <w:szCs w:val="28"/>
        </w:rPr>
        <w:t>每人每日平均消費</w:t>
      </w:r>
      <w:r w:rsidRPr="00D55DC6">
        <w:rPr>
          <w:rFonts w:eastAsia="標楷體"/>
          <w:sz w:val="28"/>
          <w:szCs w:val="28"/>
        </w:rPr>
        <w:t xml:space="preserve">NT$968 × </w:t>
      </w:r>
      <w:r w:rsidRPr="00D55DC6">
        <w:rPr>
          <w:rFonts w:eastAsia="標楷體"/>
          <w:sz w:val="28"/>
          <w:szCs w:val="28"/>
        </w:rPr>
        <w:t>停留天數</w:t>
      </w:r>
      <w:r w:rsidRPr="00D55DC6">
        <w:rPr>
          <w:rFonts w:eastAsia="標楷體"/>
          <w:sz w:val="28"/>
          <w:szCs w:val="28"/>
        </w:rPr>
        <w:t>1.17</w:t>
      </w:r>
      <w:r w:rsidRPr="00D55DC6">
        <w:rPr>
          <w:rFonts w:eastAsia="標楷體"/>
          <w:sz w:val="28"/>
          <w:szCs w:val="28"/>
        </w:rPr>
        <w:t>天估算）。</w:t>
      </w:r>
    </w:p>
    <w:p w:rsidR="00612A4B" w:rsidRPr="00D55DC6" w:rsidRDefault="00612A4B" w:rsidP="0038165F">
      <w:pPr>
        <w:snapToGrid w:val="0"/>
        <w:spacing w:line="460" w:lineRule="exact"/>
        <w:ind w:left="864"/>
        <w:jc w:val="both"/>
        <w:rPr>
          <w:rFonts w:eastAsia="標楷體"/>
          <w:sz w:val="28"/>
          <w:szCs w:val="28"/>
        </w:rPr>
      </w:pPr>
    </w:p>
    <w:p w:rsidR="00612A4B" w:rsidRPr="00D55DC6" w:rsidRDefault="00612A4B" w:rsidP="0038165F">
      <w:pPr>
        <w:snapToGrid w:val="0"/>
        <w:spacing w:line="460" w:lineRule="exact"/>
        <w:ind w:left="864"/>
        <w:jc w:val="both"/>
        <w:rPr>
          <w:rFonts w:eastAsia="標楷體"/>
          <w:sz w:val="28"/>
          <w:szCs w:val="28"/>
        </w:rPr>
      </w:pPr>
    </w:p>
    <w:p w:rsidR="00612A4B" w:rsidRPr="00D55DC6" w:rsidRDefault="00612A4B" w:rsidP="0038165F">
      <w:pPr>
        <w:numPr>
          <w:ilvl w:val="0"/>
          <w:numId w:val="1"/>
        </w:numPr>
        <w:snapToGrid w:val="0"/>
        <w:spacing w:line="460" w:lineRule="exact"/>
        <w:ind w:left="709" w:hanging="709"/>
        <w:jc w:val="both"/>
        <w:rPr>
          <w:rFonts w:eastAsia="標楷體"/>
          <w:b/>
          <w:sz w:val="28"/>
          <w:szCs w:val="28"/>
        </w:rPr>
      </w:pPr>
      <w:r w:rsidRPr="00D55DC6">
        <w:rPr>
          <w:rFonts w:eastAsia="標楷體"/>
          <w:b/>
          <w:sz w:val="28"/>
          <w:szCs w:val="28"/>
        </w:rPr>
        <w:t>財務計畫</w:t>
      </w:r>
    </w:p>
    <w:p w:rsidR="00612A4B" w:rsidRPr="00D55DC6" w:rsidRDefault="00612A4B" w:rsidP="004865C1">
      <w:pPr>
        <w:numPr>
          <w:ilvl w:val="0"/>
          <w:numId w:val="120"/>
        </w:numPr>
        <w:snapToGrid w:val="0"/>
        <w:spacing w:line="460" w:lineRule="exact"/>
        <w:jc w:val="both"/>
        <w:rPr>
          <w:rFonts w:eastAsia="標楷體"/>
          <w:b/>
          <w:sz w:val="28"/>
          <w:szCs w:val="28"/>
        </w:rPr>
      </w:pPr>
      <w:r w:rsidRPr="00D55DC6">
        <w:rPr>
          <w:rFonts w:eastAsia="標楷體"/>
          <w:b/>
          <w:sz w:val="28"/>
          <w:szCs w:val="28"/>
        </w:rPr>
        <w:t>財務計畫核定情形</w:t>
      </w:r>
    </w:p>
    <w:p w:rsidR="00612A4B" w:rsidRPr="00D55DC6" w:rsidRDefault="00612A4B" w:rsidP="0038165F">
      <w:pPr>
        <w:snapToGrid w:val="0"/>
        <w:spacing w:line="460" w:lineRule="exact"/>
        <w:ind w:left="709" w:firstLineChars="202" w:firstLine="566"/>
        <w:jc w:val="both"/>
        <w:rPr>
          <w:rFonts w:eastAsia="標楷體"/>
          <w:sz w:val="28"/>
          <w:szCs w:val="28"/>
        </w:rPr>
      </w:pPr>
      <w:r w:rsidRPr="00D55DC6">
        <w:rPr>
          <w:rFonts w:eastAsia="標楷體"/>
          <w:sz w:val="28"/>
          <w:szCs w:val="28"/>
        </w:rPr>
        <w:t>依據管理處</w:t>
      </w:r>
      <w:r w:rsidRPr="00D55DC6">
        <w:rPr>
          <w:rFonts w:eastAsia="標楷體"/>
          <w:sz w:val="28"/>
          <w:szCs w:val="28"/>
        </w:rPr>
        <w:t>103</w:t>
      </w:r>
      <w:r w:rsidRPr="00D55DC6">
        <w:rPr>
          <w:rFonts w:eastAsia="標楷體"/>
          <w:sz w:val="28"/>
          <w:szCs w:val="28"/>
        </w:rPr>
        <w:t>年委託辦理之「西拉雅國家風景區土地使用暨財務計畫案」，未來</w:t>
      </w:r>
      <w:r w:rsidRPr="00D55DC6">
        <w:rPr>
          <w:rFonts w:eastAsia="標楷體"/>
          <w:sz w:val="28"/>
          <w:szCs w:val="28"/>
        </w:rPr>
        <w:t>20</w:t>
      </w:r>
      <w:r w:rsidRPr="00D55DC6">
        <w:rPr>
          <w:rFonts w:eastAsia="標楷體"/>
          <w:sz w:val="28"/>
          <w:szCs w:val="28"/>
        </w:rPr>
        <w:t>年期間</w:t>
      </w:r>
      <w:r w:rsidR="004A3FAE" w:rsidRPr="00D55DC6">
        <w:rPr>
          <w:rFonts w:eastAsia="標楷體"/>
          <w:sz w:val="28"/>
          <w:szCs w:val="28"/>
        </w:rPr>
        <w:t>(103</w:t>
      </w:r>
      <w:r w:rsidR="004A3FAE" w:rsidRPr="00D55DC6">
        <w:rPr>
          <w:rFonts w:eastAsia="標楷體"/>
          <w:sz w:val="28"/>
          <w:szCs w:val="28"/>
        </w:rPr>
        <w:t>至</w:t>
      </w:r>
      <w:r w:rsidR="004A3FAE" w:rsidRPr="00D55DC6">
        <w:rPr>
          <w:rFonts w:eastAsia="標楷體"/>
          <w:sz w:val="28"/>
          <w:szCs w:val="28"/>
        </w:rPr>
        <w:t>122</w:t>
      </w:r>
      <w:r w:rsidR="004A3FAE" w:rsidRPr="00D55DC6">
        <w:rPr>
          <w:rFonts w:eastAsia="標楷體"/>
          <w:sz w:val="28"/>
          <w:szCs w:val="28"/>
        </w:rPr>
        <w:t>年</w:t>
      </w:r>
      <w:r w:rsidR="004A3FAE" w:rsidRPr="00D55DC6">
        <w:rPr>
          <w:rFonts w:eastAsia="標楷體"/>
          <w:sz w:val="28"/>
          <w:szCs w:val="28"/>
        </w:rPr>
        <w:t>)</w:t>
      </w:r>
      <w:r w:rsidRPr="00D55DC6">
        <w:rPr>
          <w:rFonts w:eastAsia="標楷體"/>
          <w:sz w:val="28"/>
          <w:szCs w:val="28"/>
        </w:rPr>
        <w:t>計畫投入現值為</w:t>
      </w:r>
      <w:r w:rsidRPr="00D55DC6">
        <w:rPr>
          <w:rFonts w:eastAsia="標楷體"/>
          <w:sz w:val="28"/>
          <w:szCs w:val="28"/>
        </w:rPr>
        <w:t>22.7744</w:t>
      </w:r>
      <w:r w:rsidRPr="00D55DC6">
        <w:rPr>
          <w:rFonts w:eastAsia="標楷體"/>
          <w:sz w:val="28"/>
          <w:szCs w:val="28"/>
        </w:rPr>
        <w:t>億元，收益預估現值為</w:t>
      </w:r>
      <w:r w:rsidRPr="00D55DC6">
        <w:rPr>
          <w:rFonts w:eastAsia="標楷體"/>
          <w:sz w:val="28"/>
          <w:szCs w:val="28"/>
        </w:rPr>
        <w:t>2.1796</w:t>
      </w:r>
      <w:r w:rsidRPr="00D55DC6">
        <w:rPr>
          <w:rFonts w:eastAsia="標楷體"/>
          <w:sz w:val="28"/>
          <w:szCs w:val="28"/>
        </w:rPr>
        <w:t>億元，整體計畫自償率為</w:t>
      </w:r>
      <w:r w:rsidRPr="00D55DC6">
        <w:rPr>
          <w:rFonts w:eastAsia="標楷體"/>
          <w:sz w:val="28"/>
          <w:szCs w:val="28"/>
        </w:rPr>
        <w:t>9.57%</w:t>
      </w:r>
      <w:r w:rsidRPr="00D55DC6">
        <w:rPr>
          <w:rFonts w:eastAsia="標楷體"/>
          <w:sz w:val="28"/>
          <w:szCs w:val="28"/>
        </w:rPr>
        <w:t>。</w:t>
      </w:r>
    </w:p>
    <w:p w:rsidR="00612A4B" w:rsidRPr="00D55DC6" w:rsidRDefault="00612A4B" w:rsidP="0038165F">
      <w:pPr>
        <w:snapToGrid w:val="0"/>
        <w:spacing w:line="460" w:lineRule="exact"/>
        <w:ind w:left="709"/>
        <w:jc w:val="both"/>
        <w:rPr>
          <w:rFonts w:eastAsia="標楷體"/>
          <w:sz w:val="28"/>
          <w:szCs w:val="28"/>
        </w:rPr>
      </w:pPr>
    </w:p>
    <w:p w:rsidR="00612A4B" w:rsidRPr="00D55DC6" w:rsidRDefault="00612A4B" w:rsidP="004865C1">
      <w:pPr>
        <w:numPr>
          <w:ilvl w:val="0"/>
          <w:numId w:val="120"/>
        </w:numPr>
        <w:snapToGrid w:val="0"/>
        <w:spacing w:line="460" w:lineRule="exact"/>
        <w:jc w:val="both"/>
        <w:rPr>
          <w:rFonts w:eastAsia="標楷體"/>
          <w:b/>
          <w:sz w:val="28"/>
          <w:szCs w:val="28"/>
        </w:rPr>
      </w:pPr>
      <w:r w:rsidRPr="00D55DC6">
        <w:rPr>
          <w:rFonts w:eastAsia="標楷體"/>
          <w:b/>
          <w:sz w:val="28"/>
          <w:szCs w:val="28"/>
        </w:rPr>
        <w:t>預估財務收入情形</w:t>
      </w:r>
    </w:p>
    <w:p w:rsidR="00612A4B" w:rsidRPr="00D55DC6" w:rsidRDefault="00612A4B" w:rsidP="0038165F">
      <w:pPr>
        <w:snapToGrid w:val="0"/>
        <w:spacing w:line="460" w:lineRule="exact"/>
        <w:ind w:left="709" w:firstLineChars="202" w:firstLine="566"/>
        <w:jc w:val="both"/>
        <w:rPr>
          <w:rFonts w:eastAsia="標楷體"/>
          <w:sz w:val="28"/>
          <w:szCs w:val="28"/>
        </w:rPr>
      </w:pPr>
      <w:r w:rsidRPr="00D55DC6">
        <w:rPr>
          <w:rFonts w:eastAsia="標楷體"/>
          <w:sz w:val="28"/>
          <w:szCs w:val="28"/>
        </w:rPr>
        <w:t>透過推動土地及設施出租、重大促參案件、合作開發、跨域合作、自有商品販售等方向，積極提升計畫自償率。詳如下列預估財務收入分年規劃表。</w:t>
      </w:r>
    </w:p>
    <w:p w:rsidR="00612A4B" w:rsidRPr="00D55DC6" w:rsidRDefault="00612A4B" w:rsidP="0038165F">
      <w:pPr>
        <w:snapToGrid w:val="0"/>
        <w:spacing w:line="460" w:lineRule="exact"/>
        <w:ind w:left="709"/>
        <w:jc w:val="both"/>
        <w:rPr>
          <w:rFonts w:eastAsia="標楷體"/>
          <w:sz w:val="28"/>
          <w:szCs w:val="28"/>
        </w:rPr>
      </w:pPr>
    </w:p>
    <w:p w:rsidR="000C5765" w:rsidRPr="00D55DC6" w:rsidRDefault="000C5765" w:rsidP="0038165F">
      <w:pPr>
        <w:snapToGrid w:val="0"/>
        <w:spacing w:line="460" w:lineRule="exact"/>
        <w:ind w:left="709"/>
        <w:jc w:val="both"/>
        <w:rPr>
          <w:rFonts w:eastAsia="標楷體"/>
          <w:sz w:val="28"/>
          <w:szCs w:val="28"/>
        </w:rPr>
      </w:pPr>
    </w:p>
    <w:p w:rsidR="000C5765" w:rsidRPr="00D55DC6" w:rsidRDefault="000C5765" w:rsidP="0038165F">
      <w:pPr>
        <w:snapToGrid w:val="0"/>
        <w:spacing w:line="460" w:lineRule="exact"/>
        <w:ind w:left="709"/>
        <w:jc w:val="both"/>
        <w:rPr>
          <w:rFonts w:eastAsia="標楷體"/>
          <w:sz w:val="28"/>
          <w:szCs w:val="28"/>
        </w:rPr>
      </w:pPr>
    </w:p>
    <w:p w:rsidR="000C5765" w:rsidRPr="00D55DC6" w:rsidRDefault="000C5765" w:rsidP="0038165F">
      <w:pPr>
        <w:snapToGrid w:val="0"/>
        <w:spacing w:line="460" w:lineRule="exact"/>
        <w:ind w:left="709"/>
        <w:jc w:val="both"/>
        <w:rPr>
          <w:rFonts w:eastAsia="標楷體"/>
          <w:sz w:val="28"/>
          <w:szCs w:val="28"/>
        </w:rPr>
      </w:pPr>
    </w:p>
    <w:p w:rsidR="000C5765" w:rsidRPr="00D55DC6" w:rsidRDefault="000C5765" w:rsidP="0038165F">
      <w:pPr>
        <w:snapToGrid w:val="0"/>
        <w:spacing w:line="460" w:lineRule="exact"/>
        <w:ind w:left="709"/>
        <w:jc w:val="both"/>
        <w:rPr>
          <w:rFonts w:eastAsia="標楷體"/>
          <w:sz w:val="28"/>
          <w:szCs w:val="28"/>
        </w:rPr>
      </w:pPr>
    </w:p>
    <w:p w:rsidR="000C5765" w:rsidRPr="00D55DC6" w:rsidRDefault="000C5765" w:rsidP="0038165F">
      <w:pPr>
        <w:snapToGrid w:val="0"/>
        <w:spacing w:line="460" w:lineRule="exact"/>
        <w:ind w:left="709"/>
        <w:jc w:val="both"/>
        <w:rPr>
          <w:rFonts w:eastAsia="標楷體"/>
          <w:sz w:val="28"/>
          <w:szCs w:val="28"/>
        </w:rPr>
      </w:pPr>
    </w:p>
    <w:p w:rsidR="000C5765" w:rsidRPr="00D55DC6" w:rsidRDefault="000C5765" w:rsidP="0038165F">
      <w:pPr>
        <w:snapToGrid w:val="0"/>
        <w:spacing w:line="460" w:lineRule="exact"/>
        <w:ind w:left="709"/>
        <w:jc w:val="both"/>
        <w:rPr>
          <w:rFonts w:eastAsia="標楷體"/>
          <w:sz w:val="28"/>
          <w:szCs w:val="28"/>
        </w:rPr>
      </w:pPr>
    </w:p>
    <w:p w:rsidR="000C5765" w:rsidRPr="00D55DC6" w:rsidRDefault="000C5765" w:rsidP="0038165F">
      <w:pPr>
        <w:snapToGrid w:val="0"/>
        <w:spacing w:line="460" w:lineRule="exact"/>
        <w:ind w:left="709"/>
        <w:jc w:val="both"/>
        <w:rPr>
          <w:rFonts w:eastAsia="標楷體"/>
          <w:sz w:val="28"/>
          <w:szCs w:val="28"/>
        </w:rPr>
      </w:pPr>
    </w:p>
    <w:p w:rsidR="00612A4B" w:rsidRPr="00D55DC6" w:rsidRDefault="00612A4B" w:rsidP="0038165F">
      <w:pPr>
        <w:widowControl/>
        <w:rPr>
          <w:rFonts w:eastAsia="標楷體"/>
        </w:rPr>
      </w:pPr>
    </w:p>
    <w:p w:rsidR="00612A4B" w:rsidRPr="00D55DC6" w:rsidRDefault="00612A4B" w:rsidP="0038165F">
      <w:pPr>
        <w:keepNext/>
        <w:ind w:rightChars="-316" w:right="-758"/>
        <w:rPr>
          <w:rFonts w:eastAsia="標楷體"/>
          <w:sz w:val="20"/>
          <w:szCs w:val="20"/>
        </w:rPr>
      </w:pPr>
      <w:r w:rsidRPr="00D55DC6">
        <w:rPr>
          <w:rFonts w:eastAsia="標楷體"/>
        </w:rPr>
        <w:lastRenderedPageBreak/>
        <w:t>表</w:t>
      </w:r>
      <w:r w:rsidRPr="00D55DC6">
        <w:rPr>
          <w:rFonts w:eastAsia="標楷體"/>
        </w:rPr>
        <w:t xml:space="preserve">1  </w:t>
      </w:r>
      <w:r w:rsidRPr="00D55DC6">
        <w:rPr>
          <w:rFonts w:eastAsia="標楷體"/>
        </w:rPr>
        <w:t>預估財務收入分年規劃表</w:t>
      </w:r>
      <w:r w:rsidRPr="00D55DC6">
        <w:rPr>
          <w:rFonts w:eastAsia="標楷體"/>
        </w:rPr>
        <w:t xml:space="preserve">                       </w:t>
      </w:r>
      <w:r w:rsidRPr="00D55DC6">
        <w:rPr>
          <w:rFonts w:eastAsia="標楷體"/>
        </w:rPr>
        <w:t xml:space="preserve">　　　　　　　　</w:t>
      </w:r>
      <w:r w:rsidRPr="00D55DC6">
        <w:rPr>
          <w:rFonts w:eastAsia="標楷體"/>
        </w:rPr>
        <w:t xml:space="preserve"> </w:t>
      </w:r>
      <w:r w:rsidRPr="00D55DC6">
        <w:rPr>
          <w:rFonts w:eastAsia="標楷體"/>
          <w:sz w:val="20"/>
          <w:szCs w:val="20"/>
        </w:rPr>
        <w:t>（單位：千元）</w:t>
      </w:r>
    </w:p>
    <w:tbl>
      <w:tblPr>
        <w:tblW w:w="9640" w:type="dxa"/>
        <w:tblInd w:w="28" w:type="dxa"/>
        <w:tblLayout w:type="fixed"/>
        <w:tblCellMar>
          <w:left w:w="28" w:type="dxa"/>
          <w:right w:w="28" w:type="dxa"/>
        </w:tblCellMar>
        <w:tblLook w:val="04A0" w:firstRow="1" w:lastRow="0" w:firstColumn="1" w:lastColumn="0" w:noHBand="0" w:noVBand="1"/>
      </w:tblPr>
      <w:tblGrid>
        <w:gridCol w:w="2552"/>
        <w:gridCol w:w="708"/>
        <w:gridCol w:w="709"/>
        <w:gridCol w:w="709"/>
        <w:gridCol w:w="709"/>
        <w:gridCol w:w="709"/>
        <w:gridCol w:w="708"/>
        <w:gridCol w:w="709"/>
        <w:gridCol w:w="709"/>
        <w:gridCol w:w="709"/>
        <w:gridCol w:w="709"/>
      </w:tblGrid>
      <w:tr w:rsidR="001D0350" w:rsidRPr="00D55DC6" w:rsidTr="008D5222">
        <w:trPr>
          <w:trHeight w:val="585"/>
        </w:trPr>
        <w:tc>
          <w:tcPr>
            <w:tcW w:w="2552" w:type="dxa"/>
            <w:tcBorders>
              <w:top w:val="single" w:sz="4" w:space="0" w:color="auto"/>
              <w:left w:val="single" w:sz="4" w:space="0" w:color="auto"/>
              <w:bottom w:val="double" w:sz="6" w:space="0" w:color="auto"/>
              <w:right w:val="single" w:sz="4" w:space="0" w:color="auto"/>
            </w:tcBorders>
            <w:shd w:val="clear" w:color="000000" w:fill="FFCC00"/>
            <w:vAlign w:val="center"/>
          </w:tcPr>
          <w:p w:rsidR="00612A4B" w:rsidRPr="00D55DC6" w:rsidRDefault="00612A4B" w:rsidP="0038165F">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2"/>
                <w:szCs w:val="20"/>
              </w:rPr>
              <w:t>年度</w:t>
            </w:r>
            <w:r w:rsidRPr="00D55DC6">
              <w:rPr>
                <w:rFonts w:eastAsia="標楷體"/>
                <w:kern w:val="0"/>
                <w:sz w:val="22"/>
                <w:szCs w:val="20"/>
              </w:rPr>
              <w:br/>
            </w:r>
            <w:r w:rsidRPr="00D55DC6">
              <w:rPr>
                <w:rFonts w:eastAsia="標楷體"/>
                <w:kern w:val="0"/>
                <w:sz w:val="22"/>
                <w:szCs w:val="20"/>
              </w:rPr>
              <w:t>收益項目</w:t>
            </w:r>
          </w:p>
        </w:tc>
        <w:tc>
          <w:tcPr>
            <w:tcW w:w="708" w:type="dxa"/>
            <w:tcBorders>
              <w:top w:val="single" w:sz="4" w:space="0" w:color="auto"/>
              <w:left w:val="nil"/>
              <w:bottom w:val="double" w:sz="6" w:space="0" w:color="auto"/>
              <w:right w:val="single" w:sz="4" w:space="0" w:color="auto"/>
            </w:tcBorders>
            <w:shd w:val="clear" w:color="000000" w:fill="FFCC00"/>
            <w:noWrap/>
            <w:vAlign w:val="center"/>
          </w:tcPr>
          <w:p w:rsidR="00612A4B" w:rsidRPr="00D55DC6" w:rsidRDefault="00612A4B" w:rsidP="0038165F">
            <w:pPr>
              <w:widowControl/>
              <w:spacing w:line="0" w:lineRule="atLeast"/>
              <w:jc w:val="center"/>
              <w:rPr>
                <w:rFonts w:eastAsia="標楷體"/>
                <w:kern w:val="0"/>
              </w:rPr>
            </w:pPr>
            <w:r w:rsidRPr="00D55DC6">
              <w:rPr>
                <w:rFonts w:eastAsia="標楷體"/>
                <w:kern w:val="0"/>
              </w:rPr>
              <w:t>103</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612A4B" w:rsidRPr="00D55DC6" w:rsidRDefault="00612A4B" w:rsidP="0038165F">
            <w:pPr>
              <w:widowControl/>
              <w:spacing w:line="0" w:lineRule="atLeast"/>
              <w:jc w:val="center"/>
              <w:rPr>
                <w:rFonts w:eastAsia="標楷體"/>
                <w:kern w:val="0"/>
              </w:rPr>
            </w:pPr>
            <w:r w:rsidRPr="00D55DC6">
              <w:rPr>
                <w:rFonts w:eastAsia="標楷體"/>
                <w:kern w:val="0"/>
              </w:rPr>
              <w:t>104</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612A4B" w:rsidRPr="00D55DC6" w:rsidRDefault="00612A4B" w:rsidP="0038165F">
            <w:pPr>
              <w:widowControl/>
              <w:spacing w:line="0" w:lineRule="atLeast"/>
              <w:jc w:val="center"/>
              <w:rPr>
                <w:rFonts w:eastAsia="標楷體"/>
                <w:kern w:val="0"/>
              </w:rPr>
            </w:pPr>
            <w:r w:rsidRPr="00D55DC6">
              <w:rPr>
                <w:rFonts w:eastAsia="標楷體"/>
                <w:kern w:val="0"/>
              </w:rPr>
              <w:t>105</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612A4B" w:rsidRPr="00D55DC6" w:rsidRDefault="00612A4B" w:rsidP="0038165F">
            <w:pPr>
              <w:widowControl/>
              <w:spacing w:line="0" w:lineRule="atLeast"/>
              <w:jc w:val="center"/>
              <w:rPr>
                <w:rFonts w:eastAsia="標楷體"/>
                <w:kern w:val="0"/>
              </w:rPr>
            </w:pPr>
            <w:r w:rsidRPr="00D55DC6">
              <w:rPr>
                <w:rFonts w:eastAsia="標楷體"/>
                <w:kern w:val="0"/>
              </w:rPr>
              <w:t>106</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612A4B" w:rsidRPr="00D55DC6" w:rsidRDefault="00612A4B" w:rsidP="0038165F">
            <w:pPr>
              <w:widowControl/>
              <w:spacing w:line="0" w:lineRule="atLeast"/>
              <w:jc w:val="center"/>
              <w:rPr>
                <w:rFonts w:eastAsia="標楷體"/>
                <w:kern w:val="0"/>
              </w:rPr>
            </w:pPr>
            <w:r w:rsidRPr="00D55DC6">
              <w:rPr>
                <w:rFonts w:eastAsia="標楷體"/>
                <w:kern w:val="0"/>
              </w:rPr>
              <w:t>107</w:t>
            </w:r>
          </w:p>
        </w:tc>
        <w:tc>
          <w:tcPr>
            <w:tcW w:w="708" w:type="dxa"/>
            <w:tcBorders>
              <w:top w:val="single" w:sz="4" w:space="0" w:color="auto"/>
              <w:left w:val="nil"/>
              <w:bottom w:val="double" w:sz="6" w:space="0" w:color="auto"/>
              <w:right w:val="single" w:sz="4" w:space="0" w:color="auto"/>
            </w:tcBorders>
            <w:shd w:val="clear" w:color="000000" w:fill="FFCC00"/>
            <w:noWrap/>
            <w:vAlign w:val="center"/>
          </w:tcPr>
          <w:p w:rsidR="00612A4B" w:rsidRPr="00D55DC6" w:rsidRDefault="00612A4B" w:rsidP="0038165F">
            <w:pPr>
              <w:widowControl/>
              <w:spacing w:line="0" w:lineRule="atLeast"/>
              <w:jc w:val="center"/>
              <w:rPr>
                <w:rFonts w:eastAsia="標楷體"/>
                <w:kern w:val="0"/>
              </w:rPr>
            </w:pPr>
            <w:r w:rsidRPr="00D55DC6">
              <w:rPr>
                <w:rFonts w:eastAsia="標楷體"/>
                <w:kern w:val="0"/>
              </w:rPr>
              <w:t>108</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612A4B" w:rsidRPr="00D55DC6" w:rsidRDefault="00612A4B" w:rsidP="0038165F">
            <w:pPr>
              <w:widowControl/>
              <w:spacing w:line="0" w:lineRule="atLeast"/>
              <w:jc w:val="center"/>
              <w:rPr>
                <w:rFonts w:eastAsia="標楷體"/>
                <w:kern w:val="0"/>
              </w:rPr>
            </w:pPr>
            <w:r w:rsidRPr="00D55DC6">
              <w:rPr>
                <w:rFonts w:eastAsia="標楷體"/>
                <w:kern w:val="0"/>
              </w:rPr>
              <w:t>109</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612A4B" w:rsidRPr="00D55DC6" w:rsidRDefault="00612A4B" w:rsidP="0038165F">
            <w:pPr>
              <w:widowControl/>
              <w:spacing w:line="0" w:lineRule="atLeast"/>
              <w:jc w:val="center"/>
              <w:rPr>
                <w:rFonts w:eastAsia="標楷體"/>
                <w:kern w:val="0"/>
              </w:rPr>
            </w:pPr>
            <w:r w:rsidRPr="00D55DC6">
              <w:rPr>
                <w:rFonts w:eastAsia="標楷體"/>
                <w:kern w:val="0"/>
              </w:rPr>
              <w:t>110</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612A4B" w:rsidRPr="00D55DC6" w:rsidRDefault="00612A4B" w:rsidP="0038165F">
            <w:pPr>
              <w:widowControl/>
              <w:spacing w:line="0" w:lineRule="atLeast"/>
              <w:jc w:val="center"/>
              <w:rPr>
                <w:rFonts w:eastAsia="標楷體"/>
                <w:kern w:val="0"/>
              </w:rPr>
            </w:pPr>
            <w:r w:rsidRPr="00D55DC6">
              <w:rPr>
                <w:rFonts w:eastAsia="標楷體"/>
                <w:kern w:val="0"/>
              </w:rPr>
              <w:t>111</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612A4B" w:rsidRPr="00D55DC6" w:rsidRDefault="00612A4B" w:rsidP="0038165F">
            <w:pPr>
              <w:widowControl/>
              <w:spacing w:line="0" w:lineRule="atLeast"/>
              <w:jc w:val="center"/>
              <w:rPr>
                <w:rFonts w:eastAsia="標楷體"/>
                <w:kern w:val="0"/>
              </w:rPr>
            </w:pPr>
            <w:r w:rsidRPr="00D55DC6">
              <w:rPr>
                <w:rFonts w:eastAsia="標楷體"/>
                <w:kern w:val="0"/>
              </w:rPr>
              <w:t>112</w:t>
            </w:r>
          </w:p>
        </w:tc>
      </w:tr>
      <w:tr w:rsidR="001D0350" w:rsidRPr="00D55DC6" w:rsidTr="008D5222">
        <w:trPr>
          <w:trHeight w:val="345"/>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spacing w:line="0" w:lineRule="atLeast"/>
              <w:rPr>
                <w:rFonts w:eastAsia="標楷體"/>
                <w:kern w:val="0"/>
                <w:sz w:val="20"/>
                <w:szCs w:val="20"/>
              </w:rPr>
            </w:pPr>
            <w:r w:rsidRPr="00D55DC6">
              <w:rPr>
                <w:rFonts w:eastAsia="標楷體"/>
                <w:kern w:val="0"/>
                <w:sz w:val="20"/>
                <w:szCs w:val="20"/>
              </w:rPr>
              <w:t>一、既有收益</w:t>
            </w:r>
          </w:p>
        </w:tc>
        <w:tc>
          <w:tcPr>
            <w:tcW w:w="708"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90</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90</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95</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95</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95</w:t>
            </w:r>
          </w:p>
        </w:tc>
        <w:tc>
          <w:tcPr>
            <w:tcW w:w="708"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101</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101</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101</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107</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107</w:t>
            </w:r>
          </w:p>
        </w:tc>
      </w:tr>
      <w:tr w:rsidR="001D0350" w:rsidRPr="00D55DC6" w:rsidTr="008D5222">
        <w:trPr>
          <w:trHeight w:val="47"/>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spacing w:line="0" w:lineRule="atLeast"/>
              <w:rPr>
                <w:rFonts w:eastAsia="標楷體"/>
                <w:kern w:val="0"/>
                <w:sz w:val="20"/>
                <w:szCs w:val="20"/>
              </w:rPr>
            </w:pPr>
            <w:r w:rsidRPr="00D55DC6">
              <w:rPr>
                <w:rFonts w:eastAsia="標楷體"/>
                <w:kern w:val="0"/>
                <w:sz w:val="20"/>
                <w:szCs w:val="20"/>
              </w:rPr>
              <w:t>二、設施出租收益</w:t>
            </w:r>
          </w:p>
        </w:tc>
        <w:tc>
          <w:tcPr>
            <w:tcW w:w="708"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148</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216</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742</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847</w:t>
            </w:r>
          </w:p>
        </w:tc>
        <w:tc>
          <w:tcPr>
            <w:tcW w:w="708"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874</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882</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890</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919</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927</w:t>
            </w:r>
          </w:p>
        </w:tc>
      </w:tr>
      <w:tr w:rsidR="001D0350" w:rsidRPr="00D55DC6" w:rsidTr="008D5222">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spacing w:line="0" w:lineRule="atLeast"/>
              <w:ind w:firstLineChars="199" w:firstLine="398"/>
              <w:rPr>
                <w:rFonts w:eastAsia="標楷體"/>
                <w:kern w:val="0"/>
                <w:sz w:val="20"/>
                <w:szCs w:val="20"/>
              </w:rPr>
            </w:pPr>
            <w:r w:rsidRPr="00D55DC6">
              <w:rPr>
                <w:rFonts w:eastAsia="標楷體"/>
                <w:kern w:val="0"/>
                <w:sz w:val="20"/>
                <w:szCs w:val="20"/>
              </w:rPr>
              <w:t>梅嶺資訊站賣店</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45</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46</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47</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47</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48</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49</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50</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50</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51</w:t>
            </w:r>
          </w:p>
        </w:tc>
      </w:tr>
      <w:tr w:rsidR="001D0350" w:rsidRPr="00D55DC6" w:rsidTr="008D5222">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spacing w:line="0" w:lineRule="atLeast"/>
              <w:ind w:firstLineChars="199" w:firstLine="398"/>
              <w:rPr>
                <w:rFonts w:eastAsia="標楷體"/>
                <w:kern w:val="0"/>
                <w:sz w:val="20"/>
                <w:szCs w:val="20"/>
              </w:rPr>
            </w:pPr>
            <w:r w:rsidRPr="00D55DC6">
              <w:rPr>
                <w:rFonts w:eastAsia="標楷體"/>
                <w:kern w:val="0"/>
                <w:sz w:val="20"/>
                <w:szCs w:val="20"/>
              </w:rPr>
              <w:t>嶺頂資訊站賣店</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79</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80</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81</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83</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84</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85</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86</w:t>
            </w:r>
          </w:p>
        </w:tc>
      </w:tr>
      <w:tr w:rsidR="001D0350" w:rsidRPr="00D55DC6" w:rsidTr="008D5222">
        <w:trPr>
          <w:trHeight w:val="330"/>
        </w:trPr>
        <w:tc>
          <w:tcPr>
            <w:tcW w:w="2552" w:type="dxa"/>
            <w:tcBorders>
              <w:top w:val="nil"/>
              <w:left w:val="single" w:sz="4" w:space="0" w:color="auto"/>
              <w:bottom w:val="single" w:sz="4" w:space="0" w:color="auto"/>
              <w:right w:val="single" w:sz="4" w:space="0" w:color="auto"/>
            </w:tcBorders>
            <w:shd w:val="clear" w:color="000000" w:fill="D9D9D9"/>
            <w:vAlign w:val="center"/>
          </w:tcPr>
          <w:p w:rsidR="00612A4B" w:rsidRPr="00D55DC6" w:rsidRDefault="00612A4B" w:rsidP="0038165F">
            <w:pPr>
              <w:widowControl/>
              <w:spacing w:line="0" w:lineRule="atLeast"/>
              <w:ind w:firstLineChars="199" w:firstLine="398"/>
              <w:rPr>
                <w:rFonts w:eastAsia="標楷體"/>
                <w:kern w:val="0"/>
                <w:sz w:val="20"/>
                <w:szCs w:val="20"/>
              </w:rPr>
            </w:pPr>
            <w:r w:rsidRPr="00D55DC6">
              <w:rPr>
                <w:rFonts w:eastAsia="標楷體"/>
                <w:kern w:val="0"/>
                <w:sz w:val="20"/>
                <w:szCs w:val="20"/>
              </w:rPr>
              <w:t>大埔遊客中心</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43</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44</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45</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45</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46</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47</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48</w:t>
            </w:r>
          </w:p>
        </w:tc>
      </w:tr>
      <w:tr w:rsidR="001D0350" w:rsidRPr="00D55DC6" w:rsidTr="008D5222">
        <w:trPr>
          <w:trHeight w:val="330"/>
        </w:trPr>
        <w:tc>
          <w:tcPr>
            <w:tcW w:w="2552" w:type="dxa"/>
            <w:tcBorders>
              <w:top w:val="nil"/>
              <w:left w:val="single" w:sz="4" w:space="0" w:color="auto"/>
              <w:bottom w:val="single" w:sz="4" w:space="0" w:color="auto"/>
              <w:right w:val="single" w:sz="4" w:space="0" w:color="auto"/>
            </w:tcBorders>
            <w:shd w:val="clear" w:color="000000" w:fill="D9D9D9"/>
            <w:vAlign w:val="center"/>
          </w:tcPr>
          <w:p w:rsidR="00612A4B" w:rsidRPr="00D55DC6" w:rsidRDefault="00612A4B" w:rsidP="0038165F">
            <w:pPr>
              <w:widowControl/>
              <w:spacing w:line="0" w:lineRule="atLeast"/>
              <w:ind w:firstLineChars="199" w:firstLine="398"/>
              <w:rPr>
                <w:rFonts w:eastAsia="標楷體"/>
                <w:kern w:val="0"/>
                <w:sz w:val="20"/>
                <w:szCs w:val="20"/>
              </w:rPr>
            </w:pPr>
            <w:r w:rsidRPr="00D55DC6">
              <w:rPr>
                <w:rFonts w:eastAsia="標楷體"/>
                <w:kern w:val="0"/>
                <w:sz w:val="20"/>
                <w:szCs w:val="20"/>
              </w:rPr>
              <w:t>紅葉公園賣店</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65</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66</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67</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68</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69</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70</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71</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72</w:t>
            </w:r>
          </w:p>
        </w:tc>
      </w:tr>
      <w:tr w:rsidR="001D0350" w:rsidRPr="00D55DC6" w:rsidTr="008D5222">
        <w:trPr>
          <w:trHeight w:val="330"/>
        </w:trPr>
        <w:tc>
          <w:tcPr>
            <w:tcW w:w="2552" w:type="dxa"/>
            <w:tcBorders>
              <w:top w:val="nil"/>
              <w:left w:val="single" w:sz="4" w:space="0" w:color="auto"/>
              <w:bottom w:val="single" w:sz="4" w:space="0" w:color="auto"/>
              <w:right w:val="single" w:sz="4" w:space="0" w:color="auto"/>
            </w:tcBorders>
            <w:shd w:val="clear" w:color="000000" w:fill="D9D9D9"/>
            <w:vAlign w:val="center"/>
          </w:tcPr>
          <w:p w:rsidR="00612A4B" w:rsidRPr="00D55DC6" w:rsidRDefault="00612A4B" w:rsidP="0038165F">
            <w:pPr>
              <w:widowControl/>
              <w:spacing w:line="0" w:lineRule="atLeast"/>
              <w:ind w:firstLineChars="199" w:firstLine="398"/>
              <w:rPr>
                <w:rFonts w:eastAsia="標楷體"/>
                <w:kern w:val="0"/>
                <w:sz w:val="20"/>
                <w:szCs w:val="20"/>
              </w:rPr>
            </w:pPr>
            <w:r w:rsidRPr="00D55DC6">
              <w:rPr>
                <w:rFonts w:eastAsia="標楷體"/>
                <w:kern w:val="0"/>
                <w:sz w:val="20"/>
                <w:szCs w:val="20"/>
              </w:rPr>
              <w:t>南化遊客中心賣店</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103</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104</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106</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107</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109</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111</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112</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114</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116</w:t>
            </w:r>
          </w:p>
        </w:tc>
      </w:tr>
      <w:tr w:rsidR="001D0350" w:rsidRPr="00D55DC6" w:rsidTr="008D5222">
        <w:trPr>
          <w:trHeight w:val="330"/>
        </w:trPr>
        <w:tc>
          <w:tcPr>
            <w:tcW w:w="2552" w:type="dxa"/>
            <w:tcBorders>
              <w:top w:val="nil"/>
              <w:left w:val="single" w:sz="4" w:space="0" w:color="auto"/>
              <w:bottom w:val="single" w:sz="4" w:space="0" w:color="auto"/>
              <w:right w:val="single" w:sz="4" w:space="0" w:color="auto"/>
            </w:tcBorders>
            <w:shd w:val="clear" w:color="000000" w:fill="D9D9D9"/>
            <w:vAlign w:val="center"/>
          </w:tcPr>
          <w:p w:rsidR="00612A4B" w:rsidRPr="00D55DC6" w:rsidRDefault="00612A4B" w:rsidP="0038165F">
            <w:pPr>
              <w:widowControl/>
              <w:spacing w:line="0" w:lineRule="atLeast"/>
              <w:ind w:firstLineChars="199" w:firstLine="398"/>
              <w:rPr>
                <w:rFonts w:eastAsia="標楷體"/>
                <w:kern w:val="0"/>
                <w:sz w:val="20"/>
                <w:szCs w:val="20"/>
              </w:rPr>
            </w:pPr>
            <w:r w:rsidRPr="00D55DC6">
              <w:rPr>
                <w:rFonts w:eastAsia="標楷體"/>
                <w:kern w:val="0"/>
                <w:sz w:val="20"/>
                <w:szCs w:val="20"/>
              </w:rPr>
              <w:t>官田處本部賣店</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72</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73</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74</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75</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76</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77</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79</w:t>
            </w:r>
          </w:p>
        </w:tc>
      </w:tr>
      <w:tr w:rsidR="001D0350" w:rsidRPr="00D55DC6" w:rsidTr="008D5222">
        <w:trPr>
          <w:trHeight w:val="330"/>
        </w:trPr>
        <w:tc>
          <w:tcPr>
            <w:tcW w:w="2552" w:type="dxa"/>
            <w:tcBorders>
              <w:top w:val="nil"/>
              <w:left w:val="single" w:sz="4" w:space="0" w:color="auto"/>
              <w:bottom w:val="single" w:sz="4" w:space="0" w:color="auto"/>
              <w:right w:val="single" w:sz="4" w:space="0" w:color="auto"/>
            </w:tcBorders>
            <w:shd w:val="clear" w:color="000000" w:fill="D9D9D9"/>
            <w:vAlign w:val="center"/>
          </w:tcPr>
          <w:p w:rsidR="00612A4B" w:rsidRPr="00D55DC6" w:rsidRDefault="00612A4B" w:rsidP="0038165F">
            <w:pPr>
              <w:widowControl/>
              <w:spacing w:line="0" w:lineRule="atLeast"/>
              <w:ind w:firstLineChars="199" w:firstLine="398"/>
              <w:rPr>
                <w:rFonts w:eastAsia="標楷體"/>
                <w:kern w:val="0"/>
                <w:sz w:val="20"/>
                <w:szCs w:val="20"/>
              </w:rPr>
            </w:pPr>
            <w:r w:rsidRPr="00D55DC6">
              <w:rPr>
                <w:rFonts w:eastAsia="標楷體"/>
                <w:kern w:val="0"/>
                <w:sz w:val="20"/>
                <w:szCs w:val="20"/>
              </w:rPr>
              <w:t>南化生態農場</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329</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329</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349</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349</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349</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370</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370</w:t>
            </w:r>
          </w:p>
        </w:tc>
      </w:tr>
      <w:tr w:rsidR="001D0350" w:rsidRPr="00D55DC6" w:rsidTr="008D5222">
        <w:trPr>
          <w:trHeight w:val="330"/>
        </w:trPr>
        <w:tc>
          <w:tcPr>
            <w:tcW w:w="2552" w:type="dxa"/>
            <w:tcBorders>
              <w:top w:val="nil"/>
              <w:left w:val="single" w:sz="4" w:space="0" w:color="auto"/>
              <w:bottom w:val="single" w:sz="4" w:space="0" w:color="auto"/>
              <w:right w:val="single" w:sz="4" w:space="0" w:color="auto"/>
            </w:tcBorders>
            <w:shd w:val="clear" w:color="000000" w:fill="D9D9D9"/>
            <w:vAlign w:val="center"/>
          </w:tcPr>
          <w:p w:rsidR="00612A4B" w:rsidRPr="00D55DC6" w:rsidRDefault="00612A4B" w:rsidP="0038165F">
            <w:pPr>
              <w:widowControl/>
              <w:spacing w:line="0" w:lineRule="atLeast"/>
              <w:ind w:firstLineChars="199" w:firstLine="398"/>
              <w:rPr>
                <w:rFonts w:eastAsia="標楷體"/>
                <w:kern w:val="0"/>
                <w:sz w:val="20"/>
                <w:szCs w:val="20"/>
              </w:rPr>
            </w:pPr>
            <w:r w:rsidRPr="00D55DC6">
              <w:rPr>
                <w:rFonts w:eastAsia="標楷體"/>
                <w:kern w:val="0"/>
                <w:sz w:val="20"/>
                <w:szCs w:val="20"/>
              </w:rPr>
              <w:t>白河處本部搬遷後活化</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24</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25</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25</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26</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26</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26</w:t>
            </w:r>
          </w:p>
        </w:tc>
      </w:tr>
      <w:tr w:rsidR="001D0350" w:rsidRPr="00D55DC6" w:rsidTr="008D5222">
        <w:trPr>
          <w:trHeight w:val="271"/>
        </w:trPr>
        <w:tc>
          <w:tcPr>
            <w:tcW w:w="2552" w:type="dxa"/>
            <w:tcBorders>
              <w:top w:val="nil"/>
              <w:left w:val="single" w:sz="4" w:space="0" w:color="auto"/>
              <w:bottom w:val="single" w:sz="4" w:space="0" w:color="auto"/>
              <w:right w:val="single" w:sz="4" w:space="0" w:color="auto"/>
            </w:tcBorders>
            <w:shd w:val="clear" w:color="000000" w:fill="D9D9D9"/>
            <w:vAlign w:val="center"/>
          </w:tcPr>
          <w:p w:rsidR="00612A4B" w:rsidRPr="00D55DC6" w:rsidRDefault="00612A4B" w:rsidP="0038165F">
            <w:pPr>
              <w:widowControl/>
              <w:spacing w:line="0" w:lineRule="atLeast"/>
              <w:ind w:firstLineChars="199" w:firstLine="398"/>
              <w:rPr>
                <w:rFonts w:eastAsia="標楷體"/>
                <w:kern w:val="0"/>
                <w:sz w:val="20"/>
                <w:szCs w:val="20"/>
              </w:rPr>
            </w:pPr>
            <w:r w:rsidRPr="00D55DC6">
              <w:rPr>
                <w:rFonts w:eastAsia="標楷體"/>
                <w:kern w:val="0"/>
                <w:sz w:val="20"/>
                <w:szCs w:val="20"/>
              </w:rPr>
              <w:t>烏山頭宿舍搬遷後活化</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74</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75</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76</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77</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78</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79</w:t>
            </w:r>
          </w:p>
        </w:tc>
      </w:tr>
      <w:tr w:rsidR="001D0350" w:rsidRPr="00D55DC6" w:rsidTr="008D5222">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spacing w:line="0" w:lineRule="atLeast"/>
              <w:rPr>
                <w:rFonts w:eastAsia="標楷體"/>
                <w:kern w:val="0"/>
                <w:sz w:val="20"/>
                <w:szCs w:val="20"/>
              </w:rPr>
            </w:pPr>
            <w:r w:rsidRPr="00D55DC6">
              <w:rPr>
                <w:rFonts w:eastAsia="標楷體"/>
                <w:kern w:val="0"/>
                <w:sz w:val="20"/>
                <w:szCs w:val="20"/>
              </w:rPr>
              <w:t>三、促參</w:t>
            </w:r>
          </w:p>
        </w:tc>
        <w:tc>
          <w:tcPr>
            <w:tcW w:w="708"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widowControl/>
              <w:snapToGrid w:val="0"/>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widowControl/>
              <w:snapToGrid w:val="0"/>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8"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4,063</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4,063</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6,657</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6,772</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6,868</w:t>
            </w:r>
          </w:p>
        </w:tc>
      </w:tr>
      <w:tr w:rsidR="001D0350" w:rsidRPr="00D55DC6" w:rsidTr="008D5222">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spacing w:line="0" w:lineRule="atLeast"/>
              <w:ind w:firstLineChars="199" w:firstLine="398"/>
              <w:rPr>
                <w:rFonts w:eastAsia="標楷體"/>
                <w:kern w:val="0"/>
                <w:sz w:val="20"/>
                <w:szCs w:val="20"/>
              </w:rPr>
            </w:pPr>
            <w:r w:rsidRPr="00D55DC6">
              <w:rPr>
                <w:rFonts w:eastAsia="標楷體"/>
                <w:kern w:val="0"/>
                <w:sz w:val="20"/>
                <w:szCs w:val="20"/>
              </w:rPr>
              <w:t>關子嶺旅甲二</w:t>
            </w:r>
            <w:r w:rsidRPr="00D55DC6">
              <w:rPr>
                <w:rFonts w:eastAsia="標楷體"/>
                <w:kern w:val="0"/>
                <w:sz w:val="20"/>
                <w:szCs w:val="20"/>
              </w:rPr>
              <w:t>BOT</w:t>
            </w:r>
            <w:r w:rsidRPr="00D55DC6">
              <w:rPr>
                <w:rFonts w:eastAsia="標楷體"/>
                <w:kern w:val="0"/>
                <w:sz w:val="20"/>
                <w:szCs w:val="20"/>
              </w:rPr>
              <w:t>案</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2,386</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2,386</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1,564</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1,598</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1,618</w:t>
            </w:r>
          </w:p>
        </w:tc>
      </w:tr>
      <w:tr w:rsidR="001D0350" w:rsidRPr="00D55DC6" w:rsidTr="008D5222">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spacing w:line="0" w:lineRule="atLeast"/>
              <w:ind w:firstLineChars="199" w:firstLine="398"/>
              <w:rPr>
                <w:rFonts w:eastAsia="標楷體"/>
                <w:kern w:val="0"/>
                <w:sz w:val="20"/>
                <w:szCs w:val="20"/>
              </w:rPr>
            </w:pPr>
            <w:r w:rsidRPr="00D55DC6">
              <w:rPr>
                <w:rFonts w:eastAsia="標楷體"/>
                <w:kern w:val="0"/>
                <w:sz w:val="20"/>
                <w:szCs w:val="20"/>
              </w:rPr>
              <w:t>中崙溫泉區</w:t>
            </w:r>
            <w:r w:rsidRPr="00D55DC6">
              <w:rPr>
                <w:rFonts w:eastAsia="標楷體"/>
                <w:kern w:val="0"/>
                <w:sz w:val="20"/>
                <w:szCs w:val="20"/>
              </w:rPr>
              <w:t>BOT</w:t>
            </w:r>
            <w:r w:rsidRPr="00D55DC6">
              <w:rPr>
                <w:rFonts w:eastAsia="標楷體"/>
                <w:kern w:val="0"/>
                <w:sz w:val="20"/>
                <w:szCs w:val="20"/>
              </w:rPr>
              <w:t>案</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248</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248</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1,131</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1,149</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1,166</w:t>
            </w:r>
          </w:p>
        </w:tc>
      </w:tr>
      <w:tr w:rsidR="001D0350" w:rsidRPr="00D55DC6" w:rsidTr="008D5222">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spacing w:line="0" w:lineRule="atLeast"/>
              <w:ind w:firstLineChars="199" w:firstLine="398"/>
              <w:rPr>
                <w:rFonts w:eastAsia="標楷體"/>
                <w:kern w:val="0"/>
                <w:sz w:val="20"/>
                <w:szCs w:val="20"/>
              </w:rPr>
            </w:pPr>
            <w:r w:rsidRPr="00D55DC6">
              <w:rPr>
                <w:rFonts w:eastAsia="標楷體"/>
                <w:kern w:val="0"/>
                <w:sz w:val="20"/>
                <w:szCs w:val="20"/>
              </w:rPr>
              <w:t>處本部餐旅設施</w:t>
            </w:r>
            <w:r w:rsidRPr="00D55DC6">
              <w:rPr>
                <w:rFonts w:eastAsia="標楷體"/>
                <w:kern w:val="0"/>
                <w:sz w:val="20"/>
                <w:szCs w:val="20"/>
              </w:rPr>
              <w:t>BOT</w:t>
            </w:r>
            <w:r w:rsidRPr="00D55DC6">
              <w:rPr>
                <w:rFonts w:eastAsia="標楷體"/>
                <w:kern w:val="0"/>
                <w:sz w:val="20"/>
                <w:szCs w:val="20"/>
              </w:rPr>
              <w:t>案</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1,428</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1,428</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3,962</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4,025</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4,084</w:t>
            </w:r>
          </w:p>
        </w:tc>
      </w:tr>
      <w:tr w:rsidR="001D0350" w:rsidRPr="00D55DC6" w:rsidTr="008D5222">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spacing w:line="0" w:lineRule="atLeast"/>
              <w:rPr>
                <w:rFonts w:eastAsia="標楷體"/>
                <w:kern w:val="0"/>
                <w:sz w:val="20"/>
                <w:szCs w:val="20"/>
              </w:rPr>
            </w:pPr>
            <w:r w:rsidRPr="00D55DC6">
              <w:rPr>
                <w:rFonts w:eastAsia="標楷體"/>
                <w:kern w:val="0"/>
                <w:sz w:val="20"/>
                <w:szCs w:val="20"/>
              </w:rPr>
              <w:t>四、跨域加值</w:t>
            </w:r>
            <w:r w:rsidRPr="00D55DC6">
              <w:rPr>
                <w:rFonts w:eastAsia="標楷體"/>
                <w:kern w:val="0"/>
                <w:sz w:val="20"/>
                <w:szCs w:val="20"/>
              </w:rPr>
              <w:t>(</w:t>
            </w:r>
            <w:r w:rsidRPr="00D55DC6">
              <w:rPr>
                <w:rFonts w:eastAsia="標楷體"/>
                <w:kern w:val="0"/>
                <w:sz w:val="20"/>
                <w:szCs w:val="20"/>
              </w:rPr>
              <w:t>合作開發</w:t>
            </w:r>
            <w:r w:rsidRPr="00D55DC6">
              <w:rPr>
                <w:rFonts w:eastAsia="標楷體"/>
                <w:kern w:val="0"/>
                <w:sz w:val="20"/>
                <w:szCs w:val="20"/>
              </w:rPr>
              <w:t>)</w:t>
            </w:r>
          </w:p>
        </w:tc>
        <w:tc>
          <w:tcPr>
            <w:tcW w:w="708"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10,500</w:t>
            </w:r>
          </w:p>
        </w:tc>
        <w:tc>
          <w:tcPr>
            <w:tcW w:w="708"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10,500</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10,500</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10,500</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10,500</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10,500</w:t>
            </w:r>
          </w:p>
        </w:tc>
      </w:tr>
      <w:tr w:rsidR="001D0350" w:rsidRPr="00D55DC6" w:rsidTr="008D5222">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spacing w:line="0" w:lineRule="atLeast"/>
              <w:rPr>
                <w:rFonts w:eastAsia="標楷體"/>
                <w:kern w:val="0"/>
                <w:sz w:val="20"/>
                <w:szCs w:val="20"/>
              </w:rPr>
            </w:pPr>
            <w:r w:rsidRPr="00D55DC6">
              <w:rPr>
                <w:rFonts w:eastAsia="標楷體"/>
                <w:kern w:val="0"/>
                <w:sz w:val="20"/>
                <w:szCs w:val="20"/>
              </w:rPr>
              <w:t>五、創新收入</w:t>
            </w:r>
          </w:p>
        </w:tc>
        <w:tc>
          <w:tcPr>
            <w:tcW w:w="708"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948</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962</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976</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991</w:t>
            </w:r>
          </w:p>
        </w:tc>
        <w:tc>
          <w:tcPr>
            <w:tcW w:w="708"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1,006</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1,021</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1,036</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1,052</w:t>
            </w:r>
          </w:p>
        </w:tc>
        <w:tc>
          <w:tcPr>
            <w:tcW w:w="709"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1,067</w:t>
            </w:r>
          </w:p>
        </w:tc>
      </w:tr>
      <w:tr w:rsidR="001D0350" w:rsidRPr="00D55DC6" w:rsidTr="008D5222">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spacing w:line="0" w:lineRule="atLeast"/>
              <w:ind w:firstLineChars="199" w:firstLine="398"/>
              <w:rPr>
                <w:rFonts w:eastAsia="標楷體"/>
                <w:kern w:val="0"/>
                <w:sz w:val="20"/>
                <w:szCs w:val="20"/>
              </w:rPr>
            </w:pPr>
            <w:r w:rsidRPr="00D55DC6">
              <w:rPr>
                <w:rFonts w:eastAsia="標楷體"/>
                <w:kern w:val="0"/>
                <w:sz w:val="20"/>
                <w:szCs w:val="20"/>
              </w:rPr>
              <w:t>出版品販售</w:t>
            </w:r>
          </w:p>
        </w:tc>
        <w:tc>
          <w:tcPr>
            <w:tcW w:w="708" w:type="dxa"/>
            <w:tcBorders>
              <w:top w:val="nil"/>
              <w:left w:val="nil"/>
              <w:bottom w:val="single" w:sz="4" w:space="0" w:color="auto"/>
              <w:right w:val="single" w:sz="4" w:space="0" w:color="auto"/>
            </w:tcBorders>
            <w:shd w:val="clear" w:color="auto" w:fill="auto"/>
            <w:noWrap/>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25</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25</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26</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26</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27</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27</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27</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28</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28</w:t>
            </w:r>
          </w:p>
        </w:tc>
      </w:tr>
      <w:tr w:rsidR="001D0350" w:rsidRPr="00D55DC6" w:rsidTr="008D5222">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spacing w:line="0" w:lineRule="atLeast"/>
              <w:ind w:firstLineChars="199" w:firstLine="398"/>
              <w:rPr>
                <w:rFonts w:eastAsia="標楷體"/>
                <w:kern w:val="0"/>
                <w:sz w:val="20"/>
                <w:szCs w:val="20"/>
              </w:rPr>
            </w:pPr>
            <w:r w:rsidRPr="00D55DC6">
              <w:rPr>
                <w:rFonts w:eastAsia="標楷體"/>
                <w:kern w:val="0"/>
                <w:sz w:val="20"/>
                <w:szCs w:val="20"/>
              </w:rPr>
              <w:t>文創商品販售</w:t>
            </w:r>
          </w:p>
        </w:tc>
        <w:tc>
          <w:tcPr>
            <w:tcW w:w="708" w:type="dxa"/>
            <w:tcBorders>
              <w:top w:val="nil"/>
              <w:left w:val="nil"/>
              <w:bottom w:val="single" w:sz="4" w:space="0" w:color="auto"/>
              <w:right w:val="single" w:sz="4" w:space="0" w:color="auto"/>
            </w:tcBorders>
            <w:shd w:val="clear" w:color="auto" w:fill="auto"/>
            <w:noWrap/>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473</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480</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487</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494</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501</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509</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517</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524</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532</w:t>
            </w:r>
          </w:p>
        </w:tc>
      </w:tr>
      <w:tr w:rsidR="001D0350" w:rsidRPr="00D55DC6" w:rsidTr="008D5222">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snapToGrid w:val="0"/>
              <w:spacing w:line="0" w:lineRule="atLeast"/>
              <w:ind w:firstLineChars="199" w:firstLine="398"/>
              <w:rPr>
                <w:rFonts w:eastAsia="標楷體"/>
                <w:kern w:val="0"/>
                <w:sz w:val="20"/>
                <w:szCs w:val="20"/>
              </w:rPr>
            </w:pPr>
            <w:r w:rsidRPr="00D55DC6">
              <w:rPr>
                <w:rFonts w:eastAsia="標楷體"/>
                <w:kern w:val="0"/>
                <w:sz w:val="20"/>
                <w:szCs w:val="20"/>
              </w:rPr>
              <w:t>飲料、衛生用品販賣機</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360</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365</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371</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376</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382</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388</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394</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400</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406</w:t>
            </w:r>
          </w:p>
        </w:tc>
      </w:tr>
      <w:tr w:rsidR="001D0350" w:rsidRPr="00D55DC6" w:rsidTr="008D5222">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spacing w:line="0" w:lineRule="atLeast"/>
              <w:ind w:firstLineChars="199" w:firstLine="398"/>
              <w:rPr>
                <w:rFonts w:eastAsia="標楷體"/>
                <w:kern w:val="0"/>
                <w:sz w:val="20"/>
                <w:szCs w:val="20"/>
              </w:rPr>
            </w:pPr>
            <w:r w:rsidRPr="00D55DC6">
              <w:rPr>
                <w:rFonts w:eastAsia="標楷體"/>
                <w:kern w:val="0"/>
                <w:sz w:val="20"/>
                <w:szCs w:val="20"/>
              </w:rPr>
              <w:t>廣告牆面出租、太陽能</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90</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91</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93</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94</w:t>
            </w:r>
          </w:p>
        </w:tc>
        <w:tc>
          <w:tcPr>
            <w:tcW w:w="708"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96</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97</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98</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100</w:t>
            </w:r>
          </w:p>
        </w:tc>
        <w:tc>
          <w:tcPr>
            <w:tcW w:w="709"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101</w:t>
            </w:r>
          </w:p>
        </w:tc>
      </w:tr>
      <w:tr w:rsidR="001D0350" w:rsidRPr="00D55DC6" w:rsidTr="008D5222">
        <w:trPr>
          <w:trHeight w:val="345"/>
        </w:trPr>
        <w:tc>
          <w:tcPr>
            <w:tcW w:w="2552" w:type="dxa"/>
            <w:tcBorders>
              <w:top w:val="nil"/>
              <w:left w:val="single" w:sz="4" w:space="0" w:color="auto"/>
              <w:bottom w:val="double" w:sz="6" w:space="0" w:color="auto"/>
              <w:right w:val="single" w:sz="4" w:space="0" w:color="auto"/>
            </w:tcBorders>
            <w:shd w:val="clear" w:color="000000" w:fill="D9D9D9"/>
            <w:noWrap/>
            <w:vAlign w:val="center"/>
          </w:tcPr>
          <w:p w:rsidR="00612A4B" w:rsidRPr="00D55DC6" w:rsidRDefault="00612A4B" w:rsidP="0038165F">
            <w:pPr>
              <w:widowControl/>
              <w:spacing w:line="0" w:lineRule="atLeas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合</w:t>
            </w:r>
            <w:r w:rsidRPr="00D55DC6">
              <w:rPr>
                <w:rFonts w:eastAsia="標楷體"/>
                <w:kern w:val="0"/>
                <w:sz w:val="20"/>
                <w:szCs w:val="20"/>
              </w:rPr>
              <w:t xml:space="preserve">          </w:t>
            </w:r>
            <w:r w:rsidRPr="00D55DC6">
              <w:rPr>
                <w:rFonts w:eastAsia="標楷體"/>
                <w:kern w:val="0"/>
                <w:sz w:val="20"/>
                <w:szCs w:val="20"/>
              </w:rPr>
              <w:t>計</w:t>
            </w:r>
          </w:p>
        </w:tc>
        <w:tc>
          <w:tcPr>
            <w:tcW w:w="708" w:type="dxa"/>
            <w:tcBorders>
              <w:top w:val="nil"/>
              <w:left w:val="nil"/>
              <w:bottom w:val="double" w:sz="6" w:space="0" w:color="auto"/>
              <w:right w:val="single" w:sz="4" w:space="0" w:color="auto"/>
            </w:tcBorders>
            <w:shd w:val="clear" w:color="000000" w:fill="E4DFEC"/>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90</w:t>
            </w:r>
          </w:p>
        </w:tc>
        <w:tc>
          <w:tcPr>
            <w:tcW w:w="709" w:type="dxa"/>
            <w:tcBorders>
              <w:top w:val="nil"/>
              <w:left w:val="nil"/>
              <w:bottom w:val="double" w:sz="6" w:space="0" w:color="auto"/>
              <w:right w:val="single" w:sz="4" w:space="0" w:color="auto"/>
            </w:tcBorders>
            <w:shd w:val="clear" w:color="000000" w:fill="E4DFEC"/>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1,186</w:t>
            </w:r>
          </w:p>
        </w:tc>
        <w:tc>
          <w:tcPr>
            <w:tcW w:w="709" w:type="dxa"/>
            <w:tcBorders>
              <w:top w:val="nil"/>
              <w:left w:val="nil"/>
              <w:bottom w:val="double" w:sz="6" w:space="0" w:color="auto"/>
              <w:right w:val="single" w:sz="4" w:space="0" w:color="auto"/>
            </w:tcBorders>
            <w:shd w:val="clear" w:color="000000" w:fill="E4DFEC"/>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1,273</w:t>
            </w:r>
          </w:p>
        </w:tc>
        <w:tc>
          <w:tcPr>
            <w:tcW w:w="709" w:type="dxa"/>
            <w:tcBorders>
              <w:top w:val="nil"/>
              <w:left w:val="nil"/>
              <w:bottom w:val="double" w:sz="6" w:space="0" w:color="auto"/>
              <w:right w:val="single" w:sz="4" w:space="0" w:color="auto"/>
            </w:tcBorders>
            <w:shd w:val="clear" w:color="000000" w:fill="E4DFEC"/>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1,814</w:t>
            </w:r>
          </w:p>
        </w:tc>
        <w:tc>
          <w:tcPr>
            <w:tcW w:w="709" w:type="dxa"/>
            <w:tcBorders>
              <w:top w:val="nil"/>
              <w:left w:val="nil"/>
              <w:bottom w:val="double" w:sz="6" w:space="0" w:color="auto"/>
              <w:right w:val="single" w:sz="4" w:space="0" w:color="auto"/>
            </w:tcBorders>
            <w:shd w:val="clear" w:color="000000" w:fill="E4DFEC"/>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12,433</w:t>
            </w:r>
          </w:p>
        </w:tc>
        <w:tc>
          <w:tcPr>
            <w:tcW w:w="708" w:type="dxa"/>
            <w:tcBorders>
              <w:top w:val="nil"/>
              <w:left w:val="nil"/>
              <w:bottom w:val="double" w:sz="6" w:space="0" w:color="auto"/>
              <w:right w:val="single" w:sz="4" w:space="0" w:color="auto"/>
            </w:tcBorders>
            <w:shd w:val="clear" w:color="000000" w:fill="E4DFEC"/>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16,544</w:t>
            </w:r>
          </w:p>
        </w:tc>
        <w:tc>
          <w:tcPr>
            <w:tcW w:w="709" w:type="dxa"/>
            <w:tcBorders>
              <w:top w:val="nil"/>
              <w:left w:val="nil"/>
              <w:bottom w:val="double" w:sz="6" w:space="0" w:color="auto"/>
              <w:right w:val="single" w:sz="4" w:space="0" w:color="auto"/>
            </w:tcBorders>
            <w:shd w:val="clear" w:color="000000" w:fill="E4DFEC"/>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16,567</w:t>
            </w:r>
          </w:p>
        </w:tc>
        <w:tc>
          <w:tcPr>
            <w:tcW w:w="709" w:type="dxa"/>
            <w:tcBorders>
              <w:top w:val="nil"/>
              <w:left w:val="nil"/>
              <w:bottom w:val="double" w:sz="6" w:space="0" w:color="auto"/>
              <w:right w:val="single" w:sz="4" w:space="0" w:color="auto"/>
            </w:tcBorders>
            <w:shd w:val="clear" w:color="000000" w:fill="E4DFEC"/>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19,185</w:t>
            </w:r>
          </w:p>
        </w:tc>
        <w:tc>
          <w:tcPr>
            <w:tcW w:w="709" w:type="dxa"/>
            <w:tcBorders>
              <w:top w:val="nil"/>
              <w:left w:val="nil"/>
              <w:bottom w:val="double" w:sz="6" w:space="0" w:color="auto"/>
              <w:right w:val="single" w:sz="4" w:space="0" w:color="auto"/>
            </w:tcBorders>
            <w:shd w:val="clear" w:color="000000" w:fill="E4DFEC"/>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19,350</w:t>
            </w:r>
          </w:p>
        </w:tc>
        <w:tc>
          <w:tcPr>
            <w:tcW w:w="709" w:type="dxa"/>
            <w:tcBorders>
              <w:top w:val="nil"/>
              <w:left w:val="nil"/>
              <w:bottom w:val="double" w:sz="6" w:space="0" w:color="auto"/>
              <w:right w:val="single" w:sz="4" w:space="0" w:color="auto"/>
            </w:tcBorders>
            <w:shd w:val="clear" w:color="000000" w:fill="E4DFEC"/>
            <w:noWrap/>
            <w:vAlign w:val="center"/>
          </w:tcPr>
          <w:p w:rsidR="00612A4B" w:rsidRPr="00D55DC6" w:rsidRDefault="00612A4B" w:rsidP="0038165F">
            <w:pPr>
              <w:spacing w:line="0" w:lineRule="atLeast"/>
              <w:jc w:val="right"/>
              <w:rPr>
                <w:rFonts w:eastAsia="標楷體"/>
                <w:sz w:val="22"/>
                <w:szCs w:val="22"/>
              </w:rPr>
            </w:pPr>
            <w:r w:rsidRPr="00D55DC6">
              <w:rPr>
                <w:rFonts w:eastAsia="標楷體"/>
                <w:sz w:val="22"/>
                <w:szCs w:val="22"/>
              </w:rPr>
              <w:t>19,470</w:t>
            </w:r>
          </w:p>
        </w:tc>
      </w:tr>
    </w:tbl>
    <w:p w:rsidR="00612A4B" w:rsidRPr="00D55DC6" w:rsidRDefault="00612A4B" w:rsidP="009D33BA">
      <w:pPr>
        <w:spacing w:beforeLines="50" w:before="180"/>
        <w:ind w:left="425" w:right="-2" w:hangingChars="177" w:hanging="425"/>
        <w:rPr>
          <w:rFonts w:eastAsia="標楷體"/>
        </w:rPr>
      </w:pPr>
      <w:r w:rsidRPr="00D55DC6">
        <w:rPr>
          <w:rFonts w:eastAsia="標楷體"/>
        </w:rPr>
        <w:t>註：</w:t>
      </w:r>
      <w:r w:rsidRPr="00D55DC6">
        <w:rPr>
          <w:rFonts w:eastAsia="標楷體"/>
          <w:kern w:val="0"/>
        </w:rPr>
        <w:t>管理處與經營業者進行跨域加值合作開發，包括：現有知名景點尖山埤江南度假村（台糖公司）、走馬瀨農場（台南市農會）、烏山頭水庫風景區（嘉南農田水利會）等。計畫每年投注</w:t>
      </w:r>
      <w:r w:rsidRPr="00D55DC6">
        <w:rPr>
          <w:rFonts w:eastAsia="標楷體"/>
          <w:kern w:val="0"/>
        </w:rPr>
        <w:t>3,000</w:t>
      </w:r>
      <w:r w:rsidRPr="00D55DC6">
        <w:rPr>
          <w:rFonts w:eastAsia="標楷體"/>
          <w:kern w:val="0"/>
        </w:rPr>
        <w:t>萬額度，由各業者提出申請協助整修其相關設施或合辦觀光行銷活動，並提出回饋計畫（至少須包括不低於管理處投資金額之</w:t>
      </w:r>
      <w:r w:rsidRPr="00D55DC6">
        <w:rPr>
          <w:rFonts w:eastAsia="標楷體"/>
          <w:kern w:val="0"/>
        </w:rPr>
        <w:t>35%</w:t>
      </w:r>
      <w:r w:rsidRPr="00D55DC6">
        <w:rPr>
          <w:rFonts w:eastAsia="標楷體"/>
          <w:kern w:val="0"/>
        </w:rPr>
        <w:t>回饋），經管理處審查同意後，簽訂合作協定或契約後辦理。</w:t>
      </w:r>
      <w:r w:rsidRPr="00D55DC6">
        <w:rPr>
          <w:rFonts w:eastAsia="標楷體"/>
        </w:rPr>
        <w:br w:type="page"/>
      </w:r>
      <w:r w:rsidRPr="00D55DC6">
        <w:rPr>
          <w:rFonts w:eastAsia="標楷體"/>
        </w:rPr>
        <w:lastRenderedPageBreak/>
        <w:t xml:space="preserve"> (</w:t>
      </w:r>
      <w:r w:rsidRPr="00D55DC6">
        <w:rPr>
          <w:rFonts w:eastAsia="標楷體"/>
        </w:rPr>
        <w:t>續</w:t>
      </w:r>
      <w:r w:rsidRPr="00D55DC6">
        <w:rPr>
          <w:rFonts w:eastAsia="標楷體"/>
        </w:rPr>
        <w:t xml:space="preserve">) </w:t>
      </w:r>
    </w:p>
    <w:tbl>
      <w:tblPr>
        <w:tblW w:w="10065" w:type="dxa"/>
        <w:tblInd w:w="28" w:type="dxa"/>
        <w:tblLayout w:type="fixed"/>
        <w:tblCellMar>
          <w:left w:w="28" w:type="dxa"/>
          <w:right w:w="28" w:type="dxa"/>
        </w:tblCellMar>
        <w:tblLook w:val="04A0" w:firstRow="1" w:lastRow="0" w:firstColumn="1" w:lastColumn="0" w:noHBand="0" w:noVBand="1"/>
      </w:tblPr>
      <w:tblGrid>
        <w:gridCol w:w="2548"/>
        <w:gridCol w:w="666"/>
        <w:gridCol w:w="667"/>
        <w:gridCol w:w="666"/>
        <w:gridCol w:w="667"/>
        <w:gridCol w:w="667"/>
        <w:gridCol w:w="666"/>
        <w:gridCol w:w="667"/>
        <w:gridCol w:w="666"/>
        <w:gridCol w:w="667"/>
        <w:gridCol w:w="667"/>
        <w:gridCol w:w="851"/>
      </w:tblGrid>
      <w:tr w:rsidR="001D0350" w:rsidRPr="00D55DC6" w:rsidTr="008D5222">
        <w:trPr>
          <w:trHeight w:val="585"/>
          <w:tblHeader/>
        </w:trPr>
        <w:tc>
          <w:tcPr>
            <w:tcW w:w="2548" w:type="dxa"/>
            <w:tcBorders>
              <w:top w:val="single" w:sz="4" w:space="0" w:color="auto"/>
              <w:left w:val="single" w:sz="4" w:space="0" w:color="auto"/>
              <w:bottom w:val="double" w:sz="6" w:space="0" w:color="auto"/>
              <w:right w:val="single" w:sz="4" w:space="0" w:color="auto"/>
            </w:tcBorders>
            <w:shd w:val="clear" w:color="000000" w:fill="FFCC00"/>
            <w:vAlign w:val="center"/>
          </w:tcPr>
          <w:p w:rsidR="00612A4B" w:rsidRPr="00D55DC6" w:rsidRDefault="00612A4B" w:rsidP="0038165F">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2"/>
                <w:szCs w:val="20"/>
              </w:rPr>
              <w:t xml:space="preserve">　　年度</w:t>
            </w:r>
            <w:r w:rsidRPr="00D55DC6">
              <w:rPr>
                <w:rFonts w:eastAsia="標楷體"/>
                <w:kern w:val="0"/>
                <w:sz w:val="22"/>
                <w:szCs w:val="20"/>
              </w:rPr>
              <w:br/>
            </w:r>
            <w:r w:rsidRPr="00D55DC6">
              <w:rPr>
                <w:rFonts w:eastAsia="標楷體"/>
                <w:kern w:val="0"/>
                <w:sz w:val="22"/>
                <w:szCs w:val="20"/>
              </w:rPr>
              <w:t>收益項目</w:t>
            </w:r>
          </w:p>
        </w:tc>
        <w:tc>
          <w:tcPr>
            <w:tcW w:w="666" w:type="dxa"/>
            <w:tcBorders>
              <w:top w:val="single" w:sz="4" w:space="0" w:color="auto"/>
              <w:left w:val="nil"/>
              <w:bottom w:val="double" w:sz="6" w:space="0" w:color="auto"/>
              <w:right w:val="single" w:sz="4" w:space="0" w:color="auto"/>
            </w:tcBorders>
            <w:shd w:val="clear" w:color="000000" w:fill="FFCC00"/>
            <w:noWrap/>
            <w:vAlign w:val="center"/>
          </w:tcPr>
          <w:p w:rsidR="00612A4B" w:rsidRPr="00D55DC6" w:rsidRDefault="00612A4B" w:rsidP="0038165F">
            <w:pPr>
              <w:widowControl/>
              <w:jc w:val="center"/>
              <w:rPr>
                <w:rFonts w:eastAsia="標楷體"/>
                <w:kern w:val="0"/>
                <w:sz w:val="20"/>
                <w:szCs w:val="20"/>
              </w:rPr>
            </w:pPr>
            <w:r w:rsidRPr="00D55DC6">
              <w:rPr>
                <w:rFonts w:eastAsia="標楷體"/>
                <w:kern w:val="0"/>
                <w:sz w:val="20"/>
                <w:szCs w:val="20"/>
              </w:rPr>
              <w:t>113</w:t>
            </w:r>
          </w:p>
        </w:tc>
        <w:tc>
          <w:tcPr>
            <w:tcW w:w="667" w:type="dxa"/>
            <w:tcBorders>
              <w:top w:val="single" w:sz="4" w:space="0" w:color="auto"/>
              <w:left w:val="nil"/>
              <w:bottom w:val="double" w:sz="6" w:space="0" w:color="auto"/>
              <w:right w:val="single" w:sz="4" w:space="0" w:color="auto"/>
            </w:tcBorders>
            <w:shd w:val="clear" w:color="000000" w:fill="FFCC00"/>
            <w:noWrap/>
            <w:vAlign w:val="center"/>
          </w:tcPr>
          <w:p w:rsidR="00612A4B" w:rsidRPr="00D55DC6" w:rsidRDefault="00612A4B" w:rsidP="0038165F">
            <w:pPr>
              <w:widowControl/>
              <w:jc w:val="center"/>
              <w:rPr>
                <w:rFonts w:eastAsia="標楷體"/>
                <w:kern w:val="0"/>
                <w:sz w:val="20"/>
                <w:szCs w:val="20"/>
              </w:rPr>
            </w:pPr>
            <w:r w:rsidRPr="00D55DC6">
              <w:rPr>
                <w:rFonts w:eastAsia="標楷體"/>
                <w:kern w:val="0"/>
                <w:sz w:val="20"/>
                <w:szCs w:val="20"/>
              </w:rPr>
              <w:t>114</w:t>
            </w:r>
          </w:p>
        </w:tc>
        <w:tc>
          <w:tcPr>
            <w:tcW w:w="666" w:type="dxa"/>
            <w:tcBorders>
              <w:top w:val="single" w:sz="4" w:space="0" w:color="auto"/>
              <w:left w:val="nil"/>
              <w:bottom w:val="double" w:sz="6" w:space="0" w:color="auto"/>
              <w:right w:val="single" w:sz="4" w:space="0" w:color="auto"/>
            </w:tcBorders>
            <w:shd w:val="clear" w:color="000000" w:fill="FFCC00"/>
            <w:noWrap/>
            <w:vAlign w:val="center"/>
          </w:tcPr>
          <w:p w:rsidR="00612A4B" w:rsidRPr="00D55DC6" w:rsidRDefault="00612A4B" w:rsidP="0038165F">
            <w:pPr>
              <w:widowControl/>
              <w:jc w:val="center"/>
              <w:rPr>
                <w:rFonts w:eastAsia="標楷體"/>
                <w:kern w:val="0"/>
                <w:sz w:val="20"/>
                <w:szCs w:val="20"/>
              </w:rPr>
            </w:pPr>
            <w:r w:rsidRPr="00D55DC6">
              <w:rPr>
                <w:rFonts w:eastAsia="標楷體"/>
                <w:kern w:val="0"/>
                <w:sz w:val="20"/>
                <w:szCs w:val="20"/>
              </w:rPr>
              <w:t>115</w:t>
            </w:r>
          </w:p>
        </w:tc>
        <w:tc>
          <w:tcPr>
            <w:tcW w:w="667" w:type="dxa"/>
            <w:tcBorders>
              <w:top w:val="single" w:sz="4" w:space="0" w:color="auto"/>
              <w:left w:val="nil"/>
              <w:bottom w:val="double" w:sz="6" w:space="0" w:color="auto"/>
              <w:right w:val="single" w:sz="4" w:space="0" w:color="auto"/>
            </w:tcBorders>
            <w:shd w:val="clear" w:color="000000" w:fill="FFCC00"/>
            <w:noWrap/>
            <w:vAlign w:val="center"/>
          </w:tcPr>
          <w:p w:rsidR="00612A4B" w:rsidRPr="00D55DC6" w:rsidRDefault="00612A4B" w:rsidP="0038165F">
            <w:pPr>
              <w:widowControl/>
              <w:jc w:val="center"/>
              <w:rPr>
                <w:rFonts w:eastAsia="標楷體"/>
                <w:kern w:val="0"/>
                <w:sz w:val="20"/>
                <w:szCs w:val="20"/>
              </w:rPr>
            </w:pPr>
            <w:r w:rsidRPr="00D55DC6">
              <w:rPr>
                <w:rFonts w:eastAsia="標楷體"/>
                <w:kern w:val="0"/>
                <w:sz w:val="20"/>
                <w:szCs w:val="20"/>
              </w:rPr>
              <w:t>116</w:t>
            </w:r>
          </w:p>
        </w:tc>
        <w:tc>
          <w:tcPr>
            <w:tcW w:w="667" w:type="dxa"/>
            <w:tcBorders>
              <w:top w:val="single" w:sz="4" w:space="0" w:color="auto"/>
              <w:left w:val="nil"/>
              <w:bottom w:val="double" w:sz="6" w:space="0" w:color="auto"/>
              <w:right w:val="single" w:sz="4" w:space="0" w:color="auto"/>
            </w:tcBorders>
            <w:shd w:val="clear" w:color="000000" w:fill="FFCC00"/>
            <w:noWrap/>
            <w:vAlign w:val="center"/>
          </w:tcPr>
          <w:p w:rsidR="00612A4B" w:rsidRPr="00D55DC6" w:rsidRDefault="00612A4B" w:rsidP="0038165F">
            <w:pPr>
              <w:widowControl/>
              <w:jc w:val="center"/>
              <w:rPr>
                <w:rFonts w:eastAsia="標楷體"/>
                <w:kern w:val="0"/>
                <w:sz w:val="20"/>
                <w:szCs w:val="20"/>
              </w:rPr>
            </w:pPr>
            <w:r w:rsidRPr="00D55DC6">
              <w:rPr>
                <w:rFonts w:eastAsia="標楷體"/>
                <w:kern w:val="0"/>
                <w:sz w:val="20"/>
                <w:szCs w:val="20"/>
              </w:rPr>
              <w:t>117</w:t>
            </w:r>
          </w:p>
        </w:tc>
        <w:tc>
          <w:tcPr>
            <w:tcW w:w="666" w:type="dxa"/>
            <w:tcBorders>
              <w:top w:val="single" w:sz="4" w:space="0" w:color="auto"/>
              <w:left w:val="nil"/>
              <w:bottom w:val="double" w:sz="6" w:space="0" w:color="auto"/>
              <w:right w:val="single" w:sz="4" w:space="0" w:color="auto"/>
            </w:tcBorders>
            <w:shd w:val="clear" w:color="000000" w:fill="FFCC00"/>
            <w:noWrap/>
            <w:vAlign w:val="center"/>
          </w:tcPr>
          <w:p w:rsidR="00612A4B" w:rsidRPr="00D55DC6" w:rsidRDefault="00612A4B" w:rsidP="0038165F">
            <w:pPr>
              <w:widowControl/>
              <w:jc w:val="center"/>
              <w:rPr>
                <w:rFonts w:eastAsia="標楷體"/>
                <w:kern w:val="0"/>
                <w:sz w:val="20"/>
                <w:szCs w:val="20"/>
              </w:rPr>
            </w:pPr>
            <w:r w:rsidRPr="00D55DC6">
              <w:rPr>
                <w:rFonts w:eastAsia="標楷體"/>
                <w:kern w:val="0"/>
                <w:sz w:val="20"/>
                <w:szCs w:val="20"/>
              </w:rPr>
              <w:t>118</w:t>
            </w:r>
          </w:p>
        </w:tc>
        <w:tc>
          <w:tcPr>
            <w:tcW w:w="667" w:type="dxa"/>
            <w:tcBorders>
              <w:top w:val="single" w:sz="4" w:space="0" w:color="auto"/>
              <w:left w:val="nil"/>
              <w:bottom w:val="double" w:sz="6" w:space="0" w:color="auto"/>
              <w:right w:val="single" w:sz="4" w:space="0" w:color="auto"/>
            </w:tcBorders>
            <w:shd w:val="clear" w:color="000000" w:fill="FFCC00"/>
            <w:noWrap/>
            <w:vAlign w:val="center"/>
          </w:tcPr>
          <w:p w:rsidR="00612A4B" w:rsidRPr="00D55DC6" w:rsidRDefault="00612A4B" w:rsidP="0038165F">
            <w:pPr>
              <w:widowControl/>
              <w:jc w:val="center"/>
              <w:rPr>
                <w:rFonts w:eastAsia="標楷體"/>
                <w:kern w:val="0"/>
                <w:sz w:val="20"/>
                <w:szCs w:val="20"/>
              </w:rPr>
            </w:pPr>
            <w:r w:rsidRPr="00D55DC6">
              <w:rPr>
                <w:rFonts w:eastAsia="標楷體"/>
                <w:kern w:val="0"/>
                <w:sz w:val="20"/>
                <w:szCs w:val="20"/>
              </w:rPr>
              <w:t>119</w:t>
            </w:r>
          </w:p>
        </w:tc>
        <w:tc>
          <w:tcPr>
            <w:tcW w:w="666" w:type="dxa"/>
            <w:tcBorders>
              <w:top w:val="single" w:sz="4" w:space="0" w:color="auto"/>
              <w:left w:val="nil"/>
              <w:bottom w:val="double" w:sz="6" w:space="0" w:color="auto"/>
              <w:right w:val="single" w:sz="4" w:space="0" w:color="auto"/>
            </w:tcBorders>
            <w:shd w:val="clear" w:color="000000" w:fill="FFCC00"/>
            <w:noWrap/>
            <w:vAlign w:val="center"/>
          </w:tcPr>
          <w:p w:rsidR="00612A4B" w:rsidRPr="00D55DC6" w:rsidRDefault="00612A4B" w:rsidP="0038165F">
            <w:pPr>
              <w:widowControl/>
              <w:jc w:val="center"/>
              <w:rPr>
                <w:rFonts w:eastAsia="標楷體"/>
                <w:kern w:val="0"/>
                <w:sz w:val="20"/>
                <w:szCs w:val="20"/>
              </w:rPr>
            </w:pPr>
            <w:r w:rsidRPr="00D55DC6">
              <w:rPr>
                <w:rFonts w:eastAsia="標楷體"/>
                <w:kern w:val="0"/>
                <w:sz w:val="20"/>
                <w:szCs w:val="20"/>
              </w:rPr>
              <w:t>120</w:t>
            </w:r>
          </w:p>
        </w:tc>
        <w:tc>
          <w:tcPr>
            <w:tcW w:w="667" w:type="dxa"/>
            <w:tcBorders>
              <w:top w:val="single" w:sz="4" w:space="0" w:color="auto"/>
              <w:left w:val="nil"/>
              <w:bottom w:val="double" w:sz="6" w:space="0" w:color="auto"/>
              <w:right w:val="single" w:sz="4" w:space="0" w:color="auto"/>
            </w:tcBorders>
            <w:shd w:val="clear" w:color="000000" w:fill="FFCC00"/>
            <w:noWrap/>
            <w:vAlign w:val="center"/>
          </w:tcPr>
          <w:p w:rsidR="00612A4B" w:rsidRPr="00D55DC6" w:rsidRDefault="00612A4B" w:rsidP="0038165F">
            <w:pPr>
              <w:widowControl/>
              <w:jc w:val="center"/>
              <w:rPr>
                <w:rFonts w:eastAsia="標楷體"/>
                <w:kern w:val="0"/>
                <w:sz w:val="20"/>
                <w:szCs w:val="20"/>
              </w:rPr>
            </w:pPr>
            <w:r w:rsidRPr="00D55DC6">
              <w:rPr>
                <w:rFonts w:eastAsia="標楷體"/>
                <w:kern w:val="0"/>
                <w:sz w:val="20"/>
                <w:szCs w:val="20"/>
              </w:rPr>
              <w:t>121</w:t>
            </w:r>
          </w:p>
        </w:tc>
        <w:tc>
          <w:tcPr>
            <w:tcW w:w="667" w:type="dxa"/>
            <w:tcBorders>
              <w:top w:val="single" w:sz="4" w:space="0" w:color="auto"/>
              <w:left w:val="nil"/>
              <w:bottom w:val="double" w:sz="6" w:space="0" w:color="auto"/>
              <w:right w:val="single" w:sz="4" w:space="0" w:color="auto"/>
            </w:tcBorders>
            <w:shd w:val="clear" w:color="000000" w:fill="FFCC00"/>
            <w:noWrap/>
            <w:vAlign w:val="center"/>
          </w:tcPr>
          <w:p w:rsidR="00612A4B" w:rsidRPr="00D55DC6" w:rsidRDefault="00612A4B" w:rsidP="0038165F">
            <w:pPr>
              <w:widowControl/>
              <w:jc w:val="center"/>
              <w:rPr>
                <w:rFonts w:eastAsia="標楷體"/>
                <w:kern w:val="0"/>
                <w:sz w:val="20"/>
                <w:szCs w:val="20"/>
              </w:rPr>
            </w:pPr>
            <w:r w:rsidRPr="00D55DC6">
              <w:rPr>
                <w:rFonts w:eastAsia="標楷體"/>
                <w:kern w:val="0"/>
                <w:sz w:val="20"/>
                <w:szCs w:val="20"/>
              </w:rPr>
              <w:t>122</w:t>
            </w:r>
          </w:p>
        </w:tc>
        <w:tc>
          <w:tcPr>
            <w:tcW w:w="851" w:type="dxa"/>
            <w:tcBorders>
              <w:top w:val="single" w:sz="4" w:space="0" w:color="auto"/>
              <w:left w:val="nil"/>
              <w:bottom w:val="double" w:sz="6" w:space="0" w:color="auto"/>
              <w:right w:val="single" w:sz="4" w:space="0" w:color="auto"/>
            </w:tcBorders>
            <w:shd w:val="clear" w:color="000000" w:fill="FFCC00"/>
            <w:noWrap/>
            <w:vAlign w:val="center"/>
          </w:tcPr>
          <w:p w:rsidR="00612A4B" w:rsidRPr="00D55DC6" w:rsidRDefault="00612A4B" w:rsidP="0038165F">
            <w:pPr>
              <w:widowControl/>
              <w:jc w:val="center"/>
              <w:rPr>
                <w:rFonts w:eastAsia="標楷體"/>
                <w:kern w:val="0"/>
                <w:sz w:val="20"/>
                <w:szCs w:val="20"/>
              </w:rPr>
            </w:pPr>
            <w:r w:rsidRPr="00D55DC6">
              <w:rPr>
                <w:rFonts w:eastAsia="標楷體"/>
                <w:kern w:val="0"/>
                <w:sz w:val="20"/>
                <w:szCs w:val="20"/>
              </w:rPr>
              <w:t>合計</w:t>
            </w:r>
          </w:p>
        </w:tc>
      </w:tr>
      <w:tr w:rsidR="001D0350" w:rsidRPr="00D55DC6" w:rsidTr="008D5222">
        <w:trPr>
          <w:trHeight w:val="345"/>
        </w:trPr>
        <w:tc>
          <w:tcPr>
            <w:tcW w:w="2548"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rPr>
                <w:rFonts w:eastAsia="標楷體"/>
                <w:kern w:val="0"/>
                <w:sz w:val="20"/>
                <w:szCs w:val="20"/>
              </w:rPr>
            </w:pPr>
            <w:r w:rsidRPr="00D55DC6">
              <w:rPr>
                <w:rFonts w:eastAsia="標楷體"/>
                <w:kern w:val="0"/>
                <w:sz w:val="20"/>
                <w:szCs w:val="20"/>
              </w:rPr>
              <w:t>一、既有收益</w:t>
            </w:r>
          </w:p>
        </w:tc>
        <w:tc>
          <w:tcPr>
            <w:tcW w:w="666"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107</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114</w:t>
            </w:r>
          </w:p>
        </w:tc>
        <w:tc>
          <w:tcPr>
            <w:tcW w:w="666"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114</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114</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120</w:t>
            </w:r>
          </w:p>
        </w:tc>
        <w:tc>
          <w:tcPr>
            <w:tcW w:w="666"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120</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120</w:t>
            </w:r>
          </w:p>
        </w:tc>
        <w:tc>
          <w:tcPr>
            <w:tcW w:w="666"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128</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128</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128</w:t>
            </w:r>
          </w:p>
        </w:tc>
        <w:tc>
          <w:tcPr>
            <w:tcW w:w="851" w:type="dxa"/>
            <w:tcBorders>
              <w:top w:val="nil"/>
              <w:left w:val="nil"/>
              <w:bottom w:val="single" w:sz="4" w:space="0" w:color="auto"/>
              <w:right w:val="single" w:sz="4" w:space="0" w:color="auto"/>
            </w:tcBorders>
            <w:shd w:val="clear" w:color="000000" w:fill="DAEEF3"/>
            <w:vAlign w:val="center"/>
          </w:tcPr>
          <w:p w:rsidR="00612A4B" w:rsidRPr="00D55DC6" w:rsidRDefault="00612A4B" w:rsidP="0038165F">
            <w:pPr>
              <w:jc w:val="right"/>
              <w:rPr>
                <w:rFonts w:eastAsia="標楷體"/>
                <w:sz w:val="22"/>
                <w:szCs w:val="22"/>
              </w:rPr>
            </w:pPr>
            <w:r w:rsidRPr="00D55DC6">
              <w:rPr>
                <w:rFonts w:eastAsia="標楷體"/>
                <w:sz w:val="22"/>
                <w:szCs w:val="22"/>
              </w:rPr>
              <w:t>2,176</w:t>
            </w:r>
          </w:p>
        </w:tc>
      </w:tr>
      <w:tr w:rsidR="001D0350" w:rsidRPr="00D55DC6" w:rsidTr="008D5222">
        <w:trPr>
          <w:trHeight w:val="68"/>
        </w:trPr>
        <w:tc>
          <w:tcPr>
            <w:tcW w:w="2548"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rPr>
                <w:rFonts w:eastAsia="標楷體"/>
                <w:kern w:val="0"/>
                <w:sz w:val="20"/>
                <w:szCs w:val="20"/>
              </w:rPr>
            </w:pPr>
            <w:r w:rsidRPr="00D55DC6">
              <w:rPr>
                <w:rFonts w:eastAsia="標楷體"/>
                <w:kern w:val="0"/>
                <w:sz w:val="20"/>
                <w:szCs w:val="20"/>
              </w:rPr>
              <w:t>二、設施出租收益</w:t>
            </w:r>
          </w:p>
        </w:tc>
        <w:tc>
          <w:tcPr>
            <w:tcW w:w="666"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sz w:val="22"/>
                <w:szCs w:val="22"/>
              </w:rPr>
            </w:pPr>
            <w:r w:rsidRPr="00D55DC6">
              <w:rPr>
                <w:sz w:val="22"/>
                <w:szCs w:val="22"/>
              </w:rPr>
              <w:t>936</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sz w:val="22"/>
                <w:szCs w:val="22"/>
              </w:rPr>
            </w:pPr>
            <w:r w:rsidRPr="00D55DC6">
              <w:rPr>
                <w:sz w:val="22"/>
                <w:szCs w:val="22"/>
              </w:rPr>
              <w:t>967</w:t>
            </w:r>
          </w:p>
        </w:tc>
        <w:tc>
          <w:tcPr>
            <w:tcW w:w="666"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sz w:val="22"/>
                <w:szCs w:val="22"/>
              </w:rPr>
            </w:pPr>
            <w:r w:rsidRPr="00D55DC6">
              <w:rPr>
                <w:sz w:val="22"/>
                <w:szCs w:val="22"/>
              </w:rPr>
              <w:t>975</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sz w:val="22"/>
                <w:szCs w:val="22"/>
              </w:rPr>
            </w:pPr>
            <w:r w:rsidRPr="00D55DC6">
              <w:rPr>
                <w:sz w:val="22"/>
                <w:szCs w:val="22"/>
              </w:rPr>
              <w:t>984</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sz w:val="22"/>
                <w:szCs w:val="22"/>
              </w:rPr>
            </w:pPr>
            <w:r w:rsidRPr="00D55DC6">
              <w:rPr>
                <w:sz w:val="22"/>
                <w:szCs w:val="22"/>
              </w:rPr>
              <w:t>1,016</w:t>
            </w:r>
          </w:p>
        </w:tc>
        <w:tc>
          <w:tcPr>
            <w:tcW w:w="666"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sz w:val="22"/>
                <w:szCs w:val="22"/>
              </w:rPr>
            </w:pPr>
            <w:r w:rsidRPr="00D55DC6">
              <w:rPr>
                <w:sz w:val="22"/>
                <w:szCs w:val="22"/>
              </w:rPr>
              <w:t>1,025</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sz w:val="22"/>
                <w:szCs w:val="22"/>
              </w:rPr>
            </w:pPr>
            <w:r w:rsidRPr="00D55DC6">
              <w:rPr>
                <w:sz w:val="22"/>
                <w:szCs w:val="22"/>
              </w:rPr>
              <w:t>1,034</w:t>
            </w:r>
          </w:p>
        </w:tc>
        <w:tc>
          <w:tcPr>
            <w:tcW w:w="666"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sz w:val="22"/>
                <w:szCs w:val="22"/>
              </w:rPr>
            </w:pPr>
            <w:r w:rsidRPr="00D55DC6">
              <w:rPr>
                <w:sz w:val="22"/>
                <w:szCs w:val="22"/>
              </w:rPr>
              <w:t>1,069</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sz w:val="22"/>
                <w:szCs w:val="22"/>
              </w:rPr>
            </w:pPr>
            <w:r w:rsidRPr="00D55DC6">
              <w:rPr>
                <w:sz w:val="22"/>
                <w:szCs w:val="22"/>
              </w:rPr>
              <w:t>1,078</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sz w:val="22"/>
                <w:szCs w:val="22"/>
              </w:rPr>
            </w:pPr>
            <w:r w:rsidRPr="00D55DC6">
              <w:rPr>
                <w:sz w:val="22"/>
                <w:szCs w:val="22"/>
              </w:rPr>
              <w:t>1,088</w:t>
            </w:r>
          </w:p>
        </w:tc>
        <w:tc>
          <w:tcPr>
            <w:tcW w:w="851" w:type="dxa"/>
            <w:tcBorders>
              <w:top w:val="nil"/>
              <w:left w:val="nil"/>
              <w:bottom w:val="single" w:sz="4" w:space="0" w:color="auto"/>
              <w:right w:val="single" w:sz="4" w:space="0" w:color="auto"/>
            </w:tcBorders>
            <w:shd w:val="clear" w:color="000000" w:fill="DAEEF3"/>
            <w:vAlign w:val="center"/>
          </w:tcPr>
          <w:p w:rsidR="00612A4B" w:rsidRPr="00D55DC6" w:rsidRDefault="00612A4B" w:rsidP="0038165F">
            <w:pPr>
              <w:jc w:val="right"/>
              <w:rPr>
                <w:sz w:val="22"/>
                <w:szCs w:val="22"/>
              </w:rPr>
            </w:pPr>
            <w:r w:rsidRPr="00D55DC6">
              <w:rPr>
                <w:sz w:val="22"/>
                <w:szCs w:val="22"/>
              </w:rPr>
              <w:t>16,618</w:t>
            </w:r>
          </w:p>
        </w:tc>
      </w:tr>
      <w:tr w:rsidR="001D0350" w:rsidRPr="00D55DC6" w:rsidTr="008D5222">
        <w:trPr>
          <w:trHeight w:val="330"/>
        </w:trPr>
        <w:tc>
          <w:tcPr>
            <w:tcW w:w="2548"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ind w:firstLineChars="199" w:firstLine="398"/>
              <w:rPr>
                <w:rFonts w:eastAsia="標楷體"/>
                <w:kern w:val="0"/>
                <w:sz w:val="20"/>
                <w:szCs w:val="20"/>
              </w:rPr>
            </w:pPr>
            <w:r w:rsidRPr="00D55DC6">
              <w:rPr>
                <w:rFonts w:eastAsia="標楷體"/>
                <w:kern w:val="0"/>
                <w:sz w:val="20"/>
                <w:szCs w:val="20"/>
              </w:rPr>
              <w:t>梅嶺資訊站賣店</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52</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53</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53</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54</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55</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56</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57</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58</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58</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59</w:t>
            </w:r>
          </w:p>
        </w:tc>
        <w:tc>
          <w:tcPr>
            <w:tcW w:w="851" w:type="dxa"/>
            <w:tcBorders>
              <w:top w:val="nil"/>
              <w:left w:val="nil"/>
              <w:bottom w:val="single" w:sz="4" w:space="0" w:color="auto"/>
              <w:right w:val="single" w:sz="4" w:space="0" w:color="auto"/>
            </w:tcBorders>
            <w:vAlign w:val="center"/>
          </w:tcPr>
          <w:p w:rsidR="00612A4B" w:rsidRPr="00D55DC6" w:rsidRDefault="00612A4B" w:rsidP="0038165F">
            <w:pPr>
              <w:jc w:val="right"/>
              <w:rPr>
                <w:sz w:val="22"/>
                <w:szCs w:val="22"/>
              </w:rPr>
            </w:pPr>
            <w:r w:rsidRPr="00D55DC6">
              <w:rPr>
                <w:sz w:val="22"/>
                <w:szCs w:val="22"/>
              </w:rPr>
              <w:t>990</w:t>
            </w:r>
          </w:p>
        </w:tc>
      </w:tr>
      <w:tr w:rsidR="001D0350" w:rsidRPr="00D55DC6" w:rsidTr="008D5222">
        <w:trPr>
          <w:trHeight w:val="330"/>
        </w:trPr>
        <w:tc>
          <w:tcPr>
            <w:tcW w:w="2548"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ind w:firstLineChars="199" w:firstLine="398"/>
              <w:rPr>
                <w:rFonts w:eastAsia="標楷體"/>
                <w:kern w:val="0"/>
                <w:sz w:val="20"/>
                <w:szCs w:val="20"/>
              </w:rPr>
            </w:pPr>
            <w:r w:rsidRPr="00D55DC6">
              <w:rPr>
                <w:rFonts w:eastAsia="標楷體"/>
                <w:kern w:val="0"/>
                <w:sz w:val="20"/>
                <w:szCs w:val="20"/>
              </w:rPr>
              <w:t>嶺頂資訊站賣店</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88</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89</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90</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92</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93</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95</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96</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97</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99</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100</w:t>
            </w:r>
          </w:p>
        </w:tc>
        <w:tc>
          <w:tcPr>
            <w:tcW w:w="851" w:type="dxa"/>
            <w:tcBorders>
              <w:top w:val="nil"/>
              <w:left w:val="nil"/>
              <w:bottom w:val="single" w:sz="4" w:space="0" w:color="auto"/>
              <w:right w:val="single" w:sz="4" w:space="0" w:color="auto"/>
            </w:tcBorders>
            <w:vAlign w:val="center"/>
          </w:tcPr>
          <w:p w:rsidR="00612A4B" w:rsidRPr="00D55DC6" w:rsidRDefault="00612A4B" w:rsidP="0038165F">
            <w:pPr>
              <w:jc w:val="right"/>
              <w:rPr>
                <w:sz w:val="22"/>
                <w:szCs w:val="22"/>
              </w:rPr>
            </w:pPr>
            <w:r w:rsidRPr="00D55DC6">
              <w:rPr>
                <w:sz w:val="22"/>
                <w:szCs w:val="22"/>
              </w:rPr>
              <w:t>1,519</w:t>
            </w:r>
          </w:p>
        </w:tc>
      </w:tr>
      <w:tr w:rsidR="001D0350" w:rsidRPr="00D55DC6" w:rsidTr="008D5222">
        <w:trPr>
          <w:trHeight w:val="330"/>
        </w:trPr>
        <w:tc>
          <w:tcPr>
            <w:tcW w:w="2548" w:type="dxa"/>
            <w:tcBorders>
              <w:top w:val="nil"/>
              <w:left w:val="single" w:sz="4" w:space="0" w:color="auto"/>
              <w:bottom w:val="single" w:sz="4" w:space="0" w:color="auto"/>
              <w:right w:val="single" w:sz="4" w:space="0" w:color="auto"/>
            </w:tcBorders>
            <w:shd w:val="clear" w:color="000000" w:fill="D9D9D9"/>
            <w:vAlign w:val="center"/>
          </w:tcPr>
          <w:p w:rsidR="00612A4B" w:rsidRPr="00D55DC6" w:rsidRDefault="00612A4B" w:rsidP="0038165F">
            <w:pPr>
              <w:widowControl/>
              <w:ind w:firstLineChars="199" w:firstLine="398"/>
              <w:rPr>
                <w:rFonts w:eastAsia="標楷體"/>
                <w:kern w:val="0"/>
                <w:sz w:val="20"/>
                <w:szCs w:val="20"/>
              </w:rPr>
            </w:pPr>
            <w:r w:rsidRPr="00D55DC6">
              <w:rPr>
                <w:rFonts w:eastAsia="標楷體"/>
                <w:kern w:val="0"/>
                <w:sz w:val="20"/>
                <w:szCs w:val="20"/>
              </w:rPr>
              <w:t>大埔遊客中心</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48</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49</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50</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50</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51</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52</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53</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54</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54</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55</w:t>
            </w:r>
          </w:p>
        </w:tc>
        <w:tc>
          <w:tcPr>
            <w:tcW w:w="851" w:type="dxa"/>
            <w:tcBorders>
              <w:top w:val="nil"/>
              <w:left w:val="nil"/>
              <w:bottom w:val="single" w:sz="4" w:space="0" w:color="auto"/>
              <w:right w:val="single" w:sz="4" w:space="0" w:color="auto"/>
            </w:tcBorders>
            <w:vAlign w:val="center"/>
          </w:tcPr>
          <w:p w:rsidR="00612A4B" w:rsidRPr="00D55DC6" w:rsidRDefault="00612A4B" w:rsidP="0038165F">
            <w:pPr>
              <w:jc w:val="right"/>
              <w:rPr>
                <w:sz w:val="22"/>
                <w:szCs w:val="22"/>
              </w:rPr>
            </w:pPr>
            <w:r w:rsidRPr="00D55DC6">
              <w:rPr>
                <w:sz w:val="22"/>
                <w:szCs w:val="22"/>
              </w:rPr>
              <w:t>835</w:t>
            </w:r>
          </w:p>
        </w:tc>
      </w:tr>
      <w:tr w:rsidR="001D0350" w:rsidRPr="00D55DC6" w:rsidTr="008D5222">
        <w:trPr>
          <w:trHeight w:val="330"/>
        </w:trPr>
        <w:tc>
          <w:tcPr>
            <w:tcW w:w="2548" w:type="dxa"/>
            <w:tcBorders>
              <w:top w:val="nil"/>
              <w:left w:val="single" w:sz="4" w:space="0" w:color="auto"/>
              <w:bottom w:val="single" w:sz="4" w:space="0" w:color="auto"/>
              <w:right w:val="single" w:sz="4" w:space="0" w:color="auto"/>
            </w:tcBorders>
            <w:shd w:val="clear" w:color="000000" w:fill="D9D9D9"/>
            <w:vAlign w:val="center"/>
          </w:tcPr>
          <w:p w:rsidR="00612A4B" w:rsidRPr="00D55DC6" w:rsidRDefault="00612A4B" w:rsidP="0038165F">
            <w:pPr>
              <w:widowControl/>
              <w:ind w:firstLineChars="199" w:firstLine="398"/>
              <w:rPr>
                <w:rFonts w:eastAsia="標楷體"/>
                <w:kern w:val="0"/>
                <w:sz w:val="20"/>
                <w:szCs w:val="20"/>
              </w:rPr>
            </w:pPr>
            <w:r w:rsidRPr="00D55DC6">
              <w:rPr>
                <w:rFonts w:eastAsia="標楷體"/>
                <w:kern w:val="0"/>
                <w:sz w:val="20"/>
                <w:szCs w:val="20"/>
              </w:rPr>
              <w:t>紅葉公園賣店</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74</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75</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76</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77</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78</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79</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80</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82</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83</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84</w:t>
            </w:r>
          </w:p>
        </w:tc>
        <w:tc>
          <w:tcPr>
            <w:tcW w:w="851" w:type="dxa"/>
            <w:tcBorders>
              <w:top w:val="nil"/>
              <w:left w:val="nil"/>
              <w:bottom w:val="single" w:sz="4" w:space="0" w:color="auto"/>
              <w:right w:val="single" w:sz="4" w:space="0" w:color="auto"/>
            </w:tcBorders>
            <w:vAlign w:val="center"/>
          </w:tcPr>
          <w:p w:rsidR="00612A4B" w:rsidRPr="00D55DC6" w:rsidRDefault="00612A4B" w:rsidP="0038165F">
            <w:pPr>
              <w:jc w:val="right"/>
              <w:rPr>
                <w:sz w:val="22"/>
                <w:szCs w:val="22"/>
              </w:rPr>
            </w:pPr>
            <w:r w:rsidRPr="00D55DC6">
              <w:rPr>
                <w:sz w:val="22"/>
                <w:szCs w:val="22"/>
              </w:rPr>
              <w:t>1,338</w:t>
            </w:r>
          </w:p>
        </w:tc>
      </w:tr>
      <w:tr w:rsidR="001D0350" w:rsidRPr="00D55DC6" w:rsidTr="008D5222">
        <w:trPr>
          <w:trHeight w:val="330"/>
        </w:trPr>
        <w:tc>
          <w:tcPr>
            <w:tcW w:w="2548" w:type="dxa"/>
            <w:tcBorders>
              <w:top w:val="nil"/>
              <w:left w:val="single" w:sz="4" w:space="0" w:color="auto"/>
              <w:bottom w:val="single" w:sz="4" w:space="0" w:color="auto"/>
              <w:right w:val="single" w:sz="4" w:space="0" w:color="auto"/>
            </w:tcBorders>
            <w:shd w:val="clear" w:color="000000" w:fill="D9D9D9"/>
            <w:vAlign w:val="center"/>
          </w:tcPr>
          <w:p w:rsidR="00612A4B" w:rsidRPr="00D55DC6" w:rsidRDefault="00612A4B" w:rsidP="0038165F">
            <w:pPr>
              <w:widowControl/>
              <w:ind w:firstLineChars="199" w:firstLine="398"/>
              <w:rPr>
                <w:rFonts w:eastAsia="標楷體"/>
                <w:kern w:val="0"/>
                <w:sz w:val="20"/>
                <w:szCs w:val="20"/>
              </w:rPr>
            </w:pPr>
            <w:r w:rsidRPr="00D55DC6">
              <w:rPr>
                <w:rFonts w:eastAsia="標楷體"/>
                <w:kern w:val="0"/>
                <w:sz w:val="20"/>
                <w:szCs w:val="20"/>
              </w:rPr>
              <w:t>南化遊客中心賣店</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117</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119</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121</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123</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125</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127</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128</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130</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132</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134</w:t>
            </w:r>
          </w:p>
        </w:tc>
        <w:tc>
          <w:tcPr>
            <w:tcW w:w="851" w:type="dxa"/>
            <w:tcBorders>
              <w:top w:val="nil"/>
              <w:left w:val="nil"/>
              <w:bottom w:val="single" w:sz="4" w:space="0" w:color="auto"/>
              <w:right w:val="single" w:sz="4" w:space="0" w:color="auto"/>
            </w:tcBorders>
            <w:vAlign w:val="center"/>
          </w:tcPr>
          <w:p w:rsidR="00612A4B" w:rsidRPr="00D55DC6" w:rsidRDefault="00612A4B" w:rsidP="0038165F">
            <w:pPr>
              <w:jc w:val="right"/>
              <w:rPr>
                <w:sz w:val="22"/>
                <w:szCs w:val="22"/>
              </w:rPr>
            </w:pPr>
            <w:r w:rsidRPr="00D55DC6">
              <w:rPr>
                <w:sz w:val="22"/>
                <w:szCs w:val="22"/>
              </w:rPr>
              <w:t>2,239</w:t>
            </w:r>
          </w:p>
        </w:tc>
      </w:tr>
      <w:tr w:rsidR="001D0350" w:rsidRPr="00D55DC6" w:rsidTr="008D5222">
        <w:trPr>
          <w:trHeight w:val="330"/>
        </w:trPr>
        <w:tc>
          <w:tcPr>
            <w:tcW w:w="2548" w:type="dxa"/>
            <w:tcBorders>
              <w:top w:val="nil"/>
              <w:left w:val="single" w:sz="4" w:space="0" w:color="auto"/>
              <w:bottom w:val="single" w:sz="4" w:space="0" w:color="auto"/>
              <w:right w:val="single" w:sz="4" w:space="0" w:color="auto"/>
            </w:tcBorders>
            <w:shd w:val="clear" w:color="000000" w:fill="D9D9D9"/>
            <w:vAlign w:val="center"/>
          </w:tcPr>
          <w:p w:rsidR="00612A4B" w:rsidRPr="00D55DC6" w:rsidRDefault="00612A4B" w:rsidP="0038165F">
            <w:pPr>
              <w:widowControl/>
              <w:ind w:firstLineChars="199" w:firstLine="398"/>
              <w:rPr>
                <w:rFonts w:eastAsia="標楷體"/>
                <w:kern w:val="0"/>
                <w:sz w:val="20"/>
                <w:szCs w:val="20"/>
              </w:rPr>
            </w:pPr>
            <w:r w:rsidRPr="00D55DC6">
              <w:rPr>
                <w:rFonts w:eastAsia="標楷體"/>
                <w:kern w:val="0"/>
                <w:sz w:val="20"/>
                <w:szCs w:val="20"/>
              </w:rPr>
              <w:t>官田處本部賣店</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80</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81</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82</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83</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85</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86</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87</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89</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90</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91</w:t>
            </w:r>
          </w:p>
        </w:tc>
        <w:tc>
          <w:tcPr>
            <w:tcW w:w="851" w:type="dxa"/>
            <w:tcBorders>
              <w:top w:val="nil"/>
              <w:left w:val="nil"/>
              <w:bottom w:val="single" w:sz="4" w:space="0" w:color="auto"/>
              <w:right w:val="single" w:sz="4" w:space="0" w:color="auto"/>
            </w:tcBorders>
            <w:vAlign w:val="center"/>
          </w:tcPr>
          <w:p w:rsidR="00612A4B" w:rsidRPr="00D55DC6" w:rsidRDefault="00612A4B" w:rsidP="0038165F">
            <w:pPr>
              <w:jc w:val="right"/>
              <w:rPr>
                <w:sz w:val="22"/>
                <w:szCs w:val="22"/>
              </w:rPr>
            </w:pPr>
            <w:r w:rsidRPr="00D55DC6">
              <w:rPr>
                <w:sz w:val="22"/>
                <w:szCs w:val="22"/>
              </w:rPr>
              <w:t>1,380</w:t>
            </w:r>
          </w:p>
        </w:tc>
      </w:tr>
      <w:tr w:rsidR="001D0350" w:rsidRPr="00D55DC6" w:rsidTr="008D5222">
        <w:trPr>
          <w:trHeight w:val="330"/>
        </w:trPr>
        <w:tc>
          <w:tcPr>
            <w:tcW w:w="2548" w:type="dxa"/>
            <w:tcBorders>
              <w:top w:val="nil"/>
              <w:left w:val="single" w:sz="4" w:space="0" w:color="auto"/>
              <w:bottom w:val="single" w:sz="4" w:space="0" w:color="auto"/>
              <w:right w:val="single" w:sz="4" w:space="0" w:color="auto"/>
            </w:tcBorders>
            <w:shd w:val="clear" w:color="000000" w:fill="D9D9D9"/>
            <w:vAlign w:val="center"/>
          </w:tcPr>
          <w:p w:rsidR="00612A4B" w:rsidRPr="00D55DC6" w:rsidRDefault="00612A4B" w:rsidP="0038165F">
            <w:pPr>
              <w:widowControl/>
              <w:ind w:firstLineChars="199" w:firstLine="398"/>
              <w:rPr>
                <w:rFonts w:eastAsia="標楷體"/>
                <w:kern w:val="0"/>
                <w:sz w:val="20"/>
                <w:szCs w:val="20"/>
              </w:rPr>
            </w:pPr>
            <w:r w:rsidRPr="00D55DC6">
              <w:rPr>
                <w:rFonts w:eastAsia="標楷體"/>
                <w:kern w:val="0"/>
                <w:sz w:val="20"/>
                <w:szCs w:val="20"/>
              </w:rPr>
              <w:t>南化生態農場</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370</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392</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392</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392</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416</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416</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416</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440</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440</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440</w:t>
            </w:r>
          </w:p>
        </w:tc>
        <w:tc>
          <w:tcPr>
            <w:tcW w:w="851" w:type="dxa"/>
            <w:tcBorders>
              <w:top w:val="nil"/>
              <w:left w:val="nil"/>
              <w:bottom w:val="single" w:sz="4" w:space="0" w:color="auto"/>
              <w:right w:val="single" w:sz="4" w:space="0" w:color="auto"/>
            </w:tcBorders>
            <w:vAlign w:val="center"/>
          </w:tcPr>
          <w:p w:rsidR="00612A4B" w:rsidRPr="00D55DC6" w:rsidRDefault="00612A4B" w:rsidP="0038165F">
            <w:pPr>
              <w:jc w:val="right"/>
              <w:rPr>
                <w:sz w:val="22"/>
                <w:szCs w:val="22"/>
              </w:rPr>
            </w:pPr>
            <w:r w:rsidRPr="00D55DC6">
              <w:rPr>
                <w:sz w:val="22"/>
                <w:szCs w:val="22"/>
              </w:rPr>
              <w:t>6,558</w:t>
            </w:r>
          </w:p>
        </w:tc>
      </w:tr>
      <w:tr w:rsidR="001D0350" w:rsidRPr="00D55DC6" w:rsidTr="008D5222">
        <w:trPr>
          <w:trHeight w:val="330"/>
        </w:trPr>
        <w:tc>
          <w:tcPr>
            <w:tcW w:w="2548" w:type="dxa"/>
            <w:tcBorders>
              <w:top w:val="nil"/>
              <w:left w:val="single" w:sz="4" w:space="0" w:color="auto"/>
              <w:bottom w:val="single" w:sz="4" w:space="0" w:color="auto"/>
              <w:right w:val="single" w:sz="4" w:space="0" w:color="auto"/>
            </w:tcBorders>
            <w:shd w:val="clear" w:color="000000" w:fill="D9D9D9"/>
            <w:vAlign w:val="center"/>
          </w:tcPr>
          <w:p w:rsidR="00612A4B" w:rsidRPr="00D55DC6" w:rsidRDefault="00612A4B" w:rsidP="0038165F">
            <w:pPr>
              <w:widowControl/>
              <w:ind w:firstLineChars="199" w:firstLine="398"/>
              <w:rPr>
                <w:rFonts w:eastAsia="標楷體"/>
                <w:kern w:val="0"/>
                <w:sz w:val="20"/>
                <w:szCs w:val="20"/>
              </w:rPr>
            </w:pPr>
            <w:r w:rsidRPr="00D55DC6">
              <w:rPr>
                <w:rFonts w:eastAsia="標楷體"/>
                <w:kern w:val="0"/>
                <w:sz w:val="20"/>
                <w:szCs w:val="20"/>
              </w:rPr>
              <w:t>白河處本部搬遷後活化</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27</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27</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28</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28</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28</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29</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29</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30</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30</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31</w:t>
            </w:r>
          </w:p>
        </w:tc>
        <w:tc>
          <w:tcPr>
            <w:tcW w:w="851" w:type="dxa"/>
            <w:tcBorders>
              <w:top w:val="nil"/>
              <w:left w:val="nil"/>
              <w:bottom w:val="single" w:sz="4" w:space="0" w:color="auto"/>
              <w:right w:val="single" w:sz="4" w:space="0" w:color="auto"/>
            </w:tcBorders>
            <w:vAlign w:val="center"/>
          </w:tcPr>
          <w:p w:rsidR="00612A4B" w:rsidRPr="00D55DC6" w:rsidRDefault="00612A4B" w:rsidP="0038165F">
            <w:pPr>
              <w:jc w:val="right"/>
              <w:rPr>
                <w:sz w:val="22"/>
                <w:szCs w:val="22"/>
              </w:rPr>
            </w:pPr>
            <w:r w:rsidRPr="00D55DC6">
              <w:rPr>
                <w:sz w:val="22"/>
                <w:szCs w:val="22"/>
              </w:rPr>
              <w:t>439</w:t>
            </w:r>
          </w:p>
        </w:tc>
      </w:tr>
      <w:tr w:rsidR="001D0350" w:rsidRPr="00D55DC6" w:rsidTr="008D5222">
        <w:trPr>
          <w:trHeight w:val="330"/>
        </w:trPr>
        <w:tc>
          <w:tcPr>
            <w:tcW w:w="2548" w:type="dxa"/>
            <w:tcBorders>
              <w:top w:val="nil"/>
              <w:left w:val="single" w:sz="4" w:space="0" w:color="auto"/>
              <w:bottom w:val="single" w:sz="4" w:space="0" w:color="auto"/>
              <w:right w:val="single" w:sz="4" w:space="0" w:color="auto"/>
            </w:tcBorders>
            <w:shd w:val="clear" w:color="000000" w:fill="D9D9D9"/>
            <w:vAlign w:val="center"/>
          </w:tcPr>
          <w:p w:rsidR="00612A4B" w:rsidRPr="00D55DC6" w:rsidRDefault="00612A4B" w:rsidP="0038165F">
            <w:pPr>
              <w:widowControl/>
              <w:ind w:firstLineChars="199" w:firstLine="398"/>
              <w:rPr>
                <w:rFonts w:eastAsia="標楷體"/>
                <w:kern w:val="0"/>
                <w:sz w:val="20"/>
                <w:szCs w:val="20"/>
              </w:rPr>
            </w:pPr>
            <w:r w:rsidRPr="00D55DC6">
              <w:rPr>
                <w:rFonts w:eastAsia="標楷體"/>
                <w:kern w:val="0"/>
                <w:sz w:val="20"/>
                <w:szCs w:val="20"/>
              </w:rPr>
              <w:t>烏山頭宿舍搬遷後活化</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81</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82</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83</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84</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85</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87</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88</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89</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91</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92</w:t>
            </w:r>
          </w:p>
        </w:tc>
        <w:tc>
          <w:tcPr>
            <w:tcW w:w="851" w:type="dxa"/>
            <w:tcBorders>
              <w:top w:val="nil"/>
              <w:left w:val="nil"/>
              <w:bottom w:val="single" w:sz="4" w:space="0" w:color="auto"/>
              <w:right w:val="single" w:sz="4" w:space="0" w:color="auto"/>
            </w:tcBorders>
            <w:vAlign w:val="center"/>
          </w:tcPr>
          <w:p w:rsidR="00612A4B" w:rsidRPr="00D55DC6" w:rsidRDefault="00612A4B" w:rsidP="0038165F">
            <w:pPr>
              <w:jc w:val="right"/>
              <w:rPr>
                <w:sz w:val="22"/>
                <w:szCs w:val="22"/>
              </w:rPr>
            </w:pPr>
            <w:r w:rsidRPr="00D55DC6">
              <w:rPr>
                <w:sz w:val="22"/>
                <w:szCs w:val="22"/>
              </w:rPr>
              <w:t>1,321</w:t>
            </w:r>
          </w:p>
        </w:tc>
      </w:tr>
      <w:tr w:rsidR="001D0350" w:rsidRPr="00D55DC6" w:rsidTr="008D5222">
        <w:trPr>
          <w:trHeight w:val="330"/>
        </w:trPr>
        <w:tc>
          <w:tcPr>
            <w:tcW w:w="2548"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rPr>
                <w:rFonts w:eastAsia="標楷體"/>
                <w:kern w:val="0"/>
                <w:sz w:val="20"/>
                <w:szCs w:val="20"/>
              </w:rPr>
            </w:pPr>
            <w:r w:rsidRPr="00D55DC6">
              <w:rPr>
                <w:rFonts w:eastAsia="標楷體"/>
                <w:kern w:val="0"/>
                <w:sz w:val="20"/>
                <w:szCs w:val="20"/>
              </w:rPr>
              <w:t>三、促參</w:t>
            </w:r>
          </w:p>
        </w:tc>
        <w:tc>
          <w:tcPr>
            <w:tcW w:w="666"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6,966</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7,086</w:t>
            </w:r>
          </w:p>
        </w:tc>
        <w:tc>
          <w:tcPr>
            <w:tcW w:w="666"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7,187</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7,289</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7,415</w:t>
            </w:r>
          </w:p>
        </w:tc>
        <w:tc>
          <w:tcPr>
            <w:tcW w:w="666"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7,520</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7,627</w:t>
            </w:r>
          </w:p>
        </w:tc>
        <w:tc>
          <w:tcPr>
            <w:tcW w:w="666"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7,759</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7,869</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7,981</w:t>
            </w:r>
          </w:p>
        </w:tc>
        <w:tc>
          <w:tcPr>
            <w:tcW w:w="851" w:type="dxa"/>
            <w:tcBorders>
              <w:top w:val="nil"/>
              <w:left w:val="nil"/>
              <w:bottom w:val="single" w:sz="4" w:space="0" w:color="auto"/>
              <w:right w:val="single" w:sz="4" w:space="0" w:color="auto"/>
            </w:tcBorders>
            <w:shd w:val="clear" w:color="000000" w:fill="DAEEF3"/>
            <w:vAlign w:val="center"/>
          </w:tcPr>
          <w:p w:rsidR="00612A4B" w:rsidRPr="00D55DC6" w:rsidRDefault="00612A4B" w:rsidP="0038165F">
            <w:pPr>
              <w:jc w:val="right"/>
              <w:rPr>
                <w:rFonts w:eastAsia="標楷體"/>
                <w:sz w:val="22"/>
                <w:szCs w:val="22"/>
              </w:rPr>
            </w:pPr>
            <w:r w:rsidRPr="00D55DC6">
              <w:rPr>
                <w:rFonts w:eastAsia="標楷體"/>
                <w:sz w:val="22"/>
                <w:szCs w:val="22"/>
              </w:rPr>
              <w:t>103,124</w:t>
            </w:r>
          </w:p>
        </w:tc>
      </w:tr>
      <w:tr w:rsidR="001D0350" w:rsidRPr="00D55DC6" w:rsidTr="008D5222">
        <w:trPr>
          <w:trHeight w:val="330"/>
        </w:trPr>
        <w:tc>
          <w:tcPr>
            <w:tcW w:w="2548"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ind w:firstLineChars="199" w:firstLine="398"/>
              <w:rPr>
                <w:rFonts w:eastAsia="標楷體"/>
                <w:kern w:val="0"/>
                <w:sz w:val="20"/>
                <w:szCs w:val="20"/>
              </w:rPr>
            </w:pPr>
            <w:r w:rsidRPr="00D55DC6">
              <w:rPr>
                <w:rFonts w:eastAsia="標楷體"/>
                <w:kern w:val="0"/>
                <w:sz w:val="20"/>
                <w:szCs w:val="20"/>
              </w:rPr>
              <w:t>關子嶺旅甲二</w:t>
            </w:r>
            <w:r w:rsidRPr="00D55DC6">
              <w:rPr>
                <w:rFonts w:eastAsia="標楷體"/>
                <w:kern w:val="0"/>
                <w:sz w:val="20"/>
                <w:szCs w:val="20"/>
              </w:rPr>
              <w:t>BOT</w:t>
            </w:r>
            <w:r w:rsidRPr="00D55DC6">
              <w:rPr>
                <w:rFonts w:eastAsia="標楷體"/>
                <w:kern w:val="0"/>
                <w:sz w:val="20"/>
                <w:szCs w:val="20"/>
              </w:rPr>
              <w:t>案</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1,638</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1,674</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1,695</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1,717</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1,755</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1,777</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1,799</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1,839</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1,862</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1,885</w:t>
            </w:r>
          </w:p>
        </w:tc>
        <w:tc>
          <w:tcPr>
            <w:tcW w:w="851" w:type="dxa"/>
            <w:tcBorders>
              <w:top w:val="nil"/>
              <w:left w:val="nil"/>
              <w:bottom w:val="single" w:sz="4" w:space="0" w:color="auto"/>
              <w:right w:val="single" w:sz="4" w:space="0" w:color="auto"/>
            </w:tcBorders>
            <w:vAlign w:val="center"/>
          </w:tcPr>
          <w:p w:rsidR="00612A4B" w:rsidRPr="00D55DC6" w:rsidRDefault="00612A4B" w:rsidP="0038165F">
            <w:pPr>
              <w:jc w:val="right"/>
              <w:rPr>
                <w:rFonts w:eastAsia="標楷體"/>
                <w:sz w:val="22"/>
                <w:szCs w:val="22"/>
              </w:rPr>
            </w:pPr>
            <w:r w:rsidRPr="00D55DC6">
              <w:rPr>
                <w:rFonts w:eastAsia="標楷體"/>
                <w:sz w:val="22"/>
                <w:szCs w:val="22"/>
              </w:rPr>
              <w:t>27,193</w:t>
            </w:r>
          </w:p>
        </w:tc>
      </w:tr>
      <w:tr w:rsidR="001D0350" w:rsidRPr="00D55DC6" w:rsidTr="008D5222">
        <w:trPr>
          <w:trHeight w:val="330"/>
        </w:trPr>
        <w:tc>
          <w:tcPr>
            <w:tcW w:w="2548"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ind w:firstLineChars="199" w:firstLine="398"/>
              <w:rPr>
                <w:rFonts w:eastAsia="標楷體"/>
                <w:kern w:val="0"/>
                <w:sz w:val="20"/>
                <w:szCs w:val="20"/>
              </w:rPr>
            </w:pPr>
            <w:r w:rsidRPr="00D55DC6">
              <w:rPr>
                <w:rFonts w:eastAsia="標楷體"/>
                <w:kern w:val="0"/>
                <w:sz w:val="20"/>
                <w:szCs w:val="20"/>
              </w:rPr>
              <w:t>中崙溫泉區</w:t>
            </w:r>
            <w:r w:rsidRPr="00D55DC6">
              <w:rPr>
                <w:rFonts w:eastAsia="標楷體"/>
                <w:kern w:val="0"/>
                <w:sz w:val="20"/>
                <w:szCs w:val="20"/>
              </w:rPr>
              <w:t>BOT</w:t>
            </w:r>
            <w:r w:rsidRPr="00D55DC6">
              <w:rPr>
                <w:rFonts w:eastAsia="標楷體"/>
                <w:kern w:val="0"/>
                <w:sz w:val="20"/>
                <w:szCs w:val="20"/>
              </w:rPr>
              <w:t>案</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1,183</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1,202</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1,220</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1,238</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1,257</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1,276</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1,294</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1,315</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1,334</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1,354</w:t>
            </w:r>
          </w:p>
        </w:tc>
        <w:tc>
          <w:tcPr>
            <w:tcW w:w="851" w:type="dxa"/>
            <w:tcBorders>
              <w:top w:val="nil"/>
              <w:left w:val="nil"/>
              <w:bottom w:val="single" w:sz="4" w:space="0" w:color="auto"/>
              <w:right w:val="single" w:sz="4" w:space="0" w:color="auto"/>
            </w:tcBorders>
            <w:vAlign w:val="center"/>
          </w:tcPr>
          <w:p w:rsidR="00612A4B" w:rsidRPr="00D55DC6" w:rsidRDefault="00612A4B" w:rsidP="0038165F">
            <w:pPr>
              <w:jc w:val="right"/>
              <w:rPr>
                <w:rFonts w:eastAsia="標楷體"/>
                <w:sz w:val="22"/>
                <w:szCs w:val="22"/>
              </w:rPr>
            </w:pPr>
            <w:r w:rsidRPr="00D55DC6">
              <w:rPr>
                <w:rFonts w:eastAsia="標楷體"/>
                <w:sz w:val="22"/>
                <w:szCs w:val="22"/>
              </w:rPr>
              <w:t>16,615</w:t>
            </w:r>
          </w:p>
        </w:tc>
      </w:tr>
      <w:tr w:rsidR="001D0350" w:rsidRPr="00D55DC6" w:rsidTr="008D5222">
        <w:trPr>
          <w:trHeight w:val="330"/>
        </w:trPr>
        <w:tc>
          <w:tcPr>
            <w:tcW w:w="2548"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ind w:firstLineChars="199" w:firstLine="398"/>
              <w:rPr>
                <w:rFonts w:eastAsia="標楷體"/>
                <w:kern w:val="0"/>
                <w:sz w:val="20"/>
                <w:szCs w:val="20"/>
              </w:rPr>
            </w:pPr>
            <w:r w:rsidRPr="00D55DC6">
              <w:rPr>
                <w:rFonts w:eastAsia="標楷體"/>
                <w:kern w:val="0"/>
                <w:sz w:val="20"/>
                <w:szCs w:val="20"/>
              </w:rPr>
              <w:t>處本部餐旅設施</w:t>
            </w:r>
            <w:r w:rsidRPr="00D55DC6">
              <w:rPr>
                <w:rFonts w:eastAsia="標楷體"/>
                <w:kern w:val="0"/>
                <w:sz w:val="20"/>
                <w:szCs w:val="20"/>
              </w:rPr>
              <w:t>BOT</w:t>
            </w:r>
            <w:r w:rsidRPr="00D55DC6">
              <w:rPr>
                <w:rFonts w:eastAsia="標楷體"/>
                <w:kern w:val="0"/>
                <w:sz w:val="20"/>
                <w:szCs w:val="20"/>
              </w:rPr>
              <w:t>案</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4,144</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4,210</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4,272</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4,335</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4,403</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4,468</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4,534</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4,606</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4,673</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rFonts w:eastAsia="標楷體"/>
                <w:sz w:val="22"/>
                <w:szCs w:val="22"/>
              </w:rPr>
            </w:pPr>
            <w:r w:rsidRPr="00D55DC6">
              <w:rPr>
                <w:rFonts w:eastAsia="標楷體"/>
                <w:sz w:val="22"/>
                <w:szCs w:val="22"/>
              </w:rPr>
              <w:t>4,742</w:t>
            </w:r>
          </w:p>
        </w:tc>
        <w:tc>
          <w:tcPr>
            <w:tcW w:w="851" w:type="dxa"/>
            <w:tcBorders>
              <w:top w:val="nil"/>
              <w:left w:val="nil"/>
              <w:bottom w:val="single" w:sz="4" w:space="0" w:color="auto"/>
              <w:right w:val="single" w:sz="4" w:space="0" w:color="auto"/>
            </w:tcBorders>
            <w:vAlign w:val="center"/>
          </w:tcPr>
          <w:p w:rsidR="00612A4B" w:rsidRPr="00D55DC6" w:rsidRDefault="00612A4B" w:rsidP="0038165F">
            <w:pPr>
              <w:jc w:val="right"/>
              <w:rPr>
                <w:rFonts w:eastAsia="標楷體"/>
                <w:sz w:val="22"/>
                <w:szCs w:val="22"/>
              </w:rPr>
            </w:pPr>
            <w:r w:rsidRPr="00D55DC6">
              <w:rPr>
                <w:rFonts w:eastAsia="標楷體"/>
                <w:sz w:val="22"/>
                <w:szCs w:val="22"/>
              </w:rPr>
              <w:t>59,315</w:t>
            </w:r>
          </w:p>
        </w:tc>
      </w:tr>
      <w:tr w:rsidR="001D0350" w:rsidRPr="00D55DC6" w:rsidTr="008D5222">
        <w:trPr>
          <w:trHeight w:val="330"/>
        </w:trPr>
        <w:tc>
          <w:tcPr>
            <w:tcW w:w="2548"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rPr>
                <w:rFonts w:eastAsia="標楷體"/>
                <w:kern w:val="0"/>
                <w:sz w:val="20"/>
                <w:szCs w:val="20"/>
              </w:rPr>
            </w:pPr>
            <w:r w:rsidRPr="00D55DC6">
              <w:rPr>
                <w:rFonts w:eastAsia="標楷體"/>
                <w:kern w:val="0"/>
                <w:sz w:val="20"/>
                <w:szCs w:val="20"/>
              </w:rPr>
              <w:t>四、跨域加值</w:t>
            </w:r>
            <w:r w:rsidRPr="00D55DC6">
              <w:rPr>
                <w:rFonts w:eastAsia="標楷體"/>
                <w:kern w:val="0"/>
                <w:sz w:val="20"/>
                <w:szCs w:val="20"/>
              </w:rPr>
              <w:t>(</w:t>
            </w:r>
            <w:r w:rsidRPr="00D55DC6">
              <w:rPr>
                <w:rFonts w:eastAsia="標楷體"/>
                <w:kern w:val="0"/>
                <w:sz w:val="20"/>
                <w:szCs w:val="20"/>
              </w:rPr>
              <w:t>合作開發</w:t>
            </w:r>
            <w:r w:rsidRPr="00D55DC6">
              <w:rPr>
                <w:rFonts w:eastAsia="標楷體"/>
                <w:kern w:val="0"/>
                <w:sz w:val="20"/>
                <w:szCs w:val="20"/>
              </w:rPr>
              <w:t>)</w:t>
            </w:r>
          </w:p>
        </w:tc>
        <w:tc>
          <w:tcPr>
            <w:tcW w:w="666"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10,500</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10,500</w:t>
            </w:r>
          </w:p>
        </w:tc>
        <w:tc>
          <w:tcPr>
            <w:tcW w:w="666"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10,500</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10,500</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10,500</w:t>
            </w:r>
          </w:p>
        </w:tc>
        <w:tc>
          <w:tcPr>
            <w:tcW w:w="666"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10,500</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10,500</w:t>
            </w:r>
          </w:p>
        </w:tc>
        <w:tc>
          <w:tcPr>
            <w:tcW w:w="666"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10,500</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10,500</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rFonts w:eastAsia="標楷體"/>
                <w:sz w:val="22"/>
                <w:szCs w:val="22"/>
              </w:rPr>
            </w:pPr>
            <w:r w:rsidRPr="00D55DC6">
              <w:rPr>
                <w:rFonts w:eastAsia="標楷體"/>
                <w:sz w:val="22"/>
                <w:szCs w:val="22"/>
              </w:rPr>
              <w:t>10,500</w:t>
            </w:r>
          </w:p>
        </w:tc>
        <w:tc>
          <w:tcPr>
            <w:tcW w:w="851" w:type="dxa"/>
            <w:tcBorders>
              <w:top w:val="nil"/>
              <w:left w:val="nil"/>
              <w:bottom w:val="single" w:sz="4" w:space="0" w:color="auto"/>
              <w:right w:val="single" w:sz="4" w:space="0" w:color="auto"/>
            </w:tcBorders>
            <w:shd w:val="clear" w:color="000000" w:fill="DAEEF3"/>
            <w:vAlign w:val="center"/>
          </w:tcPr>
          <w:p w:rsidR="00612A4B" w:rsidRPr="00D55DC6" w:rsidRDefault="00612A4B" w:rsidP="0038165F">
            <w:pPr>
              <w:jc w:val="right"/>
              <w:rPr>
                <w:rFonts w:eastAsia="標楷體"/>
                <w:sz w:val="22"/>
                <w:szCs w:val="22"/>
              </w:rPr>
            </w:pPr>
            <w:r w:rsidRPr="00D55DC6">
              <w:rPr>
                <w:rFonts w:eastAsia="標楷體"/>
                <w:sz w:val="22"/>
                <w:szCs w:val="22"/>
              </w:rPr>
              <w:t>168,000</w:t>
            </w:r>
          </w:p>
        </w:tc>
      </w:tr>
      <w:tr w:rsidR="001D0350" w:rsidRPr="00D55DC6" w:rsidTr="008D5222">
        <w:trPr>
          <w:trHeight w:val="330"/>
        </w:trPr>
        <w:tc>
          <w:tcPr>
            <w:tcW w:w="2548"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rPr>
                <w:rFonts w:eastAsia="標楷體"/>
                <w:kern w:val="0"/>
                <w:sz w:val="20"/>
                <w:szCs w:val="20"/>
              </w:rPr>
            </w:pPr>
            <w:r w:rsidRPr="00D55DC6">
              <w:rPr>
                <w:rFonts w:eastAsia="標楷體"/>
                <w:kern w:val="0"/>
                <w:sz w:val="20"/>
                <w:szCs w:val="20"/>
              </w:rPr>
              <w:t>五、創新收入</w:t>
            </w:r>
          </w:p>
        </w:tc>
        <w:tc>
          <w:tcPr>
            <w:tcW w:w="666"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sz w:val="22"/>
                <w:szCs w:val="22"/>
              </w:rPr>
            </w:pPr>
            <w:r w:rsidRPr="00D55DC6">
              <w:rPr>
                <w:sz w:val="22"/>
                <w:szCs w:val="22"/>
              </w:rPr>
              <w:t>1,083</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sz w:val="22"/>
                <w:szCs w:val="22"/>
              </w:rPr>
            </w:pPr>
            <w:r w:rsidRPr="00D55DC6">
              <w:rPr>
                <w:sz w:val="22"/>
                <w:szCs w:val="22"/>
              </w:rPr>
              <w:t>1,100</w:t>
            </w:r>
          </w:p>
        </w:tc>
        <w:tc>
          <w:tcPr>
            <w:tcW w:w="666"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sz w:val="22"/>
                <w:szCs w:val="22"/>
              </w:rPr>
            </w:pPr>
            <w:r w:rsidRPr="00D55DC6">
              <w:rPr>
                <w:sz w:val="22"/>
                <w:szCs w:val="22"/>
              </w:rPr>
              <w:t>1,116</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sz w:val="22"/>
                <w:szCs w:val="22"/>
              </w:rPr>
            </w:pPr>
            <w:r w:rsidRPr="00D55DC6">
              <w:rPr>
                <w:sz w:val="22"/>
                <w:szCs w:val="22"/>
              </w:rPr>
              <w:t>1,133</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sz w:val="22"/>
                <w:szCs w:val="22"/>
              </w:rPr>
            </w:pPr>
            <w:r w:rsidRPr="00D55DC6">
              <w:rPr>
                <w:sz w:val="22"/>
                <w:szCs w:val="22"/>
              </w:rPr>
              <w:t>1,150</w:t>
            </w:r>
          </w:p>
        </w:tc>
        <w:tc>
          <w:tcPr>
            <w:tcW w:w="666"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sz w:val="22"/>
                <w:szCs w:val="22"/>
              </w:rPr>
            </w:pPr>
            <w:r w:rsidRPr="00D55DC6">
              <w:rPr>
                <w:sz w:val="22"/>
                <w:szCs w:val="22"/>
              </w:rPr>
              <w:t>1,167</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sz w:val="22"/>
                <w:szCs w:val="22"/>
              </w:rPr>
            </w:pPr>
            <w:r w:rsidRPr="00D55DC6">
              <w:rPr>
                <w:sz w:val="22"/>
                <w:szCs w:val="22"/>
              </w:rPr>
              <w:t>1,185</w:t>
            </w:r>
          </w:p>
        </w:tc>
        <w:tc>
          <w:tcPr>
            <w:tcW w:w="666"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sz w:val="22"/>
                <w:szCs w:val="22"/>
              </w:rPr>
            </w:pPr>
            <w:r w:rsidRPr="00D55DC6">
              <w:rPr>
                <w:sz w:val="22"/>
                <w:szCs w:val="22"/>
              </w:rPr>
              <w:t>1,202</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sz w:val="22"/>
                <w:szCs w:val="22"/>
              </w:rPr>
            </w:pPr>
            <w:r w:rsidRPr="00D55DC6">
              <w:rPr>
                <w:sz w:val="22"/>
                <w:szCs w:val="22"/>
              </w:rPr>
              <w:t>1,220</w:t>
            </w:r>
          </w:p>
        </w:tc>
        <w:tc>
          <w:tcPr>
            <w:tcW w:w="667" w:type="dxa"/>
            <w:tcBorders>
              <w:top w:val="nil"/>
              <w:left w:val="nil"/>
              <w:bottom w:val="single" w:sz="4" w:space="0" w:color="auto"/>
              <w:right w:val="single" w:sz="4" w:space="0" w:color="auto"/>
            </w:tcBorders>
            <w:shd w:val="clear" w:color="000000" w:fill="DAEEF3"/>
            <w:noWrap/>
            <w:vAlign w:val="center"/>
          </w:tcPr>
          <w:p w:rsidR="00612A4B" w:rsidRPr="00D55DC6" w:rsidRDefault="00612A4B" w:rsidP="0038165F">
            <w:pPr>
              <w:jc w:val="right"/>
              <w:rPr>
                <w:sz w:val="22"/>
                <w:szCs w:val="22"/>
              </w:rPr>
            </w:pPr>
            <w:r w:rsidRPr="00D55DC6">
              <w:rPr>
                <w:sz w:val="22"/>
                <w:szCs w:val="22"/>
              </w:rPr>
              <w:t>1,239</w:t>
            </w:r>
          </w:p>
        </w:tc>
        <w:tc>
          <w:tcPr>
            <w:tcW w:w="851" w:type="dxa"/>
            <w:tcBorders>
              <w:top w:val="nil"/>
              <w:left w:val="nil"/>
              <w:bottom w:val="single" w:sz="4" w:space="0" w:color="auto"/>
              <w:right w:val="single" w:sz="4" w:space="0" w:color="auto"/>
            </w:tcBorders>
            <w:shd w:val="clear" w:color="000000" w:fill="DAEEF3"/>
            <w:vAlign w:val="center"/>
          </w:tcPr>
          <w:p w:rsidR="00612A4B" w:rsidRPr="00D55DC6" w:rsidRDefault="00612A4B" w:rsidP="0038165F">
            <w:pPr>
              <w:jc w:val="right"/>
              <w:rPr>
                <w:sz w:val="22"/>
                <w:szCs w:val="22"/>
              </w:rPr>
            </w:pPr>
            <w:r w:rsidRPr="00D55DC6">
              <w:rPr>
                <w:sz w:val="22"/>
                <w:szCs w:val="22"/>
              </w:rPr>
              <w:t>20,652</w:t>
            </w:r>
          </w:p>
        </w:tc>
      </w:tr>
      <w:tr w:rsidR="001D0350" w:rsidRPr="00D55DC6" w:rsidTr="008D5222">
        <w:trPr>
          <w:trHeight w:val="51"/>
        </w:trPr>
        <w:tc>
          <w:tcPr>
            <w:tcW w:w="2548"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ind w:firstLineChars="199" w:firstLine="398"/>
              <w:rPr>
                <w:rFonts w:eastAsia="標楷體"/>
                <w:kern w:val="0"/>
                <w:sz w:val="20"/>
                <w:szCs w:val="20"/>
              </w:rPr>
            </w:pPr>
            <w:r w:rsidRPr="00D55DC6">
              <w:rPr>
                <w:rFonts w:eastAsia="標楷體"/>
                <w:kern w:val="0"/>
                <w:sz w:val="20"/>
                <w:szCs w:val="20"/>
              </w:rPr>
              <w:t>出版品販售</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29</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29</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29</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30</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30</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31</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31</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32</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32</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33</w:t>
            </w:r>
          </w:p>
        </w:tc>
        <w:tc>
          <w:tcPr>
            <w:tcW w:w="851" w:type="dxa"/>
            <w:tcBorders>
              <w:top w:val="nil"/>
              <w:left w:val="nil"/>
              <w:bottom w:val="single" w:sz="4" w:space="0" w:color="auto"/>
              <w:right w:val="single" w:sz="4" w:space="0" w:color="auto"/>
            </w:tcBorders>
            <w:vAlign w:val="center"/>
          </w:tcPr>
          <w:p w:rsidR="00612A4B" w:rsidRPr="00D55DC6" w:rsidRDefault="00612A4B" w:rsidP="0038165F">
            <w:pPr>
              <w:jc w:val="right"/>
              <w:rPr>
                <w:sz w:val="22"/>
                <w:szCs w:val="22"/>
              </w:rPr>
            </w:pPr>
            <w:r w:rsidRPr="00D55DC6">
              <w:rPr>
                <w:sz w:val="22"/>
                <w:szCs w:val="22"/>
              </w:rPr>
              <w:t>545</w:t>
            </w:r>
          </w:p>
        </w:tc>
      </w:tr>
      <w:tr w:rsidR="001D0350" w:rsidRPr="00D55DC6" w:rsidTr="008D5222">
        <w:trPr>
          <w:trHeight w:val="330"/>
        </w:trPr>
        <w:tc>
          <w:tcPr>
            <w:tcW w:w="2548"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ind w:firstLineChars="199" w:firstLine="398"/>
              <w:rPr>
                <w:rFonts w:eastAsia="標楷體"/>
                <w:kern w:val="0"/>
                <w:sz w:val="20"/>
                <w:szCs w:val="20"/>
              </w:rPr>
            </w:pPr>
            <w:r w:rsidRPr="00D55DC6">
              <w:rPr>
                <w:rFonts w:eastAsia="標楷體"/>
                <w:kern w:val="0"/>
                <w:sz w:val="20"/>
                <w:szCs w:val="20"/>
              </w:rPr>
              <w:t>文創商品販售</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540</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548</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557</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565</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573</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582</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591</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600</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609</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618</w:t>
            </w:r>
          </w:p>
        </w:tc>
        <w:tc>
          <w:tcPr>
            <w:tcW w:w="851" w:type="dxa"/>
            <w:tcBorders>
              <w:top w:val="nil"/>
              <w:left w:val="nil"/>
              <w:bottom w:val="single" w:sz="4" w:space="0" w:color="auto"/>
              <w:right w:val="single" w:sz="4" w:space="0" w:color="auto"/>
            </w:tcBorders>
            <w:vAlign w:val="center"/>
          </w:tcPr>
          <w:p w:rsidR="00612A4B" w:rsidRPr="00D55DC6" w:rsidRDefault="00612A4B" w:rsidP="0038165F">
            <w:pPr>
              <w:jc w:val="right"/>
              <w:rPr>
                <w:sz w:val="22"/>
                <w:szCs w:val="22"/>
              </w:rPr>
            </w:pPr>
            <w:r w:rsidRPr="00D55DC6">
              <w:rPr>
                <w:sz w:val="22"/>
                <w:szCs w:val="22"/>
              </w:rPr>
              <w:t>10,299</w:t>
            </w:r>
          </w:p>
        </w:tc>
      </w:tr>
      <w:tr w:rsidR="001D0350" w:rsidRPr="00D55DC6" w:rsidTr="008D5222">
        <w:trPr>
          <w:trHeight w:val="330"/>
        </w:trPr>
        <w:tc>
          <w:tcPr>
            <w:tcW w:w="2548"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snapToGrid w:val="0"/>
              <w:ind w:firstLineChars="199" w:firstLine="398"/>
              <w:rPr>
                <w:rFonts w:eastAsia="標楷體"/>
                <w:kern w:val="0"/>
                <w:sz w:val="20"/>
                <w:szCs w:val="20"/>
              </w:rPr>
            </w:pPr>
            <w:r w:rsidRPr="00D55DC6">
              <w:rPr>
                <w:rFonts w:eastAsia="標楷體"/>
                <w:kern w:val="0"/>
                <w:sz w:val="20"/>
                <w:szCs w:val="20"/>
              </w:rPr>
              <w:t>飲料、衛生用品販賣機</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412</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418</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424</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430</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437</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443</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450</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457</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464</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471</w:t>
            </w:r>
          </w:p>
        </w:tc>
        <w:tc>
          <w:tcPr>
            <w:tcW w:w="851" w:type="dxa"/>
            <w:tcBorders>
              <w:top w:val="nil"/>
              <w:left w:val="nil"/>
              <w:bottom w:val="single" w:sz="4" w:space="0" w:color="auto"/>
              <w:right w:val="single" w:sz="4" w:space="0" w:color="auto"/>
            </w:tcBorders>
            <w:vAlign w:val="center"/>
          </w:tcPr>
          <w:p w:rsidR="00612A4B" w:rsidRPr="00D55DC6" w:rsidRDefault="00612A4B" w:rsidP="0038165F">
            <w:pPr>
              <w:jc w:val="right"/>
              <w:rPr>
                <w:sz w:val="22"/>
                <w:szCs w:val="22"/>
              </w:rPr>
            </w:pPr>
            <w:r w:rsidRPr="00D55DC6">
              <w:rPr>
                <w:sz w:val="22"/>
                <w:szCs w:val="22"/>
              </w:rPr>
              <w:t>7,847</w:t>
            </w:r>
          </w:p>
        </w:tc>
      </w:tr>
      <w:tr w:rsidR="001D0350" w:rsidRPr="00D55DC6" w:rsidTr="008D5222">
        <w:trPr>
          <w:trHeight w:val="330"/>
        </w:trPr>
        <w:tc>
          <w:tcPr>
            <w:tcW w:w="2548" w:type="dxa"/>
            <w:tcBorders>
              <w:top w:val="nil"/>
              <w:left w:val="single" w:sz="4" w:space="0" w:color="auto"/>
              <w:bottom w:val="single" w:sz="4" w:space="0" w:color="auto"/>
              <w:right w:val="single" w:sz="4" w:space="0" w:color="auto"/>
            </w:tcBorders>
            <w:shd w:val="clear" w:color="000000" w:fill="D9D9D9"/>
            <w:noWrap/>
            <w:vAlign w:val="center"/>
          </w:tcPr>
          <w:p w:rsidR="00612A4B" w:rsidRPr="00D55DC6" w:rsidRDefault="00612A4B" w:rsidP="0038165F">
            <w:pPr>
              <w:widowControl/>
              <w:ind w:firstLineChars="199" w:firstLine="398"/>
              <w:rPr>
                <w:rFonts w:eastAsia="標楷體"/>
                <w:kern w:val="0"/>
                <w:sz w:val="20"/>
                <w:szCs w:val="20"/>
              </w:rPr>
            </w:pPr>
            <w:r w:rsidRPr="00D55DC6">
              <w:rPr>
                <w:rFonts w:eastAsia="標楷體"/>
                <w:kern w:val="0"/>
                <w:sz w:val="20"/>
                <w:szCs w:val="20"/>
              </w:rPr>
              <w:t>廣告牆面出租、太陽能</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103</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104</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106</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108</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109</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111</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113</w:t>
            </w:r>
          </w:p>
        </w:tc>
        <w:tc>
          <w:tcPr>
            <w:tcW w:w="666"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114</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116</w:t>
            </w:r>
          </w:p>
        </w:tc>
        <w:tc>
          <w:tcPr>
            <w:tcW w:w="667" w:type="dxa"/>
            <w:tcBorders>
              <w:top w:val="nil"/>
              <w:left w:val="nil"/>
              <w:bottom w:val="single" w:sz="4" w:space="0" w:color="auto"/>
              <w:right w:val="single" w:sz="4" w:space="0" w:color="auto"/>
            </w:tcBorders>
            <w:shd w:val="clear" w:color="auto" w:fill="auto"/>
            <w:noWrap/>
            <w:vAlign w:val="center"/>
          </w:tcPr>
          <w:p w:rsidR="00612A4B" w:rsidRPr="00D55DC6" w:rsidRDefault="00612A4B" w:rsidP="0038165F">
            <w:pPr>
              <w:jc w:val="right"/>
              <w:rPr>
                <w:sz w:val="22"/>
                <w:szCs w:val="22"/>
              </w:rPr>
            </w:pPr>
            <w:r w:rsidRPr="00D55DC6">
              <w:rPr>
                <w:sz w:val="22"/>
                <w:szCs w:val="22"/>
              </w:rPr>
              <w:t>118</w:t>
            </w:r>
          </w:p>
        </w:tc>
        <w:tc>
          <w:tcPr>
            <w:tcW w:w="851" w:type="dxa"/>
            <w:tcBorders>
              <w:top w:val="nil"/>
              <w:left w:val="nil"/>
              <w:bottom w:val="single" w:sz="4" w:space="0" w:color="auto"/>
              <w:right w:val="single" w:sz="4" w:space="0" w:color="auto"/>
            </w:tcBorders>
            <w:vAlign w:val="center"/>
          </w:tcPr>
          <w:p w:rsidR="00612A4B" w:rsidRPr="00D55DC6" w:rsidRDefault="00612A4B" w:rsidP="0038165F">
            <w:pPr>
              <w:jc w:val="right"/>
              <w:rPr>
                <w:sz w:val="22"/>
                <w:szCs w:val="22"/>
              </w:rPr>
            </w:pPr>
            <w:r w:rsidRPr="00D55DC6">
              <w:rPr>
                <w:sz w:val="22"/>
                <w:szCs w:val="22"/>
              </w:rPr>
              <w:t>1,962</w:t>
            </w:r>
          </w:p>
        </w:tc>
      </w:tr>
      <w:tr w:rsidR="001D0350" w:rsidRPr="00D55DC6" w:rsidTr="008D5222">
        <w:trPr>
          <w:trHeight w:val="345"/>
        </w:trPr>
        <w:tc>
          <w:tcPr>
            <w:tcW w:w="2548" w:type="dxa"/>
            <w:tcBorders>
              <w:top w:val="nil"/>
              <w:left w:val="single" w:sz="4" w:space="0" w:color="auto"/>
              <w:bottom w:val="double" w:sz="6" w:space="0" w:color="auto"/>
              <w:right w:val="single" w:sz="4" w:space="0" w:color="auto"/>
            </w:tcBorders>
            <w:shd w:val="clear" w:color="000000" w:fill="D9D9D9"/>
            <w:noWrap/>
            <w:vAlign w:val="center"/>
          </w:tcPr>
          <w:p w:rsidR="00612A4B" w:rsidRPr="00D55DC6" w:rsidRDefault="00612A4B" w:rsidP="0038165F">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合</w:t>
            </w:r>
            <w:r w:rsidRPr="00D55DC6">
              <w:rPr>
                <w:rFonts w:eastAsia="標楷體"/>
                <w:kern w:val="0"/>
                <w:sz w:val="20"/>
                <w:szCs w:val="20"/>
              </w:rPr>
              <w:t xml:space="preserve">          </w:t>
            </w:r>
            <w:r w:rsidRPr="00D55DC6">
              <w:rPr>
                <w:rFonts w:eastAsia="標楷體"/>
                <w:kern w:val="0"/>
                <w:sz w:val="20"/>
                <w:szCs w:val="20"/>
              </w:rPr>
              <w:t>計</w:t>
            </w:r>
          </w:p>
        </w:tc>
        <w:tc>
          <w:tcPr>
            <w:tcW w:w="666" w:type="dxa"/>
            <w:tcBorders>
              <w:top w:val="nil"/>
              <w:left w:val="nil"/>
              <w:bottom w:val="double" w:sz="6" w:space="0" w:color="auto"/>
              <w:right w:val="single" w:sz="4" w:space="0" w:color="auto"/>
            </w:tcBorders>
            <w:shd w:val="clear" w:color="000000" w:fill="E4DFEC"/>
            <w:noWrap/>
            <w:vAlign w:val="center"/>
          </w:tcPr>
          <w:p w:rsidR="00612A4B" w:rsidRPr="00D55DC6" w:rsidRDefault="00612A4B" w:rsidP="0038165F">
            <w:pPr>
              <w:jc w:val="right"/>
              <w:rPr>
                <w:rFonts w:eastAsia="標楷體"/>
                <w:sz w:val="22"/>
                <w:szCs w:val="22"/>
              </w:rPr>
            </w:pPr>
            <w:r w:rsidRPr="00D55DC6">
              <w:rPr>
                <w:rFonts w:eastAsia="標楷體"/>
                <w:sz w:val="22"/>
                <w:szCs w:val="22"/>
              </w:rPr>
              <w:t>19,592</w:t>
            </w:r>
          </w:p>
        </w:tc>
        <w:tc>
          <w:tcPr>
            <w:tcW w:w="667" w:type="dxa"/>
            <w:tcBorders>
              <w:top w:val="nil"/>
              <w:left w:val="nil"/>
              <w:bottom w:val="double" w:sz="6" w:space="0" w:color="auto"/>
              <w:right w:val="single" w:sz="4" w:space="0" w:color="auto"/>
            </w:tcBorders>
            <w:shd w:val="clear" w:color="000000" w:fill="E4DFEC"/>
            <w:noWrap/>
            <w:vAlign w:val="center"/>
          </w:tcPr>
          <w:p w:rsidR="00612A4B" w:rsidRPr="00D55DC6" w:rsidRDefault="00612A4B" w:rsidP="0038165F">
            <w:pPr>
              <w:jc w:val="right"/>
              <w:rPr>
                <w:rFonts w:eastAsia="標楷體"/>
                <w:sz w:val="22"/>
                <w:szCs w:val="22"/>
              </w:rPr>
            </w:pPr>
            <w:r w:rsidRPr="00D55DC6">
              <w:rPr>
                <w:rFonts w:eastAsia="標楷體"/>
                <w:sz w:val="22"/>
                <w:szCs w:val="22"/>
              </w:rPr>
              <w:t>19,766</w:t>
            </w:r>
          </w:p>
        </w:tc>
        <w:tc>
          <w:tcPr>
            <w:tcW w:w="666" w:type="dxa"/>
            <w:tcBorders>
              <w:top w:val="nil"/>
              <w:left w:val="nil"/>
              <w:bottom w:val="double" w:sz="6" w:space="0" w:color="auto"/>
              <w:right w:val="single" w:sz="4" w:space="0" w:color="auto"/>
            </w:tcBorders>
            <w:shd w:val="clear" w:color="000000" w:fill="E4DFEC"/>
            <w:noWrap/>
            <w:vAlign w:val="center"/>
          </w:tcPr>
          <w:p w:rsidR="00612A4B" w:rsidRPr="00D55DC6" w:rsidRDefault="00612A4B" w:rsidP="0038165F">
            <w:pPr>
              <w:jc w:val="right"/>
              <w:rPr>
                <w:rFonts w:eastAsia="標楷體"/>
                <w:sz w:val="22"/>
                <w:szCs w:val="22"/>
              </w:rPr>
            </w:pPr>
            <w:r w:rsidRPr="00D55DC6">
              <w:rPr>
                <w:rFonts w:eastAsia="標楷體"/>
                <w:sz w:val="22"/>
                <w:szCs w:val="22"/>
              </w:rPr>
              <w:t>19,892</w:t>
            </w:r>
          </w:p>
        </w:tc>
        <w:tc>
          <w:tcPr>
            <w:tcW w:w="667" w:type="dxa"/>
            <w:tcBorders>
              <w:top w:val="nil"/>
              <w:left w:val="nil"/>
              <w:bottom w:val="double" w:sz="6" w:space="0" w:color="auto"/>
              <w:right w:val="single" w:sz="4" w:space="0" w:color="auto"/>
            </w:tcBorders>
            <w:shd w:val="clear" w:color="000000" w:fill="E4DFEC"/>
            <w:noWrap/>
            <w:vAlign w:val="center"/>
          </w:tcPr>
          <w:p w:rsidR="00612A4B" w:rsidRPr="00D55DC6" w:rsidRDefault="00612A4B" w:rsidP="0038165F">
            <w:pPr>
              <w:jc w:val="right"/>
              <w:rPr>
                <w:rFonts w:eastAsia="標楷體"/>
                <w:sz w:val="22"/>
                <w:szCs w:val="22"/>
              </w:rPr>
            </w:pPr>
            <w:r w:rsidRPr="00D55DC6">
              <w:rPr>
                <w:rFonts w:eastAsia="標楷體"/>
                <w:sz w:val="22"/>
                <w:szCs w:val="22"/>
              </w:rPr>
              <w:t>20,020</w:t>
            </w:r>
          </w:p>
        </w:tc>
        <w:tc>
          <w:tcPr>
            <w:tcW w:w="667" w:type="dxa"/>
            <w:tcBorders>
              <w:top w:val="nil"/>
              <w:left w:val="nil"/>
              <w:bottom w:val="double" w:sz="6" w:space="0" w:color="auto"/>
              <w:right w:val="single" w:sz="4" w:space="0" w:color="auto"/>
            </w:tcBorders>
            <w:shd w:val="clear" w:color="000000" w:fill="E4DFEC"/>
            <w:noWrap/>
            <w:vAlign w:val="center"/>
          </w:tcPr>
          <w:p w:rsidR="00612A4B" w:rsidRPr="00D55DC6" w:rsidRDefault="00612A4B" w:rsidP="0038165F">
            <w:pPr>
              <w:jc w:val="right"/>
              <w:rPr>
                <w:rFonts w:eastAsia="標楷體"/>
                <w:sz w:val="22"/>
                <w:szCs w:val="22"/>
              </w:rPr>
            </w:pPr>
            <w:r w:rsidRPr="00D55DC6">
              <w:rPr>
                <w:rFonts w:eastAsia="標楷體"/>
                <w:sz w:val="22"/>
                <w:szCs w:val="22"/>
              </w:rPr>
              <w:t>20,202</w:t>
            </w:r>
          </w:p>
        </w:tc>
        <w:tc>
          <w:tcPr>
            <w:tcW w:w="666" w:type="dxa"/>
            <w:tcBorders>
              <w:top w:val="nil"/>
              <w:left w:val="nil"/>
              <w:bottom w:val="double" w:sz="6" w:space="0" w:color="auto"/>
              <w:right w:val="single" w:sz="4" w:space="0" w:color="auto"/>
            </w:tcBorders>
            <w:shd w:val="clear" w:color="000000" w:fill="E4DFEC"/>
            <w:noWrap/>
            <w:vAlign w:val="center"/>
          </w:tcPr>
          <w:p w:rsidR="00612A4B" w:rsidRPr="00D55DC6" w:rsidRDefault="00612A4B" w:rsidP="0038165F">
            <w:pPr>
              <w:jc w:val="right"/>
              <w:rPr>
                <w:rFonts w:eastAsia="標楷體"/>
                <w:sz w:val="22"/>
                <w:szCs w:val="22"/>
              </w:rPr>
            </w:pPr>
            <w:r w:rsidRPr="00D55DC6">
              <w:rPr>
                <w:rFonts w:eastAsia="標楷體"/>
                <w:sz w:val="22"/>
                <w:szCs w:val="22"/>
              </w:rPr>
              <w:t>20,333</w:t>
            </w:r>
          </w:p>
        </w:tc>
        <w:tc>
          <w:tcPr>
            <w:tcW w:w="667" w:type="dxa"/>
            <w:tcBorders>
              <w:top w:val="nil"/>
              <w:left w:val="nil"/>
              <w:bottom w:val="double" w:sz="6" w:space="0" w:color="auto"/>
              <w:right w:val="single" w:sz="4" w:space="0" w:color="auto"/>
            </w:tcBorders>
            <w:shd w:val="clear" w:color="000000" w:fill="E4DFEC"/>
            <w:noWrap/>
            <w:vAlign w:val="center"/>
          </w:tcPr>
          <w:p w:rsidR="00612A4B" w:rsidRPr="00D55DC6" w:rsidRDefault="00612A4B" w:rsidP="0038165F">
            <w:pPr>
              <w:jc w:val="right"/>
              <w:rPr>
                <w:rFonts w:eastAsia="標楷體"/>
                <w:sz w:val="22"/>
                <w:szCs w:val="22"/>
              </w:rPr>
            </w:pPr>
            <w:r w:rsidRPr="00D55DC6">
              <w:rPr>
                <w:rFonts w:eastAsia="標楷體"/>
                <w:sz w:val="22"/>
                <w:szCs w:val="22"/>
              </w:rPr>
              <w:t>20,467</w:t>
            </w:r>
          </w:p>
        </w:tc>
        <w:tc>
          <w:tcPr>
            <w:tcW w:w="666" w:type="dxa"/>
            <w:tcBorders>
              <w:top w:val="nil"/>
              <w:left w:val="nil"/>
              <w:bottom w:val="double" w:sz="6" w:space="0" w:color="auto"/>
              <w:right w:val="single" w:sz="4" w:space="0" w:color="auto"/>
            </w:tcBorders>
            <w:shd w:val="clear" w:color="000000" w:fill="E4DFEC"/>
            <w:noWrap/>
            <w:vAlign w:val="center"/>
          </w:tcPr>
          <w:p w:rsidR="00612A4B" w:rsidRPr="00D55DC6" w:rsidRDefault="00612A4B" w:rsidP="0038165F">
            <w:pPr>
              <w:jc w:val="right"/>
              <w:rPr>
                <w:rFonts w:eastAsia="標楷體"/>
                <w:sz w:val="22"/>
                <w:szCs w:val="22"/>
              </w:rPr>
            </w:pPr>
            <w:r w:rsidRPr="00D55DC6">
              <w:rPr>
                <w:rFonts w:eastAsia="標楷體"/>
                <w:sz w:val="22"/>
                <w:szCs w:val="22"/>
              </w:rPr>
              <w:t>20,658</w:t>
            </w:r>
          </w:p>
        </w:tc>
        <w:tc>
          <w:tcPr>
            <w:tcW w:w="667" w:type="dxa"/>
            <w:tcBorders>
              <w:top w:val="nil"/>
              <w:left w:val="nil"/>
              <w:bottom w:val="double" w:sz="6" w:space="0" w:color="auto"/>
              <w:right w:val="single" w:sz="4" w:space="0" w:color="auto"/>
            </w:tcBorders>
            <w:shd w:val="clear" w:color="000000" w:fill="E4DFEC"/>
            <w:noWrap/>
            <w:vAlign w:val="center"/>
          </w:tcPr>
          <w:p w:rsidR="00612A4B" w:rsidRPr="00D55DC6" w:rsidRDefault="00612A4B" w:rsidP="0038165F">
            <w:pPr>
              <w:jc w:val="right"/>
              <w:rPr>
                <w:rFonts w:eastAsia="標楷體"/>
                <w:sz w:val="22"/>
                <w:szCs w:val="22"/>
              </w:rPr>
            </w:pPr>
            <w:r w:rsidRPr="00D55DC6">
              <w:rPr>
                <w:rFonts w:eastAsia="標楷體"/>
                <w:sz w:val="22"/>
                <w:szCs w:val="22"/>
              </w:rPr>
              <w:t>20,796</w:t>
            </w:r>
          </w:p>
        </w:tc>
        <w:tc>
          <w:tcPr>
            <w:tcW w:w="667" w:type="dxa"/>
            <w:tcBorders>
              <w:top w:val="nil"/>
              <w:left w:val="nil"/>
              <w:bottom w:val="double" w:sz="6" w:space="0" w:color="auto"/>
              <w:right w:val="single" w:sz="4" w:space="0" w:color="auto"/>
            </w:tcBorders>
            <w:shd w:val="clear" w:color="000000" w:fill="E4DFEC"/>
            <w:noWrap/>
            <w:vAlign w:val="center"/>
          </w:tcPr>
          <w:p w:rsidR="00612A4B" w:rsidRPr="00D55DC6" w:rsidRDefault="00612A4B" w:rsidP="0038165F">
            <w:pPr>
              <w:jc w:val="right"/>
              <w:rPr>
                <w:rFonts w:eastAsia="標楷體"/>
                <w:sz w:val="22"/>
                <w:szCs w:val="22"/>
              </w:rPr>
            </w:pPr>
            <w:r w:rsidRPr="00D55DC6">
              <w:rPr>
                <w:rFonts w:eastAsia="標楷體"/>
                <w:sz w:val="22"/>
                <w:szCs w:val="22"/>
              </w:rPr>
              <w:t>20,935</w:t>
            </w:r>
          </w:p>
        </w:tc>
        <w:tc>
          <w:tcPr>
            <w:tcW w:w="851" w:type="dxa"/>
            <w:tcBorders>
              <w:top w:val="nil"/>
              <w:left w:val="nil"/>
              <w:bottom w:val="double" w:sz="6" w:space="0" w:color="auto"/>
              <w:right w:val="single" w:sz="4" w:space="0" w:color="auto"/>
            </w:tcBorders>
            <w:shd w:val="clear" w:color="000000" w:fill="E4DFEC"/>
            <w:vAlign w:val="center"/>
          </w:tcPr>
          <w:p w:rsidR="00612A4B" w:rsidRPr="00D55DC6" w:rsidRDefault="00612A4B" w:rsidP="0038165F">
            <w:pPr>
              <w:jc w:val="right"/>
              <w:rPr>
                <w:rFonts w:eastAsia="標楷體"/>
                <w:sz w:val="22"/>
                <w:szCs w:val="22"/>
              </w:rPr>
            </w:pPr>
            <w:r w:rsidRPr="00D55DC6">
              <w:rPr>
                <w:rFonts w:eastAsia="標楷體"/>
                <w:sz w:val="22"/>
                <w:szCs w:val="22"/>
              </w:rPr>
              <w:t>310,570</w:t>
            </w:r>
          </w:p>
        </w:tc>
      </w:tr>
    </w:tbl>
    <w:p w:rsidR="00612A4B" w:rsidRPr="00D55DC6" w:rsidRDefault="00612A4B" w:rsidP="0038165F">
      <w:pPr>
        <w:rPr>
          <w:rFonts w:eastAsia="標楷體"/>
        </w:rPr>
      </w:pPr>
    </w:p>
    <w:p w:rsidR="00612A4B" w:rsidRPr="00D55DC6" w:rsidRDefault="00612A4B" w:rsidP="0038165F">
      <w:pPr>
        <w:rPr>
          <w:rFonts w:eastAsia="標楷體"/>
        </w:rPr>
      </w:pPr>
    </w:p>
    <w:p w:rsidR="00612A4B" w:rsidRPr="00D55DC6" w:rsidRDefault="00612A4B" w:rsidP="004865C1">
      <w:pPr>
        <w:numPr>
          <w:ilvl w:val="0"/>
          <w:numId w:val="120"/>
        </w:numPr>
        <w:snapToGrid w:val="0"/>
        <w:spacing w:line="460" w:lineRule="exact"/>
        <w:jc w:val="both"/>
        <w:rPr>
          <w:rFonts w:eastAsia="標楷體"/>
          <w:b/>
          <w:sz w:val="28"/>
          <w:szCs w:val="28"/>
        </w:rPr>
      </w:pPr>
      <w:r w:rsidRPr="00D55DC6">
        <w:rPr>
          <w:rFonts w:eastAsia="標楷體"/>
          <w:b/>
          <w:sz w:val="28"/>
          <w:szCs w:val="28"/>
        </w:rPr>
        <w:t>自償率估算</w:t>
      </w:r>
    </w:p>
    <w:p w:rsidR="00612A4B" w:rsidRPr="00D55DC6" w:rsidRDefault="00612A4B" w:rsidP="0038165F">
      <w:pPr>
        <w:snapToGrid w:val="0"/>
        <w:spacing w:line="460" w:lineRule="exact"/>
        <w:ind w:left="709" w:firstLineChars="202" w:firstLine="566"/>
        <w:jc w:val="both"/>
        <w:rPr>
          <w:rFonts w:eastAsia="標楷體"/>
          <w:sz w:val="28"/>
          <w:szCs w:val="28"/>
        </w:rPr>
      </w:pPr>
      <w:r w:rsidRPr="00D55DC6">
        <w:rPr>
          <w:rFonts w:eastAsia="標楷體"/>
          <w:sz w:val="28"/>
          <w:szCs w:val="28"/>
        </w:rPr>
        <w:t>本計畫預計未來</w:t>
      </w:r>
      <w:r w:rsidRPr="00D55DC6">
        <w:rPr>
          <w:rFonts w:eastAsia="標楷體"/>
          <w:sz w:val="28"/>
          <w:szCs w:val="28"/>
        </w:rPr>
        <w:t>20</w:t>
      </w:r>
      <w:r w:rsidRPr="00D55DC6">
        <w:rPr>
          <w:rFonts w:eastAsia="標楷體"/>
          <w:sz w:val="28"/>
          <w:szCs w:val="28"/>
        </w:rPr>
        <w:t>年西拉雅國家風景區建設經營分年之現金流量如表，以</w:t>
      </w:r>
      <w:r w:rsidRPr="00D55DC6">
        <w:rPr>
          <w:rFonts w:eastAsia="標楷體"/>
          <w:sz w:val="28"/>
          <w:szCs w:val="28"/>
        </w:rPr>
        <w:t>2.88%</w:t>
      </w:r>
      <w:r w:rsidRPr="00D55DC6">
        <w:rPr>
          <w:rFonts w:eastAsia="標楷體"/>
          <w:sz w:val="28"/>
          <w:szCs w:val="28"/>
        </w:rPr>
        <w:t>折現率分別計算建設計畫總預算與預期收益現值，計算結果未來</w:t>
      </w:r>
      <w:r w:rsidRPr="00D55DC6">
        <w:rPr>
          <w:rFonts w:eastAsia="標楷體"/>
          <w:sz w:val="28"/>
          <w:szCs w:val="28"/>
        </w:rPr>
        <w:t>20</w:t>
      </w:r>
      <w:r w:rsidRPr="00D55DC6">
        <w:rPr>
          <w:rFonts w:eastAsia="標楷體"/>
          <w:sz w:val="28"/>
          <w:szCs w:val="28"/>
        </w:rPr>
        <w:t>年期間計畫投入現值為</w:t>
      </w:r>
      <w:r w:rsidRPr="00D55DC6">
        <w:rPr>
          <w:rFonts w:eastAsia="標楷體"/>
          <w:sz w:val="28"/>
          <w:szCs w:val="28"/>
        </w:rPr>
        <w:t>22.7744</w:t>
      </w:r>
      <w:r w:rsidRPr="00D55DC6">
        <w:rPr>
          <w:rFonts w:eastAsia="標楷體"/>
          <w:sz w:val="28"/>
          <w:szCs w:val="28"/>
        </w:rPr>
        <w:t>億元，收益預估現值為</w:t>
      </w:r>
      <w:r w:rsidRPr="00D55DC6">
        <w:rPr>
          <w:rFonts w:eastAsia="標楷體"/>
          <w:sz w:val="28"/>
          <w:szCs w:val="28"/>
        </w:rPr>
        <w:t>2.1796</w:t>
      </w:r>
      <w:r w:rsidRPr="00D55DC6">
        <w:rPr>
          <w:rFonts w:eastAsia="標楷體"/>
          <w:sz w:val="28"/>
          <w:szCs w:val="28"/>
        </w:rPr>
        <w:t>億元，整體計畫自償率為</w:t>
      </w:r>
      <w:r w:rsidRPr="00D55DC6">
        <w:rPr>
          <w:rFonts w:eastAsia="標楷體"/>
          <w:sz w:val="28"/>
          <w:szCs w:val="28"/>
        </w:rPr>
        <w:t>9.57%</w:t>
      </w:r>
      <w:r w:rsidRPr="00D55DC6">
        <w:rPr>
          <w:rFonts w:eastAsia="標楷體"/>
          <w:sz w:val="28"/>
          <w:szCs w:val="28"/>
        </w:rPr>
        <w:t>。</w:t>
      </w:r>
    </w:p>
    <w:p w:rsidR="00612A4B" w:rsidRPr="00D55DC6" w:rsidRDefault="00612A4B" w:rsidP="0038165F">
      <w:pPr>
        <w:snapToGrid w:val="0"/>
        <w:spacing w:line="460" w:lineRule="exact"/>
        <w:ind w:left="709" w:firstLineChars="202" w:firstLine="566"/>
        <w:jc w:val="both"/>
        <w:rPr>
          <w:rFonts w:eastAsia="標楷體"/>
          <w:sz w:val="28"/>
          <w:szCs w:val="28"/>
        </w:rPr>
      </w:pPr>
    </w:p>
    <w:p w:rsidR="00612A4B" w:rsidRPr="00D55DC6" w:rsidRDefault="00612A4B" w:rsidP="0038165F">
      <w:pPr>
        <w:snapToGrid w:val="0"/>
        <w:spacing w:line="460" w:lineRule="exact"/>
        <w:ind w:left="709" w:firstLineChars="202" w:firstLine="566"/>
        <w:jc w:val="both"/>
        <w:rPr>
          <w:rFonts w:eastAsia="標楷體"/>
          <w:sz w:val="28"/>
          <w:szCs w:val="28"/>
        </w:rPr>
      </w:pPr>
    </w:p>
    <w:p w:rsidR="000C5765" w:rsidRPr="00D55DC6" w:rsidRDefault="000C5765" w:rsidP="000C5765">
      <w:pPr>
        <w:widowControl/>
        <w:rPr>
          <w:rFonts w:eastAsia="標楷體"/>
        </w:rPr>
      </w:pPr>
    </w:p>
    <w:p w:rsidR="000C5765" w:rsidRPr="00D55DC6" w:rsidRDefault="000C5765" w:rsidP="000C5765">
      <w:pPr>
        <w:widowControl/>
        <w:rPr>
          <w:rFonts w:eastAsia="標楷體"/>
        </w:rPr>
      </w:pPr>
    </w:p>
    <w:p w:rsidR="000C5765" w:rsidRPr="00D55DC6" w:rsidRDefault="000C5765" w:rsidP="000C5765">
      <w:pPr>
        <w:keepNext/>
        <w:spacing w:beforeLines="50" w:before="180" w:afterLines="50" w:after="180"/>
        <w:ind w:rightChars="-316" w:right="-758"/>
        <w:rPr>
          <w:rFonts w:eastAsia="標楷體"/>
        </w:rPr>
      </w:pPr>
      <w:r w:rsidRPr="00D55DC6">
        <w:rPr>
          <w:rFonts w:eastAsia="標楷體"/>
        </w:rPr>
        <w:lastRenderedPageBreak/>
        <w:t>表</w:t>
      </w:r>
      <w:r w:rsidRPr="00D55DC6">
        <w:rPr>
          <w:rFonts w:eastAsia="標楷體"/>
        </w:rPr>
        <w:t>2</w:t>
      </w:r>
      <w:r w:rsidRPr="00D55DC6">
        <w:rPr>
          <w:rFonts w:eastAsia="標楷體"/>
        </w:rPr>
        <w:t xml:space="preserve">　自償率分析表</w:t>
      </w:r>
      <w:r w:rsidRPr="00D55DC6">
        <w:rPr>
          <w:rFonts w:eastAsia="標楷體"/>
        </w:rPr>
        <w:t xml:space="preserve">                                                 </w:t>
      </w:r>
      <w:r w:rsidRPr="00D55DC6">
        <w:rPr>
          <w:rFonts w:eastAsia="標楷體"/>
        </w:rPr>
        <w:t>（單位：千元）</w:t>
      </w:r>
    </w:p>
    <w:tbl>
      <w:tblPr>
        <w:tblW w:w="10828" w:type="dxa"/>
        <w:tblInd w:w="-681" w:type="dxa"/>
        <w:tblCellMar>
          <w:left w:w="28" w:type="dxa"/>
          <w:right w:w="28" w:type="dxa"/>
        </w:tblCellMar>
        <w:tblLook w:val="04A0" w:firstRow="1" w:lastRow="0" w:firstColumn="1" w:lastColumn="0" w:noHBand="0" w:noVBand="1"/>
      </w:tblPr>
      <w:tblGrid>
        <w:gridCol w:w="993"/>
        <w:gridCol w:w="1134"/>
        <w:gridCol w:w="850"/>
        <w:gridCol w:w="851"/>
        <w:gridCol w:w="850"/>
        <w:gridCol w:w="851"/>
        <w:gridCol w:w="850"/>
        <w:gridCol w:w="851"/>
        <w:gridCol w:w="851"/>
        <w:gridCol w:w="850"/>
        <w:gridCol w:w="851"/>
        <w:gridCol w:w="1046"/>
      </w:tblGrid>
      <w:tr w:rsidR="001D0350" w:rsidRPr="00D55DC6" w:rsidTr="0076338E">
        <w:trPr>
          <w:gridAfter w:val="1"/>
          <w:wAfter w:w="1046" w:type="dxa"/>
          <w:trHeight w:val="345"/>
        </w:trPr>
        <w:tc>
          <w:tcPr>
            <w:tcW w:w="993" w:type="dxa"/>
            <w:tcBorders>
              <w:top w:val="single" w:sz="4" w:space="0" w:color="auto"/>
              <w:left w:val="single" w:sz="4" w:space="0" w:color="auto"/>
              <w:bottom w:val="double" w:sz="6" w:space="0" w:color="auto"/>
              <w:right w:val="single" w:sz="4" w:space="0" w:color="auto"/>
            </w:tcBorders>
            <w:shd w:val="clear" w:color="000000" w:fill="FFCC00"/>
            <w:noWrap/>
            <w:vAlign w:val="center"/>
          </w:tcPr>
          <w:p w:rsidR="000C5765" w:rsidRPr="00D55DC6" w:rsidRDefault="000C5765" w:rsidP="0076338E">
            <w:pPr>
              <w:widowControl/>
              <w:rPr>
                <w:rFonts w:eastAsia="標楷體"/>
                <w:kern w:val="0"/>
                <w:sz w:val="22"/>
                <w:szCs w:val="20"/>
              </w:rPr>
            </w:pPr>
            <w:r w:rsidRPr="00D55DC6">
              <w:rPr>
                <w:rFonts w:eastAsia="標楷體"/>
                <w:kern w:val="0"/>
                <w:sz w:val="22"/>
                <w:szCs w:val="20"/>
              </w:rPr>
              <w:t xml:space="preserve">　</w:t>
            </w:r>
          </w:p>
        </w:tc>
        <w:tc>
          <w:tcPr>
            <w:tcW w:w="1134" w:type="dxa"/>
            <w:tcBorders>
              <w:top w:val="single" w:sz="4" w:space="0" w:color="auto"/>
              <w:left w:val="nil"/>
              <w:bottom w:val="double" w:sz="6" w:space="0" w:color="auto"/>
              <w:right w:val="single" w:sz="4" w:space="0" w:color="auto"/>
            </w:tcBorders>
            <w:shd w:val="clear" w:color="000000" w:fill="FFCC00"/>
            <w:noWrap/>
            <w:vAlign w:val="center"/>
          </w:tcPr>
          <w:p w:rsidR="000C5765" w:rsidRPr="00D55DC6" w:rsidRDefault="000C5765" w:rsidP="0076338E">
            <w:pPr>
              <w:widowControl/>
              <w:jc w:val="center"/>
              <w:rPr>
                <w:rFonts w:eastAsia="標楷體"/>
                <w:kern w:val="0"/>
                <w:sz w:val="22"/>
                <w:szCs w:val="20"/>
              </w:rPr>
            </w:pPr>
            <w:r w:rsidRPr="00D55DC6">
              <w:rPr>
                <w:rFonts w:eastAsia="標楷體"/>
                <w:kern w:val="0"/>
                <w:sz w:val="22"/>
                <w:szCs w:val="20"/>
              </w:rPr>
              <w:t>103</w:t>
            </w:r>
          </w:p>
        </w:tc>
        <w:tc>
          <w:tcPr>
            <w:tcW w:w="850" w:type="dxa"/>
            <w:tcBorders>
              <w:top w:val="single" w:sz="4" w:space="0" w:color="auto"/>
              <w:left w:val="nil"/>
              <w:bottom w:val="double" w:sz="6" w:space="0" w:color="auto"/>
              <w:right w:val="single" w:sz="4" w:space="0" w:color="auto"/>
            </w:tcBorders>
            <w:shd w:val="clear" w:color="000000" w:fill="FFCC00"/>
            <w:noWrap/>
            <w:vAlign w:val="center"/>
          </w:tcPr>
          <w:p w:rsidR="000C5765" w:rsidRPr="00D55DC6" w:rsidRDefault="000C5765" w:rsidP="0076338E">
            <w:pPr>
              <w:widowControl/>
              <w:jc w:val="center"/>
              <w:rPr>
                <w:rFonts w:eastAsia="標楷體"/>
                <w:kern w:val="0"/>
                <w:sz w:val="22"/>
                <w:szCs w:val="20"/>
              </w:rPr>
            </w:pPr>
            <w:r w:rsidRPr="00D55DC6">
              <w:rPr>
                <w:rFonts w:eastAsia="標楷體"/>
                <w:kern w:val="0"/>
                <w:sz w:val="22"/>
                <w:szCs w:val="20"/>
              </w:rPr>
              <w:t>104</w:t>
            </w:r>
          </w:p>
        </w:tc>
        <w:tc>
          <w:tcPr>
            <w:tcW w:w="851" w:type="dxa"/>
            <w:tcBorders>
              <w:top w:val="single" w:sz="4" w:space="0" w:color="auto"/>
              <w:left w:val="nil"/>
              <w:bottom w:val="double" w:sz="6" w:space="0" w:color="auto"/>
              <w:right w:val="single" w:sz="4" w:space="0" w:color="auto"/>
            </w:tcBorders>
            <w:shd w:val="clear" w:color="000000" w:fill="FFCC00"/>
            <w:noWrap/>
            <w:vAlign w:val="center"/>
          </w:tcPr>
          <w:p w:rsidR="000C5765" w:rsidRPr="00D55DC6" w:rsidRDefault="000C5765" w:rsidP="0076338E">
            <w:pPr>
              <w:widowControl/>
              <w:jc w:val="center"/>
              <w:rPr>
                <w:rFonts w:eastAsia="標楷體"/>
                <w:kern w:val="0"/>
                <w:sz w:val="22"/>
                <w:szCs w:val="20"/>
              </w:rPr>
            </w:pPr>
            <w:r w:rsidRPr="00D55DC6">
              <w:rPr>
                <w:rFonts w:eastAsia="標楷體"/>
                <w:kern w:val="0"/>
                <w:sz w:val="22"/>
                <w:szCs w:val="20"/>
              </w:rPr>
              <w:t>105</w:t>
            </w:r>
          </w:p>
        </w:tc>
        <w:tc>
          <w:tcPr>
            <w:tcW w:w="850" w:type="dxa"/>
            <w:tcBorders>
              <w:top w:val="single" w:sz="4" w:space="0" w:color="auto"/>
              <w:left w:val="nil"/>
              <w:bottom w:val="double" w:sz="6" w:space="0" w:color="auto"/>
              <w:right w:val="single" w:sz="4" w:space="0" w:color="auto"/>
            </w:tcBorders>
            <w:shd w:val="clear" w:color="000000" w:fill="FFCC00"/>
            <w:noWrap/>
            <w:vAlign w:val="center"/>
          </w:tcPr>
          <w:p w:rsidR="000C5765" w:rsidRPr="00D55DC6" w:rsidRDefault="000C5765" w:rsidP="0076338E">
            <w:pPr>
              <w:widowControl/>
              <w:jc w:val="center"/>
              <w:rPr>
                <w:rFonts w:eastAsia="標楷體"/>
                <w:kern w:val="0"/>
                <w:sz w:val="22"/>
                <w:szCs w:val="20"/>
              </w:rPr>
            </w:pPr>
            <w:r w:rsidRPr="00D55DC6">
              <w:rPr>
                <w:rFonts w:eastAsia="標楷體"/>
                <w:kern w:val="0"/>
                <w:sz w:val="22"/>
                <w:szCs w:val="20"/>
              </w:rPr>
              <w:t>106</w:t>
            </w:r>
          </w:p>
        </w:tc>
        <w:tc>
          <w:tcPr>
            <w:tcW w:w="851" w:type="dxa"/>
            <w:tcBorders>
              <w:top w:val="single" w:sz="4" w:space="0" w:color="auto"/>
              <w:left w:val="nil"/>
              <w:bottom w:val="double" w:sz="6" w:space="0" w:color="auto"/>
              <w:right w:val="single" w:sz="4" w:space="0" w:color="auto"/>
            </w:tcBorders>
            <w:shd w:val="clear" w:color="000000" w:fill="FFCC00"/>
            <w:noWrap/>
            <w:vAlign w:val="center"/>
          </w:tcPr>
          <w:p w:rsidR="000C5765" w:rsidRPr="00D55DC6" w:rsidRDefault="000C5765" w:rsidP="0076338E">
            <w:pPr>
              <w:widowControl/>
              <w:jc w:val="center"/>
              <w:rPr>
                <w:rFonts w:eastAsia="標楷體"/>
                <w:kern w:val="0"/>
                <w:sz w:val="22"/>
                <w:szCs w:val="20"/>
              </w:rPr>
            </w:pPr>
            <w:r w:rsidRPr="00D55DC6">
              <w:rPr>
                <w:rFonts w:eastAsia="標楷體"/>
                <w:kern w:val="0"/>
                <w:sz w:val="22"/>
                <w:szCs w:val="20"/>
              </w:rPr>
              <w:t>107</w:t>
            </w:r>
          </w:p>
        </w:tc>
        <w:tc>
          <w:tcPr>
            <w:tcW w:w="850" w:type="dxa"/>
            <w:tcBorders>
              <w:top w:val="single" w:sz="4" w:space="0" w:color="auto"/>
              <w:left w:val="nil"/>
              <w:bottom w:val="double" w:sz="6" w:space="0" w:color="auto"/>
              <w:right w:val="single" w:sz="4" w:space="0" w:color="auto"/>
            </w:tcBorders>
            <w:shd w:val="clear" w:color="000000" w:fill="FFCC00"/>
            <w:noWrap/>
            <w:vAlign w:val="center"/>
          </w:tcPr>
          <w:p w:rsidR="000C5765" w:rsidRPr="00D55DC6" w:rsidRDefault="000C5765" w:rsidP="0076338E">
            <w:pPr>
              <w:widowControl/>
              <w:jc w:val="center"/>
              <w:rPr>
                <w:rFonts w:eastAsia="標楷體"/>
                <w:kern w:val="0"/>
                <w:sz w:val="22"/>
                <w:szCs w:val="20"/>
              </w:rPr>
            </w:pPr>
            <w:r w:rsidRPr="00D55DC6">
              <w:rPr>
                <w:rFonts w:eastAsia="標楷體"/>
                <w:kern w:val="0"/>
                <w:sz w:val="22"/>
                <w:szCs w:val="20"/>
              </w:rPr>
              <w:t>108</w:t>
            </w:r>
          </w:p>
        </w:tc>
        <w:tc>
          <w:tcPr>
            <w:tcW w:w="851" w:type="dxa"/>
            <w:tcBorders>
              <w:top w:val="single" w:sz="4" w:space="0" w:color="auto"/>
              <w:left w:val="nil"/>
              <w:bottom w:val="double" w:sz="6" w:space="0" w:color="auto"/>
              <w:right w:val="single" w:sz="4" w:space="0" w:color="auto"/>
            </w:tcBorders>
            <w:shd w:val="clear" w:color="000000" w:fill="FFCC00"/>
            <w:noWrap/>
            <w:vAlign w:val="center"/>
          </w:tcPr>
          <w:p w:rsidR="000C5765" w:rsidRPr="00D55DC6" w:rsidRDefault="000C5765" w:rsidP="0076338E">
            <w:pPr>
              <w:widowControl/>
              <w:jc w:val="center"/>
              <w:rPr>
                <w:rFonts w:eastAsia="標楷體"/>
                <w:kern w:val="0"/>
                <w:sz w:val="22"/>
                <w:szCs w:val="20"/>
              </w:rPr>
            </w:pPr>
            <w:r w:rsidRPr="00D55DC6">
              <w:rPr>
                <w:rFonts w:eastAsia="標楷體"/>
                <w:kern w:val="0"/>
                <w:sz w:val="22"/>
                <w:szCs w:val="20"/>
              </w:rPr>
              <w:t>109</w:t>
            </w:r>
          </w:p>
        </w:tc>
        <w:tc>
          <w:tcPr>
            <w:tcW w:w="851" w:type="dxa"/>
            <w:tcBorders>
              <w:top w:val="single" w:sz="4" w:space="0" w:color="auto"/>
              <w:left w:val="nil"/>
              <w:bottom w:val="double" w:sz="6" w:space="0" w:color="auto"/>
              <w:right w:val="single" w:sz="4" w:space="0" w:color="auto"/>
            </w:tcBorders>
            <w:shd w:val="clear" w:color="000000" w:fill="FFCC00"/>
            <w:noWrap/>
            <w:vAlign w:val="center"/>
          </w:tcPr>
          <w:p w:rsidR="000C5765" w:rsidRPr="00D55DC6" w:rsidRDefault="000C5765" w:rsidP="0076338E">
            <w:pPr>
              <w:widowControl/>
              <w:jc w:val="center"/>
              <w:rPr>
                <w:rFonts w:eastAsia="標楷體"/>
                <w:kern w:val="0"/>
                <w:sz w:val="22"/>
                <w:szCs w:val="20"/>
              </w:rPr>
            </w:pPr>
            <w:r w:rsidRPr="00D55DC6">
              <w:rPr>
                <w:rFonts w:eastAsia="標楷體"/>
                <w:kern w:val="0"/>
                <w:sz w:val="22"/>
                <w:szCs w:val="20"/>
              </w:rPr>
              <w:t>110</w:t>
            </w:r>
          </w:p>
        </w:tc>
        <w:tc>
          <w:tcPr>
            <w:tcW w:w="850" w:type="dxa"/>
            <w:tcBorders>
              <w:top w:val="single" w:sz="4" w:space="0" w:color="auto"/>
              <w:left w:val="nil"/>
              <w:bottom w:val="double" w:sz="6" w:space="0" w:color="auto"/>
              <w:right w:val="single" w:sz="4" w:space="0" w:color="auto"/>
            </w:tcBorders>
            <w:shd w:val="clear" w:color="000000" w:fill="FFCC00"/>
            <w:noWrap/>
            <w:vAlign w:val="center"/>
          </w:tcPr>
          <w:p w:rsidR="000C5765" w:rsidRPr="00D55DC6" w:rsidRDefault="000C5765" w:rsidP="0076338E">
            <w:pPr>
              <w:widowControl/>
              <w:jc w:val="center"/>
              <w:rPr>
                <w:rFonts w:eastAsia="標楷體"/>
                <w:kern w:val="0"/>
                <w:sz w:val="22"/>
                <w:szCs w:val="20"/>
              </w:rPr>
            </w:pPr>
            <w:r w:rsidRPr="00D55DC6">
              <w:rPr>
                <w:rFonts w:eastAsia="標楷體"/>
                <w:kern w:val="0"/>
                <w:sz w:val="22"/>
                <w:szCs w:val="20"/>
              </w:rPr>
              <w:t>111</w:t>
            </w:r>
          </w:p>
        </w:tc>
        <w:tc>
          <w:tcPr>
            <w:tcW w:w="851" w:type="dxa"/>
            <w:tcBorders>
              <w:top w:val="single" w:sz="4" w:space="0" w:color="auto"/>
              <w:left w:val="nil"/>
              <w:bottom w:val="double" w:sz="6" w:space="0" w:color="auto"/>
              <w:right w:val="single" w:sz="4" w:space="0" w:color="auto"/>
            </w:tcBorders>
            <w:shd w:val="clear" w:color="000000" w:fill="FFCC00"/>
            <w:noWrap/>
            <w:vAlign w:val="center"/>
          </w:tcPr>
          <w:p w:rsidR="000C5765" w:rsidRPr="00D55DC6" w:rsidRDefault="000C5765" w:rsidP="0076338E">
            <w:pPr>
              <w:widowControl/>
              <w:jc w:val="center"/>
              <w:rPr>
                <w:rFonts w:eastAsia="標楷體"/>
                <w:kern w:val="0"/>
                <w:sz w:val="22"/>
                <w:szCs w:val="20"/>
              </w:rPr>
            </w:pPr>
            <w:r w:rsidRPr="00D55DC6">
              <w:rPr>
                <w:rFonts w:eastAsia="標楷體"/>
                <w:kern w:val="0"/>
                <w:sz w:val="22"/>
                <w:szCs w:val="20"/>
              </w:rPr>
              <w:t>112</w:t>
            </w:r>
          </w:p>
        </w:tc>
      </w:tr>
      <w:tr w:rsidR="001D0350" w:rsidRPr="00D55DC6" w:rsidTr="0076338E">
        <w:trPr>
          <w:gridAfter w:val="1"/>
          <w:wAfter w:w="1046" w:type="dxa"/>
          <w:trHeight w:val="345"/>
        </w:trPr>
        <w:tc>
          <w:tcPr>
            <w:tcW w:w="993" w:type="dxa"/>
            <w:tcBorders>
              <w:top w:val="single" w:sz="4" w:space="0" w:color="auto"/>
              <w:left w:val="single" w:sz="4" w:space="0" w:color="auto"/>
              <w:bottom w:val="single" w:sz="4" w:space="0" w:color="auto"/>
              <w:right w:val="single" w:sz="4" w:space="0" w:color="auto"/>
            </w:tcBorders>
            <w:shd w:val="clear" w:color="000000" w:fill="FDE9D9"/>
            <w:noWrap/>
            <w:vAlign w:val="center"/>
          </w:tcPr>
          <w:p w:rsidR="000C5765" w:rsidRPr="00D55DC6" w:rsidRDefault="000C5765" w:rsidP="0076338E">
            <w:pPr>
              <w:widowControl/>
              <w:rPr>
                <w:rFonts w:eastAsia="標楷體"/>
                <w:kern w:val="0"/>
                <w:sz w:val="22"/>
                <w:szCs w:val="20"/>
              </w:rPr>
            </w:pPr>
            <w:r w:rsidRPr="00D55DC6">
              <w:rPr>
                <w:rFonts w:eastAsia="標楷體"/>
                <w:kern w:val="0"/>
                <w:sz w:val="22"/>
                <w:szCs w:val="20"/>
              </w:rPr>
              <w:t>支出</w:t>
            </w:r>
          </w:p>
        </w:tc>
        <w:tc>
          <w:tcPr>
            <w:tcW w:w="1134" w:type="dxa"/>
            <w:tcBorders>
              <w:top w:val="single" w:sz="4" w:space="0" w:color="auto"/>
              <w:left w:val="nil"/>
              <w:bottom w:val="single" w:sz="4" w:space="0" w:color="auto"/>
              <w:right w:val="single" w:sz="4" w:space="0" w:color="auto"/>
            </w:tcBorders>
            <w:shd w:val="clear" w:color="000000" w:fill="FDE9D9"/>
            <w:noWrap/>
            <w:vAlign w:val="center"/>
          </w:tcPr>
          <w:p w:rsidR="000C5765" w:rsidRPr="00D55DC6" w:rsidRDefault="000C5765" w:rsidP="0076338E">
            <w:pPr>
              <w:jc w:val="right"/>
              <w:rPr>
                <w:rFonts w:eastAsia="標楷體"/>
              </w:rPr>
            </w:pPr>
            <w:r w:rsidRPr="00D55DC6">
              <w:rPr>
                <w:rFonts w:eastAsia="標楷體"/>
              </w:rPr>
              <w:t>142,300</w:t>
            </w:r>
          </w:p>
        </w:tc>
        <w:tc>
          <w:tcPr>
            <w:tcW w:w="850" w:type="dxa"/>
            <w:tcBorders>
              <w:top w:val="single" w:sz="4" w:space="0" w:color="auto"/>
              <w:left w:val="nil"/>
              <w:bottom w:val="single" w:sz="4" w:space="0" w:color="auto"/>
              <w:right w:val="single" w:sz="4" w:space="0" w:color="auto"/>
            </w:tcBorders>
            <w:shd w:val="clear" w:color="000000" w:fill="FDE9D9"/>
            <w:noWrap/>
            <w:vAlign w:val="center"/>
          </w:tcPr>
          <w:p w:rsidR="000C5765" w:rsidRPr="00D55DC6" w:rsidRDefault="000C5765" w:rsidP="0076338E">
            <w:pPr>
              <w:jc w:val="right"/>
              <w:rPr>
                <w:rFonts w:eastAsia="標楷體"/>
              </w:rPr>
            </w:pPr>
            <w:r w:rsidRPr="00D55DC6">
              <w:rPr>
                <w:rFonts w:eastAsia="標楷體"/>
              </w:rPr>
              <w:t>180,000</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0C5765" w:rsidRPr="00D55DC6" w:rsidRDefault="000C5765" w:rsidP="0076338E">
            <w:pPr>
              <w:jc w:val="right"/>
              <w:rPr>
                <w:rFonts w:eastAsia="標楷體"/>
              </w:rPr>
            </w:pPr>
            <w:r w:rsidRPr="00D55DC6">
              <w:rPr>
                <w:rFonts w:eastAsia="標楷體"/>
              </w:rPr>
              <w:t>150,000</w:t>
            </w:r>
          </w:p>
        </w:tc>
        <w:tc>
          <w:tcPr>
            <w:tcW w:w="850" w:type="dxa"/>
            <w:tcBorders>
              <w:top w:val="single" w:sz="4" w:space="0" w:color="auto"/>
              <w:left w:val="nil"/>
              <w:bottom w:val="single" w:sz="4" w:space="0" w:color="auto"/>
              <w:right w:val="single" w:sz="4" w:space="0" w:color="auto"/>
            </w:tcBorders>
            <w:shd w:val="clear" w:color="000000" w:fill="FDE9D9"/>
            <w:noWrap/>
            <w:vAlign w:val="center"/>
          </w:tcPr>
          <w:p w:rsidR="000C5765" w:rsidRPr="00D55DC6" w:rsidRDefault="000C5765" w:rsidP="0076338E">
            <w:pPr>
              <w:jc w:val="right"/>
              <w:rPr>
                <w:rFonts w:eastAsia="標楷體"/>
              </w:rPr>
            </w:pPr>
            <w:r w:rsidRPr="00D55DC6">
              <w:rPr>
                <w:rFonts w:eastAsia="標楷體"/>
              </w:rPr>
              <w:t>150,000</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0C5765" w:rsidRPr="00D55DC6" w:rsidRDefault="000C5765" w:rsidP="0076338E">
            <w:pPr>
              <w:jc w:val="right"/>
              <w:rPr>
                <w:rFonts w:eastAsia="標楷體"/>
              </w:rPr>
            </w:pPr>
            <w:r w:rsidRPr="00D55DC6">
              <w:rPr>
                <w:rFonts w:eastAsia="標楷體"/>
              </w:rPr>
              <w:t>150,000</w:t>
            </w:r>
          </w:p>
        </w:tc>
        <w:tc>
          <w:tcPr>
            <w:tcW w:w="850" w:type="dxa"/>
            <w:tcBorders>
              <w:top w:val="single" w:sz="4" w:space="0" w:color="auto"/>
              <w:left w:val="nil"/>
              <w:bottom w:val="single" w:sz="4" w:space="0" w:color="auto"/>
              <w:right w:val="single" w:sz="4" w:space="0" w:color="auto"/>
            </w:tcBorders>
            <w:shd w:val="clear" w:color="000000" w:fill="FDE9D9"/>
            <w:noWrap/>
            <w:vAlign w:val="center"/>
          </w:tcPr>
          <w:p w:rsidR="000C5765" w:rsidRPr="00D55DC6" w:rsidRDefault="000C5765" w:rsidP="0076338E">
            <w:pPr>
              <w:jc w:val="right"/>
              <w:rPr>
                <w:rFonts w:eastAsia="標楷體"/>
              </w:rPr>
            </w:pPr>
            <w:r w:rsidRPr="00D55DC6">
              <w:rPr>
                <w:rFonts w:eastAsia="標楷體"/>
              </w:rPr>
              <w:t>150,000</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0C5765" w:rsidRPr="00D55DC6" w:rsidRDefault="000C5765" w:rsidP="0076338E">
            <w:pPr>
              <w:jc w:val="right"/>
              <w:rPr>
                <w:rFonts w:eastAsia="標楷體"/>
              </w:rPr>
            </w:pPr>
            <w:r w:rsidRPr="00D55DC6">
              <w:rPr>
                <w:rFonts w:eastAsia="標楷體"/>
              </w:rPr>
              <w:t>150,000</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0C5765" w:rsidRPr="00D55DC6" w:rsidRDefault="000C5765" w:rsidP="0076338E">
            <w:pPr>
              <w:jc w:val="right"/>
              <w:rPr>
                <w:rFonts w:eastAsia="標楷體"/>
              </w:rPr>
            </w:pPr>
            <w:r w:rsidRPr="00D55DC6">
              <w:rPr>
                <w:rFonts w:eastAsia="標楷體"/>
              </w:rPr>
              <w:t>150,000</w:t>
            </w:r>
          </w:p>
        </w:tc>
        <w:tc>
          <w:tcPr>
            <w:tcW w:w="850" w:type="dxa"/>
            <w:tcBorders>
              <w:top w:val="single" w:sz="4" w:space="0" w:color="auto"/>
              <w:left w:val="nil"/>
              <w:bottom w:val="single" w:sz="4" w:space="0" w:color="auto"/>
              <w:right w:val="single" w:sz="4" w:space="0" w:color="auto"/>
            </w:tcBorders>
            <w:shd w:val="clear" w:color="000000" w:fill="FDE9D9"/>
            <w:noWrap/>
            <w:vAlign w:val="center"/>
          </w:tcPr>
          <w:p w:rsidR="000C5765" w:rsidRPr="00D55DC6" w:rsidRDefault="000C5765" w:rsidP="0076338E">
            <w:pPr>
              <w:jc w:val="right"/>
              <w:rPr>
                <w:rFonts w:eastAsia="標楷體"/>
              </w:rPr>
            </w:pPr>
            <w:r w:rsidRPr="00D55DC6">
              <w:rPr>
                <w:rFonts w:eastAsia="標楷體"/>
              </w:rPr>
              <w:t>150,000</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0C5765" w:rsidRPr="00D55DC6" w:rsidRDefault="000C5765" w:rsidP="0076338E">
            <w:pPr>
              <w:jc w:val="right"/>
              <w:rPr>
                <w:rFonts w:eastAsia="標楷體"/>
              </w:rPr>
            </w:pPr>
            <w:r w:rsidRPr="00D55DC6">
              <w:rPr>
                <w:rFonts w:eastAsia="標楷體"/>
              </w:rPr>
              <w:t>150,000</w:t>
            </w:r>
          </w:p>
        </w:tc>
      </w:tr>
      <w:tr w:rsidR="001D0350" w:rsidRPr="00D55DC6" w:rsidTr="0076338E">
        <w:trPr>
          <w:gridAfter w:val="1"/>
          <w:wAfter w:w="1046" w:type="dxa"/>
          <w:trHeight w:val="330"/>
        </w:trPr>
        <w:tc>
          <w:tcPr>
            <w:tcW w:w="993" w:type="dxa"/>
            <w:tcBorders>
              <w:top w:val="nil"/>
              <w:left w:val="single" w:sz="4" w:space="0" w:color="auto"/>
              <w:bottom w:val="single" w:sz="4" w:space="0" w:color="auto"/>
              <w:right w:val="single" w:sz="4" w:space="0" w:color="auto"/>
            </w:tcBorders>
            <w:shd w:val="clear" w:color="000000" w:fill="FFFFFF"/>
            <w:noWrap/>
            <w:vAlign w:val="center"/>
          </w:tcPr>
          <w:p w:rsidR="000C5765" w:rsidRPr="00D55DC6" w:rsidRDefault="000C5765" w:rsidP="0076338E">
            <w:pPr>
              <w:widowControl/>
              <w:rPr>
                <w:rFonts w:eastAsia="標楷體"/>
                <w:kern w:val="0"/>
                <w:sz w:val="22"/>
                <w:szCs w:val="20"/>
              </w:rPr>
            </w:pPr>
            <w:r w:rsidRPr="00D55DC6">
              <w:rPr>
                <w:rFonts w:eastAsia="標楷體"/>
                <w:kern w:val="0"/>
                <w:sz w:val="22"/>
                <w:szCs w:val="20"/>
              </w:rPr>
              <w:t>收入</w:t>
            </w:r>
          </w:p>
        </w:tc>
        <w:tc>
          <w:tcPr>
            <w:tcW w:w="1134"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rPr>
                <w:rFonts w:eastAsia="標楷體"/>
              </w:rPr>
            </w:pPr>
            <w:r w:rsidRPr="00D55DC6">
              <w:rPr>
                <w:rFonts w:eastAsia="標楷體"/>
              </w:rPr>
              <w:t>90</w:t>
            </w:r>
          </w:p>
        </w:tc>
        <w:tc>
          <w:tcPr>
            <w:tcW w:w="850"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1,186</w:t>
            </w:r>
          </w:p>
        </w:tc>
        <w:tc>
          <w:tcPr>
            <w:tcW w:w="851"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1,273</w:t>
            </w:r>
          </w:p>
        </w:tc>
        <w:tc>
          <w:tcPr>
            <w:tcW w:w="850"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1,814</w:t>
            </w:r>
          </w:p>
        </w:tc>
        <w:tc>
          <w:tcPr>
            <w:tcW w:w="851"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12,433</w:t>
            </w:r>
          </w:p>
        </w:tc>
        <w:tc>
          <w:tcPr>
            <w:tcW w:w="850"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16,544</w:t>
            </w:r>
          </w:p>
        </w:tc>
        <w:tc>
          <w:tcPr>
            <w:tcW w:w="851"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16,567</w:t>
            </w:r>
          </w:p>
        </w:tc>
        <w:tc>
          <w:tcPr>
            <w:tcW w:w="851"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19,185</w:t>
            </w:r>
          </w:p>
        </w:tc>
        <w:tc>
          <w:tcPr>
            <w:tcW w:w="850"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19,350</w:t>
            </w:r>
          </w:p>
        </w:tc>
        <w:tc>
          <w:tcPr>
            <w:tcW w:w="851"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19,470</w:t>
            </w:r>
          </w:p>
        </w:tc>
      </w:tr>
      <w:tr w:rsidR="001D0350" w:rsidRPr="00D55DC6" w:rsidTr="0076338E">
        <w:trPr>
          <w:gridAfter w:val="1"/>
          <w:wAfter w:w="1046" w:type="dxa"/>
          <w:trHeight w:val="330"/>
        </w:trPr>
        <w:tc>
          <w:tcPr>
            <w:tcW w:w="993" w:type="dxa"/>
            <w:tcBorders>
              <w:top w:val="nil"/>
              <w:left w:val="single" w:sz="4" w:space="0" w:color="auto"/>
              <w:bottom w:val="single" w:sz="4" w:space="0" w:color="auto"/>
              <w:right w:val="single" w:sz="4" w:space="0" w:color="auto"/>
            </w:tcBorders>
            <w:shd w:val="clear" w:color="000000" w:fill="FFFFFF"/>
            <w:noWrap/>
            <w:vAlign w:val="center"/>
          </w:tcPr>
          <w:p w:rsidR="000C5765" w:rsidRPr="00D55DC6" w:rsidRDefault="000C5765" w:rsidP="0076338E">
            <w:pPr>
              <w:widowControl/>
              <w:rPr>
                <w:rFonts w:eastAsia="標楷體"/>
                <w:kern w:val="0"/>
                <w:sz w:val="22"/>
                <w:szCs w:val="20"/>
              </w:rPr>
            </w:pPr>
            <w:r w:rsidRPr="00D55DC6">
              <w:rPr>
                <w:rFonts w:eastAsia="標楷體"/>
                <w:kern w:val="0"/>
                <w:sz w:val="22"/>
                <w:szCs w:val="20"/>
              </w:rPr>
              <w:t>收支比</w:t>
            </w:r>
          </w:p>
        </w:tc>
        <w:tc>
          <w:tcPr>
            <w:tcW w:w="1134"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rPr>
                <w:rFonts w:eastAsia="標楷體"/>
              </w:rPr>
            </w:pPr>
            <w:r w:rsidRPr="00D55DC6">
              <w:rPr>
                <w:rFonts w:eastAsia="標楷體"/>
              </w:rPr>
              <w:t>0.06%</w:t>
            </w:r>
          </w:p>
        </w:tc>
        <w:tc>
          <w:tcPr>
            <w:tcW w:w="850"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0.66%</w:t>
            </w:r>
          </w:p>
        </w:tc>
        <w:tc>
          <w:tcPr>
            <w:tcW w:w="851"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0.85%</w:t>
            </w:r>
          </w:p>
        </w:tc>
        <w:tc>
          <w:tcPr>
            <w:tcW w:w="850"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1.21%</w:t>
            </w:r>
          </w:p>
        </w:tc>
        <w:tc>
          <w:tcPr>
            <w:tcW w:w="851"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8.29%</w:t>
            </w:r>
          </w:p>
        </w:tc>
        <w:tc>
          <w:tcPr>
            <w:tcW w:w="850"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11.03%</w:t>
            </w:r>
          </w:p>
        </w:tc>
        <w:tc>
          <w:tcPr>
            <w:tcW w:w="851"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11.04%</w:t>
            </w:r>
          </w:p>
        </w:tc>
        <w:tc>
          <w:tcPr>
            <w:tcW w:w="851"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12.79%</w:t>
            </w:r>
          </w:p>
        </w:tc>
        <w:tc>
          <w:tcPr>
            <w:tcW w:w="850"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12.90%</w:t>
            </w:r>
          </w:p>
        </w:tc>
        <w:tc>
          <w:tcPr>
            <w:tcW w:w="851"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12.98%</w:t>
            </w:r>
          </w:p>
        </w:tc>
      </w:tr>
      <w:tr w:rsidR="001D0350" w:rsidRPr="00D55DC6" w:rsidTr="0076338E">
        <w:trPr>
          <w:trHeight w:val="345"/>
        </w:trPr>
        <w:tc>
          <w:tcPr>
            <w:tcW w:w="993" w:type="dxa"/>
            <w:tcBorders>
              <w:top w:val="nil"/>
              <w:left w:val="single" w:sz="4" w:space="0" w:color="auto"/>
              <w:bottom w:val="double" w:sz="6" w:space="0" w:color="auto"/>
              <w:right w:val="single" w:sz="4" w:space="0" w:color="auto"/>
            </w:tcBorders>
            <w:shd w:val="clear" w:color="000000" w:fill="FFCC00"/>
            <w:noWrap/>
            <w:vAlign w:val="center"/>
          </w:tcPr>
          <w:p w:rsidR="000C5765" w:rsidRPr="00D55DC6" w:rsidRDefault="000C5765" w:rsidP="0076338E">
            <w:pPr>
              <w:widowControl/>
              <w:rPr>
                <w:rFonts w:eastAsia="標楷體"/>
                <w:kern w:val="0"/>
                <w:sz w:val="22"/>
                <w:szCs w:val="20"/>
              </w:rPr>
            </w:pPr>
            <w:r w:rsidRPr="00D55DC6">
              <w:rPr>
                <w:rFonts w:eastAsia="標楷體"/>
                <w:kern w:val="0"/>
                <w:sz w:val="22"/>
                <w:szCs w:val="20"/>
              </w:rPr>
              <w:t xml:space="preserve">　</w:t>
            </w:r>
          </w:p>
        </w:tc>
        <w:tc>
          <w:tcPr>
            <w:tcW w:w="1134" w:type="dxa"/>
            <w:tcBorders>
              <w:top w:val="nil"/>
              <w:left w:val="nil"/>
              <w:bottom w:val="double" w:sz="6" w:space="0" w:color="auto"/>
              <w:right w:val="single" w:sz="4" w:space="0" w:color="auto"/>
            </w:tcBorders>
            <w:shd w:val="clear" w:color="000000" w:fill="FFCC00"/>
            <w:noWrap/>
            <w:vAlign w:val="center"/>
          </w:tcPr>
          <w:p w:rsidR="000C5765" w:rsidRPr="00D55DC6" w:rsidRDefault="000C5765" w:rsidP="0076338E">
            <w:pPr>
              <w:widowControl/>
              <w:jc w:val="center"/>
              <w:rPr>
                <w:rFonts w:eastAsia="標楷體"/>
                <w:kern w:val="0"/>
                <w:sz w:val="22"/>
                <w:szCs w:val="20"/>
              </w:rPr>
            </w:pPr>
            <w:r w:rsidRPr="00D55DC6">
              <w:rPr>
                <w:rFonts w:eastAsia="標楷體"/>
                <w:kern w:val="0"/>
                <w:sz w:val="22"/>
                <w:szCs w:val="20"/>
              </w:rPr>
              <w:t>113</w:t>
            </w:r>
          </w:p>
        </w:tc>
        <w:tc>
          <w:tcPr>
            <w:tcW w:w="850" w:type="dxa"/>
            <w:tcBorders>
              <w:top w:val="nil"/>
              <w:left w:val="nil"/>
              <w:bottom w:val="double" w:sz="6" w:space="0" w:color="auto"/>
              <w:right w:val="single" w:sz="4" w:space="0" w:color="auto"/>
            </w:tcBorders>
            <w:shd w:val="clear" w:color="000000" w:fill="FFCC00"/>
            <w:noWrap/>
            <w:vAlign w:val="center"/>
          </w:tcPr>
          <w:p w:rsidR="000C5765" w:rsidRPr="00D55DC6" w:rsidRDefault="000C5765" w:rsidP="0076338E">
            <w:pPr>
              <w:widowControl/>
              <w:jc w:val="center"/>
              <w:rPr>
                <w:rFonts w:eastAsia="標楷體"/>
                <w:kern w:val="0"/>
                <w:sz w:val="22"/>
                <w:szCs w:val="20"/>
              </w:rPr>
            </w:pPr>
            <w:r w:rsidRPr="00D55DC6">
              <w:rPr>
                <w:rFonts w:eastAsia="標楷體"/>
                <w:kern w:val="0"/>
                <w:sz w:val="22"/>
                <w:szCs w:val="20"/>
              </w:rPr>
              <w:t>114</w:t>
            </w:r>
          </w:p>
        </w:tc>
        <w:tc>
          <w:tcPr>
            <w:tcW w:w="851" w:type="dxa"/>
            <w:tcBorders>
              <w:top w:val="nil"/>
              <w:left w:val="nil"/>
              <w:bottom w:val="double" w:sz="6" w:space="0" w:color="auto"/>
              <w:right w:val="single" w:sz="4" w:space="0" w:color="auto"/>
            </w:tcBorders>
            <w:shd w:val="clear" w:color="000000" w:fill="FFCC00"/>
            <w:noWrap/>
            <w:vAlign w:val="center"/>
          </w:tcPr>
          <w:p w:rsidR="000C5765" w:rsidRPr="00D55DC6" w:rsidRDefault="000C5765" w:rsidP="0076338E">
            <w:pPr>
              <w:widowControl/>
              <w:jc w:val="center"/>
              <w:rPr>
                <w:rFonts w:eastAsia="標楷體"/>
                <w:kern w:val="0"/>
                <w:sz w:val="22"/>
                <w:szCs w:val="20"/>
              </w:rPr>
            </w:pPr>
            <w:r w:rsidRPr="00D55DC6">
              <w:rPr>
                <w:rFonts w:eastAsia="標楷體"/>
                <w:kern w:val="0"/>
                <w:sz w:val="22"/>
                <w:szCs w:val="20"/>
              </w:rPr>
              <w:t>115</w:t>
            </w:r>
          </w:p>
        </w:tc>
        <w:tc>
          <w:tcPr>
            <w:tcW w:w="850" w:type="dxa"/>
            <w:tcBorders>
              <w:top w:val="nil"/>
              <w:left w:val="nil"/>
              <w:bottom w:val="double" w:sz="6" w:space="0" w:color="auto"/>
              <w:right w:val="single" w:sz="4" w:space="0" w:color="auto"/>
            </w:tcBorders>
            <w:shd w:val="clear" w:color="000000" w:fill="FFCC00"/>
            <w:noWrap/>
            <w:vAlign w:val="center"/>
          </w:tcPr>
          <w:p w:rsidR="000C5765" w:rsidRPr="00D55DC6" w:rsidRDefault="000C5765" w:rsidP="0076338E">
            <w:pPr>
              <w:widowControl/>
              <w:jc w:val="center"/>
              <w:rPr>
                <w:rFonts w:eastAsia="標楷體"/>
                <w:kern w:val="0"/>
                <w:sz w:val="22"/>
                <w:szCs w:val="20"/>
              </w:rPr>
            </w:pPr>
            <w:r w:rsidRPr="00D55DC6">
              <w:rPr>
                <w:rFonts w:eastAsia="標楷體"/>
                <w:kern w:val="0"/>
                <w:sz w:val="22"/>
                <w:szCs w:val="20"/>
              </w:rPr>
              <w:t>116</w:t>
            </w:r>
          </w:p>
        </w:tc>
        <w:tc>
          <w:tcPr>
            <w:tcW w:w="851" w:type="dxa"/>
            <w:tcBorders>
              <w:top w:val="nil"/>
              <w:left w:val="nil"/>
              <w:bottom w:val="double" w:sz="6" w:space="0" w:color="auto"/>
              <w:right w:val="single" w:sz="4" w:space="0" w:color="auto"/>
            </w:tcBorders>
            <w:shd w:val="clear" w:color="000000" w:fill="FFCC00"/>
            <w:noWrap/>
            <w:vAlign w:val="center"/>
          </w:tcPr>
          <w:p w:rsidR="000C5765" w:rsidRPr="00D55DC6" w:rsidRDefault="000C5765" w:rsidP="0076338E">
            <w:pPr>
              <w:widowControl/>
              <w:jc w:val="center"/>
              <w:rPr>
                <w:rFonts w:eastAsia="標楷體"/>
                <w:kern w:val="0"/>
                <w:sz w:val="22"/>
                <w:szCs w:val="20"/>
              </w:rPr>
            </w:pPr>
            <w:r w:rsidRPr="00D55DC6">
              <w:rPr>
                <w:rFonts w:eastAsia="標楷體"/>
                <w:kern w:val="0"/>
                <w:sz w:val="22"/>
                <w:szCs w:val="20"/>
              </w:rPr>
              <w:t>117</w:t>
            </w:r>
          </w:p>
        </w:tc>
        <w:tc>
          <w:tcPr>
            <w:tcW w:w="850" w:type="dxa"/>
            <w:tcBorders>
              <w:top w:val="nil"/>
              <w:left w:val="nil"/>
              <w:bottom w:val="double" w:sz="6" w:space="0" w:color="auto"/>
              <w:right w:val="single" w:sz="4" w:space="0" w:color="auto"/>
            </w:tcBorders>
            <w:shd w:val="clear" w:color="000000" w:fill="FFCC00"/>
            <w:noWrap/>
            <w:vAlign w:val="center"/>
          </w:tcPr>
          <w:p w:rsidR="000C5765" w:rsidRPr="00D55DC6" w:rsidRDefault="000C5765" w:rsidP="0076338E">
            <w:pPr>
              <w:widowControl/>
              <w:jc w:val="center"/>
              <w:rPr>
                <w:rFonts w:eastAsia="標楷體"/>
                <w:kern w:val="0"/>
                <w:sz w:val="22"/>
                <w:szCs w:val="20"/>
              </w:rPr>
            </w:pPr>
            <w:r w:rsidRPr="00D55DC6">
              <w:rPr>
                <w:rFonts w:eastAsia="標楷體"/>
                <w:kern w:val="0"/>
                <w:sz w:val="22"/>
                <w:szCs w:val="20"/>
              </w:rPr>
              <w:t>118</w:t>
            </w:r>
          </w:p>
        </w:tc>
        <w:tc>
          <w:tcPr>
            <w:tcW w:w="851" w:type="dxa"/>
            <w:tcBorders>
              <w:top w:val="nil"/>
              <w:left w:val="nil"/>
              <w:bottom w:val="double" w:sz="6" w:space="0" w:color="auto"/>
              <w:right w:val="single" w:sz="4" w:space="0" w:color="auto"/>
            </w:tcBorders>
            <w:shd w:val="clear" w:color="000000" w:fill="FFCC00"/>
            <w:noWrap/>
            <w:vAlign w:val="center"/>
          </w:tcPr>
          <w:p w:rsidR="000C5765" w:rsidRPr="00D55DC6" w:rsidRDefault="000C5765" w:rsidP="0076338E">
            <w:pPr>
              <w:widowControl/>
              <w:jc w:val="center"/>
              <w:rPr>
                <w:rFonts w:eastAsia="標楷體"/>
                <w:kern w:val="0"/>
                <w:sz w:val="22"/>
                <w:szCs w:val="20"/>
              </w:rPr>
            </w:pPr>
            <w:r w:rsidRPr="00D55DC6">
              <w:rPr>
                <w:rFonts w:eastAsia="標楷體"/>
                <w:kern w:val="0"/>
                <w:sz w:val="22"/>
                <w:szCs w:val="20"/>
              </w:rPr>
              <w:t>119</w:t>
            </w:r>
          </w:p>
        </w:tc>
        <w:tc>
          <w:tcPr>
            <w:tcW w:w="851" w:type="dxa"/>
            <w:tcBorders>
              <w:top w:val="nil"/>
              <w:left w:val="nil"/>
              <w:bottom w:val="double" w:sz="6" w:space="0" w:color="auto"/>
              <w:right w:val="single" w:sz="4" w:space="0" w:color="auto"/>
            </w:tcBorders>
            <w:shd w:val="clear" w:color="000000" w:fill="FFCC00"/>
            <w:noWrap/>
            <w:vAlign w:val="center"/>
          </w:tcPr>
          <w:p w:rsidR="000C5765" w:rsidRPr="00D55DC6" w:rsidRDefault="000C5765" w:rsidP="0076338E">
            <w:pPr>
              <w:widowControl/>
              <w:jc w:val="center"/>
              <w:rPr>
                <w:rFonts w:eastAsia="標楷體"/>
                <w:kern w:val="0"/>
                <w:sz w:val="22"/>
                <w:szCs w:val="20"/>
              </w:rPr>
            </w:pPr>
            <w:r w:rsidRPr="00D55DC6">
              <w:rPr>
                <w:rFonts w:eastAsia="標楷體"/>
                <w:kern w:val="0"/>
                <w:sz w:val="22"/>
                <w:szCs w:val="20"/>
              </w:rPr>
              <w:t>120</w:t>
            </w:r>
          </w:p>
        </w:tc>
        <w:tc>
          <w:tcPr>
            <w:tcW w:w="850" w:type="dxa"/>
            <w:tcBorders>
              <w:top w:val="nil"/>
              <w:left w:val="nil"/>
              <w:bottom w:val="double" w:sz="6" w:space="0" w:color="auto"/>
              <w:right w:val="single" w:sz="4" w:space="0" w:color="auto"/>
            </w:tcBorders>
            <w:shd w:val="clear" w:color="000000" w:fill="FFCC00"/>
            <w:noWrap/>
            <w:vAlign w:val="center"/>
          </w:tcPr>
          <w:p w:rsidR="000C5765" w:rsidRPr="00D55DC6" w:rsidRDefault="000C5765" w:rsidP="0076338E">
            <w:pPr>
              <w:widowControl/>
              <w:jc w:val="center"/>
              <w:rPr>
                <w:rFonts w:eastAsia="標楷體"/>
                <w:kern w:val="0"/>
                <w:sz w:val="22"/>
                <w:szCs w:val="20"/>
              </w:rPr>
            </w:pPr>
            <w:r w:rsidRPr="00D55DC6">
              <w:rPr>
                <w:rFonts w:eastAsia="標楷體"/>
                <w:kern w:val="0"/>
                <w:sz w:val="22"/>
                <w:szCs w:val="20"/>
              </w:rPr>
              <w:t>121</w:t>
            </w:r>
          </w:p>
        </w:tc>
        <w:tc>
          <w:tcPr>
            <w:tcW w:w="851" w:type="dxa"/>
            <w:tcBorders>
              <w:top w:val="nil"/>
              <w:left w:val="nil"/>
              <w:bottom w:val="double" w:sz="6" w:space="0" w:color="auto"/>
              <w:right w:val="single" w:sz="4" w:space="0" w:color="auto"/>
            </w:tcBorders>
            <w:shd w:val="clear" w:color="000000" w:fill="FFCC00"/>
            <w:noWrap/>
            <w:vAlign w:val="center"/>
          </w:tcPr>
          <w:p w:rsidR="000C5765" w:rsidRPr="00D55DC6" w:rsidRDefault="000C5765" w:rsidP="0076338E">
            <w:pPr>
              <w:widowControl/>
              <w:jc w:val="center"/>
              <w:rPr>
                <w:rFonts w:eastAsia="標楷體"/>
                <w:kern w:val="0"/>
                <w:sz w:val="22"/>
                <w:szCs w:val="20"/>
              </w:rPr>
            </w:pPr>
            <w:r w:rsidRPr="00D55DC6">
              <w:rPr>
                <w:rFonts w:eastAsia="標楷體"/>
                <w:kern w:val="0"/>
                <w:sz w:val="22"/>
                <w:szCs w:val="20"/>
              </w:rPr>
              <w:t>122</w:t>
            </w:r>
          </w:p>
        </w:tc>
        <w:tc>
          <w:tcPr>
            <w:tcW w:w="1046" w:type="dxa"/>
            <w:tcBorders>
              <w:top w:val="single" w:sz="4" w:space="0" w:color="auto"/>
              <w:left w:val="nil"/>
              <w:bottom w:val="double" w:sz="6" w:space="0" w:color="auto"/>
              <w:right w:val="single" w:sz="4" w:space="0" w:color="auto"/>
            </w:tcBorders>
            <w:shd w:val="clear" w:color="000000" w:fill="FFCC00"/>
            <w:noWrap/>
            <w:vAlign w:val="center"/>
          </w:tcPr>
          <w:p w:rsidR="000C5765" w:rsidRPr="00D55DC6" w:rsidRDefault="000C5765" w:rsidP="0076338E">
            <w:pPr>
              <w:widowControl/>
              <w:jc w:val="center"/>
              <w:rPr>
                <w:rFonts w:eastAsia="標楷體"/>
                <w:kern w:val="0"/>
                <w:sz w:val="22"/>
                <w:szCs w:val="20"/>
              </w:rPr>
            </w:pPr>
            <w:r w:rsidRPr="00D55DC6">
              <w:rPr>
                <w:rFonts w:eastAsia="標楷體"/>
                <w:kern w:val="0"/>
                <w:sz w:val="22"/>
                <w:szCs w:val="20"/>
              </w:rPr>
              <w:t>合計</w:t>
            </w:r>
          </w:p>
        </w:tc>
      </w:tr>
      <w:tr w:rsidR="001D0350" w:rsidRPr="00D55DC6" w:rsidTr="0076338E">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DE9D9"/>
            <w:noWrap/>
            <w:vAlign w:val="center"/>
          </w:tcPr>
          <w:p w:rsidR="000C5765" w:rsidRPr="00D55DC6" w:rsidRDefault="000C5765" w:rsidP="0076338E">
            <w:pPr>
              <w:widowControl/>
              <w:rPr>
                <w:rFonts w:eastAsia="標楷體"/>
                <w:kern w:val="0"/>
                <w:sz w:val="22"/>
                <w:szCs w:val="20"/>
              </w:rPr>
            </w:pPr>
            <w:r w:rsidRPr="00D55DC6">
              <w:rPr>
                <w:rFonts w:eastAsia="標楷體"/>
                <w:kern w:val="0"/>
                <w:sz w:val="22"/>
                <w:szCs w:val="20"/>
              </w:rPr>
              <w:t>支出</w:t>
            </w:r>
          </w:p>
        </w:tc>
        <w:tc>
          <w:tcPr>
            <w:tcW w:w="1134" w:type="dxa"/>
            <w:tcBorders>
              <w:top w:val="single" w:sz="4" w:space="0" w:color="auto"/>
              <w:left w:val="nil"/>
              <w:bottom w:val="single" w:sz="4" w:space="0" w:color="auto"/>
              <w:right w:val="single" w:sz="4" w:space="0" w:color="auto"/>
            </w:tcBorders>
            <w:shd w:val="clear" w:color="000000" w:fill="FDE9D9"/>
            <w:noWrap/>
            <w:vAlign w:val="center"/>
          </w:tcPr>
          <w:p w:rsidR="000C5765" w:rsidRPr="00D55DC6" w:rsidRDefault="000C5765" w:rsidP="0076338E">
            <w:pPr>
              <w:jc w:val="right"/>
              <w:rPr>
                <w:rFonts w:eastAsia="標楷體"/>
              </w:rPr>
            </w:pPr>
            <w:r w:rsidRPr="00D55DC6">
              <w:rPr>
                <w:rFonts w:eastAsia="標楷體"/>
              </w:rPr>
              <w:t>150,000</w:t>
            </w:r>
          </w:p>
        </w:tc>
        <w:tc>
          <w:tcPr>
            <w:tcW w:w="850" w:type="dxa"/>
            <w:tcBorders>
              <w:top w:val="single" w:sz="4" w:space="0" w:color="auto"/>
              <w:left w:val="nil"/>
              <w:bottom w:val="single" w:sz="4" w:space="0" w:color="auto"/>
              <w:right w:val="single" w:sz="4" w:space="0" w:color="auto"/>
            </w:tcBorders>
            <w:shd w:val="clear" w:color="000000" w:fill="FDE9D9"/>
            <w:noWrap/>
            <w:vAlign w:val="center"/>
          </w:tcPr>
          <w:p w:rsidR="000C5765" w:rsidRPr="00D55DC6" w:rsidRDefault="000C5765" w:rsidP="0076338E">
            <w:pPr>
              <w:jc w:val="right"/>
              <w:rPr>
                <w:rFonts w:eastAsia="標楷體"/>
              </w:rPr>
            </w:pPr>
            <w:r w:rsidRPr="00D55DC6">
              <w:rPr>
                <w:rFonts w:eastAsia="標楷體"/>
              </w:rPr>
              <w:t>150,000</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0C5765" w:rsidRPr="00D55DC6" w:rsidRDefault="000C5765" w:rsidP="0076338E">
            <w:pPr>
              <w:jc w:val="right"/>
              <w:rPr>
                <w:rFonts w:eastAsia="標楷體"/>
              </w:rPr>
            </w:pPr>
            <w:r w:rsidRPr="00D55DC6">
              <w:rPr>
                <w:rFonts w:eastAsia="標楷體"/>
              </w:rPr>
              <w:t>150,000</w:t>
            </w:r>
          </w:p>
        </w:tc>
        <w:tc>
          <w:tcPr>
            <w:tcW w:w="850" w:type="dxa"/>
            <w:tcBorders>
              <w:top w:val="single" w:sz="4" w:space="0" w:color="auto"/>
              <w:left w:val="nil"/>
              <w:bottom w:val="single" w:sz="4" w:space="0" w:color="auto"/>
              <w:right w:val="single" w:sz="4" w:space="0" w:color="auto"/>
            </w:tcBorders>
            <w:shd w:val="clear" w:color="000000" w:fill="FDE9D9"/>
            <w:noWrap/>
            <w:vAlign w:val="center"/>
          </w:tcPr>
          <w:p w:rsidR="000C5765" w:rsidRPr="00D55DC6" w:rsidRDefault="000C5765" w:rsidP="0076338E">
            <w:pPr>
              <w:jc w:val="right"/>
              <w:rPr>
                <w:rFonts w:eastAsia="標楷體"/>
              </w:rPr>
            </w:pPr>
            <w:r w:rsidRPr="00D55DC6">
              <w:rPr>
                <w:rFonts w:eastAsia="標楷體"/>
              </w:rPr>
              <w:t>150,000</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0C5765" w:rsidRPr="00D55DC6" w:rsidRDefault="000C5765" w:rsidP="0076338E">
            <w:pPr>
              <w:jc w:val="right"/>
              <w:rPr>
                <w:rFonts w:eastAsia="標楷體"/>
              </w:rPr>
            </w:pPr>
            <w:r w:rsidRPr="00D55DC6">
              <w:rPr>
                <w:rFonts w:eastAsia="標楷體"/>
              </w:rPr>
              <w:t>150,000</w:t>
            </w:r>
          </w:p>
        </w:tc>
        <w:tc>
          <w:tcPr>
            <w:tcW w:w="850" w:type="dxa"/>
            <w:tcBorders>
              <w:top w:val="single" w:sz="4" w:space="0" w:color="auto"/>
              <w:left w:val="nil"/>
              <w:bottom w:val="single" w:sz="4" w:space="0" w:color="auto"/>
              <w:right w:val="single" w:sz="4" w:space="0" w:color="auto"/>
            </w:tcBorders>
            <w:shd w:val="clear" w:color="000000" w:fill="FDE9D9"/>
            <w:noWrap/>
            <w:vAlign w:val="center"/>
          </w:tcPr>
          <w:p w:rsidR="000C5765" w:rsidRPr="00D55DC6" w:rsidRDefault="000C5765" w:rsidP="0076338E">
            <w:pPr>
              <w:jc w:val="right"/>
              <w:rPr>
                <w:rFonts w:eastAsia="標楷體"/>
              </w:rPr>
            </w:pPr>
            <w:r w:rsidRPr="00D55DC6">
              <w:rPr>
                <w:rFonts w:eastAsia="標楷體"/>
              </w:rPr>
              <w:t>150,000</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0C5765" w:rsidRPr="00D55DC6" w:rsidRDefault="000C5765" w:rsidP="0076338E">
            <w:pPr>
              <w:jc w:val="right"/>
              <w:rPr>
                <w:rFonts w:eastAsia="標楷體"/>
              </w:rPr>
            </w:pPr>
            <w:r w:rsidRPr="00D55DC6">
              <w:rPr>
                <w:rFonts w:eastAsia="標楷體"/>
              </w:rPr>
              <w:t>150,000</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0C5765" w:rsidRPr="00D55DC6" w:rsidRDefault="000C5765" w:rsidP="0076338E">
            <w:pPr>
              <w:jc w:val="right"/>
              <w:rPr>
                <w:rFonts w:eastAsia="標楷體"/>
              </w:rPr>
            </w:pPr>
            <w:r w:rsidRPr="00D55DC6">
              <w:rPr>
                <w:rFonts w:eastAsia="標楷體"/>
              </w:rPr>
              <w:t>150,000</w:t>
            </w:r>
          </w:p>
        </w:tc>
        <w:tc>
          <w:tcPr>
            <w:tcW w:w="850" w:type="dxa"/>
            <w:tcBorders>
              <w:top w:val="single" w:sz="4" w:space="0" w:color="auto"/>
              <w:left w:val="nil"/>
              <w:bottom w:val="single" w:sz="4" w:space="0" w:color="auto"/>
              <w:right w:val="single" w:sz="4" w:space="0" w:color="auto"/>
            </w:tcBorders>
            <w:shd w:val="clear" w:color="000000" w:fill="FDE9D9"/>
            <w:noWrap/>
            <w:vAlign w:val="center"/>
          </w:tcPr>
          <w:p w:rsidR="000C5765" w:rsidRPr="00D55DC6" w:rsidRDefault="000C5765" w:rsidP="0076338E">
            <w:pPr>
              <w:jc w:val="right"/>
              <w:rPr>
                <w:rFonts w:eastAsia="標楷體"/>
              </w:rPr>
            </w:pPr>
            <w:r w:rsidRPr="00D55DC6">
              <w:rPr>
                <w:rFonts w:eastAsia="標楷體"/>
              </w:rPr>
              <w:t>150,000</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0C5765" w:rsidRPr="00D55DC6" w:rsidRDefault="000C5765" w:rsidP="0076338E">
            <w:pPr>
              <w:jc w:val="right"/>
              <w:rPr>
                <w:rFonts w:eastAsia="標楷體"/>
              </w:rPr>
            </w:pPr>
            <w:r w:rsidRPr="00D55DC6">
              <w:rPr>
                <w:rFonts w:eastAsia="標楷體"/>
              </w:rPr>
              <w:t>150,000</w:t>
            </w:r>
          </w:p>
        </w:tc>
        <w:tc>
          <w:tcPr>
            <w:tcW w:w="1046" w:type="dxa"/>
            <w:tcBorders>
              <w:top w:val="single" w:sz="4" w:space="0" w:color="auto"/>
              <w:left w:val="nil"/>
              <w:bottom w:val="single" w:sz="4" w:space="0" w:color="auto"/>
              <w:right w:val="single" w:sz="4" w:space="0" w:color="auto"/>
            </w:tcBorders>
            <w:shd w:val="clear" w:color="000000" w:fill="FDE9D9"/>
            <w:noWrap/>
            <w:vAlign w:val="center"/>
          </w:tcPr>
          <w:p w:rsidR="000C5765" w:rsidRPr="00D55DC6" w:rsidRDefault="000C5765" w:rsidP="0076338E">
            <w:pPr>
              <w:widowControl/>
              <w:jc w:val="right"/>
              <w:rPr>
                <w:rFonts w:eastAsia="標楷體"/>
              </w:rPr>
            </w:pPr>
            <w:r w:rsidRPr="00D55DC6">
              <w:rPr>
                <w:rFonts w:eastAsia="標楷體"/>
              </w:rPr>
              <w:t xml:space="preserve">3,022,300  </w:t>
            </w:r>
          </w:p>
        </w:tc>
      </w:tr>
      <w:tr w:rsidR="001D0350" w:rsidRPr="00D55DC6" w:rsidTr="0076338E">
        <w:trPr>
          <w:trHeight w:val="330"/>
        </w:trPr>
        <w:tc>
          <w:tcPr>
            <w:tcW w:w="993" w:type="dxa"/>
            <w:tcBorders>
              <w:top w:val="nil"/>
              <w:left w:val="single" w:sz="4" w:space="0" w:color="auto"/>
              <w:bottom w:val="single" w:sz="4" w:space="0" w:color="auto"/>
              <w:right w:val="single" w:sz="4" w:space="0" w:color="auto"/>
            </w:tcBorders>
            <w:shd w:val="clear" w:color="000000" w:fill="FFFFFF"/>
            <w:noWrap/>
            <w:vAlign w:val="center"/>
          </w:tcPr>
          <w:p w:rsidR="000C5765" w:rsidRPr="00D55DC6" w:rsidRDefault="000C5765" w:rsidP="0076338E">
            <w:pPr>
              <w:widowControl/>
              <w:rPr>
                <w:rFonts w:eastAsia="標楷體"/>
                <w:kern w:val="0"/>
                <w:sz w:val="22"/>
                <w:szCs w:val="20"/>
              </w:rPr>
            </w:pPr>
            <w:r w:rsidRPr="00D55DC6">
              <w:rPr>
                <w:rFonts w:eastAsia="標楷體"/>
                <w:kern w:val="0"/>
                <w:sz w:val="22"/>
                <w:szCs w:val="20"/>
              </w:rPr>
              <w:t>收入</w:t>
            </w:r>
          </w:p>
        </w:tc>
        <w:tc>
          <w:tcPr>
            <w:tcW w:w="1134"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19,592</w:t>
            </w:r>
          </w:p>
        </w:tc>
        <w:tc>
          <w:tcPr>
            <w:tcW w:w="850"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19,766</w:t>
            </w:r>
          </w:p>
        </w:tc>
        <w:tc>
          <w:tcPr>
            <w:tcW w:w="851"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19,892</w:t>
            </w:r>
          </w:p>
        </w:tc>
        <w:tc>
          <w:tcPr>
            <w:tcW w:w="850"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20,020</w:t>
            </w:r>
          </w:p>
        </w:tc>
        <w:tc>
          <w:tcPr>
            <w:tcW w:w="851"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20,202</w:t>
            </w:r>
          </w:p>
        </w:tc>
        <w:tc>
          <w:tcPr>
            <w:tcW w:w="850"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20,333</w:t>
            </w:r>
          </w:p>
        </w:tc>
        <w:tc>
          <w:tcPr>
            <w:tcW w:w="851"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20,467</w:t>
            </w:r>
          </w:p>
        </w:tc>
        <w:tc>
          <w:tcPr>
            <w:tcW w:w="851"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20,658</w:t>
            </w:r>
          </w:p>
        </w:tc>
        <w:tc>
          <w:tcPr>
            <w:tcW w:w="850"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20,796</w:t>
            </w:r>
          </w:p>
        </w:tc>
        <w:tc>
          <w:tcPr>
            <w:tcW w:w="851"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20,935</w:t>
            </w:r>
          </w:p>
        </w:tc>
        <w:tc>
          <w:tcPr>
            <w:tcW w:w="1046"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310,573</w:t>
            </w:r>
          </w:p>
        </w:tc>
      </w:tr>
      <w:tr w:rsidR="001D0350" w:rsidRPr="00D55DC6" w:rsidTr="0076338E">
        <w:trPr>
          <w:trHeight w:val="330"/>
        </w:trPr>
        <w:tc>
          <w:tcPr>
            <w:tcW w:w="993" w:type="dxa"/>
            <w:tcBorders>
              <w:top w:val="nil"/>
              <w:left w:val="single" w:sz="4" w:space="0" w:color="auto"/>
              <w:bottom w:val="single" w:sz="4" w:space="0" w:color="auto"/>
              <w:right w:val="single" w:sz="4" w:space="0" w:color="auto"/>
            </w:tcBorders>
            <w:shd w:val="clear" w:color="000000" w:fill="FFFFFF"/>
            <w:noWrap/>
            <w:vAlign w:val="center"/>
          </w:tcPr>
          <w:p w:rsidR="000C5765" w:rsidRPr="00D55DC6" w:rsidRDefault="000C5765" w:rsidP="0076338E">
            <w:pPr>
              <w:widowControl/>
              <w:rPr>
                <w:rFonts w:eastAsia="標楷體"/>
                <w:kern w:val="0"/>
                <w:sz w:val="22"/>
                <w:szCs w:val="20"/>
              </w:rPr>
            </w:pPr>
            <w:r w:rsidRPr="00D55DC6">
              <w:rPr>
                <w:rFonts w:eastAsia="標楷體"/>
                <w:kern w:val="0"/>
                <w:sz w:val="22"/>
                <w:szCs w:val="20"/>
              </w:rPr>
              <w:t>收支比</w:t>
            </w:r>
          </w:p>
        </w:tc>
        <w:tc>
          <w:tcPr>
            <w:tcW w:w="1134"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13.06%</w:t>
            </w:r>
          </w:p>
        </w:tc>
        <w:tc>
          <w:tcPr>
            <w:tcW w:w="850"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13.18%</w:t>
            </w:r>
          </w:p>
        </w:tc>
        <w:tc>
          <w:tcPr>
            <w:tcW w:w="851"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13.26%</w:t>
            </w:r>
          </w:p>
        </w:tc>
        <w:tc>
          <w:tcPr>
            <w:tcW w:w="850"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13.35%</w:t>
            </w:r>
          </w:p>
        </w:tc>
        <w:tc>
          <w:tcPr>
            <w:tcW w:w="851"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13.47%</w:t>
            </w:r>
          </w:p>
        </w:tc>
        <w:tc>
          <w:tcPr>
            <w:tcW w:w="850"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13.56%</w:t>
            </w:r>
          </w:p>
        </w:tc>
        <w:tc>
          <w:tcPr>
            <w:tcW w:w="851"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13.64%</w:t>
            </w:r>
          </w:p>
        </w:tc>
        <w:tc>
          <w:tcPr>
            <w:tcW w:w="851"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13.77%</w:t>
            </w:r>
          </w:p>
        </w:tc>
        <w:tc>
          <w:tcPr>
            <w:tcW w:w="850"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13.86%</w:t>
            </w:r>
          </w:p>
        </w:tc>
        <w:tc>
          <w:tcPr>
            <w:tcW w:w="851"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13.96%</w:t>
            </w:r>
          </w:p>
        </w:tc>
        <w:tc>
          <w:tcPr>
            <w:tcW w:w="1046" w:type="dxa"/>
            <w:tcBorders>
              <w:top w:val="nil"/>
              <w:left w:val="nil"/>
              <w:bottom w:val="single" w:sz="4" w:space="0" w:color="auto"/>
              <w:right w:val="single" w:sz="4" w:space="0" w:color="auto"/>
            </w:tcBorders>
            <w:shd w:val="clear" w:color="000000" w:fill="FFFFFF"/>
            <w:noWrap/>
            <w:vAlign w:val="center"/>
          </w:tcPr>
          <w:p w:rsidR="000C5765" w:rsidRPr="00D55DC6" w:rsidRDefault="000C5765" w:rsidP="0076338E">
            <w:pPr>
              <w:jc w:val="right"/>
            </w:pPr>
            <w:r w:rsidRPr="00D55DC6">
              <w:t>10.28%</w:t>
            </w:r>
          </w:p>
        </w:tc>
      </w:tr>
      <w:tr w:rsidR="001D0350" w:rsidRPr="00D55DC6" w:rsidTr="0076338E">
        <w:trPr>
          <w:gridAfter w:val="10"/>
          <w:wAfter w:w="8701" w:type="dxa"/>
          <w:trHeight w:val="330"/>
        </w:trPr>
        <w:tc>
          <w:tcPr>
            <w:tcW w:w="993" w:type="dxa"/>
            <w:tcBorders>
              <w:top w:val="nil"/>
              <w:left w:val="single" w:sz="4" w:space="0" w:color="auto"/>
              <w:bottom w:val="single" w:sz="4" w:space="0" w:color="auto"/>
              <w:right w:val="single" w:sz="4" w:space="0" w:color="auto"/>
            </w:tcBorders>
            <w:shd w:val="clear" w:color="000000" w:fill="FFFFCC"/>
            <w:noWrap/>
            <w:vAlign w:val="center"/>
          </w:tcPr>
          <w:p w:rsidR="000C5765" w:rsidRPr="00D55DC6" w:rsidRDefault="000C5765" w:rsidP="0076338E">
            <w:pPr>
              <w:widowControl/>
              <w:rPr>
                <w:rFonts w:eastAsia="標楷體"/>
                <w:b/>
                <w:bCs/>
                <w:kern w:val="0"/>
                <w:sz w:val="22"/>
                <w:szCs w:val="20"/>
              </w:rPr>
            </w:pPr>
            <w:r w:rsidRPr="00D55DC6">
              <w:rPr>
                <w:rFonts w:eastAsia="標楷體"/>
                <w:b/>
                <w:bCs/>
                <w:kern w:val="0"/>
                <w:sz w:val="22"/>
                <w:szCs w:val="20"/>
              </w:rPr>
              <w:t>投資現值</w:t>
            </w:r>
          </w:p>
        </w:tc>
        <w:tc>
          <w:tcPr>
            <w:tcW w:w="1134" w:type="dxa"/>
            <w:tcBorders>
              <w:top w:val="nil"/>
              <w:left w:val="nil"/>
              <w:bottom w:val="single" w:sz="4" w:space="0" w:color="auto"/>
              <w:right w:val="single" w:sz="4" w:space="0" w:color="auto"/>
            </w:tcBorders>
            <w:shd w:val="clear" w:color="000000" w:fill="FFFFCC"/>
            <w:noWrap/>
            <w:vAlign w:val="center"/>
          </w:tcPr>
          <w:p w:rsidR="000C5765" w:rsidRPr="00D55DC6" w:rsidRDefault="000C5765" w:rsidP="0076338E">
            <w:pPr>
              <w:jc w:val="right"/>
              <w:rPr>
                <w:rFonts w:eastAsia="標楷體"/>
              </w:rPr>
            </w:pPr>
            <w:r w:rsidRPr="00D55DC6">
              <w:rPr>
                <w:rFonts w:eastAsia="標楷體"/>
              </w:rPr>
              <w:t>2,277,442</w:t>
            </w:r>
          </w:p>
        </w:tc>
      </w:tr>
      <w:tr w:rsidR="001D0350" w:rsidRPr="00D55DC6" w:rsidTr="0076338E">
        <w:trPr>
          <w:gridAfter w:val="10"/>
          <w:wAfter w:w="8701" w:type="dxa"/>
          <w:trHeight w:val="330"/>
        </w:trPr>
        <w:tc>
          <w:tcPr>
            <w:tcW w:w="993" w:type="dxa"/>
            <w:tcBorders>
              <w:top w:val="nil"/>
              <w:left w:val="single" w:sz="4" w:space="0" w:color="auto"/>
              <w:bottom w:val="single" w:sz="4" w:space="0" w:color="auto"/>
              <w:right w:val="single" w:sz="4" w:space="0" w:color="auto"/>
            </w:tcBorders>
            <w:shd w:val="clear" w:color="000000" w:fill="FFFFCC"/>
            <w:noWrap/>
            <w:vAlign w:val="center"/>
          </w:tcPr>
          <w:p w:rsidR="000C5765" w:rsidRPr="00D55DC6" w:rsidRDefault="000C5765" w:rsidP="0076338E">
            <w:pPr>
              <w:widowControl/>
              <w:rPr>
                <w:rFonts w:eastAsia="標楷體"/>
                <w:b/>
                <w:bCs/>
                <w:kern w:val="0"/>
                <w:sz w:val="22"/>
                <w:szCs w:val="20"/>
              </w:rPr>
            </w:pPr>
            <w:r w:rsidRPr="00D55DC6">
              <w:rPr>
                <w:rFonts w:eastAsia="標楷體"/>
                <w:b/>
                <w:bCs/>
                <w:kern w:val="0"/>
                <w:sz w:val="22"/>
                <w:szCs w:val="20"/>
              </w:rPr>
              <w:t>收益現值</w:t>
            </w:r>
          </w:p>
        </w:tc>
        <w:tc>
          <w:tcPr>
            <w:tcW w:w="1134" w:type="dxa"/>
            <w:tcBorders>
              <w:top w:val="nil"/>
              <w:left w:val="nil"/>
              <w:bottom w:val="single" w:sz="4" w:space="0" w:color="auto"/>
              <w:right w:val="single" w:sz="4" w:space="0" w:color="auto"/>
            </w:tcBorders>
            <w:shd w:val="clear" w:color="000000" w:fill="FFFFCC"/>
            <w:noWrap/>
            <w:vAlign w:val="center"/>
          </w:tcPr>
          <w:p w:rsidR="000C5765" w:rsidRPr="00D55DC6" w:rsidRDefault="000C5765" w:rsidP="0076338E">
            <w:pPr>
              <w:jc w:val="right"/>
            </w:pPr>
            <w:r w:rsidRPr="00D55DC6">
              <w:t>217,966</w:t>
            </w:r>
          </w:p>
        </w:tc>
      </w:tr>
      <w:tr w:rsidR="001D0350" w:rsidRPr="00D55DC6" w:rsidTr="0076338E">
        <w:trPr>
          <w:gridAfter w:val="10"/>
          <w:wAfter w:w="8701" w:type="dxa"/>
          <w:trHeight w:val="330"/>
        </w:trPr>
        <w:tc>
          <w:tcPr>
            <w:tcW w:w="993" w:type="dxa"/>
            <w:tcBorders>
              <w:top w:val="nil"/>
              <w:left w:val="single" w:sz="4" w:space="0" w:color="auto"/>
              <w:bottom w:val="single" w:sz="4" w:space="0" w:color="auto"/>
              <w:right w:val="single" w:sz="4" w:space="0" w:color="auto"/>
            </w:tcBorders>
            <w:shd w:val="clear" w:color="000000" w:fill="FDE9D9"/>
            <w:noWrap/>
            <w:vAlign w:val="center"/>
          </w:tcPr>
          <w:p w:rsidR="000C5765" w:rsidRPr="00D55DC6" w:rsidRDefault="000C5765" w:rsidP="0076338E">
            <w:pPr>
              <w:widowControl/>
              <w:rPr>
                <w:rFonts w:eastAsia="標楷體"/>
                <w:kern w:val="0"/>
                <w:sz w:val="22"/>
                <w:szCs w:val="20"/>
              </w:rPr>
            </w:pPr>
            <w:r w:rsidRPr="00D55DC6">
              <w:rPr>
                <w:rFonts w:eastAsia="標楷體"/>
                <w:kern w:val="0"/>
                <w:sz w:val="18"/>
                <w:szCs w:val="20"/>
              </w:rPr>
              <w:t>計畫自償率</w:t>
            </w:r>
          </w:p>
        </w:tc>
        <w:tc>
          <w:tcPr>
            <w:tcW w:w="1134" w:type="dxa"/>
            <w:tcBorders>
              <w:top w:val="nil"/>
              <w:left w:val="nil"/>
              <w:bottom w:val="single" w:sz="4" w:space="0" w:color="auto"/>
              <w:right w:val="single" w:sz="4" w:space="0" w:color="auto"/>
            </w:tcBorders>
            <w:shd w:val="clear" w:color="000000" w:fill="FDE9D9"/>
            <w:noWrap/>
            <w:vAlign w:val="center"/>
          </w:tcPr>
          <w:p w:rsidR="000C5765" w:rsidRPr="00D55DC6" w:rsidRDefault="000C5765" w:rsidP="0076338E">
            <w:pPr>
              <w:jc w:val="right"/>
            </w:pPr>
            <w:r w:rsidRPr="00D55DC6">
              <w:t>9.57%</w:t>
            </w:r>
          </w:p>
        </w:tc>
      </w:tr>
    </w:tbl>
    <w:p w:rsidR="00612A4B" w:rsidRPr="00D55DC6" w:rsidRDefault="00612A4B" w:rsidP="0038165F">
      <w:pPr>
        <w:snapToGrid w:val="0"/>
        <w:spacing w:line="460" w:lineRule="exact"/>
        <w:ind w:left="709" w:firstLineChars="202" w:firstLine="566"/>
        <w:jc w:val="both"/>
        <w:rPr>
          <w:rFonts w:eastAsia="標楷體"/>
          <w:sz w:val="28"/>
          <w:szCs w:val="28"/>
        </w:rPr>
      </w:pPr>
    </w:p>
    <w:p w:rsidR="00612A4B" w:rsidRPr="00D55DC6" w:rsidRDefault="00612A4B" w:rsidP="004865C1">
      <w:pPr>
        <w:numPr>
          <w:ilvl w:val="0"/>
          <w:numId w:val="120"/>
        </w:numPr>
        <w:snapToGrid w:val="0"/>
        <w:spacing w:line="460" w:lineRule="exact"/>
        <w:jc w:val="both"/>
        <w:rPr>
          <w:rFonts w:eastAsia="標楷體"/>
          <w:b/>
          <w:sz w:val="28"/>
          <w:szCs w:val="28"/>
        </w:rPr>
      </w:pPr>
      <w:r w:rsidRPr="00D55DC6">
        <w:rPr>
          <w:rFonts w:eastAsia="標楷體"/>
          <w:b/>
          <w:sz w:val="28"/>
          <w:szCs w:val="28"/>
        </w:rPr>
        <w:t>自償率無法達到之風險說明</w:t>
      </w:r>
    </w:p>
    <w:p w:rsidR="00612A4B" w:rsidRPr="00D55DC6" w:rsidRDefault="00612A4B" w:rsidP="0038165F">
      <w:pPr>
        <w:spacing w:line="460" w:lineRule="exact"/>
        <w:ind w:leftChars="265" w:left="849" w:hangingChars="76" w:hanging="213"/>
        <w:rPr>
          <w:rFonts w:eastAsia="標楷體"/>
          <w:sz w:val="28"/>
          <w:szCs w:val="28"/>
        </w:rPr>
      </w:pPr>
      <w:r w:rsidRPr="00D55DC6">
        <w:rPr>
          <w:rFonts w:eastAsia="標楷體"/>
          <w:sz w:val="28"/>
          <w:szCs w:val="28"/>
        </w:rPr>
        <w:t>1.</w:t>
      </w:r>
      <w:r w:rsidRPr="00D55DC6">
        <w:rPr>
          <w:rFonts w:eastAsia="標楷體"/>
          <w:sz w:val="28"/>
          <w:szCs w:val="28"/>
        </w:rPr>
        <w:t>土地權屬：國家風景區經管範圍雖然廣大，但所需使用土地均須逐一透過撥用或價購等方式取得，管理處管理土地甚少，且僅有經營管理權，現況僅能以透過土地相關法令及相關單位之協助，努力達成自償率目標。另如中崙溫泉區促參使用土地，多數公有土地為財政部國有財產署及嘉義縣政府管有，並含少部分私有土地，公有地部分，將朝合作開發方式辦理，私地部分將朝協議價購方式辦理，促參前置作業需與各相關土地管理及所有人協議，具有部分風險。</w:t>
      </w:r>
    </w:p>
    <w:p w:rsidR="00612A4B" w:rsidRPr="00D55DC6" w:rsidRDefault="00612A4B" w:rsidP="0038165F">
      <w:pPr>
        <w:tabs>
          <w:tab w:val="num" w:pos="720"/>
          <w:tab w:val="num" w:pos="900"/>
        </w:tabs>
        <w:spacing w:line="460" w:lineRule="exact"/>
        <w:ind w:leftChars="265" w:left="849" w:hangingChars="76" w:hanging="213"/>
        <w:rPr>
          <w:rFonts w:eastAsia="標楷體"/>
          <w:sz w:val="28"/>
          <w:szCs w:val="28"/>
        </w:rPr>
      </w:pPr>
      <w:r w:rsidRPr="00D55DC6">
        <w:rPr>
          <w:rFonts w:eastAsia="標楷體"/>
          <w:sz w:val="28"/>
          <w:szCs w:val="28"/>
        </w:rPr>
        <w:t>2.</w:t>
      </w:r>
      <w:r w:rsidRPr="00D55DC6">
        <w:rPr>
          <w:rFonts w:eastAsia="標楷體"/>
          <w:sz w:val="28"/>
          <w:szCs w:val="28"/>
        </w:rPr>
        <w:t>環境敏感條件限制：管理處轄區土地多位於山坡地、保安林、特定水土保持區等環境敏感區位，如：關子嶺溫泉區及烏山頭水庫為國際觀光景點，都市計畫因應觀光需求劃設旅館區、商業區等分區，卻又劃設大規模特定水土保持區，與都市計畫分區競合，開發前需進行管制範圍調整或相關解編等作業。</w:t>
      </w:r>
    </w:p>
    <w:p w:rsidR="00612A4B" w:rsidRPr="00D55DC6" w:rsidRDefault="00612A4B" w:rsidP="0038165F">
      <w:pPr>
        <w:tabs>
          <w:tab w:val="num" w:pos="720"/>
          <w:tab w:val="num" w:pos="900"/>
        </w:tabs>
        <w:spacing w:line="460" w:lineRule="exact"/>
        <w:ind w:leftChars="265" w:left="849" w:hangingChars="76" w:hanging="213"/>
        <w:rPr>
          <w:rFonts w:eastAsia="標楷體"/>
          <w:sz w:val="28"/>
          <w:szCs w:val="28"/>
        </w:rPr>
      </w:pPr>
      <w:r w:rsidRPr="00D55DC6">
        <w:rPr>
          <w:rFonts w:eastAsia="標楷體"/>
          <w:sz w:val="28"/>
          <w:szCs w:val="28"/>
        </w:rPr>
        <w:t>3.105-108</w:t>
      </w:r>
      <w:r w:rsidRPr="00D55DC6">
        <w:rPr>
          <w:rFonts w:eastAsia="標楷體"/>
          <w:sz w:val="28"/>
          <w:szCs w:val="28"/>
        </w:rPr>
        <w:t>年階段將持續以擴大推動設施出租、促參案件為主，並尋求合作開發機會，惟考量長期計畫可能存在「</w:t>
      </w:r>
      <w:r w:rsidRPr="00D55DC6">
        <w:rPr>
          <w:rFonts w:eastAsia="標楷體"/>
          <w:sz w:val="28"/>
          <w:szCs w:val="28"/>
        </w:rPr>
        <w:t>BOT</w:t>
      </w:r>
      <w:r w:rsidRPr="00D55DC6">
        <w:rPr>
          <w:rFonts w:eastAsia="標楷體"/>
          <w:sz w:val="28"/>
          <w:szCs w:val="28"/>
        </w:rPr>
        <w:t>計畫因環境敏感條件限制等不確定因素延宕」、「預估收益或預期市場反應過於樂觀」等眾多不確定風險特性，爰仍需持續依實際推動現況滾動檢討。</w:t>
      </w:r>
    </w:p>
    <w:p w:rsidR="00612A4B" w:rsidRPr="00D55DC6" w:rsidRDefault="00612A4B" w:rsidP="0038165F">
      <w:pPr>
        <w:widowControl/>
        <w:rPr>
          <w:rFonts w:eastAsia="標楷體"/>
          <w:b/>
          <w:sz w:val="28"/>
          <w:szCs w:val="28"/>
        </w:rPr>
      </w:pPr>
      <w:r w:rsidRPr="00D55DC6">
        <w:rPr>
          <w:b/>
        </w:rPr>
        <w:br w:type="page"/>
      </w:r>
    </w:p>
    <w:p w:rsidR="00612A4B" w:rsidRPr="00D55DC6" w:rsidRDefault="00612A4B" w:rsidP="0038165F">
      <w:pPr>
        <w:numPr>
          <w:ilvl w:val="0"/>
          <w:numId w:val="1"/>
        </w:numPr>
        <w:snapToGrid w:val="0"/>
        <w:spacing w:line="460" w:lineRule="exact"/>
        <w:ind w:left="709" w:hanging="709"/>
        <w:jc w:val="both"/>
        <w:rPr>
          <w:rFonts w:eastAsia="標楷體"/>
          <w:b/>
          <w:sz w:val="28"/>
          <w:szCs w:val="28"/>
        </w:rPr>
      </w:pPr>
      <w:r w:rsidRPr="00D55DC6">
        <w:rPr>
          <w:rFonts w:eastAsia="標楷體"/>
          <w:b/>
          <w:sz w:val="28"/>
          <w:szCs w:val="28"/>
        </w:rPr>
        <w:lastRenderedPageBreak/>
        <w:t>附則</w:t>
      </w:r>
    </w:p>
    <w:p w:rsidR="00612A4B" w:rsidRPr="00D55DC6" w:rsidRDefault="00612A4B" w:rsidP="004865C1">
      <w:pPr>
        <w:numPr>
          <w:ilvl w:val="0"/>
          <w:numId w:val="121"/>
        </w:numPr>
        <w:snapToGrid w:val="0"/>
        <w:spacing w:line="460" w:lineRule="exact"/>
        <w:jc w:val="both"/>
        <w:rPr>
          <w:rFonts w:eastAsia="標楷體"/>
          <w:b/>
          <w:sz w:val="28"/>
          <w:szCs w:val="28"/>
        </w:rPr>
      </w:pPr>
      <w:r w:rsidRPr="00D55DC6">
        <w:rPr>
          <w:rFonts w:eastAsia="標楷體"/>
          <w:b/>
          <w:sz w:val="28"/>
          <w:szCs w:val="28"/>
        </w:rPr>
        <w:t>風險評估</w:t>
      </w:r>
    </w:p>
    <w:p w:rsidR="00612A4B" w:rsidRPr="00D55DC6" w:rsidRDefault="00612A4B" w:rsidP="0038165F">
      <w:pPr>
        <w:spacing w:line="460" w:lineRule="exact"/>
        <w:ind w:leftChars="354" w:left="1133" w:hangingChars="101" w:hanging="283"/>
        <w:rPr>
          <w:rFonts w:eastAsia="標楷體"/>
          <w:sz w:val="28"/>
          <w:szCs w:val="28"/>
        </w:rPr>
      </w:pPr>
      <w:r w:rsidRPr="00D55DC6">
        <w:rPr>
          <w:rFonts w:eastAsia="標楷體"/>
          <w:sz w:val="28"/>
          <w:szCs w:val="28"/>
        </w:rPr>
        <w:t>1.</w:t>
      </w:r>
      <w:r w:rsidRPr="00D55DC6">
        <w:rPr>
          <w:rFonts w:eastAsia="標楷體"/>
          <w:sz w:val="28"/>
          <w:szCs w:val="28"/>
        </w:rPr>
        <w:t>氣候及土地地理區位所造成之自然災害具風險性，爰各項建設將謹慎評估氣候及土地條件，並以能配合地方政府防災資訊與設施，降低災害影響。</w:t>
      </w:r>
    </w:p>
    <w:p w:rsidR="00612A4B" w:rsidRPr="00D55DC6" w:rsidRDefault="00612A4B" w:rsidP="0038165F">
      <w:pPr>
        <w:spacing w:line="460" w:lineRule="exact"/>
        <w:ind w:leftChars="354" w:left="1133" w:hangingChars="101" w:hanging="283"/>
        <w:rPr>
          <w:rFonts w:eastAsia="標楷體"/>
          <w:sz w:val="28"/>
          <w:szCs w:val="28"/>
        </w:rPr>
      </w:pPr>
      <w:r w:rsidRPr="00D55DC6">
        <w:rPr>
          <w:rFonts w:eastAsia="標楷體"/>
          <w:sz w:val="28"/>
          <w:szCs w:val="28"/>
        </w:rPr>
        <w:t>2.</w:t>
      </w:r>
      <w:r w:rsidRPr="00D55DC6">
        <w:rPr>
          <w:rFonts w:eastAsia="標楷體"/>
          <w:sz w:val="28"/>
          <w:szCs w:val="28"/>
        </w:rPr>
        <w:t>建設施工依規定辦理發包施作，並積極確保施工品質，追蹤施工進度，輔以數位科技紀錄方式積極辦理，確保如期如質完工。</w:t>
      </w:r>
    </w:p>
    <w:p w:rsidR="00612A4B" w:rsidRPr="00D55DC6" w:rsidRDefault="00612A4B" w:rsidP="0038165F">
      <w:pPr>
        <w:spacing w:line="460" w:lineRule="exact"/>
        <w:ind w:leftChars="354" w:left="1133" w:hangingChars="101" w:hanging="283"/>
        <w:rPr>
          <w:rFonts w:eastAsia="標楷體"/>
          <w:sz w:val="28"/>
          <w:szCs w:val="28"/>
        </w:rPr>
      </w:pPr>
      <w:r w:rsidRPr="00D55DC6">
        <w:rPr>
          <w:rFonts w:eastAsia="標楷體"/>
          <w:sz w:val="28"/>
          <w:szCs w:val="28"/>
        </w:rPr>
        <w:t>3.</w:t>
      </w:r>
      <w:r w:rsidRPr="00D55DC6">
        <w:rPr>
          <w:rFonts w:eastAsia="標楷體"/>
          <w:sz w:val="28"/>
          <w:szCs w:val="28"/>
        </w:rPr>
        <w:t>各項建設積極溝通爭取地方民眾認同，以能藉由地方政府、公所至里辦公室之聯繫，宣導本計畫推動，並以各種聯繫會議加強溝通，爭取地方認同。</w:t>
      </w:r>
    </w:p>
    <w:p w:rsidR="00612A4B" w:rsidRPr="00D55DC6" w:rsidRDefault="00612A4B" w:rsidP="0038165F">
      <w:pPr>
        <w:spacing w:line="460" w:lineRule="exact"/>
        <w:ind w:leftChars="354" w:left="1133" w:hangingChars="101" w:hanging="283"/>
        <w:rPr>
          <w:rFonts w:eastAsia="標楷體"/>
          <w:sz w:val="28"/>
          <w:szCs w:val="28"/>
        </w:rPr>
      </w:pPr>
      <w:r w:rsidRPr="00D55DC6">
        <w:rPr>
          <w:rFonts w:eastAsia="標楷體"/>
          <w:sz w:val="28"/>
          <w:szCs w:val="28"/>
        </w:rPr>
        <w:t>4.</w:t>
      </w:r>
      <w:r w:rsidRPr="00D55DC6">
        <w:rPr>
          <w:rFonts w:eastAsia="標楷體"/>
          <w:sz w:val="28"/>
          <w:szCs w:val="28"/>
        </w:rPr>
        <w:t>經營管理之風險控管，各種維安檢測皆納入檢核項目，並持續實施救難演練確保旅遊安全。</w:t>
      </w:r>
    </w:p>
    <w:p w:rsidR="00612A4B" w:rsidRPr="00D55DC6" w:rsidRDefault="00612A4B" w:rsidP="004865C1">
      <w:pPr>
        <w:numPr>
          <w:ilvl w:val="0"/>
          <w:numId w:val="121"/>
        </w:numPr>
        <w:snapToGrid w:val="0"/>
        <w:spacing w:line="460" w:lineRule="exact"/>
        <w:jc w:val="both"/>
        <w:rPr>
          <w:rFonts w:eastAsia="標楷體"/>
          <w:b/>
          <w:sz w:val="28"/>
          <w:szCs w:val="28"/>
        </w:rPr>
      </w:pPr>
      <w:r w:rsidRPr="00D55DC6">
        <w:rPr>
          <w:rFonts w:eastAsia="標楷體"/>
          <w:b/>
          <w:sz w:val="28"/>
          <w:szCs w:val="28"/>
        </w:rPr>
        <w:t>相關機關配合事項</w:t>
      </w:r>
    </w:p>
    <w:p w:rsidR="00612A4B" w:rsidRPr="00D55DC6" w:rsidRDefault="00612A4B" w:rsidP="0038165F">
      <w:pPr>
        <w:spacing w:line="460" w:lineRule="exact"/>
        <w:ind w:leftChars="354" w:left="1133" w:hangingChars="101" w:hanging="283"/>
        <w:rPr>
          <w:rFonts w:eastAsia="標楷體"/>
          <w:sz w:val="28"/>
          <w:szCs w:val="28"/>
        </w:rPr>
      </w:pPr>
      <w:r w:rsidRPr="00D55DC6">
        <w:rPr>
          <w:rFonts w:eastAsia="標楷體"/>
          <w:sz w:val="28"/>
          <w:szCs w:val="28"/>
        </w:rPr>
        <w:t>1.</w:t>
      </w:r>
      <w:r w:rsidRPr="00D55DC6">
        <w:rPr>
          <w:rFonts w:eastAsia="標楷體"/>
          <w:sz w:val="28"/>
          <w:szCs w:val="28"/>
        </w:rPr>
        <w:t>縣市政府：縣市施政計畫整合連結、建設計畫推動之分工協調、地方民眾事務協調、土地變更、建設執照核發、建設據點推廣行銷、風景區內疏運維安等。</w:t>
      </w:r>
    </w:p>
    <w:p w:rsidR="00612A4B" w:rsidRPr="00D55DC6" w:rsidRDefault="00612A4B" w:rsidP="0038165F">
      <w:pPr>
        <w:spacing w:line="460" w:lineRule="exact"/>
        <w:ind w:leftChars="354" w:left="1133" w:hangingChars="101" w:hanging="283"/>
        <w:rPr>
          <w:rFonts w:eastAsia="標楷體"/>
          <w:sz w:val="28"/>
          <w:szCs w:val="28"/>
        </w:rPr>
      </w:pPr>
      <w:r w:rsidRPr="00D55DC6">
        <w:rPr>
          <w:rFonts w:eastAsia="標楷體"/>
          <w:sz w:val="28"/>
          <w:szCs w:val="28"/>
        </w:rPr>
        <w:t>2.</w:t>
      </w:r>
      <w:r w:rsidRPr="00D55DC6">
        <w:rPr>
          <w:rFonts w:eastAsia="標楷體"/>
          <w:sz w:val="28"/>
          <w:szCs w:val="28"/>
        </w:rPr>
        <w:t>其他目的事業主管機關及土地管理機關：土地使用同意、土地撥用核准、同意解除相關管制範圍、促參計畫審核及輔導等。</w:t>
      </w:r>
    </w:p>
    <w:p w:rsidR="00B6196A" w:rsidRPr="00D55DC6" w:rsidRDefault="005B615B" w:rsidP="0038165F">
      <w:pPr>
        <w:widowControl/>
        <w:rPr>
          <w:rFonts w:eastAsia="標楷體"/>
          <w:b/>
          <w:sz w:val="28"/>
          <w:szCs w:val="28"/>
        </w:rPr>
      </w:pPr>
      <w:r w:rsidRPr="00D55DC6">
        <w:rPr>
          <w:rFonts w:eastAsia="標楷體"/>
          <w:sz w:val="28"/>
          <w:szCs w:val="28"/>
        </w:rPr>
        <w:br w:type="page"/>
      </w:r>
      <w:r w:rsidR="00B6196A" w:rsidRPr="00D55DC6">
        <w:rPr>
          <w:rFonts w:eastAsia="標楷體"/>
          <w:b/>
          <w:sz w:val="28"/>
          <w:szCs w:val="28"/>
        </w:rPr>
        <w:lastRenderedPageBreak/>
        <w:t>捌、茂林國家風景區建設計畫</w:t>
      </w:r>
    </w:p>
    <w:p w:rsidR="00B6196A" w:rsidRPr="00D55DC6" w:rsidRDefault="00B6196A" w:rsidP="004865C1">
      <w:pPr>
        <w:pStyle w:val="a"/>
        <w:numPr>
          <w:ilvl w:val="0"/>
          <w:numId w:val="125"/>
        </w:numPr>
        <w:ind w:left="709"/>
        <w:rPr>
          <w:b/>
        </w:rPr>
      </w:pPr>
      <w:bookmarkStart w:id="134" w:name="_Toc407181699"/>
      <w:r w:rsidRPr="00D55DC6">
        <w:rPr>
          <w:b/>
        </w:rPr>
        <w:t>計畫緣起</w:t>
      </w:r>
      <w:bookmarkEnd w:id="134"/>
    </w:p>
    <w:p w:rsidR="00B6196A" w:rsidRPr="00D55DC6" w:rsidRDefault="00B6196A" w:rsidP="004865C1">
      <w:pPr>
        <w:pStyle w:val="af2"/>
        <w:numPr>
          <w:ilvl w:val="0"/>
          <w:numId w:val="126"/>
        </w:numPr>
        <w:snapToGrid w:val="0"/>
        <w:spacing w:line="460" w:lineRule="exact"/>
        <w:ind w:leftChars="0"/>
        <w:jc w:val="both"/>
        <w:rPr>
          <w:rFonts w:eastAsia="標楷體"/>
          <w:b/>
          <w:sz w:val="28"/>
          <w:szCs w:val="28"/>
        </w:rPr>
      </w:pPr>
      <w:r w:rsidRPr="00D55DC6">
        <w:rPr>
          <w:rFonts w:eastAsia="標楷體"/>
          <w:b/>
          <w:sz w:val="28"/>
          <w:szCs w:val="28"/>
        </w:rPr>
        <w:t>依據</w:t>
      </w:r>
    </w:p>
    <w:p w:rsidR="00B6196A" w:rsidRPr="00D55DC6" w:rsidRDefault="00B6196A" w:rsidP="0038165F">
      <w:pPr>
        <w:pStyle w:val="af2"/>
        <w:snapToGrid w:val="0"/>
        <w:spacing w:line="460" w:lineRule="exact"/>
        <w:ind w:leftChars="0" w:left="1210"/>
        <w:jc w:val="both"/>
        <w:rPr>
          <w:rFonts w:eastAsia="標楷體"/>
          <w:sz w:val="28"/>
          <w:szCs w:val="28"/>
        </w:rPr>
      </w:pPr>
      <w:r w:rsidRPr="00D55DC6">
        <w:rPr>
          <w:rFonts w:eastAsia="標楷體"/>
          <w:sz w:val="28"/>
          <w:szCs w:val="28"/>
        </w:rPr>
        <w:t>為有效發揮政府重大公共建設計畫觀光次類別經費之投資效益，強化具體投資成果，延續「重要觀光景點建設中程計畫（</w:t>
      </w:r>
      <w:r w:rsidRPr="00D55DC6">
        <w:rPr>
          <w:rFonts w:eastAsia="標楷體"/>
          <w:sz w:val="28"/>
          <w:szCs w:val="28"/>
        </w:rPr>
        <w:t>101</w:t>
      </w:r>
      <w:r w:rsidRPr="00D55DC6">
        <w:rPr>
          <w:rFonts w:eastAsia="標楷體"/>
          <w:sz w:val="28"/>
          <w:szCs w:val="28"/>
        </w:rPr>
        <w:t>至</w:t>
      </w:r>
      <w:r w:rsidRPr="00D55DC6">
        <w:rPr>
          <w:rFonts w:eastAsia="標楷體"/>
          <w:sz w:val="28"/>
          <w:szCs w:val="28"/>
        </w:rPr>
        <w:t>104</w:t>
      </w:r>
      <w:r w:rsidRPr="00D55DC6">
        <w:rPr>
          <w:rFonts w:eastAsia="標楷體"/>
          <w:sz w:val="28"/>
          <w:szCs w:val="28"/>
        </w:rPr>
        <w:t>年）」（行政院</w:t>
      </w:r>
      <w:r w:rsidRPr="00D55DC6">
        <w:rPr>
          <w:rFonts w:eastAsia="標楷體"/>
          <w:sz w:val="28"/>
          <w:szCs w:val="28"/>
        </w:rPr>
        <w:t>100</w:t>
      </w:r>
      <w:r w:rsidRPr="00D55DC6">
        <w:rPr>
          <w:rFonts w:eastAsia="標楷體"/>
          <w:sz w:val="28"/>
          <w:szCs w:val="28"/>
        </w:rPr>
        <w:t>年</w:t>
      </w:r>
      <w:r w:rsidRPr="00D55DC6">
        <w:rPr>
          <w:rFonts w:eastAsia="標楷體"/>
          <w:sz w:val="28"/>
          <w:szCs w:val="28"/>
        </w:rPr>
        <w:t>8</w:t>
      </w:r>
      <w:r w:rsidRPr="00D55DC6">
        <w:rPr>
          <w:rFonts w:eastAsia="標楷體"/>
          <w:sz w:val="28"/>
          <w:szCs w:val="28"/>
        </w:rPr>
        <w:t>月</w:t>
      </w:r>
      <w:r w:rsidRPr="00D55DC6">
        <w:rPr>
          <w:rFonts w:eastAsia="標楷體"/>
          <w:sz w:val="28"/>
          <w:szCs w:val="28"/>
        </w:rPr>
        <w:t>22</w:t>
      </w:r>
      <w:r w:rsidRPr="00D55DC6">
        <w:rPr>
          <w:rFonts w:eastAsia="標楷體"/>
          <w:sz w:val="28"/>
          <w:szCs w:val="28"/>
        </w:rPr>
        <w:t>日院臺交字第</w:t>
      </w:r>
      <w:r w:rsidRPr="00D55DC6">
        <w:rPr>
          <w:rFonts w:eastAsia="標楷體"/>
          <w:sz w:val="28"/>
          <w:szCs w:val="28"/>
        </w:rPr>
        <w:t>1000044174</w:t>
      </w:r>
      <w:r w:rsidRPr="00D55DC6">
        <w:rPr>
          <w:rFonts w:eastAsia="標楷體"/>
          <w:sz w:val="28"/>
          <w:szCs w:val="28"/>
        </w:rPr>
        <w:t>號函核定）建設成果，並調整以</w:t>
      </w:r>
      <w:r w:rsidRPr="00D55DC6">
        <w:rPr>
          <w:rFonts w:eastAsia="標楷體"/>
          <w:sz w:val="28"/>
          <w:szCs w:val="28"/>
        </w:rPr>
        <w:t>1.</w:t>
      </w:r>
      <w:r w:rsidRPr="00D55DC6">
        <w:rPr>
          <w:rFonts w:eastAsia="標楷體"/>
          <w:sz w:val="28"/>
          <w:szCs w:val="28"/>
        </w:rPr>
        <w:t>國際觀光重要景點建設、</w:t>
      </w:r>
      <w:r w:rsidRPr="00D55DC6">
        <w:rPr>
          <w:rFonts w:eastAsia="標楷體"/>
          <w:sz w:val="28"/>
          <w:szCs w:val="28"/>
        </w:rPr>
        <w:t>2.</w:t>
      </w:r>
      <w:r w:rsidRPr="00D55DC6">
        <w:rPr>
          <w:rFonts w:eastAsia="標楷體"/>
          <w:sz w:val="28"/>
          <w:szCs w:val="28"/>
        </w:rPr>
        <w:t>國內觀光重要景點建設、</w:t>
      </w:r>
      <w:r w:rsidRPr="00D55DC6">
        <w:rPr>
          <w:rFonts w:eastAsia="標楷體"/>
          <w:sz w:val="28"/>
          <w:szCs w:val="28"/>
        </w:rPr>
        <w:t>3.</w:t>
      </w:r>
      <w:r w:rsidRPr="00D55DC6">
        <w:rPr>
          <w:rFonts w:eastAsia="標楷體"/>
          <w:sz w:val="28"/>
          <w:szCs w:val="28"/>
        </w:rPr>
        <w:t>國家風景區經營管理維護等投資重點與優先順序，研擬「重要觀光景點建設中程計畫</w:t>
      </w:r>
      <w:r w:rsidRPr="00D55DC6">
        <w:rPr>
          <w:rFonts w:eastAsia="標楷體"/>
          <w:sz w:val="28"/>
          <w:szCs w:val="28"/>
        </w:rPr>
        <w:t>(105-108</w:t>
      </w:r>
      <w:r w:rsidRPr="00D55DC6">
        <w:rPr>
          <w:rFonts w:eastAsia="標楷體"/>
          <w:sz w:val="28"/>
          <w:szCs w:val="28"/>
        </w:rPr>
        <w:t>年</w:t>
      </w:r>
      <w:r w:rsidRPr="00D55DC6">
        <w:rPr>
          <w:rFonts w:eastAsia="標楷體"/>
          <w:sz w:val="28"/>
          <w:szCs w:val="28"/>
        </w:rPr>
        <w:t>)</w:t>
      </w:r>
      <w:r w:rsidRPr="00D55DC6">
        <w:rPr>
          <w:rFonts w:eastAsia="標楷體"/>
          <w:sz w:val="28"/>
          <w:szCs w:val="28"/>
        </w:rPr>
        <w:t>」。</w:t>
      </w:r>
    </w:p>
    <w:p w:rsidR="000C5765" w:rsidRPr="00D55DC6" w:rsidRDefault="000C5765" w:rsidP="0038165F">
      <w:pPr>
        <w:pStyle w:val="af2"/>
        <w:snapToGrid w:val="0"/>
        <w:spacing w:line="460" w:lineRule="exact"/>
        <w:ind w:leftChars="0" w:left="1210"/>
        <w:jc w:val="both"/>
        <w:rPr>
          <w:rFonts w:eastAsia="標楷體"/>
          <w:sz w:val="28"/>
          <w:szCs w:val="28"/>
        </w:rPr>
      </w:pPr>
    </w:p>
    <w:p w:rsidR="00B6196A" w:rsidRPr="00D55DC6" w:rsidRDefault="00B6196A" w:rsidP="004865C1">
      <w:pPr>
        <w:pStyle w:val="af2"/>
        <w:numPr>
          <w:ilvl w:val="0"/>
          <w:numId w:val="126"/>
        </w:numPr>
        <w:snapToGrid w:val="0"/>
        <w:spacing w:line="460" w:lineRule="exact"/>
        <w:ind w:leftChars="0"/>
        <w:jc w:val="both"/>
        <w:rPr>
          <w:rFonts w:eastAsia="標楷體"/>
          <w:b/>
          <w:sz w:val="28"/>
          <w:szCs w:val="28"/>
        </w:rPr>
      </w:pPr>
      <w:r w:rsidRPr="00D55DC6">
        <w:rPr>
          <w:rFonts w:eastAsia="標楷體"/>
          <w:b/>
          <w:sz w:val="28"/>
          <w:szCs w:val="28"/>
        </w:rPr>
        <w:t>未來環境預測</w:t>
      </w:r>
    </w:p>
    <w:p w:rsidR="00B6196A" w:rsidRPr="00D55DC6" w:rsidRDefault="00B6196A" w:rsidP="004865C1">
      <w:pPr>
        <w:pStyle w:val="af2"/>
        <w:numPr>
          <w:ilvl w:val="0"/>
          <w:numId w:val="123"/>
        </w:numPr>
        <w:snapToGrid w:val="0"/>
        <w:spacing w:line="460" w:lineRule="exact"/>
        <w:ind w:leftChars="0"/>
        <w:jc w:val="both"/>
        <w:rPr>
          <w:rFonts w:eastAsia="標楷體"/>
          <w:sz w:val="28"/>
          <w:szCs w:val="28"/>
        </w:rPr>
      </w:pPr>
      <w:r w:rsidRPr="00D55DC6">
        <w:rPr>
          <w:rFonts w:eastAsia="標楷體"/>
          <w:sz w:val="28"/>
          <w:szCs w:val="28"/>
        </w:rPr>
        <w:t>本計畫以</w:t>
      </w:r>
      <w:r w:rsidRPr="00D55DC6">
        <w:rPr>
          <w:rFonts w:eastAsia="標楷體"/>
          <w:sz w:val="28"/>
          <w:szCs w:val="28"/>
        </w:rPr>
        <w:t>103</w:t>
      </w:r>
      <w:r w:rsidRPr="00D55DC6">
        <w:rPr>
          <w:rFonts w:eastAsia="標楷體"/>
          <w:sz w:val="28"/>
          <w:szCs w:val="28"/>
        </w:rPr>
        <w:t>年為基準年，推估目標年</w:t>
      </w:r>
      <w:r w:rsidRPr="00D55DC6">
        <w:rPr>
          <w:rFonts w:eastAsia="標楷體"/>
          <w:sz w:val="28"/>
          <w:szCs w:val="28"/>
        </w:rPr>
        <w:t>113</w:t>
      </w:r>
      <w:r w:rsidRPr="00D55DC6">
        <w:rPr>
          <w:rFonts w:eastAsia="標楷體"/>
          <w:sz w:val="28"/>
          <w:szCs w:val="28"/>
        </w:rPr>
        <w:t>年之遊客量。基準年遊客量部分據點係以各災後遊客量與假設成長率參數計算，並納入舉辦活動時增加之遊客量調整之，而部分據點因無長期遊客量數字參考故以管理目標值來設定，其基準年各據點遊客量估算詳如附件三所示。在確定各據點基準年之遊客量後，參考近年遊客量成長率，假設前</w:t>
      </w:r>
      <w:r w:rsidRPr="00D55DC6">
        <w:rPr>
          <w:rFonts w:eastAsia="標楷體"/>
          <w:sz w:val="28"/>
          <w:szCs w:val="28"/>
        </w:rPr>
        <w:t>5</w:t>
      </w:r>
      <w:r w:rsidRPr="00D55DC6">
        <w:rPr>
          <w:rFonts w:eastAsia="標楷體"/>
          <w:sz w:val="28"/>
          <w:szCs w:val="28"/>
        </w:rPr>
        <w:t>年之遊客以</w:t>
      </w:r>
      <w:r w:rsidRPr="00D55DC6">
        <w:rPr>
          <w:rFonts w:eastAsia="標楷體"/>
          <w:sz w:val="28"/>
          <w:szCs w:val="28"/>
        </w:rPr>
        <w:t>6.02</w:t>
      </w:r>
      <w:r w:rsidRPr="00D55DC6">
        <w:rPr>
          <w:rFonts w:eastAsia="標楷體"/>
          <w:sz w:val="28"/>
          <w:szCs w:val="28"/>
        </w:rPr>
        <w:t>％成長，</w:t>
      </w:r>
      <w:r w:rsidRPr="00D55DC6">
        <w:rPr>
          <w:rFonts w:eastAsia="標楷體"/>
          <w:sz w:val="28"/>
          <w:szCs w:val="28"/>
        </w:rPr>
        <w:t>5-10</w:t>
      </w:r>
      <w:r w:rsidRPr="00D55DC6">
        <w:rPr>
          <w:rFonts w:eastAsia="標楷體"/>
          <w:sz w:val="28"/>
          <w:szCs w:val="28"/>
        </w:rPr>
        <w:t>年以</w:t>
      </w:r>
      <w:r w:rsidRPr="00D55DC6">
        <w:rPr>
          <w:rFonts w:eastAsia="標楷體"/>
          <w:sz w:val="28"/>
          <w:szCs w:val="28"/>
        </w:rPr>
        <w:t>3</w:t>
      </w:r>
      <w:r w:rsidRPr="00D55DC6">
        <w:rPr>
          <w:rFonts w:eastAsia="標楷體"/>
          <w:sz w:val="28"/>
          <w:szCs w:val="28"/>
        </w:rPr>
        <w:t>％成長，以趨勢成長法推算各據點目標年遊客量，並以每人平均旅遊據點數</w:t>
      </w:r>
      <w:r w:rsidRPr="00D55DC6">
        <w:rPr>
          <w:rFonts w:eastAsia="標楷體"/>
          <w:sz w:val="28"/>
          <w:szCs w:val="28"/>
        </w:rPr>
        <w:t>1.3</w:t>
      </w:r>
      <w:r w:rsidRPr="00D55DC6">
        <w:rPr>
          <w:rFonts w:eastAsia="標楷體"/>
          <w:sz w:val="28"/>
          <w:szCs w:val="28"/>
        </w:rPr>
        <w:t>校正，預估目標年全區遊客量將可達</w:t>
      </w:r>
      <w:r w:rsidRPr="00D55DC6">
        <w:rPr>
          <w:rFonts w:eastAsia="標楷體"/>
          <w:sz w:val="28"/>
          <w:szCs w:val="28"/>
        </w:rPr>
        <w:t>2,496,765</w:t>
      </w:r>
      <w:r w:rsidRPr="00D55DC6">
        <w:rPr>
          <w:rFonts w:eastAsia="標楷體"/>
          <w:sz w:val="28"/>
          <w:szCs w:val="28"/>
        </w:rPr>
        <w:t>人。</w:t>
      </w:r>
    </w:p>
    <w:p w:rsidR="00B6196A" w:rsidRPr="00D55DC6" w:rsidRDefault="00B6196A" w:rsidP="004865C1">
      <w:pPr>
        <w:pStyle w:val="af2"/>
        <w:numPr>
          <w:ilvl w:val="0"/>
          <w:numId w:val="123"/>
        </w:numPr>
        <w:snapToGrid w:val="0"/>
        <w:spacing w:line="460" w:lineRule="exact"/>
        <w:ind w:leftChars="0"/>
        <w:jc w:val="both"/>
        <w:rPr>
          <w:rFonts w:eastAsia="標楷體"/>
          <w:sz w:val="28"/>
          <w:szCs w:val="28"/>
        </w:rPr>
      </w:pPr>
      <w:r w:rsidRPr="00D55DC6">
        <w:rPr>
          <w:rFonts w:eastAsia="標楷體"/>
          <w:sz w:val="28"/>
          <w:szCs w:val="28"/>
        </w:rPr>
        <w:t>考量設施使用之經濟效益，遊客人數以尖峰日遊客量之</w:t>
      </w:r>
      <w:r w:rsidRPr="00D55DC6">
        <w:rPr>
          <w:rFonts w:eastAsia="標楷體"/>
          <w:sz w:val="28"/>
          <w:szCs w:val="28"/>
        </w:rPr>
        <w:t>80</w:t>
      </w:r>
      <w:r w:rsidRPr="00D55DC6">
        <w:rPr>
          <w:rFonts w:eastAsia="標楷體"/>
          <w:sz w:val="28"/>
          <w:szCs w:val="28"/>
        </w:rPr>
        <w:t>％計算，並依</w:t>
      </w:r>
      <w:r w:rsidRPr="00D55DC6">
        <w:rPr>
          <w:rFonts w:eastAsia="標楷體"/>
          <w:sz w:val="28"/>
          <w:szCs w:val="28"/>
        </w:rPr>
        <w:t>101</w:t>
      </w:r>
      <w:r w:rsidRPr="00D55DC6">
        <w:rPr>
          <w:rFonts w:eastAsia="標楷體"/>
          <w:sz w:val="28"/>
          <w:szCs w:val="28"/>
        </w:rPr>
        <w:t>年國家風景區遊客調查報告轄區內過夜（</w:t>
      </w:r>
      <w:r w:rsidRPr="00D55DC6">
        <w:rPr>
          <w:rFonts w:eastAsia="標楷體"/>
          <w:sz w:val="28"/>
          <w:szCs w:val="28"/>
        </w:rPr>
        <w:t>2</w:t>
      </w:r>
      <w:r w:rsidRPr="00D55DC6">
        <w:rPr>
          <w:rFonts w:eastAsia="標楷體"/>
          <w:sz w:val="28"/>
          <w:szCs w:val="28"/>
        </w:rPr>
        <w:t>天</w:t>
      </w:r>
      <w:r w:rsidRPr="00D55DC6">
        <w:rPr>
          <w:rFonts w:eastAsia="標楷體"/>
          <w:sz w:val="28"/>
          <w:szCs w:val="28"/>
        </w:rPr>
        <w:t>1</w:t>
      </w:r>
      <w:r w:rsidRPr="00D55DC6">
        <w:rPr>
          <w:rFonts w:eastAsia="標楷體"/>
          <w:sz w:val="28"/>
          <w:szCs w:val="28"/>
        </w:rPr>
        <w:t>夜，</w:t>
      </w:r>
      <w:r w:rsidRPr="00D55DC6">
        <w:rPr>
          <w:rFonts w:eastAsia="標楷體"/>
          <w:sz w:val="28"/>
          <w:szCs w:val="28"/>
        </w:rPr>
        <w:t>3</w:t>
      </w:r>
      <w:r w:rsidRPr="00D55DC6">
        <w:rPr>
          <w:rFonts w:eastAsia="標楷體"/>
          <w:sz w:val="28"/>
          <w:szCs w:val="28"/>
        </w:rPr>
        <w:t>天</w:t>
      </w:r>
      <w:r w:rsidRPr="00D55DC6">
        <w:rPr>
          <w:rFonts w:eastAsia="標楷體"/>
          <w:sz w:val="28"/>
          <w:szCs w:val="28"/>
        </w:rPr>
        <w:t>2</w:t>
      </w:r>
      <w:r w:rsidRPr="00D55DC6">
        <w:rPr>
          <w:rFonts w:eastAsia="標楷體"/>
          <w:sz w:val="28"/>
          <w:szCs w:val="28"/>
        </w:rPr>
        <w:t>夜以上）比例為</w:t>
      </w:r>
      <w:r w:rsidRPr="00D55DC6">
        <w:rPr>
          <w:rFonts w:eastAsia="標楷體"/>
          <w:sz w:val="28"/>
          <w:szCs w:val="28"/>
        </w:rPr>
        <w:t>12.11</w:t>
      </w:r>
      <w:r w:rsidRPr="00D55DC6">
        <w:rPr>
          <w:rFonts w:eastAsia="標楷體"/>
          <w:sz w:val="28"/>
          <w:szCs w:val="28"/>
        </w:rPr>
        <w:t>％，並假設房間人數為</w:t>
      </w:r>
      <w:r w:rsidRPr="00D55DC6">
        <w:rPr>
          <w:rFonts w:eastAsia="標楷體"/>
          <w:sz w:val="28"/>
          <w:szCs w:val="28"/>
        </w:rPr>
        <w:t>2</w:t>
      </w:r>
      <w:r w:rsidRPr="00D55DC6">
        <w:rPr>
          <w:rFonts w:eastAsia="標楷體"/>
          <w:sz w:val="28"/>
          <w:szCs w:val="28"/>
        </w:rPr>
        <w:t>人</w:t>
      </w:r>
      <w:r w:rsidRPr="00D55DC6">
        <w:rPr>
          <w:rFonts w:eastAsia="標楷體"/>
          <w:sz w:val="28"/>
          <w:szCs w:val="28"/>
        </w:rPr>
        <w:t>1</w:t>
      </w:r>
      <w:r w:rsidRPr="00D55DC6">
        <w:rPr>
          <w:rFonts w:eastAsia="標楷體"/>
          <w:sz w:val="28"/>
          <w:szCs w:val="28"/>
        </w:rPr>
        <w:t>間，求得目標年</w:t>
      </w:r>
      <w:r w:rsidRPr="00D55DC6">
        <w:rPr>
          <w:rFonts w:eastAsia="標楷體"/>
          <w:sz w:val="28"/>
          <w:szCs w:val="28"/>
        </w:rPr>
        <w:t>113</w:t>
      </w:r>
      <w:r w:rsidRPr="00D55DC6">
        <w:rPr>
          <w:rFonts w:eastAsia="標楷體"/>
          <w:sz w:val="28"/>
          <w:szCs w:val="28"/>
        </w:rPr>
        <w:t>年各次系統之旅宿設施需求為桃源次系統</w:t>
      </w:r>
      <w:r w:rsidRPr="00D55DC6">
        <w:rPr>
          <w:rFonts w:eastAsia="標楷體"/>
          <w:sz w:val="28"/>
          <w:szCs w:val="28"/>
        </w:rPr>
        <w:t>26</w:t>
      </w:r>
      <w:r w:rsidRPr="00D55DC6">
        <w:rPr>
          <w:rFonts w:eastAsia="標楷體"/>
          <w:sz w:val="28"/>
          <w:szCs w:val="28"/>
        </w:rPr>
        <w:t>間、寶來不老次系統</w:t>
      </w:r>
      <w:r w:rsidRPr="00D55DC6">
        <w:rPr>
          <w:rFonts w:eastAsia="標楷體"/>
          <w:sz w:val="28"/>
          <w:szCs w:val="28"/>
        </w:rPr>
        <w:t>74</w:t>
      </w:r>
      <w:r w:rsidRPr="00D55DC6">
        <w:rPr>
          <w:rFonts w:eastAsia="標楷體"/>
          <w:sz w:val="28"/>
          <w:szCs w:val="28"/>
        </w:rPr>
        <w:t>間、六龜新威次系統</w:t>
      </w:r>
      <w:r w:rsidRPr="00D55DC6">
        <w:rPr>
          <w:rFonts w:eastAsia="標楷體"/>
          <w:sz w:val="28"/>
          <w:szCs w:val="28"/>
        </w:rPr>
        <w:t>258</w:t>
      </w:r>
      <w:r w:rsidRPr="00D55DC6">
        <w:rPr>
          <w:rFonts w:eastAsia="標楷體"/>
          <w:sz w:val="28"/>
          <w:szCs w:val="28"/>
        </w:rPr>
        <w:t>間、茂林次系統</w:t>
      </w:r>
      <w:r w:rsidRPr="00D55DC6">
        <w:rPr>
          <w:rFonts w:eastAsia="標楷體"/>
          <w:sz w:val="28"/>
          <w:szCs w:val="28"/>
        </w:rPr>
        <w:t>101</w:t>
      </w:r>
      <w:r w:rsidRPr="00D55DC6">
        <w:rPr>
          <w:rFonts w:eastAsia="標楷體"/>
          <w:sz w:val="28"/>
          <w:szCs w:val="28"/>
        </w:rPr>
        <w:t>間、三地門次系統</w:t>
      </w:r>
      <w:r w:rsidRPr="00D55DC6">
        <w:rPr>
          <w:rFonts w:eastAsia="標楷體"/>
          <w:sz w:val="28"/>
          <w:szCs w:val="28"/>
        </w:rPr>
        <w:t>47</w:t>
      </w:r>
      <w:r w:rsidRPr="00D55DC6">
        <w:rPr>
          <w:rFonts w:eastAsia="標楷體"/>
          <w:sz w:val="28"/>
          <w:szCs w:val="28"/>
        </w:rPr>
        <w:t>間、霧台次系統</w:t>
      </w:r>
      <w:r w:rsidRPr="00D55DC6">
        <w:rPr>
          <w:rFonts w:eastAsia="標楷體"/>
          <w:sz w:val="28"/>
          <w:szCs w:val="28"/>
        </w:rPr>
        <w:t>36</w:t>
      </w:r>
      <w:r w:rsidRPr="00D55DC6">
        <w:rPr>
          <w:rFonts w:eastAsia="標楷體"/>
          <w:sz w:val="28"/>
          <w:szCs w:val="28"/>
        </w:rPr>
        <w:t>間、瑪家次系統</w:t>
      </w:r>
      <w:r w:rsidRPr="00D55DC6">
        <w:rPr>
          <w:rFonts w:eastAsia="標楷體"/>
          <w:sz w:val="28"/>
          <w:szCs w:val="28"/>
        </w:rPr>
        <w:t>205</w:t>
      </w:r>
      <w:r w:rsidRPr="00D55DC6">
        <w:rPr>
          <w:rFonts w:eastAsia="標楷體"/>
          <w:sz w:val="28"/>
          <w:szCs w:val="28"/>
        </w:rPr>
        <w:t>間，共計全區房間需求為</w:t>
      </w:r>
      <w:r w:rsidRPr="00D55DC6">
        <w:rPr>
          <w:rFonts w:eastAsia="標楷體"/>
          <w:sz w:val="28"/>
          <w:szCs w:val="28"/>
        </w:rPr>
        <w:t>747</w:t>
      </w:r>
      <w:r w:rsidRPr="00D55DC6">
        <w:rPr>
          <w:rFonts w:eastAsia="標楷體"/>
          <w:sz w:val="28"/>
          <w:szCs w:val="28"/>
        </w:rPr>
        <w:t>間。</w:t>
      </w:r>
    </w:p>
    <w:p w:rsidR="00B6196A" w:rsidRPr="00D55DC6" w:rsidRDefault="00B6196A" w:rsidP="004865C1">
      <w:pPr>
        <w:pStyle w:val="af2"/>
        <w:numPr>
          <w:ilvl w:val="0"/>
          <w:numId w:val="123"/>
        </w:numPr>
        <w:snapToGrid w:val="0"/>
        <w:spacing w:line="460" w:lineRule="exact"/>
        <w:ind w:leftChars="0"/>
        <w:jc w:val="both"/>
        <w:rPr>
          <w:rFonts w:eastAsia="標楷體"/>
          <w:sz w:val="28"/>
          <w:szCs w:val="28"/>
        </w:rPr>
      </w:pPr>
      <w:r w:rsidRPr="00D55DC6">
        <w:rPr>
          <w:rFonts w:eastAsia="標楷體"/>
          <w:sz w:val="28"/>
          <w:szCs w:val="28"/>
        </w:rPr>
        <w:t>考量設施使用之經濟效益，遊客人數以尖峰日遊客量之</w:t>
      </w:r>
      <w:r w:rsidRPr="00D55DC6">
        <w:rPr>
          <w:rFonts w:eastAsia="標楷體"/>
          <w:sz w:val="28"/>
          <w:szCs w:val="28"/>
        </w:rPr>
        <w:t>80</w:t>
      </w:r>
      <w:r w:rsidRPr="00D55DC6">
        <w:rPr>
          <w:rFonts w:eastAsia="標楷體"/>
          <w:sz w:val="28"/>
          <w:szCs w:val="28"/>
        </w:rPr>
        <w:t>％計算，並依據遊客使用運具比例計算出各運具之遊客量。而為求得各運具所需之停車數量，依各運具之遊客量、承載人數設定與周轉率計算</w:t>
      </w:r>
      <w:r w:rsidRPr="00D55DC6">
        <w:rPr>
          <w:rFonts w:eastAsia="標楷體"/>
          <w:sz w:val="28"/>
          <w:szCs w:val="28"/>
        </w:rPr>
        <w:lastRenderedPageBreak/>
        <w:t>之下，求得目標年</w:t>
      </w:r>
      <w:r w:rsidRPr="00D55DC6">
        <w:rPr>
          <w:rFonts w:eastAsia="標楷體"/>
          <w:sz w:val="28"/>
          <w:szCs w:val="28"/>
        </w:rPr>
        <w:t>113</w:t>
      </w:r>
      <w:r w:rsidRPr="00D55DC6">
        <w:rPr>
          <w:rFonts w:eastAsia="標楷體"/>
          <w:sz w:val="28"/>
          <w:szCs w:val="28"/>
        </w:rPr>
        <w:t>年全區停車需求量為小客車</w:t>
      </w:r>
      <w:r w:rsidRPr="00D55DC6">
        <w:rPr>
          <w:rFonts w:eastAsia="標楷體"/>
          <w:sz w:val="28"/>
          <w:szCs w:val="28"/>
        </w:rPr>
        <w:t>1,635</w:t>
      </w:r>
      <w:r w:rsidRPr="00D55DC6">
        <w:rPr>
          <w:rFonts w:eastAsia="標楷體"/>
          <w:sz w:val="28"/>
          <w:szCs w:val="28"/>
        </w:rPr>
        <w:t>位、大客車</w:t>
      </w:r>
      <w:r w:rsidRPr="00D55DC6">
        <w:rPr>
          <w:rFonts w:eastAsia="標楷體"/>
          <w:sz w:val="28"/>
          <w:szCs w:val="28"/>
        </w:rPr>
        <w:t>38</w:t>
      </w:r>
      <w:r w:rsidRPr="00D55DC6">
        <w:rPr>
          <w:rFonts w:eastAsia="標楷體"/>
          <w:sz w:val="28"/>
          <w:szCs w:val="28"/>
        </w:rPr>
        <w:t>位、機車</w:t>
      </w:r>
      <w:r w:rsidRPr="00D55DC6">
        <w:rPr>
          <w:rFonts w:eastAsia="標楷體"/>
          <w:sz w:val="28"/>
          <w:szCs w:val="28"/>
        </w:rPr>
        <w:t>587</w:t>
      </w:r>
      <w:r w:rsidRPr="00D55DC6">
        <w:rPr>
          <w:rFonts w:eastAsia="標楷體"/>
          <w:sz w:val="28"/>
          <w:szCs w:val="28"/>
        </w:rPr>
        <w:t>位。</w:t>
      </w:r>
    </w:p>
    <w:p w:rsidR="000C5765" w:rsidRPr="00D55DC6" w:rsidRDefault="000C5765" w:rsidP="000C5765">
      <w:pPr>
        <w:pStyle w:val="af2"/>
        <w:snapToGrid w:val="0"/>
        <w:spacing w:line="460" w:lineRule="exact"/>
        <w:ind w:leftChars="0" w:left="1207"/>
        <w:jc w:val="both"/>
        <w:rPr>
          <w:rFonts w:eastAsia="標楷體"/>
          <w:sz w:val="28"/>
          <w:szCs w:val="28"/>
        </w:rPr>
      </w:pPr>
    </w:p>
    <w:p w:rsidR="00B6196A" w:rsidRPr="00D55DC6" w:rsidRDefault="00B6196A" w:rsidP="004865C1">
      <w:pPr>
        <w:pStyle w:val="af2"/>
        <w:numPr>
          <w:ilvl w:val="0"/>
          <w:numId w:val="126"/>
        </w:numPr>
        <w:snapToGrid w:val="0"/>
        <w:spacing w:line="460" w:lineRule="exact"/>
        <w:ind w:leftChars="0"/>
        <w:jc w:val="both"/>
        <w:rPr>
          <w:rFonts w:eastAsia="標楷體"/>
          <w:b/>
          <w:sz w:val="28"/>
          <w:szCs w:val="28"/>
        </w:rPr>
      </w:pPr>
      <w:r w:rsidRPr="00D55DC6">
        <w:rPr>
          <w:rFonts w:eastAsia="標楷體"/>
          <w:b/>
          <w:sz w:val="28"/>
          <w:szCs w:val="28"/>
        </w:rPr>
        <w:t>問題評析</w:t>
      </w:r>
    </w:p>
    <w:p w:rsidR="00B6196A" w:rsidRPr="00D55DC6" w:rsidRDefault="00B6196A" w:rsidP="0038165F">
      <w:pPr>
        <w:snapToGrid w:val="0"/>
        <w:spacing w:line="460" w:lineRule="exact"/>
        <w:ind w:leftChars="354" w:left="1276" w:hangingChars="152" w:hanging="426"/>
        <w:jc w:val="both"/>
        <w:rPr>
          <w:rFonts w:eastAsia="標楷體"/>
          <w:sz w:val="28"/>
          <w:szCs w:val="28"/>
        </w:rPr>
      </w:pPr>
      <w:r w:rsidRPr="00D55DC6">
        <w:rPr>
          <w:rFonts w:eastAsia="標楷體"/>
          <w:sz w:val="28"/>
          <w:szCs w:val="28"/>
        </w:rPr>
        <w:t xml:space="preserve">1. </w:t>
      </w:r>
      <w:r w:rsidRPr="00D55DC6">
        <w:rPr>
          <w:rFonts w:eastAsia="標楷體"/>
          <w:sz w:val="28"/>
          <w:szCs w:val="28"/>
        </w:rPr>
        <w:t>基礎建設仍待完備</w:t>
      </w:r>
      <w:r w:rsidRPr="00D55DC6">
        <w:rPr>
          <w:rFonts w:eastAsia="標楷體"/>
          <w:sz w:val="28"/>
          <w:szCs w:val="28"/>
        </w:rPr>
        <w:t>-</w:t>
      </w:r>
      <w:r w:rsidRPr="00D55DC6">
        <w:rPr>
          <w:rFonts w:eastAsia="標楷體"/>
          <w:sz w:val="28"/>
          <w:szCs w:val="28"/>
        </w:rPr>
        <w:t>本轄區遊客量從經歷風災後，現階段已呈現穩定成長，遊憩需求亦隨之增加，基礎建設與服務若未能即時銜接，恐將影響遊客之遊憩滿意度。</w:t>
      </w:r>
    </w:p>
    <w:p w:rsidR="00B6196A" w:rsidRPr="00D55DC6" w:rsidRDefault="00B6196A" w:rsidP="0038165F">
      <w:pPr>
        <w:snapToGrid w:val="0"/>
        <w:spacing w:line="460" w:lineRule="exact"/>
        <w:ind w:leftChars="354" w:left="1276" w:hangingChars="152" w:hanging="426"/>
        <w:jc w:val="both"/>
        <w:rPr>
          <w:rFonts w:eastAsia="標楷體"/>
          <w:sz w:val="28"/>
          <w:szCs w:val="28"/>
        </w:rPr>
      </w:pPr>
      <w:r w:rsidRPr="00D55DC6">
        <w:rPr>
          <w:rFonts w:eastAsia="標楷體"/>
          <w:sz w:val="28"/>
          <w:szCs w:val="28"/>
        </w:rPr>
        <w:t>2.</w:t>
      </w:r>
      <w:r w:rsidRPr="00D55DC6">
        <w:rPr>
          <w:rFonts w:eastAsia="標楷體"/>
          <w:sz w:val="28"/>
          <w:szCs w:val="28"/>
        </w:rPr>
        <w:tab/>
      </w:r>
      <w:r w:rsidRPr="00D55DC6">
        <w:rPr>
          <w:rFonts w:eastAsia="標楷體"/>
          <w:sz w:val="28"/>
          <w:szCs w:val="28"/>
        </w:rPr>
        <w:t>活動型遊客量超越設施承載量</w:t>
      </w:r>
      <w:r w:rsidRPr="00D55DC6">
        <w:rPr>
          <w:rFonts w:eastAsia="標楷體"/>
          <w:sz w:val="28"/>
          <w:szCs w:val="28"/>
        </w:rPr>
        <w:t>-</w:t>
      </w:r>
      <w:r w:rsidRPr="00D55DC6">
        <w:rPr>
          <w:rFonts w:eastAsia="標楷體"/>
          <w:sz w:val="28"/>
          <w:szCs w:val="28"/>
        </w:rPr>
        <w:t>本轄區遊憩據點多可均質分散遊客量，惟因季節性活動舉辦所造成之遊客量激增，易衍生設施承載量等相關問題。</w:t>
      </w:r>
    </w:p>
    <w:p w:rsidR="00B6196A" w:rsidRPr="00D55DC6" w:rsidRDefault="00B6196A" w:rsidP="0038165F">
      <w:pPr>
        <w:snapToGrid w:val="0"/>
        <w:spacing w:line="460" w:lineRule="exact"/>
        <w:ind w:leftChars="354" w:left="1276" w:hangingChars="152" w:hanging="426"/>
        <w:jc w:val="both"/>
        <w:rPr>
          <w:rFonts w:eastAsia="標楷體"/>
          <w:sz w:val="28"/>
          <w:szCs w:val="28"/>
        </w:rPr>
      </w:pPr>
      <w:r w:rsidRPr="00D55DC6">
        <w:rPr>
          <w:rFonts w:eastAsia="標楷體"/>
          <w:sz w:val="28"/>
          <w:szCs w:val="28"/>
        </w:rPr>
        <w:t>3.</w:t>
      </w:r>
      <w:r w:rsidRPr="00D55DC6">
        <w:rPr>
          <w:rFonts w:eastAsia="標楷體"/>
          <w:sz w:val="28"/>
          <w:szCs w:val="28"/>
        </w:rPr>
        <w:tab/>
      </w:r>
      <w:r w:rsidRPr="00D55DC6">
        <w:rPr>
          <w:rFonts w:eastAsia="標楷體"/>
          <w:sz w:val="28"/>
          <w:szCs w:val="28"/>
        </w:rPr>
        <w:t>增設遊憩據點相對提高經營管理成本</w:t>
      </w:r>
      <w:r w:rsidRPr="00D55DC6">
        <w:rPr>
          <w:rFonts w:eastAsia="標楷體"/>
          <w:sz w:val="28"/>
          <w:szCs w:val="28"/>
        </w:rPr>
        <w:t>-</w:t>
      </w:r>
      <w:r w:rsidRPr="00D55DC6">
        <w:rPr>
          <w:rFonts w:eastAsia="標楷體"/>
          <w:sz w:val="28"/>
          <w:szCs w:val="28"/>
        </w:rPr>
        <w:t>區內增設遊憩據點等相關服務設施，將相對提高經營維護管理成本費用。</w:t>
      </w:r>
    </w:p>
    <w:p w:rsidR="00B6196A" w:rsidRPr="00D55DC6" w:rsidRDefault="00B6196A" w:rsidP="0038165F">
      <w:pPr>
        <w:snapToGrid w:val="0"/>
        <w:spacing w:line="460" w:lineRule="exact"/>
        <w:ind w:leftChars="354" w:left="1276" w:hangingChars="152" w:hanging="426"/>
        <w:jc w:val="both"/>
        <w:rPr>
          <w:rFonts w:eastAsia="標楷體"/>
          <w:sz w:val="28"/>
          <w:szCs w:val="28"/>
        </w:rPr>
      </w:pPr>
      <w:r w:rsidRPr="00D55DC6">
        <w:rPr>
          <w:rFonts w:eastAsia="標楷體"/>
          <w:sz w:val="28"/>
          <w:szCs w:val="28"/>
        </w:rPr>
        <w:t>4.</w:t>
      </w:r>
      <w:r w:rsidRPr="00D55DC6">
        <w:rPr>
          <w:rFonts w:eastAsia="標楷體"/>
          <w:sz w:val="28"/>
          <w:szCs w:val="28"/>
        </w:rPr>
        <w:tab/>
      </w:r>
      <w:r w:rsidRPr="00D55DC6">
        <w:rPr>
          <w:rFonts w:eastAsia="標楷體"/>
          <w:sz w:val="28"/>
          <w:szCs w:val="28"/>
        </w:rPr>
        <w:t>在地產業缺乏主題包裝與行銷</w:t>
      </w:r>
      <w:r w:rsidRPr="00D55DC6">
        <w:rPr>
          <w:rFonts w:eastAsia="標楷體"/>
          <w:sz w:val="28"/>
          <w:szCs w:val="28"/>
        </w:rPr>
        <w:t>-</w:t>
      </w:r>
      <w:r w:rsidRPr="00D55DC6">
        <w:rPr>
          <w:rFonts w:eastAsia="標楷體"/>
          <w:sz w:val="28"/>
          <w:szCs w:val="28"/>
        </w:rPr>
        <w:t>區內原住民文化底蘊深厚，惟仍未能主題化包裝推展，產品缺乏行銷通路，導致產業無法提昇優化而喪失競爭力。</w:t>
      </w:r>
    </w:p>
    <w:p w:rsidR="00B6196A" w:rsidRPr="00D55DC6" w:rsidRDefault="00B6196A" w:rsidP="0038165F">
      <w:pPr>
        <w:snapToGrid w:val="0"/>
        <w:spacing w:line="460" w:lineRule="exact"/>
        <w:ind w:leftChars="354" w:left="1276" w:hangingChars="152" w:hanging="426"/>
        <w:jc w:val="both"/>
        <w:rPr>
          <w:rFonts w:eastAsia="標楷體"/>
          <w:sz w:val="28"/>
          <w:szCs w:val="28"/>
        </w:rPr>
      </w:pPr>
      <w:r w:rsidRPr="00D55DC6">
        <w:rPr>
          <w:rFonts w:eastAsia="標楷體"/>
          <w:sz w:val="28"/>
          <w:szCs w:val="28"/>
        </w:rPr>
        <w:t>5.</w:t>
      </w:r>
      <w:r w:rsidRPr="00D55DC6">
        <w:rPr>
          <w:rFonts w:eastAsia="標楷體"/>
          <w:sz w:val="28"/>
          <w:szCs w:val="28"/>
        </w:rPr>
        <w:tab/>
      </w:r>
      <w:r w:rsidRPr="00D55DC6">
        <w:rPr>
          <w:rFonts w:eastAsia="標楷體"/>
          <w:sz w:val="28"/>
          <w:szCs w:val="28"/>
        </w:rPr>
        <w:t>以有限財務成本發揮最大管理效益</w:t>
      </w:r>
      <w:r w:rsidRPr="00D55DC6">
        <w:rPr>
          <w:rFonts w:eastAsia="標楷體"/>
          <w:sz w:val="28"/>
          <w:szCs w:val="28"/>
        </w:rPr>
        <w:t>-</w:t>
      </w:r>
      <w:r w:rsidRPr="00D55DC6">
        <w:rPr>
          <w:rFonts w:eastAsia="標楷體"/>
          <w:sz w:val="28"/>
          <w:szCs w:val="28"/>
        </w:rPr>
        <w:t>因政府財政短絀，</w:t>
      </w:r>
      <w:r w:rsidR="009B2D95" w:rsidRPr="00D55DC6">
        <w:rPr>
          <w:rFonts w:eastAsia="標楷體"/>
          <w:sz w:val="28"/>
          <w:szCs w:val="28"/>
        </w:rPr>
        <w:t>管理處</w:t>
      </w:r>
      <w:r w:rsidRPr="00D55DC6">
        <w:rPr>
          <w:rFonts w:eastAsia="標楷體"/>
          <w:sz w:val="28"/>
          <w:szCs w:val="28"/>
        </w:rPr>
        <w:t>在有限之人力與經費之下尋求最高效益之經營管理方式。</w:t>
      </w:r>
    </w:p>
    <w:p w:rsidR="00B6196A" w:rsidRPr="00D55DC6" w:rsidRDefault="00B6196A" w:rsidP="0038165F">
      <w:pPr>
        <w:snapToGrid w:val="0"/>
        <w:spacing w:line="460" w:lineRule="exact"/>
        <w:ind w:leftChars="354" w:left="1276" w:hangingChars="152" w:hanging="426"/>
        <w:jc w:val="both"/>
        <w:rPr>
          <w:rFonts w:eastAsia="標楷體"/>
          <w:sz w:val="28"/>
          <w:szCs w:val="28"/>
        </w:rPr>
      </w:pPr>
      <w:r w:rsidRPr="00D55DC6">
        <w:rPr>
          <w:rFonts w:eastAsia="標楷體"/>
          <w:sz w:val="28"/>
          <w:szCs w:val="28"/>
        </w:rPr>
        <w:t>6.</w:t>
      </w:r>
      <w:r w:rsidRPr="00D55DC6">
        <w:rPr>
          <w:rFonts w:eastAsia="標楷體"/>
          <w:sz w:val="28"/>
          <w:szCs w:val="28"/>
        </w:rPr>
        <w:tab/>
      </w:r>
      <w:r w:rsidRPr="00D55DC6">
        <w:rPr>
          <w:rFonts w:eastAsia="標楷體"/>
          <w:sz w:val="28"/>
          <w:szCs w:val="28"/>
        </w:rPr>
        <w:t>大眾運輸可及性低未能提升旅遊意願</w:t>
      </w:r>
      <w:r w:rsidRPr="00D55DC6">
        <w:rPr>
          <w:rFonts w:eastAsia="標楷體"/>
          <w:sz w:val="28"/>
          <w:szCs w:val="28"/>
        </w:rPr>
        <w:t>-</w:t>
      </w:r>
      <w:r w:rsidRPr="00D55DC6">
        <w:rPr>
          <w:rFonts w:eastAsia="標楷體"/>
          <w:sz w:val="28"/>
          <w:szCs w:val="28"/>
        </w:rPr>
        <w:t>因本轄區距快速道路系統與大眾快捷運輸場站較遠，亟需仰賴觀光服務導向之交通接駁運輸系統，提昇遊客之遊憩意願並亦可推展國內低碳綠色旅遊。</w:t>
      </w:r>
    </w:p>
    <w:p w:rsidR="000C5765" w:rsidRPr="00D55DC6" w:rsidRDefault="000C5765" w:rsidP="0038165F">
      <w:pPr>
        <w:snapToGrid w:val="0"/>
        <w:spacing w:line="460" w:lineRule="exact"/>
        <w:ind w:leftChars="354" w:left="1276" w:hangingChars="152" w:hanging="426"/>
        <w:jc w:val="both"/>
        <w:rPr>
          <w:rFonts w:eastAsia="標楷體"/>
          <w:sz w:val="28"/>
          <w:szCs w:val="28"/>
        </w:rPr>
      </w:pPr>
    </w:p>
    <w:p w:rsidR="00B6196A" w:rsidRPr="00D55DC6" w:rsidRDefault="00B6196A" w:rsidP="004865C1">
      <w:pPr>
        <w:pStyle w:val="af2"/>
        <w:numPr>
          <w:ilvl w:val="0"/>
          <w:numId w:val="126"/>
        </w:numPr>
        <w:snapToGrid w:val="0"/>
        <w:spacing w:line="460" w:lineRule="exact"/>
        <w:ind w:leftChars="0"/>
        <w:jc w:val="both"/>
        <w:rPr>
          <w:rFonts w:eastAsia="標楷體"/>
          <w:b/>
          <w:sz w:val="28"/>
          <w:szCs w:val="28"/>
        </w:rPr>
      </w:pPr>
      <w:r w:rsidRPr="00D55DC6">
        <w:rPr>
          <w:rFonts w:eastAsia="標楷體"/>
          <w:b/>
          <w:sz w:val="28"/>
          <w:szCs w:val="28"/>
        </w:rPr>
        <w:t>社會參與及政策溝通情形</w:t>
      </w:r>
    </w:p>
    <w:p w:rsidR="00B6196A" w:rsidRPr="00D55DC6" w:rsidRDefault="00B6196A" w:rsidP="004865C1">
      <w:pPr>
        <w:pStyle w:val="af2"/>
        <w:numPr>
          <w:ilvl w:val="0"/>
          <w:numId w:val="124"/>
        </w:numPr>
        <w:snapToGrid w:val="0"/>
        <w:spacing w:line="460" w:lineRule="exact"/>
        <w:ind w:leftChars="0"/>
        <w:jc w:val="both"/>
        <w:rPr>
          <w:rFonts w:eastAsia="標楷體"/>
          <w:sz w:val="28"/>
          <w:szCs w:val="28"/>
        </w:rPr>
      </w:pPr>
      <w:r w:rsidRPr="00D55DC6">
        <w:rPr>
          <w:rFonts w:eastAsia="標楷體"/>
          <w:sz w:val="28"/>
          <w:szCs w:val="28"/>
        </w:rPr>
        <w:t>協助高雄市政府辦理「高雄市溫泉區管理計畫」以及溫泉合法化等相關事宜。</w:t>
      </w:r>
    </w:p>
    <w:p w:rsidR="00B6196A" w:rsidRPr="00D55DC6" w:rsidRDefault="00B6196A" w:rsidP="004865C1">
      <w:pPr>
        <w:pStyle w:val="af2"/>
        <w:numPr>
          <w:ilvl w:val="0"/>
          <w:numId w:val="124"/>
        </w:numPr>
        <w:snapToGrid w:val="0"/>
        <w:spacing w:line="460" w:lineRule="exact"/>
        <w:ind w:leftChars="0"/>
        <w:jc w:val="both"/>
        <w:rPr>
          <w:rFonts w:eastAsia="標楷體"/>
          <w:sz w:val="28"/>
          <w:szCs w:val="28"/>
        </w:rPr>
      </w:pPr>
      <w:r w:rsidRPr="00D55DC6">
        <w:rPr>
          <w:rFonts w:eastAsia="標楷體"/>
          <w:sz w:val="28"/>
          <w:szCs w:val="28"/>
        </w:rPr>
        <w:t>協助屏東縣政府原民處辦理推動經濟產業計畫「屏北生態旅遊示範區」等相關事宜。</w:t>
      </w:r>
    </w:p>
    <w:p w:rsidR="00B6196A" w:rsidRPr="00D55DC6" w:rsidRDefault="00B6196A" w:rsidP="004865C1">
      <w:pPr>
        <w:pStyle w:val="a"/>
        <w:numPr>
          <w:ilvl w:val="0"/>
          <w:numId w:val="124"/>
        </w:numPr>
      </w:pPr>
      <w:bookmarkStart w:id="135" w:name="_Toc407181700"/>
      <w:r w:rsidRPr="00D55DC6">
        <w:t>轄區內許多閒置土地或建物屬於國產署、鄉公所或其他事業單位所有，未來可採取合作開發方式，尋求民間投資經營，收益分享，以達到跨域加值之目的，包括鳳山區農會茂林會員活動中心、地磨兒公園、德文咖啡廣場等。</w:t>
      </w:r>
      <w:bookmarkEnd w:id="135"/>
    </w:p>
    <w:p w:rsidR="00B6196A" w:rsidRPr="00D55DC6" w:rsidRDefault="00B6196A" w:rsidP="0038165F">
      <w:pPr>
        <w:pStyle w:val="a"/>
        <w:ind w:left="709" w:hanging="709"/>
        <w:rPr>
          <w:b/>
        </w:rPr>
      </w:pPr>
      <w:bookmarkStart w:id="136" w:name="_Toc407181701"/>
      <w:r w:rsidRPr="00D55DC6">
        <w:rPr>
          <w:b/>
        </w:rPr>
        <w:lastRenderedPageBreak/>
        <w:t>計畫目標</w:t>
      </w:r>
      <w:bookmarkEnd w:id="136"/>
    </w:p>
    <w:p w:rsidR="00B6196A" w:rsidRPr="00D55DC6" w:rsidRDefault="00B6196A" w:rsidP="004865C1">
      <w:pPr>
        <w:pStyle w:val="af2"/>
        <w:numPr>
          <w:ilvl w:val="0"/>
          <w:numId w:val="127"/>
        </w:numPr>
        <w:snapToGrid w:val="0"/>
        <w:spacing w:line="460" w:lineRule="exact"/>
        <w:ind w:leftChars="0"/>
        <w:jc w:val="both"/>
        <w:rPr>
          <w:rFonts w:eastAsia="標楷體"/>
          <w:b/>
          <w:sz w:val="28"/>
          <w:szCs w:val="28"/>
        </w:rPr>
      </w:pPr>
      <w:r w:rsidRPr="00D55DC6">
        <w:rPr>
          <w:rFonts w:eastAsia="標楷體"/>
          <w:b/>
          <w:sz w:val="28"/>
          <w:szCs w:val="28"/>
        </w:rPr>
        <w:t>目標說明</w:t>
      </w:r>
    </w:p>
    <w:p w:rsidR="00B6196A" w:rsidRPr="00D55DC6" w:rsidRDefault="00B6196A" w:rsidP="0038165F">
      <w:pPr>
        <w:pStyle w:val="af2"/>
        <w:snapToGrid w:val="0"/>
        <w:spacing w:line="460" w:lineRule="exact"/>
        <w:ind w:leftChars="0" w:left="864"/>
        <w:jc w:val="both"/>
        <w:rPr>
          <w:rFonts w:eastAsia="標楷體"/>
          <w:sz w:val="28"/>
          <w:szCs w:val="28"/>
        </w:rPr>
      </w:pPr>
      <w:r w:rsidRPr="00D55DC6">
        <w:rPr>
          <w:rFonts w:eastAsia="標楷體"/>
          <w:sz w:val="28"/>
          <w:szCs w:val="28"/>
        </w:rPr>
        <w:t>災後在「山林復育休養、人與自然共生共榮」前提下蛻變重生，以打造「南台灣綠色生態旅遊及原住民文化體驗場域」為發展願景，其說明如下：</w:t>
      </w:r>
    </w:p>
    <w:p w:rsidR="00B6196A" w:rsidRPr="00D55DC6" w:rsidRDefault="00B6196A" w:rsidP="004865C1">
      <w:pPr>
        <w:pStyle w:val="af2"/>
        <w:numPr>
          <w:ilvl w:val="0"/>
          <w:numId w:val="122"/>
        </w:numPr>
        <w:snapToGrid w:val="0"/>
        <w:spacing w:line="460" w:lineRule="exact"/>
        <w:ind w:leftChars="0" w:left="1134"/>
        <w:jc w:val="both"/>
        <w:rPr>
          <w:rFonts w:eastAsia="標楷體"/>
          <w:sz w:val="28"/>
          <w:szCs w:val="28"/>
        </w:rPr>
      </w:pPr>
      <w:r w:rsidRPr="00D55DC6">
        <w:rPr>
          <w:rFonts w:eastAsia="標楷體"/>
          <w:sz w:val="28"/>
          <w:szCs w:val="28"/>
        </w:rPr>
        <w:t>建置新威為國家風景區西口門戶及轉運站，並發展為國際觀光新亮點及新威茂林國際觀光廊道。</w:t>
      </w:r>
    </w:p>
    <w:p w:rsidR="00B6196A" w:rsidRPr="00D55DC6" w:rsidRDefault="00B6196A" w:rsidP="004865C1">
      <w:pPr>
        <w:pStyle w:val="af2"/>
        <w:numPr>
          <w:ilvl w:val="0"/>
          <w:numId w:val="122"/>
        </w:numPr>
        <w:snapToGrid w:val="0"/>
        <w:spacing w:line="460" w:lineRule="exact"/>
        <w:ind w:leftChars="0" w:left="1134"/>
        <w:jc w:val="both"/>
        <w:rPr>
          <w:rFonts w:eastAsia="標楷體"/>
          <w:sz w:val="28"/>
          <w:szCs w:val="28"/>
        </w:rPr>
      </w:pPr>
      <w:r w:rsidRPr="00D55DC6">
        <w:rPr>
          <w:rFonts w:eastAsia="標楷體"/>
          <w:sz w:val="28"/>
          <w:szCs w:val="28"/>
        </w:rPr>
        <w:t>協助輔導六龜寶來、不老溫泉區合法化，及與六龜連線推動溫泉觀光廊道。</w:t>
      </w:r>
    </w:p>
    <w:p w:rsidR="00B6196A" w:rsidRPr="00D55DC6" w:rsidRDefault="00B6196A" w:rsidP="004865C1">
      <w:pPr>
        <w:pStyle w:val="af2"/>
        <w:numPr>
          <w:ilvl w:val="0"/>
          <w:numId w:val="122"/>
        </w:numPr>
        <w:snapToGrid w:val="0"/>
        <w:spacing w:line="460" w:lineRule="exact"/>
        <w:ind w:leftChars="0" w:left="1134"/>
        <w:jc w:val="both"/>
        <w:rPr>
          <w:rFonts w:eastAsia="標楷體"/>
          <w:sz w:val="28"/>
          <w:szCs w:val="28"/>
        </w:rPr>
      </w:pPr>
      <w:r w:rsidRPr="00D55DC6">
        <w:rPr>
          <w:rFonts w:eastAsia="標楷體"/>
          <w:sz w:val="28"/>
          <w:szCs w:val="28"/>
        </w:rPr>
        <w:t>推動高屏山麓水陸空</w:t>
      </w:r>
      <w:r w:rsidRPr="00D55DC6">
        <w:rPr>
          <w:rFonts w:eastAsia="標楷體"/>
          <w:sz w:val="28"/>
          <w:szCs w:val="28"/>
        </w:rPr>
        <w:t>3D</w:t>
      </w:r>
      <w:r w:rsidRPr="00D55DC6">
        <w:rPr>
          <w:rFonts w:eastAsia="標楷體"/>
          <w:sz w:val="28"/>
          <w:szCs w:val="28"/>
        </w:rPr>
        <w:t>深度旅遊。</w:t>
      </w:r>
    </w:p>
    <w:p w:rsidR="00B6196A" w:rsidRPr="00D55DC6" w:rsidRDefault="00B6196A" w:rsidP="004865C1">
      <w:pPr>
        <w:pStyle w:val="af2"/>
        <w:numPr>
          <w:ilvl w:val="0"/>
          <w:numId w:val="122"/>
        </w:numPr>
        <w:snapToGrid w:val="0"/>
        <w:spacing w:line="460" w:lineRule="exact"/>
        <w:ind w:leftChars="0" w:left="1134"/>
        <w:jc w:val="both"/>
        <w:rPr>
          <w:rFonts w:eastAsia="標楷體"/>
          <w:sz w:val="28"/>
          <w:szCs w:val="28"/>
        </w:rPr>
      </w:pPr>
      <w:r w:rsidRPr="00D55DC6">
        <w:rPr>
          <w:rFonts w:eastAsia="標楷體"/>
          <w:sz w:val="28"/>
          <w:szCs w:val="28"/>
        </w:rPr>
        <w:t>發展屏北遊憩系統為原住民特色廊道。</w:t>
      </w:r>
    </w:p>
    <w:p w:rsidR="00B6196A" w:rsidRPr="00D55DC6" w:rsidRDefault="00B6196A" w:rsidP="004865C1">
      <w:pPr>
        <w:pStyle w:val="af2"/>
        <w:numPr>
          <w:ilvl w:val="0"/>
          <w:numId w:val="122"/>
        </w:numPr>
        <w:snapToGrid w:val="0"/>
        <w:spacing w:line="460" w:lineRule="exact"/>
        <w:ind w:leftChars="0" w:left="1134"/>
        <w:jc w:val="both"/>
        <w:rPr>
          <w:rFonts w:eastAsia="標楷體"/>
          <w:sz w:val="28"/>
          <w:szCs w:val="28"/>
        </w:rPr>
      </w:pPr>
      <w:r w:rsidRPr="00D55DC6">
        <w:rPr>
          <w:rFonts w:eastAsia="標楷體"/>
          <w:sz w:val="28"/>
          <w:szCs w:val="28"/>
        </w:rPr>
        <w:t>遊客人數從</w:t>
      </w:r>
      <w:r w:rsidRPr="00D55DC6">
        <w:rPr>
          <w:rFonts w:eastAsia="標楷體"/>
          <w:sz w:val="28"/>
          <w:szCs w:val="28"/>
        </w:rPr>
        <w:t>105</w:t>
      </w:r>
      <w:r w:rsidRPr="00D55DC6">
        <w:rPr>
          <w:rFonts w:eastAsia="標楷體"/>
          <w:sz w:val="28"/>
          <w:szCs w:val="28"/>
        </w:rPr>
        <w:t>年</w:t>
      </w:r>
      <w:r w:rsidRPr="00D55DC6">
        <w:rPr>
          <w:rFonts w:eastAsia="標楷體"/>
          <w:sz w:val="28"/>
          <w:szCs w:val="28"/>
        </w:rPr>
        <w:t>75</w:t>
      </w:r>
      <w:r w:rsidRPr="00D55DC6">
        <w:rPr>
          <w:rFonts w:eastAsia="標楷體"/>
          <w:sz w:val="28"/>
          <w:szCs w:val="28"/>
        </w:rPr>
        <w:t>萬人次成長至</w:t>
      </w:r>
      <w:r w:rsidRPr="00D55DC6">
        <w:rPr>
          <w:rFonts w:eastAsia="標楷體"/>
          <w:sz w:val="28"/>
          <w:szCs w:val="28"/>
        </w:rPr>
        <w:t>108</w:t>
      </w:r>
      <w:r w:rsidRPr="00D55DC6">
        <w:rPr>
          <w:rFonts w:eastAsia="標楷體"/>
          <w:sz w:val="28"/>
          <w:szCs w:val="28"/>
        </w:rPr>
        <w:t>年</w:t>
      </w:r>
      <w:r w:rsidRPr="00D55DC6">
        <w:rPr>
          <w:rFonts w:eastAsia="標楷體"/>
          <w:sz w:val="28"/>
          <w:szCs w:val="28"/>
        </w:rPr>
        <w:t>100</w:t>
      </w:r>
      <w:r w:rsidRPr="00D55DC6">
        <w:rPr>
          <w:rFonts w:eastAsia="標楷體"/>
          <w:sz w:val="28"/>
          <w:szCs w:val="28"/>
        </w:rPr>
        <w:t>萬人次，每年成長</w:t>
      </w:r>
      <w:r w:rsidRPr="00D55DC6">
        <w:rPr>
          <w:rFonts w:eastAsia="標楷體"/>
          <w:sz w:val="28"/>
          <w:szCs w:val="28"/>
        </w:rPr>
        <w:t>10</w:t>
      </w:r>
      <w:r w:rsidRPr="00D55DC6">
        <w:rPr>
          <w:rFonts w:eastAsia="標楷體"/>
          <w:sz w:val="28"/>
          <w:szCs w:val="28"/>
        </w:rPr>
        <w:t>％。</w:t>
      </w:r>
    </w:p>
    <w:p w:rsidR="000C5765" w:rsidRPr="00D55DC6" w:rsidRDefault="000C5765" w:rsidP="000C5765">
      <w:pPr>
        <w:pStyle w:val="af2"/>
        <w:snapToGrid w:val="0"/>
        <w:spacing w:line="460" w:lineRule="exact"/>
        <w:ind w:leftChars="0" w:left="1134"/>
        <w:jc w:val="both"/>
        <w:rPr>
          <w:rFonts w:eastAsia="標楷體"/>
          <w:sz w:val="28"/>
          <w:szCs w:val="28"/>
        </w:rPr>
      </w:pPr>
    </w:p>
    <w:p w:rsidR="000C5765" w:rsidRPr="00D55DC6" w:rsidRDefault="000C5765" w:rsidP="000C5765">
      <w:pPr>
        <w:pStyle w:val="af2"/>
        <w:snapToGrid w:val="0"/>
        <w:spacing w:line="460" w:lineRule="exact"/>
        <w:ind w:leftChars="0" w:left="1134"/>
        <w:jc w:val="both"/>
        <w:rPr>
          <w:rFonts w:eastAsia="標楷體"/>
          <w:sz w:val="28"/>
          <w:szCs w:val="28"/>
        </w:rPr>
      </w:pPr>
    </w:p>
    <w:p w:rsidR="00B6196A" w:rsidRPr="00D55DC6" w:rsidRDefault="00B6196A" w:rsidP="004865C1">
      <w:pPr>
        <w:pStyle w:val="af2"/>
        <w:numPr>
          <w:ilvl w:val="0"/>
          <w:numId w:val="127"/>
        </w:numPr>
        <w:snapToGrid w:val="0"/>
        <w:spacing w:line="460" w:lineRule="exact"/>
        <w:ind w:leftChars="0"/>
        <w:jc w:val="both"/>
        <w:rPr>
          <w:rFonts w:eastAsia="標楷體"/>
          <w:b/>
          <w:sz w:val="28"/>
          <w:szCs w:val="28"/>
        </w:rPr>
      </w:pPr>
      <w:r w:rsidRPr="00D55DC6">
        <w:rPr>
          <w:rFonts w:eastAsia="標楷體"/>
          <w:b/>
          <w:sz w:val="28"/>
          <w:szCs w:val="28"/>
        </w:rPr>
        <w:t>達成目標之限制</w:t>
      </w:r>
    </w:p>
    <w:p w:rsidR="00B6196A" w:rsidRPr="00D55DC6" w:rsidRDefault="00B6196A" w:rsidP="0038165F">
      <w:pPr>
        <w:snapToGrid w:val="0"/>
        <w:spacing w:line="460" w:lineRule="exact"/>
        <w:ind w:leftChars="176" w:left="705" w:hangingChars="101" w:hanging="283"/>
        <w:jc w:val="both"/>
        <w:rPr>
          <w:rFonts w:eastAsia="標楷體"/>
          <w:sz w:val="28"/>
          <w:szCs w:val="28"/>
        </w:rPr>
      </w:pPr>
      <w:r w:rsidRPr="00D55DC6">
        <w:rPr>
          <w:rFonts w:eastAsia="標楷體"/>
          <w:sz w:val="28"/>
          <w:szCs w:val="28"/>
        </w:rPr>
        <w:t>1.</w:t>
      </w:r>
      <w:r w:rsidRPr="00D55DC6">
        <w:t xml:space="preserve"> </w:t>
      </w:r>
      <w:r w:rsidRPr="00D55DC6">
        <w:rPr>
          <w:rFonts w:eastAsia="標楷體"/>
          <w:sz w:val="28"/>
          <w:szCs w:val="28"/>
        </w:rPr>
        <w:t>原住民地區開發限制</w:t>
      </w:r>
    </w:p>
    <w:p w:rsidR="00B6196A" w:rsidRPr="00D55DC6" w:rsidRDefault="00B6196A" w:rsidP="0038165F">
      <w:pPr>
        <w:snapToGrid w:val="0"/>
        <w:spacing w:line="460" w:lineRule="exact"/>
        <w:ind w:leftChars="176" w:left="705" w:hangingChars="101" w:hanging="283"/>
        <w:jc w:val="both"/>
        <w:rPr>
          <w:rFonts w:eastAsia="標楷體"/>
          <w:sz w:val="28"/>
          <w:szCs w:val="28"/>
        </w:rPr>
      </w:pPr>
      <w:r w:rsidRPr="00D55DC6">
        <w:rPr>
          <w:rFonts w:eastAsia="標楷體"/>
          <w:sz w:val="28"/>
          <w:szCs w:val="28"/>
        </w:rPr>
        <w:t xml:space="preserve">  </w:t>
      </w:r>
      <w:r w:rsidRPr="00D55DC6">
        <w:rPr>
          <w:rFonts w:eastAsia="標楷體"/>
          <w:sz w:val="28"/>
          <w:szCs w:val="28"/>
        </w:rPr>
        <w:t>本國家風景區部分據點位於原住民生活地區，原住民族基本法公布實施後，規定政府或私人於原住民族土地內從事土地開發、資源利用、生態保育及學術研究，均應諮詢並取得原住民族同意或參與，原住民得分享相關利益；</w:t>
      </w:r>
      <w:r w:rsidR="009B2D95" w:rsidRPr="00D55DC6">
        <w:rPr>
          <w:rFonts w:eastAsia="標楷體"/>
          <w:sz w:val="28"/>
          <w:szCs w:val="28"/>
        </w:rPr>
        <w:t>管理處</w:t>
      </w:r>
      <w:r w:rsidRPr="00D55DC6">
        <w:rPr>
          <w:rFonts w:eastAsia="標楷體"/>
          <w:sz w:val="28"/>
          <w:szCs w:val="28"/>
        </w:rPr>
        <w:t>因大部分轄管均涉及原住民地區或事務，已設立共管委員會調處相關事務，同時透過相關會議及地方說明會等，加強與其協調溝通，期能減少公共建設推動的阻力。</w:t>
      </w:r>
    </w:p>
    <w:p w:rsidR="00B6196A" w:rsidRPr="00D55DC6" w:rsidRDefault="00B6196A" w:rsidP="0038165F">
      <w:pPr>
        <w:snapToGrid w:val="0"/>
        <w:spacing w:line="460" w:lineRule="exact"/>
        <w:ind w:leftChars="177" w:left="848" w:hangingChars="151" w:hanging="423"/>
        <w:jc w:val="both"/>
        <w:rPr>
          <w:rFonts w:eastAsia="標楷體"/>
          <w:sz w:val="28"/>
          <w:szCs w:val="28"/>
        </w:rPr>
      </w:pPr>
      <w:r w:rsidRPr="00D55DC6">
        <w:rPr>
          <w:rFonts w:eastAsia="標楷體"/>
          <w:sz w:val="28"/>
          <w:szCs w:val="28"/>
        </w:rPr>
        <w:t>2.</w:t>
      </w:r>
      <w:r w:rsidRPr="00D55DC6">
        <w:t xml:space="preserve"> </w:t>
      </w:r>
      <w:r w:rsidRPr="00D55DC6">
        <w:rPr>
          <w:rFonts w:eastAsia="標楷體"/>
          <w:sz w:val="28"/>
          <w:szCs w:val="28"/>
        </w:rPr>
        <w:t>土地取得限制</w:t>
      </w:r>
    </w:p>
    <w:p w:rsidR="00B6196A" w:rsidRPr="00D55DC6" w:rsidRDefault="00B6196A" w:rsidP="0038165F">
      <w:pPr>
        <w:snapToGrid w:val="0"/>
        <w:spacing w:line="460" w:lineRule="exact"/>
        <w:ind w:leftChars="177" w:left="848" w:hangingChars="151" w:hanging="423"/>
        <w:jc w:val="both"/>
        <w:rPr>
          <w:rFonts w:eastAsia="標楷體"/>
          <w:sz w:val="28"/>
          <w:szCs w:val="28"/>
        </w:rPr>
      </w:pPr>
      <w:r w:rsidRPr="00D55DC6">
        <w:rPr>
          <w:rFonts w:eastAsia="標楷體"/>
          <w:sz w:val="28"/>
          <w:szCs w:val="28"/>
        </w:rPr>
        <w:t xml:space="preserve">   </w:t>
      </w:r>
      <w:r w:rsidRPr="00D55DC6">
        <w:rPr>
          <w:rFonts w:eastAsia="標楷體"/>
          <w:sz w:val="28"/>
          <w:szCs w:val="28"/>
        </w:rPr>
        <w:t>本國家風景區部分部分土地位處保護區、森林區、山坡地保育區或水源水質保護區，觀光設施開發受限，地權取得、地用變更耗時費力，延緩觀光建設期程</w:t>
      </w:r>
      <w:r w:rsidRPr="00D55DC6">
        <w:rPr>
          <w:sz w:val="28"/>
          <w:szCs w:val="28"/>
        </w:rPr>
        <w:t>，</w:t>
      </w:r>
      <w:r w:rsidRPr="00D55DC6">
        <w:rPr>
          <w:rFonts w:eastAsia="標楷體"/>
          <w:sz w:val="28"/>
          <w:szCs w:val="28"/>
        </w:rPr>
        <w:t>需提早規劃建設期程，並加強與相關主管機關溝通解決。</w:t>
      </w:r>
    </w:p>
    <w:p w:rsidR="00B6196A" w:rsidRPr="00D55DC6" w:rsidRDefault="00B6196A" w:rsidP="0038165F">
      <w:pPr>
        <w:snapToGrid w:val="0"/>
        <w:spacing w:line="460" w:lineRule="exact"/>
        <w:ind w:leftChars="177" w:left="848" w:hangingChars="151" w:hanging="423"/>
        <w:jc w:val="both"/>
        <w:rPr>
          <w:rFonts w:eastAsia="標楷體"/>
          <w:sz w:val="28"/>
          <w:szCs w:val="28"/>
        </w:rPr>
      </w:pPr>
      <w:r w:rsidRPr="00D55DC6">
        <w:rPr>
          <w:rFonts w:eastAsia="標楷體"/>
          <w:sz w:val="28"/>
          <w:szCs w:val="28"/>
        </w:rPr>
        <w:t xml:space="preserve">3. </w:t>
      </w:r>
      <w:r w:rsidRPr="00D55DC6">
        <w:rPr>
          <w:rFonts w:eastAsia="標楷體"/>
          <w:sz w:val="28"/>
          <w:szCs w:val="28"/>
        </w:rPr>
        <w:t>自然環境條件限制</w:t>
      </w:r>
    </w:p>
    <w:p w:rsidR="00B6196A" w:rsidRPr="00D55DC6" w:rsidRDefault="00B6196A" w:rsidP="0038165F">
      <w:pPr>
        <w:snapToGrid w:val="0"/>
        <w:spacing w:line="460" w:lineRule="exact"/>
        <w:ind w:leftChars="177" w:left="848" w:hangingChars="151" w:hanging="423"/>
        <w:jc w:val="both"/>
        <w:rPr>
          <w:rFonts w:eastAsia="標楷體"/>
          <w:sz w:val="28"/>
          <w:szCs w:val="28"/>
        </w:rPr>
      </w:pPr>
      <w:r w:rsidRPr="00D55DC6">
        <w:rPr>
          <w:rFonts w:eastAsia="標楷體"/>
          <w:sz w:val="28"/>
          <w:szCs w:val="28"/>
        </w:rPr>
        <w:t xml:space="preserve">   </w:t>
      </w:r>
      <w:r w:rsidRPr="00D55DC6">
        <w:rPr>
          <w:rFonts w:eastAsia="標楷體"/>
          <w:sz w:val="28"/>
          <w:szCs w:val="28"/>
        </w:rPr>
        <w:t>本國家風景區部分據點常因天候不佳而造成聯外交通中斷，或因聯外</w:t>
      </w:r>
      <w:r w:rsidRPr="00D55DC6">
        <w:rPr>
          <w:rFonts w:eastAsia="標楷體"/>
          <w:sz w:val="28"/>
          <w:szCs w:val="28"/>
        </w:rPr>
        <w:lastRenderedPageBreak/>
        <w:t>道路路幅狹小易受天災坍塌，進而影響遊客前往遊憩意願，或因據點地處偏遠地區，水源供應不足、缺乏污水處理設施等，均可能導致觀光發展受限。宜針對環境本質推動適宜性的規劃建設，並作適當的承載量之規劃及管制。</w:t>
      </w:r>
    </w:p>
    <w:p w:rsidR="00B6196A" w:rsidRPr="00D55DC6" w:rsidRDefault="00B6196A" w:rsidP="0038165F">
      <w:pPr>
        <w:snapToGrid w:val="0"/>
        <w:spacing w:line="460" w:lineRule="exact"/>
        <w:ind w:leftChars="177" w:left="848" w:hangingChars="151" w:hanging="423"/>
        <w:jc w:val="both"/>
        <w:rPr>
          <w:rFonts w:eastAsia="標楷體"/>
          <w:sz w:val="28"/>
          <w:szCs w:val="28"/>
        </w:rPr>
      </w:pPr>
      <w:r w:rsidRPr="00D55DC6">
        <w:rPr>
          <w:rFonts w:eastAsia="標楷體"/>
          <w:sz w:val="28"/>
          <w:szCs w:val="28"/>
        </w:rPr>
        <w:t>4.</w:t>
      </w:r>
      <w:r w:rsidRPr="00D55DC6">
        <w:t xml:space="preserve"> </w:t>
      </w:r>
      <w:r w:rsidRPr="00D55DC6">
        <w:rPr>
          <w:rFonts w:eastAsia="標楷體"/>
          <w:sz w:val="28"/>
          <w:szCs w:val="28"/>
        </w:rPr>
        <w:t>開發行為法規限制</w:t>
      </w:r>
    </w:p>
    <w:p w:rsidR="00B6196A" w:rsidRPr="00D55DC6" w:rsidRDefault="00B6196A" w:rsidP="0038165F">
      <w:pPr>
        <w:snapToGrid w:val="0"/>
        <w:spacing w:line="460" w:lineRule="exact"/>
        <w:ind w:leftChars="177" w:left="848" w:hangingChars="151" w:hanging="423"/>
        <w:jc w:val="both"/>
        <w:rPr>
          <w:rFonts w:eastAsia="標楷體"/>
          <w:sz w:val="28"/>
          <w:szCs w:val="28"/>
        </w:rPr>
      </w:pPr>
      <w:r w:rsidRPr="00D55DC6">
        <w:rPr>
          <w:rFonts w:eastAsia="標楷體"/>
          <w:sz w:val="28"/>
          <w:szCs w:val="28"/>
        </w:rPr>
        <w:t xml:space="preserve">   </w:t>
      </w:r>
      <w:r w:rsidRPr="00D55DC6">
        <w:rPr>
          <w:rFonts w:eastAsia="標楷體"/>
          <w:sz w:val="28"/>
          <w:szCs w:val="28"/>
        </w:rPr>
        <w:t>本國家風景區部分開發案需辦理都市計畫變更或環境影響評估，因審議過程繁複，時程較不易掌握，可能影響據點開發建設既定期程，應寬列計畫推動期程，並積極推動相關應辦事項。</w:t>
      </w:r>
    </w:p>
    <w:p w:rsidR="000C5765" w:rsidRPr="00D55DC6" w:rsidRDefault="000C5765" w:rsidP="0038165F">
      <w:pPr>
        <w:snapToGrid w:val="0"/>
        <w:spacing w:line="460" w:lineRule="exact"/>
        <w:ind w:leftChars="177" w:left="848" w:hangingChars="151" w:hanging="423"/>
        <w:jc w:val="both"/>
        <w:rPr>
          <w:rFonts w:eastAsia="標楷體"/>
          <w:sz w:val="28"/>
          <w:szCs w:val="28"/>
        </w:rPr>
      </w:pPr>
    </w:p>
    <w:p w:rsidR="000C5765" w:rsidRPr="00D55DC6" w:rsidRDefault="000C5765" w:rsidP="0038165F">
      <w:pPr>
        <w:snapToGrid w:val="0"/>
        <w:spacing w:line="460" w:lineRule="exact"/>
        <w:ind w:leftChars="177" w:left="848" w:hangingChars="151" w:hanging="423"/>
        <w:jc w:val="both"/>
        <w:rPr>
          <w:rFonts w:eastAsia="標楷體"/>
          <w:sz w:val="28"/>
          <w:szCs w:val="28"/>
        </w:rPr>
      </w:pPr>
    </w:p>
    <w:p w:rsidR="00B6196A" w:rsidRPr="00D55DC6" w:rsidRDefault="00B6196A" w:rsidP="004865C1">
      <w:pPr>
        <w:pStyle w:val="af2"/>
        <w:numPr>
          <w:ilvl w:val="0"/>
          <w:numId w:val="127"/>
        </w:numPr>
        <w:snapToGrid w:val="0"/>
        <w:spacing w:line="460" w:lineRule="exact"/>
        <w:ind w:leftChars="0"/>
        <w:jc w:val="both"/>
        <w:rPr>
          <w:rFonts w:eastAsia="標楷體"/>
          <w:b/>
          <w:sz w:val="28"/>
          <w:szCs w:val="28"/>
        </w:rPr>
      </w:pPr>
      <w:r w:rsidRPr="00D55DC6">
        <w:rPr>
          <w:rFonts w:eastAsia="標楷體"/>
          <w:b/>
          <w:sz w:val="28"/>
          <w:szCs w:val="28"/>
        </w:rPr>
        <w:t>績效指標、衡量標準及目標值</w:t>
      </w:r>
    </w:p>
    <w:tbl>
      <w:tblPr>
        <w:tblW w:w="7746"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5"/>
        <w:gridCol w:w="2127"/>
        <w:gridCol w:w="865"/>
        <w:gridCol w:w="868"/>
        <w:gridCol w:w="865"/>
        <w:gridCol w:w="865"/>
        <w:gridCol w:w="865"/>
        <w:gridCol w:w="866"/>
      </w:tblGrid>
      <w:tr w:rsidR="001D0350" w:rsidRPr="00D55DC6" w:rsidTr="008D5222">
        <w:trPr>
          <w:trHeight w:val="345"/>
          <w:tblHeader/>
        </w:trPr>
        <w:tc>
          <w:tcPr>
            <w:tcW w:w="425" w:type="dxa"/>
            <w:vMerge w:val="restart"/>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項目</w:t>
            </w:r>
          </w:p>
        </w:tc>
        <w:tc>
          <w:tcPr>
            <w:tcW w:w="2127" w:type="dxa"/>
            <w:vMerge w:val="restart"/>
            <w:vAlign w:val="center"/>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衡量指標</w:t>
            </w:r>
          </w:p>
        </w:tc>
        <w:tc>
          <w:tcPr>
            <w:tcW w:w="1733" w:type="dxa"/>
            <w:gridSpan w:val="2"/>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衡量基準</w:t>
            </w:r>
          </w:p>
        </w:tc>
        <w:tc>
          <w:tcPr>
            <w:tcW w:w="3461" w:type="dxa"/>
            <w:gridSpan w:val="4"/>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預期目標值</w:t>
            </w:r>
          </w:p>
        </w:tc>
      </w:tr>
      <w:tr w:rsidR="001D0350" w:rsidRPr="00D55DC6" w:rsidTr="008D5222">
        <w:trPr>
          <w:trHeight w:val="345"/>
          <w:tblHeader/>
        </w:trPr>
        <w:tc>
          <w:tcPr>
            <w:tcW w:w="425" w:type="dxa"/>
            <w:vMerge/>
          </w:tcPr>
          <w:p w:rsidR="00B6196A" w:rsidRPr="00D55DC6" w:rsidRDefault="00B6196A" w:rsidP="0038165F">
            <w:pPr>
              <w:widowControl/>
              <w:spacing w:line="460" w:lineRule="exact"/>
              <w:jc w:val="center"/>
              <w:rPr>
                <w:rFonts w:eastAsia="標楷體"/>
                <w:kern w:val="0"/>
                <w:sz w:val="28"/>
                <w:szCs w:val="28"/>
              </w:rPr>
            </w:pPr>
          </w:p>
        </w:tc>
        <w:tc>
          <w:tcPr>
            <w:tcW w:w="2127" w:type="dxa"/>
            <w:vMerge/>
            <w:vAlign w:val="center"/>
          </w:tcPr>
          <w:p w:rsidR="00B6196A" w:rsidRPr="00D55DC6" w:rsidRDefault="00B6196A" w:rsidP="0038165F">
            <w:pPr>
              <w:widowControl/>
              <w:spacing w:line="460" w:lineRule="exact"/>
              <w:rPr>
                <w:rFonts w:eastAsia="標楷體"/>
                <w:kern w:val="0"/>
                <w:sz w:val="28"/>
                <w:szCs w:val="28"/>
              </w:rPr>
            </w:pPr>
          </w:p>
        </w:tc>
        <w:tc>
          <w:tcPr>
            <w:tcW w:w="865" w:type="dxa"/>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102</w:t>
            </w:r>
            <w:r w:rsidRPr="00D55DC6">
              <w:rPr>
                <w:rFonts w:eastAsia="標楷體"/>
                <w:kern w:val="0"/>
                <w:sz w:val="28"/>
                <w:szCs w:val="28"/>
              </w:rPr>
              <w:t>年</w:t>
            </w:r>
          </w:p>
        </w:tc>
        <w:tc>
          <w:tcPr>
            <w:tcW w:w="868" w:type="dxa"/>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103</w:t>
            </w:r>
            <w:r w:rsidRPr="00D55DC6">
              <w:rPr>
                <w:rFonts w:eastAsia="標楷體"/>
                <w:kern w:val="0"/>
                <w:sz w:val="28"/>
                <w:szCs w:val="28"/>
              </w:rPr>
              <w:t>年</w:t>
            </w:r>
          </w:p>
        </w:tc>
        <w:tc>
          <w:tcPr>
            <w:tcW w:w="865" w:type="dxa"/>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105</w:t>
            </w:r>
            <w:r w:rsidRPr="00D55DC6">
              <w:rPr>
                <w:rFonts w:eastAsia="標楷體"/>
                <w:kern w:val="0"/>
                <w:sz w:val="28"/>
                <w:szCs w:val="28"/>
              </w:rPr>
              <w:t>年</w:t>
            </w:r>
          </w:p>
        </w:tc>
        <w:tc>
          <w:tcPr>
            <w:tcW w:w="865" w:type="dxa"/>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106</w:t>
            </w:r>
            <w:r w:rsidRPr="00D55DC6">
              <w:rPr>
                <w:rFonts w:eastAsia="標楷體"/>
                <w:kern w:val="0"/>
                <w:sz w:val="28"/>
                <w:szCs w:val="28"/>
              </w:rPr>
              <w:t>年</w:t>
            </w:r>
          </w:p>
        </w:tc>
        <w:tc>
          <w:tcPr>
            <w:tcW w:w="865" w:type="dxa"/>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107</w:t>
            </w:r>
            <w:r w:rsidRPr="00D55DC6">
              <w:rPr>
                <w:rFonts w:eastAsia="標楷體"/>
                <w:kern w:val="0"/>
                <w:sz w:val="28"/>
                <w:szCs w:val="28"/>
              </w:rPr>
              <w:t>年</w:t>
            </w:r>
          </w:p>
        </w:tc>
        <w:tc>
          <w:tcPr>
            <w:tcW w:w="866" w:type="dxa"/>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108</w:t>
            </w:r>
            <w:r w:rsidRPr="00D55DC6">
              <w:rPr>
                <w:rFonts w:eastAsia="標楷體"/>
                <w:kern w:val="0"/>
                <w:sz w:val="28"/>
                <w:szCs w:val="28"/>
              </w:rPr>
              <w:t>年</w:t>
            </w:r>
          </w:p>
        </w:tc>
      </w:tr>
      <w:tr w:rsidR="001D0350" w:rsidRPr="00D55DC6" w:rsidTr="008D5222">
        <w:trPr>
          <w:trHeight w:val="675"/>
        </w:trPr>
        <w:tc>
          <w:tcPr>
            <w:tcW w:w="425" w:type="dxa"/>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1</w:t>
            </w:r>
          </w:p>
        </w:tc>
        <w:tc>
          <w:tcPr>
            <w:tcW w:w="2127" w:type="dxa"/>
          </w:tcPr>
          <w:p w:rsidR="00B6196A" w:rsidRPr="00D55DC6" w:rsidRDefault="00B6196A" w:rsidP="0038165F">
            <w:pPr>
              <w:widowControl/>
              <w:spacing w:line="460" w:lineRule="exact"/>
              <w:jc w:val="both"/>
              <w:rPr>
                <w:rFonts w:eastAsia="標楷體"/>
                <w:kern w:val="0"/>
                <w:sz w:val="28"/>
                <w:szCs w:val="28"/>
              </w:rPr>
            </w:pPr>
            <w:r w:rsidRPr="00D55DC6">
              <w:rPr>
                <w:rFonts w:eastAsia="標楷體"/>
                <w:kern w:val="0"/>
                <w:sz w:val="28"/>
                <w:szCs w:val="28"/>
              </w:rPr>
              <w:t>重要觀光景點建設完成數</w:t>
            </w:r>
            <w:r w:rsidRPr="00D55DC6">
              <w:rPr>
                <w:rFonts w:eastAsia="標楷體"/>
                <w:kern w:val="0"/>
                <w:sz w:val="28"/>
                <w:szCs w:val="28"/>
              </w:rPr>
              <w:t>(</w:t>
            </w:r>
            <w:r w:rsidRPr="00D55DC6">
              <w:rPr>
                <w:rFonts w:eastAsia="標楷體"/>
                <w:kern w:val="0"/>
                <w:sz w:val="28"/>
                <w:szCs w:val="28"/>
              </w:rPr>
              <w:t>處</w:t>
            </w:r>
            <w:r w:rsidRPr="00D55DC6">
              <w:rPr>
                <w:rFonts w:eastAsia="標楷體"/>
                <w:kern w:val="0"/>
                <w:sz w:val="28"/>
                <w:szCs w:val="28"/>
              </w:rPr>
              <w:t>)</w:t>
            </w:r>
          </w:p>
        </w:tc>
        <w:tc>
          <w:tcPr>
            <w:tcW w:w="865" w:type="dxa"/>
            <w:vAlign w:val="center"/>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3</w:t>
            </w:r>
          </w:p>
        </w:tc>
        <w:tc>
          <w:tcPr>
            <w:tcW w:w="868" w:type="dxa"/>
            <w:vAlign w:val="center"/>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4</w:t>
            </w:r>
          </w:p>
        </w:tc>
        <w:tc>
          <w:tcPr>
            <w:tcW w:w="865" w:type="dxa"/>
            <w:vAlign w:val="center"/>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2</w:t>
            </w:r>
          </w:p>
        </w:tc>
        <w:tc>
          <w:tcPr>
            <w:tcW w:w="865" w:type="dxa"/>
            <w:vAlign w:val="center"/>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1</w:t>
            </w:r>
          </w:p>
        </w:tc>
        <w:tc>
          <w:tcPr>
            <w:tcW w:w="865" w:type="dxa"/>
            <w:vAlign w:val="center"/>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3</w:t>
            </w:r>
          </w:p>
        </w:tc>
        <w:tc>
          <w:tcPr>
            <w:tcW w:w="866" w:type="dxa"/>
            <w:vAlign w:val="center"/>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2</w:t>
            </w:r>
          </w:p>
        </w:tc>
      </w:tr>
      <w:tr w:rsidR="001D0350" w:rsidRPr="00D55DC6" w:rsidTr="008D5222">
        <w:trPr>
          <w:trHeight w:val="675"/>
        </w:trPr>
        <w:tc>
          <w:tcPr>
            <w:tcW w:w="425" w:type="dxa"/>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2</w:t>
            </w:r>
          </w:p>
        </w:tc>
        <w:tc>
          <w:tcPr>
            <w:tcW w:w="2127" w:type="dxa"/>
          </w:tcPr>
          <w:p w:rsidR="00B6196A" w:rsidRPr="00D55DC6" w:rsidRDefault="00B6196A" w:rsidP="0038165F">
            <w:pPr>
              <w:widowControl/>
              <w:spacing w:line="460" w:lineRule="exact"/>
              <w:jc w:val="both"/>
              <w:rPr>
                <w:rFonts w:eastAsia="標楷體"/>
                <w:kern w:val="0"/>
                <w:sz w:val="28"/>
                <w:szCs w:val="28"/>
              </w:rPr>
            </w:pPr>
            <w:r w:rsidRPr="00D55DC6">
              <w:rPr>
                <w:rFonts w:eastAsia="標楷體"/>
                <w:kern w:val="0"/>
                <w:sz w:val="28"/>
                <w:szCs w:val="28"/>
              </w:rPr>
              <w:t>參訪國家風景區遊客人數</w:t>
            </w:r>
            <w:r w:rsidRPr="00D55DC6">
              <w:rPr>
                <w:rFonts w:eastAsia="標楷體"/>
                <w:kern w:val="0"/>
                <w:sz w:val="28"/>
                <w:szCs w:val="28"/>
              </w:rPr>
              <w:t>(</w:t>
            </w:r>
            <w:r w:rsidRPr="00D55DC6">
              <w:rPr>
                <w:rFonts w:eastAsia="標楷體"/>
                <w:kern w:val="0"/>
                <w:sz w:val="28"/>
                <w:szCs w:val="28"/>
              </w:rPr>
              <w:t>萬人</w:t>
            </w:r>
            <w:r w:rsidRPr="00D55DC6">
              <w:rPr>
                <w:rFonts w:eastAsia="標楷體"/>
                <w:kern w:val="0"/>
                <w:sz w:val="28"/>
                <w:szCs w:val="28"/>
              </w:rPr>
              <w:t xml:space="preserve">) </w:t>
            </w:r>
          </w:p>
        </w:tc>
        <w:tc>
          <w:tcPr>
            <w:tcW w:w="865" w:type="dxa"/>
            <w:vAlign w:val="center"/>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62</w:t>
            </w:r>
          </w:p>
        </w:tc>
        <w:tc>
          <w:tcPr>
            <w:tcW w:w="868" w:type="dxa"/>
            <w:vAlign w:val="center"/>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69</w:t>
            </w:r>
          </w:p>
        </w:tc>
        <w:tc>
          <w:tcPr>
            <w:tcW w:w="865" w:type="dxa"/>
            <w:vAlign w:val="center"/>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75</w:t>
            </w:r>
          </w:p>
        </w:tc>
        <w:tc>
          <w:tcPr>
            <w:tcW w:w="865" w:type="dxa"/>
            <w:vAlign w:val="center"/>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82</w:t>
            </w:r>
          </w:p>
        </w:tc>
        <w:tc>
          <w:tcPr>
            <w:tcW w:w="865" w:type="dxa"/>
            <w:vAlign w:val="center"/>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91</w:t>
            </w:r>
          </w:p>
        </w:tc>
        <w:tc>
          <w:tcPr>
            <w:tcW w:w="866" w:type="dxa"/>
            <w:vAlign w:val="center"/>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100</w:t>
            </w:r>
          </w:p>
        </w:tc>
      </w:tr>
      <w:tr w:rsidR="001D0350" w:rsidRPr="00D55DC6" w:rsidTr="008D5222">
        <w:trPr>
          <w:trHeight w:val="675"/>
        </w:trPr>
        <w:tc>
          <w:tcPr>
            <w:tcW w:w="425" w:type="dxa"/>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3</w:t>
            </w:r>
          </w:p>
        </w:tc>
        <w:tc>
          <w:tcPr>
            <w:tcW w:w="2127" w:type="dxa"/>
          </w:tcPr>
          <w:p w:rsidR="00B6196A" w:rsidRPr="00D55DC6" w:rsidRDefault="00B6196A" w:rsidP="00E6747C">
            <w:pPr>
              <w:widowControl/>
              <w:spacing w:line="460" w:lineRule="exact"/>
              <w:jc w:val="both"/>
              <w:rPr>
                <w:rFonts w:eastAsia="標楷體"/>
                <w:kern w:val="0"/>
                <w:sz w:val="28"/>
                <w:szCs w:val="28"/>
              </w:rPr>
            </w:pPr>
            <w:r w:rsidRPr="00D55DC6">
              <w:rPr>
                <w:rFonts w:eastAsia="標楷體"/>
                <w:kern w:val="0"/>
                <w:sz w:val="28"/>
                <w:szCs w:val="28"/>
              </w:rPr>
              <w:t>觀光產值（億元）</w:t>
            </w:r>
          </w:p>
        </w:tc>
        <w:tc>
          <w:tcPr>
            <w:tcW w:w="865" w:type="dxa"/>
            <w:vAlign w:val="center"/>
          </w:tcPr>
          <w:p w:rsidR="00B6196A" w:rsidRPr="00D55DC6" w:rsidRDefault="00B6196A" w:rsidP="0038165F">
            <w:pPr>
              <w:widowControl/>
              <w:spacing w:line="460" w:lineRule="exact"/>
              <w:jc w:val="center"/>
              <w:rPr>
                <w:rFonts w:eastAsia="標楷體"/>
                <w:kern w:val="0"/>
                <w:sz w:val="28"/>
                <w:szCs w:val="28"/>
              </w:rPr>
            </w:pPr>
            <w:r w:rsidRPr="00D55DC6">
              <w:rPr>
                <w:rFonts w:eastAsia="標楷體"/>
                <w:kern w:val="0"/>
                <w:sz w:val="28"/>
                <w:szCs w:val="28"/>
              </w:rPr>
              <w:t>10.53</w:t>
            </w:r>
          </w:p>
        </w:tc>
        <w:tc>
          <w:tcPr>
            <w:tcW w:w="868" w:type="dxa"/>
            <w:vAlign w:val="center"/>
          </w:tcPr>
          <w:p w:rsidR="00B6196A" w:rsidRPr="00D55DC6" w:rsidRDefault="00B6196A" w:rsidP="0038165F">
            <w:pPr>
              <w:widowControl/>
              <w:spacing w:line="460" w:lineRule="exact"/>
              <w:jc w:val="center"/>
              <w:rPr>
                <w:rFonts w:eastAsia="標楷體"/>
                <w:kern w:val="0"/>
              </w:rPr>
            </w:pPr>
            <w:r w:rsidRPr="00D55DC6">
              <w:rPr>
                <w:rFonts w:eastAsia="標楷體"/>
                <w:kern w:val="0"/>
              </w:rPr>
              <w:t>11.73</w:t>
            </w:r>
          </w:p>
        </w:tc>
        <w:tc>
          <w:tcPr>
            <w:tcW w:w="865" w:type="dxa"/>
            <w:vAlign w:val="center"/>
          </w:tcPr>
          <w:p w:rsidR="00B6196A" w:rsidRPr="00D55DC6" w:rsidRDefault="00B6196A" w:rsidP="0038165F">
            <w:pPr>
              <w:widowControl/>
              <w:spacing w:line="460" w:lineRule="exact"/>
              <w:jc w:val="center"/>
              <w:rPr>
                <w:rFonts w:eastAsia="標楷體"/>
                <w:kern w:val="0"/>
              </w:rPr>
            </w:pPr>
            <w:r w:rsidRPr="00D55DC6">
              <w:rPr>
                <w:rFonts w:eastAsia="標楷體"/>
                <w:kern w:val="0"/>
              </w:rPr>
              <w:t>12.75</w:t>
            </w:r>
          </w:p>
        </w:tc>
        <w:tc>
          <w:tcPr>
            <w:tcW w:w="865" w:type="dxa"/>
            <w:vAlign w:val="center"/>
          </w:tcPr>
          <w:p w:rsidR="00B6196A" w:rsidRPr="00D55DC6" w:rsidRDefault="00B6196A" w:rsidP="0038165F">
            <w:pPr>
              <w:widowControl/>
              <w:spacing w:line="460" w:lineRule="exact"/>
              <w:jc w:val="center"/>
              <w:rPr>
                <w:rFonts w:eastAsia="標楷體"/>
                <w:kern w:val="0"/>
              </w:rPr>
            </w:pPr>
            <w:r w:rsidRPr="00D55DC6">
              <w:rPr>
                <w:rFonts w:eastAsia="標楷體"/>
                <w:kern w:val="0"/>
              </w:rPr>
              <w:t>13.93</w:t>
            </w:r>
          </w:p>
        </w:tc>
        <w:tc>
          <w:tcPr>
            <w:tcW w:w="865" w:type="dxa"/>
            <w:vAlign w:val="center"/>
          </w:tcPr>
          <w:p w:rsidR="00B6196A" w:rsidRPr="00D55DC6" w:rsidRDefault="00B6196A" w:rsidP="0038165F">
            <w:pPr>
              <w:widowControl/>
              <w:spacing w:line="460" w:lineRule="exact"/>
              <w:jc w:val="center"/>
              <w:rPr>
                <w:rFonts w:eastAsia="標楷體"/>
                <w:kern w:val="0"/>
              </w:rPr>
            </w:pPr>
            <w:r w:rsidRPr="00D55DC6">
              <w:rPr>
                <w:rFonts w:eastAsia="標楷體"/>
                <w:kern w:val="0"/>
              </w:rPr>
              <w:t>15.47</w:t>
            </w:r>
          </w:p>
        </w:tc>
        <w:tc>
          <w:tcPr>
            <w:tcW w:w="866" w:type="dxa"/>
            <w:vAlign w:val="center"/>
          </w:tcPr>
          <w:p w:rsidR="00B6196A" w:rsidRPr="00D55DC6" w:rsidRDefault="00B6196A" w:rsidP="0038165F">
            <w:pPr>
              <w:widowControl/>
              <w:spacing w:line="460" w:lineRule="exact"/>
              <w:jc w:val="center"/>
              <w:rPr>
                <w:rFonts w:eastAsia="標楷體"/>
                <w:kern w:val="0"/>
              </w:rPr>
            </w:pPr>
            <w:r w:rsidRPr="00D55DC6">
              <w:rPr>
                <w:rFonts w:eastAsia="標楷體"/>
                <w:kern w:val="0"/>
              </w:rPr>
              <w:t>17.00</w:t>
            </w:r>
          </w:p>
        </w:tc>
      </w:tr>
      <w:tr w:rsidR="001D0350" w:rsidRPr="00D55DC6" w:rsidTr="008D5222">
        <w:trPr>
          <w:trHeight w:val="675"/>
        </w:trPr>
        <w:tc>
          <w:tcPr>
            <w:tcW w:w="425" w:type="dxa"/>
          </w:tcPr>
          <w:p w:rsidR="00E6747C" w:rsidRPr="00D55DC6" w:rsidRDefault="00E6747C" w:rsidP="0038165F">
            <w:pPr>
              <w:widowControl/>
              <w:spacing w:line="460" w:lineRule="exact"/>
              <w:jc w:val="center"/>
              <w:rPr>
                <w:rFonts w:eastAsia="標楷體"/>
                <w:kern w:val="0"/>
                <w:sz w:val="28"/>
                <w:szCs w:val="28"/>
              </w:rPr>
            </w:pPr>
            <w:r w:rsidRPr="00D55DC6">
              <w:rPr>
                <w:rFonts w:eastAsia="標楷體"/>
                <w:kern w:val="0"/>
                <w:sz w:val="28"/>
                <w:szCs w:val="28"/>
              </w:rPr>
              <w:t>4</w:t>
            </w:r>
          </w:p>
        </w:tc>
        <w:tc>
          <w:tcPr>
            <w:tcW w:w="2127" w:type="dxa"/>
          </w:tcPr>
          <w:p w:rsidR="00E6747C" w:rsidRPr="00D55DC6" w:rsidRDefault="00E6747C" w:rsidP="00E6747C">
            <w:pPr>
              <w:widowControl/>
              <w:spacing w:line="460" w:lineRule="exact"/>
              <w:jc w:val="both"/>
              <w:rPr>
                <w:rFonts w:eastAsia="標楷體"/>
                <w:kern w:val="0"/>
                <w:sz w:val="28"/>
                <w:szCs w:val="28"/>
              </w:rPr>
            </w:pPr>
            <w:r w:rsidRPr="00D55DC6">
              <w:rPr>
                <w:rFonts w:eastAsia="標楷體"/>
                <w:kern w:val="0"/>
                <w:sz w:val="28"/>
                <w:szCs w:val="28"/>
              </w:rPr>
              <w:t>性別友善設施完成數</w:t>
            </w:r>
            <w:r w:rsidRPr="00D55DC6">
              <w:rPr>
                <w:rFonts w:eastAsia="標楷體"/>
                <w:kern w:val="0"/>
                <w:sz w:val="28"/>
                <w:szCs w:val="28"/>
              </w:rPr>
              <w:t>(</w:t>
            </w:r>
            <w:r w:rsidRPr="00D55DC6">
              <w:rPr>
                <w:rFonts w:eastAsia="標楷體"/>
                <w:kern w:val="0"/>
                <w:sz w:val="28"/>
                <w:szCs w:val="28"/>
              </w:rPr>
              <w:t>處</w:t>
            </w:r>
            <w:r w:rsidRPr="00D55DC6">
              <w:rPr>
                <w:rFonts w:eastAsia="標楷體"/>
                <w:kern w:val="0"/>
                <w:sz w:val="28"/>
                <w:szCs w:val="28"/>
              </w:rPr>
              <w:t>)</w:t>
            </w:r>
          </w:p>
        </w:tc>
        <w:tc>
          <w:tcPr>
            <w:tcW w:w="865" w:type="dxa"/>
            <w:vAlign w:val="center"/>
          </w:tcPr>
          <w:p w:rsidR="00E6747C" w:rsidRPr="00D55DC6" w:rsidRDefault="00E852D0" w:rsidP="0038165F">
            <w:pPr>
              <w:widowControl/>
              <w:spacing w:line="460" w:lineRule="exact"/>
              <w:jc w:val="center"/>
              <w:rPr>
                <w:rFonts w:eastAsia="標楷體"/>
                <w:kern w:val="0"/>
                <w:sz w:val="28"/>
                <w:szCs w:val="28"/>
              </w:rPr>
            </w:pPr>
            <w:r w:rsidRPr="00D55DC6">
              <w:rPr>
                <w:rFonts w:eastAsia="標楷體"/>
                <w:kern w:val="0"/>
                <w:sz w:val="28"/>
                <w:szCs w:val="28"/>
              </w:rPr>
              <w:t>0</w:t>
            </w:r>
          </w:p>
        </w:tc>
        <w:tc>
          <w:tcPr>
            <w:tcW w:w="868" w:type="dxa"/>
            <w:vAlign w:val="center"/>
          </w:tcPr>
          <w:p w:rsidR="00E6747C" w:rsidRPr="00D55DC6" w:rsidRDefault="00E852D0" w:rsidP="0038165F">
            <w:pPr>
              <w:widowControl/>
              <w:spacing w:line="460" w:lineRule="exact"/>
              <w:jc w:val="center"/>
              <w:rPr>
                <w:rFonts w:eastAsia="標楷體"/>
                <w:kern w:val="0"/>
              </w:rPr>
            </w:pPr>
            <w:r w:rsidRPr="00D55DC6">
              <w:rPr>
                <w:rFonts w:eastAsia="標楷體"/>
                <w:kern w:val="0"/>
              </w:rPr>
              <w:t>0</w:t>
            </w:r>
          </w:p>
        </w:tc>
        <w:tc>
          <w:tcPr>
            <w:tcW w:w="865" w:type="dxa"/>
            <w:vAlign w:val="center"/>
          </w:tcPr>
          <w:p w:rsidR="00E6747C" w:rsidRPr="00D55DC6" w:rsidRDefault="00E852D0" w:rsidP="0038165F">
            <w:pPr>
              <w:widowControl/>
              <w:spacing w:line="460" w:lineRule="exact"/>
              <w:jc w:val="center"/>
              <w:rPr>
                <w:rFonts w:eastAsia="標楷體"/>
                <w:kern w:val="0"/>
              </w:rPr>
            </w:pPr>
            <w:r w:rsidRPr="00D55DC6">
              <w:rPr>
                <w:rFonts w:eastAsia="標楷體"/>
                <w:kern w:val="0"/>
              </w:rPr>
              <w:t>1</w:t>
            </w:r>
          </w:p>
        </w:tc>
        <w:tc>
          <w:tcPr>
            <w:tcW w:w="865" w:type="dxa"/>
            <w:vAlign w:val="center"/>
          </w:tcPr>
          <w:p w:rsidR="00E6747C" w:rsidRPr="00D55DC6" w:rsidRDefault="00E852D0" w:rsidP="0038165F">
            <w:pPr>
              <w:widowControl/>
              <w:spacing w:line="460" w:lineRule="exact"/>
              <w:jc w:val="center"/>
              <w:rPr>
                <w:rFonts w:eastAsia="標楷體"/>
                <w:kern w:val="0"/>
              </w:rPr>
            </w:pPr>
            <w:r w:rsidRPr="00D55DC6">
              <w:rPr>
                <w:rFonts w:eastAsia="標楷體"/>
                <w:kern w:val="0"/>
              </w:rPr>
              <w:t>1</w:t>
            </w:r>
          </w:p>
        </w:tc>
        <w:tc>
          <w:tcPr>
            <w:tcW w:w="865" w:type="dxa"/>
            <w:vAlign w:val="center"/>
          </w:tcPr>
          <w:p w:rsidR="00E6747C" w:rsidRPr="00D55DC6" w:rsidRDefault="00E852D0" w:rsidP="0038165F">
            <w:pPr>
              <w:widowControl/>
              <w:spacing w:line="460" w:lineRule="exact"/>
              <w:jc w:val="center"/>
              <w:rPr>
                <w:rFonts w:eastAsia="標楷體"/>
                <w:kern w:val="0"/>
              </w:rPr>
            </w:pPr>
            <w:r w:rsidRPr="00D55DC6">
              <w:rPr>
                <w:rFonts w:eastAsia="標楷體"/>
                <w:kern w:val="0"/>
              </w:rPr>
              <w:t>1</w:t>
            </w:r>
          </w:p>
        </w:tc>
        <w:tc>
          <w:tcPr>
            <w:tcW w:w="866" w:type="dxa"/>
            <w:vAlign w:val="center"/>
          </w:tcPr>
          <w:p w:rsidR="00E6747C" w:rsidRPr="00D55DC6" w:rsidRDefault="00E852D0" w:rsidP="0038165F">
            <w:pPr>
              <w:widowControl/>
              <w:spacing w:line="460" w:lineRule="exact"/>
              <w:jc w:val="center"/>
              <w:rPr>
                <w:rFonts w:eastAsia="標楷體"/>
                <w:kern w:val="0"/>
              </w:rPr>
            </w:pPr>
            <w:r w:rsidRPr="00D55DC6">
              <w:rPr>
                <w:rFonts w:eastAsia="標楷體"/>
                <w:kern w:val="0"/>
              </w:rPr>
              <w:t>1</w:t>
            </w:r>
          </w:p>
        </w:tc>
      </w:tr>
      <w:tr w:rsidR="002F5D4E" w:rsidRPr="00D55DC6" w:rsidTr="008D5222">
        <w:trPr>
          <w:trHeight w:val="675"/>
        </w:trPr>
        <w:tc>
          <w:tcPr>
            <w:tcW w:w="425" w:type="dxa"/>
          </w:tcPr>
          <w:p w:rsidR="002F5D4E" w:rsidRPr="00D55DC6" w:rsidRDefault="002F5D4E" w:rsidP="0038165F">
            <w:pPr>
              <w:widowControl/>
              <w:spacing w:line="460" w:lineRule="exact"/>
              <w:jc w:val="center"/>
              <w:rPr>
                <w:rFonts w:eastAsia="標楷體"/>
                <w:kern w:val="0"/>
                <w:sz w:val="28"/>
                <w:szCs w:val="28"/>
              </w:rPr>
            </w:pPr>
            <w:r w:rsidRPr="00D55DC6">
              <w:rPr>
                <w:rFonts w:eastAsia="標楷體"/>
                <w:kern w:val="0"/>
                <w:sz w:val="28"/>
                <w:szCs w:val="28"/>
              </w:rPr>
              <w:t>5</w:t>
            </w:r>
          </w:p>
        </w:tc>
        <w:tc>
          <w:tcPr>
            <w:tcW w:w="2127" w:type="dxa"/>
          </w:tcPr>
          <w:p w:rsidR="002F5D4E" w:rsidRPr="00D55DC6" w:rsidRDefault="005C51C2" w:rsidP="00E6747C">
            <w:pPr>
              <w:widowControl/>
              <w:spacing w:line="460" w:lineRule="exact"/>
              <w:jc w:val="both"/>
              <w:rPr>
                <w:rFonts w:eastAsia="標楷體"/>
                <w:kern w:val="0"/>
                <w:sz w:val="28"/>
                <w:szCs w:val="28"/>
              </w:rPr>
            </w:pPr>
            <w:r w:rsidRPr="00D55DC6">
              <w:rPr>
                <w:rFonts w:eastAsia="標楷體"/>
                <w:kern w:val="0"/>
                <w:sz w:val="28"/>
                <w:szCs w:val="28"/>
              </w:rPr>
              <w:t>轄區經管設施公共意外責任險確</w:t>
            </w:r>
            <w:r w:rsidRPr="00D55DC6">
              <w:rPr>
                <w:rFonts w:eastAsia="標楷體" w:hint="eastAsia"/>
                <w:kern w:val="0"/>
                <w:sz w:val="28"/>
                <w:szCs w:val="28"/>
              </w:rPr>
              <w:t>定</w:t>
            </w:r>
            <w:r w:rsidR="002F5D4E" w:rsidRPr="00D55DC6">
              <w:rPr>
                <w:rFonts w:eastAsia="標楷體"/>
                <w:kern w:val="0"/>
                <w:sz w:val="28"/>
                <w:szCs w:val="28"/>
              </w:rPr>
              <w:t>理賠件數上限（件）</w:t>
            </w:r>
          </w:p>
        </w:tc>
        <w:tc>
          <w:tcPr>
            <w:tcW w:w="865" w:type="dxa"/>
            <w:vAlign w:val="center"/>
          </w:tcPr>
          <w:p w:rsidR="002F5D4E" w:rsidRPr="00D55DC6" w:rsidRDefault="002F5D4E">
            <w:pPr>
              <w:jc w:val="center"/>
              <w:rPr>
                <w:rFonts w:ascii="新細明體" w:hAnsi="新細明體" w:cs="新細明體"/>
                <w:sz w:val="28"/>
              </w:rPr>
            </w:pPr>
            <w:r w:rsidRPr="00D55DC6">
              <w:rPr>
                <w:rFonts w:hint="eastAsia"/>
                <w:sz w:val="28"/>
              </w:rPr>
              <w:t>-</w:t>
            </w:r>
          </w:p>
        </w:tc>
        <w:tc>
          <w:tcPr>
            <w:tcW w:w="868" w:type="dxa"/>
            <w:vAlign w:val="center"/>
          </w:tcPr>
          <w:p w:rsidR="002F5D4E" w:rsidRPr="00D55DC6" w:rsidRDefault="002F5D4E">
            <w:pPr>
              <w:jc w:val="center"/>
              <w:rPr>
                <w:rFonts w:ascii="新細明體" w:hAnsi="新細明體" w:cs="新細明體"/>
                <w:sz w:val="28"/>
              </w:rPr>
            </w:pPr>
            <w:r w:rsidRPr="00D55DC6">
              <w:rPr>
                <w:rFonts w:ascii="新細明體" w:hAnsi="新細明體" w:cs="新細明體" w:hint="eastAsia"/>
                <w:sz w:val="28"/>
              </w:rPr>
              <w:t>-</w:t>
            </w:r>
          </w:p>
        </w:tc>
        <w:tc>
          <w:tcPr>
            <w:tcW w:w="865" w:type="dxa"/>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2</w:t>
            </w:r>
          </w:p>
        </w:tc>
        <w:tc>
          <w:tcPr>
            <w:tcW w:w="865" w:type="dxa"/>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2</w:t>
            </w:r>
          </w:p>
        </w:tc>
        <w:tc>
          <w:tcPr>
            <w:tcW w:w="865" w:type="dxa"/>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2</w:t>
            </w:r>
          </w:p>
        </w:tc>
        <w:tc>
          <w:tcPr>
            <w:tcW w:w="866" w:type="dxa"/>
            <w:vAlign w:val="center"/>
          </w:tcPr>
          <w:p w:rsidR="002F5D4E" w:rsidRPr="00D55DC6" w:rsidRDefault="00DF3286">
            <w:pPr>
              <w:jc w:val="center"/>
              <w:rPr>
                <w:rFonts w:ascii="新細明體" w:hAnsi="新細明體" w:cs="新細明體"/>
                <w:sz w:val="28"/>
                <w:szCs w:val="28"/>
              </w:rPr>
            </w:pPr>
            <w:r w:rsidRPr="00D55DC6">
              <w:rPr>
                <w:rFonts w:hint="eastAsia"/>
                <w:sz w:val="28"/>
                <w:szCs w:val="28"/>
              </w:rPr>
              <w:t>2</w:t>
            </w:r>
          </w:p>
        </w:tc>
      </w:tr>
    </w:tbl>
    <w:p w:rsidR="00B6196A" w:rsidRPr="00D55DC6" w:rsidRDefault="00B6196A" w:rsidP="0038165F">
      <w:pPr>
        <w:snapToGrid w:val="0"/>
        <w:spacing w:line="460" w:lineRule="exact"/>
        <w:ind w:leftChars="296" w:left="1802" w:hangingChars="390" w:hanging="1092"/>
        <w:jc w:val="both"/>
        <w:rPr>
          <w:rFonts w:eastAsia="標楷體"/>
          <w:sz w:val="28"/>
          <w:szCs w:val="28"/>
        </w:rPr>
      </w:pPr>
    </w:p>
    <w:p w:rsidR="000C5765" w:rsidRPr="00D55DC6" w:rsidRDefault="000C5765" w:rsidP="0038165F">
      <w:pPr>
        <w:snapToGrid w:val="0"/>
        <w:spacing w:line="460" w:lineRule="exact"/>
        <w:ind w:leftChars="296" w:left="1802" w:hangingChars="390" w:hanging="1092"/>
        <w:jc w:val="both"/>
        <w:rPr>
          <w:rFonts w:eastAsia="標楷體"/>
          <w:sz w:val="28"/>
          <w:szCs w:val="28"/>
        </w:rPr>
      </w:pPr>
    </w:p>
    <w:p w:rsidR="000C5765" w:rsidRPr="00D55DC6" w:rsidRDefault="000C5765" w:rsidP="0038165F">
      <w:pPr>
        <w:snapToGrid w:val="0"/>
        <w:spacing w:line="460" w:lineRule="exact"/>
        <w:ind w:leftChars="296" w:left="1802" w:hangingChars="390" w:hanging="1092"/>
        <w:jc w:val="both"/>
        <w:rPr>
          <w:rFonts w:eastAsia="標楷體"/>
          <w:sz w:val="28"/>
          <w:szCs w:val="28"/>
        </w:rPr>
      </w:pPr>
    </w:p>
    <w:p w:rsidR="000C5765" w:rsidRPr="00D55DC6" w:rsidRDefault="000C5765" w:rsidP="0038165F">
      <w:pPr>
        <w:snapToGrid w:val="0"/>
        <w:spacing w:line="460" w:lineRule="exact"/>
        <w:ind w:leftChars="296" w:left="1802" w:hangingChars="390" w:hanging="1092"/>
        <w:jc w:val="both"/>
        <w:rPr>
          <w:rFonts w:eastAsia="標楷體"/>
          <w:sz w:val="28"/>
          <w:szCs w:val="28"/>
        </w:rPr>
      </w:pPr>
    </w:p>
    <w:p w:rsidR="000C5765" w:rsidRPr="00D55DC6" w:rsidRDefault="000C5765" w:rsidP="0038165F">
      <w:pPr>
        <w:snapToGrid w:val="0"/>
        <w:spacing w:line="460" w:lineRule="exact"/>
        <w:ind w:leftChars="296" w:left="1802" w:hangingChars="390" w:hanging="1092"/>
        <w:jc w:val="both"/>
        <w:rPr>
          <w:rFonts w:eastAsia="標楷體"/>
          <w:sz w:val="28"/>
          <w:szCs w:val="28"/>
        </w:rPr>
      </w:pPr>
    </w:p>
    <w:p w:rsidR="00B6196A" w:rsidRPr="00D55DC6" w:rsidRDefault="00B6196A" w:rsidP="0038165F">
      <w:pPr>
        <w:pStyle w:val="a"/>
        <w:ind w:left="709" w:hanging="709"/>
        <w:rPr>
          <w:b/>
        </w:rPr>
      </w:pPr>
      <w:bookmarkStart w:id="137" w:name="_Toc407181702"/>
      <w:r w:rsidRPr="00D55DC6">
        <w:rPr>
          <w:b/>
        </w:rPr>
        <w:lastRenderedPageBreak/>
        <w:t>現行相關政策及方案之檢討</w:t>
      </w:r>
      <w:bookmarkEnd w:id="137"/>
    </w:p>
    <w:p w:rsidR="00B6196A" w:rsidRPr="00D55DC6" w:rsidRDefault="00B6196A" w:rsidP="004865C1">
      <w:pPr>
        <w:pStyle w:val="af2"/>
        <w:numPr>
          <w:ilvl w:val="0"/>
          <w:numId w:val="128"/>
        </w:numPr>
        <w:snapToGrid w:val="0"/>
        <w:spacing w:line="460" w:lineRule="exact"/>
        <w:ind w:leftChars="0"/>
        <w:jc w:val="both"/>
        <w:rPr>
          <w:rFonts w:eastAsia="標楷體"/>
          <w:sz w:val="28"/>
          <w:szCs w:val="28"/>
        </w:rPr>
      </w:pPr>
      <w:r w:rsidRPr="00D55DC6">
        <w:rPr>
          <w:rFonts w:eastAsia="標楷體"/>
          <w:b/>
          <w:sz w:val="28"/>
          <w:szCs w:val="28"/>
        </w:rPr>
        <w:t>重要觀光景點建設中程計畫</w:t>
      </w:r>
      <w:r w:rsidRPr="00D55DC6">
        <w:rPr>
          <w:rFonts w:eastAsia="標楷體"/>
          <w:b/>
          <w:sz w:val="28"/>
          <w:szCs w:val="28"/>
        </w:rPr>
        <w:t>(101-104</w:t>
      </w:r>
      <w:r w:rsidRPr="00D55DC6">
        <w:rPr>
          <w:rFonts w:eastAsia="標楷體"/>
          <w:b/>
          <w:sz w:val="28"/>
          <w:szCs w:val="28"/>
        </w:rPr>
        <w:t>年</w:t>
      </w:r>
      <w:r w:rsidRPr="00D55DC6">
        <w:rPr>
          <w:rFonts w:eastAsia="標楷體"/>
          <w:b/>
          <w:sz w:val="28"/>
          <w:szCs w:val="28"/>
        </w:rPr>
        <w:t>)</w:t>
      </w:r>
      <w:r w:rsidRPr="00D55DC6">
        <w:rPr>
          <w:rFonts w:eastAsia="標楷體"/>
          <w:sz w:val="28"/>
          <w:szCs w:val="28"/>
        </w:rPr>
        <w:t>(</w:t>
      </w:r>
      <w:r w:rsidRPr="00D55DC6">
        <w:rPr>
          <w:rFonts w:eastAsia="標楷體"/>
          <w:sz w:val="28"/>
          <w:szCs w:val="28"/>
        </w:rPr>
        <w:t>截至</w:t>
      </w:r>
      <w:r w:rsidRPr="00D55DC6">
        <w:rPr>
          <w:rFonts w:eastAsia="標楷體"/>
          <w:sz w:val="28"/>
          <w:szCs w:val="28"/>
        </w:rPr>
        <w:t>103</w:t>
      </w:r>
      <w:r w:rsidRPr="00D55DC6">
        <w:rPr>
          <w:rFonts w:eastAsia="標楷體"/>
          <w:sz w:val="28"/>
          <w:szCs w:val="28"/>
        </w:rPr>
        <w:t>年</w:t>
      </w:r>
      <w:r w:rsidRPr="00D55DC6">
        <w:rPr>
          <w:rFonts w:eastAsia="標楷體"/>
          <w:sz w:val="28"/>
          <w:szCs w:val="28"/>
        </w:rPr>
        <w:t>1</w:t>
      </w:r>
      <w:r w:rsidR="00D46F76" w:rsidRPr="00D55DC6">
        <w:rPr>
          <w:rFonts w:eastAsia="標楷體"/>
          <w:sz w:val="28"/>
          <w:szCs w:val="28"/>
        </w:rPr>
        <w:t>2</w:t>
      </w:r>
      <w:r w:rsidRPr="00D55DC6">
        <w:rPr>
          <w:rFonts w:eastAsia="標楷體"/>
          <w:sz w:val="28"/>
          <w:szCs w:val="28"/>
        </w:rPr>
        <w:t>月底成果</w:t>
      </w:r>
      <w:r w:rsidRPr="00D55DC6">
        <w:rPr>
          <w:rFonts w:eastAsia="標楷體"/>
          <w:sz w:val="28"/>
          <w:szCs w:val="28"/>
        </w:rPr>
        <w:t>)</w:t>
      </w:r>
    </w:p>
    <w:p w:rsidR="00B6196A" w:rsidRPr="00D55DC6" w:rsidRDefault="00B6196A" w:rsidP="004865C1">
      <w:pPr>
        <w:pStyle w:val="af2"/>
        <w:numPr>
          <w:ilvl w:val="0"/>
          <w:numId w:val="129"/>
        </w:numPr>
        <w:snapToGrid w:val="0"/>
        <w:spacing w:line="460" w:lineRule="exact"/>
        <w:ind w:leftChars="0"/>
        <w:jc w:val="both"/>
        <w:rPr>
          <w:rFonts w:eastAsia="標楷體"/>
          <w:b/>
          <w:sz w:val="28"/>
          <w:szCs w:val="28"/>
        </w:rPr>
      </w:pPr>
      <w:r w:rsidRPr="00D55DC6">
        <w:rPr>
          <w:rFonts w:eastAsia="標楷體"/>
          <w:b/>
          <w:sz w:val="28"/>
          <w:szCs w:val="28"/>
        </w:rPr>
        <w:t>預算執行情形</w:t>
      </w:r>
      <w:r w:rsidRPr="00D55DC6">
        <w:rPr>
          <w:rFonts w:eastAsia="標楷體"/>
          <w:b/>
          <w:sz w:val="28"/>
          <w:szCs w:val="28"/>
        </w:rPr>
        <w:t xml:space="preserve">                                 </w:t>
      </w:r>
      <w:r w:rsidRPr="00D55DC6">
        <w:rPr>
          <w:rFonts w:eastAsia="標楷體"/>
          <w:b/>
          <w:sz w:val="28"/>
          <w:szCs w:val="28"/>
        </w:rPr>
        <w:t>（單位：</w:t>
      </w:r>
      <w:r w:rsidR="00FF0173" w:rsidRPr="00D55DC6">
        <w:rPr>
          <w:rFonts w:eastAsia="標楷體"/>
          <w:b/>
          <w:sz w:val="28"/>
          <w:szCs w:val="28"/>
        </w:rPr>
        <w:t>億</w:t>
      </w:r>
      <w:r w:rsidRPr="00D55DC6">
        <w:rPr>
          <w:rFonts w:eastAsia="標楷體"/>
          <w:b/>
          <w:sz w:val="28"/>
          <w:szCs w:val="28"/>
        </w:rPr>
        <w:t>元）</w:t>
      </w:r>
    </w:p>
    <w:tbl>
      <w:tblPr>
        <w:tblStyle w:val="a6"/>
        <w:tblW w:w="0" w:type="auto"/>
        <w:tblInd w:w="817" w:type="dxa"/>
        <w:tblLook w:val="04A0" w:firstRow="1" w:lastRow="0" w:firstColumn="1" w:lastColumn="0" w:noHBand="0" w:noVBand="1"/>
      </w:tblPr>
      <w:tblGrid>
        <w:gridCol w:w="3513"/>
        <w:gridCol w:w="1701"/>
        <w:gridCol w:w="1701"/>
        <w:gridCol w:w="1082"/>
      </w:tblGrid>
      <w:tr w:rsidR="001D0350" w:rsidRPr="00D55DC6" w:rsidTr="008D5222">
        <w:tc>
          <w:tcPr>
            <w:tcW w:w="3513" w:type="dxa"/>
            <w:vAlign w:val="center"/>
          </w:tcPr>
          <w:p w:rsidR="00B6196A" w:rsidRPr="00D55DC6" w:rsidRDefault="00B6196A" w:rsidP="0038165F">
            <w:pPr>
              <w:snapToGrid w:val="0"/>
              <w:spacing w:line="460" w:lineRule="exact"/>
              <w:jc w:val="center"/>
              <w:rPr>
                <w:rFonts w:eastAsia="標楷體"/>
                <w:szCs w:val="28"/>
              </w:rPr>
            </w:pPr>
            <w:r w:rsidRPr="00D55DC6">
              <w:rPr>
                <w:rFonts w:eastAsia="標楷體"/>
                <w:szCs w:val="28"/>
              </w:rPr>
              <w:t>計畫名稱</w:t>
            </w:r>
          </w:p>
        </w:tc>
        <w:tc>
          <w:tcPr>
            <w:tcW w:w="1701" w:type="dxa"/>
          </w:tcPr>
          <w:p w:rsidR="00B6196A" w:rsidRPr="00D55DC6" w:rsidRDefault="00B6196A" w:rsidP="0038165F">
            <w:pPr>
              <w:snapToGrid w:val="0"/>
              <w:spacing w:line="460" w:lineRule="exact"/>
              <w:jc w:val="center"/>
              <w:rPr>
                <w:rFonts w:eastAsia="標楷體"/>
                <w:szCs w:val="28"/>
              </w:rPr>
            </w:pPr>
            <w:r w:rsidRPr="00D55DC6">
              <w:rPr>
                <w:rFonts w:eastAsia="標楷體"/>
                <w:szCs w:val="28"/>
              </w:rPr>
              <w:t>總累計編列數</w:t>
            </w:r>
            <w:r w:rsidRPr="00D55DC6">
              <w:rPr>
                <w:rFonts w:eastAsia="標楷體"/>
                <w:szCs w:val="28"/>
              </w:rPr>
              <w:t>(A)</w:t>
            </w:r>
          </w:p>
        </w:tc>
        <w:tc>
          <w:tcPr>
            <w:tcW w:w="1701" w:type="dxa"/>
          </w:tcPr>
          <w:p w:rsidR="00B6196A" w:rsidRPr="00D55DC6" w:rsidRDefault="00B6196A" w:rsidP="0038165F">
            <w:pPr>
              <w:snapToGrid w:val="0"/>
              <w:spacing w:line="460" w:lineRule="exact"/>
              <w:jc w:val="center"/>
              <w:rPr>
                <w:rFonts w:eastAsia="標楷體"/>
                <w:szCs w:val="28"/>
              </w:rPr>
            </w:pPr>
            <w:r w:rsidRPr="00D55DC6">
              <w:rPr>
                <w:rFonts w:eastAsia="標楷體"/>
                <w:szCs w:val="28"/>
              </w:rPr>
              <w:t>總累計實支數</w:t>
            </w:r>
            <w:r w:rsidRPr="00D55DC6">
              <w:rPr>
                <w:rFonts w:eastAsia="標楷體"/>
                <w:szCs w:val="28"/>
              </w:rPr>
              <w:t>(B)</w:t>
            </w:r>
          </w:p>
        </w:tc>
        <w:tc>
          <w:tcPr>
            <w:tcW w:w="1082" w:type="dxa"/>
          </w:tcPr>
          <w:p w:rsidR="00B6196A" w:rsidRPr="00D55DC6" w:rsidRDefault="00B6196A" w:rsidP="0038165F">
            <w:pPr>
              <w:snapToGrid w:val="0"/>
              <w:spacing w:line="460" w:lineRule="exact"/>
              <w:jc w:val="center"/>
              <w:rPr>
                <w:rFonts w:eastAsia="標楷體"/>
                <w:szCs w:val="28"/>
              </w:rPr>
            </w:pPr>
            <w:r w:rsidRPr="00D55DC6">
              <w:rPr>
                <w:rFonts w:eastAsia="標楷體"/>
                <w:szCs w:val="28"/>
              </w:rPr>
              <w:t>支用比</w:t>
            </w:r>
          </w:p>
          <w:p w:rsidR="00B6196A" w:rsidRPr="00D55DC6" w:rsidRDefault="00B6196A" w:rsidP="0038165F">
            <w:pPr>
              <w:snapToGrid w:val="0"/>
              <w:spacing w:line="460" w:lineRule="exact"/>
              <w:jc w:val="center"/>
              <w:rPr>
                <w:rFonts w:eastAsia="標楷體"/>
                <w:szCs w:val="28"/>
              </w:rPr>
            </w:pPr>
            <w:r w:rsidRPr="00D55DC6">
              <w:rPr>
                <w:rFonts w:eastAsia="標楷體"/>
                <w:szCs w:val="28"/>
              </w:rPr>
              <w:t>(B/A%)</w:t>
            </w:r>
          </w:p>
        </w:tc>
      </w:tr>
      <w:tr w:rsidR="001D0350" w:rsidRPr="00D55DC6" w:rsidTr="00D46F76">
        <w:tc>
          <w:tcPr>
            <w:tcW w:w="3513" w:type="dxa"/>
            <w:vAlign w:val="center"/>
          </w:tcPr>
          <w:p w:rsidR="00D46F76" w:rsidRPr="00D55DC6" w:rsidRDefault="00D46F76" w:rsidP="0038165F">
            <w:pPr>
              <w:widowControl/>
              <w:spacing w:line="460" w:lineRule="exact"/>
              <w:rPr>
                <w:rFonts w:eastAsia="標楷體"/>
                <w:kern w:val="0"/>
                <w:lang w:bidi="sa-IN"/>
              </w:rPr>
            </w:pPr>
            <w:r w:rsidRPr="00D55DC6">
              <w:rPr>
                <w:rFonts w:eastAsia="標楷體"/>
                <w:kern w:val="0"/>
                <w:lang w:bidi="sa-IN"/>
              </w:rPr>
              <w:t>茂林國家風景區建設計畫</w:t>
            </w:r>
          </w:p>
        </w:tc>
        <w:tc>
          <w:tcPr>
            <w:tcW w:w="1701" w:type="dxa"/>
            <w:vAlign w:val="center"/>
          </w:tcPr>
          <w:p w:rsidR="00D46F76" w:rsidRPr="00D55DC6" w:rsidRDefault="00D46F76" w:rsidP="00D46F76">
            <w:pPr>
              <w:jc w:val="center"/>
            </w:pPr>
            <w:r w:rsidRPr="00D55DC6">
              <w:t>5.59196</w:t>
            </w:r>
          </w:p>
        </w:tc>
        <w:tc>
          <w:tcPr>
            <w:tcW w:w="1701" w:type="dxa"/>
            <w:vAlign w:val="center"/>
          </w:tcPr>
          <w:p w:rsidR="00D46F76" w:rsidRPr="00D55DC6" w:rsidRDefault="00D46F76" w:rsidP="00D46F76">
            <w:pPr>
              <w:jc w:val="center"/>
            </w:pPr>
            <w:r w:rsidRPr="00D55DC6">
              <w:t>5.55651</w:t>
            </w:r>
          </w:p>
        </w:tc>
        <w:tc>
          <w:tcPr>
            <w:tcW w:w="1082" w:type="dxa"/>
            <w:vAlign w:val="center"/>
          </w:tcPr>
          <w:p w:rsidR="00D46F76" w:rsidRPr="00D55DC6" w:rsidRDefault="00D46F76" w:rsidP="00D46F76">
            <w:pPr>
              <w:jc w:val="center"/>
            </w:pPr>
            <w:r w:rsidRPr="00D55DC6">
              <w:t>99.37%</w:t>
            </w:r>
          </w:p>
        </w:tc>
      </w:tr>
    </w:tbl>
    <w:p w:rsidR="00B6196A" w:rsidRPr="00D55DC6" w:rsidRDefault="00B6196A" w:rsidP="0038165F">
      <w:pPr>
        <w:snapToGrid w:val="0"/>
        <w:spacing w:line="0" w:lineRule="atLeast"/>
        <w:ind w:leftChars="295" w:left="1315" w:hangingChars="253" w:hanging="607"/>
        <w:jc w:val="both"/>
        <w:rPr>
          <w:rFonts w:eastAsia="標楷體"/>
          <w:szCs w:val="28"/>
        </w:rPr>
      </w:pPr>
      <w:r w:rsidRPr="00D55DC6">
        <w:rPr>
          <w:rFonts w:eastAsia="標楷體"/>
          <w:szCs w:val="28"/>
        </w:rPr>
        <w:t>註</w:t>
      </w:r>
      <w:r w:rsidRPr="00D55DC6">
        <w:rPr>
          <w:rFonts w:eastAsia="標楷體"/>
          <w:szCs w:val="28"/>
        </w:rPr>
        <w:t xml:space="preserve"> 1.</w:t>
      </w:r>
      <w:r w:rsidRPr="00D55DC6">
        <w:rPr>
          <w:rFonts w:eastAsia="標楷體"/>
          <w:szCs w:val="28"/>
        </w:rPr>
        <w:t>「總累計編列數</w:t>
      </w:r>
      <w:r w:rsidRPr="00D55DC6">
        <w:rPr>
          <w:rFonts w:eastAsia="標楷體"/>
          <w:szCs w:val="28"/>
        </w:rPr>
        <w:t>(A)</w:t>
      </w:r>
      <w:r w:rsidRPr="00D55DC6">
        <w:rPr>
          <w:rFonts w:eastAsia="標楷體"/>
          <w:szCs w:val="28"/>
        </w:rPr>
        <w:t>」為</w:t>
      </w:r>
      <w:r w:rsidRPr="00D55DC6">
        <w:rPr>
          <w:rFonts w:eastAsia="標楷體"/>
          <w:szCs w:val="28"/>
        </w:rPr>
        <w:t>101</w:t>
      </w:r>
      <w:r w:rsidRPr="00D55DC6">
        <w:rPr>
          <w:rFonts w:eastAsia="標楷體"/>
          <w:szCs w:val="28"/>
        </w:rPr>
        <w:t>年</w:t>
      </w:r>
      <w:r w:rsidRPr="00D55DC6">
        <w:rPr>
          <w:rFonts w:eastAsia="標楷體"/>
          <w:szCs w:val="28"/>
        </w:rPr>
        <w:t>1</w:t>
      </w:r>
      <w:r w:rsidRPr="00D55DC6">
        <w:rPr>
          <w:rFonts w:eastAsia="標楷體"/>
          <w:szCs w:val="28"/>
        </w:rPr>
        <w:t>月至</w:t>
      </w:r>
      <w:r w:rsidRPr="00D55DC6">
        <w:rPr>
          <w:rFonts w:eastAsia="標楷體"/>
          <w:szCs w:val="28"/>
        </w:rPr>
        <w:t>103</w:t>
      </w:r>
      <w:r w:rsidRPr="00D55DC6">
        <w:rPr>
          <w:rFonts w:eastAsia="標楷體"/>
          <w:szCs w:val="28"/>
        </w:rPr>
        <w:t>年</w:t>
      </w:r>
      <w:r w:rsidRPr="00D55DC6">
        <w:rPr>
          <w:rFonts w:eastAsia="標楷體"/>
          <w:szCs w:val="28"/>
        </w:rPr>
        <w:t>1</w:t>
      </w:r>
      <w:r w:rsidR="00D46F76" w:rsidRPr="00D55DC6">
        <w:rPr>
          <w:rFonts w:eastAsia="標楷體"/>
          <w:szCs w:val="28"/>
        </w:rPr>
        <w:t>2</w:t>
      </w:r>
      <w:r w:rsidRPr="00D55DC6">
        <w:rPr>
          <w:rFonts w:eastAsia="標楷體"/>
          <w:szCs w:val="28"/>
        </w:rPr>
        <w:t>月累計實際可支用數。</w:t>
      </w:r>
    </w:p>
    <w:p w:rsidR="00B6196A" w:rsidRPr="00D55DC6" w:rsidRDefault="00B6196A" w:rsidP="0038165F">
      <w:pPr>
        <w:snapToGrid w:val="0"/>
        <w:spacing w:line="0" w:lineRule="atLeast"/>
        <w:jc w:val="both"/>
        <w:rPr>
          <w:rFonts w:eastAsia="標楷體"/>
          <w:szCs w:val="28"/>
        </w:rPr>
      </w:pPr>
      <w:r w:rsidRPr="00D55DC6">
        <w:rPr>
          <w:rFonts w:eastAsia="標楷體"/>
          <w:szCs w:val="28"/>
        </w:rPr>
        <w:t xml:space="preserve">         2.</w:t>
      </w:r>
      <w:r w:rsidRPr="00D55DC6">
        <w:rPr>
          <w:rFonts w:eastAsia="標楷體"/>
          <w:szCs w:val="28"/>
        </w:rPr>
        <w:t>「總累計實支數</w:t>
      </w:r>
      <w:r w:rsidRPr="00D55DC6">
        <w:rPr>
          <w:rFonts w:eastAsia="標楷體"/>
          <w:szCs w:val="28"/>
        </w:rPr>
        <w:t>(B)</w:t>
      </w:r>
      <w:r w:rsidRPr="00D55DC6">
        <w:rPr>
          <w:rFonts w:eastAsia="標楷體"/>
          <w:szCs w:val="28"/>
        </w:rPr>
        <w:t>」為</w:t>
      </w:r>
      <w:r w:rsidRPr="00D55DC6">
        <w:rPr>
          <w:rFonts w:eastAsia="標楷體"/>
          <w:szCs w:val="28"/>
        </w:rPr>
        <w:t>101</w:t>
      </w:r>
      <w:r w:rsidRPr="00D55DC6">
        <w:rPr>
          <w:rFonts w:eastAsia="標楷體"/>
          <w:szCs w:val="28"/>
        </w:rPr>
        <w:t>年</w:t>
      </w:r>
      <w:r w:rsidRPr="00D55DC6">
        <w:rPr>
          <w:rFonts w:eastAsia="標楷體"/>
          <w:szCs w:val="28"/>
        </w:rPr>
        <w:t>1</w:t>
      </w:r>
      <w:r w:rsidRPr="00D55DC6">
        <w:rPr>
          <w:rFonts w:eastAsia="標楷體"/>
          <w:szCs w:val="28"/>
        </w:rPr>
        <w:t>月至</w:t>
      </w:r>
      <w:r w:rsidRPr="00D55DC6">
        <w:rPr>
          <w:rFonts w:eastAsia="標楷體"/>
          <w:szCs w:val="28"/>
        </w:rPr>
        <w:t>103</w:t>
      </w:r>
      <w:r w:rsidRPr="00D55DC6">
        <w:rPr>
          <w:rFonts w:eastAsia="標楷體"/>
          <w:szCs w:val="28"/>
        </w:rPr>
        <w:t>年</w:t>
      </w:r>
      <w:r w:rsidRPr="00D55DC6">
        <w:rPr>
          <w:rFonts w:eastAsia="標楷體"/>
          <w:szCs w:val="28"/>
        </w:rPr>
        <w:t>1</w:t>
      </w:r>
      <w:r w:rsidR="00D46F76" w:rsidRPr="00D55DC6">
        <w:rPr>
          <w:rFonts w:eastAsia="標楷體"/>
          <w:szCs w:val="28"/>
        </w:rPr>
        <w:t>2</w:t>
      </w:r>
      <w:r w:rsidRPr="00D55DC6">
        <w:rPr>
          <w:rFonts w:eastAsia="標楷體"/>
          <w:szCs w:val="28"/>
        </w:rPr>
        <w:t>月累計實支數。</w:t>
      </w:r>
    </w:p>
    <w:p w:rsidR="00B6196A" w:rsidRPr="00D55DC6" w:rsidRDefault="00B6196A" w:rsidP="0038165F">
      <w:pPr>
        <w:snapToGrid w:val="0"/>
        <w:spacing w:line="460" w:lineRule="exact"/>
        <w:jc w:val="both"/>
        <w:rPr>
          <w:rFonts w:eastAsia="標楷體"/>
          <w:sz w:val="28"/>
          <w:szCs w:val="28"/>
        </w:rPr>
      </w:pPr>
    </w:p>
    <w:p w:rsidR="00B6196A" w:rsidRPr="00D55DC6" w:rsidRDefault="00B6196A" w:rsidP="004865C1">
      <w:pPr>
        <w:pStyle w:val="af2"/>
        <w:numPr>
          <w:ilvl w:val="0"/>
          <w:numId w:val="129"/>
        </w:numPr>
        <w:snapToGrid w:val="0"/>
        <w:spacing w:line="460" w:lineRule="exact"/>
        <w:ind w:leftChars="0"/>
        <w:jc w:val="both"/>
        <w:rPr>
          <w:rFonts w:eastAsia="標楷體"/>
          <w:b/>
          <w:sz w:val="28"/>
          <w:szCs w:val="28"/>
        </w:rPr>
      </w:pPr>
      <w:r w:rsidRPr="00D55DC6">
        <w:rPr>
          <w:rFonts w:eastAsia="標楷體"/>
          <w:b/>
          <w:sz w:val="28"/>
          <w:szCs w:val="28"/>
        </w:rPr>
        <w:t>重要執行成果</w:t>
      </w:r>
    </w:p>
    <w:p w:rsidR="00B6196A" w:rsidRPr="00D55DC6" w:rsidRDefault="00B6196A" w:rsidP="0038165F">
      <w:pPr>
        <w:snapToGrid w:val="0"/>
        <w:spacing w:line="460" w:lineRule="exact"/>
        <w:ind w:left="785"/>
        <w:jc w:val="both"/>
        <w:rPr>
          <w:rFonts w:eastAsia="標楷體"/>
          <w:b/>
          <w:sz w:val="28"/>
          <w:szCs w:val="28"/>
        </w:rPr>
      </w:pPr>
      <w:r w:rsidRPr="00D55DC6">
        <w:rPr>
          <w:rFonts w:eastAsia="標楷體"/>
          <w:b/>
          <w:sz w:val="28"/>
          <w:szCs w:val="28"/>
        </w:rPr>
        <w:t>2-1</w:t>
      </w:r>
      <w:r w:rsidRPr="00D55DC6">
        <w:rPr>
          <w:rFonts w:eastAsia="標楷體"/>
          <w:b/>
          <w:sz w:val="28"/>
          <w:szCs w:val="28"/>
        </w:rPr>
        <w:t>國際觀光重要景點建設</w:t>
      </w:r>
    </w:p>
    <w:p w:rsidR="00B6196A" w:rsidRPr="00D55DC6" w:rsidRDefault="00B6196A" w:rsidP="0038165F">
      <w:pPr>
        <w:snapToGrid w:val="0"/>
        <w:spacing w:line="460" w:lineRule="exact"/>
        <w:ind w:left="1145"/>
        <w:jc w:val="both"/>
        <w:rPr>
          <w:rFonts w:eastAsia="標楷體"/>
          <w:sz w:val="28"/>
          <w:szCs w:val="28"/>
        </w:rPr>
      </w:pPr>
      <w:r w:rsidRPr="00D55DC6">
        <w:rPr>
          <w:rFonts w:eastAsia="標楷體"/>
          <w:sz w:val="28"/>
          <w:szCs w:val="28"/>
        </w:rPr>
        <w:t>2-1-1</w:t>
      </w:r>
      <w:r w:rsidRPr="00D55DC6">
        <w:rPr>
          <w:rFonts w:eastAsia="標楷體"/>
          <w:sz w:val="28"/>
          <w:szCs w:val="28"/>
        </w:rPr>
        <w:t>新威茂林遊憩區：</w:t>
      </w:r>
    </w:p>
    <w:p w:rsidR="00B6196A" w:rsidRPr="00D55DC6" w:rsidRDefault="00B6196A" w:rsidP="0038165F">
      <w:pPr>
        <w:snapToGrid w:val="0"/>
        <w:spacing w:line="460" w:lineRule="exact"/>
        <w:ind w:leftChars="767" w:left="1841"/>
        <w:jc w:val="both"/>
        <w:rPr>
          <w:rFonts w:eastAsia="標楷體"/>
          <w:sz w:val="28"/>
          <w:szCs w:val="28"/>
        </w:rPr>
      </w:pPr>
      <w:r w:rsidRPr="00D55DC6">
        <w:rPr>
          <w:rFonts w:eastAsia="標楷體"/>
          <w:sz w:val="28"/>
          <w:szCs w:val="28"/>
        </w:rPr>
        <w:t>完成新威森林公園南側步道排水改善</w:t>
      </w:r>
      <w:r w:rsidRPr="00D55DC6">
        <w:rPr>
          <w:rFonts w:eastAsia="標楷體"/>
          <w:sz w:val="28"/>
          <w:szCs w:val="28"/>
        </w:rPr>
        <w:t>(</w:t>
      </w:r>
      <w:r w:rsidRPr="00D55DC6">
        <w:rPr>
          <w:rFonts w:eastAsia="標楷體"/>
          <w:sz w:val="28"/>
          <w:szCs w:val="28"/>
        </w:rPr>
        <w:t>含滯洪池</w:t>
      </w:r>
      <w:r w:rsidRPr="00D55DC6">
        <w:rPr>
          <w:sz w:val="28"/>
          <w:szCs w:val="28"/>
        </w:rPr>
        <w:t>)</w:t>
      </w:r>
      <w:r w:rsidRPr="00D55DC6">
        <w:rPr>
          <w:rFonts w:eastAsia="標楷體"/>
          <w:sz w:val="28"/>
          <w:szCs w:val="28"/>
        </w:rPr>
        <w:t>暨景觀改善工程、多納高吊橋串聯龍頭山景觀設施整建工程</w:t>
      </w:r>
      <w:r w:rsidRPr="00D55DC6">
        <w:rPr>
          <w:sz w:val="28"/>
          <w:szCs w:val="28"/>
        </w:rPr>
        <w:t>、</w:t>
      </w:r>
      <w:r w:rsidRPr="00D55DC6">
        <w:rPr>
          <w:rFonts w:eastAsia="標楷體"/>
          <w:sz w:val="28"/>
          <w:szCs w:val="28"/>
        </w:rPr>
        <w:t>茂林驛站設施改善工程</w:t>
      </w:r>
      <w:r w:rsidRPr="00D55DC6">
        <w:rPr>
          <w:sz w:val="28"/>
          <w:szCs w:val="28"/>
        </w:rPr>
        <w:t>、</w:t>
      </w:r>
      <w:r w:rsidRPr="00D55DC6">
        <w:rPr>
          <w:rFonts w:eastAsia="標楷體"/>
          <w:sz w:val="28"/>
          <w:szCs w:val="28"/>
        </w:rPr>
        <w:t>茂林入口交通接駁轉運及</w:t>
      </w:r>
      <w:r w:rsidRPr="00D55DC6">
        <w:rPr>
          <w:rFonts w:eastAsia="標楷體"/>
          <w:sz w:val="28"/>
          <w:szCs w:val="28"/>
        </w:rPr>
        <w:t>3D</w:t>
      </w:r>
      <w:r w:rsidRPr="00D55DC6">
        <w:rPr>
          <w:rFonts w:eastAsia="標楷體"/>
          <w:sz w:val="28"/>
          <w:szCs w:val="28"/>
        </w:rPr>
        <w:t>視聽等改善工程</w:t>
      </w:r>
    </w:p>
    <w:p w:rsidR="00B6196A" w:rsidRPr="00D55DC6" w:rsidRDefault="00B6196A" w:rsidP="0038165F">
      <w:pPr>
        <w:snapToGrid w:val="0"/>
        <w:spacing w:line="460" w:lineRule="exact"/>
        <w:ind w:leftChars="767" w:left="1841"/>
        <w:jc w:val="both"/>
        <w:rPr>
          <w:rFonts w:eastAsia="標楷體"/>
          <w:sz w:val="28"/>
          <w:szCs w:val="28"/>
        </w:rPr>
      </w:pPr>
      <w:r w:rsidRPr="00D55DC6">
        <w:rPr>
          <w:rFonts w:eastAsia="標楷體"/>
          <w:sz w:val="28"/>
          <w:szCs w:val="28"/>
        </w:rPr>
        <w:t>完成龍頭山遊憩區及周邊設施改善工程</w:t>
      </w:r>
      <w:r w:rsidRPr="00D55DC6">
        <w:rPr>
          <w:sz w:val="28"/>
          <w:szCs w:val="28"/>
        </w:rPr>
        <w:t>、</w:t>
      </w:r>
      <w:r w:rsidRPr="00D55DC6">
        <w:rPr>
          <w:rFonts w:eastAsia="標楷體"/>
          <w:sz w:val="28"/>
          <w:szCs w:val="28"/>
        </w:rPr>
        <w:t>茂林入口街景改善及周邊服務設施改善工程</w:t>
      </w:r>
      <w:r w:rsidR="00FF0173" w:rsidRPr="00D55DC6">
        <w:rPr>
          <w:rFonts w:eastAsia="標楷體"/>
          <w:sz w:val="28"/>
          <w:szCs w:val="28"/>
        </w:rPr>
        <w:t>。</w:t>
      </w:r>
    </w:p>
    <w:p w:rsidR="00B6196A" w:rsidRPr="00D55DC6" w:rsidRDefault="00B6196A" w:rsidP="0038165F">
      <w:pPr>
        <w:snapToGrid w:val="0"/>
        <w:spacing w:line="460" w:lineRule="exact"/>
        <w:ind w:leftChars="767" w:left="1841"/>
        <w:jc w:val="both"/>
        <w:rPr>
          <w:rFonts w:eastAsia="標楷體"/>
          <w:sz w:val="28"/>
          <w:szCs w:val="28"/>
        </w:rPr>
      </w:pPr>
      <w:r w:rsidRPr="00D55DC6">
        <w:rPr>
          <w:rFonts w:eastAsia="標楷體"/>
          <w:sz w:val="28"/>
          <w:szCs w:val="28"/>
        </w:rPr>
        <w:t>完成情人谷暨茂林谷遊憩服務設施改善工程、茂林入口高架橋</w:t>
      </w:r>
      <w:r w:rsidRPr="00D55DC6">
        <w:rPr>
          <w:rFonts w:eastAsia="標楷體"/>
          <w:sz w:val="28"/>
          <w:szCs w:val="28"/>
        </w:rPr>
        <w:t>(</w:t>
      </w:r>
      <w:r w:rsidRPr="00D55DC6">
        <w:rPr>
          <w:rFonts w:eastAsia="標楷體"/>
          <w:sz w:val="28"/>
          <w:szCs w:val="28"/>
        </w:rPr>
        <w:t>得樂日嘎大橋</w:t>
      </w:r>
      <w:r w:rsidRPr="00D55DC6">
        <w:rPr>
          <w:rFonts w:eastAsia="標楷體"/>
          <w:sz w:val="28"/>
          <w:szCs w:val="28"/>
        </w:rPr>
        <w:t>)</w:t>
      </w:r>
      <w:r w:rsidRPr="00D55DC6">
        <w:rPr>
          <w:rFonts w:eastAsia="標楷體"/>
          <w:sz w:val="28"/>
          <w:szCs w:val="28"/>
        </w:rPr>
        <w:t>及多納橋圖騰意象及夜間美化工程、茂林谷二期設施改善工程</w:t>
      </w:r>
      <w:r w:rsidR="00FF0173" w:rsidRPr="00D55DC6">
        <w:rPr>
          <w:rFonts w:eastAsia="標楷體"/>
          <w:sz w:val="28"/>
          <w:szCs w:val="28"/>
        </w:rPr>
        <w:t>。</w:t>
      </w:r>
    </w:p>
    <w:p w:rsidR="00B6196A" w:rsidRPr="00D55DC6" w:rsidRDefault="00B6196A" w:rsidP="0038165F">
      <w:pPr>
        <w:snapToGrid w:val="0"/>
        <w:spacing w:line="460" w:lineRule="exact"/>
        <w:ind w:leftChars="767" w:left="1841"/>
        <w:jc w:val="both"/>
        <w:rPr>
          <w:rFonts w:eastAsia="標楷體"/>
          <w:sz w:val="28"/>
          <w:szCs w:val="28"/>
        </w:rPr>
      </w:pPr>
      <w:r w:rsidRPr="00D55DC6">
        <w:rPr>
          <w:rFonts w:eastAsia="標楷體"/>
          <w:sz w:val="28"/>
          <w:szCs w:val="28"/>
        </w:rPr>
        <w:t>完成茂林多納高吊橋改善工程、龍頭山遊憩區服務設施第二期改善工程、新威行政中心初期工程</w:t>
      </w:r>
      <w:r w:rsidR="00FF0173" w:rsidRPr="00D55DC6">
        <w:rPr>
          <w:rFonts w:eastAsia="標楷體"/>
          <w:sz w:val="28"/>
          <w:szCs w:val="28"/>
        </w:rPr>
        <w:t>。</w:t>
      </w:r>
    </w:p>
    <w:p w:rsidR="00B6196A" w:rsidRPr="00D55DC6" w:rsidRDefault="00B6196A" w:rsidP="0038165F">
      <w:pPr>
        <w:snapToGrid w:val="0"/>
        <w:spacing w:line="460" w:lineRule="exact"/>
        <w:ind w:left="1145"/>
        <w:jc w:val="both"/>
        <w:rPr>
          <w:rFonts w:eastAsia="標楷體"/>
          <w:sz w:val="28"/>
          <w:szCs w:val="28"/>
        </w:rPr>
      </w:pPr>
      <w:r w:rsidRPr="00D55DC6">
        <w:rPr>
          <w:rFonts w:eastAsia="標楷體"/>
          <w:sz w:val="28"/>
          <w:szCs w:val="28"/>
        </w:rPr>
        <w:t>2-1-2</w:t>
      </w:r>
      <w:r w:rsidRPr="00D55DC6">
        <w:rPr>
          <w:rFonts w:eastAsia="標楷體"/>
          <w:sz w:val="28"/>
          <w:szCs w:val="28"/>
        </w:rPr>
        <w:t>賽嘉遊憩區：</w:t>
      </w:r>
    </w:p>
    <w:p w:rsidR="00B6196A" w:rsidRPr="00D55DC6" w:rsidRDefault="00B6196A" w:rsidP="0038165F">
      <w:pPr>
        <w:snapToGrid w:val="0"/>
        <w:spacing w:line="460" w:lineRule="exact"/>
        <w:ind w:leftChars="767" w:left="1841"/>
        <w:jc w:val="both"/>
        <w:rPr>
          <w:rFonts w:eastAsia="標楷體"/>
          <w:sz w:val="28"/>
          <w:szCs w:val="28"/>
        </w:rPr>
      </w:pPr>
      <w:r w:rsidRPr="00D55DC6">
        <w:rPr>
          <w:rFonts w:eastAsia="標楷體"/>
          <w:sz w:val="28"/>
          <w:szCs w:val="28"/>
        </w:rPr>
        <w:t xml:space="preserve">   </w:t>
      </w:r>
      <w:r w:rsidRPr="00D55DC6">
        <w:rPr>
          <w:rFonts w:eastAsia="標楷體"/>
          <w:sz w:val="28"/>
          <w:szCs w:val="28"/>
        </w:rPr>
        <w:t>賽嘉樂園風雨操場及營運相關設施工程</w:t>
      </w:r>
      <w:r w:rsidR="00FF0173" w:rsidRPr="00D55DC6">
        <w:rPr>
          <w:rFonts w:eastAsia="標楷體"/>
          <w:sz w:val="28"/>
          <w:szCs w:val="28"/>
        </w:rPr>
        <w:t>。</w:t>
      </w:r>
    </w:p>
    <w:p w:rsidR="00B6196A" w:rsidRPr="00D55DC6" w:rsidRDefault="00B6196A" w:rsidP="0038165F">
      <w:pPr>
        <w:pStyle w:val="af2"/>
        <w:snapToGrid w:val="0"/>
        <w:spacing w:line="460" w:lineRule="exact"/>
        <w:ind w:leftChars="-3" w:left="-7" w:firstLineChars="249" w:firstLine="698"/>
        <w:jc w:val="both"/>
        <w:rPr>
          <w:rFonts w:eastAsia="標楷體"/>
          <w:b/>
          <w:sz w:val="28"/>
          <w:szCs w:val="28"/>
        </w:rPr>
      </w:pPr>
      <w:r w:rsidRPr="00D55DC6">
        <w:rPr>
          <w:rFonts w:eastAsia="標楷體"/>
          <w:b/>
          <w:sz w:val="28"/>
          <w:szCs w:val="28"/>
        </w:rPr>
        <w:t>2-2</w:t>
      </w:r>
      <w:r w:rsidRPr="00D55DC6">
        <w:rPr>
          <w:rFonts w:eastAsia="標楷體"/>
          <w:b/>
          <w:sz w:val="28"/>
          <w:szCs w:val="28"/>
        </w:rPr>
        <w:t>國內觀光重要景點建設</w:t>
      </w:r>
    </w:p>
    <w:p w:rsidR="00B6196A" w:rsidRPr="00D55DC6" w:rsidRDefault="00B6196A" w:rsidP="0038165F">
      <w:pPr>
        <w:pStyle w:val="af2"/>
        <w:snapToGrid w:val="0"/>
        <w:spacing w:line="460" w:lineRule="exact"/>
        <w:ind w:leftChars="0" w:left="1134"/>
        <w:jc w:val="both"/>
        <w:rPr>
          <w:rFonts w:eastAsia="標楷體"/>
          <w:sz w:val="28"/>
          <w:szCs w:val="28"/>
        </w:rPr>
      </w:pPr>
      <w:r w:rsidRPr="00D55DC6">
        <w:rPr>
          <w:rFonts w:eastAsia="標楷體"/>
          <w:sz w:val="28"/>
          <w:szCs w:val="28"/>
        </w:rPr>
        <w:t>2-2-1</w:t>
      </w:r>
      <w:r w:rsidRPr="00D55DC6">
        <w:rPr>
          <w:rFonts w:eastAsia="標楷體"/>
          <w:sz w:val="28"/>
          <w:szCs w:val="28"/>
        </w:rPr>
        <w:t>荖濃遊憩系統：</w:t>
      </w:r>
    </w:p>
    <w:p w:rsidR="00B6196A" w:rsidRPr="00D55DC6" w:rsidRDefault="00B6196A" w:rsidP="0038165F">
      <w:pPr>
        <w:snapToGrid w:val="0"/>
        <w:spacing w:line="460" w:lineRule="exact"/>
        <w:ind w:leftChars="767" w:left="1841"/>
        <w:jc w:val="both"/>
        <w:rPr>
          <w:rFonts w:eastAsia="標楷體"/>
          <w:sz w:val="28"/>
          <w:szCs w:val="28"/>
        </w:rPr>
      </w:pPr>
      <w:r w:rsidRPr="00D55DC6">
        <w:rPr>
          <w:rFonts w:eastAsia="標楷體"/>
          <w:sz w:val="28"/>
          <w:szCs w:val="28"/>
        </w:rPr>
        <w:t>完成不老地區簡易停車場改善工程</w:t>
      </w:r>
      <w:r w:rsidRPr="00D55DC6">
        <w:rPr>
          <w:sz w:val="28"/>
          <w:szCs w:val="28"/>
        </w:rPr>
        <w:t>、</w:t>
      </w:r>
      <w:r w:rsidRPr="00D55DC6">
        <w:rPr>
          <w:rFonts w:eastAsia="標楷體"/>
          <w:sz w:val="28"/>
          <w:szCs w:val="28"/>
        </w:rPr>
        <w:t>六龜遊客中心舊址遊憩服務設施整建工程、</w:t>
      </w:r>
      <w:r w:rsidRPr="00D55DC6">
        <w:rPr>
          <w:rFonts w:eastAsia="標楷體"/>
          <w:sz w:val="28"/>
          <w:szCs w:val="28"/>
        </w:rPr>
        <w:t>18</w:t>
      </w:r>
      <w:r w:rsidRPr="00D55DC6">
        <w:rPr>
          <w:rFonts w:eastAsia="標楷體"/>
          <w:sz w:val="28"/>
          <w:szCs w:val="28"/>
        </w:rPr>
        <w:t>羅漢山服務區入口意象改善工程、不老地區新開新寶橋意象及夜間美化工程、茂林導覽解說牌示設置工程、寶來浦來溪頭社戰道及周邊設施改善工程、六龜</w:t>
      </w:r>
      <w:r w:rsidRPr="00D55DC6">
        <w:rPr>
          <w:rFonts w:eastAsia="標楷體"/>
          <w:sz w:val="28"/>
          <w:szCs w:val="28"/>
        </w:rPr>
        <w:lastRenderedPageBreak/>
        <w:t>地區遊憩服務設施改善工程、六龜地區遊憩服務設施第二期改善工程、寶來大街環境整建工程、不老地區街景及周邊設施改善工程、浦來溪頭社戰道及周邊服務設施第二期改善工程</w:t>
      </w:r>
      <w:r w:rsidR="00FF0173" w:rsidRPr="00D55DC6">
        <w:rPr>
          <w:rFonts w:eastAsia="標楷體"/>
          <w:sz w:val="28"/>
          <w:szCs w:val="28"/>
        </w:rPr>
        <w:t>。</w:t>
      </w:r>
    </w:p>
    <w:p w:rsidR="00B6196A" w:rsidRPr="00D55DC6" w:rsidRDefault="00B6196A" w:rsidP="0038165F">
      <w:pPr>
        <w:pStyle w:val="af2"/>
        <w:snapToGrid w:val="0"/>
        <w:spacing w:line="460" w:lineRule="exact"/>
        <w:ind w:leftChars="0" w:left="1134"/>
        <w:jc w:val="both"/>
        <w:rPr>
          <w:rFonts w:eastAsia="標楷體"/>
          <w:sz w:val="28"/>
          <w:szCs w:val="28"/>
        </w:rPr>
      </w:pPr>
      <w:r w:rsidRPr="00D55DC6">
        <w:rPr>
          <w:rFonts w:eastAsia="標楷體"/>
          <w:sz w:val="28"/>
          <w:szCs w:val="28"/>
        </w:rPr>
        <w:t>2-2-2</w:t>
      </w:r>
      <w:r w:rsidRPr="00D55DC6">
        <w:rPr>
          <w:rFonts w:eastAsia="標楷體"/>
          <w:sz w:val="28"/>
          <w:szCs w:val="28"/>
        </w:rPr>
        <w:t>屏北遊憩系統：</w:t>
      </w:r>
    </w:p>
    <w:p w:rsidR="00B6196A" w:rsidRPr="00D55DC6" w:rsidRDefault="00B6196A" w:rsidP="0038165F">
      <w:pPr>
        <w:snapToGrid w:val="0"/>
        <w:spacing w:line="460" w:lineRule="exact"/>
        <w:ind w:leftChars="767" w:left="1841"/>
        <w:jc w:val="both"/>
        <w:rPr>
          <w:rFonts w:eastAsia="標楷體"/>
          <w:sz w:val="28"/>
          <w:szCs w:val="28"/>
        </w:rPr>
      </w:pPr>
      <w:r w:rsidRPr="00D55DC6">
        <w:rPr>
          <w:rFonts w:eastAsia="標楷體"/>
          <w:sz w:val="28"/>
          <w:szCs w:val="28"/>
        </w:rPr>
        <w:t>完成賽嘉樂園及安坡自行車道路面改善工程、馬兒驛站停車場周邊設施改善工程、安坡自行車道及周邊設施改善工程、涼山遊憩區委外經營應辦設施改善工程、涼山遊憩區服務設施改善工程</w:t>
      </w:r>
      <w:r w:rsidRPr="00D55DC6">
        <w:rPr>
          <w:sz w:val="28"/>
          <w:szCs w:val="28"/>
        </w:rPr>
        <w:t>、</w:t>
      </w:r>
      <w:r w:rsidRPr="00D55DC6">
        <w:rPr>
          <w:rFonts w:eastAsia="標楷體"/>
          <w:sz w:val="28"/>
          <w:szCs w:val="28"/>
        </w:rPr>
        <w:t>安坡自行車道及周邊設施第二期改善工程、霧台神山瀑布及周邊設施改善工程、舊達來吊橋改善工程、谷川遊憩區及周邊設施改善工程</w:t>
      </w:r>
      <w:r w:rsidR="00FF0173" w:rsidRPr="00D55DC6">
        <w:rPr>
          <w:rFonts w:eastAsia="標楷體"/>
          <w:sz w:val="28"/>
          <w:szCs w:val="28"/>
        </w:rPr>
        <w:t>。</w:t>
      </w:r>
    </w:p>
    <w:p w:rsidR="00B6196A" w:rsidRPr="00D55DC6" w:rsidRDefault="00B6196A" w:rsidP="0038165F">
      <w:pPr>
        <w:snapToGrid w:val="0"/>
        <w:spacing w:line="460" w:lineRule="exact"/>
        <w:ind w:left="851"/>
        <w:jc w:val="both"/>
        <w:rPr>
          <w:rFonts w:eastAsia="標楷體"/>
          <w:b/>
          <w:sz w:val="28"/>
          <w:szCs w:val="28"/>
        </w:rPr>
      </w:pPr>
      <w:r w:rsidRPr="00D55DC6">
        <w:rPr>
          <w:rFonts w:eastAsia="標楷體"/>
          <w:b/>
          <w:sz w:val="28"/>
          <w:szCs w:val="28"/>
        </w:rPr>
        <w:t>2-3</w:t>
      </w:r>
      <w:r w:rsidRPr="00D55DC6">
        <w:rPr>
          <w:rFonts w:eastAsia="標楷體"/>
          <w:b/>
          <w:sz w:val="28"/>
          <w:szCs w:val="28"/>
        </w:rPr>
        <w:t>地方觀光重要景點建設</w:t>
      </w:r>
    </w:p>
    <w:p w:rsidR="00B6196A" w:rsidRPr="00D55DC6" w:rsidRDefault="00B6196A" w:rsidP="0038165F">
      <w:pPr>
        <w:snapToGrid w:val="0"/>
        <w:spacing w:line="460" w:lineRule="exact"/>
        <w:ind w:left="1145"/>
        <w:jc w:val="both"/>
        <w:rPr>
          <w:rFonts w:eastAsia="標楷體"/>
          <w:sz w:val="28"/>
          <w:szCs w:val="28"/>
        </w:rPr>
      </w:pPr>
      <w:r w:rsidRPr="00D55DC6">
        <w:rPr>
          <w:rFonts w:eastAsia="標楷體"/>
          <w:sz w:val="28"/>
          <w:szCs w:val="28"/>
        </w:rPr>
        <w:t>2-3-1</w:t>
      </w:r>
      <w:r w:rsidRPr="00D55DC6">
        <w:rPr>
          <w:rFonts w:eastAsia="標楷體"/>
          <w:sz w:val="28"/>
          <w:szCs w:val="28"/>
        </w:rPr>
        <w:t>屏北遊憩系統：安坡自行車道</w:t>
      </w:r>
      <w:r w:rsidR="00FF0173" w:rsidRPr="00D55DC6">
        <w:rPr>
          <w:rFonts w:eastAsia="標楷體"/>
          <w:sz w:val="28"/>
          <w:szCs w:val="28"/>
        </w:rPr>
        <w:t>。</w:t>
      </w:r>
    </w:p>
    <w:p w:rsidR="00B6196A" w:rsidRPr="00D55DC6" w:rsidRDefault="00B6196A" w:rsidP="0038165F">
      <w:pPr>
        <w:snapToGrid w:val="0"/>
        <w:spacing w:line="460" w:lineRule="exact"/>
        <w:ind w:left="851"/>
        <w:jc w:val="both"/>
        <w:rPr>
          <w:rFonts w:eastAsia="標楷體"/>
          <w:b/>
          <w:sz w:val="28"/>
          <w:szCs w:val="28"/>
        </w:rPr>
      </w:pPr>
      <w:r w:rsidRPr="00D55DC6">
        <w:rPr>
          <w:rFonts w:eastAsia="標楷體"/>
          <w:b/>
          <w:sz w:val="28"/>
          <w:szCs w:val="28"/>
        </w:rPr>
        <w:t>2-4</w:t>
      </w:r>
      <w:r w:rsidRPr="00D55DC6">
        <w:rPr>
          <w:rFonts w:eastAsia="標楷體"/>
          <w:b/>
          <w:sz w:val="28"/>
          <w:szCs w:val="28"/>
        </w:rPr>
        <w:t>國家風景區經營管理建設</w:t>
      </w:r>
    </w:p>
    <w:p w:rsidR="00B6196A" w:rsidRPr="00D55DC6" w:rsidRDefault="00B6196A" w:rsidP="0038165F">
      <w:pPr>
        <w:snapToGrid w:val="0"/>
        <w:spacing w:line="460" w:lineRule="exact"/>
        <w:ind w:leftChars="590" w:left="1416" w:firstLineChars="1" w:firstLine="3"/>
        <w:jc w:val="both"/>
        <w:rPr>
          <w:rFonts w:eastAsia="標楷體"/>
          <w:sz w:val="28"/>
          <w:szCs w:val="28"/>
        </w:rPr>
      </w:pPr>
      <w:r w:rsidRPr="00D55DC6">
        <w:rPr>
          <w:rFonts w:eastAsia="標楷體"/>
          <w:sz w:val="28"/>
          <w:szCs w:val="28"/>
        </w:rPr>
        <w:t>建構本風景區為具溫泉休閒、原住民文化、冒險旅遊等之南台灣旅遊勝地。</w:t>
      </w:r>
    </w:p>
    <w:p w:rsidR="00B6196A" w:rsidRPr="00D55DC6" w:rsidRDefault="00B6196A" w:rsidP="0038165F">
      <w:pPr>
        <w:snapToGrid w:val="0"/>
        <w:spacing w:line="460" w:lineRule="exact"/>
        <w:ind w:leftChars="590" w:left="1416" w:firstLineChars="1" w:firstLine="3"/>
        <w:jc w:val="both"/>
        <w:rPr>
          <w:rFonts w:eastAsia="標楷體"/>
          <w:sz w:val="28"/>
          <w:szCs w:val="28"/>
        </w:rPr>
      </w:pPr>
      <w:r w:rsidRPr="00D55DC6">
        <w:rPr>
          <w:rFonts w:eastAsia="標楷體"/>
          <w:sz w:val="28"/>
          <w:szCs w:val="28"/>
        </w:rPr>
        <w:t>塑造本風景區入口門戶意象，串連各景點之交通動線，並整建自行車驛站，提昇遊憩服務設施品質，以臻國際水準。</w:t>
      </w:r>
    </w:p>
    <w:p w:rsidR="00B6196A" w:rsidRPr="00D55DC6" w:rsidRDefault="00B6196A" w:rsidP="0038165F">
      <w:pPr>
        <w:snapToGrid w:val="0"/>
        <w:spacing w:line="460" w:lineRule="exact"/>
        <w:ind w:leftChars="590" w:left="1416" w:firstLineChars="1" w:firstLine="3"/>
        <w:jc w:val="both"/>
        <w:rPr>
          <w:rFonts w:eastAsia="標楷體"/>
          <w:sz w:val="28"/>
          <w:szCs w:val="28"/>
        </w:rPr>
      </w:pPr>
      <w:r w:rsidRPr="00D55DC6">
        <w:rPr>
          <w:rFonts w:eastAsia="標楷體"/>
          <w:sz w:val="28"/>
          <w:szCs w:val="28"/>
        </w:rPr>
        <w:t>開發新威行政中心，建置園區生態步道及自行車道，完善公共服務設施，提升為民服務機能。</w:t>
      </w:r>
    </w:p>
    <w:p w:rsidR="00B6196A" w:rsidRPr="00D55DC6" w:rsidRDefault="00B6196A" w:rsidP="0038165F">
      <w:pPr>
        <w:snapToGrid w:val="0"/>
        <w:spacing w:line="460" w:lineRule="exact"/>
        <w:ind w:left="851"/>
        <w:jc w:val="both"/>
        <w:rPr>
          <w:rFonts w:eastAsia="標楷體"/>
          <w:sz w:val="28"/>
          <w:szCs w:val="28"/>
        </w:rPr>
      </w:pPr>
      <w:r w:rsidRPr="00D55DC6">
        <w:rPr>
          <w:rFonts w:eastAsia="標楷體"/>
          <w:b/>
          <w:sz w:val="28"/>
          <w:szCs w:val="28"/>
        </w:rPr>
        <w:t>2-5</w:t>
      </w:r>
      <w:r w:rsidRPr="00D55DC6">
        <w:rPr>
          <w:rFonts w:eastAsia="標楷體"/>
          <w:b/>
          <w:sz w:val="28"/>
          <w:szCs w:val="28"/>
        </w:rPr>
        <w:t>經營管理及行銷推廣</w:t>
      </w:r>
    </w:p>
    <w:p w:rsidR="00B6196A" w:rsidRPr="00D55DC6" w:rsidRDefault="00B6196A" w:rsidP="0038165F">
      <w:pPr>
        <w:pStyle w:val="af2"/>
        <w:snapToGrid w:val="0"/>
        <w:spacing w:line="460" w:lineRule="exact"/>
        <w:ind w:leftChars="-1" w:left="-2" w:firstLineChars="420" w:firstLine="1176"/>
        <w:jc w:val="both"/>
        <w:rPr>
          <w:rFonts w:eastAsia="標楷體"/>
          <w:sz w:val="28"/>
          <w:szCs w:val="28"/>
        </w:rPr>
      </w:pPr>
      <w:r w:rsidRPr="00D55DC6">
        <w:rPr>
          <w:rFonts w:eastAsia="標楷體"/>
          <w:sz w:val="28"/>
          <w:szCs w:val="28"/>
        </w:rPr>
        <w:t>2-5-1</w:t>
      </w:r>
      <w:r w:rsidRPr="00D55DC6">
        <w:rPr>
          <w:rFonts w:eastAsia="標楷體"/>
          <w:sz w:val="28"/>
          <w:szCs w:val="28"/>
        </w:rPr>
        <w:t>經營管理：</w:t>
      </w:r>
    </w:p>
    <w:p w:rsidR="00B6196A" w:rsidRPr="00D55DC6" w:rsidRDefault="00B6196A" w:rsidP="0038165F">
      <w:pPr>
        <w:snapToGrid w:val="0"/>
        <w:spacing w:line="460" w:lineRule="exact"/>
        <w:ind w:leftChars="592" w:left="1844" w:hangingChars="151" w:hanging="423"/>
        <w:jc w:val="both"/>
        <w:rPr>
          <w:rFonts w:eastAsia="標楷體"/>
          <w:sz w:val="28"/>
          <w:szCs w:val="28"/>
        </w:rPr>
      </w:pPr>
      <w:r w:rsidRPr="00D55DC6">
        <w:rPr>
          <w:rFonts w:eastAsia="標楷體"/>
          <w:sz w:val="28"/>
          <w:szCs w:val="28"/>
        </w:rPr>
        <w:t xml:space="preserve">   </w:t>
      </w:r>
      <w:r w:rsidRPr="00D55DC6">
        <w:rPr>
          <w:rFonts w:eastAsia="標楷體"/>
          <w:sz w:val="28"/>
          <w:szCs w:val="28"/>
        </w:rPr>
        <w:t>辦理提昇遊客安全、設施維護管理、環境整潔維護、旅遊旺季交通疏運、活動接駁服務、轄區民宿餐飲工坊產業輔導、據點委託經營及賣店出租等經營管理工作。</w:t>
      </w:r>
    </w:p>
    <w:p w:rsidR="00B6196A" w:rsidRPr="00D55DC6" w:rsidRDefault="00B6196A" w:rsidP="0038165F">
      <w:pPr>
        <w:pStyle w:val="af2"/>
        <w:snapToGrid w:val="0"/>
        <w:spacing w:line="460" w:lineRule="exact"/>
        <w:ind w:leftChars="472" w:left="1841" w:hangingChars="253" w:hanging="708"/>
        <w:jc w:val="both"/>
        <w:rPr>
          <w:rFonts w:eastAsia="標楷體"/>
          <w:sz w:val="28"/>
          <w:szCs w:val="28"/>
        </w:rPr>
      </w:pPr>
      <w:r w:rsidRPr="00D55DC6">
        <w:rPr>
          <w:rFonts w:eastAsia="標楷體"/>
          <w:sz w:val="28"/>
          <w:szCs w:val="28"/>
        </w:rPr>
        <w:t>2-5-2</w:t>
      </w:r>
      <w:r w:rsidRPr="00D55DC6">
        <w:rPr>
          <w:rFonts w:eastAsia="標楷體"/>
          <w:sz w:val="28"/>
          <w:szCs w:val="28"/>
        </w:rPr>
        <w:t>行銷推廣：</w:t>
      </w:r>
    </w:p>
    <w:p w:rsidR="00B6196A" w:rsidRPr="00D55DC6" w:rsidRDefault="00B6196A" w:rsidP="0038165F">
      <w:pPr>
        <w:pStyle w:val="af2"/>
        <w:snapToGrid w:val="0"/>
        <w:spacing w:line="460" w:lineRule="exact"/>
        <w:ind w:leftChars="767" w:left="1841" w:firstLine="2"/>
        <w:jc w:val="both"/>
        <w:rPr>
          <w:rFonts w:eastAsia="標楷體"/>
          <w:sz w:val="28"/>
          <w:szCs w:val="28"/>
        </w:rPr>
      </w:pPr>
      <w:r w:rsidRPr="00D55DC6">
        <w:rPr>
          <w:rFonts w:eastAsia="標楷體"/>
          <w:sz w:val="28"/>
          <w:szCs w:val="28"/>
        </w:rPr>
        <w:t>推動溫泉、生態、宗教、原民文化等主軸活動，於轄區內持續推動南島婚禮、雙年賞蝶、山城花語溫泉季等活動。</w:t>
      </w:r>
    </w:p>
    <w:p w:rsidR="00B6196A" w:rsidRPr="00D55DC6" w:rsidRDefault="00B6196A" w:rsidP="0038165F">
      <w:pPr>
        <w:pStyle w:val="af2"/>
        <w:snapToGrid w:val="0"/>
        <w:spacing w:line="460" w:lineRule="exact"/>
        <w:ind w:leftChars="767" w:left="1841" w:firstLine="2"/>
        <w:jc w:val="both"/>
        <w:rPr>
          <w:rFonts w:eastAsia="標楷體"/>
          <w:sz w:val="28"/>
          <w:szCs w:val="28"/>
        </w:rPr>
      </w:pPr>
    </w:p>
    <w:p w:rsidR="000C5765" w:rsidRPr="00D55DC6" w:rsidRDefault="000C5765" w:rsidP="0038165F">
      <w:pPr>
        <w:pStyle w:val="af2"/>
        <w:snapToGrid w:val="0"/>
        <w:spacing w:line="460" w:lineRule="exact"/>
        <w:ind w:leftChars="767" w:left="1841" w:firstLine="2"/>
        <w:jc w:val="both"/>
        <w:rPr>
          <w:rFonts w:eastAsia="標楷體"/>
          <w:sz w:val="28"/>
          <w:szCs w:val="28"/>
        </w:rPr>
      </w:pPr>
    </w:p>
    <w:p w:rsidR="00B6196A" w:rsidRPr="00D55DC6" w:rsidRDefault="00B6196A" w:rsidP="0038165F">
      <w:pPr>
        <w:pStyle w:val="a"/>
        <w:ind w:left="709" w:hanging="709"/>
        <w:rPr>
          <w:b/>
        </w:rPr>
      </w:pPr>
      <w:bookmarkStart w:id="138" w:name="_Toc407181703"/>
      <w:r w:rsidRPr="00D55DC6">
        <w:rPr>
          <w:b/>
        </w:rPr>
        <w:lastRenderedPageBreak/>
        <w:t>執行策略及方法</w:t>
      </w:r>
      <w:bookmarkEnd w:id="138"/>
    </w:p>
    <w:p w:rsidR="00B6196A" w:rsidRPr="00D55DC6" w:rsidRDefault="00B6196A" w:rsidP="004865C1">
      <w:pPr>
        <w:pStyle w:val="af2"/>
        <w:numPr>
          <w:ilvl w:val="0"/>
          <w:numId w:val="130"/>
        </w:numPr>
        <w:snapToGrid w:val="0"/>
        <w:spacing w:line="460" w:lineRule="exact"/>
        <w:ind w:leftChars="0"/>
        <w:jc w:val="both"/>
        <w:rPr>
          <w:rFonts w:eastAsia="標楷體"/>
          <w:b/>
          <w:sz w:val="28"/>
          <w:szCs w:val="28"/>
        </w:rPr>
      </w:pPr>
      <w:r w:rsidRPr="00D55DC6">
        <w:rPr>
          <w:rFonts w:eastAsia="標楷體"/>
          <w:b/>
          <w:sz w:val="28"/>
          <w:szCs w:val="28"/>
        </w:rPr>
        <w:t>執行策略</w:t>
      </w:r>
    </w:p>
    <w:p w:rsidR="00B6196A" w:rsidRPr="00D55DC6" w:rsidRDefault="00B6196A" w:rsidP="0038165F">
      <w:pPr>
        <w:spacing w:line="460" w:lineRule="exact"/>
        <w:ind w:leftChars="294" w:left="989" w:hangingChars="101" w:hanging="283"/>
        <w:rPr>
          <w:rFonts w:eastAsia="標楷體"/>
          <w:sz w:val="28"/>
          <w:szCs w:val="28"/>
        </w:rPr>
      </w:pPr>
      <w:r w:rsidRPr="00D55DC6">
        <w:rPr>
          <w:rFonts w:eastAsia="標楷體"/>
          <w:sz w:val="28"/>
          <w:szCs w:val="28"/>
        </w:rPr>
        <w:t>1.</w:t>
      </w:r>
      <w:r w:rsidRPr="00D55DC6">
        <w:rPr>
          <w:rFonts w:eastAsia="標楷體"/>
          <w:sz w:val="28"/>
          <w:szCs w:val="28"/>
        </w:rPr>
        <w:t>需求量：為提昇本轄區遊憩服務品質，應透過設施出租、獎勵民間參與以及跨域合作方式增設遊憩設施、餐飲與住宿等服務設施，滿足日漸增加之遊客量以及其遊憩需求。</w:t>
      </w:r>
    </w:p>
    <w:p w:rsidR="00B6196A" w:rsidRPr="00D55DC6" w:rsidRDefault="00B6196A" w:rsidP="0038165F">
      <w:pPr>
        <w:spacing w:line="460" w:lineRule="exact"/>
        <w:ind w:leftChars="294" w:left="989" w:hangingChars="101" w:hanging="283"/>
        <w:rPr>
          <w:rFonts w:eastAsia="標楷體"/>
          <w:sz w:val="28"/>
          <w:szCs w:val="28"/>
        </w:rPr>
      </w:pPr>
      <w:r w:rsidRPr="00D55DC6">
        <w:rPr>
          <w:rFonts w:eastAsia="標楷體"/>
          <w:sz w:val="28"/>
          <w:szCs w:val="28"/>
        </w:rPr>
        <w:t>2.</w:t>
      </w:r>
      <w:r w:rsidRPr="00D55DC6">
        <w:rPr>
          <w:rFonts w:eastAsia="標楷體"/>
          <w:sz w:val="28"/>
          <w:szCs w:val="28"/>
        </w:rPr>
        <w:tab/>
      </w:r>
      <w:r w:rsidRPr="00D55DC6">
        <w:rPr>
          <w:rFonts w:eastAsia="標楷體"/>
          <w:sz w:val="28"/>
          <w:szCs w:val="28"/>
        </w:rPr>
        <w:t>承載量：為避免大量遊客過度集中於單一據點，造成設施承載量或生態承載量等問題，藉由使用者付費與收取清潔維護費之方式達到遊客分流目的，以調解過多之遊客集中於單一據點可能對於環境造成之影響。</w:t>
      </w:r>
    </w:p>
    <w:p w:rsidR="00B6196A" w:rsidRPr="00D55DC6" w:rsidRDefault="00B6196A" w:rsidP="0038165F">
      <w:pPr>
        <w:spacing w:line="460" w:lineRule="exact"/>
        <w:ind w:leftChars="294" w:left="989" w:hangingChars="101" w:hanging="283"/>
        <w:rPr>
          <w:rFonts w:eastAsia="標楷體"/>
          <w:sz w:val="28"/>
          <w:szCs w:val="28"/>
        </w:rPr>
      </w:pPr>
      <w:r w:rsidRPr="00D55DC6">
        <w:rPr>
          <w:rFonts w:eastAsia="標楷體"/>
          <w:sz w:val="28"/>
          <w:szCs w:val="28"/>
        </w:rPr>
        <w:t>3.</w:t>
      </w:r>
      <w:r w:rsidRPr="00D55DC6">
        <w:rPr>
          <w:rFonts w:eastAsia="標楷體"/>
          <w:sz w:val="28"/>
          <w:szCs w:val="28"/>
        </w:rPr>
        <w:tab/>
      </w:r>
      <w:r w:rsidRPr="00D55DC6">
        <w:rPr>
          <w:rFonts w:eastAsia="標楷體"/>
          <w:sz w:val="28"/>
          <w:szCs w:val="28"/>
        </w:rPr>
        <w:t>經營管理：透過環境教育遊程與社區或相關單位合作，以共同維護經營之方式跨域結合，除可減少</w:t>
      </w:r>
      <w:r w:rsidR="009B2D95" w:rsidRPr="00D55DC6">
        <w:rPr>
          <w:rFonts w:eastAsia="標楷體"/>
          <w:sz w:val="28"/>
          <w:szCs w:val="28"/>
        </w:rPr>
        <w:t>管理處</w:t>
      </w:r>
      <w:r w:rsidRPr="00D55DC6">
        <w:rPr>
          <w:rFonts w:eastAsia="標楷體"/>
          <w:sz w:val="28"/>
          <w:szCs w:val="28"/>
        </w:rPr>
        <w:t>需支應之維管成本之外，使用者亦可提供</w:t>
      </w:r>
      <w:r w:rsidR="009B2D95" w:rsidRPr="00D55DC6">
        <w:rPr>
          <w:rFonts w:eastAsia="標楷體"/>
          <w:sz w:val="28"/>
          <w:szCs w:val="28"/>
        </w:rPr>
        <w:t>管理處</w:t>
      </w:r>
      <w:r w:rsidRPr="00D55DC6">
        <w:rPr>
          <w:rFonts w:eastAsia="標楷體"/>
          <w:sz w:val="28"/>
          <w:szCs w:val="28"/>
        </w:rPr>
        <w:t>最直接的設施使用心得與意見回饋。</w:t>
      </w:r>
    </w:p>
    <w:p w:rsidR="00B6196A" w:rsidRPr="00D55DC6" w:rsidRDefault="00B6196A" w:rsidP="0038165F">
      <w:pPr>
        <w:spacing w:line="460" w:lineRule="exact"/>
        <w:ind w:leftChars="294" w:left="989" w:hangingChars="101" w:hanging="283"/>
        <w:rPr>
          <w:rFonts w:eastAsia="標楷體"/>
          <w:sz w:val="28"/>
          <w:szCs w:val="28"/>
        </w:rPr>
      </w:pPr>
      <w:r w:rsidRPr="00D55DC6">
        <w:rPr>
          <w:rFonts w:eastAsia="標楷體"/>
          <w:sz w:val="28"/>
          <w:szCs w:val="28"/>
        </w:rPr>
        <w:t>4.</w:t>
      </w:r>
      <w:r w:rsidRPr="00D55DC6">
        <w:rPr>
          <w:rFonts w:eastAsia="標楷體"/>
          <w:sz w:val="28"/>
          <w:szCs w:val="28"/>
        </w:rPr>
        <w:tab/>
      </w:r>
      <w:r w:rsidRPr="00D55DC6">
        <w:rPr>
          <w:rFonts w:eastAsia="標楷體"/>
          <w:sz w:val="28"/>
          <w:szCs w:val="28"/>
        </w:rPr>
        <w:t>產業發展：輔導區內觀光相關產業尋找地方核心主題，重新包裝產品、推動節慶活動、宣揚原民在地生活文化、增加媒體露出機會以及創造地方話題性，協助產業質量提昇與服務優化。</w:t>
      </w:r>
    </w:p>
    <w:p w:rsidR="00B6196A" w:rsidRPr="00D55DC6" w:rsidRDefault="00B6196A" w:rsidP="0038165F">
      <w:pPr>
        <w:spacing w:line="460" w:lineRule="exact"/>
        <w:ind w:leftChars="294" w:left="989" w:hangingChars="101" w:hanging="283"/>
        <w:rPr>
          <w:rFonts w:eastAsia="標楷體"/>
          <w:sz w:val="28"/>
          <w:szCs w:val="28"/>
        </w:rPr>
      </w:pPr>
      <w:r w:rsidRPr="00D55DC6">
        <w:rPr>
          <w:rFonts w:eastAsia="標楷體"/>
          <w:sz w:val="28"/>
          <w:szCs w:val="28"/>
        </w:rPr>
        <w:t>5.</w:t>
      </w:r>
      <w:r w:rsidRPr="00D55DC6">
        <w:rPr>
          <w:rFonts w:eastAsia="標楷體"/>
          <w:sz w:val="28"/>
          <w:szCs w:val="28"/>
        </w:rPr>
        <w:tab/>
      </w:r>
      <w:r w:rsidRPr="00D55DC6">
        <w:rPr>
          <w:rFonts w:eastAsia="標楷體"/>
          <w:sz w:val="28"/>
          <w:szCs w:val="28"/>
        </w:rPr>
        <w:t>財務自償：規劃設施出租、獎勵民間投資、使用者付費、跨域合作等方式提昇本區財務自償率。</w:t>
      </w:r>
    </w:p>
    <w:p w:rsidR="00B6196A" w:rsidRPr="00D55DC6" w:rsidRDefault="00B6196A" w:rsidP="0038165F">
      <w:pPr>
        <w:spacing w:line="460" w:lineRule="exact"/>
        <w:ind w:leftChars="294" w:left="989" w:hangingChars="101" w:hanging="283"/>
        <w:rPr>
          <w:rFonts w:eastAsia="標楷體"/>
          <w:sz w:val="28"/>
          <w:szCs w:val="28"/>
        </w:rPr>
      </w:pPr>
      <w:r w:rsidRPr="00D55DC6">
        <w:rPr>
          <w:rFonts w:eastAsia="標楷體"/>
          <w:sz w:val="28"/>
          <w:szCs w:val="28"/>
        </w:rPr>
        <w:t>6.</w:t>
      </w:r>
      <w:r w:rsidRPr="00D55DC6">
        <w:rPr>
          <w:rFonts w:eastAsia="標楷體"/>
          <w:sz w:val="28"/>
          <w:szCs w:val="28"/>
        </w:rPr>
        <w:tab/>
      </w:r>
      <w:r w:rsidRPr="00D55DC6">
        <w:rPr>
          <w:rFonts w:eastAsia="標楷體"/>
          <w:sz w:val="28"/>
          <w:szCs w:val="28"/>
        </w:rPr>
        <w:t>交通接駁：推動全轄區之觀光巴士：新威交通轉運站之催生，爭取觀光公車運行，設置地磨兒交通轉運站。</w:t>
      </w:r>
    </w:p>
    <w:p w:rsidR="00D46F76" w:rsidRPr="00D55DC6" w:rsidRDefault="00D46F76" w:rsidP="00D46F76">
      <w:pPr>
        <w:spacing w:line="460" w:lineRule="exact"/>
        <w:ind w:leftChars="294" w:left="989" w:hangingChars="101" w:hanging="283"/>
        <w:rPr>
          <w:rFonts w:eastAsia="標楷體"/>
          <w:sz w:val="28"/>
          <w:szCs w:val="28"/>
        </w:rPr>
      </w:pPr>
      <w:r w:rsidRPr="00D55DC6">
        <w:rPr>
          <w:rFonts w:eastAsia="標楷體"/>
          <w:sz w:val="28"/>
          <w:szCs w:val="28"/>
        </w:rPr>
        <w:t>7.</w:t>
      </w:r>
      <w:r w:rsidRPr="00D55DC6">
        <w:rPr>
          <w:rFonts w:eastAsia="標楷體"/>
          <w:sz w:val="28"/>
          <w:szCs w:val="28"/>
        </w:rPr>
        <w:t>區域均衡發展：依各遊憩次系統之觀光資源為發展基礎，各次系統分別以觀光發展目標擬定其觀光主題與推動作法，達到本風景區內區域均衡發展之目標。</w:t>
      </w:r>
    </w:p>
    <w:p w:rsidR="00D46F76" w:rsidRPr="00D55DC6" w:rsidRDefault="00D46F76" w:rsidP="00D46F76">
      <w:pPr>
        <w:spacing w:line="460" w:lineRule="exact"/>
        <w:ind w:leftChars="294" w:left="989" w:hangingChars="101" w:hanging="283"/>
        <w:rPr>
          <w:rFonts w:eastAsia="標楷體"/>
          <w:sz w:val="28"/>
          <w:szCs w:val="28"/>
        </w:rPr>
      </w:pPr>
      <w:r w:rsidRPr="00D55DC6">
        <w:rPr>
          <w:rFonts w:eastAsia="標楷體"/>
          <w:sz w:val="28"/>
          <w:szCs w:val="28"/>
        </w:rPr>
        <w:t>8.</w:t>
      </w:r>
      <w:r w:rsidRPr="00D55DC6">
        <w:rPr>
          <w:rFonts w:eastAsia="標楷體"/>
          <w:sz w:val="28"/>
          <w:szCs w:val="28"/>
        </w:rPr>
        <w:t>智慧觀光：適時、適地、適性的提供資訊及服務為提升旅遊品質的關鍵，以智慧系統服務為基礎，多元整合政府、業者及</w:t>
      </w:r>
      <w:r w:rsidRPr="00D55DC6">
        <w:rPr>
          <w:rFonts w:eastAsia="標楷體"/>
          <w:sz w:val="28"/>
          <w:szCs w:val="28"/>
        </w:rPr>
        <w:t>Open Data</w:t>
      </w:r>
      <w:r w:rsidRPr="00D55DC6">
        <w:rPr>
          <w:rFonts w:eastAsia="標楷體"/>
          <w:sz w:val="28"/>
          <w:szCs w:val="28"/>
        </w:rPr>
        <w:t>，透過即時分析旅客偏好與社群資訊，加值旅客個人化服務，包括個人化旅遊時間及旅遊資訊提醒、旅途中周邊小吃、伴手禮、活動推薦，甚或結合在地社群評價，進行動態展示與推薦，刺激旅遊導購及導遊等；提供景點深度導覽，利用故事化特色加深旅客印象，吸引旅客再次造訪或將美好的旅遊經驗分享出去。</w:t>
      </w:r>
    </w:p>
    <w:p w:rsidR="00B6196A" w:rsidRPr="00D55DC6" w:rsidRDefault="00B6196A" w:rsidP="0038165F">
      <w:pPr>
        <w:spacing w:line="460" w:lineRule="exact"/>
        <w:ind w:leftChars="294" w:left="989" w:hangingChars="101" w:hanging="283"/>
        <w:rPr>
          <w:rFonts w:eastAsia="標楷體"/>
          <w:sz w:val="28"/>
          <w:szCs w:val="28"/>
        </w:rPr>
      </w:pPr>
    </w:p>
    <w:p w:rsidR="00B6196A" w:rsidRPr="00D55DC6" w:rsidRDefault="00B6196A" w:rsidP="004865C1">
      <w:pPr>
        <w:pStyle w:val="af2"/>
        <w:numPr>
          <w:ilvl w:val="0"/>
          <w:numId w:val="130"/>
        </w:numPr>
        <w:snapToGrid w:val="0"/>
        <w:spacing w:line="460" w:lineRule="exact"/>
        <w:ind w:leftChars="0"/>
        <w:jc w:val="both"/>
        <w:rPr>
          <w:rFonts w:eastAsia="標楷體"/>
          <w:b/>
          <w:sz w:val="28"/>
          <w:szCs w:val="28"/>
        </w:rPr>
      </w:pPr>
      <w:r w:rsidRPr="00D55DC6">
        <w:rPr>
          <w:rFonts w:eastAsia="標楷體"/>
          <w:b/>
          <w:sz w:val="28"/>
          <w:szCs w:val="28"/>
        </w:rPr>
        <w:lastRenderedPageBreak/>
        <w:t>主要工作項目</w:t>
      </w:r>
    </w:p>
    <w:p w:rsidR="00B6196A" w:rsidRPr="00D55DC6" w:rsidRDefault="00B6196A" w:rsidP="004865C1">
      <w:pPr>
        <w:pStyle w:val="af2"/>
        <w:numPr>
          <w:ilvl w:val="1"/>
          <w:numId w:val="130"/>
        </w:numPr>
        <w:snapToGrid w:val="0"/>
        <w:spacing w:line="460" w:lineRule="exact"/>
        <w:ind w:leftChars="0"/>
        <w:jc w:val="both"/>
        <w:rPr>
          <w:rFonts w:eastAsia="標楷體"/>
          <w:b/>
          <w:sz w:val="28"/>
          <w:szCs w:val="28"/>
        </w:rPr>
      </w:pPr>
      <w:r w:rsidRPr="00D55DC6">
        <w:rPr>
          <w:rFonts w:eastAsia="標楷體"/>
          <w:b/>
          <w:sz w:val="28"/>
          <w:szCs w:val="28"/>
        </w:rPr>
        <w:t>國際觀光景點建設</w:t>
      </w:r>
    </w:p>
    <w:p w:rsidR="00B6196A" w:rsidRPr="00D55DC6" w:rsidRDefault="00B6196A" w:rsidP="0038165F">
      <w:pPr>
        <w:pStyle w:val="af2"/>
        <w:snapToGrid w:val="0"/>
        <w:spacing w:line="460" w:lineRule="exact"/>
        <w:ind w:leftChars="295" w:left="991" w:hangingChars="101" w:hanging="283"/>
        <w:jc w:val="both"/>
        <w:rPr>
          <w:rFonts w:eastAsia="標楷體"/>
          <w:sz w:val="28"/>
          <w:szCs w:val="28"/>
        </w:rPr>
      </w:pPr>
      <w:r w:rsidRPr="00D55DC6">
        <w:rPr>
          <w:rFonts w:eastAsia="標楷體"/>
          <w:sz w:val="28"/>
          <w:szCs w:val="28"/>
        </w:rPr>
        <w:t>1-1</w:t>
      </w:r>
      <w:r w:rsidRPr="00D55DC6">
        <w:rPr>
          <w:rFonts w:eastAsia="標楷體"/>
          <w:sz w:val="28"/>
          <w:szCs w:val="28"/>
        </w:rPr>
        <w:t>新威茂林遊憩區</w:t>
      </w:r>
    </w:p>
    <w:p w:rsidR="00FF0173" w:rsidRPr="00D55DC6" w:rsidRDefault="00FF0173" w:rsidP="00FF0173">
      <w:pPr>
        <w:pStyle w:val="af2"/>
        <w:snapToGrid w:val="0"/>
        <w:spacing w:line="460" w:lineRule="exact"/>
        <w:ind w:leftChars="377" w:left="1700" w:hangingChars="284" w:hanging="795"/>
        <w:jc w:val="both"/>
        <w:rPr>
          <w:rFonts w:eastAsia="標楷體"/>
          <w:sz w:val="28"/>
          <w:szCs w:val="28"/>
        </w:rPr>
      </w:pPr>
      <w:r w:rsidRPr="00D55DC6">
        <w:rPr>
          <w:rFonts w:eastAsia="標楷體"/>
          <w:sz w:val="28"/>
          <w:szCs w:val="28"/>
        </w:rPr>
        <w:t xml:space="preserve">1-1-1 </w:t>
      </w:r>
      <w:r w:rsidRPr="00D55DC6">
        <w:rPr>
          <w:rFonts w:eastAsia="標楷體"/>
          <w:sz w:val="28"/>
          <w:szCs w:val="28"/>
        </w:rPr>
        <w:t>茂林紫蝶幽谷生態園區：紫蝶幽谷生態園區接駁轉運及周邊設施改善工程。</w:t>
      </w:r>
    </w:p>
    <w:p w:rsidR="00FF0173" w:rsidRPr="00D55DC6" w:rsidRDefault="00FF0173" w:rsidP="00FF0173">
      <w:pPr>
        <w:pStyle w:val="af2"/>
        <w:snapToGrid w:val="0"/>
        <w:spacing w:line="460" w:lineRule="exact"/>
        <w:ind w:leftChars="377" w:left="1700" w:hangingChars="284" w:hanging="795"/>
        <w:jc w:val="both"/>
        <w:rPr>
          <w:rFonts w:eastAsia="標楷體"/>
          <w:sz w:val="28"/>
          <w:szCs w:val="28"/>
        </w:rPr>
      </w:pPr>
      <w:r w:rsidRPr="00D55DC6">
        <w:rPr>
          <w:rFonts w:eastAsia="標楷體"/>
          <w:sz w:val="28"/>
          <w:szCs w:val="28"/>
        </w:rPr>
        <w:t xml:space="preserve">1-1-2 </w:t>
      </w:r>
      <w:r w:rsidRPr="00D55DC6">
        <w:rPr>
          <w:rFonts w:eastAsia="標楷體"/>
          <w:sz w:val="28"/>
          <w:szCs w:val="28"/>
        </w:rPr>
        <w:t>新威森林公園：新威遊客暨行政管理中心附屬設施工程、新威遊客中心新建及附屬設施工程、交通接駁轉運中心、新威森林公園園區服務設施改善工程。</w:t>
      </w:r>
    </w:p>
    <w:p w:rsidR="00FF0173" w:rsidRPr="00D55DC6" w:rsidRDefault="00FF0173" w:rsidP="00FF0173">
      <w:pPr>
        <w:pStyle w:val="af2"/>
        <w:snapToGrid w:val="0"/>
        <w:spacing w:line="460" w:lineRule="exact"/>
        <w:ind w:leftChars="377" w:left="1417" w:hangingChars="183" w:hanging="512"/>
        <w:jc w:val="both"/>
        <w:rPr>
          <w:rFonts w:eastAsia="標楷體"/>
          <w:sz w:val="28"/>
          <w:szCs w:val="28"/>
        </w:rPr>
      </w:pPr>
      <w:r w:rsidRPr="00D55DC6">
        <w:rPr>
          <w:rFonts w:eastAsia="標楷體"/>
          <w:sz w:val="28"/>
          <w:szCs w:val="28"/>
        </w:rPr>
        <w:t xml:space="preserve">1-1-3 </w:t>
      </w:r>
      <w:r w:rsidRPr="00D55DC6">
        <w:rPr>
          <w:rFonts w:eastAsia="標楷體"/>
          <w:sz w:val="28"/>
          <w:szCs w:val="28"/>
        </w:rPr>
        <w:t>茂林情人谷停車場及周邊服務設施改善工程。</w:t>
      </w:r>
    </w:p>
    <w:p w:rsidR="00FF0173" w:rsidRPr="00D55DC6" w:rsidRDefault="00FF0173" w:rsidP="00FF0173">
      <w:pPr>
        <w:pStyle w:val="af2"/>
        <w:snapToGrid w:val="0"/>
        <w:spacing w:line="460" w:lineRule="exact"/>
        <w:ind w:leftChars="377" w:left="1417" w:hangingChars="183" w:hanging="512"/>
        <w:jc w:val="both"/>
        <w:rPr>
          <w:rFonts w:eastAsia="標楷體"/>
          <w:sz w:val="28"/>
          <w:szCs w:val="28"/>
        </w:rPr>
      </w:pPr>
      <w:r w:rsidRPr="00D55DC6">
        <w:rPr>
          <w:rFonts w:eastAsia="標楷體"/>
          <w:sz w:val="28"/>
          <w:szCs w:val="28"/>
        </w:rPr>
        <w:t xml:space="preserve">1-1-4 </w:t>
      </w:r>
      <w:r w:rsidRPr="00D55DC6">
        <w:rPr>
          <w:rFonts w:eastAsia="標楷體"/>
          <w:sz w:val="28"/>
          <w:szCs w:val="28"/>
        </w:rPr>
        <w:t>茂林谷交通接駁及服務設施改善工程。</w:t>
      </w:r>
    </w:p>
    <w:p w:rsidR="00FF0173" w:rsidRPr="00D55DC6" w:rsidRDefault="00FF0173" w:rsidP="00FF0173">
      <w:pPr>
        <w:pStyle w:val="af2"/>
        <w:snapToGrid w:val="0"/>
        <w:spacing w:line="460" w:lineRule="exact"/>
        <w:ind w:leftChars="377" w:left="905"/>
        <w:jc w:val="both"/>
        <w:rPr>
          <w:rFonts w:eastAsia="標楷體"/>
          <w:sz w:val="28"/>
          <w:szCs w:val="28"/>
        </w:rPr>
      </w:pPr>
      <w:r w:rsidRPr="00D55DC6">
        <w:rPr>
          <w:rFonts w:eastAsia="標楷體"/>
          <w:sz w:val="28"/>
          <w:szCs w:val="28"/>
        </w:rPr>
        <w:t>1-1-5</w:t>
      </w:r>
      <w:r w:rsidRPr="00D55DC6">
        <w:rPr>
          <w:rFonts w:eastAsia="標楷體"/>
          <w:sz w:val="28"/>
          <w:szCs w:val="28"/>
        </w:rPr>
        <w:t>茂林多納傳統部落石板屋建置及周邊服務設施改善工程。</w:t>
      </w:r>
    </w:p>
    <w:p w:rsidR="00FF0173" w:rsidRPr="00D55DC6" w:rsidRDefault="00FF0173" w:rsidP="00FF0173">
      <w:pPr>
        <w:pStyle w:val="af2"/>
        <w:snapToGrid w:val="0"/>
        <w:spacing w:line="460" w:lineRule="exact"/>
        <w:ind w:leftChars="377" w:left="905"/>
        <w:jc w:val="both"/>
        <w:rPr>
          <w:rFonts w:eastAsia="標楷體"/>
          <w:sz w:val="28"/>
          <w:szCs w:val="28"/>
        </w:rPr>
      </w:pPr>
      <w:r w:rsidRPr="00D55DC6">
        <w:rPr>
          <w:rFonts w:eastAsia="標楷體"/>
          <w:sz w:val="28"/>
          <w:szCs w:val="28"/>
        </w:rPr>
        <w:t>1-1-6</w:t>
      </w:r>
      <w:r w:rsidRPr="00D55DC6">
        <w:rPr>
          <w:rFonts w:eastAsia="標楷體"/>
          <w:sz w:val="28"/>
          <w:szCs w:val="28"/>
        </w:rPr>
        <w:t>茂林多納溫泉區遊憩服務設施改善工程。</w:t>
      </w:r>
    </w:p>
    <w:p w:rsidR="00FF0173" w:rsidRPr="00D55DC6" w:rsidRDefault="00FF0173" w:rsidP="00FF0173">
      <w:pPr>
        <w:pStyle w:val="af2"/>
        <w:snapToGrid w:val="0"/>
        <w:spacing w:line="460" w:lineRule="exact"/>
        <w:ind w:leftChars="0" w:left="709"/>
        <w:jc w:val="both"/>
        <w:rPr>
          <w:rFonts w:eastAsia="標楷體"/>
          <w:sz w:val="28"/>
          <w:szCs w:val="28"/>
        </w:rPr>
      </w:pPr>
      <w:r w:rsidRPr="00D55DC6">
        <w:rPr>
          <w:rFonts w:eastAsia="標楷體"/>
          <w:sz w:val="28"/>
          <w:szCs w:val="28"/>
        </w:rPr>
        <w:t>1-2</w:t>
      </w:r>
      <w:r w:rsidRPr="00D55DC6">
        <w:rPr>
          <w:rFonts w:eastAsia="標楷體"/>
          <w:sz w:val="28"/>
          <w:szCs w:val="28"/>
        </w:rPr>
        <w:t>賽嘉遊憩區</w:t>
      </w:r>
    </w:p>
    <w:p w:rsidR="00FF0173" w:rsidRPr="00D55DC6" w:rsidRDefault="00FF0173" w:rsidP="00FF0173">
      <w:pPr>
        <w:pStyle w:val="af2"/>
        <w:snapToGrid w:val="0"/>
        <w:spacing w:line="460" w:lineRule="exact"/>
        <w:ind w:leftChars="377" w:left="1700" w:hangingChars="284" w:hanging="795"/>
        <w:jc w:val="both"/>
        <w:rPr>
          <w:rFonts w:eastAsia="標楷體"/>
          <w:sz w:val="28"/>
          <w:szCs w:val="28"/>
        </w:rPr>
      </w:pPr>
      <w:r w:rsidRPr="00D55DC6">
        <w:rPr>
          <w:rFonts w:eastAsia="標楷體"/>
          <w:sz w:val="28"/>
          <w:szCs w:val="28"/>
        </w:rPr>
        <w:t>1-2-1</w:t>
      </w:r>
      <w:r w:rsidRPr="00D55DC6">
        <w:rPr>
          <w:rFonts w:eastAsia="標楷體"/>
          <w:sz w:val="28"/>
          <w:szCs w:val="28"/>
        </w:rPr>
        <w:t>賽嘉無動力飛行場園區：水土保持工程、賽嘉無動力飛行場園區服務中心及周邊設施新建工程。</w:t>
      </w:r>
    </w:p>
    <w:p w:rsidR="00B6196A" w:rsidRPr="00D55DC6" w:rsidRDefault="00B6196A" w:rsidP="004865C1">
      <w:pPr>
        <w:pStyle w:val="af2"/>
        <w:numPr>
          <w:ilvl w:val="1"/>
          <w:numId w:val="130"/>
        </w:numPr>
        <w:snapToGrid w:val="0"/>
        <w:spacing w:line="460" w:lineRule="exact"/>
        <w:ind w:leftChars="0"/>
        <w:jc w:val="both"/>
        <w:rPr>
          <w:rFonts w:eastAsia="標楷體"/>
          <w:b/>
          <w:sz w:val="28"/>
          <w:szCs w:val="28"/>
        </w:rPr>
      </w:pPr>
      <w:r w:rsidRPr="00D55DC6">
        <w:rPr>
          <w:rFonts w:eastAsia="標楷體"/>
          <w:b/>
          <w:sz w:val="28"/>
          <w:szCs w:val="28"/>
        </w:rPr>
        <w:t>國內觀光景點建設</w:t>
      </w:r>
    </w:p>
    <w:p w:rsidR="00B6196A" w:rsidRPr="00D55DC6" w:rsidRDefault="00B6196A" w:rsidP="0038165F">
      <w:pPr>
        <w:pStyle w:val="af2"/>
        <w:snapToGrid w:val="0"/>
        <w:spacing w:line="460" w:lineRule="exact"/>
        <w:ind w:leftChars="295" w:left="708"/>
        <w:jc w:val="both"/>
        <w:rPr>
          <w:rFonts w:eastAsia="標楷體"/>
          <w:sz w:val="28"/>
          <w:szCs w:val="28"/>
        </w:rPr>
      </w:pPr>
      <w:r w:rsidRPr="00D55DC6">
        <w:rPr>
          <w:rFonts w:eastAsia="標楷體"/>
          <w:sz w:val="28"/>
          <w:szCs w:val="28"/>
        </w:rPr>
        <w:t>2-1</w:t>
      </w:r>
      <w:r w:rsidRPr="00D55DC6">
        <w:rPr>
          <w:rFonts w:eastAsia="標楷體"/>
          <w:sz w:val="28"/>
          <w:szCs w:val="28"/>
        </w:rPr>
        <w:t>荖濃遊憩系統</w:t>
      </w:r>
    </w:p>
    <w:p w:rsidR="00FF0173" w:rsidRPr="00D55DC6" w:rsidRDefault="00FF0173" w:rsidP="00FF0173">
      <w:pPr>
        <w:pStyle w:val="af2"/>
        <w:snapToGrid w:val="0"/>
        <w:spacing w:line="460" w:lineRule="exact"/>
        <w:ind w:leftChars="377" w:left="1700" w:hangingChars="284" w:hanging="795"/>
        <w:jc w:val="both"/>
        <w:rPr>
          <w:rFonts w:eastAsia="標楷體"/>
          <w:sz w:val="28"/>
          <w:szCs w:val="28"/>
        </w:rPr>
      </w:pPr>
      <w:r w:rsidRPr="00D55DC6">
        <w:rPr>
          <w:rFonts w:eastAsia="標楷體"/>
          <w:sz w:val="28"/>
          <w:szCs w:val="28"/>
        </w:rPr>
        <w:t>2-1-1</w:t>
      </w:r>
      <w:r w:rsidRPr="00D55DC6">
        <w:rPr>
          <w:rFonts w:eastAsia="標楷體"/>
          <w:sz w:val="28"/>
          <w:szCs w:val="28"/>
        </w:rPr>
        <w:t>寶來不老溫泉區景觀及服務設施改善工程。</w:t>
      </w:r>
    </w:p>
    <w:p w:rsidR="00FF0173" w:rsidRPr="00D55DC6" w:rsidRDefault="00FF0173" w:rsidP="00FF0173">
      <w:pPr>
        <w:pStyle w:val="af2"/>
        <w:snapToGrid w:val="0"/>
        <w:spacing w:line="460" w:lineRule="exact"/>
        <w:ind w:leftChars="377" w:left="1700" w:hangingChars="284" w:hanging="795"/>
        <w:jc w:val="both"/>
        <w:rPr>
          <w:rFonts w:eastAsia="標楷體"/>
          <w:sz w:val="28"/>
          <w:szCs w:val="28"/>
        </w:rPr>
      </w:pPr>
      <w:r w:rsidRPr="00D55DC6">
        <w:rPr>
          <w:rFonts w:eastAsia="標楷體"/>
          <w:sz w:val="28"/>
          <w:szCs w:val="28"/>
        </w:rPr>
        <w:t>2-1-2.</w:t>
      </w:r>
      <w:r w:rsidRPr="00D55DC6">
        <w:rPr>
          <w:rFonts w:eastAsia="標楷體"/>
          <w:sz w:val="28"/>
          <w:szCs w:val="28"/>
        </w:rPr>
        <w:t>荖濃溪泛舟上下岸服務設施整備工程。</w:t>
      </w:r>
    </w:p>
    <w:p w:rsidR="00FF0173" w:rsidRPr="00D55DC6" w:rsidRDefault="00FF0173" w:rsidP="00FF0173">
      <w:pPr>
        <w:pStyle w:val="af2"/>
        <w:snapToGrid w:val="0"/>
        <w:spacing w:line="460" w:lineRule="exact"/>
        <w:ind w:leftChars="377" w:left="1700" w:hangingChars="284" w:hanging="795"/>
        <w:jc w:val="both"/>
        <w:rPr>
          <w:rFonts w:eastAsia="標楷體"/>
          <w:sz w:val="28"/>
          <w:szCs w:val="28"/>
        </w:rPr>
      </w:pPr>
      <w:r w:rsidRPr="00D55DC6">
        <w:rPr>
          <w:rFonts w:eastAsia="標楷體"/>
          <w:sz w:val="28"/>
          <w:szCs w:val="28"/>
        </w:rPr>
        <w:t>2-1-3</w:t>
      </w:r>
      <w:r w:rsidRPr="00D55DC6">
        <w:rPr>
          <w:rFonts w:eastAsia="標楷體"/>
          <w:sz w:val="28"/>
          <w:szCs w:val="28"/>
        </w:rPr>
        <w:t>竹林地區遊憩服務設施改善工程。</w:t>
      </w:r>
    </w:p>
    <w:p w:rsidR="00FF0173" w:rsidRPr="00D55DC6" w:rsidRDefault="00FF0173" w:rsidP="00FF0173">
      <w:pPr>
        <w:pStyle w:val="af2"/>
        <w:snapToGrid w:val="0"/>
        <w:spacing w:line="460" w:lineRule="exact"/>
        <w:ind w:leftChars="377" w:left="1700" w:hangingChars="284" w:hanging="795"/>
        <w:jc w:val="both"/>
        <w:rPr>
          <w:rFonts w:eastAsia="標楷體"/>
          <w:sz w:val="28"/>
          <w:szCs w:val="28"/>
        </w:rPr>
      </w:pPr>
      <w:r w:rsidRPr="00D55DC6">
        <w:rPr>
          <w:rFonts w:eastAsia="標楷體"/>
          <w:sz w:val="28"/>
          <w:szCs w:val="28"/>
        </w:rPr>
        <w:t>2-1-4</w:t>
      </w:r>
      <w:r w:rsidRPr="00D55DC6">
        <w:rPr>
          <w:rFonts w:eastAsia="標楷體"/>
          <w:sz w:val="28"/>
          <w:szCs w:val="28"/>
        </w:rPr>
        <w:t>十八羅漢山服務區周邊景觀服務設施改善工程。</w:t>
      </w:r>
    </w:p>
    <w:p w:rsidR="00FF0173" w:rsidRPr="00D55DC6" w:rsidRDefault="00FF0173" w:rsidP="00FF0173">
      <w:pPr>
        <w:pStyle w:val="af2"/>
        <w:snapToGrid w:val="0"/>
        <w:spacing w:line="460" w:lineRule="exact"/>
        <w:ind w:leftChars="295" w:left="708"/>
        <w:jc w:val="both"/>
        <w:rPr>
          <w:rFonts w:eastAsia="標楷體"/>
          <w:sz w:val="28"/>
          <w:szCs w:val="28"/>
        </w:rPr>
      </w:pPr>
      <w:r w:rsidRPr="00D55DC6">
        <w:rPr>
          <w:rFonts w:eastAsia="標楷體"/>
          <w:sz w:val="28"/>
          <w:szCs w:val="28"/>
        </w:rPr>
        <w:t>2-2</w:t>
      </w:r>
      <w:r w:rsidRPr="00D55DC6">
        <w:rPr>
          <w:rFonts w:eastAsia="標楷體"/>
          <w:sz w:val="28"/>
          <w:szCs w:val="28"/>
        </w:rPr>
        <w:t>屏北遊憩系統：</w:t>
      </w:r>
    </w:p>
    <w:p w:rsidR="00FF0173" w:rsidRPr="00D55DC6" w:rsidRDefault="00FF0173" w:rsidP="00FF0173">
      <w:pPr>
        <w:pStyle w:val="af2"/>
        <w:snapToGrid w:val="0"/>
        <w:spacing w:line="460" w:lineRule="exact"/>
        <w:ind w:leftChars="377" w:left="1700" w:hangingChars="284" w:hanging="795"/>
        <w:jc w:val="both"/>
        <w:rPr>
          <w:rFonts w:eastAsia="標楷體"/>
          <w:sz w:val="28"/>
          <w:szCs w:val="28"/>
        </w:rPr>
      </w:pPr>
      <w:r w:rsidRPr="00D55DC6">
        <w:rPr>
          <w:rFonts w:eastAsia="標楷體"/>
          <w:sz w:val="28"/>
          <w:szCs w:val="28"/>
        </w:rPr>
        <w:t>2-2-1</w:t>
      </w:r>
      <w:r w:rsidRPr="00D55DC6">
        <w:rPr>
          <w:rFonts w:eastAsia="標楷體"/>
          <w:sz w:val="28"/>
          <w:szCs w:val="28"/>
        </w:rPr>
        <w:t>沿山綠色旅遊廊道及部落環境改善工程</w:t>
      </w:r>
      <w:r w:rsidRPr="00D55DC6">
        <w:rPr>
          <w:rFonts w:eastAsia="標楷體"/>
          <w:sz w:val="28"/>
          <w:szCs w:val="28"/>
        </w:rPr>
        <w:t xml:space="preserve"> </w:t>
      </w:r>
      <w:r w:rsidRPr="00D55DC6">
        <w:rPr>
          <w:rFonts w:eastAsia="標楷體"/>
          <w:sz w:val="28"/>
          <w:szCs w:val="28"/>
        </w:rPr>
        <w:t>。</w:t>
      </w:r>
    </w:p>
    <w:p w:rsidR="00FF0173" w:rsidRPr="00D55DC6" w:rsidRDefault="00FF0173" w:rsidP="00FF0173">
      <w:pPr>
        <w:pStyle w:val="af2"/>
        <w:snapToGrid w:val="0"/>
        <w:spacing w:line="460" w:lineRule="exact"/>
        <w:ind w:leftChars="377" w:left="1700" w:hangingChars="284" w:hanging="795"/>
        <w:jc w:val="both"/>
        <w:rPr>
          <w:rFonts w:eastAsia="標楷體"/>
          <w:sz w:val="28"/>
          <w:szCs w:val="28"/>
        </w:rPr>
      </w:pPr>
      <w:r w:rsidRPr="00D55DC6">
        <w:rPr>
          <w:rFonts w:eastAsia="標楷體"/>
          <w:sz w:val="28"/>
          <w:szCs w:val="28"/>
        </w:rPr>
        <w:t>2-2-2</w:t>
      </w:r>
      <w:r w:rsidRPr="00D55DC6">
        <w:rPr>
          <w:rFonts w:eastAsia="標楷體"/>
          <w:sz w:val="28"/>
          <w:szCs w:val="28"/>
        </w:rPr>
        <w:t>三地門工藝特色街坊環境改善暨觀光巴士接駁點串連改善工程。</w:t>
      </w:r>
    </w:p>
    <w:p w:rsidR="00FF0173" w:rsidRPr="00D55DC6" w:rsidRDefault="00FF0173" w:rsidP="00FF0173">
      <w:pPr>
        <w:pStyle w:val="af2"/>
        <w:snapToGrid w:val="0"/>
        <w:spacing w:line="460" w:lineRule="exact"/>
        <w:ind w:leftChars="377" w:left="1700" w:hangingChars="284" w:hanging="795"/>
        <w:jc w:val="both"/>
        <w:rPr>
          <w:rFonts w:eastAsia="標楷體"/>
          <w:sz w:val="28"/>
          <w:szCs w:val="28"/>
        </w:rPr>
      </w:pPr>
      <w:r w:rsidRPr="00D55DC6">
        <w:rPr>
          <w:rFonts w:eastAsia="標楷體"/>
          <w:sz w:val="28"/>
          <w:szCs w:val="28"/>
        </w:rPr>
        <w:t>2-2-3</w:t>
      </w:r>
      <w:r w:rsidRPr="00D55DC6">
        <w:rPr>
          <w:rFonts w:eastAsia="標楷體"/>
          <w:sz w:val="28"/>
          <w:szCs w:val="28"/>
        </w:rPr>
        <w:t>霧台谷川、神山及岩板藝術部落及周邊服務設施改善工程。</w:t>
      </w:r>
    </w:p>
    <w:p w:rsidR="00FF0173" w:rsidRPr="00D55DC6" w:rsidRDefault="00FF0173" w:rsidP="00FF0173">
      <w:pPr>
        <w:pStyle w:val="af2"/>
        <w:snapToGrid w:val="0"/>
        <w:spacing w:line="460" w:lineRule="exact"/>
        <w:ind w:leftChars="377" w:left="1700" w:hangingChars="284" w:hanging="795"/>
        <w:jc w:val="both"/>
        <w:rPr>
          <w:rFonts w:eastAsia="標楷體"/>
          <w:sz w:val="28"/>
          <w:szCs w:val="28"/>
        </w:rPr>
      </w:pPr>
      <w:r w:rsidRPr="00D55DC6">
        <w:rPr>
          <w:rFonts w:eastAsia="標楷體"/>
          <w:sz w:val="28"/>
          <w:szCs w:val="28"/>
        </w:rPr>
        <w:t>2-2-4</w:t>
      </w:r>
      <w:r w:rsidRPr="00D55DC6">
        <w:rPr>
          <w:rFonts w:eastAsia="標楷體"/>
          <w:sz w:val="28"/>
          <w:szCs w:val="28"/>
        </w:rPr>
        <w:t>舊筏灣部落觀光改善工程。</w:t>
      </w:r>
    </w:p>
    <w:p w:rsidR="00FF0173" w:rsidRPr="00D55DC6" w:rsidRDefault="00FF0173" w:rsidP="00FF0173">
      <w:pPr>
        <w:pStyle w:val="af2"/>
        <w:snapToGrid w:val="0"/>
        <w:spacing w:line="460" w:lineRule="exact"/>
        <w:ind w:leftChars="377" w:left="1700" w:hangingChars="284" w:hanging="795"/>
        <w:jc w:val="both"/>
        <w:rPr>
          <w:rFonts w:eastAsia="標楷體"/>
          <w:sz w:val="28"/>
          <w:szCs w:val="28"/>
        </w:rPr>
      </w:pPr>
      <w:r w:rsidRPr="00D55DC6">
        <w:rPr>
          <w:rFonts w:eastAsia="標楷體"/>
          <w:sz w:val="28"/>
          <w:szCs w:val="28"/>
        </w:rPr>
        <w:t>2-2-5</w:t>
      </w:r>
      <w:r w:rsidRPr="00D55DC6">
        <w:rPr>
          <w:rFonts w:eastAsia="標楷體"/>
          <w:sz w:val="28"/>
          <w:szCs w:val="28"/>
        </w:rPr>
        <w:t>涼山南管理站新建及周邊服務設施改善工程。</w:t>
      </w:r>
    </w:p>
    <w:p w:rsidR="00FF0173" w:rsidRPr="00D55DC6" w:rsidRDefault="00FF0173" w:rsidP="00FF0173">
      <w:pPr>
        <w:pStyle w:val="af2"/>
        <w:snapToGrid w:val="0"/>
        <w:spacing w:line="460" w:lineRule="exact"/>
        <w:ind w:leftChars="376" w:left="1554" w:hangingChars="233" w:hanging="652"/>
        <w:jc w:val="both"/>
        <w:rPr>
          <w:rFonts w:eastAsia="標楷體"/>
          <w:sz w:val="28"/>
          <w:szCs w:val="28"/>
        </w:rPr>
      </w:pPr>
      <w:r w:rsidRPr="00D55DC6">
        <w:rPr>
          <w:rFonts w:eastAsia="標楷體"/>
          <w:sz w:val="28"/>
          <w:szCs w:val="28"/>
        </w:rPr>
        <w:t>2-2-6</w:t>
      </w:r>
      <w:r w:rsidRPr="00D55DC6">
        <w:rPr>
          <w:rFonts w:eastAsia="標楷體"/>
          <w:sz w:val="28"/>
          <w:szCs w:val="28"/>
        </w:rPr>
        <w:t>瑪家自行車道系統</w:t>
      </w:r>
      <w:r w:rsidRPr="00D55DC6">
        <w:rPr>
          <w:rFonts w:eastAsia="標楷體"/>
          <w:sz w:val="28"/>
          <w:szCs w:val="28"/>
        </w:rPr>
        <w:t>(</w:t>
      </w:r>
      <w:r w:rsidRPr="00D55DC6">
        <w:rPr>
          <w:rFonts w:eastAsia="標楷體"/>
          <w:sz w:val="28"/>
          <w:szCs w:val="28"/>
        </w:rPr>
        <w:t>內埔農工</w:t>
      </w:r>
      <w:r w:rsidRPr="00D55DC6">
        <w:rPr>
          <w:rFonts w:eastAsia="標楷體"/>
          <w:sz w:val="28"/>
          <w:szCs w:val="28"/>
        </w:rPr>
        <w:t>-</w:t>
      </w:r>
      <w:r w:rsidRPr="00D55DC6">
        <w:rPr>
          <w:rFonts w:eastAsia="標楷體"/>
          <w:sz w:val="28"/>
          <w:szCs w:val="28"/>
        </w:rPr>
        <w:t>禮納里</w:t>
      </w:r>
      <w:r w:rsidRPr="00D55DC6">
        <w:rPr>
          <w:rFonts w:eastAsia="標楷體"/>
          <w:sz w:val="28"/>
          <w:szCs w:val="28"/>
        </w:rPr>
        <w:t>-</w:t>
      </w:r>
      <w:r w:rsidRPr="00D55DC6">
        <w:rPr>
          <w:rFonts w:eastAsia="標楷體"/>
          <w:sz w:val="28"/>
          <w:szCs w:val="28"/>
        </w:rPr>
        <w:t>涼山</w:t>
      </w:r>
      <w:r w:rsidRPr="00D55DC6">
        <w:rPr>
          <w:rFonts w:eastAsia="標楷體"/>
          <w:sz w:val="28"/>
          <w:szCs w:val="28"/>
        </w:rPr>
        <w:t>)</w:t>
      </w:r>
      <w:r w:rsidRPr="00D55DC6">
        <w:rPr>
          <w:rFonts w:eastAsia="標楷體"/>
          <w:sz w:val="28"/>
          <w:szCs w:val="28"/>
        </w:rPr>
        <w:t>串聯及周邊服務設施改善工程。</w:t>
      </w:r>
    </w:p>
    <w:p w:rsidR="00B6196A" w:rsidRPr="00D55DC6" w:rsidRDefault="00B6196A" w:rsidP="004865C1">
      <w:pPr>
        <w:pStyle w:val="af2"/>
        <w:numPr>
          <w:ilvl w:val="1"/>
          <w:numId w:val="130"/>
        </w:numPr>
        <w:snapToGrid w:val="0"/>
        <w:spacing w:line="460" w:lineRule="exact"/>
        <w:ind w:leftChars="0"/>
        <w:jc w:val="both"/>
        <w:rPr>
          <w:rFonts w:eastAsia="標楷體"/>
          <w:b/>
          <w:sz w:val="28"/>
          <w:szCs w:val="28"/>
        </w:rPr>
      </w:pPr>
      <w:r w:rsidRPr="00D55DC6">
        <w:rPr>
          <w:rFonts w:eastAsia="標楷體"/>
          <w:b/>
          <w:sz w:val="28"/>
          <w:szCs w:val="28"/>
        </w:rPr>
        <w:lastRenderedPageBreak/>
        <w:t>國家風景區經營管理</w:t>
      </w:r>
    </w:p>
    <w:p w:rsidR="00FF0173" w:rsidRPr="00D55DC6" w:rsidRDefault="00FF0173" w:rsidP="00FF0173">
      <w:pPr>
        <w:pStyle w:val="af2"/>
        <w:snapToGrid w:val="0"/>
        <w:spacing w:line="460" w:lineRule="exact"/>
        <w:ind w:leftChars="0" w:left="840"/>
        <w:jc w:val="both"/>
        <w:rPr>
          <w:rFonts w:eastAsia="標楷體"/>
          <w:sz w:val="28"/>
          <w:szCs w:val="28"/>
        </w:rPr>
      </w:pPr>
      <w:r w:rsidRPr="00D55DC6">
        <w:rPr>
          <w:rFonts w:eastAsia="標楷體"/>
          <w:sz w:val="28"/>
          <w:szCs w:val="28"/>
        </w:rPr>
        <w:t>3-1.</w:t>
      </w:r>
      <w:r w:rsidRPr="00D55DC6">
        <w:rPr>
          <w:rFonts w:eastAsia="標楷體"/>
          <w:sz w:val="28"/>
          <w:szCs w:val="28"/>
        </w:rPr>
        <w:t>用地取得：</w:t>
      </w:r>
    </w:p>
    <w:p w:rsidR="00FF0173" w:rsidRPr="00D55DC6" w:rsidRDefault="00FF0173" w:rsidP="00FF0173">
      <w:pPr>
        <w:pStyle w:val="af2"/>
        <w:snapToGrid w:val="0"/>
        <w:spacing w:line="460" w:lineRule="exact"/>
        <w:ind w:leftChars="0" w:left="1276"/>
        <w:jc w:val="both"/>
        <w:rPr>
          <w:rFonts w:eastAsia="標楷體"/>
          <w:sz w:val="28"/>
          <w:szCs w:val="28"/>
        </w:rPr>
      </w:pPr>
      <w:r w:rsidRPr="00D55DC6">
        <w:rPr>
          <w:rFonts w:eastAsia="標楷體"/>
          <w:sz w:val="28"/>
          <w:szCs w:val="28"/>
        </w:rPr>
        <w:t>新威森林公園聯外道路用地。</w:t>
      </w:r>
    </w:p>
    <w:p w:rsidR="00FF0173" w:rsidRPr="00D55DC6" w:rsidRDefault="00FF0173" w:rsidP="00FF0173">
      <w:pPr>
        <w:pStyle w:val="af2"/>
        <w:snapToGrid w:val="0"/>
        <w:spacing w:line="460" w:lineRule="exact"/>
        <w:ind w:leftChars="0" w:left="840"/>
        <w:jc w:val="both"/>
        <w:rPr>
          <w:rFonts w:eastAsia="標楷體"/>
          <w:sz w:val="28"/>
          <w:szCs w:val="28"/>
        </w:rPr>
      </w:pPr>
      <w:r w:rsidRPr="00D55DC6">
        <w:rPr>
          <w:rFonts w:eastAsia="標楷體"/>
          <w:sz w:val="28"/>
          <w:szCs w:val="28"/>
        </w:rPr>
        <w:t>3-2.</w:t>
      </w:r>
      <w:r w:rsidRPr="00D55DC6">
        <w:rPr>
          <w:rFonts w:eastAsia="標楷體"/>
          <w:sz w:val="28"/>
          <w:szCs w:val="28"/>
        </w:rPr>
        <w:t>先期規劃設計：</w:t>
      </w:r>
    </w:p>
    <w:p w:rsidR="00FF0173" w:rsidRPr="00D55DC6" w:rsidRDefault="00FF0173" w:rsidP="00FF0173">
      <w:pPr>
        <w:pStyle w:val="af2"/>
        <w:snapToGrid w:val="0"/>
        <w:spacing w:line="460" w:lineRule="exact"/>
        <w:ind w:leftChars="0" w:left="1276"/>
        <w:jc w:val="both"/>
        <w:rPr>
          <w:rFonts w:eastAsia="標楷體"/>
          <w:sz w:val="28"/>
          <w:szCs w:val="28"/>
        </w:rPr>
      </w:pPr>
      <w:r w:rsidRPr="00D55DC6">
        <w:rPr>
          <w:rFonts w:eastAsia="標楷體"/>
          <w:sz w:val="28"/>
          <w:szCs w:val="28"/>
        </w:rPr>
        <w:t>茂林國家風景區網站更新維護。</w:t>
      </w:r>
    </w:p>
    <w:p w:rsidR="00FF0173" w:rsidRPr="00D55DC6" w:rsidRDefault="00FF0173" w:rsidP="00FF0173">
      <w:pPr>
        <w:pStyle w:val="af2"/>
        <w:snapToGrid w:val="0"/>
        <w:spacing w:line="460" w:lineRule="exact"/>
        <w:ind w:leftChars="0" w:left="1276"/>
        <w:jc w:val="both"/>
        <w:rPr>
          <w:rFonts w:eastAsia="標楷體"/>
          <w:sz w:val="28"/>
          <w:szCs w:val="28"/>
        </w:rPr>
      </w:pPr>
      <w:r w:rsidRPr="00D55DC6">
        <w:rPr>
          <w:rFonts w:eastAsia="標楷體"/>
          <w:sz w:val="28"/>
          <w:szCs w:val="28"/>
        </w:rPr>
        <w:t>茂林國家風景區</w:t>
      </w:r>
      <w:r w:rsidRPr="00D55DC6">
        <w:rPr>
          <w:rFonts w:eastAsia="標楷體"/>
          <w:sz w:val="28"/>
          <w:szCs w:val="28"/>
        </w:rPr>
        <w:t>GIS</w:t>
      </w:r>
      <w:r w:rsidRPr="00D55DC6">
        <w:rPr>
          <w:rFonts w:eastAsia="標楷體"/>
          <w:sz w:val="28"/>
          <w:szCs w:val="28"/>
        </w:rPr>
        <w:t>系統更新維護。</w:t>
      </w:r>
    </w:p>
    <w:p w:rsidR="00FF0173" w:rsidRPr="00D55DC6" w:rsidRDefault="00FF0173" w:rsidP="00FF0173">
      <w:pPr>
        <w:pStyle w:val="af2"/>
        <w:snapToGrid w:val="0"/>
        <w:spacing w:line="460" w:lineRule="exact"/>
        <w:ind w:leftChars="0" w:left="1276"/>
        <w:jc w:val="both"/>
        <w:rPr>
          <w:rFonts w:eastAsia="標楷體"/>
          <w:sz w:val="28"/>
          <w:szCs w:val="28"/>
        </w:rPr>
      </w:pPr>
      <w:r w:rsidRPr="00D55DC6">
        <w:rPr>
          <w:rFonts w:eastAsia="標楷體"/>
          <w:sz w:val="28"/>
          <w:szCs w:val="28"/>
        </w:rPr>
        <w:t>新威遊憩區開發計畫委託服務。</w:t>
      </w:r>
    </w:p>
    <w:p w:rsidR="00FF0173" w:rsidRPr="00D55DC6" w:rsidRDefault="00FF0173" w:rsidP="00FF0173">
      <w:pPr>
        <w:pStyle w:val="af2"/>
        <w:snapToGrid w:val="0"/>
        <w:spacing w:line="460" w:lineRule="exact"/>
        <w:ind w:leftChars="0" w:left="840"/>
        <w:jc w:val="both"/>
        <w:rPr>
          <w:rFonts w:eastAsia="標楷體"/>
          <w:sz w:val="28"/>
          <w:szCs w:val="28"/>
        </w:rPr>
      </w:pPr>
      <w:r w:rsidRPr="00D55DC6">
        <w:rPr>
          <w:rFonts w:eastAsia="標楷體"/>
          <w:sz w:val="28"/>
          <w:szCs w:val="28"/>
        </w:rPr>
        <w:t>3-3.</w:t>
      </w:r>
      <w:r w:rsidRPr="00D55DC6">
        <w:rPr>
          <w:rFonts w:eastAsia="標楷體"/>
          <w:sz w:val="28"/>
          <w:szCs w:val="28"/>
        </w:rPr>
        <w:t>環境維護及設施維持：</w:t>
      </w:r>
    </w:p>
    <w:p w:rsidR="00FF0173" w:rsidRPr="00D55DC6" w:rsidRDefault="00FF0173" w:rsidP="00FF0173">
      <w:pPr>
        <w:pStyle w:val="af2"/>
        <w:snapToGrid w:val="0"/>
        <w:spacing w:line="460" w:lineRule="exact"/>
        <w:ind w:leftChars="0" w:left="1276"/>
        <w:jc w:val="both"/>
        <w:rPr>
          <w:rFonts w:eastAsia="標楷體"/>
          <w:sz w:val="28"/>
          <w:szCs w:val="28"/>
        </w:rPr>
      </w:pPr>
      <w:r w:rsidRPr="00D55DC6">
        <w:rPr>
          <w:rFonts w:eastAsia="標楷體"/>
          <w:sz w:val="28"/>
          <w:szCs w:val="28"/>
        </w:rPr>
        <w:t>辦理全區各據點公共服務設施定期巡查及保養、景觀綠美化改善、環境清潔維護、社區部落環境營造計畫及老舊設施更新汰換</w:t>
      </w:r>
      <w:r w:rsidRPr="00D55DC6">
        <w:rPr>
          <w:rFonts w:eastAsia="標楷體"/>
          <w:sz w:val="28"/>
          <w:szCs w:val="28"/>
        </w:rPr>
        <w:t>,</w:t>
      </w:r>
      <w:r w:rsidRPr="00D55DC6">
        <w:rPr>
          <w:rFonts w:eastAsia="標楷體"/>
          <w:sz w:val="28"/>
          <w:szCs w:val="28"/>
        </w:rPr>
        <w:t>提升全區整體旅遊環境品質。</w:t>
      </w:r>
    </w:p>
    <w:p w:rsidR="00FF0173" w:rsidRPr="00D55DC6" w:rsidRDefault="00FF0173" w:rsidP="00FF0173">
      <w:pPr>
        <w:pStyle w:val="af2"/>
        <w:snapToGrid w:val="0"/>
        <w:spacing w:line="460" w:lineRule="exact"/>
        <w:ind w:leftChars="0" w:left="840"/>
        <w:jc w:val="both"/>
        <w:rPr>
          <w:rFonts w:eastAsia="標楷體"/>
          <w:sz w:val="28"/>
          <w:szCs w:val="28"/>
        </w:rPr>
      </w:pPr>
      <w:r w:rsidRPr="00D55DC6">
        <w:rPr>
          <w:rFonts w:eastAsia="標楷體"/>
          <w:sz w:val="28"/>
          <w:szCs w:val="28"/>
        </w:rPr>
        <w:t>3-4.</w:t>
      </w:r>
      <w:r w:rsidRPr="00D55DC6">
        <w:rPr>
          <w:rFonts w:eastAsia="標楷體"/>
          <w:sz w:val="28"/>
          <w:szCs w:val="28"/>
        </w:rPr>
        <w:t>全區災害復舊及一般零星工程：</w:t>
      </w:r>
    </w:p>
    <w:p w:rsidR="00FF0173" w:rsidRPr="00D55DC6" w:rsidRDefault="00FF0173" w:rsidP="00FF0173">
      <w:pPr>
        <w:pStyle w:val="af2"/>
        <w:snapToGrid w:val="0"/>
        <w:spacing w:line="460" w:lineRule="exact"/>
        <w:ind w:leftChars="0" w:left="1276"/>
        <w:jc w:val="both"/>
        <w:rPr>
          <w:rFonts w:eastAsia="標楷體"/>
          <w:sz w:val="28"/>
          <w:szCs w:val="28"/>
        </w:rPr>
      </w:pPr>
      <w:r w:rsidRPr="00D55DC6">
        <w:rPr>
          <w:rFonts w:eastAsia="標楷體"/>
          <w:sz w:val="28"/>
          <w:szCs w:val="28"/>
        </w:rPr>
        <w:t>辦理全區據點天然災害緊急搶修及公共服務設施檢修。</w:t>
      </w:r>
    </w:p>
    <w:p w:rsidR="00B6196A" w:rsidRPr="00D55DC6" w:rsidRDefault="00B6196A" w:rsidP="004865C1">
      <w:pPr>
        <w:pStyle w:val="af2"/>
        <w:numPr>
          <w:ilvl w:val="1"/>
          <w:numId w:val="130"/>
        </w:numPr>
        <w:snapToGrid w:val="0"/>
        <w:spacing w:line="460" w:lineRule="exact"/>
        <w:ind w:leftChars="0"/>
        <w:jc w:val="both"/>
        <w:rPr>
          <w:rFonts w:eastAsia="標楷體"/>
          <w:b/>
          <w:sz w:val="28"/>
          <w:szCs w:val="28"/>
        </w:rPr>
      </w:pPr>
      <w:r w:rsidRPr="00D55DC6">
        <w:rPr>
          <w:rFonts w:eastAsia="標楷體"/>
          <w:b/>
          <w:sz w:val="28"/>
          <w:szCs w:val="28"/>
        </w:rPr>
        <w:t>經營管理及行銷推廣</w:t>
      </w:r>
    </w:p>
    <w:p w:rsidR="00B6196A" w:rsidRPr="00D55DC6" w:rsidRDefault="00B6196A" w:rsidP="0038165F">
      <w:pPr>
        <w:pStyle w:val="af2"/>
        <w:snapToGrid w:val="0"/>
        <w:spacing w:line="460" w:lineRule="exact"/>
        <w:ind w:leftChars="410" w:left="1418" w:hangingChars="155" w:hanging="434"/>
        <w:jc w:val="both"/>
        <w:rPr>
          <w:rFonts w:eastAsia="標楷體"/>
          <w:sz w:val="28"/>
          <w:szCs w:val="28"/>
        </w:rPr>
      </w:pPr>
      <w:r w:rsidRPr="00D55DC6">
        <w:rPr>
          <w:rFonts w:eastAsia="標楷體"/>
          <w:sz w:val="28"/>
          <w:szCs w:val="28"/>
        </w:rPr>
        <w:t>4-1.</w:t>
      </w:r>
      <w:r w:rsidRPr="00D55DC6">
        <w:rPr>
          <w:rFonts w:eastAsia="標楷體"/>
          <w:sz w:val="28"/>
          <w:szCs w:val="28"/>
        </w:rPr>
        <w:t>經營管理：</w:t>
      </w:r>
    </w:p>
    <w:p w:rsidR="00B6196A" w:rsidRPr="00D55DC6" w:rsidRDefault="00B6196A" w:rsidP="0038165F">
      <w:pPr>
        <w:pStyle w:val="af2"/>
        <w:snapToGrid w:val="0"/>
        <w:spacing w:line="460" w:lineRule="exact"/>
        <w:ind w:leftChars="590" w:left="1416"/>
        <w:jc w:val="both"/>
        <w:rPr>
          <w:rFonts w:eastAsia="標楷體"/>
          <w:sz w:val="28"/>
          <w:szCs w:val="28"/>
        </w:rPr>
      </w:pPr>
      <w:r w:rsidRPr="00D55DC6">
        <w:rPr>
          <w:rFonts w:eastAsia="標楷體"/>
          <w:sz w:val="28"/>
          <w:szCs w:val="28"/>
        </w:rPr>
        <w:t>持續辦理提昇遊客安全、設施維護管理、環境整潔維護、旅遊旺季交通疏運、活動接駁服務、轄區民宿餐飲工坊產業輔導、據點委託經營及賣店出租等經營管理工作。</w:t>
      </w:r>
    </w:p>
    <w:p w:rsidR="00B6196A" w:rsidRPr="00D55DC6" w:rsidRDefault="00B6196A" w:rsidP="0038165F">
      <w:pPr>
        <w:pStyle w:val="af2"/>
        <w:snapToGrid w:val="0"/>
        <w:spacing w:line="460" w:lineRule="exact"/>
        <w:ind w:leftChars="0" w:left="840"/>
        <w:jc w:val="both"/>
        <w:rPr>
          <w:rFonts w:eastAsia="標楷體"/>
          <w:sz w:val="28"/>
          <w:szCs w:val="28"/>
        </w:rPr>
      </w:pPr>
      <w:r w:rsidRPr="00D55DC6">
        <w:rPr>
          <w:rFonts w:eastAsia="標楷體"/>
          <w:sz w:val="28"/>
          <w:szCs w:val="28"/>
        </w:rPr>
        <w:t>4-2.</w:t>
      </w:r>
      <w:r w:rsidRPr="00D55DC6">
        <w:rPr>
          <w:rFonts w:eastAsia="標楷體"/>
          <w:sz w:val="28"/>
          <w:szCs w:val="28"/>
        </w:rPr>
        <w:t>行銷推廣：</w:t>
      </w:r>
      <w:r w:rsidRPr="00D55DC6">
        <w:rPr>
          <w:rFonts w:eastAsia="標楷體"/>
          <w:sz w:val="28"/>
          <w:szCs w:val="28"/>
        </w:rPr>
        <w:t xml:space="preserve"> </w:t>
      </w:r>
    </w:p>
    <w:p w:rsidR="00B6196A" w:rsidRPr="00D55DC6" w:rsidRDefault="00B6196A" w:rsidP="0038165F">
      <w:pPr>
        <w:pStyle w:val="af2"/>
        <w:snapToGrid w:val="0"/>
        <w:spacing w:line="460" w:lineRule="exact"/>
        <w:ind w:leftChars="590" w:left="1416"/>
        <w:jc w:val="both"/>
        <w:rPr>
          <w:rFonts w:eastAsia="標楷體"/>
          <w:sz w:val="28"/>
          <w:szCs w:val="28"/>
        </w:rPr>
      </w:pPr>
      <w:r w:rsidRPr="00D55DC6">
        <w:rPr>
          <w:rFonts w:eastAsia="標楷體"/>
          <w:sz w:val="28"/>
          <w:szCs w:val="28"/>
        </w:rPr>
        <w:t>四季活動主題主打：荖濃遊憩系統就各方面觀光產業與環境已逐漸重整完備，因此在未來觀光行銷部分著重於活動的行銷推廣，以四季主題春遊、夏水、秋泉與冬蝶，融合季節與地方資源特性，透過年度與常態性活動增加旅遊市場能見度，以逐漸消弭遊客對於其災區的負面印象，夏季在六龜區舉辦「清涼一夏及泛舟」活動，秋、冬季於六龜區辦理「山城花語悠遊季」活動，茂林區舉辦「茂林紫蝶幽谷</w:t>
      </w:r>
      <w:r w:rsidRPr="00D55DC6">
        <w:rPr>
          <w:rFonts w:eastAsia="標楷體"/>
          <w:sz w:val="28"/>
          <w:szCs w:val="28"/>
        </w:rPr>
        <w:t>-</w:t>
      </w:r>
      <w:r w:rsidRPr="00D55DC6">
        <w:rPr>
          <w:rFonts w:eastAsia="標楷體"/>
          <w:sz w:val="28"/>
          <w:szCs w:val="28"/>
        </w:rPr>
        <w:t>雙年賞蝶系列活動」，藉由活動帶動地方觀光產業發展。屏北系統均屬原住民區域，為整合瑪家、霧台及三地門等三鄉遊憩資源，於每年春季辦理「南島族群婚禮</w:t>
      </w:r>
      <w:r w:rsidRPr="00D55DC6">
        <w:rPr>
          <w:rFonts w:eastAsia="標楷體"/>
          <w:sz w:val="28"/>
          <w:szCs w:val="28"/>
        </w:rPr>
        <w:t>-</w:t>
      </w:r>
      <w:r w:rsidRPr="00D55DC6">
        <w:rPr>
          <w:rFonts w:eastAsia="標楷體"/>
          <w:sz w:val="28"/>
          <w:szCs w:val="28"/>
        </w:rPr>
        <w:t>情牽大武山」系列活動，透過傳統原住民婚禮之舉辦，包裝套裝遊程，帶動產業發展，活絡部落經濟。</w:t>
      </w:r>
    </w:p>
    <w:p w:rsidR="00B6196A" w:rsidRPr="00D55DC6" w:rsidRDefault="00B6196A" w:rsidP="0038165F">
      <w:pPr>
        <w:pStyle w:val="af2"/>
        <w:snapToGrid w:val="0"/>
        <w:spacing w:line="460" w:lineRule="exact"/>
        <w:ind w:leftChars="590" w:left="1416"/>
        <w:jc w:val="both"/>
        <w:rPr>
          <w:rFonts w:eastAsia="標楷體"/>
          <w:sz w:val="28"/>
          <w:szCs w:val="28"/>
        </w:rPr>
      </w:pPr>
      <w:r w:rsidRPr="00D55DC6">
        <w:rPr>
          <w:rFonts w:eastAsia="標楷體"/>
          <w:sz w:val="28"/>
          <w:szCs w:val="28"/>
        </w:rPr>
        <w:lastRenderedPageBreak/>
        <w:t>無障礙與銀髮族旅遊推廣：配合無障礙與銀髮族旅遊政策，輔導業者及改善轄區內旅遊環境，與多家旅行業者合作推出主題套裝遊程，持續於官網露出並利用網路平台行銷。</w:t>
      </w:r>
    </w:p>
    <w:p w:rsidR="00B6196A" w:rsidRPr="00D55DC6" w:rsidRDefault="00B6196A" w:rsidP="0038165F">
      <w:pPr>
        <w:pStyle w:val="af2"/>
        <w:snapToGrid w:val="0"/>
        <w:spacing w:line="460" w:lineRule="exact"/>
        <w:ind w:leftChars="590" w:left="1416"/>
        <w:jc w:val="both"/>
        <w:rPr>
          <w:rFonts w:eastAsia="標楷體"/>
          <w:sz w:val="28"/>
          <w:szCs w:val="28"/>
        </w:rPr>
      </w:pPr>
    </w:p>
    <w:p w:rsidR="00B6196A" w:rsidRPr="00D55DC6" w:rsidRDefault="00B6196A" w:rsidP="004865C1">
      <w:pPr>
        <w:pStyle w:val="af2"/>
        <w:numPr>
          <w:ilvl w:val="1"/>
          <w:numId w:val="130"/>
        </w:numPr>
        <w:snapToGrid w:val="0"/>
        <w:spacing w:line="460" w:lineRule="exact"/>
        <w:ind w:leftChars="0"/>
        <w:jc w:val="both"/>
        <w:rPr>
          <w:rFonts w:eastAsia="標楷體"/>
          <w:b/>
          <w:sz w:val="28"/>
          <w:szCs w:val="28"/>
        </w:rPr>
      </w:pPr>
      <w:r w:rsidRPr="00D55DC6">
        <w:rPr>
          <w:rFonts w:eastAsia="標楷體"/>
          <w:b/>
          <w:sz w:val="28"/>
          <w:szCs w:val="28"/>
        </w:rPr>
        <w:t>提升觀光建設自償性</w:t>
      </w:r>
    </w:p>
    <w:p w:rsidR="00B6196A" w:rsidRPr="00D55DC6" w:rsidRDefault="00B6196A" w:rsidP="0038165F">
      <w:pPr>
        <w:pStyle w:val="af2"/>
        <w:snapToGrid w:val="0"/>
        <w:spacing w:line="460" w:lineRule="exact"/>
        <w:ind w:leftChars="290" w:left="2550" w:hangingChars="662" w:hanging="1854"/>
        <w:jc w:val="both"/>
        <w:rPr>
          <w:rFonts w:eastAsia="標楷體"/>
          <w:sz w:val="28"/>
          <w:szCs w:val="28"/>
        </w:rPr>
      </w:pPr>
      <w:r w:rsidRPr="00D55DC6">
        <w:rPr>
          <w:rFonts w:eastAsia="標楷體"/>
          <w:sz w:val="28"/>
          <w:szCs w:val="28"/>
        </w:rPr>
        <w:t>5-1.</w:t>
      </w:r>
      <w:r w:rsidRPr="00D55DC6">
        <w:rPr>
          <w:rFonts w:eastAsia="標楷體"/>
          <w:sz w:val="28"/>
          <w:szCs w:val="28"/>
        </w:rPr>
        <w:t>設施出租：</w:t>
      </w:r>
    </w:p>
    <w:p w:rsidR="00B6196A" w:rsidRPr="00D55DC6" w:rsidRDefault="00B6196A" w:rsidP="0038165F">
      <w:pPr>
        <w:pStyle w:val="af2"/>
        <w:snapToGrid w:val="0"/>
        <w:spacing w:line="460" w:lineRule="exact"/>
        <w:ind w:leftChars="530" w:left="1272"/>
        <w:jc w:val="both"/>
        <w:rPr>
          <w:rFonts w:eastAsia="標楷體"/>
          <w:sz w:val="28"/>
          <w:szCs w:val="28"/>
        </w:rPr>
      </w:pPr>
      <w:r w:rsidRPr="00D55DC6">
        <w:rPr>
          <w:rFonts w:eastAsia="標楷體"/>
          <w:sz w:val="28"/>
          <w:szCs w:val="28"/>
        </w:rPr>
        <w:t>無</w:t>
      </w:r>
    </w:p>
    <w:p w:rsidR="00B6196A" w:rsidRPr="00D55DC6" w:rsidRDefault="00B6196A" w:rsidP="0038165F">
      <w:pPr>
        <w:pStyle w:val="af2"/>
        <w:snapToGrid w:val="0"/>
        <w:spacing w:line="460" w:lineRule="exact"/>
        <w:ind w:leftChars="0" w:left="709"/>
        <w:jc w:val="both"/>
        <w:rPr>
          <w:rFonts w:eastAsia="標楷體"/>
          <w:sz w:val="28"/>
          <w:szCs w:val="28"/>
        </w:rPr>
      </w:pPr>
      <w:r w:rsidRPr="00D55DC6">
        <w:rPr>
          <w:rFonts w:eastAsia="標楷體"/>
          <w:sz w:val="28"/>
          <w:szCs w:val="28"/>
        </w:rPr>
        <w:t>5-2.</w:t>
      </w:r>
      <w:r w:rsidRPr="00D55DC6">
        <w:rPr>
          <w:rFonts w:eastAsia="標楷體"/>
          <w:sz w:val="28"/>
          <w:szCs w:val="28"/>
        </w:rPr>
        <w:t>促參：</w:t>
      </w:r>
    </w:p>
    <w:p w:rsidR="00B6196A" w:rsidRPr="00D55DC6" w:rsidRDefault="00B6196A" w:rsidP="0038165F">
      <w:pPr>
        <w:pStyle w:val="af2"/>
        <w:snapToGrid w:val="0"/>
        <w:spacing w:line="460" w:lineRule="exact"/>
        <w:ind w:leftChars="472" w:left="1133"/>
        <w:jc w:val="both"/>
        <w:rPr>
          <w:rFonts w:eastAsia="標楷體"/>
          <w:sz w:val="28"/>
          <w:szCs w:val="28"/>
        </w:rPr>
      </w:pPr>
      <w:r w:rsidRPr="00D55DC6">
        <w:rPr>
          <w:rFonts w:eastAsia="標楷體"/>
          <w:sz w:val="28"/>
          <w:szCs w:val="28"/>
        </w:rPr>
        <w:t>推動轄區內具效益之遊憩設施標的之促參出租計畫，預計研擬執行之促參專案如下：</w:t>
      </w:r>
    </w:p>
    <w:p w:rsidR="00B6196A" w:rsidRPr="00D55DC6" w:rsidRDefault="00B6196A" w:rsidP="0038165F">
      <w:pPr>
        <w:pStyle w:val="af2"/>
        <w:snapToGrid w:val="0"/>
        <w:spacing w:line="460" w:lineRule="exact"/>
        <w:ind w:leftChars="473" w:left="1983" w:hangingChars="303" w:hanging="848"/>
        <w:jc w:val="both"/>
        <w:rPr>
          <w:rFonts w:eastAsia="標楷體"/>
          <w:sz w:val="28"/>
          <w:szCs w:val="28"/>
        </w:rPr>
      </w:pPr>
      <w:r w:rsidRPr="00D55DC6">
        <w:rPr>
          <w:rFonts w:eastAsia="標楷體"/>
          <w:sz w:val="28"/>
          <w:szCs w:val="28"/>
        </w:rPr>
        <w:t>BOT</w:t>
      </w:r>
      <w:r w:rsidRPr="00D55DC6">
        <w:rPr>
          <w:rFonts w:eastAsia="標楷體"/>
          <w:sz w:val="28"/>
          <w:szCs w:val="28"/>
        </w:rPr>
        <w:t>：寶來溫泉公園休閒</w:t>
      </w:r>
      <w:r w:rsidR="00EA38C5" w:rsidRPr="00D55DC6">
        <w:rPr>
          <w:rFonts w:eastAsia="標楷體"/>
          <w:sz w:val="28"/>
          <w:szCs w:val="28"/>
        </w:rPr>
        <w:t>度假</w:t>
      </w:r>
      <w:r w:rsidRPr="00D55DC6">
        <w:rPr>
          <w:rFonts w:eastAsia="標楷體"/>
          <w:sz w:val="28"/>
          <w:szCs w:val="28"/>
        </w:rPr>
        <w:t>基地、新威遊憩區</w:t>
      </w:r>
      <w:r w:rsidRPr="00D55DC6">
        <w:rPr>
          <w:rFonts w:eastAsia="標楷體"/>
          <w:sz w:val="28"/>
          <w:szCs w:val="28"/>
        </w:rPr>
        <w:t>(</w:t>
      </w:r>
      <w:r w:rsidRPr="00D55DC6">
        <w:rPr>
          <w:rFonts w:eastAsia="標楷體"/>
          <w:sz w:val="28"/>
          <w:szCs w:val="28"/>
        </w:rPr>
        <w:t>含轉運站</w:t>
      </w:r>
      <w:r w:rsidRPr="00D55DC6">
        <w:rPr>
          <w:rFonts w:eastAsia="標楷體"/>
          <w:sz w:val="28"/>
          <w:szCs w:val="28"/>
        </w:rPr>
        <w:t>)</w:t>
      </w:r>
      <w:r w:rsidRPr="00D55DC6">
        <w:rPr>
          <w:rFonts w:eastAsia="標楷體"/>
          <w:sz w:val="28"/>
          <w:szCs w:val="28"/>
        </w:rPr>
        <w:t>、寶來國小旁國有土地。</w:t>
      </w:r>
    </w:p>
    <w:p w:rsidR="00B6196A" w:rsidRPr="00D55DC6" w:rsidRDefault="00B6196A" w:rsidP="0038165F">
      <w:pPr>
        <w:pStyle w:val="af2"/>
        <w:snapToGrid w:val="0"/>
        <w:spacing w:line="460" w:lineRule="exact"/>
        <w:ind w:leftChars="472" w:left="1133"/>
        <w:jc w:val="both"/>
        <w:rPr>
          <w:rFonts w:eastAsia="標楷體"/>
          <w:sz w:val="28"/>
          <w:szCs w:val="28"/>
        </w:rPr>
      </w:pPr>
      <w:r w:rsidRPr="00D55DC6">
        <w:rPr>
          <w:rFonts w:eastAsia="標楷體"/>
          <w:sz w:val="28"/>
          <w:szCs w:val="28"/>
        </w:rPr>
        <w:t>ROT</w:t>
      </w:r>
      <w:r w:rsidRPr="00D55DC6">
        <w:rPr>
          <w:rFonts w:eastAsia="標楷體"/>
          <w:sz w:val="28"/>
          <w:szCs w:val="28"/>
        </w:rPr>
        <w:t>：鳳山區農會茂林會員活動中心。</w:t>
      </w:r>
    </w:p>
    <w:p w:rsidR="00B6196A" w:rsidRPr="00D55DC6" w:rsidRDefault="00B6196A" w:rsidP="0038165F">
      <w:pPr>
        <w:pStyle w:val="af2"/>
        <w:snapToGrid w:val="0"/>
        <w:spacing w:line="460" w:lineRule="exact"/>
        <w:ind w:leftChars="0" w:left="1276"/>
        <w:jc w:val="both"/>
        <w:rPr>
          <w:rFonts w:eastAsia="標楷體"/>
          <w:sz w:val="28"/>
          <w:szCs w:val="28"/>
        </w:rPr>
      </w:pPr>
      <w:r w:rsidRPr="00D55DC6">
        <w:rPr>
          <w:rFonts w:eastAsia="標楷體"/>
          <w:sz w:val="28"/>
          <w:szCs w:val="28"/>
        </w:rPr>
        <w:t>OT</w:t>
      </w:r>
      <w:r w:rsidRPr="00D55DC6">
        <w:rPr>
          <w:rFonts w:eastAsia="標楷體"/>
          <w:sz w:val="28"/>
          <w:szCs w:val="28"/>
        </w:rPr>
        <w:t>：賽嘉無動力飛行場起降落區、泛舟服務區、寶來遊客中心、地磨兒遊憩區、德文咖啡廣場。</w:t>
      </w:r>
    </w:p>
    <w:p w:rsidR="00B6196A" w:rsidRPr="00D55DC6" w:rsidRDefault="00B6196A" w:rsidP="0038165F">
      <w:pPr>
        <w:pStyle w:val="af2"/>
        <w:snapToGrid w:val="0"/>
        <w:spacing w:line="460" w:lineRule="exact"/>
        <w:ind w:leftChars="0" w:left="840"/>
        <w:jc w:val="both"/>
        <w:rPr>
          <w:rFonts w:eastAsia="標楷體"/>
          <w:sz w:val="28"/>
          <w:szCs w:val="28"/>
        </w:rPr>
      </w:pPr>
      <w:r w:rsidRPr="00D55DC6">
        <w:rPr>
          <w:rFonts w:eastAsia="標楷體"/>
          <w:sz w:val="28"/>
          <w:szCs w:val="28"/>
        </w:rPr>
        <w:t>5-3.</w:t>
      </w:r>
      <w:r w:rsidRPr="00D55DC6">
        <w:rPr>
          <w:rFonts w:eastAsia="標楷體"/>
          <w:sz w:val="28"/>
          <w:szCs w:val="28"/>
        </w:rPr>
        <w:t>使用者付費：</w:t>
      </w:r>
    </w:p>
    <w:p w:rsidR="00B6196A" w:rsidRPr="00D55DC6" w:rsidRDefault="00B6196A" w:rsidP="0038165F">
      <w:pPr>
        <w:pStyle w:val="af2"/>
        <w:snapToGrid w:val="0"/>
        <w:spacing w:line="460" w:lineRule="exact"/>
        <w:ind w:leftChars="0" w:left="1276"/>
        <w:jc w:val="both"/>
        <w:rPr>
          <w:rFonts w:eastAsia="標楷體"/>
          <w:sz w:val="28"/>
          <w:szCs w:val="28"/>
        </w:rPr>
      </w:pPr>
      <w:r w:rsidRPr="00D55DC6">
        <w:rPr>
          <w:rFonts w:eastAsia="標楷體"/>
          <w:sz w:val="28"/>
          <w:szCs w:val="28"/>
        </w:rPr>
        <w:t>5-3-1</w:t>
      </w:r>
      <w:r w:rsidRPr="00D55DC6">
        <w:rPr>
          <w:rFonts w:eastAsia="標楷體"/>
          <w:sz w:val="28"/>
          <w:szCs w:val="28"/>
        </w:rPr>
        <w:t>開發許可回饋金：賽嘉</w:t>
      </w:r>
      <w:r w:rsidR="00EA38C5" w:rsidRPr="00D55DC6">
        <w:rPr>
          <w:rFonts w:eastAsia="標楷體"/>
          <w:sz w:val="28"/>
          <w:szCs w:val="28"/>
        </w:rPr>
        <w:t>度假</w:t>
      </w:r>
      <w:r w:rsidRPr="00D55DC6">
        <w:rPr>
          <w:rFonts w:eastAsia="標楷體"/>
          <w:sz w:val="28"/>
          <w:szCs w:val="28"/>
        </w:rPr>
        <w:t>旅館</w:t>
      </w:r>
      <w:r w:rsidRPr="00D55DC6">
        <w:rPr>
          <w:rFonts w:eastAsia="標楷體"/>
          <w:sz w:val="28"/>
          <w:szCs w:val="28"/>
        </w:rPr>
        <w:t>BOO</w:t>
      </w:r>
      <w:r w:rsidRPr="00D55DC6">
        <w:rPr>
          <w:sz w:val="28"/>
          <w:szCs w:val="28"/>
        </w:rPr>
        <w:t>、</w:t>
      </w:r>
      <w:r w:rsidRPr="00D55DC6">
        <w:rPr>
          <w:rFonts w:eastAsia="標楷體"/>
          <w:sz w:val="28"/>
          <w:szCs w:val="28"/>
        </w:rPr>
        <w:t>新威</w:t>
      </w:r>
      <w:r w:rsidR="00EA38C5" w:rsidRPr="00D55DC6">
        <w:rPr>
          <w:rFonts w:eastAsia="標楷體"/>
          <w:sz w:val="28"/>
          <w:szCs w:val="28"/>
        </w:rPr>
        <w:t>度假</w:t>
      </w:r>
      <w:r w:rsidRPr="00D55DC6">
        <w:rPr>
          <w:rFonts w:eastAsia="標楷體"/>
          <w:sz w:val="28"/>
          <w:szCs w:val="28"/>
        </w:rPr>
        <w:t>區</w:t>
      </w:r>
      <w:r w:rsidRPr="00D55DC6">
        <w:rPr>
          <w:rFonts w:eastAsia="標楷體"/>
          <w:sz w:val="28"/>
          <w:szCs w:val="28"/>
        </w:rPr>
        <w:t>BOO</w:t>
      </w:r>
      <w:r w:rsidRPr="00D55DC6">
        <w:rPr>
          <w:sz w:val="28"/>
          <w:szCs w:val="28"/>
        </w:rPr>
        <w:t>。</w:t>
      </w:r>
    </w:p>
    <w:p w:rsidR="00B6196A" w:rsidRPr="00D55DC6" w:rsidRDefault="00B6196A" w:rsidP="0038165F">
      <w:pPr>
        <w:pStyle w:val="af2"/>
        <w:snapToGrid w:val="0"/>
        <w:spacing w:line="460" w:lineRule="exact"/>
        <w:ind w:leftChars="531" w:left="1982" w:hangingChars="253" w:hanging="708"/>
        <w:jc w:val="both"/>
        <w:rPr>
          <w:rFonts w:eastAsia="標楷體"/>
          <w:sz w:val="28"/>
          <w:szCs w:val="28"/>
        </w:rPr>
      </w:pPr>
      <w:r w:rsidRPr="00D55DC6">
        <w:rPr>
          <w:rFonts w:eastAsia="標楷體"/>
          <w:sz w:val="28"/>
          <w:szCs w:val="28"/>
        </w:rPr>
        <w:t>5-3-2</w:t>
      </w:r>
      <w:r w:rsidRPr="00D55DC6">
        <w:rPr>
          <w:rFonts w:eastAsia="標楷體"/>
          <w:sz w:val="28"/>
          <w:szCs w:val="28"/>
        </w:rPr>
        <w:t>研擬收取公共設施清潔費：茂林紫蝶幽谷</w:t>
      </w:r>
      <w:r w:rsidRPr="00D55DC6">
        <w:rPr>
          <w:sz w:val="28"/>
          <w:szCs w:val="28"/>
        </w:rPr>
        <w:t>、</w:t>
      </w:r>
      <w:r w:rsidRPr="00D55DC6">
        <w:rPr>
          <w:rFonts w:eastAsia="標楷體"/>
          <w:sz w:val="28"/>
          <w:szCs w:val="28"/>
        </w:rPr>
        <w:t>泛舟活動碼頭清潔管理費</w:t>
      </w:r>
      <w:r w:rsidRPr="00D55DC6">
        <w:rPr>
          <w:sz w:val="28"/>
          <w:szCs w:val="28"/>
        </w:rPr>
        <w:t>、</w:t>
      </w:r>
      <w:r w:rsidRPr="00D55DC6">
        <w:rPr>
          <w:rFonts w:eastAsia="標楷體"/>
          <w:sz w:val="28"/>
          <w:szCs w:val="28"/>
        </w:rPr>
        <w:t>龍頭山吊橋</w:t>
      </w:r>
    </w:p>
    <w:p w:rsidR="00B6196A" w:rsidRPr="00D55DC6" w:rsidRDefault="00B6196A" w:rsidP="0038165F">
      <w:pPr>
        <w:pStyle w:val="af2"/>
        <w:snapToGrid w:val="0"/>
        <w:spacing w:line="460" w:lineRule="exact"/>
        <w:ind w:leftChars="0" w:left="840"/>
        <w:jc w:val="both"/>
        <w:rPr>
          <w:rFonts w:eastAsia="標楷體"/>
          <w:sz w:val="28"/>
          <w:szCs w:val="28"/>
        </w:rPr>
      </w:pPr>
      <w:r w:rsidRPr="00D55DC6">
        <w:rPr>
          <w:rFonts w:eastAsia="標楷體"/>
          <w:sz w:val="28"/>
          <w:szCs w:val="28"/>
        </w:rPr>
        <w:t>5-4.</w:t>
      </w:r>
      <w:r w:rsidRPr="00D55DC6">
        <w:rPr>
          <w:rFonts w:eastAsia="標楷體"/>
          <w:sz w:val="28"/>
          <w:szCs w:val="28"/>
        </w:rPr>
        <w:t>跨域合作：</w:t>
      </w:r>
    </w:p>
    <w:p w:rsidR="00B6196A" w:rsidRPr="00D55DC6" w:rsidRDefault="00B6196A" w:rsidP="0038165F">
      <w:pPr>
        <w:pStyle w:val="af2"/>
        <w:snapToGrid w:val="0"/>
        <w:spacing w:line="460" w:lineRule="exact"/>
        <w:ind w:leftChars="0" w:left="1276"/>
        <w:jc w:val="both"/>
        <w:rPr>
          <w:rFonts w:eastAsia="標楷體"/>
          <w:sz w:val="28"/>
          <w:szCs w:val="28"/>
        </w:rPr>
      </w:pPr>
      <w:r w:rsidRPr="00D55DC6">
        <w:rPr>
          <w:rFonts w:eastAsia="標楷體"/>
          <w:sz w:val="28"/>
          <w:szCs w:val="28"/>
        </w:rPr>
        <w:t>跨域合作之概念係依據各面向公務單位權責與資源，擴大機會創造而減少資源與投資的重複浪費，產生之觀光效益與利益外溢可分享之。</w:t>
      </w:r>
    </w:p>
    <w:p w:rsidR="00B6196A" w:rsidRPr="00D55DC6" w:rsidRDefault="00B6196A" w:rsidP="0038165F">
      <w:pPr>
        <w:pStyle w:val="af2"/>
        <w:snapToGrid w:val="0"/>
        <w:spacing w:line="460" w:lineRule="exact"/>
        <w:ind w:leftChars="0" w:left="1276"/>
        <w:jc w:val="both"/>
        <w:rPr>
          <w:rFonts w:eastAsia="標楷體"/>
          <w:sz w:val="28"/>
          <w:szCs w:val="28"/>
        </w:rPr>
      </w:pPr>
    </w:p>
    <w:p w:rsidR="00B6196A" w:rsidRPr="00D55DC6" w:rsidRDefault="00B6196A" w:rsidP="004865C1">
      <w:pPr>
        <w:pStyle w:val="af2"/>
        <w:numPr>
          <w:ilvl w:val="0"/>
          <w:numId w:val="130"/>
        </w:numPr>
        <w:snapToGrid w:val="0"/>
        <w:spacing w:line="460" w:lineRule="exact"/>
        <w:ind w:leftChars="0"/>
        <w:jc w:val="both"/>
        <w:rPr>
          <w:rFonts w:eastAsia="標楷體"/>
          <w:b/>
          <w:sz w:val="28"/>
          <w:szCs w:val="28"/>
        </w:rPr>
      </w:pPr>
      <w:r w:rsidRPr="00D55DC6">
        <w:rPr>
          <w:rFonts w:eastAsia="標楷體"/>
          <w:b/>
          <w:sz w:val="28"/>
          <w:szCs w:val="28"/>
        </w:rPr>
        <w:t>分年預期成果</w:t>
      </w:r>
    </w:p>
    <w:p w:rsidR="00B6196A" w:rsidRPr="00D55DC6" w:rsidRDefault="00B6196A" w:rsidP="004865C1">
      <w:pPr>
        <w:pStyle w:val="af2"/>
        <w:numPr>
          <w:ilvl w:val="0"/>
          <w:numId w:val="131"/>
        </w:numPr>
        <w:snapToGrid w:val="0"/>
        <w:spacing w:line="460" w:lineRule="exact"/>
        <w:ind w:leftChars="0"/>
        <w:jc w:val="both"/>
        <w:rPr>
          <w:rFonts w:eastAsia="標楷體"/>
          <w:b/>
          <w:sz w:val="28"/>
          <w:szCs w:val="28"/>
        </w:rPr>
      </w:pPr>
      <w:r w:rsidRPr="00D55DC6">
        <w:rPr>
          <w:rFonts w:eastAsia="標楷體"/>
          <w:b/>
          <w:sz w:val="28"/>
          <w:szCs w:val="28"/>
        </w:rPr>
        <w:t>105</w:t>
      </w:r>
      <w:r w:rsidRPr="00D55DC6">
        <w:rPr>
          <w:rFonts w:eastAsia="標楷體"/>
          <w:b/>
          <w:sz w:val="28"/>
          <w:szCs w:val="28"/>
        </w:rPr>
        <w:t>年：</w:t>
      </w:r>
    </w:p>
    <w:p w:rsidR="0075108D" w:rsidRPr="00D55DC6" w:rsidRDefault="0075108D" w:rsidP="0075108D">
      <w:pPr>
        <w:pStyle w:val="af2"/>
        <w:snapToGrid w:val="0"/>
        <w:spacing w:line="460" w:lineRule="exact"/>
        <w:ind w:leftChars="296" w:left="1276" w:hangingChars="202" w:hanging="566"/>
        <w:jc w:val="both"/>
        <w:rPr>
          <w:rFonts w:eastAsia="標楷體"/>
          <w:sz w:val="28"/>
          <w:szCs w:val="28"/>
        </w:rPr>
      </w:pPr>
      <w:r w:rsidRPr="00D55DC6">
        <w:rPr>
          <w:rFonts w:eastAsia="標楷體"/>
          <w:sz w:val="28"/>
          <w:szCs w:val="28"/>
        </w:rPr>
        <w:t>1-1</w:t>
      </w:r>
      <w:r w:rsidRPr="00D55DC6">
        <w:rPr>
          <w:rFonts w:eastAsia="標楷體"/>
          <w:sz w:val="28"/>
          <w:szCs w:val="28"/>
        </w:rPr>
        <w:t>國際觀光重要景點：</w:t>
      </w:r>
    </w:p>
    <w:p w:rsidR="0075108D" w:rsidRPr="00D55DC6" w:rsidRDefault="0075108D" w:rsidP="0075108D">
      <w:pPr>
        <w:pStyle w:val="af2"/>
        <w:snapToGrid w:val="0"/>
        <w:spacing w:line="460" w:lineRule="exact"/>
        <w:ind w:leftChars="413" w:left="1697" w:hangingChars="252" w:hanging="706"/>
        <w:jc w:val="both"/>
        <w:rPr>
          <w:rFonts w:eastAsia="標楷體"/>
          <w:sz w:val="28"/>
          <w:szCs w:val="28"/>
        </w:rPr>
      </w:pPr>
      <w:r w:rsidRPr="00D55DC6">
        <w:rPr>
          <w:rFonts w:eastAsia="標楷體"/>
          <w:sz w:val="28"/>
          <w:szCs w:val="28"/>
        </w:rPr>
        <w:t>1-1-1</w:t>
      </w:r>
      <w:r w:rsidRPr="00D55DC6">
        <w:rPr>
          <w:rFonts w:eastAsia="標楷體"/>
          <w:sz w:val="28"/>
          <w:szCs w:val="28"/>
        </w:rPr>
        <w:t>新威茂林遊憩區（新威遊客暨行政管理中心附屬設施工程、紫蝶幽谷生態園區接駁轉運及周邊設施改善工程、茂林谷交通接駁及服務設施改善工程、情人谷停車場及全區周邊服務設施改</w:t>
      </w:r>
      <w:r w:rsidRPr="00D55DC6">
        <w:rPr>
          <w:rFonts w:eastAsia="標楷體"/>
          <w:sz w:val="28"/>
          <w:szCs w:val="28"/>
        </w:rPr>
        <w:lastRenderedPageBreak/>
        <w:t>善等工程）。</w:t>
      </w:r>
    </w:p>
    <w:p w:rsidR="0075108D" w:rsidRPr="00D55DC6" w:rsidRDefault="0075108D" w:rsidP="0075108D">
      <w:pPr>
        <w:pStyle w:val="af2"/>
        <w:snapToGrid w:val="0"/>
        <w:spacing w:line="460" w:lineRule="exact"/>
        <w:ind w:leftChars="413" w:left="1697" w:hangingChars="252" w:hanging="706"/>
        <w:jc w:val="both"/>
        <w:rPr>
          <w:rFonts w:eastAsia="標楷體"/>
          <w:sz w:val="28"/>
          <w:szCs w:val="28"/>
        </w:rPr>
      </w:pPr>
      <w:r w:rsidRPr="00D55DC6">
        <w:rPr>
          <w:rFonts w:eastAsia="標楷體"/>
          <w:sz w:val="28"/>
          <w:szCs w:val="28"/>
        </w:rPr>
        <w:t>1-1-2</w:t>
      </w:r>
      <w:r w:rsidRPr="00D55DC6">
        <w:rPr>
          <w:rFonts w:eastAsia="標楷體"/>
          <w:sz w:val="28"/>
          <w:szCs w:val="28"/>
        </w:rPr>
        <w:t>賽嘉遊憩區（賽嘉無動力飛行場園區水土保持及附屬設施改善工程）。</w:t>
      </w:r>
    </w:p>
    <w:p w:rsidR="0075108D" w:rsidRPr="00D55DC6" w:rsidRDefault="0075108D" w:rsidP="0075108D">
      <w:pPr>
        <w:pStyle w:val="af2"/>
        <w:snapToGrid w:val="0"/>
        <w:spacing w:line="460" w:lineRule="exact"/>
        <w:ind w:leftChars="296" w:left="1276" w:hangingChars="202" w:hanging="566"/>
        <w:jc w:val="both"/>
        <w:rPr>
          <w:rFonts w:eastAsia="標楷體"/>
          <w:sz w:val="28"/>
          <w:szCs w:val="28"/>
        </w:rPr>
      </w:pPr>
      <w:r w:rsidRPr="00D55DC6">
        <w:rPr>
          <w:rFonts w:eastAsia="標楷體"/>
          <w:sz w:val="28"/>
          <w:szCs w:val="28"/>
        </w:rPr>
        <w:t>1-2</w:t>
      </w:r>
      <w:r w:rsidRPr="00D55DC6">
        <w:rPr>
          <w:rFonts w:eastAsia="標楷體"/>
          <w:sz w:val="28"/>
          <w:szCs w:val="28"/>
        </w:rPr>
        <w:t>國內觀光重要景點：</w:t>
      </w:r>
    </w:p>
    <w:p w:rsidR="0075108D" w:rsidRPr="00D55DC6" w:rsidRDefault="0075108D" w:rsidP="0075108D">
      <w:pPr>
        <w:pStyle w:val="af2"/>
        <w:snapToGrid w:val="0"/>
        <w:spacing w:line="460" w:lineRule="exact"/>
        <w:ind w:leftChars="413" w:left="1697" w:hangingChars="252" w:hanging="706"/>
        <w:jc w:val="both"/>
        <w:rPr>
          <w:rFonts w:eastAsia="標楷體"/>
          <w:sz w:val="28"/>
          <w:szCs w:val="28"/>
        </w:rPr>
      </w:pPr>
      <w:r w:rsidRPr="00D55DC6">
        <w:rPr>
          <w:rFonts w:eastAsia="標楷體"/>
          <w:sz w:val="28"/>
          <w:szCs w:val="28"/>
        </w:rPr>
        <w:t>1-2-1</w:t>
      </w:r>
      <w:r w:rsidRPr="00D55DC6">
        <w:rPr>
          <w:rFonts w:eastAsia="標楷體"/>
          <w:sz w:val="28"/>
          <w:szCs w:val="28"/>
        </w:rPr>
        <w:t>荖濃遊憩區（荖濃溪泛舟上下岸服務設施整備及周邊設施改善等工程）。</w:t>
      </w:r>
    </w:p>
    <w:p w:rsidR="0075108D" w:rsidRPr="00D55DC6" w:rsidRDefault="0075108D" w:rsidP="0075108D">
      <w:pPr>
        <w:pStyle w:val="af2"/>
        <w:snapToGrid w:val="0"/>
        <w:spacing w:line="460" w:lineRule="exact"/>
        <w:ind w:leftChars="413" w:left="1697" w:hangingChars="252" w:hanging="706"/>
        <w:jc w:val="both"/>
        <w:rPr>
          <w:rFonts w:eastAsia="標楷體"/>
          <w:sz w:val="28"/>
          <w:szCs w:val="28"/>
        </w:rPr>
      </w:pPr>
      <w:r w:rsidRPr="00D55DC6">
        <w:rPr>
          <w:rFonts w:eastAsia="標楷體"/>
          <w:sz w:val="28"/>
          <w:szCs w:val="28"/>
        </w:rPr>
        <w:t>1-2-2</w:t>
      </w:r>
      <w:r w:rsidRPr="00D55DC6">
        <w:rPr>
          <w:rFonts w:eastAsia="標楷體"/>
          <w:sz w:val="28"/>
          <w:szCs w:val="28"/>
        </w:rPr>
        <w:t>屏北遊憩區（涼山南管理站新建及周邊服務設施改善工程、舊筏灣部落觀光改造工程、瑪家自行車道系統</w:t>
      </w:r>
      <w:r w:rsidRPr="00D55DC6">
        <w:rPr>
          <w:rFonts w:eastAsia="標楷體"/>
          <w:sz w:val="28"/>
          <w:szCs w:val="28"/>
        </w:rPr>
        <w:t>(</w:t>
      </w:r>
      <w:r w:rsidRPr="00D55DC6">
        <w:rPr>
          <w:rFonts w:eastAsia="標楷體"/>
          <w:sz w:val="28"/>
          <w:szCs w:val="28"/>
        </w:rPr>
        <w:t>內埔農工</w:t>
      </w:r>
      <w:r w:rsidRPr="00D55DC6">
        <w:rPr>
          <w:rFonts w:eastAsia="標楷體"/>
          <w:sz w:val="28"/>
          <w:szCs w:val="28"/>
        </w:rPr>
        <w:t>-</w:t>
      </w:r>
      <w:r w:rsidRPr="00D55DC6">
        <w:rPr>
          <w:rFonts w:eastAsia="標楷體"/>
          <w:sz w:val="28"/>
          <w:szCs w:val="28"/>
        </w:rPr>
        <w:t>禮納里</w:t>
      </w:r>
      <w:r w:rsidRPr="00D55DC6">
        <w:rPr>
          <w:rFonts w:eastAsia="標楷體"/>
          <w:sz w:val="28"/>
          <w:szCs w:val="28"/>
        </w:rPr>
        <w:t>-</w:t>
      </w:r>
      <w:r w:rsidRPr="00D55DC6">
        <w:rPr>
          <w:rFonts w:eastAsia="標楷體"/>
          <w:sz w:val="28"/>
          <w:szCs w:val="28"/>
        </w:rPr>
        <w:t>涼山</w:t>
      </w:r>
      <w:r w:rsidRPr="00D55DC6">
        <w:rPr>
          <w:rFonts w:eastAsia="標楷體"/>
          <w:sz w:val="28"/>
          <w:szCs w:val="28"/>
        </w:rPr>
        <w:t>)</w:t>
      </w:r>
      <w:r w:rsidRPr="00D55DC6">
        <w:rPr>
          <w:rFonts w:eastAsia="標楷體"/>
          <w:sz w:val="28"/>
          <w:szCs w:val="28"/>
        </w:rPr>
        <w:t>串聯及周邊服務設施改善工程）。</w:t>
      </w:r>
    </w:p>
    <w:p w:rsidR="0075108D" w:rsidRPr="00D55DC6" w:rsidRDefault="0075108D" w:rsidP="004865C1">
      <w:pPr>
        <w:pStyle w:val="af2"/>
        <w:numPr>
          <w:ilvl w:val="0"/>
          <w:numId w:val="224"/>
        </w:numPr>
        <w:snapToGrid w:val="0"/>
        <w:spacing w:line="460" w:lineRule="exact"/>
        <w:ind w:leftChars="0"/>
        <w:jc w:val="both"/>
        <w:rPr>
          <w:rFonts w:eastAsia="標楷體"/>
          <w:b/>
          <w:sz w:val="28"/>
          <w:szCs w:val="28"/>
        </w:rPr>
      </w:pPr>
      <w:r w:rsidRPr="00D55DC6">
        <w:rPr>
          <w:rFonts w:eastAsia="標楷體"/>
          <w:b/>
          <w:sz w:val="28"/>
          <w:szCs w:val="28"/>
        </w:rPr>
        <w:t>106</w:t>
      </w:r>
      <w:r w:rsidRPr="00D55DC6">
        <w:rPr>
          <w:rFonts w:eastAsia="標楷體"/>
          <w:b/>
          <w:sz w:val="28"/>
          <w:szCs w:val="28"/>
        </w:rPr>
        <w:t>年：</w:t>
      </w:r>
    </w:p>
    <w:p w:rsidR="0075108D" w:rsidRPr="00D55DC6" w:rsidRDefault="0075108D" w:rsidP="0075108D">
      <w:pPr>
        <w:pStyle w:val="af2"/>
        <w:snapToGrid w:val="0"/>
        <w:spacing w:line="460" w:lineRule="exact"/>
        <w:ind w:leftChars="296" w:left="1276" w:hangingChars="202" w:hanging="566"/>
        <w:jc w:val="both"/>
        <w:rPr>
          <w:rFonts w:eastAsia="標楷體"/>
          <w:sz w:val="28"/>
          <w:szCs w:val="28"/>
        </w:rPr>
      </w:pPr>
      <w:r w:rsidRPr="00D55DC6">
        <w:rPr>
          <w:rFonts w:eastAsia="標楷體"/>
          <w:sz w:val="28"/>
          <w:szCs w:val="28"/>
        </w:rPr>
        <w:t>2-1</w:t>
      </w:r>
      <w:r w:rsidRPr="00D55DC6">
        <w:rPr>
          <w:rFonts w:eastAsia="標楷體"/>
          <w:sz w:val="28"/>
          <w:szCs w:val="28"/>
        </w:rPr>
        <w:t>國際觀光重要景點：</w:t>
      </w:r>
    </w:p>
    <w:p w:rsidR="0075108D" w:rsidRPr="00D55DC6" w:rsidRDefault="0075108D" w:rsidP="0075108D">
      <w:pPr>
        <w:pStyle w:val="af2"/>
        <w:snapToGrid w:val="0"/>
        <w:spacing w:line="460" w:lineRule="exact"/>
        <w:ind w:leftChars="413" w:left="1697" w:hangingChars="252" w:hanging="706"/>
        <w:jc w:val="both"/>
        <w:rPr>
          <w:rFonts w:eastAsia="標楷體"/>
          <w:sz w:val="28"/>
          <w:szCs w:val="28"/>
        </w:rPr>
      </w:pPr>
      <w:r w:rsidRPr="00D55DC6">
        <w:rPr>
          <w:rFonts w:eastAsia="標楷體"/>
          <w:sz w:val="28"/>
          <w:szCs w:val="28"/>
        </w:rPr>
        <w:t>2-1-1</w:t>
      </w:r>
      <w:r w:rsidRPr="00D55DC6">
        <w:rPr>
          <w:rFonts w:eastAsia="標楷體"/>
          <w:sz w:val="28"/>
          <w:szCs w:val="28"/>
        </w:rPr>
        <w:t>新威茂林遊憩區（新威遊客中心新建及附屬設施工程、茂林多納傳統部落石板屋建置及周邊服務設施改善等工程）。</w:t>
      </w:r>
    </w:p>
    <w:p w:rsidR="0075108D" w:rsidRPr="00D55DC6" w:rsidRDefault="0075108D" w:rsidP="0075108D">
      <w:pPr>
        <w:pStyle w:val="af2"/>
        <w:snapToGrid w:val="0"/>
        <w:spacing w:line="460" w:lineRule="exact"/>
        <w:ind w:leftChars="413" w:left="1697" w:hangingChars="252" w:hanging="706"/>
        <w:jc w:val="both"/>
        <w:rPr>
          <w:rFonts w:eastAsia="標楷體"/>
          <w:sz w:val="28"/>
          <w:szCs w:val="28"/>
        </w:rPr>
      </w:pPr>
      <w:r w:rsidRPr="00D55DC6">
        <w:rPr>
          <w:rFonts w:eastAsia="標楷體"/>
          <w:sz w:val="28"/>
          <w:szCs w:val="28"/>
        </w:rPr>
        <w:t>2-1-2</w:t>
      </w:r>
      <w:r w:rsidRPr="00D55DC6">
        <w:rPr>
          <w:rFonts w:eastAsia="標楷體"/>
          <w:sz w:val="28"/>
          <w:szCs w:val="28"/>
        </w:rPr>
        <w:t>賽嘉遊憩區（賽嘉無動力飛行園區服務中心及全區周邊設施新建工程）。</w:t>
      </w:r>
    </w:p>
    <w:p w:rsidR="0075108D" w:rsidRPr="00D55DC6" w:rsidRDefault="0075108D" w:rsidP="0075108D">
      <w:pPr>
        <w:pStyle w:val="af2"/>
        <w:snapToGrid w:val="0"/>
        <w:spacing w:line="460" w:lineRule="exact"/>
        <w:ind w:leftChars="296" w:left="1276" w:hangingChars="202" w:hanging="566"/>
        <w:jc w:val="both"/>
        <w:rPr>
          <w:rFonts w:eastAsia="標楷體"/>
          <w:sz w:val="28"/>
          <w:szCs w:val="28"/>
        </w:rPr>
      </w:pPr>
      <w:r w:rsidRPr="00D55DC6">
        <w:rPr>
          <w:rFonts w:eastAsia="標楷體"/>
          <w:sz w:val="28"/>
          <w:szCs w:val="28"/>
        </w:rPr>
        <w:t>2-2</w:t>
      </w:r>
      <w:r w:rsidRPr="00D55DC6">
        <w:rPr>
          <w:rFonts w:eastAsia="標楷體"/>
          <w:sz w:val="28"/>
          <w:szCs w:val="28"/>
        </w:rPr>
        <w:t>國內觀光重要景點：</w:t>
      </w:r>
    </w:p>
    <w:p w:rsidR="0075108D" w:rsidRPr="00D55DC6" w:rsidRDefault="0075108D" w:rsidP="0075108D">
      <w:pPr>
        <w:pStyle w:val="af2"/>
        <w:snapToGrid w:val="0"/>
        <w:spacing w:line="460" w:lineRule="exact"/>
        <w:ind w:leftChars="413" w:left="1697" w:hangingChars="252" w:hanging="706"/>
        <w:jc w:val="both"/>
        <w:rPr>
          <w:rFonts w:eastAsia="標楷體"/>
          <w:sz w:val="28"/>
          <w:szCs w:val="28"/>
        </w:rPr>
      </w:pPr>
      <w:r w:rsidRPr="00D55DC6">
        <w:rPr>
          <w:rFonts w:eastAsia="標楷體"/>
          <w:sz w:val="28"/>
          <w:szCs w:val="28"/>
        </w:rPr>
        <w:t>2-2-1</w:t>
      </w:r>
      <w:r w:rsidRPr="00D55DC6">
        <w:rPr>
          <w:rFonts w:eastAsia="標楷體"/>
          <w:sz w:val="28"/>
          <w:szCs w:val="28"/>
        </w:rPr>
        <w:t>荖濃遊憩區（十八羅漢山景觀遊憩設施工程及周邊改善等工程）。</w:t>
      </w:r>
    </w:p>
    <w:p w:rsidR="0075108D" w:rsidRPr="00D55DC6" w:rsidRDefault="0075108D" w:rsidP="0075108D">
      <w:pPr>
        <w:pStyle w:val="af2"/>
        <w:snapToGrid w:val="0"/>
        <w:spacing w:line="460" w:lineRule="exact"/>
        <w:ind w:leftChars="413" w:left="1697" w:hangingChars="252" w:hanging="706"/>
        <w:jc w:val="both"/>
        <w:rPr>
          <w:rFonts w:eastAsia="標楷體"/>
          <w:sz w:val="28"/>
          <w:szCs w:val="28"/>
        </w:rPr>
      </w:pPr>
      <w:r w:rsidRPr="00D55DC6">
        <w:rPr>
          <w:rFonts w:eastAsia="標楷體"/>
          <w:sz w:val="28"/>
          <w:szCs w:val="28"/>
        </w:rPr>
        <w:t>2-2-2</w:t>
      </w:r>
      <w:r w:rsidRPr="00D55DC6">
        <w:rPr>
          <w:rFonts w:eastAsia="標楷體"/>
          <w:sz w:val="28"/>
          <w:szCs w:val="28"/>
        </w:rPr>
        <w:t>屏北遊憩區（三地門工藝特色街坊環境改善暨觀光巴士接駁點串連及地磨兒藝術園區改善及周邊改善等工程）。</w:t>
      </w:r>
    </w:p>
    <w:p w:rsidR="0075108D" w:rsidRPr="00D55DC6" w:rsidRDefault="0075108D" w:rsidP="004865C1">
      <w:pPr>
        <w:pStyle w:val="af2"/>
        <w:numPr>
          <w:ilvl w:val="0"/>
          <w:numId w:val="224"/>
        </w:numPr>
        <w:snapToGrid w:val="0"/>
        <w:spacing w:line="460" w:lineRule="exact"/>
        <w:ind w:leftChars="0"/>
        <w:jc w:val="both"/>
        <w:rPr>
          <w:rFonts w:eastAsia="標楷體"/>
          <w:b/>
          <w:sz w:val="28"/>
          <w:szCs w:val="28"/>
        </w:rPr>
      </w:pPr>
      <w:r w:rsidRPr="00D55DC6">
        <w:rPr>
          <w:rFonts w:eastAsia="標楷體"/>
          <w:b/>
          <w:sz w:val="28"/>
          <w:szCs w:val="28"/>
        </w:rPr>
        <w:t>107</w:t>
      </w:r>
      <w:r w:rsidRPr="00D55DC6">
        <w:rPr>
          <w:rFonts w:eastAsia="標楷體"/>
          <w:b/>
          <w:sz w:val="28"/>
          <w:szCs w:val="28"/>
        </w:rPr>
        <w:t>年：</w:t>
      </w:r>
    </w:p>
    <w:p w:rsidR="0075108D" w:rsidRPr="00D55DC6" w:rsidRDefault="0075108D" w:rsidP="0075108D">
      <w:pPr>
        <w:pStyle w:val="af2"/>
        <w:snapToGrid w:val="0"/>
        <w:spacing w:line="460" w:lineRule="exact"/>
        <w:ind w:leftChars="296" w:left="1276" w:hangingChars="202" w:hanging="566"/>
        <w:jc w:val="both"/>
        <w:rPr>
          <w:rFonts w:eastAsia="標楷體"/>
          <w:sz w:val="28"/>
          <w:szCs w:val="28"/>
        </w:rPr>
      </w:pPr>
      <w:r w:rsidRPr="00D55DC6">
        <w:rPr>
          <w:rFonts w:eastAsia="標楷體"/>
          <w:sz w:val="28"/>
          <w:szCs w:val="28"/>
        </w:rPr>
        <w:t>3-1</w:t>
      </w:r>
      <w:r w:rsidRPr="00D55DC6">
        <w:rPr>
          <w:rFonts w:eastAsia="標楷體"/>
          <w:sz w:val="28"/>
          <w:szCs w:val="28"/>
        </w:rPr>
        <w:t>國際觀光重要景點：</w:t>
      </w:r>
    </w:p>
    <w:p w:rsidR="0075108D" w:rsidRPr="00D55DC6" w:rsidRDefault="0075108D" w:rsidP="0075108D">
      <w:pPr>
        <w:pStyle w:val="af2"/>
        <w:snapToGrid w:val="0"/>
        <w:spacing w:line="460" w:lineRule="exact"/>
        <w:ind w:leftChars="413" w:left="1697" w:hangingChars="252" w:hanging="706"/>
        <w:jc w:val="both"/>
        <w:rPr>
          <w:rFonts w:eastAsia="標楷體"/>
          <w:sz w:val="28"/>
          <w:szCs w:val="28"/>
        </w:rPr>
      </w:pPr>
      <w:r w:rsidRPr="00D55DC6">
        <w:rPr>
          <w:rFonts w:eastAsia="標楷體"/>
          <w:sz w:val="28"/>
          <w:szCs w:val="28"/>
        </w:rPr>
        <w:t>3-1-1</w:t>
      </w:r>
      <w:r w:rsidRPr="00D55DC6">
        <w:rPr>
          <w:rFonts w:eastAsia="標楷體"/>
          <w:sz w:val="28"/>
          <w:szCs w:val="28"/>
        </w:rPr>
        <w:t>新威茂林遊憩區（新威交通接駁轉運中心、新威森林公園園區服務設施改善工程及周邊改善等工程）。</w:t>
      </w:r>
    </w:p>
    <w:p w:rsidR="0075108D" w:rsidRPr="00D55DC6" w:rsidRDefault="0075108D" w:rsidP="0075108D">
      <w:pPr>
        <w:pStyle w:val="af2"/>
        <w:snapToGrid w:val="0"/>
        <w:spacing w:line="460" w:lineRule="exact"/>
        <w:ind w:leftChars="296" w:left="1276" w:hangingChars="202" w:hanging="566"/>
        <w:jc w:val="both"/>
        <w:rPr>
          <w:rFonts w:eastAsia="標楷體"/>
          <w:sz w:val="28"/>
          <w:szCs w:val="28"/>
        </w:rPr>
      </w:pPr>
      <w:r w:rsidRPr="00D55DC6">
        <w:rPr>
          <w:rFonts w:eastAsia="標楷體"/>
          <w:sz w:val="28"/>
          <w:szCs w:val="28"/>
        </w:rPr>
        <w:t>3-2</w:t>
      </w:r>
      <w:r w:rsidRPr="00D55DC6">
        <w:rPr>
          <w:rFonts w:eastAsia="標楷體"/>
          <w:sz w:val="28"/>
          <w:szCs w:val="28"/>
        </w:rPr>
        <w:t>國內觀光重要景點：</w:t>
      </w:r>
    </w:p>
    <w:p w:rsidR="0075108D" w:rsidRPr="00D55DC6" w:rsidRDefault="0075108D" w:rsidP="0075108D">
      <w:pPr>
        <w:pStyle w:val="af2"/>
        <w:snapToGrid w:val="0"/>
        <w:spacing w:line="460" w:lineRule="exact"/>
        <w:ind w:leftChars="413" w:left="1697" w:hangingChars="252" w:hanging="706"/>
        <w:jc w:val="both"/>
        <w:rPr>
          <w:rFonts w:eastAsia="標楷體"/>
          <w:sz w:val="28"/>
          <w:szCs w:val="28"/>
        </w:rPr>
      </w:pPr>
      <w:r w:rsidRPr="00D55DC6">
        <w:rPr>
          <w:rFonts w:eastAsia="標楷體"/>
          <w:sz w:val="28"/>
          <w:szCs w:val="28"/>
        </w:rPr>
        <w:t>3-2-1</w:t>
      </w:r>
      <w:r w:rsidRPr="00D55DC6">
        <w:rPr>
          <w:rFonts w:eastAsia="標楷體"/>
          <w:sz w:val="28"/>
          <w:szCs w:val="28"/>
        </w:rPr>
        <w:t>屏北遊憩區（霧台谷川、神山及岩板藝術部落及周邊服務設施改善工程、沿山綠色旅遊廊道及部落環境改善工程及周邊改善等工程）。</w:t>
      </w:r>
    </w:p>
    <w:p w:rsidR="0075108D" w:rsidRPr="00D55DC6" w:rsidRDefault="0075108D" w:rsidP="004865C1">
      <w:pPr>
        <w:pStyle w:val="af2"/>
        <w:numPr>
          <w:ilvl w:val="0"/>
          <w:numId w:val="224"/>
        </w:numPr>
        <w:snapToGrid w:val="0"/>
        <w:spacing w:line="460" w:lineRule="exact"/>
        <w:ind w:leftChars="0"/>
        <w:jc w:val="both"/>
        <w:rPr>
          <w:rFonts w:eastAsia="標楷體"/>
          <w:b/>
          <w:sz w:val="28"/>
          <w:szCs w:val="28"/>
        </w:rPr>
      </w:pPr>
      <w:r w:rsidRPr="00D55DC6">
        <w:rPr>
          <w:rFonts w:eastAsia="標楷體"/>
          <w:b/>
          <w:sz w:val="28"/>
          <w:szCs w:val="28"/>
        </w:rPr>
        <w:t>108</w:t>
      </w:r>
      <w:r w:rsidRPr="00D55DC6">
        <w:rPr>
          <w:rFonts w:eastAsia="標楷體"/>
          <w:b/>
          <w:sz w:val="28"/>
          <w:szCs w:val="28"/>
        </w:rPr>
        <w:t>年：</w:t>
      </w:r>
    </w:p>
    <w:p w:rsidR="0075108D" w:rsidRPr="00D55DC6" w:rsidRDefault="0075108D" w:rsidP="0075108D">
      <w:pPr>
        <w:pStyle w:val="af2"/>
        <w:snapToGrid w:val="0"/>
        <w:spacing w:line="460" w:lineRule="exact"/>
        <w:ind w:leftChars="296" w:left="1276" w:hangingChars="202" w:hanging="566"/>
        <w:jc w:val="both"/>
        <w:rPr>
          <w:rFonts w:eastAsia="標楷體"/>
          <w:sz w:val="28"/>
          <w:szCs w:val="28"/>
        </w:rPr>
      </w:pPr>
      <w:r w:rsidRPr="00D55DC6">
        <w:rPr>
          <w:rFonts w:eastAsia="標楷體"/>
          <w:sz w:val="28"/>
          <w:szCs w:val="28"/>
        </w:rPr>
        <w:t>4-1</w:t>
      </w:r>
      <w:r w:rsidRPr="00D55DC6">
        <w:rPr>
          <w:rFonts w:eastAsia="標楷體"/>
          <w:sz w:val="28"/>
          <w:szCs w:val="28"/>
        </w:rPr>
        <w:t>國際觀光重要景點：</w:t>
      </w:r>
    </w:p>
    <w:p w:rsidR="0075108D" w:rsidRPr="00D55DC6" w:rsidRDefault="0075108D" w:rsidP="0075108D">
      <w:pPr>
        <w:pStyle w:val="af2"/>
        <w:snapToGrid w:val="0"/>
        <w:spacing w:line="460" w:lineRule="exact"/>
        <w:ind w:leftChars="413" w:left="1697" w:hangingChars="252" w:hanging="706"/>
        <w:jc w:val="both"/>
        <w:rPr>
          <w:rFonts w:eastAsia="標楷體"/>
          <w:sz w:val="28"/>
          <w:szCs w:val="28"/>
        </w:rPr>
      </w:pPr>
      <w:r w:rsidRPr="00D55DC6">
        <w:rPr>
          <w:rFonts w:eastAsia="標楷體"/>
          <w:sz w:val="28"/>
          <w:szCs w:val="28"/>
        </w:rPr>
        <w:lastRenderedPageBreak/>
        <w:t>4-1-1</w:t>
      </w:r>
      <w:r w:rsidRPr="00D55DC6">
        <w:rPr>
          <w:rFonts w:eastAsia="標楷體"/>
          <w:sz w:val="28"/>
          <w:szCs w:val="28"/>
        </w:rPr>
        <w:t>新威茂林遊憩區（多納溫泉區遊憩服務設施改善工程及周邊附屬設施等工程）。</w:t>
      </w:r>
    </w:p>
    <w:p w:rsidR="0075108D" w:rsidRPr="00D55DC6" w:rsidRDefault="0075108D" w:rsidP="0075108D">
      <w:pPr>
        <w:pStyle w:val="af2"/>
        <w:snapToGrid w:val="0"/>
        <w:spacing w:line="460" w:lineRule="exact"/>
        <w:ind w:leftChars="296" w:left="1276" w:hangingChars="202" w:hanging="566"/>
        <w:jc w:val="both"/>
        <w:rPr>
          <w:rFonts w:eastAsia="標楷體"/>
          <w:sz w:val="28"/>
          <w:szCs w:val="28"/>
        </w:rPr>
      </w:pPr>
      <w:r w:rsidRPr="00D55DC6">
        <w:rPr>
          <w:rFonts w:eastAsia="標楷體"/>
          <w:sz w:val="28"/>
          <w:szCs w:val="28"/>
        </w:rPr>
        <w:t>4-2</w:t>
      </w:r>
      <w:r w:rsidRPr="00D55DC6">
        <w:rPr>
          <w:rFonts w:eastAsia="標楷體"/>
          <w:sz w:val="28"/>
          <w:szCs w:val="28"/>
        </w:rPr>
        <w:t>國內觀光重要景點：</w:t>
      </w:r>
    </w:p>
    <w:p w:rsidR="0075108D" w:rsidRPr="00D55DC6" w:rsidRDefault="0075108D" w:rsidP="0075108D">
      <w:pPr>
        <w:pStyle w:val="af2"/>
        <w:snapToGrid w:val="0"/>
        <w:spacing w:line="460" w:lineRule="exact"/>
        <w:ind w:leftChars="413" w:left="1697" w:hangingChars="252" w:hanging="706"/>
        <w:jc w:val="both"/>
        <w:rPr>
          <w:rFonts w:eastAsia="標楷體"/>
          <w:sz w:val="28"/>
          <w:szCs w:val="28"/>
        </w:rPr>
      </w:pPr>
      <w:r w:rsidRPr="00D55DC6">
        <w:rPr>
          <w:rFonts w:eastAsia="標楷體"/>
          <w:sz w:val="28"/>
          <w:szCs w:val="28"/>
        </w:rPr>
        <w:t>4-2-1</w:t>
      </w:r>
      <w:r w:rsidRPr="00D55DC6">
        <w:rPr>
          <w:rFonts w:eastAsia="標楷體"/>
          <w:sz w:val="28"/>
          <w:szCs w:val="28"/>
        </w:rPr>
        <w:t>荖濃遊憩區（寶來不老溫泉區景觀及服務設施改善工程、竹林地區遊憩服務設施改善工程</w:t>
      </w:r>
      <w:r w:rsidRPr="00D55DC6">
        <w:rPr>
          <w:rFonts w:eastAsia="標楷體"/>
          <w:sz w:val="28"/>
          <w:szCs w:val="28"/>
        </w:rPr>
        <w:t>(</w:t>
      </w:r>
      <w:r w:rsidRPr="00D55DC6">
        <w:rPr>
          <w:rFonts w:eastAsia="標楷體"/>
          <w:sz w:val="28"/>
          <w:szCs w:val="28"/>
        </w:rPr>
        <w:t>含牛相鬥遊憩區</w:t>
      </w:r>
      <w:r w:rsidRPr="00D55DC6">
        <w:rPr>
          <w:rFonts w:eastAsia="標楷體"/>
          <w:sz w:val="28"/>
          <w:szCs w:val="28"/>
        </w:rPr>
        <w:t>)</w:t>
      </w:r>
      <w:r w:rsidRPr="00D55DC6">
        <w:rPr>
          <w:rFonts w:eastAsia="標楷體"/>
          <w:sz w:val="28"/>
          <w:szCs w:val="28"/>
        </w:rPr>
        <w:t>及附屬設施改善工程）。</w:t>
      </w:r>
    </w:p>
    <w:p w:rsidR="00B6196A" w:rsidRPr="00D55DC6" w:rsidRDefault="00B6196A" w:rsidP="0038165F">
      <w:pPr>
        <w:pStyle w:val="af2"/>
        <w:snapToGrid w:val="0"/>
        <w:spacing w:line="460" w:lineRule="exact"/>
        <w:ind w:leftChars="413" w:left="1697" w:hangingChars="252" w:hanging="706"/>
        <w:jc w:val="both"/>
        <w:rPr>
          <w:rFonts w:eastAsia="標楷體"/>
          <w:sz w:val="28"/>
          <w:szCs w:val="28"/>
        </w:rPr>
      </w:pPr>
    </w:p>
    <w:p w:rsidR="000C5765" w:rsidRPr="00D55DC6" w:rsidRDefault="000C5765" w:rsidP="0038165F">
      <w:pPr>
        <w:pStyle w:val="af2"/>
        <w:snapToGrid w:val="0"/>
        <w:spacing w:line="460" w:lineRule="exact"/>
        <w:ind w:leftChars="413" w:left="1697" w:hangingChars="252" w:hanging="706"/>
        <w:jc w:val="both"/>
        <w:rPr>
          <w:rFonts w:eastAsia="標楷體"/>
          <w:sz w:val="28"/>
          <w:szCs w:val="28"/>
        </w:rPr>
      </w:pPr>
    </w:p>
    <w:p w:rsidR="00B6196A" w:rsidRPr="00D55DC6" w:rsidRDefault="00B6196A" w:rsidP="0038165F">
      <w:pPr>
        <w:pStyle w:val="af2"/>
        <w:snapToGrid w:val="0"/>
        <w:spacing w:line="460" w:lineRule="exact"/>
        <w:ind w:leftChars="413" w:left="1697" w:hangingChars="252" w:hanging="706"/>
        <w:jc w:val="both"/>
        <w:rPr>
          <w:rFonts w:eastAsia="標楷體"/>
          <w:sz w:val="28"/>
          <w:szCs w:val="28"/>
        </w:rPr>
      </w:pPr>
    </w:p>
    <w:p w:rsidR="00B6196A" w:rsidRPr="00D55DC6" w:rsidRDefault="00B6196A" w:rsidP="0038165F">
      <w:pPr>
        <w:pStyle w:val="a"/>
        <w:ind w:left="709" w:hanging="709"/>
        <w:rPr>
          <w:b/>
        </w:rPr>
      </w:pPr>
      <w:bookmarkStart w:id="139" w:name="_Toc407181704"/>
      <w:r w:rsidRPr="00D55DC6">
        <w:rPr>
          <w:b/>
        </w:rPr>
        <w:t>期程與資源需求</w:t>
      </w:r>
      <w:bookmarkEnd w:id="139"/>
    </w:p>
    <w:p w:rsidR="00B6196A" w:rsidRPr="00D55DC6" w:rsidRDefault="00B6196A" w:rsidP="004865C1">
      <w:pPr>
        <w:pStyle w:val="af2"/>
        <w:numPr>
          <w:ilvl w:val="0"/>
          <w:numId w:val="132"/>
        </w:numPr>
        <w:snapToGrid w:val="0"/>
        <w:spacing w:line="460" w:lineRule="exact"/>
        <w:ind w:leftChars="0"/>
        <w:jc w:val="both"/>
        <w:rPr>
          <w:rFonts w:eastAsia="標楷體"/>
          <w:b/>
          <w:sz w:val="28"/>
          <w:szCs w:val="28"/>
        </w:rPr>
      </w:pPr>
      <w:r w:rsidRPr="00D55DC6">
        <w:rPr>
          <w:rFonts w:eastAsia="標楷體"/>
          <w:b/>
          <w:sz w:val="28"/>
          <w:szCs w:val="28"/>
        </w:rPr>
        <w:t>計畫期程</w:t>
      </w:r>
    </w:p>
    <w:p w:rsidR="00B6196A" w:rsidRPr="00D55DC6" w:rsidRDefault="00B6196A" w:rsidP="0038165F">
      <w:pPr>
        <w:pStyle w:val="af2"/>
        <w:snapToGrid w:val="0"/>
        <w:spacing w:line="460" w:lineRule="exact"/>
        <w:ind w:leftChars="0" w:left="864"/>
        <w:jc w:val="both"/>
        <w:rPr>
          <w:rFonts w:eastAsia="標楷體"/>
          <w:sz w:val="28"/>
          <w:szCs w:val="28"/>
        </w:rPr>
      </w:pPr>
      <w:r w:rsidRPr="00D55DC6">
        <w:rPr>
          <w:rFonts w:eastAsia="標楷體"/>
          <w:sz w:val="28"/>
          <w:szCs w:val="28"/>
        </w:rPr>
        <w:t>自</w:t>
      </w:r>
      <w:r w:rsidRPr="00D55DC6">
        <w:rPr>
          <w:rFonts w:eastAsia="標楷體"/>
          <w:sz w:val="28"/>
          <w:szCs w:val="28"/>
        </w:rPr>
        <w:t>105</w:t>
      </w:r>
      <w:r w:rsidRPr="00D55DC6">
        <w:rPr>
          <w:rFonts w:eastAsia="標楷體"/>
          <w:sz w:val="28"/>
          <w:szCs w:val="28"/>
        </w:rPr>
        <w:t>年至</w:t>
      </w:r>
      <w:r w:rsidRPr="00D55DC6">
        <w:rPr>
          <w:rFonts w:eastAsia="標楷體"/>
          <w:sz w:val="28"/>
          <w:szCs w:val="28"/>
        </w:rPr>
        <w:t>108</w:t>
      </w:r>
      <w:r w:rsidRPr="00D55DC6">
        <w:rPr>
          <w:rFonts w:eastAsia="標楷體"/>
          <w:sz w:val="28"/>
          <w:szCs w:val="28"/>
        </w:rPr>
        <w:t>年。</w:t>
      </w:r>
    </w:p>
    <w:p w:rsidR="00B6196A" w:rsidRPr="00D55DC6" w:rsidRDefault="00B6196A" w:rsidP="004865C1">
      <w:pPr>
        <w:pStyle w:val="af2"/>
        <w:numPr>
          <w:ilvl w:val="0"/>
          <w:numId w:val="132"/>
        </w:numPr>
        <w:snapToGrid w:val="0"/>
        <w:spacing w:line="460" w:lineRule="exact"/>
        <w:ind w:leftChars="0"/>
        <w:jc w:val="both"/>
        <w:rPr>
          <w:rFonts w:eastAsia="標楷體"/>
          <w:b/>
          <w:sz w:val="28"/>
          <w:szCs w:val="28"/>
        </w:rPr>
      </w:pPr>
      <w:r w:rsidRPr="00D55DC6">
        <w:rPr>
          <w:rFonts w:eastAsia="標楷體"/>
          <w:b/>
          <w:sz w:val="28"/>
          <w:szCs w:val="28"/>
        </w:rPr>
        <w:t>經費需求</w:t>
      </w:r>
      <w:r w:rsidRPr="00D55DC6">
        <w:rPr>
          <w:rFonts w:eastAsia="標楷體"/>
          <w:b/>
          <w:sz w:val="28"/>
          <w:szCs w:val="28"/>
        </w:rPr>
        <w:t>(</w:t>
      </w:r>
      <w:r w:rsidRPr="00D55DC6">
        <w:rPr>
          <w:rFonts w:eastAsia="標楷體"/>
          <w:b/>
          <w:sz w:val="28"/>
          <w:szCs w:val="28"/>
        </w:rPr>
        <w:t>含分年經費</w:t>
      </w:r>
      <w:r w:rsidRPr="00D55DC6">
        <w:rPr>
          <w:rFonts w:eastAsia="標楷體"/>
          <w:b/>
          <w:sz w:val="28"/>
          <w:szCs w:val="28"/>
        </w:rPr>
        <w:t>)</w:t>
      </w:r>
      <w:r w:rsidRPr="00D55DC6">
        <w:rPr>
          <w:rFonts w:eastAsia="標楷體"/>
          <w:b/>
          <w:sz w:val="28"/>
          <w:szCs w:val="28"/>
        </w:rPr>
        <w:t>及與中程歲出概算額度配合情形</w:t>
      </w:r>
    </w:p>
    <w:p w:rsidR="00486FAE" w:rsidRPr="00D55DC6" w:rsidRDefault="00486FAE" w:rsidP="00486FAE">
      <w:pPr>
        <w:pStyle w:val="af2"/>
        <w:spacing w:line="460" w:lineRule="exact"/>
        <w:ind w:leftChars="0" w:left="864"/>
        <w:jc w:val="both"/>
        <w:rPr>
          <w:rFonts w:eastAsia="標楷體"/>
          <w:sz w:val="28"/>
          <w:szCs w:val="28"/>
        </w:rPr>
      </w:pPr>
      <w:r w:rsidRPr="00D55DC6">
        <w:rPr>
          <w:rFonts w:eastAsia="標楷體"/>
          <w:sz w:val="28"/>
          <w:szCs w:val="28"/>
        </w:rPr>
        <w:t>本計畫</w:t>
      </w:r>
      <w:r w:rsidR="00D03EE9" w:rsidRPr="00D55DC6">
        <w:rPr>
          <w:rFonts w:eastAsia="標楷體"/>
          <w:sz w:val="28"/>
          <w:szCs w:val="28"/>
        </w:rPr>
        <w:t>總經費為</w:t>
      </w:r>
      <w:r w:rsidR="00D03EE9" w:rsidRPr="00D55DC6">
        <w:rPr>
          <w:rFonts w:eastAsia="標楷體"/>
          <w:sz w:val="28"/>
          <w:szCs w:val="28"/>
        </w:rPr>
        <w:t>9.44</w:t>
      </w:r>
      <w:r w:rsidR="00D03EE9" w:rsidRPr="00D55DC6">
        <w:rPr>
          <w:rFonts w:eastAsia="標楷體"/>
          <w:sz w:val="28"/>
          <w:szCs w:val="28"/>
        </w:rPr>
        <w:t>億元，</w:t>
      </w:r>
      <w:r w:rsidRPr="00D55DC6">
        <w:rPr>
          <w:rFonts w:eastAsia="標楷體"/>
          <w:sz w:val="28"/>
          <w:szCs w:val="28"/>
        </w:rPr>
        <w:t>經費需求（含分年經費）係與中程歲出概算額度相符，分年投資重點及經費需求如下：</w:t>
      </w:r>
      <w:r w:rsidRPr="00D55DC6">
        <w:rPr>
          <w:rFonts w:eastAsia="標楷體"/>
          <w:sz w:val="28"/>
          <w:szCs w:val="28"/>
        </w:rPr>
        <w:t xml:space="preserve"> </w:t>
      </w:r>
    </w:p>
    <w:p w:rsidR="00B6196A" w:rsidRPr="00D55DC6" w:rsidRDefault="00B6196A" w:rsidP="0038165F">
      <w:pPr>
        <w:snapToGrid w:val="0"/>
        <w:spacing w:line="460" w:lineRule="exact"/>
        <w:ind w:leftChars="354" w:left="850"/>
        <w:jc w:val="both"/>
        <w:rPr>
          <w:rFonts w:eastAsia="標楷體"/>
          <w:sz w:val="28"/>
          <w:szCs w:val="28"/>
        </w:rPr>
      </w:pPr>
      <w:r w:rsidRPr="00D55DC6">
        <w:rPr>
          <w:rFonts w:eastAsia="標楷體"/>
          <w:sz w:val="28"/>
          <w:szCs w:val="28"/>
        </w:rPr>
        <w:t xml:space="preserve">                                               (</w:t>
      </w:r>
      <w:r w:rsidRPr="00D55DC6">
        <w:rPr>
          <w:rFonts w:eastAsia="標楷體"/>
          <w:sz w:val="28"/>
          <w:szCs w:val="28"/>
        </w:rPr>
        <w:t>單位</w:t>
      </w:r>
      <w:r w:rsidRPr="00D55DC6">
        <w:rPr>
          <w:rFonts w:eastAsia="標楷體"/>
          <w:sz w:val="28"/>
          <w:szCs w:val="28"/>
        </w:rPr>
        <w:t>:</w:t>
      </w:r>
      <w:r w:rsidRPr="00D55DC6">
        <w:rPr>
          <w:rFonts w:eastAsia="標楷體"/>
          <w:sz w:val="28"/>
          <w:szCs w:val="28"/>
        </w:rPr>
        <w:t>億元</w:t>
      </w:r>
      <w:r w:rsidRPr="00D55DC6">
        <w:rPr>
          <w:rFonts w:eastAsia="標楷體"/>
          <w:sz w:val="28"/>
          <w:szCs w:val="28"/>
        </w:rPr>
        <w:t>)</w:t>
      </w:r>
    </w:p>
    <w:tbl>
      <w:tblPr>
        <w:tblW w:w="9982" w:type="dxa"/>
        <w:tblInd w:w="-398" w:type="dxa"/>
        <w:tblCellMar>
          <w:left w:w="28" w:type="dxa"/>
          <w:right w:w="28" w:type="dxa"/>
        </w:tblCellMar>
        <w:tblLook w:val="00A0" w:firstRow="1" w:lastRow="0" w:firstColumn="1" w:lastColumn="0" w:noHBand="0" w:noVBand="0"/>
      </w:tblPr>
      <w:tblGrid>
        <w:gridCol w:w="400"/>
        <w:gridCol w:w="891"/>
        <w:gridCol w:w="1102"/>
        <w:gridCol w:w="2344"/>
        <w:gridCol w:w="709"/>
        <w:gridCol w:w="709"/>
        <w:gridCol w:w="709"/>
        <w:gridCol w:w="708"/>
        <w:gridCol w:w="851"/>
        <w:gridCol w:w="1559"/>
      </w:tblGrid>
      <w:tr w:rsidR="001D0350" w:rsidRPr="00D55DC6" w:rsidTr="000C5765">
        <w:trPr>
          <w:trHeight w:val="345"/>
          <w:tblHeader/>
        </w:trPr>
        <w:tc>
          <w:tcPr>
            <w:tcW w:w="400"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B6196A" w:rsidRPr="00D55DC6" w:rsidRDefault="00B6196A" w:rsidP="0038165F">
            <w:pPr>
              <w:widowControl/>
              <w:spacing w:line="0" w:lineRule="atLeast"/>
              <w:jc w:val="center"/>
              <w:rPr>
                <w:rFonts w:eastAsia="標楷體"/>
                <w:kern w:val="0"/>
              </w:rPr>
            </w:pPr>
            <w:r w:rsidRPr="00D55DC6">
              <w:rPr>
                <w:rFonts w:eastAsia="標楷體"/>
                <w:kern w:val="0"/>
              </w:rPr>
              <w:t>科目別</w:t>
            </w:r>
          </w:p>
        </w:tc>
        <w:tc>
          <w:tcPr>
            <w:tcW w:w="891" w:type="dxa"/>
            <w:tcBorders>
              <w:top w:val="single" w:sz="8" w:space="0" w:color="auto"/>
              <w:left w:val="nil"/>
              <w:bottom w:val="single" w:sz="8" w:space="0" w:color="auto"/>
              <w:right w:val="single" w:sz="8" w:space="0" w:color="auto"/>
            </w:tcBorders>
            <w:shd w:val="clear" w:color="000000" w:fill="FFFF99"/>
            <w:vAlign w:val="center"/>
          </w:tcPr>
          <w:p w:rsidR="00B6196A" w:rsidRPr="00D55DC6" w:rsidRDefault="00B6196A" w:rsidP="0038165F">
            <w:pPr>
              <w:widowControl/>
              <w:spacing w:line="0" w:lineRule="atLeast"/>
              <w:jc w:val="center"/>
              <w:rPr>
                <w:rFonts w:eastAsia="標楷體"/>
                <w:kern w:val="0"/>
              </w:rPr>
            </w:pPr>
            <w:r w:rsidRPr="00D55DC6">
              <w:rPr>
                <w:rFonts w:eastAsia="標楷體"/>
                <w:kern w:val="0"/>
                <w:szCs w:val="22"/>
              </w:rPr>
              <w:t>1</w:t>
            </w:r>
            <w:r w:rsidRPr="00D55DC6">
              <w:rPr>
                <w:rFonts w:eastAsia="標楷體"/>
                <w:kern w:val="0"/>
                <w:szCs w:val="22"/>
              </w:rPr>
              <w:t>級</w:t>
            </w:r>
          </w:p>
        </w:tc>
        <w:tc>
          <w:tcPr>
            <w:tcW w:w="1102" w:type="dxa"/>
            <w:tcBorders>
              <w:top w:val="single" w:sz="8" w:space="0" w:color="auto"/>
              <w:left w:val="nil"/>
              <w:bottom w:val="single" w:sz="8" w:space="0" w:color="auto"/>
              <w:right w:val="single" w:sz="8" w:space="0" w:color="auto"/>
            </w:tcBorders>
            <w:shd w:val="clear" w:color="000000" w:fill="FFFF99"/>
            <w:vAlign w:val="center"/>
          </w:tcPr>
          <w:p w:rsidR="00B6196A" w:rsidRPr="00D55DC6" w:rsidRDefault="00B6196A" w:rsidP="0038165F">
            <w:pPr>
              <w:widowControl/>
              <w:spacing w:line="0" w:lineRule="atLeast"/>
              <w:jc w:val="center"/>
              <w:rPr>
                <w:rFonts w:eastAsia="標楷體"/>
                <w:kern w:val="0"/>
              </w:rPr>
            </w:pPr>
            <w:r w:rsidRPr="00D55DC6">
              <w:rPr>
                <w:rFonts w:eastAsia="標楷體"/>
                <w:kern w:val="0"/>
                <w:szCs w:val="22"/>
              </w:rPr>
              <w:t>2</w:t>
            </w:r>
            <w:r w:rsidRPr="00D55DC6">
              <w:rPr>
                <w:rFonts w:eastAsia="標楷體"/>
                <w:kern w:val="0"/>
                <w:szCs w:val="22"/>
              </w:rPr>
              <w:t>級</w:t>
            </w:r>
          </w:p>
        </w:tc>
        <w:tc>
          <w:tcPr>
            <w:tcW w:w="2344"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B6196A" w:rsidRPr="00D55DC6" w:rsidRDefault="00B6196A" w:rsidP="0038165F">
            <w:pPr>
              <w:widowControl/>
              <w:spacing w:line="0" w:lineRule="atLeast"/>
              <w:jc w:val="center"/>
              <w:rPr>
                <w:rFonts w:eastAsia="標楷體"/>
                <w:kern w:val="0"/>
              </w:rPr>
            </w:pPr>
            <w:r w:rsidRPr="00D55DC6">
              <w:rPr>
                <w:rFonts w:eastAsia="標楷體"/>
                <w:kern w:val="0"/>
                <w:szCs w:val="22"/>
              </w:rPr>
              <w:t>投資重點</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B6196A" w:rsidRPr="00D55DC6" w:rsidRDefault="00B6196A" w:rsidP="0038165F">
            <w:pPr>
              <w:widowControl/>
              <w:spacing w:line="0" w:lineRule="atLeast"/>
              <w:jc w:val="center"/>
              <w:rPr>
                <w:rFonts w:eastAsia="標楷體"/>
                <w:kern w:val="0"/>
              </w:rPr>
            </w:pPr>
            <w:r w:rsidRPr="00D55DC6">
              <w:rPr>
                <w:rFonts w:eastAsia="標楷體"/>
                <w:kern w:val="0"/>
                <w:szCs w:val="22"/>
              </w:rPr>
              <w:t>105</w:t>
            </w:r>
            <w:r w:rsidRPr="00D55DC6">
              <w:rPr>
                <w:rFonts w:eastAsia="標楷體"/>
                <w:kern w:val="0"/>
                <w:szCs w:val="22"/>
              </w:rPr>
              <w:t>年</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B6196A" w:rsidRPr="00D55DC6" w:rsidRDefault="00B6196A" w:rsidP="0038165F">
            <w:pPr>
              <w:widowControl/>
              <w:spacing w:line="0" w:lineRule="atLeast"/>
              <w:jc w:val="center"/>
              <w:rPr>
                <w:rFonts w:eastAsia="標楷體"/>
                <w:kern w:val="0"/>
              </w:rPr>
            </w:pPr>
            <w:r w:rsidRPr="00D55DC6">
              <w:rPr>
                <w:rFonts w:eastAsia="標楷體"/>
                <w:kern w:val="0"/>
                <w:szCs w:val="22"/>
              </w:rPr>
              <w:t>106</w:t>
            </w:r>
            <w:r w:rsidRPr="00D55DC6">
              <w:rPr>
                <w:rFonts w:eastAsia="標楷體"/>
                <w:kern w:val="0"/>
                <w:szCs w:val="22"/>
              </w:rPr>
              <w:t>年</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B6196A" w:rsidRPr="00D55DC6" w:rsidRDefault="00B6196A" w:rsidP="0038165F">
            <w:pPr>
              <w:widowControl/>
              <w:spacing w:line="0" w:lineRule="atLeast"/>
              <w:jc w:val="center"/>
              <w:rPr>
                <w:rFonts w:eastAsia="標楷體"/>
                <w:kern w:val="0"/>
              </w:rPr>
            </w:pPr>
            <w:r w:rsidRPr="00D55DC6">
              <w:rPr>
                <w:rFonts w:eastAsia="標楷體"/>
                <w:kern w:val="0"/>
                <w:szCs w:val="22"/>
              </w:rPr>
              <w:t>107</w:t>
            </w:r>
            <w:r w:rsidRPr="00D55DC6">
              <w:rPr>
                <w:rFonts w:eastAsia="標楷體"/>
                <w:kern w:val="0"/>
                <w:szCs w:val="22"/>
              </w:rPr>
              <w:t>年</w:t>
            </w:r>
          </w:p>
        </w:tc>
        <w:tc>
          <w:tcPr>
            <w:tcW w:w="708"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B6196A" w:rsidRPr="00D55DC6" w:rsidRDefault="00B6196A" w:rsidP="0038165F">
            <w:pPr>
              <w:widowControl/>
              <w:spacing w:line="0" w:lineRule="atLeast"/>
              <w:jc w:val="center"/>
              <w:rPr>
                <w:rFonts w:eastAsia="標楷體"/>
                <w:kern w:val="0"/>
              </w:rPr>
            </w:pPr>
            <w:r w:rsidRPr="00D55DC6">
              <w:rPr>
                <w:rFonts w:eastAsia="標楷體"/>
                <w:kern w:val="0"/>
                <w:szCs w:val="22"/>
              </w:rPr>
              <w:t>108</w:t>
            </w:r>
            <w:r w:rsidRPr="00D55DC6">
              <w:rPr>
                <w:rFonts w:eastAsia="標楷體"/>
                <w:kern w:val="0"/>
                <w:szCs w:val="22"/>
              </w:rPr>
              <w:t>年</w:t>
            </w:r>
          </w:p>
        </w:tc>
        <w:tc>
          <w:tcPr>
            <w:tcW w:w="851"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B6196A" w:rsidRPr="00D55DC6" w:rsidRDefault="00B6196A" w:rsidP="0038165F">
            <w:pPr>
              <w:widowControl/>
              <w:spacing w:line="0" w:lineRule="atLeast"/>
              <w:jc w:val="center"/>
              <w:rPr>
                <w:rFonts w:eastAsia="標楷體"/>
                <w:kern w:val="0"/>
                <w:szCs w:val="22"/>
              </w:rPr>
            </w:pPr>
            <w:r w:rsidRPr="00D55DC6">
              <w:rPr>
                <w:rFonts w:eastAsia="標楷體"/>
                <w:kern w:val="0"/>
                <w:szCs w:val="22"/>
              </w:rPr>
              <w:t>合計</w:t>
            </w:r>
          </w:p>
        </w:tc>
        <w:tc>
          <w:tcPr>
            <w:tcW w:w="1559"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B6196A" w:rsidRPr="00D55DC6" w:rsidRDefault="00B6196A" w:rsidP="0038165F">
            <w:pPr>
              <w:widowControl/>
              <w:spacing w:line="0" w:lineRule="atLeast"/>
              <w:jc w:val="center"/>
              <w:rPr>
                <w:rFonts w:eastAsia="標楷體"/>
                <w:kern w:val="0"/>
              </w:rPr>
            </w:pPr>
            <w:r w:rsidRPr="00D55DC6">
              <w:rPr>
                <w:rFonts w:eastAsia="標楷體"/>
                <w:kern w:val="0"/>
                <w:szCs w:val="22"/>
              </w:rPr>
              <w:t>工作內容</w:t>
            </w:r>
          </w:p>
        </w:tc>
      </w:tr>
      <w:tr w:rsidR="001D0350" w:rsidRPr="00D55DC6" w:rsidTr="000C5765">
        <w:trPr>
          <w:trHeight w:val="227"/>
          <w:tblHeader/>
        </w:trPr>
        <w:tc>
          <w:tcPr>
            <w:tcW w:w="400" w:type="dxa"/>
            <w:vMerge/>
            <w:tcBorders>
              <w:top w:val="single" w:sz="8" w:space="0" w:color="auto"/>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891" w:type="dxa"/>
            <w:tcBorders>
              <w:top w:val="nil"/>
              <w:left w:val="nil"/>
              <w:bottom w:val="single" w:sz="8" w:space="0" w:color="auto"/>
              <w:right w:val="single" w:sz="8" w:space="0" w:color="auto"/>
            </w:tcBorders>
            <w:shd w:val="clear" w:color="000000" w:fill="FFFF99"/>
            <w:vAlign w:val="center"/>
          </w:tcPr>
          <w:p w:rsidR="00B6196A" w:rsidRPr="00D55DC6" w:rsidRDefault="00B6196A" w:rsidP="0038165F">
            <w:pPr>
              <w:widowControl/>
              <w:spacing w:line="0" w:lineRule="atLeast"/>
              <w:jc w:val="center"/>
              <w:rPr>
                <w:rFonts w:eastAsia="標楷體"/>
                <w:kern w:val="0"/>
              </w:rPr>
            </w:pPr>
            <w:r w:rsidRPr="00D55DC6">
              <w:rPr>
                <w:rFonts w:eastAsia="標楷體"/>
                <w:kern w:val="0"/>
                <w:szCs w:val="22"/>
              </w:rPr>
              <w:t>用途別</w:t>
            </w:r>
          </w:p>
        </w:tc>
        <w:tc>
          <w:tcPr>
            <w:tcW w:w="1102" w:type="dxa"/>
            <w:tcBorders>
              <w:top w:val="nil"/>
              <w:left w:val="nil"/>
              <w:bottom w:val="single" w:sz="8" w:space="0" w:color="auto"/>
              <w:right w:val="single" w:sz="8" w:space="0" w:color="auto"/>
            </w:tcBorders>
            <w:shd w:val="clear" w:color="000000" w:fill="FFFF99"/>
            <w:vAlign w:val="center"/>
          </w:tcPr>
          <w:p w:rsidR="00B6196A" w:rsidRPr="00D55DC6" w:rsidRDefault="00B6196A" w:rsidP="0038165F">
            <w:pPr>
              <w:widowControl/>
              <w:spacing w:line="0" w:lineRule="atLeast"/>
              <w:jc w:val="center"/>
              <w:rPr>
                <w:rFonts w:eastAsia="標楷體"/>
                <w:kern w:val="0"/>
              </w:rPr>
            </w:pPr>
            <w:r w:rsidRPr="00D55DC6">
              <w:rPr>
                <w:rFonts w:eastAsia="標楷體"/>
                <w:kern w:val="0"/>
                <w:szCs w:val="22"/>
              </w:rPr>
              <w:t>用途別</w:t>
            </w:r>
          </w:p>
        </w:tc>
        <w:tc>
          <w:tcPr>
            <w:tcW w:w="2344" w:type="dxa"/>
            <w:vMerge/>
            <w:tcBorders>
              <w:top w:val="single" w:sz="8" w:space="0" w:color="auto"/>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708" w:type="dxa"/>
            <w:vMerge/>
            <w:tcBorders>
              <w:top w:val="single" w:sz="8" w:space="0" w:color="auto"/>
              <w:left w:val="single" w:sz="8" w:space="0" w:color="auto"/>
              <w:bottom w:val="single" w:sz="8" w:space="0" w:color="000000"/>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851" w:type="dxa"/>
            <w:vMerge/>
            <w:tcBorders>
              <w:top w:val="single" w:sz="8" w:space="0" w:color="auto"/>
              <w:left w:val="single" w:sz="8" w:space="0" w:color="auto"/>
              <w:bottom w:val="single" w:sz="8" w:space="0" w:color="000000"/>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1559" w:type="dxa"/>
            <w:vMerge/>
            <w:tcBorders>
              <w:top w:val="single" w:sz="8" w:space="0" w:color="auto"/>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r>
      <w:tr w:rsidR="001D0350" w:rsidRPr="00D55DC6" w:rsidTr="008D5222">
        <w:trPr>
          <w:trHeight w:val="619"/>
        </w:trPr>
        <w:tc>
          <w:tcPr>
            <w:tcW w:w="400" w:type="dxa"/>
            <w:vMerge w:val="restart"/>
            <w:tcBorders>
              <w:top w:val="nil"/>
              <w:left w:val="single" w:sz="8" w:space="0" w:color="auto"/>
              <w:bottom w:val="single" w:sz="8" w:space="0" w:color="auto"/>
              <w:right w:val="single" w:sz="8" w:space="0" w:color="auto"/>
            </w:tcBorders>
            <w:shd w:val="clear" w:color="000000" w:fill="CCFFFF"/>
          </w:tcPr>
          <w:p w:rsidR="00B6196A" w:rsidRPr="00D55DC6" w:rsidRDefault="00B6196A" w:rsidP="0038165F">
            <w:pPr>
              <w:widowControl/>
              <w:spacing w:line="0" w:lineRule="atLeast"/>
              <w:jc w:val="center"/>
              <w:rPr>
                <w:rFonts w:eastAsia="標楷體"/>
                <w:kern w:val="0"/>
              </w:rPr>
            </w:pPr>
            <w:r w:rsidRPr="00D55DC6">
              <w:rPr>
                <w:rFonts w:eastAsia="標楷體"/>
                <w:kern w:val="0"/>
                <w:szCs w:val="22"/>
              </w:rPr>
              <w:t>經常門</w:t>
            </w:r>
          </w:p>
        </w:tc>
        <w:tc>
          <w:tcPr>
            <w:tcW w:w="891" w:type="dxa"/>
            <w:vMerge w:val="restart"/>
            <w:tcBorders>
              <w:top w:val="nil"/>
              <w:left w:val="single" w:sz="8" w:space="0" w:color="auto"/>
              <w:bottom w:val="single" w:sz="8" w:space="0" w:color="auto"/>
              <w:right w:val="single" w:sz="8" w:space="0" w:color="auto"/>
            </w:tcBorders>
            <w:shd w:val="clear" w:color="000000" w:fill="CCFFFF"/>
          </w:tcPr>
          <w:p w:rsidR="00B6196A" w:rsidRPr="00D55DC6" w:rsidRDefault="00B6196A" w:rsidP="0038165F">
            <w:pPr>
              <w:widowControl/>
              <w:spacing w:line="0" w:lineRule="atLeast"/>
              <w:jc w:val="center"/>
              <w:rPr>
                <w:rFonts w:eastAsia="標楷體"/>
                <w:kern w:val="0"/>
              </w:rPr>
            </w:pPr>
            <w:r w:rsidRPr="00D55DC6">
              <w:rPr>
                <w:rFonts w:eastAsia="標楷體"/>
                <w:kern w:val="0"/>
                <w:szCs w:val="22"/>
              </w:rPr>
              <w:t>0200</w:t>
            </w:r>
            <w:r w:rsidRPr="00D55DC6">
              <w:rPr>
                <w:rFonts w:eastAsia="標楷體"/>
                <w:kern w:val="0"/>
                <w:szCs w:val="22"/>
              </w:rPr>
              <w:t>業務費</w:t>
            </w:r>
          </w:p>
        </w:tc>
        <w:tc>
          <w:tcPr>
            <w:tcW w:w="1102" w:type="dxa"/>
            <w:vMerge w:val="restart"/>
            <w:tcBorders>
              <w:top w:val="nil"/>
              <w:left w:val="single" w:sz="8" w:space="0" w:color="auto"/>
              <w:bottom w:val="single" w:sz="8" w:space="0" w:color="auto"/>
              <w:right w:val="single" w:sz="8" w:space="0" w:color="auto"/>
            </w:tcBorders>
            <w:shd w:val="clear" w:color="000000" w:fill="CCFFFF"/>
          </w:tcPr>
          <w:p w:rsidR="00B6196A" w:rsidRPr="00D55DC6" w:rsidRDefault="00B6196A" w:rsidP="0038165F">
            <w:pPr>
              <w:widowControl/>
              <w:spacing w:line="0" w:lineRule="atLeast"/>
              <w:rPr>
                <w:rFonts w:eastAsia="標楷體"/>
                <w:kern w:val="0"/>
              </w:rPr>
            </w:pPr>
            <w:r w:rsidRPr="00D55DC6">
              <w:rPr>
                <w:rFonts w:eastAsia="標楷體"/>
                <w:kern w:val="0"/>
                <w:szCs w:val="22"/>
              </w:rPr>
              <w:t>0284</w:t>
            </w:r>
            <w:r w:rsidRPr="00D55DC6">
              <w:rPr>
                <w:rFonts w:eastAsia="標楷體"/>
                <w:kern w:val="0"/>
                <w:szCs w:val="22"/>
              </w:rPr>
              <w:t>設施及機械設備養護費</w:t>
            </w:r>
          </w:p>
        </w:tc>
        <w:tc>
          <w:tcPr>
            <w:tcW w:w="2344"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ind w:left="332" w:hangingChars="138" w:hanging="332"/>
              <w:rPr>
                <w:rFonts w:eastAsia="標楷體"/>
                <w:b/>
                <w:bCs/>
                <w:kern w:val="0"/>
              </w:rPr>
            </w:pPr>
            <w:r w:rsidRPr="00D55DC6">
              <w:rPr>
                <w:rFonts w:eastAsia="標楷體"/>
                <w:b/>
                <w:bCs/>
                <w:kern w:val="0"/>
                <w:szCs w:val="22"/>
              </w:rPr>
              <w:t>1.</w:t>
            </w:r>
            <w:r w:rsidRPr="00D55DC6">
              <w:rPr>
                <w:rFonts w:eastAsia="標楷體"/>
                <w:b/>
                <w:bCs/>
                <w:kern w:val="0"/>
                <w:szCs w:val="22"/>
              </w:rPr>
              <w:t>綠美化養護及設施零星修護</w:t>
            </w:r>
          </w:p>
        </w:tc>
        <w:tc>
          <w:tcPr>
            <w:tcW w:w="709"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0.05 </w:t>
            </w:r>
          </w:p>
        </w:tc>
        <w:tc>
          <w:tcPr>
            <w:tcW w:w="709"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 0.05 </w:t>
            </w:r>
          </w:p>
        </w:tc>
        <w:tc>
          <w:tcPr>
            <w:tcW w:w="709"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 0.05 </w:t>
            </w:r>
          </w:p>
        </w:tc>
        <w:tc>
          <w:tcPr>
            <w:tcW w:w="708"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 0.05 </w:t>
            </w: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  0.20 </w:t>
            </w:r>
          </w:p>
        </w:tc>
        <w:tc>
          <w:tcPr>
            <w:tcW w:w="1559" w:type="dxa"/>
            <w:vMerge w:val="restart"/>
            <w:tcBorders>
              <w:top w:val="nil"/>
              <w:left w:val="single" w:sz="8" w:space="0" w:color="auto"/>
              <w:bottom w:val="single" w:sz="8" w:space="0" w:color="auto"/>
              <w:right w:val="single" w:sz="8" w:space="0" w:color="auto"/>
            </w:tcBorders>
            <w:shd w:val="clear" w:color="000000" w:fill="CCFFFF"/>
          </w:tcPr>
          <w:p w:rsidR="00B6196A" w:rsidRPr="00D55DC6" w:rsidRDefault="00B6196A" w:rsidP="0038165F">
            <w:pPr>
              <w:widowControl/>
              <w:spacing w:line="0" w:lineRule="atLeast"/>
              <w:rPr>
                <w:rFonts w:eastAsia="標楷體"/>
                <w:kern w:val="0"/>
              </w:rPr>
            </w:pPr>
            <w:r w:rsidRPr="00D55DC6">
              <w:rPr>
                <w:rFonts w:eastAsia="標楷體"/>
                <w:kern w:val="0"/>
                <w:szCs w:val="22"/>
              </w:rPr>
              <w:t>植栽養護、零星修繕、各據點建物公共安全及消防檢測。</w:t>
            </w:r>
          </w:p>
        </w:tc>
      </w:tr>
      <w:tr w:rsidR="001D0350" w:rsidRPr="00D55DC6" w:rsidTr="008D5222">
        <w:trPr>
          <w:trHeight w:val="405"/>
        </w:trPr>
        <w:tc>
          <w:tcPr>
            <w:tcW w:w="400"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center"/>
              <w:rPr>
                <w:rFonts w:eastAsia="標楷體"/>
                <w:b/>
                <w:bCs/>
                <w:kern w:val="0"/>
              </w:rPr>
            </w:pPr>
            <w:r w:rsidRPr="00D55DC6">
              <w:rPr>
                <w:rFonts w:eastAsia="標楷體"/>
                <w:b/>
                <w:bCs/>
                <w:kern w:val="0"/>
                <w:szCs w:val="22"/>
              </w:rPr>
              <w:t>經常門合計</w:t>
            </w:r>
          </w:p>
        </w:tc>
        <w:tc>
          <w:tcPr>
            <w:tcW w:w="709"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kern w:val="0"/>
              </w:rPr>
            </w:pPr>
            <w:r w:rsidRPr="00D55DC6">
              <w:rPr>
                <w:rFonts w:eastAsia="標楷體"/>
                <w:kern w:val="0"/>
                <w:szCs w:val="22"/>
              </w:rPr>
              <w:t xml:space="preserve">0.05 </w:t>
            </w:r>
          </w:p>
        </w:tc>
        <w:tc>
          <w:tcPr>
            <w:tcW w:w="709"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kern w:val="0"/>
              </w:rPr>
            </w:pPr>
            <w:r w:rsidRPr="00D55DC6">
              <w:rPr>
                <w:rFonts w:eastAsia="標楷體"/>
                <w:kern w:val="0"/>
                <w:szCs w:val="22"/>
              </w:rPr>
              <w:t>0.05</w:t>
            </w:r>
          </w:p>
        </w:tc>
        <w:tc>
          <w:tcPr>
            <w:tcW w:w="709"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kern w:val="0"/>
              </w:rPr>
            </w:pPr>
            <w:r w:rsidRPr="00D55DC6">
              <w:rPr>
                <w:rFonts w:eastAsia="標楷體"/>
                <w:kern w:val="0"/>
                <w:szCs w:val="22"/>
              </w:rPr>
              <w:t xml:space="preserve">0.05 </w:t>
            </w:r>
          </w:p>
        </w:tc>
        <w:tc>
          <w:tcPr>
            <w:tcW w:w="708"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kern w:val="0"/>
              </w:rPr>
            </w:pPr>
            <w:r w:rsidRPr="00D55DC6">
              <w:rPr>
                <w:rFonts w:eastAsia="標楷體"/>
                <w:kern w:val="0"/>
                <w:szCs w:val="22"/>
              </w:rPr>
              <w:t xml:space="preserve">0.05 </w:t>
            </w: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szCs w:val="22"/>
              </w:rPr>
            </w:pPr>
            <w:r w:rsidRPr="00D55DC6">
              <w:rPr>
                <w:rFonts w:eastAsia="標楷體"/>
                <w:b/>
                <w:bCs/>
                <w:kern w:val="0"/>
                <w:szCs w:val="22"/>
              </w:rPr>
              <w:t xml:space="preserve">  0.20 </w:t>
            </w:r>
          </w:p>
        </w:tc>
        <w:tc>
          <w:tcPr>
            <w:tcW w:w="1559"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r>
      <w:tr w:rsidR="001D0350" w:rsidRPr="00D55DC6" w:rsidTr="008D5222">
        <w:trPr>
          <w:trHeight w:val="1305"/>
        </w:trPr>
        <w:tc>
          <w:tcPr>
            <w:tcW w:w="400" w:type="dxa"/>
            <w:vMerge w:val="restart"/>
            <w:tcBorders>
              <w:top w:val="nil"/>
              <w:left w:val="single" w:sz="8" w:space="0" w:color="auto"/>
              <w:bottom w:val="nil"/>
              <w:right w:val="single" w:sz="8" w:space="0" w:color="auto"/>
            </w:tcBorders>
            <w:shd w:val="clear" w:color="000000" w:fill="CCFFCC"/>
          </w:tcPr>
          <w:p w:rsidR="00B6196A" w:rsidRPr="00D55DC6" w:rsidRDefault="00B6196A" w:rsidP="0038165F">
            <w:pPr>
              <w:widowControl/>
              <w:spacing w:line="0" w:lineRule="atLeast"/>
              <w:jc w:val="center"/>
              <w:rPr>
                <w:rFonts w:eastAsia="標楷體"/>
                <w:kern w:val="0"/>
              </w:rPr>
            </w:pPr>
            <w:r w:rsidRPr="00D55DC6">
              <w:rPr>
                <w:rFonts w:eastAsia="標楷體"/>
                <w:kern w:val="0"/>
                <w:szCs w:val="22"/>
              </w:rPr>
              <w:t>資本門</w:t>
            </w:r>
          </w:p>
        </w:tc>
        <w:tc>
          <w:tcPr>
            <w:tcW w:w="891" w:type="dxa"/>
            <w:vMerge w:val="restart"/>
            <w:tcBorders>
              <w:top w:val="nil"/>
              <w:left w:val="single" w:sz="8" w:space="0" w:color="auto"/>
              <w:bottom w:val="single" w:sz="8" w:space="0" w:color="auto"/>
              <w:right w:val="single" w:sz="8" w:space="0" w:color="auto"/>
            </w:tcBorders>
            <w:shd w:val="clear" w:color="000000" w:fill="CCFFCC"/>
          </w:tcPr>
          <w:p w:rsidR="00B6196A" w:rsidRPr="00D55DC6" w:rsidRDefault="00B6196A" w:rsidP="0038165F">
            <w:pPr>
              <w:widowControl/>
              <w:spacing w:line="0" w:lineRule="atLeast"/>
              <w:jc w:val="center"/>
              <w:rPr>
                <w:rFonts w:eastAsia="標楷體"/>
                <w:kern w:val="0"/>
              </w:rPr>
            </w:pPr>
            <w:r w:rsidRPr="00D55DC6">
              <w:rPr>
                <w:rFonts w:eastAsia="標楷體"/>
                <w:kern w:val="0"/>
                <w:szCs w:val="22"/>
              </w:rPr>
              <w:t>0300</w:t>
            </w:r>
            <w:r w:rsidRPr="00D55DC6">
              <w:rPr>
                <w:rFonts w:eastAsia="標楷體"/>
                <w:kern w:val="0"/>
                <w:szCs w:val="22"/>
              </w:rPr>
              <w:t>設備及投資</w:t>
            </w:r>
          </w:p>
        </w:tc>
        <w:tc>
          <w:tcPr>
            <w:tcW w:w="1102"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rPr>
                <w:rFonts w:eastAsia="標楷體"/>
                <w:kern w:val="0"/>
              </w:rPr>
            </w:pPr>
            <w:r w:rsidRPr="00D55DC6">
              <w:rPr>
                <w:rFonts w:eastAsia="標楷體"/>
                <w:kern w:val="0"/>
                <w:szCs w:val="22"/>
              </w:rPr>
              <w:t>0301</w:t>
            </w:r>
            <w:r w:rsidRPr="00D55DC6">
              <w:rPr>
                <w:rFonts w:eastAsia="標楷體"/>
                <w:kern w:val="0"/>
                <w:szCs w:val="22"/>
              </w:rPr>
              <w:t>土地費</w:t>
            </w:r>
          </w:p>
        </w:tc>
        <w:tc>
          <w:tcPr>
            <w:tcW w:w="2344"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rPr>
                <w:rFonts w:eastAsia="標楷體"/>
                <w:b/>
                <w:bCs/>
                <w:kern w:val="0"/>
              </w:rPr>
            </w:pPr>
            <w:r w:rsidRPr="00D55DC6">
              <w:rPr>
                <w:rFonts w:eastAsia="標楷體"/>
                <w:b/>
                <w:bCs/>
                <w:kern w:val="0"/>
                <w:szCs w:val="22"/>
              </w:rPr>
              <w:t>1.</w:t>
            </w:r>
            <w:r w:rsidRPr="00D55DC6">
              <w:rPr>
                <w:rFonts w:eastAsia="標楷體"/>
                <w:b/>
                <w:bCs/>
                <w:kern w:val="0"/>
                <w:szCs w:val="22"/>
              </w:rPr>
              <w:t>土地取得</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0.20 </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 0.20 </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 0.20 </w:t>
            </w:r>
          </w:p>
        </w:tc>
        <w:tc>
          <w:tcPr>
            <w:tcW w:w="708"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 0.20 </w:t>
            </w: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  0.80 </w:t>
            </w:r>
          </w:p>
        </w:tc>
        <w:tc>
          <w:tcPr>
            <w:tcW w:w="1559" w:type="dxa"/>
            <w:tcBorders>
              <w:top w:val="nil"/>
              <w:left w:val="nil"/>
              <w:bottom w:val="single" w:sz="8" w:space="0" w:color="auto"/>
              <w:right w:val="single" w:sz="8" w:space="0" w:color="auto"/>
            </w:tcBorders>
          </w:tcPr>
          <w:p w:rsidR="00B6196A" w:rsidRPr="00D55DC6" w:rsidRDefault="00B6196A" w:rsidP="0038165F">
            <w:pPr>
              <w:widowControl/>
              <w:spacing w:line="0" w:lineRule="atLeast"/>
              <w:rPr>
                <w:rFonts w:eastAsia="標楷體"/>
                <w:kern w:val="0"/>
              </w:rPr>
            </w:pPr>
            <w:r w:rsidRPr="00D55DC6">
              <w:rPr>
                <w:rFonts w:eastAsia="標楷體"/>
                <w:kern w:val="0"/>
                <w:szCs w:val="22"/>
              </w:rPr>
              <w:t>辦理轄區訂樁測量、徵收價購、撥用補償及相關作業。</w:t>
            </w:r>
          </w:p>
        </w:tc>
      </w:tr>
      <w:tr w:rsidR="001D0350" w:rsidRPr="00D55DC6" w:rsidTr="008D5222">
        <w:trPr>
          <w:trHeight w:val="375"/>
        </w:trPr>
        <w:tc>
          <w:tcPr>
            <w:tcW w:w="400" w:type="dxa"/>
            <w:vMerge/>
            <w:tcBorders>
              <w:top w:val="nil"/>
              <w:left w:val="single" w:sz="8" w:space="0" w:color="auto"/>
              <w:bottom w:val="nil"/>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1102" w:type="dxa"/>
            <w:vMerge w:val="restart"/>
            <w:tcBorders>
              <w:top w:val="nil"/>
              <w:left w:val="single" w:sz="8" w:space="0" w:color="auto"/>
              <w:bottom w:val="single" w:sz="8" w:space="0" w:color="000000"/>
              <w:right w:val="single" w:sz="8" w:space="0" w:color="auto"/>
            </w:tcBorders>
            <w:shd w:val="clear" w:color="000000" w:fill="CCFFCC"/>
          </w:tcPr>
          <w:p w:rsidR="00B6196A" w:rsidRPr="00D55DC6" w:rsidRDefault="00B6196A" w:rsidP="0038165F">
            <w:pPr>
              <w:widowControl/>
              <w:spacing w:line="0" w:lineRule="atLeast"/>
              <w:rPr>
                <w:rFonts w:eastAsia="標楷體"/>
                <w:kern w:val="0"/>
              </w:rPr>
            </w:pPr>
            <w:r w:rsidRPr="00D55DC6">
              <w:rPr>
                <w:rFonts w:eastAsia="標楷體"/>
                <w:kern w:val="0"/>
                <w:szCs w:val="22"/>
              </w:rPr>
              <w:t>0302</w:t>
            </w:r>
            <w:r w:rsidRPr="00D55DC6">
              <w:rPr>
                <w:rFonts w:eastAsia="標楷體"/>
                <w:kern w:val="0"/>
                <w:szCs w:val="22"/>
              </w:rPr>
              <w:t>房屋建築及設備費</w:t>
            </w:r>
          </w:p>
        </w:tc>
        <w:tc>
          <w:tcPr>
            <w:tcW w:w="2344"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rPr>
                <w:rFonts w:eastAsia="標楷體"/>
                <w:b/>
                <w:bCs/>
                <w:kern w:val="0"/>
              </w:rPr>
            </w:pPr>
            <w:r w:rsidRPr="00D55DC6">
              <w:rPr>
                <w:rFonts w:eastAsia="標楷體"/>
                <w:b/>
                <w:bCs/>
                <w:kern w:val="0"/>
                <w:szCs w:val="22"/>
              </w:rPr>
              <w:t>2.</w:t>
            </w:r>
            <w:r w:rsidRPr="00D55DC6">
              <w:rPr>
                <w:rFonts w:eastAsia="標楷體"/>
                <w:b/>
                <w:bCs/>
                <w:kern w:val="0"/>
                <w:szCs w:val="22"/>
              </w:rPr>
              <w:t>房屋建築及設備</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rPr>
              <w:t>0.80</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rPr>
              <w:t>1.20</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rPr>
              <w:t>0.80</w:t>
            </w:r>
          </w:p>
        </w:tc>
        <w:tc>
          <w:tcPr>
            <w:tcW w:w="708"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rPr>
              <w:t>0.50</w:t>
            </w: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center"/>
              <w:rPr>
                <w:rFonts w:eastAsia="標楷體"/>
                <w:b/>
                <w:bCs/>
                <w:kern w:val="0"/>
              </w:rPr>
            </w:pPr>
            <w:r w:rsidRPr="00D55DC6">
              <w:rPr>
                <w:rFonts w:eastAsia="標楷體"/>
                <w:b/>
                <w:bCs/>
                <w:kern w:val="0"/>
              </w:rPr>
              <w:t>3.30</w:t>
            </w:r>
          </w:p>
        </w:tc>
        <w:tc>
          <w:tcPr>
            <w:tcW w:w="1559" w:type="dxa"/>
            <w:vMerge w:val="restart"/>
            <w:tcBorders>
              <w:top w:val="nil"/>
              <w:left w:val="single" w:sz="8" w:space="0" w:color="auto"/>
              <w:right w:val="single" w:sz="8" w:space="0" w:color="auto"/>
            </w:tcBorders>
          </w:tcPr>
          <w:p w:rsidR="00B6196A" w:rsidRPr="00D55DC6" w:rsidRDefault="00B6196A" w:rsidP="0038165F">
            <w:pPr>
              <w:widowControl/>
              <w:spacing w:line="0" w:lineRule="atLeast"/>
              <w:jc w:val="both"/>
              <w:rPr>
                <w:rFonts w:eastAsia="標楷體"/>
                <w:kern w:val="0"/>
              </w:rPr>
            </w:pPr>
            <w:r w:rsidRPr="00D55DC6">
              <w:rPr>
                <w:rFonts w:eastAsia="標楷體"/>
                <w:kern w:val="0"/>
                <w:szCs w:val="22"/>
              </w:rPr>
              <w:t>辦理新威茂林賽嘉等遊憩區開發建設</w:t>
            </w:r>
          </w:p>
        </w:tc>
      </w:tr>
      <w:tr w:rsidR="001D0350" w:rsidRPr="00D55DC6" w:rsidTr="008D5222">
        <w:trPr>
          <w:trHeight w:val="375"/>
        </w:trPr>
        <w:tc>
          <w:tcPr>
            <w:tcW w:w="400" w:type="dxa"/>
            <w:vMerge/>
            <w:tcBorders>
              <w:top w:val="nil"/>
              <w:left w:val="single" w:sz="8" w:space="0" w:color="auto"/>
              <w:bottom w:val="nil"/>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1102" w:type="dxa"/>
            <w:vMerge/>
            <w:tcBorders>
              <w:top w:val="nil"/>
              <w:left w:val="single" w:sz="8" w:space="0" w:color="auto"/>
              <w:bottom w:val="single" w:sz="8" w:space="0" w:color="000000"/>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both"/>
              <w:rPr>
                <w:rFonts w:eastAsia="標楷體"/>
                <w:kern w:val="0"/>
              </w:rPr>
            </w:pPr>
            <w:r w:rsidRPr="00D55DC6">
              <w:rPr>
                <w:rFonts w:eastAsia="標楷體"/>
                <w:kern w:val="0"/>
                <w:szCs w:val="22"/>
              </w:rPr>
              <w:t>(1)</w:t>
            </w:r>
            <w:r w:rsidRPr="00D55DC6">
              <w:rPr>
                <w:rFonts w:eastAsia="標楷體"/>
                <w:kern w:val="0"/>
                <w:szCs w:val="22"/>
              </w:rPr>
              <w:t>國際觀光重要景點</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kern w:val="0"/>
              </w:rPr>
            </w:pPr>
            <w:r w:rsidRPr="00D55DC6">
              <w:rPr>
                <w:rFonts w:eastAsia="標楷體"/>
                <w:kern w:val="0"/>
              </w:rPr>
              <w:t>0.50</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kern w:val="0"/>
              </w:rPr>
            </w:pPr>
            <w:r w:rsidRPr="00D55DC6">
              <w:rPr>
                <w:rFonts w:eastAsia="標楷體"/>
                <w:kern w:val="0"/>
              </w:rPr>
              <w:t>1.20</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kern w:val="0"/>
              </w:rPr>
            </w:pPr>
            <w:r w:rsidRPr="00D55DC6">
              <w:rPr>
                <w:rFonts w:eastAsia="標楷體"/>
                <w:kern w:val="0"/>
              </w:rPr>
              <w:t>0.80</w:t>
            </w:r>
          </w:p>
        </w:tc>
        <w:tc>
          <w:tcPr>
            <w:tcW w:w="708"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kern w:val="0"/>
              </w:rPr>
            </w:pP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rPr>
              <w:t>2.50</w:t>
            </w:r>
          </w:p>
        </w:tc>
        <w:tc>
          <w:tcPr>
            <w:tcW w:w="1559" w:type="dxa"/>
            <w:vMerge/>
            <w:tcBorders>
              <w:left w:val="single" w:sz="8" w:space="0" w:color="auto"/>
              <w:right w:val="single" w:sz="8" w:space="0" w:color="auto"/>
            </w:tcBorders>
          </w:tcPr>
          <w:p w:rsidR="00B6196A" w:rsidRPr="00D55DC6" w:rsidRDefault="00B6196A" w:rsidP="0038165F">
            <w:pPr>
              <w:widowControl/>
              <w:spacing w:line="0" w:lineRule="atLeast"/>
              <w:jc w:val="both"/>
              <w:rPr>
                <w:rFonts w:eastAsia="標楷體"/>
                <w:kern w:val="0"/>
              </w:rPr>
            </w:pPr>
          </w:p>
        </w:tc>
      </w:tr>
      <w:tr w:rsidR="001D0350" w:rsidRPr="00D55DC6" w:rsidTr="008D5222">
        <w:trPr>
          <w:trHeight w:val="375"/>
        </w:trPr>
        <w:tc>
          <w:tcPr>
            <w:tcW w:w="400" w:type="dxa"/>
            <w:vMerge/>
            <w:tcBorders>
              <w:top w:val="nil"/>
              <w:left w:val="single" w:sz="8" w:space="0" w:color="auto"/>
              <w:bottom w:val="nil"/>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1102" w:type="dxa"/>
            <w:vMerge/>
            <w:tcBorders>
              <w:top w:val="nil"/>
              <w:left w:val="single" w:sz="8" w:space="0" w:color="auto"/>
              <w:bottom w:val="single" w:sz="8" w:space="0" w:color="000000"/>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tcPr>
          <w:p w:rsidR="00B6196A" w:rsidRPr="00D55DC6" w:rsidRDefault="00B6196A" w:rsidP="0038165F">
            <w:pPr>
              <w:widowControl/>
              <w:spacing w:line="0" w:lineRule="atLeast"/>
              <w:rPr>
                <w:rFonts w:eastAsia="標楷體"/>
                <w:kern w:val="0"/>
              </w:rPr>
            </w:pPr>
            <w:r w:rsidRPr="00D55DC6">
              <w:rPr>
                <w:rFonts w:eastAsia="標楷體"/>
                <w:kern w:val="0"/>
              </w:rPr>
              <w:t>新威茂林遊憩區</w:t>
            </w:r>
          </w:p>
        </w:tc>
        <w:tc>
          <w:tcPr>
            <w:tcW w:w="709" w:type="dxa"/>
            <w:tcBorders>
              <w:top w:val="single" w:sz="8" w:space="0" w:color="auto"/>
              <w:left w:val="nil"/>
              <w:bottom w:val="single" w:sz="8" w:space="0" w:color="auto"/>
              <w:right w:val="nil"/>
            </w:tcBorders>
            <w:noWrap/>
            <w:vAlign w:val="center"/>
          </w:tcPr>
          <w:p w:rsidR="00B6196A" w:rsidRPr="00D55DC6" w:rsidRDefault="00B6196A" w:rsidP="0038165F">
            <w:pPr>
              <w:widowControl/>
              <w:spacing w:line="0" w:lineRule="atLeast"/>
              <w:jc w:val="right"/>
              <w:rPr>
                <w:rFonts w:eastAsia="標楷體"/>
                <w:kern w:val="0"/>
              </w:rPr>
            </w:pPr>
            <w:r w:rsidRPr="00D55DC6">
              <w:rPr>
                <w:rFonts w:eastAsia="標楷體"/>
                <w:kern w:val="0"/>
              </w:rPr>
              <w:t>0.50</w:t>
            </w:r>
          </w:p>
        </w:tc>
        <w:tc>
          <w:tcPr>
            <w:tcW w:w="709" w:type="dxa"/>
            <w:tcBorders>
              <w:top w:val="nil"/>
              <w:left w:val="single" w:sz="8" w:space="0" w:color="auto"/>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r w:rsidRPr="00D55DC6">
              <w:rPr>
                <w:rFonts w:eastAsia="標楷體"/>
                <w:kern w:val="0"/>
              </w:rPr>
              <w:t>0.80</w:t>
            </w: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r w:rsidRPr="00D55DC6">
              <w:rPr>
                <w:rFonts w:eastAsia="標楷體"/>
                <w:kern w:val="0"/>
              </w:rPr>
              <w:t>0.80</w:t>
            </w:r>
          </w:p>
        </w:tc>
        <w:tc>
          <w:tcPr>
            <w:tcW w:w="708"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rPr>
              <w:t>2.10</w:t>
            </w:r>
          </w:p>
        </w:tc>
        <w:tc>
          <w:tcPr>
            <w:tcW w:w="1559" w:type="dxa"/>
            <w:vMerge/>
            <w:tcBorders>
              <w:left w:val="single" w:sz="8" w:space="0" w:color="auto"/>
              <w:right w:val="single" w:sz="8" w:space="0" w:color="auto"/>
            </w:tcBorders>
          </w:tcPr>
          <w:p w:rsidR="00B6196A" w:rsidRPr="00D55DC6" w:rsidRDefault="00B6196A" w:rsidP="0038165F">
            <w:pPr>
              <w:widowControl/>
              <w:spacing w:line="0" w:lineRule="atLeast"/>
              <w:jc w:val="both"/>
              <w:rPr>
                <w:rFonts w:eastAsia="標楷體"/>
                <w:kern w:val="0"/>
              </w:rPr>
            </w:pPr>
          </w:p>
        </w:tc>
      </w:tr>
      <w:tr w:rsidR="001D0350" w:rsidRPr="00D55DC6" w:rsidTr="008D5222">
        <w:trPr>
          <w:trHeight w:val="375"/>
        </w:trPr>
        <w:tc>
          <w:tcPr>
            <w:tcW w:w="400" w:type="dxa"/>
            <w:vMerge/>
            <w:tcBorders>
              <w:top w:val="nil"/>
              <w:left w:val="single" w:sz="8" w:space="0" w:color="auto"/>
              <w:bottom w:val="nil"/>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1102" w:type="dxa"/>
            <w:vMerge/>
            <w:tcBorders>
              <w:top w:val="nil"/>
              <w:left w:val="single" w:sz="8" w:space="0" w:color="auto"/>
              <w:bottom w:val="single" w:sz="8" w:space="0" w:color="000000"/>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tcPr>
          <w:p w:rsidR="00B6196A" w:rsidRPr="00D55DC6" w:rsidRDefault="00B6196A" w:rsidP="0038165F">
            <w:pPr>
              <w:widowControl/>
              <w:spacing w:line="0" w:lineRule="atLeast"/>
              <w:rPr>
                <w:rFonts w:eastAsia="標楷體"/>
                <w:kern w:val="0"/>
              </w:rPr>
            </w:pPr>
            <w:r w:rsidRPr="00D55DC6">
              <w:rPr>
                <w:rFonts w:eastAsia="標楷體"/>
                <w:kern w:val="0"/>
              </w:rPr>
              <w:t>賽嘉遊憩區</w:t>
            </w:r>
          </w:p>
        </w:tc>
        <w:tc>
          <w:tcPr>
            <w:tcW w:w="709" w:type="dxa"/>
            <w:tcBorders>
              <w:top w:val="single" w:sz="8" w:space="0" w:color="auto"/>
              <w:left w:val="nil"/>
              <w:bottom w:val="single" w:sz="8" w:space="0" w:color="auto"/>
              <w:right w:val="nil"/>
            </w:tcBorders>
            <w:noWrap/>
            <w:vAlign w:val="center"/>
          </w:tcPr>
          <w:p w:rsidR="00B6196A" w:rsidRPr="00D55DC6" w:rsidRDefault="00B6196A" w:rsidP="0038165F">
            <w:pPr>
              <w:widowControl/>
              <w:spacing w:line="0" w:lineRule="atLeast"/>
              <w:jc w:val="right"/>
              <w:rPr>
                <w:rFonts w:eastAsia="標楷體"/>
                <w:kern w:val="0"/>
              </w:rPr>
            </w:pPr>
          </w:p>
        </w:tc>
        <w:tc>
          <w:tcPr>
            <w:tcW w:w="709" w:type="dxa"/>
            <w:tcBorders>
              <w:top w:val="nil"/>
              <w:left w:val="single" w:sz="8" w:space="0" w:color="auto"/>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r w:rsidRPr="00D55DC6">
              <w:rPr>
                <w:rFonts w:eastAsia="標楷體"/>
                <w:kern w:val="0"/>
              </w:rPr>
              <w:t>0.40</w:t>
            </w: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p>
        </w:tc>
        <w:tc>
          <w:tcPr>
            <w:tcW w:w="708"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rPr>
              <w:t>0.40</w:t>
            </w:r>
          </w:p>
        </w:tc>
        <w:tc>
          <w:tcPr>
            <w:tcW w:w="1559" w:type="dxa"/>
            <w:vMerge/>
            <w:tcBorders>
              <w:left w:val="single" w:sz="8" w:space="0" w:color="auto"/>
              <w:bottom w:val="single" w:sz="8" w:space="0" w:color="000000"/>
              <w:right w:val="single" w:sz="8" w:space="0" w:color="auto"/>
            </w:tcBorders>
          </w:tcPr>
          <w:p w:rsidR="00B6196A" w:rsidRPr="00D55DC6" w:rsidRDefault="00B6196A" w:rsidP="0038165F">
            <w:pPr>
              <w:widowControl/>
              <w:spacing w:line="0" w:lineRule="atLeast"/>
              <w:jc w:val="both"/>
              <w:rPr>
                <w:rFonts w:eastAsia="標楷體"/>
                <w:kern w:val="0"/>
              </w:rPr>
            </w:pPr>
          </w:p>
        </w:tc>
      </w:tr>
      <w:tr w:rsidR="001D0350" w:rsidRPr="00D55DC6" w:rsidTr="008D5222">
        <w:trPr>
          <w:trHeight w:val="345"/>
        </w:trPr>
        <w:tc>
          <w:tcPr>
            <w:tcW w:w="400" w:type="dxa"/>
            <w:vMerge/>
            <w:tcBorders>
              <w:top w:val="nil"/>
              <w:left w:val="single" w:sz="8" w:space="0" w:color="auto"/>
              <w:bottom w:val="nil"/>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1102" w:type="dxa"/>
            <w:vMerge/>
            <w:tcBorders>
              <w:top w:val="nil"/>
              <w:left w:val="single" w:sz="8" w:space="0" w:color="auto"/>
              <w:bottom w:val="single" w:sz="8" w:space="0" w:color="000000"/>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shd w:val="clear" w:color="000000" w:fill="CCFFCC"/>
            <w:vAlign w:val="center"/>
          </w:tcPr>
          <w:p w:rsidR="00B6196A" w:rsidRPr="00D55DC6" w:rsidRDefault="00B6196A" w:rsidP="0038165F">
            <w:pPr>
              <w:widowControl/>
              <w:spacing w:line="0" w:lineRule="atLeast"/>
              <w:rPr>
                <w:rFonts w:eastAsia="標楷體"/>
                <w:kern w:val="0"/>
              </w:rPr>
            </w:pPr>
            <w:r w:rsidRPr="00D55DC6">
              <w:rPr>
                <w:rFonts w:eastAsia="標楷體"/>
                <w:kern w:val="0"/>
                <w:szCs w:val="22"/>
              </w:rPr>
              <w:t>(2)</w:t>
            </w:r>
            <w:r w:rsidRPr="00D55DC6">
              <w:rPr>
                <w:rFonts w:eastAsia="標楷體"/>
                <w:kern w:val="0"/>
                <w:szCs w:val="22"/>
              </w:rPr>
              <w:t>國內觀光重要景點</w:t>
            </w:r>
          </w:p>
        </w:tc>
        <w:tc>
          <w:tcPr>
            <w:tcW w:w="709" w:type="dxa"/>
            <w:tcBorders>
              <w:top w:val="single" w:sz="8" w:space="0" w:color="auto"/>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kern w:val="0"/>
              </w:rPr>
            </w:pPr>
            <w:r w:rsidRPr="00D55DC6">
              <w:rPr>
                <w:rFonts w:eastAsia="標楷體"/>
                <w:kern w:val="0"/>
              </w:rPr>
              <w:t>0.30</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kern w:val="0"/>
              </w:rPr>
            </w:pP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kern w:val="0"/>
              </w:rPr>
            </w:pPr>
          </w:p>
        </w:tc>
        <w:tc>
          <w:tcPr>
            <w:tcW w:w="708"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kern w:val="0"/>
              </w:rPr>
            </w:pPr>
            <w:r w:rsidRPr="00D55DC6">
              <w:rPr>
                <w:rFonts w:eastAsia="標楷體"/>
                <w:kern w:val="0"/>
              </w:rPr>
              <w:t>0.50</w:t>
            </w: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rPr>
              <w:t>0.80</w:t>
            </w:r>
          </w:p>
        </w:tc>
        <w:tc>
          <w:tcPr>
            <w:tcW w:w="1559" w:type="dxa"/>
            <w:vMerge w:val="restart"/>
            <w:tcBorders>
              <w:top w:val="nil"/>
              <w:left w:val="single" w:sz="8" w:space="0" w:color="auto"/>
              <w:right w:val="single" w:sz="8" w:space="0" w:color="auto"/>
            </w:tcBorders>
          </w:tcPr>
          <w:p w:rsidR="00B6196A" w:rsidRPr="00D55DC6" w:rsidRDefault="00B6196A" w:rsidP="0038165F">
            <w:pPr>
              <w:widowControl/>
              <w:spacing w:line="0" w:lineRule="atLeast"/>
              <w:jc w:val="both"/>
              <w:rPr>
                <w:rFonts w:eastAsia="標楷體"/>
                <w:kern w:val="0"/>
              </w:rPr>
            </w:pPr>
            <w:r w:rsidRPr="00D55DC6">
              <w:rPr>
                <w:rFonts w:eastAsia="標楷體"/>
                <w:kern w:val="0"/>
                <w:szCs w:val="22"/>
              </w:rPr>
              <w:t>辦理荖濃及屏北遊憩系統改善等建設</w:t>
            </w:r>
          </w:p>
        </w:tc>
      </w:tr>
      <w:tr w:rsidR="001D0350" w:rsidRPr="00D55DC6" w:rsidTr="008D5222">
        <w:trPr>
          <w:trHeight w:val="345"/>
        </w:trPr>
        <w:tc>
          <w:tcPr>
            <w:tcW w:w="400" w:type="dxa"/>
            <w:vMerge/>
            <w:tcBorders>
              <w:top w:val="nil"/>
              <w:left w:val="single" w:sz="8" w:space="0" w:color="auto"/>
              <w:bottom w:val="nil"/>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1102" w:type="dxa"/>
            <w:vMerge/>
            <w:tcBorders>
              <w:top w:val="nil"/>
              <w:left w:val="single" w:sz="8" w:space="0" w:color="auto"/>
              <w:bottom w:val="single" w:sz="8" w:space="0" w:color="000000"/>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rPr>
                <w:rFonts w:eastAsia="標楷體"/>
                <w:kern w:val="0"/>
              </w:rPr>
            </w:pPr>
            <w:r w:rsidRPr="00D55DC6">
              <w:rPr>
                <w:rFonts w:eastAsia="標楷體"/>
                <w:kern w:val="0"/>
              </w:rPr>
              <w:t>荖濃遊憩系統</w:t>
            </w:r>
          </w:p>
        </w:tc>
        <w:tc>
          <w:tcPr>
            <w:tcW w:w="709" w:type="dxa"/>
            <w:tcBorders>
              <w:top w:val="single" w:sz="8" w:space="0" w:color="auto"/>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kern w:val="0"/>
              </w:rPr>
            </w:pPr>
            <w:r w:rsidRPr="00D55DC6">
              <w:rPr>
                <w:rFonts w:eastAsia="標楷體"/>
                <w:kern w:val="0"/>
              </w:rPr>
              <w:t>0.10</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kern w:val="0"/>
              </w:rPr>
            </w:pP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kern w:val="0"/>
              </w:rPr>
            </w:pPr>
          </w:p>
        </w:tc>
        <w:tc>
          <w:tcPr>
            <w:tcW w:w="708"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kern w:val="0"/>
              </w:rPr>
            </w:pPr>
            <w:r w:rsidRPr="00D55DC6">
              <w:rPr>
                <w:rFonts w:eastAsia="標楷體"/>
                <w:kern w:val="0"/>
              </w:rPr>
              <w:t>0.50</w:t>
            </w: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rPr>
              <w:t>0.60</w:t>
            </w:r>
          </w:p>
        </w:tc>
        <w:tc>
          <w:tcPr>
            <w:tcW w:w="1559" w:type="dxa"/>
            <w:vMerge/>
            <w:tcBorders>
              <w:top w:val="nil"/>
              <w:left w:val="single" w:sz="8" w:space="0" w:color="auto"/>
              <w:right w:val="single" w:sz="8" w:space="0" w:color="auto"/>
            </w:tcBorders>
          </w:tcPr>
          <w:p w:rsidR="00B6196A" w:rsidRPr="00D55DC6" w:rsidRDefault="00B6196A" w:rsidP="0038165F">
            <w:pPr>
              <w:widowControl/>
              <w:spacing w:line="0" w:lineRule="atLeast"/>
              <w:jc w:val="both"/>
              <w:rPr>
                <w:rFonts w:eastAsia="標楷體"/>
                <w:kern w:val="0"/>
                <w:szCs w:val="22"/>
              </w:rPr>
            </w:pPr>
          </w:p>
        </w:tc>
      </w:tr>
      <w:tr w:rsidR="001D0350" w:rsidRPr="00D55DC6" w:rsidTr="008D5222">
        <w:trPr>
          <w:trHeight w:val="133"/>
        </w:trPr>
        <w:tc>
          <w:tcPr>
            <w:tcW w:w="400" w:type="dxa"/>
            <w:vMerge/>
            <w:tcBorders>
              <w:top w:val="nil"/>
              <w:left w:val="single" w:sz="8" w:space="0" w:color="auto"/>
              <w:bottom w:val="nil"/>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1102" w:type="dxa"/>
            <w:vMerge/>
            <w:tcBorders>
              <w:top w:val="nil"/>
              <w:left w:val="single" w:sz="8" w:space="0" w:color="auto"/>
              <w:bottom w:val="single" w:sz="8" w:space="0" w:color="000000"/>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tcPr>
          <w:p w:rsidR="00B6196A" w:rsidRPr="00D55DC6" w:rsidRDefault="00B6196A" w:rsidP="0038165F">
            <w:pPr>
              <w:widowControl/>
              <w:spacing w:line="0" w:lineRule="atLeast"/>
              <w:rPr>
                <w:rFonts w:eastAsia="標楷體"/>
                <w:kern w:val="0"/>
              </w:rPr>
            </w:pPr>
            <w:r w:rsidRPr="00D55DC6">
              <w:rPr>
                <w:rFonts w:eastAsia="標楷體"/>
                <w:kern w:val="0"/>
              </w:rPr>
              <w:t>屏北遊憩系統</w:t>
            </w: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r w:rsidRPr="00D55DC6">
              <w:rPr>
                <w:rFonts w:eastAsia="標楷體"/>
                <w:kern w:val="0"/>
              </w:rPr>
              <w:t>0.20</w:t>
            </w: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p>
        </w:tc>
        <w:tc>
          <w:tcPr>
            <w:tcW w:w="708"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rPr>
              <w:t>0.20</w:t>
            </w:r>
          </w:p>
        </w:tc>
        <w:tc>
          <w:tcPr>
            <w:tcW w:w="1559" w:type="dxa"/>
            <w:vMerge/>
            <w:tcBorders>
              <w:left w:val="single" w:sz="8" w:space="0" w:color="auto"/>
              <w:bottom w:val="single" w:sz="8" w:space="0" w:color="000000"/>
              <w:right w:val="single" w:sz="8" w:space="0" w:color="auto"/>
            </w:tcBorders>
          </w:tcPr>
          <w:p w:rsidR="00B6196A" w:rsidRPr="00D55DC6" w:rsidRDefault="00B6196A" w:rsidP="0038165F">
            <w:pPr>
              <w:widowControl/>
              <w:spacing w:line="0" w:lineRule="atLeast"/>
              <w:jc w:val="both"/>
              <w:rPr>
                <w:rFonts w:eastAsia="標楷體"/>
                <w:kern w:val="0"/>
              </w:rPr>
            </w:pPr>
          </w:p>
        </w:tc>
      </w:tr>
      <w:tr w:rsidR="001D0350" w:rsidRPr="00D55DC6" w:rsidTr="008D5222">
        <w:trPr>
          <w:trHeight w:val="345"/>
        </w:trPr>
        <w:tc>
          <w:tcPr>
            <w:tcW w:w="400" w:type="dxa"/>
            <w:vMerge/>
            <w:tcBorders>
              <w:top w:val="nil"/>
              <w:left w:val="single" w:sz="8" w:space="0" w:color="auto"/>
              <w:bottom w:val="nil"/>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1102" w:type="dxa"/>
            <w:vMerge w:val="restart"/>
            <w:tcBorders>
              <w:top w:val="nil"/>
              <w:left w:val="single" w:sz="8" w:space="0" w:color="auto"/>
              <w:bottom w:val="single" w:sz="8" w:space="0" w:color="auto"/>
              <w:right w:val="single" w:sz="8" w:space="0" w:color="auto"/>
            </w:tcBorders>
            <w:shd w:val="clear" w:color="000000" w:fill="CCFFCC"/>
          </w:tcPr>
          <w:p w:rsidR="00B6196A" w:rsidRPr="00D55DC6" w:rsidRDefault="00B6196A" w:rsidP="0038165F">
            <w:pPr>
              <w:widowControl/>
              <w:spacing w:line="0" w:lineRule="atLeast"/>
              <w:rPr>
                <w:rFonts w:eastAsia="標楷體"/>
                <w:kern w:val="0"/>
              </w:rPr>
            </w:pPr>
            <w:r w:rsidRPr="00D55DC6">
              <w:rPr>
                <w:rFonts w:eastAsia="標楷體"/>
                <w:kern w:val="0"/>
                <w:szCs w:val="22"/>
              </w:rPr>
              <w:t>0303</w:t>
            </w:r>
            <w:r w:rsidRPr="00D55DC6">
              <w:rPr>
                <w:rFonts w:eastAsia="標楷體"/>
                <w:kern w:val="0"/>
                <w:szCs w:val="22"/>
              </w:rPr>
              <w:t>公共建設及設施費</w:t>
            </w:r>
          </w:p>
        </w:tc>
        <w:tc>
          <w:tcPr>
            <w:tcW w:w="2344" w:type="dxa"/>
            <w:tcBorders>
              <w:top w:val="nil"/>
              <w:left w:val="nil"/>
              <w:bottom w:val="single" w:sz="8" w:space="0" w:color="auto"/>
              <w:right w:val="single" w:sz="8" w:space="0" w:color="auto"/>
            </w:tcBorders>
            <w:shd w:val="clear" w:color="000000" w:fill="CCFFCC"/>
            <w:vAlign w:val="center"/>
          </w:tcPr>
          <w:p w:rsidR="00B6196A" w:rsidRPr="00D55DC6" w:rsidRDefault="00B6196A" w:rsidP="0038165F">
            <w:pPr>
              <w:widowControl/>
              <w:spacing w:line="0" w:lineRule="atLeast"/>
              <w:rPr>
                <w:rFonts w:eastAsia="標楷體"/>
                <w:b/>
                <w:bCs/>
                <w:kern w:val="0"/>
              </w:rPr>
            </w:pPr>
            <w:r w:rsidRPr="00D55DC6">
              <w:rPr>
                <w:rFonts w:eastAsia="標楷體"/>
                <w:b/>
                <w:bCs/>
                <w:kern w:val="0"/>
                <w:szCs w:val="22"/>
              </w:rPr>
              <w:t>3.</w:t>
            </w:r>
            <w:r w:rsidRPr="00D55DC6">
              <w:rPr>
                <w:rFonts w:eastAsia="標楷體"/>
                <w:b/>
                <w:bCs/>
                <w:kern w:val="0"/>
                <w:szCs w:val="22"/>
              </w:rPr>
              <w:t>公共建設及設施</w:t>
            </w:r>
          </w:p>
        </w:tc>
        <w:tc>
          <w:tcPr>
            <w:tcW w:w="709" w:type="dxa"/>
            <w:tcBorders>
              <w:top w:val="nil"/>
              <w:left w:val="nil"/>
              <w:bottom w:val="single" w:sz="8" w:space="0" w:color="auto"/>
              <w:right w:val="single" w:sz="8" w:space="0" w:color="auto"/>
            </w:tcBorders>
            <w:shd w:val="clear" w:color="000000" w:fill="CCFFCC"/>
            <w:vAlign w:val="center"/>
          </w:tcPr>
          <w:p w:rsidR="00B6196A" w:rsidRPr="00D55DC6" w:rsidRDefault="00B6196A" w:rsidP="0038165F">
            <w:pPr>
              <w:widowControl/>
              <w:spacing w:line="0" w:lineRule="atLeast"/>
              <w:jc w:val="right"/>
              <w:rPr>
                <w:rFonts w:eastAsia="標楷體"/>
                <w:kern w:val="0"/>
              </w:rPr>
            </w:pPr>
            <w:r w:rsidRPr="00D55DC6">
              <w:rPr>
                <w:rFonts w:eastAsia="標楷體"/>
                <w:kern w:val="0"/>
              </w:rPr>
              <w:t>1.35</w:t>
            </w:r>
          </w:p>
        </w:tc>
        <w:tc>
          <w:tcPr>
            <w:tcW w:w="709" w:type="dxa"/>
            <w:tcBorders>
              <w:top w:val="nil"/>
              <w:left w:val="nil"/>
              <w:bottom w:val="single" w:sz="8" w:space="0" w:color="auto"/>
              <w:right w:val="single" w:sz="8" w:space="0" w:color="auto"/>
            </w:tcBorders>
            <w:shd w:val="clear" w:color="000000" w:fill="CCFFCC"/>
            <w:vAlign w:val="center"/>
          </w:tcPr>
          <w:p w:rsidR="00B6196A" w:rsidRPr="00D55DC6" w:rsidRDefault="00B6196A" w:rsidP="0038165F">
            <w:pPr>
              <w:widowControl/>
              <w:spacing w:line="0" w:lineRule="atLeast"/>
              <w:jc w:val="right"/>
              <w:rPr>
                <w:rFonts w:eastAsia="標楷體"/>
                <w:kern w:val="0"/>
              </w:rPr>
            </w:pPr>
            <w:r w:rsidRPr="00D55DC6">
              <w:rPr>
                <w:rFonts w:eastAsia="標楷體"/>
                <w:kern w:val="0"/>
              </w:rPr>
              <w:t>1.05</w:t>
            </w:r>
          </w:p>
        </w:tc>
        <w:tc>
          <w:tcPr>
            <w:tcW w:w="709" w:type="dxa"/>
            <w:tcBorders>
              <w:top w:val="nil"/>
              <w:left w:val="nil"/>
              <w:bottom w:val="single" w:sz="8" w:space="0" w:color="auto"/>
              <w:right w:val="single" w:sz="8" w:space="0" w:color="auto"/>
            </w:tcBorders>
            <w:shd w:val="clear" w:color="000000" w:fill="CCFFCC"/>
            <w:vAlign w:val="center"/>
          </w:tcPr>
          <w:p w:rsidR="00B6196A" w:rsidRPr="00D55DC6" w:rsidRDefault="00B6196A" w:rsidP="0038165F">
            <w:pPr>
              <w:widowControl/>
              <w:spacing w:line="0" w:lineRule="atLeast"/>
              <w:jc w:val="right"/>
              <w:rPr>
                <w:rFonts w:eastAsia="標楷體"/>
                <w:kern w:val="0"/>
              </w:rPr>
            </w:pPr>
            <w:r w:rsidRPr="00D55DC6">
              <w:rPr>
                <w:rFonts w:eastAsia="標楷體"/>
                <w:kern w:val="0"/>
              </w:rPr>
              <w:t>1.43</w:t>
            </w:r>
          </w:p>
        </w:tc>
        <w:tc>
          <w:tcPr>
            <w:tcW w:w="708" w:type="dxa"/>
            <w:tcBorders>
              <w:top w:val="nil"/>
              <w:left w:val="nil"/>
              <w:bottom w:val="single" w:sz="8" w:space="0" w:color="auto"/>
              <w:right w:val="single" w:sz="8" w:space="0" w:color="auto"/>
            </w:tcBorders>
            <w:shd w:val="clear" w:color="000000" w:fill="CCFFCC"/>
            <w:vAlign w:val="center"/>
          </w:tcPr>
          <w:p w:rsidR="00B6196A" w:rsidRPr="00D55DC6" w:rsidRDefault="00B6196A" w:rsidP="0038165F">
            <w:pPr>
              <w:widowControl/>
              <w:spacing w:line="0" w:lineRule="atLeast"/>
              <w:jc w:val="right"/>
              <w:rPr>
                <w:rFonts w:eastAsia="標楷體"/>
                <w:kern w:val="0"/>
              </w:rPr>
            </w:pPr>
            <w:r w:rsidRPr="00D55DC6">
              <w:rPr>
                <w:rFonts w:eastAsia="標楷體"/>
                <w:kern w:val="0"/>
              </w:rPr>
              <w:t>1.31</w:t>
            </w: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center"/>
              <w:rPr>
                <w:rFonts w:eastAsia="標楷體"/>
                <w:b/>
                <w:bCs/>
                <w:kern w:val="0"/>
              </w:rPr>
            </w:pPr>
            <w:r w:rsidRPr="00D55DC6">
              <w:rPr>
                <w:rFonts w:eastAsia="標楷體"/>
                <w:b/>
                <w:bCs/>
                <w:kern w:val="0"/>
              </w:rPr>
              <w:t>5.14</w:t>
            </w:r>
          </w:p>
        </w:tc>
        <w:tc>
          <w:tcPr>
            <w:tcW w:w="155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both"/>
              <w:rPr>
                <w:rFonts w:eastAsia="標楷體"/>
                <w:kern w:val="0"/>
              </w:rPr>
            </w:pPr>
            <w:r w:rsidRPr="00D55DC6">
              <w:rPr>
                <w:rFonts w:eastAsia="標楷體"/>
                <w:kern w:val="0"/>
                <w:szCs w:val="22"/>
              </w:rPr>
              <w:t xml:space="preserve">　</w:t>
            </w:r>
          </w:p>
        </w:tc>
      </w:tr>
      <w:tr w:rsidR="001D0350" w:rsidRPr="00D55DC6" w:rsidTr="008D5222">
        <w:trPr>
          <w:trHeight w:val="360"/>
        </w:trPr>
        <w:tc>
          <w:tcPr>
            <w:tcW w:w="400" w:type="dxa"/>
            <w:vMerge/>
            <w:tcBorders>
              <w:top w:val="nil"/>
              <w:left w:val="single" w:sz="8" w:space="0" w:color="auto"/>
              <w:bottom w:val="nil"/>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both"/>
              <w:rPr>
                <w:rFonts w:eastAsia="標楷體"/>
                <w:kern w:val="0"/>
              </w:rPr>
            </w:pPr>
            <w:r w:rsidRPr="00D55DC6">
              <w:rPr>
                <w:rFonts w:eastAsia="標楷體"/>
                <w:kern w:val="0"/>
                <w:szCs w:val="22"/>
              </w:rPr>
              <w:t>(1)</w:t>
            </w:r>
            <w:r w:rsidRPr="00D55DC6">
              <w:rPr>
                <w:rFonts w:eastAsia="標楷體"/>
                <w:kern w:val="0"/>
                <w:szCs w:val="22"/>
              </w:rPr>
              <w:t>先期規劃設計</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b/>
                <w:bCs/>
                <w:kern w:val="0"/>
              </w:rPr>
            </w:pPr>
            <w:r w:rsidRPr="00D55DC6">
              <w:rPr>
                <w:rFonts w:eastAsia="標楷體"/>
                <w:kern w:val="0"/>
                <w:szCs w:val="22"/>
              </w:rPr>
              <w:t xml:space="preserve">0.15 </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b/>
                <w:bCs/>
                <w:kern w:val="0"/>
              </w:rPr>
            </w:pPr>
            <w:r w:rsidRPr="00D55DC6">
              <w:rPr>
                <w:rFonts w:eastAsia="標楷體"/>
                <w:kern w:val="0"/>
                <w:szCs w:val="22"/>
              </w:rPr>
              <w:t xml:space="preserve"> 0.15 </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b/>
                <w:bCs/>
                <w:kern w:val="0"/>
              </w:rPr>
            </w:pPr>
            <w:r w:rsidRPr="00D55DC6">
              <w:rPr>
                <w:rFonts w:eastAsia="標楷體"/>
                <w:kern w:val="0"/>
                <w:szCs w:val="22"/>
              </w:rPr>
              <w:t xml:space="preserve"> 0.15 </w:t>
            </w:r>
          </w:p>
        </w:tc>
        <w:tc>
          <w:tcPr>
            <w:tcW w:w="708"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b/>
                <w:bCs/>
                <w:kern w:val="0"/>
              </w:rPr>
            </w:pPr>
            <w:r w:rsidRPr="00D55DC6">
              <w:rPr>
                <w:rFonts w:eastAsia="標楷體"/>
                <w:kern w:val="0"/>
                <w:szCs w:val="22"/>
              </w:rPr>
              <w:t xml:space="preserve"> 0.15 </w:t>
            </w: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  0.60 </w:t>
            </w:r>
          </w:p>
        </w:tc>
        <w:tc>
          <w:tcPr>
            <w:tcW w:w="155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both"/>
              <w:rPr>
                <w:rFonts w:eastAsia="標楷體"/>
                <w:kern w:val="0"/>
              </w:rPr>
            </w:pPr>
          </w:p>
        </w:tc>
      </w:tr>
      <w:tr w:rsidR="001D0350" w:rsidRPr="00D55DC6" w:rsidTr="008D5222">
        <w:trPr>
          <w:trHeight w:val="390"/>
        </w:trPr>
        <w:tc>
          <w:tcPr>
            <w:tcW w:w="400" w:type="dxa"/>
            <w:vMerge/>
            <w:tcBorders>
              <w:top w:val="nil"/>
              <w:left w:val="single" w:sz="8" w:space="0" w:color="auto"/>
              <w:bottom w:val="nil"/>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both"/>
              <w:rPr>
                <w:rFonts w:eastAsia="標楷體"/>
                <w:kern w:val="0"/>
              </w:rPr>
            </w:pPr>
            <w:r w:rsidRPr="00D55DC6">
              <w:rPr>
                <w:rFonts w:eastAsia="標楷體"/>
                <w:kern w:val="0"/>
                <w:szCs w:val="22"/>
              </w:rPr>
              <w:t>(2)</w:t>
            </w:r>
            <w:r w:rsidRPr="00D55DC6">
              <w:rPr>
                <w:rFonts w:eastAsia="標楷體"/>
                <w:kern w:val="0"/>
                <w:szCs w:val="22"/>
              </w:rPr>
              <w:t>國際觀光重要景點</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kern w:val="0"/>
              </w:rPr>
            </w:pPr>
            <w:r w:rsidRPr="00D55DC6">
              <w:rPr>
                <w:rFonts w:eastAsia="標楷體"/>
                <w:kern w:val="0"/>
              </w:rPr>
              <w:t>0.40</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kern w:val="0"/>
              </w:rPr>
            </w:pPr>
            <w:r w:rsidRPr="00D55DC6">
              <w:rPr>
                <w:rFonts w:eastAsia="標楷體"/>
                <w:kern w:val="0"/>
              </w:rPr>
              <w:t>0.20</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kern w:val="0"/>
              </w:rPr>
            </w:pPr>
          </w:p>
        </w:tc>
        <w:tc>
          <w:tcPr>
            <w:tcW w:w="708"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center"/>
              <w:rPr>
                <w:rFonts w:eastAsia="標楷體"/>
                <w:kern w:val="0"/>
              </w:rPr>
            </w:pPr>
            <w:r w:rsidRPr="00D55DC6">
              <w:rPr>
                <w:rFonts w:eastAsia="標楷體"/>
                <w:kern w:val="0"/>
              </w:rPr>
              <w:t xml:space="preserve"> 0.46</w:t>
            </w: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rPr>
              <w:t>1.06</w:t>
            </w:r>
          </w:p>
        </w:tc>
        <w:tc>
          <w:tcPr>
            <w:tcW w:w="1559" w:type="dxa"/>
            <w:vMerge w:val="restart"/>
            <w:tcBorders>
              <w:top w:val="nil"/>
              <w:left w:val="single" w:sz="8" w:space="0" w:color="auto"/>
              <w:right w:val="single" w:sz="8" w:space="0" w:color="auto"/>
            </w:tcBorders>
          </w:tcPr>
          <w:p w:rsidR="00B6196A" w:rsidRPr="00D55DC6" w:rsidRDefault="00B6196A" w:rsidP="0038165F">
            <w:pPr>
              <w:widowControl/>
              <w:spacing w:line="0" w:lineRule="atLeast"/>
              <w:jc w:val="both"/>
              <w:rPr>
                <w:rFonts w:eastAsia="標楷體"/>
                <w:kern w:val="0"/>
              </w:rPr>
            </w:pPr>
            <w:r w:rsidRPr="00D55DC6">
              <w:rPr>
                <w:rFonts w:eastAsia="標楷體"/>
                <w:kern w:val="0"/>
                <w:szCs w:val="22"/>
              </w:rPr>
              <w:t>辦理新威茂林賽嘉等遊憩區開發建設</w:t>
            </w:r>
          </w:p>
        </w:tc>
      </w:tr>
      <w:tr w:rsidR="001D0350" w:rsidRPr="00D55DC6" w:rsidTr="008D5222">
        <w:trPr>
          <w:trHeight w:val="142"/>
        </w:trPr>
        <w:tc>
          <w:tcPr>
            <w:tcW w:w="400" w:type="dxa"/>
            <w:vMerge/>
            <w:tcBorders>
              <w:top w:val="nil"/>
              <w:left w:val="single" w:sz="8" w:space="0" w:color="auto"/>
              <w:bottom w:val="nil"/>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both"/>
              <w:rPr>
                <w:rFonts w:eastAsia="標楷體"/>
                <w:kern w:val="0"/>
              </w:rPr>
            </w:pPr>
            <w:r w:rsidRPr="00D55DC6">
              <w:rPr>
                <w:rFonts w:eastAsia="標楷體"/>
                <w:kern w:val="0"/>
              </w:rPr>
              <w:t>新威茂林遊憩區</w:t>
            </w: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r w:rsidRPr="00D55DC6">
              <w:rPr>
                <w:rFonts w:eastAsia="標楷體"/>
                <w:kern w:val="0"/>
              </w:rPr>
              <w:t>0.35</w:t>
            </w: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r w:rsidRPr="00D55DC6">
              <w:rPr>
                <w:rFonts w:eastAsia="標楷體"/>
                <w:kern w:val="0"/>
              </w:rPr>
              <w:t>0.20</w:t>
            </w: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p>
        </w:tc>
        <w:tc>
          <w:tcPr>
            <w:tcW w:w="708"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r w:rsidRPr="00D55DC6">
              <w:rPr>
                <w:rFonts w:eastAsia="標楷體"/>
                <w:kern w:val="0"/>
              </w:rPr>
              <w:t>0.46</w:t>
            </w: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rPr>
              <w:t>1.01</w:t>
            </w:r>
          </w:p>
        </w:tc>
        <w:tc>
          <w:tcPr>
            <w:tcW w:w="1559" w:type="dxa"/>
            <w:vMerge/>
            <w:tcBorders>
              <w:left w:val="single" w:sz="8" w:space="0" w:color="auto"/>
              <w:right w:val="single" w:sz="8" w:space="0" w:color="auto"/>
            </w:tcBorders>
          </w:tcPr>
          <w:p w:rsidR="00B6196A" w:rsidRPr="00D55DC6" w:rsidRDefault="00B6196A" w:rsidP="0038165F">
            <w:pPr>
              <w:widowControl/>
              <w:spacing w:line="0" w:lineRule="atLeast"/>
              <w:jc w:val="both"/>
              <w:rPr>
                <w:rFonts w:eastAsia="標楷體"/>
                <w:kern w:val="0"/>
              </w:rPr>
            </w:pPr>
          </w:p>
        </w:tc>
      </w:tr>
      <w:tr w:rsidR="001D0350" w:rsidRPr="00D55DC6" w:rsidTr="008D5222">
        <w:trPr>
          <w:trHeight w:val="190"/>
        </w:trPr>
        <w:tc>
          <w:tcPr>
            <w:tcW w:w="400" w:type="dxa"/>
            <w:vMerge/>
            <w:tcBorders>
              <w:top w:val="nil"/>
              <w:left w:val="single" w:sz="8" w:space="0" w:color="auto"/>
              <w:bottom w:val="nil"/>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tcPr>
          <w:p w:rsidR="00B6196A" w:rsidRPr="00D55DC6" w:rsidRDefault="00B6196A" w:rsidP="0038165F">
            <w:pPr>
              <w:widowControl/>
              <w:spacing w:line="0" w:lineRule="atLeast"/>
              <w:rPr>
                <w:rFonts w:eastAsia="標楷體"/>
                <w:kern w:val="0"/>
              </w:rPr>
            </w:pPr>
            <w:r w:rsidRPr="00D55DC6">
              <w:rPr>
                <w:rFonts w:eastAsia="標楷體"/>
                <w:kern w:val="0"/>
              </w:rPr>
              <w:t>賽嘉遊憩區</w:t>
            </w: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r w:rsidRPr="00D55DC6">
              <w:rPr>
                <w:rFonts w:eastAsia="標楷體"/>
                <w:kern w:val="0"/>
              </w:rPr>
              <w:t>0.05</w:t>
            </w: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p>
        </w:tc>
        <w:tc>
          <w:tcPr>
            <w:tcW w:w="708"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szCs w:val="22"/>
              </w:rPr>
            </w:pPr>
            <w:r w:rsidRPr="00D55DC6">
              <w:rPr>
                <w:rFonts w:eastAsia="標楷體"/>
                <w:b/>
                <w:bCs/>
                <w:kern w:val="0"/>
                <w:szCs w:val="22"/>
              </w:rPr>
              <w:t>0.05</w:t>
            </w:r>
          </w:p>
        </w:tc>
        <w:tc>
          <w:tcPr>
            <w:tcW w:w="1559" w:type="dxa"/>
            <w:vMerge/>
            <w:tcBorders>
              <w:left w:val="single" w:sz="8" w:space="0" w:color="auto"/>
              <w:bottom w:val="nil"/>
              <w:right w:val="single" w:sz="8" w:space="0" w:color="auto"/>
            </w:tcBorders>
          </w:tcPr>
          <w:p w:rsidR="00B6196A" w:rsidRPr="00D55DC6" w:rsidRDefault="00B6196A" w:rsidP="0038165F">
            <w:pPr>
              <w:widowControl/>
              <w:spacing w:line="0" w:lineRule="atLeast"/>
              <w:jc w:val="both"/>
              <w:rPr>
                <w:rFonts w:eastAsia="標楷體"/>
                <w:kern w:val="0"/>
              </w:rPr>
            </w:pPr>
          </w:p>
        </w:tc>
      </w:tr>
      <w:tr w:rsidR="001D0350" w:rsidRPr="00D55DC6" w:rsidTr="008D5222">
        <w:trPr>
          <w:trHeight w:val="345"/>
        </w:trPr>
        <w:tc>
          <w:tcPr>
            <w:tcW w:w="400" w:type="dxa"/>
            <w:vMerge/>
            <w:tcBorders>
              <w:top w:val="nil"/>
              <w:left w:val="single" w:sz="8" w:space="0" w:color="auto"/>
              <w:bottom w:val="nil"/>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both"/>
              <w:rPr>
                <w:rFonts w:eastAsia="標楷體"/>
                <w:kern w:val="0"/>
              </w:rPr>
            </w:pPr>
            <w:r w:rsidRPr="00D55DC6">
              <w:rPr>
                <w:rFonts w:eastAsia="標楷體"/>
                <w:kern w:val="0"/>
                <w:szCs w:val="22"/>
              </w:rPr>
              <w:t>(3)</w:t>
            </w:r>
            <w:r w:rsidRPr="00D55DC6">
              <w:rPr>
                <w:rFonts w:eastAsia="標楷體"/>
                <w:kern w:val="0"/>
                <w:szCs w:val="22"/>
              </w:rPr>
              <w:t>國內觀光重要景點</w:t>
            </w:r>
          </w:p>
        </w:tc>
        <w:tc>
          <w:tcPr>
            <w:tcW w:w="709" w:type="dxa"/>
            <w:tcBorders>
              <w:top w:val="nil"/>
              <w:left w:val="nil"/>
              <w:bottom w:val="single" w:sz="8" w:space="0" w:color="auto"/>
              <w:right w:val="single" w:sz="8" w:space="0" w:color="auto"/>
            </w:tcBorders>
            <w:shd w:val="clear" w:color="000000" w:fill="CCFFCC"/>
            <w:vAlign w:val="center"/>
          </w:tcPr>
          <w:p w:rsidR="00B6196A" w:rsidRPr="00D55DC6" w:rsidRDefault="00B6196A" w:rsidP="0038165F">
            <w:pPr>
              <w:widowControl/>
              <w:spacing w:line="0" w:lineRule="atLeast"/>
              <w:jc w:val="right"/>
              <w:rPr>
                <w:rFonts w:eastAsia="標楷體"/>
                <w:kern w:val="0"/>
                <w:szCs w:val="22"/>
              </w:rPr>
            </w:pPr>
            <w:r w:rsidRPr="00D55DC6">
              <w:rPr>
                <w:rFonts w:eastAsia="標楷體"/>
                <w:kern w:val="0"/>
                <w:szCs w:val="22"/>
              </w:rPr>
              <w:t>0.40</w:t>
            </w:r>
          </w:p>
        </w:tc>
        <w:tc>
          <w:tcPr>
            <w:tcW w:w="709" w:type="dxa"/>
            <w:tcBorders>
              <w:top w:val="nil"/>
              <w:left w:val="nil"/>
              <w:bottom w:val="single" w:sz="8" w:space="0" w:color="auto"/>
              <w:right w:val="single" w:sz="8" w:space="0" w:color="auto"/>
            </w:tcBorders>
            <w:shd w:val="clear" w:color="000000" w:fill="CCFFCC"/>
            <w:vAlign w:val="center"/>
          </w:tcPr>
          <w:p w:rsidR="00B6196A" w:rsidRPr="00D55DC6" w:rsidRDefault="00B6196A" w:rsidP="0038165F">
            <w:pPr>
              <w:widowControl/>
              <w:spacing w:line="0" w:lineRule="atLeast"/>
              <w:jc w:val="right"/>
              <w:rPr>
                <w:rFonts w:eastAsia="標楷體"/>
                <w:kern w:val="0"/>
                <w:szCs w:val="22"/>
              </w:rPr>
            </w:pPr>
            <w:r w:rsidRPr="00D55DC6">
              <w:rPr>
                <w:rFonts w:eastAsia="標楷體"/>
                <w:kern w:val="0"/>
                <w:szCs w:val="22"/>
              </w:rPr>
              <w:t>0.30</w:t>
            </w:r>
          </w:p>
        </w:tc>
        <w:tc>
          <w:tcPr>
            <w:tcW w:w="709" w:type="dxa"/>
            <w:tcBorders>
              <w:top w:val="nil"/>
              <w:left w:val="nil"/>
              <w:bottom w:val="single" w:sz="8" w:space="0" w:color="auto"/>
              <w:right w:val="single" w:sz="8" w:space="0" w:color="auto"/>
            </w:tcBorders>
            <w:shd w:val="clear" w:color="000000" w:fill="CCFFCC"/>
            <w:vAlign w:val="center"/>
          </w:tcPr>
          <w:p w:rsidR="00B6196A" w:rsidRPr="00D55DC6" w:rsidRDefault="00B6196A" w:rsidP="0038165F">
            <w:pPr>
              <w:widowControl/>
              <w:spacing w:line="0" w:lineRule="atLeast"/>
              <w:jc w:val="right"/>
              <w:rPr>
                <w:rFonts w:eastAsia="標楷體"/>
                <w:kern w:val="0"/>
                <w:szCs w:val="22"/>
              </w:rPr>
            </w:pPr>
            <w:r w:rsidRPr="00D55DC6">
              <w:rPr>
                <w:rFonts w:eastAsia="標楷體"/>
                <w:kern w:val="0"/>
                <w:szCs w:val="22"/>
              </w:rPr>
              <w:t>0.88</w:t>
            </w:r>
          </w:p>
        </w:tc>
        <w:tc>
          <w:tcPr>
            <w:tcW w:w="708" w:type="dxa"/>
            <w:tcBorders>
              <w:top w:val="nil"/>
              <w:left w:val="nil"/>
              <w:bottom w:val="single" w:sz="8" w:space="0" w:color="auto"/>
              <w:right w:val="single" w:sz="8" w:space="0" w:color="auto"/>
            </w:tcBorders>
            <w:shd w:val="clear" w:color="000000" w:fill="CCFFCC"/>
            <w:vAlign w:val="center"/>
          </w:tcPr>
          <w:p w:rsidR="00B6196A" w:rsidRPr="00D55DC6" w:rsidRDefault="00B6196A" w:rsidP="0038165F">
            <w:pPr>
              <w:widowControl/>
              <w:spacing w:line="0" w:lineRule="atLeast"/>
              <w:jc w:val="right"/>
              <w:rPr>
                <w:rFonts w:eastAsia="標楷體"/>
                <w:kern w:val="0"/>
                <w:szCs w:val="22"/>
              </w:rPr>
            </w:pPr>
            <w:r w:rsidRPr="00D55DC6">
              <w:rPr>
                <w:rFonts w:eastAsia="標楷體"/>
                <w:kern w:val="0"/>
                <w:szCs w:val="22"/>
              </w:rPr>
              <w:t>0.30</w:t>
            </w: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rPr>
              <w:t>1.88</w:t>
            </w:r>
          </w:p>
        </w:tc>
        <w:tc>
          <w:tcPr>
            <w:tcW w:w="1559" w:type="dxa"/>
            <w:vMerge w:val="restart"/>
            <w:tcBorders>
              <w:top w:val="single" w:sz="8" w:space="0" w:color="auto"/>
              <w:left w:val="single" w:sz="8" w:space="0" w:color="auto"/>
              <w:right w:val="single" w:sz="8" w:space="0" w:color="auto"/>
            </w:tcBorders>
          </w:tcPr>
          <w:p w:rsidR="00B6196A" w:rsidRPr="00D55DC6" w:rsidRDefault="00B6196A" w:rsidP="0038165F">
            <w:pPr>
              <w:widowControl/>
              <w:spacing w:line="0" w:lineRule="atLeast"/>
              <w:jc w:val="both"/>
              <w:rPr>
                <w:rFonts w:eastAsia="標楷體"/>
                <w:kern w:val="0"/>
              </w:rPr>
            </w:pPr>
            <w:r w:rsidRPr="00D55DC6">
              <w:rPr>
                <w:rFonts w:eastAsia="標楷體"/>
                <w:kern w:val="0"/>
                <w:szCs w:val="22"/>
              </w:rPr>
              <w:t>辦理辦理荖濃及屏北遊憩系統改善等建設</w:t>
            </w:r>
          </w:p>
        </w:tc>
      </w:tr>
      <w:tr w:rsidR="001D0350" w:rsidRPr="00D55DC6" w:rsidTr="008D5222">
        <w:trPr>
          <w:trHeight w:val="292"/>
        </w:trPr>
        <w:tc>
          <w:tcPr>
            <w:tcW w:w="400" w:type="dxa"/>
            <w:vMerge/>
            <w:tcBorders>
              <w:top w:val="nil"/>
              <w:left w:val="single" w:sz="8" w:space="0" w:color="auto"/>
              <w:bottom w:val="nil"/>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both"/>
              <w:rPr>
                <w:rFonts w:eastAsia="標楷體"/>
                <w:kern w:val="0"/>
              </w:rPr>
            </w:pPr>
            <w:r w:rsidRPr="00D55DC6">
              <w:rPr>
                <w:rFonts w:eastAsia="標楷體"/>
                <w:kern w:val="0"/>
              </w:rPr>
              <w:t>荖濃遊憩系統</w:t>
            </w: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b/>
                <w:bCs/>
                <w:kern w:val="0"/>
              </w:rPr>
            </w:pP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rPr>
              <w:t>0.10</w:t>
            </w: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b/>
                <w:bCs/>
                <w:kern w:val="0"/>
              </w:rPr>
            </w:pPr>
          </w:p>
        </w:tc>
        <w:tc>
          <w:tcPr>
            <w:tcW w:w="708"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rPr>
              <w:t>0.30</w:t>
            </w: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rPr>
              <w:t>0.40</w:t>
            </w:r>
          </w:p>
        </w:tc>
        <w:tc>
          <w:tcPr>
            <w:tcW w:w="1559" w:type="dxa"/>
            <w:vMerge/>
            <w:tcBorders>
              <w:left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r>
      <w:tr w:rsidR="001D0350" w:rsidRPr="00D55DC6" w:rsidTr="008D5222">
        <w:trPr>
          <w:trHeight w:val="183"/>
        </w:trPr>
        <w:tc>
          <w:tcPr>
            <w:tcW w:w="400" w:type="dxa"/>
            <w:vMerge/>
            <w:tcBorders>
              <w:top w:val="nil"/>
              <w:left w:val="single" w:sz="8" w:space="0" w:color="auto"/>
              <w:bottom w:val="nil"/>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tcPr>
          <w:p w:rsidR="00B6196A" w:rsidRPr="00D55DC6" w:rsidRDefault="00B6196A" w:rsidP="0038165F">
            <w:pPr>
              <w:spacing w:line="0" w:lineRule="atLeast"/>
              <w:rPr>
                <w:rFonts w:eastAsia="標楷體"/>
              </w:rPr>
            </w:pPr>
            <w:r w:rsidRPr="00D55DC6">
              <w:rPr>
                <w:rFonts w:eastAsia="標楷體"/>
              </w:rPr>
              <w:t>屏北遊憩系統</w:t>
            </w: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r w:rsidRPr="00D55DC6">
              <w:rPr>
                <w:rFonts w:eastAsia="標楷體"/>
                <w:kern w:val="0"/>
              </w:rPr>
              <w:t>0.40</w:t>
            </w: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r w:rsidRPr="00D55DC6">
              <w:rPr>
                <w:rFonts w:eastAsia="標楷體"/>
                <w:kern w:val="0"/>
              </w:rPr>
              <w:t>0.20</w:t>
            </w: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r w:rsidRPr="00D55DC6">
              <w:rPr>
                <w:rFonts w:eastAsia="標楷體"/>
                <w:kern w:val="0"/>
              </w:rPr>
              <w:t>0.88</w:t>
            </w:r>
          </w:p>
        </w:tc>
        <w:tc>
          <w:tcPr>
            <w:tcW w:w="708"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szCs w:val="22"/>
              </w:rPr>
            </w:pPr>
            <w:r w:rsidRPr="00D55DC6">
              <w:rPr>
                <w:rFonts w:eastAsia="標楷體"/>
                <w:b/>
                <w:bCs/>
                <w:kern w:val="0"/>
                <w:szCs w:val="22"/>
              </w:rPr>
              <w:t>1.48</w:t>
            </w:r>
          </w:p>
        </w:tc>
        <w:tc>
          <w:tcPr>
            <w:tcW w:w="1559" w:type="dxa"/>
            <w:vMerge/>
            <w:tcBorders>
              <w:left w:val="single" w:sz="8" w:space="0" w:color="auto"/>
              <w:bottom w:val="nil"/>
              <w:right w:val="single" w:sz="8" w:space="0" w:color="auto"/>
            </w:tcBorders>
            <w:vAlign w:val="center"/>
          </w:tcPr>
          <w:p w:rsidR="00B6196A" w:rsidRPr="00D55DC6" w:rsidRDefault="00B6196A" w:rsidP="0038165F">
            <w:pPr>
              <w:widowControl/>
              <w:spacing w:line="0" w:lineRule="atLeast"/>
              <w:rPr>
                <w:rFonts w:eastAsia="標楷體"/>
                <w:kern w:val="0"/>
              </w:rPr>
            </w:pPr>
          </w:p>
        </w:tc>
      </w:tr>
      <w:tr w:rsidR="001D0350" w:rsidRPr="00D55DC6" w:rsidTr="008D5222">
        <w:trPr>
          <w:trHeight w:val="345"/>
        </w:trPr>
        <w:tc>
          <w:tcPr>
            <w:tcW w:w="400" w:type="dxa"/>
            <w:vMerge/>
            <w:tcBorders>
              <w:top w:val="nil"/>
              <w:left w:val="single" w:sz="8" w:space="0" w:color="auto"/>
              <w:bottom w:val="nil"/>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2344" w:type="dxa"/>
            <w:tcBorders>
              <w:top w:val="single" w:sz="8" w:space="0" w:color="auto"/>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both"/>
              <w:rPr>
                <w:rFonts w:eastAsia="標楷體"/>
                <w:kern w:val="0"/>
              </w:rPr>
            </w:pPr>
            <w:r w:rsidRPr="00D55DC6">
              <w:rPr>
                <w:rFonts w:eastAsia="標楷體"/>
                <w:kern w:val="0"/>
                <w:szCs w:val="22"/>
              </w:rPr>
              <w:t>(4)</w:t>
            </w:r>
            <w:r w:rsidRPr="00D55DC6">
              <w:rPr>
                <w:rFonts w:eastAsia="標楷體"/>
                <w:kern w:val="0"/>
                <w:szCs w:val="22"/>
              </w:rPr>
              <w:t>環境及設施整修</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kern w:val="0"/>
                <w:szCs w:val="22"/>
              </w:rPr>
            </w:pPr>
            <w:r w:rsidRPr="00D55DC6">
              <w:rPr>
                <w:rFonts w:eastAsia="標楷體"/>
                <w:kern w:val="0"/>
                <w:szCs w:val="22"/>
              </w:rPr>
              <w:t xml:space="preserve">0.40 </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kern w:val="0"/>
                <w:szCs w:val="22"/>
              </w:rPr>
            </w:pPr>
            <w:r w:rsidRPr="00D55DC6">
              <w:rPr>
                <w:rFonts w:eastAsia="標楷體"/>
                <w:kern w:val="0"/>
                <w:szCs w:val="22"/>
              </w:rPr>
              <w:t xml:space="preserve">0.40 </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kern w:val="0"/>
                <w:szCs w:val="22"/>
              </w:rPr>
            </w:pPr>
            <w:r w:rsidRPr="00D55DC6">
              <w:rPr>
                <w:rFonts w:eastAsia="標楷體"/>
                <w:kern w:val="0"/>
                <w:szCs w:val="22"/>
              </w:rPr>
              <w:t xml:space="preserve">0.40 </w:t>
            </w:r>
          </w:p>
        </w:tc>
        <w:tc>
          <w:tcPr>
            <w:tcW w:w="708"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kern w:val="0"/>
                <w:szCs w:val="22"/>
              </w:rPr>
            </w:pPr>
            <w:r w:rsidRPr="00D55DC6">
              <w:rPr>
                <w:rFonts w:eastAsia="標楷體"/>
                <w:kern w:val="0"/>
                <w:szCs w:val="22"/>
              </w:rPr>
              <w:t xml:space="preserve">0.40 </w:t>
            </w: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szCs w:val="22"/>
              </w:rPr>
            </w:pPr>
            <w:r w:rsidRPr="00D55DC6">
              <w:rPr>
                <w:rFonts w:eastAsia="標楷體"/>
                <w:b/>
                <w:bCs/>
                <w:kern w:val="0"/>
                <w:szCs w:val="22"/>
              </w:rPr>
              <w:t xml:space="preserve">  1.60 </w:t>
            </w:r>
          </w:p>
        </w:tc>
        <w:tc>
          <w:tcPr>
            <w:tcW w:w="1559" w:type="dxa"/>
            <w:vMerge w:val="restart"/>
            <w:tcBorders>
              <w:top w:val="single" w:sz="8" w:space="0" w:color="auto"/>
              <w:left w:val="single" w:sz="8" w:space="0" w:color="auto"/>
              <w:bottom w:val="single" w:sz="8" w:space="0" w:color="000000"/>
              <w:right w:val="single" w:sz="8" w:space="0" w:color="auto"/>
            </w:tcBorders>
          </w:tcPr>
          <w:p w:rsidR="00B6196A" w:rsidRPr="00D55DC6" w:rsidRDefault="00B6196A" w:rsidP="0038165F">
            <w:pPr>
              <w:widowControl/>
              <w:spacing w:line="0" w:lineRule="atLeast"/>
              <w:rPr>
                <w:rFonts w:eastAsia="標楷體"/>
                <w:kern w:val="0"/>
              </w:rPr>
            </w:pPr>
            <w:r w:rsidRPr="00D55DC6">
              <w:rPr>
                <w:rFonts w:eastAsia="標楷體"/>
                <w:kern w:val="0"/>
              </w:rPr>
              <w:t>公共設施整修或緊急修繕工程</w:t>
            </w:r>
          </w:p>
        </w:tc>
      </w:tr>
      <w:tr w:rsidR="001D0350" w:rsidRPr="00D55DC6" w:rsidTr="008D5222">
        <w:trPr>
          <w:trHeight w:val="345"/>
        </w:trPr>
        <w:tc>
          <w:tcPr>
            <w:tcW w:w="400" w:type="dxa"/>
            <w:vMerge/>
            <w:tcBorders>
              <w:top w:val="nil"/>
              <w:left w:val="single" w:sz="8" w:space="0" w:color="auto"/>
              <w:bottom w:val="nil"/>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both"/>
              <w:rPr>
                <w:rFonts w:eastAsia="標楷體"/>
                <w:kern w:val="0"/>
              </w:rPr>
            </w:pPr>
            <w:r w:rsidRPr="00D55DC6">
              <w:rPr>
                <w:rFonts w:eastAsia="標楷體"/>
                <w:kern w:val="0"/>
                <w:szCs w:val="22"/>
              </w:rPr>
              <w:t>旅遊服務系統</w:t>
            </w:r>
          </w:p>
        </w:tc>
        <w:tc>
          <w:tcPr>
            <w:tcW w:w="709" w:type="dxa"/>
            <w:tcBorders>
              <w:top w:val="nil"/>
              <w:left w:val="nil"/>
              <w:bottom w:val="single" w:sz="8" w:space="0" w:color="auto"/>
              <w:right w:val="single" w:sz="8" w:space="0" w:color="auto"/>
            </w:tcBorders>
            <w:vAlign w:val="center"/>
          </w:tcPr>
          <w:p w:rsidR="00B6196A" w:rsidRPr="00D55DC6" w:rsidRDefault="00B6196A" w:rsidP="0038165F">
            <w:pPr>
              <w:widowControl/>
              <w:spacing w:line="0" w:lineRule="atLeast"/>
              <w:jc w:val="right"/>
              <w:rPr>
                <w:rFonts w:eastAsia="標楷體"/>
                <w:kern w:val="0"/>
              </w:rPr>
            </w:pPr>
            <w:r w:rsidRPr="00D55DC6">
              <w:rPr>
                <w:rFonts w:eastAsia="標楷體"/>
                <w:kern w:val="0"/>
                <w:szCs w:val="22"/>
              </w:rPr>
              <w:t>0.10</w:t>
            </w: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r w:rsidRPr="00D55DC6">
              <w:rPr>
                <w:rFonts w:eastAsia="標楷體"/>
                <w:kern w:val="0"/>
                <w:szCs w:val="22"/>
              </w:rPr>
              <w:t xml:space="preserve"> 0.10 </w:t>
            </w: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r w:rsidRPr="00D55DC6">
              <w:rPr>
                <w:rFonts w:eastAsia="標楷體"/>
                <w:kern w:val="0"/>
                <w:szCs w:val="22"/>
              </w:rPr>
              <w:t xml:space="preserve"> 0.10 </w:t>
            </w:r>
          </w:p>
        </w:tc>
        <w:tc>
          <w:tcPr>
            <w:tcW w:w="708"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r w:rsidRPr="00D55DC6">
              <w:rPr>
                <w:rFonts w:eastAsia="標楷體"/>
                <w:kern w:val="0"/>
                <w:szCs w:val="22"/>
              </w:rPr>
              <w:t xml:space="preserve"> 0.10 </w:t>
            </w: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  0.40 </w:t>
            </w:r>
          </w:p>
        </w:tc>
        <w:tc>
          <w:tcPr>
            <w:tcW w:w="1559" w:type="dxa"/>
            <w:vMerge/>
            <w:tcBorders>
              <w:top w:val="single" w:sz="8" w:space="0" w:color="auto"/>
              <w:left w:val="single" w:sz="8" w:space="0" w:color="auto"/>
              <w:bottom w:val="single" w:sz="8" w:space="0" w:color="000000"/>
              <w:right w:val="single" w:sz="8" w:space="0" w:color="auto"/>
            </w:tcBorders>
            <w:vAlign w:val="center"/>
          </w:tcPr>
          <w:p w:rsidR="00B6196A" w:rsidRPr="00D55DC6" w:rsidRDefault="00B6196A" w:rsidP="0038165F">
            <w:pPr>
              <w:widowControl/>
              <w:spacing w:line="0" w:lineRule="atLeast"/>
              <w:rPr>
                <w:rFonts w:eastAsia="標楷體"/>
                <w:kern w:val="0"/>
              </w:rPr>
            </w:pPr>
          </w:p>
        </w:tc>
      </w:tr>
      <w:tr w:rsidR="001D0350" w:rsidRPr="00D55DC6" w:rsidTr="008D5222">
        <w:trPr>
          <w:trHeight w:val="345"/>
        </w:trPr>
        <w:tc>
          <w:tcPr>
            <w:tcW w:w="400" w:type="dxa"/>
            <w:vMerge/>
            <w:tcBorders>
              <w:top w:val="nil"/>
              <w:left w:val="single" w:sz="8" w:space="0" w:color="auto"/>
              <w:bottom w:val="nil"/>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both"/>
              <w:rPr>
                <w:rFonts w:eastAsia="標楷體"/>
                <w:kern w:val="0"/>
              </w:rPr>
            </w:pPr>
            <w:r w:rsidRPr="00D55DC6">
              <w:rPr>
                <w:rFonts w:eastAsia="標楷體"/>
                <w:kern w:val="0"/>
                <w:szCs w:val="22"/>
              </w:rPr>
              <w:t>環境維護及設施維持</w:t>
            </w:r>
          </w:p>
        </w:tc>
        <w:tc>
          <w:tcPr>
            <w:tcW w:w="709" w:type="dxa"/>
            <w:tcBorders>
              <w:top w:val="nil"/>
              <w:left w:val="nil"/>
              <w:bottom w:val="single" w:sz="8" w:space="0" w:color="auto"/>
              <w:right w:val="single" w:sz="8" w:space="0" w:color="auto"/>
            </w:tcBorders>
            <w:vAlign w:val="center"/>
          </w:tcPr>
          <w:p w:rsidR="00B6196A" w:rsidRPr="00D55DC6" w:rsidRDefault="00B6196A" w:rsidP="0038165F">
            <w:pPr>
              <w:widowControl/>
              <w:spacing w:line="0" w:lineRule="atLeast"/>
              <w:jc w:val="right"/>
              <w:rPr>
                <w:rFonts w:eastAsia="標楷體"/>
                <w:kern w:val="0"/>
              </w:rPr>
            </w:pPr>
            <w:r w:rsidRPr="00D55DC6">
              <w:rPr>
                <w:rFonts w:eastAsia="標楷體"/>
                <w:kern w:val="0"/>
                <w:szCs w:val="22"/>
              </w:rPr>
              <w:t>0.20</w:t>
            </w: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r w:rsidRPr="00D55DC6">
              <w:rPr>
                <w:rFonts w:eastAsia="標楷體"/>
                <w:kern w:val="0"/>
                <w:szCs w:val="22"/>
              </w:rPr>
              <w:t xml:space="preserve"> 0.20 </w:t>
            </w: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r w:rsidRPr="00D55DC6">
              <w:rPr>
                <w:rFonts w:eastAsia="標楷體"/>
                <w:kern w:val="0"/>
                <w:szCs w:val="22"/>
              </w:rPr>
              <w:t xml:space="preserve"> 0.20 </w:t>
            </w:r>
          </w:p>
        </w:tc>
        <w:tc>
          <w:tcPr>
            <w:tcW w:w="708"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r w:rsidRPr="00D55DC6">
              <w:rPr>
                <w:rFonts w:eastAsia="標楷體"/>
                <w:kern w:val="0"/>
                <w:szCs w:val="22"/>
              </w:rPr>
              <w:t xml:space="preserve"> 0.20 </w:t>
            </w: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  0.80 </w:t>
            </w:r>
          </w:p>
        </w:tc>
        <w:tc>
          <w:tcPr>
            <w:tcW w:w="1559" w:type="dxa"/>
            <w:vMerge/>
            <w:tcBorders>
              <w:top w:val="single" w:sz="8" w:space="0" w:color="auto"/>
              <w:left w:val="single" w:sz="8" w:space="0" w:color="auto"/>
              <w:bottom w:val="single" w:sz="8" w:space="0" w:color="000000"/>
              <w:right w:val="single" w:sz="8" w:space="0" w:color="auto"/>
            </w:tcBorders>
            <w:vAlign w:val="center"/>
          </w:tcPr>
          <w:p w:rsidR="00B6196A" w:rsidRPr="00D55DC6" w:rsidRDefault="00B6196A" w:rsidP="0038165F">
            <w:pPr>
              <w:widowControl/>
              <w:spacing w:line="0" w:lineRule="atLeast"/>
              <w:rPr>
                <w:rFonts w:eastAsia="標楷體"/>
                <w:kern w:val="0"/>
              </w:rPr>
            </w:pPr>
          </w:p>
        </w:tc>
      </w:tr>
      <w:tr w:rsidR="001D0350" w:rsidRPr="00D55DC6" w:rsidTr="008D5222">
        <w:trPr>
          <w:trHeight w:val="645"/>
        </w:trPr>
        <w:tc>
          <w:tcPr>
            <w:tcW w:w="400" w:type="dxa"/>
            <w:vMerge/>
            <w:tcBorders>
              <w:top w:val="nil"/>
              <w:left w:val="single" w:sz="8" w:space="0" w:color="auto"/>
              <w:bottom w:val="nil"/>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p>
        </w:tc>
        <w:tc>
          <w:tcPr>
            <w:tcW w:w="2344"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both"/>
              <w:rPr>
                <w:rFonts w:eastAsia="標楷體"/>
                <w:kern w:val="0"/>
              </w:rPr>
            </w:pPr>
            <w:r w:rsidRPr="00D55DC6">
              <w:rPr>
                <w:rFonts w:eastAsia="標楷體"/>
                <w:kern w:val="0"/>
                <w:szCs w:val="22"/>
              </w:rPr>
              <w:t>全區災害復舊及一般零星工程</w:t>
            </w: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r w:rsidRPr="00D55DC6">
              <w:rPr>
                <w:rFonts w:eastAsia="標楷體"/>
                <w:kern w:val="0"/>
                <w:szCs w:val="22"/>
              </w:rPr>
              <w:t xml:space="preserve"> 0.10 </w:t>
            </w: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r w:rsidRPr="00D55DC6">
              <w:rPr>
                <w:rFonts w:eastAsia="標楷體"/>
                <w:kern w:val="0"/>
                <w:szCs w:val="22"/>
              </w:rPr>
              <w:t xml:space="preserve"> 0.10 </w:t>
            </w:r>
          </w:p>
        </w:tc>
        <w:tc>
          <w:tcPr>
            <w:tcW w:w="709"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r w:rsidRPr="00D55DC6">
              <w:rPr>
                <w:rFonts w:eastAsia="標楷體"/>
                <w:kern w:val="0"/>
                <w:szCs w:val="22"/>
              </w:rPr>
              <w:t xml:space="preserve"> 0.10 </w:t>
            </w:r>
          </w:p>
        </w:tc>
        <w:tc>
          <w:tcPr>
            <w:tcW w:w="708" w:type="dxa"/>
            <w:tcBorders>
              <w:top w:val="nil"/>
              <w:left w:val="nil"/>
              <w:bottom w:val="single" w:sz="8" w:space="0" w:color="auto"/>
              <w:right w:val="single" w:sz="8" w:space="0" w:color="auto"/>
            </w:tcBorders>
          </w:tcPr>
          <w:p w:rsidR="00B6196A" w:rsidRPr="00D55DC6" w:rsidRDefault="00B6196A" w:rsidP="0038165F">
            <w:pPr>
              <w:widowControl/>
              <w:spacing w:line="0" w:lineRule="atLeast"/>
              <w:jc w:val="right"/>
              <w:rPr>
                <w:rFonts w:eastAsia="標楷體"/>
                <w:kern w:val="0"/>
              </w:rPr>
            </w:pPr>
            <w:r w:rsidRPr="00D55DC6">
              <w:rPr>
                <w:rFonts w:eastAsia="標楷體"/>
                <w:kern w:val="0"/>
                <w:szCs w:val="22"/>
              </w:rPr>
              <w:t xml:space="preserve"> 0.10 </w:t>
            </w: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  0.40 </w:t>
            </w:r>
          </w:p>
        </w:tc>
        <w:tc>
          <w:tcPr>
            <w:tcW w:w="1559" w:type="dxa"/>
            <w:vMerge/>
            <w:tcBorders>
              <w:top w:val="single" w:sz="8" w:space="0" w:color="auto"/>
              <w:left w:val="single" w:sz="8" w:space="0" w:color="auto"/>
              <w:bottom w:val="single" w:sz="8" w:space="0" w:color="000000"/>
              <w:right w:val="single" w:sz="8" w:space="0" w:color="auto"/>
            </w:tcBorders>
            <w:vAlign w:val="center"/>
          </w:tcPr>
          <w:p w:rsidR="00B6196A" w:rsidRPr="00D55DC6" w:rsidRDefault="00B6196A" w:rsidP="0038165F">
            <w:pPr>
              <w:widowControl/>
              <w:spacing w:line="0" w:lineRule="atLeast"/>
              <w:rPr>
                <w:rFonts w:eastAsia="標楷體"/>
                <w:kern w:val="0"/>
              </w:rPr>
            </w:pPr>
          </w:p>
        </w:tc>
      </w:tr>
      <w:tr w:rsidR="001D0350" w:rsidRPr="00D55DC6" w:rsidTr="008D5222">
        <w:trPr>
          <w:trHeight w:val="345"/>
        </w:trPr>
        <w:tc>
          <w:tcPr>
            <w:tcW w:w="400" w:type="dxa"/>
            <w:tcBorders>
              <w:top w:val="nil"/>
              <w:left w:val="single" w:sz="8" w:space="0" w:color="auto"/>
              <w:bottom w:val="single" w:sz="8" w:space="0" w:color="auto"/>
              <w:right w:val="single" w:sz="8" w:space="0" w:color="auto"/>
            </w:tcBorders>
            <w:shd w:val="clear" w:color="000000" w:fill="CCFFCC"/>
          </w:tcPr>
          <w:p w:rsidR="00B6196A" w:rsidRPr="00D55DC6" w:rsidRDefault="00B6196A" w:rsidP="0038165F">
            <w:pPr>
              <w:widowControl/>
              <w:spacing w:line="0" w:lineRule="atLeast"/>
              <w:jc w:val="center"/>
              <w:rPr>
                <w:rFonts w:eastAsia="標楷體"/>
                <w:kern w:val="0"/>
              </w:rPr>
            </w:pPr>
            <w:r w:rsidRPr="00D55DC6">
              <w:rPr>
                <w:rFonts w:eastAsia="標楷體"/>
                <w:kern w:val="0"/>
                <w:szCs w:val="22"/>
              </w:rPr>
              <w:t xml:space="preserve">　</w:t>
            </w:r>
          </w:p>
        </w:tc>
        <w:tc>
          <w:tcPr>
            <w:tcW w:w="891"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center"/>
              <w:rPr>
                <w:rFonts w:eastAsia="標楷體"/>
                <w:kern w:val="0"/>
              </w:rPr>
            </w:pPr>
            <w:r w:rsidRPr="00D55DC6">
              <w:rPr>
                <w:rFonts w:eastAsia="標楷體"/>
                <w:kern w:val="0"/>
                <w:szCs w:val="22"/>
              </w:rPr>
              <w:t xml:space="preserve">　</w:t>
            </w:r>
          </w:p>
        </w:tc>
        <w:tc>
          <w:tcPr>
            <w:tcW w:w="1102"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center"/>
              <w:rPr>
                <w:rFonts w:eastAsia="標楷體"/>
                <w:kern w:val="0"/>
              </w:rPr>
            </w:pPr>
            <w:r w:rsidRPr="00D55DC6">
              <w:rPr>
                <w:rFonts w:eastAsia="標楷體"/>
                <w:kern w:val="0"/>
                <w:szCs w:val="22"/>
              </w:rPr>
              <w:t xml:space="preserve">　</w:t>
            </w:r>
          </w:p>
        </w:tc>
        <w:tc>
          <w:tcPr>
            <w:tcW w:w="2344"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center"/>
              <w:rPr>
                <w:rFonts w:eastAsia="標楷體"/>
                <w:b/>
                <w:bCs/>
                <w:kern w:val="0"/>
              </w:rPr>
            </w:pPr>
            <w:r w:rsidRPr="00D55DC6">
              <w:rPr>
                <w:rFonts w:eastAsia="標楷體"/>
                <w:b/>
                <w:bCs/>
                <w:kern w:val="0"/>
                <w:szCs w:val="22"/>
              </w:rPr>
              <w:t>資本門合計</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2.35 </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2.45 </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2.43 </w:t>
            </w:r>
          </w:p>
        </w:tc>
        <w:tc>
          <w:tcPr>
            <w:tcW w:w="708"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2.01 </w:t>
            </w: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 9.24 </w:t>
            </w:r>
          </w:p>
        </w:tc>
        <w:tc>
          <w:tcPr>
            <w:tcW w:w="1559" w:type="dxa"/>
            <w:tcBorders>
              <w:top w:val="nil"/>
              <w:left w:val="nil"/>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r w:rsidRPr="00D55DC6">
              <w:rPr>
                <w:rFonts w:eastAsia="標楷體"/>
                <w:kern w:val="0"/>
                <w:szCs w:val="22"/>
              </w:rPr>
              <w:t xml:space="preserve">　</w:t>
            </w:r>
          </w:p>
        </w:tc>
      </w:tr>
      <w:tr w:rsidR="001D0350" w:rsidRPr="00D55DC6" w:rsidTr="008D5222">
        <w:trPr>
          <w:trHeight w:val="345"/>
        </w:trPr>
        <w:tc>
          <w:tcPr>
            <w:tcW w:w="4737" w:type="dxa"/>
            <w:gridSpan w:val="4"/>
            <w:tcBorders>
              <w:top w:val="single" w:sz="8" w:space="0" w:color="auto"/>
              <w:left w:val="single" w:sz="8" w:space="0" w:color="auto"/>
              <w:bottom w:val="single" w:sz="8" w:space="0" w:color="auto"/>
              <w:right w:val="single" w:sz="8" w:space="0" w:color="auto"/>
            </w:tcBorders>
            <w:shd w:val="clear" w:color="000000" w:fill="CCFFCC"/>
          </w:tcPr>
          <w:p w:rsidR="00B6196A" w:rsidRPr="00D55DC6" w:rsidRDefault="00B6196A" w:rsidP="0038165F">
            <w:pPr>
              <w:widowControl/>
              <w:spacing w:line="0" w:lineRule="atLeast"/>
              <w:jc w:val="center"/>
              <w:rPr>
                <w:rFonts w:eastAsia="標楷體"/>
                <w:b/>
                <w:bCs/>
                <w:kern w:val="0"/>
              </w:rPr>
            </w:pPr>
            <w:r w:rsidRPr="00D55DC6">
              <w:rPr>
                <w:rFonts w:eastAsia="標楷體"/>
                <w:b/>
                <w:bCs/>
                <w:kern w:val="0"/>
                <w:szCs w:val="22"/>
              </w:rPr>
              <w:t xml:space="preserve">經資門合計　　</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2.40 </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2.50 </w:t>
            </w:r>
          </w:p>
        </w:tc>
        <w:tc>
          <w:tcPr>
            <w:tcW w:w="709"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2.48 </w:t>
            </w:r>
          </w:p>
        </w:tc>
        <w:tc>
          <w:tcPr>
            <w:tcW w:w="708" w:type="dxa"/>
            <w:tcBorders>
              <w:top w:val="nil"/>
              <w:left w:val="nil"/>
              <w:bottom w:val="single" w:sz="8" w:space="0" w:color="auto"/>
              <w:right w:val="single" w:sz="8" w:space="0" w:color="auto"/>
            </w:tcBorders>
            <w:shd w:val="clear" w:color="000000" w:fill="CCFFCC"/>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2.06 </w:t>
            </w:r>
          </w:p>
        </w:tc>
        <w:tc>
          <w:tcPr>
            <w:tcW w:w="851" w:type="dxa"/>
            <w:tcBorders>
              <w:top w:val="nil"/>
              <w:left w:val="nil"/>
              <w:bottom w:val="single" w:sz="8" w:space="0" w:color="auto"/>
              <w:right w:val="single" w:sz="8" w:space="0" w:color="auto"/>
            </w:tcBorders>
            <w:shd w:val="clear" w:color="000000" w:fill="CCFFFF"/>
          </w:tcPr>
          <w:p w:rsidR="00B6196A" w:rsidRPr="00D55DC6" w:rsidRDefault="00B6196A" w:rsidP="0038165F">
            <w:pPr>
              <w:widowControl/>
              <w:spacing w:line="0" w:lineRule="atLeast"/>
              <w:jc w:val="right"/>
              <w:rPr>
                <w:rFonts w:eastAsia="標楷體"/>
                <w:b/>
                <w:bCs/>
                <w:kern w:val="0"/>
              </w:rPr>
            </w:pPr>
            <w:r w:rsidRPr="00D55DC6">
              <w:rPr>
                <w:rFonts w:eastAsia="標楷體"/>
                <w:b/>
                <w:bCs/>
                <w:kern w:val="0"/>
                <w:szCs w:val="22"/>
              </w:rPr>
              <w:t xml:space="preserve"> 9.44 </w:t>
            </w:r>
          </w:p>
        </w:tc>
        <w:tc>
          <w:tcPr>
            <w:tcW w:w="1559" w:type="dxa"/>
            <w:tcBorders>
              <w:top w:val="nil"/>
              <w:left w:val="nil"/>
              <w:bottom w:val="single" w:sz="8" w:space="0" w:color="auto"/>
              <w:right w:val="single" w:sz="8" w:space="0" w:color="auto"/>
            </w:tcBorders>
            <w:vAlign w:val="center"/>
          </w:tcPr>
          <w:p w:rsidR="00B6196A" w:rsidRPr="00D55DC6" w:rsidRDefault="00B6196A" w:rsidP="0038165F">
            <w:pPr>
              <w:widowControl/>
              <w:spacing w:line="0" w:lineRule="atLeast"/>
              <w:rPr>
                <w:rFonts w:eastAsia="標楷體"/>
                <w:kern w:val="0"/>
              </w:rPr>
            </w:pPr>
            <w:r w:rsidRPr="00D55DC6">
              <w:rPr>
                <w:rFonts w:eastAsia="標楷體"/>
                <w:kern w:val="0"/>
                <w:szCs w:val="22"/>
              </w:rPr>
              <w:t xml:space="preserve">　</w:t>
            </w:r>
          </w:p>
        </w:tc>
      </w:tr>
    </w:tbl>
    <w:p w:rsidR="000C5765" w:rsidRPr="00D55DC6" w:rsidRDefault="000C5765" w:rsidP="000C5765">
      <w:pPr>
        <w:pStyle w:val="a"/>
        <w:numPr>
          <w:ilvl w:val="0"/>
          <w:numId w:val="0"/>
        </w:numPr>
        <w:ind w:left="709"/>
        <w:rPr>
          <w:b/>
        </w:rPr>
      </w:pPr>
      <w:bookmarkStart w:id="140" w:name="_Toc407181705"/>
    </w:p>
    <w:p w:rsidR="000C5765" w:rsidRPr="00D55DC6" w:rsidRDefault="000C5765" w:rsidP="000C5765">
      <w:pPr>
        <w:pStyle w:val="a"/>
        <w:numPr>
          <w:ilvl w:val="0"/>
          <w:numId w:val="0"/>
        </w:numPr>
        <w:ind w:left="709"/>
        <w:rPr>
          <w:b/>
        </w:rPr>
      </w:pPr>
    </w:p>
    <w:p w:rsidR="00B6196A" w:rsidRPr="00D55DC6" w:rsidRDefault="00B6196A" w:rsidP="0038165F">
      <w:pPr>
        <w:pStyle w:val="a"/>
        <w:ind w:left="709" w:hanging="709"/>
        <w:rPr>
          <w:b/>
        </w:rPr>
      </w:pPr>
      <w:r w:rsidRPr="00D55DC6">
        <w:rPr>
          <w:b/>
        </w:rPr>
        <w:t>預期效果及影響</w:t>
      </w:r>
      <w:bookmarkEnd w:id="140"/>
    </w:p>
    <w:p w:rsidR="00B6196A" w:rsidRPr="00D55DC6" w:rsidRDefault="00B6196A" w:rsidP="004865C1">
      <w:pPr>
        <w:pStyle w:val="af2"/>
        <w:numPr>
          <w:ilvl w:val="0"/>
          <w:numId w:val="133"/>
        </w:numPr>
        <w:snapToGrid w:val="0"/>
        <w:spacing w:line="460" w:lineRule="exact"/>
        <w:ind w:leftChars="0"/>
        <w:jc w:val="both"/>
        <w:rPr>
          <w:rFonts w:eastAsia="標楷體"/>
          <w:sz w:val="28"/>
          <w:szCs w:val="28"/>
        </w:rPr>
      </w:pPr>
      <w:r w:rsidRPr="00D55DC6">
        <w:rPr>
          <w:rFonts w:eastAsia="標楷體"/>
          <w:sz w:val="28"/>
          <w:szCs w:val="28"/>
        </w:rPr>
        <w:t>建構本風景區為具溫泉休閒、原住民文化、冒險旅遊等之南臺灣旅遊勝地。推動溫泉、生態、宗教、原民文化等四大主軸活動，於轄區內持續推動南島婚禮、雙年賞蝶、山城花語、清涼一夏泛舟等活動。</w:t>
      </w:r>
    </w:p>
    <w:p w:rsidR="00B6196A" w:rsidRPr="00D55DC6" w:rsidRDefault="00B6196A" w:rsidP="004865C1">
      <w:pPr>
        <w:pStyle w:val="af2"/>
        <w:numPr>
          <w:ilvl w:val="0"/>
          <w:numId w:val="133"/>
        </w:numPr>
        <w:snapToGrid w:val="0"/>
        <w:spacing w:line="460" w:lineRule="exact"/>
        <w:ind w:leftChars="0"/>
        <w:jc w:val="both"/>
        <w:rPr>
          <w:rFonts w:eastAsia="標楷體"/>
          <w:sz w:val="28"/>
          <w:szCs w:val="28"/>
        </w:rPr>
      </w:pPr>
      <w:r w:rsidRPr="00D55DC6">
        <w:rPr>
          <w:rFonts w:eastAsia="標楷體"/>
          <w:sz w:val="28"/>
          <w:szCs w:val="28"/>
        </w:rPr>
        <w:t>塑造本風景區入口門戶意象，串連各景點之交通動線，並整建自行車驛站，提昇遊憩服務設施品質，以臻國際水準。</w:t>
      </w:r>
    </w:p>
    <w:p w:rsidR="00B6196A" w:rsidRPr="00D55DC6" w:rsidRDefault="00B6196A" w:rsidP="004865C1">
      <w:pPr>
        <w:pStyle w:val="af2"/>
        <w:numPr>
          <w:ilvl w:val="0"/>
          <w:numId w:val="133"/>
        </w:numPr>
        <w:snapToGrid w:val="0"/>
        <w:spacing w:line="460" w:lineRule="exact"/>
        <w:ind w:leftChars="0"/>
        <w:jc w:val="both"/>
        <w:rPr>
          <w:rFonts w:eastAsia="標楷體"/>
          <w:sz w:val="28"/>
          <w:szCs w:val="28"/>
        </w:rPr>
      </w:pPr>
      <w:r w:rsidRPr="00D55DC6">
        <w:rPr>
          <w:rFonts w:eastAsia="標楷體"/>
          <w:sz w:val="28"/>
          <w:szCs w:val="28"/>
        </w:rPr>
        <w:t>開發新威森林公園遊客服務暨行政管理中心，建置園區生態步道及自行車道，完善公共服務設施，提升為民服務機能。</w:t>
      </w:r>
    </w:p>
    <w:p w:rsidR="00B6196A" w:rsidRPr="00D55DC6" w:rsidRDefault="00B6196A" w:rsidP="0038165F">
      <w:pPr>
        <w:snapToGrid w:val="0"/>
        <w:spacing w:line="460" w:lineRule="exact"/>
        <w:ind w:left="848" w:hangingChars="303" w:hanging="848"/>
        <w:jc w:val="both"/>
        <w:rPr>
          <w:rFonts w:eastAsia="標楷體"/>
          <w:sz w:val="28"/>
          <w:szCs w:val="28"/>
        </w:rPr>
      </w:pPr>
      <w:r w:rsidRPr="00D55DC6">
        <w:rPr>
          <w:rFonts w:eastAsia="標楷體"/>
          <w:sz w:val="28"/>
          <w:szCs w:val="28"/>
        </w:rPr>
        <w:t>（四）在環境復育與重建開發兼籌並顧原則下，蛻變重生，風華再現，恢復茂林的觀光榮景，再造國際新亮點。</w:t>
      </w:r>
    </w:p>
    <w:p w:rsidR="00B6196A" w:rsidRPr="00D55DC6" w:rsidRDefault="00B6196A" w:rsidP="0038165F">
      <w:pPr>
        <w:snapToGrid w:val="0"/>
        <w:spacing w:line="460" w:lineRule="exact"/>
        <w:ind w:left="848" w:hangingChars="303" w:hanging="848"/>
        <w:jc w:val="both"/>
        <w:rPr>
          <w:rFonts w:eastAsia="標楷體"/>
          <w:sz w:val="28"/>
          <w:szCs w:val="28"/>
        </w:rPr>
      </w:pPr>
      <w:r w:rsidRPr="00D55DC6">
        <w:rPr>
          <w:rFonts w:eastAsia="標楷體"/>
          <w:sz w:val="28"/>
          <w:szCs w:val="28"/>
        </w:rPr>
        <w:t>（五）增進國民旅遊人次，並吸引國際觀光客到訪，帶動觀光產值</w:t>
      </w:r>
      <w:r w:rsidRPr="00D55DC6">
        <w:rPr>
          <w:rFonts w:eastAsia="標楷體"/>
          <w:sz w:val="28"/>
          <w:szCs w:val="28"/>
        </w:rPr>
        <w:t>4</w:t>
      </w:r>
      <w:r w:rsidRPr="00D55DC6">
        <w:rPr>
          <w:rFonts w:eastAsia="標楷體"/>
          <w:sz w:val="28"/>
          <w:szCs w:val="28"/>
        </w:rPr>
        <w:t>年合計達</w:t>
      </w:r>
      <w:r w:rsidRPr="00D55DC6">
        <w:rPr>
          <w:rFonts w:eastAsia="標楷體"/>
          <w:sz w:val="28"/>
          <w:szCs w:val="28"/>
        </w:rPr>
        <w:t>59.15</w:t>
      </w:r>
      <w:r w:rsidRPr="00D55DC6">
        <w:rPr>
          <w:rFonts w:eastAsia="標楷體"/>
          <w:sz w:val="28"/>
          <w:szCs w:val="28"/>
        </w:rPr>
        <w:t>億元（以各年度之遊客人數目標值</w:t>
      </w:r>
      <w:r w:rsidRPr="00D55DC6">
        <w:rPr>
          <w:rFonts w:eastAsia="標楷體"/>
          <w:sz w:val="28"/>
          <w:szCs w:val="28"/>
        </w:rPr>
        <w:t>348</w:t>
      </w:r>
      <w:r w:rsidRPr="00D55DC6">
        <w:rPr>
          <w:rFonts w:eastAsia="標楷體"/>
          <w:sz w:val="28"/>
          <w:szCs w:val="28"/>
        </w:rPr>
        <w:t>萬人</w:t>
      </w:r>
      <w:r w:rsidRPr="00D55DC6">
        <w:rPr>
          <w:rFonts w:eastAsia="標楷體"/>
          <w:sz w:val="28"/>
          <w:szCs w:val="28"/>
        </w:rPr>
        <w:t xml:space="preserve"> × </w:t>
      </w:r>
      <w:r w:rsidRPr="00D55DC6">
        <w:rPr>
          <w:rFonts w:eastAsia="標楷體"/>
          <w:sz w:val="28"/>
          <w:szCs w:val="28"/>
        </w:rPr>
        <w:t>每人每日平均消費</w:t>
      </w:r>
      <w:r w:rsidRPr="00D55DC6">
        <w:rPr>
          <w:rFonts w:eastAsia="標楷體"/>
          <w:sz w:val="28"/>
          <w:szCs w:val="28"/>
        </w:rPr>
        <w:t xml:space="preserve">NT$1,683 × </w:t>
      </w:r>
      <w:r w:rsidRPr="00D55DC6">
        <w:rPr>
          <w:rFonts w:eastAsia="標楷體"/>
          <w:sz w:val="28"/>
          <w:szCs w:val="28"/>
        </w:rPr>
        <w:t>停留天數</w:t>
      </w:r>
      <w:r w:rsidRPr="00D55DC6">
        <w:rPr>
          <w:rFonts w:eastAsia="標楷體"/>
          <w:sz w:val="28"/>
          <w:szCs w:val="28"/>
        </w:rPr>
        <w:t>1.01</w:t>
      </w:r>
      <w:r w:rsidRPr="00D55DC6">
        <w:rPr>
          <w:rFonts w:eastAsia="標楷體"/>
          <w:sz w:val="28"/>
          <w:szCs w:val="28"/>
        </w:rPr>
        <w:t>天估算）。</w:t>
      </w:r>
    </w:p>
    <w:p w:rsidR="00B6196A" w:rsidRPr="00D55DC6" w:rsidRDefault="00B6196A" w:rsidP="0038165F">
      <w:pPr>
        <w:snapToGrid w:val="0"/>
        <w:spacing w:line="460" w:lineRule="exact"/>
        <w:ind w:left="848" w:hangingChars="303" w:hanging="848"/>
        <w:jc w:val="both"/>
        <w:rPr>
          <w:rFonts w:eastAsia="標楷體"/>
          <w:sz w:val="28"/>
          <w:szCs w:val="28"/>
        </w:rPr>
      </w:pPr>
    </w:p>
    <w:p w:rsidR="00B6196A" w:rsidRPr="00D55DC6" w:rsidRDefault="00B6196A" w:rsidP="0038165F">
      <w:pPr>
        <w:pStyle w:val="a"/>
        <w:ind w:left="709" w:hanging="709"/>
        <w:rPr>
          <w:b/>
        </w:rPr>
      </w:pPr>
      <w:bookmarkStart w:id="141" w:name="_Toc407181706"/>
      <w:r w:rsidRPr="00D55DC6">
        <w:rPr>
          <w:b/>
        </w:rPr>
        <w:lastRenderedPageBreak/>
        <w:t>財務計畫</w:t>
      </w:r>
      <w:bookmarkEnd w:id="141"/>
    </w:p>
    <w:p w:rsidR="00B6196A" w:rsidRPr="00D55DC6" w:rsidRDefault="00B6196A" w:rsidP="004865C1">
      <w:pPr>
        <w:pStyle w:val="af2"/>
        <w:numPr>
          <w:ilvl w:val="0"/>
          <w:numId w:val="134"/>
        </w:numPr>
        <w:snapToGrid w:val="0"/>
        <w:spacing w:line="460" w:lineRule="exact"/>
        <w:ind w:leftChars="0"/>
        <w:jc w:val="both"/>
        <w:rPr>
          <w:rFonts w:eastAsia="標楷體"/>
          <w:b/>
          <w:sz w:val="28"/>
          <w:szCs w:val="28"/>
        </w:rPr>
      </w:pPr>
      <w:r w:rsidRPr="00D55DC6">
        <w:rPr>
          <w:rFonts w:eastAsia="標楷體"/>
          <w:b/>
          <w:sz w:val="28"/>
          <w:szCs w:val="28"/>
        </w:rPr>
        <w:t>財務計畫核定情形</w:t>
      </w:r>
    </w:p>
    <w:p w:rsidR="00B6196A" w:rsidRPr="00D55DC6" w:rsidRDefault="00B6196A" w:rsidP="0038165F">
      <w:pPr>
        <w:pStyle w:val="a"/>
        <w:numPr>
          <w:ilvl w:val="0"/>
          <w:numId w:val="0"/>
        </w:numPr>
        <w:ind w:left="709"/>
      </w:pPr>
      <w:r w:rsidRPr="00D55DC6">
        <w:t xml:space="preserve">    </w:t>
      </w:r>
      <w:r w:rsidR="004C6095" w:rsidRPr="00D55DC6">
        <w:t>依據管理處</w:t>
      </w:r>
      <w:r w:rsidR="004C6095" w:rsidRPr="00D55DC6">
        <w:t>103</w:t>
      </w:r>
      <w:r w:rsidR="004C6095" w:rsidRPr="00D55DC6">
        <w:t>年委託辦理之「茂林國家風景區觀光整體發展暨產業輔導計畫規劃案」，未來</w:t>
      </w:r>
      <w:r w:rsidR="004C6095" w:rsidRPr="00D55DC6">
        <w:t>20</w:t>
      </w:r>
      <w:r w:rsidR="004C6095" w:rsidRPr="00D55DC6">
        <w:t>年期間</w:t>
      </w:r>
      <w:r w:rsidR="004C6095" w:rsidRPr="00D55DC6">
        <w:t>(103</w:t>
      </w:r>
      <w:r w:rsidR="004C6095" w:rsidRPr="00D55DC6">
        <w:t>至</w:t>
      </w:r>
      <w:r w:rsidR="004C6095" w:rsidRPr="00D55DC6">
        <w:t>122</w:t>
      </w:r>
      <w:r w:rsidR="004C6095" w:rsidRPr="00D55DC6">
        <w:t>年</w:t>
      </w:r>
      <w:r w:rsidR="004C6095" w:rsidRPr="00D55DC6">
        <w:t>)</w:t>
      </w:r>
      <w:r w:rsidR="004C6095" w:rsidRPr="00D55DC6">
        <w:t>計畫投入現值為</w:t>
      </w:r>
      <w:r w:rsidR="004C6095" w:rsidRPr="00D55DC6">
        <w:t>24.50</w:t>
      </w:r>
      <w:r w:rsidR="004C6095" w:rsidRPr="00D55DC6">
        <w:t>億元，收益現值為</w:t>
      </w:r>
      <w:r w:rsidR="004C6095" w:rsidRPr="00D55DC6">
        <w:t>3.8</w:t>
      </w:r>
      <w:r w:rsidR="004C6095" w:rsidRPr="00D55DC6">
        <w:t>億元，整體計畫財務自償率達</w:t>
      </w:r>
      <w:r w:rsidR="004C6095" w:rsidRPr="00D55DC6">
        <w:t>15.52%</w:t>
      </w:r>
      <w:r w:rsidR="004C6095" w:rsidRPr="00D55DC6">
        <w:t>。</w:t>
      </w:r>
    </w:p>
    <w:p w:rsidR="00B6196A" w:rsidRPr="00D55DC6" w:rsidRDefault="00B6196A" w:rsidP="004865C1">
      <w:pPr>
        <w:pStyle w:val="af2"/>
        <w:numPr>
          <w:ilvl w:val="0"/>
          <w:numId w:val="134"/>
        </w:numPr>
        <w:snapToGrid w:val="0"/>
        <w:spacing w:line="460" w:lineRule="exact"/>
        <w:ind w:leftChars="0"/>
        <w:jc w:val="both"/>
        <w:rPr>
          <w:rFonts w:eastAsia="標楷體"/>
          <w:b/>
          <w:sz w:val="28"/>
          <w:szCs w:val="28"/>
        </w:rPr>
      </w:pPr>
      <w:r w:rsidRPr="00D55DC6">
        <w:rPr>
          <w:rFonts w:eastAsia="標楷體"/>
          <w:b/>
          <w:sz w:val="28"/>
          <w:szCs w:val="28"/>
        </w:rPr>
        <w:t>預估財務收入情形</w:t>
      </w:r>
    </w:p>
    <w:p w:rsidR="00B6196A" w:rsidRPr="00D55DC6" w:rsidRDefault="00B6196A" w:rsidP="0038165F">
      <w:pPr>
        <w:pStyle w:val="a"/>
        <w:numPr>
          <w:ilvl w:val="0"/>
          <w:numId w:val="0"/>
        </w:numPr>
        <w:ind w:left="709"/>
      </w:pPr>
      <w:r w:rsidRPr="00D55DC6">
        <w:t xml:space="preserve">    </w:t>
      </w:r>
      <w:bookmarkStart w:id="142" w:name="_Toc407181708"/>
      <w:r w:rsidRPr="00D55DC6">
        <w:t>透過推動設施出租、重大促參案件、使用者付費、跨域合作等方向，積極提升計畫自償率。詳如下列預估財務收入分年規劃表。</w:t>
      </w:r>
      <w:bookmarkEnd w:id="142"/>
    </w:p>
    <w:p w:rsidR="00D46F76" w:rsidRPr="00D55DC6" w:rsidRDefault="00D46F76" w:rsidP="0038165F">
      <w:pPr>
        <w:pStyle w:val="a"/>
        <w:numPr>
          <w:ilvl w:val="0"/>
          <w:numId w:val="0"/>
        </w:numPr>
        <w:ind w:left="709"/>
      </w:pPr>
    </w:p>
    <w:p w:rsidR="00B6196A" w:rsidRPr="00D55DC6" w:rsidRDefault="00B6196A" w:rsidP="0038165F">
      <w:pPr>
        <w:keepNext/>
        <w:spacing w:line="460" w:lineRule="exact"/>
        <w:ind w:rightChars="-316" w:right="-758"/>
        <w:rPr>
          <w:rFonts w:eastAsia="標楷體"/>
          <w:sz w:val="20"/>
          <w:szCs w:val="20"/>
        </w:rPr>
      </w:pPr>
      <w:r w:rsidRPr="00D55DC6">
        <w:rPr>
          <w:rFonts w:eastAsia="標楷體"/>
        </w:rPr>
        <w:t>表</w:t>
      </w:r>
      <w:r w:rsidRPr="00D55DC6">
        <w:rPr>
          <w:rFonts w:eastAsia="標楷體"/>
        </w:rPr>
        <w:t xml:space="preserve">  </w:t>
      </w:r>
      <w:r w:rsidRPr="00D55DC6">
        <w:rPr>
          <w:rFonts w:eastAsia="標楷體"/>
        </w:rPr>
        <w:t>預估財務收入分年規劃表</w:t>
      </w:r>
      <w:r w:rsidRPr="00D55DC6">
        <w:rPr>
          <w:rFonts w:eastAsia="標楷體"/>
        </w:rPr>
        <w:t xml:space="preserve">                       </w:t>
      </w:r>
      <w:r w:rsidRPr="00D55DC6">
        <w:rPr>
          <w:rFonts w:eastAsia="標楷體"/>
        </w:rPr>
        <w:t xml:space="preserve">　　　　　　　　</w:t>
      </w:r>
      <w:r w:rsidRPr="00D55DC6">
        <w:rPr>
          <w:rFonts w:eastAsia="標楷體"/>
        </w:rPr>
        <w:t xml:space="preserve"> </w:t>
      </w:r>
      <w:r w:rsidRPr="00D55DC6">
        <w:rPr>
          <w:rFonts w:eastAsia="標楷體"/>
          <w:sz w:val="20"/>
          <w:szCs w:val="20"/>
        </w:rPr>
        <w:t>（單位：千元）</w:t>
      </w:r>
    </w:p>
    <w:tbl>
      <w:tblPr>
        <w:tblW w:w="10291" w:type="dxa"/>
        <w:tblInd w:w="-681" w:type="dxa"/>
        <w:tblLayout w:type="fixed"/>
        <w:tblCellMar>
          <w:left w:w="28" w:type="dxa"/>
          <w:right w:w="28" w:type="dxa"/>
        </w:tblCellMar>
        <w:tblLook w:val="00A0" w:firstRow="1" w:lastRow="0" w:firstColumn="1" w:lastColumn="0" w:noHBand="0" w:noVBand="0"/>
      </w:tblPr>
      <w:tblGrid>
        <w:gridCol w:w="3205"/>
        <w:gridCol w:w="707"/>
        <w:gridCol w:w="708"/>
        <w:gridCol w:w="709"/>
        <w:gridCol w:w="709"/>
        <w:gridCol w:w="709"/>
        <w:gridCol w:w="708"/>
        <w:gridCol w:w="709"/>
        <w:gridCol w:w="709"/>
        <w:gridCol w:w="709"/>
        <w:gridCol w:w="709"/>
      </w:tblGrid>
      <w:tr w:rsidR="001D0350" w:rsidRPr="00D55DC6" w:rsidTr="000C5765">
        <w:trPr>
          <w:trHeight w:val="585"/>
          <w:tblHeader/>
        </w:trPr>
        <w:tc>
          <w:tcPr>
            <w:tcW w:w="3205" w:type="dxa"/>
            <w:tcBorders>
              <w:top w:val="single" w:sz="4" w:space="0" w:color="auto"/>
              <w:left w:val="single" w:sz="4" w:space="0" w:color="auto"/>
              <w:bottom w:val="double" w:sz="6" w:space="0" w:color="auto"/>
              <w:right w:val="single" w:sz="4" w:space="0" w:color="auto"/>
              <w:tl2br w:val="single" w:sz="4" w:space="0" w:color="auto"/>
            </w:tcBorders>
            <w:shd w:val="clear" w:color="auto" w:fill="FFCC00"/>
            <w:vAlign w:val="center"/>
            <w:hideMark/>
          </w:tcPr>
          <w:p w:rsidR="004C6095" w:rsidRPr="00D55DC6" w:rsidRDefault="004C6095">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2"/>
                <w:szCs w:val="20"/>
              </w:rPr>
              <w:t>年度</w:t>
            </w:r>
            <w:r w:rsidRPr="00D55DC6">
              <w:rPr>
                <w:rFonts w:eastAsia="標楷體"/>
                <w:kern w:val="0"/>
                <w:sz w:val="22"/>
                <w:szCs w:val="20"/>
              </w:rPr>
              <w:br/>
            </w:r>
            <w:r w:rsidRPr="00D55DC6">
              <w:rPr>
                <w:rFonts w:eastAsia="標楷體"/>
                <w:kern w:val="0"/>
                <w:sz w:val="22"/>
                <w:szCs w:val="20"/>
              </w:rPr>
              <w:t>收益項目</w:t>
            </w:r>
          </w:p>
        </w:tc>
        <w:tc>
          <w:tcPr>
            <w:tcW w:w="707" w:type="dxa"/>
            <w:tcBorders>
              <w:top w:val="single" w:sz="4" w:space="0" w:color="auto"/>
              <w:left w:val="nil"/>
              <w:bottom w:val="double" w:sz="6"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0"/>
                <w:szCs w:val="20"/>
              </w:rPr>
            </w:pPr>
            <w:r w:rsidRPr="00D55DC6">
              <w:rPr>
                <w:rFonts w:eastAsia="標楷體"/>
                <w:kern w:val="0"/>
                <w:sz w:val="20"/>
                <w:szCs w:val="20"/>
              </w:rPr>
              <w:t>103</w:t>
            </w:r>
          </w:p>
        </w:tc>
        <w:tc>
          <w:tcPr>
            <w:tcW w:w="708" w:type="dxa"/>
            <w:tcBorders>
              <w:top w:val="single" w:sz="4" w:space="0" w:color="auto"/>
              <w:left w:val="nil"/>
              <w:bottom w:val="double" w:sz="6"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0"/>
                <w:szCs w:val="20"/>
              </w:rPr>
            </w:pPr>
            <w:r w:rsidRPr="00D55DC6">
              <w:rPr>
                <w:rFonts w:eastAsia="標楷體"/>
                <w:kern w:val="0"/>
                <w:sz w:val="20"/>
                <w:szCs w:val="20"/>
              </w:rPr>
              <w:t>104</w:t>
            </w:r>
          </w:p>
        </w:tc>
        <w:tc>
          <w:tcPr>
            <w:tcW w:w="709" w:type="dxa"/>
            <w:tcBorders>
              <w:top w:val="single" w:sz="4" w:space="0" w:color="auto"/>
              <w:left w:val="nil"/>
              <w:bottom w:val="double" w:sz="6"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0"/>
                <w:szCs w:val="20"/>
              </w:rPr>
            </w:pPr>
            <w:r w:rsidRPr="00D55DC6">
              <w:rPr>
                <w:rFonts w:eastAsia="標楷體"/>
                <w:kern w:val="0"/>
                <w:sz w:val="20"/>
                <w:szCs w:val="20"/>
              </w:rPr>
              <w:t>105</w:t>
            </w:r>
          </w:p>
        </w:tc>
        <w:tc>
          <w:tcPr>
            <w:tcW w:w="709" w:type="dxa"/>
            <w:tcBorders>
              <w:top w:val="single" w:sz="4" w:space="0" w:color="auto"/>
              <w:left w:val="nil"/>
              <w:bottom w:val="double" w:sz="6"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0"/>
                <w:szCs w:val="20"/>
              </w:rPr>
            </w:pPr>
            <w:r w:rsidRPr="00D55DC6">
              <w:rPr>
                <w:rFonts w:eastAsia="標楷體"/>
                <w:kern w:val="0"/>
                <w:sz w:val="20"/>
                <w:szCs w:val="20"/>
              </w:rPr>
              <w:t>106</w:t>
            </w:r>
          </w:p>
        </w:tc>
        <w:tc>
          <w:tcPr>
            <w:tcW w:w="709" w:type="dxa"/>
            <w:tcBorders>
              <w:top w:val="single" w:sz="4" w:space="0" w:color="auto"/>
              <w:left w:val="nil"/>
              <w:bottom w:val="double" w:sz="6"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0"/>
                <w:szCs w:val="20"/>
              </w:rPr>
            </w:pPr>
            <w:r w:rsidRPr="00D55DC6">
              <w:rPr>
                <w:rFonts w:eastAsia="標楷體"/>
                <w:kern w:val="0"/>
                <w:sz w:val="20"/>
                <w:szCs w:val="20"/>
              </w:rPr>
              <w:t>107</w:t>
            </w:r>
          </w:p>
        </w:tc>
        <w:tc>
          <w:tcPr>
            <w:tcW w:w="708" w:type="dxa"/>
            <w:tcBorders>
              <w:top w:val="single" w:sz="4" w:space="0" w:color="auto"/>
              <w:left w:val="nil"/>
              <w:bottom w:val="double" w:sz="6"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0"/>
                <w:szCs w:val="20"/>
              </w:rPr>
            </w:pPr>
            <w:r w:rsidRPr="00D55DC6">
              <w:rPr>
                <w:rFonts w:eastAsia="標楷體"/>
                <w:kern w:val="0"/>
                <w:sz w:val="20"/>
                <w:szCs w:val="20"/>
              </w:rPr>
              <w:t>108</w:t>
            </w:r>
          </w:p>
        </w:tc>
        <w:tc>
          <w:tcPr>
            <w:tcW w:w="709" w:type="dxa"/>
            <w:tcBorders>
              <w:top w:val="single" w:sz="4" w:space="0" w:color="auto"/>
              <w:left w:val="nil"/>
              <w:bottom w:val="double" w:sz="6"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0"/>
                <w:szCs w:val="20"/>
              </w:rPr>
            </w:pPr>
            <w:r w:rsidRPr="00D55DC6">
              <w:rPr>
                <w:rFonts w:eastAsia="標楷體"/>
                <w:kern w:val="0"/>
                <w:sz w:val="20"/>
                <w:szCs w:val="20"/>
              </w:rPr>
              <w:t>109</w:t>
            </w:r>
          </w:p>
        </w:tc>
        <w:tc>
          <w:tcPr>
            <w:tcW w:w="709" w:type="dxa"/>
            <w:tcBorders>
              <w:top w:val="single" w:sz="4" w:space="0" w:color="auto"/>
              <w:left w:val="nil"/>
              <w:bottom w:val="double" w:sz="6"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0"/>
                <w:szCs w:val="20"/>
              </w:rPr>
            </w:pPr>
            <w:r w:rsidRPr="00D55DC6">
              <w:rPr>
                <w:rFonts w:eastAsia="標楷體"/>
                <w:kern w:val="0"/>
                <w:sz w:val="20"/>
                <w:szCs w:val="20"/>
              </w:rPr>
              <w:t>110</w:t>
            </w:r>
          </w:p>
        </w:tc>
        <w:tc>
          <w:tcPr>
            <w:tcW w:w="709" w:type="dxa"/>
            <w:tcBorders>
              <w:top w:val="single" w:sz="4" w:space="0" w:color="auto"/>
              <w:left w:val="nil"/>
              <w:bottom w:val="double" w:sz="6"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0"/>
                <w:szCs w:val="20"/>
              </w:rPr>
            </w:pPr>
            <w:r w:rsidRPr="00D55DC6">
              <w:rPr>
                <w:rFonts w:eastAsia="標楷體"/>
                <w:kern w:val="0"/>
                <w:sz w:val="20"/>
                <w:szCs w:val="20"/>
              </w:rPr>
              <w:t>111</w:t>
            </w:r>
          </w:p>
        </w:tc>
        <w:tc>
          <w:tcPr>
            <w:tcW w:w="709" w:type="dxa"/>
            <w:tcBorders>
              <w:top w:val="single" w:sz="4" w:space="0" w:color="auto"/>
              <w:left w:val="nil"/>
              <w:bottom w:val="double" w:sz="6"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0"/>
                <w:szCs w:val="20"/>
              </w:rPr>
            </w:pPr>
            <w:r w:rsidRPr="00D55DC6">
              <w:rPr>
                <w:rFonts w:eastAsia="標楷體"/>
                <w:kern w:val="0"/>
                <w:sz w:val="20"/>
                <w:szCs w:val="20"/>
              </w:rPr>
              <w:t>112</w:t>
            </w:r>
          </w:p>
        </w:tc>
      </w:tr>
      <w:tr w:rsidR="001D0350" w:rsidRPr="00D55DC6" w:rsidTr="000C5765">
        <w:trPr>
          <w:trHeight w:val="345"/>
        </w:trPr>
        <w:tc>
          <w:tcPr>
            <w:tcW w:w="3205"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pPr>
              <w:widowControl/>
              <w:rPr>
                <w:rFonts w:eastAsia="標楷體"/>
                <w:kern w:val="0"/>
                <w:sz w:val="20"/>
                <w:szCs w:val="20"/>
              </w:rPr>
            </w:pPr>
            <w:r w:rsidRPr="00D55DC6">
              <w:rPr>
                <w:rFonts w:eastAsia="標楷體"/>
                <w:kern w:val="0"/>
                <w:sz w:val="20"/>
                <w:szCs w:val="20"/>
              </w:rPr>
              <w:t>一、既有委外經營收益</w:t>
            </w:r>
          </w:p>
        </w:tc>
        <w:tc>
          <w:tcPr>
            <w:tcW w:w="707" w:type="dxa"/>
            <w:tcBorders>
              <w:top w:val="nil"/>
              <w:left w:val="nil"/>
              <w:bottom w:val="single" w:sz="4" w:space="0" w:color="auto"/>
              <w:right w:val="single" w:sz="4" w:space="0" w:color="auto"/>
            </w:tcBorders>
            <w:shd w:val="clear" w:color="auto" w:fill="DAEEF3"/>
            <w:noWrap/>
            <w:vAlign w:val="center"/>
          </w:tcPr>
          <w:p w:rsidR="004C6095" w:rsidRPr="00D55DC6" w:rsidRDefault="004C6095">
            <w:pPr>
              <w:jc w:val="right"/>
              <w:rPr>
                <w:rFonts w:eastAsia="標楷體"/>
                <w:kern w:val="0"/>
                <w:sz w:val="20"/>
                <w:szCs w:val="20"/>
              </w:rPr>
            </w:pPr>
          </w:p>
        </w:tc>
        <w:tc>
          <w:tcPr>
            <w:tcW w:w="708" w:type="dxa"/>
            <w:tcBorders>
              <w:top w:val="nil"/>
              <w:left w:val="nil"/>
              <w:bottom w:val="single" w:sz="4" w:space="0" w:color="auto"/>
              <w:right w:val="single" w:sz="4" w:space="0" w:color="auto"/>
            </w:tcBorders>
            <w:shd w:val="clear" w:color="auto" w:fill="DAEEF3"/>
            <w:noWrap/>
            <w:vAlign w:val="center"/>
          </w:tcPr>
          <w:p w:rsidR="004C6095" w:rsidRPr="00D55DC6" w:rsidRDefault="004C6095">
            <w:pPr>
              <w:jc w:val="right"/>
              <w:rPr>
                <w:rFonts w:eastAsia="標楷體"/>
                <w:kern w:val="0"/>
                <w:sz w:val="20"/>
                <w:szCs w:val="20"/>
              </w:rPr>
            </w:pPr>
          </w:p>
        </w:tc>
        <w:tc>
          <w:tcPr>
            <w:tcW w:w="709" w:type="dxa"/>
            <w:tcBorders>
              <w:top w:val="nil"/>
              <w:left w:val="nil"/>
              <w:bottom w:val="single" w:sz="4" w:space="0" w:color="auto"/>
              <w:right w:val="single" w:sz="4" w:space="0" w:color="auto"/>
            </w:tcBorders>
            <w:shd w:val="clear" w:color="auto" w:fill="DAEEF3"/>
            <w:noWrap/>
            <w:vAlign w:val="center"/>
          </w:tcPr>
          <w:p w:rsidR="004C6095" w:rsidRPr="00D55DC6" w:rsidRDefault="004C6095">
            <w:pPr>
              <w:jc w:val="right"/>
              <w:rPr>
                <w:rFonts w:eastAsia="標楷體"/>
                <w:kern w:val="0"/>
                <w:sz w:val="20"/>
                <w:szCs w:val="20"/>
              </w:rPr>
            </w:pPr>
          </w:p>
        </w:tc>
        <w:tc>
          <w:tcPr>
            <w:tcW w:w="709" w:type="dxa"/>
            <w:tcBorders>
              <w:top w:val="nil"/>
              <w:left w:val="nil"/>
              <w:bottom w:val="single" w:sz="4" w:space="0" w:color="auto"/>
              <w:right w:val="single" w:sz="4" w:space="0" w:color="auto"/>
            </w:tcBorders>
            <w:shd w:val="clear" w:color="auto" w:fill="DAEEF3"/>
            <w:noWrap/>
            <w:vAlign w:val="center"/>
          </w:tcPr>
          <w:p w:rsidR="004C6095" w:rsidRPr="00D55DC6" w:rsidRDefault="004C6095">
            <w:pPr>
              <w:jc w:val="right"/>
              <w:rPr>
                <w:rFonts w:eastAsia="標楷體"/>
                <w:kern w:val="0"/>
                <w:sz w:val="20"/>
                <w:szCs w:val="20"/>
              </w:rPr>
            </w:pPr>
          </w:p>
        </w:tc>
        <w:tc>
          <w:tcPr>
            <w:tcW w:w="709" w:type="dxa"/>
            <w:tcBorders>
              <w:top w:val="nil"/>
              <w:left w:val="nil"/>
              <w:bottom w:val="single" w:sz="4" w:space="0" w:color="auto"/>
              <w:right w:val="single" w:sz="4" w:space="0" w:color="auto"/>
            </w:tcBorders>
            <w:shd w:val="clear" w:color="auto" w:fill="DAEEF3"/>
            <w:noWrap/>
            <w:vAlign w:val="center"/>
          </w:tcPr>
          <w:p w:rsidR="004C6095" w:rsidRPr="00D55DC6" w:rsidRDefault="004C6095">
            <w:pPr>
              <w:jc w:val="right"/>
              <w:rPr>
                <w:rFonts w:eastAsia="標楷體"/>
                <w:kern w:val="0"/>
                <w:sz w:val="20"/>
                <w:szCs w:val="20"/>
              </w:rPr>
            </w:pPr>
          </w:p>
        </w:tc>
        <w:tc>
          <w:tcPr>
            <w:tcW w:w="708" w:type="dxa"/>
            <w:tcBorders>
              <w:top w:val="nil"/>
              <w:left w:val="nil"/>
              <w:bottom w:val="single" w:sz="4" w:space="0" w:color="auto"/>
              <w:right w:val="single" w:sz="4" w:space="0" w:color="auto"/>
            </w:tcBorders>
            <w:shd w:val="clear" w:color="auto" w:fill="DAEEF3"/>
            <w:noWrap/>
            <w:vAlign w:val="center"/>
          </w:tcPr>
          <w:p w:rsidR="004C6095" w:rsidRPr="00D55DC6" w:rsidRDefault="004C6095">
            <w:pPr>
              <w:jc w:val="right"/>
              <w:rPr>
                <w:rFonts w:eastAsia="標楷體"/>
                <w:kern w:val="0"/>
                <w:sz w:val="20"/>
                <w:szCs w:val="20"/>
              </w:rPr>
            </w:pPr>
          </w:p>
        </w:tc>
        <w:tc>
          <w:tcPr>
            <w:tcW w:w="709" w:type="dxa"/>
            <w:tcBorders>
              <w:top w:val="nil"/>
              <w:left w:val="nil"/>
              <w:bottom w:val="single" w:sz="4" w:space="0" w:color="auto"/>
              <w:right w:val="single" w:sz="4" w:space="0" w:color="auto"/>
            </w:tcBorders>
            <w:shd w:val="clear" w:color="auto" w:fill="DAEEF3"/>
            <w:noWrap/>
            <w:vAlign w:val="center"/>
          </w:tcPr>
          <w:p w:rsidR="004C6095" w:rsidRPr="00D55DC6" w:rsidRDefault="004C6095">
            <w:pPr>
              <w:jc w:val="right"/>
              <w:rPr>
                <w:rFonts w:eastAsia="標楷體"/>
                <w:kern w:val="0"/>
                <w:sz w:val="20"/>
                <w:szCs w:val="20"/>
              </w:rPr>
            </w:pPr>
          </w:p>
        </w:tc>
        <w:tc>
          <w:tcPr>
            <w:tcW w:w="709" w:type="dxa"/>
            <w:tcBorders>
              <w:top w:val="nil"/>
              <w:left w:val="nil"/>
              <w:bottom w:val="single" w:sz="4" w:space="0" w:color="auto"/>
              <w:right w:val="single" w:sz="4" w:space="0" w:color="auto"/>
            </w:tcBorders>
            <w:shd w:val="clear" w:color="auto" w:fill="DAEEF3"/>
            <w:noWrap/>
            <w:vAlign w:val="center"/>
          </w:tcPr>
          <w:p w:rsidR="004C6095" w:rsidRPr="00D55DC6" w:rsidRDefault="004C6095">
            <w:pPr>
              <w:jc w:val="right"/>
              <w:rPr>
                <w:rFonts w:eastAsia="標楷體"/>
                <w:kern w:val="0"/>
                <w:sz w:val="20"/>
                <w:szCs w:val="20"/>
              </w:rPr>
            </w:pPr>
          </w:p>
        </w:tc>
        <w:tc>
          <w:tcPr>
            <w:tcW w:w="709" w:type="dxa"/>
            <w:tcBorders>
              <w:top w:val="nil"/>
              <w:left w:val="nil"/>
              <w:bottom w:val="single" w:sz="4" w:space="0" w:color="auto"/>
              <w:right w:val="single" w:sz="4" w:space="0" w:color="auto"/>
            </w:tcBorders>
            <w:shd w:val="clear" w:color="auto" w:fill="DAEEF3"/>
            <w:noWrap/>
            <w:vAlign w:val="center"/>
          </w:tcPr>
          <w:p w:rsidR="004C6095" w:rsidRPr="00D55DC6" w:rsidRDefault="004C6095">
            <w:pPr>
              <w:jc w:val="right"/>
              <w:rPr>
                <w:rFonts w:eastAsia="標楷體"/>
                <w:kern w:val="0"/>
                <w:sz w:val="20"/>
                <w:szCs w:val="20"/>
              </w:rPr>
            </w:pPr>
          </w:p>
        </w:tc>
        <w:tc>
          <w:tcPr>
            <w:tcW w:w="709" w:type="dxa"/>
            <w:tcBorders>
              <w:top w:val="nil"/>
              <w:left w:val="nil"/>
              <w:bottom w:val="single" w:sz="4" w:space="0" w:color="auto"/>
              <w:right w:val="single" w:sz="4" w:space="0" w:color="auto"/>
            </w:tcBorders>
            <w:shd w:val="clear" w:color="auto" w:fill="DAEEF3"/>
            <w:noWrap/>
            <w:vAlign w:val="center"/>
          </w:tcPr>
          <w:p w:rsidR="004C6095" w:rsidRPr="00D55DC6" w:rsidRDefault="004C6095">
            <w:pPr>
              <w:jc w:val="right"/>
              <w:rPr>
                <w:rFonts w:eastAsia="標楷體"/>
                <w:kern w:val="0"/>
                <w:sz w:val="20"/>
                <w:szCs w:val="20"/>
              </w:rPr>
            </w:pPr>
          </w:p>
        </w:tc>
      </w:tr>
      <w:tr w:rsidR="001D0350" w:rsidRPr="00D55DC6" w:rsidTr="000C5765">
        <w:trPr>
          <w:trHeight w:val="345"/>
        </w:trPr>
        <w:tc>
          <w:tcPr>
            <w:tcW w:w="3205"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pPr>
              <w:widowControl/>
              <w:spacing w:line="240" w:lineRule="exact"/>
              <w:ind w:leftChars="106" w:left="254"/>
              <w:rPr>
                <w:rFonts w:eastAsia="標楷體"/>
                <w:kern w:val="0"/>
                <w:sz w:val="20"/>
                <w:szCs w:val="20"/>
              </w:rPr>
            </w:pPr>
            <w:r w:rsidRPr="00D55DC6">
              <w:rPr>
                <w:rFonts w:eastAsia="標楷體"/>
                <w:kern w:val="0"/>
                <w:sz w:val="20"/>
                <w:szCs w:val="20"/>
              </w:rPr>
              <w:t>屏東縣三地門鄉賽嘉樂園露營區民間參與營運移轉</w:t>
            </w:r>
            <w:r w:rsidRPr="00D55DC6">
              <w:rPr>
                <w:rFonts w:eastAsia="標楷體"/>
                <w:kern w:val="0"/>
                <w:sz w:val="20"/>
                <w:szCs w:val="20"/>
              </w:rPr>
              <w:t>ROT</w:t>
            </w:r>
            <w:r w:rsidRPr="00D55DC6">
              <w:rPr>
                <w:rFonts w:eastAsia="標楷體"/>
                <w:kern w:val="0"/>
                <w:sz w:val="20"/>
                <w:szCs w:val="20"/>
              </w:rPr>
              <w:t>案</w:t>
            </w:r>
          </w:p>
        </w:tc>
        <w:tc>
          <w:tcPr>
            <w:tcW w:w="707" w:type="dxa"/>
            <w:tcBorders>
              <w:top w:val="single" w:sz="4" w:space="0" w:color="auto"/>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171</w:t>
            </w:r>
          </w:p>
        </w:tc>
        <w:tc>
          <w:tcPr>
            <w:tcW w:w="708" w:type="dxa"/>
            <w:tcBorders>
              <w:top w:val="single" w:sz="4" w:space="0" w:color="auto"/>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288</w:t>
            </w:r>
          </w:p>
        </w:tc>
        <w:tc>
          <w:tcPr>
            <w:tcW w:w="709" w:type="dxa"/>
            <w:tcBorders>
              <w:top w:val="single" w:sz="4" w:space="0" w:color="auto"/>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306</w:t>
            </w:r>
          </w:p>
        </w:tc>
        <w:tc>
          <w:tcPr>
            <w:tcW w:w="709" w:type="dxa"/>
            <w:tcBorders>
              <w:top w:val="single" w:sz="4" w:space="0" w:color="auto"/>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326</w:t>
            </w:r>
          </w:p>
        </w:tc>
        <w:tc>
          <w:tcPr>
            <w:tcW w:w="709" w:type="dxa"/>
            <w:tcBorders>
              <w:top w:val="single" w:sz="4" w:space="0" w:color="auto"/>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355</w:t>
            </w:r>
          </w:p>
        </w:tc>
        <w:tc>
          <w:tcPr>
            <w:tcW w:w="708" w:type="dxa"/>
            <w:tcBorders>
              <w:top w:val="single" w:sz="4" w:space="0" w:color="auto"/>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500</w:t>
            </w:r>
          </w:p>
        </w:tc>
        <w:tc>
          <w:tcPr>
            <w:tcW w:w="709" w:type="dxa"/>
            <w:tcBorders>
              <w:top w:val="single" w:sz="4" w:space="0" w:color="auto"/>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586</w:t>
            </w:r>
          </w:p>
        </w:tc>
        <w:tc>
          <w:tcPr>
            <w:tcW w:w="709" w:type="dxa"/>
            <w:tcBorders>
              <w:top w:val="single" w:sz="4" w:space="0" w:color="auto"/>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633</w:t>
            </w:r>
          </w:p>
        </w:tc>
        <w:tc>
          <w:tcPr>
            <w:tcW w:w="709" w:type="dxa"/>
            <w:tcBorders>
              <w:top w:val="single" w:sz="4" w:space="0" w:color="auto"/>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676</w:t>
            </w:r>
          </w:p>
        </w:tc>
        <w:tc>
          <w:tcPr>
            <w:tcW w:w="709" w:type="dxa"/>
            <w:tcBorders>
              <w:top w:val="single" w:sz="4" w:space="0" w:color="auto"/>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723</w:t>
            </w:r>
          </w:p>
        </w:tc>
      </w:tr>
      <w:tr w:rsidR="001D0350" w:rsidRPr="00D55DC6" w:rsidTr="000C5765">
        <w:trPr>
          <w:trHeight w:val="345"/>
        </w:trPr>
        <w:tc>
          <w:tcPr>
            <w:tcW w:w="3205"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pPr>
              <w:widowControl/>
              <w:spacing w:line="240" w:lineRule="exact"/>
              <w:ind w:leftChars="106" w:left="254"/>
              <w:rPr>
                <w:rFonts w:eastAsia="標楷體"/>
                <w:kern w:val="0"/>
                <w:sz w:val="20"/>
                <w:szCs w:val="20"/>
              </w:rPr>
            </w:pPr>
            <w:r w:rsidRPr="00D55DC6">
              <w:rPr>
                <w:rFonts w:eastAsia="標楷體"/>
                <w:kern w:val="0"/>
                <w:sz w:val="20"/>
                <w:szCs w:val="20"/>
              </w:rPr>
              <w:t>屏東縣瑪家鄉涼山露營遊憩區民間參與擴</w:t>
            </w:r>
            <w:r w:rsidRPr="00D55DC6">
              <w:rPr>
                <w:rFonts w:eastAsia="標楷體"/>
                <w:kern w:val="0"/>
                <w:sz w:val="20"/>
                <w:szCs w:val="20"/>
              </w:rPr>
              <w:t>(</w:t>
            </w:r>
            <w:r w:rsidRPr="00D55DC6">
              <w:rPr>
                <w:rFonts w:eastAsia="標楷體"/>
                <w:kern w:val="0"/>
                <w:sz w:val="20"/>
                <w:szCs w:val="20"/>
              </w:rPr>
              <w:t>整</w:t>
            </w:r>
            <w:r w:rsidRPr="00D55DC6">
              <w:rPr>
                <w:rFonts w:eastAsia="標楷體"/>
                <w:kern w:val="0"/>
                <w:sz w:val="20"/>
                <w:szCs w:val="20"/>
              </w:rPr>
              <w:t>)</w:t>
            </w:r>
            <w:r w:rsidRPr="00D55DC6">
              <w:rPr>
                <w:rFonts w:eastAsia="標楷體"/>
                <w:kern w:val="0"/>
                <w:sz w:val="20"/>
                <w:szCs w:val="20"/>
              </w:rPr>
              <w:t>建營運移轉</w:t>
            </w:r>
          </w:p>
        </w:tc>
        <w:tc>
          <w:tcPr>
            <w:tcW w:w="707" w:type="dxa"/>
            <w:tcBorders>
              <w:top w:val="single" w:sz="4" w:space="0" w:color="auto"/>
              <w:left w:val="nil"/>
              <w:bottom w:val="single" w:sz="4" w:space="0" w:color="auto"/>
              <w:right w:val="single" w:sz="4" w:space="0" w:color="auto"/>
            </w:tcBorders>
            <w:noWrap/>
            <w:vAlign w:val="center"/>
          </w:tcPr>
          <w:p w:rsidR="004C6095" w:rsidRPr="00D55DC6" w:rsidRDefault="004C6095">
            <w:pPr>
              <w:widowControl/>
              <w:spacing w:line="240" w:lineRule="exact"/>
              <w:ind w:leftChars="106" w:left="254"/>
              <w:jc w:val="right"/>
              <w:rPr>
                <w:rFonts w:eastAsia="標楷體"/>
                <w:kern w:val="0"/>
                <w:sz w:val="20"/>
                <w:szCs w:val="20"/>
              </w:rPr>
            </w:pPr>
          </w:p>
        </w:tc>
        <w:tc>
          <w:tcPr>
            <w:tcW w:w="708" w:type="dxa"/>
            <w:tcBorders>
              <w:top w:val="single" w:sz="4" w:space="0" w:color="auto"/>
              <w:left w:val="nil"/>
              <w:bottom w:val="single" w:sz="4" w:space="0" w:color="auto"/>
              <w:right w:val="single" w:sz="4" w:space="0" w:color="auto"/>
            </w:tcBorders>
            <w:noWrap/>
            <w:vAlign w:val="center"/>
            <w:hideMark/>
          </w:tcPr>
          <w:p w:rsidR="004C6095" w:rsidRPr="00D55DC6" w:rsidRDefault="004C6095">
            <w:pPr>
              <w:widowControl/>
              <w:spacing w:line="240" w:lineRule="exact"/>
              <w:ind w:leftChars="106" w:left="254"/>
              <w:jc w:val="right"/>
              <w:rPr>
                <w:rFonts w:eastAsia="標楷體"/>
                <w:kern w:val="0"/>
                <w:sz w:val="20"/>
                <w:szCs w:val="20"/>
              </w:rPr>
            </w:pPr>
            <w:r w:rsidRPr="00D55DC6">
              <w:rPr>
                <w:rFonts w:eastAsia="標楷體"/>
                <w:kern w:val="0"/>
                <w:sz w:val="20"/>
                <w:szCs w:val="20"/>
              </w:rPr>
              <w:t>289</w:t>
            </w:r>
          </w:p>
        </w:tc>
        <w:tc>
          <w:tcPr>
            <w:tcW w:w="709" w:type="dxa"/>
            <w:tcBorders>
              <w:top w:val="single" w:sz="4" w:space="0" w:color="auto"/>
              <w:left w:val="nil"/>
              <w:bottom w:val="single" w:sz="4" w:space="0" w:color="auto"/>
              <w:right w:val="single" w:sz="4" w:space="0" w:color="auto"/>
            </w:tcBorders>
            <w:noWrap/>
            <w:vAlign w:val="center"/>
            <w:hideMark/>
          </w:tcPr>
          <w:p w:rsidR="004C6095" w:rsidRPr="00D55DC6" w:rsidRDefault="004C6095">
            <w:pPr>
              <w:widowControl/>
              <w:spacing w:line="240" w:lineRule="exact"/>
              <w:ind w:leftChars="106" w:left="254"/>
              <w:jc w:val="right"/>
              <w:rPr>
                <w:rFonts w:eastAsia="標楷體"/>
                <w:kern w:val="0"/>
                <w:sz w:val="20"/>
                <w:szCs w:val="20"/>
              </w:rPr>
            </w:pPr>
            <w:r w:rsidRPr="00D55DC6">
              <w:rPr>
                <w:rFonts w:eastAsia="標楷體"/>
                <w:kern w:val="0"/>
                <w:sz w:val="20"/>
                <w:szCs w:val="20"/>
              </w:rPr>
              <w:t>293</w:t>
            </w:r>
          </w:p>
        </w:tc>
        <w:tc>
          <w:tcPr>
            <w:tcW w:w="709" w:type="dxa"/>
            <w:tcBorders>
              <w:top w:val="single" w:sz="4" w:space="0" w:color="auto"/>
              <w:left w:val="nil"/>
              <w:bottom w:val="single" w:sz="4" w:space="0" w:color="auto"/>
              <w:right w:val="single" w:sz="4" w:space="0" w:color="auto"/>
            </w:tcBorders>
            <w:noWrap/>
            <w:vAlign w:val="center"/>
            <w:hideMark/>
          </w:tcPr>
          <w:p w:rsidR="004C6095" w:rsidRPr="00D55DC6" w:rsidRDefault="004C6095">
            <w:pPr>
              <w:widowControl/>
              <w:spacing w:line="240" w:lineRule="exact"/>
              <w:ind w:leftChars="106" w:left="254"/>
              <w:jc w:val="right"/>
              <w:rPr>
                <w:rFonts w:eastAsia="標楷體"/>
                <w:kern w:val="0"/>
                <w:sz w:val="20"/>
                <w:szCs w:val="20"/>
              </w:rPr>
            </w:pPr>
            <w:r w:rsidRPr="00D55DC6">
              <w:rPr>
                <w:rFonts w:eastAsia="標楷體"/>
                <w:kern w:val="0"/>
                <w:sz w:val="20"/>
                <w:szCs w:val="20"/>
              </w:rPr>
              <w:t>396</w:t>
            </w:r>
          </w:p>
        </w:tc>
        <w:tc>
          <w:tcPr>
            <w:tcW w:w="709" w:type="dxa"/>
            <w:tcBorders>
              <w:top w:val="single" w:sz="4" w:space="0" w:color="auto"/>
              <w:left w:val="nil"/>
              <w:bottom w:val="single" w:sz="4" w:space="0" w:color="auto"/>
              <w:right w:val="single" w:sz="4" w:space="0" w:color="auto"/>
            </w:tcBorders>
            <w:noWrap/>
            <w:vAlign w:val="center"/>
            <w:hideMark/>
          </w:tcPr>
          <w:p w:rsidR="004C6095" w:rsidRPr="00D55DC6" w:rsidRDefault="004C6095">
            <w:pPr>
              <w:widowControl/>
              <w:spacing w:line="240" w:lineRule="exact"/>
              <w:ind w:leftChars="106" w:left="254"/>
              <w:jc w:val="right"/>
              <w:rPr>
                <w:rFonts w:eastAsia="標楷體"/>
                <w:kern w:val="0"/>
                <w:sz w:val="20"/>
                <w:szCs w:val="20"/>
              </w:rPr>
            </w:pPr>
            <w:r w:rsidRPr="00D55DC6">
              <w:rPr>
                <w:rFonts w:eastAsia="標楷體"/>
                <w:kern w:val="0"/>
                <w:sz w:val="20"/>
                <w:szCs w:val="20"/>
              </w:rPr>
              <w:t>407</w:t>
            </w:r>
          </w:p>
        </w:tc>
        <w:tc>
          <w:tcPr>
            <w:tcW w:w="708" w:type="dxa"/>
            <w:tcBorders>
              <w:top w:val="single" w:sz="4" w:space="0" w:color="auto"/>
              <w:left w:val="nil"/>
              <w:bottom w:val="single" w:sz="4" w:space="0" w:color="auto"/>
              <w:right w:val="single" w:sz="4" w:space="0" w:color="auto"/>
            </w:tcBorders>
            <w:noWrap/>
            <w:vAlign w:val="center"/>
            <w:hideMark/>
          </w:tcPr>
          <w:p w:rsidR="004C6095" w:rsidRPr="00D55DC6" w:rsidRDefault="004C6095">
            <w:pPr>
              <w:widowControl/>
              <w:spacing w:line="240" w:lineRule="exact"/>
              <w:ind w:leftChars="106" w:left="254"/>
              <w:jc w:val="right"/>
              <w:rPr>
                <w:rFonts w:eastAsia="標楷體"/>
                <w:kern w:val="0"/>
                <w:sz w:val="20"/>
                <w:szCs w:val="20"/>
              </w:rPr>
            </w:pPr>
            <w:r w:rsidRPr="00D55DC6">
              <w:rPr>
                <w:rFonts w:eastAsia="標楷體"/>
                <w:kern w:val="0"/>
                <w:sz w:val="20"/>
                <w:szCs w:val="20"/>
              </w:rPr>
              <w:t>410</w:t>
            </w:r>
          </w:p>
        </w:tc>
        <w:tc>
          <w:tcPr>
            <w:tcW w:w="709" w:type="dxa"/>
            <w:tcBorders>
              <w:top w:val="single" w:sz="4" w:space="0" w:color="auto"/>
              <w:left w:val="nil"/>
              <w:bottom w:val="single" w:sz="4" w:space="0" w:color="auto"/>
              <w:right w:val="single" w:sz="4" w:space="0" w:color="auto"/>
            </w:tcBorders>
            <w:noWrap/>
            <w:vAlign w:val="center"/>
            <w:hideMark/>
          </w:tcPr>
          <w:p w:rsidR="004C6095" w:rsidRPr="00D55DC6" w:rsidRDefault="004C6095">
            <w:pPr>
              <w:widowControl/>
              <w:spacing w:line="240" w:lineRule="exact"/>
              <w:ind w:leftChars="106" w:left="254"/>
              <w:jc w:val="right"/>
              <w:rPr>
                <w:rFonts w:eastAsia="標楷體"/>
                <w:kern w:val="0"/>
                <w:sz w:val="20"/>
                <w:szCs w:val="20"/>
              </w:rPr>
            </w:pPr>
            <w:r w:rsidRPr="00D55DC6">
              <w:rPr>
                <w:rFonts w:eastAsia="標楷體"/>
                <w:kern w:val="0"/>
                <w:sz w:val="20"/>
                <w:szCs w:val="20"/>
              </w:rPr>
              <w:t>414</w:t>
            </w:r>
          </w:p>
        </w:tc>
        <w:tc>
          <w:tcPr>
            <w:tcW w:w="709" w:type="dxa"/>
            <w:tcBorders>
              <w:top w:val="single" w:sz="4" w:space="0" w:color="auto"/>
              <w:left w:val="nil"/>
              <w:bottom w:val="single" w:sz="4" w:space="0" w:color="auto"/>
              <w:right w:val="single" w:sz="4" w:space="0" w:color="auto"/>
            </w:tcBorders>
            <w:noWrap/>
            <w:vAlign w:val="center"/>
            <w:hideMark/>
          </w:tcPr>
          <w:p w:rsidR="004C6095" w:rsidRPr="00D55DC6" w:rsidRDefault="004C6095">
            <w:pPr>
              <w:widowControl/>
              <w:spacing w:line="240" w:lineRule="exact"/>
              <w:ind w:leftChars="106" w:left="254"/>
              <w:jc w:val="right"/>
              <w:rPr>
                <w:rFonts w:eastAsia="標楷體"/>
                <w:kern w:val="0"/>
                <w:sz w:val="20"/>
                <w:szCs w:val="20"/>
              </w:rPr>
            </w:pPr>
            <w:r w:rsidRPr="00D55DC6">
              <w:rPr>
                <w:rFonts w:eastAsia="標楷體"/>
                <w:kern w:val="0"/>
                <w:sz w:val="20"/>
                <w:szCs w:val="20"/>
              </w:rPr>
              <w:t>426</w:t>
            </w:r>
          </w:p>
        </w:tc>
        <w:tc>
          <w:tcPr>
            <w:tcW w:w="709" w:type="dxa"/>
            <w:tcBorders>
              <w:top w:val="single" w:sz="4" w:space="0" w:color="auto"/>
              <w:left w:val="nil"/>
              <w:bottom w:val="single" w:sz="4" w:space="0" w:color="auto"/>
              <w:right w:val="single" w:sz="4" w:space="0" w:color="auto"/>
            </w:tcBorders>
            <w:noWrap/>
            <w:vAlign w:val="center"/>
            <w:hideMark/>
          </w:tcPr>
          <w:p w:rsidR="004C6095" w:rsidRPr="00D55DC6" w:rsidRDefault="004C6095">
            <w:pPr>
              <w:widowControl/>
              <w:spacing w:line="240" w:lineRule="exact"/>
              <w:ind w:leftChars="106" w:left="254"/>
              <w:jc w:val="right"/>
              <w:rPr>
                <w:rFonts w:eastAsia="標楷體"/>
                <w:kern w:val="0"/>
                <w:sz w:val="20"/>
                <w:szCs w:val="20"/>
              </w:rPr>
            </w:pPr>
            <w:r w:rsidRPr="00D55DC6">
              <w:rPr>
                <w:rFonts w:eastAsia="標楷體"/>
                <w:kern w:val="0"/>
                <w:sz w:val="20"/>
                <w:szCs w:val="20"/>
              </w:rPr>
              <w:t>429</w:t>
            </w:r>
          </w:p>
        </w:tc>
        <w:tc>
          <w:tcPr>
            <w:tcW w:w="709" w:type="dxa"/>
            <w:tcBorders>
              <w:top w:val="single" w:sz="4" w:space="0" w:color="auto"/>
              <w:left w:val="nil"/>
              <w:bottom w:val="single" w:sz="4" w:space="0" w:color="auto"/>
              <w:right w:val="single" w:sz="4" w:space="0" w:color="auto"/>
            </w:tcBorders>
            <w:noWrap/>
            <w:vAlign w:val="center"/>
            <w:hideMark/>
          </w:tcPr>
          <w:p w:rsidR="004C6095" w:rsidRPr="00D55DC6" w:rsidRDefault="004C6095">
            <w:pPr>
              <w:widowControl/>
              <w:spacing w:line="240" w:lineRule="exact"/>
              <w:ind w:leftChars="106" w:left="254"/>
              <w:jc w:val="right"/>
              <w:rPr>
                <w:rFonts w:eastAsia="標楷體"/>
                <w:kern w:val="0"/>
                <w:sz w:val="20"/>
                <w:szCs w:val="20"/>
              </w:rPr>
            </w:pPr>
            <w:r w:rsidRPr="00D55DC6">
              <w:rPr>
                <w:rFonts w:eastAsia="標楷體"/>
                <w:kern w:val="0"/>
                <w:sz w:val="20"/>
                <w:szCs w:val="20"/>
              </w:rPr>
              <w:t>433</w:t>
            </w:r>
          </w:p>
        </w:tc>
      </w:tr>
      <w:tr w:rsidR="001D0350" w:rsidRPr="00D55DC6" w:rsidTr="000C5765">
        <w:trPr>
          <w:trHeight w:val="345"/>
        </w:trPr>
        <w:tc>
          <w:tcPr>
            <w:tcW w:w="3205"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pPr>
              <w:widowControl/>
              <w:spacing w:line="240" w:lineRule="exact"/>
              <w:ind w:leftChars="106" w:left="254"/>
              <w:rPr>
                <w:rFonts w:eastAsia="標楷體"/>
                <w:kern w:val="0"/>
                <w:sz w:val="20"/>
                <w:szCs w:val="20"/>
              </w:rPr>
            </w:pPr>
            <w:r w:rsidRPr="00D55DC6">
              <w:rPr>
                <w:rFonts w:eastAsia="標楷體"/>
                <w:kern w:val="0"/>
                <w:sz w:val="20"/>
                <w:szCs w:val="20"/>
              </w:rPr>
              <w:t>十八羅漢山服務區出租經營與管理</w:t>
            </w:r>
          </w:p>
        </w:tc>
        <w:tc>
          <w:tcPr>
            <w:tcW w:w="707" w:type="dxa"/>
            <w:tcBorders>
              <w:top w:val="single" w:sz="4" w:space="0" w:color="auto"/>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31</w:t>
            </w:r>
          </w:p>
        </w:tc>
        <w:tc>
          <w:tcPr>
            <w:tcW w:w="708" w:type="dxa"/>
            <w:tcBorders>
              <w:top w:val="single" w:sz="4" w:space="0" w:color="auto"/>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31</w:t>
            </w:r>
          </w:p>
        </w:tc>
        <w:tc>
          <w:tcPr>
            <w:tcW w:w="709" w:type="dxa"/>
            <w:tcBorders>
              <w:top w:val="single" w:sz="4" w:space="0" w:color="auto"/>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single" w:sz="4" w:space="0" w:color="auto"/>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single" w:sz="4" w:space="0" w:color="auto"/>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8" w:type="dxa"/>
            <w:tcBorders>
              <w:top w:val="single" w:sz="4" w:space="0" w:color="auto"/>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single" w:sz="4" w:space="0" w:color="auto"/>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single" w:sz="4" w:space="0" w:color="auto"/>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single" w:sz="4" w:space="0" w:color="auto"/>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single" w:sz="4" w:space="0" w:color="auto"/>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r>
      <w:tr w:rsidR="001D0350" w:rsidRPr="00D55DC6" w:rsidTr="000C5765">
        <w:trPr>
          <w:trHeight w:val="330"/>
        </w:trPr>
        <w:tc>
          <w:tcPr>
            <w:tcW w:w="3205"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pPr>
              <w:widowControl/>
              <w:rPr>
                <w:rFonts w:eastAsia="標楷體"/>
                <w:kern w:val="0"/>
                <w:sz w:val="20"/>
                <w:szCs w:val="20"/>
              </w:rPr>
            </w:pPr>
            <w:r w:rsidRPr="00D55DC6">
              <w:rPr>
                <w:rFonts w:eastAsia="標楷體"/>
                <w:kern w:val="0"/>
                <w:sz w:val="20"/>
                <w:szCs w:val="20"/>
              </w:rPr>
              <w:t>二、規劃新設據點收益</w:t>
            </w:r>
          </w:p>
        </w:tc>
        <w:tc>
          <w:tcPr>
            <w:tcW w:w="707" w:type="dxa"/>
            <w:tcBorders>
              <w:top w:val="single" w:sz="4" w:space="0" w:color="auto"/>
              <w:left w:val="nil"/>
              <w:bottom w:val="single" w:sz="4" w:space="0" w:color="auto"/>
              <w:right w:val="single" w:sz="4" w:space="0" w:color="auto"/>
            </w:tcBorders>
            <w:shd w:val="clear" w:color="auto" w:fill="DEE7F2"/>
            <w:noWrap/>
            <w:vAlign w:val="center"/>
          </w:tcPr>
          <w:p w:rsidR="004C6095" w:rsidRPr="00D55DC6" w:rsidRDefault="004C6095">
            <w:pPr>
              <w:jc w:val="right"/>
              <w:rPr>
                <w:rFonts w:eastAsia="標楷體"/>
                <w:kern w:val="0"/>
                <w:sz w:val="20"/>
                <w:szCs w:val="20"/>
              </w:rPr>
            </w:pPr>
          </w:p>
        </w:tc>
        <w:tc>
          <w:tcPr>
            <w:tcW w:w="708" w:type="dxa"/>
            <w:tcBorders>
              <w:top w:val="single" w:sz="4" w:space="0" w:color="auto"/>
              <w:left w:val="nil"/>
              <w:bottom w:val="single" w:sz="4" w:space="0" w:color="auto"/>
              <w:right w:val="single" w:sz="4" w:space="0" w:color="auto"/>
            </w:tcBorders>
            <w:shd w:val="clear" w:color="auto" w:fill="DEE7F2"/>
            <w:noWrap/>
            <w:vAlign w:val="center"/>
          </w:tcPr>
          <w:p w:rsidR="004C6095" w:rsidRPr="00D55DC6" w:rsidRDefault="004C6095">
            <w:pPr>
              <w:jc w:val="right"/>
              <w:rPr>
                <w:rFonts w:eastAsia="標楷體"/>
                <w:kern w:val="0"/>
                <w:sz w:val="20"/>
                <w:szCs w:val="20"/>
              </w:rPr>
            </w:pPr>
          </w:p>
        </w:tc>
        <w:tc>
          <w:tcPr>
            <w:tcW w:w="709" w:type="dxa"/>
            <w:tcBorders>
              <w:top w:val="single" w:sz="4" w:space="0" w:color="auto"/>
              <w:left w:val="nil"/>
              <w:bottom w:val="single" w:sz="4" w:space="0" w:color="auto"/>
              <w:right w:val="single" w:sz="4" w:space="0" w:color="auto"/>
            </w:tcBorders>
            <w:shd w:val="clear" w:color="auto" w:fill="DEE7F2"/>
            <w:noWrap/>
            <w:vAlign w:val="center"/>
          </w:tcPr>
          <w:p w:rsidR="004C6095" w:rsidRPr="00D55DC6" w:rsidRDefault="004C6095">
            <w:pPr>
              <w:jc w:val="right"/>
              <w:rPr>
                <w:rFonts w:eastAsia="標楷體"/>
                <w:kern w:val="0"/>
                <w:sz w:val="20"/>
                <w:szCs w:val="20"/>
              </w:rPr>
            </w:pPr>
          </w:p>
        </w:tc>
        <w:tc>
          <w:tcPr>
            <w:tcW w:w="709" w:type="dxa"/>
            <w:tcBorders>
              <w:top w:val="single" w:sz="4" w:space="0" w:color="auto"/>
              <w:left w:val="nil"/>
              <w:bottom w:val="single" w:sz="4" w:space="0" w:color="auto"/>
              <w:right w:val="single" w:sz="4" w:space="0" w:color="auto"/>
            </w:tcBorders>
            <w:shd w:val="clear" w:color="auto" w:fill="DEE7F2"/>
            <w:noWrap/>
            <w:vAlign w:val="center"/>
          </w:tcPr>
          <w:p w:rsidR="004C6095" w:rsidRPr="00D55DC6" w:rsidRDefault="004C6095">
            <w:pPr>
              <w:jc w:val="right"/>
              <w:rPr>
                <w:rFonts w:eastAsia="標楷體"/>
                <w:kern w:val="0"/>
                <w:sz w:val="20"/>
                <w:szCs w:val="20"/>
              </w:rPr>
            </w:pPr>
          </w:p>
        </w:tc>
        <w:tc>
          <w:tcPr>
            <w:tcW w:w="709" w:type="dxa"/>
            <w:tcBorders>
              <w:top w:val="single" w:sz="4" w:space="0" w:color="auto"/>
              <w:left w:val="nil"/>
              <w:bottom w:val="single" w:sz="4" w:space="0" w:color="auto"/>
              <w:right w:val="single" w:sz="4" w:space="0" w:color="auto"/>
            </w:tcBorders>
            <w:shd w:val="clear" w:color="auto" w:fill="DEE7F2"/>
            <w:noWrap/>
            <w:vAlign w:val="center"/>
          </w:tcPr>
          <w:p w:rsidR="004C6095" w:rsidRPr="00D55DC6" w:rsidRDefault="004C6095">
            <w:pPr>
              <w:jc w:val="right"/>
              <w:rPr>
                <w:rFonts w:eastAsia="標楷體"/>
                <w:kern w:val="0"/>
                <w:sz w:val="20"/>
                <w:szCs w:val="20"/>
              </w:rPr>
            </w:pPr>
          </w:p>
        </w:tc>
        <w:tc>
          <w:tcPr>
            <w:tcW w:w="708" w:type="dxa"/>
            <w:tcBorders>
              <w:top w:val="single" w:sz="4" w:space="0" w:color="auto"/>
              <w:left w:val="nil"/>
              <w:bottom w:val="single" w:sz="4" w:space="0" w:color="auto"/>
              <w:right w:val="single" w:sz="4" w:space="0" w:color="auto"/>
            </w:tcBorders>
            <w:shd w:val="clear" w:color="auto" w:fill="DEE7F2"/>
            <w:noWrap/>
            <w:vAlign w:val="center"/>
          </w:tcPr>
          <w:p w:rsidR="004C6095" w:rsidRPr="00D55DC6" w:rsidRDefault="004C6095">
            <w:pPr>
              <w:jc w:val="right"/>
              <w:rPr>
                <w:rFonts w:eastAsia="標楷體"/>
                <w:kern w:val="0"/>
                <w:sz w:val="20"/>
                <w:szCs w:val="20"/>
              </w:rPr>
            </w:pPr>
          </w:p>
        </w:tc>
        <w:tc>
          <w:tcPr>
            <w:tcW w:w="709" w:type="dxa"/>
            <w:tcBorders>
              <w:top w:val="single" w:sz="4" w:space="0" w:color="auto"/>
              <w:left w:val="nil"/>
              <w:bottom w:val="single" w:sz="4" w:space="0" w:color="auto"/>
              <w:right w:val="single" w:sz="4" w:space="0" w:color="auto"/>
            </w:tcBorders>
            <w:shd w:val="clear" w:color="auto" w:fill="DEE7F2"/>
            <w:noWrap/>
            <w:vAlign w:val="center"/>
          </w:tcPr>
          <w:p w:rsidR="004C6095" w:rsidRPr="00D55DC6" w:rsidRDefault="004C6095">
            <w:pPr>
              <w:jc w:val="right"/>
              <w:rPr>
                <w:rFonts w:eastAsia="標楷體"/>
                <w:kern w:val="0"/>
                <w:sz w:val="20"/>
                <w:szCs w:val="20"/>
              </w:rPr>
            </w:pPr>
          </w:p>
        </w:tc>
        <w:tc>
          <w:tcPr>
            <w:tcW w:w="709" w:type="dxa"/>
            <w:tcBorders>
              <w:top w:val="single" w:sz="4" w:space="0" w:color="auto"/>
              <w:left w:val="nil"/>
              <w:bottom w:val="single" w:sz="4" w:space="0" w:color="auto"/>
              <w:right w:val="single" w:sz="4" w:space="0" w:color="auto"/>
            </w:tcBorders>
            <w:shd w:val="clear" w:color="auto" w:fill="DEE7F2"/>
            <w:noWrap/>
            <w:vAlign w:val="center"/>
          </w:tcPr>
          <w:p w:rsidR="004C6095" w:rsidRPr="00D55DC6" w:rsidRDefault="004C6095">
            <w:pPr>
              <w:jc w:val="right"/>
              <w:rPr>
                <w:rFonts w:eastAsia="標楷體"/>
                <w:kern w:val="0"/>
                <w:sz w:val="20"/>
                <w:szCs w:val="20"/>
              </w:rPr>
            </w:pPr>
          </w:p>
        </w:tc>
        <w:tc>
          <w:tcPr>
            <w:tcW w:w="709" w:type="dxa"/>
            <w:tcBorders>
              <w:top w:val="single" w:sz="4" w:space="0" w:color="auto"/>
              <w:left w:val="nil"/>
              <w:bottom w:val="single" w:sz="4" w:space="0" w:color="auto"/>
              <w:right w:val="single" w:sz="4" w:space="0" w:color="auto"/>
            </w:tcBorders>
            <w:shd w:val="clear" w:color="auto" w:fill="DEE7F2"/>
            <w:noWrap/>
            <w:vAlign w:val="center"/>
          </w:tcPr>
          <w:p w:rsidR="004C6095" w:rsidRPr="00D55DC6" w:rsidRDefault="004C6095">
            <w:pPr>
              <w:jc w:val="right"/>
              <w:rPr>
                <w:rFonts w:eastAsia="標楷體"/>
                <w:kern w:val="0"/>
                <w:sz w:val="20"/>
                <w:szCs w:val="20"/>
              </w:rPr>
            </w:pPr>
          </w:p>
        </w:tc>
        <w:tc>
          <w:tcPr>
            <w:tcW w:w="709" w:type="dxa"/>
            <w:tcBorders>
              <w:top w:val="single" w:sz="4" w:space="0" w:color="auto"/>
              <w:left w:val="nil"/>
              <w:bottom w:val="single" w:sz="4" w:space="0" w:color="auto"/>
              <w:right w:val="single" w:sz="4" w:space="0" w:color="auto"/>
            </w:tcBorders>
            <w:shd w:val="clear" w:color="auto" w:fill="DEE7F2"/>
            <w:noWrap/>
            <w:vAlign w:val="center"/>
          </w:tcPr>
          <w:p w:rsidR="004C6095" w:rsidRPr="00D55DC6" w:rsidRDefault="004C6095">
            <w:pPr>
              <w:jc w:val="right"/>
              <w:rPr>
                <w:rFonts w:eastAsia="標楷體"/>
                <w:kern w:val="0"/>
                <w:sz w:val="20"/>
                <w:szCs w:val="20"/>
              </w:rPr>
            </w:pPr>
          </w:p>
        </w:tc>
      </w:tr>
      <w:tr w:rsidR="001D0350" w:rsidRPr="00D55DC6" w:rsidTr="000C5765">
        <w:trPr>
          <w:trHeight w:val="330"/>
        </w:trPr>
        <w:tc>
          <w:tcPr>
            <w:tcW w:w="3205"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pPr>
              <w:widowControl/>
              <w:spacing w:line="240" w:lineRule="exact"/>
              <w:ind w:leftChars="106" w:left="254"/>
              <w:rPr>
                <w:rFonts w:eastAsia="標楷體"/>
                <w:kern w:val="0"/>
                <w:sz w:val="20"/>
                <w:szCs w:val="20"/>
              </w:rPr>
            </w:pPr>
            <w:r w:rsidRPr="00D55DC6">
              <w:rPr>
                <w:rFonts w:eastAsia="標楷體"/>
                <w:kern w:val="0"/>
                <w:sz w:val="20"/>
                <w:szCs w:val="20"/>
              </w:rPr>
              <w:t>十八羅漢山服務區</w:t>
            </w:r>
            <w:r w:rsidRPr="00D55DC6">
              <w:rPr>
                <w:rFonts w:eastAsia="標楷體"/>
                <w:kern w:val="0"/>
                <w:sz w:val="20"/>
                <w:szCs w:val="20"/>
              </w:rPr>
              <w:t>OT</w:t>
            </w:r>
          </w:p>
        </w:tc>
        <w:tc>
          <w:tcPr>
            <w:tcW w:w="707"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8"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120</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130</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141</w:t>
            </w:r>
          </w:p>
        </w:tc>
        <w:tc>
          <w:tcPr>
            <w:tcW w:w="708"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155</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168</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183</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200</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218</w:t>
            </w:r>
          </w:p>
        </w:tc>
      </w:tr>
      <w:tr w:rsidR="001D0350" w:rsidRPr="00D55DC6" w:rsidTr="000C5765">
        <w:trPr>
          <w:trHeight w:val="330"/>
        </w:trPr>
        <w:tc>
          <w:tcPr>
            <w:tcW w:w="3205"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pPr>
              <w:widowControl/>
              <w:spacing w:line="240" w:lineRule="exact"/>
              <w:ind w:leftChars="106" w:left="254"/>
              <w:rPr>
                <w:rFonts w:eastAsia="標楷體"/>
                <w:kern w:val="0"/>
                <w:sz w:val="20"/>
                <w:szCs w:val="20"/>
              </w:rPr>
            </w:pPr>
            <w:r w:rsidRPr="00D55DC6">
              <w:rPr>
                <w:rFonts w:eastAsia="標楷體"/>
                <w:kern w:val="0"/>
                <w:sz w:val="20"/>
                <w:szCs w:val="20"/>
              </w:rPr>
              <w:t>寶來溫泉公園休閒</w:t>
            </w:r>
            <w:r w:rsidR="00EA38C5" w:rsidRPr="00D55DC6">
              <w:rPr>
                <w:rFonts w:eastAsia="標楷體"/>
                <w:kern w:val="0"/>
                <w:sz w:val="20"/>
                <w:szCs w:val="20"/>
              </w:rPr>
              <w:t>度假</w:t>
            </w:r>
            <w:r w:rsidRPr="00D55DC6">
              <w:rPr>
                <w:rFonts w:eastAsia="標楷體"/>
                <w:kern w:val="0"/>
                <w:sz w:val="20"/>
                <w:szCs w:val="20"/>
              </w:rPr>
              <w:t>基地</w:t>
            </w:r>
            <w:r w:rsidRPr="00D55DC6">
              <w:rPr>
                <w:rFonts w:eastAsia="標楷體"/>
                <w:kern w:val="0"/>
                <w:sz w:val="20"/>
                <w:szCs w:val="20"/>
              </w:rPr>
              <w:t>BOT</w:t>
            </w:r>
          </w:p>
        </w:tc>
        <w:tc>
          <w:tcPr>
            <w:tcW w:w="707"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8"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8"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2,648</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2,648</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5,308</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5,405</w:t>
            </w:r>
          </w:p>
        </w:tc>
      </w:tr>
      <w:tr w:rsidR="001D0350" w:rsidRPr="00D55DC6" w:rsidTr="000C5765">
        <w:trPr>
          <w:trHeight w:val="330"/>
        </w:trPr>
        <w:tc>
          <w:tcPr>
            <w:tcW w:w="3205"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pPr>
              <w:widowControl/>
              <w:spacing w:line="240" w:lineRule="exact"/>
              <w:ind w:leftChars="106" w:left="254"/>
              <w:rPr>
                <w:rFonts w:eastAsia="標楷體"/>
                <w:kern w:val="0"/>
                <w:sz w:val="20"/>
                <w:szCs w:val="20"/>
              </w:rPr>
            </w:pPr>
            <w:r w:rsidRPr="00D55DC6">
              <w:rPr>
                <w:rFonts w:eastAsia="標楷體"/>
                <w:kern w:val="0"/>
                <w:sz w:val="20"/>
                <w:szCs w:val="20"/>
              </w:rPr>
              <w:t>新威遊憩區</w:t>
            </w:r>
            <w:r w:rsidRPr="00D55DC6">
              <w:rPr>
                <w:rFonts w:eastAsia="標楷體"/>
                <w:kern w:val="0"/>
                <w:sz w:val="20"/>
                <w:szCs w:val="20"/>
              </w:rPr>
              <w:t>(</w:t>
            </w:r>
            <w:r w:rsidRPr="00D55DC6">
              <w:rPr>
                <w:rFonts w:eastAsia="標楷體"/>
                <w:kern w:val="0"/>
                <w:sz w:val="20"/>
                <w:szCs w:val="20"/>
              </w:rPr>
              <w:t>含轉運站</w:t>
            </w:r>
            <w:r w:rsidRPr="00D55DC6">
              <w:rPr>
                <w:rFonts w:eastAsia="標楷體"/>
                <w:kern w:val="0"/>
                <w:sz w:val="20"/>
                <w:szCs w:val="20"/>
              </w:rPr>
              <w:t>)OT+BOT</w:t>
            </w:r>
          </w:p>
        </w:tc>
        <w:tc>
          <w:tcPr>
            <w:tcW w:w="707"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450</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450</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477</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477</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477</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3,972</w:t>
            </w:r>
          </w:p>
        </w:tc>
      </w:tr>
      <w:tr w:rsidR="001D0350" w:rsidRPr="00D55DC6" w:rsidTr="000C5765">
        <w:trPr>
          <w:trHeight w:val="330"/>
        </w:trPr>
        <w:tc>
          <w:tcPr>
            <w:tcW w:w="3205" w:type="dxa"/>
            <w:tcBorders>
              <w:top w:val="nil"/>
              <w:left w:val="single" w:sz="4" w:space="0" w:color="auto"/>
              <w:bottom w:val="single" w:sz="4" w:space="0" w:color="auto"/>
              <w:right w:val="single" w:sz="4" w:space="0" w:color="auto"/>
            </w:tcBorders>
            <w:shd w:val="clear" w:color="auto" w:fill="D9D9D9"/>
            <w:hideMark/>
          </w:tcPr>
          <w:p w:rsidR="004C6095" w:rsidRPr="00D55DC6" w:rsidRDefault="004C6095" w:rsidP="007E2055">
            <w:pPr>
              <w:widowControl/>
              <w:spacing w:line="240" w:lineRule="exact"/>
              <w:ind w:leftChars="106" w:left="254"/>
              <w:rPr>
                <w:rFonts w:eastAsia="標楷體"/>
                <w:kern w:val="0"/>
                <w:sz w:val="20"/>
                <w:szCs w:val="20"/>
              </w:rPr>
            </w:pPr>
            <w:r w:rsidRPr="00D55DC6">
              <w:rPr>
                <w:rFonts w:eastAsia="標楷體"/>
                <w:kern w:val="0"/>
                <w:sz w:val="20"/>
                <w:szCs w:val="20"/>
              </w:rPr>
              <w:t>泛舟服務區</w:t>
            </w:r>
            <w:r w:rsidRPr="00D55DC6">
              <w:rPr>
                <w:rFonts w:eastAsia="標楷體"/>
                <w:kern w:val="0"/>
                <w:sz w:val="20"/>
                <w:szCs w:val="20"/>
              </w:rPr>
              <w:t>OT</w:t>
            </w:r>
          </w:p>
        </w:tc>
        <w:tc>
          <w:tcPr>
            <w:tcW w:w="707"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8" w:type="dxa"/>
            <w:tcBorders>
              <w:top w:val="single" w:sz="4" w:space="0" w:color="auto"/>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2,043</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2,080</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2,068</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2,111</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2,151</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2,192</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2,237</w:t>
            </w:r>
          </w:p>
        </w:tc>
      </w:tr>
      <w:tr w:rsidR="001D0350" w:rsidRPr="00D55DC6" w:rsidTr="000C5765">
        <w:trPr>
          <w:trHeight w:val="330"/>
        </w:trPr>
        <w:tc>
          <w:tcPr>
            <w:tcW w:w="3205" w:type="dxa"/>
            <w:tcBorders>
              <w:top w:val="nil"/>
              <w:left w:val="single" w:sz="4" w:space="0" w:color="auto"/>
              <w:bottom w:val="single" w:sz="4" w:space="0" w:color="auto"/>
              <w:right w:val="single" w:sz="4" w:space="0" w:color="auto"/>
            </w:tcBorders>
            <w:shd w:val="clear" w:color="auto" w:fill="D9D9D9"/>
            <w:hideMark/>
          </w:tcPr>
          <w:p w:rsidR="004C6095" w:rsidRPr="00D55DC6" w:rsidRDefault="004C6095">
            <w:pPr>
              <w:widowControl/>
              <w:spacing w:line="240" w:lineRule="exact"/>
              <w:ind w:leftChars="106" w:left="254"/>
              <w:rPr>
                <w:rFonts w:eastAsia="標楷體"/>
                <w:kern w:val="0"/>
                <w:sz w:val="20"/>
                <w:szCs w:val="20"/>
              </w:rPr>
            </w:pPr>
            <w:r w:rsidRPr="00D55DC6">
              <w:rPr>
                <w:rFonts w:eastAsia="標楷體"/>
                <w:kern w:val="0"/>
                <w:sz w:val="20"/>
                <w:szCs w:val="20"/>
              </w:rPr>
              <w:t>賽嘉無動力飛行場起降落區</w:t>
            </w:r>
            <w:r w:rsidRPr="00D55DC6">
              <w:rPr>
                <w:rFonts w:eastAsia="標楷體"/>
                <w:kern w:val="0"/>
                <w:sz w:val="20"/>
                <w:szCs w:val="20"/>
              </w:rPr>
              <w:t>OT</w:t>
            </w:r>
          </w:p>
        </w:tc>
        <w:tc>
          <w:tcPr>
            <w:tcW w:w="707"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8" w:type="dxa"/>
            <w:tcBorders>
              <w:top w:val="single" w:sz="4" w:space="0" w:color="auto"/>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single" w:sz="4" w:space="0" w:color="auto"/>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single" w:sz="4" w:space="0" w:color="auto"/>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2,372</w:t>
            </w:r>
          </w:p>
        </w:tc>
        <w:tc>
          <w:tcPr>
            <w:tcW w:w="709" w:type="dxa"/>
            <w:tcBorders>
              <w:top w:val="single" w:sz="4" w:space="0" w:color="auto"/>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2,400</w:t>
            </w:r>
          </w:p>
        </w:tc>
        <w:tc>
          <w:tcPr>
            <w:tcW w:w="708" w:type="dxa"/>
            <w:tcBorders>
              <w:top w:val="single" w:sz="4" w:space="0" w:color="auto"/>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2,630</w:t>
            </w:r>
          </w:p>
        </w:tc>
        <w:tc>
          <w:tcPr>
            <w:tcW w:w="709" w:type="dxa"/>
            <w:tcBorders>
              <w:top w:val="single" w:sz="4" w:space="0" w:color="auto"/>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2,698</w:t>
            </w:r>
          </w:p>
        </w:tc>
        <w:tc>
          <w:tcPr>
            <w:tcW w:w="709" w:type="dxa"/>
            <w:tcBorders>
              <w:top w:val="single" w:sz="4" w:space="0" w:color="auto"/>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2,729</w:t>
            </w:r>
          </w:p>
        </w:tc>
        <w:tc>
          <w:tcPr>
            <w:tcW w:w="709" w:type="dxa"/>
            <w:tcBorders>
              <w:top w:val="single" w:sz="4" w:space="0" w:color="auto"/>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2,761</w:t>
            </w:r>
          </w:p>
        </w:tc>
        <w:tc>
          <w:tcPr>
            <w:tcW w:w="709" w:type="dxa"/>
            <w:tcBorders>
              <w:top w:val="single" w:sz="4" w:space="0" w:color="auto"/>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2,832</w:t>
            </w:r>
          </w:p>
        </w:tc>
      </w:tr>
      <w:tr w:rsidR="001D0350" w:rsidRPr="00D55DC6" w:rsidTr="000C5765">
        <w:trPr>
          <w:trHeight w:val="357"/>
        </w:trPr>
        <w:tc>
          <w:tcPr>
            <w:tcW w:w="3205" w:type="dxa"/>
            <w:tcBorders>
              <w:top w:val="nil"/>
              <w:left w:val="single" w:sz="4" w:space="0" w:color="auto"/>
              <w:bottom w:val="single" w:sz="4" w:space="0" w:color="auto"/>
              <w:right w:val="single" w:sz="4" w:space="0" w:color="auto"/>
            </w:tcBorders>
            <w:shd w:val="clear" w:color="auto" w:fill="D9D9D9"/>
            <w:hideMark/>
          </w:tcPr>
          <w:p w:rsidR="004C6095" w:rsidRPr="00D55DC6" w:rsidRDefault="004C6095">
            <w:pPr>
              <w:widowControl/>
              <w:spacing w:line="240" w:lineRule="exact"/>
              <w:ind w:leftChars="106" w:left="254"/>
              <w:rPr>
                <w:rFonts w:eastAsia="標楷體"/>
                <w:kern w:val="0"/>
                <w:sz w:val="20"/>
                <w:szCs w:val="20"/>
              </w:rPr>
            </w:pPr>
            <w:r w:rsidRPr="00D55DC6">
              <w:rPr>
                <w:rFonts w:eastAsia="標楷體"/>
                <w:kern w:val="0"/>
                <w:sz w:val="20"/>
                <w:szCs w:val="20"/>
              </w:rPr>
              <w:t>寶來遊客中心</w:t>
            </w:r>
            <w:r w:rsidRPr="00D55DC6">
              <w:rPr>
                <w:rFonts w:eastAsia="標楷體"/>
                <w:kern w:val="0"/>
                <w:sz w:val="20"/>
                <w:szCs w:val="20"/>
              </w:rPr>
              <w:t>OT</w:t>
            </w:r>
          </w:p>
        </w:tc>
        <w:tc>
          <w:tcPr>
            <w:tcW w:w="707"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8"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8"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409</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417</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424</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449</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457</w:t>
            </w:r>
          </w:p>
        </w:tc>
      </w:tr>
      <w:tr w:rsidR="001D0350" w:rsidRPr="00D55DC6" w:rsidTr="000C5765">
        <w:trPr>
          <w:trHeight w:val="330"/>
        </w:trPr>
        <w:tc>
          <w:tcPr>
            <w:tcW w:w="3205" w:type="dxa"/>
            <w:tcBorders>
              <w:top w:val="nil"/>
              <w:left w:val="single" w:sz="4" w:space="0" w:color="auto"/>
              <w:bottom w:val="single" w:sz="4" w:space="0" w:color="auto"/>
              <w:right w:val="single" w:sz="4" w:space="0" w:color="auto"/>
            </w:tcBorders>
            <w:shd w:val="clear" w:color="auto" w:fill="D9D9D9"/>
            <w:hideMark/>
          </w:tcPr>
          <w:p w:rsidR="004C6095" w:rsidRPr="00D55DC6" w:rsidRDefault="004C6095">
            <w:pPr>
              <w:widowControl/>
              <w:spacing w:line="240" w:lineRule="exact"/>
              <w:ind w:leftChars="106" w:left="254"/>
              <w:rPr>
                <w:rFonts w:eastAsia="標楷體"/>
                <w:kern w:val="0"/>
                <w:sz w:val="20"/>
                <w:szCs w:val="20"/>
              </w:rPr>
            </w:pPr>
            <w:r w:rsidRPr="00D55DC6">
              <w:rPr>
                <w:rFonts w:eastAsia="標楷體"/>
                <w:kern w:val="0"/>
                <w:sz w:val="20"/>
                <w:szCs w:val="20"/>
              </w:rPr>
              <w:t>寶來國小旁國有土地</w:t>
            </w:r>
            <w:r w:rsidRPr="00D55DC6">
              <w:rPr>
                <w:rFonts w:eastAsia="標楷體"/>
                <w:kern w:val="0"/>
                <w:sz w:val="20"/>
                <w:szCs w:val="20"/>
              </w:rPr>
              <w:t>BOT</w:t>
            </w:r>
          </w:p>
        </w:tc>
        <w:tc>
          <w:tcPr>
            <w:tcW w:w="707"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8"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100</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100</w:t>
            </w:r>
          </w:p>
        </w:tc>
        <w:tc>
          <w:tcPr>
            <w:tcW w:w="708"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482</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495</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530</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559</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570</w:t>
            </w:r>
          </w:p>
        </w:tc>
      </w:tr>
      <w:tr w:rsidR="001D0350" w:rsidRPr="00D55DC6" w:rsidTr="000C5765">
        <w:trPr>
          <w:trHeight w:val="330"/>
        </w:trPr>
        <w:tc>
          <w:tcPr>
            <w:tcW w:w="3205" w:type="dxa"/>
            <w:tcBorders>
              <w:top w:val="nil"/>
              <w:left w:val="single" w:sz="4" w:space="0" w:color="auto"/>
              <w:bottom w:val="single" w:sz="4" w:space="0" w:color="auto"/>
              <w:right w:val="single" w:sz="4" w:space="0" w:color="auto"/>
            </w:tcBorders>
            <w:shd w:val="clear" w:color="auto" w:fill="D9D9D9"/>
            <w:hideMark/>
          </w:tcPr>
          <w:p w:rsidR="004C6095" w:rsidRPr="00D55DC6" w:rsidRDefault="004C6095">
            <w:pPr>
              <w:widowControl/>
              <w:spacing w:line="240" w:lineRule="exact"/>
              <w:ind w:leftChars="106" w:left="254"/>
              <w:rPr>
                <w:rFonts w:eastAsia="標楷體"/>
                <w:kern w:val="0"/>
                <w:sz w:val="20"/>
                <w:szCs w:val="20"/>
              </w:rPr>
            </w:pPr>
            <w:r w:rsidRPr="00D55DC6">
              <w:rPr>
                <w:rFonts w:eastAsia="標楷體"/>
                <w:kern w:val="0"/>
                <w:sz w:val="20"/>
                <w:szCs w:val="20"/>
              </w:rPr>
              <w:t>地磨兒遊憩區</w:t>
            </w:r>
            <w:r w:rsidRPr="00D55DC6">
              <w:rPr>
                <w:rFonts w:eastAsia="標楷體"/>
                <w:kern w:val="0"/>
                <w:sz w:val="20"/>
                <w:szCs w:val="20"/>
              </w:rPr>
              <w:t>OT</w:t>
            </w:r>
          </w:p>
        </w:tc>
        <w:tc>
          <w:tcPr>
            <w:tcW w:w="707"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8"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149</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156</w:t>
            </w:r>
          </w:p>
        </w:tc>
        <w:tc>
          <w:tcPr>
            <w:tcW w:w="708"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180</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188</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191</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194</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200</w:t>
            </w:r>
          </w:p>
        </w:tc>
      </w:tr>
      <w:tr w:rsidR="001D0350" w:rsidRPr="00D55DC6" w:rsidTr="000C5765">
        <w:trPr>
          <w:trHeight w:val="330"/>
        </w:trPr>
        <w:tc>
          <w:tcPr>
            <w:tcW w:w="3205" w:type="dxa"/>
            <w:tcBorders>
              <w:top w:val="nil"/>
              <w:left w:val="single" w:sz="4" w:space="0" w:color="auto"/>
              <w:bottom w:val="single" w:sz="4" w:space="0" w:color="auto"/>
              <w:right w:val="single" w:sz="4" w:space="0" w:color="auto"/>
            </w:tcBorders>
            <w:shd w:val="clear" w:color="auto" w:fill="D9D9D9"/>
            <w:hideMark/>
          </w:tcPr>
          <w:p w:rsidR="004C6095" w:rsidRPr="00D55DC6" w:rsidRDefault="004C6095">
            <w:pPr>
              <w:widowControl/>
              <w:spacing w:line="240" w:lineRule="exact"/>
              <w:ind w:leftChars="106" w:left="254"/>
              <w:rPr>
                <w:rFonts w:eastAsia="標楷體"/>
                <w:kern w:val="0"/>
                <w:sz w:val="20"/>
                <w:szCs w:val="20"/>
              </w:rPr>
            </w:pPr>
            <w:r w:rsidRPr="00D55DC6">
              <w:rPr>
                <w:rFonts w:eastAsia="標楷體"/>
                <w:kern w:val="0"/>
                <w:sz w:val="20"/>
                <w:szCs w:val="20"/>
              </w:rPr>
              <w:t>德文咖啡廣場</w:t>
            </w:r>
            <w:r w:rsidRPr="00D55DC6">
              <w:rPr>
                <w:rFonts w:eastAsia="標楷體"/>
                <w:kern w:val="0"/>
                <w:sz w:val="20"/>
                <w:szCs w:val="20"/>
              </w:rPr>
              <w:t>OT</w:t>
            </w:r>
          </w:p>
        </w:tc>
        <w:tc>
          <w:tcPr>
            <w:tcW w:w="707"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8"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108</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108</w:t>
            </w:r>
          </w:p>
        </w:tc>
        <w:tc>
          <w:tcPr>
            <w:tcW w:w="708"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109</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115</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116</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117</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124</w:t>
            </w:r>
          </w:p>
        </w:tc>
      </w:tr>
      <w:tr w:rsidR="001D0350" w:rsidRPr="00D55DC6" w:rsidTr="000C5765">
        <w:trPr>
          <w:trHeight w:val="330"/>
        </w:trPr>
        <w:tc>
          <w:tcPr>
            <w:tcW w:w="3205" w:type="dxa"/>
            <w:tcBorders>
              <w:top w:val="nil"/>
              <w:left w:val="single" w:sz="4" w:space="0" w:color="auto"/>
              <w:bottom w:val="single" w:sz="4" w:space="0" w:color="auto"/>
              <w:right w:val="single" w:sz="4" w:space="0" w:color="auto"/>
            </w:tcBorders>
            <w:shd w:val="clear" w:color="auto" w:fill="D9D9D9"/>
            <w:hideMark/>
          </w:tcPr>
          <w:p w:rsidR="004C6095" w:rsidRPr="00D55DC6" w:rsidRDefault="004C6095">
            <w:pPr>
              <w:widowControl/>
              <w:spacing w:line="240" w:lineRule="exact"/>
              <w:ind w:leftChars="106" w:left="254"/>
              <w:rPr>
                <w:rFonts w:eastAsia="標楷體"/>
                <w:kern w:val="0"/>
                <w:sz w:val="20"/>
                <w:szCs w:val="20"/>
              </w:rPr>
            </w:pPr>
            <w:r w:rsidRPr="00D55DC6">
              <w:rPr>
                <w:rFonts w:eastAsia="標楷體"/>
                <w:kern w:val="0"/>
                <w:sz w:val="20"/>
                <w:szCs w:val="20"/>
              </w:rPr>
              <w:t>鳳山市農會茂林會員活動中心</w:t>
            </w:r>
            <w:r w:rsidRPr="00D55DC6">
              <w:rPr>
                <w:rFonts w:eastAsia="標楷體"/>
                <w:kern w:val="0"/>
                <w:sz w:val="20"/>
                <w:szCs w:val="20"/>
              </w:rPr>
              <w:t>ROT</w:t>
            </w:r>
          </w:p>
        </w:tc>
        <w:tc>
          <w:tcPr>
            <w:tcW w:w="707" w:type="dxa"/>
            <w:tcBorders>
              <w:top w:val="nil"/>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8" w:type="dxa"/>
            <w:tcBorders>
              <w:top w:val="single" w:sz="4" w:space="0" w:color="auto"/>
              <w:left w:val="nil"/>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tcPr>
          <w:p w:rsidR="004C6095" w:rsidRPr="00D55DC6" w:rsidRDefault="004C6095">
            <w:pPr>
              <w:spacing w:line="240" w:lineRule="exact"/>
              <w:jc w:val="right"/>
              <w:rPr>
                <w:rFonts w:eastAsia="標楷體"/>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2,891</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2,925</w:t>
            </w:r>
          </w:p>
        </w:tc>
        <w:tc>
          <w:tcPr>
            <w:tcW w:w="708"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2,961</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2,992</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3,038</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3,053</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spacing w:line="240" w:lineRule="exact"/>
              <w:jc w:val="right"/>
              <w:rPr>
                <w:rFonts w:eastAsia="標楷體"/>
                <w:sz w:val="20"/>
                <w:szCs w:val="20"/>
              </w:rPr>
            </w:pPr>
            <w:r w:rsidRPr="00D55DC6">
              <w:rPr>
                <w:rFonts w:eastAsia="標楷體"/>
                <w:sz w:val="20"/>
                <w:szCs w:val="20"/>
              </w:rPr>
              <w:t>1,168</w:t>
            </w:r>
          </w:p>
        </w:tc>
      </w:tr>
      <w:tr w:rsidR="001D0350" w:rsidRPr="00D55DC6" w:rsidTr="000C5765">
        <w:trPr>
          <w:trHeight w:val="330"/>
        </w:trPr>
        <w:tc>
          <w:tcPr>
            <w:tcW w:w="3205"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pPr>
              <w:widowControl/>
              <w:rPr>
                <w:rFonts w:eastAsia="標楷體"/>
                <w:kern w:val="0"/>
                <w:sz w:val="20"/>
                <w:szCs w:val="20"/>
              </w:rPr>
            </w:pPr>
            <w:r w:rsidRPr="00D55DC6">
              <w:rPr>
                <w:rFonts w:eastAsia="標楷體"/>
                <w:kern w:val="0"/>
                <w:sz w:val="20"/>
                <w:szCs w:val="20"/>
              </w:rPr>
              <w:t>三、規劃新增收益計畫</w:t>
            </w:r>
          </w:p>
        </w:tc>
        <w:tc>
          <w:tcPr>
            <w:tcW w:w="70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right"/>
              <w:rPr>
                <w:rFonts w:eastAsia="標楷體"/>
                <w:kern w:val="0"/>
                <w:sz w:val="20"/>
                <w:szCs w:val="20"/>
              </w:rPr>
            </w:pPr>
          </w:p>
        </w:tc>
        <w:tc>
          <w:tcPr>
            <w:tcW w:w="708" w:type="dxa"/>
            <w:tcBorders>
              <w:top w:val="single" w:sz="4" w:space="0" w:color="auto"/>
              <w:left w:val="nil"/>
              <w:bottom w:val="single" w:sz="4" w:space="0" w:color="auto"/>
              <w:right w:val="single" w:sz="4" w:space="0" w:color="auto"/>
            </w:tcBorders>
            <w:shd w:val="clear" w:color="auto" w:fill="DAEEF3"/>
            <w:noWrap/>
            <w:vAlign w:val="center"/>
          </w:tcPr>
          <w:p w:rsidR="004C6095" w:rsidRPr="00D55DC6" w:rsidRDefault="004C6095">
            <w:pPr>
              <w:widowControl/>
              <w:jc w:val="right"/>
              <w:rPr>
                <w:rFonts w:eastAsia="標楷體"/>
                <w:kern w:val="0"/>
                <w:sz w:val="20"/>
                <w:szCs w:val="20"/>
              </w:rPr>
            </w:pPr>
          </w:p>
        </w:tc>
        <w:tc>
          <w:tcPr>
            <w:tcW w:w="709" w:type="dxa"/>
            <w:tcBorders>
              <w:top w:val="single" w:sz="4" w:space="0" w:color="auto"/>
              <w:left w:val="nil"/>
              <w:bottom w:val="single" w:sz="4" w:space="0" w:color="auto"/>
              <w:right w:val="single" w:sz="4" w:space="0" w:color="auto"/>
            </w:tcBorders>
            <w:shd w:val="clear" w:color="auto" w:fill="DAEEF3"/>
            <w:noWrap/>
            <w:vAlign w:val="center"/>
          </w:tcPr>
          <w:p w:rsidR="004C6095" w:rsidRPr="00D55DC6" w:rsidRDefault="004C6095">
            <w:pPr>
              <w:widowControl/>
              <w:jc w:val="right"/>
              <w:rPr>
                <w:rFonts w:eastAsia="標楷體"/>
                <w:kern w:val="0"/>
                <w:sz w:val="20"/>
                <w:szCs w:val="20"/>
              </w:rPr>
            </w:pPr>
          </w:p>
        </w:tc>
        <w:tc>
          <w:tcPr>
            <w:tcW w:w="709" w:type="dxa"/>
            <w:tcBorders>
              <w:top w:val="single" w:sz="4" w:space="0" w:color="auto"/>
              <w:left w:val="nil"/>
              <w:bottom w:val="single" w:sz="4" w:space="0" w:color="auto"/>
              <w:right w:val="single" w:sz="4" w:space="0" w:color="auto"/>
            </w:tcBorders>
            <w:shd w:val="clear" w:color="auto" w:fill="DAEEF3"/>
            <w:noWrap/>
            <w:vAlign w:val="center"/>
          </w:tcPr>
          <w:p w:rsidR="004C6095" w:rsidRPr="00D55DC6" w:rsidRDefault="004C6095">
            <w:pPr>
              <w:widowControl/>
              <w:jc w:val="right"/>
              <w:rPr>
                <w:rFonts w:eastAsia="標楷體"/>
                <w:kern w:val="0"/>
                <w:sz w:val="20"/>
                <w:szCs w:val="20"/>
              </w:rPr>
            </w:pPr>
          </w:p>
        </w:tc>
        <w:tc>
          <w:tcPr>
            <w:tcW w:w="709"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right"/>
              <w:rPr>
                <w:rFonts w:eastAsia="標楷體"/>
                <w:kern w:val="0"/>
                <w:sz w:val="20"/>
                <w:szCs w:val="20"/>
              </w:rPr>
            </w:pPr>
          </w:p>
        </w:tc>
        <w:tc>
          <w:tcPr>
            <w:tcW w:w="708"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right"/>
              <w:rPr>
                <w:rFonts w:eastAsia="標楷體"/>
                <w:kern w:val="0"/>
                <w:sz w:val="20"/>
                <w:szCs w:val="20"/>
              </w:rPr>
            </w:pPr>
          </w:p>
        </w:tc>
        <w:tc>
          <w:tcPr>
            <w:tcW w:w="709"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right"/>
              <w:rPr>
                <w:rFonts w:eastAsia="標楷體"/>
                <w:kern w:val="0"/>
                <w:sz w:val="20"/>
                <w:szCs w:val="20"/>
              </w:rPr>
            </w:pPr>
          </w:p>
        </w:tc>
        <w:tc>
          <w:tcPr>
            <w:tcW w:w="709"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right"/>
              <w:rPr>
                <w:rFonts w:eastAsia="標楷體"/>
                <w:kern w:val="0"/>
                <w:sz w:val="20"/>
                <w:szCs w:val="20"/>
              </w:rPr>
            </w:pPr>
          </w:p>
        </w:tc>
        <w:tc>
          <w:tcPr>
            <w:tcW w:w="709"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right"/>
              <w:rPr>
                <w:rFonts w:eastAsia="標楷體"/>
                <w:kern w:val="0"/>
                <w:sz w:val="20"/>
                <w:szCs w:val="20"/>
              </w:rPr>
            </w:pPr>
          </w:p>
        </w:tc>
        <w:tc>
          <w:tcPr>
            <w:tcW w:w="709"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right"/>
              <w:rPr>
                <w:rFonts w:eastAsia="標楷體"/>
                <w:kern w:val="0"/>
                <w:sz w:val="20"/>
                <w:szCs w:val="20"/>
              </w:rPr>
            </w:pPr>
          </w:p>
        </w:tc>
      </w:tr>
      <w:tr w:rsidR="001D0350" w:rsidRPr="00D55DC6" w:rsidTr="000C5765">
        <w:trPr>
          <w:trHeight w:val="170"/>
        </w:trPr>
        <w:tc>
          <w:tcPr>
            <w:tcW w:w="3205"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rsidP="007E2055">
            <w:pPr>
              <w:widowControl/>
              <w:ind w:leftChars="106" w:left="254"/>
              <w:rPr>
                <w:rFonts w:eastAsia="標楷體"/>
                <w:kern w:val="0"/>
                <w:sz w:val="20"/>
                <w:szCs w:val="20"/>
              </w:rPr>
            </w:pPr>
            <w:r w:rsidRPr="00D55DC6">
              <w:rPr>
                <w:rFonts w:eastAsia="標楷體"/>
                <w:kern w:val="0"/>
                <w:sz w:val="20"/>
                <w:szCs w:val="20"/>
              </w:rPr>
              <w:t>賽嘉旅館</w:t>
            </w:r>
            <w:r w:rsidRPr="00D55DC6">
              <w:rPr>
                <w:rFonts w:eastAsia="標楷體"/>
                <w:kern w:val="0"/>
                <w:sz w:val="20"/>
                <w:szCs w:val="20"/>
              </w:rPr>
              <w:t>BOO</w:t>
            </w:r>
          </w:p>
        </w:tc>
        <w:tc>
          <w:tcPr>
            <w:tcW w:w="707" w:type="dxa"/>
            <w:tcBorders>
              <w:top w:val="nil"/>
              <w:left w:val="nil"/>
              <w:bottom w:val="single" w:sz="4" w:space="0" w:color="auto"/>
              <w:right w:val="single" w:sz="4" w:space="0" w:color="auto"/>
            </w:tcBorders>
            <w:noWrap/>
            <w:vAlign w:val="center"/>
          </w:tcPr>
          <w:p w:rsidR="004C6095" w:rsidRPr="00D55DC6" w:rsidRDefault="004C6095">
            <w:pPr>
              <w:jc w:val="right"/>
              <w:rPr>
                <w:rFonts w:eastAsia="標楷體"/>
                <w:sz w:val="20"/>
                <w:szCs w:val="20"/>
              </w:rPr>
            </w:pPr>
          </w:p>
        </w:tc>
        <w:tc>
          <w:tcPr>
            <w:tcW w:w="708" w:type="dxa"/>
            <w:tcBorders>
              <w:top w:val="nil"/>
              <w:left w:val="nil"/>
              <w:bottom w:val="single" w:sz="4" w:space="0" w:color="auto"/>
              <w:right w:val="single" w:sz="4" w:space="0" w:color="auto"/>
            </w:tcBorders>
            <w:noWrap/>
            <w:vAlign w:val="center"/>
          </w:tcPr>
          <w:p w:rsidR="004C6095" w:rsidRPr="00D55DC6" w:rsidRDefault="004C6095">
            <w:pPr>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tcPr>
          <w:p w:rsidR="004C6095" w:rsidRPr="00D55DC6" w:rsidRDefault="004C6095">
            <w:pPr>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tcPr>
          <w:p w:rsidR="004C6095" w:rsidRPr="00D55DC6" w:rsidRDefault="004C6095">
            <w:pPr>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tcPr>
          <w:p w:rsidR="004C6095" w:rsidRPr="00D55DC6" w:rsidRDefault="004C6095">
            <w:pPr>
              <w:jc w:val="right"/>
              <w:rPr>
                <w:rFonts w:eastAsia="標楷體"/>
                <w:sz w:val="20"/>
                <w:szCs w:val="20"/>
              </w:rPr>
            </w:pPr>
          </w:p>
        </w:tc>
        <w:tc>
          <w:tcPr>
            <w:tcW w:w="708" w:type="dxa"/>
            <w:tcBorders>
              <w:top w:val="nil"/>
              <w:left w:val="nil"/>
              <w:bottom w:val="single" w:sz="4" w:space="0" w:color="auto"/>
              <w:right w:val="single" w:sz="4" w:space="0" w:color="auto"/>
            </w:tcBorders>
            <w:noWrap/>
            <w:vAlign w:val="center"/>
          </w:tcPr>
          <w:p w:rsidR="004C6095" w:rsidRPr="00D55DC6" w:rsidRDefault="004C6095">
            <w:pPr>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tcPr>
          <w:p w:rsidR="004C6095" w:rsidRPr="00D55DC6" w:rsidRDefault="004C6095">
            <w:pPr>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tcPr>
          <w:p w:rsidR="004C6095" w:rsidRPr="00D55DC6" w:rsidRDefault="004C6095">
            <w:pPr>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2,000</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548</w:t>
            </w:r>
          </w:p>
        </w:tc>
      </w:tr>
      <w:tr w:rsidR="001D0350" w:rsidRPr="00D55DC6" w:rsidTr="000C5765">
        <w:trPr>
          <w:trHeight w:val="170"/>
        </w:trPr>
        <w:tc>
          <w:tcPr>
            <w:tcW w:w="3205"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rsidP="007E2055">
            <w:pPr>
              <w:widowControl/>
              <w:ind w:leftChars="106" w:left="254"/>
              <w:rPr>
                <w:rFonts w:eastAsia="標楷體"/>
                <w:kern w:val="0"/>
                <w:sz w:val="20"/>
                <w:szCs w:val="20"/>
              </w:rPr>
            </w:pPr>
            <w:r w:rsidRPr="00D55DC6">
              <w:rPr>
                <w:rFonts w:eastAsia="標楷體"/>
                <w:kern w:val="0"/>
                <w:sz w:val="20"/>
                <w:szCs w:val="20"/>
              </w:rPr>
              <w:t>新威旅館</w:t>
            </w:r>
            <w:r w:rsidRPr="00D55DC6">
              <w:rPr>
                <w:rFonts w:eastAsia="標楷體"/>
                <w:kern w:val="0"/>
                <w:sz w:val="20"/>
                <w:szCs w:val="20"/>
              </w:rPr>
              <w:t>BOO</w:t>
            </w:r>
          </w:p>
        </w:tc>
        <w:tc>
          <w:tcPr>
            <w:tcW w:w="707" w:type="dxa"/>
            <w:tcBorders>
              <w:top w:val="nil"/>
              <w:left w:val="nil"/>
              <w:bottom w:val="single" w:sz="4" w:space="0" w:color="auto"/>
              <w:right w:val="single" w:sz="4" w:space="0" w:color="auto"/>
            </w:tcBorders>
            <w:noWrap/>
            <w:vAlign w:val="center"/>
          </w:tcPr>
          <w:p w:rsidR="004C6095" w:rsidRPr="00D55DC6" w:rsidRDefault="004C6095">
            <w:pPr>
              <w:jc w:val="right"/>
              <w:rPr>
                <w:rFonts w:eastAsia="標楷體"/>
                <w:sz w:val="20"/>
                <w:szCs w:val="20"/>
              </w:rPr>
            </w:pPr>
          </w:p>
        </w:tc>
        <w:tc>
          <w:tcPr>
            <w:tcW w:w="708" w:type="dxa"/>
            <w:tcBorders>
              <w:top w:val="nil"/>
              <w:left w:val="nil"/>
              <w:bottom w:val="single" w:sz="4" w:space="0" w:color="auto"/>
              <w:right w:val="single" w:sz="4" w:space="0" w:color="auto"/>
            </w:tcBorders>
            <w:noWrap/>
            <w:vAlign w:val="center"/>
          </w:tcPr>
          <w:p w:rsidR="004C6095" w:rsidRPr="00D55DC6" w:rsidRDefault="004C6095">
            <w:pPr>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tcPr>
          <w:p w:rsidR="004C6095" w:rsidRPr="00D55DC6" w:rsidRDefault="004C6095">
            <w:pPr>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tcPr>
          <w:p w:rsidR="004C6095" w:rsidRPr="00D55DC6" w:rsidRDefault="004C6095">
            <w:pPr>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tcPr>
          <w:p w:rsidR="004C6095" w:rsidRPr="00D55DC6" w:rsidRDefault="004C6095">
            <w:pPr>
              <w:jc w:val="right"/>
              <w:rPr>
                <w:rFonts w:eastAsia="標楷體"/>
                <w:sz w:val="20"/>
                <w:szCs w:val="20"/>
              </w:rPr>
            </w:pPr>
          </w:p>
        </w:tc>
        <w:tc>
          <w:tcPr>
            <w:tcW w:w="708" w:type="dxa"/>
            <w:tcBorders>
              <w:top w:val="nil"/>
              <w:left w:val="nil"/>
              <w:bottom w:val="single" w:sz="4" w:space="0" w:color="auto"/>
              <w:right w:val="single" w:sz="4" w:space="0" w:color="auto"/>
            </w:tcBorders>
            <w:noWrap/>
            <w:vAlign w:val="center"/>
          </w:tcPr>
          <w:p w:rsidR="004C6095" w:rsidRPr="00D55DC6" w:rsidRDefault="004C6095">
            <w:pPr>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tcPr>
          <w:p w:rsidR="004C6095" w:rsidRPr="00D55DC6" w:rsidRDefault="004C6095">
            <w:pPr>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tcPr>
          <w:p w:rsidR="004C6095" w:rsidRPr="00D55DC6" w:rsidRDefault="004C6095">
            <w:pPr>
              <w:jc w:val="right"/>
              <w:rPr>
                <w:rFonts w:eastAsia="標楷體"/>
                <w:sz w:val="20"/>
                <w:szCs w:val="20"/>
              </w:rPr>
            </w:pPr>
          </w:p>
        </w:tc>
        <w:tc>
          <w:tcPr>
            <w:tcW w:w="709" w:type="dxa"/>
            <w:tcBorders>
              <w:top w:val="nil"/>
              <w:left w:val="nil"/>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2,500</w:t>
            </w:r>
          </w:p>
        </w:tc>
        <w:tc>
          <w:tcPr>
            <w:tcW w:w="709" w:type="dxa"/>
            <w:tcBorders>
              <w:top w:val="nil"/>
              <w:left w:val="nil"/>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684</w:t>
            </w:r>
          </w:p>
        </w:tc>
      </w:tr>
      <w:tr w:rsidR="001D0350" w:rsidRPr="00D55DC6" w:rsidTr="000C5765">
        <w:trPr>
          <w:trHeight w:val="170"/>
        </w:trPr>
        <w:tc>
          <w:tcPr>
            <w:tcW w:w="3205"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rsidP="007E2055">
            <w:pPr>
              <w:widowControl/>
              <w:ind w:leftChars="106" w:left="254"/>
              <w:rPr>
                <w:rFonts w:eastAsia="標楷體"/>
                <w:kern w:val="0"/>
                <w:sz w:val="20"/>
                <w:szCs w:val="20"/>
              </w:rPr>
            </w:pPr>
            <w:r w:rsidRPr="00D55DC6">
              <w:rPr>
                <w:rFonts w:eastAsia="標楷體"/>
                <w:kern w:val="0"/>
                <w:sz w:val="20"/>
                <w:szCs w:val="20"/>
              </w:rPr>
              <w:t>雙年賞蝶門票</w:t>
            </w:r>
          </w:p>
        </w:tc>
        <w:tc>
          <w:tcPr>
            <w:tcW w:w="707" w:type="dxa"/>
            <w:tcBorders>
              <w:top w:val="nil"/>
              <w:left w:val="nil"/>
              <w:bottom w:val="single" w:sz="4" w:space="0" w:color="auto"/>
              <w:right w:val="single" w:sz="4" w:space="0" w:color="auto"/>
            </w:tcBorders>
            <w:noWrap/>
            <w:vAlign w:val="center"/>
          </w:tcPr>
          <w:p w:rsidR="004C6095" w:rsidRPr="00D55DC6" w:rsidRDefault="004C6095">
            <w:pPr>
              <w:jc w:val="right"/>
              <w:rPr>
                <w:rFonts w:eastAsia="標楷體"/>
                <w:sz w:val="20"/>
                <w:szCs w:val="20"/>
              </w:rPr>
            </w:pPr>
          </w:p>
        </w:tc>
        <w:tc>
          <w:tcPr>
            <w:tcW w:w="708" w:type="dxa"/>
            <w:tcBorders>
              <w:top w:val="nil"/>
              <w:left w:val="nil"/>
              <w:bottom w:val="single" w:sz="4" w:space="0" w:color="auto"/>
              <w:right w:val="single" w:sz="4" w:space="0" w:color="auto"/>
            </w:tcBorders>
            <w:noWrap/>
            <w:vAlign w:val="center"/>
          </w:tcPr>
          <w:p w:rsidR="004C6095" w:rsidRPr="00D55DC6" w:rsidRDefault="004C6095">
            <w:pPr>
              <w:jc w:val="right"/>
              <w:rPr>
                <w:rFonts w:eastAsia="標楷體"/>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4,100</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4,182</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4,266</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4,351</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4,438</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4,527</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4,617</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4,710</w:t>
            </w:r>
          </w:p>
        </w:tc>
      </w:tr>
      <w:tr w:rsidR="001D0350" w:rsidRPr="00D55DC6" w:rsidTr="000C5765">
        <w:trPr>
          <w:trHeight w:val="170"/>
        </w:trPr>
        <w:tc>
          <w:tcPr>
            <w:tcW w:w="3205"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rsidP="007E2055">
            <w:pPr>
              <w:widowControl/>
              <w:ind w:leftChars="106" w:left="254"/>
              <w:rPr>
                <w:rFonts w:eastAsia="標楷體"/>
                <w:kern w:val="0"/>
                <w:sz w:val="20"/>
                <w:szCs w:val="20"/>
              </w:rPr>
            </w:pPr>
            <w:r w:rsidRPr="00D55DC6">
              <w:rPr>
                <w:rFonts w:eastAsia="標楷體"/>
                <w:kern w:val="0"/>
                <w:sz w:val="20"/>
                <w:szCs w:val="20"/>
              </w:rPr>
              <w:t>泛舟服務區</w:t>
            </w:r>
          </w:p>
        </w:tc>
        <w:tc>
          <w:tcPr>
            <w:tcW w:w="707" w:type="dxa"/>
            <w:tcBorders>
              <w:top w:val="nil"/>
              <w:left w:val="nil"/>
              <w:bottom w:val="single" w:sz="4" w:space="0" w:color="auto"/>
              <w:right w:val="single" w:sz="4" w:space="0" w:color="auto"/>
            </w:tcBorders>
            <w:noWrap/>
            <w:vAlign w:val="center"/>
          </w:tcPr>
          <w:p w:rsidR="004C6095" w:rsidRPr="00D55DC6" w:rsidRDefault="004C6095">
            <w:pPr>
              <w:jc w:val="right"/>
              <w:rPr>
                <w:rFonts w:eastAsia="標楷體"/>
                <w:sz w:val="20"/>
                <w:szCs w:val="20"/>
              </w:rPr>
            </w:pPr>
          </w:p>
        </w:tc>
        <w:tc>
          <w:tcPr>
            <w:tcW w:w="708" w:type="dxa"/>
            <w:tcBorders>
              <w:top w:val="nil"/>
              <w:left w:val="nil"/>
              <w:bottom w:val="single" w:sz="4" w:space="0" w:color="auto"/>
              <w:right w:val="single" w:sz="4" w:space="0" w:color="auto"/>
            </w:tcBorders>
            <w:noWrap/>
            <w:vAlign w:val="center"/>
          </w:tcPr>
          <w:p w:rsidR="004C6095" w:rsidRPr="00D55DC6" w:rsidRDefault="004C6095">
            <w:pPr>
              <w:jc w:val="right"/>
              <w:rPr>
                <w:rFonts w:eastAsia="標楷體"/>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2,500</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2,550</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2,601</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2,653</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2,706</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2,760</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2,815</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2,872</w:t>
            </w:r>
          </w:p>
        </w:tc>
      </w:tr>
      <w:tr w:rsidR="001D0350" w:rsidRPr="00D55DC6" w:rsidTr="000C5765">
        <w:trPr>
          <w:trHeight w:val="170"/>
        </w:trPr>
        <w:tc>
          <w:tcPr>
            <w:tcW w:w="3205"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rsidP="007E2055">
            <w:pPr>
              <w:widowControl/>
              <w:ind w:leftChars="106" w:left="254"/>
              <w:rPr>
                <w:rFonts w:eastAsia="標楷體"/>
                <w:kern w:val="0"/>
                <w:sz w:val="20"/>
                <w:szCs w:val="20"/>
              </w:rPr>
            </w:pPr>
            <w:r w:rsidRPr="00D55DC6">
              <w:rPr>
                <w:rFonts w:eastAsia="標楷體"/>
                <w:kern w:val="0"/>
                <w:sz w:val="20"/>
                <w:szCs w:val="20"/>
              </w:rPr>
              <w:t>多納高吊橋</w:t>
            </w:r>
          </w:p>
        </w:tc>
        <w:tc>
          <w:tcPr>
            <w:tcW w:w="707" w:type="dxa"/>
            <w:tcBorders>
              <w:top w:val="nil"/>
              <w:left w:val="nil"/>
              <w:bottom w:val="single" w:sz="4" w:space="0" w:color="auto"/>
              <w:right w:val="single" w:sz="4" w:space="0" w:color="auto"/>
            </w:tcBorders>
            <w:noWrap/>
            <w:vAlign w:val="center"/>
          </w:tcPr>
          <w:p w:rsidR="004C6095" w:rsidRPr="00D55DC6" w:rsidRDefault="004C6095">
            <w:pPr>
              <w:jc w:val="right"/>
              <w:rPr>
                <w:rFonts w:eastAsia="標楷體"/>
                <w:sz w:val="20"/>
                <w:szCs w:val="20"/>
              </w:rPr>
            </w:pPr>
          </w:p>
        </w:tc>
        <w:tc>
          <w:tcPr>
            <w:tcW w:w="708" w:type="dxa"/>
            <w:tcBorders>
              <w:top w:val="nil"/>
              <w:left w:val="nil"/>
              <w:bottom w:val="single" w:sz="4" w:space="0" w:color="auto"/>
              <w:right w:val="single" w:sz="4" w:space="0" w:color="auto"/>
            </w:tcBorders>
            <w:noWrap/>
            <w:vAlign w:val="center"/>
          </w:tcPr>
          <w:p w:rsidR="004C6095" w:rsidRPr="00D55DC6" w:rsidRDefault="004C6095">
            <w:pPr>
              <w:jc w:val="right"/>
              <w:rPr>
                <w:rFonts w:eastAsia="標楷體"/>
                <w:sz w:val="20"/>
                <w:szCs w:val="20"/>
              </w:rPr>
            </w:pP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800</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816</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832</w:t>
            </w:r>
          </w:p>
        </w:tc>
        <w:tc>
          <w:tcPr>
            <w:tcW w:w="708"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849</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866</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883</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901</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919</w:t>
            </w:r>
          </w:p>
        </w:tc>
      </w:tr>
      <w:tr w:rsidR="001D0350" w:rsidRPr="00D55DC6" w:rsidTr="000C5765">
        <w:trPr>
          <w:trHeight w:val="170"/>
        </w:trPr>
        <w:tc>
          <w:tcPr>
            <w:tcW w:w="3205" w:type="dxa"/>
            <w:tcBorders>
              <w:top w:val="nil"/>
              <w:left w:val="single" w:sz="4" w:space="0" w:color="auto"/>
              <w:bottom w:val="double" w:sz="6" w:space="0" w:color="auto"/>
              <w:right w:val="single" w:sz="4" w:space="0" w:color="auto"/>
            </w:tcBorders>
            <w:shd w:val="clear" w:color="auto" w:fill="D9D9D9"/>
            <w:noWrap/>
            <w:vAlign w:val="center"/>
            <w:hideMark/>
          </w:tcPr>
          <w:p w:rsidR="004C6095" w:rsidRPr="00D55DC6" w:rsidRDefault="004C6095">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合</w:t>
            </w:r>
            <w:r w:rsidRPr="00D55DC6">
              <w:rPr>
                <w:rFonts w:eastAsia="標楷體"/>
                <w:kern w:val="0"/>
                <w:sz w:val="20"/>
                <w:szCs w:val="20"/>
              </w:rPr>
              <w:t xml:space="preserve">          </w:t>
            </w:r>
            <w:r w:rsidRPr="00D55DC6">
              <w:rPr>
                <w:rFonts w:eastAsia="標楷體"/>
                <w:kern w:val="0"/>
                <w:sz w:val="20"/>
                <w:szCs w:val="20"/>
              </w:rPr>
              <w:t>計</w:t>
            </w:r>
          </w:p>
        </w:tc>
        <w:tc>
          <w:tcPr>
            <w:tcW w:w="707" w:type="dxa"/>
            <w:tcBorders>
              <w:top w:val="nil"/>
              <w:left w:val="nil"/>
              <w:bottom w:val="double" w:sz="6" w:space="0" w:color="auto"/>
              <w:right w:val="single" w:sz="4" w:space="0" w:color="auto"/>
            </w:tcBorders>
            <w:shd w:val="clear" w:color="auto" w:fill="E4DFEC"/>
            <w:noWrap/>
            <w:vAlign w:val="center"/>
            <w:hideMark/>
          </w:tcPr>
          <w:p w:rsidR="004C6095" w:rsidRPr="00D55DC6" w:rsidRDefault="004C6095">
            <w:pPr>
              <w:jc w:val="right"/>
              <w:rPr>
                <w:rFonts w:eastAsia="標楷體"/>
                <w:sz w:val="20"/>
                <w:szCs w:val="20"/>
              </w:rPr>
            </w:pPr>
            <w:r w:rsidRPr="00D55DC6">
              <w:rPr>
                <w:rFonts w:eastAsia="標楷體"/>
                <w:sz w:val="20"/>
                <w:szCs w:val="20"/>
              </w:rPr>
              <w:t>202</w:t>
            </w:r>
          </w:p>
        </w:tc>
        <w:tc>
          <w:tcPr>
            <w:tcW w:w="708" w:type="dxa"/>
            <w:tcBorders>
              <w:top w:val="nil"/>
              <w:left w:val="nil"/>
              <w:bottom w:val="double" w:sz="6" w:space="0" w:color="auto"/>
              <w:right w:val="single" w:sz="4" w:space="0" w:color="auto"/>
            </w:tcBorders>
            <w:shd w:val="clear" w:color="auto" w:fill="E4DFEC"/>
            <w:noWrap/>
            <w:vAlign w:val="center"/>
            <w:hideMark/>
          </w:tcPr>
          <w:p w:rsidR="004C6095" w:rsidRPr="00D55DC6" w:rsidRDefault="004C6095">
            <w:pPr>
              <w:jc w:val="right"/>
              <w:rPr>
                <w:rFonts w:eastAsia="標楷體"/>
                <w:sz w:val="20"/>
                <w:szCs w:val="20"/>
              </w:rPr>
            </w:pPr>
            <w:r w:rsidRPr="00D55DC6">
              <w:rPr>
                <w:rFonts w:eastAsia="標楷體"/>
                <w:sz w:val="20"/>
                <w:szCs w:val="20"/>
              </w:rPr>
              <w:t>608</w:t>
            </w:r>
          </w:p>
        </w:tc>
        <w:tc>
          <w:tcPr>
            <w:tcW w:w="709" w:type="dxa"/>
            <w:tcBorders>
              <w:top w:val="single" w:sz="4" w:space="0" w:color="auto"/>
              <w:left w:val="nil"/>
              <w:bottom w:val="double" w:sz="6" w:space="0" w:color="auto"/>
              <w:right w:val="single" w:sz="4" w:space="0" w:color="auto"/>
            </w:tcBorders>
            <w:shd w:val="clear" w:color="auto" w:fill="E4DFEC"/>
            <w:noWrap/>
            <w:vAlign w:val="center"/>
            <w:hideMark/>
          </w:tcPr>
          <w:p w:rsidR="004C6095" w:rsidRPr="00D55DC6" w:rsidRDefault="004C6095">
            <w:pPr>
              <w:jc w:val="right"/>
              <w:rPr>
                <w:rFonts w:eastAsia="標楷體"/>
                <w:sz w:val="20"/>
                <w:szCs w:val="20"/>
              </w:rPr>
            </w:pPr>
            <w:r w:rsidRPr="00D55DC6">
              <w:rPr>
                <w:rFonts w:eastAsia="標楷體"/>
                <w:sz w:val="20"/>
                <w:szCs w:val="20"/>
              </w:rPr>
              <w:t>8,119</w:t>
            </w:r>
          </w:p>
        </w:tc>
        <w:tc>
          <w:tcPr>
            <w:tcW w:w="709" w:type="dxa"/>
            <w:tcBorders>
              <w:top w:val="single" w:sz="4" w:space="0" w:color="auto"/>
              <w:left w:val="nil"/>
              <w:bottom w:val="double" w:sz="6" w:space="0" w:color="auto"/>
              <w:right w:val="single" w:sz="4" w:space="0" w:color="auto"/>
            </w:tcBorders>
            <w:shd w:val="clear" w:color="auto" w:fill="E4DFEC"/>
            <w:noWrap/>
            <w:vAlign w:val="center"/>
            <w:hideMark/>
          </w:tcPr>
          <w:p w:rsidR="004C6095" w:rsidRPr="00D55DC6" w:rsidRDefault="004C6095">
            <w:pPr>
              <w:jc w:val="right"/>
              <w:rPr>
                <w:rFonts w:eastAsia="標楷體"/>
                <w:sz w:val="20"/>
                <w:szCs w:val="20"/>
              </w:rPr>
            </w:pPr>
            <w:r w:rsidRPr="00D55DC6">
              <w:rPr>
                <w:rFonts w:eastAsia="標楷體"/>
                <w:sz w:val="20"/>
                <w:szCs w:val="20"/>
              </w:rPr>
              <w:t>16,063</w:t>
            </w:r>
          </w:p>
        </w:tc>
        <w:tc>
          <w:tcPr>
            <w:tcW w:w="709" w:type="dxa"/>
            <w:tcBorders>
              <w:top w:val="single" w:sz="4" w:space="0" w:color="auto"/>
              <w:left w:val="nil"/>
              <w:bottom w:val="double" w:sz="6" w:space="0" w:color="auto"/>
              <w:right w:val="single" w:sz="4" w:space="0" w:color="auto"/>
            </w:tcBorders>
            <w:shd w:val="clear" w:color="auto" w:fill="E4DFEC"/>
            <w:noWrap/>
            <w:vAlign w:val="center"/>
            <w:hideMark/>
          </w:tcPr>
          <w:p w:rsidR="004C6095" w:rsidRPr="00D55DC6" w:rsidRDefault="004C6095">
            <w:pPr>
              <w:jc w:val="right"/>
              <w:rPr>
                <w:rFonts w:eastAsia="標楷體"/>
                <w:sz w:val="20"/>
                <w:szCs w:val="20"/>
              </w:rPr>
            </w:pPr>
            <w:r w:rsidRPr="00D55DC6">
              <w:rPr>
                <w:rFonts w:eastAsia="標楷體"/>
                <w:sz w:val="20"/>
                <w:szCs w:val="20"/>
              </w:rPr>
              <w:t>16,821</w:t>
            </w:r>
          </w:p>
        </w:tc>
        <w:tc>
          <w:tcPr>
            <w:tcW w:w="708" w:type="dxa"/>
            <w:tcBorders>
              <w:top w:val="single" w:sz="4" w:space="0" w:color="auto"/>
              <w:left w:val="nil"/>
              <w:bottom w:val="double" w:sz="6" w:space="0" w:color="auto"/>
              <w:right w:val="single" w:sz="4" w:space="0" w:color="auto"/>
            </w:tcBorders>
            <w:shd w:val="clear" w:color="auto" w:fill="E4DFEC"/>
            <w:noWrap/>
            <w:vAlign w:val="center"/>
            <w:hideMark/>
          </w:tcPr>
          <w:p w:rsidR="004C6095" w:rsidRPr="00D55DC6" w:rsidRDefault="004C6095">
            <w:pPr>
              <w:jc w:val="right"/>
              <w:rPr>
                <w:rFonts w:eastAsia="標楷體"/>
                <w:sz w:val="20"/>
                <w:szCs w:val="20"/>
              </w:rPr>
            </w:pPr>
            <w:r w:rsidRPr="00D55DC6">
              <w:rPr>
                <w:rFonts w:eastAsia="標楷體"/>
                <w:sz w:val="20"/>
                <w:szCs w:val="20"/>
              </w:rPr>
              <w:t>18,207</w:t>
            </w:r>
          </w:p>
        </w:tc>
        <w:tc>
          <w:tcPr>
            <w:tcW w:w="709" w:type="dxa"/>
            <w:tcBorders>
              <w:top w:val="single" w:sz="4" w:space="0" w:color="auto"/>
              <w:left w:val="nil"/>
              <w:bottom w:val="double" w:sz="6" w:space="0" w:color="auto"/>
              <w:right w:val="single" w:sz="4" w:space="0" w:color="auto"/>
            </w:tcBorders>
            <w:shd w:val="clear" w:color="auto" w:fill="E4DFEC"/>
            <w:noWrap/>
            <w:vAlign w:val="center"/>
            <w:hideMark/>
          </w:tcPr>
          <w:p w:rsidR="004C6095" w:rsidRPr="00D55DC6" w:rsidRDefault="004C6095">
            <w:pPr>
              <w:jc w:val="right"/>
              <w:rPr>
                <w:rFonts w:eastAsia="標楷體"/>
                <w:sz w:val="20"/>
                <w:szCs w:val="20"/>
              </w:rPr>
            </w:pPr>
            <w:r w:rsidRPr="00D55DC6">
              <w:rPr>
                <w:rFonts w:eastAsia="標楷體"/>
                <w:sz w:val="20"/>
                <w:szCs w:val="20"/>
              </w:rPr>
              <w:t>21,319</w:t>
            </w:r>
          </w:p>
        </w:tc>
        <w:tc>
          <w:tcPr>
            <w:tcW w:w="709" w:type="dxa"/>
            <w:tcBorders>
              <w:top w:val="single" w:sz="4" w:space="0" w:color="auto"/>
              <w:left w:val="nil"/>
              <w:bottom w:val="double" w:sz="6" w:space="0" w:color="auto"/>
              <w:right w:val="single" w:sz="4" w:space="0" w:color="auto"/>
            </w:tcBorders>
            <w:shd w:val="clear" w:color="auto" w:fill="E4DFEC"/>
            <w:noWrap/>
            <w:vAlign w:val="center"/>
            <w:hideMark/>
          </w:tcPr>
          <w:p w:rsidR="004C6095" w:rsidRPr="00D55DC6" w:rsidRDefault="004C6095">
            <w:pPr>
              <w:jc w:val="right"/>
              <w:rPr>
                <w:rFonts w:eastAsia="標楷體"/>
                <w:sz w:val="20"/>
                <w:szCs w:val="20"/>
              </w:rPr>
            </w:pPr>
            <w:r w:rsidRPr="00D55DC6">
              <w:rPr>
                <w:rFonts w:eastAsia="標楷體"/>
                <w:sz w:val="20"/>
                <w:szCs w:val="20"/>
              </w:rPr>
              <w:t>21,716</w:t>
            </w:r>
          </w:p>
        </w:tc>
        <w:tc>
          <w:tcPr>
            <w:tcW w:w="709" w:type="dxa"/>
            <w:tcBorders>
              <w:top w:val="single" w:sz="4" w:space="0" w:color="auto"/>
              <w:left w:val="nil"/>
              <w:bottom w:val="double" w:sz="6" w:space="0" w:color="auto"/>
              <w:right w:val="single" w:sz="4" w:space="0" w:color="auto"/>
            </w:tcBorders>
            <w:shd w:val="clear" w:color="auto" w:fill="E4DFEC"/>
            <w:noWrap/>
            <w:vAlign w:val="center"/>
            <w:hideMark/>
          </w:tcPr>
          <w:p w:rsidR="004C6095" w:rsidRPr="00D55DC6" w:rsidRDefault="004C6095">
            <w:pPr>
              <w:jc w:val="right"/>
              <w:rPr>
                <w:rFonts w:eastAsia="標楷體"/>
                <w:sz w:val="20"/>
                <w:szCs w:val="20"/>
              </w:rPr>
            </w:pPr>
            <w:r w:rsidRPr="00D55DC6">
              <w:rPr>
                <w:rFonts w:eastAsia="標楷體"/>
                <w:sz w:val="20"/>
                <w:szCs w:val="20"/>
              </w:rPr>
              <w:t>29,248</w:t>
            </w:r>
          </w:p>
        </w:tc>
        <w:tc>
          <w:tcPr>
            <w:tcW w:w="709" w:type="dxa"/>
            <w:tcBorders>
              <w:top w:val="single" w:sz="4" w:space="0" w:color="auto"/>
              <w:left w:val="nil"/>
              <w:bottom w:val="double" w:sz="6" w:space="0" w:color="auto"/>
              <w:right w:val="single" w:sz="4" w:space="0" w:color="auto"/>
            </w:tcBorders>
            <w:shd w:val="clear" w:color="auto" w:fill="E4DFEC"/>
            <w:noWrap/>
            <w:vAlign w:val="center"/>
            <w:hideMark/>
          </w:tcPr>
          <w:p w:rsidR="004C6095" w:rsidRPr="00D55DC6" w:rsidRDefault="004C6095">
            <w:pPr>
              <w:jc w:val="right"/>
              <w:rPr>
                <w:rFonts w:eastAsia="標楷體"/>
                <w:sz w:val="20"/>
                <w:szCs w:val="20"/>
              </w:rPr>
            </w:pPr>
            <w:r w:rsidRPr="00D55DC6">
              <w:rPr>
                <w:rFonts w:eastAsia="標楷體"/>
                <w:sz w:val="20"/>
                <w:szCs w:val="20"/>
              </w:rPr>
              <w:t>28,072</w:t>
            </w:r>
          </w:p>
        </w:tc>
      </w:tr>
    </w:tbl>
    <w:p w:rsidR="004C6095" w:rsidRPr="00D55DC6" w:rsidRDefault="004C6095">
      <w:pPr>
        <w:widowControl/>
        <w:rPr>
          <w:rFonts w:eastAsia="標楷體"/>
        </w:rPr>
      </w:pPr>
    </w:p>
    <w:p w:rsidR="004C6095" w:rsidRPr="00D55DC6" w:rsidRDefault="004C6095" w:rsidP="009D33BA">
      <w:pPr>
        <w:spacing w:beforeLines="50" w:before="180"/>
        <w:ind w:rightChars="-435" w:right="-1044"/>
      </w:pPr>
      <w:r w:rsidRPr="00D55DC6">
        <w:rPr>
          <w:rFonts w:eastAsia="標楷體"/>
        </w:rPr>
        <w:t xml:space="preserve"> (</w:t>
      </w:r>
      <w:r w:rsidRPr="00D55DC6">
        <w:rPr>
          <w:rFonts w:eastAsia="標楷體"/>
        </w:rPr>
        <w:t>續</w:t>
      </w:r>
      <w:r w:rsidRPr="00D55DC6">
        <w:rPr>
          <w:rFonts w:eastAsia="標楷體"/>
        </w:rPr>
        <w:t>)</w:t>
      </w:r>
    </w:p>
    <w:tbl>
      <w:tblPr>
        <w:tblW w:w="10068" w:type="dxa"/>
        <w:tblInd w:w="-26" w:type="dxa"/>
        <w:tblLayout w:type="fixed"/>
        <w:tblCellMar>
          <w:left w:w="28" w:type="dxa"/>
          <w:right w:w="28" w:type="dxa"/>
        </w:tblCellMar>
        <w:tblLook w:val="00A0" w:firstRow="1" w:lastRow="0" w:firstColumn="1" w:lastColumn="0" w:noHBand="0" w:noVBand="0"/>
      </w:tblPr>
      <w:tblGrid>
        <w:gridCol w:w="2554"/>
        <w:gridCol w:w="658"/>
        <w:gridCol w:w="657"/>
        <w:gridCol w:w="657"/>
        <w:gridCol w:w="658"/>
        <w:gridCol w:w="657"/>
        <w:gridCol w:w="657"/>
        <w:gridCol w:w="657"/>
        <w:gridCol w:w="658"/>
        <w:gridCol w:w="657"/>
        <w:gridCol w:w="657"/>
        <w:gridCol w:w="941"/>
      </w:tblGrid>
      <w:tr w:rsidR="001D0350" w:rsidRPr="00D55DC6" w:rsidTr="004C6095">
        <w:trPr>
          <w:trHeight w:val="585"/>
          <w:tblHeader/>
        </w:trPr>
        <w:tc>
          <w:tcPr>
            <w:tcW w:w="2552" w:type="dxa"/>
            <w:tcBorders>
              <w:top w:val="single" w:sz="4" w:space="0" w:color="auto"/>
              <w:left w:val="single" w:sz="4" w:space="0" w:color="auto"/>
              <w:bottom w:val="double" w:sz="6" w:space="0" w:color="auto"/>
              <w:right w:val="single" w:sz="4" w:space="0" w:color="auto"/>
            </w:tcBorders>
            <w:shd w:val="clear" w:color="auto" w:fill="FFCC00"/>
            <w:vAlign w:val="center"/>
            <w:hideMark/>
          </w:tcPr>
          <w:p w:rsidR="004C6095" w:rsidRPr="00D55DC6" w:rsidRDefault="004C6095">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2"/>
                <w:szCs w:val="20"/>
              </w:rPr>
              <w:t xml:space="preserve">　　年度</w:t>
            </w:r>
            <w:r w:rsidRPr="00D55DC6">
              <w:rPr>
                <w:rFonts w:eastAsia="標楷體"/>
                <w:kern w:val="0"/>
                <w:sz w:val="22"/>
                <w:szCs w:val="20"/>
              </w:rPr>
              <w:br/>
            </w:r>
            <w:r w:rsidRPr="00D55DC6">
              <w:rPr>
                <w:rFonts w:eastAsia="標楷體"/>
                <w:kern w:val="0"/>
                <w:sz w:val="22"/>
                <w:szCs w:val="20"/>
              </w:rPr>
              <w:t>收益項目</w:t>
            </w:r>
          </w:p>
        </w:tc>
        <w:tc>
          <w:tcPr>
            <w:tcW w:w="657" w:type="dxa"/>
            <w:tcBorders>
              <w:top w:val="single" w:sz="4" w:space="0" w:color="auto"/>
              <w:left w:val="nil"/>
              <w:bottom w:val="double" w:sz="6"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0"/>
                <w:szCs w:val="20"/>
              </w:rPr>
            </w:pPr>
            <w:r w:rsidRPr="00D55DC6">
              <w:rPr>
                <w:rFonts w:eastAsia="標楷體"/>
                <w:kern w:val="0"/>
                <w:sz w:val="20"/>
                <w:szCs w:val="20"/>
              </w:rPr>
              <w:t>113</w:t>
            </w:r>
          </w:p>
        </w:tc>
        <w:tc>
          <w:tcPr>
            <w:tcW w:w="657" w:type="dxa"/>
            <w:tcBorders>
              <w:top w:val="single" w:sz="4" w:space="0" w:color="auto"/>
              <w:left w:val="nil"/>
              <w:bottom w:val="double" w:sz="6"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0"/>
                <w:szCs w:val="20"/>
              </w:rPr>
            </w:pPr>
            <w:r w:rsidRPr="00D55DC6">
              <w:rPr>
                <w:rFonts w:eastAsia="標楷體"/>
                <w:kern w:val="0"/>
                <w:sz w:val="20"/>
                <w:szCs w:val="20"/>
              </w:rPr>
              <w:t>114</w:t>
            </w:r>
          </w:p>
        </w:tc>
        <w:tc>
          <w:tcPr>
            <w:tcW w:w="657" w:type="dxa"/>
            <w:tcBorders>
              <w:top w:val="single" w:sz="4" w:space="0" w:color="auto"/>
              <w:left w:val="nil"/>
              <w:bottom w:val="double" w:sz="6"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0"/>
                <w:szCs w:val="20"/>
              </w:rPr>
            </w:pPr>
            <w:r w:rsidRPr="00D55DC6">
              <w:rPr>
                <w:rFonts w:eastAsia="標楷體"/>
                <w:kern w:val="0"/>
                <w:sz w:val="20"/>
                <w:szCs w:val="20"/>
              </w:rPr>
              <w:t>115</w:t>
            </w:r>
          </w:p>
        </w:tc>
        <w:tc>
          <w:tcPr>
            <w:tcW w:w="658" w:type="dxa"/>
            <w:tcBorders>
              <w:top w:val="single" w:sz="4" w:space="0" w:color="auto"/>
              <w:left w:val="nil"/>
              <w:bottom w:val="double" w:sz="6"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0"/>
                <w:szCs w:val="20"/>
              </w:rPr>
            </w:pPr>
            <w:r w:rsidRPr="00D55DC6">
              <w:rPr>
                <w:rFonts w:eastAsia="標楷體"/>
                <w:kern w:val="0"/>
                <w:sz w:val="20"/>
                <w:szCs w:val="20"/>
              </w:rPr>
              <w:t>116</w:t>
            </w:r>
          </w:p>
        </w:tc>
        <w:tc>
          <w:tcPr>
            <w:tcW w:w="657" w:type="dxa"/>
            <w:tcBorders>
              <w:top w:val="single" w:sz="4" w:space="0" w:color="auto"/>
              <w:left w:val="nil"/>
              <w:bottom w:val="double" w:sz="6"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0"/>
                <w:szCs w:val="20"/>
              </w:rPr>
            </w:pPr>
            <w:r w:rsidRPr="00D55DC6">
              <w:rPr>
                <w:rFonts w:eastAsia="標楷體"/>
                <w:kern w:val="0"/>
                <w:sz w:val="20"/>
                <w:szCs w:val="20"/>
              </w:rPr>
              <w:t>117</w:t>
            </w:r>
          </w:p>
        </w:tc>
        <w:tc>
          <w:tcPr>
            <w:tcW w:w="657" w:type="dxa"/>
            <w:tcBorders>
              <w:top w:val="single" w:sz="4" w:space="0" w:color="auto"/>
              <w:left w:val="nil"/>
              <w:bottom w:val="double" w:sz="6"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0"/>
                <w:szCs w:val="20"/>
              </w:rPr>
            </w:pPr>
            <w:r w:rsidRPr="00D55DC6">
              <w:rPr>
                <w:rFonts w:eastAsia="標楷體"/>
                <w:kern w:val="0"/>
                <w:sz w:val="20"/>
                <w:szCs w:val="20"/>
              </w:rPr>
              <w:t>118</w:t>
            </w:r>
          </w:p>
        </w:tc>
        <w:tc>
          <w:tcPr>
            <w:tcW w:w="657" w:type="dxa"/>
            <w:tcBorders>
              <w:top w:val="single" w:sz="4" w:space="0" w:color="auto"/>
              <w:left w:val="nil"/>
              <w:bottom w:val="double" w:sz="6"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0"/>
                <w:szCs w:val="20"/>
              </w:rPr>
            </w:pPr>
            <w:r w:rsidRPr="00D55DC6">
              <w:rPr>
                <w:rFonts w:eastAsia="標楷體"/>
                <w:kern w:val="0"/>
                <w:sz w:val="20"/>
                <w:szCs w:val="20"/>
              </w:rPr>
              <w:t>119</w:t>
            </w:r>
          </w:p>
        </w:tc>
        <w:tc>
          <w:tcPr>
            <w:tcW w:w="658" w:type="dxa"/>
            <w:tcBorders>
              <w:top w:val="single" w:sz="4" w:space="0" w:color="auto"/>
              <w:left w:val="nil"/>
              <w:bottom w:val="double" w:sz="6"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0"/>
                <w:szCs w:val="20"/>
              </w:rPr>
            </w:pPr>
            <w:r w:rsidRPr="00D55DC6">
              <w:rPr>
                <w:rFonts w:eastAsia="標楷體"/>
                <w:kern w:val="0"/>
                <w:sz w:val="20"/>
                <w:szCs w:val="20"/>
              </w:rPr>
              <w:t>120</w:t>
            </w:r>
          </w:p>
        </w:tc>
        <w:tc>
          <w:tcPr>
            <w:tcW w:w="657" w:type="dxa"/>
            <w:tcBorders>
              <w:top w:val="single" w:sz="4" w:space="0" w:color="auto"/>
              <w:left w:val="nil"/>
              <w:bottom w:val="double" w:sz="6"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0"/>
                <w:szCs w:val="20"/>
              </w:rPr>
            </w:pPr>
            <w:r w:rsidRPr="00D55DC6">
              <w:rPr>
                <w:rFonts w:eastAsia="標楷體"/>
                <w:kern w:val="0"/>
                <w:sz w:val="20"/>
                <w:szCs w:val="20"/>
              </w:rPr>
              <w:t>121</w:t>
            </w:r>
          </w:p>
        </w:tc>
        <w:tc>
          <w:tcPr>
            <w:tcW w:w="657" w:type="dxa"/>
            <w:tcBorders>
              <w:top w:val="single" w:sz="4" w:space="0" w:color="auto"/>
              <w:left w:val="nil"/>
              <w:bottom w:val="double" w:sz="6"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0"/>
                <w:szCs w:val="20"/>
              </w:rPr>
            </w:pPr>
            <w:r w:rsidRPr="00D55DC6">
              <w:rPr>
                <w:rFonts w:eastAsia="標楷體"/>
                <w:kern w:val="0"/>
                <w:sz w:val="20"/>
                <w:szCs w:val="20"/>
              </w:rPr>
              <w:t>122</w:t>
            </w:r>
          </w:p>
        </w:tc>
        <w:tc>
          <w:tcPr>
            <w:tcW w:w="941" w:type="dxa"/>
            <w:tcBorders>
              <w:top w:val="single" w:sz="4" w:space="0" w:color="auto"/>
              <w:left w:val="nil"/>
              <w:bottom w:val="double" w:sz="6"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0"/>
                <w:szCs w:val="20"/>
              </w:rPr>
            </w:pPr>
            <w:r w:rsidRPr="00D55DC6">
              <w:rPr>
                <w:rFonts w:eastAsia="標楷體"/>
                <w:kern w:val="0"/>
                <w:sz w:val="20"/>
                <w:szCs w:val="20"/>
              </w:rPr>
              <w:t>合計</w:t>
            </w:r>
          </w:p>
        </w:tc>
      </w:tr>
      <w:tr w:rsidR="001D0350" w:rsidRPr="00D55DC6" w:rsidTr="004C6095">
        <w:trPr>
          <w:trHeight w:val="345"/>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pPr>
              <w:widowControl/>
              <w:rPr>
                <w:rFonts w:eastAsia="標楷體"/>
                <w:kern w:val="0"/>
                <w:sz w:val="20"/>
                <w:szCs w:val="20"/>
              </w:rPr>
            </w:pPr>
            <w:r w:rsidRPr="00D55DC6">
              <w:rPr>
                <w:rFonts w:eastAsia="標楷體"/>
                <w:kern w:val="0"/>
                <w:sz w:val="20"/>
                <w:szCs w:val="20"/>
              </w:rPr>
              <w:t>一、既有委外經營收益</w:t>
            </w: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right"/>
              <w:rPr>
                <w:rFonts w:eastAsia="標楷體"/>
                <w:kern w:val="0"/>
                <w:sz w:val="20"/>
                <w:szCs w:val="20"/>
              </w:rPr>
            </w:pP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right"/>
              <w:rPr>
                <w:rFonts w:eastAsia="標楷體"/>
                <w:kern w:val="0"/>
                <w:sz w:val="20"/>
                <w:szCs w:val="20"/>
              </w:rPr>
            </w:pP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right"/>
              <w:rPr>
                <w:rFonts w:eastAsia="標楷體"/>
                <w:kern w:val="0"/>
                <w:sz w:val="20"/>
                <w:szCs w:val="20"/>
              </w:rPr>
            </w:pPr>
          </w:p>
        </w:tc>
        <w:tc>
          <w:tcPr>
            <w:tcW w:w="658"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right"/>
              <w:rPr>
                <w:rFonts w:eastAsia="標楷體"/>
                <w:kern w:val="0"/>
                <w:sz w:val="20"/>
                <w:szCs w:val="20"/>
              </w:rPr>
            </w:pP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right"/>
              <w:rPr>
                <w:rFonts w:eastAsia="標楷體"/>
                <w:kern w:val="0"/>
                <w:sz w:val="20"/>
                <w:szCs w:val="20"/>
              </w:rPr>
            </w:pP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right"/>
              <w:rPr>
                <w:rFonts w:eastAsia="標楷體"/>
                <w:kern w:val="0"/>
                <w:sz w:val="20"/>
                <w:szCs w:val="20"/>
              </w:rPr>
            </w:pP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right"/>
              <w:rPr>
                <w:rFonts w:eastAsia="標楷體"/>
                <w:kern w:val="0"/>
                <w:sz w:val="20"/>
                <w:szCs w:val="20"/>
              </w:rPr>
            </w:pPr>
          </w:p>
        </w:tc>
        <w:tc>
          <w:tcPr>
            <w:tcW w:w="658"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right"/>
              <w:rPr>
                <w:rFonts w:eastAsia="標楷體"/>
                <w:kern w:val="0"/>
                <w:sz w:val="20"/>
                <w:szCs w:val="20"/>
              </w:rPr>
            </w:pP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right"/>
              <w:rPr>
                <w:rFonts w:eastAsia="標楷體"/>
                <w:kern w:val="0"/>
                <w:sz w:val="20"/>
                <w:szCs w:val="20"/>
              </w:rPr>
            </w:pP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right"/>
              <w:rPr>
                <w:rFonts w:eastAsia="標楷體"/>
                <w:kern w:val="0"/>
                <w:sz w:val="20"/>
                <w:szCs w:val="20"/>
              </w:rPr>
            </w:pPr>
          </w:p>
        </w:tc>
        <w:tc>
          <w:tcPr>
            <w:tcW w:w="941"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right"/>
              <w:rPr>
                <w:rFonts w:eastAsia="標楷體"/>
                <w:kern w:val="0"/>
                <w:sz w:val="20"/>
                <w:szCs w:val="20"/>
              </w:rPr>
            </w:pPr>
          </w:p>
        </w:tc>
      </w:tr>
      <w:tr w:rsidR="001D0350" w:rsidRPr="00D55DC6" w:rsidTr="004C6095">
        <w:trPr>
          <w:trHeight w:val="345"/>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pPr>
              <w:widowControl/>
              <w:spacing w:line="280" w:lineRule="exact"/>
              <w:ind w:leftChars="106" w:left="254"/>
              <w:rPr>
                <w:rFonts w:eastAsia="標楷體"/>
                <w:kern w:val="0"/>
                <w:sz w:val="20"/>
                <w:szCs w:val="20"/>
              </w:rPr>
            </w:pPr>
            <w:r w:rsidRPr="00D55DC6">
              <w:rPr>
                <w:rFonts w:eastAsia="標楷體"/>
                <w:kern w:val="0"/>
                <w:sz w:val="20"/>
                <w:szCs w:val="20"/>
              </w:rPr>
              <w:t>屏東縣三地門鄉賽嘉樂園露營區民間參與營運移轉</w:t>
            </w:r>
            <w:r w:rsidRPr="00D55DC6">
              <w:rPr>
                <w:rFonts w:eastAsia="標楷體"/>
                <w:kern w:val="0"/>
                <w:sz w:val="20"/>
                <w:szCs w:val="20"/>
              </w:rPr>
              <w:t>ROT</w:t>
            </w:r>
            <w:r w:rsidRPr="00D55DC6">
              <w:rPr>
                <w:rFonts w:eastAsia="標楷體"/>
                <w:kern w:val="0"/>
                <w:sz w:val="20"/>
                <w:szCs w:val="20"/>
              </w:rPr>
              <w:t>案</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769</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790</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849</w:t>
            </w:r>
          </w:p>
        </w:tc>
        <w:tc>
          <w:tcPr>
            <w:tcW w:w="658"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902</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947</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996</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1,057</w:t>
            </w:r>
          </w:p>
        </w:tc>
        <w:tc>
          <w:tcPr>
            <w:tcW w:w="658"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1,112</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1,172</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1,245</w:t>
            </w:r>
          </w:p>
        </w:tc>
        <w:tc>
          <w:tcPr>
            <w:tcW w:w="941"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14,403</w:t>
            </w:r>
          </w:p>
        </w:tc>
      </w:tr>
      <w:tr w:rsidR="001D0350" w:rsidRPr="00D55DC6" w:rsidTr="004C6095">
        <w:trPr>
          <w:trHeight w:val="345"/>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pPr>
              <w:widowControl/>
              <w:spacing w:line="280" w:lineRule="exact"/>
              <w:ind w:leftChars="106" w:left="254"/>
              <w:rPr>
                <w:rFonts w:eastAsia="標楷體"/>
                <w:kern w:val="0"/>
                <w:sz w:val="20"/>
                <w:szCs w:val="20"/>
              </w:rPr>
            </w:pPr>
            <w:r w:rsidRPr="00D55DC6">
              <w:rPr>
                <w:rFonts w:eastAsia="標楷體"/>
                <w:kern w:val="0"/>
                <w:sz w:val="20"/>
                <w:szCs w:val="20"/>
              </w:rPr>
              <w:t>屏東縣瑪家鄉涼山露營遊憩區民間參與擴</w:t>
            </w:r>
            <w:r w:rsidRPr="00D55DC6">
              <w:rPr>
                <w:rFonts w:eastAsia="標楷體"/>
                <w:kern w:val="0"/>
                <w:sz w:val="20"/>
                <w:szCs w:val="20"/>
              </w:rPr>
              <w:t>(</w:t>
            </w:r>
            <w:r w:rsidRPr="00D55DC6">
              <w:rPr>
                <w:rFonts w:eastAsia="標楷體"/>
                <w:kern w:val="0"/>
                <w:sz w:val="20"/>
                <w:szCs w:val="20"/>
              </w:rPr>
              <w:t>整</w:t>
            </w:r>
            <w:r w:rsidRPr="00D55DC6">
              <w:rPr>
                <w:rFonts w:eastAsia="標楷體"/>
                <w:kern w:val="0"/>
                <w:sz w:val="20"/>
                <w:szCs w:val="20"/>
              </w:rPr>
              <w:t>)</w:t>
            </w:r>
            <w:r w:rsidRPr="00D55DC6">
              <w:rPr>
                <w:rFonts w:eastAsia="標楷體"/>
                <w:kern w:val="0"/>
                <w:sz w:val="20"/>
                <w:szCs w:val="20"/>
              </w:rPr>
              <w:t>建營運移轉</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445</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449</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453</w:t>
            </w:r>
          </w:p>
        </w:tc>
        <w:tc>
          <w:tcPr>
            <w:tcW w:w="658"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467</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471</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475</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488</w:t>
            </w:r>
          </w:p>
        </w:tc>
        <w:tc>
          <w:tcPr>
            <w:tcW w:w="658"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493</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497</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512</w:t>
            </w:r>
          </w:p>
        </w:tc>
        <w:tc>
          <w:tcPr>
            <w:tcW w:w="941"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8,247</w:t>
            </w:r>
          </w:p>
        </w:tc>
      </w:tr>
      <w:tr w:rsidR="001D0350" w:rsidRPr="00D55DC6" w:rsidTr="004C6095">
        <w:trPr>
          <w:trHeight w:val="330"/>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pPr>
              <w:widowControl/>
              <w:spacing w:line="280" w:lineRule="exact"/>
              <w:ind w:leftChars="106" w:left="254"/>
              <w:rPr>
                <w:rFonts w:eastAsia="標楷體"/>
                <w:kern w:val="0"/>
                <w:sz w:val="20"/>
                <w:szCs w:val="20"/>
              </w:rPr>
            </w:pPr>
            <w:r w:rsidRPr="00D55DC6">
              <w:rPr>
                <w:rFonts w:eastAsia="標楷體"/>
                <w:kern w:val="0"/>
                <w:sz w:val="20"/>
                <w:szCs w:val="20"/>
              </w:rPr>
              <w:t>十八羅漢山服務區出租經營與管理</w:t>
            </w:r>
          </w:p>
        </w:tc>
        <w:tc>
          <w:tcPr>
            <w:tcW w:w="657" w:type="dxa"/>
            <w:tcBorders>
              <w:top w:val="nil"/>
              <w:left w:val="nil"/>
              <w:bottom w:val="single" w:sz="4" w:space="0" w:color="auto"/>
              <w:right w:val="single" w:sz="4" w:space="0" w:color="auto"/>
            </w:tcBorders>
            <w:shd w:val="clear" w:color="auto" w:fill="FFFFFF"/>
            <w:noWrap/>
            <w:vAlign w:val="center"/>
          </w:tcPr>
          <w:p w:rsidR="004C6095" w:rsidRPr="00D55DC6" w:rsidRDefault="004C6095">
            <w:pPr>
              <w:widowControl/>
              <w:jc w:val="center"/>
              <w:rPr>
                <w:rFonts w:eastAsia="標楷體"/>
                <w:kern w:val="0"/>
                <w:sz w:val="20"/>
                <w:szCs w:val="20"/>
              </w:rPr>
            </w:pPr>
          </w:p>
        </w:tc>
        <w:tc>
          <w:tcPr>
            <w:tcW w:w="657" w:type="dxa"/>
            <w:tcBorders>
              <w:top w:val="nil"/>
              <w:left w:val="nil"/>
              <w:bottom w:val="single" w:sz="4" w:space="0" w:color="auto"/>
              <w:right w:val="single" w:sz="4" w:space="0" w:color="auto"/>
            </w:tcBorders>
            <w:shd w:val="clear" w:color="auto" w:fill="FFFFFF"/>
            <w:noWrap/>
            <w:vAlign w:val="center"/>
          </w:tcPr>
          <w:p w:rsidR="004C6095" w:rsidRPr="00D55DC6" w:rsidRDefault="004C6095">
            <w:pPr>
              <w:widowControl/>
              <w:jc w:val="center"/>
              <w:rPr>
                <w:rFonts w:eastAsia="標楷體"/>
                <w:kern w:val="0"/>
                <w:sz w:val="20"/>
                <w:szCs w:val="20"/>
              </w:rPr>
            </w:pPr>
          </w:p>
        </w:tc>
        <w:tc>
          <w:tcPr>
            <w:tcW w:w="657" w:type="dxa"/>
            <w:tcBorders>
              <w:top w:val="nil"/>
              <w:left w:val="nil"/>
              <w:bottom w:val="single" w:sz="4" w:space="0" w:color="auto"/>
              <w:right w:val="single" w:sz="4" w:space="0" w:color="auto"/>
            </w:tcBorders>
            <w:shd w:val="clear" w:color="auto" w:fill="FFFFFF"/>
            <w:noWrap/>
            <w:vAlign w:val="center"/>
          </w:tcPr>
          <w:p w:rsidR="004C6095" w:rsidRPr="00D55DC6" w:rsidRDefault="004C6095">
            <w:pPr>
              <w:widowControl/>
              <w:jc w:val="center"/>
              <w:rPr>
                <w:rFonts w:eastAsia="標楷體"/>
                <w:kern w:val="0"/>
                <w:sz w:val="20"/>
                <w:szCs w:val="20"/>
              </w:rPr>
            </w:pPr>
          </w:p>
        </w:tc>
        <w:tc>
          <w:tcPr>
            <w:tcW w:w="658" w:type="dxa"/>
            <w:tcBorders>
              <w:top w:val="nil"/>
              <w:left w:val="nil"/>
              <w:bottom w:val="single" w:sz="4" w:space="0" w:color="auto"/>
              <w:right w:val="single" w:sz="4" w:space="0" w:color="auto"/>
            </w:tcBorders>
            <w:shd w:val="clear" w:color="auto" w:fill="FFFFFF"/>
            <w:noWrap/>
            <w:vAlign w:val="center"/>
          </w:tcPr>
          <w:p w:rsidR="004C6095" w:rsidRPr="00D55DC6" w:rsidRDefault="004C6095">
            <w:pPr>
              <w:widowControl/>
              <w:jc w:val="center"/>
              <w:rPr>
                <w:rFonts w:eastAsia="標楷體"/>
                <w:kern w:val="0"/>
                <w:sz w:val="20"/>
                <w:szCs w:val="20"/>
              </w:rPr>
            </w:pPr>
          </w:p>
        </w:tc>
        <w:tc>
          <w:tcPr>
            <w:tcW w:w="657" w:type="dxa"/>
            <w:tcBorders>
              <w:top w:val="nil"/>
              <w:left w:val="nil"/>
              <w:bottom w:val="single" w:sz="4" w:space="0" w:color="auto"/>
              <w:right w:val="single" w:sz="4" w:space="0" w:color="auto"/>
            </w:tcBorders>
            <w:shd w:val="clear" w:color="auto" w:fill="FFFFFF"/>
            <w:noWrap/>
            <w:vAlign w:val="center"/>
          </w:tcPr>
          <w:p w:rsidR="004C6095" w:rsidRPr="00D55DC6" w:rsidRDefault="004C6095">
            <w:pPr>
              <w:widowControl/>
              <w:jc w:val="center"/>
              <w:rPr>
                <w:rFonts w:eastAsia="標楷體"/>
                <w:kern w:val="0"/>
                <w:sz w:val="20"/>
                <w:szCs w:val="20"/>
              </w:rPr>
            </w:pPr>
          </w:p>
        </w:tc>
        <w:tc>
          <w:tcPr>
            <w:tcW w:w="657" w:type="dxa"/>
            <w:tcBorders>
              <w:top w:val="nil"/>
              <w:left w:val="nil"/>
              <w:bottom w:val="single" w:sz="4" w:space="0" w:color="auto"/>
              <w:right w:val="single" w:sz="4" w:space="0" w:color="auto"/>
            </w:tcBorders>
            <w:shd w:val="clear" w:color="auto" w:fill="FFFFFF"/>
            <w:noWrap/>
            <w:vAlign w:val="center"/>
          </w:tcPr>
          <w:p w:rsidR="004C6095" w:rsidRPr="00D55DC6" w:rsidRDefault="004C6095">
            <w:pPr>
              <w:widowControl/>
              <w:jc w:val="center"/>
              <w:rPr>
                <w:rFonts w:eastAsia="標楷體"/>
                <w:kern w:val="0"/>
                <w:sz w:val="20"/>
                <w:szCs w:val="20"/>
              </w:rPr>
            </w:pPr>
          </w:p>
        </w:tc>
        <w:tc>
          <w:tcPr>
            <w:tcW w:w="657" w:type="dxa"/>
            <w:tcBorders>
              <w:top w:val="nil"/>
              <w:left w:val="nil"/>
              <w:bottom w:val="single" w:sz="4" w:space="0" w:color="auto"/>
              <w:right w:val="single" w:sz="4" w:space="0" w:color="auto"/>
            </w:tcBorders>
            <w:shd w:val="clear" w:color="auto" w:fill="FFFFFF"/>
            <w:noWrap/>
            <w:vAlign w:val="center"/>
          </w:tcPr>
          <w:p w:rsidR="004C6095" w:rsidRPr="00D55DC6" w:rsidRDefault="004C6095">
            <w:pPr>
              <w:widowControl/>
              <w:jc w:val="center"/>
              <w:rPr>
                <w:rFonts w:eastAsia="標楷體"/>
                <w:kern w:val="0"/>
                <w:sz w:val="20"/>
                <w:szCs w:val="20"/>
              </w:rPr>
            </w:pPr>
          </w:p>
        </w:tc>
        <w:tc>
          <w:tcPr>
            <w:tcW w:w="658" w:type="dxa"/>
            <w:tcBorders>
              <w:top w:val="nil"/>
              <w:left w:val="nil"/>
              <w:bottom w:val="single" w:sz="4" w:space="0" w:color="auto"/>
              <w:right w:val="single" w:sz="4" w:space="0" w:color="auto"/>
            </w:tcBorders>
            <w:shd w:val="clear" w:color="auto" w:fill="FFFFFF"/>
            <w:noWrap/>
            <w:vAlign w:val="center"/>
          </w:tcPr>
          <w:p w:rsidR="004C6095" w:rsidRPr="00D55DC6" w:rsidRDefault="004C6095">
            <w:pPr>
              <w:widowControl/>
              <w:jc w:val="center"/>
              <w:rPr>
                <w:rFonts w:eastAsia="標楷體"/>
                <w:kern w:val="0"/>
                <w:sz w:val="20"/>
                <w:szCs w:val="20"/>
              </w:rPr>
            </w:pPr>
          </w:p>
        </w:tc>
        <w:tc>
          <w:tcPr>
            <w:tcW w:w="657" w:type="dxa"/>
            <w:tcBorders>
              <w:top w:val="nil"/>
              <w:left w:val="nil"/>
              <w:bottom w:val="single" w:sz="4" w:space="0" w:color="auto"/>
              <w:right w:val="single" w:sz="4" w:space="0" w:color="auto"/>
            </w:tcBorders>
            <w:shd w:val="clear" w:color="auto" w:fill="FFFFFF"/>
            <w:noWrap/>
            <w:vAlign w:val="center"/>
          </w:tcPr>
          <w:p w:rsidR="004C6095" w:rsidRPr="00D55DC6" w:rsidRDefault="004C6095">
            <w:pPr>
              <w:widowControl/>
              <w:jc w:val="center"/>
              <w:rPr>
                <w:rFonts w:eastAsia="標楷體"/>
                <w:kern w:val="0"/>
                <w:sz w:val="20"/>
                <w:szCs w:val="20"/>
              </w:rPr>
            </w:pPr>
          </w:p>
        </w:tc>
        <w:tc>
          <w:tcPr>
            <w:tcW w:w="657" w:type="dxa"/>
            <w:tcBorders>
              <w:top w:val="nil"/>
              <w:left w:val="nil"/>
              <w:bottom w:val="single" w:sz="4" w:space="0" w:color="auto"/>
              <w:right w:val="single" w:sz="4" w:space="0" w:color="auto"/>
            </w:tcBorders>
            <w:shd w:val="clear" w:color="auto" w:fill="FFFFFF"/>
            <w:noWrap/>
            <w:vAlign w:val="center"/>
          </w:tcPr>
          <w:p w:rsidR="004C6095" w:rsidRPr="00D55DC6" w:rsidRDefault="004C6095">
            <w:pPr>
              <w:widowControl/>
              <w:jc w:val="center"/>
              <w:rPr>
                <w:rFonts w:eastAsia="標楷體"/>
                <w:kern w:val="0"/>
                <w:sz w:val="20"/>
                <w:szCs w:val="20"/>
              </w:rPr>
            </w:pPr>
          </w:p>
        </w:tc>
        <w:tc>
          <w:tcPr>
            <w:tcW w:w="941" w:type="dxa"/>
            <w:tcBorders>
              <w:top w:val="nil"/>
              <w:left w:val="nil"/>
              <w:bottom w:val="single" w:sz="4" w:space="0" w:color="auto"/>
              <w:right w:val="single" w:sz="4" w:space="0" w:color="auto"/>
            </w:tcBorders>
            <w:shd w:val="clear" w:color="auto" w:fill="FFFFFF"/>
            <w:noWrap/>
            <w:vAlign w:val="center"/>
            <w:hideMark/>
          </w:tcPr>
          <w:p w:rsidR="004C6095" w:rsidRPr="00D55DC6" w:rsidRDefault="004C6095">
            <w:pPr>
              <w:widowControl/>
              <w:jc w:val="right"/>
              <w:rPr>
                <w:rFonts w:eastAsia="標楷體"/>
                <w:kern w:val="0"/>
                <w:sz w:val="20"/>
                <w:szCs w:val="20"/>
              </w:rPr>
            </w:pPr>
            <w:r w:rsidRPr="00D55DC6">
              <w:rPr>
                <w:rFonts w:eastAsia="標楷體"/>
                <w:kern w:val="0"/>
                <w:sz w:val="20"/>
                <w:szCs w:val="20"/>
              </w:rPr>
              <w:t>62</w:t>
            </w:r>
          </w:p>
        </w:tc>
      </w:tr>
      <w:tr w:rsidR="001D0350" w:rsidRPr="00D55DC6" w:rsidTr="004C6095">
        <w:trPr>
          <w:trHeight w:val="330"/>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pPr>
              <w:widowControl/>
              <w:rPr>
                <w:rFonts w:eastAsia="標楷體"/>
                <w:kern w:val="0"/>
                <w:sz w:val="20"/>
                <w:szCs w:val="20"/>
              </w:rPr>
            </w:pPr>
            <w:r w:rsidRPr="00D55DC6">
              <w:rPr>
                <w:rFonts w:eastAsia="標楷體"/>
                <w:kern w:val="0"/>
                <w:sz w:val="20"/>
                <w:szCs w:val="20"/>
              </w:rPr>
              <w:t>二、規劃新設據點收益</w:t>
            </w: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center"/>
              <w:rPr>
                <w:rFonts w:eastAsia="標楷體"/>
                <w:kern w:val="0"/>
                <w:sz w:val="20"/>
                <w:szCs w:val="20"/>
              </w:rPr>
            </w:pP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center"/>
              <w:rPr>
                <w:rFonts w:eastAsia="標楷體"/>
                <w:kern w:val="0"/>
                <w:sz w:val="20"/>
                <w:szCs w:val="20"/>
              </w:rPr>
            </w:pP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center"/>
              <w:rPr>
                <w:rFonts w:eastAsia="標楷體"/>
                <w:kern w:val="0"/>
                <w:sz w:val="20"/>
                <w:szCs w:val="20"/>
              </w:rPr>
            </w:pPr>
          </w:p>
        </w:tc>
        <w:tc>
          <w:tcPr>
            <w:tcW w:w="658"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center"/>
              <w:rPr>
                <w:rFonts w:eastAsia="標楷體"/>
                <w:kern w:val="0"/>
                <w:sz w:val="20"/>
                <w:szCs w:val="20"/>
              </w:rPr>
            </w:pP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center"/>
              <w:rPr>
                <w:rFonts w:eastAsia="標楷體"/>
                <w:kern w:val="0"/>
                <w:sz w:val="20"/>
                <w:szCs w:val="20"/>
              </w:rPr>
            </w:pP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center"/>
              <w:rPr>
                <w:rFonts w:eastAsia="標楷體"/>
                <w:kern w:val="0"/>
                <w:sz w:val="20"/>
                <w:szCs w:val="20"/>
              </w:rPr>
            </w:pP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center"/>
              <w:rPr>
                <w:rFonts w:eastAsia="標楷體"/>
                <w:kern w:val="0"/>
                <w:sz w:val="20"/>
                <w:szCs w:val="20"/>
              </w:rPr>
            </w:pPr>
          </w:p>
        </w:tc>
        <w:tc>
          <w:tcPr>
            <w:tcW w:w="658"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center"/>
              <w:rPr>
                <w:rFonts w:eastAsia="標楷體"/>
                <w:kern w:val="0"/>
                <w:sz w:val="20"/>
                <w:szCs w:val="20"/>
              </w:rPr>
            </w:pP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center"/>
              <w:rPr>
                <w:rFonts w:eastAsia="標楷體"/>
                <w:kern w:val="0"/>
                <w:sz w:val="20"/>
                <w:szCs w:val="20"/>
              </w:rPr>
            </w:pP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center"/>
              <w:rPr>
                <w:rFonts w:eastAsia="標楷體"/>
                <w:kern w:val="0"/>
                <w:sz w:val="20"/>
                <w:szCs w:val="20"/>
              </w:rPr>
            </w:pPr>
          </w:p>
        </w:tc>
        <w:tc>
          <w:tcPr>
            <w:tcW w:w="941"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right"/>
              <w:rPr>
                <w:rFonts w:eastAsia="標楷體"/>
                <w:kern w:val="0"/>
                <w:sz w:val="20"/>
                <w:szCs w:val="20"/>
              </w:rPr>
            </w:pPr>
          </w:p>
        </w:tc>
      </w:tr>
      <w:tr w:rsidR="001D0350" w:rsidRPr="00D55DC6" w:rsidTr="004C6095">
        <w:trPr>
          <w:trHeight w:val="330"/>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pPr>
              <w:widowControl/>
              <w:spacing w:line="280" w:lineRule="exact"/>
              <w:ind w:leftChars="106" w:left="254"/>
              <w:rPr>
                <w:rFonts w:eastAsia="標楷體"/>
                <w:kern w:val="0"/>
                <w:sz w:val="20"/>
                <w:szCs w:val="20"/>
              </w:rPr>
            </w:pPr>
            <w:r w:rsidRPr="00D55DC6">
              <w:rPr>
                <w:rFonts w:eastAsia="標楷體"/>
                <w:kern w:val="0"/>
                <w:sz w:val="20"/>
                <w:szCs w:val="20"/>
              </w:rPr>
              <w:t>十八羅漢山服務區出租經營與管理</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237</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260</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283</w:t>
            </w:r>
          </w:p>
        </w:tc>
        <w:tc>
          <w:tcPr>
            <w:tcW w:w="658"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309</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340</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371</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406</w:t>
            </w:r>
          </w:p>
        </w:tc>
        <w:tc>
          <w:tcPr>
            <w:tcW w:w="658"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445</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486</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532</w:t>
            </w:r>
          </w:p>
        </w:tc>
        <w:tc>
          <w:tcPr>
            <w:tcW w:w="941" w:type="dxa"/>
            <w:tcBorders>
              <w:top w:val="nil"/>
              <w:left w:val="nil"/>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4,984</w:t>
            </w:r>
          </w:p>
        </w:tc>
      </w:tr>
      <w:tr w:rsidR="001D0350" w:rsidRPr="00D55DC6" w:rsidTr="004C6095">
        <w:trPr>
          <w:trHeight w:val="330"/>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pPr>
              <w:widowControl/>
              <w:ind w:leftChars="106" w:left="254"/>
              <w:rPr>
                <w:rFonts w:eastAsia="標楷體"/>
                <w:kern w:val="0"/>
                <w:sz w:val="20"/>
                <w:szCs w:val="20"/>
              </w:rPr>
            </w:pPr>
            <w:r w:rsidRPr="00D55DC6">
              <w:rPr>
                <w:rFonts w:eastAsia="標楷體"/>
                <w:kern w:val="0"/>
                <w:sz w:val="20"/>
                <w:szCs w:val="20"/>
              </w:rPr>
              <w:t>寶來溫泉公園休閒</w:t>
            </w:r>
            <w:r w:rsidR="00EA38C5" w:rsidRPr="00D55DC6">
              <w:rPr>
                <w:rFonts w:eastAsia="標楷體"/>
                <w:kern w:val="0"/>
                <w:sz w:val="20"/>
                <w:szCs w:val="20"/>
              </w:rPr>
              <w:t>度假</w:t>
            </w:r>
            <w:r w:rsidRPr="00D55DC6">
              <w:rPr>
                <w:rFonts w:eastAsia="標楷體"/>
                <w:kern w:val="0"/>
                <w:sz w:val="20"/>
                <w:szCs w:val="20"/>
              </w:rPr>
              <w:t>基地</w:t>
            </w:r>
            <w:r w:rsidRPr="00D55DC6">
              <w:rPr>
                <w:rFonts w:eastAsia="標楷體"/>
                <w:kern w:val="0"/>
                <w:sz w:val="20"/>
                <w:szCs w:val="20"/>
              </w:rPr>
              <w:t>BOT</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5,504</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5,632</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5,736</w:t>
            </w:r>
          </w:p>
        </w:tc>
        <w:tc>
          <w:tcPr>
            <w:tcW w:w="658"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6,311</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6,456</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6,575</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7,195</w:t>
            </w:r>
          </w:p>
        </w:tc>
        <w:tc>
          <w:tcPr>
            <w:tcW w:w="658"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7,359</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7,496</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7,635</w:t>
            </w:r>
          </w:p>
        </w:tc>
        <w:tc>
          <w:tcPr>
            <w:tcW w:w="941" w:type="dxa"/>
            <w:tcBorders>
              <w:top w:val="nil"/>
              <w:left w:val="nil"/>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81,908</w:t>
            </w:r>
          </w:p>
        </w:tc>
      </w:tr>
      <w:tr w:rsidR="001D0350" w:rsidRPr="00D55DC6" w:rsidTr="004C6095">
        <w:trPr>
          <w:trHeight w:val="330"/>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pPr>
              <w:widowControl/>
              <w:ind w:leftChars="106" w:left="254"/>
              <w:rPr>
                <w:rFonts w:eastAsia="標楷體"/>
                <w:kern w:val="0"/>
                <w:sz w:val="20"/>
                <w:szCs w:val="20"/>
              </w:rPr>
            </w:pPr>
            <w:r w:rsidRPr="00D55DC6">
              <w:rPr>
                <w:rFonts w:eastAsia="標楷體"/>
                <w:kern w:val="0"/>
                <w:sz w:val="20"/>
                <w:szCs w:val="20"/>
              </w:rPr>
              <w:t>新威遊憩區</w:t>
            </w:r>
            <w:r w:rsidRPr="00D55DC6">
              <w:rPr>
                <w:rFonts w:eastAsia="標楷體"/>
                <w:kern w:val="0"/>
                <w:sz w:val="20"/>
                <w:szCs w:val="20"/>
              </w:rPr>
              <w:t>(</w:t>
            </w:r>
            <w:r w:rsidRPr="00D55DC6">
              <w:rPr>
                <w:rFonts w:eastAsia="標楷體"/>
                <w:kern w:val="0"/>
                <w:sz w:val="20"/>
                <w:szCs w:val="20"/>
              </w:rPr>
              <w:t>含轉運站</w:t>
            </w:r>
            <w:r w:rsidRPr="00D55DC6">
              <w:rPr>
                <w:rFonts w:eastAsia="標楷體"/>
                <w:kern w:val="0"/>
                <w:sz w:val="20"/>
                <w:szCs w:val="20"/>
              </w:rPr>
              <w:t>)OT+BOT</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4,454</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9,353</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10,379</w:t>
            </w:r>
          </w:p>
        </w:tc>
        <w:tc>
          <w:tcPr>
            <w:tcW w:w="658"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11,076</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11,547</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12,138</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12,657</w:t>
            </w:r>
          </w:p>
        </w:tc>
        <w:tc>
          <w:tcPr>
            <w:tcW w:w="658"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12,984</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13,424</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13,655</w:t>
            </w:r>
          </w:p>
        </w:tc>
        <w:tc>
          <w:tcPr>
            <w:tcW w:w="941"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117,970</w:t>
            </w:r>
          </w:p>
        </w:tc>
      </w:tr>
      <w:tr w:rsidR="001D0350" w:rsidRPr="00D55DC6" w:rsidTr="004C6095">
        <w:trPr>
          <w:trHeight w:val="330"/>
        </w:trPr>
        <w:tc>
          <w:tcPr>
            <w:tcW w:w="2552" w:type="dxa"/>
            <w:tcBorders>
              <w:top w:val="nil"/>
              <w:left w:val="single" w:sz="4" w:space="0" w:color="auto"/>
              <w:bottom w:val="single" w:sz="4" w:space="0" w:color="auto"/>
              <w:right w:val="single" w:sz="4" w:space="0" w:color="auto"/>
            </w:tcBorders>
            <w:shd w:val="clear" w:color="auto" w:fill="D9D9D9"/>
            <w:hideMark/>
          </w:tcPr>
          <w:p w:rsidR="004C6095" w:rsidRPr="00D55DC6" w:rsidRDefault="004C6095" w:rsidP="007E2055">
            <w:pPr>
              <w:widowControl/>
              <w:ind w:leftChars="129" w:left="310"/>
              <w:rPr>
                <w:rFonts w:eastAsia="標楷體"/>
                <w:kern w:val="0"/>
                <w:sz w:val="20"/>
                <w:szCs w:val="20"/>
              </w:rPr>
            </w:pPr>
            <w:r w:rsidRPr="00D55DC6">
              <w:rPr>
                <w:rFonts w:eastAsia="標楷體"/>
                <w:kern w:val="0"/>
                <w:sz w:val="20"/>
                <w:szCs w:val="20"/>
              </w:rPr>
              <w:t>泛舟服務區</w:t>
            </w:r>
            <w:r w:rsidRPr="00D55DC6">
              <w:rPr>
                <w:rFonts w:eastAsia="標楷體"/>
                <w:kern w:val="0"/>
                <w:sz w:val="20"/>
                <w:szCs w:val="20"/>
              </w:rPr>
              <w:t>OT</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2,280</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2,323</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2,371</w:t>
            </w:r>
          </w:p>
        </w:tc>
        <w:tc>
          <w:tcPr>
            <w:tcW w:w="658"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2,416</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2,462</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2,513</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2,561</w:t>
            </w:r>
          </w:p>
        </w:tc>
        <w:tc>
          <w:tcPr>
            <w:tcW w:w="658"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2,609</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2,664</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2,714</w:t>
            </w:r>
          </w:p>
        </w:tc>
        <w:tc>
          <w:tcPr>
            <w:tcW w:w="941"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39,795</w:t>
            </w:r>
          </w:p>
        </w:tc>
      </w:tr>
      <w:tr w:rsidR="001D0350" w:rsidRPr="00D55DC6" w:rsidTr="004C6095">
        <w:trPr>
          <w:trHeight w:val="330"/>
        </w:trPr>
        <w:tc>
          <w:tcPr>
            <w:tcW w:w="2552" w:type="dxa"/>
            <w:tcBorders>
              <w:top w:val="nil"/>
              <w:left w:val="single" w:sz="4" w:space="0" w:color="auto"/>
              <w:bottom w:val="single" w:sz="4" w:space="0" w:color="auto"/>
              <w:right w:val="single" w:sz="4" w:space="0" w:color="auto"/>
            </w:tcBorders>
            <w:shd w:val="clear" w:color="auto" w:fill="D9D9D9"/>
            <w:hideMark/>
          </w:tcPr>
          <w:p w:rsidR="004C6095" w:rsidRPr="00D55DC6" w:rsidRDefault="004C6095">
            <w:pPr>
              <w:widowControl/>
              <w:ind w:leftChars="106" w:left="254"/>
              <w:rPr>
                <w:rFonts w:eastAsia="標楷體"/>
                <w:kern w:val="0"/>
                <w:sz w:val="20"/>
                <w:szCs w:val="20"/>
              </w:rPr>
            </w:pPr>
            <w:r w:rsidRPr="00D55DC6">
              <w:rPr>
                <w:rFonts w:eastAsia="標楷體"/>
                <w:kern w:val="0"/>
                <w:sz w:val="20"/>
                <w:szCs w:val="20"/>
              </w:rPr>
              <w:t>賽嘉無動力飛行場起降落區</w:t>
            </w:r>
            <w:r w:rsidRPr="00D55DC6">
              <w:rPr>
                <w:rFonts w:eastAsia="標楷體"/>
                <w:kern w:val="0"/>
                <w:sz w:val="20"/>
                <w:szCs w:val="20"/>
              </w:rPr>
              <w:t>OT</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2,865</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2,899</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2,974</w:t>
            </w:r>
          </w:p>
        </w:tc>
        <w:tc>
          <w:tcPr>
            <w:tcW w:w="658"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3,009</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3,045</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3,124</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3,161</w:t>
            </w:r>
          </w:p>
        </w:tc>
        <w:tc>
          <w:tcPr>
            <w:tcW w:w="658"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3,200</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3,284</w:t>
            </w:r>
          </w:p>
        </w:tc>
        <w:tc>
          <w:tcPr>
            <w:tcW w:w="657"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3,323</w:t>
            </w:r>
          </w:p>
        </w:tc>
        <w:tc>
          <w:tcPr>
            <w:tcW w:w="941" w:type="dxa"/>
            <w:tcBorders>
              <w:top w:val="single" w:sz="4" w:space="0" w:color="auto"/>
              <w:left w:val="nil"/>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49,306</w:t>
            </w:r>
          </w:p>
        </w:tc>
      </w:tr>
      <w:tr w:rsidR="001D0350" w:rsidRPr="00D55DC6" w:rsidTr="004C6095">
        <w:trPr>
          <w:trHeight w:val="330"/>
        </w:trPr>
        <w:tc>
          <w:tcPr>
            <w:tcW w:w="2552" w:type="dxa"/>
            <w:tcBorders>
              <w:top w:val="nil"/>
              <w:left w:val="single" w:sz="4" w:space="0" w:color="auto"/>
              <w:bottom w:val="single" w:sz="4" w:space="0" w:color="auto"/>
              <w:right w:val="single" w:sz="4" w:space="0" w:color="auto"/>
            </w:tcBorders>
            <w:shd w:val="clear" w:color="auto" w:fill="D9D9D9"/>
            <w:hideMark/>
          </w:tcPr>
          <w:p w:rsidR="004C6095" w:rsidRPr="00D55DC6" w:rsidRDefault="004C6095">
            <w:pPr>
              <w:widowControl/>
              <w:ind w:leftChars="106" w:left="254"/>
              <w:rPr>
                <w:rFonts w:eastAsia="標楷體"/>
                <w:kern w:val="0"/>
                <w:sz w:val="20"/>
                <w:szCs w:val="20"/>
              </w:rPr>
            </w:pPr>
            <w:r w:rsidRPr="00D55DC6">
              <w:rPr>
                <w:rFonts w:eastAsia="標楷體"/>
                <w:kern w:val="0"/>
                <w:sz w:val="20"/>
                <w:szCs w:val="20"/>
              </w:rPr>
              <w:t>寶來遊客中心</w:t>
            </w:r>
            <w:r w:rsidRPr="00D55DC6">
              <w:rPr>
                <w:rFonts w:eastAsia="標楷體"/>
                <w:kern w:val="0"/>
                <w:sz w:val="20"/>
                <w:szCs w:val="20"/>
              </w:rPr>
              <w:t>OT</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465</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493</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502</w:t>
            </w:r>
          </w:p>
        </w:tc>
        <w:tc>
          <w:tcPr>
            <w:tcW w:w="658"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512</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543</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553</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565</w:t>
            </w:r>
          </w:p>
        </w:tc>
        <w:tc>
          <w:tcPr>
            <w:tcW w:w="658"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599</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612</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626</w:t>
            </w:r>
          </w:p>
        </w:tc>
        <w:tc>
          <w:tcPr>
            <w:tcW w:w="941" w:type="dxa"/>
            <w:tcBorders>
              <w:top w:val="nil"/>
              <w:left w:val="nil"/>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7,626</w:t>
            </w:r>
          </w:p>
        </w:tc>
      </w:tr>
      <w:tr w:rsidR="001D0350" w:rsidRPr="00D55DC6" w:rsidTr="004C6095">
        <w:trPr>
          <w:trHeight w:val="330"/>
        </w:trPr>
        <w:tc>
          <w:tcPr>
            <w:tcW w:w="2552" w:type="dxa"/>
            <w:tcBorders>
              <w:top w:val="nil"/>
              <w:left w:val="single" w:sz="4" w:space="0" w:color="auto"/>
              <w:bottom w:val="single" w:sz="4" w:space="0" w:color="auto"/>
              <w:right w:val="single" w:sz="4" w:space="0" w:color="auto"/>
            </w:tcBorders>
            <w:shd w:val="clear" w:color="auto" w:fill="D9D9D9"/>
            <w:hideMark/>
          </w:tcPr>
          <w:p w:rsidR="004C6095" w:rsidRPr="00D55DC6" w:rsidRDefault="004C6095">
            <w:pPr>
              <w:widowControl/>
              <w:ind w:leftChars="106" w:left="254"/>
              <w:rPr>
                <w:rFonts w:eastAsia="標楷體"/>
                <w:kern w:val="0"/>
                <w:sz w:val="20"/>
                <w:szCs w:val="20"/>
              </w:rPr>
            </w:pPr>
            <w:r w:rsidRPr="00D55DC6">
              <w:rPr>
                <w:rFonts w:eastAsia="標楷體"/>
                <w:kern w:val="0"/>
                <w:sz w:val="20"/>
                <w:szCs w:val="20"/>
              </w:rPr>
              <w:t>寶來國小旁國有土地</w:t>
            </w:r>
            <w:r w:rsidRPr="00D55DC6">
              <w:rPr>
                <w:rFonts w:eastAsia="標楷體"/>
                <w:kern w:val="0"/>
                <w:sz w:val="20"/>
                <w:szCs w:val="20"/>
              </w:rPr>
              <w:t>BOT</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583</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615</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629</w:t>
            </w:r>
          </w:p>
        </w:tc>
        <w:tc>
          <w:tcPr>
            <w:tcW w:w="658"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643</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679</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695</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713</w:t>
            </w:r>
          </w:p>
        </w:tc>
        <w:tc>
          <w:tcPr>
            <w:tcW w:w="658"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752</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772</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793</w:t>
            </w:r>
          </w:p>
        </w:tc>
        <w:tc>
          <w:tcPr>
            <w:tcW w:w="941" w:type="dxa"/>
            <w:tcBorders>
              <w:top w:val="nil"/>
              <w:left w:val="nil"/>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9,710</w:t>
            </w:r>
          </w:p>
        </w:tc>
      </w:tr>
      <w:tr w:rsidR="001D0350" w:rsidRPr="00D55DC6" w:rsidTr="004C6095">
        <w:trPr>
          <w:trHeight w:val="330"/>
        </w:trPr>
        <w:tc>
          <w:tcPr>
            <w:tcW w:w="2552" w:type="dxa"/>
            <w:tcBorders>
              <w:top w:val="nil"/>
              <w:left w:val="single" w:sz="4" w:space="0" w:color="auto"/>
              <w:bottom w:val="single" w:sz="4" w:space="0" w:color="auto"/>
              <w:right w:val="single" w:sz="4" w:space="0" w:color="auto"/>
            </w:tcBorders>
            <w:shd w:val="clear" w:color="auto" w:fill="D9D9D9"/>
            <w:hideMark/>
          </w:tcPr>
          <w:p w:rsidR="004C6095" w:rsidRPr="00D55DC6" w:rsidRDefault="004C6095">
            <w:pPr>
              <w:widowControl/>
              <w:ind w:leftChars="106" w:left="254"/>
              <w:rPr>
                <w:rFonts w:eastAsia="標楷體"/>
                <w:kern w:val="0"/>
                <w:sz w:val="20"/>
                <w:szCs w:val="20"/>
              </w:rPr>
            </w:pPr>
            <w:r w:rsidRPr="00D55DC6">
              <w:rPr>
                <w:rFonts w:eastAsia="標楷體"/>
                <w:kern w:val="0"/>
                <w:sz w:val="20"/>
                <w:szCs w:val="20"/>
              </w:rPr>
              <w:t>地磨兒遊憩區</w:t>
            </w:r>
            <w:r w:rsidRPr="00D55DC6">
              <w:rPr>
                <w:rFonts w:eastAsia="標楷體"/>
                <w:kern w:val="0"/>
                <w:sz w:val="20"/>
                <w:szCs w:val="20"/>
              </w:rPr>
              <w:t>OT</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204</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208</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215</w:t>
            </w:r>
          </w:p>
        </w:tc>
        <w:tc>
          <w:tcPr>
            <w:tcW w:w="658"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219</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222</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230</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234</w:t>
            </w:r>
          </w:p>
        </w:tc>
        <w:tc>
          <w:tcPr>
            <w:tcW w:w="658"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238</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247</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251</w:t>
            </w:r>
          </w:p>
        </w:tc>
        <w:tc>
          <w:tcPr>
            <w:tcW w:w="941" w:type="dxa"/>
            <w:tcBorders>
              <w:top w:val="nil"/>
              <w:left w:val="nil"/>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3,526</w:t>
            </w:r>
          </w:p>
        </w:tc>
      </w:tr>
      <w:tr w:rsidR="001D0350" w:rsidRPr="00D55DC6" w:rsidTr="004C6095">
        <w:trPr>
          <w:trHeight w:val="330"/>
        </w:trPr>
        <w:tc>
          <w:tcPr>
            <w:tcW w:w="2552" w:type="dxa"/>
            <w:tcBorders>
              <w:top w:val="nil"/>
              <w:left w:val="single" w:sz="4" w:space="0" w:color="auto"/>
              <w:bottom w:val="single" w:sz="4" w:space="0" w:color="auto"/>
              <w:right w:val="single" w:sz="4" w:space="0" w:color="auto"/>
            </w:tcBorders>
            <w:shd w:val="clear" w:color="auto" w:fill="D9D9D9"/>
            <w:hideMark/>
          </w:tcPr>
          <w:p w:rsidR="004C6095" w:rsidRPr="00D55DC6" w:rsidRDefault="004C6095">
            <w:pPr>
              <w:widowControl/>
              <w:ind w:leftChars="106" w:left="254"/>
              <w:rPr>
                <w:rFonts w:eastAsia="標楷體"/>
                <w:kern w:val="0"/>
                <w:sz w:val="20"/>
                <w:szCs w:val="20"/>
              </w:rPr>
            </w:pPr>
            <w:r w:rsidRPr="00D55DC6">
              <w:rPr>
                <w:rFonts w:eastAsia="標楷體"/>
                <w:kern w:val="0"/>
                <w:sz w:val="20"/>
                <w:szCs w:val="20"/>
              </w:rPr>
              <w:t>德文咖啡廣場</w:t>
            </w:r>
            <w:r w:rsidRPr="00D55DC6">
              <w:rPr>
                <w:rFonts w:eastAsia="標楷體"/>
                <w:kern w:val="0"/>
                <w:sz w:val="20"/>
                <w:szCs w:val="20"/>
              </w:rPr>
              <w:t>OT</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124</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125</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133</w:t>
            </w:r>
          </w:p>
        </w:tc>
        <w:tc>
          <w:tcPr>
            <w:tcW w:w="658"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134</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134</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143</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144</w:t>
            </w:r>
          </w:p>
        </w:tc>
        <w:tc>
          <w:tcPr>
            <w:tcW w:w="658"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145</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153</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155</w:t>
            </w:r>
          </w:p>
        </w:tc>
        <w:tc>
          <w:tcPr>
            <w:tcW w:w="941" w:type="dxa"/>
            <w:tcBorders>
              <w:top w:val="nil"/>
              <w:left w:val="nil"/>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2,187</w:t>
            </w:r>
          </w:p>
        </w:tc>
      </w:tr>
      <w:tr w:rsidR="001D0350" w:rsidRPr="00D55DC6" w:rsidTr="004C6095">
        <w:trPr>
          <w:trHeight w:val="330"/>
        </w:trPr>
        <w:tc>
          <w:tcPr>
            <w:tcW w:w="2552" w:type="dxa"/>
            <w:tcBorders>
              <w:top w:val="nil"/>
              <w:left w:val="single" w:sz="4" w:space="0" w:color="auto"/>
              <w:bottom w:val="single" w:sz="4" w:space="0" w:color="auto"/>
              <w:right w:val="single" w:sz="4" w:space="0" w:color="auto"/>
            </w:tcBorders>
            <w:shd w:val="clear" w:color="auto" w:fill="D9D9D9"/>
            <w:hideMark/>
          </w:tcPr>
          <w:p w:rsidR="004C6095" w:rsidRPr="00D55DC6" w:rsidRDefault="004C6095">
            <w:pPr>
              <w:widowControl/>
              <w:ind w:leftChars="106" w:left="254"/>
              <w:rPr>
                <w:rFonts w:eastAsia="標楷體"/>
                <w:kern w:val="0"/>
                <w:sz w:val="20"/>
                <w:szCs w:val="20"/>
              </w:rPr>
            </w:pPr>
            <w:r w:rsidRPr="00D55DC6">
              <w:rPr>
                <w:rFonts w:eastAsia="標楷體"/>
                <w:kern w:val="0"/>
                <w:sz w:val="20"/>
                <w:szCs w:val="20"/>
              </w:rPr>
              <w:t>鳳山市農會茂林會員活動中心</w:t>
            </w:r>
            <w:r w:rsidRPr="00D55DC6">
              <w:rPr>
                <w:rFonts w:eastAsia="標楷體"/>
                <w:kern w:val="0"/>
                <w:sz w:val="20"/>
                <w:szCs w:val="20"/>
              </w:rPr>
              <w:t>ROT</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1,185</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1,201</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1,233</w:t>
            </w:r>
          </w:p>
        </w:tc>
        <w:tc>
          <w:tcPr>
            <w:tcW w:w="658"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1,249</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1,266</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1,285</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1,302</w:t>
            </w:r>
          </w:p>
        </w:tc>
        <w:tc>
          <w:tcPr>
            <w:tcW w:w="658"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1,341</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1,359</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1,377</w:t>
            </w:r>
          </w:p>
        </w:tc>
        <w:tc>
          <w:tcPr>
            <w:tcW w:w="941"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31,826</w:t>
            </w:r>
          </w:p>
        </w:tc>
      </w:tr>
      <w:tr w:rsidR="001D0350" w:rsidRPr="00D55DC6" w:rsidTr="004C6095">
        <w:trPr>
          <w:trHeight w:val="330"/>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pPr>
              <w:widowControl/>
              <w:rPr>
                <w:rFonts w:eastAsia="標楷體"/>
                <w:kern w:val="0"/>
                <w:sz w:val="20"/>
                <w:szCs w:val="20"/>
              </w:rPr>
            </w:pPr>
            <w:r w:rsidRPr="00D55DC6">
              <w:rPr>
                <w:rFonts w:eastAsia="標楷體"/>
                <w:kern w:val="0"/>
                <w:sz w:val="20"/>
                <w:szCs w:val="20"/>
              </w:rPr>
              <w:t>三、規劃新增收益計畫</w:t>
            </w: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center"/>
              <w:rPr>
                <w:rFonts w:eastAsia="標楷體"/>
                <w:kern w:val="0"/>
                <w:sz w:val="16"/>
                <w:szCs w:val="16"/>
              </w:rPr>
            </w:pP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center"/>
              <w:rPr>
                <w:rFonts w:eastAsia="標楷體"/>
                <w:kern w:val="0"/>
                <w:sz w:val="16"/>
                <w:szCs w:val="16"/>
              </w:rPr>
            </w:pP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center"/>
              <w:rPr>
                <w:rFonts w:eastAsia="標楷體"/>
                <w:kern w:val="0"/>
                <w:sz w:val="16"/>
                <w:szCs w:val="16"/>
              </w:rPr>
            </w:pPr>
          </w:p>
        </w:tc>
        <w:tc>
          <w:tcPr>
            <w:tcW w:w="658"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center"/>
              <w:rPr>
                <w:rFonts w:eastAsia="標楷體"/>
                <w:kern w:val="0"/>
                <w:sz w:val="16"/>
                <w:szCs w:val="16"/>
              </w:rPr>
            </w:pP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center"/>
              <w:rPr>
                <w:rFonts w:eastAsia="標楷體"/>
                <w:kern w:val="0"/>
                <w:sz w:val="16"/>
                <w:szCs w:val="16"/>
              </w:rPr>
            </w:pP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center"/>
              <w:rPr>
                <w:rFonts w:eastAsia="標楷體"/>
                <w:kern w:val="0"/>
                <w:sz w:val="16"/>
                <w:szCs w:val="16"/>
              </w:rPr>
            </w:pP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center"/>
              <w:rPr>
                <w:rFonts w:eastAsia="標楷體"/>
                <w:kern w:val="0"/>
                <w:sz w:val="16"/>
                <w:szCs w:val="16"/>
              </w:rPr>
            </w:pPr>
          </w:p>
        </w:tc>
        <w:tc>
          <w:tcPr>
            <w:tcW w:w="658"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center"/>
              <w:rPr>
                <w:rFonts w:eastAsia="標楷體"/>
                <w:kern w:val="0"/>
                <w:sz w:val="16"/>
                <w:szCs w:val="16"/>
              </w:rPr>
            </w:pP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center"/>
              <w:rPr>
                <w:rFonts w:eastAsia="標楷體"/>
                <w:kern w:val="0"/>
                <w:sz w:val="16"/>
                <w:szCs w:val="16"/>
              </w:rPr>
            </w:pPr>
          </w:p>
        </w:tc>
        <w:tc>
          <w:tcPr>
            <w:tcW w:w="657" w:type="dxa"/>
            <w:tcBorders>
              <w:top w:val="nil"/>
              <w:left w:val="nil"/>
              <w:bottom w:val="single" w:sz="4" w:space="0" w:color="auto"/>
              <w:right w:val="single" w:sz="4" w:space="0" w:color="auto"/>
            </w:tcBorders>
            <w:shd w:val="clear" w:color="auto" w:fill="DAEEF3"/>
            <w:noWrap/>
            <w:vAlign w:val="center"/>
          </w:tcPr>
          <w:p w:rsidR="004C6095" w:rsidRPr="00D55DC6" w:rsidRDefault="004C6095">
            <w:pPr>
              <w:widowControl/>
              <w:jc w:val="center"/>
              <w:rPr>
                <w:rFonts w:eastAsia="標楷體"/>
                <w:kern w:val="0"/>
                <w:sz w:val="16"/>
                <w:szCs w:val="16"/>
              </w:rPr>
            </w:pPr>
          </w:p>
        </w:tc>
        <w:tc>
          <w:tcPr>
            <w:tcW w:w="941" w:type="dxa"/>
            <w:tcBorders>
              <w:top w:val="single" w:sz="4" w:space="0" w:color="auto"/>
              <w:left w:val="nil"/>
              <w:bottom w:val="single" w:sz="4" w:space="0" w:color="auto"/>
              <w:right w:val="single" w:sz="4" w:space="0" w:color="auto"/>
            </w:tcBorders>
            <w:shd w:val="clear" w:color="auto" w:fill="DAEEF3"/>
            <w:noWrap/>
            <w:vAlign w:val="center"/>
          </w:tcPr>
          <w:p w:rsidR="004C6095" w:rsidRPr="00D55DC6" w:rsidRDefault="004C6095">
            <w:pPr>
              <w:widowControl/>
              <w:jc w:val="right"/>
              <w:rPr>
                <w:rFonts w:eastAsia="標楷體"/>
                <w:kern w:val="0"/>
                <w:sz w:val="16"/>
                <w:szCs w:val="16"/>
              </w:rPr>
            </w:pPr>
          </w:p>
        </w:tc>
      </w:tr>
      <w:tr w:rsidR="001D0350" w:rsidRPr="00D55DC6" w:rsidTr="004C6095">
        <w:trPr>
          <w:trHeight w:val="330"/>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7E2055">
            <w:pPr>
              <w:widowControl/>
              <w:rPr>
                <w:rFonts w:eastAsia="標楷體"/>
                <w:kern w:val="0"/>
                <w:sz w:val="20"/>
                <w:szCs w:val="20"/>
              </w:rPr>
            </w:pPr>
            <w:r w:rsidRPr="00D55DC6">
              <w:rPr>
                <w:rFonts w:eastAsia="標楷體" w:hint="eastAsia"/>
                <w:kern w:val="0"/>
                <w:sz w:val="20"/>
                <w:szCs w:val="20"/>
              </w:rPr>
              <w:t xml:space="preserve">   </w:t>
            </w:r>
            <w:r w:rsidR="004C6095" w:rsidRPr="00D55DC6">
              <w:rPr>
                <w:rFonts w:eastAsia="標楷體"/>
                <w:kern w:val="0"/>
                <w:sz w:val="20"/>
                <w:szCs w:val="20"/>
              </w:rPr>
              <w:t>賽嘉旅館</w:t>
            </w:r>
            <w:r w:rsidR="004C6095" w:rsidRPr="00D55DC6">
              <w:rPr>
                <w:rFonts w:eastAsia="標楷體"/>
                <w:kern w:val="0"/>
                <w:sz w:val="20"/>
                <w:szCs w:val="20"/>
              </w:rPr>
              <w:t>BOO</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558</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570</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582</w:t>
            </w:r>
          </w:p>
        </w:tc>
        <w:tc>
          <w:tcPr>
            <w:tcW w:w="658"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593</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604</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617</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629</w:t>
            </w:r>
          </w:p>
        </w:tc>
        <w:tc>
          <w:tcPr>
            <w:tcW w:w="658"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641</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654</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667</w:t>
            </w:r>
          </w:p>
        </w:tc>
        <w:tc>
          <w:tcPr>
            <w:tcW w:w="941" w:type="dxa"/>
            <w:tcBorders>
              <w:top w:val="nil"/>
              <w:left w:val="nil"/>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8,663</w:t>
            </w:r>
          </w:p>
        </w:tc>
      </w:tr>
      <w:tr w:rsidR="001D0350" w:rsidRPr="00D55DC6" w:rsidTr="004C6095">
        <w:trPr>
          <w:trHeight w:val="330"/>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7E2055">
            <w:pPr>
              <w:widowControl/>
              <w:rPr>
                <w:rFonts w:eastAsia="標楷體"/>
                <w:kern w:val="0"/>
                <w:sz w:val="20"/>
                <w:szCs w:val="20"/>
              </w:rPr>
            </w:pPr>
            <w:r w:rsidRPr="00D55DC6">
              <w:rPr>
                <w:rFonts w:eastAsia="標楷體" w:hint="eastAsia"/>
                <w:kern w:val="0"/>
                <w:sz w:val="20"/>
                <w:szCs w:val="20"/>
              </w:rPr>
              <w:t xml:space="preserve">   </w:t>
            </w:r>
            <w:r w:rsidR="004C6095" w:rsidRPr="00D55DC6">
              <w:rPr>
                <w:rFonts w:eastAsia="標楷體"/>
                <w:kern w:val="0"/>
                <w:sz w:val="20"/>
                <w:szCs w:val="20"/>
              </w:rPr>
              <w:t>新威旅館</w:t>
            </w:r>
            <w:r w:rsidR="004C6095" w:rsidRPr="00D55DC6">
              <w:rPr>
                <w:rFonts w:eastAsia="標楷體"/>
                <w:kern w:val="0"/>
                <w:sz w:val="20"/>
                <w:szCs w:val="20"/>
              </w:rPr>
              <w:t>BOO</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698</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712</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726</w:t>
            </w:r>
          </w:p>
        </w:tc>
        <w:tc>
          <w:tcPr>
            <w:tcW w:w="658"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741</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756</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771</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786</w:t>
            </w:r>
          </w:p>
        </w:tc>
        <w:tc>
          <w:tcPr>
            <w:tcW w:w="658"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802</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818</w:t>
            </w:r>
          </w:p>
        </w:tc>
        <w:tc>
          <w:tcPr>
            <w:tcW w:w="657" w:type="dxa"/>
            <w:tcBorders>
              <w:top w:val="nil"/>
              <w:left w:val="nil"/>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834</w:t>
            </w:r>
          </w:p>
        </w:tc>
        <w:tc>
          <w:tcPr>
            <w:tcW w:w="941" w:type="dxa"/>
            <w:tcBorders>
              <w:top w:val="nil"/>
              <w:left w:val="nil"/>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10,828</w:t>
            </w:r>
          </w:p>
        </w:tc>
      </w:tr>
      <w:tr w:rsidR="001D0350" w:rsidRPr="00D55DC6" w:rsidTr="004C6095">
        <w:trPr>
          <w:trHeight w:val="330"/>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7E2055">
            <w:pPr>
              <w:widowControl/>
              <w:rPr>
                <w:rFonts w:eastAsia="標楷體"/>
                <w:kern w:val="0"/>
                <w:sz w:val="20"/>
                <w:szCs w:val="20"/>
              </w:rPr>
            </w:pPr>
            <w:r w:rsidRPr="00D55DC6">
              <w:rPr>
                <w:rFonts w:eastAsia="標楷體" w:hint="eastAsia"/>
                <w:kern w:val="0"/>
                <w:sz w:val="20"/>
                <w:szCs w:val="20"/>
              </w:rPr>
              <w:t xml:space="preserve">   </w:t>
            </w:r>
            <w:r w:rsidR="004C6095" w:rsidRPr="00D55DC6">
              <w:rPr>
                <w:rFonts w:eastAsia="標楷體"/>
                <w:kern w:val="0"/>
                <w:sz w:val="20"/>
                <w:szCs w:val="20"/>
              </w:rPr>
              <w:t>雙年賞蝶門票</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4,804</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4,900</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4,998</w:t>
            </w:r>
          </w:p>
        </w:tc>
        <w:tc>
          <w:tcPr>
            <w:tcW w:w="658"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5,098</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5,200</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5,304</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5,410</w:t>
            </w:r>
          </w:p>
        </w:tc>
        <w:tc>
          <w:tcPr>
            <w:tcW w:w="658"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5,518</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5,628</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5,714</w:t>
            </w:r>
          </w:p>
        </w:tc>
        <w:tc>
          <w:tcPr>
            <w:tcW w:w="941"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87,765</w:t>
            </w:r>
          </w:p>
        </w:tc>
      </w:tr>
      <w:tr w:rsidR="001D0350" w:rsidRPr="00D55DC6" w:rsidTr="004C6095">
        <w:trPr>
          <w:trHeight w:val="330"/>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泛舟服務區</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2,929</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2,988</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3,047</w:t>
            </w:r>
          </w:p>
        </w:tc>
        <w:tc>
          <w:tcPr>
            <w:tcW w:w="658"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3,108</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3,171</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3,234</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3,299</w:t>
            </w:r>
          </w:p>
        </w:tc>
        <w:tc>
          <w:tcPr>
            <w:tcW w:w="658"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3,365</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3,432</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3,501</w:t>
            </w:r>
          </w:p>
        </w:tc>
        <w:tc>
          <w:tcPr>
            <w:tcW w:w="941"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53,531</w:t>
            </w:r>
          </w:p>
        </w:tc>
      </w:tr>
      <w:tr w:rsidR="001D0350" w:rsidRPr="00D55DC6" w:rsidTr="004C6095">
        <w:trPr>
          <w:trHeight w:val="330"/>
        </w:trPr>
        <w:tc>
          <w:tcPr>
            <w:tcW w:w="2552" w:type="dxa"/>
            <w:tcBorders>
              <w:top w:val="nil"/>
              <w:left w:val="single" w:sz="4" w:space="0" w:color="auto"/>
              <w:bottom w:val="single" w:sz="4" w:space="0" w:color="auto"/>
              <w:right w:val="single" w:sz="4" w:space="0" w:color="auto"/>
            </w:tcBorders>
            <w:shd w:val="clear" w:color="auto" w:fill="D9D9D9"/>
            <w:noWrap/>
            <w:vAlign w:val="center"/>
            <w:hideMark/>
          </w:tcPr>
          <w:p w:rsidR="004C6095" w:rsidRPr="00D55DC6" w:rsidRDefault="004C6095">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多納高吊橋</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937</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956</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975</w:t>
            </w:r>
          </w:p>
        </w:tc>
        <w:tc>
          <w:tcPr>
            <w:tcW w:w="658"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995</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1,015</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1,035</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1,056</w:t>
            </w:r>
          </w:p>
        </w:tc>
        <w:tc>
          <w:tcPr>
            <w:tcW w:w="658"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1,077</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1,098</w:t>
            </w:r>
          </w:p>
        </w:tc>
        <w:tc>
          <w:tcPr>
            <w:tcW w:w="657"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center"/>
              <w:rPr>
                <w:rFonts w:eastAsia="標楷體"/>
                <w:sz w:val="20"/>
                <w:szCs w:val="20"/>
              </w:rPr>
            </w:pPr>
            <w:r w:rsidRPr="00D55DC6">
              <w:rPr>
                <w:rFonts w:eastAsia="標楷體"/>
                <w:sz w:val="20"/>
                <w:szCs w:val="20"/>
              </w:rPr>
              <w:t>1,120</w:t>
            </w:r>
          </w:p>
        </w:tc>
        <w:tc>
          <w:tcPr>
            <w:tcW w:w="941" w:type="dxa"/>
            <w:tcBorders>
              <w:top w:val="single" w:sz="4" w:space="0" w:color="auto"/>
              <w:left w:val="single" w:sz="4" w:space="0" w:color="auto"/>
              <w:bottom w:val="single" w:sz="4" w:space="0" w:color="auto"/>
              <w:right w:val="single" w:sz="4" w:space="0" w:color="auto"/>
            </w:tcBorders>
            <w:noWrap/>
            <w:vAlign w:val="center"/>
            <w:hideMark/>
          </w:tcPr>
          <w:p w:rsidR="004C6095" w:rsidRPr="00D55DC6" w:rsidRDefault="004C6095">
            <w:pPr>
              <w:jc w:val="right"/>
              <w:rPr>
                <w:rFonts w:eastAsia="標楷體"/>
                <w:sz w:val="20"/>
                <w:szCs w:val="20"/>
              </w:rPr>
            </w:pPr>
            <w:r w:rsidRPr="00D55DC6">
              <w:rPr>
                <w:rFonts w:eastAsia="標楷體"/>
                <w:sz w:val="20"/>
                <w:szCs w:val="20"/>
              </w:rPr>
              <w:t>17,130</w:t>
            </w:r>
          </w:p>
        </w:tc>
      </w:tr>
      <w:tr w:rsidR="001D0350" w:rsidRPr="00D55DC6" w:rsidTr="004C6095">
        <w:trPr>
          <w:trHeight w:val="345"/>
        </w:trPr>
        <w:tc>
          <w:tcPr>
            <w:tcW w:w="255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4C6095" w:rsidRPr="00D55DC6" w:rsidRDefault="004C6095">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合</w:t>
            </w:r>
            <w:r w:rsidRPr="00D55DC6">
              <w:rPr>
                <w:rFonts w:eastAsia="標楷體"/>
                <w:kern w:val="0"/>
                <w:sz w:val="20"/>
                <w:szCs w:val="20"/>
              </w:rPr>
              <w:t xml:space="preserve">          </w:t>
            </w:r>
            <w:r w:rsidRPr="00D55DC6">
              <w:rPr>
                <w:rFonts w:eastAsia="標楷體"/>
                <w:kern w:val="0"/>
                <w:sz w:val="20"/>
                <w:szCs w:val="20"/>
              </w:rPr>
              <w:t>計</w:t>
            </w:r>
          </w:p>
        </w:tc>
        <w:tc>
          <w:tcPr>
            <w:tcW w:w="657" w:type="dxa"/>
            <w:tcBorders>
              <w:top w:val="single" w:sz="4" w:space="0" w:color="auto"/>
              <w:left w:val="single" w:sz="4" w:space="0" w:color="auto"/>
              <w:bottom w:val="single" w:sz="4" w:space="0" w:color="auto"/>
              <w:right w:val="single" w:sz="4" w:space="0" w:color="auto"/>
            </w:tcBorders>
            <w:shd w:val="clear" w:color="auto" w:fill="E4DFEC"/>
            <w:noWrap/>
            <w:vAlign w:val="center"/>
            <w:hideMark/>
          </w:tcPr>
          <w:p w:rsidR="004C6095" w:rsidRPr="00D55DC6" w:rsidRDefault="004C6095">
            <w:pPr>
              <w:jc w:val="center"/>
              <w:rPr>
                <w:rFonts w:eastAsia="標楷體"/>
                <w:sz w:val="20"/>
                <w:szCs w:val="20"/>
              </w:rPr>
            </w:pPr>
            <w:r w:rsidRPr="00D55DC6">
              <w:rPr>
                <w:rFonts w:eastAsia="標楷體"/>
                <w:sz w:val="20"/>
                <w:szCs w:val="20"/>
              </w:rPr>
              <w:t>29,041</w:t>
            </w:r>
          </w:p>
        </w:tc>
        <w:tc>
          <w:tcPr>
            <w:tcW w:w="657" w:type="dxa"/>
            <w:tcBorders>
              <w:top w:val="single" w:sz="4" w:space="0" w:color="auto"/>
              <w:left w:val="single" w:sz="4" w:space="0" w:color="auto"/>
              <w:bottom w:val="single" w:sz="4" w:space="0" w:color="auto"/>
              <w:right w:val="single" w:sz="4" w:space="0" w:color="auto"/>
            </w:tcBorders>
            <w:shd w:val="clear" w:color="auto" w:fill="E4DFEC"/>
            <w:noWrap/>
            <w:vAlign w:val="center"/>
            <w:hideMark/>
          </w:tcPr>
          <w:p w:rsidR="004C6095" w:rsidRPr="00D55DC6" w:rsidRDefault="004C6095">
            <w:pPr>
              <w:jc w:val="center"/>
              <w:rPr>
                <w:rFonts w:eastAsia="標楷體"/>
                <w:sz w:val="20"/>
                <w:szCs w:val="20"/>
              </w:rPr>
            </w:pPr>
            <w:r w:rsidRPr="00D55DC6">
              <w:rPr>
                <w:rFonts w:eastAsia="標楷體"/>
                <w:sz w:val="20"/>
                <w:szCs w:val="20"/>
              </w:rPr>
              <w:t>34,474</w:t>
            </w:r>
          </w:p>
        </w:tc>
        <w:tc>
          <w:tcPr>
            <w:tcW w:w="657" w:type="dxa"/>
            <w:tcBorders>
              <w:top w:val="single" w:sz="4" w:space="0" w:color="auto"/>
              <w:left w:val="single" w:sz="4" w:space="0" w:color="auto"/>
              <w:bottom w:val="single" w:sz="4" w:space="0" w:color="auto"/>
              <w:right w:val="single" w:sz="4" w:space="0" w:color="auto"/>
            </w:tcBorders>
            <w:shd w:val="clear" w:color="auto" w:fill="E4DFEC"/>
            <w:noWrap/>
            <w:vAlign w:val="center"/>
            <w:hideMark/>
          </w:tcPr>
          <w:p w:rsidR="004C6095" w:rsidRPr="00D55DC6" w:rsidRDefault="004C6095">
            <w:pPr>
              <w:jc w:val="center"/>
              <w:rPr>
                <w:rFonts w:eastAsia="標楷體"/>
                <w:sz w:val="20"/>
                <w:szCs w:val="20"/>
              </w:rPr>
            </w:pPr>
            <w:r w:rsidRPr="00D55DC6">
              <w:rPr>
                <w:rFonts w:eastAsia="標楷體"/>
                <w:sz w:val="20"/>
                <w:szCs w:val="20"/>
              </w:rPr>
              <w:t>36,085</w:t>
            </w:r>
          </w:p>
        </w:tc>
        <w:tc>
          <w:tcPr>
            <w:tcW w:w="658" w:type="dxa"/>
            <w:tcBorders>
              <w:top w:val="single" w:sz="4" w:space="0" w:color="auto"/>
              <w:left w:val="single" w:sz="4" w:space="0" w:color="auto"/>
              <w:bottom w:val="single" w:sz="4" w:space="0" w:color="auto"/>
              <w:right w:val="single" w:sz="4" w:space="0" w:color="auto"/>
            </w:tcBorders>
            <w:shd w:val="clear" w:color="auto" w:fill="E4DFEC"/>
            <w:noWrap/>
            <w:vAlign w:val="center"/>
            <w:hideMark/>
          </w:tcPr>
          <w:p w:rsidR="004C6095" w:rsidRPr="00D55DC6" w:rsidRDefault="004C6095">
            <w:pPr>
              <w:jc w:val="center"/>
              <w:rPr>
                <w:rFonts w:eastAsia="標楷體"/>
                <w:sz w:val="20"/>
                <w:szCs w:val="20"/>
              </w:rPr>
            </w:pPr>
            <w:r w:rsidRPr="00D55DC6">
              <w:rPr>
                <w:rFonts w:eastAsia="標楷體"/>
                <w:sz w:val="20"/>
                <w:szCs w:val="20"/>
              </w:rPr>
              <w:t>37,782</w:t>
            </w:r>
          </w:p>
        </w:tc>
        <w:tc>
          <w:tcPr>
            <w:tcW w:w="657" w:type="dxa"/>
            <w:tcBorders>
              <w:top w:val="single" w:sz="4" w:space="0" w:color="auto"/>
              <w:left w:val="single" w:sz="4" w:space="0" w:color="auto"/>
              <w:bottom w:val="single" w:sz="4" w:space="0" w:color="auto"/>
              <w:right w:val="single" w:sz="4" w:space="0" w:color="auto"/>
            </w:tcBorders>
            <w:shd w:val="clear" w:color="auto" w:fill="E4DFEC"/>
            <w:noWrap/>
            <w:vAlign w:val="center"/>
            <w:hideMark/>
          </w:tcPr>
          <w:p w:rsidR="004C6095" w:rsidRPr="00D55DC6" w:rsidRDefault="004C6095">
            <w:pPr>
              <w:jc w:val="center"/>
              <w:rPr>
                <w:rFonts w:eastAsia="標楷體"/>
                <w:sz w:val="20"/>
                <w:szCs w:val="20"/>
              </w:rPr>
            </w:pPr>
            <w:r w:rsidRPr="00D55DC6">
              <w:rPr>
                <w:rFonts w:eastAsia="標楷體"/>
                <w:sz w:val="20"/>
                <w:szCs w:val="20"/>
              </w:rPr>
              <w:t>38,858</w:t>
            </w:r>
          </w:p>
        </w:tc>
        <w:tc>
          <w:tcPr>
            <w:tcW w:w="657" w:type="dxa"/>
            <w:tcBorders>
              <w:top w:val="single" w:sz="4" w:space="0" w:color="auto"/>
              <w:left w:val="single" w:sz="4" w:space="0" w:color="auto"/>
              <w:bottom w:val="single" w:sz="4" w:space="0" w:color="auto"/>
              <w:right w:val="single" w:sz="4" w:space="0" w:color="auto"/>
            </w:tcBorders>
            <w:shd w:val="clear" w:color="auto" w:fill="E4DFEC"/>
            <w:noWrap/>
            <w:vAlign w:val="center"/>
            <w:hideMark/>
          </w:tcPr>
          <w:p w:rsidR="004C6095" w:rsidRPr="00D55DC6" w:rsidRDefault="004C6095">
            <w:pPr>
              <w:jc w:val="center"/>
              <w:rPr>
                <w:rFonts w:eastAsia="標楷體"/>
                <w:sz w:val="20"/>
                <w:szCs w:val="20"/>
              </w:rPr>
            </w:pPr>
            <w:r w:rsidRPr="00D55DC6">
              <w:rPr>
                <w:rFonts w:eastAsia="標楷體"/>
                <w:sz w:val="20"/>
                <w:szCs w:val="20"/>
              </w:rPr>
              <w:t>40,059</w:t>
            </w:r>
          </w:p>
        </w:tc>
        <w:tc>
          <w:tcPr>
            <w:tcW w:w="657" w:type="dxa"/>
            <w:tcBorders>
              <w:top w:val="single" w:sz="4" w:space="0" w:color="auto"/>
              <w:left w:val="single" w:sz="4" w:space="0" w:color="auto"/>
              <w:bottom w:val="single" w:sz="4" w:space="0" w:color="auto"/>
              <w:right w:val="single" w:sz="4" w:space="0" w:color="auto"/>
            </w:tcBorders>
            <w:shd w:val="clear" w:color="auto" w:fill="E4DFEC"/>
            <w:noWrap/>
            <w:vAlign w:val="center"/>
            <w:hideMark/>
          </w:tcPr>
          <w:p w:rsidR="004C6095" w:rsidRPr="00D55DC6" w:rsidRDefault="004C6095">
            <w:pPr>
              <w:jc w:val="center"/>
              <w:rPr>
                <w:rFonts w:eastAsia="標楷體"/>
                <w:sz w:val="20"/>
                <w:szCs w:val="20"/>
              </w:rPr>
            </w:pPr>
            <w:r w:rsidRPr="00D55DC6">
              <w:rPr>
                <w:rFonts w:eastAsia="標楷體"/>
                <w:sz w:val="20"/>
                <w:szCs w:val="20"/>
              </w:rPr>
              <w:t>41,663</w:t>
            </w:r>
          </w:p>
        </w:tc>
        <w:tc>
          <w:tcPr>
            <w:tcW w:w="658" w:type="dxa"/>
            <w:tcBorders>
              <w:top w:val="single" w:sz="4" w:space="0" w:color="auto"/>
              <w:left w:val="single" w:sz="4" w:space="0" w:color="auto"/>
              <w:bottom w:val="single" w:sz="4" w:space="0" w:color="auto"/>
              <w:right w:val="single" w:sz="4" w:space="0" w:color="auto"/>
            </w:tcBorders>
            <w:shd w:val="clear" w:color="auto" w:fill="E4DFEC"/>
            <w:noWrap/>
            <w:vAlign w:val="center"/>
            <w:hideMark/>
          </w:tcPr>
          <w:p w:rsidR="004C6095" w:rsidRPr="00D55DC6" w:rsidRDefault="004C6095">
            <w:pPr>
              <w:jc w:val="center"/>
              <w:rPr>
                <w:rFonts w:eastAsia="標楷體"/>
                <w:sz w:val="20"/>
                <w:szCs w:val="20"/>
              </w:rPr>
            </w:pPr>
            <w:r w:rsidRPr="00D55DC6">
              <w:rPr>
                <w:rFonts w:eastAsia="標楷體"/>
                <w:sz w:val="20"/>
                <w:szCs w:val="20"/>
              </w:rPr>
              <w:t>42,680</w:t>
            </w:r>
          </w:p>
        </w:tc>
        <w:tc>
          <w:tcPr>
            <w:tcW w:w="657" w:type="dxa"/>
            <w:tcBorders>
              <w:top w:val="single" w:sz="4" w:space="0" w:color="auto"/>
              <w:left w:val="single" w:sz="4" w:space="0" w:color="auto"/>
              <w:bottom w:val="single" w:sz="4" w:space="0" w:color="auto"/>
              <w:right w:val="single" w:sz="4" w:space="0" w:color="auto"/>
            </w:tcBorders>
            <w:shd w:val="clear" w:color="auto" w:fill="E4DFEC"/>
            <w:noWrap/>
            <w:vAlign w:val="center"/>
            <w:hideMark/>
          </w:tcPr>
          <w:p w:rsidR="004C6095" w:rsidRPr="00D55DC6" w:rsidRDefault="004C6095">
            <w:pPr>
              <w:jc w:val="center"/>
              <w:rPr>
                <w:rFonts w:eastAsia="標楷體"/>
                <w:sz w:val="20"/>
                <w:szCs w:val="20"/>
              </w:rPr>
            </w:pPr>
            <w:r w:rsidRPr="00D55DC6">
              <w:rPr>
                <w:rFonts w:eastAsia="標楷體"/>
                <w:sz w:val="20"/>
                <w:szCs w:val="20"/>
              </w:rPr>
              <w:t>43,796</w:t>
            </w:r>
          </w:p>
        </w:tc>
        <w:tc>
          <w:tcPr>
            <w:tcW w:w="657" w:type="dxa"/>
            <w:tcBorders>
              <w:top w:val="single" w:sz="4" w:space="0" w:color="auto"/>
              <w:left w:val="single" w:sz="4" w:space="0" w:color="auto"/>
              <w:bottom w:val="single" w:sz="4" w:space="0" w:color="auto"/>
              <w:right w:val="single" w:sz="4" w:space="0" w:color="auto"/>
            </w:tcBorders>
            <w:shd w:val="clear" w:color="auto" w:fill="E4DFEC"/>
            <w:noWrap/>
            <w:vAlign w:val="center"/>
            <w:hideMark/>
          </w:tcPr>
          <w:p w:rsidR="004C6095" w:rsidRPr="00D55DC6" w:rsidRDefault="004C6095">
            <w:pPr>
              <w:jc w:val="center"/>
              <w:rPr>
                <w:rFonts w:eastAsia="標楷體"/>
                <w:sz w:val="20"/>
                <w:szCs w:val="20"/>
              </w:rPr>
            </w:pPr>
            <w:r w:rsidRPr="00D55DC6">
              <w:rPr>
                <w:rFonts w:eastAsia="標楷體"/>
                <w:sz w:val="20"/>
                <w:szCs w:val="20"/>
              </w:rPr>
              <w:t>44,684</w:t>
            </w:r>
          </w:p>
        </w:tc>
        <w:tc>
          <w:tcPr>
            <w:tcW w:w="941" w:type="dxa"/>
            <w:tcBorders>
              <w:top w:val="single" w:sz="4" w:space="0" w:color="auto"/>
              <w:left w:val="single" w:sz="4" w:space="0" w:color="auto"/>
              <w:bottom w:val="single" w:sz="4" w:space="0" w:color="auto"/>
              <w:right w:val="single" w:sz="4" w:space="0" w:color="auto"/>
            </w:tcBorders>
            <w:shd w:val="clear" w:color="auto" w:fill="E4DFEC"/>
            <w:noWrap/>
            <w:vAlign w:val="center"/>
            <w:hideMark/>
          </w:tcPr>
          <w:p w:rsidR="004C6095" w:rsidRPr="00D55DC6" w:rsidRDefault="004C6095">
            <w:pPr>
              <w:jc w:val="right"/>
              <w:rPr>
                <w:rFonts w:eastAsia="標楷體"/>
                <w:sz w:val="20"/>
                <w:szCs w:val="20"/>
              </w:rPr>
            </w:pPr>
            <w:r w:rsidRPr="00D55DC6">
              <w:rPr>
                <w:rFonts w:eastAsia="標楷體"/>
                <w:sz w:val="20"/>
                <w:szCs w:val="20"/>
              </w:rPr>
              <w:t>549,467</w:t>
            </w:r>
          </w:p>
        </w:tc>
      </w:tr>
    </w:tbl>
    <w:p w:rsidR="00B6196A" w:rsidRPr="00D55DC6" w:rsidRDefault="00B6196A" w:rsidP="0038165F">
      <w:pPr>
        <w:spacing w:line="460" w:lineRule="exact"/>
        <w:rPr>
          <w:rFonts w:eastAsia="標楷體"/>
        </w:rPr>
      </w:pPr>
    </w:p>
    <w:p w:rsidR="00B6196A" w:rsidRPr="00D55DC6" w:rsidRDefault="00B6196A" w:rsidP="0038165F">
      <w:pPr>
        <w:spacing w:line="460" w:lineRule="exact"/>
        <w:rPr>
          <w:rFonts w:eastAsia="標楷體"/>
        </w:rPr>
      </w:pPr>
    </w:p>
    <w:p w:rsidR="00B6196A" w:rsidRPr="00D55DC6" w:rsidRDefault="00B6196A" w:rsidP="004865C1">
      <w:pPr>
        <w:pStyle w:val="af2"/>
        <w:numPr>
          <w:ilvl w:val="0"/>
          <w:numId w:val="134"/>
        </w:numPr>
        <w:snapToGrid w:val="0"/>
        <w:spacing w:line="460" w:lineRule="exact"/>
        <w:ind w:leftChars="0"/>
        <w:jc w:val="both"/>
        <w:rPr>
          <w:rFonts w:eastAsia="標楷體"/>
          <w:b/>
          <w:sz w:val="28"/>
          <w:szCs w:val="28"/>
        </w:rPr>
      </w:pPr>
      <w:r w:rsidRPr="00D55DC6">
        <w:rPr>
          <w:rFonts w:eastAsia="標楷體"/>
          <w:b/>
          <w:sz w:val="28"/>
          <w:szCs w:val="28"/>
        </w:rPr>
        <w:lastRenderedPageBreak/>
        <w:t>自償率估算</w:t>
      </w:r>
    </w:p>
    <w:p w:rsidR="00B6196A" w:rsidRPr="00D55DC6" w:rsidRDefault="00B6196A" w:rsidP="0038165F">
      <w:pPr>
        <w:pStyle w:val="a"/>
        <w:numPr>
          <w:ilvl w:val="0"/>
          <w:numId w:val="0"/>
        </w:numPr>
        <w:ind w:left="709"/>
      </w:pPr>
      <w:r w:rsidRPr="00D55DC6">
        <w:t xml:space="preserve">　　</w:t>
      </w:r>
      <w:r w:rsidR="004C6095" w:rsidRPr="00D55DC6">
        <w:t>本計畫預計</w:t>
      </w:r>
      <w:r w:rsidR="004C6095" w:rsidRPr="00D55DC6">
        <w:t>103-122</w:t>
      </w:r>
      <w:r w:rsidR="004C6095" w:rsidRPr="00D55DC6">
        <w:t>年</w:t>
      </w:r>
      <w:r w:rsidR="004C6095" w:rsidRPr="00D55DC6">
        <w:t>20</w:t>
      </w:r>
      <w:r w:rsidR="004C6095" w:rsidRPr="00D55DC6">
        <w:t>年期間茂林國家風景區建設經營分年之建設費用如下表，初步分析計畫期間分年自償率收支比會從計畫開始執行之</w:t>
      </w:r>
      <w:r w:rsidR="004C6095" w:rsidRPr="00D55DC6">
        <w:t>103</w:t>
      </w:r>
      <w:r w:rsidR="004C6095" w:rsidRPr="00D55DC6">
        <w:t>年的</w:t>
      </w:r>
      <w:r w:rsidR="004C6095" w:rsidRPr="00D55DC6">
        <w:t>0.08</w:t>
      </w:r>
      <w:r w:rsidR="004C6095" w:rsidRPr="00D55DC6">
        <w:t>％左右成長至</w:t>
      </w:r>
      <w:r w:rsidR="004C6095" w:rsidRPr="00D55DC6">
        <w:t>122</w:t>
      </w:r>
      <w:r w:rsidR="004C6095" w:rsidRPr="00D55DC6">
        <w:t>年約為</w:t>
      </w:r>
      <w:r w:rsidR="004C6095" w:rsidRPr="00D55DC6">
        <w:t>45.57</w:t>
      </w:r>
      <w:r w:rsidR="004C6095" w:rsidRPr="00D55DC6">
        <w:t>％。依據下表各年度預估投入成本與預期收益金額，以</w:t>
      </w:r>
      <w:r w:rsidR="004C6095" w:rsidRPr="00D55DC6">
        <w:t>2.88%</w:t>
      </w:r>
      <w:r w:rsidR="004C6095" w:rsidRPr="00D55DC6">
        <w:t>折現率，計算結果</w:t>
      </w:r>
      <w:r w:rsidR="004C6095" w:rsidRPr="00D55DC6">
        <w:t>103-122</w:t>
      </w:r>
      <w:r w:rsidR="004C6095" w:rsidRPr="00D55DC6">
        <w:t>年期間投資現值預估為</w:t>
      </w:r>
      <w:r w:rsidR="004C6095" w:rsidRPr="00D55DC6">
        <w:t>24</w:t>
      </w:r>
      <w:r w:rsidR="004C6095" w:rsidRPr="00D55DC6">
        <w:t>億</w:t>
      </w:r>
      <w:r w:rsidR="004C6095" w:rsidRPr="00D55DC6">
        <w:t>4,993</w:t>
      </w:r>
      <w:r w:rsidR="004C6095" w:rsidRPr="00D55DC6">
        <w:t>萬元；而收益現值預估為</w:t>
      </w:r>
      <w:r w:rsidR="004C6095" w:rsidRPr="00D55DC6">
        <w:t>3</w:t>
      </w:r>
      <w:r w:rsidR="004C6095" w:rsidRPr="00D55DC6">
        <w:t>億</w:t>
      </w:r>
      <w:r w:rsidR="004C6095" w:rsidRPr="00D55DC6">
        <w:t>8,016</w:t>
      </w:r>
      <w:r w:rsidR="004C6095" w:rsidRPr="00D55DC6">
        <w:t>萬元，整體計畫自償率為</w:t>
      </w:r>
      <w:r w:rsidR="004C6095" w:rsidRPr="00D55DC6">
        <w:t>15.52</w:t>
      </w:r>
      <w:r w:rsidR="004C6095" w:rsidRPr="00D55DC6">
        <w:t>％。</w:t>
      </w:r>
    </w:p>
    <w:p w:rsidR="004C6095" w:rsidRPr="00D55DC6" w:rsidRDefault="004C6095" w:rsidP="009D33BA">
      <w:pPr>
        <w:keepNext/>
        <w:spacing w:beforeLines="50" w:before="180" w:afterLines="50" w:after="180"/>
        <w:ind w:rightChars="-316" w:right="-758"/>
        <w:rPr>
          <w:rFonts w:eastAsia="標楷體"/>
        </w:rPr>
      </w:pPr>
      <w:r w:rsidRPr="00D55DC6">
        <w:rPr>
          <w:rFonts w:eastAsia="標楷體"/>
        </w:rPr>
        <w:t>表　自償率分析表</w:t>
      </w:r>
      <w:r w:rsidRPr="00D55DC6">
        <w:rPr>
          <w:rFonts w:eastAsia="標楷體"/>
        </w:rPr>
        <w:t xml:space="preserve">                                                 </w:t>
      </w:r>
      <w:r w:rsidRPr="00D55DC6">
        <w:rPr>
          <w:rFonts w:eastAsia="標楷體"/>
        </w:rPr>
        <w:t>（單位：千元）</w:t>
      </w:r>
    </w:p>
    <w:tbl>
      <w:tblPr>
        <w:tblW w:w="10066" w:type="dxa"/>
        <w:tblInd w:w="-26" w:type="dxa"/>
        <w:tblCellMar>
          <w:left w:w="28" w:type="dxa"/>
          <w:right w:w="28" w:type="dxa"/>
        </w:tblCellMar>
        <w:tblLook w:val="00A0" w:firstRow="1" w:lastRow="0" w:firstColumn="1" w:lastColumn="0" w:noHBand="0" w:noVBand="0"/>
      </w:tblPr>
      <w:tblGrid>
        <w:gridCol w:w="993"/>
        <w:gridCol w:w="1144"/>
        <w:gridCol w:w="825"/>
        <w:gridCol w:w="771"/>
        <w:gridCol w:w="771"/>
        <w:gridCol w:w="771"/>
        <w:gridCol w:w="771"/>
        <w:gridCol w:w="771"/>
        <w:gridCol w:w="771"/>
        <w:gridCol w:w="771"/>
        <w:gridCol w:w="771"/>
        <w:gridCol w:w="936"/>
      </w:tblGrid>
      <w:tr w:rsidR="001D0350" w:rsidRPr="00D55DC6" w:rsidTr="004C6095">
        <w:trPr>
          <w:gridAfter w:val="1"/>
          <w:wAfter w:w="936" w:type="dxa"/>
          <w:trHeight w:val="345"/>
        </w:trPr>
        <w:tc>
          <w:tcPr>
            <w:tcW w:w="993" w:type="dxa"/>
            <w:tcBorders>
              <w:top w:val="single" w:sz="4" w:space="0" w:color="auto"/>
              <w:left w:val="single" w:sz="4" w:space="0" w:color="auto"/>
              <w:bottom w:val="double" w:sz="6" w:space="0" w:color="auto"/>
              <w:right w:val="single" w:sz="4" w:space="0" w:color="auto"/>
            </w:tcBorders>
            <w:shd w:val="clear" w:color="auto" w:fill="FFCC00"/>
            <w:noWrap/>
            <w:vAlign w:val="center"/>
            <w:hideMark/>
          </w:tcPr>
          <w:p w:rsidR="004C6095" w:rsidRPr="00D55DC6" w:rsidRDefault="004C6095">
            <w:pPr>
              <w:widowControl/>
              <w:rPr>
                <w:rFonts w:eastAsia="標楷體"/>
                <w:kern w:val="0"/>
                <w:sz w:val="22"/>
                <w:szCs w:val="20"/>
              </w:rPr>
            </w:pPr>
            <w:r w:rsidRPr="00D55DC6">
              <w:rPr>
                <w:rFonts w:eastAsia="標楷體"/>
                <w:kern w:val="0"/>
                <w:sz w:val="22"/>
                <w:szCs w:val="20"/>
              </w:rPr>
              <w:t xml:space="preserve">　</w:t>
            </w:r>
          </w:p>
        </w:tc>
        <w:tc>
          <w:tcPr>
            <w:tcW w:w="1144" w:type="dxa"/>
            <w:tcBorders>
              <w:top w:val="single" w:sz="4" w:space="0" w:color="auto"/>
              <w:left w:val="nil"/>
              <w:bottom w:val="single" w:sz="4"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2"/>
                <w:szCs w:val="20"/>
              </w:rPr>
            </w:pPr>
            <w:r w:rsidRPr="00D55DC6">
              <w:rPr>
                <w:rFonts w:eastAsia="標楷體"/>
                <w:kern w:val="0"/>
                <w:sz w:val="22"/>
                <w:szCs w:val="20"/>
              </w:rPr>
              <w:t>103</w:t>
            </w:r>
          </w:p>
        </w:tc>
        <w:tc>
          <w:tcPr>
            <w:tcW w:w="825" w:type="dxa"/>
            <w:tcBorders>
              <w:top w:val="single" w:sz="4" w:space="0" w:color="auto"/>
              <w:left w:val="nil"/>
              <w:bottom w:val="single" w:sz="4"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2"/>
                <w:szCs w:val="20"/>
              </w:rPr>
            </w:pPr>
            <w:r w:rsidRPr="00D55DC6">
              <w:rPr>
                <w:rFonts w:eastAsia="標楷體"/>
                <w:kern w:val="0"/>
                <w:sz w:val="22"/>
                <w:szCs w:val="20"/>
              </w:rPr>
              <w:t>104</w:t>
            </w:r>
          </w:p>
        </w:tc>
        <w:tc>
          <w:tcPr>
            <w:tcW w:w="771" w:type="dxa"/>
            <w:tcBorders>
              <w:top w:val="single" w:sz="4" w:space="0" w:color="auto"/>
              <w:left w:val="nil"/>
              <w:bottom w:val="single" w:sz="4"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2"/>
                <w:szCs w:val="20"/>
              </w:rPr>
            </w:pPr>
            <w:r w:rsidRPr="00D55DC6">
              <w:rPr>
                <w:rFonts w:eastAsia="標楷體"/>
                <w:kern w:val="0"/>
                <w:sz w:val="22"/>
                <w:szCs w:val="20"/>
              </w:rPr>
              <w:t>105</w:t>
            </w:r>
          </w:p>
        </w:tc>
        <w:tc>
          <w:tcPr>
            <w:tcW w:w="771" w:type="dxa"/>
            <w:tcBorders>
              <w:top w:val="single" w:sz="4" w:space="0" w:color="auto"/>
              <w:left w:val="nil"/>
              <w:bottom w:val="single" w:sz="4"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2"/>
                <w:szCs w:val="20"/>
              </w:rPr>
            </w:pPr>
            <w:r w:rsidRPr="00D55DC6">
              <w:rPr>
                <w:rFonts w:eastAsia="標楷體"/>
                <w:kern w:val="0"/>
                <w:sz w:val="22"/>
                <w:szCs w:val="20"/>
              </w:rPr>
              <w:t>106</w:t>
            </w:r>
          </w:p>
        </w:tc>
        <w:tc>
          <w:tcPr>
            <w:tcW w:w="771" w:type="dxa"/>
            <w:tcBorders>
              <w:top w:val="single" w:sz="4" w:space="0" w:color="auto"/>
              <w:left w:val="nil"/>
              <w:bottom w:val="single" w:sz="4"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2"/>
                <w:szCs w:val="20"/>
              </w:rPr>
            </w:pPr>
            <w:r w:rsidRPr="00D55DC6">
              <w:rPr>
                <w:rFonts w:eastAsia="標楷體"/>
                <w:kern w:val="0"/>
                <w:sz w:val="22"/>
                <w:szCs w:val="20"/>
              </w:rPr>
              <w:t>107</w:t>
            </w:r>
          </w:p>
        </w:tc>
        <w:tc>
          <w:tcPr>
            <w:tcW w:w="771" w:type="dxa"/>
            <w:tcBorders>
              <w:top w:val="single" w:sz="4" w:space="0" w:color="auto"/>
              <w:left w:val="nil"/>
              <w:bottom w:val="single" w:sz="4"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2"/>
                <w:szCs w:val="20"/>
              </w:rPr>
            </w:pPr>
            <w:r w:rsidRPr="00D55DC6">
              <w:rPr>
                <w:rFonts w:eastAsia="標楷體"/>
                <w:kern w:val="0"/>
                <w:sz w:val="22"/>
                <w:szCs w:val="20"/>
              </w:rPr>
              <w:t>108</w:t>
            </w:r>
          </w:p>
        </w:tc>
        <w:tc>
          <w:tcPr>
            <w:tcW w:w="771" w:type="dxa"/>
            <w:tcBorders>
              <w:top w:val="single" w:sz="4" w:space="0" w:color="auto"/>
              <w:left w:val="nil"/>
              <w:bottom w:val="single" w:sz="4"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2"/>
                <w:szCs w:val="20"/>
              </w:rPr>
            </w:pPr>
            <w:r w:rsidRPr="00D55DC6">
              <w:rPr>
                <w:rFonts w:eastAsia="標楷體"/>
                <w:kern w:val="0"/>
                <w:sz w:val="22"/>
                <w:szCs w:val="20"/>
              </w:rPr>
              <w:t>109</w:t>
            </w:r>
          </w:p>
        </w:tc>
        <w:tc>
          <w:tcPr>
            <w:tcW w:w="771" w:type="dxa"/>
            <w:tcBorders>
              <w:top w:val="single" w:sz="4" w:space="0" w:color="auto"/>
              <w:left w:val="nil"/>
              <w:bottom w:val="single" w:sz="4"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2"/>
                <w:szCs w:val="20"/>
              </w:rPr>
            </w:pPr>
            <w:r w:rsidRPr="00D55DC6">
              <w:rPr>
                <w:rFonts w:eastAsia="標楷體"/>
                <w:kern w:val="0"/>
                <w:sz w:val="22"/>
                <w:szCs w:val="20"/>
              </w:rPr>
              <w:t>110</w:t>
            </w:r>
          </w:p>
        </w:tc>
        <w:tc>
          <w:tcPr>
            <w:tcW w:w="771" w:type="dxa"/>
            <w:tcBorders>
              <w:top w:val="single" w:sz="4" w:space="0" w:color="auto"/>
              <w:left w:val="nil"/>
              <w:bottom w:val="single" w:sz="4"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2"/>
                <w:szCs w:val="20"/>
              </w:rPr>
            </w:pPr>
            <w:r w:rsidRPr="00D55DC6">
              <w:rPr>
                <w:rFonts w:eastAsia="標楷體"/>
                <w:kern w:val="0"/>
                <w:sz w:val="22"/>
                <w:szCs w:val="20"/>
              </w:rPr>
              <w:t>111</w:t>
            </w:r>
          </w:p>
        </w:tc>
        <w:tc>
          <w:tcPr>
            <w:tcW w:w="771" w:type="dxa"/>
            <w:tcBorders>
              <w:top w:val="single" w:sz="4" w:space="0" w:color="auto"/>
              <w:left w:val="nil"/>
              <w:bottom w:val="single" w:sz="4"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2"/>
                <w:szCs w:val="20"/>
              </w:rPr>
            </w:pPr>
            <w:r w:rsidRPr="00D55DC6">
              <w:rPr>
                <w:rFonts w:eastAsia="標楷體"/>
                <w:kern w:val="0"/>
                <w:sz w:val="22"/>
                <w:szCs w:val="20"/>
              </w:rPr>
              <w:t>112</w:t>
            </w:r>
          </w:p>
        </w:tc>
      </w:tr>
      <w:tr w:rsidR="001D0350" w:rsidRPr="00D55DC6" w:rsidTr="004C6095">
        <w:trPr>
          <w:gridAfter w:val="1"/>
          <w:wAfter w:w="936" w:type="dxa"/>
          <w:trHeight w:val="345"/>
        </w:trPr>
        <w:tc>
          <w:tcPr>
            <w:tcW w:w="993" w:type="dxa"/>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4C6095" w:rsidRPr="00D55DC6" w:rsidRDefault="004C6095">
            <w:pPr>
              <w:widowControl/>
              <w:rPr>
                <w:rFonts w:eastAsia="標楷體"/>
                <w:kern w:val="0"/>
                <w:sz w:val="22"/>
                <w:szCs w:val="20"/>
              </w:rPr>
            </w:pPr>
            <w:r w:rsidRPr="00D55DC6">
              <w:rPr>
                <w:rFonts w:eastAsia="標楷體"/>
                <w:kern w:val="0"/>
                <w:sz w:val="22"/>
                <w:szCs w:val="20"/>
              </w:rPr>
              <w:t>支出</w:t>
            </w:r>
          </w:p>
        </w:tc>
        <w:tc>
          <w:tcPr>
            <w:tcW w:w="1144" w:type="dxa"/>
            <w:tcBorders>
              <w:top w:val="single" w:sz="4" w:space="0" w:color="auto"/>
              <w:left w:val="nil"/>
              <w:bottom w:val="single" w:sz="4" w:space="0" w:color="auto"/>
              <w:right w:val="single" w:sz="4" w:space="0" w:color="auto"/>
            </w:tcBorders>
            <w:shd w:val="clear" w:color="auto" w:fill="FDE9D9"/>
            <w:noWrap/>
            <w:vAlign w:val="center"/>
            <w:hideMark/>
          </w:tcPr>
          <w:p w:rsidR="004C6095" w:rsidRPr="00D55DC6" w:rsidRDefault="004C6095">
            <w:pPr>
              <w:widowControl/>
              <w:jc w:val="right"/>
              <w:rPr>
                <w:kern w:val="0"/>
                <w:sz w:val="22"/>
                <w:lang w:bidi="hi-IN"/>
              </w:rPr>
            </w:pPr>
            <w:r w:rsidRPr="00D55DC6">
              <w:rPr>
                <w:kern w:val="0"/>
                <w:sz w:val="22"/>
                <w:szCs w:val="22"/>
                <w:lang w:bidi="hi-IN"/>
              </w:rPr>
              <w:t>265,100</w:t>
            </w:r>
          </w:p>
        </w:tc>
        <w:tc>
          <w:tcPr>
            <w:tcW w:w="825" w:type="dxa"/>
            <w:tcBorders>
              <w:top w:val="single" w:sz="4" w:space="0" w:color="auto"/>
              <w:left w:val="nil"/>
              <w:bottom w:val="single" w:sz="4" w:space="0" w:color="auto"/>
              <w:right w:val="single" w:sz="4" w:space="0" w:color="auto"/>
            </w:tcBorders>
            <w:shd w:val="clear" w:color="auto" w:fill="FDE9D9"/>
            <w:noWrap/>
            <w:vAlign w:val="center"/>
            <w:hideMark/>
          </w:tcPr>
          <w:p w:rsidR="004C6095" w:rsidRPr="00D55DC6" w:rsidRDefault="004C6095">
            <w:pPr>
              <w:widowControl/>
              <w:jc w:val="right"/>
              <w:rPr>
                <w:kern w:val="0"/>
                <w:sz w:val="22"/>
                <w:lang w:bidi="hi-IN"/>
              </w:rPr>
            </w:pPr>
            <w:r w:rsidRPr="00D55DC6">
              <w:rPr>
                <w:kern w:val="0"/>
                <w:sz w:val="22"/>
                <w:szCs w:val="22"/>
                <w:lang w:bidi="hi-IN"/>
              </w:rPr>
              <w:t>131,500</w:t>
            </w:r>
          </w:p>
        </w:tc>
        <w:tc>
          <w:tcPr>
            <w:tcW w:w="771" w:type="dxa"/>
            <w:tcBorders>
              <w:top w:val="single" w:sz="4" w:space="0" w:color="auto"/>
              <w:left w:val="nil"/>
              <w:bottom w:val="single" w:sz="4" w:space="0" w:color="auto"/>
              <w:right w:val="single" w:sz="4" w:space="0" w:color="auto"/>
            </w:tcBorders>
            <w:shd w:val="clear" w:color="auto" w:fill="FDE9D9"/>
            <w:noWrap/>
            <w:vAlign w:val="center"/>
            <w:hideMark/>
          </w:tcPr>
          <w:p w:rsidR="004C6095" w:rsidRPr="00D55DC6" w:rsidRDefault="004C6095">
            <w:pPr>
              <w:widowControl/>
              <w:jc w:val="right"/>
              <w:rPr>
                <w:kern w:val="0"/>
                <w:sz w:val="22"/>
                <w:lang w:bidi="hi-IN"/>
              </w:rPr>
            </w:pPr>
            <w:r w:rsidRPr="00D55DC6">
              <w:rPr>
                <w:kern w:val="0"/>
                <w:sz w:val="22"/>
                <w:szCs w:val="22"/>
                <w:lang w:bidi="hi-IN"/>
              </w:rPr>
              <w:t>240,000</w:t>
            </w:r>
          </w:p>
        </w:tc>
        <w:tc>
          <w:tcPr>
            <w:tcW w:w="771" w:type="dxa"/>
            <w:tcBorders>
              <w:top w:val="single" w:sz="4" w:space="0" w:color="auto"/>
              <w:left w:val="nil"/>
              <w:bottom w:val="single" w:sz="4" w:space="0" w:color="auto"/>
              <w:right w:val="single" w:sz="4" w:space="0" w:color="auto"/>
            </w:tcBorders>
            <w:shd w:val="clear" w:color="auto" w:fill="FDE9D9"/>
            <w:noWrap/>
            <w:vAlign w:val="center"/>
            <w:hideMark/>
          </w:tcPr>
          <w:p w:rsidR="004C6095" w:rsidRPr="00D55DC6" w:rsidRDefault="004C6095">
            <w:pPr>
              <w:widowControl/>
              <w:jc w:val="right"/>
              <w:rPr>
                <w:kern w:val="0"/>
                <w:sz w:val="22"/>
                <w:lang w:bidi="hi-IN"/>
              </w:rPr>
            </w:pPr>
            <w:r w:rsidRPr="00D55DC6">
              <w:rPr>
                <w:kern w:val="0"/>
                <w:sz w:val="22"/>
                <w:szCs w:val="22"/>
                <w:lang w:bidi="hi-IN"/>
              </w:rPr>
              <w:t>250,000</w:t>
            </w:r>
          </w:p>
        </w:tc>
        <w:tc>
          <w:tcPr>
            <w:tcW w:w="771" w:type="dxa"/>
            <w:tcBorders>
              <w:top w:val="single" w:sz="4" w:space="0" w:color="auto"/>
              <w:left w:val="nil"/>
              <w:bottom w:val="single" w:sz="4" w:space="0" w:color="auto"/>
              <w:right w:val="single" w:sz="4" w:space="0" w:color="auto"/>
            </w:tcBorders>
            <w:shd w:val="clear" w:color="auto" w:fill="FDE9D9"/>
            <w:noWrap/>
            <w:vAlign w:val="center"/>
            <w:hideMark/>
          </w:tcPr>
          <w:p w:rsidR="004C6095" w:rsidRPr="00D55DC6" w:rsidRDefault="004C6095">
            <w:pPr>
              <w:widowControl/>
              <w:jc w:val="right"/>
              <w:rPr>
                <w:kern w:val="0"/>
                <w:sz w:val="22"/>
                <w:lang w:bidi="hi-IN"/>
              </w:rPr>
            </w:pPr>
            <w:r w:rsidRPr="00D55DC6">
              <w:rPr>
                <w:kern w:val="0"/>
                <w:sz w:val="22"/>
                <w:szCs w:val="22"/>
                <w:lang w:bidi="hi-IN"/>
              </w:rPr>
              <w:t>248,000</w:t>
            </w:r>
          </w:p>
        </w:tc>
        <w:tc>
          <w:tcPr>
            <w:tcW w:w="771" w:type="dxa"/>
            <w:tcBorders>
              <w:top w:val="single" w:sz="4" w:space="0" w:color="auto"/>
              <w:left w:val="nil"/>
              <w:bottom w:val="single" w:sz="4" w:space="0" w:color="auto"/>
              <w:right w:val="single" w:sz="4" w:space="0" w:color="auto"/>
            </w:tcBorders>
            <w:shd w:val="clear" w:color="auto" w:fill="FDE9D9"/>
            <w:noWrap/>
            <w:vAlign w:val="center"/>
            <w:hideMark/>
          </w:tcPr>
          <w:p w:rsidR="004C6095" w:rsidRPr="00D55DC6" w:rsidRDefault="004C6095">
            <w:pPr>
              <w:widowControl/>
              <w:jc w:val="right"/>
              <w:rPr>
                <w:kern w:val="0"/>
                <w:sz w:val="22"/>
                <w:lang w:bidi="hi-IN"/>
              </w:rPr>
            </w:pPr>
            <w:r w:rsidRPr="00D55DC6">
              <w:rPr>
                <w:kern w:val="0"/>
                <w:sz w:val="22"/>
                <w:szCs w:val="22"/>
                <w:lang w:bidi="hi-IN"/>
              </w:rPr>
              <w:t>206,000</w:t>
            </w:r>
          </w:p>
        </w:tc>
        <w:tc>
          <w:tcPr>
            <w:tcW w:w="771" w:type="dxa"/>
            <w:tcBorders>
              <w:top w:val="single" w:sz="4" w:space="0" w:color="auto"/>
              <w:left w:val="nil"/>
              <w:bottom w:val="single" w:sz="4" w:space="0" w:color="auto"/>
              <w:right w:val="single" w:sz="4" w:space="0" w:color="auto"/>
            </w:tcBorders>
            <w:shd w:val="clear" w:color="auto" w:fill="FDE9D9"/>
            <w:noWrap/>
            <w:vAlign w:val="center"/>
            <w:hideMark/>
          </w:tcPr>
          <w:p w:rsidR="004C6095" w:rsidRPr="00D55DC6" w:rsidRDefault="004C6095">
            <w:pPr>
              <w:widowControl/>
              <w:jc w:val="right"/>
              <w:rPr>
                <w:kern w:val="0"/>
                <w:sz w:val="22"/>
                <w:lang w:bidi="hi-IN"/>
              </w:rPr>
            </w:pPr>
            <w:r w:rsidRPr="00D55DC6">
              <w:rPr>
                <w:kern w:val="0"/>
                <w:sz w:val="22"/>
                <w:szCs w:val="22"/>
                <w:lang w:bidi="hi-IN"/>
              </w:rPr>
              <w:t>229,500</w:t>
            </w:r>
          </w:p>
        </w:tc>
        <w:tc>
          <w:tcPr>
            <w:tcW w:w="771" w:type="dxa"/>
            <w:tcBorders>
              <w:top w:val="single" w:sz="4" w:space="0" w:color="auto"/>
              <w:left w:val="nil"/>
              <w:bottom w:val="single" w:sz="4" w:space="0" w:color="auto"/>
              <w:right w:val="single" w:sz="4" w:space="0" w:color="auto"/>
            </w:tcBorders>
            <w:shd w:val="clear" w:color="auto" w:fill="FDE9D9"/>
            <w:noWrap/>
            <w:vAlign w:val="center"/>
            <w:hideMark/>
          </w:tcPr>
          <w:p w:rsidR="004C6095" w:rsidRPr="00D55DC6" w:rsidRDefault="004C6095">
            <w:pPr>
              <w:widowControl/>
              <w:jc w:val="right"/>
              <w:rPr>
                <w:kern w:val="0"/>
                <w:sz w:val="22"/>
                <w:lang w:bidi="hi-IN"/>
              </w:rPr>
            </w:pPr>
            <w:r w:rsidRPr="00D55DC6">
              <w:rPr>
                <w:kern w:val="0"/>
                <w:sz w:val="22"/>
                <w:szCs w:val="22"/>
                <w:lang w:bidi="hi-IN"/>
              </w:rPr>
              <w:t>247,500</w:t>
            </w:r>
          </w:p>
        </w:tc>
        <w:tc>
          <w:tcPr>
            <w:tcW w:w="771" w:type="dxa"/>
            <w:tcBorders>
              <w:top w:val="single" w:sz="4" w:space="0" w:color="auto"/>
              <w:left w:val="nil"/>
              <w:bottom w:val="single" w:sz="4" w:space="0" w:color="auto"/>
              <w:right w:val="single" w:sz="4" w:space="0" w:color="auto"/>
            </w:tcBorders>
            <w:shd w:val="clear" w:color="auto" w:fill="FDE9D9"/>
            <w:noWrap/>
            <w:vAlign w:val="center"/>
            <w:hideMark/>
          </w:tcPr>
          <w:p w:rsidR="004C6095" w:rsidRPr="00D55DC6" w:rsidRDefault="004C6095">
            <w:pPr>
              <w:widowControl/>
              <w:jc w:val="right"/>
              <w:rPr>
                <w:kern w:val="0"/>
                <w:sz w:val="22"/>
                <w:lang w:bidi="hi-IN"/>
              </w:rPr>
            </w:pPr>
            <w:r w:rsidRPr="00D55DC6">
              <w:rPr>
                <w:kern w:val="0"/>
                <w:sz w:val="22"/>
                <w:szCs w:val="22"/>
                <w:lang w:bidi="hi-IN"/>
              </w:rPr>
              <w:t>147,500</w:t>
            </w:r>
          </w:p>
        </w:tc>
        <w:tc>
          <w:tcPr>
            <w:tcW w:w="771" w:type="dxa"/>
            <w:tcBorders>
              <w:top w:val="single" w:sz="4" w:space="0" w:color="auto"/>
              <w:left w:val="nil"/>
              <w:bottom w:val="single" w:sz="4" w:space="0" w:color="auto"/>
              <w:right w:val="single" w:sz="4" w:space="0" w:color="auto"/>
            </w:tcBorders>
            <w:shd w:val="clear" w:color="auto" w:fill="FDE9D9"/>
            <w:noWrap/>
            <w:vAlign w:val="center"/>
            <w:hideMark/>
          </w:tcPr>
          <w:p w:rsidR="004C6095" w:rsidRPr="00D55DC6" w:rsidRDefault="004C6095">
            <w:pPr>
              <w:widowControl/>
              <w:jc w:val="right"/>
              <w:rPr>
                <w:kern w:val="0"/>
                <w:sz w:val="22"/>
                <w:lang w:bidi="hi-IN"/>
              </w:rPr>
            </w:pPr>
            <w:r w:rsidRPr="00D55DC6">
              <w:rPr>
                <w:kern w:val="0"/>
                <w:sz w:val="22"/>
                <w:szCs w:val="22"/>
                <w:lang w:bidi="hi-IN"/>
              </w:rPr>
              <w:t>136,500</w:t>
            </w:r>
          </w:p>
        </w:tc>
      </w:tr>
      <w:tr w:rsidR="001D0350" w:rsidRPr="00D55DC6" w:rsidTr="004C6095">
        <w:trPr>
          <w:gridAfter w:val="1"/>
          <w:wAfter w:w="936" w:type="dxa"/>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rPr>
                <w:rFonts w:eastAsia="標楷體"/>
                <w:kern w:val="0"/>
                <w:sz w:val="22"/>
                <w:szCs w:val="20"/>
              </w:rPr>
            </w:pPr>
            <w:r w:rsidRPr="00D55DC6">
              <w:rPr>
                <w:rFonts w:eastAsia="標楷體"/>
                <w:kern w:val="0"/>
                <w:sz w:val="22"/>
                <w:szCs w:val="20"/>
              </w:rPr>
              <w:t>收入</w:t>
            </w:r>
          </w:p>
        </w:tc>
        <w:tc>
          <w:tcPr>
            <w:tcW w:w="114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jc w:val="right"/>
              <w:rPr>
                <w:kern w:val="0"/>
                <w:sz w:val="22"/>
                <w:lang w:bidi="hi-IN"/>
              </w:rPr>
            </w:pPr>
            <w:r w:rsidRPr="00D55DC6">
              <w:rPr>
                <w:kern w:val="0"/>
                <w:sz w:val="22"/>
                <w:szCs w:val="22"/>
                <w:lang w:bidi="hi-IN"/>
              </w:rPr>
              <w:t>202</w:t>
            </w:r>
          </w:p>
        </w:tc>
        <w:tc>
          <w:tcPr>
            <w:tcW w:w="82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jc w:val="right"/>
              <w:rPr>
                <w:kern w:val="0"/>
                <w:sz w:val="22"/>
                <w:lang w:bidi="hi-IN"/>
              </w:rPr>
            </w:pPr>
            <w:r w:rsidRPr="00D55DC6">
              <w:rPr>
                <w:kern w:val="0"/>
                <w:sz w:val="22"/>
                <w:szCs w:val="22"/>
                <w:lang w:bidi="hi-IN"/>
              </w:rPr>
              <w:t>608</w:t>
            </w:r>
          </w:p>
        </w:tc>
        <w:tc>
          <w:tcPr>
            <w:tcW w:w="77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jc w:val="right"/>
              <w:rPr>
                <w:kern w:val="0"/>
                <w:sz w:val="22"/>
                <w:lang w:bidi="hi-IN"/>
              </w:rPr>
            </w:pPr>
            <w:r w:rsidRPr="00D55DC6">
              <w:rPr>
                <w:kern w:val="0"/>
                <w:sz w:val="22"/>
                <w:szCs w:val="22"/>
                <w:lang w:bidi="hi-IN"/>
              </w:rPr>
              <w:t>8,119</w:t>
            </w:r>
          </w:p>
        </w:tc>
        <w:tc>
          <w:tcPr>
            <w:tcW w:w="77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jc w:val="right"/>
              <w:rPr>
                <w:kern w:val="0"/>
                <w:sz w:val="22"/>
                <w:lang w:bidi="hi-IN"/>
              </w:rPr>
            </w:pPr>
            <w:r w:rsidRPr="00D55DC6">
              <w:rPr>
                <w:kern w:val="0"/>
                <w:sz w:val="22"/>
                <w:szCs w:val="22"/>
                <w:lang w:bidi="hi-IN"/>
              </w:rPr>
              <w:t>16,063</w:t>
            </w:r>
          </w:p>
        </w:tc>
        <w:tc>
          <w:tcPr>
            <w:tcW w:w="77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jc w:val="right"/>
              <w:rPr>
                <w:kern w:val="0"/>
                <w:sz w:val="22"/>
                <w:lang w:bidi="hi-IN"/>
              </w:rPr>
            </w:pPr>
            <w:r w:rsidRPr="00D55DC6">
              <w:rPr>
                <w:kern w:val="0"/>
                <w:sz w:val="22"/>
                <w:szCs w:val="22"/>
                <w:lang w:bidi="hi-IN"/>
              </w:rPr>
              <w:t>16,821</w:t>
            </w:r>
          </w:p>
        </w:tc>
        <w:tc>
          <w:tcPr>
            <w:tcW w:w="77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jc w:val="right"/>
              <w:rPr>
                <w:kern w:val="0"/>
                <w:sz w:val="22"/>
                <w:lang w:bidi="hi-IN"/>
              </w:rPr>
            </w:pPr>
            <w:r w:rsidRPr="00D55DC6">
              <w:rPr>
                <w:kern w:val="0"/>
                <w:sz w:val="22"/>
                <w:szCs w:val="22"/>
                <w:lang w:bidi="hi-IN"/>
              </w:rPr>
              <w:t>18,207</w:t>
            </w:r>
          </w:p>
        </w:tc>
        <w:tc>
          <w:tcPr>
            <w:tcW w:w="77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jc w:val="right"/>
              <w:rPr>
                <w:kern w:val="0"/>
                <w:sz w:val="22"/>
                <w:lang w:bidi="hi-IN"/>
              </w:rPr>
            </w:pPr>
            <w:r w:rsidRPr="00D55DC6">
              <w:rPr>
                <w:kern w:val="0"/>
                <w:sz w:val="22"/>
                <w:szCs w:val="22"/>
                <w:lang w:bidi="hi-IN"/>
              </w:rPr>
              <w:t>21,319</w:t>
            </w:r>
          </w:p>
        </w:tc>
        <w:tc>
          <w:tcPr>
            <w:tcW w:w="77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jc w:val="right"/>
              <w:rPr>
                <w:kern w:val="0"/>
                <w:sz w:val="22"/>
                <w:lang w:bidi="hi-IN"/>
              </w:rPr>
            </w:pPr>
            <w:r w:rsidRPr="00D55DC6">
              <w:rPr>
                <w:kern w:val="0"/>
                <w:sz w:val="22"/>
                <w:szCs w:val="22"/>
                <w:lang w:bidi="hi-IN"/>
              </w:rPr>
              <w:t>21,716</w:t>
            </w:r>
          </w:p>
        </w:tc>
        <w:tc>
          <w:tcPr>
            <w:tcW w:w="77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jc w:val="right"/>
              <w:rPr>
                <w:kern w:val="0"/>
                <w:sz w:val="22"/>
                <w:lang w:bidi="hi-IN"/>
              </w:rPr>
            </w:pPr>
            <w:r w:rsidRPr="00D55DC6">
              <w:rPr>
                <w:kern w:val="0"/>
                <w:sz w:val="22"/>
                <w:szCs w:val="22"/>
                <w:lang w:bidi="hi-IN"/>
              </w:rPr>
              <w:t>29,248</w:t>
            </w:r>
          </w:p>
        </w:tc>
        <w:tc>
          <w:tcPr>
            <w:tcW w:w="77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jc w:val="right"/>
              <w:rPr>
                <w:kern w:val="0"/>
                <w:sz w:val="22"/>
                <w:lang w:bidi="hi-IN"/>
              </w:rPr>
            </w:pPr>
            <w:r w:rsidRPr="00D55DC6">
              <w:rPr>
                <w:kern w:val="0"/>
                <w:sz w:val="22"/>
                <w:szCs w:val="22"/>
                <w:lang w:bidi="hi-IN"/>
              </w:rPr>
              <w:t>28,072</w:t>
            </w:r>
          </w:p>
        </w:tc>
      </w:tr>
      <w:tr w:rsidR="001D0350" w:rsidRPr="00D55DC6" w:rsidTr="004C6095">
        <w:trPr>
          <w:gridAfter w:val="1"/>
          <w:wAfter w:w="936" w:type="dxa"/>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rPr>
                <w:rFonts w:eastAsia="標楷體"/>
                <w:kern w:val="0"/>
                <w:sz w:val="22"/>
                <w:szCs w:val="20"/>
              </w:rPr>
            </w:pPr>
            <w:r w:rsidRPr="00D55DC6">
              <w:rPr>
                <w:rFonts w:eastAsia="標楷體"/>
                <w:kern w:val="0"/>
                <w:sz w:val="22"/>
                <w:szCs w:val="20"/>
              </w:rPr>
              <w:t>收支比</w:t>
            </w:r>
          </w:p>
        </w:tc>
        <w:tc>
          <w:tcPr>
            <w:tcW w:w="1144" w:type="dxa"/>
            <w:tcBorders>
              <w:top w:val="single" w:sz="4" w:space="0" w:color="auto"/>
              <w:left w:val="single" w:sz="4" w:space="0" w:color="auto"/>
              <w:bottom w:val="single" w:sz="4" w:space="0" w:color="auto"/>
              <w:right w:val="single" w:sz="4" w:space="0" w:color="auto"/>
            </w:tcBorders>
            <w:shd w:val="clear" w:color="auto" w:fill="FFFFFF"/>
            <w:noWrap/>
            <w:hideMark/>
          </w:tcPr>
          <w:p w:rsidR="004C6095" w:rsidRPr="00D55DC6" w:rsidRDefault="004C6095">
            <w:pPr>
              <w:widowControl/>
              <w:jc w:val="right"/>
              <w:rPr>
                <w:kern w:val="0"/>
                <w:sz w:val="22"/>
                <w:lang w:bidi="hi-IN"/>
              </w:rPr>
            </w:pPr>
            <w:r w:rsidRPr="00D55DC6">
              <w:rPr>
                <w:kern w:val="0"/>
                <w:sz w:val="22"/>
                <w:szCs w:val="22"/>
                <w:lang w:bidi="hi-IN"/>
              </w:rPr>
              <w:t>0.08%</w:t>
            </w:r>
          </w:p>
        </w:tc>
        <w:tc>
          <w:tcPr>
            <w:tcW w:w="825" w:type="dxa"/>
            <w:tcBorders>
              <w:top w:val="single" w:sz="4" w:space="0" w:color="auto"/>
              <w:left w:val="single" w:sz="4" w:space="0" w:color="auto"/>
              <w:bottom w:val="single" w:sz="4" w:space="0" w:color="auto"/>
              <w:right w:val="single" w:sz="4" w:space="0" w:color="auto"/>
            </w:tcBorders>
            <w:shd w:val="clear" w:color="auto" w:fill="FFFFFF"/>
            <w:noWrap/>
            <w:hideMark/>
          </w:tcPr>
          <w:p w:rsidR="004C6095" w:rsidRPr="00D55DC6" w:rsidRDefault="004C6095">
            <w:pPr>
              <w:widowControl/>
              <w:jc w:val="right"/>
              <w:rPr>
                <w:kern w:val="0"/>
                <w:sz w:val="22"/>
                <w:lang w:bidi="hi-IN"/>
              </w:rPr>
            </w:pPr>
            <w:r w:rsidRPr="00D55DC6">
              <w:rPr>
                <w:kern w:val="0"/>
                <w:sz w:val="22"/>
                <w:szCs w:val="22"/>
                <w:lang w:bidi="hi-IN"/>
              </w:rPr>
              <w:t>0.46%</w:t>
            </w:r>
          </w:p>
        </w:tc>
        <w:tc>
          <w:tcPr>
            <w:tcW w:w="771" w:type="dxa"/>
            <w:tcBorders>
              <w:top w:val="single" w:sz="4" w:space="0" w:color="auto"/>
              <w:left w:val="single" w:sz="4" w:space="0" w:color="auto"/>
              <w:bottom w:val="single" w:sz="4" w:space="0" w:color="auto"/>
              <w:right w:val="single" w:sz="4" w:space="0" w:color="auto"/>
            </w:tcBorders>
            <w:shd w:val="clear" w:color="auto" w:fill="FFFFFF"/>
            <w:noWrap/>
            <w:hideMark/>
          </w:tcPr>
          <w:p w:rsidR="004C6095" w:rsidRPr="00D55DC6" w:rsidRDefault="004C6095">
            <w:pPr>
              <w:widowControl/>
              <w:jc w:val="right"/>
              <w:rPr>
                <w:kern w:val="0"/>
                <w:sz w:val="22"/>
                <w:lang w:bidi="hi-IN"/>
              </w:rPr>
            </w:pPr>
            <w:r w:rsidRPr="00D55DC6">
              <w:rPr>
                <w:kern w:val="0"/>
                <w:sz w:val="22"/>
                <w:szCs w:val="22"/>
                <w:lang w:bidi="hi-IN"/>
              </w:rPr>
              <w:t>3.38%</w:t>
            </w:r>
          </w:p>
        </w:tc>
        <w:tc>
          <w:tcPr>
            <w:tcW w:w="771" w:type="dxa"/>
            <w:tcBorders>
              <w:top w:val="single" w:sz="4" w:space="0" w:color="auto"/>
              <w:left w:val="single" w:sz="4" w:space="0" w:color="auto"/>
              <w:bottom w:val="single" w:sz="4" w:space="0" w:color="auto"/>
              <w:right w:val="single" w:sz="4" w:space="0" w:color="auto"/>
            </w:tcBorders>
            <w:shd w:val="clear" w:color="auto" w:fill="FFFFFF"/>
            <w:noWrap/>
            <w:hideMark/>
          </w:tcPr>
          <w:p w:rsidR="004C6095" w:rsidRPr="00D55DC6" w:rsidRDefault="004C6095">
            <w:pPr>
              <w:widowControl/>
              <w:jc w:val="right"/>
              <w:rPr>
                <w:kern w:val="0"/>
                <w:sz w:val="22"/>
                <w:lang w:bidi="hi-IN"/>
              </w:rPr>
            </w:pPr>
            <w:r w:rsidRPr="00D55DC6">
              <w:rPr>
                <w:kern w:val="0"/>
                <w:sz w:val="22"/>
                <w:szCs w:val="22"/>
                <w:lang w:bidi="hi-IN"/>
              </w:rPr>
              <w:t>6.43%</w:t>
            </w:r>
          </w:p>
        </w:tc>
        <w:tc>
          <w:tcPr>
            <w:tcW w:w="771" w:type="dxa"/>
            <w:tcBorders>
              <w:top w:val="single" w:sz="4" w:space="0" w:color="auto"/>
              <w:left w:val="single" w:sz="4" w:space="0" w:color="auto"/>
              <w:bottom w:val="single" w:sz="4" w:space="0" w:color="auto"/>
              <w:right w:val="single" w:sz="4" w:space="0" w:color="auto"/>
            </w:tcBorders>
            <w:shd w:val="clear" w:color="auto" w:fill="FFFFFF"/>
            <w:noWrap/>
            <w:hideMark/>
          </w:tcPr>
          <w:p w:rsidR="004C6095" w:rsidRPr="00D55DC6" w:rsidRDefault="004C6095">
            <w:pPr>
              <w:widowControl/>
              <w:jc w:val="right"/>
              <w:rPr>
                <w:kern w:val="0"/>
                <w:sz w:val="22"/>
                <w:lang w:bidi="hi-IN"/>
              </w:rPr>
            </w:pPr>
            <w:r w:rsidRPr="00D55DC6">
              <w:rPr>
                <w:kern w:val="0"/>
                <w:sz w:val="22"/>
                <w:szCs w:val="22"/>
                <w:lang w:bidi="hi-IN"/>
              </w:rPr>
              <w:t>6.78%</w:t>
            </w:r>
          </w:p>
        </w:tc>
        <w:tc>
          <w:tcPr>
            <w:tcW w:w="771" w:type="dxa"/>
            <w:tcBorders>
              <w:top w:val="single" w:sz="4" w:space="0" w:color="auto"/>
              <w:left w:val="single" w:sz="4" w:space="0" w:color="auto"/>
              <w:bottom w:val="single" w:sz="4" w:space="0" w:color="auto"/>
              <w:right w:val="single" w:sz="4" w:space="0" w:color="auto"/>
            </w:tcBorders>
            <w:shd w:val="clear" w:color="auto" w:fill="FFFFFF"/>
            <w:noWrap/>
            <w:hideMark/>
          </w:tcPr>
          <w:p w:rsidR="004C6095" w:rsidRPr="00D55DC6" w:rsidRDefault="004C6095">
            <w:pPr>
              <w:widowControl/>
              <w:jc w:val="right"/>
              <w:rPr>
                <w:kern w:val="0"/>
                <w:sz w:val="22"/>
                <w:lang w:bidi="hi-IN"/>
              </w:rPr>
            </w:pPr>
            <w:r w:rsidRPr="00D55DC6">
              <w:rPr>
                <w:kern w:val="0"/>
                <w:sz w:val="22"/>
                <w:szCs w:val="22"/>
                <w:lang w:bidi="hi-IN"/>
              </w:rPr>
              <w:t>8.84%</w:t>
            </w:r>
          </w:p>
        </w:tc>
        <w:tc>
          <w:tcPr>
            <w:tcW w:w="771" w:type="dxa"/>
            <w:tcBorders>
              <w:top w:val="single" w:sz="4" w:space="0" w:color="auto"/>
              <w:left w:val="single" w:sz="4" w:space="0" w:color="auto"/>
              <w:bottom w:val="single" w:sz="4" w:space="0" w:color="auto"/>
              <w:right w:val="single" w:sz="4" w:space="0" w:color="auto"/>
            </w:tcBorders>
            <w:shd w:val="clear" w:color="auto" w:fill="FFFFFF"/>
            <w:noWrap/>
            <w:hideMark/>
          </w:tcPr>
          <w:p w:rsidR="004C6095" w:rsidRPr="00D55DC6" w:rsidRDefault="004C6095">
            <w:pPr>
              <w:widowControl/>
              <w:jc w:val="right"/>
              <w:rPr>
                <w:kern w:val="0"/>
                <w:sz w:val="22"/>
                <w:lang w:bidi="hi-IN"/>
              </w:rPr>
            </w:pPr>
            <w:r w:rsidRPr="00D55DC6">
              <w:rPr>
                <w:kern w:val="0"/>
                <w:sz w:val="22"/>
                <w:szCs w:val="22"/>
                <w:lang w:bidi="hi-IN"/>
              </w:rPr>
              <w:t>9.29%</w:t>
            </w:r>
          </w:p>
        </w:tc>
        <w:tc>
          <w:tcPr>
            <w:tcW w:w="771" w:type="dxa"/>
            <w:tcBorders>
              <w:top w:val="single" w:sz="4" w:space="0" w:color="auto"/>
              <w:left w:val="single" w:sz="4" w:space="0" w:color="auto"/>
              <w:bottom w:val="single" w:sz="4" w:space="0" w:color="auto"/>
              <w:right w:val="single" w:sz="4" w:space="0" w:color="auto"/>
            </w:tcBorders>
            <w:shd w:val="clear" w:color="auto" w:fill="FFFFFF"/>
            <w:noWrap/>
            <w:hideMark/>
          </w:tcPr>
          <w:p w:rsidR="004C6095" w:rsidRPr="00D55DC6" w:rsidRDefault="004C6095">
            <w:pPr>
              <w:widowControl/>
              <w:jc w:val="right"/>
              <w:rPr>
                <w:kern w:val="0"/>
                <w:sz w:val="22"/>
                <w:lang w:bidi="hi-IN"/>
              </w:rPr>
            </w:pPr>
            <w:r w:rsidRPr="00D55DC6">
              <w:rPr>
                <w:kern w:val="0"/>
                <w:sz w:val="22"/>
                <w:szCs w:val="22"/>
                <w:lang w:bidi="hi-IN"/>
              </w:rPr>
              <w:t>8.77%</w:t>
            </w:r>
          </w:p>
        </w:tc>
        <w:tc>
          <w:tcPr>
            <w:tcW w:w="771" w:type="dxa"/>
            <w:tcBorders>
              <w:top w:val="single" w:sz="4" w:space="0" w:color="auto"/>
              <w:left w:val="single" w:sz="4" w:space="0" w:color="auto"/>
              <w:bottom w:val="single" w:sz="4" w:space="0" w:color="auto"/>
              <w:right w:val="single" w:sz="4" w:space="0" w:color="auto"/>
            </w:tcBorders>
            <w:shd w:val="clear" w:color="auto" w:fill="FFFFFF"/>
            <w:noWrap/>
            <w:hideMark/>
          </w:tcPr>
          <w:p w:rsidR="004C6095" w:rsidRPr="00D55DC6" w:rsidRDefault="004C6095">
            <w:pPr>
              <w:widowControl/>
              <w:jc w:val="right"/>
              <w:rPr>
                <w:kern w:val="0"/>
                <w:sz w:val="22"/>
                <w:lang w:bidi="hi-IN"/>
              </w:rPr>
            </w:pPr>
            <w:r w:rsidRPr="00D55DC6">
              <w:rPr>
                <w:kern w:val="0"/>
                <w:sz w:val="22"/>
                <w:szCs w:val="22"/>
                <w:lang w:bidi="hi-IN"/>
              </w:rPr>
              <w:t>19.83%</w:t>
            </w:r>
          </w:p>
        </w:tc>
        <w:tc>
          <w:tcPr>
            <w:tcW w:w="771" w:type="dxa"/>
            <w:tcBorders>
              <w:top w:val="single" w:sz="4" w:space="0" w:color="auto"/>
              <w:left w:val="single" w:sz="4" w:space="0" w:color="auto"/>
              <w:bottom w:val="single" w:sz="4" w:space="0" w:color="auto"/>
              <w:right w:val="single" w:sz="4" w:space="0" w:color="auto"/>
            </w:tcBorders>
            <w:shd w:val="clear" w:color="auto" w:fill="FFFFFF"/>
            <w:noWrap/>
            <w:hideMark/>
          </w:tcPr>
          <w:p w:rsidR="004C6095" w:rsidRPr="00D55DC6" w:rsidRDefault="004C6095">
            <w:pPr>
              <w:widowControl/>
              <w:jc w:val="right"/>
              <w:rPr>
                <w:kern w:val="0"/>
                <w:sz w:val="22"/>
                <w:lang w:bidi="hi-IN"/>
              </w:rPr>
            </w:pPr>
            <w:r w:rsidRPr="00D55DC6">
              <w:rPr>
                <w:kern w:val="0"/>
                <w:sz w:val="22"/>
                <w:szCs w:val="22"/>
                <w:lang w:bidi="hi-IN"/>
              </w:rPr>
              <w:t>20.57%</w:t>
            </w:r>
          </w:p>
        </w:tc>
      </w:tr>
      <w:tr w:rsidR="001D0350" w:rsidRPr="00D55DC6" w:rsidTr="004C6095">
        <w:trPr>
          <w:trHeight w:val="345"/>
        </w:trPr>
        <w:tc>
          <w:tcPr>
            <w:tcW w:w="993" w:type="dxa"/>
            <w:tcBorders>
              <w:top w:val="nil"/>
              <w:left w:val="single" w:sz="4" w:space="0" w:color="auto"/>
              <w:bottom w:val="double" w:sz="6" w:space="0" w:color="auto"/>
              <w:right w:val="single" w:sz="4" w:space="0" w:color="auto"/>
            </w:tcBorders>
            <w:shd w:val="clear" w:color="auto" w:fill="FFCC00"/>
            <w:noWrap/>
            <w:vAlign w:val="center"/>
            <w:hideMark/>
          </w:tcPr>
          <w:p w:rsidR="004C6095" w:rsidRPr="00D55DC6" w:rsidRDefault="004C6095">
            <w:pPr>
              <w:widowControl/>
              <w:rPr>
                <w:rFonts w:eastAsia="標楷體"/>
                <w:kern w:val="0"/>
                <w:sz w:val="22"/>
                <w:szCs w:val="20"/>
              </w:rPr>
            </w:pPr>
            <w:r w:rsidRPr="00D55DC6">
              <w:rPr>
                <w:rFonts w:eastAsia="標楷體"/>
                <w:kern w:val="0"/>
                <w:sz w:val="22"/>
                <w:szCs w:val="20"/>
              </w:rPr>
              <w:t xml:space="preserve">　</w:t>
            </w:r>
          </w:p>
        </w:tc>
        <w:tc>
          <w:tcPr>
            <w:tcW w:w="1144" w:type="dxa"/>
            <w:tcBorders>
              <w:top w:val="single" w:sz="4" w:space="0" w:color="auto"/>
              <w:left w:val="nil"/>
              <w:bottom w:val="single" w:sz="4"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2"/>
                <w:szCs w:val="20"/>
              </w:rPr>
            </w:pPr>
            <w:r w:rsidRPr="00D55DC6">
              <w:rPr>
                <w:rFonts w:eastAsia="標楷體"/>
                <w:kern w:val="0"/>
                <w:sz w:val="22"/>
                <w:szCs w:val="20"/>
              </w:rPr>
              <w:t>113</w:t>
            </w:r>
          </w:p>
        </w:tc>
        <w:tc>
          <w:tcPr>
            <w:tcW w:w="825" w:type="dxa"/>
            <w:tcBorders>
              <w:top w:val="single" w:sz="4" w:space="0" w:color="auto"/>
              <w:left w:val="nil"/>
              <w:bottom w:val="single" w:sz="4"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2"/>
                <w:szCs w:val="20"/>
              </w:rPr>
            </w:pPr>
            <w:r w:rsidRPr="00D55DC6">
              <w:rPr>
                <w:rFonts w:eastAsia="標楷體"/>
                <w:kern w:val="0"/>
                <w:sz w:val="22"/>
                <w:szCs w:val="20"/>
              </w:rPr>
              <w:t>114</w:t>
            </w:r>
          </w:p>
        </w:tc>
        <w:tc>
          <w:tcPr>
            <w:tcW w:w="771" w:type="dxa"/>
            <w:tcBorders>
              <w:top w:val="single" w:sz="4" w:space="0" w:color="auto"/>
              <w:left w:val="nil"/>
              <w:bottom w:val="single" w:sz="4"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2"/>
                <w:szCs w:val="20"/>
              </w:rPr>
            </w:pPr>
            <w:r w:rsidRPr="00D55DC6">
              <w:rPr>
                <w:rFonts w:eastAsia="標楷體"/>
                <w:kern w:val="0"/>
                <w:sz w:val="22"/>
                <w:szCs w:val="20"/>
              </w:rPr>
              <w:t>115</w:t>
            </w:r>
          </w:p>
        </w:tc>
        <w:tc>
          <w:tcPr>
            <w:tcW w:w="771" w:type="dxa"/>
            <w:tcBorders>
              <w:top w:val="single" w:sz="4" w:space="0" w:color="auto"/>
              <w:left w:val="nil"/>
              <w:bottom w:val="single" w:sz="4"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2"/>
                <w:szCs w:val="20"/>
              </w:rPr>
            </w:pPr>
            <w:r w:rsidRPr="00D55DC6">
              <w:rPr>
                <w:rFonts w:eastAsia="標楷體"/>
                <w:kern w:val="0"/>
                <w:sz w:val="22"/>
                <w:szCs w:val="20"/>
              </w:rPr>
              <w:t>116</w:t>
            </w:r>
          </w:p>
        </w:tc>
        <w:tc>
          <w:tcPr>
            <w:tcW w:w="771" w:type="dxa"/>
            <w:tcBorders>
              <w:top w:val="single" w:sz="4" w:space="0" w:color="auto"/>
              <w:left w:val="nil"/>
              <w:bottom w:val="single" w:sz="4"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2"/>
                <w:szCs w:val="20"/>
              </w:rPr>
            </w:pPr>
            <w:r w:rsidRPr="00D55DC6">
              <w:rPr>
                <w:rFonts w:eastAsia="標楷體"/>
                <w:kern w:val="0"/>
                <w:sz w:val="22"/>
                <w:szCs w:val="20"/>
              </w:rPr>
              <w:t>117</w:t>
            </w:r>
          </w:p>
        </w:tc>
        <w:tc>
          <w:tcPr>
            <w:tcW w:w="771" w:type="dxa"/>
            <w:tcBorders>
              <w:top w:val="single" w:sz="4" w:space="0" w:color="auto"/>
              <w:left w:val="nil"/>
              <w:bottom w:val="single" w:sz="4"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2"/>
                <w:szCs w:val="20"/>
              </w:rPr>
            </w:pPr>
            <w:r w:rsidRPr="00D55DC6">
              <w:rPr>
                <w:rFonts w:eastAsia="標楷體"/>
                <w:kern w:val="0"/>
                <w:sz w:val="22"/>
                <w:szCs w:val="20"/>
              </w:rPr>
              <w:t>118</w:t>
            </w:r>
          </w:p>
        </w:tc>
        <w:tc>
          <w:tcPr>
            <w:tcW w:w="771" w:type="dxa"/>
            <w:tcBorders>
              <w:top w:val="single" w:sz="4" w:space="0" w:color="auto"/>
              <w:left w:val="nil"/>
              <w:bottom w:val="single" w:sz="4"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2"/>
                <w:szCs w:val="20"/>
              </w:rPr>
            </w:pPr>
            <w:r w:rsidRPr="00D55DC6">
              <w:rPr>
                <w:rFonts w:eastAsia="標楷體"/>
                <w:kern w:val="0"/>
                <w:sz w:val="22"/>
                <w:szCs w:val="20"/>
              </w:rPr>
              <w:t>119</w:t>
            </w:r>
          </w:p>
        </w:tc>
        <w:tc>
          <w:tcPr>
            <w:tcW w:w="771" w:type="dxa"/>
            <w:tcBorders>
              <w:top w:val="single" w:sz="4" w:space="0" w:color="auto"/>
              <w:left w:val="nil"/>
              <w:bottom w:val="single" w:sz="4"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2"/>
                <w:szCs w:val="20"/>
              </w:rPr>
            </w:pPr>
            <w:r w:rsidRPr="00D55DC6">
              <w:rPr>
                <w:rFonts w:eastAsia="標楷體"/>
                <w:kern w:val="0"/>
                <w:sz w:val="22"/>
                <w:szCs w:val="20"/>
              </w:rPr>
              <w:t>120</w:t>
            </w:r>
          </w:p>
        </w:tc>
        <w:tc>
          <w:tcPr>
            <w:tcW w:w="771" w:type="dxa"/>
            <w:tcBorders>
              <w:top w:val="single" w:sz="4" w:space="0" w:color="auto"/>
              <w:left w:val="nil"/>
              <w:bottom w:val="single" w:sz="4"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2"/>
                <w:szCs w:val="20"/>
              </w:rPr>
            </w:pPr>
            <w:r w:rsidRPr="00D55DC6">
              <w:rPr>
                <w:rFonts w:eastAsia="標楷體"/>
                <w:kern w:val="0"/>
                <w:sz w:val="22"/>
                <w:szCs w:val="20"/>
              </w:rPr>
              <w:t>121</w:t>
            </w:r>
          </w:p>
        </w:tc>
        <w:tc>
          <w:tcPr>
            <w:tcW w:w="771" w:type="dxa"/>
            <w:tcBorders>
              <w:top w:val="single" w:sz="4" w:space="0" w:color="auto"/>
              <w:left w:val="nil"/>
              <w:bottom w:val="single" w:sz="4"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2"/>
                <w:szCs w:val="20"/>
              </w:rPr>
            </w:pPr>
            <w:r w:rsidRPr="00D55DC6">
              <w:rPr>
                <w:rFonts w:eastAsia="標楷體"/>
                <w:kern w:val="0"/>
                <w:sz w:val="22"/>
                <w:szCs w:val="20"/>
              </w:rPr>
              <w:t>122</w:t>
            </w:r>
          </w:p>
        </w:tc>
        <w:tc>
          <w:tcPr>
            <w:tcW w:w="936" w:type="dxa"/>
            <w:tcBorders>
              <w:top w:val="single" w:sz="4" w:space="0" w:color="auto"/>
              <w:left w:val="nil"/>
              <w:bottom w:val="single" w:sz="4" w:space="0" w:color="auto"/>
              <w:right w:val="single" w:sz="4" w:space="0" w:color="auto"/>
            </w:tcBorders>
            <w:shd w:val="clear" w:color="auto" w:fill="FFCC00"/>
            <w:noWrap/>
            <w:vAlign w:val="center"/>
            <w:hideMark/>
          </w:tcPr>
          <w:p w:rsidR="004C6095" w:rsidRPr="00D55DC6" w:rsidRDefault="004C6095">
            <w:pPr>
              <w:widowControl/>
              <w:jc w:val="center"/>
              <w:rPr>
                <w:rFonts w:eastAsia="標楷體"/>
                <w:kern w:val="0"/>
                <w:sz w:val="22"/>
                <w:szCs w:val="20"/>
              </w:rPr>
            </w:pPr>
            <w:r w:rsidRPr="00D55DC6">
              <w:rPr>
                <w:rFonts w:eastAsia="標楷體"/>
                <w:kern w:val="0"/>
                <w:sz w:val="22"/>
                <w:szCs w:val="20"/>
              </w:rPr>
              <w:t>合計</w:t>
            </w:r>
          </w:p>
        </w:tc>
      </w:tr>
      <w:tr w:rsidR="001D0350" w:rsidRPr="00D55DC6" w:rsidTr="004C6095">
        <w:trPr>
          <w:trHeight w:val="345"/>
        </w:trPr>
        <w:tc>
          <w:tcPr>
            <w:tcW w:w="993" w:type="dxa"/>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4C6095" w:rsidRPr="00D55DC6" w:rsidRDefault="004C6095">
            <w:pPr>
              <w:widowControl/>
              <w:rPr>
                <w:rFonts w:eastAsia="標楷體"/>
                <w:kern w:val="0"/>
                <w:sz w:val="22"/>
                <w:szCs w:val="20"/>
              </w:rPr>
            </w:pPr>
            <w:r w:rsidRPr="00D55DC6">
              <w:rPr>
                <w:rFonts w:eastAsia="標楷體"/>
                <w:kern w:val="0"/>
                <w:sz w:val="22"/>
                <w:szCs w:val="20"/>
              </w:rPr>
              <w:t>支出</w:t>
            </w:r>
          </w:p>
        </w:tc>
        <w:tc>
          <w:tcPr>
            <w:tcW w:w="1144" w:type="dxa"/>
            <w:tcBorders>
              <w:top w:val="single" w:sz="4" w:space="0" w:color="auto"/>
              <w:left w:val="nil"/>
              <w:bottom w:val="single" w:sz="4" w:space="0" w:color="auto"/>
              <w:right w:val="single" w:sz="4" w:space="0" w:color="auto"/>
            </w:tcBorders>
            <w:shd w:val="clear" w:color="auto" w:fill="FDE9D9"/>
            <w:noWrap/>
            <w:vAlign w:val="center"/>
            <w:hideMark/>
          </w:tcPr>
          <w:p w:rsidR="004C6095" w:rsidRPr="00D55DC6" w:rsidRDefault="004C6095">
            <w:pPr>
              <w:widowControl/>
              <w:jc w:val="right"/>
              <w:rPr>
                <w:kern w:val="0"/>
                <w:sz w:val="22"/>
                <w:lang w:bidi="hi-IN"/>
              </w:rPr>
            </w:pPr>
            <w:r w:rsidRPr="00D55DC6">
              <w:rPr>
                <w:kern w:val="0"/>
                <w:sz w:val="22"/>
                <w:szCs w:val="22"/>
                <w:lang w:bidi="hi-IN"/>
              </w:rPr>
              <w:t>98,000</w:t>
            </w:r>
          </w:p>
        </w:tc>
        <w:tc>
          <w:tcPr>
            <w:tcW w:w="825" w:type="dxa"/>
            <w:tcBorders>
              <w:top w:val="single" w:sz="4" w:space="0" w:color="auto"/>
              <w:left w:val="nil"/>
              <w:bottom w:val="single" w:sz="4" w:space="0" w:color="auto"/>
              <w:right w:val="single" w:sz="4" w:space="0" w:color="auto"/>
            </w:tcBorders>
            <w:shd w:val="clear" w:color="auto" w:fill="FDE9D9"/>
            <w:noWrap/>
            <w:vAlign w:val="center"/>
            <w:hideMark/>
          </w:tcPr>
          <w:p w:rsidR="004C6095" w:rsidRPr="00D55DC6" w:rsidRDefault="004C6095">
            <w:pPr>
              <w:widowControl/>
              <w:jc w:val="right"/>
              <w:rPr>
                <w:kern w:val="0"/>
                <w:sz w:val="22"/>
                <w:lang w:bidi="hi-IN"/>
              </w:rPr>
            </w:pPr>
            <w:r w:rsidRPr="00D55DC6">
              <w:rPr>
                <w:kern w:val="0"/>
                <w:sz w:val="22"/>
                <w:szCs w:val="22"/>
                <w:lang w:bidi="hi-IN"/>
              </w:rPr>
              <w:t>98,000</w:t>
            </w:r>
          </w:p>
        </w:tc>
        <w:tc>
          <w:tcPr>
            <w:tcW w:w="771" w:type="dxa"/>
            <w:tcBorders>
              <w:top w:val="single" w:sz="4" w:space="0" w:color="auto"/>
              <w:left w:val="nil"/>
              <w:bottom w:val="single" w:sz="4" w:space="0" w:color="auto"/>
              <w:right w:val="single" w:sz="4" w:space="0" w:color="auto"/>
            </w:tcBorders>
            <w:shd w:val="clear" w:color="auto" w:fill="FDE9D9"/>
            <w:noWrap/>
            <w:vAlign w:val="center"/>
            <w:hideMark/>
          </w:tcPr>
          <w:p w:rsidR="004C6095" w:rsidRPr="00D55DC6" w:rsidRDefault="004C6095">
            <w:pPr>
              <w:widowControl/>
              <w:jc w:val="right"/>
              <w:rPr>
                <w:kern w:val="0"/>
                <w:sz w:val="22"/>
                <w:lang w:bidi="hi-IN"/>
              </w:rPr>
            </w:pPr>
            <w:r w:rsidRPr="00D55DC6">
              <w:rPr>
                <w:kern w:val="0"/>
                <w:sz w:val="22"/>
                <w:szCs w:val="22"/>
                <w:lang w:bidi="hi-IN"/>
              </w:rPr>
              <w:t>98,000</w:t>
            </w:r>
          </w:p>
        </w:tc>
        <w:tc>
          <w:tcPr>
            <w:tcW w:w="771" w:type="dxa"/>
            <w:tcBorders>
              <w:top w:val="single" w:sz="4" w:space="0" w:color="auto"/>
              <w:left w:val="nil"/>
              <w:bottom w:val="single" w:sz="4" w:space="0" w:color="auto"/>
              <w:right w:val="single" w:sz="4" w:space="0" w:color="auto"/>
            </w:tcBorders>
            <w:shd w:val="clear" w:color="auto" w:fill="FDE9D9"/>
            <w:noWrap/>
            <w:vAlign w:val="center"/>
            <w:hideMark/>
          </w:tcPr>
          <w:p w:rsidR="004C6095" w:rsidRPr="00D55DC6" w:rsidRDefault="004C6095">
            <w:pPr>
              <w:widowControl/>
              <w:jc w:val="right"/>
              <w:rPr>
                <w:kern w:val="0"/>
                <w:sz w:val="22"/>
                <w:lang w:bidi="hi-IN"/>
              </w:rPr>
            </w:pPr>
            <w:r w:rsidRPr="00D55DC6">
              <w:rPr>
                <w:kern w:val="0"/>
                <w:sz w:val="22"/>
                <w:szCs w:val="22"/>
                <w:lang w:bidi="hi-IN"/>
              </w:rPr>
              <w:t>98,000</w:t>
            </w:r>
          </w:p>
        </w:tc>
        <w:tc>
          <w:tcPr>
            <w:tcW w:w="771" w:type="dxa"/>
            <w:tcBorders>
              <w:top w:val="single" w:sz="4" w:space="0" w:color="auto"/>
              <w:left w:val="nil"/>
              <w:bottom w:val="single" w:sz="4" w:space="0" w:color="auto"/>
              <w:right w:val="single" w:sz="4" w:space="0" w:color="auto"/>
            </w:tcBorders>
            <w:shd w:val="clear" w:color="auto" w:fill="FDE9D9"/>
            <w:noWrap/>
            <w:vAlign w:val="center"/>
            <w:hideMark/>
          </w:tcPr>
          <w:p w:rsidR="004C6095" w:rsidRPr="00D55DC6" w:rsidRDefault="004C6095">
            <w:pPr>
              <w:widowControl/>
              <w:jc w:val="right"/>
              <w:rPr>
                <w:kern w:val="0"/>
                <w:sz w:val="22"/>
                <w:lang w:bidi="hi-IN"/>
              </w:rPr>
            </w:pPr>
            <w:r w:rsidRPr="00D55DC6">
              <w:rPr>
                <w:kern w:val="0"/>
                <w:sz w:val="22"/>
                <w:szCs w:val="22"/>
                <w:lang w:bidi="hi-IN"/>
              </w:rPr>
              <w:t>98,000</w:t>
            </w:r>
          </w:p>
        </w:tc>
        <w:tc>
          <w:tcPr>
            <w:tcW w:w="771" w:type="dxa"/>
            <w:tcBorders>
              <w:top w:val="single" w:sz="4" w:space="0" w:color="auto"/>
              <w:left w:val="nil"/>
              <w:bottom w:val="single" w:sz="4" w:space="0" w:color="auto"/>
              <w:right w:val="single" w:sz="4" w:space="0" w:color="auto"/>
            </w:tcBorders>
            <w:shd w:val="clear" w:color="auto" w:fill="FDE9D9"/>
            <w:noWrap/>
            <w:vAlign w:val="center"/>
            <w:hideMark/>
          </w:tcPr>
          <w:p w:rsidR="004C6095" w:rsidRPr="00D55DC6" w:rsidRDefault="004C6095">
            <w:pPr>
              <w:widowControl/>
              <w:jc w:val="right"/>
              <w:rPr>
                <w:kern w:val="0"/>
                <w:sz w:val="22"/>
                <w:lang w:bidi="hi-IN"/>
              </w:rPr>
            </w:pPr>
            <w:r w:rsidRPr="00D55DC6">
              <w:rPr>
                <w:kern w:val="0"/>
                <w:sz w:val="22"/>
                <w:szCs w:val="22"/>
                <w:lang w:bidi="hi-IN"/>
              </w:rPr>
              <w:t>98,000</w:t>
            </w:r>
          </w:p>
        </w:tc>
        <w:tc>
          <w:tcPr>
            <w:tcW w:w="771" w:type="dxa"/>
            <w:tcBorders>
              <w:top w:val="single" w:sz="4" w:space="0" w:color="auto"/>
              <w:left w:val="nil"/>
              <w:bottom w:val="single" w:sz="4" w:space="0" w:color="auto"/>
              <w:right w:val="single" w:sz="4" w:space="0" w:color="auto"/>
            </w:tcBorders>
            <w:shd w:val="clear" w:color="auto" w:fill="FDE9D9"/>
            <w:noWrap/>
            <w:vAlign w:val="center"/>
            <w:hideMark/>
          </w:tcPr>
          <w:p w:rsidR="004C6095" w:rsidRPr="00D55DC6" w:rsidRDefault="004C6095">
            <w:pPr>
              <w:widowControl/>
              <w:jc w:val="right"/>
              <w:rPr>
                <w:kern w:val="0"/>
                <w:sz w:val="22"/>
                <w:lang w:bidi="hi-IN"/>
              </w:rPr>
            </w:pPr>
            <w:r w:rsidRPr="00D55DC6">
              <w:rPr>
                <w:kern w:val="0"/>
                <w:sz w:val="22"/>
                <w:szCs w:val="22"/>
                <w:lang w:bidi="hi-IN"/>
              </w:rPr>
              <w:t>98,000</w:t>
            </w:r>
          </w:p>
        </w:tc>
        <w:tc>
          <w:tcPr>
            <w:tcW w:w="771" w:type="dxa"/>
            <w:tcBorders>
              <w:top w:val="single" w:sz="4" w:space="0" w:color="auto"/>
              <w:left w:val="nil"/>
              <w:bottom w:val="single" w:sz="4" w:space="0" w:color="auto"/>
              <w:right w:val="single" w:sz="4" w:space="0" w:color="auto"/>
            </w:tcBorders>
            <w:shd w:val="clear" w:color="auto" w:fill="FDE9D9"/>
            <w:noWrap/>
            <w:vAlign w:val="center"/>
            <w:hideMark/>
          </w:tcPr>
          <w:p w:rsidR="004C6095" w:rsidRPr="00D55DC6" w:rsidRDefault="004C6095">
            <w:pPr>
              <w:widowControl/>
              <w:jc w:val="right"/>
              <w:rPr>
                <w:kern w:val="0"/>
                <w:sz w:val="22"/>
                <w:lang w:bidi="hi-IN"/>
              </w:rPr>
            </w:pPr>
            <w:r w:rsidRPr="00D55DC6">
              <w:rPr>
                <w:kern w:val="0"/>
                <w:sz w:val="22"/>
                <w:szCs w:val="22"/>
                <w:lang w:bidi="hi-IN"/>
              </w:rPr>
              <w:t>98,000</w:t>
            </w:r>
          </w:p>
        </w:tc>
        <w:tc>
          <w:tcPr>
            <w:tcW w:w="771" w:type="dxa"/>
            <w:tcBorders>
              <w:top w:val="single" w:sz="4" w:space="0" w:color="auto"/>
              <w:left w:val="nil"/>
              <w:bottom w:val="single" w:sz="4" w:space="0" w:color="auto"/>
              <w:right w:val="single" w:sz="4" w:space="0" w:color="auto"/>
            </w:tcBorders>
            <w:shd w:val="clear" w:color="auto" w:fill="FDE9D9"/>
            <w:noWrap/>
            <w:vAlign w:val="center"/>
            <w:hideMark/>
          </w:tcPr>
          <w:p w:rsidR="004C6095" w:rsidRPr="00D55DC6" w:rsidRDefault="004C6095">
            <w:pPr>
              <w:widowControl/>
              <w:jc w:val="right"/>
              <w:rPr>
                <w:kern w:val="0"/>
                <w:sz w:val="22"/>
                <w:lang w:bidi="hi-IN"/>
              </w:rPr>
            </w:pPr>
            <w:r w:rsidRPr="00D55DC6">
              <w:rPr>
                <w:kern w:val="0"/>
                <w:sz w:val="22"/>
                <w:szCs w:val="22"/>
                <w:lang w:bidi="hi-IN"/>
              </w:rPr>
              <w:t>98,000</w:t>
            </w:r>
          </w:p>
        </w:tc>
        <w:tc>
          <w:tcPr>
            <w:tcW w:w="771" w:type="dxa"/>
            <w:tcBorders>
              <w:top w:val="single" w:sz="4" w:space="0" w:color="auto"/>
              <w:left w:val="nil"/>
              <w:bottom w:val="single" w:sz="4" w:space="0" w:color="auto"/>
              <w:right w:val="single" w:sz="4" w:space="0" w:color="auto"/>
            </w:tcBorders>
            <w:shd w:val="clear" w:color="auto" w:fill="FDE9D9"/>
            <w:noWrap/>
            <w:vAlign w:val="center"/>
            <w:hideMark/>
          </w:tcPr>
          <w:p w:rsidR="004C6095" w:rsidRPr="00D55DC6" w:rsidRDefault="004C6095">
            <w:pPr>
              <w:widowControl/>
              <w:jc w:val="right"/>
              <w:rPr>
                <w:kern w:val="0"/>
                <w:sz w:val="22"/>
                <w:lang w:bidi="hi-IN"/>
              </w:rPr>
            </w:pPr>
            <w:r w:rsidRPr="00D55DC6">
              <w:rPr>
                <w:kern w:val="0"/>
                <w:sz w:val="22"/>
                <w:szCs w:val="22"/>
                <w:lang w:bidi="hi-IN"/>
              </w:rPr>
              <w:t>98,000</w:t>
            </w:r>
          </w:p>
        </w:tc>
        <w:tc>
          <w:tcPr>
            <w:tcW w:w="936" w:type="dxa"/>
            <w:tcBorders>
              <w:top w:val="single" w:sz="4" w:space="0" w:color="auto"/>
              <w:left w:val="nil"/>
              <w:bottom w:val="single" w:sz="4" w:space="0" w:color="auto"/>
              <w:right w:val="single" w:sz="4" w:space="0" w:color="auto"/>
            </w:tcBorders>
            <w:shd w:val="clear" w:color="auto" w:fill="FDE9D9"/>
            <w:noWrap/>
            <w:vAlign w:val="center"/>
            <w:hideMark/>
          </w:tcPr>
          <w:p w:rsidR="004C6095" w:rsidRPr="00D55DC6" w:rsidRDefault="004C6095">
            <w:pPr>
              <w:widowControl/>
              <w:jc w:val="right"/>
              <w:rPr>
                <w:kern w:val="0"/>
                <w:sz w:val="22"/>
                <w:lang w:bidi="hi-IN"/>
              </w:rPr>
            </w:pPr>
            <w:r w:rsidRPr="00D55DC6">
              <w:rPr>
                <w:kern w:val="0"/>
                <w:sz w:val="22"/>
                <w:szCs w:val="22"/>
                <w:lang w:bidi="hi-IN"/>
              </w:rPr>
              <w:t>3,081,600</w:t>
            </w:r>
          </w:p>
        </w:tc>
      </w:tr>
      <w:tr w:rsidR="001D0350" w:rsidRPr="00D55DC6" w:rsidTr="004C6095">
        <w:trPr>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rPr>
                <w:rFonts w:eastAsia="標楷體"/>
                <w:kern w:val="0"/>
                <w:sz w:val="22"/>
                <w:szCs w:val="20"/>
              </w:rPr>
            </w:pPr>
            <w:r w:rsidRPr="00D55DC6">
              <w:rPr>
                <w:rFonts w:eastAsia="標楷體"/>
                <w:kern w:val="0"/>
                <w:sz w:val="22"/>
                <w:szCs w:val="20"/>
              </w:rPr>
              <w:t>收入</w:t>
            </w:r>
          </w:p>
        </w:tc>
        <w:tc>
          <w:tcPr>
            <w:tcW w:w="114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jc w:val="right"/>
              <w:rPr>
                <w:kern w:val="0"/>
                <w:sz w:val="22"/>
                <w:lang w:bidi="hi-IN"/>
              </w:rPr>
            </w:pPr>
            <w:r w:rsidRPr="00D55DC6">
              <w:rPr>
                <w:kern w:val="0"/>
                <w:sz w:val="22"/>
                <w:szCs w:val="22"/>
                <w:lang w:bidi="hi-IN"/>
              </w:rPr>
              <w:t>29,041</w:t>
            </w:r>
          </w:p>
        </w:tc>
        <w:tc>
          <w:tcPr>
            <w:tcW w:w="82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jc w:val="right"/>
              <w:rPr>
                <w:kern w:val="0"/>
                <w:sz w:val="22"/>
                <w:lang w:bidi="hi-IN"/>
              </w:rPr>
            </w:pPr>
            <w:r w:rsidRPr="00D55DC6">
              <w:rPr>
                <w:kern w:val="0"/>
                <w:sz w:val="22"/>
                <w:szCs w:val="22"/>
                <w:lang w:bidi="hi-IN"/>
              </w:rPr>
              <w:t>34,474</w:t>
            </w:r>
          </w:p>
        </w:tc>
        <w:tc>
          <w:tcPr>
            <w:tcW w:w="77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jc w:val="right"/>
              <w:rPr>
                <w:kern w:val="0"/>
                <w:sz w:val="22"/>
                <w:lang w:bidi="hi-IN"/>
              </w:rPr>
            </w:pPr>
            <w:r w:rsidRPr="00D55DC6">
              <w:rPr>
                <w:kern w:val="0"/>
                <w:sz w:val="22"/>
                <w:szCs w:val="22"/>
                <w:lang w:bidi="hi-IN"/>
              </w:rPr>
              <w:t>36,085</w:t>
            </w:r>
          </w:p>
        </w:tc>
        <w:tc>
          <w:tcPr>
            <w:tcW w:w="77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jc w:val="right"/>
              <w:rPr>
                <w:kern w:val="0"/>
                <w:sz w:val="22"/>
                <w:lang w:bidi="hi-IN"/>
              </w:rPr>
            </w:pPr>
            <w:r w:rsidRPr="00D55DC6">
              <w:rPr>
                <w:kern w:val="0"/>
                <w:sz w:val="22"/>
                <w:szCs w:val="22"/>
                <w:lang w:bidi="hi-IN"/>
              </w:rPr>
              <w:t>37,782</w:t>
            </w:r>
          </w:p>
        </w:tc>
        <w:tc>
          <w:tcPr>
            <w:tcW w:w="77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jc w:val="right"/>
              <w:rPr>
                <w:kern w:val="0"/>
                <w:sz w:val="22"/>
                <w:lang w:bidi="hi-IN"/>
              </w:rPr>
            </w:pPr>
            <w:r w:rsidRPr="00D55DC6">
              <w:rPr>
                <w:kern w:val="0"/>
                <w:sz w:val="22"/>
                <w:szCs w:val="22"/>
                <w:lang w:bidi="hi-IN"/>
              </w:rPr>
              <w:t>38,858</w:t>
            </w:r>
          </w:p>
        </w:tc>
        <w:tc>
          <w:tcPr>
            <w:tcW w:w="77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jc w:val="right"/>
              <w:rPr>
                <w:kern w:val="0"/>
                <w:sz w:val="22"/>
                <w:lang w:bidi="hi-IN"/>
              </w:rPr>
            </w:pPr>
            <w:r w:rsidRPr="00D55DC6">
              <w:rPr>
                <w:kern w:val="0"/>
                <w:sz w:val="22"/>
                <w:szCs w:val="22"/>
                <w:lang w:bidi="hi-IN"/>
              </w:rPr>
              <w:t>40,059</w:t>
            </w:r>
          </w:p>
        </w:tc>
        <w:tc>
          <w:tcPr>
            <w:tcW w:w="77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jc w:val="right"/>
              <w:rPr>
                <w:kern w:val="0"/>
                <w:sz w:val="22"/>
                <w:lang w:bidi="hi-IN"/>
              </w:rPr>
            </w:pPr>
            <w:r w:rsidRPr="00D55DC6">
              <w:rPr>
                <w:kern w:val="0"/>
                <w:sz w:val="22"/>
                <w:szCs w:val="22"/>
                <w:lang w:bidi="hi-IN"/>
              </w:rPr>
              <w:t>41,663</w:t>
            </w:r>
          </w:p>
        </w:tc>
        <w:tc>
          <w:tcPr>
            <w:tcW w:w="77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jc w:val="right"/>
              <w:rPr>
                <w:kern w:val="0"/>
                <w:sz w:val="22"/>
                <w:lang w:bidi="hi-IN"/>
              </w:rPr>
            </w:pPr>
            <w:r w:rsidRPr="00D55DC6">
              <w:rPr>
                <w:kern w:val="0"/>
                <w:sz w:val="22"/>
                <w:szCs w:val="22"/>
                <w:lang w:bidi="hi-IN"/>
              </w:rPr>
              <w:t>42,680</w:t>
            </w:r>
          </w:p>
        </w:tc>
        <w:tc>
          <w:tcPr>
            <w:tcW w:w="77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jc w:val="right"/>
              <w:rPr>
                <w:kern w:val="0"/>
                <w:sz w:val="22"/>
                <w:lang w:bidi="hi-IN"/>
              </w:rPr>
            </w:pPr>
            <w:r w:rsidRPr="00D55DC6">
              <w:rPr>
                <w:kern w:val="0"/>
                <w:sz w:val="22"/>
                <w:szCs w:val="22"/>
                <w:lang w:bidi="hi-IN"/>
              </w:rPr>
              <w:t>43,796</w:t>
            </w:r>
          </w:p>
        </w:tc>
        <w:tc>
          <w:tcPr>
            <w:tcW w:w="77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jc w:val="right"/>
              <w:rPr>
                <w:kern w:val="0"/>
                <w:sz w:val="22"/>
                <w:lang w:bidi="hi-IN"/>
              </w:rPr>
            </w:pPr>
            <w:r w:rsidRPr="00D55DC6">
              <w:rPr>
                <w:kern w:val="0"/>
                <w:sz w:val="22"/>
                <w:szCs w:val="22"/>
                <w:lang w:bidi="hi-IN"/>
              </w:rPr>
              <w:t>44,654</w:t>
            </w:r>
          </w:p>
        </w:tc>
        <w:tc>
          <w:tcPr>
            <w:tcW w:w="93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jc w:val="right"/>
              <w:rPr>
                <w:kern w:val="0"/>
                <w:sz w:val="22"/>
                <w:lang w:bidi="hi-IN"/>
              </w:rPr>
            </w:pPr>
            <w:r w:rsidRPr="00D55DC6">
              <w:rPr>
                <w:kern w:val="0"/>
                <w:sz w:val="22"/>
                <w:szCs w:val="22"/>
                <w:lang w:bidi="hi-IN"/>
              </w:rPr>
              <w:t>549,467</w:t>
            </w:r>
          </w:p>
        </w:tc>
      </w:tr>
      <w:tr w:rsidR="001D0350" w:rsidRPr="00D55DC6" w:rsidTr="004C6095">
        <w:trPr>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4C6095" w:rsidRPr="00D55DC6" w:rsidRDefault="004C6095">
            <w:pPr>
              <w:widowControl/>
              <w:rPr>
                <w:rFonts w:eastAsia="標楷體"/>
                <w:kern w:val="0"/>
                <w:sz w:val="22"/>
                <w:szCs w:val="20"/>
              </w:rPr>
            </w:pPr>
            <w:r w:rsidRPr="00D55DC6">
              <w:rPr>
                <w:rFonts w:eastAsia="標楷體"/>
                <w:kern w:val="0"/>
                <w:sz w:val="22"/>
                <w:szCs w:val="20"/>
              </w:rPr>
              <w:t>收支比</w:t>
            </w:r>
          </w:p>
        </w:tc>
        <w:tc>
          <w:tcPr>
            <w:tcW w:w="1144" w:type="dxa"/>
            <w:tcBorders>
              <w:top w:val="single" w:sz="4" w:space="0" w:color="auto"/>
              <w:left w:val="single" w:sz="4" w:space="0" w:color="auto"/>
              <w:bottom w:val="single" w:sz="4" w:space="0" w:color="auto"/>
              <w:right w:val="single" w:sz="4" w:space="0" w:color="auto"/>
            </w:tcBorders>
            <w:shd w:val="clear" w:color="auto" w:fill="FFFFFF"/>
            <w:noWrap/>
            <w:hideMark/>
          </w:tcPr>
          <w:p w:rsidR="004C6095" w:rsidRPr="00D55DC6" w:rsidRDefault="004C6095">
            <w:pPr>
              <w:widowControl/>
              <w:jc w:val="right"/>
              <w:rPr>
                <w:kern w:val="0"/>
                <w:sz w:val="22"/>
                <w:lang w:bidi="hi-IN"/>
              </w:rPr>
            </w:pPr>
            <w:r w:rsidRPr="00D55DC6">
              <w:rPr>
                <w:kern w:val="0"/>
                <w:sz w:val="22"/>
                <w:szCs w:val="22"/>
                <w:lang w:bidi="hi-IN"/>
              </w:rPr>
              <w:t>29.63%</w:t>
            </w:r>
          </w:p>
        </w:tc>
        <w:tc>
          <w:tcPr>
            <w:tcW w:w="825" w:type="dxa"/>
            <w:tcBorders>
              <w:top w:val="single" w:sz="4" w:space="0" w:color="auto"/>
              <w:left w:val="single" w:sz="4" w:space="0" w:color="auto"/>
              <w:bottom w:val="single" w:sz="4" w:space="0" w:color="auto"/>
              <w:right w:val="single" w:sz="4" w:space="0" w:color="auto"/>
            </w:tcBorders>
            <w:shd w:val="clear" w:color="auto" w:fill="FFFFFF"/>
            <w:noWrap/>
            <w:hideMark/>
          </w:tcPr>
          <w:p w:rsidR="004C6095" w:rsidRPr="00D55DC6" w:rsidRDefault="004C6095">
            <w:pPr>
              <w:widowControl/>
              <w:jc w:val="right"/>
              <w:rPr>
                <w:kern w:val="0"/>
                <w:sz w:val="22"/>
                <w:lang w:bidi="hi-IN"/>
              </w:rPr>
            </w:pPr>
            <w:r w:rsidRPr="00D55DC6">
              <w:rPr>
                <w:kern w:val="0"/>
                <w:sz w:val="22"/>
                <w:szCs w:val="22"/>
                <w:lang w:bidi="hi-IN"/>
              </w:rPr>
              <w:t>35.18%</w:t>
            </w:r>
          </w:p>
        </w:tc>
        <w:tc>
          <w:tcPr>
            <w:tcW w:w="771" w:type="dxa"/>
            <w:tcBorders>
              <w:top w:val="single" w:sz="4" w:space="0" w:color="auto"/>
              <w:left w:val="single" w:sz="4" w:space="0" w:color="auto"/>
              <w:bottom w:val="single" w:sz="4" w:space="0" w:color="auto"/>
              <w:right w:val="single" w:sz="4" w:space="0" w:color="auto"/>
            </w:tcBorders>
            <w:shd w:val="clear" w:color="auto" w:fill="FFFFFF"/>
            <w:noWrap/>
            <w:hideMark/>
          </w:tcPr>
          <w:p w:rsidR="004C6095" w:rsidRPr="00D55DC6" w:rsidRDefault="004C6095">
            <w:pPr>
              <w:widowControl/>
              <w:jc w:val="right"/>
              <w:rPr>
                <w:kern w:val="0"/>
                <w:sz w:val="22"/>
                <w:lang w:bidi="hi-IN"/>
              </w:rPr>
            </w:pPr>
            <w:r w:rsidRPr="00D55DC6">
              <w:rPr>
                <w:kern w:val="0"/>
                <w:sz w:val="22"/>
                <w:szCs w:val="22"/>
                <w:lang w:bidi="hi-IN"/>
              </w:rPr>
              <w:t>36.82%</w:t>
            </w:r>
          </w:p>
        </w:tc>
        <w:tc>
          <w:tcPr>
            <w:tcW w:w="771" w:type="dxa"/>
            <w:tcBorders>
              <w:top w:val="single" w:sz="4" w:space="0" w:color="auto"/>
              <w:left w:val="single" w:sz="4" w:space="0" w:color="auto"/>
              <w:bottom w:val="single" w:sz="4" w:space="0" w:color="auto"/>
              <w:right w:val="single" w:sz="4" w:space="0" w:color="auto"/>
            </w:tcBorders>
            <w:shd w:val="clear" w:color="auto" w:fill="FFFFFF"/>
            <w:noWrap/>
            <w:hideMark/>
          </w:tcPr>
          <w:p w:rsidR="004C6095" w:rsidRPr="00D55DC6" w:rsidRDefault="004C6095">
            <w:pPr>
              <w:widowControl/>
              <w:jc w:val="right"/>
              <w:rPr>
                <w:kern w:val="0"/>
                <w:sz w:val="22"/>
                <w:lang w:bidi="hi-IN"/>
              </w:rPr>
            </w:pPr>
            <w:r w:rsidRPr="00D55DC6">
              <w:rPr>
                <w:kern w:val="0"/>
                <w:sz w:val="22"/>
                <w:szCs w:val="22"/>
                <w:lang w:bidi="hi-IN"/>
              </w:rPr>
              <w:t>38.55%</w:t>
            </w:r>
          </w:p>
        </w:tc>
        <w:tc>
          <w:tcPr>
            <w:tcW w:w="771" w:type="dxa"/>
            <w:tcBorders>
              <w:top w:val="single" w:sz="4" w:space="0" w:color="auto"/>
              <w:left w:val="single" w:sz="4" w:space="0" w:color="auto"/>
              <w:bottom w:val="single" w:sz="4" w:space="0" w:color="auto"/>
              <w:right w:val="single" w:sz="4" w:space="0" w:color="auto"/>
            </w:tcBorders>
            <w:shd w:val="clear" w:color="auto" w:fill="FFFFFF"/>
            <w:noWrap/>
            <w:hideMark/>
          </w:tcPr>
          <w:p w:rsidR="004C6095" w:rsidRPr="00D55DC6" w:rsidRDefault="004C6095">
            <w:pPr>
              <w:widowControl/>
              <w:jc w:val="right"/>
              <w:rPr>
                <w:kern w:val="0"/>
                <w:sz w:val="22"/>
                <w:lang w:bidi="hi-IN"/>
              </w:rPr>
            </w:pPr>
            <w:r w:rsidRPr="00D55DC6">
              <w:rPr>
                <w:kern w:val="0"/>
                <w:sz w:val="22"/>
                <w:szCs w:val="22"/>
                <w:lang w:bidi="hi-IN"/>
              </w:rPr>
              <w:t>39.65%</w:t>
            </w:r>
          </w:p>
        </w:tc>
        <w:tc>
          <w:tcPr>
            <w:tcW w:w="771" w:type="dxa"/>
            <w:tcBorders>
              <w:top w:val="single" w:sz="4" w:space="0" w:color="auto"/>
              <w:left w:val="single" w:sz="4" w:space="0" w:color="auto"/>
              <w:bottom w:val="single" w:sz="4" w:space="0" w:color="auto"/>
              <w:right w:val="single" w:sz="4" w:space="0" w:color="auto"/>
            </w:tcBorders>
            <w:shd w:val="clear" w:color="auto" w:fill="FFFFFF"/>
            <w:noWrap/>
            <w:hideMark/>
          </w:tcPr>
          <w:p w:rsidR="004C6095" w:rsidRPr="00D55DC6" w:rsidRDefault="004C6095">
            <w:pPr>
              <w:widowControl/>
              <w:jc w:val="right"/>
              <w:rPr>
                <w:kern w:val="0"/>
                <w:sz w:val="22"/>
                <w:lang w:bidi="hi-IN"/>
              </w:rPr>
            </w:pPr>
            <w:r w:rsidRPr="00D55DC6">
              <w:rPr>
                <w:kern w:val="0"/>
                <w:sz w:val="22"/>
                <w:szCs w:val="22"/>
                <w:lang w:bidi="hi-IN"/>
              </w:rPr>
              <w:t>40.88%</w:t>
            </w:r>
          </w:p>
        </w:tc>
        <w:tc>
          <w:tcPr>
            <w:tcW w:w="771" w:type="dxa"/>
            <w:tcBorders>
              <w:top w:val="single" w:sz="4" w:space="0" w:color="auto"/>
              <w:left w:val="single" w:sz="4" w:space="0" w:color="auto"/>
              <w:bottom w:val="single" w:sz="4" w:space="0" w:color="auto"/>
              <w:right w:val="single" w:sz="4" w:space="0" w:color="auto"/>
            </w:tcBorders>
            <w:shd w:val="clear" w:color="auto" w:fill="FFFFFF"/>
            <w:noWrap/>
            <w:hideMark/>
          </w:tcPr>
          <w:p w:rsidR="004C6095" w:rsidRPr="00D55DC6" w:rsidRDefault="004C6095">
            <w:pPr>
              <w:widowControl/>
              <w:jc w:val="right"/>
              <w:rPr>
                <w:kern w:val="0"/>
                <w:sz w:val="22"/>
                <w:lang w:bidi="hi-IN"/>
              </w:rPr>
            </w:pPr>
            <w:r w:rsidRPr="00D55DC6">
              <w:rPr>
                <w:kern w:val="0"/>
                <w:sz w:val="22"/>
                <w:szCs w:val="22"/>
                <w:lang w:bidi="hi-IN"/>
              </w:rPr>
              <w:t>42.51%</w:t>
            </w:r>
          </w:p>
        </w:tc>
        <w:tc>
          <w:tcPr>
            <w:tcW w:w="771" w:type="dxa"/>
            <w:tcBorders>
              <w:top w:val="single" w:sz="4" w:space="0" w:color="auto"/>
              <w:left w:val="single" w:sz="4" w:space="0" w:color="auto"/>
              <w:bottom w:val="single" w:sz="4" w:space="0" w:color="auto"/>
              <w:right w:val="single" w:sz="4" w:space="0" w:color="auto"/>
            </w:tcBorders>
            <w:shd w:val="clear" w:color="auto" w:fill="FFFFFF"/>
            <w:noWrap/>
            <w:hideMark/>
          </w:tcPr>
          <w:p w:rsidR="004C6095" w:rsidRPr="00D55DC6" w:rsidRDefault="004C6095">
            <w:pPr>
              <w:widowControl/>
              <w:jc w:val="right"/>
              <w:rPr>
                <w:kern w:val="0"/>
                <w:sz w:val="22"/>
                <w:lang w:bidi="hi-IN"/>
              </w:rPr>
            </w:pPr>
            <w:r w:rsidRPr="00D55DC6">
              <w:rPr>
                <w:kern w:val="0"/>
                <w:sz w:val="22"/>
                <w:szCs w:val="22"/>
                <w:lang w:bidi="hi-IN"/>
              </w:rPr>
              <w:t>43.55%</w:t>
            </w:r>
          </w:p>
        </w:tc>
        <w:tc>
          <w:tcPr>
            <w:tcW w:w="771" w:type="dxa"/>
            <w:tcBorders>
              <w:top w:val="single" w:sz="4" w:space="0" w:color="auto"/>
              <w:left w:val="single" w:sz="4" w:space="0" w:color="auto"/>
              <w:bottom w:val="single" w:sz="4" w:space="0" w:color="auto"/>
              <w:right w:val="single" w:sz="4" w:space="0" w:color="auto"/>
            </w:tcBorders>
            <w:shd w:val="clear" w:color="auto" w:fill="FFFFFF"/>
            <w:noWrap/>
            <w:hideMark/>
          </w:tcPr>
          <w:p w:rsidR="004C6095" w:rsidRPr="00D55DC6" w:rsidRDefault="004C6095">
            <w:pPr>
              <w:widowControl/>
              <w:jc w:val="right"/>
              <w:rPr>
                <w:kern w:val="0"/>
                <w:sz w:val="22"/>
                <w:lang w:bidi="hi-IN"/>
              </w:rPr>
            </w:pPr>
            <w:r w:rsidRPr="00D55DC6">
              <w:rPr>
                <w:kern w:val="0"/>
                <w:sz w:val="22"/>
                <w:szCs w:val="22"/>
                <w:lang w:bidi="hi-IN"/>
              </w:rPr>
              <w:t>44.69%</w:t>
            </w:r>
          </w:p>
        </w:tc>
        <w:tc>
          <w:tcPr>
            <w:tcW w:w="771" w:type="dxa"/>
            <w:tcBorders>
              <w:top w:val="single" w:sz="4" w:space="0" w:color="auto"/>
              <w:left w:val="single" w:sz="4" w:space="0" w:color="auto"/>
              <w:bottom w:val="single" w:sz="4" w:space="0" w:color="auto"/>
              <w:right w:val="single" w:sz="4" w:space="0" w:color="auto"/>
            </w:tcBorders>
            <w:shd w:val="clear" w:color="auto" w:fill="FFFFFF"/>
            <w:noWrap/>
            <w:hideMark/>
          </w:tcPr>
          <w:p w:rsidR="004C6095" w:rsidRPr="00D55DC6" w:rsidRDefault="004C6095">
            <w:pPr>
              <w:widowControl/>
              <w:jc w:val="right"/>
              <w:rPr>
                <w:kern w:val="0"/>
                <w:sz w:val="22"/>
                <w:lang w:bidi="hi-IN"/>
              </w:rPr>
            </w:pPr>
            <w:r w:rsidRPr="00D55DC6">
              <w:rPr>
                <w:kern w:val="0"/>
                <w:sz w:val="22"/>
                <w:szCs w:val="22"/>
                <w:lang w:bidi="hi-IN"/>
              </w:rPr>
              <w:t>45.57%</w:t>
            </w:r>
          </w:p>
        </w:tc>
        <w:tc>
          <w:tcPr>
            <w:tcW w:w="936" w:type="dxa"/>
            <w:tcBorders>
              <w:top w:val="single" w:sz="4" w:space="0" w:color="auto"/>
              <w:left w:val="single" w:sz="4" w:space="0" w:color="auto"/>
              <w:bottom w:val="single" w:sz="4" w:space="0" w:color="auto"/>
              <w:right w:val="single" w:sz="4" w:space="0" w:color="auto"/>
            </w:tcBorders>
            <w:shd w:val="clear" w:color="auto" w:fill="FFFFFF"/>
            <w:noWrap/>
            <w:hideMark/>
          </w:tcPr>
          <w:p w:rsidR="004C6095" w:rsidRPr="00D55DC6" w:rsidRDefault="004C6095">
            <w:pPr>
              <w:widowControl/>
              <w:jc w:val="right"/>
              <w:rPr>
                <w:kern w:val="0"/>
                <w:sz w:val="22"/>
                <w:lang w:bidi="hi-IN"/>
              </w:rPr>
            </w:pPr>
            <w:r w:rsidRPr="00D55DC6">
              <w:rPr>
                <w:kern w:val="0"/>
                <w:sz w:val="22"/>
                <w:szCs w:val="22"/>
                <w:lang w:bidi="hi-IN"/>
              </w:rPr>
              <w:t>17.83%</w:t>
            </w:r>
          </w:p>
        </w:tc>
      </w:tr>
      <w:tr w:rsidR="001D0350" w:rsidRPr="00D55DC6" w:rsidTr="004C6095">
        <w:trPr>
          <w:gridAfter w:val="10"/>
          <w:wAfter w:w="7929" w:type="dxa"/>
          <w:trHeight w:val="330"/>
        </w:trPr>
        <w:tc>
          <w:tcPr>
            <w:tcW w:w="993" w:type="dxa"/>
            <w:tcBorders>
              <w:top w:val="nil"/>
              <w:left w:val="single" w:sz="4" w:space="0" w:color="auto"/>
              <w:bottom w:val="single" w:sz="4" w:space="0" w:color="auto"/>
              <w:right w:val="single" w:sz="4" w:space="0" w:color="auto"/>
            </w:tcBorders>
            <w:shd w:val="clear" w:color="auto" w:fill="FFFFCC"/>
            <w:noWrap/>
            <w:vAlign w:val="center"/>
            <w:hideMark/>
          </w:tcPr>
          <w:p w:rsidR="004C6095" w:rsidRPr="00D55DC6" w:rsidRDefault="004C6095">
            <w:pPr>
              <w:widowControl/>
              <w:rPr>
                <w:rFonts w:eastAsia="標楷體"/>
                <w:b/>
                <w:bCs/>
                <w:kern w:val="0"/>
                <w:sz w:val="22"/>
                <w:szCs w:val="20"/>
              </w:rPr>
            </w:pPr>
            <w:r w:rsidRPr="00D55DC6">
              <w:rPr>
                <w:rFonts w:eastAsia="標楷體"/>
                <w:b/>
                <w:bCs/>
                <w:kern w:val="0"/>
                <w:sz w:val="22"/>
                <w:szCs w:val="20"/>
              </w:rPr>
              <w:t>投資現值</w:t>
            </w:r>
          </w:p>
        </w:tc>
        <w:tc>
          <w:tcPr>
            <w:tcW w:w="1144"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4C6095" w:rsidRPr="00D55DC6" w:rsidRDefault="004C6095">
            <w:pPr>
              <w:widowControl/>
              <w:jc w:val="right"/>
              <w:rPr>
                <w:b/>
                <w:bCs/>
                <w:kern w:val="0"/>
                <w:sz w:val="22"/>
                <w:lang w:bidi="hi-IN"/>
              </w:rPr>
            </w:pPr>
            <w:r w:rsidRPr="00D55DC6">
              <w:rPr>
                <w:b/>
                <w:bCs/>
                <w:kern w:val="0"/>
                <w:sz w:val="22"/>
                <w:szCs w:val="22"/>
                <w:lang w:bidi="hi-IN"/>
              </w:rPr>
              <w:t>2,449,932</w:t>
            </w:r>
          </w:p>
        </w:tc>
      </w:tr>
      <w:tr w:rsidR="001D0350" w:rsidRPr="00D55DC6" w:rsidTr="004C6095">
        <w:trPr>
          <w:gridAfter w:val="10"/>
          <w:wAfter w:w="7929" w:type="dxa"/>
          <w:trHeight w:val="330"/>
        </w:trPr>
        <w:tc>
          <w:tcPr>
            <w:tcW w:w="993" w:type="dxa"/>
            <w:tcBorders>
              <w:top w:val="nil"/>
              <w:left w:val="single" w:sz="4" w:space="0" w:color="auto"/>
              <w:bottom w:val="single" w:sz="4" w:space="0" w:color="auto"/>
              <w:right w:val="single" w:sz="4" w:space="0" w:color="auto"/>
            </w:tcBorders>
            <w:shd w:val="clear" w:color="auto" w:fill="FFFFCC"/>
            <w:noWrap/>
            <w:vAlign w:val="center"/>
            <w:hideMark/>
          </w:tcPr>
          <w:p w:rsidR="004C6095" w:rsidRPr="00D55DC6" w:rsidRDefault="004C6095">
            <w:pPr>
              <w:widowControl/>
              <w:rPr>
                <w:rFonts w:eastAsia="標楷體"/>
                <w:b/>
                <w:bCs/>
                <w:kern w:val="0"/>
                <w:sz w:val="22"/>
                <w:szCs w:val="20"/>
              </w:rPr>
            </w:pPr>
            <w:r w:rsidRPr="00D55DC6">
              <w:rPr>
                <w:rFonts w:eastAsia="標楷體"/>
                <w:b/>
                <w:bCs/>
                <w:kern w:val="0"/>
                <w:sz w:val="22"/>
                <w:szCs w:val="20"/>
              </w:rPr>
              <w:t>收益現值</w:t>
            </w:r>
          </w:p>
        </w:tc>
        <w:tc>
          <w:tcPr>
            <w:tcW w:w="1144" w:type="dxa"/>
            <w:tcBorders>
              <w:top w:val="single" w:sz="4" w:space="0" w:color="auto"/>
              <w:left w:val="single" w:sz="4" w:space="0" w:color="auto"/>
              <w:bottom w:val="single" w:sz="4" w:space="0" w:color="auto"/>
              <w:right w:val="single" w:sz="4" w:space="0" w:color="auto"/>
            </w:tcBorders>
            <w:shd w:val="clear" w:color="auto" w:fill="FFFFCC"/>
            <w:noWrap/>
            <w:vAlign w:val="center"/>
            <w:hideMark/>
          </w:tcPr>
          <w:p w:rsidR="004C6095" w:rsidRPr="00D55DC6" w:rsidRDefault="004C6095">
            <w:pPr>
              <w:widowControl/>
              <w:jc w:val="right"/>
              <w:rPr>
                <w:b/>
                <w:bCs/>
                <w:kern w:val="0"/>
                <w:sz w:val="22"/>
                <w:lang w:bidi="hi-IN"/>
              </w:rPr>
            </w:pPr>
            <w:r w:rsidRPr="00D55DC6">
              <w:rPr>
                <w:b/>
                <w:bCs/>
                <w:kern w:val="0"/>
                <w:sz w:val="22"/>
                <w:szCs w:val="22"/>
                <w:lang w:bidi="hi-IN"/>
              </w:rPr>
              <w:t>380,158</w:t>
            </w:r>
          </w:p>
        </w:tc>
      </w:tr>
      <w:tr w:rsidR="001D0350" w:rsidRPr="00D55DC6" w:rsidTr="004C6095">
        <w:trPr>
          <w:gridAfter w:val="10"/>
          <w:wAfter w:w="7929" w:type="dxa"/>
          <w:trHeight w:val="330"/>
        </w:trPr>
        <w:tc>
          <w:tcPr>
            <w:tcW w:w="993" w:type="dxa"/>
            <w:tcBorders>
              <w:top w:val="nil"/>
              <w:left w:val="single" w:sz="4" w:space="0" w:color="auto"/>
              <w:bottom w:val="single" w:sz="4" w:space="0" w:color="auto"/>
              <w:right w:val="single" w:sz="4" w:space="0" w:color="auto"/>
            </w:tcBorders>
            <w:shd w:val="clear" w:color="auto" w:fill="FDE9D9"/>
            <w:noWrap/>
            <w:vAlign w:val="center"/>
            <w:hideMark/>
          </w:tcPr>
          <w:p w:rsidR="004C6095" w:rsidRPr="00D55DC6" w:rsidRDefault="004C6095">
            <w:pPr>
              <w:widowControl/>
              <w:rPr>
                <w:rFonts w:eastAsia="標楷體"/>
                <w:kern w:val="0"/>
                <w:sz w:val="22"/>
                <w:szCs w:val="20"/>
              </w:rPr>
            </w:pPr>
            <w:r w:rsidRPr="00D55DC6">
              <w:rPr>
                <w:rFonts w:eastAsia="標楷體"/>
                <w:kern w:val="0"/>
                <w:sz w:val="18"/>
                <w:szCs w:val="20"/>
              </w:rPr>
              <w:t>計畫自償率</w:t>
            </w:r>
          </w:p>
        </w:tc>
        <w:tc>
          <w:tcPr>
            <w:tcW w:w="1144" w:type="dxa"/>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4C6095" w:rsidRPr="00D55DC6" w:rsidRDefault="004C6095">
            <w:pPr>
              <w:widowControl/>
              <w:jc w:val="right"/>
              <w:rPr>
                <w:b/>
                <w:bCs/>
                <w:kern w:val="0"/>
                <w:sz w:val="22"/>
                <w:lang w:bidi="hi-IN"/>
              </w:rPr>
            </w:pPr>
            <w:r w:rsidRPr="00D55DC6">
              <w:rPr>
                <w:b/>
                <w:bCs/>
                <w:kern w:val="0"/>
                <w:sz w:val="22"/>
                <w:szCs w:val="22"/>
                <w:lang w:bidi="hi-IN"/>
              </w:rPr>
              <w:t>15.52%</w:t>
            </w:r>
          </w:p>
        </w:tc>
      </w:tr>
    </w:tbl>
    <w:p w:rsidR="00B6196A" w:rsidRPr="00D55DC6" w:rsidRDefault="00B6196A" w:rsidP="0038165F">
      <w:pPr>
        <w:pStyle w:val="a"/>
        <w:numPr>
          <w:ilvl w:val="0"/>
          <w:numId w:val="0"/>
        </w:numPr>
        <w:ind w:left="709"/>
        <w:rPr>
          <w:b/>
        </w:rPr>
      </w:pPr>
    </w:p>
    <w:p w:rsidR="004C6095" w:rsidRPr="00D55DC6" w:rsidRDefault="004C6095" w:rsidP="0038165F">
      <w:pPr>
        <w:pStyle w:val="a"/>
        <w:numPr>
          <w:ilvl w:val="0"/>
          <w:numId w:val="0"/>
        </w:numPr>
        <w:ind w:left="709"/>
        <w:rPr>
          <w:b/>
        </w:rPr>
      </w:pPr>
    </w:p>
    <w:p w:rsidR="00B6196A" w:rsidRPr="00D55DC6" w:rsidRDefault="00B6196A" w:rsidP="004865C1">
      <w:pPr>
        <w:pStyle w:val="af2"/>
        <w:numPr>
          <w:ilvl w:val="0"/>
          <w:numId w:val="134"/>
        </w:numPr>
        <w:snapToGrid w:val="0"/>
        <w:spacing w:line="460" w:lineRule="exact"/>
        <w:ind w:leftChars="0"/>
        <w:jc w:val="both"/>
        <w:rPr>
          <w:rFonts w:eastAsia="標楷體"/>
          <w:b/>
          <w:sz w:val="28"/>
          <w:szCs w:val="28"/>
        </w:rPr>
      </w:pPr>
      <w:r w:rsidRPr="00D55DC6">
        <w:rPr>
          <w:rFonts w:eastAsia="標楷體"/>
          <w:b/>
          <w:sz w:val="28"/>
          <w:szCs w:val="28"/>
        </w:rPr>
        <w:t>限制條件</w:t>
      </w:r>
    </w:p>
    <w:p w:rsidR="00B6196A" w:rsidRPr="00D55DC6" w:rsidRDefault="00B6196A" w:rsidP="0038165F">
      <w:pPr>
        <w:pStyle w:val="a"/>
        <w:numPr>
          <w:ilvl w:val="0"/>
          <w:numId w:val="0"/>
        </w:numPr>
        <w:ind w:left="709" w:firstLineChars="200" w:firstLine="560"/>
      </w:pPr>
      <w:bookmarkStart w:id="143" w:name="_Toc407181710"/>
      <w:r w:rsidRPr="00D55DC6">
        <w:t>國家風景區經管範圍雖然廣大，但管理處管理土地甚少，且僅有經營管理權，現況僅能以透過土地</w:t>
      </w:r>
      <w:r w:rsidRPr="00D55DC6">
        <w:rPr>
          <w:rFonts w:eastAsia="新細明體"/>
        </w:rPr>
        <w:t>、</w:t>
      </w:r>
      <w:r w:rsidRPr="00D55DC6">
        <w:t>環評</w:t>
      </w:r>
      <w:r w:rsidRPr="00D55DC6">
        <w:rPr>
          <w:rFonts w:eastAsia="新細明體"/>
        </w:rPr>
        <w:t>、</w:t>
      </w:r>
      <w:r w:rsidRPr="00D55DC6">
        <w:t>水保與促參等相關法令及相關單位之協助，努力達成自償率目標。</w:t>
      </w:r>
      <w:r w:rsidRPr="00D55DC6">
        <w:t>105-108</w:t>
      </w:r>
      <w:r w:rsidRPr="00D55DC6">
        <w:t>年階段將持續推動既有委外經營收益、規劃新設據點收益及規劃新增收益計畫，並尋求跨機關合作機會，新增清潔維護費、門票收益等使用者付費機制，惟考量長期計畫可能存在「原住民土地取得不易」、「</w:t>
      </w:r>
      <w:r w:rsidRPr="00D55DC6">
        <w:t>BOT</w:t>
      </w:r>
      <w:r w:rsidRPr="00D55DC6">
        <w:t>計畫因環評</w:t>
      </w:r>
      <w:r w:rsidRPr="00D55DC6">
        <w:rPr>
          <w:rFonts w:eastAsia="新細明體"/>
        </w:rPr>
        <w:t>、</w:t>
      </w:r>
      <w:r w:rsidRPr="00D55DC6">
        <w:t>水保等不確定因素延宕」、「預估收益或預期市場反應過於樂觀」等眾多不確定風險特性，爰仍需持續依實際推動現況滾動檢討。</w:t>
      </w:r>
      <w:bookmarkEnd w:id="143"/>
    </w:p>
    <w:p w:rsidR="004C6095" w:rsidRPr="00D55DC6" w:rsidRDefault="004C6095" w:rsidP="0038165F">
      <w:pPr>
        <w:pStyle w:val="a"/>
        <w:numPr>
          <w:ilvl w:val="0"/>
          <w:numId w:val="0"/>
        </w:numPr>
        <w:ind w:left="709" w:firstLineChars="200" w:firstLine="560"/>
      </w:pPr>
    </w:p>
    <w:p w:rsidR="00B6196A" w:rsidRPr="00D55DC6" w:rsidRDefault="00B6196A" w:rsidP="0038165F">
      <w:pPr>
        <w:pStyle w:val="a"/>
        <w:ind w:left="709" w:hanging="709"/>
        <w:rPr>
          <w:b/>
        </w:rPr>
      </w:pPr>
      <w:bookmarkStart w:id="144" w:name="_Toc407181711"/>
      <w:r w:rsidRPr="00D55DC6">
        <w:rPr>
          <w:b/>
        </w:rPr>
        <w:lastRenderedPageBreak/>
        <w:t>附則</w:t>
      </w:r>
      <w:bookmarkEnd w:id="144"/>
    </w:p>
    <w:p w:rsidR="00B6196A" w:rsidRPr="00D55DC6" w:rsidRDefault="00B6196A" w:rsidP="004865C1">
      <w:pPr>
        <w:pStyle w:val="af2"/>
        <w:numPr>
          <w:ilvl w:val="0"/>
          <w:numId w:val="145"/>
        </w:numPr>
        <w:snapToGrid w:val="0"/>
        <w:spacing w:line="460" w:lineRule="exact"/>
        <w:ind w:leftChars="0"/>
        <w:jc w:val="both"/>
        <w:rPr>
          <w:rFonts w:eastAsia="標楷體"/>
          <w:b/>
          <w:sz w:val="28"/>
          <w:szCs w:val="28"/>
        </w:rPr>
      </w:pPr>
      <w:r w:rsidRPr="00D55DC6">
        <w:rPr>
          <w:rFonts w:eastAsia="標楷體"/>
          <w:b/>
          <w:sz w:val="28"/>
          <w:szCs w:val="28"/>
        </w:rPr>
        <w:t>風險評估</w:t>
      </w:r>
    </w:p>
    <w:p w:rsidR="00B6196A" w:rsidRPr="00D55DC6" w:rsidRDefault="00B6196A" w:rsidP="0038165F">
      <w:pPr>
        <w:snapToGrid w:val="0"/>
        <w:spacing w:line="460" w:lineRule="exact"/>
        <w:ind w:leftChars="354" w:left="850"/>
        <w:jc w:val="both"/>
        <w:rPr>
          <w:rFonts w:eastAsia="標楷體"/>
          <w:sz w:val="28"/>
          <w:szCs w:val="28"/>
        </w:rPr>
      </w:pPr>
      <w:r w:rsidRPr="00D55DC6">
        <w:rPr>
          <w:rFonts w:eastAsia="標楷體"/>
          <w:sz w:val="28"/>
          <w:szCs w:val="28"/>
        </w:rPr>
        <w:t>本轄區部分自然觀光據點位處易致災地區，遇天災極有可能因聯絡道路中斷、據點服務設施受損，甚或景觀資源滅失等情事發生阻礙本區觀光發展，故需以氣象、雨水及風災周期做為風險評估之參考依據，提出預防及應變計畫，並可以於經常性支出經費編列適度保留彈性，做為遭遇風險應變所使用。</w:t>
      </w:r>
    </w:p>
    <w:p w:rsidR="00B6196A" w:rsidRPr="00D55DC6" w:rsidRDefault="00B6196A" w:rsidP="0038165F">
      <w:pPr>
        <w:snapToGrid w:val="0"/>
        <w:spacing w:line="460" w:lineRule="exact"/>
        <w:ind w:leftChars="354" w:left="850"/>
        <w:jc w:val="both"/>
        <w:rPr>
          <w:rFonts w:eastAsia="標楷體"/>
          <w:sz w:val="28"/>
          <w:szCs w:val="28"/>
        </w:rPr>
      </w:pPr>
    </w:p>
    <w:p w:rsidR="00B6196A" w:rsidRPr="00D55DC6" w:rsidRDefault="00B6196A" w:rsidP="004865C1">
      <w:pPr>
        <w:pStyle w:val="af2"/>
        <w:numPr>
          <w:ilvl w:val="0"/>
          <w:numId w:val="145"/>
        </w:numPr>
        <w:snapToGrid w:val="0"/>
        <w:spacing w:line="460" w:lineRule="exact"/>
        <w:ind w:leftChars="0"/>
        <w:jc w:val="both"/>
        <w:rPr>
          <w:rFonts w:eastAsia="標楷體"/>
          <w:b/>
          <w:sz w:val="28"/>
          <w:szCs w:val="28"/>
        </w:rPr>
      </w:pPr>
      <w:r w:rsidRPr="00D55DC6">
        <w:rPr>
          <w:rFonts w:eastAsia="標楷體"/>
          <w:b/>
          <w:sz w:val="28"/>
          <w:szCs w:val="28"/>
        </w:rPr>
        <w:t>相關機關配合事項</w:t>
      </w:r>
    </w:p>
    <w:p w:rsidR="00B6196A" w:rsidRPr="00D55DC6" w:rsidRDefault="00B6196A" w:rsidP="004865C1">
      <w:pPr>
        <w:pStyle w:val="af2"/>
        <w:numPr>
          <w:ilvl w:val="2"/>
          <w:numId w:val="136"/>
        </w:numPr>
        <w:snapToGrid w:val="0"/>
        <w:spacing w:line="460" w:lineRule="exact"/>
        <w:ind w:leftChars="0" w:left="1276" w:hanging="316"/>
        <w:jc w:val="both"/>
        <w:rPr>
          <w:rFonts w:eastAsia="標楷體"/>
          <w:sz w:val="28"/>
          <w:szCs w:val="28"/>
        </w:rPr>
      </w:pPr>
      <w:r w:rsidRPr="00D55DC6">
        <w:rPr>
          <w:rFonts w:eastAsia="標楷體"/>
          <w:sz w:val="28"/>
          <w:szCs w:val="28"/>
        </w:rPr>
        <w:t>屏東縣政府：協助原住民地區共管協調</w:t>
      </w:r>
      <w:r w:rsidRPr="00D55DC6">
        <w:rPr>
          <w:sz w:val="28"/>
          <w:szCs w:val="28"/>
        </w:rPr>
        <w:t>、</w:t>
      </w:r>
      <w:r w:rsidRPr="00D55DC6">
        <w:rPr>
          <w:rFonts w:eastAsia="標楷體"/>
          <w:sz w:val="28"/>
          <w:szCs w:val="28"/>
        </w:rPr>
        <w:t>土地使用管制及建築管理許可、國土復育、水利防洪、休閒農業、生態保護、交通設施及相關證照之申請等。</w:t>
      </w:r>
    </w:p>
    <w:p w:rsidR="00B6196A" w:rsidRPr="00D55DC6" w:rsidRDefault="00B6196A" w:rsidP="004865C1">
      <w:pPr>
        <w:pStyle w:val="af2"/>
        <w:numPr>
          <w:ilvl w:val="2"/>
          <w:numId w:val="136"/>
        </w:numPr>
        <w:snapToGrid w:val="0"/>
        <w:spacing w:line="460" w:lineRule="exact"/>
        <w:ind w:leftChars="0" w:left="1276" w:hanging="316"/>
        <w:jc w:val="both"/>
        <w:rPr>
          <w:rFonts w:eastAsia="標楷體"/>
          <w:sz w:val="28"/>
          <w:szCs w:val="28"/>
        </w:rPr>
      </w:pPr>
      <w:r w:rsidRPr="00D55DC6">
        <w:rPr>
          <w:rFonts w:eastAsia="標楷體"/>
          <w:sz w:val="28"/>
          <w:szCs w:val="28"/>
        </w:rPr>
        <w:t>高雄市政府：協助原住民地區共管協調、土地使用管制及建築管理許可、國土復育、水利防洪、休閒農業、生態保護、交通設施及相關證照之申請等。</w:t>
      </w:r>
    </w:p>
    <w:p w:rsidR="00B6196A" w:rsidRPr="00D55DC6" w:rsidRDefault="00B6196A" w:rsidP="004865C1">
      <w:pPr>
        <w:pStyle w:val="af2"/>
        <w:numPr>
          <w:ilvl w:val="2"/>
          <w:numId w:val="136"/>
        </w:numPr>
        <w:snapToGrid w:val="0"/>
        <w:spacing w:line="460" w:lineRule="exact"/>
        <w:ind w:leftChars="0" w:left="1276" w:hanging="316"/>
        <w:jc w:val="both"/>
        <w:rPr>
          <w:rFonts w:eastAsia="標楷體"/>
          <w:sz w:val="28"/>
          <w:szCs w:val="28"/>
        </w:rPr>
      </w:pPr>
      <w:r w:rsidRPr="00D55DC6">
        <w:rPr>
          <w:rFonts w:eastAsia="標楷體"/>
          <w:sz w:val="28"/>
          <w:szCs w:val="28"/>
        </w:rPr>
        <w:t>原住民</w:t>
      </w:r>
      <w:r w:rsidR="00B309E2" w:rsidRPr="00D55DC6">
        <w:rPr>
          <w:rFonts w:eastAsia="標楷體" w:hint="eastAsia"/>
          <w:sz w:val="28"/>
          <w:szCs w:val="28"/>
        </w:rPr>
        <w:t>族</w:t>
      </w:r>
      <w:r w:rsidRPr="00D55DC6">
        <w:rPr>
          <w:rFonts w:eastAsia="標楷體"/>
          <w:sz w:val="28"/>
          <w:szCs w:val="28"/>
        </w:rPr>
        <w:t>委員會：協助原住民地區共管協調等事宜。</w:t>
      </w:r>
    </w:p>
    <w:p w:rsidR="00B6196A" w:rsidRPr="00D55DC6" w:rsidRDefault="00B6196A" w:rsidP="004865C1">
      <w:pPr>
        <w:pStyle w:val="af2"/>
        <w:numPr>
          <w:ilvl w:val="2"/>
          <w:numId w:val="136"/>
        </w:numPr>
        <w:snapToGrid w:val="0"/>
        <w:spacing w:line="460" w:lineRule="exact"/>
        <w:ind w:leftChars="0" w:left="1276" w:hanging="316"/>
        <w:jc w:val="both"/>
        <w:rPr>
          <w:rFonts w:eastAsia="標楷體"/>
          <w:sz w:val="28"/>
          <w:szCs w:val="28"/>
        </w:rPr>
      </w:pPr>
      <w:r w:rsidRPr="00D55DC6">
        <w:rPr>
          <w:rFonts w:eastAsia="標楷體"/>
          <w:sz w:val="28"/>
          <w:szCs w:val="28"/>
        </w:rPr>
        <w:t>行政院農委會林務局：建設用地林班解編、部份保安林解編等。</w:t>
      </w:r>
    </w:p>
    <w:p w:rsidR="00B6196A" w:rsidRPr="00D55DC6" w:rsidRDefault="00B6196A" w:rsidP="004865C1">
      <w:pPr>
        <w:pStyle w:val="af2"/>
        <w:numPr>
          <w:ilvl w:val="2"/>
          <w:numId w:val="136"/>
        </w:numPr>
        <w:snapToGrid w:val="0"/>
        <w:spacing w:line="460" w:lineRule="exact"/>
        <w:ind w:leftChars="0" w:left="1276" w:hanging="316"/>
        <w:jc w:val="both"/>
        <w:rPr>
          <w:rFonts w:eastAsia="標楷體"/>
          <w:sz w:val="28"/>
          <w:szCs w:val="28"/>
        </w:rPr>
      </w:pPr>
      <w:r w:rsidRPr="00D55DC6">
        <w:rPr>
          <w:rFonts w:eastAsia="標楷體"/>
          <w:sz w:val="28"/>
          <w:szCs w:val="28"/>
        </w:rPr>
        <w:t>台灣電力股份有限公司：關於電力設施之相關申請。</w:t>
      </w:r>
    </w:p>
    <w:p w:rsidR="00D46F76" w:rsidRPr="00D55DC6" w:rsidRDefault="00D46F76" w:rsidP="004865C1">
      <w:pPr>
        <w:numPr>
          <w:ilvl w:val="2"/>
          <w:numId w:val="136"/>
        </w:numPr>
        <w:snapToGrid w:val="0"/>
        <w:spacing w:line="460" w:lineRule="exact"/>
        <w:ind w:left="1276" w:hanging="316"/>
        <w:jc w:val="both"/>
        <w:rPr>
          <w:rFonts w:eastAsia="標楷體"/>
          <w:sz w:val="28"/>
          <w:szCs w:val="28"/>
        </w:rPr>
      </w:pPr>
      <w:r w:rsidRPr="00D55DC6">
        <w:rPr>
          <w:rFonts w:eastAsia="標楷體"/>
          <w:sz w:val="28"/>
          <w:szCs w:val="28"/>
        </w:rPr>
        <w:t>部會</w:t>
      </w:r>
      <w:r w:rsidRPr="00D55DC6">
        <w:rPr>
          <w:rFonts w:eastAsia="標楷體"/>
          <w:sz w:val="28"/>
          <w:szCs w:val="28"/>
        </w:rPr>
        <w:t>/</w:t>
      </w:r>
      <w:r w:rsidRPr="00D55DC6">
        <w:rPr>
          <w:rFonts w:eastAsia="標楷體"/>
          <w:sz w:val="28"/>
          <w:szCs w:val="28"/>
        </w:rPr>
        <w:t>地方相關計畫彚整</w:t>
      </w:r>
    </w:p>
    <w:p w:rsidR="00D46F76" w:rsidRPr="00D55DC6" w:rsidRDefault="00D46F76" w:rsidP="00D46F76">
      <w:pPr>
        <w:snapToGrid w:val="0"/>
        <w:spacing w:line="460" w:lineRule="exact"/>
        <w:ind w:left="1276"/>
        <w:jc w:val="both"/>
        <w:rPr>
          <w:rFonts w:eastAsia="標楷體"/>
          <w:sz w:val="28"/>
          <w:szCs w:val="28"/>
        </w:rPr>
      </w:pPr>
      <w:r w:rsidRPr="00D55DC6">
        <w:rPr>
          <w:rFonts w:eastAsia="標楷體"/>
          <w:sz w:val="28"/>
          <w:szCs w:val="28"/>
        </w:rPr>
        <w:t>(1)</w:t>
      </w:r>
      <w:r w:rsidRPr="00D55DC6">
        <w:rPr>
          <w:rFonts w:eastAsia="標楷體"/>
          <w:sz w:val="28"/>
          <w:szCs w:val="28"/>
        </w:rPr>
        <w:t>「高雄市溫泉區管理計畫」，辦理單位：高雄市政府</w:t>
      </w:r>
    </w:p>
    <w:p w:rsidR="00D46F76" w:rsidRPr="00D55DC6" w:rsidRDefault="00D46F76" w:rsidP="00D46F76">
      <w:pPr>
        <w:snapToGrid w:val="0"/>
        <w:spacing w:line="460" w:lineRule="exact"/>
        <w:ind w:leftChars="532" w:left="1697" w:hangingChars="150" w:hanging="420"/>
        <w:jc w:val="both"/>
        <w:rPr>
          <w:rFonts w:eastAsia="標楷體"/>
          <w:sz w:val="28"/>
          <w:szCs w:val="28"/>
        </w:rPr>
      </w:pPr>
      <w:r w:rsidRPr="00D55DC6">
        <w:rPr>
          <w:rFonts w:eastAsia="標楷體"/>
          <w:sz w:val="28"/>
          <w:szCs w:val="28"/>
        </w:rPr>
        <w:t>(2)</w:t>
      </w:r>
      <w:r w:rsidRPr="00D55DC6">
        <w:rPr>
          <w:rFonts w:eastAsia="標楷體"/>
          <w:sz w:val="28"/>
          <w:szCs w:val="28"/>
        </w:rPr>
        <w:t>「銜接國道十號至新威大橋快速道路計畫</w:t>
      </w:r>
      <w:r w:rsidRPr="00D55DC6">
        <w:rPr>
          <w:rFonts w:eastAsia="標楷體"/>
          <w:sz w:val="28"/>
          <w:szCs w:val="28"/>
        </w:rPr>
        <w:t>(</w:t>
      </w:r>
      <w:r w:rsidRPr="00D55DC6">
        <w:rPr>
          <w:rFonts w:eastAsia="標楷體"/>
          <w:sz w:val="28"/>
          <w:szCs w:val="28"/>
        </w:rPr>
        <w:t>暫訂</w:t>
      </w:r>
      <w:r w:rsidRPr="00D55DC6">
        <w:rPr>
          <w:rFonts w:eastAsia="標楷體"/>
          <w:sz w:val="28"/>
          <w:szCs w:val="28"/>
        </w:rPr>
        <w:t>)</w:t>
      </w:r>
      <w:r w:rsidRPr="00D55DC6">
        <w:rPr>
          <w:rFonts w:eastAsia="標楷體"/>
          <w:sz w:val="28"/>
          <w:szCs w:val="28"/>
        </w:rPr>
        <w:t>」，辦理單位：交通部公路總局</w:t>
      </w:r>
    </w:p>
    <w:p w:rsidR="00D46F76" w:rsidRPr="00D55DC6" w:rsidRDefault="00D46F76" w:rsidP="00D46F76">
      <w:pPr>
        <w:snapToGrid w:val="0"/>
        <w:spacing w:line="460" w:lineRule="exact"/>
        <w:ind w:leftChars="532" w:left="1697" w:hangingChars="150" w:hanging="420"/>
        <w:jc w:val="both"/>
        <w:rPr>
          <w:rFonts w:eastAsia="標楷體"/>
          <w:sz w:val="28"/>
          <w:szCs w:val="28"/>
        </w:rPr>
      </w:pPr>
      <w:r w:rsidRPr="00D55DC6">
        <w:rPr>
          <w:rFonts w:eastAsia="標楷體"/>
          <w:sz w:val="28"/>
          <w:szCs w:val="28"/>
        </w:rPr>
        <w:t>(3)</w:t>
      </w:r>
      <w:r w:rsidRPr="00D55DC6">
        <w:rPr>
          <w:rFonts w:eastAsia="標楷體"/>
          <w:sz w:val="28"/>
          <w:szCs w:val="28"/>
        </w:rPr>
        <w:t>「屏北生態旅遊示範區推動計畫</w:t>
      </w:r>
      <w:r w:rsidRPr="00D55DC6">
        <w:rPr>
          <w:rFonts w:eastAsia="標楷體"/>
          <w:sz w:val="28"/>
          <w:szCs w:val="28"/>
        </w:rPr>
        <w:t>(</w:t>
      </w:r>
      <w:r w:rsidRPr="00D55DC6">
        <w:rPr>
          <w:rFonts w:eastAsia="標楷體"/>
          <w:sz w:val="28"/>
          <w:szCs w:val="28"/>
        </w:rPr>
        <w:t>暫訂</w:t>
      </w:r>
      <w:r w:rsidRPr="00D55DC6">
        <w:rPr>
          <w:rFonts w:eastAsia="標楷體"/>
          <w:sz w:val="28"/>
          <w:szCs w:val="28"/>
        </w:rPr>
        <w:t>)</w:t>
      </w:r>
      <w:r w:rsidRPr="00D55DC6">
        <w:rPr>
          <w:rFonts w:eastAsia="標楷體"/>
          <w:sz w:val="28"/>
          <w:szCs w:val="28"/>
        </w:rPr>
        <w:t>」，辦理單位：屏東縣政府原民處</w:t>
      </w:r>
      <w:r w:rsidRPr="00D55DC6">
        <w:rPr>
          <w:rFonts w:eastAsia="標楷體"/>
          <w:sz w:val="28"/>
          <w:szCs w:val="28"/>
        </w:rPr>
        <w:t>/</w:t>
      </w:r>
      <w:r w:rsidRPr="00D55DC6">
        <w:rPr>
          <w:rFonts w:eastAsia="標楷體"/>
          <w:sz w:val="28"/>
          <w:szCs w:val="28"/>
        </w:rPr>
        <w:t>原住民族委員會</w:t>
      </w:r>
    </w:p>
    <w:p w:rsidR="00B21FDC" w:rsidRPr="00D55DC6" w:rsidRDefault="00B21FDC" w:rsidP="00D46F76">
      <w:pPr>
        <w:snapToGrid w:val="0"/>
        <w:spacing w:line="460" w:lineRule="exact"/>
        <w:ind w:leftChars="532" w:left="1697" w:hangingChars="150" w:hanging="420"/>
        <w:jc w:val="both"/>
        <w:rPr>
          <w:rFonts w:eastAsia="標楷體"/>
          <w:sz w:val="28"/>
          <w:szCs w:val="28"/>
        </w:rPr>
      </w:pPr>
    </w:p>
    <w:p w:rsidR="00D46F76" w:rsidRPr="00D55DC6" w:rsidRDefault="00D46F76" w:rsidP="00D46F76">
      <w:pPr>
        <w:pStyle w:val="af2"/>
        <w:snapToGrid w:val="0"/>
        <w:spacing w:line="460" w:lineRule="exact"/>
        <w:ind w:leftChars="0" w:left="1276"/>
        <w:jc w:val="both"/>
        <w:rPr>
          <w:rFonts w:eastAsia="標楷體"/>
          <w:sz w:val="28"/>
          <w:szCs w:val="28"/>
        </w:rPr>
      </w:pPr>
    </w:p>
    <w:p w:rsidR="005B615B" w:rsidRPr="00D55DC6" w:rsidRDefault="005B615B" w:rsidP="0038165F">
      <w:pPr>
        <w:widowControl/>
        <w:rPr>
          <w:rFonts w:eastAsia="標楷體"/>
          <w:sz w:val="28"/>
          <w:szCs w:val="28"/>
        </w:rPr>
      </w:pPr>
    </w:p>
    <w:p w:rsidR="00DF2F67" w:rsidRPr="00D55DC6" w:rsidRDefault="00DF2F67">
      <w:pPr>
        <w:widowControl/>
        <w:rPr>
          <w:rFonts w:eastAsia="標楷體"/>
          <w:sz w:val="28"/>
          <w:szCs w:val="28"/>
        </w:rPr>
      </w:pPr>
      <w:r w:rsidRPr="00D55DC6">
        <w:rPr>
          <w:rFonts w:eastAsia="標楷體"/>
          <w:sz w:val="28"/>
          <w:szCs w:val="28"/>
        </w:rPr>
        <w:br w:type="page"/>
      </w:r>
    </w:p>
    <w:p w:rsidR="00DF2F67" w:rsidRPr="00D55DC6" w:rsidRDefault="00DF2F67" w:rsidP="00DF2F67">
      <w:pPr>
        <w:snapToGrid w:val="0"/>
        <w:spacing w:line="460" w:lineRule="exact"/>
        <w:jc w:val="both"/>
        <w:rPr>
          <w:rFonts w:eastAsia="標楷體"/>
          <w:b/>
          <w:sz w:val="28"/>
          <w:szCs w:val="28"/>
        </w:rPr>
      </w:pPr>
      <w:r w:rsidRPr="00D55DC6">
        <w:rPr>
          <w:rFonts w:eastAsia="標楷體"/>
          <w:b/>
          <w:sz w:val="28"/>
          <w:szCs w:val="28"/>
        </w:rPr>
        <w:lastRenderedPageBreak/>
        <w:t>玖、大鵬灣國家風景區建設計畫</w:t>
      </w:r>
    </w:p>
    <w:p w:rsidR="00D46F76" w:rsidRPr="00D55DC6" w:rsidRDefault="00D46F76" w:rsidP="00DF2F67">
      <w:pPr>
        <w:snapToGrid w:val="0"/>
        <w:spacing w:line="460" w:lineRule="exact"/>
        <w:jc w:val="both"/>
        <w:rPr>
          <w:rFonts w:eastAsia="標楷體"/>
          <w:b/>
          <w:sz w:val="28"/>
          <w:szCs w:val="28"/>
        </w:rPr>
      </w:pPr>
    </w:p>
    <w:p w:rsidR="00DF2F67" w:rsidRPr="00D55DC6" w:rsidRDefault="00DF2F67" w:rsidP="004865C1">
      <w:pPr>
        <w:pStyle w:val="a"/>
        <w:numPr>
          <w:ilvl w:val="0"/>
          <w:numId w:val="148"/>
        </w:numPr>
        <w:ind w:left="567" w:hanging="567"/>
        <w:rPr>
          <w:b/>
        </w:rPr>
      </w:pPr>
      <w:bookmarkStart w:id="145" w:name="_Toc407181712"/>
      <w:r w:rsidRPr="00D55DC6">
        <w:rPr>
          <w:b/>
        </w:rPr>
        <w:t>計畫緣起</w:t>
      </w:r>
      <w:bookmarkEnd w:id="145"/>
    </w:p>
    <w:p w:rsidR="00DF2F67" w:rsidRPr="00D55DC6" w:rsidRDefault="00DF2F67" w:rsidP="004865C1">
      <w:pPr>
        <w:pStyle w:val="33"/>
        <w:numPr>
          <w:ilvl w:val="0"/>
          <w:numId w:val="149"/>
        </w:numPr>
        <w:snapToGrid w:val="0"/>
        <w:spacing w:line="460" w:lineRule="exact"/>
        <w:ind w:leftChars="0"/>
        <w:jc w:val="both"/>
        <w:rPr>
          <w:rFonts w:eastAsia="標楷體"/>
          <w:sz w:val="28"/>
          <w:szCs w:val="28"/>
        </w:rPr>
      </w:pPr>
      <w:r w:rsidRPr="00D55DC6">
        <w:rPr>
          <w:rFonts w:eastAsia="標楷體"/>
          <w:sz w:val="28"/>
          <w:szCs w:val="28"/>
        </w:rPr>
        <w:t>依據</w:t>
      </w:r>
    </w:p>
    <w:p w:rsidR="00DF2F67" w:rsidRPr="00D55DC6" w:rsidRDefault="00DF2F67" w:rsidP="00DF2F67">
      <w:pPr>
        <w:adjustRightInd w:val="0"/>
        <w:snapToGrid w:val="0"/>
        <w:spacing w:line="460" w:lineRule="exact"/>
        <w:ind w:leftChars="176" w:left="626" w:hangingChars="73" w:hanging="204"/>
        <w:jc w:val="both"/>
        <w:rPr>
          <w:rFonts w:eastAsia="標楷體"/>
          <w:spacing w:val="-10"/>
          <w:kern w:val="0"/>
        </w:rPr>
      </w:pPr>
      <w:r w:rsidRPr="00D55DC6">
        <w:rPr>
          <w:rFonts w:eastAsia="標楷體"/>
          <w:sz w:val="28"/>
          <w:szCs w:val="28"/>
        </w:rPr>
        <w:t>1.</w:t>
      </w:r>
      <w:r w:rsidRPr="00D55DC6">
        <w:rPr>
          <w:rFonts w:eastAsia="標楷體"/>
          <w:sz w:val="28"/>
          <w:szCs w:val="28"/>
        </w:rPr>
        <w:t>為有效發揮政府重大公共建設計畫觀光次類別經費之投資效益，強化具體投資成果，延續「重要觀光景點建設中程計畫（</w:t>
      </w:r>
      <w:r w:rsidRPr="00D55DC6">
        <w:rPr>
          <w:rFonts w:eastAsia="標楷體"/>
          <w:sz w:val="28"/>
          <w:szCs w:val="28"/>
        </w:rPr>
        <w:t>101</w:t>
      </w:r>
      <w:r w:rsidRPr="00D55DC6">
        <w:rPr>
          <w:rFonts w:eastAsia="標楷體"/>
          <w:sz w:val="28"/>
          <w:szCs w:val="28"/>
        </w:rPr>
        <w:t>至</w:t>
      </w:r>
      <w:r w:rsidRPr="00D55DC6">
        <w:rPr>
          <w:rFonts w:eastAsia="標楷體"/>
          <w:sz w:val="28"/>
          <w:szCs w:val="28"/>
        </w:rPr>
        <w:t>104</w:t>
      </w:r>
      <w:r w:rsidRPr="00D55DC6">
        <w:rPr>
          <w:rFonts w:eastAsia="標楷體"/>
          <w:sz w:val="28"/>
          <w:szCs w:val="28"/>
        </w:rPr>
        <w:t>年）」（行政院</w:t>
      </w:r>
      <w:r w:rsidRPr="00D55DC6">
        <w:rPr>
          <w:rFonts w:eastAsia="標楷體"/>
          <w:sz w:val="28"/>
          <w:szCs w:val="28"/>
        </w:rPr>
        <w:t>100</w:t>
      </w:r>
      <w:r w:rsidRPr="00D55DC6">
        <w:rPr>
          <w:rFonts w:eastAsia="標楷體"/>
          <w:sz w:val="28"/>
          <w:szCs w:val="28"/>
        </w:rPr>
        <w:t>年</w:t>
      </w:r>
      <w:r w:rsidRPr="00D55DC6">
        <w:rPr>
          <w:rFonts w:eastAsia="標楷體"/>
          <w:sz w:val="28"/>
          <w:szCs w:val="28"/>
        </w:rPr>
        <w:t>8</w:t>
      </w:r>
      <w:r w:rsidRPr="00D55DC6">
        <w:rPr>
          <w:rFonts w:eastAsia="標楷體"/>
          <w:sz w:val="28"/>
          <w:szCs w:val="28"/>
        </w:rPr>
        <w:t>月</w:t>
      </w:r>
      <w:r w:rsidRPr="00D55DC6">
        <w:rPr>
          <w:rFonts w:eastAsia="標楷體"/>
          <w:sz w:val="28"/>
          <w:szCs w:val="28"/>
        </w:rPr>
        <w:t>22</w:t>
      </w:r>
      <w:r w:rsidRPr="00D55DC6">
        <w:rPr>
          <w:rFonts w:eastAsia="標楷體"/>
          <w:sz w:val="28"/>
          <w:szCs w:val="28"/>
        </w:rPr>
        <w:t>日院臺交字第</w:t>
      </w:r>
      <w:r w:rsidRPr="00D55DC6">
        <w:rPr>
          <w:rFonts w:eastAsia="標楷體"/>
          <w:sz w:val="28"/>
          <w:szCs w:val="28"/>
        </w:rPr>
        <w:t>1000044174</w:t>
      </w:r>
      <w:r w:rsidRPr="00D55DC6">
        <w:rPr>
          <w:rFonts w:eastAsia="標楷體"/>
          <w:sz w:val="28"/>
          <w:szCs w:val="28"/>
        </w:rPr>
        <w:t>號函核定）建設成果，並調整以</w:t>
      </w:r>
      <w:r w:rsidRPr="00D55DC6">
        <w:rPr>
          <w:rFonts w:eastAsia="標楷體"/>
          <w:sz w:val="28"/>
          <w:szCs w:val="28"/>
        </w:rPr>
        <w:t>(1)</w:t>
      </w:r>
      <w:r w:rsidRPr="00D55DC6">
        <w:rPr>
          <w:rFonts w:eastAsia="標楷體"/>
          <w:sz w:val="28"/>
          <w:szCs w:val="28"/>
        </w:rPr>
        <w:t>國際觀光重要景點建設、</w:t>
      </w:r>
      <w:r w:rsidRPr="00D55DC6">
        <w:rPr>
          <w:rFonts w:eastAsia="標楷體"/>
          <w:sz w:val="28"/>
          <w:szCs w:val="28"/>
        </w:rPr>
        <w:t>(2)</w:t>
      </w:r>
      <w:r w:rsidRPr="00D55DC6">
        <w:rPr>
          <w:rFonts w:eastAsia="標楷體"/>
          <w:sz w:val="28"/>
          <w:szCs w:val="28"/>
        </w:rPr>
        <w:t>國內觀光重要景點建設、</w:t>
      </w:r>
      <w:r w:rsidRPr="00D55DC6">
        <w:rPr>
          <w:rFonts w:eastAsia="標楷體"/>
          <w:sz w:val="28"/>
          <w:szCs w:val="28"/>
        </w:rPr>
        <w:t>(3)</w:t>
      </w:r>
      <w:r w:rsidRPr="00D55DC6">
        <w:rPr>
          <w:rFonts w:eastAsia="標楷體"/>
          <w:sz w:val="28"/>
          <w:szCs w:val="28"/>
        </w:rPr>
        <w:t>國家風景區經營管理維護等投資重點與優先順序，研擬「重要觀光景點建設中程計畫</w:t>
      </w:r>
      <w:r w:rsidRPr="00D55DC6">
        <w:rPr>
          <w:rFonts w:eastAsia="標楷體"/>
          <w:sz w:val="28"/>
          <w:szCs w:val="28"/>
        </w:rPr>
        <w:t>(105-108</w:t>
      </w:r>
      <w:r w:rsidRPr="00D55DC6">
        <w:rPr>
          <w:rFonts w:eastAsia="標楷體"/>
          <w:sz w:val="28"/>
          <w:szCs w:val="28"/>
        </w:rPr>
        <w:t>年</w:t>
      </w:r>
      <w:r w:rsidRPr="00D55DC6">
        <w:rPr>
          <w:rFonts w:eastAsia="標楷體"/>
          <w:sz w:val="28"/>
          <w:szCs w:val="28"/>
        </w:rPr>
        <w:t>)</w:t>
      </w:r>
      <w:r w:rsidRPr="00D55DC6">
        <w:rPr>
          <w:rFonts w:eastAsia="標楷體"/>
          <w:sz w:val="28"/>
          <w:szCs w:val="28"/>
        </w:rPr>
        <w:t>」。</w:t>
      </w:r>
    </w:p>
    <w:p w:rsidR="00DF2F67" w:rsidRPr="00D55DC6" w:rsidRDefault="00DF2F67" w:rsidP="004865C1">
      <w:pPr>
        <w:pStyle w:val="33"/>
        <w:numPr>
          <w:ilvl w:val="0"/>
          <w:numId w:val="149"/>
        </w:numPr>
        <w:snapToGrid w:val="0"/>
        <w:spacing w:line="460" w:lineRule="exact"/>
        <w:ind w:leftChars="0"/>
        <w:jc w:val="both"/>
        <w:rPr>
          <w:rFonts w:eastAsia="標楷體"/>
          <w:sz w:val="28"/>
          <w:szCs w:val="28"/>
        </w:rPr>
      </w:pPr>
      <w:r w:rsidRPr="00D55DC6">
        <w:rPr>
          <w:rFonts w:eastAsia="標楷體"/>
          <w:sz w:val="28"/>
          <w:szCs w:val="28"/>
        </w:rPr>
        <w:t>未來環境預測</w:t>
      </w:r>
    </w:p>
    <w:p w:rsidR="00DF2F67" w:rsidRPr="00D55DC6" w:rsidRDefault="00DF2F67" w:rsidP="00DF2F67">
      <w:pPr>
        <w:pStyle w:val="33"/>
        <w:adjustRightInd w:val="0"/>
        <w:snapToGrid w:val="0"/>
        <w:spacing w:line="460" w:lineRule="exact"/>
        <w:ind w:leftChars="0" w:left="686"/>
        <w:rPr>
          <w:rFonts w:eastAsia="標楷體"/>
          <w:sz w:val="28"/>
          <w:szCs w:val="28"/>
        </w:rPr>
      </w:pPr>
      <w:r w:rsidRPr="00D55DC6">
        <w:rPr>
          <w:rFonts w:eastAsia="標楷體"/>
          <w:sz w:val="28"/>
          <w:szCs w:val="28"/>
        </w:rPr>
        <w:t>各類型遊憩區設立主要以「自然賞景」、「鄉野健身」及「綜合遊樂園」種類最多，在</w:t>
      </w:r>
      <w:r w:rsidR="00DB729E" w:rsidRPr="00D55DC6">
        <w:rPr>
          <w:rFonts w:eastAsia="標楷體"/>
          <w:sz w:val="28"/>
          <w:szCs w:val="28"/>
        </w:rPr>
        <w:t>分布</w:t>
      </w:r>
      <w:r w:rsidRPr="00D55DC6">
        <w:rPr>
          <w:rFonts w:eastAsia="標楷體"/>
          <w:sz w:val="28"/>
          <w:szCs w:val="28"/>
        </w:rPr>
        <w:t>上以北部居多、中部次之，再次為南部及東部。在現今南部大量遊憩區需求下，臺灣現有遊憩區數量不足以滿足需求，而大鵬灣國家風景區之開發除平衡南北區域遊憩之供應外，也將提供多元遊憩型態滿足市場需求。每年至恆春墾丁地區之遊客量</w:t>
      </w:r>
      <w:r w:rsidRPr="00D55DC6">
        <w:rPr>
          <w:rFonts w:eastAsia="標楷體"/>
          <w:sz w:val="28"/>
          <w:szCs w:val="28"/>
        </w:rPr>
        <w:t>600~700</w:t>
      </w:r>
      <w:r w:rsidRPr="00D55DC6">
        <w:rPr>
          <w:rFonts w:eastAsia="標楷體"/>
          <w:sz w:val="28"/>
          <w:szCs w:val="28"/>
        </w:rPr>
        <w:t>萬人次，假日經常出現人潮擁擠，車潮湧現，造成聯外道路雍塞之承重負擔，大鵬灣風景區為恆春半島之起點，開發定位以遊艇水上活動及多樣化觀光遊憩為主，以滿足國民旅遊及國際觀光需求，發展成為國際型船舶水上活動</w:t>
      </w:r>
      <w:r w:rsidR="00EA38C5" w:rsidRPr="00D55DC6">
        <w:rPr>
          <w:rFonts w:eastAsia="標楷體"/>
          <w:sz w:val="28"/>
          <w:szCs w:val="28"/>
        </w:rPr>
        <w:t>度假</w:t>
      </w:r>
      <w:r w:rsidRPr="00D55DC6">
        <w:rPr>
          <w:rFonts w:eastAsia="標楷體"/>
          <w:sz w:val="28"/>
          <w:szCs w:val="28"/>
        </w:rPr>
        <w:t>區，並創造陸、海、空</w:t>
      </w:r>
      <w:r w:rsidRPr="00D55DC6">
        <w:rPr>
          <w:rFonts w:eastAsia="標楷體"/>
          <w:sz w:val="28"/>
          <w:szCs w:val="28"/>
        </w:rPr>
        <w:t>3D</w:t>
      </w:r>
      <w:r w:rsidRPr="00D55DC6">
        <w:rPr>
          <w:rFonts w:eastAsia="標楷體"/>
          <w:sz w:val="28"/>
          <w:szCs w:val="28"/>
        </w:rPr>
        <w:t>旅遊方式，預估完成後遊客量可達</w:t>
      </w:r>
      <w:r w:rsidRPr="00D55DC6">
        <w:rPr>
          <w:rFonts w:eastAsia="標楷體"/>
          <w:sz w:val="28"/>
          <w:szCs w:val="28"/>
        </w:rPr>
        <w:t>380</w:t>
      </w:r>
      <w:r w:rsidRPr="00D55DC6">
        <w:rPr>
          <w:rFonts w:eastAsia="標楷體"/>
          <w:sz w:val="28"/>
          <w:szCs w:val="28"/>
        </w:rPr>
        <w:t>萬人次，可有效紓解前往墾丁地區人潮。</w:t>
      </w:r>
    </w:p>
    <w:p w:rsidR="00DF2F67" w:rsidRPr="00D55DC6" w:rsidRDefault="00DF2F67" w:rsidP="00DF2F67">
      <w:pPr>
        <w:adjustRightInd w:val="0"/>
        <w:snapToGrid w:val="0"/>
        <w:spacing w:line="460" w:lineRule="exact"/>
        <w:ind w:leftChars="174" w:left="670" w:hangingChars="90" w:hanging="252"/>
        <w:jc w:val="both"/>
        <w:rPr>
          <w:rFonts w:eastAsia="標楷體"/>
          <w:sz w:val="28"/>
          <w:szCs w:val="28"/>
        </w:rPr>
      </w:pPr>
      <w:r w:rsidRPr="00D55DC6">
        <w:rPr>
          <w:rFonts w:eastAsia="標楷體"/>
          <w:sz w:val="28"/>
          <w:szCs w:val="28"/>
        </w:rPr>
        <w:t>1.</w:t>
      </w:r>
      <w:r w:rsidRPr="00D55DC6">
        <w:rPr>
          <w:rFonts w:eastAsia="標楷體"/>
          <w:sz w:val="28"/>
          <w:szCs w:val="28"/>
        </w:rPr>
        <w:t>大鵬灣水域船舶活動日漸頻繁，為塑造水域活動基地及擴大為遊客服務，提高遊客對環境滿意度提高，將充實濱灣公園遊客服務設施，並全面改善景觀設施，成為新亮點，在遊客量逐漸增加之際，各項公共設施及住宿設施相對不足，有供需平衡之需求。</w:t>
      </w:r>
    </w:p>
    <w:p w:rsidR="00DF2F67" w:rsidRPr="00D55DC6" w:rsidRDefault="00DF2F67" w:rsidP="00DF2F67">
      <w:pPr>
        <w:adjustRightInd w:val="0"/>
        <w:snapToGrid w:val="0"/>
        <w:spacing w:line="460" w:lineRule="exact"/>
        <w:ind w:leftChars="174" w:left="670" w:hangingChars="90" w:hanging="252"/>
        <w:jc w:val="both"/>
        <w:rPr>
          <w:rFonts w:eastAsia="標楷體"/>
          <w:sz w:val="28"/>
          <w:szCs w:val="28"/>
        </w:rPr>
      </w:pPr>
      <w:r w:rsidRPr="00D55DC6">
        <w:rPr>
          <w:rFonts w:eastAsia="標楷體"/>
          <w:sz w:val="28"/>
          <w:szCs w:val="28"/>
        </w:rPr>
        <w:t>2.</w:t>
      </w:r>
      <w:r w:rsidRPr="00D55DC6">
        <w:rPr>
          <w:rFonts w:eastAsia="標楷體"/>
          <w:sz w:val="28"/>
          <w:szCs w:val="28"/>
        </w:rPr>
        <w:t>鑑於小琉球觀光人數增加突破</w:t>
      </w:r>
      <w:r w:rsidRPr="00D55DC6">
        <w:rPr>
          <w:rFonts w:eastAsia="標楷體"/>
          <w:sz w:val="28"/>
          <w:szCs w:val="28"/>
        </w:rPr>
        <w:t>37</w:t>
      </w:r>
      <w:r w:rsidRPr="00D55DC6">
        <w:rPr>
          <w:rFonts w:eastAsia="標楷體"/>
          <w:sz w:val="28"/>
          <w:szCs w:val="28"/>
        </w:rPr>
        <w:t>萬人次，東港碼頭已不敷東琉線客、貨船使用，加上未來已核准增加</w:t>
      </w:r>
      <w:r w:rsidRPr="00D55DC6">
        <w:rPr>
          <w:rFonts w:eastAsia="標楷體"/>
          <w:sz w:val="28"/>
          <w:szCs w:val="28"/>
        </w:rPr>
        <w:t>3</w:t>
      </w:r>
      <w:r w:rsidRPr="00D55DC6">
        <w:rPr>
          <w:rFonts w:eastAsia="標楷體"/>
          <w:sz w:val="28"/>
          <w:szCs w:val="28"/>
        </w:rPr>
        <w:t>艘客船及</w:t>
      </w:r>
      <w:r w:rsidRPr="00D55DC6">
        <w:rPr>
          <w:rFonts w:eastAsia="標楷體"/>
          <w:sz w:val="28"/>
          <w:szCs w:val="28"/>
        </w:rPr>
        <w:t>2</w:t>
      </w:r>
      <w:r w:rsidRPr="00D55DC6">
        <w:rPr>
          <w:rFonts w:eastAsia="標楷體"/>
          <w:sz w:val="28"/>
          <w:szCs w:val="28"/>
        </w:rPr>
        <w:t>艘貨船，故針對船舶停泊區位應有整體規劃之必要，未來東琉線客船遷移至大鵬灣內，同時將帶進大量觀光人數，大鵬灣目前無論交通便捷性及停車空間均頗具規模，且到訪之遊客，亦可促進本區域觀光產業發展；小琉球客量增加，住宿</w:t>
      </w:r>
      <w:r w:rsidRPr="00D55DC6">
        <w:rPr>
          <w:rFonts w:eastAsia="標楷體"/>
          <w:sz w:val="28"/>
          <w:szCs w:val="28"/>
        </w:rPr>
        <w:lastRenderedPageBreak/>
        <w:t>設施陸續增加中，公共設施需求相對不足，需公部門投入經費興設。</w:t>
      </w:r>
    </w:p>
    <w:p w:rsidR="00B72F30" w:rsidRPr="00D55DC6" w:rsidRDefault="00B72F30" w:rsidP="00B72F30">
      <w:pPr>
        <w:adjustRightInd w:val="0"/>
        <w:snapToGrid w:val="0"/>
        <w:spacing w:line="460" w:lineRule="exact"/>
        <w:ind w:leftChars="174" w:left="670" w:hangingChars="90" w:hanging="252"/>
        <w:jc w:val="both"/>
        <w:rPr>
          <w:rFonts w:eastAsia="標楷體"/>
          <w:spacing w:val="3"/>
          <w:sz w:val="28"/>
          <w:szCs w:val="28"/>
        </w:rPr>
      </w:pPr>
      <w:r w:rsidRPr="00D55DC6">
        <w:rPr>
          <w:rFonts w:eastAsia="標楷體"/>
          <w:sz w:val="28"/>
          <w:szCs w:val="28"/>
        </w:rPr>
        <w:t>3.</w:t>
      </w:r>
      <w:r w:rsidRPr="00D55DC6">
        <w:rPr>
          <w:rFonts w:eastAsia="標楷體"/>
          <w:sz w:val="28"/>
          <w:szCs w:val="28"/>
        </w:rPr>
        <w:t>配合國發會推動</w:t>
      </w:r>
      <w:r w:rsidRPr="00D55DC6">
        <w:rPr>
          <w:rFonts w:eastAsia="標楷體"/>
          <w:spacing w:val="3"/>
          <w:sz w:val="28"/>
          <w:szCs w:val="28"/>
        </w:rPr>
        <w:t>「藍色經濟發展構想</w:t>
      </w:r>
      <w:r w:rsidRPr="00D55DC6">
        <w:rPr>
          <w:rFonts w:eastAsia="標楷體"/>
          <w:spacing w:val="3"/>
          <w:sz w:val="28"/>
          <w:szCs w:val="28"/>
        </w:rPr>
        <w:t>-</w:t>
      </w:r>
      <w:r w:rsidRPr="00D55DC6">
        <w:rPr>
          <w:rFonts w:eastAsia="標楷體"/>
          <w:spacing w:val="3"/>
          <w:sz w:val="28"/>
          <w:szCs w:val="28"/>
        </w:rPr>
        <w:t>以屏東小琉球為示範計畫」之</w:t>
      </w:r>
      <w:r w:rsidRPr="00D55DC6">
        <w:rPr>
          <w:rFonts w:eastAsia="標楷體"/>
          <w:spacing w:val="3"/>
          <w:sz w:val="28"/>
          <w:szCs w:val="28"/>
        </w:rPr>
        <w:t>6</w:t>
      </w:r>
      <w:r w:rsidRPr="00D55DC6">
        <w:rPr>
          <w:rFonts w:eastAsia="標楷體"/>
          <w:spacing w:val="3"/>
          <w:sz w:val="28"/>
          <w:szCs w:val="28"/>
        </w:rPr>
        <w:t>大發展策略，即「</w:t>
      </w:r>
      <w:r w:rsidRPr="00D55DC6">
        <w:rPr>
          <w:rFonts w:eastAsia="標楷體"/>
          <w:spacing w:val="3"/>
          <w:sz w:val="28"/>
          <w:szCs w:val="28"/>
        </w:rPr>
        <w:t>(1)</w:t>
      </w:r>
      <w:r w:rsidRPr="00D55DC6">
        <w:rPr>
          <w:rFonts w:eastAsia="標楷體"/>
          <w:spacing w:val="3"/>
          <w:sz w:val="28"/>
          <w:szCs w:val="28"/>
        </w:rPr>
        <w:t>打造大鵬灣</w:t>
      </w:r>
      <w:r w:rsidRPr="00D55DC6">
        <w:rPr>
          <w:rFonts w:eastAsia="標楷體"/>
          <w:spacing w:val="3"/>
          <w:sz w:val="28"/>
          <w:szCs w:val="28"/>
        </w:rPr>
        <w:t xml:space="preserve">the only one </w:t>
      </w:r>
      <w:r w:rsidRPr="00D55DC6">
        <w:rPr>
          <w:rFonts w:eastAsia="標楷體"/>
          <w:spacing w:val="3"/>
          <w:sz w:val="28"/>
          <w:szCs w:val="28"/>
        </w:rPr>
        <w:t>特色、</w:t>
      </w:r>
      <w:r w:rsidRPr="00D55DC6">
        <w:rPr>
          <w:rFonts w:eastAsia="標楷體"/>
          <w:spacing w:val="3"/>
          <w:sz w:val="28"/>
          <w:szCs w:val="28"/>
        </w:rPr>
        <w:t>(2)</w:t>
      </w:r>
      <w:r w:rsidRPr="00D55DC6">
        <w:rPr>
          <w:rFonts w:eastAsia="標楷體"/>
          <w:spacing w:val="3"/>
          <w:sz w:val="28"/>
          <w:szCs w:val="28"/>
        </w:rPr>
        <w:t>適性適量發展小琉球海洋生態觀光、</w:t>
      </w:r>
      <w:r w:rsidRPr="00D55DC6">
        <w:rPr>
          <w:rFonts w:eastAsia="標楷體"/>
          <w:spacing w:val="3"/>
          <w:sz w:val="28"/>
          <w:szCs w:val="28"/>
        </w:rPr>
        <w:t>(3)</w:t>
      </w:r>
      <w:r w:rsidRPr="00D55DC6">
        <w:rPr>
          <w:rFonts w:eastAsia="標楷體"/>
          <w:spacing w:val="3"/>
          <w:sz w:val="28"/>
          <w:szCs w:val="28"/>
        </w:rPr>
        <w:t>改善東港城鄉環境品質及人文風貌、</w:t>
      </w:r>
      <w:r w:rsidRPr="00D55DC6">
        <w:rPr>
          <w:rFonts w:eastAsia="標楷體"/>
          <w:spacing w:val="3"/>
          <w:sz w:val="28"/>
          <w:szCs w:val="28"/>
        </w:rPr>
        <w:t>(4)</w:t>
      </w:r>
      <w:r w:rsidRPr="00D55DC6">
        <w:rPr>
          <w:rFonts w:eastAsia="標楷體"/>
          <w:spacing w:val="3"/>
          <w:sz w:val="28"/>
          <w:szCs w:val="28"/>
        </w:rPr>
        <w:t>開發多元遊憩體驗、</w:t>
      </w:r>
      <w:r w:rsidRPr="00D55DC6">
        <w:rPr>
          <w:rFonts w:eastAsia="標楷體"/>
          <w:spacing w:val="3"/>
          <w:sz w:val="28"/>
          <w:szCs w:val="28"/>
        </w:rPr>
        <w:t>(5)</w:t>
      </w:r>
      <w:r w:rsidRPr="00D55DC6">
        <w:rPr>
          <w:rFonts w:eastAsia="標楷體"/>
          <w:spacing w:val="3"/>
          <w:sz w:val="28"/>
          <w:szCs w:val="28"/>
        </w:rPr>
        <w:t>發展智慧觀光，鏈結行銷遊憩據點與遊程、</w:t>
      </w:r>
      <w:r w:rsidRPr="00D55DC6">
        <w:rPr>
          <w:rFonts w:eastAsia="標楷體"/>
          <w:spacing w:val="3"/>
          <w:sz w:val="28"/>
          <w:szCs w:val="28"/>
        </w:rPr>
        <w:t>(6)</w:t>
      </w:r>
      <w:r w:rsidRPr="00D55DC6">
        <w:rPr>
          <w:rFonts w:eastAsia="標楷體"/>
          <w:spacing w:val="3"/>
          <w:sz w:val="28"/>
          <w:szCs w:val="28"/>
        </w:rPr>
        <w:t>建構便捷交通網，串連重要觀光資源」，採跨域配合理念由相關機關擬列計畫配合推動執行。</w:t>
      </w:r>
      <w:r w:rsidRPr="00D55DC6">
        <w:rPr>
          <w:rFonts w:eastAsia="標楷體"/>
          <w:spacing w:val="3"/>
          <w:sz w:val="28"/>
          <w:szCs w:val="28"/>
        </w:rPr>
        <w:t xml:space="preserve"> </w:t>
      </w:r>
    </w:p>
    <w:p w:rsidR="00B72F30" w:rsidRPr="00D55DC6" w:rsidRDefault="00B72F30" w:rsidP="00B72F30">
      <w:pPr>
        <w:adjustRightInd w:val="0"/>
        <w:snapToGrid w:val="0"/>
        <w:spacing w:line="460" w:lineRule="exact"/>
        <w:ind w:leftChars="174" w:left="670" w:hangingChars="90" w:hanging="252"/>
        <w:jc w:val="both"/>
        <w:rPr>
          <w:rFonts w:eastAsia="標楷體"/>
          <w:b/>
          <w:sz w:val="32"/>
          <w:szCs w:val="32"/>
        </w:rPr>
      </w:pPr>
      <w:r w:rsidRPr="00D55DC6">
        <w:rPr>
          <w:rFonts w:eastAsia="標楷體"/>
          <w:sz w:val="28"/>
          <w:szCs w:val="28"/>
        </w:rPr>
        <w:t>4.</w:t>
      </w:r>
      <w:r w:rsidRPr="00D55DC6">
        <w:rPr>
          <w:rFonts w:eastAsia="標楷體"/>
          <w:sz w:val="28"/>
          <w:szCs w:val="28"/>
        </w:rPr>
        <w:t>打造智慧觀光服務雲端平台計畫，配合政府</w:t>
      </w:r>
      <w:r w:rsidRPr="00D55DC6">
        <w:rPr>
          <w:rFonts w:eastAsia="標楷體"/>
          <w:bCs/>
          <w:sz w:val="28"/>
          <w:szCs w:val="28"/>
        </w:rPr>
        <w:t>「藍色經濟</w:t>
      </w:r>
      <w:r w:rsidRPr="00D55DC6">
        <w:rPr>
          <w:rFonts w:eastAsia="標楷體"/>
          <w:sz w:val="28"/>
          <w:szCs w:val="28"/>
        </w:rPr>
        <w:t>」推動策略，導入「電子旅遊套票服務」，串連東港、大鵬灣、小琉球區域藍色旅遊路線之交通與週邊旅遊商品，即時掌握市場脈動，推動藍色海洋旅遊金三角區。</w:t>
      </w:r>
      <w:r w:rsidRPr="00D55DC6">
        <w:rPr>
          <w:rFonts w:eastAsia="標楷體"/>
          <w:b/>
          <w:sz w:val="32"/>
          <w:szCs w:val="32"/>
        </w:rPr>
        <w:t xml:space="preserve"> </w:t>
      </w:r>
    </w:p>
    <w:p w:rsidR="00B72F30" w:rsidRPr="00D55DC6" w:rsidRDefault="00B72F30" w:rsidP="00DF2F67">
      <w:pPr>
        <w:adjustRightInd w:val="0"/>
        <w:snapToGrid w:val="0"/>
        <w:spacing w:line="460" w:lineRule="exact"/>
        <w:ind w:leftChars="174" w:left="670" w:hangingChars="90" w:hanging="252"/>
        <w:jc w:val="both"/>
        <w:rPr>
          <w:rFonts w:eastAsia="標楷體"/>
          <w:sz w:val="28"/>
          <w:szCs w:val="28"/>
        </w:rPr>
      </w:pPr>
    </w:p>
    <w:p w:rsidR="00DF2F67" w:rsidRPr="00D55DC6" w:rsidRDefault="00DF2F67" w:rsidP="004865C1">
      <w:pPr>
        <w:pStyle w:val="33"/>
        <w:numPr>
          <w:ilvl w:val="0"/>
          <w:numId w:val="149"/>
        </w:numPr>
        <w:adjustRightInd w:val="0"/>
        <w:snapToGrid w:val="0"/>
        <w:spacing w:line="460" w:lineRule="exact"/>
        <w:ind w:leftChars="0"/>
        <w:jc w:val="both"/>
        <w:rPr>
          <w:rFonts w:eastAsia="標楷體"/>
          <w:sz w:val="28"/>
          <w:szCs w:val="28"/>
        </w:rPr>
      </w:pPr>
      <w:r w:rsidRPr="00D55DC6">
        <w:rPr>
          <w:rFonts w:eastAsia="標楷體"/>
          <w:sz w:val="28"/>
          <w:szCs w:val="28"/>
        </w:rPr>
        <w:t>問題評析</w:t>
      </w:r>
    </w:p>
    <w:p w:rsidR="00DF2F67" w:rsidRPr="00D55DC6" w:rsidRDefault="00DF2F67" w:rsidP="00DF2F67">
      <w:pPr>
        <w:pStyle w:val="33"/>
        <w:adjustRightInd w:val="0"/>
        <w:snapToGrid w:val="0"/>
        <w:spacing w:line="460" w:lineRule="exact"/>
        <w:ind w:leftChars="0" w:left="714"/>
        <w:jc w:val="both"/>
        <w:rPr>
          <w:rFonts w:eastAsia="標楷體"/>
          <w:sz w:val="28"/>
          <w:szCs w:val="28"/>
        </w:rPr>
      </w:pPr>
      <w:r w:rsidRPr="00D55DC6">
        <w:rPr>
          <w:rFonts w:eastAsia="標楷體"/>
          <w:sz w:val="28"/>
          <w:szCs w:val="28"/>
        </w:rPr>
        <w:t>大鵬灣隨著民促參案開發營運及小琉球遊客逐年攀升之情形，各項服務設施明顯不足，因此檢討不足之公共設施，逐年編列預算加以執行，以提升遊客對環境之滿意度，增加重遊率，相關課題臚列如下</w:t>
      </w:r>
      <w:r w:rsidRPr="00D55DC6">
        <w:rPr>
          <w:sz w:val="28"/>
          <w:szCs w:val="28"/>
        </w:rPr>
        <w:t>：</w:t>
      </w:r>
    </w:p>
    <w:p w:rsidR="00DF2F67" w:rsidRPr="00D55DC6" w:rsidRDefault="00DF2F67" w:rsidP="00DF2F67">
      <w:pPr>
        <w:pStyle w:val="33"/>
        <w:adjustRightInd w:val="0"/>
        <w:snapToGrid w:val="0"/>
        <w:spacing w:line="460" w:lineRule="exact"/>
        <w:ind w:leftChars="186" w:left="446" w:firstLineChars="10" w:firstLine="28"/>
        <w:jc w:val="both"/>
        <w:rPr>
          <w:sz w:val="28"/>
          <w:szCs w:val="28"/>
        </w:rPr>
      </w:pPr>
      <w:r w:rsidRPr="00D55DC6">
        <w:rPr>
          <w:rFonts w:eastAsia="標楷體"/>
          <w:sz w:val="28"/>
          <w:szCs w:val="28"/>
        </w:rPr>
        <w:t>1.</w:t>
      </w:r>
      <w:r w:rsidRPr="00D55DC6">
        <w:rPr>
          <w:rFonts w:eastAsia="標楷體"/>
          <w:sz w:val="28"/>
          <w:szCs w:val="28"/>
        </w:rPr>
        <w:t>需求量</w:t>
      </w:r>
      <w:r w:rsidRPr="00D55DC6">
        <w:rPr>
          <w:sz w:val="28"/>
          <w:szCs w:val="28"/>
        </w:rPr>
        <w:t>：</w:t>
      </w:r>
    </w:p>
    <w:p w:rsidR="00DF2F67" w:rsidRPr="00D55DC6" w:rsidRDefault="00DF2F67" w:rsidP="00DF2F67">
      <w:pPr>
        <w:pStyle w:val="33"/>
        <w:adjustRightInd w:val="0"/>
        <w:snapToGrid w:val="0"/>
        <w:spacing w:line="460" w:lineRule="exact"/>
        <w:ind w:leftChars="297" w:left="1133" w:hangingChars="150" w:hanging="420"/>
        <w:jc w:val="both"/>
        <w:rPr>
          <w:rFonts w:eastAsia="標楷體"/>
          <w:sz w:val="28"/>
          <w:szCs w:val="28"/>
        </w:rPr>
      </w:pPr>
      <w:r w:rsidRPr="00D55DC6">
        <w:rPr>
          <w:rFonts w:eastAsia="標楷體"/>
          <w:sz w:val="28"/>
          <w:szCs w:val="28"/>
        </w:rPr>
        <w:t>(1)</w:t>
      </w:r>
      <w:r w:rsidRPr="00D55DC6">
        <w:rPr>
          <w:rFonts w:eastAsia="標楷體"/>
          <w:sz w:val="28"/>
          <w:szCs w:val="28"/>
        </w:rPr>
        <w:t>大鵬灣</w:t>
      </w:r>
      <w:r w:rsidRPr="00D55DC6">
        <w:rPr>
          <w:rFonts w:eastAsia="標楷體"/>
          <w:sz w:val="28"/>
          <w:szCs w:val="28"/>
        </w:rPr>
        <w:t>102</w:t>
      </w:r>
      <w:r w:rsidRPr="00D55DC6">
        <w:rPr>
          <w:rFonts w:eastAsia="標楷體"/>
          <w:sz w:val="28"/>
          <w:szCs w:val="28"/>
        </w:rPr>
        <w:t>年遊客下滑原因，經檢討因民間促參案尚未全面營運，有些營運點因遷移因素產生中斷如大鵬灣遊客中心，目前大鵬灣休閒特區已全面開始營運，大鵬灣多功能服務區也開始營運，加上鵬村濕地委外經營管理作業完成，再加上濱灣公園亮點計畫推動，將東港泊區之交通船分泊至大鵬灣等利多因素，遊客量後續逐年增加為必然之趨勢，因此對於周邊服務設施及相關景點設施經檢討顯然不足應付整體之發展。</w:t>
      </w:r>
    </w:p>
    <w:p w:rsidR="00DF2F67" w:rsidRPr="00D55DC6" w:rsidRDefault="00DF2F67" w:rsidP="00DF2F67">
      <w:pPr>
        <w:pStyle w:val="33"/>
        <w:adjustRightInd w:val="0"/>
        <w:snapToGrid w:val="0"/>
        <w:spacing w:line="460" w:lineRule="exact"/>
        <w:ind w:leftChars="297" w:left="1133" w:hangingChars="150" w:hanging="420"/>
        <w:jc w:val="both"/>
        <w:rPr>
          <w:rFonts w:eastAsia="標楷體"/>
          <w:sz w:val="28"/>
          <w:szCs w:val="28"/>
        </w:rPr>
      </w:pPr>
      <w:r w:rsidRPr="00D55DC6">
        <w:rPr>
          <w:rFonts w:eastAsia="標楷體"/>
          <w:sz w:val="28"/>
          <w:szCs w:val="28"/>
        </w:rPr>
        <w:t>(2)</w:t>
      </w:r>
      <w:r w:rsidRPr="00D55DC6">
        <w:rPr>
          <w:rFonts w:eastAsia="標楷體"/>
          <w:sz w:val="28"/>
          <w:szCs w:val="28"/>
        </w:rPr>
        <w:t>小琉球</w:t>
      </w:r>
      <w:r w:rsidRPr="00D55DC6">
        <w:rPr>
          <w:rFonts w:eastAsia="標楷體"/>
          <w:sz w:val="28"/>
          <w:szCs w:val="28"/>
        </w:rPr>
        <w:t>102</w:t>
      </w:r>
      <w:r w:rsidRPr="00D55DC6">
        <w:rPr>
          <w:rFonts w:eastAsia="標楷體"/>
          <w:sz w:val="28"/>
          <w:szCs w:val="28"/>
        </w:rPr>
        <w:t>年遊客量已突破</w:t>
      </w:r>
      <w:r w:rsidRPr="00D55DC6">
        <w:rPr>
          <w:rFonts w:eastAsia="標楷體"/>
          <w:sz w:val="28"/>
          <w:szCs w:val="28"/>
        </w:rPr>
        <w:t>37</w:t>
      </w:r>
      <w:r w:rsidRPr="00D55DC6">
        <w:rPr>
          <w:rFonts w:eastAsia="標楷體"/>
          <w:sz w:val="28"/>
          <w:szCs w:val="28"/>
        </w:rPr>
        <w:t>萬人次，經檢討住宿顯然不足，且服務設施相對不足，為提升遊客滿意度，相關設施需逐年補足。</w:t>
      </w:r>
    </w:p>
    <w:p w:rsidR="00DF2F67" w:rsidRPr="00D55DC6" w:rsidRDefault="00DF2F67" w:rsidP="00DF2F67">
      <w:pPr>
        <w:pStyle w:val="33"/>
        <w:adjustRightInd w:val="0"/>
        <w:snapToGrid w:val="0"/>
        <w:spacing w:line="460" w:lineRule="exact"/>
        <w:ind w:leftChars="178" w:left="1245" w:hangingChars="292" w:hanging="818"/>
        <w:jc w:val="both"/>
        <w:rPr>
          <w:sz w:val="28"/>
          <w:szCs w:val="28"/>
        </w:rPr>
      </w:pPr>
      <w:r w:rsidRPr="00D55DC6">
        <w:rPr>
          <w:rFonts w:eastAsia="標楷體"/>
          <w:sz w:val="28"/>
          <w:szCs w:val="28"/>
        </w:rPr>
        <w:t>2.</w:t>
      </w:r>
      <w:r w:rsidRPr="00D55DC6">
        <w:rPr>
          <w:rFonts w:eastAsia="標楷體"/>
          <w:sz w:val="28"/>
          <w:szCs w:val="28"/>
        </w:rPr>
        <w:t>承載量</w:t>
      </w:r>
      <w:r w:rsidRPr="00D55DC6">
        <w:rPr>
          <w:sz w:val="28"/>
          <w:szCs w:val="28"/>
        </w:rPr>
        <w:t>：</w:t>
      </w:r>
    </w:p>
    <w:p w:rsidR="00DF2F67" w:rsidRPr="00D55DC6" w:rsidRDefault="00DF2F67" w:rsidP="00DF2F67">
      <w:pPr>
        <w:pStyle w:val="33"/>
        <w:adjustRightInd w:val="0"/>
        <w:snapToGrid w:val="0"/>
        <w:spacing w:line="460" w:lineRule="exact"/>
        <w:ind w:leftChars="297" w:left="1133" w:hangingChars="150" w:hanging="420"/>
        <w:jc w:val="both"/>
        <w:rPr>
          <w:rFonts w:eastAsia="標楷體"/>
          <w:sz w:val="28"/>
          <w:szCs w:val="28"/>
        </w:rPr>
      </w:pPr>
      <w:r w:rsidRPr="00D55DC6">
        <w:rPr>
          <w:rFonts w:eastAsia="標楷體"/>
          <w:sz w:val="28"/>
          <w:szCs w:val="28"/>
        </w:rPr>
        <w:t>(1)</w:t>
      </w:r>
      <w:r w:rsidRPr="00D55DC6">
        <w:rPr>
          <w:rFonts w:eastAsia="標楷體"/>
          <w:sz w:val="28"/>
          <w:szCs w:val="28"/>
        </w:rPr>
        <w:t>大鵬灣國際景點，因目前尚在開發階段，營運據點不多，因此設施承載量足以負荷，僅對不足部分進行補充。</w:t>
      </w:r>
    </w:p>
    <w:p w:rsidR="00DF2F67" w:rsidRPr="00D55DC6" w:rsidRDefault="00DF2F67" w:rsidP="00DF2F67">
      <w:pPr>
        <w:pStyle w:val="33"/>
        <w:adjustRightInd w:val="0"/>
        <w:snapToGrid w:val="0"/>
        <w:spacing w:line="460" w:lineRule="exact"/>
        <w:ind w:leftChars="297" w:left="1133" w:hangingChars="150" w:hanging="420"/>
        <w:jc w:val="both"/>
        <w:rPr>
          <w:rFonts w:eastAsia="標楷體"/>
          <w:sz w:val="28"/>
          <w:szCs w:val="28"/>
        </w:rPr>
      </w:pPr>
      <w:r w:rsidRPr="00D55DC6">
        <w:rPr>
          <w:rFonts w:eastAsia="標楷體"/>
          <w:sz w:val="28"/>
          <w:szCs w:val="28"/>
        </w:rPr>
        <w:t>(2)</w:t>
      </w:r>
      <w:r w:rsidRPr="00D55DC6">
        <w:rPr>
          <w:rFonts w:eastAsia="標楷體"/>
          <w:sz w:val="28"/>
          <w:szCs w:val="28"/>
        </w:rPr>
        <w:t>小琉球國內景點，遊客量較多，為維持旅遊品質，除進行已有之三</w:t>
      </w:r>
      <w:r w:rsidRPr="00D55DC6">
        <w:rPr>
          <w:rFonts w:eastAsia="標楷體"/>
          <w:sz w:val="28"/>
          <w:szCs w:val="28"/>
        </w:rPr>
        <w:lastRenderedPageBreak/>
        <w:t>個景點收費外，並已實施潮間帶景點管制及結合業者進行旅遊分流。</w:t>
      </w:r>
    </w:p>
    <w:p w:rsidR="00DF2F67" w:rsidRPr="00D55DC6" w:rsidRDefault="00DF2F67" w:rsidP="00DF2F67">
      <w:pPr>
        <w:pStyle w:val="33"/>
        <w:adjustRightInd w:val="0"/>
        <w:snapToGrid w:val="0"/>
        <w:spacing w:line="460" w:lineRule="exact"/>
        <w:ind w:leftChars="178" w:left="1242" w:hangingChars="291" w:hanging="815"/>
        <w:jc w:val="both"/>
        <w:rPr>
          <w:rFonts w:eastAsia="標楷體"/>
          <w:sz w:val="28"/>
          <w:szCs w:val="28"/>
        </w:rPr>
      </w:pPr>
      <w:r w:rsidRPr="00D55DC6">
        <w:rPr>
          <w:rFonts w:eastAsia="標楷體"/>
          <w:sz w:val="28"/>
          <w:szCs w:val="28"/>
        </w:rPr>
        <w:t>3.</w:t>
      </w:r>
      <w:r w:rsidRPr="00D55DC6">
        <w:rPr>
          <w:rFonts w:eastAsia="標楷體"/>
          <w:sz w:val="28"/>
          <w:szCs w:val="28"/>
        </w:rPr>
        <w:t>經營管理</w:t>
      </w:r>
    </w:p>
    <w:p w:rsidR="00DF2F67" w:rsidRPr="00D55DC6" w:rsidRDefault="00DF2F67" w:rsidP="00DF2F67">
      <w:pPr>
        <w:pStyle w:val="33"/>
        <w:adjustRightInd w:val="0"/>
        <w:snapToGrid w:val="0"/>
        <w:spacing w:line="460" w:lineRule="exact"/>
        <w:ind w:leftChars="297" w:left="1133" w:hangingChars="150" w:hanging="420"/>
        <w:jc w:val="both"/>
        <w:rPr>
          <w:rFonts w:eastAsia="標楷體"/>
          <w:sz w:val="28"/>
          <w:szCs w:val="28"/>
        </w:rPr>
      </w:pPr>
      <w:r w:rsidRPr="00D55DC6">
        <w:rPr>
          <w:rFonts w:eastAsia="標楷體"/>
          <w:sz w:val="28"/>
          <w:szCs w:val="28"/>
        </w:rPr>
        <w:t>(1)</w:t>
      </w:r>
      <w:r w:rsidRPr="00D55DC6">
        <w:rPr>
          <w:rFonts w:eastAsia="標楷體"/>
          <w:sz w:val="28"/>
          <w:szCs w:val="28"/>
        </w:rPr>
        <w:t>隨著客量增加，設施相對增加，因此管理維護費亦配合遞增，如鵬灣跨海大橋管理維護費及光雕管理維護費等等，並委託保全進行各項巡邏，加強設施維護及遊客安全巡護。</w:t>
      </w:r>
    </w:p>
    <w:p w:rsidR="00DF2F67" w:rsidRPr="00D55DC6" w:rsidRDefault="00DF2F67" w:rsidP="00DF2F67">
      <w:pPr>
        <w:pStyle w:val="33"/>
        <w:adjustRightInd w:val="0"/>
        <w:snapToGrid w:val="0"/>
        <w:spacing w:line="460" w:lineRule="exact"/>
        <w:ind w:leftChars="297" w:left="1133" w:hangingChars="150" w:hanging="420"/>
        <w:jc w:val="both"/>
        <w:rPr>
          <w:rFonts w:eastAsia="標楷體"/>
          <w:sz w:val="28"/>
          <w:szCs w:val="28"/>
        </w:rPr>
      </w:pPr>
      <w:r w:rsidRPr="00D55DC6">
        <w:rPr>
          <w:rFonts w:eastAsia="標楷體"/>
          <w:sz w:val="28"/>
          <w:szCs w:val="28"/>
        </w:rPr>
        <w:t>(2)</w:t>
      </w:r>
      <w:r w:rsidRPr="00D55DC6">
        <w:rPr>
          <w:rFonts w:eastAsia="標楷體"/>
          <w:sz w:val="28"/>
          <w:szCs w:val="28"/>
        </w:rPr>
        <w:t>小琉球國內景點，設施管理費隨遊客需求，設施增量，管理維護費亦配合增加，如山豬溝及管理站遊客中心等，並委託保全進行各項巡邏。</w:t>
      </w:r>
    </w:p>
    <w:p w:rsidR="00DF2F67" w:rsidRPr="00D55DC6" w:rsidRDefault="00DF2F67" w:rsidP="00DF2F67">
      <w:pPr>
        <w:adjustRightInd w:val="0"/>
        <w:snapToGrid w:val="0"/>
        <w:spacing w:line="460" w:lineRule="exact"/>
        <w:ind w:leftChars="181" w:left="434"/>
        <w:jc w:val="both"/>
        <w:rPr>
          <w:rFonts w:eastAsia="標楷體"/>
          <w:sz w:val="28"/>
          <w:szCs w:val="28"/>
        </w:rPr>
      </w:pPr>
      <w:r w:rsidRPr="00D55DC6">
        <w:rPr>
          <w:rFonts w:eastAsia="標楷體"/>
          <w:sz w:val="28"/>
          <w:szCs w:val="28"/>
        </w:rPr>
        <w:t>4.</w:t>
      </w:r>
      <w:r w:rsidRPr="00D55DC6">
        <w:rPr>
          <w:rFonts w:eastAsia="標楷體"/>
          <w:sz w:val="28"/>
          <w:szCs w:val="28"/>
        </w:rPr>
        <w:t>產業發展</w:t>
      </w:r>
    </w:p>
    <w:p w:rsidR="00DF2F67" w:rsidRPr="00D55DC6" w:rsidRDefault="00DF2F67" w:rsidP="00DF2F67">
      <w:pPr>
        <w:pStyle w:val="33"/>
        <w:adjustRightInd w:val="0"/>
        <w:snapToGrid w:val="0"/>
        <w:spacing w:line="460" w:lineRule="exact"/>
        <w:ind w:leftChars="297" w:left="1133" w:hangingChars="150" w:hanging="420"/>
        <w:jc w:val="both"/>
        <w:rPr>
          <w:rFonts w:eastAsia="標楷體"/>
          <w:sz w:val="28"/>
          <w:szCs w:val="28"/>
        </w:rPr>
      </w:pPr>
      <w:r w:rsidRPr="00D55DC6">
        <w:rPr>
          <w:rFonts w:eastAsia="標楷體"/>
          <w:sz w:val="28"/>
          <w:szCs w:val="28"/>
        </w:rPr>
        <w:t>(1)</w:t>
      </w:r>
      <w:r w:rsidRPr="00D55DC6">
        <w:rPr>
          <w:rFonts w:eastAsia="標楷體"/>
          <w:sz w:val="28"/>
          <w:szCs w:val="28"/>
        </w:rPr>
        <w:t>大鵬灣灣國際景點，針對區內</w:t>
      </w:r>
      <w:r w:rsidRPr="00D55DC6">
        <w:rPr>
          <w:rFonts w:eastAsia="標楷體"/>
          <w:sz w:val="28"/>
          <w:szCs w:val="28"/>
        </w:rPr>
        <w:t>5</w:t>
      </w:r>
      <w:r w:rsidRPr="00D55DC6">
        <w:rPr>
          <w:rFonts w:eastAsia="標楷體"/>
          <w:sz w:val="28"/>
          <w:szCs w:val="28"/>
        </w:rPr>
        <w:t>大社區，進行觀光營造及輔導，尋找各區特色產業，加以輔導，並配合本區活動進行特色產品展示。後續針對周邊相關產業輔導成立產業聯盟，加以行銷推廣。</w:t>
      </w:r>
    </w:p>
    <w:p w:rsidR="00DF2F67" w:rsidRPr="00D55DC6" w:rsidRDefault="00DF2F67" w:rsidP="00DF2F67">
      <w:pPr>
        <w:pStyle w:val="33"/>
        <w:adjustRightInd w:val="0"/>
        <w:snapToGrid w:val="0"/>
        <w:spacing w:line="460" w:lineRule="exact"/>
        <w:ind w:leftChars="297" w:left="1133" w:hangingChars="150" w:hanging="420"/>
        <w:jc w:val="both"/>
        <w:rPr>
          <w:rFonts w:eastAsia="標楷體"/>
          <w:sz w:val="28"/>
          <w:szCs w:val="28"/>
        </w:rPr>
      </w:pPr>
      <w:r w:rsidRPr="00D55DC6">
        <w:rPr>
          <w:rFonts w:eastAsia="標楷體"/>
          <w:sz w:val="28"/>
          <w:szCs w:val="28"/>
        </w:rPr>
        <w:t>(2)</w:t>
      </w:r>
      <w:r w:rsidRPr="00D55DC6">
        <w:rPr>
          <w:rFonts w:eastAsia="標楷體"/>
          <w:sz w:val="28"/>
          <w:szCs w:val="28"/>
        </w:rPr>
        <w:t>小琉球國內景點，以輔導成立魅力商圈協會及生態旅遊協會，加以推廣在地產業及推動生態旅遊，並結合政策配合推動綠色運具使用推廣。</w:t>
      </w:r>
    </w:p>
    <w:p w:rsidR="00DF2F67" w:rsidRPr="00D55DC6" w:rsidRDefault="00DF2F67" w:rsidP="00DF2F67">
      <w:pPr>
        <w:adjustRightInd w:val="0"/>
        <w:snapToGrid w:val="0"/>
        <w:spacing w:line="460" w:lineRule="exact"/>
        <w:ind w:leftChars="181" w:left="434"/>
        <w:jc w:val="both"/>
        <w:rPr>
          <w:rFonts w:eastAsia="標楷體"/>
          <w:sz w:val="28"/>
          <w:szCs w:val="28"/>
        </w:rPr>
      </w:pPr>
      <w:r w:rsidRPr="00D55DC6">
        <w:rPr>
          <w:rFonts w:eastAsia="標楷體"/>
          <w:sz w:val="28"/>
          <w:szCs w:val="28"/>
        </w:rPr>
        <w:t>5.</w:t>
      </w:r>
      <w:r w:rsidRPr="00D55DC6">
        <w:rPr>
          <w:rFonts w:eastAsia="標楷體"/>
          <w:sz w:val="28"/>
          <w:szCs w:val="28"/>
        </w:rPr>
        <w:t>財務自償</w:t>
      </w:r>
    </w:p>
    <w:p w:rsidR="00DF2F67" w:rsidRPr="00D55DC6" w:rsidRDefault="00DF2F67" w:rsidP="00DF2F67">
      <w:pPr>
        <w:adjustRightInd w:val="0"/>
        <w:snapToGrid w:val="0"/>
        <w:spacing w:line="460" w:lineRule="exact"/>
        <w:ind w:leftChars="297" w:left="713"/>
        <w:jc w:val="both"/>
        <w:rPr>
          <w:rFonts w:eastAsia="標楷體"/>
          <w:sz w:val="28"/>
          <w:szCs w:val="28"/>
        </w:rPr>
      </w:pPr>
      <w:r w:rsidRPr="00D55DC6">
        <w:rPr>
          <w:rFonts w:eastAsia="標楷體"/>
          <w:sz w:val="28"/>
          <w:szCs w:val="28"/>
        </w:rPr>
        <w:t>為因應政府財政短絀之情形，目前以興設完成之設施可以出租部分，儘採出租方式辦理，如濱灣公園泊靠碼頭、小琉球賣店、蚵殼島、大鵬灣多功能服務區、鵬村濕地公園服務設施，可以採促參方式辦理部分，採用促參方式辦理，如大鵬灣遊一區、遊三區、遊艇港區，未來規劃中之案件有遊二區及小琉球海景休閒</w:t>
      </w:r>
      <w:r w:rsidR="00EA38C5" w:rsidRPr="00D55DC6">
        <w:rPr>
          <w:rFonts w:eastAsia="標楷體"/>
          <w:sz w:val="28"/>
          <w:szCs w:val="28"/>
        </w:rPr>
        <w:t>度假</w:t>
      </w:r>
      <w:r w:rsidRPr="00D55DC6">
        <w:rPr>
          <w:rFonts w:eastAsia="標楷體"/>
          <w:sz w:val="28"/>
          <w:szCs w:val="28"/>
        </w:rPr>
        <w:t>區等，以提高政府收益，並可節省人力物力，創造雙贏。</w:t>
      </w:r>
    </w:p>
    <w:p w:rsidR="00DF2F67" w:rsidRPr="00D55DC6" w:rsidRDefault="00DF2F67" w:rsidP="00DF2F67">
      <w:pPr>
        <w:adjustRightInd w:val="0"/>
        <w:snapToGrid w:val="0"/>
        <w:spacing w:line="460" w:lineRule="exact"/>
        <w:ind w:leftChars="181" w:left="434"/>
        <w:jc w:val="both"/>
        <w:rPr>
          <w:rFonts w:eastAsia="標楷體"/>
          <w:sz w:val="28"/>
          <w:szCs w:val="28"/>
        </w:rPr>
      </w:pPr>
      <w:r w:rsidRPr="00D55DC6">
        <w:rPr>
          <w:rFonts w:eastAsia="標楷體"/>
          <w:sz w:val="28"/>
          <w:szCs w:val="28"/>
        </w:rPr>
        <w:t>6.</w:t>
      </w:r>
      <w:r w:rsidRPr="00D55DC6">
        <w:rPr>
          <w:rFonts w:eastAsia="標楷體"/>
          <w:sz w:val="28"/>
          <w:szCs w:val="28"/>
        </w:rPr>
        <w:t>交通接駁</w:t>
      </w:r>
    </w:p>
    <w:p w:rsidR="00DF2F67" w:rsidRPr="00D55DC6" w:rsidRDefault="00DF2F67" w:rsidP="00DF2F67">
      <w:pPr>
        <w:pStyle w:val="33"/>
        <w:adjustRightInd w:val="0"/>
        <w:snapToGrid w:val="0"/>
        <w:spacing w:line="460" w:lineRule="exact"/>
        <w:ind w:leftChars="280" w:left="700" w:hangingChars="10" w:hanging="28"/>
        <w:jc w:val="both"/>
        <w:rPr>
          <w:rFonts w:eastAsia="標楷體"/>
          <w:sz w:val="28"/>
          <w:szCs w:val="28"/>
        </w:rPr>
      </w:pPr>
      <w:r w:rsidRPr="00D55DC6">
        <w:rPr>
          <w:rFonts w:eastAsia="標楷體"/>
          <w:sz w:val="28"/>
          <w:szCs w:val="28"/>
        </w:rPr>
        <w:t>續推無縫接駁服務台灣好行及林邊火車站至東港泊區之電動接駁巴士服務，小琉球島嶼交通續推電動機車租用措施，後續規劃推動電動巴士接駁服務。</w:t>
      </w:r>
    </w:p>
    <w:p w:rsidR="00DF2F67" w:rsidRPr="00D55DC6" w:rsidRDefault="00DF2F67" w:rsidP="004865C1">
      <w:pPr>
        <w:pStyle w:val="33"/>
        <w:numPr>
          <w:ilvl w:val="0"/>
          <w:numId w:val="149"/>
        </w:numPr>
        <w:adjustRightInd w:val="0"/>
        <w:snapToGrid w:val="0"/>
        <w:spacing w:line="460" w:lineRule="exact"/>
        <w:ind w:leftChars="0"/>
        <w:jc w:val="both"/>
        <w:rPr>
          <w:rFonts w:eastAsia="標楷體"/>
          <w:sz w:val="28"/>
          <w:szCs w:val="28"/>
        </w:rPr>
      </w:pPr>
      <w:r w:rsidRPr="00D55DC6">
        <w:rPr>
          <w:rFonts w:eastAsia="標楷體"/>
          <w:sz w:val="28"/>
          <w:szCs w:val="28"/>
        </w:rPr>
        <w:t>社會參與及政策溝通情形</w:t>
      </w:r>
    </w:p>
    <w:p w:rsidR="00DF2F67" w:rsidRPr="00D55DC6" w:rsidRDefault="00DF2F67" w:rsidP="00DF2F67">
      <w:pPr>
        <w:snapToGrid w:val="0"/>
        <w:spacing w:line="460" w:lineRule="exact"/>
        <w:ind w:leftChars="175" w:left="700" w:hanging="280"/>
        <w:jc w:val="both"/>
        <w:rPr>
          <w:rFonts w:eastAsia="標楷體"/>
          <w:sz w:val="28"/>
          <w:szCs w:val="28"/>
        </w:rPr>
      </w:pPr>
      <w:r w:rsidRPr="00D55DC6">
        <w:rPr>
          <w:rFonts w:eastAsia="標楷體"/>
          <w:sz w:val="28"/>
          <w:szCs w:val="28"/>
        </w:rPr>
        <w:t>1.</w:t>
      </w:r>
      <w:r w:rsidRPr="00D55DC6">
        <w:rPr>
          <w:rFonts w:eastAsia="標楷體"/>
          <w:sz w:val="28"/>
          <w:szCs w:val="28"/>
        </w:rPr>
        <w:t>補助屏東縣政府辦理「東港、鹽埔、小琉球及大鵬灣客貨、觀光、漁業及在地產業等相關整體規劃」，邀請專家學者、漁業署、交通部航港局、</w:t>
      </w:r>
      <w:r w:rsidRPr="00D55DC6">
        <w:rPr>
          <w:rFonts w:eastAsia="標楷體"/>
          <w:sz w:val="28"/>
          <w:szCs w:val="28"/>
        </w:rPr>
        <w:lastRenderedPageBreak/>
        <w:t>運研所、大鵬灣管理處、新園鄉公所、琉球鄉公所、屏東縣政府相關單位及民船公司等共同參與，並參與作政策上之溝通，納入本案規劃中辦理。</w:t>
      </w:r>
    </w:p>
    <w:p w:rsidR="00DF2F67" w:rsidRPr="00D55DC6" w:rsidRDefault="00DF2F67" w:rsidP="00DF2F67">
      <w:pPr>
        <w:snapToGrid w:val="0"/>
        <w:spacing w:line="460" w:lineRule="exact"/>
        <w:ind w:leftChars="177" w:left="705" w:hanging="280"/>
        <w:jc w:val="both"/>
        <w:rPr>
          <w:rFonts w:eastAsia="標楷體"/>
          <w:sz w:val="28"/>
          <w:szCs w:val="28"/>
        </w:rPr>
      </w:pPr>
      <w:r w:rsidRPr="00D55DC6">
        <w:rPr>
          <w:rFonts w:eastAsia="標楷體"/>
          <w:sz w:val="28"/>
          <w:szCs w:val="28"/>
        </w:rPr>
        <w:t>2.</w:t>
      </w:r>
      <w:r w:rsidRPr="00D55DC6">
        <w:rPr>
          <w:rFonts w:eastAsia="標楷體"/>
          <w:sz w:val="28"/>
          <w:szCs w:val="28"/>
        </w:rPr>
        <w:t>本案相關建設計畫於屏東縣觀光會報進行簡報讓地方政府知悉了解。</w:t>
      </w:r>
    </w:p>
    <w:p w:rsidR="00DF2F67" w:rsidRPr="00D55DC6" w:rsidRDefault="00DF2F67" w:rsidP="00DF2F67">
      <w:pPr>
        <w:snapToGrid w:val="0"/>
        <w:spacing w:line="460" w:lineRule="exact"/>
        <w:ind w:leftChars="177" w:left="705" w:hanging="280"/>
        <w:jc w:val="both"/>
        <w:rPr>
          <w:rFonts w:eastAsia="標楷體"/>
          <w:sz w:val="28"/>
          <w:szCs w:val="28"/>
        </w:rPr>
      </w:pPr>
    </w:p>
    <w:p w:rsidR="00DF2F67" w:rsidRPr="00D55DC6" w:rsidRDefault="00DF2F67" w:rsidP="00DF2F67">
      <w:pPr>
        <w:pStyle w:val="a"/>
        <w:ind w:left="709" w:hanging="709"/>
        <w:rPr>
          <w:b/>
        </w:rPr>
      </w:pPr>
      <w:bookmarkStart w:id="146" w:name="_Toc407181713"/>
      <w:r w:rsidRPr="00D55DC6">
        <w:rPr>
          <w:b/>
        </w:rPr>
        <w:t>計畫目標</w:t>
      </w:r>
      <w:r w:rsidRPr="00D55DC6">
        <w:rPr>
          <w:rFonts w:eastAsia="新細明體"/>
          <w:b/>
        </w:rPr>
        <w:t>：</w:t>
      </w:r>
      <w:r w:rsidRPr="00D55DC6">
        <w:rPr>
          <w:b/>
        </w:rPr>
        <w:t>悠遊大鵬灣、慢活小琉球</w:t>
      </w:r>
      <w:bookmarkEnd w:id="146"/>
    </w:p>
    <w:p w:rsidR="00DF2F67" w:rsidRPr="00D55DC6" w:rsidRDefault="00DF2F67" w:rsidP="004865C1">
      <w:pPr>
        <w:pStyle w:val="33"/>
        <w:numPr>
          <w:ilvl w:val="0"/>
          <w:numId w:val="150"/>
        </w:numPr>
        <w:snapToGrid w:val="0"/>
        <w:spacing w:line="460" w:lineRule="exact"/>
        <w:ind w:leftChars="0"/>
        <w:jc w:val="both"/>
        <w:rPr>
          <w:rFonts w:eastAsia="標楷體"/>
          <w:sz w:val="28"/>
          <w:szCs w:val="28"/>
        </w:rPr>
      </w:pPr>
      <w:r w:rsidRPr="00D55DC6">
        <w:rPr>
          <w:rFonts w:eastAsia="標楷體"/>
          <w:sz w:val="28"/>
          <w:szCs w:val="28"/>
        </w:rPr>
        <w:t>目標說明</w:t>
      </w:r>
    </w:p>
    <w:p w:rsidR="00DF2F67" w:rsidRPr="00D55DC6" w:rsidRDefault="00DF2F67" w:rsidP="00DF2F67">
      <w:pPr>
        <w:pStyle w:val="33"/>
        <w:snapToGrid w:val="0"/>
        <w:spacing w:line="460" w:lineRule="exact"/>
        <w:ind w:leftChars="177" w:left="613" w:hangingChars="67" w:hanging="188"/>
        <w:jc w:val="both"/>
        <w:rPr>
          <w:rFonts w:eastAsia="標楷體"/>
          <w:sz w:val="28"/>
          <w:szCs w:val="28"/>
        </w:rPr>
      </w:pPr>
      <w:r w:rsidRPr="00D55DC6">
        <w:rPr>
          <w:rFonts w:eastAsia="標楷體"/>
          <w:sz w:val="28"/>
          <w:szCs w:val="28"/>
        </w:rPr>
        <w:t>1.</w:t>
      </w:r>
      <w:r w:rsidRPr="00D55DC6">
        <w:rPr>
          <w:rFonts w:eastAsia="標楷體"/>
          <w:sz w:val="28"/>
          <w:szCs w:val="28"/>
        </w:rPr>
        <w:t>開發大鵬灣為國際級船舶水上活動</w:t>
      </w:r>
      <w:r w:rsidR="00EA38C5" w:rsidRPr="00D55DC6">
        <w:rPr>
          <w:rFonts w:eastAsia="標楷體"/>
          <w:sz w:val="28"/>
          <w:szCs w:val="28"/>
        </w:rPr>
        <w:t>度假</w:t>
      </w:r>
      <w:r w:rsidRPr="00D55DC6">
        <w:rPr>
          <w:rFonts w:eastAsia="標楷體"/>
          <w:sz w:val="28"/>
          <w:szCs w:val="28"/>
        </w:rPr>
        <w:t>勝地，並結合陸域、空域活動，往南串聯墾丁國家公園自然生態景觀、四重溪溫泉及恆春古城歷史文化史蹟及農漁特產等魅力景點，營造為臺灣具有熱帶風情之海岸觀光</w:t>
      </w:r>
      <w:r w:rsidR="00EA38C5" w:rsidRPr="00D55DC6">
        <w:rPr>
          <w:rFonts w:eastAsia="標楷體"/>
          <w:sz w:val="28"/>
          <w:szCs w:val="28"/>
        </w:rPr>
        <w:t>度假</w:t>
      </w:r>
      <w:r w:rsidRPr="00D55DC6">
        <w:rPr>
          <w:rFonts w:eastAsia="標楷體"/>
          <w:sz w:val="28"/>
          <w:szCs w:val="28"/>
        </w:rPr>
        <w:t>帶。</w:t>
      </w:r>
    </w:p>
    <w:p w:rsidR="00DF2F67" w:rsidRPr="00D55DC6" w:rsidRDefault="00DF2F67" w:rsidP="00DF2F67">
      <w:pPr>
        <w:pStyle w:val="33"/>
        <w:snapToGrid w:val="0"/>
        <w:spacing w:line="460" w:lineRule="exact"/>
        <w:ind w:leftChars="178" w:left="850" w:hangingChars="151" w:hanging="423"/>
        <w:jc w:val="both"/>
        <w:rPr>
          <w:rFonts w:eastAsia="標楷體"/>
          <w:bCs/>
          <w:sz w:val="28"/>
          <w:szCs w:val="28"/>
        </w:rPr>
      </w:pPr>
      <w:r w:rsidRPr="00D55DC6">
        <w:rPr>
          <w:rFonts w:eastAsia="標楷體"/>
          <w:sz w:val="28"/>
          <w:szCs w:val="28"/>
        </w:rPr>
        <w:t>2.</w:t>
      </w:r>
      <w:r w:rsidRPr="00D55DC6">
        <w:rPr>
          <w:rFonts w:eastAsia="標楷體"/>
          <w:bCs/>
          <w:sz w:val="28"/>
          <w:szCs w:val="28"/>
        </w:rPr>
        <w:t>營造小琉球為</w:t>
      </w:r>
      <w:r w:rsidR="00EA38C5" w:rsidRPr="00D55DC6">
        <w:rPr>
          <w:rFonts w:eastAsia="標楷體"/>
          <w:bCs/>
          <w:sz w:val="28"/>
          <w:szCs w:val="28"/>
        </w:rPr>
        <w:t>度假</w:t>
      </w:r>
      <w:r w:rsidRPr="00D55DC6">
        <w:rPr>
          <w:rFonts w:eastAsia="標楷體"/>
          <w:bCs/>
          <w:sz w:val="28"/>
          <w:szCs w:val="28"/>
        </w:rPr>
        <w:t>休閒之珊瑚礁生態學習島。</w:t>
      </w:r>
    </w:p>
    <w:p w:rsidR="00DF2F67" w:rsidRPr="00D55DC6" w:rsidRDefault="00DF2F67" w:rsidP="00DF2F67">
      <w:pPr>
        <w:pStyle w:val="33"/>
        <w:snapToGrid w:val="0"/>
        <w:spacing w:line="460" w:lineRule="exact"/>
        <w:ind w:leftChars="178" w:left="850" w:hangingChars="151" w:hanging="423"/>
        <w:jc w:val="both"/>
        <w:rPr>
          <w:rFonts w:eastAsia="標楷體"/>
          <w:bCs/>
          <w:sz w:val="28"/>
          <w:szCs w:val="28"/>
        </w:rPr>
      </w:pPr>
      <w:r w:rsidRPr="00D55DC6">
        <w:rPr>
          <w:rFonts w:eastAsia="標楷體"/>
          <w:bCs/>
          <w:sz w:val="28"/>
          <w:szCs w:val="28"/>
        </w:rPr>
        <w:t>3.</w:t>
      </w:r>
      <w:r w:rsidRPr="00D55DC6">
        <w:rPr>
          <w:rFonts w:eastAsia="標楷體"/>
          <w:bCs/>
          <w:sz w:val="28"/>
          <w:szCs w:val="28"/>
        </w:rPr>
        <w:t>藉由船舶活動串聯大鵬灣、小琉球、高雄都會區形成三角旅遊地帶。</w:t>
      </w:r>
    </w:p>
    <w:p w:rsidR="00DF2F67" w:rsidRPr="00D55DC6" w:rsidRDefault="00DF2F67" w:rsidP="00DF2F67">
      <w:pPr>
        <w:pStyle w:val="33"/>
        <w:snapToGrid w:val="0"/>
        <w:spacing w:line="460" w:lineRule="exact"/>
        <w:ind w:leftChars="178" w:left="850" w:hangingChars="151" w:hanging="423"/>
        <w:jc w:val="both"/>
        <w:rPr>
          <w:rFonts w:eastAsia="標楷體"/>
          <w:sz w:val="28"/>
          <w:szCs w:val="28"/>
        </w:rPr>
      </w:pPr>
      <w:r w:rsidRPr="00D55DC6">
        <w:rPr>
          <w:rFonts w:eastAsia="標楷體"/>
          <w:bCs/>
          <w:sz w:val="28"/>
          <w:szCs w:val="28"/>
        </w:rPr>
        <w:t>4.</w:t>
      </w:r>
      <w:r w:rsidRPr="00D55DC6">
        <w:rPr>
          <w:rFonts w:eastAsia="標楷體"/>
          <w:sz w:val="28"/>
          <w:szCs w:val="28"/>
        </w:rPr>
        <w:t>遊客人數由</w:t>
      </w:r>
      <w:r w:rsidRPr="00D55DC6">
        <w:rPr>
          <w:rFonts w:eastAsia="標楷體"/>
          <w:sz w:val="28"/>
          <w:szCs w:val="28"/>
        </w:rPr>
        <w:t>105</w:t>
      </w:r>
      <w:r w:rsidRPr="00D55DC6">
        <w:rPr>
          <w:rFonts w:eastAsia="標楷體"/>
          <w:sz w:val="28"/>
          <w:szCs w:val="28"/>
        </w:rPr>
        <w:t>年</w:t>
      </w:r>
      <w:r w:rsidRPr="00D55DC6">
        <w:rPr>
          <w:rFonts w:eastAsia="標楷體"/>
          <w:sz w:val="28"/>
          <w:szCs w:val="28"/>
        </w:rPr>
        <w:t>95</w:t>
      </w:r>
      <w:r w:rsidRPr="00D55DC6">
        <w:rPr>
          <w:rFonts w:eastAsia="標楷體"/>
          <w:sz w:val="28"/>
          <w:szCs w:val="28"/>
        </w:rPr>
        <w:t>萬人次提升至</w:t>
      </w:r>
      <w:r w:rsidRPr="00D55DC6">
        <w:rPr>
          <w:rFonts w:eastAsia="標楷體"/>
          <w:sz w:val="28"/>
          <w:szCs w:val="28"/>
        </w:rPr>
        <w:t>108</w:t>
      </w:r>
      <w:r w:rsidRPr="00D55DC6">
        <w:rPr>
          <w:rFonts w:eastAsia="標楷體"/>
          <w:sz w:val="28"/>
          <w:szCs w:val="28"/>
        </w:rPr>
        <w:t>年</w:t>
      </w:r>
      <w:r w:rsidRPr="00D55DC6">
        <w:rPr>
          <w:rFonts w:eastAsia="標楷體"/>
          <w:sz w:val="28"/>
          <w:szCs w:val="28"/>
        </w:rPr>
        <w:t>110</w:t>
      </w:r>
      <w:r w:rsidRPr="00D55DC6">
        <w:rPr>
          <w:rFonts w:eastAsia="標楷體"/>
          <w:sz w:val="28"/>
          <w:szCs w:val="28"/>
        </w:rPr>
        <w:t>萬人次，成長</w:t>
      </w:r>
      <w:r w:rsidRPr="00D55DC6">
        <w:rPr>
          <w:rFonts w:eastAsia="標楷體"/>
          <w:sz w:val="28"/>
          <w:szCs w:val="28"/>
        </w:rPr>
        <w:t>13.6%</w:t>
      </w:r>
      <w:r w:rsidRPr="00D55DC6">
        <w:rPr>
          <w:rFonts w:eastAsia="標楷體"/>
          <w:sz w:val="28"/>
          <w:szCs w:val="28"/>
        </w:rPr>
        <w:t>。</w:t>
      </w:r>
    </w:p>
    <w:p w:rsidR="00DF2F67" w:rsidRPr="00D55DC6" w:rsidRDefault="00DF2F67" w:rsidP="004865C1">
      <w:pPr>
        <w:pStyle w:val="33"/>
        <w:numPr>
          <w:ilvl w:val="0"/>
          <w:numId w:val="150"/>
        </w:numPr>
        <w:snapToGrid w:val="0"/>
        <w:spacing w:line="460" w:lineRule="exact"/>
        <w:ind w:leftChars="0"/>
        <w:jc w:val="both"/>
        <w:rPr>
          <w:rFonts w:eastAsia="標楷體"/>
          <w:sz w:val="28"/>
          <w:szCs w:val="28"/>
        </w:rPr>
      </w:pPr>
      <w:r w:rsidRPr="00D55DC6">
        <w:rPr>
          <w:rFonts w:eastAsia="標楷體"/>
          <w:sz w:val="28"/>
          <w:szCs w:val="28"/>
        </w:rPr>
        <w:t>達成目標之限制</w:t>
      </w:r>
    </w:p>
    <w:p w:rsidR="00DF2F67" w:rsidRPr="00D55DC6" w:rsidRDefault="00DF2F67" w:rsidP="000B4A7F">
      <w:pPr>
        <w:adjustRightInd w:val="0"/>
        <w:snapToGrid w:val="0"/>
        <w:spacing w:line="460" w:lineRule="exact"/>
        <w:ind w:leftChars="175" w:left="641" w:hangingChars="79" w:hanging="221"/>
        <w:jc w:val="both"/>
        <w:rPr>
          <w:rFonts w:eastAsia="標楷體"/>
          <w:sz w:val="28"/>
          <w:szCs w:val="28"/>
        </w:rPr>
      </w:pPr>
      <w:r w:rsidRPr="00D55DC6">
        <w:rPr>
          <w:rFonts w:eastAsia="標楷體"/>
          <w:sz w:val="28"/>
          <w:szCs w:val="28"/>
        </w:rPr>
        <w:t>1.</w:t>
      </w:r>
      <w:r w:rsidRPr="00D55DC6">
        <w:rPr>
          <w:rFonts w:eastAsia="標楷體"/>
          <w:sz w:val="28"/>
          <w:szCs w:val="28"/>
        </w:rPr>
        <w:t>遊客量部分，隨著大鵬灣民間參與開發營運時程，會有所影響，還有行銷推廣及套裝行程推動之成效，亦相對產生影響，目前非門票遊客數較難掌控，相關影響本區遊客量之準度。</w:t>
      </w:r>
    </w:p>
    <w:p w:rsidR="000B4A7F" w:rsidRPr="00D55DC6" w:rsidRDefault="000B4A7F" w:rsidP="000B4A7F">
      <w:pPr>
        <w:adjustRightInd w:val="0"/>
        <w:snapToGrid w:val="0"/>
        <w:spacing w:line="460" w:lineRule="exact"/>
        <w:ind w:leftChars="175" w:left="641" w:hangingChars="79" w:hanging="221"/>
        <w:jc w:val="both"/>
        <w:rPr>
          <w:rFonts w:eastAsia="標楷體"/>
          <w:sz w:val="28"/>
          <w:szCs w:val="28"/>
        </w:rPr>
      </w:pPr>
    </w:p>
    <w:p w:rsidR="00DF2F67" w:rsidRPr="00D55DC6" w:rsidRDefault="00DF2F67" w:rsidP="004865C1">
      <w:pPr>
        <w:pStyle w:val="33"/>
        <w:numPr>
          <w:ilvl w:val="0"/>
          <w:numId w:val="150"/>
        </w:numPr>
        <w:snapToGrid w:val="0"/>
        <w:spacing w:line="460" w:lineRule="exact"/>
        <w:ind w:leftChars="0"/>
        <w:jc w:val="both"/>
        <w:rPr>
          <w:rFonts w:eastAsia="標楷體"/>
          <w:sz w:val="28"/>
          <w:szCs w:val="28"/>
        </w:rPr>
      </w:pPr>
      <w:r w:rsidRPr="00D55DC6">
        <w:rPr>
          <w:rFonts w:eastAsia="標楷體"/>
          <w:sz w:val="28"/>
          <w:szCs w:val="28"/>
        </w:rPr>
        <w:t>績效指標、衡量標準及目標值</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5"/>
        <w:gridCol w:w="2127"/>
        <w:gridCol w:w="865"/>
        <w:gridCol w:w="868"/>
        <w:gridCol w:w="1239"/>
        <w:gridCol w:w="1239"/>
        <w:gridCol w:w="1239"/>
        <w:gridCol w:w="1240"/>
      </w:tblGrid>
      <w:tr w:rsidR="001D0350" w:rsidRPr="00D55DC6" w:rsidTr="00FA7F7B">
        <w:trPr>
          <w:trHeight w:val="345"/>
          <w:tblHeader/>
        </w:trPr>
        <w:tc>
          <w:tcPr>
            <w:tcW w:w="425" w:type="dxa"/>
            <w:vMerge w:val="restart"/>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項目</w:t>
            </w:r>
          </w:p>
        </w:tc>
        <w:tc>
          <w:tcPr>
            <w:tcW w:w="2127" w:type="dxa"/>
            <w:vMerge w:val="restart"/>
            <w:vAlign w:val="center"/>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衡量指標</w:t>
            </w:r>
          </w:p>
        </w:tc>
        <w:tc>
          <w:tcPr>
            <w:tcW w:w="1733" w:type="dxa"/>
            <w:gridSpan w:val="2"/>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衡量基準</w:t>
            </w:r>
          </w:p>
        </w:tc>
        <w:tc>
          <w:tcPr>
            <w:tcW w:w="4957" w:type="dxa"/>
            <w:gridSpan w:val="4"/>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預期目標值</w:t>
            </w:r>
          </w:p>
        </w:tc>
      </w:tr>
      <w:tr w:rsidR="001D0350" w:rsidRPr="00D55DC6" w:rsidTr="00FA7F7B">
        <w:trPr>
          <w:trHeight w:val="345"/>
          <w:tblHeader/>
        </w:trPr>
        <w:tc>
          <w:tcPr>
            <w:tcW w:w="425" w:type="dxa"/>
            <w:vMerge/>
          </w:tcPr>
          <w:p w:rsidR="00DF2F67" w:rsidRPr="00D55DC6" w:rsidRDefault="00DF2F67" w:rsidP="00FA7F7B">
            <w:pPr>
              <w:widowControl/>
              <w:spacing w:line="460" w:lineRule="exact"/>
              <w:jc w:val="center"/>
              <w:rPr>
                <w:rFonts w:eastAsia="標楷體"/>
                <w:kern w:val="0"/>
                <w:sz w:val="28"/>
                <w:szCs w:val="28"/>
              </w:rPr>
            </w:pPr>
          </w:p>
        </w:tc>
        <w:tc>
          <w:tcPr>
            <w:tcW w:w="2127" w:type="dxa"/>
            <w:vMerge/>
            <w:vAlign w:val="center"/>
          </w:tcPr>
          <w:p w:rsidR="00DF2F67" w:rsidRPr="00D55DC6" w:rsidRDefault="00DF2F67" w:rsidP="00FA7F7B">
            <w:pPr>
              <w:widowControl/>
              <w:spacing w:line="460" w:lineRule="exact"/>
              <w:rPr>
                <w:rFonts w:eastAsia="標楷體"/>
                <w:kern w:val="0"/>
                <w:sz w:val="28"/>
                <w:szCs w:val="28"/>
              </w:rPr>
            </w:pPr>
          </w:p>
        </w:tc>
        <w:tc>
          <w:tcPr>
            <w:tcW w:w="865" w:type="dxa"/>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102</w:t>
            </w:r>
            <w:r w:rsidRPr="00D55DC6">
              <w:rPr>
                <w:rFonts w:eastAsia="標楷體"/>
                <w:kern w:val="0"/>
                <w:sz w:val="28"/>
                <w:szCs w:val="28"/>
              </w:rPr>
              <w:t>年</w:t>
            </w:r>
          </w:p>
        </w:tc>
        <w:tc>
          <w:tcPr>
            <w:tcW w:w="868" w:type="dxa"/>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103</w:t>
            </w:r>
            <w:r w:rsidRPr="00D55DC6">
              <w:rPr>
                <w:rFonts w:eastAsia="標楷體"/>
                <w:kern w:val="0"/>
                <w:sz w:val="28"/>
                <w:szCs w:val="28"/>
              </w:rPr>
              <w:t>年</w:t>
            </w:r>
          </w:p>
        </w:tc>
        <w:tc>
          <w:tcPr>
            <w:tcW w:w="1239" w:type="dxa"/>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105</w:t>
            </w:r>
            <w:r w:rsidRPr="00D55DC6">
              <w:rPr>
                <w:rFonts w:eastAsia="標楷體"/>
                <w:kern w:val="0"/>
                <w:sz w:val="28"/>
                <w:szCs w:val="28"/>
              </w:rPr>
              <w:t>年</w:t>
            </w:r>
          </w:p>
        </w:tc>
        <w:tc>
          <w:tcPr>
            <w:tcW w:w="1239" w:type="dxa"/>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106</w:t>
            </w:r>
            <w:r w:rsidRPr="00D55DC6">
              <w:rPr>
                <w:rFonts w:eastAsia="標楷體"/>
                <w:kern w:val="0"/>
                <w:sz w:val="28"/>
                <w:szCs w:val="28"/>
              </w:rPr>
              <w:t>年</w:t>
            </w:r>
          </w:p>
        </w:tc>
        <w:tc>
          <w:tcPr>
            <w:tcW w:w="1239" w:type="dxa"/>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107</w:t>
            </w:r>
            <w:r w:rsidRPr="00D55DC6">
              <w:rPr>
                <w:rFonts w:eastAsia="標楷體"/>
                <w:kern w:val="0"/>
                <w:sz w:val="28"/>
                <w:szCs w:val="28"/>
              </w:rPr>
              <w:t>年</w:t>
            </w:r>
          </w:p>
        </w:tc>
        <w:tc>
          <w:tcPr>
            <w:tcW w:w="1240" w:type="dxa"/>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108</w:t>
            </w:r>
            <w:r w:rsidRPr="00D55DC6">
              <w:rPr>
                <w:rFonts w:eastAsia="標楷體"/>
                <w:kern w:val="0"/>
                <w:sz w:val="28"/>
                <w:szCs w:val="28"/>
              </w:rPr>
              <w:t>年</w:t>
            </w:r>
          </w:p>
        </w:tc>
      </w:tr>
      <w:tr w:rsidR="001D0350" w:rsidRPr="00D55DC6" w:rsidTr="00FA7F7B">
        <w:trPr>
          <w:trHeight w:val="675"/>
        </w:trPr>
        <w:tc>
          <w:tcPr>
            <w:tcW w:w="425" w:type="dxa"/>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1</w:t>
            </w:r>
          </w:p>
        </w:tc>
        <w:tc>
          <w:tcPr>
            <w:tcW w:w="2127" w:type="dxa"/>
          </w:tcPr>
          <w:p w:rsidR="00DF2F67" w:rsidRPr="00D55DC6" w:rsidRDefault="00DF2F67" w:rsidP="00FA7F7B">
            <w:pPr>
              <w:widowControl/>
              <w:spacing w:line="460" w:lineRule="exact"/>
              <w:jc w:val="both"/>
              <w:rPr>
                <w:rFonts w:eastAsia="標楷體"/>
                <w:kern w:val="0"/>
                <w:sz w:val="28"/>
                <w:szCs w:val="28"/>
              </w:rPr>
            </w:pPr>
            <w:r w:rsidRPr="00D55DC6">
              <w:rPr>
                <w:rFonts w:eastAsia="標楷體"/>
                <w:kern w:val="0"/>
                <w:sz w:val="28"/>
                <w:szCs w:val="28"/>
              </w:rPr>
              <w:t>重要觀光景點建設完成數</w:t>
            </w:r>
            <w:r w:rsidRPr="00D55DC6">
              <w:rPr>
                <w:rFonts w:eastAsia="標楷體"/>
                <w:kern w:val="0"/>
                <w:sz w:val="28"/>
                <w:szCs w:val="28"/>
              </w:rPr>
              <w:t>(</w:t>
            </w:r>
            <w:r w:rsidRPr="00D55DC6">
              <w:rPr>
                <w:rFonts w:eastAsia="標楷體"/>
                <w:kern w:val="0"/>
                <w:sz w:val="28"/>
                <w:szCs w:val="28"/>
              </w:rPr>
              <w:t>處</w:t>
            </w:r>
            <w:r w:rsidRPr="00D55DC6">
              <w:rPr>
                <w:rFonts w:eastAsia="標楷體"/>
                <w:kern w:val="0"/>
                <w:sz w:val="28"/>
                <w:szCs w:val="28"/>
              </w:rPr>
              <w:t>)</w:t>
            </w:r>
          </w:p>
        </w:tc>
        <w:tc>
          <w:tcPr>
            <w:tcW w:w="865" w:type="dxa"/>
            <w:vAlign w:val="center"/>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4</w:t>
            </w:r>
          </w:p>
        </w:tc>
        <w:tc>
          <w:tcPr>
            <w:tcW w:w="868" w:type="dxa"/>
            <w:vAlign w:val="center"/>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2</w:t>
            </w:r>
          </w:p>
        </w:tc>
        <w:tc>
          <w:tcPr>
            <w:tcW w:w="1239" w:type="dxa"/>
            <w:vAlign w:val="center"/>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6</w:t>
            </w:r>
          </w:p>
        </w:tc>
        <w:tc>
          <w:tcPr>
            <w:tcW w:w="1239" w:type="dxa"/>
            <w:vAlign w:val="center"/>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5</w:t>
            </w:r>
          </w:p>
        </w:tc>
        <w:tc>
          <w:tcPr>
            <w:tcW w:w="1239" w:type="dxa"/>
            <w:vAlign w:val="center"/>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6</w:t>
            </w:r>
          </w:p>
        </w:tc>
        <w:tc>
          <w:tcPr>
            <w:tcW w:w="1240" w:type="dxa"/>
            <w:vAlign w:val="center"/>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6</w:t>
            </w:r>
          </w:p>
        </w:tc>
      </w:tr>
      <w:tr w:rsidR="001D0350" w:rsidRPr="00D55DC6" w:rsidTr="00FA7F7B">
        <w:trPr>
          <w:trHeight w:val="675"/>
        </w:trPr>
        <w:tc>
          <w:tcPr>
            <w:tcW w:w="425" w:type="dxa"/>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2</w:t>
            </w:r>
          </w:p>
        </w:tc>
        <w:tc>
          <w:tcPr>
            <w:tcW w:w="2127" w:type="dxa"/>
          </w:tcPr>
          <w:p w:rsidR="00DF2F67" w:rsidRPr="00D55DC6" w:rsidRDefault="00DF2F67" w:rsidP="00FA7F7B">
            <w:pPr>
              <w:widowControl/>
              <w:spacing w:line="460" w:lineRule="exact"/>
              <w:jc w:val="both"/>
              <w:rPr>
                <w:rFonts w:eastAsia="標楷體"/>
                <w:kern w:val="0"/>
                <w:sz w:val="28"/>
                <w:szCs w:val="28"/>
              </w:rPr>
            </w:pPr>
            <w:r w:rsidRPr="00D55DC6">
              <w:rPr>
                <w:rFonts w:eastAsia="標楷體"/>
                <w:kern w:val="0"/>
                <w:sz w:val="28"/>
                <w:szCs w:val="28"/>
              </w:rPr>
              <w:t>參訪國家風景區遊客人數</w:t>
            </w:r>
            <w:r w:rsidRPr="00D55DC6">
              <w:rPr>
                <w:rFonts w:eastAsia="標楷體"/>
                <w:kern w:val="0"/>
                <w:sz w:val="28"/>
                <w:szCs w:val="28"/>
              </w:rPr>
              <w:t>(</w:t>
            </w:r>
            <w:r w:rsidRPr="00D55DC6">
              <w:rPr>
                <w:rFonts w:eastAsia="標楷體"/>
                <w:kern w:val="0"/>
                <w:sz w:val="28"/>
                <w:szCs w:val="28"/>
              </w:rPr>
              <w:t>萬人</w:t>
            </w:r>
            <w:r w:rsidRPr="00D55DC6">
              <w:rPr>
                <w:rFonts w:eastAsia="標楷體"/>
                <w:kern w:val="0"/>
                <w:sz w:val="28"/>
                <w:szCs w:val="28"/>
              </w:rPr>
              <w:t xml:space="preserve">) </w:t>
            </w:r>
          </w:p>
        </w:tc>
        <w:tc>
          <w:tcPr>
            <w:tcW w:w="865" w:type="dxa"/>
            <w:vAlign w:val="center"/>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57</w:t>
            </w:r>
          </w:p>
        </w:tc>
        <w:tc>
          <w:tcPr>
            <w:tcW w:w="868" w:type="dxa"/>
            <w:vAlign w:val="center"/>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90</w:t>
            </w:r>
          </w:p>
        </w:tc>
        <w:tc>
          <w:tcPr>
            <w:tcW w:w="1239" w:type="dxa"/>
            <w:vAlign w:val="center"/>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95</w:t>
            </w:r>
          </w:p>
        </w:tc>
        <w:tc>
          <w:tcPr>
            <w:tcW w:w="1239" w:type="dxa"/>
            <w:vAlign w:val="center"/>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100</w:t>
            </w:r>
          </w:p>
        </w:tc>
        <w:tc>
          <w:tcPr>
            <w:tcW w:w="1239" w:type="dxa"/>
            <w:vAlign w:val="center"/>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105</w:t>
            </w:r>
          </w:p>
        </w:tc>
        <w:tc>
          <w:tcPr>
            <w:tcW w:w="1240" w:type="dxa"/>
            <w:vAlign w:val="center"/>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110</w:t>
            </w:r>
          </w:p>
        </w:tc>
      </w:tr>
      <w:tr w:rsidR="001D0350" w:rsidRPr="00D55DC6" w:rsidTr="00FA7F7B">
        <w:trPr>
          <w:trHeight w:val="675"/>
        </w:trPr>
        <w:tc>
          <w:tcPr>
            <w:tcW w:w="425" w:type="dxa"/>
            <w:vAlign w:val="center"/>
          </w:tcPr>
          <w:p w:rsidR="00DF2F67" w:rsidRPr="00D55DC6" w:rsidRDefault="00DF2F67" w:rsidP="00FA7F7B">
            <w:pPr>
              <w:widowControl/>
              <w:spacing w:line="460" w:lineRule="exact"/>
              <w:jc w:val="center"/>
              <w:rPr>
                <w:rFonts w:eastAsia="標楷體"/>
                <w:kern w:val="0"/>
                <w:sz w:val="28"/>
                <w:szCs w:val="28"/>
              </w:rPr>
            </w:pPr>
            <w:r w:rsidRPr="00D55DC6">
              <w:rPr>
                <w:rFonts w:eastAsia="標楷體"/>
                <w:kern w:val="0"/>
                <w:sz w:val="28"/>
                <w:szCs w:val="28"/>
              </w:rPr>
              <w:t>3</w:t>
            </w:r>
          </w:p>
        </w:tc>
        <w:tc>
          <w:tcPr>
            <w:tcW w:w="2127" w:type="dxa"/>
            <w:vAlign w:val="center"/>
          </w:tcPr>
          <w:p w:rsidR="00DF2F67" w:rsidRPr="00D55DC6" w:rsidRDefault="00DF2F67" w:rsidP="00FA7F7B">
            <w:pPr>
              <w:widowControl/>
              <w:spacing w:line="460" w:lineRule="exact"/>
              <w:jc w:val="both"/>
              <w:rPr>
                <w:rFonts w:eastAsia="標楷體"/>
                <w:kern w:val="0"/>
                <w:sz w:val="28"/>
                <w:szCs w:val="28"/>
              </w:rPr>
            </w:pPr>
            <w:r w:rsidRPr="00D55DC6">
              <w:rPr>
                <w:rFonts w:eastAsia="標楷體"/>
                <w:kern w:val="0"/>
                <w:sz w:val="28"/>
                <w:szCs w:val="28"/>
              </w:rPr>
              <w:t>觀光產值</w:t>
            </w:r>
          </w:p>
        </w:tc>
        <w:tc>
          <w:tcPr>
            <w:tcW w:w="865" w:type="dxa"/>
            <w:vAlign w:val="center"/>
          </w:tcPr>
          <w:p w:rsidR="00DF2F67" w:rsidRPr="00D55DC6" w:rsidRDefault="00E6747C" w:rsidP="00FA7F7B">
            <w:pPr>
              <w:widowControl/>
              <w:spacing w:line="460" w:lineRule="exact"/>
              <w:jc w:val="center"/>
              <w:rPr>
                <w:rFonts w:eastAsia="標楷體"/>
                <w:kern w:val="0"/>
                <w:sz w:val="28"/>
                <w:szCs w:val="28"/>
              </w:rPr>
            </w:pPr>
            <w:r w:rsidRPr="00D55DC6">
              <w:rPr>
                <w:rFonts w:eastAsia="標楷體"/>
                <w:kern w:val="0"/>
                <w:sz w:val="28"/>
                <w:szCs w:val="28"/>
              </w:rPr>
              <w:t>11.58</w:t>
            </w:r>
          </w:p>
        </w:tc>
        <w:tc>
          <w:tcPr>
            <w:tcW w:w="868" w:type="dxa"/>
            <w:vAlign w:val="center"/>
          </w:tcPr>
          <w:p w:rsidR="00DF2F67" w:rsidRPr="00D55DC6" w:rsidRDefault="00E6747C" w:rsidP="00FA7F7B">
            <w:pPr>
              <w:widowControl/>
              <w:spacing w:line="460" w:lineRule="exact"/>
              <w:jc w:val="center"/>
              <w:rPr>
                <w:rFonts w:eastAsia="標楷體"/>
                <w:kern w:val="0"/>
                <w:sz w:val="28"/>
                <w:szCs w:val="28"/>
              </w:rPr>
            </w:pPr>
            <w:r w:rsidRPr="00D55DC6">
              <w:rPr>
                <w:rFonts w:eastAsia="標楷體"/>
                <w:kern w:val="0"/>
                <w:sz w:val="28"/>
                <w:szCs w:val="28"/>
              </w:rPr>
              <w:t>18.29</w:t>
            </w:r>
          </w:p>
        </w:tc>
        <w:tc>
          <w:tcPr>
            <w:tcW w:w="1239" w:type="dxa"/>
            <w:vAlign w:val="center"/>
          </w:tcPr>
          <w:p w:rsidR="00DF2F67" w:rsidRPr="00D55DC6" w:rsidRDefault="00E6747C" w:rsidP="00FA7F7B">
            <w:pPr>
              <w:widowControl/>
              <w:spacing w:line="460" w:lineRule="exact"/>
              <w:jc w:val="center"/>
              <w:rPr>
                <w:rFonts w:eastAsia="標楷體"/>
                <w:kern w:val="0"/>
                <w:sz w:val="28"/>
                <w:szCs w:val="28"/>
              </w:rPr>
            </w:pPr>
            <w:r w:rsidRPr="00D55DC6">
              <w:rPr>
                <w:rFonts w:eastAsia="標楷體"/>
                <w:kern w:val="0"/>
                <w:sz w:val="28"/>
                <w:szCs w:val="28"/>
              </w:rPr>
              <w:t>19.30</w:t>
            </w:r>
          </w:p>
        </w:tc>
        <w:tc>
          <w:tcPr>
            <w:tcW w:w="1239" w:type="dxa"/>
            <w:vAlign w:val="center"/>
          </w:tcPr>
          <w:p w:rsidR="00DF2F67" w:rsidRPr="00D55DC6" w:rsidRDefault="00E6747C" w:rsidP="00FA7F7B">
            <w:pPr>
              <w:widowControl/>
              <w:spacing w:line="460" w:lineRule="exact"/>
              <w:jc w:val="center"/>
              <w:rPr>
                <w:rFonts w:eastAsia="標楷體"/>
                <w:kern w:val="0"/>
                <w:sz w:val="28"/>
                <w:szCs w:val="28"/>
              </w:rPr>
            </w:pPr>
            <w:r w:rsidRPr="00D55DC6">
              <w:rPr>
                <w:rFonts w:eastAsia="標楷體"/>
                <w:kern w:val="0"/>
                <w:sz w:val="28"/>
                <w:szCs w:val="28"/>
              </w:rPr>
              <w:t>20.30</w:t>
            </w:r>
          </w:p>
        </w:tc>
        <w:tc>
          <w:tcPr>
            <w:tcW w:w="1239" w:type="dxa"/>
            <w:vAlign w:val="center"/>
          </w:tcPr>
          <w:p w:rsidR="00DF2F67" w:rsidRPr="00D55DC6" w:rsidRDefault="00E6747C" w:rsidP="00FA7F7B">
            <w:pPr>
              <w:widowControl/>
              <w:spacing w:line="460" w:lineRule="exact"/>
              <w:jc w:val="center"/>
              <w:rPr>
                <w:rFonts w:eastAsia="標楷體"/>
                <w:kern w:val="0"/>
                <w:sz w:val="28"/>
                <w:szCs w:val="28"/>
              </w:rPr>
            </w:pPr>
            <w:r w:rsidRPr="00D55DC6">
              <w:rPr>
                <w:rFonts w:eastAsia="標楷體"/>
                <w:kern w:val="0"/>
                <w:sz w:val="28"/>
                <w:szCs w:val="28"/>
              </w:rPr>
              <w:t>21.30</w:t>
            </w:r>
          </w:p>
        </w:tc>
        <w:tc>
          <w:tcPr>
            <w:tcW w:w="1240" w:type="dxa"/>
            <w:vAlign w:val="center"/>
          </w:tcPr>
          <w:p w:rsidR="00DF2F67" w:rsidRPr="00D55DC6" w:rsidRDefault="00E6747C" w:rsidP="00FA7F7B">
            <w:pPr>
              <w:widowControl/>
              <w:spacing w:line="460" w:lineRule="exact"/>
              <w:jc w:val="center"/>
              <w:rPr>
                <w:rFonts w:eastAsia="標楷體"/>
                <w:kern w:val="0"/>
                <w:sz w:val="28"/>
                <w:szCs w:val="28"/>
              </w:rPr>
            </w:pPr>
            <w:r w:rsidRPr="00D55DC6">
              <w:rPr>
                <w:rFonts w:eastAsia="標楷體"/>
                <w:kern w:val="0"/>
                <w:sz w:val="28"/>
                <w:szCs w:val="28"/>
              </w:rPr>
              <w:t>22.36</w:t>
            </w:r>
          </w:p>
        </w:tc>
      </w:tr>
      <w:tr w:rsidR="001D0350" w:rsidRPr="00D55DC6" w:rsidTr="00FA7F7B">
        <w:trPr>
          <w:trHeight w:val="675"/>
        </w:trPr>
        <w:tc>
          <w:tcPr>
            <w:tcW w:w="425" w:type="dxa"/>
            <w:vAlign w:val="center"/>
          </w:tcPr>
          <w:p w:rsidR="00E6747C" w:rsidRPr="00D55DC6" w:rsidRDefault="00E6747C" w:rsidP="00FA7F7B">
            <w:pPr>
              <w:widowControl/>
              <w:spacing w:line="460" w:lineRule="exact"/>
              <w:jc w:val="center"/>
              <w:rPr>
                <w:rFonts w:eastAsia="標楷體"/>
                <w:kern w:val="0"/>
                <w:sz w:val="28"/>
                <w:szCs w:val="28"/>
              </w:rPr>
            </w:pPr>
            <w:r w:rsidRPr="00D55DC6">
              <w:rPr>
                <w:rFonts w:eastAsia="標楷體"/>
                <w:kern w:val="0"/>
                <w:sz w:val="28"/>
                <w:szCs w:val="28"/>
              </w:rPr>
              <w:t>4</w:t>
            </w:r>
          </w:p>
        </w:tc>
        <w:tc>
          <w:tcPr>
            <w:tcW w:w="2127" w:type="dxa"/>
            <w:vAlign w:val="center"/>
          </w:tcPr>
          <w:p w:rsidR="00E6747C" w:rsidRPr="00D55DC6" w:rsidRDefault="00E6747C" w:rsidP="00FA7F7B">
            <w:pPr>
              <w:widowControl/>
              <w:spacing w:line="460" w:lineRule="exact"/>
              <w:jc w:val="both"/>
              <w:rPr>
                <w:rFonts w:eastAsia="標楷體"/>
                <w:kern w:val="0"/>
                <w:sz w:val="28"/>
                <w:szCs w:val="28"/>
              </w:rPr>
            </w:pPr>
            <w:r w:rsidRPr="00D55DC6">
              <w:rPr>
                <w:rFonts w:eastAsia="標楷體"/>
                <w:kern w:val="0"/>
                <w:sz w:val="28"/>
                <w:szCs w:val="28"/>
              </w:rPr>
              <w:t>性別友善設施完成數</w:t>
            </w:r>
            <w:r w:rsidRPr="00D55DC6">
              <w:rPr>
                <w:rFonts w:eastAsia="標楷體"/>
                <w:kern w:val="0"/>
                <w:sz w:val="28"/>
                <w:szCs w:val="28"/>
              </w:rPr>
              <w:t>(</w:t>
            </w:r>
            <w:r w:rsidRPr="00D55DC6">
              <w:rPr>
                <w:rFonts w:eastAsia="標楷體"/>
                <w:kern w:val="0"/>
                <w:sz w:val="28"/>
                <w:szCs w:val="28"/>
              </w:rPr>
              <w:t>處</w:t>
            </w:r>
            <w:r w:rsidRPr="00D55DC6">
              <w:rPr>
                <w:rFonts w:eastAsia="標楷體"/>
                <w:kern w:val="0"/>
                <w:sz w:val="28"/>
                <w:szCs w:val="28"/>
              </w:rPr>
              <w:t>)</w:t>
            </w:r>
          </w:p>
        </w:tc>
        <w:tc>
          <w:tcPr>
            <w:tcW w:w="865" w:type="dxa"/>
            <w:vAlign w:val="center"/>
          </w:tcPr>
          <w:p w:rsidR="00E6747C" w:rsidRPr="00D55DC6" w:rsidRDefault="00E852D0" w:rsidP="00FA7F7B">
            <w:pPr>
              <w:widowControl/>
              <w:spacing w:line="460" w:lineRule="exact"/>
              <w:jc w:val="center"/>
              <w:rPr>
                <w:rFonts w:eastAsia="標楷體"/>
                <w:kern w:val="0"/>
                <w:sz w:val="28"/>
                <w:szCs w:val="28"/>
              </w:rPr>
            </w:pPr>
            <w:r w:rsidRPr="00D55DC6">
              <w:rPr>
                <w:rFonts w:eastAsia="標楷體"/>
                <w:kern w:val="0"/>
                <w:sz w:val="28"/>
                <w:szCs w:val="28"/>
              </w:rPr>
              <w:t>0</w:t>
            </w:r>
          </w:p>
        </w:tc>
        <w:tc>
          <w:tcPr>
            <w:tcW w:w="868" w:type="dxa"/>
            <w:vAlign w:val="center"/>
          </w:tcPr>
          <w:p w:rsidR="00E6747C" w:rsidRPr="00D55DC6" w:rsidRDefault="00E852D0" w:rsidP="00FA7F7B">
            <w:pPr>
              <w:widowControl/>
              <w:spacing w:line="460" w:lineRule="exact"/>
              <w:jc w:val="center"/>
              <w:rPr>
                <w:rFonts w:eastAsia="標楷體"/>
                <w:kern w:val="0"/>
                <w:sz w:val="28"/>
                <w:szCs w:val="28"/>
              </w:rPr>
            </w:pPr>
            <w:r w:rsidRPr="00D55DC6">
              <w:rPr>
                <w:rFonts w:eastAsia="標楷體"/>
                <w:kern w:val="0"/>
                <w:sz w:val="28"/>
                <w:szCs w:val="28"/>
              </w:rPr>
              <w:t>0</w:t>
            </w:r>
          </w:p>
        </w:tc>
        <w:tc>
          <w:tcPr>
            <w:tcW w:w="1239" w:type="dxa"/>
            <w:vAlign w:val="center"/>
          </w:tcPr>
          <w:p w:rsidR="00E6747C" w:rsidRPr="00D55DC6" w:rsidRDefault="00E852D0" w:rsidP="00FA7F7B">
            <w:pPr>
              <w:widowControl/>
              <w:spacing w:line="460" w:lineRule="exact"/>
              <w:jc w:val="center"/>
              <w:rPr>
                <w:rFonts w:eastAsia="標楷體"/>
                <w:kern w:val="0"/>
                <w:sz w:val="28"/>
                <w:szCs w:val="28"/>
              </w:rPr>
            </w:pPr>
            <w:r w:rsidRPr="00D55DC6">
              <w:rPr>
                <w:rFonts w:eastAsia="標楷體"/>
                <w:kern w:val="0"/>
                <w:sz w:val="28"/>
                <w:szCs w:val="28"/>
              </w:rPr>
              <w:t>2</w:t>
            </w:r>
          </w:p>
        </w:tc>
        <w:tc>
          <w:tcPr>
            <w:tcW w:w="1239" w:type="dxa"/>
            <w:vAlign w:val="center"/>
          </w:tcPr>
          <w:p w:rsidR="00E6747C" w:rsidRPr="00D55DC6" w:rsidRDefault="00E852D0" w:rsidP="00FA7F7B">
            <w:pPr>
              <w:widowControl/>
              <w:spacing w:line="460" w:lineRule="exact"/>
              <w:jc w:val="center"/>
              <w:rPr>
                <w:rFonts w:eastAsia="標楷體"/>
                <w:kern w:val="0"/>
                <w:sz w:val="28"/>
                <w:szCs w:val="28"/>
              </w:rPr>
            </w:pPr>
            <w:r w:rsidRPr="00D55DC6">
              <w:rPr>
                <w:rFonts w:eastAsia="標楷體"/>
                <w:kern w:val="0"/>
                <w:sz w:val="28"/>
                <w:szCs w:val="28"/>
              </w:rPr>
              <w:t>2</w:t>
            </w:r>
          </w:p>
        </w:tc>
        <w:tc>
          <w:tcPr>
            <w:tcW w:w="1239" w:type="dxa"/>
            <w:vAlign w:val="center"/>
          </w:tcPr>
          <w:p w:rsidR="00E6747C" w:rsidRPr="00D55DC6" w:rsidRDefault="00E852D0" w:rsidP="00FA7F7B">
            <w:pPr>
              <w:widowControl/>
              <w:spacing w:line="460" w:lineRule="exact"/>
              <w:jc w:val="center"/>
              <w:rPr>
                <w:rFonts w:eastAsia="標楷體"/>
                <w:kern w:val="0"/>
                <w:sz w:val="28"/>
                <w:szCs w:val="28"/>
              </w:rPr>
            </w:pPr>
            <w:r w:rsidRPr="00D55DC6">
              <w:rPr>
                <w:rFonts w:eastAsia="標楷體"/>
                <w:kern w:val="0"/>
                <w:sz w:val="28"/>
                <w:szCs w:val="28"/>
              </w:rPr>
              <w:t>2</w:t>
            </w:r>
          </w:p>
        </w:tc>
        <w:tc>
          <w:tcPr>
            <w:tcW w:w="1240" w:type="dxa"/>
            <w:vAlign w:val="center"/>
          </w:tcPr>
          <w:p w:rsidR="00E6747C" w:rsidRPr="00D55DC6" w:rsidRDefault="00E852D0" w:rsidP="00FA7F7B">
            <w:pPr>
              <w:widowControl/>
              <w:spacing w:line="460" w:lineRule="exact"/>
              <w:jc w:val="center"/>
              <w:rPr>
                <w:rFonts w:eastAsia="標楷體"/>
                <w:kern w:val="0"/>
                <w:sz w:val="28"/>
                <w:szCs w:val="28"/>
              </w:rPr>
            </w:pPr>
            <w:r w:rsidRPr="00D55DC6">
              <w:rPr>
                <w:rFonts w:eastAsia="標楷體"/>
                <w:kern w:val="0"/>
                <w:sz w:val="28"/>
                <w:szCs w:val="28"/>
              </w:rPr>
              <w:t>2</w:t>
            </w:r>
          </w:p>
        </w:tc>
      </w:tr>
      <w:tr w:rsidR="002F5D4E" w:rsidRPr="00D55DC6" w:rsidTr="00FA7F7B">
        <w:trPr>
          <w:trHeight w:val="675"/>
        </w:trPr>
        <w:tc>
          <w:tcPr>
            <w:tcW w:w="425" w:type="dxa"/>
            <w:vAlign w:val="center"/>
          </w:tcPr>
          <w:p w:rsidR="002F5D4E" w:rsidRPr="00D55DC6" w:rsidRDefault="002F5D4E" w:rsidP="00FA7F7B">
            <w:pPr>
              <w:widowControl/>
              <w:spacing w:line="460" w:lineRule="exact"/>
              <w:jc w:val="center"/>
              <w:rPr>
                <w:rFonts w:eastAsia="標楷體"/>
                <w:kern w:val="0"/>
                <w:sz w:val="28"/>
                <w:szCs w:val="28"/>
              </w:rPr>
            </w:pPr>
            <w:r w:rsidRPr="00D55DC6">
              <w:rPr>
                <w:rFonts w:eastAsia="標楷體"/>
                <w:kern w:val="0"/>
                <w:sz w:val="28"/>
                <w:szCs w:val="28"/>
              </w:rPr>
              <w:lastRenderedPageBreak/>
              <w:t>5</w:t>
            </w:r>
          </w:p>
        </w:tc>
        <w:tc>
          <w:tcPr>
            <w:tcW w:w="2127" w:type="dxa"/>
            <w:vAlign w:val="center"/>
          </w:tcPr>
          <w:p w:rsidR="002F5D4E" w:rsidRPr="00D55DC6" w:rsidRDefault="005C51C2" w:rsidP="00FA7F7B">
            <w:pPr>
              <w:widowControl/>
              <w:spacing w:line="460" w:lineRule="exact"/>
              <w:jc w:val="both"/>
              <w:rPr>
                <w:rFonts w:eastAsia="標楷體"/>
                <w:kern w:val="0"/>
                <w:sz w:val="28"/>
                <w:szCs w:val="28"/>
              </w:rPr>
            </w:pPr>
            <w:r w:rsidRPr="00D55DC6">
              <w:rPr>
                <w:rFonts w:eastAsia="標楷體"/>
                <w:kern w:val="0"/>
                <w:sz w:val="28"/>
                <w:szCs w:val="28"/>
              </w:rPr>
              <w:t>轄區經管設施公共意外責任險確</w:t>
            </w:r>
            <w:r w:rsidRPr="00D55DC6">
              <w:rPr>
                <w:rFonts w:eastAsia="標楷體" w:hint="eastAsia"/>
                <w:kern w:val="0"/>
                <w:sz w:val="28"/>
                <w:szCs w:val="28"/>
              </w:rPr>
              <w:t>定</w:t>
            </w:r>
            <w:r w:rsidR="002F5D4E" w:rsidRPr="00D55DC6">
              <w:rPr>
                <w:rFonts w:eastAsia="標楷體"/>
                <w:kern w:val="0"/>
                <w:sz w:val="28"/>
                <w:szCs w:val="28"/>
              </w:rPr>
              <w:t>理賠件數上限（件）</w:t>
            </w:r>
          </w:p>
        </w:tc>
        <w:tc>
          <w:tcPr>
            <w:tcW w:w="865" w:type="dxa"/>
            <w:vAlign w:val="center"/>
          </w:tcPr>
          <w:p w:rsidR="002F5D4E" w:rsidRPr="00D55DC6" w:rsidRDefault="002F5D4E">
            <w:pPr>
              <w:jc w:val="center"/>
              <w:rPr>
                <w:rFonts w:ascii="新細明體" w:hAnsi="新細明體" w:cs="新細明體"/>
                <w:sz w:val="28"/>
              </w:rPr>
            </w:pPr>
            <w:r w:rsidRPr="00D55DC6">
              <w:rPr>
                <w:rFonts w:hint="eastAsia"/>
                <w:sz w:val="28"/>
              </w:rPr>
              <w:t>-</w:t>
            </w:r>
          </w:p>
        </w:tc>
        <w:tc>
          <w:tcPr>
            <w:tcW w:w="868" w:type="dxa"/>
            <w:vAlign w:val="center"/>
          </w:tcPr>
          <w:p w:rsidR="002F5D4E" w:rsidRPr="00D55DC6" w:rsidRDefault="002F5D4E">
            <w:pPr>
              <w:jc w:val="center"/>
              <w:rPr>
                <w:rFonts w:ascii="新細明體" w:hAnsi="新細明體" w:cs="新細明體"/>
                <w:sz w:val="28"/>
              </w:rPr>
            </w:pPr>
            <w:r w:rsidRPr="00D55DC6">
              <w:rPr>
                <w:rFonts w:hint="eastAsia"/>
                <w:sz w:val="28"/>
              </w:rPr>
              <w:t>-</w:t>
            </w:r>
          </w:p>
        </w:tc>
        <w:tc>
          <w:tcPr>
            <w:tcW w:w="1239" w:type="dxa"/>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2</w:t>
            </w:r>
          </w:p>
        </w:tc>
        <w:tc>
          <w:tcPr>
            <w:tcW w:w="1239" w:type="dxa"/>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2</w:t>
            </w:r>
          </w:p>
        </w:tc>
        <w:tc>
          <w:tcPr>
            <w:tcW w:w="1239" w:type="dxa"/>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2</w:t>
            </w:r>
          </w:p>
        </w:tc>
        <w:tc>
          <w:tcPr>
            <w:tcW w:w="1240" w:type="dxa"/>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2</w:t>
            </w:r>
          </w:p>
        </w:tc>
      </w:tr>
    </w:tbl>
    <w:p w:rsidR="00DB729E" w:rsidRPr="00D55DC6" w:rsidRDefault="00DB729E" w:rsidP="00DF2F67">
      <w:pPr>
        <w:snapToGrid w:val="0"/>
        <w:spacing w:line="460" w:lineRule="exact"/>
        <w:ind w:leftChars="296" w:left="1802" w:hangingChars="390" w:hanging="1092"/>
        <w:jc w:val="both"/>
        <w:rPr>
          <w:rFonts w:eastAsia="標楷體"/>
          <w:sz w:val="28"/>
          <w:szCs w:val="28"/>
        </w:rPr>
      </w:pPr>
    </w:p>
    <w:p w:rsidR="00DF2F67" w:rsidRPr="00D55DC6" w:rsidRDefault="00DF2F67" w:rsidP="00DF2F67">
      <w:pPr>
        <w:pStyle w:val="a"/>
        <w:ind w:left="709" w:hanging="709"/>
        <w:rPr>
          <w:b/>
        </w:rPr>
      </w:pPr>
      <w:bookmarkStart w:id="147" w:name="_Toc407181714"/>
      <w:r w:rsidRPr="00D55DC6">
        <w:rPr>
          <w:b/>
        </w:rPr>
        <w:t>現行相關政策及方案之檢討</w:t>
      </w:r>
      <w:bookmarkEnd w:id="147"/>
    </w:p>
    <w:p w:rsidR="00DF2F67" w:rsidRPr="00D55DC6" w:rsidRDefault="00DF2F67" w:rsidP="004865C1">
      <w:pPr>
        <w:pStyle w:val="33"/>
        <w:numPr>
          <w:ilvl w:val="0"/>
          <w:numId w:val="151"/>
        </w:numPr>
        <w:snapToGrid w:val="0"/>
        <w:spacing w:line="460" w:lineRule="exact"/>
        <w:ind w:leftChars="0"/>
        <w:jc w:val="both"/>
        <w:rPr>
          <w:rFonts w:eastAsia="標楷體"/>
          <w:sz w:val="28"/>
          <w:szCs w:val="28"/>
        </w:rPr>
      </w:pPr>
      <w:r w:rsidRPr="00D55DC6">
        <w:rPr>
          <w:rFonts w:eastAsia="標楷體"/>
          <w:b/>
          <w:sz w:val="28"/>
          <w:szCs w:val="28"/>
        </w:rPr>
        <w:t>重要觀光景點建設中程計畫</w:t>
      </w:r>
      <w:r w:rsidRPr="00D55DC6">
        <w:rPr>
          <w:rFonts w:eastAsia="標楷體"/>
          <w:b/>
          <w:sz w:val="28"/>
          <w:szCs w:val="28"/>
        </w:rPr>
        <w:t>(101-104</w:t>
      </w:r>
      <w:r w:rsidRPr="00D55DC6">
        <w:rPr>
          <w:rFonts w:eastAsia="標楷體"/>
          <w:b/>
          <w:sz w:val="28"/>
          <w:szCs w:val="28"/>
        </w:rPr>
        <w:t>年</w:t>
      </w:r>
      <w:r w:rsidRPr="00D55DC6">
        <w:rPr>
          <w:rFonts w:eastAsia="標楷體"/>
          <w:b/>
          <w:sz w:val="28"/>
          <w:szCs w:val="28"/>
        </w:rPr>
        <w:t>)</w:t>
      </w:r>
      <w:r w:rsidRPr="00D55DC6">
        <w:rPr>
          <w:rFonts w:eastAsia="標楷體"/>
          <w:sz w:val="28"/>
          <w:szCs w:val="28"/>
        </w:rPr>
        <w:t>(</w:t>
      </w:r>
      <w:r w:rsidRPr="00D55DC6">
        <w:rPr>
          <w:rFonts w:eastAsia="標楷體"/>
          <w:sz w:val="28"/>
          <w:szCs w:val="28"/>
        </w:rPr>
        <w:t>截至</w:t>
      </w:r>
      <w:r w:rsidRPr="00D55DC6">
        <w:rPr>
          <w:rFonts w:eastAsia="標楷體"/>
          <w:sz w:val="28"/>
          <w:szCs w:val="28"/>
        </w:rPr>
        <w:t>103</w:t>
      </w:r>
      <w:r w:rsidRPr="00D55DC6">
        <w:rPr>
          <w:rFonts w:eastAsia="標楷體"/>
          <w:sz w:val="28"/>
          <w:szCs w:val="28"/>
        </w:rPr>
        <w:t>年</w:t>
      </w:r>
      <w:r w:rsidRPr="00D55DC6">
        <w:rPr>
          <w:rFonts w:eastAsia="標楷體"/>
          <w:sz w:val="28"/>
          <w:szCs w:val="28"/>
        </w:rPr>
        <w:t>1</w:t>
      </w:r>
      <w:r w:rsidR="00B72F30" w:rsidRPr="00D55DC6">
        <w:rPr>
          <w:rFonts w:eastAsia="標楷體"/>
          <w:sz w:val="28"/>
          <w:szCs w:val="28"/>
        </w:rPr>
        <w:t>2</w:t>
      </w:r>
      <w:r w:rsidRPr="00D55DC6">
        <w:rPr>
          <w:rFonts w:eastAsia="標楷體"/>
          <w:sz w:val="28"/>
          <w:szCs w:val="28"/>
        </w:rPr>
        <w:t>月底成果</w:t>
      </w:r>
      <w:r w:rsidRPr="00D55DC6">
        <w:rPr>
          <w:rFonts w:eastAsia="標楷體"/>
          <w:sz w:val="28"/>
          <w:szCs w:val="28"/>
        </w:rPr>
        <w:t>)</w:t>
      </w:r>
    </w:p>
    <w:p w:rsidR="00DF2F67" w:rsidRPr="00D55DC6" w:rsidRDefault="00DF2F67" w:rsidP="004865C1">
      <w:pPr>
        <w:pStyle w:val="33"/>
        <w:numPr>
          <w:ilvl w:val="0"/>
          <w:numId w:val="152"/>
        </w:numPr>
        <w:snapToGrid w:val="0"/>
        <w:spacing w:line="460" w:lineRule="exact"/>
        <w:ind w:leftChars="0"/>
        <w:jc w:val="both"/>
        <w:rPr>
          <w:rFonts w:eastAsia="標楷體"/>
          <w:b/>
          <w:sz w:val="28"/>
          <w:szCs w:val="28"/>
        </w:rPr>
      </w:pPr>
      <w:r w:rsidRPr="00D55DC6">
        <w:rPr>
          <w:rFonts w:eastAsia="標楷體"/>
          <w:b/>
          <w:sz w:val="28"/>
          <w:szCs w:val="28"/>
        </w:rPr>
        <w:t>預算執行情形</w:t>
      </w:r>
      <w:r w:rsidRPr="00D55DC6">
        <w:rPr>
          <w:rFonts w:eastAsia="標楷體"/>
          <w:b/>
          <w:sz w:val="28"/>
          <w:szCs w:val="28"/>
        </w:rPr>
        <w:t xml:space="preserve">     </w:t>
      </w:r>
      <w:r w:rsidR="00E6747C" w:rsidRPr="00D55DC6">
        <w:rPr>
          <w:rFonts w:eastAsia="標楷體"/>
          <w:b/>
          <w:sz w:val="28"/>
          <w:szCs w:val="28"/>
        </w:rPr>
        <w:t xml:space="preserve">                            </w:t>
      </w:r>
      <w:r w:rsidRPr="00D55DC6">
        <w:rPr>
          <w:rFonts w:eastAsia="標楷體"/>
          <w:b/>
          <w:sz w:val="28"/>
          <w:szCs w:val="28"/>
        </w:rPr>
        <w:t>單位</w:t>
      </w:r>
      <w:r w:rsidRPr="00D55DC6">
        <w:rPr>
          <w:b/>
          <w:sz w:val="28"/>
          <w:szCs w:val="28"/>
        </w:rPr>
        <w:t>：</w:t>
      </w:r>
      <w:r w:rsidR="00E6747C" w:rsidRPr="00D55DC6">
        <w:rPr>
          <w:rFonts w:eastAsia="標楷體"/>
          <w:b/>
          <w:sz w:val="28"/>
          <w:szCs w:val="28"/>
        </w:rPr>
        <w:t>億</w:t>
      </w:r>
      <w:r w:rsidRPr="00D55DC6">
        <w:rPr>
          <w:rFonts w:eastAsia="標楷體"/>
          <w:b/>
          <w:sz w:val="28"/>
          <w:szCs w:val="28"/>
        </w:rPr>
        <w:t>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3"/>
        <w:gridCol w:w="1701"/>
        <w:gridCol w:w="1701"/>
        <w:gridCol w:w="1951"/>
      </w:tblGrid>
      <w:tr w:rsidR="001D0350" w:rsidRPr="00D55DC6" w:rsidTr="00FA7F7B">
        <w:tc>
          <w:tcPr>
            <w:tcW w:w="3513" w:type="dxa"/>
            <w:vAlign w:val="center"/>
          </w:tcPr>
          <w:p w:rsidR="00DF2F67" w:rsidRPr="00D55DC6" w:rsidRDefault="00DF2F67" w:rsidP="00FA7F7B">
            <w:pPr>
              <w:snapToGrid w:val="0"/>
              <w:spacing w:line="460" w:lineRule="exact"/>
              <w:jc w:val="center"/>
              <w:rPr>
                <w:rFonts w:eastAsia="標楷體"/>
                <w:szCs w:val="28"/>
              </w:rPr>
            </w:pPr>
            <w:r w:rsidRPr="00D55DC6">
              <w:rPr>
                <w:rFonts w:eastAsia="標楷體"/>
                <w:szCs w:val="28"/>
              </w:rPr>
              <w:t>計畫名稱</w:t>
            </w:r>
          </w:p>
        </w:tc>
        <w:tc>
          <w:tcPr>
            <w:tcW w:w="1701" w:type="dxa"/>
          </w:tcPr>
          <w:p w:rsidR="00DF2F67" w:rsidRPr="00D55DC6" w:rsidRDefault="00DF2F67" w:rsidP="00FA7F7B">
            <w:pPr>
              <w:snapToGrid w:val="0"/>
              <w:spacing w:line="460" w:lineRule="exact"/>
              <w:jc w:val="center"/>
              <w:rPr>
                <w:rFonts w:eastAsia="標楷體"/>
                <w:szCs w:val="28"/>
              </w:rPr>
            </w:pPr>
            <w:r w:rsidRPr="00D55DC6">
              <w:rPr>
                <w:rFonts w:eastAsia="標楷體"/>
                <w:szCs w:val="28"/>
              </w:rPr>
              <w:t>總累計編列數</w:t>
            </w:r>
            <w:r w:rsidRPr="00D55DC6">
              <w:rPr>
                <w:rFonts w:eastAsia="標楷體"/>
                <w:szCs w:val="28"/>
              </w:rPr>
              <w:t>(A)</w:t>
            </w:r>
          </w:p>
        </w:tc>
        <w:tc>
          <w:tcPr>
            <w:tcW w:w="1701" w:type="dxa"/>
          </w:tcPr>
          <w:p w:rsidR="00DF2F67" w:rsidRPr="00D55DC6" w:rsidRDefault="00DF2F67" w:rsidP="00FA7F7B">
            <w:pPr>
              <w:snapToGrid w:val="0"/>
              <w:spacing w:line="460" w:lineRule="exact"/>
              <w:jc w:val="center"/>
              <w:rPr>
                <w:rFonts w:eastAsia="標楷體"/>
                <w:szCs w:val="28"/>
              </w:rPr>
            </w:pPr>
            <w:r w:rsidRPr="00D55DC6">
              <w:rPr>
                <w:rFonts w:eastAsia="標楷體"/>
                <w:szCs w:val="28"/>
              </w:rPr>
              <w:t>總累計實支數</w:t>
            </w:r>
            <w:r w:rsidRPr="00D55DC6">
              <w:rPr>
                <w:rFonts w:eastAsia="標楷體"/>
                <w:szCs w:val="28"/>
              </w:rPr>
              <w:t>(B)</w:t>
            </w:r>
          </w:p>
        </w:tc>
        <w:tc>
          <w:tcPr>
            <w:tcW w:w="1951" w:type="dxa"/>
          </w:tcPr>
          <w:p w:rsidR="00DF2F67" w:rsidRPr="00D55DC6" w:rsidRDefault="00DF2F67" w:rsidP="00FA7F7B">
            <w:pPr>
              <w:snapToGrid w:val="0"/>
              <w:spacing w:line="460" w:lineRule="exact"/>
              <w:jc w:val="center"/>
              <w:rPr>
                <w:rFonts w:eastAsia="標楷體"/>
                <w:szCs w:val="28"/>
              </w:rPr>
            </w:pPr>
            <w:r w:rsidRPr="00D55DC6">
              <w:rPr>
                <w:rFonts w:eastAsia="標楷體"/>
                <w:szCs w:val="28"/>
              </w:rPr>
              <w:t>支用比</w:t>
            </w:r>
          </w:p>
          <w:p w:rsidR="00DF2F67" w:rsidRPr="00D55DC6" w:rsidRDefault="00DF2F67" w:rsidP="00FA7F7B">
            <w:pPr>
              <w:snapToGrid w:val="0"/>
              <w:spacing w:line="460" w:lineRule="exact"/>
              <w:jc w:val="center"/>
              <w:rPr>
                <w:rFonts w:eastAsia="標楷體"/>
                <w:szCs w:val="28"/>
              </w:rPr>
            </w:pPr>
            <w:r w:rsidRPr="00D55DC6">
              <w:rPr>
                <w:rFonts w:eastAsia="標楷體"/>
                <w:szCs w:val="28"/>
              </w:rPr>
              <w:t>(B/A%)</w:t>
            </w:r>
          </w:p>
        </w:tc>
      </w:tr>
      <w:tr w:rsidR="001D0350" w:rsidRPr="00D55DC6" w:rsidTr="002A3B8B">
        <w:tc>
          <w:tcPr>
            <w:tcW w:w="3513" w:type="dxa"/>
            <w:vAlign w:val="center"/>
          </w:tcPr>
          <w:p w:rsidR="00C25C2C" w:rsidRPr="00D55DC6" w:rsidRDefault="00C25C2C" w:rsidP="00FA7F7B">
            <w:pPr>
              <w:widowControl/>
              <w:adjustRightInd w:val="0"/>
              <w:snapToGrid w:val="0"/>
              <w:rPr>
                <w:rFonts w:eastAsia="標楷體"/>
                <w:kern w:val="0"/>
                <w:lang w:bidi="sa-IN"/>
              </w:rPr>
            </w:pPr>
            <w:r w:rsidRPr="00D55DC6">
              <w:rPr>
                <w:rFonts w:eastAsia="標楷體"/>
                <w:kern w:val="0"/>
                <w:lang w:bidi="sa-IN"/>
              </w:rPr>
              <w:t>大鵬灣國家風景區建設計畫</w:t>
            </w:r>
          </w:p>
        </w:tc>
        <w:tc>
          <w:tcPr>
            <w:tcW w:w="1701" w:type="dxa"/>
          </w:tcPr>
          <w:p w:rsidR="00C25C2C" w:rsidRPr="00D55DC6" w:rsidRDefault="00C25C2C">
            <w:pPr>
              <w:jc w:val="center"/>
            </w:pPr>
            <w:r w:rsidRPr="00D55DC6">
              <w:t xml:space="preserve">7.29404 </w:t>
            </w:r>
          </w:p>
        </w:tc>
        <w:tc>
          <w:tcPr>
            <w:tcW w:w="1701" w:type="dxa"/>
          </w:tcPr>
          <w:p w:rsidR="00C25C2C" w:rsidRPr="00D55DC6" w:rsidRDefault="00C25C2C">
            <w:pPr>
              <w:jc w:val="center"/>
            </w:pPr>
            <w:r w:rsidRPr="00D55DC6">
              <w:t xml:space="preserve">7.29404 </w:t>
            </w:r>
          </w:p>
        </w:tc>
        <w:tc>
          <w:tcPr>
            <w:tcW w:w="1951" w:type="dxa"/>
          </w:tcPr>
          <w:p w:rsidR="00C25C2C" w:rsidRPr="00D55DC6" w:rsidRDefault="00C25C2C">
            <w:pPr>
              <w:jc w:val="center"/>
            </w:pPr>
            <w:r w:rsidRPr="00D55DC6">
              <w:t>100.00%</w:t>
            </w:r>
          </w:p>
        </w:tc>
      </w:tr>
    </w:tbl>
    <w:p w:rsidR="00DF2F67" w:rsidRPr="00D55DC6" w:rsidRDefault="00DF2F67" w:rsidP="00DF2F67">
      <w:pPr>
        <w:adjustRightInd w:val="0"/>
        <w:snapToGrid w:val="0"/>
        <w:ind w:leftChars="295" w:left="1315" w:hangingChars="253" w:hanging="607"/>
        <w:jc w:val="both"/>
        <w:rPr>
          <w:rFonts w:eastAsia="標楷體"/>
          <w:szCs w:val="28"/>
        </w:rPr>
      </w:pPr>
      <w:r w:rsidRPr="00D55DC6">
        <w:rPr>
          <w:rFonts w:eastAsia="標楷體"/>
          <w:szCs w:val="28"/>
        </w:rPr>
        <w:t>註</w:t>
      </w:r>
      <w:r w:rsidRPr="00D55DC6">
        <w:rPr>
          <w:rFonts w:eastAsia="標楷體"/>
          <w:szCs w:val="28"/>
        </w:rPr>
        <w:t>1.</w:t>
      </w:r>
      <w:r w:rsidRPr="00D55DC6">
        <w:rPr>
          <w:rFonts w:eastAsia="標楷體"/>
          <w:szCs w:val="28"/>
        </w:rPr>
        <w:t>「總累計編列數</w:t>
      </w:r>
      <w:r w:rsidRPr="00D55DC6">
        <w:rPr>
          <w:rFonts w:eastAsia="標楷體"/>
          <w:szCs w:val="28"/>
        </w:rPr>
        <w:t>(A)</w:t>
      </w:r>
      <w:r w:rsidRPr="00D55DC6">
        <w:rPr>
          <w:rFonts w:eastAsia="標楷體"/>
          <w:szCs w:val="28"/>
        </w:rPr>
        <w:t>」為</w:t>
      </w:r>
      <w:r w:rsidRPr="00D55DC6">
        <w:rPr>
          <w:rFonts w:eastAsia="標楷體"/>
          <w:szCs w:val="28"/>
        </w:rPr>
        <w:t>101</w:t>
      </w:r>
      <w:r w:rsidRPr="00D55DC6">
        <w:rPr>
          <w:rFonts w:eastAsia="標楷體"/>
          <w:szCs w:val="28"/>
        </w:rPr>
        <w:t>年</w:t>
      </w:r>
      <w:r w:rsidRPr="00D55DC6">
        <w:rPr>
          <w:rFonts w:eastAsia="標楷體"/>
          <w:szCs w:val="28"/>
        </w:rPr>
        <w:t>1</w:t>
      </w:r>
      <w:r w:rsidRPr="00D55DC6">
        <w:rPr>
          <w:rFonts w:eastAsia="標楷體"/>
          <w:szCs w:val="28"/>
        </w:rPr>
        <w:t>月至</w:t>
      </w:r>
      <w:r w:rsidRPr="00D55DC6">
        <w:rPr>
          <w:rFonts w:eastAsia="標楷體"/>
          <w:szCs w:val="28"/>
        </w:rPr>
        <w:t>103</w:t>
      </w:r>
      <w:r w:rsidRPr="00D55DC6">
        <w:rPr>
          <w:rFonts w:eastAsia="標楷體"/>
          <w:szCs w:val="28"/>
        </w:rPr>
        <w:t>年</w:t>
      </w:r>
      <w:r w:rsidRPr="00D55DC6">
        <w:rPr>
          <w:rFonts w:eastAsia="標楷體"/>
          <w:szCs w:val="28"/>
        </w:rPr>
        <w:t>1</w:t>
      </w:r>
      <w:r w:rsidR="00B72F30" w:rsidRPr="00D55DC6">
        <w:rPr>
          <w:rFonts w:eastAsia="標楷體"/>
          <w:szCs w:val="28"/>
        </w:rPr>
        <w:t>2</w:t>
      </w:r>
      <w:r w:rsidRPr="00D55DC6">
        <w:rPr>
          <w:rFonts w:eastAsia="標楷體"/>
          <w:szCs w:val="28"/>
        </w:rPr>
        <w:t>月累計實際可支用數。</w:t>
      </w:r>
    </w:p>
    <w:p w:rsidR="00DF2F67" w:rsidRPr="00D55DC6" w:rsidRDefault="00DF2F67" w:rsidP="00DF2F67">
      <w:pPr>
        <w:adjustRightInd w:val="0"/>
        <w:snapToGrid w:val="0"/>
        <w:ind w:leftChars="414" w:left="995" w:hanging="1"/>
        <w:jc w:val="both"/>
        <w:rPr>
          <w:rFonts w:eastAsia="標楷體"/>
          <w:szCs w:val="28"/>
        </w:rPr>
      </w:pPr>
      <w:r w:rsidRPr="00D55DC6">
        <w:rPr>
          <w:rFonts w:eastAsia="標楷體"/>
          <w:szCs w:val="28"/>
        </w:rPr>
        <w:t>2.</w:t>
      </w:r>
      <w:r w:rsidRPr="00D55DC6">
        <w:rPr>
          <w:rFonts w:eastAsia="標楷體"/>
          <w:szCs w:val="28"/>
        </w:rPr>
        <w:t>「總累計實支數</w:t>
      </w:r>
      <w:r w:rsidRPr="00D55DC6">
        <w:rPr>
          <w:rFonts w:eastAsia="標楷體"/>
          <w:szCs w:val="28"/>
        </w:rPr>
        <w:t>(B)</w:t>
      </w:r>
      <w:r w:rsidRPr="00D55DC6">
        <w:rPr>
          <w:rFonts w:eastAsia="標楷體"/>
          <w:szCs w:val="28"/>
        </w:rPr>
        <w:t>」為</w:t>
      </w:r>
      <w:r w:rsidRPr="00D55DC6">
        <w:rPr>
          <w:rFonts w:eastAsia="標楷體"/>
          <w:szCs w:val="28"/>
        </w:rPr>
        <w:t>101</w:t>
      </w:r>
      <w:r w:rsidRPr="00D55DC6">
        <w:rPr>
          <w:rFonts w:eastAsia="標楷體"/>
          <w:szCs w:val="28"/>
        </w:rPr>
        <w:t>年</w:t>
      </w:r>
      <w:r w:rsidRPr="00D55DC6">
        <w:rPr>
          <w:rFonts w:eastAsia="標楷體"/>
          <w:szCs w:val="28"/>
        </w:rPr>
        <w:t>1</w:t>
      </w:r>
      <w:r w:rsidRPr="00D55DC6">
        <w:rPr>
          <w:rFonts w:eastAsia="標楷體"/>
          <w:szCs w:val="28"/>
        </w:rPr>
        <w:t>月至</w:t>
      </w:r>
      <w:r w:rsidRPr="00D55DC6">
        <w:rPr>
          <w:rFonts w:eastAsia="標楷體"/>
          <w:szCs w:val="28"/>
        </w:rPr>
        <w:t>103</w:t>
      </w:r>
      <w:r w:rsidRPr="00D55DC6">
        <w:rPr>
          <w:rFonts w:eastAsia="標楷體"/>
          <w:szCs w:val="28"/>
        </w:rPr>
        <w:t>年</w:t>
      </w:r>
      <w:r w:rsidRPr="00D55DC6">
        <w:rPr>
          <w:rFonts w:eastAsia="標楷體"/>
          <w:szCs w:val="28"/>
        </w:rPr>
        <w:t>1</w:t>
      </w:r>
      <w:r w:rsidR="00B72F30" w:rsidRPr="00D55DC6">
        <w:rPr>
          <w:rFonts w:eastAsia="標楷體"/>
          <w:szCs w:val="28"/>
        </w:rPr>
        <w:t>2</w:t>
      </w:r>
      <w:r w:rsidRPr="00D55DC6">
        <w:rPr>
          <w:rFonts w:eastAsia="標楷體"/>
          <w:szCs w:val="28"/>
        </w:rPr>
        <w:t>月累計實支數。</w:t>
      </w:r>
    </w:p>
    <w:p w:rsidR="00DF2F67" w:rsidRPr="00D55DC6" w:rsidRDefault="00DF2F67" w:rsidP="00DF2F67">
      <w:pPr>
        <w:adjustRightInd w:val="0"/>
        <w:snapToGrid w:val="0"/>
        <w:ind w:leftChars="414" w:left="995" w:hanging="1"/>
        <w:jc w:val="both"/>
        <w:rPr>
          <w:rFonts w:eastAsia="標楷體"/>
          <w:szCs w:val="28"/>
        </w:rPr>
      </w:pPr>
    </w:p>
    <w:p w:rsidR="00DF2F67" w:rsidRPr="00D55DC6" w:rsidRDefault="00DF2F67" w:rsidP="00DF2F67">
      <w:pPr>
        <w:adjustRightInd w:val="0"/>
        <w:snapToGrid w:val="0"/>
        <w:ind w:leftChars="414" w:left="995" w:hanging="1"/>
        <w:jc w:val="both"/>
        <w:rPr>
          <w:rFonts w:eastAsia="標楷體"/>
          <w:szCs w:val="28"/>
        </w:rPr>
      </w:pPr>
    </w:p>
    <w:p w:rsidR="00DF2F67" w:rsidRPr="00D55DC6" w:rsidRDefault="00DF2F67" w:rsidP="004865C1">
      <w:pPr>
        <w:pStyle w:val="33"/>
        <w:numPr>
          <w:ilvl w:val="0"/>
          <w:numId w:val="152"/>
        </w:numPr>
        <w:snapToGrid w:val="0"/>
        <w:spacing w:line="460" w:lineRule="exact"/>
        <w:ind w:leftChars="0"/>
        <w:jc w:val="both"/>
        <w:rPr>
          <w:rFonts w:eastAsia="標楷體"/>
          <w:b/>
          <w:sz w:val="28"/>
          <w:szCs w:val="28"/>
        </w:rPr>
      </w:pPr>
      <w:r w:rsidRPr="00D55DC6">
        <w:rPr>
          <w:rFonts w:eastAsia="標楷體"/>
          <w:b/>
          <w:sz w:val="28"/>
          <w:szCs w:val="28"/>
        </w:rPr>
        <w:t>重要執行成果</w:t>
      </w:r>
    </w:p>
    <w:p w:rsidR="00DF2F67" w:rsidRPr="00D55DC6" w:rsidRDefault="00DF2F67" w:rsidP="00DF2F67">
      <w:pPr>
        <w:pStyle w:val="33"/>
        <w:adjustRightInd w:val="0"/>
        <w:snapToGrid w:val="0"/>
        <w:spacing w:line="460" w:lineRule="exact"/>
        <w:ind w:leftChars="0" w:left="710"/>
        <w:jc w:val="both"/>
        <w:rPr>
          <w:rFonts w:eastAsia="標楷體"/>
          <w:sz w:val="28"/>
          <w:szCs w:val="28"/>
        </w:rPr>
      </w:pPr>
      <w:r w:rsidRPr="00D55DC6">
        <w:rPr>
          <w:rFonts w:eastAsia="標楷體"/>
          <w:b/>
          <w:sz w:val="28"/>
          <w:szCs w:val="28"/>
        </w:rPr>
        <w:t>2-1.</w:t>
      </w:r>
      <w:r w:rsidRPr="00D55DC6">
        <w:rPr>
          <w:rFonts w:eastAsia="標楷體"/>
          <w:b/>
          <w:sz w:val="28"/>
          <w:szCs w:val="28"/>
        </w:rPr>
        <w:t>國際觀光重要景點建設</w:t>
      </w:r>
    </w:p>
    <w:p w:rsidR="00DF2F67" w:rsidRPr="00D55DC6" w:rsidRDefault="00DF2F67" w:rsidP="00DF2F67">
      <w:pPr>
        <w:pStyle w:val="33"/>
        <w:adjustRightInd w:val="0"/>
        <w:snapToGrid w:val="0"/>
        <w:spacing w:line="460" w:lineRule="exact"/>
        <w:ind w:leftChars="530" w:left="2123" w:hangingChars="304" w:hanging="851"/>
        <w:jc w:val="both"/>
        <w:rPr>
          <w:rFonts w:eastAsia="標楷體"/>
          <w:sz w:val="28"/>
          <w:szCs w:val="28"/>
        </w:rPr>
      </w:pPr>
      <w:r w:rsidRPr="00D55DC6">
        <w:rPr>
          <w:rFonts w:eastAsia="標楷體"/>
          <w:sz w:val="28"/>
          <w:szCs w:val="28"/>
        </w:rPr>
        <w:t>2-1-1.</w:t>
      </w:r>
      <w:r w:rsidRPr="00D55DC6">
        <w:rPr>
          <w:rFonts w:eastAsia="標楷體"/>
          <w:sz w:val="28"/>
          <w:szCs w:val="28"/>
        </w:rPr>
        <w:t>大鵬灣風景區</w:t>
      </w:r>
      <w:r w:rsidRPr="00D55DC6">
        <w:rPr>
          <w:sz w:val="28"/>
          <w:szCs w:val="28"/>
        </w:rPr>
        <w:t>：</w:t>
      </w:r>
      <w:r w:rsidRPr="00D55DC6">
        <w:rPr>
          <w:rFonts w:eastAsia="標楷體"/>
          <w:sz w:val="28"/>
          <w:szCs w:val="28"/>
        </w:rPr>
        <w:t>建設完成濱灣公園外堤護岸及臨時休憩區、青洲濱海遊憩區景觀改善、自行車道及步道設施整修、濕地公園服務設施、橋亭服務區停車場、大鵬灣入口意象、潮口導流堤及青洲岬灣、環灣道路</w:t>
      </w:r>
      <w:r w:rsidRPr="00D55DC6">
        <w:rPr>
          <w:rFonts w:eastAsia="標楷體"/>
          <w:sz w:val="28"/>
          <w:szCs w:val="28"/>
        </w:rPr>
        <w:t>CH03</w:t>
      </w:r>
      <w:r w:rsidRPr="00D55DC6">
        <w:rPr>
          <w:rFonts w:eastAsia="標楷體"/>
          <w:sz w:val="28"/>
          <w:szCs w:val="28"/>
        </w:rPr>
        <w:t>標拓寬及沿線景觀改善、環灣綠帶景觀改善、遊二區</w:t>
      </w:r>
      <w:r w:rsidRPr="00D55DC6">
        <w:rPr>
          <w:rFonts w:eastAsia="標楷體"/>
          <w:sz w:val="28"/>
          <w:szCs w:val="28"/>
        </w:rPr>
        <w:t>BOT</w:t>
      </w:r>
      <w:r w:rsidRPr="00D55DC6">
        <w:rPr>
          <w:rFonts w:eastAsia="標楷體"/>
          <w:sz w:val="28"/>
          <w:szCs w:val="28"/>
        </w:rPr>
        <w:t>案先期規劃及招標作業。</w:t>
      </w:r>
    </w:p>
    <w:p w:rsidR="00DF2F67" w:rsidRPr="00D55DC6" w:rsidRDefault="00DF2F67" w:rsidP="00DF2F67">
      <w:pPr>
        <w:pStyle w:val="33"/>
        <w:adjustRightInd w:val="0"/>
        <w:snapToGrid w:val="0"/>
        <w:spacing w:line="460" w:lineRule="exact"/>
        <w:ind w:leftChars="296" w:left="2125" w:hangingChars="505" w:hanging="1415"/>
        <w:jc w:val="both"/>
        <w:rPr>
          <w:rFonts w:eastAsia="標楷體"/>
          <w:b/>
          <w:sz w:val="28"/>
          <w:szCs w:val="28"/>
        </w:rPr>
      </w:pPr>
      <w:r w:rsidRPr="00D55DC6">
        <w:rPr>
          <w:rFonts w:eastAsia="標楷體"/>
          <w:b/>
          <w:sz w:val="28"/>
          <w:szCs w:val="28"/>
        </w:rPr>
        <w:t>2-2.</w:t>
      </w:r>
      <w:r w:rsidRPr="00D55DC6">
        <w:rPr>
          <w:rFonts w:eastAsia="標楷體"/>
          <w:b/>
          <w:sz w:val="28"/>
          <w:szCs w:val="28"/>
        </w:rPr>
        <w:t>國內觀光重要景點建設</w:t>
      </w:r>
    </w:p>
    <w:p w:rsidR="00DF2F67" w:rsidRPr="00D55DC6" w:rsidRDefault="00DF2F67" w:rsidP="00DF2F67">
      <w:pPr>
        <w:pStyle w:val="33"/>
        <w:adjustRightInd w:val="0"/>
        <w:snapToGrid w:val="0"/>
        <w:spacing w:line="460" w:lineRule="exact"/>
        <w:ind w:leftChars="530" w:left="2123" w:hangingChars="304" w:hanging="851"/>
        <w:jc w:val="both"/>
        <w:rPr>
          <w:rFonts w:eastAsia="標楷體"/>
          <w:sz w:val="28"/>
          <w:szCs w:val="28"/>
        </w:rPr>
      </w:pPr>
      <w:r w:rsidRPr="00D55DC6">
        <w:rPr>
          <w:rFonts w:eastAsia="標楷體"/>
          <w:sz w:val="28"/>
          <w:szCs w:val="28"/>
        </w:rPr>
        <w:t>2-2-1.</w:t>
      </w:r>
      <w:r w:rsidRPr="00D55DC6">
        <w:rPr>
          <w:rFonts w:eastAsia="標楷體"/>
          <w:sz w:val="28"/>
          <w:szCs w:val="28"/>
        </w:rPr>
        <w:t>小琉球風景區</w:t>
      </w:r>
      <w:r w:rsidRPr="00D55DC6">
        <w:rPr>
          <w:sz w:val="28"/>
          <w:szCs w:val="28"/>
        </w:rPr>
        <w:t>：</w:t>
      </w:r>
      <w:r w:rsidRPr="00D55DC6">
        <w:rPr>
          <w:rFonts w:eastAsia="標楷體"/>
          <w:sz w:val="28"/>
          <w:szCs w:val="28"/>
        </w:rPr>
        <w:t>完成小琉球海景休閒</w:t>
      </w:r>
      <w:r w:rsidR="00EA38C5" w:rsidRPr="00D55DC6">
        <w:rPr>
          <w:rFonts w:eastAsia="標楷體"/>
          <w:sz w:val="28"/>
          <w:szCs w:val="28"/>
        </w:rPr>
        <w:t>度假</w:t>
      </w:r>
      <w:r w:rsidRPr="00D55DC6">
        <w:rPr>
          <w:rFonts w:eastAsia="標楷體"/>
          <w:sz w:val="28"/>
          <w:szCs w:val="28"/>
        </w:rPr>
        <w:t>區委外案、小琉球山豬溝步道整修、旭日亭步道整修、碧雲寺廁所整修等基礎建設及設施維護等景點建設。</w:t>
      </w:r>
    </w:p>
    <w:p w:rsidR="00DF2F67" w:rsidRPr="00D55DC6" w:rsidRDefault="00DF2F67" w:rsidP="00DF2F67">
      <w:pPr>
        <w:pStyle w:val="33"/>
        <w:adjustRightInd w:val="0"/>
        <w:snapToGrid w:val="0"/>
        <w:spacing w:line="460" w:lineRule="exact"/>
        <w:ind w:leftChars="295" w:left="708"/>
        <w:jc w:val="both"/>
        <w:rPr>
          <w:rFonts w:eastAsia="標楷體"/>
          <w:b/>
          <w:sz w:val="28"/>
          <w:szCs w:val="28"/>
        </w:rPr>
      </w:pPr>
      <w:r w:rsidRPr="00D55DC6">
        <w:rPr>
          <w:rFonts w:eastAsia="標楷體"/>
          <w:b/>
          <w:sz w:val="28"/>
          <w:szCs w:val="28"/>
        </w:rPr>
        <w:t>2-3.</w:t>
      </w:r>
      <w:r w:rsidRPr="00D55DC6">
        <w:rPr>
          <w:rFonts w:eastAsia="標楷體"/>
          <w:b/>
          <w:sz w:val="28"/>
          <w:szCs w:val="28"/>
        </w:rPr>
        <w:t>國家風景區經營管理建設</w:t>
      </w:r>
    </w:p>
    <w:p w:rsidR="00DF2F67" w:rsidRPr="00D55DC6" w:rsidRDefault="00DF2F67" w:rsidP="00DF2F67">
      <w:pPr>
        <w:pStyle w:val="33"/>
        <w:adjustRightInd w:val="0"/>
        <w:snapToGrid w:val="0"/>
        <w:spacing w:line="460" w:lineRule="exact"/>
        <w:ind w:leftChars="530" w:left="2129" w:hangingChars="306" w:hanging="857"/>
        <w:jc w:val="both"/>
        <w:rPr>
          <w:rFonts w:eastAsia="標楷體"/>
          <w:sz w:val="28"/>
          <w:szCs w:val="28"/>
        </w:rPr>
      </w:pPr>
      <w:r w:rsidRPr="00D55DC6">
        <w:rPr>
          <w:rFonts w:eastAsia="標楷體"/>
          <w:sz w:val="28"/>
          <w:szCs w:val="28"/>
        </w:rPr>
        <w:t>2-3-1.</w:t>
      </w:r>
      <w:r w:rsidRPr="00D55DC6">
        <w:rPr>
          <w:rFonts w:eastAsia="標楷體"/>
          <w:sz w:val="28"/>
          <w:szCs w:val="28"/>
        </w:rPr>
        <w:t>大鵬灣</w:t>
      </w:r>
      <w:r w:rsidRPr="00D55DC6">
        <w:rPr>
          <w:rFonts w:eastAsia="標楷體"/>
          <w:sz w:val="28"/>
          <w:szCs w:val="28"/>
        </w:rPr>
        <w:t>BOT</w:t>
      </w:r>
      <w:r w:rsidRPr="00D55DC6">
        <w:rPr>
          <w:rFonts w:eastAsia="標楷體"/>
          <w:sz w:val="28"/>
          <w:szCs w:val="28"/>
        </w:rPr>
        <w:t>案</w:t>
      </w:r>
      <w:r w:rsidRPr="00D55DC6">
        <w:rPr>
          <w:sz w:val="28"/>
          <w:szCs w:val="28"/>
        </w:rPr>
        <w:t>：</w:t>
      </w:r>
      <w:r w:rsidRPr="00D55DC6">
        <w:rPr>
          <w:rFonts w:eastAsia="標楷體"/>
          <w:sz w:val="28"/>
          <w:szCs w:val="28"/>
        </w:rPr>
        <w:t>完成賽車場、觀光旅館、水岸遊憩區、</w:t>
      </w:r>
      <w:r w:rsidRPr="00D55DC6">
        <w:rPr>
          <w:rFonts w:eastAsia="標楷體"/>
          <w:sz w:val="28"/>
          <w:szCs w:val="28"/>
        </w:rPr>
        <w:t>GO-Kart</w:t>
      </w:r>
      <w:r w:rsidRPr="00D55DC6">
        <w:rPr>
          <w:rFonts w:eastAsia="標楷體"/>
          <w:sz w:val="28"/>
          <w:szCs w:val="28"/>
        </w:rPr>
        <w:lastRenderedPageBreak/>
        <w:t>賽車場、水世界、飛機觀景台整修、轉運中心。</w:t>
      </w:r>
    </w:p>
    <w:p w:rsidR="00DF2F67" w:rsidRPr="00D55DC6" w:rsidRDefault="00DF2F67" w:rsidP="00DF2F67">
      <w:pPr>
        <w:pStyle w:val="33"/>
        <w:adjustRightInd w:val="0"/>
        <w:snapToGrid w:val="0"/>
        <w:spacing w:line="460" w:lineRule="exact"/>
        <w:ind w:leftChars="298" w:left="2125" w:hangingChars="503" w:hanging="1410"/>
        <w:jc w:val="both"/>
        <w:rPr>
          <w:rFonts w:eastAsia="標楷體"/>
          <w:b/>
          <w:sz w:val="28"/>
          <w:szCs w:val="28"/>
        </w:rPr>
      </w:pPr>
      <w:r w:rsidRPr="00D55DC6">
        <w:rPr>
          <w:rFonts w:eastAsia="標楷體"/>
          <w:b/>
          <w:sz w:val="28"/>
          <w:szCs w:val="28"/>
        </w:rPr>
        <w:t>2-4.</w:t>
      </w:r>
      <w:r w:rsidRPr="00D55DC6">
        <w:rPr>
          <w:rFonts w:eastAsia="標楷體"/>
          <w:b/>
          <w:sz w:val="28"/>
          <w:szCs w:val="28"/>
        </w:rPr>
        <w:t>經營管理及行銷推廣</w:t>
      </w:r>
    </w:p>
    <w:p w:rsidR="00DF2F67" w:rsidRPr="00D55DC6" w:rsidRDefault="00DF2F67" w:rsidP="009D33BA">
      <w:pPr>
        <w:adjustRightInd w:val="0"/>
        <w:snapToGrid w:val="0"/>
        <w:spacing w:beforeLines="20" w:before="72" w:line="460" w:lineRule="exact"/>
        <w:ind w:leftChars="380" w:left="1234" w:hangingChars="115" w:hanging="322"/>
        <w:jc w:val="both"/>
        <w:rPr>
          <w:rFonts w:eastAsia="標楷體"/>
          <w:b/>
          <w:sz w:val="28"/>
          <w:szCs w:val="28"/>
        </w:rPr>
      </w:pPr>
      <w:r w:rsidRPr="00D55DC6">
        <w:rPr>
          <w:rFonts w:eastAsia="標楷體"/>
          <w:b/>
          <w:sz w:val="28"/>
          <w:szCs w:val="28"/>
        </w:rPr>
        <w:t>2-4-1.</w:t>
      </w:r>
      <w:r w:rsidRPr="00D55DC6">
        <w:rPr>
          <w:rFonts w:eastAsia="標楷體"/>
          <w:b/>
          <w:sz w:val="28"/>
          <w:szCs w:val="28"/>
        </w:rPr>
        <w:t>經營管理</w:t>
      </w:r>
      <w:r w:rsidRPr="00D55DC6">
        <w:rPr>
          <w:b/>
          <w:sz w:val="28"/>
          <w:szCs w:val="28"/>
        </w:rPr>
        <w:t>：</w:t>
      </w:r>
    </w:p>
    <w:p w:rsidR="00DF2F67" w:rsidRPr="00D55DC6" w:rsidRDefault="00DF2F67" w:rsidP="009D33BA">
      <w:pPr>
        <w:adjustRightInd w:val="0"/>
        <w:snapToGrid w:val="0"/>
        <w:spacing w:beforeLines="20" w:before="72" w:line="460" w:lineRule="exact"/>
        <w:ind w:leftChars="649" w:left="2460" w:hangingChars="322" w:hanging="902"/>
        <w:jc w:val="both"/>
        <w:rPr>
          <w:rFonts w:eastAsia="標楷體"/>
          <w:sz w:val="28"/>
          <w:szCs w:val="28"/>
        </w:rPr>
      </w:pPr>
      <w:r w:rsidRPr="00D55DC6">
        <w:rPr>
          <w:rFonts w:eastAsia="標楷體"/>
          <w:b/>
          <w:sz w:val="28"/>
          <w:szCs w:val="28"/>
        </w:rPr>
        <w:t>2-4-1-1.</w:t>
      </w:r>
      <w:r w:rsidRPr="00D55DC6">
        <w:rPr>
          <w:rFonts w:eastAsia="標楷體"/>
          <w:sz w:val="28"/>
          <w:szCs w:val="28"/>
        </w:rPr>
        <w:t>完成蚵殼島、琉球海景休閒</w:t>
      </w:r>
      <w:r w:rsidR="00EA38C5" w:rsidRPr="00D55DC6">
        <w:rPr>
          <w:rFonts w:eastAsia="標楷體"/>
          <w:sz w:val="28"/>
          <w:szCs w:val="28"/>
        </w:rPr>
        <w:t>度假</w:t>
      </w:r>
      <w:r w:rsidRPr="00D55DC6">
        <w:rPr>
          <w:rFonts w:eastAsia="標楷體"/>
          <w:sz w:val="28"/>
          <w:szCs w:val="28"/>
        </w:rPr>
        <w:t>區委外案、大鵬灣多功能遊客服務區、小琉球管理站附屬賣店、濱灣公園帆船基地、船席位出租、濱灣遊客中心、鵬村濕地公園服務設施等委外經營管理。</w:t>
      </w:r>
    </w:p>
    <w:p w:rsidR="00DF2F67" w:rsidRPr="00D55DC6" w:rsidRDefault="00DF2F67" w:rsidP="009D33BA">
      <w:pPr>
        <w:adjustRightInd w:val="0"/>
        <w:snapToGrid w:val="0"/>
        <w:spacing w:beforeLines="20" w:before="72" w:line="460" w:lineRule="exact"/>
        <w:ind w:leftChars="380" w:left="1234" w:hangingChars="115" w:hanging="322"/>
        <w:jc w:val="both"/>
        <w:rPr>
          <w:rFonts w:eastAsia="標楷體"/>
          <w:b/>
          <w:sz w:val="28"/>
          <w:szCs w:val="28"/>
        </w:rPr>
      </w:pPr>
      <w:r w:rsidRPr="00D55DC6">
        <w:rPr>
          <w:rFonts w:eastAsia="標楷體"/>
          <w:b/>
          <w:sz w:val="28"/>
          <w:szCs w:val="28"/>
        </w:rPr>
        <w:t>2-4-2.</w:t>
      </w:r>
      <w:r w:rsidRPr="00D55DC6">
        <w:rPr>
          <w:rFonts w:eastAsia="標楷體"/>
          <w:b/>
          <w:sz w:val="28"/>
          <w:szCs w:val="28"/>
        </w:rPr>
        <w:t>行銷推廣</w:t>
      </w:r>
      <w:r w:rsidRPr="00D55DC6">
        <w:rPr>
          <w:b/>
          <w:sz w:val="28"/>
          <w:szCs w:val="28"/>
        </w:rPr>
        <w:t>：</w:t>
      </w:r>
    </w:p>
    <w:p w:rsidR="00DF2F67" w:rsidRPr="00D55DC6" w:rsidRDefault="00DF2F67" w:rsidP="009D33BA">
      <w:pPr>
        <w:adjustRightInd w:val="0"/>
        <w:snapToGrid w:val="0"/>
        <w:spacing w:beforeLines="20" w:before="72" w:line="460" w:lineRule="exact"/>
        <w:ind w:leftChars="653" w:left="2408" w:hangingChars="300" w:hanging="841"/>
        <w:jc w:val="both"/>
        <w:rPr>
          <w:rFonts w:eastAsia="標楷體"/>
          <w:sz w:val="28"/>
          <w:szCs w:val="28"/>
        </w:rPr>
      </w:pPr>
      <w:r w:rsidRPr="00D55DC6">
        <w:rPr>
          <w:rFonts w:eastAsia="標楷體"/>
          <w:b/>
          <w:sz w:val="28"/>
          <w:szCs w:val="28"/>
        </w:rPr>
        <w:t>2-4-2-1.</w:t>
      </w:r>
      <w:r w:rsidRPr="00D55DC6">
        <w:rPr>
          <w:rFonts w:eastAsia="標楷體"/>
          <w:sz w:val="28"/>
          <w:szCs w:val="28"/>
        </w:rPr>
        <w:t>配合地方政府辦理行銷活動，如黑鲔魚文化觀光季、恆春半島藝民謠節、東港及小琉球王船祭等。</w:t>
      </w:r>
    </w:p>
    <w:p w:rsidR="00DF2F67" w:rsidRPr="00D55DC6" w:rsidRDefault="00DF2F67" w:rsidP="009D33BA">
      <w:pPr>
        <w:adjustRightInd w:val="0"/>
        <w:snapToGrid w:val="0"/>
        <w:spacing w:beforeLines="20" w:before="72" w:line="460" w:lineRule="exact"/>
        <w:ind w:leftChars="653" w:left="2408" w:hangingChars="300" w:hanging="841"/>
        <w:jc w:val="both"/>
        <w:rPr>
          <w:rFonts w:eastAsia="標楷體"/>
          <w:sz w:val="28"/>
          <w:szCs w:val="28"/>
        </w:rPr>
      </w:pPr>
      <w:r w:rsidRPr="00D55DC6">
        <w:rPr>
          <w:rFonts w:eastAsia="標楷體"/>
          <w:b/>
          <w:sz w:val="28"/>
          <w:szCs w:val="28"/>
        </w:rPr>
        <w:t>2-4-2-2.</w:t>
      </w:r>
      <w:r w:rsidRPr="00D55DC6">
        <w:rPr>
          <w:rFonts w:eastAsia="標楷體"/>
          <w:sz w:val="28"/>
          <w:szCs w:val="28"/>
        </w:rPr>
        <w:t>持續輔導「屏東縣恆春半島觀光產業聯盟」達成吸引國際遊客之目標，並固定每年參與「臺北」、「臺中」、「高雄」等國際旅展及「大陸旅遊推介會」，共同行銷恆春半島觀光發展。</w:t>
      </w:r>
    </w:p>
    <w:p w:rsidR="00DF2F67" w:rsidRPr="00D55DC6" w:rsidRDefault="00DF2F67" w:rsidP="00DF2F67">
      <w:pPr>
        <w:adjustRightInd w:val="0"/>
        <w:snapToGrid w:val="0"/>
        <w:spacing w:line="460" w:lineRule="exact"/>
        <w:ind w:leftChars="653" w:left="2408" w:hangingChars="300" w:hanging="841"/>
        <w:jc w:val="both"/>
        <w:rPr>
          <w:rFonts w:eastAsia="標楷體"/>
          <w:sz w:val="28"/>
          <w:szCs w:val="28"/>
        </w:rPr>
      </w:pPr>
      <w:r w:rsidRPr="00D55DC6">
        <w:rPr>
          <w:rFonts w:eastAsia="標楷體"/>
          <w:b/>
          <w:sz w:val="28"/>
          <w:szCs w:val="28"/>
        </w:rPr>
        <w:t>2-4-2-3.</w:t>
      </w:r>
      <w:r w:rsidRPr="00D55DC6">
        <w:rPr>
          <w:rFonts w:eastAsia="標楷體"/>
          <w:sz w:val="28"/>
          <w:szCs w:val="28"/>
        </w:rPr>
        <w:t>持續辦理大鵬灣濕地環境教育推廣及生態旅遊。</w:t>
      </w:r>
    </w:p>
    <w:p w:rsidR="00DF2F67" w:rsidRPr="00D55DC6" w:rsidRDefault="00DF2F67" w:rsidP="00DF2F67">
      <w:pPr>
        <w:adjustRightInd w:val="0"/>
        <w:snapToGrid w:val="0"/>
        <w:spacing w:line="460" w:lineRule="exact"/>
        <w:ind w:leftChars="653" w:left="2408" w:hangingChars="300" w:hanging="841"/>
        <w:jc w:val="both"/>
        <w:rPr>
          <w:rFonts w:eastAsia="標楷體"/>
          <w:sz w:val="28"/>
          <w:szCs w:val="28"/>
        </w:rPr>
      </w:pPr>
      <w:r w:rsidRPr="00D55DC6">
        <w:rPr>
          <w:rFonts w:eastAsia="標楷體"/>
          <w:b/>
          <w:sz w:val="28"/>
          <w:szCs w:val="28"/>
        </w:rPr>
        <w:t>2-4-2-4.</w:t>
      </w:r>
      <w:r w:rsidRPr="00D55DC6">
        <w:rPr>
          <w:rFonts w:eastAsia="標楷體"/>
          <w:sz w:val="28"/>
          <w:szCs w:val="28"/>
        </w:rPr>
        <w:t>辦理網站行銷活動，增加網站之瀏覽率，重新製作大鵬灣及小琉球行銷摺頁。</w:t>
      </w:r>
    </w:p>
    <w:p w:rsidR="00DF2F67" w:rsidRPr="00D55DC6" w:rsidRDefault="00DF2F67" w:rsidP="00DF2F67">
      <w:pPr>
        <w:adjustRightInd w:val="0"/>
        <w:snapToGrid w:val="0"/>
        <w:spacing w:line="460" w:lineRule="exact"/>
        <w:ind w:leftChars="653" w:left="2408" w:hangingChars="300" w:hanging="841"/>
        <w:jc w:val="both"/>
        <w:rPr>
          <w:rFonts w:eastAsia="標楷體"/>
          <w:sz w:val="28"/>
          <w:szCs w:val="28"/>
        </w:rPr>
      </w:pPr>
      <w:r w:rsidRPr="00D55DC6">
        <w:rPr>
          <w:rFonts w:eastAsia="標楷體"/>
          <w:b/>
          <w:sz w:val="28"/>
          <w:szCs w:val="28"/>
        </w:rPr>
        <w:t>2-4-2-5.</w:t>
      </w:r>
      <w:r w:rsidRPr="00D55DC6">
        <w:rPr>
          <w:rFonts w:eastAsia="標楷體"/>
          <w:sz w:val="28"/>
          <w:szCs w:val="28"/>
        </w:rPr>
        <w:t>辦理大鵬灣風帆全國或國際挑戰賽、冬季泳渡大鵬灣、小琉球潮間帶生態旅遊、小琉球觀星之旅季等行銷活動。</w:t>
      </w:r>
    </w:p>
    <w:p w:rsidR="00DF2F67" w:rsidRPr="00D55DC6" w:rsidRDefault="00DF2F67" w:rsidP="00DF2F67">
      <w:pPr>
        <w:pStyle w:val="a"/>
        <w:ind w:left="709" w:hanging="709"/>
        <w:rPr>
          <w:b/>
        </w:rPr>
      </w:pPr>
      <w:bookmarkStart w:id="148" w:name="_Toc407181715"/>
      <w:r w:rsidRPr="00D55DC6">
        <w:rPr>
          <w:b/>
        </w:rPr>
        <w:t>執行策略及方法</w:t>
      </w:r>
      <w:bookmarkEnd w:id="148"/>
    </w:p>
    <w:p w:rsidR="00DF2F67" w:rsidRPr="00D55DC6" w:rsidRDefault="00DF2F67" w:rsidP="00DF2F67">
      <w:pPr>
        <w:snapToGrid w:val="0"/>
        <w:spacing w:line="460" w:lineRule="exact"/>
        <w:jc w:val="both"/>
        <w:rPr>
          <w:rFonts w:eastAsia="標楷體"/>
          <w:b/>
          <w:sz w:val="28"/>
          <w:szCs w:val="28"/>
        </w:rPr>
      </w:pPr>
      <w:r w:rsidRPr="00D55DC6">
        <w:rPr>
          <w:rFonts w:eastAsia="標楷體"/>
          <w:b/>
          <w:sz w:val="28"/>
          <w:szCs w:val="28"/>
        </w:rPr>
        <w:t>(</w:t>
      </w:r>
      <w:r w:rsidRPr="00D55DC6">
        <w:rPr>
          <w:rFonts w:eastAsia="標楷體"/>
          <w:b/>
          <w:sz w:val="28"/>
          <w:szCs w:val="28"/>
        </w:rPr>
        <w:t>一</w:t>
      </w:r>
      <w:r w:rsidRPr="00D55DC6">
        <w:rPr>
          <w:rFonts w:eastAsia="標楷體"/>
          <w:b/>
          <w:sz w:val="28"/>
          <w:szCs w:val="28"/>
        </w:rPr>
        <w:t>)</w:t>
      </w:r>
      <w:r w:rsidRPr="00D55DC6">
        <w:rPr>
          <w:rFonts w:eastAsia="標楷體"/>
          <w:b/>
          <w:sz w:val="28"/>
          <w:szCs w:val="28"/>
        </w:rPr>
        <w:t>執行策略</w:t>
      </w:r>
    </w:p>
    <w:p w:rsidR="00DF2F67" w:rsidRPr="00D55DC6" w:rsidRDefault="00DF2F67" w:rsidP="00DF2F67">
      <w:pPr>
        <w:adjustRightInd w:val="0"/>
        <w:snapToGrid w:val="0"/>
        <w:spacing w:line="460" w:lineRule="exact"/>
        <w:ind w:leftChars="245" w:left="588" w:firstLine="2"/>
        <w:jc w:val="both"/>
      </w:pPr>
      <w:r w:rsidRPr="00D55DC6">
        <w:rPr>
          <w:rFonts w:eastAsia="標楷體"/>
          <w:sz w:val="28"/>
          <w:szCs w:val="28"/>
        </w:rPr>
        <w:t>積極開創具有國際魅力之旅遊系統依環境及景點資源特性，串聯四重溪、墾丁地區之各景點，以恆春半島旅遊線之概念，結合民間觀光產業，共同行銷，推動「套裝旅遊線」行程，改善遊憩環境及設施、道路、城鄉景觀、強化旅遊內涵等等，提供優質服務品質。推動生態學習島慢活優質旅遊，落實悠遊大鵬灣、慢活小琉球的計畫目標。</w:t>
      </w:r>
    </w:p>
    <w:p w:rsidR="00DF2F67" w:rsidRPr="00D55DC6" w:rsidRDefault="00DF2F67" w:rsidP="00DF2F67">
      <w:pPr>
        <w:pStyle w:val="ad"/>
        <w:adjustRightInd w:val="0"/>
        <w:snapToGrid w:val="0"/>
        <w:spacing w:after="0" w:line="460" w:lineRule="exact"/>
        <w:ind w:leftChars="262" w:left="654" w:rightChars="13" w:right="31" w:hangingChars="9" w:hanging="25"/>
        <w:jc w:val="both"/>
        <w:rPr>
          <w:sz w:val="28"/>
          <w:szCs w:val="28"/>
        </w:rPr>
      </w:pPr>
      <w:r w:rsidRPr="00D55DC6">
        <w:rPr>
          <w:rFonts w:eastAsia="標楷體"/>
          <w:sz w:val="28"/>
          <w:szCs w:val="28"/>
        </w:rPr>
        <w:t>1.</w:t>
      </w:r>
      <w:r w:rsidRPr="00D55DC6">
        <w:rPr>
          <w:rFonts w:eastAsia="標楷體"/>
          <w:sz w:val="28"/>
          <w:szCs w:val="28"/>
        </w:rPr>
        <w:t>大鵬灣部分</w:t>
      </w:r>
      <w:r w:rsidRPr="00D55DC6">
        <w:rPr>
          <w:sz w:val="28"/>
          <w:szCs w:val="28"/>
        </w:rPr>
        <w:t>：</w:t>
      </w:r>
    </w:p>
    <w:p w:rsidR="00DF2F67" w:rsidRPr="00D55DC6" w:rsidRDefault="00DF2F67" w:rsidP="00DF2F67">
      <w:pPr>
        <w:pStyle w:val="ad"/>
        <w:adjustRightInd w:val="0"/>
        <w:snapToGrid w:val="0"/>
        <w:spacing w:after="0" w:line="460" w:lineRule="exact"/>
        <w:ind w:leftChars="396" w:left="950" w:rightChars="13" w:right="31" w:firstLineChars="10" w:firstLine="28"/>
        <w:jc w:val="both"/>
        <w:rPr>
          <w:rFonts w:eastAsia="標楷體"/>
          <w:sz w:val="28"/>
          <w:szCs w:val="28"/>
        </w:rPr>
      </w:pPr>
      <w:r w:rsidRPr="00D55DC6">
        <w:rPr>
          <w:rFonts w:eastAsia="標楷體"/>
          <w:sz w:val="28"/>
          <w:szCs w:val="28"/>
        </w:rPr>
        <w:t>服務設施部分，由公部門編列預算加以興設補足，如濕地服務、濱</w:t>
      </w:r>
      <w:r w:rsidRPr="00D55DC6">
        <w:rPr>
          <w:rFonts w:eastAsia="標楷體"/>
          <w:sz w:val="28"/>
          <w:szCs w:val="28"/>
        </w:rPr>
        <w:lastRenderedPageBreak/>
        <w:t>灣公園服務設施、潮口服務設施等。住宿不足部分，回歸市場機制由民間申請開發許可後，興建補足。</w:t>
      </w:r>
    </w:p>
    <w:p w:rsidR="00DF2F67" w:rsidRPr="00D55DC6" w:rsidRDefault="00DF2F67" w:rsidP="00DF2F67">
      <w:pPr>
        <w:pStyle w:val="ad"/>
        <w:adjustRightInd w:val="0"/>
        <w:snapToGrid w:val="0"/>
        <w:spacing w:after="0" w:line="460" w:lineRule="exact"/>
        <w:ind w:leftChars="262" w:left="654" w:rightChars="13" w:right="31" w:hangingChars="9" w:hanging="25"/>
        <w:jc w:val="both"/>
        <w:rPr>
          <w:rFonts w:eastAsia="標楷體"/>
          <w:b/>
          <w:sz w:val="28"/>
          <w:szCs w:val="28"/>
        </w:rPr>
      </w:pPr>
      <w:r w:rsidRPr="00D55DC6">
        <w:rPr>
          <w:rFonts w:eastAsia="標楷體"/>
          <w:sz w:val="28"/>
          <w:szCs w:val="28"/>
        </w:rPr>
        <w:t>2.</w:t>
      </w:r>
      <w:r w:rsidRPr="00D55DC6">
        <w:rPr>
          <w:rFonts w:eastAsia="標楷體"/>
          <w:sz w:val="28"/>
          <w:szCs w:val="28"/>
        </w:rPr>
        <w:t>小琉球部分</w:t>
      </w:r>
      <w:r w:rsidRPr="00D55DC6">
        <w:rPr>
          <w:sz w:val="28"/>
          <w:szCs w:val="28"/>
        </w:rPr>
        <w:t>：</w:t>
      </w:r>
    </w:p>
    <w:p w:rsidR="00DF2F67" w:rsidRPr="00D55DC6" w:rsidRDefault="00DF2F67" w:rsidP="00DF2F67">
      <w:pPr>
        <w:adjustRightInd w:val="0"/>
        <w:snapToGrid w:val="0"/>
        <w:spacing w:line="460" w:lineRule="exact"/>
        <w:ind w:leftChars="216" w:left="952" w:hangingChars="155" w:hanging="434"/>
        <w:rPr>
          <w:rFonts w:eastAsia="標楷體"/>
          <w:sz w:val="28"/>
          <w:szCs w:val="28"/>
        </w:rPr>
      </w:pPr>
      <w:r w:rsidRPr="00D55DC6">
        <w:rPr>
          <w:rFonts w:eastAsia="標楷體"/>
          <w:sz w:val="28"/>
          <w:szCs w:val="28"/>
        </w:rPr>
        <w:t>(1)</w:t>
      </w:r>
      <w:r w:rsidRPr="00D55DC6">
        <w:rPr>
          <w:rFonts w:eastAsia="標楷體"/>
          <w:sz w:val="28"/>
          <w:szCs w:val="28"/>
        </w:rPr>
        <w:t>因應遊客量增加，交通船輛顯然不足，屏東縣政府日前同意增加交通船輛，目前東港泊區為唯一東琉線乘船處，該處因客量增加交通混亂及停車不足，又因腹地不足，增加改善難度，經整體檢討進行客船分泊，初步規劃，東港泊區維持</w:t>
      </w:r>
      <w:r w:rsidRPr="00D55DC6">
        <w:rPr>
          <w:rFonts w:eastAsia="標楷體"/>
          <w:sz w:val="28"/>
          <w:szCs w:val="28"/>
        </w:rPr>
        <w:t>7</w:t>
      </w:r>
      <w:r w:rsidRPr="00D55DC6">
        <w:rPr>
          <w:rFonts w:eastAsia="標楷體"/>
          <w:sz w:val="28"/>
          <w:szCs w:val="28"/>
        </w:rPr>
        <w:t>艘客船，塩埔漁港增加客貨船停泊位，客船</w:t>
      </w:r>
      <w:r w:rsidRPr="00D55DC6">
        <w:rPr>
          <w:rFonts w:eastAsia="標楷體"/>
          <w:sz w:val="28"/>
          <w:szCs w:val="28"/>
        </w:rPr>
        <w:t>1</w:t>
      </w:r>
      <w:r w:rsidRPr="00D55DC6">
        <w:rPr>
          <w:rFonts w:eastAsia="標楷體"/>
          <w:sz w:val="28"/>
          <w:szCs w:val="28"/>
        </w:rPr>
        <w:t>艘，大鵬灣泊區客船</w:t>
      </w:r>
      <w:r w:rsidRPr="00D55DC6">
        <w:rPr>
          <w:rFonts w:eastAsia="標楷體"/>
          <w:sz w:val="28"/>
          <w:szCs w:val="28"/>
        </w:rPr>
        <w:t>1</w:t>
      </w:r>
      <w:r w:rsidRPr="00D55DC6">
        <w:rPr>
          <w:rFonts w:eastAsia="標楷體"/>
          <w:sz w:val="28"/>
          <w:szCs w:val="28"/>
        </w:rPr>
        <w:t>艘。船舶停泊區位之調整，除可疏解東港地區交通動線及停車位不足之情況，亦可藉由客、貨船之遷移，帶動鄰近區域之觀光產業發展。</w:t>
      </w:r>
    </w:p>
    <w:p w:rsidR="00DF2F67" w:rsidRPr="00D55DC6" w:rsidRDefault="00DF2F67" w:rsidP="00DF2F67">
      <w:pPr>
        <w:pStyle w:val="33"/>
        <w:adjustRightInd w:val="0"/>
        <w:snapToGrid w:val="0"/>
        <w:spacing w:line="460" w:lineRule="exact"/>
        <w:ind w:leftChars="228" w:left="947" w:hangingChars="143" w:hanging="400"/>
        <w:jc w:val="both"/>
        <w:rPr>
          <w:rFonts w:eastAsia="標楷體"/>
          <w:sz w:val="28"/>
          <w:szCs w:val="28"/>
        </w:rPr>
      </w:pPr>
      <w:r w:rsidRPr="00D55DC6">
        <w:rPr>
          <w:rFonts w:eastAsia="標楷體"/>
          <w:sz w:val="28"/>
          <w:szCs w:val="28"/>
        </w:rPr>
        <w:t>(2)</w:t>
      </w:r>
      <w:r w:rsidRPr="00D55DC6">
        <w:rPr>
          <w:rFonts w:eastAsia="標楷體"/>
          <w:sz w:val="28"/>
          <w:szCs w:val="28"/>
        </w:rPr>
        <w:t>住宿設施，除民間民宿陸續增加外，公部門計畫運用海景休閒</w:t>
      </w:r>
      <w:r w:rsidR="00EA38C5" w:rsidRPr="00D55DC6">
        <w:rPr>
          <w:rFonts w:eastAsia="標楷體"/>
          <w:sz w:val="28"/>
          <w:szCs w:val="28"/>
        </w:rPr>
        <w:t>度假</w:t>
      </w:r>
      <w:r w:rsidRPr="00D55DC6">
        <w:rPr>
          <w:rFonts w:eastAsia="標楷體"/>
          <w:sz w:val="28"/>
          <w:szCs w:val="28"/>
        </w:rPr>
        <w:t>區辦理民間參與興建住宿設施，除以因應遊客需求外，並可增加政府收益。</w:t>
      </w:r>
    </w:p>
    <w:p w:rsidR="00DF2F67" w:rsidRPr="00D55DC6" w:rsidRDefault="00DF2F67" w:rsidP="00DF2F67">
      <w:pPr>
        <w:pStyle w:val="33"/>
        <w:adjustRightInd w:val="0"/>
        <w:snapToGrid w:val="0"/>
        <w:spacing w:line="460" w:lineRule="exact"/>
        <w:ind w:leftChars="222" w:left="793" w:hangingChars="93" w:hanging="260"/>
        <w:jc w:val="both"/>
        <w:rPr>
          <w:rFonts w:eastAsia="標楷體"/>
          <w:sz w:val="28"/>
          <w:szCs w:val="28"/>
        </w:rPr>
      </w:pPr>
      <w:r w:rsidRPr="00D55DC6">
        <w:rPr>
          <w:rFonts w:eastAsia="標楷體"/>
          <w:sz w:val="28"/>
          <w:szCs w:val="28"/>
        </w:rPr>
        <w:t>(3)</w:t>
      </w:r>
      <w:r w:rsidRPr="00D55DC6">
        <w:rPr>
          <w:rFonts w:eastAsia="標楷體"/>
          <w:sz w:val="28"/>
          <w:szCs w:val="28"/>
        </w:rPr>
        <w:t>服務設施部分，由公部門檢討興設，並進行據點及設施管理維護。</w:t>
      </w:r>
    </w:p>
    <w:p w:rsidR="00DF2F67" w:rsidRPr="00D55DC6" w:rsidRDefault="00DF2F67" w:rsidP="00DF2F67">
      <w:pPr>
        <w:pStyle w:val="33"/>
        <w:adjustRightInd w:val="0"/>
        <w:snapToGrid w:val="0"/>
        <w:spacing w:line="460" w:lineRule="exact"/>
        <w:ind w:leftChars="222" w:left="793" w:hangingChars="93" w:hanging="260"/>
        <w:jc w:val="both"/>
        <w:rPr>
          <w:rFonts w:eastAsia="標楷體"/>
          <w:sz w:val="28"/>
          <w:szCs w:val="28"/>
        </w:rPr>
      </w:pPr>
    </w:p>
    <w:p w:rsidR="00DF2F67" w:rsidRPr="00D55DC6" w:rsidRDefault="00DF2F67" w:rsidP="00DF2F67">
      <w:pPr>
        <w:pStyle w:val="33"/>
        <w:adjustRightInd w:val="0"/>
        <w:snapToGrid w:val="0"/>
        <w:spacing w:line="460" w:lineRule="exact"/>
        <w:ind w:leftChars="222" w:left="793" w:hangingChars="93" w:hanging="260"/>
        <w:jc w:val="both"/>
        <w:rPr>
          <w:rFonts w:eastAsia="標楷體"/>
          <w:sz w:val="28"/>
          <w:szCs w:val="28"/>
        </w:rPr>
      </w:pPr>
    </w:p>
    <w:p w:rsidR="00DF2F67" w:rsidRPr="00D55DC6" w:rsidRDefault="00DF2F67" w:rsidP="00DF2F67">
      <w:pPr>
        <w:pStyle w:val="ad"/>
        <w:adjustRightInd w:val="0"/>
        <w:snapToGrid w:val="0"/>
        <w:spacing w:after="0" w:line="460" w:lineRule="exact"/>
        <w:ind w:leftChars="0" w:left="28" w:rightChars="13" w:right="31"/>
        <w:jc w:val="both"/>
        <w:rPr>
          <w:rFonts w:eastAsia="標楷體"/>
          <w:sz w:val="28"/>
          <w:szCs w:val="28"/>
        </w:rPr>
      </w:pPr>
      <w:r w:rsidRPr="00D55DC6">
        <w:rPr>
          <w:rFonts w:eastAsia="標楷體"/>
          <w:b/>
          <w:sz w:val="28"/>
          <w:szCs w:val="28"/>
        </w:rPr>
        <w:t>(</w:t>
      </w:r>
      <w:r w:rsidRPr="00D55DC6">
        <w:rPr>
          <w:rFonts w:eastAsia="標楷體"/>
          <w:b/>
          <w:sz w:val="28"/>
          <w:szCs w:val="28"/>
        </w:rPr>
        <w:t>二</w:t>
      </w:r>
      <w:r w:rsidRPr="00D55DC6">
        <w:rPr>
          <w:rFonts w:eastAsia="標楷體"/>
          <w:b/>
          <w:sz w:val="28"/>
          <w:szCs w:val="28"/>
        </w:rPr>
        <w:t>)</w:t>
      </w:r>
      <w:r w:rsidRPr="00D55DC6">
        <w:rPr>
          <w:rFonts w:eastAsia="標楷體"/>
          <w:b/>
          <w:sz w:val="28"/>
          <w:szCs w:val="28"/>
        </w:rPr>
        <w:t>主要工作項目</w:t>
      </w:r>
    </w:p>
    <w:p w:rsidR="00DF2F67" w:rsidRPr="00D55DC6" w:rsidRDefault="00DF2F67" w:rsidP="004865C1">
      <w:pPr>
        <w:pStyle w:val="33"/>
        <w:numPr>
          <w:ilvl w:val="0"/>
          <w:numId w:val="153"/>
        </w:numPr>
        <w:snapToGrid w:val="0"/>
        <w:spacing w:line="460" w:lineRule="exact"/>
        <w:ind w:leftChars="0"/>
        <w:jc w:val="both"/>
        <w:rPr>
          <w:rFonts w:eastAsia="標楷體"/>
          <w:b/>
          <w:sz w:val="28"/>
          <w:szCs w:val="28"/>
        </w:rPr>
      </w:pPr>
      <w:r w:rsidRPr="00D55DC6">
        <w:rPr>
          <w:rFonts w:eastAsia="標楷體"/>
          <w:b/>
          <w:sz w:val="28"/>
          <w:szCs w:val="28"/>
        </w:rPr>
        <w:t>國際觀光景點建設</w:t>
      </w:r>
    </w:p>
    <w:p w:rsidR="00DF2F67" w:rsidRPr="00D55DC6" w:rsidRDefault="00DF2F67" w:rsidP="00DF2F67">
      <w:pPr>
        <w:pStyle w:val="33"/>
        <w:adjustRightInd w:val="0"/>
        <w:snapToGrid w:val="0"/>
        <w:spacing w:line="460" w:lineRule="exact"/>
        <w:ind w:leftChars="353" w:left="1415" w:hangingChars="203" w:hanging="568"/>
        <w:jc w:val="both"/>
        <w:rPr>
          <w:rFonts w:eastAsia="標楷體"/>
          <w:sz w:val="28"/>
          <w:szCs w:val="28"/>
        </w:rPr>
      </w:pPr>
      <w:r w:rsidRPr="00D55DC6">
        <w:rPr>
          <w:rFonts w:eastAsia="標楷體"/>
          <w:sz w:val="28"/>
          <w:szCs w:val="28"/>
        </w:rPr>
        <w:t>1-1.</w:t>
      </w:r>
      <w:r w:rsidRPr="00D55DC6">
        <w:rPr>
          <w:rFonts w:eastAsia="標楷體"/>
          <w:sz w:val="28"/>
          <w:szCs w:val="28"/>
        </w:rPr>
        <w:t>建設大鵬灣國家風景區為具國際級船舶水上活動觀光</w:t>
      </w:r>
      <w:r w:rsidR="00EA38C5" w:rsidRPr="00D55DC6">
        <w:rPr>
          <w:rFonts w:eastAsia="標楷體"/>
          <w:sz w:val="28"/>
          <w:szCs w:val="28"/>
        </w:rPr>
        <w:t>度假</w:t>
      </w:r>
      <w:r w:rsidRPr="00D55DC6">
        <w:rPr>
          <w:rFonts w:eastAsia="標楷體"/>
          <w:sz w:val="28"/>
          <w:szCs w:val="28"/>
        </w:rPr>
        <w:t>區，推動各項基礎建設及</w:t>
      </w:r>
      <w:r w:rsidRPr="00D55DC6">
        <w:rPr>
          <w:rFonts w:eastAsia="標楷體"/>
          <w:sz w:val="28"/>
          <w:szCs w:val="28"/>
        </w:rPr>
        <w:t>BOT</w:t>
      </w:r>
      <w:r w:rsidRPr="00D55DC6">
        <w:rPr>
          <w:rFonts w:eastAsia="標楷體"/>
          <w:sz w:val="28"/>
          <w:szCs w:val="28"/>
        </w:rPr>
        <w:t>開發建設。</w:t>
      </w:r>
    </w:p>
    <w:p w:rsidR="00DF2F67" w:rsidRPr="00D55DC6" w:rsidRDefault="00DF2F67" w:rsidP="00DF2F67">
      <w:pPr>
        <w:adjustRightInd w:val="0"/>
        <w:snapToGrid w:val="0"/>
        <w:spacing w:line="460" w:lineRule="exact"/>
        <w:ind w:leftChars="356" w:left="1341" w:hangingChars="174" w:hanging="487"/>
        <w:jc w:val="both"/>
        <w:rPr>
          <w:rFonts w:eastAsia="標楷體"/>
          <w:sz w:val="28"/>
          <w:szCs w:val="28"/>
        </w:rPr>
      </w:pPr>
      <w:r w:rsidRPr="00D55DC6">
        <w:rPr>
          <w:rFonts w:eastAsia="標楷體"/>
          <w:sz w:val="28"/>
          <w:szCs w:val="28"/>
        </w:rPr>
        <w:t>1-2.</w:t>
      </w:r>
      <w:r w:rsidRPr="00D55DC6">
        <w:rPr>
          <w:rFonts w:eastAsia="標楷體"/>
          <w:sz w:val="28"/>
          <w:szCs w:val="28"/>
        </w:rPr>
        <w:t>打造濱灣公園成為水上活動、船舶活動地新亮點</w:t>
      </w:r>
    </w:p>
    <w:p w:rsidR="00DF2F67" w:rsidRPr="00D55DC6" w:rsidRDefault="00DF2F67" w:rsidP="00DF2F67">
      <w:pPr>
        <w:adjustRightInd w:val="0"/>
        <w:snapToGrid w:val="0"/>
        <w:spacing w:line="460" w:lineRule="exact"/>
        <w:ind w:leftChars="530" w:left="1936" w:hangingChars="237" w:hanging="664"/>
        <w:jc w:val="both"/>
        <w:rPr>
          <w:rFonts w:eastAsia="標楷體"/>
          <w:sz w:val="28"/>
          <w:szCs w:val="28"/>
        </w:rPr>
      </w:pPr>
      <w:r w:rsidRPr="00D55DC6">
        <w:rPr>
          <w:rFonts w:eastAsia="標楷體"/>
          <w:sz w:val="28"/>
          <w:szCs w:val="28"/>
        </w:rPr>
        <w:t>1-2-1.</w:t>
      </w:r>
      <w:r w:rsidRPr="00D55DC6">
        <w:rPr>
          <w:rFonts w:eastAsia="標楷體"/>
          <w:sz w:val="28"/>
          <w:szCs w:val="28"/>
        </w:rPr>
        <w:t>建設濱灣公園服務設施，並進行景觀改善，配合活動辦理，活絡此據點，長期塑造成為大鵬灣至小琉球之交通船碼頭，紓解東琉線之遊客流量。</w:t>
      </w:r>
    </w:p>
    <w:p w:rsidR="00DF2F67" w:rsidRPr="00D55DC6" w:rsidRDefault="00DF2F67" w:rsidP="00DF2F67">
      <w:pPr>
        <w:adjustRightInd w:val="0"/>
        <w:snapToGrid w:val="0"/>
        <w:spacing w:line="460" w:lineRule="exact"/>
        <w:ind w:leftChars="531" w:left="1926" w:hangingChars="233" w:hanging="652"/>
        <w:jc w:val="both"/>
        <w:rPr>
          <w:rFonts w:eastAsia="標楷體"/>
          <w:sz w:val="28"/>
          <w:szCs w:val="28"/>
        </w:rPr>
      </w:pPr>
      <w:r w:rsidRPr="00D55DC6">
        <w:rPr>
          <w:rFonts w:eastAsia="標楷體"/>
          <w:sz w:val="28"/>
          <w:szCs w:val="28"/>
        </w:rPr>
        <w:t>1-2-2.</w:t>
      </w:r>
      <w:r w:rsidRPr="00D55DC6">
        <w:rPr>
          <w:rFonts w:eastAsia="標楷體"/>
          <w:sz w:val="28"/>
          <w:szCs w:val="28"/>
        </w:rPr>
        <w:t>進行外堤護岸及休憩區設置，除維護遊客水域活動安全外，並增設休憩點，增加遊客滯留時間及提高對環境之滿意度。</w:t>
      </w:r>
    </w:p>
    <w:p w:rsidR="00DF2F67" w:rsidRPr="00D55DC6" w:rsidRDefault="00DF2F67" w:rsidP="00DF2F67">
      <w:pPr>
        <w:adjustRightInd w:val="0"/>
        <w:snapToGrid w:val="0"/>
        <w:spacing w:line="460" w:lineRule="exact"/>
        <w:ind w:leftChars="531" w:left="1926" w:hangingChars="233" w:hanging="652"/>
        <w:jc w:val="both"/>
        <w:rPr>
          <w:rFonts w:eastAsia="標楷體"/>
          <w:sz w:val="28"/>
          <w:szCs w:val="28"/>
        </w:rPr>
      </w:pPr>
      <w:r w:rsidRPr="00D55DC6">
        <w:rPr>
          <w:rFonts w:eastAsia="標楷體"/>
          <w:sz w:val="28"/>
          <w:szCs w:val="28"/>
        </w:rPr>
        <w:t>1-2-3.</w:t>
      </w:r>
      <w:r w:rsidRPr="00D55DC6">
        <w:rPr>
          <w:rFonts w:eastAsia="標楷體"/>
          <w:sz w:val="28"/>
          <w:szCs w:val="28"/>
        </w:rPr>
        <w:t>為維護船舶出入潮口之航行安全，並減緩潮口淤積速率，設置潮口導流堤護岸，增加船舶航行之安全性。</w:t>
      </w:r>
    </w:p>
    <w:p w:rsidR="00DF2F67" w:rsidRPr="00D55DC6" w:rsidRDefault="00DF2F67" w:rsidP="00DF2F67">
      <w:pPr>
        <w:adjustRightInd w:val="0"/>
        <w:snapToGrid w:val="0"/>
        <w:spacing w:line="460" w:lineRule="exact"/>
        <w:ind w:leftChars="353" w:left="1441" w:hangingChars="212" w:hanging="594"/>
        <w:jc w:val="both"/>
        <w:rPr>
          <w:rFonts w:eastAsia="標楷體"/>
          <w:sz w:val="28"/>
          <w:szCs w:val="28"/>
        </w:rPr>
      </w:pPr>
      <w:r w:rsidRPr="00D55DC6">
        <w:rPr>
          <w:rFonts w:eastAsia="標楷體"/>
          <w:sz w:val="28"/>
          <w:szCs w:val="28"/>
        </w:rPr>
        <w:t>1-3.</w:t>
      </w:r>
      <w:r w:rsidRPr="00D55DC6">
        <w:rPr>
          <w:rFonts w:eastAsia="標楷體"/>
          <w:sz w:val="28"/>
          <w:szCs w:val="28"/>
        </w:rPr>
        <w:t>營造濱海踏浪、賞景、戲沙之場所：進行青洲濱海景觀設施改善，充實遊憩設施內涵，使沙灘與海域活動結合，增加遊客到訪率。</w:t>
      </w:r>
    </w:p>
    <w:p w:rsidR="00DF2F67" w:rsidRPr="00D55DC6" w:rsidRDefault="00DF2F67" w:rsidP="00DF2F67">
      <w:pPr>
        <w:adjustRightInd w:val="0"/>
        <w:snapToGrid w:val="0"/>
        <w:spacing w:line="460" w:lineRule="exact"/>
        <w:ind w:leftChars="354" w:left="1390" w:hangingChars="193" w:hanging="540"/>
        <w:jc w:val="both"/>
        <w:rPr>
          <w:rFonts w:eastAsia="標楷體"/>
          <w:sz w:val="28"/>
          <w:szCs w:val="28"/>
        </w:rPr>
      </w:pPr>
      <w:r w:rsidRPr="00D55DC6">
        <w:rPr>
          <w:rFonts w:eastAsia="標楷體"/>
          <w:sz w:val="28"/>
          <w:szCs w:val="28"/>
        </w:rPr>
        <w:lastRenderedPageBreak/>
        <w:t>1-4.</w:t>
      </w:r>
      <w:r w:rsidRPr="00D55DC6">
        <w:rPr>
          <w:rFonts w:eastAsia="標楷體"/>
          <w:sz w:val="28"/>
          <w:szCs w:val="28"/>
        </w:rPr>
        <w:t>落實濕地環境教育推動：因應濕地環境場域認證，落實推動環境，並擴大為遊客服務，增設各項服務設施，如教育場所、休憩場所、廁所等。</w:t>
      </w:r>
    </w:p>
    <w:p w:rsidR="00DF2F67" w:rsidRPr="00D55DC6" w:rsidRDefault="00DF2F67" w:rsidP="00DF2F67">
      <w:pPr>
        <w:adjustRightInd w:val="0"/>
        <w:snapToGrid w:val="0"/>
        <w:spacing w:line="460" w:lineRule="exact"/>
        <w:ind w:leftChars="354" w:left="1371" w:hangingChars="186" w:hanging="521"/>
        <w:jc w:val="both"/>
        <w:rPr>
          <w:rFonts w:eastAsia="標楷體"/>
          <w:sz w:val="28"/>
          <w:szCs w:val="28"/>
        </w:rPr>
      </w:pPr>
      <w:r w:rsidRPr="00D55DC6">
        <w:rPr>
          <w:rFonts w:eastAsia="標楷體"/>
          <w:sz w:val="28"/>
          <w:szCs w:val="28"/>
        </w:rPr>
        <w:t>1-5.</w:t>
      </w:r>
      <w:r w:rsidRPr="00D55DC6">
        <w:rPr>
          <w:rFonts w:eastAsia="標楷體"/>
          <w:sz w:val="28"/>
          <w:szCs w:val="28"/>
        </w:rPr>
        <w:t>塑造環灣綠帶及周邊綠色廊道：進行環灣綠帶景觀設施改善，供遊客休憩賞景使用；持續辦理區內主要聯絡道路工程休憩設施及綠化工作，塑造成為景觀綠廊，供遊客賞景、拍照、休憩使用，並提高遊客對環境之滿意度。</w:t>
      </w:r>
    </w:p>
    <w:p w:rsidR="00DF2F67" w:rsidRPr="00D55DC6" w:rsidRDefault="00DF2F67" w:rsidP="00DF2F67">
      <w:pPr>
        <w:adjustRightInd w:val="0"/>
        <w:snapToGrid w:val="0"/>
        <w:spacing w:line="460" w:lineRule="exact"/>
        <w:ind w:leftChars="354" w:left="1399" w:hangingChars="196" w:hanging="549"/>
        <w:rPr>
          <w:rFonts w:eastAsia="標楷體"/>
          <w:sz w:val="28"/>
          <w:szCs w:val="28"/>
        </w:rPr>
      </w:pPr>
      <w:r w:rsidRPr="00D55DC6">
        <w:rPr>
          <w:rFonts w:eastAsia="標楷體"/>
          <w:sz w:val="28"/>
          <w:szCs w:val="28"/>
        </w:rPr>
        <w:t>1-6.</w:t>
      </w:r>
      <w:r w:rsidRPr="00D55DC6">
        <w:rPr>
          <w:rFonts w:eastAsia="標楷體"/>
          <w:sz w:val="28"/>
          <w:szCs w:val="28"/>
        </w:rPr>
        <w:t>推動自行車道示範計畫：為配合行政院推動「千里自行車道，萬里步道」實施計畫辦理，連接環灣道路、鄉間村落道路及既有漁塭路堤，構成環灣自行車道系統，並進行周邊景觀改善及設置休憩據點，跨域至東港及林邊地區，提高效益，帶動鄰近地區觀光產業之發展。</w:t>
      </w:r>
    </w:p>
    <w:p w:rsidR="00DF2F67" w:rsidRPr="00D55DC6" w:rsidRDefault="00DF2F67" w:rsidP="00DF2F67">
      <w:pPr>
        <w:adjustRightInd w:val="0"/>
        <w:snapToGrid w:val="0"/>
        <w:spacing w:line="460" w:lineRule="exact"/>
        <w:ind w:leftChars="354" w:left="1427" w:hangingChars="206" w:hanging="577"/>
        <w:rPr>
          <w:rFonts w:eastAsia="標楷體"/>
          <w:sz w:val="28"/>
          <w:szCs w:val="28"/>
        </w:rPr>
      </w:pPr>
      <w:r w:rsidRPr="00D55DC6">
        <w:rPr>
          <w:rFonts w:eastAsia="標楷體"/>
          <w:sz w:val="28"/>
          <w:szCs w:val="28"/>
        </w:rPr>
        <w:t>1-7.</w:t>
      </w:r>
      <w:r w:rsidRPr="00D55DC6">
        <w:rPr>
          <w:rFonts w:eastAsia="標楷體"/>
          <w:sz w:val="28"/>
          <w:szCs w:val="28"/>
        </w:rPr>
        <w:t>推動節能減碳政策，減少碳排量，並將運動與休閒結合，推動國民健康與休閒之旅遊行程</w:t>
      </w:r>
    </w:p>
    <w:p w:rsidR="00DF2F67" w:rsidRPr="00D55DC6" w:rsidRDefault="00DF2F67" w:rsidP="00DF2F67">
      <w:pPr>
        <w:adjustRightInd w:val="0"/>
        <w:snapToGrid w:val="0"/>
        <w:spacing w:line="460" w:lineRule="exact"/>
        <w:ind w:leftChars="355" w:left="1373" w:hangingChars="186" w:hanging="521"/>
        <w:rPr>
          <w:rFonts w:eastAsia="標楷體"/>
          <w:sz w:val="28"/>
          <w:szCs w:val="28"/>
        </w:rPr>
      </w:pPr>
      <w:r w:rsidRPr="00D55DC6">
        <w:rPr>
          <w:rFonts w:eastAsia="標楷體"/>
          <w:sz w:val="28"/>
          <w:szCs w:val="28"/>
        </w:rPr>
        <w:t>1-8.</w:t>
      </w:r>
      <w:r w:rsidRPr="00D55DC6">
        <w:rPr>
          <w:rFonts w:eastAsia="標楷體"/>
          <w:sz w:val="28"/>
          <w:szCs w:val="28"/>
        </w:rPr>
        <w:t>建置潮口服務設施：因應鵬灣跨海大橋遊客增多，各項服務設施，顯然不足以應付，經檢討增設服務設施進行改善，以提升遊客對環境之滿意度。</w:t>
      </w:r>
    </w:p>
    <w:p w:rsidR="00DF2F67" w:rsidRPr="00D55DC6" w:rsidRDefault="00DF2F67" w:rsidP="00DF2F67">
      <w:pPr>
        <w:adjustRightInd w:val="0"/>
        <w:snapToGrid w:val="0"/>
        <w:spacing w:line="460" w:lineRule="exact"/>
        <w:ind w:leftChars="355" w:left="1373" w:hangingChars="186" w:hanging="521"/>
        <w:rPr>
          <w:rFonts w:eastAsia="標楷體"/>
          <w:sz w:val="28"/>
          <w:szCs w:val="28"/>
        </w:rPr>
      </w:pPr>
      <w:r w:rsidRPr="00D55DC6">
        <w:rPr>
          <w:rFonts w:eastAsia="標楷體"/>
          <w:sz w:val="28"/>
          <w:szCs w:val="28"/>
        </w:rPr>
        <w:t>1-9.</w:t>
      </w:r>
      <w:r w:rsidRPr="00D55DC6">
        <w:rPr>
          <w:rFonts w:eastAsia="標楷體"/>
          <w:sz w:val="28"/>
          <w:szCs w:val="28"/>
        </w:rPr>
        <w:t>環灣道路管理維護：因應環灣道路使用日漸頻繁，相對路面磨損及損壞處會較多，因此加強巡邏及強化路面維護，以維護行車安全。</w:t>
      </w:r>
    </w:p>
    <w:p w:rsidR="00DF2F67" w:rsidRPr="00D55DC6" w:rsidRDefault="00DF2F67" w:rsidP="004865C1">
      <w:pPr>
        <w:pStyle w:val="33"/>
        <w:numPr>
          <w:ilvl w:val="0"/>
          <w:numId w:val="153"/>
        </w:numPr>
        <w:snapToGrid w:val="0"/>
        <w:spacing w:line="460" w:lineRule="exact"/>
        <w:ind w:leftChars="0"/>
        <w:jc w:val="both"/>
        <w:rPr>
          <w:rFonts w:eastAsia="標楷體"/>
          <w:b/>
          <w:sz w:val="28"/>
          <w:szCs w:val="28"/>
        </w:rPr>
      </w:pPr>
      <w:r w:rsidRPr="00D55DC6">
        <w:rPr>
          <w:rFonts w:eastAsia="標楷體"/>
          <w:b/>
          <w:sz w:val="28"/>
          <w:szCs w:val="28"/>
        </w:rPr>
        <w:t>國內觀光景點建設</w:t>
      </w:r>
    </w:p>
    <w:p w:rsidR="00DF2F67" w:rsidRPr="00D55DC6" w:rsidRDefault="00DF2F67" w:rsidP="00DF2F67">
      <w:pPr>
        <w:pStyle w:val="33"/>
        <w:adjustRightInd w:val="0"/>
        <w:snapToGrid w:val="0"/>
        <w:spacing w:line="460" w:lineRule="exact"/>
        <w:ind w:leftChars="344" w:left="1372" w:hangingChars="195" w:hanging="546"/>
        <w:jc w:val="both"/>
        <w:rPr>
          <w:rFonts w:eastAsia="標楷體"/>
          <w:sz w:val="28"/>
          <w:szCs w:val="28"/>
        </w:rPr>
      </w:pPr>
      <w:r w:rsidRPr="00D55DC6">
        <w:rPr>
          <w:rFonts w:eastAsia="標楷體"/>
          <w:sz w:val="28"/>
          <w:szCs w:val="28"/>
        </w:rPr>
        <w:t>2-1.</w:t>
      </w:r>
      <w:r w:rsidRPr="00D55DC6">
        <w:rPr>
          <w:rFonts w:eastAsia="標楷體"/>
          <w:sz w:val="28"/>
          <w:szCs w:val="28"/>
        </w:rPr>
        <w:t>建立珊瑚礁生態學習島：小琉球為臺灣唯一珊瑚礁島嶼，透過珊瑚礁復育及遊憩環境改善，營造珊瑚礁生態學習島，並藉由船舶活動串聯，與大鵬灣、高雄都會區發展成為三角旅遊地帶。賡續辦理小琉球低碳島綠色交通計畫之推動，白沙商區及觀光港區周邊後續景觀及交通設施改善、大福港周邊設施改善。</w:t>
      </w:r>
    </w:p>
    <w:p w:rsidR="00DF2F67" w:rsidRPr="00D55DC6" w:rsidRDefault="00DF2F67" w:rsidP="00DF2F67">
      <w:pPr>
        <w:pStyle w:val="33"/>
        <w:adjustRightInd w:val="0"/>
        <w:snapToGrid w:val="0"/>
        <w:spacing w:line="460" w:lineRule="exact"/>
        <w:ind w:leftChars="356" w:left="1344" w:hangingChars="175" w:hanging="490"/>
        <w:jc w:val="both"/>
        <w:rPr>
          <w:rFonts w:eastAsia="標楷體"/>
          <w:sz w:val="28"/>
          <w:szCs w:val="28"/>
        </w:rPr>
      </w:pPr>
      <w:r w:rsidRPr="00D55DC6">
        <w:rPr>
          <w:rFonts w:eastAsia="標楷體"/>
          <w:sz w:val="28"/>
          <w:szCs w:val="28"/>
        </w:rPr>
        <w:t>2-2.</w:t>
      </w:r>
      <w:r w:rsidRPr="00D55DC6">
        <w:rPr>
          <w:rFonts w:eastAsia="標楷體"/>
          <w:sz w:val="28"/>
          <w:szCs w:val="28"/>
        </w:rPr>
        <w:t>推動小琉球潮間帶管制：潮間帶生態為琉球重要觀光資源，因遊客大量增加，已對潮間帶生物產生衝擊，目前公、私部門已有共識，共同推動琉球潮間帶遊客量總量管制，以維持潮間帶之適當遊客承載量，讓潮間帶生態得以在完備制度下獲得保護。我們協</w:t>
      </w:r>
      <w:r w:rsidRPr="00D55DC6">
        <w:rPr>
          <w:rFonts w:eastAsia="標楷體"/>
          <w:sz w:val="28"/>
          <w:szCs w:val="28"/>
        </w:rPr>
        <w:lastRenderedPageBreak/>
        <w:t>調當地</w:t>
      </w:r>
      <w:r w:rsidRPr="00D55DC6">
        <w:rPr>
          <w:rFonts w:eastAsia="標楷體"/>
          <w:sz w:val="28"/>
          <w:szCs w:val="28"/>
        </w:rPr>
        <w:t>NGO</w:t>
      </w:r>
      <w:r w:rsidRPr="00D55DC6">
        <w:rPr>
          <w:rFonts w:eastAsia="標楷體"/>
          <w:sz w:val="28"/>
          <w:szCs w:val="28"/>
        </w:rPr>
        <w:t>團體自主性發起每年</w:t>
      </w:r>
      <w:r w:rsidRPr="00D55DC6">
        <w:rPr>
          <w:rFonts w:eastAsia="標楷體"/>
          <w:sz w:val="28"/>
          <w:szCs w:val="28"/>
        </w:rPr>
        <w:t>12</w:t>
      </w:r>
      <w:r w:rsidRPr="00D55DC6">
        <w:rPr>
          <w:rFonts w:eastAsia="標楷體"/>
          <w:sz w:val="28"/>
          <w:szCs w:val="28"/>
        </w:rPr>
        <w:t>月初至翌年</w:t>
      </w:r>
      <w:r w:rsidRPr="00D55DC6">
        <w:rPr>
          <w:rFonts w:eastAsia="標楷體"/>
          <w:sz w:val="28"/>
          <w:szCs w:val="28"/>
        </w:rPr>
        <w:t>3</w:t>
      </w:r>
      <w:r w:rsidRPr="00D55DC6">
        <w:rPr>
          <w:rFonts w:eastAsia="標楷體"/>
          <w:sz w:val="28"/>
          <w:szCs w:val="28"/>
        </w:rPr>
        <w:t>月底計</w:t>
      </w:r>
      <w:r w:rsidRPr="00D55DC6">
        <w:rPr>
          <w:rFonts w:eastAsia="標楷體"/>
          <w:sz w:val="28"/>
          <w:szCs w:val="28"/>
        </w:rPr>
        <w:t>4</w:t>
      </w:r>
      <w:r w:rsidRPr="00D55DC6">
        <w:rPr>
          <w:rFonts w:eastAsia="標楷體"/>
          <w:sz w:val="28"/>
          <w:szCs w:val="28"/>
        </w:rPr>
        <w:t>個月為潮間帶休養期，俾利生物恢復生態，再配合我們訓練合格之生態導覽解說員帶領，除讓遊客瞭解潮間帶物種之多樣性外，適時宣導潮間帶生態保育之重要性、珍貴性。</w:t>
      </w:r>
    </w:p>
    <w:p w:rsidR="00DF2F67" w:rsidRPr="00D55DC6" w:rsidRDefault="00DF2F67" w:rsidP="00DF2F67">
      <w:pPr>
        <w:pStyle w:val="33"/>
        <w:adjustRightInd w:val="0"/>
        <w:snapToGrid w:val="0"/>
        <w:spacing w:line="460" w:lineRule="exact"/>
        <w:ind w:leftChars="355" w:left="1384" w:hangingChars="190" w:hanging="532"/>
        <w:jc w:val="both"/>
        <w:rPr>
          <w:rFonts w:eastAsia="標楷體"/>
          <w:sz w:val="28"/>
          <w:szCs w:val="28"/>
        </w:rPr>
      </w:pPr>
      <w:r w:rsidRPr="00D55DC6">
        <w:rPr>
          <w:rFonts w:eastAsia="標楷體"/>
          <w:sz w:val="28"/>
          <w:szCs w:val="28"/>
        </w:rPr>
        <w:t>2-3.</w:t>
      </w:r>
      <w:r w:rsidRPr="00D55DC6">
        <w:rPr>
          <w:rFonts w:eastAsia="標楷體"/>
          <w:sz w:val="28"/>
          <w:szCs w:val="28"/>
        </w:rPr>
        <w:t>透過都市計畫將露營區變更為「濱海休閒</w:t>
      </w:r>
      <w:r w:rsidR="00EA38C5" w:rsidRPr="00D55DC6">
        <w:rPr>
          <w:rFonts w:eastAsia="標楷體"/>
          <w:sz w:val="28"/>
          <w:szCs w:val="28"/>
        </w:rPr>
        <w:t>度假</w:t>
      </w:r>
      <w:r w:rsidRPr="00D55DC6">
        <w:rPr>
          <w:rFonts w:eastAsia="標楷體"/>
          <w:sz w:val="28"/>
          <w:szCs w:val="28"/>
        </w:rPr>
        <w:t>區」完成後，並進行</w:t>
      </w:r>
      <w:r w:rsidRPr="00D55DC6">
        <w:rPr>
          <w:rFonts w:eastAsia="標楷體"/>
          <w:sz w:val="28"/>
          <w:szCs w:val="28"/>
        </w:rPr>
        <w:t>BOT+OT</w:t>
      </w:r>
      <w:r w:rsidRPr="00D55DC6">
        <w:rPr>
          <w:rFonts w:eastAsia="標楷體"/>
          <w:sz w:val="28"/>
          <w:szCs w:val="28"/>
        </w:rPr>
        <w:t>案可行性評估，本</w:t>
      </w:r>
      <w:r w:rsidR="00EA38C5" w:rsidRPr="00D55DC6">
        <w:rPr>
          <w:rFonts w:eastAsia="標楷體"/>
          <w:sz w:val="28"/>
          <w:szCs w:val="28"/>
        </w:rPr>
        <w:t>度假</w:t>
      </w:r>
      <w:r w:rsidRPr="00D55DC6">
        <w:rPr>
          <w:rFonts w:eastAsia="標楷體"/>
          <w:sz w:val="28"/>
          <w:szCs w:val="28"/>
        </w:rPr>
        <w:t>區原則採民間參與方式辦理。</w:t>
      </w:r>
    </w:p>
    <w:p w:rsidR="00DF2F67" w:rsidRPr="00D55DC6" w:rsidRDefault="00DF2F67" w:rsidP="004865C1">
      <w:pPr>
        <w:pStyle w:val="33"/>
        <w:numPr>
          <w:ilvl w:val="0"/>
          <w:numId w:val="153"/>
        </w:numPr>
        <w:snapToGrid w:val="0"/>
        <w:spacing w:line="460" w:lineRule="exact"/>
        <w:ind w:leftChars="0"/>
        <w:jc w:val="both"/>
        <w:rPr>
          <w:rFonts w:eastAsia="標楷體"/>
          <w:b/>
          <w:sz w:val="28"/>
          <w:szCs w:val="28"/>
        </w:rPr>
      </w:pPr>
      <w:r w:rsidRPr="00D55DC6">
        <w:rPr>
          <w:rFonts w:eastAsia="標楷體"/>
          <w:b/>
          <w:sz w:val="28"/>
          <w:szCs w:val="28"/>
        </w:rPr>
        <w:t>國家風景區經營管理</w:t>
      </w:r>
    </w:p>
    <w:p w:rsidR="00DF2F67" w:rsidRPr="00D55DC6" w:rsidRDefault="00DF2F67" w:rsidP="00DF2F67">
      <w:pPr>
        <w:adjustRightInd w:val="0"/>
        <w:snapToGrid w:val="0"/>
        <w:spacing w:line="460" w:lineRule="exact"/>
        <w:ind w:leftChars="355" w:left="1426" w:hangingChars="205" w:hanging="574"/>
        <w:jc w:val="both"/>
        <w:rPr>
          <w:rFonts w:eastAsia="標楷體"/>
          <w:sz w:val="28"/>
          <w:szCs w:val="28"/>
        </w:rPr>
      </w:pPr>
      <w:r w:rsidRPr="00D55DC6">
        <w:rPr>
          <w:rFonts w:eastAsia="標楷體"/>
          <w:sz w:val="28"/>
          <w:szCs w:val="28"/>
        </w:rPr>
        <w:t>3-1.</w:t>
      </w:r>
      <w:r w:rsidRPr="00D55DC6">
        <w:rPr>
          <w:rFonts w:eastAsia="標楷體"/>
          <w:sz w:val="28"/>
          <w:szCs w:val="28"/>
        </w:rPr>
        <w:t>用地取得：辦理青洲濱海遊憩區學產土地撥用取得。</w:t>
      </w:r>
    </w:p>
    <w:p w:rsidR="00DF2F67" w:rsidRPr="00D55DC6" w:rsidRDefault="00DF2F67" w:rsidP="00DF2F67">
      <w:pPr>
        <w:pStyle w:val="33"/>
        <w:adjustRightInd w:val="0"/>
        <w:snapToGrid w:val="0"/>
        <w:spacing w:line="460" w:lineRule="exact"/>
        <w:ind w:leftChars="0" w:left="840"/>
        <w:jc w:val="both"/>
        <w:rPr>
          <w:rFonts w:eastAsia="標楷體"/>
          <w:sz w:val="28"/>
          <w:szCs w:val="28"/>
        </w:rPr>
      </w:pPr>
      <w:r w:rsidRPr="00D55DC6">
        <w:rPr>
          <w:rFonts w:eastAsia="標楷體"/>
          <w:sz w:val="28"/>
          <w:szCs w:val="28"/>
        </w:rPr>
        <w:t>3-2.</w:t>
      </w:r>
      <w:r w:rsidRPr="00D55DC6">
        <w:rPr>
          <w:rFonts w:eastAsia="標楷體"/>
          <w:sz w:val="28"/>
          <w:szCs w:val="28"/>
        </w:rPr>
        <w:t>先期規劃設計</w:t>
      </w:r>
    </w:p>
    <w:p w:rsidR="00DF2F67" w:rsidRPr="00D55DC6" w:rsidRDefault="00DF2F67" w:rsidP="00DF2F67">
      <w:pPr>
        <w:adjustRightInd w:val="0"/>
        <w:snapToGrid w:val="0"/>
        <w:spacing w:line="460" w:lineRule="exact"/>
        <w:ind w:left="1330"/>
        <w:jc w:val="both"/>
        <w:rPr>
          <w:rFonts w:eastAsia="標楷體"/>
          <w:sz w:val="28"/>
          <w:szCs w:val="28"/>
        </w:rPr>
      </w:pPr>
      <w:r w:rsidRPr="00D55DC6">
        <w:rPr>
          <w:rFonts w:eastAsia="標楷體"/>
          <w:sz w:val="28"/>
          <w:szCs w:val="28"/>
        </w:rPr>
        <w:t>3-2-1.</w:t>
      </w:r>
      <w:r w:rsidRPr="00D55DC6">
        <w:rPr>
          <w:rFonts w:eastAsia="標楷體"/>
          <w:sz w:val="28"/>
          <w:szCs w:val="28"/>
        </w:rPr>
        <w:t>大鵬灣</w:t>
      </w:r>
      <w:r w:rsidRPr="00D55DC6">
        <w:rPr>
          <w:rFonts w:eastAsia="標楷體"/>
          <w:sz w:val="28"/>
          <w:szCs w:val="28"/>
        </w:rPr>
        <w:t>BOT</w:t>
      </w:r>
      <w:r w:rsidRPr="00D55DC6">
        <w:rPr>
          <w:rFonts w:eastAsia="標楷體"/>
          <w:sz w:val="28"/>
          <w:szCs w:val="28"/>
        </w:rPr>
        <w:t>開發計畫施工階段環境監測。</w:t>
      </w:r>
    </w:p>
    <w:p w:rsidR="00DF2F67" w:rsidRPr="00D55DC6" w:rsidRDefault="00DF2F67" w:rsidP="00DF2F67">
      <w:pPr>
        <w:snapToGrid w:val="0"/>
        <w:spacing w:line="460" w:lineRule="exact"/>
        <w:ind w:left="1330"/>
        <w:jc w:val="both"/>
        <w:rPr>
          <w:rFonts w:eastAsia="標楷體"/>
          <w:sz w:val="28"/>
          <w:szCs w:val="28"/>
        </w:rPr>
      </w:pPr>
      <w:r w:rsidRPr="00D55DC6">
        <w:rPr>
          <w:rFonts w:eastAsia="標楷體"/>
          <w:sz w:val="28"/>
          <w:szCs w:val="28"/>
        </w:rPr>
        <w:t>3-2-2.</w:t>
      </w:r>
      <w:r w:rsidRPr="00D55DC6">
        <w:rPr>
          <w:rFonts w:eastAsia="標楷體"/>
          <w:sz w:val="28"/>
          <w:szCs w:val="28"/>
        </w:rPr>
        <w:t>大鵬灣</w:t>
      </w:r>
      <w:r w:rsidRPr="00D55DC6">
        <w:rPr>
          <w:rFonts w:eastAsia="標楷體"/>
          <w:sz w:val="28"/>
          <w:szCs w:val="28"/>
        </w:rPr>
        <w:t>BOT</w:t>
      </w:r>
      <w:r w:rsidRPr="00D55DC6">
        <w:rPr>
          <w:rFonts w:eastAsia="標楷體"/>
          <w:sz w:val="28"/>
          <w:szCs w:val="28"/>
        </w:rPr>
        <w:t>案履約管理諮詢。</w:t>
      </w:r>
    </w:p>
    <w:p w:rsidR="00DF2F67" w:rsidRPr="00D55DC6" w:rsidRDefault="00DF2F67" w:rsidP="00DF2F67">
      <w:pPr>
        <w:snapToGrid w:val="0"/>
        <w:spacing w:line="460" w:lineRule="exact"/>
        <w:ind w:left="1330"/>
        <w:jc w:val="both"/>
        <w:rPr>
          <w:rFonts w:eastAsia="標楷體"/>
          <w:sz w:val="28"/>
          <w:szCs w:val="28"/>
        </w:rPr>
      </w:pPr>
      <w:r w:rsidRPr="00D55DC6">
        <w:rPr>
          <w:rFonts w:eastAsia="標楷體"/>
          <w:sz w:val="28"/>
          <w:szCs w:val="28"/>
        </w:rPr>
        <w:t>3-2-3.</w:t>
      </w:r>
      <w:r w:rsidRPr="00D55DC6">
        <w:rPr>
          <w:rFonts w:eastAsia="標楷體"/>
          <w:sz w:val="28"/>
          <w:szCs w:val="28"/>
        </w:rPr>
        <w:t>大鵬灣海域安全資訊系統監控。</w:t>
      </w:r>
    </w:p>
    <w:p w:rsidR="00DF2F67" w:rsidRPr="00D55DC6" w:rsidRDefault="00DF2F67" w:rsidP="00DF2F67">
      <w:pPr>
        <w:snapToGrid w:val="0"/>
        <w:spacing w:line="460" w:lineRule="exact"/>
        <w:ind w:left="1330"/>
        <w:jc w:val="both"/>
        <w:rPr>
          <w:rFonts w:eastAsia="標楷體"/>
          <w:sz w:val="28"/>
          <w:szCs w:val="28"/>
        </w:rPr>
      </w:pPr>
      <w:r w:rsidRPr="00D55DC6">
        <w:rPr>
          <w:rFonts w:eastAsia="標楷體"/>
          <w:sz w:val="28"/>
          <w:szCs w:val="28"/>
        </w:rPr>
        <w:t>3-2-4.</w:t>
      </w:r>
      <w:r w:rsidRPr="00D55DC6">
        <w:rPr>
          <w:rFonts w:eastAsia="標楷體"/>
          <w:sz w:val="28"/>
          <w:szCs w:val="28"/>
        </w:rPr>
        <w:t>辦理濱海休閒</w:t>
      </w:r>
      <w:r w:rsidR="00EA38C5" w:rsidRPr="00D55DC6">
        <w:rPr>
          <w:rFonts w:eastAsia="標楷體"/>
          <w:sz w:val="28"/>
          <w:szCs w:val="28"/>
        </w:rPr>
        <w:t>度假</w:t>
      </w:r>
      <w:r w:rsidRPr="00D55DC6">
        <w:rPr>
          <w:rFonts w:eastAsia="標楷體"/>
          <w:sz w:val="28"/>
          <w:szCs w:val="28"/>
        </w:rPr>
        <w:t>區及遊二區環境影響因子蒐集及分析</w:t>
      </w:r>
    </w:p>
    <w:p w:rsidR="00DF2F67" w:rsidRPr="00D55DC6" w:rsidRDefault="00DF2F67" w:rsidP="00DF2F67">
      <w:pPr>
        <w:snapToGrid w:val="0"/>
        <w:spacing w:line="460" w:lineRule="exact"/>
        <w:ind w:left="1330"/>
        <w:jc w:val="both"/>
        <w:rPr>
          <w:rFonts w:eastAsia="標楷體"/>
          <w:sz w:val="28"/>
          <w:szCs w:val="28"/>
        </w:rPr>
      </w:pPr>
      <w:r w:rsidRPr="00D55DC6">
        <w:rPr>
          <w:rFonts w:eastAsia="標楷體"/>
          <w:sz w:val="28"/>
          <w:szCs w:val="28"/>
        </w:rPr>
        <w:t>3-2-5.</w:t>
      </w:r>
      <w:r w:rsidRPr="00D55DC6">
        <w:rPr>
          <w:rFonts w:eastAsia="標楷體"/>
          <w:sz w:val="28"/>
          <w:szCs w:val="28"/>
        </w:rPr>
        <w:t>人工濕地公園監測及管理計畫。</w:t>
      </w:r>
    </w:p>
    <w:p w:rsidR="00DF2F67" w:rsidRPr="00D55DC6" w:rsidRDefault="00DF2F67" w:rsidP="00DF2F67">
      <w:pPr>
        <w:snapToGrid w:val="0"/>
        <w:spacing w:line="460" w:lineRule="exact"/>
        <w:ind w:left="1330"/>
        <w:jc w:val="both"/>
        <w:rPr>
          <w:rFonts w:eastAsia="標楷體"/>
          <w:sz w:val="28"/>
          <w:szCs w:val="28"/>
        </w:rPr>
      </w:pPr>
      <w:r w:rsidRPr="00D55DC6">
        <w:rPr>
          <w:rFonts w:eastAsia="標楷體"/>
          <w:sz w:val="28"/>
          <w:szCs w:val="28"/>
        </w:rPr>
        <w:t>3-2-6.</w:t>
      </w:r>
      <w:r w:rsidRPr="00D55DC6">
        <w:rPr>
          <w:rFonts w:eastAsia="標楷體"/>
          <w:sz w:val="28"/>
          <w:szCs w:val="28"/>
        </w:rPr>
        <w:t>大鵬灣水質監測計畫。</w:t>
      </w:r>
    </w:p>
    <w:p w:rsidR="00DF2F67" w:rsidRPr="00D55DC6" w:rsidRDefault="00DF2F67" w:rsidP="00DF2F67">
      <w:pPr>
        <w:snapToGrid w:val="0"/>
        <w:spacing w:line="460" w:lineRule="exact"/>
        <w:ind w:left="1330"/>
        <w:jc w:val="both"/>
        <w:rPr>
          <w:rFonts w:eastAsia="標楷體"/>
          <w:sz w:val="28"/>
          <w:szCs w:val="28"/>
        </w:rPr>
      </w:pPr>
      <w:r w:rsidRPr="00D55DC6">
        <w:rPr>
          <w:rFonts w:eastAsia="標楷體"/>
          <w:sz w:val="28"/>
          <w:szCs w:val="28"/>
        </w:rPr>
        <w:t>3-2-7.</w:t>
      </w:r>
      <w:r w:rsidRPr="00D55DC6">
        <w:rPr>
          <w:rFonts w:eastAsia="標楷體"/>
          <w:sz w:val="28"/>
          <w:szCs w:val="28"/>
        </w:rPr>
        <w:t>大鵬灣及琉球風景區社區觀光營造。</w:t>
      </w:r>
    </w:p>
    <w:p w:rsidR="00DF2F67" w:rsidRPr="00D55DC6" w:rsidRDefault="00DF2F67" w:rsidP="00DF2F67">
      <w:pPr>
        <w:pStyle w:val="33"/>
        <w:snapToGrid w:val="0"/>
        <w:spacing w:line="460" w:lineRule="exact"/>
        <w:ind w:leftChars="0" w:left="840"/>
        <w:jc w:val="both"/>
        <w:rPr>
          <w:rFonts w:eastAsia="標楷體"/>
          <w:sz w:val="28"/>
          <w:szCs w:val="28"/>
        </w:rPr>
      </w:pPr>
      <w:r w:rsidRPr="00D55DC6">
        <w:rPr>
          <w:rFonts w:eastAsia="標楷體"/>
          <w:sz w:val="28"/>
          <w:szCs w:val="28"/>
        </w:rPr>
        <w:t>3-3.</w:t>
      </w:r>
      <w:r w:rsidRPr="00D55DC6">
        <w:rPr>
          <w:rFonts w:eastAsia="標楷體"/>
          <w:sz w:val="28"/>
          <w:szCs w:val="28"/>
        </w:rPr>
        <w:t>環境維護及設施維持</w:t>
      </w:r>
    </w:p>
    <w:p w:rsidR="00DF2F67" w:rsidRPr="00D55DC6" w:rsidRDefault="00DF2F67" w:rsidP="00DF2F67">
      <w:pPr>
        <w:snapToGrid w:val="0"/>
        <w:spacing w:line="460" w:lineRule="exact"/>
        <w:ind w:left="1330"/>
        <w:jc w:val="both"/>
        <w:rPr>
          <w:rFonts w:eastAsia="標楷體"/>
          <w:sz w:val="28"/>
          <w:szCs w:val="28"/>
        </w:rPr>
      </w:pPr>
      <w:r w:rsidRPr="00D55DC6">
        <w:rPr>
          <w:rFonts w:eastAsia="標楷體"/>
          <w:sz w:val="28"/>
          <w:szCs w:val="28"/>
        </w:rPr>
        <w:t>3-3-1.</w:t>
      </w:r>
      <w:r w:rsidRPr="00D55DC6">
        <w:rPr>
          <w:rFonts w:eastAsia="標楷體"/>
          <w:sz w:val="28"/>
          <w:szCs w:val="28"/>
        </w:rPr>
        <w:t>大鵬灣出海口護岸及航道改善維護。</w:t>
      </w:r>
    </w:p>
    <w:p w:rsidR="00DF2F67" w:rsidRPr="00D55DC6" w:rsidRDefault="00DF2F67" w:rsidP="00DF2F67">
      <w:pPr>
        <w:snapToGrid w:val="0"/>
        <w:spacing w:line="460" w:lineRule="exact"/>
        <w:ind w:left="1330"/>
        <w:jc w:val="both"/>
        <w:rPr>
          <w:rFonts w:eastAsia="標楷體"/>
          <w:sz w:val="28"/>
          <w:szCs w:val="28"/>
        </w:rPr>
      </w:pPr>
      <w:r w:rsidRPr="00D55DC6">
        <w:rPr>
          <w:rFonts w:eastAsia="標楷體"/>
          <w:sz w:val="28"/>
          <w:szCs w:val="28"/>
        </w:rPr>
        <w:t>3-3-2.</w:t>
      </w:r>
      <w:r w:rsidRPr="00D55DC6">
        <w:rPr>
          <w:rFonts w:eastAsia="標楷體"/>
          <w:sz w:val="28"/>
          <w:szCs w:val="28"/>
        </w:rPr>
        <w:t>環灣道路及自行車道環境景觀維護。</w:t>
      </w:r>
    </w:p>
    <w:p w:rsidR="00DF2F67" w:rsidRPr="00D55DC6" w:rsidRDefault="00DF2F67" w:rsidP="00DF2F67">
      <w:pPr>
        <w:snapToGrid w:val="0"/>
        <w:spacing w:line="460" w:lineRule="exact"/>
        <w:ind w:left="1330"/>
        <w:jc w:val="both"/>
        <w:rPr>
          <w:rFonts w:eastAsia="標楷體"/>
          <w:sz w:val="28"/>
          <w:szCs w:val="28"/>
        </w:rPr>
      </w:pPr>
      <w:r w:rsidRPr="00D55DC6">
        <w:rPr>
          <w:rFonts w:eastAsia="標楷體"/>
          <w:sz w:val="28"/>
          <w:szCs w:val="28"/>
        </w:rPr>
        <w:t>3-3-3.</w:t>
      </w:r>
      <w:r w:rsidRPr="00D55DC6">
        <w:rPr>
          <w:rFonts w:eastAsia="標楷體"/>
          <w:sz w:val="28"/>
          <w:szCs w:val="28"/>
        </w:rPr>
        <w:t>濕地公園管理維護。</w:t>
      </w:r>
    </w:p>
    <w:p w:rsidR="00DF2F67" w:rsidRPr="00D55DC6" w:rsidRDefault="00DF2F67" w:rsidP="00DF2F67">
      <w:pPr>
        <w:snapToGrid w:val="0"/>
        <w:spacing w:line="460" w:lineRule="exact"/>
        <w:ind w:left="1330"/>
        <w:jc w:val="both"/>
        <w:rPr>
          <w:rFonts w:eastAsia="標楷體"/>
          <w:sz w:val="28"/>
          <w:szCs w:val="28"/>
        </w:rPr>
      </w:pPr>
      <w:r w:rsidRPr="00D55DC6">
        <w:rPr>
          <w:rFonts w:eastAsia="標楷體"/>
          <w:sz w:val="28"/>
          <w:szCs w:val="28"/>
        </w:rPr>
        <w:t>3-4-4.</w:t>
      </w:r>
      <w:r w:rsidRPr="00D55DC6">
        <w:rPr>
          <w:rFonts w:eastAsia="標楷體"/>
          <w:sz w:val="28"/>
          <w:szCs w:val="28"/>
        </w:rPr>
        <w:t>鵬灣跨海大橋定期保養油料磨耗零件更換及維護。</w:t>
      </w:r>
    </w:p>
    <w:p w:rsidR="00DF2F67" w:rsidRPr="00D55DC6" w:rsidRDefault="00DF2F67" w:rsidP="00DF2F67">
      <w:pPr>
        <w:snapToGrid w:val="0"/>
        <w:spacing w:line="460" w:lineRule="exact"/>
        <w:ind w:left="1330"/>
        <w:jc w:val="both"/>
        <w:rPr>
          <w:rFonts w:eastAsia="標楷體"/>
          <w:sz w:val="28"/>
          <w:szCs w:val="28"/>
        </w:rPr>
      </w:pPr>
      <w:r w:rsidRPr="00D55DC6">
        <w:rPr>
          <w:rFonts w:eastAsia="標楷體"/>
          <w:sz w:val="28"/>
          <w:szCs w:val="28"/>
        </w:rPr>
        <w:t>3-4-5.</w:t>
      </w:r>
      <w:r w:rsidRPr="00D55DC6">
        <w:rPr>
          <w:rFonts w:eastAsia="標楷體"/>
          <w:sz w:val="28"/>
          <w:szCs w:val="28"/>
        </w:rPr>
        <w:t>辦理大鵬灣及小琉球環境清潔維護。</w:t>
      </w:r>
    </w:p>
    <w:p w:rsidR="00DF2F67" w:rsidRPr="00D55DC6" w:rsidRDefault="00DF2F67" w:rsidP="00DF2F67">
      <w:pPr>
        <w:pStyle w:val="33"/>
        <w:snapToGrid w:val="0"/>
        <w:spacing w:line="460" w:lineRule="exact"/>
        <w:ind w:leftChars="0" w:left="840"/>
        <w:jc w:val="both"/>
        <w:rPr>
          <w:rFonts w:eastAsia="標楷體"/>
          <w:sz w:val="28"/>
          <w:szCs w:val="28"/>
        </w:rPr>
      </w:pPr>
      <w:r w:rsidRPr="00D55DC6">
        <w:rPr>
          <w:rFonts w:eastAsia="標楷體"/>
          <w:sz w:val="28"/>
          <w:szCs w:val="28"/>
        </w:rPr>
        <w:t>3-4.</w:t>
      </w:r>
      <w:r w:rsidRPr="00D55DC6">
        <w:rPr>
          <w:rFonts w:eastAsia="標楷體"/>
          <w:sz w:val="28"/>
          <w:szCs w:val="28"/>
        </w:rPr>
        <w:t>全區災害復舊及一般零星工程</w:t>
      </w:r>
    </w:p>
    <w:p w:rsidR="00DF2F67" w:rsidRPr="00D55DC6" w:rsidRDefault="00DF2F67" w:rsidP="00DF2F67">
      <w:pPr>
        <w:snapToGrid w:val="0"/>
        <w:spacing w:line="460" w:lineRule="exact"/>
        <w:ind w:left="1344"/>
        <w:jc w:val="both"/>
        <w:rPr>
          <w:rFonts w:eastAsia="標楷體"/>
          <w:sz w:val="28"/>
          <w:szCs w:val="28"/>
        </w:rPr>
      </w:pPr>
      <w:r w:rsidRPr="00D55DC6">
        <w:rPr>
          <w:rFonts w:eastAsia="標楷體"/>
          <w:sz w:val="28"/>
          <w:szCs w:val="28"/>
        </w:rPr>
        <w:t>3-4-1.</w:t>
      </w:r>
      <w:r w:rsidRPr="00D55DC6">
        <w:rPr>
          <w:rFonts w:eastAsia="標楷體"/>
          <w:sz w:val="28"/>
          <w:szCs w:val="28"/>
        </w:rPr>
        <w:t>全區植栽撫育。</w:t>
      </w:r>
    </w:p>
    <w:p w:rsidR="00DF2F67" w:rsidRPr="00D55DC6" w:rsidRDefault="00DF2F67" w:rsidP="00DF2F67">
      <w:pPr>
        <w:snapToGrid w:val="0"/>
        <w:spacing w:line="460" w:lineRule="exact"/>
        <w:ind w:left="1344"/>
        <w:jc w:val="both"/>
        <w:rPr>
          <w:rFonts w:eastAsia="標楷體"/>
          <w:sz w:val="28"/>
          <w:szCs w:val="28"/>
        </w:rPr>
      </w:pPr>
      <w:r w:rsidRPr="00D55DC6">
        <w:rPr>
          <w:rFonts w:eastAsia="標楷體"/>
          <w:sz w:val="28"/>
          <w:szCs w:val="28"/>
        </w:rPr>
        <w:t>3-4-2.</w:t>
      </w:r>
      <w:r w:rsidRPr="00D55DC6">
        <w:rPr>
          <w:rFonts w:eastAsia="標楷體"/>
          <w:sz w:val="28"/>
          <w:szCs w:val="28"/>
        </w:rPr>
        <w:t>災害及設施管理維護。</w:t>
      </w:r>
    </w:p>
    <w:p w:rsidR="00DF2F67" w:rsidRPr="00D55DC6" w:rsidRDefault="00DF2F67" w:rsidP="00DF2F67">
      <w:pPr>
        <w:snapToGrid w:val="0"/>
        <w:spacing w:line="460" w:lineRule="exact"/>
        <w:ind w:left="1344"/>
        <w:jc w:val="both"/>
        <w:rPr>
          <w:rFonts w:eastAsia="標楷體"/>
          <w:sz w:val="28"/>
          <w:szCs w:val="28"/>
        </w:rPr>
      </w:pPr>
      <w:r w:rsidRPr="00D55DC6">
        <w:rPr>
          <w:rFonts w:eastAsia="標楷體"/>
          <w:sz w:val="28"/>
          <w:szCs w:val="28"/>
        </w:rPr>
        <w:t>3-4-3.</w:t>
      </w:r>
      <w:r w:rsidRPr="00D55DC6">
        <w:rPr>
          <w:rFonts w:eastAsia="標楷體"/>
          <w:sz w:val="28"/>
          <w:szCs w:val="28"/>
        </w:rPr>
        <w:t>琉球風景區設施維護。</w:t>
      </w:r>
    </w:p>
    <w:p w:rsidR="00DF2F67" w:rsidRPr="00D55DC6" w:rsidRDefault="00DF2F67" w:rsidP="004865C1">
      <w:pPr>
        <w:pStyle w:val="33"/>
        <w:numPr>
          <w:ilvl w:val="0"/>
          <w:numId w:val="153"/>
        </w:numPr>
        <w:snapToGrid w:val="0"/>
        <w:spacing w:line="460" w:lineRule="exact"/>
        <w:ind w:leftChars="0"/>
        <w:jc w:val="both"/>
        <w:rPr>
          <w:rFonts w:eastAsia="標楷體"/>
          <w:b/>
          <w:sz w:val="28"/>
          <w:szCs w:val="28"/>
        </w:rPr>
      </w:pPr>
      <w:r w:rsidRPr="00D55DC6">
        <w:rPr>
          <w:rFonts w:eastAsia="標楷體"/>
          <w:b/>
          <w:sz w:val="28"/>
          <w:szCs w:val="28"/>
        </w:rPr>
        <w:t>經營管理及行銷推廣</w:t>
      </w:r>
    </w:p>
    <w:p w:rsidR="00DF2F67" w:rsidRPr="00D55DC6" w:rsidRDefault="00DF2F67" w:rsidP="00DF2F67">
      <w:pPr>
        <w:pStyle w:val="33"/>
        <w:snapToGrid w:val="0"/>
        <w:spacing w:line="460" w:lineRule="exact"/>
        <w:ind w:leftChars="0" w:left="840"/>
        <w:jc w:val="both"/>
        <w:rPr>
          <w:rFonts w:eastAsia="標楷體"/>
          <w:sz w:val="28"/>
          <w:szCs w:val="28"/>
        </w:rPr>
      </w:pPr>
      <w:r w:rsidRPr="00D55DC6">
        <w:rPr>
          <w:rFonts w:eastAsia="標楷體"/>
          <w:sz w:val="28"/>
          <w:szCs w:val="28"/>
        </w:rPr>
        <w:t>4-1.</w:t>
      </w:r>
      <w:r w:rsidRPr="00D55DC6">
        <w:rPr>
          <w:rFonts w:eastAsia="標楷體"/>
          <w:sz w:val="28"/>
          <w:szCs w:val="28"/>
        </w:rPr>
        <w:t>經營管理：</w:t>
      </w:r>
    </w:p>
    <w:p w:rsidR="00DF2F67" w:rsidRPr="00D55DC6" w:rsidRDefault="00DF2F67" w:rsidP="00DF2F67">
      <w:pPr>
        <w:pStyle w:val="33"/>
        <w:snapToGrid w:val="0"/>
        <w:spacing w:line="460" w:lineRule="exact"/>
        <w:ind w:leftChars="0" w:left="1288"/>
        <w:jc w:val="both"/>
        <w:rPr>
          <w:rFonts w:eastAsia="標楷體"/>
          <w:sz w:val="28"/>
          <w:szCs w:val="28"/>
        </w:rPr>
      </w:pPr>
      <w:r w:rsidRPr="00D55DC6">
        <w:rPr>
          <w:rFonts w:eastAsia="標楷體"/>
          <w:sz w:val="28"/>
          <w:szCs w:val="28"/>
        </w:rPr>
        <w:t>4-1-1.</w:t>
      </w:r>
      <w:r w:rsidRPr="00D55DC6">
        <w:rPr>
          <w:rFonts w:eastAsia="標楷體"/>
          <w:sz w:val="28"/>
          <w:szCs w:val="28"/>
        </w:rPr>
        <w:t>建置設施巡查機制及管理系統。</w:t>
      </w:r>
    </w:p>
    <w:p w:rsidR="00DF2F67" w:rsidRPr="00D55DC6" w:rsidRDefault="00DF2F67" w:rsidP="00DF2F67">
      <w:pPr>
        <w:pStyle w:val="33"/>
        <w:snapToGrid w:val="0"/>
        <w:spacing w:line="460" w:lineRule="exact"/>
        <w:ind w:leftChars="0" w:left="1288"/>
        <w:jc w:val="both"/>
        <w:rPr>
          <w:rFonts w:eastAsia="標楷體"/>
          <w:sz w:val="28"/>
          <w:szCs w:val="28"/>
        </w:rPr>
      </w:pPr>
      <w:r w:rsidRPr="00D55DC6">
        <w:rPr>
          <w:rFonts w:eastAsia="標楷體"/>
          <w:sz w:val="28"/>
          <w:szCs w:val="28"/>
        </w:rPr>
        <w:t>4-1-2.</w:t>
      </w:r>
      <w:r w:rsidRPr="00D55DC6">
        <w:rPr>
          <w:rFonts w:eastAsia="標楷體"/>
          <w:sz w:val="28"/>
          <w:szCs w:val="28"/>
        </w:rPr>
        <w:t>濱灣公園遊客安全與救難協會簽訂合作契約並推動。</w:t>
      </w:r>
    </w:p>
    <w:p w:rsidR="00DF2F67" w:rsidRPr="00D55DC6" w:rsidRDefault="00DF2F67" w:rsidP="00DF2F67">
      <w:pPr>
        <w:pStyle w:val="33"/>
        <w:snapToGrid w:val="0"/>
        <w:spacing w:line="460" w:lineRule="exact"/>
        <w:ind w:leftChars="0" w:left="1288"/>
        <w:jc w:val="both"/>
        <w:rPr>
          <w:rFonts w:eastAsia="標楷體"/>
          <w:sz w:val="28"/>
          <w:szCs w:val="28"/>
        </w:rPr>
      </w:pPr>
      <w:r w:rsidRPr="00D55DC6">
        <w:rPr>
          <w:rFonts w:eastAsia="標楷體"/>
          <w:sz w:val="28"/>
          <w:szCs w:val="28"/>
        </w:rPr>
        <w:lastRenderedPageBreak/>
        <w:t>4-1-3.</w:t>
      </w:r>
      <w:r w:rsidRPr="00D55DC6">
        <w:rPr>
          <w:rFonts w:eastAsia="標楷體"/>
          <w:sz w:val="28"/>
          <w:szCs w:val="28"/>
        </w:rPr>
        <w:t>增設碼頭進行出租增加收益。</w:t>
      </w:r>
    </w:p>
    <w:p w:rsidR="00DF2F67" w:rsidRPr="00D55DC6" w:rsidRDefault="00DF2F67" w:rsidP="00DF2F67">
      <w:pPr>
        <w:pStyle w:val="33"/>
        <w:snapToGrid w:val="0"/>
        <w:spacing w:line="460" w:lineRule="exact"/>
        <w:ind w:leftChars="0" w:left="1288"/>
        <w:jc w:val="both"/>
        <w:rPr>
          <w:rFonts w:eastAsia="標楷體"/>
          <w:sz w:val="28"/>
          <w:szCs w:val="28"/>
        </w:rPr>
      </w:pPr>
      <w:r w:rsidRPr="00D55DC6">
        <w:rPr>
          <w:rFonts w:eastAsia="標楷體"/>
          <w:sz w:val="28"/>
          <w:szCs w:val="28"/>
        </w:rPr>
        <w:t>4-1-4.</w:t>
      </w:r>
      <w:r w:rsidRPr="00D55DC6">
        <w:rPr>
          <w:rFonts w:eastAsia="標楷體"/>
          <w:sz w:val="28"/>
          <w:szCs w:val="28"/>
        </w:rPr>
        <w:t>監督所有出租案之經營管理。</w:t>
      </w:r>
    </w:p>
    <w:p w:rsidR="00DF2F67" w:rsidRPr="00D55DC6" w:rsidRDefault="00DF2F67" w:rsidP="00DF2F67">
      <w:pPr>
        <w:pStyle w:val="33"/>
        <w:snapToGrid w:val="0"/>
        <w:spacing w:line="460" w:lineRule="exact"/>
        <w:ind w:leftChars="0" w:left="1288"/>
        <w:jc w:val="both"/>
        <w:rPr>
          <w:rFonts w:eastAsia="標楷體"/>
          <w:sz w:val="28"/>
          <w:szCs w:val="28"/>
        </w:rPr>
      </w:pPr>
      <w:r w:rsidRPr="00D55DC6">
        <w:rPr>
          <w:rFonts w:eastAsia="標楷體"/>
          <w:sz w:val="28"/>
          <w:szCs w:val="28"/>
        </w:rPr>
        <w:t>4-1-5.</w:t>
      </w:r>
      <w:r w:rsidRPr="00D55DC6">
        <w:rPr>
          <w:rFonts w:eastAsia="標楷體"/>
          <w:sz w:val="28"/>
          <w:szCs w:val="28"/>
        </w:rPr>
        <w:t>全區指標導覽牌示改善及增設。</w:t>
      </w:r>
    </w:p>
    <w:p w:rsidR="00DF2F67" w:rsidRPr="00D55DC6" w:rsidRDefault="00DF2F67" w:rsidP="00DF2F67">
      <w:pPr>
        <w:pStyle w:val="33"/>
        <w:snapToGrid w:val="0"/>
        <w:spacing w:line="460" w:lineRule="exact"/>
        <w:ind w:leftChars="0" w:left="1288"/>
        <w:jc w:val="both"/>
        <w:rPr>
          <w:rFonts w:eastAsia="標楷體"/>
          <w:sz w:val="28"/>
          <w:szCs w:val="28"/>
        </w:rPr>
      </w:pPr>
      <w:r w:rsidRPr="00D55DC6">
        <w:rPr>
          <w:rFonts w:eastAsia="標楷體"/>
          <w:sz w:val="28"/>
          <w:szCs w:val="28"/>
        </w:rPr>
        <w:t>4-1-6.</w:t>
      </w:r>
      <w:r w:rsidRPr="00D55DC6">
        <w:rPr>
          <w:rFonts w:eastAsia="標楷體"/>
          <w:sz w:val="28"/>
          <w:szCs w:val="28"/>
        </w:rPr>
        <w:t>服務設施改善及維護管理。</w:t>
      </w:r>
    </w:p>
    <w:p w:rsidR="00DF2F67" w:rsidRPr="00D55DC6" w:rsidRDefault="00DF2F67" w:rsidP="00DF2F67">
      <w:pPr>
        <w:pStyle w:val="33"/>
        <w:snapToGrid w:val="0"/>
        <w:spacing w:line="460" w:lineRule="exact"/>
        <w:ind w:leftChars="0" w:left="840"/>
        <w:jc w:val="both"/>
        <w:rPr>
          <w:rFonts w:eastAsia="標楷體"/>
          <w:sz w:val="28"/>
          <w:szCs w:val="28"/>
        </w:rPr>
      </w:pPr>
      <w:r w:rsidRPr="00D55DC6">
        <w:rPr>
          <w:rFonts w:eastAsia="標楷體"/>
          <w:sz w:val="28"/>
          <w:szCs w:val="28"/>
        </w:rPr>
        <w:t>4-2.</w:t>
      </w:r>
      <w:r w:rsidRPr="00D55DC6">
        <w:rPr>
          <w:rFonts w:eastAsia="標楷體"/>
          <w:sz w:val="28"/>
          <w:szCs w:val="28"/>
        </w:rPr>
        <w:t>行銷推廣：</w:t>
      </w:r>
    </w:p>
    <w:p w:rsidR="00DF2F67" w:rsidRPr="00D55DC6" w:rsidRDefault="00DF2F67" w:rsidP="00DF2F67">
      <w:pPr>
        <w:adjustRightInd w:val="0"/>
        <w:snapToGrid w:val="0"/>
        <w:spacing w:line="460" w:lineRule="exact"/>
        <w:ind w:leftChars="535" w:left="2057" w:hangingChars="276" w:hanging="773"/>
        <w:jc w:val="both"/>
        <w:rPr>
          <w:rFonts w:eastAsia="標楷體"/>
          <w:sz w:val="28"/>
          <w:szCs w:val="28"/>
        </w:rPr>
      </w:pPr>
      <w:r w:rsidRPr="00D55DC6">
        <w:rPr>
          <w:rFonts w:eastAsia="標楷體"/>
          <w:sz w:val="28"/>
          <w:szCs w:val="28"/>
        </w:rPr>
        <w:t>4-2-1.</w:t>
      </w:r>
      <w:r w:rsidRPr="00D55DC6">
        <w:rPr>
          <w:rFonts w:eastAsia="標楷體"/>
          <w:sz w:val="28"/>
          <w:szCs w:val="28"/>
        </w:rPr>
        <w:t>持續輔導屏東縣恆春半島觀光產業聯盟，加速觀光計畫之推動，達成國際遊客量增加之目標。</w:t>
      </w:r>
    </w:p>
    <w:p w:rsidR="00DF2F67" w:rsidRPr="00D55DC6" w:rsidRDefault="00DF2F67" w:rsidP="00DF2F67">
      <w:pPr>
        <w:snapToGrid w:val="0"/>
        <w:spacing w:line="460" w:lineRule="exact"/>
        <w:ind w:leftChars="536" w:left="2028" w:hangingChars="265" w:hanging="742"/>
        <w:jc w:val="both"/>
        <w:rPr>
          <w:rFonts w:eastAsia="標楷體"/>
          <w:sz w:val="28"/>
          <w:szCs w:val="28"/>
        </w:rPr>
      </w:pPr>
      <w:r w:rsidRPr="00D55DC6">
        <w:rPr>
          <w:rFonts w:eastAsia="標楷體"/>
          <w:sz w:val="28"/>
          <w:szCs w:val="28"/>
        </w:rPr>
        <w:t>4-2-2.</w:t>
      </w:r>
      <w:r w:rsidRPr="00D55DC6">
        <w:rPr>
          <w:rFonts w:eastAsia="標楷體"/>
          <w:sz w:val="28"/>
          <w:szCs w:val="28"/>
        </w:rPr>
        <w:t>配合地方政府辦理行銷活動，如黑鲔魚文化觀光季、恆春半島藝民謠節、東港及小琉球王船祭、愛戀四重溪溫泉美食展等。</w:t>
      </w:r>
    </w:p>
    <w:p w:rsidR="00DF2F67" w:rsidRPr="00D55DC6" w:rsidRDefault="00DF2F67" w:rsidP="00DF2F67">
      <w:pPr>
        <w:snapToGrid w:val="0"/>
        <w:spacing w:line="460" w:lineRule="exact"/>
        <w:ind w:leftChars="536" w:left="1888" w:hangingChars="215" w:hanging="602"/>
        <w:jc w:val="both"/>
        <w:rPr>
          <w:rFonts w:eastAsia="標楷體"/>
          <w:sz w:val="28"/>
          <w:szCs w:val="28"/>
        </w:rPr>
      </w:pPr>
      <w:r w:rsidRPr="00D55DC6">
        <w:rPr>
          <w:rFonts w:eastAsia="標楷體"/>
          <w:sz w:val="28"/>
          <w:szCs w:val="28"/>
        </w:rPr>
        <w:t>4-2-3.</w:t>
      </w:r>
      <w:r w:rsidRPr="00D55DC6">
        <w:rPr>
          <w:rFonts w:eastAsia="標楷體"/>
          <w:sz w:val="28"/>
          <w:szCs w:val="28"/>
        </w:rPr>
        <w:t>辦理環灣自行車道行銷推廣活動，持續行銷大鵬灣。</w:t>
      </w:r>
    </w:p>
    <w:p w:rsidR="00DF2F67" w:rsidRPr="00D55DC6" w:rsidRDefault="00DF2F67" w:rsidP="00DF2F67">
      <w:pPr>
        <w:snapToGrid w:val="0"/>
        <w:spacing w:line="460" w:lineRule="exact"/>
        <w:ind w:left="1288"/>
        <w:jc w:val="both"/>
        <w:rPr>
          <w:rFonts w:eastAsia="標楷體"/>
          <w:sz w:val="28"/>
          <w:szCs w:val="28"/>
        </w:rPr>
      </w:pPr>
      <w:r w:rsidRPr="00D55DC6">
        <w:rPr>
          <w:rFonts w:eastAsia="標楷體"/>
          <w:sz w:val="28"/>
          <w:szCs w:val="28"/>
        </w:rPr>
        <w:t>4-2-4.</w:t>
      </w:r>
      <w:r w:rsidRPr="00D55DC6">
        <w:rPr>
          <w:rFonts w:eastAsia="標楷體"/>
          <w:sz w:val="28"/>
          <w:szCs w:val="28"/>
        </w:rPr>
        <w:t>辦理星空馬拉松行銷大鵬灣之美。</w:t>
      </w:r>
    </w:p>
    <w:p w:rsidR="00DF2F67" w:rsidRPr="00D55DC6" w:rsidRDefault="00DF2F67" w:rsidP="00DF2F67">
      <w:pPr>
        <w:snapToGrid w:val="0"/>
        <w:spacing w:line="460" w:lineRule="exact"/>
        <w:ind w:leftChars="536" w:left="2056" w:hangingChars="275" w:hanging="770"/>
        <w:jc w:val="both"/>
        <w:rPr>
          <w:rFonts w:eastAsia="標楷體"/>
          <w:sz w:val="28"/>
          <w:szCs w:val="28"/>
        </w:rPr>
      </w:pPr>
      <w:r w:rsidRPr="00D55DC6">
        <w:rPr>
          <w:rFonts w:eastAsia="標楷體"/>
          <w:sz w:val="28"/>
          <w:szCs w:val="28"/>
        </w:rPr>
        <w:t>4-2-5.</w:t>
      </w:r>
      <w:r w:rsidRPr="00D55DC6">
        <w:rPr>
          <w:rFonts w:eastAsia="標楷體"/>
          <w:sz w:val="28"/>
          <w:szCs w:val="28"/>
        </w:rPr>
        <w:t>辦理大鵬灣風帆全國或國際挑戰賽與地方特色市集結合，擴大行銷效益。</w:t>
      </w:r>
    </w:p>
    <w:p w:rsidR="00DF2F67" w:rsidRPr="00D55DC6" w:rsidRDefault="00DF2F67" w:rsidP="00DF2F67">
      <w:pPr>
        <w:snapToGrid w:val="0"/>
        <w:spacing w:line="460" w:lineRule="exact"/>
        <w:ind w:left="1288"/>
        <w:jc w:val="both"/>
        <w:rPr>
          <w:rFonts w:eastAsia="標楷體"/>
          <w:sz w:val="28"/>
          <w:szCs w:val="28"/>
        </w:rPr>
      </w:pPr>
      <w:r w:rsidRPr="00D55DC6">
        <w:rPr>
          <w:rFonts w:eastAsia="標楷體"/>
          <w:sz w:val="28"/>
          <w:szCs w:val="28"/>
        </w:rPr>
        <w:t>4-2-6.</w:t>
      </w:r>
      <w:r w:rsidRPr="00D55DC6">
        <w:rPr>
          <w:rFonts w:eastAsia="標楷體"/>
          <w:sz w:val="28"/>
          <w:szCs w:val="28"/>
        </w:rPr>
        <w:t>辦理粉絲團及網站行銷活動，增加網站之瀏覽率。</w:t>
      </w:r>
    </w:p>
    <w:p w:rsidR="00DF2F67" w:rsidRPr="00D55DC6" w:rsidRDefault="00DF2F67" w:rsidP="00DF2F67">
      <w:pPr>
        <w:snapToGrid w:val="0"/>
        <w:spacing w:line="460" w:lineRule="exact"/>
        <w:ind w:left="1288"/>
        <w:jc w:val="both"/>
        <w:rPr>
          <w:rFonts w:eastAsia="標楷體"/>
          <w:sz w:val="28"/>
          <w:szCs w:val="28"/>
        </w:rPr>
      </w:pPr>
      <w:r w:rsidRPr="00D55DC6">
        <w:rPr>
          <w:rFonts w:eastAsia="標楷體"/>
          <w:sz w:val="28"/>
          <w:szCs w:val="28"/>
        </w:rPr>
        <w:t>4-2-7.</w:t>
      </w:r>
      <w:r w:rsidRPr="00D55DC6">
        <w:rPr>
          <w:rFonts w:eastAsia="標楷體"/>
          <w:sz w:val="28"/>
          <w:szCs w:val="28"/>
        </w:rPr>
        <w:t>文宣資料、觀光網頁更新及創新、大鵬灣電子報持續發行。</w:t>
      </w:r>
    </w:p>
    <w:p w:rsidR="00DF2F67" w:rsidRPr="00D55DC6" w:rsidRDefault="00DF2F67" w:rsidP="00DF2F67">
      <w:pPr>
        <w:snapToGrid w:val="0"/>
        <w:spacing w:line="460" w:lineRule="exact"/>
        <w:ind w:leftChars="537" w:left="2042" w:hangingChars="269" w:hanging="753"/>
        <w:jc w:val="both"/>
        <w:rPr>
          <w:rFonts w:eastAsia="標楷體"/>
          <w:sz w:val="28"/>
          <w:szCs w:val="28"/>
        </w:rPr>
      </w:pPr>
      <w:r w:rsidRPr="00D55DC6">
        <w:rPr>
          <w:rFonts w:eastAsia="標楷體"/>
          <w:sz w:val="28"/>
          <w:szCs w:val="28"/>
        </w:rPr>
        <w:t>4-2-8.</w:t>
      </w:r>
      <w:r w:rsidRPr="00D55DC6">
        <w:rPr>
          <w:rFonts w:eastAsia="標楷體"/>
          <w:sz w:val="28"/>
          <w:szCs w:val="28"/>
        </w:rPr>
        <w:t>辦理三項鐵人活動、冬季泳渡大鵬灣、小琉球潮間帶生態旅遊、小琉球觀星之旅等行銷活動。</w:t>
      </w:r>
    </w:p>
    <w:p w:rsidR="00DF2F67" w:rsidRPr="00D55DC6" w:rsidRDefault="00DF2F67" w:rsidP="004865C1">
      <w:pPr>
        <w:pStyle w:val="33"/>
        <w:numPr>
          <w:ilvl w:val="0"/>
          <w:numId w:val="153"/>
        </w:numPr>
        <w:snapToGrid w:val="0"/>
        <w:spacing w:line="460" w:lineRule="exact"/>
        <w:ind w:leftChars="0"/>
        <w:jc w:val="both"/>
        <w:rPr>
          <w:rFonts w:eastAsia="標楷體"/>
          <w:b/>
          <w:sz w:val="28"/>
          <w:szCs w:val="28"/>
        </w:rPr>
      </w:pPr>
      <w:r w:rsidRPr="00D55DC6">
        <w:rPr>
          <w:rFonts w:eastAsia="標楷體"/>
          <w:b/>
          <w:sz w:val="28"/>
          <w:szCs w:val="28"/>
        </w:rPr>
        <w:t>提升觀光建設自償性</w:t>
      </w:r>
    </w:p>
    <w:p w:rsidR="00DF2F67" w:rsidRPr="00D55DC6" w:rsidRDefault="00DF2F67" w:rsidP="00DF2F67">
      <w:pPr>
        <w:pStyle w:val="33"/>
        <w:snapToGrid w:val="0"/>
        <w:spacing w:line="460" w:lineRule="exact"/>
        <w:ind w:leftChars="0" w:left="840"/>
        <w:jc w:val="both"/>
        <w:rPr>
          <w:rFonts w:eastAsia="標楷體"/>
          <w:b/>
          <w:sz w:val="28"/>
          <w:szCs w:val="28"/>
        </w:rPr>
      </w:pPr>
      <w:r w:rsidRPr="00D55DC6">
        <w:rPr>
          <w:rFonts w:eastAsia="標楷體"/>
          <w:b/>
          <w:sz w:val="28"/>
          <w:szCs w:val="28"/>
        </w:rPr>
        <w:t>5-1.</w:t>
      </w:r>
      <w:r w:rsidRPr="00D55DC6">
        <w:rPr>
          <w:rFonts w:eastAsia="標楷體"/>
          <w:b/>
          <w:sz w:val="28"/>
          <w:szCs w:val="28"/>
        </w:rPr>
        <w:t>設施出租：</w:t>
      </w:r>
    </w:p>
    <w:p w:rsidR="00DF2F67" w:rsidRPr="00D55DC6" w:rsidRDefault="00DF2F67" w:rsidP="00DF2F67">
      <w:pPr>
        <w:pStyle w:val="33"/>
        <w:adjustRightInd w:val="0"/>
        <w:snapToGrid w:val="0"/>
        <w:spacing w:line="460" w:lineRule="exact"/>
        <w:ind w:leftChars="519" w:left="1960" w:hangingChars="255" w:hanging="714"/>
        <w:jc w:val="both"/>
        <w:rPr>
          <w:rFonts w:eastAsia="標楷體"/>
          <w:sz w:val="28"/>
          <w:szCs w:val="28"/>
        </w:rPr>
      </w:pPr>
      <w:r w:rsidRPr="00D55DC6">
        <w:rPr>
          <w:rFonts w:eastAsia="標楷體"/>
          <w:sz w:val="28"/>
          <w:szCs w:val="28"/>
        </w:rPr>
        <w:t>5-1-1.</w:t>
      </w:r>
      <w:r w:rsidRPr="00D55DC6">
        <w:rPr>
          <w:rFonts w:eastAsia="標楷體"/>
          <w:sz w:val="28"/>
          <w:szCs w:val="28"/>
        </w:rPr>
        <w:t>完成遊客多功能服務區、蚵殼島、琉球管理站附屬賣店及濱灣公園部分設施委外經營管理，提供旅遊諮詢服務、遊客休憩、賞景、活動環境。</w:t>
      </w:r>
    </w:p>
    <w:p w:rsidR="00DF2F67" w:rsidRPr="00D55DC6" w:rsidRDefault="00DF2F67" w:rsidP="00DF2F67">
      <w:pPr>
        <w:pStyle w:val="33"/>
        <w:adjustRightInd w:val="0"/>
        <w:snapToGrid w:val="0"/>
        <w:spacing w:line="460" w:lineRule="exact"/>
        <w:ind w:leftChars="519" w:left="1960" w:hangingChars="255" w:hanging="714"/>
        <w:jc w:val="both"/>
        <w:rPr>
          <w:rFonts w:eastAsia="標楷體"/>
          <w:sz w:val="28"/>
          <w:szCs w:val="28"/>
        </w:rPr>
      </w:pPr>
      <w:r w:rsidRPr="00D55DC6">
        <w:rPr>
          <w:rFonts w:eastAsia="標楷體"/>
          <w:sz w:val="28"/>
          <w:szCs w:val="28"/>
        </w:rPr>
        <w:t>5-1-2.</w:t>
      </w:r>
      <w:r w:rsidRPr="00D55DC6">
        <w:rPr>
          <w:rFonts w:eastAsia="標楷體"/>
          <w:sz w:val="28"/>
          <w:szCs w:val="28"/>
        </w:rPr>
        <w:t>辦理濱灣公園碼頭出租，採呎單位，每月每呎</w:t>
      </w:r>
      <w:r w:rsidRPr="00D55DC6">
        <w:rPr>
          <w:rFonts w:eastAsia="標楷體"/>
          <w:sz w:val="28"/>
          <w:szCs w:val="28"/>
        </w:rPr>
        <w:t>75</w:t>
      </w:r>
      <w:r w:rsidRPr="00D55DC6">
        <w:rPr>
          <w:rFonts w:eastAsia="標楷體"/>
          <w:sz w:val="28"/>
          <w:szCs w:val="28"/>
        </w:rPr>
        <w:t>元。</w:t>
      </w:r>
    </w:p>
    <w:p w:rsidR="00DF2F67" w:rsidRPr="00D55DC6" w:rsidRDefault="00DF2F67" w:rsidP="00DF2F67">
      <w:pPr>
        <w:pStyle w:val="33"/>
        <w:snapToGrid w:val="0"/>
        <w:spacing w:line="460" w:lineRule="exact"/>
        <w:ind w:leftChars="0" w:left="840"/>
        <w:jc w:val="both"/>
        <w:rPr>
          <w:rFonts w:eastAsia="標楷體"/>
          <w:b/>
          <w:sz w:val="28"/>
          <w:szCs w:val="28"/>
        </w:rPr>
      </w:pPr>
      <w:r w:rsidRPr="00D55DC6">
        <w:rPr>
          <w:rFonts w:eastAsia="標楷體"/>
          <w:b/>
          <w:sz w:val="28"/>
          <w:szCs w:val="28"/>
        </w:rPr>
        <w:t>5-2.</w:t>
      </w:r>
      <w:r w:rsidRPr="00D55DC6">
        <w:rPr>
          <w:rFonts w:eastAsia="標楷體"/>
          <w:b/>
          <w:sz w:val="28"/>
          <w:szCs w:val="28"/>
        </w:rPr>
        <w:t>促參民間參與推動案</w:t>
      </w:r>
    </w:p>
    <w:p w:rsidR="00DF2F67" w:rsidRPr="00D55DC6" w:rsidRDefault="00DF2F67" w:rsidP="00DF2F67">
      <w:pPr>
        <w:pStyle w:val="33"/>
        <w:adjustRightInd w:val="0"/>
        <w:snapToGrid w:val="0"/>
        <w:spacing w:line="460" w:lineRule="exact"/>
        <w:ind w:leftChars="507" w:left="1987" w:hangingChars="275" w:hanging="770"/>
        <w:jc w:val="both"/>
        <w:rPr>
          <w:rFonts w:eastAsia="標楷體"/>
          <w:sz w:val="28"/>
          <w:szCs w:val="28"/>
        </w:rPr>
      </w:pPr>
      <w:r w:rsidRPr="00D55DC6">
        <w:rPr>
          <w:rFonts w:eastAsia="標楷體"/>
          <w:sz w:val="28"/>
          <w:szCs w:val="28"/>
        </w:rPr>
        <w:t>5-2-.1</w:t>
      </w:r>
      <w:r w:rsidRPr="00D55DC6">
        <w:rPr>
          <w:rFonts w:eastAsia="標楷體"/>
          <w:sz w:val="28"/>
          <w:szCs w:val="28"/>
        </w:rPr>
        <w:t>賡續辦理大鵬灣國家風景區</w:t>
      </w:r>
      <w:r w:rsidRPr="00D55DC6">
        <w:rPr>
          <w:rFonts w:eastAsia="標楷體"/>
          <w:sz w:val="28"/>
          <w:szCs w:val="28"/>
        </w:rPr>
        <w:t>BOT</w:t>
      </w:r>
      <w:r w:rsidRPr="00D55DC6">
        <w:rPr>
          <w:rFonts w:eastAsia="標楷體"/>
          <w:sz w:val="28"/>
          <w:szCs w:val="28"/>
        </w:rPr>
        <w:t>案履約管理，如後期開發之進行與作業，並定期召開</w:t>
      </w:r>
      <w:r w:rsidRPr="00D55DC6">
        <w:rPr>
          <w:rFonts w:eastAsia="標楷體"/>
          <w:sz w:val="28"/>
          <w:szCs w:val="28"/>
        </w:rPr>
        <w:t>BOT</w:t>
      </w:r>
      <w:r w:rsidRPr="00D55DC6">
        <w:rPr>
          <w:rFonts w:eastAsia="標楷體"/>
          <w:sz w:val="28"/>
          <w:szCs w:val="28"/>
        </w:rPr>
        <w:t>案工作協調會議，進行年度目標及進度管控。</w:t>
      </w:r>
    </w:p>
    <w:p w:rsidR="00DF2F67" w:rsidRPr="00D55DC6" w:rsidRDefault="00DF2F67" w:rsidP="00DF2F67">
      <w:pPr>
        <w:pStyle w:val="33"/>
        <w:adjustRightInd w:val="0"/>
        <w:snapToGrid w:val="0"/>
        <w:spacing w:line="460" w:lineRule="exact"/>
        <w:ind w:leftChars="624" w:left="1960" w:hangingChars="165" w:hanging="462"/>
        <w:jc w:val="both"/>
        <w:rPr>
          <w:rFonts w:eastAsia="標楷體"/>
          <w:sz w:val="28"/>
          <w:szCs w:val="28"/>
        </w:rPr>
      </w:pPr>
      <w:r w:rsidRPr="00D55DC6">
        <w:rPr>
          <w:rFonts w:eastAsia="標楷體"/>
          <w:sz w:val="28"/>
          <w:szCs w:val="28"/>
        </w:rPr>
        <w:t>5-2-1-1.</w:t>
      </w:r>
      <w:r w:rsidRPr="00D55DC6">
        <w:rPr>
          <w:rFonts w:eastAsia="標楷體"/>
          <w:sz w:val="28"/>
          <w:szCs w:val="28"/>
        </w:rPr>
        <w:t>辦理水世界第</w:t>
      </w:r>
      <w:r w:rsidRPr="00D55DC6">
        <w:rPr>
          <w:rFonts w:eastAsia="標楷體"/>
          <w:sz w:val="28"/>
          <w:szCs w:val="28"/>
        </w:rPr>
        <w:t>2</w:t>
      </w:r>
      <w:r w:rsidRPr="00D55DC6">
        <w:rPr>
          <w:rFonts w:eastAsia="標楷體"/>
          <w:sz w:val="28"/>
          <w:szCs w:val="28"/>
        </w:rPr>
        <w:t>期工程施工作業，預定於</w:t>
      </w:r>
      <w:r w:rsidRPr="00D55DC6">
        <w:rPr>
          <w:rFonts w:eastAsia="標楷體"/>
          <w:sz w:val="28"/>
          <w:szCs w:val="28"/>
        </w:rPr>
        <w:t>105</w:t>
      </w:r>
      <w:r w:rsidRPr="00D55DC6">
        <w:rPr>
          <w:rFonts w:eastAsia="標楷體"/>
          <w:sz w:val="28"/>
          <w:szCs w:val="28"/>
        </w:rPr>
        <w:t>年完成。</w:t>
      </w:r>
    </w:p>
    <w:p w:rsidR="00DF2F67" w:rsidRPr="00D55DC6" w:rsidRDefault="00DF2F67" w:rsidP="00DF2F67">
      <w:pPr>
        <w:pStyle w:val="33"/>
        <w:adjustRightInd w:val="0"/>
        <w:snapToGrid w:val="0"/>
        <w:spacing w:line="460" w:lineRule="exact"/>
        <w:ind w:leftChars="617" w:left="2419" w:hangingChars="335" w:hanging="938"/>
        <w:jc w:val="both"/>
        <w:rPr>
          <w:rFonts w:eastAsia="標楷體"/>
          <w:sz w:val="28"/>
          <w:szCs w:val="28"/>
        </w:rPr>
      </w:pPr>
      <w:r w:rsidRPr="00D55DC6">
        <w:rPr>
          <w:rFonts w:eastAsia="標楷體"/>
          <w:sz w:val="28"/>
          <w:szCs w:val="28"/>
        </w:rPr>
        <w:t>5-2-1-2.</w:t>
      </w:r>
      <w:r w:rsidRPr="00D55DC6">
        <w:rPr>
          <w:rFonts w:eastAsia="標楷體"/>
          <w:sz w:val="28"/>
          <w:szCs w:val="28"/>
        </w:rPr>
        <w:t>辦理海洋青年旅館規劃設計施工作業，訂於</w:t>
      </w:r>
      <w:r w:rsidRPr="00D55DC6">
        <w:rPr>
          <w:rFonts w:eastAsia="標楷體"/>
          <w:sz w:val="28"/>
          <w:szCs w:val="28"/>
        </w:rPr>
        <w:t>107</w:t>
      </w:r>
      <w:r w:rsidRPr="00D55DC6">
        <w:rPr>
          <w:rFonts w:eastAsia="標楷體"/>
          <w:sz w:val="28"/>
          <w:szCs w:val="28"/>
        </w:rPr>
        <w:t>年開始</w:t>
      </w:r>
      <w:r w:rsidRPr="00D55DC6">
        <w:rPr>
          <w:rFonts w:eastAsia="標楷體"/>
          <w:sz w:val="28"/>
          <w:szCs w:val="28"/>
        </w:rPr>
        <w:lastRenderedPageBreak/>
        <w:t>興建，預定於</w:t>
      </w:r>
      <w:r w:rsidRPr="00D55DC6">
        <w:rPr>
          <w:rFonts w:eastAsia="標楷體"/>
          <w:sz w:val="28"/>
          <w:szCs w:val="28"/>
        </w:rPr>
        <w:t>109</w:t>
      </w:r>
      <w:r w:rsidRPr="00D55DC6">
        <w:rPr>
          <w:rFonts w:eastAsia="標楷體"/>
          <w:sz w:val="28"/>
          <w:szCs w:val="28"/>
        </w:rPr>
        <w:t>年完成。</w:t>
      </w:r>
    </w:p>
    <w:p w:rsidR="00DF2F67" w:rsidRPr="00D55DC6" w:rsidRDefault="00DF2F67" w:rsidP="00DF2F67">
      <w:pPr>
        <w:adjustRightInd w:val="0"/>
        <w:snapToGrid w:val="0"/>
        <w:spacing w:line="460" w:lineRule="exact"/>
        <w:ind w:leftChars="500" w:left="1872" w:hangingChars="240" w:hanging="672"/>
        <w:jc w:val="both"/>
        <w:rPr>
          <w:rFonts w:eastAsia="標楷體"/>
          <w:sz w:val="28"/>
          <w:szCs w:val="28"/>
        </w:rPr>
      </w:pPr>
      <w:r w:rsidRPr="00D55DC6">
        <w:rPr>
          <w:rFonts w:eastAsia="標楷體"/>
          <w:sz w:val="28"/>
          <w:szCs w:val="28"/>
        </w:rPr>
        <w:t>5-2-2.</w:t>
      </w:r>
      <w:r w:rsidRPr="00D55DC6">
        <w:rPr>
          <w:rFonts w:eastAsia="標楷體"/>
          <w:sz w:val="28"/>
          <w:szCs w:val="28"/>
        </w:rPr>
        <w:t>大鵬灣國家風景區</w:t>
      </w:r>
      <w:r w:rsidRPr="00D55DC6">
        <w:rPr>
          <w:rFonts w:eastAsia="標楷體"/>
          <w:sz w:val="28"/>
          <w:szCs w:val="28"/>
        </w:rPr>
        <w:t>BOT</w:t>
      </w:r>
      <w:r w:rsidRPr="00D55DC6">
        <w:rPr>
          <w:rFonts w:eastAsia="標楷體"/>
          <w:sz w:val="28"/>
          <w:szCs w:val="28"/>
        </w:rPr>
        <w:t>案已營運部分如大鵬灣國際賽車場、東方</w:t>
      </w:r>
      <w:r w:rsidR="00EA38C5" w:rsidRPr="00D55DC6">
        <w:rPr>
          <w:rFonts w:eastAsia="標楷體"/>
          <w:sz w:val="28"/>
          <w:szCs w:val="28"/>
        </w:rPr>
        <w:t>度假</w:t>
      </w:r>
      <w:r w:rsidRPr="00D55DC6">
        <w:rPr>
          <w:rFonts w:eastAsia="標楷體"/>
          <w:sz w:val="28"/>
          <w:szCs w:val="28"/>
        </w:rPr>
        <w:t>酒店</w:t>
      </w:r>
      <w:r w:rsidRPr="00D55DC6">
        <w:rPr>
          <w:rFonts w:eastAsia="標楷體"/>
          <w:sz w:val="28"/>
          <w:szCs w:val="28"/>
        </w:rPr>
        <w:t>…</w:t>
      </w:r>
      <w:r w:rsidRPr="00D55DC6">
        <w:rPr>
          <w:rFonts w:eastAsia="標楷體"/>
          <w:sz w:val="28"/>
          <w:szCs w:val="28"/>
        </w:rPr>
        <w:t>等，協助進行觀光行銷及營運管理。</w:t>
      </w:r>
    </w:p>
    <w:p w:rsidR="00DF2F67" w:rsidRPr="00D55DC6" w:rsidRDefault="00DF2F67" w:rsidP="00DF2F67">
      <w:pPr>
        <w:pStyle w:val="33"/>
        <w:adjustRightInd w:val="0"/>
        <w:snapToGrid w:val="0"/>
        <w:spacing w:line="460" w:lineRule="exact"/>
        <w:ind w:leftChars="501" w:left="1838" w:hangingChars="227" w:hanging="636"/>
        <w:jc w:val="both"/>
        <w:rPr>
          <w:rFonts w:eastAsia="標楷體"/>
          <w:sz w:val="28"/>
          <w:szCs w:val="28"/>
        </w:rPr>
      </w:pPr>
      <w:r w:rsidRPr="00D55DC6">
        <w:rPr>
          <w:rFonts w:eastAsia="標楷體"/>
          <w:sz w:val="28"/>
          <w:szCs w:val="28"/>
        </w:rPr>
        <w:t>5-2-3.</w:t>
      </w:r>
      <w:r w:rsidRPr="00D55DC6">
        <w:rPr>
          <w:rFonts w:eastAsia="標楷體"/>
          <w:sz w:val="28"/>
          <w:szCs w:val="28"/>
        </w:rPr>
        <w:t>辦理遊二區促進民間參與投資案之招標作業，節省政府經費，增加收益。提高整體之自償率。</w:t>
      </w:r>
    </w:p>
    <w:p w:rsidR="00DF2F67" w:rsidRPr="00D55DC6" w:rsidRDefault="00DF2F67" w:rsidP="00DF2F67">
      <w:pPr>
        <w:pStyle w:val="33"/>
        <w:adjustRightInd w:val="0"/>
        <w:snapToGrid w:val="0"/>
        <w:spacing w:line="460" w:lineRule="exact"/>
        <w:ind w:leftChars="494" w:left="1858" w:hangingChars="240" w:hanging="672"/>
        <w:jc w:val="both"/>
        <w:rPr>
          <w:rFonts w:eastAsia="標楷體"/>
          <w:sz w:val="28"/>
          <w:szCs w:val="28"/>
        </w:rPr>
      </w:pPr>
      <w:r w:rsidRPr="00D55DC6">
        <w:rPr>
          <w:rFonts w:eastAsia="標楷體"/>
          <w:sz w:val="28"/>
          <w:szCs w:val="28"/>
        </w:rPr>
        <w:t>5-2-4.</w:t>
      </w:r>
      <w:r w:rsidRPr="00D55DC6">
        <w:rPr>
          <w:rFonts w:eastAsia="標楷體"/>
          <w:sz w:val="28"/>
          <w:szCs w:val="28"/>
        </w:rPr>
        <w:t>辦理小琉球海景休閒</w:t>
      </w:r>
      <w:r w:rsidR="00EA38C5" w:rsidRPr="00D55DC6">
        <w:rPr>
          <w:rFonts w:eastAsia="標楷體"/>
          <w:sz w:val="28"/>
          <w:szCs w:val="28"/>
        </w:rPr>
        <w:t>度假</w:t>
      </w:r>
      <w:r w:rsidRPr="00D55DC6">
        <w:rPr>
          <w:rFonts w:eastAsia="標楷體"/>
          <w:sz w:val="28"/>
          <w:szCs w:val="28"/>
        </w:rPr>
        <w:t>區之</w:t>
      </w:r>
      <w:r w:rsidRPr="00D55DC6">
        <w:rPr>
          <w:rFonts w:eastAsia="標楷體"/>
          <w:sz w:val="28"/>
          <w:szCs w:val="28"/>
        </w:rPr>
        <w:t>BOT+OT</w:t>
      </w:r>
      <w:r w:rsidRPr="00D55DC6">
        <w:rPr>
          <w:rFonts w:eastAsia="標楷體"/>
          <w:sz w:val="28"/>
          <w:szCs w:val="28"/>
        </w:rPr>
        <w:t>案之招標作業，提升住宿品質，增加遊客重遊率。</w:t>
      </w:r>
    </w:p>
    <w:p w:rsidR="00DF2F67" w:rsidRPr="00D55DC6" w:rsidRDefault="00DF2F67" w:rsidP="00DF2F67">
      <w:pPr>
        <w:pStyle w:val="33"/>
        <w:snapToGrid w:val="0"/>
        <w:spacing w:line="460" w:lineRule="exact"/>
        <w:ind w:leftChars="0" w:left="840"/>
        <w:jc w:val="both"/>
        <w:rPr>
          <w:rFonts w:eastAsia="標楷體"/>
          <w:b/>
          <w:sz w:val="28"/>
          <w:szCs w:val="28"/>
        </w:rPr>
      </w:pPr>
      <w:r w:rsidRPr="00D55DC6">
        <w:rPr>
          <w:rFonts w:eastAsia="標楷體"/>
          <w:b/>
          <w:sz w:val="28"/>
          <w:szCs w:val="28"/>
        </w:rPr>
        <w:t>5-3.</w:t>
      </w:r>
      <w:r w:rsidRPr="00D55DC6">
        <w:rPr>
          <w:rFonts w:eastAsia="標楷體"/>
          <w:b/>
          <w:sz w:val="28"/>
          <w:szCs w:val="28"/>
        </w:rPr>
        <w:t>使用者付費：規劃環境教育場域認證場所收取課程材料費</w:t>
      </w:r>
    </w:p>
    <w:p w:rsidR="00DF2F67" w:rsidRPr="00D55DC6" w:rsidRDefault="00DF2F67" w:rsidP="00DF2F67">
      <w:pPr>
        <w:pStyle w:val="33"/>
        <w:snapToGrid w:val="0"/>
        <w:spacing w:line="460" w:lineRule="exact"/>
        <w:ind w:leftChars="490" w:left="1946" w:hangingChars="275" w:hanging="770"/>
        <w:jc w:val="both"/>
        <w:rPr>
          <w:rFonts w:eastAsia="標楷體"/>
          <w:sz w:val="28"/>
          <w:szCs w:val="28"/>
        </w:rPr>
      </w:pPr>
      <w:r w:rsidRPr="00D55DC6">
        <w:rPr>
          <w:rFonts w:eastAsia="標楷體"/>
          <w:sz w:val="28"/>
          <w:szCs w:val="28"/>
        </w:rPr>
        <w:t>5-3-1.</w:t>
      </w:r>
      <w:r w:rsidRPr="00D55DC6">
        <w:rPr>
          <w:rFonts w:eastAsia="標楷體"/>
          <w:sz w:val="28"/>
          <w:szCs w:val="28"/>
        </w:rPr>
        <w:t>大鵬灣濕地環境教育場域認證，於</w:t>
      </w:r>
      <w:r w:rsidRPr="00D55DC6">
        <w:rPr>
          <w:rFonts w:eastAsia="標楷體"/>
          <w:sz w:val="28"/>
          <w:szCs w:val="28"/>
        </w:rPr>
        <w:t>10</w:t>
      </w:r>
      <w:r w:rsidRPr="00D55DC6">
        <w:rPr>
          <w:rFonts w:eastAsia="標楷體"/>
          <w:sz w:val="28"/>
          <w:szCs w:val="28"/>
        </w:rPr>
        <w:t>月</w:t>
      </w:r>
      <w:r w:rsidRPr="00D55DC6">
        <w:rPr>
          <w:rFonts w:eastAsia="標楷體"/>
          <w:sz w:val="28"/>
          <w:szCs w:val="28"/>
        </w:rPr>
        <w:t>31</w:t>
      </w:r>
      <w:r w:rsidRPr="00D55DC6">
        <w:rPr>
          <w:rFonts w:eastAsia="標楷體"/>
          <w:sz w:val="28"/>
          <w:szCs w:val="28"/>
        </w:rPr>
        <w:t>日核准通過，提供環境教育及生態旅遊之最佳場所，後續積極辦理環教教育政策推動，落實環教理念。</w:t>
      </w:r>
    </w:p>
    <w:p w:rsidR="00DF2F67" w:rsidRPr="00D55DC6" w:rsidRDefault="00DF2F67" w:rsidP="00DF2F67">
      <w:pPr>
        <w:pStyle w:val="33"/>
        <w:snapToGrid w:val="0"/>
        <w:spacing w:line="460" w:lineRule="exact"/>
        <w:ind w:leftChars="355" w:left="1701" w:hangingChars="303" w:hanging="849"/>
        <w:jc w:val="both"/>
        <w:rPr>
          <w:rFonts w:eastAsia="標楷體"/>
          <w:b/>
          <w:sz w:val="28"/>
          <w:szCs w:val="28"/>
        </w:rPr>
      </w:pPr>
      <w:r w:rsidRPr="00D55DC6">
        <w:rPr>
          <w:rFonts w:eastAsia="標楷體"/>
          <w:b/>
          <w:sz w:val="28"/>
          <w:szCs w:val="28"/>
        </w:rPr>
        <w:t>5-4.</w:t>
      </w:r>
      <w:r w:rsidRPr="00D55DC6">
        <w:rPr>
          <w:rFonts w:eastAsia="標楷體"/>
          <w:b/>
          <w:sz w:val="28"/>
          <w:szCs w:val="28"/>
        </w:rPr>
        <w:t>跨域合作：</w:t>
      </w:r>
    </w:p>
    <w:p w:rsidR="00DF2F67" w:rsidRPr="00D55DC6" w:rsidRDefault="00DF2F67" w:rsidP="00DF2F67">
      <w:pPr>
        <w:pStyle w:val="33"/>
        <w:snapToGrid w:val="0"/>
        <w:spacing w:line="460" w:lineRule="exact"/>
        <w:ind w:leftChars="484" w:left="1890" w:hangingChars="260" w:hanging="728"/>
        <w:jc w:val="both"/>
        <w:rPr>
          <w:rFonts w:eastAsia="標楷體"/>
          <w:sz w:val="28"/>
          <w:szCs w:val="28"/>
        </w:rPr>
      </w:pPr>
      <w:r w:rsidRPr="00D55DC6">
        <w:rPr>
          <w:rFonts w:eastAsia="標楷體"/>
          <w:sz w:val="28"/>
          <w:szCs w:val="28"/>
        </w:rPr>
        <w:t>5-4-1.</w:t>
      </w:r>
      <w:r w:rsidRPr="00D55DC6">
        <w:rPr>
          <w:rFonts w:eastAsia="標楷體"/>
          <w:sz w:val="28"/>
          <w:szCs w:val="28"/>
        </w:rPr>
        <w:t>推動東琉線船舶停泊區位之調整至濱灣公園碼頭，除可疏解東港地區交通動線及停車位不足之情況，亦可藉由客、貨船之遷移，帶動鄰近區域之觀光產業發展。</w:t>
      </w:r>
    </w:p>
    <w:p w:rsidR="00DF2F67" w:rsidRPr="00D55DC6" w:rsidRDefault="00DF2F67" w:rsidP="00DF2F67">
      <w:pPr>
        <w:pStyle w:val="33"/>
        <w:snapToGrid w:val="0"/>
        <w:spacing w:line="460" w:lineRule="exact"/>
        <w:ind w:leftChars="484" w:left="1786" w:hangingChars="260" w:hanging="624"/>
        <w:jc w:val="both"/>
      </w:pPr>
    </w:p>
    <w:p w:rsidR="00DF2F67" w:rsidRPr="00D55DC6" w:rsidRDefault="00DF2F67" w:rsidP="00DF2F67">
      <w:pPr>
        <w:pStyle w:val="33"/>
        <w:snapToGrid w:val="0"/>
        <w:spacing w:line="460" w:lineRule="exact"/>
        <w:ind w:leftChars="0" w:left="0"/>
        <w:jc w:val="both"/>
        <w:rPr>
          <w:rFonts w:eastAsia="標楷體"/>
          <w:b/>
          <w:sz w:val="28"/>
          <w:szCs w:val="28"/>
        </w:rPr>
      </w:pPr>
      <w:r w:rsidRPr="00D55DC6">
        <w:rPr>
          <w:rFonts w:eastAsia="標楷體"/>
          <w:b/>
          <w:sz w:val="28"/>
          <w:szCs w:val="28"/>
        </w:rPr>
        <w:t>(</w:t>
      </w:r>
      <w:r w:rsidRPr="00D55DC6">
        <w:rPr>
          <w:rFonts w:eastAsia="標楷體"/>
          <w:b/>
          <w:sz w:val="28"/>
          <w:szCs w:val="28"/>
        </w:rPr>
        <w:t>三</w:t>
      </w:r>
      <w:r w:rsidRPr="00D55DC6">
        <w:rPr>
          <w:rFonts w:eastAsia="標楷體"/>
          <w:b/>
          <w:sz w:val="28"/>
          <w:szCs w:val="28"/>
        </w:rPr>
        <w:t>)</w:t>
      </w:r>
      <w:r w:rsidRPr="00D55DC6">
        <w:rPr>
          <w:rFonts w:eastAsia="標楷體"/>
          <w:b/>
          <w:sz w:val="28"/>
          <w:szCs w:val="28"/>
        </w:rPr>
        <w:t xml:space="preserve">分年預期成果　</w:t>
      </w:r>
    </w:p>
    <w:p w:rsidR="00DF2F67" w:rsidRPr="00D55DC6" w:rsidRDefault="00DF2F67" w:rsidP="004865C1">
      <w:pPr>
        <w:pStyle w:val="33"/>
        <w:numPr>
          <w:ilvl w:val="0"/>
          <w:numId w:val="154"/>
        </w:numPr>
        <w:snapToGrid w:val="0"/>
        <w:spacing w:line="460" w:lineRule="exact"/>
        <w:ind w:leftChars="0"/>
        <w:jc w:val="both"/>
        <w:rPr>
          <w:rFonts w:eastAsia="標楷體"/>
          <w:b/>
          <w:sz w:val="28"/>
          <w:szCs w:val="28"/>
        </w:rPr>
      </w:pPr>
      <w:r w:rsidRPr="00D55DC6">
        <w:rPr>
          <w:rFonts w:eastAsia="標楷體"/>
          <w:b/>
          <w:sz w:val="28"/>
          <w:szCs w:val="28"/>
        </w:rPr>
        <w:t>105</w:t>
      </w:r>
      <w:r w:rsidRPr="00D55DC6">
        <w:rPr>
          <w:rFonts w:eastAsia="標楷體"/>
          <w:b/>
          <w:sz w:val="28"/>
          <w:szCs w:val="28"/>
        </w:rPr>
        <w:t>年完成：</w:t>
      </w:r>
    </w:p>
    <w:p w:rsidR="00DF2F67" w:rsidRPr="00D55DC6" w:rsidRDefault="00DF2F67" w:rsidP="00DF2F67">
      <w:pPr>
        <w:pStyle w:val="33"/>
        <w:snapToGrid w:val="0"/>
        <w:spacing w:line="460" w:lineRule="exact"/>
        <w:ind w:leftChars="343" w:left="1271" w:hangingChars="160" w:hanging="448"/>
        <w:jc w:val="both"/>
        <w:rPr>
          <w:rFonts w:eastAsia="標楷體"/>
          <w:sz w:val="28"/>
          <w:szCs w:val="28"/>
        </w:rPr>
      </w:pPr>
      <w:r w:rsidRPr="00D55DC6">
        <w:rPr>
          <w:rFonts w:eastAsia="標楷體"/>
          <w:sz w:val="28"/>
          <w:szCs w:val="28"/>
        </w:rPr>
        <w:t>1-1.</w:t>
      </w:r>
      <w:r w:rsidRPr="00D55DC6">
        <w:rPr>
          <w:rFonts w:eastAsia="標楷體"/>
          <w:sz w:val="28"/>
          <w:szCs w:val="28"/>
        </w:rPr>
        <w:t>國際觀光重要景點－完成濱灣公園外堤護岸休憩區第</w:t>
      </w:r>
      <w:r w:rsidRPr="00D55DC6">
        <w:rPr>
          <w:rFonts w:eastAsia="標楷體"/>
          <w:sz w:val="28"/>
          <w:szCs w:val="28"/>
        </w:rPr>
        <w:t>1</w:t>
      </w:r>
      <w:r w:rsidRPr="00D55DC6">
        <w:rPr>
          <w:rFonts w:eastAsia="標楷體"/>
          <w:sz w:val="28"/>
          <w:szCs w:val="28"/>
        </w:rPr>
        <w:t>階段工程、</w:t>
      </w:r>
      <w:r w:rsidRPr="00D55DC6">
        <w:rPr>
          <w:rFonts w:eastAsia="標楷體"/>
          <w:sz w:val="28"/>
          <w:szCs w:val="28"/>
        </w:rPr>
        <w:t>105</w:t>
      </w:r>
      <w:r w:rsidRPr="00D55DC6">
        <w:rPr>
          <w:rFonts w:eastAsia="標楷體"/>
          <w:sz w:val="28"/>
          <w:szCs w:val="28"/>
        </w:rPr>
        <w:t>年潮口及航道疏濬、青洲濱海遊憩區設施改善、濕地服務設施、環灣綠帶及周邊景觀改善等</w:t>
      </w:r>
      <w:r w:rsidRPr="00D55DC6">
        <w:rPr>
          <w:rFonts w:eastAsia="標楷體"/>
          <w:sz w:val="28"/>
          <w:szCs w:val="28"/>
        </w:rPr>
        <w:t>5</w:t>
      </w:r>
      <w:r w:rsidRPr="00D55DC6">
        <w:rPr>
          <w:rFonts w:eastAsia="標楷體"/>
          <w:sz w:val="28"/>
          <w:szCs w:val="28"/>
        </w:rPr>
        <w:t>處，進行青洲濱海學產用地撥用。</w:t>
      </w:r>
    </w:p>
    <w:p w:rsidR="00DF2F67" w:rsidRPr="00D55DC6" w:rsidRDefault="00DF2F67" w:rsidP="00DF2F67">
      <w:pPr>
        <w:pStyle w:val="33"/>
        <w:snapToGrid w:val="0"/>
        <w:spacing w:line="460" w:lineRule="exact"/>
        <w:ind w:leftChars="355" w:left="1244" w:hangingChars="140" w:hanging="392"/>
        <w:jc w:val="both"/>
        <w:rPr>
          <w:rFonts w:eastAsia="標楷體"/>
          <w:sz w:val="28"/>
          <w:szCs w:val="28"/>
        </w:rPr>
      </w:pPr>
      <w:r w:rsidRPr="00D55DC6">
        <w:rPr>
          <w:rFonts w:eastAsia="標楷體"/>
          <w:sz w:val="28"/>
          <w:szCs w:val="28"/>
        </w:rPr>
        <w:t>1-2.</w:t>
      </w:r>
      <w:r w:rsidRPr="00D55DC6">
        <w:rPr>
          <w:rFonts w:eastAsia="標楷體"/>
          <w:sz w:val="28"/>
          <w:szCs w:val="28"/>
        </w:rPr>
        <w:t>國內重要觀光景點－完成琉球風景特定區遊憩設施後續工程及年度設施整建</w:t>
      </w:r>
      <w:r w:rsidRPr="00D55DC6">
        <w:rPr>
          <w:rFonts w:eastAsia="標楷體"/>
          <w:sz w:val="28"/>
          <w:szCs w:val="28"/>
        </w:rPr>
        <w:t>1</w:t>
      </w:r>
      <w:r w:rsidRPr="00D55DC6">
        <w:rPr>
          <w:rFonts w:eastAsia="標楷體"/>
          <w:sz w:val="28"/>
          <w:szCs w:val="28"/>
        </w:rPr>
        <w:t>處。</w:t>
      </w:r>
    </w:p>
    <w:p w:rsidR="00DF2F67" w:rsidRPr="00D55DC6" w:rsidRDefault="00DF2F67" w:rsidP="004865C1">
      <w:pPr>
        <w:pStyle w:val="33"/>
        <w:numPr>
          <w:ilvl w:val="0"/>
          <w:numId w:val="154"/>
        </w:numPr>
        <w:snapToGrid w:val="0"/>
        <w:spacing w:line="460" w:lineRule="exact"/>
        <w:ind w:leftChars="0" w:left="839"/>
        <w:jc w:val="both"/>
        <w:rPr>
          <w:rFonts w:eastAsia="標楷體"/>
          <w:b/>
          <w:sz w:val="28"/>
          <w:szCs w:val="28"/>
        </w:rPr>
      </w:pPr>
      <w:r w:rsidRPr="00D55DC6">
        <w:rPr>
          <w:rFonts w:eastAsia="標楷體"/>
          <w:b/>
          <w:sz w:val="28"/>
          <w:szCs w:val="28"/>
        </w:rPr>
        <w:t>106</w:t>
      </w:r>
      <w:r w:rsidRPr="00D55DC6">
        <w:rPr>
          <w:rFonts w:eastAsia="標楷體"/>
          <w:b/>
          <w:sz w:val="28"/>
          <w:szCs w:val="28"/>
        </w:rPr>
        <w:t>年完成：</w:t>
      </w:r>
    </w:p>
    <w:p w:rsidR="00DF2F67" w:rsidRPr="00D55DC6" w:rsidRDefault="00DF2F67" w:rsidP="00DF2F67">
      <w:pPr>
        <w:pStyle w:val="33"/>
        <w:snapToGrid w:val="0"/>
        <w:spacing w:line="460" w:lineRule="exact"/>
        <w:ind w:leftChars="353" w:left="1270" w:hangingChars="151" w:hanging="423"/>
        <w:jc w:val="both"/>
        <w:rPr>
          <w:rFonts w:eastAsia="標楷體"/>
          <w:sz w:val="28"/>
          <w:szCs w:val="28"/>
        </w:rPr>
      </w:pPr>
      <w:r w:rsidRPr="00D55DC6">
        <w:rPr>
          <w:rFonts w:eastAsia="標楷體"/>
          <w:sz w:val="28"/>
          <w:szCs w:val="28"/>
        </w:rPr>
        <w:t>2-1.</w:t>
      </w:r>
      <w:r w:rsidRPr="00D55DC6">
        <w:rPr>
          <w:rFonts w:eastAsia="標楷體"/>
          <w:sz w:val="28"/>
          <w:szCs w:val="28"/>
        </w:rPr>
        <w:t>國際觀光重要景點－完成濱灣公園外堤護岸休憩區第</w:t>
      </w:r>
      <w:r w:rsidRPr="00D55DC6">
        <w:rPr>
          <w:rFonts w:eastAsia="標楷體"/>
          <w:sz w:val="28"/>
          <w:szCs w:val="28"/>
        </w:rPr>
        <w:t>2</w:t>
      </w:r>
      <w:r w:rsidRPr="00D55DC6">
        <w:rPr>
          <w:rFonts w:eastAsia="標楷體"/>
          <w:sz w:val="28"/>
          <w:szCs w:val="28"/>
        </w:rPr>
        <w:t>階段工程、</w:t>
      </w:r>
      <w:r w:rsidRPr="00D55DC6">
        <w:rPr>
          <w:rFonts w:eastAsia="標楷體"/>
          <w:sz w:val="28"/>
          <w:szCs w:val="28"/>
        </w:rPr>
        <w:t>106</w:t>
      </w:r>
      <w:r w:rsidRPr="00D55DC6">
        <w:rPr>
          <w:rFonts w:eastAsia="標楷體"/>
          <w:sz w:val="28"/>
          <w:szCs w:val="28"/>
        </w:rPr>
        <w:t>年潮口及航道疏濬、青洲濱海遊憩區設施改善、濕地服務設施、環灣綠帶及周邊景觀改善等</w:t>
      </w:r>
      <w:r w:rsidRPr="00D55DC6">
        <w:rPr>
          <w:rFonts w:eastAsia="標楷體"/>
          <w:sz w:val="28"/>
          <w:szCs w:val="28"/>
        </w:rPr>
        <w:t>5</w:t>
      </w:r>
      <w:r w:rsidRPr="00D55DC6">
        <w:rPr>
          <w:rFonts w:eastAsia="標楷體"/>
          <w:sz w:val="28"/>
          <w:szCs w:val="28"/>
        </w:rPr>
        <w:t>處。</w:t>
      </w:r>
    </w:p>
    <w:p w:rsidR="00DF2F67" w:rsidRPr="00D55DC6" w:rsidRDefault="00DF2F67" w:rsidP="00DF2F67">
      <w:pPr>
        <w:pStyle w:val="33"/>
        <w:snapToGrid w:val="0"/>
        <w:spacing w:line="460" w:lineRule="exact"/>
        <w:ind w:leftChars="355" w:left="1275" w:hangingChars="151" w:hanging="423"/>
        <w:jc w:val="both"/>
        <w:rPr>
          <w:rFonts w:eastAsia="標楷體"/>
          <w:sz w:val="28"/>
          <w:szCs w:val="28"/>
        </w:rPr>
      </w:pPr>
      <w:r w:rsidRPr="00D55DC6">
        <w:rPr>
          <w:rFonts w:eastAsia="標楷體"/>
          <w:sz w:val="28"/>
          <w:szCs w:val="28"/>
        </w:rPr>
        <w:t>2-2.</w:t>
      </w:r>
      <w:r w:rsidRPr="00D55DC6">
        <w:rPr>
          <w:rFonts w:eastAsia="標楷體"/>
          <w:sz w:val="28"/>
          <w:szCs w:val="28"/>
        </w:rPr>
        <w:t>國內重要觀光景點－完成琉球風景特定區遊憩設施後續工程及年度設施整建</w:t>
      </w:r>
      <w:r w:rsidRPr="00D55DC6">
        <w:rPr>
          <w:rFonts w:eastAsia="標楷體"/>
          <w:sz w:val="28"/>
          <w:szCs w:val="28"/>
        </w:rPr>
        <w:t>1</w:t>
      </w:r>
      <w:r w:rsidRPr="00D55DC6">
        <w:rPr>
          <w:rFonts w:eastAsia="標楷體"/>
          <w:sz w:val="28"/>
          <w:szCs w:val="28"/>
        </w:rPr>
        <w:t>處。</w:t>
      </w:r>
    </w:p>
    <w:p w:rsidR="00DF2F67" w:rsidRPr="00D55DC6" w:rsidRDefault="00DF2F67" w:rsidP="004865C1">
      <w:pPr>
        <w:pStyle w:val="33"/>
        <w:numPr>
          <w:ilvl w:val="0"/>
          <w:numId w:val="154"/>
        </w:numPr>
        <w:snapToGrid w:val="0"/>
        <w:spacing w:line="460" w:lineRule="exact"/>
        <w:ind w:leftChars="0" w:left="839"/>
        <w:jc w:val="both"/>
        <w:rPr>
          <w:rFonts w:eastAsia="標楷體"/>
          <w:b/>
          <w:sz w:val="28"/>
          <w:szCs w:val="28"/>
        </w:rPr>
      </w:pPr>
      <w:r w:rsidRPr="00D55DC6">
        <w:rPr>
          <w:rFonts w:eastAsia="標楷體"/>
          <w:b/>
          <w:sz w:val="28"/>
          <w:szCs w:val="28"/>
        </w:rPr>
        <w:t>107</w:t>
      </w:r>
      <w:r w:rsidRPr="00D55DC6">
        <w:rPr>
          <w:rFonts w:eastAsia="標楷體"/>
          <w:b/>
          <w:sz w:val="28"/>
          <w:szCs w:val="28"/>
        </w:rPr>
        <w:t>年完成：</w:t>
      </w:r>
    </w:p>
    <w:p w:rsidR="00DF2F67" w:rsidRPr="00D55DC6" w:rsidRDefault="00DF2F67" w:rsidP="00DF2F67">
      <w:pPr>
        <w:pStyle w:val="33"/>
        <w:snapToGrid w:val="0"/>
        <w:spacing w:line="460" w:lineRule="exact"/>
        <w:ind w:leftChars="343" w:left="1260" w:hangingChars="156" w:hanging="437"/>
        <w:jc w:val="both"/>
        <w:rPr>
          <w:rFonts w:eastAsia="標楷體"/>
          <w:sz w:val="28"/>
          <w:szCs w:val="28"/>
        </w:rPr>
      </w:pPr>
      <w:r w:rsidRPr="00D55DC6">
        <w:rPr>
          <w:rFonts w:eastAsia="標楷體"/>
          <w:sz w:val="28"/>
          <w:szCs w:val="28"/>
        </w:rPr>
        <w:lastRenderedPageBreak/>
        <w:t>3-1.</w:t>
      </w:r>
      <w:r w:rsidRPr="00D55DC6">
        <w:rPr>
          <w:rFonts w:eastAsia="標楷體"/>
          <w:sz w:val="28"/>
          <w:szCs w:val="28"/>
        </w:rPr>
        <w:t>國際觀光重要景點－完成潮口灣域護岸、濕地服務設施改善、濱灣公園設施改善、</w:t>
      </w:r>
      <w:r w:rsidRPr="00D55DC6">
        <w:rPr>
          <w:rFonts w:eastAsia="標楷體"/>
          <w:sz w:val="28"/>
          <w:szCs w:val="28"/>
        </w:rPr>
        <w:t>107</w:t>
      </w:r>
      <w:r w:rsidRPr="00D55DC6">
        <w:rPr>
          <w:rFonts w:eastAsia="標楷體"/>
          <w:sz w:val="28"/>
          <w:szCs w:val="28"/>
        </w:rPr>
        <w:t>潮口及航道疏濬、青洲濱海遊憩區設施改善、環灣綠帶及周邊景觀改善等</w:t>
      </w:r>
      <w:r w:rsidRPr="00D55DC6">
        <w:rPr>
          <w:rFonts w:eastAsia="標楷體"/>
          <w:sz w:val="28"/>
          <w:szCs w:val="28"/>
        </w:rPr>
        <w:t>6</w:t>
      </w:r>
      <w:r w:rsidRPr="00D55DC6">
        <w:rPr>
          <w:rFonts w:eastAsia="標楷體"/>
          <w:sz w:val="28"/>
          <w:szCs w:val="28"/>
        </w:rPr>
        <w:t>處</w:t>
      </w:r>
    </w:p>
    <w:p w:rsidR="00DF2F67" w:rsidRPr="00D55DC6" w:rsidRDefault="00DF2F67" w:rsidP="00DF2F67">
      <w:pPr>
        <w:pStyle w:val="33"/>
        <w:snapToGrid w:val="0"/>
        <w:spacing w:line="460" w:lineRule="exact"/>
        <w:ind w:leftChars="355" w:left="1272" w:hangingChars="150" w:hanging="420"/>
        <w:jc w:val="both"/>
        <w:rPr>
          <w:rFonts w:eastAsia="標楷體"/>
          <w:sz w:val="28"/>
          <w:szCs w:val="28"/>
        </w:rPr>
      </w:pPr>
      <w:r w:rsidRPr="00D55DC6">
        <w:rPr>
          <w:rFonts w:eastAsia="標楷體"/>
          <w:sz w:val="28"/>
          <w:szCs w:val="28"/>
        </w:rPr>
        <w:t>3-2.</w:t>
      </w:r>
      <w:r w:rsidRPr="00D55DC6">
        <w:rPr>
          <w:rFonts w:eastAsia="標楷體"/>
          <w:sz w:val="28"/>
          <w:szCs w:val="28"/>
        </w:rPr>
        <w:t>國內重要觀光景點－完成琉球風景特定區遊憩設施後續工程及年度設施整建</w:t>
      </w:r>
      <w:r w:rsidRPr="00D55DC6">
        <w:rPr>
          <w:rFonts w:eastAsia="標楷體"/>
          <w:sz w:val="28"/>
          <w:szCs w:val="28"/>
        </w:rPr>
        <w:t>1</w:t>
      </w:r>
      <w:r w:rsidRPr="00D55DC6">
        <w:rPr>
          <w:rFonts w:eastAsia="標楷體"/>
          <w:sz w:val="28"/>
          <w:szCs w:val="28"/>
        </w:rPr>
        <w:t>處。</w:t>
      </w:r>
    </w:p>
    <w:p w:rsidR="00DF2F67" w:rsidRPr="00D55DC6" w:rsidRDefault="00DF2F67" w:rsidP="004865C1">
      <w:pPr>
        <w:pStyle w:val="33"/>
        <w:numPr>
          <w:ilvl w:val="0"/>
          <w:numId w:val="154"/>
        </w:numPr>
        <w:snapToGrid w:val="0"/>
        <w:spacing w:line="460" w:lineRule="exact"/>
        <w:ind w:leftChars="0" w:left="839"/>
        <w:jc w:val="both"/>
        <w:rPr>
          <w:rFonts w:eastAsia="標楷體"/>
          <w:b/>
          <w:sz w:val="28"/>
          <w:szCs w:val="28"/>
        </w:rPr>
      </w:pPr>
      <w:r w:rsidRPr="00D55DC6">
        <w:rPr>
          <w:rFonts w:eastAsia="標楷體"/>
          <w:b/>
          <w:sz w:val="28"/>
          <w:szCs w:val="28"/>
        </w:rPr>
        <w:t>108</w:t>
      </w:r>
      <w:r w:rsidRPr="00D55DC6">
        <w:rPr>
          <w:rFonts w:eastAsia="標楷體"/>
          <w:b/>
          <w:sz w:val="28"/>
          <w:szCs w:val="28"/>
        </w:rPr>
        <w:t>年完成：</w:t>
      </w:r>
    </w:p>
    <w:p w:rsidR="00DF2F67" w:rsidRPr="00D55DC6" w:rsidRDefault="00DF2F67" w:rsidP="00DF2F67">
      <w:pPr>
        <w:pStyle w:val="33"/>
        <w:adjustRightInd w:val="0"/>
        <w:snapToGrid w:val="0"/>
        <w:spacing w:line="460" w:lineRule="exact"/>
        <w:ind w:leftChars="345" w:left="1273" w:hangingChars="159" w:hanging="445"/>
        <w:jc w:val="both"/>
        <w:rPr>
          <w:rFonts w:eastAsia="標楷體"/>
          <w:sz w:val="28"/>
          <w:szCs w:val="28"/>
        </w:rPr>
      </w:pPr>
      <w:r w:rsidRPr="00D55DC6">
        <w:rPr>
          <w:rFonts w:eastAsia="標楷體"/>
          <w:sz w:val="28"/>
          <w:szCs w:val="28"/>
        </w:rPr>
        <w:t>4-1.</w:t>
      </w:r>
      <w:r w:rsidRPr="00D55DC6">
        <w:rPr>
          <w:rFonts w:eastAsia="標楷體"/>
          <w:sz w:val="28"/>
          <w:szCs w:val="28"/>
        </w:rPr>
        <w:t>國際觀光重要景點－完成</w:t>
      </w:r>
      <w:r w:rsidRPr="00D55DC6">
        <w:rPr>
          <w:rFonts w:eastAsia="標楷體"/>
          <w:sz w:val="28"/>
          <w:szCs w:val="28"/>
        </w:rPr>
        <w:t>108</w:t>
      </w:r>
      <w:r w:rsidRPr="00D55DC6">
        <w:rPr>
          <w:rFonts w:eastAsia="標楷體"/>
          <w:sz w:val="28"/>
          <w:szCs w:val="28"/>
        </w:rPr>
        <w:t>潮口及航道疏濬、環灣綠帶及周邊景觀改善、濕地服務設施改善、濱灣公園設施改善、潮口服務設施、青洲濱海遊憩區設施改善等</w:t>
      </w:r>
      <w:r w:rsidRPr="00D55DC6">
        <w:rPr>
          <w:rFonts w:eastAsia="標楷體"/>
          <w:sz w:val="28"/>
          <w:szCs w:val="28"/>
        </w:rPr>
        <w:t>6</w:t>
      </w:r>
      <w:r w:rsidRPr="00D55DC6">
        <w:rPr>
          <w:rFonts w:eastAsia="標楷體"/>
          <w:sz w:val="28"/>
          <w:szCs w:val="28"/>
        </w:rPr>
        <w:t>處。</w:t>
      </w:r>
    </w:p>
    <w:p w:rsidR="00DF2F67" w:rsidRPr="00D55DC6" w:rsidRDefault="00DF2F67" w:rsidP="00DF2F67">
      <w:pPr>
        <w:pStyle w:val="33"/>
        <w:adjustRightInd w:val="0"/>
        <w:snapToGrid w:val="0"/>
        <w:spacing w:line="460" w:lineRule="exact"/>
        <w:ind w:leftChars="327" w:left="1233" w:hangingChars="160" w:hanging="448"/>
        <w:jc w:val="both"/>
        <w:rPr>
          <w:rFonts w:eastAsia="標楷體"/>
          <w:sz w:val="28"/>
          <w:szCs w:val="28"/>
        </w:rPr>
      </w:pPr>
      <w:r w:rsidRPr="00D55DC6">
        <w:rPr>
          <w:rFonts w:eastAsia="標楷體"/>
          <w:sz w:val="28"/>
          <w:szCs w:val="28"/>
        </w:rPr>
        <w:t>4-2.</w:t>
      </w:r>
      <w:r w:rsidRPr="00D55DC6">
        <w:rPr>
          <w:rFonts w:eastAsia="標楷體"/>
          <w:sz w:val="28"/>
          <w:szCs w:val="28"/>
        </w:rPr>
        <w:t>國內重要觀光景點－完成琉球風景特定區遊憩設施後續工程及年度設施整建</w:t>
      </w:r>
      <w:r w:rsidRPr="00D55DC6">
        <w:rPr>
          <w:rFonts w:eastAsia="標楷體"/>
          <w:sz w:val="28"/>
          <w:szCs w:val="28"/>
        </w:rPr>
        <w:t>1</w:t>
      </w:r>
      <w:r w:rsidRPr="00D55DC6">
        <w:rPr>
          <w:rFonts w:eastAsia="標楷體"/>
          <w:sz w:val="28"/>
          <w:szCs w:val="28"/>
        </w:rPr>
        <w:t>處。</w:t>
      </w:r>
    </w:p>
    <w:p w:rsidR="00DF2F67" w:rsidRPr="00D55DC6" w:rsidRDefault="00DF2F67" w:rsidP="00DF2F67">
      <w:pPr>
        <w:pStyle w:val="33"/>
        <w:adjustRightInd w:val="0"/>
        <w:snapToGrid w:val="0"/>
        <w:spacing w:line="460" w:lineRule="exact"/>
        <w:ind w:leftChars="327" w:left="1233" w:hangingChars="160" w:hanging="448"/>
        <w:jc w:val="both"/>
        <w:rPr>
          <w:rFonts w:eastAsia="標楷體"/>
          <w:sz w:val="28"/>
          <w:szCs w:val="28"/>
        </w:rPr>
      </w:pPr>
    </w:p>
    <w:p w:rsidR="00C25C2C" w:rsidRPr="00D55DC6" w:rsidRDefault="00C25C2C" w:rsidP="00DF2F67">
      <w:pPr>
        <w:pStyle w:val="33"/>
        <w:adjustRightInd w:val="0"/>
        <w:snapToGrid w:val="0"/>
        <w:spacing w:line="460" w:lineRule="exact"/>
        <w:ind w:leftChars="327" w:left="1233" w:hangingChars="160" w:hanging="448"/>
        <w:jc w:val="both"/>
        <w:rPr>
          <w:rFonts w:eastAsia="標楷體"/>
          <w:sz w:val="28"/>
          <w:szCs w:val="28"/>
        </w:rPr>
      </w:pPr>
    </w:p>
    <w:p w:rsidR="00DF2F67" w:rsidRPr="00D55DC6" w:rsidRDefault="00DF2F67" w:rsidP="00DF2F67">
      <w:pPr>
        <w:pStyle w:val="a"/>
        <w:ind w:left="709" w:hanging="709"/>
        <w:rPr>
          <w:b/>
        </w:rPr>
      </w:pPr>
      <w:bookmarkStart w:id="149" w:name="_Toc407181716"/>
      <w:r w:rsidRPr="00D55DC6">
        <w:rPr>
          <w:b/>
        </w:rPr>
        <w:t>期程與資源需求</w:t>
      </w:r>
      <w:bookmarkEnd w:id="149"/>
    </w:p>
    <w:p w:rsidR="00DF2F67" w:rsidRPr="00D55DC6" w:rsidRDefault="00DF2F67" w:rsidP="004865C1">
      <w:pPr>
        <w:pStyle w:val="33"/>
        <w:numPr>
          <w:ilvl w:val="0"/>
          <w:numId w:val="155"/>
        </w:numPr>
        <w:snapToGrid w:val="0"/>
        <w:spacing w:line="460" w:lineRule="exact"/>
        <w:ind w:leftChars="0"/>
        <w:jc w:val="both"/>
        <w:rPr>
          <w:rFonts w:eastAsia="標楷體"/>
          <w:b/>
          <w:sz w:val="28"/>
          <w:szCs w:val="28"/>
        </w:rPr>
      </w:pPr>
      <w:r w:rsidRPr="00D55DC6">
        <w:rPr>
          <w:rFonts w:eastAsia="標楷體"/>
          <w:b/>
          <w:sz w:val="28"/>
          <w:szCs w:val="28"/>
        </w:rPr>
        <w:t>計畫期程</w:t>
      </w:r>
    </w:p>
    <w:p w:rsidR="00DF2F67" w:rsidRPr="00D55DC6" w:rsidRDefault="00DF2F67" w:rsidP="00DF2F67">
      <w:pPr>
        <w:pStyle w:val="33"/>
        <w:snapToGrid w:val="0"/>
        <w:spacing w:line="460" w:lineRule="exact"/>
        <w:ind w:leftChars="0" w:left="864"/>
        <w:jc w:val="both"/>
        <w:rPr>
          <w:rFonts w:eastAsia="標楷體"/>
          <w:sz w:val="28"/>
          <w:szCs w:val="28"/>
        </w:rPr>
      </w:pPr>
      <w:r w:rsidRPr="00D55DC6">
        <w:rPr>
          <w:rFonts w:eastAsia="標楷體"/>
          <w:sz w:val="28"/>
          <w:szCs w:val="28"/>
        </w:rPr>
        <w:t>自</w:t>
      </w:r>
      <w:r w:rsidRPr="00D55DC6">
        <w:rPr>
          <w:rFonts w:eastAsia="標楷體"/>
          <w:sz w:val="28"/>
          <w:szCs w:val="28"/>
        </w:rPr>
        <w:t>105</w:t>
      </w:r>
      <w:r w:rsidRPr="00D55DC6">
        <w:rPr>
          <w:rFonts w:eastAsia="標楷體"/>
          <w:sz w:val="28"/>
          <w:szCs w:val="28"/>
        </w:rPr>
        <w:t>年至</w:t>
      </w:r>
      <w:r w:rsidRPr="00D55DC6">
        <w:rPr>
          <w:rFonts w:eastAsia="標楷體"/>
          <w:sz w:val="28"/>
          <w:szCs w:val="28"/>
        </w:rPr>
        <w:t>108</w:t>
      </w:r>
      <w:r w:rsidRPr="00D55DC6">
        <w:rPr>
          <w:rFonts w:eastAsia="標楷體"/>
          <w:sz w:val="28"/>
          <w:szCs w:val="28"/>
        </w:rPr>
        <w:t>年。</w:t>
      </w:r>
    </w:p>
    <w:p w:rsidR="00DF2F67" w:rsidRPr="00D55DC6" w:rsidRDefault="00DF2F67" w:rsidP="004865C1">
      <w:pPr>
        <w:pStyle w:val="33"/>
        <w:numPr>
          <w:ilvl w:val="0"/>
          <w:numId w:val="155"/>
        </w:numPr>
        <w:snapToGrid w:val="0"/>
        <w:spacing w:line="460" w:lineRule="exact"/>
        <w:ind w:leftChars="0"/>
        <w:jc w:val="both"/>
        <w:rPr>
          <w:rFonts w:eastAsia="標楷體"/>
          <w:b/>
          <w:sz w:val="28"/>
          <w:szCs w:val="28"/>
        </w:rPr>
      </w:pPr>
      <w:r w:rsidRPr="00D55DC6">
        <w:rPr>
          <w:rFonts w:eastAsia="標楷體"/>
          <w:b/>
          <w:sz w:val="28"/>
          <w:szCs w:val="28"/>
        </w:rPr>
        <w:t>經費需求</w:t>
      </w:r>
      <w:r w:rsidRPr="00D55DC6">
        <w:rPr>
          <w:rFonts w:eastAsia="標楷體"/>
          <w:b/>
          <w:sz w:val="28"/>
          <w:szCs w:val="28"/>
        </w:rPr>
        <w:t>(</w:t>
      </w:r>
      <w:r w:rsidRPr="00D55DC6">
        <w:rPr>
          <w:rFonts w:eastAsia="標楷體"/>
          <w:b/>
          <w:sz w:val="28"/>
          <w:szCs w:val="28"/>
        </w:rPr>
        <w:t>含分年經費</w:t>
      </w:r>
      <w:r w:rsidRPr="00D55DC6">
        <w:rPr>
          <w:rFonts w:eastAsia="標楷體"/>
          <w:b/>
          <w:sz w:val="28"/>
          <w:szCs w:val="28"/>
        </w:rPr>
        <w:t>)</w:t>
      </w:r>
      <w:r w:rsidRPr="00D55DC6">
        <w:rPr>
          <w:rFonts w:eastAsia="標楷體"/>
          <w:b/>
          <w:sz w:val="28"/>
          <w:szCs w:val="28"/>
        </w:rPr>
        <w:t>及與中程歲出概算額度配合情形</w:t>
      </w:r>
    </w:p>
    <w:p w:rsidR="00DF2F67" w:rsidRPr="00D55DC6" w:rsidRDefault="00486FAE" w:rsidP="00486FAE">
      <w:pPr>
        <w:pStyle w:val="af2"/>
        <w:spacing w:line="460" w:lineRule="exact"/>
        <w:ind w:leftChars="0" w:left="864"/>
        <w:jc w:val="both"/>
        <w:rPr>
          <w:rFonts w:eastAsia="標楷體"/>
          <w:sz w:val="28"/>
          <w:szCs w:val="28"/>
        </w:rPr>
      </w:pPr>
      <w:r w:rsidRPr="00D55DC6">
        <w:rPr>
          <w:rFonts w:eastAsia="標楷體"/>
          <w:sz w:val="28"/>
          <w:szCs w:val="28"/>
        </w:rPr>
        <w:t>本計畫</w:t>
      </w:r>
      <w:r w:rsidR="00D03EE9" w:rsidRPr="00D55DC6">
        <w:rPr>
          <w:rFonts w:eastAsia="標楷體"/>
          <w:sz w:val="28"/>
          <w:szCs w:val="28"/>
        </w:rPr>
        <w:t>總經費為</w:t>
      </w:r>
      <w:r w:rsidR="00D03EE9" w:rsidRPr="00D55DC6">
        <w:rPr>
          <w:rFonts w:eastAsia="標楷體"/>
          <w:sz w:val="28"/>
          <w:szCs w:val="28"/>
        </w:rPr>
        <w:t>16.65</w:t>
      </w:r>
      <w:r w:rsidR="00D03EE9" w:rsidRPr="00D55DC6">
        <w:rPr>
          <w:rFonts w:eastAsia="標楷體"/>
          <w:sz w:val="28"/>
          <w:szCs w:val="28"/>
        </w:rPr>
        <w:t>億元，</w:t>
      </w:r>
      <w:r w:rsidRPr="00D55DC6">
        <w:rPr>
          <w:rFonts w:eastAsia="標楷體"/>
          <w:sz w:val="28"/>
          <w:szCs w:val="28"/>
        </w:rPr>
        <w:t>經費需求（含分年經費）係與中程歲出概算額度相符，分年投資重點及經費需求如下：</w:t>
      </w:r>
      <w:r w:rsidRPr="00D55DC6">
        <w:rPr>
          <w:rFonts w:eastAsia="標楷體"/>
          <w:sz w:val="28"/>
          <w:szCs w:val="28"/>
        </w:rPr>
        <w:t xml:space="preserve"> </w:t>
      </w:r>
    </w:p>
    <w:p w:rsidR="00DF2F67" w:rsidRPr="00D55DC6" w:rsidRDefault="00DF2F67" w:rsidP="00DF2F67">
      <w:pPr>
        <w:snapToGrid w:val="0"/>
        <w:spacing w:line="460" w:lineRule="exact"/>
        <w:ind w:leftChars="354" w:left="850"/>
        <w:jc w:val="both"/>
        <w:rPr>
          <w:rFonts w:eastAsia="標楷體"/>
          <w:b/>
          <w:sz w:val="28"/>
          <w:szCs w:val="28"/>
        </w:rPr>
      </w:pPr>
      <w:r w:rsidRPr="00D55DC6">
        <w:rPr>
          <w:rFonts w:eastAsia="標楷體"/>
          <w:sz w:val="28"/>
          <w:szCs w:val="28"/>
        </w:rPr>
        <w:t xml:space="preserve">                                               </w:t>
      </w:r>
      <w:r w:rsidR="00486FAE" w:rsidRPr="00D55DC6">
        <w:rPr>
          <w:rFonts w:eastAsia="標楷體"/>
          <w:sz w:val="28"/>
          <w:szCs w:val="28"/>
        </w:rPr>
        <w:t>（</w:t>
      </w:r>
      <w:r w:rsidRPr="00D55DC6">
        <w:rPr>
          <w:rFonts w:eastAsia="標楷體"/>
          <w:b/>
          <w:sz w:val="28"/>
          <w:szCs w:val="28"/>
        </w:rPr>
        <w:t>單位：億元</w:t>
      </w:r>
      <w:r w:rsidR="00486FAE" w:rsidRPr="00D55DC6">
        <w:rPr>
          <w:rFonts w:eastAsia="標楷體"/>
          <w:b/>
          <w:sz w:val="28"/>
          <w:szCs w:val="28"/>
        </w:rPr>
        <w:t>）</w:t>
      </w:r>
    </w:p>
    <w:tbl>
      <w:tblPr>
        <w:tblW w:w="9667" w:type="dxa"/>
        <w:tblLayout w:type="fixed"/>
        <w:tblCellMar>
          <w:left w:w="28" w:type="dxa"/>
          <w:right w:w="28" w:type="dxa"/>
        </w:tblCellMar>
        <w:tblLook w:val="00A0" w:firstRow="1" w:lastRow="0" w:firstColumn="1" w:lastColumn="0" w:noHBand="0" w:noVBand="0"/>
      </w:tblPr>
      <w:tblGrid>
        <w:gridCol w:w="400"/>
        <w:gridCol w:w="904"/>
        <w:gridCol w:w="851"/>
        <w:gridCol w:w="2268"/>
        <w:gridCol w:w="709"/>
        <w:gridCol w:w="709"/>
        <w:gridCol w:w="850"/>
        <w:gridCol w:w="709"/>
        <w:gridCol w:w="709"/>
        <w:gridCol w:w="1558"/>
      </w:tblGrid>
      <w:tr w:rsidR="001D0350" w:rsidRPr="00D55DC6" w:rsidTr="00C25C2C">
        <w:trPr>
          <w:trHeight w:val="345"/>
          <w:tblHeader/>
        </w:trPr>
        <w:tc>
          <w:tcPr>
            <w:tcW w:w="400"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DF2F67" w:rsidRPr="00D55DC6" w:rsidRDefault="00DF2F67" w:rsidP="00FA7F7B">
            <w:pPr>
              <w:widowControl/>
              <w:spacing w:line="0" w:lineRule="atLeast"/>
              <w:jc w:val="center"/>
              <w:rPr>
                <w:rFonts w:eastAsia="標楷體"/>
                <w:kern w:val="0"/>
              </w:rPr>
            </w:pPr>
            <w:r w:rsidRPr="00D55DC6">
              <w:rPr>
                <w:rFonts w:eastAsia="標楷體"/>
                <w:kern w:val="0"/>
              </w:rPr>
              <w:t>科目別</w:t>
            </w:r>
          </w:p>
        </w:tc>
        <w:tc>
          <w:tcPr>
            <w:tcW w:w="904" w:type="dxa"/>
            <w:tcBorders>
              <w:top w:val="single" w:sz="8" w:space="0" w:color="auto"/>
              <w:left w:val="nil"/>
              <w:bottom w:val="single" w:sz="8" w:space="0" w:color="auto"/>
              <w:right w:val="single" w:sz="8" w:space="0" w:color="auto"/>
            </w:tcBorders>
            <w:shd w:val="clear" w:color="000000" w:fill="FFFF99"/>
            <w:vAlign w:val="center"/>
          </w:tcPr>
          <w:p w:rsidR="00DF2F67" w:rsidRPr="00D55DC6" w:rsidRDefault="00DF2F67" w:rsidP="00FA7F7B">
            <w:pPr>
              <w:widowControl/>
              <w:spacing w:line="0" w:lineRule="atLeast"/>
              <w:jc w:val="center"/>
              <w:rPr>
                <w:rFonts w:eastAsia="標楷體"/>
                <w:kern w:val="0"/>
              </w:rPr>
            </w:pPr>
            <w:r w:rsidRPr="00D55DC6">
              <w:rPr>
                <w:rFonts w:eastAsia="標楷體"/>
                <w:kern w:val="0"/>
                <w:szCs w:val="22"/>
              </w:rPr>
              <w:t>1</w:t>
            </w:r>
            <w:r w:rsidRPr="00D55DC6">
              <w:rPr>
                <w:rFonts w:eastAsia="標楷體"/>
                <w:kern w:val="0"/>
                <w:szCs w:val="22"/>
              </w:rPr>
              <w:t>級</w:t>
            </w:r>
          </w:p>
        </w:tc>
        <w:tc>
          <w:tcPr>
            <w:tcW w:w="851" w:type="dxa"/>
            <w:tcBorders>
              <w:top w:val="single" w:sz="8" w:space="0" w:color="auto"/>
              <w:left w:val="nil"/>
              <w:bottom w:val="single" w:sz="8" w:space="0" w:color="auto"/>
              <w:right w:val="single" w:sz="8" w:space="0" w:color="auto"/>
            </w:tcBorders>
            <w:shd w:val="clear" w:color="000000" w:fill="FFFF99"/>
            <w:vAlign w:val="center"/>
          </w:tcPr>
          <w:p w:rsidR="00DF2F67" w:rsidRPr="00D55DC6" w:rsidRDefault="00DF2F67" w:rsidP="00FA7F7B">
            <w:pPr>
              <w:widowControl/>
              <w:spacing w:line="0" w:lineRule="atLeast"/>
              <w:jc w:val="center"/>
              <w:rPr>
                <w:rFonts w:eastAsia="標楷體"/>
                <w:kern w:val="0"/>
              </w:rPr>
            </w:pPr>
            <w:r w:rsidRPr="00D55DC6">
              <w:rPr>
                <w:rFonts w:eastAsia="標楷體"/>
                <w:kern w:val="0"/>
                <w:szCs w:val="22"/>
              </w:rPr>
              <w:t>2</w:t>
            </w:r>
            <w:r w:rsidRPr="00D55DC6">
              <w:rPr>
                <w:rFonts w:eastAsia="標楷體"/>
                <w:kern w:val="0"/>
                <w:szCs w:val="22"/>
              </w:rPr>
              <w:t>級</w:t>
            </w:r>
          </w:p>
        </w:tc>
        <w:tc>
          <w:tcPr>
            <w:tcW w:w="2268"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DF2F67" w:rsidRPr="00D55DC6" w:rsidRDefault="00DF2F67" w:rsidP="00FA7F7B">
            <w:pPr>
              <w:widowControl/>
              <w:spacing w:line="0" w:lineRule="atLeast"/>
              <w:jc w:val="center"/>
              <w:rPr>
                <w:rFonts w:eastAsia="標楷體"/>
                <w:kern w:val="0"/>
              </w:rPr>
            </w:pPr>
            <w:r w:rsidRPr="00D55DC6">
              <w:rPr>
                <w:rFonts w:eastAsia="標楷體"/>
                <w:kern w:val="0"/>
                <w:szCs w:val="22"/>
              </w:rPr>
              <w:t>投資重點</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DF2F67" w:rsidRPr="00D55DC6" w:rsidRDefault="00DF2F67" w:rsidP="00FA7F7B">
            <w:pPr>
              <w:widowControl/>
              <w:spacing w:line="0" w:lineRule="atLeast"/>
              <w:jc w:val="center"/>
              <w:rPr>
                <w:rFonts w:eastAsia="標楷體"/>
                <w:kern w:val="0"/>
              </w:rPr>
            </w:pPr>
            <w:r w:rsidRPr="00D55DC6">
              <w:rPr>
                <w:rFonts w:eastAsia="標楷體"/>
                <w:kern w:val="0"/>
                <w:szCs w:val="22"/>
              </w:rPr>
              <w:t>105</w:t>
            </w:r>
            <w:r w:rsidRPr="00D55DC6">
              <w:rPr>
                <w:rFonts w:eastAsia="標楷體"/>
                <w:kern w:val="0"/>
                <w:szCs w:val="22"/>
              </w:rPr>
              <w:t>年</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DF2F67" w:rsidRPr="00D55DC6" w:rsidRDefault="00DF2F67" w:rsidP="00FA7F7B">
            <w:pPr>
              <w:widowControl/>
              <w:spacing w:line="0" w:lineRule="atLeast"/>
              <w:jc w:val="center"/>
              <w:rPr>
                <w:rFonts w:eastAsia="標楷體"/>
                <w:kern w:val="0"/>
              </w:rPr>
            </w:pPr>
            <w:r w:rsidRPr="00D55DC6">
              <w:rPr>
                <w:rFonts w:eastAsia="標楷體"/>
                <w:kern w:val="0"/>
                <w:szCs w:val="22"/>
              </w:rPr>
              <w:t>106</w:t>
            </w:r>
            <w:r w:rsidRPr="00D55DC6">
              <w:rPr>
                <w:rFonts w:eastAsia="標楷體"/>
                <w:kern w:val="0"/>
                <w:szCs w:val="22"/>
              </w:rPr>
              <w:t>年</w:t>
            </w:r>
          </w:p>
        </w:tc>
        <w:tc>
          <w:tcPr>
            <w:tcW w:w="850"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DF2F67" w:rsidRPr="00D55DC6" w:rsidRDefault="00DF2F67" w:rsidP="00FA7F7B">
            <w:pPr>
              <w:widowControl/>
              <w:spacing w:line="0" w:lineRule="atLeast"/>
              <w:jc w:val="center"/>
              <w:rPr>
                <w:rFonts w:eastAsia="標楷體"/>
                <w:kern w:val="0"/>
              </w:rPr>
            </w:pPr>
            <w:r w:rsidRPr="00D55DC6">
              <w:rPr>
                <w:rFonts w:eastAsia="標楷體"/>
                <w:kern w:val="0"/>
                <w:szCs w:val="22"/>
              </w:rPr>
              <w:t>107</w:t>
            </w:r>
            <w:r w:rsidRPr="00D55DC6">
              <w:rPr>
                <w:rFonts w:eastAsia="標楷體"/>
                <w:kern w:val="0"/>
                <w:szCs w:val="22"/>
              </w:rPr>
              <w:t>年</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DF2F67" w:rsidRPr="00D55DC6" w:rsidRDefault="00DF2F67" w:rsidP="00FA7F7B">
            <w:pPr>
              <w:widowControl/>
              <w:spacing w:line="0" w:lineRule="atLeast"/>
              <w:jc w:val="center"/>
              <w:rPr>
                <w:rFonts w:eastAsia="標楷體"/>
                <w:kern w:val="0"/>
              </w:rPr>
            </w:pPr>
            <w:r w:rsidRPr="00D55DC6">
              <w:rPr>
                <w:rFonts w:eastAsia="標楷體"/>
                <w:kern w:val="0"/>
                <w:szCs w:val="22"/>
              </w:rPr>
              <w:t>108</w:t>
            </w:r>
            <w:r w:rsidRPr="00D55DC6">
              <w:rPr>
                <w:rFonts w:eastAsia="標楷體"/>
                <w:kern w:val="0"/>
                <w:szCs w:val="22"/>
              </w:rPr>
              <w:t>年</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DF2F67" w:rsidRPr="00D55DC6" w:rsidRDefault="00DF2F67" w:rsidP="00FA7F7B">
            <w:pPr>
              <w:widowControl/>
              <w:spacing w:line="0" w:lineRule="atLeast"/>
              <w:jc w:val="center"/>
              <w:rPr>
                <w:rFonts w:eastAsia="標楷體"/>
                <w:kern w:val="0"/>
                <w:szCs w:val="22"/>
              </w:rPr>
            </w:pPr>
            <w:r w:rsidRPr="00D55DC6">
              <w:rPr>
                <w:rFonts w:eastAsia="標楷體"/>
                <w:kern w:val="0"/>
                <w:szCs w:val="22"/>
              </w:rPr>
              <w:t>合計</w:t>
            </w:r>
          </w:p>
        </w:tc>
        <w:tc>
          <w:tcPr>
            <w:tcW w:w="1558"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DF2F67" w:rsidRPr="00D55DC6" w:rsidRDefault="00DF2F67" w:rsidP="00FA7F7B">
            <w:pPr>
              <w:widowControl/>
              <w:spacing w:line="0" w:lineRule="atLeast"/>
              <w:jc w:val="center"/>
              <w:rPr>
                <w:rFonts w:eastAsia="標楷體"/>
                <w:kern w:val="0"/>
              </w:rPr>
            </w:pPr>
            <w:r w:rsidRPr="00D55DC6">
              <w:rPr>
                <w:rFonts w:eastAsia="標楷體"/>
                <w:kern w:val="0"/>
                <w:szCs w:val="22"/>
              </w:rPr>
              <w:t>工作內容</w:t>
            </w:r>
          </w:p>
        </w:tc>
      </w:tr>
      <w:tr w:rsidR="001D0350" w:rsidRPr="00D55DC6" w:rsidTr="00C25C2C">
        <w:trPr>
          <w:trHeight w:val="227"/>
          <w:tblHeader/>
        </w:trPr>
        <w:tc>
          <w:tcPr>
            <w:tcW w:w="400" w:type="dxa"/>
            <w:vMerge/>
            <w:tcBorders>
              <w:top w:val="single" w:sz="8" w:space="0" w:color="auto"/>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904" w:type="dxa"/>
            <w:tcBorders>
              <w:top w:val="nil"/>
              <w:left w:val="nil"/>
              <w:bottom w:val="single" w:sz="8" w:space="0" w:color="auto"/>
              <w:right w:val="single" w:sz="8" w:space="0" w:color="auto"/>
            </w:tcBorders>
            <w:shd w:val="clear" w:color="000000" w:fill="FFFF99"/>
            <w:vAlign w:val="center"/>
          </w:tcPr>
          <w:p w:rsidR="00DF2F67" w:rsidRPr="00D55DC6" w:rsidRDefault="00DF2F67" w:rsidP="00FA7F7B">
            <w:pPr>
              <w:widowControl/>
              <w:spacing w:line="0" w:lineRule="atLeast"/>
              <w:jc w:val="center"/>
              <w:rPr>
                <w:rFonts w:eastAsia="標楷體"/>
                <w:kern w:val="0"/>
              </w:rPr>
            </w:pPr>
            <w:r w:rsidRPr="00D55DC6">
              <w:rPr>
                <w:rFonts w:eastAsia="標楷體"/>
                <w:kern w:val="0"/>
                <w:szCs w:val="22"/>
              </w:rPr>
              <w:t>用途別</w:t>
            </w:r>
          </w:p>
        </w:tc>
        <w:tc>
          <w:tcPr>
            <w:tcW w:w="851" w:type="dxa"/>
            <w:tcBorders>
              <w:top w:val="nil"/>
              <w:left w:val="nil"/>
              <w:bottom w:val="single" w:sz="8" w:space="0" w:color="auto"/>
              <w:right w:val="single" w:sz="8" w:space="0" w:color="auto"/>
            </w:tcBorders>
            <w:shd w:val="clear" w:color="000000" w:fill="FFFF99"/>
            <w:vAlign w:val="center"/>
          </w:tcPr>
          <w:p w:rsidR="00DF2F67" w:rsidRPr="00D55DC6" w:rsidRDefault="00DF2F67" w:rsidP="00FA7F7B">
            <w:pPr>
              <w:widowControl/>
              <w:spacing w:line="0" w:lineRule="atLeast"/>
              <w:jc w:val="center"/>
              <w:rPr>
                <w:rFonts w:eastAsia="標楷體"/>
                <w:kern w:val="0"/>
              </w:rPr>
            </w:pPr>
            <w:r w:rsidRPr="00D55DC6">
              <w:rPr>
                <w:rFonts w:eastAsia="標楷體"/>
                <w:kern w:val="0"/>
                <w:szCs w:val="22"/>
              </w:rPr>
              <w:t>用途別</w:t>
            </w:r>
          </w:p>
        </w:tc>
        <w:tc>
          <w:tcPr>
            <w:tcW w:w="2268" w:type="dxa"/>
            <w:vMerge/>
            <w:tcBorders>
              <w:top w:val="single" w:sz="8" w:space="0" w:color="auto"/>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850" w:type="dxa"/>
            <w:vMerge/>
            <w:tcBorders>
              <w:top w:val="single" w:sz="8" w:space="0" w:color="auto"/>
              <w:left w:val="single" w:sz="8" w:space="0" w:color="auto"/>
              <w:bottom w:val="single" w:sz="8" w:space="0" w:color="000000"/>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1558" w:type="dxa"/>
            <w:vMerge/>
            <w:tcBorders>
              <w:top w:val="single" w:sz="8" w:space="0" w:color="auto"/>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r>
      <w:tr w:rsidR="001D0350" w:rsidRPr="00D55DC6" w:rsidTr="00C25C2C">
        <w:trPr>
          <w:trHeight w:val="619"/>
        </w:trPr>
        <w:tc>
          <w:tcPr>
            <w:tcW w:w="400" w:type="dxa"/>
            <w:vMerge w:val="restart"/>
            <w:tcBorders>
              <w:top w:val="nil"/>
              <w:left w:val="single" w:sz="8" w:space="0" w:color="auto"/>
              <w:bottom w:val="single" w:sz="8" w:space="0" w:color="auto"/>
              <w:right w:val="single" w:sz="8" w:space="0" w:color="auto"/>
            </w:tcBorders>
            <w:shd w:val="clear" w:color="000000" w:fill="CCFFFF"/>
          </w:tcPr>
          <w:p w:rsidR="00DF2F67" w:rsidRPr="00D55DC6" w:rsidRDefault="00DF2F67" w:rsidP="00FA7F7B">
            <w:pPr>
              <w:widowControl/>
              <w:spacing w:line="0" w:lineRule="atLeast"/>
              <w:jc w:val="center"/>
              <w:rPr>
                <w:rFonts w:eastAsia="標楷體"/>
                <w:kern w:val="0"/>
              </w:rPr>
            </w:pPr>
            <w:r w:rsidRPr="00D55DC6">
              <w:rPr>
                <w:rFonts w:eastAsia="標楷體"/>
                <w:kern w:val="0"/>
                <w:szCs w:val="22"/>
              </w:rPr>
              <w:t>經常門</w:t>
            </w:r>
          </w:p>
        </w:tc>
        <w:tc>
          <w:tcPr>
            <w:tcW w:w="904" w:type="dxa"/>
            <w:vMerge w:val="restart"/>
            <w:tcBorders>
              <w:top w:val="nil"/>
              <w:left w:val="single" w:sz="8" w:space="0" w:color="auto"/>
              <w:bottom w:val="single" w:sz="8" w:space="0" w:color="auto"/>
              <w:right w:val="single" w:sz="8" w:space="0" w:color="auto"/>
            </w:tcBorders>
            <w:shd w:val="clear" w:color="000000" w:fill="CCFFFF"/>
          </w:tcPr>
          <w:p w:rsidR="00DF2F67" w:rsidRPr="00D55DC6" w:rsidRDefault="00DF2F67" w:rsidP="00FA7F7B">
            <w:pPr>
              <w:widowControl/>
              <w:spacing w:line="0" w:lineRule="atLeast"/>
              <w:jc w:val="center"/>
              <w:rPr>
                <w:rFonts w:eastAsia="標楷體"/>
                <w:kern w:val="0"/>
              </w:rPr>
            </w:pPr>
            <w:r w:rsidRPr="00D55DC6">
              <w:rPr>
                <w:rFonts w:eastAsia="標楷體"/>
                <w:kern w:val="0"/>
                <w:szCs w:val="22"/>
              </w:rPr>
              <w:t>0200</w:t>
            </w:r>
            <w:r w:rsidRPr="00D55DC6">
              <w:rPr>
                <w:rFonts w:eastAsia="標楷體"/>
                <w:kern w:val="0"/>
                <w:szCs w:val="22"/>
              </w:rPr>
              <w:t>業務費</w:t>
            </w:r>
          </w:p>
        </w:tc>
        <w:tc>
          <w:tcPr>
            <w:tcW w:w="851" w:type="dxa"/>
            <w:vMerge w:val="restart"/>
            <w:tcBorders>
              <w:top w:val="nil"/>
              <w:left w:val="single" w:sz="8" w:space="0" w:color="auto"/>
              <w:bottom w:val="single" w:sz="8" w:space="0" w:color="auto"/>
              <w:right w:val="single" w:sz="8" w:space="0" w:color="auto"/>
            </w:tcBorders>
            <w:shd w:val="clear" w:color="000000" w:fill="CCFFFF"/>
          </w:tcPr>
          <w:p w:rsidR="00DF2F67" w:rsidRPr="00D55DC6" w:rsidRDefault="00DF2F67" w:rsidP="00FA7F7B">
            <w:pPr>
              <w:widowControl/>
              <w:spacing w:line="0" w:lineRule="atLeast"/>
              <w:rPr>
                <w:rFonts w:eastAsia="標楷體"/>
                <w:kern w:val="0"/>
              </w:rPr>
            </w:pPr>
            <w:r w:rsidRPr="00D55DC6">
              <w:rPr>
                <w:rFonts w:eastAsia="標楷體"/>
                <w:kern w:val="0"/>
                <w:szCs w:val="22"/>
              </w:rPr>
              <w:t>0284</w:t>
            </w:r>
            <w:r w:rsidRPr="00D55DC6">
              <w:rPr>
                <w:rFonts w:eastAsia="標楷體"/>
                <w:kern w:val="0"/>
                <w:szCs w:val="22"/>
              </w:rPr>
              <w:t>設施及機械設備養護費</w:t>
            </w:r>
          </w:p>
        </w:tc>
        <w:tc>
          <w:tcPr>
            <w:tcW w:w="2268"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adjustRightInd w:val="0"/>
              <w:snapToGrid w:val="0"/>
              <w:spacing w:line="0" w:lineRule="atLeast"/>
              <w:ind w:left="332" w:hanging="332"/>
              <w:rPr>
                <w:rFonts w:eastAsia="標楷體"/>
                <w:b/>
                <w:bCs/>
                <w:kern w:val="0"/>
              </w:rPr>
            </w:pPr>
            <w:r w:rsidRPr="00D55DC6">
              <w:rPr>
                <w:rFonts w:eastAsia="標楷體"/>
                <w:b/>
                <w:bCs/>
                <w:kern w:val="0"/>
                <w:szCs w:val="22"/>
              </w:rPr>
              <w:t>1.</w:t>
            </w:r>
            <w:r w:rsidRPr="00D55DC6">
              <w:rPr>
                <w:rFonts w:eastAsia="標楷體"/>
                <w:b/>
                <w:bCs/>
                <w:kern w:val="0"/>
                <w:szCs w:val="22"/>
              </w:rPr>
              <w:t>綠美化養護及設施零星修護</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0.20</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 xml:space="preserve"> 0.20 </w:t>
            </w:r>
          </w:p>
        </w:tc>
        <w:tc>
          <w:tcPr>
            <w:tcW w:w="850"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 xml:space="preserve"> 0.20 </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 xml:space="preserve"> 0.20 </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center"/>
              <w:rPr>
                <w:rFonts w:eastAsia="標楷體"/>
                <w:b/>
                <w:bCs/>
                <w:kern w:val="0"/>
              </w:rPr>
            </w:pPr>
            <w:r w:rsidRPr="00D55DC6">
              <w:rPr>
                <w:rFonts w:eastAsia="標楷體"/>
                <w:b/>
                <w:bCs/>
                <w:kern w:val="0"/>
                <w:szCs w:val="22"/>
              </w:rPr>
              <w:t>0.80</w:t>
            </w:r>
          </w:p>
        </w:tc>
        <w:tc>
          <w:tcPr>
            <w:tcW w:w="1558" w:type="dxa"/>
            <w:vMerge w:val="restart"/>
            <w:tcBorders>
              <w:top w:val="nil"/>
              <w:left w:val="single" w:sz="8" w:space="0" w:color="auto"/>
              <w:bottom w:val="single" w:sz="8" w:space="0" w:color="auto"/>
              <w:right w:val="single" w:sz="8" w:space="0" w:color="auto"/>
            </w:tcBorders>
            <w:shd w:val="clear" w:color="000000" w:fill="CCFFFF"/>
          </w:tcPr>
          <w:p w:rsidR="00DF2F67" w:rsidRPr="00D55DC6" w:rsidRDefault="00DF2F67" w:rsidP="00FA7F7B">
            <w:pPr>
              <w:widowControl/>
              <w:adjustRightInd w:val="0"/>
              <w:snapToGrid w:val="0"/>
              <w:spacing w:line="0" w:lineRule="atLeast"/>
              <w:rPr>
                <w:rFonts w:eastAsia="標楷體"/>
                <w:kern w:val="0"/>
                <w:sz w:val="20"/>
                <w:szCs w:val="20"/>
              </w:rPr>
            </w:pPr>
            <w:r w:rsidRPr="00D55DC6">
              <w:rPr>
                <w:rFonts w:eastAsia="標楷體"/>
                <w:kern w:val="0"/>
                <w:sz w:val="20"/>
                <w:szCs w:val="20"/>
              </w:rPr>
              <w:t>植栽養護、零星修繕、各據點建物公共安全及消防檢測。</w:t>
            </w:r>
          </w:p>
        </w:tc>
      </w:tr>
      <w:tr w:rsidR="001D0350" w:rsidRPr="00D55DC6" w:rsidTr="00C25C2C">
        <w:trPr>
          <w:trHeight w:val="432"/>
        </w:trPr>
        <w:tc>
          <w:tcPr>
            <w:tcW w:w="400"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904"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851"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2268"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center"/>
              <w:rPr>
                <w:rFonts w:eastAsia="標楷體"/>
                <w:b/>
                <w:bCs/>
                <w:kern w:val="0"/>
              </w:rPr>
            </w:pPr>
            <w:r w:rsidRPr="00D55DC6">
              <w:rPr>
                <w:rFonts w:eastAsia="標楷體"/>
                <w:b/>
                <w:bCs/>
                <w:kern w:val="0"/>
                <w:szCs w:val="22"/>
              </w:rPr>
              <w:t>經常門合計</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 xml:space="preserve">0.20 </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 xml:space="preserve">0.20 </w:t>
            </w:r>
          </w:p>
        </w:tc>
        <w:tc>
          <w:tcPr>
            <w:tcW w:w="850"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 xml:space="preserve">0.20 </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 xml:space="preserve">0.20 </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right"/>
              <w:rPr>
                <w:rFonts w:eastAsia="標楷體"/>
                <w:b/>
                <w:kern w:val="0"/>
              </w:rPr>
            </w:pPr>
            <w:r w:rsidRPr="00D55DC6">
              <w:rPr>
                <w:rFonts w:eastAsia="標楷體"/>
                <w:b/>
                <w:kern w:val="0"/>
                <w:szCs w:val="22"/>
              </w:rPr>
              <w:t>0.80</w:t>
            </w:r>
          </w:p>
        </w:tc>
        <w:tc>
          <w:tcPr>
            <w:tcW w:w="1558"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sz w:val="20"/>
                <w:szCs w:val="20"/>
              </w:rPr>
            </w:pPr>
          </w:p>
        </w:tc>
      </w:tr>
      <w:tr w:rsidR="001D0350" w:rsidRPr="00D55DC6" w:rsidTr="00C25C2C">
        <w:trPr>
          <w:trHeight w:val="968"/>
        </w:trPr>
        <w:tc>
          <w:tcPr>
            <w:tcW w:w="400" w:type="dxa"/>
            <w:vMerge w:val="restart"/>
            <w:tcBorders>
              <w:top w:val="nil"/>
              <w:left w:val="single" w:sz="8" w:space="0" w:color="auto"/>
              <w:bottom w:val="nil"/>
              <w:right w:val="single" w:sz="8" w:space="0" w:color="auto"/>
            </w:tcBorders>
            <w:shd w:val="clear" w:color="000000" w:fill="CCFFCC"/>
          </w:tcPr>
          <w:p w:rsidR="00DF2F67" w:rsidRPr="00D55DC6" w:rsidRDefault="00DF2F67" w:rsidP="00FA7F7B">
            <w:pPr>
              <w:widowControl/>
              <w:spacing w:line="0" w:lineRule="atLeast"/>
              <w:jc w:val="center"/>
              <w:rPr>
                <w:rFonts w:eastAsia="標楷體"/>
                <w:kern w:val="0"/>
              </w:rPr>
            </w:pPr>
            <w:r w:rsidRPr="00D55DC6">
              <w:rPr>
                <w:rFonts w:eastAsia="標楷體"/>
                <w:kern w:val="0"/>
                <w:szCs w:val="22"/>
              </w:rPr>
              <w:t>資本門</w:t>
            </w:r>
          </w:p>
        </w:tc>
        <w:tc>
          <w:tcPr>
            <w:tcW w:w="904" w:type="dxa"/>
            <w:vMerge w:val="restart"/>
            <w:tcBorders>
              <w:top w:val="nil"/>
              <w:left w:val="single" w:sz="8" w:space="0" w:color="auto"/>
              <w:bottom w:val="single" w:sz="8" w:space="0" w:color="auto"/>
              <w:right w:val="single" w:sz="8" w:space="0" w:color="auto"/>
            </w:tcBorders>
            <w:shd w:val="clear" w:color="000000" w:fill="CCFFCC"/>
          </w:tcPr>
          <w:p w:rsidR="00DF2F67" w:rsidRPr="00D55DC6" w:rsidRDefault="00DF2F67" w:rsidP="00FA7F7B">
            <w:pPr>
              <w:widowControl/>
              <w:spacing w:line="0" w:lineRule="atLeast"/>
              <w:jc w:val="center"/>
              <w:rPr>
                <w:rFonts w:eastAsia="標楷體"/>
                <w:kern w:val="0"/>
              </w:rPr>
            </w:pPr>
            <w:r w:rsidRPr="00D55DC6">
              <w:rPr>
                <w:rFonts w:eastAsia="標楷體"/>
                <w:kern w:val="0"/>
                <w:szCs w:val="22"/>
              </w:rPr>
              <w:t>0300</w:t>
            </w:r>
            <w:r w:rsidRPr="00D55DC6">
              <w:rPr>
                <w:rFonts w:eastAsia="標楷體"/>
                <w:kern w:val="0"/>
                <w:szCs w:val="22"/>
              </w:rPr>
              <w:t>設備及投資</w:t>
            </w:r>
          </w:p>
        </w:tc>
        <w:tc>
          <w:tcPr>
            <w:tcW w:w="851"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rPr>
                <w:rFonts w:eastAsia="標楷體"/>
                <w:kern w:val="0"/>
              </w:rPr>
            </w:pPr>
            <w:r w:rsidRPr="00D55DC6">
              <w:rPr>
                <w:rFonts w:eastAsia="標楷體"/>
                <w:kern w:val="0"/>
                <w:szCs w:val="22"/>
              </w:rPr>
              <w:t>0301</w:t>
            </w:r>
            <w:r w:rsidRPr="00D55DC6">
              <w:rPr>
                <w:rFonts w:eastAsia="標楷體"/>
                <w:kern w:val="0"/>
                <w:szCs w:val="22"/>
              </w:rPr>
              <w:t>土地費</w:t>
            </w:r>
          </w:p>
        </w:tc>
        <w:tc>
          <w:tcPr>
            <w:tcW w:w="2268"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rPr>
                <w:rFonts w:eastAsia="標楷體"/>
                <w:b/>
                <w:bCs/>
                <w:kern w:val="0"/>
              </w:rPr>
            </w:pPr>
            <w:r w:rsidRPr="00D55DC6">
              <w:rPr>
                <w:rFonts w:eastAsia="標楷體"/>
                <w:b/>
                <w:bCs/>
                <w:kern w:val="0"/>
                <w:szCs w:val="22"/>
              </w:rPr>
              <w:t>1.</w:t>
            </w:r>
            <w:r w:rsidRPr="00D55DC6">
              <w:rPr>
                <w:rFonts w:eastAsia="標楷體"/>
                <w:b/>
                <w:bCs/>
                <w:kern w:val="0"/>
                <w:szCs w:val="22"/>
              </w:rPr>
              <w:t>土地取得</w:t>
            </w:r>
          </w:p>
        </w:tc>
        <w:tc>
          <w:tcPr>
            <w:tcW w:w="709"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 xml:space="preserve">0.10 </w:t>
            </w:r>
          </w:p>
        </w:tc>
        <w:tc>
          <w:tcPr>
            <w:tcW w:w="709"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 xml:space="preserve"> 0.10 </w:t>
            </w:r>
          </w:p>
        </w:tc>
        <w:tc>
          <w:tcPr>
            <w:tcW w:w="850"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 xml:space="preserve"> 0.10 </w:t>
            </w:r>
          </w:p>
        </w:tc>
        <w:tc>
          <w:tcPr>
            <w:tcW w:w="709"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 xml:space="preserve"> 0.10 </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 xml:space="preserve">0.40 </w:t>
            </w:r>
          </w:p>
        </w:tc>
        <w:tc>
          <w:tcPr>
            <w:tcW w:w="1558" w:type="dxa"/>
            <w:tcBorders>
              <w:top w:val="nil"/>
              <w:left w:val="nil"/>
              <w:bottom w:val="single" w:sz="8" w:space="0" w:color="auto"/>
              <w:right w:val="single" w:sz="8" w:space="0" w:color="auto"/>
            </w:tcBorders>
          </w:tcPr>
          <w:p w:rsidR="00DF2F67" w:rsidRPr="00D55DC6" w:rsidRDefault="00DF2F67" w:rsidP="00FA7F7B">
            <w:pPr>
              <w:widowControl/>
              <w:adjustRightInd w:val="0"/>
              <w:snapToGrid w:val="0"/>
              <w:spacing w:line="0" w:lineRule="atLeast"/>
              <w:rPr>
                <w:rFonts w:eastAsia="標楷體"/>
                <w:kern w:val="0"/>
                <w:sz w:val="20"/>
                <w:szCs w:val="20"/>
              </w:rPr>
            </w:pPr>
            <w:r w:rsidRPr="00D55DC6">
              <w:rPr>
                <w:rFonts w:eastAsia="標楷體"/>
                <w:kern w:val="0"/>
                <w:sz w:val="20"/>
                <w:szCs w:val="20"/>
              </w:rPr>
              <w:t>辦理轄區訂樁測量、徵收價購、撥用補償及相關作業。</w:t>
            </w:r>
          </w:p>
        </w:tc>
      </w:tr>
      <w:tr w:rsidR="001D0350" w:rsidRPr="00D55DC6" w:rsidTr="00C25C2C">
        <w:trPr>
          <w:trHeight w:val="375"/>
        </w:trPr>
        <w:tc>
          <w:tcPr>
            <w:tcW w:w="400" w:type="dxa"/>
            <w:vMerge/>
            <w:tcBorders>
              <w:top w:val="nil"/>
              <w:left w:val="single" w:sz="8" w:space="0" w:color="auto"/>
              <w:bottom w:val="nil"/>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904"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851" w:type="dxa"/>
            <w:tcBorders>
              <w:top w:val="nil"/>
              <w:left w:val="single" w:sz="8" w:space="0" w:color="auto"/>
              <w:bottom w:val="single" w:sz="8" w:space="0" w:color="000000"/>
              <w:right w:val="single" w:sz="8" w:space="0" w:color="auto"/>
            </w:tcBorders>
            <w:shd w:val="clear" w:color="000000" w:fill="CCFFCC"/>
          </w:tcPr>
          <w:p w:rsidR="00DF2F67" w:rsidRPr="00D55DC6" w:rsidRDefault="00DF2F67" w:rsidP="00FA7F7B">
            <w:pPr>
              <w:widowControl/>
              <w:spacing w:line="0" w:lineRule="atLeast"/>
              <w:rPr>
                <w:rFonts w:eastAsia="標楷體"/>
                <w:kern w:val="0"/>
              </w:rPr>
            </w:pPr>
            <w:r w:rsidRPr="00D55DC6">
              <w:rPr>
                <w:rFonts w:eastAsia="標楷體"/>
                <w:kern w:val="0"/>
                <w:szCs w:val="22"/>
              </w:rPr>
              <w:t>0302</w:t>
            </w:r>
            <w:r w:rsidRPr="00D55DC6">
              <w:rPr>
                <w:rFonts w:eastAsia="標楷體"/>
                <w:kern w:val="0"/>
                <w:szCs w:val="22"/>
              </w:rPr>
              <w:t>房屋建築及設備費</w:t>
            </w:r>
          </w:p>
        </w:tc>
        <w:tc>
          <w:tcPr>
            <w:tcW w:w="2268"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rPr>
                <w:rFonts w:eastAsia="標楷體"/>
                <w:b/>
                <w:bCs/>
                <w:kern w:val="0"/>
              </w:rPr>
            </w:pPr>
            <w:r w:rsidRPr="00D55DC6">
              <w:rPr>
                <w:rFonts w:eastAsia="標楷體"/>
                <w:b/>
                <w:bCs/>
                <w:kern w:val="0"/>
                <w:szCs w:val="22"/>
              </w:rPr>
              <w:t>2.</w:t>
            </w:r>
            <w:r w:rsidRPr="00D55DC6">
              <w:rPr>
                <w:rFonts w:eastAsia="標楷體"/>
                <w:b/>
                <w:bCs/>
                <w:kern w:val="0"/>
                <w:szCs w:val="22"/>
              </w:rPr>
              <w:t>房屋建築及設備</w:t>
            </w:r>
          </w:p>
        </w:tc>
        <w:tc>
          <w:tcPr>
            <w:tcW w:w="709"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bCs/>
                <w:kern w:val="0"/>
              </w:rPr>
            </w:pPr>
            <w:r w:rsidRPr="00D55DC6">
              <w:rPr>
                <w:rFonts w:eastAsia="標楷體"/>
                <w:kern w:val="0"/>
                <w:szCs w:val="22"/>
              </w:rPr>
              <w:t>-</w:t>
            </w:r>
          </w:p>
        </w:tc>
        <w:tc>
          <w:tcPr>
            <w:tcW w:w="709"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bCs/>
                <w:kern w:val="0"/>
              </w:rPr>
            </w:pPr>
            <w:r w:rsidRPr="00D55DC6">
              <w:rPr>
                <w:rFonts w:eastAsia="標楷體"/>
                <w:kern w:val="0"/>
                <w:szCs w:val="22"/>
              </w:rPr>
              <w:t>-</w:t>
            </w:r>
          </w:p>
        </w:tc>
        <w:tc>
          <w:tcPr>
            <w:tcW w:w="850"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bCs/>
                <w:kern w:val="0"/>
              </w:rPr>
            </w:pPr>
            <w:r w:rsidRPr="00D55DC6">
              <w:rPr>
                <w:rFonts w:eastAsia="標楷體"/>
                <w:kern w:val="0"/>
                <w:szCs w:val="22"/>
              </w:rPr>
              <w:t>-</w:t>
            </w:r>
          </w:p>
        </w:tc>
        <w:tc>
          <w:tcPr>
            <w:tcW w:w="709"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bCs/>
                <w:kern w:val="0"/>
              </w:rPr>
            </w:pPr>
            <w:r w:rsidRPr="00D55DC6">
              <w:rPr>
                <w:rFonts w:eastAsia="標楷體"/>
                <w:kern w:val="0"/>
                <w:szCs w:val="22"/>
              </w:rPr>
              <w:t>-</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right"/>
              <w:rPr>
                <w:rFonts w:eastAsia="標楷體"/>
                <w:b/>
                <w:bCs/>
                <w:kern w:val="0"/>
              </w:rPr>
            </w:pPr>
            <w:r w:rsidRPr="00D55DC6">
              <w:rPr>
                <w:rFonts w:eastAsia="標楷體"/>
                <w:kern w:val="0"/>
                <w:szCs w:val="22"/>
              </w:rPr>
              <w:t>-</w:t>
            </w:r>
          </w:p>
        </w:tc>
        <w:tc>
          <w:tcPr>
            <w:tcW w:w="1558" w:type="dxa"/>
            <w:tcBorders>
              <w:top w:val="nil"/>
              <w:left w:val="single" w:sz="8" w:space="0" w:color="auto"/>
              <w:right w:val="single" w:sz="8" w:space="0" w:color="auto"/>
            </w:tcBorders>
          </w:tcPr>
          <w:p w:rsidR="00DF2F67" w:rsidRPr="00D55DC6" w:rsidRDefault="00DF2F67" w:rsidP="00FA7F7B">
            <w:pPr>
              <w:widowControl/>
              <w:spacing w:line="0" w:lineRule="atLeast"/>
              <w:jc w:val="both"/>
              <w:rPr>
                <w:rFonts w:eastAsia="標楷體"/>
                <w:kern w:val="0"/>
              </w:rPr>
            </w:pPr>
          </w:p>
        </w:tc>
      </w:tr>
      <w:tr w:rsidR="001D0350" w:rsidRPr="00D55DC6" w:rsidTr="00C25C2C">
        <w:trPr>
          <w:trHeight w:val="345"/>
        </w:trPr>
        <w:tc>
          <w:tcPr>
            <w:tcW w:w="400" w:type="dxa"/>
            <w:vMerge/>
            <w:tcBorders>
              <w:top w:val="nil"/>
              <w:left w:val="single" w:sz="8" w:space="0" w:color="auto"/>
              <w:bottom w:val="nil"/>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904"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851" w:type="dxa"/>
            <w:vMerge w:val="restart"/>
            <w:tcBorders>
              <w:top w:val="nil"/>
              <w:left w:val="single" w:sz="8" w:space="0" w:color="auto"/>
              <w:bottom w:val="single" w:sz="8" w:space="0" w:color="auto"/>
              <w:right w:val="single" w:sz="8" w:space="0" w:color="auto"/>
            </w:tcBorders>
            <w:shd w:val="clear" w:color="000000" w:fill="CCFFCC"/>
          </w:tcPr>
          <w:p w:rsidR="00DF2F67" w:rsidRPr="00D55DC6" w:rsidRDefault="00DF2F67" w:rsidP="00FA7F7B">
            <w:pPr>
              <w:widowControl/>
              <w:spacing w:line="0" w:lineRule="atLeast"/>
              <w:rPr>
                <w:rFonts w:eastAsia="標楷體"/>
                <w:kern w:val="0"/>
              </w:rPr>
            </w:pPr>
            <w:r w:rsidRPr="00D55DC6">
              <w:rPr>
                <w:rFonts w:eastAsia="標楷體"/>
                <w:kern w:val="0"/>
                <w:szCs w:val="22"/>
              </w:rPr>
              <w:t>0303</w:t>
            </w:r>
            <w:r w:rsidRPr="00D55DC6">
              <w:rPr>
                <w:rFonts w:eastAsia="標楷體"/>
                <w:kern w:val="0"/>
                <w:szCs w:val="22"/>
              </w:rPr>
              <w:t>公共建設及設施費</w:t>
            </w:r>
          </w:p>
        </w:tc>
        <w:tc>
          <w:tcPr>
            <w:tcW w:w="2268" w:type="dxa"/>
            <w:tcBorders>
              <w:top w:val="nil"/>
              <w:left w:val="nil"/>
              <w:bottom w:val="single" w:sz="8" w:space="0" w:color="auto"/>
              <w:right w:val="single" w:sz="8" w:space="0" w:color="auto"/>
            </w:tcBorders>
            <w:shd w:val="clear" w:color="000000" w:fill="CCFFCC"/>
            <w:vAlign w:val="center"/>
          </w:tcPr>
          <w:p w:rsidR="00DF2F67" w:rsidRPr="00D55DC6" w:rsidRDefault="00DF2F67" w:rsidP="00FA7F7B">
            <w:pPr>
              <w:widowControl/>
              <w:spacing w:line="0" w:lineRule="atLeast"/>
              <w:rPr>
                <w:rFonts w:eastAsia="標楷體"/>
                <w:b/>
                <w:bCs/>
                <w:kern w:val="0"/>
              </w:rPr>
            </w:pPr>
            <w:r w:rsidRPr="00D55DC6">
              <w:rPr>
                <w:rFonts w:eastAsia="標楷體"/>
                <w:b/>
                <w:bCs/>
                <w:kern w:val="0"/>
                <w:szCs w:val="22"/>
              </w:rPr>
              <w:t>3.</w:t>
            </w:r>
            <w:r w:rsidRPr="00D55DC6">
              <w:rPr>
                <w:rFonts w:eastAsia="標楷體"/>
                <w:b/>
                <w:bCs/>
                <w:kern w:val="0"/>
                <w:szCs w:val="22"/>
              </w:rPr>
              <w:t>公共建設及設施</w:t>
            </w:r>
          </w:p>
        </w:tc>
        <w:tc>
          <w:tcPr>
            <w:tcW w:w="709" w:type="dxa"/>
            <w:tcBorders>
              <w:top w:val="nil"/>
              <w:left w:val="nil"/>
              <w:bottom w:val="single" w:sz="8" w:space="0" w:color="auto"/>
              <w:right w:val="single" w:sz="8" w:space="0" w:color="auto"/>
            </w:tcBorders>
            <w:shd w:val="clear" w:color="000000" w:fill="CCFFCC"/>
            <w:vAlign w:val="center"/>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4.40</w:t>
            </w:r>
          </w:p>
        </w:tc>
        <w:tc>
          <w:tcPr>
            <w:tcW w:w="709" w:type="dxa"/>
            <w:tcBorders>
              <w:top w:val="nil"/>
              <w:left w:val="nil"/>
              <w:bottom w:val="single" w:sz="8" w:space="0" w:color="auto"/>
              <w:right w:val="single" w:sz="8" w:space="0" w:color="auto"/>
            </w:tcBorders>
            <w:shd w:val="clear" w:color="000000" w:fill="CCFFCC"/>
            <w:vAlign w:val="center"/>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4.75</w:t>
            </w:r>
          </w:p>
        </w:tc>
        <w:tc>
          <w:tcPr>
            <w:tcW w:w="850" w:type="dxa"/>
            <w:tcBorders>
              <w:top w:val="nil"/>
              <w:left w:val="nil"/>
              <w:bottom w:val="single" w:sz="8" w:space="0" w:color="auto"/>
              <w:right w:val="single" w:sz="8" w:space="0" w:color="auto"/>
            </w:tcBorders>
            <w:shd w:val="clear" w:color="000000" w:fill="CCFFCC"/>
            <w:vAlign w:val="center"/>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3.20</w:t>
            </w:r>
          </w:p>
        </w:tc>
        <w:tc>
          <w:tcPr>
            <w:tcW w:w="709" w:type="dxa"/>
            <w:tcBorders>
              <w:top w:val="nil"/>
              <w:left w:val="nil"/>
              <w:bottom w:val="single" w:sz="8" w:space="0" w:color="auto"/>
              <w:right w:val="single" w:sz="8" w:space="0" w:color="auto"/>
            </w:tcBorders>
            <w:shd w:val="clear" w:color="000000" w:fill="CCFFCC"/>
            <w:vAlign w:val="center"/>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3.10</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center"/>
              <w:rPr>
                <w:rFonts w:eastAsia="標楷體"/>
                <w:b/>
                <w:bCs/>
                <w:kern w:val="0"/>
              </w:rPr>
            </w:pPr>
            <w:r w:rsidRPr="00D55DC6">
              <w:rPr>
                <w:rFonts w:eastAsia="標楷體"/>
                <w:b/>
                <w:bCs/>
                <w:kern w:val="0"/>
                <w:szCs w:val="22"/>
              </w:rPr>
              <w:t>15.45</w:t>
            </w:r>
          </w:p>
        </w:tc>
        <w:tc>
          <w:tcPr>
            <w:tcW w:w="1558"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both"/>
              <w:rPr>
                <w:rFonts w:eastAsia="標楷體"/>
                <w:kern w:val="0"/>
              </w:rPr>
            </w:pPr>
            <w:r w:rsidRPr="00D55DC6">
              <w:rPr>
                <w:rFonts w:eastAsia="標楷體"/>
                <w:kern w:val="0"/>
                <w:szCs w:val="22"/>
              </w:rPr>
              <w:t xml:space="preserve">　</w:t>
            </w:r>
          </w:p>
        </w:tc>
      </w:tr>
      <w:tr w:rsidR="001D0350" w:rsidRPr="00D55DC6" w:rsidTr="00C25C2C">
        <w:trPr>
          <w:trHeight w:val="360"/>
        </w:trPr>
        <w:tc>
          <w:tcPr>
            <w:tcW w:w="400" w:type="dxa"/>
            <w:vMerge/>
            <w:tcBorders>
              <w:top w:val="nil"/>
              <w:left w:val="single" w:sz="8" w:space="0" w:color="auto"/>
              <w:bottom w:val="nil"/>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904"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851"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2268"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both"/>
              <w:rPr>
                <w:rFonts w:eastAsia="標楷體"/>
                <w:kern w:val="0"/>
              </w:rPr>
            </w:pPr>
            <w:r w:rsidRPr="00D55DC6">
              <w:rPr>
                <w:rFonts w:eastAsia="標楷體"/>
                <w:kern w:val="0"/>
                <w:szCs w:val="22"/>
              </w:rPr>
              <w:t>(1)</w:t>
            </w:r>
            <w:r w:rsidRPr="00D55DC6">
              <w:rPr>
                <w:rFonts w:eastAsia="標楷體"/>
                <w:kern w:val="0"/>
                <w:szCs w:val="22"/>
              </w:rPr>
              <w:t>先期規劃設計</w:t>
            </w:r>
          </w:p>
        </w:tc>
        <w:tc>
          <w:tcPr>
            <w:tcW w:w="709"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0.20</w:t>
            </w:r>
          </w:p>
        </w:tc>
        <w:tc>
          <w:tcPr>
            <w:tcW w:w="709"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 xml:space="preserve"> 0.20</w:t>
            </w:r>
          </w:p>
        </w:tc>
        <w:tc>
          <w:tcPr>
            <w:tcW w:w="850"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 xml:space="preserve"> 0.20</w:t>
            </w:r>
          </w:p>
        </w:tc>
        <w:tc>
          <w:tcPr>
            <w:tcW w:w="709"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 xml:space="preserve"> 0.20 </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tabs>
                <w:tab w:val="left" w:pos="795"/>
              </w:tabs>
              <w:spacing w:line="0" w:lineRule="atLeast"/>
              <w:jc w:val="right"/>
              <w:rPr>
                <w:rFonts w:eastAsia="標楷體"/>
                <w:b/>
                <w:bCs/>
                <w:kern w:val="0"/>
              </w:rPr>
            </w:pPr>
            <w:r w:rsidRPr="00D55DC6">
              <w:rPr>
                <w:rFonts w:eastAsia="標楷體"/>
                <w:b/>
                <w:bCs/>
                <w:kern w:val="0"/>
              </w:rPr>
              <w:t>0.80</w:t>
            </w:r>
          </w:p>
        </w:tc>
        <w:tc>
          <w:tcPr>
            <w:tcW w:w="1558" w:type="dxa"/>
            <w:tcBorders>
              <w:top w:val="nil"/>
              <w:left w:val="nil"/>
              <w:bottom w:val="single" w:sz="8" w:space="0" w:color="auto"/>
              <w:right w:val="single" w:sz="8" w:space="0" w:color="auto"/>
            </w:tcBorders>
          </w:tcPr>
          <w:p w:rsidR="00DF2F67" w:rsidRPr="00D55DC6" w:rsidRDefault="00DF2F67" w:rsidP="00FA7F7B">
            <w:pPr>
              <w:widowControl/>
              <w:adjustRightInd w:val="0"/>
              <w:snapToGrid w:val="0"/>
              <w:spacing w:line="0" w:lineRule="atLeast"/>
              <w:jc w:val="both"/>
              <w:rPr>
                <w:rFonts w:eastAsia="標楷體"/>
                <w:kern w:val="0"/>
                <w:sz w:val="20"/>
                <w:szCs w:val="20"/>
              </w:rPr>
            </w:pPr>
            <w:r w:rsidRPr="00D55DC6">
              <w:rPr>
                <w:rFonts w:eastAsia="標楷體"/>
                <w:kern w:val="0"/>
                <w:sz w:val="20"/>
                <w:szCs w:val="20"/>
              </w:rPr>
              <w:t>辦理環境監測、濱灣公園工程規劃設計、</w:t>
            </w:r>
            <w:r w:rsidRPr="00D55DC6">
              <w:rPr>
                <w:rFonts w:eastAsia="標楷體"/>
                <w:sz w:val="20"/>
                <w:szCs w:val="20"/>
              </w:rPr>
              <w:t>海域安全資訊系統監控</w:t>
            </w:r>
            <w:r w:rsidRPr="00D55DC6">
              <w:rPr>
                <w:rFonts w:eastAsia="標楷體"/>
                <w:kern w:val="0"/>
                <w:sz w:val="20"/>
                <w:szCs w:val="20"/>
              </w:rPr>
              <w:t>等等</w:t>
            </w:r>
          </w:p>
        </w:tc>
      </w:tr>
      <w:tr w:rsidR="001D0350" w:rsidRPr="00D55DC6" w:rsidTr="00C25C2C">
        <w:trPr>
          <w:trHeight w:val="649"/>
        </w:trPr>
        <w:tc>
          <w:tcPr>
            <w:tcW w:w="400" w:type="dxa"/>
            <w:vMerge/>
            <w:tcBorders>
              <w:top w:val="nil"/>
              <w:left w:val="single" w:sz="8" w:space="0" w:color="auto"/>
              <w:bottom w:val="nil"/>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904"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851"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2268"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both"/>
              <w:rPr>
                <w:rFonts w:eastAsia="標楷體"/>
                <w:kern w:val="0"/>
              </w:rPr>
            </w:pPr>
            <w:r w:rsidRPr="00D55DC6">
              <w:rPr>
                <w:rFonts w:eastAsia="標楷體"/>
                <w:kern w:val="0"/>
                <w:szCs w:val="22"/>
              </w:rPr>
              <w:t>(2)</w:t>
            </w:r>
            <w:r w:rsidRPr="00D55DC6">
              <w:rPr>
                <w:rFonts w:eastAsia="標楷體"/>
                <w:kern w:val="0"/>
                <w:szCs w:val="22"/>
              </w:rPr>
              <w:t>國際觀光重要景點</w:t>
            </w:r>
          </w:p>
        </w:tc>
        <w:tc>
          <w:tcPr>
            <w:tcW w:w="709"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kern w:val="0"/>
              </w:rPr>
            </w:pPr>
            <w:r w:rsidRPr="00D55DC6">
              <w:rPr>
                <w:rFonts w:eastAsia="標楷體"/>
                <w:b/>
                <w:kern w:val="0"/>
                <w:szCs w:val="22"/>
              </w:rPr>
              <w:t>3.50</w:t>
            </w:r>
          </w:p>
        </w:tc>
        <w:tc>
          <w:tcPr>
            <w:tcW w:w="709"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kern w:val="0"/>
              </w:rPr>
            </w:pPr>
            <w:r w:rsidRPr="00D55DC6">
              <w:rPr>
                <w:rFonts w:eastAsia="標楷體"/>
                <w:b/>
                <w:kern w:val="0"/>
                <w:szCs w:val="22"/>
              </w:rPr>
              <w:t>3.85</w:t>
            </w:r>
          </w:p>
        </w:tc>
        <w:tc>
          <w:tcPr>
            <w:tcW w:w="850"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kern w:val="0"/>
              </w:rPr>
            </w:pPr>
            <w:r w:rsidRPr="00D55DC6">
              <w:rPr>
                <w:rFonts w:eastAsia="標楷體"/>
                <w:b/>
                <w:kern w:val="0"/>
                <w:szCs w:val="22"/>
              </w:rPr>
              <w:t>2.40</w:t>
            </w:r>
          </w:p>
        </w:tc>
        <w:tc>
          <w:tcPr>
            <w:tcW w:w="709"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kern w:val="0"/>
              </w:rPr>
            </w:pPr>
            <w:r w:rsidRPr="00D55DC6">
              <w:rPr>
                <w:rFonts w:eastAsia="標楷體"/>
                <w:b/>
                <w:kern w:val="0"/>
                <w:szCs w:val="22"/>
              </w:rPr>
              <w:t>2.30</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12.05</w:t>
            </w:r>
          </w:p>
        </w:tc>
        <w:tc>
          <w:tcPr>
            <w:tcW w:w="1558" w:type="dxa"/>
            <w:vMerge w:val="restart"/>
            <w:tcBorders>
              <w:top w:val="nil"/>
              <w:left w:val="single" w:sz="8" w:space="0" w:color="auto"/>
              <w:right w:val="single" w:sz="8" w:space="0" w:color="auto"/>
            </w:tcBorders>
          </w:tcPr>
          <w:p w:rsidR="00DF2F67" w:rsidRPr="00D55DC6" w:rsidRDefault="00DF2F67" w:rsidP="00FA7F7B">
            <w:pPr>
              <w:widowControl/>
              <w:adjustRightInd w:val="0"/>
              <w:snapToGrid w:val="0"/>
              <w:spacing w:line="0" w:lineRule="atLeast"/>
              <w:jc w:val="both"/>
              <w:rPr>
                <w:rFonts w:eastAsia="標楷體"/>
                <w:kern w:val="0"/>
                <w:sz w:val="20"/>
                <w:szCs w:val="20"/>
              </w:rPr>
            </w:pPr>
            <w:r w:rsidRPr="00D55DC6">
              <w:rPr>
                <w:rFonts w:eastAsia="標楷體"/>
                <w:kern w:val="0"/>
                <w:sz w:val="20"/>
                <w:szCs w:val="20"/>
              </w:rPr>
              <w:t>辦理</w:t>
            </w:r>
            <w:r w:rsidRPr="00D55DC6">
              <w:rPr>
                <w:kern w:val="0"/>
                <w:sz w:val="20"/>
                <w:szCs w:val="20"/>
              </w:rPr>
              <w:t>：</w:t>
            </w:r>
          </w:p>
          <w:p w:rsidR="00DF2F67" w:rsidRPr="00D55DC6" w:rsidRDefault="00DF2F67" w:rsidP="00FA7F7B">
            <w:pPr>
              <w:widowControl/>
              <w:adjustRightInd w:val="0"/>
              <w:snapToGrid w:val="0"/>
              <w:spacing w:line="0" w:lineRule="atLeast"/>
              <w:jc w:val="both"/>
              <w:rPr>
                <w:rFonts w:eastAsia="標楷體"/>
                <w:kern w:val="0"/>
                <w:sz w:val="20"/>
                <w:szCs w:val="20"/>
              </w:rPr>
            </w:pPr>
            <w:r w:rsidRPr="00D55DC6">
              <w:rPr>
                <w:rFonts w:eastAsia="標楷體"/>
                <w:kern w:val="0"/>
                <w:sz w:val="20"/>
                <w:szCs w:val="20"/>
              </w:rPr>
              <w:t>1.</w:t>
            </w:r>
            <w:r w:rsidRPr="00D55DC6">
              <w:rPr>
                <w:rFonts w:eastAsia="標楷體"/>
                <w:kern w:val="0"/>
                <w:sz w:val="20"/>
                <w:szCs w:val="20"/>
              </w:rPr>
              <w:t>濱灣公園景觀改善及服務設施。</w:t>
            </w:r>
          </w:p>
          <w:p w:rsidR="00DF2F67" w:rsidRPr="00D55DC6" w:rsidRDefault="00DF2F67" w:rsidP="00FA7F7B">
            <w:pPr>
              <w:widowControl/>
              <w:adjustRightInd w:val="0"/>
              <w:snapToGrid w:val="0"/>
              <w:spacing w:line="0" w:lineRule="atLeast"/>
              <w:jc w:val="both"/>
              <w:rPr>
                <w:rFonts w:eastAsia="標楷體"/>
                <w:kern w:val="0"/>
                <w:sz w:val="20"/>
                <w:szCs w:val="20"/>
              </w:rPr>
            </w:pPr>
            <w:r w:rsidRPr="00D55DC6">
              <w:rPr>
                <w:rFonts w:eastAsia="標楷體"/>
                <w:kern w:val="0"/>
                <w:sz w:val="20"/>
                <w:szCs w:val="20"/>
              </w:rPr>
              <w:t>2.</w:t>
            </w:r>
            <w:r w:rsidRPr="00D55DC6">
              <w:rPr>
                <w:rFonts w:eastAsia="標楷體"/>
                <w:kern w:val="0"/>
                <w:sz w:val="20"/>
                <w:szCs w:val="20"/>
              </w:rPr>
              <w:t>配合活動辦理航道及潮口浚渫。</w:t>
            </w:r>
          </w:p>
          <w:p w:rsidR="00DF2F67" w:rsidRPr="00D55DC6" w:rsidRDefault="00DF2F67" w:rsidP="00FA7F7B">
            <w:pPr>
              <w:widowControl/>
              <w:adjustRightInd w:val="0"/>
              <w:snapToGrid w:val="0"/>
              <w:spacing w:line="0" w:lineRule="atLeast"/>
              <w:jc w:val="both"/>
              <w:rPr>
                <w:rFonts w:eastAsia="標楷體"/>
                <w:kern w:val="0"/>
                <w:sz w:val="20"/>
                <w:szCs w:val="20"/>
              </w:rPr>
            </w:pPr>
            <w:r w:rsidRPr="00D55DC6">
              <w:rPr>
                <w:rFonts w:eastAsia="標楷體"/>
                <w:kern w:val="0"/>
                <w:sz w:val="20"/>
                <w:szCs w:val="20"/>
              </w:rPr>
              <w:t>3</w:t>
            </w:r>
            <w:r w:rsidRPr="00D55DC6">
              <w:rPr>
                <w:rFonts w:eastAsia="標楷體"/>
                <w:kern w:val="0"/>
                <w:sz w:val="20"/>
                <w:szCs w:val="20"/>
              </w:rPr>
              <w:t>青洲濱海遊憩區設施維護改善</w:t>
            </w:r>
          </w:p>
          <w:p w:rsidR="00DF2F67" w:rsidRPr="00D55DC6" w:rsidRDefault="00DF2F67" w:rsidP="00FA7F7B">
            <w:pPr>
              <w:widowControl/>
              <w:adjustRightInd w:val="0"/>
              <w:snapToGrid w:val="0"/>
              <w:spacing w:line="0" w:lineRule="atLeast"/>
              <w:jc w:val="both"/>
              <w:rPr>
                <w:rFonts w:eastAsia="標楷體"/>
                <w:kern w:val="0"/>
                <w:sz w:val="20"/>
                <w:szCs w:val="20"/>
              </w:rPr>
            </w:pPr>
            <w:r w:rsidRPr="00D55DC6">
              <w:rPr>
                <w:rFonts w:eastAsia="標楷體"/>
                <w:kern w:val="0"/>
                <w:sz w:val="20"/>
                <w:szCs w:val="20"/>
              </w:rPr>
              <w:t>4.</w:t>
            </w:r>
            <w:r w:rsidRPr="00D55DC6">
              <w:rPr>
                <w:rFonts w:eastAsia="標楷體"/>
                <w:kern w:val="0"/>
                <w:sz w:val="20"/>
                <w:szCs w:val="20"/>
              </w:rPr>
              <w:t>環境景觀改善提高遊客對環境之滿意度。</w:t>
            </w:r>
          </w:p>
          <w:p w:rsidR="00DF2F67" w:rsidRPr="00D55DC6" w:rsidRDefault="00DF2F67" w:rsidP="00FA7F7B">
            <w:pPr>
              <w:widowControl/>
              <w:adjustRightInd w:val="0"/>
              <w:snapToGrid w:val="0"/>
              <w:spacing w:line="0" w:lineRule="atLeast"/>
              <w:jc w:val="both"/>
              <w:rPr>
                <w:rFonts w:eastAsia="標楷體"/>
                <w:kern w:val="0"/>
                <w:sz w:val="20"/>
                <w:szCs w:val="20"/>
              </w:rPr>
            </w:pPr>
            <w:r w:rsidRPr="00D55DC6">
              <w:rPr>
                <w:rFonts w:eastAsia="標楷體"/>
                <w:kern w:val="0"/>
                <w:sz w:val="20"/>
                <w:szCs w:val="20"/>
              </w:rPr>
              <w:t>5.</w:t>
            </w:r>
            <w:r w:rsidRPr="00D55DC6">
              <w:rPr>
                <w:rFonts w:eastAsia="標楷體"/>
                <w:kern w:val="0"/>
                <w:sz w:val="20"/>
                <w:szCs w:val="20"/>
              </w:rPr>
              <w:t>濕地增設服務設施</w:t>
            </w:r>
          </w:p>
          <w:p w:rsidR="00DF2F67" w:rsidRPr="00D55DC6" w:rsidRDefault="00DF2F67" w:rsidP="00FA7F7B">
            <w:pPr>
              <w:widowControl/>
              <w:adjustRightInd w:val="0"/>
              <w:snapToGrid w:val="0"/>
              <w:spacing w:line="0" w:lineRule="atLeast"/>
              <w:jc w:val="both"/>
              <w:rPr>
                <w:rFonts w:eastAsia="標楷體"/>
                <w:kern w:val="0"/>
              </w:rPr>
            </w:pPr>
            <w:r w:rsidRPr="00D55DC6">
              <w:rPr>
                <w:rFonts w:eastAsia="標楷體"/>
                <w:kern w:val="0"/>
                <w:sz w:val="20"/>
                <w:szCs w:val="20"/>
              </w:rPr>
              <w:t>6.</w:t>
            </w:r>
            <w:r w:rsidRPr="00D55DC6">
              <w:rPr>
                <w:rFonts w:eastAsia="標楷體"/>
                <w:kern w:val="0"/>
                <w:sz w:val="20"/>
                <w:szCs w:val="20"/>
              </w:rPr>
              <w:t>潮口遊憩區增設服務設施</w:t>
            </w:r>
          </w:p>
        </w:tc>
      </w:tr>
      <w:tr w:rsidR="001D0350" w:rsidRPr="00D55DC6" w:rsidTr="00C25C2C">
        <w:trPr>
          <w:trHeight w:val="544"/>
        </w:trPr>
        <w:tc>
          <w:tcPr>
            <w:tcW w:w="400" w:type="dxa"/>
            <w:vMerge/>
            <w:tcBorders>
              <w:top w:val="nil"/>
              <w:left w:val="single" w:sz="8" w:space="0" w:color="auto"/>
              <w:bottom w:val="nil"/>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904"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851"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2268" w:type="dxa"/>
            <w:tcBorders>
              <w:top w:val="nil"/>
              <w:left w:val="nil"/>
              <w:bottom w:val="single" w:sz="8" w:space="0" w:color="auto"/>
              <w:right w:val="single" w:sz="8" w:space="0" w:color="auto"/>
            </w:tcBorders>
          </w:tcPr>
          <w:p w:rsidR="00DF2F67" w:rsidRPr="00D55DC6" w:rsidRDefault="00DF2F67" w:rsidP="00FA7F7B">
            <w:pPr>
              <w:widowControl/>
              <w:adjustRightInd w:val="0"/>
              <w:snapToGrid w:val="0"/>
              <w:spacing w:line="0" w:lineRule="atLeast"/>
              <w:rPr>
                <w:rFonts w:eastAsia="標楷體"/>
                <w:kern w:val="0"/>
                <w:sz w:val="20"/>
                <w:szCs w:val="20"/>
              </w:rPr>
            </w:pPr>
            <w:r w:rsidRPr="00D55DC6">
              <w:rPr>
                <w:rFonts w:eastAsia="標楷體"/>
                <w:kern w:val="0"/>
                <w:sz w:val="20"/>
                <w:szCs w:val="20"/>
              </w:rPr>
              <w:t>濱灣公園遊憩區景觀改善</w:t>
            </w:r>
          </w:p>
        </w:tc>
        <w:tc>
          <w:tcPr>
            <w:tcW w:w="709"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2.10</w:t>
            </w:r>
          </w:p>
        </w:tc>
        <w:tc>
          <w:tcPr>
            <w:tcW w:w="709"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 xml:space="preserve"> 2.45</w:t>
            </w:r>
          </w:p>
        </w:tc>
        <w:tc>
          <w:tcPr>
            <w:tcW w:w="850"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0.50</w:t>
            </w:r>
          </w:p>
        </w:tc>
        <w:tc>
          <w:tcPr>
            <w:tcW w:w="709"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0.40</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5.45</w:t>
            </w:r>
          </w:p>
        </w:tc>
        <w:tc>
          <w:tcPr>
            <w:tcW w:w="1558" w:type="dxa"/>
            <w:vMerge/>
            <w:tcBorders>
              <w:left w:val="single" w:sz="8" w:space="0" w:color="auto"/>
              <w:right w:val="single" w:sz="8" w:space="0" w:color="auto"/>
            </w:tcBorders>
          </w:tcPr>
          <w:p w:rsidR="00DF2F67" w:rsidRPr="00D55DC6" w:rsidRDefault="00DF2F67" w:rsidP="00FA7F7B">
            <w:pPr>
              <w:widowControl/>
              <w:spacing w:line="0" w:lineRule="atLeast"/>
              <w:jc w:val="both"/>
              <w:rPr>
                <w:rFonts w:eastAsia="標楷體"/>
                <w:kern w:val="0"/>
              </w:rPr>
            </w:pPr>
          </w:p>
        </w:tc>
      </w:tr>
      <w:tr w:rsidR="001D0350" w:rsidRPr="00D55DC6" w:rsidTr="00C25C2C">
        <w:trPr>
          <w:trHeight w:val="553"/>
        </w:trPr>
        <w:tc>
          <w:tcPr>
            <w:tcW w:w="400" w:type="dxa"/>
            <w:vMerge/>
            <w:tcBorders>
              <w:top w:val="nil"/>
              <w:left w:val="single" w:sz="8" w:space="0" w:color="auto"/>
              <w:bottom w:val="nil"/>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904"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851"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2268" w:type="dxa"/>
            <w:tcBorders>
              <w:top w:val="nil"/>
              <w:left w:val="nil"/>
              <w:bottom w:val="single" w:sz="8" w:space="0" w:color="auto"/>
              <w:right w:val="single" w:sz="8" w:space="0" w:color="auto"/>
            </w:tcBorders>
          </w:tcPr>
          <w:p w:rsidR="00DF2F67" w:rsidRPr="00D55DC6" w:rsidRDefault="00DF2F67" w:rsidP="00FA7F7B">
            <w:pPr>
              <w:widowControl/>
              <w:spacing w:line="0" w:lineRule="atLeast"/>
              <w:rPr>
                <w:rFonts w:eastAsia="標楷體"/>
                <w:kern w:val="0"/>
                <w:sz w:val="20"/>
                <w:szCs w:val="20"/>
              </w:rPr>
            </w:pPr>
            <w:r w:rsidRPr="00D55DC6">
              <w:rPr>
                <w:rFonts w:eastAsia="標楷體"/>
                <w:kern w:val="0"/>
                <w:sz w:val="20"/>
                <w:szCs w:val="20"/>
              </w:rPr>
              <w:t>潮口及航道疏濬</w:t>
            </w:r>
          </w:p>
        </w:tc>
        <w:tc>
          <w:tcPr>
            <w:tcW w:w="709"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szCs w:val="22"/>
              </w:rPr>
            </w:pPr>
            <w:r w:rsidRPr="00D55DC6">
              <w:rPr>
                <w:rFonts w:eastAsia="標楷體"/>
                <w:kern w:val="0"/>
                <w:szCs w:val="22"/>
              </w:rPr>
              <w:t>0.30</w:t>
            </w:r>
          </w:p>
        </w:tc>
        <w:tc>
          <w:tcPr>
            <w:tcW w:w="709"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szCs w:val="22"/>
              </w:rPr>
            </w:pPr>
            <w:r w:rsidRPr="00D55DC6">
              <w:rPr>
                <w:rFonts w:eastAsia="標楷體"/>
                <w:kern w:val="0"/>
                <w:szCs w:val="22"/>
              </w:rPr>
              <w:t>0.30</w:t>
            </w:r>
          </w:p>
        </w:tc>
        <w:tc>
          <w:tcPr>
            <w:tcW w:w="850"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szCs w:val="22"/>
              </w:rPr>
            </w:pPr>
            <w:r w:rsidRPr="00D55DC6">
              <w:rPr>
                <w:rFonts w:eastAsia="標楷體"/>
                <w:kern w:val="0"/>
                <w:szCs w:val="22"/>
              </w:rPr>
              <w:t>0.30</w:t>
            </w:r>
          </w:p>
        </w:tc>
        <w:tc>
          <w:tcPr>
            <w:tcW w:w="709"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szCs w:val="22"/>
              </w:rPr>
            </w:pPr>
            <w:r w:rsidRPr="00D55DC6">
              <w:rPr>
                <w:rFonts w:eastAsia="標楷體"/>
                <w:kern w:val="0"/>
                <w:szCs w:val="22"/>
              </w:rPr>
              <w:t>0.30</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right"/>
              <w:rPr>
                <w:rFonts w:eastAsia="標楷體"/>
                <w:b/>
                <w:bCs/>
                <w:kern w:val="0"/>
                <w:szCs w:val="22"/>
              </w:rPr>
            </w:pPr>
            <w:r w:rsidRPr="00D55DC6">
              <w:rPr>
                <w:rFonts w:eastAsia="標楷體"/>
                <w:b/>
                <w:bCs/>
                <w:kern w:val="0"/>
                <w:szCs w:val="22"/>
              </w:rPr>
              <w:t>1.20</w:t>
            </w:r>
          </w:p>
        </w:tc>
        <w:tc>
          <w:tcPr>
            <w:tcW w:w="1558" w:type="dxa"/>
            <w:vMerge/>
            <w:tcBorders>
              <w:left w:val="single" w:sz="8" w:space="0" w:color="auto"/>
              <w:right w:val="single" w:sz="8" w:space="0" w:color="auto"/>
            </w:tcBorders>
          </w:tcPr>
          <w:p w:rsidR="00DF2F67" w:rsidRPr="00D55DC6" w:rsidRDefault="00DF2F67" w:rsidP="00FA7F7B">
            <w:pPr>
              <w:widowControl/>
              <w:spacing w:line="0" w:lineRule="atLeast"/>
              <w:jc w:val="both"/>
              <w:rPr>
                <w:rFonts w:eastAsia="標楷體"/>
                <w:kern w:val="0"/>
              </w:rPr>
            </w:pPr>
          </w:p>
        </w:tc>
      </w:tr>
      <w:tr w:rsidR="001D0350" w:rsidRPr="00D55DC6" w:rsidTr="00C25C2C">
        <w:trPr>
          <w:trHeight w:val="553"/>
        </w:trPr>
        <w:tc>
          <w:tcPr>
            <w:tcW w:w="400" w:type="dxa"/>
            <w:vMerge/>
            <w:tcBorders>
              <w:top w:val="nil"/>
              <w:left w:val="single" w:sz="8" w:space="0" w:color="auto"/>
              <w:bottom w:val="nil"/>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904"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851"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2268" w:type="dxa"/>
            <w:tcBorders>
              <w:top w:val="nil"/>
              <w:left w:val="nil"/>
              <w:bottom w:val="single" w:sz="8" w:space="0" w:color="auto"/>
              <w:right w:val="single" w:sz="8" w:space="0" w:color="auto"/>
            </w:tcBorders>
          </w:tcPr>
          <w:p w:rsidR="00DF2F67" w:rsidRPr="00D55DC6" w:rsidRDefault="00DF2F67" w:rsidP="00FA7F7B">
            <w:pPr>
              <w:widowControl/>
              <w:spacing w:line="0" w:lineRule="atLeast"/>
              <w:rPr>
                <w:rFonts w:eastAsia="標楷體"/>
                <w:kern w:val="0"/>
                <w:sz w:val="20"/>
                <w:szCs w:val="20"/>
              </w:rPr>
            </w:pPr>
            <w:r w:rsidRPr="00D55DC6">
              <w:rPr>
                <w:rFonts w:eastAsia="標楷體"/>
                <w:kern w:val="0"/>
                <w:sz w:val="20"/>
                <w:szCs w:val="20"/>
              </w:rPr>
              <w:t>青洲濱海遊憩區設施改善</w:t>
            </w:r>
          </w:p>
        </w:tc>
        <w:tc>
          <w:tcPr>
            <w:tcW w:w="709"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szCs w:val="22"/>
              </w:rPr>
            </w:pPr>
            <w:r w:rsidRPr="00D55DC6">
              <w:rPr>
                <w:rFonts w:eastAsia="標楷體"/>
                <w:kern w:val="0"/>
                <w:szCs w:val="22"/>
              </w:rPr>
              <w:t>0.30</w:t>
            </w:r>
          </w:p>
        </w:tc>
        <w:tc>
          <w:tcPr>
            <w:tcW w:w="709"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szCs w:val="22"/>
              </w:rPr>
            </w:pPr>
            <w:r w:rsidRPr="00D55DC6">
              <w:rPr>
                <w:rFonts w:eastAsia="標楷體"/>
                <w:kern w:val="0"/>
                <w:szCs w:val="22"/>
              </w:rPr>
              <w:t>0.30</w:t>
            </w:r>
          </w:p>
        </w:tc>
        <w:tc>
          <w:tcPr>
            <w:tcW w:w="850"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szCs w:val="22"/>
              </w:rPr>
            </w:pPr>
            <w:r w:rsidRPr="00D55DC6">
              <w:rPr>
                <w:rFonts w:eastAsia="標楷體"/>
                <w:kern w:val="0"/>
                <w:szCs w:val="22"/>
              </w:rPr>
              <w:t>0.10</w:t>
            </w:r>
          </w:p>
        </w:tc>
        <w:tc>
          <w:tcPr>
            <w:tcW w:w="709"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szCs w:val="22"/>
              </w:rPr>
            </w:pPr>
            <w:r w:rsidRPr="00D55DC6">
              <w:rPr>
                <w:rFonts w:eastAsia="標楷體"/>
                <w:kern w:val="0"/>
                <w:szCs w:val="22"/>
              </w:rPr>
              <w:t>0.10</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right"/>
              <w:rPr>
                <w:rFonts w:eastAsia="標楷體"/>
                <w:b/>
                <w:bCs/>
                <w:kern w:val="0"/>
                <w:szCs w:val="22"/>
              </w:rPr>
            </w:pPr>
            <w:r w:rsidRPr="00D55DC6">
              <w:rPr>
                <w:rFonts w:eastAsia="標楷體"/>
                <w:b/>
                <w:bCs/>
                <w:kern w:val="0"/>
                <w:szCs w:val="22"/>
              </w:rPr>
              <w:t>0.80</w:t>
            </w:r>
          </w:p>
        </w:tc>
        <w:tc>
          <w:tcPr>
            <w:tcW w:w="1558" w:type="dxa"/>
            <w:vMerge/>
            <w:tcBorders>
              <w:left w:val="single" w:sz="8" w:space="0" w:color="auto"/>
              <w:right w:val="single" w:sz="8" w:space="0" w:color="auto"/>
            </w:tcBorders>
          </w:tcPr>
          <w:p w:rsidR="00DF2F67" w:rsidRPr="00D55DC6" w:rsidRDefault="00DF2F67" w:rsidP="00FA7F7B">
            <w:pPr>
              <w:widowControl/>
              <w:spacing w:line="0" w:lineRule="atLeast"/>
              <w:jc w:val="both"/>
              <w:rPr>
                <w:rFonts w:eastAsia="標楷體"/>
                <w:kern w:val="0"/>
              </w:rPr>
            </w:pPr>
          </w:p>
        </w:tc>
      </w:tr>
      <w:tr w:rsidR="001D0350" w:rsidRPr="00D55DC6" w:rsidTr="00C25C2C">
        <w:trPr>
          <w:trHeight w:val="528"/>
        </w:trPr>
        <w:tc>
          <w:tcPr>
            <w:tcW w:w="400" w:type="dxa"/>
            <w:vMerge/>
            <w:tcBorders>
              <w:top w:val="nil"/>
              <w:left w:val="single" w:sz="8" w:space="0" w:color="auto"/>
              <w:bottom w:val="nil"/>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904"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851"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2268" w:type="dxa"/>
            <w:tcBorders>
              <w:top w:val="nil"/>
              <w:left w:val="nil"/>
              <w:bottom w:val="single" w:sz="8" w:space="0" w:color="auto"/>
              <w:right w:val="single" w:sz="8" w:space="0" w:color="auto"/>
            </w:tcBorders>
          </w:tcPr>
          <w:p w:rsidR="00DF2F67" w:rsidRPr="00D55DC6" w:rsidRDefault="00DF2F67" w:rsidP="00FA7F7B">
            <w:pPr>
              <w:widowControl/>
              <w:adjustRightInd w:val="0"/>
              <w:snapToGrid w:val="0"/>
              <w:spacing w:line="0" w:lineRule="atLeast"/>
              <w:rPr>
                <w:rFonts w:eastAsia="標楷體"/>
                <w:kern w:val="0"/>
                <w:sz w:val="20"/>
                <w:szCs w:val="20"/>
              </w:rPr>
            </w:pPr>
            <w:r w:rsidRPr="00D55DC6">
              <w:rPr>
                <w:rFonts w:eastAsia="標楷體"/>
                <w:kern w:val="0"/>
                <w:sz w:val="20"/>
                <w:szCs w:val="20"/>
              </w:rPr>
              <w:t>環灣綠帶及周邊景觀改善</w:t>
            </w:r>
          </w:p>
        </w:tc>
        <w:tc>
          <w:tcPr>
            <w:tcW w:w="709"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szCs w:val="22"/>
              </w:rPr>
            </w:pPr>
            <w:r w:rsidRPr="00D55DC6">
              <w:rPr>
                <w:rFonts w:eastAsia="標楷體"/>
                <w:kern w:val="0"/>
                <w:szCs w:val="22"/>
              </w:rPr>
              <w:t>0.40</w:t>
            </w:r>
          </w:p>
        </w:tc>
        <w:tc>
          <w:tcPr>
            <w:tcW w:w="709"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szCs w:val="22"/>
              </w:rPr>
            </w:pPr>
            <w:r w:rsidRPr="00D55DC6">
              <w:rPr>
                <w:rFonts w:eastAsia="標楷體"/>
                <w:kern w:val="0"/>
                <w:szCs w:val="22"/>
              </w:rPr>
              <w:t>0.40</w:t>
            </w:r>
          </w:p>
        </w:tc>
        <w:tc>
          <w:tcPr>
            <w:tcW w:w="850"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szCs w:val="22"/>
              </w:rPr>
            </w:pPr>
            <w:r w:rsidRPr="00D55DC6">
              <w:rPr>
                <w:rFonts w:eastAsia="標楷體"/>
                <w:kern w:val="0"/>
                <w:szCs w:val="22"/>
              </w:rPr>
              <w:t>0.50</w:t>
            </w:r>
          </w:p>
        </w:tc>
        <w:tc>
          <w:tcPr>
            <w:tcW w:w="709"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szCs w:val="22"/>
              </w:rPr>
            </w:pPr>
            <w:r w:rsidRPr="00D55DC6">
              <w:rPr>
                <w:rFonts w:eastAsia="標楷體"/>
                <w:kern w:val="0"/>
                <w:szCs w:val="22"/>
              </w:rPr>
              <w:t>0.50</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right"/>
              <w:rPr>
                <w:rFonts w:eastAsia="標楷體"/>
                <w:b/>
                <w:bCs/>
                <w:kern w:val="0"/>
                <w:szCs w:val="22"/>
              </w:rPr>
            </w:pPr>
            <w:r w:rsidRPr="00D55DC6">
              <w:rPr>
                <w:rFonts w:eastAsia="標楷體"/>
                <w:b/>
                <w:bCs/>
                <w:kern w:val="0"/>
                <w:szCs w:val="22"/>
              </w:rPr>
              <w:t>1.80</w:t>
            </w:r>
          </w:p>
        </w:tc>
        <w:tc>
          <w:tcPr>
            <w:tcW w:w="1558" w:type="dxa"/>
            <w:vMerge/>
            <w:tcBorders>
              <w:left w:val="single" w:sz="8" w:space="0" w:color="auto"/>
              <w:right w:val="single" w:sz="8" w:space="0" w:color="auto"/>
            </w:tcBorders>
          </w:tcPr>
          <w:p w:rsidR="00DF2F67" w:rsidRPr="00D55DC6" w:rsidRDefault="00DF2F67" w:rsidP="00FA7F7B">
            <w:pPr>
              <w:widowControl/>
              <w:spacing w:line="0" w:lineRule="atLeast"/>
              <w:jc w:val="both"/>
              <w:rPr>
                <w:rFonts w:eastAsia="標楷體"/>
                <w:kern w:val="0"/>
              </w:rPr>
            </w:pPr>
          </w:p>
        </w:tc>
      </w:tr>
      <w:tr w:rsidR="001D0350" w:rsidRPr="00D55DC6" w:rsidTr="00C25C2C">
        <w:trPr>
          <w:cantSplit/>
          <w:trHeight w:val="464"/>
        </w:trPr>
        <w:tc>
          <w:tcPr>
            <w:tcW w:w="400" w:type="dxa"/>
            <w:vMerge/>
            <w:tcBorders>
              <w:top w:val="nil"/>
              <w:left w:val="single" w:sz="8" w:space="0" w:color="auto"/>
              <w:bottom w:val="nil"/>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904"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851"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2268" w:type="dxa"/>
            <w:tcBorders>
              <w:top w:val="nil"/>
              <w:left w:val="nil"/>
              <w:bottom w:val="single" w:sz="8" w:space="0" w:color="auto"/>
              <w:right w:val="single" w:sz="8" w:space="0" w:color="auto"/>
            </w:tcBorders>
          </w:tcPr>
          <w:p w:rsidR="00DF2F67" w:rsidRPr="00D55DC6" w:rsidRDefault="00DF2F67" w:rsidP="00FA7F7B">
            <w:pPr>
              <w:widowControl/>
              <w:adjustRightInd w:val="0"/>
              <w:snapToGrid w:val="0"/>
              <w:spacing w:line="0" w:lineRule="atLeast"/>
              <w:rPr>
                <w:rFonts w:eastAsia="標楷體"/>
                <w:kern w:val="0"/>
                <w:sz w:val="20"/>
                <w:szCs w:val="20"/>
              </w:rPr>
            </w:pPr>
            <w:r w:rsidRPr="00D55DC6">
              <w:rPr>
                <w:rFonts w:eastAsia="標楷體"/>
                <w:kern w:val="0"/>
                <w:sz w:val="20"/>
                <w:szCs w:val="20"/>
              </w:rPr>
              <w:t>濕地公園服務設施</w:t>
            </w:r>
          </w:p>
        </w:tc>
        <w:tc>
          <w:tcPr>
            <w:tcW w:w="709" w:type="dxa"/>
            <w:tcBorders>
              <w:top w:val="nil"/>
              <w:left w:val="nil"/>
              <w:bottom w:val="single" w:sz="8" w:space="0" w:color="auto"/>
              <w:right w:val="single" w:sz="8" w:space="0" w:color="auto"/>
            </w:tcBorders>
          </w:tcPr>
          <w:p w:rsidR="00DF2F67" w:rsidRPr="00D55DC6" w:rsidRDefault="00DF2F67" w:rsidP="00FA7F7B">
            <w:pPr>
              <w:widowControl/>
              <w:adjustRightInd w:val="0"/>
              <w:snapToGrid w:val="0"/>
              <w:spacing w:line="0" w:lineRule="atLeast"/>
              <w:jc w:val="right"/>
              <w:rPr>
                <w:rFonts w:eastAsia="標楷體"/>
                <w:kern w:val="0"/>
                <w:szCs w:val="22"/>
              </w:rPr>
            </w:pPr>
            <w:r w:rsidRPr="00D55DC6">
              <w:rPr>
                <w:rFonts w:eastAsia="標楷體"/>
                <w:kern w:val="0"/>
                <w:szCs w:val="22"/>
              </w:rPr>
              <w:t>0.40</w:t>
            </w:r>
          </w:p>
        </w:tc>
        <w:tc>
          <w:tcPr>
            <w:tcW w:w="709" w:type="dxa"/>
            <w:tcBorders>
              <w:top w:val="nil"/>
              <w:left w:val="nil"/>
              <w:bottom w:val="single" w:sz="8" w:space="0" w:color="auto"/>
              <w:right w:val="single" w:sz="8" w:space="0" w:color="auto"/>
            </w:tcBorders>
          </w:tcPr>
          <w:p w:rsidR="00DF2F67" w:rsidRPr="00D55DC6" w:rsidRDefault="00DF2F67" w:rsidP="00FA7F7B">
            <w:pPr>
              <w:widowControl/>
              <w:adjustRightInd w:val="0"/>
              <w:snapToGrid w:val="0"/>
              <w:spacing w:line="0" w:lineRule="atLeast"/>
              <w:jc w:val="right"/>
              <w:rPr>
                <w:rFonts w:eastAsia="標楷體"/>
                <w:kern w:val="0"/>
                <w:szCs w:val="22"/>
              </w:rPr>
            </w:pPr>
            <w:r w:rsidRPr="00D55DC6">
              <w:rPr>
                <w:rFonts w:eastAsia="標楷體"/>
                <w:kern w:val="0"/>
                <w:szCs w:val="22"/>
              </w:rPr>
              <w:t>0.40</w:t>
            </w:r>
          </w:p>
        </w:tc>
        <w:tc>
          <w:tcPr>
            <w:tcW w:w="850" w:type="dxa"/>
            <w:tcBorders>
              <w:top w:val="nil"/>
              <w:left w:val="nil"/>
              <w:bottom w:val="single" w:sz="8" w:space="0" w:color="auto"/>
              <w:right w:val="single" w:sz="8" w:space="0" w:color="auto"/>
            </w:tcBorders>
          </w:tcPr>
          <w:p w:rsidR="00DF2F67" w:rsidRPr="00D55DC6" w:rsidRDefault="00DF2F67" w:rsidP="00FA7F7B">
            <w:pPr>
              <w:widowControl/>
              <w:adjustRightInd w:val="0"/>
              <w:snapToGrid w:val="0"/>
              <w:spacing w:line="0" w:lineRule="atLeast"/>
              <w:jc w:val="right"/>
              <w:rPr>
                <w:rFonts w:eastAsia="標楷體"/>
                <w:kern w:val="0"/>
                <w:szCs w:val="22"/>
              </w:rPr>
            </w:pPr>
            <w:r w:rsidRPr="00D55DC6">
              <w:rPr>
                <w:rFonts w:eastAsia="標楷體"/>
                <w:kern w:val="0"/>
                <w:szCs w:val="22"/>
              </w:rPr>
              <w:t>0.40</w:t>
            </w:r>
          </w:p>
        </w:tc>
        <w:tc>
          <w:tcPr>
            <w:tcW w:w="709" w:type="dxa"/>
            <w:tcBorders>
              <w:top w:val="nil"/>
              <w:left w:val="nil"/>
              <w:bottom w:val="single" w:sz="8" w:space="0" w:color="auto"/>
              <w:right w:val="single" w:sz="8" w:space="0" w:color="auto"/>
            </w:tcBorders>
          </w:tcPr>
          <w:p w:rsidR="00DF2F67" w:rsidRPr="00D55DC6" w:rsidRDefault="00DF2F67" w:rsidP="00FA7F7B">
            <w:pPr>
              <w:widowControl/>
              <w:adjustRightInd w:val="0"/>
              <w:snapToGrid w:val="0"/>
              <w:spacing w:line="0" w:lineRule="atLeast"/>
              <w:jc w:val="right"/>
              <w:rPr>
                <w:rFonts w:eastAsia="標楷體"/>
                <w:kern w:val="0"/>
                <w:szCs w:val="22"/>
              </w:rPr>
            </w:pPr>
            <w:r w:rsidRPr="00D55DC6">
              <w:rPr>
                <w:rFonts w:eastAsia="標楷體"/>
                <w:kern w:val="0"/>
                <w:szCs w:val="22"/>
              </w:rPr>
              <w:t>0.40</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adjustRightInd w:val="0"/>
              <w:snapToGrid w:val="0"/>
              <w:spacing w:line="0" w:lineRule="atLeast"/>
              <w:jc w:val="right"/>
              <w:rPr>
                <w:rFonts w:eastAsia="標楷體"/>
                <w:b/>
                <w:bCs/>
                <w:kern w:val="0"/>
                <w:szCs w:val="22"/>
              </w:rPr>
            </w:pPr>
            <w:r w:rsidRPr="00D55DC6">
              <w:rPr>
                <w:rFonts w:eastAsia="標楷體"/>
                <w:b/>
                <w:bCs/>
                <w:kern w:val="0"/>
                <w:szCs w:val="22"/>
              </w:rPr>
              <w:t>1.60</w:t>
            </w:r>
          </w:p>
        </w:tc>
        <w:tc>
          <w:tcPr>
            <w:tcW w:w="1558" w:type="dxa"/>
            <w:vMerge/>
            <w:tcBorders>
              <w:left w:val="single" w:sz="8" w:space="0" w:color="auto"/>
              <w:right w:val="single" w:sz="8" w:space="0" w:color="auto"/>
            </w:tcBorders>
          </w:tcPr>
          <w:p w:rsidR="00DF2F67" w:rsidRPr="00D55DC6" w:rsidRDefault="00DF2F67" w:rsidP="00FA7F7B">
            <w:pPr>
              <w:widowControl/>
              <w:spacing w:line="0" w:lineRule="atLeast"/>
              <w:jc w:val="both"/>
              <w:rPr>
                <w:rFonts w:eastAsia="標楷體"/>
                <w:kern w:val="0"/>
              </w:rPr>
            </w:pPr>
          </w:p>
        </w:tc>
      </w:tr>
      <w:tr w:rsidR="001D0350" w:rsidRPr="00D55DC6" w:rsidTr="00C25C2C">
        <w:trPr>
          <w:trHeight w:val="567"/>
        </w:trPr>
        <w:tc>
          <w:tcPr>
            <w:tcW w:w="400" w:type="dxa"/>
            <w:vMerge/>
            <w:tcBorders>
              <w:top w:val="nil"/>
              <w:left w:val="single" w:sz="8" w:space="0" w:color="auto"/>
              <w:bottom w:val="nil"/>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904"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851"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2268" w:type="dxa"/>
            <w:tcBorders>
              <w:top w:val="nil"/>
              <w:left w:val="nil"/>
              <w:bottom w:val="single" w:sz="8" w:space="0" w:color="auto"/>
              <w:right w:val="single" w:sz="8" w:space="0" w:color="auto"/>
            </w:tcBorders>
          </w:tcPr>
          <w:p w:rsidR="00DF2F67" w:rsidRPr="00D55DC6" w:rsidRDefault="00DF2F67" w:rsidP="00FA7F7B">
            <w:pPr>
              <w:widowControl/>
              <w:adjustRightInd w:val="0"/>
              <w:snapToGrid w:val="0"/>
              <w:spacing w:line="0" w:lineRule="atLeast"/>
              <w:rPr>
                <w:rFonts w:eastAsia="標楷體"/>
                <w:kern w:val="0"/>
                <w:sz w:val="20"/>
                <w:szCs w:val="20"/>
              </w:rPr>
            </w:pPr>
            <w:r w:rsidRPr="00D55DC6">
              <w:rPr>
                <w:rFonts w:eastAsia="標楷體"/>
                <w:kern w:val="0"/>
                <w:sz w:val="20"/>
                <w:szCs w:val="20"/>
              </w:rPr>
              <w:t>潮口護岸及遊憩服務設施</w:t>
            </w:r>
          </w:p>
        </w:tc>
        <w:tc>
          <w:tcPr>
            <w:tcW w:w="709" w:type="dxa"/>
            <w:tcBorders>
              <w:top w:val="nil"/>
              <w:left w:val="nil"/>
              <w:bottom w:val="single" w:sz="8" w:space="0" w:color="auto"/>
              <w:right w:val="single" w:sz="8" w:space="0" w:color="auto"/>
            </w:tcBorders>
          </w:tcPr>
          <w:p w:rsidR="00DF2F67" w:rsidRPr="00D55DC6" w:rsidRDefault="00DF2F67" w:rsidP="00FA7F7B">
            <w:pPr>
              <w:widowControl/>
              <w:adjustRightInd w:val="0"/>
              <w:snapToGrid w:val="0"/>
              <w:spacing w:line="0" w:lineRule="atLeast"/>
              <w:jc w:val="right"/>
              <w:rPr>
                <w:rFonts w:eastAsia="標楷體"/>
                <w:kern w:val="0"/>
                <w:szCs w:val="22"/>
              </w:rPr>
            </w:pPr>
            <w:r w:rsidRPr="00D55DC6">
              <w:rPr>
                <w:rFonts w:eastAsia="標楷體"/>
                <w:kern w:val="0"/>
                <w:szCs w:val="22"/>
              </w:rPr>
              <w:t>0.00</w:t>
            </w:r>
          </w:p>
        </w:tc>
        <w:tc>
          <w:tcPr>
            <w:tcW w:w="709" w:type="dxa"/>
            <w:tcBorders>
              <w:top w:val="nil"/>
              <w:left w:val="nil"/>
              <w:bottom w:val="single" w:sz="8" w:space="0" w:color="auto"/>
              <w:right w:val="single" w:sz="8" w:space="0" w:color="auto"/>
            </w:tcBorders>
          </w:tcPr>
          <w:p w:rsidR="00DF2F67" w:rsidRPr="00D55DC6" w:rsidRDefault="00DF2F67" w:rsidP="00FA7F7B">
            <w:pPr>
              <w:widowControl/>
              <w:adjustRightInd w:val="0"/>
              <w:snapToGrid w:val="0"/>
              <w:spacing w:line="0" w:lineRule="atLeast"/>
              <w:jc w:val="right"/>
              <w:rPr>
                <w:rFonts w:eastAsia="標楷體"/>
                <w:kern w:val="0"/>
                <w:szCs w:val="22"/>
              </w:rPr>
            </w:pPr>
            <w:r w:rsidRPr="00D55DC6">
              <w:rPr>
                <w:rFonts w:eastAsia="標楷體"/>
                <w:kern w:val="0"/>
                <w:szCs w:val="22"/>
              </w:rPr>
              <w:t>0.00</w:t>
            </w:r>
          </w:p>
        </w:tc>
        <w:tc>
          <w:tcPr>
            <w:tcW w:w="850" w:type="dxa"/>
            <w:tcBorders>
              <w:top w:val="nil"/>
              <w:left w:val="nil"/>
              <w:bottom w:val="single" w:sz="8" w:space="0" w:color="auto"/>
              <w:right w:val="single" w:sz="8" w:space="0" w:color="auto"/>
            </w:tcBorders>
          </w:tcPr>
          <w:p w:rsidR="00DF2F67" w:rsidRPr="00D55DC6" w:rsidRDefault="00DF2F67" w:rsidP="00FA7F7B">
            <w:pPr>
              <w:widowControl/>
              <w:adjustRightInd w:val="0"/>
              <w:snapToGrid w:val="0"/>
              <w:spacing w:line="0" w:lineRule="atLeast"/>
              <w:jc w:val="right"/>
              <w:rPr>
                <w:rFonts w:eastAsia="標楷體"/>
                <w:kern w:val="0"/>
                <w:szCs w:val="22"/>
              </w:rPr>
            </w:pPr>
            <w:r w:rsidRPr="00D55DC6">
              <w:rPr>
                <w:rFonts w:eastAsia="標楷體"/>
                <w:kern w:val="0"/>
                <w:szCs w:val="22"/>
              </w:rPr>
              <w:t>0.60</w:t>
            </w:r>
          </w:p>
        </w:tc>
        <w:tc>
          <w:tcPr>
            <w:tcW w:w="709" w:type="dxa"/>
            <w:tcBorders>
              <w:top w:val="nil"/>
              <w:left w:val="nil"/>
              <w:bottom w:val="single" w:sz="8" w:space="0" w:color="auto"/>
              <w:right w:val="single" w:sz="8" w:space="0" w:color="auto"/>
            </w:tcBorders>
          </w:tcPr>
          <w:p w:rsidR="00DF2F67" w:rsidRPr="00D55DC6" w:rsidRDefault="00DF2F67" w:rsidP="00FA7F7B">
            <w:pPr>
              <w:widowControl/>
              <w:adjustRightInd w:val="0"/>
              <w:snapToGrid w:val="0"/>
              <w:spacing w:line="0" w:lineRule="atLeast"/>
              <w:jc w:val="right"/>
              <w:rPr>
                <w:rFonts w:eastAsia="標楷體"/>
                <w:kern w:val="0"/>
                <w:szCs w:val="22"/>
              </w:rPr>
            </w:pPr>
            <w:r w:rsidRPr="00D55DC6">
              <w:rPr>
                <w:rFonts w:eastAsia="標楷體"/>
                <w:kern w:val="0"/>
                <w:szCs w:val="22"/>
              </w:rPr>
              <w:t>0.60</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adjustRightInd w:val="0"/>
              <w:snapToGrid w:val="0"/>
              <w:spacing w:line="0" w:lineRule="atLeast"/>
              <w:jc w:val="right"/>
              <w:rPr>
                <w:rFonts w:eastAsia="標楷體"/>
                <w:b/>
                <w:bCs/>
                <w:kern w:val="0"/>
                <w:szCs w:val="22"/>
              </w:rPr>
            </w:pPr>
            <w:r w:rsidRPr="00D55DC6">
              <w:rPr>
                <w:rFonts w:eastAsia="標楷體"/>
                <w:b/>
                <w:bCs/>
                <w:kern w:val="0"/>
                <w:szCs w:val="22"/>
              </w:rPr>
              <w:t>1.20</w:t>
            </w:r>
          </w:p>
        </w:tc>
        <w:tc>
          <w:tcPr>
            <w:tcW w:w="1558" w:type="dxa"/>
            <w:vMerge/>
            <w:tcBorders>
              <w:left w:val="single" w:sz="8" w:space="0" w:color="auto"/>
              <w:right w:val="single" w:sz="8" w:space="0" w:color="auto"/>
            </w:tcBorders>
          </w:tcPr>
          <w:p w:rsidR="00DF2F67" w:rsidRPr="00D55DC6" w:rsidRDefault="00DF2F67" w:rsidP="00FA7F7B">
            <w:pPr>
              <w:widowControl/>
              <w:spacing w:line="0" w:lineRule="atLeast"/>
              <w:jc w:val="both"/>
              <w:rPr>
                <w:rFonts w:eastAsia="標楷體"/>
                <w:kern w:val="0"/>
              </w:rPr>
            </w:pPr>
          </w:p>
        </w:tc>
      </w:tr>
      <w:tr w:rsidR="001D0350" w:rsidRPr="00D55DC6" w:rsidTr="00C25C2C">
        <w:trPr>
          <w:trHeight w:val="345"/>
        </w:trPr>
        <w:tc>
          <w:tcPr>
            <w:tcW w:w="400" w:type="dxa"/>
            <w:vMerge/>
            <w:tcBorders>
              <w:top w:val="nil"/>
              <w:left w:val="single" w:sz="8" w:space="0" w:color="auto"/>
              <w:bottom w:val="nil"/>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904"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851"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2268"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both"/>
              <w:rPr>
                <w:rFonts w:eastAsia="標楷體"/>
                <w:kern w:val="0"/>
              </w:rPr>
            </w:pPr>
            <w:r w:rsidRPr="00D55DC6">
              <w:rPr>
                <w:rFonts w:eastAsia="標楷體"/>
                <w:kern w:val="0"/>
                <w:szCs w:val="22"/>
              </w:rPr>
              <w:t>(3)</w:t>
            </w:r>
            <w:r w:rsidRPr="00D55DC6">
              <w:rPr>
                <w:rFonts w:eastAsia="標楷體"/>
                <w:kern w:val="0"/>
                <w:szCs w:val="22"/>
              </w:rPr>
              <w:t>國內觀光重要景點</w:t>
            </w:r>
          </w:p>
        </w:tc>
        <w:tc>
          <w:tcPr>
            <w:tcW w:w="709" w:type="dxa"/>
            <w:tcBorders>
              <w:top w:val="nil"/>
              <w:left w:val="nil"/>
              <w:bottom w:val="single" w:sz="8" w:space="0" w:color="auto"/>
              <w:right w:val="single" w:sz="8" w:space="0" w:color="auto"/>
            </w:tcBorders>
            <w:shd w:val="clear" w:color="000000" w:fill="CCFFCC"/>
            <w:vAlign w:val="center"/>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0.40</w:t>
            </w:r>
          </w:p>
        </w:tc>
        <w:tc>
          <w:tcPr>
            <w:tcW w:w="709" w:type="dxa"/>
            <w:tcBorders>
              <w:top w:val="nil"/>
              <w:left w:val="nil"/>
              <w:bottom w:val="single" w:sz="8" w:space="0" w:color="auto"/>
              <w:right w:val="single" w:sz="8" w:space="0" w:color="auto"/>
            </w:tcBorders>
            <w:shd w:val="clear" w:color="000000" w:fill="CCFFCC"/>
            <w:vAlign w:val="center"/>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 xml:space="preserve">0.40 </w:t>
            </w:r>
          </w:p>
        </w:tc>
        <w:tc>
          <w:tcPr>
            <w:tcW w:w="850" w:type="dxa"/>
            <w:tcBorders>
              <w:top w:val="nil"/>
              <w:left w:val="nil"/>
              <w:bottom w:val="single" w:sz="8" w:space="0" w:color="auto"/>
              <w:right w:val="single" w:sz="8" w:space="0" w:color="auto"/>
            </w:tcBorders>
            <w:shd w:val="clear" w:color="000000" w:fill="CCFFCC"/>
            <w:vAlign w:val="center"/>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0.30</w:t>
            </w:r>
          </w:p>
        </w:tc>
        <w:tc>
          <w:tcPr>
            <w:tcW w:w="709" w:type="dxa"/>
            <w:tcBorders>
              <w:top w:val="nil"/>
              <w:left w:val="nil"/>
              <w:bottom w:val="single" w:sz="8" w:space="0" w:color="auto"/>
              <w:right w:val="single" w:sz="8" w:space="0" w:color="auto"/>
            </w:tcBorders>
            <w:shd w:val="clear" w:color="000000" w:fill="CCFFCC"/>
            <w:vAlign w:val="center"/>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0.30</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 xml:space="preserve">1.40 </w:t>
            </w:r>
          </w:p>
        </w:tc>
        <w:tc>
          <w:tcPr>
            <w:tcW w:w="1558" w:type="dxa"/>
            <w:vMerge w:val="restart"/>
            <w:tcBorders>
              <w:top w:val="single" w:sz="8" w:space="0" w:color="auto"/>
              <w:left w:val="single" w:sz="8" w:space="0" w:color="auto"/>
              <w:bottom w:val="nil"/>
              <w:right w:val="single" w:sz="8" w:space="0" w:color="auto"/>
            </w:tcBorders>
          </w:tcPr>
          <w:p w:rsidR="00DF2F67" w:rsidRPr="00D55DC6" w:rsidRDefault="00DF2F67" w:rsidP="00FA7F7B">
            <w:pPr>
              <w:widowControl/>
              <w:adjustRightInd w:val="0"/>
              <w:snapToGrid w:val="0"/>
              <w:spacing w:line="0" w:lineRule="atLeast"/>
              <w:jc w:val="both"/>
              <w:rPr>
                <w:rFonts w:eastAsia="標楷體"/>
                <w:kern w:val="0"/>
                <w:sz w:val="20"/>
                <w:szCs w:val="20"/>
              </w:rPr>
            </w:pPr>
            <w:r w:rsidRPr="00D55DC6">
              <w:rPr>
                <w:rFonts w:eastAsia="標楷體"/>
                <w:kern w:val="0"/>
                <w:sz w:val="20"/>
                <w:szCs w:val="20"/>
              </w:rPr>
              <w:t>辦理透過珊瑚礁復育及當地遊憩環境改善，建立</w:t>
            </w:r>
            <w:r w:rsidR="00EA38C5" w:rsidRPr="00D55DC6">
              <w:rPr>
                <w:rFonts w:eastAsia="標楷體"/>
                <w:kern w:val="0"/>
                <w:sz w:val="20"/>
                <w:szCs w:val="20"/>
              </w:rPr>
              <w:t>度假</w:t>
            </w:r>
            <w:r w:rsidRPr="00D55DC6">
              <w:rPr>
                <w:rFonts w:eastAsia="標楷體"/>
                <w:kern w:val="0"/>
                <w:sz w:val="20"/>
                <w:szCs w:val="20"/>
              </w:rPr>
              <w:t>休閒之珊瑚礁生態學習島。</w:t>
            </w:r>
          </w:p>
        </w:tc>
      </w:tr>
      <w:tr w:rsidR="001D0350" w:rsidRPr="00D55DC6" w:rsidTr="00C25C2C">
        <w:trPr>
          <w:trHeight w:val="292"/>
        </w:trPr>
        <w:tc>
          <w:tcPr>
            <w:tcW w:w="400" w:type="dxa"/>
            <w:vMerge/>
            <w:tcBorders>
              <w:top w:val="nil"/>
              <w:left w:val="single" w:sz="8" w:space="0" w:color="auto"/>
              <w:bottom w:val="nil"/>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904"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851"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2268" w:type="dxa"/>
            <w:tcBorders>
              <w:top w:val="nil"/>
              <w:left w:val="nil"/>
              <w:bottom w:val="single" w:sz="8" w:space="0" w:color="auto"/>
              <w:right w:val="single" w:sz="8" w:space="0" w:color="auto"/>
            </w:tcBorders>
          </w:tcPr>
          <w:p w:rsidR="00DF2F67" w:rsidRPr="00D55DC6" w:rsidRDefault="00DF2F67" w:rsidP="00FA7F7B">
            <w:pPr>
              <w:spacing w:line="0" w:lineRule="atLeast"/>
            </w:pPr>
            <w:r w:rsidRPr="00D55DC6">
              <w:rPr>
                <w:rFonts w:eastAsia="標楷體"/>
                <w:kern w:val="0"/>
              </w:rPr>
              <w:t>琉球風景區建設</w:t>
            </w:r>
          </w:p>
        </w:tc>
        <w:tc>
          <w:tcPr>
            <w:tcW w:w="709"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 xml:space="preserve"> 0.40</w:t>
            </w:r>
          </w:p>
        </w:tc>
        <w:tc>
          <w:tcPr>
            <w:tcW w:w="709"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 xml:space="preserve"> 0.40 </w:t>
            </w:r>
          </w:p>
        </w:tc>
        <w:tc>
          <w:tcPr>
            <w:tcW w:w="850"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 xml:space="preserve">0.30 </w:t>
            </w:r>
          </w:p>
        </w:tc>
        <w:tc>
          <w:tcPr>
            <w:tcW w:w="709"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 xml:space="preserve"> 0.30</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 xml:space="preserve">1.40 </w:t>
            </w:r>
          </w:p>
        </w:tc>
        <w:tc>
          <w:tcPr>
            <w:tcW w:w="1558" w:type="dxa"/>
            <w:vMerge/>
            <w:tcBorders>
              <w:top w:val="single" w:sz="8" w:space="0" w:color="auto"/>
              <w:left w:val="single" w:sz="8" w:space="0" w:color="auto"/>
              <w:bottom w:val="nil"/>
              <w:right w:val="single" w:sz="8" w:space="0" w:color="auto"/>
            </w:tcBorders>
            <w:vAlign w:val="center"/>
          </w:tcPr>
          <w:p w:rsidR="00DF2F67" w:rsidRPr="00D55DC6" w:rsidRDefault="00DF2F67" w:rsidP="00FA7F7B">
            <w:pPr>
              <w:widowControl/>
              <w:spacing w:line="0" w:lineRule="atLeast"/>
              <w:rPr>
                <w:rFonts w:eastAsia="標楷體"/>
                <w:kern w:val="0"/>
              </w:rPr>
            </w:pPr>
          </w:p>
        </w:tc>
      </w:tr>
      <w:tr w:rsidR="001D0350" w:rsidRPr="00D55DC6" w:rsidTr="00C25C2C">
        <w:trPr>
          <w:trHeight w:val="406"/>
        </w:trPr>
        <w:tc>
          <w:tcPr>
            <w:tcW w:w="400" w:type="dxa"/>
            <w:vMerge/>
            <w:tcBorders>
              <w:top w:val="nil"/>
              <w:left w:val="single" w:sz="8" w:space="0" w:color="auto"/>
              <w:bottom w:val="nil"/>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904"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851"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2268" w:type="dxa"/>
            <w:tcBorders>
              <w:top w:val="single" w:sz="8" w:space="0" w:color="auto"/>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both"/>
              <w:rPr>
                <w:rFonts w:eastAsia="標楷體"/>
                <w:kern w:val="0"/>
              </w:rPr>
            </w:pPr>
            <w:r w:rsidRPr="00D55DC6">
              <w:rPr>
                <w:rFonts w:eastAsia="標楷體"/>
                <w:kern w:val="0"/>
                <w:szCs w:val="22"/>
              </w:rPr>
              <w:t>(4)</w:t>
            </w:r>
            <w:r w:rsidRPr="00D55DC6">
              <w:rPr>
                <w:rFonts w:eastAsia="標楷體"/>
                <w:kern w:val="0"/>
                <w:szCs w:val="22"/>
              </w:rPr>
              <w:t>環境及設施整修</w:t>
            </w:r>
          </w:p>
        </w:tc>
        <w:tc>
          <w:tcPr>
            <w:tcW w:w="709"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kern w:val="0"/>
              </w:rPr>
            </w:pPr>
            <w:r w:rsidRPr="00D55DC6">
              <w:rPr>
                <w:rFonts w:eastAsia="標楷體"/>
                <w:b/>
                <w:kern w:val="0"/>
                <w:szCs w:val="22"/>
              </w:rPr>
              <w:t>0.30</w:t>
            </w:r>
          </w:p>
        </w:tc>
        <w:tc>
          <w:tcPr>
            <w:tcW w:w="709"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kern w:val="0"/>
              </w:rPr>
            </w:pPr>
            <w:r w:rsidRPr="00D55DC6">
              <w:rPr>
                <w:rFonts w:eastAsia="標楷體"/>
                <w:b/>
                <w:kern w:val="0"/>
                <w:szCs w:val="22"/>
              </w:rPr>
              <w:t>0.30</w:t>
            </w:r>
          </w:p>
        </w:tc>
        <w:tc>
          <w:tcPr>
            <w:tcW w:w="850"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kern w:val="0"/>
              </w:rPr>
            </w:pPr>
            <w:r w:rsidRPr="00D55DC6">
              <w:rPr>
                <w:rFonts w:eastAsia="標楷體"/>
                <w:b/>
                <w:kern w:val="0"/>
                <w:szCs w:val="22"/>
              </w:rPr>
              <w:t xml:space="preserve">0.30 </w:t>
            </w:r>
          </w:p>
        </w:tc>
        <w:tc>
          <w:tcPr>
            <w:tcW w:w="709"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kern w:val="0"/>
              </w:rPr>
            </w:pPr>
            <w:r w:rsidRPr="00D55DC6">
              <w:rPr>
                <w:rFonts w:eastAsia="標楷體"/>
                <w:b/>
                <w:kern w:val="0"/>
                <w:szCs w:val="22"/>
              </w:rPr>
              <w:t xml:space="preserve">0.30 </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1.20</w:t>
            </w:r>
          </w:p>
        </w:tc>
        <w:tc>
          <w:tcPr>
            <w:tcW w:w="1558" w:type="dxa"/>
            <w:vMerge w:val="restart"/>
            <w:tcBorders>
              <w:top w:val="single" w:sz="8" w:space="0" w:color="auto"/>
              <w:left w:val="single" w:sz="8" w:space="0" w:color="auto"/>
              <w:bottom w:val="single" w:sz="8" w:space="0" w:color="000000"/>
              <w:right w:val="single" w:sz="8" w:space="0" w:color="auto"/>
            </w:tcBorders>
          </w:tcPr>
          <w:p w:rsidR="00DF2F67" w:rsidRPr="00D55DC6" w:rsidRDefault="00DF2F67" w:rsidP="00FA7F7B">
            <w:pPr>
              <w:widowControl/>
              <w:adjustRightInd w:val="0"/>
              <w:snapToGrid w:val="0"/>
              <w:spacing w:line="0" w:lineRule="atLeast"/>
              <w:rPr>
                <w:rFonts w:eastAsia="標楷體"/>
                <w:kern w:val="0"/>
                <w:sz w:val="20"/>
                <w:szCs w:val="20"/>
              </w:rPr>
            </w:pPr>
            <w:r w:rsidRPr="00D55DC6">
              <w:rPr>
                <w:rFonts w:eastAsia="標楷體"/>
                <w:kern w:val="0"/>
                <w:sz w:val="20"/>
                <w:szCs w:val="20"/>
              </w:rPr>
              <w:t>1.</w:t>
            </w:r>
            <w:r w:rsidRPr="00D55DC6">
              <w:rPr>
                <w:rFonts w:eastAsia="標楷體"/>
                <w:kern w:val="0"/>
                <w:sz w:val="20"/>
                <w:szCs w:val="20"/>
              </w:rPr>
              <w:t>辦理環境維護及設施維持</w:t>
            </w:r>
          </w:p>
          <w:p w:rsidR="00DF2F67" w:rsidRPr="00D55DC6" w:rsidRDefault="00DF2F67" w:rsidP="00FA7F7B">
            <w:pPr>
              <w:widowControl/>
              <w:adjustRightInd w:val="0"/>
              <w:snapToGrid w:val="0"/>
              <w:spacing w:line="0" w:lineRule="atLeast"/>
              <w:rPr>
                <w:rFonts w:eastAsia="標楷體"/>
                <w:kern w:val="0"/>
              </w:rPr>
            </w:pPr>
            <w:r w:rsidRPr="00D55DC6">
              <w:rPr>
                <w:rFonts w:eastAsia="標楷體"/>
                <w:kern w:val="0"/>
                <w:sz w:val="20"/>
                <w:szCs w:val="20"/>
              </w:rPr>
              <w:t>2.</w:t>
            </w:r>
            <w:r w:rsidRPr="00D55DC6">
              <w:rPr>
                <w:rFonts w:eastAsia="標楷體"/>
                <w:kern w:val="0"/>
                <w:sz w:val="20"/>
                <w:szCs w:val="20"/>
              </w:rPr>
              <w:t>災害復舊及公共設施整修或緊急修繕工程</w:t>
            </w:r>
          </w:p>
        </w:tc>
      </w:tr>
      <w:tr w:rsidR="001D0350" w:rsidRPr="00D55DC6" w:rsidTr="00C25C2C">
        <w:trPr>
          <w:trHeight w:val="322"/>
        </w:trPr>
        <w:tc>
          <w:tcPr>
            <w:tcW w:w="400" w:type="dxa"/>
            <w:vMerge/>
            <w:tcBorders>
              <w:top w:val="nil"/>
              <w:left w:val="single" w:sz="8" w:space="0" w:color="auto"/>
              <w:bottom w:val="nil"/>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904"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851"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2268"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both"/>
              <w:rPr>
                <w:rFonts w:eastAsia="標楷體"/>
                <w:kern w:val="0"/>
              </w:rPr>
            </w:pPr>
            <w:r w:rsidRPr="00D55DC6">
              <w:rPr>
                <w:rFonts w:eastAsia="標楷體"/>
                <w:kern w:val="0"/>
                <w:szCs w:val="22"/>
              </w:rPr>
              <w:t>環境維護及設施維持</w:t>
            </w:r>
          </w:p>
        </w:tc>
        <w:tc>
          <w:tcPr>
            <w:tcW w:w="709" w:type="dxa"/>
            <w:tcBorders>
              <w:top w:val="nil"/>
              <w:left w:val="nil"/>
              <w:bottom w:val="single" w:sz="8" w:space="0" w:color="auto"/>
              <w:right w:val="single" w:sz="8" w:space="0" w:color="auto"/>
            </w:tcBorders>
            <w:vAlign w:val="center"/>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0.20</w:t>
            </w:r>
          </w:p>
        </w:tc>
        <w:tc>
          <w:tcPr>
            <w:tcW w:w="709"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 xml:space="preserve"> 0.20</w:t>
            </w:r>
          </w:p>
        </w:tc>
        <w:tc>
          <w:tcPr>
            <w:tcW w:w="850"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 xml:space="preserve"> 0.20</w:t>
            </w:r>
          </w:p>
        </w:tc>
        <w:tc>
          <w:tcPr>
            <w:tcW w:w="709"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 xml:space="preserve"> 0.20 </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 xml:space="preserve">0.80 </w:t>
            </w:r>
          </w:p>
        </w:tc>
        <w:tc>
          <w:tcPr>
            <w:tcW w:w="1558" w:type="dxa"/>
            <w:vMerge/>
            <w:tcBorders>
              <w:top w:val="single" w:sz="8" w:space="0" w:color="auto"/>
              <w:left w:val="single" w:sz="8" w:space="0" w:color="auto"/>
              <w:bottom w:val="single" w:sz="8" w:space="0" w:color="000000"/>
              <w:right w:val="single" w:sz="8" w:space="0" w:color="auto"/>
            </w:tcBorders>
            <w:vAlign w:val="center"/>
          </w:tcPr>
          <w:p w:rsidR="00DF2F67" w:rsidRPr="00D55DC6" w:rsidRDefault="00DF2F67" w:rsidP="00FA7F7B">
            <w:pPr>
              <w:widowControl/>
              <w:spacing w:line="0" w:lineRule="atLeast"/>
              <w:rPr>
                <w:rFonts w:eastAsia="標楷體"/>
                <w:kern w:val="0"/>
              </w:rPr>
            </w:pPr>
          </w:p>
        </w:tc>
      </w:tr>
      <w:tr w:rsidR="001D0350" w:rsidRPr="00D55DC6" w:rsidTr="00C25C2C">
        <w:trPr>
          <w:trHeight w:val="345"/>
        </w:trPr>
        <w:tc>
          <w:tcPr>
            <w:tcW w:w="400" w:type="dxa"/>
            <w:vMerge/>
            <w:tcBorders>
              <w:top w:val="nil"/>
              <w:left w:val="single" w:sz="8" w:space="0" w:color="auto"/>
              <w:bottom w:val="nil"/>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904"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851" w:type="dxa"/>
            <w:vMerge/>
            <w:tcBorders>
              <w:top w:val="nil"/>
              <w:left w:val="single" w:sz="8" w:space="0" w:color="auto"/>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p>
        </w:tc>
        <w:tc>
          <w:tcPr>
            <w:tcW w:w="2268" w:type="dxa"/>
            <w:tcBorders>
              <w:top w:val="nil"/>
              <w:left w:val="nil"/>
              <w:bottom w:val="single" w:sz="8" w:space="0" w:color="auto"/>
              <w:right w:val="single" w:sz="8" w:space="0" w:color="auto"/>
            </w:tcBorders>
          </w:tcPr>
          <w:p w:rsidR="00DF2F67" w:rsidRPr="00D55DC6" w:rsidRDefault="00DF2F67" w:rsidP="00FA7F7B">
            <w:pPr>
              <w:widowControl/>
              <w:adjustRightInd w:val="0"/>
              <w:snapToGrid w:val="0"/>
              <w:spacing w:line="0" w:lineRule="atLeast"/>
              <w:jc w:val="both"/>
              <w:rPr>
                <w:rFonts w:eastAsia="標楷體"/>
                <w:kern w:val="0"/>
                <w:sz w:val="20"/>
                <w:szCs w:val="20"/>
              </w:rPr>
            </w:pPr>
            <w:r w:rsidRPr="00D55DC6">
              <w:rPr>
                <w:rFonts w:eastAsia="標楷體"/>
                <w:kern w:val="0"/>
                <w:sz w:val="20"/>
                <w:szCs w:val="20"/>
              </w:rPr>
              <w:t>全區災害復舊及一般零星工程</w:t>
            </w:r>
          </w:p>
        </w:tc>
        <w:tc>
          <w:tcPr>
            <w:tcW w:w="709"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 xml:space="preserve"> 0.10 </w:t>
            </w:r>
          </w:p>
        </w:tc>
        <w:tc>
          <w:tcPr>
            <w:tcW w:w="709"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 xml:space="preserve"> 0.10</w:t>
            </w:r>
          </w:p>
        </w:tc>
        <w:tc>
          <w:tcPr>
            <w:tcW w:w="850"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 xml:space="preserve"> 0.10</w:t>
            </w:r>
          </w:p>
        </w:tc>
        <w:tc>
          <w:tcPr>
            <w:tcW w:w="709" w:type="dxa"/>
            <w:tcBorders>
              <w:top w:val="nil"/>
              <w:left w:val="nil"/>
              <w:bottom w:val="single" w:sz="8" w:space="0" w:color="auto"/>
              <w:right w:val="single" w:sz="8" w:space="0" w:color="auto"/>
            </w:tcBorders>
          </w:tcPr>
          <w:p w:rsidR="00DF2F67" w:rsidRPr="00D55DC6" w:rsidRDefault="00DF2F67" w:rsidP="00FA7F7B">
            <w:pPr>
              <w:widowControl/>
              <w:spacing w:line="0" w:lineRule="atLeast"/>
              <w:jc w:val="right"/>
              <w:rPr>
                <w:rFonts w:eastAsia="標楷體"/>
                <w:kern w:val="0"/>
              </w:rPr>
            </w:pPr>
            <w:r w:rsidRPr="00D55DC6">
              <w:rPr>
                <w:rFonts w:eastAsia="標楷體"/>
                <w:kern w:val="0"/>
                <w:szCs w:val="22"/>
              </w:rPr>
              <w:t xml:space="preserve"> 0.10 </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 xml:space="preserve">0.40 </w:t>
            </w:r>
          </w:p>
        </w:tc>
        <w:tc>
          <w:tcPr>
            <w:tcW w:w="1558" w:type="dxa"/>
            <w:vMerge/>
            <w:tcBorders>
              <w:top w:val="single" w:sz="8" w:space="0" w:color="auto"/>
              <w:left w:val="single" w:sz="8" w:space="0" w:color="auto"/>
              <w:bottom w:val="single" w:sz="8" w:space="0" w:color="000000"/>
              <w:right w:val="single" w:sz="8" w:space="0" w:color="auto"/>
            </w:tcBorders>
            <w:vAlign w:val="center"/>
          </w:tcPr>
          <w:p w:rsidR="00DF2F67" w:rsidRPr="00D55DC6" w:rsidRDefault="00DF2F67" w:rsidP="00FA7F7B">
            <w:pPr>
              <w:widowControl/>
              <w:spacing w:line="0" w:lineRule="atLeast"/>
              <w:rPr>
                <w:rFonts w:eastAsia="標楷體"/>
                <w:kern w:val="0"/>
              </w:rPr>
            </w:pPr>
          </w:p>
        </w:tc>
      </w:tr>
      <w:tr w:rsidR="001D0350" w:rsidRPr="00D55DC6" w:rsidTr="00C25C2C">
        <w:trPr>
          <w:trHeight w:val="345"/>
        </w:trPr>
        <w:tc>
          <w:tcPr>
            <w:tcW w:w="400" w:type="dxa"/>
            <w:tcBorders>
              <w:top w:val="nil"/>
              <w:left w:val="single" w:sz="8" w:space="0" w:color="auto"/>
              <w:bottom w:val="single" w:sz="8" w:space="0" w:color="auto"/>
              <w:right w:val="single" w:sz="8" w:space="0" w:color="auto"/>
            </w:tcBorders>
            <w:shd w:val="clear" w:color="000000" w:fill="CCFFCC"/>
            <w:vAlign w:val="center"/>
          </w:tcPr>
          <w:p w:rsidR="00DF2F67" w:rsidRPr="00D55DC6" w:rsidRDefault="00DF2F67" w:rsidP="00FA7F7B">
            <w:pPr>
              <w:widowControl/>
              <w:spacing w:line="0" w:lineRule="atLeast"/>
              <w:jc w:val="center"/>
              <w:rPr>
                <w:rFonts w:eastAsia="標楷體"/>
                <w:kern w:val="0"/>
              </w:rPr>
            </w:pPr>
          </w:p>
        </w:tc>
        <w:tc>
          <w:tcPr>
            <w:tcW w:w="904" w:type="dxa"/>
            <w:tcBorders>
              <w:top w:val="nil"/>
              <w:left w:val="nil"/>
              <w:bottom w:val="single" w:sz="8" w:space="0" w:color="auto"/>
              <w:right w:val="single" w:sz="8" w:space="0" w:color="auto"/>
            </w:tcBorders>
            <w:shd w:val="clear" w:color="000000" w:fill="CCFFCC"/>
            <w:vAlign w:val="center"/>
          </w:tcPr>
          <w:p w:rsidR="00DF2F67" w:rsidRPr="00D55DC6" w:rsidRDefault="00DF2F67" w:rsidP="00FA7F7B">
            <w:pPr>
              <w:widowControl/>
              <w:spacing w:line="0" w:lineRule="atLeast"/>
              <w:jc w:val="center"/>
              <w:rPr>
                <w:rFonts w:eastAsia="標楷體"/>
                <w:kern w:val="0"/>
              </w:rPr>
            </w:pPr>
          </w:p>
        </w:tc>
        <w:tc>
          <w:tcPr>
            <w:tcW w:w="851" w:type="dxa"/>
            <w:tcBorders>
              <w:top w:val="nil"/>
              <w:left w:val="nil"/>
              <w:bottom w:val="single" w:sz="8" w:space="0" w:color="auto"/>
              <w:right w:val="single" w:sz="8" w:space="0" w:color="auto"/>
            </w:tcBorders>
            <w:shd w:val="clear" w:color="000000" w:fill="CCFFCC"/>
            <w:vAlign w:val="center"/>
          </w:tcPr>
          <w:p w:rsidR="00DF2F67" w:rsidRPr="00D55DC6" w:rsidRDefault="00DF2F67" w:rsidP="00FA7F7B">
            <w:pPr>
              <w:widowControl/>
              <w:spacing w:line="0" w:lineRule="atLeast"/>
              <w:jc w:val="center"/>
              <w:rPr>
                <w:rFonts w:eastAsia="標楷體"/>
                <w:kern w:val="0"/>
              </w:rPr>
            </w:pPr>
          </w:p>
        </w:tc>
        <w:tc>
          <w:tcPr>
            <w:tcW w:w="2268" w:type="dxa"/>
            <w:tcBorders>
              <w:top w:val="nil"/>
              <w:left w:val="nil"/>
              <w:bottom w:val="single" w:sz="8" w:space="0" w:color="auto"/>
              <w:right w:val="single" w:sz="8" w:space="0" w:color="auto"/>
            </w:tcBorders>
            <w:shd w:val="clear" w:color="000000" w:fill="CCFFCC"/>
            <w:vAlign w:val="center"/>
          </w:tcPr>
          <w:p w:rsidR="00DF2F67" w:rsidRPr="00D55DC6" w:rsidRDefault="00DF2F67" w:rsidP="00FA7F7B">
            <w:pPr>
              <w:widowControl/>
              <w:spacing w:line="0" w:lineRule="atLeast"/>
              <w:jc w:val="center"/>
              <w:rPr>
                <w:rFonts w:eastAsia="標楷體"/>
                <w:b/>
                <w:bCs/>
                <w:kern w:val="0"/>
              </w:rPr>
            </w:pPr>
            <w:r w:rsidRPr="00D55DC6">
              <w:rPr>
                <w:rFonts w:eastAsia="標楷體"/>
                <w:b/>
                <w:bCs/>
                <w:kern w:val="0"/>
                <w:szCs w:val="22"/>
              </w:rPr>
              <w:t>資本門合計</w:t>
            </w:r>
          </w:p>
        </w:tc>
        <w:tc>
          <w:tcPr>
            <w:tcW w:w="709"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4.50</w:t>
            </w:r>
          </w:p>
        </w:tc>
        <w:tc>
          <w:tcPr>
            <w:tcW w:w="709"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4.85</w:t>
            </w:r>
          </w:p>
        </w:tc>
        <w:tc>
          <w:tcPr>
            <w:tcW w:w="850"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3.30</w:t>
            </w:r>
          </w:p>
        </w:tc>
        <w:tc>
          <w:tcPr>
            <w:tcW w:w="709"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3.20</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15.85</w:t>
            </w:r>
          </w:p>
        </w:tc>
        <w:tc>
          <w:tcPr>
            <w:tcW w:w="1558" w:type="dxa"/>
            <w:tcBorders>
              <w:top w:val="nil"/>
              <w:left w:val="nil"/>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r w:rsidRPr="00D55DC6">
              <w:rPr>
                <w:rFonts w:eastAsia="標楷體"/>
                <w:kern w:val="0"/>
                <w:szCs w:val="22"/>
              </w:rPr>
              <w:t xml:space="preserve">　</w:t>
            </w:r>
          </w:p>
        </w:tc>
      </w:tr>
      <w:tr w:rsidR="001D0350" w:rsidRPr="00D55DC6" w:rsidTr="00C25C2C">
        <w:trPr>
          <w:trHeight w:val="345"/>
        </w:trPr>
        <w:tc>
          <w:tcPr>
            <w:tcW w:w="4423" w:type="dxa"/>
            <w:gridSpan w:val="4"/>
            <w:tcBorders>
              <w:top w:val="single" w:sz="8" w:space="0" w:color="auto"/>
              <w:left w:val="single" w:sz="8" w:space="0" w:color="auto"/>
              <w:bottom w:val="single" w:sz="8" w:space="0" w:color="auto"/>
              <w:right w:val="single" w:sz="8" w:space="0" w:color="auto"/>
            </w:tcBorders>
            <w:shd w:val="clear" w:color="000000" w:fill="CCFFCC"/>
            <w:vAlign w:val="center"/>
          </w:tcPr>
          <w:p w:rsidR="00DF2F67" w:rsidRPr="00D55DC6" w:rsidRDefault="00DF2F67" w:rsidP="00FA7F7B">
            <w:pPr>
              <w:widowControl/>
              <w:spacing w:line="0" w:lineRule="atLeast"/>
              <w:jc w:val="center"/>
              <w:rPr>
                <w:rFonts w:eastAsia="標楷體"/>
                <w:b/>
                <w:bCs/>
                <w:kern w:val="0"/>
              </w:rPr>
            </w:pPr>
            <w:r w:rsidRPr="00D55DC6">
              <w:rPr>
                <w:rFonts w:eastAsia="標楷體"/>
                <w:b/>
                <w:bCs/>
                <w:kern w:val="0"/>
                <w:szCs w:val="22"/>
              </w:rPr>
              <w:t>經資門合計</w:t>
            </w:r>
          </w:p>
        </w:tc>
        <w:tc>
          <w:tcPr>
            <w:tcW w:w="709"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4.70</w:t>
            </w:r>
          </w:p>
        </w:tc>
        <w:tc>
          <w:tcPr>
            <w:tcW w:w="709"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5.05</w:t>
            </w:r>
          </w:p>
        </w:tc>
        <w:tc>
          <w:tcPr>
            <w:tcW w:w="850"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3.50</w:t>
            </w:r>
          </w:p>
        </w:tc>
        <w:tc>
          <w:tcPr>
            <w:tcW w:w="709" w:type="dxa"/>
            <w:tcBorders>
              <w:top w:val="nil"/>
              <w:left w:val="nil"/>
              <w:bottom w:val="single" w:sz="8" w:space="0" w:color="auto"/>
              <w:right w:val="single" w:sz="8" w:space="0" w:color="auto"/>
            </w:tcBorders>
            <w:shd w:val="clear" w:color="000000" w:fill="CCFFCC"/>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3.40</w:t>
            </w:r>
          </w:p>
        </w:tc>
        <w:tc>
          <w:tcPr>
            <w:tcW w:w="709" w:type="dxa"/>
            <w:tcBorders>
              <w:top w:val="nil"/>
              <w:left w:val="nil"/>
              <w:bottom w:val="single" w:sz="8" w:space="0" w:color="auto"/>
              <w:right w:val="single" w:sz="8" w:space="0" w:color="auto"/>
            </w:tcBorders>
            <w:shd w:val="clear" w:color="000000" w:fill="CCFFFF"/>
          </w:tcPr>
          <w:p w:rsidR="00DF2F67" w:rsidRPr="00D55DC6" w:rsidRDefault="00DF2F67" w:rsidP="00FA7F7B">
            <w:pPr>
              <w:widowControl/>
              <w:spacing w:line="0" w:lineRule="atLeast"/>
              <w:jc w:val="right"/>
              <w:rPr>
                <w:rFonts w:eastAsia="標楷體"/>
                <w:b/>
                <w:bCs/>
                <w:kern w:val="0"/>
              </w:rPr>
            </w:pPr>
            <w:r w:rsidRPr="00D55DC6">
              <w:rPr>
                <w:rFonts w:eastAsia="標楷體"/>
                <w:b/>
                <w:bCs/>
                <w:kern w:val="0"/>
                <w:szCs w:val="22"/>
              </w:rPr>
              <w:t>16.65</w:t>
            </w:r>
          </w:p>
        </w:tc>
        <w:tc>
          <w:tcPr>
            <w:tcW w:w="1558" w:type="dxa"/>
            <w:tcBorders>
              <w:top w:val="nil"/>
              <w:left w:val="nil"/>
              <w:bottom w:val="single" w:sz="8" w:space="0" w:color="auto"/>
              <w:right w:val="single" w:sz="8" w:space="0" w:color="auto"/>
            </w:tcBorders>
            <w:vAlign w:val="center"/>
          </w:tcPr>
          <w:p w:rsidR="00DF2F67" w:rsidRPr="00D55DC6" w:rsidRDefault="00DF2F67" w:rsidP="00FA7F7B">
            <w:pPr>
              <w:widowControl/>
              <w:spacing w:line="0" w:lineRule="atLeast"/>
              <w:rPr>
                <w:rFonts w:eastAsia="標楷體"/>
                <w:kern w:val="0"/>
              </w:rPr>
            </w:pPr>
            <w:r w:rsidRPr="00D55DC6">
              <w:rPr>
                <w:rFonts w:eastAsia="標楷體"/>
                <w:kern w:val="0"/>
                <w:szCs w:val="22"/>
              </w:rPr>
              <w:t xml:space="preserve">　</w:t>
            </w:r>
          </w:p>
        </w:tc>
      </w:tr>
    </w:tbl>
    <w:p w:rsidR="004D7B00" w:rsidRPr="00D55DC6" w:rsidRDefault="004D7B00" w:rsidP="004D7B00">
      <w:pPr>
        <w:pStyle w:val="a"/>
        <w:numPr>
          <w:ilvl w:val="0"/>
          <w:numId w:val="0"/>
        </w:numPr>
        <w:ind w:left="709"/>
        <w:rPr>
          <w:b/>
        </w:rPr>
      </w:pPr>
      <w:bookmarkStart w:id="150" w:name="_Toc407181717"/>
    </w:p>
    <w:p w:rsidR="004D7B00" w:rsidRPr="00D55DC6" w:rsidRDefault="004D7B00" w:rsidP="004D7B00">
      <w:pPr>
        <w:pStyle w:val="a"/>
        <w:numPr>
          <w:ilvl w:val="0"/>
          <w:numId w:val="0"/>
        </w:numPr>
        <w:ind w:left="709"/>
        <w:rPr>
          <w:b/>
        </w:rPr>
      </w:pPr>
    </w:p>
    <w:p w:rsidR="004D7B00" w:rsidRPr="00D55DC6" w:rsidRDefault="004D7B00" w:rsidP="004D7B00">
      <w:pPr>
        <w:pStyle w:val="a"/>
        <w:numPr>
          <w:ilvl w:val="0"/>
          <w:numId w:val="0"/>
        </w:numPr>
        <w:ind w:left="709"/>
        <w:rPr>
          <w:b/>
        </w:rPr>
      </w:pPr>
    </w:p>
    <w:p w:rsidR="00DF2F67" w:rsidRPr="00D55DC6" w:rsidRDefault="00DF2F67" w:rsidP="00DF2F67">
      <w:pPr>
        <w:pStyle w:val="a"/>
        <w:ind w:left="709" w:hanging="709"/>
        <w:rPr>
          <w:b/>
        </w:rPr>
      </w:pPr>
      <w:r w:rsidRPr="00D55DC6">
        <w:rPr>
          <w:b/>
        </w:rPr>
        <w:t>預期效果及影響</w:t>
      </w:r>
      <w:bookmarkEnd w:id="150"/>
    </w:p>
    <w:p w:rsidR="00DF2F67" w:rsidRPr="00D55DC6" w:rsidRDefault="00DF2F67" w:rsidP="004865C1">
      <w:pPr>
        <w:pStyle w:val="33"/>
        <w:numPr>
          <w:ilvl w:val="0"/>
          <w:numId w:val="156"/>
        </w:numPr>
        <w:adjustRightInd w:val="0"/>
        <w:snapToGrid w:val="0"/>
        <w:spacing w:line="460" w:lineRule="exact"/>
        <w:ind w:leftChars="0"/>
        <w:jc w:val="both"/>
        <w:rPr>
          <w:rFonts w:eastAsia="標楷體"/>
          <w:sz w:val="28"/>
          <w:szCs w:val="28"/>
        </w:rPr>
      </w:pPr>
      <w:bookmarkStart w:id="151" w:name="_Toc200857954"/>
      <w:bookmarkStart w:id="152" w:name="_Toc245810361"/>
      <w:r w:rsidRPr="00D55DC6">
        <w:rPr>
          <w:rFonts w:eastAsia="標楷體"/>
          <w:sz w:val="28"/>
          <w:szCs w:val="28"/>
        </w:rPr>
        <w:t>營造大鵬灣為船泊水域活動天堂、營造生物多樣性棲息環境、建立珊瑚礁生態學習島、打造大鵬灣多元旅遊型態等，開發本區觀光景點及活絡鄰近地區觀光產業發展，</w:t>
      </w:r>
      <w:bookmarkEnd w:id="151"/>
      <w:bookmarkEnd w:id="152"/>
      <w:r w:rsidRPr="00D55DC6">
        <w:rPr>
          <w:rFonts w:eastAsia="標楷體"/>
          <w:kern w:val="0"/>
          <w:sz w:val="28"/>
          <w:szCs w:val="28"/>
        </w:rPr>
        <w:t>提供國人高品質之水域休閒活動，強化觀光產業競爭力</w:t>
      </w:r>
      <w:bookmarkStart w:id="153" w:name="_Toc288749268"/>
      <w:r w:rsidRPr="00D55DC6">
        <w:rPr>
          <w:rFonts w:eastAsia="標楷體"/>
          <w:kern w:val="0"/>
          <w:sz w:val="28"/>
          <w:szCs w:val="28"/>
        </w:rPr>
        <w:t>。</w:t>
      </w:r>
      <w:bookmarkEnd w:id="153"/>
    </w:p>
    <w:p w:rsidR="00DF2F67" w:rsidRPr="00D55DC6" w:rsidRDefault="00DF2F67" w:rsidP="004865C1">
      <w:pPr>
        <w:pStyle w:val="21"/>
        <w:numPr>
          <w:ilvl w:val="0"/>
          <w:numId w:val="156"/>
        </w:numPr>
        <w:adjustRightInd w:val="0"/>
        <w:snapToGrid w:val="0"/>
        <w:spacing w:line="460" w:lineRule="exact"/>
        <w:ind w:left="862" w:hanging="862"/>
        <w:rPr>
          <w:rFonts w:ascii="Times New Roman" w:hAnsi="Times New Roman"/>
          <w:b w:val="0"/>
          <w:sz w:val="28"/>
          <w:szCs w:val="28"/>
        </w:rPr>
      </w:pPr>
      <w:bookmarkStart w:id="154" w:name="_Toc288749270"/>
      <w:r w:rsidRPr="00D55DC6">
        <w:rPr>
          <w:rFonts w:ascii="Times New Roman" w:hAnsi="Times New Roman"/>
          <w:b w:val="0"/>
          <w:sz w:val="28"/>
          <w:szCs w:val="28"/>
        </w:rPr>
        <w:lastRenderedPageBreak/>
        <w:t>增進國民旅遊人次，並吸引國際觀光客到訪，帶動觀光產值</w:t>
      </w:r>
      <w:r w:rsidRPr="00D55DC6">
        <w:rPr>
          <w:rFonts w:ascii="Times New Roman" w:hAnsi="Times New Roman"/>
          <w:b w:val="0"/>
          <w:sz w:val="28"/>
          <w:szCs w:val="28"/>
        </w:rPr>
        <w:t>83.34</w:t>
      </w:r>
      <w:r w:rsidRPr="00D55DC6">
        <w:rPr>
          <w:rFonts w:ascii="Times New Roman" w:hAnsi="Times New Roman"/>
          <w:b w:val="0"/>
          <w:sz w:val="28"/>
          <w:szCs w:val="28"/>
        </w:rPr>
        <w:t>億元（以</w:t>
      </w:r>
      <w:r w:rsidRPr="00D55DC6">
        <w:rPr>
          <w:rFonts w:ascii="Times New Roman" w:hAnsi="Times New Roman"/>
          <w:b w:val="0"/>
          <w:sz w:val="28"/>
          <w:szCs w:val="28"/>
        </w:rPr>
        <w:t>4</w:t>
      </w:r>
      <w:r w:rsidRPr="00D55DC6">
        <w:rPr>
          <w:rFonts w:ascii="Times New Roman" w:hAnsi="Times New Roman"/>
          <w:b w:val="0"/>
          <w:sz w:val="28"/>
          <w:szCs w:val="28"/>
        </w:rPr>
        <w:t>年遊客人數目標值</w:t>
      </w:r>
      <w:r w:rsidRPr="00D55DC6">
        <w:rPr>
          <w:rFonts w:ascii="Times New Roman" w:hAnsi="Times New Roman"/>
          <w:b w:val="0"/>
          <w:sz w:val="28"/>
          <w:szCs w:val="28"/>
        </w:rPr>
        <w:t>410</w:t>
      </w:r>
      <w:r w:rsidRPr="00D55DC6">
        <w:rPr>
          <w:rFonts w:ascii="Times New Roman" w:hAnsi="Times New Roman"/>
          <w:b w:val="0"/>
          <w:sz w:val="28"/>
          <w:szCs w:val="28"/>
        </w:rPr>
        <w:t>萬人次</w:t>
      </w:r>
      <w:r w:rsidRPr="00D55DC6">
        <w:rPr>
          <w:rFonts w:ascii="Times New Roman" w:hAnsi="Times New Roman"/>
          <w:b w:val="0"/>
          <w:sz w:val="28"/>
          <w:szCs w:val="28"/>
        </w:rPr>
        <w:t xml:space="preserve"> × </w:t>
      </w:r>
      <w:r w:rsidRPr="00D55DC6">
        <w:rPr>
          <w:rFonts w:ascii="Times New Roman" w:hAnsi="Times New Roman"/>
          <w:b w:val="0"/>
          <w:sz w:val="28"/>
          <w:szCs w:val="28"/>
        </w:rPr>
        <w:t>「</w:t>
      </w:r>
      <w:r w:rsidRPr="00D55DC6">
        <w:rPr>
          <w:rFonts w:ascii="Times New Roman" w:hAnsi="Times New Roman"/>
          <w:b w:val="0"/>
          <w:sz w:val="28"/>
          <w:szCs w:val="28"/>
        </w:rPr>
        <w:t>102</w:t>
      </w:r>
      <w:r w:rsidRPr="00D55DC6">
        <w:rPr>
          <w:rFonts w:ascii="Times New Roman" w:hAnsi="Times New Roman"/>
          <w:b w:val="0"/>
          <w:sz w:val="28"/>
          <w:szCs w:val="28"/>
        </w:rPr>
        <w:t>年國家風景區遊客調查報告」推估每人每日平均消費</w:t>
      </w:r>
      <w:r w:rsidRPr="00D55DC6">
        <w:rPr>
          <w:rFonts w:ascii="Times New Roman" w:hAnsi="Times New Roman"/>
          <w:b w:val="0"/>
          <w:sz w:val="28"/>
          <w:szCs w:val="28"/>
        </w:rPr>
        <w:t xml:space="preserve">NT$1,783 × </w:t>
      </w:r>
      <w:r w:rsidRPr="00D55DC6">
        <w:rPr>
          <w:rFonts w:ascii="Times New Roman" w:hAnsi="Times New Roman"/>
          <w:b w:val="0"/>
          <w:sz w:val="28"/>
          <w:szCs w:val="28"/>
        </w:rPr>
        <w:t>停留天數</w:t>
      </w:r>
      <w:r w:rsidRPr="00D55DC6">
        <w:rPr>
          <w:rFonts w:ascii="Times New Roman" w:hAnsi="Times New Roman"/>
          <w:b w:val="0"/>
          <w:sz w:val="28"/>
          <w:szCs w:val="28"/>
        </w:rPr>
        <w:t>1.14</w:t>
      </w:r>
      <w:r w:rsidRPr="00D55DC6">
        <w:rPr>
          <w:rFonts w:ascii="Times New Roman" w:hAnsi="Times New Roman"/>
          <w:b w:val="0"/>
          <w:sz w:val="28"/>
          <w:szCs w:val="28"/>
        </w:rPr>
        <w:t>天估算）。</w:t>
      </w:r>
      <w:bookmarkEnd w:id="154"/>
    </w:p>
    <w:p w:rsidR="00DF2F67" w:rsidRPr="00D55DC6" w:rsidRDefault="00DF2F67" w:rsidP="004865C1">
      <w:pPr>
        <w:pStyle w:val="21"/>
        <w:numPr>
          <w:ilvl w:val="0"/>
          <w:numId w:val="156"/>
        </w:numPr>
        <w:adjustRightInd w:val="0"/>
        <w:snapToGrid w:val="0"/>
        <w:spacing w:line="460" w:lineRule="exact"/>
        <w:ind w:left="862" w:hanging="862"/>
        <w:rPr>
          <w:rFonts w:ascii="Times New Roman" w:hAnsi="Times New Roman"/>
          <w:b w:val="0"/>
          <w:sz w:val="28"/>
          <w:szCs w:val="28"/>
        </w:rPr>
      </w:pPr>
      <w:bookmarkStart w:id="155" w:name="_Toc288749271"/>
      <w:r w:rsidRPr="00D55DC6">
        <w:rPr>
          <w:rFonts w:ascii="Times New Roman" w:hAnsi="Times New Roman"/>
          <w:b w:val="0"/>
          <w:sz w:val="28"/>
          <w:szCs w:val="28"/>
        </w:rPr>
        <w:t>創造土地增值利益，提昇地方生活水準，縮小城鄉差距。</w:t>
      </w:r>
      <w:bookmarkEnd w:id="155"/>
    </w:p>
    <w:p w:rsidR="00DF2F67" w:rsidRPr="00D55DC6" w:rsidRDefault="00DF2F67" w:rsidP="004865C1">
      <w:pPr>
        <w:pStyle w:val="21"/>
        <w:numPr>
          <w:ilvl w:val="0"/>
          <w:numId w:val="156"/>
        </w:numPr>
        <w:adjustRightInd w:val="0"/>
        <w:snapToGrid w:val="0"/>
        <w:spacing w:line="460" w:lineRule="exact"/>
        <w:ind w:left="862" w:hanging="862"/>
        <w:rPr>
          <w:rFonts w:ascii="Times New Roman" w:hAnsi="Times New Roman"/>
          <w:b w:val="0"/>
          <w:sz w:val="28"/>
          <w:szCs w:val="28"/>
        </w:rPr>
      </w:pPr>
      <w:r w:rsidRPr="00D55DC6">
        <w:rPr>
          <w:rFonts w:ascii="Times New Roman" w:hAnsi="Times New Roman"/>
          <w:b w:val="0"/>
          <w:sz w:val="28"/>
          <w:szCs w:val="28"/>
        </w:rPr>
        <w:t>創造地方</w:t>
      </w:r>
      <w:r w:rsidRPr="00D55DC6">
        <w:rPr>
          <w:rFonts w:ascii="Times New Roman" w:hAnsi="Times New Roman"/>
          <w:b w:val="0"/>
          <w:sz w:val="28"/>
          <w:szCs w:val="28"/>
        </w:rPr>
        <w:t>400</w:t>
      </w:r>
      <w:r w:rsidRPr="00D55DC6">
        <w:rPr>
          <w:rFonts w:ascii="Times New Roman" w:hAnsi="Times New Roman"/>
          <w:b w:val="0"/>
          <w:sz w:val="28"/>
          <w:szCs w:val="28"/>
        </w:rPr>
        <w:t>個就業機會</w:t>
      </w:r>
      <w:bookmarkStart w:id="156" w:name="_Toc288749272"/>
      <w:r w:rsidRPr="00D55DC6">
        <w:rPr>
          <w:rFonts w:ascii="Times New Roman" w:hAnsi="Times New Roman"/>
          <w:b w:val="0"/>
          <w:sz w:val="28"/>
          <w:szCs w:val="28"/>
        </w:rPr>
        <w:t>。</w:t>
      </w:r>
      <w:bookmarkEnd w:id="156"/>
    </w:p>
    <w:p w:rsidR="00DF2F67" w:rsidRPr="00D55DC6" w:rsidRDefault="00DF2F67" w:rsidP="004865C1">
      <w:pPr>
        <w:pStyle w:val="21"/>
        <w:numPr>
          <w:ilvl w:val="0"/>
          <w:numId w:val="156"/>
        </w:numPr>
        <w:adjustRightInd w:val="0"/>
        <w:snapToGrid w:val="0"/>
        <w:spacing w:line="460" w:lineRule="exact"/>
        <w:ind w:left="862" w:hanging="862"/>
        <w:rPr>
          <w:rFonts w:ascii="Times New Roman" w:hAnsi="Times New Roman"/>
          <w:b w:val="0"/>
          <w:sz w:val="28"/>
          <w:szCs w:val="28"/>
        </w:rPr>
      </w:pPr>
      <w:bookmarkStart w:id="157" w:name="_Toc288749273"/>
      <w:r w:rsidRPr="00D55DC6">
        <w:rPr>
          <w:rFonts w:ascii="Times New Roman" w:hAnsi="Times New Roman"/>
          <w:b w:val="0"/>
          <w:sz w:val="28"/>
          <w:szCs w:val="28"/>
        </w:rPr>
        <w:t>保存潟湖之天然景觀，減緩鄰近地層下陷之情況。</w:t>
      </w:r>
      <w:bookmarkEnd w:id="157"/>
    </w:p>
    <w:p w:rsidR="00DF2F67" w:rsidRPr="00D55DC6" w:rsidRDefault="00DF2F67" w:rsidP="004865C1">
      <w:pPr>
        <w:pStyle w:val="33"/>
        <w:numPr>
          <w:ilvl w:val="0"/>
          <w:numId w:val="156"/>
        </w:numPr>
        <w:adjustRightInd w:val="0"/>
        <w:snapToGrid w:val="0"/>
        <w:spacing w:line="460" w:lineRule="exact"/>
        <w:ind w:leftChars="0" w:left="862" w:hanging="862"/>
        <w:rPr>
          <w:rFonts w:eastAsia="標楷體"/>
          <w:sz w:val="28"/>
          <w:szCs w:val="28"/>
        </w:rPr>
      </w:pPr>
      <w:r w:rsidRPr="00D55DC6">
        <w:rPr>
          <w:rFonts w:eastAsia="標楷體"/>
          <w:sz w:val="28"/>
          <w:szCs w:val="28"/>
        </w:rPr>
        <w:t>帶動大鵬灣周邊地區發展，大鵬灣遊客成長，提升附近相關旅遊休閒產業包括住宿、餐飲、遊湖、農特產、水上活動之經濟效益。</w:t>
      </w:r>
    </w:p>
    <w:p w:rsidR="00DF2F67" w:rsidRPr="00D55DC6" w:rsidRDefault="00DF2F67" w:rsidP="004865C1">
      <w:pPr>
        <w:pStyle w:val="33"/>
        <w:numPr>
          <w:ilvl w:val="0"/>
          <w:numId w:val="156"/>
        </w:numPr>
        <w:adjustRightInd w:val="0"/>
        <w:snapToGrid w:val="0"/>
        <w:spacing w:line="460" w:lineRule="exact"/>
        <w:ind w:leftChars="0" w:left="862" w:hanging="862"/>
        <w:rPr>
          <w:rFonts w:eastAsia="標楷體"/>
          <w:sz w:val="28"/>
          <w:szCs w:val="28"/>
        </w:rPr>
      </w:pPr>
      <w:r w:rsidRPr="00D55DC6">
        <w:rPr>
          <w:rFonts w:eastAsia="標楷體"/>
          <w:sz w:val="28"/>
          <w:szCs w:val="28"/>
        </w:rPr>
        <w:t>串聯大鵬灣及小琉球遊憩據點，將大鵬灣一日遊程推展至二日遊行程，並推動遊艇旅遊航線，延伸高雄、墾丁，吸納墾丁旅遊線之遊客量，大鵬灣將成為南台灣海上觀光轉運站及水上活動中心。</w:t>
      </w:r>
    </w:p>
    <w:p w:rsidR="00DF2F67" w:rsidRPr="00D55DC6" w:rsidRDefault="00DF2F67" w:rsidP="004865C1">
      <w:pPr>
        <w:pStyle w:val="33"/>
        <w:numPr>
          <w:ilvl w:val="0"/>
          <w:numId w:val="156"/>
        </w:numPr>
        <w:adjustRightInd w:val="0"/>
        <w:snapToGrid w:val="0"/>
        <w:spacing w:line="460" w:lineRule="exact"/>
        <w:ind w:leftChars="0" w:left="862" w:hanging="862"/>
        <w:rPr>
          <w:rFonts w:eastAsia="標楷體"/>
          <w:sz w:val="28"/>
          <w:szCs w:val="28"/>
        </w:rPr>
      </w:pPr>
      <w:r w:rsidRPr="00D55DC6">
        <w:rPr>
          <w:rFonts w:eastAsia="標楷體"/>
          <w:sz w:val="28"/>
          <w:szCs w:val="28"/>
        </w:rPr>
        <w:t>配合大鵬灣</w:t>
      </w:r>
      <w:r w:rsidRPr="00D55DC6">
        <w:rPr>
          <w:rFonts w:eastAsia="標楷體"/>
          <w:sz w:val="28"/>
          <w:szCs w:val="28"/>
        </w:rPr>
        <w:t>BOT</w:t>
      </w:r>
      <w:r w:rsidRPr="00D55DC6">
        <w:rPr>
          <w:rFonts w:eastAsia="標楷體"/>
          <w:sz w:val="28"/>
          <w:szCs w:val="28"/>
        </w:rPr>
        <w:t>案開發營運，結合不同休憩型態，完善之自行車道、濕地生態旅遊、水域遊憩活動、遊湖行程等，使遊憩種類多樣而豐富，帶動鄰近區域之觀光產業發展。</w:t>
      </w:r>
    </w:p>
    <w:p w:rsidR="00DF2F67" w:rsidRPr="00D55DC6" w:rsidRDefault="00DF2F67" w:rsidP="004865C1">
      <w:pPr>
        <w:pStyle w:val="33"/>
        <w:numPr>
          <w:ilvl w:val="0"/>
          <w:numId w:val="156"/>
        </w:numPr>
        <w:adjustRightInd w:val="0"/>
        <w:snapToGrid w:val="0"/>
        <w:spacing w:line="460" w:lineRule="exact"/>
        <w:ind w:leftChars="0" w:left="862" w:hanging="862"/>
        <w:rPr>
          <w:rFonts w:eastAsia="標楷體"/>
          <w:sz w:val="28"/>
          <w:szCs w:val="28"/>
        </w:rPr>
      </w:pPr>
      <w:r w:rsidRPr="00D55DC6">
        <w:rPr>
          <w:rFonts w:eastAsia="標楷體"/>
          <w:sz w:val="28"/>
          <w:szCs w:val="28"/>
        </w:rPr>
        <w:t>本案推動遊艇相關活動，可以帶動遊艇業進入客製化、高品質、優質豪華舒適的高附加價值產業，並帶動整個遊艇製造業的產業價值鏈，包括五金零件、機器設備及室內裝潢等行業成長。</w:t>
      </w:r>
    </w:p>
    <w:p w:rsidR="00DF2F67" w:rsidRPr="00D55DC6" w:rsidRDefault="00DF2F67" w:rsidP="00DF2F67">
      <w:pPr>
        <w:pStyle w:val="33"/>
        <w:adjustRightInd w:val="0"/>
        <w:snapToGrid w:val="0"/>
        <w:spacing w:line="460" w:lineRule="exact"/>
        <w:ind w:leftChars="0" w:left="0"/>
        <w:rPr>
          <w:rFonts w:eastAsia="標楷體"/>
          <w:sz w:val="28"/>
          <w:szCs w:val="28"/>
        </w:rPr>
      </w:pPr>
    </w:p>
    <w:p w:rsidR="004D7B00" w:rsidRPr="00D55DC6" w:rsidRDefault="004D7B00" w:rsidP="00DF2F67">
      <w:pPr>
        <w:pStyle w:val="33"/>
        <w:adjustRightInd w:val="0"/>
        <w:snapToGrid w:val="0"/>
        <w:spacing w:line="460" w:lineRule="exact"/>
        <w:ind w:leftChars="0" w:left="0"/>
        <w:rPr>
          <w:rFonts w:eastAsia="標楷體"/>
          <w:sz w:val="28"/>
          <w:szCs w:val="28"/>
        </w:rPr>
      </w:pPr>
    </w:p>
    <w:p w:rsidR="004D7B00" w:rsidRPr="00D55DC6" w:rsidRDefault="004D7B00" w:rsidP="00DF2F67">
      <w:pPr>
        <w:pStyle w:val="33"/>
        <w:adjustRightInd w:val="0"/>
        <w:snapToGrid w:val="0"/>
        <w:spacing w:line="460" w:lineRule="exact"/>
        <w:ind w:leftChars="0" w:left="0"/>
        <w:rPr>
          <w:rFonts w:eastAsia="標楷體"/>
          <w:sz w:val="28"/>
          <w:szCs w:val="28"/>
        </w:rPr>
      </w:pPr>
    </w:p>
    <w:p w:rsidR="004D7B00" w:rsidRPr="00D55DC6" w:rsidRDefault="004D7B00" w:rsidP="00DF2F67">
      <w:pPr>
        <w:pStyle w:val="33"/>
        <w:adjustRightInd w:val="0"/>
        <w:snapToGrid w:val="0"/>
        <w:spacing w:line="460" w:lineRule="exact"/>
        <w:ind w:leftChars="0" w:left="0"/>
        <w:rPr>
          <w:rFonts w:eastAsia="標楷體"/>
          <w:sz w:val="28"/>
          <w:szCs w:val="28"/>
        </w:rPr>
      </w:pPr>
    </w:p>
    <w:p w:rsidR="004D7B00" w:rsidRPr="00D55DC6" w:rsidRDefault="004D7B00" w:rsidP="00DF2F67">
      <w:pPr>
        <w:pStyle w:val="33"/>
        <w:adjustRightInd w:val="0"/>
        <w:snapToGrid w:val="0"/>
        <w:spacing w:line="460" w:lineRule="exact"/>
        <w:ind w:leftChars="0" w:left="0"/>
        <w:rPr>
          <w:rFonts w:eastAsia="標楷體"/>
          <w:sz w:val="28"/>
          <w:szCs w:val="28"/>
        </w:rPr>
      </w:pPr>
    </w:p>
    <w:p w:rsidR="00DF2F67" w:rsidRPr="00D55DC6" w:rsidRDefault="00DF2F67" w:rsidP="00DF2F67">
      <w:pPr>
        <w:pStyle w:val="a"/>
        <w:ind w:left="709" w:hanging="709"/>
        <w:rPr>
          <w:b/>
        </w:rPr>
      </w:pPr>
      <w:bookmarkStart w:id="158" w:name="_Toc407181718"/>
      <w:r w:rsidRPr="00D55DC6">
        <w:rPr>
          <w:b/>
        </w:rPr>
        <w:t>財務計畫</w:t>
      </w:r>
      <w:bookmarkEnd w:id="158"/>
    </w:p>
    <w:p w:rsidR="00DF2F67" w:rsidRPr="00D55DC6" w:rsidRDefault="00DF2F67" w:rsidP="004865C1">
      <w:pPr>
        <w:pStyle w:val="34"/>
        <w:numPr>
          <w:ilvl w:val="0"/>
          <w:numId w:val="157"/>
        </w:numPr>
        <w:snapToGrid w:val="0"/>
        <w:spacing w:line="460" w:lineRule="exact"/>
        <w:ind w:leftChars="0"/>
        <w:jc w:val="both"/>
        <w:rPr>
          <w:rFonts w:eastAsia="標楷體"/>
          <w:b/>
          <w:sz w:val="28"/>
          <w:szCs w:val="28"/>
        </w:rPr>
      </w:pPr>
      <w:r w:rsidRPr="00D55DC6">
        <w:rPr>
          <w:rFonts w:eastAsia="標楷體"/>
          <w:b/>
          <w:sz w:val="28"/>
          <w:szCs w:val="28"/>
        </w:rPr>
        <w:t>財務計畫核定情形</w:t>
      </w:r>
    </w:p>
    <w:p w:rsidR="00DF2F67" w:rsidRPr="00D55DC6" w:rsidRDefault="002A3B8B" w:rsidP="00DF2F67">
      <w:pPr>
        <w:pStyle w:val="a"/>
        <w:numPr>
          <w:ilvl w:val="0"/>
          <w:numId w:val="0"/>
        </w:numPr>
        <w:adjustRightInd w:val="0"/>
        <w:ind w:left="709" w:firstLineChars="200" w:firstLine="560"/>
      </w:pPr>
      <w:r w:rsidRPr="00D55DC6">
        <w:t>依據管理處</w:t>
      </w:r>
      <w:r w:rsidRPr="00D55DC6">
        <w:t>103</w:t>
      </w:r>
      <w:r w:rsidRPr="00D55DC6">
        <w:t>年</w:t>
      </w:r>
      <w:r w:rsidRPr="00D55DC6">
        <w:t>10</w:t>
      </w:r>
      <w:r w:rsidRPr="00D55DC6">
        <w:t>月擬定之「大鵬灣國家風景區觀光整體發展計畫」所規劃的財務內容，規劃未來</w:t>
      </w:r>
      <w:r w:rsidRPr="00D55DC6">
        <w:t>20</w:t>
      </w:r>
      <w:r w:rsidRPr="00D55DC6">
        <w:t>年期間</w:t>
      </w:r>
      <w:r w:rsidRPr="00D55DC6">
        <w:t>(103</w:t>
      </w:r>
      <w:r w:rsidRPr="00D55DC6">
        <w:t>至</w:t>
      </w:r>
      <w:r w:rsidRPr="00D55DC6">
        <w:t>122</w:t>
      </w:r>
      <w:r w:rsidRPr="00D55DC6">
        <w:t>年</w:t>
      </w:r>
      <w:r w:rsidRPr="00D55DC6">
        <w:t>)</w:t>
      </w:r>
      <w:r w:rsidRPr="00D55DC6">
        <w:t>計畫，未來計畫投入現值約為</w:t>
      </w:r>
      <w:r w:rsidR="00FB111B" w:rsidRPr="00D55DC6">
        <w:t>43</w:t>
      </w:r>
      <w:r w:rsidR="00FB111B" w:rsidRPr="00D55DC6">
        <w:t>億</w:t>
      </w:r>
      <w:r w:rsidR="00FB111B" w:rsidRPr="00D55DC6">
        <w:t>3,728</w:t>
      </w:r>
      <w:r w:rsidR="00FB111B" w:rsidRPr="00D55DC6">
        <w:t>萬</w:t>
      </w:r>
      <w:r w:rsidR="00FB111B" w:rsidRPr="00D55DC6">
        <w:t>8,000</w:t>
      </w:r>
      <w:r w:rsidR="00FB111B" w:rsidRPr="00D55DC6">
        <w:t>元</w:t>
      </w:r>
      <w:r w:rsidRPr="00D55DC6">
        <w:t>；而收益預估現值約</w:t>
      </w:r>
      <w:r w:rsidRPr="00D55DC6">
        <w:t>12</w:t>
      </w:r>
      <w:r w:rsidRPr="00D55DC6">
        <w:t>億</w:t>
      </w:r>
      <w:r w:rsidRPr="00D55DC6">
        <w:t>834</w:t>
      </w:r>
      <w:r w:rsidRPr="00D55DC6">
        <w:t>萬</w:t>
      </w:r>
      <w:r w:rsidRPr="00D55DC6">
        <w:t>3,000</w:t>
      </w:r>
      <w:r w:rsidRPr="00D55DC6">
        <w:t>元，故整體計畫自償率計算預估為</w:t>
      </w:r>
      <w:r w:rsidRPr="00D55DC6">
        <w:t>2</w:t>
      </w:r>
      <w:r w:rsidR="00BB7128" w:rsidRPr="00D55DC6">
        <w:t>7</w:t>
      </w:r>
      <w:r w:rsidRPr="00D55DC6">
        <w:t>.</w:t>
      </w:r>
      <w:r w:rsidR="00FB111B" w:rsidRPr="00D55DC6">
        <w:t>86</w:t>
      </w:r>
      <w:r w:rsidRPr="00D55DC6">
        <w:t>%</w:t>
      </w:r>
      <w:r w:rsidRPr="00D55DC6">
        <w:t>。</w:t>
      </w:r>
    </w:p>
    <w:p w:rsidR="004D7B00" w:rsidRPr="00D55DC6" w:rsidRDefault="004D7B00" w:rsidP="00DF2F67">
      <w:pPr>
        <w:pStyle w:val="a"/>
        <w:numPr>
          <w:ilvl w:val="0"/>
          <w:numId w:val="0"/>
        </w:numPr>
        <w:adjustRightInd w:val="0"/>
        <w:ind w:left="709" w:firstLineChars="200" w:firstLine="560"/>
      </w:pPr>
    </w:p>
    <w:p w:rsidR="004D7B00" w:rsidRPr="00D55DC6" w:rsidRDefault="004D7B00" w:rsidP="00DF2F67">
      <w:pPr>
        <w:pStyle w:val="a"/>
        <w:numPr>
          <w:ilvl w:val="0"/>
          <w:numId w:val="0"/>
        </w:numPr>
        <w:adjustRightInd w:val="0"/>
        <w:ind w:left="709" w:firstLineChars="200" w:firstLine="560"/>
      </w:pPr>
    </w:p>
    <w:p w:rsidR="00DF2F67" w:rsidRPr="00D55DC6" w:rsidRDefault="00DF2F67" w:rsidP="004865C1">
      <w:pPr>
        <w:pStyle w:val="34"/>
        <w:numPr>
          <w:ilvl w:val="0"/>
          <w:numId w:val="157"/>
        </w:numPr>
        <w:adjustRightInd w:val="0"/>
        <w:snapToGrid w:val="0"/>
        <w:spacing w:line="460" w:lineRule="exact"/>
        <w:ind w:leftChars="0"/>
        <w:jc w:val="both"/>
        <w:rPr>
          <w:rFonts w:eastAsia="標楷體"/>
          <w:b/>
          <w:sz w:val="28"/>
          <w:szCs w:val="28"/>
        </w:rPr>
      </w:pPr>
      <w:r w:rsidRPr="00D55DC6">
        <w:rPr>
          <w:rFonts w:eastAsia="標楷體"/>
          <w:b/>
          <w:sz w:val="28"/>
          <w:szCs w:val="28"/>
        </w:rPr>
        <w:lastRenderedPageBreak/>
        <w:t>觀光建設投資成本預估</w:t>
      </w:r>
    </w:p>
    <w:p w:rsidR="00C25C2C" w:rsidRPr="00D55DC6" w:rsidRDefault="00C25C2C" w:rsidP="00C25C2C">
      <w:pPr>
        <w:pStyle w:val="34"/>
        <w:adjustRightInd w:val="0"/>
        <w:snapToGrid w:val="0"/>
        <w:spacing w:line="460" w:lineRule="exact"/>
        <w:ind w:leftChars="0" w:left="864"/>
        <w:jc w:val="both"/>
        <w:rPr>
          <w:rFonts w:eastAsia="標楷體"/>
          <w:b/>
          <w:sz w:val="28"/>
          <w:szCs w:val="28"/>
        </w:rPr>
      </w:pPr>
    </w:p>
    <w:tbl>
      <w:tblPr>
        <w:tblW w:w="10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36"/>
        <w:gridCol w:w="214"/>
        <w:gridCol w:w="2623"/>
        <w:gridCol w:w="593"/>
        <w:gridCol w:w="601"/>
        <w:gridCol w:w="593"/>
        <w:gridCol w:w="593"/>
        <w:gridCol w:w="628"/>
        <w:gridCol w:w="593"/>
        <w:gridCol w:w="593"/>
        <w:gridCol w:w="593"/>
        <w:gridCol w:w="602"/>
        <w:gridCol w:w="604"/>
        <w:gridCol w:w="593"/>
        <w:gridCol w:w="390"/>
        <w:gridCol w:w="406"/>
      </w:tblGrid>
      <w:tr w:rsidR="001D0350" w:rsidRPr="00D55DC6" w:rsidTr="00FA7F7B">
        <w:trPr>
          <w:trHeight w:val="326"/>
          <w:tblHeader/>
          <w:jc w:val="center"/>
        </w:trPr>
        <w:tc>
          <w:tcPr>
            <w:tcW w:w="536" w:type="dxa"/>
            <w:vMerge w:val="restart"/>
            <w:tcBorders>
              <w:top w:val="double" w:sz="4" w:space="0" w:color="auto"/>
              <w:left w:val="double" w:sz="4" w:space="0" w:color="auto"/>
            </w:tcBorders>
            <w:shd w:val="clear" w:color="auto" w:fill="E6E6E6"/>
            <w:noWrap/>
            <w:vAlign w:val="center"/>
          </w:tcPr>
          <w:p w:rsidR="00DF2F67" w:rsidRPr="00D55DC6" w:rsidRDefault="00DF2F67" w:rsidP="00FA7F7B">
            <w:pPr>
              <w:widowControl/>
              <w:adjustRightInd w:val="0"/>
              <w:snapToGrid w:val="0"/>
              <w:ind w:rightChars="-8" w:right="-19"/>
              <w:rPr>
                <w:rFonts w:eastAsia="標楷體"/>
                <w:kern w:val="0"/>
                <w:sz w:val="16"/>
                <w:szCs w:val="16"/>
                <w:lang w:bidi="hi-IN"/>
              </w:rPr>
            </w:pPr>
          </w:p>
        </w:tc>
        <w:tc>
          <w:tcPr>
            <w:tcW w:w="2837" w:type="dxa"/>
            <w:gridSpan w:val="2"/>
            <w:vMerge w:val="restart"/>
            <w:tcBorders>
              <w:top w:val="double" w:sz="4" w:space="0" w:color="auto"/>
            </w:tcBorders>
            <w:shd w:val="clear" w:color="auto" w:fill="E6E6E6"/>
            <w:noWrap/>
            <w:vAlign w:val="center"/>
          </w:tcPr>
          <w:p w:rsidR="00DF2F67" w:rsidRPr="00D55DC6" w:rsidRDefault="00DF2F67" w:rsidP="00FA7F7B">
            <w:pPr>
              <w:adjustRightInd w:val="0"/>
              <w:snapToGrid w:val="0"/>
              <w:jc w:val="center"/>
              <w:rPr>
                <w:rFonts w:eastAsia="標楷體"/>
                <w:kern w:val="0"/>
                <w:sz w:val="20"/>
                <w:szCs w:val="20"/>
                <w:lang w:bidi="hi-IN"/>
              </w:rPr>
            </w:pPr>
            <w:r w:rsidRPr="00D55DC6">
              <w:rPr>
                <w:rFonts w:eastAsia="標楷體"/>
                <w:kern w:val="0"/>
                <w:sz w:val="20"/>
                <w:szCs w:val="20"/>
                <w:lang w:bidi="hi-IN"/>
              </w:rPr>
              <w:t>投資重點</w:t>
            </w:r>
          </w:p>
        </w:tc>
        <w:tc>
          <w:tcPr>
            <w:tcW w:w="593" w:type="dxa"/>
            <w:tcBorders>
              <w:top w:val="double" w:sz="4" w:space="0" w:color="auto"/>
            </w:tcBorders>
            <w:shd w:val="clear" w:color="auto" w:fill="E6E6E6"/>
            <w:noWrap/>
            <w:vAlign w:val="center"/>
          </w:tcPr>
          <w:p w:rsidR="00DF2F67" w:rsidRPr="00D55DC6" w:rsidRDefault="00DF2F67" w:rsidP="00FA7F7B">
            <w:pPr>
              <w:widowControl/>
              <w:adjustRightInd w:val="0"/>
              <w:snapToGrid w:val="0"/>
              <w:jc w:val="center"/>
              <w:rPr>
                <w:rFonts w:eastAsia="標楷體"/>
                <w:spacing w:val="-20"/>
                <w:kern w:val="0"/>
                <w:sz w:val="18"/>
                <w:szCs w:val="18"/>
                <w:lang w:bidi="hi-IN"/>
              </w:rPr>
            </w:pPr>
            <w:r w:rsidRPr="00D55DC6">
              <w:rPr>
                <w:rFonts w:eastAsia="標楷體"/>
                <w:spacing w:val="-20"/>
                <w:kern w:val="0"/>
                <w:sz w:val="18"/>
                <w:szCs w:val="18"/>
                <w:lang w:bidi="hi-IN"/>
              </w:rPr>
              <w:t>基年</w:t>
            </w:r>
          </w:p>
        </w:tc>
        <w:tc>
          <w:tcPr>
            <w:tcW w:w="601" w:type="dxa"/>
            <w:tcBorders>
              <w:top w:val="double" w:sz="4" w:space="0" w:color="auto"/>
              <w:right w:val="single" w:sz="12" w:space="0" w:color="auto"/>
            </w:tcBorders>
            <w:shd w:val="clear" w:color="auto" w:fill="E6E6E6"/>
            <w:vAlign w:val="center"/>
          </w:tcPr>
          <w:p w:rsidR="00DF2F67" w:rsidRPr="00D55DC6" w:rsidRDefault="00DF2F67" w:rsidP="00FA7F7B">
            <w:pPr>
              <w:widowControl/>
              <w:adjustRightInd w:val="0"/>
              <w:snapToGrid w:val="0"/>
              <w:jc w:val="center"/>
              <w:rPr>
                <w:rFonts w:eastAsia="標楷體"/>
                <w:spacing w:val="-20"/>
                <w:kern w:val="0"/>
                <w:sz w:val="18"/>
                <w:szCs w:val="18"/>
                <w:lang w:bidi="hi-IN"/>
              </w:rPr>
            </w:pPr>
            <w:r w:rsidRPr="00D55DC6">
              <w:rPr>
                <w:rFonts w:eastAsia="標楷體"/>
                <w:spacing w:val="-20"/>
                <w:kern w:val="0"/>
                <w:sz w:val="18"/>
                <w:szCs w:val="18"/>
                <w:lang w:bidi="hi-IN"/>
              </w:rPr>
              <w:t>第</w:t>
            </w:r>
            <w:r w:rsidRPr="00D55DC6">
              <w:rPr>
                <w:rFonts w:eastAsia="標楷體"/>
                <w:spacing w:val="-20"/>
                <w:kern w:val="0"/>
                <w:sz w:val="18"/>
                <w:szCs w:val="18"/>
                <w:lang w:bidi="hi-IN"/>
              </w:rPr>
              <w:t>1</w:t>
            </w:r>
            <w:r w:rsidRPr="00D55DC6">
              <w:rPr>
                <w:rFonts w:eastAsia="標楷體"/>
                <w:spacing w:val="-20"/>
                <w:kern w:val="0"/>
                <w:sz w:val="18"/>
                <w:szCs w:val="18"/>
                <w:lang w:bidi="hi-IN"/>
              </w:rPr>
              <w:t>年</w:t>
            </w:r>
          </w:p>
        </w:tc>
        <w:tc>
          <w:tcPr>
            <w:tcW w:w="593" w:type="dxa"/>
            <w:tcBorders>
              <w:top w:val="double" w:sz="4" w:space="0" w:color="auto"/>
              <w:left w:val="single" w:sz="12" w:space="0" w:color="auto"/>
            </w:tcBorders>
            <w:shd w:val="clear" w:color="auto" w:fill="E6E6E6"/>
            <w:noWrap/>
            <w:vAlign w:val="center"/>
          </w:tcPr>
          <w:p w:rsidR="00DF2F67" w:rsidRPr="00D55DC6" w:rsidRDefault="00DF2F67" w:rsidP="00FA7F7B">
            <w:pPr>
              <w:widowControl/>
              <w:adjustRightInd w:val="0"/>
              <w:snapToGrid w:val="0"/>
              <w:jc w:val="center"/>
              <w:rPr>
                <w:rFonts w:eastAsia="標楷體"/>
                <w:spacing w:val="-20"/>
                <w:kern w:val="0"/>
                <w:sz w:val="18"/>
                <w:szCs w:val="18"/>
                <w:lang w:bidi="hi-IN"/>
              </w:rPr>
            </w:pPr>
            <w:r w:rsidRPr="00D55DC6">
              <w:rPr>
                <w:rFonts w:eastAsia="標楷體"/>
                <w:spacing w:val="-20"/>
                <w:kern w:val="0"/>
                <w:sz w:val="18"/>
                <w:szCs w:val="18"/>
                <w:lang w:bidi="hi-IN"/>
              </w:rPr>
              <w:t>第</w:t>
            </w:r>
            <w:r w:rsidRPr="00D55DC6">
              <w:rPr>
                <w:rFonts w:eastAsia="標楷體"/>
                <w:spacing w:val="-20"/>
                <w:kern w:val="0"/>
                <w:sz w:val="18"/>
                <w:szCs w:val="18"/>
                <w:lang w:bidi="hi-IN"/>
              </w:rPr>
              <w:t>2</w:t>
            </w:r>
            <w:r w:rsidRPr="00D55DC6">
              <w:rPr>
                <w:rFonts w:eastAsia="標楷體"/>
                <w:spacing w:val="-20"/>
                <w:kern w:val="0"/>
                <w:sz w:val="18"/>
                <w:szCs w:val="18"/>
                <w:lang w:bidi="hi-IN"/>
              </w:rPr>
              <w:t>年</w:t>
            </w:r>
          </w:p>
        </w:tc>
        <w:tc>
          <w:tcPr>
            <w:tcW w:w="593" w:type="dxa"/>
            <w:tcBorders>
              <w:top w:val="double" w:sz="4" w:space="0" w:color="auto"/>
            </w:tcBorders>
            <w:shd w:val="clear" w:color="auto" w:fill="E6E6E6"/>
            <w:noWrap/>
            <w:vAlign w:val="center"/>
          </w:tcPr>
          <w:p w:rsidR="00DF2F67" w:rsidRPr="00D55DC6" w:rsidRDefault="00DF2F67" w:rsidP="00FA7F7B">
            <w:pPr>
              <w:widowControl/>
              <w:adjustRightInd w:val="0"/>
              <w:snapToGrid w:val="0"/>
              <w:jc w:val="center"/>
              <w:rPr>
                <w:rFonts w:eastAsia="標楷體"/>
                <w:spacing w:val="-20"/>
                <w:kern w:val="0"/>
                <w:sz w:val="18"/>
                <w:szCs w:val="18"/>
                <w:lang w:bidi="hi-IN"/>
              </w:rPr>
            </w:pPr>
            <w:r w:rsidRPr="00D55DC6">
              <w:rPr>
                <w:rFonts w:eastAsia="標楷體"/>
                <w:spacing w:val="-20"/>
                <w:kern w:val="0"/>
                <w:sz w:val="18"/>
                <w:szCs w:val="18"/>
                <w:lang w:bidi="hi-IN"/>
              </w:rPr>
              <w:t>第</w:t>
            </w:r>
            <w:r w:rsidRPr="00D55DC6">
              <w:rPr>
                <w:rFonts w:eastAsia="標楷體"/>
                <w:spacing w:val="-20"/>
                <w:kern w:val="0"/>
                <w:sz w:val="18"/>
                <w:szCs w:val="18"/>
                <w:lang w:bidi="hi-IN"/>
              </w:rPr>
              <w:t>3</w:t>
            </w:r>
            <w:r w:rsidRPr="00D55DC6">
              <w:rPr>
                <w:rFonts w:eastAsia="標楷體"/>
                <w:spacing w:val="-20"/>
                <w:kern w:val="0"/>
                <w:sz w:val="18"/>
                <w:szCs w:val="18"/>
                <w:lang w:bidi="hi-IN"/>
              </w:rPr>
              <w:t>年</w:t>
            </w:r>
          </w:p>
        </w:tc>
        <w:tc>
          <w:tcPr>
            <w:tcW w:w="628" w:type="dxa"/>
            <w:tcBorders>
              <w:top w:val="double" w:sz="4" w:space="0" w:color="auto"/>
            </w:tcBorders>
            <w:shd w:val="clear" w:color="auto" w:fill="E6E6E6"/>
            <w:noWrap/>
            <w:vAlign w:val="center"/>
          </w:tcPr>
          <w:p w:rsidR="00DF2F67" w:rsidRPr="00D55DC6" w:rsidRDefault="00DF2F67" w:rsidP="00FA7F7B">
            <w:pPr>
              <w:widowControl/>
              <w:adjustRightInd w:val="0"/>
              <w:snapToGrid w:val="0"/>
              <w:jc w:val="center"/>
              <w:rPr>
                <w:rFonts w:eastAsia="標楷體"/>
                <w:spacing w:val="-20"/>
                <w:kern w:val="0"/>
                <w:sz w:val="18"/>
                <w:szCs w:val="18"/>
                <w:lang w:bidi="hi-IN"/>
              </w:rPr>
            </w:pPr>
            <w:r w:rsidRPr="00D55DC6">
              <w:rPr>
                <w:rFonts w:eastAsia="標楷體"/>
                <w:spacing w:val="-20"/>
                <w:kern w:val="0"/>
                <w:sz w:val="18"/>
                <w:szCs w:val="18"/>
                <w:lang w:bidi="hi-IN"/>
              </w:rPr>
              <w:t>第</w:t>
            </w:r>
            <w:r w:rsidRPr="00D55DC6">
              <w:rPr>
                <w:rFonts w:eastAsia="標楷體"/>
                <w:spacing w:val="-20"/>
                <w:kern w:val="0"/>
                <w:sz w:val="18"/>
                <w:szCs w:val="18"/>
                <w:lang w:bidi="hi-IN"/>
              </w:rPr>
              <w:t>4</w:t>
            </w:r>
            <w:r w:rsidRPr="00D55DC6">
              <w:rPr>
                <w:rFonts w:eastAsia="標楷體"/>
                <w:spacing w:val="-20"/>
                <w:kern w:val="0"/>
                <w:sz w:val="18"/>
                <w:szCs w:val="18"/>
                <w:lang w:bidi="hi-IN"/>
              </w:rPr>
              <w:t>年</w:t>
            </w:r>
          </w:p>
        </w:tc>
        <w:tc>
          <w:tcPr>
            <w:tcW w:w="593" w:type="dxa"/>
            <w:tcBorders>
              <w:top w:val="double" w:sz="4" w:space="0" w:color="auto"/>
              <w:right w:val="single" w:sz="12" w:space="0" w:color="auto"/>
            </w:tcBorders>
            <w:shd w:val="clear" w:color="auto" w:fill="E6E6E6"/>
            <w:noWrap/>
            <w:vAlign w:val="center"/>
          </w:tcPr>
          <w:p w:rsidR="00DF2F67" w:rsidRPr="00D55DC6" w:rsidRDefault="00DF2F67" w:rsidP="00FA7F7B">
            <w:pPr>
              <w:widowControl/>
              <w:adjustRightInd w:val="0"/>
              <w:snapToGrid w:val="0"/>
              <w:jc w:val="center"/>
              <w:rPr>
                <w:rFonts w:eastAsia="標楷體"/>
                <w:spacing w:val="-20"/>
                <w:kern w:val="0"/>
                <w:sz w:val="18"/>
                <w:szCs w:val="18"/>
                <w:lang w:bidi="hi-IN"/>
              </w:rPr>
            </w:pPr>
            <w:r w:rsidRPr="00D55DC6">
              <w:rPr>
                <w:rFonts w:eastAsia="標楷體"/>
                <w:spacing w:val="-20"/>
                <w:kern w:val="0"/>
                <w:sz w:val="18"/>
                <w:szCs w:val="18"/>
                <w:lang w:bidi="hi-IN"/>
              </w:rPr>
              <w:t>第</w:t>
            </w:r>
            <w:r w:rsidRPr="00D55DC6">
              <w:rPr>
                <w:rFonts w:eastAsia="標楷體"/>
                <w:spacing w:val="-20"/>
                <w:kern w:val="0"/>
                <w:sz w:val="18"/>
                <w:szCs w:val="18"/>
                <w:lang w:bidi="hi-IN"/>
              </w:rPr>
              <w:t>5</w:t>
            </w:r>
            <w:r w:rsidRPr="00D55DC6">
              <w:rPr>
                <w:rFonts w:eastAsia="標楷體"/>
                <w:spacing w:val="-20"/>
                <w:kern w:val="0"/>
                <w:sz w:val="18"/>
                <w:szCs w:val="18"/>
                <w:lang w:bidi="hi-IN"/>
              </w:rPr>
              <w:t>年</w:t>
            </w:r>
          </w:p>
        </w:tc>
        <w:tc>
          <w:tcPr>
            <w:tcW w:w="593" w:type="dxa"/>
            <w:tcBorders>
              <w:top w:val="double" w:sz="4" w:space="0" w:color="auto"/>
              <w:left w:val="single" w:sz="12" w:space="0" w:color="auto"/>
            </w:tcBorders>
            <w:shd w:val="clear" w:color="auto" w:fill="E6E6E6"/>
            <w:noWrap/>
            <w:vAlign w:val="center"/>
          </w:tcPr>
          <w:p w:rsidR="00DF2F67" w:rsidRPr="00D55DC6" w:rsidRDefault="00DF2F67" w:rsidP="00FA7F7B">
            <w:pPr>
              <w:widowControl/>
              <w:adjustRightInd w:val="0"/>
              <w:snapToGrid w:val="0"/>
              <w:jc w:val="center"/>
              <w:rPr>
                <w:rFonts w:eastAsia="標楷體"/>
                <w:spacing w:val="-20"/>
                <w:kern w:val="0"/>
                <w:sz w:val="18"/>
                <w:szCs w:val="18"/>
                <w:lang w:bidi="hi-IN"/>
              </w:rPr>
            </w:pPr>
            <w:r w:rsidRPr="00D55DC6">
              <w:rPr>
                <w:rFonts w:eastAsia="標楷體"/>
                <w:spacing w:val="-20"/>
                <w:kern w:val="0"/>
                <w:sz w:val="18"/>
                <w:szCs w:val="18"/>
                <w:lang w:bidi="hi-IN"/>
              </w:rPr>
              <w:t>第</w:t>
            </w:r>
            <w:r w:rsidRPr="00D55DC6">
              <w:rPr>
                <w:rFonts w:eastAsia="標楷體"/>
                <w:spacing w:val="-20"/>
                <w:kern w:val="0"/>
                <w:sz w:val="18"/>
                <w:szCs w:val="18"/>
                <w:lang w:bidi="hi-IN"/>
              </w:rPr>
              <w:t>6</w:t>
            </w:r>
            <w:r w:rsidRPr="00D55DC6">
              <w:rPr>
                <w:rFonts w:eastAsia="標楷體"/>
                <w:spacing w:val="-20"/>
                <w:kern w:val="0"/>
                <w:sz w:val="18"/>
                <w:szCs w:val="18"/>
                <w:lang w:bidi="hi-IN"/>
              </w:rPr>
              <w:t>年</w:t>
            </w:r>
          </w:p>
        </w:tc>
        <w:tc>
          <w:tcPr>
            <w:tcW w:w="593" w:type="dxa"/>
            <w:tcBorders>
              <w:top w:val="double" w:sz="4" w:space="0" w:color="auto"/>
            </w:tcBorders>
            <w:shd w:val="clear" w:color="auto" w:fill="E6E6E6"/>
            <w:noWrap/>
            <w:vAlign w:val="center"/>
          </w:tcPr>
          <w:p w:rsidR="00DF2F67" w:rsidRPr="00D55DC6" w:rsidRDefault="00DF2F67" w:rsidP="00FA7F7B">
            <w:pPr>
              <w:widowControl/>
              <w:adjustRightInd w:val="0"/>
              <w:snapToGrid w:val="0"/>
              <w:jc w:val="center"/>
              <w:rPr>
                <w:rFonts w:eastAsia="標楷體"/>
                <w:spacing w:val="-20"/>
                <w:kern w:val="0"/>
                <w:sz w:val="18"/>
                <w:szCs w:val="18"/>
                <w:lang w:bidi="hi-IN"/>
              </w:rPr>
            </w:pPr>
            <w:r w:rsidRPr="00D55DC6">
              <w:rPr>
                <w:rFonts w:eastAsia="標楷體"/>
                <w:spacing w:val="-20"/>
                <w:kern w:val="0"/>
                <w:sz w:val="18"/>
                <w:szCs w:val="18"/>
                <w:lang w:bidi="hi-IN"/>
              </w:rPr>
              <w:t>第</w:t>
            </w:r>
            <w:r w:rsidRPr="00D55DC6">
              <w:rPr>
                <w:rFonts w:eastAsia="標楷體"/>
                <w:spacing w:val="-20"/>
                <w:kern w:val="0"/>
                <w:sz w:val="18"/>
                <w:szCs w:val="18"/>
                <w:lang w:bidi="hi-IN"/>
              </w:rPr>
              <w:t>7</w:t>
            </w:r>
            <w:r w:rsidRPr="00D55DC6">
              <w:rPr>
                <w:rFonts w:eastAsia="標楷體"/>
                <w:spacing w:val="-20"/>
                <w:kern w:val="0"/>
                <w:sz w:val="18"/>
                <w:szCs w:val="18"/>
                <w:lang w:bidi="hi-IN"/>
              </w:rPr>
              <w:t>年</w:t>
            </w:r>
          </w:p>
        </w:tc>
        <w:tc>
          <w:tcPr>
            <w:tcW w:w="602" w:type="dxa"/>
            <w:tcBorders>
              <w:top w:val="double" w:sz="4" w:space="0" w:color="auto"/>
            </w:tcBorders>
            <w:shd w:val="clear" w:color="auto" w:fill="E6E6E6"/>
            <w:noWrap/>
            <w:vAlign w:val="center"/>
          </w:tcPr>
          <w:p w:rsidR="00DF2F67" w:rsidRPr="00D55DC6" w:rsidRDefault="00DF2F67" w:rsidP="00FA7F7B">
            <w:pPr>
              <w:widowControl/>
              <w:adjustRightInd w:val="0"/>
              <w:snapToGrid w:val="0"/>
              <w:jc w:val="center"/>
              <w:rPr>
                <w:rFonts w:eastAsia="標楷體"/>
                <w:spacing w:val="-20"/>
                <w:kern w:val="0"/>
                <w:sz w:val="18"/>
                <w:szCs w:val="18"/>
                <w:lang w:bidi="hi-IN"/>
              </w:rPr>
            </w:pPr>
            <w:r w:rsidRPr="00D55DC6">
              <w:rPr>
                <w:rFonts w:eastAsia="標楷體"/>
                <w:spacing w:val="-20"/>
                <w:kern w:val="0"/>
                <w:sz w:val="18"/>
                <w:szCs w:val="18"/>
                <w:lang w:bidi="hi-IN"/>
              </w:rPr>
              <w:t>第</w:t>
            </w:r>
            <w:r w:rsidRPr="00D55DC6">
              <w:rPr>
                <w:rFonts w:eastAsia="標楷體"/>
                <w:spacing w:val="-20"/>
                <w:kern w:val="0"/>
                <w:sz w:val="18"/>
                <w:szCs w:val="18"/>
                <w:lang w:bidi="hi-IN"/>
              </w:rPr>
              <w:t>8</w:t>
            </w:r>
            <w:r w:rsidRPr="00D55DC6">
              <w:rPr>
                <w:rFonts w:eastAsia="標楷體"/>
                <w:spacing w:val="-20"/>
                <w:kern w:val="0"/>
                <w:sz w:val="18"/>
                <w:szCs w:val="18"/>
                <w:lang w:bidi="hi-IN"/>
              </w:rPr>
              <w:t>年</w:t>
            </w:r>
          </w:p>
        </w:tc>
        <w:tc>
          <w:tcPr>
            <w:tcW w:w="604" w:type="dxa"/>
            <w:tcBorders>
              <w:top w:val="double" w:sz="4" w:space="0" w:color="auto"/>
              <w:right w:val="single" w:sz="12" w:space="0" w:color="auto"/>
            </w:tcBorders>
            <w:shd w:val="clear" w:color="auto" w:fill="E6E6E6"/>
            <w:noWrap/>
            <w:vAlign w:val="center"/>
          </w:tcPr>
          <w:p w:rsidR="00DF2F67" w:rsidRPr="00D55DC6" w:rsidRDefault="00DF2F67" w:rsidP="00FA7F7B">
            <w:pPr>
              <w:widowControl/>
              <w:adjustRightInd w:val="0"/>
              <w:snapToGrid w:val="0"/>
              <w:jc w:val="center"/>
              <w:rPr>
                <w:rFonts w:eastAsia="標楷體"/>
                <w:spacing w:val="-20"/>
                <w:kern w:val="0"/>
                <w:sz w:val="18"/>
                <w:szCs w:val="18"/>
                <w:lang w:bidi="hi-IN"/>
              </w:rPr>
            </w:pPr>
            <w:r w:rsidRPr="00D55DC6">
              <w:rPr>
                <w:rFonts w:eastAsia="標楷體"/>
                <w:spacing w:val="-20"/>
                <w:kern w:val="0"/>
                <w:sz w:val="18"/>
                <w:szCs w:val="18"/>
                <w:lang w:bidi="hi-IN"/>
              </w:rPr>
              <w:t>第</w:t>
            </w:r>
            <w:r w:rsidRPr="00D55DC6">
              <w:rPr>
                <w:rFonts w:eastAsia="標楷體"/>
                <w:spacing w:val="-20"/>
                <w:kern w:val="0"/>
                <w:sz w:val="18"/>
                <w:szCs w:val="18"/>
                <w:lang w:bidi="hi-IN"/>
              </w:rPr>
              <w:t>9</w:t>
            </w:r>
            <w:r w:rsidRPr="00D55DC6">
              <w:rPr>
                <w:rFonts w:eastAsia="標楷體"/>
                <w:spacing w:val="-20"/>
                <w:kern w:val="0"/>
                <w:sz w:val="18"/>
                <w:szCs w:val="18"/>
                <w:lang w:bidi="hi-IN"/>
              </w:rPr>
              <w:t>年</w:t>
            </w:r>
          </w:p>
        </w:tc>
        <w:tc>
          <w:tcPr>
            <w:tcW w:w="593" w:type="dxa"/>
            <w:tcBorders>
              <w:top w:val="double" w:sz="4" w:space="0" w:color="auto"/>
              <w:left w:val="single" w:sz="12" w:space="0" w:color="auto"/>
            </w:tcBorders>
            <w:shd w:val="clear" w:color="auto" w:fill="E6E6E6"/>
            <w:noWrap/>
            <w:vAlign w:val="center"/>
          </w:tcPr>
          <w:p w:rsidR="00DF2F67" w:rsidRPr="00D55DC6" w:rsidRDefault="00DF2F67" w:rsidP="00FA7F7B">
            <w:pPr>
              <w:widowControl/>
              <w:adjustRightInd w:val="0"/>
              <w:snapToGrid w:val="0"/>
              <w:jc w:val="center"/>
              <w:rPr>
                <w:rFonts w:eastAsia="標楷體"/>
                <w:spacing w:val="-20"/>
                <w:kern w:val="0"/>
                <w:sz w:val="18"/>
                <w:szCs w:val="18"/>
                <w:lang w:bidi="hi-IN"/>
              </w:rPr>
            </w:pPr>
            <w:r w:rsidRPr="00D55DC6">
              <w:rPr>
                <w:rFonts w:eastAsia="標楷體"/>
                <w:spacing w:val="-20"/>
                <w:kern w:val="0"/>
                <w:sz w:val="18"/>
                <w:szCs w:val="18"/>
                <w:lang w:bidi="hi-IN"/>
              </w:rPr>
              <w:t>第</w:t>
            </w:r>
            <w:r w:rsidRPr="00D55DC6">
              <w:rPr>
                <w:rFonts w:eastAsia="標楷體"/>
                <w:spacing w:val="-20"/>
                <w:kern w:val="0"/>
                <w:sz w:val="18"/>
                <w:szCs w:val="18"/>
                <w:lang w:bidi="hi-IN"/>
              </w:rPr>
              <w:t>10</w:t>
            </w:r>
            <w:r w:rsidRPr="00D55DC6">
              <w:rPr>
                <w:rFonts w:eastAsia="標楷體"/>
                <w:spacing w:val="-20"/>
                <w:kern w:val="0"/>
                <w:sz w:val="18"/>
                <w:szCs w:val="18"/>
                <w:lang w:bidi="hi-IN"/>
              </w:rPr>
              <w:t>年</w:t>
            </w:r>
          </w:p>
        </w:tc>
        <w:tc>
          <w:tcPr>
            <w:tcW w:w="390" w:type="dxa"/>
            <w:vMerge w:val="restart"/>
            <w:tcBorders>
              <w:top w:val="double" w:sz="4" w:space="0" w:color="auto"/>
            </w:tcBorders>
            <w:shd w:val="clear" w:color="auto" w:fill="E6E6E6"/>
            <w:noWrap/>
            <w:vAlign w:val="center"/>
          </w:tcPr>
          <w:p w:rsidR="00DF2F67" w:rsidRPr="00D55DC6" w:rsidRDefault="00DF2F67" w:rsidP="00FA7F7B">
            <w:pPr>
              <w:adjustRightInd w:val="0"/>
              <w:snapToGrid w:val="0"/>
              <w:jc w:val="center"/>
              <w:rPr>
                <w:rFonts w:eastAsia="標楷體"/>
                <w:kern w:val="0"/>
                <w:sz w:val="20"/>
                <w:szCs w:val="20"/>
                <w:lang w:bidi="hi-IN"/>
              </w:rPr>
            </w:pPr>
            <w:r w:rsidRPr="00D55DC6">
              <w:rPr>
                <w:rFonts w:eastAsia="標楷體"/>
                <w:kern w:val="0"/>
                <w:sz w:val="16"/>
                <w:szCs w:val="16"/>
                <w:lang w:bidi="hi-IN"/>
              </w:rPr>
              <w:t>經費分類</w:t>
            </w:r>
          </w:p>
        </w:tc>
        <w:tc>
          <w:tcPr>
            <w:tcW w:w="406" w:type="dxa"/>
            <w:vMerge w:val="restart"/>
            <w:tcBorders>
              <w:top w:val="double" w:sz="4" w:space="0" w:color="auto"/>
              <w:right w:val="double" w:sz="4" w:space="0" w:color="auto"/>
            </w:tcBorders>
            <w:shd w:val="clear" w:color="auto" w:fill="E6E6E6"/>
            <w:vAlign w:val="center"/>
          </w:tcPr>
          <w:p w:rsidR="00DF2F67" w:rsidRPr="00D55DC6" w:rsidRDefault="00DF2F67" w:rsidP="00FA7F7B">
            <w:pPr>
              <w:adjustRightInd w:val="0"/>
              <w:snapToGrid w:val="0"/>
              <w:jc w:val="center"/>
              <w:rPr>
                <w:rFonts w:eastAsia="標楷體"/>
                <w:kern w:val="0"/>
                <w:sz w:val="16"/>
                <w:szCs w:val="16"/>
                <w:lang w:bidi="hi-IN"/>
              </w:rPr>
            </w:pPr>
            <w:r w:rsidRPr="00D55DC6">
              <w:rPr>
                <w:rFonts w:eastAsia="標楷體"/>
                <w:kern w:val="0"/>
                <w:sz w:val="16"/>
                <w:szCs w:val="16"/>
                <w:lang w:bidi="hi-IN"/>
              </w:rPr>
              <w:t>景點分級</w:t>
            </w:r>
          </w:p>
        </w:tc>
      </w:tr>
      <w:tr w:rsidR="001D0350" w:rsidRPr="00D55DC6" w:rsidTr="00FA7F7B">
        <w:trPr>
          <w:trHeight w:val="356"/>
          <w:tblHeader/>
          <w:jc w:val="center"/>
        </w:trPr>
        <w:tc>
          <w:tcPr>
            <w:tcW w:w="536" w:type="dxa"/>
            <w:vMerge/>
            <w:tcBorders>
              <w:left w:val="double" w:sz="4" w:space="0" w:color="auto"/>
              <w:bottom w:val="double" w:sz="4" w:space="0" w:color="auto"/>
            </w:tcBorders>
            <w:shd w:val="clear" w:color="auto" w:fill="E6E6E6"/>
            <w:noWrap/>
            <w:vAlign w:val="center"/>
          </w:tcPr>
          <w:p w:rsidR="00DF2F67" w:rsidRPr="00D55DC6" w:rsidRDefault="00DF2F67" w:rsidP="00FA7F7B">
            <w:pPr>
              <w:widowControl/>
              <w:adjustRightInd w:val="0"/>
              <w:snapToGrid w:val="0"/>
              <w:jc w:val="center"/>
              <w:rPr>
                <w:rFonts w:eastAsia="標楷體"/>
                <w:kern w:val="0"/>
                <w:sz w:val="20"/>
                <w:szCs w:val="20"/>
                <w:lang w:bidi="hi-IN"/>
              </w:rPr>
            </w:pPr>
          </w:p>
        </w:tc>
        <w:tc>
          <w:tcPr>
            <w:tcW w:w="2837" w:type="dxa"/>
            <w:gridSpan w:val="2"/>
            <w:vMerge/>
            <w:tcBorders>
              <w:bottom w:val="double" w:sz="4" w:space="0" w:color="auto"/>
            </w:tcBorders>
            <w:shd w:val="clear" w:color="auto" w:fill="E6E6E6"/>
            <w:noWrap/>
            <w:vAlign w:val="center"/>
          </w:tcPr>
          <w:p w:rsidR="00DF2F67" w:rsidRPr="00D55DC6" w:rsidRDefault="00DF2F67" w:rsidP="00FA7F7B">
            <w:pPr>
              <w:widowControl/>
              <w:adjustRightInd w:val="0"/>
              <w:snapToGrid w:val="0"/>
              <w:jc w:val="center"/>
              <w:rPr>
                <w:rFonts w:eastAsia="標楷體"/>
                <w:kern w:val="0"/>
                <w:sz w:val="20"/>
                <w:szCs w:val="20"/>
                <w:lang w:bidi="hi-IN"/>
              </w:rPr>
            </w:pPr>
          </w:p>
        </w:tc>
        <w:tc>
          <w:tcPr>
            <w:tcW w:w="593" w:type="dxa"/>
            <w:tcBorders>
              <w:bottom w:val="double" w:sz="4" w:space="0" w:color="auto"/>
            </w:tcBorders>
            <w:shd w:val="clear" w:color="auto" w:fill="E6E6E6"/>
            <w:noWrap/>
            <w:vAlign w:val="center"/>
          </w:tcPr>
          <w:p w:rsidR="00DF2F67" w:rsidRPr="00D55DC6" w:rsidRDefault="00DF2F67" w:rsidP="00FA7F7B">
            <w:pPr>
              <w:widowControl/>
              <w:adjustRightInd w:val="0"/>
              <w:snapToGrid w:val="0"/>
              <w:jc w:val="center"/>
              <w:rPr>
                <w:rFonts w:eastAsia="標楷體"/>
                <w:spacing w:val="-20"/>
                <w:kern w:val="0"/>
                <w:sz w:val="18"/>
                <w:szCs w:val="18"/>
                <w:lang w:bidi="hi-IN"/>
              </w:rPr>
            </w:pPr>
            <w:r w:rsidRPr="00D55DC6">
              <w:rPr>
                <w:rFonts w:eastAsia="標楷體"/>
                <w:spacing w:val="-20"/>
                <w:kern w:val="0"/>
                <w:sz w:val="18"/>
                <w:szCs w:val="18"/>
                <w:lang w:bidi="hi-IN"/>
              </w:rPr>
              <w:t>103</w:t>
            </w:r>
            <w:r w:rsidRPr="00D55DC6">
              <w:rPr>
                <w:rFonts w:eastAsia="標楷體"/>
                <w:spacing w:val="-20"/>
                <w:kern w:val="0"/>
                <w:sz w:val="18"/>
                <w:szCs w:val="18"/>
                <w:lang w:bidi="hi-IN"/>
              </w:rPr>
              <w:t>年</w:t>
            </w:r>
          </w:p>
        </w:tc>
        <w:tc>
          <w:tcPr>
            <w:tcW w:w="601" w:type="dxa"/>
            <w:tcBorders>
              <w:bottom w:val="double" w:sz="4" w:space="0" w:color="auto"/>
              <w:right w:val="single" w:sz="12" w:space="0" w:color="auto"/>
            </w:tcBorders>
            <w:shd w:val="clear" w:color="auto" w:fill="E6E6E6"/>
            <w:vAlign w:val="center"/>
          </w:tcPr>
          <w:p w:rsidR="00DF2F67" w:rsidRPr="00D55DC6" w:rsidRDefault="00DF2F67" w:rsidP="00FA7F7B">
            <w:pPr>
              <w:widowControl/>
              <w:adjustRightInd w:val="0"/>
              <w:snapToGrid w:val="0"/>
              <w:jc w:val="center"/>
              <w:rPr>
                <w:rFonts w:eastAsia="標楷體"/>
                <w:spacing w:val="-20"/>
                <w:kern w:val="0"/>
                <w:sz w:val="18"/>
                <w:szCs w:val="18"/>
                <w:lang w:bidi="hi-IN"/>
              </w:rPr>
            </w:pPr>
            <w:r w:rsidRPr="00D55DC6">
              <w:rPr>
                <w:rFonts w:eastAsia="標楷體"/>
                <w:spacing w:val="-20"/>
                <w:kern w:val="0"/>
                <w:sz w:val="18"/>
                <w:szCs w:val="18"/>
                <w:lang w:bidi="hi-IN"/>
              </w:rPr>
              <w:t>104</w:t>
            </w:r>
            <w:r w:rsidRPr="00D55DC6">
              <w:rPr>
                <w:rFonts w:eastAsia="標楷體"/>
                <w:spacing w:val="-20"/>
                <w:kern w:val="0"/>
                <w:sz w:val="18"/>
                <w:szCs w:val="18"/>
                <w:lang w:bidi="hi-IN"/>
              </w:rPr>
              <w:t>年</w:t>
            </w:r>
          </w:p>
        </w:tc>
        <w:tc>
          <w:tcPr>
            <w:tcW w:w="593" w:type="dxa"/>
            <w:tcBorders>
              <w:left w:val="single" w:sz="12" w:space="0" w:color="auto"/>
              <w:bottom w:val="double" w:sz="4" w:space="0" w:color="auto"/>
            </w:tcBorders>
            <w:shd w:val="clear" w:color="auto" w:fill="E6E6E6"/>
            <w:noWrap/>
            <w:vAlign w:val="center"/>
          </w:tcPr>
          <w:p w:rsidR="00DF2F67" w:rsidRPr="00D55DC6" w:rsidRDefault="00DF2F67" w:rsidP="00FA7F7B">
            <w:pPr>
              <w:widowControl/>
              <w:adjustRightInd w:val="0"/>
              <w:snapToGrid w:val="0"/>
              <w:jc w:val="center"/>
              <w:rPr>
                <w:rFonts w:eastAsia="標楷體"/>
                <w:spacing w:val="-20"/>
                <w:kern w:val="0"/>
                <w:sz w:val="18"/>
                <w:szCs w:val="18"/>
                <w:lang w:bidi="hi-IN"/>
              </w:rPr>
            </w:pPr>
            <w:r w:rsidRPr="00D55DC6">
              <w:rPr>
                <w:rFonts w:eastAsia="標楷體"/>
                <w:spacing w:val="-20"/>
                <w:kern w:val="0"/>
                <w:sz w:val="18"/>
                <w:szCs w:val="18"/>
                <w:lang w:bidi="hi-IN"/>
              </w:rPr>
              <w:t>105</w:t>
            </w:r>
            <w:r w:rsidRPr="00D55DC6">
              <w:rPr>
                <w:rFonts w:eastAsia="標楷體"/>
                <w:spacing w:val="-20"/>
                <w:kern w:val="0"/>
                <w:sz w:val="18"/>
                <w:szCs w:val="18"/>
                <w:lang w:bidi="hi-IN"/>
              </w:rPr>
              <w:t>年</w:t>
            </w:r>
          </w:p>
        </w:tc>
        <w:tc>
          <w:tcPr>
            <w:tcW w:w="593" w:type="dxa"/>
            <w:tcBorders>
              <w:bottom w:val="double" w:sz="4" w:space="0" w:color="auto"/>
            </w:tcBorders>
            <w:shd w:val="clear" w:color="auto" w:fill="E6E6E6"/>
            <w:noWrap/>
            <w:vAlign w:val="center"/>
          </w:tcPr>
          <w:p w:rsidR="00DF2F67" w:rsidRPr="00D55DC6" w:rsidRDefault="00DF2F67" w:rsidP="00FA7F7B">
            <w:pPr>
              <w:widowControl/>
              <w:adjustRightInd w:val="0"/>
              <w:snapToGrid w:val="0"/>
              <w:jc w:val="center"/>
              <w:rPr>
                <w:rFonts w:eastAsia="標楷體"/>
                <w:spacing w:val="-20"/>
                <w:kern w:val="0"/>
                <w:sz w:val="18"/>
                <w:szCs w:val="18"/>
                <w:lang w:bidi="hi-IN"/>
              </w:rPr>
            </w:pPr>
            <w:r w:rsidRPr="00D55DC6">
              <w:rPr>
                <w:rFonts w:eastAsia="標楷體"/>
                <w:spacing w:val="-20"/>
                <w:kern w:val="0"/>
                <w:sz w:val="18"/>
                <w:szCs w:val="18"/>
                <w:lang w:bidi="hi-IN"/>
              </w:rPr>
              <w:t>106</w:t>
            </w:r>
            <w:r w:rsidRPr="00D55DC6">
              <w:rPr>
                <w:rFonts w:eastAsia="標楷體"/>
                <w:spacing w:val="-20"/>
                <w:kern w:val="0"/>
                <w:sz w:val="18"/>
                <w:szCs w:val="18"/>
                <w:lang w:bidi="hi-IN"/>
              </w:rPr>
              <w:t>年</w:t>
            </w:r>
          </w:p>
        </w:tc>
        <w:tc>
          <w:tcPr>
            <w:tcW w:w="628" w:type="dxa"/>
            <w:tcBorders>
              <w:bottom w:val="double" w:sz="4" w:space="0" w:color="auto"/>
            </w:tcBorders>
            <w:shd w:val="clear" w:color="auto" w:fill="E6E6E6"/>
            <w:noWrap/>
            <w:vAlign w:val="center"/>
          </w:tcPr>
          <w:p w:rsidR="00DF2F67" w:rsidRPr="00D55DC6" w:rsidRDefault="00DF2F67" w:rsidP="00FA7F7B">
            <w:pPr>
              <w:widowControl/>
              <w:adjustRightInd w:val="0"/>
              <w:snapToGrid w:val="0"/>
              <w:jc w:val="center"/>
              <w:rPr>
                <w:rFonts w:eastAsia="標楷體"/>
                <w:spacing w:val="-20"/>
                <w:kern w:val="0"/>
                <w:sz w:val="18"/>
                <w:szCs w:val="18"/>
                <w:lang w:bidi="hi-IN"/>
              </w:rPr>
            </w:pPr>
            <w:r w:rsidRPr="00D55DC6">
              <w:rPr>
                <w:rFonts w:eastAsia="標楷體"/>
                <w:spacing w:val="-20"/>
                <w:kern w:val="0"/>
                <w:sz w:val="18"/>
                <w:szCs w:val="18"/>
                <w:lang w:bidi="hi-IN"/>
              </w:rPr>
              <w:t>107</w:t>
            </w:r>
            <w:r w:rsidRPr="00D55DC6">
              <w:rPr>
                <w:rFonts w:eastAsia="標楷體"/>
                <w:spacing w:val="-20"/>
                <w:kern w:val="0"/>
                <w:sz w:val="18"/>
                <w:szCs w:val="18"/>
                <w:lang w:bidi="hi-IN"/>
              </w:rPr>
              <w:t>年</w:t>
            </w:r>
          </w:p>
        </w:tc>
        <w:tc>
          <w:tcPr>
            <w:tcW w:w="593" w:type="dxa"/>
            <w:tcBorders>
              <w:bottom w:val="double" w:sz="4" w:space="0" w:color="auto"/>
              <w:right w:val="single" w:sz="12" w:space="0" w:color="auto"/>
            </w:tcBorders>
            <w:shd w:val="clear" w:color="auto" w:fill="E6E6E6"/>
            <w:noWrap/>
            <w:vAlign w:val="center"/>
          </w:tcPr>
          <w:p w:rsidR="00DF2F67" w:rsidRPr="00D55DC6" w:rsidRDefault="00DF2F67" w:rsidP="00FA7F7B">
            <w:pPr>
              <w:widowControl/>
              <w:adjustRightInd w:val="0"/>
              <w:snapToGrid w:val="0"/>
              <w:jc w:val="center"/>
              <w:rPr>
                <w:rFonts w:eastAsia="標楷體"/>
                <w:spacing w:val="-20"/>
                <w:kern w:val="0"/>
                <w:sz w:val="18"/>
                <w:szCs w:val="18"/>
                <w:lang w:bidi="hi-IN"/>
              </w:rPr>
            </w:pPr>
            <w:r w:rsidRPr="00D55DC6">
              <w:rPr>
                <w:rFonts w:eastAsia="標楷體"/>
                <w:spacing w:val="-20"/>
                <w:kern w:val="0"/>
                <w:sz w:val="18"/>
                <w:szCs w:val="18"/>
                <w:lang w:bidi="hi-IN"/>
              </w:rPr>
              <w:t>108</w:t>
            </w:r>
            <w:r w:rsidRPr="00D55DC6">
              <w:rPr>
                <w:rFonts w:eastAsia="標楷體"/>
                <w:spacing w:val="-20"/>
                <w:kern w:val="0"/>
                <w:sz w:val="18"/>
                <w:szCs w:val="18"/>
                <w:lang w:bidi="hi-IN"/>
              </w:rPr>
              <w:t>年</w:t>
            </w:r>
          </w:p>
        </w:tc>
        <w:tc>
          <w:tcPr>
            <w:tcW w:w="593" w:type="dxa"/>
            <w:tcBorders>
              <w:left w:val="single" w:sz="12" w:space="0" w:color="auto"/>
              <w:bottom w:val="double" w:sz="4" w:space="0" w:color="auto"/>
            </w:tcBorders>
            <w:shd w:val="clear" w:color="auto" w:fill="E6E6E6"/>
            <w:noWrap/>
            <w:vAlign w:val="center"/>
          </w:tcPr>
          <w:p w:rsidR="00DF2F67" w:rsidRPr="00D55DC6" w:rsidRDefault="00DF2F67" w:rsidP="00FA7F7B">
            <w:pPr>
              <w:widowControl/>
              <w:adjustRightInd w:val="0"/>
              <w:snapToGrid w:val="0"/>
              <w:jc w:val="center"/>
              <w:rPr>
                <w:rFonts w:eastAsia="標楷體"/>
                <w:spacing w:val="-20"/>
                <w:kern w:val="0"/>
                <w:sz w:val="18"/>
                <w:szCs w:val="18"/>
                <w:lang w:bidi="hi-IN"/>
              </w:rPr>
            </w:pPr>
            <w:r w:rsidRPr="00D55DC6">
              <w:rPr>
                <w:rFonts w:eastAsia="標楷體"/>
                <w:spacing w:val="-20"/>
                <w:kern w:val="0"/>
                <w:sz w:val="18"/>
                <w:szCs w:val="18"/>
                <w:lang w:bidi="hi-IN"/>
              </w:rPr>
              <w:t>109</w:t>
            </w:r>
            <w:r w:rsidRPr="00D55DC6">
              <w:rPr>
                <w:rFonts w:eastAsia="標楷體"/>
                <w:spacing w:val="-20"/>
                <w:kern w:val="0"/>
                <w:sz w:val="18"/>
                <w:szCs w:val="18"/>
                <w:lang w:bidi="hi-IN"/>
              </w:rPr>
              <w:t>年</w:t>
            </w:r>
          </w:p>
        </w:tc>
        <w:tc>
          <w:tcPr>
            <w:tcW w:w="593" w:type="dxa"/>
            <w:tcBorders>
              <w:bottom w:val="double" w:sz="4" w:space="0" w:color="auto"/>
            </w:tcBorders>
            <w:shd w:val="clear" w:color="auto" w:fill="E6E6E6"/>
            <w:noWrap/>
            <w:vAlign w:val="center"/>
          </w:tcPr>
          <w:p w:rsidR="00DF2F67" w:rsidRPr="00D55DC6" w:rsidRDefault="00DF2F67" w:rsidP="00FA7F7B">
            <w:pPr>
              <w:widowControl/>
              <w:adjustRightInd w:val="0"/>
              <w:snapToGrid w:val="0"/>
              <w:jc w:val="center"/>
              <w:rPr>
                <w:rFonts w:eastAsia="標楷體"/>
                <w:spacing w:val="-20"/>
                <w:kern w:val="0"/>
                <w:sz w:val="18"/>
                <w:szCs w:val="18"/>
                <w:lang w:bidi="hi-IN"/>
              </w:rPr>
            </w:pPr>
            <w:r w:rsidRPr="00D55DC6">
              <w:rPr>
                <w:rFonts w:eastAsia="標楷體"/>
                <w:spacing w:val="-20"/>
                <w:kern w:val="0"/>
                <w:sz w:val="18"/>
                <w:szCs w:val="18"/>
                <w:lang w:bidi="hi-IN"/>
              </w:rPr>
              <w:t>110</w:t>
            </w:r>
            <w:r w:rsidRPr="00D55DC6">
              <w:rPr>
                <w:rFonts w:eastAsia="標楷體"/>
                <w:spacing w:val="-20"/>
                <w:kern w:val="0"/>
                <w:sz w:val="18"/>
                <w:szCs w:val="18"/>
                <w:lang w:bidi="hi-IN"/>
              </w:rPr>
              <w:t>年</w:t>
            </w:r>
          </w:p>
        </w:tc>
        <w:tc>
          <w:tcPr>
            <w:tcW w:w="602" w:type="dxa"/>
            <w:tcBorders>
              <w:bottom w:val="double" w:sz="4" w:space="0" w:color="auto"/>
            </w:tcBorders>
            <w:shd w:val="clear" w:color="auto" w:fill="E6E6E6"/>
            <w:noWrap/>
            <w:vAlign w:val="center"/>
          </w:tcPr>
          <w:p w:rsidR="00DF2F67" w:rsidRPr="00D55DC6" w:rsidRDefault="00DF2F67" w:rsidP="00FA7F7B">
            <w:pPr>
              <w:widowControl/>
              <w:adjustRightInd w:val="0"/>
              <w:snapToGrid w:val="0"/>
              <w:jc w:val="center"/>
              <w:rPr>
                <w:rFonts w:eastAsia="標楷體"/>
                <w:spacing w:val="-20"/>
                <w:kern w:val="0"/>
                <w:sz w:val="18"/>
                <w:szCs w:val="18"/>
                <w:lang w:bidi="hi-IN"/>
              </w:rPr>
            </w:pPr>
            <w:r w:rsidRPr="00D55DC6">
              <w:rPr>
                <w:rFonts w:eastAsia="標楷體"/>
                <w:spacing w:val="-20"/>
                <w:kern w:val="0"/>
                <w:sz w:val="18"/>
                <w:szCs w:val="18"/>
                <w:lang w:bidi="hi-IN"/>
              </w:rPr>
              <w:t>111</w:t>
            </w:r>
            <w:r w:rsidRPr="00D55DC6">
              <w:rPr>
                <w:rFonts w:eastAsia="標楷體"/>
                <w:spacing w:val="-20"/>
                <w:kern w:val="0"/>
                <w:sz w:val="18"/>
                <w:szCs w:val="18"/>
                <w:lang w:bidi="hi-IN"/>
              </w:rPr>
              <w:t>年</w:t>
            </w:r>
          </w:p>
        </w:tc>
        <w:tc>
          <w:tcPr>
            <w:tcW w:w="604" w:type="dxa"/>
            <w:tcBorders>
              <w:bottom w:val="double" w:sz="4" w:space="0" w:color="auto"/>
              <w:right w:val="single" w:sz="12" w:space="0" w:color="auto"/>
            </w:tcBorders>
            <w:shd w:val="clear" w:color="auto" w:fill="E6E6E6"/>
            <w:noWrap/>
            <w:vAlign w:val="center"/>
          </w:tcPr>
          <w:p w:rsidR="00DF2F67" w:rsidRPr="00D55DC6" w:rsidRDefault="00DF2F67" w:rsidP="00FA7F7B">
            <w:pPr>
              <w:widowControl/>
              <w:adjustRightInd w:val="0"/>
              <w:snapToGrid w:val="0"/>
              <w:jc w:val="center"/>
              <w:rPr>
                <w:rFonts w:eastAsia="標楷體"/>
                <w:spacing w:val="-20"/>
                <w:kern w:val="0"/>
                <w:sz w:val="18"/>
                <w:szCs w:val="18"/>
                <w:lang w:bidi="hi-IN"/>
              </w:rPr>
            </w:pPr>
            <w:r w:rsidRPr="00D55DC6">
              <w:rPr>
                <w:rFonts w:eastAsia="標楷體"/>
                <w:spacing w:val="-20"/>
                <w:kern w:val="0"/>
                <w:sz w:val="18"/>
                <w:szCs w:val="18"/>
                <w:lang w:bidi="hi-IN"/>
              </w:rPr>
              <w:t>112</w:t>
            </w:r>
            <w:r w:rsidRPr="00D55DC6">
              <w:rPr>
                <w:rFonts w:eastAsia="標楷體"/>
                <w:spacing w:val="-20"/>
                <w:kern w:val="0"/>
                <w:sz w:val="18"/>
                <w:szCs w:val="18"/>
                <w:lang w:bidi="hi-IN"/>
              </w:rPr>
              <w:t>年</w:t>
            </w:r>
          </w:p>
        </w:tc>
        <w:tc>
          <w:tcPr>
            <w:tcW w:w="593" w:type="dxa"/>
            <w:tcBorders>
              <w:left w:val="single" w:sz="12" w:space="0" w:color="auto"/>
              <w:bottom w:val="double" w:sz="4" w:space="0" w:color="auto"/>
            </w:tcBorders>
            <w:shd w:val="clear" w:color="auto" w:fill="E6E6E6"/>
            <w:noWrap/>
            <w:vAlign w:val="center"/>
          </w:tcPr>
          <w:p w:rsidR="00DF2F67" w:rsidRPr="00D55DC6" w:rsidRDefault="00DF2F67" w:rsidP="00FA7F7B">
            <w:pPr>
              <w:widowControl/>
              <w:adjustRightInd w:val="0"/>
              <w:snapToGrid w:val="0"/>
              <w:jc w:val="center"/>
              <w:rPr>
                <w:rFonts w:eastAsia="標楷體"/>
                <w:spacing w:val="-20"/>
                <w:kern w:val="0"/>
                <w:sz w:val="18"/>
                <w:szCs w:val="18"/>
                <w:lang w:bidi="hi-IN"/>
              </w:rPr>
            </w:pPr>
            <w:r w:rsidRPr="00D55DC6">
              <w:rPr>
                <w:rFonts w:eastAsia="標楷體"/>
                <w:spacing w:val="-20"/>
                <w:kern w:val="0"/>
                <w:sz w:val="18"/>
                <w:szCs w:val="18"/>
                <w:lang w:bidi="hi-IN"/>
              </w:rPr>
              <w:t>113</w:t>
            </w:r>
            <w:r w:rsidRPr="00D55DC6">
              <w:rPr>
                <w:rFonts w:eastAsia="標楷體"/>
                <w:spacing w:val="-20"/>
                <w:kern w:val="0"/>
                <w:sz w:val="18"/>
                <w:szCs w:val="18"/>
                <w:lang w:bidi="hi-IN"/>
              </w:rPr>
              <w:t>年</w:t>
            </w:r>
          </w:p>
        </w:tc>
        <w:tc>
          <w:tcPr>
            <w:tcW w:w="390" w:type="dxa"/>
            <w:vMerge/>
            <w:tcBorders>
              <w:bottom w:val="double" w:sz="4" w:space="0" w:color="auto"/>
            </w:tcBorders>
            <w:shd w:val="clear" w:color="auto" w:fill="E6E6E6"/>
            <w:noWrap/>
            <w:vAlign w:val="center"/>
          </w:tcPr>
          <w:p w:rsidR="00DF2F67" w:rsidRPr="00D55DC6" w:rsidRDefault="00DF2F67" w:rsidP="00FA7F7B">
            <w:pPr>
              <w:widowControl/>
              <w:adjustRightInd w:val="0"/>
              <w:snapToGrid w:val="0"/>
              <w:jc w:val="center"/>
              <w:rPr>
                <w:rFonts w:eastAsia="標楷體"/>
                <w:kern w:val="0"/>
                <w:sz w:val="20"/>
                <w:szCs w:val="20"/>
                <w:lang w:bidi="hi-IN"/>
              </w:rPr>
            </w:pPr>
          </w:p>
        </w:tc>
        <w:tc>
          <w:tcPr>
            <w:tcW w:w="406" w:type="dxa"/>
            <w:vMerge/>
            <w:tcBorders>
              <w:bottom w:val="double" w:sz="4" w:space="0" w:color="auto"/>
              <w:right w:val="double" w:sz="4" w:space="0" w:color="auto"/>
            </w:tcBorders>
            <w:shd w:val="clear" w:color="auto" w:fill="E6E6E6"/>
            <w:vAlign w:val="center"/>
          </w:tcPr>
          <w:p w:rsidR="00DF2F67" w:rsidRPr="00D55DC6" w:rsidRDefault="00DF2F67" w:rsidP="00FA7F7B">
            <w:pPr>
              <w:widowControl/>
              <w:adjustRightInd w:val="0"/>
              <w:snapToGrid w:val="0"/>
              <w:jc w:val="center"/>
              <w:rPr>
                <w:rFonts w:eastAsia="標楷體"/>
                <w:kern w:val="0"/>
                <w:sz w:val="20"/>
                <w:szCs w:val="20"/>
                <w:lang w:bidi="hi-IN"/>
              </w:rPr>
            </w:pPr>
          </w:p>
        </w:tc>
      </w:tr>
      <w:tr w:rsidR="001D0350" w:rsidRPr="00D55DC6" w:rsidTr="00FA7F7B">
        <w:trPr>
          <w:trHeight w:val="330"/>
          <w:jc w:val="center"/>
        </w:trPr>
        <w:tc>
          <w:tcPr>
            <w:tcW w:w="536" w:type="dxa"/>
            <w:vMerge w:val="restart"/>
            <w:tcBorders>
              <w:top w:val="double" w:sz="4" w:space="0" w:color="auto"/>
              <w:left w:val="double" w:sz="4" w:space="0" w:color="auto"/>
            </w:tcBorders>
            <w:noWrap/>
            <w:textDirection w:val="tbRlV"/>
            <w:vAlign w:val="center"/>
          </w:tcPr>
          <w:p w:rsidR="00DF2F67" w:rsidRPr="00D55DC6" w:rsidRDefault="00DF2F67" w:rsidP="00FA7F7B">
            <w:pPr>
              <w:widowControl/>
              <w:adjustRightInd w:val="0"/>
              <w:snapToGrid w:val="0"/>
              <w:spacing w:line="460" w:lineRule="exact"/>
              <w:jc w:val="center"/>
              <w:rPr>
                <w:rFonts w:eastAsia="標楷體"/>
                <w:kern w:val="0"/>
                <w:sz w:val="20"/>
                <w:szCs w:val="20"/>
                <w:lang w:bidi="hi-IN"/>
              </w:rPr>
            </w:pPr>
            <w:r w:rsidRPr="00D55DC6">
              <w:rPr>
                <w:rFonts w:eastAsia="標楷體"/>
                <w:kern w:val="0"/>
                <w:sz w:val="20"/>
                <w:szCs w:val="20"/>
                <w:lang w:bidi="hi-IN"/>
              </w:rPr>
              <w:t>經營管理</w:t>
            </w:r>
          </w:p>
        </w:tc>
        <w:tc>
          <w:tcPr>
            <w:tcW w:w="214" w:type="dxa"/>
            <w:tcBorders>
              <w:top w:val="double" w:sz="4"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w:t>
            </w:r>
          </w:p>
        </w:tc>
        <w:tc>
          <w:tcPr>
            <w:tcW w:w="2623" w:type="dxa"/>
            <w:tcBorders>
              <w:top w:val="double" w:sz="4" w:space="0" w:color="auto"/>
            </w:tcBorders>
            <w:noWrap/>
            <w:vAlign w:val="center"/>
          </w:tcPr>
          <w:p w:rsidR="00DF2F67" w:rsidRPr="00D55DC6" w:rsidRDefault="00DF2F67" w:rsidP="00FA7F7B">
            <w:pPr>
              <w:widowControl/>
              <w:adjustRightInd w:val="0"/>
              <w:snapToGrid w:val="0"/>
              <w:rPr>
                <w:rFonts w:eastAsia="標楷體"/>
                <w:spacing w:val="-6"/>
                <w:kern w:val="0"/>
                <w:sz w:val="20"/>
                <w:szCs w:val="20"/>
                <w:lang w:bidi="hi-IN"/>
              </w:rPr>
            </w:pPr>
            <w:r w:rsidRPr="00D55DC6">
              <w:rPr>
                <w:rFonts w:eastAsia="標楷體"/>
                <w:spacing w:val="-6"/>
                <w:kern w:val="0"/>
                <w:sz w:val="20"/>
                <w:szCs w:val="20"/>
                <w:lang w:bidi="hi-IN"/>
              </w:rPr>
              <w:t>綠美化養護及設施零星修護</w:t>
            </w:r>
          </w:p>
        </w:tc>
        <w:tc>
          <w:tcPr>
            <w:tcW w:w="593" w:type="dxa"/>
            <w:tcBorders>
              <w:top w:val="double" w:sz="4"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601" w:type="dxa"/>
            <w:tcBorders>
              <w:top w:val="double" w:sz="4" w:space="0" w:color="auto"/>
              <w:right w:val="single" w:sz="12" w:space="0" w:color="auto"/>
            </w:tcBorders>
            <w:vAlign w:val="center"/>
          </w:tcPr>
          <w:p w:rsidR="00DF2F67" w:rsidRPr="00D55DC6" w:rsidRDefault="00DF2F67" w:rsidP="00FA7F7B">
            <w:pPr>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593" w:type="dxa"/>
            <w:tcBorders>
              <w:top w:val="double" w:sz="4" w:space="0" w:color="auto"/>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593" w:type="dxa"/>
            <w:tcBorders>
              <w:top w:val="double" w:sz="4"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628" w:type="dxa"/>
            <w:tcBorders>
              <w:top w:val="double" w:sz="4"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593" w:type="dxa"/>
            <w:tcBorders>
              <w:top w:val="double" w:sz="4" w:space="0" w:color="auto"/>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593" w:type="dxa"/>
            <w:tcBorders>
              <w:top w:val="double" w:sz="4" w:space="0" w:color="auto"/>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25,000</w:t>
            </w:r>
          </w:p>
        </w:tc>
        <w:tc>
          <w:tcPr>
            <w:tcW w:w="593" w:type="dxa"/>
            <w:tcBorders>
              <w:top w:val="double" w:sz="4"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25,000</w:t>
            </w:r>
          </w:p>
        </w:tc>
        <w:tc>
          <w:tcPr>
            <w:tcW w:w="602" w:type="dxa"/>
            <w:tcBorders>
              <w:top w:val="double" w:sz="4"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25,000</w:t>
            </w:r>
          </w:p>
        </w:tc>
        <w:tc>
          <w:tcPr>
            <w:tcW w:w="604" w:type="dxa"/>
            <w:tcBorders>
              <w:top w:val="double" w:sz="4" w:space="0" w:color="auto"/>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25,000</w:t>
            </w:r>
          </w:p>
        </w:tc>
        <w:tc>
          <w:tcPr>
            <w:tcW w:w="593" w:type="dxa"/>
            <w:tcBorders>
              <w:top w:val="double" w:sz="4" w:space="0" w:color="auto"/>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25,000</w:t>
            </w:r>
          </w:p>
        </w:tc>
        <w:tc>
          <w:tcPr>
            <w:tcW w:w="390" w:type="dxa"/>
            <w:tcBorders>
              <w:top w:val="double" w:sz="4" w:space="0" w:color="auto"/>
            </w:tcBorders>
            <w:noWrap/>
            <w:vAlign w:val="center"/>
          </w:tcPr>
          <w:p w:rsidR="00DF2F67" w:rsidRPr="00D55DC6" w:rsidRDefault="00DF2F67" w:rsidP="00FA7F7B">
            <w:pPr>
              <w:widowControl/>
              <w:adjustRightInd w:val="0"/>
              <w:snapToGrid w:val="0"/>
              <w:rPr>
                <w:rFonts w:eastAsia="標楷體"/>
                <w:kern w:val="0"/>
                <w:sz w:val="16"/>
                <w:szCs w:val="16"/>
                <w:lang w:bidi="hi-IN"/>
              </w:rPr>
            </w:pPr>
          </w:p>
        </w:tc>
        <w:tc>
          <w:tcPr>
            <w:tcW w:w="406" w:type="dxa"/>
            <w:tcBorders>
              <w:top w:val="double" w:sz="4" w:space="0" w:color="auto"/>
              <w:right w:val="double" w:sz="4" w:space="0" w:color="auto"/>
            </w:tcBorders>
            <w:noWrap/>
            <w:vAlign w:val="center"/>
          </w:tcPr>
          <w:p w:rsidR="00DF2F67" w:rsidRPr="00D55DC6" w:rsidRDefault="00DF2F67" w:rsidP="00FA7F7B">
            <w:pPr>
              <w:widowControl/>
              <w:adjustRightInd w:val="0"/>
              <w:snapToGrid w:val="0"/>
              <w:ind w:leftChars="-23" w:left="-5" w:hangingChars="31" w:hanging="50"/>
              <w:rPr>
                <w:rFonts w:eastAsia="標楷體"/>
                <w:kern w:val="0"/>
                <w:sz w:val="16"/>
                <w:szCs w:val="16"/>
                <w:lang w:bidi="hi-IN"/>
              </w:rPr>
            </w:pPr>
          </w:p>
        </w:tc>
      </w:tr>
      <w:tr w:rsidR="001D0350" w:rsidRPr="00D55DC6" w:rsidTr="00FA7F7B">
        <w:trPr>
          <w:trHeight w:val="330"/>
          <w:jc w:val="center"/>
        </w:trPr>
        <w:tc>
          <w:tcPr>
            <w:tcW w:w="536" w:type="dxa"/>
            <w:vMerge/>
            <w:tcBorders>
              <w:left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14"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w:t>
            </w:r>
          </w:p>
        </w:tc>
        <w:tc>
          <w:tcPr>
            <w:tcW w:w="2623" w:type="dxa"/>
            <w:noWrap/>
            <w:vAlign w:val="center"/>
          </w:tcPr>
          <w:p w:rsidR="00DF2F67" w:rsidRPr="00D55DC6" w:rsidRDefault="00DF2F67" w:rsidP="00FA7F7B">
            <w:pPr>
              <w:widowControl/>
              <w:adjustRightInd w:val="0"/>
              <w:snapToGrid w:val="0"/>
              <w:rPr>
                <w:rFonts w:eastAsia="標楷體"/>
                <w:spacing w:val="-6"/>
                <w:kern w:val="0"/>
                <w:sz w:val="20"/>
                <w:szCs w:val="20"/>
                <w:lang w:bidi="hi-IN"/>
              </w:rPr>
            </w:pPr>
            <w:r w:rsidRPr="00D55DC6">
              <w:rPr>
                <w:rFonts w:eastAsia="標楷體"/>
                <w:spacing w:val="-6"/>
                <w:kern w:val="0"/>
                <w:sz w:val="20"/>
                <w:szCs w:val="20"/>
                <w:lang w:bidi="hi-IN"/>
              </w:rPr>
              <w:t>土地取得</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601" w:type="dxa"/>
            <w:tcBorders>
              <w:right w:val="single" w:sz="12" w:space="0" w:color="auto"/>
            </w:tcBorders>
            <w:vAlign w:val="center"/>
          </w:tcPr>
          <w:p w:rsidR="00DF2F67" w:rsidRPr="00D55DC6" w:rsidRDefault="00DF2F67" w:rsidP="00FA7F7B">
            <w:pPr>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628"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593" w:type="dxa"/>
            <w:tcBorders>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602"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604" w:type="dxa"/>
            <w:tcBorders>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390" w:type="dxa"/>
            <w:noWrap/>
            <w:vAlign w:val="center"/>
          </w:tcPr>
          <w:p w:rsidR="00DF2F67" w:rsidRPr="00D55DC6" w:rsidRDefault="00DF2F67" w:rsidP="00FA7F7B">
            <w:pPr>
              <w:widowControl/>
              <w:adjustRightInd w:val="0"/>
              <w:snapToGrid w:val="0"/>
              <w:rPr>
                <w:rFonts w:eastAsia="標楷體"/>
                <w:kern w:val="0"/>
                <w:sz w:val="16"/>
                <w:szCs w:val="16"/>
                <w:lang w:bidi="hi-IN"/>
              </w:rPr>
            </w:pPr>
          </w:p>
        </w:tc>
        <w:tc>
          <w:tcPr>
            <w:tcW w:w="406" w:type="dxa"/>
            <w:tcBorders>
              <w:right w:val="double" w:sz="4" w:space="0" w:color="auto"/>
            </w:tcBorders>
            <w:noWrap/>
            <w:vAlign w:val="center"/>
          </w:tcPr>
          <w:p w:rsidR="00DF2F67" w:rsidRPr="00D55DC6" w:rsidRDefault="00DF2F67" w:rsidP="00FA7F7B">
            <w:pPr>
              <w:widowControl/>
              <w:adjustRightInd w:val="0"/>
              <w:snapToGrid w:val="0"/>
              <w:rPr>
                <w:rFonts w:eastAsia="標楷體"/>
                <w:kern w:val="0"/>
                <w:sz w:val="16"/>
                <w:szCs w:val="16"/>
                <w:lang w:bidi="hi-IN"/>
              </w:rPr>
            </w:pPr>
          </w:p>
        </w:tc>
      </w:tr>
      <w:tr w:rsidR="001D0350" w:rsidRPr="00D55DC6" w:rsidTr="00FA7F7B">
        <w:trPr>
          <w:trHeight w:val="330"/>
          <w:jc w:val="center"/>
        </w:trPr>
        <w:tc>
          <w:tcPr>
            <w:tcW w:w="536" w:type="dxa"/>
            <w:vMerge/>
            <w:tcBorders>
              <w:left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14"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3</w:t>
            </w:r>
          </w:p>
        </w:tc>
        <w:tc>
          <w:tcPr>
            <w:tcW w:w="2623" w:type="dxa"/>
            <w:noWrap/>
            <w:vAlign w:val="center"/>
          </w:tcPr>
          <w:p w:rsidR="00DF2F67" w:rsidRPr="00D55DC6" w:rsidRDefault="00DF2F67" w:rsidP="00FA7F7B">
            <w:pPr>
              <w:widowControl/>
              <w:adjustRightInd w:val="0"/>
              <w:snapToGrid w:val="0"/>
              <w:rPr>
                <w:rFonts w:eastAsia="標楷體"/>
                <w:spacing w:val="-6"/>
                <w:kern w:val="0"/>
                <w:sz w:val="20"/>
                <w:szCs w:val="20"/>
                <w:lang w:bidi="hi-IN"/>
              </w:rPr>
            </w:pPr>
            <w:r w:rsidRPr="00D55DC6">
              <w:rPr>
                <w:rFonts w:eastAsia="標楷體"/>
                <w:spacing w:val="-6"/>
                <w:kern w:val="0"/>
                <w:sz w:val="20"/>
                <w:szCs w:val="20"/>
                <w:lang w:bidi="hi-IN"/>
              </w:rPr>
              <w:t>先期規劃設計</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601" w:type="dxa"/>
            <w:tcBorders>
              <w:right w:val="single" w:sz="12" w:space="0" w:color="auto"/>
            </w:tcBorders>
            <w:vAlign w:val="center"/>
          </w:tcPr>
          <w:p w:rsidR="00DF2F67" w:rsidRPr="00D55DC6" w:rsidRDefault="00DF2F67" w:rsidP="00FA7F7B">
            <w:pPr>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628"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593" w:type="dxa"/>
            <w:tcBorders>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602"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604" w:type="dxa"/>
            <w:tcBorders>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390" w:type="dxa"/>
            <w:noWrap/>
            <w:vAlign w:val="center"/>
          </w:tcPr>
          <w:p w:rsidR="00DF2F67" w:rsidRPr="00D55DC6" w:rsidRDefault="00DF2F67" w:rsidP="00FA7F7B">
            <w:pPr>
              <w:widowControl/>
              <w:adjustRightInd w:val="0"/>
              <w:snapToGrid w:val="0"/>
              <w:rPr>
                <w:rFonts w:eastAsia="標楷體"/>
                <w:kern w:val="0"/>
                <w:sz w:val="16"/>
                <w:szCs w:val="16"/>
                <w:lang w:bidi="hi-IN"/>
              </w:rPr>
            </w:pPr>
          </w:p>
        </w:tc>
        <w:tc>
          <w:tcPr>
            <w:tcW w:w="406" w:type="dxa"/>
            <w:tcBorders>
              <w:right w:val="double" w:sz="4" w:space="0" w:color="auto"/>
            </w:tcBorders>
            <w:vAlign w:val="center"/>
          </w:tcPr>
          <w:p w:rsidR="00DF2F67" w:rsidRPr="00D55DC6" w:rsidRDefault="00DF2F67" w:rsidP="00FA7F7B">
            <w:pPr>
              <w:widowControl/>
              <w:adjustRightInd w:val="0"/>
              <w:snapToGrid w:val="0"/>
              <w:rPr>
                <w:rFonts w:eastAsia="標楷體"/>
                <w:kern w:val="0"/>
                <w:sz w:val="16"/>
                <w:szCs w:val="16"/>
                <w:lang w:bidi="hi-IN"/>
              </w:rPr>
            </w:pPr>
          </w:p>
        </w:tc>
      </w:tr>
      <w:tr w:rsidR="001D0350" w:rsidRPr="00D55DC6" w:rsidTr="00FA7F7B">
        <w:trPr>
          <w:trHeight w:val="330"/>
          <w:jc w:val="center"/>
        </w:trPr>
        <w:tc>
          <w:tcPr>
            <w:tcW w:w="536" w:type="dxa"/>
            <w:vMerge/>
            <w:tcBorders>
              <w:left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14" w:type="dxa"/>
            <w:shd w:val="clear" w:color="auto" w:fill="FFFFFF"/>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w:t>
            </w:r>
          </w:p>
        </w:tc>
        <w:tc>
          <w:tcPr>
            <w:tcW w:w="2623" w:type="dxa"/>
            <w:shd w:val="clear" w:color="auto" w:fill="FFFFFF"/>
            <w:noWrap/>
            <w:vAlign w:val="center"/>
          </w:tcPr>
          <w:p w:rsidR="00DF2F67" w:rsidRPr="00D55DC6" w:rsidRDefault="00DF2F67" w:rsidP="00FA7F7B">
            <w:pPr>
              <w:widowControl/>
              <w:adjustRightInd w:val="0"/>
              <w:snapToGrid w:val="0"/>
              <w:rPr>
                <w:rFonts w:eastAsia="標楷體"/>
                <w:spacing w:val="-6"/>
                <w:kern w:val="0"/>
                <w:sz w:val="20"/>
                <w:szCs w:val="20"/>
                <w:lang w:bidi="hi-IN"/>
              </w:rPr>
            </w:pPr>
            <w:r w:rsidRPr="00D55DC6">
              <w:rPr>
                <w:rFonts w:eastAsia="標楷體"/>
                <w:spacing w:val="-6"/>
                <w:kern w:val="0"/>
                <w:sz w:val="20"/>
                <w:szCs w:val="20"/>
                <w:lang w:bidi="hi-IN"/>
              </w:rPr>
              <w:t>環境及設施整修</w:t>
            </w:r>
          </w:p>
        </w:tc>
        <w:tc>
          <w:tcPr>
            <w:tcW w:w="593" w:type="dxa"/>
            <w:shd w:val="clear" w:color="auto" w:fill="FFFFFF"/>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28,200</w:t>
            </w:r>
          </w:p>
        </w:tc>
        <w:tc>
          <w:tcPr>
            <w:tcW w:w="601" w:type="dxa"/>
            <w:tcBorders>
              <w:right w:val="single" w:sz="12" w:space="0" w:color="auto"/>
            </w:tcBorders>
            <w:shd w:val="clear" w:color="auto" w:fill="FFFFFF"/>
            <w:vAlign w:val="center"/>
          </w:tcPr>
          <w:p w:rsidR="00DF2F67" w:rsidRPr="00D55DC6" w:rsidRDefault="00DF2F67" w:rsidP="00FA7F7B">
            <w:pPr>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30,000</w:t>
            </w:r>
          </w:p>
        </w:tc>
        <w:tc>
          <w:tcPr>
            <w:tcW w:w="593" w:type="dxa"/>
            <w:tcBorders>
              <w:left w:val="single" w:sz="12" w:space="0" w:color="auto"/>
            </w:tcBorders>
            <w:shd w:val="clear" w:color="auto" w:fill="FFFFFF"/>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30,000</w:t>
            </w:r>
          </w:p>
        </w:tc>
        <w:tc>
          <w:tcPr>
            <w:tcW w:w="593" w:type="dxa"/>
            <w:shd w:val="clear" w:color="auto" w:fill="FFFFFF"/>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30,000</w:t>
            </w:r>
          </w:p>
        </w:tc>
        <w:tc>
          <w:tcPr>
            <w:tcW w:w="628" w:type="dxa"/>
            <w:shd w:val="clear" w:color="auto" w:fill="FFFFFF"/>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30,000</w:t>
            </w:r>
          </w:p>
        </w:tc>
        <w:tc>
          <w:tcPr>
            <w:tcW w:w="593" w:type="dxa"/>
            <w:tcBorders>
              <w:right w:val="single" w:sz="12" w:space="0" w:color="auto"/>
            </w:tcBorders>
            <w:shd w:val="clear" w:color="auto" w:fill="FFFFFF"/>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30,000</w:t>
            </w:r>
          </w:p>
        </w:tc>
        <w:tc>
          <w:tcPr>
            <w:tcW w:w="593" w:type="dxa"/>
            <w:tcBorders>
              <w:left w:val="single" w:sz="12" w:space="0" w:color="auto"/>
            </w:tcBorders>
            <w:shd w:val="clear" w:color="auto" w:fill="FFFFFF"/>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593" w:type="dxa"/>
            <w:shd w:val="clear" w:color="auto" w:fill="FFFFFF"/>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602" w:type="dxa"/>
            <w:shd w:val="clear" w:color="auto" w:fill="FFFFFF"/>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604" w:type="dxa"/>
            <w:tcBorders>
              <w:right w:val="single" w:sz="12" w:space="0" w:color="auto"/>
            </w:tcBorders>
            <w:shd w:val="clear" w:color="auto" w:fill="FFFFFF"/>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593" w:type="dxa"/>
            <w:tcBorders>
              <w:left w:val="single" w:sz="12" w:space="0" w:color="auto"/>
            </w:tcBorders>
            <w:shd w:val="clear" w:color="auto" w:fill="FFFFFF"/>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390" w:type="dxa"/>
            <w:shd w:val="clear" w:color="auto" w:fill="FFFFFF"/>
            <w:noWrap/>
            <w:vAlign w:val="center"/>
          </w:tcPr>
          <w:p w:rsidR="00DF2F67" w:rsidRPr="00D55DC6" w:rsidRDefault="00DF2F67" w:rsidP="00FA7F7B">
            <w:pPr>
              <w:widowControl/>
              <w:adjustRightInd w:val="0"/>
              <w:snapToGrid w:val="0"/>
              <w:rPr>
                <w:rFonts w:eastAsia="標楷體"/>
                <w:kern w:val="0"/>
                <w:sz w:val="16"/>
                <w:szCs w:val="16"/>
                <w:lang w:bidi="hi-IN"/>
              </w:rPr>
            </w:pPr>
          </w:p>
        </w:tc>
        <w:tc>
          <w:tcPr>
            <w:tcW w:w="406" w:type="dxa"/>
            <w:tcBorders>
              <w:right w:val="double" w:sz="4" w:space="0" w:color="auto"/>
            </w:tcBorders>
            <w:shd w:val="clear" w:color="auto" w:fill="FFFFFF"/>
            <w:noWrap/>
            <w:vAlign w:val="center"/>
          </w:tcPr>
          <w:p w:rsidR="00DF2F67" w:rsidRPr="00D55DC6" w:rsidRDefault="00DF2F67" w:rsidP="00FA7F7B">
            <w:pPr>
              <w:widowControl/>
              <w:adjustRightInd w:val="0"/>
              <w:snapToGrid w:val="0"/>
              <w:rPr>
                <w:rFonts w:eastAsia="標楷體"/>
                <w:kern w:val="0"/>
                <w:sz w:val="16"/>
                <w:szCs w:val="16"/>
                <w:lang w:bidi="hi-IN"/>
              </w:rPr>
            </w:pPr>
          </w:p>
        </w:tc>
      </w:tr>
      <w:tr w:rsidR="001D0350" w:rsidRPr="00D55DC6" w:rsidTr="00FA7F7B">
        <w:trPr>
          <w:trHeight w:val="330"/>
          <w:jc w:val="center"/>
        </w:trPr>
        <w:tc>
          <w:tcPr>
            <w:tcW w:w="536" w:type="dxa"/>
            <w:vMerge/>
            <w:tcBorders>
              <w:left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837" w:type="dxa"/>
            <w:gridSpan w:val="2"/>
            <w:tcBorders>
              <w:bottom w:val="double" w:sz="4" w:space="0" w:color="auto"/>
            </w:tcBorders>
            <w:shd w:val="clear" w:color="auto" w:fill="CCFFCC"/>
            <w:noWrap/>
            <w:vAlign w:val="center"/>
          </w:tcPr>
          <w:p w:rsidR="00DF2F67" w:rsidRPr="00D55DC6" w:rsidRDefault="00DF2F67" w:rsidP="00FA7F7B">
            <w:pPr>
              <w:widowControl/>
              <w:adjustRightInd w:val="0"/>
              <w:snapToGrid w:val="0"/>
              <w:jc w:val="center"/>
              <w:rPr>
                <w:rFonts w:eastAsia="標楷體"/>
                <w:spacing w:val="-6"/>
                <w:kern w:val="0"/>
                <w:sz w:val="16"/>
                <w:szCs w:val="16"/>
                <w:lang w:bidi="hi-IN"/>
              </w:rPr>
            </w:pPr>
            <w:r w:rsidRPr="00D55DC6">
              <w:rPr>
                <w:rFonts w:eastAsia="標楷體"/>
                <w:spacing w:val="-6"/>
                <w:kern w:val="0"/>
                <w:sz w:val="16"/>
                <w:szCs w:val="16"/>
                <w:lang w:bidi="hi-IN"/>
              </w:rPr>
              <w:t>經營管理預算合計</w:t>
            </w:r>
          </w:p>
        </w:tc>
        <w:tc>
          <w:tcPr>
            <w:tcW w:w="593" w:type="dxa"/>
            <w:tcBorders>
              <w:bottom w:val="double" w:sz="4" w:space="0" w:color="auto"/>
            </w:tcBorders>
            <w:shd w:val="clear" w:color="auto" w:fill="CCFFCC"/>
            <w:noWrap/>
            <w:vAlign w:val="center"/>
          </w:tcPr>
          <w:p w:rsidR="00DF2F67" w:rsidRPr="00D55DC6" w:rsidRDefault="00DF2F67" w:rsidP="00FA7F7B">
            <w:pPr>
              <w:widowControl/>
              <w:adjustRightInd w:val="0"/>
              <w:snapToGrid w:val="0"/>
              <w:jc w:val="right"/>
              <w:rPr>
                <w:rFonts w:eastAsia="標楷體"/>
                <w:spacing w:val="-6"/>
                <w:kern w:val="0"/>
                <w:sz w:val="16"/>
                <w:szCs w:val="16"/>
                <w:lang w:bidi="hi-IN"/>
              </w:rPr>
            </w:pPr>
            <w:r w:rsidRPr="00D55DC6">
              <w:rPr>
                <w:rFonts w:eastAsia="標楷體"/>
                <w:spacing w:val="-6"/>
                <w:kern w:val="0"/>
                <w:sz w:val="16"/>
                <w:szCs w:val="16"/>
                <w:lang w:bidi="hi-IN"/>
              </w:rPr>
              <w:t>78,200</w:t>
            </w:r>
          </w:p>
        </w:tc>
        <w:tc>
          <w:tcPr>
            <w:tcW w:w="601" w:type="dxa"/>
            <w:tcBorders>
              <w:bottom w:val="double" w:sz="4" w:space="0" w:color="auto"/>
              <w:right w:val="single" w:sz="12" w:space="0" w:color="auto"/>
            </w:tcBorders>
            <w:shd w:val="clear" w:color="auto" w:fill="CCFFCC"/>
            <w:vAlign w:val="center"/>
          </w:tcPr>
          <w:p w:rsidR="00DF2F67" w:rsidRPr="00D55DC6" w:rsidRDefault="00DF2F67" w:rsidP="00FA7F7B">
            <w:pPr>
              <w:adjustRightInd w:val="0"/>
              <w:snapToGrid w:val="0"/>
              <w:jc w:val="right"/>
              <w:rPr>
                <w:rFonts w:eastAsia="標楷體"/>
                <w:spacing w:val="-6"/>
                <w:kern w:val="0"/>
                <w:sz w:val="16"/>
                <w:szCs w:val="16"/>
                <w:lang w:bidi="hi-IN"/>
              </w:rPr>
            </w:pPr>
            <w:r w:rsidRPr="00D55DC6">
              <w:rPr>
                <w:rFonts w:eastAsia="標楷體"/>
                <w:spacing w:val="-6"/>
                <w:kern w:val="0"/>
                <w:sz w:val="16"/>
                <w:szCs w:val="16"/>
                <w:lang w:bidi="hi-IN"/>
              </w:rPr>
              <w:t>80,000</w:t>
            </w:r>
          </w:p>
        </w:tc>
        <w:tc>
          <w:tcPr>
            <w:tcW w:w="593" w:type="dxa"/>
            <w:tcBorders>
              <w:left w:val="single" w:sz="12" w:space="0" w:color="auto"/>
              <w:bottom w:val="double" w:sz="4" w:space="0" w:color="auto"/>
            </w:tcBorders>
            <w:shd w:val="clear" w:color="auto" w:fill="CCFFCC"/>
            <w:noWrap/>
            <w:vAlign w:val="center"/>
          </w:tcPr>
          <w:p w:rsidR="00DF2F67" w:rsidRPr="00D55DC6" w:rsidRDefault="00DF2F67" w:rsidP="00FA7F7B">
            <w:pPr>
              <w:widowControl/>
              <w:adjustRightInd w:val="0"/>
              <w:snapToGrid w:val="0"/>
              <w:jc w:val="right"/>
              <w:rPr>
                <w:rFonts w:eastAsia="標楷體"/>
                <w:spacing w:val="-6"/>
                <w:kern w:val="0"/>
                <w:sz w:val="16"/>
                <w:szCs w:val="16"/>
                <w:lang w:bidi="hi-IN"/>
              </w:rPr>
            </w:pPr>
            <w:r w:rsidRPr="00D55DC6">
              <w:rPr>
                <w:rFonts w:eastAsia="標楷體"/>
                <w:spacing w:val="-6"/>
                <w:kern w:val="0"/>
                <w:sz w:val="16"/>
                <w:szCs w:val="16"/>
                <w:lang w:bidi="hi-IN"/>
              </w:rPr>
              <w:t>80,000</w:t>
            </w:r>
          </w:p>
        </w:tc>
        <w:tc>
          <w:tcPr>
            <w:tcW w:w="593" w:type="dxa"/>
            <w:tcBorders>
              <w:bottom w:val="double" w:sz="4" w:space="0" w:color="auto"/>
            </w:tcBorders>
            <w:shd w:val="clear" w:color="auto" w:fill="CCFFCC"/>
            <w:noWrap/>
            <w:vAlign w:val="center"/>
          </w:tcPr>
          <w:p w:rsidR="00DF2F67" w:rsidRPr="00D55DC6" w:rsidRDefault="00DF2F67" w:rsidP="00FA7F7B">
            <w:pPr>
              <w:widowControl/>
              <w:adjustRightInd w:val="0"/>
              <w:snapToGrid w:val="0"/>
              <w:jc w:val="right"/>
              <w:rPr>
                <w:rFonts w:eastAsia="標楷體"/>
                <w:spacing w:val="-6"/>
                <w:kern w:val="0"/>
                <w:sz w:val="16"/>
                <w:szCs w:val="16"/>
                <w:lang w:bidi="hi-IN"/>
              </w:rPr>
            </w:pPr>
            <w:r w:rsidRPr="00D55DC6">
              <w:rPr>
                <w:rFonts w:eastAsia="標楷體"/>
                <w:spacing w:val="-6"/>
                <w:kern w:val="0"/>
                <w:sz w:val="16"/>
                <w:szCs w:val="16"/>
                <w:lang w:bidi="hi-IN"/>
              </w:rPr>
              <w:t>80,000</w:t>
            </w:r>
          </w:p>
        </w:tc>
        <w:tc>
          <w:tcPr>
            <w:tcW w:w="628" w:type="dxa"/>
            <w:tcBorders>
              <w:bottom w:val="double" w:sz="4" w:space="0" w:color="auto"/>
            </w:tcBorders>
            <w:shd w:val="clear" w:color="auto" w:fill="CCFFCC"/>
            <w:noWrap/>
            <w:vAlign w:val="center"/>
          </w:tcPr>
          <w:p w:rsidR="00DF2F67" w:rsidRPr="00D55DC6" w:rsidRDefault="00DF2F67" w:rsidP="00FA7F7B">
            <w:pPr>
              <w:widowControl/>
              <w:adjustRightInd w:val="0"/>
              <w:snapToGrid w:val="0"/>
              <w:jc w:val="right"/>
              <w:rPr>
                <w:rFonts w:eastAsia="標楷體"/>
                <w:spacing w:val="-6"/>
                <w:kern w:val="0"/>
                <w:sz w:val="16"/>
                <w:szCs w:val="16"/>
                <w:lang w:bidi="hi-IN"/>
              </w:rPr>
            </w:pPr>
            <w:r w:rsidRPr="00D55DC6">
              <w:rPr>
                <w:rFonts w:eastAsia="標楷體"/>
                <w:spacing w:val="-6"/>
                <w:kern w:val="0"/>
                <w:sz w:val="16"/>
                <w:szCs w:val="16"/>
                <w:lang w:bidi="hi-IN"/>
              </w:rPr>
              <w:t>80,000</w:t>
            </w:r>
          </w:p>
        </w:tc>
        <w:tc>
          <w:tcPr>
            <w:tcW w:w="593" w:type="dxa"/>
            <w:tcBorders>
              <w:bottom w:val="double" w:sz="4" w:space="0" w:color="auto"/>
              <w:right w:val="single" w:sz="12" w:space="0" w:color="auto"/>
            </w:tcBorders>
            <w:shd w:val="clear" w:color="auto" w:fill="CCFFCC"/>
            <w:noWrap/>
            <w:vAlign w:val="center"/>
          </w:tcPr>
          <w:p w:rsidR="00DF2F67" w:rsidRPr="00D55DC6" w:rsidRDefault="00DF2F67" w:rsidP="00FA7F7B">
            <w:pPr>
              <w:widowControl/>
              <w:adjustRightInd w:val="0"/>
              <w:snapToGrid w:val="0"/>
              <w:jc w:val="right"/>
              <w:rPr>
                <w:rFonts w:eastAsia="標楷體"/>
                <w:spacing w:val="-6"/>
                <w:kern w:val="0"/>
                <w:sz w:val="16"/>
                <w:szCs w:val="16"/>
                <w:lang w:bidi="hi-IN"/>
              </w:rPr>
            </w:pPr>
            <w:r w:rsidRPr="00D55DC6">
              <w:rPr>
                <w:rFonts w:eastAsia="標楷體"/>
                <w:spacing w:val="-6"/>
                <w:kern w:val="0"/>
                <w:sz w:val="16"/>
                <w:szCs w:val="16"/>
                <w:lang w:bidi="hi-IN"/>
              </w:rPr>
              <w:t>80,000</w:t>
            </w:r>
          </w:p>
        </w:tc>
        <w:tc>
          <w:tcPr>
            <w:tcW w:w="593" w:type="dxa"/>
            <w:tcBorders>
              <w:left w:val="single" w:sz="12" w:space="0" w:color="auto"/>
              <w:bottom w:val="double" w:sz="4" w:space="0" w:color="auto"/>
            </w:tcBorders>
            <w:shd w:val="clear" w:color="auto" w:fill="CCFFCC"/>
            <w:noWrap/>
            <w:vAlign w:val="center"/>
          </w:tcPr>
          <w:p w:rsidR="00DF2F67" w:rsidRPr="00D55DC6" w:rsidRDefault="00DF2F67" w:rsidP="00FA7F7B">
            <w:pPr>
              <w:widowControl/>
              <w:adjustRightInd w:val="0"/>
              <w:snapToGrid w:val="0"/>
              <w:jc w:val="right"/>
              <w:rPr>
                <w:rFonts w:eastAsia="標楷體"/>
                <w:spacing w:val="-6"/>
                <w:kern w:val="0"/>
                <w:sz w:val="16"/>
                <w:szCs w:val="16"/>
                <w:lang w:bidi="hi-IN"/>
              </w:rPr>
            </w:pPr>
            <w:r w:rsidRPr="00D55DC6">
              <w:rPr>
                <w:rFonts w:eastAsia="標楷體"/>
                <w:spacing w:val="-6"/>
                <w:kern w:val="0"/>
                <w:sz w:val="16"/>
                <w:szCs w:val="16"/>
                <w:lang w:bidi="hi-IN"/>
              </w:rPr>
              <w:t>95,000</w:t>
            </w:r>
          </w:p>
        </w:tc>
        <w:tc>
          <w:tcPr>
            <w:tcW w:w="593" w:type="dxa"/>
            <w:tcBorders>
              <w:bottom w:val="double" w:sz="4" w:space="0" w:color="auto"/>
            </w:tcBorders>
            <w:shd w:val="clear" w:color="auto" w:fill="CCFFCC"/>
            <w:noWrap/>
            <w:vAlign w:val="center"/>
          </w:tcPr>
          <w:p w:rsidR="00DF2F67" w:rsidRPr="00D55DC6" w:rsidRDefault="00DF2F67" w:rsidP="00FA7F7B">
            <w:pPr>
              <w:widowControl/>
              <w:adjustRightInd w:val="0"/>
              <w:snapToGrid w:val="0"/>
              <w:jc w:val="right"/>
              <w:rPr>
                <w:rFonts w:eastAsia="標楷體"/>
                <w:spacing w:val="-6"/>
                <w:kern w:val="0"/>
                <w:sz w:val="16"/>
                <w:szCs w:val="16"/>
                <w:lang w:bidi="hi-IN"/>
              </w:rPr>
            </w:pPr>
            <w:r w:rsidRPr="00D55DC6">
              <w:rPr>
                <w:rFonts w:eastAsia="標楷體"/>
                <w:spacing w:val="-6"/>
                <w:kern w:val="0"/>
                <w:sz w:val="16"/>
                <w:szCs w:val="16"/>
                <w:lang w:bidi="hi-IN"/>
              </w:rPr>
              <w:t>95,000</w:t>
            </w:r>
          </w:p>
        </w:tc>
        <w:tc>
          <w:tcPr>
            <w:tcW w:w="602" w:type="dxa"/>
            <w:tcBorders>
              <w:bottom w:val="double" w:sz="4" w:space="0" w:color="auto"/>
            </w:tcBorders>
            <w:shd w:val="clear" w:color="auto" w:fill="CCFFCC"/>
            <w:noWrap/>
            <w:vAlign w:val="center"/>
          </w:tcPr>
          <w:p w:rsidR="00DF2F67" w:rsidRPr="00D55DC6" w:rsidRDefault="00DF2F67" w:rsidP="00FA7F7B">
            <w:pPr>
              <w:widowControl/>
              <w:adjustRightInd w:val="0"/>
              <w:snapToGrid w:val="0"/>
              <w:jc w:val="right"/>
              <w:rPr>
                <w:rFonts w:eastAsia="標楷體"/>
                <w:spacing w:val="-6"/>
                <w:kern w:val="0"/>
                <w:sz w:val="16"/>
                <w:szCs w:val="16"/>
                <w:lang w:bidi="hi-IN"/>
              </w:rPr>
            </w:pPr>
            <w:r w:rsidRPr="00D55DC6">
              <w:rPr>
                <w:rFonts w:eastAsia="標楷體"/>
                <w:spacing w:val="-6"/>
                <w:kern w:val="0"/>
                <w:sz w:val="16"/>
                <w:szCs w:val="16"/>
                <w:lang w:bidi="hi-IN"/>
              </w:rPr>
              <w:t>95,000</w:t>
            </w:r>
          </w:p>
        </w:tc>
        <w:tc>
          <w:tcPr>
            <w:tcW w:w="604" w:type="dxa"/>
            <w:tcBorders>
              <w:bottom w:val="double" w:sz="4" w:space="0" w:color="auto"/>
              <w:right w:val="single" w:sz="12" w:space="0" w:color="auto"/>
            </w:tcBorders>
            <w:shd w:val="clear" w:color="auto" w:fill="CCFFCC"/>
            <w:noWrap/>
            <w:vAlign w:val="center"/>
          </w:tcPr>
          <w:p w:rsidR="00DF2F67" w:rsidRPr="00D55DC6" w:rsidRDefault="00DF2F67" w:rsidP="00FA7F7B">
            <w:pPr>
              <w:widowControl/>
              <w:adjustRightInd w:val="0"/>
              <w:snapToGrid w:val="0"/>
              <w:jc w:val="right"/>
              <w:rPr>
                <w:rFonts w:eastAsia="標楷體"/>
                <w:spacing w:val="-6"/>
                <w:kern w:val="0"/>
                <w:sz w:val="16"/>
                <w:szCs w:val="16"/>
                <w:lang w:bidi="hi-IN"/>
              </w:rPr>
            </w:pPr>
            <w:r w:rsidRPr="00D55DC6">
              <w:rPr>
                <w:rFonts w:eastAsia="標楷體"/>
                <w:spacing w:val="-6"/>
                <w:kern w:val="0"/>
                <w:sz w:val="16"/>
                <w:szCs w:val="16"/>
                <w:lang w:bidi="hi-IN"/>
              </w:rPr>
              <w:t>95,000</w:t>
            </w:r>
          </w:p>
        </w:tc>
        <w:tc>
          <w:tcPr>
            <w:tcW w:w="593" w:type="dxa"/>
            <w:tcBorders>
              <w:left w:val="single" w:sz="12" w:space="0" w:color="auto"/>
              <w:bottom w:val="double" w:sz="4" w:space="0" w:color="auto"/>
            </w:tcBorders>
            <w:shd w:val="clear" w:color="auto" w:fill="CCFFCC"/>
            <w:noWrap/>
            <w:vAlign w:val="center"/>
          </w:tcPr>
          <w:p w:rsidR="00DF2F67" w:rsidRPr="00D55DC6" w:rsidRDefault="00DF2F67" w:rsidP="00FA7F7B">
            <w:pPr>
              <w:widowControl/>
              <w:adjustRightInd w:val="0"/>
              <w:snapToGrid w:val="0"/>
              <w:jc w:val="right"/>
              <w:rPr>
                <w:rFonts w:eastAsia="標楷體"/>
                <w:spacing w:val="-6"/>
                <w:kern w:val="0"/>
                <w:sz w:val="16"/>
                <w:szCs w:val="16"/>
                <w:lang w:bidi="hi-IN"/>
              </w:rPr>
            </w:pPr>
            <w:r w:rsidRPr="00D55DC6">
              <w:rPr>
                <w:rFonts w:eastAsia="標楷體"/>
                <w:spacing w:val="-6"/>
                <w:kern w:val="0"/>
                <w:sz w:val="16"/>
                <w:szCs w:val="16"/>
                <w:lang w:bidi="hi-IN"/>
              </w:rPr>
              <w:t>95,000</w:t>
            </w:r>
          </w:p>
        </w:tc>
        <w:tc>
          <w:tcPr>
            <w:tcW w:w="390" w:type="dxa"/>
            <w:tcBorders>
              <w:bottom w:val="double" w:sz="4" w:space="0" w:color="auto"/>
            </w:tcBorders>
            <w:shd w:val="clear" w:color="auto" w:fill="CCFFCC"/>
            <w:noWrap/>
            <w:vAlign w:val="center"/>
          </w:tcPr>
          <w:p w:rsidR="00DF2F67" w:rsidRPr="00D55DC6" w:rsidRDefault="00DF2F67" w:rsidP="00FA7F7B">
            <w:pPr>
              <w:widowControl/>
              <w:adjustRightInd w:val="0"/>
              <w:snapToGrid w:val="0"/>
              <w:rPr>
                <w:rFonts w:eastAsia="標楷體"/>
                <w:spacing w:val="-6"/>
                <w:kern w:val="0"/>
                <w:sz w:val="16"/>
                <w:szCs w:val="16"/>
                <w:lang w:bidi="hi-IN"/>
              </w:rPr>
            </w:pPr>
          </w:p>
        </w:tc>
        <w:tc>
          <w:tcPr>
            <w:tcW w:w="406" w:type="dxa"/>
            <w:tcBorders>
              <w:bottom w:val="double" w:sz="4" w:space="0" w:color="auto"/>
              <w:right w:val="double" w:sz="4" w:space="0" w:color="auto"/>
            </w:tcBorders>
            <w:shd w:val="clear" w:color="auto" w:fill="CCFFCC"/>
            <w:noWrap/>
            <w:vAlign w:val="center"/>
          </w:tcPr>
          <w:p w:rsidR="00DF2F67" w:rsidRPr="00D55DC6" w:rsidRDefault="00DF2F67" w:rsidP="00FA7F7B">
            <w:pPr>
              <w:widowControl/>
              <w:adjustRightInd w:val="0"/>
              <w:snapToGrid w:val="0"/>
              <w:rPr>
                <w:rFonts w:eastAsia="標楷體"/>
                <w:spacing w:val="-6"/>
                <w:kern w:val="0"/>
                <w:sz w:val="16"/>
                <w:szCs w:val="16"/>
                <w:lang w:bidi="hi-IN"/>
              </w:rPr>
            </w:pPr>
          </w:p>
        </w:tc>
      </w:tr>
      <w:tr w:rsidR="001D0350" w:rsidRPr="00D55DC6" w:rsidTr="00FA7F7B">
        <w:trPr>
          <w:trHeight w:val="97"/>
          <w:jc w:val="center"/>
        </w:trPr>
        <w:tc>
          <w:tcPr>
            <w:tcW w:w="536" w:type="dxa"/>
            <w:vMerge w:val="restart"/>
            <w:tcBorders>
              <w:top w:val="double" w:sz="4" w:space="0" w:color="auto"/>
              <w:left w:val="double" w:sz="4" w:space="0" w:color="auto"/>
            </w:tcBorders>
            <w:noWrap/>
            <w:textDirection w:val="tbRlV"/>
            <w:vAlign w:val="center"/>
          </w:tcPr>
          <w:p w:rsidR="00DF2F67" w:rsidRPr="00D55DC6" w:rsidRDefault="00DF2F67" w:rsidP="00FA7F7B">
            <w:pPr>
              <w:widowControl/>
              <w:adjustRightInd w:val="0"/>
              <w:snapToGrid w:val="0"/>
              <w:spacing w:line="260" w:lineRule="exact"/>
              <w:jc w:val="center"/>
              <w:rPr>
                <w:rFonts w:eastAsia="標楷體"/>
                <w:kern w:val="0"/>
                <w:sz w:val="20"/>
                <w:szCs w:val="20"/>
                <w:lang w:bidi="hi-IN"/>
              </w:rPr>
            </w:pPr>
            <w:r w:rsidRPr="00D55DC6">
              <w:rPr>
                <w:rFonts w:eastAsia="標楷體"/>
                <w:kern w:val="0"/>
                <w:sz w:val="20"/>
                <w:szCs w:val="20"/>
                <w:lang w:bidi="hi-IN"/>
              </w:rPr>
              <w:t>工程投入</w:t>
            </w:r>
          </w:p>
        </w:tc>
        <w:tc>
          <w:tcPr>
            <w:tcW w:w="214" w:type="dxa"/>
            <w:tcBorders>
              <w:top w:val="double" w:sz="4" w:space="0" w:color="auto"/>
            </w:tcBorders>
            <w:noWrap/>
            <w:vAlign w:val="center"/>
          </w:tcPr>
          <w:p w:rsidR="00DF2F67" w:rsidRPr="00D55DC6" w:rsidRDefault="00DF2F67" w:rsidP="009D33BA">
            <w:pPr>
              <w:widowControl/>
              <w:adjustRightInd w:val="0"/>
              <w:snapToGrid w:val="0"/>
              <w:spacing w:beforeLines="5" w:before="18" w:afterLines="5" w:after="18"/>
              <w:jc w:val="right"/>
              <w:rPr>
                <w:rFonts w:eastAsia="標楷體"/>
                <w:spacing w:val="-10"/>
                <w:kern w:val="0"/>
                <w:sz w:val="16"/>
                <w:szCs w:val="16"/>
                <w:lang w:bidi="hi-IN"/>
              </w:rPr>
            </w:pPr>
            <w:r w:rsidRPr="00D55DC6">
              <w:rPr>
                <w:rFonts w:eastAsia="標楷體"/>
                <w:spacing w:val="-10"/>
                <w:kern w:val="0"/>
                <w:sz w:val="16"/>
                <w:szCs w:val="16"/>
                <w:lang w:bidi="hi-IN"/>
              </w:rPr>
              <w:t>1</w:t>
            </w:r>
          </w:p>
        </w:tc>
        <w:tc>
          <w:tcPr>
            <w:tcW w:w="2623" w:type="dxa"/>
            <w:tcBorders>
              <w:top w:val="double" w:sz="4" w:space="0" w:color="auto"/>
            </w:tcBorders>
            <w:noWrap/>
            <w:vAlign w:val="center"/>
          </w:tcPr>
          <w:p w:rsidR="00DF2F67" w:rsidRPr="00D55DC6" w:rsidRDefault="00DF2F67" w:rsidP="009D33BA">
            <w:pPr>
              <w:widowControl/>
              <w:adjustRightInd w:val="0"/>
              <w:snapToGrid w:val="0"/>
              <w:spacing w:beforeLines="5" w:before="18" w:afterLines="5" w:after="18"/>
              <w:rPr>
                <w:rFonts w:eastAsia="標楷體"/>
                <w:spacing w:val="-6"/>
                <w:kern w:val="0"/>
                <w:sz w:val="20"/>
                <w:szCs w:val="20"/>
                <w:lang w:bidi="hi-IN"/>
              </w:rPr>
            </w:pPr>
            <w:r w:rsidRPr="00D55DC6">
              <w:rPr>
                <w:rFonts w:eastAsia="標楷體"/>
                <w:spacing w:val="-6"/>
                <w:kern w:val="0"/>
                <w:sz w:val="20"/>
                <w:szCs w:val="20"/>
                <w:lang w:bidi="hi-IN"/>
              </w:rPr>
              <w:t>環灣道路第二車道工程</w:t>
            </w:r>
          </w:p>
        </w:tc>
        <w:tc>
          <w:tcPr>
            <w:tcW w:w="593" w:type="dxa"/>
            <w:tcBorders>
              <w:top w:val="double" w:sz="4"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81,800</w:t>
            </w:r>
          </w:p>
        </w:tc>
        <w:tc>
          <w:tcPr>
            <w:tcW w:w="601" w:type="dxa"/>
            <w:tcBorders>
              <w:top w:val="double" w:sz="4" w:space="0" w:color="auto"/>
              <w:right w:val="single" w:sz="12" w:space="0" w:color="auto"/>
            </w:tcBorders>
            <w:vAlign w:val="center"/>
          </w:tcPr>
          <w:p w:rsidR="00DF2F67" w:rsidRPr="00D55DC6" w:rsidRDefault="00DF2F67" w:rsidP="00FA7F7B">
            <w:pPr>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45,000</w:t>
            </w:r>
          </w:p>
        </w:tc>
        <w:tc>
          <w:tcPr>
            <w:tcW w:w="593" w:type="dxa"/>
            <w:tcBorders>
              <w:top w:val="double" w:sz="4" w:space="0" w:color="auto"/>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top w:val="double" w:sz="4"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28" w:type="dxa"/>
            <w:tcBorders>
              <w:top w:val="double" w:sz="4"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top w:val="double" w:sz="4" w:space="0" w:color="auto"/>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top w:val="double" w:sz="4" w:space="0" w:color="auto"/>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top w:val="double" w:sz="4"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2" w:type="dxa"/>
            <w:tcBorders>
              <w:top w:val="double" w:sz="4"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4" w:type="dxa"/>
            <w:tcBorders>
              <w:top w:val="double" w:sz="4" w:space="0" w:color="auto"/>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top w:val="double" w:sz="4" w:space="0" w:color="auto"/>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390" w:type="dxa"/>
            <w:tcBorders>
              <w:top w:val="double" w:sz="4" w:space="0" w:color="auto"/>
            </w:tcBorders>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服務</w:t>
            </w:r>
          </w:p>
        </w:tc>
        <w:tc>
          <w:tcPr>
            <w:tcW w:w="406" w:type="dxa"/>
            <w:tcBorders>
              <w:top w:val="double" w:sz="4" w:space="0" w:color="auto"/>
              <w:right w:val="double" w:sz="4" w:space="0" w:color="auto"/>
            </w:tcBorders>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國際</w:t>
            </w:r>
          </w:p>
        </w:tc>
      </w:tr>
      <w:tr w:rsidR="001D0350" w:rsidRPr="00D55DC6" w:rsidTr="00FA7F7B">
        <w:trPr>
          <w:trHeight w:val="97"/>
          <w:jc w:val="center"/>
        </w:trPr>
        <w:tc>
          <w:tcPr>
            <w:tcW w:w="536" w:type="dxa"/>
            <w:vMerge/>
            <w:tcBorders>
              <w:left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14" w:type="dxa"/>
            <w:shd w:val="clear" w:color="auto" w:fill="FFFF99"/>
            <w:noWrap/>
            <w:vAlign w:val="center"/>
          </w:tcPr>
          <w:p w:rsidR="00DF2F67" w:rsidRPr="00D55DC6" w:rsidRDefault="00DF2F67" w:rsidP="009D33BA">
            <w:pPr>
              <w:widowControl/>
              <w:adjustRightInd w:val="0"/>
              <w:snapToGrid w:val="0"/>
              <w:spacing w:beforeLines="5" w:before="18" w:afterLines="5" w:after="18"/>
              <w:jc w:val="right"/>
              <w:rPr>
                <w:rFonts w:eastAsia="標楷體"/>
                <w:spacing w:val="-10"/>
                <w:kern w:val="0"/>
                <w:sz w:val="16"/>
                <w:szCs w:val="16"/>
                <w:lang w:bidi="hi-IN"/>
              </w:rPr>
            </w:pPr>
            <w:r w:rsidRPr="00D55DC6">
              <w:rPr>
                <w:rFonts w:eastAsia="標楷體"/>
                <w:spacing w:val="-10"/>
                <w:kern w:val="0"/>
                <w:sz w:val="16"/>
                <w:szCs w:val="16"/>
                <w:lang w:bidi="hi-IN"/>
              </w:rPr>
              <w:t>2</w:t>
            </w:r>
          </w:p>
        </w:tc>
        <w:tc>
          <w:tcPr>
            <w:tcW w:w="2623" w:type="dxa"/>
            <w:shd w:val="clear" w:color="auto" w:fill="FFFF99"/>
            <w:vAlign w:val="center"/>
          </w:tcPr>
          <w:p w:rsidR="00DF2F67" w:rsidRPr="00D55DC6" w:rsidRDefault="00DF2F67" w:rsidP="009D33BA">
            <w:pPr>
              <w:widowControl/>
              <w:adjustRightInd w:val="0"/>
              <w:snapToGrid w:val="0"/>
              <w:spacing w:beforeLines="5" w:before="18" w:afterLines="5" w:after="18"/>
              <w:rPr>
                <w:rFonts w:eastAsia="標楷體"/>
                <w:spacing w:val="-6"/>
                <w:kern w:val="0"/>
                <w:sz w:val="20"/>
                <w:szCs w:val="20"/>
                <w:lang w:bidi="hi-IN"/>
              </w:rPr>
            </w:pPr>
            <w:r w:rsidRPr="00D55DC6">
              <w:rPr>
                <w:rFonts w:eastAsia="標楷體"/>
                <w:spacing w:val="-6"/>
                <w:kern w:val="0"/>
                <w:sz w:val="20"/>
                <w:szCs w:val="20"/>
                <w:lang w:bidi="hi-IN"/>
              </w:rPr>
              <w:t>濱灣遊客中心及</w:t>
            </w:r>
            <w:r w:rsidR="00397CE7" w:rsidRPr="00D55DC6">
              <w:rPr>
                <w:rFonts w:eastAsia="標楷體"/>
                <w:spacing w:val="-6"/>
                <w:kern w:val="0"/>
                <w:sz w:val="20"/>
                <w:szCs w:val="20"/>
                <w:lang w:bidi="hi-IN"/>
              </w:rPr>
              <w:t>周邊</w:t>
            </w:r>
            <w:r w:rsidRPr="00D55DC6">
              <w:rPr>
                <w:rFonts w:eastAsia="標楷體"/>
                <w:spacing w:val="-6"/>
                <w:kern w:val="0"/>
                <w:sz w:val="20"/>
                <w:szCs w:val="20"/>
                <w:lang w:bidi="hi-IN"/>
              </w:rPr>
              <w:t>設施</w:t>
            </w: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1" w:type="dxa"/>
            <w:tcBorders>
              <w:right w:val="single" w:sz="12" w:space="0" w:color="auto"/>
            </w:tcBorders>
            <w:shd w:val="clear" w:color="auto" w:fill="FFFF99"/>
            <w:vAlign w:val="center"/>
          </w:tcPr>
          <w:p w:rsidR="00DF2F67" w:rsidRPr="00D55DC6" w:rsidRDefault="00DF2F67" w:rsidP="00FA7F7B">
            <w:pPr>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45,000</w:t>
            </w: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28"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righ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2"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4" w:type="dxa"/>
            <w:tcBorders>
              <w:righ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390" w:type="dxa"/>
            <w:shd w:val="clear" w:color="auto" w:fill="FFFF99"/>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投資</w:t>
            </w:r>
          </w:p>
        </w:tc>
        <w:tc>
          <w:tcPr>
            <w:tcW w:w="406" w:type="dxa"/>
            <w:tcBorders>
              <w:right w:val="double" w:sz="4" w:space="0" w:color="auto"/>
            </w:tcBorders>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國際</w:t>
            </w:r>
          </w:p>
        </w:tc>
      </w:tr>
      <w:tr w:rsidR="001D0350" w:rsidRPr="00D55DC6" w:rsidTr="00FA7F7B">
        <w:trPr>
          <w:trHeight w:val="97"/>
          <w:jc w:val="center"/>
        </w:trPr>
        <w:tc>
          <w:tcPr>
            <w:tcW w:w="536" w:type="dxa"/>
            <w:vMerge/>
            <w:tcBorders>
              <w:left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14" w:type="dxa"/>
            <w:noWrap/>
            <w:vAlign w:val="center"/>
          </w:tcPr>
          <w:p w:rsidR="00DF2F67" w:rsidRPr="00D55DC6" w:rsidRDefault="00DF2F67" w:rsidP="009D33BA">
            <w:pPr>
              <w:widowControl/>
              <w:adjustRightInd w:val="0"/>
              <w:snapToGrid w:val="0"/>
              <w:spacing w:beforeLines="5" w:before="18" w:afterLines="5" w:after="18"/>
              <w:jc w:val="right"/>
              <w:rPr>
                <w:rFonts w:eastAsia="標楷體"/>
                <w:spacing w:val="-10"/>
                <w:kern w:val="0"/>
                <w:sz w:val="16"/>
                <w:szCs w:val="16"/>
                <w:lang w:bidi="hi-IN"/>
              </w:rPr>
            </w:pPr>
            <w:r w:rsidRPr="00D55DC6">
              <w:rPr>
                <w:rFonts w:eastAsia="標楷體"/>
                <w:spacing w:val="-10"/>
                <w:kern w:val="0"/>
                <w:sz w:val="16"/>
                <w:szCs w:val="16"/>
                <w:lang w:bidi="hi-IN"/>
              </w:rPr>
              <w:t>3</w:t>
            </w:r>
          </w:p>
        </w:tc>
        <w:tc>
          <w:tcPr>
            <w:tcW w:w="2623" w:type="dxa"/>
            <w:noWrap/>
            <w:vAlign w:val="center"/>
          </w:tcPr>
          <w:p w:rsidR="00DF2F67" w:rsidRPr="00D55DC6" w:rsidRDefault="00DF2F67" w:rsidP="009D33BA">
            <w:pPr>
              <w:widowControl/>
              <w:adjustRightInd w:val="0"/>
              <w:snapToGrid w:val="0"/>
              <w:spacing w:beforeLines="5" w:before="18" w:afterLines="5" w:after="18"/>
              <w:rPr>
                <w:rFonts w:eastAsia="標楷體"/>
                <w:spacing w:val="-6"/>
                <w:kern w:val="0"/>
                <w:sz w:val="20"/>
                <w:szCs w:val="20"/>
                <w:lang w:bidi="hi-IN"/>
              </w:rPr>
            </w:pPr>
            <w:r w:rsidRPr="00D55DC6">
              <w:rPr>
                <w:rFonts w:eastAsia="標楷體"/>
                <w:spacing w:val="-6"/>
                <w:kern w:val="0"/>
                <w:sz w:val="20"/>
                <w:szCs w:val="20"/>
                <w:lang w:bidi="hi-IN"/>
              </w:rPr>
              <w:t>潮口北導流堤及養灘保護</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56,000</w:t>
            </w:r>
          </w:p>
        </w:tc>
        <w:tc>
          <w:tcPr>
            <w:tcW w:w="601" w:type="dxa"/>
            <w:tcBorders>
              <w:right w:val="single" w:sz="12" w:space="0" w:color="auto"/>
            </w:tcBorders>
            <w:vAlign w:val="center"/>
          </w:tcPr>
          <w:p w:rsidR="00DF2F67" w:rsidRPr="00D55DC6" w:rsidRDefault="00DF2F67" w:rsidP="00FA7F7B">
            <w:pPr>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28"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2"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4" w:type="dxa"/>
            <w:tcBorders>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390" w:type="dxa"/>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服務</w:t>
            </w:r>
          </w:p>
        </w:tc>
        <w:tc>
          <w:tcPr>
            <w:tcW w:w="406" w:type="dxa"/>
            <w:tcBorders>
              <w:right w:val="double" w:sz="4" w:space="0" w:color="auto"/>
            </w:tcBorders>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國際</w:t>
            </w:r>
          </w:p>
        </w:tc>
      </w:tr>
      <w:tr w:rsidR="001D0350" w:rsidRPr="00D55DC6" w:rsidTr="00FA7F7B">
        <w:trPr>
          <w:trHeight w:val="97"/>
          <w:jc w:val="center"/>
        </w:trPr>
        <w:tc>
          <w:tcPr>
            <w:tcW w:w="536" w:type="dxa"/>
            <w:vMerge/>
            <w:tcBorders>
              <w:left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14"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w:t>
            </w:r>
          </w:p>
        </w:tc>
        <w:tc>
          <w:tcPr>
            <w:tcW w:w="2623" w:type="dxa"/>
            <w:shd w:val="clear" w:color="auto" w:fill="FFFF99"/>
            <w:noWrap/>
            <w:vAlign w:val="center"/>
          </w:tcPr>
          <w:p w:rsidR="00DF2F67" w:rsidRPr="00D55DC6" w:rsidRDefault="00DF2F67" w:rsidP="00FA7F7B">
            <w:pPr>
              <w:widowControl/>
              <w:adjustRightInd w:val="0"/>
              <w:snapToGrid w:val="0"/>
              <w:rPr>
                <w:rFonts w:eastAsia="標楷體"/>
                <w:spacing w:val="-6"/>
                <w:kern w:val="0"/>
                <w:sz w:val="20"/>
                <w:szCs w:val="20"/>
                <w:lang w:bidi="hi-IN"/>
              </w:rPr>
            </w:pPr>
            <w:r w:rsidRPr="00D55DC6">
              <w:rPr>
                <w:rFonts w:eastAsia="標楷體"/>
                <w:spacing w:val="-6"/>
                <w:kern w:val="0"/>
                <w:sz w:val="20"/>
                <w:szCs w:val="20"/>
                <w:lang w:bidi="hi-IN"/>
              </w:rPr>
              <w:t>濱灣公園及外堤護岸休憩區</w:t>
            </w:r>
          </w:p>
          <w:p w:rsidR="00DF2F67" w:rsidRPr="00D55DC6" w:rsidRDefault="00DF2F67" w:rsidP="00FA7F7B">
            <w:pPr>
              <w:widowControl/>
              <w:adjustRightInd w:val="0"/>
              <w:snapToGrid w:val="0"/>
              <w:rPr>
                <w:rFonts w:eastAsia="標楷體"/>
                <w:spacing w:val="-6"/>
                <w:kern w:val="0"/>
                <w:sz w:val="20"/>
                <w:szCs w:val="20"/>
                <w:lang w:bidi="hi-IN"/>
              </w:rPr>
            </w:pPr>
            <w:r w:rsidRPr="00D55DC6">
              <w:rPr>
                <w:rFonts w:eastAsia="標楷體"/>
                <w:spacing w:val="-6"/>
                <w:kern w:val="0"/>
                <w:sz w:val="20"/>
                <w:szCs w:val="20"/>
                <w:lang w:bidi="hi-IN"/>
              </w:rPr>
              <w:t>新建工程</w:t>
            </w: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1" w:type="dxa"/>
            <w:tcBorders>
              <w:right w:val="single" w:sz="12" w:space="0" w:color="auto"/>
            </w:tcBorders>
            <w:shd w:val="clear" w:color="auto" w:fill="FFFF99"/>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210,000</w:t>
            </w: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245,000</w:t>
            </w:r>
          </w:p>
        </w:tc>
        <w:tc>
          <w:tcPr>
            <w:tcW w:w="628"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50,000</w:t>
            </w:r>
          </w:p>
        </w:tc>
        <w:tc>
          <w:tcPr>
            <w:tcW w:w="593" w:type="dxa"/>
            <w:tcBorders>
              <w:righ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2"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4" w:type="dxa"/>
            <w:tcBorders>
              <w:righ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390" w:type="dxa"/>
            <w:shd w:val="clear" w:color="auto" w:fill="FFFF99"/>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投資</w:t>
            </w:r>
          </w:p>
        </w:tc>
        <w:tc>
          <w:tcPr>
            <w:tcW w:w="406" w:type="dxa"/>
            <w:tcBorders>
              <w:right w:val="double" w:sz="4" w:space="0" w:color="auto"/>
            </w:tcBorders>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國際</w:t>
            </w:r>
          </w:p>
        </w:tc>
      </w:tr>
      <w:tr w:rsidR="001D0350" w:rsidRPr="00D55DC6" w:rsidTr="00FA7F7B">
        <w:trPr>
          <w:trHeight w:val="201"/>
          <w:jc w:val="center"/>
        </w:trPr>
        <w:tc>
          <w:tcPr>
            <w:tcW w:w="536" w:type="dxa"/>
            <w:vMerge/>
            <w:tcBorders>
              <w:left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14"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5</w:t>
            </w:r>
          </w:p>
        </w:tc>
        <w:tc>
          <w:tcPr>
            <w:tcW w:w="2623" w:type="dxa"/>
            <w:noWrap/>
            <w:vAlign w:val="center"/>
          </w:tcPr>
          <w:p w:rsidR="00DF2F67" w:rsidRPr="00D55DC6" w:rsidRDefault="00DF2F67" w:rsidP="009D33BA">
            <w:pPr>
              <w:widowControl/>
              <w:adjustRightInd w:val="0"/>
              <w:snapToGrid w:val="0"/>
              <w:spacing w:beforeLines="5" w:before="18" w:afterLines="5" w:after="18"/>
              <w:rPr>
                <w:rFonts w:eastAsia="標楷體"/>
                <w:spacing w:val="-6"/>
                <w:kern w:val="0"/>
                <w:sz w:val="20"/>
                <w:szCs w:val="20"/>
                <w:lang w:bidi="hi-IN"/>
              </w:rPr>
            </w:pPr>
            <w:r w:rsidRPr="00D55DC6">
              <w:rPr>
                <w:rFonts w:eastAsia="標楷體"/>
                <w:spacing w:val="-6"/>
                <w:kern w:val="0"/>
                <w:sz w:val="20"/>
                <w:szCs w:val="20"/>
                <w:lang w:bidi="hi-IN"/>
              </w:rPr>
              <w:t>潮口及主航道疏浚工程</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1" w:type="dxa"/>
            <w:tcBorders>
              <w:right w:val="single" w:sz="12" w:space="0" w:color="auto"/>
            </w:tcBorders>
            <w:vAlign w:val="center"/>
          </w:tcPr>
          <w:p w:rsidR="00DF2F67" w:rsidRPr="00D55DC6" w:rsidRDefault="00DF2F67" w:rsidP="00FA7F7B">
            <w:pPr>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30,000</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30,000</w:t>
            </w:r>
          </w:p>
        </w:tc>
        <w:tc>
          <w:tcPr>
            <w:tcW w:w="628"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30,000</w:t>
            </w:r>
          </w:p>
        </w:tc>
        <w:tc>
          <w:tcPr>
            <w:tcW w:w="593" w:type="dxa"/>
            <w:tcBorders>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30,000</w:t>
            </w: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602"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604" w:type="dxa"/>
            <w:tcBorders>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390" w:type="dxa"/>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服務</w:t>
            </w:r>
          </w:p>
        </w:tc>
        <w:tc>
          <w:tcPr>
            <w:tcW w:w="406" w:type="dxa"/>
            <w:tcBorders>
              <w:right w:val="double" w:sz="4" w:space="0" w:color="auto"/>
            </w:tcBorders>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國際</w:t>
            </w:r>
          </w:p>
        </w:tc>
      </w:tr>
      <w:tr w:rsidR="001D0350" w:rsidRPr="00D55DC6" w:rsidTr="00FA7F7B">
        <w:trPr>
          <w:trHeight w:val="97"/>
          <w:jc w:val="center"/>
        </w:trPr>
        <w:tc>
          <w:tcPr>
            <w:tcW w:w="536" w:type="dxa"/>
            <w:vMerge/>
            <w:tcBorders>
              <w:left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14"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6</w:t>
            </w:r>
          </w:p>
        </w:tc>
        <w:tc>
          <w:tcPr>
            <w:tcW w:w="2623" w:type="dxa"/>
            <w:noWrap/>
            <w:vAlign w:val="center"/>
          </w:tcPr>
          <w:p w:rsidR="00DF2F67" w:rsidRPr="00D55DC6" w:rsidRDefault="00DF2F67" w:rsidP="009D33BA">
            <w:pPr>
              <w:widowControl/>
              <w:adjustRightInd w:val="0"/>
              <w:snapToGrid w:val="0"/>
              <w:spacing w:beforeLines="5" w:before="18" w:afterLines="5" w:after="18"/>
              <w:rPr>
                <w:rFonts w:eastAsia="標楷體"/>
                <w:spacing w:val="-6"/>
                <w:kern w:val="0"/>
                <w:sz w:val="20"/>
                <w:szCs w:val="20"/>
                <w:lang w:bidi="hi-IN"/>
              </w:rPr>
            </w:pPr>
            <w:r w:rsidRPr="00D55DC6">
              <w:rPr>
                <w:rFonts w:eastAsia="標楷體"/>
                <w:spacing w:val="-6"/>
                <w:kern w:val="0"/>
                <w:sz w:val="20"/>
                <w:szCs w:val="20"/>
                <w:lang w:bidi="hi-IN"/>
              </w:rPr>
              <w:t>環灣綠帶及周邊景觀改善</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1" w:type="dxa"/>
            <w:tcBorders>
              <w:right w:val="single" w:sz="12" w:space="0" w:color="auto"/>
            </w:tcBorders>
            <w:vAlign w:val="center"/>
          </w:tcPr>
          <w:p w:rsidR="00DF2F67" w:rsidRPr="00D55DC6" w:rsidRDefault="00DF2F67" w:rsidP="00FA7F7B">
            <w:pPr>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628"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50,000</w:t>
            </w:r>
          </w:p>
        </w:tc>
        <w:tc>
          <w:tcPr>
            <w:tcW w:w="593" w:type="dxa"/>
            <w:tcBorders>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50,000</w:t>
            </w: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602"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604" w:type="dxa"/>
            <w:tcBorders>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390" w:type="dxa"/>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服務</w:t>
            </w:r>
          </w:p>
        </w:tc>
        <w:tc>
          <w:tcPr>
            <w:tcW w:w="406" w:type="dxa"/>
            <w:tcBorders>
              <w:right w:val="double" w:sz="4" w:space="0" w:color="auto"/>
            </w:tcBorders>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國際</w:t>
            </w:r>
          </w:p>
        </w:tc>
      </w:tr>
      <w:tr w:rsidR="001D0350" w:rsidRPr="00D55DC6" w:rsidTr="00FA7F7B">
        <w:trPr>
          <w:trHeight w:val="97"/>
          <w:jc w:val="center"/>
        </w:trPr>
        <w:tc>
          <w:tcPr>
            <w:tcW w:w="536" w:type="dxa"/>
            <w:vMerge/>
            <w:tcBorders>
              <w:left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14"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7</w:t>
            </w:r>
          </w:p>
        </w:tc>
        <w:tc>
          <w:tcPr>
            <w:tcW w:w="2623" w:type="dxa"/>
            <w:shd w:val="clear" w:color="auto" w:fill="FFFF99"/>
            <w:noWrap/>
            <w:vAlign w:val="center"/>
          </w:tcPr>
          <w:p w:rsidR="00DF2F67" w:rsidRPr="00D55DC6" w:rsidRDefault="00DF2F67" w:rsidP="009D33BA">
            <w:pPr>
              <w:widowControl/>
              <w:adjustRightInd w:val="0"/>
              <w:snapToGrid w:val="0"/>
              <w:spacing w:beforeLines="5" w:before="18" w:afterLines="5" w:after="18"/>
              <w:rPr>
                <w:rFonts w:eastAsia="標楷體"/>
                <w:spacing w:val="-6"/>
                <w:kern w:val="0"/>
                <w:sz w:val="20"/>
                <w:szCs w:val="20"/>
                <w:lang w:bidi="hi-IN"/>
              </w:rPr>
            </w:pPr>
            <w:r w:rsidRPr="00D55DC6">
              <w:rPr>
                <w:rFonts w:eastAsia="標楷體"/>
                <w:spacing w:val="-6"/>
                <w:kern w:val="0"/>
                <w:sz w:val="20"/>
                <w:szCs w:val="20"/>
                <w:lang w:bidi="hi-IN"/>
              </w:rPr>
              <w:t>濕地服務設施改善工程</w:t>
            </w: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1" w:type="dxa"/>
            <w:tcBorders>
              <w:right w:val="single" w:sz="12" w:space="0" w:color="auto"/>
            </w:tcBorders>
            <w:shd w:val="clear" w:color="auto" w:fill="FFFF99"/>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628"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593" w:type="dxa"/>
            <w:tcBorders>
              <w:righ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5,000</w:t>
            </w: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5,000</w:t>
            </w:r>
          </w:p>
        </w:tc>
        <w:tc>
          <w:tcPr>
            <w:tcW w:w="602"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5,000</w:t>
            </w:r>
          </w:p>
        </w:tc>
        <w:tc>
          <w:tcPr>
            <w:tcW w:w="604" w:type="dxa"/>
            <w:tcBorders>
              <w:righ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5,000</w:t>
            </w: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5,000</w:t>
            </w:r>
          </w:p>
        </w:tc>
        <w:tc>
          <w:tcPr>
            <w:tcW w:w="390" w:type="dxa"/>
            <w:shd w:val="clear" w:color="auto" w:fill="FFFF99"/>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投資</w:t>
            </w:r>
          </w:p>
        </w:tc>
        <w:tc>
          <w:tcPr>
            <w:tcW w:w="406" w:type="dxa"/>
            <w:tcBorders>
              <w:right w:val="double" w:sz="4" w:space="0" w:color="auto"/>
            </w:tcBorders>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國際</w:t>
            </w:r>
          </w:p>
        </w:tc>
      </w:tr>
      <w:tr w:rsidR="001D0350" w:rsidRPr="00D55DC6" w:rsidTr="00FA7F7B">
        <w:trPr>
          <w:trHeight w:val="97"/>
          <w:jc w:val="center"/>
        </w:trPr>
        <w:tc>
          <w:tcPr>
            <w:tcW w:w="536" w:type="dxa"/>
            <w:vMerge/>
            <w:tcBorders>
              <w:left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14"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8</w:t>
            </w:r>
          </w:p>
        </w:tc>
        <w:tc>
          <w:tcPr>
            <w:tcW w:w="2623" w:type="dxa"/>
            <w:noWrap/>
            <w:vAlign w:val="center"/>
          </w:tcPr>
          <w:p w:rsidR="00DF2F67" w:rsidRPr="00D55DC6" w:rsidRDefault="00DF2F67" w:rsidP="009D33BA">
            <w:pPr>
              <w:widowControl/>
              <w:adjustRightInd w:val="0"/>
              <w:snapToGrid w:val="0"/>
              <w:spacing w:beforeLines="5" w:before="18" w:afterLines="5" w:after="18"/>
              <w:rPr>
                <w:rFonts w:eastAsia="標楷體"/>
                <w:spacing w:val="-6"/>
                <w:kern w:val="0"/>
                <w:sz w:val="20"/>
                <w:szCs w:val="20"/>
                <w:lang w:bidi="hi-IN"/>
              </w:rPr>
            </w:pPr>
            <w:r w:rsidRPr="00D55DC6">
              <w:rPr>
                <w:rFonts w:eastAsia="標楷體"/>
                <w:spacing w:val="-6"/>
                <w:kern w:val="0"/>
                <w:sz w:val="20"/>
                <w:szCs w:val="20"/>
                <w:lang w:bidi="hi-IN"/>
              </w:rPr>
              <w:t>潮口灣域護岸工程</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1" w:type="dxa"/>
            <w:tcBorders>
              <w:right w:val="single" w:sz="12" w:space="0" w:color="auto"/>
            </w:tcBorders>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28"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60,000</w:t>
            </w:r>
          </w:p>
        </w:tc>
        <w:tc>
          <w:tcPr>
            <w:tcW w:w="593" w:type="dxa"/>
            <w:tcBorders>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602"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4" w:type="dxa"/>
            <w:tcBorders>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390" w:type="dxa"/>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服務</w:t>
            </w:r>
          </w:p>
        </w:tc>
        <w:tc>
          <w:tcPr>
            <w:tcW w:w="406" w:type="dxa"/>
            <w:tcBorders>
              <w:right w:val="double" w:sz="4" w:space="0" w:color="auto"/>
            </w:tcBorders>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國際</w:t>
            </w:r>
          </w:p>
        </w:tc>
      </w:tr>
      <w:tr w:rsidR="001D0350" w:rsidRPr="00D55DC6" w:rsidTr="00FA7F7B">
        <w:trPr>
          <w:trHeight w:val="119"/>
          <w:jc w:val="center"/>
        </w:trPr>
        <w:tc>
          <w:tcPr>
            <w:tcW w:w="536" w:type="dxa"/>
            <w:vMerge/>
            <w:tcBorders>
              <w:left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14"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9</w:t>
            </w:r>
          </w:p>
        </w:tc>
        <w:tc>
          <w:tcPr>
            <w:tcW w:w="2623" w:type="dxa"/>
            <w:shd w:val="clear" w:color="auto" w:fill="FFFF99"/>
            <w:noWrap/>
            <w:vAlign w:val="center"/>
          </w:tcPr>
          <w:p w:rsidR="00DF2F67" w:rsidRPr="00D55DC6" w:rsidRDefault="00DF2F67" w:rsidP="009D33BA">
            <w:pPr>
              <w:widowControl/>
              <w:adjustRightInd w:val="0"/>
              <w:snapToGrid w:val="0"/>
              <w:spacing w:beforeLines="5" w:before="18" w:afterLines="5" w:after="18"/>
              <w:rPr>
                <w:rFonts w:eastAsia="標楷體"/>
                <w:spacing w:val="-6"/>
                <w:kern w:val="0"/>
                <w:sz w:val="20"/>
                <w:szCs w:val="20"/>
                <w:lang w:bidi="hi-IN"/>
              </w:rPr>
            </w:pPr>
            <w:r w:rsidRPr="00D55DC6">
              <w:rPr>
                <w:rFonts w:eastAsia="標楷體"/>
                <w:spacing w:val="-6"/>
                <w:kern w:val="0"/>
                <w:sz w:val="20"/>
                <w:szCs w:val="20"/>
                <w:lang w:bidi="hi-IN"/>
              </w:rPr>
              <w:t>潮口遊憩服務設施改善工程</w:t>
            </w: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1" w:type="dxa"/>
            <w:tcBorders>
              <w:right w:val="single" w:sz="12" w:space="0" w:color="auto"/>
            </w:tcBorders>
            <w:shd w:val="clear" w:color="auto" w:fill="FFFF99"/>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28"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righ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60,000</w:t>
            </w: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2"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604" w:type="dxa"/>
            <w:tcBorders>
              <w:righ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390" w:type="dxa"/>
            <w:shd w:val="clear" w:color="auto" w:fill="FFFF99"/>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投資</w:t>
            </w:r>
          </w:p>
        </w:tc>
        <w:tc>
          <w:tcPr>
            <w:tcW w:w="406" w:type="dxa"/>
            <w:tcBorders>
              <w:right w:val="double" w:sz="4" w:space="0" w:color="auto"/>
            </w:tcBorders>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國際</w:t>
            </w:r>
          </w:p>
        </w:tc>
      </w:tr>
      <w:tr w:rsidR="001D0350" w:rsidRPr="00D55DC6" w:rsidTr="00FA7F7B">
        <w:trPr>
          <w:trHeight w:val="97"/>
          <w:jc w:val="center"/>
        </w:trPr>
        <w:tc>
          <w:tcPr>
            <w:tcW w:w="536" w:type="dxa"/>
            <w:vMerge/>
            <w:tcBorders>
              <w:left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14"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w:t>
            </w:r>
          </w:p>
        </w:tc>
        <w:tc>
          <w:tcPr>
            <w:tcW w:w="2623" w:type="dxa"/>
            <w:shd w:val="clear" w:color="auto" w:fill="FFFF99"/>
            <w:noWrap/>
            <w:vAlign w:val="center"/>
          </w:tcPr>
          <w:p w:rsidR="00DF2F67" w:rsidRPr="00D55DC6" w:rsidRDefault="00DF2F67" w:rsidP="009D33BA">
            <w:pPr>
              <w:widowControl/>
              <w:adjustRightInd w:val="0"/>
              <w:snapToGrid w:val="0"/>
              <w:spacing w:beforeLines="5" w:before="18" w:afterLines="5" w:after="18"/>
              <w:rPr>
                <w:rFonts w:eastAsia="標楷體"/>
                <w:spacing w:val="-6"/>
                <w:kern w:val="0"/>
                <w:sz w:val="20"/>
                <w:szCs w:val="20"/>
                <w:lang w:bidi="hi-IN"/>
              </w:rPr>
            </w:pPr>
            <w:r w:rsidRPr="00D55DC6">
              <w:rPr>
                <w:rFonts w:eastAsia="標楷體"/>
                <w:spacing w:val="-6"/>
                <w:kern w:val="0"/>
                <w:sz w:val="20"/>
                <w:szCs w:val="20"/>
                <w:lang w:bidi="hi-IN"/>
              </w:rPr>
              <w:t>青洲濱海遊憩區服務設施改善工程</w:t>
            </w: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1" w:type="dxa"/>
            <w:tcBorders>
              <w:right w:val="single" w:sz="12" w:space="0" w:color="auto"/>
            </w:tcBorders>
            <w:shd w:val="clear" w:color="auto" w:fill="FFFF99"/>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30,000</w:t>
            </w: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30,000</w:t>
            </w:r>
          </w:p>
        </w:tc>
        <w:tc>
          <w:tcPr>
            <w:tcW w:w="628"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593" w:type="dxa"/>
            <w:tcBorders>
              <w:righ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602"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4" w:type="dxa"/>
            <w:tcBorders>
              <w:righ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390" w:type="dxa"/>
            <w:shd w:val="clear" w:color="auto" w:fill="FFFF99"/>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投資</w:t>
            </w:r>
          </w:p>
        </w:tc>
        <w:tc>
          <w:tcPr>
            <w:tcW w:w="406" w:type="dxa"/>
            <w:tcBorders>
              <w:right w:val="double" w:sz="4" w:space="0" w:color="auto"/>
            </w:tcBorders>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國際</w:t>
            </w:r>
          </w:p>
        </w:tc>
      </w:tr>
      <w:tr w:rsidR="001D0350" w:rsidRPr="00D55DC6" w:rsidTr="00FA7F7B">
        <w:trPr>
          <w:trHeight w:val="97"/>
          <w:jc w:val="center"/>
        </w:trPr>
        <w:tc>
          <w:tcPr>
            <w:tcW w:w="536" w:type="dxa"/>
            <w:vMerge/>
            <w:tcBorders>
              <w:left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14"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11</w:t>
            </w:r>
          </w:p>
        </w:tc>
        <w:tc>
          <w:tcPr>
            <w:tcW w:w="2623" w:type="dxa"/>
            <w:noWrap/>
            <w:vAlign w:val="center"/>
          </w:tcPr>
          <w:p w:rsidR="00DF2F67" w:rsidRPr="00D55DC6" w:rsidRDefault="00DF2F67" w:rsidP="009D33BA">
            <w:pPr>
              <w:widowControl/>
              <w:adjustRightInd w:val="0"/>
              <w:snapToGrid w:val="0"/>
              <w:spacing w:beforeLines="5" w:before="18" w:afterLines="5" w:after="18"/>
              <w:rPr>
                <w:rFonts w:eastAsia="標楷體"/>
                <w:spacing w:val="-6"/>
                <w:kern w:val="0"/>
                <w:sz w:val="20"/>
                <w:szCs w:val="20"/>
                <w:lang w:bidi="hi-IN"/>
              </w:rPr>
            </w:pPr>
            <w:r w:rsidRPr="00D55DC6">
              <w:rPr>
                <w:rFonts w:eastAsia="標楷體"/>
                <w:spacing w:val="-6"/>
                <w:kern w:val="0"/>
                <w:sz w:val="20"/>
                <w:szCs w:val="20"/>
                <w:lang w:bidi="hi-IN"/>
              </w:rPr>
              <w:t>自行車道及步道護欄整修工程</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1" w:type="dxa"/>
            <w:tcBorders>
              <w:right w:val="single" w:sz="12" w:space="0" w:color="auto"/>
            </w:tcBorders>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28"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2"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4" w:type="dxa"/>
            <w:tcBorders>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390" w:type="dxa"/>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服務</w:t>
            </w:r>
          </w:p>
        </w:tc>
        <w:tc>
          <w:tcPr>
            <w:tcW w:w="406" w:type="dxa"/>
            <w:tcBorders>
              <w:right w:val="double" w:sz="4" w:space="0" w:color="auto"/>
            </w:tcBorders>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國際</w:t>
            </w:r>
          </w:p>
        </w:tc>
      </w:tr>
      <w:tr w:rsidR="001D0350" w:rsidRPr="00D55DC6" w:rsidTr="00FA7F7B">
        <w:trPr>
          <w:trHeight w:val="97"/>
          <w:jc w:val="center"/>
        </w:trPr>
        <w:tc>
          <w:tcPr>
            <w:tcW w:w="536" w:type="dxa"/>
            <w:vMerge/>
            <w:tcBorders>
              <w:left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14"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12</w:t>
            </w:r>
          </w:p>
        </w:tc>
        <w:tc>
          <w:tcPr>
            <w:tcW w:w="2623" w:type="dxa"/>
            <w:noWrap/>
            <w:vAlign w:val="center"/>
          </w:tcPr>
          <w:p w:rsidR="00DF2F67" w:rsidRPr="00D55DC6" w:rsidRDefault="00DF2F67" w:rsidP="009D33BA">
            <w:pPr>
              <w:widowControl/>
              <w:adjustRightInd w:val="0"/>
              <w:snapToGrid w:val="0"/>
              <w:spacing w:beforeLines="5" w:before="18" w:afterLines="5" w:after="18"/>
              <w:rPr>
                <w:rFonts w:eastAsia="標楷體"/>
                <w:spacing w:val="-10"/>
                <w:kern w:val="0"/>
                <w:sz w:val="20"/>
                <w:szCs w:val="20"/>
                <w:lang w:bidi="hi-IN"/>
              </w:rPr>
            </w:pPr>
            <w:r w:rsidRPr="00D55DC6">
              <w:rPr>
                <w:rFonts w:eastAsia="標楷體"/>
                <w:spacing w:val="-10"/>
                <w:kern w:val="0"/>
                <w:sz w:val="20"/>
                <w:szCs w:val="20"/>
                <w:lang w:bidi="hi-IN"/>
              </w:rPr>
              <w:t>南平自行車道景觀設施整建工程</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1" w:type="dxa"/>
            <w:tcBorders>
              <w:right w:val="single" w:sz="12" w:space="0" w:color="auto"/>
            </w:tcBorders>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28"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2"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4" w:type="dxa"/>
            <w:tcBorders>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390" w:type="dxa"/>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服務</w:t>
            </w:r>
          </w:p>
        </w:tc>
        <w:tc>
          <w:tcPr>
            <w:tcW w:w="406" w:type="dxa"/>
            <w:tcBorders>
              <w:right w:val="double" w:sz="4" w:space="0" w:color="auto"/>
            </w:tcBorders>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國際</w:t>
            </w:r>
          </w:p>
        </w:tc>
      </w:tr>
      <w:tr w:rsidR="001D0350" w:rsidRPr="00D55DC6" w:rsidTr="00FA7F7B">
        <w:trPr>
          <w:trHeight w:val="400"/>
          <w:jc w:val="center"/>
        </w:trPr>
        <w:tc>
          <w:tcPr>
            <w:tcW w:w="536" w:type="dxa"/>
            <w:vMerge/>
            <w:tcBorders>
              <w:left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14"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13</w:t>
            </w:r>
          </w:p>
        </w:tc>
        <w:tc>
          <w:tcPr>
            <w:tcW w:w="2623" w:type="dxa"/>
            <w:noWrap/>
            <w:vAlign w:val="center"/>
          </w:tcPr>
          <w:p w:rsidR="00DF2F67" w:rsidRPr="00D55DC6" w:rsidRDefault="00DF2F67" w:rsidP="009D33BA">
            <w:pPr>
              <w:widowControl/>
              <w:adjustRightInd w:val="0"/>
              <w:snapToGrid w:val="0"/>
              <w:spacing w:beforeLines="5" w:before="18" w:afterLines="5" w:after="18"/>
              <w:rPr>
                <w:rFonts w:eastAsia="標楷體"/>
                <w:spacing w:val="-6"/>
                <w:kern w:val="0"/>
                <w:sz w:val="20"/>
                <w:szCs w:val="20"/>
                <w:lang w:bidi="hi-IN"/>
              </w:rPr>
            </w:pPr>
            <w:r w:rsidRPr="00D55DC6">
              <w:rPr>
                <w:rFonts w:eastAsia="標楷體"/>
                <w:spacing w:val="-6"/>
                <w:kern w:val="0"/>
                <w:sz w:val="20"/>
                <w:szCs w:val="20"/>
                <w:lang w:bidi="hi-IN"/>
              </w:rPr>
              <w:t>環灣道路</w:t>
            </w:r>
            <w:r w:rsidRPr="00D55DC6">
              <w:rPr>
                <w:rFonts w:eastAsia="標楷體"/>
                <w:spacing w:val="-6"/>
                <w:kern w:val="0"/>
                <w:sz w:val="20"/>
                <w:szCs w:val="20"/>
                <w:lang w:bidi="hi-IN"/>
              </w:rPr>
              <w:t>AC</w:t>
            </w:r>
            <w:r w:rsidRPr="00D55DC6">
              <w:rPr>
                <w:rFonts w:eastAsia="標楷體"/>
                <w:spacing w:val="-6"/>
                <w:kern w:val="0"/>
                <w:sz w:val="20"/>
                <w:szCs w:val="20"/>
                <w:lang w:bidi="hi-IN"/>
              </w:rPr>
              <w:t>路面改善工程</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1" w:type="dxa"/>
            <w:tcBorders>
              <w:right w:val="single" w:sz="12" w:space="0" w:color="auto"/>
            </w:tcBorders>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28"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2"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4" w:type="dxa"/>
            <w:tcBorders>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30,000</w:t>
            </w:r>
          </w:p>
        </w:tc>
        <w:tc>
          <w:tcPr>
            <w:tcW w:w="390" w:type="dxa"/>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服務</w:t>
            </w:r>
          </w:p>
        </w:tc>
        <w:tc>
          <w:tcPr>
            <w:tcW w:w="406" w:type="dxa"/>
            <w:tcBorders>
              <w:right w:val="double" w:sz="4" w:space="0" w:color="auto"/>
            </w:tcBorders>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國際</w:t>
            </w:r>
          </w:p>
        </w:tc>
      </w:tr>
      <w:tr w:rsidR="001D0350" w:rsidRPr="00D55DC6" w:rsidTr="00FA7F7B">
        <w:trPr>
          <w:trHeight w:val="97"/>
          <w:jc w:val="center"/>
        </w:trPr>
        <w:tc>
          <w:tcPr>
            <w:tcW w:w="536" w:type="dxa"/>
            <w:vMerge/>
            <w:tcBorders>
              <w:left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14"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14</w:t>
            </w:r>
          </w:p>
        </w:tc>
        <w:tc>
          <w:tcPr>
            <w:tcW w:w="2623" w:type="dxa"/>
            <w:shd w:val="clear" w:color="auto" w:fill="FFFF99"/>
            <w:noWrap/>
            <w:vAlign w:val="center"/>
          </w:tcPr>
          <w:p w:rsidR="00DF2F67" w:rsidRPr="00D55DC6" w:rsidRDefault="00DF2F67" w:rsidP="009D33BA">
            <w:pPr>
              <w:widowControl/>
              <w:adjustRightInd w:val="0"/>
              <w:snapToGrid w:val="0"/>
              <w:spacing w:beforeLines="5" w:before="18" w:afterLines="5" w:after="18"/>
              <w:rPr>
                <w:rFonts w:eastAsia="標楷體"/>
                <w:spacing w:val="-6"/>
                <w:kern w:val="0"/>
                <w:sz w:val="20"/>
                <w:szCs w:val="20"/>
                <w:lang w:bidi="hi-IN"/>
              </w:rPr>
            </w:pPr>
            <w:r w:rsidRPr="00D55DC6">
              <w:rPr>
                <w:rFonts w:eastAsia="標楷體"/>
                <w:spacing w:val="-6"/>
                <w:kern w:val="0"/>
                <w:sz w:val="20"/>
                <w:szCs w:val="20"/>
                <w:lang w:bidi="hi-IN"/>
              </w:rPr>
              <w:t>蚵殼島服務設施整建</w:t>
            </w: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1" w:type="dxa"/>
            <w:tcBorders>
              <w:right w:val="single" w:sz="12" w:space="0" w:color="auto"/>
            </w:tcBorders>
            <w:shd w:val="clear" w:color="auto" w:fill="FFFF99"/>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28"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righ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2"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4" w:type="dxa"/>
            <w:tcBorders>
              <w:righ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390" w:type="dxa"/>
            <w:shd w:val="clear" w:color="auto" w:fill="FFFF99"/>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投資</w:t>
            </w:r>
          </w:p>
        </w:tc>
        <w:tc>
          <w:tcPr>
            <w:tcW w:w="406" w:type="dxa"/>
            <w:tcBorders>
              <w:right w:val="double" w:sz="4" w:space="0" w:color="auto"/>
            </w:tcBorders>
            <w:shd w:val="clear" w:color="auto" w:fill="FFFFFF"/>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國際</w:t>
            </w:r>
          </w:p>
        </w:tc>
      </w:tr>
      <w:tr w:rsidR="001D0350" w:rsidRPr="00D55DC6" w:rsidTr="00FA7F7B">
        <w:trPr>
          <w:trHeight w:val="97"/>
          <w:jc w:val="center"/>
        </w:trPr>
        <w:tc>
          <w:tcPr>
            <w:tcW w:w="536" w:type="dxa"/>
            <w:vMerge/>
            <w:tcBorders>
              <w:left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14"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15</w:t>
            </w:r>
          </w:p>
        </w:tc>
        <w:tc>
          <w:tcPr>
            <w:tcW w:w="2623" w:type="dxa"/>
            <w:shd w:val="clear" w:color="auto" w:fill="FFFFFF"/>
            <w:noWrap/>
            <w:vAlign w:val="center"/>
          </w:tcPr>
          <w:p w:rsidR="00DF2F67" w:rsidRPr="00D55DC6" w:rsidRDefault="00DF2F67" w:rsidP="009D33BA">
            <w:pPr>
              <w:widowControl/>
              <w:adjustRightInd w:val="0"/>
              <w:snapToGrid w:val="0"/>
              <w:spacing w:beforeLines="5" w:before="18" w:afterLines="5" w:after="18"/>
              <w:rPr>
                <w:rFonts w:eastAsia="標楷體"/>
                <w:spacing w:val="-6"/>
                <w:kern w:val="0"/>
                <w:sz w:val="20"/>
                <w:szCs w:val="20"/>
                <w:lang w:bidi="hi-IN"/>
              </w:rPr>
            </w:pPr>
            <w:r w:rsidRPr="00D55DC6">
              <w:rPr>
                <w:rFonts w:eastAsia="標楷體"/>
                <w:spacing w:val="-10"/>
                <w:kern w:val="0"/>
                <w:sz w:val="20"/>
                <w:szCs w:val="20"/>
                <w:lang w:bidi="hi-IN"/>
              </w:rPr>
              <w:t>大鵬灣風景特定區據點設施整建</w:t>
            </w:r>
          </w:p>
        </w:tc>
        <w:tc>
          <w:tcPr>
            <w:tcW w:w="593" w:type="dxa"/>
            <w:shd w:val="clear" w:color="auto" w:fill="FFFFFF"/>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1" w:type="dxa"/>
            <w:tcBorders>
              <w:right w:val="single" w:sz="12" w:space="0" w:color="auto"/>
            </w:tcBorders>
            <w:shd w:val="clear" w:color="auto" w:fill="FFFFFF"/>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shd w:val="clear" w:color="auto" w:fill="FFFFFF"/>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shd w:val="clear" w:color="auto" w:fill="FFFFFF"/>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28" w:type="dxa"/>
            <w:shd w:val="clear" w:color="auto" w:fill="FFFFFF"/>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right w:val="single" w:sz="12" w:space="0" w:color="auto"/>
            </w:tcBorders>
            <w:shd w:val="clear" w:color="auto" w:fill="FFFFFF"/>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shd w:val="clear" w:color="auto" w:fill="FFFFFF"/>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593" w:type="dxa"/>
            <w:shd w:val="clear" w:color="auto" w:fill="FFFFFF"/>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602" w:type="dxa"/>
            <w:shd w:val="clear" w:color="auto" w:fill="FFFFFF"/>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604" w:type="dxa"/>
            <w:tcBorders>
              <w:right w:val="single" w:sz="12" w:space="0" w:color="auto"/>
            </w:tcBorders>
            <w:shd w:val="clear" w:color="auto" w:fill="FFFFFF"/>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593" w:type="dxa"/>
            <w:tcBorders>
              <w:left w:val="single" w:sz="12" w:space="0" w:color="auto"/>
            </w:tcBorders>
            <w:shd w:val="clear" w:color="auto" w:fill="FFFFFF"/>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390" w:type="dxa"/>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服務</w:t>
            </w:r>
          </w:p>
        </w:tc>
        <w:tc>
          <w:tcPr>
            <w:tcW w:w="406" w:type="dxa"/>
            <w:tcBorders>
              <w:right w:val="double" w:sz="4" w:space="0" w:color="auto"/>
            </w:tcBorders>
            <w:shd w:val="clear" w:color="auto" w:fill="FFFFFF"/>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國際</w:t>
            </w:r>
          </w:p>
        </w:tc>
      </w:tr>
      <w:tr w:rsidR="001D0350" w:rsidRPr="00D55DC6" w:rsidTr="00FA7F7B">
        <w:trPr>
          <w:trHeight w:val="97"/>
          <w:jc w:val="center"/>
        </w:trPr>
        <w:tc>
          <w:tcPr>
            <w:tcW w:w="536" w:type="dxa"/>
            <w:vMerge/>
            <w:tcBorders>
              <w:left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14"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16</w:t>
            </w:r>
          </w:p>
        </w:tc>
        <w:tc>
          <w:tcPr>
            <w:tcW w:w="2623" w:type="dxa"/>
            <w:noWrap/>
            <w:vAlign w:val="center"/>
          </w:tcPr>
          <w:p w:rsidR="00DF2F67" w:rsidRPr="00D55DC6" w:rsidRDefault="00DF2F67" w:rsidP="00FA7F7B">
            <w:pPr>
              <w:widowControl/>
              <w:adjustRightInd w:val="0"/>
              <w:snapToGrid w:val="0"/>
              <w:rPr>
                <w:rFonts w:eastAsia="標楷體"/>
                <w:spacing w:val="-6"/>
                <w:kern w:val="0"/>
                <w:sz w:val="20"/>
                <w:szCs w:val="20"/>
                <w:lang w:bidi="hi-IN"/>
              </w:rPr>
            </w:pPr>
            <w:r w:rsidRPr="00D55DC6">
              <w:rPr>
                <w:rFonts w:eastAsia="標楷體"/>
                <w:spacing w:val="-6"/>
                <w:kern w:val="0"/>
                <w:sz w:val="20"/>
                <w:szCs w:val="20"/>
                <w:lang w:bidi="hi-IN"/>
              </w:rPr>
              <w:t>琉球風景特定區據點設施整建</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w:t>
            </w:r>
          </w:p>
        </w:tc>
        <w:tc>
          <w:tcPr>
            <w:tcW w:w="601" w:type="dxa"/>
            <w:tcBorders>
              <w:right w:val="single" w:sz="12" w:space="0" w:color="auto"/>
            </w:tcBorders>
            <w:vAlign w:val="center"/>
          </w:tcPr>
          <w:p w:rsidR="00DF2F67" w:rsidRPr="00D55DC6" w:rsidRDefault="00DF2F67" w:rsidP="00FA7F7B">
            <w:pPr>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628"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30,000</w:t>
            </w:r>
          </w:p>
        </w:tc>
        <w:tc>
          <w:tcPr>
            <w:tcW w:w="593" w:type="dxa"/>
            <w:tcBorders>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30,000</w:t>
            </w: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602"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604" w:type="dxa"/>
            <w:tcBorders>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40,000</w:t>
            </w:r>
          </w:p>
        </w:tc>
        <w:tc>
          <w:tcPr>
            <w:tcW w:w="390" w:type="dxa"/>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服務</w:t>
            </w:r>
          </w:p>
        </w:tc>
        <w:tc>
          <w:tcPr>
            <w:tcW w:w="406" w:type="dxa"/>
            <w:tcBorders>
              <w:right w:val="double" w:sz="4" w:space="0" w:color="auto"/>
            </w:tcBorders>
            <w:shd w:val="clear" w:color="auto" w:fill="FFFFFF"/>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國內</w:t>
            </w:r>
          </w:p>
        </w:tc>
      </w:tr>
      <w:tr w:rsidR="001D0350" w:rsidRPr="00D55DC6" w:rsidTr="00FA7F7B">
        <w:trPr>
          <w:trHeight w:val="439"/>
          <w:jc w:val="center"/>
        </w:trPr>
        <w:tc>
          <w:tcPr>
            <w:tcW w:w="536" w:type="dxa"/>
            <w:vMerge/>
            <w:tcBorders>
              <w:left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14"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17</w:t>
            </w:r>
          </w:p>
        </w:tc>
        <w:tc>
          <w:tcPr>
            <w:tcW w:w="2623" w:type="dxa"/>
            <w:shd w:val="clear" w:color="auto" w:fill="FFFF99"/>
            <w:vAlign w:val="center"/>
          </w:tcPr>
          <w:p w:rsidR="00DF2F67" w:rsidRPr="00D55DC6" w:rsidRDefault="00DF2F67" w:rsidP="00FA7F7B">
            <w:pPr>
              <w:widowControl/>
              <w:adjustRightInd w:val="0"/>
              <w:snapToGrid w:val="0"/>
              <w:rPr>
                <w:rFonts w:eastAsia="標楷體"/>
                <w:spacing w:val="-6"/>
                <w:kern w:val="0"/>
                <w:sz w:val="20"/>
                <w:szCs w:val="20"/>
                <w:lang w:bidi="hi-IN"/>
              </w:rPr>
            </w:pPr>
            <w:r w:rsidRPr="00D55DC6">
              <w:rPr>
                <w:rFonts w:eastAsia="標楷體"/>
                <w:spacing w:val="-6"/>
                <w:kern w:val="0"/>
                <w:sz w:val="20"/>
                <w:szCs w:val="20"/>
                <w:lang w:bidi="hi-IN"/>
              </w:rPr>
              <w:t>琉球風景特定區厚石裙礁區</w:t>
            </w:r>
          </w:p>
          <w:p w:rsidR="00DF2F67" w:rsidRPr="00D55DC6" w:rsidRDefault="00DF2F67" w:rsidP="00FA7F7B">
            <w:pPr>
              <w:widowControl/>
              <w:adjustRightInd w:val="0"/>
              <w:snapToGrid w:val="0"/>
              <w:rPr>
                <w:rFonts w:eastAsia="標楷體"/>
                <w:spacing w:val="-6"/>
                <w:kern w:val="0"/>
                <w:sz w:val="20"/>
                <w:szCs w:val="20"/>
                <w:lang w:bidi="hi-IN"/>
              </w:rPr>
            </w:pPr>
            <w:r w:rsidRPr="00D55DC6">
              <w:rPr>
                <w:rFonts w:eastAsia="標楷體"/>
                <w:spacing w:val="-6"/>
                <w:kern w:val="0"/>
                <w:sz w:val="20"/>
                <w:szCs w:val="20"/>
                <w:lang w:bidi="hi-IN"/>
              </w:rPr>
              <w:t>(</w:t>
            </w:r>
            <w:r w:rsidRPr="00D55DC6">
              <w:rPr>
                <w:rFonts w:eastAsia="標楷體"/>
                <w:spacing w:val="-6"/>
                <w:kern w:val="0"/>
                <w:sz w:val="20"/>
                <w:szCs w:val="20"/>
                <w:lang w:bidi="hi-IN"/>
              </w:rPr>
              <w:t>服</w:t>
            </w:r>
            <w:r w:rsidRPr="00D55DC6">
              <w:rPr>
                <w:rFonts w:eastAsia="標楷體"/>
                <w:spacing w:val="-6"/>
                <w:kern w:val="0"/>
                <w:sz w:val="20"/>
                <w:szCs w:val="20"/>
                <w:lang w:bidi="hi-IN"/>
              </w:rPr>
              <w:t>2)</w:t>
            </w:r>
            <w:r w:rsidRPr="00D55DC6">
              <w:rPr>
                <w:rFonts w:eastAsia="標楷體"/>
                <w:spacing w:val="-6"/>
                <w:kern w:val="0"/>
                <w:sz w:val="20"/>
                <w:szCs w:val="20"/>
                <w:lang w:bidi="hi-IN"/>
              </w:rPr>
              <w:t>服務設施工程</w:t>
            </w: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1" w:type="dxa"/>
            <w:tcBorders>
              <w:right w:val="single" w:sz="12" w:space="0" w:color="auto"/>
            </w:tcBorders>
            <w:shd w:val="clear" w:color="auto" w:fill="FFFF99"/>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28"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righ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20,000</w:t>
            </w: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2"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4" w:type="dxa"/>
            <w:tcBorders>
              <w:righ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390" w:type="dxa"/>
            <w:shd w:val="clear" w:color="auto" w:fill="FFFF99"/>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投資</w:t>
            </w:r>
          </w:p>
        </w:tc>
        <w:tc>
          <w:tcPr>
            <w:tcW w:w="406" w:type="dxa"/>
            <w:tcBorders>
              <w:right w:val="double" w:sz="4" w:space="0" w:color="auto"/>
            </w:tcBorders>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國內</w:t>
            </w:r>
          </w:p>
        </w:tc>
      </w:tr>
      <w:tr w:rsidR="001D0350" w:rsidRPr="00D55DC6" w:rsidTr="00FA7F7B">
        <w:trPr>
          <w:trHeight w:val="513"/>
          <w:jc w:val="center"/>
        </w:trPr>
        <w:tc>
          <w:tcPr>
            <w:tcW w:w="536" w:type="dxa"/>
            <w:vMerge/>
            <w:tcBorders>
              <w:left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14"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18</w:t>
            </w:r>
          </w:p>
        </w:tc>
        <w:tc>
          <w:tcPr>
            <w:tcW w:w="2623" w:type="dxa"/>
            <w:shd w:val="clear" w:color="auto" w:fill="FFFF99"/>
            <w:vAlign w:val="center"/>
          </w:tcPr>
          <w:p w:rsidR="00DF2F67" w:rsidRPr="00D55DC6" w:rsidRDefault="00DF2F67" w:rsidP="00FA7F7B">
            <w:pPr>
              <w:widowControl/>
              <w:adjustRightInd w:val="0"/>
              <w:snapToGrid w:val="0"/>
              <w:rPr>
                <w:rFonts w:eastAsia="標楷體"/>
                <w:spacing w:val="-6"/>
                <w:kern w:val="0"/>
                <w:sz w:val="20"/>
                <w:szCs w:val="20"/>
                <w:lang w:bidi="hi-IN"/>
              </w:rPr>
            </w:pPr>
            <w:r w:rsidRPr="00D55DC6">
              <w:rPr>
                <w:rFonts w:eastAsia="標楷體"/>
                <w:spacing w:val="-6"/>
                <w:kern w:val="0"/>
                <w:sz w:val="20"/>
                <w:szCs w:val="20"/>
                <w:lang w:bidi="hi-IN"/>
              </w:rPr>
              <w:t>琉球風景特定區服</w:t>
            </w:r>
            <w:r w:rsidRPr="00D55DC6">
              <w:rPr>
                <w:rFonts w:eastAsia="標楷體"/>
                <w:spacing w:val="-6"/>
                <w:kern w:val="0"/>
                <w:sz w:val="20"/>
                <w:szCs w:val="20"/>
                <w:lang w:bidi="hi-IN"/>
              </w:rPr>
              <w:t>3</w:t>
            </w:r>
            <w:r w:rsidRPr="00D55DC6">
              <w:rPr>
                <w:rFonts w:eastAsia="標楷體"/>
                <w:spacing w:val="-6"/>
                <w:kern w:val="0"/>
                <w:sz w:val="20"/>
                <w:szCs w:val="20"/>
                <w:lang w:bidi="hi-IN"/>
              </w:rPr>
              <w:t>設施工程</w:t>
            </w:r>
            <w:r w:rsidRPr="00D55DC6">
              <w:rPr>
                <w:rFonts w:eastAsia="標楷體"/>
                <w:spacing w:val="-6"/>
                <w:kern w:val="0"/>
                <w:sz w:val="20"/>
                <w:szCs w:val="20"/>
                <w:lang w:bidi="hi-IN"/>
              </w:rPr>
              <w:t>(</w:t>
            </w:r>
            <w:r w:rsidRPr="00D55DC6">
              <w:rPr>
                <w:rFonts w:eastAsia="標楷體"/>
                <w:spacing w:val="-6"/>
                <w:kern w:val="0"/>
                <w:sz w:val="20"/>
                <w:szCs w:val="20"/>
                <w:lang w:bidi="hi-IN"/>
              </w:rPr>
              <w:t>琉球新漁港西側</w:t>
            </w:r>
            <w:r w:rsidRPr="00D55DC6">
              <w:rPr>
                <w:rFonts w:eastAsia="標楷體"/>
                <w:spacing w:val="-6"/>
                <w:kern w:val="0"/>
                <w:sz w:val="20"/>
                <w:szCs w:val="20"/>
                <w:lang w:bidi="hi-IN"/>
              </w:rPr>
              <w:t>)</w:t>
            </w: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1" w:type="dxa"/>
            <w:tcBorders>
              <w:right w:val="single" w:sz="12" w:space="0" w:color="auto"/>
            </w:tcBorders>
            <w:shd w:val="clear" w:color="auto" w:fill="FFFF99"/>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28"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righ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30,000</w:t>
            </w:r>
          </w:p>
        </w:tc>
        <w:tc>
          <w:tcPr>
            <w:tcW w:w="602"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30,000</w:t>
            </w:r>
          </w:p>
        </w:tc>
        <w:tc>
          <w:tcPr>
            <w:tcW w:w="604" w:type="dxa"/>
            <w:tcBorders>
              <w:righ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390" w:type="dxa"/>
            <w:shd w:val="clear" w:color="auto" w:fill="FFFF99"/>
            <w:noWrap/>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投資</w:t>
            </w:r>
          </w:p>
        </w:tc>
        <w:tc>
          <w:tcPr>
            <w:tcW w:w="406" w:type="dxa"/>
            <w:tcBorders>
              <w:right w:val="double" w:sz="4" w:space="0" w:color="auto"/>
            </w:tcBorders>
            <w:vAlign w:val="center"/>
          </w:tcPr>
          <w:p w:rsidR="00DF2F67" w:rsidRPr="00D55DC6" w:rsidRDefault="00DF2F67" w:rsidP="00FA7F7B">
            <w:pPr>
              <w:widowControl/>
              <w:adjustRightInd w:val="0"/>
              <w:snapToGrid w:val="0"/>
              <w:jc w:val="center"/>
              <w:rPr>
                <w:rFonts w:eastAsia="標楷體"/>
                <w:kern w:val="0"/>
                <w:sz w:val="16"/>
                <w:szCs w:val="16"/>
                <w:lang w:bidi="hi-IN"/>
              </w:rPr>
            </w:pPr>
            <w:r w:rsidRPr="00D55DC6">
              <w:rPr>
                <w:rFonts w:eastAsia="標楷體"/>
                <w:kern w:val="0"/>
                <w:sz w:val="16"/>
                <w:szCs w:val="16"/>
                <w:lang w:bidi="hi-IN"/>
              </w:rPr>
              <w:t>國內</w:t>
            </w:r>
          </w:p>
        </w:tc>
      </w:tr>
      <w:tr w:rsidR="001D0350" w:rsidRPr="00D55DC6" w:rsidTr="00FA7F7B">
        <w:trPr>
          <w:trHeight w:val="366"/>
          <w:jc w:val="center"/>
        </w:trPr>
        <w:tc>
          <w:tcPr>
            <w:tcW w:w="536" w:type="dxa"/>
            <w:vMerge/>
            <w:tcBorders>
              <w:left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837" w:type="dxa"/>
            <w:gridSpan w:val="2"/>
            <w:shd w:val="clear" w:color="auto" w:fill="FFFF99"/>
            <w:noWrap/>
            <w:vAlign w:val="center"/>
          </w:tcPr>
          <w:p w:rsidR="00DF2F67" w:rsidRPr="00D55DC6" w:rsidRDefault="00DF2F67" w:rsidP="009D33BA">
            <w:pPr>
              <w:widowControl/>
              <w:adjustRightInd w:val="0"/>
              <w:snapToGrid w:val="0"/>
              <w:spacing w:beforeLines="5" w:before="18" w:afterLines="5" w:after="18"/>
              <w:jc w:val="center"/>
              <w:rPr>
                <w:rFonts w:eastAsia="標楷體"/>
                <w:spacing w:val="-6"/>
                <w:kern w:val="0"/>
                <w:sz w:val="20"/>
                <w:szCs w:val="20"/>
                <w:lang w:bidi="hi-IN"/>
              </w:rPr>
            </w:pPr>
            <w:r w:rsidRPr="00D55DC6">
              <w:rPr>
                <w:rFonts w:eastAsia="標楷體"/>
                <w:spacing w:val="-6"/>
                <w:kern w:val="0"/>
                <w:sz w:val="20"/>
                <w:szCs w:val="20"/>
                <w:lang w:bidi="hi-IN"/>
              </w:rPr>
              <w:t>一、投資型工程合計</w:t>
            </w: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w:t>
            </w:r>
          </w:p>
        </w:tc>
        <w:tc>
          <w:tcPr>
            <w:tcW w:w="601" w:type="dxa"/>
            <w:tcBorders>
              <w:right w:val="single" w:sz="12" w:space="0" w:color="auto"/>
            </w:tcBorders>
            <w:shd w:val="clear" w:color="auto" w:fill="FFFF99"/>
            <w:vAlign w:val="center"/>
          </w:tcPr>
          <w:p w:rsidR="00DF2F67" w:rsidRPr="00D55DC6" w:rsidRDefault="00DF2F67" w:rsidP="00FA7F7B">
            <w:pPr>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45,000</w:t>
            </w: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280,000</w:t>
            </w: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315,000</w:t>
            </w:r>
          </w:p>
        </w:tc>
        <w:tc>
          <w:tcPr>
            <w:tcW w:w="628"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100,000</w:t>
            </w:r>
          </w:p>
        </w:tc>
        <w:tc>
          <w:tcPr>
            <w:tcW w:w="593" w:type="dxa"/>
            <w:tcBorders>
              <w:righ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90,000</w:t>
            </w: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45,000</w:t>
            </w:r>
          </w:p>
        </w:tc>
        <w:tc>
          <w:tcPr>
            <w:tcW w:w="593"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45,000</w:t>
            </w:r>
          </w:p>
        </w:tc>
        <w:tc>
          <w:tcPr>
            <w:tcW w:w="602" w:type="dxa"/>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55,000</w:t>
            </w:r>
          </w:p>
        </w:tc>
        <w:tc>
          <w:tcPr>
            <w:tcW w:w="604" w:type="dxa"/>
            <w:tcBorders>
              <w:righ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5,000</w:t>
            </w:r>
          </w:p>
        </w:tc>
        <w:tc>
          <w:tcPr>
            <w:tcW w:w="593" w:type="dxa"/>
            <w:tcBorders>
              <w:left w:val="single" w:sz="12" w:space="0" w:color="auto"/>
            </w:tcBorders>
            <w:shd w:val="clear" w:color="auto" w:fill="FFFF99"/>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35,000</w:t>
            </w:r>
          </w:p>
        </w:tc>
        <w:tc>
          <w:tcPr>
            <w:tcW w:w="390" w:type="dxa"/>
            <w:shd w:val="clear" w:color="auto" w:fill="FFFF99"/>
            <w:noWrap/>
            <w:vAlign w:val="center"/>
          </w:tcPr>
          <w:p w:rsidR="00DF2F67" w:rsidRPr="00D55DC6" w:rsidRDefault="00DF2F67" w:rsidP="00FA7F7B">
            <w:pPr>
              <w:adjustRightInd w:val="0"/>
              <w:snapToGrid w:val="0"/>
              <w:jc w:val="center"/>
              <w:rPr>
                <w:rFonts w:eastAsia="標楷體"/>
                <w:kern w:val="0"/>
                <w:sz w:val="16"/>
                <w:szCs w:val="16"/>
                <w:lang w:bidi="hi-IN"/>
              </w:rPr>
            </w:pPr>
          </w:p>
        </w:tc>
        <w:tc>
          <w:tcPr>
            <w:tcW w:w="406" w:type="dxa"/>
            <w:tcBorders>
              <w:right w:val="double" w:sz="4" w:space="0" w:color="auto"/>
            </w:tcBorders>
            <w:vAlign w:val="center"/>
          </w:tcPr>
          <w:p w:rsidR="00DF2F67" w:rsidRPr="00D55DC6" w:rsidRDefault="00DF2F67" w:rsidP="00FA7F7B">
            <w:pPr>
              <w:adjustRightInd w:val="0"/>
              <w:snapToGrid w:val="0"/>
              <w:jc w:val="center"/>
              <w:rPr>
                <w:rFonts w:eastAsia="標楷體"/>
                <w:kern w:val="0"/>
                <w:sz w:val="16"/>
                <w:szCs w:val="16"/>
                <w:lang w:bidi="hi-IN"/>
              </w:rPr>
            </w:pPr>
          </w:p>
        </w:tc>
      </w:tr>
      <w:tr w:rsidR="001D0350" w:rsidRPr="00D55DC6" w:rsidTr="00FA7F7B">
        <w:trPr>
          <w:trHeight w:val="395"/>
          <w:jc w:val="center"/>
        </w:trPr>
        <w:tc>
          <w:tcPr>
            <w:tcW w:w="536" w:type="dxa"/>
            <w:vMerge/>
            <w:tcBorders>
              <w:left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837" w:type="dxa"/>
            <w:gridSpan w:val="2"/>
            <w:noWrap/>
            <w:vAlign w:val="center"/>
          </w:tcPr>
          <w:p w:rsidR="00DF2F67" w:rsidRPr="00D55DC6" w:rsidRDefault="00DF2F67" w:rsidP="009D33BA">
            <w:pPr>
              <w:widowControl/>
              <w:adjustRightInd w:val="0"/>
              <w:snapToGrid w:val="0"/>
              <w:spacing w:beforeLines="5" w:before="18" w:afterLines="5" w:after="18"/>
              <w:jc w:val="center"/>
              <w:rPr>
                <w:rFonts w:eastAsia="標楷體"/>
                <w:spacing w:val="-6"/>
                <w:kern w:val="0"/>
                <w:sz w:val="20"/>
                <w:szCs w:val="20"/>
                <w:lang w:bidi="hi-IN"/>
              </w:rPr>
            </w:pPr>
            <w:r w:rsidRPr="00D55DC6">
              <w:rPr>
                <w:rFonts w:eastAsia="標楷體"/>
                <w:spacing w:val="-6"/>
                <w:kern w:val="0"/>
                <w:sz w:val="20"/>
                <w:szCs w:val="20"/>
                <w:lang w:bidi="hi-IN"/>
              </w:rPr>
              <w:t>二、服務型工程合計</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147,800</w:t>
            </w:r>
          </w:p>
        </w:tc>
        <w:tc>
          <w:tcPr>
            <w:tcW w:w="601" w:type="dxa"/>
            <w:tcBorders>
              <w:right w:val="single" w:sz="12" w:space="0" w:color="auto"/>
            </w:tcBorders>
            <w:vAlign w:val="center"/>
          </w:tcPr>
          <w:p w:rsidR="00DF2F67" w:rsidRPr="00D55DC6" w:rsidRDefault="00DF2F67" w:rsidP="00FA7F7B">
            <w:pPr>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125,000</w:t>
            </w: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110,000</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110,000</w:t>
            </w:r>
          </w:p>
        </w:tc>
        <w:tc>
          <w:tcPr>
            <w:tcW w:w="628"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170,000</w:t>
            </w:r>
          </w:p>
        </w:tc>
        <w:tc>
          <w:tcPr>
            <w:tcW w:w="593" w:type="dxa"/>
            <w:tcBorders>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170,000</w:t>
            </w: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110,000</w:t>
            </w:r>
          </w:p>
        </w:tc>
        <w:tc>
          <w:tcPr>
            <w:tcW w:w="593"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110,000</w:t>
            </w:r>
          </w:p>
        </w:tc>
        <w:tc>
          <w:tcPr>
            <w:tcW w:w="602" w:type="dxa"/>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100,000</w:t>
            </w:r>
          </w:p>
        </w:tc>
        <w:tc>
          <w:tcPr>
            <w:tcW w:w="604" w:type="dxa"/>
            <w:tcBorders>
              <w:righ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150,000</w:t>
            </w:r>
          </w:p>
        </w:tc>
        <w:tc>
          <w:tcPr>
            <w:tcW w:w="593" w:type="dxa"/>
            <w:tcBorders>
              <w:left w:val="single" w:sz="12" w:space="0" w:color="auto"/>
            </w:tcBorders>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r w:rsidRPr="00D55DC6">
              <w:rPr>
                <w:rFonts w:eastAsia="標楷體"/>
                <w:spacing w:val="-10"/>
                <w:kern w:val="0"/>
                <w:sz w:val="16"/>
                <w:szCs w:val="16"/>
                <w:lang w:bidi="hi-IN"/>
              </w:rPr>
              <w:t>130,000</w:t>
            </w:r>
          </w:p>
        </w:tc>
        <w:tc>
          <w:tcPr>
            <w:tcW w:w="390" w:type="dxa"/>
            <w:noWrap/>
            <w:vAlign w:val="center"/>
          </w:tcPr>
          <w:p w:rsidR="00DF2F67" w:rsidRPr="00D55DC6" w:rsidRDefault="00DF2F67" w:rsidP="00FA7F7B">
            <w:pPr>
              <w:adjustRightInd w:val="0"/>
              <w:snapToGrid w:val="0"/>
              <w:jc w:val="center"/>
              <w:rPr>
                <w:rFonts w:eastAsia="標楷體"/>
                <w:kern w:val="0"/>
                <w:sz w:val="16"/>
                <w:szCs w:val="16"/>
                <w:lang w:bidi="hi-IN"/>
              </w:rPr>
            </w:pPr>
          </w:p>
        </w:tc>
        <w:tc>
          <w:tcPr>
            <w:tcW w:w="406" w:type="dxa"/>
            <w:tcBorders>
              <w:right w:val="double" w:sz="4" w:space="0" w:color="auto"/>
            </w:tcBorders>
            <w:vAlign w:val="center"/>
          </w:tcPr>
          <w:p w:rsidR="00DF2F67" w:rsidRPr="00D55DC6" w:rsidRDefault="00DF2F67" w:rsidP="00FA7F7B">
            <w:pPr>
              <w:adjustRightInd w:val="0"/>
              <w:snapToGrid w:val="0"/>
              <w:jc w:val="center"/>
              <w:rPr>
                <w:rFonts w:eastAsia="標楷體"/>
                <w:kern w:val="0"/>
                <w:sz w:val="16"/>
                <w:szCs w:val="16"/>
                <w:lang w:bidi="hi-IN"/>
              </w:rPr>
            </w:pPr>
          </w:p>
        </w:tc>
      </w:tr>
      <w:tr w:rsidR="001D0350" w:rsidRPr="00D55DC6" w:rsidTr="00FA7F7B">
        <w:trPr>
          <w:trHeight w:val="493"/>
          <w:jc w:val="center"/>
        </w:trPr>
        <w:tc>
          <w:tcPr>
            <w:tcW w:w="536" w:type="dxa"/>
            <w:vMerge/>
            <w:tcBorders>
              <w:left w:val="double" w:sz="4" w:space="0" w:color="auto"/>
              <w:bottom w:val="double" w:sz="4" w:space="0" w:color="auto"/>
            </w:tcBorders>
            <w:vAlign w:val="center"/>
          </w:tcPr>
          <w:p w:rsidR="00DF2F67" w:rsidRPr="00D55DC6" w:rsidRDefault="00DF2F67" w:rsidP="00FA7F7B">
            <w:pPr>
              <w:widowControl/>
              <w:adjustRightInd w:val="0"/>
              <w:snapToGrid w:val="0"/>
              <w:spacing w:line="460" w:lineRule="exact"/>
              <w:rPr>
                <w:rFonts w:eastAsia="標楷體"/>
                <w:kern w:val="0"/>
                <w:sz w:val="20"/>
                <w:szCs w:val="20"/>
                <w:lang w:bidi="hi-IN"/>
              </w:rPr>
            </w:pPr>
          </w:p>
        </w:tc>
        <w:tc>
          <w:tcPr>
            <w:tcW w:w="2837" w:type="dxa"/>
            <w:gridSpan w:val="2"/>
            <w:tcBorders>
              <w:bottom w:val="double" w:sz="4" w:space="0" w:color="auto"/>
            </w:tcBorders>
            <w:shd w:val="clear" w:color="auto" w:fill="CCFFCC"/>
            <w:noWrap/>
            <w:vAlign w:val="center"/>
          </w:tcPr>
          <w:p w:rsidR="00DF2F67" w:rsidRPr="00D55DC6" w:rsidRDefault="00DF2F67" w:rsidP="00FA7F7B">
            <w:pPr>
              <w:widowControl/>
              <w:adjustRightInd w:val="0"/>
              <w:snapToGrid w:val="0"/>
              <w:jc w:val="center"/>
              <w:rPr>
                <w:rFonts w:eastAsia="標楷體"/>
                <w:spacing w:val="-6"/>
                <w:kern w:val="0"/>
                <w:sz w:val="20"/>
                <w:szCs w:val="20"/>
                <w:lang w:bidi="hi-IN"/>
              </w:rPr>
            </w:pPr>
            <w:r w:rsidRPr="00D55DC6">
              <w:rPr>
                <w:rFonts w:eastAsia="標楷體"/>
                <w:spacing w:val="-6"/>
                <w:kern w:val="0"/>
                <w:sz w:val="20"/>
                <w:szCs w:val="20"/>
                <w:lang w:bidi="hi-IN"/>
              </w:rPr>
              <w:t>工程預算合計</w:t>
            </w:r>
          </w:p>
        </w:tc>
        <w:tc>
          <w:tcPr>
            <w:tcW w:w="593" w:type="dxa"/>
            <w:tcBorders>
              <w:bottom w:val="double" w:sz="4" w:space="0" w:color="auto"/>
            </w:tcBorders>
            <w:shd w:val="clear" w:color="auto" w:fill="CCFFCC"/>
            <w:noWrap/>
            <w:vAlign w:val="center"/>
          </w:tcPr>
          <w:p w:rsidR="00DF2F67" w:rsidRPr="00D55DC6" w:rsidRDefault="00DF2F67" w:rsidP="00FA7F7B">
            <w:pPr>
              <w:widowControl/>
              <w:adjustRightInd w:val="0"/>
              <w:snapToGrid w:val="0"/>
              <w:jc w:val="right"/>
              <w:rPr>
                <w:rFonts w:eastAsia="標楷體"/>
                <w:spacing w:val="-6"/>
                <w:kern w:val="0"/>
                <w:sz w:val="16"/>
                <w:szCs w:val="16"/>
                <w:lang w:bidi="hi-IN"/>
              </w:rPr>
            </w:pPr>
            <w:r w:rsidRPr="00D55DC6">
              <w:rPr>
                <w:rFonts w:eastAsia="標楷體"/>
                <w:spacing w:val="-6"/>
                <w:kern w:val="0"/>
                <w:sz w:val="16"/>
                <w:szCs w:val="16"/>
                <w:lang w:bidi="hi-IN"/>
              </w:rPr>
              <w:t>147,800</w:t>
            </w:r>
          </w:p>
        </w:tc>
        <w:tc>
          <w:tcPr>
            <w:tcW w:w="601" w:type="dxa"/>
            <w:tcBorders>
              <w:bottom w:val="double" w:sz="4" w:space="0" w:color="auto"/>
              <w:right w:val="single" w:sz="12" w:space="0" w:color="auto"/>
            </w:tcBorders>
            <w:shd w:val="clear" w:color="auto" w:fill="CCFFCC"/>
            <w:vAlign w:val="center"/>
          </w:tcPr>
          <w:p w:rsidR="00DF2F67" w:rsidRPr="00D55DC6" w:rsidRDefault="00DF2F67" w:rsidP="00FA7F7B">
            <w:pPr>
              <w:adjustRightInd w:val="0"/>
              <w:snapToGrid w:val="0"/>
              <w:jc w:val="right"/>
              <w:rPr>
                <w:rFonts w:eastAsia="標楷體"/>
                <w:spacing w:val="-6"/>
                <w:kern w:val="0"/>
                <w:sz w:val="16"/>
                <w:szCs w:val="16"/>
                <w:lang w:bidi="hi-IN"/>
              </w:rPr>
            </w:pPr>
            <w:r w:rsidRPr="00D55DC6">
              <w:rPr>
                <w:rFonts w:eastAsia="標楷體"/>
                <w:spacing w:val="-6"/>
                <w:kern w:val="0"/>
                <w:sz w:val="16"/>
                <w:szCs w:val="16"/>
                <w:lang w:bidi="hi-IN"/>
              </w:rPr>
              <w:t>170,000</w:t>
            </w:r>
          </w:p>
        </w:tc>
        <w:tc>
          <w:tcPr>
            <w:tcW w:w="593" w:type="dxa"/>
            <w:tcBorders>
              <w:left w:val="single" w:sz="12" w:space="0" w:color="auto"/>
              <w:bottom w:val="double" w:sz="4" w:space="0" w:color="auto"/>
            </w:tcBorders>
            <w:shd w:val="clear" w:color="auto" w:fill="CCFFCC"/>
            <w:noWrap/>
            <w:vAlign w:val="center"/>
          </w:tcPr>
          <w:p w:rsidR="00DF2F67" w:rsidRPr="00D55DC6" w:rsidRDefault="00DF2F67" w:rsidP="00FA7F7B">
            <w:pPr>
              <w:widowControl/>
              <w:adjustRightInd w:val="0"/>
              <w:snapToGrid w:val="0"/>
              <w:jc w:val="right"/>
              <w:rPr>
                <w:rFonts w:eastAsia="標楷體"/>
                <w:spacing w:val="-6"/>
                <w:kern w:val="0"/>
                <w:sz w:val="16"/>
                <w:szCs w:val="16"/>
                <w:lang w:bidi="hi-IN"/>
              </w:rPr>
            </w:pPr>
            <w:r w:rsidRPr="00D55DC6">
              <w:rPr>
                <w:rFonts w:eastAsia="標楷體"/>
                <w:spacing w:val="-6"/>
                <w:kern w:val="0"/>
                <w:sz w:val="16"/>
                <w:szCs w:val="16"/>
                <w:lang w:bidi="hi-IN"/>
              </w:rPr>
              <w:t>390,000</w:t>
            </w:r>
          </w:p>
        </w:tc>
        <w:tc>
          <w:tcPr>
            <w:tcW w:w="593" w:type="dxa"/>
            <w:tcBorders>
              <w:bottom w:val="double" w:sz="4" w:space="0" w:color="auto"/>
            </w:tcBorders>
            <w:shd w:val="clear" w:color="auto" w:fill="CCFFCC"/>
            <w:noWrap/>
            <w:vAlign w:val="center"/>
          </w:tcPr>
          <w:p w:rsidR="00DF2F67" w:rsidRPr="00D55DC6" w:rsidRDefault="00DF2F67" w:rsidP="00FA7F7B">
            <w:pPr>
              <w:widowControl/>
              <w:adjustRightInd w:val="0"/>
              <w:snapToGrid w:val="0"/>
              <w:jc w:val="right"/>
              <w:rPr>
                <w:rFonts w:eastAsia="標楷體"/>
                <w:spacing w:val="-6"/>
                <w:kern w:val="0"/>
                <w:sz w:val="16"/>
                <w:szCs w:val="16"/>
                <w:lang w:bidi="hi-IN"/>
              </w:rPr>
            </w:pPr>
            <w:r w:rsidRPr="00D55DC6">
              <w:rPr>
                <w:rFonts w:eastAsia="標楷體"/>
                <w:spacing w:val="-6"/>
                <w:kern w:val="0"/>
                <w:sz w:val="16"/>
                <w:szCs w:val="16"/>
                <w:lang w:bidi="hi-IN"/>
              </w:rPr>
              <w:t>425,000</w:t>
            </w:r>
          </w:p>
        </w:tc>
        <w:tc>
          <w:tcPr>
            <w:tcW w:w="628" w:type="dxa"/>
            <w:tcBorders>
              <w:bottom w:val="double" w:sz="4" w:space="0" w:color="auto"/>
            </w:tcBorders>
            <w:shd w:val="clear" w:color="auto" w:fill="CCFFCC"/>
            <w:noWrap/>
            <w:vAlign w:val="center"/>
          </w:tcPr>
          <w:p w:rsidR="00DF2F67" w:rsidRPr="00D55DC6" w:rsidRDefault="00DF2F67" w:rsidP="00FA7F7B">
            <w:pPr>
              <w:widowControl/>
              <w:adjustRightInd w:val="0"/>
              <w:snapToGrid w:val="0"/>
              <w:jc w:val="right"/>
              <w:rPr>
                <w:rFonts w:eastAsia="標楷體"/>
                <w:spacing w:val="-6"/>
                <w:kern w:val="0"/>
                <w:sz w:val="16"/>
                <w:szCs w:val="16"/>
                <w:lang w:bidi="hi-IN"/>
              </w:rPr>
            </w:pPr>
            <w:r w:rsidRPr="00D55DC6">
              <w:rPr>
                <w:rFonts w:eastAsia="標楷體"/>
                <w:spacing w:val="-6"/>
                <w:kern w:val="0"/>
                <w:sz w:val="16"/>
                <w:szCs w:val="16"/>
                <w:lang w:bidi="hi-IN"/>
              </w:rPr>
              <w:t>270,000</w:t>
            </w:r>
          </w:p>
        </w:tc>
        <w:tc>
          <w:tcPr>
            <w:tcW w:w="593" w:type="dxa"/>
            <w:tcBorders>
              <w:bottom w:val="double" w:sz="4" w:space="0" w:color="auto"/>
              <w:right w:val="single" w:sz="12" w:space="0" w:color="auto"/>
            </w:tcBorders>
            <w:shd w:val="clear" w:color="auto" w:fill="CCFFCC"/>
            <w:noWrap/>
            <w:vAlign w:val="center"/>
          </w:tcPr>
          <w:p w:rsidR="00DF2F67" w:rsidRPr="00D55DC6" w:rsidRDefault="00DF2F67" w:rsidP="00FA7F7B">
            <w:pPr>
              <w:widowControl/>
              <w:adjustRightInd w:val="0"/>
              <w:snapToGrid w:val="0"/>
              <w:jc w:val="right"/>
              <w:rPr>
                <w:rFonts w:eastAsia="標楷體"/>
                <w:spacing w:val="-6"/>
                <w:kern w:val="0"/>
                <w:sz w:val="16"/>
                <w:szCs w:val="16"/>
                <w:lang w:bidi="hi-IN"/>
              </w:rPr>
            </w:pPr>
            <w:r w:rsidRPr="00D55DC6">
              <w:rPr>
                <w:rFonts w:eastAsia="標楷體"/>
                <w:spacing w:val="-6"/>
                <w:kern w:val="0"/>
                <w:sz w:val="16"/>
                <w:szCs w:val="16"/>
                <w:lang w:bidi="hi-IN"/>
              </w:rPr>
              <w:t>260,000</w:t>
            </w:r>
          </w:p>
        </w:tc>
        <w:tc>
          <w:tcPr>
            <w:tcW w:w="593" w:type="dxa"/>
            <w:tcBorders>
              <w:left w:val="single" w:sz="12" w:space="0" w:color="auto"/>
              <w:bottom w:val="double" w:sz="4" w:space="0" w:color="auto"/>
            </w:tcBorders>
            <w:shd w:val="clear" w:color="auto" w:fill="CCFFCC"/>
            <w:noWrap/>
            <w:vAlign w:val="center"/>
          </w:tcPr>
          <w:p w:rsidR="00DF2F67" w:rsidRPr="00D55DC6" w:rsidRDefault="00DF2F67" w:rsidP="00FA7F7B">
            <w:pPr>
              <w:widowControl/>
              <w:adjustRightInd w:val="0"/>
              <w:snapToGrid w:val="0"/>
              <w:jc w:val="right"/>
              <w:rPr>
                <w:rFonts w:eastAsia="標楷體"/>
                <w:spacing w:val="-6"/>
                <w:kern w:val="0"/>
                <w:sz w:val="16"/>
                <w:szCs w:val="16"/>
                <w:lang w:bidi="hi-IN"/>
              </w:rPr>
            </w:pPr>
            <w:r w:rsidRPr="00D55DC6">
              <w:rPr>
                <w:rFonts w:eastAsia="標楷體"/>
                <w:spacing w:val="-6"/>
                <w:kern w:val="0"/>
                <w:sz w:val="16"/>
                <w:szCs w:val="16"/>
                <w:lang w:bidi="hi-IN"/>
              </w:rPr>
              <w:t>155,000</w:t>
            </w:r>
          </w:p>
        </w:tc>
        <w:tc>
          <w:tcPr>
            <w:tcW w:w="593" w:type="dxa"/>
            <w:tcBorders>
              <w:bottom w:val="double" w:sz="4" w:space="0" w:color="auto"/>
            </w:tcBorders>
            <w:shd w:val="clear" w:color="auto" w:fill="CCFFCC"/>
            <w:noWrap/>
            <w:vAlign w:val="center"/>
          </w:tcPr>
          <w:p w:rsidR="00DF2F67" w:rsidRPr="00D55DC6" w:rsidRDefault="00DF2F67" w:rsidP="00FA7F7B">
            <w:pPr>
              <w:widowControl/>
              <w:adjustRightInd w:val="0"/>
              <w:snapToGrid w:val="0"/>
              <w:jc w:val="right"/>
              <w:rPr>
                <w:rFonts w:eastAsia="標楷體"/>
                <w:spacing w:val="-6"/>
                <w:kern w:val="0"/>
                <w:sz w:val="16"/>
                <w:szCs w:val="16"/>
                <w:lang w:bidi="hi-IN"/>
              </w:rPr>
            </w:pPr>
            <w:r w:rsidRPr="00D55DC6">
              <w:rPr>
                <w:rFonts w:eastAsia="標楷體"/>
                <w:spacing w:val="-6"/>
                <w:kern w:val="0"/>
                <w:sz w:val="16"/>
                <w:szCs w:val="16"/>
                <w:lang w:bidi="hi-IN"/>
              </w:rPr>
              <w:t>155,000</w:t>
            </w:r>
          </w:p>
        </w:tc>
        <w:tc>
          <w:tcPr>
            <w:tcW w:w="602" w:type="dxa"/>
            <w:tcBorders>
              <w:bottom w:val="double" w:sz="4" w:space="0" w:color="auto"/>
            </w:tcBorders>
            <w:shd w:val="clear" w:color="auto" w:fill="CCFFCC"/>
            <w:noWrap/>
            <w:vAlign w:val="center"/>
          </w:tcPr>
          <w:p w:rsidR="00DF2F67" w:rsidRPr="00D55DC6" w:rsidRDefault="00DF2F67" w:rsidP="00FA7F7B">
            <w:pPr>
              <w:widowControl/>
              <w:adjustRightInd w:val="0"/>
              <w:snapToGrid w:val="0"/>
              <w:jc w:val="right"/>
              <w:rPr>
                <w:rFonts w:eastAsia="標楷體"/>
                <w:spacing w:val="-6"/>
                <w:kern w:val="0"/>
                <w:sz w:val="16"/>
                <w:szCs w:val="16"/>
                <w:lang w:bidi="hi-IN"/>
              </w:rPr>
            </w:pPr>
            <w:r w:rsidRPr="00D55DC6">
              <w:rPr>
                <w:rFonts w:eastAsia="標楷體"/>
                <w:spacing w:val="-6"/>
                <w:kern w:val="0"/>
                <w:sz w:val="16"/>
                <w:szCs w:val="16"/>
                <w:lang w:bidi="hi-IN"/>
              </w:rPr>
              <w:t>155,000</w:t>
            </w:r>
          </w:p>
        </w:tc>
        <w:tc>
          <w:tcPr>
            <w:tcW w:w="604" w:type="dxa"/>
            <w:tcBorders>
              <w:bottom w:val="double" w:sz="4" w:space="0" w:color="auto"/>
              <w:right w:val="single" w:sz="12" w:space="0" w:color="auto"/>
            </w:tcBorders>
            <w:shd w:val="clear" w:color="auto" w:fill="CCFFCC"/>
            <w:noWrap/>
            <w:vAlign w:val="center"/>
          </w:tcPr>
          <w:p w:rsidR="00DF2F67" w:rsidRPr="00D55DC6" w:rsidRDefault="00DF2F67" w:rsidP="00FA7F7B">
            <w:pPr>
              <w:widowControl/>
              <w:adjustRightInd w:val="0"/>
              <w:snapToGrid w:val="0"/>
              <w:jc w:val="right"/>
              <w:rPr>
                <w:rFonts w:eastAsia="標楷體"/>
                <w:spacing w:val="-6"/>
                <w:kern w:val="0"/>
                <w:sz w:val="16"/>
                <w:szCs w:val="16"/>
                <w:lang w:bidi="hi-IN"/>
              </w:rPr>
            </w:pPr>
            <w:r w:rsidRPr="00D55DC6">
              <w:rPr>
                <w:rFonts w:eastAsia="標楷體"/>
                <w:spacing w:val="-6"/>
                <w:kern w:val="0"/>
                <w:sz w:val="16"/>
                <w:szCs w:val="16"/>
                <w:lang w:bidi="hi-IN"/>
              </w:rPr>
              <w:t>155,000</w:t>
            </w:r>
          </w:p>
        </w:tc>
        <w:tc>
          <w:tcPr>
            <w:tcW w:w="593" w:type="dxa"/>
            <w:tcBorders>
              <w:left w:val="single" w:sz="12" w:space="0" w:color="auto"/>
              <w:bottom w:val="double" w:sz="4" w:space="0" w:color="auto"/>
            </w:tcBorders>
            <w:shd w:val="clear" w:color="auto" w:fill="CCFFCC"/>
            <w:noWrap/>
            <w:vAlign w:val="center"/>
          </w:tcPr>
          <w:p w:rsidR="00DF2F67" w:rsidRPr="00D55DC6" w:rsidRDefault="00DF2F67" w:rsidP="00FA7F7B">
            <w:pPr>
              <w:widowControl/>
              <w:adjustRightInd w:val="0"/>
              <w:snapToGrid w:val="0"/>
              <w:jc w:val="right"/>
              <w:rPr>
                <w:rFonts w:eastAsia="標楷體"/>
                <w:spacing w:val="-6"/>
                <w:kern w:val="0"/>
                <w:sz w:val="16"/>
                <w:szCs w:val="16"/>
                <w:lang w:bidi="hi-IN"/>
              </w:rPr>
            </w:pPr>
            <w:r w:rsidRPr="00D55DC6">
              <w:rPr>
                <w:rFonts w:eastAsia="標楷體"/>
                <w:spacing w:val="-6"/>
                <w:kern w:val="0"/>
                <w:sz w:val="16"/>
                <w:szCs w:val="16"/>
                <w:lang w:bidi="hi-IN"/>
              </w:rPr>
              <w:t>165,000</w:t>
            </w:r>
          </w:p>
        </w:tc>
        <w:tc>
          <w:tcPr>
            <w:tcW w:w="390" w:type="dxa"/>
            <w:tcBorders>
              <w:bottom w:val="double" w:sz="4" w:space="0" w:color="auto"/>
            </w:tcBorders>
            <w:shd w:val="clear" w:color="auto" w:fill="CCFFCC"/>
            <w:noWrap/>
            <w:vAlign w:val="center"/>
          </w:tcPr>
          <w:p w:rsidR="00DF2F67" w:rsidRPr="00D55DC6" w:rsidRDefault="00DF2F67" w:rsidP="00FA7F7B">
            <w:pPr>
              <w:widowControl/>
              <w:adjustRightInd w:val="0"/>
              <w:snapToGrid w:val="0"/>
              <w:rPr>
                <w:rFonts w:eastAsia="標楷體"/>
                <w:spacing w:val="-6"/>
                <w:kern w:val="0"/>
                <w:sz w:val="20"/>
                <w:szCs w:val="20"/>
                <w:lang w:bidi="hi-IN"/>
              </w:rPr>
            </w:pPr>
          </w:p>
        </w:tc>
        <w:tc>
          <w:tcPr>
            <w:tcW w:w="406" w:type="dxa"/>
            <w:tcBorders>
              <w:bottom w:val="double" w:sz="4" w:space="0" w:color="auto"/>
              <w:right w:val="double" w:sz="4" w:space="0" w:color="auto"/>
            </w:tcBorders>
            <w:shd w:val="clear" w:color="auto" w:fill="CCFFCC"/>
            <w:noWrap/>
            <w:vAlign w:val="center"/>
          </w:tcPr>
          <w:p w:rsidR="00DF2F67" w:rsidRPr="00D55DC6" w:rsidRDefault="00DF2F67" w:rsidP="00FA7F7B">
            <w:pPr>
              <w:widowControl/>
              <w:adjustRightInd w:val="0"/>
              <w:snapToGrid w:val="0"/>
              <w:rPr>
                <w:rFonts w:eastAsia="標楷體"/>
                <w:spacing w:val="-6"/>
                <w:kern w:val="0"/>
                <w:sz w:val="20"/>
                <w:szCs w:val="20"/>
                <w:lang w:bidi="hi-IN"/>
              </w:rPr>
            </w:pPr>
          </w:p>
        </w:tc>
      </w:tr>
      <w:tr w:rsidR="001D0350" w:rsidRPr="00D55DC6" w:rsidTr="00040EDC">
        <w:trPr>
          <w:trHeight w:val="372"/>
          <w:jc w:val="center"/>
        </w:trPr>
        <w:tc>
          <w:tcPr>
            <w:tcW w:w="536" w:type="dxa"/>
            <w:vMerge w:val="restart"/>
            <w:tcBorders>
              <w:top w:val="double" w:sz="4" w:space="0" w:color="auto"/>
              <w:left w:val="double" w:sz="4" w:space="0" w:color="auto"/>
            </w:tcBorders>
            <w:shd w:val="clear" w:color="auto" w:fill="DBE5F1" w:themeFill="accent1" w:themeFillTint="33"/>
            <w:noWrap/>
            <w:vAlign w:val="center"/>
          </w:tcPr>
          <w:p w:rsidR="00DF2F67" w:rsidRPr="00D55DC6" w:rsidRDefault="00DF2F67" w:rsidP="00FA7F7B">
            <w:pPr>
              <w:widowControl/>
              <w:adjustRightInd w:val="0"/>
              <w:snapToGrid w:val="0"/>
              <w:spacing w:line="460" w:lineRule="exact"/>
              <w:jc w:val="center"/>
              <w:rPr>
                <w:rFonts w:eastAsia="標楷體"/>
                <w:spacing w:val="-6"/>
                <w:kern w:val="0"/>
                <w:sz w:val="20"/>
                <w:szCs w:val="20"/>
                <w:lang w:bidi="hi-IN"/>
              </w:rPr>
            </w:pPr>
            <w:r w:rsidRPr="00D55DC6">
              <w:rPr>
                <w:rFonts w:eastAsia="標楷體"/>
                <w:spacing w:val="-6"/>
                <w:kern w:val="0"/>
                <w:sz w:val="20"/>
                <w:szCs w:val="20"/>
                <w:lang w:bidi="hi-IN"/>
              </w:rPr>
              <w:t>合計</w:t>
            </w:r>
          </w:p>
        </w:tc>
        <w:tc>
          <w:tcPr>
            <w:tcW w:w="2837" w:type="dxa"/>
            <w:gridSpan w:val="2"/>
            <w:vMerge w:val="restart"/>
            <w:tcBorders>
              <w:top w:val="double" w:sz="4" w:space="0" w:color="auto"/>
              <w:left w:val="double" w:sz="4" w:space="0" w:color="auto"/>
            </w:tcBorders>
            <w:shd w:val="clear" w:color="auto" w:fill="DBE5F1" w:themeFill="accent1" w:themeFillTint="33"/>
            <w:vAlign w:val="center"/>
          </w:tcPr>
          <w:p w:rsidR="00DF2F67" w:rsidRPr="00D55DC6" w:rsidRDefault="00DF2F67" w:rsidP="00FA7F7B">
            <w:pPr>
              <w:widowControl/>
              <w:adjustRightInd w:val="0"/>
              <w:snapToGrid w:val="0"/>
              <w:jc w:val="center"/>
              <w:rPr>
                <w:rFonts w:eastAsia="標楷體"/>
                <w:spacing w:val="-6"/>
                <w:kern w:val="0"/>
                <w:sz w:val="16"/>
                <w:szCs w:val="16"/>
                <w:lang w:bidi="hi-IN"/>
              </w:rPr>
            </w:pPr>
          </w:p>
        </w:tc>
        <w:tc>
          <w:tcPr>
            <w:tcW w:w="593" w:type="dxa"/>
            <w:vMerge w:val="restart"/>
            <w:tcBorders>
              <w:top w:val="double" w:sz="4" w:space="0" w:color="auto"/>
            </w:tcBorders>
            <w:shd w:val="clear" w:color="auto" w:fill="DBE5F1" w:themeFill="accent1" w:themeFillTint="33"/>
            <w:noWrap/>
          </w:tcPr>
          <w:p w:rsidR="00DF2F67" w:rsidRPr="00D55DC6" w:rsidRDefault="00DF2F67" w:rsidP="009D33BA">
            <w:pPr>
              <w:widowControl/>
              <w:adjustRightInd w:val="0"/>
              <w:snapToGrid w:val="0"/>
              <w:spacing w:beforeLines="65" w:before="234"/>
              <w:jc w:val="center"/>
              <w:rPr>
                <w:rFonts w:eastAsia="標楷體"/>
                <w:spacing w:val="-10"/>
                <w:kern w:val="0"/>
                <w:sz w:val="16"/>
                <w:szCs w:val="16"/>
                <w:lang w:bidi="hi-IN"/>
              </w:rPr>
            </w:pPr>
            <w:r w:rsidRPr="00D55DC6">
              <w:rPr>
                <w:rFonts w:eastAsia="標楷體"/>
                <w:spacing w:val="-10"/>
                <w:kern w:val="0"/>
                <w:sz w:val="16"/>
                <w:szCs w:val="16"/>
                <w:lang w:bidi="hi-IN"/>
              </w:rPr>
              <w:t>2</w:t>
            </w:r>
            <w:r w:rsidR="00040EDC" w:rsidRPr="00D55DC6">
              <w:rPr>
                <w:rFonts w:eastAsia="標楷體"/>
                <w:spacing w:val="-10"/>
                <w:kern w:val="0"/>
                <w:sz w:val="16"/>
                <w:szCs w:val="16"/>
                <w:lang w:bidi="hi-IN"/>
              </w:rPr>
              <w:t>2</w:t>
            </w:r>
            <w:r w:rsidRPr="00D55DC6">
              <w:rPr>
                <w:rFonts w:eastAsia="標楷體"/>
                <w:spacing w:val="-10"/>
                <w:kern w:val="0"/>
                <w:sz w:val="16"/>
                <w:szCs w:val="16"/>
                <w:lang w:bidi="hi-IN"/>
              </w:rPr>
              <w:t>6,000</w:t>
            </w:r>
          </w:p>
        </w:tc>
        <w:tc>
          <w:tcPr>
            <w:tcW w:w="601" w:type="dxa"/>
            <w:vMerge w:val="restart"/>
            <w:tcBorders>
              <w:top w:val="double" w:sz="4" w:space="0" w:color="auto"/>
              <w:right w:val="single" w:sz="12" w:space="0" w:color="auto"/>
            </w:tcBorders>
            <w:shd w:val="clear" w:color="auto" w:fill="DBE5F1" w:themeFill="accent1" w:themeFillTint="33"/>
          </w:tcPr>
          <w:p w:rsidR="00DF2F67" w:rsidRPr="00D55DC6" w:rsidRDefault="00DF2F67" w:rsidP="009D33BA">
            <w:pPr>
              <w:widowControl/>
              <w:adjustRightInd w:val="0"/>
              <w:snapToGrid w:val="0"/>
              <w:spacing w:beforeLines="65" w:before="234"/>
              <w:jc w:val="center"/>
              <w:rPr>
                <w:rFonts w:eastAsia="標楷體"/>
                <w:spacing w:val="-10"/>
                <w:kern w:val="0"/>
                <w:sz w:val="16"/>
                <w:szCs w:val="16"/>
                <w:lang w:bidi="hi-IN"/>
              </w:rPr>
            </w:pPr>
            <w:r w:rsidRPr="00D55DC6">
              <w:rPr>
                <w:rFonts w:eastAsia="標楷體"/>
                <w:spacing w:val="-10"/>
                <w:kern w:val="0"/>
                <w:sz w:val="16"/>
                <w:szCs w:val="16"/>
                <w:lang w:bidi="hi-IN"/>
              </w:rPr>
              <w:t>2</w:t>
            </w:r>
            <w:r w:rsidR="00040EDC" w:rsidRPr="00D55DC6">
              <w:rPr>
                <w:rFonts w:eastAsia="標楷體"/>
                <w:spacing w:val="-10"/>
                <w:kern w:val="0"/>
                <w:sz w:val="16"/>
                <w:szCs w:val="16"/>
                <w:lang w:bidi="hi-IN"/>
              </w:rPr>
              <w:t>5</w:t>
            </w:r>
            <w:r w:rsidRPr="00D55DC6">
              <w:rPr>
                <w:rFonts w:eastAsia="標楷體"/>
                <w:spacing w:val="-10"/>
                <w:kern w:val="0"/>
                <w:sz w:val="16"/>
                <w:szCs w:val="16"/>
                <w:lang w:bidi="hi-IN"/>
              </w:rPr>
              <w:t>0,000</w:t>
            </w:r>
          </w:p>
        </w:tc>
        <w:tc>
          <w:tcPr>
            <w:tcW w:w="593" w:type="dxa"/>
            <w:tcBorders>
              <w:top w:val="double" w:sz="4" w:space="0" w:color="auto"/>
              <w:left w:val="single" w:sz="12" w:space="0" w:color="auto"/>
            </w:tcBorders>
            <w:shd w:val="clear" w:color="auto" w:fill="DBE5F1" w:themeFill="accent1" w:themeFillTint="33"/>
            <w:noWrap/>
          </w:tcPr>
          <w:p w:rsidR="00DF2F67" w:rsidRPr="00D55DC6" w:rsidRDefault="00DF2F67" w:rsidP="009D33BA">
            <w:pPr>
              <w:widowControl/>
              <w:adjustRightInd w:val="0"/>
              <w:snapToGrid w:val="0"/>
              <w:spacing w:beforeLines="65" w:before="234"/>
              <w:jc w:val="center"/>
              <w:rPr>
                <w:rFonts w:eastAsia="標楷體"/>
                <w:spacing w:val="-10"/>
                <w:kern w:val="0"/>
                <w:sz w:val="16"/>
                <w:szCs w:val="16"/>
                <w:lang w:bidi="hi-IN"/>
              </w:rPr>
            </w:pPr>
            <w:r w:rsidRPr="00D55DC6">
              <w:rPr>
                <w:rFonts w:eastAsia="標楷體"/>
                <w:spacing w:val="-10"/>
                <w:kern w:val="0"/>
                <w:sz w:val="16"/>
                <w:szCs w:val="16"/>
                <w:lang w:bidi="hi-IN"/>
              </w:rPr>
              <w:t>4</w:t>
            </w:r>
            <w:r w:rsidR="00040EDC" w:rsidRPr="00D55DC6">
              <w:rPr>
                <w:rFonts w:eastAsia="標楷體"/>
                <w:spacing w:val="-10"/>
                <w:kern w:val="0"/>
                <w:sz w:val="16"/>
                <w:szCs w:val="16"/>
                <w:lang w:bidi="hi-IN"/>
              </w:rPr>
              <w:t>7</w:t>
            </w:r>
            <w:r w:rsidRPr="00D55DC6">
              <w:rPr>
                <w:rFonts w:eastAsia="標楷體"/>
                <w:spacing w:val="-10"/>
                <w:kern w:val="0"/>
                <w:sz w:val="16"/>
                <w:szCs w:val="16"/>
                <w:lang w:bidi="hi-IN"/>
              </w:rPr>
              <w:t>0,000</w:t>
            </w:r>
          </w:p>
        </w:tc>
        <w:tc>
          <w:tcPr>
            <w:tcW w:w="593" w:type="dxa"/>
            <w:tcBorders>
              <w:top w:val="double" w:sz="4" w:space="0" w:color="auto"/>
            </w:tcBorders>
            <w:shd w:val="clear" w:color="auto" w:fill="DBE5F1" w:themeFill="accent1" w:themeFillTint="33"/>
            <w:noWrap/>
          </w:tcPr>
          <w:p w:rsidR="00DF2F67" w:rsidRPr="00D55DC6" w:rsidRDefault="00DF2F67" w:rsidP="009D33BA">
            <w:pPr>
              <w:widowControl/>
              <w:adjustRightInd w:val="0"/>
              <w:snapToGrid w:val="0"/>
              <w:spacing w:beforeLines="65" w:before="234"/>
              <w:jc w:val="center"/>
              <w:rPr>
                <w:rFonts w:eastAsia="標楷體"/>
                <w:spacing w:val="-10"/>
                <w:kern w:val="0"/>
                <w:sz w:val="16"/>
                <w:szCs w:val="16"/>
                <w:lang w:bidi="hi-IN"/>
              </w:rPr>
            </w:pPr>
            <w:r w:rsidRPr="00D55DC6">
              <w:rPr>
                <w:rFonts w:eastAsia="標楷體"/>
                <w:spacing w:val="-10"/>
                <w:kern w:val="0"/>
                <w:sz w:val="16"/>
                <w:szCs w:val="16"/>
                <w:lang w:bidi="hi-IN"/>
              </w:rPr>
              <w:t>5</w:t>
            </w:r>
            <w:r w:rsidR="00040EDC" w:rsidRPr="00D55DC6">
              <w:rPr>
                <w:rFonts w:eastAsia="標楷體"/>
                <w:spacing w:val="-10"/>
                <w:kern w:val="0"/>
                <w:sz w:val="16"/>
                <w:szCs w:val="16"/>
                <w:lang w:bidi="hi-IN"/>
              </w:rPr>
              <w:t>0</w:t>
            </w:r>
            <w:r w:rsidRPr="00D55DC6">
              <w:rPr>
                <w:rFonts w:eastAsia="標楷體"/>
                <w:spacing w:val="-10"/>
                <w:kern w:val="0"/>
                <w:sz w:val="16"/>
                <w:szCs w:val="16"/>
                <w:lang w:bidi="hi-IN"/>
              </w:rPr>
              <w:t>5,000</w:t>
            </w:r>
          </w:p>
        </w:tc>
        <w:tc>
          <w:tcPr>
            <w:tcW w:w="628" w:type="dxa"/>
            <w:tcBorders>
              <w:top w:val="double" w:sz="4" w:space="0" w:color="auto"/>
            </w:tcBorders>
            <w:shd w:val="clear" w:color="auto" w:fill="DBE5F1" w:themeFill="accent1" w:themeFillTint="33"/>
            <w:noWrap/>
          </w:tcPr>
          <w:p w:rsidR="00DF2F67" w:rsidRPr="00D55DC6" w:rsidRDefault="00DF2F67" w:rsidP="009D33BA">
            <w:pPr>
              <w:widowControl/>
              <w:adjustRightInd w:val="0"/>
              <w:snapToGrid w:val="0"/>
              <w:spacing w:beforeLines="65" w:before="234"/>
              <w:jc w:val="center"/>
              <w:rPr>
                <w:rFonts w:eastAsia="標楷體"/>
                <w:spacing w:val="-10"/>
                <w:kern w:val="0"/>
                <w:sz w:val="16"/>
                <w:szCs w:val="16"/>
                <w:lang w:bidi="hi-IN"/>
              </w:rPr>
            </w:pPr>
            <w:r w:rsidRPr="00D55DC6">
              <w:rPr>
                <w:rFonts w:eastAsia="標楷體"/>
                <w:spacing w:val="-10"/>
                <w:kern w:val="0"/>
                <w:sz w:val="16"/>
                <w:szCs w:val="16"/>
                <w:lang w:bidi="hi-IN"/>
              </w:rPr>
              <w:t>3</w:t>
            </w:r>
            <w:r w:rsidR="00040EDC" w:rsidRPr="00D55DC6">
              <w:rPr>
                <w:rFonts w:eastAsia="標楷體"/>
                <w:spacing w:val="-10"/>
                <w:kern w:val="0"/>
                <w:sz w:val="16"/>
                <w:szCs w:val="16"/>
                <w:lang w:bidi="hi-IN"/>
              </w:rPr>
              <w:t>50</w:t>
            </w:r>
            <w:r w:rsidRPr="00D55DC6">
              <w:rPr>
                <w:rFonts w:eastAsia="標楷體"/>
                <w:spacing w:val="-10"/>
                <w:kern w:val="0"/>
                <w:sz w:val="16"/>
                <w:szCs w:val="16"/>
                <w:lang w:bidi="hi-IN"/>
              </w:rPr>
              <w:t>,000</w:t>
            </w:r>
          </w:p>
        </w:tc>
        <w:tc>
          <w:tcPr>
            <w:tcW w:w="593" w:type="dxa"/>
            <w:tcBorders>
              <w:top w:val="double" w:sz="4" w:space="0" w:color="auto"/>
              <w:right w:val="single" w:sz="12" w:space="0" w:color="auto"/>
            </w:tcBorders>
            <w:shd w:val="clear" w:color="auto" w:fill="DBE5F1" w:themeFill="accent1" w:themeFillTint="33"/>
            <w:noWrap/>
          </w:tcPr>
          <w:p w:rsidR="00DF2F67" w:rsidRPr="00D55DC6" w:rsidRDefault="00DF2F67" w:rsidP="009D33BA">
            <w:pPr>
              <w:widowControl/>
              <w:adjustRightInd w:val="0"/>
              <w:snapToGrid w:val="0"/>
              <w:spacing w:beforeLines="65" w:before="234"/>
              <w:jc w:val="center"/>
              <w:rPr>
                <w:rFonts w:eastAsia="標楷體"/>
                <w:spacing w:val="-10"/>
                <w:kern w:val="0"/>
                <w:sz w:val="16"/>
                <w:szCs w:val="16"/>
                <w:lang w:bidi="hi-IN"/>
              </w:rPr>
            </w:pPr>
            <w:r w:rsidRPr="00D55DC6">
              <w:rPr>
                <w:rFonts w:eastAsia="標楷體"/>
                <w:spacing w:val="-10"/>
                <w:kern w:val="0"/>
                <w:sz w:val="16"/>
                <w:szCs w:val="16"/>
                <w:lang w:bidi="hi-IN"/>
              </w:rPr>
              <w:t>34</w:t>
            </w:r>
            <w:r w:rsidR="00040EDC" w:rsidRPr="00D55DC6">
              <w:rPr>
                <w:rFonts w:eastAsia="標楷體"/>
                <w:spacing w:val="-10"/>
                <w:kern w:val="0"/>
                <w:sz w:val="16"/>
                <w:szCs w:val="16"/>
                <w:lang w:bidi="hi-IN"/>
              </w:rPr>
              <w:t>0</w:t>
            </w:r>
            <w:r w:rsidRPr="00D55DC6">
              <w:rPr>
                <w:rFonts w:eastAsia="標楷體"/>
                <w:spacing w:val="-10"/>
                <w:kern w:val="0"/>
                <w:sz w:val="16"/>
                <w:szCs w:val="16"/>
                <w:lang w:bidi="hi-IN"/>
              </w:rPr>
              <w:t>,000</w:t>
            </w:r>
          </w:p>
        </w:tc>
        <w:tc>
          <w:tcPr>
            <w:tcW w:w="593" w:type="dxa"/>
            <w:tcBorders>
              <w:top w:val="double" w:sz="4" w:space="0" w:color="auto"/>
              <w:left w:val="single" w:sz="12" w:space="0" w:color="auto"/>
            </w:tcBorders>
            <w:shd w:val="clear" w:color="auto" w:fill="DBE5F1" w:themeFill="accent1" w:themeFillTint="33"/>
            <w:noWrap/>
          </w:tcPr>
          <w:p w:rsidR="00DF2F67" w:rsidRPr="00D55DC6" w:rsidRDefault="00DF2F67" w:rsidP="009D33BA">
            <w:pPr>
              <w:widowControl/>
              <w:adjustRightInd w:val="0"/>
              <w:snapToGrid w:val="0"/>
              <w:spacing w:beforeLines="65" w:before="234"/>
              <w:jc w:val="center"/>
              <w:rPr>
                <w:rFonts w:eastAsia="標楷體"/>
                <w:spacing w:val="-10"/>
                <w:kern w:val="0"/>
                <w:sz w:val="16"/>
                <w:szCs w:val="16"/>
                <w:lang w:bidi="hi-IN"/>
              </w:rPr>
            </w:pPr>
            <w:r w:rsidRPr="00D55DC6">
              <w:rPr>
                <w:rFonts w:eastAsia="標楷體"/>
                <w:spacing w:val="-10"/>
                <w:kern w:val="0"/>
                <w:sz w:val="16"/>
                <w:szCs w:val="16"/>
                <w:lang w:bidi="hi-IN"/>
              </w:rPr>
              <w:t>2</w:t>
            </w:r>
            <w:r w:rsidR="00040EDC" w:rsidRPr="00D55DC6">
              <w:rPr>
                <w:rFonts w:eastAsia="標楷體"/>
                <w:spacing w:val="-10"/>
                <w:kern w:val="0"/>
                <w:sz w:val="16"/>
                <w:szCs w:val="16"/>
                <w:lang w:bidi="hi-IN"/>
              </w:rPr>
              <w:t>50</w:t>
            </w:r>
            <w:r w:rsidRPr="00D55DC6">
              <w:rPr>
                <w:rFonts w:eastAsia="標楷體"/>
                <w:spacing w:val="-10"/>
                <w:kern w:val="0"/>
                <w:sz w:val="16"/>
                <w:szCs w:val="16"/>
                <w:lang w:bidi="hi-IN"/>
              </w:rPr>
              <w:t>,000</w:t>
            </w:r>
          </w:p>
        </w:tc>
        <w:tc>
          <w:tcPr>
            <w:tcW w:w="593" w:type="dxa"/>
            <w:tcBorders>
              <w:top w:val="double" w:sz="4" w:space="0" w:color="auto"/>
            </w:tcBorders>
            <w:shd w:val="clear" w:color="auto" w:fill="DBE5F1" w:themeFill="accent1" w:themeFillTint="33"/>
            <w:noWrap/>
          </w:tcPr>
          <w:p w:rsidR="00DF2F67" w:rsidRPr="00D55DC6" w:rsidRDefault="00DF2F67" w:rsidP="009D33BA">
            <w:pPr>
              <w:widowControl/>
              <w:adjustRightInd w:val="0"/>
              <w:snapToGrid w:val="0"/>
              <w:spacing w:beforeLines="65" w:before="234"/>
              <w:jc w:val="center"/>
              <w:rPr>
                <w:rFonts w:eastAsia="標楷體"/>
                <w:spacing w:val="-10"/>
                <w:kern w:val="0"/>
                <w:sz w:val="16"/>
                <w:szCs w:val="16"/>
                <w:lang w:bidi="hi-IN"/>
              </w:rPr>
            </w:pPr>
            <w:r w:rsidRPr="00D55DC6">
              <w:rPr>
                <w:rFonts w:eastAsia="標楷體"/>
                <w:spacing w:val="-10"/>
                <w:kern w:val="0"/>
                <w:sz w:val="16"/>
                <w:szCs w:val="16"/>
                <w:lang w:bidi="hi-IN"/>
              </w:rPr>
              <w:t>2</w:t>
            </w:r>
            <w:r w:rsidR="00040EDC" w:rsidRPr="00D55DC6">
              <w:rPr>
                <w:rFonts w:eastAsia="標楷體"/>
                <w:spacing w:val="-10"/>
                <w:kern w:val="0"/>
                <w:sz w:val="16"/>
                <w:szCs w:val="16"/>
                <w:lang w:bidi="hi-IN"/>
              </w:rPr>
              <w:t>50</w:t>
            </w:r>
            <w:r w:rsidRPr="00D55DC6">
              <w:rPr>
                <w:rFonts w:eastAsia="標楷體"/>
                <w:spacing w:val="-10"/>
                <w:kern w:val="0"/>
                <w:sz w:val="16"/>
                <w:szCs w:val="16"/>
                <w:lang w:bidi="hi-IN"/>
              </w:rPr>
              <w:t>,000</w:t>
            </w:r>
          </w:p>
        </w:tc>
        <w:tc>
          <w:tcPr>
            <w:tcW w:w="602" w:type="dxa"/>
            <w:tcBorders>
              <w:top w:val="double" w:sz="4" w:space="0" w:color="auto"/>
            </w:tcBorders>
            <w:shd w:val="clear" w:color="auto" w:fill="DBE5F1" w:themeFill="accent1" w:themeFillTint="33"/>
            <w:noWrap/>
          </w:tcPr>
          <w:p w:rsidR="00DF2F67" w:rsidRPr="00D55DC6" w:rsidRDefault="00DF2F67" w:rsidP="009D33BA">
            <w:pPr>
              <w:widowControl/>
              <w:adjustRightInd w:val="0"/>
              <w:snapToGrid w:val="0"/>
              <w:spacing w:beforeLines="65" w:before="234"/>
              <w:jc w:val="center"/>
              <w:rPr>
                <w:rFonts w:eastAsia="標楷體"/>
                <w:spacing w:val="-10"/>
                <w:kern w:val="0"/>
                <w:sz w:val="16"/>
                <w:szCs w:val="16"/>
                <w:lang w:bidi="hi-IN"/>
              </w:rPr>
            </w:pPr>
            <w:r w:rsidRPr="00D55DC6">
              <w:rPr>
                <w:rFonts w:eastAsia="標楷體"/>
                <w:spacing w:val="-10"/>
                <w:kern w:val="0"/>
                <w:sz w:val="16"/>
                <w:szCs w:val="16"/>
                <w:lang w:bidi="hi-IN"/>
              </w:rPr>
              <w:t>2</w:t>
            </w:r>
            <w:r w:rsidR="00040EDC" w:rsidRPr="00D55DC6">
              <w:rPr>
                <w:rFonts w:eastAsia="標楷體"/>
                <w:spacing w:val="-10"/>
                <w:kern w:val="0"/>
                <w:sz w:val="16"/>
                <w:szCs w:val="16"/>
                <w:lang w:bidi="hi-IN"/>
              </w:rPr>
              <w:t>50</w:t>
            </w:r>
            <w:r w:rsidRPr="00D55DC6">
              <w:rPr>
                <w:rFonts w:eastAsia="標楷體"/>
                <w:spacing w:val="-10"/>
                <w:kern w:val="0"/>
                <w:sz w:val="16"/>
                <w:szCs w:val="16"/>
                <w:lang w:bidi="hi-IN"/>
              </w:rPr>
              <w:t>,</w:t>
            </w:r>
            <w:r w:rsidR="00040EDC" w:rsidRPr="00D55DC6">
              <w:rPr>
                <w:rFonts w:eastAsia="標楷體"/>
                <w:spacing w:val="-10"/>
                <w:kern w:val="0"/>
                <w:sz w:val="16"/>
                <w:szCs w:val="16"/>
                <w:lang w:bidi="hi-IN"/>
              </w:rPr>
              <w:t>0</w:t>
            </w:r>
            <w:r w:rsidRPr="00D55DC6">
              <w:rPr>
                <w:rFonts w:eastAsia="標楷體"/>
                <w:spacing w:val="-10"/>
                <w:kern w:val="0"/>
                <w:sz w:val="16"/>
                <w:szCs w:val="16"/>
                <w:lang w:bidi="hi-IN"/>
              </w:rPr>
              <w:t>00</w:t>
            </w:r>
          </w:p>
        </w:tc>
        <w:tc>
          <w:tcPr>
            <w:tcW w:w="604" w:type="dxa"/>
            <w:tcBorders>
              <w:top w:val="double" w:sz="4" w:space="0" w:color="auto"/>
              <w:right w:val="single" w:sz="12" w:space="0" w:color="auto"/>
            </w:tcBorders>
            <w:shd w:val="clear" w:color="auto" w:fill="DBE5F1" w:themeFill="accent1" w:themeFillTint="33"/>
            <w:noWrap/>
          </w:tcPr>
          <w:p w:rsidR="00DF2F67" w:rsidRPr="00D55DC6" w:rsidRDefault="00DF2F67" w:rsidP="009D33BA">
            <w:pPr>
              <w:widowControl/>
              <w:adjustRightInd w:val="0"/>
              <w:snapToGrid w:val="0"/>
              <w:spacing w:beforeLines="65" w:before="234"/>
              <w:jc w:val="center"/>
              <w:rPr>
                <w:rFonts w:eastAsia="標楷體"/>
                <w:spacing w:val="-10"/>
                <w:kern w:val="0"/>
                <w:sz w:val="16"/>
                <w:szCs w:val="16"/>
                <w:lang w:bidi="hi-IN"/>
              </w:rPr>
            </w:pPr>
            <w:r w:rsidRPr="00D55DC6">
              <w:rPr>
                <w:rFonts w:eastAsia="標楷體"/>
                <w:spacing w:val="-10"/>
                <w:kern w:val="0"/>
                <w:sz w:val="16"/>
                <w:szCs w:val="16"/>
                <w:lang w:bidi="hi-IN"/>
              </w:rPr>
              <w:t>2</w:t>
            </w:r>
            <w:r w:rsidR="00040EDC" w:rsidRPr="00D55DC6">
              <w:rPr>
                <w:rFonts w:eastAsia="標楷體"/>
                <w:spacing w:val="-10"/>
                <w:kern w:val="0"/>
                <w:sz w:val="16"/>
                <w:szCs w:val="16"/>
                <w:lang w:bidi="hi-IN"/>
              </w:rPr>
              <w:t>50</w:t>
            </w:r>
            <w:r w:rsidRPr="00D55DC6">
              <w:rPr>
                <w:rFonts w:eastAsia="標楷體"/>
                <w:spacing w:val="-10"/>
                <w:kern w:val="0"/>
                <w:sz w:val="16"/>
                <w:szCs w:val="16"/>
                <w:lang w:bidi="hi-IN"/>
              </w:rPr>
              <w:t>,</w:t>
            </w:r>
            <w:r w:rsidR="00040EDC" w:rsidRPr="00D55DC6">
              <w:rPr>
                <w:rFonts w:eastAsia="標楷體"/>
                <w:spacing w:val="-10"/>
                <w:kern w:val="0"/>
                <w:sz w:val="16"/>
                <w:szCs w:val="16"/>
                <w:lang w:bidi="hi-IN"/>
              </w:rPr>
              <w:t>0</w:t>
            </w:r>
            <w:r w:rsidRPr="00D55DC6">
              <w:rPr>
                <w:rFonts w:eastAsia="標楷體"/>
                <w:spacing w:val="-10"/>
                <w:kern w:val="0"/>
                <w:sz w:val="16"/>
                <w:szCs w:val="16"/>
                <w:lang w:bidi="hi-IN"/>
              </w:rPr>
              <w:t>00</w:t>
            </w:r>
          </w:p>
        </w:tc>
        <w:tc>
          <w:tcPr>
            <w:tcW w:w="593" w:type="dxa"/>
            <w:vMerge w:val="restart"/>
            <w:tcBorders>
              <w:top w:val="double" w:sz="4" w:space="0" w:color="auto"/>
              <w:left w:val="single" w:sz="12" w:space="0" w:color="auto"/>
            </w:tcBorders>
            <w:shd w:val="clear" w:color="auto" w:fill="DBE5F1" w:themeFill="accent1" w:themeFillTint="33"/>
            <w:noWrap/>
          </w:tcPr>
          <w:p w:rsidR="00DF2F67" w:rsidRPr="00D55DC6" w:rsidRDefault="00DF2F67" w:rsidP="009D33BA">
            <w:pPr>
              <w:widowControl/>
              <w:adjustRightInd w:val="0"/>
              <w:snapToGrid w:val="0"/>
              <w:spacing w:beforeLines="65" w:before="234"/>
              <w:jc w:val="center"/>
              <w:rPr>
                <w:rFonts w:eastAsia="標楷體"/>
                <w:spacing w:val="-10"/>
                <w:kern w:val="0"/>
                <w:sz w:val="16"/>
                <w:szCs w:val="16"/>
                <w:lang w:bidi="hi-IN"/>
              </w:rPr>
            </w:pPr>
            <w:r w:rsidRPr="00D55DC6">
              <w:rPr>
                <w:rFonts w:eastAsia="標楷體"/>
                <w:spacing w:val="-10"/>
                <w:kern w:val="0"/>
                <w:sz w:val="16"/>
                <w:szCs w:val="16"/>
                <w:lang w:bidi="hi-IN"/>
              </w:rPr>
              <w:t>2</w:t>
            </w:r>
            <w:r w:rsidR="00040EDC" w:rsidRPr="00D55DC6">
              <w:rPr>
                <w:rFonts w:eastAsia="標楷體"/>
                <w:spacing w:val="-10"/>
                <w:kern w:val="0"/>
                <w:sz w:val="16"/>
                <w:szCs w:val="16"/>
                <w:lang w:bidi="hi-IN"/>
              </w:rPr>
              <w:t>60</w:t>
            </w:r>
            <w:r w:rsidRPr="00D55DC6">
              <w:rPr>
                <w:rFonts w:eastAsia="標楷體"/>
                <w:spacing w:val="-10"/>
                <w:kern w:val="0"/>
                <w:sz w:val="16"/>
                <w:szCs w:val="16"/>
                <w:lang w:bidi="hi-IN"/>
              </w:rPr>
              <w:t>,</w:t>
            </w:r>
            <w:r w:rsidR="00040EDC" w:rsidRPr="00D55DC6">
              <w:rPr>
                <w:rFonts w:eastAsia="標楷體"/>
                <w:spacing w:val="-10"/>
                <w:kern w:val="0"/>
                <w:sz w:val="16"/>
                <w:szCs w:val="16"/>
                <w:lang w:bidi="hi-IN"/>
              </w:rPr>
              <w:t>0</w:t>
            </w:r>
            <w:r w:rsidRPr="00D55DC6">
              <w:rPr>
                <w:rFonts w:eastAsia="標楷體"/>
                <w:spacing w:val="-10"/>
                <w:kern w:val="0"/>
                <w:sz w:val="16"/>
                <w:szCs w:val="16"/>
                <w:lang w:bidi="hi-IN"/>
              </w:rPr>
              <w:t>00</w:t>
            </w:r>
          </w:p>
        </w:tc>
        <w:tc>
          <w:tcPr>
            <w:tcW w:w="390" w:type="dxa"/>
            <w:vMerge w:val="restart"/>
            <w:tcBorders>
              <w:top w:val="double" w:sz="4" w:space="0" w:color="auto"/>
            </w:tcBorders>
            <w:shd w:val="clear" w:color="auto" w:fill="DBE5F1" w:themeFill="accent1" w:themeFillTint="33"/>
            <w:noWrap/>
            <w:vAlign w:val="center"/>
          </w:tcPr>
          <w:p w:rsidR="00DF2F67" w:rsidRPr="00D55DC6" w:rsidRDefault="00DF2F67" w:rsidP="00FA7F7B">
            <w:pPr>
              <w:widowControl/>
              <w:adjustRightInd w:val="0"/>
              <w:snapToGrid w:val="0"/>
              <w:rPr>
                <w:rFonts w:eastAsia="標楷體"/>
                <w:kern w:val="0"/>
                <w:sz w:val="16"/>
                <w:szCs w:val="16"/>
                <w:lang w:bidi="hi-IN"/>
              </w:rPr>
            </w:pPr>
          </w:p>
        </w:tc>
        <w:tc>
          <w:tcPr>
            <w:tcW w:w="406" w:type="dxa"/>
            <w:vMerge w:val="restart"/>
            <w:tcBorders>
              <w:top w:val="double" w:sz="4" w:space="0" w:color="auto"/>
              <w:right w:val="double" w:sz="4" w:space="0" w:color="auto"/>
            </w:tcBorders>
            <w:shd w:val="clear" w:color="auto" w:fill="DBE5F1" w:themeFill="accent1" w:themeFillTint="33"/>
            <w:noWrap/>
            <w:vAlign w:val="center"/>
          </w:tcPr>
          <w:p w:rsidR="00DF2F67" w:rsidRPr="00D55DC6" w:rsidRDefault="00DF2F67" w:rsidP="00FA7F7B">
            <w:pPr>
              <w:widowControl/>
              <w:adjustRightInd w:val="0"/>
              <w:snapToGrid w:val="0"/>
              <w:rPr>
                <w:rFonts w:eastAsia="標楷體"/>
                <w:kern w:val="0"/>
                <w:sz w:val="16"/>
                <w:szCs w:val="16"/>
                <w:lang w:bidi="hi-IN"/>
              </w:rPr>
            </w:pPr>
          </w:p>
        </w:tc>
      </w:tr>
      <w:tr w:rsidR="001D0350" w:rsidRPr="00D55DC6" w:rsidTr="005C044B">
        <w:trPr>
          <w:trHeight w:val="465"/>
          <w:jc w:val="center"/>
        </w:trPr>
        <w:tc>
          <w:tcPr>
            <w:tcW w:w="536" w:type="dxa"/>
            <w:vMerge/>
            <w:tcBorders>
              <w:left w:val="double" w:sz="4" w:space="0" w:color="auto"/>
              <w:bottom w:val="double" w:sz="4" w:space="0" w:color="auto"/>
            </w:tcBorders>
            <w:shd w:val="clear" w:color="auto" w:fill="FFCCFF"/>
            <w:noWrap/>
            <w:vAlign w:val="center"/>
          </w:tcPr>
          <w:p w:rsidR="00DF2F67" w:rsidRPr="00D55DC6" w:rsidRDefault="00DF2F67" w:rsidP="00FA7F7B">
            <w:pPr>
              <w:widowControl/>
              <w:adjustRightInd w:val="0"/>
              <w:snapToGrid w:val="0"/>
              <w:spacing w:line="460" w:lineRule="exact"/>
              <w:jc w:val="center"/>
              <w:rPr>
                <w:rFonts w:eastAsia="標楷體"/>
                <w:spacing w:val="-6"/>
                <w:kern w:val="0"/>
                <w:sz w:val="20"/>
                <w:szCs w:val="20"/>
                <w:lang w:bidi="hi-IN"/>
              </w:rPr>
            </w:pPr>
          </w:p>
        </w:tc>
        <w:tc>
          <w:tcPr>
            <w:tcW w:w="2837" w:type="dxa"/>
            <w:gridSpan w:val="2"/>
            <w:vMerge/>
            <w:tcBorders>
              <w:left w:val="double" w:sz="4" w:space="0" w:color="auto"/>
              <w:bottom w:val="double" w:sz="4" w:space="0" w:color="auto"/>
            </w:tcBorders>
            <w:shd w:val="clear" w:color="auto" w:fill="FFCCFF"/>
            <w:vAlign w:val="center"/>
          </w:tcPr>
          <w:p w:rsidR="00DF2F67" w:rsidRPr="00D55DC6" w:rsidRDefault="00DF2F67" w:rsidP="00FA7F7B">
            <w:pPr>
              <w:widowControl/>
              <w:adjustRightInd w:val="0"/>
              <w:snapToGrid w:val="0"/>
              <w:jc w:val="center"/>
              <w:rPr>
                <w:rFonts w:eastAsia="標楷體"/>
                <w:spacing w:val="-6"/>
                <w:kern w:val="0"/>
                <w:sz w:val="20"/>
                <w:szCs w:val="20"/>
                <w:lang w:bidi="hi-IN"/>
              </w:rPr>
            </w:pPr>
          </w:p>
        </w:tc>
        <w:tc>
          <w:tcPr>
            <w:tcW w:w="593" w:type="dxa"/>
            <w:vMerge/>
            <w:tcBorders>
              <w:bottom w:val="double" w:sz="4" w:space="0" w:color="auto"/>
            </w:tcBorders>
            <w:shd w:val="clear" w:color="auto" w:fill="FFCCFF"/>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601" w:type="dxa"/>
            <w:vMerge/>
            <w:tcBorders>
              <w:bottom w:val="double" w:sz="4" w:space="0" w:color="auto"/>
              <w:right w:val="single" w:sz="12" w:space="0" w:color="auto"/>
            </w:tcBorders>
            <w:shd w:val="clear" w:color="auto" w:fill="FFCCFF"/>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2407" w:type="dxa"/>
            <w:gridSpan w:val="4"/>
            <w:tcBorders>
              <w:left w:val="single" w:sz="12" w:space="0" w:color="auto"/>
              <w:bottom w:val="double" w:sz="4" w:space="0" w:color="auto"/>
              <w:right w:val="single" w:sz="12" w:space="0" w:color="auto"/>
            </w:tcBorders>
            <w:shd w:val="clear" w:color="auto" w:fill="DBE5F1" w:themeFill="accent1" w:themeFillTint="33"/>
            <w:noWrap/>
            <w:vAlign w:val="center"/>
          </w:tcPr>
          <w:p w:rsidR="00DF2F67" w:rsidRPr="00D55DC6" w:rsidRDefault="00DF2F67" w:rsidP="00FA7F7B">
            <w:pPr>
              <w:adjustRightInd w:val="0"/>
              <w:snapToGrid w:val="0"/>
              <w:jc w:val="center"/>
              <w:rPr>
                <w:rFonts w:eastAsia="標楷體"/>
                <w:kern w:val="0"/>
                <w:sz w:val="16"/>
                <w:szCs w:val="16"/>
                <w:lang w:bidi="hi-IN"/>
              </w:rPr>
            </w:pPr>
            <w:r w:rsidRPr="00D55DC6">
              <w:rPr>
                <w:rFonts w:eastAsia="標楷體"/>
                <w:kern w:val="0"/>
                <w:sz w:val="16"/>
                <w:szCs w:val="16"/>
                <w:lang w:bidi="hi-IN"/>
              </w:rPr>
              <w:t>【</w:t>
            </w:r>
            <w:r w:rsidRPr="00D55DC6">
              <w:rPr>
                <w:rFonts w:eastAsia="標楷體"/>
                <w:kern w:val="0"/>
                <w:sz w:val="16"/>
                <w:szCs w:val="16"/>
                <w:lang w:bidi="hi-IN"/>
              </w:rPr>
              <w:t>105-108</w:t>
            </w:r>
            <w:r w:rsidRPr="00D55DC6">
              <w:rPr>
                <w:rFonts w:eastAsia="標楷體"/>
                <w:kern w:val="0"/>
                <w:sz w:val="16"/>
                <w:szCs w:val="16"/>
                <w:lang w:bidi="hi-IN"/>
              </w:rPr>
              <w:t>年中程計畫】</w:t>
            </w:r>
          </w:p>
          <w:p w:rsidR="00DF2F67" w:rsidRPr="00D55DC6" w:rsidRDefault="00DF2F67" w:rsidP="00040EDC">
            <w:pPr>
              <w:adjustRightInd w:val="0"/>
              <w:snapToGrid w:val="0"/>
              <w:jc w:val="center"/>
              <w:rPr>
                <w:rFonts w:eastAsia="標楷體"/>
                <w:kern w:val="0"/>
                <w:sz w:val="16"/>
                <w:szCs w:val="16"/>
                <w:lang w:bidi="hi-IN"/>
              </w:rPr>
            </w:pPr>
            <w:r w:rsidRPr="00D55DC6">
              <w:rPr>
                <w:rFonts w:eastAsia="標楷體"/>
                <w:kern w:val="0"/>
                <w:sz w:val="16"/>
                <w:szCs w:val="16"/>
                <w:lang w:bidi="hi-IN"/>
              </w:rPr>
              <w:t>1,</w:t>
            </w:r>
            <w:r w:rsidR="00040EDC" w:rsidRPr="00D55DC6">
              <w:rPr>
                <w:rFonts w:eastAsia="標楷體"/>
                <w:kern w:val="0"/>
                <w:sz w:val="16"/>
                <w:szCs w:val="16"/>
                <w:lang w:bidi="hi-IN"/>
              </w:rPr>
              <w:t>665</w:t>
            </w:r>
            <w:r w:rsidRPr="00D55DC6">
              <w:rPr>
                <w:rFonts w:eastAsia="標楷體"/>
                <w:kern w:val="0"/>
                <w:sz w:val="16"/>
                <w:szCs w:val="16"/>
                <w:lang w:bidi="hi-IN"/>
              </w:rPr>
              <w:t>,000</w:t>
            </w:r>
          </w:p>
        </w:tc>
        <w:tc>
          <w:tcPr>
            <w:tcW w:w="2392" w:type="dxa"/>
            <w:gridSpan w:val="4"/>
            <w:tcBorders>
              <w:left w:val="single" w:sz="12" w:space="0" w:color="auto"/>
              <w:bottom w:val="double" w:sz="4" w:space="0" w:color="auto"/>
              <w:right w:val="single" w:sz="12" w:space="0" w:color="auto"/>
            </w:tcBorders>
            <w:shd w:val="clear" w:color="auto" w:fill="DBE5F1" w:themeFill="accent1" w:themeFillTint="33"/>
            <w:noWrap/>
            <w:vAlign w:val="center"/>
          </w:tcPr>
          <w:p w:rsidR="00DF2F67" w:rsidRPr="00D55DC6" w:rsidRDefault="00DF2F67" w:rsidP="00FA7F7B">
            <w:pPr>
              <w:adjustRightInd w:val="0"/>
              <w:snapToGrid w:val="0"/>
              <w:jc w:val="center"/>
              <w:rPr>
                <w:rFonts w:eastAsia="標楷體"/>
                <w:kern w:val="0"/>
                <w:sz w:val="16"/>
                <w:szCs w:val="16"/>
                <w:lang w:bidi="hi-IN"/>
              </w:rPr>
            </w:pPr>
            <w:r w:rsidRPr="00D55DC6">
              <w:rPr>
                <w:rFonts w:eastAsia="標楷體"/>
                <w:kern w:val="0"/>
                <w:sz w:val="16"/>
                <w:szCs w:val="16"/>
                <w:lang w:bidi="hi-IN"/>
              </w:rPr>
              <w:t>【</w:t>
            </w:r>
            <w:r w:rsidRPr="00D55DC6">
              <w:rPr>
                <w:rFonts w:eastAsia="標楷體"/>
                <w:kern w:val="0"/>
                <w:sz w:val="16"/>
                <w:szCs w:val="16"/>
                <w:lang w:bidi="hi-IN"/>
              </w:rPr>
              <w:t>109-112</w:t>
            </w:r>
            <w:r w:rsidRPr="00D55DC6">
              <w:rPr>
                <w:rFonts w:eastAsia="標楷體"/>
                <w:kern w:val="0"/>
                <w:sz w:val="16"/>
                <w:szCs w:val="16"/>
                <w:lang w:bidi="hi-IN"/>
              </w:rPr>
              <w:t>年長程計畫】</w:t>
            </w:r>
          </w:p>
          <w:p w:rsidR="00DF2F67" w:rsidRPr="00D55DC6" w:rsidRDefault="00DF2F67" w:rsidP="00040EDC">
            <w:pPr>
              <w:adjustRightInd w:val="0"/>
              <w:snapToGrid w:val="0"/>
              <w:jc w:val="center"/>
              <w:rPr>
                <w:rFonts w:eastAsia="標楷體"/>
                <w:kern w:val="0"/>
                <w:sz w:val="16"/>
                <w:szCs w:val="16"/>
                <w:lang w:bidi="hi-IN"/>
              </w:rPr>
            </w:pPr>
            <w:r w:rsidRPr="00D55DC6">
              <w:rPr>
                <w:rFonts w:eastAsia="標楷體"/>
                <w:kern w:val="0"/>
                <w:sz w:val="16"/>
                <w:szCs w:val="16"/>
                <w:lang w:bidi="hi-IN"/>
              </w:rPr>
              <w:t>1,</w:t>
            </w:r>
            <w:r w:rsidR="00040EDC" w:rsidRPr="00D55DC6">
              <w:rPr>
                <w:rFonts w:eastAsia="標楷體"/>
                <w:kern w:val="0"/>
                <w:sz w:val="16"/>
                <w:szCs w:val="16"/>
                <w:lang w:bidi="hi-IN"/>
              </w:rPr>
              <w:t>000</w:t>
            </w:r>
            <w:r w:rsidRPr="00D55DC6">
              <w:rPr>
                <w:rFonts w:eastAsia="標楷體"/>
                <w:kern w:val="0"/>
                <w:sz w:val="16"/>
                <w:szCs w:val="16"/>
                <w:lang w:bidi="hi-IN"/>
              </w:rPr>
              <w:t>,</w:t>
            </w:r>
            <w:r w:rsidR="00040EDC" w:rsidRPr="00D55DC6">
              <w:rPr>
                <w:rFonts w:eastAsia="標楷體"/>
                <w:kern w:val="0"/>
                <w:sz w:val="16"/>
                <w:szCs w:val="16"/>
                <w:lang w:bidi="hi-IN"/>
              </w:rPr>
              <w:t>0</w:t>
            </w:r>
            <w:r w:rsidRPr="00D55DC6">
              <w:rPr>
                <w:rFonts w:eastAsia="標楷體"/>
                <w:kern w:val="0"/>
                <w:sz w:val="16"/>
                <w:szCs w:val="16"/>
                <w:lang w:bidi="hi-IN"/>
              </w:rPr>
              <w:t>00</w:t>
            </w:r>
          </w:p>
        </w:tc>
        <w:tc>
          <w:tcPr>
            <w:tcW w:w="593" w:type="dxa"/>
            <w:vMerge/>
            <w:tcBorders>
              <w:left w:val="single" w:sz="12" w:space="0" w:color="auto"/>
              <w:bottom w:val="double" w:sz="4" w:space="0" w:color="auto"/>
            </w:tcBorders>
            <w:shd w:val="clear" w:color="auto" w:fill="FFCCFF"/>
            <w:noWrap/>
            <w:vAlign w:val="center"/>
          </w:tcPr>
          <w:p w:rsidR="00DF2F67" w:rsidRPr="00D55DC6" w:rsidRDefault="00DF2F67" w:rsidP="00FA7F7B">
            <w:pPr>
              <w:widowControl/>
              <w:adjustRightInd w:val="0"/>
              <w:snapToGrid w:val="0"/>
              <w:jc w:val="right"/>
              <w:rPr>
                <w:rFonts w:eastAsia="標楷體"/>
                <w:spacing w:val="-10"/>
                <w:kern w:val="0"/>
                <w:sz w:val="16"/>
                <w:szCs w:val="16"/>
                <w:lang w:bidi="hi-IN"/>
              </w:rPr>
            </w:pPr>
          </w:p>
        </w:tc>
        <w:tc>
          <w:tcPr>
            <w:tcW w:w="390" w:type="dxa"/>
            <w:vMerge/>
            <w:tcBorders>
              <w:bottom w:val="double" w:sz="4" w:space="0" w:color="auto"/>
            </w:tcBorders>
            <w:shd w:val="clear" w:color="auto" w:fill="FFCCFF"/>
            <w:noWrap/>
            <w:vAlign w:val="center"/>
          </w:tcPr>
          <w:p w:rsidR="00DF2F67" w:rsidRPr="00D55DC6" w:rsidRDefault="00DF2F67" w:rsidP="00FA7F7B">
            <w:pPr>
              <w:widowControl/>
              <w:adjustRightInd w:val="0"/>
              <w:snapToGrid w:val="0"/>
              <w:rPr>
                <w:rFonts w:eastAsia="標楷體"/>
                <w:kern w:val="0"/>
                <w:sz w:val="16"/>
                <w:szCs w:val="16"/>
                <w:lang w:bidi="hi-IN"/>
              </w:rPr>
            </w:pPr>
          </w:p>
        </w:tc>
        <w:tc>
          <w:tcPr>
            <w:tcW w:w="406" w:type="dxa"/>
            <w:vMerge/>
            <w:tcBorders>
              <w:bottom w:val="double" w:sz="4" w:space="0" w:color="auto"/>
              <w:right w:val="double" w:sz="4" w:space="0" w:color="auto"/>
            </w:tcBorders>
            <w:shd w:val="clear" w:color="auto" w:fill="FFCCFF"/>
            <w:noWrap/>
            <w:vAlign w:val="center"/>
          </w:tcPr>
          <w:p w:rsidR="00DF2F67" w:rsidRPr="00D55DC6" w:rsidRDefault="00DF2F67" w:rsidP="00FA7F7B">
            <w:pPr>
              <w:widowControl/>
              <w:adjustRightInd w:val="0"/>
              <w:snapToGrid w:val="0"/>
              <w:rPr>
                <w:rFonts w:eastAsia="標楷體"/>
                <w:kern w:val="0"/>
                <w:sz w:val="16"/>
                <w:szCs w:val="16"/>
                <w:lang w:bidi="hi-IN"/>
              </w:rPr>
            </w:pPr>
          </w:p>
        </w:tc>
      </w:tr>
    </w:tbl>
    <w:p w:rsidR="00DF2F67" w:rsidRPr="00D55DC6" w:rsidRDefault="00DF2F67" w:rsidP="00DF2F67">
      <w:pPr>
        <w:pStyle w:val="34"/>
        <w:adjustRightInd w:val="0"/>
        <w:snapToGrid w:val="0"/>
        <w:spacing w:line="460" w:lineRule="exact"/>
        <w:ind w:leftChars="0" w:left="864"/>
        <w:jc w:val="both"/>
        <w:rPr>
          <w:rFonts w:eastAsia="標楷體"/>
          <w:b/>
          <w:sz w:val="28"/>
          <w:szCs w:val="28"/>
        </w:rPr>
      </w:pPr>
    </w:p>
    <w:p w:rsidR="00DF2F67" w:rsidRPr="00D55DC6" w:rsidRDefault="00DF2F67" w:rsidP="00DF2F67">
      <w:pPr>
        <w:pStyle w:val="34"/>
        <w:adjustRightInd w:val="0"/>
        <w:snapToGrid w:val="0"/>
        <w:spacing w:line="460" w:lineRule="exact"/>
        <w:ind w:leftChars="0" w:left="864"/>
        <w:jc w:val="both"/>
        <w:rPr>
          <w:rFonts w:eastAsia="標楷體"/>
          <w:b/>
          <w:sz w:val="28"/>
          <w:szCs w:val="28"/>
        </w:rPr>
      </w:pPr>
    </w:p>
    <w:p w:rsidR="00BB7128" w:rsidRPr="00D55DC6" w:rsidRDefault="00BB7128" w:rsidP="00DF2F67">
      <w:pPr>
        <w:pStyle w:val="34"/>
        <w:adjustRightInd w:val="0"/>
        <w:snapToGrid w:val="0"/>
        <w:spacing w:line="460" w:lineRule="exact"/>
        <w:ind w:leftChars="0" w:left="864"/>
        <w:jc w:val="both"/>
        <w:rPr>
          <w:rFonts w:eastAsia="標楷體"/>
          <w:b/>
          <w:sz w:val="28"/>
          <w:szCs w:val="28"/>
        </w:rPr>
      </w:pPr>
    </w:p>
    <w:p w:rsidR="00DF2F67" w:rsidRPr="00D55DC6" w:rsidRDefault="00DF2F67" w:rsidP="004865C1">
      <w:pPr>
        <w:pStyle w:val="34"/>
        <w:numPr>
          <w:ilvl w:val="0"/>
          <w:numId w:val="157"/>
        </w:numPr>
        <w:adjustRightInd w:val="0"/>
        <w:snapToGrid w:val="0"/>
        <w:spacing w:line="460" w:lineRule="exact"/>
        <w:ind w:leftChars="0"/>
        <w:jc w:val="both"/>
        <w:rPr>
          <w:rFonts w:eastAsia="標楷體"/>
          <w:b/>
          <w:sz w:val="28"/>
          <w:szCs w:val="28"/>
        </w:rPr>
      </w:pPr>
      <w:r w:rsidRPr="00D55DC6">
        <w:rPr>
          <w:rFonts w:eastAsia="標楷體"/>
          <w:b/>
          <w:sz w:val="28"/>
          <w:szCs w:val="28"/>
        </w:rPr>
        <w:lastRenderedPageBreak/>
        <w:t>預估財務收入情形</w:t>
      </w:r>
    </w:p>
    <w:p w:rsidR="00DF2F67" w:rsidRPr="00D55DC6" w:rsidRDefault="00DF2F67" w:rsidP="00DF2F67">
      <w:pPr>
        <w:pStyle w:val="a"/>
        <w:numPr>
          <w:ilvl w:val="0"/>
          <w:numId w:val="0"/>
        </w:numPr>
        <w:adjustRightInd w:val="0"/>
        <w:ind w:leftChars="295" w:left="708" w:firstLineChars="200" w:firstLine="560"/>
      </w:pPr>
      <w:bookmarkStart w:id="159" w:name="_Toc407181720"/>
      <w:r w:rsidRPr="00D55DC6">
        <w:t>大鵬灣國家風景區管理處為提升公有服務管理設施之經營績效，多年來亦積極推動公有遊憩區</w:t>
      </w:r>
      <w:r w:rsidRPr="00D55DC6">
        <w:t>BOT</w:t>
      </w:r>
      <w:r w:rsidRPr="00D55DC6">
        <w:t>建設與建設公共服務設施委託經營，未來短期除了賡續依公有財產出租相關規定辦理出租之外，中長期將持續以促參法之相關規定擴大引入民間投資，並積極執行跨域加值政策，針對已建置設施、跨域與民間合作開發及國家風景區建設收益外溢效果回收機制等方向，積極提升計畫自償率。詳如下列預估財務收入分年規劃表。</w:t>
      </w:r>
      <w:bookmarkEnd w:id="159"/>
    </w:p>
    <w:p w:rsidR="00DF2F67" w:rsidRPr="00D55DC6" w:rsidRDefault="00DF2F67" w:rsidP="004865C1">
      <w:pPr>
        <w:pStyle w:val="30"/>
        <w:numPr>
          <w:ilvl w:val="3"/>
          <w:numId w:val="156"/>
        </w:numPr>
        <w:adjustRightInd w:val="0"/>
        <w:snapToGrid w:val="0"/>
        <w:spacing w:line="460" w:lineRule="exact"/>
        <w:ind w:leftChars="295" w:left="991" w:hangingChars="101" w:hanging="283"/>
        <w:rPr>
          <w:rFonts w:eastAsia="標楷體"/>
          <w:b/>
          <w:sz w:val="28"/>
        </w:rPr>
      </w:pPr>
      <w:bookmarkStart w:id="160" w:name="_Toc407181570"/>
      <w:r w:rsidRPr="00D55DC6">
        <w:rPr>
          <w:rFonts w:eastAsia="標楷體"/>
          <w:b/>
          <w:sz w:val="28"/>
        </w:rPr>
        <w:t>既有服務設施出租與委託經營</w:t>
      </w:r>
      <w:bookmarkEnd w:id="160"/>
    </w:p>
    <w:p w:rsidR="00DF2F67" w:rsidRPr="00D55DC6" w:rsidRDefault="00DF2F67" w:rsidP="00DF2F67">
      <w:pPr>
        <w:adjustRightInd w:val="0"/>
        <w:snapToGrid w:val="0"/>
        <w:spacing w:line="460" w:lineRule="exact"/>
        <w:ind w:leftChars="300" w:left="720" w:firstLineChars="198" w:firstLine="554"/>
        <w:jc w:val="both"/>
        <w:rPr>
          <w:rFonts w:eastAsia="標楷體"/>
          <w:sz w:val="28"/>
          <w:szCs w:val="28"/>
        </w:rPr>
      </w:pPr>
      <w:r w:rsidRPr="00D55DC6">
        <w:rPr>
          <w:rFonts w:eastAsia="標楷體"/>
          <w:sz w:val="28"/>
          <w:szCs w:val="28"/>
        </w:rPr>
        <w:t>目前已</w:t>
      </w:r>
      <w:r w:rsidR="002A3B8B" w:rsidRPr="00D55DC6">
        <w:rPr>
          <w:rFonts w:eastAsia="標楷體"/>
          <w:sz w:val="28"/>
          <w:szCs w:val="28"/>
        </w:rPr>
        <w:t>委</w:t>
      </w:r>
      <w:r w:rsidRPr="00D55DC6">
        <w:rPr>
          <w:rFonts w:eastAsia="標楷體"/>
          <w:sz w:val="28"/>
          <w:szCs w:val="28"/>
        </w:rPr>
        <w:t>外出租設施約有</w:t>
      </w:r>
      <w:r w:rsidRPr="00D55DC6">
        <w:rPr>
          <w:rFonts w:eastAsia="標楷體"/>
          <w:sz w:val="28"/>
          <w:szCs w:val="28"/>
        </w:rPr>
        <w:t>8</w:t>
      </w:r>
      <w:r w:rsidRPr="00D55DC6">
        <w:rPr>
          <w:rFonts w:eastAsia="標楷體"/>
          <w:sz w:val="28"/>
          <w:szCs w:val="28"/>
        </w:rPr>
        <w:t>件、</w:t>
      </w:r>
      <w:r w:rsidRPr="00D55DC6">
        <w:rPr>
          <w:rFonts w:eastAsia="標楷體"/>
          <w:sz w:val="28"/>
          <w:szCs w:val="28"/>
        </w:rPr>
        <w:t>BOT</w:t>
      </w:r>
      <w:r w:rsidRPr="00D55DC6">
        <w:rPr>
          <w:rFonts w:eastAsia="標楷體"/>
          <w:sz w:val="28"/>
          <w:szCs w:val="28"/>
        </w:rPr>
        <w:t>案</w:t>
      </w:r>
      <w:r w:rsidRPr="00D55DC6">
        <w:rPr>
          <w:rFonts w:eastAsia="標楷體"/>
          <w:sz w:val="28"/>
          <w:szCs w:val="28"/>
        </w:rPr>
        <w:t>1</w:t>
      </w:r>
      <w:r w:rsidRPr="00D55DC6">
        <w:rPr>
          <w:rFonts w:eastAsia="標楷體"/>
          <w:sz w:val="28"/>
          <w:szCs w:val="28"/>
        </w:rPr>
        <w:t>件及</w:t>
      </w:r>
      <w:r w:rsidRPr="00D55DC6">
        <w:rPr>
          <w:rFonts w:eastAsia="標楷體"/>
          <w:sz w:val="28"/>
          <w:szCs w:val="28"/>
        </w:rPr>
        <w:t>OT</w:t>
      </w:r>
      <w:r w:rsidRPr="00D55DC6">
        <w:rPr>
          <w:rFonts w:eastAsia="標楷體"/>
          <w:sz w:val="28"/>
          <w:szCs w:val="28"/>
        </w:rPr>
        <w:t>案</w:t>
      </w:r>
      <w:r w:rsidRPr="00D55DC6">
        <w:rPr>
          <w:rFonts w:eastAsia="標楷體"/>
          <w:sz w:val="28"/>
          <w:szCs w:val="28"/>
        </w:rPr>
        <w:t>1</w:t>
      </w:r>
      <w:r w:rsidRPr="00D55DC6">
        <w:rPr>
          <w:rFonts w:eastAsia="標楷體"/>
          <w:sz w:val="28"/>
          <w:szCs w:val="28"/>
        </w:rPr>
        <w:t>件，每年約可收取權利金與租金約</w:t>
      </w:r>
      <w:r w:rsidRPr="00D55DC6">
        <w:rPr>
          <w:rFonts w:eastAsia="標楷體"/>
          <w:sz w:val="28"/>
          <w:szCs w:val="28"/>
        </w:rPr>
        <w:t>2,885</w:t>
      </w:r>
      <w:r w:rsidRPr="00D55DC6">
        <w:rPr>
          <w:rFonts w:eastAsia="標楷體"/>
          <w:sz w:val="28"/>
          <w:szCs w:val="28"/>
        </w:rPr>
        <w:t>萬元。各設施項目與收入分列於下：</w:t>
      </w:r>
    </w:p>
    <w:p w:rsidR="00DF2F67" w:rsidRPr="00D55DC6" w:rsidRDefault="00DF2F67" w:rsidP="004865C1">
      <w:pPr>
        <w:numPr>
          <w:ilvl w:val="0"/>
          <w:numId w:val="147"/>
        </w:numPr>
        <w:tabs>
          <w:tab w:val="clear" w:pos="1133"/>
          <w:tab w:val="num" w:pos="1080"/>
        </w:tabs>
        <w:adjustRightInd w:val="0"/>
        <w:snapToGrid w:val="0"/>
        <w:spacing w:line="460" w:lineRule="exact"/>
        <w:ind w:hanging="233"/>
        <w:jc w:val="both"/>
        <w:rPr>
          <w:rFonts w:eastAsia="標楷體"/>
          <w:sz w:val="28"/>
          <w:szCs w:val="28"/>
        </w:rPr>
      </w:pPr>
      <w:r w:rsidRPr="00D55DC6">
        <w:rPr>
          <w:rFonts w:eastAsia="標楷體"/>
          <w:spacing w:val="-4"/>
          <w:sz w:val="28"/>
          <w:szCs w:val="28"/>
        </w:rPr>
        <w:t>遊一區及停一區</w:t>
      </w:r>
      <w:r w:rsidRPr="00D55DC6">
        <w:rPr>
          <w:rFonts w:eastAsia="標楷體"/>
          <w:spacing w:val="-4"/>
          <w:sz w:val="28"/>
          <w:szCs w:val="28"/>
        </w:rPr>
        <w:t>BOT</w:t>
      </w:r>
      <w:r w:rsidRPr="00D55DC6">
        <w:rPr>
          <w:rFonts w:eastAsia="標楷體"/>
          <w:spacing w:val="-4"/>
          <w:sz w:val="28"/>
          <w:szCs w:val="28"/>
        </w:rPr>
        <w:t>開發計畫：依據開幕前核定之最新執行計畫規劃，自</w:t>
      </w:r>
      <w:r w:rsidRPr="00D55DC6">
        <w:rPr>
          <w:rFonts w:eastAsia="標楷體"/>
          <w:spacing w:val="-4"/>
          <w:sz w:val="28"/>
          <w:szCs w:val="28"/>
        </w:rPr>
        <w:t>104</w:t>
      </w:r>
      <w:r w:rsidRPr="00D55DC6">
        <w:rPr>
          <w:rFonts w:eastAsia="標楷體"/>
          <w:spacing w:val="-4"/>
          <w:sz w:val="28"/>
          <w:szCs w:val="28"/>
        </w:rPr>
        <w:t>年起每年土地租金</w:t>
      </w:r>
      <w:r w:rsidRPr="00D55DC6">
        <w:rPr>
          <w:rFonts w:eastAsia="標楷體"/>
          <w:spacing w:val="-4"/>
          <w:sz w:val="28"/>
          <w:szCs w:val="28"/>
        </w:rPr>
        <w:t>1,780</w:t>
      </w:r>
      <w:r w:rsidRPr="00D55DC6">
        <w:rPr>
          <w:rFonts w:eastAsia="標楷體"/>
          <w:spacing w:val="-4"/>
          <w:sz w:val="28"/>
          <w:szCs w:val="28"/>
        </w:rPr>
        <w:t>萬元，經營權利金分收可達</w:t>
      </w:r>
      <w:r w:rsidRPr="00D55DC6">
        <w:rPr>
          <w:rFonts w:eastAsia="標楷體"/>
          <w:spacing w:val="-4"/>
          <w:sz w:val="28"/>
          <w:szCs w:val="28"/>
        </w:rPr>
        <w:t>340</w:t>
      </w:r>
      <w:r w:rsidRPr="00D55DC6">
        <w:rPr>
          <w:rFonts w:eastAsia="標楷體"/>
          <w:spacing w:val="-4"/>
          <w:sz w:val="28"/>
          <w:szCs w:val="28"/>
        </w:rPr>
        <w:t>萬以上。</w:t>
      </w:r>
    </w:p>
    <w:p w:rsidR="00DF2F67" w:rsidRPr="00D55DC6" w:rsidRDefault="00DF2F67" w:rsidP="004865C1">
      <w:pPr>
        <w:numPr>
          <w:ilvl w:val="0"/>
          <w:numId w:val="147"/>
        </w:numPr>
        <w:tabs>
          <w:tab w:val="clear" w:pos="1133"/>
          <w:tab w:val="num" w:pos="1080"/>
        </w:tabs>
        <w:adjustRightInd w:val="0"/>
        <w:snapToGrid w:val="0"/>
        <w:spacing w:line="460" w:lineRule="exact"/>
        <w:ind w:hanging="233"/>
        <w:jc w:val="both"/>
        <w:rPr>
          <w:rFonts w:eastAsia="標楷體"/>
          <w:sz w:val="28"/>
          <w:szCs w:val="28"/>
        </w:rPr>
      </w:pPr>
      <w:r w:rsidRPr="00D55DC6">
        <w:rPr>
          <w:rFonts w:eastAsia="標楷體"/>
          <w:sz w:val="28"/>
          <w:szCs w:val="28"/>
        </w:rPr>
        <w:t>青洲濱海遊憩區</w:t>
      </w:r>
      <w:r w:rsidRPr="00D55DC6">
        <w:rPr>
          <w:rFonts w:eastAsia="標楷體"/>
          <w:sz w:val="28"/>
          <w:szCs w:val="28"/>
        </w:rPr>
        <w:t>OT</w:t>
      </w:r>
      <w:r w:rsidRPr="00D55DC6">
        <w:rPr>
          <w:rFonts w:eastAsia="標楷體"/>
          <w:sz w:val="28"/>
          <w:szCs w:val="28"/>
        </w:rPr>
        <w:t>案租金：</w:t>
      </w:r>
      <w:r w:rsidRPr="00D55DC6">
        <w:rPr>
          <w:rFonts w:eastAsia="標楷體"/>
          <w:sz w:val="28"/>
          <w:szCs w:val="28"/>
        </w:rPr>
        <w:t>12</w:t>
      </w:r>
      <w:r w:rsidRPr="00D55DC6">
        <w:rPr>
          <w:rFonts w:eastAsia="標楷體"/>
          <w:sz w:val="28"/>
          <w:szCs w:val="28"/>
        </w:rPr>
        <w:t>萬元以上。</w:t>
      </w:r>
    </w:p>
    <w:p w:rsidR="00DF2F67" w:rsidRPr="00D55DC6" w:rsidRDefault="00DF2F67" w:rsidP="004865C1">
      <w:pPr>
        <w:numPr>
          <w:ilvl w:val="0"/>
          <w:numId w:val="147"/>
        </w:numPr>
        <w:tabs>
          <w:tab w:val="clear" w:pos="1133"/>
          <w:tab w:val="num" w:pos="1080"/>
        </w:tabs>
        <w:adjustRightInd w:val="0"/>
        <w:snapToGrid w:val="0"/>
        <w:spacing w:line="460" w:lineRule="exact"/>
        <w:ind w:hanging="233"/>
        <w:jc w:val="both"/>
        <w:rPr>
          <w:rFonts w:eastAsia="標楷體"/>
          <w:sz w:val="28"/>
          <w:szCs w:val="28"/>
        </w:rPr>
      </w:pPr>
      <w:r w:rsidRPr="00D55DC6">
        <w:rPr>
          <w:rFonts w:eastAsia="標楷體"/>
          <w:sz w:val="28"/>
          <w:szCs w:val="28"/>
        </w:rPr>
        <w:t>蚵殼島設施與周邊區域土地出租經營：</w:t>
      </w:r>
      <w:r w:rsidRPr="00D55DC6">
        <w:rPr>
          <w:rFonts w:eastAsia="標楷體"/>
          <w:sz w:val="28"/>
          <w:szCs w:val="28"/>
        </w:rPr>
        <w:t>200</w:t>
      </w:r>
      <w:r w:rsidRPr="00D55DC6">
        <w:rPr>
          <w:rFonts w:eastAsia="標楷體"/>
          <w:sz w:val="28"/>
          <w:szCs w:val="28"/>
        </w:rPr>
        <w:t>萬元。</w:t>
      </w:r>
    </w:p>
    <w:p w:rsidR="00DF2F67" w:rsidRPr="00D55DC6" w:rsidRDefault="00DF2F67" w:rsidP="004865C1">
      <w:pPr>
        <w:numPr>
          <w:ilvl w:val="0"/>
          <w:numId w:val="147"/>
        </w:numPr>
        <w:tabs>
          <w:tab w:val="clear" w:pos="1133"/>
          <w:tab w:val="num" w:pos="1080"/>
        </w:tabs>
        <w:adjustRightInd w:val="0"/>
        <w:snapToGrid w:val="0"/>
        <w:spacing w:line="460" w:lineRule="exact"/>
        <w:ind w:hanging="233"/>
        <w:jc w:val="both"/>
        <w:rPr>
          <w:rFonts w:eastAsia="標楷體"/>
          <w:sz w:val="28"/>
          <w:szCs w:val="28"/>
        </w:rPr>
      </w:pPr>
      <w:r w:rsidRPr="00D55DC6">
        <w:rPr>
          <w:rFonts w:eastAsia="標楷體"/>
          <w:sz w:val="28"/>
          <w:szCs w:val="28"/>
        </w:rPr>
        <w:t>管理處遊客服務區暨附屬設施出租（每次簽約廠商需投入</w:t>
      </w:r>
      <w:r w:rsidRPr="00D55DC6">
        <w:rPr>
          <w:rFonts w:eastAsia="標楷體"/>
          <w:sz w:val="28"/>
          <w:szCs w:val="28"/>
        </w:rPr>
        <w:t>500</w:t>
      </w:r>
      <w:r w:rsidRPr="00D55DC6">
        <w:rPr>
          <w:rFonts w:eastAsia="標楷體"/>
          <w:sz w:val="28"/>
          <w:szCs w:val="28"/>
        </w:rPr>
        <w:t>萬以上裝修成本）：</w:t>
      </w:r>
      <w:r w:rsidRPr="00D55DC6">
        <w:rPr>
          <w:rFonts w:eastAsia="標楷體"/>
          <w:sz w:val="28"/>
          <w:szCs w:val="28"/>
        </w:rPr>
        <w:t>55</w:t>
      </w:r>
      <w:r w:rsidRPr="00D55DC6">
        <w:rPr>
          <w:rFonts w:eastAsia="標楷體"/>
          <w:sz w:val="28"/>
          <w:szCs w:val="28"/>
        </w:rPr>
        <w:t>萬元。</w:t>
      </w:r>
    </w:p>
    <w:p w:rsidR="00DF2F67" w:rsidRPr="00D55DC6" w:rsidRDefault="00DF2F67" w:rsidP="004865C1">
      <w:pPr>
        <w:numPr>
          <w:ilvl w:val="0"/>
          <w:numId w:val="147"/>
        </w:numPr>
        <w:tabs>
          <w:tab w:val="clear" w:pos="1133"/>
          <w:tab w:val="num" w:pos="1080"/>
        </w:tabs>
        <w:adjustRightInd w:val="0"/>
        <w:snapToGrid w:val="0"/>
        <w:spacing w:line="460" w:lineRule="exact"/>
        <w:ind w:hanging="233"/>
        <w:jc w:val="both"/>
        <w:rPr>
          <w:rFonts w:eastAsia="標楷體"/>
          <w:sz w:val="28"/>
          <w:szCs w:val="28"/>
        </w:rPr>
      </w:pPr>
      <w:r w:rsidRPr="00D55DC6">
        <w:rPr>
          <w:rFonts w:eastAsia="標楷體"/>
          <w:sz w:val="28"/>
          <w:szCs w:val="28"/>
        </w:rPr>
        <w:t>濱灣公園帆船遊憩基地租金：</w:t>
      </w:r>
      <w:r w:rsidRPr="00D55DC6">
        <w:rPr>
          <w:rFonts w:eastAsia="標楷體"/>
          <w:sz w:val="28"/>
          <w:szCs w:val="28"/>
        </w:rPr>
        <w:t>30</w:t>
      </w:r>
      <w:r w:rsidRPr="00D55DC6">
        <w:rPr>
          <w:rFonts w:eastAsia="標楷體"/>
          <w:sz w:val="28"/>
          <w:szCs w:val="28"/>
        </w:rPr>
        <w:t>萬元</w:t>
      </w:r>
    </w:p>
    <w:p w:rsidR="00DF2F67" w:rsidRPr="00D55DC6" w:rsidRDefault="00DF2F67" w:rsidP="004865C1">
      <w:pPr>
        <w:numPr>
          <w:ilvl w:val="0"/>
          <w:numId w:val="147"/>
        </w:numPr>
        <w:tabs>
          <w:tab w:val="clear" w:pos="1133"/>
          <w:tab w:val="num" w:pos="1080"/>
        </w:tabs>
        <w:adjustRightInd w:val="0"/>
        <w:snapToGrid w:val="0"/>
        <w:spacing w:line="460" w:lineRule="exact"/>
        <w:ind w:hanging="233"/>
        <w:jc w:val="both"/>
        <w:rPr>
          <w:rFonts w:eastAsia="標楷體"/>
          <w:sz w:val="28"/>
          <w:szCs w:val="28"/>
        </w:rPr>
      </w:pPr>
      <w:r w:rsidRPr="00D55DC6">
        <w:rPr>
          <w:rFonts w:eastAsia="標楷體"/>
          <w:sz w:val="28"/>
          <w:szCs w:val="28"/>
        </w:rPr>
        <w:t>濱灣公園環湖遊艇靠泊租金（</w:t>
      </w:r>
      <w:r w:rsidRPr="00D55DC6">
        <w:rPr>
          <w:rFonts w:eastAsia="標楷體"/>
          <w:sz w:val="28"/>
          <w:szCs w:val="28"/>
        </w:rPr>
        <w:t>2</w:t>
      </w:r>
      <w:r w:rsidRPr="00D55DC6">
        <w:rPr>
          <w:rFonts w:eastAsia="標楷體"/>
          <w:sz w:val="28"/>
          <w:szCs w:val="28"/>
        </w:rPr>
        <w:t>家）：</w:t>
      </w:r>
      <w:r w:rsidRPr="00D55DC6">
        <w:rPr>
          <w:rFonts w:eastAsia="標楷體"/>
          <w:sz w:val="28"/>
          <w:szCs w:val="28"/>
        </w:rPr>
        <w:t>9.6</w:t>
      </w:r>
      <w:r w:rsidRPr="00D55DC6">
        <w:rPr>
          <w:rFonts w:eastAsia="標楷體"/>
          <w:sz w:val="28"/>
          <w:szCs w:val="28"/>
        </w:rPr>
        <w:t>萬元。</w:t>
      </w:r>
    </w:p>
    <w:p w:rsidR="00DF2F67" w:rsidRPr="00D55DC6" w:rsidRDefault="00DF2F67" w:rsidP="004865C1">
      <w:pPr>
        <w:numPr>
          <w:ilvl w:val="0"/>
          <w:numId w:val="147"/>
        </w:numPr>
        <w:tabs>
          <w:tab w:val="clear" w:pos="1133"/>
          <w:tab w:val="num" w:pos="1080"/>
        </w:tabs>
        <w:adjustRightInd w:val="0"/>
        <w:snapToGrid w:val="0"/>
        <w:spacing w:line="460" w:lineRule="exact"/>
        <w:ind w:hanging="233"/>
        <w:jc w:val="both"/>
        <w:rPr>
          <w:rFonts w:eastAsia="標楷體"/>
          <w:sz w:val="28"/>
          <w:szCs w:val="28"/>
        </w:rPr>
      </w:pPr>
      <w:r w:rsidRPr="00D55DC6">
        <w:rPr>
          <w:rFonts w:eastAsia="標楷體"/>
          <w:sz w:val="28"/>
          <w:szCs w:val="28"/>
        </w:rPr>
        <w:t>濱灣公園遊艇碼頭遊艇席位出租（</w:t>
      </w:r>
      <w:r w:rsidRPr="00D55DC6">
        <w:rPr>
          <w:rFonts w:eastAsia="標楷體"/>
          <w:sz w:val="28"/>
          <w:szCs w:val="28"/>
        </w:rPr>
        <w:t>36</w:t>
      </w:r>
      <w:r w:rsidRPr="00D55DC6">
        <w:rPr>
          <w:rFonts w:eastAsia="標楷體"/>
          <w:sz w:val="28"/>
          <w:szCs w:val="28"/>
        </w:rPr>
        <w:t>席）：</w:t>
      </w:r>
      <w:r w:rsidRPr="00D55DC6">
        <w:rPr>
          <w:rFonts w:eastAsia="標楷體"/>
          <w:sz w:val="28"/>
          <w:szCs w:val="28"/>
        </w:rPr>
        <w:t>120</w:t>
      </w:r>
      <w:r w:rsidRPr="00D55DC6">
        <w:rPr>
          <w:rFonts w:eastAsia="標楷體"/>
          <w:sz w:val="28"/>
          <w:szCs w:val="28"/>
        </w:rPr>
        <w:t>萬元。</w:t>
      </w:r>
    </w:p>
    <w:p w:rsidR="00DF2F67" w:rsidRPr="00D55DC6" w:rsidRDefault="00DF2F67" w:rsidP="004865C1">
      <w:pPr>
        <w:numPr>
          <w:ilvl w:val="0"/>
          <w:numId w:val="147"/>
        </w:numPr>
        <w:tabs>
          <w:tab w:val="clear" w:pos="1133"/>
          <w:tab w:val="num" w:pos="1080"/>
        </w:tabs>
        <w:adjustRightInd w:val="0"/>
        <w:snapToGrid w:val="0"/>
        <w:spacing w:line="460" w:lineRule="exact"/>
        <w:ind w:hanging="233"/>
        <w:jc w:val="both"/>
        <w:rPr>
          <w:rFonts w:eastAsia="標楷體"/>
          <w:sz w:val="28"/>
          <w:szCs w:val="28"/>
        </w:rPr>
      </w:pPr>
      <w:r w:rsidRPr="00D55DC6">
        <w:rPr>
          <w:rFonts w:eastAsia="標楷體"/>
          <w:sz w:val="28"/>
          <w:szCs w:val="28"/>
        </w:rPr>
        <w:t>小琉球露營區暨管理中心、停車場出租案（預定自</w:t>
      </w:r>
      <w:r w:rsidRPr="00D55DC6">
        <w:rPr>
          <w:rFonts w:eastAsia="標楷體"/>
          <w:sz w:val="28"/>
          <w:szCs w:val="28"/>
        </w:rPr>
        <w:t>104</w:t>
      </w:r>
      <w:r w:rsidRPr="00D55DC6">
        <w:rPr>
          <w:rFonts w:eastAsia="標楷體"/>
          <w:sz w:val="28"/>
          <w:szCs w:val="28"/>
        </w:rPr>
        <w:t>年起以海景休閒度假區方式重新以</w:t>
      </w:r>
      <w:r w:rsidRPr="00D55DC6">
        <w:rPr>
          <w:rFonts w:eastAsia="標楷體"/>
          <w:sz w:val="28"/>
          <w:szCs w:val="28"/>
        </w:rPr>
        <w:t>BOT</w:t>
      </w:r>
      <w:r w:rsidRPr="00D55DC6">
        <w:rPr>
          <w:rFonts w:eastAsia="標楷體"/>
          <w:sz w:val="28"/>
          <w:szCs w:val="28"/>
        </w:rPr>
        <w:t>方式招標）：</w:t>
      </w:r>
      <w:r w:rsidRPr="00D55DC6">
        <w:rPr>
          <w:rFonts w:eastAsia="標楷體"/>
          <w:sz w:val="28"/>
          <w:szCs w:val="28"/>
        </w:rPr>
        <w:t>86</w:t>
      </w:r>
      <w:r w:rsidRPr="00D55DC6">
        <w:rPr>
          <w:rFonts w:eastAsia="標楷體"/>
          <w:sz w:val="28"/>
          <w:szCs w:val="28"/>
        </w:rPr>
        <w:t>萬元。</w:t>
      </w:r>
    </w:p>
    <w:p w:rsidR="00DF2F67" w:rsidRPr="00D55DC6" w:rsidRDefault="00DF2F67" w:rsidP="004865C1">
      <w:pPr>
        <w:numPr>
          <w:ilvl w:val="0"/>
          <w:numId w:val="147"/>
        </w:numPr>
        <w:tabs>
          <w:tab w:val="clear" w:pos="1133"/>
          <w:tab w:val="num" w:pos="1080"/>
        </w:tabs>
        <w:adjustRightInd w:val="0"/>
        <w:snapToGrid w:val="0"/>
        <w:spacing w:line="460" w:lineRule="exact"/>
        <w:ind w:hanging="233"/>
        <w:jc w:val="both"/>
        <w:rPr>
          <w:rFonts w:eastAsia="標楷體"/>
          <w:sz w:val="28"/>
          <w:szCs w:val="28"/>
        </w:rPr>
      </w:pPr>
      <w:r w:rsidRPr="00D55DC6">
        <w:rPr>
          <w:rFonts w:eastAsia="標楷體"/>
          <w:sz w:val="28"/>
          <w:szCs w:val="28"/>
        </w:rPr>
        <w:t>琉球遊客中心賣店出租：</w:t>
      </w:r>
      <w:r w:rsidRPr="00D55DC6">
        <w:rPr>
          <w:rFonts w:eastAsia="標楷體"/>
          <w:sz w:val="28"/>
          <w:szCs w:val="28"/>
        </w:rPr>
        <w:t>18</w:t>
      </w:r>
      <w:r w:rsidRPr="00D55DC6">
        <w:rPr>
          <w:rFonts w:eastAsia="標楷體"/>
          <w:sz w:val="28"/>
          <w:szCs w:val="28"/>
        </w:rPr>
        <w:t>萬元。</w:t>
      </w:r>
    </w:p>
    <w:p w:rsidR="00DF2F67" w:rsidRPr="00D55DC6" w:rsidRDefault="00DF2F67" w:rsidP="004865C1">
      <w:pPr>
        <w:numPr>
          <w:ilvl w:val="0"/>
          <w:numId w:val="147"/>
        </w:numPr>
        <w:tabs>
          <w:tab w:val="clear" w:pos="1133"/>
          <w:tab w:val="num" w:pos="1080"/>
        </w:tabs>
        <w:adjustRightInd w:val="0"/>
        <w:snapToGrid w:val="0"/>
        <w:spacing w:line="460" w:lineRule="exact"/>
        <w:ind w:hanging="233"/>
        <w:jc w:val="both"/>
        <w:rPr>
          <w:rFonts w:eastAsia="標楷體"/>
          <w:sz w:val="28"/>
          <w:szCs w:val="28"/>
        </w:rPr>
      </w:pPr>
      <w:r w:rsidRPr="00D55DC6">
        <w:rPr>
          <w:rFonts w:eastAsia="標楷體"/>
          <w:sz w:val="28"/>
          <w:szCs w:val="28"/>
        </w:rPr>
        <w:t>美人洞、烏鬼洞、山豬溝與鄉公所分收：</w:t>
      </w:r>
      <w:r w:rsidRPr="00D55DC6">
        <w:rPr>
          <w:rFonts w:eastAsia="標楷體"/>
          <w:sz w:val="28"/>
          <w:szCs w:val="28"/>
        </w:rPr>
        <w:t>280</w:t>
      </w:r>
      <w:r w:rsidRPr="00D55DC6">
        <w:rPr>
          <w:rFonts w:eastAsia="標楷體"/>
          <w:sz w:val="28"/>
          <w:szCs w:val="28"/>
        </w:rPr>
        <w:t>萬。</w:t>
      </w:r>
    </w:p>
    <w:p w:rsidR="00DF2F67" w:rsidRPr="00D55DC6" w:rsidRDefault="00DF2F67" w:rsidP="004865C1">
      <w:pPr>
        <w:pStyle w:val="30"/>
        <w:numPr>
          <w:ilvl w:val="3"/>
          <w:numId w:val="156"/>
        </w:numPr>
        <w:adjustRightInd w:val="0"/>
        <w:snapToGrid w:val="0"/>
        <w:spacing w:line="460" w:lineRule="exact"/>
        <w:ind w:leftChars="295" w:left="991" w:hangingChars="101" w:hanging="283"/>
        <w:rPr>
          <w:rFonts w:eastAsia="標楷體"/>
          <w:b/>
          <w:sz w:val="28"/>
        </w:rPr>
      </w:pPr>
      <w:bookmarkStart w:id="161" w:name="_Toc407181571"/>
      <w:r w:rsidRPr="00D55DC6">
        <w:rPr>
          <w:rFonts w:eastAsia="標楷體"/>
          <w:b/>
          <w:sz w:val="28"/>
        </w:rPr>
        <w:t>規劃新增收益機會</w:t>
      </w:r>
      <w:bookmarkEnd w:id="161"/>
    </w:p>
    <w:p w:rsidR="00DF2F67" w:rsidRPr="00D55DC6" w:rsidRDefault="00DF2F67" w:rsidP="004865C1">
      <w:pPr>
        <w:numPr>
          <w:ilvl w:val="1"/>
          <w:numId w:val="146"/>
        </w:numPr>
        <w:tabs>
          <w:tab w:val="clear" w:pos="2140"/>
          <w:tab w:val="num" w:pos="1260"/>
        </w:tabs>
        <w:adjustRightInd w:val="0"/>
        <w:snapToGrid w:val="0"/>
        <w:spacing w:line="460" w:lineRule="exact"/>
        <w:ind w:left="1276" w:hanging="318"/>
        <w:rPr>
          <w:rFonts w:eastAsia="標楷體"/>
          <w:sz w:val="28"/>
          <w:szCs w:val="28"/>
        </w:rPr>
      </w:pPr>
      <w:r w:rsidRPr="00D55DC6">
        <w:rPr>
          <w:rFonts w:eastAsia="標楷體"/>
          <w:sz w:val="28"/>
          <w:szCs w:val="28"/>
        </w:rPr>
        <w:t>濱灣公園亮點計畫投資委託經營：計畫在與屏東縣政府支持合作前提下，預估基地建設可於</w:t>
      </w:r>
      <w:r w:rsidRPr="00D55DC6">
        <w:rPr>
          <w:rFonts w:eastAsia="標楷體"/>
          <w:sz w:val="28"/>
          <w:szCs w:val="28"/>
        </w:rPr>
        <w:t>106</w:t>
      </w:r>
      <w:r w:rsidRPr="00D55DC6">
        <w:rPr>
          <w:rFonts w:eastAsia="標楷體"/>
          <w:sz w:val="28"/>
          <w:szCs w:val="28"/>
        </w:rPr>
        <w:t>年完成；</w:t>
      </w:r>
      <w:r w:rsidRPr="00D55DC6">
        <w:rPr>
          <w:rFonts w:eastAsia="標楷體"/>
          <w:sz w:val="28"/>
          <w:szCs w:val="28"/>
        </w:rPr>
        <w:t>107</w:t>
      </w:r>
      <w:r w:rsidRPr="00D55DC6">
        <w:rPr>
          <w:rFonts w:eastAsia="標楷體"/>
          <w:sz w:val="28"/>
          <w:szCs w:val="28"/>
        </w:rPr>
        <w:t>年進行民間招商議約</w:t>
      </w:r>
      <w:r w:rsidRPr="00D55DC6">
        <w:rPr>
          <w:rFonts w:eastAsia="標楷體"/>
          <w:sz w:val="28"/>
          <w:szCs w:val="28"/>
        </w:rPr>
        <w:lastRenderedPageBreak/>
        <w:t>（假設經營期</w:t>
      </w:r>
      <w:r w:rsidRPr="00D55DC6">
        <w:rPr>
          <w:rFonts w:eastAsia="標楷體"/>
          <w:sz w:val="28"/>
          <w:szCs w:val="28"/>
        </w:rPr>
        <w:t>10</w:t>
      </w:r>
      <w:r w:rsidRPr="00D55DC6">
        <w:rPr>
          <w:rFonts w:eastAsia="標楷體"/>
          <w:sz w:val="28"/>
          <w:szCs w:val="28"/>
        </w:rPr>
        <w:t>年），計畫自償性設施項目包括服務區遊客中心賣店、東琉線交通船、貨船、遊湖船等船舶靠泊費</w:t>
      </w:r>
      <w:r w:rsidRPr="00D55DC6">
        <w:rPr>
          <w:rFonts w:eastAsia="標楷體"/>
          <w:sz w:val="28"/>
          <w:szCs w:val="28"/>
        </w:rPr>
        <w:t>(111.6</w:t>
      </w:r>
      <w:r w:rsidRPr="00D55DC6">
        <w:rPr>
          <w:rFonts w:eastAsia="標楷體"/>
          <w:sz w:val="28"/>
          <w:szCs w:val="28"/>
        </w:rPr>
        <w:t>萬</w:t>
      </w:r>
      <w:r w:rsidRPr="00D55DC6">
        <w:rPr>
          <w:rFonts w:eastAsia="標楷體"/>
          <w:sz w:val="28"/>
          <w:szCs w:val="28"/>
        </w:rPr>
        <w:t>/</w:t>
      </w:r>
      <w:r w:rsidRPr="00D55DC6">
        <w:rPr>
          <w:rFonts w:eastAsia="標楷體"/>
          <w:sz w:val="28"/>
          <w:szCs w:val="28"/>
        </w:rPr>
        <w:t>年</w:t>
      </w:r>
      <w:r w:rsidRPr="00D55DC6">
        <w:rPr>
          <w:rFonts w:eastAsia="標楷體"/>
          <w:sz w:val="28"/>
          <w:szCs w:val="28"/>
        </w:rPr>
        <w:t>)</w:t>
      </w:r>
      <w:r w:rsidRPr="00D55DC6">
        <w:rPr>
          <w:rFonts w:eastAsia="標楷體"/>
          <w:sz w:val="28"/>
          <w:szCs w:val="28"/>
        </w:rPr>
        <w:t>；新增遊艇、帆船等船舶長期泊位費</w:t>
      </w:r>
      <w:r w:rsidRPr="00D55DC6">
        <w:rPr>
          <w:rFonts w:eastAsia="標楷體"/>
          <w:sz w:val="28"/>
          <w:szCs w:val="28"/>
        </w:rPr>
        <w:t>(225</w:t>
      </w:r>
      <w:r w:rsidRPr="00D55DC6">
        <w:rPr>
          <w:rFonts w:eastAsia="標楷體"/>
          <w:sz w:val="28"/>
          <w:szCs w:val="28"/>
        </w:rPr>
        <w:t>萬</w:t>
      </w:r>
      <w:r w:rsidRPr="00D55DC6">
        <w:rPr>
          <w:rFonts w:eastAsia="標楷體"/>
          <w:sz w:val="28"/>
          <w:szCs w:val="28"/>
        </w:rPr>
        <w:t>/</w:t>
      </w:r>
      <w:r w:rsidRPr="00D55DC6">
        <w:rPr>
          <w:rFonts w:eastAsia="標楷體"/>
          <w:sz w:val="28"/>
          <w:szCs w:val="28"/>
        </w:rPr>
        <w:t>年</w:t>
      </w:r>
      <w:r w:rsidRPr="00D55DC6">
        <w:rPr>
          <w:rFonts w:eastAsia="標楷體"/>
          <w:sz w:val="28"/>
          <w:szCs w:val="28"/>
        </w:rPr>
        <w:t>)</w:t>
      </w:r>
      <w:r w:rsidRPr="00D55DC6">
        <w:rPr>
          <w:rFonts w:eastAsia="標楷體"/>
          <w:sz w:val="28"/>
          <w:szCs w:val="28"/>
        </w:rPr>
        <w:t>、外堤護岸餐飲賣店</w:t>
      </w:r>
      <w:r w:rsidRPr="00D55DC6">
        <w:rPr>
          <w:rFonts w:eastAsia="標楷體"/>
          <w:sz w:val="28"/>
          <w:szCs w:val="28"/>
        </w:rPr>
        <w:t>(720</w:t>
      </w:r>
      <w:r w:rsidRPr="00D55DC6">
        <w:rPr>
          <w:rFonts w:eastAsia="標楷體"/>
          <w:sz w:val="28"/>
          <w:szCs w:val="28"/>
        </w:rPr>
        <w:t>萬</w:t>
      </w:r>
      <w:r w:rsidRPr="00D55DC6">
        <w:rPr>
          <w:rFonts w:eastAsia="標楷體"/>
          <w:sz w:val="28"/>
          <w:szCs w:val="28"/>
        </w:rPr>
        <w:t>/</w:t>
      </w:r>
      <w:r w:rsidRPr="00D55DC6">
        <w:rPr>
          <w:rFonts w:eastAsia="標楷體"/>
          <w:sz w:val="28"/>
          <w:szCs w:val="28"/>
        </w:rPr>
        <w:t>年</w:t>
      </w:r>
      <w:r w:rsidRPr="00D55DC6">
        <w:rPr>
          <w:rFonts w:eastAsia="標楷體"/>
          <w:sz w:val="28"/>
          <w:szCs w:val="28"/>
        </w:rPr>
        <w:t>)</w:t>
      </w:r>
      <w:r w:rsidRPr="00D55DC6">
        <w:rPr>
          <w:rFonts w:eastAsia="標楷體"/>
          <w:sz w:val="28"/>
          <w:szCs w:val="28"/>
        </w:rPr>
        <w:t>、停車場</w:t>
      </w:r>
      <w:r w:rsidRPr="00D55DC6">
        <w:rPr>
          <w:rFonts w:eastAsia="標楷體"/>
          <w:sz w:val="28"/>
          <w:szCs w:val="28"/>
        </w:rPr>
        <w:t>(64.5</w:t>
      </w:r>
      <w:r w:rsidRPr="00D55DC6">
        <w:rPr>
          <w:rFonts w:eastAsia="標楷體"/>
          <w:sz w:val="28"/>
          <w:szCs w:val="28"/>
        </w:rPr>
        <w:t>萬</w:t>
      </w:r>
      <w:r w:rsidRPr="00D55DC6">
        <w:rPr>
          <w:rFonts w:eastAsia="標楷體"/>
          <w:sz w:val="28"/>
          <w:szCs w:val="28"/>
        </w:rPr>
        <w:t>/</w:t>
      </w:r>
      <w:r w:rsidRPr="00D55DC6">
        <w:rPr>
          <w:rFonts w:eastAsia="標楷體"/>
          <w:sz w:val="28"/>
          <w:szCs w:val="28"/>
        </w:rPr>
        <w:t>年</w:t>
      </w:r>
      <w:r w:rsidRPr="00D55DC6">
        <w:rPr>
          <w:rFonts w:eastAsia="標楷體"/>
          <w:sz w:val="28"/>
          <w:szCs w:val="28"/>
        </w:rPr>
        <w:t>)</w:t>
      </w:r>
      <w:r w:rsidRPr="00D55DC6">
        <w:rPr>
          <w:rFonts w:eastAsia="標楷體"/>
          <w:sz w:val="28"/>
          <w:szCs w:val="28"/>
        </w:rPr>
        <w:t>等項目，預估全年收益約達</w:t>
      </w:r>
      <w:r w:rsidRPr="00D55DC6">
        <w:rPr>
          <w:rFonts w:eastAsia="標楷體"/>
          <w:sz w:val="28"/>
          <w:szCs w:val="28"/>
        </w:rPr>
        <w:t>1,151</w:t>
      </w:r>
      <w:r w:rsidRPr="00D55DC6">
        <w:rPr>
          <w:rFonts w:eastAsia="標楷體"/>
          <w:sz w:val="28"/>
          <w:szCs w:val="28"/>
        </w:rPr>
        <w:t>萬元以上。</w:t>
      </w:r>
    </w:p>
    <w:p w:rsidR="00DF2F67" w:rsidRPr="00D55DC6" w:rsidRDefault="00DF2F67" w:rsidP="004865C1">
      <w:pPr>
        <w:numPr>
          <w:ilvl w:val="1"/>
          <w:numId w:val="146"/>
        </w:numPr>
        <w:tabs>
          <w:tab w:val="clear" w:pos="2140"/>
          <w:tab w:val="num" w:pos="1260"/>
        </w:tabs>
        <w:adjustRightInd w:val="0"/>
        <w:snapToGrid w:val="0"/>
        <w:spacing w:line="460" w:lineRule="exact"/>
        <w:ind w:left="1276" w:hanging="318"/>
        <w:rPr>
          <w:rFonts w:eastAsia="標楷體"/>
          <w:sz w:val="28"/>
          <w:szCs w:val="28"/>
        </w:rPr>
      </w:pPr>
      <w:r w:rsidRPr="00D55DC6">
        <w:rPr>
          <w:rFonts w:eastAsia="標楷體"/>
          <w:sz w:val="28"/>
          <w:szCs w:val="28"/>
        </w:rPr>
        <w:t>建立環灣停車場收費機制：配合濱灣公園停車場出租收費機制，訂定環灣地區公共停車場、停車格（清潔費）收費機制，以委託營運方式執行停車收費，依據目前已設置停車位數量扣除分散場所額外經營成本，預估可自</w:t>
      </w:r>
      <w:r w:rsidRPr="00D55DC6">
        <w:rPr>
          <w:rFonts w:eastAsia="標楷體"/>
          <w:sz w:val="28"/>
          <w:szCs w:val="28"/>
        </w:rPr>
        <w:t>107</w:t>
      </w:r>
      <w:r w:rsidRPr="00D55DC6">
        <w:rPr>
          <w:rFonts w:eastAsia="標楷體"/>
          <w:sz w:val="28"/>
          <w:szCs w:val="28"/>
        </w:rPr>
        <w:t>年度規劃收費，預估每年可增加管理處收益</w:t>
      </w:r>
      <w:r w:rsidRPr="00D55DC6">
        <w:rPr>
          <w:rFonts w:eastAsia="標楷體"/>
          <w:sz w:val="28"/>
          <w:szCs w:val="28"/>
        </w:rPr>
        <w:t>30</w:t>
      </w:r>
      <w:r w:rsidRPr="00D55DC6">
        <w:rPr>
          <w:rFonts w:eastAsia="標楷體"/>
          <w:sz w:val="28"/>
          <w:szCs w:val="28"/>
        </w:rPr>
        <w:t>萬元。</w:t>
      </w:r>
    </w:p>
    <w:p w:rsidR="00DF2F67" w:rsidRPr="00D55DC6" w:rsidRDefault="00DF2F67" w:rsidP="004865C1">
      <w:pPr>
        <w:numPr>
          <w:ilvl w:val="1"/>
          <w:numId w:val="146"/>
        </w:numPr>
        <w:tabs>
          <w:tab w:val="clear" w:pos="2140"/>
          <w:tab w:val="num" w:pos="1260"/>
        </w:tabs>
        <w:adjustRightInd w:val="0"/>
        <w:snapToGrid w:val="0"/>
        <w:spacing w:line="460" w:lineRule="exact"/>
        <w:ind w:left="1276" w:hanging="318"/>
        <w:rPr>
          <w:rFonts w:eastAsia="標楷體"/>
          <w:sz w:val="28"/>
          <w:szCs w:val="28"/>
        </w:rPr>
      </w:pPr>
      <w:r w:rsidRPr="00D55DC6">
        <w:rPr>
          <w:rFonts w:eastAsia="標楷體"/>
          <w:sz w:val="28"/>
          <w:szCs w:val="28"/>
        </w:rPr>
        <w:t>環灣濕地公園、綠地清潔維護費：管理處過去為維護環境及生態體系之完整，已設置</w:t>
      </w:r>
      <w:r w:rsidRPr="00D55DC6">
        <w:rPr>
          <w:rFonts w:eastAsia="標楷體"/>
          <w:sz w:val="28"/>
          <w:szCs w:val="28"/>
        </w:rPr>
        <w:t>5</w:t>
      </w:r>
      <w:r w:rsidRPr="00D55DC6">
        <w:rPr>
          <w:rFonts w:eastAsia="標楷體"/>
          <w:sz w:val="28"/>
          <w:szCs w:val="28"/>
        </w:rPr>
        <w:t>座濕地公園及</w:t>
      </w:r>
      <w:r w:rsidRPr="00D55DC6">
        <w:rPr>
          <w:rFonts w:eastAsia="標楷體"/>
          <w:sz w:val="28"/>
          <w:szCs w:val="28"/>
        </w:rPr>
        <w:t>1</w:t>
      </w:r>
      <w:r w:rsidRPr="00D55DC6">
        <w:rPr>
          <w:rFonts w:eastAsia="標楷體"/>
          <w:sz w:val="28"/>
          <w:szCs w:val="28"/>
        </w:rPr>
        <w:t>座紅樹林復育公園，全面進行紅樹林及海邊植物之復育工作，提供動物之最佳撫育場所，並通過環境教育場域認證在案。未來</w:t>
      </w:r>
      <w:r w:rsidRPr="00D55DC6">
        <w:rPr>
          <w:rFonts w:eastAsia="標楷體"/>
          <w:sz w:val="28"/>
          <w:szCs w:val="28"/>
        </w:rPr>
        <w:t>BOT</w:t>
      </w:r>
      <w:r w:rsidRPr="00D55DC6">
        <w:rPr>
          <w:rFonts w:eastAsia="標楷體"/>
          <w:sz w:val="28"/>
          <w:szCs w:val="28"/>
        </w:rPr>
        <w:t>廠商（配合遊三區開發需於</w:t>
      </w:r>
      <w:r w:rsidRPr="00D55DC6">
        <w:rPr>
          <w:rFonts w:eastAsia="標楷體"/>
          <w:sz w:val="28"/>
          <w:szCs w:val="28"/>
        </w:rPr>
        <w:t>110</w:t>
      </w:r>
      <w:r w:rsidRPr="00D55DC6">
        <w:rPr>
          <w:rFonts w:eastAsia="標楷體"/>
          <w:sz w:val="28"/>
          <w:szCs w:val="28"/>
        </w:rPr>
        <w:t>年）協助建置公二（生態主題公園）等具有封閉型場地特性之公園綠地，計畫建議管理處可依風景特定區管理規則第</w:t>
      </w:r>
      <w:r w:rsidRPr="00D55DC6">
        <w:rPr>
          <w:rFonts w:eastAsia="標楷體"/>
          <w:sz w:val="28"/>
          <w:szCs w:val="28"/>
        </w:rPr>
        <w:t>16</w:t>
      </w:r>
      <w:r w:rsidRPr="00D55DC6">
        <w:rPr>
          <w:rFonts w:eastAsia="標楷體"/>
          <w:sz w:val="28"/>
          <w:szCs w:val="28"/>
        </w:rPr>
        <w:t>、</w:t>
      </w:r>
      <w:r w:rsidRPr="00D55DC6">
        <w:rPr>
          <w:rFonts w:eastAsia="標楷體"/>
          <w:sz w:val="28"/>
          <w:szCs w:val="28"/>
        </w:rPr>
        <w:t>17</w:t>
      </w:r>
      <w:r w:rsidRPr="00D55DC6">
        <w:rPr>
          <w:rFonts w:eastAsia="標楷體"/>
          <w:sz w:val="28"/>
          <w:szCs w:val="28"/>
        </w:rPr>
        <w:t>條規定，設置投幣式自動感應入口（搭配公園綠地自導式環境解說折頁），以酌收清潔維護費（</w:t>
      </w:r>
      <w:r w:rsidRPr="00D55DC6">
        <w:rPr>
          <w:rFonts w:eastAsia="標楷體"/>
          <w:sz w:val="28"/>
          <w:szCs w:val="28"/>
        </w:rPr>
        <w:t>20</w:t>
      </w:r>
      <w:r w:rsidRPr="00D55DC6">
        <w:rPr>
          <w:rFonts w:eastAsia="標楷體"/>
          <w:sz w:val="28"/>
          <w:szCs w:val="28"/>
        </w:rPr>
        <w:t>元</w:t>
      </w:r>
      <w:r w:rsidRPr="00D55DC6">
        <w:rPr>
          <w:rFonts w:eastAsia="標楷體"/>
          <w:sz w:val="28"/>
          <w:szCs w:val="28"/>
        </w:rPr>
        <w:t>/</w:t>
      </w:r>
      <w:r w:rsidRPr="00D55DC6">
        <w:rPr>
          <w:rFonts w:eastAsia="標楷體"/>
          <w:sz w:val="28"/>
          <w:szCs w:val="28"/>
        </w:rPr>
        <w:t>人）方式，增加觀光發展基金收益機會（預估全年可增加收益</w:t>
      </w:r>
      <w:r w:rsidRPr="00D55DC6">
        <w:rPr>
          <w:rFonts w:eastAsia="標楷體"/>
          <w:sz w:val="28"/>
          <w:szCs w:val="28"/>
        </w:rPr>
        <w:t>300</w:t>
      </w:r>
      <w:r w:rsidRPr="00D55DC6">
        <w:rPr>
          <w:rFonts w:eastAsia="標楷體"/>
          <w:sz w:val="28"/>
          <w:szCs w:val="28"/>
        </w:rPr>
        <w:t>萬元）。</w:t>
      </w:r>
    </w:p>
    <w:p w:rsidR="00DF2F67" w:rsidRPr="00D55DC6" w:rsidRDefault="00DF2F67" w:rsidP="004865C1">
      <w:pPr>
        <w:numPr>
          <w:ilvl w:val="1"/>
          <w:numId w:val="146"/>
        </w:numPr>
        <w:tabs>
          <w:tab w:val="clear" w:pos="2140"/>
          <w:tab w:val="num" w:pos="1260"/>
        </w:tabs>
        <w:adjustRightInd w:val="0"/>
        <w:snapToGrid w:val="0"/>
        <w:spacing w:line="460" w:lineRule="exact"/>
        <w:ind w:left="1276" w:hanging="318"/>
        <w:rPr>
          <w:rFonts w:eastAsia="標楷體"/>
          <w:sz w:val="28"/>
          <w:szCs w:val="28"/>
        </w:rPr>
      </w:pPr>
      <w:r w:rsidRPr="00D55DC6">
        <w:rPr>
          <w:rFonts w:eastAsia="標楷體"/>
          <w:sz w:val="28"/>
          <w:szCs w:val="28"/>
        </w:rPr>
        <w:t>其他：目前有業者主動與管理處洽商合作，在管理處所轄管道路、橋樑與建物上設置形象宣傳廣告或基地台。</w:t>
      </w:r>
    </w:p>
    <w:p w:rsidR="00DF2F67" w:rsidRPr="00D55DC6" w:rsidRDefault="00DF2F67" w:rsidP="004865C1">
      <w:pPr>
        <w:pStyle w:val="30"/>
        <w:numPr>
          <w:ilvl w:val="3"/>
          <w:numId w:val="156"/>
        </w:numPr>
        <w:adjustRightInd w:val="0"/>
        <w:snapToGrid w:val="0"/>
        <w:spacing w:line="460" w:lineRule="exact"/>
        <w:ind w:leftChars="295" w:left="991" w:hangingChars="101" w:hanging="283"/>
        <w:rPr>
          <w:rFonts w:eastAsia="標楷體"/>
          <w:b/>
          <w:sz w:val="28"/>
        </w:rPr>
      </w:pPr>
      <w:bookmarkStart w:id="162" w:name="_Toc407181572"/>
      <w:r w:rsidRPr="00D55DC6">
        <w:rPr>
          <w:rFonts w:eastAsia="標楷體"/>
          <w:b/>
          <w:sz w:val="28"/>
        </w:rPr>
        <w:t>依促參法及相關法規擴大規劃收益機會</w:t>
      </w:r>
      <w:bookmarkEnd w:id="162"/>
    </w:p>
    <w:p w:rsidR="00DF2F67" w:rsidRPr="00D55DC6" w:rsidRDefault="00DF2F67" w:rsidP="004865C1">
      <w:pPr>
        <w:numPr>
          <w:ilvl w:val="1"/>
          <w:numId w:val="146"/>
        </w:numPr>
        <w:tabs>
          <w:tab w:val="clear" w:pos="2140"/>
          <w:tab w:val="num" w:pos="1260"/>
        </w:tabs>
        <w:adjustRightInd w:val="0"/>
        <w:snapToGrid w:val="0"/>
        <w:spacing w:line="460" w:lineRule="exact"/>
        <w:ind w:left="1276" w:hanging="318"/>
        <w:rPr>
          <w:rFonts w:eastAsia="標楷體"/>
          <w:sz w:val="28"/>
          <w:szCs w:val="28"/>
        </w:rPr>
      </w:pPr>
      <w:r w:rsidRPr="00D55DC6">
        <w:rPr>
          <w:rFonts w:eastAsia="標楷體"/>
          <w:sz w:val="28"/>
          <w:szCs w:val="28"/>
        </w:rPr>
        <w:t>遊二區</w:t>
      </w:r>
      <w:r w:rsidRPr="00D55DC6">
        <w:rPr>
          <w:rFonts w:eastAsia="標楷體"/>
          <w:sz w:val="28"/>
          <w:szCs w:val="28"/>
        </w:rPr>
        <w:t>BOT</w:t>
      </w:r>
      <w:r w:rsidRPr="00D55DC6">
        <w:rPr>
          <w:rFonts w:eastAsia="標楷體"/>
          <w:sz w:val="28"/>
          <w:szCs w:val="28"/>
        </w:rPr>
        <w:t>投資（</w:t>
      </w:r>
      <w:r w:rsidRPr="00D55DC6">
        <w:rPr>
          <w:rFonts w:eastAsia="標楷體"/>
          <w:sz w:val="28"/>
          <w:szCs w:val="28"/>
        </w:rPr>
        <w:t>30</w:t>
      </w:r>
      <w:r w:rsidRPr="00D55DC6">
        <w:rPr>
          <w:rFonts w:eastAsia="標楷體"/>
          <w:sz w:val="28"/>
          <w:szCs w:val="28"/>
        </w:rPr>
        <w:t>年）：管理處自</w:t>
      </w:r>
      <w:r w:rsidRPr="00D55DC6">
        <w:rPr>
          <w:rFonts w:eastAsia="標楷體"/>
          <w:sz w:val="28"/>
          <w:szCs w:val="28"/>
        </w:rPr>
        <w:t>103</w:t>
      </w:r>
      <w:r w:rsidRPr="00D55DC6">
        <w:rPr>
          <w:rFonts w:eastAsia="標楷體"/>
          <w:sz w:val="28"/>
          <w:szCs w:val="28"/>
        </w:rPr>
        <w:t>年底即依據大鵬灣風景特定區計畫土地使用分區管制要點第</w:t>
      </w:r>
      <w:r w:rsidRPr="00D55DC6">
        <w:rPr>
          <w:rFonts w:eastAsia="標楷體"/>
          <w:sz w:val="28"/>
          <w:szCs w:val="28"/>
        </w:rPr>
        <w:t>11</w:t>
      </w:r>
      <w:r w:rsidRPr="00D55DC6">
        <w:rPr>
          <w:rFonts w:eastAsia="標楷體"/>
          <w:sz w:val="28"/>
          <w:szCs w:val="28"/>
        </w:rPr>
        <w:t>點規定採民間機構參與公共建設方式辦理重新招標程序，目前方案規劃未來廠商可在土地使用法定條件下投資生態主題教育館場、水岸</w:t>
      </w:r>
      <w:r w:rsidR="00EA38C5" w:rsidRPr="00D55DC6">
        <w:rPr>
          <w:rFonts w:eastAsia="標楷體"/>
          <w:sz w:val="28"/>
          <w:szCs w:val="28"/>
        </w:rPr>
        <w:t>度假</w:t>
      </w:r>
      <w:r w:rsidRPr="00D55DC6">
        <w:rPr>
          <w:rFonts w:eastAsia="標楷體"/>
          <w:sz w:val="28"/>
          <w:szCs w:val="28"/>
        </w:rPr>
        <w:t>住宿設施、水岸遊憩公園與購物廣場</w:t>
      </w:r>
      <w:r w:rsidRPr="00D55DC6">
        <w:rPr>
          <w:rFonts w:eastAsia="標楷體"/>
          <w:sz w:val="28"/>
          <w:szCs w:val="28"/>
        </w:rPr>
        <w:t>..</w:t>
      </w:r>
      <w:r w:rsidRPr="00D55DC6">
        <w:rPr>
          <w:rFonts w:eastAsia="標楷體"/>
          <w:sz w:val="28"/>
          <w:szCs w:val="28"/>
        </w:rPr>
        <w:t>等觀光主題服務設施，預定投資承諾須達新台幣</w:t>
      </w:r>
      <w:r w:rsidRPr="00D55DC6">
        <w:rPr>
          <w:rFonts w:eastAsia="標楷體"/>
          <w:sz w:val="28"/>
          <w:szCs w:val="28"/>
        </w:rPr>
        <w:t>7</w:t>
      </w:r>
      <w:r w:rsidRPr="00D55DC6">
        <w:rPr>
          <w:rFonts w:eastAsia="標楷體"/>
          <w:sz w:val="28"/>
          <w:szCs w:val="28"/>
        </w:rPr>
        <w:t>億元以上，管理處預估開發權利金每年平均攤付</w:t>
      </w:r>
      <w:r w:rsidRPr="00D55DC6">
        <w:rPr>
          <w:rFonts w:eastAsia="標楷體"/>
          <w:sz w:val="28"/>
          <w:szCs w:val="28"/>
        </w:rPr>
        <w:t>360</w:t>
      </w:r>
      <w:r w:rsidRPr="00D55DC6">
        <w:rPr>
          <w:rFonts w:eastAsia="標楷體"/>
          <w:sz w:val="28"/>
          <w:szCs w:val="28"/>
        </w:rPr>
        <w:t>萬元，本案預估民國</w:t>
      </w:r>
      <w:r w:rsidRPr="00D55DC6">
        <w:rPr>
          <w:rFonts w:eastAsia="標楷體"/>
          <w:sz w:val="28"/>
          <w:szCs w:val="28"/>
        </w:rPr>
        <w:t>108</w:t>
      </w:r>
      <w:r w:rsidRPr="00D55DC6">
        <w:rPr>
          <w:rFonts w:eastAsia="標楷體"/>
          <w:sz w:val="28"/>
          <w:szCs w:val="28"/>
        </w:rPr>
        <w:t>年完工，依目前提案規劃每年可收取總營</w:t>
      </w:r>
      <w:r w:rsidRPr="00D55DC6">
        <w:rPr>
          <w:rFonts w:eastAsia="標楷體"/>
          <w:sz w:val="28"/>
          <w:szCs w:val="28"/>
        </w:rPr>
        <w:lastRenderedPageBreak/>
        <w:t>業額</w:t>
      </w:r>
      <w:r w:rsidRPr="00D55DC6">
        <w:rPr>
          <w:rFonts w:eastAsia="標楷體"/>
          <w:sz w:val="28"/>
          <w:szCs w:val="28"/>
        </w:rPr>
        <w:t>(</w:t>
      </w:r>
      <w:r w:rsidRPr="00D55DC6">
        <w:rPr>
          <w:rFonts w:eastAsia="標楷體"/>
          <w:sz w:val="28"/>
          <w:szCs w:val="28"/>
        </w:rPr>
        <w:t>扣除營業稅</w:t>
      </w:r>
      <w:r w:rsidRPr="00D55DC6">
        <w:rPr>
          <w:rFonts w:eastAsia="標楷體"/>
          <w:sz w:val="28"/>
          <w:szCs w:val="28"/>
        </w:rPr>
        <w:t>)</w:t>
      </w:r>
      <w:r w:rsidRPr="00D55DC6">
        <w:rPr>
          <w:rFonts w:eastAsia="標楷體"/>
          <w:sz w:val="28"/>
          <w:szCs w:val="28"/>
        </w:rPr>
        <w:t>至少</w:t>
      </w:r>
      <w:r w:rsidRPr="00D55DC6">
        <w:rPr>
          <w:rFonts w:eastAsia="標楷體"/>
          <w:sz w:val="28"/>
          <w:szCs w:val="28"/>
        </w:rPr>
        <w:t>1%</w:t>
      </w:r>
      <w:r w:rsidRPr="00D55DC6">
        <w:rPr>
          <w:rFonts w:eastAsia="標楷體"/>
          <w:sz w:val="28"/>
          <w:szCs w:val="28"/>
        </w:rPr>
        <w:t>及營業淨利</w:t>
      </w:r>
      <w:r w:rsidRPr="00D55DC6">
        <w:rPr>
          <w:rFonts w:eastAsia="標楷體"/>
          <w:sz w:val="28"/>
          <w:szCs w:val="28"/>
        </w:rPr>
        <w:t>12.5</w:t>
      </w:r>
      <w:r w:rsidRPr="00D55DC6">
        <w:rPr>
          <w:rFonts w:eastAsia="標楷體"/>
          <w:sz w:val="28"/>
          <w:szCs w:val="28"/>
        </w:rPr>
        <w:t>％營運權利金，以總營業額</w:t>
      </w:r>
      <w:r w:rsidRPr="00D55DC6">
        <w:rPr>
          <w:rFonts w:eastAsia="標楷體"/>
          <w:sz w:val="28"/>
          <w:szCs w:val="28"/>
        </w:rPr>
        <w:t>2</w:t>
      </w:r>
      <w:r w:rsidRPr="00D55DC6">
        <w:rPr>
          <w:rFonts w:eastAsia="標楷體"/>
          <w:sz w:val="28"/>
          <w:szCs w:val="28"/>
        </w:rPr>
        <w:t>億元以上計算，預估營運權利金每年可收取</w:t>
      </w:r>
      <w:r w:rsidRPr="00D55DC6">
        <w:rPr>
          <w:rFonts w:eastAsia="標楷體"/>
          <w:sz w:val="28"/>
          <w:szCs w:val="28"/>
        </w:rPr>
        <w:t>640</w:t>
      </w:r>
      <w:r w:rsidRPr="00D55DC6">
        <w:rPr>
          <w:rFonts w:eastAsia="標楷體"/>
          <w:sz w:val="28"/>
          <w:szCs w:val="28"/>
        </w:rPr>
        <w:t>萬元，土地租金每年可收約</w:t>
      </w:r>
      <w:r w:rsidRPr="00D55DC6">
        <w:rPr>
          <w:rFonts w:eastAsia="標楷體"/>
          <w:sz w:val="28"/>
          <w:szCs w:val="28"/>
        </w:rPr>
        <w:t>310</w:t>
      </w:r>
      <w:r w:rsidRPr="00D55DC6">
        <w:rPr>
          <w:rFonts w:eastAsia="標楷體"/>
          <w:sz w:val="28"/>
          <w:szCs w:val="28"/>
        </w:rPr>
        <w:t>萬，並提供近</w:t>
      </w:r>
      <w:r w:rsidRPr="00D55DC6">
        <w:rPr>
          <w:rFonts w:eastAsia="標楷體"/>
          <w:sz w:val="28"/>
          <w:szCs w:val="28"/>
        </w:rPr>
        <w:t>200</w:t>
      </w:r>
      <w:r w:rsidRPr="00D55DC6">
        <w:rPr>
          <w:rFonts w:eastAsia="標楷體"/>
          <w:sz w:val="28"/>
          <w:szCs w:val="28"/>
        </w:rPr>
        <w:t>個工作機會。</w:t>
      </w:r>
    </w:p>
    <w:p w:rsidR="00DF2F67" w:rsidRPr="00D55DC6" w:rsidRDefault="00DF2F67" w:rsidP="004865C1">
      <w:pPr>
        <w:numPr>
          <w:ilvl w:val="1"/>
          <w:numId w:val="146"/>
        </w:numPr>
        <w:tabs>
          <w:tab w:val="clear" w:pos="2140"/>
          <w:tab w:val="num" w:pos="1260"/>
        </w:tabs>
        <w:adjustRightInd w:val="0"/>
        <w:snapToGrid w:val="0"/>
        <w:spacing w:line="460" w:lineRule="exact"/>
        <w:ind w:left="1276" w:hanging="318"/>
        <w:rPr>
          <w:rFonts w:eastAsia="標楷體"/>
          <w:sz w:val="28"/>
          <w:szCs w:val="28"/>
        </w:rPr>
      </w:pPr>
      <w:r w:rsidRPr="00D55DC6">
        <w:rPr>
          <w:rFonts w:eastAsia="標楷體"/>
          <w:sz w:val="28"/>
          <w:szCs w:val="28"/>
        </w:rPr>
        <w:t>遊三區與公二</w:t>
      </w:r>
      <w:r w:rsidRPr="00D55DC6">
        <w:rPr>
          <w:rFonts w:eastAsia="標楷體"/>
          <w:sz w:val="28"/>
          <w:szCs w:val="28"/>
        </w:rPr>
        <w:t>BOT</w:t>
      </w:r>
      <w:r w:rsidRPr="00D55DC6">
        <w:rPr>
          <w:rFonts w:eastAsia="標楷體"/>
          <w:sz w:val="28"/>
          <w:szCs w:val="28"/>
        </w:rPr>
        <w:t>投資（</w:t>
      </w:r>
      <w:r w:rsidRPr="00D55DC6">
        <w:rPr>
          <w:rFonts w:eastAsia="標楷體"/>
          <w:sz w:val="28"/>
          <w:szCs w:val="28"/>
        </w:rPr>
        <w:t>45</w:t>
      </w:r>
      <w:r w:rsidRPr="00D55DC6">
        <w:rPr>
          <w:rFonts w:eastAsia="標楷體"/>
          <w:sz w:val="28"/>
          <w:szCs w:val="28"/>
        </w:rPr>
        <w:t>年）：已完成簽約完成，開發業者計畫投入</w:t>
      </w:r>
      <w:r w:rsidRPr="00D55DC6">
        <w:rPr>
          <w:rFonts w:eastAsia="標楷體"/>
          <w:sz w:val="28"/>
          <w:szCs w:val="28"/>
        </w:rPr>
        <w:t>18</w:t>
      </w:r>
      <w:r w:rsidRPr="00D55DC6">
        <w:rPr>
          <w:rFonts w:eastAsia="標楷體"/>
          <w:sz w:val="28"/>
          <w:szCs w:val="28"/>
        </w:rPr>
        <w:t>億元興建水上活動</w:t>
      </w:r>
      <w:r w:rsidR="00EA38C5" w:rsidRPr="00D55DC6">
        <w:rPr>
          <w:rFonts w:eastAsia="標楷體"/>
          <w:sz w:val="28"/>
          <w:szCs w:val="28"/>
        </w:rPr>
        <w:t>度假</w:t>
      </w:r>
      <w:r w:rsidRPr="00D55DC6">
        <w:rPr>
          <w:rFonts w:eastAsia="標楷體"/>
          <w:sz w:val="28"/>
          <w:szCs w:val="28"/>
        </w:rPr>
        <w:t>基地，其內容係以南島休閒海岸為主題，整合對水的遊憩發揚，其內容包括水岸主題</w:t>
      </w:r>
      <w:r w:rsidR="00EA38C5" w:rsidRPr="00D55DC6">
        <w:rPr>
          <w:rFonts w:eastAsia="標楷體"/>
          <w:sz w:val="28"/>
          <w:szCs w:val="28"/>
        </w:rPr>
        <w:t>度假</w:t>
      </w:r>
      <w:r w:rsidRPr="00D55DC6">
        <w:rPr>
          <w:rFonts w:eastAsia="標楷體"/>
          <w:sz w:val="28"/>
          <w:szCs w:val="28"/>
        </w:rPr>
        <w:t>村、美食購物商場、水上運動學校、親水公園廣場</w:t>
      </w:r>
      <w:r w:rsidRPr="00D55DC6">
        <w:rPr>
          <w:rFonts w:eastAsia="標楷體"/>
          <w:sz w:val="28"/>
          <w:szCs w:val="28"/>
        </w:rPr>
        <w:t>(</w:t>
      </w:r>
      <w:r w:rsidRPr="00D55DC6">
        <w:rPr>
          <w:rFonts w:eastAsia="標楷體"/>
          <w:sz w:val="28"/>
          <w:szCs w:val="28"/>
        </w:rPr>
        <w:t>含汽車露營區</w:t>
      </w:r>
      <w:r w:rsidRPr="00D55DC6">
        <w:rPr>
          <w:rFonts w:eastAsia="標楷體"/>
          <w:sz w:val="28"/>
          <w:szCs w:val="28"/>
        </w:rPr>
        <w:t>)</w:t>
      </w:r>
      <w:r w:rsidRPr="00D55DC6">
        <w:rPr>
          <w:rFonts w:eastAsia="標楷體"/>
          <w:sz w:val="28"/>
          <w:szCs w:val="28"/>
        </w:rPr>
        <w:t>、停車場，本案開發權利金</w:t>
      </w:r>
      <w:r w:rsidRPr="00D55DC6">
        <w:rPr>
          <w:rFonts w:eastAsia="標楷體"/>
          <w:sz w:val="28"/>
          <w:szCs w:val="28"/>
        </w:rPr>
        <w:t>5,000</w:t>
      </w:r>
      <w:r w:rsidRPr="00D55DC6">
        <w:rPr>
          <w:rFonts w:eastAsia="標楷體"/>
          <w:sz w:val="28"/>
          <w:szCs w:val="28"/>
        </w:rPr>
        <w:t>萬元，刻正辦理興建前期開發計畫與環評變更作業，俟興建完成開始營運（預估民國</w:t>
      </w:r>
      <w:r w:rsidRPr="00D55DC6">
        <w:rPr>
          <w:rFonts w:eastAsia="標楷體"/>
          <w:sz w:val="28"/>
          <w:szCs w:val="28"/>
        </w:rPr>
        <w:t>108</w:t>
      </w:r>
      <w:r w:rsidRPr="00D55DC6">
        <w:rPr>
          <w:rFonts w:eastAsia="標楷體"/>
          <w:sz w:val="28"/>
          <w:szCs w:val="28"/>
        </w:rPr>
        <w:t>年完工後，依合約每年可收取營運權利金每年可收取</w:t>
      </w:r>
      <w:r w:rsidRPr="00D55DC6">
        <w:rPr>
          <w:rFonts w:eastAsia="標楷體"/>
          <w:sz w:val="28"/>
          <w:szCs w:val="28"/>
        </w:rPr>
        <w:t>700</w:t>
      </w:r>
      <w:r w:rsidRPr="00D55DC6">
        <w:rPr>
          <w:rFonts w:eastAsia="標楷體"/>
          <w:sz w:val="28"/>
          <w:szCs w:val="28"/>
        </w:rPr>
        <w:t>萬元，土地租金每年可收約</w:t>
      </w:r>
      <w:r w:rsidRPr="00D55DC6">
        <w:rPr>
          <w:rFonts w:eastAsia="標楷體"/>
          <w:sz w:val="28"/>
          <w:szCs w:val="28"/>
        </w:rPr>
        <w:t>650</w:t>
      </w:r>
      <w:r w:rsidRPr="00D55DC6">
        <w:rPr>
          <w:rFonts w:eastAsia="標楷體"/>
          <w:sz w:val="28"/>
          <w:szCs w:val="28"/>
        </w:rPr>
        <w:t>萬，並提供近</w:t>
      </w:r>
      <w:r w:rsidRPr="00D55DC6">
        <w:rPr>
          <w:rFonts w:eastAsia="標楷體"/>
          <w:sz w:val="28"/>
          <w:szCs w:val="28"/>
        </w:rPr>
        <w:t>270</w:t>
      </w:r>
      <w:r w:rsidRPr="00D55DC6">
        <w:rPr>
          <w:rFonts w:eastAsia="標楷體"/>
          <w:sz w:val="28"/>
          <w:szCs w:val="28"/>
        </w:rPr>
        <w:t>個工作機會。</w:t>
      </w:r>
    </w:p>
    <w:p w:rsidR="00DF2F67" w:rsidRPr="00D55DC6" w:rsidRDefault="00DF2F67" w:rsidP="004865C1">
      <w:pPr>
        <w:numPr>
          <w:ilvl w:val="1"/>
          <w:numId w:val="146"/>
        </w:numPr>
        <w:tabs>
          <w:tab w:val="clear" w:pos="2140"/>
          <w:tab w:val="num" w:pos="1260"/>
        </w:tabs>
        <w:adjustRightInd w:val="0"/>
        <w:snapToGrid w:val="0"/>
        <w:spacing w:line="460" w:lineRule="exact"/>
        <w:ind w:left="1276" w:hanging="318"/>
        <w:rPr>
          <w:rFonts w:eastAsia="標楷體"/>
          <w:sz w:val="28"/>
          <w:szCs w:val="28"/>
        </w:rPr>
      </w:pPr>
      <w:r w:rsidRPr="00D55DC6">
        <w:rPr>
          <w:rFonts w:eastAsia="標楷體"/>
          <w:sz w:val="28"/>
          <w:szCs w:val="28"/>
        </w:rPr>
        <w:t>小琉球海景休閒</w:t>
      </w:r>
      <w:r w:rsidR="00EA38C5" w:rsidRPr="00D55DC6">
        <w:rPr>
          <w:rFonts w:eastAsia="標楷體"/>
          <w:sz w:val="28"/>
          <w:szCs w:val="28"/>
        </w:rPr>
        <w:t>度假</w:t>
      </w:r>
      <w:r w:rsidRPr="00D55DC6">
        <w:rPr>
          <w:rFonts w:eastAsia="標楷體"/>
          <w:sz w:val="28"/>
          <w:szCs w:val="28"/>
        </w:rPr>
        <w:t>區（原露營區）</w:t>
      </w:r>
      <w:r w:rsidRPr="00D55DC6">
        <w:rPr>
          <w:rFonts w:eastAsia="標楷體"/>
          <w:sz w:val="28"/>
          <w:szCs w:val="28"/>
        </w:rPr>
        <w:t>BOT</w:t>
      </w:r>
      <w:r w:rsidRPr="00D55DC6">
        <w:rPr>
          <w:rFonts w:eastAsia="標楷體"/>
          <w:sz w:val="28"/>
          <w:szCs w:val="28"/>
        </w:rPr>
        <w:t>投資（</w:t>
      </w:r>
      <w:r w:rsidRPr="00D55DC6">
        <w:rPr>
          <w:rFonts w:eastAsia="標楷體"/>
          <w:sz w:val="28"/>
          <w:szCs w:val="28"/>
        </w:rPr>
        <w:t>30</w:t>
      </w:r>
      <w:r w:rsidRPr="00D55DC6">
        <w:rPr>
          <w:rFonts w:eastAsia="標楷體"/>
          <w:sz w:val="28"/>
          <w:szCs w:val="28"/>
        </w:rPr>
        <w:t>年）：本案計劃區預計規劃營運的飯店、按摩</w:t>
      </w:r>
      <w:r w:rsidRPr="00D55DC6">
        <w:rPr>
          <w:rFonts w:eastAsia="標楷體"/>
          <w:sz w:val="28"/>
          <w:szCs w:val="28"/>
        </w:rPr>
        <w:t>Spa</w:t>
      </w:r>
      <w:r w:rsidRPr="00D55DC6">
        <w:rPr>
          <w:rFonts w:eastAsia="標楷體"/>
          <w:sz w:val="28"/>
          <w:szCs w:val="28"/>
        </w:rPr>
        <w:t>以及當地旅遊服務業者整合，推出套裝行程，發展跨產業的平台，展示小琉球觀光不只是行銷古早味的民俗風情，也能顯現新興且獨特的休閒風格，創造觀光產值。依據可行性研究設定，本案預估</w:t>
      </w:r>
      <w:r w:rsidRPr="00D55DC6">
        <w:rPr>
          <w:rFonts w:eastAsia="標楷體"/>
          <w:sz w:val="28"/>
          <w:szCs w:val="28"/>
        </w:rPr>
        <w:t>103</w:t>
      </w:r>
      <w:r w:rsidRPr="00D55DC6">
        <w:rPr>
          <w:rFonts w:eastAsia="標楷體"/>
          <w:sz w:val="28"/>
          <w:szCs w:val="28"/>
        </w:rPr>
        <w:t>年底招商，</w:t>
      </w:r>
      <w:r w:rsidRPr="00D55DC6">
        <w:rPr>
          <w:rFonts w:eastAsia="標楷體"/>
          <w:sz w:val="28"/>
          <w:szCs w:val="28"/>
        </w:rPr>
        <w:t>104</w:t>
      </w:r>
      <w:r w:rsidRPr="00D55DC6">
        <w:rPr>
          <w:rFonts w:eastAsia="標楷體"/>
          <w:sz w:val="28"/>
          <w:szCs w:val="28"/>
        </w:rPr>
        <w:t>～</w:t>
      </w:r>
      <w:r w:rsidRPr="00D55DC6">
        <w:rPr>
          <w:rFonts w:eastAsia="標楷體"/>
          <w:sz w:val="28"/>
          <w:szCs w:val="28"/>
        </w:rPr>
        <w:t>105</w:t>
      </w:r>
      <w:r w:rsidRPr="00D55DC6">
        <w:rPr>
          <w:rFonts w:eastAsia="標楷體"/>
          <w:sz w:val="28"/>
          <w:szCs w:val="28"/>
        </w:rPr>
        <w:t>年為興建期，</w:t>
      </w:r>
      <w:r w:rsidRPr="00D55DC6">
        <w:rPr>
          <w:rFonts w:eastAsia="標楷體"/>
          <w:sz w:val="28"/>
          <w:szCs w:val="28"/>
        </w:rPr>
        <w:t>106</w:t>
      </w:r>
      <w:r w:rsidRPr="00D55DC6">
        <w:rPr>
          <w:rFonts w:eastAsia="標楷體"/>
          <w:sz w:val="28"/>
          <w:szCs w:val="28"/>
        </w:rPr>
        <w:t>～</w:t>
      </w:r>
      <w:r w:rsidRPr="00D55DC6">
        <w:rPr>
          <w:rFonts w:eastAsia="標楷體"/>
          <w:sz w:val="28"/>
          <w:szCs w:val="28"/>
        </w:rPr>
        <w:t>135</w:t>
      </w:r>
      <w:r w:rsidRPr="00D55DC6">
        <w:rPr>
          <w:rFonts w:eastAsia="標楷體"/>
          <w:sz w:val="28"/>
          <w:szCs w:val="28"/>
        </w:rPr>
        <w:t>年為營運期，預定民間投資最少投資項目與基本要求包括：旅館住宿設施、小木屋、露營地、招待所、餐飲設施、零售商店、遊樂運動設施、戶外廣場</w:t>
      </w:r>
      <w:r w:rsidRPr="00D55DC6">
        <w:rPr>
          <w:rFonts w:eastAsia="標楷體"/>
          <w:sz w:val="28"/>
          <w:szCs w:val="28"/>
        </w:rPr>
        <w:t>/</w:t>
      </w:r>
      <w:r w:rsidRPr="00D55DC6">
        <w:rPr>
          <w:rFonts w:eastAsia="標楷體"/>
          <w:sz w:val="28"/>
          <w:szCs w:val="28"/>
        </w:rPr>
        <w:t>劇場、遊客服務中心、教育研習設施</w:t>
      </w:r>
      <w:r w:rsidRPr="00D55DC6">
        <w:rPr>
          <w:rFonts w:eastAsia="標楷體"/>
          <w:sz w:val="28"/>
          <w:szCs w:val="28"/>
        </w:rPr>
        <w:t>…</w:t>
      </w:r>
      <w:r w:rsidRPr="00D55DC6">
        <w:rPr>
          <w:rFonts w:eastAsia="標楷體"/>
          <w:sz w:val="28"/>
          <w:szCs w:val="28"/>
        </w:rPr>
        <w:t>等預估需至少投資新台幣</w:t>
      </w:r>
      <w:r w:rsidRPr="00D55DC6">
        <w:rPr>
          <w:rFonts w:eastAsia="標楷體"/>
          <w:sz w:val="28"/>
          <w:szCs w:val="28"/>
        </w:rPr>
        <w:t>4</w:t>
      </w:r>
      <w:r w:rsidRPr="00D55DC6">
        <w:rPr>
          <w:rFonts w:eastAsia="標楷體"/>
          <w:sz w:val="28"/>
          <w:szCs w:val="28"/>
        </w:rPr>
        <w:t>億元。計畫營運期地租約為</w:t>
      </w:r>
      <w:r w:rsidRPr="00D55DC6">
        <w:rPr>
          <w:rFonts w:eastAsia="標楷體"/>
          <w:sz w:val="28"/>
          <w:szCs w:val="28"/>
        </w:rPr>
        <w:t>158.4</w:t>
      </w:r>
      <w:r w:rsidRPr="00D55DC6">
        <w:rPr>
          <w:rFonts w:eastAsia="標楷體"/>
          <w:sz w:val="28"/>
          <w:szCs w:val="28"/>
        </w:rPr>
        <w:t>萬元（地價稅年繳約</w:t>
      </w:r>
      <w:r w:rsidRPr="00D55DC6">
        <w:rPr>
          <w:rFonts w:eastAsia="標楷體"/>
          <w:sz w:val="28"/>
          <w:szCs w:val="28"/>
        </w:rPr>
        <w:t>160</w:t>
      </w:r>
      <w:r w:rsidRPr="00D55DC6">
        <w:rPr>
          <w:rFonts w:eastAsia="標楷體"/>
          <w:sz w:val="28"/>
          <w:szCs w:val="28"/>
        </w:rPr>
        <w:t>萬元相當）；開發定額權利金每年分繳</w:t>
      </w:r>
      <w:r w:rsidRPr="00D55DC6">
        <w:rPr>
          <w:rFonts w:eastAsia="標楷體"/>
          <w:sz w:val="28"/>
          <w:szCs w:val="28"/>
        </w:rPr>
        <w:t>330</w:t>
      </w:r>
      <w:r w:rsidRPr="00D55DC6">
        <w:rPr>
          <w:rFonts w:eastAsia="標楷體"/>
          <w:sz w:val="28"/>
          <w:szCs w:val="28"/>
        </w:rPr>
        <w:t>萬元以上，經營權利金預估每年</w:t>
      </w:r>
      <w:r w:rsidRPr="00D55DC6">
        <w:rPr>
          <w:rFonts w:eastAsia="標楷體"/>
          <w:sz w:val="28"/>
          <w:szCs w:val="28"/>
        </w:rPr>
        <w:t>725</w:t>
      </w:r>
      <w:r w:rsidRPr="00D55DC6">
        <w:rPr>
          <w:rFonts w:eastAsia="標楷體"/>
          <w:sz w:val="28"/>
          <w:szCs w:val="28"/>
        </w:rPr>
        <w:t>萬元。</w:t>
      </w:r>
    </w:p>
    <w:p w:rsidR="00DF2F67" w:rsidRPr="00D55DC6" w:rsidRDefault="00DF2F67" w:rsidP="004865C1">
      <w:pPr>
        <w:numPr>
          <w:ilvl w:val="1"/>
          <w:numId w:val="146"/>
        </w:numPr>
        <w:tabs>
          <w:tab w:val="clear" w:pos="2140"/>
          <w:tab w:val="num" w:pos="1260"/>
        </w:tabs>
        <w:adjustRightInd w:val="0"/>
        <w:snapToGrid w:val="0"/>
        <w:spacing w:line="460" w:lineRule="exact"/>
        <w:ind w:left="1276" w:hanging="318"/>
        <w:rPr>
          <w:rFonts w:eastAsia="標楷體"/>
          <w:sz w:val="28"/>
          <w:szCs w:val="28"/>
        </w:rPr>
      </w:pPr>
      <w:r w:rsidRPr="00D55DC6">
        <w:rPr>
          <w:rFonts w:eastAsia="標楷體"/>
          <w:sz w:val="28"/>
          <w:szCs w:val="28"/>
        </w:rPr>
        <w:t>蚵殼島</w:t>
      </w:r>
      <w:r w:rsidRPr="00D55DC6">
        <w:rPr>
          <w:rFonts w:eastAsia="標楷體"/>
          <w:sz w:val="28"/>
          <w:szCs w:val="28"/>
        </w:rPr>
        <w:t>BOT</w:t>
      </w:r>
      <w:r w:rsidRPr="00D55DC6">
        <w:rPr>
          <w:rFonts w:eastAsia="標楷體"/>
          <w:sz w:val="28"/>
          <w:szCs w:val="28"/>
        </w:rPr>
        <w:t>投資（</w:t>
      </w:r>
      <w:r w:rsidRPr="00D55DC6">
        <w:rPr>
          <w:rFonts w:eastAsia="標楷體"/>
          <w:sz w:val="28"/>
          <w:szCs w:val="28"/>
        </w:rPr>
        <w:t>30</w:t>
      </w:r>
      <w:r w:rsidRPr="00D55DC6">
        <w:rPr>
          <w:rFonts w:eastAsia="標楷體"/>
          <w:sz w:val="28"/>
          <w:szCs w:val="28"/>
        </w:rPr>
        <w:t>年）：</w:t>
      </w:r>
      <w:r w:rsidRPr="00D55DC6">
        <w:rPr>
          <w:rFonts w:eastAsia="標楷體"/>
          <w:kern w:val="0"/>
          <w:sz w:val="28"/>
          <w:szCs w:val="28"/>
        </w:rPr>
        <w:t>計畫將以現有蚵殼島獨特產業環境，結合水域特性，打造一座多功能（含產業文化、油氣與環境教育）的『水上珍珠島』為目標，期能重塑蚵殼島及周邊區域的整體形象，提升旅遊深度，</w:t>
      </w:r>
      <w:r w:rsidRPr="00D55DC6">
        <w:rPr>
          <w:rFonts w:eastAsia="標楷體"/>
          <w:sz w:val="28"/>
          <w:szCs w:val="28"/>
        </w:rPr>
        <w:t>重新</w:t>
      </w:r>
      <w:r w:rsidRPr="00D55DC6">
        <w:rPr>
          <w:rFonts w:eastAsia="標楷體"/>
          <w:kern w:val="0"/>
          <w:sz w:val="28"/>
          <w:szCs w:val="28"/>
        </w:rPr>
        <w:t>建構一座灣域觀光新亮點。</w:t>
      </w:r>
      <w:r w:rsidRPr="00D55DC6">
        <w:rPr>
          <w:rFonts w:eastAsia="標楷體"/>
          <w:sz w:val="28"/>
          <w:szCs w:val="28"/>
        </w:rPr>
        <w:t>依據先期規劃預估開發權利金</w:t>
      </w:r>
      <w:r w:rsidRPr="00D55DC6">
        <w:rPr>
          <w:rFonts w:eastAsia="標楷體"/>
          <w:sz w:val="28"/>
          <w:szCs w:val="28"/>
        </w:rPr>
        <w:t>600</w:t>
      </w:r>
      <w:r w:rsidRPr="00D55DC6">
        <w:rPr>
          <w:rFonts w:eastAsia="標楷體"/>
          <w:sz w:val="28"/>
          <w:szCs w:val="28"/>
        </w:rPr>
        <w:t>萬元，預計於民國</w:t>
      </w:r>
      <w:r w:rsidRPr="00D55DC6">
        <w:rPr>
          <w:rFonts w:eastAsia="標楷體"/>
          <w:sz w:val="28"/>
          <w:szCs w:val="28"/>
        </w:rPr>
        <w:t>113</w:t>
      </w:r>
      <w:r w:rsidRPr="00D55DC6">
        <w:rPr>
          <w:rFonts w:eastAsia="標楷體"/>
          <w:sz w:val="28"/>
          <w:szCs w:val="28"/>
        </w:rPr>
        <w:t>年興辦，</w:t>
      </w:r>
      <w:r w:rsidRPr="00D55DC6">
        <w:rPr>
          <w:rFonts w:eastAsia="標楷體"/>
          <w:sz w:val="28"/>
          <w:szCs w:val="28"/>
        </w:rPr>
        <w:t>115</w:t>
      </w:r>
      <w:r w:rsidRPr="00D55DC6">
        <w:rPr>
          <w:rFonts w:eastAsia="標楷體"/>
          <w:sz w:val="28"/>
          <w:szCs w:val="28"/>
        </w:rPr>
        <w:t>年完工，依目前提案規劃每年可收取營運權利金</w:t>
      </w:r>
      <w:r w:rsidRPr="00D55DC6">
        <w:rPr>
          <w:rFonts w:eastAsia="標楷體"/>
          <w:sz w:val="28"/>
          <w:szCs w:val="28"/>
        </w:rPr>
        <w:t>400</w:t>
      </w:r>
      <w:r w:rsidRPr="00D55DC6">
        <w:rPr>
          <w:rFonts w:eastAsia="標楷體"/>
          <w:sz w:val="28"/>
          <w:szCs w:val="28"/>
        </w:rPr>
        <w:t>萬元（但管理處要支出</w:t>
      </w:r>
      <w:r w:rsidRPr="00D55DC6">
        <w:rPr>
          <w:rFonts w:eastAsia="標楷體"/>
          <w:sz w:val="28"/>
          <w:szCs w:val="28"/>
        </w:rPr>
        <w:t>200</w:t>
      </w:r>
      <w:r w:rsidRPr="00D55DC6">
        <w:rPr>
          <w:rFonts w:eastAsia="標楷體"/>
          <w:sz w:val="28"/>
          <w:szCs w:val="28"/>
        </w:rPr>
        <w:t>萬基本設施維護成本），土地租金每年可收約</w:t>
      </w:r>
      <w:r w:rsidRPr="00D55DC6">
        <w:rPr>
          <w:rFonts w:eastAsia="標楷體"/>
          <w:sz w:val="28"/>
          <w:szCs w:val="28"/>
        </w:rPr>
        <w:t>40</w:t>
      </w:r>
      <w:r w:rsidRPr="00D55DC6">
        <w:rPr>
          <w:rFonts w:eastAsia="標楷體"/>
          <w:sz w:val="28"/>
          <w:szCs w:val="28"/>
        </w:rPr>
        <w:t>萬，並提供近</w:t>
      </w:r>
      <w:r w:rsidRPr="00D55DC6">
        <w:rPr>
          <w:rFonts w:eastAsia="標楷體"/>
          <w:sz w:val="28"/>
          <w:szCs w:val="28"/>
        </w:rPr>
        <w:t>12</w:t>
      </w:r>
      <w:r w:rsidRPr="00D55DC6">
        <w:rPr>
          <w:rFonts w:eastAsia="標楷體"/>
          <w:sz w:val="28"/>
          <w:szCs w:val="28"/>
        </w:rPr>
        <w:t>個工作機會。</w:t>
      </w:r>
    </w:p>
    <w:p w:rsidR="00DF2F67" w:rsidRPr="00D55DC6" w:rsidRDefault="00DF2F67" w:rsidP="00DF2F67">
      <w:pPr>
        <w:keepNext/>
        <w:adjustRightInd w:val="0"/>
        <w:snapToGrid w:val="0"/>
        <w:spacing w:line="460" w:lineRule="exact"/>
        <w:ind w:rightChars="-316" w:right="-758"/>
        <w:rPr>
          <w:rFonts w:eastAsia="標楷體"/>
          <w:sz w:val="20"/>
          <w:szCs w:val="20"/>
        </w:rPr>
      </w:pPr>
      <w:r w:rsidRPr="00D55DC6">
        <w:rPr>
          <w:rFonts w:eastAsia="標楷體"/>
        </w:rPr>
        <w:lastRenderedPageBreak/>
        <w:t xml:space="preserve">表預估財務收入分年規劃表　　　　　　　　</w:t>
      </w:r>
      <w:r w:rsidRPr="00D55DC6">
        <w:rPr>
          <w:rFonts w:eastAsia="標楷體"/>
        </w:rPr>
        <w:t xml:space="preserve">                         </w:t>
      </w:r>
      <w:r w:rsidRPr="00D55DC6">
        <w:rPr>
          <w:rFonts w:eastAsia="標楷體"/>
          <w:sz w:val="20"/>
          <w:szCs w:val="20"/>
        </w:rPr>
        <w:t>（單位：千元）</w:t>
      </w:r>
    </w:p>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07"/>
        <w:gridCol w:w="722"/>
        <w:gridCol w:w="676"/>
        <w:gridCol w:w="726"/>
        <w:gridCol w:w="701"/>
        <w:gridCol w:w="702"/>
        <w:gridCol w:w="701"/>
        <w:gridCol w:w="701"/>
        <w:gridCol w:w="701"/>
        <w:gridCol w:w="712"/>
        <w:gridCol w:w="837"/>
      </w:tblGrid>
      <w:tr w:rsidR="001D0350" w:rsidRPr="00D55DC6" w:rsidTr="00FA7F7B">
        <w:trPr>
          <w:trHeight w:val="117"/>
          <w:tblHeader/>
          <w:jc w:val="center"/>
        </w:trPr>
        <w:tc>
          <w:tcPr>
            <w:tcW w:w="2307" w:type="dxa"/>
            <w:tcBorders>
              <w:top w:val="single" w:sz="12" w:space="0" w:color="auto"/>
              <w:left w:val="single" w:sz="12" w:space="0" w:color="auto"/>
              <w:bottom w:val="single" w:sz="12" w:space="0" w:color="auto"/>
            </w:tcBorders>
            <w:shd w:val="clear" w:color="auto" w:fill="E6E6E6"/>
            <w:vAlign w:val="center"/>
          </w:tcPr>
          <w:p w:rsidR="00DF2F67" w:rsidRPr="00D55DC6" w:rsidRDefault="00DF2F67" w:rsidP="00FA7F7B">
            <w:pPr>
              <w:adjustRightInd w:val="0"/>
              <w:snapToGrid w:val="0"/>
              <w:jc w:val="right"/>
              <w:rPr>
                <w:rFonts w:eastAsia="標楷體"/>
                <w:sz w:val="20"/>
                <w:szCs w:val="20"/>
              </w:rPr>
            </w:pPr>
            <w:r w:rsidRPr="00D55DC6">
              <w:rPr>
                <w:rFonts w:eastAsia="標楷體"/>
                <w:sz w:val="20"/>
                <w:szCs w:val="20"/>
              </w:rPr>
              <w:t>年度</w:t>
            </w:r>
          </w:p>
          <w:p w:rsidR="00DF2F67" w:rsidRPr="00D55DC6" w:rsidRDefault="00DF2F67" w:rsidP="00FA7F7B">
            <w:pPr>
              <w:adjustRightInd w:val="0"/>
              <w:snapToGrid w:val="0"/>
              <w:rPr>
                <w:rFonts w:eastAsia="標楷體"/>
                <w:sz w:val="20"/>
                <w:szCs w:val="20"/>
              </w:rPr>
            </w:pPr>
            <w:r w:rsidRPr="00D55DC6">
              <w:rPr>
                <w:rFonts w:eastAsia="標楷體"/>
                <w:sz w:val="20"/>
                <w:szCs w:val="20"/>
              </w:rPr>
              <w:t>收益項目</w:t>
            </w:r>
          </w:p>
        </w:tc>
        <w:tc>
          <w:tcPr>
            <w:tcW w:w="722" w:type="dxa"/>
            <w:tcBorders>
              <w:top w:val="single" w:sz="12" w:space="0" w:color="auto"/>
              <w:bottom w:val="single" w:sz="12" w:space="0" w:color="auto"/>
            </w:tcBorders>
            <w:shd w:val="clear" w:color="auto" w:fill="E6E6E6"/>
            <w:vAlign w:val="center"/>
          </w:tcPr>
          <w:p w:rsidR="00DF2F67" w:rsidRPr="00D55DC6" w:rsidRDefault="00DF2F67" w:rsidP="00FA7F7B">
            <w:pPr>
              <w:adjustRightInd w:val="0"/>
              <w:snapToGrid w:val="0"/>
              <w:jc w:val="center"/>
              <w:rPr>
                <w:rFonts w:eastAsia="標楷體"/>
                <w:spacing w:val="-10"/>
                <w:sz w:val="20"/>
                <w:szCs w:val="20"/>
              </w:rPr>
            </w:pPr>
            <w:r w:rsidRPr="00D55DC6">
              <w:rPr>
                <w:rFonts w:eastAsia="標楷體"/>
                <w:spacing w:val="-10"/>
                <w:sz w:val="20"/>
                <w:szCs w:val="20"/>
              </w:rPr>
              <w:t>103</w:t>
            </w:r>
            <w:r w:rsidRPr="00D55DC6">
              <w:rPr>
                <w:rFonts w:eastAsia="標楷體"/>
                <w:spacing w:val="-10"/>
                <w:sz w:val="20"/>
                <w:szCs w:val="20"/>
              </w:rPr>
              <w:t>年</w:t>
            </w:r>
          </w:p>
        </w:tc>
        <w:tc>
          <w:tcPr>
            <w:tcW w:w="676" w:type="dxa"/>
            <w:tcBorders>
              <w:top w:val="single" w:sz="12" w:space="0" w:color="auto"/>
              <w:bottom w:val="single" w:sz="12" w:space="0" w:color="auto"/>
            </w:tcBorders>
            <w:shd w:val="clear" w:color="auto" w:fill="E6E6E6"/>
            <w:vAlign w:val="center"/>
          </w:tcPr>
          <w:p w:rsidR="00DF2F67" w:rsidRPr="00D55DC6" w:rsidRDefault="00DF2F67" w:rsidP="00FA7F7B">
            <w:pPr>
              <w:adjustRightInd w:val="0"/>
              <w:snapToGrid w:val="0"/>
              <w:jc w:val="center"/>
              <w:rPr>
                <w:rFonts w:eastAsia="標楷體"/>
                <w:spacing w:val="-10"/>
                <w:sz w:val="20"/>
                <w:szCs w:val="20"/>
              </w:rPr>
            </w:pPr>
            <w:r w:rsidRPr="00D55DC6">
              <w:rPr>
                <w:rFonts w:eastAsia="標楷體"/>
                <w:spacing w:val="-10"/>
                <w:sz w:val="20"/>
                <w:szCs w:val="20"/>
              </w:rPr>
              <w:t>104</w:t>
            </w:r>
            <w:r w:rsidRPr="00D55DC6">
              <w:rPr>
                <w:rFonts w:eastAsia="標楷體"/>
                <w:spacing w:val="-10"/>
                <w:sz w:val="20"/>
                <w:szCs w:val="20"/>
              </w:rPr>
              <w:t>年</w:t>
            </w:r>
          </w:p>
        </w:tc>
        <w:tc>
          <w:tcPr>
            <w:tcW w:w="726" w:type="dxa"/>
            <w:tcBorders>
              <w:top w:val="single" w:sz="12" w:space="0" w:color="auto"/>
              <w:bottom w:val="single" w:sz="12" w:space="0" w:color="auto"/>
            </w:tcBorders>
            <w:shd w:val="clear" w:color="auto" w:fill="E6E6E6"/>
            <w:vAlign w:val="center"/>
          </w:tcPr>
          <w:p w:rsidR="00DF2F67" w:rsidRPr="00D55DC6" w:rsidRDefault="00DF2F67" w:rsidP="00FA7F7B">
            <w:pPr>
              <w:adjustRightInd w:val="0"/>
              <w:snapToGrid w:val="0"/>
              <w:jc w:val="center"/>
              <w:rPr>
                <w:rFonts w:eastAsia="標楷體"/>
                <w:spacing w:val="-10"/>
                <w:sz w:val="20"/>
                <w:szCs w:val="20"/>
              </w:rPr>
            </w:pPr>
            <w:r w:rsidRPr="00D55DC6">
              <w:rPr>
                <w:rFonts w:eastAsia="標楷體"/>
                <w:spacing w:val="-10"/>
                <w:sz w:val="20"/>
                <w:szCs w:val="20"/>
              </w:rPr>
              <w:t>105</w:t>
            </w:r>
            <w:r w:rsidRPr="00D55DC6">
              <w:rPr>
                <w:rFonts w:eastAsia="標楷體"/>
                <w:spacing w:val="-10"/>
                <w:sz w:val="20"/>
                <w:szCs w:val="20"/>
              </w:rPr>
              <w:t>年</w:t>
            </w:r>
          </w:p>
        </w:tc>
        <w:tc>
          <w:tcPr>
            <w:tcW w:w="701" w:type="dxa"/>
            <w:tcBorders>
              <w:top w:val="single" w:sz="12" w:space="0" w:color="auto"/>
              <w:bottom w:val="single" w:sz="12" w:space="0" w:color="auto"/>
            </w:tcBorders>
            <w:shd w:val="clear" w:color="auto" w:fill="E6E6E6"/>
            <w:vAlign w:val="center"/>
          </w:tcPr>
          <w:p w:rsidR="00DF2F67" w:rsidRPr="00D55DC6" w:rsidRDefault="00DF2F67" w:rsidP="00FA7F7B">
            <w:pPr>
              <w:adjustRightInd w:val="0"/>
              <w:snapToGrid w:val="0"/>
              <w:jc w:val="center"/>
              <w:rPr>
                <w:rFonts w:eastAsia="標楷體"/>
                <w:spacing w:val="-10"/>
                <w:sz w:val="20"/>
                <w:szCs w:val="20"/>
              </w:rPr>
            </w:pPr>
            <w:r w:rsidRPr="00D55DC6">
              <w:rPr>
                <w:rFonts w:eastAsia="標楷體"/>
                <w:spacing w:val="-10"/>
                <w:sz w:val="20"/>
                <w:szCs w:val="20"/>
              </w:rPr>
              <w:t>106</w:t>
            </w:r>
            <w:r w:rsidRPr="00D55DC6">
              <w:rPr>
                <w:rFonts w:eastAsia="標楷體"/>
                <w:spacing w:val="-10"/>
                <w:sz w:val="20"/>
                <w:szCs w:val="20"/>
              </w:rPr>
              <w:t>年</w:t>
            </w:r>
          </w:p>
        </w:tc>
        <w:tc>
          <w:tcPr>
            <w:tcW w:w="702" w:type="dxa"/>
            <w:tcBorders>
              <w:top w:val="single" w:sz="12" w:space="0" w:color="auto"/>
              <w:bottom w:val="single" w:sz="12" w:space="0" w:color="auto"/>
            </w:tcBorders>
            <w:shd w:val="clear" w:color="auto" w:fill="E6E6E6"/>
            <w:vAlign w:val="center"/>
          </w:tcPr>
          <w:p w:rsidR="00DF2F67" w:rsidRPr="00D55DC6" w:rsidRDefault="00DF2F67" w:rsidP="00FA7F7B">
            <w:pPr>
              <w:adjustRightInd w:val="0"/>
              <w:snapToGrid w:val="0"/>
              <w:jc w:val="center"/>
              <w:rPr>
                <w:rFonts w:eastAsia="標楷體"/>
                <w:spacing w:val="-10"/>
                <w:sz w:val="20"/>
                <w:szCs w:val="20"/>
              </w:rPr>
            </w:pPr>
            <w:r w:rsidRPr="00D55DC6">
              <w:rPr>
                <w:rFonts w:eastAsia="標楷體"/>
                <w:spacing w:val="-10"/>
                <w:sz w:val="20"/>
                <w:szCs w:val="20"/>
              </w:rPr>
              <w:t>107</w:t>
            </w:r>
            <w:r w:rsidRPr="00D55DC6">
              <w:rPr>
                <w:rFonts w:eastAsia="標楷體"/>
                <w:spacing w:val="-10"/>
                <w:sz w:val="20"/>
                <w:szCs w:val="20"/>
              </w:rPr>
              <w:t>年</w:t>
            </w:r>
          </w:p>
        </w:tc>
        <w:tc>
          <w:tcPr>
            <w:tcW w:w="701" w:type="dxa"/>
            <w:tcBorders>
              <w:top w:val="single" w:sz="12" w:space="0" w:color="auto"/>
              <w:bottom w:val="single" w:sz="12" w:space="0" w:color="auto"/>
            </w:tcBorders>
            <w:shd w:val="clear" w:color="auto" w:fill="E6E6E6"/>
            <w:vAlign w:val="center"/>
          </w:tcPr>
          <w:p w:rsidR="00DF2F67" w:rsidRPr="00D55DC6" w:rsidRDefault="00DF2F67" w:rsidP="00FA7F7B">
            <w:pPr>
              <w:adjustRightInd w:val="0"/>
              <w:snapToGrid w:val="0"/>
              <w:jc w:val="center"/>
              <w:rPr>
                <w:rFonts w:eastAsia="標楷體"/>
                <w:spacing w:val="-10"/>
                <w:sz w:val="20"/>
                <w:szCs w:val="20"/>
              </w:rPr>
            </w:pPr>
            <w:r w:rsidRPr="00D55DC6">
              <w:rPr>
                <w:rFonts w:eastAsia="標楷體"/>
                <w:spacing w:val="-10"/>
                <w:sz w:val="20"/>
                <w:szCs w:val="20"/>
              </w:rPr>
              <w:t>108</w:t>
            </w:r>
            <w:r w:rsidRPr="00D55DC6">
              <w:rPr>
                <w:rFonts w:eastAsia="標楷體"/>
                <w:spacing w:val="-10"/>
                <w:sz w:val="20"/>
                <w:szCs w:val="20"/>
              </w:rPr>
              <w:t>年</w:t>
            </w:r>
          </w:p>
        </w:tc>
        <w:tc>
          <w:tcPr>
            <w:tcW w:w="701" w:type="dxa"/>
            <w:tcBorders>
              <w:top w:val="single" w:sz="12" w:space="0" w:color="auto"/>
              <w:bottom w:val="single" w:sz="12" w:space="0" w:color="auto"/>
            </w:tcBorders>
            <w:shd w:val="clear" w:color="auto" w:fill="E6E6E6"/>
            <w:vAlign w:val="center"/>
          </w:tcPr>
          <w:p w:rsidR="00DF2F67" w:rsidRPr="00D55DC6" w:rsidRDefault="00DF2F67" w:rsidP="00FA7F7B">
            <w:pPr>
              <w:adjustRightInd w:val="0"/>
              <w:snapToGrid w:val="0"/>
              <w:jc w:val="center"/>
              <w:rPr>
                <w:rFonts w:eastAsia="標楷體"/>
                <w:spacing w:val="-10"/>
                <w:sz w:val="20"/>
                <w:szCs w:val="20"/>
              </w:rPr>
            </w:pPr>
            <w:r w:rsidRPr="00D55DC6">
              <w:rPr>
                <w:rFonts w:eastAsia="標楷體"/>
                <w:spacing w:val="-10"/>
                <w:sz w:val="20"/>
                <w:szCs w:val="20"/>
              </w:rPr>
              <w:t>109</w:t>
            </w:r>
            <w:r w:rsidRPr="00D55DC6">
              <w:rPr>
                <w:rFonts w:eastAsia="標楷體"/>
                <w:spacing w:val="-10"/>
                <w:sz w:val="20"/>
                <w:szCs w:val="20"/>
              </w:rPr>
              <w:t>年</w:t>
            </w:r>
          </w:p>
        </w:tc>
        <w:tc>
          <w:tcPr>
            <w:tcW w:w="701" w:type="dxa"/>
            <w:tcBorders>
              <w:top w:val="single" w:sz="12" w:space="0" w:color="auto"/>
              <w:bottom w:val="single" w:sz="12" w:space="0" w:color="auto"/>
            </w:tcBorders>
            <w:shd w:val="clear" w:color="auto" w:fill="E6E6E6"/>
            <w:vAlign w:val="center"/>
          </w:tcPr>
          <w:p w:rsidR="00DF2F67" w:rsidRPr="00D55DC6" w:rsidRDefault="00DF2F67" w:rsidP="00FA7F7B">
            <w:pPr>
              <w:adjustRightInd w:val="0"/>
              <w:snapToGrid w:val="0"/>
              <w:jc w:val="center"/>
              <w:rPr>
                <w:rFonts w:eastAsia="標楷體"/>
                <w:spacing w:val="-10"/>
                <w:sz w:val="20"/>
                <w:szCs w:val="20"/>
              </w:rPr>
            </w:pPr>
            <w:r w:rsidRPr="00D55DC6">
              <w:rPr>
                <w:rFonts w:eastAsia="標楷體"/>
                <w:spacing w:val="-10"/>
                <w:sz w:val="20"/>
                <w:szCs w:val="20"/>
              </w:rPr>
              <w:t>110</w:t>
            </w:r>
            <w:r w:rsidRPr="00D55DC6">
              <w:rPr>
                <w:rFonts w:eastAsia="標楷體"/>
                <w:spacing w:val="-10"/>
                <w:sz w:val="20"/>
                <w:szCs w:val="20"/>
              </w:rPr>
              <w:t>年</w:t>
            </w:r>
          </w:p>
        </w:tc>
        <w:tc>
          <w:tcPr>
            <w:tcW w:w="712" w:type="dxa"/>
            <w:tcBorders>
              <w:top w:val="single" w:sz="12" w:space="0" w:color="auto"/>
              <w:bottom w:val="single" w:sz="12" w:space="0" w:color="auto"/>
            </w:tcBorders>
            <w:shd w:val="clear" w:color="auto" w:fill="E6E6E6"/>
            <w:vAlign w:val="center"/>
          </w:tcPr>
          <w:p w:rsidR="00DF2F67" w:rsidRPr="00D55DC6" w:rsidRDefault="00DF2F67" w:rsidP="00FA7F7B">
            <w:pPr>
              <w:adjustRightInd w:val="0"/>
              <w:snapToGrid w:val="0"/>
              <w:jc w:val="center"/>
              <w:rPr>
                <w:rFonts w:eastAsia="標楷體"/>
                <w:spacing w:val="-10"/>
                <w:sz w:val="20"/>
                <w:szCs w:val="20"/>
              </w:rPr>
            </w:pPr>
            <w:r w:rsidRPr="00D55DC6">
              <w:rPr>
                <w:rFonts w:eastAsia="標楷體"/>
                <w:spacing w:val="-10"/>
                <w:sz w:val="20"/>
                <w:szCs w:val="20"/>
              </w:rPr>
              <w:t>111</w:t>
            </w:r>
            <w:r w:rsidRPr="00D55DC6">
              <w:rPr>
                <w:rFonts w:eastAsia="標楷體"/>
                <w:spacing w:val="-10"/>
                <w:sz w:val="20"/>
                <w:szCs w:val="20"/>
              </w:rPr>
              <w:t>年</w:t>
            </w:r>
          </w:p>
        </w:tc>
        <w:tc>
          <w:tcPr>
            <w:tcW w:w="837" w:type="dxa"/>
            <w:tcBorders>
              <w:top w:val="single" w:sz="12" w:space="0" w:color="auto"/>
              <w:bottom w:val="single" w:sz="12" w:space="0" w:color="auto"/>
              <w:right w:val="single" w:sz="12" w:space="0" w:color="auto"/>
            </w:tcBorders>
            <w:shd w:val="clear" w:color="auto" w:fill="E6E6E6"/>
            <w:vAlign w:val="center"/>
          </w:tcPr>
          <w:p w:rsidR="00DF2F67" w:rsidRPr="00D55DC6" w:rsidRDefault="00DF2F67" w:rsidP="00FA7F7B">
            <w:pPr>
              <w:adjustRightInd w:val="0"/>
              <w:snapToGrid w:val="0"/>
              <w:jc w:val="center"/>
              <w:rPr>
                <w:rFonts w:eastAsia="標楷體"/>
                <w:spacing w:val="-10"/>
                <w:sz w:val="20"/>
                <w:szCs w:val="20"/>
              </w:rPr>
            </w:pPr>
            <w:r w:rsidRPr="00D55DC6">
              <w:rPr>
                <w:rFonts w:eastAsia="標楷體"/>
                <w:spacing w:val="-10"/>
                <w:sz w:val="20"/>
                <w:szCs w:val="20"/>
              </w:rPr>
              <w:t>112</w:t>
            </w:r>
            <w:r w:rsidRPr="00D55DC6">
              <w:rPr>
                <w:rFonts w:eastAsia="標楷體"/>
                <w:spacing w:val="-10"/>
                <w:sz w:val="20"/>
                <w:szCs w:val="20"/>
              </w:rPr>
              <w:t>年</w:t>
            </w:r>
          </w:p>
        </w:tc>
      </w:tr>
      <w:tr w:rsidR="001D0350" w:rsidRPr="00D55DC6" w:rsidTr="00FA7F7B">
        <w:trPr>
          <w:jc w:val="center"/>
        </w:trPr>
        <w:tc>
          <w:tcPr>
            <w:tcW w:w="2307" w:type="dxa"/>
            <w:tcBorders>
              <w:top w:val="single" w:sz="12" w:space="0" w:color="auto"/>
              <w:left w:val="single" w:sz="12" w:space="0" w:color="auto"/>
              <w:bottom w:val="single" w:sz="12" w:space="0" w:color="auto"/>
            </w:tcBorders>
            <w:vAlign w:val="center"/>
          </w:tcPr>
          <w:p w:rsidR="00DF2F67" w:rsidRPr="00D55DC6" w:rsidRDefault="00DF2F67" w:rsidP="00FA7F7B">
            <w:pPr>
              <w:adjustRightInd w:val="0"/>
              <w:snapToGrid w:val="0"/>
              <w:spacing w:line="300" w:lineRule="exact"/>
              <w:jc w:val="both"/>
              <w:rPr>
                <w:rFonts w:eastAsia="標楷體"/>
                <w:sz w:val="20"/>
                <w:szCs w:val="20"/>
              </w:rPr>
            </w:pPr>
            <w:r w:rsidRPr="00D55DC6">
              <w:rPr>
                <w:rFonts w:eastAsia="標楷體"/>
                <w:sz w:val="20"/>
                <w:szCs w:val="20"/>
              </w:rPr>
              <w:t>一、既有出租據點收益</w:t>
            </w:r>
          </w:p>
        </w:tc>
        <w:tc>
          <w:tcPr>
            <w:tcW w:w="722" w:type="dxa"/>
            <w:tcBorders>
              <w:top w:val="single" w:sz="12" w:space="0" w:color="auto"/>
              <w:bottom w:val="single" w:sz="12" w:space="0" w:color="auto"/>
            </w:tcBorders>
            <w:vAlign w:val="center"/>
          </w:tcPr>
          <w:p w:rsidR="00DF2F67" w:rsidRPr="00D55DC6" w:rsidRDefault="00DF2F67" w:rsidP="00FA7F7B">
            <w:pPr>
              <w:spacing w:line="300" w:lineRule="exact"/>
              <w:jc w:val="right"/>
              <w:rPr>
                <w:rFonts w:eastAsia="標楷體"/>
                <w:sz w:val="20"/>
                <w:szCs w:val="20"/>
              </w:rPr>
            </w:pPr>
            <w:r w:rsidRPr="00D55DC6">
              <w:rPr>
                <w:rFonts w:eastAsia="標楷體"/>
                <w:sz w:val="20"/>
                <w:szCs w:val="20"/>
              </w:rPr>
              <w:t xml:space="preserve">20,528 </w:t>
            </w:r>
          </w:p>
        </w:tc>
        <w:tc>
          <w:tcPr>
            <w:tcW w:w="676" w:type="dxa"/>
            <w:tcBorders>
              <w:top w:val="single" w:sz="12" w:space="0" w:color="auto"/>
              <w:bottom w:val="single" w:sz="12" w:space="0" w:color="auto"/>
            </w:tcBorders>
            <w:vAlign w:val="center"/>
          </w:tcPr>
          <w:p w:rsidR="00DF2F67" w:rsidRPr="00D55DC6" w:rsidRDefault="00DF2F67" w:rsidP="00FA7F7B">
            <w:pPr>
              <w:spacing w:line="300" w:lineRule="exact"/>
              <w:jc w:val="right"/>
              <w:rPr>
                <w:rFonts w:eastAsia="標楷體"/>
                <w:sz w:val="20"/>
                <w:szCs w:val="20"/>
              </w:rPr>
            </w:pPr>
            <w:r w:rsidRPr="00D55DC6">
              <w:rPr>
                <w:rFonts w:eastAsia="標楷體"/>
                <w:sz w:val="20"/>
                <w:szCs w:val="20"/>
              </w:rPr>
              <w:t xml:space="preserve">28,856 </w:t>
            </w:r>
          </w:p>
        </w:tc>
        <w:tc>
          <w:tcPr>
            <w:tcW w:w="726" w:type="dxa"/>
            <w:tcBorders>
              <w:top w:val="single" w:sz="12" w:space="0" w:color="auto"/>
              <w:bottom w:val="single" w:sz="12" w:space="0" w:color="auto"/>
            </w:tcBorders>
            <w:vAlign w:val="center"/>
          </w:tcPr>
          <w:p w:rsidR="00DF2F67" w:rsidRPr="00D55DC6" w:rsidRDefault="00DF2F67" w:rsidP="00FA7F7B">
            <w:pPr>
              <w:spacing w:line="300" w:lineRule="exact"/>
              <w:jc w:val="right"/>
              <w:rPr>
                <w:rFonts w:eastAsia="標楷體"/>
                <w:sz w:val="20"/>
                <w:szCs w:val="20"/>
              </w:rPr>
            </w:pPr>
            <w:r w:rsidRPr="00D55DC6">
              <w:rPr>
                <w:rFonts w:eastAsia="標楷體"/>
                <w:sz w:val="20"/>
                <w:szCs w:val="20"/>
              </w:rPr>
              <w:t xml:space="preserve">28,946 </w:t>
            </w:r>
          </w:p>
        </w:tc>
        <w:tc>
          <w:tcPr>
            <w:tcW w:w="701" w:type="dxa"/>
            <w:tcBorders>
              <w:top w:val="single" w:sz="12" w:space="0" w:color="auto"/>
              <w:bottom w:val="single" w:sz="12" w:space="0" w:color="auto"/>
            </w:tcBorders>
            <w:vAlign w:val="center"/>
          </w:tcPr>
          <w:p w:rsidR="00DF2F67" w:rsidRPr="00D55DC6" w:rsidRDefault="00DF2F67" w:rsidP="00FA7F7B">
            <w:pPr>
              <w:spacing w:line="300" w:lineRule="exact"/>
              <w:jc w:val="right"/>
              <w:rPr>
                <w:rFonts w:eastAsia="標楷體"/>
                <w:sz w:val="20"/>
                <w:szCs w:val="20"/>
              </w:rPr>
            </w:pPr>
            <w:r w:rsidRPr="00D55DC6">
              <w:rPr>
                <w:rFonts w:eastAsia="標楷體"/>
                <w:sz w:val="20"/>
                <w:szCs w:val="20"/>
              </w:rPr>
              <w:t xml:space="preserve">33,226 </w:t>
            </w:r>
          </w:p>
        </w:tc>
        <w:tc>
          <w:tcPr>
            <w:tcW w:w="702" w:type="dxa"/>
            <w:tcBorders>
              <w:top w:val="single" w:sz="12" w:space="0" w:color="auto"/>
              <w:bottom w:val="single" w:sz="12" w:space="0" w:color="auto"/>
            </w:tcBorders>
            <w:vAlign w:val="center"/>
          </w:tcPr>
          <w:p w:rsidR="00DF2F67" w:rsidRPr="00D55DC6" w:rsidRDefault="00DF2F67" w:rsidP="00FA7F7B">
            <w:pPr>
              <w:spacing w:line="300" w:lineRule="exact"/>
              <w:jc w:val="right"/>
              <w:rPr>
                <w:rFonts w:eastAsia="標楷體"/>
                <w:sz w:val="20"/>
                <w:szCs w:val="20"/>
              </w:rPr>
            </w:pPr>
            <w:r w:rsidRPr="00D55DC6">
              <w:rPr>
                <w:rFonts w:eastAsia="標楷體"/>
                <w:sz w:val="20"/>
                <w:szCs w:val="20"/>
              </w:rPr>
              <w:t xml:space="preserve">36,826 </w:t>
            </w:r>
          </w:p>
        </w:tc>
        <w:tc>
          <w:tcPr>
            <w:tcW w:w="701" w:type="dxa"/>
            <w:tcBorders>
              <w:top w:val="single" w:sz="12" w:space="0" w:color="auto"/>
              <w:bottom w:val="single" w:sz="12" w:space="0" w:color="auto"/>
            </w:tcBorders>
            <w:vAlign w:val="center"/>
          </w:tcPr>
          <w:p w:rsidR="00DF2F67" w:rsidRPr="00D55DC6" w:rsidRDefault="00DF2F67" w:rsidP="00FA7F7B">
            <w:pPr>
              <w:spacing w:line="300" w:lineRule="exact"/>
              <w:jc w:val="right"/>
              <w:rPr>
                <w:rFonts w:eastAsia="標楷體"/>
                <w:sz w:val="20"/>
                <w:szCs w:val="20"/>
              </w:rPr>
            </w:pPr>
            <w:r w:rsidRPr="00D55DC6">
              <w:rPr>
                <w:rFonts w:eastAsia="標楷體"/>
                <w:sz w:val="20"/>
                <w:szCs w:val="20"/>
              </w:rPr>
              <w:t xml:space="preserve">32,526 </w:t>
            </w:r>
          </w:p>
        </w:tc>
        <w:tc>
          <w:tcPr>
            <w:tcW w:w="701" w:type="dxa"/>
            <w:tcBorders>
              <w:top w:val="single" w:sz="12" w:space="0" w:color="auto"/>
              <w:bottom w:val="single" w:sz="12" w:space="0" w:color="auto"/>
            </w:tcBorders>
            <w:vAlign w:val="center"/>
          </w:tcPr>
          <w:p w:rsidR="00DF2F67" w:rsidRPr="00D55DC6" w:rsidRDefault="00DF2F67" w:rsidP="00FA7F7B">
            <w:pPr>
              <w:spacing w:line="300" w:lineRule="exact"/>
              <w:jc w:val="right"/>
              <w:rPr>
                <w:rFonts w:eastAsia="標楷體"/>
                <w:sz w:val="20"/>
                <w:szCs w:val="20"/>
              </w:rPr>
            </w:pPr>
            <w:r w:rsidRPr="00D55DC6">
              <w:rPr>
                <w:rFonts w:eastAsia="標楷體"/>
                <w:sz w:val="20"/>
                <w:szCs w:val="20"/>
              </w:rPr>
              <w:t xml:space="preserve">36,496 </w:t>
            </w:r>
          </w:p>
        </w:tc>
        <w:tc>
          <w:tcPr>
            <w:tcW w:w="701" w:type="dxa"/>
            <w:tcBorders>
              <w:top w:val="single" w:sz="12" w:space="0" w:color="auto"/>
              <w:bottom w:val="single" w:sz="12" w:space="0" w:color="auto"/>
            </w:tcBorders>
            <w:vAlign w:val="center"/>
          </w:tcPr>
          <w:p w:rsidR="00DF2F67" w:rsidRPr="00D55DC6" w:rsidRDefault="00DF2F67" w:rsidP="00FA7F7B">
            <w:pPr>
              <w:spacing w:line="300" w:lineRule="exact"/>
              <w:jc w:val="right"/>
              <w:rPr>
                <w:rFonts w:eastAsia="標楷體"/>
                <w:sz w:val="20"/>
                <w:szCs w:val="20"/>
              </w:rPr>
            </w:pPr>
            <w:r w:rsidRPr="00D55DC6">
              <w:rPr>
                <w:rFonts w:eastAsia="標楷體"/>
                <w:sz w:val="20"/>
                <w:szCs w:val="20"/>
              </w:rPr>
              <w:t xml:space="preserve">39,796 </w:t>
            </w:r>
          </w:p>
        </w:tc>
        <w:tc>
          <w:tcPr>
            <w:tcW w:w="712" w:type="dxa"/>
            <w:tcBorders>
              <w:top w:val="single" w:sz="12" w:space="0" w:color="auto"/>
              <w:bottom w:val="single" w:sz="12" w:space="0" w:color="auto"/>
            </w:tcBorders>
            <w:vAlign w:val="center"/>
          </w:tcPr>
          <w:p w:rsidR="00DF2F67" w:rsidRPr="00D55DC6" w:rsidRDefault="00DF2F67" w:rsidP="00FA7F7B">
            <w:pPr>
              <w:spacing w:line="300" w:lineRule="exact"/>
              <w:jc w:val="right"/>
              <w:rPr>
                <w:rFonts w:eastAsia="標楷體"/>
                <w:sz w:val="20"/>
                <w:szCs w:val="20"/>
              </w:rPr>
            </w:pPr>
            <w:r w:rsidRPr="00D55DC6">
              <w:rPr>
                <w:rFonts w:eastAsia="標楷體"/>
                <w:sz w:val="20"/>
                <w:szCs w:val="20"/>
              </w:rPr>
              <w:t xml:space="preserve">44,996 </w:t>
            </w:r>
          </w:p>
        </w:tc>
        <w:tc>
          <w:tcPr>
            <w:tcW w:w="837" w:type="dxa"/>
            <w:tcBorders>
              <w:top w:val="single" w:sz="12" w:space="0" w:color="auto"/>
              <w:bottom w:val="single" w:sz="12" w:space="0" w:color="auto"/>
              <w:right w:val="single" w:sz="12" w:space="0" w:color="auto"/>
            </w:tcBorders>
            <w:vAlign w:val="center"/>
          </w:tcPr>
          <w:p w:rsidR="00DF2F67" w:rsidRPr="00D55DC6" w:rsidRDefault="00DF2F67" w:rsidP="00FA7F7B">
            <w:pPr>
              <w:spacing w:line="300" w:lineRule="exact"/>
              <w:jc w:val="right"/>
              <w:rPr>
                <w:rFonts w:eastAsia="標楷體"/>
                <w:sz w:val="20"/>
                <w:szCs w:val="20"/>
              </w:rPr>
            </w:pPr>
            <w:r w:rsidRPr="00D55DC6">
              <w:rPr>
                <w:rFonts w:eastAsia="標楷體"/>
                <w:sz w:val="20"/>
                <w:szCs w:val="20"/>
              </w:rPr>
              <w:t xml:space="preserve"> 47,896 </w:t>
            </w:r>
          </w:p>
        </w:tc>
      </w:tr>
      <w:tr w:rsidR="001D0350" w:rsidRPr="00D55DC6" w:rsidTr="00FA7F7B">
        <w:trPr>
          <w:jc w:val="center"/>
        </w:trPr>
        <w:tc>
          <w:tcPr>
            <w:tcW w:w="9486" w:type="dxa"/>
            <w:gridSpan w:val="11"/>
            <w:tcBorders>
              <w:top w:val="single" w:sz="12" w:space="0" w:color="auto"/>
              <w:left w:val="single" w:sz="12" w:space="0" w:color="auto"/>
              <w:right w:val="single" w:sz="12" w:space="0" w:color="auto"/>
            </w:tcBorders>
            <w:vAlign w:val="center"/>
          </w:tcPr>
          <w:p w:rsidR="00DF2F67" w:rsidRPr="00D55DC6" w:rsidRDefault="00DF2F67" w:rsidP="00FA7F7B">
            <w:pPr>
              <w:adjustRightInd w:val="0"/>
              <w:snapToGrid w:val="0"/>
              <w:spacing w:line="300" w:lineRule="exact"/>
              <w:jc w:val="both"/>
              <w:rPr>
                <w:rFonts w:eastAsia="標楷體"/>
                <w:spacing w:val="-10"/>
                <w:sz w:val="20"/>
                <w:szCs w:val="20"/>
              </w:rPr>
            </w:pPr>
            <w:r w:rsidRPr="00D55DC6">
              <w:rPr>
                <w:rFonts w:eastAsia="標楷體"/>
                <w:sz w:val="20"/>
                <w:szCs w:val="20"/>
              </w:rPr>
              <w:t>二、規劃新增據點收益</w:t>
            </w:r>
          </w:p>
        </w:tc>
      </w:tr>
      <w:tr w:rsidR="001D0350" w:rsidRPr="00D55DC6" w:rsidTr="00FA7F7B">
        <w:trPr>
          <w:jc w:val="center"/>
        </w:trPr>
        <w:tc>
          <w:tcPr>
            <w:tcW w:w="2307" w:type="dxa"/>
            <w:tcBorders>
              <w:left w:val="single" w:sz="12" w:space="0" w:color="auto"/>
            </w:tcBorders>
          </w:tcPr>
          <w:p w:rsidR="00DF2F67" w:rsidRPr="00D55DC6" w:rsidRDefault="00DF2F67" w:rsidP="00FA7F7B">
            <w:pPr>
              <w:spacing w:line="300" w:lineRule="exact"/>
              <w:ind w:leftChars="103" w:left="247"/>
              <w:jc w:val="both"/>
              <w:rPr>
                <w:rFonts w:eastAsia="標楷體"/>
                <w:sz w:val="20"/>
                <w:szCs w:val="20"/>
              </w:rPr>
            </w:pPr>
            <w:r w:rsidRPr="00D55DC6">
              <w:rPr>
                <w:rFonts w:eastAsia="標楷體"/>
                <w:sz w:val="20"/>
                <w:szCs w:val="20"/>
              </w:rPr>
              <w:t>濱灣公園遊艇碼頭</w:t>
            </w:r>
          </w:p>
        </w:tc>
        <w:tc>
          <w:tcPr>
            <w:tcW w:w="722"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676"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726"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701"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702"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2,250 </w:t>
            </w:r>
          </w:p>
        </w:tc>
        <w:tc>
          <w:tcPr>
            <w:tcW w:w="701"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2,250 </w:t>
            </w:r>
          </w:p>
        </w:tc>
        <w:tc>
          <w:tcPr>
            <w:tcW w:w="701"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2,250 </w:t>
            </w:r>
          </w:p>
        </w:tc>
        <w:tc>
          <w:tcPr>
            <w:tcW w:w="701"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2,250 </w:t>
            </w:r>
          </w:p>
        </w:tc>
        <w:tc>
          <w:tcPr>
            <w:tcW w:w="712"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2,250 </w:t>
            </w:r>
          </w:p>
        </w:tc>
        <w:tc>
          <w:tcPr>
            <w:tcW w:w="837" w:type="dxa"/>
            <w:tcBorders>
              <w:right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2,250 </w:t>
            </w:r>
          </w:p>
        </w:tc>
      </w:tr>
      <w:tr w:rsidR="001D0350" w:rsidRPr="00D55DC6" w:rsidTr="00FA7F7B">
        <w:trPr>
          <w:jc w:val="center"/>
        </w:trPr>
        <w:tc>
          <w:tcPr>
            <w:tcW w:w="2307" w:type="dxa"/>
            <w:tcBorders>
              <w:left w:val="single" w:sz="12" w:space="0" w:color="auto"/>
            </w:tcBorders>
            <w:vAlign w:val="center"/>
          </w:tcPr>
          <w:p w:rsidR="00DF2F67" w:rsidRPr="00D55DC6" w:rsidRDefault="00DF2F67" w:rsidP="00FA7F7B">
            <w:pPr>
              <w:spacing w:line="300" w:lineRule="exact"/>
              <w:ind w:leftChars="103" w:left="247"/>
              <w:jc w:val="both"/>
              <w:rPr>
                <w:rFonts w:eastAsia="標楷體"/>
                <w:sz w:val="20"/>
                <w:szCs w:val="20"/>
              </w:rPr>
            </w:pPr>
            <w:r w:rsidRPr="00D55DC6">
              <w:rPr>
                <w:rFonts w:eastAsia="標楷體"/>
                <w:sz w:val="20"/>
                <w:szCs w:val="20"/>
              </w:rPr>
              <w:t>交通、遊湖船碼頭收費</w:t>
            </w:r>
          </w:p>
        </w:tc>
        <w:tc>
          <w:tcPr>
            <w:tcW w:w="722"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676"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726"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701"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702"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1,116 </w:t>
            </w:r>
          </w:p>
        </w:tc>
        <w:tc>
          <w:tcPr>
            <w:tcW w:w="701"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1,116 </w:t>
            </w:r>
          </w:p>
        </w:tc>
        <w:tc>
          <w:tcPr>
            <w:tcW w:w="701"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1,116 </w:t>
            </w:r>
          </w:p>
        </w:tc>
        <w:tc>
          <w:tcPr>
            <w:tcW w:w="701"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1,116 </w:t>
            </w:r>
          </w:p>
        </w:tc>
        <w:tc>
          <w:tcPr>
            <w:tcW w:w="712"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1,116 </w:t>
            </w:r>
          </w:p>
        </w:tc>
        <w:tc>
          <w:tcPr>
            <w:tcW w:w="837" w:type="dxa"/>
            <w:tcBorders>
              <w:right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1,116 </w:t>
            </w:r>
          </w:p>
        </w:tc>
      </w:tr>
      <w:tr w:rsidR="001D0350" w:rsidRPr="00D55DC6" w:rsidTr="00FA7F7B">
        <w:trPr>
          <w:jc w:val="center"/>
        </w:trPr>
        <w:tc>
          <w:tcPr>
            <w:tcW w:w="2307" w:type="dxa"/>
            <w:tcBorders>
              <w:left w:val="single" w:sz="12" w:space="0" w:color="auto"/>
            </w:tcBorders>
          </w:tcPr>
          <w:p w:rsidR="00DF2F67" w:rsidRPr="00D55DC6" w:rsidRDefault="00DF2F67" w:rsidP="00FA7F7B">
            <w:pPr>
              <w:spacing w:line="300" w:lineRule="exact"/>
              <w:ind w:leftChars="103" w:left="247"/>
              <w:jc w:val="both"/>
              <w:rPr>
                <w:rFonts w:eastAsia="標楷體"/>
                <w:sz w:val="20"/>
                <w:szCs w:val="20"/>
              </w:rPr>
            </w:pPr>
            <w:r w:rsidRPr="00D55DC6">
              <w:rPr>
                <w:rFonts w:eastAsia="標楷體"/>
                <w:sz w:val="20"/>
                <w:szCs w:val="20"/>
              </w:rPr>
              <w:t>堤岸商場賣店出租</w:t>
            </w:r>
          </w:p>
        </w:tc>
        <w:tc>
          <w:tcPr>
            <w:tcW w:w="722"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676"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726"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701"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702"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7,200 </w:t>
            </w:r>
          </w:p>
        </w:tc>
        <w:tc>
          <w:tcPr>
            <w:tcW w:w="701"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7,200 </w:t>
            </w:r>
          </w:p>
        </w:tc>
        <w:tc>
          <w:tcPr>
            <w:tcW w:w="701"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7,200 </w:t>
            </w:r>
          </w:p>
        </w:tc>
        <w:tc>
          <w:tcPr>
            <w:tcW w:w="701"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7,200 </w:t>
            </w:r>
          </w:p>
        </w:tc>
        <w:tc>
          <w:tcPr>
            <w:tcW w:w="712"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7,200 </w:t>
            </w:r>
          </w:p>
        </w:tc>
        <w:tc>
          <w:tcPr>
            <w:tcW w:w="837" w:type="dxa"/>
            <w:tcBorders>
              <w:right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7,200 </w:t>
            </w:r>
          </w:p>
        </w:tc>
      </w:tr>
      <w:tr w:rsidR="001D0350" w:rsidRPr="00D55DC6" w:rsidTr="00FA7F7B">
        <w:trPr>
          <w:jc w:val="center"/>
        </w:trPr>
        <w:tc>
          <w:tcPr>
            <w:tcW w:w="2307" w:type="dxa"/>
            <w:tcBorders>
              <w:left w:val="single" w:sz="12" w:space="0" w:color="auto"/>
            </w:tcBorders>
          </w:tcPr>
          <w:p w:rsidR="00DF2F67" w:rsidRPr="00D55DC6" w:rsidRDefault="00DF2F67" w:rsidP="00FA7F7B">
            <w:pPr>
              <w:spacing w:line="300" w:lineRule="exact"/>
              <w:ind w:leftChars="103" w:left="247"/>
              <w:jc w:val="both"/>
              <w:rPr>
                <w:rFonts w:eastAsia="標楷體"/>
                <w:sz w:val="20"/>
                <w:szCs w:val="20"/>
              </w:rPr>
            </w:pPr>
            <w:r w:rsidRPr="00D55DC6">
              <w:rPr>
                <w:rFonts w:eastAsia="標楷體"/>
                <w:sz w:val="20"/>
                <w:szCs w:val="20"/>
              </w:rPr>
              <w:t>濱灣公園停車清潔費</w:t>
            </w:r>
          </w:p>
        </w:tc>
        <w:tc>
          <w:tcPr>
            <w:tcW w:w="722"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676"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726"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701"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702"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645 </w:t>
            </w:r>
          </w:p>
        </w:tc>
        <w:tc>
          <w:tcPr>
            <w:tcW w:w="701"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645 </w:t>
            </w:r>
          </w:p>
        </w:tc>
        <w:tc>
          <w:tcPr>
            <w:tcW w:w="701"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645 </w:t>
            </w:r>
          </w:p>
        </w:tc>
        <w:tc>
          <w:tcPr>
            <w:tcW w:w="701"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645 </w:t>
            </w:r>
          </w:p>
        </w:tc>
        <w:tc>
          <w:tcPr>
            <w:tcW w:w="712" w:type="dxa"/>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645 </w:t>
            </w:r>
          </w:p>
        </w:tc>
        <w:tc>
          <w:tcPr>
            <w:tcW w:w="837" w:type="dxa"/>
            <w:tcBorders>
              <w:right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645 </w:t>
            </w:r>
          </w:p>
        </w:tc>
      </w:tr>
      <w:tr w:rsidR="001D0350" w:rsidRPr="00D55DC6" w:rsidTr="00FA7F7B">
        <w:trPr>
          <w:jc w:val="center"/>
        </w:trPr>
        <w:tc>
          <w:tcPr>
            <w:tcW w:w="2307" w:type="dxa"/>
            <w:tcBorders>
              <w:left w:val="single" w:sz="12" w:space="0" w:color="auto"/>
              <w:bottom w:val="single" w:sz="12" w:space="0" w:color="auto"/>
            </w:tcBorders>
          </w:tcPr>
          <w:p w:rsidR="00DF2F67" w:rsidRPr="00D55DC6" w:rsidRDefault="00DF2F67" w:rsidP="00FA7F7B">
            <w:pPr>
              <w:spacing w:line="300" w:lineRule="exact"/>
              <w:ind w:leftChars="103" w:left="247"/>
              <w:jc w:val="both"/>
              <w:rPr>
                <w:rFonts w:eastAsia="標楷體"/>
                <w:sz w:val="20"/>
                <w:szCs w:val="20"/>
              </w:rPr>
            </w:pPr>
            <w:r w:rsidRPr="00D55DC6">
              <w:rPr>
                <w:rFonts w:eastAsia="標楷體"/>
                <w:sz w:val="20"/>
                <w:szCs w:val="20"/>
              </w:rPr>
              <w:t>環灣周邊公共停車收費</w:t>
            </w:r>
          </w:p>
        </w:tc>
        <w:tc>
          <w:tcPr>
            <w:tcW w:w="722" w:type="dxa"/>
            <w:tcBorders>
              <w:bottom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676" w:type="dxa"/>
            <w:tcBorders>
              <w:bottom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726" w:type="dxa"/>
            <w:tcBorders>
              <w:bottom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701" w:type="dxa"/>
            <w:tcBorders>
              <w:bottom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702" w:type="dxa"/>
            <w:tcBorders>
              <w:bottom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300 </w:t>
            </w:r>
          </w:p>
        </w:tc>
        <w:tc>
          <w:tcPr>
            <w:tcW w:w="701" w:type="dxa"/>
            <w:tcBorders>
              <w:bottom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300 </w:t>
            </w:r>
          </w:p>
        </w:tc>
        <w:tc>
          <w:tcPr>
            <w:tcW w:w="701" w:type="dxa"/>
            <w:tcBorders>
              <w:bottom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300 </w:t>
            </w:r>
          </w:p>
        </w:tc>
        <w:tc>
          <w:tcPr>
            <w:tcW w:w="701" w:type="dxa"/>
            <w:tcBorders>
              <w:bottom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300 </w:t>
            </w:r>
          </w:p>
        </w:tc>
        <w:tc>
          <w:tcPr>
            <w:tcW w:w="712" w:type="dxa"/>
            <w:tcBorders>
              <w:bottom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300 </w:t>
            </w:r>
          </w:p>
        </w:tc>
        <w:tc>
          <w:tcPr>
            <w:tcW w:w="837" w:type="dxa"/>
            <w:tcBorders>
              <w:bottom w:val="single" w:sz="12" w:space="0" w:color="auto"/>
              <w:right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300 </w:t>
            </w:r>
          </w:p>
        </w:tc>
      </w:tr>
      <w:tr w:rsidR="001D0350" w:rsidRPr="00D55DC6" w:rsidTr="00FA7F7B">
        <w:trPr>
          <w:jc w:val="center"/>
        </w:trPr>
        <w:tc>
          <w:tcPr>
            <w:tcW w:w="2307" w:type="dxa"/>
            <w:tcBorders>
              <w:left w:val="single" w:sz="12" w:space="0" w:color="auto"/>
              <w:bottom w:val="single" w:sz="12" w:space="0" w:color="auto"/>
            </w:tcBorders>
          </w:tcPr>
          <w:p w:rsidR="00DF2F67" w:rsidRPr="00D55DC6" w:rsidRDefault="00DF2F67" w:rsidP="00FA7F7B">
            <w:pPr>
              <w:spacing w:line="300" w:lineRule="exact"/>
              <w:ind w:leftChars="103" w:left="247"/>
              <w:jc w:val="both"/>
              <w:rPr>
                <w:rFonts w:eastAsia="標楷體"/>
                <w:sz w:val="20"/>
                <w:szCs w:val="20"/>
              </w:rPr>
            </w:pPr>
            <w:r w:rsidRPr="00D55DC6">
              <w:rPr>
                <w:rFonts w:eastAsia="標楷體"/>
                <w:sz w:val="20"/>
                <w:szCs w:val="20"/>
              </w:rPr>
              <w:t>公園清潔費收益</w:t>
            </w:r>
          </w:p>
        </w:tc>
        <w:tc>
          <w:tcPr>
            <w:tcW w:w="722" w:type="dxa"/>
            <w:tcBorders>
              <w:bottom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676" w:type="dxa"/>
            <w:tcBorders>
              <w:bottom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726" w:type="dxa"/>
            <w:tcBorders>
              <w:bottom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701" w:type="dxa"/>
            <w:tcBorders>
              <w:bottom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702" w:type="dxa"/>
            <w:tcBorders>
              <w:bottom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701" w:type="dxa"/>
            <w:tcBorders>
              <w:bottom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701" w:type="dxa"/>
            <w:tcBorders>
              <w:bottom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w:t>
            </w:r>
          </w:p>
        </w:tc>
        <w:tc>
          <w:tcPr>
            <w:tcW w:w="701" w:type="dxa"/>
            <w:tcBorders>
              <w:bottom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3,000 </w:t>
            </w:r>
          </w:p>
        </w:tc>
        <w:tc>
          <w:tcPr>
            <w:tcW w:w="712" w:type="dxa"/>
            <w:tcBorders>
              <w:bottom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3,000 </w:t>
            </w:r>
          </w:p>
        </w:tc>
        <w:tc>
          <w:tcPr>
            <w:tcW w:w="837" w:type="dxa"/>
            <w:tcBorders>
              <w:bottom w:val="single" w:sz="12" w:space="0" w:color="auto"/>
              <w:right w:val="single" w:sz="12" w:space="0" w:color="auto"/>
            </w:tcBorders>
            <w:vAlign w:val="center"/>
          </w:tcPr>
          <w:p w:rsidR="00DF2F67" w:rsidRPr="00D55DC6" w:rsidRDefault="00DF2F67" w:rsidP="00FA7F7B">
            <w:pPr>
              <w:spacing w:line="300" w:lineRule="exact"/>
              <w:jc w:val="right"/>
              <w:rPr>
                <w:rFonts w:eastAsia="標楷體"/>
                <w:bCs/>
                <w:sz w:val="20"/>
                <w:szCs w:val="20"/>
              </w:rPr>
            </w:pPr>
            <w:r w:rsidRPr="00D55DC6">
              <w:rPr>
                <w:rFonts w:eastAsia="標楷體"/>
                <w:bCs/>
                <w:sz w:val="20"/>
                <w:szCs w:val="20"/>
              </w:rPr>
              <w:t xml:space="preserve">  3,000 </w:t>
            </w:r>
          </w:p>
        </w:tc>
      </w:tr>
      <w:tr w:rsidR="001D0350" w:rsidRPr="00D55DC6" w:rsidTr="00FA7F7B">
        <w:trPr>
          <w:jc w:val="center"/>
        </w:trPr>
        <w:tc>
          <w:tcPr>
            <w:tcW w:w="9486" w:type="dxa"/>
            <w:gridSpan w:val="11"/>
            <w:tcBorders>
              <w:top w:val="single" w:sz="12" w:space="0" w:color="auto"/>
              <w:left w:val="single" w:sz="12" w:space="0" w:color="auto"/>
              <w:right w:val="single" w:sz="12" w:space="0" w:color="auto"/>
            </w:tcBorders>
            <w:vAlign w:val="center"/>
          </w:tcPr>
          <w:p w:rsidR="00DF2F67" w:rsidRPr="00D55DC6" w:rsidRDefault="00DF2F67" w:rsidP="00FA7F7B">
            <w:pPr>
              <w:adjustRightInd w:val="0"/>
              <w:snapToGrid w:val="0"/>
              <w:spacing w:line="300" w:lineRule="exact"/>
              <w:jc w:val="both"/>
              <w:rPr>
                <w:rFonts w:eastAsia="標楷體"/>
                <w:spacing w:val="-10"/>
                <w:sz w:val="20"/>
                <w:szCs w:val="20"/>
              </w:rPr>
            </w:pPr>
            <w:r w:rsidRPr="00D55DC6">
              <w:rPr>
                <w:rFonts w:eastAsia="標楷體"/>
                <w:sz w:val="20"/>
                <w:szCs w:val="20"/>
              </w:rPr>
              <w:t>三、規劃新增收益計畫</w:t>
            </w:r>
          </w:p>
        </w:tc>
      </w:tr>
      <w:tr w:rsidR="001D0350" w:rsidRPr="00D55DC6" w:rsidTr="00FA7F7B">
        <w:trPr>
          <w:jc w:val="center"/>
        </w:trPr>
        <w:tc>
          <w:tcPr>
            <w:tcW w:w="2307" w:type="dxa"/>
            <w:tcBorders>
              <w:left w:val="single" w:sz="12" w:space="0" w:color="auto"/>
            </w:tcBorders>
            <w:vAlign w:val="center"/>
          </w:tcPr>
          <w:p w:rsidR="00DF2F67" w:rsidRPr="00D55DC6" w:rsidRDefault="00DF2F67" w:rsidP="00FA7F7B">
            <w:pPr>
              <w:spacing w:line="300" w:lineRule="exact"/>
              <w:ind w:leftChars="103" w:left="247"/>
              <w:jc w:val="both"/>
              <w:rPr>
                <w:rFonts w:eastAsia="標楷體"/>
                <w:sz w:val="20"/>
                <w:szCs w:val="20"/>
              </w:rPr>
            </w:pPr>
            <w:r w:rsidRPr="00D55DC6">
              <w:rPr>
                <w:rFonts w:eastAsia="標楷體"/>
                <w:sz w:val="20"/>
                <w:szCs w:val="20"/>
              </w:rPr>
              <w:t>遊二區</w:t>
            </w:r>
            <w:r w:rsidRPr="00D55DC6">
              <w:rPr>
                <w:rFonts w:eastAsia="標楷體"/>
                <w:sz w:val="20"/>
                <w:szCs w:val="20"/>
              </w:rPr>
              <w:t>BOT</w:t>
            </w:r>
            <w:r w:rsidRPr="00D55DC6">
              <w:rPr>
                <w:rFonts w:eastAsia="標楷體"/>
                <w:sz w:val="20"/>
                <w:szCs w:val="20"/>
              </w:rPr>
              <w:t>計畫收益</w:t>
            </w:r>
          </w:p>
        </w:tc>
        <w:tc>
          <w:tcPr>
            <w:tcW w:w="722"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c>
          <w:tcPr>
            <w:tcW w:w="676"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c>
          <w:tcPr>
            <w:tcW w:w="726"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c>
          <w:tcPr>
            <w:tcW w:w="701"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c>
          <w:tcPr>
            <w:tcW w:w="702"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c>
          <w:tcPr>
            <w:tcW w:w="701"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r w:rsidRPr="00D55DC6">
              <w:rPr>
                <w:rFonts w:eastAsia="標楷體"/>
                <w:spacing w:val="-10"/>
                <w:sz w:val="20"/>
                <w:szCs w:val="20"/>
              </w:rPr>
              <w:t>13,100</w:t>
            </w:r>
          </w:p>
        </w:tc>
        <w:tc>
          <w:tcPr>
            <w:tcW w:w="701"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r w:rsidRPr="00D55DC6">
              <w:rPr>
                <w:rFonts w:eastAsia="標楷體"/>
                <w:spacing w:val="-10"/>
                <w:sz w:val="20"/>
                <w:szCs w:val="20"/>
              </w:rPr>
              <w:t>13,100</w:t>
            </w:r>
          </w:p>
        </w:tc>
        <w:tc>
          <w:tcPr>
            <w:tcW w:w="701"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r w:rsidRPr="00D55DC6">
              <w:rPr>
                <w:rFonts w:eastAsia="標楷體"/>
                <w:spacing w:val="-10"/>
                <w:sz w:val="20"/>
                <w:szCs w:val="20"/>
              </w:rPr>
              <w:t>13,100</w:t>
            </w:r>
          </w:p>
        </w:tc>
        <w:tc>
          <w:tcPr>
            <w:tcW w:w="712"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r w:rsidRPr="00D55DC6">
              <w:rPr>
                <w:rFonts w:eastAsia="標楷體"/>
                <w:spacing w:val="-10"/>
                <w:sz w:val="20"/>
                <w:szCs w:val="20"/>
              </w:rPr>
              <w:t>13,100</w:t>
            </w:r>
          </w:p>
        </w:tc>
        <w:tc>
          <w:tcPr>
            <w:tcW w:w="837" w:type="dxa"/>
            <w:tcBorders>
              <w:right w:val="single" w:sz="12" w:space="0" w:color="auto"/>
            </w:tcBorders>
            <w:vAlign w:val="center"/>
          </w:tcPr>
          <w:p w:rsidR="00DF2F67" w:rsidRPr="00D55DC6" w:rsidRDefault="00DF2F67" w:rsidP="00FA7F7B">
            <w:pPr>
              <w:adjustRightInd w:val="0"/>
              <w:snapToGrid w:val="0"/>
              <w:spacing w:line="300" w:lineRule="exact"/>
              <w:jc w:val="right"/>
              <w:rPr>
                <w:rFonts w:eastAsia="標楷體"/>
                <w:spacing w:val="-10"/>
                <w:sz w:val="20"/>
                <w:szCs w:val="20"/>
              </w:rPr>
            </w:pPr>
            <w:r w:rsidRPr="00D55DC6">
              <w:rPr>
                <w:rFonts w:eastAsia="標楷體"/>
                <w:spacing w:val="-10"/>
                <w:sz w:val="20"/>
                <w:szCs w:val="20"/>
              </w:rPr>
              <w:t>13,100</w:t>
            </w:r>
          </w:p>
        </w:tc>
      </w:tr>
      <w:tr w:rsidR="001D0350" w:rsidRPr="00D55DC6" w:rsidTr="00FA7F7B">
        <w:trPr>
          <w:jc w:val="center"/>
        </w:trPr>
        <w:tc>
          <w:tcPr>
            <w:tcW w:w="2307" w:type="dxa"/>
            <w:tcBorders>
              <w:left w:val="single" w:sz="12" w:space="0" w:color="auto"/>
            </w:tcBorders>
            <w:vAlign w:val="center"/>
          </w:tcPr>
          <w:p w:rsidR="00DF2F67" w:rsidRPr="00D55DC6" w:rsidRDefault="00DF2F67" w:rsidP="00FA7F7B">
            <w:pPr>
              <w:spacing w:line="300" w:lineRule="exact"/>
              <w:ind w:leftChars="103" w:left="247"/>
              <w:jc w:val="both"/>
              <w:rPr>
                <w:rFonts w:eastAsia="標楷體"/>
                <w:sz w:val="20"/>
                <w:szCs w:val="20"/>
              </w:rPr>
            </w:pPr>
            <w:r w:rsidRPr="00D55DC6">
              <w:rPr>
                <w:rFonts w:eastAsia="標楷體"/>
                <w:sz w:val="20"/>
                <w:szCs w:val="20"/>
              </w:rPr>
              <w:t>遊三區</w:t>
            </w:r>
            <w:r w:rsidRPr="00D55DC6">
              <w:rPr>
                <w:rFonts w:eastAsia="標楷體"/>
                <w:sz w:val="20"/>
                <w:szCs w:val="20"/>
              </w:rPr>
              <w:t>BOT</w:t>
            </w:r>
            <w:r w:rsidRPr="00D55DC6">
              <w:rPr>
                <w:rFonts w:eastAsia="標楷體"/>
                <w:sz w:val="20"/>
                <w:szCs w:val="20"/>
              </w:rPr>
              <w:t>案</w:t>
            </w:r>
          </w:p>
        </w:tc>
        <w:tc>
          <w:tcPr>
            <w:tcW w:w="722"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c>
          <w:tcPr>
            <w:tcW w:w="676"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c>
          <w:tcPr>
            <w:tcW w:w="726"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r w:rsidRPr="00D55DC6">
              <w:rPr>
                <w:rFonts w:eastAsia="標楷體"/>
                <w:spacing w:val="-10"/>
                <w:sz w:val="20"/>
                <w:szCs w:val="20"/>
              </w:rPr>
              <w:t>50,000</w:t>
            </w:r>
          </w:p>
        </w:tc>
        <w:tc>
          <w:tcPr>
            <w:tcW w:w="701"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c>
          <w:tcPr>
            <w:tcW w:w="702"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c>
          <w:tcPr>
            <w:tcW w:w="701"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r w:rsidRPr="00D55DC6">
              <w:rPr>
                <w:rFonts w:eastAsia="標楷體"/>
                <w:spacing w:val="-10"/>
                <w:sz w:val="20"/>
                <w:szCs w:val="20"/>
              </w:rPr>
              <w:t>13,500</w:t>
            </w:r>
          </w:p>
        </w:tc>
        <w:tc>
          <w:tcPr>
            <w:tcW w:w="701"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r w:rsidRPr="00D55DC6">
              <w:rPr>
                <w:rFonts w:eastAsia="標楷體"/>
                <w:spacing w:val="-10"/>
                <w:sz w:val="20"/>
                <w:szCs w:val="20"/>
              </w:rPr>
              <w:t>13,500</w:t>
            </w:r>
          </w:p>
        </w:tc>
        <w:tc>
          <w:tcPr>
            <w:tcW w:w="701"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r w:rsidRPr="00D55DC6">
              <w:rPr>
                <w:rFonts w:eastAsia="標楷體"/>
                <w:spacing w:val="-10"/>
                <w:sz w:val="20"/>
                <w:szCs w:val="20"/>
              </w:rPr>
              <w:t>13,500</w:t>
            </w:r>
          </w:p>
        </w:tc>
        <w:tc>
          <w:tcPr>
            <w:tcW w:w="712"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r w:rsidRPr="00D55DC6">
              <w:rPr>
                <w:rFonts w:eastAsia="標楷體"/>
                <w:spacing w:val="-10"/>
                <w:sz w:val="20"/>
                <w:szCs w:val="20"/>
              </w:rPr>
              <w:t>13,500</w:t>
            </w:r>
          </w:p>
        </w:tc>
        <w:tc>
          <w:tcPr>
            <w:tcW w:w="837" w:type="dxa"/>
            <w:tcBorders>
              <w:right w:val="single" w:sz="12" w:space="0" w:color="auto"/>
            </w:tcBorders>
            <w:vAlign w:val="center"/>
          </w:tcPr>
          <w:p w:rsidR="00DF2F67" w:rsidRPr="00D55DC6" w:rsidRDefault="00DF2F67" w:rsidP="00FA7F7B">
            <w:pPr>
              <w:adjustRightInd w:val="0"/>
              <w:snapToGrid w:val="0"/>
              <w:spacing w:line="300" w:lineRule="exact"/>
              <w:jc w:val="right"/>
              <w:rPr>
                <w:rFonts w:eastAsia="標楷體"/>
                <w:spacing w:val="-10"/>
                <w:sz w:val="20"/>
                <w:szCs w:val="20"/>
              </w:rPr>
            </w:pPr>
            <w:r w:rsidRPr="00D55DC6">
              <w:rPr>
                <w:rFonts w:eastAsia="標楷體"/>
                <w:spacing w:val="-10"/>
                <w:sz w:val="20"/>
                <w:szCs w:val="20"/>
              </w:rPr>
              <w:t>13,500</w:t>
            </w:r>
          </w:p>
        </w:tc>
      </w:tr>
      <w:tr w:rsidR="001D0350" w:rsidRPr="00D55DC6" w:rsidTr="00FA7F7B">
        <w:trPr>
          <w:jc w:val="center"/>
        </w:trPr>
        <w:tc>
          <w:tcPr>
            <w:tcW w:w="2307" w:type="dxa"/>
            <w:tcBorders>
              <w:left w:val="single" w:sz="12" w:space="0" w:color="auto"/>
            </w:tcBorders>
            <w:vAlign w:val="center"/>
          </w:tcPr>
          <w:p w:rsidR="00DF2F67" w:rsidRPr="00D55DC6" w:rsidRDefault="00DF2F67" w:rsidP="00FA7F7B">
            <w:pPr>
              <w:spacing w:line="300" w:lineRule="exact"/>
              <w:ind w:leftChars="103" w:left="247"/>
              <w:jc w:val="both"/>
              <w:rPr>
                <w:rFonts w:eastAsia="標楷體"/>
                <w:sz w:val="20"/>
                <w:szCs w:val="20"/>
              </w:rPr>
            </w:pPr>
            <w:r w:rsidRPr="00D55DC6">
              <w:rPr>
                <w:rFonts w:eastAsia="標楷體"/>
                <w:sz w:val="20"/>
                <w:szCs w:val="20"/>
              </w:rPr>
              <w:t>小琉球海景休閒</w:t>
            </w:r>
            <w:r w:rsidR="00EA38C5" w:rsidRPr="00D55DC6">
              <w:rPr>
                <w:rFonts w:eastAsia="標楷體"/>
                <w:sz w:val="20"/>
                <w:szCs w:val="20"/>
              </w:rPr>
              <w:t>度假</w:t>
            </w:r>
            <w:r w:rsidRPr="00D55DC6">
              <w:rPr>
                <w:rFonts w:eastAsia="標楷體"/>
                <w:sz w:val="20"/>
                <w:szCs w:val="20"/>
              </w:rPr>
              <w:t>村</w:t>
            </w:r>
            <w:r w:rsidRPr="00D55DC6">
              <w:rPr>
                <w:rFonts w:eastAsia="標楷體"/>
                <w:sz w:val="20"/>
                <w:szCs w:val="20"/>
              </w:rPr>
              <w:t>BOT</w:t>
            </w:r>
            <w:r w:rsidRPr="00D55DC6">
              <w:rPr>
                <w:rFonts w:eastAsia="標楷體"/>
                <w:sz w:val="20"/>
                <w:szCs w:val="20"/>
              </w:rPr>
              <w:t>案</w:t>
            </w:r>
          </w:p>
        </w:tc>
        <w:tc>
          <w:tcPr>
            <w:tcW w:w="722"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c>
          <w:tcPr>
            <w:tcW w:w="676"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c>
          <w:tcPr>
            <w:tcW w:w="726"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c>
          <w:tcPr>
            <w:tcW w:w="701"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c>
          <w:tcPr>
            <w:tcW w:w="702"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c>
          <w:tcPr>
            <w:tcW w:w="701"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r w:rsidRPr="00D55DC6">
              <w:rPr>
                <w:rFonts w:eastAsia="標楷體"/>
                <w:spacing w:val="-10"/>
                <w:sz w:val="20"/>
                <w:szCs w:val="20"/>
              </w:rPr>
              <w:t>12,150</w:t>
            </w:r>
          </w:p>
        </w:tc>
        <w:tc>
          <w:tcPr>
            <w:tcW w:w="701"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r w:rsidRPr="00D55DC6">
              <w:rPr>
                <w:rFonts w:eastAsia="標楷體"/>
                <w:spacing w:val="-10"/>
                <w:sz w:val="20"/>
                <w:szCs w:val="20"/>
              </w:rPr>
              <w:t>12,150</w:t>
            </w:r>
          </w:p>
        </w:tc>
        <w:tc>
          <w:tcPr>
            <w:tcW w:w="701"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r w:rsidRPr="00D55DC6">
              <w:rPr>
                <w:rFonts w:eastAsia="標楷體"/>
                <w:spacing w:val="-10"/>
                <w:sz w:val="20"/>
                <w:szCs w:val="20"/>
              </w:rPr>
              <w:t>12,150</w:t>
            </w:r>
          </w:p>
        </w:tc>
        <w:tc>
          <w:tcPr>
            <w:tcW w:w="712" w:type="dxa"/>
            <w:vAlign w:val="center"/>
          </w:tcPr>
          <w:p w:rsidR="00DF2F67" w:rsidRPr="00D55DC6" w:rsidRDefault="00DF2F67" w:rsidP="00FA7F7B">
            <w:pPr>
              <w:adjustRightInd w:val="0"/>
              <w:snapToGrid w:val="0"/>
              <w:spacing w:line="300" w:lineRule="exact"/>
              <w:jc w:val="right"/>
              <w:rPr>
                <w:rFonts w:eastAsia="標楷體"/>
                <w:spacing w:val="-10"/>
                <w:sz w:val="20"/>
                <w:szCs w:val="20"/>
              </w:rPr>
            </w:pPr>
            <w:r w:rsidRPr="00D55DC6">
              <w:rPr>
                <w:rFonts w:eastAsia="標楷體"/>
                <w:spacing w:val="-10"/>
                <w:sz w:val="20"/>
                <w:szCs w:val="20"/>
              </w:rPr>
              <w:t>12,150</w:t>
            </w:r>
          </w:p>
        </w:tc>
        <w:tc>
          <w:tcPr>
            <w:tcW w:w="837" w:type="dxa"/>
            <w:tcBorders>
              <w:right w:val="single" w:sz="12" w:space="0" w:color="auto"/>
            </w:tcBorders>
            <w:vAlign w:val="center"/>
          </w:tcPr>
          <w:p w:rsidR="00DF2F67" w:rsidRPr="00D55DC6" w:rsidRDefault="00DF2F67" w:rsidP="00FA7F7B">
            <w:pPr>
              <w:adjustRightInd w:val="0"/>
              <w:snapToGrid w:val="0"/>
              <w:spacing w:line="300" w:lineRule="exact"/>
              <w:jc w:val="right"/>
              <w:rPr>
                <w:rFonts w:eastAsia="標楷體"/>
                <w:spacing w:val="-10"/>
                <w:sz w:val="20"/>
                <w:szCs w:val="20"/>
              </w:rPr>
            </w:pPr>
            <w:r w:rsidRPr="00D55DC6">
              <w:rPr>
                <w:rFonts w:eastAsia="標楷體"/>
                <w:spacing w:val="-10"/>
                <w:sz w:val="20"/>
                <w:szCs w:val="20"/>
              </w:rPr>
              <w:t>12,150</w:t>
            </w:r>
          </w:p>
        </w:tc>
      </w:tr>
      <w:tr w:rsidR="001D0350" w:rsidRPr="00D55DC6" w:rsidTr="00FA7F7B">
        <w:trPr>
          <w:jc w:val="center"/>
        </w:trPr>
        <w:tc>
          <w:tcPr>
            <w:tcW w:w="2307" w:type="dxa"/>
            <w:tcBorders>
              <w:left w:val="single" w:sz="12" w:space="0" w:color="auto"/>
              <w:bottom w:val="single" w:sz="12" w:space="0" w:color="auto"/>
            </w:tcBorders>
            <w:vAlign w:val="center"/>
          </w:tcPr>
          <w:p w:rsidR="00DF2F67" w:rsidRPr="00D55DC6" w:rsidRDefault="00DF2F67" w:rsidP="00FA7F7B">
            <w:pPr>
              <w:spacing w:line="300" w:lineRule="exact"/>
              <w:ind w:leftChars="103" w:left="247"/>
              <w:jc w:val="both"/>
              <w:rPr>
                <w:rFonts w:eastAsia="標楷體"/>
                <w:sz w:val="20"/>
                <w:szCs w:val="20"/>
              </w:rPr>
            </w:pPr>
            <w:r w:rsidRPr="00D55DC6">
              <w:rPr>
                <w:rFonts w:eastAsia="標楷體"/>
                <w:sz w:val="20"/>
                <w:szCs w:val="20"/>
              </w:rPr>
              <w:t>蚵殼島</w:t>
            </w:r>
            <w:r w:rsidRPr="00D55DC6">
              <w:rPr>
                <w:rFonts w:eastAsia="標楷體"/>
                <w:sz w:val="20"/>
                <w:szCs w:val="20"/>
              </w:rPr>
              <w:t>BOT</w:t>
            </w:r>
            <w:r w:rsidRPr="00D55DC6">
              <w:rPr>
                <w:rFonts w:eastAsia="標楷體"/>
                <w:sz w:val="20"/>
                <w:szCs w:val="20"/>
              </w:rPr>
              <w:t>案</w:t>
            </w:r>
          </w:p>
        </w:tc>
        <w:tc>
          <w:tcPr>
            <w:tcW w:w="722" w:type="dxa"/>
            <w:tcBorders>
              <w:bottom w:val="single" w:sz="12" w:space="0" w:color="auto"/>
            </w:tcBorders>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c>
          <w:tcPr>
            <w:tcW w:w="676" w:type="dxa"/>
            <w:tcBorders>
              <w:bottom w:val="single" w:sz="12" w:space="0" w:color="auto"/>
            </w:tcBorders>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c>
          <w:tcPr>
            <w:tcW w:w="726" w:type="dxa"/>
            <w:tcBorders>
              <w:bottom w:val="single" w:sz="12" w:space="0" w:color="auto"/>
            </w:tcBorders>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c>
          <w:tcPr>
            <w:tcW w:w="701" w:type="dxa"/>
            <w:tcBorders>
              <w:bottom w:val="single" w:sz="12" w:space="0" w:color="auto"/>
            </w:tcBorders>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c>
          <w:tcPr>
            <w:tcW w:w="702" w:type="dxa"/>
            <w:tcBorders>
              <w:bottom w:val="single" w:sz="12" w:space="0" w:color="auto"/>
            </w:tcBorders>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c>
          <w:tcPr>
            <w:tcW w:w="701" w:type="dxa"/>
            <w:tcBorders>
              <w:bottom w:val="single" w:sz="12" w:space="0" w:color="auto"/>
            </w:tcBorders>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c>
          <w:tcPr>
            <w:tcW w:w="701" w:type="dxa"/>
            <w:tcBorders>
              <w:bottom w:val="single" w:sz="12" w:space="0" w:color="auto"/>
            </w:tcBorders>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c>
          <w:tcPr>
            <w:tcW w:w="701" w:type="dxa"/>
            <w:tcBorders>
              <w:bottom w:val="single" w:sz="12" w:space="0" w:color="auto"/>
            </w:tcBorders>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c>
          <w:tcPr>
            <w:tcW w:w="712" w:type="dxa"/>
            <w:tcBorders>
              <w:bottom w:val="single" w:sz="12" w:space="0" w:color="auto"/>
            </w:tcBorders>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c>
          <w:tcPr>
            <w:tcW w:w="837" w:type="dxa"/>
            <w:tcBorders>
              <w:bottom w:val="single" w:sz="12" w:space="0" w:color="auto"/>
              <w:right w:val="single" w:sz="12" w:space="0" w:color="auto"/>
            </w:tcBorders>
            <w:vAlign w:val="center"/>
          </w:tcPr>
          <w:p w:rsidR="00DF2F67" w:rsidRPr="00D55DC6" w:rsidRDefault="00DF2F67" w:rsidP="00FA7F7B">
            <w:pPr>
              <w:adjustRightInd w:val="0"/>
              <w:snapToGrid w:val="0"/>
              <w:spacing w:line="300" w:lineRule="exact"/>
              <w:jc w:val="right"/>
              <w:rPr>
                <w:rFonts w:eastAsia="標楷體"/>
                <w:spacing w:val="-10"/>
                <w:sz w:val="20"/>
                <w:szCs w:val="20"/>
              </w:rPr>
            </w:pPr>
          </w:p>
        </w:tc>
      </w:tr>
      <w:tr w:rsidR="001D0350" w:rsidRPr="00D55DC6" w:rsidTr="00FA7F7B">
        <w:trPr>
          <w:jc w:val="center"/>
        </w:trPr>
        <w:tc>
          <w:tcPr>
            <w:tcW w:w="2307" w:type="dxa"/>
            <w:tcBorders>
              <w:left w:val="single" w:sz="12" w:space="0" w:color="auto"/>
              <w:bottom w:val="single" w:sz="12" w:space="0" w:color="auto"/>
            </w:tcBorders>
            <w:vAlign w:val="center"/>
          </w:tcPr>
          <w:p w:rsidR="00DF2F67" w:rsidRPr="00D55DC6" w:rsidRDefault="00DF2F67" w:rsidP="00FA7F7B">
            <w:pPr>
              <w:spacing w:line="260" w:lineRule="exact"/>
              <w:ind w:leftChars="103" w:left="247"/>
              <w:jc w:val="both"/>
              <w:rPr>
                <w:rFonts w:eastAsia="標楷體"/>
                <w:sz w:val="20"/>
                <w:szCs w:val="20"/>
              </w:rPr>
            </w:pPr>
            <w:r w:rsidRPr="00D55DC6">
              <w:rPr>
                <w:rFonts w:eastAsia="標楷體"/>
                <w:sz w:val="20"/>
                <w:szCs w:val="20"/>
              </w:rPr>
              <w:t>紀念品販售與其他收益規劃</w:t>
            </w:r>
          </w:p>
        </w:tc>
        <w:tc>
          <w:tcPr>
            <w:tcW w:w="722" w:type="dxa"/>
            <w:tcBorders>
              <w:bottom w:val="single" w:sz="12" w:space="0" w:color="auto"/>
            </w:tcBorders>
            <w:vAlign w:val="center"/>
          </w:tcPr>
          <w:p w:rsidR="00DF2F67" w:rsidRPr="00D55DC6" w:rsidRDefault="00DF2F67" w:rsidP="00FA7F7B">
            <w:pPr>
              <w:adjustRightInd w:val="0"/>
              <w:snapToGrid w:val="0"/>
              <w:spacing w:line="260" w:lineRule="exact"/>
              <w:jc w:val="right"/>
              <w:rPr>
                <w:rFonts w:eastAsia="標楷體"/>
                <w:spacing w:val="-10"/>
                <w:sz w:val="20"/>
                <w:szCs w:val="20"/>
              </w:rPr>
            </w:pPr>
          </w:p>
        </w:tc>
        <w:tc>
          <w:tcPr>
            <w:tcW w:w="676" w:type="dxa"/>
            <w:tcBorders>
              <w:bottom w:val="single" w:sz="12" w:space="0" w:color="auto"/>
            </w:tcBorders>
            <w:vAlign w:val="center"/>
          </w:tcPr>
          <w:p w:rsidR="00DF2F67" w:rsidRPr="00D55DC6" w:rsidRDefault="00DF2F67" w:rsidP="00FA7F7B">
            <w:pPr>
              <w:adjustRightInd w:val="0"/>
              <w:snapToGrid w:val="0"/>
              <w:spacing w:line="260" w:lineRule="exact"/>
              <w:jc w:val="right"/>
              <w:rPr>
                <w:rFonts w:eastAsia="標楷體"/>
                <w:spacing w:val="-10"/>
                <w:sz w:val="20"/>
                <w:szCs w:val="20"/>
              </w:rPr>
            </w:pPr>
          </w:p>
        </w:tc>
        <w:tc>
          <w:tcPr>
            <w:tcW w:w="726" w:type="dxa"/>
            <w:tcBorders>
              <w:bottom w:val="single" w:sz="12" w:space="0" w:color="auto"/>
            </w:tcBorders>
            <w:vAlign w:val="center"/>
          </w:tcPr>
          <w:p w:rsidR="00DF2F67" w:rsidRPr="00D55DC6" w:rsidRDefault="00DF2F67" w:rsidP="00FA7F7B">
            <w:pPr>
              <w:adjustRightInd w:val="0"/>
              <w:snapToGrid w:val="0"/>
              <w:spacing w:line="260" w:lineRule="exact"/>
              <w:jc w:val="right"/>
              <w:rPr>
                <w:rFonts w:eastAsia="標楷體"/>
                <w:spacing w:val="-10"/>
                <w:sz w:val="20"/>
                <w:szCs w:val="20"/>
              </w:rPr>
            </w:pPr>
            <w:r w:rsidRPr="00D55DC6">
              <w:rPr>
                <w:rFonts w:eastAsia="標楷體"/>
                <w:spacing w:val="-10"/>
                <w:sz w:val="20"/>
                <w:szCs w:val="20"/>
              </w:rPr>
              <w:t>168</w:t>
            </w:r>
          </w:p>
        </w:tc>
        <w:tc>
          <w:tcPr>
            <w:tcW w:w="701" w:type="dxa"/>
            <w:tcBorders>
              <w:bottom w:val="single" w:sz="12" w:space="0" w:color="auto"/>
            </w:tcBorders>
            <w:vAlign w:val="center"/>
          </w:tcPr>
          <w:p w:rsidR="00DF2F67" w:rsidRPr="00D55DC6" w:rsidRDefault="00DF2F67" w:rsidP="00FA7F7B">
            <w:pPr>
              <w:adjustRightInd w:val="0"/>
              <w:snapToGrid w:val="0"/>
              <w:spacing w:line="260" w:lineRule="exact"/>
              <w:jc w:val="right"/>
              <w:rPr>
                <w:rFonts w:eastAsia="標楷體"/>
                <w:spacing w:val="-10"/>
                <w:sz w:val="20"/>
                <w:szCs w:val="20"/>
              </w:rPr>
            </w:pPr>
            <w:r w:rsidRPr="00D55DC6">
              <w:rPr>
                <w:rFonts w:eastAsia="標楷體"/>
                <w:spacing w:val="-10"/>
                <w:sz w:val="20"/>
                <w:szCs w:val="20"/>
              </w:rPr>
              <w:t>168</w:t>
            </w:r>
          </w:p>
        </w:tc>
        <w:tc>
          <w:tcPr>
            <w:tcW w:w="702" w:type="dxa"/>
            <w:tcBorders>
              <w:bottom w:val="single" w:sz="12" w:space="0" w:color="auto"/>
            </w:tcBorders>
            <w:vAlign w:val="center"/>
          </w:tcPr>
          <w:p w:rsidR="00DF2F67" w:rsidRPr="00D55DC6" w:rsidRDefault="00DF2F67" w:rsidP="00FA7F7B">
            <w:pPr>
              <w:adjustRightInd w:val="0"/>
              <w:snapToGrid w:val="0"/>
              <w:spacing w:line="260" w:lineRule="exact"/>
              <w:jc w:val="right"/>
              <w:rPr>
                <w:rFonts w:eastAsia="標楷體"/>
                <w:spacing w:val="-10"/>
                <w:sz w:val="20"/>
                <w:szCs w:val="20"/>
              </w:rPr>
            </w:pPr>
            <w:r w:rsidRPr="00D55DC6">
              <w:rPr>
                <w:rFonts w:eastAsia="標楷體"/>
                <w:spacing w:val="-10"/>
                <w:sz w:val="20"/>
                <w:szCs w:val="20"/>
              </w:rPr>
              <w:t>168</w:t>
            </w:r>
          </w:p>
        </w:tc>
        <w:tc>
          <w:tcPr>
            <w:tcW w:w="701" w:type="dxa"/>
            <w:tcBorders>
              <w:bottom w:val="single" w:sz="12" w:space="0" w:color="auto"/>
            </w:tcBorders>
            <w:vAlign w:val="center"/>
          </w:tcPr>
          <w:p w:rsidR="00DF2F67" w:rsidRPr="00D55DC6" w:rsidRDefault="00DF2F67" w:rsidP="00FA7F7B">
            <w:pPr>
              <w:adjustRightInd w:val="0"/>
              <w:snapToGrid w:val="0"/>
              <w:spacing w:line="260" w:lineRule="exact"/>
              <w:jc w:val="right"/>
              <w:rPr>
                <w:rFonts w:eastAsia="標楷體"/>
                <w:spacing w:val="-10"/>
                <w:sz w:val="20"/>
                <w:szCs w:val="20"/>
              </w:rPr>
            </w:pPr>
            <w:r w:rsidRPr="00D55DC6">
              <w:rPr>
                <w:rFonts w:eastAsia="標楷體"/>
                <w:spacing w:val="-10"/>
                <w:sz w:val="20"/>
                <w:szCs w:val="20"/>
              </w:rPr>
              <w:t>168</w:t>
            </w:r>
          </w:p>
        </w:tc>
        <w:tc>
          <w:tcPr>
            <w:tcW w:w="701" w:type="dxa"/>
            <w:tcBorders>
              <w:bottom w:val="single" w:sz="12" w:space="0" w:color="auto"/>
            </w:tcBorders>
            <w:vAlign w:val="center"/>
          </w:tcPr>
          <w:p w:rsidR="00DF2F67" w:rsidRPr="00D55DC6" w:rsidRDefault="00DF2F67" w:rsidP="00FA7F7B">
            <w:pPr>
              <w:adjustRightInd w:val="0"/>
              <w:snapToGrid w:val="0"/>
              <w:spacing w:line="260" w:lineRule="exact"/>
              <w:jc w:val="right"/>
              <w:rPr>
                <w:rFonts w:eastAsia="標楷體"/>
                <w:spacing w:val="-10"/>
                <w:sz w:val="20"/>
                <w:szCs w:val="20"/>
              </w:rPr>
            </w:pPr>
            <w:r w:rsidRPr="00D55DC6">
              <w:rPr>
                <w:rFonts w:eastAsia="標楷體"/>
                <w:spacing w:val="-10"/>
                <w:sz w:val="20"/>
                <w:szCs w:val="20"/>
              </w:rPr>
              <w:t>168</w:t>
            </w:r>
          </w:p>
        </w:tc>
        <w:tc>
          <w:tcPr>
            <w:tcW w:w="701" w:type="dxa"/>
            <w:tcBorders>
              <w:bottom w:val="single" w:sz="12" w:space="0" w:color="auto"/>
            </w:tcBorders>
            <w:vAlign w:val="center"/>
          </w:tcPr>
          <w:p w:rsidR="00DF2F67" w:rsidRPr="00D55DC6" w:rsidRDefault="00DF2F67" w:rsidP="00FA7F7B">
            <w:pPr>
              <w:adjustRightInd w:val="0"/>
              <w:snapToGrid w:val="0"/>
              <w:spacing w:line="260" w:lineRule="exact"/>
              <w:jc w:val="right"/>
              <w:rPr>
                <w:rFonts w:eastAsia="標楷體"/>
                <w:spacing w:val="-10"/>
                <w:sz w:val="20"/>
                <w:szCs w:val="20"/>
              </w:rPr>
            </w:pPr>
            <w:r w:rsidRPr="00D55DC6">
              <w:rPr>
                <w:rFonts w:eastAsia="標楷體"/>
                <w:spacing w:val="-10"/>
                <w:sz w:val="20"/>
                <w:szCs w:val="20"/>
              </w:rPr>
              <w:t>168</w:t>
            </w:r>
          </w:p>
        </w:tc>
        <w:tc>
          <w:tcPr>
            <w:tcW w:w="712" w:type="dxa"/>
            <w:tcBorders>
              <w:bottom w:val="single" w:sz="12" w:space="0" w:color="auto"/>
            </w:tcBorders>
            <w:vAlign w:val="center"/>
          </w:tcPr>
          <w:p w:rsidR="00DF2F67" w:rsidRPr="00D55DC6" w:rsidRDefault="00DF2F67" w:rsidP="00FA7F7B">
            <w:pPr>
              <w:adjustRightInd w:val="0"/>
              <w:snapToGrid w:val="0"/>
              <w:spacing w:line="260" w:lineRule="exact"/>
              <w:jc w:val="right"/>
              <w:rPr>
                <w:rFonts w:eastAsia="標楷體"/>
                <w:spacing w:val="-10"/>
                <w:sz w:val="20"/>
                <w:szCs w:val="20"/>
              </w:rPr>
            </w:pPr>
            <w:r w:rsidRPr="00D55DC6">
              <w:rPr>
                <w:rFonts w:eastAsia="標楷體"/>
                <w:spacing w:val="-10"/>
                <w:sz w:val="20"/>
                <w:szCs w:val="20"/>
              </w:rPr>
              <w:t>168</w:t>
            </w:r>
          </w:p>
        </w:tc>
        <w:tc>
          <w:tcPr>
            <w:tcW w:w="837" w:type="dxa"/>
            <w:tcBorders>
              <w:bottom w:val="single" w:sz="12" w:space="0" w:color="auto"/>
              <w:right w:val="single" w:sz="12" w:space="0" w:color="auto"/>
            </w:tcBorders>
            <w:vAlign w:val="center"/>
          </w:tcPr>
          <w:p w:rsidR="00DF2F67" w:rsidRPr="00D55DC6" w:rsidRDefault="00DF2F67" w:rsidP="00FA7F7B">
            <w:pPr>
              <w:adjustRightInd w:val="0"/>
              <w:snapToGrid w:val="0"/>
              <w:spacing w:line="260" w:lineRule="exact"/>
              <w:jc w:val="right"/>
              <w:rPr>
                <w:rFonts w:eastAsia="標楷體"/>
                <w:spacing w:val="-10"/>
                <w:sz w:val="20"/>
                <w:szCs w:val="20"/>
              </w:rPr>
            </w:pPr>
            <w:r w:rsidRPr="00D55DC6">
              <w:rPr>
                <w:rFonts w:eastAsia="標楷體"/>
                <w:spacing w:val="-10"/>
                <w:sz w:val="20"/>
                <w:szCs w:val="20"/>
              </w:rPr>
              <w:t>168</w:t>
            </w:r>
          </w:p>
        </w:tc>
      </w:tr>
      <w:tr w:rsidR="00DF2F67" w:rsidRPr="00D55DC6" w:rsidTr="00FA7F7B">
        <w:trPr>
          <w:jc w:val="center"/>
        </w:trPr>
        <w:tc>
          <w:tcPr>
            <w:tcW w:w="2307" w:type="dxa"/>
            <w:tcBorders>
              <w:top w:val="single" w:sz="12" w:space="0" w:color="auto"/>
              <w:left w:val="single" w:sz="12" w:space="0" w:color="auto"/>
              <w:bottom w:val="single" w:sz="12" w:space="0" w:color="auto"/>
            </w:tcBorders>
            <w:vAlign w:val="center"/>
          </w:tcPr>
          <w:p w:rsidR="00DF2F67" w:rsidRPr="00D55DC6" w:rsidRDefault="00DF2F67" w:rsidP="00FA7F7B">
            <w:pPr>
              <w:adjustRightInd w:val="0"/>
              <w:snapToGrid w:val="0"/>
              <w:spacing w:line="360" w:lineRule="exact"/>
              <w:jc w:val="center"/>
              <w:rPr>
                <w:rFonts w:eastAsia="標楷體"/>
                <w:sz w:val="20"/>
                <w:szCs w:val="20"/>
              </w:rPr>
            </w:pPr>
            <w:r w:rsidRPr="00D55DC6">
              <w:rPr>
                <w:rFonts w:eastAsia="標楷體"/>
                <w:sz w:val="20"/>
                <w:szCs w:val="20"/>
              </w:rPr>
              <w:t>總計</w:t>
            </w:r>
          </w:p>
        </w:tc>
        <w:tc>
          <w:tcPr>
            <w:tcW w:w="722" w:type="dxa"/>
            <w:tcBorders>
              <w:top w:val="single" w:sz="12" w:space="0" w:color="auto"/>
              <w:bottom w:val="single" w:sz="12" w:space="0" w:color="auto"/>
            </w:tcBorders>
            <w:vAlign w:val="center"/>
          </w:tcPr>
          <w:p w:rsidR="00DF2F67" w:rsidRPr="00D55DC6" w:rsidRDefault="00DF2F67" w:rsidP="00FA7F7B">
            <w:pPr>
              <w:spacing w:line="360" w:lineRule="exact"/>
              <w:jc w:val="right"/>
              <w:rPr>
                <w:rFonts w:eastAsia="標楷體"/>
                <w:sz w:val="20"/>
                <w:szCs w:val="20"/>
              </w:rPr>
            </w:pPr>
            <w:r w:rsidRPr="00D55DC6">
              <w:rPr>
                <w:rFonts w:eastAsia="標楷體"/>
                <w:sz w:val="20"/>
                <w:szCs w:val="20"/>
              </w:rPr>
              <w:t xml:space="preserve">20,528 </w:t>
            </w:r>
          </w:p>
        </w:tc>
        <w:tc>
          <w:tcPr>
            <w:tcW w:w="676" w:type="dxa"/>
            <w:tcBorders>
              <w:top w:val="single" w:sz="12" w:space="0" w:color="auto"/>
              <w:bottom w:val="single" w:sz="12" w:space="0" w:color="auto"/>
            </w:tcBorders>
            <w:vAlign w:val="center"/>
          </w:tcPr>
          <w:p w:rsidR="00DF2F67" w:rsidRPr="00D55DC6" w:rsidRDefault="00DF2F67" w:rsidP="00FA7F7B">
            <w:pPr>
              <w:spacing w:line="360" w:lineRule="exact"/>
              <w:jc w:val="right"/>
              <w:rPr>
                <w:rFonts w:eastAsia="標楷體"/>
                <w:sz w:val="20"/>
                <w:szCs w:val="20"/>
              </w:rPr>
            </w:pPr>
            <w:r w:rsidRPr="00D55DC6">
              <w:rPr>
                <w:rFonts w:eastAsia="標楷體"/>
                <w:sz w:val="20"/>
                <w:szCs w:val="20"/>
              </w:rPr>
              <w:t xml:space="preserve">28,856 </w:t>
            </w:r>
          </w:p>
        </w:tc>
        <w:tc>
          <w:tcPr>
            <w:tcW w:w="726" w:type="dxa"/>
            <w:tcBorders>
              <w:top w:val="single" w:sz="12" w:space="0" w:color="auto"/>
              <w:bottom w:val="single" w:sz="12" w:space="0" w:color="auto"/>
            </w:tcBorders>
            <w:vAlign w:val="center"/>
          </w:tcPr>
          <w:p w:rsidR="00DF2F67" w:rsidRPr="00D55DC6" w:rsidRDefault="00DF2F67" w:rsidP="00FA7F7B">
            <w:pPr>
              <w:spacing w:line="360" w:lineRule="exact"/>
              <w:jc w:val="right"/>
              <w:rPr>
                <w:rFonts w:eastAsia="標楷體"/>
                <w:sz w:val="20"/>
                <w:szCs w:val="20"/>
              </w:rPr>
            </w:pPr>
            <w:r w:rsidRPr="00D55DC6">
              <w:rPr>
                <w:rFonts w:eastAsia="標楷體"/>
                <w:sz w:val="20"/>
                <w:szCs w:val="20"/>
              </w:rPr>
              <w:t xml:space="preserve">79,114 </w:t>
            </w:r>
          </w:p>
        </w:tc>
        <w:tc>
          <w:tcPr>
            <w:tcW w:w="701" w:type="dxa"/>
            <w:tcBorders>
              <w:top w:val="single" w:sz="12" w:space="0" w:color="auto"/>
              <w:bottom w:val="single" w:sz="12" w:space="0" w:color="auto"/>
            </w:tcBorders>
            <w:vAlign w:val="center"/>
          </w:tcPr>
          <w:p w:rsidR="00DF2F67" w:rsidRPr="00D55DC6" w:rsidRDefault="00DF2F67" w:rsidP="00FA7F7B">
            <w:pPr>
              <w:spacing w:line="360" w:lineRule="exact"/>
              <w:jc w:val="right"/>
              <w:rPr>
                <w:rFonts w:eastAsia="標楷體"/>
                <w:sz w:val="20"/>
                <w:szCs w:val="20"/>
              </w:rPr>
            </w:pPr>
            <w:r w:rsidRPr="00D55DC6">
              <w:rPr>
                <w:rFonts w:eastAsia="標楷體"/>
                <w:sz w:val="20"/>
                <w:szCs w:val="20"/>
              </w:rPr>
              <w:t xml:space="preserve">33,394 </w:t>
            </w:r>
          </w:p>
        </w:tc>
        <w:tc>
          <w:tcPr>
            <w:tcW w:w="702" w:type="dxa"/>
            <w:tcBorders>
              <w:top w:val="single" w:sz="12" w:space="0" w:color="auto"/>
              <w:bottom w:val="single" w:sz="12" w:space="0" w:color="auto"/>
            </w:tcBorders>
            <w:vAlign w:val="center"/>
          </w:tcPr>
          <w:p w:rsidR="00DF2F67" w:rsidRPr="00D55DC6" w:rsidRDefault="00DF2F67" w:rsidP="00FA7F7B">
            <w:pPr>
              <w:spacing w:line="360" w:lineRule="exact"/>
              <w:jc w:val="right"/>
              <w:rPr>
                <w:rFonts w:eastAsia="標楷體"/>
                <w:sz w:val="20"/>
                <w:szCs w:val="20"/>
              </w:rPr>
            </w:pPr>
            <w:r w:rsidRPr="00D55DC6">
              <w:rPr>
                <w:rFonts w:eastAsia="標楷體"/>
                <w:sz w:val="20"/>
                <w:szCs w:val="20"/>
              </w:rPr>
              <w:t xml:space="preserve">48,505 </w:t>
            </w:r>
          </w:p>
        </w:tc>
        <w:tc>
          <w:tcPr>
            <w:tcW w:w="701" w:type="dxa"/>
            <w:tcBorders>
              <w:top w:val="single" w:sz="12" w:space="0" w:color="auto"/>
              <w:bottom w:val="single" w:sz="12" w:space="0" w:color="auto"/>
            </w:tcBorders>
            <w:vAlign w:val="center"/>
          </w:tcPr>
          <w:p w:rsidR="00DF2F67" w:rsidRPr="00D55DC6" w:rsidRDefault="00DF2F67" w:rsidP="00FA7F7B">
            <w:pPr>
              <w:spacing w:line="360" w:lineRule="exact"/>
              <w:jc w:val="right"/>
              <w:rPr>
                <w:rFonts w:eastAsia="標楷體"/>
                <w:sz w:val="20"/>
                <w:szCs w:val="20"/>
              </w:rPr>
            </w:pPr>
            <w:r w:rsidRPr="00D55DC6">
              <w:rPr>
                <w:rFonts w:eastAsia="標楷體"/>
                <w:sz w:val="20"/>
                <w:szCs w:val="20"/>
              </w:rPr>
              <w:t xml:space="preserve">82,955 </w:t>
            </w:r>
          </w:p>
        </w:tc>
        <w:tc>
          <w:tcPr>
            <w:tcW w:w="701" w:type="dxa"/>
            <w:tcBorders>
              <w:top w:val="single" w:sz="12" w:space="0" w:color="auto"/>
              <w:bottom w:val="single" w:sz="12" w:space="0" w:color="auto"/>
            </w:tcBorders>
            <w:vAlign w:val="center"/>
          </w:tcPr>
          <w:p w:rsidR="00DF2F67" w:rsidRPr="00D55DC6" w:rsidRDefault="00DF2F67" w:rsidP="00FA7F7B">
            <w:pPr>
              <w:spacing w:line="360" w:lineRule="exact"/>
              <w:jc w:val="right"/>
              <w:rPr>
                <w:rFonts w:eastAsia="標楷體"/>
                <w:sz w:val="20"/>
                <w:szCs w:val="20"/>
              </w:rPr>
            </w:pPr>
            <w:r w:rsidRPr="00D55DC6">
              <w:rPr>
                <w:rFonts w:eastAsia="標楷體"/>
                <w:sz w:val="20"/>
                <w:szCs w:val="20"/>
              </w:rPr>
              <w:t xml:space="preserve">86,925 </w:t>
            </w:r>
          </w:p>
        </w:tc>
        <w:tc>
          <w:tcPr>
            <w:tcW w:w="701" w:type="dxa"/>
            <w:tcBorders>
              <w:top w:val="single" w:sz="12" w:space="0" w:color="auto"/>
              <w:bottom w:val="single" w:sz="12" w:space="0" w:color="auto"/>
            </w:tcBorders>
            <w:vAlign w:val="center"/>
          </w:tcPr>
          <w:p w:rsidR="00DF2F67" w:rsidRPr="00D55DC6" w:rsidRDefault="00DF2F67" w:rsidP="00FA7F7B">
            <w:pPr>
              <w:spacing w:line="360" w:lineRule="exact"/>
              <w:jc w:val="right"/>
              <w:rPr>
                <w:rFonts w:eastAsia="標楷體"/>
                <w:sz w:val="20"/>
                <w:szCs w:val="20"/>
              </w:rPr>
            </w:pPr>
            <w:r w:rsidRPr="00D55DC6">
              <w:rPr>
                <w:rFonts w:eastAsia="標楷體"/>
                <w:sz w:val="20"/>
                <w:szCs w:val="20"/>
              </w:rPr>
              <w:t xml:space="preserve">93,225 </w:t>
            </w:r>
          </w:p>
        </w:tc>
        <w:tc>
          <w:tcPr>
            <w:tcW w:w="712" w:type="dxa"/>
            <w:tcBorders>
              <w:top w:val="single" w:sz="12" w:space="0" w:color="auto"/>
              <w:bottom w:val="single" w:sz="12" w:space="0" w:color="auto"/>
            </w:tcBorders>
            <w:vAlign w:val="center"/>
          </w:tcPr>
          <w:p w:rsidR="00DF2F67" w:rsidRPr="00D55DC6" w:rsidRDefault="00DF2F67" w:rsidP="00FA7F7B">
            <w:pPr>
              <w:spacing w:line="360" w:lineRule="exact"/>
              <w:jc w:val="right"/>
              <w:rPr>
                <w:rFonts w:eastAsia="標楷體"/>
                <w:sz w:val="20"/>
                <w:szCs w:val="20"/>
              </w:rPr>
            </w:pPr>
            <w:r w:rsidRPr="00D55DC6">
              <w:rPr>
                <w:rFonts w:eastAsia="標楷體"/>
                <w:sz w:val="20"/>
                <w:szCs w:val="20"/>
              </w:rPr>
              <w:t xml:space="preserve">98,425 </w:t>
            </w:r>
          </w:p>
        </w:tc>
        <w:tc>
          <w:tcPr>
            <w:tcW w:w="837" w:type="dxa"/>
            <w:tcBorders>
              <w:top w:val="single" w:sz="12" w:space="0" w:color="auto"/>
              <w:bottom w:val="single" w:sz="12" w:space="0" w:color="auto"/>
              <w:right w:val="single" w:sz="12" w:space="0" w:color="auto"/>
            </w:tcBorders>
            <w:vAlign w:val="center"/>
          </w:tcPr>
          <w:p w:rsidR="00DF2F67" w:rsidRPr="00D55DC6" w:rsidRDefault="00DF2F67" w:rsidP="00FA7F7B">
            <w:pPr>
              <w:spacing w:line="360" w:lineRule="exact"/>
              <w:jc w:val="right"/>
              <w:rPr>
                <w:rFonts w:eastAsia="標楷體"/>
                <w:sz w:val="20"/>
                <w:szCs w:val="20"/>
              </w:rPr>
            </w:pPr>
            <w:r w:rsidRPr="00D55DC6">
              <w:rPr>
                <w:rFonts w:eastAsia="標楷體"/>
                <w:sz w:val="20"/>
                <w:szCs w:val="20"/>
              </w:rPr>
              <w:t xml:space="preserve">101,325 </w:t>
            </w:r>
          </w:p>
        </w:tc>
      </w:tr>
    </w:tbl>
    <w:p w:rsidR="00DF2F67" w:rsidRPr="00D55DC6" w:rsidRDefault="00DF2F67" w:rsidP="00DF2F67">
      <w:pPr>
        <w:rPr>
          <w:rFonts w:eastAsia="標楷體"/>
        </w:rPr>
      </w:pPr>
    </w:p>
    <w:p w:rsidR="00DF2F67" w:rsidRPr="00D55DC6" w:rsidRDefault="00DF2F67" w:rsidP="00DF2F67"/>
    <w:tbl>
      <w:tblPr>
        <w:tblW w:w="94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38"/>
        <w:gridCol w:w="719"/>
        <w:gridCol w:w="720"/>
        <w:gridCol w:w="719"/>
        <w:gridCol w:w="720"/>
        <w:gridCol w:w="719"/>
        <w:gridCol w:w="720"/>
        <w:gridCol w:w="719"/>
        <w:gridCol w:w="720"/>
        <w:gridCol w:w="719"/>
        <w:gridCol w:w="720"/>
      </w:tblGrid>
      <w:tr w:rsidR="001D0350" w:rsidRPr="00D55DC6" w:rsidTr="00FA7F7B">
        <w:trPr>
          <w:tblHeader/>
          <w:jc w:val="center"/>
        </w:trPr>
        <w:tc>
          <w:tcPr>
            <w:tcW w:w="2238" w:type="dxa"/>
            <w:tcBorders>
              <w:top w:val="single" w:sz="12" w:space="0" w:color="auto"/>
              <w:left w:val="single" w:sz="12" w:space="0" w:color="auto"/>
              <w:bottom w:val="single" w:sz="12" w:space="0" w:color="auto"/>
            </w:tcBorders>
            <w:shd w:val="clear" w:color="auto" w:fill="E6E6E6"/>
            <w:vAlign w:val="center"/>
          </w:tcPr>
          <w:p w:rsidR="00DF2F67" w:rsidRPr="00D55DC6" w:rsidRDefault="00DF2F67" w:rsidP="009D33BA">
            <w:pPr>
              <w:adjustRightInd w:val="0"/>
              <w:snapToGrid w:val="0"/>
              <w:spacing w:beforeLines="10" w:before="36" w:afterLines="10" w:after="36"/>
              <w:jc w:val="right"/>
              <w:rPr>
                <w:rFonts w:eastAsia="標楷體"/>
                <w:sz w:val="20"/>
                <w:szCs w:val="20"/>
              </w:rPr>
            </w:pPr>
            <w:r w:rsidRPr="00D55DC6">
              <w:rPr>
                <w:rFonts w:eastAsia="標楷體"/>
                <w:sz w:val="20"/>
                <w:szCs w:val="20"/>
              </w:rPr>
              <w:t>年度</w:t>
            </w:r>
          </w:p>
          <w:p w:rsidR="00DF2F67" w:rsidRPr="00D55DC6" w:rsidRDefault="00DF2F67" w:rsidP="009D33BA">
            <w:pPr>
              <w:adjustRightInd w:val="0"/>
              <w:snapToGrid w:val="0"/>
              <w:spacing w:beforeLines="10" w:before="36" w:afterLines="10" w:after="36"/>
              <w:rPr>
                <w:rFonts w:eastAsia="標楷體"/>
                <w:sz w:val="20"/>
                <w:szCs w:val="20"/>
              </w:rPr>
            </w:pPr>
            <w:r w:rsidRPr="00D55DC6">
              <w:rPr>
                <w:rFonts w:eastAsia="標楷體"/>
                <w:sz w:val="20"/>
                <w:szCs w:val="20"/>
              </w:rPr>
              <w:t>收益項目</w:t>
            </w:r>
          </w:p>
        </w:tc>
        <w:tc>
          <w:tcPr>
            <w:tcW w:w="719" w:type="dxa"/>
            <w:tcBorders>
              <w:top w:val="single" w:sz="12" w:space="0" w:color="auto"/>
              <w:bottom w:val="single" w:sz="12" w:space="0" w:color="auto"/>
            </w:tcBorders>
            <w:shd w:val="clear" w:color="auto" w:fill="E6E6E6"/>
            <w:vAlign w:val="center"/>
          </w:tcPr>
          <w:p w:rsidR="00DF2F67" w:rsidRPr="00D55DC6" w:rsidRDefault="00DF2F67" w:rsidP="009D33BA">
            <w:pPr>
              <w:adjustRightInd w:val="0"/>
              <w:snapToGrid w:val="0"/>
              <w:spacing w:beforeLines="10" w:before="36" w:afterLines="10" w:after="36"/>
              <w:jc w:val="center"/>
              <w:rPr>
                <w:rFonts w:eastAsia="標楷體"/>
                <w:spacing w:val="-10"/>
                <w:sz w:val="20"/>
                <w:szCs w:val="20"/>
              </w:rPr>
            </w:pPr>
            <w:r w:rsidRPr="00D55DC6">
              <w:rPr>
                <w:rFonts w:eastAsia="標楷體"/>
                <w:spacing w:val="-10"/>
                <w:sz w:val="20"/>
                <w:szCs w:val="20"/>
              </w:rPr>
              <w:t>113</w:t>
            </w:r>
            <w:r w:rsidRPr="00D55DC6">
              <w:rPr>
                <w:rFonts w:eastAsia="標楷體"/>
                <w:spacing w:val="-10"/>
                <w:sz w:val="20"/>
                <w:szCs w:val="20"/>
              </w:rPr>
              <w:t>年</w:t>
            </w:r>
          </w:p>
        </w:tc>
        <w:tc>
          <w:tcPr>
            <w:tcW w:w="720" w:type="dxa"/>
            <w:tcBorders>
              <w:top w:val="single" w:sz="12" w:space="0" w:color="auto"/>
              <w:bottom w:val="single" w:sz="12" w:space="0" w:color="auto"/>
            </w:tcBorders>
            <w:shd w:val="clear" w:color="auto" w:fill="E6E6E6"/>
            <w:vAlign w:val="center"/>
          </w:tcPr>
          <w:p w:rsidR="00DF2F67" w:rsidRPr="00D55DC6" w:rsidRDefault="00DF2F67" w:rsidP="009D33BA">
            <w:pPr>
              <w:adjustRightInd w:val="0"/>
              <w:snapToGrid w:val="0"/>
              <w:spacing w:beforeLines="10" w:before="36" w:afterLines="10" w:after="36"/>
              <w:jc w:val="center"/>
              <w:rPr>
                <w:rFonts w:eastAsia="標楷體"/>
                <w:spacing w:val="-10"/>
                <w:sz w:val="20"/>
                <w:szCs w:val="20"/>
              </w:rPr>
            </w:pPr>
            <w:r w:rsidRPr="00D55DC6">
              <w:rPr>
                <w:rFonts w:eastAsia="標楷體"/>
                <w:spacing w:val="-10"/>
                <w:sz w:val="20"/>
                <w:szCs w:val="20"/>
              </w:rPr>
              <w:t>114</w:t>
            </w:r>
            <w:r w:rsidRPr="00D55DC6">
              <w:rPr>
                <w:rFonts w:eastAsia="標楷體"/>
                <w:spacing w:val="-10"/>
                <w:sz w:val="20"/>
                <w:szCs w:val="20"/>
              </w:rPr>
              <w:t>年</w:t>
            </w:r>
          </w:p>
        </w:tc>
        <w:tc>
          <w:tcPr>
            <w:tcW w:w="719" w:type="dxa"/>
            <w:tcBorders>
              <w:top w:val="single" w:sz="12" w:space="0" w:color="auto"/>
              <w:bottom w:val="single" w:sz="12" w:space="0" w:color="auto"/>
            </w:tcBorders>
            <w:shd w:val="clear" w:color="auto" w:fill="E6E6E6"/>
            <w:vAlign w:val="center"/>
          </w:tcPr>
          <w:p w:rsidR="00DF2F67" w:rsidRPr="00D55DC6" w:rsidRDefault="00DF2F67" w:rsidP="009D33BA">
            <w:pPr>
              <w:adjustRightInd w:val="0"/>
              <w:snapToGrid w:val="0"/>
              <w:spacing w:beforeLines="10" w:before="36" w:afterLines="10" w:after="36"/>
              <w:jc w:val="center"/>
              <w:rPr>
                <w:rFonts w:eastAsia="標楷體"/>
                <w:spacing w:val="-10"/>
                <w:sz w:val="20"/>
                <w:szCs w:val="20"/>
              </w:rPr>
            </w:pPr>
            <w:r w:rsidRPr="00D55DC6">
              <w:rPr>
                <w:rFonts w:eastAsia="標楷體"/>
                <w:spacing w:val="-10"/>
                <w:sz w:val="20"/>
                <w:szCs w:val="20"/>
              </w:rPr>
              <w:t>115</w:t>
            </w:r>
            <w:r w:rsidRPr="00D55DC6">
              <w:rPr>
                <w:rFonts w:eastAsia="標楷體"/>
                <w:spacing w:val="-10"/>
                <w:sz w:val="20"/>
                <w:szCs w:val="20"/>
              </w:rPr>
              <w:t>年</w:t>
            </w:r>
          </w:p>
        </w:tc>
        <w:tc>
          <w:tcPr>
            <w:tcW w:w="720" w:type="dxa"/>
            <w:tcBorders>
              <w:top w:val="single" w:sz="12" w:space="0" w:color="auto"/>
              <w:bottom w:val="single" w:sz="12" w:space="0" w:color="auto"/>
            </w:tcBorders>
            <w:shd w:val="clear" w:color="auto" w:fill="E6E6E6"/>
            <w:vAlign w:val="center"/>
          </w:tcPr>
          <w:p w:rsidR="00DF2F67" w:rsidRPr="00D55DC6" w:rsidRDefault="00DF2F67" w:rsidP="009D33BA">
            <w:pPr>
              <w:adjustRightInd w:val="0"/>
              <w:snapToGrid w:val="0"/>
              <w:spacing w:beforeLines="10" w:before="36" w:afterLines="10" w:after="36"/>
              <w:jc w:val="center"/>
              <w:rPr>
                <w:rFonts w:eastAsia="標楷體"/>
                <w:spacing w:val="-10"/>
                <w:sz w:val="20"/>
                <w:szCs w:val="20"/>
              </w:rPr>
            </w:pPr>
            <w:r w:rsidRPr="00D55DC6">
              <w:rPr>
                <w:rFonts w:eastAsia="標楷體"/>
                <w:spacing w:val="-10"/>
                <w:sz w:val="20"/>
                <w:szCs w:val="20"/>
              </w:rPr>
              <w:t>116</w:t>
            </w:r>
            <w:r w:rsidRPr="00D55DC6">
              <w:rPr>
                <w:rFonts w:eastAsia="標楷體"/>
                <w:spacing w:val="-10"/>
                <w:sz w:val="20"/>
                <w:szCs w:val="20"/>
              </w:rPr>
              <w:t>年</w:t>
            </w:r>
          </w:p>
        </w:tc>
        <w:tc>
          <w:tcPr>
            <w:tcW w:w="719" w:type="dxa"/>
            <w:tcBorders>
              <w:top w:val="single" w:sz="12" w:space="0" w:color="auto"/>
              <w:bottom w:val="single" w:sz="12" w:space="0" w:color="auto"/>
            </w:tcBorders>
            <w:shd w:val="clear" w:color="auto" w:fill="E6E6E6"/>
            <w:vAlign w:val="center"/>
          </w:tcPr>
          <w:p w:rsidR="00DF2F67" w:rsidRPr="00D55DC6" w:rsidRDefault="00DF2F67" w:rsidP="009D33BA">
            <w:pPr>
              <w:adjustRightInd w:val="0"/>
              <w:snapToGrid w:val="0"/>
              <w:spacing w:beforeLines="10" w:before="36" w:afterLines="10" w:after="36"/>
              <w:jc w:val="center"/>
              <w:rPr>
                <w:rFonts w:eastAsia="標楷體"/>
                <w:spacing w:val="-10"/>
                <w:sz w:val="20"/>
                <w:szCs w:val="20"/>
              </w:rPr>
            </w:pPr>
            <w:r w:rsidRPr="00D55DC6">
              <w:rPr>
                <w:rFonts w:eastAsia="標楷體"/>
                <w:spacing w:val="-10"/>
                <w:sz w:val="20"/>
                <w:szCs w:val="20"/>
              </w:rPr>
              <w:t>117</w:t>
            </w:r>
            <w:r w:rsidRPr="00D55DC6">
              <w:rPr>
                <w:rFonts w:eastAsia="標楷體"/>
                <w:spacing w:val="-10"/>
                <w:sz w:val="20"/>
                <w:szCs w:val="20"/>
              </w:rPr>
              <w:t>年</w:t>
            </w:r>
          </w:p>
        </w:tc>
        <w:tc>
          <w:tcPr>
            <w:tcW w:w="720" w:type="dxa"/>
            <w:tcBorders>
              <w:top w:val="single" w:sz="12" w:space="0" w:color="auto"/>
              <w:bottom w:val="single" w:sz="12" w:space="0" w:color="auto"/>
            </w:tcBorders>
            <w:shd w:val="clear" w:color="auto" w:fill="E6E6E6"/>
            <w:vAlign w:val="center"/>
          </w:tcPr>
          <w:p w:rsidR="00DF2F67" w:rsidRPr="00D55DC6" w:rsidRDefault="00DF2F67" w:rsidP="009D33BA">
            <w:pPr>
              <w:adjustRightInd w:val="0"/>
              <w:snapToGrid w:val="0"/>
              <w:spacing w:beforeLines="10" w:before="36" w:afterLines="10" w:after="36"/>
              <w:jc w:val="center"/>
              <w:rPr>
                <w:rFonts w:eastAsia="標楷體"/>
                <w:spacing w:val="-10"/>
                <w:sz w:val="20"/>
                <w:szCs w:val="20"/>
              </w:rPr>
            </w:pPr>
            <w:r w:rsidRPr="00D55DC6">
              <w:rPr>
                <w:rFonts w:eastAsia="標楷體"/>
                <w:spacing w:val="-10"/>
                <w:sz w:val="20"/>
                <w:szCs w:val="20"/>
              </w:rPr>
              <w:t>118</w:t>
            </w:r>
            <w:r w:rsidRPr="00D55DC6">
              <w:rPr>
                <w:rFonts w:eastAsia="標楷體"/>
                <w:spacing w:val="-10"/>
                <w:sz w:val="20"/>
                <w:szCs w:val="20"/>
              </w:rPr>
              <w:t>年</w:t>
            </w:r>
          </w:p>
        </w:tc>
        <w:tc>
          <w:tcPr>
            <w:tcW w:w="719" w:type="dxa"/>
            <w:tcBorders>
              <w:top w:val="single" w:sz="12" w:space="0" w:color="auto"/>
              <w:bottom w:val="single" w:sz="12" w:space="0" w:color="auto"/>
            </w:tcBorders>
            <w:shd w:val="clear" w:color="auto" w:fill="E6E6E6"/>
            <w:vAlign w:val="center"/>
          </w:tcPr>
          <w:p w:rsidR="00DF2F67" w:rsidRPr="00D55DC6" w:rsidRDefault="00DF2F67" w:rsidP="009D33BA">
            <w:pPr>
              <w:adjustRightInd w:val="0"/>
              <w:snapToGrid w:val="0"/>
              <w:spacing w:beforeLines="10" w:before="36" w:afterLines="10" w:after="36"/>
              <w:jc w:val="center"/>
              <w:rPr>
                <w:rFonts w:eastAsia="標楷體"/>
                <w:spacing w:val="-10"/>
                <w:sz w:val="20"/>
                <w:szCs w:val="20"/>
              </w:rPr>
            </w:pPr>
            <w:r w:rsidRPr="00D55DC6">
              <w:rPr>
                <w:rFonts w:eastAsia="標楷體"/>
                <w:spacing w:val="-10"/>
                <w:sz w:val="20"/>
                <w:szCs w:val="20"/>
              </w:rPr>
              <w:t>119</w:t>
            </w:r>
            <w:r w:rsidRPr="00D55DC6">
              <w:rPr>
                <w:rFonts w:eastAsia="標楷體"/>
                <w:spacing w:val="-10"/>
                <w:sz w:val="20"/>
                <w:szCs w:val="20"/>
              </w:rPr>
              <w:t>年</w:t>
            </w:r>
          </w:p>
        </w:tc>
        <w:tc>
          <w:tcPr>
            <w:tcW w:w="720" w:type="dxa"/>
            <w:tcBorders>
              <w:top w:val="single" w:sz="12" w:space="0" w:color="auto"/>
              <w:bottom w:val="single" w:sz="12" w:space="0" w:color="auto"/>
            </w:tcBorders>
            <w:shd w:val="clear" w:color="auto" w:fill="E6E6E6"/>
            <w:vAlign w:val="center"/>
          </w:tcPr>
          <w:p w:rsidR="00DF2F67" w:rsidRPr="00D55DC6" w:rsidRDefault="00DF2F67" w:rsidP="009D33BA">
            <w:pPr>
              <w:adjustRightInd w:val="0"/>
              <w:snapToGrid w:val="0"/>
              <w:spacing w:beforeLines="10" w:before="36" w:afterLines="10" w:after="36"/>
              <w:jc w:val="center"/>
              <w:rPr>
                <w:rFonts w:eastAsia="標楷體"/>
                <w:spacing w:val="-10"/>
                <w:sz w:val="20"/>
                <w:szCs w:val="20"/>
              </w:rPr>
            </w:pPr>
            <w:r w:rsidRPr="00D55DC6">
              <w:rPr>
                <w:rFonts w:eastAsia="標楷體"/>
                <w:spacing w:val="-10"/>
                <w:sz w:val="20"/>
                <w:szCs w:val="20"/>
              </w:rPr>
              <w:t>120</w:t>
            </w:r>
            <w:r w:rsidRPr="00D55DC6">
              <w:rPr>
                <w:rFonts w:eastAsia="標楷體"/>
                <w:spacing w:val="-10"/>
                <w:sz w:val="20"/>
                <w:szCs w:val="20"/>
              </w:rPr>
              <w:t>年</w:t>
            </w:r>
          </w:p>
        </w:tc>
        <w:tc>
          <w:tcPr>
            <w:tcW w:w="719" w:type="dxa"/>
            <w:tcBorders>
              <w:top w:val="single" w:sz="12" w:space="0" w:color="auto"/>
              <w:bottom w:val="single" w:sz="12" w:space="0" w:color="auto"/>
            </w:tcBorders>
            <w:shd w:val="clear" w:color="auto" w:fill="E6E6E6"/>
            <w:vAlign w:val="center"/>
          </w:tcPr>
          <w:p w:rsidR="00DF2F67" w:rsidRPr="00D55DC6" w:rsidRDefault="00DF2F67" w:rsidP="009D33BA">
            <w:pPr>
              <w:adjustRightInd w:val="0"/>
              <w:snapToGrid w:val="0"/>
              <w:spacing w:beforeLines="10" w:before="36" w:afterLines="10" w:after="36"/>
              <w:jc w:val="center"/>
              <w:rPr>
                <w:rFonts w:eastAsia="標楷體"/>
                <w:spacing w:val="-10"/>
                <w:sz w:val="20"/>
                <w:szCs w:val="20"/>
              </w:rPr>
            </w:pPr>
            <w:r w:rsidRPr="00D55DC6">
              <w:rPr>
                <w:rFonts w:eastAsia="標楷體"/>
                <w:spacing w:val="-10"/>
                <w:sz w:val="20"/>
                <w:szCs w:val="20"/>
              </w:rPr>
              <w:t>121</w:t>
            </w:r>
            <w:r w:rsidRPr="00D55DC6">
              <w:rPr>
                <w:rFonts w:eastAsia="標楷體"/>
                <w:spacing w:val="-10"/>
                <w:sz w:val="20"/>
                <w:szCs w:val="20"/>
              </w:rPr>
              <w:t>年</w:t>
            </w:r>
          </w:p>
        </w:tc>
        <w:tc>
          <w:tcPr>
            <w:tcW w:w="720" w:type="dxa"/>
            <w:tcBorders>
              <w:top w:val="single" w:sz="12" w:space="0" w:color="auto"/>
              <w:bottom w:val="single" w:sz="12" w:space="0" w:color="auto"/>
              <w:right w:val="single" w:sz="12" w:space="0" w:color="auto"/>
            </w:tcBorders>
            <w:shd w:val="clear" w:color="auto" w:fill="E6E6E6"/>
            <w:vAlign w:val="center"/>
          </w:tcPr>
          <w:p w:rsidR="00DF2F67" w:rsidRPr="00D55DC6" w:rsidRDefault="00DF2F67" w:rsidP="009D33BA">
            <w:pPr>
              <w:adjustRightInd w:val="0"/>
              <w:snapToGrid w:val="0"/>
              <w:spacing w:beforeLines="10" w:before="36" w:afterLines="10" w:after="36"/>
              <w:jc w:val="center"/>
              <w:rPr>
                <w:rFonts w:eastAsia="標楷體"/>
                <w:spacing w:val="-10"/>
                <w:sz w:val="20"/>
                <w:szCs w:val="20"/>
              </w:rPr>
            </w:pPr>
            <w:r w:rsidRPr="00D55DC6">
              <w:rPr>
                <w:rFonts w:eastAsia="標楷體"/>
                <w:spacing w:val="-10"/>
                <w:sz w:val="20"/>
                <w:szCs w:val="20"/>
              </w:rPr>
              <w:t>122</w:t>
            </w:r>
            <w:r w:rsidRPr="00D55DC6">
              <w:rPr>
                <w:rFonts w:eastAsia="標楷體"/>
                <w:spacing w:val="-10"/>
                <w:sz w:val="20"/>
                <w:szCs w:val="20"/>
              </w:rPr>
              <w:t>年</w:t>
            </w:r>
          </w:p>
        </w:tc>
      </w:tr>
      <w:tr w:rsidR="001D0350" w:rsidRPr="00D55DC6" w:rsidTr="00FA7F7B">
        <w:trPr>
          <w:jc w:val="center"/>
        </w:trPr>
        <w:tc>
          <w:tcPr>
            <w:tcW w:w="2238" w:type="dxa"/>
            <w:tcBorders>
              <w:top w:val="single" w:sz="12" w:space="0" w:color="auto"/>
              <w:left w:val="single" w:sz="12" w:space="0" w:color="auto"/>
              <w:bottom w:val="single" w:sz="12" w:space="0" w:color="auto"/>
            </w:tcBorders>
            <w:vAlign w:val="center"/>
          </w:tcPr>
          <w:p w:rsidR="00DF2F67" w:rsidRPr="00D55DC6" w:rsidRDefault="00DF2F67" w:rsidP="009D33BA">
            <w:pPr>
              <w:adjustRightInd w:val="0"/>
              <w:snapToGrid w:val="0"/>
              <w:spacing w:beforeLines="10" w:before="36" w:afterLines="10" w:after="36" w:line="260" w:lineRule="exact"/>
              <w:jc w:val="both"/>
              <w:rPr>
                <w:rFonts w:eastAsia="標楷體"/>
                <w:sz w:val="20"/>
                <w:szCs w:val="20"/>
              </w:rPr>
            </w:pPr>
            <w:r w:rsidRPr="00D55DC6">
              <w:rPr>
                <w:rFonts w:eastAsia="標楷體"/>
                <w:sz w:val="20"/>
                <w:szCs w:val="20"/>
              </w:rPr>
              <w:t>一、既有出租據點收益</w:t>
            </w:r>
          </w:p>
        </w:tc>
        <w:tc>
          <w:tcPr>
            <w:tcW w:w="719" w:type="dxa"/>
            <w:tcBorders>
              <w:top w:val="single" w:sz="12" w:space="0" w:color="auto"/>
              <w:bottom w:val="single" w:sz="12" w:space="0" w:color="auto"/>
            </w:tcBorders>
            <w:vAlign w:val="center"/>
          </w:tcPr>
          <w:p w:rsidR="00DF2F67" w:rsidRPr="00D55DC6" w:rsidRDefault="00DF2F67" w:rsidP="00FA7F7B">
            <w:pPr>
              <w:widowControl/>
              <w:spacing w:line="260" w:lineRule="exact"/>
              <w:jc w:val="right"/>
              <w:rPr>
                <w:rFonts w:eastAsia="標楷體"/>
                <w:kern w:val="0"/>
                <w:sz w:val="18"/>
                <w:szCs w:val="18"/>
                <w:lang w:bidi="hi-IN"/>
              </w:rPr>
            </w:pPr>
            <w:r w:rsidRPr="00D55DC6">
              <w:rPr>
                <w:rFonts w:eastAsia="標楷體"/>
                <w:kern w:val="0"/>
                <w:sz w:val="18"/>
                <w:szCs w:val="18"/>
                <w:lang w:bidi="hi-IN"/>
              </w:rPr>
              <w:t>35,000</w:t>
            </w:r>
          </w:p>
        </w:tc>
        <w:tc>
          <w:tcPr>
            <w:tcW w:w="720" w:type="dxa"/>
            <w:tcBorders>
              <w:top w:val="single" w:sz="12" w:space="0" w:color="auto"/>
              <w:bottom w:val="single" w:sz="12" w:space="0" w:color="auto"/>
            </w:tcBorders>
            <w:vAlign w:val="center"/>
          </w:tcPr>
          <w:p w:rsidR="00DF2F67" w:rsidRPr="00D55DC6" w:rsidRDefault="00DF2F67" w:rsidP="00FA7F7B">
            <w:pPr>
              <w:widowControl/>
              <w:spacing w:line="260" w:lineRule="exact"/>
              <w:jc w:val="right"/>
              <w:rPr>
                <w:rFonts w:eastAsia="標楷體"/>
                <w:kern w:val="0"/>
                <w:sz w:val="18"/>
                <w:szCs w:val="18"/>
                <w:lang w:bidi="hi-IN"/>
              </w:rPr>
            </w:pPr>
            <w:r w:rsidRPr="00D55DC6">
              <w:rPr>
                <w:rFonts w:eastAsia="標楷體"/>
                <w:kern w:val="0"/>
                <w:sz w:val="18"/>
                <w:szCs w:val="18"/>
                <w:lang w:bidi="hi-IN"/>
              </w:rPr>
              <w:t>30,000</w:t>
            </w:r>
          </w:p>
        </w:tc>
        <w:tc>
          <w:tcPr>
            <w:tcW w:w="719" w:type="dxa"/>
            <w:tcBorders>
              <w:top w:val="single" w:sz="12" w:space="0" w:color="auto"/>
              <w:bottom w:val="single" w:sz="12" w:space="0" w:color="auto"/>
            </w:tcBorders>
            <w:vAlign w:val="center"/>
          </w:tcPr>
          <w:p w:rsidR="00DF2F67" w:rsidRPr="00D55DC6" w:rsidRDefault="00DF2F67" w:rsidP="00FA7F7B">
            <w:pPr>
              <w:widowControl/>
              <w:spacing w:line="260" w:lineRule="exact"/>
              <w:jc w:val="right"/>
              <w:rPr>
                <w:rFonts w:eastAsia="標楷體"/>
                <w:kern w:val="0"/>
                <w:sz w:val="18"/>
                <w:szCs w:val="18"/>
                <w:lang w:bidi="hi-IN"/>
              </w:rPr>
            </w:pPr>
            <w:r w:rsidRPr="00D55DC6">
              <w:rPr>
                <w:rFonts w:eastAsia="標楷體"/>
                <w:kern w:val="0"/>
                <w:sz w:val="18"/>
                <w:szCs w:val="18"/>
                <w:lang w:bidi="hi-IN"/>
              </w:rPr>
              <w:t>30,000</w:t>
            </w:r>
          </w:p>
        </w:tc>
        <w:tc>
          <w:tcPr>
            <w:tcW w:w="720" w:type="dxa"/>
            <w:tcBorders>
              <w:top w:val="single" w:sz="12" w:space="0" w:color="auto"/>
              <w:bottom w:val="single" w:sz="12" w:space="0" w:color="auto"/>
            </w:tcBorders>
            <w:vAlign w:val="center"/>
          </w:tcPr>
          <w:p w:rsidR="00DF2F67" w:rsidRPr="00D55DC6" w:rsidRDefault="00DF2F67" w:rsidP="00FA7F7B">
            <w:pPr>
              <w:widowControl/>
              <w:spacing w:line="260" w:lineRule="exact"/>
              <w:jc w:val="right"/>
              <w:rPr>
                <w:rFonts w:eastAsia="標楷體"/>
                <w:kern w:val="0"/>
                <w:sz w:val="18"/>
                <w:szCs w:val="18"/>
                <w:lang w:bidi="hi-IN"/>
              </w:rPr>
            </w:pPr>
            <w:r w:rsidRPr="00D55DC6">
              <w:rPr>
                <w:rFonts w:eastAsia="標楷體"/>
                <w:kern w:val="0"/>
                <w:sz w:val="18"/>
                <w:szCs w:val="18"/>
                <w:lang w:bidi="hi-IN"/>
              </w:rPr>
              <w:t>30,000</w:t>
            </w:r>
          </w:p>
        </w:tc>
        <w:tc>
          <w:tcPr>
            <w:tcW w:w="719" w:type="dxa"/>
            <w:tcBorders>
              <w:top w:val="single" w:sz="12" w:space="0" w:color="auto"/>
              <w:bottom w:val="single" w:sz="12" w:space="0" w:color="auto"/>
            </w:tcBorders>
            <w:vAlign w:val="center"/>
          </w:tcPr>
          <w:p w:rsidR="00DF2F67" w:rsidRPr="00D55DC6" w:rsidRDefault="00DF2F67" w:rsidP="00FA7F7B">
            <w:pPr>
              <w:widowControl/>
              <w:spacing w:line="260" w:lineRule="exact"/>
              <w:jc w:val="right"/>
              <w:rPr>
                <w:rFonts w:eastAsia="標楷體"/>
                <w:kern w:val="0"/>
                <w:sz w:val="18"/>
                <w:szCs w:val="18"/>
                <w:lang w:bidi="hi-IN"/>
              </w:rPr>
            </w:pPr>
            <w:r w:rsidRPr="00D55DC6">
              <w:rPr>
                <w:rFonts w:eastAsia="標楷體"/>
                <w:kern w:val="0"/>
                <w:sz w:val="18"/>
                <w:szCs w:val="18"/>
                <w:lang w:bidi="hi-IN"/>
              </w:rPr>
              <w:t>30,000</w:t>
            </w:r>
          </w:p>
        </w:tc>
        <w:tc>
          <w:tcPr>
            <w:tcW w:w="720" w:type="dxa"/>
            <w:tcBorders>
              <w:top w:val="single" w:sz="12" w:space="0" w:color="auto"/>
              <w:bottom w:val="single" w:sz="12" w:space="0" w:color="auto"/>
            </w:tcBorders>
            <w:vAlign w:val="center"/>
          </w:tcPr>
          <w:p w:rsidR="00DF2F67" w:rsidRPr="00D55DC6" w:rsidRDefault="00DF2F67" w:rsidP="00FA7F7B">
            <w:pPr>
              <w:widowControl/>
              <w:spacing w:line="260" w:lineRule="exact"/>
              <w:jc w:val="right"/>
              <w:rPr>
                <w:rFonts w:eastAsia="標楷體"/>
                <w:kern w:val="0"/>
                <w:sz w:val="18"/>
                <w:szCs w:val="18"/>
                <w:lang w:bidi="hi-IN"/>
              </w:rPr>
            </w:pPr>
            <w:r w:rsidRPr="00D55DC6">
              <w:rPr>
                <w:rFonts w:eastAsia="標楷體"/>
                <w:kern w:val="0"/>
                <w:sz w:val="18"/>
                <w:szCs w:val="18"/>
                <w:lang w:bidi="hi-IN"/>
              </w:rPr>
              <w:t>30,000</w:t>
            </w:r>
          </w:p>
        </w:tc>
        <w:tc>
          <w:tcPr>
            <w:tcW w:w="719" w:type="dxa"/>
            <w:tcBorders>
              <w:top w:val="single" w:sz="12" w:space="0" w:color="auto"/>
              <w:bottom w:val="single" w:sz="12" w:space="0" w:color="auto"/>
            </w:tcBorders>
            <w:vAlign w:val="center"/>
          </w:tcPr>
          <w:p w:rsidR="00DF2F67" w:rsidRPr="00D55DC6" w:rsidRDefault="00DF2F67" w:rsidP="00FA7F7B">
            <w:pPr>
              <w:widowControl/>
              <w:spacing w:line="260" w:lineRule="exact"/>
              <w:jc w:val="right"/>
              <w:rPr>
                <w:rFonts w:eastAsia="標楷體"/>
                <w:kern w:val="0"/>
                <w:sz w:val="18"/>
                <w:szCs w:val="18"/>
                <w:lang w:bidi="hi-IN"/>
              </w:rPr>
            </w:pPr>
            <w:r w:rsidRPr="00D55DC6">
              <w:rPr>
                <w:rFonts w:eastAsia="標楷體"/>
                <w:kern w:val="0"/>
                <w:sz w:val="18"/>
                <w:szCs w:val="18"/>
                <w:lang w:bidi="hi-IN"/>
              </w:rPr>
              <w:t>30,000</w:t>
            </w:r>
          </w:p>
        </w:tc>
        <w:tc>
          <w:tcPr>
            <w:tcW w:w="720" w:type="dxa"/>
            <w:tcBorders>
              <w:top w:val="single" w:sz="12" w:space="0" w:color="auto"/>
              <w:bottom w:val="single" w:sz="12" w:space="0" w:color="auto"/>
            </w:tcBorders>
            <w:vAlign w:val="center"/>
          </w:tcPr>
          <w:p w:rsidR="00DF2F67" w:rsidRPr="00D55DC6" w:rsidRDefault="00DF2F67" w:rsidP="00FA7F7B">
            <w:pPr>
              <w:widowControl/>
              <w:spacing w:line="260" w:lineRule="exact"/>
              <w:jc w:val="right"/>
              <w:rPr>
                <w:rFonts w:eastAsia="標楷體"/>
                <w:kern w:val="0"/>
                <w:sz w:val="18"/>
                <w:szCs w:val="18"/>
                <w:lang w:bidi="hi-IN"/>
              </w:rPr>
            </w:pPr>
            <w:r w:rsidRPr="00D55DC6">
              <w:rPr>
                <w:rFonts w:eastAsia="標楷體"/>
                <w:kern w:val="0"/>
                <w:sz w:val="18"/>
                <w:szCs w:val="18"/>
                <w:lang w:bidi="hi-IN"/>
              </w:rPr>
              <w:t>30,000</w:t>
            </w:r>
          </w:p>
        </w:tc>
        <w:tc>
          <w:tcPr>
            <w:tcW w:w="719" w:type="dxa"/>
            <w:tcBorders>
              <w:top w:val="single" w:sz="12" w:space="0" w:color="auto"/>
              <w:bottom w:val="single" w:sz="12" w:space="0" w:color="auto"/>
            </w:tcBorders>
            <w:vAlign w:val="center"/>
          </w:tcPr>
          <w:p w:rsidR="00DF2F67" w:rsidRPr="00D55DC6" w:rsidRDefault="00DF2F67" w:rsidP="00FA7F7B">
            <w:pPr>
              <w:widowControl/>
              <w:spacing w:line="260" w:lineRule="exact"/>
              <w:jc w:val="right"/>
              <w:rPr>
                <w:rFonts w:eastAsia="標楷體"/>
                <w:kern w:val="0"/>
                <w:sz w:val="18"/>
                <w:szCs w:val="18"/>
                <w:lang w:bidi="hi-IN"/>
              </w:rPr>
            </w:pPr>
            <w:r w:rsidRPr="00D55DC6">
              <w:rPr>
                <w:rFonts w:eastAsia="標楷體"/>
                <w:kern w:val="0"/>
                <w:sz w:val="18"/>
                <w:szCs w:val="18"/>
                <w:lang w:bidi="hi-IN"/>
              </w:rPr>
              <w:t>30,000</w:t>
            </w:r>
          </w:p>
        </w:tc>
        <w:tc>
          <w:tcPr>
            <w:tcW w:w="720" w:type="dxa"/>
            <w:tcBorders>
              <w:top w:val="single" w:sz="12" w:space="0" w:color="auto"/>
              <w:bottom w:val="single" w:sz="12" w:space="0" w:color="auto"/>
              <w:right w:val="single" w:sz="12" w:space="0" w:color="auto"/>
            </w:tcBorders>
            <w:vAlign w:val="center"/>
          </w:tcPr>
          <w:p w:rsidR="00DF2F67" w:rsidRPr="00D55DC6" w:rsidRDefault="00DF2F67" w:rsidP="00FA7F7B">
            <w:pPr>
              <w:widowControl/>
              <w:spacing w:line="260" w:lineRule="exact"/>
              <w:jc w:val="right"/>
              <w:rPr>
                <w:rFonts w:eastAsia="標楷體"/>
                <w:kern w:val="0"/>
                <w:sz w:val="18"/>
                <w:szCs w:val="18"/>
                <w:lang w:bidi="hi-IN"/>
              </w:rPr>
            </w:pPr>
            <w:r w:rsidRPr="00D55DC6">
              <w:rPr>
                <w:rFonts w:eastAsia="標楷體"/>
                <w:kern w:val="0"/>
                <w:sz w:val="18"/>
                <w:szCs w:val="18"/>
                <w:lang w:bidi="hi-IN"/>
              </w:rPr>
              <w:t>30,000</w:t>
            </w:r>
          </w:p>
        </w:tc>
      </w:tr>
      <w:tr w:rsidR="001D0350" w:rsidRPr="00D55DC6" w:rsidTr="00FA7F7B">
        <w:trPr>
          <w:jc w:val="center"/>
        </w:trPr>
        <w:tc>
          <w:tcPr>
            <w:tcW w:w="9433" w:type="dxa"/>
            <w:gridSpan w:val="11"/>
            <w:tcBorders>
              <w:top w:val="single" w:sz="12" w:space="0" w:color="auto"/>
              <w:left w:val="single" w:sz="12" w:space="0" w:color="auto"/>
              <w:right w:val="single" w:sz="12" w:space="0" w:color="auto"/>
            </w:tcBorders>
            <w:vAlign w:val="center"/>
          </w:tcPr>
          <w:p w:rsidR="00DF2F67" w:rsidRPr="00D55DC6" w:rsidRDefault="00DF2F67" w:rsidP="009D33BA">
            <w:pPr>
              <w:adjustRightInd w:val="0"/>
              <w:snapToGrid w:val="0"/>
              <w:spacing w:beforeLines="10" w:before="36" w:afterLines="10" w:after="36" w:line="260" w:lineRule="exact"/>
              <w:jc w:val="both"/>
              <w:rPr>
                <w:rFonts w:eastAsia="標楷體"/>
                <w:spacing w:val="-10"/>
                <w:sz w:val="20"/>
                <w:szCs w:val="20"/>
              </w:rPr>
            </w:pPr>
            <w:r w:rsidRPr="00D55DC6">
              <w:rPr>
                <w:rFonts w:eastAsia="標楷體"/>
                <w:sz w:val="20"/>
                <w:szCs w:val="20"/>
              </w:rPr>
              <w:t>二、規劃新增據點收益</w:t>
            </w:r>
          </w:p>
        </w:tc>
      </w:tr>
      <w:tr w:rsidR="001D0350" w:rsidRPr="00D55DC6" w:rsidTr="00FA7F7B">
        <w:trPr>
          <w:jc w:val="center"/>
        </w:trPr>
        <w:tc>
          <w:tcPr>
            <w:tcW w:w="2238" w:type="dxa"/>
            <w:tcBorders>
              <w:left w:val="single" w:sz="12" w:space="0" w:color="auto"/>
            </w:tcBorders>
          </w:tcPr>
          <w:p w:rsidR="00DF2F67" w:rsidRPr="00D55DC6" w:rsidRDefault="00DF2F67" w:rsidP="00FA7F7B">
            <w:pPr>
              <w:spacing w:line="260" w:lineRule="exact"/>
              <w:ind w:leftChars="104" w:left="250"/>
              <w:jc w:val="both"/>
              <w:rPr>
                <w:rFonts w:eastAsia="標楷體"/>
                <w:sz w:val="20"/>
                <w:szCs w:val="20"/>
              </w:rPr>
            </w:pPr>
            <w:r w:rsidRPr="00D55DC6">
              <w:rPr>
                <w:rFonts w:eastAsia="標楷體"/>
                <w:sz w:val="20"/>
                <w:szCs w:val="20"/>
              </w:rPr>
              <w:t>濱灣公園遊艇碼頭</w:t>
            </w:r>
          </w:p>
        </w:tc>
        <w:tc>
          <w:tcPr>
            <w:tcW w:w="719"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2,250 </w:t>
            </w:r>
          </w:p>
        </w:tc>
        <w:tc>
          <w:tcPr>
            <w:tcW w:w="720"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2,250 </w:t>
            </w:r>
          </w:p>
        </w:tc>
        <w:tc>
          <w:tcPr>
            <w:tcW w:w="719"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2,250 </w:t>
            </w:r>
          </w:p>
        </w:tc>
        <w:tc>
          <w:tcPr>
            <w:tcW w:w="720"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2,250 </w:t>
            </w:r>
          </w:p>
        </w:tc>
        <w:tc>
          <w:tcPr>
            <w:tcW w:w="719"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2,250 </w:t>
            </w:r>
          </w:p>
        </w:tc>
        <w:tc>
          <w:tcPr>
            <w:tcW w:w="720"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2,250 </w:t>
            </w:r>
          </w:p>
        </w:tc>
        <w:tc>
          <w:tcPr>
            <w:tcW w:w="719"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2,250 </w:t>
            </w:r>
          </w:p>
        </w:tc>
        <w:tc>
          <w:tcPr>
            <w:tcW w:w="720"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2,250 </w:t>
            </w:r>
          </w:p>
        </w:tc>
        <w:tc>
          <w:tcPr>
            <w:tcW w:w="719"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2,250 </w:t>
            </w:r>
          </w:p>
        </w:tc>
        <w:tc>
          <w:tcPr>
            <w:tcW w:w="720" w:type="dxa"/>
            <w:tcBorders>
              <w:right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2,250 </w:t>
            </w:r>
          </w:p>
        </w:tc>
      </w:tr>
      <w:tr w:rsidR="001D0350" w:rsidRPr="00D55DC6" w:rsidTr="00FA7F7B">
        <w:trPr>
          <w:jc w:val="center"/>
        </w:trPr>
        <w:tc>
          <w:tcPr>
            <w:tcW w:w="2238" w:type="dxa"/>
            <w:tcBorders>
              <w:left w:val="single" w:sz="12" w:space="0" w:color="auto"/>
            </w:tcBorders>
            <w:vAlign w:val="center"/>
          </w:tcPr>
          <w:p w:rsidR="00DF2F67" w:rsidRPr="00D55DC6" w:rsidRDefault="00DF2F67" w:rsidP="00FA7F7B">
            <w:pPr>
              <w:spacing w:line="260" w:lineRule="exact"/>
              <w:ind w:leftChars="104" w:left="250"/>
              <w:jc w:val="both"/>
              <w:rPr>
                <w:rFonts w:eastAsia="標楷體"/>
                <w:sz w:val="20"/>
                <w:szCs w:val="20"/>
              </w:rPr>
            </w:pPr>
            <w:r w:rsidRPr="00D55DC6">
              <w:rPr>
                <w:rFonts w:eastAsia="標楷體"/>
                <w:sz w:val="20"/>
                <w:szCs w:val="20"/>
              </w:rPr>
              <w:t>交通、遊湖船碼頭收費</w:t>
            </w:r>
          </w:p>
        </w:tc>
        <w:tc>
          <w:tcPr>
            <w:tcW w:w="719"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1,116 </w:t>
            </w:r>
          </w:p>
        </w:tc>
        <w:tc>
          <w:tcPr>
            <w:tcW w:w="720"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1,116 </w:t>
            </w:r>
          </w:p>
        </w:tc>
        <w:tc>
          <w:tcPr>
            <w:tcW w:w="719"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1,116 </w:t>
            </w:r>
          </w:p>
        </w:tc>
        <w:tc>
          <w:tcPr>
            <w:tcW w:w="720"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1,116 </w:t>
            </w:r>
          </w:p>
        </w:tc>
        <w:tc>
          <w:tcPr>
            <w:tcW w:w="719"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1,116 </w:t>
            </w:r>
          </w:p>
        </w:tc>
        <w:tc>
          <w:tcPr>
            <w:tcW w:w="720"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1,116 </w:t>
            </w:r>
          </w:p>
        </w:tc>
        <w:tc>
          <w:tcPr>
            <w:tcW w:w="719"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1,116 </w:t>
            </w:r>
          </w:p>
        </w:tc>
        <w:tc>
          <w:tcPr>
            <w:tcW w:w="720"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1,116 </w:t>
            </w:r>
          </w:p>
        </w:tc>
        <w:tc>
          <w:tcPr>
            <w:tcW w:w="719"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1,116 </w:t>
            </w:r>
          </w:p>
        </w:tc>
        <w:tc>
          <w:tcPr>
            <w:tcW w:w="720" w:type="dxa"/>
            <w:tcBorders>
              <w:right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1,116 </w:t>
            </w:r>
          </w:p>
        </w:tc>
      </w:tr>
      <w:tr w:rsidR="001D0350" w:rsidRPr="00D55DC6" w:rsidTr="00FA7F7B">
        <w:trPr>
          <w:jc w:val="center"/>
        </w:trPr>
        <w:tc>
          <w:tcPr>
            <w:tcW w:w="2238" w:type="dxa"/>
            <w:tcBorders>
              <w:left w:val="single" w:sz="12" w:space="0" w:color="auto"/>
            </w:tcBorders>
          </w:tcPr>
          <w:p w:rsidR="00DF2F67" w:rsidRPr="00D55DC6" w:rsidRDefault="00DF2F67" w:rsidP="00FA7F7B">
            <w:pPr>
              <w:spacing w:line="260" w:lineRule="exact"/>
              <w:ind w:leftChars="104" w:left="250"/>
              <w:jc w:val="both"/>
              <w:rPr>
                <w:rFonts w:eastAsia="標楷體"/>
                <w:sz w:val="20"/>
                <w:szCs w:val="20"/>
              </w:rPr>
            </w:pPr>
            <w:r w:rsidRPr="00D55DC6">
              <w:rPr>
                <w:rFonts w:eastAsia="標楷體"/>
                <w:sz w:val="20"/>
                <w:szCs w:val="20"/>
              </w:rPr>
              <w:t>堤岸商場賣店出租</w:t>
            </w:r>
          </w:p>
        </w:tc>
        <w:tc>
          <w:tcPr>
            <w:tcW w:w="719"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7,200 </w:t>
            </w:r>
          </w:p>
        </w:tc>
        <w:tc>
          <w:tcPr>
            <w:tcW w:w="720"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7,200 </w:t>
            </w:r>
          </w:p>
        </w:tc>
        <w:tc>
          <w:tcPr>
            <w:tcW w:w="719"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7,200 </w:t>
            </w:r>
          </w:p>
        </w:tc>
        <w:tc>
          <w:tcPr>
            <w:tcW w:w="720"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7,200 </w:t>
            </w:r>
          </w:p>
        </w:tc>
        <w:tc>
          <w:tcPr>
            <w:tcW w:w="719"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7,200 </w:t>
            </w:r>
          </w:p>
        </w:tc>
        <w:tc>
          <w:tcPr>
            <w:tcW w:w="720"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7,200 </w:t>
            </w:r>
          </w:p>
        </w:tc>
        <w:tc>
          <w:tcPr>
            <w:tcW w:w="719"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7,200 </w:t>
            </w:r>
          </w:p>
        </w:tc>
        <w:tc>
          <w:tcPr>
            <w:tcW w:w="720"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7,200 </w:t>
            </w:r>
          </w:p>
        </w:tc>
        <w:tc>
          <w:tcPr>
            <w:tcW w:w="719"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7,200 </w:t>
            </w:r>
          </w:p>
        </w:tc>
        <w:tc>
          <w:tcPr>
            <w:tcW w:w="720" w:type="dxa"/>
            <w:tcBorders>
              <w:right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7,200 </w:t>
            </w:r>
          </w:p>
        </w:tc>
      </w:tr>
      <w:tr w:rsidR="001D0350" w:rsidRPr="00D55DC6" w:rsidTr="00FA7F7B">
        <w:trPr>
          <w:jc w:val="center"/>
        </w:trPr>
        <w:tc>
          <w:tcPr>
            <w:tcW w:w="2238" w:type="dxa"/>
            <w:tcBorders>
              <w:left w:val="single" w:sz="12" w:space="0" w:color="auto"/>
            </w:tcBorders>
          </w:tcPr>
          <w:p w:rsidR="00DF2F67" w:rsidRPr="00D55DC6" w:rsidRDefault="00DF2F67" w:rsidP="00FA7F7B">
            <w:pPr>
              <w:spacing w:line="260" w:lineRule="exact"/>
              <w:ind w:leftChars="104" w:left="250"/>
              <w:jc w:val="both"/>
              <w:rPr>
                <w:rFonts w:eastAsia="標楷體"/>
                <w:sz w:val="20"/>
                <w:szCs w:val="20"/>
              </w:rPr>
            </w:pPr>
            <w:r w:rsidRPr="00D55DC6">
              <w:rPr>
                <w:rFonts w:eastAsia="標楷體"/>
                <w:sz w:val="20"/>
                <w:szCs w:val="20"/>
              </w:rPr>
              <w:t>濱灣公園停車清潔費</w:t>
            </w:r>
          </w:p>
        </w:tc>
        <w:tc>
          <w:tcPr>
            <w:tcW w:w="719"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645 </w:t>
            </w:r>
          </w:p>
        </w:tc>
        <w:tc>
          <w:tcPr>
            <w:tcW w:w="720"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645 </w:t>
            </w:r>
          </w:p>
        </w:tc>
        <w:tc>
          <w:tcPr>
            <w:tcW w:w="719"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645 </w:t>
            </w:r>
          </w:p>
        </w:tc>
        <w:tc>
          <w:tcPr>
            <w:tcW w:w="720"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645 </w:t>
            </w:r>
          </w:p>
        </w:tc>
        <w:tc>
          <w:tcPr>
            <w:tcW w:w="719"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645 </w:t>
            </w:r>
          </w:p>
        </w:tc>
        <w:tc>
          <w:tcPr>
            <w:tcW w:w="720"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645 </w:t>
            </w:r>
          </w:p>
        </w:tc>
        <w:tc>
          <w:tcPr>
            <w:tcW w:w="719"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645 </w:t>
            </w:r>
          </w:p>
        </w:tc>
        <w:tc>
          <w:tcPr>
            <w:tcW w:w="720"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645 </w:t>
            </w:r>
          </w:p>
        </w:tc>
        <w:tc>
          <w:tcPr>
            <w:tcW w:w="719" w:type="dxa"/>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645 </w:t>
            </w:r>
          </w:p>
        </w:tc>
        <w:tc>
          <w:tcPr>
            <w:tcW w:w="720" w:type="dxa"/>
            <w:tcBorders>
              <w:right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645 </w:t>
            </w:r>
          </w:p>
        </w:tc>
      </w:tr>
      <w:tr w:rsidR="001D0350" w:rsidRPr="00D55DC6" w:rsidTr="00FA7F7B">
        <w:trPr>
          <w:jc w:val="center"/>
        </w:trPr>
        <w:tc>
          <w:tcPr>
            <w:tcW w:w="2238" w:type="dxa"/>
            <w:tcBorders>
              <w:left w:val="single" w:sz="12" w:space="0" w:color="auto"/>
              <w:bottom w:val="single" w:sz="12" w:space="0" w:color="auto"/>
            </w:tcBorders>
          </w:tcPr>
          <w:p w:rsidR="00DF2F67" w:rsidRPr="00D55DC6" w:rsidRDefault="00DF2F67" w:rsidP="00FA7F7B">
            <w:pPr>
              <w:spacing w:line="260" w:lineRule="exact"/>
              <w:ind w:leftChars="104" w:left="250"/>
              <w:jc w:val="both"/>
              <w:rPr>
                <w:rFonts w:eastAsia="標楷體"/>
                <w:sz w:val="20"/>
                <w:szCs w:val="20"/>
              </w:rPr>
            </w:pPr>
            <w:r w:rsidRPr="00D55DC6">
              <w:rPr>
                <w:rFonts w:eastAsia="標楷體"/>
                <w:sz w:val="20"/>
                <w:szCs w:val="20"/>
              </w:rPr>
              <w:t>環灣周邊公共停車收費</w:t>
            </w:r>
          </w:p>
        </w:tc>
        <w:tc>
          <w:tcPr>
            <w:tcW w:w="719" w:type="dxa"/>
            <w:tcBorders>
              <w:bottom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300 </w:t>
            </w:r>
          </w:p>
        </w:tc>
        <w:tc>
          <w:tcPr>
            <w:tcW w:w="720" w:type="dxa"/>
            <w:tcBorders>
              <w:bottom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300 </w:t>
            </w:r>
          </w:p>
        </w:tc>
        <w:tc>
          <w:tcPr>
            <w:tcW w:w="719" w:type="dxa"/>
            <w:tcBorders>
              <w:bottom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300 </w:t>
            </w:r>
          </w:p>
        </w:tc>
        <w:tc>
          <w:tcPr>
            <w:tcW w:w="720" w:type="dxa"/>
            <w:tcBorders>
              <w:bottom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300 </w:t>
            </w:r>
          </w:p>
        </w:tc>
        <w:tc>
          <w:tcPr>
            <w:tcW w:w="719" w:type="dxa"/>
            <w:tcBorders>
              <w:bottom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300 </w:t>
            </w:r>
          </w:p>
        </w:tc>
        <w:tc>
          <w:tcPr>
            <w:tcW w:w="720" w:type="dxa"/>
            <w:tcBorders>
              <w:bottom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300 </w:t>
            </w:r>
          </w:p>
        </w:tc>
        <w:tc>
          <w:tcPr>
            <w:tcW w:w="719" w:type="dxa"/>
            <w:tcBorders>
              <w:bottom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300 </w:t>
            </w:r>
          </w:p>
        </w:tc>
        <w:tc>
          <w:tcPr>
            <w:tcW w:w="720" w:type="dxa"/>
            <w:tcBorders>
              <w:bottom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300 </w:t>
            </w:r>
          </w:p>
        </w:tc>
        <w:tc>
          <w:tcPr>
            <w:tcW w:w="719" w:type="dxa"/>
            <w:tcBorders>
              <w:bottom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300 </w:t>
            </w:r>
          </w:p>
        </w:tc>
        <w:tc>
          <w:tcPr>
            <w:tcW w:w="720" w:type="dxa"/>
            <w:tcBorders>
              <w:bottom w:val="single" w:sz="12" w:space="0" w:color="auto"/>
              <w:right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300 </w:t>
            </w:r>
          </w:p>
        </w:tc>
      </w:tr>
      <w:tr w:rsidR="001D0350" w:rsidRPr="00D55DC6" w:rsidTr="00FA7F7B">
        <w:trPr>
          <w:jc w:val="center"/>
        </w:trPr>
        <w:tc>
          <w:tcPr>
            <w:tcW w:w="2238" w:type="dxa"/>
            <w:tcBorders>
              <w:left w:val="single" w:sz="12" w:space="0" w:color="auto"/>
              <w:bottom w:val="single" w:sz="12" w:space="0" w:color="auto"/>
            </w:tcBorders>
          </w:tcPr>
          <w:p w:rsidR="00DF2F67" w:rsidRPr="00D55DC6" w:rsidRDefault="00DF2F67" w:rsidP="00FA7F7B">
            <w:pPr>
              <w:spacing w:line="260" w:lineRule="exact"/>
              <w:ind w:leftChars="104" w:left="250"/>
              <w:jc w:val="both"/>
              <w:rPr>
                <w:rFonts w:eastAsia="標楷體"/>
                <w:sz w:val="20"/>
                <w:szCs w:val="20"/>
              </w:rPr>
            </w:pPr>
            <w:r w:rsidRPr="00D55DC6">
              <w:rPr>
                <w:rFonts w:eastAsia="標楷體"/>
                <w:sz w:val="20"/>
                <w:szCs w:val="20"/>
              </w:rPr>
              <w:t>公園清潔費收益</w:t>
            </w:r>
          </w:p>
        </w:tc>
        <w:tc>
          <w:tcPr>
            <w:tcW w:w="719" w:type="dxa"/>
            <w:tcBorders>
              <w:bottom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3,000 </w:t>
            </w:r>
          </w:p>
        </w:tc>
        <w:tc>
          <w:tcPr>
            <w:tcW w:w="720" w:type="dxa"/>
            <w:tcBorders>
              <w:bottom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3,000 </w:t>
            </w:r>
          </w:p>
        </w:tc>
        <w:tc>
          <w:tcPr>
            <w:tcW w:w="719" w:type="dxa"/>
            <w:tcBorders>
              <w:bottom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3,000 </w:t>
            </w:r>
          </w:p>
        </w:tc>
        <w:tc>
          <w:tcPr>
            <w:tcW w:w="720" w:type="dxa"/>
            <w:tcBorders>
              <w:bottom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3,000 </w:t>
            </w:r>
          </w:p>
        </w:tc>
        <w:tc>
          <w:tcPr>
            <w:tcW w:w="719" w:type="dxa"/>
            <w:tcBorders>
              <w:bottom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3,000 </w:t>
            </w:r>
          </w:p>
        </w:tc>
        <w:tc>
          <w:tcPr>
            <w:tcW w:w="720" w:type="dxa"/>
            <w:tcBorders>
              <w:bottom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3,000 </w:t>
            </w:r>
          </w:p>
        </w:tc>
        <w:tc>
          <w:tcPr>
            <w:tcW w:w="719" w:type="dxa"/>
            <w:tcBorders>
              <w:bottom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3,000 </w:t>
            </w:r>
          </w:p>
        </w:tc>
        <w:tc>
          <w:tcPr>
            <w:tcW w:w="720" w:type="dxa"/>
            <w:tcBorders>
              <w:bottom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3,000 </w:t>
            </w:r>
          </w:p>
        </w:tc>
        <w:tc>
          <w:tcPr>
            <w:tcW w:w="719" w:type="dxa"/>
            <w:tcBorders>
              <w:bottom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3,000 </w:t>
            </w:r>
          </w:p>
        </w:tc>
        <w:tc>
          <w:tcPr>
            <w:tcW w:w="720" w:type="dxa"/>
            <w:tcBorders>
              <w:bottom w:val="single" w:sz="12" w:space="0" w:color="auto"/>
              <w:right w:val="single" w:sz="12" w:space="0" w:color="auto"/>
            </w:tcBorders>
            <w:vAlign w:val="center"/>
          </w:tcPr>
          <w:p w:rsidR="00DF2F67" w:rsidRPr="00D55DC6" w:rsidRDefault="00DF2F67" w:rsidP="00FA7F7B">
            <w:pPr>
              <w:spacing w:line="260" w:lineRule="exact"/>
              <w:jc w:val="right"/>
              <w:rPr>
                <w:rFonts w:eastAsia="標楷體"/>
                <w:bCs/>
                <w:sz w:val="20"/>
                <w:szCs w:val="20"/>
              </w:rPr>
            </w:pPr>
            <w:r w:rsidRPr="00D55DC6">
              <w:rPr>
                <w:rFonts w:eastAsia="標楷體"/>
                <w:bCs/>
                <w:sz w:val="20"/>
                <w:szCs w:val="20"/>
              </w:rPr>
              <w:t xml:space="preserve"> 3,000 </w:t>
            </w:r>
          </w:p>
        </w:tc>
      </w:tr>
      <w:tr w:rsidR="001D0350" w:rsidRPr="00D55DC6" w:rsidTr="00FA7F7B">
        <w:trPr>
          <w:jc w:val="center"/>
        </w:trPr>
        <w:tc>
          <w:tcPr>
            <w:tcW w:w="9433" w:type="dxa"/>
            <w:gridSpan w:val="11"/>
            <w:tcBorders>
              <w:top w:val="single" w:sz="12" w:space="0" w:color="auto"/>
              <w:left w:val="single" w:sz="12" w:space="0" w:color="auto"/>
              <w:right w:val="single" w:sz="12" w:space="0" w:color="auto"/>
            </w:tcBorders>
            <w:vAlign w:val="center"/>
          </w:tcPr>
          <w:p w:rsidR="00DF2F67" w:rsidRPr="00D55DC6" w:rsidRDefault="00DF2F67" w:rsidP="009D33BA">
            <w:pPr>
              <w:adjustRightInd w:val="0"/>
              <w:snapToGrid w:val="0"/>
              <w:spacing w:beforeLines="10" w:before="36" w:afterLines="10" w:after="36" w:line="260" w:lineRule="exact"/>
              <w:jc w:val="both"/>
              <w:rPr>
                <w:rFonts w:eastAsia="標楷體"/>
                <w:spacing w:val="-10"/>
                <w:sz w:val="20"/>
                <w:szCs w:val="20"/>
              </w:rPr>
            </w:pPr>
            <w:r w:rsidRPr="00D55DC6">
              <w:rPr>
                <w:rFonts w:eastAsia="標楷體"/>
                <w:sz w:val="20"/>
                <w:szCs w:val="20"/>
              </w:rPr>
              <w:t>三、規劃新增收益計畫</w:t>
            </w:r>
          </w:p>
        </w:tc>
      </w:tr>
      <w:tr w:rsidR="001D0350" w:rsidRPr="00D55DC6" w:rsidTr="00FA7F7B">
        <w:trPr>
          <w:jc w:val="center"/>
        </w:trPr>
        <w:tc>
          <w:tcPr>
            <w:tcW w:w="2238" w:type="dxa"/>
            <w:tcBorders>
              <w:left w:val="single" w:sz="12" w:space="0" w:color="auto"/>
            </w:tcBorders>
            <w:vAlign w:val="center"/>
          </w:tcPr>
          <w:p w:rsidR="00DF2F67" w:rsidRPr="00D55DC6" w:rsidRDefault="00DF2F67" w:rsidP="00FA7F7B">
            <w:pPr>
              <w:spacing w:line="260" w:lineRule="exact"/>
              <w:ind w:leftChars="103" w:left="247"/>
              <w:jc w:val="both"/>
              <w:rPr>
                <w:rFonts w:eastAsia="標楷體"/>
                <w:sz w:val="20"/>
                <w:szCs w:val="20"/>
              </w:rPr>
            </w:pPr>
            <w:r w:rsidRPr="00D55DC6">
              <w:rPr>
                <w:rFonts w:eastAsia="標楷體"/>
                <w:sz w:val="20"/>
                <w:szCs w:val="20"/>
              </w:rPr>
              <w:t>遊二區</w:t>
            </w:r>
            <w:r w:rsidRPr="00D55DC6">
              <w:rPr>
                <w:rFonts w:eastAsia="標楷體"/>
                <w:sz w:val="20"/>
                <w:szCs w:val="20"/>
              </w:rPr>
              <w:t>BOT</w:t>
            </w:r>
            <w:r w:rsidRPr="00D55DC6">
              <w:rPr>
                <w:rFonts w:eastAsia="標楷體"/>
                <w:sz w:val="20"/>
                <w:szCs w:val="20"/>
              </w:rPr>
              <w:t>計畫收益</w:t>
            </w:r>
          </w:p>
        </w:tc>
        <w:tc>
          <w:tcPr>
            <w:tcW w:w="719"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13,100</w:t>
            </w:r>
          </w:p>
        </w:tc>
        <w:tc>
          <w:tcPr>
            <w:tcW w:w="720"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13,100</w:t>
            </w:r>
          </w:p>
        </w:tc>
        <w:tc>
          <w:tcPr>
            <w:tcW w:w="719"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13,100</w:t>
            </w:r>
          </w:p>
        </w:tc>
        <w:tc>
          <w:tcPr>
            <w:tcW w:w="720"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13,100</w:t>
            </w:r>
          </w:p>
        </w:tc>
        <w:tc>
          <w:tcPr>
            <w:tcW w:w="719"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13,100</w:t>
            </w:r>
          </w:p>
        </w:tc>
        <w:tc>
          <w:tcPr>
            <w:tcW w:w="720"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13,100</w:t>
            </w:r>
          </w:p>
        </w:tc>
        <w:tc>
          <w:tcPr>
            <w:tcW w:w="719"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13,100</w:t>
            </w:r>
          </w:p>
        </w:tc>
        <w:tc>
          <w:tcPr>
            <w:tcW w:w="720"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13,100</w:t>
            </w:r>
          </w:p>
        </w:tc>
        <w:tc>
          <w:tcPr>
            <w:tcW w:w="719"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13,100</w:t>
            </w:r>
          </w:p>
        </w:tc>
        <w:tc>
          <w:tcPr>
            <w:tcW w:w="720" w:type="dxa"/>
            <w:tcBorders>
              <w:right w:val="single" w:sz="12" w:space="0" w:color="auto"/>
            </w:tcBorders>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13,100</w:t>
            </w:r>
          </w:p>
        </w:tc>
      </w:tr>
      <w:tr w:rsidR="001D0350" w:rsidRPr="00D55DC6" w:rsidTr="00FA7F7B">
        <w:trPr>
          <w:jc w:val="center"/>
        </w:trPr>
        <w:tc>
          <w:tcPr>
            <w:tcW w:w="2238" w:type="dxa"/>
            <w:tcBorders>
              <w:left w:val="single" w:sz="12" w:space="0" w:color="auto"/>
            </w:tcBorders>
            <w:vAlign w:val="center"/>
          </w:tcPr>
          <w:p w:rsidR="00DF2F67" w:rsidRPr="00D55DC6" w:rsidRDefault="00DF2F67" w:rsidP="00FA7F7B">
            <w:pPr>
              <w:spacing w:line="260" w:lineRule="exact"/>
              <w:ind w:leftChars="103" w:left="247"/>
              <w:jc w:val="both"/>
              <w:rPr>
                <w:rFonts w:eastAsia="標楷體"/>
                <w:sz w:val="20"/>
                <w:szCs w:val="20"/>
              </w:rPr>
            </w:pPr>
            <w:r w:rsidRPr="00D55DC6">
              <w:rPr>
                <w:rFonts w:eastAsia="標楷體"/>
                <w:sz w:val="20"/>
                <w:szCs w:val="20"/>
              </w:rPr>
              <w:t>遊三區</w:t>
            </w:r>
            <w:r w:rsidRPr="00D55DC6">
              <w:rPr>
                <w:rFonts w:eastAsia="標楷體"/>
                <w:sz w:val="20"/>
                <w:szCs w:val="20"/>
              </w:rPr>
              <w:t>BOT</w:t>
            </w:r>
            <w:r w:rsidRPr="00D55DC6">
              <w:rPr>
                <w:rFonts w:eastAsia="標楷體"/>
                <w:sz w:val="20"/>
                <w:szCs w:val="20"/>
              </w:rPr>
              <w:t>案</w:t>
            </w:r>
          </w:p>
        </w:tc>
        <w:tc>
          <w:tcPr>
            <w:tcW w:w="719"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16,000</w:t>
            </w:r>
          </w:p>
        </w:tc>
        <w:tc>
          <w:tcPr>
            <w:tcW w:w="720"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16,000</w:t>
            </w:r>
          </w:p>
        </w:tc>
        <w:tc>
          <w:tcPr>
            <w:tcW w:w="719"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16,000</w:t>
            </w:r>
          </w:p>
        </w:tc>
        <w:tc>
          <w:tcPr>
            <w:tcW w:w="720"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16,000</w:t>
            </w:r>
          </w:p>
        </w:tc>
        <w:tc>
          <w:tcPr>
            <w:tcW w:w="719"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16,000</w:t>
            </w:r>
          </w:p>
        </w:tc>
        <w:tc>
          <w:tcPr>
            <w:tcW w:w="720"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16,000</w:t>
            </w:r>
          </w:p>
        </w:tc>
        <w:tc>
          <w:tcPr>
            <w:tcW w:w="719"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16,000</w:t>
            </w:r>
          </w:p>
        </w:tc>
        <w:tc>
          <w:tcPr>
            <w:tcW w:w="720"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16,000</w:t>
            </w:r>
          </w:p>
        </w:tc>
        <w:tc>
          <w:tcPr>
            <w:tcW w:w="719"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16,000</w:t>
            </w:r>
          </w:p>
        </w:tc>
        <w:tc>
          <w:tcPr>
            <w:tcW w:w="720" w:type="dxa"/>
            <w:tcBorders>
              <w:right w:val="single" w:sz="12" w:space="0" w:color="auto"/>
            </w:tcBorders>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16,000</w:t>
            </w:r>
          </w:p>
        </w:tc>
      </w:tr>
      <w:tr w:rsidR="001D0350" w:rsidRPr="00D55DC6" w:rsidTr="00FA7F7B">
        <w:trPr>
          <w:jc w:val="center"/>
        </w:trPr>
        <w:tc>
          <w:tcPr>
            <w:tcW w:w="2238" w:type="dxa"/>
            <w:tcBorders>
              <w:left w:val="single" w:sz="12" w:space="0" w:color="auto"/>
            </w:tcBorders>
            <w:vAlign w:val="center"/>
          </w:tcPr>
          <w:p w:rsidR="00DF2F67" w:rsidRPr="00D55DC6" w:rsidRDefault="00DF2F67" w:rsidP="00FA7F7B">
            <w:pPr>
              <w:spacing w:line="260" w:lineRule="exact"/>
              <w:ind w:leftChars="103" w:left="247"/>
              <w:jc w:val="both"/>
              <w:rPr>
                <w:rFonts w:eastAsia="標楷體"/>
                <w:sz w:val="20"/>
                <w:szCs w:val="20"/>
              </w:rPr>
            </w:pPr>
            <w:r w:rsidRPr="00D55DC6">
              <w:rPr>
                <w:rFonts w:eastAsia="標楷體"/>
                <w:sz w:val="20"/>
                <w:szCs w:val="20"/>
              </w:rPr>
              <w:t>蚵殼島</w:t>
            </w:r>
            <w:r w:rsidRPr="00D55DC6">
              <w:rPr>
                <w:rFonts w:eastAsia="標楷體"/>
                <w:sz w:val="20"/>
                <w:szCs w:val="20"/>
              </w:rPr>
              <w:t>BOT</w:t>
            </w:r>
            <w:r w:rsidRPr="00D55DC6">
              <w:rPr>
                <w:rFonts w:eastAsia="標楷體"/>
                <w:sz w:val="20"/>
                <w:szCs w:val="20"/>
              </w:rPr>
              <w:t>案</w:t>
            </w:r>
          </w:p>
        </w:tc>
        <w:tc>
          <w:tcPr>
            <w:tcW w:w="719"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6,000</w:t>
            </w:r>
          </w:p>
        </w:tc>
        <w:tc>
          <w:tcPr>
            <w:tcW w:w="720"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p>
        </w:tc>
        <w:tc>
          <w:tcPr>
            <w:tcW w:w="719"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p>
        </w:tc>
        <w:tc>
          <w:tcPr>
            <w:tcW w:w="720"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2,400</w:t>
            </w:r>
          </w:p>
        </w:tc>
        <w:tc>
          <w:tcPr>
            <w:tcW w:w="719"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2,400</w:t>
            </w:r>
          </w:p>
        </w:tc>
        <w:tc>
          <w:tcPr>
            <w:tcW w:w="720"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2,400</w:t>
            </w:r>
          </w:p>
        </w:tc>
        <w:tc>
          <w:tcPr>
            <w:tcW w:w="719"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2,400</w:t>
            </w:r>
          </w:p>
        </w:tc>
        <w:tc>
          <w:tcPr>
            <w:tcW w:w="720"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2,400</w:t>
            </w:r>
          </w:p>
        </w:tc>
        <w:tc>
          <w:tcPr>
            <w:tcW w:w="719"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2,400</w:t>
            </w:r>
          </w:p>
        </w:tc>
        <w:tc>
          <w:tcPr>
            <w:tcW w:w="720" w:type="dxa"/>
            <w:tcBorders>
              <w:right w:val="single" w:sz="12" w:space="0" w:color="auto"/>
            </w:tcBorders>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2,400</w:t>
            </w:r>
          </w:p>
        </w:tc>
      </w:tr>
      <w:tr w:rsidR="001D0350" w:rsidRPr="00D55DC6" w:rsidTr="00FA7F7B">
        <w:trPr>
          <w:jc w:val="center"/>
        </w:trPr>
        <w:tc>
          <w:tcPr>
            <w:tcW w:w="2238" w:type="dxa"/>
            <w:tcBorders>
              <w:left w:val="single" w:sz="12" w:space="0" w:color="auto"/>
            </w:tcBorders>
            <w:vAlign w:val="center"/>
          </w:tcPr>
          <w:p w:rsidR="00DF2F67" w:rsidRPr="00D55DC6" w:rsidRDefault="00DF2F67" w:rsidP="00FA7F7B">
            <w:pPr>
              <w:spacing w:line="260" w:lineRule="exact"/>
              <w:ind w:leftChars="103" w:left="247"/>
              <w:jc w:val="both"/>
              <w:rPr>
                <w:rFonts w:eastAsia="標楷體"/>
                <w:sz w:val="20"/>
                <w:szCs w:val="20"/>
              </w:rPr>
            </w:pPr>
            <w:r w:rsidRPr="00D55DC6">
              <w:rPr>
                <w:rFonts w:eastAsia="標楷體"/>
                <w:sz w:val="20"/>
                <w:szCs w:val="20"/>
              </w:rPr>
              <w:t>小琉球海景休閒</w:t>
            </w:r>
            <w:r w:rsidR="00EA38C5" w:rsidRPr="00D55DC6">
              <w:rPr>
                <w:rFonts w:eastAsia="標楷體"/>
                <w:sz w:val="20"/>
                <w:szCs w:val="20"/>
              </w:rPr>
              <w:t>度假</w:t>
            </w:r>
            <w:r w:rsidRPr="00D55DC6">
              <w:rPr>
                <w:rFonts w:eastAsia="標楷體"/>
                <w:sz w:val="20"/>
                <w:szCs w:val="20"/>
              </w:rPr>
              <w:t>村</w:t>
            </w:r>
            <w:r w:rsidRPr="00D55DC6">
              <w:rPr>
                <w:rFonts w:eastAsia="標楷體"/>
                <w:sz w:val="20"/>
                <w:szCs w:val="20"/>
              </w:rPr>
              <w:t>BOT</w:t>
            </w:r>
            <w:r w:rsidRPr="00D55DC6">
              <w:rPr>
                <w:rFonts w:eastAsia="標楷體"/>
                <w:sz w:val="20"/>
                <w:szCs w:val="20"/>
              </w:rPr>
              <w:t>案</w:t>
            </w:r>
          </w:p>
        </w:tc>
        <w:tc>
          <w:tcPr>
            <w:tcW w:w="719"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12,150</w:t>
            </w:r>
          </w:p>
        </w:tc>
        <w:tc>
          <w:tcPr>
            <w:tcW w:w="720"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12,150</w:t>
            </w:r>
          </w:p>
        </w:tc>
        <w:tc>
          <w:tcPr>
            <w:tcW w:w="719"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12,150</w:t>
            </w:r>
          </w:p>
        </w:tc>
        <w:tc>
          <w:tcPr>
            <w:tcW w:w="720"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12,150</w:t>
            </w:r>
          </w:p>
        </w:tc>
        <w:tc>
          <w:tcPr>
            <w:tcW w:w="719"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12,150</w:t>
            </w:r>
          </w:p>
        </w:tc>
        <w:tc>
          <w:tcPr>
            <w:tcW w:w="720"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12,150</w:t>
            </w:r>
          </w:p>
        </w:tc>
        <w:tc>
          <w:tcPr>
            <w:tcW w:w="719"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12,150</w:t>
            </w:r>
          </w:p>
        </w:tc>
        <w:tc>
          <w:tcPr>
            <w:tcW w:w="720"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12,150</w:t>
            </w:r>
          </w:p>
        </w:tc>
        <w:tc>
          <w:tcPr>
            <w:tcW w:w="719" w:type="dxa"/>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12,150</w:t>
            </w:r>
          </w:p>
        </w:tc>
        <w:tc>
          <w:tcPr>
            <w:tcW w:w="720" w:type="dxa"/>
            <w:tcBorders>
              <w:right w:val="single" w:sz="12" w:space="0" w:color="auto"/>
            </w:tcBorders>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12,150</w:t>
            </w:r>
          </w:p>
        </w:tc>
      </w:tr>
      <w:tr w:rsidR="001D0350" w:rsidRPr="00D55DC6" w:rsidTr="00FA7F7B">
        <w:trPr>
          <w:jc w:val="center"/>
        </w:trPr>
        <w:tc>
          <w:tcPr>
            <w:tcW w:w="2238" w:type="dxa"/>
            <w:tcBorders>
              <w:left w:val="single" w:sz="12" w:space="0" w:color="auto"/>
              <w:bottom w:val="single" w:sz="12" w:space="0" w:color="auto"/>
            </w:tcBorders>
            <w:vAlign w:val="center"/>
          </w:tcPr>
          <w:p w:rsidR="00DF2F67" w:rsidRPr="00D55DC6" w:rsidRDefault="00DF2F67" w:rsidP="00FA7F7B">
            <w:pPr>
              <w:spacing w:line="260" w:lineRule="exact"/>
              <w:ind w:leftChars="103" w:left="247"/>
              <w:jc w:val="both"/>
              <w:rPr>
                <w:rFonts w:eastAsia="標楷體"/>
                <w:sz w:val="20"/>
                <w:szCs w:val="20"/>
              </w:rPr>
            </w:pPr>
            <w:r w:rsidRPr="00D55DC6">
              <w:rPr>
                <w:rFonts w:eastAsia="標楷體"/>
                <w:sz w:val="20"/>
                <w:szCs w:val="20"/>
              </w:rPr>
              <w:t>紀念品販售與其他收益規劃</w:t>
            </w:r>
          </w:p>
        </w:tc>
        <w:tc>
          <w:tcPr>
            <w:tcW w:w="719" w:type="dxa"/>
            <w:tcBorders>
              <w:bottom w:val="single" w:sz="12" w:space="0" w:color="auto"/>
            </w:tcBorders>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168</w:t>
            </w:r>
          </w:p>
        </w:tc>
        <w:tc>
          <w:tcPr>
            <w:tcW w:w="720" w:type="dxa"/>
            <w:tcBorders>
              <w:bottom w:val="single" w:sz="12" w:space="0" w:color="auto"/>
            </w:tcBorders>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168</w:t>
            </w:r>
          </w:p>
        </w:tc>
        <w:tc>
          <w:tcPr>
            <w:tcW w:w="719" w:type="dxa"/>
            <w:tcBorders>
              <w:bottom w:val="single" w:sz="12" w:space="0" w:color="auto"/>
            </w:tcBorders>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168</w:t>
            </w:r>
          </w:p>
        </w:tc>
        <w:tc>
          <w:tcPr>
            <w:tcW w:w="720" w:type="dxa"/>
            <w:tcBorders>
              <w:bottom w:val="single" w:sz="12" w:space="0" w:color="auto"/>
            </w:tcBorders>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168</w:t>
            </w:r>
          </w:p>
        </w:tc>
        <w:tc>
          <w:tcPr>
            <w:tcW w:w="719" w:type="dxa"/>
            <w:tcBorders>
              <w:bottom w:val="single" w:sz="12" w:space="0" w:color="auto"/>
            </w:tcBorders>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168</w:t>
            </w:r>
          </w:p>
        </w:tc>
        <w:tc>
          <w:tcPr>
            <w:tcW w:w="720" w:type="dxa"/>
            <w:tcBorders>
              <w:bottom w:val="single" w:sz="12" w:space="0" w:color="auto"/>
            </w:tcBorders>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168</w:t>
            </w:r>
          </w:p>
        </w:tc>
        <w:tc>
          <w:tcPr>
            <w:tcW w:w="719" w:type="dxa"/>
            <w:tcBorders>
              <w:bottom w:val="single" w:sz="12" w:space="0" w:color="auto"/>
            </w:tcBorders>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168</w:t>
            </w:r>
          </w:p>
        </w:tc>
        <w:tc>
          <w:tcPr>
            <w:tcW w:w="720" w:type="dxa"/>
            <w:tcBorders>
              <w:bottom w:val="single" w:sz="12" w:space="0" w:color="auto"/>
            </w:tcBorders>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168</w:t>
            </w:r>
          </w:p>
        </w:tc>
        <w:tc>
          <w:tcPr>
            <w:tcW w:w="719" w:type="dxa"/>
            <w:tcBorders>
              <w:bottom w:val="single" w:sz="12" w:space="0" w:color="auto"/>
            </w:tcBorders>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168</w:t>
            </w:r>
          </w:p>
        </w:tc>
        <w:tc>
          <w:tcPr>
            <w:tcW w:w="720" w:type="dxa"/>
            <w:tcBorders>
              <w:bottom w:val="single" w:sz="12" w:space="0" w:color="auto"/>
              <w:right w:val="single" w:sz="12" w:space="0" w:color="auto"/>
            </w:tcBorders>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pacing w:val="-10"/>
                <w:sz w:val="20"/>
                <w:szCs w:val="20"/>
              </w:rPr>
              <w:t>168</w:t>
            </w:r>
          </w:p>
        </w:tc>
      </w:tr>
      <w:tr w:rsidR="001D0350" w:rsidRPr="00D55DC6" w:rsidTr="00FA7F7B">
        <w:trPr>
          <w:jc w:val="center"/>
        </w:trPr>
        <w:tc>
          <w:tcPr>
            <w:tcW w:w="2238" w:type="dxa"/>
            <w:tcBorders>
              <w:top w:val="single" w:sz="12" w:space="0" w:color="auto"/>
              <w:left w:val="single" w:sz="12" w:space="0" w:color="auto"/>
              <w:bottom w:val="single" w:sz="12" w:space="0" w:color="auto"/>
            </w:tcBorders>
            <w:vAlign w:val="center"/>
          </w:tcPr>
          <w:p w:rsidR="00DF2F67" w:rsidRPr="00D55DC6" w:rsidRDefault="00DF2F67" w:rsidP="009D33BA">
            <w:pPr>
              <w:adjustRightInd w:val="0"/>
              <w:snapToGrid w:val="0"/>
              <w:spacing w:beforeLines="10" w:before="36" w:afterLines="10" w:after="36" w:line="260" w:lineRule="exact"/>
              <w:jc w:val="center"/>
              <w:rPr>
                <w:rFonts w:eastAsia="標楷體"/>
                <w:sz w:val="20"/>
                <w:szCs w:val="20"/>
              </w:rPr>
            </w:pPr>
            <w:r w:rsidRPr="00D55DC6">
              <w:rPr>
                <w:rFonts w:eastAsia="標楷體"/>
                <w:sz w:val="20"/>
                <w:szCs w:val="20"/>
              </w:rPr>
              <w:t>總計</w:t>
            </w:r>
          </w:p>
        </w:tc>
        <w:tc>
          <w:tcPr>
            <w:tcW w:w="719" w:type="dxa"/>
            <w:tcBorders>
              <w:top w:val="single" w:sz="12" w:space="0" w:color="auto"/>
              <w:bottom w:val="single" w:sz="12" w:space="0" w:color="auto"/>
            </w:tcBorders>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sz w:val="20"/>
                <w:szCs w:val="20"/>
              </w:rPr>
              <w:t>93,625</w:t>
            </w:r>
          </w:p>
        </w:tc>
        <w:tc>
          <w:tcPr>
            <w:tcW w:w="720" w:type="dxa"/>
            <w:tcBorders>
              <w:top w:val="single" w:sz="12" w:space="0" w:color="auto"/>
              <w:bottom w:val="single" w:sz="12" w:space="0" w:color="auto"/>
            </w:tcBorders>
            <w:vAlign w:val="center"/>
          </w:tcPr>
          <w:p w:rsidR="00DF2F67" w:rsidRPr="00D55DC6" w:rsidRDefault="00DF2F67" w:rsidP="00FA7F7B">
            <w:pPr>
              <w:spacing w:line="260" w:lineRule="exact"/>
              <w:rPr>
                <w:rFonts w:eastAsia="標楷體"/>
                <w:sz w:val="20"/>
                <w:szCs w:val="20"/>
              </w:rPr>
            </w:pPr>
            <w:r w:rsidRPr="00D55DC6">
              <w:rPr>
                <w:rFonts w:eastAsia="標楷體"/>
                <w:sz w:val="20"/>
                <w:szCs w:val="20"/>
              </w:rPr>
              <w:t xml:space="preserve">99,429 </w:t>
            </w:r>
          </w:p>
        </w:tc>
        <w:tc>
          <w:tcPr>
            <w:tcW w:w="719" w:type="dxa"/>
            <w:tcBorders>
              <w:top w:val="single" w:sz="12" w:space="0" w:color="auto"/>
              <w:bottom w:val="single" w:sz="12" w:space="0" w:color="auto"/>
            </w:tcBorders>
            <w:vAlign w:val="center"/>
          </w:tcPr>
          <w:p w:rsidR="00DF2F67" w:rsidRPr="00D55DC6" w:rsidRDefault="00DF2F67" w:rsidP="00FA7F7B">
            <w:pPr>
              <w:spacing w:line="260" w:lineRule="exact"/>
              <w:rPr>
                <w:rFonts w:eastAsia="標楷體"/>
                <w:sz w:val="20"/>
                <w:szCs w:val="20"/>
              </w:rPr>
            </w:pPr>
            <w:r w:rsidRPr="00D55DC6">
              <w:rPr>
                <w:rFonts w:eastAsia="標楷體"/>
                <w:sz w:val="20"/>
                <w:szCs w:val="20"/>
              </w:rPr>
              <w:t xml:space="preserve">99,429 </w:t>
            </w:r>
          </w:p>
        </w:tc>
        <w:tc>
          <w:tcPr>
            <w:tcW w:w="720" w:type="dxa"/>
            <w:tcBorders>
              <w:top w:val="single" w:sz="12" w:space="0" w:color="auto"/>
              <w:bottom w:val="single" w:sz="12" w:space="0" w:color="auto"/>
            </w:tcBorders>
            <w:vAlign w:val="center"/>
          </w:tcPr>
          <w:p w:rsidR="00DF2F67" w:rsidRPr="00D55DC6" w:rsidRDefault="00DF2F67" w:rsidP="00FA7F7B">
            <w:pPr>
              <w:spacing w:line="260" w:lineRule="exact"/>
              <w:rPr>
                <w:rFonts w:eastAsia="標楷體"/>
                <w:bCs/>
                <w:sz w:val="18"/>
                <w:szCs w:val="18"/>
              </w:rPr>
            </w:pPr>
            <w:r w:rsidRPr="00D55DC6">
              <w:rPr>
                <w:rFonts w:eastAsia="標楷體"/>
                <w:bCs/>
                <w:sz w:val="18"/>
                <w:szCs w:val="18"/>
              </w:rPr>
              <w:t xml:space="preserve">101,829 </w:t>
            </w:r>
          </w:p>
        </w:tc>
        <w:tc>
          <w:tcPr>
            <w:tcW w:w="719" w:type="dxa"/>
            <w:tcBorders>
              <w:top w:val="single" w:sz="12" w:space="0" w:color="auto"/>
              <w:bottom w:val="single" w:sz="12" w:space="0" w:color="auto"/>
            </w:tcBorders>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bCs/>
                <w:sz w:val="18"/>
                <w:szCs w:val="18"/>
              </w:rPr>
              <w:t>101,829</w:t>
            </w:r>
          </w:p>
        </w:tc>
        <w:tc>
          <w:tcPr>
            <w:tcW w:w="720" w:type="dxa"/>
            <w:tcBorders>
              <w:top w:val="single" w:sz="12" w:space="0" w:color="auto"/>
              <w:bottom w:val="single" w:sz="12" w:space="0" w:color="auto"/>
            </w:tcBorders>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bCs/>
                <w:sz w:val="18"/>
                <w:szCs w:val="18"/>
              </w:rPr>
              <w:t>101,829</w:t>
            </w:r>
          </w:p>
        </w:tc>
        <w:tc>
          <w:tcPr>
            <w:tcW w:w="719" w:type="dxa"/>
            <w:tcBorders>
              <w:top w:val="single" w:sz="12" w:space="0" w:color="auto"/>
              <w:bottom w:val="single" w:sz="12" w:space="0" w:color="auto"/>
            </w:tcBorders>
            <w:vAlign w:val="center"/>
          </w:tcPr>
          <w:p w:rsidR="00DF2F67" w:rsidRPr="00D55DC6" w:rsidRDefault="00DF2F67" w:rsidP="00FA7F7B">
            <w:pPr>
              <w:spacing w:line="260" w:lineRule="exact"/>
              <w:rPr>
                <w:rFonts w:eastAsia="標楷體"/>
                <w:bCs/>
                <w:sz w:val="18"/>
                <w:szCs w:val="18"/>
              </w:rPr>
            </w:pPr>
            <w:r w:rsidRPr="00D55DC6">
              <w:rPr>
                <w:rFonts w:eastAsia="標楷體"/>
                <w:bCs/>
                <w:sz w:val="18"/>
                <w:szCs w:val="18"/>
              </w:rPr>
              <w:t xml:space="preserve">101,829 </w:t>
            </w:r>
          </w:p>
        </w:tc>
        <w:tc>
          <w:tcPr>
            <w:tcW w:w="720" w:type="dxa"/>
            <w:tcBorders>
              <w:top w:val="single" w:sz="12" w:space="0" w:color="auto"/>
              <w:bottom w:val="single" w:sz="12" w:space="0" w:color="auto"/>
            </w:tcBorders>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bCs/>
                <w:sz w:val="18"/>
                <w:szCs w:val="18"/>
              </w:rPr>
              <w:t>101,829</w:t>
            </w:r>
          </w:p>
        </w:tc>
        <w:tc>
          <w:tcPr>
            <w:tcW w:w="719" w:type="dxa"/>
            <w:tcBorders>
              <w:top w:val="single" w:sz="12" w:space="0" w:color="auto"/>
              <w:bottom w:val="single" w:sz="12" w:space="0" w:color="auto"/>
            </w:tcBorders>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bCs/>
                <w:sz w:val="18"/>
                <w:szCs w:val="18"/>
              </w:rPr>
              <w:t>101,829</w:t>
            </w:r>
          </w:p>
        </w:tc>
        <w:tc>
          <w:tcPr>
            <w:tcW w:w="720" w:type="dxa"/>
            <w:tcBorders>
              <w:top w:val="single" w:sz="12" w:space="0" w:color="auto"/>
              <w:bottom w:val="single" w:sz="12" w:space="0" w:color="auto"/>
              <w:right w:val="single" w:sz="12" w:space="0" w:color="auto"/>
            </w:tcBorders>
            <w:vAlign w:val="center"/>
          </w:tcPr>
          <w:p w:rsidR="00DF2F67" w:rsidRPr="00D55DC6" w:rsidRDefault="00DF2F67" w:rsidP="009D33BA">
            <w:pPr>
              <w:adjustRightInd w:val="0"/>
              <w:snapToGrid w:val="0"/>
              <w:spacing w:beforeLines="10" w:before="36" w:afterLines="10" w:after="36" w:line="260" w:lineRule="exact"/>
              <w:jc w:val="right"/>
              <w:rPr>
                <w:rFonts w:eastAsia="標楷體"/>
                <w:spacing w:val="-10"/>
                <w:sz w:val="20"/>
                <w:szCs w:val="20"/>
              </w:rPr>
            </w:pPr>
            <w:r w:rsidRPr="00D55DC6">
              <w:rPr>
                <w:rFonts w:eastAsia="標楷體"/>
                <w:bCs/>
                <w:sz w:val="18"/>
                <w:szCs w:val="18"/>
              </w:rPr>
              <w:t>101,829</w:t>
            </w:r>
          </w:p>
        </w:tc>
      </w:tr>
    </w:tbl>
    <w:p w:rsidR="00DF2F67" w:rsidRPr="00D55DC6" w:rsidRDefault="00DF2F67" w:rsidP="00DF2F67">
      <w:pPr>
        <w:pStyle w:val="34"/>
        <w:adjustRightInd w:val="0"/>
        <w:snapToGrid w:val="0"/>
        <w:spacing w:line="460" w:lineRule="exact"/>
        <w:ind w:leftChars="0" w:left="0"/>
        <w:jc w:val="both"/>
        <w:rPr>
          <w:rFonts w:eastAsia="標楷體"/>
          <w:b/>
          <w:sz w:val="28"/>
          <w:szCs w:val="28"/>
        </w:rPr>
      </w:pPr>
    </w:p>
    <w:p w:rsidR="00DF2F67" w:rsidRPr="00D55DC6" w:rsidRDefault="00DF2F67" w:rsidP="004865C1">
      <w:pPr>
        <w:pStyle w:val="34"/>
        <w:numPr>
          <w:ilvl w:val="0"/>
          <w:numId w:val="157"/>
        </w:numPr>
        <w:adjustRightInd w:val="0"/>
        <w:snapToGrid w:val="0"/>
        <w:spacing w:line="460" w:lineRule="exact"/>
        <w:ind w:leftChars="0"/>
        <w:jc w:val="both"/>
        <w:rPr>
          <w:rFonts w:eastAsia="標楷體"/>
          <w:b/>
          <w:sz w:val="28"/>
          <w:szCs w:val="28"/>
        </w:rPr>
      </w:pPr>
      <w:r w:rsidRPr="00D55DC6">
        <w:rPr>
          <w:rFonts w:eastAsia="標楷體"/>
          <w:b/>
          <w:sz w:val="28"/>
          <w:szCs w:val="28"/>
        </w:rPr>
        <w:lastRenderedPageBreak/>
        <w:t>計畫自償率估算</w:t>
      </w:r>
    </w:p>
    <w:p w:rsidR="00DF2F67" w:rsidRPr="00D55DC6" w:rsidRDefault="00DF2F67" w:rsidP="00DF2F67">
      <w:pPr>
        <w:adjustRightInd w:val="0"/>
        <w:snapToGrid w:val="0"/>
        <w:spacing w:line="460" w:lineRule="exact"/>
        <w:ind w:leftChars="344" w:left="826" w:firstLineChars="5" w:firstLine="12"/>
        <w:jc w:val="both"/>
        <w:rPr>
          <w:rFonts w:eastAsia="標楷體"/>
          <w:sz w:val="28"/>
          <w:szCs w:val="28"/>
        </w:rPr>
      </w:pPr>
      <w:r w:rsidRPr="00D55DC6">
        <w:t xml:space="preserve">　　</w:t>
      </w:r>
      <w:r w:rsidRPr="00D55DC6">
        <w:rPr>
          <w:rFonts w:eastAsia="標楷體"/>
          <w:sz w:val="28"/>
          <w:szCs w:val="28"/>
        </w:rPr>
        <w:t>考量大鵬灣國家風景區之公共建設投入多屬環境景觀整備、步道、涼亭、公廁、廣場及服務中心等觀光或服務型公共設施，或入口意象、遊憩動線之修景、設施改善等不具或極低自償性的公共投資，故計畫財務效益評估參考國發會政策指導（同意將建設成果收益以</w:t>
      </w:r>
      <w:r w:rsidRPr="00D55DC6">
        <w:rPr>
          <w:rFonts w:eastAsia="標楷體"/>
          <w:sz w:val="28"/>
          <w:szCs w:val="28"/>
        </w:rPr>
        <w:t>20</w:t>
      </w:r>
      <w:r w:rsidRPr="00D55DC6">
        <w:rPr>
          <w:rFonts w:eastAsia="標楷體"/>
          <w:sz w:val="28"/>
          <w:szCs w:val="28"/>
        </w:rPr>
        <w:t>年期間推算觀光建設投資效益），將以計畫年期（民國</w:t>
      </w:r>
      <w:r w:rsidRPr="00D55DC6">
        <w:rPr>
          <w:rFonts w:eastAsia="標楷體"/>
          <w:sz w:val="28"/>
          <w:szCs w:val="28"/>
        </w:rPr>
        <w:t>113</w:t>
      </w:r>
      <w:r w:rsidRPr="00D55DC6">
        <w:rPr>
          <w:rFonts w:eastAsia="標楷體"/>
          <w:sz w:val="28"/>
          <w:szCs w:val="28"/>
        </w:rPr>
        <w:t>年）往後延伸</w:t>
      </w:r>
      <w:r w:rsidRPr="00D55DC6">
        <w:rPr>
          <w:rFonts w:eastAsia="標楷體"/>
          <w:sz w:val="28"/>
          <w:szCs w:val="28"/>
        </w:rPr>
        <w:t>10</w:t>
      </w:r>
      <w:r w:rsidRPr="00D55DC6">
        <w:rPr>
          <w:rFonts w:eastAsia="標楷體"/>
          <w:sz w:val="28"/>
          <w:szCs w:val="28"/>
        </w:rPr>
        <w:t>年（以充分反應計畫年期建置成果之投資效益）為評估期程，依建設中長期規劃，進行預估營收與維護經營費用推估，透過分年預估損益及現金流量（假設年度通膨平均</w:t>
      </w:r>
      <w:r w:rsidRPr="00D55DC6">
        <w:rPr>
          <w:rFonts w:eastAsia="標楷體"/>
          <w:sz w:val="28"/>
          <w:szCs w:val="28"/>
        </w:rPr>
        <w:t>2.0</w:t>
      </w:r>
      <w:r w:rsidRPr="00D55DC6">
        <w:rPr>
          <w:rFonts w:eastAsia="標楷體"/>
          <w:sz w:val="28"/>
          <w:szCs w:val="28"/>
        </w:rPr>
        <w:t>％），以</w:t>
      </w:r>
      <w:r w:rsidRPr="00D55DC6">
        <w:rPr>
          <w:rFonts w:eastAsia="標楷體"/>
          <w:sz w:val="28"/>
          <w:szCs w:val="28"/>
        </w:rPr>
        <w:t>2.88%</w:t>
      </w:r>
      <w:r w:rsidRPr="00D55DC6">
        <w:rPr>
          <w:rFonts w:eastAsia="標楷體"/>
          <w:sz w:val="28"/>
          <w:szCs w:val="28"/>
        </w:rPr>
        <w:t>做計畫折現率（參考中央銀行公告五大銀行基本利率家計風險）計算，未來</w:t>
      </w:r>
      <w:r w:rsidRPr="00D55DC6">
        <w:rPr>
          <w:rFonts w:eastAsia="標楷體"/>
          <w:sz w:val="28"/>
          <w:szCs w:val="28"/>
        </w:rPr>
        <w:t>20</w:t>
      </w:r>
      <w:r w:rsidRPr="00D55DC6">
        <w:rPr>
          <w:rFonts w:eastAsia="標楷體"/>
          <w:sz w:val="28"/>
          <w:szCs w:val="28"/>
        </w:rPr>
        <w:t>年期間大鵬灣國家風景區建設經營分年之現金流量，如表大鵬灣國家風景區分年投資、經營計畫自償率分析表內容所示，初步分析計算，計畫期間分年收支比表現會從目前每年</w:t>
      </w:r>
      <w:r w:rsidR="00AD11D4" w:rsidRPr="00D55DC6">
        <w:rPr>
          <w:rFonts w:eastAsia="標楷體"/>
          <w:sz w:val="28"/>
          <w:szCs w:val="28"/>
        </w:rPr>
        <w:t>9.08</w:t>
      </w:r>
      <w:r w:rsidRPr="00D55DC6">
        <w:rPr>
          <w:rFonts w:eastAsia="標楷體"/>
          <w:sz w:val="28"/>
          <w:szCs w:val="28"/>
        </w:rPr>
        <w:t>%</w:t>
      </w:r>
      <w:r w:rsidRPr="00D55DC6">
        <w:rPr>
          <w:rFonts w:eastAsia="標楷體"/>
          <w:sz w:val="28"/>
          <w:szCs w:val="28"/>
        </w:rPr>
        <w:t>左右成長至約</w:t>
      </w:r>
      <w:r w:rsidRPr="00D55DC6">
        <w:rPr>
          <w:rFonts w:eastAsia="標楷體"/>
          <w:sz w:val="28"/>
          <w:szCs w:val="28"/>
        </w:rPr>
        <w:t>40.73%</w:t>
      </w:r>
      <w:r w:rsidRPr="00D55DC6">
        <w:rPr>
          <w:rFonts w:eastAsia="標楷體"/>
          <w:sz w:val="28"/>
          <w:szCs w:val="28"/>
        </w:rPr>
        <w:t>；平均年度收支比率為</w:t>
      </w:r>
      <w:r w:rsidR="00BC28F3" w:rsidRPr="00D55DC6">
        <w:rPr>
          <w:rFonts w:eastAsia="標楷體"/>
          <w:sz w:val="28"/>
          <w:szCs w:val="28"/>
        </w:rPr>
        <w:t>2</w:t>
      </w:r>
      <w:r w:rsidR="00644577" w:rsidRPr="00D55DC6">
        <w:rPr>
          <w:rFonts w:eastAsia="標楷體"/>
          <w:sz w:val="28"/>
          <w:szCs w:val="28"/>
        </w:rPr>
        <w:t>9</w:t>
      </w:r>
      <w:r w:rsidRPr="00D55DC6">
        <w:rPr>
          <w:rFonts w:eastAsia="標楷體"/>
          <w:sz w:val="28"/>
          <w:szCs w:val="28"/>
        </w:rPr>
        <w:t>.</w:t>
      </w:r>
      <w:r w:rsidR="00644577" w:rsidRPr="00D55DC6">
        <w:rPr>
          <w:rFonts w:eastAsia="標楷體"/>
          <w:sz w:val="28"/>
          <w:szCs w:val="28"/>
        </w:rPr>
        <w:t>70</w:t>
      </w:r>
      <w:r w:rsidRPr="00D55DC6">
        <w:rPr>
          <w:rFonts w:eastAsia="標楷體"/>
          <w:sz w:val="28"/>
          <w:szCs w:val="28"/>
        </w:rPr>
        <w:t>%</w:t>
      </w:r>
      <w:r w:rsidRPr="00D55DC6">
        <w:rPr>
          <w:rFonts w:eastAsia="標楷體"/>
          <w:sz w:val="28"/>
          <w:szCs w:val="28"/>
        </w:rPr>
        <w:t>。</w:t>
      </w:r>
    </w:p>
    <w:p w:rsidR="00DF2F67" w:rsidRPr="00D55DC6" w:rsidRDefault="00DF2F67" w:rsidP="009D33BA">
      <w:pPr>
        <w:adjustRightInd w:val="0"/>
        <w:snapToGrid w:val="0"/>
        <w:spacing w:beforeLines="50" w:before="180" w:line="460" w:lineRule="exact"/>
        <w:ind w:leftChars="344" w:left="826" w:firstLineChars="5" w:firstLine="12"/>
        <w:jc w:val="both"/>
        <w:rPr>
          <w:rFonts w:eastAsia="標楷體"/>
        </w:rPr>
      </w:pPr>
      <w:r w:rsidRPr="00D55DC6">
        <w:rPr>
          <w:rFonts w:eastAsia="標楷體"/>
        </w:rPr>
        <w:t>表　自償率分析表（單位：千元）</w:t>
      </w:r>
    </w:p>
    <w:tbl>
      <w:tblPr>
        <w:tblW w:w="10093" w:type="dxa"/>
        <w:tblInd w:w="-256" w:type="dxa"/>
        <w:tblLayout w:type="fixed"/>
        <w:tblCellMar>
          <w:left w:w="28" w:type="dxa"/>
          <w:right w:w="28" w:type="dxa"/>
        </w:tblCellMar>
        <w:tblLook w:val="00A0" w:firstRow="1" w:lastRow="0" w:firstColumn="1" w:lastColumn="0" w:noHBand="0" w:noVBand="0"/>
      </w:tblPr>
      <w:tblGrid>
        <w:gridCol w:w="993"/>
        <w:gridCol w:w="878"/>
        <w:gridCol w:w="794"/>
        <w:gridCol w:w="12"/>
        <w:gridCol w:w="782"/>
        <w:gridCol w:w="795"/>
        <w:gridCol w:w="794"/>
        <w:gridCol w:w="795"/>
        <w:gridCol w:w="794"/>
        <w:gridCol w:w="795"/>
        <w:gridCol w:w="794"/>
        <w:gridCol w:w="795"/>
        <w:gridCol w:w="1072"/>
      </w:tblGrid>
      <w:tr w:rsidR="001D0350" w:rsidRPr="00D55DC6" w:rsidTr="001D7E08">
        <w:trPr>
          <w:gridAfter w:val="1"/>
          <w:wAfter w:w="1072" w:type="dxa"/>
          <w:trHeight w:val="345"/>
        </w:trPr>
        <w:tc>
          <w:tcPr>
            <w:tcW w:w="993" w:type="dxa"/>
            <w:tcBorders>
              <w:top w:val="single" w:sz="4" w:space="0" w:color="auto"/>
              <w:left w:val="single" w:sz="4" w:space="0" w:color="auto"/>
              <w:bottom w:val="double" w:sz="6" w:space="0" w:color="auto"/>
              <w:right w:val="single" w:sz="4" w:space="0" w:color="auto"/>
            </w:tcBorders>
            <w:shd w:val="clear" w:color="000000" w:fill="FFCC00"/>
            <w:noWrap/>
            <w:vAlign w:val="center"/>
          </w:tcPr>
          <w:p w:rsidR="001D7E08" w:rsidRPr="00D55DC6" w:rsidRDefault="001D7E08" w:rsidP="00FA7F7B">
            <w:pPr>
              <w:widowControl/>
              <w:adjustRightInd w:val="0"/>
              <w:snapToGrid w:val="0"/>
              <w:rPr>
                <w:rFonts w:eastAsia="標楷體"/>
                <w:kern w:val="0"/>
                <w:sz w:val="22"/>
                <w:szCs w:val="20"/>
              </w:rPr>
            </w:pPr>
            <w:r w:rsidRPr="00D55DC6">
              <w:rPr>
                <w:rFonts w:eastAsia="標楷體"/>
                <w:kern w:val="0"/>
                <w:sz w:val="22"/>
                <w:szCs w:val="20"/>
              </w:rPr>
              <w:t xml:space="preserve">　</w:t>
            </w:r>
          </w:p>
        </w:tc>
        <w:tc>
          <w:tcPr>
            <w:tcW w:w="878" w:type="dxa"/>
            <w:tcBorders>
              <w:top w:val="single" w:sz="4" w:space="0" w:color="auto"/>
              <w:left w:val="nil"/>
              <w:bottom w:val="double" w:sz="6" w:space="0" w:color="auto"/>
              <w:right w:val="single" w:sz="4" w:space="0" w:color="auto"/>
            </w:tcBorders>
            <w:shd w:val="clear" w:color="000000" w:fill="FFCC00"/>
            <w:noWrap/>
            <w:vAlign w:val="center"/>
          </w:tcPr>
          <w:p w:rsidR="001D7E08" w:rsidRPr="00D55DC6" w:rsidRDefault="001D7E08" w:rsidP="00FA7F7B">
            <w:pPr>
              <w:widowControl/>
              <w:adjustRightInd w:val="0"/>
              <w:snapToGrid w:val="0"/>
              <w:jc w:val="center"/>
              <w:rPr>
                <w:rFonts w:eastAsia="標楷體"/>
                <w:kern w:val="0"/>
                <w:sz w:val="22"/>
                <w:szCs w:val="20"/>
              </w:rPr>
            </w:pPr>
            <w:r w:rsidRPr="00D55DC6">
              <w:rPr>
                <w:rFonts w:eastAsia="標楷體"/>
                <w:kern w:val="0"/>
                <w:sz w:val="22"/>
                <w:szCs w:val="20"/>
              </w:rPr>
              <w:t>103</w:t>
            </w:r>
          </w:p>
        </w:tc>
        <w:tc>
          <w:tcPr>
            <w:tcW w:w="794" w:type="dxa"/>
            <w:tcBorders>
              <w:top w:val="single" w:sz="4" w:space="0" w:color="auto"/>
              <w:left w:val="nil"/>
              <w:bottom w:val="double" w:sz="6" w:space="0" w:color="auto"/>
              <w:right w:val="single" w:sz="4" w:space="0" w:color="auto"/>
            </w:tcBorders>
            <w:shd w:val="clear" w:color="000000" w:fill="FFCC00"/>
            <w:noWrap/>
            <w:vAlign w:val="center"/>
          </w:tcPr>
          <w:p w:rsidR="001D7E08" w:rsidRPr="00D55DC6" w:rsidRDefault="001D7E08" w:rsidP="00FA7F7B">
            <w:pPr>
              <w:widowControl/>
              <w:adjustRightInd w:val="0"/>
              <w:snapToGrid w:val="0"/>
              <w:jc w:val="center"/>
              <w:rPr>
                <w:rFonts w:eastAsia="標楷體"/>
                <w:kern w:val="0"/>
                <w:sz w:val="22"/>
                <w:szCs w:val="20"/>
              </w:rPr>
            </w:pPr>
            <w:r w:rsidRPr="00D55DC6">
              <w:rPr>
                <w:rFonts w:eastAsia="標楷體"/>
                <w:kern w:val="0"/>
                <w:sz w:val="22"/>
                <w:szCs w:val="20"/>
              </w:rPr>
              <w:t>104</w:t>
            </w:r>
          </w:p>
        </w:tc>
        <w:tc>
          <w:tcPr>
            <w:tcW w:w="794" w:type="dxa"/>
            <w:gridSpan w:val="2"/>
            <w:tcBorders>
              <w:top w:val="single" w:sz="4" w:space="0" w:color="auto"/>
              <w:left w:val="nil"/>
              <w:bottom w:val="double" w:sz="6" w:space="0" w:color="auto"/>
              <w:right w:val="single" w:sz="4" w:space="0" w:color="auto"/>
            </w:tcBorders>
            <w:shd w:val="clear" w:color="000000" w:fill="FFCC00"/>
            <w:noWrap/>
            <w:vAlign w:val="center"/>
          </w:tcPr>
          <w:p w:rsidR="001D7E08" w:rsidRPr="00D55DC6" w:rsidRDefault="001D7E08" w:rsidP="00FA7F7B">
            <w:pPr>
              <w:widowControl/>
              <w:adjustRightInd w:val="0"/>
              <w:snapToGrid w:val="0"/>
              <w:jc w:val="center"/>
              <w:rPr>
                <w:rFonts w:eastAsia="標楷體"/>
                <w:kern w:val="0"/>
                <w:sz w:val="22"/>
                <w:szCs w:val="20"/>
              </w:rPr>
            </w:pPr>
            <w:r w:rsidRPr="00D55DC6">
              <w:rPr>
                <w:rFonts w:eastAsia="標楷體"/>
                <w:kern w:val="0"/>
                <w:sz w:val="22"/>
                <w:szCs w:val="20"/>
              </w:rPr>
              <w:t>105</w:t>
            </w:r>
          </w:p>
        </w:tc>
        <w:tc>
          <w:tcPr>
            <w:tcW w:w="795" w:type="dxa"/>
            <w:tcBorders>
              <w:top w:val="single" w:sz="4" w:space="0" w:color="auto"/>
              <w:left w:val="nil"/>
              <w:bottom w:val="double" w:sz="6" w:space="0" w:color="auto"/>
              <w:right w:val="single" w:sz="4" w:space="0" w:color="auto"/>
            </w:tcBorders>
            <w:shd w:val="clear" w:color="000000" w:fill="FFCC00"/>
            <w:noWrap/>
            <w:vAlign w:val="center"/>
          </w:tcPr>
          <w:p w:rsidR="001D7E08" w:rsidRPr="00D55DC6" w:rsidRDefault="001D7E08" w:rsidP="00FA7F7B">
            <w:pPr>
              <w:widowControl/>
              <w:adjustRightInd w:val="0"/>
              <w:snapToGrid w:val="0"/>
              <w:jc w:val="center"/>
              <w:rPr>
                <w:rFonts w:eastAsia="標楷體"/>
                <w:kern w:val="0"/>
                <w:sz w:val="22"/>
                <w:szCs w:val="20"/>
              </w:rPr>
            </w:pPr>
            <w:r w:rsidRPr="00D55DC6">
              <w:rPr>
                <w:rFonts w:eastAsia="標楷體"/>
                <w:kern w:val="0"/>
                <w:sz w:val="22"/>
                <w:szCs w:val="20"/>
              </w:rPr>
              <w:t>106</w:t>
            </w:r>
          </w:p>
        </w:tc>
        <w:tc>
          <w:tcPr>
            <w:tcW w:w="794" w:type="dxa"/>
            <w:tcBorders>
              <w:top w:val="single" w:sz="4" w:space="0" w:color="auto"/>
              <w:left w:val="nil"/>
              <w:bottom w:val="double" w:sz="6" w:space="0" w:color="auto"/>
              <w:right w:val="single" w:sz="4" w:space="0" w:color="auto"/>
            </w:tcBorders>
            <w:shd w:val="clear" w:color="000000" w:fill="FFCC00"/>
            <w:noWrap/>
            <w:vAlign w:val="center"/>
          </w:tcPr>
          <w:p w:rsidR="001D7E08" w:rsidRPr="00D55DC6" w:rsidRDefault="001D7E08" w:rsidP="00FA7F7B">
            <w:pPr>
              <w:widowControl/>
              <w:adjustRightInd w:val="0"/>
              <w:snapToGrid w:val="0"/>
              <w:jc w:val="center"/>
              <w:rPr>
                <w:rFonts w:eastAsia="標楷體"/>
                <w:kern w:val="0"/>
                <w:sz w:val="22"/>
                <w:szCs w:val="20"/>
              </w:rPr>
            </w:pPr>
            <w:r w:rsidRPr="00D55DC6">
              <w:rPr>
                <w:rFonts w:eastAsia="標楷體"/>
                <w:kern w:val="0"/>
                <w:sz w:val="22"/>
                <w:szCs w:val="20"/>
              </w:rPr>
              <w:t>107</w:t>
            </w:r>
          </w:p>
        </w:tc>
        <w:tc>
          <w:tcPr>
            <w:tcW w:w="795" w:type="dxa"/>
            <w:tcBorders>
              <w:top w:val="single" w:sz="4" w:space="0" w:color="auto"/>
              <w:left w:val="nil"/>
              <w:bottom w:val="double" w:sz="6" w:space="0" w:color="auto"/>
              <w:right w:val="single" w:sz="4" w:space="0" w:color="auto"/>
            </w:tcBorders>
            <w:shd w:val="clear" w:color="000000" w:fill="FFCC00"/>
            <w:noWrap/>
            <w:vAlign w:val="center"/>
          </w:tcPr>
          <w:p w:rsidR="001D7E08" w:rsidRPr="00D55DC6" w:rsidRDefault="001D7E08" w:rsidP="00FA7F7B">
            <w:pPr>
              <w:widowControl/>
              <w:adjustRightInd w:val="0"/>
              <w:snapToGrid w:val="0"/>
              <w:jc w:val="center"/>
              <w:rPr>
                <w:rFonts w:eastAsia="標楷體"/>
                <w:kern w:val="0"/>
                <w:sz w:val="22"/>
                <w:szCs w:val="20"/>
              </w:rPr>
            </w:pPr>
            <w:r w:rsidRPr="00D55DC6">
              <w:rPr>
                <w:rFonts w:eastAsia="標楷體"/>
                <w:kern w:val="0"/>
                <w:sz w:val="22"/>
                <w:szCs w:val="20"/>
              </w:rPr>
              <w:t>108</w:t>
            </w:r>
          </w:p>
        </w:tc>
        <w:tc>
          <w:tcPr>
            <w:tcW w:w="794" w:type="dxa"/>
            <w:tcBorders>
              <w:top w:val="single" w:sz="4" w:space="0" w:color="auto"/>
              <w:left w:val="nil"/>
              <w:bottom w:val="double" w:sz="6" w:space="0" w:color="auto"/>
              <w:right w:val="single" w:sz="4" w:space="0" w:color="auto"/>
            </w:tcBorders>
            <w:shd w:val="clear" w:color="000000" w:fill="FFCC00"/>
            <w:noWrap/>
            <w:vAlign w:val="center"/>
          </w:tcPr>
          <w:p w:rsidR="001D7E08" w:rsidRPr="00D55DC6" w:rsidRDefault="001D7E08" w:rsidP="00FA7F7B">
            <w:pPr>
              <w:widowControl/>
              <w:adjustRightInd w:val="0"/>
              <w:snapToGrid w:val="0"/>
              <w:jc w:val="center"/>
              <w:rPr>
                <w:rFonts w:eastAsia="標楷體"/>
                <w:kern w:val="0"/>
                <w:sz w:val="22"/>
                <w:szCs w:val="20"/>
              </w:rPr>
            </w:pPr>
            <w:r w:rsidRPr="00D55DC6">
              <w:rPr>
                <w:rFonts w:eastAsia="標楷體"/>
                <w:kern w:val="0"/>
                <w:sz w:val="22"/>
                <w:szCs w:val="20"/>
              </w:rPr>
              <w:t>109</w:t>
            </w:r>
          </w:p>
        </w:tc>
        <w:tc>
          <w:tcPr>
            <w:tcW w:w="795" w:type="dxa"/>
            <w:tcBorders>
              <w:top w:val="single" w:sz="4" w:space="0" w:color="auto"/>
              <w:left w:val="nil"/>
              <w:bottom w:val="double" w:sz="6" w:space="0" w:color="auto"/>
              <w:right w:val="single" w:sz="4" w:space="0" w:color="auto"/>
            </w:tcBorders>
            <w:shd w:val="clear" w:color="000000" w:fill="FFCC00"/>
            <w:noWrap/>
            <w:vAlign w:val="center"/>
          </w:tcPr>
          <w:p w:rsidR="001D7E08" w:rsidRPr="00D55DC6" w:rsidRDefault="001D7E08" w:rsidP="00FA7F7B">
            <w:pPr>
              <w:widowControl/>
              <w:adjustRightInd w:val="0"/>
              <w:snapToGrid w:val="0"/>
              <w:jc w:val="center"/>
              <w:rPr>
                <w:rFonts w:eastAsia="標楷體"/>
                <w:kern w:val="0"/>
                <w:sz w:val="22"/>
                <w:szCs w:val="20"/>
              </w:rPr>
            </w:pPr>
            <w:r w:rsidRPr="00D55DC6">
              <w:rPr>
                <w:rFonts w:eastAsia="標楷體"/>
                <w:kern w:val="0"/>
                <w:sz w:val="22"/>
                <w:szCs w:val="20"/>
              </w:rPr>
              <w:t>110</w:t>
            </w:r>
          </w:p>
        </w:tc>
        <w:tc>
          <w:tcPr>
            <w:tcW w:w="794" w:type="dxa"/>
            <w:tcBorders>
              <w:top w:val="single" w:sz="4" w:space="0" w:color="auto"/>
              <w:left w:val="nil"/>
              <w:bottom w:val="double" w:sz="6" w:space="0" w:color="auto"/>
              <w:right w:val="single" w:sz="4" w:space="0" w:color="auto"/>
            </w:tcBorders>
            <w:shd w:val="clear" w:color="000000" w:fill="FFCC00"/>
            <w:noWrap/>
            <w:vAlign w:val="center"/>
          </w:tcPr>
          <w:p w:rsidR="001D7E08" w:rsidRPr="00D55DC6" w:rsidRDefault="001D7E08" w:rsidP="00FA7F7B">
            <w:pPr>
              <w:widowControl/>
              <w:adjustRightInd w:val="0"/>
              <w:snapToGrid w:val="0"/>
              <w:jc w:val="center"/>
              <w:rPr>
                <w:rFonts w:eastAsia="標楷體"/>
                <w:kern w:val="0"/>
                <w:sz w:val="22"/>
                <w:szCs w:val="20"/>
              </w:rPr>
            </w:pPr>
            <w:r w:rsidRPr="00D55DC6">
              <w:rPr>
                <w:rFonts w:eastAsia="標楷體"/>
                <w:kern w:val="0"/>
                <w:sz w:val="22"/>
                <w:szCs w:val="20"/>
              </w:rPr>
              <w:t>111</w:t>
            </w:r>
          </w:p>
        </w:tc>
        <w:tc>
          <w:tcPr>
            <w:tcW w:w="795" w:type="dxa"/>
            <w:tcBorders>
              <w:top w:val="single" w:sz="4" w:space="0" w:color="auto"/>
              <w:left w:val="nil"/>
              <w:bottom w:val="double" w:sz="6" w:space="0" w:color="auto"/>
              <w:right w:val="single" w:sz="4" w:space="0" w:color="auto"/>
            </w:tcBorders>
            <w:shd w:val="clear" w:color="000000" w:fill="FFCC00"/>
            <w:noWrap/>
            <w:vAlign w:val="center"/>
          </w:tcPr>
          <w:p w:rsidR="001D7E08" w:rsidRPr="00D55DC6" w:rsidRDefault="001D7E08" w:rsidP="00FA7F7B">
            <w:pPr>
              <w:widowControl/>
              <w:adjustRightInd w:val="0"/>
              <w:snapToGrid w:val="0"/>
              <w:jc w:val="center"/>
              <w:rPr>
                <w:rFonts w:eastAsia="標楷體"/>
                <w:kern w:val="0"/>
                <w:sz w:val="22"/>
                <w:szCs w:val="20"/>
              </w:rPr>
            </w:pPr>
            <w:r w:rsidRPr="00D55DC6">
              <w:rPr>
                <w:rFonts w:eastAsia="標楷體"/>
                <w:kern w:val="0"/>
                <w:sz w:val="22"/>
                <w:szCs w:val="20"/>
              </w:rPr>
              <w:t>112</w:t>
            </w:r>
          </w:p>
        </w:tc>
      </w:tr>
      <w:tr w:rsidR="001D0350" w:rsidRPr="00D55DC6" w:rsidTr="001D7E08">
        <w:trPr>
          <w:gridAfter w:val="1"/>
          <w:wAfter w:w="1072" w:type="dxa"/>
          <w:trHeight w:val="60"/>
        </w:trPr>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D7E08" w:rsidRPr="00D55DC6" w:rsidRDefault="001D7E08" w:rsidP="00FA7F7B">
            <w:pPr>
              <w:widowControl/>
              <w:adjustRightInd w:val="0"/>
              <w:snapToGrid w:val="0"/>
              <w:rPr>
                <w:rFonts w:eastAsia="標楷體"/>
                <w:kern w:val="0"/>
                <w:sz w:val="22"/>
                <w:szCs w:val="20"/>
              </w:rPr>
            </w:pPr>
            <w:r w:rsidRPr="00D55DC6">
              <w:rPr>
                <w:rFonts w:eastAsia="標楷體"/>
                <w:kern w:val="0"/>
                <w:sz w:val="22"/>
                <w:szCs w:val="20"/>
              </w:rPr>
              <w:t>支出</w:t>
            </w:r>
          </w:p>
        </w:tc>
        <w:tc>
          <w:tcPr>
            <w:tcW w:w="878" w:type="dxa"/>
            <w:tcBorders>
              <w:top w:val="single" w:sz="4" w:space="0" w:color="auto"/>
              <w:left w:val="nil"/>
              <w:bottom w:val="single" w:sz="4" w:space="0" w:color="auto"/>
              <w:right w:val="single" w:sz="4" w:space="0" w:color="auto"/>
            </w:tcBorders>
            <w:shd w:val="clear" w:color="auto" w:fill="FFFFFF"/>
            <w:noWrap/>
            <w:vAlign w:val="center"/>
          </w:tcPr>
          <w:p w:rsidR="001D7E08" w:rsidRPr="00D55DC6" w:rsidRDefault="001D7E08" w:rsidP="00040EDC">
            <w:pPr>
              <w:jc w:val="right"/>
              <w:rPr>
                <w:rFonts w:eastAsia="標楷體"/>
                <w:sz w:val="20"/>
                <w:szCs w:val="20"/>
              </w:rPr>
            </w:pPr>
            <w:r w:rsidRPr="00D55DC6">
              <w:rPr>
                <w:rFonts w:eastAsia="標楷體"/>
                <w:sz w:val="20"/>
                <w:szCs w:val="20"/>
              </w:rPr>
              <w:t xml:space="preserve"> 2</w:t>
            </w:r>
            <w:r w:rsidR="00040EDC" w:rsidRPr="00D55DC6">
              <w:rPr>
                <w:rFonts w:eastAsia="標楷體"/>
                <w:sz w:val="20"/>
                <w:szCs w:val="20"/>
              </w:rPr>
              <w:t>2</w:t>
            </w:r>
            <w:r w:rsidRPr="00D55DC6">
              <w:rPr>
                <w:rFonts w:eastAsia="標楷體"/>
                <w:sz w:val="20"/>
                <w:szCs w:val="20"/>
              </w:rPr>
              <w:t xml:space="preserve">6,000 </w:t>
            </w:r>
          </w:p>
        </w:tc>
        <w:tc>
          <w:tcPr>
            <w:tcW w:w="794" w:type="dxa"/>
            <w:tcBorders>
              <w:top w:val="single" w:sz="4" w:space="0" w:color="auto"/>
              <w:left w:val="nil"/>
              <w:bottom w:val="single" w:sz="4" w:space="0" w:color="auto"/>
              <w:right w:val="single" w:sz="4" w:space="0" w:color="auto"/>
            </w:tcBorders>
            <w:shd w:val="clear" w:color="auto" w:fill="FFFFFF"/>
            <w:noWrap/>
            <w:vAlign w:val="center"/>
          </w:tcPr>
          <w:p w:rsidR="001D7E08" w:rsidRPr="00D55DC6" w:rsidRDefault="001D7E08" w:rsidP="00040EDC">
            <w:pPr>
              <w:jc w:val="right"/>
              <w:rPr>
                <w:rFonts w:eastAsia="標楷體"/>
                <w:sz w:val="20"/>
                <w:szCs w:val="20"/>
              </w:rPr>
            </w:pPr>
            <w:r w:rsidRPr="00D55DC6">
              <w:rPr>
                <w:rFonts w:eastAsia="標楷體"/>
                <w:sz w:val="20"/>
                <w:szCs w:val="20"/>
              </w:rPr>
              <w:t>2</w:t>
            </w:r>
            <w:r w:rsidR="00040EDC" w:rsidRPr="00D55DC6">
              <w:rPr>
                <w:rFonts w:eastAsia="標楷體"/>
                <w:sz w:val="20"/>
                <w:szCs w:val="20"/>
              </w:rPr>
              <w:t>5</w:t>
            </w:r>
            <w:r w:rsidRPr="00D55DC6">
              <w:rPr>
                <w:rFonts w:eastAsia="標楷體"/>
                <w:sz w:val="20"/>
                <w:szCs w:val="20"/>
              </w:rPr>
              <w:t xml:space="preserve">0,000 </w:t>
            </w:r>
          </w:p>
        </w:tc>
        <w:tc>
          <w:tcPr>
            <w:tcW w:w="794" w:type="dxa"/>
            <w:gridSpan w:val="2"/>
            <w:tcBorders>
              <w:top w:val="single" w:sz="4" w:space="0" w:color="auto"/>
              <w:left w:val="nil"/>
              <w:bottom w:val="single" w:sz="4" w:space="0" w:color="auto"/>
              <w:right w:val="single" w:sz="4" w:space="0" w:color="auto"/>
            </w:tcBorders>
            <w:shd w:val="clear" w:color="auto" w:fill="FFFFFF"/>
            <w:noWrap/>
            <w:vAlign w:val="center"/>
          </w:tcPr>
          <w:p w:rsidR="001D7E08" w:rsidRPr="00D55DC6" w:rsidRDefault="001D7E08" w:rsidP="00040EDC">
            <w:pPr>
              <w:jc w:val="right"/>
              <w:rPr>
                <w:rFonts w:eastAsia="標楷體"/>
                <w:sz w:val="20"/>
                <w:szCs w:val="20"/>
              </w:rPr>
            </w:pPr>
            <w:r w:rsidRPr="00D55DC6">
              <w:rPr>
                <w:rFonts w:eastAsia="標楷體"/>
                <w:sz w:val="20"/>
                <w:szCs w:val="20"/>
              </w:rPr>
              <w:t>4</w:t>
            </w:r>
            <w:r w:rsidR="00040EDC" w:rsidRPr="00D55DC6">
              <w:rPr>
                <w:rFonts w:eastAsia="標楷體"/>
                <w:sz w:val="20"/>
                <w:szCs w:val="20"/>
              </w:rPr>
              <w:t>7</w:t>
            </w:r>
            <w:r w:rsidRPr="00D55DC6">
              <w:rPr>
                <w:rFonts w:eastAsia="標楷體"/>
                <w:sz w:val="20"/>
                <w:szCs w:val="20"/>
              </w:rPr>
              <w:t xml:space="preserve">0,000 </w:t>
            </w:r>
          </w:p>
        </w:tc>
        <w:tc>
          <w:tcPr>
            <w:tcW w:w="795" w:type="dxa"/>
            <w:tcBorders>
              <w:top w:val="single" w:sz="4" w:space="0" w:color="auto"/>
              <w:left w:val="nil"/>
              <w:bottom w:val="single" w:sz="4" w:space="0" w:color="auto"/>
              <w:right w:val="single" w:sz="4" w:space="0" w:color="auto"/>
            </w:tcBorders>
            <w:shd w:val="clear" w:color="auto" w:fill="FFFFFF"/>
            <w:noWrap/>
            <w:vAlign w:val="center"/>
          </w:tcPr>
          <w:p w:rsidR="001D7E08" w:rsidRPr="00D55DC6" w:rsidRDefault="001D7E08" w:rsidP="00040EDC">
            <w:pPr>
              <w:jc w:val="right"/>
              <w:rPr>
                <w:rFonts w:eastAsia="標楷體"/>
                <w:sz w:val="20"/>
                <w:szCs w:val="20"/>
              </w:rPr>
            </w:pPr>
            <w:r w:rsidRPr="00D55DC6">
              <w:rPr>
                <w:rFonts w:eastAsia="標楷體"/>
                <w:sz w:val="20"/>
                <w:szCs w:val="20"/>
              </w:rPr>
              <w:t>5</w:t>
            </w:r>
            <w:r w:rsidR="00040EDC" w:rsidRPr="00D55DC6">
              <w:rPr>
                <w:rFonts w:eastAsia="標楷體"/>
                <w:sz w:val="20"/>
                <w:szCs w:val="20"/>
              </w:rPr>
              <w:t>0</w:t>
            </w:r>
            <w:r w:rsidRPr="00D55DC6">
              <w:rPr>
                <w:rFonts w:eastAsia="標楷體"/>
                <w:sz w:val="20"/>
                <w:szCs w:val="20"/>
              </w:rPr>
              <w:t xml:space="preserve">5,000 </w:t>
            </w:r>
          </w:p>
        </w:tc>
        <w:tc>
          <w:tcPr>
            <w:tcW w:w="794" w:type="dxa"/>
            <w:tcBorders>
              <w:top w:val="single" w:sz="4" w:space="0" w:color="auto"/>
              <w:left w:val="nil"/>
              <w:bottom w:val="single" w:sz="4" w:space="0" w:color="auto"/>
              <w:right w:val="single" w:sz="4" w:space="0" w:color="auto"/>
            </w:tcBorders>
            <w:shd w:val="clear" w:color="auto" w:fill="FFFFFF"/>
            <w:noWrap/>
            <w:vAlign w:val="center"/>
          </w:tcPr>
          <w:p w:rsidR="001D7E08" w:rsidRPr="00D55DC6" w:rsidRDefault="001D7E08" w:rsidP="00040EDC">
            <w:pPr>
              <w:jc w:val="right"/>
              <w:rPr>
                <w:rFonts w:eastAsia="標楷體"/>
                <w:sz w:val="20"/>
                <w:szCs w:val="20"/>
              </w:rPr>
            </w:pPr>
            <w:r w:rsidRPr="00D55DC6">
              <w:rPr>
                <w:rFonts w:eastAsia="標楷體"/>
                <w:sz w:val="20"/>
                <w:szCs w:val="20"/>
              </w:rPr>
              <w:t>3</w:t>
            </w:r>
            <w:r w:rsidR="00040EDC" w:rsidRPr="00D55DC6">
              <w:rPr>
                <w:rFonts w:eastAsia="標楷體"/>
                <w:sz w:val="20"/>
                <w:szCs w:val="20"/>
              </w:rPr>
              <w:t>50</w:t>
            </w:r>
            <w:r w:rsidRPr="00D55DC6">
              <w:rPr>
                <w:rFonts w:eastAsia="標楷體"/>
                <w:sz w:val="20"/>
                <w:szCs w:val="20"/>
              </w:rPr>
              <w:t xml:space="preserve">,000 </w:t>
            </w:r>
          </w:p>
        </w:tc>
        <w:tc>
          <w:tcPr>
            <w:tcW w:w="795" w:type="dxa"/>
            <w:tcBorders>
              <w:top w:val="single" w:sz="4" w:space="0" w:color="auto"/>
              <w:left w:val="nil"/>
              <w:bottom w:val="single" w:sz="4" w:space="0" w:color="auto"/>
              <w:right w:val="single" w:sz="4" w:space="0" w:color="auto"/>
            </w:tcBorders>
            <w:shd w:val="clear" w:color="auto" w:fill="FFFFFF"/>
            <w:noWrap/>
            <w:vAlign w:val="center"/>
          </w:tcPr>
          <w:p w:rsidR="001D7E08" w:rsidRPr="00D55DC6" w:rsidRDefault="001D7E08" w:rsidP="00040EDC">
            <w:pPr>
              <w:jc w:val="right"/>
              <w:rPr>
                <w:rFonts w:eastAsia="標楷體"/>
                <w:sz w:val="20"/>
                <w:szCs w:val="20"/>
              </w:rPr>
            </w:pPr>
            <w:r w:rsidRPr="00D55DC6">
              <w:rPr>
                <w:rFonts w:eastAsia="標楷體"/>
                <w:sz w:val="20"/>
                <w:szCs w:val="20"/>
              </w:rPr>
              <w:t>34</w:t>
            </w:r>
            <w:r w:rsidR="00040EDC" w:rsidRPr="00D55DC6">
              <w:rPr>
                <w:rFonts w:eastAsia="標楷體"/>
                <w:sz w:val="20"/>
                <w:szCs w:val="20"/>
              </w:rPr>
              <w:t>0</w:t>
            </w:r>
            <w:r w:rsidRPr="00D55DC6">
              <w:rPr>
                <w:rFonts w:eastAsia="標楷體"/>
                <w:sz w:val="20"/>
                <w:szCs w:val="20"/>
              </w:rPr>
              <w:t xml:space="preserve">,000 </w:t>
            </w:r>
          </w:p>
        </w:tc>
        <w:tc>
          <w:tcPr>
            <w:tcW w:w="794" w:type="dxa"/>
            <w:tcBorders>
              <w:top w:val="single" w:sz="4" w:space="0" w:color="auto"/>
              <w:left w:val="nil"/>
              <w:bottom w:val="single" w:sz="4" w:space="0" w:color="auto"/>
              <w:right w:val="single" w:sz="4" w:space="0" w:color="auto"/>
            </w:tcBorders>
            <w:shd w:val="clear" w:color="auto" w:fill="FFFFFF"/>
            <w:noWrap/>
            <w:vAlign w:val="center"/>
          </w:tcPr>
          <w:p w:rsidR="001D7E08" w:rsidRPr="00D55DC6" w:rsidRDefault="001D7E08" w:rsidP="00040EDC">
            <w:pPr>
              <w:jc w:val="right"/>
              <w:rPr>
                <w:rFonts w:eastAsia="標楷體"/>
                <w:sz w:val="20"/>
                <w:szCs w:val="20"/>
              </w:rPr>
            </w:pPr>
            <w:r w:rsidRPr="00D55DC6">
              <w:rPr>
                <w:rFonts w:eastAsia="標楷體"/>
                <w:sz w:val="20"/>
                <w:szCs w:val="20"/>
              </w:rPr>
              <w:t>2</w:t>
            </w:r>
            <w:r w:rsidR="00040EDC" w:rsidRPr="00D55DC6">
              <w:rPr>
                <w:rFonts w:eastAsia="標楷體"/>
                <w:sz w:val="20"/>
                <w:szCs w:val="20"/>
              </w:rPr>
              <w:t>50</w:t>
            </w:r>
            <w:r w:rsidRPr="00D55DC6">
              <w:rPr>
                <w:rFonts w:eastAsia="標楷體"/>
                <w:sz w:val="20"/>
                <w:szCs w:val="20"/>
              </w:rPr>
              <w:t xml:space="preserve">,000 </w:t>
            </w:r>
          </w:p>
        </w:tc>
        <w:tc>
          <w:tcPr>
            <w:tcW w:w="795" w:type="dxa"/>
            <w:tcBorders>
              <w:top w:val="single" w:sz="4" w:space="0" w:color="auto"/>
              <w:left w:val="nil"/>
              <w:bottom w:val="single" w:sz="4" w:space="0" w:color="auto"/>
              <w:right w:val="single" w:sz="4" w:space="0" w:color="auto"/>
            </w:tcBorders>
            <w:shd w:val="clear" w:color="auto" w:fill="FFFFFF"/>
            <w:noWrap/>
            <w:vAlign w:val="center"/>
          </w:tcPr>
          <w:p w:rsidR="001D7E08" w:rsidRPr="00D55DC6" w:rsidRDefault="001D7E08" w:rsidP="00040EDC">
            <w:pPr>
              <w:jc w:val="right"/>
              <w:rPr>
                <w:rFonts w:eastAsia="標楷體"/>
                <w:sz w:val="20"/>
                <w:szCs w:val="20"/>
              </w:rPr>
            </w:pPr>
            <w:r w:rsidRPr="00D55DC6">
              <w:rPr>
                <w:rFonts w:eastAsia="標楷體"/>
                <w:sz w:val="20"/>
                <w:szCs w:val="20"/>
              </w:rPr>
              <w:t>2</w:t>
            </w:r>
            <w:r w:rsidR="00040EDC" w:rsidRPr="00D55DC6">
              <w:rPr>
                <w:rFonts w:eastAsia="標楷體"/>
                <w:sz w:val="20"/>
                <w:szCs w:val="20"/>
              </w:rPr>
              <w:t>50</w:t>
            </w:r>
            <w:r w:rsidRPr="00D55DC6">
              <w:rPr>
                <w:rFonts w:eastAsia="標楷體"/>
                <w:sz w:val="20"/>
                <w:szCs w:val="20"/>
              </w:rPr>
              <w:t xml:space="preserve">,000 </w:t>
            </w:r>
          </w:p>
        </w:tc>
        <w:tc>
          <w:tcPr>
            <w:tcW w:w="794" w:type="dxa"/>
            <w:tcBorders>
              <w:top w:val="single" w:sz="4" w:space="0" w:color="auto"/>
              <w:left w:val="nil"/>
              <w:bottom w:val="single" w:sz="4" w:space="0" w:color="auto"/>
              <w:right w:val="single" w:sz="4" w:space="0" w:color="auto"/>
            </w:tcBorders>
            <w:shd w:val="clear" w:color="auto" w:fill="FFFFFF"/>
            <w:noWrap/>
            <w:vAlign w:val="center"/>
          </w:tcPr>
          <w:p w:rsidR="001D7E08" w:rsidRPr="00D55DC6" w:rsidRDefault="001D7E08" w:rsidP="00040EDC">
            <w:pPr>
              <w:jc w:val="right"/>
              <w:rPr>
                <w:rFonts w:eastAsia="標楷體"/>
                <w:sz w:val="20"/>
                <w:szCs w:val="20"/>
              </w:rPr>
            </w:pPr>
            <w:r w:rsidRPr="00D55DC6">
              <w:rPr>
                <w:rFonts w:eastAsia="標楷體"/>
                <w:sz w:val="20"/>
                <w:szCs w:val="20"/>
              </w:rPr>
              <w:t>2</w:t>
            </w:r>
            <w:r w:rsidR="00040EDC" w:rsidRPr="00D55DC6">
              <w:rPr>
                <w:rFonts w:eastAsia="標楷體"/>
                <w:sz w:val="20"/>
                <w:szCs w:val="20"/>
              </w:rPr>
              <w:t>50</w:t>
            </w:r>
            <w:r w:rsidRPr="00D55DC6">
              <w:rPr>
                <w:rFonts w:eastAsia="標楷體"/>
                <w:sz w:val="20"/>
                <w:szCs w:val="20"/>
              </w:rPr>
              <w:t>,</w:t>
            </w:r>
            <w:r w:rsidR="00040EDC" w:rsidRPr="00D55DC6">
              <w:rPr>
                <w:rFonts w:eastAsia="標楷體"/>
                <w:sz w:val="20"/>
                <w:szCs w:val="20"/>
              </w:rPr>
              <w:t>0</w:t>
            </w:r>
            <w:r w:rsidRPr="00D55DC6">
              <w:rPr>
                <w:rFonts w:eastAsia="標楷體"/>
                <w:sz w:val="20"/>
                <w:szCs w:val="20"/>
              </w:rPr>
              <w:t xml:space="preserve">00 </w:t>
            </w:r>
          </w:p>
        </w:tc>
        <w:tc>
          <w:tcPr>
            <w:tcW w:w="795" w:type="dxa"/>
            <w:tcBorders>
              <w:top w:val="single" w:sz="4" w:space="0" w:color="auto"/>
              <w:left w:val="nil"/>
              <w:bottom w:val="single" w:sz="4" w:space="0" w:color="auto"/>
              <w:right w:val="single" w:sz="4" w:space="0" w:color="auto"/>
            </w:tcBorders>
            <w:shd w:val="clear" w:color="auto" w:fill="FFFFFF"/>
            <w:noWrap/>
            <w:vAlign w:val="center"/>
          </w:tcPr>
          <w:p w:rsidR="001D7E08" w:rsidRPr="00D55DC6" w:rsidRDefault="001D7E08" w:rsidP="00040EDC">
            <w:pPr>
              <w:jc w:val="right"/>
              <w:rPr>
                <w:rFonts w:eastAsia="標楷體"/>
                <w:sz w:val="20"/>
                <w:szCs w:val="20"/>
              </w:rPr>
            </w:pPr>
            <w:r w:rsidRPr="00D55DC6">
              <w:rPr>
                <w:rFonts w:eastAsia="標楷體"/>
                <w:sz w:val="20"/>
                <w:szCs w:val="20"/>
              </w:rPr>
              <w:t>2</w:t>
            </w:r>
            <w:r w:rsidR="00040EDC" w:rsidRPr="00D55DC6">
              <w:rPr>
                <w:rFonts w:eastAsia="標楷體"/>
                <w:sz w:val="20"/>
                <w:szCs w:val="20"/>
              </w:rPr>
              <w:t>50</w:t>
            </w:r>
            <w:r w:rsidRPr="00D55DC6">
              <w:rPr>
                <w:rFonts w:eastAsia="標楷體"/>
                <w:sz w:val="20"/>
                <w:szCs w:val="20"/>
              </w:rPr>
              <w:t>,</w:t>
            </w:r>
            <w:r w:rsidR="00040EDC" w:rsidRPr="00D55DC6">
              <w:rPr>
                <w:rFonts w:eastAsia="標楷體"/>
                <w:sz w:val="20"/>
                <w:szCs w:val="20"/>
              </w:rPr>
              <w:t>0</w:t>
            </w:r>
            <w:r w:rsidRPr="00D55DC6">
              <w:rPr>
                <w:rFonts w:eastAsia="標楷體"/>
                <w:sz w:val="20"/>
                <w:szCs w:val="20"/>
              </w:rPr>
              <w:t xml:space="preserve">00 </w:t>
            </w:r>
          </w:p>
        </w:tc>
      </w:tr>
      <w:tr w:rsidR="001D0350" w:rsidRPr="00D55DC6" w:rsidTr="001D7E08">
        <w:trPr>
          <w:gridAfter w:val="1"/>
          <w:wAfter w:w="1072" w:type="dxa"/>
          <w:trHeight w:val="330"/>
        </w:trPr>
        <w:tc>
          <w:tcPr>
            <w:tcW w:w="993" w:type="dxa"/>
            <w:tcBorders>
              <w:top w:val="nil"/>
              <w:left w:val="single" w:sz="4" w:space="0" w:color="auto"/>
              <w:bottom w:val="single" w:sz="4" w:space="0" w:color="auto"/>
              <w:right w:val="single" w:sz="4" w:space="0" w:color="auto"/>
            </w:tcBorders>
            <w:shd w:val="clear" w:color="000000" w:fill="FFFFFF"/>
            <w:noWrap/>
            <w:vAlign w:val="center"/>
          </w:tcPr>
          <w:p w:rsidR="001D7E08" w:rsidRPr="00D55DC6" w:rsidRDefault="001D7E08" w:rsidP="00FA7F7B">
            <w:pPr>
              <w:widowControl/>
              <w:adjustRightInd w:val="0"/>
              <w:snapToGrid w:val="0"/>
              <w:rPr>
                <w:rFonts w:eastAsia="標楷體"/>
                <w:kern w:val="0"/>
                <w:sz w:val="22"/>
                <w:szCs w:val="20"/>
              </w:rPr>
            </w:pPr>
            <w:r w:rsidRPr="00D55DC6">
              <w:rPr>
                <w:rFonts w:eastAsia="標楷體"/>
                <w:kern w:val="0"/>
                <w:sz w:val="22"/>
                <w:szCs w:val="20"/>
              </w:rPr>
              <w:t>收入</w:t>
            </w:r>
          </w:p>
        </w:tc>
        <w:tc>
          <w:tcPr>
            <w:tcW w:w="878"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 xml:space="preserve">  20,528 </w:t>
            </w:r>
          </w:p>
        </w:tc>
        <w:tc>
          <w:tcPr>
            <w:tcW w:w="794"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 xml:space="preserve"> 28,856 </w:t>
            </w:r>
          </w:p>
        </w:tc>
        <w:tc>
          <w:tcPr>
            <w:tcW w:w="794" w:type="dxa"/>
            <w:gridSpan w:val="2"/>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 xml:space="preserve"> 79,114 </w:t>
            </w:r>
          </w:p>
        </w:tc>
        <w:tc>
          <w:tcPr>
            <w:tcW w:w="795"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 xml:space="preserve"> 33,394 </w:t>
            </w:r>
          </w:p>
        </w:tc>
        <w:tc>
          <w:tcPr>
            <w:tcW w:w="794"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 xml:space="preserve"> 48,505 </w:t>
            </w:r>
          </w:p>
        </w:tc>
        <w:tc>
          <w:tcPr>
            <w:tcW w:w="795"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 xml:space="preserve"> 82,955 </w:t>
            </w:r>
          </w:p>
        </w:tc>
        <w:tc>
          <w:tcPr>
            <w:tcW w:w="794"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 xml:space="preserve"> 86,925 </w:t>
            </w:r>
          </w:p>
        </w:tc>
        <w:tc>
          <w:tcPr>
            <w:tcW w:w="795"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 xml:space="preserve"> 93,225 </w:t>
            </w:r>
          </w:p>
        </w:tc>
        <w:tc>
          <w:tcPr>
            <w:tcW w:w="794"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 xml:space="preserve"> 98,425 </w:t>
            </w:r>
          </w:p>
        </w:tc>
        <w:tc>
          <w:tcPr>
            <w:tcW w:w="795"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 xml:space="preserve">101,325 </w:t>
            </w:r>
          </w:p>
        </w:tc>
      </w:tr>
      <w:tr w:rsidR="001D0350" w:rsidRPr="00D55DC6" w:rsidTr="001D7E08">
        <w:trPr>
          <w:gridAfter w:val="1"/>
          <w:wAfter w:w="1072" w:type="dxa"/>
          <w:trHeight w:val="330"/>
        </w:trPr>
        <w:tc>
          <w:tcPr>
            <w:tcW w:w="993" w:type="dxa"/>
            <w:tcBorders>
              <w:top w:val="nil"/>
              <w:left w:val="single" w:sz="4" w:space="0" w:color="auto"/>
              <w:bottom w:val="single" w:sz="4" w:space="0" w:color="auto"/>
              <w:right w:val="single" w:sz="4" w:space="0" w:color="auto"/>
            </w:tcBorders>
            <w:shd w:val="clear" w:color="000000" w:fill="FFFFFF"/>
            <w:noWrap/>
            <w:vAlign w:val="center"/>
          </w:tcPr>
          <w:p w:rsidR="001D7E08" w:rsidRPr="00D55DC6" w:rsidRDefault="001D7E08" w:rsidP="00FA7F7B">
            <w:pPr>
              <w:widowControl/>
              <w:adjustRightInd w:val="0"/>
              <w:snapToGrid w:val="0"/>
              <w:rPr>
                <w:rFonts w:eastAsia="標楷體"/>
                <w:kern w:val="0"/>
                <w:sz w:val="22"/>
                <w:szCs w:val="20"/>
              </w:rPr>
            </w:pPr>
            <w:r w:rsidRPr="00D55DC6">
              <w:rPr>
                <w:rFonts w:eastAsia="標楷體"/>
                <w:kern w:val="0"/>
                <w:sz w:val="22"/>
                <w:szCs w:val="20"/>
              </w:rPr>
              <w:t>收支比</w:t>
            </w:r>
          </w:p>
        </w:tc>
        <w:tc>
          <w:tcPr>
            <w:tcW w:w="878" w:type="dxa"/>
            <w:tcBorders>
              <w:top w:val="nil"/>
              <w:left w:val="nil"/>
              <w:bottom w:val="single" w:sz="4" w:space="0" w:color="auto"/>
              <w:right w:val="single" w:sz="4" w:space="0" w:color="auto"/>
            </w:tcBorders>
            <w:shd w:val="clear" w:color="000000" w:fill="FFFFFF"/>
            <w:noWrap/>
            <w:vAlign w:val="center"/>
          </w:tcPr>
          <w:p w:rsidR="001D7E08" w:rsidRPr="00D55DC6" w:rsidRDefault="00040EDC" w:rsidP="00040EDC">
            <w:pPr>
              <w:jc w:val="right"/>
              <w:rPr>
                <w:rFonts w:eastAsia="標楷體"/>
                <w:sz w:val="20"/>
                <w:szCs w:val="20"/>
              </w:rPr>
            </w:pPr>
            <w:r w:rsidRPr="00D55DC6">
              <w:rPr>
                <w:rFonts w:eastAsia="標楷體"/>
                <w:sz w:val="20"/>
                <w:szCs w:val="20"/>
              </w:rPr>
              <w:t>9.08</w:t>
            </w:r>
            <w:r w:rsidR="001D7E08" w:rsidRPr="00D55DC6">
              <w:rPr>
                <w:rFonts w:eastAsia="標楷體"/>
                <w:sz w:val="20"/>
                <w:szCs w:val="20"/>
              </w:rPr>
              <w:t>%</w:t>
            </w:r>
          </w:p>
        </w:tc>
        <w:tc>
          <w:tcPr>
            <w:tcW w:w="794" w:type="dxa"/>
            <w:tcBorders>
              <w:top w:val="nil"/>
              <w:left w:val="nil"/>
              <w:bottom w:val="single" w:sz="4" w:space="0" w:color="auto"/>
              <w:right w:val="single" w:sz="4" w:space="0" w:color="auto"/>
            </w:tcBorders>
            <w:shd w:val="clear" w:color="000000" w:fill="FFFFFF"/>
            <w:noWrap/>
            <w:vAlign w:val="center"/>
          </w:tcPr>
          <w:p w:rsidR="001D7E08" w:rsidRPr="00D55DC6" w:rsidRDefault="00040EDC" w:rsidP="00040EDC">
            <w:pPr>
              <w:jc w:val="right"/>
              <w:rPr>
                <w:rFonts w:eastAsia="標楷體"/>
                <w:sz w:val="20"/>
                <w:szCs w:val="20"/>
              </w:rPr>
            </w:pPr>
            <w:r w:rsidRPr="00D55DC6">
              <w:rPr>
                <w:rFonts w:eastAsia="標楷體"/>
                <w:sz w:val="20"/>
                <w:szCs w:val="20"/>
              </w:rPr>
              <w:t>11.54</w:t>
            </w:r>
            <w:r w:rsidR="001D7E08" w:rsidRPr="00D55DC6">
              <w:rPr>
                <w:rFonts w:eastAsia="標楷體"/>
                <w:sz w:val="20"/>
                <w:szCs w:val="20"/>
              </w:rPr>
              <w:t>%</w:t>
            </w:r>
          </w:p>
        </w:tc>
        <w:tc>
          <w:tcPr>
            <w:tcW w:w="794" w:type="dxa"/>
            <w:gridSpan w:val="2"/>
            <w:tcBorders>
              <w:top w:val="nil"/>
              <w:left w:val="nil"/>
              <w:bottom w:val="single" w:sz="4" w:space="0" w:color="auto"/>
              <w:right w:val="single" w:sz="4" w:space="0" w:color="auto"/>
            </w:tcBorders>
            <w:shd w:val="clear" w:color="000000" w:fill="FFFFFF"/>
            <w:noWrap/>
            <w:vAlign w:val="center"/>
          </w:tcPr>
          <w:p w:rsidR="001D7E08" w:rsidRPr="00D55DC6" w:rsidRDefault="001D7E08" w:rsidP="00040EDC">
            <w:pPr>
              <w:jc w:val="right"/>
              <w:rPr>
                <w:rFonts w:eastAsia="標楷體"/>
                <w:sz w:val="20"/>
                <w:szCs w:val="20"/>
              </w:rPr>
            </w:pPr>
            <w:r w:rsidRPr="00D55DC6">
              <w:rPr>
                <w:rFonts w:eastAsia="標楷體"/>
                <w:sz w:val="20"/>
                <w:szCs w:val="20"/>
              </w:rPr>
              <w:t>16.</w:t>
            </w:r>
            <w:r w:rsidR="00040EDC" w:rsidRPr="00D55DC6">
              <w:rPr>
                <w:rFonts w:eastAsia="標楷體"/>
                <w:sz w:val="20"/>
                <w:szCs w:val="20"/>
              </w:rPr>
              <w:t>83</w:t>
            </w:r>
            <w:r w:rsidRPr="00D55DC6">
              <w:rPr>
                <w:rFonts w:eastAsia="標楷體"/>
                <w:sz w:val="20"/>
                <w:szCs w:val="20"/>
              </w:rPr>
              <w:t>%</w:t>
            </w:r>
          </w:p>
        </w:tc>
        <w:tc>
          <w:tcPr>
            <w:tcW w:w="795"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040EDC">
            <w:pPr>
              <w:jc w:val="right"/>
              <w:rPr>
                <w:rFonts w:eastAsia="標楷體"/>
                <w:sz w:val="20"/>
                <w:szCs w:val="20"/>
              </w:rPr>
            </w:pPr>
            <w:r w:rsidRPr="00D55DC6">
              <w:rPr>
                <w:rFonts w:eastAsia="標楷體"/>
                <w:sz w:val="20"/>
                <w:szCs w:val="20"/>
              </w:rPr>
              <w:t>6.6</w:t>
            </w:r>
            <w:r w:rsidR="00040EDC" w:rsidRPr="00D55DC6">
              <w:rPr>
                <w:rFonts w:eastAsia="標楷體"/>
                <w:sz w:val="20"/>
                <w:szCs w:val="20"/>
              </w:rPr>
              <w:t>1</w:t>
            </w:r>
            <w:r w:rsidRPr="00D55DC6">
              <w:rPr>
                <w:rFonts w:eastAsia="標楷體"/>
                <w:sz w:val="20"/>
                <w:szCs w:val="20"/>
              </w:rPr>
              <w:t>%</w:t>
            </w:r>
          </w:p>
        </w:tc>
        <w:tc>
          <w:tcPr>
            <w:tcW w:w="794"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040EDC">
            <w:pPr>
              <w:jc w:val="right"/>
              <w:rPr>
                <w:rFonts w:eastAsia="標楷體"/>
                <w:sz w:val="20"/>
                <w:szCs w:val="20"/>
              </w:rPr>
            </w:pPr>
            <w:r w:rsidRPr="00D55DC6">
              <w:rPr>
                <w:rFonts w:eastAsia="標楷體"/>
                <w:sz w:val="20"/>
                <w:szCs w:val="20"/>
              </w:rPr>
              <w:t>1</w:t>
            </w:r>
            <w:r w:rsidR="00040EDC" w:rsidRPr="00D55DC6">
              <w:rPr>
                <w:rFonts w:eastAsia="標楷體"/>
                <w:sz w:val="20"/>
                <w:szCs w:val="20"/>
              </w:rPr>
              <w:t>3</w:t>
            </w:r>
            <w:r w:rsidRPr="00D55DC6">
              <w:rPr>
                <w:rFonts w:eastAsia="標楷體"/>
                <w:sz w:val="20"/>
                <w:szCs w:val="20"/>
              </w:rPr>
              <w:t>.</w:t>
            </w:r>
            <w:r w:rsidR="00040EDC" w:rsidRPr="00D55DC6">
              <w:rPr>
                <w:rFonts w:eastAsia="標楷體"/>
                <w:sz w:val="20"/>
                <w:szCs w:val="20"/>
              </w:rPr>
              <w:t>85</w:t>
            </w:r>
            <w:r w:rsidRPr="00D55DC6">
              <w:rPr>
                <w:rFonts w:eastAsia="標楷體"/>
                <w:sz w:val="20"/>
                <w:szCs w:val="20"/>
              </w:rPr>
              <w:t>%</w:t>
            </w:r>
          </w:p>
        </w:tc>
        <w:tc>
          <w:tcPr>
            <w:tcW w:w="795"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040EDC">
            <w:pPr>
              <w:jc w:val="right"/>
              <w:rPr>
                <w:rFonts w:eastAsia="標楷體"/>
                <w:sz w:val="20"/>
                <w:szCs w:val="20"/>
              </w:rPr>
            </w:pPr>
            <w:r w:rsidRPr="00D55DC6">
              <w:rPr>
                <w:rFonts w:eastAsia="標楷體"/>
                <w:sz w:val="20"/>
                <w:szCs w:val="20"/>
              </w:rPr>
              <w:t>2</w:t>
            </w:r>
            <w:r w:rsidR="00040EDC" w:rsidRPr="00D55DC6">
              <w:rPr>
                <w:rFonts w:eastAsia="標楷體"/>
                <w:sz w:val="20"/>
                <w:szCs w:val="20"/>
              </w:rPr>
              <w:t>4</w:t>
            </w:r>
            <w:r w:rsidRPr="00D55DC6">
              <w:rPr>
                <w:rFonts w:eastAsia="標楷體"/>
                <w:sz w:val="20"/>
                <w:szCs w:val="20"/>
              </w:rPr>
              <w:t>.</w:t>
            </w:r>
            <w:r w:rsidR="00040EDC" w:rsidRPr="00D55DC6">
              <w:rPr>
                <w:rFonts w:eastAsia="標楷體"/>
                <w:sz w:val="20"/>
                <w:szCs w:val="20"/>
              </w:rPr>
              <w:t>40</w:t>
            </w:r>
            <w:r w:rsidRPr="00D55DC6">
              <w:rPr>
                <w:rFonts w:eastAsia="標楷體"/>
                <w:sz w:val="20"/>
                <w:szCs w:val="20"/>
              </w:rPr>
              <w:t>%</w:t>
            </w:r>
          </w:p>
        </w:tc>
        <w:tc>
          <w:tcPr>
            <w:tcW w:w="794"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040EDC">
            <w:pPr>
              <w:jc w:val="right"/>
              <w:rPr>
                <w:rFonts w:eastAsia="標楷體"/>
                <w:sz w:val="20"/>
                <w:szCs w:val="20"/>
              </w:rPr>
            </w:pPr>
            <w:r w:rsidRPr="00D55DC6">
              <w:rPr>
                <w:rFonts w:eastAsia="標楷體"/>
                <w:sz w:val="20"/>
                <w:szCs w:val="20"/>
              </w:rPr>
              <w:t>3</w:t>
            </w:r>
            <w:r w:rsidR="00040EDC" w:rsidRPr="00D55DC6">
              <w:rPr>
                <w:rFonts w:eastAsia="標楷體"/>
                <w:sz w:val="20"/>
                <w:szCs w:val="20"/>
              </w:rPr>
              <w:t>4</w:t>
            </w:r>
            <w:r w:rsidRPr="00D55DC6">
              <w:rPr>
                <w:rFonts w:eastAsia="標楷體"/>
                <w:sz w:val="20"/>
                <w:szCs w:val="20"/>
              </w:rPr>
              <w:t>.7</w:t>
            </w:r>
            <w:r w:rsidR="00040EDC" w:rsidRPr="00D55DC6">
              <w:rPr>
                <w:rFonts w:eastAsia="標楷體"/>
                <w:sz w:val="20"/>
                <w:szCs w:val="20"/>
              </w:rPr>
              <w:t>7</w:t>
            </w:r>
            <w:r w:rsidRPr="00D55DC6">
              <w:rPr>
                <w:rFonts w:eastAsia="標楷體"/>
                <w:sz w:val="20"/>
                <w:szCs w:val="20"/>
              </w:rPr>
              <w:t>%</w:t>
            </w:r>
          </w:p>
        </w:tc>
        <w:tc>
          <w:tcPr>
            <w:tcW w:w="795"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040EDC">
            <w:pPr>
              <w:jc w:val="right"/>
              <w:rPr>
                <w:rFonts w:eastAsia="標楷體"/>
                <w:sz w:val="20"/>
                <w:szCs w:val="20"/>
              </w:rPr>
            </w:pPr>
            <w:r w:rsidRPr="00D55DC6">
              <w:rPr>
                <w:rFonts w:eastAsia="標楷體"/>
                <w:sz w:val="20"/>
                <w:szCs w:val="20"/>
              </w:rPr>
              <w:t>3</w:t>
            </w:r>
            <w:r w:rsidR="00040EDC" w:rsidRPr="00D55DC6">
              <w:rPr>
                <w:rFonts w:eastAsia="標楷體"/>
                <w:sz w:val="20"/>
                <w:szCs w:val="20"/>
              </w:rPr>
              <w:t>7</w:t>
            </w:r>
            <w:r w:rsidRPr="00D55DC6">
              <w:rPr>
                <w:rFonts w:eastAsia="標楷體"/>
                <w:sz w:val="20"/>
                <w:szCs w:val="20"/>
              </w:rPr>
              <w:t>.</w:t>
            </w:r>
            <w:r w:rsidR="00040EDC" w:rsidRPr="00D55DC6">
              <w:rPr>
                <w:rFonts w:eastAsia="標楷體"/>
                <w:sz w:val="20"/>
                <w:szCs w:val="20"/>
              </w:rPr>
              <w:t>29</w:t>
            </w:r>
            <w:r w:rsidRPr="00D55DC6">
              <w:rPr>
                <w:rFonts w:eastAsia="標楷體"/>
                <w:sz w:val="20"/>
                <w:szCs w:val="20"/>
              </w:rPr>
              <w:t>%</w:t>
            </w:r>
          </w:p>
        </w:tc>
        <w:tc>
          <w:tcPr>
            <w:tcW w:w="794"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040EDC">
            <w:pPr>
              <w:jc w:val="right"/>
              <w:rPr>
                <w:rFonts w:eastAsia="標楷體"/>
                <w:sz w:val="20"/>
                <w:szCs w:val="20"/>
              </w:rPr>
            </w:pPr>
            <w:r w:rsidRPr="00D55DC6">
              <w:rPr>
                <w:rFonts w:eastAsia="標楷體"/>
                <w:sz w:val="20"/>
                <w:szCs w:val="20"/>
              </w:rPr>
              <w:t>3</w:t>
            </w:r>
            <w:r w:rsidR="00040EDC" w:rsidRPr="00D55DC6">
              <w:rPr>
                <w:rFonts w:eastAsia="標楷體"/>
                <w:sz w:val="20"/>
                <w:szCs w:val="20"/>
              </w:rPr>
              <w:t>9</w:t>
            </w:r>
            <w:r w:rsidRPr="00D55DC6">
              <w:rPr>
                <w:rFonts w:eastAsia="標楷體"/>
                <w:sz w:val="20"/>
                <w:szCs w:val="20"/>
              </w:rPr>
              <w:t>.</w:t>
            </w:r>
            <w:r w:rsidR="00040EDC" w:rsidRPr="00D55DC6">
              <w:rPr>
                <w:rFonts w:eastAsia="標楷體"/>
                <w:sz w:val="20"/>
                <w:szCs w:val="20"/>
              </w:rPr>
              <w:t>37</w:t>
            </w:r>
            <w:r w:rsidRPr="00D55DC6">
              <w:rPr>
                <w:rFonts w:eastAsia="標楷體"/>
                <w:sz w:val="20"/>
                <w:szCs w:val="20"/>
              </w:rPr>
              <w:t>%</w:t>
            </w:r>
          </w:p>
        </w:tc>
        <w:tc>
          <w:tcPr>
            <w:tcW w:w="795" w:type="dxa"/>
            <w:tcBorders>
              <w:top w:val="nil"/>
              <w:left w:val="nil"/>
              <w:bottom w:val="single" w:sz="4" w:space="0" w:color="auto"/>
              <w:right w:val="single" w:sz="4" w:space="0" w:color="auto"/>
            </w:tcBorders>
            <w:shd w:val="clear" w:color="000000" w:fill="FFFFFF"/>
            <w:noWrap/>
            <w:vAlign w:val="center"/>
          </w:tcPr>
          <w:p w:rsidR="001D7E08" w:rsidRPr="00D55DC6" w:rsidRDefault="00040EDC" w:rsidP="00040EDC">
            <w:pPr>
              <w:jc w:val="right"/>
              <w:rPr>
                <w:rFonts w:eastAsia="標楷體"/>
                <w:sz w:val="20"/>
                <w:szCs w:val="20"/>
              </w:rPr>
            </w:pPr>
            <w:r w:rsidRPr="00D55DC6">
              <w:rPr>
                <w:rFonts w:eastAsia="標楷體"/>
                <w:sz w:val="20"/>
                <w:szCs w:val="20"/>
              </w:rPr>
              <w:t>40</w:t>
            </w:r>
            <w:r w:rsidR="001D7E08" w:rsidRPr="00D55DC6">
              <w:rPr>
                <w:rFonts w:eastAsia="標楷體"/>
                <w:sz w:val="20"/>
                <w:szCs w:val="20"/>
              </w:rPr>
              <w:t>.</w:t>
            </w:r>
            <w:r w:rsidRPr="00D55DC6">
              <w:rPr>
                <w:rFonts w:eastAsia="標楷體"/>
                <w:sz w:val="20"/>
                <w:szCs w:val="20"/>
              </w:rPr>
              <w:t>53</w:t>
            </w:r>
            <w:r w:rsidR="001D7E08" w:rsidRPr="00D55DC6">
              <w:rPr>
                <w:rFonts w:eastAsia="標楷體"/>
                <w:sz w:val="20"/>
                <w:szCs w:val="20"/>
              </w:rPr>
              <w:t>%</w:t>
            </w:r>
          </w:p>
        </w:tc>
      </w:tr>
      <w:tr w:rsidR="001D0350" w:rsidRPr="00D55DC6" w:rsidTr="001D7E08">
        <w:trPr>
          <w:trHeight w:val="345"/>
        </w:trPr>
        <w:tc>
          <w:tcPr>
            <w:tcW w:w="993" w:type="dxa"/>
            <w:tcBorders>
              <w:top w:val="nil"/>
              <w:left w:val="single" w:sz="4" w:space="0" w:color="auto"/>
              <w:bottom w:val="double" w:sz="6" w:space="0" w:color="auto"/>
              <w:right w:val="single" w:sz="4" w:space="0" w:color="auto"/>
            </w:tcBorders>
            <w:shd w:val="clear" w:color="000000" w:fill="FFCC00"/>
            <w:noWrap/>
            <w:vAlign w:val="center"/>
          </w:tcPr>
          <w:p w:rsidR="001D7E08" w:rsidRPr="00D55DC6" w:rsidRDefault="001D7E08" w:rsidP="00FA7F7B">
            <w:pPr>
              <w:widowControl/>
              <w:adjustRightInd w:val="0"/>
              <w:snapToGrid w:val="0"/>
              <w:rPr>
                <w:rFonts w:eastAsia="標楷體"/>
                <w:kern w:val="0"/>
                <w:sz w:val="22"/>
                <w:szCs w:val="20"/>
              </w:rPr>
            </w:pPr>
            <w:r w:rsidRPr="00D55DC6">
              <w:rPr>
                <w:rFonts w:eastAsia="標楷體"/>
                <w:kern w:val="0"/>
                <w:sz w:val="22"/>
                <w:szCs w:val="20"/>
              </w:rPr>
              <w:t xml:space="preserve">　</w:t>
            </w:r>
          </w:p>
        </w:tc>
        <w:tc>
          <w:tcPr>
            <w:tcW w:w="878" w:type="dxa"/>
            <w:tcBorders>
              <w:top w:val="nil"/>
              <w:left w:val="nil"/>
              <w:bottom w:val="double" w:sz="6" w:space="0" w:color="auto"/>
              <w:right w:val="single" w:sz="4" w:space="0" w:color="auto"/>
            </w:tcBorders>
            <w:shd w:val="clear" w:color="000000" w:fill="FFCC00"/>
            <w:noWrap/>
            <w:vAlign w:val="center"/>
          </w:tcPr>
          <w:p w:rsidR="001D7E08" w:rsidRPr="00D55DC6" w:rsidRDefault="001D7E08" w:rsidP="001D7E08">
            <w:pPr>
              <w:widowControl/>
              <w:adjustRightInd w:val="0"/>
              <w:snapToGrid w:val="0"/>
              <w:jc w:val="center"/>
              <w:rPr>
                <w:rFonts w:eastAsia="標楷體"/>
                <w:kern w:val="0"/>
                <w:sz w:val="22"/>
                <w:szCs w:val="20"/>
              </w:rPr>
            </w:pPr>
            <w:r w:rsidRPr="00D55DC6">
              <w:rPr>
                <w:rFonts w:eastAsia="標楷體"/>
                <w:kern w:val="0"/>
                <w:sz w:val="22"/>
                <w:szCs w:val="20"/>
              </w:rPr>
              <w:t>113</w:t>
            </w:r>
          </w:p>
        </w:tc>
        <w:tc>
          <w:tcPr>
            <w:tcW w:w="794" w:type="dxa"/>
            <w:tcBorders>
              <w:top w:val="nil"/>
              <w:left w:val="nil"/>
              <w:bottom w:val="double" w:sz="6" w:space="0" w:color="auto"/>
              <w:right w:val="single" w:sz="4" w:space="0" w:color="auto"/>
            </w:tcBorders>
            <w:shd w:val="clear" w:color="000000" w:fill="FFCC00"/>
            <w:noWrap/>
            <w:vAlign w:val="center"/>
          </w:tcPr>
          <w:p w:rsidR="001D7E08" w:rsidRPr="00D55DC6" w:rsidRDefault="001D7E08" w:rsidP="001D7E08">
            <w:pPr>
              <w:widowControl/>
              <w:adjustRightInd w:val="0"/>
              <w:snapToGrid w:val="0"/>
              <w:jc w:val="center"/>
              <w:rPr>
                <w:rFonts w:eastAsia="標楷體"/>
                <w:kern w:val="0"/>
                <w:sz w:val="22"/>
                <w:szCs w:val="20"/>
              </w:rPr>
            </w:pPr>
            <w:r w:rsidRPr="00D55DC6">
              <w:rPr>
                <w:rFonts w:eastAsia="標楷體"/>
                <w:kern w:val="0"/>
                <w:sz w:val="22"/>
                <w:szCs w:val="20"/>
              </w:rPr>
              <w:t>114</w:t>
            </w:r>
          </w:p>
        </w:tc>
        <w:tc>
          <w:tcPr>
            <w:tcW w:w="794" w:type="dxa"/>
            <w:gridSpan w:val="2"/>
            <w:tcBorders>
              <w:top w:val="nil"/>
              <w:left w:val="nil"/>
              <w:bottom w:val="double" w:sz="6" w:space="0" w:color="auto"/>
              <w:right w:val="single" w:sz="4" w:space="0" w:color="auto"/>
            </w:tcBorders>
            <w:shd w:val="clear" w:color="000000" w:fill="FFCC00"/>
            <w:noWrap/>
            <w:vAlign w:val="center"/>
          </w:tcPr>
          <w:p w:rsidR="001D7E08" w:rsidRPr="00D55DC6" w:rsidRDefault="001D7E08" w:rsidP="001D7E08">
            <w:pPr>
              <w:widowControl/>
              <w:adjustRightInd w:val="0"/>
              <w:snapToGrid w:val="0"/>
              <w:jc w:val="center"/>
              <w:rPr>
                <w:rFonts w:eastAsia="標楷體"/>
                <w:kern w:val="0"/>
                <w:sz w:val="22"/>
                <w:szCs w:val="20"/>
              </w:rPr>
            </w:pPr>
            <w:r w:rsidRPr="00D55DC6">
              <w:rPr>
                <w:rFonts w:eastAsia="標楷體"/>
                <w:kern w:val="0"/>
                <w:sz w:val="22"/>
                <w:szCs w:val="20"/>
              </w:rPr>
              <w:t>115</w:t>
            </w:r>
          </w:p>
        </w:tc>
        <w:tc>
          <w:tcPr>
            <w:tcW w:w="795" w:type="dxa"/>
            <w:tcBorders>
              <w:top w:val="nil"/>
              <w:left w:val="nil"/>
              <w:bottom w:val="double" w:sz="6" w:space="0" w:color="auto"/>
              <w:right w:val="single" w:sz="4" w:space="0" w:color="auto"/>
            </w:tcBorders>
            <w:shd w:val="clear" w:color="000000" w:fill="FFCC00"/>
            <w:noWrap/>
            <w:vAlign w:val="center"/>
          </w:tcPr>
          <w:p w:rsidR="001D7E08" w:rsidRPr="00D55DC6" w:rsidRDefault="001D7E08" w:rsidP="001D7E08">
            <w:pPr>
              <w:widowControl/>
              <w:adjustRightInd w:val="0"/>
              <w:snapToGrid w:val="0"/>
              <w:jc w:val="center"/>
              <w:rPr>
                <w:rFonts w:eastAsia="標楷體"/>
                <w:kern w:val="0"/>
                <w:sz w:val="22"/>
                <w:szCs w:val="20"/>
              </w:rPr>
            </w:pPr>
            <w:r w:rsidRPr="00D55DC6">
              <w:rPr>
                <w:rFonts w:eastAsia="標楷體"/>
                <w:kern w:val="0"/>
                <w:sz w:val="22"/>
                <w:szCs w:val="20"/>
              </w:rPr>
              <w:t>116</w:t>
            </w:r>
          </w:p>
        </w:tc>
        <w:tc>
          <w:tcPr>
            <w:tcW w:w="794" w:type="dxa"/>
            <w:tcBorders>
              <w:top w:val="nil"/>
              <w:left w:val="nil"/>
              <w:bottom w:val="double" w:sz="6" w:space="0" w:color="auto"/>
              <w:right w:val="single" w:sz="4" w:space="0" w:color="auto"/>
            </w:tcBorders>
            <w:shd w:val="clear" w:color="000000" w:fill="FFCC00"/>
            <w:noWrap/>
            <w:vAlign w:val="center"/>
          </w:tcPr>
          <w:p w:rsidR="001D7E08" w:rsidRPr="00D55DC6" w:rsidRDefault="001D7E08" w:rsidP="001D7E08">
            <w:pPr>
              <w:widowControl/>
              <w:adjustRightInd w:val="0"/>
              <w:snapToGrid w:val="0"/>
              <w:jc w:val="center"/>
              <w:rPr>
                <w:rFonts w:eastAsia="標楷體"/>
                <w:kern w:val="0"/>
                <w:sz w:val="22"/>
                <w:szCs w:val="20"/>
              </w:rPr>
            </w:pPr>
            <w:r w:rsidRPr="00D55DC6">
              <w:rPr>
                <w:rFonts w:eastAsia="標楷體"/>
                <w:kern w:val="0"/>
                <w:sz w:val="22"/>
                <w:szCs w:val="20"/>
              </w:rPr>
              <w:t>117</w:t>
            </w:r>
          </w:p>
        </w:tc>
        <w:tc>
          <w:tcPr>
            <w:tcW w:w="795" w:type="dxa"/>
            <w:tcBorders>
              <w:top w:val="nil"/>
              <w:left w:val="nil"/>
              <w:bottom w:val="double" w:sz="6" w:space="0" w:color="auto"/>
              <w:right w:val="single" w:sz="4" w:space="0" w:color="auto"/>
            </w:tcBorders>
            <w:shd w:val="clear" w:color="000000" w:fill="FFCC00"/>
            <w:noWrap/>
            <w:vAlign w:val="center"/>
          </w:tcPr>
          <w:p w:rsidR="001D7E08" w:rsidRPr="00D55DC6" w:rsidRDefault="001D7E08" w:rsidP="001D7E08">
            <w:pPr>
              <w:widowControl/>
              <w:adjustRightInd w:val="0"/>
              <w:snapToGrid w:val="0"/>
              <w:jc w:val="center"/>
              <w:rPr>
                <w:rFonts w:eastAsia="標楷體"/>
                <w:kern w:val="0"/>
                <w:sz w:val="22"/>
                <w:szCs w:val="20"/>
              </w:rPr>
            </w:pPr>
            <w:r w:rsidRPr="00D55DC6">
              <w:rPr>
                <w:rFonts w:eastAsia="標楷體"/>
                <w:kern w:val="0"/>
                <w:sz w:val="22"/>
                <w:szCs w:val="20"/>
              </w:rPr>
              <w:t>118</w:t>
            </w:r>
          </w:p>
        </w:tc>
        <w:tc>
          <w:tcPr>
            <w:tcW w:w="794" w:type="dxa"/>
            <w:tcBorders>
              <w:top w:val="nil"/>
              <w:left w:val="nil"/>
              <w:bottom w:val="double" w:sz="6" w:space="0" w:color="auto"/>
              <w:right w:val="single" w:sz="4" w:space="0" w:color="auto"/>
            </w:tcBorders>
            <w:shd w:val="clear" w:color="000000" w:fill="FFCC00"/>
            <w:noWrap/>
            <w:vAlign w:val="center"/>
          </w:tcPr>
          <w:p w:rsidR="001D7E08" w:rsidRPr="00D55DC6" w:rsidRDefault="001D7E08" w:rsidP="001D7E08">
            <w:pPr>
              <w:widowControl/>
              <w:adjustRightInd w:val="0"/>
              <w:snapToGrid w:val="0"/>
              <w:jc w:val="center"/>
              <w:rPr>
                <w:rFonts w:eastAsia="標楷體"/>
                <w:kern w:val="0"/>
                <w:sz w:val="22"/>
                <w:szCs w:val="20"/>
              </w:rPr>
            </w:pPr>
            <w:r w:rsidRPr="00D55DC6">
              <w:rPr>
                <w:rFonts w:eastAsia="標楷體"/>
                <w:kern w:val="0"/>
                <w:sz w:val="22"/>
                <w:szCs w:val="20"/>
              </w:rPr>
              <w:t>119</w:t>
            </w:r>
          </w:p>
        </w:tc>
        <w:tc>
          <w:tcPr>
            <w:tcW w:w="795" w:type="dxa"/>
            <w:tcBorders>
              <w:top w:val="nil"/>
              <w:left w:val="nil"/>
              <w:bottom w:val="double" w:sz="6" w:space="0" w:color="auto"/>
              <w:right w:val="single" w:sz="4" w:space="0" w:color="auto"/>
            </w:tcBorders>
            <w:shd w:val="clear" w:color="000000" w:fill="FFCC00"/>
            <w:noWrap/>
            <w:vAlign w:val="center"/>
          </w:tcPr>
          <w:p w:rsidR="001D7E08" w:rsidRPr="00D55DC6" w:rsidRDefault="001D7E08" w:rsidP="001D7E08">
            <w:pPr>
              <w:widowControl/>
              <w:adjustRightInd w:val="0"/>
              <w:snapToGrid w:val="0"/>
              <w:jc w:val="center"/>
              <w:rPr>
                <w:rFonts w:eastAsia="標楷體"/>
                <w:kern w:val="0"/>
                <w:sz w:val="22"/>
                <w:szCs w:val="20"/>
              </w:rPr>
            </w:pPr>
            <w:r w:rsidRPr="00D55DC6">
              <w:rPr>
                <w:rFonts w:eastAsia="標楷體"/>
                <w:kern w:val="0"/>
                <w:sz w:val="22"/>
                <w:szCs w:val="20"/>
              </w:rPr>
              <w:t>120</w:t>
            </w:r>
          </w:p>
        </w:tc>
        <w:tc>
          <w:tcPr>
            <w:tcW w:w="794" w:type="dxa"/>
            <w:tcBorders>
              <w:top w:val="nil"/>
              <w:left w:val="nil"/>
              <w:bottom w:val="double" w:sz="6" w:space="0" w:color="auto"/>
              <w:right w:val="single" w:sz="4" w:space="0" w:color="auto"/>
            </w:tcBorders>
            <w:shd w:val="clear" w:color="000000" w:fill="FFCC00"/>
            <w:noWrap/>
            <w:vAlign w:val="center"/>
          </w:tcPr>
          <w:p w:rsidR="001D7E08" w:rsidRPr="00D55DC6" w:rsidRDefault="001D7E08" w:rsidP="001D7E08">
            <w:pPr>
              <w:widowControl/>
              <w:adjustRightInd w:val="0"/>
              <w:snapToGrid w:val="0"/>
              <w:jc w:val="center"/>
              <w:rPr>
                <w:rFonts w:eastAsia="標楷體"/>
                <w:kern w:val="0"/>
                <w:sz w:val="22"/>
                <w:szCs w:val="20"/>
              </w:rPr>
            </w:pPr>
            <w:r w:rsidRPr="00D55DC6">
              <w:rPr>
                <w:rFonts w:eastAsia="標楷體"/>
                <w:kern w:val="0"/>
                <w:sz w:val="22"/>
                <w:szCs w:val="20"/>
              </w:rPr>
              <w:t>121</w:t>
            </w:r>
          </w:p>
        </w:tc>
        <w:tc>
          <w:tcPr>
            <w:tcW w:w="795" w:type="dxa"/>
            <w:tcBorders>
              <w:top w:val="nil"/>
              <w:left w:val="nil"/>
              <w:bottom w:val="double" w:sz="6" w:space="0" w:color="auto"/>
              <w:right w:val="single" w:sz="4" w:space="0" w:color="auto"/>
            </w:tcBorders>
            <w:shd w:val="clear" w:color="000000" w:fill="FFCC00"/>
            <w:noWrap/>
            <w:vAlign w:val="center"/>
          </w:tcPr>
          <w:p w:rsidR="001D7E08" w:rsidRPr="00D55DC6" w:rsidRDefault="001D7E08" w:rsidP="001D7E08">
            <w:pPr>
              <w:widowControl/>
              <w:adjustRightInd w:val="0"/>
              <w:snapToGrid w:val="0"/>
              <w:jc w:val="center"/>
              <w:rPr>
                <w:rFonts w:eastAsia="標楷體"/>
                <w:kern w:val="0"/>
                <w:sz w:val="22"/>
                <w:szCs w:val="20"/>
              </w:rPr>
            </w:pPr>
            <w:r w:rsidRPr="00D55DC6">
              <w:rPr>
                <w:rFonts w:eastAsia="標楷體"/>
                <w:kern w:val="0"/>
                <w:sz w:val="22"/>
                <w:szCs w:val="20"/>
              </w:rPr>
              <w:t>122</w:t>
            </w:r>
          </w:p>
        </w:tc>
        <w:tc>
          <w:tcPr>
            <w:tcW w:w="1072" w:type="dxa"/>
            <w:tcBorders>
              <w:top w:val="single" w:sz="4" w:space="0" w:color="auto"/>
              <w:left w:val="nil"/>
              <w:bottom w:val="double" w:sz="6" w:space="0" w:color="auto"/>
              <w:right w:val="single" w:sz="4" w:space="0" w:color="auto"/>
            </w:tcBorders>
            <w:shd w:val="clear" w:color="000000" w:fill="FFCC00"/>
          </w:tcPr>
          <w:p w:rsidR="001D7E08" w:rsidRPr="00D55DC6" w:rsidRDefault="001D7E08" w:rsidP="001D7E08">
            <w:pPr>
              <w:widowControl/>
              <w:adjustRightInd w:val="0"/>
              <w:snapToGrid w:val="0"/>
              <w:rPr>
                <w:rFonts w:eastAsia="標楷體"/>
                <w:kern w:val="0"/>
                <w:sz w:val="22"/>
                <w:szCs w:val="20"/>
              </w:rPr>
            </w:pPr>
            <w:r w:rsidRPr="00D55DC6">
              <w:rPr>
                <w:rFonts w:eastAsia="標楷體"/>
                <w:kern w:val="0"/>
                <w:sz w:val="22"/>
                <w:szCs w:val="20"/>
              </w:rPr>
              <w:t xml:space="preserve"> </w:t>
            </w:r>
            <w:r w:rsidRPr="00D55DC6">
              <w:rPr>
                <w:rFonts w:eastAsia="標楷體"/>
                <w:kern w:val="0"/>
                <w:sz w:val="22"/>
                <w:szCs w:val="20"/>
              </w:rPr>
              <w:t>合計</w:t>
            </w:r>
          </w:p>
        </w:tc>
      </w:tr>
      <w:tr w:rsidR="001D0350" w:rsidRPr="00D55DC6" w:rsidTr="001D7E08">
        <w:trPr>
          <w:trHeight w:val="345"/>
        </w:trPr>
        <w:tc>
          <w:tcPr>
            <w:tcW w:w="99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1D7E08" w:rsidRPr="00D55DC6" w:rsidRDefault="001D7E08" w:rsidP="00FA7F7B">
            <w:pPr>
              <w:widowControl/>
              <w:adjustRightInd w:val="0"/>
              <w:snapToGrid w:val="0"/>
              <w:rPr>
                <w:rFonts w:eastAsia="標楷體"/>
                <w:kern w:val="0"/>
                <w:sz w:val="22"/>
                <w:szCs w:val="20"/>
              </w:rPr>
            </w:pPr>
            <w:r w:rsidRPr="00D55DC6">
              <w:rPr>
                <w:rFonts w:eastAsia="標楷體"/>
                <w:kern w:val="0"/>
                <w:sz w:val="22"/>
                <w:szCs w:val="20"/>
              </w:rPr>
              <w:t>支出</w:t>
            </w:r>
          </w:p>
        </w:tc>
        <w:tc>
          <w:tcPr>
            <w:tcW w:w="878" w:type="dxa"/>
            <w:tcBorders>
              <w:top w:val="single" w:sz="4" w:space="0" w:color="auto"/>
              <w:left w:val="nil"/>
              <w:bottom w:val="single" w:sz="4" w:space="0" w:color="auto"/>
              <w:right w:val="single" w:sz="4" w:space="0" w:color="auto"/>
            </w:tcBorders>
            <w:shd w:val="clear" w:color="auto" w:fill="FFFFFF"/>
            <w:noWrap/>
            <w:vAlign w:val="center"/>
          </w:tcPr>
          <w:p w:rsidR="001D7E08" w:rsidRPr="00D55DC6" w:rsidRDefault="001D7E08" w:rsidP="00E459B3">
            <w:pPr>
              <w:widowControl/>
              <w:spacing w:line="280" w:lineRule="exact"/>
              <w:jc w:val="right"/>
              <w:rPr>
                <w:rFonts w:eastAsia="標楷體"/>
                <w:kern w:val="0"/>
                <w:sz w:val="20"/>
                <w:szCs w:val="20"/>
                <w:lang w:bidi="hi-IN"/>
              </w:rPr>
            </w:pPr>
            <w:r w:rsidRPr="00D55DC6">
              <w:rPr>
                <w:rFonts w:eastAsia="標楷體"/>
                <w:kern w:val="0"/>
                <w:sz w:val="20"/>
                <w:szCs w:val="20"/>
                <w:lang w:bidi="hi-IN"/>
              </w:rPr>
              <w:t>2</w:t>
            </w:r>
            <w:r w:rsidR="00E459B3" w:rsidRPr="00D55DC6">
              <w:rPr>
                <w:rFonts w:eastAsia="標楷體"/>
                <w:kern w:val="0"/>
                <w:sz w:val="20"/>
                <w:szCs w:val="20"/>
                <w:lang w:bidi="hi-IN"/>
              </w:rPr>
              <w:t>60</w:t>
            </w:r>
            <w:r w:rsidRPr="00D55DC6">
              <w:rPr>
                <w:rFonts w:eastAsia="標楷體"/>
                <w:kern w:val="0"/>
                <w:sz w:val="20"/>
                <w:szCs w:val="20"/>
                <w:lang w:bidi="hi-IN"/>
              </w:rPr>
              <w:t>,</w:t>
            </w:r>
            <w:r w:rsidR="00E459B3" w:rsidRPr="00D55DC6">
              <w:rPr>
                <w:rFonts w:eastAsia="標楷體"/>
                <w:kern w:val="0"/>
                <w:sz w:val="20"/>
                <w:szCs w:val="20"/>
                <w:lang w:bidi="hi-IN"/>
              </w:rPr>
              <w:t>0</w:t>
            </w:r>
            <w:r w:rsidRPr="00D55DC6">
              <w:rPr>
                <w:rFonts w:eastAsia="標楷體"/>
                <w:kern w:val="0"/>
                <w:sz w:val="20"/>
                <w:szCs w:val="20"/>
                <w:lang w:bidi="hi-IN"/>
              </w:rPr>
              <w:t>00</w:t>
            </w:r>
          </w:p>
        </w:tc>
        <w:tc>
          <w:tcPr>
            <w:tcW w:w="794" w:type="dxa"/>
            <w:tcBorders>
              <w:top w:val="single" w:sz="4" w:space="0" w:color="auto"/>
              <w:left w:val="nil"/>
              <w:bottom w:val="single" w:sz="4" w:space="0" w:color="auto"/>
              <w:right w:val="single" w:sz="4" w:space="0" w:color="auto"/>
            </w:tcBorders>
            <w:shd w:val="clear" w:color="auto" w:fill="FFFFFF"/>
            <w:noWrap/>
            <w:vAlign w:val="center"/>
          </w:tcPr>
          <w:p w:rsidR="001D7E08" w:rsidRPr="00D55DC6" w:rsidRDefault="001D7E08" w:rsidP="00FA7F7B">
            <w:pPr>
              <w:widowControl/>
              <w:spacing w:line="280" w:lineRule="exact"/>
              <w:jc w:val="right"/>
              <w:rPr>
                <w:rFonts w:eastAsia="標楷體"/>
                <w:kern w:val="0"/>
                <w:sz w:val="20"/>
                <w:szCs w:val="20"/>
                <w:lang w:bidi="hi-IN"/>
              </w:rPr>
            </w:pPr>
            <w:r w:rsidRPr="00D55DC6">
              <w:rPr>
                <w:rFonts w:eastAsia="標楷體"/>
                <w:kern w:val="0"/>
                <w:sz w:val="20"/>
                <w:szCs w:val="20"/>
                <w:lang w:bidi="hi-IN"/>
              </w:rPr>
              <w:t>250,000</w:t>
            </w:r>
          </w:p>
        </w:tc>
        <w:tc>
          <w:tcPr>
            <w:tcW w:w="794" w:type="dxa"/>
            <w:gridSpan w:val="2"/>
            <w:tcBorders>
              <w:top w:val="single" w:sz="4" w:space="0" w:color="auto"/>
              <w:left w:val="nil"/>
              <w:bottom w:val="single" w:sz="4" w:space="0" w:color="auto"/>
              <w:right w:val="single" w:sz="4" w:space="0" w:color="auto"/>
            </w:tcBorders>
            <w:shd w:val="clear" w:color="auto" w:fill="FFFFFF"/>
            <w:noWrap/>
            <w:vAlign w:val="center"/>
          </w:tcPr>
          <w:p w:rsidR="001D7E08" w:rsidRPr="00D55DC6" w:rsidRDefault="001D7E08" w:rsidP="00FA7F7B">
            <w:pPr>
              <w:widowControl/>
              <w:spacing w:line="280" w:lineRule="exact"/>
              <w:jc w:val="right"/>
              <w:rPr>
                <w:rFonts w:eastAsia="標楷體"/>
                <w:kern w:val="0"/>
                <w:sz w:val="20"/>
                <w:szCs w:val="20"/>
                <w:lang w:bidi="hi-IN"/>
              </w:rPr>
            </w:pPr>
            <w:r w:rsidRPr="00D55DC6">
              <w:rPr>
                <w:rFonts w:eastAsia="標楷體"/>
                <w:kern w:val="0"/>
                <w:sz w:val="20"/>
                <w:szCs w:val="20"/>
                <w:lang w:bidi="hi-IN"/>
              </w:rPr>
              <w:t>250,000</w:t>
            </w:r>
          </w:p>
        </w:tc>
        <w:tc>
          <w:tcPr>
            <w:tcW w:w="795" w:type="dxa"/>
            <w:tcBorders>
              <w:top w:val="single" w:sz="4" w:space="0" w:color="auto"/>
              <w:left w:val="nil"/>
              <w:bottom w:val="single" w:sz="4" w:space="0" w:color="auto"/>
              <w:right w:val="single" w:sz="4" w:space="0" w:color="auto"/>
            </w:tcBorders>
            <w:shd w:val="clear" w:color="auto" w:fill="FFFFFF"/>
            <w:noWrap/>
            <w:vAlign w:val="center"/>
          </w:tcPr>
          <w:p w:rsidR="001D7E08" w:rsidRPr="00D55DC6" w:rsidRDefault="001D7E08" w:rsidP="00FA7F7B">
            <w:pPr>
              <w:widowControl/>
              <w:spacing w:line="280" w:lineRule="exact"/>
              <w:jc w:val="right"/>
              <w:rPr>
                <w:rFonts w:eastAsia="標楷體"/>
                <w:kern w:val="0"/>
                <w:sz w:val="20"/>
                <w:szCs w:val="20"/>
                <w:lang w:bidi="hi-IN"/>
              </w:rPr>
            </w:pPr>
            <w:r w:rsidRPr="00D55DC6">
              <w:rPr>
                <w:rFonts w:eastAsia="標楷體"/>
                <w:kern w:val="0"/>
                <w:sz w:val="20"/>
                <w:szCs w:val="20"/>
                <w:lang w:bidi="hi-IN"/>
              </w:rPr>
              <w:t>250,000</w:t>
            </w:r>
          </w:p>
        </w:tc>
        <w:tc>
          <w:tcPr>
            <w:tcW w:w="794" w:type="dxa"/>
            <w:tcBorders>
              <w:top w:val="single" w:sz="4" w:space="0" w:color="auto"/>
              <w:left w:val="nil"/>
              <w:bottom w:val="single" w:sz="4" w:space="0" w:color="auto"/>
              <w:right w:val="single" w:sz="4" w:space="0" w:color="auto"/>
            </w:tcBorders>
            <w:shd w:val="clear" w:color="auto" w:fill="FFFFFF"/>
            <w:noWrap/>
            <w:vAlign w:val="center"/>
          </w:tcPr>
          <w:p w:rsidR="001D7E08" w:rsidRPr="00D55DC6" w:rsidRDefault="001D7E08" w:rsidP="00FA7F7B">
            <w:pPr>
              <w:widowControl/>
              <w:spacing w:line="280" w:lineRule="exact"/>
              <w:jc w:val="right"/>
              <w:rPr>
                <w:rFonts w:eastAsia="標楷體"/>
                <w:kern w:val="0"/>
                <w:sz w:val="20"/>
                <w:szCs w:val="20"/>
                <w:lang w:bidi="hi-IN"/>
              </w:rPr>
            </w:pPr>
            <w:r w:rsidRPr="00D55DC6">
              <w:rPr>
                <w:rFonts w:eastAsia="標楷體"/>
                <w:kern w:val="0"/>
                <w:sz w:val="20"/>
                <w:szCs w:val="20"/>
                <w:lang w:bidi="hi-IN"/>
              </w:rPr>
              <w:t>250,000</w:t>
            </w:r>
          </w:p>
        </w:tc>
        <w:tc>
          <w:tcPr>
            <w:tcW w:w="795" w:type="dxa"/>
            <w:tcBorders>
              <w:top w:val="single" w:sz="4" w:space="0" w:color="auto"/>
              <w:left w:val="nil"/>
              <w:bottom w:val="single" w:sz="4" w:space="0" w:color="auto"/>
              <w:right w:val="single" w:sz="4" w:space="0" w:color="auto"/>
            </w:tcBorders>
            <w:shd w:val="clear" w:color="auto" w:fill="FFFFFF"/>
            <w:noWrap/>
            <w:vAlign w:val="center"/>
          </w:tcPr>
          <w:p w:rsidR="001D7E08" w:rsidRPr="00D55DC6" w:rsidRDefault="001D7E08" w:rsidP="00FA7F7B">
            <w:pPr>
              <w:widowControl/>
              <w:spacing w:line="280" w:lineRule="exact"/>
              <w:jc w:val="right"/>
              <w:rPr>
                <w:rFonts w:eastAsia="標楷體"/>
                <w:kern w:val="0"/>
                <w:sz w:val="20"/>
                <w:szCs w:val="20"/>
                <w:lang w:bidi="hi-IN"/>
              </w:rPr>
            </w:pPr>
            <w:r w:rsidRPr="00D55DC6">
              <w:rPr>
                <w:rFonts w:eastAsia="標楷體"/>
                <w:kern w:val="0"/>
                <w:sz w:val="20"/>
                <w:szCs w:val="20"/>
                <w:lang w:bidi="hi-IN"/>
              </w:rPr>
              <w:t>250,000</w:t>
            </w:r>
          </w:p>
        </w:tc>
        <w:tc>
          <w:tcPr>
            <w:tcW w:w="794" w:type="dxa"/>
            <w:tcBorders>
              <w:top w:val="single" w:sz="4" w:space="0" w:color="auto"/>
              <w:left w:val="nil"/>
              <w:bottom w:val="single" w:sz="4" w:space="0" w:color="auto"/>
              <w:right w:val="single" w:sz="4" w:space="0" w:color="auto"/>
            </w:tcBorders>
            <w:shd w:val="clear" w:color="auto" w:fill="FFFFFF"/>
            <w:noWrap/>
            <w:vAlign w:val="center"/>
          </w:tcPr>
          <w:p w:rsidR="001D7E08" w:rsidRPr="00D55DC6" w:rsidRDefault="001D7E08" w:rsidP="00FA7F7B">
            <w:pPr>
              <w:widowControl/>
              <w:spacing w:line="280" w:lineRule="exact"/>
              <w:jc w:val="right"/>
              <w:rPr>
                <w:rFonts w:eastAsia="標楷體"/>
                <w:kern w:val="0"/>
                <w:sz w:val="20"/>
                <w:szCs w:val="20"/>
                <w:lang w:bidi="hi-IN"/>
              </w:rPr>
            </w:pPr>
            <w:r w:rsidRPr="00D55DC6">
              <w:rPr>
                <w:rFonts w:eastAsia="標楷體"/>
                <w:kern w:val="0"/>
                <w:sz w:val="20"/>
                <w:szCs w:val="20"/>
                <w:lang w:bidi="hi-IN"/>
              </w:rPr>
              <w:t>250,000</w:t>
            </w:r>
          </w:p>
        </w:tc>
        <w:tc>
          <w:tcPr>
            <w:tcW w:w="795" w:type="dxa"/>
            <w:tcBorders>
              <w:top w:val="single" w:sz="4" w:space="0" w:color="auto"/>
              <w:left w:val="nil"/>
              <w:bottom w:val="single" w:sz="4" w:space="0" w:color="auto"/>
              <w:right w:val="single" w:sz="4" w:space="0" w:color="auto"/>
            </w:tcBorders>
            <w:shd w:val="clear" w:color="auto" w:fill="FFFFFF"/>
            <w:noWrap/>
            <w:vAlign w:val="center"/>
          </w:tcPr>
          <w:p w:rsidR="001D7E08" w:rsidRPr="00D55DC6" w:rsidRDefault="001D7E08" w:rsidP="00FA7F7B">
            <w:pPr>
              <w:widowControl/>
              <w:spacing w:line="280" w:lineRule="exact"/>
              <w:jc w:val="right"/>
              <w:rPr>
                <w:rFonts w:eastAsia="標楷體"/>
                <w:kern w:val="0"/>
                <w:sz w:val="20"/>
                <w:szCs w:val="20"/>
                <w:lang w:bidi="hi-IN"/>
              </w:rPr>
            </w:pPr>
            <w:r w:rsidRPr="00D55DC6">
              <w:rPr>
                <w:rFonts w:eastAsia="標楷體"/>
                <w:kern w:val="0"/>
                <w:sz w:val="20"/>
                <w:szCs w:val="20"/>
                <w:lang w:bidi="hi-IN"/>
              </w:rPr>
              <w:t>250,000</w:t>
            </w:r>
          </w:p>
        </w:tc>
        <w:tc>
          <w:tcPr>
            <w:tcW w:w="794" w:type="dxa"/>
            <w:tcBorders>
              <w:top w:val="single" w:sz="4" w:space="0" w:color="auto"/>
              <w:left w:val="nil"/>
              <w:bottom w:val="single" w:sz="4" w:space="0" w:color="auto"/>
              <w:right w:val="single" w:sz="4" w:space="0" w:color="auto"/>
            </w:tcBorders>
            <w:shd w:val="clear" w:color="auto" w:fill="FFFFFF"/>
            <w:noWrap/>
            <w:vAlign w:val="center"/>
          </w:tcPr>
          <w:p w:rsidR="001D7E08" w:rsidRPr="00D55DC6" w:rsidRDefault="001D7E08" w:rsidP="00FA7F7B">
            <w:pPr>
              <w:widowControl/>
              <w:spacing w:line="280" w:lineRule="exact"/>
              <w:jc w:val="right"/>
              <w:rPr>
                <w:rFonts w:eastAsia="標楷體"/>
                <w:kern w:val="0"/>
                <w:sz w:val="20"/>
                <w:szCs w:val="20"/>
                <w:lang w:bidi="hi-IN"/>
              </w:rPr>
            </w:pPr>
            <w:r w:rsidRPr="00D55DC6">
              <w:rPr>
                <w:rFonts w:eastAsia="標楷體"/>
                <w:kern w:val="0"/>
                <w:sz w:val="20"/>
                <w:szCs w:val="20"/>
                <w:lang w:bidi="hi-IN"/>
              </w:rPr>
              <w:t>250,000</w:t>
            </w:r>
          </w:p>
        </w:tc>
        <w:tc>
          <w:tcPr>
            <w:tcW w:w="795" w:type="dxa"/>
            <w:tcBorders>
              <w:top w:val="single" w:sz="4" w:space="0" w:color="auto"/>
              <w:left w:val="nil"/>
              <w:bottom w:val="single" w:sz="4" w:space="0" w:color="auto"/>
              <w:right w:val="single" w:sz="4" w:space="0" w:color="auto"/>
            </w:tcBorders>
            <w:shd w:val="clear" w:color="auto" w:fill="FFFFFF"/>
            <w:noWrap/>
            <w:vAlign w:val="center"/>
          </w:tcPr>
          <w:p w:rsidR="001D7E08" w:rsidRPr="00D55DC6" w:rsidRDefault="001D7E08" w:rsidP="00FA7F7B">
            <w:pPr>
              <w:widowControl/>
              <w:spacing w:line="280" w:lineRule="exact"/>
              <w:jc w:val="right"/>
              <w:rPr>
                <w:rFonts w:eastAsia="標楷體"/>
                <w:kern w:val="0"/>
                <w:sz w:val="20"/>
                <w:szCs w:val="20"/>
                <w:lang w:bidi="hi-IN"/>
              </w:rPr>
            </w:pPr>
            <w:r w:rsidRPr="00D55DC6">
              <w:rPr>
                <w:rFonts w:eastAsia="標楷體"/>
                <w:kern w:val="0"/>
                <w:sz w:val="20"/>
                <w:szCs w:val="20"/>
                <w:lang w:bidi="hi-IN"/>
              </w:rPr>
              <w:t>250,000</w:t>
            </w:r>
          </w:p>
        </w:tc>
        <w:tc>
          <w:tcPr>
            <w:tcW w:w="1072" w:type="dxa"/>
            <w:tcBorders>
              <w:top w:val="single" w:sz="4" w:space="0" w:color="auto"/>
              <w:left w:val="nil"/>
              <w:bottom w:val="single" w:sz="4" w:space="0" w:color="auto"/>
              <w:right w:val="single" w:sz="4" w:space="0" w:color="auto"/>
            </w:tcBorders>
            <w:shd w:val="clear" w:color="auto" w:fill="FFFFFF"/>
            <w:vAlign w:val="center"/>
          </w:tcPr>
          <w:p w:rsidR="001D7E08" w:rsidRPr="00D55DC6" w:rsidRDefault="001D7E08" w:rsidP="00644577">
            <w:pPr>
              <w:jc w:val="right"/>
              <w:rPr>
                <w:rFonts w:eastAsia="標楷體"/>
                <w:kern w:val="0"/>
                <w:sz w:val="20"/>
                <w:szCs w:val="20"/>
                <w:lang w:bidi="hi-IN"/>
              </w:rPr>
            </w:pPr>
            <w:r w:rsidRPr="00D55DC6">
              <w:rPr>
                <w:rFonts w:eastAsia="標楷體"/>
                <w:kern w:val="0"/>
                <w:sz w:val="20"/>
                <w:szCs w:val="20"/>
                <w:lang w:bidi="hi-IN"/>
              </w:rPr>
              <w:t>5,</w:t>
            </w:r>
            <w:r w:rsidR="00644577" w:rsidRPr="00D55DC6">
              <w:rPr>
                <w:rFonts w:eastAsia="標楷體"/>
                <w:kern w:val="0"/>
                <w:sz w:val="20"/>
                <w:szCs w:val="20"/>
                <w:lang w:bidi="hi-IN"/>
              </w:rPr>
              <w:t>65</w:t>
            </w:r>
            <w:r w:rsidRPr="00D55DC6">
              <w:rPr>
                <w:rFonts w:eastAsia="標楷體"/>
                <w:kern w:val="0"/>
                <w:sz w:val="20"/>
                <w:szCs w:val="20"/>
                <w:lang w:bidi="hi-IN"/>
              </w:rPr>
              <w:t>1,</w:t>
            </w:r>
            <w:r w:rsidR="00644577" w:rsidRPr="00D55DC6">
              <w:rPr>
                <w:rFonts w:eastAsia="標楷體"/>
                <w:kern w:val="0"/>
                <w:sz w:val="20"/>
                <w:szCs w:val="20"/>
                <w:lang w:bidi="hi-IN"/>
              </w:rPr>
              <w:t>0</w:t>
            </w:r>
            <w:r w:rsidRPr="00D55DC6">
              <w:rPr>
                <w:rFonts w:eastAsia="標楷體"/>
                <w:kern w:val="0"/>
                <w:sz w:val="20"/>
                <w:szCs w:val="20"/>
                <w:lang w:bidi="hi-IN"/>
              </w:rPr>
              <w:t>00</w:t>
            </w:r>
          </w:p>
        </w:tc>
      </w:tr>
      <w:tr w:rsidR="001D0350" w:rsidRPr="00D55DC6" w:rsidTr="001D7E08">
        <w:trPr>
          <w:trHeight w:val="330"/>
        </w:trPr>
        <w:tc>
          <w:tcPr>
            <w:tcW w:w="993" w:type="dxa"/>
            <w:tcBorders>
              <w:top w:val="nil"/>
              <w:left w:val="single" w:sz="4" w:space="0" w:color="auto"/>
              <w:bottom w:val="single" w:sz="4" w:space="0" w:color="auto"/>
              <w:right w:val="single" w:sz="4" w:space="0" w:color="auto"/>
            </w:tcBorders>
            <w:shd w:val="clear" w:color="000000" w:fill="FFFFFF"/>
            <w:noWrap/>
            <w:vAlign w:val="center"/>
          </w:tcPr>
          <w:p w:rsidR="001D7E08" w:rsidRPr="00D55DC6" w:rsidRDefault="001D7E08" w:rsidP="00FA7F7B">
            <w:pPr>
              <w:widowControl/>
              <w:adjustRightInd w:val="0"/>
              <w:snapToGrid w:val="0"/>
              <w:rPr>
                <w:rFonts w:eastAsia="標楷體"/>
                <w:kern w:val="0"/>
                <w:sz w:val="22"/>
                <w:szCs w:val="20"/>
              </w:rPr>
            </w:pPr>
            <w:r w:rsidRPr="00D55DC6">
              <w:rPr>
                <w:rFonts w:eastAsia="標楷體"/>
                <w:kern w:val="0"/>
                <w:sz w:val="22"/>
                <w:szCs w:val="20"/>
              </w:rPr>
              <w:t>收入</w:t>
            </w:r>
          </w:p>
        </w:tc>
        <w:tc>
          <w:tcPr>
            <w:tcW w:w="878"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 xml:space="preserve">93,625 </w:t>
            </w:r>
          </w:p>
        </w:tc>
        <w:tc>
          <w:tcPr>
            <w:tcW w:w="794"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 xml:space="preserve">99,429 </w:t>
            </w:r>
          </w:p>
        </w:tc>
        <w:tc>
          <w:tcPr>
            <w:tcW w:w="794" w:type="dxa"/>
            <w:gridSpan w:val="2"/>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 xml:space="preserve">99,429 </w:t>
            </w:r>
          </w:p>
        </w:tc>
        <w:tc>
          <w:tcPr>
            <w:tcW w:w="795"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 xml:space="preserve">101,829 </w:t>
            </w:r>
          </w:p>
        </w:tc>
        <w:tc>
          <w:tcPr>
            <w:tcW w:w="794"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 xml:space="preserve">101,829 </w:t>
            </w:r>
          </w:p>
        </w:tc>
        <w:tc>
          <w:tcPr>
            <w:tcW w:w="795"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 xml:space="preserve">101,829 </w:t>
            </w:r>
          </w:p>
        </w:tc>
        <w:tc>
          <w:tcPr>
            <w:tcW w:w="794"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 xml:space="preserve">101,829 </w:t>
            </w:r>
          </w:p>
        </w:tc>
        <w:tc>
          <w:tcPr>
            <w:tcW w:w="795"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 xml:space="preserve">101,829 </w:t>
            </w:r>
          </w:p>
        </w:tc>
        <w:tc>
          <w:tcPr>
            <w:tcW w:w="794"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 xml:space="preserve">101,829 </w:t>
            </w:r>
          </w:p>
        </w:tc>
        <w:tc>
          <w:tcPr>
            <w:tcW w:w="795"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1D7E08">
            <w:pPr>
              <w:widowControl/>
              <w:spacing w:line="280" w:lineRule="exact"/>
              <w:jc w:val="right"/>
              <w:rPr>
                <w:rFonts w:eastAsia="標楷體"/>
                <w:kern w:val="0"/>
                <w:sz w:val="20"/>
                <w:szCs w:val="20"/>
                <w:lang w:bidi="hi-IN"/>
              </w:rPr>
            </w:pPr>
            <w:r w:rsidRPr="00D55DC6">
              <w:rPr>
                <w:rFonts w:eastAsia="標楷體"/>
                <w:kern w:val="0"/>
                <w:sz w:val="20"/>
                <w:szCs w:val="20"/>
                <w:lang w:bidi="hi-IN"/>
              </w:rPr>
              <w:t xml:space="preserve">101,829 </w:t>
            </w:r>
          </w:p>
        </w:tc>
        <w:tc>
          <w:tcPr>
            <w:tcW w:w="1072" w:type="dxa"/>
            <w:tcBorders>
              <w:top w:val="nil"/>
              <w:left w:val="nil"/>
              <w:bottom w:val="single" w:sz="4" w:space="0" w:color="auto"/>
              <w:right w:val="single" w:sz="4" w:space="0" w:color="auto"/>
            </w:tcBorders>
            <w:shd w:val="clear" w:color="000000" w:fill="FFFFFF"/>
            <w:vAlign w:val="center"/>
          </w:tcPr>
          <w:p w:rsidR="001D7E08" w:rsidRPr="00D55DC6" w:rsidRDefault="001D7E08" w:rsidP="001D7E08">
            <w:pPr>
              <w:widowControl/>
              <w:spacing w:line="280" w:lineRule="exact"/>
              <w:jc w:val="right"/>
              <w:rPr>
                <w:rFonts w:eastAsia="標楷體"/>
                <w:kern w:val="0"/>
                <w:sz w:val="20"/>
                <w:szCs w:val="20"/>
                <w:lang w:bidi="hi-IN"/>
              </w:rPr>
            </w:pPr>
            <w:r w:rsidRPr="00D55DC6">
              <w:rPr>
                <w:rFonts w:eastAsia="標楷體"/>
                <w:kern w:val="0"/>
                <w:sz w:val="20"/>
                <w:szCs w:val="20"/>
                <w:lang w:bidi="hi-IN"/>
              </w:rPr>
              <w:t>1,678,538</w:t>
            </w:r>
          </w:p>
        </w:tc>
      </w:tr>
      <w:tr w:rsidR="001D0350" w:rsidRPr="00D55DC6" w:rsidTr="001D7E08">
        <w:trPr>
          <w:trHeight w:val="330"/>
        </w:trPr>
        <w:tc>
          <w:tcPr>
            <w:tcW w:w="993" w:type="dxa"/>
            <w:tcBorders>
              <w:top w:val="nil"/>
              <w:left w:val="single" w:sz="4" w:space="0" w:color="auto"/>
              <w:bottom w:val="single" w:sz="4" w:space="0" w:color="auto"/>
              <w:right w:val="single" w:sz="4" w:space="0" w:color="auto"/>
            </w:tcBorders>
            <w:shd w:val="clear" w:color="000000" w:fill="FFFFFF"/>
            <w:noWrap/>
            <w:vAlign w:val="center"/>
          </w:tcPr>
          <w:p w:rsidR="001D7E08" w:rsidRPr="00D55DC6" w:rsidRDefault="001D7E08" w:rsidP="00FA7F7B">
            <w:pPr>
              <w:widowControl/>
              <w:adjustRightInd w:val="0"/>
              <w:snapToGrid w:val="0"/>
              <w:rPr>
                <w:rFonts w:eastAsia="標楷體"/>
                <w:kern w:val="0"/>
                <w:sz w:val="22"/>
                <w:szCs w:val="20"/>
              </w:rPr>
            </w:pPr>
            <w:r w:rsidRPr="00D55DC6">
              <w:rPr>
                <w:rFonts w:eastAsia="標楷體"/>
                <w:kern w:val="0"/>
                <w:sz w:val="22"/>
                <w:szCs w:val="20"/>
              </w:rPr>
              <w:t>收支比</w:t>
            </w:r>
          </w:p>
        </w:tc>
        <w:tc>
          <w:tcPr>
            <w:tcW w:w="878"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040EDC">
            <w:pPr>
              <w:jc w:val="right"/>
              <w:rPr>
                <w:rFonts w:eastAsia="標楷體"/>
                <w:sz w:val="20"/>
                <w:szCs w:val="20"/>
              </w:rPr>
            </w:pPr>
            <w:r w:rsidRPr="00D55DC6">
              <w:rPr>
                <w:rFonts w:eastAsia="標楷體"/>
                <w:sz w:val="20"/>
                <w:szCs w:val="20"/>
              </w:rPr>
              <w:t>3</w:t>
            </w:r>
            <w:r w:rsidR="00040EDC" w:rsidRPr="00D55DC6">
              <w:rPr>
                <w:rFonts w:eastAsia="標楷體"/>
                <w:sz w:val="20"/>
                <w:szCs w:val="20"/>
              </w:rPr>
              <w:t>6</w:t>
            </w:r>
            <w:r w:rsidRPr="00D55DC6">
              <w:rPr>
                <w:rFonts w:eastAsia="標楷體"/>
                <w:sz w:val="20"/>
                <w:szCs w:val="20"/>
              </w:rPr>
              <w:t>.</w:t>
            </w:r>
            <w:r w:rsidR="00040EDC" w:rsidRPr="00D55DC6">
              <w:rPr>
                <w:rFonts w:eastAsia="標楷體"/>
                <w:sz w:val="20"/>
                <w:szCs w:val="20"/>
              </w:rPr>
              <w:t>01</w:t>
            </w:r>
            <w:r w:rsidRPr="00D55DC6">
              <w:rPr>
                <w:rFonts w:eastAsia="標楷體"/>
                <w:sz w:val="20"/>
                <w:szCs w:val="20"/>
              </w:rPr>
              <w:t>%</w:t>
            </w:r>
          </w:p>
        </w:tc>
        <w:tc>
          <w:tcPr>
            <w:tcW w:w="794"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39.77%</w:t>
            </w:r>
          </w:p>
        </w:tc>
        <w:tc>
          <w:tcPr>
            <w:tcW w:w="794" w:type="dxa"/>
            <w:gridSpan w:val="2"/>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39.77%</w:t>
            </w:r>
          </w:p>
        </w:tc>
        <w:tc>
          <w:tcPr>
            <w:tcW w:w="795"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40.73%</w:t>
            </w:r>
          </w:p>
        </w:tc>
        <w:tc>
          <w:tcPr>
            <w:tcW w:w="794"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40.73%</w:t>
            </w:r>
          </w:p>
        </w:tc>
        <w:tc>
          <w:tcPr>
            <w:tcW w:w="795"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40.73%</w:t>
            </w:r>
          </w:p>
        </w:tc>
        <w:tc>
          <w:tcPr>
            <w:tcW w:w="794"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40.73%</w:t>
            </w:r>
          </w:p>
        </w:tc>
        <w:tc>
          <w:tcPr>
            <w:tcW w:w="795"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40.73%</w:t>
            </w:r>
          </w:p>
        </w:tc>
        <w:tc>
          <w:tcPr>
            <w:tcW w:w="794"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FA7F7B">
            <w:pPr>
              <w:jc w:val="right"/>
              <w:rPr>
                <w:rFonts w:eastAsia="標楷體"/>
                <w:sz w:val="20"/>
                <w:szCs w:val="20"/>
              </w:rPr>
            </w:pPr>
            <w:r w:rsidRPr="00D55DC6">
              <w:rPr>
                <w:rFonts w:eastAsia="標楷體"/>
                <w:sz w:val="20"/>
                <w:szCs w:val="20"/>
              </w:rPr>
              <w:t>40.73%</w:t>
            </w:r>
          </w:p>
        </w:tc>
        <w:tc>
          <w:tcPr>
            <w:tcW w:w="795" w:type="dxa"/>
            <w:tcBorders>
              <w:top w:val="nil"/>
              <w:left w:val="nil"/>
              <w:bottom w:val="single" w:sz="4" w:space="0" w:color="auto"/>
              <w:right w:val="single" w:sz="4" w:space="0" w:color="auto"/>
            </w:tcBorders>
            <w:shd w:val="clear" w:color="000000" w:fill="FFFFFF"/>
            <w:noWrap/>
            <w:vAlign w:val="center"/>
          </w:tcPr>
          <w:p w:rsidR="001D7E08" w:rsidRPr="00D55DC6" w:rsidRDefault="001D7E08" w:rsidP="001D7E08">
            <w:pPr>
              <w:widowControl/>
              <w:spacing w:line="280" w:lineRule="exact"/>
              <w:jc w:val="right"/>
              <w:rPr>
                <w:rFonts w:eastAsia="標楷體"/>
                <w:kern w:val="0"/>
                <w:sz w:val="20"/>
                <w:szCs w:val="20"/>
                <w:lang w:bidi="hi-IN"/>
              </w:rPr>
            </w:pPr>
            <w:r w:rsidRPr="00D55DC6">
              <w:rPr>
                <w:rFonts w:eastAsia="標楷體"/>
                <w:kern w:val="0"/>
                <w:sz w:val="20"/>
                <w:szCs w:val="20"/>
                <w:lang w:bidi="hi-IN"/>
              </w:rPr>
              <w:t>40.73%</w:t>
            </w:r>
          </w:p>
        </w:tc>
        <w:tc>
          <w:tcPr>
            <w:tcW w:w="1072" w:type="dxa"/>
            <w:tcBorders>
              <w:top w:val="nil"/>
              <w:left w:val="nil"/>
              <w:bottom w:val="single" w:sz="4" w:space="0" w:color="auto"/>
              <w:right w:val="single" w:sz="4" w:space="0" w:color="auto"/>
            </w:tcBorders>
            <w:shd w:val="clear" w:color="000000" w:fill="FFFFFF"/>
            <w:vAlign w:val="center"/>
          </w:tcPr>
          <w:p w:rsidR="001D7E08" w:rsidRPr="00D55DC6" w:rsidRDefault="001D7E08" w:rsidP="00644577">
            <w:pPr>
              <w:widowControl/>
              <w:spacing w:line="280" w:lineRule="exact"/>
              <w:jc w:val="right"/>
              <w:rPr>
                <w:rFonts w:eastAsia="標楷體"/>
                <w:kern w:val="0"/>
                <w:sz w:val="20"/>
                <w:szCs w:val="20"/>
                <w:lang w:bidi="hi-IN"/>
              </w:rPr>
            </w:pPr>
            <w:r w:rsidRPr="00D55DC6">
              <w:rPr>
                <w:rFonts w:eastAsia="標楷體"/>
                <w:kern w:val="0"/>
                <w:sz w:val="20"/>
                <w:szCs w:val="20"/>
                <w:lang w:bidi="hi-IN"/>
              </w:rPr>
              <w:t>2</w:t>
            </w:r>
            <w:r w:rsidR="00644577" w:rsidRPr="00D55DC6">
              <w:rPr>
                <w:rFonts w:eastAsia="標楷體"/>
                <w:kern w:val="0"/>
                <w:sz w:val="20"/>
                <w:szCs w:val="20"/>
                <w:lang w:bidi="hi-IN"/>
              </w:rPr>
              <w:t>9</w:t>
            </w:r>
            <w:r w:rsidRPr="00D55DC6">
              <w:rPr>
                <w:rFonts w:eastAsia="標楷體"/>
                <w:kern w:val="0"/>
                <w:sz w:val="20"/>
                <w:szCs w:val="20"/>
                <w:lang w:bidi="hi-IN"/>
              </w:rPr>
              <w:t>.</w:t>
            </w:r>
            <w:r w:rsidR="00644577" w:rsidRPr="00D55DC6">
              <w:rPr>
                <w:rFonts w:eastAsia="標楷體"/>
                <w:kern w:val="0"/>
                <w:sz w:val="20"/>
                <w:szCs w:val="20"/>
                <w:lang w:bidi="hi-IN"/>
              </w:rPr>
              <w:t>70</w:t>
            </w:r>
            <w:r w:rsidRPr="00D55DC6">
              <w:rPr>
                <w:rFonts w:eastAsia="標楷體"/>
                <w:kern w:val="0"/>
                <w:sz w:val="20"/>
                <w:szCs w:val="20"/>
                <w:lang w:bidi="hi-IN"/>
              </w:rPr>
              <w:t>%</w:t>
            </w:r>
          </w:p>
        </w:tc>
      </w:tr>
      <w:tr w:rsidR="001D0350" w:rsidRPr="00D55DC6" w:rsidTr="001D7E08">
        <w:trPr>
          <w:gridAfter w:val="9"/>
          <w:wAfter w:w="7416" w:type="dxa"/>
          <w:trHeight w:val="330"/>
        </w:trPr>
        <w:tc>
          <w:tcPr>
            <w:tcW w:w="993" w:type="dxa"/>
            <w:tcBorders>
              <w:top w:val="nil"/>
              <w:left w:val="single" w:sz="4" w:space="0" w:color="auto"/>
              <w:bottom w:val="single" w:sz="4" w:space="0" w:color="auto"/>
              <w:right w:val="single" w:sz="4" w:space="0" w:color="auto"/>
            </w:tcBorders>
            <w:shd w:val="clear" w:color="000000" w:fill="FFFFCC"/>
            <w:noWrap/>
            <w:vAlign w:val="center"/>
          </w:tcPr>
          <w:p w:rsidR="001D7E08" w:rsidRPr="00D55DC6" w:rsidRDefault="001D7E08" w:rsidP="00FA7F7B">
            <w:pPr>
              <w:widowControl/>
              <w:adjustRightInd w:val="0"/>
              <w:snapToGrid w:val="0"/>
              <w:rPr>
                <w:rFonts w:eastAsia="標楷體"/>
                <w:b/>
                <w:bCs/>
                <w:kern w:val="0"/>
                <w:sz w:val="22"/>
                <w:szCs w:val="20"/>
              </w:rPr>
            </w:pPr>
            <w:r w:rsidRPr="00D55DC6">
              <w:rPr>
                <w:rFonts w:eastAsia="標楷體"/>
                <w:b/>
                <w:bCs/>
                <w:kern w:val="0"/>
                <w:sz w:val="22"/>
                <w:szCs w:val="20"/>
              </w:rPr>
              <w:t>投資現值</w:t>
            </w:r>
          </w:p>
        </w:tc>
        <w:tc>
          <w:tcPr>
            <w:tcW w:w="1684" w:type="dxa"/>
            <w:gridSpan w:val="3"/>
            <w:tcBorders>
              <w:top w:val="nil"/>
              <w:left w:val="nil"/>
              <w:bottom w:val="single" w:sz="4" w:space="0" w:color="auto"/>
              <w:right w:val="single" w:sz="4" w:space="0" w:color="auto"/>
            </w:tcBorders>
            <w:shd w:val="clear" w:color="000000" w:fill="FFFFCC"/>
            <w:noWrap/>
            <w:vAlign w:val="center"/>
          </w:tcPr>
          <w:p w:rsidR="001D7E08" w:rsidRPr="00D55DC6" w:rsidRDefault="001D7E08" w:rsidP="00E459B3">
            <w:pPr>
              <w:jc w:val="center"/>
              <w:rPr>
                <w:rFonts w:eastAsia="標楷體"/>
                <w:sz w:val="22"/>
                <w:szCs w:val="22"/>
              </w:rPr>
            </w:pPr>
            <w:r w:rsidRPr="00D55DC6">
              <w:rPr>
                <w:rFonts w:eastAsia="標楷體"/>
                <w:sz w:val="22"/>
                <w:szCs w:val="22"/>
              </w:rPr>
              <w:t>$4,</w:t>
            </w:r>
            <w:r w:rsidR="00644577" w:rsidRPr="00D55DC6">
              <w:rPr>
                <w:rFonts w:eastAsia="標楷體"/>
                <w:sz w:val="22"/>
                <w:szCs w:val="22"/>
              </w:rPr>
              <w:t>3</w:t>
            </w:r>
            <w:r w:rsidR="00E459B3" w:rsidRPr="00D55DC6">
              <w:rPr>
                <w:rFonts w:eastAsia="標楷體"/>
                <w:sz w:val="22"/>
                <w:szCs w:val="22"/>
              </w:rPr>
              <w:t>37</w:t>
            </w:r>
            <w:r w:rsidRPr="00D55DC6">
              <w:rPr>
                <w:rFonts w:eastAsia="標楷體"/>
                <w:sz w:val="22"/>
                <w:szCs w:val="22"/>
              </w:rPr>
              <w:t>,</w:t>
            </w:r>
            <w:r w:rsidR="00E459B3" w:rsidRPr="00D55DC6">
              <w:rPr>
                <w:rFonts w:eastAsia="標楷體"/>
                <w:sz w:val="22"/>
                <w:szCs w:val="22"/>
              </w:rPr>
              <w:t>288</w:t>
            </w:r>
          </w:p>
        </w:tc>
      </w:tr>
      <w:tr w:rsidR="001D0350" w:rsidRPr="00D55DC6" w:rsidTr="001D7E08">
        <w:trPr>
          <w:gridAfter w:val="9"/>
          <w:wAfter w:w="7416" w:type="dxa"/>
          <w:trHeight w:val="330"/>
        </w:trPr>
        <w:tc>
          <w:tcPr>
            <w:tcW w:w="993" w:type="dxa"/>
            <w:tcBorders>
              <w:top w:val="nil"/>
              <w:left w:val="single" w:sz="4" w:space="0" w:color="auto"/>
              <w:bottom w:val="single" w:sz="4" w:space="0" w:color="auto"/>
              <w:right w:val="single" w:sz="4" w:space="0" w:color="auto"/>
            </w:tcBorders>
            <w:shd w:val="clear" w:color="000000" w:fill="FFFFCC"/>
            <w:noWrap/>
            <w:vAlign w:val="center"/>
          </w:tcPr>
          <w:p w:rsidR="001D7E08" w:rsidRPr="00D55DC6" w:rsidRDefault="001D7E08" w:rsidP="00FA7F7B">
            <w:pPr>
              <w:widowControl/>
              <w:adjustRightInd w:val="0"/>
              <w:snapToGrid w:val="0"/>
              <w:rPr>
                <w:rFonts w:eastAsia="標楷體"/>
                <w:b/>
                <w:bCs/>
                <w:kern w:val="0"/>
                <w:sz w:val="22"/>
                <w:szCs w:val="20"/>
              </w:rPr>
            </w:pPr>
            <w:r w:rsidRPr="00D55DC6">
              <w:rPr>
                <w:rFonts w:eastAsia="標楷體"/>
                <w:b/>
                <w:bCs/>
                <w:kern w:val="0"/>
                <w:sz w:val="22"/>
                <w:szCs w:val="20"/>
              </w:rPr>
              <w:t>收益現值</w:t>
            </w:r>
          </w:p>
        </w:tc>
        <w:tc>
          <w:tcPr>
            <w:tcW w:w="1684" w:type="dxa"/>
            <w:gridSpan w:val="3"/>
            <w:tcBorders>
              <w:top w:val="nil"/>
              <w:left w:val="nil"/>
              <w:bottom w:val="single" w:sz="4" w:space="0" w:color="auto"/>
              <w:right w:val="single" w:sz="4" w:space="0" w:color="auto"/>
            </w:tcBorders>
            <w:shd w:val="clear" w:color="000000" w:fill="FFFFCC"/>
            <w:noWrap/>
            <w:vAlign w:val="center"/>
          </w:tcPr>
          <w:p w:rsidR="001D7E08" w:rsidRPr="00D55DC6" w:rsidRDefault="001D7E08">
            <w:pPr>
              <w:jc w:val="center"/>
              <w:rPr>
                <w:rFonts w:eastAsia="標楷體"/>
                <w:sz w:val="22"/>
                <w:szCs w:val="22"/>
              </w:rPr>
            </w:pPr>
            <w:r w:rsidRPr="00D55DC6">
              <w:rPr>
                <w:rFonts w:eastAsia="標楷體"/>
                <w:sz w:val="22"/>
                <w:szCs w:val="22"/>
              </w:rPr>
              <w:t>$1,208,343</w:t>
            </w:r>
          </w:p>
        </w:tc>
      </w:tr>
      <w:tr w:rsidR="001D0350" w:rsidRPr="00D55DC6" w:rsidTr="001D7E08">
        <w:trPr>
          <w:gridAfter w:val="9"/>
          <w:wAfter w:w="7416" w:type="dxa"/>
          <w:trHeight w:val="330"/>
        </w:trPr>
        <w:tc>
          <w:tcPr>
            <w:tcW w:w="993" w:type="dxa"/>
            <w:tcBorders>
              <w:top w:val="nil"/>
              <w:left w:val="single" w:sz="4" w:space="0" w:color="auto"/>
              <w:bottom w:val="single" w:sz="4" w:space="0" w:color="auto"/>
              <w:right w:val="single" w:sz="4" w:space="0" w:color="auto"/>
            </w:tcBorders>
            <w:shd w:val="clear" w:color="000000" w:fill="FDE9D9"/>
            <w:noWrap/>
            <w:vAlign w:val="center"/>
          </w:tcPr>
          <w:p w:rsidR="001D7E08" w:rsidRPr="00D55DC6" w:rsidRDefault="001D7E08" w:rsidP="00FA7F7B">
            <w:pPr>
              <w:widowControl/>
              <w:adjustRightInd w:val="0"/>
              <w:snapToGrid w:val="0"/>
              <w:rPr>
                <w:rFonts w:eastAsia="標楷體"/>
                <w:kern w:val="0"/>
                <w:sz w:val="22"/>
                <w:szCs w:val="20"/>
              </w:rPr>
            </w:pPr>
            <w:r w:rsidRPr="00D55DC6">
              <w:rPr>
                <w:rFonts w:eastAsia="標楷體"/>
                <w:kern w:val="0"/>
                <w:sz w:val="18"/>
                <w:szCs w:val="20"/>
              </w:rPr>
              <w:t>計畫自償率</w:t>
            </w:r>
          </w:p>
        </w:tc>
        <w:tc>
          <w:tcPr>
            <w:tcW w:w="1684" w:type="dxa"/>
            <w:gridSpan w:val="3"/>
            <w:tcBorders>
              <w:top w:val="nil"/>
              <w:left w:val="nil"/>
              <w:bottom w:val="single" w:sz="4" w:space="0" w:color="auto"/>
              <w:right w:val="single" w:sz="4" w:space="0" w:color="auto"/>
            </w:tcBorders>
            <w:shd w:val="clear" w:color="000000" w:fill="FDE9D9"/>
            <w:noWrap/>
            <w:vAlign w:val="center"/>
          </w:tcPr>
          <w:p w:rsidR="001D7E08" w:rsidRPr="00D55DC6" w:rsidRDefault="001D7E08" w:rsidP="00E459B3">
            <w:pPr>
              <w:jc w:val="center"/>
              <w:rPr>
                <w:rFonts w:eastAsia="標楷體"/>
                <w:sz w:val="22"/>
                <w:szCs w:val="22"/>
              </w:rPr>
            </w:pPr>
            <w:r w:rsidRPr="00D55DC6">
              <w:rPr>
                <w:rFonts w:eastAsia="標楷體"/>
                <w:sz w:val="22"/>
                <w:szCs w:val="22"/>
              </w:rPr>
              <w:t>2</w:t>
            </w:r>
            <w:r w:rsidR="00644577" w:rsidRPr="00D55DC6">
              <w:rPr>
                <w:rFonts w:eastAsia="標楷體"/>
                <w:sz w:val="22"/>
                <w:szCs w:val="22"/>
              </w:rPr>
              <w:t>7</w:t>
            </w:r>
            <w:r w:rsidRPr="00D55DC6">
              <w:rPr>
                <w:rFonts w:eastAsia="標楷體"/>
                <w:sz w:val="22"/>
                <w:szCs w:val="22"/>
              </w:rPr>
              <w:t>.</w:t>
            </w:r>
            <w:r w:rsidR="00E459B3" w:rsidRPr="00D55DC6">
              <w:rPr>
                <w:rFonts w:eastAsia="標楷體"/>
                <w:sz w:val="22"/>
                <w:szCs w:val="22"/>
              </w:rPr>
              <w:t>86</w:t>
            </w:r>
            <w:r w:rsidRPr="00D55DC6">
              <w:rPr>
                <w:rFonts w:eastAsia="標楷體"/>
                <w:sz w:val="22"/>
                <w:szCs w:val="22"/>
              </w:rPr>
              <w:t>%</w:t>
            </w:r>
          </w:p>
        </w:tc>
      </w:tr>
    </w:tbl>
    <w:p w:rsidR="00DF2F67" w:rsidRPr="00D55DC6" w:rsidRDefault="00DF2F67" w:rsidP="00DF2F67">
      <w:pPr>
        <w:pStyle w:val="a"/>
        <w:numPr>
          <w:ilvl w:val="0"/>
          <w:numId w:val="0"/>
        </w:numPr>
        <w:adjustRightInd w:val="0"/>
        <w:ind w:left="709"/>
      </w:pPr>
    </w:p>
    <w:p w:rsidR="00BC28F3" w:rsidRPr="00D55DC6" w:rsidRDefault="00BC28F3" w:rsidP="00BC28F3">
      <w:pPr>
        <w:pStyle w:val="a"/>
        <w:numPr>
          <w:ilvl w:val="0"/>
          <w:numId w:val="0"/>
        </w:numPr>
        <w:adjustRightInd w:val="0"/>
        <w:ind w:left="709"/>
      </w:pPr>
      <w:r w:rsidRPr="00D55DC6">
        <w:t>計算結果，未來</w:t>
      </w:r>
      <w:r w:rsidRPr="00D55DC6">
        <w:t>20</w:t>
      </w:r>
      <w:r w:rsidRPr="00D55DC6">
        <w:t>年期間計畫投入現值約為</w:t>
      </w:r>
      <w:r w:rsidRPr="00D55DC6">
        <w:t>4</w:t>
      </w:r>
      <w:r w:rsidR="00644577" w:rsidRPr="00D55DC6">
        <w:t>3</w:t>
      </w:r>
      <w:r w:rsidRPr="00D55DC6">
        <w:t>億</w:t>
      </w:r>
      <w:r w:rsidR="00E459B3" w:rsidRPr="00D55DC6">
        <w:t>3</w:t>
      </w:r>
      <w:r w:rsidRPr="00D55DC6">
        <w:t>,</w:t>
      </w:r>
      <w:r w:rsidR="00E459B3" w:rsidRPr="00D55DC6">
        <w:t>728</w:t>
      </w:r>
      <w:r w:rsidRPr="00D55DC6">
        <w:t>萬</w:t>
      </w:r>
      <w:r w:rsidR="00E459B3" w:rsidRPr="00D55DC6">
        <w:t>8</w:t>
      </w:r>
      <w:r w:rsidR="00644577" w:rsidRPr="00D55DC6">
        <w:t>,00</w:t>
      </w:r>
      <w:r w:rsidRPr="00D55DC6">
        <w:t>0</w:t>
      </w:r>
      <w:r w:rsidRPr="00D55DC6">
        <w:t>元；而收益預估現值約為</w:t>
      </w:r>
      <w:r w:rsidRPr="00D55DC6">
        <w:t>12</w:t>
      </w:r>
      <w:r w:rsidRPr="00D55DC6">
        <w:t>億</w:t>
      </w:r>
      <w:r w:rsidRPr="00D55DC6">
        <w:t>834</w:t>
      </w:r>
      <w:r w:rsidRPr="00D55DC6">
        <w:t>萬</w:t>
      </w:r>
      <w:r w:rsidRPr="00D55DC6">
        <w:t>3,000</w:t>
      </w:r>
      <w:r w:rsidRPr="00D55DC6">
        <w:t>元，故整體計畫自償率計算預估為</w:t>
      </w:r>
      <w:r w:rsidRPr="00D55DC6">
        <w:t>2</w:t>
      </w:r>
      <w:r w:rsidR="00644577" w:rsidRPr="00D55DC6">
        <w:t>7</w:t>
      </w:r>
      <w:r w:rsidRPr="00D55DC6">
        <w:t>.</w:t>
      </w:r>
      <w:r w:rsidR="00E459B3" w:rsidRPr="00D55DC6">
        <w:t>86</w:t>
      </w:r>
      <w:r w:rsidRPr="00D55DC6">
        <w:t>%</w:t>
      </w:r>
      <w:r w:rsidRPr="00D55DC6">
        <w:t>。</w:t>
      </w:r>
    </w:p>
    <w:p w:rsidR="00DF2F67" w:rsidRPr="00D55DC6" w:rsidRDefault="00DF2F67" w:rsidP="00DF2F67">
      <w:pPr>
        <w:pStyle w:val="a"/>
        <w:numPr>
          <w:ilvl w:val="0"/>
          <w:numId w:val="0"/>
        </w:numPr>
        <w:adjustRightInd w:val="0"/>
        <w:ind w:left="709"/>
      </w:pPr>
    </w:p>
    <w:p w:rsidR="00DF2F67" w:rsidRPr="00D55DC6" w:rsidRDefault="00DF2F67" w:rsidP="00DF2F67">
      <w:pPr>
        <w:adjustRightInd w:val="0"/>
        <w:snapToGrid w:val="0"/>
        <w:spacing w:line="460" w:lineRule="exact"/>
        <w:ind w:leftChars="320" w:left="768" w:firstLineChars="198" w:firstLine="554"/>
        <w:jc w:val="both"/>
        <w:rPr>
          <w:rFonts w:eastAsia="標楷體"/>
          <w:sz w:val="28"/>
          <w:szCs w:val="28"/>
        </w:rPr>
      </w:pPr>
      <w:r w:rsidRPr="00D55DC6">
        <w:rPr>
          <w:rFonts w:eastAsia="標楷體"/>
          <w:sz w:val="28"/>
          <w:szCs w:val="28"/>
        </w:rPr>
        <w:lastRenderedPageBreak/>
        <w:t>另外依據計畫執行風險敏感性試算得知，計畫財務指標深受大鵬灣灣域</w:t>
      </w:r>
      <w:r w:rsidRPr="00D55DC6">
        <w:rPr>
          <w:rFonts w:eastAsia="標楷體"/>
          <w:sz w:val="28"/>
          <w:szCs w:val="28"/>
        </w:rPr>
        <w:t>BOT</w:t>
      </w:r>
      <w:r w:rsidRPr="00D55DC6">
        <w:rPr>
          <w:rFonts w:eastAsia="標楷體"/>
          <w:sz w:val="28"/>
          <w:szCs w:val="28"/>
        </w:rPr>
        <w:t>基地開發效果與長期計畫推動時程不確定風險特性之影響</w:t>
      </w:r>
      <w:r w:rsidRPr="00D55DC6">
        <w:rPr>
          <w:rFonts w:eastAsia="標楷體"/>
          <w:sz w:val="28"/>
          <w:szCs w:val="28"/>
        </w:rPr>
        <w:t>(</w:t>
      </w:r>
      <w:r w:rsidRPr="00D55DC6">
        <w:rPr>
          <w:rFonts w:eastAsia="標楷體"/>
          <w:sz w:val="28"/>
          <w:szCs w:val="28"/>
        </w:rPr>
        <w:t>以保守條件推估計畫自償率會下降至</w:t>
      </w:r>
      <w:r w:rsidRPr="00D55DC6">
        <w:rPr>
          <w:rFonts w:eastAsia="標楷體"/>
          <w:sz w:val="28"/>
          <w:szCs w:val="28"/>
        </w:rPr>
        <w:t>23</w:t>
      </w:r>
      <w:r w:rsidRPr="00D55DC6">
        <w:rPr>
          <w:rFonts w:eastAsia="標楷體"/>
          <w:sz w:val="28"/>
          <w:szCs w:val="28"/>
        </w:rPr>
        <w:t>％以下</w:t>
      </w:r>
      <w:r w:rsidRPr="00D55DC6">
        <w:rPr>
          <w:rFonts w:eastAsia="標楷體"/>
          <w:sz w:val="28"/>
          <w:szCs w:val="28"/>
        </w:rPr>
        <w:t>)</w:t>
      </w:r>
      <w:r w:rsidRPr="00D55DC6">
        <w:rPr>
          <w:rFonts w:eastAsia="標楷體"/>
          <w:sz w:val="28"/>
          <w:szCs w:val="28"/>
        </w:rPr>
        <w:t>，但計畫已充分參酌國發會之政策建議提出跨域整合性財源構想，縱然基於國家風景區管轄範圍廣大（且已有</w:t>
      </w:r>
      <w:r w:rsidRPr="00D55DC6">
        <w:rPr>
          <w:rFonts w:eastAsia="標楷體"/>
          <w:sz w:val="28"/>
          <w:szCs w:val="28"/>
        </w:rPr>
        <w:t>15</w:t>
      </w:r>
      <w:r w:rsidRPr="00D55DC6">
        <w:rPr>
          <w:rFonts w:eastAsia="標楷體"/>
          <w:sz w:val="28"/>
          <w:szCs w:val="28"/>
        </w:rPr>
        <w:t>年以上的建置基礎），但多數遊憩區與離島觀光資源據點地權並不屬於管理處經管，且管理處僅有經營權與服務責任，現況僅能以透過土地相關法令及相關單位之協助，達成「跨域加值公共建設財務規劃」的政策經營目標。</w:t>
      </w:r>
    </w:p>
    <w:p w:rsidR="00DF2F67" w:rsidRPr="00D55DC6" w:rsidRDefault="00DF2F67" w:rsidP="00DF2F67">
      <w:pPr>
        <w:adjustRightInd w:val="0"/>
        <w:snapToGrid w:val="0"/>
        <w:spacing w:line="460" w:lineRule="exact"/>
        <w:ind w:leftChars="320" w:left="768" w:firstLineChars="198" w:firstLine="554"/>
        <w:jc w:val="both"/>
        <w:rPr>
          <w:rFonts w:eastAsia="標楷體"/>
          <w:sz w:val="28"/>
          <w:szCs w:val="28"/>
        </w:rPr>
      </w:pPr>
      <w:r w:rsidRPr="00D55DC6">
        <w:rPr>
          <w:rFonts w:eastAsia="標楷體"/>
          <w:sz w:val="28"/>
          <w:szCs w:val="28"/>
        </w:rPr>
        <w:t>考量未來觀光發展前景、國家財政資源日形緊絀及各類開發行為所帶來之後續衍生衝擊等課題，後續大鵬灣國家風景區計畫將繼續強化檢視各風景區觀光資源及範圍內、外之土地使用規劃方向，視實際需要逐步提出私有地權遊憩區整合開發計畫與財務規劃更新，期使公共建設能有效帶動地方及產業發展，達成「以財政支援建設、以建設培養財源」之良性循環，並確保觀光資源得以永續發展，進而積極打造大鵬灣國家風景區成為國際級水域遊憩度假基地之觀光經營目標。</w:t>
      </w:r>
    </w:p>
    <w:p w:rsidR="00DF2F67" w:rsidRPr="00D55DC6" w:rsidRDefault="00DF2F67" w:rsidP="00DF2F67">
      <w:pPr>
        <w:adjustRightInd w:val="0"/>
        <w:snapToGrid w:val="0"/>
        <w:spacing w:line="460" w:lineRule="exact"/>
        <w:ind w:leftChars="320" w:left="768" w:firstLineChars="198" w:firstLine="554"/>
        <w:jc w:val="both"/>
        <w:rPr>
          <w:rFonts w:eastAsia="標楷體"/>
          <w:sz w:val="28"/>
          <w:szCs w:val="28"/>
        </w:rPr>
      </w:pPr>
    </w:p>
    <w:p w:rsidR="00DF2F67" w:rsidRPr="00D55DC6" w:rsidRDefault="00DF2F67" w:rsidP="00DF2F67">
      <w:pPr>
        <w:adjustRightInd w:val="0"/>
        <w:snapToGrid w:val="0"/>
        <w:spacing w:line="460" w:lineRule="exact"/>
        <w:ind w:leftChars="320" w:left="768" w:firstLineChars="198" w:firstLine="554"/>
        <w:jc w:val="both"/>
        <w:rPr>
          <w:rFonts w:eastAsia="標楷體"/>
          <w:sz w:val="28"/>
          <w:szCs w:val="28"/>
        </w:rPr>
      </w:pPr>
    </w:p>
    <w:p w:rsidR="00DF2F67" w:rsidRPr="00D55DC6" w:rsidRDefault="00DF2F67" w:rsidP="00DF2F67">
      <w:pPr>
        <w:pStyle w:val="a"/>
        <w:ind w:left="709" w:hanging="709"/>
        <w:rPr>
          <w:b/>
        </w:rPr>
      </w:pPr>
      <w:bookmarkStart w:id="163" w:name="_Toc407181722"/>
      <w:r w:rsidRPr="00D55DC6">
        <w:rPr>
          <w:b/>
        </w:rPr>
        <w:t>附則</w:t>
      </w:r>
      <w:bookmarkEnd w:id="163"/>
    </w:p>
    <w:p w:rsidR="00DF2F67" w:rsidRPr="00D55DC6" w:rsidRDefault="00DF2F67" w:rsidP="004865C1">
      <w:pPr>
        <w:pStyle w:val="33"/>
        <w:numPr>
          <w:ilvl w:val="0"/>
          <w:numId w:val="158"/>
        </w:numPr>
        <w:adjustRightInd w:val="0"/>
        <w:snapToGrid w:val="0"/>
        <w:spacing w:line="460" w:lineRule="exact"/>
        <w:ind w:leftChars="0"/>
        <w:jc w:val="both"/>
        <w:rPr>
          <w:rFonts w:eastAsia="標楷體"/>
          <w:b/>
          <w:sz w:val="28"/>
          <w:szCs w:val="28"/>
        </w:rPr>
      </w:pPr>
      <w:r w:rsidRPr="00D55DC6">
        <w:rPr>
          <w:rFonts w:eastAsia="標楷體"/>
          <w:b/>
          <w:sz w:val="28"/>
          <w:szCs w:val="28"/>
        </w:rPr>
        <w:t>風險評估</w:t>
      </w:r>
    </w:p>
    <w:p w:rsidR="00DF2F67" w:rsidRPr="00D55DC6" w:rsidRDefault="00DF2F67" w:rsidP="00DF2F67">
      <w:pPr>
        <w:adjustRightInd w:val="0"/>
        <w:snapToGrid w:val="0"/>
        <w:spacing w:line="460" w:lineRule="exact"/>
        <w:ind w:leftChars="354" w:left="850"/>
        <w:jc w:val="both"/>
        <w:rPr>
          <w:rFonts w:eastAsia="標楷體"/>
          <w:sz w:val="28"/>
          <w:szCs w:val="28"/>
        </w:rPr>
      </w:pPr>
      <w:r w:rsidRPr="00D55DC6">
        <w:rPr>
          <w:rFonts w:eastAsia="標楷體"/>
          <w:sz w:val="28"/>
          <w:szCs w:val="28"/>
        </w:rPr>
        <w:t>本計畫編列之執行項目，土地均已取得，設施施作由相關單位審查後即可辦理發包執行，因此執行上風險可以忽略。</w:t>
      </w:r>
    </w:p>
    <w:p w:rsidR="00DF2F67" w:rsidRPr="00D55DC6" w:rsidRDefault="00DF2F67" w:rsidP="004865C1">
      <w:pPr>
        <w:pStyle w:val="33"/>
        <w:numPr>
          <w:ilvl w:val="0"/>
          <w:numId w:val="158"/>
        </w:numPr>
        <w:adjustRightInd w:val="0"/>
        <w:snapToGrid w:val="0"/>
        <w:spacing w:line="460" w:lineRule="exact"/>
        <w:ind w:leftChars="0"/>
        <w:jc w:val="both"/>
        <w:rPr>
          <w:rFonts w:eastAsia="標楷體"/>
          <w:b/>
          <w:sz w:val="28"/>
          <w:szCs w:val="28"/>
        </w:rPr>
      </w:pPr>
      <w:r w:rsidRPr="00D55DC6">
        <w:rPr>
          <w:rFonts w:eastAsia="標楷體"/>
          <w:b/>
          <w:sz w:val="28"/>
          <w:szCs w:val="28"/>
        </w:rPr>
        <w:t>相關機關配合事項</w:t>
      </w:r>
    </w:p>
    <w:p w:rsidR="00DF2F67" w:rsidRPr="00D55DC6" w:rsidRDefault="00DF2F67" w:rsidP="00DF2F67">
      <w:pPr>
        <w:pStyle w:val="33"/>
        <w:adjustRightInd w:val="0"/>
        <w:snapToGrid w:val="0"/>
        <w:spacing w:line="460" w:lineRule="exact"/>
        <w:ind w:leftChars="279" w:left="950" w:hangingChars="100" w:hanging="280"/>
        <w:jc w:val="both"/>
        <w:rPr>
          <w:rFonts w:eastAsia="標楷體"/>
          <w:sz w:val="28"/>
          <w:szCs w:val="28"/>
        </w:rPr>
      </w:pPr>
      <w:r w:rsidRPr="00D55DC6">
        <w:rPr>
          <w:rFonts w:eastAsia="標楷體"/>
          <w:sz w:val="28"/>
          <w:szCs w:val="28"/>
        </w:rPr>
        <w:t>1.</w:t>
      </w:r>
      <w:r w:rsidRPr="00D55DC6">
        <w:rPr>
          <w:rFonts w:eastAsia="標楷體"/>
          <w:sz w:val="28"/>
          <w:szCs w:val="28"/>
        </w:rPr>
        <w:t>屏東縣政府</w:t>
      </w:r>
      <w:r w:rsidRPr="00D55DC6">
        <w:rPr>
          <w:sz w:val="28"/>
          <w:szCs w:val="28"/>
        </w:rPr>
        <w:t>：</w:t>
      </w:r>
      <w:r w:rsidRPr="00D55DC6">
        <w:rPr>
          <w:rFonts w:eastAsia="標楷體"/>
          <w:sz w:val="28"/>
          <w:szCs w:val="28"/>
        </w:rPr>
        <w:t>協助辦理保護區公告管制、船舶檢查及核照、水土保持審查及配合審查發照。</w:t>
      </w:r>
    </w:p>
    <w:p w:rsidR="00DF2F67" w:rsidRPr="00D55DC6" w:rsidRDefault="00DF2F67" w:rsidP="00DF2F67">
      <w:pPr>
        <w:pStyle w:val="33"/>
        <w:adjustRightInd w:val="0"/>
        <w:snapToGrid w:val="0"/>
        <w:spacing w:line="460" w:lineRule="exact"/>
        <w:ind w:leftChars="279" w:left="950" w:hangingChars="100" w:hanging="280"/>
        <w:jc w:val="both"/>
        <w:rPr>
          <w:rFonts w:eastAsia="標楷體"/>
          <w:sz w:val="28"/>
          <w:szCs w:val="28"/>
        </w:rPr>
      </w:pPr>
      <w:r w:rsidRPr="00D55DC6">
        <w:rPr>
          <w:rFonts w:eastAsia="標楷體"/>
          <w:sz w:val="28"/>
          <w:szCs w:val="28"/>
        </w:rPr>
        <w:t>2.</w:t>
      </w:r>
      <w:r w:rsidRPr="00D55DC6">
        <w:rPr>
          <w:rFonts w:eastAsia="標楷體"/>
          <w:sz w:val="28"/>
          <w:szCs w:val="28"/>
        </w:rPr>
        <w:t>琉球鄉公所</w:t>
      </w:r>
      <w:r w:rsidRPr="00D55DC6">
        <w:rPr>
          <w:sz w:val="28"/>
          <w:szCs w:val="28"/>
        </w:rPr>
        <w:t>：</w:t>
      </w:r>
      <w:r w:rsidRPr="00D55DC6">
        <w:rPr>
          <w:rFonts w:eastAsia="標楷體"/>
          <w:sz w:val="28"/>
          <w:szCs w:val="28"/>
        </w:rPr>
        <w:t>協助會勘工程施作地點及需求。</w:t>
      </w:r>
    </w:p>
    <w:p w:rsidR="00FA7F7B" w:rsidRPr="00D55DC6" w:rsidRDefault="00FA7F7B">
      <w:pPr>
        <w:widowControl/>
        <w:rPr>
          <w:rFonts w:eastAsia="標楷體"/>
          <w:sz w:val="28"/>
          <w:szCs w:val="28"/>
        </w:rPr>
      </w:pPr>
      <w:r w:rsidRPr="00D55DC6">
        <w:rPr>
          <w:rFonts w:eastAsia="標楷體"/>
          <w:sz w:val="28"/>
          <w:szCs w:val="28"/>
        </w:rPr>
        <w:br w:type="page"/>
      </w:r>
    </w:p>
    <w:p w:rsidR="00682D08" w:rsidRPr="00D55DC6" w:rsidRDefault="00682D08" w:rsidP="00682D08">
      <w:pPr>
        <w:snapToGrid w:val="0"/>
        <w:spacing w:line="460" w:lineRule="exact"/>
        <w:jc w:val="both"/>
        <w:rPr>
          <w:rFonts w:eastAsia="標楷體"/>
          <w:b/>
          <w:sz w:val="28"/>
          <w:szCs w:val="28"/>
        </w:rPr>
      </w:pPr>
      <w:r w:rsidRPr="00D55DC6">
        <w:rPr>
          <w:rFonts w:eastAsia="標楷體"/>
          <w:b/>
          <w:sz w:val="28"/>
          <w:szCs w:val="28"/>
        </w:rPr>
        <w:lastRenderedPageBreak/>
        <w:t>拾、東部海岸國家風景區建設計畫</w:t>
      </w:r>
    </w:p>
    <w:p w:rsidR="00682D08" w:rsidRPr="00D55DC6" w:rsidRDefault="00682D08" w:rsidP="00682D08">
      <w:pPr>
        <w:snapToGrid w:val="0"/>
        <w:spacing w:line="460" w:lineRule="exact"/>
        <w:ind w:left="1386" w:hanging="1102"/>
        <w:jc w:val="both"/>
        <w:rPr>
          <w:rFonts w:eastAsia="標楷體"/>
          <w:sz w:val="28"/>
          <w:szCs w:val="28"/>
        </w:rPr>
      </w:pPr>
    </w:p>
    <w:p w:rsidR="00682D08" w:rsidRPr="00D55DC6" w:rsidRDefault="00682D08" w:rsidP="004865C1">
      <w:pPr>
        <w:pStyle w:val="a"/>
        <w:numPr>
          <w:ilvl w:val="0"/>
          <w:numId w:val="175"/>
        </w:numPr>
        <w:ind w:left="709"/>
        <w:rPr>
          <w:b/>
        </w:rPr>
      </w:pPr>
      <w:bookmarkStart w:id="164" w:name="_Toc407181723"/>
      <w:r w:rsidRPr="00D55DC6">
        <w:rPr>
          <w:b/>
        </w:rPr>
        <w:t>計畫緣起</w:t>
      </w:r>
      <w:bookmarkEnd w:id="164"/>
    </w:p>
    <w:p w:rsidR="00682D08" w:rsidRPr="00D55DC6" w:rsidRDefault="00682D08" w:rsidP="004865C1">
      <w:pPr>
        <w:pStyle w:val="af2"/>
        <w:numPr>
          <w:ilvl w:val="0"/>
          <w:numId w:val="176"/>
        </w:numPr>
        <w:snapToGrid w:val="0"/>
        <w:spacing w:line="460" w:lineRule="exact"/>
        <w:ind w:leftChars="0"/>
        <w:jc w:val="both"/>
        <w:rPr>
          <w:rFonts w:eastAsia="標楷體"/>
          <w:sz w:val="28"/>
          <w:szCs w:val="28"/>
        </w:rPr>
      </w:pPr>
      <w:r w:rsidRPr="00D55DC6">
        <w:rPr>
          <w:rFonts w:eastAsia="標楷體"/>
          <w:sz w:val="28"/>
          <w:szCs w:val="28"/>
        </w:rPr>
        <w:t>依據</w:t>
      </w:r>
    </w:p>
    <w:p w:rsidR="00682D08" w:rsidRPr="00D55DC6" w:rsidRDefault="00682D08" w:rsidP="00682D08">
      <w:pPr>
        <w:pStyle w:val="af2"/>
        <w:snapToGrid w:val="0"/>
        <w:spacing w:line="460" w:lineRule="exact"/>
        <w:ind w:leftChars="0" w:left="907"/>
        <w:jc w:val="both"/>
        <w:rPr>
          <w:rFonts w:eastAsia="標楷體"/>
          <w:sz w:val="28"/>
          <w:szCs w:val="28"/>
        </w:rPr>
      </w:pPr>
      <w:r w:rsidRPr="00D55DC6">
        <w:rPr>
          <w:rFonts w:eastAsia="標楷體"/>
          <w:sz w:val="28"/>
          <w:szCs w:val="28"/>
        </w:rPr>
        <w:t>為有效發揮政府重大公共建設計畫觀光次類別經費之投資效益，強化具體投資成果，延續「重要觀光景點建設中程計畫（</w:t>
      </w:r>
      <w:r w:rsidRPr="00D55DC6">
        <w:rPr>
          <w:rFonts w:eastAsia="標楷體"/>
          <w:sz w:val="28"/>
          <w:szCs w:val="28"/>
        </w:rPr>
        <w:t>101</w:t>
      </w:r>
      <w:r w:rsidRPr="00D55DC6">
        <w:rPr>
          <w:rFonts w:eastAsia="標楷體"/>
          <w:sz w:val="28"/>
          <w:szCs w:val="28"/>
        </w:rPr>
        <w:t>至</w:t>
      </w:r>
      <w:r w:rsidRPr="00D55DC6">
        <w:rPr>
          <w:rFonts w:eastAsia="標楷體"/>
          <w:sz w:val="28"/>
          <w:szCs w:val="28"/>
        </w:rPr>
        <w:t>104</w:t>
      </w:r>
      <w:r w:rsidRPr="00D55DC6">
        <w:rPr>
          <w:rFonts w:eastAsia="標楷體"/>
          <w:sz w:val="28"/>
          <w:szCs w:val="28"/>
        </w:rPr>
        <w:t>年）」（行政院</w:t>
      </w:r>
      <w:r w:rsidRPr="00D55DC6">
        <w:rPr>
          <w:rFonts w:eastAsia="標楷體"/>
          <w:sz w:val="28"/>
          <w:szCs w:val="28"/>
        </w:rPr>
        <w:t>100</w:t>
      </w:r>
      <w:r w:rsidRPr="00D55DC6">
        <w:rPr>
          <w:rFonts w:eastAsia="標楷體"/>
          <w:sz w:val="28"/>
          <w:szCs w:val="28"/>
        </w:rPr>
        <w:t>年</w:t>
      </w:r>
      <w:r w:rsidRPr="00D55DC6">
        <w:rPr>
          <w:rFonts w:eastAsia="標楷體"/>
          <w:sz w:val="28"/>
          <w:szCs w:val="28"/>
        </w:rPr>
        <w:t>8</w:t>
      </w:r>
      <w:r w:rsidRPr="00D55DC6">
        <w:rPr>
          <w:rFonts w:eastAsia="標楷體"/>
          <w:sz w:val="28"/>
          <w:szCs w:val="28"/>
        </w:rPr>
        <w:t>月</w:t>
      </w:r>
      <w:r w:rsidRPr="00D55DC6">
        <w:rPr>
          <w:rFonts w:eastAsia="標楷體"/>
          <w:sz w:val="28"/>
          <w:szCs w:val="28"/>
        </w:rPr>
        <w:t>22</w:t>
      </w:r>
      <w:r w:rsidRPr="00D55DC6">
        <w:rPr>
          <w:rFonts w:eastAsia="標楷體"/>
          <w:sz w:val="28"/>
          <w:szCs w:val="28"/>
        </w:rPr>
        <w:t>日院臺交字第</w:t>
      </w:r>
      <w:r w:rsidRPr="00D55DC6">
        <w:rPr>
          <w:rFonts w:eastAsia="標楷體"/>
          <w:sz w:val="28"/>
          <w:szCs w:val="28"/>
        </w:rPr>
        <w:t>1000044174</w:t>
      </w:r>
      <w:r w:rsidRPr="00D55DC6">
        <w:rPr>
          <w:rFonts w:eastAsia="標楷體"/>
          <w:sz w:val="28"/>
          <w:szCs w:val="28"/>
        </w:rPr>
        <w:t>號函核定）建設成果，並調整以</w:t>
      </w:r>
      <w:r w:rsidRPr="00D55DC6">
        <w:rPr>
          <w:rFonts w:eastAsia="標楷體"/>
          <w:sz w:val="28"/>
          <w:szCs w:val="28"/>
        </w:rPr>
        <w:t>1.</w:t>
      </w:r>
      <w:r w:rsidRPr="00D55DC6">
        <w:rPr>
          <w:rFonts w:eastAsia="標楷體"/>
          <w:sz w:val="28"/>
          <w:szCs w:val="28"/>
        </w:rPr>
        <w:t>國際觀光重要景點建設、</w:t>
      </w:r>
      <w:r w:rsidRPr="00D55DC6">
        <w:rPr>
          <w:rFonts w:eastAsia="標楷體"/>
          <w:sz w:val="28"/>
          <w:szCs w:val="28"/>
        </w:rPr>
        <w:t>2.</w:t>
      </w:r>
      <w:r w:rsidRPr="00D55DC6">
        <w:rPr>
          <w:rFonts w:eastAsia="標楷體"/>
          <w:sz w:val="28"/>
          <w:szCs w:val="28"/>
        </w:rPr>
        <w:t>國內觀光重要景點建設、</w:t>
      </w:r>
      <w:r w:rsidRPr="00D55DC6">
        <w:rPr>
          <w:rFonts w:eastAsia="標楷體"/>
          <w:sz w:val="28"/>
          <w:szCs w:val="28"/>
        </w:rPr>
        <w:t>3.</w:t>
      </w:r>
      <w:r w:rsidRPr="00D55DC6">
        <w:rPr>
          <w:rFonts w:eastAsia="標楷體"/>
          <w:sz w:val="28"/>
          <w:szCs w:val="28"/>
        </w:rPr>
        <w:t>國家風景區經營管理維護等投資重點與優先順序，研擬「重要觀光景點建設中程計畫</w:t>
      </w:r>
      <w:r w:rsidRPr="00D55DC6">
        <w:rPr>
          <w:rFonts w:eastAsia="標楷體"/>
          <w:sz w:val="28"/>
          <w:szCs w:val="28"/>
        </w:rPr>
        <w:t>(105-108</w:t>
      </w:r>
      <w:r w:rsidRPr="00D55DC6">
        <w:rPr>
          <w:rFonts w:eastAsia="標楷體"/>
          <w:sz w:val="28"/>
          <w:szCs w:val="28"/>
        </w:rPr>
        <w:t>年</w:t>
      </w:r>
      <w:r w:rsidRPr="00D55DC6">
        <w:rPr>
          <w:rFonts w:eastAsia="標楷體"/>
          <w:sz w:val="28"/>
          <w:szCs w:val="28"/>
        </w:rPr>
        <w:t>)</w:t>
      </w:r>
      <w:r w:rsidRPr="00D55DC6">
        <w:rPr>
          <w:rFonts w:eastAsia="標楷體"/>
          <w:sz w:val="28"/>
          <w:szCs w:val="28"/>
        </w:rPr>
        <w:t>」。</w:t>
      </w:r>
    </w:p>
    <w:p w:rsidR="00682D08" w:rsidRPr="00D55DC6" w:rsidRDefault="00682D08" w:rsidP="004865C1">
      <w:pPr>
        <w:pStyle w:val="af2"/>
        <w:numPr>
          <w:ilvl w:val="0"/>
          <w:numId w:val="176"/>
        </w:numPr>
        <w:tabs>
          <w:tab w:val="left" w:pos="426"/>
        </w:tabs>
        <w:snapToGrid w:val="0"/>
        <w:spacing w:line="460" w:lineRule="exact"/>
        <w:ind w:leftChars="0"/>
        <w:jc w:val="both"/>
        <w:rPr>
          <w:rFonts w:eastAsia="標楷體"/>
          <w:sz w:val="28"/>
          <w:szCs w:val="28"/>
        </w:rPr>
      </w:pPr>
      <w:r w:rsidRPr="00D55DC6">
        <w:rPr>
          <w:rFonts w:eastAsia="標楷體"/>
          <w:sz w:val="28"/>
          <w:szCs w:val="28"/>
        </w:rPr>
        <w:t>未來環境預測</w:t>
      </w:r>
    </w:p>
    <w:p w:rsidR="00682D08" w:rsidRPr="00D55DC6" w:rsidRDefault="00682D08" w:rsidP="004865C1">
      <w:pPr>
        <w:pStyle w:val="af2"/>
        <w:numPr>
          <w:ilvl w:val="0"/>
          <w:numId w:val="165"/>
        </w:numPr>
        <w:snapToGrid w:val="0"/>
        <w:spacing w:line="460" w:lineRule="exact"/>
        <w:ind w:leftChars="0"/>
        <w:jc w:val="both"/>
        <w:rPr>
          <w:rFonts w:eastAsia="標楷體"/>
          <w:sz w:val="28"/>
          <w:szCs w:val="28"/>
        </w:rPr>
      </w:pPr>
      <w:r w:rsidRPr="00D55DC6">
        <w:rPr>
          <w:rFonts w:eastAsia="標楷體"/>
          <w:sz w:val="28"/>
          <w:szCs w:val="28"/>
        </w:rPr>
        <w:t>依管理處「東部海岸國家風景區觀光整體發展計畫檢討案」發展需求與適宜性分析章節中預測，全年度遊客量至</w:t>
      </w:r>
      <w:r w:rsidRPr="00D55DC6">
        <w:rPr>
          <w:rFonts w:eastAsia="標楷體"/>
          <w:sz w:val="28"/>
          <w:szCs w:val="28"/>
        </w:rPr>
        <w:t>109</w:t>
      </w:r>
      <w:r w:rsidRPr="00D55DC6">
        <w:rPr>
          <w:rFonts w:eastAsia="標楷體"/>
          <w:sz w:val="28"/>
          <w:szCs w:val="28"/>
        </w:rPr>
        <w:t>年達</w:t>
      </w:r>
      <w:r w:rsidRPr="00D55DC6">
        <w:rPr>
          <w:rFonts w:eastAsia="標楷體"/>
          <w:sz w:val="28"/>
          <w:szCs w:val="28"/>
        </w:rPr>
        <w:t>450</w:t>
      </w:r>
      <w:r w:rsidRPr="00D55DC6">
        <w:rPr>
          <w:rFonts w:eastAsia="標楷體"/>
          <w:sz w:val="28"/>
          <w:szCs w:val="28"/>
        </w:rPr>
        <w:t>萬人後將維持穩定。並經比對各系統遊客轉換率與公共設施數量後，僅成功</w:t>
      </w:r>
      <w:r w:rsidRPr="00D55DC6">
        <w:rPr>
          <w:rFonts w:eastAsia="標楷體"/>
          <w:sz w:val="28"/>
          <w:szCs w:val="28"/>
        </w:rPr>
        <w:t>/</w:t>
      </w:r>
      <w:r w:rsidRPr="00D55DC6">
        <w:rPr>
          <w:rFonts w:eastAsia="標楷體"/>
          <w:sz w:val="28"/>
          <w:szCs w:val="28"/>
        </w:rPr>
        <w:t>三仙台系統承載量稍有不足，其餘皆在承載範圍內。而遊客住宿部分以花東全區現有及未來興建旅館民宿房間總和後，足夠提供。</w:t>
      </w:r>
    </w:p>
    <w:p w:rsidR="00682D08" w:rsidRPr="00D55DC6" w:rsidRDefault="00682D08" w:rsidP="004865C1">
      <w:pPr>
        <w:pStyle w:val="af2"/>
        <w:numPr>
          <w:ilvl w:val="0"/>
          <w:numId w:val="165"/>
        </w:numPr>
        <w:snapToGrid w:val="0"/>
        <w:spacing w:line="460" w:lineRule="exact"/>
        <w:ind w:leftChars="0"/>
        <w:jc w:val="both"/>
        <w:rPr>
          <w:rFonts w:eastAsia="標楷體"/>
          <w:sz w:val="28"/>
          <w:szCs w:val="28"/>
        </w:rPr>
      </w:pPr>
      <w:r w:rsidRPr="00D55DC6">
        <w:rPr>
          <w:rFonts w:eastAsia="標楷體"/>
          <w:sz w:val="28"/>
          <w:szCs w:val="28"/>
        </w:rPr>
        <w:t>依目前全國區域計畫之針對環境敏感地區之相關定義與規定，本風景區約莫</w:t>
      </w:r>
      <w:r w:rsidR="002671B7" w:rsidRPr="00D55DC6">
        <w:rPr>
          <w:rFonts w:eastAsia="標楷體"/>
          <w:sz w:val="28"/>
          <w:szCs w:val="28"/>
        </w:rPr>
        <w:t>2</w:t>
      </w:r>
      <w:r w:rsidRPr="00D55DC6">
        <w:rPr>
          <w:rFonts w:eastAsia="標楷體"/>
          <w:sz w:val="28"/>
          <w:szCs w:val="28"/>
        </w:rPr>
        <w:t>成以上屬於</w:t>
      </w:r>
      <w:r w:rsidRPr="00D55DC6">
        <w:rPr>
          <w:rFonts w:eastAsia="標楷體"/>
          <w:sz w:val="28"/>
          <w:szCs w:val="28"/>
        </w:rPr>
        <w:t>1</w:t>
      </w:r>
      <w:r w:rsidRPr="00D55DC6">
        <w:rPr>
          <w:rFonts w:eastAsia="標楷體"/>
          <w:sz w:val="28"/>
          <w:szCs w:val="28"/>
        </w:rPr>
        <w:t>級環境敏感地區</w:t>
      </w:r>
      <w:r w:rsidRPr="00D55DC6">
        <w:rPr>
          <w:rFonts w:eastAsia="標楷體"/>
          <w:sz w:val="28"/>
          <w:szCs w:val="28"/>
        </w:rPr>
        <w:t>(</w:t>
      </w:r>
      <w:r w:rsidRPr="00D55DC6">
        <w:rPr>
          <w:rFonts w:eastAsia="標楷體"/>
          <w:sz w:val="28"/>
          <w:szCs w:val="28"/>
        </w:rPr>
        <w:t>以加強資源保育與環境保護及不破壞原生態環境與景觀資源為保育及發展原則</w:t>
      </w:r>
      <w:r w:rsidRPr="00D55DC6">
        <w:rPr>
          <w:rFonts w:eastAsia="標楷體"/>
          <w:sz w:val="28"/>
          <w:szCs w:val="28"/>
        </w:rPr>
        <w:t>)</w:t>
      </w:r>
      <w:r w:rsidRPr="00D55DC6">
        <w:rPr>
          <w:rFonts w:eastAsia="標楷體"/>
          <w:sz w:val="28"/>
          <w:szCs w:val="28"/>
        </w:rPr>
        <w:t>，此外全區既有都市計畫區、鄉村區及部分人口較為集中的既有聚落區均屬於</w:t>
      </w:r>
      <w:r w:rsidRPr="00D55DC6">
        <w:rPr>
          <w:rFonts w:eastAsia="標楷體"/>
          <w:sz w:val="28"/>
          <w:szCs w:val="28"/>
        </w:rPr>
        <w:t>2</w:t>
      </w:r>
      <w:r w:rsidRPr="00D55DC6">
        <w:rPr>
          <w:rFonts w:eastAsia="標楷體"/>
          <w:sz w:val="28"/>
          <w:szCs w:val="28"/>
        </w:rPr>
        <w:t>級環境敏感地區</w:t>
      </w:r>
      <w:r w:rsidRPr="00D55DC6">
        <w:rPr>
          <w:rFonts w:eastAsia="標楷體"/>
          <w:sz w:val="28"/>
          <w:szCs w:val="28"/>
        </w:rPr>
        <w:t>(</w:t>
      </w:r>
      <w:r w:rsidRPr="00D55DC6">
        <w:rPr>
          <w:rFonts w:eastAsia="標楷體"/>
          <w:sz w:val="28"/>
          <w:szCs w:val="28"/>
        </w:rPr>
        <w:t>考量某些環境敏感地區對於開發行為的容受力有限，為兼顧保育與開發，加強管制條件，規範該類土地開發</w:t>
      </w:r>
      <w:r w:rsidRPr="00D55DC6">
        <w:rPr>
          <w:rFonts w:eastAsia="標楷體"/>
          <w:sz w:val="28"/>
          <w:szCs w:val="28"/>
        </w:rPr>
        <w:t>)</w:t>
      </w:r>
      <w:r w:rsidRPr="00D55DC6">
        <w:rPr>
          <w:rFonts w:eastAsia="標楷體"/>
          <w:sz w:val="28"/>
          <w:szCs w:val="28"/>
        </w:rPr>
        <w:t>，因此相對在大型觀光產業發展腹地或重大開發案，有其發展侷限。</w:t>
      </w:r>
    </w:p>
    <w:p w:rsidR="00F14092" w:rsidRPr="00D55DC6" w:rsidRDefault="00F14092" w:rsidP="004865C1">
      <w:pPr>
        <w:pStyle w:val="af2"/>
        <w:numPr>
          <w:ilvl w:val="0"/>
          <w:numId w:val="165"/>
        </w:numPr>
        <w:snapToGrid w:val="0"/>
        <w:spacing w:line="460" w:lineRule="exact"/>
        <w:ind w:leftChars="0"/>
        <w:jc w:val="both"/>
        <w:rPr>
          <w:rFonts w:eastAsia="標楷體"/>
          <w:sz w:val="28"/>
          <w:szCs w:val="28"/>
        </w:rPr>
      </w:pPr>
      <w:r w:rsidRPr="00D55DC6">
        <w:rPr>
          <w:rFonts w:eastAsia="標楷體"/>
          <w:sz w:val="28"/>
          <w:szCs w:val="28"/>
        </w:rPr>
        <w:t>本國家風景區範圍除綠島外均屬於原住民族地區，轄內原住民族地區佔全區面積達</w:t>
      </w:r>
      <w:r w:rsidRPr="00D55DC6">
        <w:rPr>
          <w:rFonts w:eastAsia="標楷體"/>
          <w:sz w:val="28"/>
          <w:szCs w:val="28"/>
        </w:rPr>
        <w:t>90%</w:t>
      </w:r>
      <w:r w:rsidRPr="00D55DC6">
        <w:rPr>
          <w:rFonts w:eastAsia="標楷體"/>
          <w:sz w:val="28"/>
          <w:szCs w:val="28"/>
        </w:rPr>
        <w:t>以上。據此，於區內從事土地開發、資源利用、生態保育及學術研究時，絕大多數須依「原住民族基本法」第</w:t>
      </w:r>
      <w:r w:rsidRPr="00D55DC6">
        <w:rPr>
          <w:rFonts w:eastAsia="標楷體"/>
          <w:sz w:val="28"/>
          <w:szCs w:val="28"/>
        </w:rPr>
        <w:t>21</w:t>
      </w:r>
      <w:r w:rsidRPr="00D55DC6">
        <w:rPr>
          <w:rFonts w:eastAsia="標楷體"/>
          <w:sz w:val="28"/>
          <w:szCs w:val="28"/>
        </w:rPr>
        <w:t>條精神，辦理徵詢當地原住民族意見。</w:t>
      </w:r>
    </w:p>
    <w:p w:rsidR="00682D08" w:rsidRPr="00D55DC6" w:rsidRDefault="00682D08" w:rsidP="004865C1">
      <w:pPr>
        <w:pStyle w:val="af2"/>
        <w:numPr>
          <w:ilvl w:val="0"/>
          <w:numId w:val="165"/>
        </w:numPr>
        <w:snapToGrid w:val="0"/>
        <w:spacing w:line="460" w:lineRule="exact"/>
        <w:ind w:leftChars="0" w:left="960"/>
        <w:jc w:val="both"/>
        <w:rPr>
          <w:rFonts w:eastAsia="標楷體"/>
          <w:sz w:val="28"/>
          <w:szCs w:val="28"/>
        </w:rPr>
      </w:pPr>
      <w:r w:rsidRPr="00D55DC6">
        <w:rPr>
          <w:rFonts w:eastAsia="標楷體"/>
          <w:sz w:val="28"/>
          <w:szCs w:val="28"/>
        </w:rPr>
        <w:t>由於東部區域水源供給較不穩定</w:t>
      </w:r>
      <w:r w:rsidRPr="00D55DC6">
        <w:rPr>
          <w:rFonts w:eastAsia="標楷體"/>
          <w:sz w:val="28"/>
          <w:szCs w:val="28"/>
        </w:rPr>
        <w:t>(</w:t>
      </w:r>
      <w:r w:rsidRPr="00D55DC6">
        <w:rPr>
          <w:rFonts w:eastAsia="標楷體"/>
          <w:sz w:val="28"/>
          <w:szCs w:val="28"/>
        </w:rPr>
        <w:t>自來水基礎管線成本過高、地下水源存量缺乏監測資料與管理</w:t>
      </w:r>
      <w:r w:rsidRPr="00D55DC6">
        <w:rPr>
          <w:rFonts w:eastAsia="標楷體"/>
          <w:sz w:val="28"/>
          <w:szCs w:val="28"/>
        </w:rPr>
        <w:t>)</w:t>
      </w:r>
      <w:r w:rsidRPr="00D55DC6">
        <w:rPr>
          <w:rFonts w:eastAsia="標楷體"/>
          <w:sz w:val="28"/>
          <w:szCs w:val="28"/>
        </w:rPr>
        <w:t>，而外來旅客製造之汙水、廢棄物及車輛廢氣均未有適當處理方式，在相關在地民生需求設施無法優先滿</w:t>
      </w:r>
      <w:r w:rsidRPr="00D55DC6">
        <w:rPr>
          <w:rFonts w:eastAsia="標楷體"/>
          <w:sz w:val="28"/>
          <w:szCs w:val="28"/>
        </w:rPr>
        <w:lastRenderedPageBreak/>
        <w:t>足前，不宜再以遊客量的衝刺為目標，而應推動在尊重部落</w:t>
      </w:r>
      <w:r w:rsidR="000E57A6" w:rsidRPr="00D55DC6">
        <w:rPr>
          <w:rFonts w:eastAsia="標楷體"/>
          <w:sz w:val="28"/>
          <w:szCs w:val="28"/>
        </w:rPr>
        <w:t>與在地</w:t>
      </w:r>
      <w:r w:rsidRPr="00D55DC6">
        <w:rPr>
          <w:rFonts w:eastAsia="標楷體"/>
          <w:sz w:val="28"/>
          <w:szCs w:val="28"/>
        </w:rPr>
        <w:t>文化生活前提下，發展以部落及社區為核心的小眾旅遊，共存共榮並吸引青年回鄉就業。</w:t>
      </w:r>
    </w:p>
    <w:p w:rsidR="00682D08" w:rsidRPr="00D55DC6" w:rsidRDefault="00682D08" w:rsidP="00682D08">
      <w:pPr>
        <w:pStyle w:val="af2"/>
        <w:snapToGrid w:val="0"/>
        <w:spacing w:line="460" w:lineRule="exact"/>
        <w:ind w:leftChars="0" w:left="960"/>
        <w:jc w:val="both"/>
        <w:rPr>
          <w:rFonts w:eastAsia="標楷體"/>
          <w:sz w:val="28"/>
          <w:szCs w:val="28"/>
        </w:rPr>
      </w:pPr>
    </w:p>
    <w:p w:rsidR="00682D08" w:rsidRPr="00D55DC6" w:rsidRDefault="00682D08" w:rsidP="004865C1">
      <w:pPr>
        <w:pStyle w:val="af2"/>
        <w:numPr>
          <w:ilvl w:val="0"/>
          <w:numId w:val="176"/>
        </w:numPr>
        <w:snapToGrid w:val="0"/>
        <w:spacing w:line="460" w:lineRule="exact"/>
        <w:ind w:leftChars="0"/>
        <w:jc w:val="both"/>
        <w:rPr>
          <w:rFonts w:eastAsia="標楷體"/>
          <w:sz w:val="28"/>
          <w:szCs w:val="28"/>
        </w:rPr>
      </w:pPr>
      <w:r w:rsidRPr="00D55DC6">
        <w:rPr>
          <w:rFonts w:eastAsia="標楷體"/>
          <w:sz w:val="28"/>
          <w:szCs w:val="28"/>
        </w:rPr>
        <w:t>問題評析</w:t>
      </w:r>
    </w:p>
    <w:p w:rsidR="00682D08" w:rsidRPr="00D55DC6" w:rsidRDefault="00682D08" w:rsidP="004865C1">
      <w:pPr>
        <w:pStyle w:val="af2"/>
        <w:numPr>
          <w:ilvl w:val="0"/>
          <w:numId w:val="161"/>
        </w:numPr>
        <w:snapToGrid w:val="0"/>
        <w:spacing w:line="460" w:lineRule="exact"/>
        <w:ind w:leftChars="0"/>
        <w:jc w:val="both"/>
        <w:rPr>
          <w:rFonts w:eastAsia="標楷體"/>
          <w:sz w:val="28"/>
          <w:szCs w:val="28"/>
        </w:rPr>
      </w:pPr>
      <w:r w:rsidRPr="00D55DC6">
        <w:rPr>
          <w:rFonts w:eastAsia="標楷體"/>
          <w:sz w:val="28"/>
          <w:szCs w:val="28"/>
        </w:rPr>
        <w:t>需求量：自民國</w:t>
      </w:r>
      <w:r w:rsidRPr="00D55DC6">
        <w:rPr>
          <w:rFonts w:eastAsia="標楷體"/>
          <w:sz w:val="28"/>
          <w:szCs w:val="28"/>
        </w:rPr>
        <w:t>97</w:t>
      </w:r>
      <w:r w:rsidRPr="00D55DC6">
        <w:rPr>
          <w:rFonts w:eastAsia="標楷體"/>
          <w:sz w:val="28"/>
          <w:szCs w:val="28"/>
        </w:rPr>
        <w:t>年</w:t>
      </w:r>
      <w:r w:rsidRPr="00D55DC6">
        <w:rPr>
          <w:rFonts w:eastAsia="標楷體"/>
          <w:sz w:val="28"/>
          <w:szCs w:val="28"/>
        </w:rPr>
        <w:t>7</w:t>
      </w:r>
      <w:r w:rsidRPr="00D55DC6">
        <w:rPr>
          <w:rFonts w:eastAsia="標楷體"/>
          <w:sz w:val="28"/>
          <w:szCs w:val="28"/>
        </w:rPr>
        <w:t>月</w:t>
      </w:r>
      <w:r w:rsidRPr="00D55DC6">
        <w:rPr>
          <w:rFonts w:eastAsia="標楷體"/>
          <w:sz w:val="28"/>
          <w:szCs w:val="28"/>
        </w:rPr>
        <w:t>18</w:t>
      </w:r>
      <w:r w:rsidRPr="00D55DC6">
        <w:rPr>
          <w:rFonts w:eastAsia="標楷體"/>
          <w:sz w:val="28"/>
          <w:szCs w:val="28"/>
        </w:rPr>
        <w:t>日開放陸客觀光以來，遊客量自</w:t>
      </w:r>
      <w:r w:rsidRPr="00D55DC6">
        <w:rPr>
          <w:rFonts w:eastAsia="標楷體"/>
          <w:sz w:val="28"/>
          <w:szCs w:val="28"/>
        </w:rPr>
        <w:t>97</w:t>
      </w:r>
      <w:r w:rsidRPr="00D55DC6">
        <w:rPr>
          <w:rFonts w:eastAsia="標楷體"/>
          <w:sz w:val="28"/>
          <w:szCs w:val="28"/>
        </w:rPr>
        <w:t>年之</w:t>
      </w:r>
      <w:r w:rsidRPr="00D55DC6">
        <w:rPr>
          <w:rFonts w:eastAsia="標楷體"/>
          <w:sz w:val="28"/>
          <w:szCs w:val="28"/>
        </w:rPr>
        <w:t>2,261,076</w:t>
      </w:r>
      <w:r w:rsidRPr="00D55DC6">
        <w:rPr>
          <w:rFonts w:eastAsia="標楷體"/>
          <w:sz w:val="28"/>
          <w:szCs w:val="28"/>
        </w:rPr>
        <w:t>人次，逐年成長至民國</w:t>
      </w:r>
      <w:r w:rsidRPr="00D55DC6">
        <w:rPr>
          <w:rFonts w:eastAsia="標楷體"/>
          <w:sz w:val="28"/>
          <w:szCs w:val="28"/>
        </w:rPr>
        <w:t>102</w:t>
      </w:r>
      <w:r w:rsidRPr="00D55DC6">
        <w:rPr>
          <w:rFonts w:eastAsia="標楷體"/>
          <w:sz w:val="28"/>
          <w:szCs w:val="28"/>
        </w:rPr>
        <w:t>年為</w:t>
      </w:r>
      <w:r w:rsidRPr="00D55DC6">
        <w:rPr>
          <w:rFonts w:eastAsia="標楷體"/>
          <w:sz w:val="28"/>
          <w:szCs w:val="28"/>
        </w:rPr>
        <w:t>3,311,008</w:t>
      </w:r>
      <w:r w:rsidRPr="00D55DC6">
        <w:rPr>
          <w:rFonts w:eastAsia="標楷體"/>
          <w:sz w:val="28"/>
          <w:szCs w:val="28"/>
        </w:rPr>
        <w:t>人次，成長幅度達</w:t>
      </w:r>
      <w:r w:rsidRPr="00D55DC6">
        <w:rPr>
          <w:rFonts w:eastAsia="標楷體"/>
          <w:sz w:val="28"/>
          <w:szCs w:val="28"/>
        </w:rPr>
        <w:t>46.44%</w:t>
      </w:r>
      <w:r w:rsidRPr="00D55DC6">
        <w:rPr>
          <w:rFonts w:eastAsia="標楷體"/>
          <w:sz w:val="28"/>
          <w:szCs w:val="28"/>
        </w:rPr>
        <w:t>。目前遊憩服務設施尚堪應付，惟為提升旅遊品質，將持續提升既有設施機能。</w:t>
      </w:r>
    </w:p>
    <w:p w:rsidR="00682D08" w:rsidRPr="00D55DC6" w:rsidRDefault="00682D08" w:rsidP="004865C1">
      <w:pPr>
        <w:pStyle w:val="af2"/>
        <w:numPr>
          <w:ilvl w:val="0"/>
          <w:numId w:val="161"/>
        </w:numPr>
        <w:snapToGrid w:val="0"/>
        <w:spacing w:line="460" w:lineRule="exact"/>
        <w:ind w:leftChars="0"/>
        <w:jc w:val="both"/>
        <w:rPr>
          <w:rFonts w:eastAsia="標楷體"/>
          <w:sz w:val="28"/>
          <w:szCs w:val="28"/>
        </w:rPr>
      </w:pPr>
      <w:r w:rsidRPr="00D55DC6">
        <w:rPr>
          <w:rFonts w:eastAsia="標楷體"/>
          <w:sz w:val="28"/>
          <w:szCs w:val="28"/>
        </w:rPr>
        <w:t>承載量：目前大陸遊客過於集中水往上流、北回歸線及石梯坪遊憩區，如水往上流平均每日遊客超過</w:t>
      </w:r>
      <w:r w:rsidRPr="00D55DC6">
        <w:rPr>
          <w:rFonts w:eastAsia="標楷體"/>
          <w:sz w:val="28"/>
          <w:szCs w:val="28"/>
        </w:rPr>
        <w:t>3,600</w:t>
      </w:r>
      <w:r w:rsidRPr="00D55DC6">
        <w:rPr>
          <w:rFonts w:eastAsia="標楷體"/>
          <w:sz w:val="28"/>
          <w:szCs w:val="28"/>
        </w:rPr>
        <w:t>人，以停車位估算其轉換率超過</w:t>
      </w:r>
      <w:r w:rsidRPr="00D55DC6">
        <w:rPr>
          <w:rFonts w:eastAsia="標楷體"/>
          <w:sz w:val="28"/>
          <w:szCs w:val="28"/>
        </w:rPr>
        <w:t>10</w:t>
      </w:r>
      <w:r w:rsidRPr="00D55DC6">
        <w:rPr>
          <w:rFonts w:eastAsia="標楷體"/>
          <w:sz w:val="28"/>
          <w:szCs w:val="28"/>
        </w:rPr>
        <w:t>次</w:t>
      </w:r>
      <w:r w:rsidRPr="00D55DC6">
        <w:rPr>
          <w:rFonts w:eastAsia="標楷體"/>
          <w:sz w:val="28"/>
          <w:szCs w:val="28"/>
        </w:rPr>
        <w:t>/</w:t>
      </w:r>
      <w:r w:rsidRPr="00D55DC6">
        <w:rPr>
          <w:rFonts w:eastAsia="標楷體"/>
          <w:sz w:val="28"/>
          <w:szCs w:val="28"/>
        </w:rPr>
        <w:t>日。目前藉由假日交通疏導計畫、停車空間規劃、違規取締等措施疏導遊客。</w:t>
      </w:r>
    </w:p>
    <w:p w:rsidR="00682D08" w:rsidRPr="00D55DC6" w:rsidRDefault="00682D08" w:rsidP="004865C1">
      <w:pPr>
        <w:pStyle w:val="af2"/>
        <w:numPr>
          <w:ilvl w:val="0"/>
          <w:numId w:val="161"/>
        </w:numPr>
        <w:snapToGrid w:val="0"/>
        <w:spacing w:line="460" w:lineRule="exact"/>
        <w:ind w:leftChars="0"/>
        <w:jc w:val="both"/>
        <w:rPr>
          <w:rFonts w:eastAsia="標楷體"/>
          <w:sz w:val="28"/>
          <w:szCs w:val="28"/>
        </w:rPr>
      </w:pPr>
      <w:r w:rsidRPr="00D55DC6">
        <w:rPr>
          <w:rFonts w:eastAsia="標楷體"/>
          <w:sz w:val="28"/>
          <w:szCs w:val="28"/>
        </w:rPr>
        <w:t>經營管理：遊客量大增增加經營管理負擔，各遊客中心水電費及遊憩區清潔費皆日益增加；而駐警人員亦紛紛屆齡退休人力吃緊，現場管理人員負擔過大。</w:t>
      </w:r>
    </w:p>
    <w:p w:rsidR="00682D08" w:rsidRPr="00D55DC6" w:rsidRDefault="00682D08" w:rsidP="004865C1">
      <w:pPr>
        <w:pStyle w:val="af2"/>
        <w:numPr>
          <w:ilvl w:val="0"/>
          <w:numId w:val="161"/>
        </w:numPr>
        <w:snapToGrid w:val="0"/>
        <w:spacing w:line="460" w:lineRule="exact"/>
        <w:ind w:leftChars="0"/>
        <w:jc w:val="both"/>
        <w:rPr>
          <w:rFonts w:eastAsia="標楷體"/>
          <w:sz w:val="28"/>
          <w:szCs w:val="28"/>
        </w:rPr>
      </w:pPr>
      <w:r w:rsidRPr="00D55DC6">
        <w:rPr>
          <w:rFonts w:eastAsia="標楷體"/>
          <w:sz w:val="28"/>
          <w:szCs w:val="28"/>
        </w:rPr>
        <w:t>產業發展：東海岸地區以一級產業的農林漁牧業為主，近年並大力推動觀光服務業。但青壯年人口大量外移，不利產業發展。</w:t>
      </w:r>
    </w:p>
    <w:p w:rsidR="00682D08" w:rsidRPr="00D55DC6" w:rsidRDefault="00682D08" w:rsidP="004865C1">
      <w:pPr>
        <w:pStyle w:val="af2"/>
        <w:numPr>
          <w:ilvl w:val="0"/>
          <w:numId w:val="161"/>
        </w:numPr>
        <w:snapToGrid w:val="0"/>
        <w:spacing w:line="460" w:lineRule="exact"/>
        <w:ind w:leftChars="0"/>
        <w:jc w:val="both"/>
        <w:rPr>
          <w:rFonts w:eastAsia="標楷體"/>
          <w:sz w:val="28"/>
          <w:szCs w:val="28"/>
        </w:rPr>
      </w:pPr>
      <w:r w:rsidRPr="00D55DC6">
        <w:rPr>
          <w:rFonts w:eastAsia="標楷體"/>
          <w:sz w:val="28"/>
          <w:szCs w:val="28"/>
        </w:rPr>
        <w:t>財務自償：遊客所帶來之經濟效益未能有效回饋風景區建設經費，須創造更多財源以提高自償率。</w:t>
      </w:r>
    </w:p>
    <w:p w:rsidR="00682D08" w:rsidRPr="00D55DC6" w:rsidRDefault="00682D08" w:rsidP="00682D08">
      <w:pPr>
        <w:pStyle w:val="af2"/>
        <w:snapToGrid w:val="0"/>
        <w:spacing w:line="460" w:lineRule="exact"/>
        <w:ind w:leftChars="177" w:left="425"/>
        <w:jc w:val="both"/>
        <w:rPr>
          <w:rFonts w:eastAsia="標楷體"/>
          <w:bCs/>
          <w:sz w:val="28"/>
          <w:szCs w:val="28"/>
        </w:rPr>
      </w:pPr>
      <w:r w:rsidRPr="00D55DC6">
        <w:rPr>
          <w:rFonts w:eastAsia="標楷體"/>
          <w:bCs/>
          <w:sz w:val="28"/>
          <w:szCs w:val="28"/>
        </w:rPr>
        <w:t>未來將以遊憩區分級、推動智慧觀光與遊客管理、提升既有設施機能、建構友善環境、推動低碳旅遊與綠能利用、建置環境教育場域、營造部落觀光環境及新增設施出租等措施以解決以上問題。</w:t>
      </w:r>
    </w:p>
    <w:p w:rsidR="00682D08" w:rsidRPr="00D55DC6" w:rsidRDefault="00682D08" w:rsidP="00682D08">
      <w:pPr>
        <w:pStyle w:val="af2"/>
        <w:snapToGrid w:val="0"/>
        <w:spacing w:line="460" w:lineRule="exact"/>
        <w:ind w:leftChars="177" w:left="425"/>
        <w:jc w:val="both"/>
        <w:rPr>
          <w:rFonts w:eastAsia="標楷體"/>
          <w:sz w:val="28"/>
          <w:szCs w:val="28"/>
        </w:rPr>
      </w:pPr>
    </w:p>
    <w:p w:rsidR="00682D08" w:rsidRPr="00D55DC6" w:rsidRDefault="00682D08" w:rsidP="004865C1">
      <w:pPr>
        <w:pStyle w:val="af2"/>
        <w:numPr>
          <w:ilvl w:val="0"/>
          <w:numId w:val="176"/>
        </w:numPr>
        <w:snapToGrid w:val="0"/>
        <w:spacing w:line="460" w:lineRule="exact"/>
        <w:ind w:leftChars="0"/>
        <w:jc w:val="both"/>
        <w:rPr>
          <w:rFonts w:eastAsia="標楷體"/>
          <w:sz w:val="28"/>
          <w:szCs w:val="28"/>
        </w:rPr>
      </w:pPr>
      <w:r w:rsidRPr="00D55DC6">
        <w:rPr>
          <w:rFonts w:eastAsia="標楷體"/>
          <w:sz w:val="28"/>
          <w:szCs w:val="28"/>
        </w:rPr>
        <w:t>社會參與及政策溝通情形</w:t>
      </w:r>
    </w:p>
    <w:p w:rsidR="00682D08" w:rsidRPr="00D55DC6" w:rsidRDefault="00682D08" w:rsidP="004865C1">
      <w:pPr>
        <w:pStyle w:val="af2"/>
        <w:numPr>
          <w:ilvl w:val="0"/>
          <w:numId w:val="168"/>
        </w:numPr>
        <w:snapToGrid w:val="0"/>
        <w:spacing w:line="460" w:lineRule="exact"/>
        <w:ind w:leftChars="0"/>
        <w:jc w:val="both"/>
        <w:rPr>
          <w:rFonts w:eastAsia="標楷體"/>
          <w:sz w:val="28"/>
          <w:szCs w:val="28"/>
        </w:rPr>
      </w:pPr>
      <w:r w:rsidRPr="00D55DC6">
        <w:rPr>
          <w:rFonts w:eastAsia="標楷體"/>
          <w:sz w:val="28"/>
          <w:szCs w:val="28"/>
        </w:rPr>
        <w:t>99</w:t>
      </w:r>
      <w:r w:rsidRPr="00D55DC6">
        <w:rPr>
          <w:rFonts w:eastAsia="標楷體"/>
          <w:sz w:val="28"/>
          <w:szCs w:val="28"/>
        </w:rPr>
        <w:t>年</w:t>
      </w:r>
      <w:r w:rsidRPr="00D55DC6">
        <w:rPr>
          <w:rFonts w:eastAsia="標楷體"/>
          <w:sz w:val="28"/>
          <w:szCs w:val="28"/>
        </w:rPr>
        <w:t>8</w:t>
      </w:r>
      <w:r w:rsidRPr="00D55DC6">
        <w:rPr>
          <w:rFonts w:eastAsia="標楷體"/>
          <w:sz w:val="28"/>
          <w:szCs w:val="28"/>
        </w:rPr>
        <w:t>月</w:t>
      </w:r>
      <w:r w:rsidRPr="00D55DC6">
        <w:rPr>
          <w:rFonts w:eastAsia="標楷體"/>
          <w:sz w:val="28"/>
          <w:szCs w:val="28"/>
        </w:rPr>
        <w:t>24</w:t>
      </w:r>
      <w:r w:rsidRPr="00D55DC6">
        <w:rPr>
          <w:rFonts w:eastAsia="標楷體"/>
          <w:sz w:val="28"/>
          <w:szCs w:val="28"/>
        </w:rPr>
        <w:t>日成立「原住民族地區觀光資源共同管理會」，每年開會</w:t>
      </w:r>
      <w:r w:rsidRPr="00D55DC6">
        <w:rPr>
          <w:rFonts w:eastAsia="標楷體"/>
          <w:sz w:val="28"/>
          <w:szCs w:val="28"/>
        </w:rPr>
        <w:t>2</w:t>
      </w:r>
      <w:r w:rsidRPr="00D55DC6">
        <w:rPr>
          <w:rFonts w:eastAsia="標楷體"/>
          <w:sz w:val="28"/>
          <w:szCs w:val="28"/>
        </w:rPr>
        <w:t>次，研議涉及原住民之各項計畫、行政措施、資源使用及其他重大事項</w:t>
      </w:r>
    </w:p>
    <w:p w:rsidR="00682D08" w:rsidRPr="00D55DC6" w:rsidRDefault="00682D08" w:rsidP="004865C1">
      <w:pPr>
        <w:pStyle w:val="af2"/>
        <w:numPr>
          <w:ilvl w:val="0"/>
          <w:numId w:val="168"/>
        </w:numPr>
        <w:snapToGrid w:val="0"/>
        <w:spacing w:line="460" w:lineRule="exact"/>
        <w:ind w:leftChars="0"/>
        <w:jc w:val="both"/>
        <w:rPr>
          <w:rFonts w:eastAsia="標楷體"/>
          <w:sz w:val="28"/>
          <w:szCs w:val="28"/>
        </w:rPr>
      </w:pPr>
      <w:r w:rsidRPr="00D55DC6">
        <w:rPr>
          <w:rFonts w:eastAsia="標楷體"/>
          <w:sz w:val="28"/>
          <w:szCs w:val="28"/>
        </w:rPr>
        <w:t>103</w:t>
      </w:r>
      <w:r w:rsidRPr="00D55DC6">
        <w:rPr>
          <w:rFonts w:eastAsia="標楷體"/>
          <w:sz w:val="28"/>
          <w:szCs w:val="28"/>
        </w:rPr>
        <w:t>年</w:t>
      </w:r>
      <w:r w:rsidRPr="00D55DC6">
        <w:rPr>
          <w:rFonts w:eastAsia="標楷體"/>
          <w:sz w:val="28"/>
          <w:szCs w:val="28"/>
        </w:rPr>
        <w:t>12</w:t>
      </w:r>
      <w:r w:rsidRPr="00D55DC6">
        <w:rPr>
          <w:rFonts w:eastAsia="標楷體"/>
          <w:sz w:val="28"/>
          <w:szCs w:val="28"/>
        </w:rPr>
        <w:t>月</w:t>
      </w:r>
      <w:r w:rsidRPr="00D55DC6">
        <w:rPr>
          <w:rFonts w:eastAsia="標楷體"/>
          <w:sz w:val="28"/>
          <w:szCs w:val="28"/>
        </w:rPr>
        <w:t>2</w:t>
      </w:r>
      <w:r w:rsidRPr="00D55DC6">
        <w:rPr>
          <w:rFonts w:eastAsia="標楷體"/>
          <w:sz w:val="28"/>
          <w:szCs w:val="28"/>
        </w:rPr>
        <w:t>日成立「東部海岸部落觀光產業聯盟」，作為各部落間觀摩及經驗交流平台，朝向打造部落觀光品牌努力。</w:t>
      </w:r>
    </w:p>
    <w:p w:rsidR="00682D08" w:rsidRPr="00D55DC6" w:rsidRDefault="00682D08" w:rsidP="004865C1">
      <w:pPr>
        <w:pStyle w:val="af2"/>
        <w:numPr>
          <w:ilvl w:val="0"/>
          <w:numId w:val="168"/>
        </w:numPr>
        <w:snapToGrid w:val="0"/>
        <w:spacing w:line="460" w:lineRule="exact"/>
        <w:ind w:leftChars="0"/>
        <w:jc w:val="both"/>
        <w:rPr>
          <w:rFonts w:eastAsia="標楷體"/>
          <w:sz w:val="28"/>
          <w:szCs w:val="28"/>
        </w:rPr>
      </w:pPr>
      <w:r w:rsidRPr="00D55DC6">
        <w:rPr>
          <w:rFonts w:eastAsia="標楷體"/>
          <w:sz w:val="28"/>
          <w:szCs w:val="28"/>
        </w:rPr>
        <w:lastRenderedPageBreak/>
        <w:t>分年度辦理案件如「東部海岸國家風景區觀光整體發展計畫檢討案」及「都蘭地區永續觀光發展評估案」則於進行期間召開專家學者座談會、拜訪民間團體及地方人士等方式進行溝通及意見交流。</w:t>
      </w:r>
    </w:p>
    <w:p w:rsidR="00682D08" w:rsidRPr="00D55DC6" w:rsidRDefault="00682D08" w:rsidP="00682D08">
      <w:pPr>
        <w:pStyle w:val="af2"/>
        <w:snapToGrid w:val="0"/>
        <w:spacing w:line="460" w:lineRule="exact"/>
        <w:ind w:leftChars="0" w:left="926"/>
        <w:jc w:val="both"/>
        <w:rPr>
          <w:rFonts w:eastAsia="標楷體"/>
          <w:sz w:val="28"/>
          <w:szCs w:val="28"/>
        </w:rPr>
      </w:pPr>
    </w:p>
    <w:p w:rsidR="00682D08" w:rsidRPr="00D55DC6" w:rsidRDefault="00682D08" w:rsidP="00682D08">
      <w:pPr>
        <w:pStyle w:val="a"/>
        <w:ind w:left="709" w:hanging="709"/>
        <w:rPr>
          <w:b/>
        </w:rPr>
      </w:pPr>
      <w:bookmarkStart w:id="165" w:name="_Toc407181724"/>
      <w:r w:rsidRPr="00D55DC6">
        <w:rPr>
          <w:b/>
        </w:rPr>
        <w:t>計畫目標</w:t>
      </w:r>
      <w:bookmarkEnd w:id="165"/>
    </w:p>
    <w:p w:rsidR="00682D08" w:rsidRPr="00D55DC6" w:rsidRDefault="00682D08" w:rsidP="004865C1">
      <w:pPr>
        <w:pStyle w:val="af2"/>
        <w:numPr>
          <w:ilvl w:val="0"/>
          <w:numId w:val="177"/>
        </w:numPr>
        <w:snapToGrid w:val="0"/>
        <w:spacing w:line="460" w:lineRule="exact"/>
        <w:ind w:leftChars="0"/>
        <w:jc w:val="both"/>
        <w:rPr>
          <w:rFonts w:eastAsia="標楷體"/>
          <w:sz w:val="28"/>
          <w:szCs w:val="28"/>
        </w:rPr>
      </w:pPr>
      <w:r w:rsidRPr="00D55DC6">
        <w:rPr>
          <w:rFonts w:eastAsia="標楷體"/>
          <w:sz w:val="28"/>
          <w:szCs w:val="28"/>
        </w:rPr>
        <w:t>目標說明</w:t>
      </w:r>
    </w:p>
    <w:p w:rsidR="00682D08" w:rsidRPr="00D55DC6" w:rsidRDefault="00682D08" w:rsidP="004865C1">
      <w:pPr>
        <w:pStyle w:val="af2"/>
        <w:numPr>
          <w:ilvl w:val="0"/>
          <w:numId w:val="164"/>
        </w:numPr>
        <w:snapToGrid w:val="0"/>
        <w:ind w:leftChars="0"/>
        <w:rPr>
          <w:rFonts w:eastAsia="標楷體"/>
          <w:sz w:val="28"/>
          <w:szCs w:val="28"/>
        </w:rPr>
      </w:pPr>
      <w:r w:rsidRPr="00D55DC6">
        <w:rPr>
          <w:rFonts w:eastAsia="標楷體"/>
          <w:sz w:val="28"/>
          <w:szCs w:val="28"/>
        </w:rPr>
        <w:t>以「魅力東海岸」為發展主軸，推廣小眾低碳旅遊、部落觀光、水域活動，營造友善、便利、舒適與魅力之旅遊環境，吸引國內外旅客。</w:t>
      </w:r>
    </w:p>
    <w:p w:rsidR="00682D08" w:rsidRPr="00D55DC6" w:rsidRDefault="00682D08" w:rsidP="004865C1">
      <w:pPr>
        <w:pStyle w:val="af2"/>
        <w:numPr>
          <w:ilvl w:val="0"/>
          <w:numId w:val="164"/>
        </w:numPr>
        <w:snapToGrid w:val="0"/>
        <w:ind w:leftChars="0"/>
        <w:rPr>
          <w:rFonts w:eastAsia="標楷體"/>
          <w:sz w:val="28"/>
          <w:szCs w:val="28"/>
        </w:rPr>
      </w:pPr>
      <w:r w:rsidRPr="00D55DC6">
        <w:rPr>
          <w:rFonts w:eastAsia="標楷體"/>
          <w:sz w:val="28"/>
          <w:szCs w:val="28"/>
        </w:rPr>
        <w:t>促進民間投資及觀光產業發展，增加地方就業機會，繁榮地方經濟。</w:t>
      </w:r>
    </w:p>
    <w:p w:rsidR="00682D08" w:rsidRPr="00D55DC6" w:rsidRDefault="00682D08" w:rsidP="004865C1">
      <w:pPr>
        <w:pStyle w:val="af2"/>
        <w:numPr>
          <w:ilvl w:val="0"/>
          <w:numId w:val="164"/>
        </w:numPr>
        <w:snapToGrid w:val="0"/>
        <w:ind w:leftChars="0"/>
        <w:rPr>
          <w:rFonts w:eastAsia="標楷體"/>
          <w:sz w:val="28"/>
          <w:szCs w:val="28"/>
        </w:rPr>
      </w:pPr>
      <w:r w:rsidRPr="00D55DC6">
        <w:rPr>
          <w:rFonts w:eastAsia="標楷體"/>
          <w:sz w:val="28"/>
          <w:szCs w:val="28"/>
        </w:rPr>
        <w:t>遊客量由</w:t>
      </w:r>
      <w:r w:rsidRPr="00D55DC6">
        <w:rPr>
          <w:rFonts w:eastAsia="標楷體"/>
          <w:sz w:val="28"/>
          <w:szCs w:val="28"/>
        </w:rPr>
        <w:t>105</w:t>
      </w:r>
      <w:r w:rsidRPr="00D55DC6">
        <w:rPr>
          <w:rFonts w:eastAsia="標楷體"/>
          <w:sz w:val="28"/>
          <w:szCs w:val="28"/>
        </w:rPr>
        <w:t>年</w:t>
      </w:r>
      <w:r w:rsidRPr="00D55DC6">
        <w:rPr>
          <w:rFonts w:eastAsia="標楷體"/>
          <w:sz w:val="28"/>
          <w:szCs w:val="28"/>
        </w:rPr>
        <w:t>405</w:t>
      </w:r>
      <w:r w:rsidRPr="00D55DC6">
        <w:rPr>
          <w:rFonts w:eastAsia="標楷體"/>
          <w:sz w:val="28"/>
          <w:szCs w:val="28"/>
        </w:rPr>
        <w:t>萬人次提升至</w:t>
      </w:r>
      <w:r w:rsidRPr="00D55DC6">
        <w:rPr>
          <w:rFonts w:eastAsia="標楷體"/>
          <w:sz w:val="28"/>
          <w:szCs w:val="28"/>
        </w:rPr>
        <w:t>108</w:t>
      </w:r>
      <w:r w:rsidRPr="00D55DC6">
        <w:rPr>
          <w:rFonts w:eastAsia="標楷體"/>
          <w:sz w:val="28"/>
          <w:szCs w:val="28"/>
        </w:rPr>
        <w:t>年</w:t>
      </w:r>
      <w:r w:rsidRPr="00D55DC6">
        <w:rPr>
          <w:rFonts w:eastAsia="標楷體"/>
          <w:sz w:val="28"/>
          <w:szCs w:val="28"/>
        </w:rPr>
        <w:t>451</w:t>
      </w:r>
      <w:r w:rsidRPr="00D55DC6">
        <w:rPr>
          <w:rFonts w:eastAsia="標楷體"/>
          <w:sz w:val="28"/>
          <w:szCs w:val="28"/>
        </w:rPr>
        <w:t>萬人次，成長</w:t>
      </w:r>
      <w:r w:rsidRPr="00D55DC6">
        <w:rPr>
          <w:rFonts w:eastAsia="標楷體"/>
          <w:sz w:val="28"/>
          <w:szCs w:val="28"/>
        </w:rPr>
        <w:t>11.34%</w:t>
      </w:r>
      <w:r w:rsidRPr="00D55DC6">
        <w:rPr>
          <w:rFonts w:eastAsia="標楷體"/>
          <w:sz w:val="28"/>
          <w:szCs w:val="28"/>
        </w:rPr>
        <w:t>。</w:t>
      </w:r>
    </w:p>
    <w:p w:rsidR="00682D08" w:rsidRPr="00D55DC6" w:rsidRDefault="00682D08" w:rsidP="004865C1">
      <w:pPr>
        <w:pStyle w:val="af2"/>
        <w:numPr>
          <w:ilvl w:val="0"/>
          <w:numId w:val="164"/>
        </w:numPr>
        <w:snapToGrid w:val="0"/>
        <w:ind w:leftChars="0"/>
        <w:rPr>
          <w:rFonts w:eastAsia="標楷體"/>
          <w:sz w:val="28"/>
          <w:szCs w:val="28"/>
        </w:rPr>
      </w:pPr>
      <w:r w:rsidRPr="00D55DC6">
        <w:rPr>
          <w:rFonts w:eastAsia="標楷體"/>
          <w:sz w:val="28"/>
          <w:szCs w:val="28"/>
        </w:rPr>
        <w:t>觀光產值由</w:t>
      </w:r>
      <w:r w:rsidRPr="00D55DC6">
        <w:rPr>
          <w:rFonts w:eastAsia="標楷體"/>
          <w:sz w:val="28"/>
          <w:szCs w:val="28"/>
        </w:rPr>
        <w:t>105</w:t>
      </w:r>
      <w:r w:rsidRPr="00D55DC6">
        <w:rPr>
          <w:rFonts w:eastAsia="標楷體"/>
          <w:sz w:val="28"/>
          <w:szCs w:val="28"/>
        </w:rPr>
        <w:t>年</w:t>
      </w:r>
      <w:r w:rsidRPr="00D55DC6">
        <w:rPr>
          <w:rFonts w:eastAsia="標楷體"/>
          <w:sz w:val="28"/>
          <w:szCs w:val="28"/>
        </w:rPr>
        <w:t>1</w:t>
      </w:r>
      <w:r w:rsidR="00D55DC6">
        <w:rPr>
          <w:rFonts w:eastAsia="標楷體" w:hint="eastAsia"/>
          <w:sz w:val="28"/>
          <w:szCs w:val="28"/>
        </w:rPr>
        <w:t>74</w:t>
      </w:r>
      <w:r w:rsidRPr="00D55DC6">
        <w:rPr>
          <w:rFonts w:eastAsia="標楷體"/>
          <w:sz w:val="28"/>
          <w:szCs w:val="28"/>
        </w:rPr>
        <w:t>億提升至</w:t>
      </w:r>
      <w:r w:rsidRPr="00D55DC6">
        <w:rPr>
          <w:rFonts w:eastAsia="標楷體"/>
          <w:sz w:val="28"/>
          <w:szCs w:val="28"/>
        </w:rPr>
        <w:t>108</w:t>
      </w:r>
      <w:r w:rsidRPr="00D55DC6">
        <w:rPr>
          <w:rFonts w:eastAsia="標楷體"/>
          <w:sz w:val="28"/>
          <w:szCs w:val="28"/>
        </w:rPr>
        <w:t>年</w:t>
      </w:r>
      <w:r w:rsidR="00D55DC6">
        <w:rPr>
          <w:rFonts w:eastAsia="標楷體" w:hint="eastAsia"/>
          <w:sz w:val="28"/>
          <w:szCs w:val="28"/>
        </w:rPr>
        <w:t>203</w:t>
      </w:r>
      <w:r w:rsidRPr="00D55DC6">
        <w:rPr>
          <w:rFonts w:eastAsia="標楷體"/>
          <w:sz w:val="28"/>
          <w:szCs w:val="28"/>
        </w:rPr>
        <w:t>億。</w:t>
      </w:r>
    </w:p>
    <w:p w:rsidR="00682D08" w:rsidRPr="00D55DC6" w:rsidRDefault="00682D08" w:rsidP="00682D08">
      <w:pPr>
        <w:pStyle w:val="af2"/>
        <w:snapToGrid w:val="0"/>
        <w:ind w:leftChars="0" w:left="792"/>
        <w:rPr>
          <w:rFonts w:eastAsia="標楷體"/>
          <w:sz w:val="28"/>
          <w:szCs w:val="28"/>
        </w:rPr>
      </w:pPr>
    </w:p>
    <w:p w:rsidR="00682D08" w:rsidRPr="00D55DC6" w:rsidRDefault="00682D08" w:rsidP="004865C1">
      <w:pPr>
        <w:pStyle w:val="af2"/>
        <w:numPr>
          <w:ilvl w:val="0"/>
          <w:numId w:val="177"/>
        </w:numPr>
        <w:snapToGrid w:val="0"/>
        <w:spacing w:line="460" w:lineRule="exact"/>
        <w:ind w:leftChars="0"/>
        <w:jc w:val="both"/>
        <w:rPr>
          <w:rFonts w:eastAsia="標楷體"/>
          <w:sz w:val="28"/>
          <w:szCs w:val="28"/>
        </w:rPr>
      </w:pPr>
      <w:r w:rsidRPr="00D55DC6">
        <w:rPr>
          <w:rFonts w:eastAsia="標楷體"/>
          <w:sz w:val="28"/>
          <w:szCs w:val="28"/>
        </w:rPr>
        <w:t>達成目標之限制</w:t>
      </w:r>
    </w:p>
    <w:p w:rsidR="00682D08" w:rsidRPr="00D55DC6" w:rsidRDefault="00682D08" w:rsidP="00682D08">
      <w:pPr>
        <w:snapToGrid w:val="0"/>
        <w:spacing w:line="460" w:lineRule="exact"/>
        <w:ind w:leftChars="178" w:left="780" w:hangingChars="126" w:hanging="353"/>
        <w:jc w:val="both"/>
        <w:rPr>
          <w:rFonts w:eastAsia="標楷體"/>
          <w:sz w:val="28"/>
          <w:szCs w:val="28"/>
        </w:rPr>
      </w:pPr>
      <w:r w:rsidRPr="00D55DC6">
        <w:rPr>
          <w:rFonts w:eastAsia="標楷體"/>
          <w:sz w:val="28"/>
          <w:szCs w:val="28"/>
        </w:rPr>
        <w:t>1.</w:t>
      </w:r>
      <w:r w:rsidRPr="00D55DC6">
        <w:rPr>
          <w:rFonts w:eastAsia="標楷體"/>
          <w:sz w:val="28"/>
          <w:szCs w:val="28"/>
        </w:rPr>
        <w:t>法令限制：</w:t>
      </w:r>
    </w:p>
    <w:p w:rsidR="00682D08" w:rsidRPr="00D55DC6" w:rsidRDefault="00682D08" w:rsidP="00682D08">
      <w:pPr>
        <w:snapToGrid w:val="0"/>
        <w:spacing w:line="460" w:lineRule="exact"/>
        <w:ind w:leftChars="291" w:left="698"/>
        <w:jc w:val="both"/>
        <w:rPr>
          <w:rFonts w:eastAsia="標楷體"/>
          <w:sz w:val="28"/>
          <w:szCs w:val="28"/>
        </w:rPr>
      </w:pPr>
      <w:r w:rsidRPr="00D55DC6">
        <w:rPr>
          <w:rFonts w:eastAsia="標楷體"/>
          <w:sz w:val="28"/>
          <w:szCs w:val="28"/>
        </w:rPr>
        <w:t>本轄區包括都市計畫及非都市土地、山坡地，並幾乎為原住民族地區等，辦理相關土地業務，分別須受都市計畫法、非都市土地使用管制規則、山坡地開發建築管理辦法、環境影響評估法、水土保持法、原住民族基本法等相關法令管制，程序繁冗，每每影響到相關規劃建設之推動。</w:t>
      </w:r>
    </w:p>
    <w:p w:rsidR="00682D08" w:rsidRPr="00D55DC6" w:rsidRDefault="00682D08" w:rsidP="00682D08">
      <w:pPr>
        <w:snapToGrid w:val="0"/>
        <w:spacing w:line="460" w:lineRule="exact"/>
        <w:ind w:leftChars="178" w:left="780" w:hangingChars="126" w:hanging="353"/>
        <w:jc w:val="both"/>
        <w:rPr>
          <w:rFonts w:eastAsia="標楷體"/>
          <w:sz w:val="28"/>
          <w:szCs w:val="28"/>
        </w:rPr>
      </w:pPr>
      <w:r w:rsidRPr="00D55DC6">
        <w:rPr>
          <w:rFonts w:eastAsia="標楷體"/>
          <w:sz w:val="28"/>
          <w:szCs w:val="28"/>
        </w:rPr>
        <w:t>2.</w:t>
      </w:r>
      <w:r w:rsidRPr="00D55DC6">
        <w:rPr>
          <w:rFonts w:eastAsia="標楷體"/>
          <w:sz w:val="28"/>
          <w:szCs w:val="28"/>
        </w:rPr>
        <w:t>與當地居民之溝通協調問題：</w:t>
      </w:r>
    </w:p>
    <w:p w:rsidR="00682D08" w:rsidRPr="00D55DC6" w:rsidRDefault="00682D08" w:rsidP="00682D08">
      <w:pPr>
        <w:snapToGrid w:val="0"/>
        <w:spacing w:line="460" w:lineRule="exact"/>
        <w:ind w:leftChars="291" w:left="698"/>
        <w:jc w:val="both"/>
        <w:rPr>
          <w:rFonts w:eastAsia="標楷體"/>
          <w:sz w:val="28"/>
          <w:szCs w:val="28"/>
        </w:rPr>
      </w:pPr>
      <w:r w:rsidRPr="00D55DC6">
        <w:rPr>
          <w:rFonts w:eastAsia="標楷體"/>
          <w:sz w:val="28"/>
          <w:szCs w:val="28"/>
        </w:rPr>
        <w:t>小眾旅遊之推廣須當地部落及社區居民之參與，透過夥伴關係的建立、環境營造與產業建構之過程，共同達到觀光推廣並協助在地產業目的。惟溝通協調過程中，往往需等部落及社區內部意見整合並取得共識後，方能順利推動。</w:t>
      </w:r>
    </w:p>
    <w:p w:rsidR="00682D08" w:rsidRPr="00D55DC6" w:rsidRDefault="00682D08" w:rsidP="00682D08">
      <w:pPr>
        <w:snapToGrid w:val="0"/>
        <w:spacing w:line="460" w:lineRule="exact"/>
        <w:ind w:leftChars="178" w:left="780" w:hangingChars="126" w:hanging="353"/>
        <w:jc w:val="both"/>
        <w:rPr>
          <w:rFonts w:eastAsia="標楷體"/>
          <w:sz w:val="28"/>
          <w:szCs w:val="28"/>
        </w:rPr>
      </w:pPr>
      <w:r w:rsidRPr="00D55DC6">
        <w:rPr>
          <w:rFonts w:eastAsia="標楷體"/>
          <w:sz w:val="28"/>
          <w:szCs w:val="28"/>
        </w:rPr>
        <w:t>3.</w:t>
      </w:r>
      <w:r w:rsidRPr="00D55DC6">
        <w:rPr>
          <w:rFonts w:eastAsia="標楷體"/>
          <w:sz w:val="28"/>
          <w:szCs w:val="28"/>
        </w:rPr>
        <w:t>預算及員額編列限制：</w:t>
      </w:r>
    </w:p>
    <w:p w:rsidR="00682D08" w:rsidRPr="00D55DC6" w:rsidRDefault="00682D08" w:rsidP="00682D08">
      <w:pPr>
        <w:snapToGrid w:val="0"/>
        <w:spacing w:line="460" w:lineRule="exact"/>
        <w:ind w:leftChars="291" w:left="698"/>
        <w:jc w:val="both"/>
        <w:rPr>
          <w:rFonts w:eastAsia="標楷體"/>
          <w:sz w:val="28"/>
          <w:szCs w:val="28"/>
        </w:rPr>
      </w:pPr>
      <w:r w:rsidRPr="00D55DC6">
        <w:rPr>
          <w:rFonts w:eastAsia="標楷體"/>
          <w:sz w:val="28"/>
          <w:szCs w:val="28"/>
        </w:rPr>
        <w:t>隨著各據點設施建設完成進入經營管理階段，並有觀光遊憩活動推廣、環境清潔、資源保育、安全維護及旅遊服務等多項業務；加以近年來積極辦理推動促進東部地區產業發展，及促進民間參與觀光遊憩設施案，業務量增加許多。依國家風景區管理處組織通則規定法定員額為</w:t>
      </w:r>
      <w:r w:rsidRPr="00D55DC6">
        <w:rPr>
          <w:rFonts w:eastAsia="標楷體"/>
          <w:sz w:val="28"/>
          <w:szCs w:val="28"/>
        </w:rPr>
        <w:t>62</w:t>
      </w:r>
      <w:r w:rsidRPr="00D55DC6">
        <w:rPr>
          <w:rFonts w:eastAsia="標楷體"/>
          <w:sz w:val="28"/>
          <w:szCs w:val="28"/>
        </w:rPr>
        <w:t>人，惟預算員額僅</w:t>
      </w:r>
      <w:r w:rsidRPr="00D55DC6">
        <w:rPr>
          <w:rFonts w:eastAsia="標楷體"/>
          <w:sz w:val="28"/>
          <w:szCs w:val="28"/>
        </w:rPr>
        <w:t>39</w:t>
      </w:r>
      <w:r w:rsidRPr="00D55DC6">
        <w:rPr>
          <w:rFonts w:eastAsia="標楷體"/>
          <w:sz w:val="28"/>
          <w:szCs w:val="28"/>
        </w:rPr>
        <w:t>人，倘年度預算及員額無法配合業務成長，將不利於後續計畫推動。</w:t>
      </w:r>
    </w:p>
    <w:p w:rsidR="00682D08" w:rsidRPr="00D55DC6" w:rsidRDefault="00682D08" w:rsidP="004865C1">
      <w:pPr>
        <w:pStyle w:val="af2"/>
        <w:numPr>
          <w:ilvl w:val="0"/>
          <w:numId w:val="177"/>
        </w:numPr>
        <w:snapToGrid w:val="0"/>
        <w:spacing w:line="460" w:lineRule="exact"/>
        <w:ind w:leftChars="0"/>
        <w:jc w:val="both"/>
        <w:rPr>
          <w:rFonts w:eastAsia="標楷體"/>
          <w:sz w:val="28"/>
          <w:szCs w:val="28"/>
        </w:rPr>
      </w:pPr>
      <w:r w:rsidRPr="00D55DC6">
        <w:rPr>
          <w:rFonts w:eastAsia="標楷體"/>
          <w:sz w:val="28"/>
          <w:szCs w:val="28"/>
        </w:rPr>
        <w:lastRenderedPageBreak/>
        <w:t>績效指標、衡量標準及目標值</w:t>
      </w:r>
    </w:p>
    <w:tbl>
      <w:tblPr>
        <w:tblW w:w="7746"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5"/>
        <w:gridCol w:w="2127"/>
        <w:gridCol w:w="865"/>
        <w:gridCol w:w="868"/>
        <w:gridCol w:w="865"/>
        <w:gridCol w:w="865"/>
        <w:gridCol w:w="865"/>
        <w:gridCol w:w="866"/>
      </w:tblGrid>
      <w:tr w:rsidR="001D0350" w:rsidRPr="00D55DC6" w:rsidTr="00682D08">
        <w:trPr>
          <w:trHeight w:val="345"/>
          <w:tblHeader/>
        </w:trPr>
        <w:tc>
          <w:tcPr>
            <w:tcW w:w="425" w:type="dxa"/>
            <w:vMerge w:val="restart"/>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項目</w:t>
            </w:r>
          </w:p>
        </w:tc>
        <w:tc>
          <w:tcPr>
            <w:tcW w:w="2127" w:type="dxa"/>
            <w:vMerge w:val="restart"/>
            <w:vAlign w:val="center"/>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衡量指標</w:t>
            </w:r>
          </w:p>
        </w:tc>
        <w:tc>
          <w:tcPr>
            <w:tcW w:w="1733" w:type="dxa"/>
            <w:gridSpan w:val="2"/>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衡量基準</w:t>
            </w:r>
          </w:p>
        </w:tc>
        <w:tc>
          <w:tcPr>
            <w:tcW w:w="3461" w:type="dxa"/>
            <w:gridSpan w:val="4"/>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預期目標值</w:t>
            </w:r>
          </w:p>
        </w:tc>
      </w:tr>
      <w:tr w:rsidR="001D0350" w:rsidRPr="00D55DC6" w:rsidTr="00682D08">
        <w:trPr>
          <w:trHeight w:val="345"/>
          <w:tblHeader/>
        </w:trPr>
        <w:tc>
          <w:tcPr>
            <w:tcW w:w="425" w:type="dxa"/>
            <w:vMerge/>
          </w:tcPr>
          <w:p w:rsidR="00682D08" w:rsidRPr="00D55DC6" w:rsidRDefault="00682D08" w:rsidP="00682D08">
            <w:pPr>
              <w:widowControl/>
              <w:spacing w:line="400" w:lineRule="exact"/>
              <w:jc w:val="center"/>
              <w:rPr>
                <w:rFonts w:eastAsia="標楷體"/>
                <w:kern w:val="0"/>
                <w:sz w:val="28"/>
                <w:szCs w:val="28"/>
              </w:rPr>
            </w:pPr>
          </w:p>
        </w:tc>
        <w:tc>
          <w:tcPr>
            <w:tcW w:w="2127" w:type="dxa"/>
            <w:vMerge/>
            <w:vAlign w:val="center"/>
          </w:tcPr>
          <w:p w:rsidR="00682D08" w:rsidRPr="00D55DC6" w:rsidRDefault="00682D08" w:rsidP="00682D08">
            <w:pPr>
              <w:widowControl/>
              <w:spacing w:line="400" w:lineRule="exact"/>
              <w:rPr>
                <w:rFonts w:eastAsia="標楷體"/>
                <w:kern w:val="0"/>
                <w:sz w:val="28"/>
                <w:szCs w:val="28"/>
              </w:rPr>
            </w:pPr>
          </w:p>
        </w:tc>
        <w:tc>
          <w:tcPr>
            <w:tcW w:w="865" w:type="dxa"/>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102</w:t>
            </w:r>
            <w:r w:rsidRPr="00D55DC6">
              <w:rPr>
                <w:rFonts w:eastAsia="標楷體"/>
                <w:kern w:val="0"/>
                <w:sz w:val="28"/>
                <w:szCs w:val="28"/>
              </w:rPr>
              <w:t>年</w:t>
            </w:r>
          </w:p>
        </w:tc>
        <w:tc>
          <w:tcPr>
            <w:tcW w:w="868" w:type="dxa"/>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103</w:t>
            </w:r>
            <w:r w:rsidRPr="00D55DC6">
              <w:rPr>
                <w:rFonts w:eastAsia="標楷體"/>
                <w:kern w:val="0"/>
                <w:sz w:val="28"/>
                <w:szCs w:val="28"/>
              </w:rPr>
              <w:t>年</w:t>
            </w:r>
          </w:p>
        </w:tc>
        <w:tc>
          <w:tcPr>
            <w:tcW w:w="865" w:type="dxa"/>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105</w:t>
            </w:r>
            <w:r w:rsidRPr="00D55DC6">
              <w:rPr>
                <w:rFonts w:eastAsia="標楷體"/>
                <w:kern w:val="0"/>
                <w:sz w:val="28"/>
                <w:szCs w:val="28"/>
              </w:rPr>
              <w:t>年</w:t>
            </w:r>
          </w:p>
        </w:tc>
        <w:tc>
          <w:tcPr>
            <w:tcW w:w="865" w:type="dxa"/>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106</w:t>
            </w:r>
            <w:r w:rsidRPr="00D55DC6">
              <w:rPr>
                <w:rFonts w:eastAsia="標楷體"/>
                <w:kern w:val="0"/>
                <w:sz w:val="28"/>
                <w:szCs w:val="28"/>
              </w:rPr>
              <w:t>年</w:t>
            </w:r>
          </w:p>
        </w:tc>
        <w:tc>
          <w:tcPr>
            <w:tcW w:w="865" w:type="dxa"/>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107</w:t>
            </w:r>
            <w:r w:rsidRPr="00D55DC6">
              <w:rPr>
                <w:rFonts w:eastAsia="標楷體"/>
                <w:kern w:val="0"/>
                <w:sz w:val="28"/>
                <w:szCs w:val="28"/>
              </w:rPr>
              <w:t>年</w:t>
            </w:r>
          </w:p>
        </w:tc>
        <w:tc>
          <w:tcPr>
            <w:tcW w:w="866" w:type="dxa"/>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108</w:t>
            </w:r>
            <w:r w:rsidRPr="00D55DC6">
              <w:rPr>
                <w:rFonts w:eastAsia="標楷體"/>
                <w:kern w:val="0"/>
                <w:sz w:val="28"/>
                <w:szCs w:val="28"/>
              </w:rPr>
              <w:t>年</w:t>
            </w:r>
          </w:p>
        </w:tc>
      </w:tr>
      <w:tr w:rsidR="001D0350" w:rsidRPr="00D55DC6" w:rsidTr="00682D08">
        <w:trPr>
          <w:trHeight w:val="675"/>
        </w:trPr>
        <w:tc>
          <w:tcPr>
            <w:tcW w:w="425" w:type="dxa"/>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1</w:t>
            </w:r>
          </w:p>
        </w:tc>
        <w:tc>
          <w:tcPr>
            <w:tcW w:w="2127" w:type="dxa"/>
          </w:tcPr>
          <w:p w:rsidR="00682D08" w:rsidRPr="00D55DC6" w:rsidRDefault="00682D08" w:rsidP="00682D08">
            <w:pPr>
              <w:widowControl/>
              <w:spacing w:line="400" w:lineRule="exact"/>
              <w:jc w:val="both"/>
              <w:rPr>
                <w:rFonts w:eastAsia="標楷體"/>
                <w:kern w:val="0"/>
                <w:sz w:val="28"/>
                <w:szCs w:val="28"/>
              </w:rPr>
            </w:pPr>
            <w:r w:rsidRPr="00D55DC6">
              <w:rPr>
                <w:rFonts w:eastAsia="標楷體"/>
                <w:kern w:val="0"/>
                <w:sz w:val="28"/>
                <w:szCs w:val="28"/>
              </w:rPr>
              <w:t>重要觀光景點建設完成數</w:t>
            </w:r>
            <w:r w:rsidRPr="00D55DC6">
              <w:rPr>
                <w:rFonts w:eastAsia="標楷體"/>
                <w:kern w:val="0"/>
                <w:sz w:val="28"/>
                <w:szCs w:val="28"/>
              </w:rPr>
              <w:t>(</w:t>
            </w:r>
            <w:r w:rsidRPr="00D55DC6">
              <w:rPr>
                <w:rFonts w:eastAsia="標楷體"/>
                <w:kern w:val="0"/>
                <w:sz w:val="28"/>
                <w:szCs w:val="28"/>
              </w:rPr>
              <w:t>處</w:t>
            </w:r>
            <w:r w:rsidRPr="00D55DC6">
              <w:rPr>
                <w:rFonts w:eastAsia="標楷體"/>
                <w:kern w:val="0"/>
                <w:sz w:val="28"/>
                <w:szCs w:val="28"/>
              </w:rPr>
              <w:t>)</w:t>
            </w:r>
          </w:p>
        </w:tc>
        <w:tc>
          <w:tcPr>
            <w:tcW w:w="865" w:type="dxa"/>
            <w:vAlign w:val="center"/>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5</w:t>
            </w:r>
          </w:p>
        </w:tc>
        <w:tc>
          <w:tcPr>
            <w:tcW w:w="868" w:type="dxa"/>
            <w:vAlign w:val="center"/>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5</w:t>
            </w:r>
          </w:p>
        </w:tc>
        <w:tc>
          <w:tcPr>
            <w:tcW w:w="865" w:type="dxa"/>
            <w:vAlign w:val="center"/>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5</w:t>
            </w:r>
          </w:p>
        </w:tc>
        <w:tc>
          <w:tcPr>
            <w:tcW w:w="865" w:type="dxa"/>
            <w:vAlign w:val="center"/>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5</w:t>
            </w:r>
          </w:p>
        </w:tc>
        <w:tc>
          <w:tcPr>
            <w:tcW w:w="865" w:type="dxa"/>
            <w:vAlign w:val="center"/>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5</w:t>
            </w:r>
          </w:p>
        </w:tc>
        <w:tc>
          <w:tcPr>
            <w:tcW w:w="866" w:type="dxa"/>
            <w:vAlign w:val="center"/>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5</w:t>
            </w:r>
          </w:p>
        </w:tc>
      </w:tr>
      <w:tr w:rsidR="001D0350" w:rsidRPr="00D55DC6" w:rsidTr="00682D08">
        <w:trPr>
          <w:trHeight w:val="675"/>
        </w:trPr>
        <w:tc>
          <w:tcPr>
            <w:tcW w:w="425" w:type="dxa"/>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2</w:t>
            </w:r>
          </w:p>
        </w:tc>
        <w:tc>
          <w:tcPr>
            <w:tcW w:w="2127" w:type="dxa"/>
          </w:tcPr>
          <w:p w:rsidR="00682D08" w:rsidRPr="00D55DC6" w:rsidRDefault="00682D08" w:rsidP="00682D08">
            <w:pPr>
              <w:widowControl/>
              <w:spacing w:line="400" w:lineRule="exact"/>
              <w:jc w:val="both"/>
              <w:rPr>
                <w:rFonts w:eastAsia="標楷體"/>
                <w:kern w:val="0"/>
                <w:sz w:val="28"/>
                <w:szCs w:val="28"/>
              </w:rPr>
            </w:pPr>
            <w:r w:rsidRPr="00D55DC6">
              <w:rPr>
                <w:rFonts w:eastAsia="標楷體"/>
                <w:kern w:val="0"/>
                <w:sz w:val="28"/>
                <w:szCs w:val="28"/>
              </w:rPr>
              <w:t>參訪國家風景區遊客人數</w:t>
            </w:r>
            <w:r w:rsidRPr="00D55DC6">
              <w:rPr>
                <w:rFonts w:eastAsia="標楷體"/>
                <w:kern w:val="0"/>
                <w:sz w:val="28"/>
                <w:szCs w:val="28"/>
              </w:rPr>
              <w:t>(</w:t>
            </w:r>
            <w:r w:rsidRPr="00D55DC6">
              <w:rPr>
                <w:rFonts w:eastAsia="標楷體"/>
                <w:kern w:val="0"/>
                <w:sz w:val="28"/>
                <w:szCs w:val="28"/>
              </w:rPr>
              <w:t>萬人</w:t>
            </w:r>
            <w:r w:rsidRPr="00D55DC6">
              <w:rPr>
                <w:rFonts w:eastAsia="標楷體"/>
                <w:kern w:val="0"/>
                <w:sz w:val="28"/>
                <w:szCs w:val="28"/>
              </w:rPr>
              <w:t xml:space="preserve">) </w:t>
            </w:r>
          </w:p>
        </w:tc>
        <w:tc>
          <w:tcPr>
            <w:tcW w:w="865" w:type="dxa"/>
            <w:vAlign w:val="center"/>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331</w:t>
            </w:r>
          </w:p>
        </w:tc>
        <w:tc>
          <w:tcPr>
            <w:tcW w:w="868" w:type="dxa"/>
            <w:vAlign w:val="center"/>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369</w:t>
            </w:r>
          </w:p>
        </w:tc>
        <w:tc>
          <w:tcPr>
            <w:tcW w:w="865" w:type="dxa"/>
            <w:vAlign w:val="center"/>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405</w:t>
            </w:r>
          </w:p>
        </w:tc>
        <w:tc>
          <w:tcPr>
            <w:tcW w:w="865" w:type="dxa"/>
            <w:vAlign w:val="center"/>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426</w:t>
            </w:r>
          </w:p>
        </w:tc>
        <w:tc>
          <w:tcPr>
            <w:tcW w:w="865" w:type="dxa"/>
            <w:vAlign w:val="center"/>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438</w:t>
            </w:r>
          </w:p>
        </w:tc>
        <w:tc>
          <w:tcPr>
            <w:tcW w:w="866" w:type="dxa"/>
            <w:vAlign w:val="center"/>
          </w:tcPr>
          <w:p w:rsidR="00682D08" w:rsidRPr="00D55DC6" w:rsidRDefault="00682D08" w:rsidP="00682D08">
            <w:pPr>
              <w:widowControl/>
              <w:spacing w:line="400" w:lineRule="exact"/>
              <w:jc w:val="center"/>
              <w:rPr>
                <w:rFonts w:eastAsia="標楷體"/>
                <w:kern w:val="0"/>
                <w:sz w:val="28"/>
                <w:szCs w:val="28"/>
              </w:rPr>
            </w:pPr>
            <w:r w:rsidRPr="00D55DC6">
              <w:rPr>
                <w:rFonts w:eastAsia="標楷體"/>
                <w:kern w:val="0"/>
                <w:sz w:val="28"/>
                <w:szCs w:val="28"/>
              </w:rPr>
              <w:t>451</w:t>
            </w:r>
          </w:p>
        </w:tc>
      </w:tr>
      <w:tr w:rsidR="001D0350" w:rsidRPr="00D55DC6" w:rsidTr="00682D08">
        <w:trPr>
          <w:trHeight w:val="51"/>
        </w:trPr>
        <w:tc>
          <w:tcPr>
            <w:tcW w:w="425" w:type="dxa"/>
          </w:tcPr>
          <w:p w:rsidR="00A11435" w:rsidRPr="00D55DC6" w:rsidRDefault="00A11435" w:rsidP="000725AB">
            <w:pPr>
              <w:widowControl/>
              <w:spacing w:line="400" w:lineRule="exact"/>
              <w:jc w:val="center"/>
              <w:rPr>
                <w:rFonts w:eastAsia="標楷體"/>
                <w:kern w:val="0"/>
                <w:sz w:val="28"/>
                <w:szCs w:val="28"/>
              </w:rPr>
            </w:pPr>
            <w:r w:rsidRPr="00D55DC6">
              <w:rPr>
                <w:rFonts w:eastAsia="標楷體"/>
                <w:kern w:val="0"/>
                <w:sz w:val="28"/>
                <w:szCs w:val="28"/>
              </w:rPr>
              <w:t>3</w:t>
            </w:r>
          </w:p>
        </w:tc>
        <w:tc>
          <w:tcPr>
            <w:tcW w:w="2127" w:type="dxa"/>
          </w:tcPr>
          <w:p w:rsidR="00A11435" w:rsidRPr="00D55DC6" w:rsidRDefault="00A11435" w:rsidP="000725AB">
            <w:pPr>
              <w:widowControl/>
              <w:spacing w:line="400" w:lineRule="exact"/>
              <w:jc w:val="both"/>
              <w:rPr>
                <w:rFonts w:eastAsia="標楷體"/>
                <w:kern w:val="0"/>
                <w:sz w:val="28"/>
                <w:szCs w:val="28"/>
              </w:rPr>
            </w:pPr>
            <w:r w:rsidRPr="00D55DC6">
              <w:rPr>
                <w:rFonts w:eastAsia="標楷體"/>
                <w:kern w:val="0"/>
                <w:sz w:val="28"/>
                <w:szCs w:val="28"/>
              </w:rPr>
              <w:t>觀光產值</w:t>
            </w:r>
            <w:r w:rsidRPr="00D55DC6">
              <w:rPr>
                <w:rFonts w:eastAsia="標楷體"/>
                <w:kern w:val="0"/>
                <w:sz w:val="28"/>
                <w:szCs w:val="28"/>
              </w:rPr>
              <w:t>(</w:t>
            </w:r>
            <w:r w:rsidRPr="00D55DC6">
              <w:rPr>
                <w:rFonts w:eastAsia="標楷體"/>
                <w:kern w:val="0"/>
                <w:sz w:val="28"/>
                <w:szCs w:val="28"/>
              </w:rPr>
              <w:t>億元</w:t>
            </w:r>
            <w:r w:rsidRPr="00D55DC6">
              <w:rPr>
                <w:rFonts w:eastAsia="標楷體"/>
                <w:kern w:val="0"/>
                <w:sz w:val="28"/>
                <w:szCs w:val="28"/>
              </w:rPr>
              <w:t>)</w:t>
            </w:r>
          </w:p>
        </w:tc>
        <w:tc>
          <w:tcPr>
            <w:tcW w:w="865" w:type="dxa"/>
            <w:vAlign w:val="center"/>
          </w:tcPr>
          <w:p w:rsidR="00A11435" w:rsidRPr="00D55DC6" w:rsidRDefault="00A11435" w:rsidP="000725AB">
            <w:pPr>
              <w:widowControl/>
              <w:spacing w:line="400" w:lineRule="exact"/>
              <w:jc w:val="center"/>
              <w:rPr>
                <w:rFonts w:eastAsia="標楷體"/>
                <w:kern w:val="0"/>
                <w:sz w:val="28"/>
                <w:szCs w:val="28"/>
              </w:rPr>
            </w:pPr>
            <w:r w:rsidRPr="00D55DC6">
              <w:rPr>
                <w:rFonts w:eastAsia="標楷體"/>
                <w:kern w:val="0"/>
                <w:sz w:val="28"/>
                <w:szCs w:val="28"/>
              </w:rPr>
              <w:t>136</w:t>
            </w:r>
          </w:p>
        </w:tc>
        <w:tc>
          <w:tcPr>
            <w:tcW w:w="868" w:type="dxa"/>
            <w:vAlign w:val="center"/>
          </w:tcPr>
          <w:p w:rsidR="00A11435" w:rsidRPr="00D55DC6" w:rsidRDefault="00A11435" w:rsidP="000725AB">
            <w:pPr>
              <w:widowControl/>
              <w:spacing w:line="400" w:lineRule="exact"/>
              <w:jc w:val="center"/>
              <w:rPr>
                <w:rFonts w:eastAsia="標楷體"/>
                <w:kern w:val="0"/>
                <w:sz w:val="28"/>
                <w:szCs w:val="28"/>
              </w:rPr>
            </w:pPr>
            <w:r w:rsidRPr="00D55DC6">
              <w:rPr>
                <w:rFonts w:eastAsia="標楷體"/>
                <w:kern w:val="0"/>
                <w:sz w:val="28"/>
                <w:szCs w:val="28"/>
              </w:rPr>
              <w:t>154</w:t>
            </w:r>
          </w:p>
        </w:tc>
        <w:tc>
          <w:tcPr>
            <w:tcW w:w="865" w:type="dxa"/>
            <w:vAlign w:val="center"/>
          </w:tcPr>
          <w:p w:rsidR="00A11435" w:rsidRPr="00D55DC6" w:rsidRDefault="00A11435" w:rsidP="000725AB">
            <w:pPr>
              <w:widowControl/>
              <w:spacing w:line="400" w:lineRule="exact"/>
              <w:jc w:val="center"/>
              <w:rPr>
                <w:rFonts w:eastAsia="標楷體"/>
                <w:kern w:val="0"/>
                <w:sz w:val="28"/>
                <w:szCs w:val="28"/>
              </w:rPr>
            </w:pPr>
            <w:r w:rsidRPr="00D55DC6">
              <w:rPr>
                <w:rFonts w:eastAsia="標楷體"/>
                <w:kern w:val="0"/>
                <w:sz w:val="28"/>
                <w:szCs w:val="28"/>
              </w:rPr>
              <w:t>174</w:t>
            </w:r>
          </w:p>
        </w:tc>
        <w:tc>
          <w:tcPr>
            <w:tcW w:w="865" w:type="dxa"/>
            <w:vAlign w:val="center"/>
          </w:tcPr>
          <w:p w:rsidR="00A11435" w:rsidRPr="00D55DC6" w:rsidRDefault="00A11435" w:rsidP="000725AB">
            <w:pPr>
              <w:widowControl/>
              <w:spacing w:line="400" w:lineRule="exact"/>
              <w:jc w:val="center"/>
              <w:rPr>
                <w:rFonts w:eastAsia="標楷體"/>
                <w:kern w:val="0"/>
                <w:sz w:val="28"/>
                <w:szCs w:val="28"/>
              </w:rPr>
            </w:pPr>
            <w:r w:rsidRPr="00D55DC6">
              <w:rPr>
                <w:rFonts w:eastAsia="標楷體"/>
                <w:kern w:val="0"/>
                <w:sz w:val="28"/>
                <w:szCs w:val="28"/>
              </w:rPr>
              <w:t>186</w:t>
            </w:r>
          </w:p>
        </w:tc>
        <w:tc>
          <w:tcPr>
            <w:tcW w:w="865" w:type="dxa"/>
            <w:vAlign w:val="center"/>
          </w:tcPr>
          <w:p w:rsidR="00A11435" w:rsidRPr="00D55DC6" w:rsidRDefault="00A11435" w:rsidP="000725AB">
            <w:pPr>
              <w:widowControl/>
              <w:spacing w:line="400" w:lineRule="exact"/>
              <w:jc w:val="center"/>
              <w:rPr>
                <w:rFonts w:eastAsia="標楷體"/>
                <w:kern w:val="0"/>
                <w:sz w:val="28"/>
                <w:szCs w:val="28"/>
              </w:rPr>
            </w:pPr>
            <w:r w:rsidRPr="00D55DC6">
              <w:rPr>
                <w:rFonts w:eastAsia="標楷體"/>
                <w:kern w:val="0"/>
                <w:sz w:val="28"/>
                <w:szCs w:val="28"/>
              </w:rPr>
              <w:t>194</w:t>
            </w:r>
          </w:p>
        </w:tc>
        <w:tc>
          <w:tcPr>
            <w:tcW w:w="866" w:type="dxa"/>
            <w:vAlign w:val="center"/>
          </w:tcPr>
          <w:p w:rsidR="00A11435" w:rsidRPr="00D55DC6" w:rsidRDefault="00A11435" w:rsidP="000725AB">
            <w:pPr>
              <w:widowControl/>
              <w:spacing w:line="400" w:lineRule="exact"/>
              <w:jc w:val="center"/>
              <w:rPr>
                <w:rFonts w:eastAsia="標楷體"/>
                <w:kern w:val="0"/>
                <w:sz w:val="28"/>
                <w:szCs w:val="28"/>
              </w:rPr>
            </w:pPr>
            <w:r w:rsidRPr="00D55DC6">
              <w:rPr>
                <w:rFonts w:eastAsia="標楷體"/>
                <w:kern w:val="0"/>
                <w:sz w:val="28"/>
                <w:szCs w:val="28"/>
              </w:rPr>
              <w:t>203</w:t>
            </w:r>
          </w:p>
        </w:tc>
      </w:tr>
      <w:tr w:rsidR="001D0350" w:rsidRPr="00D55DC6" w:rsidTr="00682D08">
        <w:trPr>
          <w:trHeight w:val="51"/>
        </w:trPr>
        <w:tc>
          <w:tcPr>
            <w:tcW w:w="425" w:type="dxa"/>
          </w:tcPr>
          <w:p w:rsidR="00A11435" w:rsidRPr="00D55DC6" w:rsidRDefault="00A11435" w:rsidP="000725AB">
            <w:pPr>
              <w:widowControl/>
              <w:spacing w:line="400" w:lineRule="exact"/>
              <w:jc w:val="center"/>
              <w:rPr>
                <w:rFonts w:eastAsia="標楷體"/>
                <w:kern w:val="0"/>
                <w:sz w:val="28"/>
                <w:szCs w:val="28"/>
              </w:rPr>
            </w:pPr>
            <w:r w:rsidRPr="00D55DC6">
              <w:rPr>
                <w:rFonts w:eastAsia="標楷體"/>
                <w:kern w:val="0"/>
                <w:sz w:val="28"/>
                <w:szCs w:val="28"/>
              </w:rPr>
              <w:t>4</w:t>
            </w:r>
          </w:p>
        </w:tc>
        <w:tc>
          <w:tcPr>
            <w:tcW w:w="2127" w:type="dxa"/>
          </w:tcPr>
          <w:p w:rsidR="00A11435" w:rsidRPr="00D55DC6" w:rsidRDefault="00A11435" w:rsidP="000725AB">
            <w:pPr>
              <w:widowControl/>
              <w:spacing w:line="400" w:lineRule="exact"/>
              <w:jc w:val="both"/>
              <w:rPr>
                <w:rFonts w:eastAsia="標楷體"/>
                <w:kern w:val="0"/>
                <w:sz w:val="28"/>
                <w:szCs w:val="28"/>
              </w:rPr>
            </w:pPr>
            <w:r w:rsidRPr="00D55DC6">
              <w:rPr>
                <w:rFonts w:eastAsia="標楷體"/>
                <w:kern w:val="0"/>
                <w:sz w:val="28"/>
                <w:szCs w:val="28"/>
              </w:rPr>
              <w:t>性別友善設施完成數</w:t>
            </w:r>
            <w:r w:rsidRPr="00D55DC6">
              <w:rPr>
                <w:rFonts w:eastAsia="標楷體"/>
                <w:kern w:val="0"/>
                <w:sz w:val="28"/>
                <w:szCs w:val="28"/>
              </w:rPr>
              <w:t>(</w:t>
            </w:r>
            <w:r w:rsidRPr="00D55DC6">
              <w:rPr>
                <w:rFonts w:eastAsia="標楷體"/>
                <w:kern w:val="0"/>
                <w:sz w:val="28"/>
                <w:szCs w:val="28"/>
              </w:rPr>
              <w:t>處</w:t>
            </w:r>
            <w:r w:rsidRPr="00D55DC6">
              <w:rPr>
                <w:rFonts w:eastAsia="標楷體"/>
                <w:kern w:val="0"/>
                <w:sz w:val="28"/>
                <w:szCs w:val="28"/>
              </w:rPr>
              <w:t>)</w:t>
            </w:r>
          </w:p>
        </w:tc>
        <w:tc>
          <w:tcPr>
            <w:tcW w:w="865" w:type="dxa"/>
            <w:vAlign w:val="center"/>
          </w:tcPr>
          <w:p w:rsidR="00A11435" w:rsidRPr="00D55DC6" w:rsidRDefault="00A11435" w:rsidP="000725AB">
            <w:pPr>
              <w:widowControl/>
              <w:spacing w:line="400" w:lineRule="exact"/>
              <w:jc w:val="center"/>
              <w:rPr>
                <w:rFonts w:eastAsia="標楷體"/>
                <w:kern w:val="0"/>
                <w:sz w:val="28"/>
                <w:szCs w:val="28"/>
              </w:rPr>
            </w:pPr>
            <w:r w:rsidRPr="00D55DC6">
              <w:rPr>
                <w:rFonts w:eastAsia="標楷體"/>
                <w:kern w:val="0"/>
                <w:sz w:val="28"/>
                <w:szCs w:val="28"/>
              </w:rPr>
              <w:t>2</w:t>
            </w:r>
          </w:p>
        </w:tc>
        <w:tc>
          <w:tcPr>
            <w:tcW w:w="868" w:type="dxa"/>
            <w:vAlign w:val="center"/>
          </w:tcPr>
          <w:p w:rsidR="00A11435" w:rsidRPr="00D55DC6" w:rsidRDefault="00A11435" w:rsidP="000725AB">
            <w:pPr>
              <w:widowControl/>
              <w:spacing w:line="400" w:lineRule="exact"/>
              <w:jc w:val="center"/>
              <w:rPr>
                <w:rFonts w:eastAsia="標楷體"/>
                <w:kern w:val="0"/>
                <w:sz w:val="28"/>
                <w:szCs w:val="28"/>
              </w:rPr>
            </w:pPr>
            <w:r w:rsidRPr="00D55DC6">
              <w:rPr>
                <w:rFonts w:eastAsia="標楷體"/>
                <w:kern w:val="0"/>
                <w:sz w:val="28"/>
                <w:szCs w:val="28"/>
              </w:rPr>
              <w:t>2</w:t>
            </w:r>
          </w:p>
        </w:tc>
        <w:tc>
          <w:tcPr>
            <w:tcW w:w="865" w:type="dxa"/>
            <w:vAlign w:val="center"/>
          </w:tcPr>
          <w:p w:rsidR="00A11435" w:rsidRPr="00D55DC6" w:rsidRDefault="00A11435" w:rsidP="000725AB">
            <w:pPr>
              <w:widowControl/>
              <w:spacing w:line="400" w:lineRule="exact"/>
              <w:jc w:val="center"/>
              <w:rPr>
                <w:rFonts w:eastAsia="標楷體"/>
                <w:kern w:val="0"/>
                <w:sz w:val="28"/>
                <w:szCs w:val="28"/>
              </w:rPr>
            </w:pPr>
            <w:r w:rsidRPr="00D55DC6">
              <w:rPr>
                <w:rFonts w:eastAsia="標楷體"/>
                <w:kern w:val="0"/>
                <w:sz w:val="28"/>
                <w:szCs w:val="28"/>
              </w:rPr>
              <w:t>2</w:t>
            </w:r>
          </w:p>
        </w:tc>
        <w:tc>
          <w:tcPr>
            <w:tcW w:w="865" w:type="dxa"/>
            <w:vAlign w:val="center"/>
          </w:tcPr>
          <w:p w:rsidR="00A11435" w:rsidRPr="00D55DC6" w:rsidRDefault="00A11435" w:rsidP="000725AB">
            <w:pPr>
              <w:widowControl/>
              <w:spacing w:line="400" w:lineRule="exact"/>
              <w:jc w:val="center"/>
              <w:rPr>
                <w:rFonts w:eastAsia="標楷體"/>
                <w:kern w:val="0"/>
                <w:sz w:val="28"/>
                <w:szCs w:val="28"/>
              </w:rPr>
            </w:pPr>
            <w:r w:rsidRPr="00D55DC6">
              <w:rPr>
                <w:rFonts w:eastAsia="標楷體"/>
                <w:kern w:val="0"/>
                <w:sz w:val="28"/>
                <w:szCs w:val="28"/>
              </w:rPr>
              <w:t>2</w:t>
            </w:r>
          </w:p>
        </w:tc>
        <w:tc>
          <w:tcPr>
            <w:tcW w:w="865" w:type="dxa"/>
            <w:vAlign w:val="center"/>
          </w:tcPr>
          <w:p w:rsidR="00A11435" w:rsidRPr="00D55DC6" w:rsidRDefault="00A11435" w:rsidP="000725AB">
            <w:pPr>
              <w:widowControl/>
              <w:spacing w:line="400" w:lineRule="exact"/>
              <w:jc w:val="center"/>
              <w:rPr>
                <w:rFonts w:eastAsia="標楷體"/>
                <w:kern w:val="0"/>
                <w:sz w:val="28"/>
                <w:szCs w:val="28"/>
              </w:rPr>
            </w:pPr>
            <w:r w:rsidRPr="00D55DC6">
              <w:rPr>
                <w:rFonts w:eastAsia="標楷體"/>
                <w:kern w:val="0"/>
                <w:sz w:val="28"/>
                <w:szCs w:val="28"/>
              </w:rPr>
              <w:t>2</w:t>
            </w:r>
          </w:p>
        </w:tc>
        <w:tc>
          <w:tcPr>
            <w:tcW w:w="866" w:type="dxa"/>
            <w:vAlign w:val="center"/>
          </w:tcPr>
          <w:p w:rsidR="00A11435" w:rsidRPr="00D55DC6" w:rsidRDefault="00A11435" w:rsidP="000725AB">
            <w:pPr>
              <w:widowControl/>
              <w:spacing w:line="400" w:lineRule="exact"/>
              <w:jc w:val="center"/>
              <w:rPr>
                <w:rFonts w:eastAsia="標楷體"/>
                <w:kern w:val="0"/>
                <w:sz w:val="28"/>
                <w:szCs w:val="28"/>
              </w:rPr>
            </w:pPr>
            <w:r w:rsidRPr="00D55DC6">
              <w:rPr>
                <w:rFonts w:eastAsia="標楷體"/>
                <w:kern w:val="0"/>
                <w:sz w:val="28"/>
                <w:szCs w:val="28"/>
              </w:rPr>
              <w:t>1</w:t>
            </w:r>
          </w:p>
        </w:tc>
      </w:tr>
      <w:tr w:rsidR="001D0350" w:rsidRPr="00D55DC6" w:rsidTr="00A11435">
        <w:trPr>
          <w:trHeight w:val="51"/>
        </w:trPr>
        <w:tc>
          <w:tcPr>
            <w:tcW w:w="425" w:type="dxa"/>
            <w:tcBorders>
              <w:top w:val="single" w:sz="4" w:space="0" w:color="auto"/>
              <w:left w:val="single" w:sz="4" w:space="0" w:color="auto"/>
              <w:bottom w:val="single" w:sz="4" w:space="0" w:color="auto"/>
              <w:right w:val="single" w:sz="4" w:space="0" w:color="auto"/>
            </w:tcBorders>
          </w:tcPr>
          <w:p w:rsidR="00A11435" w:rsidRPr="00D55DC6" w:rsidRDefault="00A11435" w:rsidP="000725AB">
            <w:pPr>
              <w:widowControl/>
              <w:spacing w:line="400" w:lineRule="exact"/>
              <w:jc w:val="center"/>
              <w:rPr>
                <w:rFonts w:eastAsia="標楷體"/>
                <w:kern w:val="0"/>
                <w:sz w:val="28"/>
                <w:szCs w:val="28"/>
              </w:rPr>
            </w:pPr>
            <w:r w:rsidRPr="00D55DC6">
              <w:rPr>
                <w:rFonts w:eastAsia="標楷體"/>
                <w:kern w:val="0"/>
                <w:sz w:val="28"/>
                <w:szCs w:val="28"/>
              </w:rPr>
              <w:t>5</w:t>
            </w:r>
          </w:p>
        </w:tc>
        <w:tc>
          <w:tcPr>
            <w:tcW w:w="2127" w:type="dxa"/>
            <w:tcBorders>
              <w:top w:val="single" w:sz="4" w:space="0" w:color="auto"/>
              <w:left w:val="single" w:sz="4" w:space="0" w:color="auto"/>
              <w:bottom w:val="single" w:sz="4" w:space="0" w:color="auto"/>
              <w:right w:val="single" w:sz="4" w:space="0" w:color="auto"/>
            </w:tcBorders>
          </w:tcPr>
          <w:p w:rsidR="00A11435" w:rsidRPr="00D55DC6" w:rsidRDefault="002F5D4E" w:rsidP="000725AB">
            <w:pPr>
              <w:widowControl/>
              <w:spacing w:line="400" w:lineRule="exact"/>
              <w:jc w:val="both"/>
              <w:rPr>
                <w:rFonts w:eastAsia="標楷體"/>
                <w:kern w:val="0"/>
                <w:sz w:val="28"/>
                <w:szCs w:val="28"/>
              </w:rPr>
            </w:pPr>
            <w:r w:rsidRPr="00D55DC6">
              <w:rPr>
                <w:rFonts w:eastAsia="標楷體"/>
                <w:kern w:val="0"/>
                <w:sz w:val="28"/>
                <w:szCs w:val="28"/>
              </w:rPr>
              <w:t>轄區經管設施公共意外責任險確</w:t>
            </w:r>
            <w:r w:rsidR="005C51C2" w:rsidRPr="00D55DC6">
              <w:rPr>
                <w:rFonts w:eastAsia="標楷體" w:hint="eastAsia"/>
                <w:kern w:val="0"/>
                <w:sz w:val="28"/>
                <w:szCs w:val="28"/>
              </w:rPr>
              <w:t>定</w:t>
            </w:r>
            <w:r w:rsidRPr="00D55DC6">
              <w:rPr>
                <w:rFonts w:eastAsia="標楷體"/>
                <w:kern w:val="0"/>
                <w:sz w:val="28"/>
                <w:szCs w:val="28"/>
              </w:rPr>
              <w:t>理賠件數上限</w:t>
            </w:r>
            <w:r w:rsidR="00A11435" w:rsidRPr="00D55DC6">
              <w:rPr>
                <w:rFonts w:eastAsia="標楷體"/>
                <w:kern w:val="0"/>
                <w:sz w:val="28"/>
                <w:szCs w:val="28"/>
              </w:rPr>
              <w:t>（件）</w:t>
            </w:r>
          </w:p>
        </w:tc>
        <w:tc>
          <w:tcPr>
            <w:tcW w:w="865" w:type="dxa"/>
            <w:tcBorders>
              <w:top w:val="single" w:sz="4" w:space="0" w:color="auto"/>
              <w:left w:val="single" w:sz="4" w:space="0" w:color="auto"/>
              <w:bottom w:val="single" w:sz="4" w:space="0" w:color="auto"/>
              <w:right w:val="single" w:sz="4" w:space="0" w:color="auto"/>
            </w:tcBorders>
            <w:vAlign w:val="center"/>
          </w:tcPr>
          <w:p w:rsidR="00A11435" w:rsidRPr="00D55DC6" w:rsidRDefault="002F5D4E" w:rsidP="000725AB">
            <w:pPr>
              <w:widowControl/>
              <w:spacing w:line="400" w:lineRule="exact"/>
              <w:jc w:val="center"/>
              <w:rPr>
                <w:rFonts w:eastAsia="標楷體"/>
                <w:kern w:val="0"/>
                <w:sz w:val="28"/>
                <w:szCs w:val="28"/>
              </w:rPr>
            </w:pPr>
            <w:r w:rsidRPr="00D55DC6">
              <w:rPr>
                <w:rFonts w:eastAsia="標楷體" w:hint="eastAsia"/>
                <w:kern w:val="0"/>
                <w:sz w:val="28"/>
                <w:szCs w:val="28"/>
              </w:rPr>
              <w:t>-</w:t>
            </w:r>
          </w:p>
        </w:tc>
        <w:tc>
          <w:tcPr>
            <w:tcW w:w="868" w:type="dxa"/>
            <w:tcBorders>
              <w:top w:val="single" w:sz="4" w:space="0" w:color="auto"/>
              <w:left w:val="single" w:sz="4" w:space="0" w:color="auto"/>
              <w:bottom w:val="single" w:sz="4" w:space="0" w:color="auto"/>
              <w:right w:val="single" w:sz="4" w:space="0" w:color="auto"/>
            </w:tcBorders>
            <w:vAlign w:val="center"/>
          </w:tcPr>
          <w:p w:rsidR="00A11435" w:rsidRPr="00D55DC6" w:rsidRDefault="002F5D4E" w:rsidP="000725AB">
            <w:pPr>
              <w:widowControl/>
              <w:spacing w:line="400" w:lineRule="exact"/>
              <w:jc w:val="center"/>
              <w:rPr>
                <w:rFonts w:eastAsia="標楷體"/>
                <w:kern w:val="0"/>
                <w:sz w:val="28"/>
                <w:szCs w:val="28"/>
              </w:rPr>
            </w:pPr>
            <w:r w:rsidRPr="00D55DC6">
              <w:rPr>
                <w:rFonts w:eastAsia="標楷體" w:hint="eastAsia"/>
                <w:kern w:val="0"/>
                <w:sz w:val="28"/>
                <w:szCs w:val="28"/>
              </w:rPr>
              <w:t>-</w:t>
            </w:r>
          </w:p>
        </w:tc>
        <w:tc>
          <w:tcPr>
            <w:tcW w:w="865" w:type="dxa"/>
            <w:tcBorders>
              <w:top w:val="single" w:sz="4" w:space="0" w:color="auto"/>
              <w:left w:val="single" w:sz="4" w:space="0" w:color="auto"/>
              <w:bottom w:val="single" w:sz="4" w:space="0" w:color="auto"/>
              <w:right w:val="single" w:sz="4" w:space="0" w:color="auto"/>
            </w:tcBorders>
            <w:vAlign w:val="center"/>
          </w:tcPr>
          <w:p w:rsidR="00A11435" w:rsidRPr="00D55DC6" w:rsidRDefault="00A11435" w:rsidP="000725AB">
            <w:pPr>
              <w:widowControl/>
              <w:spacing w:line="400" w:lineRule="exact"/>
              <w:jc w:val="center"/>
              <w:rPr>
                <w:rFonts w:eastAsia="標楷體"/>
                <w:kern w:val="0"/>
                <w:sz w:val="28"/>
                <w:szCs w:val="28"/>
              </w:rPr>
            </w:pPr>
            <w:r w:rsidRPr="00D55DC6">
              <w:rPr>
                <w:rFonts w:eastAsia="標楷體"/>
                <w:kern w:val="0"/>
                <w:sz w:val="28"/>
                <w:szCs w:val="28"/>
              </w:rPr>
              <w:t>2</w:t>
            </w:r>
          </w:p>
        </w:tc>
        <w:tc>
          <w:tcPr>
            <w:tcW w:w="865" w:type="dxa"/>
            <w:tcBorders>
              <w:top w:val="single" w:sz="4" w:space="0" w:color="auto"/>
              <w:left w:val="single" w:sz="4" w:space="0" w:color="auto"/>
              <w:bottom w:val="single" w:sz="4" w:space="0" w:color="auto"/>
              <w:right w:val="single" w:sz="4" w:space="0" w:color="auto"/>
            </w:tcBorders>
            <w:vAlign w:val="center"/>
          </w:tcPr>
          <w:p w:rsidR="00A11435" w:rsidRPr="00D55DC6" w:rsidRDefault="00A11435" w:rsidP="000725AB">
            <w:pPr>
              <w:widowControl/>
              <w:spacing w:line="400" w:lineRule="exact"/>
              <w:jc w:val="center"/>
              <w:rPr>
                <w:rFonts w:eastAsia="標楷體"/>
                <w:kern w:val="0"/>
                <w:sz w:val="28"/>
                <w:szCs w:val="28"/>
              </w:rPr>
            </w:pPr>
            <w:r w:rsidRPr="00D55DC6">
              <w:rPr>
                <w:rFonts w:eastAsia="標楷體"/>
                <w:kern w:val="0"/>
                <w:sz w:val="28"/>
                <w:szCs w:val="28"/>
              </w:rPr>
              <w:t>2</w:t>
            </w:r>
          </w:p>
        </w:tc>
        <w:tc>
          <w:tcPr>
            <w:tcW w:w="865" w:type="dxa"/>
            <w:tcBorders>
              <w:top w:val="single" w:sz="4" w:space="0" w:color="auto"/>
              <w:left w:val="single" w:sz="4" w:space="0" w:color="auto"/>
              <w:bottom w:val="single" w:sz="4" w:space="0" w:color="auto"/>
              <w:right w:val="single" w:sz="4" w:space="0" w:color="auto"/>
            </w:tcBorders>
            <w:vAlign w:val="center"/>
          </w:tcPr>
          <w:p w:rsidR="00A11435" w:rsidRPr="00D55DC6" w:rsidRDefault="00A11435" w:rsidP="000725AB">
            <w:pPr>
              <w:widowControl/>
              <w:spacing w:line="400" w:lineRule="exact"/>
              <w:jc w:val="center"/>
              <w:rPr>
                <w:rFonts w:eastAsia="標楷體"/>
                <w:kern w:val="0"/>
                <w:sz w:val="28"/>
                <w:szCs w:val="28"/>
              </w:rPr>
            </w:pPr>
            <w:r w:rsidRPr="00D55DC6">
              <w:rPr>
                <w:rFonts w:eastAsia="標楷體"/>
                <w:kern w:val="0"/>
                <w:sz w:val="28"/>
                <w:szCs w:val="28"/>
              </w:rPr>
              <w:t>2</w:t>
            </w:r>
          </w:p>
        </w:tc>
        <w:tc>
          <w:tcPr>
            <w:tcW w:w="866" w:type="dxa"/>
            <w:tcBorders>
              <w:top w:val="single" w:sz="4" w:space="0" w:color="auto"/>
              <w:left w:val="single" w:sz="4" w:space="0" w:color="auto"/>
              <w:bottom w:val="single" w:sz="4" w:space="0" w:color="auto"/>
              <w:right w:val="single" w:sz="4" w:space="0" w:color="auto"/>
            </w:tcBorders>
            <w:vAlign w:val="center"/>
          </w:tcPr>
          <w:p w:rsidR="00A11435" w:rsidRPr="00D55DC6" w:rsidRDefault="00A11435" w:rsidP="000725AB">
            <w:pPr>
              <w:widowControl/>
              <w:spacing w:line="400" w:lineRule="exact"/>
              <w:jc w:val="center"/>
              <w:rPr>
                <w:rFonts w:eastAsia="標楷體"/>
                <w:kern w:val="0"/>
                <w:sz w:val="28"/>
                <w:szCs w:val="28"/>
              </w:rPr>
            </w:pPr>
            <w:r w:rsidRPr="00D55DC6">
              <w:rPr>
                <w:rFonts w:eastAsia="標楷體"/>
                <w:kern w:val="0"/>
                <w:sz w:val="28"/>
                <w:szCs w:val="28"/>
              </w:rPr>
              <w:t>2</w:t>
            </w:r>
          </w:p>
        </w:tc>
      </w:tr>
    </w:tbl>
    <w:p w:rsidR="00682D08" w:rsidRPr="00D55DC6" w:rsidRDefault="00682D08" w:rsidP="00682D08">
      <w:pPr>
        <w:snapToGrid w:val="0"/>
        <w:spacing w:line="0" w:lineRule="atLeast"/>
        <w:ind w:leftChars="296" w:left="1646" w:hangingChars="390" w:hanging="936"/>
        <w:jc w:val="both"/>
        <w:rPr>
          <w:rFonts w:eastAsia="標楷體"/>
          <w:szCs w:val="28"/>
        </w:rPr>
      </w:pPr>
      <w:r w:rsidRPr="00D55DC6">
        <w:rPr>
          <w:rFonts w:eastAsia="標楷體"/>
          <w:szCs w:val="28"/>
        </w:rPr>
        <w:t>備註</w:t>
      </w:r>
      <w:r w:rsidRPr="00D55DC6">
        <w:rPr>
          <w:rFonts w:eastAsia="標楷體"/>
          <w:szCs w:val="28"/>
        </w:rPr>
        <w:t>:</w:t>
      </w:r>
    </w:p>
    <w:p w:rsidR="00682D08" w:rsidRPr="00D55DC6" w:rsidRDefault="00682D08" w:rsidP="004865C1">
      <w:pPr>
        <w:pStyle w:val="af2"/>
        <w:numPr>
          <w:ilvl w:val="0"/>
          <w:numId w:val="159"/>
        </w:numPr>
        <w:snapToGrid w:val="0"/>
        <w:spacing w:line="0" w:lineRule="atLeast"/>
        <w:ind w:leftChars="0"/>
        <w:jc w:val="both"/>
        <w:rPr>
          <w:rFonts w:eastAsia="標楷體"/>
          <w:szCs w:val="28"/>
        </w:rPr>
      </w:pPr>
      <w:r w:rsidRPr="00D55DC6">
        <w:rPr>
          <w:rFonts w:eastAsia="標楷體"/>
          <w:szCs w:val="28"/>
        </w:rPr>
        <w:t>第</w:t>
      </w:r>
      <w:r w:rsidRPr="00D55DC6">
        <w:rPr>
          <w:rFonts w:eastAsia="標楷體"/>
          <w:szCs w:val="28"/>
        </w:rPr>
        <w:t>2</w:t>
      </w:r>
      <w:r w:rsidRPr="00D55DC6">
        <w:rPr>
          <w:rFonts w:eastAsia="標楷體"/>
          <w:szCs w:val="28"/>
        </w:rPr>
        <w:t>項依管理處「東部海岸國家風景區觀光整體發展計畫檢討案」內容推估。</w:t>
      </w:r>
    </w:p>
    <w:p w:rsidR="00682D08" w:rsidRPr="00D55DC6" w:rsidRDefault="00682D08" w:rsidP="004865C1">
      <w:pPr>
        <w:pStyle w:val="af2"/>
        <w:numPr>
          <w:ilvl w:val="0"/>
          <w:numId w:val="159"/>
        </w:numPr>
        <w:snapToGrid w:val="0"/>
        <w:spacing w:line="0" w:lineRule="atLeast"/>
        <w:ind w:leftChars="0"/>
        <w:jc w:val="both"/>
        <w:rPr>
          <w:rFonts w:eastAsia="標楷體"/>
          <w:szCs w:val="28"/>
        </w:rPr>
      </w:pPr>
      <w:r w:rsidRPr="00D55DC6">
        <w:rPr>
          <w:rFonts w:eastAsia="標楷體"/>
          <w:szCs w:val="28"/>
        </w:rPr>
        <w:t>第</w:t>
      </w:r>
      <w:r w:rsidRPr="00D55DC6">
        <w:rPr>
          <w:rFonts w:eastAsia="標楷體"/>
          <w:szCs w:val="28"/>
        </w:rPr>
        <w:t>3</w:t>
      </w:r>
      <w:r w:rsidRPr="00D55DC6">
        <w:rPr>
          <w:rFonts w:eastAsia="標楷體"/>
          <w:szCs w:val="28"/>
        </w:rPr>
        <w:t>項依交通部觀光局</w:t>
      </w:r>
      <w:r w:rsidRPr="00D55DC6">
        <w:rPr>
          <w:rFonts w:eastAsia="標楷體"/>
          <w:szCs w:val="28"/>
        </w:rPr>
        <w:t>102</w:t>
      </w:r>
      <w:r w:rsidRPr="00D55DC6">
        <w:rPr>
          <w:rFonts w:eastAsia="標楷體"/>
          <w:szCs w:val="28"/>
        </w:rPr>
        <w:t>年度「國家風景區遊客調查報告」中</w:t>
      </w:r>
      <w:r w:rsidR="009D33BA" w:rsidRPr="00D55DC6">
        <w:rPr>
          <w:rFonts w:eastAsia="標楷體" w:hint="eastAsia"/>
          <w:szCs w:val="28"/>
        </w:rPr>
        <w:t>遊客平均每次消費金額為</w:t>
      </w:r>
      <w:r w:rsidR="009D33BA" w:rsidRPr="00D55DC6">
        <w:rPr>
          <w:rFonts w:eastAsia="標楷體" w:hint="eastAsia"/>
          <w:szCs w:val="28"/>
        </w:rPr>
        <w:t>4,116</w:t>
      </w:r>
      <w:r w:rsidR="009D33BA" w:rsidRPr="00D55DC6">
        <w:rPr>
          <w:rFonts w:eastAsia="標楷體" w:hint="eastAsia"/>
          <w:szCs w:val="28"/>
        </w:rPr>
        <w:t>元，並以每年</w:t>
      </w:r>
      <w:r w:rsidR="009D33BA" w:rsidRPr="00D55DC6">
        <w:rPr>
          <w:rFonts w:eastAsia="標楷體" w:hint="eastAsia"/>
          <w:szCs w:val="28"/>
        </w:rPr>
        <w:t>1.5%</w:t>
      </w:r>
      <w:r w:rsidR="009D33BA" w:rsidRPr="00D55DC6">
        <w:rPr>
          <w:rFonts w:eastAsia="標楷體" w:hint="eastAsia"/>
          <w:szCs w:val="28"/>
        </w:rPr>
        <w:t>的消費成長推估後續年度總消費金額，再乘以當年度遊客人數計算。</w:t>
      </w:r>
    </w:p>
    <w:p w:rsidR="00682D08" w:rsidRPr="00D55DC6" w:rsidRDefault="00682D08" w:rsidP="00682D08">
      <w:pPr>
        <w:snapToGrid w:val="0"/>
        <w:spacing w:line="460" w:lineRule="exact"/>
        <w:jc w:val="both"/>
        <w:rPr>
          <w:rFonts w:eastAsia="標楷體"/>
          <w:sz w:val="28"/>
          <w:szCs w:val="28"/>
        </w:rPr>
      </w:pPr>
    </w:p>
    <w:p w:rsidR="00682D08" w:rsidRPr="00D55DC6" w:rsidRDefault="00682D08" w:rsidP="00682D08">
      <w:pPr>
        <w:pStyle w:val="a"/>
        <w:ind w:left="709" w:hanging="709"/>
        <w:rPr>
          <w:b/>
        </w:rPr>
      </w:pPr>
      <w:bookmarkStart w:id="166" w:name="_Toc407181725"/>
      <w:r w:rsidRPr="00D55DC6">
        <w:rPr>
          <w:b/>
        </w:rPr>
        <w:t>現行相關政策及方案之檢討</w:t>
      </w:r>
      <w:bookmarkEnd w:id="166"/>
    </w:p>
    <w:p w:rsidR="00682D08" w:rsidRPr="00D55DC6" w:rsidRDefault="00682D08" w:rsidP="004865C1">
      <w:pPr>
        <w:pStyle w:val="af2"/>
        <w:numPr>
          <w:ilvl w:val="0"/>
          <w:numId w:val="178"/>
        </w:numPr>
        <w:snapToGrid w:val="0"/>
        <w:spacing w:line="460" w:lineRule="exact"/>
        <w:ind w:leftChars="0"/>
        <w:jc w:val="both"/>
        <w:rPr>
          <w:rFonts w:eastAsia="標楷體"/>
          <w:sz w:val="28"/>
          <w:szCs w:val="28"/>
        </w:rPr>
      </w:pPr>
      <w:r w:rsidRPr="00D55DC6">
        <w:rPr>
          <w:rFonts w:eastAsia="標楷體"/>
          <w:b/>
          <w:sz w:val="28"/>
          <w:szCs w:val="28"/>
        </w:rPr>
        <w:t>重要觀光景點建設中程計畫</w:t>
      </w:r>
      <w:r w:rsidRPr="00D55DC6">
        <w:rPr>
          <w:rFonts w:eastAsia="標楷體"/>
          <w:b/>
          <w:sz w:val="28"/>
          <w:szCs w:val="28"/>
        </w:rPr>
        <w:t>(101-104</w:t>
      </w:r>
      <w:r w:rsidRPr="00D55DC6">
        <w:rPr>
          <w:rFonts w:eastAsia="標楷體"/>
          <w:b/>
          <w:sz w:val="28"/>
          <w:szCs w:val="28"/>
        </w:rPr>
        <w:t>年</w:t>
      </w:r>
      <w:r w:rsidRPr="00D55DC6">
        <w:rPr>
          <w:rFonts w:eastAsia="標楷體"/>
          <w:b/>
          <w:sz w:val="28"/>
          <w:szCs w:val="28"/>
        </w:rPr>
        <w:t>)</w:t>
      </w:r>
      <w:r w:rsidRPr="00D55DC6">
        <w:rPr>
          <w:rFonts w:eastAsia="標楷體"/>
          <w:sz w:val="28"/>
          <w:szCs w:val="28"/>
        </w:rPr>
        <w:t>(</w:t>
      </w:r>
      <w:r w:rsidRPr="00D55DC6">
        <w:rPr>
          <w:rFonts w:eastAsia="標楷體"/>
          <w:sz w:val="28"/>
          <w:szCs w:val="28"/>
        </w:rPr>
        <w:t>截至</w:t>
      </w:r>
      <w:r w:rsidRPr="00D55DC6">
        <w:rPr>
          <w:rFonts w:eastAsia="標楷體"/>
          <w:sz w:val="28"/>
          <w:szCs w:val="28"/>
        </w:rPr>
        <w:t>103</w:t>
      </w:r>
      <w:r w:rsidRPr="00D55DC6">
        <w:rPr>
          <w:rFonts w:eastAsia="標楷體"/>
          <w:sz w:val="28"/>
          <w:szCs w:val="28"/>
        </w:rPr>
        <w:t>年</w:t>
      </w:r>
      <w:r w:rsidRPr="00D55DC6">
        <w:rPr>
          <w:rFonts w:eastAsia="標楷體"/>
          <w:sz w:val="28"/>
          <w:szCs w:val="28"/>
        </w:rPr>
        <w:t>1</w:t>
      </w:r>
      <w:r w:rsidR="00A11435" w:rsidRPr="00D55DC6">
        <w:rPr>
          <w:rFonts w:eastAsia="標楷體"/>
          <w:sz w:val="28"/>
          <w:szCs w:val="28"/>
        </w:rPr>
        <w:t>2</w:t>
      </w:r>
      <w:r w:rsidRPr="00D55DC6">
        <w:rPr>
          <w:rFonts w:eastAsia="標楷體"/>
          <w:sz w:val="28"/>
          <w:szCs w:val="28"/>
        </w:rPr>
        <w:t>月底成果</w:t>
      </w:r>
      <w:r w:rsidRPr="00D55DC6">
        <w:rPr>
          <w:rFonts w:eastAsia="標楷體"/>
          <w:sz w:val="28"/>
          <w:szCs w:val="28"/>
        </w:rPr>
        <w:t>)</w:t>
      </w:r>
    </w:p>
    <w:p w:rsidR="00682D08" w:rsidRPr="00D55DC6" w:rsidRDefault="00682D08" w:rsidP="004865C1">
      <w:pPr>
        <w:pStyle w:val="af2"/>
        <w:numPr>
          <w:ilvl w:val="0"/>
          <w:numId w:val="179"/>
        </w:numPr>
        <w:snapToGrid w:val="0"/>
        <w:spacing w:line="460" w:lineRule="exact"/>
        <w:ind w:leftChars="0"/>
        <w:jc w:val="both"/>
        <w:rPr>
          <w:rFonts w:eastAsia="標楷體"/>
          <w:b/>
          <w:sz w:val="28"/>
          <w:szCs w:val="28"/>
        </w:rPr>
      </w:pPr>
      <w:r w:rsidRPr="00D55DC6">
        <w:rPr>
          <w:rFonts w:eastAsia="標楷體"/>
          <w:b/>
          <w:sz w:val="28"/>
          <w:szCs w:val="28"/>
        </w:rPr>
        <w:t>預算執行情形</w:t>
      </w:r>
    </w:p>
    <w:tbl>
      <w:tblPr>
        <w:tblStyle w:val="a6"/>
        <w:tblW w:w="0" w:type="auto"/>
        <w:tblInd w:w="817" w:type="dxa"/>
        <w:tblLook w:val="04A0" w:firstRow="1" w:lastRow="0" w:firstColumn="1" w:lastColumn="0" w:noHBand="0" w:noVBand="1"/>
      </w:tblPr>
      <w:tblGrid>
        <w:gridCol w:w="3513"/>
        <w:gridCol w:w="1701"/>
        <w:gridCol w:w="1701"/>
        <w:gridCol w:w="1082"/>
      </w:tblGrid>
      <w:tr w:rsidR="001D0350" w:rsidRPr="00D55DC6" w:rsidTr="00682D08">
        <w:tc>
          <w:tcPr>
            <w:tcW w:w="3513" w:type="dxa"/>
            <w:vAlign w:val="center"/>
          </w:tcPr>
          <w:p w:rsidR="00682D08" w:rsidRPr="00D55DC6" w:rsidRDefault="00682D08" w:rsidP="00682D08">
            <w:pPr>
              <w:snapToGrid w:val="0"/>
              <w:jc w:val="center"/>
              <w:rPr>
                <w:rFonts w:eastAsia="標楷體"/>
                <w:szCs w:val="28"/>
              </w:rPr>
            </w:pPr>
            <w:r w:rsidRPr="00D55DC6">
              <w:rPr>
                <w:rFonts w:eastAsia="標楷體"/>
                <w:szCs w:val="28"/>
              </w:rPr>
              <w:t>計畫名稱</w:t>
            </w:r>
          </w:p>
        </w:tc>
        <w:tc>
          <w:tcPr>
            <w:tcW w:w="1701" w:type="dxa"/>
          </w:tcPr>
          <w:p w:rsidR="00682D08" w:rsidRPr="00D55DC6" w:rsidRDefault="00682D08" w:rsidP="00682D08">
            <w:pPr>
              <w:snapToGrid w:val="0"/>
              <w:jc w:val="center"/>
              <w:rPr>
                <w:rFonts w:eastAsia="標楷體"/>
                <w:szCs w:val="28"/>
              </w:rPr>
            </w:pPr>
            <w:r w:rsidRPr="00D55DC6">
              <w:rPr>
                <w:rFonts w:eastAsia="標楷體"/>
                <w:szCs w:val="28"/>
              </w:rPr>
              <w:t>總累計編列數</w:t>
            </w:r>
            <w:r w:rsidRPr="00D55DC6">
              <w:rPr>
                <w:rFonts w:eastAsia="標楷體"/>
                <w:szCs w:val="28"/>
              </w:rPr>
              <w:t>(A)</w:t>
            </w:r>
          </w:p>
        </w:tc>
        <w:tc>
          <w:tcPr>
            <w:tcW w:w="1701" w:type="dxa"/>
          </w:tcPr>
          <w:p w:rsidR="00682D08" w:rsidRPr="00D55DC6" w:rsidRDefault="00682D08" w:rsidP="00682D08">
            <w:pPr>
              <w:snapToGrid w:val="0"/>
              <w:jc w:val="center"/>
              <w:rPr>
                <w:rFonts w:eastAsia="標楷體"/>
                <w:szCs w:val="28"/>
              </w:rPr>
            </w:pPr>
            <w:r w:rsidRPr="00D55DC6">
              <w:rPr>
                <w:rFonts w:eastAsia="標楷體"/>
                <w:szCs w:val="28"/>
              </w:rPr>
              <w:t>總累計實支數</w:t>
            </w:r>
            <w:r w:rsidRPr="00D55DC6">
              <w:rPr>
                <w:rFonts w:eastAsia="標楷體"/>
                <w:szCs w:val="28"/>
              </w:rPr>
              <w:t>(B)</w:t>
            </w:r>
          </w:p>
        </w:tc>
        <w:tc>
          <w:tcPr>
            <w:tcW w:w="1082" w:type="dxa"/>
          </w:tcPr>
          <w:p w:rsidR="00682D08" w:rsidRPr="00D55DC6" w:rsidRDefault="00682D08" w:rsidP="00682D08">
            <w:pPr>
              <w:snapToGrid w:val="0"/>
              <w:jc w:val="center"/>
              <w:rPr>
                <w:rFonts w:eastAsia="標楷體"/>
                <w:szCs w:val="28"/>
              </w:rPr>
            </w:pPr>
            <w:r w:rsidRPr="00D55DC6">
              <w:rPr>
                <w:rFonts w:eastAsia="標楷體"/>
                <w:szCs w:val="28"/>
              </w:rPr>
              <w:t>支用比</w:t>
            </w:r>
          </w:p>
          <w:p w:rsidR="00682D08" w:rsidRPr="00D55DC6" w:rsidRDefault="00682D08" w:rsidP="00682D08">
            <w:pPr>
              <w:snapToGrid w:val="0"/>
              <w:jc w:val="center"/>
              <w:rPr>
                <w:rFonts w:eastAsia="標楷體"/>
                <w:szCs w:val="28"/>
              </w:rPr>
            </w:pPr>
            <w:r w:rsidRPr="00D55DC6">
              <w:rPr>
                <w:rFonts w:eastAsia="標楷體"/>
                <w:szCs w:val="28"/>
              </w:rPr>
              <w:t>(B/A%)</w:t>
            </w:r>
          </w:p>
        </w:tc>
      </w:tr>
      <w:tr w:rsidR="001D0350" w:rsidRPr="00D55DC6" w:rsidTr="00682D08">
        <w:tc>
          <w:tcPr>
            <w:tcW w:w="3513" w:type="dxa"/>
            <w:vAlign w:val="center"/>
          </w:tcPr>
          <w:p w:rsidR="00A11435" w:rsidRPr="00D55DC6" w:rsidRDefault="00A11435" w:rsidP="00682D08">
            <w:pPr>
              <w:widowControl/>
              <w:rPr>
                <w:rFonts w:eastAsia="標楷體"/>
                <w:kern w:val="0"/>
                <w:lang w:bidi="sa-IN"/>
              </w:rPr>
            </w:pPr>
            <w:r w:rsidRPr="00D55DC6">
              <w:rPr>
                <w:rFonts w:eastAsia="標楷體"/>
                <w:kern w:val="0"/>
                <w:lang w:bidi="sa-IN"/>
              </w:rPr>
              <w:t>東部海岸國家風景區建設計畫</w:t>
            </w:r>
          </w:p>
        </w:tc>
        <w:tc>
          <w:tcPr>
            <w:tcW w:w="1701" w:type="dxa"/>
          </w:tcPr>
          <w:p w:rsidR="00A11435" w:rsidRPr="00D55DC6" w:rsidRDefault="00A11435">
            <w:pPr>
              <w:jc w:val="center"/>
            </w:pPr>
            <w:r w:rsidRPr="00D55DC6">
              <w:t xml:space="preserve">5.95096 </w:t>
            </w:r>
          </w:p>
        </w:tc>
        <w:tc>
          <w:tcPr>
            <w:tcW w:w="1701" w:type="dxa"/>
          </w:tcPr>
          <w:p w:rsidR="00A11435" w:rsidRPr="00D55DC6" w:rsidRDefault="00A11435">
            <w:pPr>
              <w:jc w:val="center"/>
            </w:pPr>
            <w:r w:rsidRPr="00D55DC6">
              <w:t xml:space="preserve">6.00010 </w:t>
            </w:r>
          </w:p>
        </w:tc>
        <w:tc>
          <w:tcPr>
            <w:tcW w:w="1082" w:type="dxa"/>
          </w:tcPr>
          <w:p w:rsidR="00A11435" w:rsidRPr="00D55DC6" w:rsidRDefault="00A11435">
            <w:pPr>
              <w:jc w:val="center"/>
            </w:pPr>
            <w:r w:rsidRPr="00D55DC6">
              <w:t>100.00%</w:t>
            </w:r>
          </w:p>
        </w:tc>
      </w:tr>
    </w:tbl>
    <w:p w:rsidR="00682D08" w:rsidRPr="00D55DC6" w:rsidRDefault="00682D08" w:rsidP="00682D08">
      <w:pPr>
        <w:snapToGrid w:val="0"/>
        <w:ind w:leftChars="295" w:left="1315" w:hangingChars="253" w:hanging="607"/>
        <w:jc w:val="both"/>
        <w:rPr>
          <w:rFonts w:eastAsia="標楷體"/>
          <w:szCs w:val="28"/>
        </w:rPr>
      </w:pPr>
      <w:r w:rsidRPr="00D55DC6">
        <w:rPr>
          <w:rFonts w:eastAsia="標楷體"/>
          <w:szCs w:val="28"/>
        </w:rPr>
        <w:t>註</w:t>
      </w:r>
      <w:r w:rsidRPr="00D55DC6">
        <w:rPr>
          <w:rFonts w:eastAsia="標楷體"/>
          <w:szCs w:val="28"/>
        </w:rPr>
        <w:t xml:space="preserve"> 1.</w:t>
      </w:r>
      <w:r w:rsidRPr="00D55DC6">
        <w:rPr>
          <w:rFonts w:eastAsia="標楷體"/>
          <w:szCs w:val="28"/>
        </w:rPr>
        <w:t>「總累計編列數</w:t>
      </w:r>
      <w:r w:rsidRPr="00D55DC6">
        <w:rPr>
          <w:rFonts w:eastAsia="標楷體"/>
          <w:szCs w:val="28"/>
        </w:rPr>
        <w:t>(A)</w:t>
      </w:r>
      <w:r w:rsidRPr="00D55DC6">
        <w:rPr>
          <w:rFonts w:eastAsia="標楷體"/>
          <w:szCs w:val="28"/>
        </w:rPr>
        <w:t>」為</w:t>
      </w:r>
      <w:r w:rsidRPr="00D55DC6">
        <w:rPr>
          <w:rFonts w:eastAsia="標楷體"/>
          <w:szCs w:val="28"/>
        </w:rPr>
        <w:t>101</w:t>
      </w:r>
      <w:r w:rsidRPr="00D55DC6">
        <w:rPr>
          <w:rFonts w:eastAsia="標楷體"/>
          <w:szCs w:val="28"/>
        </w:rPr>
        <w:t>年</w:t>
      </w:r>
      <w:r w:rsidRPr="00D55DC6">
        <w:rPr>
          <w:rFonts w:eastAsia="標楷體"/>
          <w:szCs w:val="28"/>
        </w:rPr>
        <w:t>1</w:t>
      </w:r>
      <w:r w:rsidRPr="00D55DC6">
        <w:rPr>
          <w:rFonts w:eastAsia="標楷體"/>
          <w:szCs w:val="28"/>
        </w:rPr>
        <w:t>月至</w:t>
      </w:r>
      <w:r w:rsidRPr="00D55DC6">
        <w:rPr>
          <w:rFonts w:eastAsia="標楷體"/>
          <w:szCs w:val="28"/>
        </w:rPr>
        <w:t>103</w:t>
      </w:r>
      <w:r w:rsidRPr="00D55DC6">
        <w:rPr>
          <w:rFonts w:eastAsia="標楷體"/>
          <w:szCs w:val="28"/>
        </w:rPr>
        <w:t>年</w:t>
      </w:r>
      <w:r w:rsidR="00F14092" w:rsidRPr="00D55DC6">
        <w:rPr>
          <w:rFonts w:eastAsia="標楷體"/>
          <w:szCs w:val="28"/>
        </w:rPr>
        <w:t>1</w:t>
      </w:r>
      <w:r w:rsidR="00A11435" w:rsidRPr="00D55DC6">
        <w:rPr>
          <w:rFonts w:eastAsia="標楷體"/>
          <w:szCs w:val="28"/>
        </w:rPr>
        <w:t>2</w:t>
      </w:r>
      <w:r w:rsidRPr="00D55DC6">
        <w:rPr>
          <w:rFonts w:eastAsia="標楷體"/>
          <w:szCs w:val="28"/>
        </w:rPr>
        <w:t>月累計實際可支用數。</w:t>
      </w:r>
    </w:p>
    <w:p w:rsidR="00682D08" w:rsidRPr="00D55DC6" w:rsidRDefault="00682D08" w:rsidP="00682D08">
      <w:pPr>
        <w:snapToGrid w:val="0"/>
        <w:jc w:val="both"/>
        <w:rPr>
          <w:rFonts w:eastAsia="標楷體"/>
          <w:szCs w:val="28"/>
        </w:rPr>
      </w:pPr>
      <w:r w:rsidRPr="00D55DC6">
        <w:rPr>
          <w:rFonts w:eastAsia="標楷體"/>
          <w:szCs w:val="28"/>
        </w:rPr>
        <w:t xml:space="preserve">         2.</w:t>
      </w:r>
      <w:r w:rsidRPr="00D55DC6">
        <w:rPr>
          <w:rFonts w:eastAsia="標楷體"/>
          <w:szCs w:val="28"/>
        </w:rPr>
        <w:t>「總累計實支數</w:t>
      </w:r>
      <w:r w:rsidRPr="00D55DC6">
        <w:rPr>
          <w:rFonts w:eastAsia="標楷體"/>
          <w:szCs w:val="28"/>
        </w:rPr>
        <w:t>(B)</w:t>
      </w:r>
      <w:r w:rsidRPr="00D55DC6">
        <w:rPr>
          <w:rFonts w:eastAsia="標楷體"/>
          <w:szCs w:val="28"/>
        </w:rPr>
        <w:t>」為</w:t>
      </w:r>
      <w:r w:rsidRPr="00D55DC6">
        <w:rPr>
          <w:rFonts w:eastAsia="標楷體"/>
          <w:szCs w:val="28"/>
        </w:rPr>
        <w:t>101</w:t>
      </w:r>
      <w:r w:rsidRPr="00D55DC6">
        <w:rPr>
          <w:rFonts w:eastAsia="標楷體"/>
          <w:szCs w:val="28"/>
        </w:rPr>
        <w:t>年</w:t>
      </w:r>
      <w:r w:rsidRPr="00D55DC6">
        <w:rPr>
          <w:rFonts w:eastAsia="標楷體"/>
          <w:szCs w:val="28"/>
        </w:rPr>
        <w:t>1</w:t>
      </w:r>
      <w:r w:rsidRPr="00D55DC6">
        <w:rPr>
          <w:rFonts w:eastAsia="標楷體"/>
          <w:szCs w:val="28"/>
        </w:rPr>
        <w:t>月至</w:t>
      </w:r>
      <w:r w:rsidRPr="00D55DC6">
        <w:rPr>
          <w:rFonts w:eastAsia="標楷體"/>
          <w:szCs w:val="28"/>
        </w:rPr>
        <w:t>103</w:t>
      </w:r>
      <w:r w:rsidRPr="00D55DC6">
        <w:rPr>
          <w:rFonts w:eastAsia="標楷體"/>
          <w:szCs w:val="28"/>
        </w:rPr>
        <w:t>年</w:t>
      </w:r>
      <w:r w:rsidR="00F14092" w:rsidRPr="00D55DC6">
        <w:rPr>
          <w:rFonts w:eastAsia="標楷體"/>
          <w:szCs w:val="28"/>
        </w:rPr>
        <w:t>1</w:t>
      </w:r>
      <w:r w:rsidR="00A11435" w:rsidRPr="00D55DC6">
        <w:rPr>
          <w:rFonts w:eastAsia="標楷體"/>
          <w:szCs w:val="28"/>
        </w:rPr>
        <w:t>2</w:t>
      </w:r>
      <w:r w:rsidRPr="00D55DC6">
        <w:rPr>
          <w:rFonts w:eastAsia="標楷體"/>
          <w:szCs w:val="28"/>
        </w:rPr>
        <w:t>月累計實支數。</w:t>
      </w:r>
    </w:p>
    <w:p w:rsidR="00682D08" w:rsidRPr="00D55DC6" w:rsidRDefault="00682D08" w:rsidP="00682D08">
      <w:pPr>
        <w:snapToGrid w:val="0"/>
        <w:ind w:leftChars="443" w:left="1274" w:hangingChars="88" w:hanging="211"/>
        <w:jc w:val="both"/>
        <w:rPr>
          <w:rFonts w:eastAsia="標楷體"/>
          <w:szCs w:val="28"/>
        </w:rPr>
      </w:pPr>
    </w:p>
    <w:p w:rsidR="00682D08" w:rsidRPr="00D55DC6" w:rsidRDefault="00682D08" w:rsidP="004865C1">
      <w:pPr>
        <w:pStyle w:val="af2"/>
        <w:numPr>
          <w:ilvl w:val="0"/>
          <w:numId w:val="179"/>
        </w:numPr>
        <w:snapToGrid w:val="0"/>
        <w:spacing w:line="460" w:lineRule="exact"/>
        <w:ind w:leftChars="0"/>
        <w:jc w:val="both"/>
        <w:rPr>
          <w:rFonts w:eastAsia="標楷體"/>
          <w:b/>
          <w:sz w:val="28"/>
          <w:szCs w:val="28"/>
        </w:rPr>
      </w:pPr>
      <w:r w:rsidRPr="00D55DC6">
        <w:rPr>
          <w:rFonts w:eastAsia="標楷體"/>
          <w:b/>
          <w:sz w:val="28"/>
          <w:szCs w:val="28"/>
        </w:rPr>
        <w:t>重要執行成果</w:t>
      </w:r>
      <w:r w:rsidRPr="00D55DC6">
        <w:rPr>
          <w:rFonts w:eastAsia="標楷體"/>
          <w:b/>
          <w:sz w:val="28"/>
          <w:szCs w:val="28"/>
        </w:rPr>
        <w:t xml:space="preserve">  </w:t>
      </w:r>
    </w:p>
    <w:p w:rsidR="00682D08" w:rsidRPr="00D55DC6" w:rsidRDefault="00682D08" w:rsidP="00682D08">
      <w:pPr>
        <w:pStyle w:val="af2"/>
        <w:snapToGrid w:val="0"/>
        <w:spacing w:line="460" w:lineRule="exact"/>
        <w:ind w:leftChars="0" w:left="785"/>
        <w:jc w:val="both"/>
        <w:rPr>
          <w:rFonts w:eastAsia="標楷體"/>
          <w:b/>
          <w:sz w:val="28"/>
          <w:szCs w:val="28"/>
        </w:rPr>
      </w:pPr>
      <w:r w:rsidRPr="00D55DC6">
        <w:rPr>
          <w:rFonts w:eastAsia="標楷體"/>
          <w:b/>
          <w:sz w:val="28"/>
          <w:szCs w:val="28"/>
        </w:rPr>
        <w:t>2-1.</w:t>
      </w:r>
      <w:r w:rsidRPr="00D55DC6">
        <w:rPr>
          <w:rFonts w:eastAsia="標楷體"/>
          <w:b/>
          <w:sz w:val="28"/>
          <w:szCs w:val="28"/>
        </w:rPr>
        <w:t>國際觀光重要景點建設</w:t>
      </w:r>
    </w:p>
    <w:p w:rsidR="00682D08" w:rsidRPr="00D55DC6" w:rsidRDefault="00682D08" w:rsidP="00682D08">
      <w:pPr>
        <w:pStyle w:val="af2"/>
        <w:snapToGrid w:val="0"/>
        <w:spacing w:line="460" w:lineRule="exact"/>
        <w:ind w:leftChars="536" w:left="1286"/>
        <w:jc w:val="both"/>
        <w:rPr>
          <w:rFonts w:eastAsia="標楷體"/>
          <w:b/>
          <w:sz w:val="28"/>
          <w:szCs w:val="28"/>
        </w:rPr>
      </w:pPr>
      <w:r w:rsidRPr="00D55DC6">
        <w:rPr>
          <w:rFonts w:eastAsia="標楷體"/>
          <w:b/>
          <w:sz w:val="28"/>
          <w:szCs w:val="28"/>
        </w:rPr>
        <w:t>2-1-1.</w:t>
      </w:r>
      <w:r w:rsidRPr="00D55DC6">
        <w:rPr>
          <w:rFonts w:eastAsia="標楷體"/>
          <w:b/>
          <w:sz w:val="28"/>
          <w:szCs w:val="28"/>
        </w:rPr>
        <w:t>綠島系統：</w:t>
      </w:r>
      <w:r w:rsidRPr="00D55DC6">
        <w:rPr>
          <w:rFonts w:eastAsia="標楷體"/>
          <w:sz w:val="28"/>
          <w:szCs w:val="28"/>
        </w:rPr>
        <w:t>朝日溫泉停車場新建及綠島朝日旅服中心屋頂災損修復等工程</w:t>
      </w:r>
      <w:r w:rsidRPr="00D55DC6">
        <w:rPr>
          <w:rFonts w:eastAsia="標楷體"/>
          <w:b/>
          <w:sz w:val="28"/>
          <w:szCs w:val="28"/>
        </w:rPr>
        <w:t>。</w:t>
      </w:r>
    </w:p>
    <w:p w:rsidR="00682D08" w:rsidRPr="00D55DC6" w:rsidRDefault="00682D08" w:rsidP="00682D08">
      <w:pPr>
        <w:pStyle w:val="af2"/>
        <w:snapToGrid w:val="0"/>
        <w:spacing w:line="460" w:lineRule="exact"/>
        <w:ind w:leftChars="536" w:left="1286"/>
        <w:jc w:val="both"/>
        <w:rPr>
          <w:rFonts w:eastAsia="標楷體"/>
          <w:b/>
          <w:sz w:val="28"/>
          <w:szCs w:val="28"/>
        </w:rPr>
      </w:pPr>
      <w:r w:rsidRPr="00D55DC6">
        <w:rPr>
          <w:rFonts w:eastAsia="標楷體"/>
          <w:b/>
          <w:sz w:val="28"/>
          <w:szCs w:val="28"/>
        </w:rPr>
        <w:t>2-1-2.</w:t>
      </w:r>
      <w:r w:rsidRPr="00D55DC6">
        <w:rPr>
          <w:rFonts w:eastAsia="標楷體"/>
          <w:b/>
          <w:sz w:val="28"/>
          <w:szCs w:val="28"/>
        </w:rPr>
        <w:t>小野柳</w:t>
      </w:r>
      <w:r w:rsidRPr="00D55DC6">
        <w:rPr>
          <w:rFonts w:eastAsia="標楷體"/>
          <w:b/>
          <w:sz w:val="28"/>
          <w:szCs w:val="28"/>
        </w:rPr>
        <w:t>/</w:t>
      </w:r>
      <w:r w:rsidRPr="00D55DC6">
        <w:rPr>
          <w:rFonts w:eastAsia="標楷體"/>
          <w:b/>
          <w:sz w:val="28"/>
          <w:szCs w:val="28"/>
        </w:rPr>
        <w:t>都蘭系統：</w:t>
      </w:r>
      <w:r w:rsidRPr="00D55DC6">
        <w:rPr>
          <w:rFonts w:eastAsia="標楷體"/>
          <w:sz w:val="28"/>
          <w:szCs w:val="28"/>
        </w:rPr>
        <w:t>小野柳及加路蘭遊憩區友善環境改善及水往上流部落市集及環境改善等工程。</w:t>
      </w:r>
    </w:p>
    <w:p w:rsidR="00682D08" w:rsidRPr="00D55DC6" w:rsidRDefault="00682D08" w:rsidP="00682D08">
      <w:pPr>
        <w:pStyle w:val="af2"/>
        <w:snapToGrid w:val="0"/>
        <w:spacing w:line="460" w:lineRule="exact"/>
        <w:ind w:leftChars="536" w:left="1286"/>
        <w:jc w:val="both"/>
        <w:rPr>
          <w:rFonts w:eastAsia="標楷體"/>
          <w:b/>
          <w:sz w:val="28"/>
          <w:szCs w:val="28"/>
        </w:rPr>
      </w:pPr>
      <w:r w:rsidRPr="00D55DC6">
        <w:rPr>
          <w:rFonts w:eastAsia="標楷體"/>
          <w:b/>
          <w:sz w:val="28"/>
          <w:szCs w:val="28"/>
        </w:rPr>
        <w:lastRenderedPageBreak/>
        <w:t>2-1-3.</w:t>
      </w:r>
      <w:r w:rsidRPr="00D55DC6">
        <w:rPr>
          <w:rFonts w:eastAsia="標楷體"/>
          <w:b/>
          <w:sz w:val="28"/>
          <w:szCs w:val="28"/>
        </w:rPr>
        <w:t>成功</w:t>
      </w:r>
      <w:r w:rsidRPr="00D55DC6">
        <w:rPr>
          <w:rFonts w:eastAsia="標楷體"/>
          <w:b/>
          <w:sz w:val="28"/>
          <w:szCs w:val="28"/>
        </w:rPr>
        <w:t>/</w:t>
      </w:r>
      <w:r w:rsidRPr="00D55DC6">
        <w:rPr>
          <w:rFonts w:eastAsia="標楷體"/>
          <w:b/>
          <w:sz w:val="28"/>
          <w:szCs w:val="28"/>
        </w:rPr>
        <w:t>三仙臺系統：</w:t>
      </w:r>
      <w:r w:rsidRPr="00D55DC6">
        <w:rPr>
          <w:rFonts w:eastAsia="標楷體"/>
          <w:sz w:val="28"/>
          <w:szCs w:val="28"/>
        </w:rPr>
        <w:t>都歷遊客中心展示室、阿美</w:t>
      </w:r>
      <w:r w:rsidR="00F14092" w:rsidRPr="00D55DC6">
        <w:rPr>
          <w:rFonts w:eastAsia="標楷體"/>
          <w:sz w:val="28"/>
          <w:szCs w:val="28"/>
        </w:rPr>
        <w:t>族</w:t>
      </w:r>
      <w:r w:rsidRPr="00D55DC6">
        <w:rPr>
          <w:rFonts w:eastAsia="標楷體"/>
          <w:sz w:val="28"/>
          <w:szCs w:val="28"/>
        </w:rPr>
        <w:t>民俗中心整建及三仙台公廁新建等工程。</w:t>
      </w:r>
    </w:p>
    <w:p w:rsidR="00682D08" w:rsidRPr="00D55DC6" w:rsidRDefault="00682D08" w:rsidP="00682D08">
      <w:pPr>
        <w:pStyle w:val="af2"/>
        <w:snapToGrid w:val="0"/>
        <w:spacing w:line="460" w:lineRule="exact"/>
        <w:ind w:leftChars="0" w:left="785"/>
        <w:jc w:val="both"/>
        <w:rPr>
          <w:rFonts w:eastAsia="標楷體"/>
          <w:b/>
          <w:sz w:val="28"/>
          <w:szCs w:val="28"/>
        </w:rPr>
      </w:pPr>
      <w:r w:rsidRPr="00D55DC6">
        <w:rPr>
          <w:rFonts w:eastAsia="標楷體"/>
          <w:b/>
          <w:sz w:val="28"/>
          <w:szCs w:val="28"/>
        </w:rPr>
        <w:t>2-2.</w:t>
      </w:r>
      <w:r w:rsidRPr="00D55DC6">
        <w:rPr>
          <w:rFonts w:eastAsia="標楷體"/>
          <w:b/>
          <w:sz w:val="28"/>
          <w:szCs w:val="28"/>
        </w:rPr>
        <w:t>國內觀光重要景點建設</w:t>
      </w:r>
    </w:p>
    <w:p w:rsidR="00682D08" w:rsidRPr="00D55DC6" w:rsidRDefault="00682D08" w:rsidP="00682D08">
      <w:pPr>
        <w:pStyle w:val="af2"/>
        <w:snapToGrid w:val="0"/>
        <w:spacing w:line="460" w:lineRule="exact"/>
        <w:ind w:leftChars="536" w:left="1286"/>
        <w:jc w:val="both"/>
        <w:rPr>
          <w:rFonts w:eastAsia="標楷體"/>
          <w:sz w:val="28"/>
          <w:szCs w:val="28"/>
        </w:rPr>
      </w:pPr>
      <w:r w:rsidRPr="00D55DC6">
        <w:rPr>
          <w:rFonts w:eastAsia="標楷體"/>
          <w:b/>
          <w:sz w:val="28"/>
          <w:szCs w:val="28"/>
        </w:rPr>
        <w:t>2-2-1.</w:t>
      </w:r>
      <w:r w:rsidRPr="00D55DC6">
        <w:rPr>
          <w:rFonts w:eastAsia="標楷體"/>
          <w:b/>
          <w:sz w:val="28"/>
          <w:szCs w:val="28"/>
        </w:rPr>
        <w:t>石梯</w:t>
      </w:r>
      <w:r w:rsidRPr="00D55DC6">
        <w:rPr>
          <w:rFonts w:eastAsia="標楷體"/>
          <w:b/>
          <w:sz w:val="28"/>
          <w:szCs w:val="28"/>
        </w:rPr>
        <w:t>/</w:t>
      </w:r>
      <w:r w:rsidRPr="00D55DC6">
        <w:rPr>
          <w:rFonts w:eastAsia="標楷體"/>
          <w:b/>
          <w:sz w:val="28"/>
          <w:szCs w:val="28"/>
        </w:rPr>
        <w:t>秀姑巒系統：</w:t>
      </w:r>
      <w:r w:rsidRPr="00D55DC6">
        <w:rPr>
          <w:rFonts w:eastAsia="標楷體"/>
          <w:sz w:val="28"/>
          <w:szCs w:val="28"/>
        </w:rPr>
        <w:t>八仙洞周邊環境改善及奚卜蘭遊憩區周邊環境改善等工程。</w:t>
      </w:r>
    </w:p>
    <w:p w:rsidR="00682D08" w:rsidRPr="00D55DC6" w:rsidRDefault="00682D08" w:rsidP="00682D08">
      <w:pPr>
        <w:snapToGrid w:val="0"/>
        <w:spacing w:line="460" w:lineRule="exact"/>
        <w:ind w:firstLineChars="275" w:firstLine="771"/>
        <w:jc w:val="both"/>
        <w:rPr>
          <w:rFonts w:eastAsia="標楷體"/>
          <w:b/>
          <w:sz w:val="28"/>
          <w:szCs w:val="28"/>
        </w:rPr>
      </w:pPr>
      <w:r w:rsidRPr="00D55DC6">
        <w:rPr>
          <w:rFonts w:eastAsia="標楷體"/>
          <w:b/>
          <w:sz w:val="28"/>
          <w:szCs w:val="28"/>
        </w:rPr>
        <w:t>2-3.</w:t>
      </w:r>
      <w:r w:rsidRPr="00D55DC6">
        <w:rPr>
          <w:rFonts w:eastAsia="標楷體"/>
          <w:b/>
          <w:sz w:val="28"/>
          <w:szCs w:val="28"/>
        </w:rPr>
        <w:t>地方觀光重要景點建設</w:t>
      </w:r>
    </w:p>
    <w:p w:rsidR="00682D08" w:rsidRPr="00D55DC6" w:rsidRDefault="00682D08" w:rsidP="00682D08">
      <w:pPr>
        <w:pStyle w:val="af2"/>
        <w:snapToGrid w:val="0"/>
        <w:spacing w:line="460" w:lineRule="exact"/>
        <w:ind w:leftChars="536" w:left="1286"/>
        <w:jc w:val="both"/>
        <w:rPr>
          <w:rFonts w:eastAsia="標楷體"/>
          <w:sz w:val="28"/>
          <w:szCs w:val="28"/>
        </w:rPr>
      </w:pPr>
      <w:r w:rsidRPr="00D55DC6">
        <w:rPr>
          <w:rFonts w:eastAsia="標楷體"/>
          <w:b/>
          <w:sz w:val="28"/>
          <w:szCs w:val="28"/>
        </w:rPr>
        <w:t>2-3-1.</w:t>
      </w:r>
      <w:r w:rsidRPr="00D55DC6">
        <w:rPr>
          <w:rFonts w:eastAsia="標楷體"/>
          <w:b/>
          <w:sz w:val="28"/>
          <w:szCs w:val="28"/>
        </w:rPr>
        <w:t>磯崎</w:t>
      </w:r>
      <w:r w:rsidRPr="00D55DC6">
        <w:rPr>
          <w:rFonts w:eastAsia="標楷體"/>
          <w:b/>
          <w:sz w:val="28"/>
          <w:szCs w:val="28"/>
        </w:rPr>
        <w:t>/</w:t>
      </w:r>
      <w:r w:rsidRPr="00D55DC6">
        <w:rPr>
          <w:rFonts w:eastAsia="標楷體"/>
          <w:b/>
          <w:sz w:val="28"/>
          <w:szCs w:val="28"/>
        </w:rPr>
        <w:t>鹽寮系統：</w:t>
      </w:r>
      <w:r w:rsidRPr="00D55DC6">
        <w:rPr>
          <w:rFonts w:eastAsia="標楷體"/>
          <w:sz w:val="28"/>
          <w:szCs w:val="28"/>
        </w:rPr>
        <w:t>東海岸觀海樓設施改善及磯崎遊憩區整修等工程。</w:t>
      </w:r>
    </w:p>
    <w:p w:rsidR="00682D08" w:rsidRPr="00D55DC6" w:rsidRDefault="00682D08" w:rsidP="00682D08">
      <w:pPr>
        <w:snapToGrid w:val="0"/>
        <w:spacing w:line="460" w:lineRule="exact"/>
        <w:ind w:firstLineChars="275" w:firstLine="771"/>
        <w:jc w:val="both"/>
        <w:rPr>
          <w:rFonts w:eastAsia="標楷體"/>
          <w:b/>
          <w:sz w:val="28"/>
          <w:szCs w:val="28"/>
        </w:rPr>
      </w:pPr>
      <w:r w:rsidRPr="00D55DC6">
        <w:rPr>
          <w:rFonts w:eastAsia="標楷體"/>
          <w:b/>
          <w:sz w:val="28"/>
          <w:szCs w:val="28"/>
        </w:rPr>
        <w:t>2-4.</w:t>
      </w:r>
      <w:r w:rsidRPr="00D55DC6">
        <w:rPr>
          <w:rFonts w:eastAsia="標楷體"/>
          <w:b/>
          <w:sz w:val="28"/>
          <w:szCs w:val="28"/>
        </w:rPr>
        <w:t>國家風景區經營管理建設</w:t>
      </w:r>
    </w:p>
    <w:p w:rsidR="00682D08" w:rsidRPr="00D55DC6" w:rsidRDefault="00682D08" w:rsidP="00682D08">
      <w:pPr>
        <w:snapToGrid w:val="0"/>
        <w:spacing w:line="460" w:lineRule="exact"/>
        <w:ind w:firstLineChars="275" w:firstLine="771"/>
        <w:jc w:val="both"/>
        <w:rPr>
          <w:rFonts w:eastAsia="標楷體"/>
          <w:b/>
          <w:sz w:val="28"/>
          <w:szCs w:val="28"/>
        </w:rPr>
      </w:pPr>
      <w:r w:rsidRPr="00D55DC6">
        <w:rPr>
          <w:rFonts w:eastAsia="標楷體"/>
          <w:b/>
          <w:sz w:val="28"/>
          <w:szCs w:val="28"/>
        </w:rPr>
        <w:t>2-5.</w:t>
      </w:r>
      <w:r w:rsidRPr="00D55DC6">
        <w:rPr>
          <w:rFonts w:eastAsia="標楷體"/>
          <w:b/>
          <w:sz w:val="28"/>
          <w:szCs w:val="28"/>
        </w:rPr>
        <w:t>經營管理及行銷推廣</w:t>
      </w:r>
    </w:p>
    <w:p w:rsidR="00682D08" w:rsidRPr="00D55DC6" w:rsidRDefault="00682D08" w:rsidP="00682D08">
      <w:pPr>
        <w:pStyle w:val="af2"/>
        <w:snapToGrid w:val="0"/>
        <w:spacing w:line="460" w:lineRule="exact"/>
        <w:ind w:leftChars="0" w:left="0" w:firstLineChars="455" w:firstLine="1275"/>
        <w:jc w:val="both"/>
        <w:rPr>
          <w:rFonts w:eastAsia="標楷體"/>
          <w:b/>
          <w:sz w:val="28"/>
          <w:szCs w:val="28"/>
        </w:rPr>
      </w:pPr>
      <w:r w:rsidRPr="00D55DC6">
        <w:rPr>
          <w:rFonts w:eastAsia="標楷體"/>
          <w:b/>
          <w:sz w:val="28"/>
          <w:szCs w:val="28"/>
        </w:rPr>
        <w:t>2-5-1.</w:t>
      </w:r>
      <w:r w:rsidRPr="00D55DC6">
        <w:rPr>
          <w:rFonts w:eastAsia="標楷體"/>
          <w:b/>
          <w:sz w:val="28"/>
          <w:szCs w:val="28"/>
        </w:rPr>
        <w:t>經營管理：</w:t>
      </w:r>
    </w:p>
    <w:p w:rsidR="00682D08" w:rsidRPr="00D55DC6" w:rsidRDefault="00682D08" w:rsidP="00682D08">
      <w:pPr>
        <w:pStyle w:val="af2"/>
        <w:snapToGrid w:val="0"/>
        <w:spacing w:line="460" w:lineRule="exact"/>
        <w:ind w:leftChars="618" w:left="2411" w:hangingChars="331" w:hanging="928"/>
        <w:jc w:val="both"/>
        <w:rPr>
          <w:rFonts w:eastAsia="標楷體"/>
          <w:sz w:val="28"/>
          <w:szCs w:val="28"/>
        </w:rPr>
      </w:pPr>
      <w:r w:rsidRPr="00D55DC6">
        <w:rPr>
          <w:rFonts w:eastAsia="標楷體"/>
          <w:b/>
          <w:sz w:val="28"/>
          <w:szCs w:val="28"/>
        </w:rPr>
        <w:t>2-5-1-1.</w:t>
      </w:r>
      <w:r w:rsidRPr="00D55DC6">
        <w:rPr>
          <w:rFonts w:eastAsia="標楷體"/>
          <w:b/>
          <w:sz w:val="28"/>
          <w:szCs w:val="28"/>
        </w:rPr>
        <w:t>提昇遊客安全：</w:t>
      </w:r>
      <w:r w:rsidRPr="00D55DC6">
        <w:rPr>
          <w:rFonts w:eastAsia="標楷體"/>
          <w:sz w:val="28"/>
          <w:szCs w:val="28"/>
        </w:rPr>
        <w:t>辦理警告標示與監視器維護、消防檢查及演練、水域遊憩活動管理、緊急救難及潛在危險據點管理等。</w:t>
      </w:r>
    </w:p>
    <w:p w:rsidR="00682D08" w:rsidRPr="00D55DC6" w:rsidRDefault="00682D08" w:rsidP="00682D08">
      <w:pPr>
        <w:pStyle w:val="af2"/>
        <w:snapToGrid w:val="0"/>
        <w:spacing w:line="460" w:lineRule="exact"/>
        <w:ind w:leftChars="618" w:left="2411" w:hangingChars="331" w:hanging="928"/>
        <w:jc w:val="both"/>
        <w:rPr>
          <w:rFonts w:eastAsia="標楷體"/>
          <w:sz w:val="28"/>
          <w:szCs w:val="28"/>
        </w:rPr>
      </w:pPr>
      <w:r w:rsidRPr="00D55DC6">
        <w:rPr>
          <w:rFonts w:eastAsia="標楷體"/>
          <w:b/>
          <w:sz w:val="28"/>
          <w:szCs w:val="28"/>
        </w:rPr>
        <w:t>2-5-1-2.</w:t>
      </w:r>
      <w:r w:rsidRPr="00D55DC6">
        <w:rPr>
          <w:rFonts w:eastAsia="標楷體"/>
          <w:b/>
          <w:sz w:val="28"/>
          <w:szCs w:val="28"/>
        </w:rPr>
        <w:t>設施維護管理：</w:t>
      </w:r>
      <w:r w:rsidRPr="00D55DC6">
        <w:rPr>
          <w:rFonts w:eastAsia="標楷體"/>
          <w:sz w:val="28"/>
          <w:szCs w:val="28"/>
        </w:rPr>
        <w:t>辦理處本部、臺東、花蓮及綠島管理站所轄景點之環境維護及設施維持、指示及標誌國際化、改善公共建物安全等工作。</w:t>
      </w:r>
    </w:p>
    <w:p w:rsidR="00682D08" w:rsidRPr="00D55DC6" w:rsidRDefault="00682D08" w:rsidP="00682D08">
      <w:pPr>
        <w:pStyle w:val="af2"/>
        <w:snapToGrid w:val="0"/>
        <w:spacing w:line="460" w:lineRule="exact"/>
        <w:ind w:leftChars="618" w:left="2411" w:hangingChars="331" w:hanging="928"/>
        <w:jc w:val="both"/>
        <w:rPr>
          <w:rFonts w:eastAsia="標楷體"/>
          <w:sz w:val="28"/>
          <w:szCs w:val="28"/>
        </w:rPr>
      </w:pPr>
      <w:r w:rsidRPr="00D55DC6">
        <w:rPr>
          <w:rFonts w:eastAsia="標楷體"/>
          <w:b/>
          <w:sz w:val="28"/>
          <w:szCs w:val="28"/>
        </w:rPr>
        <w:t>2-5-1-3.</w:t>
      </w:r>
      <w:r w:rsidRPr="00D55DC6">
        <w:rPr>
          <w:rFonts w:eastAsia="標楷體"/>
          <w:b/>
          <w:sz w:val="28"/>
          <w:szCs w:val="28"/>
        </w:rPr>
        <w:t>環境整潔美化：</w:t>
      </w:r>
      <w:r w:rsidRPr="00D55DC6">
        <w:rPr>
          <w:rFonts w:eastAsia="標楷體"/>
          <w:bCs/>
          <w:sz w:val="28"/>
          <w:szCs w:val="28"/>
        </w:rPr>
        <w:t>辦理轄區環境清潔工作、植栽綠美化、垃圾減量資源回收、海岸漂流木清理、公廁改善等工作</w:t>
      </w:r>
      <w:r w:rsidRPr="00D55DC6">
        <w:rPr>
          <w:rFonts w:eastAsia="標楷體"/>
          <w:sz w:val="28"/>
          <w:szCs w:val="28"/>
        </w:rPr>
        <w:t>。</w:t>
      </w:r>
    </w:p>
    <w:p w:rsidR="00682D08" w:rsidRPr="00D55DC6" w:rsidRDefault="00682D08" w:rsidP="00682D08">
      <w:pPr>
        <w:pStyle w:val="af2"/>
        <w:snapToGrid w:val="0"/>
        <w:spacing w:line="460" w:lineRule="exact"/>
        <w:ind w:leftChars="618" w:left="2411" w:hangingChars="331" w:hanging="928"/>
        <w:jc w:val="both"/>
        <w:rPr>
          <w:rFonts w:eastAsia="標楷體"/>
          <w:bCs/>
          <w:sz w:val="28"/>
          <w:szCs w:val="28"/>
        </w:rPr>
      </w:pPr>
      <w:r w:rsidRPr="00D55DC6">
        <w:rPr>
          <w:rFonts w:eastAsia="標楷體"/>
          <w:b/>
          <w:sz w:val="28"/>
          <w:szCs w:val="28"/>
        </w:rPr>
        <w:t>2-5-1-4.</w:t>
      </w:r>
      <w:r w:rsidRPr="00D55DC6">
        <w:rPr>
          <w:rFonts w:eastAsia="標楷體"/>
          <w:b/>
          <w:sz w:val="28"/>
          <w:szCs w:val="28"/>
        </w:rPr>
        <w:t>據點委託經營及賣店出租：</w:t>
      </w:r>
      <w:r w:rsidRPr="00D55DC6">
        <w:rPr>
          <w:rFonts w:eastAsia="標楷體"/>
          <w:sz w:val="28"/>
          <w:szCs w:val="28"/>
        </w:rPr>
        <w:t>辦理</w:t>
      </w:r>
      <w:r w:rsidR="00F14092" w:rsidRPr="00D55DC6">
        <w:rPr>
          <w:rFonts w:eastAsia="標楷體"/>
          <w:sz w:val="28"/>
          <w:szCs w:val="28"/>
        </w:rPr>
        <w:t>辦理阿美族民俗中心及月光小棧等設施委託經營；金樽、奇美及芭崎等約</w:t>
      </w:r>
      <w:r w:rsidR="00F14092" w:rsidRPr="00D55DC6">
        <w:rPr>
          <w:rFonts w:eastAsia="標楷體"/>
          <w:sz w:val="28"/>
          <w:szCs w:val="28"/>
        </w:rPr>
        <w:t>80</w:t>
      </w:r>
      <w:r w:rsidR="00F14092" w:rsidRPr="00D55DC6">
        <w:rPr>
          <w:rFonts w:eastAsia="標楷體"/>
          <w:sz w:val="28"/>
          <w:szCs w:val="28"/>
        </w:rPr>
        <w:t>餘處</w:t>
      </w:r>
      <w:r w:rsidRPr="00D55DC6">
        <w:rPr>
          <w:rFonts w:eastAsia="標楷體"/>
          <w:b/>
          <w:sz w:val="28"/>
          <w:szCs w:val="28"/>
        </w:rPr>
        <w:t>；</w:t>
      </w:r>
      <w:r w:rsidRPr="00D55DC6">
        <w:rPr>
          <w:rFonts w:eastAsia="標楷體"/>
          <w:bCs/>
          <w:sz w:val="28"/>
          <w:szCs w:val="28"/>
        </w:rPr>
        <w:t>「綠島朝日溫泉、朝日旅遊服務中心及露營區</w:t>
      </w:r>
      <w:r w:rsidRPr="00D55DC6">
        <w:rPr>
          <w:rFonts w:eastAsia="標楷體"/>
          <w:bCs/>
          <w:sz w:val="28"/>
          <w:szCs w:val="28"/>
        </w:rPr>
        <w:t>ROT</w:t>
      </w:r>
      <w:r w:rsidRPr="00D55DC6">
        <w:rPr>
          <w:rFonts w:eastAsia="標楷體"/>
          <w:bCs/>
          <w:sz w:val="28"/>
          <w:szCs w:val="28"/>
        </w:rPr>
        <w:t>」案履約管理工作。</w:t>
      </w:r>
    </w:p>
    <w:p w:rsidR="00682D08" w:rsidRPr="00D55DC6" w:rsidRDefault="00682D08" w:rsidP="00682D08">
      <w:pPr>
        <w:pStyle w:val="af2"/>
        <w:tabs>
          <w:tab w:val="left" w:pos="851"/>
        </w:tabs>
        <w:snapToGrid w:val="0"/>
        <w:spacing w:line="460" w:lineRule="exact"/>
        <w:ind w:leftChars="530" w:left="1274" w:hanging="2"/>
        <w:jc w:val="both"/>
        <w:rPr>
          <w:rFonts w:eastAsia="標楷體"/>
          <w:b/>
          <w:sz w:val="28"/>
          <w:szCs w:val="28"/>
        </w:rPr>
      </w:pPr>
      <w:r w:rsidRPr="00D55DC6">
        <w:rPr>
          <w:rFonts w:eastAsia="標楷體"/>
          <w:b/>
          <w:sz w:val="28"/>
          <w:szCs w:val="28"/>
        </w:rPr>
        <w:t>2-5-2.</w:t>
      </w:r>
      <w:r w:rsidRPr="00D55DC6">
        <w:rPr>
          <w:rFonts w:eastAsia="標楷體"/>
          <w:b/>
          <w:sz w:val="28"/>
          <w:szCs w:val="28"/>
        </w:rPr>
        <w:t>行銷推廣：</w:t>
      </w:r>
    </w:p>
    <w:p w:rsidR="00682D08" w:rsidRPr="00D55DC6" w:rsidRDefault="00682D08" w:rsidP="00682D08">
      <w:pPr>
        <w:pStyle w:val="af2"/>
        <w:tabs>
          <w:tab w:val="left" w:pos="851"/>
        </w:tabs>
        <w:snapToGrid w:val="0"/>
        <w:spacing w:line="460" w:lineRule="exact"/>
        <w:ind w:leftChars="826" w:left="1984" w:hanging="2"/>
        <w:jc w:val="both"/>
        <w:rPr>
          <w:rFonts w:eastAsia="標楷體"/>
          <w:sz w:val="28"/>
          <w:szCs w:val="28"/>
        </w:rPr>
      </w:pPr>
      <w:r w:rsidRPr="00D55DC6">
        <w:rPr>
          <w:rFonts w:eastAsia="標楷體"/>
          <w:sz w:val="28"/>
          <w:szCs w:val="28"/>
        </w:rPr>
        <w:t>辦理年度重要活動，社區部落觀光發展</w:t>
      </w:r>
      <w:r w:rsidRPr="00D55DC6">
        <w:rPr>
          <w:rFonts w:eastAsia="標楷體"/>
          <w:sz w:val="28"/>
          <w:szCs w:val="28"/>
        </w:rPr>
        <w:t>(1-12</w:t>
      </w:r>
      <w:r w:rsidRPr="00D55DC6">
        <w:rPr>
          <w:rFonts w:eastAsia="標楷體"/>
          <w:sz w:val="28"/>
          <w:szCs w:val="28"/>
        </w:rPr>
        <w:t>月常態性</w:t>
      </w:r>
      <w:r w:rsidRPr="00D55DC6">
        <w:rPr>
          <w:rFonts w:eastAsia="標楷體"/>
          <w:sz w:val="28"/>
          <w:szCs w:val="28"/>
        </w:rPr>
        <w:t>)</w:t>
      </w:r>
      <w:r w:rsidRPr="00D55DC6">
        <w:rPr>
          <w:rFonts w:eastAsia="標楷體"/>
          <w:sz w:val="28"/>
          <w:szCs w:val="28"/>
        </w:rPr>
        <w:t>、舞動東海岸駐點表演（</w:t>
      </w:r>
      <w:r w:rsidRPr="00D55DC6">
        <w:rPr>
          <w:rFonts w:eastAsia="標楷體"/>
          <w:sz w:val="28"/>
          <w:szCs w:val="28"/>
        </w:rPr>
        <w:t>1-12</w:t>
      </w:r>
      <w:r w:rsidRPr="00D55DC6">
        <w:rPr>
          <w:rFonts w:eastAsia="標楷體"/>
          <w:sz w:val="28"/>
          <w:szCs w:val="28"/>
        </w:rPr>
        <w:t>月常態性）、東海岸社區部落慢騎漫遊行程推廣（</w:t>
      </w:r>
      <w:r w:rsidRPr="00D55DC6">
        <w:rPr>
          <w:rFonts w:eastAsia="標楷體"/>
          <w:sz w:val="28"/>
          <w:szCs w:val="28"/>
        </w:rPr>
        <w:t>1-12</w:t>
      </w:r>
      <w:r w:rsidRPr="00D55DC6">
        <w:rPr>
          <w:rFonts w:eastAsia="標楷體"/>
          <w:sz w:val="28"/>
          <w:szCs w:val="28"/>
        </w:rPr>
        <w:t>月常態性）、三仙台迎曙光活動</w:t>
      </w:r>
      <w:r w:rsidRPr="00D55DC6">
        <w:rPr>
          <w:rFonts w:eastAsia="標楷體"/>
          <w:sz w:val="28"/>
          <w:szCs w:val="28"/>
        </w:rPr>
        <w:t>(1</w:t>
      </w:r>
      <w:r w:rsidRPr="00D55DC6">
        <w:rPr>
          <w:rFonts w:eastAsia="標楷體"/>
          <w:sz w:val="28"/>
          <w:szCs w:val="28"/>
        </w:rPr>
        <w:t>月</w:t>
      </w:r>
      <w:r w:rsidRPr="00D55DC6">
        <w:rPr>
          <w:rFonts w:eastAsia="標楷體"/>
          <w:sz w:val="28"/>
          <w:szCs w:val="28"/>
        </w:rPr>
        <w:t>)</w:t>
      </w:r>
      <w:r w:rsidRPr="00D55DC6">
        <w:rPr>
          <w:rFonts w:eastAsia="標楷體"/>
          <w:sz w:val="28"/>
          <w:szCs w:val="28"/>
        </w:rPr>
        <w:t>、美山花海活動</w:t>
      </w:r>
      <w:r w:rsidRPr="00D55DC6">
        <w:rPr>
          <w:rFonts w:eastAsia="標楷體"/>
          <w:sz w:val="28"/>
          <w:szCs w:val="28"/>
        </w:rPr>
        <w:t>(1-2</w:t>
      </w:r>
      <w:r w:rsidRPr="00D55DC6">
        <w:rPr>
          <w:rFonts w:eastAsia="標楷體"/>
          <w:sz w:val="28"/>
          <w:szCs w:val="28"/>
        </w:rPr>
        <w:t>月</w:t>
      </w:r>
      <w:r w:rsidRPr="00D55DC6">
        <w:rPr>
          <w:rFonts w:eastAsia="標楷體"/>
          <w:sz w:val="28"/>
          <w:szCs w:val="28"/>
        </w:rPr>
        <w:t>)</w:t>
      </w:r>
      <w:r w:rsidRPr="00D55DC6">
        <w:rPr>
          <w:rFonts w:eastAsia="標楷體"/>
          <w:sz w:val="28"/>
          <w:szCs w:val="28"/>
        </w:rPr>
        <w:t>、勇闖東海岸自行車活動（</w:t>
      </w:r>
      <w:r w:rsidRPr="00D55DC6">
        <w:rPr>
          <w:rFonts w:eastAsia="標楷體"/>
          <w:sz w:val="28"/>
          <w:szCs w:val="28"/>
        </w:rPr>
        <w:t>3-4</w:t>
      </w:r>
      <w:r w:rsidRPr="00D55DC6">
        <w:rPr>
          <w:rFonts w:eastAsia="標楷體"/>
          <w:sz w:val="28"/>
          <w:szCs w:val="28"/>
        </w:rPr>
        <w:t>月）、台灣夏至</w:t>
      </w:r>
      <w:r w:rsidRPr="00D55DC6">
        <w:rPr>
          <w:rFonts w:eastAsia="標楷體"/>
          <w:sz w:val="28"/>
          <w:szCs w:val="28"/>
        </w:rPr>
        <w:t>235</w:t>
      </w:r>
      <w:r w:rsidRPr="00D55DC6">
        <w:rPr>
          <w:rFonts w:eastAsia="標楷體"/>
          <w:sz w:val="28"/>
          <w:szCs w:val="28"/>
        </w:rPr>
        <w:t>暨秀姑巒溪泛舟鐵人活動（</w:t>
      </w:r>
      <w:r w:rsidRPr="00D55DC6">
        <w:rPr>
          <w:rFonts w:eastAsia="標楷體"/>
          <w:sz w:val="28"/>
          <w:szCs w:val="28"/>
        </w:rPr>
        <w:t>6</w:t>
      </w:r>
      <w:r w:rsidRPr="00D55DC6">
        <w:rPr>
          <w:rFonts w:eastAsia="標楷體"/>
          <w:sz w:val="28"/>
          <w:szCs w:val="28"/>
        </w:rPr>
        <w:t>月）、旮都瑪樣部落樂舞宴活動</w:t>
      </w:r>
      <w:r w:rsidRPr="00D55DC6">
        <w:rPr>
          <w:rFonts w:eastAsia="標楷體"/>
          <w:sz w:val="28"/>
          <w:szCs w:val="28"/>
        </w:rPr>
        <w:t>(7</w:t>
      </w:r>
      <w:r w:rsidRPr="00D55DC6">
        <w:rPr>
          <w:rFonts w:eastAsia="標楷體"/>
          <w:sz w:val="28"/>
          <w:szCs w:val="28"/>
        </w:rPr>
        <w:t>月</w:t>
      </w:r>
      <w:r w:rsidRPr="00D55DC6">
        <w:rPr>
          <w:rFonts w:eastAsia="標楷體"/>
          <w:sz w:val="28"/>
          <w:szCs w:val="28"/>
        </w:rPr>
        <w:t>)</w:t>
      </w:r>
      <w:r w:rsidRPr="00D55DC6">
        <w:rPr>
          <w:rFonts w:eastAsia="標楷體"/>
          <w:sz w:val="28"/>
          <w:szCs w:val="28"/>
        </w:rPr>
        <w:t>、加路蘭手創市集及部落豐年祭活動（</w:t>
      </w:r>
      <w:r w:rsidRPr="00D55DC6">
        <w:rPr>
          <w:rFonts w:eastAsia="標楷體"/>
          <w:sz w:val="28"/>
          <w:szCs w:val="28"/>
        </w:rPr>
        <w:t>7-8</w:t>
      </w:r>
      <w:r w:rsidRPr="00D55DC6">
        <w:rPr>
          <w:rFonts w:eastAsia="標楷體"/>
          <w:sz w:val="28"/>
          <w:szCs w:val="28"/>
        </w:rPr>
        <w:lastRenderedPageBreak/>
        <w:t>月）、守護花東、我愛船騎</w:t>
      </w:r>
      <w:r w:rsidRPr="00D55DC6">
        <w:rPr>
          <w:rFonts w:eastAsia="標楷體"/>
          <w:sz w:val="28"/>
          <w:szCs w:val="28"/>
        </w:rPr>
        <w:t>(9-10</w:t>
      </w:r>
      <w:r w:rsidRPr="00D55DC6">
        <w:rPr>
          <w:rFonts w:eastAsia="標楷體"/>
          <w:sz w:val="28"/>
          <w:szCs w:val="28"/>
        </w:rPr>
        <w:t>月</w:t>
      </w:r>
      <w:r w:rsidRPr="00D55DC6">
        <w:rPr>
          <w:rFonts w:eastAsia="標楷體"/>
          <w:sz w:val="28"/>
          <w:szCs w:val="28"/>
        </w:rPr>
        <w:t>)</w:t>
      </w:r>
      <w:r w:rsidRPr="00D55DC6">
        <w:rPr>
          <w:rFonts w:eastAsia="標楷體"/>
          <w:sz w:val="28"/>
          <w:szCs w:val="28"/>
        </w:rPr>
        <w:t>、臍橙、旗魚兩全其美活動活動（</w:t>
      </w:r>
      <w:r w:rsidRPr="00D55DC6">
        <w:rPr>
          <w:rFonts w:eastAsia="標楷體"/>
          <w:sz w:val="28"/>
          <w:szCs w:val="28"/>
        </w:rPr>
        <w:t>11-12</w:t>
      </w:r>
      <w:r w:rsidRPr="00D55DC6">
        <w:rPr>
          <w:rFonts w:eastAsia="標楷體"/>
          <w:sz w:val="28"/>
          <w:szCs w:val="28"/>
        </w:rPr>
        <w:t>月）。</w:t>
      </w:r>
    </w:p>
    <w:p w:rsidR="00F14092" w:rsidRPr="00D55DC6" w:rsidRDefault="00F14092" w:rsidP="00682D08">
      <w:pPr>
        <w:pStyle w:val="af2"/>
        <w:tabs>
          <w:tab w:val="left" w:pos="851"/>
        </w:tabs>
        <w:snapToGrid w:val="0"/>
        <w:spacing w:line="460" w:lineRule="exact"/>
        <w:ind w:leftChars="826" w:left="1984" w:hanging="2"/>
        <w:jc w:val="both"/>
        <w:rPr>
          <w:rFonts w:eastAsia="標楷體"/>
          <w:sz w:val="28"/>
          <w:szCs w:val="28"/>
        </w:rPr>
      </w:pPr>
    </w:p>
    <w:p w:rsidR="00682D08" w:rsidRPr="00D55DC6" w:rsidRDefault="00682D08" w:rsidP="00682D08">
      <w:pPr>
        <w:pStyle w:val="a"/>
        <w:ind w:left="709" w:hanging="709"/>
        <w:rPr>
          <w:b/>
        </w:rPr>
      </w:pPr>
      <w:bookmarkStart w:id="167" w:name="_Toc407181726"/>
      <w:r w:rsidRPr="00D55DC6">
        <w:rPr>
          <w:b/>
        </w:rPr>
        <w:t>執行策略及方法</w:t>
      </w:r>
      <w:bookmarkEnd w:id="167"/>
    </w:p>
    <w:p w:rsidR="00682D08" w:rsidRPr="00D55DC6" w:rsidRDefault="00682D08" w:rsidP="004865C1">
      <w:pPr>
        <w:pStyle w:val="af2"/>
        <w:numPr>
          <w:ilvl w:val="0"/>
          <w:numId w:val="180"/>
        </w:numPr>
        <w:snapToGrid w:val="0"/>
        <w:spacing w:line="460" w:lineRule="exact"/>
        <w:ind w:leftChars="0"/>
        <w:jc w:val="both"/>
        <w:rPr>
          <w:rFonts w:eastAsia="標楷體"/>
          <w:b/>
          <w:sz w:val="28"/>
          <w:szCs w:val="28"/>
        </w:rPr>
      </w:pPr>
      <w:r w:rsidRPr="00D55DC6">
        <w:rPr>
          <w:rFonts w:eastAsia="標楷體"/>
          <w:b/>
          <w:sz w:val="28"/>
          <w:szCs w:val="28"/>
        </w:rPr>
        <w:t>執行策略</w:t>
      </w:r>
    </w:p>
    <w:p w:rsidR="00682D08" w:rsidRPr="00D55DC6" w:rsidRDefault="00682D08" w:rsidP="00682D08">
      <w:pPr>
        <w:pStyle w:val="af2"/>
        <w:snapToGrid w:val="0"/>
        <w:spacing w:line="460" w:lineRule="exact"/>
        <w:ind w:leftChars="0" w:left="840"/>
        <w:jc w:val="both"/>
        <w:rPr>
          <w:rFonts w:eastAsia="標楷體"/>
          <w:sz w:val="28"/>
          <w:szCs w:val="28"/>
        </w:rPr>
      </w:pPr>
      <w:r w:rsidRPr="00D55DC6">
        <w:rPr>
          <w:rFonts w:eastAsia="標楷體"/>
          <w:sz w:val="28"/>
          <w:szCs w:val="28"/>
        </w:rPr>
        <w:t>依各遊憩區分級概念，並因應遊客量增加、承載量負擔提高，經營管理成本提升，促進產業發展及提高財務自償率等，本計畫執行策略如下：</w:t>
      </w:r>
    </w:p>
    <w:p w:rsidR="00682D08" w:rsidRPr="00D55DC6" w:rsidRDefault="00682D08" w:rsidP="00682D08">
      <w:pPr>
        <w:snapToGrid w:val="0"/>
        <w:spacing w:line="288" w:lineRule="auto"/>
        <w:ind w:leftChars="314" w:left="1062" w:hangingChars="110" w:hanging="308"/>
        <w:rPr>
          <w:rFonts w:eastAsia="標楷體"/>
          <w:bCs/>
          <w:sz w:val="28"/>
          <w:szCs w:val="28"/>
        </w:rPr>
      </w:pPr>
      <w:r w:rsidRPr="00D55DC6">
        <w:rPr>
          <w:rFonts w:eastAsia="標楷體"/>
          <w:bCs/>
          <w:sz w:val="28"/>
          <w:szCs w:val="28"/>
        </w:rPr>
        <w:t>1.</w:t>
      </w:r>
      <w:r w:rsidRPr="00D55DC6">
        <w:rPr>
          <w:rFonts w:eastAsia="標楷體"/>
          <w:bCs/>
          <w:sz w:val="28"/>
          <w:szCs w:val="28"/>
        </w:rPr>
        <w:t>劃分為國際觀光重要景點建設、國內觀光重要景點建設及國家風景區經營管理等</w:t>
      </w:r>
      <w:r w:rsidRPr="00D55DC6">
        <w:rPr>
          <w:rFonts w:eastAsia="標楷體"/>
          <w:bCs/>
          <w:sz w:val="28"/>
          <w:szCs w:val="28"/>
        </w:rPr>
        <w:t>3</w:t>
      </w:r>
      <w:r w:rsidRPr="00D55DC6">
        <w:rPr>
          <w:rFonts w:eastAsia="標楷體"/>
          <w:bCs/>
          <w:sz w:val="28"/>
          <w:szCs w:val="28"/>
        </w:rPr>
        <w:t>項進行開發建設。</w:t>
      </w:r>
    </w:p>
    <w:p w:rsidR="00682D08" w:rsidRPr="00D55DC6" w:rsidRDefault="00682D08" w:rsidP="00682D08">
      <w:pPr>
        <w:snapToGrid w:val="0"/>
        <w:spacing w:line="288" w:lineRule="auto"/>
        <w:ind w:leftChars="250" w:left="600" w:firstLineChars="55" w:firstLine="154"/>
        <w:rPr>
          <w:rFonts w:eastAsia="標楷體"/>
          <w:sz w:val="28"/>
          <w:szCs w:val="28"/>
        </w:rPr>
      </w:pPr>
      <w:r w:rsidRPr="00D55DC6">
        <w:rPr>
          <w:rFonts w:eastAsia="標楷體"/>
          <w:bCs/>
          <w:sz w:val="28"/>
          <w:szCs w:val="28"/>
        </w:rPr>
        <w:t>2.</w:t>
      </w:r>
      <w:r w:rsidRPr="00D55DC6">
        <w:rPr>
          <w:rFonts w:eastAsia="標楷體"/>
          <w:sz w:val="28"/>
          <w:szCs w:val="28"/>
        </w:rPr>
        <w:t>推動智慧觀光與遊客管理：</w:t>
      </w:r>
    </w:p>
    <w:p w:rsidR="00682D08" w:rsidRPr="00D55DC6" w:rsidRDefault="00682D08" w:rsidP="004865C1">
      <w:pPr>
        <w:pStyle w:val="af2"/>
        <w:numPr>
          <w:ilvl w:val="0"/>
          <w:numId w:val="160"/>
        </w:numPr>
        <w:snapToGrid w:val="0"/>
        <w:spacing w:line="288" w:lineRule="auto"/>
        <w:ind w:leftChars="0" w:left="1560" w:hanging="462"/>
        <w:rPr>
          <w:rFonts w:eastAsia="標楷體"/>
          <w:sz w:val="28"/>
          <w:szCs w:val="28"/>
        </w:rPr>
      </w:pPr>
      <w:r w:rsidRPr="00D55DC6">
        <w:rPr>
          <w:rFonts w:eastAsia="標楷體"/>
          <w:sz w:val="28"/>
          <w:szCs w:val="28"/>
        </w:rPr>
        <w:t>進行遊憩據點暨觀光流量監測統計</w:t>
      </w:r>
    </w:p>
    <w:p w:rsidR="00682D08" w:rsidRPr="00D55DC6" w:rsidRDefault="00682D08" w:rsidP="004865C1">
      <w:pPr>
        <w:pStyle w:val="af2"/>
        <w:numPr>
          <w:ilvl w:val="0"/>
          <w:numId w:val="160"/>
        </w:numPr>
        <w:snapToGrid w:val="0"/>
        <w:spacing w:line="288" w:lineRule="auto"/>
        <w:ind w:leftChars="0" w:left="1554" w:hanging="462"/>
        <w:rPr>
          <w:rFonts w:eastAsia="標楷體"/>
          <w:sz w:val="28"/>
          <w:szCs w:val="28"/>
        </w:rPr>
      </w:pPr>
      <w:r w:rsidRPr="00D55DC6">
        <w:rPr>
          <w:rFonts w:eastAsia="標楷體"/>
          <w:sz w:val="28"/>
          <w:szCs w:val="28"/>
        </w:rPr>
        <w:t>遊客量雲端通報系統可行性研究</w:t>
      </w:r>
    </w:p>
    <w:p w:rsidR="00682D08" w:rsidRPr="00D55DC6" w:rsidRDefault="00682D08" w:rsidP="00682D08">
      <w:pPr>
        <w:snapToGrid w:val="0"/>
        <w:spacing w:line="288" w:lineRule="auto"/>
        <w:ind w:leftChars="250" w:left="600" w:firstLineChars="55" w:firstLine="154"/>
        <w:rPr>
          <w:rFonts w:eastAsia="標楷體"/>
          <w:bCs/>
          <w:sz w:val="28"/>
          <w:szCs w:val="28"/>
        </w:rPr>
      </w:pPr>
      <w:r w:rsidRPr="00D55DC6">
        <w:rPr>
          <w:rFonts w:eastAsia="標楷體"/>
          <w:bCs/>
          <w:sz w:val="28"/>
          <w:szCs w:val="28"/>
        </w:rPr>
        <w:t>3.</w:t>
      </w:r>
      <w:r w:rsidRPr="00D55DC6">
        <w:rPr>
          <w:rFonts w:eastAsia="標楷體"/>
          <w:bCs/>
          <w:sz w:val="28"/>
          <w:szCs w:val="28"/>
        </w:rPr>
        <w:t>提升既有設施機能：</w:t>
      </w:r>
    </w:p>
    <w:p w:rsidR="00682D08" w:rsidRPr="00D55DC6" w:rsidRDefault="00682D08" w:rsidP="004865C1">
      <w:pPr>
        <w:pStyle w:val="af2"/>
        <w:numPr>
          <w:ilvl w:val="0"/>
          <w:numId w:val="170"/>
        </w:numPr>
        <w:snapToGrid w:val="0"/>
        <w:spacing w:line="288" w:lineRule="auto"/>
        <w:ind w:leftChars="0" w:left="1560"/>
        <w:rPr>
          <w:rFonts w:eastAsia="標楷體"/>
          <w:sz w:val="28"/>
          <w:szCs w:val="28"/>
        </w:rPr>
      </w:pPr>
      <w:r w:rsidRPr="00D55DC6">
        <w:rPr>
          <w:rFonts w:eastAsia="標楷體"/>
          <w:sz w:val="28"/>
          <w:szCs w:val="28"/>
        </w:rPr>
        <w:t>進行各項遊憩服務設施改善</w:t>
      </w:r>
    </w:p>
    <w:p w:rsidR="00682D08" w:rsidRPr="00D55DC6" w:rsidRDefault="00682D08" w:rsidP="004865C1">
      <w:pPr>
        <w:pStyle w:val="af2"/>
        <w:numPr>
          <w:ilvl w:val="0"/>
          <w:numId w:val="170"/>
        </w:numPr>
        <w:snapToGrid w:val="0"/>
        <w:spacing w:line="288" w:lineRule="auto"/>
        <w:ind w:leftChars="0" w:left="1560"/>
        <w:rPr>
          <w:rFonts w:eastAsia="標楷體"/>
          <w:sz w:val="28"/>
          <w:szCs w:val="28"/>
        </w:rPr>
      </w:pPr>
      <w:r w:rsidRPr="00D55DC6">
        <w:rPr>
          <w:rFonts w:eastAsia="標楷體"/>
          <w:sz w:val="28"/>
          <w:szCs w:val="28"/>
        </w:rPr>
        <w:t>引進民間資源持續推動設施出租、委外經營及認養</w:t>
      </w:r>
    </w:p>
    <w:p w:rsidR="00682D08" w:rsidRPr="00D55DC6" w:rsidRDefault="00682D08" w:rsidP="004865C1">
      <w:pPr>
        <w:pStyle w:val="af2"/>
        <w:numPr>
          <w:ilvl w:val="0"/>
          <w:numId w:val="170"/>
        </w:numPr>
        <w:snapToGrid w:val="0"/>
        <w:spacing w:line="288" w:lineRule="auto"/>
        <w:ind w:leftChars="0" w:left="1560"/>
        <w:rPr>
          <w:rFonts w:eastAsia="標楷體"/>
          <w:sz w:val="28"/>
          <w:szCs w:val="28"/>
        </w:rPr>
      </w:pPr>
      <w:r w:rsidRPr="00D55DC6">
        <w:rPr>
          <w:rFonts w:eastAsia="標楷體"/>
          <w:sz w:val="28"/>
          <w:szCs w:val="28"/>
        </w:rPr>
        <w:t>環境景觀改善及植栽綠美化</w:t>
      </w:r>
    </w:p>
    <w:p w:rsidR="00682D08" w:rsidRPr="00D55DC6" w:rsidRDefault="00682D08" w:rsidP="00682D08">
      <w:pPr>
        <w:snapToGrid w:val="0"/>
        <w:spacing w:line="288" w:lineRule="auto"/>
        <w:ind w:leftChars="250" w:left="600" w:firstLineChars="60" w:firstLine="168"/>
        <w:rPr>
          <w:rFonts w:eastAsia="標楷體"/>
          <w:bCs/>
          <w:sz w:val="28"/>
          <w:szCs w:val="28"/>
        </w:rPr>
      </w:pPr>
      <w:r w:rsidRPr="00D55DC6">
        <w:rPr>
          <w:rFonts w:eastAsia="標楷體"/>
          <w:bCs/>
          <w:sz w:val="28"/>
          <w:szCs w:val="28"/>
        </w:rPr>
        <w:t>4.</w:t>
      </w:r>
      <w:r w:rsidRPr="00D55DC6">
        <w:rPr>
          <w:rFonts w:eastAsia="標楷體"/>
          <w:bCs/>
          <w:sz w:val="28"/>
          <w:szCs w:val="28"/>
        </w:rPr>
        <w:t>建構友善環境</w:t>
      </w:r>
      <w:r w:rsidRPr="00D55DC6">
        <w:rPr>
          <w:rFonts w:eastAsia="標楷體"/>
          <w:bCs/>
          <w:sz w:val="28"/>
          <w:szCs w:val="28"/>
        </w:rPr>
        <w:t xml:space="preserve"> </w:t>
      </w:r>
      <w:r w:rsidRPr="00D55DC6">
        <w:rPr>
          <w:rFonts w:eastAsia="標楷體"/>
          <w:bCs/>
          <w:sz w:val="28"/>
          <w:szCs w:val="28"/>
        </w:rPr>
        <w:t>：</w:t>
      </w:r>
    </w:p>
    <w:p w:rsidR="00682D08" w:rsidRPr="00D55DC6" w:rsidRDefault="00682D08" w:rsidP="004865C1">
      <w:pPr>
        <w:pStyle w:val="af2"/>
        <w:numPr>
          <w:ilvl w:val="0"/>
          <w:numId w:val="169"/>
        </w:numPr>
        <w:snapToGrid w:val="0"/>
        <w:spacing w:line="288" w:lineRule="auto"/>
        <w:ind w:leftChars="0" w:left="1554" w:hanging="462"/>
        <w:rPr>
          <w:rFonts w:eastAsia="標楷體"/>
          <w:sz w:val="28"/>
          <w:szCs w:val="28"/>
        </w:rPr>
      </w:pPr>
      <w:r w:rsidRPr="00D55DC6">
        <w:rPr>
          <w:rFonts w:eastAsia="標楷體"/>
          <w:sz w:val="28"/>
          <w:szCs w:val="28"/>
        </w:rPr>
        <w:t>推動飛機、火車及客運無縫隙接駁</w:t>
      </w:r>
    </w:p>
    <w:p w:rsidR="00682D08" w:rsidRPr="00D55DC6" w:rsidRDefault="00682D08" w:rsidP="004865C1">
      <w:pPr>
        <w:pStyle w:val="af2"/>
        <w:numPr>
          <w:ilvl w:val="0"/>
          <w:numId w:val="169"/>
        </w:numPr>
        <w:snapToGrid w:val="0"/>
        <w:spacing w:line="288" w:lineRule="auto"/>
        <w:ind w:leftChars="0" w:left="1554" w:hanging="462"/>
        <w:rPr>
          <w:rFonts w:eastAsia="標楷體"/>
          <w:sz w:val="28"/>
          <w:szCs w:val="28"/>
        </w:rPr>
      </w:pPr>
      <w:r w:rsidRPr="00D55DC6">
        <w:rPr>
          <w:rFonts w:eastAsia="標楷體"/>
          <w:sz w:val="28"/>
          <w:szCs w:val="28"/>
        </w:rPr>
        <w:t>建構適合銀髮族、身障者、孩童及各弱勢族群等之旅遊環境</w:t>
      </w:r>
    </w:p>
    <w:p w:rsidR="00682D08" w:rsidRPr="00D55DC6" w:rsidRDefault="00682D08" w:rsidP="00682D08">
      <w:pPr>
        <w:snapToGrid w:val="0"/>
        <w:spacing w:line="288" w:lineRule="auto"/>
        <w:ind w:leftChars="250" w:left="600" w:firstLineChars="60" w:firstLine="168"/>
        <w:rPr>
          <w:rFonts w:eastAsia="標楷體"/>
          <w:bCs/>
          <w:sz w:val="28"/>
          <w:szCs w:val="28"/>
        </w:rPr>
      </w:pPr>
      <w:r w:rsidRPr="00D55DC6">
        <w:rPr>
          <w:rFonts w:eastAsia="標楷體"/>
          <w:bCs/>
          <w:sz w:val="28"/>
          <w:szCs w:val="28"/>
        </w:rPr>
        <w:t>5.</w:t>
      </w:r>
      <w:r w:rsidRPr="00D55DC6">
        <w:rPr>
          <w:rFonts w:eastAsia="標楷體"/>
          <w:bCs/>
          <w:sz w:val="28"/>
          <w:szCs w:val="28"/>
        </w:rPr>
        <w:t>推動低碳旅遊與綠能利用：</w:t>
      </w:r>
    </w:p>
    <w:p w:rsidR="00682D08" w:rsidRPr="00D55DC6" w:rsidRDefault="00682D08" w:rsidP="004865C1">
      <w:pPr>
        <w:pStyle w:val="af2"/>
        <w:numPr>
          <w:ilvl w:val="0"/>
          <w:numId w:val="171"/>
        </w:numPr>
        <w:snapToGrid w:val="0"/>
        <w:spacing w:line="288" w:lineRule="auto"/>
        <w:ind w:leftChars="0" w:left="1560"/>
        <w:rPr>
          <w:rFonts w:eastAsia="標楷體"/>
          <w:sz w:val="28"/>
          <w:szCs w:val="28"/>
        </w:rPr>
      </w:pPr>
      <w:r w:rsidRPr="00D55DC6">
        <w:rPr>
          <w:rFonts w:eastAsia="標楷體"/>
          <w:sz w:val="28"/>
          <w:szCs w:val="28"/>
        </w:rPr>
        <w:t>延續綠島低碳生態島之理念進行配套設施興建</w:t>
      </w:r>
    </w:p>
    <w:p w:rsidR="00682D08" w:rsidRPr="00D55DC6" w:rsidRDefault="00682D08" w:rsidP="004865C1">
      <w:pPr>
        <w:pStyle w:val="af2"/>
        <w:numPr>
          <w:ilvl w:val="0"/>
          <w:numId w:val="171"/>
        </w:numPr>
        <w:snapToGrid w:val="0"/>
        <w:spacing w:line="288" w:lineRule="auto"/>
        <w:ind w:leftChars="0" w:left="1560"/>
        <w:rPr>
          <w:rFonts w:eastAsia="標楷體"/>
          <w:sz w:val="28"/>
          <w:szCs w:val="28"/>
        </w:rPr>
      </w:pPr>
      <w:r w:rsidRPr="00D55DC6">
        <w:rPr>
          <w:rFonts w:eastAsia="標楷體"/>
          <w:sz w:val="28"/>
          <w:szCs w:val="28"/>
        </w:rPr>
        <w:t>強化東部海岸低碳自行車路線建置</w:t>
      </w:r>
    </w:p>
    <w:p w:rsidR="00682D08" w:rsidRPr="00D55DC6" w:rsidRDefault="00682D08" w:rsidP="004865C1">
      <w:pPr>
        <w:pStyle w:val="af2"/>
        <w:numPr>
          <w:ilvl w:val="0"/>
          <w:numId w:val="171"/>
        </w:numPr>
        <w:snapToGrid w:val="0"/>
        <w:spacing w:line="288" w:lineRule="auto"/>
        <w:ind w:leftChars="0" w:left="1560"/>
        <w:rPr>
          <w:rFonts w:eastAsia="標楷體"/>
          <w:sz w:val="28"/>
          <w:szCs w:val="28"/>
        </w:rPr>
      </w:pPr>
      <w:r w:rsidRPr="00D55DC6">
        <w:rPr>
          <w:rFonts w:eastAsia="標楷體"/>
          <w:sz w:val="28"/>
          <w:szCs w:val="28"/>
        </w:rPr>
        <w:t>油電車推廣</w:t>
      </w:r>
    </w:p>
    <w:p w:rsidR="00682D08" w:rsidRPr="00D55DC6" w:rsidRDefault="00682D08" w:rsidP="004865C1">
      <w:pPr>
        <w:pStyle w:val="af2"/>
        <w:numPr>
          <w:ilvl w:val="0"/>
          <w:numId w:val="171"/>
        </w:numPr>
        <w:snapToGrid w:val="0"/>
        <w:spacing w:line="288" w:lineRule="auto"/>
        <w:ind w:leftChars="0" w:left="1560"/>
        <w:rPr>
          <w:rFonts w:eastAsia="標楷體"/>
          <w:sz w:val="28"/>
          <w:szCs w:val="28"/>
        </w:rPr>
      </w:pPr>
      <w:r w:rsidRPr="00D55DC6">
        <w:rPr>
          <w:rFonts w:eastAsia="標楷體"/>
          <w:sz w:val="28"/>
          <w:szCs w:val="28"/>
        </w:rPr>
        <w:t>設置太陽能光電設施增加收益與節能減碳</w:t>
      </w:r>
    </w:p>
    <w:p w:rsidR="00682D08" w:rsidRPr="00D55DC6" w:rsidRDefault="00682D08" w:rsidP="00682D08">
      <w:pPr>
        <w:snapToGrid w:val="0"/>
        <w:spacing w:line="288" w:lineRule="auto"/>
        <w:ind w:leftChars="250" w:left="600" w:firstLineChars="65" w:firstLine="182"/>
        <w:rPr>
          <w:rFonts w:eastAsia="標楷體"/>
          <w:bCs/>
          <w:sz w:val="28"/>
          <w:szCs w:val="28"/>
        </w:rPr>
      </w:pPr>
      <w:r w:rsidRPr="00D55DC6">
        <w:rPr>
          <w:rFonts w:eastAsia="標楷體"/>
          <w:bCs/>
          <w:sz w:val="28"/>
          <w:szCs w:val="28"/>
        </w:rPr>
        <w:t>6.</w:t>
      </w:r>
      <w:r w:rsidRPr="00D55DC6">
        <w:rPr>
          <w:rFonts w:eastAsia="標楷體"/>
          <w:bCs/>
          <w:sz w:val="28"/>
          <w:szCs w:val="28"/>
        </w:rPr>
        <w:t>建置環境教育場域：</w:t>
      </w:r>
    </w:p>
    <w:p w:rsidR="00682D08" w:rsidRPr="00D55DC6" w:rsidRDefault="00682D08" w:rsidP="004865C1">
      <w:pPr>
        <w:pStyle w:val="af2"/>
        <w:numPr>
          <w:ilvl w:val="0"/>
          <w:numId w:val="172"/>
        </w:numPr>
        <w:snapToGrid w:val="0"/>
        <w:spacing w:line="288" w:lineRule="auto"/>
        <w:ind w:leftChars="0" w:left="1560"/>
        <w:rPr>
          <w:rFonts w:eastAsia="標楷體"/>
          <w:sz w:val="28"/>
          <w:szCs w:val="28"/>
        </w:rPr>
      </w:pPr>
      <w:r w:rsidRPr="00D55DC6">
        <w:rPr>
          <w:rFonts w:eastAsia="標楷體"/>
          <w:sz w:val="28"/>
          <w:szCs w:val="28"/>
        </w:rPr>
        <w:t>強化特色遊憩據點之環境教育場域設施整備</w:t>
      </w:r>
    </w:p>
    <w:p w:rsidR="00682D08" w:rsidRPr="00D55DC6" w:rsidRDefault="00682D08" w:rsidP="004865C1">
      <w:pPr>
        <w:pStyle w:val="af2"/>
        <w:numPr>
          <w:ilvl w:val="0"/>
          <w:numId w:val="172"/>
        </w:numPr>
        <w:snapToGrid w:val="0"/>
        <w:spacing w:line="288" w:lineRule="auto"/>
        <w:ind w:leftChars="0" w:left="1554" w:hanging="462"/>
        <w:rPr>
          <w:rFonts w:eastAsia="標楷體"/>
          <w:sz w:val="28"/>
          <w:szCs w:val="28"/>
        </w:rPr>
      </w:pPr>
      <w:r w:rsidRPr="00D55DC6">
        <w:rPr>
          <w:rFonts w:eastAsia="標楷體"/>
          <w:sz w:val="28"/>
          <w:szCs w:val="28"/>
        </w:rPr>
        <w:t>進行環境教育場域、機構、及人員之認證</w:t>
      </w:r>
    </w:p>
    <w:p w:rsidR="00682D08" w:rsidRPr="00D55DC6" w:rsidRDefault="00682D08" w:rsidP="00682D08">
      <w:pPr>
        <w:snapToGrid w:val="0"/>
        <w:spacing w:line="288" w:lineRule="auto"/>
        <w:ind w:leftChars="250" w:left="600" w:firstLineChars="65" w:firstLine="182"/>
        <w:rPr>
          <w:rFonts w:eastAsia="標楷體"/>
          <w:bCs/>
          <w:sz w:val="28"/>
          <w:szCs w:val="28"/>
        </w:rPr>
      </w:pPr>
      <w:r w:rsidRPr="00D55DC6">
        <w:rPr>
          <w:rFonts w:eastAsia="標楷體"/>
          <w:bCs/>
          <w:sz w:val="28"/>
          <w:szCs w:val="28"/>
        </w:rPr>
        <w:t>7.</w:t>
      </w:r>
      <w:r w:rsidRPr="00D55DC6">
        <w:rPr>
          <w:rFonts w:eastAsia="標楷體"/>
          <w:bCs/>
          <w:sz w:val="28"/>
          <w:szCs w:val="28"/>
        </w:rPr>
        <w:t>營造部落觀光環境：</w:t>
      </w:r>
    </w:p>
    <w:p w:rsidR="00682D08" w:rsidRPr="00D55DC6" w:rsidRDefault="00682D08" w:rsidP="004865C1">
      <w:pPr>
        <w:pStyle w:val="af2"/>
        <w:numPr>
          <w:ilvl w:val="0"/>
          <w:numId w:val="173"/>
        </w:numPr>
        <w:snapToGrid w:val="0"/>
        <w:spacing w:line="288" w:lineRule="auto"/>
        <w:ind w:leftChars="0" w:left="1560"/>
        <w:rPr>
          <w:rFonts w:eastAsia="標楷體"/>
          <w:sz w:val="28"/>
          <w:szCs w:val="28"/>
        </w:rPr>
      </w:pPr>
      <w:r w:rsidRPr="00D55DC6">
        <w:rPr>
          <w:rFonts w:eastAsia="標楷體"/>
          <w:sz w:val="28"/>
          <w:szCs w:val="28"/>
        </w:rPr>
        <w:t>部落觀光發展規劃</w:t>
      </w:r>
    </w:p>
    <w:p w:rsidR="00682D08" w:rsidRPr="00D55DC6" w:rsidRDefault="00682D08" w:rsidP="004865C1">
      <w:pPr>
        <w:pStyle w:val="af2"/>
        <w:numPr>
          <w:ilvl w:val="0"/>
          <w:numId w:val="173"/>
        </w:numPr>
        <w:snapToGrid w:val="0"/>
        <w:spacing w:line="288" w:lineRule="auto"/>
        <w:ind w:leftChars="0" w:left="1560"/>
        <w:rPr>
          <w:rFonts w:eastAsia="標楷體"/>
          <w:sz w:val="28"/>
          <w:szCs w:val="28"/>
        </w:rPr>
      </w:pPr>
      <w:r w:rsidRPr="00D55DC6">
        <w:rPr>
          <w:rFonts w:eastAsia="標楷體"/>
          <w:sz w:val="28"/>
          <w:szCs w:val="28"/>
        </w:rPr>
        <w:t>觀光環境營造</w:t>
      </w:r>
    </w:p>
    <w:p w:rsidR="00682D08" w:rsidRPr="00D55DC6" w:rsidRDefault="00682D08" w:rsidP="00682D08">
      <w:pPr>
        <w:snapToGrid w:val="0"/>
        <w:spacing w:line="460" w:lineRule="exact"/>
        <w:ind w:leftChars="325" w:left="1074" w:hangingChars="105" w:hanging="294"/>
        <w:jc w:val="both"/>
        <w:rPr>
          <w:rFonts w:eastAsia="標楷體"/>
          <w:sz w:val="28"/>
          <w:szCs w:val="28"/>
        </w:rPr>
      </w:pPr>
      <w:r w:rsidRPr="00D55DC6">
        <w:rPr>
          <w:rFonts w:eastAsia="標楷體"/>
          <w:sz w:val="28"/>
          <w:szCs w:val="28"/>
        </w:rPr>
        <w:lastRenderedPageBreak/>
        <w:t>8.</w:t>
      </w:r>
      <w:r w:rsidRPr="00D55DC6">
        <w:rPr>
          <w:rFonts w:eastAsia="標楷體"/>
          <w:sz w:val="28"/>
          <w:szCs w:val="28"/>
        </w:rPr>
        <w:t>藉由新增租金項目、跨域合作、環境教育場域建置、及太陽光電利用等方式增加收入提升自償率。</w:t>
      </w:r>
    </w:p>
    <w:p w:rsidR="00682D08" w:rsidRPr="00D55DC6" w:rsidRDefault="00682D08" w:rsidP="00682D08">
      <w:pPr>
        <w:snapToGrid w:val="0"/>
        <w:spacing w:line="460" w:lineRule="exact"/>
        <w:ind w:leftChars="325" w:left="1074" w:hangingChars="105" w:hanging="294"/>
        <w:jc w:val="both"/>
        <w:rPr>
          <w:rFonts w:eastAsia="標楷體"/>
          <w:sz w:val="28"/>
          <w:szCs w:val="28"/>
        </w:rPr>
      </w:pPr>
    </w:p>
    <w:p w:rsidR="00682D08" w:rsidRPr="00D55DC6" w:rsidRDefault="00682D08" w:rsidP="004865C1">
      <w:pPr>
        <w:pStyle w:val="af2"/>
        <w:numPr>
          <w:ilvl w:val="0"/>
          <w:numId w:val="180"/>
        </w:numPr>
        <w:snapToGrid w:val="0"/>
        <w:spacing w:line="460" w:lineRule="exact"/>
        <w:ind w:leftChars="0"/>
        <w:jc w:val="both"/>
        <w:rPr>
          <w:rFonts w:eastAsia="標楷體"/>
          <w:b/>
          <w:sz w:val="28"/>
          <w:szCs w:val="28"/>
        </w:rPr>
      </w:pPr>
      <w:r w:rsidRPr="00D55DC6">
        <w:rPr>
          <w:rFonts w:eastAsia="標楷體"/>
          <w:b/>
          <w:sz w:val="28"/>
          <w:szCs w:val="28"/>
        </w:rPr>
        <w:t>主要工作項目</w:t>
      </w:r>
      <w:r w:rsidRPr="00D55DC6">
        <w:rPr>
          <w:rFonts w:eastAsia="標楷體"/>
          <w:b/>
          <w:sz w:val="28"/>
          <w:szCs w:val="28"/>
        </w:rPr>
        <w:t xml:space="preserve"> </w:t>
      </w:r>
    </w:p>
    <w:p w:rsidR="00682D08" w:rsidRPr="00D55DC6" w:rsidRDefault="00682D08" w:rsidP="004865C1">
      <w:pPr>
        <w:pStyle w:val="af2"/>
        <w:numPr>
          <w:ilvl w:val="1"/>
          <w:numId w:val="180"/>
        </w:numPr>
        <w:snapToGrid w:val="0"/>
        <w:spacing w:line="460" w:lineRule="exact"/>
        <w:ind w:leftChars="0"/>
        <w:jc w:val="both"/>
        <w:rPr>
          <w:rFonts w:eastAsia="標楷體"/>
          <w:b/>
          <w:sz w:val="28"/>
          <w:szCs w:val="28"/>
        </w:rPr>
      </w:pPr>
      <w:r w:rsidRPr="00D55DC6">
        <w:rPr>
          <w:rFonts w:eastAsia="標楷體"/>
          <w:b/>
          <w:sz w:val="28"/>
          <w:szCs w:val="28"/>
        </w:rPr>
        <w:t>國際觀光景點建設</w:t>
      </w:r>
    </w:p>
    <w:p w:rsidR="00682D08" w:rsidRPr="00D55DC6" w:rsidRDefault="00682D08" w:rsidP="00682D08">
      <w:pPr>
        <w:pStyle w:val="af2"/>
        <w:snapToGrid w:val="0"/>
        <w:spacing w:line="460" w:lineRule="exact"/>
        <w:ind w:leftChars="0" w:left="840"/>
        <w:jc w:val="both"/>
        <w:rPr>
          <w:rFonts w:eastAsia="標楷體"/>
          <w:sz w:val="28"/>
          <w:szCs w:val="28"/>
        </w:rPr>
      </w:pPr>
      <w:r w:rsidRPr="00D55DC6">
        <w:rPr>
          <w:rFonts w:eastAsia="標楷體"/>
          <w:sz w:val="28"/>
          <w:szCs w:val="28"/>
        </w:rPr>
        <w:t>1-1.</w:t>
      </w:r>
      <w:r w:rsidRPr="00D55DC6">
        <w:rPr>
          <w:rFonts w:eastAsia="標楷體"/>
          <w:sz w:val="28"/>
          <w:szCs w:val="28"/>
        </w:rPr>
        <w:t>綠島系統：綠島遊客中心、朝日溫泉、綠島露營區及浮潛區。</w:t>
      </w:r>
    </w:p>
    <w:p w:rsidR="00682D08" w:rsidRPr="00D55DC6" w:rsidRDefault="00682D08" w:rsidP="00682D08">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1-2</w:t>
      </w:r>
      <w:r w:rsidRPr="00D55DC6">
        <w:rPr>
          <w:rFonts w:eastAsia="標楷體"/>
          <w:sz w:val="28"/>
          <w:szCs w:val="28"/>
        </w:rPr>
        <w:t>小野柳</w:t>
      </w:r>
      <w:r w:rsidRPr="00D55DC6">
        <w:rPr>
          <w:rFonts w:eastAsia="標楷體"/>
          <w:sz w:val="28"/>
          <w:szCs w:val="28"/>
        </w:rPr>
        <w:t>/</w:t>
      </w:r>
      <w:r w:rsidRPr="00D55DC6">
        <w:rPr>
          <w:rFonts w:eastAsia="標楷體"/>
          <w:sz w:val="28"/>
          <w:szCs w:val="28"/>
        </w:rPr>
        <w:t>都蘭系統：小野柳遊客中心與遊憩區、加路蘭遊憩區、水往上流遊憩區及東河橋遊憩區。</w:t>
      </w:r>
    </w:p>
    <w:p w:rsidR="00682D08" w:rsidRPr="00D55DC6" w:rsidRDefault="00682D08" w:rsidP="00682D08">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1-3.</w:t>
      </w:r>
      <w:r w:rsidRPr="00D55DC6">
        <w:rPr>
          <w:rFonts w:eastAsia="標楷體"/>
          <w:sz w:val="28"/>
          <w:szCs w:val="28"/>
        </w:rPr>
        <w:t>成功</w:t>
      </w:r>
      <w:r w:rsidRPr="00D55DC6">
        <w:rPr>
          <w:rFonts w:eastAsia="標楷體"/>
          <w:sz w:val="28"/>
          <w:szCs w:val="28"/>
        </w:rPr>
        <w:t>/</w:t>
      </w:r>
      <w:r w:rsidRPr="00D55DC6">
        <w:rPr>
          <w:rFonts w:eastAsia="標楷體"/>
          <w:sz w:val="28"/>
          <w:szCs w:val="28"/>
        </w:rPr>
        <w:t>三仙台系統：都歷遊客中心、阿美族民俗中心、海洋環境資源教室、三仙台遊憩區、石雨傘遊憩區。</w:t>
      </w:r>
    </w:p>
    <w:p w:rsidR="00682D08" w:rsidRPr="00D55DC6" w:rsidRDefault="00682D08" w:rsidP="00682D08">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1-4.</w:t>
      </w:r>
      <w:r w:rsidRPr="00D55DC6">
        <w:rPr>
          <w:rFonts w:eastAsia="標楷體"/>
          <w:sz w:val="28"/>
          <w:szCs w:val="28"/>
        </w:rPr>
        <w:t>石梯</w:t>
      </w:r>
      <w:r w:rsidRPr="00D55DC6">
        <w:rPr>
          <w:rFonts w:eastAsia="標楷體"/>
          <w:sz w:val="28"/>
          <w:szCs w:val="28"/>
        </w:rPr>
        <w:t>/</w:t>
      </w:r>
      <w:r w:rsidRPr="00D55DC6">
        <w:rPr>
          <w:rFonts w:eastAsia="標楷體"/>
          <w:sz w:val="28"/>
          <w:szCs w:val="28"/>
        </w:rPr>
        <w:t>秀姑巒系統：八仙洞遊客中心、北回歸線遊憩區、奚卜蘭遊客中心、長虹橋遊憩區、石梯坪遊憩區、秀姑巒溪遊客中心、奇美泛舟休息區。</w:t>
      </w:r>
    </w:p>
    <w:p w:rsidR="00682D08" w:rsidRPr="00D55DC6" w:rsidRDefault="00682D08" w:rsidP="004865C1">
      <w:pPr>
        <w:pStyle w:val="af2"/>
        <w:numPr>
          <w:ilvl w:val="1"/>
          <w:numId w:val="180"/>
        </w:numPr>
        <w:snapToGrid w:val="0"/>
        <w:spacing w:line="460" w:lineRule="exact"/>
        <w:ind w:leftChars="0"/>
        <w:jc w:val="both"/>
        <w:rPr>
          <w:rFonts w:eastAsia="標楷體"/>
          <w:b/>
          <w:sz w:val="28"/>
          <w:szCs w:val="28"/>
        </w:rPr>
      </w:pPr>
      <w:r w:rsidRPr="00D55DC6">
        <w:rPr>
          <w:rFonts w:eastAsia="標楷體"/>
          <w:b/>
          <w:sz w:val="28"/>
          <w:szCs w:val="28"/>
        </w:rPr>
        <w:t>國內觀光景點建設</w:t>
      </w:r>
    </w:p>
    <w:p w:rsidR="00682D08" w:rsidRPr="00D55DC6" w:rsidRDefault="00682D08" w:rsidP="00682D08">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2-1.</w:t>
      </w:r>
      <w:r w:rsidRPr="00D55DC6">
        <w:rPr>
          <w:rFonts w:eastAsia="標楷體"/>
          <w:sz w:val="28"/>
          <w:szCs w:val="28"/>
        </w:rPr>
        <w:t>磯崎</w:t>
      </w:r>
      <w:r w:rsidRPr="00D55DC6">
        <w:rPr>
          <w:rFonts w:eastAsia="標楷體"/>
          <w:sz w:val="28"/>
          <w:szCs w:val="28"/>
        </w:rPr>
        <w:t>/</w:t>
      </w:r>
      <w:r w:rsidRPr="00D55DC6">
        <w:rPr>
          <w:rFonts w:eastAsia="標楷體"/>
          <w:sz w:val="28"/>
          <w:szCs w:val="28"/>
        </w:rPr>
        <w:t>鹽寮系統：磯崎海濱遊憩區、芭崎休息區、觀海樓、花蓮遊客中心。</w:t>
      </w:r>
    </w:p>
    <w:p w:rsidR="00682D08" w:rsidRPr="00D55DC6" w:rsidRDefault="00682D08" w:rsidP="004865C1">
      <w:pPr>
        <w:pStyle w:val="af2"/>
        <w:numPr>
          <w:ilvl w:val="1"/>
          <w:numId w:val="180"/>
        </w:numPr>
        <w:snapToGrid w:val="0"/>
        <w:spacing w:line="460" w:lineRule="exact"/>
        <w:ind w:leftChars="0"/>
        <w:jc w:val="both"/>
        <w:rPr>
          <w:rFonts w:eastAsia="標楷體"/>
          <w:b/>
          <w:sz w:val="28"/>
          <w:szCs w:val="28"/>
        </w:rPr>
      </w:pPr>
      <w:r w:rsidRPr="00D55DC6">
        <w:rPr>
          <w:rFonts w:eastAsia="標楷體"/>
          <w:b/>
          <w:sz w:val="28"/>
          <w:szCs w:val="28"/>
        </w:rPr>
        <w:t>國家風景區經營管理</w:t>
      </w:r>
    </w:p>
    <w:p w:rsidR="00682D08" w:rsidRPr="00D55DC6" w:rsidRDefault="00682D08" w:rsidP="00682D08">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3-1.</w:t>
      </w:r>
      <w:r w:rsidRPr="00D55DC6">
        <w:rPr>
          <w:rFonts w:eastAsia="標楷體"/>
          <w:sz w:val="28"/>
          <w:szCs w:val="28"/>
        </w:rPr>
        <w:t>用地取得：依建設需要辦理土地撥用、協議價購或徵收以及地上物清理等。</w:t>
      </w:r>
    </w:p>
    <w:p w:rsidR="00682D08" w:rsidRPr="00D55DC6" w:rsidRDefault="00682D08" w:rsidP="00682D08">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3-2.</w:t>
      </w:r>
      <w:r w:rsidRPr="00D55DC6">
        <w:rPr>
          <w:rFonts w:eastAsia="標楷體"/>
          <w:sz w:val="28"/>
          <w:szCs w:val="28"/>
        </w:rPr>
        <w:t>先期規劃設計：辦理各系統景點建構計畫檢討、資源調查及環境敏感地區研究、低碳觀光旅遊規劃、經營管理策略研究及工程規劃設計。</w:t>
      </w:r>
    </w:p>
    <w:p w:rsidR="00682D08" w:rsidRPr="00D55DC6" w:rsidRDefault="00682D08" w:rsidP="00682D08">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3-3.</w:t>
      </w:r>
      <w:r w:rsidRPr="00D55DC6">
        <w:rPr>
          <w:rFonts w:eastAsia="標楷體"/>
          <w:sz w:val="28"/>
          <w:szCs w:val="28"/>
        </w:rPr>
        <w:t>環境維護及設施維持：各遊憩據點清潔維護採勞務外包方式辦理，建築物與設施定期巡查及保養，以提升遊客安全。</w:t>
      </w:r>
    </w:p>
    <w:p w:rsidR="00682D08" w:rsidRPr="00D55DC6" w:rsidRDefault="00682D08" w:rsidP="00682D08">
      <w:pPr>
        <w:pStyle w:val="af2"/>
        <w:snapToGrid w:val="0"/>
        <w:spacing w:line="460" w:lineRule="exact"/>
        <w:ind w:leftChars="350" w:left="1274" w:hangingChars="155" w:hanging="434"/>
        <w:jc w:val="both"/>
        <w:rPr>
          <w:rFonts w:eastAsia="標楷體"/>
          <w:sz w:val="28"/>
          <w:szCs w:val="28"/>
        </w:rPr>
      </w:pPr>
      <w:r w:rsidRPr="00D55DC6">
        <w:rPr>
          <w:rFonts w:eastAsia="標楷體"/>
          <w:sz w:val="28"/>
          <w:szCs w:val="28"/>
        </w:rPr>
        <w:t>3-4.</w:t>
      </w:r>
      <w:r w:rsidRPr="00D55DC6">
        <w:rPr>
          <w:rFonts w:eastAsia="標楷體"/>
          <w:sz w:val="28"/>
          <w:szCs w:val="28"/>
        </w:rPr>
        <w:t>全區災害復舊及一般零星工程：辦理全區災害緊急修繕及公共設施整修。</w:t>
      </w:r>
    </w:p>
    <w:p w:rsidR="00682D08" w:rsidRPr="00D55DC6" w:rsidRDefault="00682D08" w:rsidP="004865C1">
      <w:pPr>
        <w:pStyle w:val="af2"/>
        <w:numPr>
          <w:ilvl w:val="1"/>
          <w:numId w:val="180"/>
        </w:numPr>
        <w:snapToGrid w:val="0"/>
        <w:spacing w:line="460" w:lineRule="exact"/>
        <w:ind w:leftChars="0"/>
        <w:jc w:val="both"/>
        <w:rPr>
          <w:rFonts w:eastAsia="標楷體"/>
          <w:b/>
          <w:sz w:val="28"/>
          <w:szCs w:val="28"/>
        </w:rPr>
      </w:pPr>
      <w:r w:rsidRPr="00D55DC6">
        <w:rPr>
          <w:rFonts w:eastAsia="標楷體"/>
          <w:b/>
          <w:sz w:val="28"/>
          <w:szCs w:val="28"/>
        </w:rPr>
        <w:t>經營管理及行銷推廣</w:t>
      </w:r>
    </w:p>
    <w:p w:rsidR="00682D08" w:rsidRPr="00D55DC6" w:rsidRDefault="00682D08" w:rsidP="00682D08">
      <w:pPr>
        <w:tabs>
          <w:tab w:val="left" w:pos="1260"/>
        </w:tabs>
        <w:snapToGrid w:val="0"/>
        <w:spacing w:line="460" w:lineRule="exact"/>
        <w:ind w:firstLineChars="303" w:firstLine="848"/>
        <w:jc w:val="both"/>
        <w:rPr>
          <w:rFonts w:eastAsia="標楷體"/>
          <w:sz w:val="28"/>
          <w:szCs w:val="28"/>
        </w:rPr>
      </w:pPr>
      <w:r w:rsidRPr="00D55DC6">
        <w:rPr>
          <w:rFonts w:eastAsia="標楷體"/>
          <w:sz w:val="28"/>
          <w:szCs w:val="28"/>
        </w:rPr>
        <w:t>4-1.</w:t>
      </w:r>
      <w:r w:rsidRPr="00D55DC6">
        <w:rPr>
          <w:rFonts w:eastAsia="標楷體"/>
          <w:sz w:val="28"/>
          <w:szCs w:val="28"/>
        </w:rPr>
        <w:t>經營管理</w:t>
      </w:r>
    </w:p>
    <w:p w:rsidR="00682D08" w:rsidRPr="00D55DC6" w:rsidRDefault="00682D08" w:rsidP="00682D08">
      <w:pPr>
        <w:pStyle w:val="af2"/>
        <w:snapToGrid w:val="0"/>
        <w:spacing w:line="460" w:lineRule="exact"/>
        <w:ind w:leftChars="0" w:left="1276"/>
        <w:jc w:val="both"/>
        <w:rPr>
          <w:rFonts w:eastAsia="標楷體"/>
          <w:sz w:val="28"/>
          <w:szCs w:val="28"/>
        </w:rPr>
      </w:pPr>
      <w:r w:rsidRPr="00D55DC6">
        <w:rPr>
          <w:rFonts w:eastAsia="標楷體"/>
          <w:sz w:val="28"/>
          <w:szCs w:val="28"/>
        </w:rPr>
        <w:t>4-1-1.</w:t>
      </w:r>
      <w:r w:rsidRPr="00D55DC6">
        <w:rPr>
          <w:rFonts w:eastAsia="標楷體"/>
          <w:sz w:val="28"/>
          <w:szCs w:val="28"/>
        </w:rPr>
        <w:t>用地取得：辦理工程用地取得及相關作業。</w:t>
      </w:r>
    </w:p>
    <w:p w:rsidR="00682D08" w:rsidRPr="00D55DC6" w:rsidRDefault="00682D08" w:rsidP="00682D08">
      <w:pPr>
        <w:pStyle w:val="af2"/>
        <w:snapToGrid w:val="0"/>
        <w:spacing w:line="460" w:lineRule="exact"/>
        <w:ind w:leftChars="532" w:left="1985" w:hangingChars="253" w:hanging="708"/>
        <w:jc w:val="both"/>
        <w:rPr>
          <w:rFonts w:eastAsia="標楷體"/>
          <w:sz w:val="28"/>
          <w:szCs w:val="28"/>
        </w:rPr>
      </w:pPr>
      <w:r w:rsidRPr="00D55DC6">
        <w:rPr>
          <w:rFonts w:eastAsia="標楷體"/>
          <w:sz w:val="28"/>
          <w:szCs w:val="28"/>
        </w:rPr>
        <w:t>4-1-2.</w:t>
      </w:r>
      <w:r w:rsidRPr="00D55DC6">
        <w:rPr>
          <w:rFonts w:eastAsia="標楷體"/>
          <w:sz w:val="28"/>
          <w:szCs w:val="28"/>
        </w:rPr>
        <w:t>設施維護管理：規劃建置遊憩服務設施基本資料及設施維</w:t>
      </w:r>
      <w:r w:rsidRPr="00D55DC6">
        <w:rPr>
          <w:rFonts w:eastAsia="標楷體"/>
          <w:sz w:val="28"/>
          <w:szCs w:val="28"/>
        </w:rPr>
        <w:lastRenderedPageBreak/>
        <w:t>護。</w:t>
      </w:r>
    </w:p>
    <w:p w:rsidR="00682D08" w:rsidRPr="00D55DC6" w:rsidRDefault="00682D08" w:rsidP="00682D08">
      <w:pPr>
        <w:pStyle w:val="af2"/>
        <w:snapToGrid w:val="0"/>
        <w:spacing w:line="460" w:lineRule="exact"/>
        <w:ind w:leftChars="532" w:left="1985" w:hangingChars="253" w:hanging="708"/>
        <w:jc w:val="both"/>
        <w:rPr>
          <w:rFonts w:eastAsia="標楷體"/>
          <w:sz w:val="28"/>
          <w:szCs w:val="28"/>
        </w:rPr>
      </w:pPr>
      <w:r w:rsidRPr="00D55DC6">
        <w:rPr>
          <w:rFonts w:eastAsia="標楷體"/>
          <w:sz w:val="28"/>
          <w:szCs w:val="28"/>
        </w:rPr>
        <w:t>4-1-3.</w:t>
      </w:r>
      <w:r w:rsidRPr="00D55DC6">
        <w:rPr>
          <w:rFonts w:eastAsia="標楷體"/>
          <w:sz w:val="28"/>
          <w:szCs w:val="28"/>
        </w:rPr>
        <w:t>環境整潔綠美化：環境清潔、植栽景觀及維護、公廁清潔及建築景觀維護。</w:t>
      </w:r>
    </w:p>
    <w:p w:rsidR="00682D08" w:rsidRPr="00D55DC6" w:rsidRDefault="00682D08" w:rsidP="00682D08">
      <w:pPr>
        <w:pStyle w:val="af2"/>
        <w:snapToGrid w:val="0"/>
        <w:spacing w:line="460" w:lineRule="exact"/>
        <w:ind w:leftChars="532" w:left="1985" w:hangingChars="253" w:hanging="708"/>
        <w:jc w:val="both"/>
        <w:rPr>
          <w:rFonts w:eastAsia="標楷體"/>
          <w:sz w:val="28"/>
          <w:szCs w:val="28"/>
        </w:rPr>
      </w:pPr>
      <w:r w:rsidRPr="00D55DC6">
        <w:rPr>
          <w:rFonts w:eastAsia="標楷體"/>
          <w:sz w:val="28"/>
          <w:szCs w:val="28"/>
        </w:rPr>
        <w:t>4-1-4.</w:t>
      </w:r>
      <w:r w:rsidRPr="00D55DC6">
        <w:rPr>
          <w:rFonts w:eastAsia="標楷體"/>
          <w:sz w:val="28"/>
          <w:szCs w:val="28"/>
        </w:rPr>
        <w:t>善用社會資源：志工運用、民間企業團體合作及運用社區資源。</w:t>
      </w:r>
    </w:p>
    <w:p w:rsidR="00682D08" w:rsidRPr="00D55DC6" w:rsidRDefault="00682D08" w:rsidP="00682D08">
      <w:pPr>
        <w:pStyle w:val="af2"/>
        <w:snapToGrid w:val="0"/>
        <w:spacing w:line="460" w:lineRule="exact"/>
        <w:ind w:leftChars="532" w:left="1985" w:hangingChars="253" w:hanging="708"/>
        <w:jc w:val="both"/>
        <w:rPr>
          <w:rFonts w:eastAsia="標楷體"/>
          <w:sz w:val="28"/>
          <w:szCs w:val="28"/>
        </w:rPr>
      </w:pPr>
      <w:r w:rsidRPr="00D55DC6">
        <w:rPr>
          <w:rFonts w:eastAsia="標楷體"/>
          <w:sz w:val="28"/>
          <w:szCs w:val="28"/>
        </w:rPr>
        <w:t>4-1-5.</w:t>
      </w:r>
      <w:r w:rsidRPr="00D55DC6">
        <w:rPr>
          <w:rFonts w:eastAsia="標楷體"/>
          <w:sz w:val="28"/>
          <w:szCs w:val="28"/>
        </w:rPr>
        <w:t>提昇服務品質：服務形象規劃、解說服務、為民服務、違規取締及辦理國家風景區都導考核觀摩。</w:t>
      </w:r>
    </w:p>
    <w:p w:rsidR="00682D08" w:rsidRPr="00D55DC6" w:rsidRDefault="00682D08" w:rsidP="00682D08">
      <w:pPr>
        <w:tabs>
          <w:tab w:val="left" w:pos="1260"/>
        </w:tabs>
        <w:snapToGrid w:val="0"/>
        <w:spacing w:line="460" w:lineRule="exact"/>
        <w:ind w:firstLineChars="303" w:firstLine="848"/>
        <w:jc w:val="both"/>
        <w:rPr>
          <w:rFonts w:eastAsia="標楷體"/>
          <w:sz w:val="28"/>
          <w:szCs w:val="28"/>
        </w:rPr>
      </w:pPr>
      <w:r w:rsidRPr="00D55DC6">
        <w:rPr>
          <w:rFonts w:eastAsia="標楷體"/>
          <w:sz w:val="28"/>
          <w:szCs w:val="28"/>
        </w:rPr>
        <w:t>4-2.</w:t>
      </w:r>
      <w:r w:rsidRPr="00D55DC6">
        <w:rPr>
          <w:rFonts w:eastAsia="標楷體"/>
          <w:sz w:val="28"/>
          <w:szCs w:val="28"/>
        </w:rPr>
        <w:t>行銷推廣</w:t>
      </w:r>
    </w:p>
    <w:p w:rsidR="00682D08" w:rsidRPr="00D55DC6" w:rsidRDefault="00682D08" w:rsidP="00682D08">
      <w:pPr>
        <w:pStyle w:val="af2"/>
        <w:snapToGrid w:val="0"/>
        <w:spacing w:line="460" w:lineRule="exact"/>
        <w:ind w:leftChars="532" w:left="1985" w:hangingChars="253" w:hanging="708"/>
        <w:jc w:val="both"/>
        <w:rPr>
          <w:rFonts w:eastAsia="標楷體"/>
          <w:sz w:val="28"/>
          <w:szCs w:val="28"/>
        </w:rPr>
      </w:pPr>
      <w:r w:rsidRPr="00D55DC6">
        <w:rPr>
          <w:rFonts w:eastAsia="標楷體"/>
          <w:sz w:val="28"/>
          <w:szCs w:val="28"/>
        </w:rPr>
        <w:t>4-2-1.</w:t>
      </w:r>
      <w:r w:rsidRPr="00D55DC6">
        <w:rPr>
          <w:rFonts w:eastAsia="標楷體"/>
          <w:sz w:val="28"/>
          <w:szCs w:val="28"/>
        </w:rPr>
        <w:t>訂定年度行銷推動方案，推廣東部海岸旅遊模式，開拓相關客源市場，如馬拉松、單車、泛舟等運動休閒旅遊。</w:t>
      </w:r>
    </w:p>
    <w:p w:rsidR="00682D08" w:rsidRPr="00D55DC6" w:rsidRDefault="00682D08" w:rsidP="00682D08">
      <w:pPr>
        <w:pStyle w:val="af2"/>
        <w:snapToGrid w:val="0"/>
        <w:spacing w:line="460" w:lineRule="exact"/>
        <w:ind w:leftChars="532" w:left="1985" w:hangingChars="253" w:hanging="708"/>
        <w:jc w:val="both"/>
        <w:rPr>
          <w:rFonts w:eastAsia="標楷體"/>
          <w:sz w:val="28"/>
          <w:szCs w:val="28"/>
        </w:rPr>
      </w:pPr>
      <w:r w:rsidRPr="00D55DC6">
        <w:rPr>
          <w:rFonts w:eastAsia="標楷體"/>
          <w:sz w:val="28"/>
          <w:szCs w:val="28"/>
        </w:rPr>
        <w:t>4-2-2.</w:t>
      </w:r>
      <w:r w:rsidRPr="00D55DC6">
        <w:rPr>
          <w:rFonts w:eastAsia="標楷體"/>
          <w:sz w:val="28"/>
          <w:szCs w:val="28"/>
        </w:rPr>
        <w:t>辦理觀光景點無縫隙計畫，結合綠色運輸與地方產業發展。</w:t>
      </w:r>
    </w:p>
    <w:p w:rsidR="00682D08" w:rsidRPr="00D55DC6" w:rsidRDefault="00682D08" w:rsidP="00682D08">
      <w:pPr>
        <w:pStyle w:val="af2"/>
        <w:snapToGrid w:val="0"/>
        <w:spacing w:line="460" w:lineRule="exact"/>
        <w:ind w:leftChars="532" w:left="1985" w:hangingChars="253" w:hanging="708"/>
        <w:jc w:val="both"/>
        <w:rPr>
          <w:rFonts w:eastAsia="標楷體"/>
          <w:sz w:val="28"/>
          <w:szCs w:val="28"/>
        </w:rPr>
      </w:pPr>
      <w:r w:rsidRPr="00D55DC6">
        <w:rPr>
          <w:rFonts w:eastAsia="標楷體"/>
          <w:sz w:val="28"/>
          <w:szCs w:val="28"/>
        </w:rPr>
        <w:t>4-2-3.</w:t>
      </w:r>
      <w:r w:rsidRPr="00D55DC6">
        <w:rPr>
          <w:rFonts w:eastAsia="標楷體"/>
          <w:sz w:val="28"/>
          <w:szCs w:val="28"/>
        </w:rPr>
        <w:t>推動生態旅遊，包括部落觀光、綠島低碳旅遊、海洋觀光等，開發小眾旅遊市場並建立東部海岸部落觀光主題旅遊品牌。</w:t>
      </w:r>
    </w:p>
    <w:p w:rsidR="00682D08" w:rsidRPr="00D55DC6" w:rsidRDefault="00682D08" w:rsidP="004865C1">
      <w:pPr>
        <w:pStyle w:val="af2"/>
        <w:numPr>
          <w:ilvl w:val="1"/>
          <w:numId w:val="180"/>
        </w:numPr>
        <w:snapToGrid w:val="0"/>
        <w:spacing w:line="460" w:lineRule="exact"/>
        <w:ind w:leftChars="0"/>
        <w:jc w:val="both"/>
        <w:rPr>
          <w:rFonts w:eastAsia="標楷體"/>
          <w:b/>
          <w:sz w:val="28"/>
          <w:szCs w:val="28"/>
        </w:rPr>
      </w:pPr>
      <w:r w:rsidRPr="00D55DC6">
        <w:rPr>
          <w:rFonts w:eastAsia="標楷體"/>
          <w:b/>
          <w:sz w:val="28"/>
          <w:szCs w:val="28"/>
        </w:rPr>
        <w:t>提升觀光建設自償性</w:t>
      </w:r>
      <w:r w:rsidRPr="00D55DC6">
        <w:rPr>
          <w:rFonts w:eastAsia="標楷體"/>
          <w:b/>
          <w:sz w:val="28"/>
          <w:szCs w:val="28"/>
        </w:rPr>
        <w:t xml:space="preserve"> </w:t>
      </w:r>
    </w:p>
    <w:p w:rsidR="00682D08" w:rsidRPr="00D55DC6" w:rsidRDefault="00682D08" w:rsidP="00682D08">
      <w:pPr>
        <w:pStyle w:val="af2"/>
        <w:snapToGrid w:val="0"/>
        <w:spacing w:line="460" w:lineRule="exact"/>
        <w:ind w:leftChars="354" w:left="1276" w:hangingChars="152" w:hanging="426"/>
        <w:jc w:val="both"/>
        <w:rPr>
          <w:rFonts w:eastAsia="標楷體"/>
          <w:sz w:val="28"/>
          <w:szCs w:val="28"/>
        </w:rPr>
      </w:pPr>
      <w:r w:rsidRPr="00D55DC6">
        <w:rPr>
          <w:rFonts w:eastAsia="標楷體"/>
          <w:sz w:val="28"/>
          <w:szCs w:val="28"/>
        </w:rPr>
        <w:t>5-1.</w:t>
      </w:r>
      <w:r w:rsidRPr="00D55DC6">
        <w:rPr>
          <w:rFonts w:eastAsia="標楷體"/>
          <w:sz w:val="28"/>
          <w:szCs w:val="28"/>
        </w:rPr>
        <w:t>使用者付費：持續推動收取小野柳、三仙台、八仙洞及石梯坪等遊憩區清潔維護費。</w:t>
      </w:r>
    </w:p>
    <w:p w:rsidR="00682D08" w:rsidRPr="00D55DC6" w:rsidRDefault="00682D08" w:rsidP="00682D08">
      <w:pPr>
        <w:pStyle w:val="af2"/>
        <w:snapToGrid w:val="0"/>
        <w:spacing w:line="460" w:lineRule="exact"/>
        <w:ind w:leftChars="354" w:left="1276" w:hangingChars="152" w:hanging="426"/>
        <w:jc w:val="both"/>
        <w:rPr>
          <w:rFonts w:eastAsia="標楷體"/>
          <w:sz w:val="28"/>
          <w:szCs w:val="28"/>
        </w:rPr>
      </w:pPr>
      <w:r w:rsidRPr="00D55DC6">
        <w:rPr>
          <w:rFonts w:eastAsia="標楷體"/>
          <w:sz w:val="28"/>
          <w:szCs w:val="28"/>
        </w:rPr>
        <w:t>5-2.</w:t>
      </w:r>
      <w:r w:rsidRPr="00D55DC6">
        <w:rPr>
          <w:rFonts w:eastAsia="標楷體"/>
          <w:sz w:val="28"/>
          <w:szCs w:val="28"/>
        </w:rPr>
        <w:t>設施出租：持具推動小野柳、三仙台、八仙洞、觀海樓等</w:t>
      </w:r>
      <w:r w:rsidR="00F14092" w:rsidRPr="00D55DC6">
        <w:rPr>
          <w:rFonts w:eastAsia="標楷體"/>
          <w:sz w:val="28"/>
          <w:szCs w:val="28"/>
        </w:rPr>
        <w:t>8</w:t>
      </w:r>
      <w:r w:rsidRPr="00D55DC6">
        <w:rPr>
          <w:rFonts w:eastAsia="標楷體"/>
          <w:sz w:val="28"/>
          <w:szCs w:val="28"/>
        </w:rPr>
        <w:t>0</w:t>
      </w:r>
      <w:r w:rsidRPr="00D55DC6">
        <w:rPr>
          <w:rFonts w:eastAsia="標楷體"/>
          <w:sz w:val="28"/>
          <w:szCs w:val="28"/>
        </w:rPr>
        <w:t>餘處賣店及</w:t>
      </w:r>
      <w:r w:rsidRPr="00D55DC6">
        <w:rPr>
          <w:rFonts w:eastAsia="標楷體"/>
          <w:sz w:val="28"/>
          <w:szCs w:val="28"/>
        </w:rPr>
        <w:t>3</w:t>
      </w:r>
      <w:r w:rsidRPr="00D55DC6">
        <w:rPr>
          <w:rFonts w:eastAsia="標楷體"/>
          <w:sz w:val="28"/>
          <w:szCs w:val="28"/>
        </w:rPr>
        <w:t>處露營區出租。</w:t>
      </w:r>
    </w:p>
    <w:p w:rsidR="00682D08" w:rsidRPr="00D55DC6" w:rsidRDefault="00682D08" w:rsidP="00682D08">
      <w:pPr>
        <w:pStyle w:val="af2"/>
        <w:snapToGrid w:val="0"/>
        <w:spacing w:line="460" w:lineRule="exact"/>
        <w:ind w:leftChars="354" w:left="1276" w:hangingChars="152" w:hanging="426"/>
        <w:jc w:val="both"/>
        <w:rPr>
          <w:rFonts w:eastAsia="標楷體"/>
          <w:sz w:val="28"/>
          <w:szCs w:val="28"/>
        </w:rPr>
      </w:pPr>
      <w:r w:rsidRPr="00D55DC6">
        <w:rPr>
          <w:rFonts w:eastAsia="標楷體"/>
          <w:sz w:val="28"/>
          <w:szCs w:val="28"/>
        </w:rPr>
        <w:t>5-3.</w:t>
      </w:r>
      <w:r w:rsidRPr="00D55DC6">
        <w:rPr>
          <w:rFonts w:eastAsia="標楷體"/>
          <w:sz w:val="28"/>
          <w:szCs w:val="28"/>
        </w:rPr>
        <w:t>促參：持續推動綠島朝日溫泉、朝日旅遊服務中心及露營區促參案。</w:t>
      </w:r>
    </w:p>
    <w:p w:rsidR="00682D08" w:rsidRPr="00D55DC6" w:rsidRDefault="00682D08" w:rsidP="00682D08">
      <w:pPr>
        <w:pStyle w:val="af2"/>
        <w:snapToGrid w:val="0"/>
        <w:spacing w:line="460" w:lineRule="exact"/>
        <w:ind w:leftChars="354" w:left="1276" w:hangingChars="152" w:hanging="426"/>
        <w:jc w:val="both"/>
        <w:rPr>
          <w:rFonts w:eastAsia="標楷體"/>
          <w:sz w:val="28"/>
          <w:szCs w:val="28"/>
        </w:rPr>
      </w:pPr>
      <w:r w:rsidRPr="00D55DC6">
        <w:rPr>
          <w:rFonts w:eastAsia="標楷體"/>
          <w:sz w:val="28"/>
          <w:szCs w:val="28"/>
        </w:rPr>
        <w:t>5-4.</w:t>
      </w:r>
      <w:r w:rsidRPr="00D55DC6">
        <w:rPr>
          <w:rFonts w:eastAsia="標楷體"/>
          <w:sz w:val="28"/>
          <w:szCs w:val="28"/>
        </w:rPr>
        <w:t>跨域合作：針對轄區非屬管理處管轄但具代表性與規模之觀光景點提出合作開發計畫，由土地所有權人提供土地（使用）、管理處投資建設或辦理招商，並整體行銷，營收由雙方依約分收，達到土地充分利用、縮短開發期程及促進觀光發展等多重目的。</w:t>
      </w:r>
    </w:p>
    <w:p w:rsidR="00682D08" w:rsidRPr="00D55DC6" w:rsidRDefault="00682D08" w:rsidP="00682D08">
      <w:pPr>
        <w:pStyle w:val="af2"/>
        <w:snapToGrid w:val="0"/>
        <w:spacing w:line="460" w:lineRule="exact"/>
        <w:ind w:leftChars="354" w:left="1276" w:hangingChars="152" w:hanging="426"/>
        <w:jc w:val="both"/>
        <w:rPr>
          <w:rFonts w:eastAsia="標楷體"/>
          <w:sz w:val="28"/>
          <w:szCs w:val="28"/>
        </w:rPr>
      </w:pPr>
      <w:r w:rsidRPr="00D55DC6">
        <w:rPr>
          <w:rFonts w:eastAsia="標楷體"/>
          <w:sz w:val="28"/>
          <w:szCs w:val="28"/>
        </w:rPr>
        <w:t>5-5.</w:t>
      </w:r>
      <w:r w:rsidRPr="00D55DC6">
        <w:rPr>
          <w:rFonts w:eastAsia="標楷體"/>
          <w:sz w:val="28"/>
          <w:szCs w:val="28"/>
        </w:rPr>
        <w:t>創意收益：強化特色遊憩據點之環境教育場域設施整備後，配合環境教育課程推動收取合理費用；利用管理處停車場空間及建築物屋頂設置太陽能發電系統，提供綠色能源並創造收益；都歷等遊客中心提供民間團體或企業進駐提供旅客旅遊服務，並進行回饋分收。</w:t>
      </w:r>
    </w:p>
    <w:p w:rsidR="00682D08" w:rsidRPr="00D55DC6" w:rsidRDefault="00682D08" w:rsidP="004865C1">
      <w:pPr>
        <w:pStyle w:val="af2"/>
        <w:numPr>
          <w:ilvl w:val="0"/>
          <w:numId w:val="180"/>
        </w:numPr>
        <w:snapToGrid w:val="0"/>
        <w:spacing w:line="460" w:lineRule="exact"/>
        <w:ind w:leftChars="0"/>
        <w:jc w:val="both"/>
        <w:rPr>
          <w:rFonts w:eastAsia="標楷體"/>
          <w:b/>
          <w:sz w:val="28"/>
          <w:szCs w:val="28"/>
        </w:rPr>
      </w:pPr>
      <w:r w:rsidRPr="00D55DC6">
        <w:rPr>
          <w:rFonts w:eastAsia="標楷體"/>
          <w:b/>
          <w:sz w:val="28"/>
          <w:szCs w:val="28"/>
        </w:rPr>
        <w:lastRenderedPageBreak/>
        <w:t xml:space="preserve">分年預期成果　　</w:t>
      </w:r>
    </w:p>
    <w:p w:rsidR="00682D08" w:rsidRPr="00D55DC6" w:rsidRDefault="00682D08" w:rsidP="004865C1">
      <w:pPr>
        <w:pStyle w:val="af2"/>
        <w:numPr>
          <w:ilvl w:val="0"/>
          <w:numId w:val="181"/>
        </w:numPr>
        <w:snapToGrid w:val="0"/>
        <w:spacing w:line="460" w:lineRule="exact"/>
        <w:ind w:leftChars="0"/>
        <w:jc w:val="both"/>
        <w:rPr>
          <w:rFonts w:eastAsia="標楷體"/>
          <w:b/>
          <w:sz w:val="28"/>
          <w:szCs w:val="28"/>
        </w:rPr>
      </w:pPr>
      <w:r w:rsidRPr="00D55DC6">
        <w:rPr>
          <w:rFonts w:eastAsia="標楷體"/>
          <w:b/>
          <w:sz w:val="28"/>
          <w:szCs w:val="28"/>
        </w:rPr>
        <w:t>105</w:t>
      </w:r>
      <w:r w:rsidRPr="00D55DC6">
        <w:rPr>
          <w:rFonts w:eastAsia="標楷體"/>
          <w:b/>
          <w:sz w:val="28"/>
          <w:szCs w:val="28"/>
        </w:rPr>
        <w:t>年完成：</w:t>
      </w:r>
    </w:p>
    <w:p w:rsidR="00682D08" w:rsidRPr="00D55DC6" w:rsidRDefault="00682D08" w:rsidP="004865C1">
      <w:pPr>
        <w:pStyle w:val="af2"/>
        <w:numPr>
          <w:ilvl w:val="1"/>
          <w:numId w:val="167"/>
        </w:numPr>
        <w:snapToGrid w:val="0"/>
        <w:spacing w:line="460" w:lineRule="exact"/>
        <w:ind w:leftChars="0" w:left="1418" w:hanging="567"/>
        <w:jc w:val="both"/>
        <w:rPr>
          <w:rFonts w:eastAsia="標楷體"/>
          <w:sz w:val="28"/>
          <w:szCs w:val="28"/>
        </w:rPr>
      </w:pPr>
      <w:r w:rsidRPr="00D55DC6">
        <w:rPr>
          <w:rFonts w:eastAsia="標楷體"/>
          <w:b/>
          <w:sz w:val="28"/>
          <w:szCs w:val="28"/>
        </w:rPr>
        <w:t>國際觀光景點建設</w:t>
      </w:r>
      <w:r w:rsidRPr="00D55DC6">
        <w:rPr>
          <w:rFonts w:eastAsia="標楷體"/>
          <w:sz w:val="28"/>
          <w:szCs w:val="28"/>
        </w:rPr>
        <w:t>綠島系統</w:t>
      </w:r>
      <w:r w:rsidRPr="00D55DC6">
        <w:rPr>
          <w:rFonts w:eastAsia="標楷體"/>
          <w:sz w:val="28"/>
          <w:szCs w:val="28"/>
        </w:rPr>
        <w:t>—</w:t>
      </w:r>
      <w:r w:rsidRPr="00D55DC6">
        <w:rPr>
          <w:rFonts w:eastAsia="標楷體"/>
          <w:sz w:val="28"/>
          <w:szCs w:val="28"/>
        </w:rPr>
        <w:t>無障礙旅遊環境改善、小野柳</w:t>
      </w:r>
      <w:r w:rsidRPr="00D55DC6">
        <w:rPr>
          <w:rFonts w:eastAsia="標楷體"/>
          <w:sz w:val="28"/>
          <w:szCs w:val="28"/>
        </w:rPr>
        <w:t>/</w:t>
      </w:r>
      <w:r w:rsidRPr="00D55DC6">
        <w:rPr>
          <w:rFonts w:eastAsia="標楷體"/>
          <w:sz w:val="28"/>
          <w:szCs w:val="28"/>
        </w:rPr>
        <w:t>都蘭系統</w:t>
      </w:r>
      <w:r w:rsidRPr="00D55DC6">
        <w:rPr>
          <w:rFonts w:eastAsia="標楷體"/>
          <w:sz w:val="28"/>
          <w:szCs w:val="28"/>
        </w:rPr>
        <w:t>—</w:t>
      </w:r>
      <w:r w:rsidRPr="00D55DC6">
        <w:rPr>
          <w:rFonts w:eastAsia="標楷體"/>
          <w:sz w:val="28"/>
          <w:szCs w:val="28"/>
        </w:rPr>
        <w:t>小野柳風景特定區次旅遊服務區興建、成功</w:t>
      </w:r>
      <w:r w:rsidRPr="00D55DC6">
        <w:rPr>
          <w:rFonts w:eastAsia="標楷體"/>
          <w:sz w:val="28"/>
          <w:szCs w:val="28"/>
        </w:rPr>
        <w:t>/</w:t>
      </w:r>
      <w:r w:rsidRPr="00D55DC6">
        <w:rPr>
          <w:rFonts w:eastAsia="標楷體"/>
          <w:sz w:val="28"/>
          <w:szCs w:val="28"/>
        </w:rPr>
        <w:t>三仙台系統</w:t>
      </w:r>
      <w:r w:rsidRPr="00D55DC6">
        <w:rPr>
          <w:rFonts w:eastAsia="標楷體"/>
          <w:sz w:val="28"/>
          <w:szCs w:val="28"/>
        </w:rPr>
        <w:t>—</w:t>
      </w:r>
      <w:r w:rsidRPr="00D55DC6">
        <w:rPr>
          <w:rFonts w:eastAsia="標楷體"/>
          <w:sz w:val="28"/>
          <w:szCs w:val="28"/>
        </w:rPr>
        <w:t>成功海濱公園改善、石梯</w:t>
      </w:r>
      <w:r w:rsidRPr="00D55DC6">
        <w:rPr>
          <w:rFonts w:eastAsia="標楷體"/>
          <w:sz w:val="28"/>
          <w:szCs w:val="28"/>
        </w:rPr>
        <w:t>/</w:t>
      </w:r>
      <w:r w:rsidRPr="00D55DC6">
        <w:rPr>
          <w:rFonts w:eastAsia="標楷體"/>
          <w:sz w:val="28"/>
          <w:szCs w:val="28"/>
        </w:rPr>
        <w:t>秀姑巒系統</w:t>
      </w:r>
      <w:r w:rsidRPr="00D55DC6">
        <w:rPr>
          <w:rFonts w:eastAsia="標楷體"/>
          <w:sz w:val="28"/>
          <w:szCs w:val="28"/>
        </w:rPr>
        <w:t>—</w:t>
      </w:r>
      <w:r w:rsidRPr="00D55DC6">
        <w:rPr>
          <w:rFonts w:eastAsia="標楷體"/>
          <w:sz w:val="28"/>
          <w:szCs w:val="28"/>
        </w:rPr>
        <w:t>八仙洞設施改善暨濱海遊憩服務設施整備。</w:t>
      </w:r>
    </w:p>
    <w:p w:rsidR="00682D08" w:rsidRPr="00D55DC6" w:rsidRDefault="00682D08" w:rsidP="004865C1">
      <w:pPr>
        <w:pStyle w:val="af2"/>
        <w:numPr>
          <w:ilvl w:val="1"/>
          <w:numId w:val="167"/>
        </w:numPr>
        <w:snapToGrid w:val="0"/>
        <w:spacing w:line="460" w:lineRule="exact"/>
        <w:ind w:leftChars="0" w:left="1418" w:hanging="567"/>
        <w:jc w:val="both"/>
        <w:rPr>
          <w:rFonts w:eastAsia="標楷體"/>
          <w:sz w:val="28"/>
          <w:szCs w:val="28"/>
        </w:rPr>
      </w:pPr>
      <w:r w:rsidRPr="00D55DC6">
        <w:rPr>
          <w:rFonts w:eastAsia="標楷體"/>
          <w:b/>
          <w:sz w:val="28"/>
          <w:szCs w:val="28"/>
        </w:rPr>
        <w:t>國內觀光景點建設</w:t>
      </w:r>
      <w:r w:rsidRPr="00D55DC6">
        <w:rPr>
          <w:rFonts w:eastAsia="標楷體"/>
          <w:sz w:val="28"/>
          <w:szCs w:val="28"/>
        </w:rPr>
        <w:t>磯崎</w:t>
      </w:r>
      <w:r w:rsidRPr="00D55DC6">
        <w:rPr>
          <w:rFonts w:eastAsia="標楷體"/>
          <w:sz w:val="28"/>
          <w:szCs w:val="28"/>
        </w:rPr>
        <w:t>/</w:t>
      </w:r>
      <w:r w:rsidRPr="00D55DC6">
        <w:rPr>
          <w:rFonts w:eastAsia="標楷體"/>
          <w:sz w:val="28"/>
          <w:szCs w:val="28"/>
        </w:rPr>
        <w:t>鹽寮系統</w:t>
      </w:r>
      <w:r w:rsidRPr="00D55DC6">
        <w:rPr>
          <w:rFonts w:eastAsia="標楷體"/>
          <w:sz w:val="28"/>
          <w:szCs w:val="28"/>
        </w:rPr>
        <w:t>—</w:t>
      </w:r>
      <w:r w:rsidRPr="00D55DC6">
        <w:rPr>
          <w:rFonts w:eastAsia="標楷體"/>
          <w:sz w:val="28"/>
          <w:szCs w:val="28"/>
        </w:rPr>
        <w:t>花蓮遊客中心空間改善及無障礙環境工程。</w:t>
      </w:r>
    </w:p>
    <w:p w:rsidR="00682D08" w:rsidRPr="00D55DC6" w:rsidRDefault="00682D08" w:rsidP="004865C1">
      <w:pPr>
        <w:pStyle w:val="af2"/>
        <w:numPr>
          <w:ilvl w:val="0"/>
          <w:numId w:val="181"/>
        </w:numPr>
        <w:snapToGrid w:val="0"/>
        <w:spacing w:line="460" w:lineRule="exact"/>
        <w:ind w:leftChars="0"/>
        <w:jc w:val="both"/>
        <w:rPr>
          <w:rFonts w:eastAsia="標楷體"/>
          <w:sz w:val="28"/>
          <w:szCs w:val="28"/>
        </w:rPr>
      </w:pPr>
      <w:r w:rsidRPr="00D55DC6">
        <w:rPr>
          <w:rFonts w:eastAsia="標楷體"/>
          <w:b/>
          <w:sz w:val="28"/>
          <w:szCs w:val="28"/>
        </w:rPr>
        <w:t>106</w:t>
      </w:r>
      <w:r w:rsidRPr="00D55DC6">
        <w:rPr>
          <w:rFonts w:eastAsia="標楷體"/>
          <w:b/>
          <w:sz w:val="28"/>
          <w:szCs w:val="28"/>
        </w:rPr>
        <w:t>年完成：</w:t>
      </w:r>
    </w:p>
    <w:p w:rsidR="00682D08" w:rsidRPr="00D55DC6" w:rsidRDefault="00682D08" w:rsidP="00682D08">
      <w:pPr>
        <w:pStyle w:val="af2"/>
        <w:snapToGrid w:val="0"/>
        <w:spacing w:line="460" w:lineRule="exact"/>
        <w:ind w:leftChars="355" w:left="1418" w:hanging="566"/>
        <w:jc w:val="both"/>
        <w:rPr>
          <w:rFonts w:eastAsia="標楷體"/>
          <w:sz w:val="28"/>
          <w:szCs w:val="28"/>
        </w:rPr>
      </w:pPr>
      <w:r w:rsidRPr="00D55DC6">
        <w:rPr>
          <w:rFonts w:eastAsia="標楷體"/>
          <w:b/>
          <w:sz w:val="28"/>
          <w:szCs w:val="28"/>
        </w:rPr>
        <w:t xml:space="preserve">2-1. </w:t>
      </w:r>
      <w:r w:rsidRPr="00D55DC6">
        <w:rPr>
          <w:rFonts w:eastAsia="標楷體"/>
          <w:b/>
          <w:sz w:val="28"/>
          <w:szCs w:val="28"/>
        </w:rPr>
        <w:t>國際觀光景點建設</w:t>
      </w:r>
      <w:r w:rsidRPr="00D55DC6">
        <w:rPr>
          <w:rFonts w:eastAsia="標楷體"/>
          <w:sz w:val="28"/>
          <w:szCs w:val="28"/>
        </w:rPr>
        <w:t>綠島系統</w:t>
      </w:r>
      <w:r w:rsidRPr="00D55DC6">
        <w:rPr>
          <w:rFonts w:eastAsia="標楷體"/>
          <w:sz w:val="28"/>
          <w:szCs w:val="28"/>
        </w:rPr>
        <w:t>—</w:t>
      </w:r>
      <w:r w:rsidRPr="00D55DC6">
        <w:rPr>
          <w:rFonts w:eastAsia="標楷體"/>
          <w:sz w:val="28"/>
          <w:szCs w:val="28"/>
        </w:rPr>
        <w:t>綠島遊客中心展示空間及建築物節能改善、小野柳</w:t>
      </w:r>
      <w:r w:rsidRPr="00D55DC6">
        <w:rPr>
          <w:rFonts w:eastAsia="標楷體"/>
          <w:sz w:val="28"/>
          <w:szCs w:val="28"/>
        </w:rPr>
        <w:t>/</w:t>
      </w:r>
      <w:r w:rsidRPr="00D55DC6">
        <w:rPr>
          <w:rFonts w:eastAsia="標楷體"/>
          <w:sz w:val="28"/>
          <w:szCs w:val="28"/>
        </w:rPr>
        <w:t>都蘭系統</w:t>
      </w:r>
      <w:r w:rsidRPr="00D55DC6">
        <w:rPr>
          <w:rFonts w:eastAsia="標楷體"/>
          <w:sz w:val="28"/>
          <w:szCs w:val="28"/>
        </w:rPr>
        <w:t>—</w:t>
      </w:r>
      <w:r w:rsidRPr="00D55DC6">
        <w:rPr>
          <w:rFonts w:eastAsia="標楷體"/>
          <w:sz w:val="28"/>
          <w:szCs w:val="28"/>
        </w:rPr>
        <w:t>小野柳遊客中心展示空間及公共服務設施改善、成功</w:t>
      </w:r>
      <w:r w:rsidRPr="00D55DC6">
        <w:rPr>
          <w:rFonts w:eastAsia="標楷體"/>
          <w:sz w:val="28"/>
          <w:szCs w:val="28"/>
        </w:rPr>
        <w:t>/</w:t>
      </w:r>
      <w:r w:rsidRPr="00D55DC6">
        <w:rPr>
          <w:rFonts w:eastAsia="標楷體"/>
          <w:sz w:val="28"/>
          <w:szCs w:val="28"/>
        </w:rPr>
        <w:t>三仙台系統</w:t>
      </w:r>
      <w:r w:rsidRPr="00D55DC6">
        <w:rPr>
          <w:rFonts w:eastAsia="標楷體"/>
          <w:sz w:val="28"/>
          <w:szCs w:val="28"/>
        </w:rPr>
        <w:t>—</w:t>
      </w:r>
      <w:r w:rsidRPr="00D55DC6">
        <w:rPr>
          <w:rFonts w:eastAsia="標楷體"/>
          <w:sz w:val="28"/>
          <w:szCs w:val="28"/>
        </w:rPr>
        <w:t>石雨傘遊憩區服務設施改善、石梯</w:t>
      </w:r>
      <w:r w:rsidRPr="00D55DC6">
        <w:rPr>
          <w:rFonts w:eastAsia="標楷體"/>
          <w:sz w:val="28"/>
          <w:szCs w:val="28"/>
        </w:rPr>
        <w:t>/</w:t>
      </w:r>
      <w:r w:rsidRPr="00D55DC6">
        <w:rPr>
          <w:rFonts w:eastAsia="標楷體"/>
          <w:sz w:val="28"/>
          <w:szCs w:val="28"/>
        </w:rPr>
        <w:t>秀姑巒系統</w:t>
      </w:r>
      <w:r w:rsidRPr="00D55DC6">
        <w:rPr>
          <w:rFonts w:eastAsia="標楷體"/>
          <w:sz w:val="28"/>
          <w:szCs w:val="28"/>
        </w:rPr>
        <w:t>—</w:t>
      </w:r>
      <w:r w:rsidRPr="00D55DC6">
        <w:rPr>
          <w:rFonts w:eastAsia="標楷體"/>
          <w:sz w:val="28"/>
          <w:szCs w:val="28"/>
        </w:rPr>
        <w:t>秀姑巒溪遊客中心遊憩服務設施整建。</w:t>
      </w:r>
    </w:p>
    <w:p w:rsidR="00682D08" w:rsidRPr="00D55DC6" w:rsidRDefault="00682D08" w:rsidP="00682D08">
      <w:pPr>
        <w:pStyle w:val="af2"/>
        <w:snapToGrid w:val="0"/>
        <w:spacing w:line="460" w:lineRule="exact"/>
        <w:ind w:leftChars="355" w:left="1561" w:hangingChars="253" w:hanging="709"/>
        <w:jc w:val="both"/>
        <w:rPr>
          <w:rFonts w:eastAsia="標楷體"/>
          <w:sz w:val="28"/>
          <w:szCs w:val="28"/>
        </w:rPr>
      </w:pPr>
      <w:r w:rsidRPr="00D55DC6">
        <w:rPr>
          <w:rFonts w:eastAsia="標楷體"/>
          <w:b/>
          <w:sz w:val="28"/>
          <w:szCs w:val="28"/>
        </w:rPr>
        <w:t xml:space="preserve">2-2. </w:t>
      </w:r>
      <w:r w:rsidRPr="00D55DC6">
        <w:rPr>
          <w:rFonts w:eastAsia="標楷體"/>
          <w:b/>
          <w:sz w:val="28"/>
          <w:szCs w:val="28"/>
        </w:rPr>
        <w:t>國內觀光景點建設</w:t>
      </w:r>
      <w:r w:rsidRPr="00D55DC6">
        <w:rPr>
          <w:rFonts w:eastAsia="標楷體"/>
          <w:sz w:val="28"/>
          <w:szCs w:val="28"/>
        </w:rPr>
        <w:t>磯崎</w:t>
      </w:r>
      <w:r w:rsidRPr="00D55DC6">
        <w:rPr>
          <w:rFonts w:eastAsia="標楷體"/>
          <w:sz w:val="28"/>
          <w:szCs w:val="28"/>
        </w:rPr>
        <w:t>/</w:t>
      </w:r>
      <w:r w:rsidRPr="00D55DC6">
        <w:rPr>
          <w:rFonts w:eastAsia="標楷體"/>
          <w:sz w:val="28"/>
          <w:szCs w:val="28"/>
        </w:rPr>
        <w:t>鹽寮系統</w:t>
      </w:r>
      <w:r w:rsidRPr="00D55DC6">
        <w:rPr>
          <w:rFonts w:eastAsia="標楷體"/>
          <w:sz w:val="28"/>
          <w:szCs w:val="28"/>
        </w:rPr>
        <w:t>—</w:t>
      </w:r>
      <w:r w:rsidRPr="00D55DC6">
        <w:rPr>
          <w:rFonts w:eastAsia="標楷體"/>
          <w:sz w:val="28"/>
          <w:szCs w:val="28"/>
        </w:rPr>
        <w:t>環境教育場整備。</w:t>
      </w:r>
    </w:p>
    <w:p w:rsidR="00682D08" w:rsidRPr="00D55DC6" w:rsidRDefault="00682D08" w:rsidP="004865C1">
      <w:pPr>
        <w:pStyle w:val="af2"/>
        <w:numPr>
          <w:ilvl w:val="0"/>
          <w:numId w:val="181"/>
        </w:numPr>
        <w:snapToGrid w:val="0"/>
        <w:spacing w:line="460" w:lineRule="exact"/>
        <w:ind w:leftChars="0"/>
        <w:jc w:val="both"/>
        <w:rPr>
          <w:rFonts w:eastAsia="標楷體"/>
          <w:sz w:val="28"/>
          <w:szCs w:val="28"/>
        </w:rPr>
      </w:pPr>
      <w:r w:rsidRPr="00D55DC6">
        <w:rPr>
          <w:rFonts w:eastAsia="標楷體"/>
          <w:b/>
          <w:sz w:val="28"/>
          <w:szCs w:val="28"/>
        </w:rPr>
        <w:t>107</w:t>
      </w:r>
      <w:r w:rsidRPr="00D55DC6">
        <w:rPr>
          <w:rFonts w:eastAsia="標楷體"/>
          <w:b/>
          <w:sz w:val="28"/>
          <w:szCs w:val="28"/>
        </w:rPr>
        <w:t>年完成：</w:t>
      </w:r>
    </w:p>
    <w:p w:rsidR="00682D08" w:rsidRPr="00D55DC6" w:rsidRDefault="00682D08" w:rsidP="00682D08">
      <w:pPr>
        <w:pStyle w:val="af2"/>
        <w:snapToGrid w:val="0"/>
        <w:spacing w:line="460" w:lineRule="exact"/>
        <w:ind w:leftChars="355" w:left="1419" w:hanging="567"/>
        <w:jc w:val="both"/>
        <w:rPr>
          <w:rFonts w:eastAsia="標楷體"/>
          <w:b/>
          <w:sz w:val="28"/>
          <w:szCs w:val="28"/>
        </w:rPr>
      </w:pPr>
      <w:r w:rsidRPr="00D55DC6">
        <w:rPr>
          <w:rFonts w:eastAsia="標楷體"/>
          <w:b/>
          <w:sz w:val="28"/>
          <w:szCs w:val="28"/>
        </w:rPr>
        <w:t xml:space="preserve">3-1. </w:t>
      </w:r>
      <w:r w:rsidRPr="00D55DC6">
        <w:rPr>
          <w:rFonts w:eastAsia="標楷體"/>
          <w:b/>
          <w:sz w:val="28"/>
          <w:szCs w:val="28"/>
        </w:rPr>
        <w:t>國際觀光景點建設</w:t>
      </w:r>
      <w:r w:rsidRPr="00D55DC6">
        <w:rPr>
          <w:rFonts w:eastAsia="標楷體"/>
          <w:sz w:val="28"/>
          <w:szCs w:val="28"/>
        </w:rPr>
        <w:t>綠島系統</w:t>
      </w:r>
      <w:r w:rsidRPr="00D55DC6">
        <w:rPr>
          <w:rFonts w:eastAsia="標楷體"/>
          <w:sz w:val="28"/>
          <w:szCs w:val="28"/>
        </w:rPr>
        <w:t>—</w:t>
      </w:r>
      <w:r w:rsidRPr="00D55DC6">
        <w:rPr>
          <w:rFonts w:eastAsia="標楷體"/>
          <w:sz w:val="28"/>
          <w:szCs w:val="28"/>
        </w:rPr>
        <w:t>環境教育場整備、小野柳</w:t>
      </w:r>
      <w:r w:rsidRPr="00D55DC6">
        <w:rPr>
          <w:rFonts w:eastAsia="標楷體"/>
          <w:sz w:val="28"/>
          <w:szCs w:val="28"/>
        </w:rPr>
        <w:t>/</w:t>
      </w:r>
      <w:r w:rsidRPr="00D55DC6">
        <w:rPr>
          <w:rFonts w:eastAsia="標楷體"/>
          <w:sz w:val="28"/>
          <w:szCs w:val="28"/>
        </w:rPr>
        <w:t>都蘭系統</w:t>
      </w:r>
      <w:r w:rsidRPr="00D55DC6">
        <w:rPr>
          <w:rFonts w:eastAsia="標楷體"/>
          <w:sz w:val="28"/>
          <w:szCs w:val="28"/>
        </w:rPr>
        <w:t>—</w:t>
      </w:r>
      <w:r w:rsidRPr="00D55DC6">
        <w:rPr>
          <w:rFonts w:eastAsia="標楷體"/>
          <w:sz w:val="28"/>
          <w:szCs w:val="28"/>
        </w:rPr>
        <w:t>環境教育場整備、成功</w:t>
      </w:r>
      <w:r w:rsidRPr="00D55DC6">
        <w:rPr>
          <w:rFonts w:eastAsia="標楷體"/>
          <w:sz w:val="28"/>
          <w:szCs w:val="28"/>
        </w:rPr>
        <w:t>/</w:t>
      </w:r>
      <w:r w:rsidRPr="00D55DC6">
        <w:rPr>
          <w:rFonts w:eastAsia="標楷體"/>
          <w:sz w:val="28"/>
          <w:szCs w:val="28"/>
        </w:rPr>
        <w:t>三仙台系統</w:t>
      </w:r>
      <w:r w:rsidRPr="00D55DC6">
        <w:rPr>
          <w:rFonts w:eastAsia="標楷體"/>
          <w:sz w:val="28"/>
          <w:szCs w:val="28"/>
        </w:rPr>
        <w:t>—</w:t>
      </w:r>
      <w:r w:rsidRPr="00D55DC6">
        <w:rPr>
          <w:rFonts w:eastAsia="標楷體"/>
          <w:sz w:val="28"/>
          <w:szCs w:val="28"/>
        </w:rPr>
        <w:t>環境教育場整備、石梯</w:t>
      </w:r>
      <w:r w:rsidRPr="00D55DC6">
        <w:rPr>
          <w:rFonts w:eastAsia="標楷體"/>
          <w:sz w:val="28"/>
          <w:szCs w:val="28"/>
        </w:rPr>
        <w:t>/</w:t>
      </w:r>
      <w:r w:rsidRPr="00D55DC6">
        <w:rPr>
          <w:rFonts w:eastAsia="標楷體"/>
          <w:sz w:val="28"/>
          <w:szCs w:val="28"/>
        </w:rPr>
        <w:t>秀姑巒系統</w:t>
      </w:r>
      <w:r w:rsidRPr="00D55DC6">
        <w:rPr>
          <w:rFonts w:eastAsia="標楷體"/>
          <w:sz w:val="28"/>
          <w:szCs w:val="28"/>
        </w:rPr>
        <w:t>—</w:t>
      </w:r>
      <w:r w:rsidRPr="00D55DC6">
        <w:rPr>
          <w:rFonts w:eastAsia="標楷體"/>
          <w:sz w:val="28"/>
          <w:szCs w:val="28"/>
        </w:rPr>
        <w:t>靜埔及長虹橋周邊空間改造工程。</w:t>
      </w:r>
    </w:p>
    <w:p w:rsidR="00682D08" w:rsidRPr="00D55DC6" w:rsidRDefault="00682D08" w:rsidP="00682D08">
      <w:pPr>
        <w:pStyle w:val="af2"/>
        <w:snapToGrid w:val="0"/>
        <w:spacing w:line="460" w:lineRule="exact"/>
        <w:ind w:leftChars="355" w:left="1418" w:hanging="566"/>
        <w:jc w:val="both"/>
        <w:rPr>
          <w:rFonts w:eastAsia="標楷體"/>
          <w:sz w:val="28"/>
          <w:szCs w:val="28"/>
        </w:rPr>
      </w:pPr>
      <w:r w:rsidRPr="00D55DC6">
        <w:rPr>
          <w:rFonts w:eastAsia="標楷體"/>
          <w:b/>
          <w:sz w:val="28"/>
          <w:szCs w:val="28"/>
        </w:rPr>
        <w:t xml:space="preserve">3-2. </w:t>
      </w:r>
      <w:r w:rsidRPr="00D55DC6">
        <w:rPr>
          <w:rFonts w:eastAsia="標楷體"/>
          <w:b/>
          <w:sz w:val="28"/>
          <w:szCs w:val="28"/>
        </w:rPr>
        <w:t>國內觀光景點建設</w:t>
      </w:r>
      <w:r w:rsidRPr="00D55DC6">
        <w:rPr>
          <w:rFonts w:eastAsia="標楷體"/>
          <w:sz w:val="28"/>
          <w:szCs w:val="28"/>
        </w:rPr>
        <w:t>磯崎</w:t>
      </w:r>
      <w:r w:rsidRPr="00D55DC6">
        <w:rPr>
          <w:rFonts w:eastAsia="標楷體"/>
          <w:sz w:val="28"/>
          <w:szCs w:val="28"/>
        </w:rPr>
        <w:t>/</w:t>
      </w:r>
      <w:r w:rsidRPr="00D55DC6">
        <w:rPr>
          <w:rFonts w:eastAsia="標楷體"/>
          <w:sz w:val="28"/>
          <w:szCs w:val="28"/>
        </w:rPr>
        <w:t>鹽寮系統</w:t>
      </w:r>
      <w:r w:rsidRPr="00D55DC6">
        <w:rPr>
          <w:rFonts w:eastAsia="標楷體"/>
          <w:sz w:val="28"/>
          <w:szCs w:val="28"/>
        </w:rPr>
        <w:t>—</w:t>
      </w:r>
      <w:r w:rsidRPr="00D55DC6">
        <w:rPr>
          <w:rFonts w:eastAsia="標楷體"/>
          <w:sz w:val="28"/>
          <w:szCs w:val="28"/>
        </w:rPr>
        <w:t>遊客中心暨部分開放空間太陽能光電系統種電計畫。</w:t>
      </w:r>
    </w:p>
    <w:p w:rsidR="00682D08" w:rsidRPr="00D55DC6" w:rsidRDefault="00682D08" w:rsidP="004865C1">
      <w:pPr>
        <w:pStyle w:val="af2"/>
        <w:numPr>
          <w:ilvl w:val="0"/>
          <w:numId w:val="181"/>
        </w:numPr>
        <w:snapToGrid w:val="0"/>
        <w:spacing w:line="460" w:lineRule="exact"/>
        <w:ind w:leftChars="0"/>
        <w:jc w:val="both"/>
        <w:rPr>
          <w:rFonts w:eastAsia="標楷體"/>
          <w:sz w:val="28"/>
          <w:szCs w:val="28"/>
        </w:rPr>
      </w:pPr>
      <w:r w:rsidRPr="00D55DC6">
        <w:rPr>
          <w:rFonts w:eastAsia="標楷體"/>
          <w:b/>
          <w:sz w:val="28"/>
          <w:szCs w:val="28"/>
        </w:rPr>
        <w:t>108</w:t>
      </w:r>
      <w:r w:rsidRPr="00D55DC6">
        <w:rPr>
          <w:rFonts w:eastAsia="標楷體"/>
          <w:b/>
          <w:sz w:val="28"/>
          <w:szCs w:val="28"/>
        </w:rPr>
        <w:t>年完成：</w:t>
      </w:r>
    </w:p>
    <w:p w:rsidR="00682D08" w:rsidRPr="00D55DC6" w:rsidRDefault="00682D08" w:rsidP="00682D08">
      <w:pPr>
        <w:pStyle w:val="af2"/>
        <w:snapToGrid w:val="0"/>
        <w:spacing w:line="460" w:lineRule="exact"/>
        <w:ind w:leftChars="354" w:left="1417" w:hanging="567"/>
        <w:jc w:val="both"/>
        <w:rPr>
          <w:rFonts w:eastAsia="標楷體"/>
          <w:sz w:val="28"/>
          <w:szCs w:val="28"/>
        </w:rPr>
      </w:pPr>
      <w:r w:rsidRPr="00D55DC6">
        <w:rPr>
          <w:rFonts w:eastAsia="標楷體"/>
          <w:b/>
          <w:sz w:val="28"/>
          <w:szCs w:val="28"/>
        </w:rPr>
        <w:t xml:space="preserve">4-1. </w:t>
      </w:r>
      <w:r w:rsidRPr="00D55DC6">
        <w:rPr>
          <w:rFonts w:eastAsia="標楷體"/>
          <w:b/>
          <w:sz w:val="28"/>
          <w:szCs w:val="28"/>
        </w:rPr>
        <w:t>國際觀光景點建設</w:t>
      </w:r>
      <w:r w:rsidRPr="00D55DC6">
        <w:rPr>
          <w:rFonts w:eastAsia="標楷體"/>
          <w:sz w:val="28"/>
          <w:szCs w:val="28"/>
        </w:rPr>
        <w:t>綠島系統</w:t>
      </w:r>
      <w:r w:rsidRPr="00D55DC6">
        <w:rPr>
          <w:rFonts w:eastAsia="標楷體"/>
          <w:sz w:val="28"/>
          <w:szCs w:val="28"/>
        </w:rPr>
        <w:t>—</w:t>
      </w:r>
      <w:r w:rsidRPr="00D55DC6">
        <w:rPr>
          <w:rFonts w:eastAsia="標楷體"/>
          <w:sz w:val="28"/>
          <w:szCs w:val="28"/>
        </w:rPr>
        <w:t>綠島環島公路生態廊道建構、小野柳</w:t>
      </w:r>
      <w:r w:rsidRPr="00D55DC6">
        <w:rPr>
          <w:rFonts w:eastAsia="標楷體"/>
          <w:sz w:val="28"/>
          <w:szCs w:val="28"/>
        </w:rPr>
        <w:t>/</w:t>
      </w:r>
      <w:r w:rsidRPr="00D55DC6">
        <w:rPr>
          <w:rFonts w:eastAsia="標楷體"/>
          <w:sz w:val="28"/>
          <w:szCs w:val="28"/>
        </w:rPr>
        <w:t>都蘭系統</w:t>
      </w:r>
      <w:r w:rsidRPr="00D55DC6">
        <w:rPr>
          <w:rFonts w:eastAsia="標楷體"/>
          <w:sz w:val="28"/>
          <w:szCs w:val="28"/>
        </w:rPr>
        <w:t>—</w:t>
      </w:r>
      <w:r w:rsidRPr="00D55DC6">
        <w:rPr>
          <w:rFonts w:eastAsia="標楷體"/>
          <w:sz w:val="28"/>
          <w:szCs w:val="28"/>
        </w:rPr>
        <w:t>遊客中心暨部分開放空間太陽能光電系統種電計畫、成功</w:t>
      </w:r>
      <w:r w:rsidRPr="00D55DC6">
        <w:rPr>
          <w:rFonts w:eastAsia="標楷體"/>
          <w:sz w:val="28"/>
          <w:szCs w:val="28"/>
        </w:rPr>
        <w:t>/</w:t>
      </w:r>
      <w:r w:rsidRPr="00D55DC6">
        <w:rPr>
          <w:rFonts w:eastAsia="標楷體"/>
          <w:sz w:val="28"/>
          <w:szCs w:val="28"/>
        </w:rPr>
        <w:t>三仙台系統</w:t>
      </w:r>
      <w:r w:rsidRPr="00D55DC6">
        <w:rPr>
          <w:rFonts w:eastAsia="標楷體"/>
          <w:sz w:val="28"/>
          <w:szCs w:val="28"/>
        </w:rPr>
        <w:t>—</w:t>
      </w:r>
      <w:r w:rsidRPr="00D55DC6">
        <w:rPr>
          <w:rFonts w:eastAsia="標楷體"/>
          <w:sz w:val="28"/>
          <w:szCs w:val="28"/>
        </w:rPr>
        <w:t>遊客中心暨部分開放空間太陽能光電系統種電計畫、石梯</w:t>
      </w:r>
      <w:r w:rsidRPr="00D55DC6">
        <w:rPr>
          <w:rFonts w:eastAsia="標楷體"/>
          <w:sz w:val="28"/>
          <w:szCs w:val="28"/>
        </w:rPr>
        <w:t>/</w:t>
      </w:r>
      <w:r w:rsidRPr="00D55DC6">
        <w:rPr>
          <w:rFonts w:eastAsia="標楷體"/>
          <w:sz w:val="28"/>
          <w:szCs w:val="28"/>
        </w:rPr>
        <w:t>秀姑巒系統</w:t>
      </w:r>
      <w:r w:rsidRPr="00D55DC6">
        <w:rPr>
          <w:rFonts w:eastAsia="標楷體"/>
          <w:sz w:val="28"/>
          <w:szCs w:val="28"/>
        </w:rPr>
        <w:t>—</w:t>
      </w:r>
      <w:r w:rsidRPr="00D55DC6">
        <w:rPr>
          <w:rFonts w:eastAsia="標楷體"/>
          <w:sz w:val="28"/>
          <w:szCs w:val="28"/>
        </w:rPr>
        <w:t>遊客中心暨部分開放空間太陽能光電系統種電計畫。</w:t>
      </w:r>
    </w:p>
    <w:p w:rsidR="00682D08" w:rsidRPr="00D55DC6" w:rsidRDefault="00682D08" w:rsidP="00682D08">
      <w:pPr>
        <w:pStyle w:val="af2"/>
        <w:snapToGrid w:val="0"/>
        <w:spacing w:line="460" w:lineRule="exact"/>
        <w:ind w:leftChars="355" w:left="1561" w:hanging="709"/>
        <w:jc w:val="both"/>
        <w:rPr>
          <w:rFonts w:eastAsia="標楷體"/>
          <w:sz w:val="28"/>
          <w:szCs w:val="28"/>
        </w:rPr>
      </w:pPr>
      <w:r w:rsidRPr="00D55DC6">
        <w:rPr>
          <w:rFonts w:eastAsia="標楷體"/>
          <w:b/>
          <w:sz w:val="28"/>
          <w:szCs w:val="28"/>
        </w:rPr>
        <w:t xml:space="preserve">4-2. </w:t>
      </w:r>
      <w:r w:rsidRPr="00D55DC6">
        <w:rPr>
          <w:rFonts w:eastAsia="標楷體"/>
          <w:b/>
          <w:sz w:val="28"/>
          <w:szCs w:val="28"/>
        </w:rPr>
        <w:t>國內觀光景點建設</w:t>
      </w:r>
      <w:r w:rsidRPr="00D55DC6">
        <w:rPr>
          <w:rFonts w:eastAsia="標楷體"/>
          <w:sz w:val="28"/>
          <w:szCs w:val="28"/>
        </w:rPr>
        <w:t>磯崎</w:t>
      </w:r>
      <w:r w:rsidRPr="00D55DC6">
        <w:rPr>
          <w:rFonts w:eastAsia="標楷體"/>
          <w:sz w:val="28"/>
          <w:szCs w:val="28"/>
        </w:rPr>
        <w:t>/</w:t>
      </w:r>
      <w:r w:rsidRPr="00D55DC6">
        <w:rPr>
          <w:rFonts w:eastAsia="標楷體"/>
          <w:sz w:val="28"/>
          <w:szCs w:val="28"/>
        </w:rPr>
        <w:t>鹽寮系統</w:t>
      </w:r>
      <w:r w:rsidRPr="00D55DC6">
        <w:rPr>
          <w:rFonts w:eastAsia="標楷體"/>
          <w:sz w:val="28"/>
          <w:szCs w:val="28"/>
        </w:rPr>
        <w:t>—</w:t>
      </w:r>
      <w:r w:rsidRPr="00D55DC6">
        <w:rPr>
          <w:rFonts w:eastAsia="標楷體"/>
          <w:sz w:val="28"/>
          <w:szCs w:val="28"/>
        </w:rPr>
        <w:t>磯崎周邊地區環境整備。</w:t>
      </w:r>
    </w:p>
    <w:p w:rsidR="00A11435" w:rsidRPr="00D55DC6" w:rsidRDefault="00A11435" w:rsidP="00682D08">
      <w:pPr>
        <w:pStyle w:val="af2"/>
        <w:snapToGrid w:val="0"/>
        <w:spacing w:line="460" w:lineRule="exact"/>
        <w:ind w:leftChars="355" w:left="1561" w:hanging="709"/>
        <w:jc w:val="both"/>
        <w:rPr>
          <w:rFonts w:eastAsia="標楷體"/>
          <w:sz w:val="28"/>
          <w:szCs w:val="28"/>
        </w:rPr>
      </w:pPr>
    </w:p>
    <w:p w:rsidR="00682D08" w:rsidRPr="00D55DC6" w:rsidRDefault="00682D08" w:rsidP="00682D08">
      <w:pPr>
        <w:pStyle w:val="a"/>
        <w:ind w:left="709" w:hanging="709"/>
        <w:rPr>
          <w:b/>
        </w:rPr>
      </w:pPr>
      <w:bookmarkStart w:id="168" w:name="_Toc407181727"/>
      <w:r w:rsidRPr="00D55DC6">
        <w:rPr>
          <w:b/>
        </w:rPr>
        <w:t>期程與資源需求</w:t>
      </w:r>
      <w:bookmarkEnd w:id="168"/>
    </w:p>
    <w:p w:rsidR="00682D08" w:rsidRPr="00D55DC6" w:rsidRDefault="00682D08" w:rsidP="004865C1">
      <w:pPr>
        <w:pStyle w:val="af2"/>
        <w:numPr>
          <w:ilvl w:val="0"/>
          <w:numId w:val="182"/>
        </w:numPr>
        <w:snapToGrid w:val="0"/>
        <w:spacing w:line="460" w:lineRule="exact"/>
        <w:ind w:leftChars="0"/>
        <w:jc w:val="both"/>
        <w:rPr>
          <w:rFonts w:eastAsia="標楷體"/>
          <w:b/>
          <w:sz w:val="28"/>
          <w:szCs w:val="28"/>
        </w:rPr>
      </w:pPr>
      <w:r w:rsidRPr="00D55DC6">
        <w:rPr>
          <w:rFonts w:eastAsia="標楷體"/>
          <w:b/>
          <w:sz w:val="28"/>
          <w:szCs w:val="28"/>
        </w:rPr>
        <w:t>計畫期程</w:t>
      </w:r>
    </w:p>
    <w:p w:rsidR="00682D08" w:rsidRPr="00D55DC6" w:rsidRDefault="00682D08" w:rsidP="00682D08">
      <w:pPr>
        <w:pStyle w:val="af2"/>
        <w:snapToGrid w:val="0"/>
        <w:spacing w:line="460" w:lineRule="exact"/>
        <w:ind w:leftChars="0" w:left="864"/>
        <w:jc w:val="both"/>
        <w:rPr>
          <w:rFonts w:eastAsia="標楷體"/>
          <w:sz w:val="28"/>
          <w:szCs w:val="28"/>
        </w:rPr>
      </w:pPr>
      <w:r w:rsidRPr="00D55DC6">
        <w:rPr>
          <w:rFonts w:eastAsia="標楷體"/>
          <w:sz w:val="28"/>
          <w:szCs w:val="28"/>
        </w:rPr>
        <w:lastRenderedPageBreak/>
        <w:t>自</w:t>
      </w:r>
      <w:r w:rsidRPr="00D55DC6">
        <w:rPr>
          <w:rFonts w:eastAsia="標楷體"/>
          <w:sz w:val="28"/>
          <w:szCs w:val="28"/>
        </w:rPr>
        <w:t>105</w:t>
      </w:r>
      <w:r w:rsidRPr="00D55DC6">
        <w:rPr>
          <w:rFonts w:eastAsia="標楷體"/>
          <w:sz w:val="28"/>
          <w:szCs w:val="28"/>
        </w:rPr>
        <w:t>年至</w:t>
      </w:r>
      <w:r w:rsidRPr="00D55DC6">
        <w:rPr>
          <w:rFonts w:eastAsia="標楷體"/>
          <w:sz w:val="28"/>
          <w:szCs w:val="28"/>
        </w:rPr>
        <w:t>108</w:t>
      </w:r>
      <w:r w:rsidRPr="00D55DC6">
        <w:rPr>
          <w:rFonts w:eastAsia="標楷體"/>
          <w:sz w:val="28"/>
          <w:szCs w:val="28"/>
        </w:rPr>
        <w:t>年。</w:t>
      </w:r>
    </w:p>
    <w:p w:rsidR="00682D08" w:rsidRPr="00D55DC6" w:rsidRDefault="00682D08" w:rsidP="004865C1">
      <w:pPr>
        <w:pStyle w:val="af2"/>
        <w:numPr>
          <w:ilvl w:val="0"/>
          <w:numId w:val="182"/>
        </w:numPr>
        <w:snapToGrid w:val="0"/>
        <w:spacing w:line="460" w:lineRule="exact"/>
        <w:ind w:leftChars="0"/>
        <w:jc w:val="both"/>
        <w:rPr>
          <w:rFonts w:eastAsia="標楷體"/>
          <w:b/>
          <w:sz w:val="28"/>
          <w:szCs w:val="28"/>
        </w:rPr>
      </w:pPr>
      <w:r w:rsidRPr="00D55DC6">
        <w:rPr>
          <w:rFonts w:eastAsia="標楷體"/>
          <w:b/>
          <w:sz w:val="28"/>
          <w:szCs w:val="28"/>
        </w:rPr>
        <w:t>經費需求</w:t>
      </w:r>
      <w:r w:rsidRPr="00D55DC6">
        <w:rPr>
          <w:rFonts w:eastAsia="標楷體"/>
          <w:b/>
          <w:sz w:val="28"/>
          <w:szCs w:val="28"/>
        </w:rPr>
        <w:t>(</w:t>
      </w:r>
      <w:r w:rsidRPr="00D55DC6">
        <w:rPr>
          <w:rFonts w:eastAsia="標楷體"/>
          <w:b/>
          <w:sz w:val="28"/>
          <w:szCs w:val="28"/>
        </w:rPr>
        <w:t>含分年經費</w:t>
      </w:r>
      <w:r w:rsidRPr="00D55DC6">
        <w:rPr>
          <w:rFonts w:eastAsia="標楷體"/>
          <w:b/>
          <w:sz w:val="28"/>
          <w:szCs w:val="28"/>
        </w:rPr>
        <w:t>)</w:t>
      </w:r>
      <w:r w:rsidRPr="00D55DC6">
        <w:rPr>
          <w:rFonts w:eastAsia="標楷體"/>
          <w:b/>
          <w:sz w:val="28"/>
          <w:szCs w:val="28"/>
        </w:rPr>
        <w:t>及與中程歲出概算額度配合情形</w:t>
      </w:r>
    </w:p>
    <w:p w:rsidR="00486FAE" w:rsidRPr="00D55DC6" w:rsidRDefault="00486FAE" w:rsidP="00486FAE">
      <w:pPr>
        <w:pStyle w:val="af2"/>
        <w:spacing w:line="460" w:lineRule="exact"/>
        <w:ind w:leftChars="0" w:left="864"/>
        <w:jc w:val="both"/>
        <w:rPr>
          <w:rFonts w:eastAsia="標楷體"/>
          <w:sz w:val="28"/>
          <w:szCs w:val="28"/>
        </w:rPr>
      </w:pPr>
      <w:r w:rsidRPr="00D55DC6">
        <w:rPr>
          <w:rFonts w:eastAsia="標楷體"/>
          <w:sz w:val="28"/>
          <w:szCs w:val="28"/>
        </w:rPr>
        <w:t>本計畫</w:t>
      </w:r>
      <w:r w:rsidR="00D03EE9" w:rsidRPr="00D55DC6">
        <w:rPr>
          <w:rFonts w:eastAsia="標楷體"/>
          <w:sz w:val="28"/>
          <w:szCs w:val="28"/>
        </w:rPr>
        <w:t>總經費為</w:t>
      </w:r>
      <w:r w:rsidR="00D03EE9" w:rsidRPr="00D55DC6">
        <w:rPr>
          <w:rFonts w:eastAsia="標楷體"/>
          <w:sz w:val="28"/>
          <w:szCs w:val="28"/>
        </w:rPr>
        <w:t>9.2</w:t>
      </w:r>
      <w:r w:rsidR="00D03EE9" w:rsidRPr="00D55DC6">
        <w:rPr>
          <w:rFonts w:eastAsia="標楷體"/>
          <w:sz w:val="28"/>
          <w:szCs w:val="28"/>
        </w:rPr>
        <w:t>億元，</w:t>
      </w:r>
      <w:r w:rsidRPr="00D55DC6">
        <w:rPr>
          <w:rFonts w:eastAsia="標楷體"/>
          <w:sz w:val="28"/>
          <w:szCs w:val="28"/>
        </w:rPr>
        <w:t>經費需求（含分年經費）係與中程歲出概算額度相符，分年投資重點及經費需求如下：</w:t>
      </w:r>
      <w:r w:rsidRPr="00D55DC6">
        <w:rPr>
          <w:rFonts w:eastAsia="標楷體"/>
          <w:sz w:val="28"/>
          <w:szCs w:val="28"/>
        </w:rPr>
        <w:t xml:space="preserve"> </w:t>
      </w:r>
    </w:p>
    <w:p w:rsidR="00D866CC" w:rsidRPr="00D55DC6" w:rsidRDefault="00486FAE" w:rsidP="00486FAE">
      <w:pPr>
        <w:snapToGrid w:val="0"/>
        <w:spacing w:line="460" w:lineRule="exact"/>
        <w:ind w:leftChars="354" w:left="850"/>
        <w:jc w:val="right"/>
        <w:rPr>
          <w:rFonts w:eastAsia="標楷體"/>
          <w:sz w:val="28"/>
          <w:szCs w:val="28"/>
        </w:rPr>
      </w:pPr>
      <w:r w:rsidRPr="00D55DC6">
        <w:rPr>
          <w:rFonts w:eastAsia="標楷體"/>
          <w:sz w:val="28"/>
          <w:szCs w:val="28"/>
        </w:rPr>
        <w:t>（單位：億元）</w:t>
      </w:r>
    </w:p>
    <w:tbl>
      <w:tblPr>
        <w:tblpPr w:leftFromText="180" w:rightFromText="180" w:vertAnchor="text" w:tblpX="-256" w:tblpY="30"/>
        <w:tblW w:w="10360" w:type="dxa"/>
        <w:tblCellMar>
          <w:left w:w="28" w:type="dxa"/>
          <w:right w:w="28" w:type="dxa"/>
        </w:tblCellMar>
        <w:tblLook w:val="00A0" w:firstRow="1" w:lastRow="0" w:firstColumn="1" w:lastColumn="0" w:noHBand="0" w:noVBand="0"/>
      </w:tblPr>
      <w:tblGrid>
        <w:gridCol w:w="400"/>
        <w:gridCol w:w="904"/>
        <w:gridCol w:w="1096"/>
        <w:gridCol w:w="2448"/>
        <w:gridCol w:w="708"/>
        <w:gridCol w:w="708"/>
        <w:gridCol w:w="708"/>
        <w:gridCol w:w="707"/>
        <w:gridCol w:w="898"/>
        <w:gridCol w:w="1783"/>
      </w:tblGrid>
      <w:tr w:rsidR="001D0350" w:rsidRPr="00D55DC6" w:rsidTr="00D866CC">
        <w:trPr>
          <w:trHeight w:val="345"/>
          <w:tblHeader/>
        </w:trPr>
        <w:tc>
          <w:tcPr>
            <w:tcW w:w="400"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682D08" w:rsidRPr="00D55DC6" w:rsidRDefault="00682D08" w:rsidP="00682D08">
            <w:pPr>
              <w:widowControl/>
              <w:spacing w:line="0" w:lineRule="atLeast"/>
              <w:jc w:val="center"/>
              <w:rPr>
                <w:rFonts w:eastAsia="標楷體"/>
                <w:kern w:val="0"/>
              </w:rPr>
            </w:pPr>
            <w:r w:rsidRPr="00D55DC6">
              <w:rPr>
                <w:rFonts w:eastAsia="標楷體"/>
                <w:kern w:val="0"/>
              </w:rPr>
              <w:t>科目別</w:t>
            </w:r>
          </w:p>
        </w:tc>
        <w:tc>
          <w:tcPr>
            <w:tcW w:w="904" w:type="dxa"/>
            <w:tcBorders>
              <w:top w:val="single" w:sz="8" w:space="0" w:color="auto"/>
              <w:left w:val="nil"/>
              <w:bottom w:val="single" w:sz="8" w:space="0" w:color="auto"/>
              <w:right w:val="single" w:sz="8" w:space="0" w:color="auto"/>
            </w:tcBorders>
            <w:shd w:val="clear" w:color="000000" w:fill="FFFF99"/>
            <w:vAlign w:val="center"/>
          </w:tcPr>
          <w:p w:rsidR="00682D08" w:rsidRPr="00D55DC6" w:rsidRDefault="00682D08" w:rsidP="00682D08">
            <w:pPr>
              <w:widowControl/>
              <w:spacing w:line="0" w:lineRule="atLeast"/>
              <w:jc w:val="center"/>
              <w:rPr>
                <w:rFonts w:eastAsia="標楷體"/>
                <w:kern w:val="0"/>
              </w:rPr>
            </w:pPr>
            <w:r w:rsidRPr="00D55DC6">
              <w:rPr>
                <w:rFonts w:eastAsia="標楷體"/>
                <w:kern w:val="0"/>
                <w:szCs w:val="22"/>
              </w:rPr>
              <w:t>1</w:t>
            </w:r>
            <w:r w:rsidRPr="00D55DC6">
              <w:rPr>
                <w:rFonts w:eastAsia="標楷體"/>
                <w:kern w:val="0"/>
                <w:szCs w:val="22"/>
              </w:rPr>
              <w:t>級</w:t>
            </w:r>
          </w:p>
        </w:tc>
        <w:tc>
          <w:tcPr>
            <w:tcW w:w="1096" w:type="dxa"/>
            <w:tcBorders>
              <w:top w:val="single" w:sz="8" w:space="0" w:color="auto"/>
              <w:left w:val="nil"/>
              <w:bottom w:val="single" w:sz="8" w:space="0" w:color="auto"/>
              <w:right w:val="single" w:sz="8" w:space="0" w:color="auto"/>
            </w:tcBorders>
            <w:shd w:val="clear" w:color="000000" w:fill="FFFF99"/>
            <w:vAlign w:val="center"/>
          </w:tcPr>
          <w:p w:rsidR="00682D08" w:rsidRPr="00D55DC6" w:rsidRDefault="00682D08" w:rsidP="00682D08">
            <w:pPr>
              <w:widowControl/>
              <w:spacing w:line="0" w:lineRule="atLeast"/>
              <w:jc w:val="center"/>
              <w:rPr>
                <w:rFonts w:eastAsia="標楷體"/>
                <w:kern w:val="0"/>
              </w:rPr>
            </w:pPr>
            <w:r w:rsidRPr="00D55DC6">
              <w:rPr>
                <w:rFonts w:eastAsia="標楷體"/>
                <w:kern w:val="0"/>
                <w:szCs w:val="22"/>
              </w:rPr>
              <w:t>2</w:t>
            </w:r>
            <w:r w:rsidRPr="00D55DC6">
              <w:rPr>
                <w:rFonts w:eastAsia="標楷體"/>
                <w:kern w:val="0"/>
                <w:szCs w:val="22"/>
              </w:rPr>
              <w:t>級</w:t>
            </w:r>
          </w:p>
        </w:tc>
        <w:tc>
          <w:tcPr>
            <w:tcW w:w="2448"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682D08" w:rsidRPr="00D55DC6" w:rsidRDefault="00682D08" w:rsidP="00682D08">
            <w:pPr>
              <w:widowControl/>
              <w:spacing w:line="0" w:lineRule="atLeast"/>
              <w:jc w:val="center"/>
              <w:rPr>
                <w:rFonts w:eastAsia="標楷體"/>
                <w:kern w:val="0"/>
              </w:rPr>
            </w:pPr>
            <w:r w:rsidRPr="00D55DC6">
              <w:rPr>
                <w:rFonts w:eastAsia="標楷體"/>
                <w:kern w:val="0"/>
                <w:szCs w:val="22"/>
              </w:rPr>
              <w:t>投資重點</w:t>
            </w:r>
          </w:p>
        </w:tc>
        <w:tc>
          <w:tcPr>
            <w:tcW w:w="708"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682D08" w:rsidRPr="00D55DC6" w:rsidRDefault="00682D08" w:rsidP="00682D08">
            <w:pPr>
              <w:widowControl/>
              <w:spacing w:line="0" w:lineRule="atLeast"/>
              <w:jc w:val="center"/>
              <w:rPr>
                <w:rFonts w:eastAsia="標楷體"/>
                <w:kern w:val="0"/>
              </w:rPr>
            </w:pPr>
            <w:r w:rsidRPr="00D55DC6">
              <w:rPr>
                <w:rFonts w:eastAsia="標楷體"/>
                <w:kern w:val="0"/>
                <w:szCs w:val="22"/>
              </w:rPr>
              <w:t>105</w:t>
            </w:r>
            <w:r w:rsidRPr="00D55DC6">
              <w:rPr>
                <w:rFonts w:eastAsia="標楷體"/>
                <w:kern w:val="0"/>
                <w:szCs w:val="22"/>
              </w:rPr>
              <w:t>年</w:t>
            </w:r>
          </w:p>
        </w:tc>
        <w:tc>
          <w:tcPr>
            <w:tcW w:w="708"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682D08" w:rsidRPr="00D55DC6" w:rsidRDefault="00682D08" w:rsidP="00682D08">
            <w:pPr>
              <w:widowControl/>
              <w:spacing w:line="0" w:lineRule="atLeast"/>
              <w:jc w:val="center"/>
              <w:rPr>
                <w:rFonts w:eastAsia="標楷體"/>
                <w:kern w:val="0"/>
              </w:rPr>
            </w:pPr>
            <w:r w:rsidRPr="00D55DC6">
              <w:rPr>
                <w:rFonts w:eastAsia="標楷體"/>
                <w:kern w:val="0"/>
                <w:szCs w:val="22"/>
              </w:rPr>
              <w:t>106</w:t>
            </w:r>
            <w:r w:rsidRPr="00D55DC6">
              <w:rPr>
                <w:rFonts w:eastAsia="標楷體"/>
                <w:kern w:val="0"/>
                <w:szCs w:val="22"/>
              </w:rPr>
              <w:t>年</w:t>
            </w:r>
          </w:p>
        </w:tc>
        <w:tc>
          <w:tcPr>
            <w:tcW w:w="708"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682D08" w:rsidRPr="00D55DC6" w:rsidRDefault="00682D08" w:rsidP="00682D08">
            <w:pPr>
              <w:widowControl/>
              <w:spacing w:line="0" w:lineRule="atLeast"/>
              <w:jc w:val="center"/>
              <w:rPr>
                <w:rFonts w:eastAsia="標楷體"/>
                <w:kern w:val="0"/>
              </w:rPr>
            </w:pPr>
            <w:r w:rsidRPr="00D55DC6">
              <w:rPr>
                <w:rFonts w:eastAsia="標楷體"/>
                <w:kern w:val="0"/>
                <w:szCs w:val="22"/>
              </w:rPr>
              <w:t>107</w:t>
            </w:r>
            <w:r w:rsidRPr="00D55DC6">
              <w:rPr>
                <w:rFonts w:eastAsia="標楷體"/>
                <w:kern w:val="0"/>
                <w:szCs w:val="22"/>
              </w:rPr>
              <w:t>年</w:t>
            </w:r>
          </w:p>
        </w:tc>
        <w:tc>
          <w:tcPr>
            <w:tcW w:w="707"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682D08" w:rsidRPr="00D55DC6" w:rsidRDefault="00682D08" w:rsidP="00682D08">
            <w:pPr>
              <w:widowControl/>
              <w:spacing w:line="0" w:lineRule="atLeast"/>
              <w:jc w:val="center"/>
              <w:rPr>
                <w:rFonts w:eastAsia="標楷體"/>
                <w:kern w:val="0"/>
              </w:rPr>
            </w:pPr>
            <w:r w:rsidRPr="00D55DC6">
              <w:rPr>
                <w:rFonts w:eastAsia="標楷體"/>
                <w:kern w:val="0"/>
                <w:szCs w:val="22"/>
              </w:rPr>
              <w:t>108</w:t>
            </w:r>
            <w:r w:rsidRPr="00D55DC6">
              <w:rPr>
                <w:rFonts w:eastAsia="標楷體"/>
                <w:kern w:val="0"/>
                <w:szCs w:val="22"/>
              </w:rPr>
              <w:t>年</w:t>
            </w:r>
          </w:p>
        </w:tc>
        <w:tc>
          <w:tcPr>
            <w:tcW w:w="898"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682D08" w:rsidRPr="00D55DC6" w:rsidRDefault="00682D08" w:rsidP="00682D08">
            <w:pPr>
              <w:widowControl/>
              <w:spacing w:line="0" w:lineRule="atLeast"/>
              <w:jc w:val="center"/>
              <w:rPr>
                <w:rFonts w:eastAsia="標楷體"/>
                <w:kern w:val="0"/>
                <w:szCs w:val="22"/>
              </w:rPr>
            </w:pPr>
            <w:r w:rsidRPr="00D55DC6">
              <w:rPr>
                <w:rFonts w:eastAsia="標楷體"/>
                <w:kern w:val="0"/>
                <w:szCs w:val="22"/>
              </w:rPr>
              <w:t>合計</w:t>
            </w:r>
          </w:p>
        </w:tc>
        <w:tc>
          <w:tcPr>
            <w:tcW w:w="1783"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682D08" w:rsidRPr="00D55DC6" w:rsidRDefault="00682D08" w:rsidP="00682D08">
            <w:pPr>
              <w:widowControl/>
              <w:spacing w:line="0" w:lineRule="atLeast"/>
              <w:jc w:val="center"/>
              <w:rPr>
                <w:rFonts w:eastAsia="標楷體"/>
                <w:kern w:val="0"/>
              </w:rPr>
            </w:pPr>
            <w:r w:rsidRPr="00D55DC6">
              <w:rPr>
                <w:rFonts w:eastAsia="標楷體"/>
                <w:kern w:val="0"/>
                <w:szCs w:val="22"/>
              </w:rPr>
              <w:t>工作內容</w:t>
            </w:r>
          </w:p>
        </w:tc>
      </w:tr>
      <w:tr w:rsidR="001D0350" w:rsidRPr="00D55DC6" w:rsidTr="00D866CC">
        <w:trPr>
          <w:trHeight w:val="227"/>
          <w:tblHeader/>
        </w:trPr>
        <w:tc>
          <w:tcPr>
            <w:tcW w:w="400" w:type="dxa"/>
            <w:vMerge/>
            <w:tcBorders>
              <w:top w:val="single" w:sz="8" w:space="0" w:color="auto"/>
              <w:left w:val="single" w:sz="8" w:space="0" w:color="auto"/>
              <w:bottom w:val="single" w:sz="8" w:space="0" w:color="auto"/>
              <w:right w:val="single" w:sz="8" w:space="0" w:color="auto"/>
            </w:tcBorders>
            <w:vAlign w:val="center"/>
          </w:tcPr>
          <w:p w:rsidR="00682D08" w:rsidRPr="00D55DC6" w:rsidRDefault="00682D08" w:rsidP="00682D08">
            <w:pPr>
              <w:widowControl/>
              <w:spacing w:line="0" w:lineRule="atLeast"/>
              <w:rPr>
                <w:rFonts w:eastAsia="標楷體"/>
                <w:kern w:val="0"/>
              </w:rPr>
            </w:pPr>
          </w:p>
        </w:tc>
        <w:tc>
          <w:tcPr>
            <w:tcW w:w="904" w:type="dxa"/>
            <w:tcBorders>
              <w:top w:val="nil"/>
              <w:left w:val="nil"/>
              <w:bottom w:val="single" w:sz="8" w:space="0" w:color="auto"/>
              <w:right w:val="single" w:sz="8" w:space="0" w:color="auto"/>
            </w:tcBorders>
            <w:shd w:val="clear" w:color="000000" w:fill="FFFF99"/>
            <w:vAlign w:val="center"/>
          </w:tcPr>
          <w:p w:rsidR="00682D08" w:rsidRPr="00D55DC6" w:rsidRDefault="00682D08" w:rsidP="00682D08">
            <w:pPr>
              <w:widowControl/>
              <w:spacing w:line="0" w:lineRule="atLeast"/>
              <w:jc w:val="center"/>
              <w:rPr>
                <w:rFonts w:eastAsia="標楷體"/>
                <w:kern w:val="0"/>
              </w:rPr>
            </w:pPr>
            <w:r w:rsidRPr="00D55DC6">
              <w:rPr>
                <w:rFonts w:eastAsia="標楷體"/>
                <w:kern w:val="0"/>
                <w:szCs w:val="22"/>
              </w:rPr>
              <w:t>用途別</w:t>
            </w:r>
          </w:p>
        </w:tc>
        <w:tc>
          <w:tcPr>
            <w:tcW w:w="1096" w:type="dxa"/>
            <w:tcBorders>
              <w:top w:val="nil"/>
              <w:left w:val="nil"/>
              <w:bottom w:val="single" w:sz="8" w:space="0" w:color="auto"/>
              <w:right w:val="single" w:sz="8" w:space="0" w:color="auto"/>
            </w:tcBorders>
            <w:shd w:val="clear" w:color="000000" w:fill="FFFF99"/>
            <w:vAlign w:val="center"/>
          </w:tcPr>
          <w:p w:rsidR="00682D08" w:rsidRPr="00D55DC6" w:rsidRDefault="00682D08" w:rsidP="00682D08">
            <w:pPr>
              <w:widowControl/>
              <w:spacing w:line="0" w:lineRule="atLeast"/>
              <w:jc w:val="center"/>
              <w:rPr>
                <w:rFonts w:eastAsia="標楷體"/>
                <w:kern w:val="0"/>
              </w:rPr>
            </w:pPr>
            <w:r w:rsidRPr="00D55DC6">
              <w:rPr>
                <w:rFonts w:eastAsia="標楷體"/>
                <w:kern w:val="0"/>
                <w:szCs w:val="22"/>
              </w:rPr>
              <w:t>用途別</w:t>
            </w:r>
          </w:p>
        </w:tc>
        <w:tc>
          <w:tcPr>
            <w:tcW w:w="2448" w:type="dxa"/>
            <w:vMerge/>
            <w:tcBorders>
              <w:top w:val="single" w:sz="8" w:space="0" w:color="auto"/>
              <w:left w:val="single" w:sz="8" w:space="0" w:color="auto"/>
              <w:bottom w:val="single" w:sz="8" w:space="0" w:color="auto"/>
              <w:right w:val="single" w:sz="8" w:space="0" w:color="auto"/>
            </w:tcBorders>
            <w:vAlign w:val="center"/>
          </w:tcPr>
          <w:p w:rsidR="00682D08" w:rsidRPr="00D55DC6" w:rsidRDefault="00682D08" w:rsidP="00682D08">
            <w:pPr>
              <w:widowControl/>
              <w:spacing w:line="0" w:lineRule="atLeast"/>
              <w:rPr>
                <w:rFonts w:eastAsia="標楷體"/>
                <w:kern w:val="0"/>
              </w:rPr>
            </w:pPr>
          </w:p>
        </w:tc>
        <w:tc>
          <w:tcPr>
            <w:tcW w:w="708" w:type="dxa"/>
            <w:vMerge/>
            <w:tcBorders>
              <w:top w:val="single" w:sz="8" w:space="0" w:color="auto"/>
              <w:left w:val="single" w:sz="8" w:space="0" w:color="auto"/>
              <w:bottom w:val="single" w:sz="8" w:space="0" w:color="000000"/>
              <w:right w:val="single" w:sz="8" w:space="0" w:color="auto"/>
            </w:tcBorders>
            <w:vAlign w:val="center"/>
          </w:tcPr>
          <w:p w:rsidR="00682D08" w:rsidRPr="00D55DC6" w:rsidRDefault="00682D08" w:rsidP="00682D08">
            <w:pPr>
              <w:widowControl/>
              <w:spacing w:line="0" w:lineRule="atLeast"/>
              <w:rPr>
                <w:rFonts w:eastAsia="標楷體"/>
                <w:kern w:val="0"/>
              </w:rPr>
            </w:pPr>
          </w:p>
        </w:tc>
        <w:tc>
          <w:tcPr>
            <w:tcW w:w="708" w:type="dxa"/>
            <w:vMerge/>
            <w:tcBorders>
              <w:top w:val="single" w:sz="8" w:space="0" w:color="auto"/>
              <w:left w:val="single" w:sz="8" w:space="0" w:color="auto"/>
              <w:bottom w:val="single" w:sz="8" w:space="0" w:color="000000"/>
              <w:right w:val="single" w:sz="8" w:space="0" w:color="auto"/>
            </w:tcBorders>
            <w:vAlign w:val="center"/>
          </w:tcPr>
          <w:p w:rsidR="00682D08" w:rsidRPr="00D55DC6" w:rsidRDefault="00682D08" w:rsidP="00682D08">
            <w:pPr>
              <w:widowControl/>
              <w:spacing w:line="0" w:lineRule="atLeast"/>
              <w:rPr>
                <w:rFonts w:eastAsia="標楷體"/>
                <w:kern w:val="0"/>
              </w:rPr>
            </w:pPr>
          </w:p>
        </w:tc>
        <w:tc>
          <w:tcPr>
            <w:tcW w:w="708" w:type="dxa"/>
            <w:vMerge/>
            <w:tcBorders>
              <w:top w:val="single" w:sz="8" w:space="0" w:color="auto"/>
              <w:left w:val="single" w:sz="8" w:space="0" w:color="auto"/>
              <w:bottom w:val="single" w:sz="8" w:space="0" w:color="000000"/>
              <w:right w:val="single" w:sz="8" w:space="0" w:color="auto"/>
            </w:tcBorders>
            <w:vAlign w:val="center"/>
          </w:tcPr>
          <w:p w:rsidR="00682D08" w:rsidRPr="00D55DC6" w:rsidRDefault="00682D08" w:rsidP="00682D08">
            <w:pPr>
              <w:widowControl/>
              <w:spacing w:line="0" w:lineRule="atLeast"/>
              <w:rPr>
                <w:rFonts w:eastAsia="標楷體"/>
                <w:kern w:val="0"/>
              </w:rPr>
            </w:pPr>
          </w:p>
        </w:tc>
        <w:tc>
          <w:tcPr>
            <w:tcW w:w="707" w:type="dxa"/>
            <w:vMerge/>
            <w:tcBorders>
              <w:top w:val="single" w:sz="8" w:space="0" w:color="auto"/>
              <w:left w:val="single" w:sz="8" w:space="0" w:color="auto"/>
              <w:bottom w:val="single" w:sz="8" w:space="0" w:color="000000"/>
              <w:right w:val="single" w:sz="8" w:space="0" w:color="auto"/>
            </w:tcBorders>
            <w:vAlign w:val="center"/>
          </w:tcPr>
          <w:p w:rsidR="00682D08" w:rsidRPr="00D55DC6" w:rsidRDefault="00682D08" w:rsidP="00682D08">
            <w:pPr>
              <w:widowControl/>
              <w:spacing w:line="0" w:lineRule="atLeast"/>
              <w:rPr>
                <w:rFonts w:eastAsia="標楷體"/>
                <w:kern w:val="0"/>
              </w:rPr>
            </w:pPr>
          </w:p>
        </w:tc>
        <w:tc>
          <w:tcPr>
            <w:tcW w:w="898" w:type="dxa"/>
            <w:vMerge/>
            <w:tcBorders>
              <w:top w:val="single" w:sz="8" w:space="0" w:color="auto"/>
              <w:left w:val="single" w:sz="8" w:space="0" w:color="auto"/>
              <w:bottom w:val="single" w:sz="8" w:space="0" w:color="000000"/>
              <w:right w:val="single" w:sz="8" w:space="0" w:color="auto"/>
            </w:tcBorders>
            <w:vAlign w:val="center"/>
          </w:tcPr>
          <w:p w:rsidR="00682D08" w:rsidRPr="00D55DC6" w:rsidRDefault="00682D08" w:rsidP="00682D08">
            <w:pPr>
              <w:widowControl/>
              <w:spacing w:line="0" w:lineRule="atLeast"/>
              <w:rPr>
                <w:rFonts w:eastAsia="標楷體"/>
                <w:kern w:val="0"/>
              </w:rPr>
            </w:pPr>
          </w:p>
        </w:tc>
        <w:tc>
          <w:tcPr>
            <w:tcW w:w="1783" w:type="dxa"/>
            <w:vMerge/>
            <w:tcBorders>
              <w:top w:val="single" w:sz="8" w:space="0" w:color="auto"/>
              <w:left w:val="single" w:sz="8" w:space="0" w:color="auto"/>
              <w:bottom w:val="single" w:sz="8" w:space="0" w:color="auto"/>
              <w:right w:val="single" w:sz="8" w:space="0" w:color="auto"/>
            </w:tcBorders>
            <w:vAlign w:val="center"/>
          </w:tcPr>
          <w:p w:rsidR="00682D08" w:rsidRPr="00D55DC6" w:rsidRDefault="00682D08" w:rsidP="00682D08">
            <w:pPr>
              <w:widowControl/>
              <w:spacing w:line="0" w:lineRule="atLeast"/>
              <w:rPr>
                <w:rFonts w:eastAsia="標楷體"/>
                <w:kern w:val="0"/>
              </w:rPr>
            </w:pPr>
          </w:p>
        </w:tc>
      </w:tr>
      <w:tr w:rsidR="001D0350" w:rsidRPr="00D55DC6" w:rsidTr="00D866CC">
        <w:trPr>
          <w:trHeight w:val="619"/>
        </w:trPr>
        <w:tc>
          <w:tcPr>
            <w:tcW w:w="400" w:type="dxa"/>
            <w:vMerge w:val="restart"/>
            <w:tcBorders>
              <w:top w:val="nil"/>
              <w:left w:val="single" w:sz="8" w:space="0" w:color="auto"/>
              <w:bottom w:val="single" w:sz="8" w:space="0" w:color="auto"/>
              <w:right w:val="single" w:sz="8" w:space="0" w:color="auto"/>
            </w:tcBorders>
            <w:shd w:val="clear" w:color="000000" w:fill="CCFFFF"/>
          </w:tcPr>
          <w:p w:rsidR="00682D08" w:rsidRPr="00D55DC6" w:rsidRDefault="00682D08" w:rsidP="00682D08">
            <w:pPr>
              <w:widowControl/>
              <w:spacing w:line="0" w:lineRule="atLeast"/>
              <w:jc w:val="center"/>
              <w:rPr>
                <w:rFonts w:eastAsia="標楷體"/>
                <w:kern w:val="0"/>
              </w:rPr>
            </w:pPr>
            <w:r w:rsidRPr="00D55DC6">
              <w:rPr>
                <w:rFonts w:eastAsia="標楷體"/>
                <w:kern w:val="0"/>
                <w:szCs w:val="22"/>
              </w:rPr>
              <w:t>經常門</w:t>
            </w:r>
          </w:p>
        </w:tc>
        <w:tc>
          <w:tcPr>
            <w:tcW w:w="904" w:type="dxa"/>
            <w:vMerge w:val="restart"/>
            <w:tcBorders>
              <w:top w:val="nil"/>
              <w:left w:val="single" w:sz="8" w:space="0" w:color="auto"/>
              <w:bottom w:val="single" w:sz="8" w:space="0" w:color="auto"/>
              <w:right w:val="single" w:sz="8" w:space="0" w:color="auto"/>
            </w:tcBorders>
            <w:shd w:val="clear" w:color="000000" w:fill="CCFFFF"/>
          </w:tcPr>
          <w:p w:rsidR="00682D08" w:rsidRPr="00D55DC6" w:rsidRDefault="00682D08" w:rsidP="00682D08">
            <w:pPr>
              <w:widowControl/>
              <w:spacing w:line="0" w:lineRule="atLeast"/>
              <w:jc w:val="center"/>
              <w:rPr>
                <w:rFonts w:eastAsia="標楷體"/>
                <w:kern w:val="0"/>
              </w:rPr>
            </w:pPr>
            <w:r w:rsidRPr="00D55DC6">
              <w:rPr>
                <w:rFonts w:eastAsia="標楷體"/>
                <w:kern w:val="0"/>
                <w:szCs w:val="22"/>
              </w:rPr>
              <w:t>0200</w:t>
            </w:r>
            <w:r w:rsidRPr="00D55DC6">
              <w:rPr>
                <w:rFonts w:eastAsia="標楷體"/>
                <w:kern w:val="0"/>
                <w:szCs w:val="22"/>
              </w:rPr>
              <w:t>業務費</w:t>
            </w:r>
          </w:p>
        </w:tc>
        <w:tc>
          <w:tcPr>
            <w:tcW w:w="1096" w:type="dxa"/>
            <w:vMerge w:val="restart"/>
            <w:tcBorders>
              <w:top w:val="nil"/>
              <w:left w:val="single" w:sz="8" w:space="0" w:color="auto"/>
              <w:bottom w:val="single" w:sz="8" w:space="0" w:color="auto"/>
              <w:right w:val="single" w:sz="8" w:space="0" w:color="auto"/>
            </w:tcBorders>
            <w:shd w:val="clear" w:color="000000" w:fill="CCFFFF"/>
          </w:tcPr>
          <w:p w:rsidR="00682D08" w:rsidRPr="00D55DC6" w:rsidRDefault="00682D08" w:rsidP="00682D08">
            <w:pPr>
              <w:widowControl/>
              <w:spacing w:line="0" w:lineRule="atLeast"/>
              <w:rPr>
                <w:rFonts w:eastAsia="標楷體"/>
                <w:kern w:val="0"/>
              </w:rPr>
            </w:pPr>
            <w:r w:rsidRPr="00D55DC6">
              <w:rPr>
                <w:rFonts w:eastAsia="標楷體"/>
                <w:kern w:val="0"/>
                <w:szCs w:val="22"/>
              </w:rPr>
              <w:t>0284</w:t>
            </w:r>
            <w:r w:rsidRPr="00D55DC6">
              <w:rPr>
                <w:rFonts w:eastAsia="標楷體"/>
                <w:kern w:val="0"/>
                <w:szCs w:val="22"/>
              </w:rPr>
              <w:t>設施及機械設備養護費</w:t>
            </w:r>
          </w:p>
        </w:tc>
        <w:tc>
          <w:tcPr>
            <w:tcW w:w="2448" w:type="dxa"/>
            <w:tcBorders>
              <w:top w:val="nil"/>
              <w:left w:val="nil"/>
              <w:bottom w:val="single" w:sz="8" w:space="0" w:color="auto"/>
              <w:right w:val="single" w:sz="8" w:space="0" w:color="auto"/>
            </w:tcBorders>
            <w:shd w:val="clear" w:color="000000" w:fill="CCFFFF"/>
          </w:tcPr>
          <w:p w:rsidR="00682D08" w:rsidRPr="00D55DC6" w:rsidRDefault="00682D08" w:rsidP="00682D08">
            <w:pPr>
              <w:widowControl/>
              <w:spacing w:line="0" w:lineRule="atLeast"/>
              <w:ind w:left="281" w:hangingChars="117" w:hanging="281"/>
              <w:rPr>
                <w:rFonts w:eastAsia="標楷體"/>
                <w:b/>
                <w:bCs/>
                <w:kern w:val="0"/>
              </w:rPr>
            </w:pPr>
            <w:r w:rsidRPr="00D55DC6">
              <w:rPr>
                <w:rFonts w:eastAsia="標楷體"/>
                <w:b/>
                <w:bCs/>
                <w:kern w:val="0"/>
                <w:szCs w:val="22"/>
              </w:rPr>
              <w:t>1.</w:t>
            </w:r>
            <w:r w:rsidRPr="00D55DC6">
              <w:rPr>
                <w:rFonts w:eastAsia="標楷體"/>
                <w:b/>
                <w:bCs/>
                <w:kern w:val="0"/>
                <w:szCs w:val="22"/>
              </w:rPr>
              <w:t>綠美化養護及設施零星修護</w:t>
            </w:r>
          </w:p>
        </w:tc>
        <w:tc>
          <w:tcPr>
            <w:tcW w:w="708" w:type="dxa"/>
            <w:tcBorders>
              <w:top w:val="nil"/>
              <w:left w:val="nil"/>
              <w:bottom w:val="single" w:sz="8" w:space="0" w:color="auto"/>
              <w:right w:val="single" w:sz="8" w:space="0" w:color="auto"/>
            </w:tcBorders>
            <w:shd w:val="clear" w:color="000000" w:fill="CCFFFF"/>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szCs w:val="22"/>
              </w:rPr>
              <w:t xml:space="preserve">0.200 </w:t>
            </w:r>
          </w:p>
        </w:tc>
        <w:tc>
          <w:tcPr>
            <w:tcW w:w="708" w:type="dxa"/>
            <w:tcBorders>
              <w:top w:val="nil"/>
              <w:left w:val="nil"/>
              <w:bottom w:val="single" w:sz="8" w:space="0" w:color="auto"/>
              <w:right w:val="single" w:sz="8" w:space="0" w:color="auto"/>
            </w:tcBorders>
            <w:shd w:val="clear" w:color="000000" w:fill="CCFFFF"/>
          </w:tcPr>
          <w:p w:rsidR="00682D08" w:rsidRPr="00D55DC6" w:rsidRDefault="00682D08" w:rsidP="00682D08">
            <w:pPr>
              <w:widowControl/>
              <w:spacing w:line="0" w:lineRule="atLeast"/>
              <w:jc w:val="right"/>
              <w:rPr>
                <w:rFonts w:eastAsia="標楷體"/>
                <w:b/>
                <w:bCs/>
                <w:kern w:val="0"/>
                <w:szCs w:val="22"/>
              </w:rPr>
            </w:pPr>
            <w:r w:rsidRPr="00D55DC6">
              <w:rPr>
                <w:rFonts w:eastAsia="標楷體"/>
                <w:b/>
                <w:bCs/>
                <w:kern w:val="0"/>
                <w:szCs w:val="22"/>
              </w:rPr>
              <w:t xml:space="preserve">0.200 </w:t>
            </w:r>
          </w:p>
        </w:tc>
        <w:tc>
          <w:tcPr>
            <w:tcW w:w="708" w:type="dxa"/>
            <w:tcBorders>
              <w:top w:val="nil"/>
              <w:left w:val="nil"/>
              <w:bottom w:val="single" w:sz="8" w:space="0" w:color="auto"/>
              <w:right w:val="single" w:sz="8" w:space="0" w:color="auto"/>
            </w:tcBorders>
            <w:shd w:val="clear" w:color="000000" w:fill="CCFFFF"/>
          </w:tcPr>
          <w:p w:rsidR="00682D08" w:rsidRPr="00D55DC6" w:rsidRDefault="00682D08" w:rsidP="00682D08">
            <w:pPr>
              <w:widowControl/>
              <w:spacing w:line="0" w:lineRule="atLeast"/>
              <w:jc w:val="right"/>
              <w:rPr>
                <w:rFonts w:eastAsia="標楷體"/>
                <w:b/>
                <w:bCs/>
                <w:kern w:val="0"/>
                <w:szCs w:val="22"/>
              </w:rPr>
            </w:pPr>
            <w:r w:rsidRPr="00D55DC6">
              <w:rPr>
                <w:rFonts w:eastAsia="標楷體"/>
                <w:b/>
                <w:bCs/>
                <w:kern w:val="0"/>
                <w:szCs w:val="22"/>
              </w:rPr>
              <w:t xml:space="preserve">0.200 </w:t>
            </w:r>
          </w:p>
        </w:tc>
        <w:tc>
          <w:tcPr>
            <w:tcW w:w="707" w:type="dxa"/>
            <w:tcBorders>
              <w:top w:val="nil"/>
              <w:left w:val="nil"/>
              <w:bottom w:val="single" w:sz="8" w:space="0" w:color="auto"/>
              <w:right w:val="single" w:sz="8" w:space="0" w:color="auto"/>
            </w:tcBorders>
            <w:shd w:val="clear" w:color="000000" w:fill="CCFFFF"/>
          </w:tcPr>
          <w:p w:rsidR="00682D08" w:rsidRPr="00D55DC6" w:rsidRDefault="00682D08" w:rsidP="00682D08">
            <w:pPr>
              <w:widowControl/>
              <w:spacing w:line="0" w:lineRule="atLeast"/>
              <w:jc w:val="right"/>
              <w:rPr>
                <w:rFonts w:eastAsia="標楷體"/>
                <w:b/>
                <w:bCs/>
                <w:kern w:val="0"/>
                <w:szCs w:val="22"/>
              </w:rPr>
            </w:pPr>
            <w:r w:rsidRPr="00D55DC6">
              <w:rPr>
                <w:rFonts w:eastAsia="標楷體"/>
                <w:b/>
                <w:bCs/>
                <w:kern w:val="0"/>
                <w:szCs w:val="22"/>
              </w:rPr>
              <w:t xml:space="preserve">0.200 </w:t>
            </w:r>
          </w:p>
        </w:tc>
        <w:tc>
          <w:tcPr>
            <w:tcW w:w="898" w:type="dxa"/>
            <w:tcBorders>
              <w:top w:val="nil"/>
              <w:left w:val="nil"/>
              <w:bottom w:val="single" w:sz="8" w:space="0" w:color="auto"/>
              <w:right w:val="single" w:sz="8" w:space="0" w:color="auto"/>
            </w:tcBorders>
            <w:shd w:val="clear" w:color="000000" w:fill="CCFFFF"/>
          </w:tcPr>
          <w:p w:rsidR="00682D08" w:rsidRPr="00D55DC6" w:rsidRDefault="00682D08" w:rsidP="00682D08">
            <w:pPr>
              <w:widowControl/>
              <w:spacing w:line="0" w:lineRule="atLeast"/>
              <w:ind w:right="240"/>
              <w:jc w:val="right"/>
              <w:rPr>
                <w:rFonts w:eastAsia="標楷體"/>
                <w:b/>
                <w:bCs/>
                <w:kern w:val="0"/>
                <w:szCs w:val="22"/>
              </w:rPr>
            </w:pPr>
            <w:r w:rsidRPr="00D55DC6">
              <w:rPr>
                <w:rFonts w:eastAsia="標楷體"/>
                <w:b/>
                <w:bCs/>
                <w:kern w:val="0"/>
                <w:szCs w:val="22"/>
              </w:rPr>
              <w:t xml:space="preserve">0.800 </w:t>
            </w:r>
          </w:p>
        </w:tc>
        <w:tc>
          <w:tcPr>
            <w:tcW w:w="1783" w:type="dxa"/>
            <w:vMerge w:val="restart"/>
            <w:tcBorders>
              <w:top w:val="nil"/>
              <w:left w:val="single" w:sz="8" w:space="0" w:color="auto"/>
              <w:bottom w:val="single" w:sz="8" w:space="0" w:color="auto"/>
              <w:right w:val="single" w:sz="8" w:space="0" w:color="auto"/>
            </w:tcBorders>
            <w:shd w:val="clear" w:color="000000" w:fill="CCFFFF"/>
          </w:tcPr>
          <w:p w:rsidR="00682D08" w:rsidRPr="00D55DC6" w:rsidRDefault="00682D08" w:rsidP="00682D08">
            <w:pPr>
              <w:widowControl/>
              <w:spacing w:line="0" w:lineRule="atLeast"/>
              <w:rPr>
                <w:rFonts w:eastAsia="標楷體"/>
                <w:kern w:val="0"/>
              </w:rPr>
            </w:pPr>
            <w:r w:rsidRPr="00D55DC6">
              <w:rPr>
                <w:rFonts w:eastAsia="標楷體"/>
                <w:kern w:val="0"/>
                <w:szCs w:val="22"/>
              </w:rPr>
              <w:t>植栽養護、零星修繕、各據點建物公共安全及消防檢測</w:t>
            </w:r>
          </w:p>
        </w:tc>
      </w:tr>
      <w:tr w:rsidR="001D0350" w:rsidRPr="00D55DC6" w:rsidTr="00D866CC">
        <w:trPr>
          <w:trHeight w:val="405"/>
        </w:trPr>
        <w:tc>
          <w:tcPr>
            <w:tcW w:w="400" w:type="dxa"/>
            <w:vMerge/>
            <w:tcBorders>
              <w:top w:val="nil"/>
              <w:left w:val="single" w:sz="8" w:space="0" w:color="auto"/>
              <w:bottom w:val="single" w:sz="8" w:space="0" w:color="auto"/>
              <w:right w:val="single" w:sz="8" w:space="0" w:color="auto"/>
            </w:tcBorders>
            <w:vAlign w:val="center"/>
          </w:tcPr>
          <w:p w:rsidR="00682D08" w:rsidRPr="00D55DC6" w:rsidRDefault="00682D08" w:rsidP="00682D08">
            <w:pPr>
              <w:widowControl/>
              <w:spacing w:line="0" w:lineRule="atLeast"/>
              <w:rPr>
                <w:rFonts w:eastAsia="標楷體"/>
                <w:kern w:val="0"/>
              </w:rPr>
            </w:pPr>
          </w:p>
        </w:tc>
        <w:tc>
          <w:tcPr>
            <w:tcW w:w="904" w:type="dxa"/>
            <w:vMerge/>
            <w:tcBorders>
              <w:top w:val="nil"/>
              <w:left w:val="single" w:sz="8" w:space="0" w:color="auto"/>
              <w:bottom w:val="single" w:sz="8" w:space="0" w:color="auto"/>
              <w:right w:val="single" w:sz="8" w:space="0" w:color="auto"/>
            </w:tcBorders>
            <w:vAlign w:val="center"/>
          </w:tcPr>
          <w:p w:rsidR="00682D08" w:rsidRPr="00D55DC6" w:rsidRDefault="00682D08" w:rsidP="00682D08">
            <w:pPr>
              <w:widowControl/>
              <w:spacing w:line="0" w:lineRule="atLeast"/>
              <w:rPr>
                <w:rFonts w:eastAsia="標楷體"/>
                <w:kern w:val="0"/>
              </w:rPr>
            </w:pPr>
          </w:p>
        </w:tc>
        <w:tc>
          <w:tcPr>
            <w:tcW w:w="1096" w:type="dxa"/>
            <w:vMerge/>
            <w:tcBorders>
              <w:top w:val="nil"/>
              <w:left w:val="single" w:sz="8" w:space="0" w:color="auto"/>
              <w:bottom w:val="single" w:sz="8" w:space="0" w:color="auto"/>
              <w:right w:val="single" w:sz="8" w:space="0" w:color="auto"/>
            </w:tcBorders>
            <w:vAlign w:val="center"/>
          </w:tcPr>
          <w:p w:rsidR="00682D08" w:rsidRPr="00D55DC6" w:rsidRDefault="00682D08" w:rsidP="00682D08">
            <w:pPr>
              <w:widowControl/>
              <w:spacing w:line="0" w:lineRule="atLeast"/>
              <w:rPr>
                <w:rFonts w:eastAsia="標楷體"/>
                <w:kern w:val="0"/>
              </w:rPr>
            </w:pPr>
          </w:p>
        </w:tc>
        <w:tc>
          <w:tcPr>
            <w:tcW w:w="2448" w:type="dxa"/>
            <w:tcBorders>
              <w:top w:val="nil"/>
              <w:left w:val="nil"/>
              <w:bottom w:val="single" w:sz="8" w:space="0" w:color="auto"/>
              <w:right w:val="single" w:sz="8" w:space="0" w:color="auto"/>
            </w:tcBorders>
            <w:shd w:val="clear" w:color="000000" w:fill="CCFFFF"/>
          </w:tcPr>
          <w:p w:rsidR="00682D08" w:rsidRPr="00D55DC6" w:rsidRDefault="00682D08" w:rsidP="00682D08">
            <w:pPr>
              <w:widowControl/>
              <w:spacing w:line="0" w:lineRule="atLeast"/>
              <w:jc w:val="center"/>
              <w:rPr>
                <w:rFonts w:eastAsia="標楷體"/>
                <w:b/>
                <w:bCs/>
                <w:kern w:val="0"/>
              </w:rPr>
            </w:pPr>
            <w:r w:rsidRPr="00D55DC6">
              <w:rPr>
                <w:rFonts w:eastAsia="標楷體"/>
                <w:b/>
                <w:bCs/>
                <w:kern w:val="0"/>
                <w:szCs w:val="22"/>
              </w:rPr>
              <w:t>經常門合計</w:t>
            </w:r>
          </w:p>
        </w:tc>
        <w:tc>
          <w:tcPr>
            <w:tcW w:w="708" w:type="dxa"/>
            <w:tcBorders>
              <w:top w:val="nil"/>
              <w:left w:val="nil"/>
              <w:bottom w:val="single" w:sz="8" w:space="0" w:color="auto"/>
              <w:right w:val="single" w:sz="8" w:space="0" w:color="auto"/>
            </w:tcBorders>
            <w:shd w:val="clear" w:color="000000" w:fill="CCFFFF"/>
          </w:tcPr>
          <w:p w:rsidR="00682D08" w:rsidRPr="00D55DC6" w:rsidRDefault="00682D08" w:rsidP="00682D08">
            <w:pPr>
              <w:widowControl/>
              <w:spacing w:line="0" w:lineRule="atLeast"/>
              <w:jc w:val="right"/>
              <w:rPr>
                <w:rFonts w:eastAsia="標楷體"/>
                <w:kern w:val="0"/>
              </w:rPr>
            </w:pPr>
            <w:r w:rsidRPr="00D55DC6">
              <w:rPr>
                <w:rFonts w:eastAsia="標楷體"/>
                <w:kern w:val="0"/>
                <w:szCs w:val="22"/>
              </w:rPr>
              <w:t xml:space="preserve">0.200 </w:t>
            </w:r>
          </w:p>
        </w:tc>
        <w:tc>
          <w:tcPr>
            <w:tcW w:w="708" w:type="dxa"/>
            <w:tcBorders>
              <w:top w:val="nil"/>
              <w:left w:val="nil"/>
              <w:bottom w:val="single" w:sz="8" w:space="0" w:color="auto"/>
              <w:right w:val="single" w:sz="8" w:space="0" w:color="auto"/>
            </w:tcBorders>
            <w:shd w:val="clear" w:color="000000" w:fill="CCFFFF"/>
          </w:tcPr>
          <w:p w:rsidR="00682D08" w:rsidRPr="00D55DC6" w:rsidRDefault="00682D08" w:rsidP="00682D08">
            <w:pPr>
              <w:widowControl/>
              <w:spacing w:line="0" w:lineRule="atLeast"/>
              <w:jc w:val="right"/>
              <w:rPr>
                <w:rFonts w:eastAsia="標楷體"/>
                <w:kern w:val="0"/>
              </w:rPr>
            </w:pPr>
            <w:r w:rsidRPr="00D55DC6">
              <w:rPr>
                <w:rFonts w:eastAsia="標楷體"/>
                <w:kern w:val="0"/>
                <w:szCs w:val="22"/>
              </w:rPr>
              <w:t xml:space="preserve">0.200 </w:t>
            </w:r>
          </w:p>
        </w:tc>
        <w:tc>
          <w:tcPr>
            <w:tcW w:w="708" w:type="dxa"/>
            <w:tcBorders>
              <w:top w:val="nil"/>
              <w:left w:val="nil"/>
              <w:bottom w:val="single" w:sz="8" w:space="0" w:color="auto"/>
              <w:right w:val="single" w:sz="8" w:space="0" w:color="auto"/>
            </w:tcBorders>
            <w:shd w:val="clear" w:color="000000" w:fill="CCFFFF"/>
          </w:tcPr>
          <w:p w:rsidR="00682D08" w:rsidRPr="00D55DC6" w:rsidRDefault="00682D08" w:rsidP="00682D08">
            <w:pPr>
              <w:widowControl/>
              <w:spacing w:line="0" w:lineRule="atLeast"/>
              <w:jc w:val="right"/>
              <w:rPr>
                <w:rFonts w:eastAsia="標楷體"/>
                <w:kern w:val="0"/>
              </w:rPr>
            </w:pPr>
            <w:r w:rsidRPr="00D55DC6">
              <w:rPr>
                <w:rFonts w:eastAsia="標楷體"/>
                <w:kern w:val="0"/>
                <w:szCs w:val="22"/>
              </w:rPr>
              <w:t xml:space="preserve">0.200 </w:t>
            </w:r>
          </w:p>
        </w:tc>
        <w:tc>
          <w:tcPr>
            <w:tcW w:w="707" w:type="dxa"/>
            <w:tcBorders>
              <w:top w:val="nil"/>
              <w:left w:val="nil"/>
              <w:bottom w:val="single" w:sz="8" w:space="0" w:color="auto"/>
              <w:right w:val="single" w:sz="8" w:space="0" w:color="auto"/>
            </w:tcBorders>
            <w:shd w:val="clear" w:color="000000" w:fill="CCFFFF"/>
          </w:tcPr>
          <w:p w:rsidR="00682D08" w:rsidRPr="00D55DC6" w:rsidRDefault="00682D08" w:rsidP="00682D08">
            <w:pPr>
              <w:widowControl/>
              <w:spacing w:line="0" w:lineRule="atLeast"/>
              <w:jc w:val="right"/>
              <w:rPr>
                <w:rFonts w:eastAsia="標楷體"/>
                <w:kern w:val="0"/>
              </w:rPr>
            </w:pPr>
            <w:r w:rsidRPr="00D55DC6">
              <w:rPr>
                <w:rFonts w:eastAsia="標楷體"/>
                <w:kern w:val="0"/>
                <w:szCs w:val="22"/>
              </w:rPr>
              <w:t xml:space="preserve">0.002 </w:t>
            </w:r>
          </w:p>
        </w:tc>
        <w:tc>
          <w:tcPr>
            <w:tcW w:w="898" w:type="dxa"/>
            <w:tcBorders>
              <w:top w:val="nil"/>
              <w:left w:val="nil"/>
              <w:bottom w:val="single" w:sz="8" w:space="0" w:color="auto"/>
              <w:right w:val="single" w:sz="8" w:space="0" w:color="auto"/>
            </w:tcBorders>
            <w:shd w:val="clear" w:color="000000" w:fill="CCFFFF"/>
          </w:tcPr>
          <w:p w:rsidR="00682D08" w:rsidRPr="00D55DC6" w:rsidRDefault="00682D08" w:rsidP="00682D08">
            <w:pPr>
              <w:widowControl/>
              <w:spacing w:line="0" w:lineRule="atLeast"/>
              <w:ind w:right="240"/>
              <w:jc w:val="right"/>
              <w:rPr>
                <w:rFonts w:eastAsia="標楷體"/>
                <w:kern w:val="0"/>
              </w:rPr>
            </w:pPr>
            <w:r w:rsidRPr="00D55DC6">
              <w:rPr>
                <w:rFonts w:eastAsia="標楷體"/>
                <w:kern w:val="0"/>
                <w:szCs w:val="22"/>
              </w:rPr>
              <w:t xml:space="preserve">0.800 </w:t>
            </w:r>
          </w:p>
        </w:tc>
        <w:tc>
          <w:tcPr>
            <w:tcW w:w="1783" w:type="dxa"/>
            <w:vMerge/>
            <w:tcBorders>
              <w:top w:val="nil"/>
              <w:left w:val="single" w:sz="8" w:space="0" w:color="auto"/>
              <w:bottom w:val="single" w:sz="8" w:space="0" w:color="auto"/>
              <w:right w:val="single" w:sz="8" w:space="0" w:color="auto"/>
            </w:tcBorders>
            <w:vAlign w:val="center"/>
          </w:tcPr>
          <w:p w:rsidR="00682D08" w:rsidRPr="00D55DC6" w:rsidRDefault="00682D08" w:rsidP="00682D08">
            <w:pPr>
              <w:widowControl/>
              <w:spacing w:line="0" w:lineRule="atLeast"/>
              <w:rPr>
                <w:rFonts w:eastAsia="標楷體"/>
                <w:kern w:val="0"/>
              </w:rPr>
            </w:pPr>
          </w:p>
        </w:tc>
      </w:tr>
      <w:tr w:rsidR="001D0350" w:rsidRPr="00D55DC6" w:rsidTr="00D866CC">
        <w:trPr>
          <w:trHeight w:val="437"/>
        </w:trPr>
        <w:tc>
          <w:tcPr>
            <w:tcW w:w="400" w:type="dxa"/>
            <w:vMerge w:val="restart"/>
            <w:tcBorders>
              <w:top w:val="nil"/>
              <w:left w:val="single" w:sz="8" w:space="0" w:color="auto"/>
              <w:bottom w:val="nil"/>
              <w:right w:val="single" w:sz="8" w:space="0" w:color="auto"/>
            </w:tcBorders>
            <w:shd w:val="clear" w:color="000000" w:fill="CCFFCC"/>
          </w:tcPr>
          <w:p w:rsidR="00682D08" w:rsidRPr="00D55DC6" w:rsidRDefault="00682D08" w:rsidP="00682D08">
            <w:pPr>
              <w:widowControl/>
              <w:spacing w:line="0" w:lineRule="atLeast"/>
              <w:jc w:val="center"/>
              <w:rPr>
                <w:rFonts w:eastAsia="標楷體"/>
                <w:kern w:val="0"/>
              </w:rPr>
            </w:pPr>
            <w:r w:rsidRPr="00D55DC6">
              <w:rPr>
                <w:rFonts w:eastAsia="標楷體"/>
                <w:kern w:val="0"/>
                <w:szCs w:val="22"/>
              </w:rPr>
              <w:t>資本門</w:t>
            </w:r>
          </w:p>
        </w:tc>
        <w:tc>
          <w:tcPr>
            <w:tcW w:w="904" w:type="dxa"/>
            <w:vMerge w:val="restart"/>
            <w:tcBorders>
              <w:top w:val="nil"/>
              <w:left w:val="single" w:sz="8" w:space="0" w:color="auto"/>
              <w:right w:val="single" w:sz="8" w:space="0" w:color="auto"/>
            </w:tcBorders>
            <w:shd w:val="clear" w:color="000000" w:fill="CCFFCC"/>
          </w:tcPr>
          <w:p w:rsidR="00682D08" w:rsidRPr="00D55DC6" w:rsidRDefault="00682D08" w:rsidP="00682D08">
            <w:pPr>
              <w:widowControl/>
              <w:spacing w:line="0" w:lineRule="atLeast"/>
              <w:jc w:val="center"/>
              <w:rPr>
                <w:rFonts w:eastAsia="標楷體"/>
                <w:kern w:val="0"/>
              </w:rPr>
            </w:pPr>
            <w:r w:rsidRPr="00D55DC6">
              <w:rPr>
                <w:rFonts w:eastAsia="標楷體"/>
                <w:kern w:val="0"/>
                <w:szCs w:val="22"/>
              </w:rPr>
              <w:t>0300</w:t>
            </w:r>
            <w:r w:rsidRPr="00D55DC6">
              <w:rPr>
                <w:rFonts w:eastAsia="標楷體"/>
                <w:kern w:val="0"/>
                <w:szCs w:val="22"/>
              </w:rPr>
              <w:t>設備及投資</w:t>
            </w:r>
          </w:p>
          <w:p w:rsidR="00682D08" w:rsidRPr="00D55DC6" w:rsidRDefault="00682D08" w:rsidP="00682D08">
            <w:pPr>
              <w:spacing w:line="0" w:lineRule="atLeast"/>
              <w:jc w:val="center"/>
              <w:rPr>
                <w:rFonts w:eastAsia="標楷體"/>
                <w:kern w:val="0"/>
              </w:rPr>
            </w:pPr>
          </w:p>
        </w:tc>
        <w:tc>
          <w:tcPr>
            <w:tcW w:w="1096" w:type="dxa"/>
            <w:tcBorders>
              <w:top w:val="nil"/>
              <w:left w:val="nil"/>
              <w:bottom w:val="single" w:sz="8" w:space="0" w:color="auto"/>
              <w:right w:val="single" w:sz="8" w:space="0" w:color="auto"/>
            </w:tcBorders>
            <w:shd w:val="clear" w:color="000000" w:fill="CCFFCC"/>
          </w:tcPr>
          <w:p w:rsidR="00682D08" w:rsidRPr="00D55DC6" w:rsidRDefault="00682D08" w:rsidP="00682D08">
            <w:pPr>
              <w:widowControl/>
              <w:spacing w:line="0" w:lineRule="atLeast"/>
              <w:rPr>
                <w:rFonts w:eastAsia="標楷體"/>
                <w:kern w:val="0"/>
              </w:rPr>
            </w:pPr>
            <w:r w:rsidRPr="00D55DC6">
              <w:rPr>
                <w:rFonts w:eastAsia="標楷體"/>
                <w:kern w:val="0"/>
                <w:szCs w:val="22"/>
              </w:rPr>
              <w:t>0301</w:t>
            </w:r>
            <w:r w:rsidRPr="00D55DC6">
              <w:rPr>
                <w:rFonts w:eastAsia="標楷體"/>
                <w:kern w:val="0"/>
                <w:szCs w:val="22"/>
              </w:rPr>
              <w:t>土地費</w:t>
            </w:r>
          </w:p>
        </w:tc>
        <w:tc>
          <w:tcPr>
            <w:tcW w:w="2448" w:type="dxa"/>
            <w:tcBorders>
              <w:top w:val="nil"/>
              <w:left w:val="nil"/>
              <w:bottom w:val="single" w:sz="8" w:space="0" w:color="auto"/>
              <w:right w:val="single" w:sz="8" w:space="0" w:color="auto"/>
            </w:tcBorders>
            <w:shd w:val="clear" w:color="000000" w:fill="CCFFCC"/>
          </w:tcPr>
          <w:p w:rsidR="00682D08" w:rsidRPr="00D55DC6" w:rsidRDefault="00682D08" w:rsidP="00682D08">
            <w:pPr>
              <w:widowControl/>
              <w:spacing w:line="0" w:lineRule="atLeast"/>
              <w:rPr>
                <w:rFonts w:eastAsia="標楷體"/>
                <w:b/>
                <w:bCs/>
                <w:kern w:val="0"/>
              </w:rPr>
            </w:pPr>
            <w:r w:rsidRPr="00D55DC6">
              <w:rPr>
                <w:rFonts w:eastAsia="標楷體"/>
                <w:b/>
                <w:bCs/>
                <w:kern w:val="0"/>
                <w:szCs w:val="22"/>
              </w:rPr>
              <w:t>1.</w:t>
            </w:r>
            <w:r w:rsidRPr="00D55DC6">
              <w:rPr>
                <w:rFonts w:eastAsia="標楷體"/>
                <w:b/>
                <w:bCs/>
                <w:kern w:val="0"/>
                <w:szCs w:val="22"/>
              </w:rPr>
              <w:t>土地取得</w:t>
            </w:r>
          </w:p>
        </w:tc>
        <w:tc>
          <w:tcPr>
            <w:tcW w:w="708" w:type="dxa"/>
            <w:tcBorders>
              <w:top w:val="nil"/>
              <w:left w:val="nil"/>
              <w:bottom w:val="single" w:sz="8" w:space="0" w:color="auto"/>
              <w:right w:val="single" w:sz="8" w:space="0" w:color="auto"/>
            </w:tcBorders>
            <w:shd w:val="clear" w:color="000000" w:fill="CCFFCC"/>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0.110</w:t>
            </w:r>
          </w:p>
        </w:tc>
        <w:tc>
          <w:tcPr>
            <w:tcW w:w="708" w:type="dxa"/>
            <w:tcBorders>
              <w:top w:val="nil"/>
              <w:left w:val="nil"/>
              <w:bottom w:val="single" w:sz="8" w:space="0" w:color="auto"/>
              <w:right w:val="single" w:sz="8" w:space="0" w:color="auto"/>
            </w:tcBorders>
            <w:shd w:val="clear" w:color="000000" w:fill="CCFFCC"/>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0.110</w:t>
            </w:r>
          </w:p>
        </w:tc>
        <w:tc>
          <w:tcPr>
            <w:tcW w:w="708" w:type="dxa"/>
            <w:tcBorders>
              <w:top w:val="nil"/>
              <w:left w:val="nil"/>
              <w:bottom w:val="single" w:sz="8" w:space="0" w:color="auto"/>
              <w:right w:val="single" w:sz="8" w:space="0" w:color="auto"/>
            </w:tcBorders>
            <w:shd w:val="clear" w:color="000000" w:fill="CCFFCC"/>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0.110</w:t>
            </w:r>
          </w:p>
        </w:tc>
        <w:tc>
          <w:tcPr>
            <w:tcW w:w="707" w:type="dxa"/>
            <w:tcBorders>
              <w:top w:val="nil"/>
              <w:left w:val="nil"/>
              <w:bottom w:val="single" w:sz="8" w:space="0" w:color="auto"/>
              <w:right w:val="single" w:sz="8" w:space="0" w:color="auto"/>
            </w:tcBorders>
            <w:shd w:val="clear" w:color="000000" w:fill="CCFFCC"/>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0.110</w:t>
            </w:r>
          </w:p>
        </w:tc>
        <w:tc>
          <w:tcPr>
            <w:tcW w:w="898" w:type="dxa"/>
            <w:tcBorders>
              <w:top w:val="nil"/>
              <w:left w:val="nil"/>
              <w:bottom w:val="single" w:sz="8" w:space="0" w:color="auto"/>
              <w:right w:val="single" w:sz="8" w:space="0" w:color="auto"/>
            </w:tcBorders>
            <w:shd w:val="clear" w:color="000000" w:fill="CCFFFF"/>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0.440</w:t>
            </w:r>
          </w:p>
        </w:tc>
        <w:tc>
          <w:tcPr>
            <w:tcW w:w="1783" w:type="dxa"/>
            <w:tcBorders>
              <w:top w:val="nil"/>
              <w:left w:val="nil"/>
              <w:bottom w:val="single" w:sz="8" w:space="0" w:color="auto"/>
              <w:right w:val="single" w:sz="8" w:space="0" w:color="auto"/>
            </w:tcBorders>
          </w:tcPr>
          <w:p w:rsidR="00682D08" w:rsidRPr="00D55DC6" w:rsidRDefault="00682D08" w:rsidP="00682D08">
            <w:pPr>
              <w:widowControl/>
              <w:spacing w:line="0" w:lineRule="atLeast"/>
              <w:rPr>
                <w:rFonts w:eastAsia="標楷體"/>
                <w:kern w:val="0"/>
              </w:rPr>
            </w:pPr>
            <w:r w:rsidRPr="00D55DC6">
              <w:rPr>
                <w:rFonts w:eastAsia="標楷體"/>
                <w:kern w:val="0"/>
                <w:szCs w:val="22"/>
              </w:rPr>
              <w:t>辦理工程用地取得及相關作業</w:t>
            </w:r>
          </w:p>
        </w:tc>
      </w:tr>
      <w:tr w:rsidR="001D0350" w:rsidRPr="00D55DC6" w:rsidTr="00D866CC">
        <w:trPr>
          <w:trHeight w:val="345"/>
        </w:trPr>
        <w:tc>
          <w:tcPr>
            <w:tcW w:w="400" w:type="dxa"/>
            <w:vMerge/>
            <w:tcBorders>
              <w:top w:val="nil"/>
              <w:left w:val="single" w:sz="8" w:space="0" w:color="auto"/>
              <w:bottom w:val="nil"/>
              <w:right w:val="single" w:sz="8" w:space="0" w:color="auto"/>
            </w:tcBorders>
            <w:vAlign w:val="center"/>
          </w:tcPr>
          <w:p w:rsidR="00682D08" w:rsidRPr="00D55DC6" w:rsidRDefault="00682D08" w:rsidP="00682D08">
            <w:pPr>
              <w:widowControl/>
              <w:spacing w:line="0" w:lineRule="atLeast"/>
              <w:rPr>
                <w:rFonts w:eastAsia="標楷體"/>
                <w:kern w:val="0"/>
              </w:rPr>
            </w:pPr>
          </w:p>
        </w:tc>
        <w:tc>
          <w:tcPr>
            <w:tcW w:w="904" w:type="dxa"/>
            <w:vMerge/>
            <w:tcBorders>
              <w:left w:val="single" w:sz="8" w:space="0" w:color="auto"/>
              <w:right w:val="single" w:sz="8" w:space="0" w:color="auto"/>
            </w:tcBorders>
            <w:vAlign w:val="center"/>
          </w:tcPr>
          <w:p w:rsidR="00682D08" w:rsidRPr="00D55DC6" w:rsidRDefault="00682D08" w:rsidP="00682D08">
            <w:pPr>
              <w:spacing w:line="0" w:lineRule="atLeast"/>
              <w:jc w:val="center"/>
              <w:rPr>
                <w:rFonts w:eastAsia="標楷體"/>
                <w:kern w:val="0"/>
              </w:rPr>
            </w:pPr>
          </w:p>
        </w:tc>
        <w:tc>
          <w:tcPr>
            <w:tcW w:w="1096" w:type="dxa"/>
            <w:vMerge w:val="restart"/>
            <w:tcBorders>
              <w:top w:val="nil"/>
              <w:left w:val="single" w:sz="8" w:space="0" w:color="auto"/>
              <w:right w:val="single" w:sz="8" w:space="0" w:color="auto"/>
            </w:tcBorders>
            <w:shd w:val="clear" w:color="000000" w:fill="CCFFCC"/>
          </w:tcPr>
          <w:p w:rsidR="00682D08" w:rsidRPr="00D55DC6" w:rsidRDefault="00682D08" w:rsidP="00682D08">
            <w:pPr>
              <w:widowControl/>
              <w:spacing w:line="0" w:lineRule="atLeast"/>
              <w:rPr>
                <w:rFonts w:eastAsia="標楷體"/>
                <w:kern w:val="0"/>
              </w:rPr>
            </w:pPr>
            <w:r w:rsidRPr="00D55DC6">
              <w:rPr>
                <w:rFonts w:eastAsia="標楷體"/>
                <w:kern w:val="0"/>
                <w:szCs w:val="22"/>
              </w:rPr>
              <w:t>0303</w:t>
            </w:r>
            <w:r w:rsidRPr="00D55DC6">
              <w:rPr>
                <w:rFonts w:eastAsia="標楷體"/>
                <w:kern w:val="0"/>
                <w:szCs w:val="22"/>
              </w:rPr>
              <w:t>公共建設及設施費</w:t>
            </w:r>
          </w:p>
          <w:p w:rsidR="00682D08" w:rsidRPr="00D55DC6" w:rsidRDefault="00682D08" w:rsidP="00682D08">
            <w:pPr>
              <w:spacing w:line="0" w:lineRule="atLeast"/>
              <w:rPr>
                <w:rFonts w:eastAsia="標楷體"/>
                <w:kern w:val="0"/>
              </w:rPr>
            </w:pPr>
          </w:p>
        </w:tc>
        <w:tc>
          <w:tcPr>
            <w:tcW w:w="2448" w:type="dxa"/>
            <w:tcBorders>
              <w:top w:val="nil"/>
              <w:left w:val="nil"/>
              <w:bottom w:val="single" w:sz="8" w:space="0" w:color="auto"/>
              <w:right w:val="single" w:sz="8" w:space="0" w:color="auto"/>
            </w:tcBorders>
            <w:shd w:val="clear" w:color="000000" w:fill="CCFFCC"/>
            <w:vAlign w:val="center"/>
          </w:tcPr>
          <w:p w:rsidR="00682D08" w:rsidRPr="00D55DC6" w:rsidRDefault="00682D08" w:rsidP="00682D08">
            <w:pPr>
              <w:widowControl/>
              <w:spacing w:line="0" w:lineRule="atLeast"/>
              <w:rPr>
                <w:rFonts w:eastAsia="標楷體"/>
                <w:b/>
                <w:bCs/>
                <w:kern w:val="0"/>
              </w:rPr>
            </w:pPr>
            <w:r w:rsidRPr="00D55DC6">
              <w:rPr>
                <w:rFonts w:eastAsia="標楷體"/>
                <w:b/>
                <w:bCs/>
                <w:kern w:val="0"/>
                <w:szCs w:val="22"/>
              </w:rPr>
              <w:t>2.</w:t>
            </w:r>
            <w:r w:rsidRPr="00D55DC6">
              <w:rPr>
                <w:rFonts w:eastAsia="標楷體"/>
                <w:b/>
                <w:bCs/>
                <w:kern w:val="0"/>
                <w:szCs w:val="22"/>
              </w:rPr>
              <w:t>公共建設及設施</w:t>
            </w:r>
          </w:p>
        </w:tc>
        <w:tc>
          <w:tcPr>
            <w:tcW w:w="708" w:type="dxa"/>
            <w:tcBorders>
              <w:top w:val="nil"/>
              <w:left w:val="nil"/>
              <w:bottom w:val="single" w:sz="8" w:space="0" w:color="auto"/>
              <w:right w:val="single" w:sz="8" w:space="0" w:color="auto"/>
            </w:tcBorders>
            <w:shd w:val="clear" w:color="000000" w:fill="CCFFCC"/>
            <w:vAlign w:val="center"/>
          </w:tcPr>
          <w:p w:rsidR="00682D08" w:rsidRPr="00D55DC6" w:rsidRDefault="00682D08" w:rsidP="00682D08">
            <w:pPr>
              <w:widowControl/>
              <w:spacing w:line="0" w:lineRule="atLeast"/>
              <w:jc w:val="right"/>
              <w:rPr>
                <w:rFonts w:eastAsia="標楷體"/>
                <w:b/>
                <w:bCs/>
                <w:kern w:val="0"/>
              </w:rPr>
            </w:pPr>
          </w:p>
        </w:tc>
        <w:tc>
          <w:tcPr>
            <w:tcW w:w="708" w:type="dxa"/>
            <w:tcBorders>
              <w:top w:val="nil"/>
              <w:left w:val="nil"/>
              <w:bottom w:val="single" w:sz="8" w:space="0" w:color="auto"/>
              <w:right w:val="single" w:sz="8" w:space="0" w:color="auto"/>
            </w:tcBorders>
            <w:shd w:val="clear" w:color="000000" w:fill="CCFFCC"/>
            <w:vAlign w:val="center"/>
          </w:tcPr>
          <w:p w:rsidR="00682D08" w:rsidRPr="00D55DC6" w:rsidRDefault="00682D08" w:rsidP="00682D08">
            <w:pPr>
              <w:widowControl/>
              <w:spacing w:line="0" w:lineRule="atLeast"/>
              <w:jc w:val="right"/>
              <w:rPr>
                <w:rFonts w:eastAsia="標楷體"/>
                <w:b/>
                <w:bCs/>
                <w:kern w:val="0"/>
              </w:rPr>
            </w:pPr>
          </w:p>
        </w:tc>
        <w:tc>
          <w:tcPr>
            <w:tcW w:w="708" w:type="dxa"/>
            <w:tcBorders>
              <w:top w:val="nil"/>
              <w:left w:val="nil"/>
              <w:bottom w:val="single" w:sz="8" w:space="0" w:color="auto"/>
              <w:right w:val="single" w:sz="8" w:space="0" w:color="auto"/>
            </w:tcBorders>
            <w:shd w:val="clear" w:color="000000" w:fill="CCFFCC"/>
            <w:vAlign w:val="center"/>
          </w:tcPr>
          <w:p w:rsidR="00682D08" w:rsidRPr="00D55DC6" w:rsidRDefault="00682D08" w:rsidP="00682D08">
            <w:pPr>
              <w:widowControl/>
              <w:spacing w:line="0" w:lineRule="atLeast"/>
              <w:jc w:val="right"/>
              <w:rPr>
                <w:rFonts w:eastAsia="標楷體"/>
                <w:b/>
                <w:bCs/>
                <w:kern w:val="0"/>
              </w:rPr>
            </w:pPr>
          </w:p>
        </w:tc>
        <w:tc>
          <w:tcPr>
            <w:tcW w:w="707" w:type="dxa"/>
            <w:tcBorders>
              <w:top w:val="nil"/>
              <w:left w:val="nil"/>
              <w:bottom w:val="single" w:sz="8" w:space="0" w:color="auto"/>
              <w:right w:val="single" w:sz="8" w:space="0" w:color="auto"/>
            </w:tcBorders>
            <w:shd w:val="clear" w:color="000000" w:fill="CCFFCC"/>
            <w:vAlign w:val="center"/>
          </w:tcPr>
          <w:p w:rsidR="00682D08" w:rsidRPr="00D55DC6" w:rsidRDefault="00682D08" w:rsidP="00682D08">
            <w:pPr>
              <w:widowControl/>
              <w:spacing w:line="0" w:lineRule="atLeast"/>
              <w:jc w:val="right"/>
              <w:rPr>
                <w:rFonts w:eastAsia="標楷體"/>
                <w:b/>
                <w:bCs/>
                <w:kern w:val="0"/>
              </w:rPr>
            </w:pPr>
          </w:p>
        </w:tc>
        <w:tc>
          <w:tcPr>
            <w:tcW w:w="898" w:type="dxa"/>
            <w:tcBorders>
              <w:top w:val="nil"/>
              <w:left w:val="nil"/>
              <w:bottom w:val="single" w:sz="8" w:space="0" w:color="auto"/>
              <w:right w:val="single" w:sz="8" w:space="0" w:color="auto"/>
            </w:tcBorders>
            <w:shd w:val="clear" w:color="000000" w:fill="CCFFFF"/>
          </w:tcPr>
          <w:p w:rsidR="00682D08" w:rsidRPr="00D55DC6" w:rsidRDefault="00682D08" w:rsidP="00682D08">
            <w:pPr>
              <w:widowControl/>
              <w:spacing w:line="0" w:lineRule="atLeast"/>
              <w:jc w:val="right"/>
              <w:rPr>
                <w:rFonts w:eastAsia="標楷體"/>
                <w:b/>
                <w:bCs/>
                <w:kern w:val="0"/>
              </w:rPr>
            </w:pPr>
          </w:p>
        </w:tc>
        <w:tc>
          <w:tcPr>
            <w:tcW w:w="1783"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both"/>
              <w:rPr>
                <w:rFonts w:eastAsia="標楷體"/>
                <w:kern w:val="0"/>
              </w:rPr>
            </w:pPr>
            <w:r w:rsidRPr="00D55DC6">
              <w:rPr>
                <w:rFonts w:eastAsia="標楷體"/>
                <w:kern w:val="0"/>
                <w:szCs w:val="22"/>
              </w:rPr>
              <w:t xml:space="preserve">　</w:t>
            </w:r>
          </w:p>
        </w:tc>
      </w:tr>
      <w:tr w:rsidR="001D0350" w:rsidRPr="00D55DC6" w:rsidTr="00D866CC">
        <w:trPr>
          <w:trHeight w:val="360"/>
        </w:trPr>
        <w:tc>
          <w:tcPr>
            <w:tcW w:w="400" w:type="dxa"/>
            <w:vMerge/>
            <w:tcBorders>
              <w:top w:val="nil"/>
              <w:left w:val="single" w:sz="8" w:space="0" w:color="auto"/>
              <w:bottom w:val="nil"/>
              <w:right w:val="single" w:sz="8" w:space="0" w:color="auto"/>
            </w:tcBorders>
            <w:vAlign w:val="center"/>
          </w:tcPr>
          <w:p w:rsidR="00682D08" w:rsidRPr="00D55DC6" w:rsidRDefault="00682D08" w:rsidP="00682D08">
            <w:pPr>
              <w:widowControl/>
              <w:spacing w:line="0" w:lineRule="atLeast"/>
              <w:rPr>
                <w:rFonts w:eastAsia="標楷體"/>
                <w:kern w:val="0"/>
              </w:rPr>
            </w:pPr>
          </w:p>
        </w:tc>
        <w:tc>
          <w:tcPr>
            <w:tcW w:w="904" w:type="dxa"/>
            <w:vMerge/>
            <w:tcBorders>
              <w:left w:val="single" w:sz="8" w:space="0" w:color="auto"/>
              <w:right w:val="single" w:sz="8" w:space="0" w:color="auto"/>
            </w:tcBorders>
            <w:vAlign w:val="center"/>
          </w:tcPr>
          <w:p w:rsidR="00682D08" w:rsidRPr="00D55DC6" w:rsidRDefault="00682D08" w:rsidP="00682D08">
            <w:pPr>
              <w:spacing w:line="0" w:lineRule="atLeast"/>
              <w:jc w:val="center"/>
              <w:rPr>
                <w:rFonts w:eastAsia="標楷體"/>
                <w:kern w:val="0"/>
              </w:rPr>
            </w:pPr>
          </w:p>
        </w:tc>
        <w:tc>
          <w:tcPr>
            <w:tcW w:w="1096" w:type="dxa"/>
            <w:vMerge/>
            <w:tcBorders>
              <w:left w:val="single" w:sz="8" w:space="0" w:color="auto"/>
              <w:right w:val="single" w:sz="8" w:space="0" w:color="auto"/>
            </w:tcBorders>
            <w:vAlign w:val="center"/>
          </w:tcPr>
          <w:p w:rsidR="00682D08" w:rsidRPr="00D55DC6" w:rsidRDefault="00682D08" w:rsidP="00682D08">
            <w:pPr>
              <w:spacing w:line="0" w:lineRule="atLeast"/>
              <w:rPr>
                <w:rFonts w:eastAsia="標楷體"/>
                <w:kern w:val="0"/>
              </w:rPr>
            </w:pPr>
          </w:p>
        </w:tc>
        <w:tc>
          <w:tcPr>
            <w:tcW w:w="2448" w:type="dxa"/>
            <w:tcBorders>
              <w:top w:val="nil"/>
              <w:left w:val="nil"/>
              <w:bottom w:val="single" w:sz="8" w:space="0" w:color="auto"/>
              <w:right w:val="single" w:sz="8" w:space="0" w:color="auto"/>
            </w:tcBorders>
            <w:shd w:val="clear" w:color="000000" w:fill="CCFFCC"/>
          </w:tcPr>
          <w:p w:rsidR="00682D08" w:rsidRPr="00D55DC6" w:rsidRDefault="00682D08" w:rsidP="00682D08">
            <w:pPr>
              <w:widowControl/>
              <w:spacing w:line="0" w:lineRule="atLeast"/>
              <w:jc w:val="both"/>
              <w:rPr>
                <w:rFonts w:eastAsia="標楷體"/>
                <w:kern w:val="0"/>
              </w:rPr>
            </w:pPr>
            <w:r w:rsidRPr="00D55DC6">
              <w:rPr>
                <w:rFonts w:eastAsia="標楷體"/>
                <w:kern w:val="0"/>
                <w:szCs w:val="22"/>
              </w:rPr>
              <w:t>(1)</w:t>
            </w:r>
            <w:r w:rsidRPr="00D55DC6">
              <w:rPr>
                <w:rFonts w:eastAsia="標楷體"/>
                <w:kern w:val="0"/>
                <w:szCs w:val="22"/>
              </w:rPr>
              <w:t>先期規劃設計</w:t>
            </w:r>
          </w:p>
        </w:tc>
        <w:tc>
          <w:tcPr>
            <w:tcW w:w="708" w:type="dxa"/>
            <w:tcBorders>
              <w:top w:val="nil"/>
              <w:left w:val="nil"/>
              <w:bottom w:val="single" w:sz="8" w:space="0" w:color="auto"/>
              <w:right w:val="single" w:sz="8" w:space="0" w:color="auto"/>
            </w:tcBorders>
            <w:shd w:val="clear" w:color="000000" w:fill="CCFFCC"/>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0.130</w:t>
            </w:r>
          </w:p>
        </w:tc>
        <w:tc>
          <w:tcPr>
            <w:tcW w:w="708" w:type="dxa"/>
            <w:tcBorders>
              <w:top w:val="nil"/>
              <w:left w:val="nil"/>
              <w:bottom w:val="single" w:sz="8" w:space="0" w:color="auto"/>
              <w:right w:val="single" w:sz="8" w:space="0" w:color="auto"/>
            </w:tcBorders>
            <w:shd w:val="clear" w:color="000000" w:fill="CCFFCC"/>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0.130</w:t>
            </w:r>
          </w:p>
        </w:tc>
        <w:tc>
          <w:tcPr>
            <w:tcW w:w="708" w:type="dxa"/>
            <w:tcBorders>
              <w:top w:val="nil"/>
              <w:left w:val="nil"/>
              <w:bottom w:val="single" w:sz="8" w:space="0" w:color="auto"/>
              <w:right w:val="single" w:sz="8" w:space="0" w:color="auto"/>
            </w:tcBorders>
            <w:shd w:val="clear" w:color="000000" w:fill="CCFFCC"/>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0.130</w:t>
            </w:r>
          </w:p>
        </w:tc>
        <w:tc>
          <w:tcPr>
            <w:tcW w:w="707" w:type="dxa"/>
            <w:tcBorders>
              <w:top w:val="nil"/>
              <w:left w:val="nil"/>
              <w:bottom w:val="single" w:sz="8" w:space="0" w:color="auto"/>
              <w:right w:val="single" w:sz="8" w:space="0" w:color="auto"/>
            </w:tcBorders>
            <w:shd w:val="clear" w:color="000000" w:fill="CCFFCC"/>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0.130</w:t>
            </w:r>
          </w:p>
        </w:tc>
        <w:tc>
          <w:tcPr>
            <w:tcW w:w="898" w:type="dxa"/>
            <w:tcBorders>
              <w:top w:val="nil"/>
              <w:left w:val="nil"/>
              <w:bottom w:val="single" w:sz="8" w:space="0" w:color="auto"/>
              <w:right w:val="single" w:sz="8" w:space="0" w:color="auto"/>
            </w:tcBorders>
            <w:shd w:val="clear" w:color="000000" w:fill="CCFFFF"/>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0.520</w:t>
            </w:r>
          </w:p>
        </w:tc>
        <w:tc>
          <w:tcPr>
            <w:tcW w:w="1783"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both"/>
              <w:rPr>
                <w:rFonts w:eastAsia="標楷體"/>
                <w:kern w:val="0"/>
              </w:rPr>
            </w:pPr>
            <w:r w:rsidRPr="00D55DC6">
              <w:rPr>
                <w:rFonts w:eastAsia="標楷體"/>
                <w:kern w:val="0"/>
                <w:szCs w:val="22"/>
              </w:rPr>
              <w:t xml:space="preserve">　</w:t>
            </w:r>
          </w:p>
        </w:tc>
      </w:tr>
      <w:tr w:rsidR="001D0350" w:rsidRPr="00D55DC6" w:rsidTr="00D866CC">
        <w:trPr>
          <w:trHeight w:val="390"/>
        </w:trPr>
        <w:tc>
          <w:tcPr>
            <w:tcW w:w="400" w:type="dxa"/>
            <w:vMerge/>
            <w:tcBorders>
              <w:top w:val="nil"/>
              <w:left w:val="single" w:sz="8" w:space="0" w:color="auto"/>
              <w:bottom w:val="nil"/>
              <w:right w:val="single" w:sz="8" w:space="0" w:color="auto"/>
            </w:tcBorders>
            <w:vAlign w:val="center"/>
          </w:tcPr>
          <w:p w:rsidR="00682D08" w:rsidRPr="00D55DC6" w:rsidRDefault="00682D08" w:rsidP="00682D08">
            <w:pPr>
              <w:widowControl/>
              <w:spacing w:line="0" w:lineRule="atLeast"/>
              <w:rPr>
                <w:rFonts w:eastAsia="標楷體"/>
                <w:kern w:val="0"/>
              </w:rPr>
            </w:pPr>
          </w:p>
        </w:tc>
        <w:tc>
          <w:tcPr>
            <w:tcW w:w="904" w:type="dxa"/>
            <w:vMerge/>
            <w:tcBorders>
              <w:left w:val="single" w:sz="8" w:space="0" w:color="auto"/>
              <w:right w:val="single" w:sz="8" w:space="0" w:color="auto"/>
            </w:tcBorders>
            <w:vAlign w:val="center"/>
          </w:tcPr>
          <w:p w:rsidR="00682D08" w:rsidRPr="00D55DC6" w:rsidRDefault="00682D08" w:rsidP="00682D08">
            <w:pPr>
              <w:spacing w:line="0" w:lineRule="atLeast"/>
              <w:jc w:val="center"/>
              <w:rPr>
                <w:rFonts w:eastAsia="標楷體"/>
                <w:kern w:val="0"/>
              </w:rPr>
            </w:pPr>
          </w:p>
        </w:tc>
        <w:tc>
          <w:tcPr>
            <w:tcW w:w="1096" w:type="dxa"/>
            <w:vMerge/>
            <w:tcBorders>
              <w:left w:val="single" w:sz="8" w:space="0" w:color="auto"/>
              <w:right w:val="single" w:sz="8" w:space="0" w:color="auto"/>
            </w:tcBorders>
            <w:vAlign w:val="center"/>
          </w:tcPr>
          <w:p w:rsidR="00682D08" w:rsidRPr="00D55DC6" w:rsidRDefault="00682D08" w:rsidP="00682D08">
            <w:pPr>
              <w:spacing w:line="0" w:lineRule="atLeast"/>
              <w:rPr>
                <w:rFonts w:eastAsia="標楷體"/>
                <w:kern w:val="0"/>
              </w:rPr>
            </w:pPr>
          </w:p>
        </w:tc>
        <w:tc>
          <w:tcPr>
            <w:tcW w:w="2448" w:type="dxa"/>
            <w:tcBorders>
              <w:top w:val="nil"/>
              <w:left w:val="nil"/>
              <w:bottom w:val="single" w:sz="8" w:space="0" w:color="auto"/>
              <w:right w:val="single" w:sz="8" w:space="0" w:color="auto"/>
            </w:tcBorders>
            <w:shd w:val="clear" w:color="000000" w:fill="CCFFCC"/>
          </w:tcPr>
          <w:p w:rsidR="00682D08" w:rsidRPr="00D55DC6" w:rsidRDefault="00682D08" w:rsidP="00682D08">
            <w:pPr>
              <w:widowControl/>
              <w:spacing w:line="0" w:lineRule="atLeast"/>
              <w:jc w:val="both"/>
              <w:rPr>
                <w:rFonts w:eastAsia="標楷體"/>
                <w:kern w:val="0"/>
              </w:rPr>
            </w:pPr>
            <w:r w:rsidRPr="00D55DC6">
              <w:rPr>
                <w:rFonts w:eastAsia="標楷體"/>
                <w:kern w:val="0"/>
                <w:szCs w:val="22"/>
              </w:rPr>
              <w:t>(2)</w:t>
            </w:r>
            <w:r w:rsidRPr="00D55DC6">
              <w:rPr>
                <w:rFonts w:eastAsia="標楷體"/>
                <w:kern w:val="0"/>
                <w:szCs w:val="22"/>
              </w:rPr>
              <w:t>國際觀光重要景點</w:t>
            </w:r>
          </w:p>
        </w:tc>
        <w:tc>
          <w:tcPr>
            <w:tcW w:w="708" w:type="dxa"/>
            <w:tcBorders>
              <w:top w:val="nil"/>
              <w:left w:val="nil"/>
              <w:bottom w:val="single" w:sz="8" w:space="0" w:color="auto"/>
              <w:right w:val="single" w:sz="8" w:space="0" w:color="auto"/>
            </w:tcBorders>
            <w:shd w:val="clear" w:color="000000" w:fill="CCFFCC"/>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1.290</w:t>
            </w:r>
          </w:p>
        </w:tc>
        <w:tc>
          <w:tcPr>
            <w:tcW w:w="708" w:type="dxa"/>
            <w:tcBorders>
              <w:top w:val="nil"/>
              <w:left w:val="nil"/>
              <w:bottom w:val="single" w:sz="8" w:space="0" w:color="auto"/>
              <w:right w:val="single" w:sz="8" w:space="0" w:color="auto"/>
            </w:tcBorders>
            <w:shd w:val="clear" w:color="000000" w:fill="CCFFCC"/>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1.240</w:t>
            </w:r>
          </w:p>
        </w:tc>
        <w:tc>
          <w:tcPr>
            <w:tcW w:w="708" w:type="dxa"/>
            <w:tcBorders>
              <w:top w:val="nil"/>
              <w:left w:val="nil"/>
              <w:bottom w:val="single" w:sz="8" w:space="0" w:color="auto"/>
              <w:right w:val="single" w:sz="8" w:space="0" w:color="auto"/>
            </w:tcBorders>
            <w:shd w:val="clear" w:color="000000" w:fill="CCFFCC"/>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1.210</w:t>
            </w:r>
          </w:p>
        </w:tc>
        <w:tc>
          <w:tcPr>
            <w:tcW w:w="707" w:type="dxa"/>
            <w:tcBorders>
              <w:top w:val="nil"/>
              <w:left w:val="nil"/>
              <w:bottom w:val="single" w:sz="8" w:space="0" w:color="auto"/>
              <w:right w:val="single" w:sz="8" w:space="0" w:color="auto"/>
            </w:tcBorders>
            <w:shd w:val="clear" w:color="000000" w:fill="CCFFCC"/>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1.285</w:t>
            </w:r>
          </w:p>
        </w:tc>
        <w:tc>
          <w:tcPr>
            <w:tcW w:w="898" w:type="dxa"/>
            <w:tcBorders>
              <w:top w:val="nil"/>
              <w:left w:val="nil"/>
              <w:bottom w:val="single" w:sz="8" w:space="0" w:color="auto"/>
              <w:right w:val="single" w:sz="8" w:space="0" w:color="auto"/>
            </w:tcBorders>
            <w:shd w:val="clear" w:color="000000" w:fill="CCFFFF"/>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5.025</w:t>
            </w:r>
          </w:p>
        </w:tc>
        <w:tc>
          <w:tcPr>
            <w:tcW w:w="1783" w:type="dxa"/>
            <w:tcBorders>
              <w:top w:val="nil"/>
              <w:left w:val="single" w:sz="8" w:space="0" w:color="auto"/>
              <w:bottom w:val="single" w:sz="4" w:space="0" w:color="auto"/>
              <w:right w:val="single" w:sz="8" w:space="0" w:color="auto"/>
            </w:tcBorders>
          </w:tcPr>
          <w:p w:rsidR="00682D08" w:rsidRPr="00D55DC6" w:rsidRDefault="00682D08" w:rsidP="00D866CC">
            <w:pPr>
              <w:spacing w:line="0" w:lineRule="atLeast"/>
              <w:jc w:val="both"/>
              <w:rPr>
                <w:rFonts w:eastAsia="標楷體"/>
                <w:kern w:val="0"/>
                <w:szCs w:val="22"/>
              </w:rPr>
            </w:pPr>
          </w:p>
        </w:tc>
      </w:tr>
      <w:tr w:rsidR="001D0350" w:rsidRPr="00D55DC6" w:rsidTr="00D866CC">
        <w:trPr>
          <w:trHeight w:val="142"/>
        </w:trPr>
        <w:tc>
          <w:tcPr>
            <w:tcW w:w="400" w:type="dxa"/>
            <w:vMerge/>
            <w:tcBorders>
              <w:top w:val="nil"/>
              <w:left w:val="single" w:sz="8" w:space="0" w:color="auto"/>
              <w:bottom w:val="nil"/>
              <w:right w:val="single" w:sz="8" w:space="0" w:color="auto"/>
            </w:tcBorders>
            <w:vAlign w:val="center"/>
          </w:tcPr>
          <w:p w:rsidR="00682D08" w:rsidRPr="00D55DC6" w:rsidRDefault="00682D08" w:rsidP="00682D08">
            <w:pPr>
              <w:widowControl/>
              <w:spacing w:line="0" w:lineRule="atLeast"/>
              <w:rPr>
                <w:rFonts w:eastAsia="標楷體"/>
                <w:kern w:val="0"/>
              </w:rPr>
            </w:pPr>
          </w:p>
        </w:tc>
        <w:tc>
          <w:tcPr>
            <w:tcW w:w="904" w:type="dxa"/>
            <w:vMerge/>
            <w:tcBorders>
              <w:left w:val="single" w:sz="8" w:space="0" w:color="auto"/>
              <w:right w:val="single" w:sz="8" w:space="0" w:color="auto"/>
            </w:tcBorders>
            <w:vAlign w:val="center"/>
          </w:tcPr>
          <w:p w:rsidR="00682D08" w:rsidRPr="00D55DC6" w:rsidRDefault="00682D08" w:rsidP="00682D08">
            <w:pPr>
              <w:spacing w:line="0" w:lineRule="atLeast"/>
              <w:jc w:val="center"/>
              <w:rPr>
                <w:rFonts w:eastAsia="標楷體"/>
                <w:kern w:val="0"/>
              </w:rPr>
            </w:pPr>
          </w:p>
        </w:tc>
        <w:tc>
          <w:tcPr>
            <w:tcW w:w="1096" w:type="dxa"/>
            <w:vMerge/>
            <w:tcBorders>
              <w:left w:val="single" w:sz="8" w:space="0" w:color="auto"/>
              <w:right w:val="single" w:sz="8" w:space="0" w:color="auto"/>
            </w:tcBorders>
            <w:vAlign w:val="center"/>
          </w:tcPr>
          <w:p w:rsidR="00682D08" w:rsidRPr="00D55DC6" w:rsidRDefault="00682D08" w:rsidP="00682D08">
            <w:pPr>
              <w:spacing w:line="0" w:lineRule="atLeast"/>
              <w:rPr>
                <w:rFonts w:eastAsia="標楷體"/>
                <w:kern w:val="0"/>
              </w:rPr>
            </w:pPr>
          </w:p>
        </w:tc>
        <w:tc>
          <w:tcPr>
            <w:tcW w:w="2448" w:type="dxa"/>
            <w:tcBorders>
              <w:top w:val="nil"/>
              <w:left w:val="nil"/>
              <w:bottom w:val="single" w:sz="8" w:space="0" w:color="auto"/>
              <w:right w:val="single" w:sz="8" w:space="0" w:color="auto"/>
            </w:tcBorders>
          </w:tcPr>
          <w:p w:rsidR="00682D08" w:rsidRPr="00D55DC6" w:rsidRDefault="00682D08" w:rsidP="00682D08">
            <w:pPr>
              <w:widowControl/>
              <w:spacing w:line="0" w:lineRule="atLeast"/>
              <w:rPr>
                <w:rFonts w:eastAsia="標楷體"/>
                <w:kern w:val="0"/>
              </w:rPr>
            </w:pPr>
            <w:r w:rsidRPr="00D55DC6">
              <w:rPr>
                <w:rFonts w:eastAsia="標楷體"/>
                <w:kern w:val="0"/>
              </w:rPr>
              <w:t>綠島系統</w:t>
            </w:r>
          </w:p>
        </w:tc>
        <w:tc>
          <w:tcPr>
            <w:tcW w:w="708"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rPr>
            </w:pPr>
            <w:r w:rsidRPr="00D55DC6">
              <w:rPr>
                <w:rFonts w:eastAsia="標楷體"/>
                <w:kern w:val="0"/>
              </w:rPr>
              <w:t>0.225</w:t>
            </w:r>
          </w:p>
        </w:tc>
        <w:tc>
          <w:tcPr>
            <w:tcW w:w="708"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rPr>
            </w:pPr>
            <w:r w:rsidRPr="00D55DC6">
              <w:rPr>
                <w:rFonts w:eastAsia="標楷體"/>
                <w:kern w:val="0"/>
              </w:rPr>
              <w:t>0.230</w:t>
            </w:r>
          </w:p>
        </w:tc>
        <w:tc>
          <w:tcPr>
            <w:tcW w:w="708"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rPr>
            </w:pPr>
            <w:r w:rsidRPr="00D55DC6">
              <w:rPr>
                <w:rFonts w:eastAsia="標楷體"/>
                <w:kern w:val="0"/>
              </w:rPr>
              <w:t>0.210</w:t>
            </w:r>
          </w:p>
        </w:tc>
        <w:tc>
          <w:tcPr>
            <w:tcW w:w="707"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rPr>
            </w:pPr>
            <w:r w:rsidRPr="00D55DC6">
              <w:rPr>
                <w:rFonts w:eastAsia="標楷體"/>
                <w:kern w:val="0"/>
              </w:rPr>
              <w:t>0.265</w:t>
            </w:r>
          </w:p>
        </w:tc>
        <w:tc>
          <w:tcPr>
            <w:tcW w:w="898" w:type="dxa"/>
            <w:tcBorders>
              <w:top w:val="nil"/>
              <w:left w:val="nil"/>
              <w:bottom w:val="single" w:sz="8" w:space="0" w:color="auto"/>
              <w:right w:val="single" w:sz="4" w:space="0" w:color="auto"/>
            </w:tcBorders>
            <w:shd w:val="clear" w:color="000000" w:fill="CCFFFF"/>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0.930</w:t>
            </w:r>
          </w:p>
        </w:tc>
        <w:tc>
          <w:tcPr>
            <w:tcW w:w="1783" w:type="dxa"/>
            <w:tcBorders>
              <w:top w:val="single" w:sz="4" w:space="0" w:color="auto"/>
              <w:left w:val="single" w:sz="4" w:space="0" w:color="auto"/>
              <w:bottom w:val="single" w:sz="4" w:space="0" w:color="auto"/>
              <w:right w:val="single" w:sz="4" w:space="0" w:color="auto"/>
            </w:tcBorders>
          </w:tcPr>
          <w:p w:rsidR="00682D08" w:rsidRPr="00D55DC6" w:rsidRDefault="00D866CC" w:rsidP="00682D08">
            <w:pPr>
              <w:spacing w:line="0" w:lineRule="atLeast"/>
              <w:jc w:val="both"/>
              <w:rPr>
                <w:rFonts w:eastAsia="標楷體"/>
                <w:kern w:val="0"/>
              </w:rPr>
            </w:pPr>
            <w:r w:rsidRPr="00D55DC6">
              <w:rPr>
                <w:rFonts w:eastAsia="標楷體"/>
                <w:kern w:val="0"/>
              </w:rPr>
              <w:t>綠島遊客中心及生態廊道</w:t>
            </w:r>
          </w:p>
        </w:tc>
      </w:tr>
      <w:tr w:rsidR="001D0350" w:rsidRPr="00D55DC6" w:rsidTr="00D866CC">
        <w:trPr>
          <w:trHeight w:val="190"/>
        </w:trPr>
        <w:tc>
          <w:tcPr>
            <w:tcW w:w="400" w:type="dxa"/>
            <w:vMerge/>
            <w:tcBorders>
              <w:top w:val="nil"/>
              <w:left w:val="single" w:sz="8" w:space="0" w:color="auto"/>
              <w:bottom w:val="nil"/>
              <w:right w:val="single" w:sz="8" w:space="0" w:color="auto"/>
            </w:tcBorders>
            <w:vAlign w:val="center"/>
          </w:tcPr>
          <w:p w:rsidR="00682D08" w:rsidRPr="00D55DC6" w:rsidRDefault="00682D08" w:rsidP="00682D08">
            <w:pPr>
              <w:widowControl/>
              <w:spacing w:line="0" w:lineRule="atLeast"/>
              <w:rPr>
                <w:rFonts w:eastAsia="標楷體"/>
                <w:kern w:val="0"/>
              </w:rPr>
            </w:pPr>
          </w:p>
        </w:tc>
        <w:tc>
          <w:tcPr>
            <w:tcW w:w="904" w:type="dxa"/>
            <w:vMerge/>
            <w:tcBorders>
              <w:left w:val="single" w:sz="8" w:space="0" w:color="auto"/>
              <w:right w:val="single" w:sz="8" w:space="0" w:color="auto"/>
            </w:tcBorders>
            <w:vAlign w:val="center"/>
          </w:tcPr>
          <w:p w:rsidR="00682D08" w:rsidRPr="00D55DC6" w:rsidRDefault="00682D08" w:rsidP="00682D08">
            <w:pPr>
              <w:spacing w:line="0" w:lineRule="atLeast"/>
              <w:jc w:val="center"/>
              <w:rPr>
                <w:rFonts w:eastAsia="標楷體"/>
                <w:kern w:val="0"/>
              </w:rPr>
            </w:pPr>
          </w:p>
        </w:tc>
        <w:tc>
          <w:tcPr>
            <w:tcW w:w="1096" w:type="dxa"/>
            <w:vMerge/>
            <w:tcBorders>
              <w:left w:val="single" w:sz="8" w:space="0" w:color="auto"/>
              <w:right w:val="single" w:sz="8" w:space="0" w:color="auto"/>
            </w:tcBorders>
            <w:vAlign w:val="center"/>
          </w:tcPr>
          <w:p w:rsidR="00682D08" w:rsidRPr="00D55DC6" w:rsidRDefault="00682D08" w:rsidP="00682D08">
            <w:pPr>
              <w:spacing w:line="0" w:lineRule="atLeast"/>
              <w:rPr>
                <w:rFonts w:eastAsia="標楷體"/>
                <w:kern w:val="0"/>
              </w:rPr>
            </w:pPr>
          </w:p>
        </w:tc>
        <w:tc>
          <w:tcPr>
            <w:tcW w:w="2448" w:type="dxa"/>
            <w:tcBorders>
              <w:top w:val="nil"/>
              <w:left w:val="nil"/>
              <w:bottom w:val="single" w:sz="8" w:space="0" w:color="auto"/>
              <w:right w:val="single" w:sz="8" w:space="0" w:color="auto"/>
            </w:tcBorders>
          </w:tcPr>
          <w:p w:rsidR="00682D08" w:rsidRPr="00D55DC6" w:rsidRDefault="00682D08" w:rsidP="00682D08">
            <w:pPr>
              <w:widowControl/>
              <w:spacing w:line="0" w:lineRule="atLeast"/>
              <w:rPr>
                <w:rFonts w:eastAsia="標楷體"/>
                <w:kern w:val="0"/>
              </w:rPr>
            </w:pPr>
            <w:r w:rsidRPr="00D55DC6">
              <w:rPr>
                <w:rFonts w:eastAsia="標楷體"/>
                <w:kern w:val="0"/>
              </w:rPr>
              <w:t>小野柳</w:t>
            </w:r>
            <w:r w:rsidRPr="00D55DC6">
              <w:rPr>
                <w:rFonts w:eastAsia="標楷體"/>
                <w:kern w:val="0"/>
              </w:rPr>
              <w:t>/</w:t>
            </w:r>
            <w:r w:rsidRPr="00D55DC6">
              <w:rPr>
                <w:rFonts w:eastAsia="標楷體"/>
                <w:kern w:val="0"/>
              </w:rPr>
              <w:t>都蘭系統</w:t>
            </w:r>
          </w:p>
        </w:tc>
        <w:tc>
          <w:tcPr>
            <w:tcW w:w="708"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szCs w:val="22"/>
              </w:rPr>
            </w:pPr>
            <w:r w:rsidRPr="00D55DC6">
              <w:rPr>
                <w:rFonts w:eastAsia="標楷體"/>
                <w:kern w:val="0"/>
                <w:szCs w:val="22"/>
              </w:rPr>
              <w:t>0.545</w:t>
            </w:r>
          </w:p>
        </w:tc>
        <w:tc>
          <w:tcPr>
            <w:tcW w:w="708"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szCs w:val="22"/>
              </w:rPr>
            </w:pPr>
            <w:r w:rsidRPr="00D55DC6">
              <w:rPr>
                <w:rFonts w:eastAsia="標楷體"/>
                <w:kern w:val="0"/>
                <w:szCs w:val="22"/>
              </w:rPr>
              <w:t>0.350</w:t>
            </w:r>
          </w:p>
        </w:tc>
        <w:tc>
          <w:tcPr>
            <w:tcW w:w="708"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szCs w:val="22"/>
              </w:rPr>
            </w:pPr>
            <w:r w:rsidRPr="00D55DC6">
              <w:rPr>
                <w:rFonts w:eastAsia="標楷體"/>
                <w:kern w:val="0"/>
                <w:szCs w:val="22"/>
              </w:rPr>
              <w:t>0.260</w:t>
            </w:r>
          </w:p>
        </w:tc>
        <w:tc>
          <w:tcPr>
            <w:tcW w:w="707"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szCs w:val="22"/>
              </w:rPr>
            </w:pPr>
            <w:r w:rsidRPr="00D55DC6">
              <w:rPr>
                <w:rFonts w:eastAsia="標楷體"/>
                <w:kern w:val="0"/>
                <w:szCs w:val="22"/>
              </w:rPr>
              <w:t>0.190</w:t>
            </w:r>
          </w:p>
        </w:tc>
        <w:tc>
          <w:tcPr>
            <w:tcW w:w="898" w:type="dxa"/>
            <w:tcBorders>
              <w:top w:val="nil"/>
              <w:left w:val="nil"/>
              <w:bottom w:val="single" w:sz="8" w:space="0" w:color="auto"/>
              <w:right w:val="single" w:sz="4" w:space="0" w:color="auto"/>
            </w:tcBorders>
            <w:shd w:val="clear" w:color="000000" w:fill="CCFFFF"/>
          </w:tcPr>
          <w:p w:rsidR="00682D08" w:rsidRPr="00D55DC6" w:rsidRDefault="00682D08" w:rsidP="00682D08">
            <w:pPr>
              <w:widowControl/>
              <w:spacing w:line="0" w:lineRule="atLeast"/>
              <w:jc w:val="right"/>
              <w:rPr>
                <w:rFonts w:eastAsia="標楷體"/>
                <w:b/>
                <w:bCs/>
                <w:kern w:val="0"/>
                <w:szCs w:val="22"/>
              </w:rPr>
            </w:pPr>
            <w:r w:rsidRPr="00D55DC6">
              <w:rPr>
                <w:rFonts w:eastAsia="標楷體"/>
                <w:b/>
                <w:bCs/>
                <w:kern w:val="0"/>
                <w:szCs w:val="22"/>
              </w:rPr>
              <w:t>1.345</w:t>
            </w:r>
          </w:p>
        </w:tc>
        <w:tc>
          <w:tcPr>
            <w:tcW w:w="1783" w:type="dxa"/>
            <w:tcBorders>
              <w:top w:val="single" w:sz="4" w:space="0" w:color="auto"/>
              <w:left w:val="single" w:sz="4" w:space="0" w:color="auto"/>
              <w:bottom w:val="single" w:sz="4" w:space="0" w:color="auto"/>
              <w:right w:val="single" w:sz="4" w:space="0" w:color="auto"/>
            </w:tcBorders>
          </w:tcPr>
          <w:p w:rsidR="00682D08" w:rsidRPr="00D55DC6" w:rsidRDefault="00D866CC" w:rsidP="00682D08">
            <w:pPr>
              <w:spacing w:line="0" w:lineRule="atLeast"/>
              <w:jc w:val="both"/>
              <w:rPr>
                <w:rFonts w:eastAsia="標楷體"/>
                <w:kern w:val="0"/>
              </w:rPr>
            </w:pPr>
            <w:r w:rsidRPr="00D55DC6">
              <w:rPr>
                <w:rFonts w:eastAsia="標楷體"/>
                <w:kern w:val="0"/>
              </w:rPr>
              <w:t>小野柳遊客中心及次旅遊服務區</w:t>
            </w:r>
          </w:p>
        </w:tc>
      </w:tr>
      <w:tr w:rsidR="001D0350" w:rsidRPr="00D55DC6" w:rsidTr="00040EDC">
        <w:trPr>
          <w:trHeight w:val="345"/>
          <w:tblHeader/>
        </w:trPr>
        <w:tc>
          <w:tcPr>
            <w:tcW w:w="400"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D866CC" w:rsidRPr="00D55DC6" w:rsidRDefault="00D866CC" w:rsidP="00040EDC">
            <w:pPr>
              <w:widowControl/>
              <w:spacing w:line="0" w:lineRule="atLeast"/>
              <w:jc w:val="center"/>
              <w:rPr>
                <w:rFonts w:eastAsia="標楷體"/>
                <w:kern w:val="0"/>
              </w:rPr>
            </w:pPr>
            <w:r w:rsidRPr="00D55DC6">
              <w:rPr>
                <w:rFonts w:eastAsia="標楷體"/>
                <w:kern w:val="0"/>
              </w:rPr>
              <w:t>科目別</w:t>
            </w:r>
          </w:p>
        </w:tc>
        <w:tc>
          <w:tcPr>
            <w:tcW w:w="904" w:type="dxa"/>
            <w:tcBorders>
              <w:top w:val="single" w:sz="8" w:space="0" w:color="auto"/>
              <w:left w:val="nil"/>
              <w:bottom w:val="single" w:sz="8" w:space="0" w:color="auto"/>
              <w:right w:val="single" w:sz="8" w:space="0" w:color="auto"/>
            </w:tcBorders>
            <w:shd w:val="clear" w:color="000000" w:fill="FFFF99"/>
            <w:vAlign w:val="center"/>
          </w:tcPr>
          <w:p w:rsidR="00D866CC" w:rsidRPr="00D55DC6" w:rsidRDefault="00D866CC" w:rsidP="00040EDC">
            <w:pPr>
              <w:widowControl/>
              <w:spacing w:line="0" w:lineRule="atLeast"/>
              <w:jc w:val="center"/>
              <w:rPr>
                <w:rFonts w:eastAsia="標楷體"/>
                <w:kern w:val="0"/>
              </w:rPr>
            </w:pPr>
            <w:r w:rsidRPr="00D55DC6">
              <w:rPr>
                <w:rFonts w:eastAsia="標楷體"/>
                <w:kern w:val="0"/>
                <w:szCs w:val="22"/>
              </w:rPr>
              <w:t>1</w:t>
            </w:r>
            <w:r w:rsidRPr="00D55DC6">
              <w:rPr>
                <w:rFonts w:eastAsia="標楷體"/>
                <w:kern w:val="0"/>
                <w:szCs w:val="22"/>
              </w:rPr>
              <w:t>級</w:t>
            </w:r>
          </w:p>
        </w:tc>
        <w:tc>
          <w:tcPr>
            <w:tcW w:w="1096" w:type="dxa"/>
            <w:tcBorders>
              <w:top w:val="single" w:sz="8" w:space="0" w:color="auto"/>
              <w:left w:val="nil"/>
              <w:bottom w:val="single" w:sz="8" w:space="0" w:color="auto"/>
              <w:right w:val="single" w:sz="8" w:space="0" w:color="auto"/>
            </w:tcBorders>
            <w:shd w:val="clear" w:color="000000" w:fill="FFFF99"/>
            <w:vAlign w:val="center"/>
          </w:tcPr>
          <w:p w:rsidR="00D866CC" w:rsidRPr="00D55DC6" w:rsidRDefault="00D866CC" w:rsidP="00040EDC">
            <w:pPr>
              <w:widowControl/>
              <w:spacing w:line="0" w:lineRule="atLeast"/>
              <w:jc w:val="center"/>
              <w:rPr>
                <w:rFonts w:eastAsia="標楷體"/>
                <w:kern w:val="0"/>
              </w:rPr>
            </w:pPr>
            <w:r w:rsidRPr="00D55DC6">
              <w:rPr>
                <w:rFonts w:eastAsia="標楷體"/>
                <w:kern w:val="0"/>
                <w:szCs w:val="22"/>
              </w:rPr>
              <w:t>2</w:t>
            </w:r>
            <w:r w:rsidRPr="00D55DC6">
              <w:rPr>
                <w:rFonts w:eastAsia="標楷體"/>
                <w:kern w:val="0"/>
                <w:szCs w:val="22"/>
              </w:rPr>
              <w:t>級</w:t>
            </w:r>
          </w:p>
        </w:tc>
        <w:tc>
          <w:tcPr>
            <w:tcW w:w="2448"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D866CC" w:rsidRPr="00D55DC6" w:rsidRDefault="00D866CC" w:rsidP="00040EDC">
            <w:pPr>
              <w:widowControl/>
              <w:spacing w:line="0" w:lineRule="atLeast"/>
              <w:jc w:val="center"/>
              <w:rPr>
                <w:rFonts w:eastAsia="標楷體"/>
                <w:kern w:val="0"/>
              </w:rPr>
            </w:pPr>
            <w:r w:rsidRPr="00D55DC6">
              <w:rPr>
                <w:rFonts w:eastAsia="標楷體"/>
                <w:kern w:val="0"/>
                <w:szCs w:val="22"/>
              </w:rPr>
              <w:t>投資重點</w:t>
            </w:r>
          </w:p>
        </w:tc>
        <w:tc>
          <w:tcPr>
            <w:tcW w:w="708"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D866CC" w:rsidRPr="00D55DC6" w:rsidRDefault="00D866CC" w:rsidP="00040EDC">
            <w:pPr>
              <w:widowControl/>
              <w:spacing w:line="0" w:lineRule="atLeast"/>
              <w:jc w:val="center"/>
              <w:rPr>
                <w:rFonts w:eastAsia="標楷體"/>
                <w:kern w:val="0"/>
              </w:rPr>
            </w:pPr>
            <w:r w:rsidRPr="00D55DC6">
              <w:rPr>
                <w:rFonts w:eastAsia="標楷體"/>
                <w:kern w:val="0"/>
                <w:szCs w:val="22"/>
              </w:rPr>
              <w:t>105</w:t>
            </w:r>
            <w:r w:rsidRPr="00D55DC6">
              <w:rPr>
                <w:rFonts w:eastAsia="標楷體"/>
                <w:kern w:val="0"/>
                <w:szCs w:val="22"/>
              </w:rPr>
              <w:t>年</w:t>
            </w:r>
          </w:p>
        </w:tc>
        <w:tc>
          <w:tcPr>
            <w:tcW w:w="708"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D866CC" w:rsidRPr="00D55DC6" w:rsidRDefault="00D866CC" w:rsidP="00040EDC">
            <w:pPr>
              <w:widowControl/>
              <w:spacing w:line="0" w:lineRule="atLeast"/>
              <w:jc w:val="center"/>
              <w:rPr>
                <w:rFonts w:eastAsia="標楷體"/>
                <w:kern w:val="0"/>
              </w:rPr>
            </w:pPr>
            <w:r w:rsidRPr="00D55DC6">
              <w:rPr>
                <w:rFonts w:eastAsia="標楷體"/>
                <w:kern w:val="0"/>
                <w:szCs w:val="22"/>
              </w:rPr>
              <w:t>106</w:t>
            </w:r>
            <w:r w:rsidRPr="00D55DC6">
              <w:rPr>
                <w:rFonts w:eastAsia="標楷體"/>
                <w:kern w:val="0"/>
                <w:szCs w:val="22"/>
              </w:rPr>
              <w:t>年</w:t>
            </w:r>
          </w:p>
        </w:tc>
        <w:tc>
          <w:tcPr>
            <w:tcW w:w="708"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D866CC" w:rsidRPr="00D55DC6" w:rsidRDefault="00D866CC" w:rsidP="00040EDC">
            <w:pPr>
              <w:widowControl/>
              <w:spacing w:line="0" w:lineRule="atLeast"/>
              <w:jc w:val="center"/>
              <w:rPr>
                <w:rFonts w:eastAsia="標楷體"/>
                <w:kern w:val="0"/>
              </w:rPr>
            </w:pPr>
            <w:r w:rsidRPr="00D55DC6">
              <w:rPr>
                <w:rFonts w:eastAsia="標楷體"/>
                <w:kern w:val="0"/>
                <w:szCs w:val="22"/>
              </w:rPr>
              <w:t>107</w:t>
            </w:r>
            <w:r w:rsidRPr="00D55DC6">
              <w:rPr>
                <w:rFonts w:eastAsia="標楷體"/>
                <w:kern w:val="0"/>
                <w:szCs w:val="22"/>
              </w:rPr>
              <w:t>年</w:t>
            </w:r>
          </w:p>
        </w:tc>
        <w:tc>
          <w:tcPr>
            <w:tcW w:w="707"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D866CC" w:rsidRPr="00D55DC6" w:rsidRDefault="00D866CC" w:rsidP="00040EDC">
            <w:pPr>
              <w:widowControl/>
              <w:spacing w:line="0" w:lineRule="atLeast"/>
              <w:jc w:val="center"/>
              <w:rPr>
                <w:rFonts w:eastAsia="標楷體"/>
                <w:kern w:val="0"/>
              </w:rPr>
            </w:pPr>
            <w:r w:rsidRPr="00D55DC6">
              <w:rPr>
                <w:rFonts w:eastAsia="標楷體"/>
                <w:kern w:val="0"/>
                <w:szCs w:val="22"/>
              </w:rPr>
              <w:t>108</w:t>
            </w:r>
            <w:r w:rsidRPr="00D55DC6">
              <w:rPr>
                <w:rFonts w:eastAsia="標楷體"/>
                <w:kern w:val="0"/>
                <w:szCs w:val="22"/>
              </w:rPr>
              <w:t>年</w:t>
            </w:r>
          </w:p>
        </w:tc>
        <w:tc>
          <w:tcPr>
            <w:tcW w:w="898"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D866CC" w:rsidRPr="00D55DC6" w:rsidRDefault="00D866CC" w:rsidP="00040EDC">
            <w:pPr>
              <w:widowControl/>
              <w:spacing w:line="0" w:lineRule="atLeast"/>
              <w:jc w:val="center"/>
              <w:rPr>
                <w:rFonts w:eastAsia="標楷體"/>
                <w:kern w:val="0"/>
                <w:szCs w:val="22"/>
              </w:rPr>
            </w:pPr>
            <w:r w:rsidRPr="00D55DC6">
              <w:rPr>
                <w:rFonts w:eastAsia="標楷體"/>
                <w:kern w:val="0"/>
                <w:szCs w:val="22"/>
              </w:rPr>
              <w:t>合計</w:t>
            </w:r>
          </w:p>
        </w:tc>
        <w:tc>
          <w:tcPr>
            <w:tcW w:w="1783"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D866CC" w:rsidRPr="00D55DC6" w:rsidRDefault="00D866CC" w:rsidP="00040EDC">
            <w:pPr>
              <w:widowControl/>
              <w:spacing w:line="0" w:lineRule="atLeast"/>
              <w:jc w:val="center"/>
              <w:rPr>
                <w:rFonts w:eastAsia="標楷體"/>
                <w:kern w:val="0"/>
              </w:rPr>
            </w:pPr>
            <w:r w:rsidRPr="00D55DC6">
              <w:rPr>
                <w:rFonts w:eastAsia="標楷體"/>
                <w:kern w:val="0"/>
                <w:szCs w:val="22"/>
              </w:rPr>
              <w:t>工作內容</w:t>
            </w:r>
          </w:p>
        </w:tc>
      </w:tr>
      <w:tr w:rsidR="001D0350" w:rsidRPr="00D55DC6" w:rsidTr="00040EDC">
        <w:trPr>
          <w:trHeight w:val="227"/>
          <w:tblHeader/>
        </w:trPr>
        <w:tc>
          <w:tcPr>
            <w:tcW w:w="400" w:type="dxa"/>
            <w:vMerge/>
            <w:tcBorders>
              <w:top w:val="single" w:sz="8" w:space="0" w:color="auto"/>
              <w:left w:val="single" w:sz="8" w:space="0" w:color="auto"/>
              <w:bottom w:val="single" w:sz="8" w:space="0" w:color="auto"/>
              <w:right w:val="single" w:sz="8" w:space="0" w:color="auto"/>
            </w:tcBorders>
            <w:vAlign w:val="center"/>
          </w:tcPr>
          <w:p w:rsidR="00D866CC" w:rsidRPr="00D55DC6" w:rsidRDefault="00D866CC" w:rsidP="00040EDC">
            <w:pPr>
              <w:widowControl/>
              <w:spacing w:line="0" w:lineRule="atLeast"/>
              <w:rPr>
                <w:rFonts w:eastAsia="標楷體"/>
                <w:kern w:val="0"/>
              </w:rPr>
            </w:pPr>
          </w:p>
        </w:tc>
        <w:tc>
          <w:tcPr>
            <w:tcW w:w="904" w:type="dxa"/>
            <w:tcBorders>
              <w:top w:val="nil"/>
              <w:left w:val="nil"/>
              <w:bottom w:val="single" w:sz="8" w:space="0" w:color="auto"/>
              <w:right w:val="single" w:sz="8" w:space="0" w:color="auto"/>
            </w:tcBorders>
            <w:shd w:val="clear" w:color="000000" w:fill="FFFF99"/>
            <w:vAlign w:val="center"/>
          </w:tcPr>
          <w:p w:rsidR="00D866CC" w:rsidRPr="00D55DC6" w:rsidRDefault="00D866CC" w:rsidP="00040EDC">
            <w:pPr>
              <w:widowControl/>
              <w:spacing w:line="0" w:lineRule="atLeast"/>
              <w:jc w:val="center"/>
              <w:rPr>
                <w:rFonts w:eastAsia="標楷體"/>
                <w:kern w:val="0"/>
              </w:rPr>
            </w:pPr>
            <w:r w:rsidRPr="00D55DC6">
              <w:rPr>
                <w:rFonts w:eastAsia="標楷體"/>
                <w:kern w:val="0"/>
                <w:szCs w:val="22"/>
              </w:rPr>
              <w:t>用途別</w:t>
            </w:r>
          </w:p>
        </w:tc>
        <w:tc>
          <w:tcPr>
            <w:tcW w:w="1096" w:type="dxa"/>
            <w:tcBorders>
              <w:top w:val="nil"/>
              <w:left w:val="nil"/>
              <w:bottom w:val="single" w:sz="8" w:space="0" w:color="auto"/>
              <w:right w:val="single" w:sz="8" w:space="0" w:color="auto"/>
            </w:tcBorders>
            <w:shd w:val="clear" w:color="000000" w:fill="FFFF99"/>
            <w:vAlign w:val="center"/>
          </w:tcPr>
          <w:p w:rsidR="00D866CC" w:rsidRPr="00D55DC6" w:rsidRDefault="00D866CC" w:rsidP="00040EDC">
            <w:pPr>
              <w:widowControl/>
              <w:spacing w:line="0" w:lineRule="atLeast"/>
              <w:jc w:val="center"/>
              <w:rPr>
                <w:rFonts w:eastAsia="標楷體"/>
                <w:kern w:val="0"/>
              </w:rPr>
            </w:pPr>
            <w:r w:rsidRPr="00D55DC6">
              <w:rPr>
                <w:rFonts w:eastAsia="標楷體"/>
                <w:kern w:val="0"/>
                <w:szCs w:val="22"/>
              </w:rPr>
              <w:t>用途別</w:t>
            </w:r>
          </w:p>
        </w:tc>
        <w:tc>
          <w:tcPr>
            <w:tcW w:w="2448" w:type="dxa"/>
            <w:vMerge/>
            <w:tcBorders>
              <w:top w:val="single" w:sz="8" w:space="0" w:color="auto"/>
              <w:left w:val="single" w:sz="8" w:space="0" w:color="auto"/>
              <w:bottom w:val="single" w:sz="8" w:space="0" w:color="auto"/>
              <w:right w:val="single" w:sz="8" w:space="0" w:color="auto"/>
            </w:tcBorders>
            <w:vAlign w:val="center"/>
          </w:tcPr>
          <w:p w:rsidR="00D866CC" w:rsidRPr="00D55DC6" w:rsidRDefault="00D866CC" w:rsidP="00040EDC">
            <w:pPr>
              <w:widowControl/>
              <w:spacing w:line="0" w:lineRule="atLeast"/>
              <w:rPr>
                <w:rFonts w:eastAsia="標楷體"/>
                <w:kern w:val="0"/>
              </w:rPr>
            </w:pPr>
          </w:p>
        </w:tc>
        <w:tc>
          <w:tcPr>
            <w:tcW w:w="708" w:type="dxa"/>
            <w:vMerge/>
            <w:tcBorders>
              <w:top w:val="single" w:sz="8" w:space="0" w:color="auto"/>
              <w:left w:val="single" w:sz="8" w:space="0" w:color="auto"/>
              <w:bottom w:val="single" w:sz="8" w:space="0" w:color="000000"/>
              <w:right w:val="single" w:sz="8" w:space="0" w:color="auto"/>
            </w:tcBorders>
            <w:vAlign w:val="center"/>
          </w:tcPr>
          <w:p w:rsidR="00D866CC" w:rsidRPr="00D55DC6" w:rsidRDefault="00D866CC" w:rsidP="00040EDC">
            <w:pPr>
              <w:widowControl/>
              <w:spacing w:line="0" w:lineRule="atLeast"/>
              <w:rPr>
                <w:rFonts w:eastAsia="標楷體"/>
                <w:kern w:val="0"/>
              </w:rPr>
            </w:pPr>
          </w:p>
        </w:tc>
        <w:tc>
          <w:tcPr>
            <w:tcW w:w="708" w:type="dxa"/>
            <w:vMerge/>
            <w:tcBorders>
              <w:top w:val="single" w:sz="8" w:space="0" w:color="auto"/>
              <w:left w:val="single" w:sz="8" w:space="0" w:color="auto"/>
              <w:bottom w:val="single" w:sz="8" w:space="0" w:color="000000"/>
              <w:right w:val="single" w:sz="8" w:space="0" w:color="auto"/>
            </w:tcBorders>
            <w:vAlign w:val="center"/>
          </w:tcPr>
          <w:p w:rsidR="00D866CC" w:rsidRPr="00D55DC6" w:rsidRDefault="00D866CC" w:rsidP="00040EDC">
            <w:pPr>
              <w:widowControl/>
              <w:spacing w:line="0" w:lineRule="atLeast"/>
              <w:rPr>
                <w:rFonts w:eastAsia="標楷體"/>
                <w:kern w:val="0"/>
              </w:rPr>
            </w:pPr>
          </w:p>
        </w:tc>
        <w:tc>
          <w:tcPr>
            <w:tcW w:w="708" w:type="dxa"/>
            <w:vMerge/>
            <w:tcBorders>
              <w:top w:val="single" w:sz="8" w:space="0" w:color="auto"/>
              <w:left w:val="single" w:sz="8" w:space="0" w:color="auto"/>
              <w:bottom w:val="single" w:sz="8" w:space="0" w:color="000000"/>
              <w:right w:val="single" w:sz="8" w:space="0" w:color="auto"/>
            </w:tcBorders>
            <w:vAlign w:val="center"/>
          </w:tcPr>
          <w:p w:rsidR="00D866CC" w:rsidRPr="00D55DC6" w:rsidRDefault="00D866CC" w:rsidP="00040EDC">
            <w:pPr>
              <w:widowControl/>
              <w:spacing w:line="0" w:lineRule="atLeast"/>
              <w:rPr>
                <w:rFonts w:eastAsia="標楷體"/>
                <w:kern w:val="0"/>
              </w:rPr>
            </w:pPr>
          </w:p>
        </w:tc>
        <w:tc>
          <w:tcPr>
            <w:tcW w:w="707" w:type="dxa"/>
            <w:vMerge/>
            <w:tcBorders>
              <w:top w:val="single" w:sz="8" w:space="0" w:color="auto"/>
              <w:left w:val="single" w:sz="8" w:space="0" w:color="auto"/>
              <w:bottom w:val="single" w:sz="8" w:space="0" w:color="000000"/>
              <w:right w:val="single" w:sz="8" w:space="0" w:color="auto"/>
            </w:tcBorders>
            <w:vAlign w:val="center"/>
          </w:tcPr>
          <w:p w:rsidR="00D866CC" w:rsidRPr="00D55DC6" w:rsidRDefault="00D866CC" w:rsidP="00040EDC">
            <w:pPr>
              <w:widowControl/>
              <w:spacing w:line="0" w:lineRule="atLeast"/>
              <w:rPr>
                <w:rFonts w:eastAsia="標楷體"/>
                <w:kern w:val="0"/>
              </w:rPr>
            </w:pPr>
          </w:p>
        </w:tc>
        <w:tc>
          <w:tcPr>
            <w:tcW w:w="898" w:type="dxa"/>
            <w:vMerge/>
            <w:tcBorders>
              <w:top w:val="single" w:sz="8" w:space="0" w:color="auto"/>
              <w:left w:val="single" w:sz="8" w:space="0" w:color="auto"/>
              <w:bottom w:val="single" w:sz="8" w:space="0" w:color="000000"/>
              <w:right w:val="single" w:sz="8" w:space="0" w:color="auto"/>
            </w:tcBorders>
            <w:vAlign w:val="center"/>
          </w:tcPr>
          <w:p w:rsidR="00D866CC" w:rsidRPr="00D55DC6" w:rsidRDefault="00D866CC" w:rsidP="00040EDC">
            <w:pPr>
              <w:widowControl/>
              <w:spacing w:line="0" w:lineRule="atLeast"/>
              <w:rPr>
                <w:rFonts w:eastAsia="標楷體"/>
                <w:kern w:val="0"/>
              </w:rPr>
            </w:pPr>
          </w:p>
        </w:tc>
        <w:tc>
          <w:tcPr>
            <w:tcW w:w="1783" w:type="dxa"/>
            <w:vMerge/>
            <w:tcBorders>
              <w:top w:val="single" w:sz="8" w:space="0" w:color="auto"/>
              <w:left w:val="single" w:sz="8" w:space="0" w:color="auto"/>
              <w:bottom w:val="single" w:sz="8" w:space="0" w:color="auto"/>
              <w:right w:val="single" w:sz="8" w:space="0" w:color="auto"/>
            </w:tcBorders>
            <w:vAlign w:val="center"/>
          </w:tcPr>
          <w:p w:rsidR="00D866CC" w:rsidRPr="00D55DC6" w:rsidRDefault="00D866CC" w:rsidP="00040EDC">
            <w:pPr>
              <w:widowControl/>
              <w:spacing w:line="0" w:lineRule="atLeast"/>
              <w:rPr>
                <w:rFonts w:eastAsia="標楷體"/>
                <w:kern w:val="0"/>
              </w:rPr>
            </w:pPr>
          </w:p>
        </w:tc>
      </w:tr>
      <w:tr w:rsidR="001D0350" w:rsidRPr="00D55DC6" w:rsidTr="00D866CC">
        <w:trPr>
          <w:trHeight w:val="190"/>
        </w:trPr>
        <w:tc>
          <w:tcPr>
            <w:tcW w:w="400" w:type="dxa"/>
            <w:vMerge w:val="restart"/>
            <w:tcBorders>
              <w:top w:val="nil"/>
              <w:left w:val="single" w:sz="8" w:space="0" w:color="auto"/>
              <w:bottom w:val="nil"/>
              <w:right w:val="single" w:sz="8" w:space="0" w:color="auto"/>
            </w:tcBorders>
            <w:vAlign w:val="center"/>
          </w:tcPr>
          <w:p w:rsidR="00682D08" w:rsidRPr="00D55DC6" w:rsidRDefault="00682D08" w:rsidP="00682D08">
            <w:pPr>
              <w:widowControl/>
              <w:spacing w:line="0" w:lineRule="atLeast"/>
              <w:rPr>
                <w:rFonts w:eastAsia="標楷體"/>
                <w:kern w:val="0"/>
              </w:rPr>
            </w:pPr>
          </w:p>
        </w:tc>
        <w:tc>
          <w:tcPr>
            <w:tcW w:w="904" w:type="dxa"/>
            <w:vMerge w:val="restart"/>
            <w:tcBorders>
              <w:left w:val="single" w:sz="8" w:space="0" w:color="auto"/>
              <w:right w:val="single" w:sz="8" w:space="0" w:color="auto"/>
            </w:tcBorders>
            <w:vAlign w:val="center"/>
          </w:tcPr>
          <w:p w:rsidR="00682D08" w:rsidRPr="00D55DC6" w:rsidRDefault="00682D08" w:rsidP="00682D08">
            <w:pPr>
              <w:spacing w:line="0" w:lineRule="atLeast"/>
              <w:jc w:val="center"/>
              <w:rPr>
                <w:rFonts w:eastAsia="標楷體"/>
                <w:kern w:val="0"/>
              </w:rPr>
            </w:pPr>
          </w:p>
        </w:tc>
        <w:tc>
          <w:tcPr>
            <w:tcW w:w="1096" w:type="dxa"/>
            <w:vMerge w:val="restart"/>
            <w:tcBorders>
              <w:left w:val="single" w:sz="8" w:space="0" w:color="auto"/>
              <w:right w:val="single" w:sz="8" w:space="0" w:color="auto"/>
            </w:tcBorders>
            <w:vAlign w:val="center"/>
          </w:tcPr>
          <w:p w:rsidR="00682D08" w:rsidRPr="00D55DC6" w:rsidRDefault="00682D08" w:rsidP="00682D08">
            <w:pPr>
              <w:spacing w:line="0" w:lineRule="atLeast"/>
              <w:rPr>
                <w:rFonts w:eastAsia="標楷體"/>
                <w:kern w:val="0"/>
              </w:rPr>
            </w:pPr>
          </w:p>
        </w:tc>
        <w:tc>
          <w:tcPr>
            <w:tcW w:w="2448" w:type="dxa"/>
            <w:tcBorders>
              <w:top w:val="nil"/>
              <w:left w:val="nil"/>
              <w:bottom w:val="single" w:sz="8" w:space="0" w:color="auto"/>
              <w:right w:val="single" w:sz="8" w:space="0" w:color="auto"/>
            </w:tcBorders>
          </w:tcPr>
          <w:p w:rsidR="00682D08" w:rsidRPr="00D55DC6" w:rsidRDefault="00682D08" w:rsidP="00682D08">
            <w:pPr>
              <w:widowControl/>
              <w:spacing w:line="0" w:lineRule="atLeast"/>
              <w:rPr>
                <w:rFonts w:eastAsia="標楷體"/>
                <w:kern w:val="0"/>
              </w:rPr>
            </w:pPr>
            <w:r w:rsidRPr="00D55DC6">
              <w:rPr>
                <w:rFonts w:eastAsia="標楷體"/>
                <w:kern w:val="0"/>
              </w:rPr>
              <w:t>成功</w:t>
            </w:r>
            <w:r w:rsidRPr="00D55DC6">
              <w:rPr>
                <w:rFonts w:eastAsia="標楷體"/>
                <w:kern w:val="0"/>
              </w:rPr>
              <w:t>/</w:t>
            </w:r>
            <w:r w:rsidRPr="00D55DC6">
              <w:rPr>
                <w:rFonts w:eastAsia="標楷體"/>
                <w:kern w:val="0"/>
              </w:rPr>
              <w:t>三仙台系統</w:t>
            </w:r>
          </w:p>
        </w:tc>
        <w:tc>
          <w:tcPr>
            <w:tcW w:w="708"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szCs w:val="22"/>
              </w:rPr>
            </w:pPr>
            <w:r w:rsidRPr="00D55DC6">
              <w:rPr>
                <w:rFonts w:eastAsia="標楷體"/>
                <w:kern w:val="0"/>
                <w:szCs w:val="22"/>
              </w:rPr>
              <w:t>0.330</w:t>
            </w:r>
          </w:p>
        </w:tc>
        <w:tc>
          <w:tcPr>
            <w:tcW w:w="708"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szCs w:val="22"/>
              </w:rPr>
            </w:pPr>
            <w:r w:rsidRPr="00D55DC6">
              <w:rPr>
                <w:rFonts w:eastAsia="標楷體"/>
                <w:kern w:val="0"/>
                <w:szCs w:val="22"/>
              </w:rPr>
              <w:t>0.360</w:t>
            </w:r>
          </w:p>
        </w:tc>
        <w:tc>
          <w:tcPr>
            <w:tcW w:w="708"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szCs w:val="22"/>
              </w:rPr>
            </w:pPr>
            <w:r w:rsidRPr="00D55DC6">
              <w:rPr>
                <w:rFonts w:eastAsia="標楷體"/>
                <w:kern w:val="0"/>
                <w:szCs w:val="22"/>
              </w:rPr>
              <w:t>0.360</w:t>
            </w:r>
          </w:p>
        </w:tc>
        <w:tc>
          <w:tcPr>
            <w:tcW w:w="707"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szCs w:val="22"/>
              </w:rPr>
            </w:pPr>
            <w:r w:rsidRPr="00D55DC6">
              <w:rPr>
                <w:rFonts w:eastAsia="標楷體"/>
                <w:kern w:val="0"/>
                <w:szCs w:val="22"/>
              </w:rPr>
              <w:t>0.335</w:t>
            </w:r>
          </w:p>
        </w:tc>
        <w:tc>
          <w:tcPr>
            <w:tcW w:w="898" w:type="dxa"/>
            <w:tcBorders>
              <w:top w:val="nil"/>
              <w:left w:val="nil"/>
              <w:bottom w:val="single" w:sz="8" w:space="0" w:color="auto"/>
              <w:right w:val="single" w:sz="4" w:space="0" w:color="auto"/>
            </w:tcBorders>
            <w:shd w:val="clear" w:color="000000" w:fill="CCFFFF"/>
          </w:tcPr>
          <w:p w:rsidR="00682D08" w:rsidRPr="00D55DC6" w:rsidRDefault="00682D08" w:rsidP="00682D08">
            <w:pPr>
              <w:widowControl/>
              <w:spacing w:line="0" w:lineRule="atLeast"/>
              <w:jc w:val="right"/>
              <w:rPr>
                <w:rFonts w:eastAsia="標楷體"/>
                <w:b/>
                <w:bCs/>
                <w:kern w:val="0"/>
                <w:szCs w:val="22"/>
              </w:rPr>
            </w:pPr>
            <w:r w:rsidRPr="00D55DC6">
              <w:rPr>
                <w:rFonts w:eastAsia="標楷體"/>
                <w:b/>
                <w:bCs/>
                <w:kern w:val="0"/>
                <w:szCs w:val="22"/>
              </w:rPr>
              <w:t>1.385</w:t>
            </w:r>
          </w:p>
        </w:tc>
        <w:tc>
          <w:tcPr>
            <w:tcW w:w="1783" w:type="dxa"/>
            <w:tcBorders>
              <w:top w:val="single" w:sz="4" w:space="0" w:color="auto"/>
              <w:left w:val="single" w:sz="4" w:space="0" w:color="auto"/>
              <w:bottom w:val="single" w:sz="4" w:space="0" w:color="auto"/>
              <w:right w:val="single" w:sz="4" w:space="0" w:color="auto"/>
            </w:tcBorders>
          </w:tcPr>
          <w:p w:rsidR="00682D08" w:rsidRPr="00D55DC6" w:rsidRDefault="00D866CC" w:rsidP="00682D08">
            <w:pPr>
              <w:spacing w:line="0" w:lineRule="atLeast"/>
              <w:jc w:val="both"/>
              <w:rPr>
                <w:rFonts w:eastAsia="標楷體"/>
                <w:kern w:val="0"/>
              </w:rPr>
            </w:pPr>
            <w:r w:rsidRPr="00D55DC6">
              <w:rPr>
                <w:rFonts w:eastAsia="標楷體"/>
                <w:kern w:val="0"/>
              </w:rPr>
              <w:t>成功海濱公園、石雨傘遊憩區</w:t>
            </w:r>
          </w:p>
        </w:tc>
      </w:tr>
      <w:tr w:rsidR="001D0350" w:rsidRPr="00D55DC6" w:rsidTr="00D866CC">
        <w:trPr>
          <w:trHeight w:val="625"/>
        </w:trPr>
        <w:tc>
          <w:tcPr>
            <w:tcW w:w="400" w:type="dxa"/>
            <w:vMerge/>
            <w:tcBorders>
              <w:top w:val="nil"/>
              <w:left w:val="single" w:sz="8" w:space="0" w:color="auto"/>
              <w:bottom w:val="nil"/>
              <w:right w:val="single" w:sz="8" w:space="0" w:color="auto"/>
            </w:tcBorders>
            <w:vAlign w:val="center"/>
          </w:tcPr>
          <w:p w:rsidR="00682D08" w:rsidRPr="00D55DC6" w:rsidRDefault="00682D08" w:rsidP="00682D08">
            <w:pPr>
              <w:widowControl/>
              <w:spacing w:line="0" w:lineRule="atLeast"/>
              <w:rPr>
                <w:rFonts w:eastAsia="標楷體"/>
                <w:kern w:val="0"/>
              </w:rPr>
            </w:pPr>
          </w:p>
        </w:tc>
        <w:tc>
          <w:tcPr>
            <w:tcW w:w="904" w:type="dxa"/>
            <w:vMerge/>
            <w:tcBorders>
              <w:left w:val="single" w:sz="8" w:space="0" w:color="auto"/>
              <w:right w:val="single" w:sz="8" w:space="0" w:color="auto"/>
            </w:tcBorders>
            <w:vAlign w:val="center"/>
          </w:tcPr>
          <w:p w:rsidR="00682D08" w:rsidRPr="00D55DC6" w:rsidRDefault="00682D08" w:rsidP="00682D08">
            <w:pPr>
              <w:spacing w:line="0" w:lineRule="atLeast"/>
              <w:jc w:val="center"/>
              <w:rPr>
                <w:rFonts w:eastAsia="標楷體"/>
                <w:kern w:val="0"/>
              </w:rPr>
            </w:pPr>
          </w:p>
        </w:tc>
        <w:tc>
          <w:tcPr>
            <w:tcW w:w="1096" w:type="dxa"/>
            <w:vMerge/>
            <w:tcBorders>
              <w:left w:val="single" w:sz="8" w:space="0" w:color="auto"/>
              <w:right w:val="single" w:sz="8" w:space="0" w:color="auto"/>
            </w:tcBorders>
            <w:vAlign w:val="center"/>
          </w:tcPr>
          <w:p w:rsidR="00682D08" w:rsidRPr="00D55DC6" w:rsidRDefault="00682D08" w:rsidP="00682D08">
            <w:pPr>
              <w:spacing w:line="0" w:lineRule="atLeast"/>
              <w:rPr>
                <w:rFonts w:eastAsia="標楷體"/>
                <w:kern w:val="0"/>
              </w:rPr>
            </w:pPr>
          </w:p>
        </w:tc>
        <w:tc>
          <w:tcPr>
            <w:tcW w:w="2448" w:type="dxa"/>
            <w:tcBorders>
              <w:top w:val="nil"/>
              <w:left w:val="nil"/>
              <w:bottom w:val="single" w:sz="8" w:space="0" w:color="auto"/>
              <w:right w:val="single" w:sz="8" w:space="0" w:color="auto"/>
            </w:tcBorders>
          </w:tcPr>
          <w:p w:rsidR="00682D08" w:rsidRPr="00D55DC6" w:rsidRDefault="00682D08" w:rsidP="00682D08">
            <w:pPr>
              <w:widowControl/>
              <w:spacing w:line="0" w:lineRule="atLeast"/>
              <w:rPr>
                <w:rFonts w:eastAsia="標楷體"/>
                <w:kern w:val="0"/>
              </w:rPr>
            </w:pPr>
            <w:r w:rsidRPr="00D55DC6">
              <w:rPr>
                <w:rFonts w:eastAsia="標楷體"/>
                <w:kern w:val="0"/>
              </w:rPr>
              <w:t>石梯</w:t>
            </w:r>
            <w:r w:rsidRPr="00D55DC6">
              <w:rPr>
                <w:rFonts w:eastAsia="標楷體"/>
                <w:kern w:val="0"/>
              </w:rPr>
              <w:t>/</w:t>
            </w:r>
            <w:r w:rsidRPr="00D55DC6">
              <w:rPr>
                <w:rFonts w:eastAsia="標楷體"/>
                <w:kern w:val="0"/>
              </w:rPr>
              <w:t>秀姑巒系統</w:t>
            </w:r>
          </w:p>
        </w:tc>
        <w:tc>
          <w:tcPr>
            <w:tcW w:w="708"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szCs w:val="22"/>
              </w:rPr>
            </w:pPr>
            <w:r w:rsidRPr="00D55DC6">
              <w:rPr>
                <w:rFonts w:eastAsia="標楷體"/>
                <w:kern w:val="0"/>
                <w:szCs w:val="22"/>
              </w:rPr>
              <w:t>0.190</w:t>
            </w:r>
          </w:p>
        </w:tc>
        <w:tc>
          <w:tcPr>
            <w:tcW w:w="708"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szCs w:val="22"/>
              </w:rPr>
            </w:pPr>
            <w:r w:rsidRPr="00D55DC6">
              <w:rPr>
                <w:rFonts w:eastAsia="標楷體"/>
                <w:kern w:val="0"/>
                <w:szCs w:val="22"/>
              </w:rPr>
              <w:t>0.300</w:t>
            </w:r>
          </w:p>
        </w:tc>
        <w:tc>
          <w:tcPr>
            <w:tcW w:w="708"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szCs w:val="22"/>
              </w:rPr>
            </w:pPr>
            <w:r w:rsidRPr="00D55DC6">
              <w:rPr>
                <w:rFonts w:eastAsia="標楷體"/>
                <w:kern w:val="0"/>
                <w:szCs w:val="22"/>
              </w:rPr>
              <w:t>0.380</w:t>
            </w:r>
          </w:p>
        </w:tc>
        <w:tc>
          <w:tcPr>
            <w:tcW w:w="707"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szCs w:val="22"/>
              </w:rPr>
            </w:pPr>
            <w:r w:rsidRPr="00D55DC6">
              <w:rPr>
                <w:rFonts w:eastAsia="標楷體"/>
                <w:kern w:val="0"/>
                <w:szCs w:val="22"/>
              </w:rPr>
              <w:t>0.495</w:t>
            </w:r>
          </w:p>
        </w:tc>
        <w:tc>
          <w:tcPr>
            <w:tcW w:w="898" w:type="dxa"/>
            <w:tcBorders>
              <w:top w:val="nil"/>
              <w:left w:val="nil"/>
              <w:bottom w:val="single" w:sz="8" w:space="0" w:color="auto"/>
              <w:right w:val="single" w:sz="4" w:space="0" w:color="auto"/>
            </w:tcBorders>
            <w:shd w:val="clear" w:color="000000" w:fill="CCFFFF"/>
          </w:tcPr>
          <w:p w:rsidR="00682D08" w:rsidRPr="00D55DC6" w:rsidRDefault="00682D08" w:rsidP="00682D08">
            <w:pPr>
              <w:widowControl/>
              <w:spacing w:line="0" w:lineRule="atLeast"/>
              <w:jc w:val="right"/>
              <w:rPr>
                <w:rFonts w:eastAsia="標楷體"/>
                <w:b/>
                <w:bCs/>
                <w:kern w:val="0"/>
                <w:szCs w:val="22"/>
              </w:rPr>
            </w:pPr>
            <w:r w:rsidRPr="00D55DC6">
              <w:rPr>
                <w:rFonts w:eastAsia="標楷體"/>
                <w:b/>
                <w:bCs/>
                <w:kern w:val="0"/>
                <w:szCs w:val="22"/>
              </w:rPr>
              <w:t>1.365</w:t>
            </w:r>
          </w:p>
        </w:tc>
        <w:tc>
          <w:tcPr>
            <w:tcW w:w="1783" w:type="dxa"/>
            <w:tcBorders>
              <w:top w:val="single" w:sz="4" w:space="0" w:color="auto"/>
              <w:left w:val="single" w:sz="4" w:space="0" w:color="auto"/>
              <w:bottom w:val="single" w:sz="4" w:space="0" w:color="auto"/>
              <w:right w:val="single" w:sz="4" w:space="0" w:color="auto"/>
            </w:tcBorders>
          </w:tcPr>
          <w:p w:rsidR="00682D08" w:rsidRPr="00D55DC6" w:rsidRDefault="00D866CC" w:rsidP="00682D08">
            <w:pPr>
              <w:spacing w:line="0" w:lineRule="atLeast"/>
              <w:jc w:val="both"/>
              <w:rPr>
                <w:rFonts w:eastAsia="標楷體"/>
                <w:kern w:val="0"/>
              </w:rPr>
            </w:pPr>
            <w:r w:rsidRPr="00D55DC6">
              <w:rPr>
                <w:rFonts w:eastAsia="標楷體"/>
                <w:kern w:val="0"/>
              </w:rPr>
              <w:t>八仙洞遊憩區、秀姑巒溪遊客中心、靜浦及長虹橋</w:t>
            </w:r>
          </w:p>
        </w:tc>
      </w:tr>
      <w:tr w:rsidR="001D0350" w:rsidRPr="00D55DC6" w:rsidTr="00D866CC">
        <w:trPr>
          <w:trHeight w:val="345"/>
        </w:trPr>
        <w:tc>
          <w:tcPr>
            <w:tcW w:w="400" w:type="dxa"/>
            <w:vMerge/>
            <w:tcBorders>
              <w:top w:val="nil"/>
              <w:left w:val="single" w:sz="8" w:space="0" w:color="auto"/>
              <w:bottom w:val="nil"/>
              <w:right w:val="single" w:sz="8" w:space="0" w:color="auto"/>
            </w:tcBorders>
            <w:vAlign w:val="center"/>
          </w:tcPr>
          <w:p w:rsidR="00682D08" w:rsidRPr="00D55DC6" w:rsidRDefault="00682D08" w:rsidP="00682D08">
            <w:pPr>
              <w:widowControl/>
              <w:spacing w:line="0" w:lineRule="atLeast"/>
              <w:rPr>
                <w:rFonts w:eastAsia="標楷體"/>
                <w:kern w:val="0"/>
              </w:rPr>
            </w:pPr>
          </w:p>
        </w:tc>
        <w:tc>
          <w:tcPr>
            <w:tcW w:w="904" w:type="dxa"/>
            <w:vMerge/>
            <w:tcBorders>
              <w:left w:val="single" w:sz="8" w:space="0" w:color="auto"/>
              <w:right w:val="single" w:sz="8" w:space="0" w:color="auto"/>
            </w:tcBorders>
            <w:vAlign w:val="center"/>
          </w:tcPr>
          <w:p w:rsidR="00682D08" w:rsidRPr="00D55DC6" w:rsidRDefault="00682D08" w:rsidP="00682D08">
            <w:pPr>
              <w:spacing w:line="0" w:lineRule="atLeast"/>
              <w:jc w:val="center"/>
              <w:rPr>
                <w:rFonts w:eastAsia="標楷體"/>
                <w:kern w:val="0"/>
              </w:rPr>
            </w:pPr>
          </w:p>
        </w:tc>
        <w:tc>
          <w:tcPr>
            <w:tcW w:w="1096" w:type="dxa"/>
            <w:vMerge/>
            <w:tcBorders>
              <w:left w:val="single" w:sz="8" w:space="0" w:color="auto"/>
              <w:right w:val="single" w:sz="8" w:space="0" w:color="auto"/>
            </w:tcBorders>
            <w:vAlign w:val="center"/>
          </w:tcPr>
          <w:p w:rsidR="00682D08" w:rsidRPr="00D55DC6" w:rsidRDefault="00682D08" w:rsidP="00682D08">
            <w:pPr>
              <w:spacing w:line="0" w:lineRule="atLeast"/>
              <w:rPr>
                <w:rFonts w:eastAsia="標楷體"/>
                <w:kern w:val="0"/>
              </w:rPr>
            </w:pPr>
          </w:p>
        </w:tc>
        <w:tc>
          <w:tcPr>
            <w:tcW w:w="2448" w:type="dxa"/>
            <w:tcBorders>
              <w:top w:val="nil"/>
              <w:left w:val="nil"/>
              <w:bottom w:val="single" w:sz="8" w:space="0" w:color="auto"/>
              <w:right w:val="single" w:sz="8" w:space="0" w:color="auto"/>
            </w:tcBorders>
            <w:shd w:val="clear" w:color="000000" w:fill="CCFFCC"/>
          </w:tcPr>
          <w:p w:rsidR="00682D08" w:rsidRPr="00D55DC6" w:rsidRDefault="00682D08" w:rsidP="00682D08">
            <w:pPr>
              <w:widowControl/>
              <w:spacing w:line="0" w:lineRule="atLeast"/>
              <w:jc w:val="both"/>
              <w:rPr>
                <w:rFonts w:eastAsia="標楷體"/>
                <w:kern w:val="0"/>
              </w:rPr>
            </w:pPr>
            <w:r w:rsidRPr="00D55DC6">
              <w:rPr>
                <w:rFonts w:eastAsia="標楷體"/>
                <w:kern w:val="0"/>
                <w:szCs w:val="22"/>
              </w:rPr>
              <w:t>(3)</w:t>
            </w:r>
            <w:r w:rsidRPr="00D55DC6">
              <w:rPr>
                <w:rFonts w:eastAsia="標楷體"/>
                <w:kern w:val="0"/>
                <w:szCs w:val="22"/>
              </w:rPr>
              <w:t>國內觀光重要景點</w:t>
            </w:r>
          </w:p>
        </w:tc>
        <w:tc>
          <w:tcPr>
            <w:tcW w:w="708" w:type="dxa"/>
            <w:tcBorders>
              <w:top w:val="nil"/>
              <w:left w:val="nil"/>
              <w:bottom w:val="single" w:sz="8" w:space="0" w:color="auto"/>
              <w:right w:val="single" w:sz="8" w:space="0" w:color="auto"/>
            </w:tcBorders>
            <w:shd w:val="clear" w:color="000000" w:fill="CCFFCC"/>
            <w:vAlign w:val="center"/>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0.270</w:t>
            </w:r>
          </w:p>
        </w:tc>
        <w:tc>
          <w:tcPr>
            <w:tcW w:w="708" w:type="dxa"/>
            <w:tcBorders>
              <w:top w:val="nil"/>
              <w:left w:val="nil"/>
              <w:bottom w:val="single" w:sz="8" w:space="0" w:color="auto"/>
              <w:right w:val="single" w:sz="8" w:space="0" w:color="auto"/>
            </w:tcBorders>
            <w:shd w:val="clear" w:color="000000" w:fill="CCFFCC"/>
            <w:vAlign w:val="center"/>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0.320</w:t>
            </w:r>
          </w:p>
        </w:tc>
        <w:tc>
          <w:tcPr>
            <w:tcW w:w="708" w:type="dxa"/>
            <w:tcBorders>
              <w:top w:val="nil"/>
              <w:left w:val="nil"/>
              <w:bottom w:val="single" w:sz="8" w:space="0" w:color="auto"/>
              <w:right w:val="single" w:sz="8" w:space="0" w:color="auto"/>
            </w:tcBorders>
            <w:shd w:val="clear" w:color="000000" w:fill="CCFFCC"/>
            <w:vAlign w:val="center"/>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0.350</w:t>
            </w:r>
          </w:p>
        </w:tc>
        <w:tc>
          <w:tcPr>
            <w:tcW w:w="707" w:type="dxa"/>
            <w:tcBorders>
              <w:top w:val="nil"/>
              <w:left w:val="nil"/>
              <w:bottom w:val="single" w:sz="8" w:space="0" w:color="auto"/>
              <w:right w:val="single" w:sz="8" w:space="0" w:color="auto"/>
            </w:tcBorders>
            <w:shd w:val="clear" w:color="000000" w:fill="CCFFCC"/>
            <w:vAlign w:val="center"/>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0.275</w:t>
            </w:r>
          </w:p>
        </w:tc>
        <w:tc>
          <w:tcPr>
            <w:tcW w:w="898" w:type="dxa"/>
            <w:tcBorders>
              <w:top w:val="nil"/>
              <w:left w:val="nil"/>
              <w:bottom w:val="single" w:sz="8" w:space="0" w:color="auto"/>
              <w:right w:val="single" w:sz="4" w:space="0" w:color="auto"/>
            </w:tcBorders>
            <w:shd w:val="clear" w:color="000000" w:fill="CCFFFF"/>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1.215</w:t>
            </w:r>
          </w:p>
        </w:tc>
        <w:tc>
          <w:tcPr>
            <w:tcW w:w="1783" w:type="dxa"/>
            <w:tcBorders>
              <w:top w:val="single" w:sz="4" w:space="0" w:color="auto"/>
              <w:left w:val="single" w:sz="4" w:space="0" w:color="auto"/>
              <w:bottom w:val="single" w:sz="4" w:space="0" w:color="auto"/>
              <w:right w:val="single" w:sz="4" w:space="0" w:color="auto"/>
            </w:tcBorders>
          </w:tcPr>
          <w:p w:rsidR="00682D08" w:rsidRPr="00D55DC6" w:rsidRDefault="00682D08" w:rsidP="00682D08">
            <w:pPr>
              <w:widowControl/>
              <w:spacing w:line="0" w:lineRule="atLeast"/>
              <w:jc w:val="both"/>
              <w:rPr>
                <w:rFonts w:eastAsia="標楷體"/>
                <w:kern w:val="0"/>
              </w:rPr>
            </w:pPr>
          </w:p>
        </w:tc>
      </w:tr>
      <w:tr w:rsidR="001D0350" w:rsidRPr="00D55DC6" w:rsidTr="00D866CC">
        <w:trPr>
          <w:trHeight w:val="292"/>
        </w:trPr>
        <w:tc>
          <w:tcPr>
            <w:tcW w:w="400" w:type="dxa"/>
            <w:vMerge/>
            <w:tcBorders>
              <w:top w:val="nil"/>
              <w:left w:val="single" w:sz="8" w:space="0" w:color="auto"/>
              <w:bottom w:val="nil"/>
              <w:right w:val="single" w:sz="8" w:space="0" w:color="auto"/>
            </w:tcBorders>
            <w:vAlign w:val="center"/>
          </w:tcPr>
          <w:p w:rsidR="00682D08" w:rsidRPr="00D55DC6" w:rsidRDefault="00682D08" w:rsidP="00682D08">
            <w:pPr>
              <w:widowControl/>
              <w:spacing w:line="0" w:lineRule="atLeast"/>
              <w:rPr>
                <w:rFonts w:eastAsia="標楷體"/>
                <w:kern w:val="0"/>
              </w:rPr>
            </w:pPr>
          </w:p>
        </w:tc>
        <w:tc>
          <w:tcPr>
            <w:tcW w:w="904" w:type="dxa"/>
            <w:vMerge/>
            <w:tcBorders>
              <w:left w:val="single" w:sz="8" w:space="0" w:color="auto"/>
              <w:right w:val="single" w:sz="8" w:space="0" w:color="auto"/>
            </w:tcBorders>
            <w:vAlign w:val="center"/>
          </w:tcPr>
          <w:p w:rsidR="00682D08" w:rsidRPr="00D55DC6" w:rsidRDefault="00682D08" w:rsidP="00682D08">
            <w:pPr>
              <w:spacing w:line="0" w:lineRule="atLeast"/>
              <w:jc w:val="center"/>
              <w:rPr>
                <w:rFonts w:eastAsia="標楷體"/>
                <w:kern w:val="0"/>
              </w:rPr>
            </w:pPr>
          </w:p>
        </w:tc>
        <w:tc>
          <w:tcPr>
            <w:tcW w:w="1096" w:type="dxa"/>
            <w:vMerge/>
            <w:tcBorders>
              <w:left w:val="single" w:sz="8" w:space="0" w:color="auto"/>
              <w:right w:val="single" w:sz="8" w:space="0" w:color="auto"/>
            </w:tcBorders>
            <w:vAlign w:val="center"/>
          </w:tcPr>
          <w:p w:rsidR="00682D08" w:rsidRPr="00D55DC6" w:rsidRDefault="00682D08" w:rsidP="00682D08">
            <w:pPr>
              <w:spacing w:line="0" w:lineRule="atLeast"/>
              <w:rPr>
                <w:rFonts w:eastAsia="標楷體"/>
                <w:kern w:val="0"/>
              </w:rPr>
            </w:pPr>
          </w:p>
        </w:tc>
        <w:tc>
          <w:tcPr>
            <w:tcW w:w="2448" w:type="dxa"/>
            <w:tcBorders>
              <w:top w:val="nil"/>
              <w:left w:val="nil"/>
              <w:bottom w:val="single" w:sz="8" w:space="0" w:color="auto"/>
              <w:right w:val="single" w:sz="8" w:space="0" w:color="auto"/>
            </w:tcBorders>
          </w:tcPr>
          <w:p w:rsidR="00682D08" w:rsidRPr="00D55DC6" w:rsidRDefault="00682D08" w:rsidP="00682D08">
            <w:pPr>
              <w:spacing w:line="0" w:lineRule="atLeast"/>
            </w:pPr>
            <w:r w:rsidRPr="00D55DC6">
              <w:rPr>
                <w:rFonts w:eastAsia="標楷體"/>
                <w:kern w:val="0"/>
              </w:rPr>
              <w:t>磯崎</w:t>
            </w:r>
            <w:r w:rsidRPr="00D55DC6">
              <w:rPr>
                <w:rFonts w:eastAsia="標楷體"/>
                <w:kern w:val="0"/>
              </w:rPr>
              <w:t>/</w:t>
            </w:r>
            <w:r w:rsidRPr="00D55DC6">
              <w:rPr>
                <w:rFonts w:eastAsia="標楷體"/>
                <w:kern w:val="0"/>
              </w:rPr>
              <w:t>鹽寮系統</w:t>
            </w:r>
          </w:p>
        </w:tc>
        <w:tc>
          <w:tcPr>
            <w:tcW w:w="708"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rPr>
            </w:pPr>
            <w:r w:rsidRPr="00D55DC6">
              <w:rPr>
                <w:rFonts w:eastAsia="標楷體"/>
                <w:kern w:val="0"/>
              </w:rPr>
              <w:t>0.270</w:t>
            </w:r>
          </w:p>
        </w:tc>
        <w:tc>
          <w:tcPr>
            <w:tcW w:w="708"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rPr>
            </w:pPr>
            <w:r w:rsidRPr="00D55DC6">
              <w:rPr>
                <w:rFonts w:eastAsia="標楷體"/>
                <w:kern w:val="0"/>
              </w:rPr>
              <w:t>0.320</w:t>
            </w:r>
          </w:p>
        </w:tc>
        <w:tc>
          <w:tcPr>
            <w:tcW w:w="708"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rPr>
            </w:pPr>
            <w:r w:rsidRPr="00D55DC6">
              <w:rPr>
                <w:rFonts w:eastAsia="標楷體"/>
                <w:kern w:val="0"/>
              </w:rPr>
              <w:t>0.350</w:t>
            </w:r>
          </w:p>
        </w:tc>
        <w:tc>
          <w:tcPr>
            <w:tcW w:w="707"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rPr>
            </w:pPr>
            <w:r w:rsidRPr="00D55DC6">
              <w:rPr>
                <w:rFonts w:eastAsia="標楷體"/>
                <w:kern w:val="0"/>
              </w:rPr>
              <w:t>0.275</w:t>
            </w:r>
          </w:p>
        </w:tc>
        <w:tc>
          <w:tcPr>
            <w:tcW w:w="898" w:type="dxa"/>
            <w:tcBorders>
              <w:top w:val="nil"/>
              <w:left w:val="nil"/>
              <w:bottom w:val="single" w:sz="8" w:space="0" w:color="auto"/>
              <w:right w:val="single" w:sz="4" w:space="0" w:color="auto"/>
            </w:tcBorders>
            <w:shd w:val="clear" w:color="000000" w:fill="CCFFFF"/>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1.215</w:t>
            </w:r>
          </w:p>
        </w:tc>
        <w:tc>
          <w:tcPr>
            <w:tcW w:w="1783" w:type="dxa"/>
            <w:tcBorders>
              <w:top w:val="single" w:sz="4" w:space="0" w:color="auto"/>
              <w:left w:val="single" w:sz="4" w:space="0" w:color="auto"/>
              <w:bottom w:val="single" w:sz="4" w:space="0" w:color="auto"/>
              <w:right w:val="single" w:sz="4" w:space="0" w:color="auto"/>
            </w:tcBorders>
            <w:vAlign w:val="center"/>
          </w:tcPr>
          <w:p w:rsidR="00682D08" w:rsidRPr="00D55DC6" w:rsidRDefault="00D866CC" w:rsidP="00682D08">
            <w:pPr>
              <w:widowControl/>
              <w:spacing w:line="0" w:lineRule="atLeast"/>
              <w:rPr>
                <w:rFonts w:eastAsia="標楷體"/>
                <w:kern w:val="0"/>
              </w:rPr>
            </w:pPr>
            <w:r w:rsidRPr="00D55DC6">
              <w:rPr>
                <w:rFonts w:eastAsia="標楷體"/>
                <w:kern w:val="0"/>
              </w:rPr>
              <w:t>花蓮遊客中心及磯崎周邊地區</w:t>
            </w:r>
          </w:p>
        </w:tc>
      </w:tr>
      <w:tr w:rsidR="001D0350" w:rsidRPr="00D55DC6" w:rsidTr="00D866CC">
        <w:trPr>
          <w:trHeight w:val="345"/>
        </w:trPr>
        <w:tc>
          <w:tcPr>
            <w:tcW w:w="400" w:type="dxa"/>
            <w:vMerge/>
            <w:tcBorders>
              <w:top w:val="nil"/>
              <w:left w:val="single" w:sz="8" w:space="0" w:color="auto"/>
              <w:bottom w:val="nil"/>
              <w:right w:val="single" w:sz="8" w:space="0" w:color="auto"/>
            </w:tcBorders>
            <w:vAlign w:val="center"/>
          </w:tcPr>
          <w:p w:rsidR="00682D08" w:rsidRPr="00D55DC6" w:rsidRDefault="00682D08" w:rsidP="00682D08">
            <w:pPr>
              <w:widowControl/>
              <w:spacing w:line="0" w:lineRule="atLeast"/>
              <w:rPr>
                <w:rFonts w:eastAsia="標楷體"/>
                <w:kern w:val="0"/>
              </w:rPr>
            </w:pPr>
          </w:p>
        </w:tc>
        <w:tc>
          <w:tcPr>
            <w:tcW w:w="904" w:type="dxa"/>
            <w:vMerge/>
            <w:tcBorders>
              <w:left w:val="single" w:sz="8" w:space="0" w:color="auto"/>
              <w:right w:val="single" w:sz="8" w:space="0" w:color="auto"/>
            </w:tcBorders>
            <w:vAlign w:val="center"/>
          </w:tcPr>
          <w:p w:rsidR="00682D08" w:rsidRPr="00D55DC6" w:rsidRDefault="00682D08" w:rsidP="00682D08">
            <w:pPr>
              <w:spacing w:line="0" w:lineRule="atLeast"/>
              <w:jc w:val="center"/>
              <w:rPr>
                <w:rFonts w:eastAsia="標楷體"/>
                <w:kern w:val="0"/>
              </w:rPr>
            </w:pPr>
          </w:p>
        </w:tc>
        <w:tc>
          <w:tcPr>
            <w:tcW w:w="1096" w:type="dxa"/>
            <w:vMerge/>
            <w:tcBorders>
              <w:left w:val="single" w:sz="8" w:space="0" w:color="auto"/>
              <w:right w:val="single" w:sz="8" w:space="0" w:color="auto"/>
            </w:tcBorders>
            <w:vAlign w:val="center"/>
          </w:tcPr>
          <w:p w:rsidR="00682D08" w:rsidRPr="00D55DC6" w:rsidRDefault="00682D08" w:rsidP="00682D08">
            <w:pPr>
              <w:spacing w:line="0" w:lineRule="atLeast"/>
              <w:rPr>
                <w:rFonts w:eastAsia="標楷體"/>
                <w:kern w:val="0"/>
              </w:rPr>
            </w:pPr>
          </w:p>
        </w:tc>
        <w:tc>
          <w:tcPr>
            <w:tcW w:w="2448" w:type="dxa"/>
            <w:tcBorders>
              <w:top w:val="single" w:sz="8" w:space="0" w:color="auto"/>
              <w:left w:val="nil"/>
              <w:bottom w:val="single" w:sz="8" w:space="0" w:color="auto"/>
              <w:right w:val="single" w:sz="8" w:space="0" w:color="auto"/>
            </w:tcBorders>
            <w:shd w:val="clear" w:color="000000" w:fill="CCFFCC"/>
          </w:tcPr>
          <w:p w:rsidR="00682D08" w:rsidRPr="00D55DC6" w:rsidRDefault="00682D08" w:rsidP="00682D08">
            <w:pPr>
              <w:widowControl/>
              <w:spacing w:line="0" w:lineRule="atLeast"/>
              <w:jc w:val="both"/>
              <w:rPr>
                <w:rFonts w:eastAsia="標楷體"/>
                <w:kern w:val="0"/>
              </w:rPr>
            </w:pPr>
            <w:r w:rsidRPr="00D55DC6">
              <w:rPr>
                <w:rFonts w:eastAsia="標楷體"/>
                <w:kern w:val="0"/>
                <w:szCs w:val="22"/>
              </w:rPr>
              <w:t>(4)</w:t>
            </w:r>
            <w:r w:rsidRPr="00D55DC6">
              <w:rPr>
                <w:rFonts w:eastAsia="標楷體"/>
                <w:kern w:val="0"/>
                <w:szCs w:val="22"/>
              </w:rPr>
              <w:t>環境及設施整修</w:t>
            </w:r>
          </w:p>
        </w:tc>
        <w:tc>
          <w:tcPr>
            <w:tcW w:w="708" w:type="dxa"/>
            <w:tcBorders>
              <w:top w:val="nil"/>
              <w:left w:val="nil"/>
              <w:bottom w:val="single" w:sz="8" w:space="0" w:color="auto"/>
              <w:right w:val="single" w:sz="8" w:space="0" w:color="auto"/>
            </w:tcBorders>
            <w:shd w:val="clear" w:color="000000" w:fill="CCFFCC"/>
          </w:tcPr>
          <w:p w:rsidR="00682D08" w:rsidRPr="00D55DC6" w:rsidRDefault="00682D08" w:rsidP="00682D08">
            <w:pPr>
              <w:widowControl/>
              <w:spacing w:line="0" w:lineRule="atLeast"/>
              <w:jc w:val="right"/>
              <w:rPr>
                <w:rFonts w:eastAsia="標楷體"/>
                <w:kern w:val="0"/>
              </w:rPr>
            </w:pPr>
            <w:r w:rsidRPr="00D55DC6">
              <w:rPr>
                <w:rFonts w:eastAsia="標楷體"/>
                <w:kern w:val="0"/>
              </w:rPr>
              <w:t>0.300</w:t>
            </w:r>
          </w:p>
        </w:tc>
        <w:tc>
          <w:tcPr>
            <w:tcW w:w="708" w:type="dxa"/>
            <w:tcBorders>
              <w:top w:val="nil"/>
              <w:left w:val="nil"/>
              <w:bottom w:val="single" w:sz="8" w:space="0" w:color="auto"/>
              <w:right w:val="single" w:sz="8" w:space="0" w:color="auto"/>
            </w:tcBorders>
            <w:shd w:val="clear" w:color="000000" w:fill="CCFFCC"/>
          </w:tcPr>
          <w:p w:rsidR="00682D08" w:rsidRPr="00D55DC6" w:rsidRDefault="00682D08" w:rsidP="00682D08">
            <w:pPr>
              <w:widowControl/>
              <w:spacing w:line="0" w:lineRule="atLeast"/>
              <w:jc w:val="right"/>
              <w:rPr>
                <w:rFonts w:eastAsia="標楷體"/>
                <w:kern w:val="0"/>
              </w:rPr>
            </w:pPr>
            <w:r w:rsidRPr="00D55DC6">
              <w:rPr>
                <w:rFonts w:eastAsia="標楷體"/>
                <w:kern w:val="0"/>
              </w:rPr>
              <w:t>0.300</w:t>
            </w:r>
          </w:p>
        </w:tc>
        <w:tc>
          <w:tcPr>
            <w:tcW w:w="708" w:type="dxa"/>
            <w:tcBorders>
              <w:top w:val="nil"/>
              <w:left w:val="nil"/>
              <w:bottom w:val="single" w:sz="8" w:space="0" w:color="auto"/>
              <w:right w:val="single" w:sz="8" w:space="0" w:color="auto"/>
            </w:tcBorders>
            <w:shd w:val="clear" w:color="000000" w:fill="CCFFCC"/>
          </w:tcPr>
          <w:p w:rsidR="00682D08" w:rsidRPr="00D55DC6" w:rsidRDefault="00682D08" w:rsidP="00682D08">
            <w:pPr>
              <w:widowControl/>
              <w:spacing w:line="0" w:lineRule="atLeast"/>
              <w:jc w:val="right"/>
              <w:rPr>
                <w:rFonts w:eastAsia="標楷體"/>
                <w:kern w:val="0"/>
              </w:rPr>
            </w:pPr>
            <w:r w:rsidRPr="00D55DC6">
              <w:rPr>
                <w:rFonts w:eastAsia="標楷體"/>
                <w:kern w:val="0"/>
              </w:rPr>
              <w:t>0.300</w:t>
            </w:r>
          </w:p>
        </w:tc>
        <w:tc>
          <w:tcPr>
            <w:tcW w:w="707" w:type="dxa"/>
            <w:tcBorders>
              <w:top w:val="nil"/>
              <w:left w:val="nil"/>
              <w:bottom w:val="single" w:sz="8" w:space="0" w:color="auto"/>
              <w:right w:val="single" w:sz="8" w:space="0" w:color="auto"/>
            </w:tcBorders>
            <w:shd w:val="clear" w:color="000000" w:fill="CCFFCC"/>
          </w:tcPr>
          <w:p w:rsidR="00682D08" w:rsidRPr="00D55DC6" w:rsidRDefault="00682D08" w:rsidP="00682D08">
            <w:pPr>
              <w:widowControl/>
              <w:spacing w:line="0" w:lineRule="atLeast"/>
              <w:jc w:val="right"/>
              <w:rPr>
                <w:rFonts w:eastAsia="標楷體"/>
                <w:kern w:val="0"/>
              </w:rPr>
            </w:pPr>
            <w:r w:rsidRPr="00D55DC6">
              <w:rPr>
                <w:rFonts w:eastAsia="標楷體"/>
                <w:kern w:val="0"/>
              </w:rPr>
              <w:t>0.300</w:t>
            </w:r>
          </w:p>
        </w:tc>
        <w:tc>
          <w:tcPr>
            <w:tcW w:w="898" w:type="dxa"/>
            <w:tcBorders>
              <w:top w:val="nil"/>
              <w:left w:val="nil"/>
              <w:bottom w:val="single" w:sz="8" w:space="0" w:color="auto"/>
              <w:right w:val="single" w:sz="4" w:space="0" w:color="auto"/>
            </w:tcBorders>
            <w:shd w:val="clear" w:color="000000" w:fill="CCFFFF"/>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1.200</w:t>
            </w:r>
          </w:p>
        </w:tc>
        <w:tc>
          <w:tcPr>
            <w:tcW w:w="1783" w:type="dxa"/>
            <w:tcBorders>
              <w:top w:val="single" w:sz="4" w:space="0" w:color="auto"/>
              <w:left w:val="single" w:sz="4" w:space="0" w:color="auto"/>
              <w:bottom w:val="single" w:sz="4" w:space="0" w:color="auto"/>
              <w:right w:val="single" w:sz="4" w:space="0" w:color="auto"/>
            </w:tcBorders>
          </w:tcPr>
          <w:p w:rsidR="00682D08" w:rsidRPr="00D55DC6" w:rsidRDefault="00682D08" w:rsidP="00682D08">
            <w:pPr>
              <w:widowControl/>
              <w:spacing w:line="0" w:lineRule="atLeast"/>
              <w:rPr>
                <w:rFonts w:eastAsia="標楷體"/>
                <w:kern w:val="0"/>
              </w:rPr>
            </w:pPr>
          </w:p>
        </w:tc>
      </w:tr>
      <w:tr w:rsidR="001D0350" w:rsidRPr="00D55DC6" w:rsidTr="00D866CC">
        <w:trPr>
          <w:trHeight w:val="345"/>
        </w:trPr>
        <w:tc>
          <w:tcPr>
            <w:tcW w:w="400" w:type="dxa"/>
            <w:vMerge/>
            <w:tcBorders>
              <w:top w:val="nil"/>
              <w:left w:val="single" w:sz="8" w:space="0" w:color="auto"/>
              <w:bottom w:val="nil"/>
              <w:right w:val="single" w:sz="8" w:space="0" w:color="auto"/>
            </w:tcBorders>
            <w:vAlign w:val="center"/>
          </w:tcPr>
          <w:p w:rsidR="00682D08" w:rsidRPr="00D55DC6" w:rsidRDefault="00682D08" w:rsidP="00682D08">
            <w:pPr>
              <w:widowControl/>
              <w:spacing w:line="0" w:lineRule="atLeast"/>
              <w:rPr>
                <w:rFonts w:eastAsia="標楷體"/>
                <w:kern w:val="0"/>
              </w:rPr>
            </w:pPr>
          </w:p>
        </w:tc>
        <w:tc>
          <w:tcPr>
            <w:tcW w:w="904" w:type="dxa"/>
            <w:vMerge/>
            <w:tcBorders>
              <w:left w:val="single" w:sz="8" w:space="0" w:color="auto"/>
              <w:right w:val="single" w:sz="8" w:space="0" w:color="auto"/>
            </w:tcBorders>
            <w:vAlign w:val="center"/>
          </w:tcPr>
          <w:p w:rsidR="00682D08" w:rsidRPr="00D55DC6" w:rsidRDefault="00682D08" w:rsidP="00682D08">
            <w:pPr>
              <w:spacing w:line="0" w:lineRule="atLeast"/>
              <w:jc w:val="center"/>
              <w:rPr>
                <w:rFonts w:eastAsia="標楷體"/>
                <w:kern w:val="0"/>
              </w:rPr>
            </w:pPr>
          </w:p>
        </w:tc>
        <w:tc>
          <w:tcPr>
            <w:tcW w:w="1096" w:type="dxa"/>
            <w:vMerge/>
            <w:tcBorders>
              <w:left w:val="single" w:sz="8" w:space="0" w:color="auto"/>
              <w:right w:val="single" w:sz="8" w:space="0" w:color="auto"/>
            </w:tcBorders>
            <w:vAlign w:val="center"/>
          </w:tcPr>
          <w:p w:rsidR="00682D08" w:rsidRPr="00D55DC6" w:rsidRDefault="00682D08" w:rsidP="00682D08">
            <w:pPr>
              <w:spacing w:line="0" w:lineRule="atLeast"/>
              <w:rPr>
                <w:rFonts w:eastAsia="標楷體"/>
                <w:kern w:val="0"/>
              </w:rPr>
            </w:pPr>
          </w:p>
        </w:tc>
        <w:tc>
          <w:tcPr>
            <w:tcW w:w="2448"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both"/>
              <w:rPr>
                <w:rFonts w:eastAsia="標楷體"/>
                <w:kern w:val="0"/>
              </w:rPr>
            </w:pPr>
            <w:r w:rsidRPr="00D55DC6">
              <w:rPr>
                <w:rFonts w:eastAsia="標楷體"/>
                <w:kern w:val="0"/>
                <w:szCs w:val="22"/>
              </w:rPr>
              <w:t>環境維護及設施維持</w:t>
            </w:r>
          </w:p>
        </w:tc>
        <w:tc>
          <w:tcPr>
            <w:tcW w:w="708" w:type="dxa"/>
            <w:tcBorders>
              <w:top w:val="nil"/>
              <w:left w:val="nil"/>
              <w:bottom w:val="single" w:sz="8" w:space="0" w:color="auto"/>
              <w:right w:val="single" w:sz="8" w:space="0" w:color="auto"/>
            </w:tcBorders>
            <w:vAlign w:val="center"/>
          </w:tcPr>
          <w:p w:rsidR="00682D08" w:rsidRPr="00D55DC6" w:rsidRDefault="00682D08" w:rsidP="00682D08">
            <w:pPr>
              <w:widowControl/>
              <w:spacing w:line="0" w:lineRule="atLeast"/>
              <w:jc w:val="right"/>
              <w:rPr>
                <w:rFonts w:eastAsia="標楷體"/>
                <w:kern w:val="0"/>
              </w:rPr>
            </w:pPr>
            <w:r w:rsidRPr="00D55DC6">
              <w:rPr>
                <w:rFonts w:eastAsia="標楷體"/>
                <w:kern w:val="0"/>
              </w:rPr>
              <w:t>0.200</w:t>
            </w:r>
          </w:p>
        </w:tc>
        <w:tc>
          <w:tcPr>
            <w:tcW w:w="708"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rPr>
            </w:pPr>
            <w:r w:rsidRPr="00D55DC6">
              <w:rPr>
                <w:rFonts w:eastAsia="標楷體"/>
                <w:kern w:val="0"/>
              </w:rPr>
              <w:t>0.200</w:t>
            </w:r>
          </w:p>
        </w:tc>
        <w:tc>
          <w:tcPr>
            <w:tcW w:w="708"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rPr>
            </w:pPr>
            <w:r w:rsidRPr="00D55DC6">
              <w:rPr>
                <w:rFonts w:eastAsia="標楷體"/>
                <w:kern w:val="0"/>
              </w:rPr>
              <w:t>0.200</w:t>
            </w:r>
          </w:p>
        </w:tc>
        <w:tc>
          <w:tcPr>
            <w:tcW w:w="707"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rPr>
            </w:pPr>
            <w:r w:rsidRPr="00D55DC6">
              <w:rPr>
                <w:rFonts w:eastAsia="標楷體"/>
                <w:kern w:val="0"/>
              </w:rPr>
              <w:t>0.200</w:t>
            </w:r>
          </w:p>
        </w:tc>
        <w:tc>
          <w:tcPr>
            <w:tcW w:w="898" w:type="dxa"/>
            <w:tcBorders>
              <w:top w:val="nil"/>
              <w:left w:val="nil"/>
              <w:bottom w:val="single" w:sz="8" w:space="0" w:color="auto"/>
              <w:right w:val="single" w:sz="4" w:space="0" w:color="auto"/>
            </w:tcBorders>
            <w:shd w:val="clear" w:color="000000" w:fill="CCFFFF"/>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0.800</w:t>
            </w:r>
          </w:p>
        </w:tc>
        <w:tc>
          <w:tcPr>
            <w:tcW w:w="1783" w:type="dxa"/>
            <w:tcBorders>
              <w:top w:val="single" w:sz="4" w:space="0" w:color="auto"/>
              <w:left w:val="single" w:sz="4" w:space="0" w:color="auto"/>
              <w:bottom w:val="single" w:sz="4" w:space="0" w:color="auto"/>
              <w:right w:val="single" w:sz="4" w:space="0" w:color="auto"/>
            </w:tcBorders>
            <w:vAlign w:val="center"/>
          </w:tcPr>
          <w:p w:rsidR="00682D08" w:rsidRPr="00D55DC6" w:rsidRDefault="00682D08" w:rsidP="00682D08">
            <w:pPr>
              <w:widowControl/>
              <w:spacing w:line="0" w:lineRule="atLeast"/>
              <w:rPr>
                <w:rFonts w:eastAsia="標楷體"/>
                <w:kern w:val="0"/>
              </w:rPr>
            </w:pPr>
          </w:p>
        </w:tc>
      </w:tr>
      <w:tr w:rsidR="001D0350" w:rsidRPr="00D55DC6" w:rsidTr="00D866CC">
        <w:trPr>
          <w:trHeight w:val="645"/>
        </w:trPr>
        <w:tc>
          <w:tcPr>
            <w:tcW w:w="400" w:type="dxa"/>
            <w:vMerge/>
            <w:tcBorders>
              <w:top w:val="nil"/>
              <w:left w:val="single" w:sz="8" w:space="0" w:color="auto"/>
              <w:bottom w:val="nil"/>
              <w:right w:val="single" w:sz="8" w:space="0" w:color="auto"/>
            </w:tcBorders>
            <w:vAlign w:val="center"/>
          </w:tcPr>
          <w:p w:rsidR="00682D08" w:rsidRPr="00D55DC6" w:rsidRDefault="00682D08" w:rsidP="00682D08">
            <w:pPr>
              <w:widowControl/>
              <w:spacing w:line="0" w:lineRule="atLeast"/>
              <w:rPr>
                <w:rFonts w:eastAsia="標楷體"/>
                <w:kern w:val="0"/>
              </w:rPr>
            </w:pPr>
          </w:p>
        </w:tc>
        <w:tc>
          <w:tcPr>
            <w:tcW w:w="904" w:type="dxa"/>
            <w:vMerge/>
            <w:tcBorders>
              <w:left w:val="single" w:sz="8" w:space="0" w:color="auto"/>
              <w:right w:val="single" w:sz="8" w:space="0" w:color="auto"/>
            </w:tcBorders>
            <w:vAlign w:val="center"/>
          </w:tcPr>
          <w:p w:rsidR="00682D08" w:rsidRPr="00D55DC6" w:rsidRDefault="00682D08" w:rsidP="00682D08">
            <w:pPr>
              <w:spacing w:line="0" w:lineRule="atLeast"/>
              <w:jc w:val="center"/>
              <w:rPr>
                <w:rFonts w:eastAsia="標楷體"/>
                <w:kern w:val="0"/>
              </w:rPr>
            </w:pPr>
          </w:p>
        </w:tc>
        <w:tc>
          <w:tcPr>
            <w:tcW w:w="1096" w:type="dxa"/>
            <w:vMerge/>
            <w:tcBorders>
              <w:left w:val="single" w:sz="8" w:space="0" w:color="auto"/>
              <w:right w:val="single" w:sz="8" w:space="0" w:color="auto"/>
            </w:tcBorders>
            <w:vAlign w:val="center"/>
          </w:tcPr>
          <w:p w:rsidR="00682D08" w:rsidRPr="00D55DC6" w:rsidRDefault="00682D08" w:rsidP="00682D08">
            <w:pPr>
              <w:spacing w:line="0" w:lineRule="atLeast"/>
              <w:rPr>
                <w:rFonts w:eastAsia="標楷體"/>
                <w:kern w:val="0"/>
              </w:rPr>
            </w:pPr>
          </w:p>
        </w:tc>
        <w:tc>
          <w:tcPr>
            <w:tcW w:w="2448"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both"/>
              <w:rPr>
                <w:rFonts w:eastAsia="標楷體"/>
                <w:kern w:val="0"/>
              </w:rPr>
            </w:pPr>
            <w:r w:rsidRPr="00D55DC6">
              <w:rPr>
                <w:rFonts w:eastAsia="標楷體"/>
                <w:kern w:val="0"/>
                <w:szCs w:val="22"/>
              </w:rPr>
              <w:t>全區災害復舊及一般零星工程</w:t>
            </w:r>
          </w:p>
        </w:tc>
        <w:tc>
          <w:tcPr>
            <w:tcW w:w="708"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rPr>
            </w:pPr>
            <w:r w:rsidRPr="00D55DC6">
              <w:rPr>
                <w:rFonts w:eastAsia="標楷體"/>
                <w:kern w:val="0"/>
              </w:rPr>
              <w:t>0.100</w:t>
            </w:r>
          </w:p>
        </w:tc>
        <w:tc>
          <w:tcPr>
            <w:tcW w:w="708"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rPr>
            </w:pPr>
            <w:r w:rsidRPr="00D55DC6">
              <w:rPr>
                <w:rFonts w:eastAsia="標楷體"/>
                <w:kern w:val="0"/>
              </w:rPr>
              <w:t>0.100</w:t>
            </w:r>
          </w:p>
        </w:tc>
        <w:tc>
          <w:tcPr>
            <w:tcW w:w="708"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rPr>
            </w:pPr>
            <w:r w:rsidRPr="00D55DC6">
              <w:rPr>
                <w:rFonts w:eastAsia="標楷體"/>
                <w:kern w:val="0"/>
              </w:rPr>
              <w:t>0.100</w:t>
            </w:r>
          </w:p>
        </w:tc>
        <w:tc>
          <w:tcPr>
            <w:tcW w:w="707" w:type="dxa"/>
            <w:tcBorders>
              <w:top w:val="nil"/>
              <w:left w:val="nil"/>
              <w:bottom w:val="single" w:sz="8" w:space="0" w:color="auto"/>
              <w:right w:val="single" w:sz="8" w:space="0" w:color="auto"/>
            </w:tcBorders>
          </w:tcPr>
          <w:p w:rsidR="00682D08" w:rsidRPr="00D55DC6" w:rsidRDefault="00682D08" w:rsidP="00682D08">
            <w:pPr>
              <w:widowControl/>
              <w:spacing w:line="0" w:lineRule="atLeast"/>
              <w:jc w:val="right"/>
              <w:rPr>
                <w:rFonts w:eastAsia="標楷體"/>
                <w:kern w:val="0"/>
              </w:rPr>
            </w:pPr>
            <w:r w:rsidRPr="00D55DC6">
              <w:rPr>
                <w:rFonts w:eastAsia="標楷體"/>
                <w:kern w:val="0"/>
              </w:rPr>
              <w:t>0.100</w:t>
            </w:r>
          </w:p>
        </w:tc>
        <w:tc>
          <w:tcPr>
            <w:tcW w:w="898" w:type="dxa"/>
            <w:tcBorders>
              <w:top w:val="nil"/>
              <w:left w:val="nil"/>
              <w:bottom w:val="single" w:sz="8" w:space="0" w:color="auto"/>
              <w:right w:val="single" w:sz="4" w:space="0" w:color="auto"/>
            </w:tcBorders>
            <w:shd w:val="clear" w:color="000000" w:fill="CCFFFF"/>
          </w:tcPr>
          <w:p w:rsidR="00682D08" w:rsidRPr="00D55DC6" w:rsidRDefault="00682D08" w:rsidP="00682D08">
            <w:pPr>
              <w:widowControl/>
              <w:spacing w:line="0" w:lineRule="atLeast"/>
              <w:jc w:val="right"/>
              <w:rPr>
                <w:rFonts w:eastAsia="標楷體"/>
                <w:b/>
                <w:bCs/>
                <w:kern w:val="0"/>
              </w:rPr>
            </w:pPr>
            <w:r w:rsidRPr="00D55DC6">
              <w:rPr>
                <w:rFonts w:eastAsia="標楷體"/>
                <w:b/>
                <w:bCs/>
                <w:kern w:val="0"/>
              </w:rPr>
              <w:t>0.400</w:t>
            </w:r>
          </w:p>
        </w:tc>
        <w:tc>
          <w:tcPr>
            <w:tcW w:w="1783" w:type="dxa"/>
            <w:tcBorders>
              <w:top w:val="single" w:sz="4" w:space="0" w:color="auto"/>
              <w:left w:val="single" w:sz="4" w:space="0" w:color="auto"/>
              <w:bottom w:val="single" w:sz="4" w:space="0" w:color="auto"/>
              <w:right w:val="single" w:sz="4" w:space="0" w:color="auto"/>
            </w:tcBorders>
            <w:vAlign w:val="center"/>
          </w:tcPr>
          <w:p w:rsidR="00682D08" w:rsidRPr="00D55DC6" w:rsidRDefault="00682D08" w:rsidP="00682D08">
            <w:pPr>
              <w:widowControl/>
              <w:spacing w:line="0" w:lineRule="atLeast"/>
              <w:rPr>
                <w:rFonts w:eastAsia="標楷體"/>
                <w:kern w:val="0"/>
              </w:rPr>
            </w:pPr>
          </w:p>
        </w:tc>
      </w:tr>
      <w:tr w:rsidR="001D0350" w:rsidRPr="00D55DC6" w:rsidTr="00D866CC">
        <w:trPr>
          <w:trHeight w:val="312"/>
        </w:trPr>
        <w:tc>
          <w:tcPr>
            <w:tcW w:w="400" w:type="dxa"/>
            <w:vMerge/>
            <w:tcBorders>
              <w:top w:val="nil"/>
              <w:left w:val="single" w:sz="8" w:space="0" w:color="auto"/>
              <w:bottom w:val="single" w:sz="4" w:space="0" w:color="auto"/>
              <w:right w:val="single" w:sz="8" w:space="0" w:color="auto"/>
            </w:tcBorders>
            <w:vAlign w:val="center"/>
          </w:tcPr>
          <w:p w:rsidR="004A034D" w:rsidRPr="00D55DC6" w:rsidRDefault="004A034D" w:rsidP="004A034D">
            <w:pPr>
              <w:widowControl/>
              <w:spacing w:line="0" w:lineRule="atLeast"/>
              <w:rPr>
                <w:rFonts w:eastAsia="標楷體"/>
                <w:kern w:val="0"/>
              </w:rPr>
            </w:pPr>
          </w:p>
        </w:tc>
        <w:tc>
          <w:tcPr>
            <w:tcW w:w="904" w:type="dxa"/>
            <w:vMerge/>
            <w:tcBorders>
              <w:left w:val="single" w:sz="8" w:space="0" w:color="auto"/>
              <w:bottom w:val="single" w:sz="4" w:space="0" w:color="auto"/>
              <w:right w:val="single" w:sz="8" w:space="0" w:color="auto"/>
            </w:tcBorders>
            <w:shd w:val="clear" w:color="000000" w:fill="CCFFCC"/>
          </w:tcPr>
          <w:p w:rsidR="004A034D" w:rsidRPr="00D55DC6" w:rsidRDefault="004A034D" w:rsidP="004A034D">
            <w:pPr>
              <w:widowControl/>
              <w:spacing w:line="0" w:lineRule="atLeast"/>
              <w:jc w:val="center"/>
              <w:rPr>
                <w:rFonts w:eastAsia="標楷體"/>
                <w:kern w:val="0"/>
              </w:rPr>
            </w:pPr>
          </w:p>
        </w:tc>
        <w:tc>
          <w:tcPr>
            <w:tcW w:w="1096" w:type="dxa"/>
            <w:vMerge/>
            <w:tcBorders>
              <w:left w:val="single" w:sz="8" w:space="0" w:color="auto"/>
              <w:bottom w:val="single" w:sz="4" w:space="0" w:color="auto"/>
              <w:right w:val="single" w:sz="8" w:space="0" w:color="auto"/>
            </w:tcBorders>
            <w:shd w:val="clear" w:color="000000" w:fill="CCFFCC"/>
          </w:tcPr>
          <w:p w:rsidR="004A034D" w:rsidRPr="00D55DC6" w:rsidRDefault="004A034D" w:rsidP="004A034D">
            <w:pPr>
              <w:widowControl/>
              <w:spacing w:line="0" w:lineRule="atLeast"/>
              <w:rPr>
                <w:rFonts w:eastAsia="標楷體"/>
                <w:kern w:val="0"/>
              </w:rPr>
            </w:pPr>
          </w:p>
        </w:tc>
        <w:tc>
          <w:tcPr>
            <w:tcW w:w="2448" w:type="dxa"/>
            <w:tcBorders>
              <w:top w:val="nil"/>
              <w:left w:val="nil"/>
              <w:bottom w:val="single" w:sz="4" w:space="0" w:color="auto"/>
              <w:right w:val="single" w:sz="8" w:space="0" w:color="auto"/>
            </w:tcBorders>
            <w:shd w:val="clear" w:color="000000" w:fill="CCFFCC"/>
            <w:vAlign w:val="center"/>
          </w:tcPr>
          <w:p w:rsidR="004A034D" w:rsidRPr="00D55DC6" w:rsidRDefault="004A034D" w:rsidP="004A034D">
            <w:pPr>
              <w:spacing w:line="0" w:lineRule="atLeast"/>
              <w:jc w:val="center"/>
              <w:rPr>
                <w:rFonts w:eastAsia="標楷體"/>
                <w:b/>
                <w:bCs/>
                <w:kern w:val="0"/>
              </w:rPr>
            </w:pPr>
            <w:r w:rsidRPr="00D55DC6">
              <w:rPr>
                <w:rFonts w:eastAsia="標楷體"/>
                <w:b/>
                <w:bCs/>
                <w:kern w:val="0"/>
                <w:szCs w:val="22"/>
              </w:rPr>
              <w:t>資本門合計</w:t>
            </w:r>
          </w:p>
        </w:tc>
        <w:tc>
          <w:tcPr>
            <w:tcW w:w="708" w:type="dxa"/>
            <w:tcBorders>
              <w:top w:val="nil"/>
              <w:left w:val="nil"/>
              <w:bottom w:val="single" w:sz="4" w:space="0" w:color="auto"/>
              <w:right w:val="single" w:sz="8" w:space="0" w:color="auto"/>
            </w:tcBorders>
            <w:shd w:val="clear" w:color="000000" w:fill="CCFFCC"/>
            <w:vAlign w:val="center"/>
          </w:tcPr>
          <w:p w:rsidR="004A034D" w:rsidRPr="00D55DC6" w:rsidRDefault="004A034D" w:rsidP="004A034D">
            <w:pPr>
              <w:widowControl/>
              <w:spacing w:line="0" w:lineRule="atLeast"/>
              <w:jc w:val="right"/>
              <w:rPr>
                <w:rFonts w:eastAsia="標楷體"/>
                <w:b/>
                <w:bCs/>
                <w:kern w:val="0"/>
              </w:rPr>
            </w:pPr>
            <w:r w:rsidRPr="00D55DC6">
              <w:rPr>
                <w:rFonts w:eastAsia="標楷體"/>
                <w:b/>
                <w:bCs/>
                <w:kern w:val="0"/>
              </w:rPr>
              <w:t>2.100</w:t>
            </w:r>
          </w:p>
        </w:tc>
        <w:tc>
          <w:tcPr>
            <w:tcW w:w="708" w:type="dxa"/>
            <w:tcBorders>
              <w:top w:val="nil"/>
              <w:left w:val="nil"/>
              <w:bottom w:val="single" w:sz="4" w:space="0" w:color="auto"/>
              <w:right w:val="single" w:sz="8" w:space="0" w:color="auto"/>
            </w:tcBorders>
            <w:shd w:val="clear" w:color="000000" w:fill="CCFFCC"/>
            <w:vAlign w:val="center"/>
          </w:tcPr>
          <w:p w:rsidR="004A034D" w:rsidRPr="00D55DC6" w:rsidRDefault="004A034D" w:rsidP="004A034D">
            <w:pPr>
              <w:widowControl/>
              <w:spacing w:line="0" w:lineRule="atLeast"/>
              <w:jc w:val="right"/>
              <w:rPr>
                <w:rFonts w:eastAsia="標楷體"/>
                <w:b/>
                <w:bCs/>
                <w:kern w:val="0"/>
              </w:rPr>
            </w:pPr>
            <w:r w:rsidRPr="00D55DC6">
              <w:rPr>
                <w:rFonts w:eastAsia="標楷體"/>
                <w:b/>
                <w:bCs/>
                <w:kern w:val="0"/>
              </w:rPr>
              <w:t>2.100</w:t>
            </w:r>
          </w:p>
        </w:tc>
        <w:tc>
          <w:tcPr>
            <w:tcW w:w="708" w:type="dxa"/>
            <w:tcBorders>
              <w:top w:val="nil"/>
              <w:left w:val="nil"/>
              <w:bottom w:val="single" w:sz="4" w:space="0" w:color="auto"/>
              <w:right w:val="single" w:sz="8" w:space="0" w:color="auto"/>
            </w:tcBorders>
            <w:shd w:val="clear" w:color="000000" w:fill="CCFFCC"/>
            <w:vAlign w:val="center"/>
          </w:tcPr>
          <w:p w:rsidR="004A034D" w:rsidRPr="00D55DC6" w:rsidRDefault="004A034D" w:rsidP="004A034D">
            <w:pPr>
              <w:widowControl/>
              <w:spacing w:line="0" w:lineRule="atLeast"/>
              <w:jc w:val="right"/>
              <w:rPr>
                <w:rFonts w:eastAsia="標楷體"/>
                <w:b/>
                <w:bCs/>
                <w:kern w:val="0"/>
              </w:rPr>
            </w:pPr>
            <w:r w:rsidRPr="00D55DC6">
              <w:rPr>
                <w:rFonts w:eastAsia="標楷體"/>
                <w:b/>
                <w:bCs/>
                <w:kern w:val="0"/>
              </w:rPr>
              <w:t>2.100</w:t>
            </w:r>
          </w:p>
        </w:tc>
        <w:tc>
          <w:tcPr>
            <w:tcW w:w="707" w:type="dxa"/>
            <w:tcBorders>
              <w:top w:val="nil"/>
              <w:left w:val="nil"/>
              <w:bottom w:val="single" w:sz="4" w:space="0" w:color="auto"/>
              <w:right w:val="single" w:sz="8" w:space="0" w:color="auto"/>
            </w:tcBorders>
            <w:shd w:val="clear" w:color="000000" w:fill="CCFFCC"/>
            <w:vAlign w:val="center"/>
          </w:tcPr>
          <w:p w:rsidR="004A034D" w:rsidRPr="00D55DC6" w:rsidRDefault="004A034D" w:rsidP="004A034D">
            <w:pPr>
              <w:widowControl/>
              <w:spacing w:line="0" w:lineRule="atLeast"/>
              <w:jc w:val="right"/>
              <w:rPr>
                <w:rFonts w:eastAsia="標楷體"/>
                <w:b/>
                <w:bCs/>
                <w:kern w:val="0"/>
              </w:rPr>
            </w:pPr>
            <w:r w:rsidRPr="00D55DC6">
              <w:rPr>
                <w:rFonts w:eastAsia="標楷體"/>
                <w:b/>
                <w:bCs/>
                <w:kern w:val="0"/>
              </w:rPr>
              <w:t>2.100</w:t>
            </w:r>
          </w:p>
        </w:tc>
        <w:tc>
          <w:tcPr>
            <w:tcW w:w="898" w:type="dxa"/>
            <w:tcBorders>
              <w:top w:val="nil"/>
              <w:left w:val="nil"/>
              <w:bottom w:val="single" w:sz="4" w:space="0" w:color="auto"/>
              <w:right w:val="single" w:sz="4" w:space="0" w:color="auto"/>
            </w:tcBorders>
            <w:shd w:val="clear" w:color="000000" w:fill="CCFFFF"/>
            <w:vAlign w:val="center"/>
          </w:tcPr>
          <w:p w:rsidR="004A034D" w:rsidRPr="00D55DC6" w:rsidRDefault="004A034D" w:rsidP="004A034D">
            <w:pPr>
              <w:widowControl/>
              <w:spacing w:line="0" w:lineRule="atLeast"/>
              <w:jc w:val="right"/>
              <w:rPr>
                <w:rFonts w:eastAsia="標楷體"/>
                <w:b/>
                <w:bCs/>
                <w:kern w:val="0"/>
              </w:rPr>
            </w:pPr>
            <w:r w:rsidRPr="00D55DC6">
              <w:rPr>
                <w:rFonts w:eastAsia="標楷體"/>
                <w:b/>
                <w:bCs/>
                <w:kern w:val="0"/>
              </w:rPr>
              <w:t>8.400</w:t>
            </w:r>
          </w:p>
        </w:tc>
        <w:tc>
          <w:tcPr>
            <w:tcW w:w="1783" w:type="dxa"/>
            <w:tcBorders>
              <w:top w:val="single" w:sz="4" w:space="0" w:color="auto"/>
              <w:left w:val="single" w:sz="4" w:space="0" w:color="auto"/>
              <w:bottom w:val="single" w:sz="4" w:space="0" w:color="auto"/>
              <w:right w:val="single" w:sz="4" w:space="0" w:color="auto"/>
            </w:tcBorders>
            <w:vAlign w:val="center"/>
          </w:tcPr>
          <w:p w:rsidR="004A034D" w:rsidRPr="00D55DC6" w:rsidRDefault="004A034D" w:rsidP="004A034D">
            <w:pPr>
              <w:spacing w:line="0" w:lineRule="atLeast"/>
              <w:rPr>
                <w:rFonts w:eastAsia="標楷體"/>
                <w:kern w:val="0"/>
              </w:rPr>
            </w:pPr>
          </w:p>
        </w:tc>
      </w:tr>
      <w:tr w:rsidR="001D0350" w:rsidRPr="00D55DC6" w:rsidTr="00D866CC">
        <w:trPr>
          <w:trHeight w:val="420"/>
        </w:trPr>
        <w:tc>
          <w:tcPr>
            <w:tcW w:w="4848" w:type="dxa"/>
            <w:gridSpan w:val="4"/>
            <w:tcBorders>
              <w:top w:val="single" w:sz="4" w:space="0" w:color="auto"/>
              <w:left w:val="single" w:sz="4" w:space="0" w:color="auto"/>
              <w:bottom w:val="single" w:sz="4" w:space="0" w:color="auto"/>
              <w:right w:val="single" w:sz="4" w:space="0" w:color="auto"/>
            </w:tcBorders>
            <w:shd w:val="clear" w:color="000000" w:fill="CCFFCC"/>
          </w:tcPr>
          <w:p w:rsidR="004A034D" w:rsidRPr="00D55DC6" w:rsidRDefault="004A034D" w:rsidP="004A034D">
            <w:pPr>
              <w:widowControl/>
              <w:spacing w:line="0" w:lineRule="atLeast"/>
              <w:jc w:val="center"/>
              <w:rPr>
                <w:rFonts w:eastAsia="標楷體"/>
                <w:b/>
                <w:bCs/>
                <w:kern w:val="0"/>
              </w:rPr>
            </w:pPr>
            <w:r w:rsidRPr="00D55DC6">
              <w:rPr>
                <w:rFonts w:eastAsia="標楷體"/>
                <w:b/>
                <w:bCs/>
                <w:kern w:val="0"/>
                <w:szCs w:val="22"/>
              </w:rPr>
              <w:t xml:space="preserve">經資門合計　　</w:t>
            </w:r>
          </w:p>
        </w:tc>
        <w:tc>
          <w:tcPr>
            <w:tcW w:w="708" w:type="dxa"/>
            <w:tcBorders>
              <w:top w:val="single" w:sz="4" w:space="0" w:color="auto"/>
              <w:left w:val="single" w:sz="4" w:space="0" w:color="auto"/>
              <w:bottom w:val="single" w:sz="4" w:space="0" w:color="auto"/>
              <w:right w:val="single" w:sz="4" w:space="0" w:color="auto"/>
            </w:tcBorders>
            <w:shd w:val="clear" w:color="000000" w:fill="CCFFCC"/>
          </w:tcPr>
          <w:p w:rsidR="004A034D" w:rsidRPr="00D55DC6" w:rsidRDefault="004A034D" w:rsidP="004A034D">
            <w:pPr>
              <w:widowControl/>
              <w:spacing w:line="0" w:lineRule="atLeast"/>
              <w:jc w:val="right"/>
              <w:rPr>
                <w:rFonts w:eastAsia="標楷體"/>
                <w:b/>
                <w:bCs/>
                <w:kern w:val="0"/>
              </w:rPr>
            </w:pPr>
            <w:r w:rsidRPr="00D55DC6">
              <w:rPr>
                <w:rFonts w:eastAsia="標楷體"/>
                <w:b/>
                <w:bCs/>
                <w:kern w:val="0"/>
              </w:rPr>
              <w:t>2.300</w:t>
            </w:r>
          </w:p>
        </w:tc>
        <w:tc>
          <w:tcPr>
            <w:tcW w:w="708" w:type="dxa"/>
            <w:tcBorders>
              <w:top w:val="single" w:sz="4" w:space="0" w:color="auto"/>
              <w:left w:val="single" w:sz="4" w:space="0" w:color="auto"/>
              <w:bottom w:val="single" w:sz="4" w:space="0" w:color="auto"/>
              <w:right w:val="single" w:sz="4" w:space="0" w:color="auto"/>
            </w:tcBorders>
            <w:shd w:val="clear" w:color="000000" w:fill="CCFFCC"/>
          </w:tcPr>
          <w:p w:rsidR="004A034D" w:rsidRPr="00D55DC6" w:rsidRDefault="004A034D" w:rsidP="004A034D">
            <w:pPr>
              <w:widowControl/>
              <w:spacing w:line="0" w:lineRule="atLeast"/>
              <w:jc w:val="right"/>
              <w:rPr>
                <w:rFonts w:eastAsia="標楷體"/>
                <w:b/>
                <w:bCs/>
                <w:kern w:val="0"/>
              </w:rPr>
            </w:pPr>
            <w:r w:rsidRPr="00D55DC6">
              <w:rPr>
                <w:rFonts w:eastAsia="標楷體"/>
                <w:b/>
                <w:bCs/>
                <w:kern w:val="0"/>
              </w:rPr>
              <w:t>2.300</w:t>
            </w:r>
          </w:p>
        </w:tc>
        <w:tc>
          <w:tcPr>
            <w:tcW w:w="708" w:type="dxa"/>
            <w:tcBorders>
              <w:top w:val="single" w:sz="4" w:space="0" w:color="auto"/>
              <w:left w:val="single" w:sz="4" w:space="0" w:color="auto"/>
              <w:bottom w:val="single" w:sz="4" w:space="0" w:color="auto"/>
              <w:right w:val="single" w:sz="4" w:space="0" w:color="auto"/>
            </w:tcBorders>
            <w:shd w:val="clear" w:color="000000" w:fill="CCFFCC"/>
          </w:tcPr>
          <w:p w:rsidR="004A034D" w:rsidRPr="00D55DC6" w:rsidRDefault="004A034D" w:rsidP="004A034D">
            <w:pPr>
              <w:widowControl/>
              <w:spacing w:line="0" w:lineRule="atLeast"/>
              <w:jc w:val="right"/>
              <w:rPr>
                <w:rFonts w:eastAsia="標楷體"/>
                <w:b/>
                <w:bCs/>
                <w:kern w:val="0"/>
              </w:rPr>
            </w:pPr>
            <w:r w:rsidRPr="00D55DC6">
              <w:rPr>
                <w:rFonts w:eastAsia="標楷體"/>
                <w:b/>
                <w:bCs/>
                <w:kern w:val="0"/>
              </w:rPr>
              <w:t>2.300</w:t>
            </w:r>
          </w:p>
        </w:tc>
        <w:tc>
          <w:tcPr>
            <w:tcW w:w="707" w:type="dxa"/>
            <w:tcBorders>
              <w:top w:val="single" w:sz="4" w:space="0" w:color="auto"/>
              <w:left w:val="single" w:sz="4" w:space="0" w:color="auto"/>
              <w:bottom w:val="single" w:sz="4" w:space="0" w:color="auto"/>
              <w:right w:val="single" w:sz="4" w:space="0" w:color="auto"/>
            </w:tcBorders>
            <w:shd w:val="clear" w:color="000000" w:fill="CCFFCC"/>
          </w:tcPr>
          <w:p w:rsidR="004A034D" w:rsidRPr="00D55DC6" w:rsidRDefault="004A034D" w:rsidP="004A034D">
            <w:pPr>
              <w:widowControl/>
              <w:spacing w:line="0" w:lineRule="atLeast"/>
              <w:jc w:val="right"/>
              <w:rPr>
                <w:rFonts w:eastAsia="標楷體"/>
                <w:b/>
                <w:bCs/>
                <w:kern w:val="0"/>
              </w:rPr>
            </w:pPr>
            <w:r w:rsidRPr="00D55DC6">
              <w:rPr>
                <w:rFonts w:eastAsia="標楷體"/>
                <w:b/>
                <w:bCs/>
                <w:kern w:val="0"/>
              </w:rPr>
              <w:t>2.300</w:t>
            </w:r>
          </w:p>
        </w:tc>
        <w:tc>
          <w:tcPr>
            <w:tcW w:w="898" w:type="dxa"/>
            <w:tcBorders>
              <w:top w:val="single" w:sz="4" w:space="0" w:color="auto"/>
              <w:left w:val="single" w:sz="4" w:space="0" w:color="auto"/>
              <w:bottom w:val="single" w:sz="4" w:space="0" w:color="auto"/>
              <w:right w:val="single" w:sz="4" w:space="0" w:color="auto"/>
            </w:tcBorders>
            <w:shd w:val="clear" w:color="000000" w:fill="CCFFFF"/>
          </w:tcPr>
          <w:p w:rsidR="004A034D" w:rsidRPr="00D55DC6" w:rsidRDefault="004A034D" w:rsidP="004A034D">
            <w:pPr>
              <w:widowControl/>
              <w:spacing w:line="0" w:lineRule="atLeast"/>
              <w:jc w:val="right"/>
              <w:rPr>
                <w:rFonts w:eastAsia="標楷體"/>
                <w:b/>
                <w:bCs/>
                <w:kern w:val="0"/>
              </w:rPr>
            </w:pPr>
            <w:r w:rsidRPr="00D55DC6">
              <w:rPr>
                <w:rFonts w:eastAsia="標楷體"/>
                <w:b/>
                <w:bCs/>
                <w:kern w:val="0"/>
              </w:rPr>
              <w:t>9.200</w:t>
            </w:r>
          </w:p>
        </w:tc>
        <w:tc>
          <w:tcPr>
            <w:tcW w:w="1783" w:type="dxa"/>
            <w:tcBorders>
              <w:top w:val="single" w:sz="4" w:space="0" w:color="auto"/>
              <w:left w:val="single" w:sz="4" w:space="0" w:color="auto"/>
              <w:bottom w:val="single" w:sz="4" w:space="0" w:color="auto"/>
              <w:right w:val="single" w:sz="4" w:space="0" w:color="auto"/>
            </w:tcBorders>
            <w:vAlign w:val="center"/>
          </w:tcPr>
          <w:p w:rsidR="004A034D" w:rsidRPr="00D55DC6" w:rsidRDefault="004A034D" w:rsidP="004A034D">
            <w:pPr>
              <w:widowControl/>
              <w:spacing w:line="0" w:lineRule="atLeast"/>
              <w:rPr>
                <w:rFonts w:eastAsia="標楷體"/>
                <w:kern w:val="0"/>
              </w:rPr>
            </w:pPr>
            <w:r w:rsidRPr="00D55DC6">
              <w:rPr>
                <w:rFonts w:eastAsia="標楷體"/>
                <w:kern w:val="0"/>
                <w:szCs w:val="22"/>
              </w:rPr>
              <w:t xml:space="preserve">　</w:t>
            </w:r>
          </w:p>
        </w:tc>
      </w:tr>
    </w:tbl>
    <w:p w:rsidR="00682D08" w:rsidRPr="00D55DC6" w:rsidRDefault="00682D08" w:rsidP="00682D08">
      <w:pPr>
        <w:pStyle w:val="a"/>
        <w:ind w:left="709" w:hanging="709"/>
        <w:rPr>
          <w:b/>
        </w:rPr>
      </w:pPr>
      <w:bookmarkStart w:id="169" w:name="_Toc407181728"/>
      <w:r w:rsidRPr="00D55DC6">
        <w:rPr>
          <w:b/>
        </w:rPr>
        <w:lastRenderedPageBreak/>
        <w:t>預期效果及影響</w:t>
      </w:r>
      <w:bookmarkEnd w:id="169"/>
    </w:p>
    <w:p w:rsidR="00682D08" w:rsidRPr="00D55DC6" w:rsidRDefault="00682D08" w:rsidP="004865C1">
      <w:pPr>
        <w:pStyle w:val="af2"/>
        <w:numPr>
          <w:ilvl w:val="0"/>
          <w:numId w:val="183"/>
        </w:numPr>
        <w:snapToGrid w:val="0"/>
        <w:spacing w:line="460" w:lineRule="exact"/>
        <w:ind w:leftChars="0"/>
        <w:jc w:val="both"/>
        <w:rPr>
          <w:rFonts w:eastAsia="標楷體"/>
          <w:sz w:val="28"/>
          <w:szCs w:val="28"/>
        </w:rPr>
      </w:pPr>
      <w:r w:rsidRPr="00D55DC6">
        <w:rPr>
          <w:rFonts w:eastAsia="標楷體"/>
          <w:sz w:val="28"/>
          <w:szCs w:val="28"/>
        </w:rPr>
        <w:t>打造具國際魅力觀光亮點，吸引國際遊客深度體驗旅遊。</w:t>
      </w:r>
    </w:p>
    <w:p w:rsidR="00682D08" w:rsidRPr="00D55DC6" w:rsidRDefault="00682D08" w:rsidP="004865C1">
      <w:pPr>
        <w:pStyle w:val="af2"/>
        <w:numPr>
          <w:ilvl w:val="0"/>
          <w:numId w:val="183"/>
        </w:numPr>
        <w:snapToGrid w:val="0"/>
        <w:spacing w:line="460" w:lineRule="exact"/>
        <w:ind w:leftChars="0"/>
        <w:jc w:val="both"/>
        <w:rPr>
          <w:rFonts w:eastAsia="標楷體"/>
          <w:sz w:val="28"/>
          <w:szCs w:val="28"/>
        </w:rPr>
      </w:pPr>
      <w:r w:rsidRPr="00D55DC6">
        <w:rPr>
          <w:rFonts w:eastAsia="標楷體"/>
          <w:sz w:val="28"/>
          <w:szCs w:val="28"/>
        </w:rPr>
        <w:t>以通用設計，友善環境為理念，強化旅遊環境改善及服務設施品質提升，朝向全齡化旅遊環境目標。</w:t>
      </w:r>
    </w:p>
    <w:p w:rsidR="00682D08" w:rsidRPr="00D55DC6" w:rsidRDefault="00682D08" w:rsidP="004865C1">
      <w:pPr>
        <w:pStyle w:val="af2"/>
        <w:numPr>
          <w:ilvl w:val="0"/>
          <w:numId w:val="183"/>
        </w:numPr>
        <w:snapToGrid w:val="0"/>
        <w:spacing w:line="460" w:lineRule="exact"/>
        <w:ind w:leftChars="0"/>
        <w:jc w:val="both"/>
        <w:rPr>
          <w:rFonts w:eastAsia="標楷體"/>
          <w:sz w:val="28"/>
          <w:szCs w:val="28"/>
        </w:rPr>
      </w:pPr>
      <w:r w:rsidRPr="00D55DC6">
        <w:rPr>
          <w:rFonts w:eastAsia="標楷體"/>
          <w:sz w:val="28"/>
          <w:szCs w:val="28"/>
        </w:rPr>
        <w:t>藉由推廣大眾交通工具使用、自行車道建置及低碳生態旅遊主題活動推廣，發展低碳觀光。</w:t>
      </w:r>
    </w:p>
    <w:p w:rsidR="00682D08" w:rsidRPr="00D55DC6" w:rsidRDefault="00682D08" w:rsidP="004865C1">
      <w:pPr>
        <w:pStyle w:val="aff0"/>
        <w:numPr>
          <w:ilvl w:val="0"/>
          <w:numId w:val="183"/>
        </w:numPr>
        <w:spacing w:before="108" w:after="0" w:line="0" w:lineRule="atLeast"/>
        <w:rPr>
          <w:rFonts w:eastAsia="標楷體"/>
          <w:sz w:val="28"/>
          <w:szCs w:val="28"/>
        </w:rPr>
      </w:pPr>
      <w:r w:rsidRPr="00D55DC6">
        <w:rPr>
          <w:rFonts w:eastAsia="標楷體"/>
          <w:sz w:val="28"/>
          <w:szCs w:val="28"/>
        </w:rPr>
        <w:t>將管理處具有豐富生態、人文或自然特色之遊憩據點，深化成為提供專業環境教育活動之場所。</w:t>
      </w:r>
    </w:p>
    <w:p w:rsidR="00682D08" w:rsidRPr="00D55DC6" w:rsidRDefault="00A11435" w:rsidP="004865C1">
      <w:pPr>
        <w:pStyle w:val="aff0"/>
        <w:numPr>
          <w:ilvl w:val="0"/>
          <w:numId w:val="183"/>
        </w:numPr>
        <w:spacing w:before="108" w:line="0" w:lineRule="atLeast"/>
        <w:rPr>
          <w:rFonts w:eastAsia="標楷體"/>
          <w:sz w:val="28"/>
          <w:szCs w:val="28"/>
        </w:rPr>
      </w:pPr>
      <w:r w:rsidRPr="00D55DC6">
        <w:rPr>
          <w:rFonts w:eastAsia="標楷體"/>
          <w:sz w:val="28"/>
          <w:szCs w:val="28"/>
        </w:rPr>
        <w:t>配合「花東產業六級化發展方案」產業整合，</w:t>
      </w:r>
      <w:r w:rsidR="00682D08" w:rsidRPr="00D55DC6">
        <w:rPr>
          <w:rFonts w:eastAsia="標楷體"/>
          <w:sz w:val="28"/>
          <w:szCs w:val="28"/>
        </w:rPr>
        <w:t>與各社區及部落合作發展生態旅遊模式，以活絡地方觀光產業並繁榮地方經濟。</w:t>
      </w:r>
    </w:p>
    <w:p w:rsidR="00682D08" w:rsidRPr="00D55DC6" w:rsidRDefault="00682D08" w:rsidP="004865C1">
      <w:pPr>
        <w:pStyle w:val="aff0"/>
        <w:numPr>
          <w:ilvl w:val="0"/>
          <w:numId w:val="183"/>
        </w:numPr>
        <w:spacing w:before="108" w:line="0" w:lineRule="atLeast"/>
        <w:rPr>
          <w:rFonts w:eastAsia="標楷體"/>
          <w:sz w:val="28"/>
          <w:szCs w:val="28"/>
        </w:rPr>
      </w:pPr>
      <w:r w:rsidRPr="00D55DC6">
        <w:rPr>
          <w:rFonts w:eastAsia="標楷體"/>
          <w:sz w:val="28"/>
          <w:szCs w:val="28"/>
        </w:rPr>
        <w:t>吸引民間資源跨域合作，加強賣店出租及委外經營，增進與地方之合作關係，創造加值，提高財務自償率進而達到永續經營的目的。</w:t>
      </w:r>
    </w:p>
    <w:p w:rsidR="00682D08" w:rsidRPr="00D55DC6" w:rsidRDefault="009D33BA" w:rsidP="004865C1">
      <w:pPr>
        <w:pStyle w:val="aff0"/>
        <w:numPr>
          <w:ilvl w:val="0"/>
          <w:numId w:val="183"/>
        </w:numPr>
        <w:spacing w:before="108" w:line="0" w:lineRule="atLeast"/>
        <w:rPr>
          <w:rFonts w:eastAsia="標楷體"/>
          <w:sz w:val="28"/>
          <w:szCs w:val="28"/>
        </w:rPr>
      </w:pPr>
      <w:r w:rsidRPr="00D55DC6">
        <w:rPr>
          <w:rFonts w:eastAsia="標楷體" w:hint="eastAsia"/>
          <w:sz w:val="28"/>
          <w:szCs w:val="28"/>
        </w:rPr>
        <w:t>帶動觀光產值</w:t>
      </w:r>
      <w:r w:rsidRPr="00D55DC6">
        <w:rPr>
          <w:rFonts w:eastAsia="標楷體" w:hint="eastAsia"/>
          <w:sz w:val="28"/>
          <w:szCs w:val="28"/>
        </w:rPr>
        <w:t>757</w:t>
      </w:r>
      <w:r w:rsidRPr="00D55DC6">
        <w:rPr>
          <w:rFonts w:eastAsia="標楷體" w:hint="eastAsia"/>
          <w:sz w:val="28"/>
          <w:szCs w:val="28"/>
        </w:rPr>
        <w:t>億元</w:t>
      </w:r>
      <w:r w:rsidRPr="00D55DC6">
        <w:rPr>
          <w:rFonts w:eastAsia="標楷體" w:hint="eastAsia"/>
          <w:sz w:val="28"/>
          <w:szCs w:val="28"/>
        </w:rPr>
        <w:t>(</w:t>
      </w:r>
      <w:r w:rsidRPr="00D55DC6">
        <w:rPr>
          <w:rFonts w:eastAsia="標楷體" w:hint="eastAsia"/>
          <w:sz w:val="28"/>
          <w:szCs w:val="28"/>
        </w:rPr>
        <w:t>以</w:t>
      </w:r>
      <w:r w:rsidRPr="00D55DC6">
        <w:rPr>
          <w:rFonts w:eastAsia="標楷體" w:hint="eastAsia"/>
          <w:sz w:val="28"/>
          <w:szCs w:val="28"/>
        </w:rPr>
        <w:t>105~108</w:t>
      </w:r>
      <w:r w:rsidRPr="00D55DC6">
        <w:rPr>
          <w:rFonts w:eastAsia="標楷體" w:hint="eastAsia"/>
          <w:sz w:val="28"/>
          <w:szCs w:val="28"/>
        </w:rPr>
        <w:t>年度遊客人數目標值</w:t>
      </w:r>
      <w:r w:rsidRPr="00D55DC6">
        <w:rPr>
          <w:rFonts w:eastAsia="標楷體" w:hint="eastAsia"/>
          <w:sz w:val="28"/>
          <w:szCs w:val="28"/>
        </w:rPr>
        <w:t>x</w:t>
      </w:r>
      <w:r w:rsidRPr="00D55DC6">
        <w:rPr>
          <w:rFonts w:eastAsia="標楷體" w:hint="eastAsia"/>
          <w:sz w:val="28"/>
          <w:szCs w:val="28"/>
        </w:rPr>
        <w:t>當年預估總消費金額估算後加總</w:t>
      </w:r>
      <w:r w:rsidRPr="00D55DC6">
        <w:rPr>
          <w:rFonts w:eastAsia="標楷體" w:hint="eastAsia"/>
          <w:sz w:val="28"/>
          <w:szCs w:val="28"/>
        </w:rPr>
        <w:t>)</w:t>
      </w:r>
      <w:r w:rsidRPr="00D55DC6">
        <w:rPr>
          <w:rFonts w:eastAsia="標楷體" w:hint="eastAsia"/>
          <w:sz w:val="28"/>
          <w:szCs w:val="28"/>
        </w:rPr>
        <w:t>。</w:t>
      </w:r>
    </w:p>
    <w:p w:rsidR="004E056F" w:rsidRPr="00D55DC6" w:rsidRDefault="004E056F" w:rsidP="004E056F">
      <w:pPr>
        <w:pStyle w:val="aff0"/>
        <w:spacing w:before="108" w:line="0" w:lineRule="atLeast"/>
        <w:rPr>
          <w:rFonts w:eastAsia="標楷體"/>
          <w:sz w:val="28"/>
          <w:szCs w:val="28"/>
        </w:rPr>
      </w:pPr>
    </w:p>
    <w:p w:rsidR="009D33BA" w:rsidRPr="00D55DC6" w:rsidRDefault="009D33BA" w:rsidP="004E056F">
      <w:pPr>
        <w:pStyle w:val="aff0"/>
        <w:spacing w:before="108" w:line="0" w:lineRule="atLeast"/>
        <w:rPr>
          <w:rFonts w:eastAsia="標楷體"/>
          <w:sz w:val="28"/>
          <w:szCs w:val="28"/>
        </w:rPr>
      </w:pPr>
    </w:p>
    <w:p w:rsidR="00682D08" w:rsidRPr="00D55DC6" w:rsidRDefault="00682D08" w:rsidP="00682D08">
      <w:pPr>
        <w:pStyle w:val="a"/>
        <w:ind w:left="709" w:hanging="709"/>
        <w:rPr>
          <w:b/>
        </w:rPr>
      </w:pPr>
      <w:bookmarkStart w:id="170" w:name="_Toc407181729"/>
      <w:r w:rsidRPr="00D55DC6">
        <w:rPr>
          <w:b/>
        </w:rPr>
        <w:t>財務計畫</w:t>
      </w:r>
      <w:bookmarkEnd w:id="170"/>
    </w:p>
    <w:p w:rsidR="00682D08" w:rsidRPr="00D55DC6" w:rsidRDefault="00682D08" w:rsidP="004865C1">
      <w:pPr>
        <w:pStyle w:val="af2"/>
        <w:numPr>
          <w:ilvl w:val="0"/>
          <w:numId w:val="184"/>
        </w:numPr>
        <w:snapToGrid w:val="0"/>
        <w:spacing w:line="460" w:lineRule="exact"/>
        <w:ind w:leftChars="0"/>
        <w:jc w:val="both"/>
        <w:rPr>
          <w:rFonts w:eastAsia="標楷體"/>
          <w:b/>
          <w:sz w:val="28"/>
          <w:szCs w:val="28"/>
        </w:rPr>
      </w:pPr>
      <w:r w:rsidRPr="00D55DC6">
        <w:rPr>
          <w:rFonts w:eastAsia="標楷體"/>
          <w:b/>
          <w:sz w:val="28"/>
          <w:szCs w:val="28"/>
        </w:rPr>
        <w:t>財務計畫核定情形</w:t>
      </w:r>
    </w:p>
    <w:p w:rsidR="00682D08" w:rsidRPr="00D55DC6" w:rsidRDefault="00682D08" w:rsidP="00682D08">
      <w:pPr>
        <w:pStyle w:val="a"/>
        <w:numPr>
          <w:ilvl w:val="0"/>
          <w:numId w:val="0"/>
        </w:numPr>
        <w:ind w:left="709"/>
      </w:pPr>
      <w:bookmarkStart w:id="171" w:name="_Toc407181730"/>
      <w:r w:rsidRPr="00D55DC6">
        <w:t>依據管理處</w:t>
      </w:r>
      <w:r w:rsidRPr="00D55DC6">
        <w:t>103</w:t>
      </w:r>
      <w:r w:rsidRPr="00D55DC6">
        <w:t>年委託辦理之「東部海岸國家風景區觀光整體發展計畫檢討案」，未來</w:t>
      </w:r>
      <w:r w:rsidRPr="00D55DC6">
        <w:t>20</w:t>
      </w:r>
      <w:r w:rsidRPr="00D55DC6">
        <w:t>年期間</w:t>
      </w:r>
      <w:r w:rsidRPr="00D55DC6">
        <w:t>(103</w:t>
      </w:r>
      <w:r w:rsidRPr="00D55DC6">
        <w:t>至</w:t>
      </w:r>
      <w:r w:rsidRPr="00D55DC6">
        <w:t>122</w:t>
      </w:r>
      <w:r w:rsidRPr="00D55DC6">
        <w:t>年</w:t>
      </w:r>
      <w:r w:rsidRPr="00D55DC6">
        <w:t>)</w:t>
      </w:r>
      <w:r w:rsidRPr="00D55DC6">
        <w:t>計畫投入現值為</w:t>
      </w:r>
      <w:r w:rsidR="00FF5740" w:rsidRPr="00D55DC6">
        <w:t>34.8443</w:t>
      </w:r>
      <w:r w:rsidR="00FF5740" w:rsidRPr="00D55DC6">
        <w:t>億元，收益現值為</w:t>
      </w:r>
      <w:r w:rsidR="00FF5740" w:rsidRPr="00D55DC6">
        <w:t>3.1969</w:t>
      </w:r>
      <w:r w:rsidR="00FF5740" w:rsidRPr="00D55DC6">
        <w:t>億元，整體計畫財務自償率達</w:t>
      </w:r>
      <w:r w:rsidR="00FF5740" w:rsidRPr="00D55DC6">
        <w:t>9.17%</w:t>
      </w:r>
      <w:r w:rsidR="00FF5740" w:rsidRPr="00D55DC6">
        <w:t>。</w:t>
      </w:r>
      <w:bookmarkEnd w:id="171"/>
    </w:p>
    <w:p w:rsidR="00682D08" w:rsidRPr="00D55DC6" w:rsidRDefault="00682D08" w:rsidP="00682D08">
      <w:pPr>
        <w:pStyle w:val="a"/>
        <w:numPr>
          <w:ilvl w:val="0"/>
          <w:numId w:val="0"/>
        </w:numPr>
        <w:ind w:left="709"/>
      </w:pPr>
    </w:p>
    <w:p w:rsidR="00682D08" w:rsidRPr="00D55DC6" w:rsidRDefault="00682D08" w:rsidP="004865C1">
      <w:pPr>
        <w:pStyle w:val="af2"/>
        <w:numPr>
          <w:ilvl w:val="0"/>
          <w:numId w:val="184"/>
        </w:numPr>
        <w:snapToGrid w:val="0"/>
        <w:spacing w:line="460" w:lineRule="exact"/>
        <w:ind w:leftChars="0"/>
        <w:jc w:val="both"/>
        <w:rPr>
          <w:rFonts w:eastAsia="標楷體"/>
          <w:b/>
          <w:sz w:val="28"/>
          <w:szCs w:val="28"/>
        </w:rPr>
      </w:pPr>
      <w:r w:rsidRPr="00D55DC6">
        <w:rPr>
          <w:rFonts w:eastAsia="標楷體"/>
          <w:b/>
          <w:sz w:val="28"/>
          <w:szCs w:val="28"/>
        </w:rPr>
        <w:t>預估財務收入情形</w:t>
      </w:r>
    </w:p>
    <w:p w:rsidR="00682D08" w:rsidRPr="00D55DC6" w:rsidRDefault="00682D08" w:rsidP="00682D08">
      <w:pPr>
        <w:pStyle w:val="a"/>
        <w:numPr>
          <w:ilvl w:val="0"/>
          <w:numId w:val="0"/>
        </w:numPr>
        <w:ind w:left="709"/>
      </w:pPr>
      <w:bookmarkStart w:id="172" w:name="_Toc407181731"/>
      <w:r w:rsidRPr="00D55DC6">
        <w:t>透過推動使用者付費、設施出租、促參案件、跨域合作、創新收益等方向，積極提升計畫自償率。詳如下列預估財務收入分年規劃表。</w:t>
      </w:r>
      <w:bookmarkEnd w:id="172"/>
    </w:p>
    <w:p w:rsidR="00682D08" w:rsidRPr="00D55DC6" w:rsidRDefault="00682D08" w:rsidP="00682D08">
      <w:pPr>
        <w:pStyle w:val="a"/>
        <w:numPr>
          <w:ilvl w:val="0"/>
          <w:numId w:val="0"/>
        </w:numPr>
        <w:ind w:left="709"/>
      </w:pPr>
    </w:p>
    <w:p w:rsidR="004D7B00" w:rsidRPr="00D55DC6" w:rsidRDefault="004D7B00" w:rsidP="00682D08">
      <w:pPr>
        <w:pStyle w:val="a"/>
        <w:numPr>
          <w:ilvl w:val="0"/>
          <w:numId w:val="0"/>
        </w:numPr>
        <w:ind w:left="709"/>
      </w:pPr>
    </w:p>
    <w:p w:rsidR="004D7B00" w:rsidRPr="00D55DC6" w:rsidRDefault="004D7B00" w:rsidP="00682D08">
      <w:pPr>
        <w:pStyle w:val="a"/>
        <w:numPr>
          <w:ilvl w:val="0"/>
          <w:numId w:val="0"/>
        </w:numPr>
        <w:ind w:left="709"/>
      </w:pPr>
    </w:p>
    <w:p w:rsidR="00A57612" w:rsidRPr="00D55DC6" w:rsidRDefault="00A57612" w:rsidP="00682D08">
      <w:pPr>
        <w:pStyle w:val="a"/>
        <w:numPr>
          <w:ilvl w:val="0"/>
          <w:numId w:val="0"/>
        </w:numPr>
        <w:ind w:left="709"/>
      </w:pPr>
    </w:p>
    <w:p w:rsidR="009D33BA" w:rsidRPr="00D55DC6" w:rsidRDefault="009D33BA" w:rsidP="00682D08">
      <w:pPr>
        <w:pStyle w:val="a"/>
        <w:numPr>
          <w:ilvl w:val="0"/>
          <w:numId w:val="0"/>
        </w:numPr>
        <w:ind w:left="709"/>
      </w:pPr>
    </w:p>
    <w:p w:rsidR="00682D08" w:rsidRPr="00D55DC6" w:rsidRDefault="00682D08" w:rsidP="00682D08">
      <w:pPr>
        <w:keepNext/>
        <w:ind w:rightChars="-316" w:right="-758"/>
        <w:rPr>
          <w:rFonts w:eastAsia="標楷體"/>
          <w:sz w:val="20"/>
          <w:szCs w:val="20"/>
        </w:rPr>
      </w:pPr>
      <w:r w:rsidRPr="00D55DC6">
        <w:rPr>
          <w:rFonts w:eastAsia="標楷體"/>
        </w:rPr>
        <w:lastRenderedPageBreak/>
        <w:t>表</w:t>
      </w:r>
      <w:r w:rsidRPr="00D55DC6">
        <w:rPr>
          <w:rFonts w:eastAsia="標楷體"/>
        </w:rPr>
        <w:t xml:space="preserve">  </w:t>
      </w:r>
      <w:r w:rsidRPr="00D55DC6">
        <w:rPr>
          <w:rFonts w:eastAsia="標楷體"/>
        </w:rPr>
        <w:t>預估財務收入分年規劃表</w:t>
      </w:r>
      <w:r w:rsidRPr="00D55DC6">
        <w:rPr>
          <w:rFonts w:eastAsia="標楷體"/>
        </w:rPr>
        <w:t xml:space="preserve">                       </w:t>
      </w:r>
      <w:r w:rsidRPr="00D55DC6">
        <w:rPr>
          <w:rFonts w:eastAsia="標楷體"/>
        </w:rPr>
        <w:t xml:space="preserve">　　　　　　　　</w:t>
      </w:r>
      <w:r w:rsidRPr="00D55DC6">
        <w:rPr>
          <w:rFonts w:eastAsia="標楷體"/>
        </w:rPr>
        <w:t xml:space="preserve"> </w:t>
      </w:r>
      <w:r w:rsidRPr="00D55DC6">
        <w:rPr>
          <w:rFonts w:eastAsia="標楷體"/>
          <w:sz w:val="20"/>
          <w:szCs w:val="20"/>
        </w:rPr>
        <w:t>（單位：千元）</w:t>
      </w:r>
    </w:p>
    <w:tbl>
      <w:tblPr>
        <w:tblW w:w="10198"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5"/>
        <w:gridCol w:w="2115"/>
        <w:gridCol w:w="695"/>
        <w:gridCol w:w="695"/>
        <w:gridCol w:w="695"/>
        <w:gridCol w:w="694"/>
        <w:gridCol w:w="695"/>
        <w:gridCol w:w="695"/>
        <w:gridCol w:w="694"/>
        <w:gridCol w:w="695"/>
        <w:gridCol w:w="695"/>
        <w:gridCol w:w="695"/>
      </w:tblGrid>
      <w:tr w:rsidR="001D0350" w:rsidRPr="00D55DC6" w:rsidTr="00682D08">
        <w:trPr>
          <w:trHeight w:val="323"/>
        </w:trPr>
        <w:tc>
          <w:tcPr>
            <w:tcW w:w="3250"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center"/>
            <w:hideMark/>
          </w:tcPr>
          <w:p w:rsidR="00682D08" w:rsidRPr="00D55DC6" w:rsidRDefault="00682D08" w:rsidP="009D33BA">
            <w:pPr>
              <w:widowControl/>
              <w:snapToGrid w:val="0"/>
              <w:spacing w:before="60" w:after="60" w:line="280" w:lineRule="exact"/>
              <w:jc w:val="center"/>
              <w:rPr>
                <w:rFonts w:eastAsia="標楷體"/>
                <w:kern w:val="0"/>
              </w:rPr>
            </w:pPr>
            <w:r w:rsidRPr="00D55DC6">
              <w:rPr>
                <w:rFonts w:eastAsia="標楷體"/>
                <w:kern w:val="0"/>
              </w:rPr>
              <w:t>類別</w:t>
            </w:r>
            <w:r w:rsidRPr="00D55DC6">
              <w:rPr>
                <w:rFonts w:eastAsia="標楷體"/>
                <w:kern w:val="0"/>
              </w:rPr>
              <w:t>\</w:t>
            </w:r>
            <w:r w:rsidRPr="00D55DC6">
              <w:rPr>
                <w:rFonts w:eastAsia="標楷體"/>
                <w:kern w:val="0"/>
              </w:rPr>
              <w:t>年度</w:t>
            </w:r>
          </w:p>
        </w:tc>
        <w:tc>
          <w:tcPr>
            <w:tcW w:w="69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82D08" w:rsidRPr="00D55DC6" w:rsidRDefault="00682D08" w:rsidP="009D33BA">
            <w:pPr>
              <w:widowControl/>
              <w:snapToGrid w:val="0"/>
              <w:spacing w:line="280" w:lineRule="exact"/>
              <w:jc w:val="center"/>
              <w:rPr>
                <w:rFonts w:eastAsia="標楷體"/>
                <w:kern w:val="0"/>
                <w:szCs w:val="22"/>
              </w:rPr>
            </w:pPr>
            <w:r w:rsidRPr="00D55DC6">
              <w:rPr>
                <w:rFonts w:eastAsia="標楷體"/>
                <w:kern w:val="0"/>
              </w:rPr>
              <w:t>103</w:t>
            </w:r>
            <w:r w:rsidRPr="00D55DC6">
              <w:rPr>
                <w:rFonts w:eastAsia="標楷體"/>
                <w:kern w:val="0"/>
              </w:rPr>
              <w:t>年</w:t>
            </w:r>
          </w:p>
        </w:tc>
        <w:tc>
          <w:tcPr>
            <w:tcW w:w="69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82D08" w:rsidRPr="00D55DC6" w:rsidRDefault="00682D08" w:rsidP="009D33BA">
            <w:pPr>
              <w:widowControl/>
              <w:snapToGrid w:val="0"/>
              <w:spacing w:line="280" w:lineRule="exact"/>
              <w:jc w:val="center"/>
              <w:rPr>
                <w:rFonts w:eastAsia="標楷體"/>
                <w:kern w:val="0"/>
                <w:szCs w:val="22"/>
              </w:rPr>
            </w:pPr>
            <w:r w:rsidRPr="00D55DC6">
              <w:rPr>
                <w:rFonts w:eastAsia="標楷體"/>
                <w:kern w:val="0"/>
              </w:rPr>
              <w:t>104</w:t>
            </w:r>
            <w:r w:rsidRPr="00D55DC6">
              <w:rPr>
                <w:rFonts w:eastAsia="標楷體"/>
                <w:kern w:val="0"/>
              </w:rPr>
              <w:t>年</w:t>
            </w:r>
          </w:p>
        </w:tc>
        <w:tc>
          <w:tcPr>
            <w:tcW w:w="69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82D08" w:rsidRPr="00D55DC6" w:rsidRDefault="00682D08" w:rsidP="009D33BA">
            <w:pPr>
              <w:widowControl/>
              <w:snapToGrid w:val="0"/>
              <w:spacing w:line="280" w:lineRule="exact"/>
              <w:jc w:val="center"/>
              <w:rPr>
                <w:rFonts w:eastAsia="標楷體"/>
                <w:kern w:val="0"/>
                <w:szCs w:val="22"/>
              </w:rPr>
            </w:pPr>
            <w:r w:rsidRPr="00D55DC6">
              <w:rPr>
                <w:rFonts w:eastAsia="標楷體"/>
                <w:kern w:val="0"/>
              </w:rPr>
              <w:t>105</w:t>
            </w:r>
            <w:r w:rsidRPr="00D55DC6">
              <w:rPr>
                <w:rFonts w:eastAsia="標楷體"/>
                <w:kern w:val="0"/>
              </w:rPr>
              <w:t>年</w:t>
            </w:r>
          </w:p>
        </w:tc>
        <w:tc>
          <w:tcPr>
            <w:tcW w:w="6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82D08" w:rsidRPr="00D55DC6" w:rsidRDefault="00682D08" w:rsidP="009D33BA">
            <w:pPr>
              <w:widowControl/>
              <w:snapToGrid w:val="0"/>
              <w:spacing w:line="280" w:lineRule="exact"/>
              <w:jc w:val="center"/>
              <w:rPr>
                <w:rFonts w:eastAsia="標楷體"/>
                <w:kern w:val="0"/>
                <w:szCs w:val="22"/>
              </w:rPr>
            </w:pPr>
            <w:r w:rsidRPr="00D55DC6">
              <w:rPr>
                <w:rFonts w:eastAsia="標楷體"/>
                <w:kern w:val="0"/>
              </w:rPr>
              <w:t>106</w:t>
            </w:r>
            <w:r w:rsidRPr="00D55DC6">
              <w:rPr>
                <w:rFonts w:eastAsia="標楷體"/>
                <w:kern w:val="0"/>
              </w:rPr>
              <w:t>年</w:t>
            </w:r>
          </w:p>
        </w:tc>
        <w:tc>
          <w:tcPr>
            <w:tcW w:w="69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82D08" w:rsidRPr="00D55DC6" w:rsidRDefault="00682D08" w:rsidP="009D33BA">
            <w:pPr>
              <w:widowControl/>
              <w:snapToGrid w:val="0"/>
              <w:spacing w:line="280" w:lineRule="exact"/>
              <w:jc w:val="center"/>
              <w:rPr>
                <w:rFonts w:eastAsia="標楷體"/>
                <w:kern w:val="0"/>
                <w:szCs w:val="22"/>
              </w:rPr>
            </w:pPr>
            <w:r w:rsidRPr="00D55DC6">
              <w:rPr>
                <w:rFonts w:eastAsia="標楷體"/>
                <w:kern w:val="0"/>
              </w:rPr>
              <w:t>107</w:t>
            </w:r>
            <w:r w:rsidRPr="00D55DC6">
              <w:rPr>
                <w:rFonts w:eastAsia="標楷體"/>
                <w:kern w:val="0"/>
              </w:rPr>
              <w:t>年</w:t>
            </w:r>
          </w:p>
        </w:tc>
        <w:tc>
          <w:tcPr>
            <w:tcW w:w="69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82D08" w:rsidRPr="00D55DC6" w:rsidRDefault="00682D08" w:rsidP="009D33BA">
            <w:pPr>
              <w:widowControl/>
              <w:snapToGrid w:val="0"/>
              <w:spacing w:line="280" w:lineRule="exact"/>
              <w:jc w:val="center"/>
              <w:rPr>
                <w:rFonts w:eastAsia="標楷體"/>
                <w:kern w:val="0"/>
                <w:szCs w:val="22"/>
              </w:rPr>
            </w:pPr>
            <w:r w:rsidRPr="00D55DC6">
              <w:rPr>
                <w:rFonts w:eastAsia="標楷體"/>
                <w:kern w:val="0"/>
              </w:rPr>
              <w:t>108</w:t>
            </w:r>
            <w:r w:rsidRPr="00D55DC6">
              <w:rPr>
                <w:rFonts w:eastAsia="標楷體"/>
                <w:kern w:val="0"/>
              </w:rPr>
              <w:t>年</w:t>
            </w:r>
          </w:p>
        </w:tc>
        <w:tc>
          <w:tcPr>
            <w:tcW w:w="6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82D08" w:rsidRPr="00D55DC6" w:rsidRDefault="00682D08" w:rsidP="009D33BA">
            <w:pPr>
              <w:widowControl/>
              <w:snapToGrid w:val="0"/>
              <w:spacing w:line="280" w:lineRule="exact"/>
              <w:jc w:val="center"/>
              <w:rPr>
                <w:rFonts w:eastAsia="標楷體"/>
                <w:kern w:val="0"/>
                <w:szCs w:val="22"/>
              </w:rPr>
            </w:pPr>
            <w:r w:rsidRPr="00D55DC6">
              <w:rPr>
                <w:rFonts w:eastAsia="標楷體"/>
                <w:kern w:val="0"/>
              </w:rPr>
              <w:t>109</w:t>
            </w:r>
            <w:r w:rsidRPr="00D55DC6">
              <w:rPr>
                <w:rFonts w:eastAsia="標楷體"/>
                <w:kern w:val="0"/>
              </w:rPr>
              <w:t>年</w:t>
            </w:r>
          </w:p>
        </w:tc>
        <w:tc>
          <w:tcPr>
            <w:tcW w:w="69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82D08" w:rsidRPr="00D55DC6" w:rsidRDefault="00682D08" w:rsidP="009D33BA">
            <w:pPr>
              <w:widowControl/>
              <w:snapToGrid w:val="0"/>
              <w:spacing w:line="280" w:lineRule="exact"/>
              <w:jc w:val="center"/>
              <w:rPr>
                <w:rFonts w:eastAsia="標楷體"/>
                <w:kern w:val="0"/>
                <w:szCs w:val="22"/>
              </w:rPr>
            </w:pPr>
            <w:r w:rsidRPr="00D55DC6">
              <w:rPr>
                <w:rFonts w:eastAsia="標楷體"/>
                <w:kern w:val="0"/>
              </w:rPr>
              <w:t>110</w:t>
            </w:r>
            <w:r w:rsidRPr="00D55DC6">
              <w:rPr>
                <w:rFonts w:eastAsia="標楷體"/>
                <w:kern w:val="0"/>
              </w:rPr>
              <w:t>年</w:t>
            </w:r>
          </w:p>
        </w:tc>
        <w:tc>
          <w:tcPr>
            <w:tcW w:w="69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82D08" w:rsidRPr="00D55DC6" w:rsidRDefault="00682D08" w:rsidP="009D33BA">
            <w:pPr>
              <w:widowControl/>
              <w:snapToGrid w:val="0"/>
              <w:spacing w:line="280" w:lineRule="exact"/>
              <w:jc w:val="center"/>
              <w:rPr>
                <w:rFonts w:eastAsia="標楷體"/>
                <w:kern w:val="0"/>
                <w:szCs w:val="22"/>
              </w:rPr>
            </w:pPr>
            <w:r w:rsidRPr="00D55DC6">
              <w:rPr>
                <w:rFonts w:eastAsia="標楷體"/>
                <w:kern w:val="0"/>
              </w:rPr>
              <w:t>111</w:t>
            </w:r>
            <w:r w:rsidRPr="00D55DC6">
              <w:rPr>
                <w:rFonts w:eastAsia="標楷體"/>
                <w:kern w:val="0"/>
              </w:rPr>
              <w:t>年</w:t>
            </w:r>
          </w:p>
        </w:tc>
        <w:tc>
          <w:tcPr>
            <w:tcW w:w="69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82D08" w:rsidRPr="00D55DC6" w:rsidRDefault="00682D08" w:rsidP="009D33BA">
            <w:pPr>
              <w:widowControl/>
              <w:snapToGrid w:val="0"/>
              <w:spacing w:line="280" w:lineRule="exact"/>
              <w:jc w:val="center"/>
              <w:rPr>
                <w:rFonts w:eastAsia="標楷體"/>
                <w:kern w:val="0"/>
                <w:szCs w:val="22"/>
              </w:rPr>
            </w:pPr>
            <w:r w:rsidRPr="00D55DC6">
              <w:rPr>
                <w:rFonts w:eastAsia="標楷體"/>
                <w:kern w:val="0"/>
              </w:rPr>
              <w:t>112</w:t>
            </w:r>
            <w:r w:rsidRPr="00D55DC6">
              <w:rPr>
                <w:rFonts w:eastAsia="標楷體"/>
                <w:kern w:val="0"/>
              </w:rPr>
              <w:t>年</w:t>
            </w:r>
          </w:p>
        </w:tc>
      </w:tr>
      <w:tr w:rsidR="001D0350" w:rsidRPr="00D55DC6" w:rsidTr="00682D08">
        <w:trPr>
          <w:trHeight w:val="58"/>
        </w:trPr>
        <w:tc>
          <w:tcPr>
            <w:tcW w:w="113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widowControl/>
              <w:snapToGrid w:val="0"/>
              <w:spacing w:line="280" w:lineRule="exact"/>
              <w:rPr>
                <w:rFonts w:eastAsia="標楷體"/>
                <w:kern w:val="0"/>
                <w:szCs w:val="22"/>
              </w:rPr>
            </w:pPr>
            <w:r w:rsidRPr="00D55DC6">
              <w:rPr>
                <w:rFonts w:eastAsia="標楷體"/>
                <w:kern w:val="0"/>
              </w:rPr>
              <w:t>清潔費</w:t>
            </w:r>
          </w:p>
        </w:tc>
        <w:tc>
          <w:tcPr>
            <w:tcW w:w="2115" w:type="dxa"/>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spacing w:line="280" w:lineRule="exact"/>
              <w:rPr>
                <w:rFonts w:eastAsia="標楷體"/>
                <w:kern w:val="0"/>
              </w:rPr>
            </w:pPr>
            <w:r w:rsidRPr="00D55DC6">
              <w:rPr>
                <w:rFonts w:eastAsia="標楷體"/>
                <w:kern w:val="0"/>
              </w:rPr>
              <w:t>小野柳</w:t>
            </w:r>
            <w:r w:rsidRPr="00D55DC6">
              <w:rPr>
                <w:kern w:val="0"/>
              </w:rPr>
              <w:t>、</w:t>
            </w:r>
            <w:r w:rsidRPr="00D55DC6">
              <w:rPr>
                <w:rFonts w:eastAsia="標楷體"/>
                <w:kern w:val="0"/>
              </w:rPr>
              <w:t>三仙台</w:t>
            </w:r>
            <w:r w:rsidRPr="00D55DC6">
              <w:rPr>
                <w:kern w:val="0"/>
              </w:rPr>
              <w:t>、</w:t>
            </w:r>
            <w:r w:rsidRPr="00D55DC6">
              <w:rPr>
                <w:rFonts w:eastAsia="標楷體"/>
                <w:kern w:val="0"/>
              </w:rPr>
              <w:t>八仙洞</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2,675</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2,715</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2,756</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2,797</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2,839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2,882</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2,925</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2,969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3,013</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3,059</w:t>
            </w:r>
          </w:p>
        </w:tc>
      </w:tr>
      <w:tr w:rsidR="001D0350" w:rsidRPr="00D55DC6" w:rsidTr="00682D08">
        <w:trPr>
          <w:trHeight w:val="58"/>
        </w:trPr>
        <w:tc>
          <w:tcPr>
            <w:tcW w:w="1135" w:type="dxa"/>
            <w:vMerge w:val="restart"/>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widowControl/>
              <w:snapToGrid w:val="0"/>
              <w:spacing w:line="280" w:lineRule="exact"/>
              <w:rPr>
                <w:rFonts w:eastAsia="標楷體"/>
                <w:kern w:val="0"/>
                <w:szCs w:val="22"/>
              </w:rPr>
            </w:pPr>
            <w:r w:rsidRPr="00D55DC6">
              <w:rPr>
                <w:rFonts w:eastAsia="標楷體"/>
                <w:kern w:val="0"/>
              </w:rPr>
              <w:t>設施出租</w:t>
            </w:r>
          </w:p>
        </w:tc>
        <w:tc>
          <w:tcPr>
            <w:tcW w:w="2115" w:type="dxa"/>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spacing w:line="280" w:lineRule="exact"/>
              <w:rPr>
                <w:sz w:val="20"/>
                <w:szCs w:val="20"/>
              </w:rPr>
            </w:pPr>
            <w:r w:rsidRPr="00D55DC6">
              <w:rPr>
                <w:rFonts w:eastAsia="標楷體"/>
                <w:kern w:val="0"/>
              </w:rPr>
              <w:t>奇美、觀海樓等</w:t>
            </w:r>
            <w:r w:rsidR="00F14092" w:rsidRPr="00D55DC6">
              <w:rPr>
                <w:rFonts w:eastAsia="標楷體"/>
                <w:kern w:val="0"/>
              </w:rPr>
              <w:t>80</w:t>
            </w:r>
            <w:r w:rsidR="00F14092" w:rsidRPr="00D55DC6">
              <w:rPr>
                <w:rFonts w:eastAsia="標楷體"/>
                <w:kern w:val="0"/>
              </w:rPr>
              <w:t>餘處賣店</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5,561</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5,602</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5,636</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5,739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5,754</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5,839</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5,882</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5,918</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6,026</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6,042</w:t>
            </w:r>
          </w:p>
        </w:tc>
      </w:tr>
      <w:tr w:rsidR="001D0350" w:rsidRPr="00D55DC6" w:rsidTr="00682D08">
        <w:trPr>
          <w:trHeight w:val="372"/>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widowControl/>
              <w:spacing w:line="280" w:lineRule="exact"/>
              <w:rPr>
                <w:rFonts w:eastAsia="標楷體"/>
                <w:kern w:val="0"/>
                <w:szCs w:val="22"/>
              </w:rPr>
            </w:pPr>
          </w:p>
        </w:tc>
        <w:tc>
          <w:tcPr>
            <w:tcW w:w="2115" w:type="dxa"/>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spacing w:line="280" w:lineRule="exact"/>
              <w:rPr>
                <w:rFonts w:eastAsia="標楷體"/>
                <w:kern w:val="0"/>
              </w:rPr>
            </w:pPr>
            <w:r w:rsidRPr="00D55DC6">
              <w:rPr>
                <w:rFonts w:eastAsia="標楷體"/>
                <w:kern w:val="0"/>
              </w:rPr>
              <w:t>露營區</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1,380</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1,380</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1,380</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1,380</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1,380</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1,449</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1,449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1,449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1,449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1,449</w:t>
            </w:r>
          </w:p>
        </w:tc>
      </w:tr>
      <w:tr w:rsidR="001D0350" w:rsidRPr="00D55DC6" w:rsidTr="00682D08">
        <w:trPr>
          <w:trHeight w:val="372"/>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widowControl/>
              <w:spacing w:line="280" w:lineRule="exact"/>
              <w:rPr>
                <w:rFonts w:eastAsia="標楷體"/>
                <w:kern w:val="0"/>
                <w:szCs w:val="22"/>
              </w:rPr>
            </w:pPr>
          </w:p>
        </w:tc>
        <w:tc>
          <w:tcPr>
            <w:tcW w:w="2115" w:type="dxa"/>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spacing w:line="280" w:lineRule="exact"/>
              <w:rPr>
                <w:rFonts w:eastAsia="標楷體"/>
                <w:kern w:val="0"/>
              </w:rPr>
            </w:pPr>
            <w:r w:rsidRPr="00D55DC6">
              <w:rPr>
                <w:rFonts w:eastAsia="標楷體"/>
                <w:kern w:val="0"/>
              </w:rPr>
              <w:t>小計</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6,941</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6,982</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7,016</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7,119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7,134</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7,288</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7,331</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7,367</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7,475</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7,491</w:t>
            </w:r>
          </w:p>
        </w:tc>
      </w:tr>
      <w:tr w:rsidR="001D0350" w:rsidRPr="00D55DC6" w:rsidTr="00682D08">
        <w:trPr>
          <w:trHeight w:val="486"/>
        </w:trPr>
        <w:tc>
          <w:tcPr>
            <w:tcW w:w="113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widowControl/>
              <w:snapToGrid w:val="0"/>
              <w:spacing w:line="280" w:lineRule="exact"/>
              <w:rPr>
                <w:rFonts w:eastAsia="標楷體"/>
                <w:kern w:val="0"/>
                <w:szCs w:val="22"/>
              </w:rPr>
            </w:pPr>
            <w:r w:rsidRPr="00D55DC6">
              <w:rPr>
                <w:rFonts w:eastAsia="標楷體"/>
                <w:kern w:val="0"/>
              </w:rPr>
              <w:t>促參案</w:t>
            </w:r>
          </w:p>
        </w:tc>
        <w:tc>
          <w:tcPr>
            <w:tcW w:w="2115" w:type="dxa"/>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spacing w:line="280" w:lineRule="exact"/>
              <w:rPr>
                <w:sz w:val="20"/>
                <w:szCs w:val="20"/>
              </w:rPr>
            </w:pPr>
            <w:r w:rsidRPr="00D55DC6">
              <w:rPr>
                <w:rFonts w:eastAsia="標楷體"/>
                <w:kern w:val="0"/>
              </w:rPr>
              <w:t>綠島朝日溫泉、朝日旅遊服務中心及露營區促參案</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1,898</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1,919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1,941</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1,963</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1,985</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2,008</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2,031</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2,054</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2,078</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2,102</w:t>
            </w:r>
          </w:p>
        </w:tc>
      </w:tr>
      <w:tr w:rsidR="001D0350" w:rsidRPr="00D55DC6" w:rsidTr="00682D08">
        <w:trPr>
          <w:trHeight w:val="101"/>
        </w:trPr>
        <w:tc>
          <w:tcPr>
            <w:tcW w:w="1135" w:type="dxa"/>
            <w:vMerge w:val="restart"/>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napToGrid w:val="0"/>
              <w:spacing w:line="280" w:lineRule="exact"/>
              <w:rPr>
                <w:rFonts w:eastAsia="標楷體"/>
                <w:kern w:val="0"/>
              </w:rPr>
            </w:pPr>
            <w:r w:rsidRPr="00D55DC6">
              <w:rPr>
                <w:rFonts w:eastAsia="標楷體"/>
                <w:kern w:val="0"/>
              </w:rPr>
              <w:t>新增租金及清潔費</w:t>
            </w:r>
          </w:p>
        </w:tc>
        <w:tc>
          <w:tcPr>
            <w:tcW w:w="2115" w:type="dxa"/>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spacing w:line="280" w:lineRule="exact"/>
              <w:rPr>
                <w:rFonts w:eastAsia="標楷體"/>
                <w:kern w:val="0"/>
              </w:rPr>
            </w:pPr>
            <w:r w:rsidRPr="00D55DC6">
              <w:rPr>
                <w:rFonts w:eastAsia="標楷體"/>
                <w:kern w:val="0"/>
              </w:rPr>
              <w:t>水往上流部落市集租金</w:t>
            </w:r>
          </w:p>
        </w:tc>
        <w:tc>
          <w:tcPr>
            <w:tcW w:w="695" w:type="dxa"/>
            <w:tcBorders>
              <w:top w:val="single" w:sz="4" w:space="0" w:color="auto"/>
              <w:left w:val="single" w:sz="4" w:space="0" w:color="auto"/>
              <w:bottom w:val="single" w:sz="4" w:space="0" w:color="auto"/>
              <w:right w:val="single" w:sz="4" w:space="0" w:color="auto"/>
            </w:tcBorders>
            <w:noWrap/>
            <w:vAlign w:val="center"/>
          </w:tcPr>
          <w:p w:rsidR="00682D08" w:rsidRPr="00D55DC6" w:rsidRDefault="00682D08" w:rsidP="009D33BA">
            <w:pPr>
              <w:spacing w:line="280" w:lineRule="exact"/>
              <w:jc w:val="right"/>
              <w:rPr>
                <w:sz w:val="20"/>
                <w:szCs w:val="20"/>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132</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132</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132</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132</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132</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139</w:t>
            </w:r>
          </w:p>
        </w:tc>
      </w:tr>
      <w:tr w:rsidR="001D0350" w:rsidRPr="00D55DC6" w:rsidTr="00682D08">
        <w:trPr>
          <w:trHeight w:val="323"/>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widowControl/>
              <w:spacing w:line="280" w:lineRule="exact"/>
              <w:rPr>
                <w:rFonts w:eastAsia="標楷體"/>
                <w:kern w:val="0"/>
              </w:rPr>
            </w:pPr>
          </w:p>
        </w:tc>
        <w:tc>
          <w:tcPr>
            <w:tcW w:w="2115" w:type="dxa"/>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spacing w:line="280" w:lineRule="exact"/>
              <w:rPr>
                <w:rFonts w:eastAsia="標楷體"/>
                <w:kern w:val="0"/>
              </w:rPr>
            </w:pPr>
            <w:r w:rsidRPr="00D55DC6">
              <w:rPr>
                <w:rFonts w:eastAsia="標楷體"/>
                <w:kern w:val="0"/>
              </w:rPr>
              <w:t>北回歸線部落市集租金</w:t>
            </w:r>
          </w:p>
        </w:tc>
        <w:tc>
          <w:tcPr>
            <w:tcW w:w="695" w:type="dxa"/>
            <w:tcBorders>
              <w:top w:val="single" w:sz="4" w:space="0" w:color="auto"/>
              <w:left w:val="single" w:sz="4" w:space="0" w:color="auto"/>
              <w:bottom w:val="single" w:sz="4" w:space="0" w:color="auto"/>
              <w:right w:val="single" w:sz="4" w:space="0" w:color="auto"/>
            </w:tcBorders>
            <w:noWrap/>
            <w:vAlign w:val="center"/>
          </w:tcPr>
          <w:p w:rsidR="00682D08" w:rsidRPr="00D55DC6" w:rsidRDefault="00682D08" w:rsidP="009D33BA">
            <w:pPr>
              <w:spacing w:line="280" w:lineRule="exact"/>
              <w:jc w:val="right"/>
              <w:rPr>
                <w:sz w:val="20"/>
                <w:szCs w:val="20"/>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132</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132</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132</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132</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132</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139</w:t>
            </w:r>
          </w:p>
        </w:tc>
      </w:tr>
      <w:tr w:rsidR="001D0350" w:rsidRPr="00D55DC6" w:rsidTr="00682D08">
        <w:trPr>
          <w:trHeight w:val="323"/>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widowControl/>
              <w:spacing w:line="280" w:lineRule="exact"/>
              <w:rPr>
                <w:rFonts w:eastAsia="標楷體"/>
                <w:kern w:val="0"/>
              </w:rPr>
            </w:pPr>
          </w:p>
        </w:tc>
        <w:tc>
          <w:tcPr>
            <w:tcW w:w="2115" w:type="dxa"/>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spacing w:line="280" w:lineRule="exact"/>
              <w:rPr>
                <w:rFonts w:eastAsia="標楷體"/>
                <w:kern w:val="0"/>
              </w:rPr>
            </w:pPr>
            <w:r w:rsidRPr="00D55DC6">
              <w:rPr>
                <w:rFonts w:eastAsia="標楷體"/>
                <w:kern w:val="0"/>
              </w:rPr>
              <w:t>石梯坪清潔費</w:t>
            </w:r>
          </w:p>
        </w:tc>
        <w:tc>
          <w:tcPr>
            <w:tcW w:w="695" w:type="dxa"/>
            <w:tcBorders>
              <w:top w:val="single" w:sz="4" w:space="0" w:color="auto"/>
              <w:left w:val="single" w:sz="4" w:space="0" w:color="auto"/>
              <w:bottom w:val="single" w:sz="4" w:space="0" w:color="auto"/>
              <w:right w:val="single" w:sz="4" w:space="0" w:color="auto"/>
            </w:tcBorders>
            <w:noWrap/>
            <w:vAlign w:val="center"/>
          </w:tcPr>
          <w:p w:rsidR="00682D08" w:rsidRPr="00D55DC6" w:rsidRDefault="00682D08" w:rsidP="009D33BA">
            <w:pPr>
              <w:spacing w:line="280" w:lineRule="exact"/>
              <w:jc w:val="right"/>
              <w:rPr>
                <w:sz w:val="20"/>
                <w:szCs w:val="20"/>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2,600</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2,639</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2,679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2,719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2,760</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2,801</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2,843</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2,886</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2,929</w:t>
            </w:r>
          </w:p>
        </w:tc>
      </w:tr>
      <w:tr w:rsidR="001D0350" w:rsidRPr="00D55DC6" w:rsidTr="00682D08">
        <w:trPr>
          <w:trHeight w:val="323"/>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widowControl/>
              <w:spacing w:line="280" w:lineRule="exact"/>
              <w:rPr>
                <w:rFonts w:eastAsia="標楷體"/>
                <w:kern w:val="0"/>
              </w:rPr>
            </w:pPr>
          </w:p>
        </w:tc>
        <w:tc>
          <w:tcPr>
            <w:tcW w:w="2115" w:type="dxa"/>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spacing w:line="280" w:lineRule="exact"/>
              <w:rPr>
                <w:rFonts w:eastAsia="標楷體"/>
                <w:kern w:val="0"/>
              </w:rPr>
            </w:pPr>
            <w:r w:rsidRPr="00D55DC6">
              <w:rPr>
                <w:rFonts w:eastAsia="標楷體"/>
                <w:kern w:val="0"/>
              </w:rPr>
              <w:t>磯崎海水浴場租金</w:t>
            </w:r>
          </w:p>
        </w:tc>
        <w:tc>
          <w:tcPr>
            <w:tcW w:w="695" w:type="dxa"/>
            <w:tcBorders>
              <w:top w:val="single" w:sz="4" w:space="0" w:color="auto"/>
              <w:left w:val="single" w:sz="4" w:space="0" w:color="auto"/>
              <w:bottom w:val="single" w:sz="4" w:space="0" w:color="auto"/>
              <w:right w:val="single" w:sz="4" w:space="0" w:color="auto"/>
            </w:tcBorders>
            <w:noWrap/>
            <w:vAlign w:val="center"/>
          </w:tcPr>
          <w:p w:rsidR="00682D08" w:rsidRPr="00D55DC6" w:rsidRDefault="00682D08" w:rsidP="009D33BA">
            <w:pPr>
              <w:spacing w:line="280" w:lineRule="exact"/>
              <w:jc w:val="right"/>
              <w:rPr>
                <w:sz w:val="20"/>
                <w:szCs w:val="20"/>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180</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180</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180</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180</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180</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189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189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189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189</w:t>
            </w:r>
          </w:p>
        </w:tc>
      </w:tr>
      <w:tr w:rsidR="001D0350" w:rsidRPr="00D55DC6" w:rsidTr="00682D08">
        <w:trPr>
          <w:trHeight w:val="323"/>
        </w:trPr>
        <w:tc>
          <w:tcPr>
            <w:tcW w:w="113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widowControl/>
              <w:snapToGrid w:val="0"/>
              <w:spacing w:line="280" w:lineRule="exact"/>
              <w:rPr>
                <w:rFonts w:eastAsia="標楷體"/>
                <w:kern w:val="0"/>
                <w:szCs w:val="22"/>
              </w:rPr>
            </w:pPr>
            <w:r w:rsidRPr="00D55DC6">
              <w:rPr>
                <w:rFonts w:eastAsia="標楷體"/>
                <w:kern w:val="0"/>
              </w:rPr>
              <w:t>跨域合作</w:t>
            </w:r>
          </w:p>
        </w:tc>
        <w:tc>
          <w:tcPr>
            <w:tcW w:w="2115" w:type="dxa"/>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spacing w:line="280" w:lineRule="exact"/>
              <w:rPr>
                <w:rFonts w:eastAsia="標楷體"/>
                <w:kern w:val="0"/>
              </w:rPr>
            </w:pPr>
            <w:r w:rsidRPr="00D55DC6">
              <w:rPr>
                <w:rFonts w:eastAsia="標楷體"/>
                <w:kern w:val="0"/>
              </w:rPr>
              <w:t>回饋金額</w:t>
            </w:r>
          </w:p>
        </w:tc>
        <w:tc>
          <w:tcPr>
            <w:tcW w:w="695" w:type="dxa"/>
            <w:tcBorders>
              <w:top w:val="single" w:sz="4" w:space="0" w:color="auto"/>
              <w:left w:val="single" w:sz="4" w:space="0" w:color="auto"/>
              <w:bottom w:val="single" w:sz="4" w:space="0" w:color="auto"/>
              <w:right w:val="single" w:sz="4" w:space="0" w:color="auto"/>
            </w:tcBorders>
            <w:noWrap/>
            <w:vAlign w:val="center"/>
          </w:tcPr>
          <w:p w:rsidR="00682D08" w:rsidRPr="00D55DC6" w:rsidRDefault="00682D08" w:rsidP="009D33BA">
            <w:pPr>
              <w:spacing w:line="280" w:lineRule="exact"/>
              <w:jc w:val="right"/>
              <w:rPr>
                <w:sz w:val="20"/>
                <w:szCs w:val="20"/>
              </w:rPr>
            </w:pPr>
          </w:p>
        </w:tc>
        <w:tc>
          <w:tcPr>
            <w:tcW w:w="695" w:type="dxa"/>
            <w:tcBorders>
              <w:top w:val="single" w:sz="4" w:space="0" w:color="auto"/>
              <w:left w:val="single" w:sz="4" w:space="0" w:color="auto"/>
              <w:bottom w:val="single" w:sz="4" w:space="0" w:color="auto"/>
              <w:right w:val="single" w:sz="4" w:space="0" w:color="auto"/>
            </w:tcBorders>
            <w:noWrap/>
            <w:vAlign w:val="center"/>
          </w:tcPr>
          <w:p w:rsidR="00682D08" w:rsidRPr="00D55DC6" w:rsidRDefault="00682D08" w:rsidP="009D33BA">
            <w:pPr>
              <w:spacing w:line="280" w:lineRule="exact"/>
              <w:jc w:val="right"/>
              <w:rPr>
                <w:sz w:val="20"/>
                <w:szCs w:val="20"/>
              </w:rPr>
            </w:pPr>
          </w:p>
        </w:tc>
        <w:tc>
          <w:tcPr>
            <w:tcW w:w="695" w:type="dxa"/>
            <w:tcBorders>
              <w:top w:val="single" w:sz="4" w:space="0" w:color="auto"/>
              <w:left w:val="single" w:sz="4" w:space="0" w:color="auto"/>
              <w:bottom w:val="single" w:sz="4" w:space="0" w:color="auto"/>
              <w:right w:val="single" w:sz="4" w:space="0" w:color="auto"/>
            </w:tcBorders>
            <w:noWrap/>
            <w:vAlign w:val="center"/>
          </w:tcPr>
          <w:p w:rsidR="00682D08" w:rsidRPr="00D55DC6" w:rsidRDefault="00682D08" w:rsidP="009D33BA">
            <w:pPr>
              <w:spacing w:line="280" w:lineRule="exact"/>
              <w:jc w:val="right"/>
              <w:rPr>
                <w:sz w:val="20"/>
                <w:szCs w:val="20"/>
              </w:rPr>
            </w:pPr>
          </w:p>
        </w:tc>
        <w:tc>
          <w:tcPr>
            <w:tcW w:w="694" w:type="dxa"/>
            <w:tcBorders>
              <w:top w:val="single" w:sz="4" w:space="0" w:color="auto"/>
              <w:left w:val="single" w:sz="4" w:space="0" w:color="auto"/>
              <w:bottom w:val="single" w:sz="4" w:space="0" w:color="auto"/>
              <w:right w:val="single" w:sz="4" w:space="0" w:color="auto"/>
            </w:tcBorders>
            <w:noWrap/>
            <w:vAlign w:val="center"/>
          </w:tcPr>
          <w:p w:rsidR="00682D08" w:rsidRPr="00D55DC6" w:rsidRDefault="00682D08" w:rsidP="009D33BA">
            <w:pPr>
              <w:spacing w:line="280" w:lineRule="exact"/>
              <w:jc w:val="right"/>
              <w:rPr>
                <w:sz w:val="20"/>
                <w:szCs w:val="20"/>
              </w:rPr>
            </w:pP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1,000</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1,000</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1,000</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3,000</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3,000</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3,000</w:t>
            </w:r>
          </w:p>
        </w:tc>
      </w:tr>
      <w:tr w:rsidR="001D0350" w:rsidRPr="00D55DC6" w:rsidTr="00682D08">
        <w:trPr>
          <w:trHeight w:val="323"/>
        </w:trPr>
        <w:tc>
          <w:tcPr>
            <w:tcW w:w="113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widowControl/>
              <w:snapToGrid w:val="0"/>
              <w:spacing w:line="280" w:lineRule="exact"/>
              <w:rPr>
                <w:rFonts w:eastAsia="標楷體"/>
                <w:kern w:val="0"/>
                <w:szCs w:val="22"/>
              </w:rPr>
            </w:pPr>
            <w:r w:rsidRPr="00D55DC6">
              <w:rPr>
                <w:rFonts w:eastAsia="標楷體"/>
                <w:kern w:val="0"/>
              </w:rPr>
              <w:t>創新收益</w:t>
            </w:r>
          </w:p>
        </w:tc>
        <w:tc>
          <w:tcPr>
            <w:tcW w:w="2115" w:type="dxa"/>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spacing w:line="280" w:lineRule="exact"/>
              <w:rPr>
                <w:rFonts w:eastAsia="標楷體"/>
                <w:kern w:val="0"/>
              </w:rPr>
            </w:pPr>
            <w:r w:rsidRPr="00D55DC6">
              <w:rPr>
                <w:rFonts w:eastAsia="標楷體"/>
                <w:kern w:val="0"/>
              </w:rPr>
              <w:t>環境教育場及太陽能發電</w:t>
            </w:r>
          </w:p>
        </w:tc>
        <w:tc>
          <w:tcPr>
            <w:tcW w:w="695" w:type="dxa"/>
            <w:tcBorders>
              <w:top w:val="single" w:sz="4" w:space="0" w:color="auto"/>
              <w:left w:val="single" w:sz="4" w:space="0" w:color="auto"/>
              <w:bottom w:val="single" w:sz="4" w:space="0" w:color="auto"/>
              <w:right w:val="single" w:sz="4" w:space="0" w:color="auto"/>
            </w:tcBorders>
            <w:noWrap/>
            <w:vAlign w:val="center"/>
          </w:tcPr>
          <w:p w:rsidR="00682D08" w:rsidRPr="00D55DC6" w:rsidRDefault="00682D08" w:rsidP="009D33BA">
            <w:pPr>
              <w:spacing w:line="280" w:lineRule="exact"/>
              <w:jc w:val="right"/>
              <w:rPr>
                <w:sz w:val="20"/>
                <w:szCs w:val="20"/>
              </w:rPr>
            </w:pPr>
          </w:p>
        </w:tc>
        <w:tc>
          <w:tcPr>
            <w:tcW w:w="695" w:type="dxa"/>
            <w:tcBorders>
              <w:top w:val="single" w:sz="4" w:space="0" w:color="auto"/>
              <w:left w:val="single" w:sz="4" w:space="0" w:color="auto"/>
              <w:bottom w:val="single" w:sz="4" w:space="0" w:color="auto"/>
              <w:right w:val="single" w:sz="4" w:space="0" w:color="auto"/>
            </w:tcBorders>
            <w:noWrap/>
            <w:vAlign w:val="center"/>
          </w:tcPr>
          <w:p w:rsidR="00682D08" w:rsidRPr="00D55DC6" w:rsidRDefault="00682D08" w:rsidP="009D33BA">
            <w:pPr>
              <w:spacing w:line="280" w:lineRule="exact"/>
              <w:jc w:val="right"/>
              <w:rPr>
                <w:sz w:val="20"/>
                <w:szCs w:val="20"/>
              </w:rPr>
            </w:pPr>
          </w:p>
        </w:tc>
        <w:tc>
          <w:tcPr>
            <w:tcW w:w="695" w:type="dxa"/>
            <w:tcBorders>
              <w:top w:val="single" w:sz="4" w:space="0" w:color="auto"/>
              <w:left w:val="single" w:sz="4" w:space="0" w:color="auto"/>
              <w:bottom w:val="single" w:sz="4" w:space="0" w:color="auto"/>
              <w:right w:val="single" w:sz="4" w:space="0" w:color="auto"/>
            </w:tcBorders>
            <w:noWrap/>
            <w:vAlign w:val="center"/>
          </w:tcPr>
          <w:p w:rsidR="00682D08" w:rsidRPr="00D55DC6" w:rsidRDefault="00682D08" w:rsidP="009D33BA">
            <w:pPr>
              <w:spacing w:line="280" w:lineRule="exact"/>
              <w:jc w:val="right"/>
              <w:rPr>
                <w:sz w:val="20"/>
                <w:szCs w:val="20"/>
              </w:rPr>
            </w:pP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208</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416</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624</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3,271</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3,503</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3,786</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4,019</w:t>
            </w:r>
          </w:p>
        </w:tc>
      </w:tr>
      <w:tr w:rsidR="001D0350" w:rsidRPr="00D55DC6" w:rsidTr="00682D08">
        <w:trPr>
          <w:trHeight w:val="58"/>
        </w:trPr>
        <w:tc>
          <w:tcPr>
            <w:tcW w:w="3250" w:type="dxa"/>
            <w:gridSpan w:val="2"/>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rPr>
                <w:sz w:val="20"/>
                <w:szCs w:val="20"/>
              </w:rPr>
            </w:pPr>
            <w:r w:rsidRPr="00D55DC6">
              <w:rPr>
                <w:rFonts w:eastAsia="標楷體"/>
                <w:kern w:val="0"/>
              </w:rPr>
              <w:t>收益規劃總計</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11,514</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14,660</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14,795</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15,209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16,537</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17,005</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19,825</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22,202</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22,704</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23,065</w:t>
            </w:r>
          </w:p>
        </w:tc>
      </w:tr>
    </w:tbl>
    <w:p w:rsidR="009D33BA" w:rsidRPr="00D55DC6" w:rsidRDefault="009D33BA"/>
    <w:p w:rsidR="00A57612" w:rsidRPr="00D55DC6" w:rsidRDefault="00A57612">
      <w:r w:rsidRPr="00D55DC6">
        <w:t>(</w:t>
      </w:r>
      <w:r w:rsidRPr="00D55DC6">
        <w:t>續</w:t>
      </w:r>
      <w:r w:rsidRPr="00D55DC6">
        <w:t>)</w:t>
      </w:r>
    </w:p>
    <w:tbl>
      <w:tblPr>
        <w:tblW w:w="10198"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5"/>
        <w:gridCol w:w="2115"/>
        <w:gridCol w:w="695"/>
        <w:gridCol w:w="695"/>
        <w:gridCol w:w="695"/>
        <w:gridCol w:w="694"/>
        <w:gridCol w:w="695"/>
        <w:gridCol w:w="695"/>
        <w:gridCol w:w="694"/>
        <w:gridCol w:w="695"/>
        <w:gridCol w:w="695"/>
        <w:gridCol w:w="695"/>
      </w:tblGrid>
      <w:tr w:rsidR="001D0350" w:rsidRPr="00D55DC6" w:rsidTr="00682D08">
        <w:trPr>
          <w:trHeight w:val="323"/>
        </w:trPr>
        <w:tc>
          <w:tcPr>
            <w:tcW w:w="3250" w:type="dxa"/>
            <w:gridSpan w:val="2"/>
            <w:tcBorders>
              <w:top w:val="single" w:sz="4" w:space="0" w:color="auto"/>
              <w:left w:val="single" w:sz="4" w:space="0" w:color="auto"/>
              <w:bottom w:val="single" w:sz="4" w:space="0" w:color="auto"/>
              <w:right w:val="single" w:sz="4" w:space="0" w:color="auto"/>
            </w:tcBorders>
            <w:shd w:val="clear" w:color="auto" w:fill="DDD9C3"/>
            <w:noWrap/>
            <w:vAlign w:val="center"/>
            <w:hideMark/>
          </w:tcPr>
          <w:p w:rsidR="00682D08" w:rsidRPr="00D55DC6" w:rsidRDefault="00682D08" w:rsidP="009D33BA">
            <w:pPr>
              <w:widowControl/>
              <w:snapToGrid w:val="0"/>
              <w:spacing w:line="280" w:lineRule="exact"/>
              <w:jc w:val="center"/>
              <w:rPr>
                <w:rFonts w:eastAsia="標楷體"/>
                <w:kern w:val="0"/>
              </w:rPr>
            </w:pPr>
            <w:r w:rsidRPr="00D55DC6">
              <w:rPr>
                <w:rFonts w:eastAsia="標楷體"/>
                <w:kern w:val="0"/>
              </w:rPr>
              <w:t>類別</w:t>
            </w:r>
            <w:r w:rsidRPr="00D55DC6">
              <w:rPr>
                <w:rFonts w:eastAsia="標楷體"/>
                <w:kern w:val="0"/>
              </w:rPr>
              <w:t>\</w:t>
            </w:r>
            <w:r w:rsidRPr="00D55DC6">
              <w:rPr>
                <w:rFonts w:eastAsia="標楷體"/>
                <w:kern w:val="0"/>
              </w:rPr>
              <w:t>年度</w:t>
            </w:r>
          </w:p>
        </w:tc>
        <w:tc>
          <w:tcPr>
            <w:tcW w:w="695"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682D08" w:rsidRPr="00D55DC6" w:rsidRDefault="00682D08" w:rsidP="009D33BA">
            <w:pPr>
              <w:widowControl/>
              <w:snapToGrid w:val="0"/>
              <w:spacing w:line="280" w:lineRule="exact"/>
              <w:jc w:val="center"/>
              <w:rPr>
                <w:rFonts w:eastAsia="標楷體"/>
                <w:kern w:val="0"/>
                <w:szCs w:val="22"/>
              </w:rPr>
            </w:pPr>
            <w:r w:rsidRPr="00D55DC6">
              <w:rPr>
                <w:rFonts w:eastAsia="標楷體"/>
                <w:kern w:val="0"/>
              </w:rPr>
              <w:t>113</w:t>
            </w:r>
            <w:r w:rsidRPr="00D55DC6">
              <w:rPr>
                <w:rFonts w:eastAsia="標楷體"/>
                <w:kern w:val="0"/>
              </w:rPr>
              <w:t>年</w:t>
            </w:r>
          </w:p>
        </w:tc>
        <w:tc>
          <w:tcPr>
            <w:tcW w:w="695"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682D08" w:rsidRPr="00D55DC6" w:rsidRDefault="00682D08" w:rsidP="009D33BA">
            <w:pPr>
              <w:widowControl/>
              <w:snapToGrid w:val="0"/>
              <w:spacing w:line="280" w:lineRule="exact"/>
              <w:jc w:val="center"/>
              <w:rPr>
                <w:rFonts w:eastAsia="標楷體"/>
                <w:kern w:val="0"/>
                <w:szCs w:val="22"/>
              </w:rPr>
            </w:pPr>
            <w:r w:rsidRPr="00D55DC6">
              <w:rPr>
                <w:rFonts w:eastAsia="標楷體"/>
                <w:kern w:val="0"/>
              </w:rPr>
              <w:t>114</w:t>
            </w:r>
            <w:r w:rsidRPr="00D55DC6">
              <w:rPr>
                <w:rFonts w:eastAsia="標楷體"/>
                <w:kern w:val="0"/>
              </w:rPr>
              <w:t>年</w:t>
            </w:r>
          </w:p>
        </w:tc>
        <w:tc>
          <w:tcPr>
            <w:tcW w:w="695"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682D08" w:rsidRPr="00D55DC6" w:rsidRDefault="00682D08" w:rsidP="009D33BA">
            <w:pPr>
              <w:widowControl/>
              <w:snapToGrid w:val="0"/>
              <w:spacing w:line="280" w:lineRule="exact"/>
              <w:jc w:val="center"/>
              <w:rPr>
                <w:rFonts w:eastAsia="標楷體"/>
                <w:kern w:val="0"/>
                <w:szCs w:val="22"/>
              </w:rPr>
            </w:pPr>
            <w:r w:rsidRPr="00D55DC6">
              <w:rPr>
                <w:rFonts w:eastAsia="標楷體"/>
                <w:kern w:val="0"/>
              </w:rPr>
              <w:t>115</w:t>
            </w:r>
            <w:r w:rsidRPr="00D55DC6">
              <w:rPr>
                <w:rFonts w:eastAsia="標楷體"/>
                <w:kern w:val="0"/>
              </w:rPr>
              <w:t>年</w:t>
            </w:r>
          </w:p>
        </w:tc>
        <w:tc>
          <w:tcPr>
            <w:tcW w:w="694"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682D08" w:rsidRPr="00D55DC6" w:rsidRDefault="00682D08" w:rsidP="009D33BA">
            <w:pPr>
              <w:widowControl/>
              <w:snapToGrid w:val="0"/>
              <w:spacing w:line="280" w:lineRule="exact"/>
              <w:jc w:val="center"/>
              <w:rPr>
                <w:rFonts w:eastAsia="標楷體"/>
                <w:kern w:val="0"/>
                <w:szCs w:val="22"/>
              </w:rPr>
            </w:pPr>
            <w:r w:rsidRPr="00D55DC6">
              <w:rPr>
                <w:rFonts w:eastAsia="標楷體"/>
                <w:kern w:val="0"/>
              </w:rPr>
              <w:t>116</w:t>
            </w:r>
            <w:r w:rsidRPr="00D55DC6">
              <w:rPr>
                <w:rFonts w:eastAsia="標楷體"/>
                <w:kern w:val="0"/>
              </w:rPr>
              <w:t>年</w:t>
            </w:r>
          </w:p>
        </w:tc>
        <w:tc>
          <w:tcPr>
            <w:tcW w:w="695"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682D08" w:rsidRPr="00D55DC6" w:rsidRDefault="00682D08" w:rsidP="009D33BA">
            <w:pPr>
              <w:widowControl/>
              <w:snapToGrid w:val="0"/>
              <w:spacing w:line="280" w:lineRule="exact"/>
              <w:jc w:val="center"/>
              <w:rPr>
                <w:rFonts w:eastAsia="標楷體"/>
                <w:kern w:val="0"/>
                <w:szCs w:val="22"/>
              </w:rPr>
            </w:pPr>
            <w:r w:rsidRPr="00D55DC6">
              <w:rPr>
                <w:rFonts w:eastAsia="標楷體"/>
                <w:kern w:val="0"/>
              </w:rPr>
              <w:t>117</w:t>
            </w:r>
            <w:r w:rsidRPr="00D55DC6">
              <w:rPr>
                <w:rFonts w:eastAsia="標楷體"/>
                <w:kern w:val="0"/>
              </w:rPr>
              <w:t>年</w:t>
            </w:r>
          </w:p>
        </w:tc>
        <w:tc>
          <w:tcPr>
            <w:tcW w:w="695"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682D08" w:rsidRPr="00D55DC6" w:rsidRDefault="00682D08" w:rsidP="009D33BA">
            <w:pPr>
              <w:widowControl/>
              <w:snapToGrid w:val="0"/>
              <w:spacing w:line="280" w:lineRule="exact"/>
              <w:jc w:val="center"/>
              <w:rPr>
                <w:rFonts w:eastAsia="標楷體"/>
                <w:kern w:val="0"/>
                <w:szCs w:val="22"/>
              </w:rPr>
            </w:pPr>
            <w:r w:rsidRPr="00D55DC6">
              <w:rPr>
                <w:rFonts w:eastAsia="標楷體"/>
                <w:kern w:val="0"/>
              </w:rPr>
              <w:t>118</w:t>
            </w:r>
            <w:r w:rsidRPr="00D55DC6">
              <w:rPr>
                <w:rFonts w:eastAsia="標楷體"/>
                <w:kern w:val="0"/>
              </w:rPr>
              <w:t>年</w:t>
            </w:r>
          </w:p>
        </w:tc>
        <w:tc>
          <w:tcPr>
            <w:tcW w:w="694"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682D08" w:rsidRPr="00D55DC6" w:rsidRDefault="00682D08" w:rsidP="009D33BA">
            <w:pPr>
              <w:widowControl/>
              <w:snapToGrid w:val="0"/>
              <w:spacing w:line="280" w:lineRule="exact"/>
              <w:jc w:val="center"/>
              <w:rPr>
                <w:rFonts w:eastAsia="標楷體"/>
                <w:kern w:val="0"/>
                <w:szCs w:val="22"/>
              </w:rPr>
            </w:pPr>
            <w:r w:rsidRPr="00D55DC6">
              <w:rPr>
                <w:rFonts w:eastAsia="標楷體"/>
                <w:kern w:val="0"/>
              </w:rPr>
              <w:t>119</w:t>
            </w:r>
            <w:r w:rsidRPr="00D55DC6">
              <w:rPr>
                <w:rFonts w:eastAsia="標楷體"/>
                <w:kern w:val="0"/>
              </w:rPr>
              <w:t>年</w:t>
            </w:r>
          </w:p>
        </w:tc>
        <w:tc>
          <w:tcPr>
            <w:tcW w:w="695"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682D08" w:rsidRPr="00D55DC6" w:rsidRDefault="00682D08" w:rsidP="009D33BA">
            <w:pPr>
              <w:widowControl/>
              <w:snapToGrid w:val="0"/>
              <w:spacing w:line="280" w:lineRule="exact"/>
              <w:jc w:val="center"/>
              <w:rPr>
                <w:rFonts w:eastAsia="標楷體"/>
                <w:kern w:val="0"/>
                <w:szCs w:val="22"/>
              </w:rPr>
            </w:pPr>
            <w:r w:rsidRPr="00D55DC6">
              <w:rPr>
                <w:rFonts w:eastAsia="標楷體"/>
                <w:kern w:val="0"/>
              </w:rPr>
              <w:t>120</w:t>
            </w:r>
            <w:r w:rsidRPr="00D55DC6">
              <w:rPr>
                <w:rFonts w:eastAsia="標楷體"/>
                <w:kern w:val="0"/>
              </w:rPr>
              <w:t>年</w:t>
            </w:r>
          </w:p>
        </w:tc>
        <w:tc>
          <w:tcPr>
            <w:tcW w:w="695"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682D08" w:rsidRPr="00D55DC6" w:rsidRDefault="00682D08" w:rsidP="009D33BA">
            <w:pPr>
              <w:widowControl/>
              <w:snapToGrid w:val="0"/>
              <w:spacing w:line="280" w:lineRule="exact"/>
              <w:jc w:val="center"/>
              <w:rPr>
                <w:rFonts w:eastAsia="標楷體"/>
                <w:kern w:val="0"/>
                <w:szCs w:val="22"/>
              </w:rPr>
            </w:pPr>
            <w:r w:rsidRPr="00D55DC6">
              <w:rPr>
                <w:rFonts w:eastAsia="標楷體"/>
                <w:kern w:val="0"/>
              </w:rPr>
              <w:t>121</w:t>
            </w:r>
            <w:r w:rsidRPr="00D55DC6">
              <w:rPr>
                <w:rFonts w:eastAsia="標楷體"/>
                <w:kern w:val="0"/>
              </w:rPr>
              <w:t>年</w:t>
            </w:r>
          </w:p>
        </w:tc>
        <w:tc>
          <w:tcPr>
            <w:tcW w:w="695"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682D08" w:rsidRPr="00D55DC6" w:rsidRDefault="00682D08" w:rsidP="009D33BA">
            <w:pPr>
              <w:widowControl/>
              <w:snapToGrid w:val="0"/>
              <w:spacing w:line="280" w:lineRule="exact"/>
              <w:jc w:val="center"/>
              <w:rPr>
                <w:rFonts w:eastAsia="標楷體"/>
                <w:kern w:val="0"/>
                <w:szCs w:val="22"/>
              </w:rPr>
            </w:pPr>
            <w:r w:rsidRPr="00D55DC6">
              <w:rPr>
                <w:rFonts w:eastAsia="標楷體"/>
                <w:kern w:val="0"/>
              </w:rPr>
              <w:t>122</w:t>
            </w:r>
            <w:r w:rsidRPr="00D55DC6">
              <w:rPr>
                <w:rFonts w:eastAsia="標楷體"/>
                <w:kern w:val="0"/>
              </w:rPr>
              <w:t>年</w:t>
            </w:r>
          </w:p>
        </w:tc>
      </w:tr>
      <w:tr w:rsidR="001D0350" w:rsidRPr="00D55DC6" w:rsidTr="00682D08">
        <w:trPr>
          <w:trHeight w:val="323"/>
        </w:trPr>
        <w:tc>
          <w:tcPr>
            <w:tcW w:w="113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widowControl/>
              <w:snapToGrid w:val="0"/>
              <w:spacing w:line="280" w:lineRule="exact"/>
              <w:rPr>
                <w:rFonts w:eastAsia="標楷體"/>
                <w:kern w:val="0"/>
                <w:szCs w:val="22"/>
              </w:rPr>
            </w:pPr>
            <w:r w:rsidRPr="00D55DC6">
              <w:rPr>
                <w:rFonts w:eastAsia="標楷體"/>
                <w:kern w:val="0"/>
              </w:rPr>
              <w:t>清潔費</w:t>
            </w:r>
          </w:p>
        </w:tc>
        <w:tc>
          <w:tcPr>
            <w:tcW w:w="2115" w:type="dxa"/>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spacing w:line="280" w:lineRule="exact"/>
              <w:rPr>
                <w:rFonts w:eastAsia="標楷體"/>
                <w:kern w:val="0"/>
              </w:rPr>
            </w:pPr>
            <w:r w:rsidRPr="00D55DC6">
              <w:rPr>
                <w:rFonts w:eastAsia="標楷體"/>
                <w:kern w:val="0"/>
              </w:rPr>
              <w:t>小野柳、三仙台、八仙洞</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3,104</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3,151</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3,198</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3,246</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3,295</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3,344</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3,395</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3,445</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3,497</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3,550</w:t>
            </w:r>
          </w:p>
        </w:tc>
      </w:tr>
      <w:tr w:rsidR="001D0350" w:rsidRPr="00D55DC6" w:rsidTr="00682D08">
        <w:trPr>
          <w:trHeight w:val="696"/>
        </w:trPr>
        <w:tc>
          <w:tcPr>
            <w:tcW w:w="1135" w:type="dxa"/>
            <w:vMerge w:val="restart"/>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widowControl/>
              <w:snapToGrid w:val="0"/>
              <w:spacing w:line="280" w:lineRule="exact"/>
              <w:rPr>
                <w:rFonts w:eastAsia="標楷體"/>
                <w:kern w:val="0"/>
                <w:szCs w:val="22"/>
              </w:rPr>
            </w:pPr>
            <w:r w:rsidRPr="00D55DC6">
              <w:rPr>
                <w:rFonts w:eastAsia="標楷體"/>
                <w:kern w:val="0"/>
              </w:rPr>
              <w:t>設施出租</w:t>
            </w:r>
          </w:p>
        </w:tc>
        <w:tc>
          <w:tcPr>
            <w:tcW w:w="2115" w:type="dxa"/>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spacing w:line="280" w:lineRule="exact"/>
              <w:rPr>
                <w:sz w:val="20"/>
                <w:szCs w:val="20"/>
              </w:rPr>
            </w:pPr>
            <w:r w:rsidRPr="00D55DC6">
              <w:rPr>
                <w:rFonts w:eastAsia="標楷體"/>
                <w:kern w:val="0"/>
              </w:rPr>
              <w:t>奇美、觀海樓等</w:t>
            </w:r>
            <w:r w:rsidRPr="00D55DC6">
              <w:rPr>
                <w:rFonts w:eastAsia="標楷體"/>
                <w:kern w:val="0"/>
              </w:rPr>
              <w:t>80</w:t>
            </w:r>
            <w:r w:rsidR="00F14092" w:rsidRPr="00D55DC6">
              <w:rPr>
                <w:rFonts w:eastAsia="標楷體"/>
                <w:kern w:val="0"/>
              </w:rPr>
              <w:t>餘</w:t>
            </w:r>
            <w:r w:rsidRPr="00D55DC6">
              <w:rPr>
                <w:rFonts w:eastAsia="標楷體"/>
                <w:kern w:val="0"/>
              </w:rPr>
              <w:t>處賣店</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6,131</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6,176</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6,213</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6,327</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6,344</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6,438</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6,485</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6,524</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6,644</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6,661</w:t>
            </w:r>
          </w:p>
        </w:tc>
      </w:tr>
      <w:tr w:rsidR="001D0350" w:rsidRPr="00D55DC6" w:rsidTr="00682D08">
        <w:trPr>
          <w:trHeight w:val="372"/>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widowControl/>
              <w:spacing w:line="280" w:lineRule="exact"/>
              <w:rPr>
                <w:rFonts w:eastAsia="標楷體"/>
                <w:kern w:val="0"/>
                <w:szCs w:val="22"/>
              </w:rPr>
            </w:pPr>
          </w:p>
        </w:tc>
        <w:tc>
          <w:tcPr>
            <w:tcW w:w="2115" w:type="dxa"/>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spacing w:line="280" w:lineRule="exact"/>
              <w:rPr>
                <w:rFonts w:eastAsia="標楷體"/>
                <w:kern w:val="0"/>
              </w:rPr>
            </w:pPr>
            <w:r w:rsidRPr="00D55DC6">
              <w:rPr>
                <w:rFonts w:eastAsia="標楷體"/>
                <w:kern w:val="0"/>
              </w:rPr>
              <w:t>露營區</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1,521</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1,521</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1,521</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1,521</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1,521</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1,598</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1,598</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1,598</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1,598</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1,598</w:t>
            </w:r>
          </w:p>
        </w:tc>
      </w:tr>
      <w:tr w:rsidR="001D0350" w:rsidRPr="00D55DC6" w:rsidTr="00682D08">
        <w:trPr>
          <w:trHeight w:val="372"/>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widowControl/>
              <w:spacing w:line="280" w:lineRule="exact"/>
              <w:rPr>
                <w:rFonts w:eastAsia="標楷體"/>
                <w:kern w:val="0"/>
                <w:szCs w:val="22"/>
              </w:rPr>
            </w:pPr>
          </w:p>
        </w:tc>
        <w:tc>
          <w:tcPr>
            <w:tcW w:w="2115" w:type="dxa"/>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spacing w:line="280" w:lineRule="exact"/>
              <w:rPr>
                <w:rFonts w:eastAsia="標楷體"/>
                <w:kern w:val="0"/>
              </w:rPr>
            </w:pPr>
            <w:r w:rsidRPr="00D55DC6">
              <w:rPr>
                <w:rFonts w:eastAsia="標楷體"/>
                <w:kern w:val="0"/>
              </w:rPr>
              <w:t>小計</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7,653</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7,697</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7,735</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7,849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7,865</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8,035</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8,082</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8,122</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8,241</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8,259</w:t>
            </w:r>
          </w:p>
        </w:tc>
      </w:tr>
      <w:tr w:rsidR="001D0350" w:rsidRPr="00D55DC6" w:rsidTr="00682D08">
        <w:trPr>
          <w:trHeight w:val="323"/>
        </w:trPr>
        <w:tc>
          <w:tcPr>
            <w:tcW w:w="113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widowControl/>
              <w:snapToGrid w:val="0"/>
              <w:spacing w:line="280" w:lineRule="exact"/>
              <w:rPr>
                <w:rFonts w:eastAsia="標楷體"/>
                <w:kern w:val="0"/>
                <w:szCs w:val="22"/>
              </w:rPr>
            </w:pPr>
            <w:r w:rsidRPr="00D55DC6">
              <w:rPr>
                <w:rFonts w:eastAsia="標楷體"/>
                <w:kern w:val="0"/>
              </w:rPr>
              <w:t>促參案</w:t>
            </w:r>
          </w:p>
        </w:tc>
        <w:tc>
          <w:tcPr>
            <w:tcW w:w="2115" w:type="dxa"/>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spacing w:line="280" w:lineRule="exact"/>
              <w:rPr>
                <w:sz w:val="20"/>
                <w:szCs w:val="20"/>
              </w:rPr>
            </w:pPr>
            <w:r w:rsidRPr="00D55DC6">
              <w:rPr>
                <w:rFonts w:eastAsia="標楷體"/>
                <w:kern w:val="0"/>
              </w:rPr>
              <w:t>綠島朝日溫泉、朝日旅遊服務中心及露營區促參案</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2,126</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2,151</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2,176</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2,202</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2,227</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2,254</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2,280</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2,307</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2,335</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2,363</w:t>
            </w:r>
          </w:p>
        </w:tc>
      </w:tr>
      <w:tr w:rsidR="001D0350" w:rsidRPr="00D55DC6" w:rsidTr="00682D08">
        <w:trPr>
          <w:trHeight w:val="323"/>
        </w:trPr>
        <w:tc>
          <w:tcPr>
            <w:tcW w:w="1135" w:type="dxa"/>
            <w:vMerge w:val="restart"/>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napToGrid w:val="0"/>
              <w:spacing w:line="280" w:lineRule="exact"/>
              <w:rPr>
                <w:rFonts w:eastAsia="標楷體"/>
                <w:kern w:val="0"/>
              </w:rPr>
            </w:pPr>
            <w:r w:rsidRPr="00D55DC6">
              <w:rPr>
                <w:rFonts w:eastAsia="標楷體"/>
                <w:kern w:val="0"/>
              </w:rPr>
              <w:t>新增租金及清潔費</w:t>
            </w:r>
          </w:p>
        </w:tc>
        <w:tc>
          <w:tcPr>
            <w:tcW w:w="2115" w:type="dxa"/>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spacing w:line="280" w:lineRule="exact"/>
              <w:rPr>
                <w:rFonts w:eastAsia="標楷體"/>
                <w:kern w:val="0"/>
              </w:rPr>
            </w:pPr>
            <w:r w:rsidRPr="00D55DC6">
              <w:rPr>
                <w:rFonts w:eastAsia="標楷體"/>
                <w:kern w:val="0"/>
              </w:rPr>
              <w:t>水往上流部落市集租金</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146</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146</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146</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146</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146</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153</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153</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153</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153</w:t>
            </w:r>
          </w:p>
        </w:tc>
      </w:tr>
      <w:tr w:rsidR="001D0350" w:rsidRPr="00D55DC6" w:rsidTr="00682D08">
        <w:trPr>
          <w:trHeight w:val="323"/>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widowControl/>
              <w:spacing w:line="280" w:lineRule="exact"/>
              <w:rPr>
                <w:rFonts w:eastAsia="標楷體"/>
                <w:kern w:val="0"/>
              </w:rPr>
            </w:pPr>
          </w:p>
        </w:tc>
        <w:tc>
          <w:tcPr>
            <w:tcW w:w="2115" w:type="dxa"/>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spacing w:line="280" w:lineRule="exact"/>
              <w:rPr>
                <w:rFonts w:eastAsia="標楷體"/>
                <w:kern w:val="0"/>
              </w:rPr>
            </w:pPr>
            <w:r w:rsidRPr="00D55DC6">
              <w:rPr>
                <w:rFonts w:eastAsia="標楷體"/>
                <w:kern w:val="0"/>
              </w:rPr>
              <w:t>北回歸線部落市集租金</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139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146</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146</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146</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146</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146</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153</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153</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153</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153</w:t>
            </w:r>
          </w:p>
        </w:tc>
      </w:tr>
      <w:tr w:rsidR="001D0350" w:rsidRPr="00D55DC6" w:rsidTr="00682D08">
        <w:trPr>
          <w:trHeight w:val="323"/>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widowControl/>
              <w:spacing w:line="280" w:lineRule="exact"/>
              <w:rPr>
                <w:rFonts w:eastAsia="標楷體"/>
                <w:kern w:val="0"/>
              </w:rPr>
            </w:pPr>
          </w:p>
        </w:tc>
        <w:tc>
          <w:tcPr>
            <w:tcW w:w="2115" w:type="dxa"/>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spacing w:line="280" w:lineRule="exact"/>
              <w:rPr>
                <w:rFonts w:eastAsia="標楷體"/>
                <w:kern w:val="0"/>
              </w:rPr>
            </w:pPr>
            <w:r w:rsidRPr="00D55DC6">
              <w:rPr>
                <w:rFonts w:eastAsia="標楷體"/>
                <w:kern w:val="0"/>
              </w:rPr>
              <w:t>石梯坪清潔費</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2,973</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3,017</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3,063</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3,109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3,155</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3,203</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3,251</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3,299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3,349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3,399</w:t>
            </w:r>
          </w:p>
        </w:tc>
      </w:tr>
      <w:tr w:rsidR="001D0350" w:rsidRPr="00D55DC6" w:rsidTr="00682D08">
        <w:trPr>
          <w:trHeight w:val="323"/>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widowControl/>
              <w:spacing w:line="280" w:lineRule="exact"/>
              <w:rPr>
                <w:rFonts w:eastAsia="標楷體"/>
                <w:kern w:val="0"/>
              </w:rPr>
            </w:pPr>
          </w:p>
        </w:tc>
        <w:tc>
          <w:tcPr>
            <w:tcW w:w="2115" w:type="dxa"/>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spacing w:line="280" w:lineRule="exact"/>
              <w:rPr>
                <w:rFonts w:eastAsia="標楷體"/>
                <w:kern w:val="0"/>
              </w:rPr>
            </w:pPr>
            <w:r w:rsidRPr="00D55DC6">
              <w:rPr>
                <w:rFonts w:eastAsia="標楷體"/>
                <w:kern w:val="0"/>
              </w:rPr>
              <w:t>磯崎海水浴場租金</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189</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198</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198</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198</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198</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198</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208</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208</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208</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208</w:t>
            </w:r>
          </w:p>
        </w:tc>
      </w:tr>
      <w:tr w:rsidR="001D0350" w:rsidRPr="00D55DC6" w:rsidTr="00682D08">
        <w:trPr>
          <w:trHeight w:val="323"/>
        </w:trPr>
        <w:tc>
          <w:tcPr>
            <w:tcW w:w="113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widowControl/>
              <w:snapToGrid w:val="0"/>
              <w:spacing w:line="280" w:lineRule="exact"/>
              <w:rPr>
                <w:rFonts w:eastAsia="標楷體"/>
                <w:kern w:val="0"/>
                <w:szCs w:val="22"/>
              </w:rPr>
            </w:pPr>
            <w:r w:rsidRPr="00D55DC6">
              <w:rPr>
                <w:rFonts w:eastAsia="標楷體"/>
                <w:kern w:val="0"/>
              </w:rPr>
              <w:t>跨域合作</w:t>
            </w:r>
          </w:p>
        </w:tc>
        <w:tc>
          <w:tcPr>
            <w:tcW w:w="2115" w:type="dxa"/>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spacing w:line="280" w:lineRule="exact"/>
              <w:rPr>
                <w:rFonts w:eastAsia="標楷體"/>
                <w:kern w:val="0"/>
              </w:rPr>
            </w:pPr>
            <w:r w:rsidRPr="00D55DC6">
              <w:rPr>
                <w:rFonts w:eastAsia="標楷體"/>
                <w:kern w:val="0"/>
              </w:rPr>
              <w:t>回饋金額</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3,000</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3,000</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3,000</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5,000</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5,000</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5,000</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5,000</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5,000</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5,000</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5,000</w:t>
            </w:r>
          </w:p>
        </w:tc>
      </w:tr>
      <w:tr w:rsidR="001D0350" w:rsidRPr="00D55DC6" w:rsidTr="00682D08">
        <w:trPr>
          <w:trHeight w:val="323"/>
        </w:trPr>
        <w:tc>
          <w:tcPr>
            <w:tcW w:w="113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widowControl/>
              <w:snapToGrid w:val="0"/>
              <w:spacing w:line="280" w:lineRule="exact"/>
              <w:rPr>
                <w:rFonts w:eastAsia="標楷體"/>
                <w:kern w:val="0"/>
                <w:szCs w:val="22"/>
              </w:rPr>
            </w:pPr>
            <w:r w:rsidRPr="00D55DC6">
              <w:rPr>
                <w:rFonts w:eastAsia="標楷體"/>
                <w:kern w:val="0"/>
              </w:rPr>
              <w:t>創新收益</w:t>
            </w:r>
          </w:p>
        </w:tc>
        <w:tc>
          <w:tcPr>
            <w:tcW w:w="2115" w:type="dxa"/>
            <w:tcBorders>
              <w:top w:val="single" w:sz="4" w:space="0" w:color="auto"/>
              <w:left w:val="single" w:sz="4" w:space="0" w:color="auto"/>
              <w:bottom w:val="single" w:sz="4" w:space="0" w:color="auto"/>
              <w:right w:val="single" w:sz="4" w:space="0" w:color="auto"/>
            </w:tcBorders>
            <w:vAlign w:val="center"/>
            <w:hideMark/>
          </w:tcPr>
          <w:p w:rsidR="00682D08" w:rsidRPr="00D55DC6" w:rsidRDefault="00682D08" w:rsidP="009D33BA">
            <w:pPr>
              <w:spacing w:line="280" w:lineRule="exact"/>
              <w:rPr>
                <w:rFonts w:eastAsia="標楷體"/>
                <w:kern w:val="0"/>
              </w:rPr>
            </w:pPr>
            <w:r w:rsidRPr="00D55DC6">
              <w:rPr>
                <w:rFonts w:eastAsia="標楷體"/>
                <w:kern w:val="0"/>
              </w:rPr>
              <w:t>環境教育場及太陽能發電</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4,251</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4,538</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4,772</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4,798</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4,881</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4,909</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4,936</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5,024</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5,052</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5,081</w:t>
            </w:r>
          </w:p>
        </w:tc>
      </w:tr>
      <w:tr w:rsidR="001D0350" w:rsidRPr="00D55DC6" w:rsidTr="00682D08">
        <w:trPr>
          <w:trHeight w:val="323"/>
        </w:trPr>
        <w:tc>
          <w:tcPr>
            <w:tcW w:w="3250" w:type="dxa"/>
            <w:gridSpan w:val="2"/>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rPr>
                <w:sz w:val="20"/>
                <w:szCs w:val="20"/>
              </w:rPr>
            </w:pPr>
            <w:r w:rsidRPr="00D55DC6">
              <w:rPr>
                <w:rFonts w:eastAsia="標楷體"/>
                <w:kern w:val="0"/>
              </w:rPr>
              <w:t>收益規劃總計</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23,574</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24,044</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24,433</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26,693</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26,914</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27,234</w:t>
            </w:r>
          </w:p>
        </w:tc>
        <w:tc>
          <w:tcPr>
            <w:tcW w:w="694"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27,458</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27,712</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27,988</w:t>
            </w:r>
          </w:p>
        </w:tc>
        <w:tc>
          <w:tcPr>
            <w:tcW w:w="695" w:type="dxa"/>
            <w:tcBorders>
              <w:top w:val="single" w:sz="4" w:space="0" w:color="auto"/>
              <w:left w:val="single" w:sz="4" w:space="0" w:color="auto"/>
              <w:bottom w:val="single" w:sz="4" w:space="0" w:color="auto"/>
              <w:right w:val="single" w:sz="4" w:space="0" w:color="auto"/>
            </w:tcBorders>
            <w:noWrap/>
            <w:vAlign w:val="center"/>
            <w:hideMark/>
          </w:tcPr>
          <w:p w:rsidR="00682D08" w:rsidRPr="00D55DC6" w:rsidRDefault="00682D08" w:rsidP="009D33BA">
            <w:pPr>
              <w:spacing w:line="280" w:lineRule="exact"/>
              <w:jc w:val="right"/>
              <w:rPr>
                <w:sz w:val="20"/>
                <w:szCs w:val="20"/>
              </w:rPr>
            </w:pPr>
            <w:r w:rsidRPr="00D55DC6">
              <w:rPr>
                <w:sz w:val="20"/>
                <w:szCs w:val="20"/>
              </w:rPr>
              <w:t>28,165</w:t>
            </w:r>
          </w:p>
        </w:tc>
      </w:tr>
    </w:tbl>
    <w:p w:rsidR="00682D08" w:rsidRPr="00D55DC6" w:rsidRDefault="00682D08" w:rsidP="004865C1">
      <w:pPr>
        <w:pStyle w:val="af2"/>
        <w:numPr>
          <w:ilvl w:val="0"/>
          <w:numId w:val="184"/>
        </w:numPr>
        <w:snapToGrid w:val="0"/>
        <w:spacing w:line="460" w:lineRule="exact"/>
        <w:ind w:leftChars="0"/>
        <w:jc w:val="both"/>
        <w:rPr>
          <w:rFonts w:eastAsia="標楷體"/>
          <w:b/>
          <w:sz w:val="28"/>
          <w:szCs w:val="28"/>
        </w:rPr>
      </w:pPr>
      <w:r w:rsidRPr="00D55DC6">
        <w:rPr>
          <w:rFonts w:eastAsia="標楷體"/>
          <w:b/>
          <w:sz w:val="28"/>
          <w:szCs w:val="28"/>
        </w:rPr>
        <w:lastRenderedPageBreak/>
        <w:t>自償率估算</w:t>
      </w:r>
    </w:p>
    <w:p w:rsidR="00682D08" w:rsidRPr="00D55DC6" w:rsidRDefault="00682D08" w:rsidP="004865C1">
      <w:pPr>
        <w:pStyle w:val="a"/>
        <w:numPr>
          <w:ilvl w:val="0"/>
          <w:numId w:val="166"/>
        </w:numPr>
      </w:pPr>
      <w:bookmarkStart w:id="173" w:name="_Toc407181732"/>
      <w:r w:rsidRPr="00D55DC6">
        <w:t>本計畫預計未來</w:t>
      </w:r>
      <w:r w:rsidRPr="00D55DC6">
        <w:t>20</w:t>
      </w:r>
      <w:r w:rsidRPr="00D55DC6">
        <w:t>年東部海岸國家風景區建設經營分年之現金流量如下表，以</w:t>
      </w:r>
      <w:r w:rsidRPr="00D55DC6">
        <w:t>2.88%</w:t>
      </w:r>
      <w:r w:rsidRPr="00D55DC6">
        <w:t>折現率（國內五大銀行平均基準利率）分別計算建設計畫總預算與預期收益現值，計算結果未來</w:t>
      </w:r>
      <w:r w:rsidRPr="00D55DC6">
        <w:t>20</w:t>
      </w:r>
      <w:r w:rsidRPr="00D55DC6">
        <w:t>年期間計畫投入現值為</w:t>
      </w:r>
      <w:r w:rsidR="00FF5740" w:rsidRPr="00D55DC6">
        <w:t>34</w:t>
      </w:r>
      <w:r w:rsidR="00FF5740" w:rsidRPr="00D55DC6">
        <w:t>億</w:t>
      </w:r>
      <w:r w:rsidR="00FF5740" w:rsidRPr="00D55DC6">
        <w:t>8,443</w:t>
      </w:r>
      <w:r w:rsidR="00FF5740" w:rsidRPr="00D55DC6">
        <w:t>萬元，收益預估現值為</w:t>
      </w:r>
      <w:r w:rsidR="00FF5740" w:rsidRPr="00D55DC6">
        <w:t>3</w:t>
      </w:r>
      <w:r w:rsidR="00FF5740" w:rsidRPr="00D55DC6">
        <w:t>億</w:t>
      </w:r>
      <w:r w:rsidR="00FF5740" w:rsidRPr="00D55DC6">
        <w:t>1,969</w:t>
      </w:r>
      <w:r w:rsidR="00FF5740" w:rsidRPr="00D55DC6">
        <w:t>萬元，整體計畫自償率為</w:t>
      </w:r>
      <w:r w:rsidR="00FF5740" w:rsidRPr="00D55DC6">
        <w:t>9.17%</w:t>
      </w:r>
      <w:r w:rsidR="00FF5740" w:rsidRPr="00D55DC6">
        <w:t>。</w:t>
      </w:r>
      <w:bookmarkEnd w:id="173"/>
    </w:p>
    <w:p w:rsidR="00FF5740" w:rsidRPr="00D55DC6" w:rsidRDefault="00682D08" w:rsidP="009D33BA">
      <w:pPr>
        <w:keepNext/>
        <w:spacing w:beforeLines="50" w:before="180" w:afterLines="50" w:after="180"/>
        <w:ind w:rightChars="-316" w:right="-758"/>
        <w:rPr>
          <w:rFonts w:eastAsia="標楷體"/>
        </w:rPr>
      </w:pPr>
      <w:r w:rsidRPr="00D55DC6">
        <w:rPr>
          <w:rFonts w:eastAsia="標楷體"/>
        </w:rPr>
        <w:t>表　自償率分析表</w:t>
      </w:r>
      <w:r w:rsidRPr="00D55DC6">
        <w:rPr>
          <w:rFonts w:eastAsia="標楷體"/>
        </w:rPr>
        <w:t xml:space="preserve">                                             </w:t>
      </w:r>
      <w:r w:rsidRPr="00D55DC6">
        <w:rPr>
          <w:rFonts w:eastAsia="標楷體"/>
        </w:rPr>
        <w:t>（單位：千元）</w:t>
      </w:r>
    </w:p>
    <w:tbl>
      <w:tblPr>
        <w:tblW w:w="10546" w:type="dxa"/>
        <w:jc w:val="center"/>
        <w:tblInd w:w="312" w:type="dxa"/>
        <w:tblLayout w:type="fixed"/>
        <w:tblCellMar>
          <w:left w:w="28" w:type="dxa"/>
          <w:right w:w="28" w:type="dxa"/>
        </w:tblCellMar>
        <w:tblLook w:val="04A0" w:firstRow="1" w:lastRow="0" w:firstColumn="1" w:lastColumn="0" w:noHBand="0" w:noVBand="1"/>
      </w:tblPr>
      <w:tblGrid>
        <w:gridCol w:w="1005"/>
        <w:gridCol w:w="867"/>
        <w:gridCol w:w="867"/>
        <w:gridCol w:w="867"/>
        <w:gridCol w:w="868"/>
        <w:gridCol w:w="867"/>
        <w:gridCol w:w="867"/>
        <w:gridCol w:w="868"/>
        <w:gridCol w:w="867"/>
        <w:gridCol w:w="867"/>
        <w:gridCol w:w="868"/>
        <w:gridCol w:w="868"/>
      </w:tblGrid>
      <w:tr w:rsidR="001D0350" w:rsidRPr="00D55DC6" w:rsidTr="00346866">
        <w:trPr>
          <w:gridAfter w:val="1"/>
          <w:wAfter w:w="868" w:type="dxa"/>
          <w:trHeight w:val="345"/>
          <w:jc w:val="center"/>
        </w:trPr>
        <w:tc>
          <w:tcPr>
            <w:tcW w:w="1005" w:type="dxa"/>
            <w:tcBorders>
              <w:top w:val="single" w:sz="4" w:space="0" w:color="auto"/>
              <w:left w:val="single" w:sz="4" w:space="0" w:color="auto"/>
              <w:bottom w:val="double" w:sz="6" w:space="0" w:color="auto"/>
              <w:right w:val="single" w:sz="4" w:space="0" w:color="auto"/>
            </w:tcBorders>
            <w:shd w:val="clear" w:color="auto" w:fill="FFCC00"/>
            <w:noWrap/>
            <w:vAlign w:val="center"/>
            <w:hideMark/>
          </w:tcPr>
          <w:p w:rsidR="00916B62" w:rsidRPr="00D55DC6" w:rsidRDefault="00916B62">
            <w:pPr>
              <w:widowControl/>
              <w:jc w:val="center"/>
              <w:rPr>
                <w:rFonts w:eastAsia="標楷體"/>
                <w:b/>
                <w:kern w:val="0"/>
                <w:sz w:val="20"/>
                <w:szCs w:val="20"/>
              </w:rPr>
            </w:pPr>
            <w:r w:rsidRPr="00D55DC6">
              <w:rPr>
                <w:rFonts w:eastAsia="標楷體"/>
                <w:b/>
                <w:kern w:val="0"/>
                <w:sz w:val="20"/>
                <w:szCs w:val="20"/>
              </w:rPr>
              <w:t>項目</w:t>
            </w:r>
            <w:r w:rsidRPr="00D55DC6">
              <w:rPr>
                <w:rFonts w:eastAsia="標楷體"/>
                <w:b/>
                <w:kern w:val="0"/>
                <w:sz w:val="20"/>
                <w:szCs w:val="20"/>
              </w:rPr>
              <w:t>\</w:t>
            </w:r>
            <w:r w:rsidRPr="00D55DC6">
              <w:rPr>
                <w:rFonts w:eastAsia="標楷體"/>
                <w:b/>
                <w:kern w:val="0"/>
                <w:sz w:val="20"/>
                <w:szCs w:val="20"/>
              </w:rPr>
              <w:t>年度</w:t>
            </w:r>
          </w:p>
        </w:tc>
        <w:tc>
          <w:tcPr>
            <w:tcW w:w="867" w:type="dxa"/>
            <w:tcBorders>
              <w:top w:val="single" w:sz="4" w:space="0" w:color="auto"/>
              <w:left w:val="nil"/>
              <w:bottom w:val="double" w:sz="6" w:space="0" w:color="auto"/>
              <w:right w:val="single" w:sz="4" w:space="0" w:color="auto"/>
            </w:tcBorders>
            <w:shd w:val="clear" w:color="auto" w:fill="FFCC00"/>
            <w:noWrap/>
            <w:vAlign w:val="center"/>
            <w:hideMark/>
          </w:tcPr>
          <w:p w:rsidR="00916B62" w:rsidRPr="00D55DC6" w:rsidRDefault="00916B62">
            <w:pPr>
              <w:widowControl/>
              <w:jc w:val="center"/>
              <w:rPr>
                <w:rFonts w:eastAsia="標楷體"/>
                <w:b/>
                <w:kern w:val="0"/>
                <w:sz w:val="22"/>
                <w:szCs w:val="22"/>
              </w:rPr>
            </w:pPr>
            <w:r w:rsidRPr="00D55DC6">
              <w:rPr>
                <w:rFonts w:eastAsia="標楷體"/>
                <w:b/>
                <w:kern w:val="0"/>
                <w:sz w:val="22"/>
              </w:rPr>
              <w:t>103</w:t>
            </w:r>
            <w:r w:rsidRPr="00D55DC6">
              <w:rPr>
                <w:rFonts w:eastAsia="標楷體"/>
                <w:b/>
                <w:kern w:val="0"/>
                <w:sz w:val="22"/>
              </w:rPr>
              <w:t>年</w:t>
            </w:r>
          </w:p>
        </w:tc>
        <w:tc>
          <w:tcPr>
            <w:tcW w:w="867" w:type="dxa"/>
            <w:tcBorders>
              <w:top w:val="single" w:sz="4" w:space="0" w:color="auto"/>
              <w:left w:val="nil"/>
              <w:bottom w:val="double" w:sz="6" w:space="0" w:color="auto"/>
              <w:right w:val="single" w:sz="4" w:space="0" w:color="auto"/>
            </w:tcBorders>
            <w:shd w:val="clear" w:color="auto" w:fill="FFCC00"/>
            <w:noWrap/>
            <w:vAlign w:val="center"/>
            <w:hideMark/>
          </w:tcPr>
          <w:p w:rsidR="00916B62" w:rsidRPr="00D55DC6" w:rsidRDefault="00916B62">
            <w:pPr>
              <w:widowControl/>
              <w:jc w:val="center"/>
              <w:rPr>
                <w:rFonts w:eastAsia="標楷體"/>
                <w:b/>
                <w:kern w:val="0"/>
                <w:sz w:val="22"/>
                <w:szCs w:val="22"/>
              </w:rPr>
            </w:pPr>
            <w:r w:rsidRPr="00D55DC6">
              <w:rPr>
                <w:rFonts w:eastAsia="標楷體"/>
                <w:b/>
                <w:kern w:val="0"/>
                <w:sz w:val="22"/>
              </w:rPr>
              <w:t>104</w:t>
            </w:r>
            <w:r w:rsidRPr="00D55DC6">
              <w:rPr>
                <w:rFonts w:eastAsia="標楷體"/>
                <w:b/>
                <w:kern w:val="0"/>
                <w:sz w:val="22"/>
              </w:rPr>
              <w:t>年</w:t>
            </w:r>
          </w:p>
        </w:tc>
        <w:tc>
          <w:tcPr>
            <w:tcW w:w="867" w:type="dxa"/>
            <w:tcBorders>
              <w:top w:val="single" w:sz="4" w:space="0" w:color="auto"/>
              <w:left w:val="nil"/>
              <w:bottom w:val="double" w:sz="6" w:space="0" w:color="auto"/>
              <w:right w:val="single" w:sz="4" w:space="0" w:color="auto"/>
            </w:tcBorders>
            <w:shd w:val="clear" w:color="auto" w:fill="FFCC00"/>
            <w:noWrap/>
            <w:vAlign w:val="center"/>
            <w:hideMark/>
          </w:tcPr>
          <w:p w:rsidR="00916B62" w:rsidRPr="00D55DC6" w:rsidRDefault="00916B62">
            <w:pPr>
              <w:widowControl/>
              <w:jc w:val="center"/>
              <w:rPr>
                <w:rFonts w:eastAsia="標楷體"/>
                <w:b/>
                <w:kern w:val="0"/>
                <w:sz w:val="22"/>
                <w:szCs w:val="22"/>
              </w:rPr>
            </w:pPr>
            <w:r w:rsidRPr="00D55DC6">
              <w:rPr>
                <w:rFonts w:eastAsia="標楷體"/>
                <w:b/>
                <w:kern w:val="0"/>
                <w:sz w:val="22"/>
              </w:rPr>
              <w:t>105</w:t>
            </w:r>
            <w:r w:rsidRPr="00D55DC6">
              <w:rPr>
                <w:rFonts w:eastAsia="標楷體"/>
                <w:b/>
                <w:kern w:val="0"/>
                <w:sz w:val="22"/>
              </w:rPr>
              <w:t>年</w:t>
            </w:r>
          </w:p>
        </w:tc>
        <w:tc>
          <w:tcPr>
            <w:tcW w:w="868" w:type="dxa"/>
            <w:tcBorders>
              <w:top w:val="single" w:sz="4" w:space="0" w:color="auto"/>
              <w:left w:val="nil"/>
              <w:bottom w:val="double" w:sz="6" w:space="0" w:color="auto"/>
              <w:right w:val="single" w:sz="4" w:space="0" w:color="auto"/>
            </w:tcBorders>
            <w:shd w:val="clear" w:color="auto" w:fill="FFCC00"/>
            <w:noWrap/>
            <w:vAlign w:val="center"/>
            <w:hideMark/>
          </w:tcPr>
          <w:p w:rsidR="00916B62" w:rsidRPr="00D55DC6" w:rsidRDefault="00916B62">
            <w:pPr>
              <w:widowControl/>
              <w:jc w:val="center"/>
              <w:rPr>
                <w:rFonts w:eastAsia="標楷體"/>
                <w:b/>
                <w:kern w:val="0"/>
                <w:sz w:val="22"/>
                <w:szCs w:val="22"/>
              </w:rPr>
            </w:pPr>
            <w:r w:rsidRPr="00D55DC6">
              <w:rPr>
                <w:rFonts w:eastAsia="標楷體"/>
                <w:b/>
                <w:kern w:val="0"/>
                <w:sz w:val="22"/>
              </w:rPr>
              <w:t>106</w:t>
            </w:r>
            <w:r w:rsidRPr="00D55DC6">
              <w:rPr>
                <w:rFonts w:eastAsia="標楷體"/>
                <w:b/>
                <w:kern w:val="0"/>
                <w:sz w:val="22"/>
              </w:rPr>
              <w:t>年</w:t>
            </w:r>
          </w:p>
        </w:tc>
        <w:tc>
          <w:tcPr>
            <w:tcW w:w="867" w:type="dxa"/>
            <w:tcBorders>
              <w:top w:val="single" w:sz="4" w:space="0" w:color="auto"/>
              <w:left w:val="nil"/>
              <w:bottom w:val="double" w:sz="6" w:space="0" w:color="auto"/>
              <w:right w:val="single" w:sz="4" w:space="0" w:color="auto"/>
            </w:tcBorders>
            <w:shd w:val="clear" w:color="auto" w:fill="FFCC00"/>
            <w:noWrap/>
            <w:vAlign w:val="center"/>
            <w:hideMark/>
          </w:tcPr>
          <w:p w:rsidR="00916B62" w:rsidRPr="00D55DC6" w:rsidRDefault="00916B62">
            <w:pPr>
              <w:widowControl/>
              <w:jc w:val="center"/>
              <w:rPr>
                <w:rFonts w:eastAsia="標楷體"/>
                <w:b/>
                <w:kern w:val="0"/>
                <w:sz w:val="22"/>
                <w:szCs w:val="22"/>
              </w:rPr>
            </w:pPr>
            <w:r w:rsidRPr="00D55DC6">
              <w:rPr>
                <w:rFonts w:eastAsia="標楷體"/>
                <w:b/>
                <w:kern w:val="0"/>
                <w:sz w:val="22"/>
              </w:rPr>
              <w:t>107</w:t>
            </w:r>
            <w:r w:rsidRPr="00D55DC6">
              <w:rPr>
                <w:rFonts w:eastAsia="標楷體"/>
                <w:b/>
                <w:kern w:val="0"/>
                <w:sz w:val="22"/>
              </w:rPr>
              <w:t>年</w:t>
            </w:r>
          </w:p>
        </w:tc>
        <w:tc>
          <w:tcPr>
            <w:tcW w:w="867" w:type="dxa"/>
            <w:tcBorders>
              <w:top w:val="single" w:sz="4" w:space="0" w:color="auto"/>
              <w:left w:val="nil"/>
              <w:bottom w:val="double" w:sz="6" w:space="0" w:color="auto"/>
              <w:right w:val="single" w:sz="4" w:space="0" w:color="auto"/>
            </w:tcBorders>
            <w:shd w:val="clear" w:color="auto" w:fill="FFCC00"/>
            <w:noWrap/>
            <w:vAlign w:val="center"/>
            <w:hideMark/>
          </w:tcPr>
          <w:p w:rsidR="00916B62" w:rsidRPr="00D55DC6" w:rsidRDefault="00916B62">
            <w:pPr>
              <w:widowControl/>
              <w:jc w:val="center"/>
              <w:rPr>
                <w:rFonts w:eastAsia="標楷體"/>
                <w:b/>
                <w:kern w:val="0"/>
                <w:sz w:val="22"/>
                <w:szCs w:val="22"/>
              </w:rPr>
            </w:pPr>
            <w:r w:rsidRPr="00D55DC6">
              <w:rPr>
                <w:rFonts w:eastAsia="標楷體"/>
                <w:b/>
                <w:kern w:val="0"/>
                <w:sz w:val="22"/>
              </w:rPr>
              <w:t>108</w:t>
            </w:r>
            <w:r w:rsidRPr="00D55DC6">
              <w:rPr>
                <w:rFonts w:eastAsia="標楷體"/>
                <w:b/>
                <w:kern w:val="0"/>
                <w:sz w:val="22"/>
              </w:rPr>
              <w:t>年</w:t>
            </w:r>
          </w:p>
        </w:tc>
        <w:tc>
          <w:tcPr>
            <w:tcW w:w="868" w:type="dxa"/>
            <w:tcBorders>
              <w:top w:val="single" w:sz="4" w:space="0" w:color="auto"/>
              <w:left w:val="nil"/>
              <w:bottom w:val="double" w:sz="6" w:space="0" w:color="auto"/>
              <w:right w:val="single" w:sz="4" w:space="0" w:color="auto"/>
            </w:tcBorders>
            <w:shd w:val="clear" w:color="auto" w:fill="FFCC00"/>
            <w:noWrap/>
            <w:vAlign w:val="center"/>
            <w:hideMark/>
          </w:tcPr>
          <w:p w:rsidR="00916B62" w:rsidRPr="00D55DC6" w:rsidRDefault="00916B62">
            <w:pPr>
              <w:widowControl/>
              <w:jc w:val="center"/>
              <w:rPr>
                <w:rFonts w:eastAsia="標楷體"/>
                <w:b/>
                <w:kern w:val="0"/>
                <w:sz w:val="22"/>
                <w:szCs w:val="22"/>
              </w:rPr>
            </w:pPr>
            <w:r w:rsidRPr="00D55DC6">
              <w:rPr>
                <w:rFonts w:eastAsia="標楷體"/>
                <w:b/>
                <w:kern w:val="0"/>
                <w:sz w:val="22"/>
              </w:rPr>
              <w:t>109</w:t>
            </w:r>
            <w:r w:rsidRPr="00D55DC6">
              <w:rPr>
                <w:rFonts w:eastAsia="標楷體"/>
                <w:b/>
                <w:kern w:val="0"/>
                <w:sz w:val="22"/>
              </w:rPr>
              <w:t>年</w:t>
            </w:r>
          </w:p>
        </w:tc>
        <w:tc>
          <w:tcPr>
            <w:tcW w:w="867" w:type="dxa"/>
            <w:tcBorders>
              <w:top w:val="single" w:sz="4" w:space="0" w:color="auto"/>
              <w:left w:val="nil"/>
              <w:bottom w:val="double" w:sz="6" w:space="0" w:color="auto"/>
              <w:right w:val="single" w:sz="4" w:space="0" w:color="auto"/>
            </w:tcBorders>
            <w:shd w:val="clear" w:color="auto" w:fill="FFCC00"/>
            <w:noWrap/>
            <w:vAlign w:val="center"/>
            <w:hideMark/>
          </w:tcPr>
          <w:p w:rsidR="00916B62" w:rsidRPr="00D55DC6" w:rsidRDefault="00916B62">
            <w:pPr>
              <w:widowControl/>
              <w:jc w:val="center"/>
              <w:rPr>
                <w:rFonts w:eastAsia="標楷體"/>
                <w:b/>
                <w:kern w:val="0"/>
                <w:sz w:val="22"/>
                <w:szCs w:val="22"/>
              </w:rPr>
            </w:pPr>
            <w:r w:rsidRPr="00D55DC6">
              <w:rPr>
                <w:rFonts w:eastAsia="標楷體"/>
                <w:b/>
                <w:kern w:val="0"/>
                <w:sz w:val="22"/>
              </w:rPr>
              <w:t>110</w:t>
            </w:r>
            <w:r w:rsidRPr="00D55DC6">
              <w:rPr>
                <w:rFonts w:eastAsia="標楷體"/>
                <w:b/>
                <w:kern w:val="0"/>
                <w:sz w:val="22"/>
              </w:rPr>
              <w:t>年</w:t>
            </w:r>
          </w:p>
        </w:tc>
        <w:tc>
          <w:tcPr>
            <w:tcW w:w="867" w:type="dxa"/>
            <w:tcBorders>
              <w:top w:val="single" w:sz="4" w:space="0" w:color="auto"/>
              <w:left w:val="nil"/>
              <w:bottom w:val="double" w:sz="6" w:space="0" w:color="auto"/>
              <w:right w:val="single" w:sz="4" w:space="0" w:color="auto"/>
            </w:tcBorders>
            <w:shd w:val="clear" w:color="auto" w:fill="FFCC00"/>
            <w:noWrap/>
            <w:vAlign w:val="center"/>
            <w:hideMark/>
          </w:tcPr>
          <w:p w:rsidR="00916B62" w:rsidRPr="00D55DC6" w:rsidRDefault="00916B62">
            <w:pPr>
              <w:widowControl/>
              <w:jc w:val="center"/>
              <w:rPr>
                <w:rFonts w:eastAsia="標楷體"/>
                <w:b/>
                <w:kern w:val="0"/>
                <w:sz w:val="22"/>
                <w:szCs w:val="22"/>
              </w:rPr>
            </w:pPr>
            <w:r w:rsidRPr="00D55DC6">
              <w:rPr>
                <w:rFonts w:eastAsia="標楷體"/>
                <w:b/>
                <w:kern w:val="0"/>
                <w:sz w:val="22"/>
              </w:rPr>
              <w:t>111</w:t>
            </w:r>
            <w:r w:rsidRPr="00D55DC6">
              <w:rPr>
                <w:rFonts w:eastAsia="標楷體"/>
                <w:b/>
                <w:kern w:val="0"/>
                <w:sz w:val="22"/>
              </w:rPr>
              <w:t>年</w:t>
            </w:r>
          </w:p>
        </w:tc>
        <w:tc>
          <w:tcPr>
            <w:tcW w:w="868" w:type="dxa"/>
            <w:tcBorders>
              <w:top w:val="single" w:sz="4" w:space="0" w:color="auto"/>
              <w:left w:val="nil"/>
              <w:bottom w:val="double" w:sz="6" w:space="0" w:color="auto"/>
              <w:right w:val="single" w:sz="4" w:space="0" w:color="auto"/>
            </w:tcBorders>
            <w:shd w:val="clear" w:color="auto" w:fill="FFCC00"/>
            <w:noWrap/>
            <w:vAlign w:val="center"/>
            <w:hideMark/>
          </w:tcPr>
          <w:p w:rsidR="00916B62" w:rsidRPr="00D55DC6" w:rsidRDefault="00916B62">
            <w:pPr>
              <w:widowControl/>
              <w:jc w:val="center"/>
              <w:rPr>
                <w:rFonts w:eastAsia="標楷體"/>
                <w:b/>
                <w:kern w:val="0"/>
                <w:sz w:val="22"/>
                <w:szCs w:val="22"/>
              </w:rPr>
            </w:pPr>
            <w:r w:rsidRPr="00D55DC6">
              <w:rPr>
                <w:rFonts w:eastAsia="標楷體"/>
                <w:b/>
                <w:kern w:val="0"/>
                <w:sz w:val="22"/>
              </w:rPr>
              <w:t>112</w:t>
            </w:r>
            <w:r w:rsidRPr="00D55DC6">
              <w:rPr>
                <w:rFonts w:eastAsia="標楷體"/>
                <w:b/>
                <w:kern w:val="0"/>
                <w:sz w:val="22"/>
              </w:rPr>
              <w:t>年</w:t>
            </w:r>
          </w:p>
        </w:tc>
      </w:tr>
      <w:tr w:rsidR="001D0350" w:rsidRPr="00D55DC6" w:rsidTr="00346866">
        <w:trPr>
          <w:gridAfter w:val="1"/>
          <w:wAfter w:w="868" w:type="dxa"/>
          <w:trHeight w:val="441"/>
          <w:jc w:val="center"/>
        </w:trPr>
        <w:tc>
          <w:tcPr>
            <w:tcW w:w="1005" w:type="dxa"/>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916B62" w:rsidRPr="00D55DC6" w:rsidRDefault="00916B62" w:rsidP="00916B62">
            <w:pPr>
              <w:widowControl/>
              <w:jc w:val="both"/>
              <w:rPr>
                <w:rFonts w:eastAsia="標楷體"/>
                <w:b/>
                <w:kern w:val="0"/>
                <w:sz w:val="20"/>
                <w:szCs w:val="20"/>
              </w:rPr>
            </w:pPr>
            <w:r w:rsidRPr="00D55DC6">
              <w:rPr>
                <w:rFonts w:eastAsia="標楷體"/>
                <w:b/>
                <w:kern w:val="0"/>
                <w:sz w:val="20"/>
                <w:szCs w:val="20"/>
              </w:rPr>
              <w:t>支出</w:t>
            </w:r>
          </w:p>
        </w:tc>
        <w:tc>
          <w:tcPr>
            <w:tcW w:w="867" w:type="dxa"/>
            <w:tcBorders>
              <w:top w:val="single" w:sz="4" w:space="0" w:color="auto"/>
              <w:left w:val="nil"/>
              <w:bottom w:val="single" w:sz="4" w:space="0" w:color="auto"/>
              <w:right w:val="single" w:sz="4" w:space="0" w:color="auto"/>
            </w:tcBorders>
            <w:shd w:val="clear" w:color="auto" w:fill="FDE9D9"/>
            <w:noWrap/>
            <w:vAlign w:val="center"/>
            <w:hideMark/>
          </w:tcPr>
          <w:p w:rsidR="00916B62" w:rsidRPr="00D55DC6" w:rsidRDefault="00916B62">
            <w:pPr>
              <w:jc w:val="right"/>
              <w:rPr>
                <w:sz w:val="20"/>
                <w:szCs w:val="20"/>
              </w:rPr>
            </w:pPr>
            <w:r w:rsidRPr="00D55DC6">
              <w:rPr>
                <w:sz w:val="20"/>
                <w:szCs w:val="20"/>
              </w:rPr>
              <w:t>235,600</w:t>
            </w:r>
          </w:p>
        </w:tc>
        <w:tc>
          <w:tcPr>
            <w:tcW w:w="867" w:type="dxa"/>
            <w:tcBorders>
              <w:top w:val="single" w:sz="4" w:space="0" w:color="auto"/>
              <w:left w:val="nil"/>
              <w:bottom w:val="single" w:sz="4" w:space="0" w:color="auto"/>
              <w:right w:val="single" w:sz="4" w:space="0" w:color="auto"/>
            </w:tcBorders>
            <w:shd w:val="clear" w:color="auto" w:fill="FDE9D9"/>
            <w:noWrap/>
            <w:vAlign w:val="center"/>
            <w:hideMark/>
          </w:tcPr>
          <w:p w:rsidR="00916B62" w:rsidRPr="00D55DC6" w:rsidRDefault="00916B62">
            <w:pPr>
              <w:jc w:val="right"/>
              <w:rPr>
                <w:sz w:val="20"/>
                <w:szCs w:val="20"/>
              </w:rPr>
            </w:pPr>
            <w:r w:rsidRPr="00D55DC6">
              <w:rPr>
                <w:sz w:val="20"/>
                <w:szCs w:val="20"/>
              </w:rPr>
              <w:t>250,000</w:t>
            </w:r>
          </w:p>
        </w:tc>
        <w:tc>
          <w:tcPr>
            <w:tcW w:w="867" w:type="dxa"/>
            <w:tcBorders>
              <w:top w:val="single" w:sz="4" w:space="0" w:color="auto"/>
              <w:left w:val="nil"/>
              <w:bottom w:val="single" w:sz="4" w:space="0" w:color="auto"/>
              <w:right w:val="single" w:sz="4" w:space="0" w:color="auto"/>
            </w:tcBorders>
            <w:shd w:val="clear" w:color="auto" w:fill="FDE9D9"/>
            <w:noWrap/>
            <w:vAlign w:val="center"/>
            <w:hideMark/>
          </w:tcPr>
          <w:p w:rsidR="00916B62" w:rsidRPr="00D55DC6" w:rsidRDefault="00916B62">
            <w:pPr>
              <w:jc w:val="right"/>
              <w:rPr>
                <w:sz w:val="20"/>
                <w:szCs w:val="20"/>
              </w:rPr>
            </w:pPr>
            <w:r w:rsidRPr="00D55DC6">
              <w:rPr>
                <w:sz w:val="20"/>
                <w:szCs w:val="20"/>
              </w:rPr>
              <w:t>230,000</w:t>
            </w:r>
          </w:p>
        </w:tc>
        <w:tc>
          <w:tcPr>
            <w:tcW w:w="868" w:type="dxa"/>
            <w:tcBorders>
              <w:top w:val="single" w:sz="4" w:space="0" w:color="auto"/>
              <w:left w:val="nil"/>
              <w:bottom w:val="single" w:sz="4" w:space="0" w:color="auto"/>
              <w:right w:val="single" w:sz="4" w:space="0" w:color="auto"/>
            </w:tcBorders>
            <w:shd w:val="clear" w:color="auto" w:fill="FDE9D9"/>
            <w:noWrap/>
            <w:vAlign w:val="center"/>
            <w:hideMark/>
          </w:tcPr>
          <w:p w:rsidR="00916B62" w:rsidRPr="00D55DC6" w:rsidRDefault="00916B62">
            <w:pPr>
              <w:jc w:val="right"/>
              <w:rPr>
                <w:sz w:val="20"/>
                <w:szCs w:val="20"/>
              </w:rPr>
            </w:pPr>
            <w:r w:rsidRPr="00D55DC6">
              <w:rPr>
                <w:sz w:val="20"/>
                <w:szCs w:val="20"/>
              </w:rPr>
              <w:t>230,000</w:t>
            </w:r>
          </w:p>
        </w:tc>
        <w:tc>
          <w:tcPr>
            <w:tcW w:w="867" w:type="dxa"/>
            <w:tcBorders>
              <w:top w:val="single" w:sz="4" w:space="0" w:color="auto"/>
              <w:left w:val="nil"/>
              <w:bottom w:val="single" w:sz="4" w:space="0" w:color="auto"/>
              <w:right w:val="single" w:sz="4" w:space="0" w:color="auto"/>
            </w:tcBorders>
            <w:shd w:val="clear" w:color="auto" w:fill="FDE9D9"/>
            <w:noWrap/>
            <w:vAlign w:val="center"/>
            <w:hideMark/>
          </w:tcPr>
          <w:p w:rsidR="00916B62" w:rsidRPr="00D55DC6" w:rsidRDefault="00916B62">
            <w:pPr>
              <w:jc w:val="right"/>
              <w:rPr>
                <w:sz w:val="20"/>
                <w:szCs w:val="20"/>
              </w:rPr>
            </w:pPr>
            <w:r w:rsidRPr="00D55DC6">
              <w:rPr>
                <w:sz w:val="20"/>
                <w:szCs w:val="20"/>
              </w:rPr>
              <w:t>230,000</w:t>
            </w:r>
          </w:p>
        </w:tc>
        <w:tc>
          <w:tcPr>
            <w:tcW w:w="867" w:type="dxa"/>
            <w:tcBorders>
              <w:top w:val="single" w:sz="4" w:space="0" w:color="auto"/>
              <w:left w:val="nil"/>
              <w:bottom w:val="single" w:sz="4" w:space="0" w:color="auto"/>
              <w:right w:val="single" w:sz="4" w:space="0" w:color="auto"/>
            </w:tcBorders>
            <w:shd w:val="clear" w:color="auto" w:fill="FDE9D9"/>
            <w:noWrap/>
            <w:vAlign w:val="center"/>
            <w:hideMark/>
          </w:tcPr>
          <w:p w:rsidR="00916B62" w:rsidRPr="00D55DC6" w:rsidRDefault="00916B62">
            <w:pPr>
              <w:jc w:val="right"/>
              <w:rPr>
                <w:sz w:val="20"/>
                <w:szCs w:val="20"/>
              </w:rPr>
            </w:pPr>
            <w:r w:rsidRPr="00D55DC6">
              <w:rPr>
                <w:sz w:val="20"/>
                <w:szCs w:val="20"/>
              </w:rPr>
              <w:t>230,000</w:t>
            </w:r>
          </w:p>
        </w:tc>
        <w:tc>
          <w:tcPr>
            <w:tcW w:w="868" w:type="dxa"/>
            <w:tcBorders>
              <w:top w:val="single" w:sz="4" w:space="0" w:color="auto"/>
              <w:left w:val="nil"/>
              <w:bottom w:val="single" w:sz="4" w:space="0" w:color="auto"/>
              <w:right w:val="single" w:sz="4" w:space="0" w:color="auto"/>
            </w:tcBorders>
            <w:shd w:val="clear" w:color="auto" w:fill="FDE9D9"/>
            <w:noWrap/>
            <w:vAlign w:val="center"/>
            <w:hideMark/>
          </w:tcPr>
          <w:p w:rsidR="00916B62" w:rsidRPr="00D55DC6" w:rsidRDefault="00916B62">
            <w:pPr>
              <w:jc w:val="right"/>
              <w:rPr>
                <w:sz w:val="20"/>
                <w:szCs w:val="20"/>
              </w:rPr>
            </w:pPr>
            <w:r w:rsidRPr="00D55DC6">
              <w:rPr>
                <w:sz w:val="20"/>
                <w:szCs w:val="20"/>
              </w:rPr>
              <w:t>230,000</w:t>
            </w:r>
          </w:p>
        </w:tc>
        <w:tc>
          <w:tcPr>
            <w:tcW w:w="867" w:type="dxa"/>
            <w:tcBorders>
              <w:top w:val="single" w:sz="4" w:space="0" w:color="auto"/>
              <w:left w:val="nil"/>
              <w:bottom w:val="single" w:sz="4" w:space="0" w:color="auto"/>
              <w:right w:val="single" w:sz="4" w:space="0" w:color="auto"/>
            </w:tcBorders>
            <w:shd w:val="clear" w:color="auto" w:fill="FDE9D9"/>
            <w:noWrap/>
            <w:vAlign w:val="center"/>
            <w:hideMark/>
          </w:tcPr>
          <w:p w:rsidR="00916B62" w:rsidRPr="00D55DC6" w:rsidRDefault="00916B62">
            <w:pPr>
              <w:jc w:val="right"/>
              <w:rPr>
                <w:sz w:val="20"/>
                <w:szCs w:val="20"/>
              </w:rPr>
            </w:pPr>
            <w:r w:rsidRPr="00D55DC6">
              <w:rPr>
                <w:sz w:val="20"/>
                <w:szCs w:val="20"/>
              </w:rPr>
              <w:t>230,000</w:t>
            </w:r>
          </w:p>
        </w:tc>
        <w:tc>
          <w:tcPr>
            <w:tcW w:w="867" w:type="dxa"/>
            <w:tcBorders>
              <w:top w:val="single" w:sz="4" w:space="0" w:color="auto"/>
              <w:left w:val="nil"/>
              <w:bottom w:val="single" w:sz="4" w:space="0" w:color="auto"/>
              <w:right w:val="single" w:sz="4" w:space="0" w:color="auto"/>
            </w:tcBorders>
            <w:shd w:val="clear" w:color="auto" w:fill="FDE9D9"/>
            <w:noWrap/>
            <w:vAlign w:val="center"/>
            <w:hideMark/>
          </w:tcPr>
          <w:p w:rsidR="00916B62" w:rsidRPr="00D55DC6" w:rsidRDefault="00916B62">
            <w:pPr>
              <w:jc w:val="right"/>
              <w:rPr>
                <w:sz w:val="20"/>
                <w:szCs w:val="20"/>
              </w:rPr>
            </w:pPr>
            <w:r w:rsidRPr="00D55DC6">
              <w:rPr>
                <w:sz w:val="20"/>
                <w:szCs w:val="20"/>
              </w:rPr>
              <w:t>230,000</w:t>
            </w:r>
          </w:p>
        </w:tc>
        <w:tc>
          <w:tcPr>
            <w:tcW w:w="868" w:type="dxa"/>
            <w:tcBorders>
              <w:top w:val="single" w:sz="4" w:space="0" w:color="auto"/>
              <w:left w:val="nil"/>
              <w:bottom w:val="single" w:sz="4" w:space="0" w:color="auto"/>
              <w:right w:val="single" w:sz="4" w:space="0" w:color="auto"/>
            </w:tcBorders>
            <w:shd w:val="clear" w:color="auto" w:fill="FDE9D9"/>
            <w:noWrap/>
            <w:vAlign w:val="center"/>
            <w:hideMark/>
          </w:tcPr>
          <w:p w:rsidR="00916B62" w:rsidRPr="00D55DC6" w:rsidRDefault="00916B62">
            <w:pPr>
              <w:jc w:val="right"/>
              <w:rPr>
                <w:sz w:val="20"/>
                <w:szCs w:val="20"/>
              </w:rPr>
            </w:pPr>
            <w:r w:rsidRPr="00D55DC6">
              <w:rPr>
                <w:sz w:val="20"/>
                <w:szCs w:val="20"/>
              </w:rPr>
              <w:t>230,000</w:t>
            </w:r>
          </w:p>
        </w:tc>
      </w:tr>
      <w:tr w:rsidR="001D0350" w:rsidRPr="00D55DC6" w:rsidTr="00346866">
        <w:trPr>
          <w:gridAfter w:val="1"/>
          <w:wAfter w:w="868" w:type="dxa"/>
          <w:trHeight w:val="441"/>
          <w:jc w:val="center"/>
        </w:trPr>
        <w:tc>
          <w:tcPr>
            <w:tcW w:w="1005" w:type="dxa"/>
            <w:tcBorders>
              <w:top w:val="nil"/>
              <w:left w:val="single" w:sz="4" w:space="0" w:color="auto"/>
              <w:bottom w:val="single" w:sz="4" w:space="0" w:color="auto"/>
              <w:right w:val="single" w:sz="4" w:space="0" w:color="auto"/>
            </w:tcBorders>
            <w:shd w:val="clear" w:color="auto" w:fill="FFFFFF"/>
            <w:noWrap/>
            <w:vAlign w:val="center"/>
            <w:hideMark/>
          </w:tcPr>
          <w:p w:rsidR="00916B62" w:rsidRPr="00D55DC6" w:rsidRDefault="00916B62" w:rsidP="00916B62">
            <w:pPr>
              <w:widowControl/>
              <w:jc w:val="both"/>
              <w:rPr>
                <w:rFonts w:eastAsia="標楷體"/>
                <w:b/>
                <w:kern w:val="0"/>
                <w:sz w:val="20"/>
                <w:szCs w:val="20"/>
              </w:rPr>
            </w:pPr>
            <w:r w:rsidRPr="00D55DC6">
              <w:rPr>
                <w:rFonts w:eastAsia="標楷體"/>
                <w:b/>
                <w:kern w:val="0"/>
                <w:sz w:val="20"/>
                <w:szCs w:val="20"/>
              </w:rPr>
              <w:t>收入</w:t>
            </w:r>
          </w:p>
        </w:tc>
        <w:tc>
          <w:tcPr>
            <w:tcW w:w="867"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11,514</w:t>
            </w:r>
          </w:p>
        </w:tc>
        <w:tc>
          <w:tcPr>
            <w:tcW w:w="867"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14,660</w:t>
            </w:r>
          </w:p>
        </w:tc>
        <w:tc>
          <w:tcPr>
            <w:tcW w:w="867"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14,795</w:t>
            </w:r>
          </w:p>
        </w:tc>
        <w:tc>
          <w:tcPr>
            <w:tcW w:w="868"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15,209</w:t>
            </w:r>
          </w:p>
        </w:tc>
        <w:tc>
          <w:tcPr>
            <w:tcW w:w="867"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16,537</w:t>
            </w:r>
          </w:p>
        </w:tc>
        <w:tc>
          <w:tcPr>
            <w:tcW w:w="867"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17,005</w:t>
            </w:r>
          </w:p>
        </w:tc>
        <w:tc>
          <w:tcPr>
            <w:tcW w:w="868"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19,825</w:t>
            </w:r>
          </w:p>
        </w:tc>
        <w:tc>
          <w:tcPr>
            <w:tcW w:w="867"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22,202</w:t>
            </w:r>
          </w:p>
        </w:tc>
        <w:tc>
          <w:tcPr>
            <w:tcW w:w="867"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22,704</w:t>
            </w:r>
          </w:p>
        </w:tc>
        <w:tc>
          <w:tcPr>
            <w:tcW w:w="868"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23,065</w:t>
            </w:r>
          </w:p>
        </w:tc>
      </w:tr>
      <w:tr w:rsidR="001D0350" w:rsidRPr="00D55DC6" w:rsidTr="00346866">
        <w:trPr>
          <w:gridAfter w:val="1"/>
          <w:wAfter w:w="868" w:type="dxa"/>
          <w:trHeight w:val="441"/>
          <w:jc w:val="center"/>
        </w:trPr>
        <w:tc>
          <w:tcPr>
            <w:tcW w:w="1005" w:type="dxa"/>
            <w:tcBorders>
              <w:top w:val="nil"/>
              <w:left w:val="single" w:sz="4" w:space="0" w:color="auto"/>
              <w:bottom w:val="single" w:sz="4" w:space="0" w:color="auto"/>
              <w:right w:val="single" w:sz="4" w:space="0" w:color="auto"/>
            </w:tcBorders>
            <w:shd w:val="clear" w:color="auto" w:fill="FFFFFF"/>
            <w:noWrap/>
            <w:vAlign w:val="center"/>
            <w:hideMark/>
          </w:tcPr>
          <w:p w:rsidR="00916B62" w:rsidRPr="00D55DC6" w:rsidRDefault="00916B62">
            <w:pPr>
              <w:widowControl/>
              <w:jc w:val="both"/>
              <w:rPr>
                <w:rFonts w:eastAsia="標楷體"/>
                <w:b/>
                <w:kern w:val="0"/>
                <w:sz w:val="20"/>
                <w:szCs w:val="20"/>
              </w:rPr>
            </w:pPr>
            <w:r w:rsidRPr="00D55DC6">
              <w:rPr>
                <w:rFonts w:eastAsia="標楷體"/>
                <w:b/>
                <w:kern w:val="0"/>
                <w:sz w:val="20"/>
                <w:szCs w:val="20"/>
              </w:rPr>
              <w:t>收支比</w:t>
            </w:r>
          </w:p>
        </w:tc>
        <w:tc>
          <w:tcPr>
            <w:tcW w:w="867"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4.89%</w:t>
            </w:r>
          </w:p>
        </w:tc>
        <w:tc>
          <w:tcPr>
            <w:tcW w:w="867"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5.86%</w:t>
            </w:r>
          </w:p>
        </w:tc>
        <w:tc>
          <w:tcPr>
            <w:tcW w:w="867"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6.43%</w:t>
            </w:r>
          </w:p>
        </w:tc>
        <w:tc>
          <w:tcPr>
            <w:tcW w:w="868"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6.61%</w:t>
            </w:r>
          </w:p>
        </w:tc>
        <w:tc>
          <w:tcPr>
            <w:tcW w:w="867"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7.19%</w:t>
            </w:r>
          </w:p>
        </w:tc>
        <w:tc>
          <w:tcPr>
            <w:tcW w:w="867"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7.39%</w:t>
            </w:r>
          </w:p>
        </w:tc>
        <w:tc>
          <w:tcPr>
            <w:tcW w:w="868"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8.62%</w:t>
            </w:r>
          </w:p>
        </w:tc>
        <w:tc>
          <w:tcPr>
            <w:tcW w:w="867"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9.65%</w:t>
            </w:r>
          </w:p>
        </w:tc>
        <w:tc>
          <w:tcPr>
            <w:tcW w:w="867"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9.87%</w:t>
            </w:r>
          </w:p>
        </w:tc>
        <w:tc>
          <w:tcPr>
            <w:tcW w:w="868"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10.03%</w:t>
            </w:r>
          </w:p>
        </w:tc>
      </w:tr>
      <w:tr w:rsidR="001D0350" w:rsidRPr="00D55DC6" w:rsidTr="00916B62">
        <w:trPr>
          <w:trHeight w:val="345"/>
          <w:jc w:val="center"/>
        </w:trPr>
        <w:tc>
          <w:tcPr>
            <w:tcW w:w="1005" w:type="dxa"/>
            <w:tcBorders>
              <w:top w:val="single" w:sz="4" w:space="0" w:color="auto"/>
              <w:left w:val="single" w:sz="4" w:space="0" w:color="auto"/>
              <w:bottom w:val="double" w:sz="6" w:space="0" w:color="auto"/>
              <w:right w:val="single" w:sz="4" w:space="0" w:color="auto"/>
            </w:tcBorders>
            <w:shd w:val="clear" w:color="auto" w:fill="FFCC00"/>
            <w:noWrap/>
            <w:vAlign w:val="center"/>
            <w:hideMark/>
          </w:tcPr>
          <w:p w:rsidR="00916B62" w:rsidRPr="00D55DC6" w:rsidRDefault="00916B62">
            <w:pPr>
              <w:widowControl/>
              <w:jc w:val="center"/>
              <w:rPr>
                <w:rFonts w:eastAsia="標楷體"/>
                <w:b/>
                <w:kern w:val="0"/>
                <w:sz w:val="20"/>
                <w:szCs w:val="20"/>
              </w:rPr>
            </w:pPr>
            <w:r w:rsidRPr="00D55DC6">
              <w:rPr>
                <w:rFonts w:eastAsia="標楷體"/>
                <w:b/>
                <w:kern w:val="0"/>
                <w:sz w:val="20"/>
                <w:szCs w:val="20"/>
              </w:rPr>
              <w:t>項目</w:t>
            </w:r>
            <w:r w:rsidRPr="00D55DC6">
              <w:rPr>
                <w:rFonts w:eastAsia="標楷體"/>
                <w:b/>
                <w:kern w:val="0"/>
                <w:sz w:val="20"/>
                <w:szCs w:val="20"/>
              </w:rPr>
              <w:t>\</w:t>
            </w:r>
            <w:r w:rsidRPr="00D55DC6">
              <w:rPr>
                <w:rFonts w:eastAsia="標楷體"/>
                <w:b/>
                <w:kern w:val="0"/>
                <w:sz w:val="20"/>
                <w:szCs w:val="20"/>
              </w:rPr>
              <w:t>年度</w:t>
            </w:r>
          </w:p>
        </w:tc>
        <w:tc>
          <w:tcPr>
            <w:tcW w:w="867" w:type="dxa"/>
            <w:tcBorders>
              <w:top w:val="single" w:sz="4" w:space="0" w:color="auto"/>
              <w:left w:val="nil"/>
              <w:bottom w:val="double" w:sz="6" w:space="0" w:color="auto"/>
              <w:right w:val="single" w:sz="4" w:space="0" w:color="auto"/>
            </w:tcBorders>
            <w:shd w:val="clear" w:color="auto" w:fill="FFCC00"/>
            <w:noWrap/>
            <w:vAlign w:val="center"/>
            <w:hideMark/>
          </w:tcPr>
          <w:p w:rsidR="00916B62" w:rsidRPr="00D55DC6" w:rsidRDefault="00916B62">
            <w:pPr>
              <w:widowControl/>
              <w:jc w:val="center"/>
              <w:rPr>
                <w:rFonts w:eastAsia="標楷體"/>
                <w:b/>
                <w:kern w:val="0"/>
                <w:sz w:val="22"/>
                <w:szCs w:val="22"/>
              </w:rPr>
            </w:pPr>
            <w:r w:rsidRPr="00D55DC6">
              <w:rPr>
                <w:rFonts w:eastAsia="標楷體"/>
                <w:b/>
                <w:kern w:val="0"/>
                <w:sz w:val="22"/>
              </w:rPr>
              <w:t>113</w:t>
            </w:r>
            <w:r w:rsidRPr="00D55DC6">
              <w:rPr>
                <w:rFonts w:eastAsia="標楷體"/>
                <w:b/>
                <w:kern w:val="0"/>
                <w:sz w:val="22"/>
              </w:rPr>
              <w:t>年</w:t>
            </w:r>
          </w:p>
        </w:tc>
        <w:tc>
          <w:tcPr>
            <w:tcW w:w="867" w:type="dxa"/>
            <w:tcBorders>
              <w:top w:val="single" w:sz="4" w:space="0" w:color="auto"/>
              <w:left w:val="nil"/>
              <w:bottom w:val="double" w:sz="6" w:space="0" w:color="auto"/>
              <w:right w:val="single" w:sz="4" w:space="0" w:color="auto"/>
            </w:tcBorders>
            <w:shd w:val="clear" w:color="auto" w:fill="FFCC00"/>
            <w:noWrap/>
            <w:vAlign w:val="center"/>
            <w:hideMark/>
          </w:tcPr>
          <w:p w:rsidR="00916B62" w:rsidRPr="00D55DC6" w:rsidRDefault="00916B62">
            <w:pPr>
              <w:widowControl/>
              <w:jc w:val="center"/>
              <w:rPr>
                <w:rFonts w:eastAsia="標楷體"/>
                <w:b/>
                <w:kern w:val="0"/>
                <w:sz w:val="22"/>
                <w:szCs w:val="22"/>
              </w:rPr>
            </w:pPr>
            <w:r w:rsidRPr="00D55DC6">
              <w:rPr>
                <w:rFonts w:eastAsia="標楷體"/>
                <w:b/>
                <w:kern w:val="0"/>
                <w:sz w:val="22"/>
              </w:rPr>
              <w:t>114</w:t>
            </w:r>
            <w:r w:rsidRPr="00D55DC6">
              <w:rPr>
                <w:rFonts w:eastAsia="標楷體"/>
                <w:b/>
                <w:kern w:val="0"/>
                <w:sz w:val="22"/>
              </w:rPr>
              <w:t>年</w:t>
            </w:r>
          </w:p>
        </w:tc>
        <w:tc>
          <w:tcPr>
            <w:tcW w:w="867" w:type="dxa"/>
            <w:tcBorders>
              <w:top w:val="single" w:sz="4" w:space="0" w:color="auto"/>
              <w:left w:val="nil"/>
              <w:bottom w:val="double" w:sz="6" w:space="0" w:color="auto"/>
              <w:right w:val="single" w:sz="4" w:space="0" w:color="auto"/>
            </w:tcBorders>
            <w:shd w:val="clear" w:color="auto" w:fill="FFCC00"/>
            <w:noWrap/>
            <w:vAlign w:val="center"/>
            <w:hideMark/>
          </w:tcPr>
          <w:p w:rsidR="00916B62" w:rsidRPr="00D55DC6" w:rsidRDefault="00916B62">
            <w:pPr>
              <w:widowControl/>
              <w:jc w:val="center"/>
              <w:rPr>
                <w:rFonts w:eastAsia="標楷體"/>
                <w:b/>
                <w:kern w:val="0"/>
                <w:sz w:val="22"/>
                <w:szCs w:val="22"/>
              </w:rPr>
            </w:pPr>
            <w:r w:rsidRPr="00D55DC6">
              <w:rPr>
                <w:rFonts w:eastAsia="標楷體"/>
                <w:b/>
                <w:kern w:val="0"/>
                <w:sz w:val="22"/>
              </w:rPr>
              <w:t>115</w:t>
            </w:r>
            <w:r w:rsidRPr="00D55DC6">
              <w:rPr>
                <w:rFonts w:eastAsia="標楷體"/>
                <w:b/>
                <w:kern w:val="0"/>
                <w:sz w:val="22"/>
              </w:rPr>
              <w:t>年</w:t>
            </w:r>
          </w:p>
        </w:tc>
        <w:tc>
          <w:tcPr>
            <w:tcW w:w="868" w:type="dxa"/>
            <w:tcBorders>
              <w:top w:val="single" w:sz="4" w:space="0" w:color="auto"/>
              <w:left w:val="nil"/>
              <w:bottom w:val="double" w:sz="6" w:space="0" w:color="auto"/>
              <w:right w:val="single" w:sz="4" w:space="0" w:color="auto"/>
            </w:tcBorders>
            <w:shd w:val="clear" w:color="auto" w:fill="FFCC00"/>
            <w:noWrap/>
            <w:vAlign w:val="center"/>
            <w:hideMark/>
          </w:tcPr>
          <w:p w:rsidR="00916B62" w:rsidRPr="00D55DC6" w:rsidRDefault="00916B62">
            <w:pPr>
              <w:widowControl/>
              <w:jc w:val="center"/>
              <w:rPr>
                <w:rFonts w:eastAsia="標楷體"/>
                <w:b/>
                <w:kern w:val="0"/>
                <w:sz w:val="22"/>
                <w:szCs w:val="22"/>
              </w:rPr>
            </w:pPr>
            <w:r w:rsidRPr="00D55DC6">
              <w:rPr>
                <w:rFonts w:eastAsia="標楷體"/>
                <w:b/>
                <w:kern w:val="0"/>
                <w:sz w:val="22"/>
              </w:rPr>
              <w:t>116</w:t>
            </w:r>
            <w:r w:rsidRPr="00D55DC6">
              <w:rPr>
                <w:rFonts w:eastAsia="標楷體"/>
                <w:b/>
                <w:kern w:val="0"/>
                <w:sz w:val="22"/>
              </w:rPr>
              <w:t>年</w:t>
            </w:r>
          </w:p>
        </w:tc>
        <w:tc>
          <w:tcPr>
            <w:tcW w:w="867" w:type="dxa"/>
            <w:tcBorders>
              <w:top w:val="single" w:sz="4" w:space="0" w:color="auto"/>
              <w:left w:val="nil"/>
              <w:bottom w:val="double" w:sz="6" w:space="0" w:color="auto"/>
              <w:right w:val="single" w:sz="4" w:space="0" w:color="auto"/>
            </w:tcBorders>
            <w:shd w:val="clear" w:color="auto" w:fill="FFCC00"/>
            <w:noWrap/>
            <w:vAlign w:val="center"/>
            <w:hideMark/>
          </w:tcPr>
          <w:p w:rsidR="00916B62" w:rsidRPr="00D55DC6" w:rsidRDefault="00916B62">
            <w:pPr>
              <w:widowControl/>
              <w:jc w:val="center"/>
              <w:rPr>
                <w:rFonts w:eastAsia="標楷體"/>
                <w:b/>
                <w:kern w:val="0"/>
                <w:sz w:val="22"/>
                <w:szCs w:val="22"/>
              </w:rPr>
            </w:pPr>
            <w:r w:rsidRPr="00D55DC6">
              <w:rPr>
                <w:rFonts w:eastAsia="標楷體"/>
                <w:b/>
                <w:kern w:val="0"/>
                <w:sz w:val="22"/>
              </w:rPr>
              <w:t>117</w:t>
            </w:r>
            <w:r w:rsidRPr="00D55DC6">
              <w:rPr>
                <w:rFonts w:eastAsia="標楷體"/>
                <w:b/>
                <w:kern w:val="0"/>
                <w:sz w:val="22"/>
              </w:rPr>
              <w:t>年</w:t>
            </w:r>
          </w:p>
        </w:tc>
        <w:tc>
          <w:tcPr>
            <w:tcW w:w="867" w:type="dxa"/>
            <w:tcBorders>
              <w:top w:val="single" w:sz="4" w:space="0" w:color="auto"/>
              <w:left w:val="nil"/>
              <w:bottom w:val="double" w:sz="6" w:space="0" w:color="auto"/>
              <w:right w:val="single" w:sz="4" w:space="0" w:color="auto"/>
            </w:tcBorders>
            <w:shd w:val="clear" w:color="auto" w:fill="FFCC00"/>
            <w:noWrap/>
            <w:vAlign w:val="center"/>
            <w:hideMark/>
          </w:tcPr>
          <w:p w:rsidR="00916B62" w:rsidRPr="00D55DC6" w:rsidRDefault="00916B62">
            <w:pPr>
              <w:widowControl/>
              <w:jc w:val="center"/>
              <w:rPr>
                <w:rFonts w:eastAsia="標楷體"/>
                <w:b/>
                <w:kern w:val="0"/>
                <w:sz w:val="22"/>
                <w:szCs w:val="22"/>
              </w:rPr>
            </w:pPr>
            <w:r w:rsidRPr="00D55DC6">
              <w:rPr>
                <w:rFonts w:eastAsia="標楷體"/>
                <w:b/>
                <w:kern w:val="0"/>
                <w:sz w:val="22"/>
              </w:rPr>
              <w:t>118</w:t>
            </w:r>
            <w:r w:rsidRPr="00D55DC6">
              <w:rPr>
                <w:rFonts w:eastAsia="標楷體"/>
                <w:b/>
                <w:kern w:val="0"/>
                <w:sz w:val="22"/>
              </w:rPr>
              <w:t>年</w:t>
            </w:r>
          </w:p>
        </w:tc>
        <w:tc>
          <w:tcPr>
            <w:tcW w:w="868" w:type="dxa"/>
            <w:tcBorders>
              <w:top w:val="single" w:sz="4" w:space="0" w:color="auto"/>
              <w:left w:val="nil"/>
              <w:bottom w:val="double" w:sz="6" w:space="0" w:color="auto"/>
              <w:right w:val="single" w:sz="4" w:space="0" w:color="auto"/>
            </w:tcBorders>
            <w:shd w:val="clear" w:color="auto" w:fill="FFCC00"/>
            <w:noWrap/>
            <w:vAlign w:val="center"/>
            <w:hideMark/>
          </w:tcPr>
          <w:p w:rsidR="00916B62" w:rsidRPr="00D55DC6" w:rsidRDefault="00916B62">
            <w:pPr>
              <w:widowControl/>
              <w:jc w:val="center"/>
              <w:rPr>
                <w:rFonts w:eastAsia="標楷體"/>
                <w:b/>
                <w:kern w:val="0"/>
                <w:sz w:val="22"/>
                <w:szCs w:val="22"/>
              </w:rPr>
            </w:pPr>
            <w:r w:rsidRPr="00D55DC6">
              <w:rPr>
                <w:rFonts w:eastAsia="標楷體"/>
                <w:b/>
                <w:kern w:val="0"/>
                <w:sz w:val="22"/>
              </w:rPr>
              <w:t>119</w:t>
            </w:r>
            <w:r w:rsidRPr="00D55DC6">
              <w:rPr>
                <w:rFonts w:eastAsia="標楷體"/>
                <w:b/>
                <w:kern w:val="0"/>
                <w:sz w:val="22"/>
              </w:rPr>
              <w:t>年</w:t>
            </w:r>
          </w:p>
        </w:tc>
        <w:tc>
          <w:tcPr>
            <w:tcW w:w="867" w:type="dxa"/>
            <w:tcBorders>
              <w:top w:val="single" w:sz="4" w:space="0" w:color="auto"/>
              <w:left w:val="nil"/>
              <w:bottom w:val="double" w:sz="6" w:space="0" w:color="auto"/>
              <w:right w:val="single" w:sz="4" w:space="0" w:color="auto"/>
            </w:tcBorders>
            <w:shd w:val="clear" w:color="auto" w:fill="FFCC00"/>
            <w:noWrap/>
            <w:vAlign w:val="center"/>
            <w:hideMark/>
          </w:tcPr>
          <w:p w:rsidR="00916B62" w:rsidRPr="00D55DC6" w:rsidRDefault="00916B62">
            <w:pPr>
              <w:widowControl/>
              <w:jc w:val="center"/>
              <w:rPr>
                <w:rFonts w:eastAsia="標楷體"/>
                <w:b/>
                <w:kern w:val="0"/>
                <w:sz w:val="22"/>
                <w:szCs w:val="22"/>
              </w:rPr>
            </w:pPr>
            <w:r w:rsidRPr="00D55DC6">
              <w:rPr>
                <w:rFonts w:eastAsia="標楷體"/>
                <w:b/>
                <w:kern w:val="0"/>
                <w:sz w:val="22"/>
              </w:rPr>
              <w:t>120</w:t>
            </w:r>
            <w:r w:rsidRPr="00D55DC6">
              <w:rPr>
                <w:rFonts w:eastAsia="標楷體"/>
                <w:b/>
                <w:kern w:val="0"/>
                <w:sz w:val="22"/>
              </w:rPr>
              <w:t>年</w:t>
            </w:r>
          </w:p>
        </w:tc>
        <w:tc>
          <w:tcPr>
            <w:tcW w:w="867" w:type="dxa"/>
            <w:tcBorders>
              <w:top w:val="single" w:sz="4" w:space="0" w:color="auto"/>
              <w:left w:val="nil"/>
              <w:bottom w:val="double" w:sz="6" w:space="0" w:color="auto"/>
              <w:right w:val="single" w:sz="4" w:space="0" w:color="auto"/>
            </w:tcBorders>
            <w:shd w:val="clear" w:color="auto" w:fill="FFCC00"/>
            <w:noWrap/>
            <w:vAlign w:val="center"/>
            <w:hideMark/>
          </w:tcPr>
          <w:p w:rsidR="00916B62" w:rsidRPr="00D55DC6" w:rsidRDefault="00916B62">
            <w:pPr>
              <w:widowControl/>
              <w:jc w:val="center"/>
              <w:rPr>
                <w:rFonts w:eastAsia="標楷體"/>
                <w:b/>
                <w:kern w:val="0"/>
                <w:sz w:val="22"/>
                <w:szCs w:val="22"/>
              </w:rPr>
            </w:pPr>
            <w:r w:rsidRPr="00D55DC6">
              <w:rPr>
                <w:rFonts w:eastAsia="標楷體"/>
                <w:b/>
                <w:kern w:val="0"/>
                <w:sz w:val="22"/>
              </w:rPr>
              <w:t>121</w:t>
            </w:r>
            <w:r w:rsidRPr="00D55DC6">
              <w:rPr>
                <w:rFonts w:eastAsia="標楷體"/>
                <w:b/>
                <w:kern w:val="0"/>
                <w:sz w:val="22"/>
              </w:rPr>
              <w:t>年</w:t>
            </w:r>
          </w:p>
        </w:tc>
        <w:tc>
          <w:tcPr>
            <w:tcW w:w="868" w:type="dxa"/>
            <w:tcBorders>
              <w:top w:val="single" w:sz="4" w:space="0" w:color="auto"/>
              <w:left w:val="nil"/>
              <w:bottom w:val="double" w:sz="6" w:space="0" w:color="auto"/>
              <w:right w:val="single" w:sz="4" w:space="0" w:color="auto"/>
            </w:tcBorders>
            <w:shd w:val="clear" w:color="auto" w:fill="FFCC00"/>
            <w:noWrap/>
            <w:vAlign w:val="center"/>
            <w:hideMark/>
          </w:tcPr>
          <w:p w:rsidR="00916B62" w:rsidRPr="00D55DC6" w:rsidRDefault="00916B62">
            <w:pPr>
              <w:widowControl/>
              <w:jc w:val="center"/>
              <w:rPr>
                <w:rFonts w:eastAsia="標楷體"/>
                <w:b/>
                <w:kern w:val="0"/>
                <w:sz w:val="22"/>
                <w:szCs w:val="22"/>
              </w:rPr>
            </w:pPr>
            <w:r w:rsidRPr="00D55DC6">
              <w:rPr>
                <w:rFonts w:eastAsia="標楷體"/>
                <w:b/>
                <w:kern w:val="0"/>
                <w:sz w:val="22"/>
              </w:rPr>
              <w:t>122</w:t>
            </w:r>
            <w:r w:rsidRPr="00D55DC6">
              <w:rPr>
                <w:rFonts w:eastAsia="標楷體"/>
                <w:b/>
                <w:kern w:val="0"/>
                <w:sz w:val="22"/>
              </w:rPr>
              <w:t>年</w:t>
            </w:r>
          </w:p>
        </w:tc>
        <w:tc>
          <w:tcPr>
            <w:tcW w:w="868" w:type="dxa"/>
            <w:tcBorders>
              <w:top w:val="single" w:sz="4" w:space="0" w:color="auto"/>
              <w:left w:val="nil"/>
              <w:bottom w:val="double" w:sz="6" w:space="0" w:color="auto"/>
              <w:right w:val="single" w:sz="4" w:space="0" w:color="auto"/>
            </w:tcBorders>
            <w:shd w:val="clear" w:color="auto" w:fill="FFCC00"/>
          </w:tcPr>
          <w:p w:rsidR="00916B62" w:rsidRPr="00D55DC6" w:rsidRDefault="00916B62">
            <w:pPr>
              <w:widowControl/>
              <w:jc w:val="center"/>
              <w:rPr>
                <w:rFonts w:eastAsia="標楷體"/>
                <w:b/>
                <w:kern w:val="0"/>
                <w:sz w:val="22"/>
              </w:rPr>
            </w:pPr>
            <w:r w:rsidRPr="00D55DC6">
              <w:rPr>
                <w:rFonts w:eastAsia="標楷體"/>
                <w:b/>
                <w:kern w:val="0"/>
                <w:sz w:val="22"/>
              </w:rPr>
              <w:t>合計</w:t>
            </w:r>
          </w:p>
        </w:tc>
      </w:tr>
      <w:tr w:rsidR="001D0350" w:rsidRPr="00D55DC6" w:rsidTr="00916B62">
        <w:trPr>
          <w:trHeight w:val="345"/>
          <w:jc w:val="center"/>
        </w:trPr>
        <w:tc>
          <w:tcPr>
            <w:tcW w:w="1005" w:type="dxa"/>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916B62" w:rsidRPr="00D55DC6" w:rsidRDefault="00916B62">
            <w:pPr>
              <w:widowControl/>
              <w:jc w:val="both"/>
              <w:rPr>
                <w:rFonts w:eastAsia="標楷體"/>
                <w:b/>
                <w:kern w:val="0"/>
                <w:sz w:val="20"/>
                <w:szCs w:val="20"/>
              </w:rPr>
            </w:pPr>
            <w:r w:rsidRPr="00D55DC6">
              <w:rPr>
                <w:rFonts w:eastAsia="標楷體"/>
                <w:b/>
                <w:kern w:val="0"/>
                <w:sz w:val="20"/>
                <w:szCs w:val="20"/>
              </w:rPr>
              <w:t>支出</w:t>
            </w:r>
          </w:p>
        </w:tc>
        <w:tc>
          <w:tcPr>
            <w:tcW w:w="867" w:type="dxa"/>
            <w:tcBorders>
              <w:top w:val="single" w:sz="4" w:space="0" w:color="auto"/>
              <w:left w:val="nil"/>
              <w:bottom w:val="single" w:sz="4" w:space="0" w:color="auto"/>
              <w:right w:val="single" w:sz="4" w:space="0" w:color="auto"/>
            </w:tcBorders>
            <w:shd w:val="clear" w:color="auto" w:fill="FDE9D9"/>
            <w:noWrap/>
            <w:vAlign w:val="center"/>
            <w:hideMark/>
          </w:tcPr>
          <w:p w:rsidR="00916B62" w:rsidRPr="00D55DC6" w:rsidRDefault="00916B62">
            <w:pPr>
              <w:jc w:val="right"/>
              <w:rPr>
                <w:sz w:val="20"/>
                <w:szCs w:val="20"/>
              </w:rPr>
            </w:pPr>
            <w:r w:rsidRPr="00D55DC6">
              <w:rPr>
                <w:sz w:val="20"/>
                <w:szCs w:val="20"/>
              </w:rPr>
              <w:t>230,000</w:t>
            </w:r>
          </w:p>
        </w:tc>
        <w:tc>
          <w:tcPr>
            <w:tcW w:w="867" w:type="dxa"/>
            <w:tcBorders>
              <w:top w:val="single" w:sz="4" w:space="0" w:color="auto"/>
              <w:left w:val="nil"/>
              <w:bottom w:val="single" w:sz="4" w:space="0" w:color="auto"/>
              <w:right w:val="single" w:sz="4" w:space="0" w:color="auto"/>
            </w:tcBorders>
            <w:shd w:val="clear" w:color="auto" w:fill="FDE9D9"/>
            <w:noWrap/>
            <w:vAlign w:val="center"/>
            <w:hideMark/>
          </w:tcPr>
          <w:p w:rsidR="00916B62" w:rsidRPr="00D55DC6" w:rsidRDefault="00916B62">
            <w:pPr>
              <w:jc w:val="right"/>
              <w:rPr>
                <w:sz w:val="20"/>
                <w:szCs w:val="20"/>
              </w:rPr>
            </w:pPr>
            <w:r w:rsidRPr="00D55DC6">
              <w:rPr>
                <w:sz w:val="20"/>
                <w:szCs w:val="20"/>
              </w:rPr>
              <w:t>230,000</w:t>
            </w:r>
          </w:p>
        </w:tc>
        <w:tc>
          <w:tcPr>
            <w:tcW w:w="867" w:type="dxa"/>
            <w:tcBorders>
              <w:top w:val="single" w:sz="4" w:space="0" w:color="auto"/>
              <w:left w:val="nil"/>
              <w:bottom w:val="single" w:sz="4" w:space="0" w:color="auto"/>
              <w:right w:val="single" w:sz="4" w:space="0" w:color="auto"/>
            </w:tcBorders>
            <w:shd w:val="clear" w:color="auto" w:fill="FDE9D9"/>
            <w:noWrap/>
            <w:vAlign w:val="center"/>
            <w:hideMark/>
          </w:tcPr>
          <w:p w:rsidR="00916B62" w:rsidRPr="00D55DC6" w:rsidRDefault="00916B62">
            <w:pPr>
              <w:jc w:val="right"/>
              <w:rPr>
                <w:sz w:val="20"/>
                <w:szCs w:val="20"/>
              </w:rPr>
            </w:pPr>
            <w:r w:rsidRPr="00D55DC6">
              <w:rPr>
                <w:sz w:val="20"/>
                <w:szCs w:val="20"/>
              </w:rPr>
              <w:t>230,000</w:t>
            </w:r>
          </w:p>
        </w:tc>
        <w:tc>
          <w:tcPr>
            <w:tcW w:w="868" w:type="dxa"/>
            <w:tcBorders>
              <w:top w:val="single" w:sz="4" w:space="0" w:color="auto"/>
              <w:left w:val="nil"/>
              <w:bottom w:val="single" w:sz="4" w:space="0" w:color="auto"/>
              <w:right w:val="single" w:sz="4" w:space="0" w:color="auto"/>
            </w:tcBorders>
            <w:shd w:val="clear" w:color="auto" w:fill="FDE9D9"/>
            <w:noWrap/>
            <w:vAlign w:val="center"/>
            <w:hideMark/>
          </w:tcPr>
          <w:p w:rsidR="00916B62" w:rsidRPr="00D55DC6" w:rsidRDefault="00916B62">
            <w:pPr>
              <w:jc w:val="right"/>
              <w:rPr>
                <w:sz w:val="20"/>
                <w:szCs w:val="20"/>
              </w:rPr>
            </w:pPr>
            <w:r w:rsidRPr="00D55DC6">
              <w:rPr>
                <w:sz w:val="20"/>
                <w:szCs w:val="20"/>
              </w:rPr>
              <w:t>230,000</w:t>
            </w:r>
          </w:p>
        </w:tc>
        <w:tc>
          <w:tcPr>
            <w:tcW w:w="867" w:type="dxa"/>
            <w:tcBorders>
              <w:top w:val="single" w:sz="4" w:space="0" w:color="auto"/>
              <w:left w:val="nil"/>
              <w:bottom w:val="single" w:sz="4" w:space="0" w:color="auto"/>
              <w:right w:val="single" w:sz="4" w:space="0" w:color="auto"/>
            </w:tcBorders>
            <w:shd w:val="clear" w:color="auto" w:fill="FDE9D9"/>
            <w:noWrap/>
            <w:vAlign w:val="center"/>
            <w:hideMark/>
          </w:tcPr>
          <w:p w:rsidR="00916B62" w:rsidRPr="00D55DC6" w:rsidRDefault="00916B62">
            <w:pPr>
              <w:jc w:val="right"/>
              <w:rPr>
                <w:sz w:val="20"/>
                <w:szCs w:val="20"/>
              </w:rPr>
            </w:pPr>
            <w:r w:rsidRPr="00D55DC6">
              <w:rPr>
                <w:sz w:val="20"/>
                <w:szCs w:val="20"/>
              </w:rPr>
              <w:t>230,000</w:t>
            </w:r>
          </w:p>
        </w:tc>
        <w:tc>
          <w:tcPr>
            <w:tcW w:w="867" w:type="dxa"/>
            <w:tcBorders>
              <w:top w:val="single" w:sz="4" w:space="0" w:color="auto"/>
              <w:left w:val="nil"/>
              <w:bottom w:val="single" w:sz="4" w:space="0" w:color="auto"/>
              <w:right w:val="single" w:sz="4" w:space="0" w:color="auto"/>
            </w:tcBorders>
            <w:shd w:val="clear" w:color="auto" w:fill="FDE9D9"/>
            <w:noWrap/>
            <w:vAlign w:val="center"/>
            <w:hideMark/>
          </w:tcPr>
          <w:p w:rsidR="00916B62" w:rsidRPr="00D55DC6" w:rsidRDefault="00916B62">
            <w:pPr>
              <w:jc w:val="right"/>
              <w:rPr>
                <w:sz w:val="20"/>
                <w:szCs w:val="20"/>
              </w:rPr>
            </w:pPr>
            <w:r w:rsidRPr="00D55DC6">
              <w:rPr>
                <w:sz w:val="20"/>
                <w:szCs w:val="20"/>
              </w:rPr>
              <w:t>230,000</w:t>
            </w:r>
          </w:p>
        </w:tc>
        <w:tc>
          <w:tcPr>
            <w:tcW w:w="868" w:type="dxa"/>
            <w:tcBorders>
              <w:top w:val="single" w:sz="4" w:space="0" w:color="auto"/>
              <w:left w:val="nil"/>
              <w:bottom w:val="single" w:sz="4" w:space="0" w:color="auto"/>
              <w:right w:val="single" w:sz="4" w:space="0" w:color="auto"/>
            </w:tcBorders>
            <w:shd w:val="clear" w:color="auto" w:fill="FDE9D9"/>
            <w:noWrap/>
            <w:vAlign w:val="center"/>
            <w:hideMark/>
          </w:tcPr>
          <w:p w:rsidR="00916B62" w:rsidRPr="00D55DC6" w:rsidRDefault="00916B62">
            <w:pPr>
              <w:jc w:val="right"/>
              <w:rPr>
                <w:sz w:val="20"/>
                <w:szCs w:val="20"/>
              </w:rPr>
            </w:pPr>
            <w:r w:rsidRPr="00D55DC6">
              <w:rPr>
                <w:sz w:val="20"/>
                <w:szCs w:val="20"/>
              </w:rPr>
              <w:t>230,000</w:t>
            </w:r>
          </w:p>
        </w:tc>
        <w:tc>
          <w:tcPr>
            <w:tcW w:w="867" w:type="dxa"/>
            <w:tcBorders>
              <w:top w:val="single" w:sz="4" w:space="0" w:color="auto"/>
              <w:left w:val="nil"/>
              <w:bottom w:val="single" w:sz="4" w:space="0" w:color="auto"/>
              <w:right w:val="single" w:sz="4" w:space="0" w:color="auto"/>
            </w:tcBorders>
            <w:shd w:val="clear" w:color="auto" w:fill="FDE9D9"/>
            <w:noWrap/>
            <w:vAlign w:val="center"/>
            <w:hideMark/>
          </w:tcPr>
          <w:p w:rsidR="00916B62" w:rsidRPr="00D55DC6" w:rsidRDefault="00916B62">
            <w:pPr>
              <w:jc w:val="right"/>
              <w:rPr>
                <w:sz w:val="20"/>
                <w:szCs w:val="20"/>
              </w:rPr>
            </w:pPr>
            <w:r w:rsidRPr="00D55DC6">
              <w:rPr>
                <w:sz w:val="20"/>
                <w:szCs w:val="20"/>
              </w:rPr>
              <w:t>230,000</w:t>
            </w:r>
          </w:p>
        </w:tc>
        <w:tc>
          <w:tcPr>
            <w:tcW w:w="867" w:type="dxa"/>
            <w:tcBorders>
              <w:top w:val="single" w:sz="4" w:space="0" w:color="auto"/>
              <w:left w:val="nil"/>
              <w:bottom w:val="single" w:sz="4" w:space="0" w:color="auto"/>
              <w:right w:val="single" w:sz="4" w:space="0" w:color="auto"/>
            </w:tcBorders>
            <w:shd w:val="clear" w:color="auto" w:fill="FDE9D9"/>
            <w:noWrap/>
            <w:vAlign w:val="center"/>
            <w:hideMark/>
          </w:tcPr>
          <w:p w:rsidR="00916B62" w:rsidRPr="00D55DC6" w:rsidRDefault="00916B62">
            <w:pPr>
              <w:jc w:val="right"/>
              <w:rPr>
                <w:sz w:val="20"/>
                <w:szCs w:val="20"/>
              </w:rPr>
            </w:pPr>
            <w:r w:rsidRPr="00D55DC6">
              <w:rPr>
                <w:sz w:val="20"/>
                <w:szCs w:val="20"/>
              </w:rPr>
              <w:t>230,000</w:t>
            </w:r>
          </w:p>
        </w:tc>
        <w:tc>
          <w:tcPr>
            <w:tcW w:w="868" w:type="dxa"/>
            <w:tcBorders>
              <w:top w:val="single" w:sz="4" w:space="0" w:color="auto"/>
              <w:left w:val="nil"/>
              <w:bottom w:val="single" w:sz="4" w:space="0" w:color="auto"/>
              <w:right w:val="single" w:sz="4" w:space="0" w:color="auto"/>
            </w:tcBorders>
            <w:shd w:val="clear" w:color="auto" w:fill="FDE9D9"/>
            <w:noWrap/>
            <w:vAlign w:val="center"/>
            <w:hideMark/>
          </w:tcPr>
          <w:p w:rsidR="00916B62" w:rsidRPr="00D55DC6" w:rsidRDefault="00916B62">
            <w:pPr>
              <w:jc w:val="right"/>
              <w:rPr>
                <w:sz w:val="20"/>
                <w:szCs w:val="20"/>
              </w:rPr>
            </w:pPr>
            <w:r w:rsidRPr="00D55DC6">
              <w:rPr>
                <w:sz w:val="20"/>
                <w:szCs w:val="20"/>
              </w:rPr>
              <w:t>230,000</w:t>
            </w:r>
          </w:p>
        </w:tc>
        <w:tc>
          <w:tcPr>
            <w:tcW w:w="868" w:type="dxa"/>
            <w:tcBorders>
              <w:top w:val="single" w:sz="4" w:space="0" w:color="auto"/>
              <w:left w:val="nil"/>
              <w:bottom w:val="single" w:sz="4" w:space="0" w:color="auto"/>
              <w:right w:val="single" w:sz="4" w:space="0" w:color="auto"/>
            </w:tcBorders>
            <w:shd w:val="clear" w:color="auto" w:fill="FDE9D9"/>
          </w:tcPr>
          <w:p w:rsidR="00916B62" w:rsidRPr="00D55DC6" w:rsidRDefault="00916B62" w:rsidP="00346866">
            <w:pPr>
              <w:rPr>
                <w:sz w:val="20"/>
                <w:szCs w:val="20"/>
              </w:rPr>
            </w:pPr>
            <w:r w:rsidRPr="00D55DC6">
              <w:rPr>
                <w:sz w:val="20"/>
                <w:szCs w:val="20"/>
              </w:rPr>
              <w:t>4,625,600</w:t>
            </w:r>
          </w:p>
        </w:tc>
      </w:tr>
      <w:tr w:rsidR="001D0350" w:rsidRPr="00D55DC6" w:rsidTr="00916B62">
        <w:trPr>
          <w:trHeight w:val="330"/>
          <w:jc w:val="center"/>
        </w:trPr>
        <w:tc>
          <w:tcPr>
            <w:tcW w:w="1005" w:type="dxa"/>
            <w:tcBorders>
              <w:top w:val="nil"/>
              <w:left w:val="single" w:sz="4" w:space="0" w:color="auto"/>
              <w:bottom w:val="single" w:sz="4" w:space="0" w:color="auto"/>
              <w:right w:val="single" w:sz="4" w:space="0" w:color="auto"/>
            </w:tcBorders>
            <w:shd w:val="clear" w:color="auto" w:fill="FFFFFF"/>
            <w:noWrap/>
            <w:vAlign w:val="center"/>
            <w:hideMark/>
          </w:tcPr>
          <w:p w:rsidR="00916B62" w:rsidRPr="00D55DC6" w:rsidRDefault="00916B62" w:rsidP="00916B62">
            <w:pPr>
              <w:widowControl/>
              <w:jc w:val="both"/>
              <w:rPr>
                <w:rFonts w:eastAsia="標楷體"/>
                <w:b/>
                <w:kern w:val="0"/>
                <w:sz w:val="20"/>
                <w:szCs w:val="20"/>
              </w:rPr>
            </w:pPr>
            <w:r w:rsidRPr="00D55DC6">
              <w:rPr>
                <w:rFonts w:eastAsia="標楷體"/>
                <w:b/>
                <w:kern w:val="0"/>
                <w:sz w:val="20"/>
                <w:szCs w:val="20"/>
              </w:rPr>
              <w:t>收入</w:t>
            </w:r>
          </w:p>
        </w:tc>
        <w:tc>
          <w:tcPr>
            <w:tcW w:w="867"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23,574</w:t>
            </w:r>
          </w:p>
        </w:tc>
        <w:tc>
          <w:tcPr>
            <w:tcW w:w="867"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24,044</w:t>
            </w:r>
          </w:p>
        </w:tc>
        <w:tc>
          <w:tcPr>
            <w:tcW w:w="867"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24,433</w:t>
            </w:r>
          </w:p>
        </w:tc>
        <w:tc>
          <w:tcPr>
            <w:tcW w:w="868"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26,693</w:t>
            </w:r>
          </w:p>
        </w:tc>
        <w:tc>
          <w:tcPr>
            <w:tcW w:w="867"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26,914</w:t>
            </w:r>
          </w:p>
        </w:tc>
        <w:tc>
          <w:tcPr>
            <w:tcW w:w="867"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27,234</w:t>
            </w:r>
          </w:p>
        </w:tc>
        <w:tc>
          <w:tcPr>
            <w:tcW w:w="868"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27,458</w:t>
            </w:r>
          </w:p>
        </w:tc>
        <w:tc>
          <w:tcPr>
            <w:tcW w:w="867"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27,712</w:t>
            </w:r>
          </w:p>
        </w:tc>
        <w:tc>
          <w:tcPr>
            <w:tcW w:w="867"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27,988</w:t>
            </w:r>
          </w:p>
        </w:tc>
        <w:tc>
          <w:tcPr>
            <w:tcW w:w="868" w:type="dxa"/>
            <w:tcBorders>
              <w:top w:val="nil"/>
              <w:left w:val="nil"/>
              <w:bottom w:val="sing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28,165</w:t>
            </w:r>
          </w:p>
        </w:tc>
        <w:tc>
          <w:tcPr>
            <w:tcW w:w="868" w:type="dxa"/>
            <w:tcBorders>
              <w:top w:val="nil"/>
              <w:left w:val="nil"/>
              <w:bottom w:val="single" w:sz="4" w:space="0" w:color="auto"/>
              <w:right w:val="single" w:sz="4" w:space="0" w:color="auto"/>
            </w:tcBorders>
            <w:shd w:val="clear" w:color="auto" w:fill="FFFFFF"/>
          </w:tcPr>
          <w:p w:rsidR="00916B62" w:rsidRPr="00D55DC6" w:rsidRDefault="00916B62" w:rsidP="00916B62">
            <w:pPr>
              <w:jc w:val="right"/>
            </w:pPr>
            <w:r w:rsidRPr="00D55DC6">
              <w:rPr>
                <w:sz w:val="20"/>
              </w:rPr>
              <w:t>441,731</w:t>
            </w:r>
          </w:p>
        </w:tc>
      </w:tr>
      <w:tr w:rsidR="001D0350" w:rsidRPr="00D55DC6" w:rsidTr="00916B62">
        <w:trPr>
          <w:trHeight w:val="330"/>
          <w:jc w:val="center"/>
        </w:trPr>
        <w:tc>
          <w:tcPr>
            <w:tcW w:w="1005" w:type="dxa"/>
            <w:tcBorders>
              <w:top w:val="nil"/>
              <w:left w:val="single" w:sz="4" w:space="0" w:color="auto"/>
              <w:bottom w:val="double" w:sz="4" w:space="0" w:color="auto"/>
              <w:right w:val="single" w:sz="4" w:space="0" w:color="auto"/>
            </w:tcBorders>
            <w:shd w:val="clear" w:color="auto" w:fill="FFFFFF"/>
            <w:noWrap/>
            <w:vAlign w:val="center"/>
            <w:hideMark/>
          </w:tcPr>
          <w:p w:rsidR="00916B62" w:rsidRPr="00D55DC6" w:rsidRDefault="00916B62">
            <w:pPr>
              <w:widowControl/>
              <w:jc w:val="both"/>
              <w:rPr>
                <w:rFonts w:eastAsia="標楷體"/>
                <w:b/>
                <w:kern w:val="0"/>
                <w:sz w:val="20"/>
                <w:szCs w:val="20"/>
              </w:rPr>
            </w:pPr>
            <w:r w:rsidRPr="00D55DC6">
              <w:rPr>
                <w:rFonts w:eastAsia="標楷體"/>
                <w:b/>
                <w:kern w:val="0"/>
                <w:sz w:val="20"/>
                <w:szCs w:val="20"/>
              </w:rPr>
              <w:t>收支比</w:t>
            </w:r>
          </w:p>
        </w:tc>
        <w:tc>
          <w:tcPr>
            <w:tcW w:w="867" w:type="dxa"/>
            <w:tcBorders>
              <w:top w:val="nil"/>
              <w:left w:val="nil"/>
              <w:bottom w:val="doub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10.25%</w:t>
            </w:r>
          </w:p>
        </w:tc>
        <w:tc>
          <w:tcPr>
            <w:tcW w:w="867" w:type="dxa"/>
            <w:tcBorders>
              <w:top w:val="nil"/>
              <w:left w:val="nil"/>
              <w:bottom w:val="doub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10.45%</w:t>
            </w:r>
          </w:p>
        </w:tc>
        <w:tc>
          <w:tcPr>
            <w:tcW w:w="867" w:type="dxa"/>
            <w:tcBorders>
              <w:top w:val="nil"/>
              <w:left w:val="nil"/>
              <w:bottom w:val="doub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10.62%</w:t>
            </w:r>
          </w:p>
        </w:tc>
        <w:tc>
          <w:tcPr>
            <w:tcW w:w="868" w:type="dxa"/>
            <w:tcBorders>
              <w:top w:val="nil"/>
              <w:left w:val="nil"/>
              <w:bottom w:val="doub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11.61%</w:t>
            </w:r>
          </w:p>
        </w:tc>
        <w:tc>
          <w:tcPr>
            <w:tcW w:w="867" w:type="dxa"/>
            <w:tcBorders>
              <w:top w:val="nil"/>
              <w:left w:val="nil"/>
              <w:bottom w:val="doub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11.70%</w:t>
            </w:r>
          </w:p>
        </w:tc>
        <w:tc>
          <w:tcPr>
            <w:tcW w:w="867" w:type="dxa"/>
            <w:tcBorders>
              <w:top w:val="nil"/>
              <w:left w:val="nil"/>
              <w:bottom w:val="doub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11.84%</w:t>
            </w:r>
          </w:p>
        </w:tc>
        <w:tc>
          <w:tcPr>
            <w:tcW w:w="868" w:type="dxa"/>
            <w:tcBorders>
              <w:top w:val="nil"/>
              <w:left w:val="nil"/>
              <w:bottom w:val="doub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11.94%</w:t>
            </w:r>
          </w:p>
        </w:tc>
        <w:tc>
          <w:tcPr>
            <w:tcW w:w="867" w:type="dxa"/>
            <w:tcBorders>
              <w:top w:val="nil"/>
              <w:left w:val="nil"/>
              <w:bottom w:val="doub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12.05%</w:t>
            </w:r>
          </w:p>
        </w:tc>
        <w:tc>
          <w:tcPr>
            <w:tcW w:w="867" w:type="dxa"/>
            <w:tcBorders>
              <w:top w:val="nil"/>
              <w:left w:val="nil"/>
              <w:bottom w:val="doub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12.17%</w:t>
            </w:r>
          </w:p>
        </w:tc>
        <w:tc>
          <w:tcPr>
            <w:tcW w:w="868" w:type="dxa"/>
            <w:tcBorders>
              <w:top w:val="nil"/>
              <w:left w:val="nil"/>
              <w:bottom w:val="double" w:sz="4" w:space="0" w:color="auto"/>
              <w:right w:val="single" w:sz="4" w:space="0" w:color="auto"/>
            </w:tcBorders>
            <w:shd w:val="clear" w:color="auto" w:fill="FFFFFF"/>
            <w:noWrap/>
            <w:vAlign w:val="center"/>
            <w:hideMark/>
          </w:tcPr>
          <w:p w:rsidR="00916B62" w:rsidRPr="00D55DC6" w:rsidRDefault="00916B62">
            <w:pPr>
              <w:jc w:val="right"/>
              <w:rPr>
                <w:sz w:val="20"/>
                <w:szCs w:val="20"/>
              </w:rPr>
            </w:pPr>
            <w:r w:rsidRPr="00D55DC6">
              <w:rPr>
                <w:sz w:val="20"/>
                <w:szCs w:val="20"/>
              </w:rPr>
              <w:t>12.25%</w:t>
            </w:r>
          </w:p>
        </w:tc>
        <w:tc>
          <w:tcPr>
            <w:tcW w:w="868" w:type="dxa"/>
            <w:tcBorders>
              <w:top w:val="nil"/>
              <w:left w:val="nil"/>
              <w:bottom w:val="double" w:sz="4" w:space="0" w:color="auto"/>
              <w:right w:val="single" w:sz="4" w:space="0" w:color="auto"/>
            </w:tcBorders>
            <w:shd w:val="clear" w:color="auto" w:fill="FFFFFF"/>
          </w:tcPr>
          <w:p w:rsidR="00916B62" w:rsidRPr="00D55DC6" w:rsidRDefault="00916B62" w:rsidP="00916B62">
            <w:pPr>
              <w:jc w:val="right"/>
            </w:pPr>
            <w:r w:rsidRPr="00D55DC6">
              <w:t>9.55%</w:t>
            </w:r>
          </w:p>
        </w:tc>
      </w:tr>
      <w:tr w:rsidR="001D0350" w:rsidRPr="00D55DC6" w:rsidTr="00346866">
        <w:trPr>
          <w:trHeight w:val="330"/>
          <w:jc w:val="center"/>
        </w:trPr>
        <w:tc>
          <w:tcPr>
            <w:tcW w:w="1005" w:type="dxa"/>
            <w:tcBorders>
              <w:top w:val="double" w:sz="4" w:space="0" w:color="auto"/>
              <w:left w:val="single" w:sz="4" w:space="0" w:color="auto"/>
              <w:bottom w:val="single" w:sz="4" w:space="0" w:color="auto"/>
              <w:right w:val="single" w:sz="4" w:space="0" w:color="auto"/>
            </w:tcBorders>
            <w:shd w:val="clear" w:color="auto" w:fill="FFFFCC"/>
            <w:noWrap/>
            <w:vAlign w:val="center"/>
            <w:hideMark/>
          </w:tcPr>
          <w:p w:rsidR="00916B62" w:rsidRPr="00D55DC6" w:rsidRDefault="00916B62">
            <w:pPr>
              <w:widowControl/>
              <w:jc w:val="both"/>
              <w:rPr>
                <w:rFonts w:eastAsia="標楷體"/>
                <w:b/>
                <w:bCs/>
                <w:kern w:val="0"/>
                <w:sz w:val="20"/>
                <w:szCs w:val="20"/>
              </w:rPr>
            </w:pPr>
            <w:r w:rsidRPr="00D55DC6">
              <w:rPr>
                <w:rFonts w:eastAsia="標楷體"/>
                <w:b/>
                <w:bCs/>
                <w:kern w:val="0"/>
                <w:sz w:val="20"/>
                <w:szCs w:val="20"/>
              </w:rPr>
              <w:t>投資現值</w:t>
            </w:r>
          </w:p>
        </w:tc>
        <w:tc>
          <w:tcPr>
            <w:tcW w:w="9541" w:type="dxa"/>
            <w:gridSpan w:val="11"/>
            <w:tcBorders>
              <w:top w:val="double" w:sz="4" w:space="0" w:color="auto"/>
              <w:left w:val="nil"/>
              <w:bottom w:val="single" w:sz="4" w:space="0" w:color="auto"/>
              <w:right w:val="single" w:sz="4" w:space="0" w:color="auto"/>
            </w:tcBorders>
            <w:shd w:val="clear" w:color="auto" w:fill="FFFFCC"/>
            <w:noWrap/>
            <w:vAlign w:val="center"/>
            <w:hideMark/>
          </w:tcPr>
          <w:p w:rsidR="00916B62" w:rsidRPr="00D55DC6" w:rsidRDefault="00916B62" w:rsidP="00916B62">
            <w:pPr>
              <w:widowControl/>
              <w:autoSpaceDE w:val="0"/>
              <w:autoSpaceDN w:val="0"/>
              <w:adjustRightInd w:val="0"/>
              <w:snapToGrid w:val="0"/>
              <w:ind w:left="511" w:hangingChars="213" w:hanging="511"/>
              <w:jc w:val="both"/>
            </w:pPr>
            <w:r w:rsidRPr="00D55DC6">
              <w:t>3,484,433</w:t>
            </w:r>
            <w:r w:rsidRPr="00D55DC6">
              <w:rPr>
                <w:rFonts w:eastAsia="標楷體"/>
              </w:rPr>
              <w:t xml:space="preserve">  </w:t>
            </w:r>
          </w:p>
        </w:tc>
      </w:tr>
      <w:tr w:rsidR="001D0350" w:rsidRPr="00D55DC6" w:rsidTr="00346866">
        <w:trPr>
          <w:trHeight w:val="58"/>
          <w:jc w:val="center"/>
        </w:trPr>
        <w:tc>
          <w:tcPr>
            <w:tcW w:w="1005" w:type="dxa"/>
            <w:tcBorders>
              <w:top w:val="nil"/>
              <w:left w:val="single" w:sz="4" w:space="0" w:color="auto"/>
              <w:bottom w:val="single" w:sz="4" w:space="0" w:color="auto"/>
              <w:right w:val="single" w:sz="4" w:space="0" w:color="auto"/>
            </w:tcBorders>
            <w:shd w:val="clear" w:color="auto" w:fill="FFFFCC"/>
            <w:noWrap/>
            <w:vAlign w:val="center"/>
            <w:hideMark/>
          </w:tcPr>
          <w:p w:rsidR="00916B62" w:rsidRPr="00D55DC6" w:rsidRDefault="00916B62">
            <w:pPr>
              <w:widowControl/>
              <w:jc w:val="both"/>
              <w:rPr>
                <w:rFonts w:eastAsia="標楷體"/>
                <w:b/>
                <w:bCs/>
                <w:kern w:val="0"/>
                <w:sz w:val="20"/>
                <w:szCs w:val="20"/>
              </w:rPr>
            </w:pPr>
            <w:r w:rsidRPr="00D55DC6">
              <w:rPr>
                <w:rFonts w:eastAsia="標楷體"/>
                <w:b/>
                <w:bCs/>
                <w:kern w:val="0"/>
                <w:sz w:val="20"/>
                <w:szCs w:val="20"/>
              </w:rPr>
              <w:t>收益現值</w:t>
            </w:r>
          </w:p>
        </w:tc>
        <w:tc>
          <w:tcPr>
            <w:tcW w:w="9541" w:type="dxa"/>
            <w:gridSpan w:val="11"/>
            <w:tcBorders>
              <w:top w:val="nil"/>
              <w:left w:val="nil"/>
              <w:bottom w:val="single" w:sz="4" w:space="0" w:color="auto"/>
              <w:right w:val="single" w:sz="4" w:space="0" w:color="auto"/>
            </w:tcBorders>
            <w:shd w:val="clear" w:color="auto" w:fill="FFFFCC"/>
            <w:noWrap/>
            <w:vAlign w:val="center"/>
            <w:hideMark/>
          </w:tcPr>
          <w:p w:rsidR="00916B62" w:rsidRPr="00D55DC6" w:rsidRDefault="00916B62" w:rsidP="00916B62">
            <w:r w:rsidRPr="00D55DC6">
              <w:t xml:space="preserve">319,686 </w:t>
            </w:r>
          </w:p>
        </w:tc>
      </w:tr>
      <w:tr w:rsidR="001D0350" w:rsidRPr="00D55DC6" w:rsidTr="00346866">
        <w:trPr>
          <w:trHeight w:val="330"/>
          <w:jc w:val="center"/>
        </w:trPr>
        <w:tc>
          <w:tcPr>
            <w:tcW w:w="1005" w:type="dxa"/>
            <w:tcBorders>
              <w:top w:val="nil"/>
              <w:left w:val="single" w:sz="4" w:space="0" w:color="auto"/>
              <w:bottom w:val="single" w:sz="4" w:space="0" w:color="auto"/>
              <w:right w:val="single" w:sz="4" w:space="0" w:color="auto"/>
            </w:tcBorders>
            <w:shd w:val="clear" w:color="auto" w:fill="FDE9D9"/>
            <w:noWrap/>
            <w:vAlign w:val="center"/>
            <w:hideMark/>
          </w:tcPr>
          <w:p w:rsidR="00916B62" w:rsidRPr="00D55DC6" w:rsidRDefault="00916B62">
            <w:pPr>
              <w:widowControl/>
              <w:jc w:val="both"/>
              <w:rPr>
                <w:rFonts w:eastAsia="標楷體"/>
                <w:b/>
                <w:kern w:val="0"/>
                <w:sz w:val="20"/>
                <w:szCs w:val="20"/>
              </w:rPr>
            </w:pPr>
            <w:r w:rsidRPr="00D55DC6">
              <w:rPr>
                <w:rFonts w:eastAsia="標楷體"/>
                <w:b/>
                <w:kern w:val="0"/>
                <w:sz w:val="20"/>
                <w:szCs w:val="20"/>
              </w:rPr>
              <w:t>自償率</w:t>
            </w:r>
          </w:p>
        </w:tc>
        <w:tc>
          <w:tcPr>
            <w:tcW w:w="9541" w:type="dxa"/>
            <w:gridSpan w:val="11"/>
            <w:tcBorders>
              <w:top w:val="nil"/>
              <w:left w:val="nil"/>
              <w:bottom w:val="single" w:sz="4" w:space="0" w:color="auto"/>
              <w:right w:val="single" w:sz="4" w:space="0" w:color="auto"/>
            </w:tcBorders>
            <w:shd w:val="clear" w:color="auto" w:fill="FDE9D9"/>
            <w:noWrap/>
            <w:vAlign w:val="center"/>
            <w:hideMark/>
          </w:tcPr>
          <w:p w:rsidR="00916B62" w:rsidRPr="00D55DC6" w:rsidRDefault="00916B62">
            <w:r w:rsidRPr="00D55DC6">
              <w:t>9.17%</w:t>
            </w:r>
          </w:p>
        </w:tc>
      </w:tr>
    </w:tbl>
    <w:p w:rsidR="00682D08" w:rsidRPr="00D55DC6" w:rsidRDefault="00682D08" w:rsidP="00682D08">
      <w:pPr>
        <w:pStyle w:val="a"/>
        <w:numPr>
          <w:ilvl w:val="0"/>
          <w:numId w:val="0"/>
        </w:numPr>
        <w:ind w:left="1189"/>
      </w:pPr>
    </w:p>
    <w:p w:rsidR="00682D08" w:rsidRPr="00D55DC6" w:rsidRDefault="00682D08" w:rsidP="004865C1">
      <w:pPr>
        <w:pStyle w:val="a"/>
        <w:numPr>
          <w:ilvl w:val="0"/>
          <w:numId w:val="166"/>
        </w:numPr>
      </w:pPr>
      <w:bookmarkStart w:id="174" w:name="_Toc407181733"/>
      <w:r w:rsidRPr="00D55DC6">
        <w:t>本計畫範圍位於海岸山脈與太平洋交界，靠山處地勢陡峭而臨海處受颱風巨浪侵蝕，可開發腹地有限；且轄區內眾多土地屬於全國區域計畫</w:t>
      </w:r>
      <w:r w:rsidRPr="00D55DC6">
        <w:t>(</w:t>
      </w:r>
      <w:r w:rsidRPr="00D55DC6">
        <w:t>草案中</w:t>
      </w:r>
      <w:r w:rsidRPr="00D55DC6">
        <w:t>)</w:t>
      </w:r>
      <w:r w:rsidRPr="00D55DC6">
        <w:t>環境敏感地區，故無法</w:t>
      </w:r>
      <w:r w:rsidR="00C90460" w:rsidRPr="00D55DC6">
        <w:t>採行</w:t>
      </w:r>
      <w:r w:rsidRPr="00D55DC6">
        <w:t>西部地區以大型的投資建設提升自償率之模式。</w:t>
      </w:r>
      <w:bookmarkEnd w:id="174"/>
    </w:p>
    <w:p w:rsidR="00F14092" w:rsidRPr="00D55DC6" w:rsidRDefault="00F14092" w:rsidP="004865C1">
      <w:pPr>
        <w:pStyle w:val="a"/>
        <w:numPr>
          <w:ilvl w:val="0"/>
          <w:numId w:val="166"/>
        </w:numPr>
      </w:pPr>
      <w:bookmarkStart w:id="175" w:name="_Toc407181734"/>
      <w:r w:rsidRPr="00D55DC6">
        <w:t>本國家風景區範圍除綠島外均屬原住民族地區，轄內原住民族地區佔全區面積達</w:t>
      </w:r>
      <w:r w:rsidRPr="00D55DC6">
        <w:t>90%</w:t>
      </w:r>
      <w:r w:rsidRPr="00D55DC6">
        <w:t>以上。為扶植及促進當地原住民族產業發展，各項租金不宜做大幅提高，相對此部分自償率亦無法大幅提升。</w:t>
      </w:r>
    </w:p>
    <w:p w:rsidR="00682D08" w:rsidRPr="00D55DC6" w:rsidRDefault="00682D08" w:rsidP="004865C1">
      <w:pPr>
        <w:pStyle w:val="a"/>
        <w:numPr>
          <w:ilvl w:val="0"/>
          <w:numId w:val="166"/>
        </w:numPr>
      </w:pPr>
      <w:r w:rsidRPr="00D55DC6">
        <w:t>未來將以新增租金</w:t>
      </w:r>
      <w:r w:rsidR="00C90460" w:rsidRPr="00D55DC6">
        <w:t>、</w:t>
      </w:r>
      <w:r w:rsidRPr="00D55DC6">
        <w:t>清潔費、跨域合作及創新收益等方式增加收入，但考量長期計畫可能存在相關環境保護、文化資產及土地使用相關法規限制，跨域合作回饋所需法規配套仍需研議，而台電太陽光電躉購費率可能降低等眾多不確定風險特性，爰仍需持續依實際推動現況</w:t>
      </w:r>
      <w:r w:rsidR="00CD626F" w:rsidRPr="00D55DC6">
        <w:t>，滾動式檢討與調整</w:t>
      </w:r>
      <w:r w:rsidRPr="00D55DC6">
        <w:t>。</w:t>
      </w:r>
      <w:bookmarkEnd w:id="175"/>
    </w:p>
    <w:p w:rsidR="00682D08" w:rsidRPr="00D55DC6" w:rsidRDefault="00682D08" w:rsidP="00682D08">
      <w:pPr>
        <w:pStyle w:val="a"/>
        <w:ind w:left="709" w:hanging="709"/>
        <w:rPr>
          <w:b/>
        </w:rPr>
      </w:pPr>
      <w:bookmarkStart w:id="176" w:name="_Toc407181735"/>
      <w:r w:rsidRPr="00D55DC6">
        <w:rPr>
          <w:b/>
        </w:rPr>
        <w:lastRenderedPageBreak/>
        <w:t>附則</w:t>
      </w:r>
      <w:bookmarkEnd w:id="176"/>
    </w:p>
    <w:p w:rsidR="00682D08" w:rsidRPr="00D55DC6" w:rsidRDefault="00682D08" w:rsidP="004865C1">
      <w:pPr>
        <w:pStyle w:val="af2"/>
        <w:numPr>
          <w:ilvl w:val="0"/>
          <w:numId w:val="185"/>
        </w:numPr>
        <w:snapToGrid w:val="0"/>
        <w:spacing w:line="460" w:lineRule="exact"/>
        <w:ind w:leftChars="0"/>
        <w:jc w:val="both"/>
        <w:rPr>
          <w:rFonts w:eastAsia="標楷體"/>
          <w:b/>
          <w:sz w:val="28"/>
          <w:szCs w:val="28"/>
        </w:rPr>
      </w:pPr>
      <w:r w:rsidRPr="00D55DC6">
        <w:rPr>
          <w:rFonts w:eastAsia="標楷體"/>
          <w:b/>
          <w:sz w:val="28"/>
          <w:szCs w:val="28"/>
        </w:rPr>
        <w:t>風險評估</w:t>
      </w:r>
    </w:p>
    <w:p w:rsidR="00682D08" w:rsidRPr="00D55DC6" w:rsidRDefault="00682D08" w:rsidP="00682D08">
      <w:pPr>
        <w:snapToGrid w:val="0"/>
        <w:spacing w:line="460" w:lineRule="exact"/>
        <w:ind w:leftChars="354" w:left="850"/>
        <w:jc w:val="both"/>
        <w:rPr>
          <w:rFonts w:eastAsia="標楷體"/>
          <w:sz w:val="28"/>
          <w:szCs w:val="28"/>
        </w:rPr>
      </w:pPr>
      <w:r w:rsidRPr="00D55DC6">
        <w:rPr>
          <w:rFonts w:eastAsia="標楷體"/>
          <w:sz w:val="28"/>
          <w:szCs w:val="28"/>
        </w:rPr>
        <w:t>東部海岸緊鄰太平洋，夏季常因太平洋熱帶氣旋於菲律賓及關島外海發展成颱風，造成管理處經管設施因颱風所帶來的強風及豪雨造成損害；台灣東部恰處於歐亞大陸板塊與菲律賓海板塊的交界處，故其地震活動甚為頻繁，雖因其多發生在外海，所以造成的災害相對地較小，但仍有震央位於東部內陸情形；以上天然災害可能影響管理處建設進度，增加維護成本、降低民間投資意願及自償率達成情形。</w:t>
      </w:r>
    </w:p>
    <w:p w:rsidR="00F14092" w:rsidRPr="00D55DC6" w:rsidRDefault="00F14092" w:rsidP="00682D08">
      <w:pPr>
        <w:snapToGrid w:val="0"/>
        <w:spacing w:line="460" w:lineRule="exact"/>
        <w:ind w:leftChars="354" w:left="850"/>
        <w:jc w:val="both"/>
        <w:rPr>
          <w:rFonts w:eastAsia="標楷體"/>
          <w:sz w:val="28"/>
          <w:szCs w:val="28"/>
        </w:rPr>
      </w:pPr>
    </w:p>
    <w:p w:rsidR="00682D08" w:rsidRPr="00D55DC6" w:rsidRDefault="00682D08" w:rsidP="004865C1">
      <w:pPr>
        <w:pStyle w:val="af2"/>
        <w:numPr>
          <w:ilvl w:val="0"/>
          <w:numId w:val="185"/>
        </w:numPr>
        <w:snapToGrid w:val="0"/>
        <w:spacing w:line="460" w:lineRule="exact"/>
        <w:ind w:leftChars="0"/>
        <w:jc w:val="both"/>
        <w:rPr>
          <w:rFonts w:eastAsia="標楷體"/>
          <w:b/>
          <w:sz w:val="28"/>
          <w:szCs w:val="28"/>
        </w:rPr>
      </w:pPr>
      <w:r w:rsidRPr="00D55DC6">
        <w:rPr>
          <w:rFonts w:eastAsia="標楷體"/>
          <w:b/>
          <w:sz w:val="28"/>
          <w:szCs w:val="28"/>
        </w:rPr>
        <w:t>相關機關配合事項</w:t>
      </w:r>
    </w:p>
    <w:p w:rsidR="00682D08" w:rsidRPr="00D55DC6" w:rsidRDefault="00682D08" w:rsidP="00682D08">
      <w:pPr>
        <w:snapToGrid w:val="0"/>
        <w:spacing w:line="460" w:lineRule="exact"/>
        <w:ind w:leftChars="354" w:left="850"/>
        <w:jc w:val="both"/>
        <w:rPr>
          <w:rFonts w:eastAsia="標楷體"/>
          <w:sz w:val="28"/>
          <w:szCs w:val="28"/>
        </w:rPr>
      </w:pPr>
      <w:r w:rsidRPr="00D55DC6">
        <w:rPr>
          <w:rFonts w:eastAsia="標楷體"/>
          <w:sz w:val="28"/>
          <w:szCs w:val="28"/>
        </w:rPr>
        <w:t>本計畫之執行，需與下列機關溝通協調，配合辦理事項如下：</w:t>
      </w:r>
    </w:p>
    <w:p w:rsidR="00682D08" w:rsidRPr="00D55DC6" w:rsidRDefault="00682D08" w:rsidP="00682D08">
      <w:pPr>
        <w:snapToGrid w:val="0"/>
        <w:spacing w:line="460" w:lineRule="exact"/>
        <w:ind w:leftChars="354" w:left="850"/>
        <w:jc w:val="both"/>
        <w:rPr>
          <w:rFonts w:eastAsia="標楷體"/>
          <w:sz w:val="28"/>
          <w:szCs w:val="28"/>
        </w:rPr>
      </w:pPr>
      <w:r w:rsidRPr="00D55DC6">
        <w:rPr>
          <w:rFonts w:eastAsia="標楷體"/>
          <w:sz w:val="28"/>
          <w:szCs w:val="28"/>
        </w:rPr>
        <w:t>1.</w:t>
      </w:r>
      <w:r w:rsidRPr="00D55DC6">
        <w:rPr>
          <w:rFonts w:eastAsia="標楷體"/>
          <w:sz w:val="28"/>
          <w:szCs w:val="28"/>
        </w:rPr>
        <w:t>公務機關：</w:t>
      </w:r>
    </w:p>
    <w:p w:rsidR="00682D08" w:rsidRPr="00D55DC6" w:rsidRDefault="00682D08" w:rsidP="004865C1">
      <w:pPr>
        <w:pStyle w:val="af2"/>
        <w:numPr>
          <w:ilvl w:val="0"/>
          <w:numId w:val="162"/>
        </w:numPr>
        <w:snapToGrid w:val="0"/>
        <w:spacing w:line="460" w:lineRule="exact"/>
        <w:ind w:leftChars="0" w:left="1418"/>
        <w:jc w:val="both"/>
        <w:rPr>
          <w:rFonts w:eastAsia="標楷體"/>
          <w:sz w:val="28"/>
          <w:szCs w:val="28"/>
        </w:rPr>
      </w:pPr>
      <w:r w:rsidRPr="00D55DC6">
        <w:rPr>
          <w:rFonts w:eastAsia="標楷體"/>
          <w:sz w:val="28"/>
          <w:szCs w:val="28"/>
        </w:rPr>
        <w:t>交通部公路總局：維護景點聯外交通設施安全便利及景觀美化。</w:t>
      </w:r>
    </w:p>
    <w:p w:rsidR="00682D08" w:rsidRPr="00D55DC6" w:rsidRDefault="00682D08" w:rsidP="004865C1">
      <w:pPr>
        <w:pStyle w:val="af2"/>
        <w:numPr>
          <w:ilvl w:val="0"/>
          <w:numId w:val="162"/>
        </w:numPr>
        <w:snapToGrid w:val="0"/>
        <w:spacing w:line="460" w:lineRule="exact"/>
        <w:ind w:leftChars="0" w:left="1418"/>
        <w:jc w:val="both"/>
        <w:rPr>
          <w:rFonts w:eastAsia="標楷體"/>
          <w:sz w:val="28"/>
          <w:szCs w:val="28"/>
        </w:rPr>
      </w:pPr>
      <w:r w:rsidRPr="00D55DC6">
        <w:rPr>
          <w:rFonts w:eastAsia="標楷體"/>
          <w:sz w:val="28"/>
          <w:szCs w:val="28"/>
        </w:rPr>
        <w:t>原住民</w:t>
      </w:r>
      <w:r w:rsidR="00B309E2" w:rsidRPr="00D55DC6">
        <w:rPr>
          <w:rFonts w:eastAsia="標楷體" w:hint="eastAsia"/>
          <w:sz w:val="28"/>
          <w:szCs w:val="28"/>
        </w:rPr>
        <w:t>族</w:t>
      </w:r>
      <w:r w:rsidRPr="00D55DC6">
        <w:rPr>
          <w:rFonts w:eastAsia="標楷體"/>
          <w:sz w:val="28"/>
          <w:szCs w:val="28"/>
        </w:rPr>
        <w:t>委員會：推動原住民族地區產業經濟發展。</w:t>
      </w:r>
    </w:p>
    <w:p w:rsidR="00682D08" w:rsidRPr="00D55DC6" w:rsidRDefault="00682D08" w:rsidP="004865C1">
      <w:pPr>
        <w:pStyle w:val="af2"/>
        <w:numPr>
          <w:ilvl w:val="0"/>
          <w:numId w:val="162"/>
        </w:numPr>
        <w:snapToGrid w:val="0"/>
        <w:spacing w:line="460" w:lineRule="exact"/>
        <w:ind w:leftChars="0" w:left="1418"/>
        <w:jc w:val="both"/>
        <w:rPr>
          <w:rFonts w:eastAsia="標楷體"/>
          <w:sz w:val="28"/>
          <w:szCs w:val="28"/>
        </w:rPr>
      </w:pPr>
      <w:r w:rsidRPr="00D55DC6">
        <w:rPr>
          <w:rFonts w:eastAsia="標楷體"/>
          <w:sz w:val="28"/>
          <w:szCs w:val="28"/>
        </w:rPr>
        <w:t>文化部：文化資產如史前文化遺址、文化景觀及歷史建築等保存。</w:t>
      </w:r>
    </w:p>
    <w:p w:rsidR="00682D08" w:rsidRPr="00D55DC6" w:rsidRDefault="00682D08" w:rsidP="004865C1">
      <w:pPr>
        <w:pStyle w:val="af2"/>
        <w:numPr>
          <w:ilvl w:val="0"/>
          <w:numId w:val="162"/>
        </w:numPr>
        <w:snapToGrid w:val="0"/>
        <w:spacing w:line="460" w:lineRule="exact"/>
        <w:ind w:leftChars="0" w:left="1418"/>
        <w:jc w:val="both"/>
        <w:rPr>
          <w:rFonts w:eastAsia="標楷體"/>
          <w:sz w:val="28"/>
          <w:szCs w:val="28"/>
        </w:rPr>
      </w:pPr>
      <w:r w:rsidRPr="00D55DC6">
        <w:rPr>
          <w:rFonts w:eastAsia="標楷體"/>
          <w:sz w:val="28"/>
          <w:szCs w:val="28"/>
        </w:rPr>
        <w:t>內政部營建署：各區建設用地之都計變更相關事宜。</w:t>
      </w:r>
    </w:p>
    <w:p w:rsidR="00682D08" w:rsidRPr="00D55DC6" w:rsidRDefault="00E567B6" w:rsidP="004865C1">
      <w:pPr>
        <w:pStyle w:val="af2"/>
        <w:numPr>
          <w:ilvl w:val="0"/>
          <w:numId w:val="162"/>
        </w:numPr>
        <w:snapToGrid w:val="0"/>
        <w:spacing w:line="460" w:lineRule="exact"/>
        <w:ind w:leftChars="0" w:left="1418"/>
        <w:jc w:val="both"/>
        <w:rPr>
          <w:rFonts w:eastAsia="標楷體"/>
          <w:sz w:val="28"/>
          <w:szCs w:val="28"/>
        </w:rPr>
      </w:pPr>
      <w:r w:rsidRPr="00D55DC6">
        <w:rPr>
          <w:rFonts w:eastAsia="標楷體"/>
          <w:sz w:val="28"/>
          <w:szCs w:val="28"/>
        </w:rPr>
        <w:t>行政院海岸</w:t>
      </w:r>
      <w:r w:rsidR="00682D08" w:rsidRPr="00D55DC6">
        <w:rPr>
          <w:rFonts w:eastAsia="標楷體"/>
          <w:sz w:val="28"/>
          <w:szCs w:val="28"/>
        </w:rPr>
        <w:t>巡</w:t>
      </w:r>
      <w:r w:rsidRPr="00D55DC6">
        <w:rPr>
          <w:rFonts w:eastAsia="標楷體"/>
          <w:sz w:val="28"/>
          <w:szCs w:val="28"/>
        </w:rPr>
        <w:t>防</w:t>
      </w:r>
      <w:r w:rsidR="00682D08" w:rsidRPr="00D55DC6">
        <w:rPr>
          <w:rFonts w:eastAsia="標楷體"/>
          <w:sz w:val="28"/>
          <w:szCs w:val="28"/>
        </w:rPr>
        <w:t>署</w:t>
      </w:r>
      <w:r w:rsidRPr="00D55DC6">
        <w:rPr>
          <w:rFonts w:eastAsia="標楷體"/>
          <w:sz w:val="28"/>
          <w:szCs w:val="28"/>
        </w:rPr>
        <w:t>及內政部消防署</w:t>
      </w:r>
      <w:r w:rsidR="00682D08" w:rsidRPr="00D55DC6">
        <w:rPr>
          <w:rFonts w:eastAsia="標楷體"/>
          <w:sz w:val="28"/>
          <w:szCs w:val="28"/>
        </w:rPr>
        <w:t>：水域遊憩活動範圍協調及緊急救難事宜。</w:t>
      </w:r>
    </w:p>
    <w:p w:rsidR="00682D08" w:rsidRPr="00D55DC6" w:rsidRDefault="00682D08" w:rsidP="004865C1">
      <w:pPr>
        <w:pStyle w:val="af2"/>
        <w:numPr>
          <w:ilvl w:val="0"/>
          <w:numId w:val="162"/>
        </w:numPr>
        <w:tabs>
          <w:tab w:val="num" w:pos="1134"/>
        </w:tabs>
        <w:snapToGrid w:val="0"/>
        <w:spacing w:line="460" w:lineRule="exact"/>
        <w:ind w:leftChars="0" w:left="1418"/>
        <w:jc w:val="both"/>
        <w:rPr>
          <w:rFonts w:eastAsia="標楷體"/>
          <w:sz w:val="28"/>
          <w:szCs w:val="28"/>
        </w:rPr>
      </w:pPr>
      <w:r w:rsidRPr="00D55DC6">
        <w:rPr>
          <w:rFonts w:eastAsia="標楷體"/>
          <w:sz w:val="28"/>
          <w:szCs w:val="28"/>
        </w:rPr>
        <w:t>各縣市政府：協助土地使用管制及建築管理許可、國土復育、海岸保護、水利防洪、休閒農漁業、生態保護、交通設施。</w:t>
      </w:r>
    </w:p>
    <w:p w:rsidR="00682D08" w:rsidRPr="00D55DC6" w:rsidRDefault="00682D08" w:rsidP="004865C1">
      <w:pPr>
        <w:pStyle w:val="af2"/>
        <w:numPr>
          <w:ilvl w:val="0"/>
          <w:numId w:val="162"/>
        </w:numPr>
        <w:tabs>
          <w:tab w:val="num" w:pos="1134"/>
        </w:tabs>
        <w:snapToGrid w:val="0"/>
        <w:spacing w:line="460" w:lineRule="exact"/>
        <w:ind w:leftChars="0" w:left="1418"/>
        <w:jc w:val="both"/>
        <w:rPr>
          <w:rFonts w:eastAsia="標楷體"/>
          <w:sz w:val="28"/>
          <w:szCs w:val="28"/>
        </w:rPr>
      </w:pPr>
      <w:r w:rsidRPr="00D55DC6">
        <w:rPr>
          <w:rFonts w:eastAsia="標楷體"/>
          <w:sz w:val="28"/>
          <w:szCs w:val="28"/>
        </w:rPr>
        <w:t>各鄉鎮公所：協助城鄉風貌改善。</w:t>
      </w:r>
    </w:p>
    <w:p w:rsidR="00682D08" w:rsidRPr="00D55DC6" w:rsidRDefault="00682D08" w:rsidP="004865C1">
      <w:pPr>
        <w:pStyle w:val="af2"/>
        <w:numPr>
          <w:ilvl w:val="0"/>
          <w:numId w:val="162"/>
        </w:numPr>
        <w:tabs>
          <w:tab w:val="num" w:pos="1134"/>
        </w:tabs>
        <w:snapToGrid w:val="0"/>
        <w:spacing w:line="460" w:lineRule="exact"/>
        <w:ind w:leftChars="0" w:left="1418"/>
        <w:jc w:val="both"/>
        <w:rPr>
          <w:rFonts w:eastAsia="標楷體"/>
          <w:sz w:val="28"/>
          <w:szCs w:val="28"/>
        </w:rPr>
      </w:pPr>
      <w:r w:rsidRPr="00D55DC6">
        <w:rPr>
          <w:rFonts w:eastAsia="標楷體"/>
          <w:sz w:val="28"/>
          <w:szCs w:val="28"/>
        </w:rPr>
        <w:t>警察機關：交通疏導及設置鐵馬驛站。</w:t>
      </w:r>
    </w:p>
    <w:p w:rsidR="00682D08" w:rsidRPr="00D55DC6" w:rsidRDefault="00682D08" w:rsidP="004865C1">
      <w:pPr>
        <w:pStyle w:val="af2"/>
        <w:numPr>
          <w:ilvl w:val="0"/>
          <w:numId w:val="163"/>
        </w:numPr>
        <w:snapToGrid w:val="0"/>
        <w:spacing w:line="460" w:lineRule="exact"/>
        <w:ind w:leftChars="0" w:left="1092" w:hanging="238"/>
        <w:jc w:val="both"/>
        <w:rPr>
          <w:rFonts w:eastAsia="標楷體"/>
          <w:sz w:val="28"/>
          <w:szCs w:val="28"/>
        </w:rPr>
      </w:pPr>
      <w:r w:rsidRPr="00D55DC6">
        <w:rPr>
          <w:rFonts w:eastAsia="標楷體"/>
          <w:sz w:val="28"/>
          <w:szCs w:val="28"/>
        </w:rPr>
        <w:t>民間單位：</w:t>
      </w:r>
    </w:p>
    <w:p w:rsidR="00682D08" w:rsidRPr="00D55DC6" w:rsidRDefault="00682D08" w:rsidP="004865C1">
      <w:pPr>
        <w:pStyle w:val="af2"/>
        <w:numPr>
          <w:ilvl w:val="0"/>
          <w:numId w:val="174"/>
        </w:numPr>
        <w:snapToGrid w:val="0"/>
        <w:spacing w:line="460" w:lineRule="exact"/>
        <w:ind w:leftChars="0" w:left="1418"/>
        <w:jc w:val="both"/>
        <w:rPr>
          <w:rFonts w:eastAsia="標楷體"/>
          <w:sz w:val="28"/>
          <w:szCs w:val="28"/>
        </w:rPr>
      </w:pPr>
      <w:r w:rsidRPr="00D55DC6">
        <w:rPr>
          <w:rFonts w:eastAsia="標楷體"/>
          <w:sz w:val="28"/>
          <w:szCs w:val="28"/>
        </w:rPr>
        <w:t>農漁會：農漁村產業文化推廣，產品販售與行銷。</w:t>
      </w:r>
    </w:p>
    <w:p w:rsidR="00682D08" w:rsidRPr="00D55DC6" w:rsidRDefault="00682D08" w:rsidP="004865C1">
      <w:pPr>
        <w:pStyle w:val="af2"/>
        <w:numPr>
          <w:ilvl w:val="0"/>
          <w:numId w:val="174"/>
        </w:numPr>
        <w:snapToGrid w:val="0"/>
        <w:spacing w:line="460" w:lineRule="exact"/>
        <w:ind w:leftChars="0" w:left="1418"/>
        <w:jc w:val="both"/>
        <w:rPr>
          <w:rFonts w:eastAsia="標楷體"/>
          <w:sz w:val="28"/>
          <w:szCs w:val="28"/>
        </w:rPr>
      </w:pPr>
      <w:r w:rsidRPr="00D55DC6">
        <w:rPr>
          <w:rFonts w:eastAsia="標楷體"/>
          <w:sz w:val="28"/>
          <w:szCs w:val="28"/>
        </w:rPr>
        <w:t>社區發展協會：觀光環境營造。</w:t>
      </w:r>
    </w:p>
    <w:p w:rsidR="00682D08" w:rsidRPr="00D55DC6" w:rsidRDefault="00682D08" w:rsidP="004865C1">
      <w:pPr>
        <w:pStyle w:val="af2"/>
        <w:numPr>
          <w:ilvl w:val="0"/>
          <w:numId w:val="163"/>
        </w:numPr>
        <w:snapToGrid w:val="0"/>
        <w:spacing w:line="460" w:lineRule="exact"/>
        <w:ind w:leftChars="0" w:left="1092" w:hanging="238"/>
        <w:jc w:val="both"/>
        <w:rPr>
          <w:rFonts w:eastAsia="標楷體"/>
          <w:sz w:val="28"/>
          <w:szCs w:val="28"/>
        </w:rPr>
      </w:pPr>
      <w:r w:rsidRPr="00D55DC6">
        <w:rPr>
          <w:rFonts w:eastAsia="標楷體"/>
          <w:sz w:val="28"/>
          <w:szCs w:val="28"/>
        </w:rPr>
        <w:t>其他相關單位。</w:t>
      </w:r>
    </w:p>
    <w:p w:rsidR="00FD2292" w:rsidRPr="00D55DC6" w:rsidRDefault="00FD2292">
      <w:pPr>
        <w:widowControl/>
        <w:rPr>
          <w:rFonts w:eastAsia="標楷體"/>
          <w:sz w:val="28"/>
          <w:szCs w:val="28"/>
        </w:rPr>
      </w:pPr>
      <w:r w:rsidRPr="00D55DC6">
        <w:rPr>
          <w:rFonts w:eastAsia="標楷體"/>
          <w:sz w:val="28"/>
          <w:szCs w:val="28"/>
        </w:rPr>
        <w:br w:type="page"/>
      </w:r>
    </w:p>
    <w:p w:rsidR="00FE4B9B" w:rsidRPr="00D55DC6" w:rsidRDefault="00FE4B9B" w:rsidP="00FE4B9B">
      <w:pPr>
        <w:snapToGrid w:val="0"/>
        <w:spacing w:line="460" w:lineRule="exact"/>
        <w:jc w:val="both"/>
        <w:rPr>
          <w:rFonts w:eastAsia="標楷體"/>
          <w:b/>
          <w:bCs/>
          <w:sz w:val="28"/>
          <w:szCs w:val="28"/>
        </w:rPr>
      </w:pPr>
      <w:r w:rsidRPr="00D55DC6">
        <w:rPr>
          <w:rFonts w:eastAsia="標楷體"/>
          <w:b/>
          <w:bCs/>
          <w:sz w:val="28"/>
          <w:szCs w:val="28"/>
        </w:rPr>
        <w:lastRenderedPageBreak/>
        <w:t>拾壹、花東縱谷國家風景區建設計畫</w:t>
      </w:r>
    </w:p>
    <w:p w:rsidR="00FE4B9B" w:rsidRPr="00D55DC6" w:rsidRDefault="00FE4B9B" w:rsidP="00FE4B9B">
      <w:pPr>
        <w:snapToGrid w:val="0"/>
        <w:spacing w:line="460" w:lineRule="exact"/>
        <w:jc w:val="both"/>
        <w:rPr>
          <w:rFonts w:eastAsia="標楷體"/>
          <w:b/>
          <w:bCs/>
          <w:sz w:val="28"/>
          <w:szCs w:val="28"/>
        </w:rPr>
      </w:pPr>
    </w:p>
    <w:p w:rsidR="00FE4B9B" w:rsidRPr="00D55DC6" w:rsidRDefault="00FE4B9B" w:rsidP="004865C1">
      <w:pPr>
        <w:pStyle w:val="a"/>
        <w:numPr>
          <w:ilvl w:val="0"/>
          <w:numId w:val="193"/>
        </w:numPr>
        <w:ind w:left="709" w:hanging="709"/>
        <w:rPr>
          <w:b/>
          <w:bCs/>
        </w:rPr>
      </w:pPr>
      <w:bookmarkStart w:id="177" w:name="_Toc407181736"/>
      <w:r w:rsidRPr="00D55DC6">
        <w:rPr>
          <w:b/>
          <w:bCs/>
        </w:rPr>
        <w:t>計畫緣起</w:t>
      </w:r>
      <w:bookmarkEnd w:id="177"/>
    </w:p>
    <w:p w:rsidR="00FE4B9B" w:rsidRPr="00D55DC6" w:rsidRDefault="00FE4B9B" w:rsidP="004865C1">
      <w:pPr>
        <w:numPr>
          <w:ilvl w:val="0"/>
          <w:numId w:val="194"/>
        </w:numPr>
        <w:snapToGrid w:val="0"/>
        <w:spacing w:line="460" w:lineRule="exact"/>
        <w:jc w:val="both"/>
        <w:rPr>
          <w:rFonts w:eastAsia="標楷體"/>
          <w:b/>
          <w:sz w:val="28"/>
          <w:szCs w:val="28"/>
        </w:rPr>
      </w:pPr>
      <w:r w:rsidRPr="00D55DC6">
        <w:rPr>
          <w:rFonts w:eastAsia="標楷體"/>
          <w:b/>
          <w:sz w:val="28"/>
          <w:szCs w:val="28"/>
        </w:rPr>
        <w:t>依據</w:t>
      </w:r>
    </w:p>
    <w:p w:rsidR="00FE4B9B" w:rsidRPr="00D55DC6" w:rsidRDefault="00FE4B9B" w:rsidP="00FE4B9B">
      <w:pPr>
        <w:widowControl/>
        <w:tabs>
          <w:tab w:val="left" w:pos="851"/>
        </w:tabs>
        <w:spacing w:line="460" w:lineRule="exact"/>
        <w:ind w:left="997"/>
        <w:jc w:val="both"/>
        <w:rPr>
          <w:rFonts w:eastAsia="標楷體"/>
          <w:sz w:val="28"/>
          <w:szCs w:val="28"/>
        </w:rPr>
      </w:pPr>
      <w:bookmarkStart w:id="178" w:name="_Toc288749166"/>
      <w:r w:rsidRPr="00D55DC6">
        <w:rPr>
          <w:rFonts w:eastAsia="標楷體"/>
          <w:sz w:val="28"/>
          <w:szCs w:val="28"/>
        </w:rPr>
        <w:t>為有效發揮政府重大公共建設計畫觀光次類別經費之投資效益，強化具體投資成果，延續「重要觀光景點建設中程計畫（</w:t>
      </w:r>
      <w:r w:rsidRPr="00D55DC6">
        <w:rPr>
          <w:rFonts w:eastAsia="標楷體"/>
          <w:sz w:val="28"/>
          <w:szCs w:val="28"/>
        </w:rPr>
        <w:t>101</w:t>
      </w:r>
      <w:r w:rsidRPr="00D55DC6">
        <w:rPr>
          <w:rFonts w:eastAsia="標楷體"/>
          <w:sz w:val="28"/>
          <w:szCs w:val="28"/>
        </w:rPr>
        <w:t>至</w:t>
      </w:r>
      <w:r w:rsidRPr="00D55DC6">
        <w:rPr>
          <w:rFonts w:eastAsia="標楷體"/>
          <w:sz w:val="28"/>
          <w:szCs w:val="28"/>
        </w:rPr>
        <w:t>104</w:t>
      </w:r>
      <w:r w:rsidRPr="00D55DC6">
        <w:rPr>
          <w:rFonts w:eastAsia="標楷體"/>
          <w:sz w:val="28"/>
          <w:szCs w:val="28"/>
        </w:rPr>
        <w:t>年）」</w:t>
      </w:r>
      <w:r w:rsidRPr="00D55DC6">
        <w:rPr>
          <w:rFonts w:eastAsia="標楷體"/>
          <w:sz w:val="28"/>
          <w:szCs w:val="28"/>
        </w:rPr>
        <w:t>(</w:t>
      </w:r>
      <w:r w:rsidRPr="00D55DC6">
        <w:rPr>
          <w:rFonts w:eastAsia="標楷體"/>
          <w:sz w:val="28"/>
          <w:szCs w:val="28"/>
        </w:rPr>
        <w:t>行政院</w:t>
      </w:r>
      <w:r w:rsidRPr="00D55DC6">
        <w:rPr>
          <w:rFonts w:eastAsia="標楷體"/>
          <w:sz w:val="28"/>
          <w:szCs w:val="28"/>
        </w:rPr>
        <w:t>100</w:t>
      </w:r>
      <w:r w:rsidRPr="00D55DC6">
        <w:rPr>
          <w:rFonts w:eastAsia="標楷體"/>
          <w:sz w:val="28"/>
          <w:szCs w:val="28"/>
        </w:rPr>
        <w:t>年</w:t>
      </w:r>
      <w:r w:rsidRPr="00D55DC6">
        <w:rPr>
          <w:rFonts w:eastAsia="標楷體"/>
          <w:sz w:val="28"/>
          <w:szCs w:val="28"/>
        </w:rPr>
        <w:t>8</w:t>
      </w:r>
      <w:r w:rsidRPr="00D55DC6">
        <w:rPr>
          <w:rFonts w:eastAsia="標楷體"/>
          <w:sz w:val="28"/>
          <w:szCs w:val="28"/>
        </w:rPr>
        <w:t>月</w:t>
      </w:r>
      <w:r w:rsidRPr="00D55DC6">
        <w:rPr>
          <w:rFonts w:eastAsia="標楷體"/>
          <w:sz w:val="28"/>
          <w:szCs w:val="28"/>
        </w:rPr>
        <w:t>22</w:t>
      </w:r>
      <w:r w:rsidRPr="00D55DC6">
        <w:rPr>
          <w:rFonts w:eastAsia="標楷體"/>
          <w:sz w:val="28"/>
          <w:szCs w:val="28"/>
        </w:rPr>
        <w:t>日院臺交字第</w:t>
      </w:r>
      <w:r w:rsidRPr="00D55DC6">
        <w:rPr>
          <w:rFonts w:eastAsia="標楷體"/>
          <w:sz w:val="28"/>
          <w:szCs w:val="28"/>
        </w:rPr>
        <w:t>1000044174</w:t>
      </w:r>
      <w:r w:rsidRPr="00D55DC6">
        <w:rPr>
          <w:rFonts w:eastAsia="標楷體"/>
          <w:sz w:val="28"/>
          <w:szCs w:val="28"/>
        </w:rPr>
        <w:t>號函核定</w:t>
      </w:r>
      <w:r w:rsidRPr="00D55DC6">
        <w:rPr>
          <w:rFonts w:eastAsia="標楷體"/>
          <w:sz w:val="28"/>
          <w:szCs w:val="28"/>
        </w:rPr>
        <w:t>)</w:t>
      </w:r>
      <w:r w:rsidRPr="00D55DC6">
        <w:rPr>
          <w:rFonts w:eastAsia="標楷體"/>
          <w:sz w:val="28"/>
          <w:szCs w:val="28"/>
        </w:rPr>
        <w:t>建設成果，並調整以</w:t>
      </w:r>
      <w:r w:rsidRPr="00D55DC6">
        <w:rPr>
          <w:rFonts w:eastAsia="標楷體"/>
          <w:sz w:val="28"/>
          <w:szCs w:val="28"/>
        </w:rPr>
        <w:t>1.</w:t>
      </w:r>
      <w:r w:rsidRPr="00D55DC6">
        <w:rPr>
          <w:rFonts w:eastAsia="標楷體"/>
          <w:sz w:val="28"/>
          <w:szCs w:val="28"/>
        </w:rPr>
        <w:t>國際觀光重要景點建設、</w:t>
      </w:r>
      <w:r w:rsidRPr="00D55DC6">
        <w:rPr>
          <w:rFonts w:eastAsia="標楷體"/>
          <w:sz w:val="28"/>
          <w:szCs w:val="28"/>
        </w:rPr>
        <w:t>2.</w:t>
      </w:r>
      <w:r w:rsidRPr="00D55DC6">
        <w:rPr>
          <w:rFonts w:eastAsia="標楷體"/>
          <w:sz w:val="28"/>
          <w:szCs w:val="28"/>
        </w:rPr>
        <w:t>國內觀光重要景點建設、</w:t>
      </w:r>
      <w:r w:rsidRPr="00D55DC6">
        <w:rPr>
          <w:rFonts w:eastAsia="標楷體"/>
          <w:sz w:val="28"/>
          <w:szCs w:val="28"/>
        </w:rPr>
        <w:t>3.</w:t>
      </w:r>
      <w:r w:rsidRPr="00D55DC6">
        <w:rPr>
          <w:rFonts w:eastAsia="標楷體"/>
          <w:sz w:val="28"/>
          <w:szCs w:val="28"/>
        </w:rPr>
        <w:t>國家風景區經營管理維護等投資重點與優先順序，研擬「重要觀光景點建設中程計畫（</w:t>
      </w:r>
      <w:r w:rsidRPr="00D55DC6">
        <w:rPr>
          <w:rFonts w:eastAsia="標楷體"/>
          <w:sz w:val="28"/>
          <w:szCs w:val="28"/>
        </w:rPr>
        <w:t>105-108</w:t>
      </w:r>
      <w:r w:rsidRPr="00D55DC6">
        <w:rPr>
          <w:rFonts w:eastAsia="標楷體"/>
          <w:sz w:val="28"/>
          <w:szCs w:val="28"/>
        </w:rPr>
        <w:t>年）」。</w:t>
      </w:r>
    </w:p>
    <w:p w:rsidR="004E025F" w:rsidRPr="00D55DC6" w:rsidRDefault="004E025F" w:rsidP="00FE4B9B">
      <w:pPr>
        <w:widowControl/>
        <w:tabs>
          <w:tab w:val="left" w:pos="851"/>
        </w:tabs>
        <w:spacing w:line="460" w:lineRule="exact"/>
        <w:ind w:left="997"/>
        <w:jc w:val="both"/>
        <w:rPr>
          <w:rFonts w:eastAsia="標楷體"/>
          <w:sz w:val="28"/>
          <w:szCs w:val="28"/>
        </w:rPr>
      </w:pPr>
    </w:p>
    <w:bookmarkEnd w:id="178"/>
    <w:p w:rsidR="00FE4B9B" w:rsidRPr="00D55DC6" w:rsidRDefault="00FE4B9B" w:rsidP="004865C1">
      <w:pPr>
        <w:numPr>
          <w:ilvl w:val="0"/>
          <w:numId w:val="194"/>
        </w:numPr>
        <w:snapToGrid w:val="0"/>
        <w:spacing w:line="460" w:lineRule="exact"/>
        <w:ind w:left="862" w:hanging="862"/>
        <w:jc w:val="both"/>
        <w:rPr>
          <w:rFonts w:eastAsia="標楷體"/>
          <w:b/>
          <w:sz w:val="28"/>
          <w:szCs w:val="28"/>
        </w:rPr>
      </w:pPr>
      <w:r w:rsidRPr="00D55DC6">
        <w:rPr>
          <w:rFonts w:eastAsia="標楷體"/>
          <w:b/>
          <w:sz w:val="28"/>
          <w:szCs w:val="28"/>
        </w:rPr>
        <w:t>未來環境預測</w:t>
      </w:r>
    </w:p>
    <w:p w:rsidR="00FE4B9B" w:rsidRPr="00D55DC6" w:rsidRDefault="00FE4B9B" w:rsidP="004865C1">
      <w:pPr>
        <w:widowControl/>
        <w:numPr>
          <w:ilvl w:val="0"/>
          <w:numId w:val="191"/>
        </w:numPr>
        <w:tabs>
          <w:tab w:val="left" w:pos="851"/>
        </w:tabs>
        <w:spacing w:line="460" w:lineRule="exact"/>
        <w:ind w:hanging="297"/>
        <w:jc w:val="both"/>
        <w:rPr>
          <w:rFonts w:eastAsia="標楷體"/>
          <w:sz w:val="28"/>
          <w:szCs w:val="28"/>
        </w:rPr>
      </w:pPr>
      <w:r w:rsidRPr="00D55DC6">
        <w:rPr>
          <w:rFonts w:eastAsia="標楷體"/>
          <w:sz w:val="28"/>
          <w:szCs w:val="28"/>
        </w:rPr>
        <w:t>鑑於花東縱谷地區將於</w:t>
      </w:r>
      <w:r w:rsidRPr="00D55DC6">
        <w:rPr>
          <w:rFonts w:eastAsia="標楷體"/>
          <w:sz w:val="28"/>
          <w:szCs w:val="28"/>
        </w:rPr>
        <w:t>106</w:t>
      </w:r>
      <w:r w:rsidRPr="00D55DC6">
        <w:rPr>
          <w:rFonts w:eastAsia="標楷體"/>
          <w:sz w:val="28"/>
          <w:szCs w:val="28"/>
        </w:rPr>
        <w:t>年底陸續完成花東鐵路電氣化、蘇花公路改善、南迴公路拓寬改善等聯外交通改善通車後，預期花東縱谷地區遊客量大量增加，為避免超過公共服務空間觀光承載量、提升觀光旅遊環境服務品質、促進觀光永續經營等，相關公共設施服務能量，應配合紓解重要觀光景點至周邊次要遊憩據點目標，依全區整體發展規劃，進行計畫性地分期分年建設。</w:t>
      </w:r>
    </w:p>
    <w:p w:rsidR="00FE4B9B" w:rsidRPr="00D55DC6" w:rsidRDefault="00FE4B9B" w:rsidP="004865C1">
      <w:pPr>
        <w:widowControl/>
        <w:numPr>
          <w:ilvl w:val="0"/>
          <w:numId w:val="191"/>
        </w:numPr>
        <w:tabs>
          <w:tab w:val="left" w:pos="851"/>
        </w:tabs>
        <w:spacing w:line="460" w:lineRule="exact"/>
        <w:ind w:hanging="297"/>
        <w:jc w:val="both"/>
        <w:rPr>
          <w:rFonts w:eastAsia="標楷體"/>
          <w:sz w:val="28"/>
          <w:szCs w:val="28"/>
        </w:rPr>
      </w:pPr>
      <w:r w:rsidRPr="00D55DC6">
        <w:rPr>
          <w:rFonts w:eastAsia="標楷體"/>
          <w:sz w:val="28"/>
          <w:szCs w:val="28"/>
        </w:rPr>
        <w:t>環境保護與永續發展漸受國人重視，打造低碳綠能環境列為國家發展五大支柱之一，並為政府施政重點方向，花東縱谷國家風景區為達永續經營目標，本中程計畫將持續推展自行車等綠色運具政策、建置轄內步道暨自行車道系統、結合綠建築設計概念等，營造低碳旅遊環境，在觀光發展與環境保護間尋求平衡。</w:t>
      </w:r>
    </w:p>
    <w:p w:rsidR="00FE4B9B" w:rsidRPr="00D55DC6" w:rsidRDefault="00FE4B9B" w:rsidP="004865C1">
      <w:pPr>
        <w:widowControl/>
        <w:numPr>
          <w:ilvl w:val="0"/>
          <w:numId w:val="191"/>
        </w:numPr>
        <w:tabs>
          <w:tab w:val="left" w:pos="851"/>
        </w:tabs>
        <w:spacing w:line="460" w:lineRule="exact"/>
        <w:ind w:hanging="297"/>
        <w:jc w:val="both"/>
        <w:rPr>
          <w:rFonts w:eastAsia="標楷體"/>
          <w:sz w:val="28"/>
          <w:szCs w:val="28"/>
        </w:rPr>
      </w:pPr>
      <w:r w:rsidRPr="00D55DC6">
        <w:rPr>
          <w:rFonts w:eastAsia="標楷體"/>
          <w:sz w:val="28"/>
          <w:szCs w:val="28"/>
        </w:rPr>
        <w:t>臺灣已是全球老化速度最快的國家，花東已符合世衛組織高齡社會定義，面對快速轉變的高齡社會，各類軟硬體環境及產業發模式，均須全面性因應配合發展，營造無障礙的旅遊空間，讓輪椅族及銀髮族享受輕鬆安全的旅遊環境，為本計畫建設之重點項目。</w:t>
      </w:r>
    </w:p>
    <w:p w:rsidR="004E025F" w:rsidRPr="00D55DC6" w:rsidRDefault="004E025F" w:rsidP="004E025F">
      <w:pPr>
        <w:widowControl/>
        <w:tabs>
          <w:tab w:val="left" w:pos="851"/>
        </w:tabs>
        <w:spacing w:line="460" w:lineRule="exact"/>
        <w:jc w:val="both"/>
        <w:rPr>
          <w:rFonts w:eastAsia="標楷體"/>
          <w:sz w:val="28"/>
          <w:szCs w:val="28"/>
        </w:rPr>
      </w:pPr>
    </w:p>
    <w:p w:rsidR="004E025F" w:rsidRPr="00D55DC6" w:rsidRDefault="004E025F" w:rsidP="004E025F">
      <w:pPr>
        <w:widowControl/>
        <w:tabs>
          <w:tab w:val="left" w:pos="851"/>
        </w:tabs>
        <w:spacing w:line="460" w:lineRule="exact"/>
        <w:jc w:val="both"/>
        <w:rPr>
          <w:rFonts w:eastAsia="標楷體"/>
          <w:sz w:val="28"/>
          <w:szCs w:val="28"/>
        </w:rPr>
      </w:pPr>
    </w:p>
    <w:p w:rsidR="004E025F" w:rsidRPr="00D55DC6" w:rsidRDefault="004E025F" w:rsidP="004E025F">
      <w:pPr>
        <w:widowControl/>
        <w:tabs>
          <w:tab w:val="left" w:pos="851"/>
        </w:tabs>
        <w:spacing w:line="460" w:lineRule="exact"/>
        <w:jc w:val="both"/>
        <w:rPr>
          <w:rFonts w:eastAsia="標楷體"/>
          <w:sz w:val="28"/>
          <w:szCs w:val="28"/>
        </w:rPr>
      </w:pPr>
    </w:p>
    <w:p w:rsidR="00FE4B9B" w:rsidRPr="00D55DC6" w:rsidRDefault="00FE4B9B" w:rsidP="004865C1">
      <w:pPr>
        <w:numPr>
          <w:ilvl w:val="0"/>
          <w:numId w:val="194"/>
        </w:numPr>
        <w:snapToGrid w:val="0"/>
        <w:spacing w:line="460" w:lineRule="exact"/>
        <w:ind w:left="862" w:hanging="862"/>
        <w:jc w:val="both"/>
        <w:rPr>
          <w:rFonts w:eastAsia="標楷體"/>
          <w:b/>
          <w:sz w:val="28"/>
          <w:szCs w:val="28"/>
        </w:rPr>
      </w:pPr>
      <w:r w:rsidRPr="00D55DC6">
        <w:rPr>
          <w:rFonts w:eastAsia="標楷體"/>
          <w:b/>
          <w:sz w:val="28"/>
          <w:szCs w:val="28"/>
        </w:rPr>
        <w:lastRenderedPageBreak/>
        <w:t>問題評析</w:t>
      </w:r>
    </w:p>
    <w:p w:rsidR="00FE4B9B" w:rsidRPr="00D55DC6" w:rsidRDefault="00FE4B9B" w:rsidP="00FE4B9B">
      <w:pPr>
        <w:widowControl/>
        <w:tabs>
          <w:tab w:val="right" w:leader="dot" w:pos="9356"/>
        </w:tabs>
        <w:spacing w:line="460" w:lineRule="exact"/>
        <w:ind w:leftChars="409" w:left="982" w:firstLineChars="204" w:firstLine="571"/>
        <w:jc w:val="both"/>
        <w:rPr>
          <w:rFonts w:eastAsia="標楷體"/>
          <w:noProof/>
          <w:kern w:val="0"/>
          <w:sz w:val="26"/>
          <w:szCs w:val="26"/>
        </w:rPr>
      </w:pPr>
      <w:r w:rsidRPr="00D55DC6">
        <w:rPr>
          <w:rFonts w:eastAsia="標楷體"/>
          <w:noProof/>
          <w:kern w:val="0"/>
          <w:sz w:val="28"/>
          <w:szCs w:val="28"/>
        </w:rPr>
        <w:t>依據現況發展的推估，花東縱谷在地觀光遊憩設施、人力資源、產業結構、交通運輸、遊客住宿、環境承載等都面臨發展上的課題。</w:t>
      </w:r>
      <w:r w:rsidRPr="00D55DC6">
        <w:rPr>
          <w:rFonts w:eastAsia="標楷體"/>
          <w:noProof/>
          <w:kern w:val="0"/>
          <w:sz w:val="28"/>
          <w:szCs w:val="28"/>
        </w:rPr>
        <w:t xml:space="preserve"> </w:t>
      </w:r>
    </w:p>
    <w:p w:rsidR="00FE4B9B" w:rsidRPr="00D55DC6" w:rsidRDefault="00FE4B9B" w:rsidP="00FE4B9B">
      <w:pPr>
        <w:widowControl/>
        <w:spacing w:line="460" w:lineRule="exact"/>
        <w:ind w:leftChars="236" w:left="849" w:hangingChars="101" w:hanging="283"/>
        <w:jc w:val="both"/>
        <w:rPr>
          <w:rFonts w:eastAsia="標楷體"/>
          <w:bCs/>
          <w:sz w:val="28"/>
          <w:szCs w:val="28"/>
        </w:rPr>
      </w:pPr>
      <w:r w:rsidRPr="00D55DC6">
        <w:rPr>
          <w:rFonts w:eastAsia="標楷體"/>
          <w:bCs/>
          <w:sz w:val="28"/>
          <w:szCs w:val="28"/>
        </w:rPr>
        <w:t>1.</w:t>
      </w:r>
      <w:r w:rsidRPr="00D55DC6">
        <w:rPr>
          <w:rFonts w:eastAsia="標楷體"/>
          <w:bCs/>
          <w:sz w:val="28"/>
          <w:szCs w:val="28"/>
        </w:rPr>
        <w:t>觀光遊憩設施規模不均，國際觀光景點服務量能待提升，尤其每逢旅遊旺季致使縱谷部分景點擠滿遊客，廁所、公共運輸系統、住宿、餐點服務等都呈現瞬間爆量，影響旅遊環境衛生不良、設施管養不易的狀況；另現有國際觀光景點如鯉魚潭風景區及鹿野龍田地區之服務量能尚不足吸引國際旅客前往。</w:t>
      </w:r>
    </w:p>
    <w:p w:rsidR="00FE4B9B" w:rsidRPr="00D55DC6" w:rsidRDefault="00FE4B9B" w:rsidP="00FE4B9B">
      <w:pPr>
        <w:widowControl/>
        <w:spacing w:line="460" w:lineRule="exact"/>
        <w:ind w:leftChars="236" w:left="849" w:hangingChars="101" w:hanging="283"/>
        <w:jc w:val="both"/>
        <w:rPr>
          <w:rFonts w:eastAsia="標楷體"/>
          <w:bCs/>
          <w:sz w:val="28"/>
          <w:szCs w:val="28"/>
        </w:rPr>
      </w:pPr>
      <w:r w:rsidRPr="00D55DC6">
        <w:rPr>
          <w:rFonts w:eastAsia="標楷體"/>
          <w:bCs/>
          <w:sz w:val="28"/>
          <w:szCs w:val="28"/>
        </w:rPr>
        <w:t>2.</w:t>
      </w:r>
      <w:r w:rsidRPr="00D55DC6">
        <w:rPr>
          <w:rFonts w:eastAsia="標楷體"/>
          <w:bCs/>
          <w:sz w:val="28"/>
          <w:szCs w:val="28"/>
        </w:rPr>
        <w:t>住宿服務設施過於集中於花蓮市及臺東市區，造成縱谷地區過夜比例低。</w:t>
      </w:r>
    </w:p>
    <w:p w:rsidR="00FE4B9B" w:rsidRPr="00D55DC6" w:rsidRDefault="00FE4B9B" w:rsidP="00FE4B9B">
      <w:pPr>
        <w:widowControl/>
        <w:spacing w:line="460" w:lineRule="exact"/>
        <w:ind w:leftChars="236" w:left="849" w:hangingChars="101" w:hanging="283"/>
        <w:jc w:val="both"/>
        <w:rPr>
          <w:rFonts w:eastAsia="標楷體"/>
          <w:bCs/>
          <w:sz w:val="28"/>
          <w:szCs w:val="28"/>
        </w:rPr>
      </w:pPr>
      <w:r w:rsidRPr="00D55DC6">
        <w:rPr>
          <w:rFonts w:eastAsia="標楷體"/>
          <w:bCs/>
          <w:sz w:val="28"/>
          <w:szCs w:val="28"/>
        </w:rPr>
        <w:t>3.</w:t>
      </w:r>
      <w:r w:rsidRPr="00D55DC6">
        <w:rPr>
          <w:rFonts w:eastAsia="標楷體"/>
          <w:bCs/>
          <w:sz w:val="28"/>
          <w:szCs w:val="28"/>
        </w:rPr>
        <w:t>近年來花東地區交通運能陸續改善完成，預期帶動遊客量成長，量變造成質變，使得設施管理工作量大，經營成本遞增，轄內旅遊品質必受影響。</w:t>
      </w:r>
    </w:p>
    <w:p w:rsidR="00FE4B9B" w:rsidRPr="00D55DC6" w:rsidRDefault="00FE4B9B" w:rsidP="00FE4B9B">
      <w:pPr>
        <w:widowControl/>
        <w:spacing w:line="460" w:lineRule="exact"/>
        <w:ind w:leftChars="236" w:left="849" w:hangingChars="101" w:hanging="283"/>
        <w:jc w:val="both"/>
        <w:rPr>
          <w:rFonts w:eastAsia="標楷體"/>
          <w:bCs/>
          <w:sz w:val="28"/>
          <w:szCs w:val="28"/>
        </w:rPr>
      </w:pPr>
      <w:r w:rsidRPr="00D55DC6">
        <w:rPr>
          <w:rFonts w:eastAsia="標楷體"/>
          <w:bCs/>
          <w:sz w:val="28"/>
          <w:szCs w:val="28"/>
        </w:rPr>
        <w:t>4.</w:t>
      </w:r>
      <w:r w:rsidRPr="00D55DC6">
        <w:rPr>
          <w:rFonts w:eastAsia="標楷體"/>
          <w:bCs/>
          <w:sz w:val="28"/>
          <w:szCs w:val="28"/>
        </w:rPr>
        <w:t>花東地區現有軌道運輸供需失調，接駁班次有限及效能不足，影響遊客前往旅遊及整體服務品質。</w:t>
      </w:r>
    </w:p>
    <w:p w:rsidR="00FE4B9B" w:rsidRPr="00D55DC6" w:rsidRDefault="00FE4B9B" w:rsidP="00FE4B9B">
      <w:pPr>
        <w:widowControl/>
        <w:spacing w:line="460" w:lineRule="exact"/>
        <w:ind w:leftChars="236" w:left="849" w:hangingChars="101" w:hanging="283"/>
        <w:jc w:val="both"/>
        <w:rPr>
          <w:rFonts w:eastAsia="標楷體"/>
          <w:sz w:val="28"/>
          <w:szCs w:val="28"/>
        </w:rPr>
      </w:pPr>
      <w:r w:rsidRPr="00D55DC6">
        <w:rPr>
          <w:rFonts w:eastAsia="標楷體"/>
          <w:bCs/>
          <w:sz w:val="28"/>
          <w:szCs w:val="28"/>
        </w:rPr>
        <w:t>5.</w:t>
      </w:r>
      <w:r w:rsidRPr="00D55DC6">
        <w:rPr>
          <w:rFonts w:eastAsia="標楷體"/>
          <w:bCs/>
          <w:sz w:val="28"/>
          <w:szCs w:val="28"/>
        </w:rPr>
        <w:t>政府財政短絀，</w:t>
      </w:r>
      <w:r w:rsidRPr="00D55DC6">
        <w:rPr>
          <w:rFonts w:eastAsia="標楷體"/>
          <w:sz w:val="28"/>
          <w:szCs w:val="28"/>
        </w:rPr>
        <w:t>遊客所帶來之經濟效益未能有效回饋風景區建設經費。</w:t>
      </w:r>
    </w:p>
    <w:p w:rsidR="00FE4B9B" w:rsidRPr="00D55DC6" w:rsidRDefault="00FE4B9B" w:rsidP="00FE4B9B">
      <w:pPr>
        <w:widowControl/>
        <w:spacing w:line="460" w:lineRule="exact"/>
        <w:ind w:leftChars="236" w:left="849" w:hangingChars="101" w:hanging="283"/>
        <w:jc w:val="both"/>
        <w:rPr>
          <w:rFonts w:eastAsia="標楷體"/>
          <w:sz w:val="28"/>
          <w:szCs w:val="28"/>
        </w:rPr>
      </w:pPr>
      <w:r w:rsidRPr="00D55DC6">
        <w:rPr>
          <w:rFonts w:eastAsia="標楷體"/>
          <w:sz w:val="28"/>
          <w:szCs w:val="28"/>
        </w:rPr>
        <w:t>6.</w:t>
      </w:r>
      <w:r w:rsidRPr="00D55DC6">
        <w:rPr>
          <w:rFonts w:eastAsia="標楷體"/>
          <w:sz w:val="28"/>
          <w:szCs w:val="28"/>
        </w:rPr>
        <w:t>花東縱谷地形峽長，旅遊型態以穿越型居多，且旅遊呈現明顯的淡旺季。</w:t>
      </w:r>
    </w:p>
    <w:p w:rsidR="004E025F" w:rsidRPr="00D55DC6" w:rsidRDefault="004E025F" w:rsidP="00FE4B9B">
      <w:pPr>
        <w:widowControl/>
        <w:spacing w:line="460" w:lineRule="exact"/>
        <w:ind w:leftChars="236" w:left="849" w:hangingChars="101" w:hanging="283"/>
        <w:jc w:val="both"/>
        <w:rPr>
          <w:rFonts w:eastAsia="標楷體"/>
          <w:b/>
          <w:bCs/>
          <w:sz w:val="28"/>
          <w:szCs w:val="28"/>
        </w:rPr>
      </w:pPr>
    </w:p>
    <w:p w:rsidR="00FE4B9B" w:rsidRPr="00D55DC6" w:rsidRDefault="00FE4B9B" w:rsidP="00FE4B9B">
      <w:pPr>
        <w:widowControl/>
        <w:tabs>
          <w:tab w:val="right" w:leader="dot" w:pos="9356"/>
        </w:tabs>
        <w:spacing w:line="460" w:lineRule="exact"/>
        <w:jc w:val="both"/>
        <w:rPr>
          <w:rFonts w:eastAsia="標楷體"/>
          <w:b/>
          <w:noProof/>
          <w:kern w:val="0"/>
          <w:sz w:val="28"/>
          <w:szCs w:val="28"/>
        </w:rPr>
      </w:pPr>
      <w:r w:rsidRPr="00D55DC6">
        <w:rPr>
          <w:rFonts w:eastAsia="標楷體"/>
          <w:b/>
          <w:noProof/>
          <w:kern w:val="0"/>
          <w:sz w:val="28"/>
          <w:szCs w:val="28"/>
        </w:rPr>
        <w:t xml:space="preserve"> (</w:t>
      </w:r>
      <w:r w:rsidRPr="00D55DC6">
        <w:rPr>
          <w:rFonts w:eastAsia="標楷體"/>
          <w:b/>
          <w:noProof/>
          <w:kern w:val="0"/>
          <w:sz w:val="28"/>
          <w:szCs w:val="28"/>
        </w:rPr>
        <w:t>四</w:t>
      </w:r>
      <w:r w:rsidRPr="00D55DC6">
        <w:rPr>
          <w:rFonts w:eastAsia="標楷體"/>
          <w:b/>
          <w:noProof/>
          <w:kern w:val="0"/>
          <w:sz w:val="28"/>
          <w:szCs w:val="28"/>
        </w:rPr>
        <w:t>)</w:t>
      </w:r>
      <w:r w:rsidRPr="00D55DC6">
        <w:rPr>
          <w:rFonts w:eastAsia="標楷體"/>
          <w:b/>
          <w:noProof/>
          <w:kern w:val="0"/>
          <w:sz w:val="28"/>
          <w:szCs w:val="28"/>
        </w:rPr>
        <w:t>社會參與及政策溝通情形</w:t>
      </w:r>
    </w:p>
    <w:p w:rsidR="00FE4B9B" w:rsidRPr="00D55DC6" w:rsidRDefault="00FE4B9B" w:rsidP="00875AC9">
      <w:pPr>
        <w:widowControl/>
        <w:tabs>
          <w:tab w:val="left" w:pos="851"/>
        </w:tabs>
        <w:spacing w:line="460" w:lineRule="exact"/>
        <w:ind w:left="709" w:firstLineChars="253" w:firstLine="708"/>
        <w:jc w:val="both"/>
        <w:rPr>
          <w:rFonts w:eastAsia="標楷體"/>
          <w:sz w:val="28"/>
          <w:szCs w:val="28"/>
        </w:rPr>
      </w:pPr>
      <w:r w:rsidRPr="00D55DC6">
        <w:rPr>
          <w:rFonts w:eastAsia="標楷體"/>
          <w:sz w:val="28"/>
          <w:szCs w:val="28"/>
        </w:rPr>
        <w:t>為使國家風景區有計畫的整體性發展，循序導入各項公共服務設施，以發揮最大之成本效益，除辦理全區性之整體觀光發展規劃作為指導方針，並依各政策發展需要辦理各細項研究規劃，以作為本中程計畫研擬之參考。為提高社會參與與政府決策，降低政策推行阻力，各項研究規劃，於舉辦各期審查會議時，依個案需要，邀集各有關主管機關、地方單位及代表、民間團體及協會等進行意見交換，並不定期辦理地方訪談、座談會，廣徵各界意見，形成政策發展共識，或達政策行銷之效。</w:t>
      </w:r>
    </w:p>
    <w:p w:rsidR="00FE4B9B" w:rsidRPr="00D55DC6" w:rsidRDefault="00FE4B9B" w:rsidP="00FE4B9B">
      <w:pPr>
        <w:widowControl/>
        <w:tabs>
          <w:tab w:val="right" w:leader="dot" w:pos="9356"/>
        </w:tabs>
        <w:spacing w:line="460" w:lineRule="exact"/>
        <w:ind w:leftChars="354" w:left="850" w:firstLineChars="202" w:firstLine="525"/>
        <w:jc w:val="both"/>
        <w:rPr>
          <w:rFonts w:eastAsia="標楷體"/>
          <w:noProof/>
          <w:kern w:val="0"/>
          <w:sz w:val="26"/>
          <w:szCs w:val="26"/>
        </w:rPr>
      </w:pPr>
    </w:p>
    <w:p w:rsidR="00FE4B9B" w:rsidRPr="00D55DC6" w:rsidRDefault="00FE4B9B" w:rsidP="00FE4B9B">
      <w:pPr>
        <w:numPr>
          <w:ilvl w:val="0"/>
          <w:numId w:val="1"/>
        </w:numPr>
        <w:snapToGrid w:val="0"/>
        <w:spacing w:line="460" w:lineRule="exact"/>
        <w:ind w:left="709" w:hanging="709"/>
        <w:jc w:val="both"/>
        <w:rPr>
          <w:rFonts w:eastAsia="標楷體"/>
          <w:b/>
          <w:bCs/>
          <w:sz w:val="28"/>
          <w:szCs w:val="28"/>
        </w:rPr>
      </w:pPr>
      <w:r w:rsidRPr="00D55DC6">
        <w:rPr>
          <w:rFonts w:eastAsia="標楷體"/>
          <w:b/>
          <w:bCs/>
          <w:sz w:val="28"/>
          <w:szCs w:val="28"/>
        </w:rPr>
        <w:lastRenderedPageBreak/>
        <w:t>計畫目標</w:t>
      </w:r>
    </w:p>
    <w:p w:rsidR="00FE4B9B" w:rsidRPr="00D55DC6" w:rsidRDefault="00FE4B9B" w:rsidP="004865C1">
      <w:pPr>
        <w:numPr>
          <w:ilvl w:val="0"/>
          <w:numId w:val="195"/>
        </w:numPr>
        <w:snapToGrid w:val="0"/>
        <w:spacing w:line="460" w:lineRule="exact"/>
        <w:jc w:val="both"/>
        <w:rPr>
          <w:rFonts w:eastAsia="標楷體"/>
          <w:sz w:val="28"/>
          <w:szCs w:val="28"/>
        </w:rPr>
      </w:pPr>
      <w:r w:rsidRPr="00D55DC6">
        <w:rPr>
          <w:rFonts w:eastAsia="標楷體"/>
          <w:sz w:val="28"/>
          <w:szCs w:val="28"/>
        </w:rPr>
        <w:t>目標說明</w:t>
      </w:r>
    </w:p>
    <w:p w:rsidR="00FE4B9B" w:rsidRPr="00D55DC6" w:rsidRDefault="00FE4B9B" w:rsidP="00FE4B9B">
      <w:pPr>
        <w:widowControl/>
        <w:tabs>
          <w:tab w:val="right" w:leader="dot" w:pos="9356"/>
        </w:tabs>
        <w:spacing w:line="460" w:lineRule="exact"/>
        <w:ind w:leftChars="409" w:left="982" w:firstLineChars="204" w:firstLine="530"/>
        <w:jc w:val="both"/>
        <w:rPr>
          <w:rFonts w:eastAsia="標楷體"/>
          <w:noProof/>
          <w:kern w:val="0"/>
          <w:sz w:val="26"/>
          <w:szCs w:val="26"/>
        </w:rPr>
      </w:pPr>
      <w:r w:rsidRPr="00D55DC6">
        <w:rPr>
          <w:rFonts w:eastAsia="標楷體"/>
          <w:noProof/>
          <w:kern w:val="0"/>
          <w:sz w:val="26"/>
          <w:szCs w:val="26"/>
        </w:rPr>
        <w:t>為落實花東縱谷國家風景區之優質觀光資源永續發展，本計畫核心發展目的可歸納如下：</w:t>
      </w:r>
    </w:p>
    <w:p w:rsidR="00FE4B9B" w:rsidRPr="00D55DC6" w:rsidRDefault="00FE4B9B" w:rsidP="004865C1">
      <w:pPr>
        <w:widowControl/>
        <w:numPr>
          <w:ilvl w:val="0"/>
          <w:numId w:val="188"/>
        </w:numPr>
        <w:tabs>
          <w:tab w:val="left" w:pos="851"/>
        </w:tabs>
        <w:spacing w:line="460" w:lineRule="exact"/>
        <w:ind w:leftChars="250" w:left="997" w:hanging="397"/>
        <w:jc w:val="both"/>
        <w:rPr>
          <w:rFonts w:eastAsia="標楷體"/>
          <w:sz w:val="28"/>
          <w:szCs w:val="28"/>
        </w:rPr>
      </w:pPr>
      <w:r w:rsidRPr="00D55DC6">
        <w:rPr>
          <w:rFonts w:eastAsia="標楷體"/>
          <w:sz w:val="28"/>
          <w:szCs w:val="28"/>
        </w:rPr>
        <w:t>以「鯉躍水舞－遨翔縱谷」為花東縱谷整體發展主軸，打造花東縱谷為具水、陸、空多元遊憩活動之國際觀光</w:t>
      </w:r>
      <w:r w:rsidR="00EA38C5" w:rsidRPr="00D55DC6">
        <w:rPr>
          <w:rFonts w:eastAsia="標楷體"/>
          <w:sz w:val="28"/>
          <w:szCs w:val="28"/>
        </w:rPr>
        <w:t>度假</w:t>
      </w:r>
      <w:r w:rsidRPr="00D55DC6">
        <w:rPr>
          <w:rFonts w:eastAsia="標楷體"/>
          <w:sz w:val="28"/>
          <w:szCs w:val="28"/>
        </w:rPr>
        <w:t>勝地。</w:t>
      </w:r>
    </w:p>
    <w:p w:rsidR="00FE4B9B" w:rsidRPr="00D55DC6" w:rsidRDefault="00FE4B9B" w:rsidP="004865C1">
      <w:pPr>
        <w:widowControl/>
        <w:numPr>
          <w:ilvl w:val="0"/>
          <w:numId w:val="188"/>
        </w:numPr>
        <w:tabs>
          <w:tab w:val="left" w:pos="851"/>
        </w:tabs>
        <w:spacing w:line="460" w:lineRule="exact"/>
        <w:ind w:leftChars="250" w:left="997" w:hanging="397"/>
        <w:jc w:val="both"/>
        <w:rPr>
          <w:rFonts w:eastAsia="標楷體"/>
          <w:sz w:val="28"/>
          <w:szCs w:val="28"/>
        </w:rPr>
      </w:pPr>
      <w:r w:rsidRPr="00D55DC6">
        <w:rPr>
          <w:rFonts w:eastAsia="標楷體"/>
          <w:sz w:val="28"/>
          <w:szCs w:val="28"/>
        </w:rPr>
        <w:t>建構花東優質景觀路廊及營造友善旅遊環境，形塑重要門戶及據點入口意象，提升旅遊服務品質。</w:t>
      </w:r>
    </w:p>
    <w:p w:rsidR="00FE4B9B" w:rsidRPr="00D55DC6" w:rsidRDefault="00FE4B9B" w:rsidP="004865C1">
      <w:pPr>
        <w:widowControl/>
        <w:numPr>
          <w:ilvl w:val="0"/>
          <w:numId w:val="188"/>
        </w:numPr>
        <w:tabs>
          <w:tab w:val="left" w:pos="851"/>
        </w:tabs>
        <w:spacing w:line="460" w:lineRule="exact"/>
        <w:ind w:leftChars="250" w:left="997" w:hanging="397"/>
        <w:jc w:val="both"/>
        <w:rPr>
          <w:rFonts w:eastAsia="標楷體"/>
          <w:sz w:val="28"/>
          <w:szCs w:val="28"/>
        </w:rPr>
      </w:pPr>
      <w:r w:rsidRPr="00D55DC6">
        <w:rPr>
          <w:rFonts w:eastAsia="標楷體"/>
          <w:sz w:val="28"/>
          <w:szCs w:val="28"/>
        </w:rPr>
        <w:t>改善原住民部落觀光服務設施，推廣部落深度旅遊。</w:t>
      </w:r>
    </w:p>
    <w:p w:rsidR="00FE4B9B" w:rsidRPr="00D55DC6" w:rsidRDefault="00FE4B9B" w:rsidP="004865C1">
      <w:pPr>
        <w:widowControl/>
        <w:numPr>
          <w:ilvl w:val="0"/>
          <w:numId w:val="188"/>
        </w:numPr>
        <w:tabs>
          <w:tab w:val="left" w:pos="851"/>
        </w:tabs>
        <w:spacing w:line="460" w:lineRule="exact"/>
        <w:ind w:leftChars="250" w:left="997" w:hanging="397"/>
        <w:jc w:val="both"/>
        <w:rPr>
          <w:rFonts w:eastAsia="標楷體"/>
          <w:sz w:val="28"/>
          <w:szCs w:val="28"/>
        </w:rPr>
      </w:pPr>
      <w:r w:rsidRPr="00D55DC6">
        <w:rPr>
          <w:rFonts w:eastAsia="標楷體"/>
          <w:sz w:val="28"/>
          <w:szCs w:val="28"/>
        </w:rPr>
        <w:t>吸引民間投資建設及委外經營管理，並落實使用者付費原則，提高公共服務設施自償率。</w:t>
      </w:r>
    </w:p>
    <w:p w:rsidR="00FE4B9B" w:rsidRPr="00D55DC6" w:rsidRDefault="00FE4B9B" w:rsidP="004865C1">
      <w:pPr>
        <w:numPr>
          <w:ilvl w:val="0"/>
          <w:numId w:val="195"/>
        </w:numPr>
        <w:snapToGrid w:val="0"/>
        <w:spacing w:line="460" w:lineRule="exact"/>
        <w:ind w:left="862" w:hanging="862"/>
        <w:jc w:val="both"/>
        <w:rPr>
          <w:rFonts w:eastAsia="標楷體"/>
          <w:sz w:val="28"/>
          <w:szCs w:val="28"/>
        </w:rPr>
      </w:pPr>
      <w:r w:rsidRPr="00D55DC6">
        <w:rPr>
          <w:rFonts w:eastAsia="標楷體"/>
          <w:sz w:val="28"/>
          <w:szCs w:val="28"/>
        </w:rPr>
        <w:t>達成目標之限制</w:t>
      </w:r>
    </w:p>
    <w:p w:rsidR="00FE4B9B" w:rsidRPr="00D55DC6" w:rsidRDefault="00FE4B9B" w:rsidP="00FE4B9B">
      <w:pPr>
        <w:widowControl/>
        <w:tabs>
          <w:tab w:val="right" w:leader="dot" w:pos="9356"/>
        </w:tabs>
        <w:spacing w:line="460" w:lineRule="exact"/>
        <w:ind w:leftChars="409" w:left="982" w:firstLineChars="204" w:firstLine="530"/>
        <w:jc w:val="both"/>
        <w:rPr>
          <w:rFonts w:eastAsia="標楷體"/>
          <w:noProof/>
          <w:kern w:val="0"/>
          <w:sz w:val="26"/>
          <w:szCs w:val="26"/>
        </w:rPr>
      </w:pPr>
      <w:r w:rsidRPr="00D55DC6">
        <w:rPr>
          <w:rFonts w:eastAsia="標楷體"/>
          <w:noProof/>
          <w:kern w:val="0"/>
          <w:sz w:val="26"/>
          <w:szCs w:val="26"/>
        </w:rPr>
        <w:t>就花東縱谷地區，以客觀角度辨認環境潛力與限制，主觀角度提出願景訴求，並針對花東縱谷國家風景區觀光整體發展計畫提出系統性的實質空間方案、旅遊活動行銷規劃建議、相關政策法令與執行管理機制的分析規劃，透過多面向整合串連，建構多管齊下的花東縱谷國家風景區觀光發展計畫。依本計畫發展目標之限制說明如下：</w:t>
      </w:r>
    </w:p>
    <w:p w:rsidR="00FE4B9B" w:rsidRPr="00D55DC6" w:rsidRDefault="00FE4B9B" w:rsidP="004865C1">
      <w:pPr>
        <w:widowControl/>
        <w:numPr>
          <w:ilvl w:val="0"/>
          <w:numId w:val="192"/>
        </w:numPr>
        <w:tabs>
          <w:tab w:val="left" w:pos="851"/>
        </w:tabs>
        <w:spacing w:line="460" w:lineRule="exact"/>
        <w:ind w:hanging="438"/>
        <w:jc w:val="both"/>
        <w:rPr>
          <w:kern w:val="0"/>
          <w:sz w:val="28"/>
          <w:szCs w:val="28"/>
        </w:rPr>
      </w:pPr>
      <w:r w:rsidRPr="00D55DC6">
        <w:rPr>
          <w:rFonts w:eastAsia="標楷體"/>
          <w:b/>
          <w:bCs/>
          <w:sz w:val="28"/>
          <w:szCs w:val="28"/>
        </w:rPr>
        <w:t>觀光發展區域資源與事權觀念待整合：</w:t>
      </w:r>
      <w:r w:rsidRPr="00D55DC6">
        <w:rPr>
          <w:rFonts w:eastAsia="標楷體"/>
          <w:sz w:val="28"/>
          <w:szCs w:val="28"/>
        </w:rPr>
        <w:t>景點開發建設事涉眾多公部門權責單位，需持續透過工作圈機制，統合相關權責單位，以發揮綜效。再從政策內容了解、相關計畫與法令資訊，及透過現地現勘和資料分析環境資源條件（潛力面與限制面），以客觀角度辨認環境潛力與限制，同時透過主觀面向，提出願景訴求，進而分析界定花東縱谷國家風景區的內涵與角色。</w:t>
      </w:r>
    </w:p>
    <w:p w:rsidR="00FE4B9B" w:rsidRPr="00D55DC6" w:rsidRDefault="00FE4B9B" w:rsidP="004865C1">
      <w:pPr>
        <w:widowControl/>
        <w:numPr>
          <w:ilvl w:val="0"/>
          <w:numId w:val="192"/>
        </w:numPr>
        <w:tabs>
          <w:tab w:val="left" w:pos="851"/>
        </w:tabs>
        <w:spacing w:line="460" w:lineRule="exact"/>
        <w:ind w:hanging="438"/>
        <w:jc w:val="both"/>
        <w:rPr>
          <w:rFonts w:eastAsia="標楷體"/>
          <w:sz w:val="28"/>
          <w:szCs w:val="28"/>
        </w:rPr>
      </w:pPr>
      <w:r w:rsidRPr="00D55DC6">
        <w:rPr>
          <w:rFonts w:eastAsia="標楷體"/>
          <w:b/>
          <w:bCs/>
          <w:sz w:val="28"/>
          <w:szCs w:val="28"/>
        </w:rPr>
        <w:t>原住民地區開發限制：</w:t>
      </w:r>
      <w:r w:rsidRPr="00D55DC6">
        <w:rPr>
          <w:rFonts w:eastAsia="標楷體"/>
          <w:sz w:val="28"/>
          <w:szCs w:val="28"/>
        </w:rPr>
        <w:t>部分景點位於原住民族地區，因屬私有土地，地主多不願意提供土地辦理開發。此外，原住民族基本法公布實施後，規定政府或私人於原住民族土地內從事土地開發、資源利用、生態保育及學術研究，均應諮詢並取得原住民族同意或參與，原住民得分享相關利益；復區內原住民族自主意志高，限制相關開發建設與時程。</w:t>
      </w:r>
    </w:p>
    <w:p w:rsidR="00FE4B9B" w:rsidRPr="00D55DC6" w:rsidRDefault="00FE4B9B" w:rsidP="004865C1">
      <w:pPr>
        <w:widowControl/>
        <w:numPr>
          <w:ilvl w:val="0"/>
          <w:numId w:val="192"/>
        </w:numPr>
        <w:tabs>
          <w:tab w:val="left" w:pos="851"/>
        </w:tabs>
        <w:spacing w:line="460" w:lineRule="exact"/>
        <w:ind w:hanging="438"/>
        <w:jc w:val="both"/>
        <w:rPr>
          <w:rFonts w:eastAsia="標楷體"/>
          <w:sz w:val="28"/>
          <w:szCs w:val="28"/>
        </w:rPr>
      </w:pPr>
      <w:r w:rsidRPr="00D55DC6">
        <w:rPr>
          <w:rFonts w:eastAsia="標楷體"/>
          <w:b/>
          <w:bCs/>
          <w:sz w:val="28"/>
          <w:szCs w:val="28"/>
        </w:rPr>
        <w:lastRenderedPageBreak/>
        <w:t>建設用地取得限制：</w:t>
      </w:r>
      <w:r w:rsidRPr="00D55DC6">
        <w:rPr>
          <w:rFonts w:eastAsia="標楷體"/>
          <w:sz w:val="28"/>
          <w:szCs w:val="28"/>
        </w:rPr>
        <w:t>部分土地位處保護區、森林區、山坡地保育區或水源水質保護區，觀光設施開發受限，地權取得、地用變更耗時費力，延緩觀光建設期程。</w:t>
      </w:r>
    </w:p>
    <w:p w:rsidR="00FE4B9B" w:rsidRPr="00D55DC6" w:rsidRDefault="00FE4B9B" w:rsidP="004865C1">
      <w:pPr>
        <w:widowControl/>
        <w:numPr>
          <w:ilvl w:val="0"/>
          <w:numId w:val="192"/>
        </w:numPr>
        <w:tabs>
          <w:tab w:val="left" w:pos="851"/>
        </w:tabs>
        <w:spacing w:line="460" w:lineRule="exact"/>
        <w:ind w:hanging="438"/>
        <w:jc w:val="both"/>
        <w:rPr>
          <w:rFonts w:eastAsia="標楷體"/>
          <w:sz w:val="28"/>
          <w:szCs w:val="28"/>
        </w:rPr>
      </w:pPr>
      <w:r w:rsidRPr="00D55DC6">
        <w:rPr>
          <w:rFonts w:eastAsia="標楷體"/>
          <w:b/>
          <w:bCs/>
          <w:sz w:val="28"/>
          <w:szCs w:val="28"/>
        </w:rPr>
        <w:t>自然地理環境限制：</w:t>
      </w:r>
      <w:r w:rsidRPr="00D55DC6">
        <w:rPr>
          <w:rFonts w:eastAsia="標楷體"/>
          <w:sz w:val="28"/>
          <w:szCs w:val="28"/>
        </w:rPr>
        <w:t>部分景點常因天候不佳而造成聯外交通中斷、或因聯外道路路幅狹小、易受天災坍塌，而影響遊客前往，或因地區水源不足、缺乏污水處理設施等，致觀光發展受限。</w:t>
      </w:r>
    </w:p>
    <w:p w:rsidR="00FE4B9B" w:rsidRPr="00D55DC6" w:rsidRDefault="00FE4B9B" w:rsidP="004865C1">
      <w:pPr>
        <w:widowControl/>
        <w:numPr>
          <w:ilvl w:val="0"/>
          <w:numId w:val="192"/>
        </w:numPr>
        <w:tabs>
          <w:tab w:val="left" w:pos="851"/>
        </w:tabs>
        <w:spacing w:line="460" w:lineRule="exact"/>
        <w:ind w:hanging="438"/>
        <w:jc w:val="both"/>
        <w:rPr>
          <w:rFonts w:eastAsia="標楷體"/>
          <w:sz w:val="28"/>
          <w:szCs w:val="28"/>
        </w:rPr>
      </w:pPr>
      <w:r w:rsidRPr="00D55DC6">
        <w:rPr>
          <w:rFonts w:eastAsia="標楷體"/>
          <w:b/>
          <w:bCs/>
          <w:sz w:val="28"/>
          <w:szCs w:val="28"/>
        </w:rPr>
        <w:t>開發行為法規限制：</w:t>
      </w:r>
      <w:r w:rsidRPr="00D55DC6">
        <w:rPr>
          <w:rFonts w:eastAsia="標楷體"/>
          <w:sz w:val="28"/>
          <w:szCs w:val="28"/>
        </w:rPr>
        <w:t>部分開發案需辦理都市計畫變更、環境影響評估或水土保持計畫等，因審議過程繁複，時程不易掌握，常影響景點之開發建設。</w:t>
      </w:r>
    </w:p>
    <w:p w:rsidR="00FE4B9B" w:rsidRPr="00D55DC6" w:rsidRDefault="00FE4B9B" w:rsidP="004865C1">
      <w:pPr>
        <w:numPr>
          <w:ilvl w:val="0"/>
          <w:numId w:val="195"/>
        </w:numPr>
        <w:snapToGrid w:val="0"/>
        <w:spacing w:beforeLines="50" w:before="180" w:afterLines="50" w:after="180" w:line="460" w:lineRule="exact"/>
        <w:ind w:left="862" w:hanging="862"/>
        <w:jc w:val="both"/>
        <w:rPr>
          <w:rFonts w:eastAsia="標楷體"/>
          <w:sz w:val="28"/>
          <w:szCs w:val="28"/>
        </w:rPr>
      </w:pPr>
      <w:r w:rsidRPr="00D55DC6">
        <w:rPr>
          <w:rFonts w:eastAsia="標楷體"/>
          <w:sz w:val="28"/>
          <w:szCs w:val="28"/>
        </w:rPr>
        <w:t>績效指標、衡量標準及目標值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03"/>
        <w:gridCol w:w="2545"/>
        <w:gridCol w:w="1035"/>
        <w:gridCol w:w="1040"/>
        <w:gridCol w:w="1035"/>
        <w:gridCol w:w="1035"/>
        <w:gridCol w:w="1035"/>
        <w:gridCol w:w="1042"/>
      </w:tblGrid>
      <w:tr w:rsidR="001D0350" w:rsidRPr="00D55DC6" w:rsidTr="00AA420D">
        <w:trPr>
          <w:trHeight w:val="345"/>
          <w:tblHeader/>
        </w:trPr>
        <w:tc>
          <w:tcPr>
            <w:tcW w:w="272" w:type="pct"/>
            <w:vMerge w:val="restart"/>
            <w:tcBorders>
              <w:top w:val="single" w:sz="4" w:space="0" w:color="auto"/>
              <w:left w:val="single" w:sz="4" w:space="0" w:color="auto"/>
              <w:bottom w:val="single" w:sz="4" w:space="0" w:color="auto"/>
              <w:right w:val="single" w:sz="4" w:space="0" w:color="auto"/>
            </w:tcBorders>
          </w:tcPr>
          <w:p w:rsidR="00FE4B9B" w:rsidRPr="00D55DC6" w:rsidRDefault="00FE4B9B" w:rsidP="00FE4B9B">
            <w:pPr>
              <w:widowControl/>
              <w:spacing w:line="460" w:lineRule="exact"/>
              <w:jc w:val="center"/>
              <w:rPr>
                <w:rFonts w:eastAsia="標楷體"/>
                <w:kern w:val="0"/>
                <w:sz w:val="28"/>
                <w:szCs w:val="28"/>
              </w:rPr>
            </w:pPr>
            <w:r w:rsidRPr="00D55DC6">
              <w:rPr>
                <w:rFonts w:eastAsia="標楷體"/>
                <w:kern w:val="0"/>
                <w:sz w:val="28"/>
                <w:szCs w:val="28"/>
              </w:rPr>
              <w:t>項目</w:t>
            </w:r>
          </w:p>
        </w:tc>
        <w:tc>
          <w:tcPr>
            <w:tcW w:w="1373" w:type="pct"/>
            <w:vMerge w:val="restart"/>
            <w:tcBorders>
              <w:top w:val="single" w:sz="4" w:space="0" w:color="auto"/>
              <w:left w:val="single" w:sz="4" w:space="0" w:color="auto"/>
              <w:bottom w:val="single" w:sz="4" w:space="0" w:color="auto"/>
              <w:right w:val="single" w:sz="4" w:space="0" w:color="auto"/>
            </w:tcBorders>
            <w:vAlign w:val="center"/>
          </w:tcPr>
          <w:p w:rsidR="00FE4B9B" w:rsidRPr="00D55DC6" w:rsidRDefault="00FE4B9B" w:rsidP="00FE4B9B">
            <w:pPr>
              <w:widowControl/>
              <w:spacing w:line="460" w:lineRule="exact"/>
              <w:jc w:val="center"/>
              <w:rPr>
                <w:rFonts w:eastAsia="標楷體"/>
                <w:kern w:val="0"/>
                <w:sz w:val="28"/>
                <w:szCs w:val="28"/>
              </w:rPr>
            </w:pPr>
            <w:r w:rsidRPr="00D55DC6">
              <w:rPr>
                <w:rFonts w:eastAsia="標楷體"/>
                <w:kern w:val="0"/>
                <w:sz w:val="28"/>
                <w:szCs w:val="28"/>
              </w:rPr>
              <w:t>衡量指標</w:t>
            </w:r>
          </w:p>
        </w:tc>
        <w:tc>
          <w:tcPr>
            <w:tcW w:w="1119" w:type="pct"/>
            <w:gridSpan w:val="2"/>
            <w:tcBorders>
              <w:top w:val="single" w:sz="4" w:space="0" w:color="auto"/>
              <w:left w:val="single" w:sz="4" w:space="0" w:color="auto"/>
              <w:bottom w:val="single" w:sz="4" w:space="0" w:color="auto"/>
              <w:right w:val="single" w:sz="4" w:space="0" w:color="auto"/>
            </w:tcBorders>
          </w:tcPr>
          <w:p w:rsidR="00FE4B9B" w:rsidRPr="00D55DC6" w:rsidRDefault="00FE4B9B" w:rsidP="00FE4B9B">
            <w:pPr>
              <w:widowControl/>
              <w:spacing w:line="460" w:lineRule="exact"/>
              <w:jc w:val="center"/>
              <w:rPr>
                <w:rFonts w:eastAsia="標楷體"/>
                <w:kern w:val="0"/>
                <w:sz w:val="28"/>
                <w:szCs w:val="28"/>
              </w:rPr>
            </w:pPr>
            <w:r w:rsidRPr="00D55DC6">
              <w:rPr>
                <w:rFonts w:eastAsia="標楷體"/>
                <w:kern w:val="0"/>
                <w:sz w:val="28"/>
                <w:szCs w:val="28"/>
              </w:rPr>
              <w:t>衡量基準</w:t>
            </w:r>
          </w:p>
        </w:tc>
        <w:tc>
          <w:tcPr>
            <w:tcW w:w="2236" w:type="pct"/>
            <w:gridSpan w:val="4"/>
            <w:tcBorders>
              <w:top w:val="single" w:sz="4" w:space="0" w:color="auto"/>
              <w:left w:val="single" w:sz="4" w:space="0" w:color="auto"/>
              <w:bottom w:val="single" w:sz="4" w:space="0" w:color="auto"/>
              <w:right w:val="single" w:sz="4" w:space="0" w:color="auto"/>
            </w:tcBorders>
          </w:tcPr>
          <w:p w:rsidR="00FE4B9B" w:rsidRPr="00D55DC6" w:rsidRDefault="00FE4B9B" w:rsidP="00FE4B9B">
            <w:pPr>
              <w:widowControl/>
              <w:spacing w:line="460" w:lineRule="exact"/>
              <w:jc w:val="center"/>
              <w:rPr>
                <w:rFonts w:eastAsia="標楷體"/>
                <w:kern w:val="0"/>
                <w:sz w:val="28"/>
                <w:szCs w:val="28"/>
              </w:rPr>
            </w:pPr>
            <w:r w:rsidRPr="00D55DC6">
              <w:rPr>
                <w:rFonts w:eastAsia="標楷體"/>
                <w:kern w:val="0"/>
                <w:sz w:val="28"/>
                <w:szCs w:val="28"/>
              </w:rPr>
              <w:t>預期目標值</w:t>
            </w:r>
          </w:p>
        </w:tc>
      </w:tr>
      <w:tr w:rsidR="001D0350" w:rsidRPr="00D55DC6" w:rsidTr="00AA420D">
        <w:trPr>
          <w:trHeight w:val="345"/>
          <w:tblHeader/>
        </w:trPr>
        <w:tc>
          <w:tcPr>
            <w:tcW w:w="272" w:type="pct"/>
            <w:vMerge/>
            <w:tcBorders>
              <w:top w:val="single" w:sz="4" w:space="0" w:color="auto"/>
              <w:left w:val="single" w:sz="4" w:space="0" w:color="auto"/>
              <w:bottom w:val="single" w:sz="4" w:space="0" w:color="auto"/>
              <w:right w:val="single" w:sz="4" w:space="0" w:color="auto"/>
            </w:tcBorders>
          </w:tcPr>
          <w:p w:rsidR="00FE4B9B" w:rsidRPr="00D55DC6" w:rsidRDefault="00FE4B9B" w:rsidP="00FE4B9B">
            <w:pPr>
              <w:widowControl/>
              <w:spacing w:line="460" w:lineRule="exact"/>
              <w:jc w:val="center"/>
              <w:rPr>
                <w:rFonts w:eastAsia="標楷體"/>
                <w:kern w:val="0"/>
                <w:sz w:val="28"/>
                <w:szCs w:val="28"/>
              </w:rPr>
            </w:pPr>
          </w:p>
        </w:tc>
        <w:tc>
          <w:tcPr>
            <w:tcW w:w="1373" w:type="pct"/>
            <w:vMerge/>
            <w:tcBorders>
              <w:top w:val="single" w:sz="4" w:space="0" w:color="auto"/>
              <w:left w:val="single" w:sz="4" w:space="0" w:color="auto"/>
              <w:bottom w:val="single" w:sz="4" w:space="0" w:color="auto"/>
              <w:right w:val="single" w:sz="4" w:space="0" w:color="auto"/>
            </w:tcBorders>
            <w:vAlign w:val="center"/>
          </w:tcPr>
          <w:p w:rsidR="00FE4B9B" w:rsidRPr="00D55DC6" w:rsidRDefault="00FE4B9B" w:rsidP="00FE4B9B">
            <w:pPr>
              <w:widowControl/>
              <w:spacing w:line="460" w:lineRule="exact"/>
              <w:rPr>
                <w:rFonts w:eastAsia="標楷體"/>
                <w:kern w:val="0"/>
                <w:sz w:val="28"/>
                <w:szCs w:val="28"/>
              </w:rPr>
            </w:pPr>
          </w:p>
        </w:tc>
        <w:tc>
          <w:tcPr>
            <w:tcW w:w="558" w:type="pct"/>
            <w:tcBorders>
              <w:top w:val="single" w:sz="4" w:space="0" w:color="auto"/>
              <w:left w:val="single" w:sz="4" w:space="0" w:color="auto"/>
              <w:bottom w:val="single" w:sz="4" w:space="0" w:color="auto"/>
              <w:right w:val="single" w:sz="4" w:space="0" w:color="auto"/>
            </w:tcBorders>
          </w:tcPr>
          <w:p w:rsidR="00FE4B9B" w:rsidRPr="00D55DC6" w:rsidRDefault="00FE4B9B" w:rsidP="00FE4B9B">
            <w:pPr>
              <w:widowControl/>
              <w:spacing w:line="460" w:lineRule="exact"/>
              <w:jc w:val="center"/>
              <w:rPr>
                <w:rFonts w:eastAsia="標楷體"/>
                <w:kern w:val="0"/>
                <w:sz w:val="28"/>
                <w:szCs w:val="28"/>
              </w:rPr>
            </w:pPr>
            <w:r w:rsidRPr="00D55DC6">
              <w:rPr>
                <w:rFonts w:eastAsia="標楷體"/>
                <w:kern w:val="0"/>
                <w:sz w:val="28"/>
                <w:szCs w:val="28"/>
              </w:rPr>
              <w:t>102</w:t>
            </w:r>
            <w:r w:rsidRPr="00D55DC6">
              <w:rPr>
                <w:rFonts w:eastAsia="標楷體"/>
                <w:kern w:val="0"/>
                <w:sz w:val="28"/>
                <w:szCs w:val="28"/>
              </w:rPr>
              <w:t>年</w:t>
            </w:r>
          </w:p>
        </w:tc>
        <w:tc>
          <w:tcPr>
            <w:tcW w:w="561" w:type="pct"/>
            <w:tcBorders>
              <w:top w:val="single" w:sz="4" w:space="0" w:color="auto"/>
              <w:left w:val="single" w:sz="4" w:space="0" w:color="auto"/>
              <w:bottom w:val="single" w:sz="4" w:space="0" w:color="auto"/>
              <w:right w:val="single" w:sz="4" w:space="0" w:color="auto"/>
            </w:tcBorders>
          </w:tcPr>
          <w:p w:rsidR="00FE4B9B" w:rsidRPr="00D55DC6" w:rsidRDefault="00FE4B9B" w:rsidP="00FE4B9B">
            <w:pPr>
              <w:widowControl/>
              <w:spacing w:line="460" w:lineRule="exact"/>
              <w:jc w:val="center"/>
              <w:rPr>
                <w:rFonts w:eastAsia="標楷體"/>
                <w:kern w:val="0"/>
                <w:sz w:val="28"/>
                <w:szCs w:val="28"/>
              </w:rPr>
            </w:pPr>
            <w:r w:rsidRPr="00D55DC6">
              <w:rPr>
                <w:rFonts w:eastAsia="標楷體"/>
                <w:kern w:val="0"/>
                <w:sz w:val="28"/>
                <w:szCs w:val="28"/>
              </w:rPr>
              <w:t>103</w:t>
            </w:r>
            <w:r w:rsidRPr="00D55DC6">
              <w:rPr>
                <w:rFonts w:eastAsia="標楷體"/>
                <w:kern w:val="0"/>
                <w:sz w:val="28"/>
                <w:szCs w:val="28"/>
              </w:rPr>
              <w:t>年</w:t>
            </w:r>
          </w:p>
        </w:tc>
        <w:tc>
          <w:tcPr>
            <w:tcW w:w="558" w:type="pct"/>
            <w:tcBorders>
              <w:top w:val="single" w:sz="4" w:space="0" w:color="auto"/>
              <w:left w:val="single" w:sz="4" w:space="0" w:color="auto"/>
              <w:bottom w:val="single" w:sz="4" w:space="0" w:color="auto"/>
              <w:right w:val="single" w:sz="4" w:space="0" w:color="auto"/>
            </w:tcBorders>
          </w:tcPr>
          <w:p w:rsidR="00FE4B9B" w:rsidRPr="00D55DC6" w:rsidRDefault="00FE4B9B" w:rsidP="00FE4B9B">
            <w:pPr>
              <w:widowControl/>
              <w:spacing w:line="460" w:lineRule="exact"/>
              <w:jc w:val="center"/>
              <w:rPr>
                <w:rFonts w:eastAsia="標楷體"/>
                <w:kern w:val="0"/>
                <w:sz w:val="28"/>
                <w:szCs w:val="28"/>
              </w:rPr>
            </w:pPr>
            <w:r w:rsidRPr="00D55DC6">
              <w:rPr>
                <w:rFonts w:eastAsia="標楷體"/>
                <w:kern w:val="0"/>
                <w:sz w:val="28"/>
                <w:szCs w:val="28"/>
              </w:rPr>
              <w:t>105</w:t>
            </w:r>
            <w:r w:rsidRPr="00D55DC6">
              <w:rPr>
                <w:rFonts w:eastAsia="標楷體"/>
                <w:kern w:val="0"/>
                <w:sz w:val="28"/>
                <w:szCs w:val="28"/>
              </w:rPr>
              <w:t>年</w:t>
            </w:r>
          </w:p>
        </w:tc>
        <w:tc>
          <w:tcPr>
            <w:tcW w:w="558" w:type="pct"/>
            <w:tcBorders>
              <w:top w:val="single" w:sz="4" w:space="0" w:color="auto"/>
              <w:left w:val="single" w:sz="4" w:space="0" w:color="auto"/>
              <w:bottom w:val="single" w:sz="4" w:space="0" w:color="auto"/>
              <w:right w:val="single" w:sz="4" w:space="0" w:color="auto"/>
            </w:tcBorders>
          </w:tcPr>
          <w:p w:rsidR="00FE4B9B" w:rsidRPr="00D55DC6" w:rsidRDefault="00FE4B9B" w:rsidP="00FE4B9B">
            <w:pPr>
              <w:widowControl/>
              <w:spacing w:line="460" w:lineRule="exact"/>
              <w:jc w:val="center"/>
              <w:rPr>
                <w:rFonts w:eastAsia="標楷體"/>
                <w:kern w:val="0"/>
                <w:sz w:val="28"/>
                <w:szCs w:val="28"/>
              </w:rPr>
            </w:pPr>
            <w:r w:rsidRPr="00D55DC6">
              <w:rPr>
                <w:rFonts w:eastAsia="標楷體"/>
                <w:kern w:val="0"/>
                <w:sz w:val="28"/>
                <w:szCs w:val="28"/>
              </w:rPr>
              <w:t>106</w:t>
            </w:r>
            <w:r w:rsidRPr="00D55DC6">
              <w:rPr>
                <w:rFonts w:eastAsia="標楷體"/>
                <w:kern w:val="0"/>
                <w:sz w:val="28"/>
                <w:szCs w:val="28"/>
              </w:rPr>
              <w:t>年</w:t>
            </w:r>
          </w:p>
        </w:tc>
        <w:tc>
          <w:tcPr>
            <w:tcW w:w="558" w:type="pct"/>
            <w:tcBorders>
              <w:top w:val="single" w:sz="4" w:space="0" w:color="auto"/>
              <w:left w:val="single" w:sz="4" w:space="0" w:color="auto"/>
              <w:bottom w:val="single" w:sz="4" w:space="0" w:color="auto"/>
              <w:right w:val="single" w:sz="4" w:space="0" w:color="auto"/>
            </w:tcBorders>
          </w:tcPr>
          <w:p w:rsidR="00FE4B9B" w:rsidRPr="00D55DC6" w:rsidRDefault="00FE4B9B" w:rsidP="00FE4B9B">
            <w:pPr>
              <w:widowControl/>
              <w:spacing w:line="460" w:lineRule="exact"/>
              <w:jc w:val="center"/>
              <w:rPr>
                <w:rFonts w:eastAsia="標楷體"/>
                <w:kern w:val="0"/>
                <w:sz w:val="28"/>
                <w:szCs w:val="28"/>
              </w:rPr>
            </w:pPr>
            <w:r w:rsidRPr="00D55DC6">
              <w:rPr>
                <w:rFonts w:eastAsia="標楷體"/>
                <w:kern w:val="0"/>
                <w:sz w:val="28"/>
                <w:szCs w:val="28"/>
              </w:rPr>
              <w:t>107</w:t>
            </w:r>
            <w:r w:rsidRPr="00D55DC6">
              <w:rPr>
                <w:rFonts w:eastAsia="標楷體"/>
                <w:kern w:val="0"/>
                <w:sz w:val="28"/>
                <w:szCs w:val="28"/>
              </w:rPr>
              <w:t>年</w:t>
            </w:r>
          </w:p>
        </w:tc>
        <w:tc>
          <w:tcPr>
            <w:tcW w:w="561" w:type="pct"/>
            <w:tcBorders>
              <w:top w:val="single" w:sz="4" w:space="0" w:color="auto"/>
              <w:left w:val="single" w:sz="4" w:space="0" w:color="auto"/>
              <w:bottom w:val="single" w:sz="4" w:space="0" w:color="auto"/>
              <w:right w:val="single" w:sz="4" w:space="0" w:color="auto"/>
            </w:tcBorders>
          </w:tcPr>
          <w:p w:rsidR="00FE4B9B" w:rsidRPr="00D55DC6" w:rsidRDefault="00FE4B9B" w:rsidP="00FE4B9B">
            <w:pPr>
              <w:widowControl/>
              <w:spacing w:line="460" w:lineRule="exact"/>
              <w:jc w:val="center"/>
              <w:rPr>
                <w:rFonts w:eastAsia="標楷體"/>
                <w:kern w:val="0"/>
                <w:sz w:val="28"/>
                <w:szCs w:val="28"/>
              </w:rPr>
            </w:pPr>
            <w:r w:rsidRPr="00D55DC6">
              <w:rPr>
                <w:rFonts w:eastAsia="標楷體"/>
                <w:kern w:val="0"/>
                <w:sz w:val="28"/>
                <w:szCs w:val="28"/>
              </w:rPr>
              <w:t>108</w:t>
            </w:r>
            <w:r w:rsidRPr="00D55DC6">
              <w:rPr>
                <w:rFonts w:eastAsia="標楷體"/>
                <w:kern w:val="0"/>
                <w:sz w:val="28"/>
                <w:szCs w:val="28"/>
              </w:rPr>
              <w:t>年</w:t>
            </w:r>
          </w:p>
        </w:tc>
      </w:tr>
      <w:tr w:rsidR="001D0350" w:rsidRPr="00D55DC6" w:rsidTr="00AA420D">
        <w:trPr>
          <w:trHeight w:val="805"/>
        </w:trPr>
        <w:tc>
          <w:tcPr>
            <w:tcW w:w="272" w:type="pct"/>
            <w:tcBorders>
              <w:top w:val="single" w:sz="4" w:space="0" w:color="auto"/>
              <w:left w:val="single" w:sz="4" w:space="0" w:color="auto"/>
              <w:bottom w:val="single" w:sz="4" w:space="0" w:color="auto"/>
              <w:right w:val="single" w:sz="4" w:space="0" w:color="auto"/>
            </w:tcBorders>
          </w:tcPr>
          <w:p w:rsidR="00FE4B9B" w:rsidRPr="00D55DC6" w:rsidRDefault="00FE4B9B" w:rsidP="00FE4B9B">
            <w:pPr>
              <w:widowControl/>
              <w:spacing w:line="460" w:lineRule="exact"/>
              <w:jc w:val="center"/>
              <w:rPr>
                <w:rFonts w:eastAsia="標楷體"/>
                <w:kern w:val="0"/>
                <w:sz w:val="28"/>
                <w:szCs w:val="28"/>
              </w:rPr>
            </w:pPr>
            <w:r w:rsidRPr="00D55DC6">
              <w:rPr>
                <w:rFonts w:eastAsia="標楷體"/>
                <w:kern w:val="0"/>
                <w:sz w:val="28"/>
                <w:szCs w:val="28"/>
              </w:rPr>
              <w:t>1</w:t>
            </w:r>
          </w:p>
        </w:tc>
        <w:tc>
          <w:tcPr>
            <w:tcW w:w="1373" w:type="pct"/>
            <w:tcBorders>
              <w:top w:val="single" w:sz="4" w:space="0" w:color="auto"/>
              <w:left w:val="single" w:sz="4" w:space="0" w:color="auto"/>
              <w:bottom w:val="single" w:sz="4" w:space="0" w:color="auto"/>
              <w:right w:val="single" w:sz="4" w:space="0" w:color="auto"/>
            </w:tcBorders>
          </w:tcPr>
          <w:p w:rsidR="00FE4B9B" w:rsidRPr="00D55DC6" w:rsidRDefault="00FE4B9B" w:rsidP="00FE4B9B">
            <w:pPr>
              <w:widowControl/>
              <w:spacing w:line="460" w:lineRule="exact"/>
              <w:jc w:val="both"/>
              <w:rPr>
                <w:rFonts w:eastAsia="標楷體"/>
                <w:kern w:val="0"/>
                <w:sz w:val="28"/>
                <w:szCs w:val="28"/>
              </w:rPr>
            </w:pPr>
            <w:r w:rsidRPr="00D55DC6">
              <w:rPr>
                <w:rFonts w:eastAsia="標楷體"/>
                <w:kern w:val="0"/>
                <w:sz w:val="28"/>
                <w:szCs w:val="28"/>
              </w:rPr>
              <w:t>重要觀光景點建設完成數</w:t>
            </w:r>
            <w:r w:rsidRPr="00D55DC6">
              <w:rPr>
                <w:rFonts w:eastAsia="標楷體"/>
                <w:kern w:val="0"/>
                <w:sz w:val="28"/>
                <w:szCs w:val="28"/>
              </w:rPr>
              <w:t>(</w:t>
            </w:r>
            <w:r w:rsidRPr="00D55DC6">
              <w:rPr>
                <w:rFonts w:eastAsia="標楷體"/>
                <w:kern w:val="0"/>
                <w:sz w:val="28"/>
                <w:szCs w:val="28"/>
              </w:rPr>
              <w:t>處</w:t>
            </w:r>
            <w:r w:rsidRPr="00D55DC6">
              <w:rPr>
                <w:rFonts w:eastAsia="標楷體"/>
                <w:kern w:val="0"/>
                <w:sz w:val="28"/>
                <w:szCs w:val="28"/>
              </w:rPr>
              <w:t>)</w:t>
            </w:r>
          </w:p>
        </w:tc>
        <w:tc>
          <w:tcPr>
            <w:tcW w:w="558" w:type="pct"/>
            <w:tcBorders>
              <w:top w:val="single" w:sz="4" w:space="0" w:color="auto"/>
              <w:left w:val="single" w:sz="4" w:space="0" w:color="auto"/>
              <w:bottom w:val="single" w:sz="4" w:space="0" w:color="auto"/>
              <w:right w:val="single" w:sz="4" w:space="0" w:color="auto"/>
            </w:tcBorders>
            <w:vAlign w:val="center"/>
          </w:tcPr>
          <w:p w:rsidR="00FE4B9B" w:rsidRPr="00D55DC6" w:rsidRDefault="00FE4B9B" w:rsidP="00FE4B9B">
            <w:pPr>
              <w:spacing w:line="460" w:lineRule="exact"/>
              <w:jc w:val="center"/>
              <w:rPr>
                <w:rFonts w:eastAsia="標楷體"/>
              </w:rPr>
            </w:pPr>
            <w:r w:rsidRPr="00D55DC6">
              <w:rPr>
                <w:rFonts w:eastAsia="標楷體"/>
              </w:rPr>
              <w:t>4</w:t>
            </w:r>
          </w:p>
        </w:tc>
        <w:tc>
          <w:tcPr>
            <w:tcW w:w="561" w:type="pct"/>
            <w:tcBorders>
              <w:top w:val="single" w:sz="4" w:space="0" w:color="auto"/>
              <w:left w:val="single" w:sz="4" w:space="0" w:color="auto"/>
              <w:bottom w:val="single" w:sz="4" w:space="0" w:color="auto"/>
              <w:right w:val="single" w:sz="4" w:space="0" w:color="auto"/>
            </w:tcBorders>
            <w:vAlign w:val="center"/>
          </w:tcPr>
          <w:p w:rsidR="00FE4B9B" w:rsidRPr="00D55DC6" w:rsidRDefault="00FE4B9B" w:rsidP="00FE4B9B">
            <w:pPr>
              <w:spacing w:line="460" w:lineRule="exact"/>
              <w:jc w:val="center"/>
              <w:rPr>
                <w:rFonts w:eastAsia="標楷體"/>
              </w:rPr>
            </w:pPr>
            <w:r w:rsidRPr="00D55DC6">
              <w:rPr>
                <w:rFonts w:eastAsia="標楷體"/>
              </w:rPr>
              <w:t>4</w:t>
            </w:r>
          </w:p>
        </w:tc>
        <w:tc>
          <w:tcPr>
            <w:tcW w:w="558" w:type="pct"/>
            <w:tcBorders>
              <w:top w:val="single" w:sz="4" w:space="0" w:color="auto"/>
              <w:left w:val="single" w:sz="4" w:space="0" w:color="auto"/>
              <w:bottom w:val="single" w:sz="4" w:space="0" w:color="auto"/>
              <w:right w:val="single" w:sz="4" w:space="0" w:color="auto"/>
            </w:tcBorders>
            <w:vAlign w:val="center"/>
          </w:tcPr>
          <w:p w:rsidR="00FE4B9B" w:rsidRPr="00D55DC6" w:rsidRDefault="00FE4B9B" w:rsidP="00FE4B9B">
            <w:pPr>
              <w:widowControl/>
              <w:spacing w:line="460" w:lineRule="exact"/>
              <w:jc w:val="center"/>
              <w:rPr>
                <w:rFonts w:eastAsia="標楷體"/>
                <w:kern w:val="0"/>
                <w:sz w:val="28"/>
                <w:szCs w:val="28"/>
              </w:rPr>
            </w:pPr>
            <w:r w:rsidRPr="00D55DC6">
              <w:rPr>
                <w:rFonts w:eastAsia="標楷體"/>
                <w:kern w:val="0"/>
                <w:sz w:val="28"/>
                <w:szCs w:val="28"/>
              </w:rPr>
              <w:t>4</w:t>
            </w:r>
          </w:p>
        </w:tc>
        <w:tc>
          <w:tcPr>
            <w:tcW w:w="558" w:type="pct"/>
            <w:tcBorders>
              <w:top w:val="single" w:sz="4" w:space="0" w:color="auto"/>
              <w:left w:val="single" w:sz="4" w:space="0" w:color="auto"/>
              <w:bottom w:val="single" w:sz="4" w:space="0" w:color="auto"/>
              <w:right w:val="single" w:sz="4" w:space="0" w:color="auto"/>
            </w:tcBorders>
            <w:vAlign w:val="center"/>
          </w:tcPr>
          <w:p w:rsidR="00FE4B9B" w:rsidRPr="00D55DC6" w:rsidRDefault="00FE4B9B" w:rsidP="00FE4B9B">
            <w:pPr>
              <w:widowControl/>
              <w:spacing w:line="460" w:lineRule="exact"/>
              <w:jc w:val="center"/>
              <w:rPr>
                <w:rFonts w:eastAsia="標楷體"/>
                <w:kern w:val="0"/>
                <w:sz w:val="28"/>
                <w:szCs w:val="28"/>
              </w:rPr>
            </w:pPr>
            <w:r w:rsidRPr="00D55DC6">
              <w:rPr>
                <w:rFonts w:eastAsia="標楷體"/>
                <w:kern w:val="0"/>
                <w:sz w:val="28"/>
                <w:szCs w:val="28"/>
              </w:rPr>
              <w:t>4</w:t>
            </w:r>
          </w:p>
        </w:tc>
        <w:tc>
          <w:tcPr>
            <w:tcW w:w="558" w:type="pct"/>
            <w:tcBorders>
              <w:top w:val="single" w:sz="4" w:space="0" w:color="auto"/>
              <w:left w:val="single" w:sz="4" w:space="0" w:color="auto"/>
              <w:bottom w:val="single" w:sz="4" w:space="0" w:color="auto"/>
              <w:right w:val="single" w:sz="4" w:space="0" w:color="auto"/>
            </w:tcBorders>
            <w:vAlign w:val="center"/>
          </w:tcPr>
          <w:p w:rsidR="00FE4B9B" w:rsidRPr="00D55DC6" w:rsidRDefault="00FE4B9B" w:rsidP="00FE4B9B">
            <w:pPr>
              <w:widowControl/>
              <w:spacing w:line="460" w:lineRule="exact"/>
              <w:jc w:val="center"/>
              <w:rPr>
                <w:rFonts w:eastAsia="標楷體"/>
                <w:kern w:val="0"/>
                <w:sz w:val="28"/>
                <w:szCs w:val="28"/>
              </w:rPr>
            </w:pPr>
            <w:r w:rsidRPr="00D55DC6">
              <w:rPr>
                <w:rFonts w:eastAsia="標楷體"/>
                <w:kern w:val="0"/>
                <w:sz w:val="28"/>
                <w:szCs w:val="28"/>
              </w:rPr>
              <w:t>4</w:t>
            </w:r>
          </w:p>
        </w:tc>
        <w:tc>
          <w:tcPr>
            <w:tcW w:w="561" w:type="pct"/>
            <w:tcBorders>
              <w:top w:val="single" w:sz="4" w:space="0" w:color="auto"/>
              <w:left w:val="single" w:sz="4" w:space="0" w:color="auto"/>
              <w:bottom w:val="single" w:sz="4" w:space="0" w:color="auto"/>
              <w:right w:val="single" w:sz="4" w:space="0" w:color="auto"/>
            </w:tcBorders>
            <w:vAlign w:val="center"/>
          </w:tcPr>
          <w:p w:rsidR="00FE4B9B" w:rsidRPr="00D55DC6" w:rsidRDefault="00FE4B9B" w:rsidP="00FE4B9B">
            <w:pPr>
              <w:widowControl/>
              <w:spacing w:line="460" w:lineRule="exact"/>
              <w:jc w:val="center"/>
              <w:rPr>
                <w:rFonts w:eastAsia="標楷體"/>
                <w:kern w:val="0"/>
                <w:sz w:val="28"/>
                <w:szCs w:val="28"/>
              </w:rPr>
            </w:pPr>
            <w:r w:rsidRPr="00D55DC6">
              <w:rPr>
                <w:rFonts w:eastAsia="標楷體"/>
                <w:kern w:val="0"/>
                <w:sz w:val="28"/>
                <w:szCs w:val="28"/>
              </w:rPr>
              <w:t>4</w:t>
            </w:r>
          </w:p>
        </w:tc>
      </w:tr>
      <w:tr w:rsidR="001D0350" w:rsidRPr="00D55DC6" w:rsidTr="00AA420D">
        <w:trPr>
          <w:trHeight w:val="675"/>
        </w:trPr>
        <w:tc>
          <w:tcPr>
            <w:tcW w:w="272" w:type="pct"/>
            <w:tcBorders>
              <w:top w:val="single" w:sz="4" w:space="0" w:color="auto"/>
              <w:left w:val="single" w:sz="4" w:space="0" w:color="auto"/>
              <w:bottom w:val="single" w:sz="4" w:space="0" w:color="auto"/>
              <w:right w:val="single" w:sz="4" w:space="0" w:color="auto"/>
            </w:tcBorders>
          </w:tcPr>
          <w:p w:rsidR="00AA420D" w:rsidRPr="00D55DC6" w:rsidRDefault="00AA420D" w:rsidP="000725AB">
            <w:pPr>
              <w:widowControl/>
              <w:spacing w:line="460" w:lineRule="exact"/>
              <w:jc w:val="center"/>
              <w:rPr>
                <w:rFonts w:eastAsia="標楷體"/>
                <w:kern w:val="0"/>
                <w:sz w:val="28"/>
                <w:szCs w:val="28"/>
              </w:rPr>
            </w:pPr>
            <w:r w:rsidRPr="00D55DC6">
              <w:rPr>
                <w:rFonts w:eastAsia="標楷體"/>
                <w:kern w:val="0"/>
                <w:sz w:val="28"/>
                <w:szCs w:val="28"/>
              </w:rPr>
              <w:t>2</w:t>
            </w:r>
          </w:p>
        </w:tc>
        <w:tc>
          <w:tcPr>
            <w:tcW w:w="1373" w:type="pct"/>
            <w:tcBorders>
              <w:top w:val="single" w:sz="4" w:space="0" w:color="auto"/>
              <w:left w:val="single" w:sz="4" w:space="0" w:color="auto"/>
              <w:bottom w:val="single" w:sz="4" w:space="0" w:color="auto"/>
              <w:right w:val="single" w:sz="4" w:space="0" w:color="auto"/>
            </w:tcBorders>
          </w:tcPr>
          <w:p w:rsidR="00AA420D" w:rsidRPr="00D55DC6" w:rsidRDefault="00AA420D" w:rsidP="000725AB">
            <w:pPr>
              <w:widowControl/>
              <w:spacing w:line="460" w:lineRule="exact"/>
              <w:jc w:val="both"/>
              <w:rPr>
                <w:rFonts w:eastAsia="標楷體"/>
                <w:kern w:val="0"/>
                <w:sz w:val="28"/>
                <w:szCs w:val="28"/>
              </w:rPr>
            </w:pPr>
            <w:r w:rsidRPr="00D55DC6">
              <w:rPr>
                <w:rFonts w:eastAsia="標楷體"/>
                <w:kern w:val="0"/>
                <w:sz w:val="28"/>
                <w:szCs w:val="28"/>
              </w:rPr>
              <w:t>參訪國家風景區遊客人數</w:t>
            </w:r>
            <w:r w:rsidRPr="00D55DC6">
              <w:rPr>
                <w:rFonts w:eastAsia="標楷體"/>
                <w:kern w:val="0"/>
                <w:sz w:val="28"/>
                <w:szCs w:val="28"/>
              </w:rPr>
              <w:t>(</w:t>
            </w:r>
            <w:r w:rsidRPr="00D55DC6">
              <w:rPr>
                <w:rFonts w:eastAsia="標楷體"/>
                <w:kern w:val="0"/>
                <w:sz w:val="28"/>
                <w:szCs w:val="28"/>
              </w:rPr>
              <w:t>萬人</w:t>
            </w:r>
            <w:r w:rsidRPr="00D55DC6">
              <w:rPr>
                <w:rFonts w:eastAsia="標楷體"/>
                <w:kern w:val="0"/>
                <w:sz w:val="28"/>
                <w:szCs w:val="28"/>
              </w:rPr>
              <w:t xml:space="preserve">) </w:t>
            </w:r>
          </w:p>
        </w:tc>
        <w:tc>
          <w:tcPr>
            <w:tcW w:w="558"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rsidP="000725AB">
            <w:pPr>
              <w:spacing w:line="460" w:lineRule="exact"/>
              <w:jc w:val="center"/>
              <w:rPr>
                <w:rFonts w:eastAsia="標楷體"/>
                <w:sz w:val="28"/>
                <w:szCs w:val="28"/>
              </w:rPr>
            </w:pPr>
            <w:r w:rsidRPr="00D55DC6">
              <w:rPr>
                <w:rFonts w:eastAsia="標楷體"/>
                <w:sz w:val="28"/>
                <w:szCs w:val="28"/>
              </w:rPr>
              <w:t>346</w:t>
            </w:r>
          </w:p>
        </w:tc>
        <w:tc>
          <w:tcPr>
            <w:tcW w:w="561"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rsidP="000725AB">
            <w:pPr>
              <w:spacing w:line="460" w:lineRule="exact"/>
              <w:jc w:val="center"/>
              <w:rPr>
                <w:rFonts w:eastAsia="標楷體"/>
                <w:sz w:val="28"/>
                <w:szCs w:val="28"/>
              </w:rPr>
            </w:pPr>
            <w:r w:rsidRPr="00D55DC6">
              <w:rPr>
                <w:rFonts w:eastAsia="標楷體"/>
                <w:sz w:val="28"/>
                <w:szCs w:val="28"/>
              </w:rPr>
              <w:t>300</w:t>
            </w:r>
          </w:p>
        </w:tc>
        <w:tc>
          <w:tcPr>
            <w:tcW w:w="558"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rsidP="000725AB">
            <w:pPr>
              <w:widowControl/>
              <w:spacing w:line="460" w:lineRule="exact"/>
              <w:jc w:val="center"/>
              <w:rPr>
                <w:rFonts w:eastAsia="標楷體"/>
                <w:kern w:val="0"/>
                <w:sz w:val="28"/>
                <w:szCs w:val="28"/>
              </w:rPr>
            </w:pPr>
            <w:r w:rsidRPr="00D55DC6">
              <w:rPr>
                <w:rFonts w:eastAsia="標楷體"/>
                <w:kern w:val="0"/>
                <w:sz w:val="28"/>
                <w:szCs w:val="28"/>
              </w:rPr>
              <w:t>360</w:t>
            </w:r>
          </w:p>
        </w:tc>
        <w:tc>
          <w:tcPr>
            <w:tcW w:w="558"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rsidP="000725AB">
            <w:pPr>
              <w:widowControl/>
              <w:spacing w:line="460" w:lineRule="exact"/>
              <w:jc w:val="center"/>
              <w:rPr>
                <w:rFonts w:eastAsia="標楷體"/>
                <w:kern w:val="0"/>
                <w:sz w:val="28"/>
                <w:szCs w:val="28"/>
              </w:rPr>
            </w:pPr>
            <w:r w:rsidRPr="00D55DC6">
              <w:rPr>
                <w:rFonts w:eastAsia="標楷體"/>
                <w:kern w:val="0"/>
                <w:sz w:val="28"/>
                <w:szCs w:val="28"/>
              </w:rPr>
              <w:t>370</w:t>
            </w:r>
          </w:p>
        </w:tc>
        <w:tc>
          <w:tcPr>
            <w:tcW w:w="558"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rsidP="000725AB">
            <w:pPr>
              <w:widowControl/>
              <w:spacing w:line="460" w:lineRule="exact"/>
              <w:jc w:val="center"/>
              <w:rPr>
                <w:rFonts w:eastAsia="標楷體"/>
                <w:kern w:val="0"/>
                <w:sz w:val="28"/>
                <w:szCs w:val="28"/>
              </w:rPr>
            </w:pPr>
            <w:r w:rsidRPr="00D55DC6">
              <w:rPr>
                <w:rFonts w:eastAsia="標楷體"/>
                <w:kern w:val="0"/>
                <w:sz w:val="28"/>
                <w:szCs w:val="28"/>
              </w:rPr>
              <w:t>380</w:t>
            </w:r>
          </w:p>
        </w:tc>
        <w:tc>
          <w:tcPr>
            <w:tcW w:w="561"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rsidP="000725AB">
            <w:pPr>
              <w:widowControl/>
              <w:spacing w:line="460" w:lineRule="exact"/>
              <w:jc w:val="center"/>
              <w:rPr>
                <w:rFonts w:eastAsia="標楷體"/>
                <w:kern w:val="0"/>
                <w:sz w:val="28"/>
                <w:szCs w:val="28"/>
              </w:rPr>
            </w:pPr>
            <w:r w:rsidRPr="00D55DC6">
              <w:rPr>
                <w:rFonts w:eastAsia="標楷體"/>
                <w:kern w:val="0"/>
                <w:sz w:val="28"/>
                <w:szCs w:val="28"/>
              </w:rPr>
              <w:t>400</w:t>
            </w:r>
          </w:p>
        </w:tc>
      </w:tr>
      <w:tr w:rsidR="001D0350" w:rsidRPr="00D55DC6" w:rsidTr="00AA420D">
        <w:trPr>
          <w:trHeight w:val="675"/>
        </w:trPr>
        <w:tc>
          <w:tcPr>
            <w:tcW w:w="272" w:type="pct"/>
            <w:tcBorders>
              <w:top w:val="single" w:sz="4" w:space="0" w:color="auto"/>
              <w:left w:val="single" w:sz="4" w:space="0" w:color="auto"/>
              <w:bottom w:val="single" w:sz="4" w:space="0" w:color="auto"/>
              <w:right w:val="single" w:sz="4" w:space="0" w:color="auto"/>
            </w:tcBorders>
          </w:tcPr>
          <w:p w:rsidR="00AA420D" w:rsidRPr="00D55DC6" w:rsidRDefault="00AA420D" w:rsidP="000725AB">
            <w:pPr>
              <w:widowControl/>
              <w:spacing w:line="460" w:lineRule="exact"/>
              <w:jc w:val="center"/>
              <w:rPr>
                <w:rFonts w:eastAsia="標楷體"/>
                <w:kern w:val="0"/>
                <w:sz w:val="28"/>
                <w:szCs w:val="28"/>
              </w:rPr>
            </w:pPr>
            <w:r w:rsidRPr="00D55DC6">
              <w:rPr>
                <w:rFonts w:eastAsia="標楷體"/>
                <w:kern w:val="0"/>
                <w:sz w:val="28"/>
                <w:szCs w:val="28"/>
              </w:rPr>
              <w:t>3</w:t>
            </w:r>
          </w:p>
        </w:tc>
        <w:tc>
          <w:tcPr>
            <w:tcW w:w="1373" w:type="pct"/>
            <w:tcBorders>
              <w:top w:val="single" w:sz="4" w:space="0" w:color="auto"/>
              <w:left w:val="single" w:sz="4" w:space="0" w:color="auto"/>
              <w:bottom w:val="single" w:sz="4" w:space="0" w:color="auto"/>
              <w:right w:val="single" w:sz="4" w:space="0" w:color="auto"/>
            </w:tcBorders>
          </w:tcPr>
          <w:p w:rsidR="00AA420D" w:rsidRPr="00D55DC6" w:rsidRDefault="00AA420D" w:rsidP="000725AB">
            <w:pPr>
              <w:widowControl/>
              <w:spacing w:line="460" w:lineRule="exact"/>
              <w:jc w:val="both"/>
              <w:rPr>
                <w:rFonts w:eastAsia="標楷體"/>
                <w:kern w:val="0"/>
                <w:sz w:val="28"/>
                <w:szCs w:val="28"/>
              </w:rPr>
            </w:pPr>
            <w:r w:rsidRPr="00D55DC6">
              <w:rPr>
                <w:rFonts w:eastAsia="標楷體"/>
                <w:kern w:val="0"/>
                <w:sz w:val="28"/>
                <w:szCs w:val="28"/>
              </w:rPr>
              <w:t>觀光產值</w:t>
            </w:r>
            <w:r w:rsidRPr="00D55DC6">
              <w:rPr>
                <w:rFonts w:eastAsia="標楷體"/>
                <w:kern w:val="0"/>
                <w:sz w:val="28"/>
                <w:szCs w:val="28"/>
              </w:rPr>
              <w:t xml:space="preserve"> (</w:t>
            </w:r>
            <w:r w:rsidRPr="00D55DC6">
              <w:rPr>
                <w:rFonts w:eastAsia="標楷體"/>
                <w:kern w:val="0"/>
                <w:sz w:val="28"/>
                <w:szCs w:val="28"/>
              </w:rPr>
              <w:t>億元</w:t>
            </w:r>
            <w:r w:rsidRPr="00D55DC6">
              <w:rPr>
                <w:rFonts w:eastAsia="標楷體"/>
                <w:kern w:val="0"/>
                <w:sz w:val="28"/>
                <w:szCs w:val="28"/>
              </w:rPr>
              <w:t>)</w:t>
            </w:r>
          </w:p>
        </w:tc>
        <w:tc>
          <w:tcPr>
            <w:tcW w:w="558"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rsidP="000725AB">
            <w:pPr>
              <w:spacing w:line="460" w:lineRule="exact"/>
              <w:jc w:val="center"/>
              <w:rPr>
                <w:rFonts w:eastAsia="標楷體"/>
                <w:sz w:val="28"/>
                <w:szCs w:val="28"/>
              </w:rPr>
            </w:pPr>
            <w:r w:rsidRPr="00D55DC6">
              <w:rPr>
                <w:rFonts w:eastAsia="標楷體"/>
                <w:sz w:val="28"/>
                <w:szCs w:val="28"/>
              </w:rPr>
              <w:t>110.71</w:t>
            </w:r>
          </w:p>
        </w:tc>
        <w:tc>
          <w:tcPr>
            <w:tcW w:w="561"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rsidP="000725AB">
            <w:pPr>
              <w:spacing w:line="460" w:lineRule="exact"/>
              <w:jc w:val="center"/>
              <w:rPr>
                <w:rFonts w:eastAsia="標楷體"/>
                <w:sz w:val="28"/>
                <w:szCs w:val="28"/>
              </w:rPr>
            </w:pPr>
            <w:r w:rsidRPr="00D55DC6">
              <w:rPr>
                <w:rFonts w:eastAsia="標楷體"/>
                <w:sz w:val="28"/>
                <w:szCs w:val="28"/>
              </w:rPr>
              <w:t>100</w:t>
            </w:r>
          </w:p>
        </w:tc>
        <w:tc>
          <w:tcPr>
            <w:tcW w:w="558"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rsidP="000725AB">
            <w:pPr>
              <w:widowControl/>
              <w:spacing w:line="460" w:lineRule="exact"/>
              <w:jc w:val="center"/>
              <w:rPr>
                <w:rFonts w:eastAsia="標楷體"/>
                <w:kern w:val="0"/>
                <w:sz w:val="28"/>
                <w:szCs w:val="28"/>
              </w:rPr>
            </w:pPr>
            <w:r w:rsidRPr="00D55DC6">
              <w:rPr>
                <w:rFonts w:eastAsia="標楷體"/>
                <w:kern w:val="0"/>
                <w:sz w:val="28"/>
                <w:szCs w:val="28"/>
              </w:rPr>
              <w:t>115</w:t>
            </w:r>
          </w:p>
        </w:tc>
        <w:tc>
          <w:tcPr>
            <w:tcW w:w="558"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rsidP="000725AB">
            <w:pPr>
              <w:widowControl/>
              <w:spacing w:line="460" w:lineRule="exact"/>
              <w:jc w:val="center"/>
              <w:rPr>
                <w:rFonts w:eastAsia="標楷體"/>
                <w:kern w:val="0"/>
                <w:sz w:val="28"/>
                <w:szCs w:val="28"/>
              </w:rPr>
            </w:pPr>
            <w:r w:rsidRPr="00D55DC6">
              <w:rPr>
                <w:rFonts w:eastAsia="標楷體"/>
                <w:kern w:val="0"/>
                <w:sz w:val="28"/>
                <w:szCs w:val="28"/>
              </w:rPr>
              <w:t>118</w:t>
            </w:r>
          </w:p>
        </w:tc>
        <w:tc>
          <w:tcPr>
            <w:tcW w:w="558"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rsidP="000725AB">
            <w:pPr>
              <w:widowControl/>
              <w:spacing w:line="460" w:lineRule="exact"/>
              <w:jc w:val="center"/>
              <w:rPr>
                <w:rFonts w:eastAsia="標楷體"/>
                <w:kern w:val="0"/>
                <w:sz w:val="28"/>
                <w:szCs w:val="28"/>
              </w:rPr>
            </w:pPr>
            <w:r w:rsidRPr="00D55DC6">
              <w:rPr>
                <w:rFonts w:eastAsia="標楷體"/>
                <w:kern w:val="0"/>
                <w:sz w:val="28"/>
                <w:szCs w:val="28"/>
              </w:rPr>
              <w:t>122</w:t>
            </w:r>
          </w:p>
        </w:tc>
        <w:tc>
          <w:tcPr>
            <w:tcW w:w="561"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rsidP="000725AB">
            <w:pPr>
              <w:spacing w:line="460" w:lineRule="exact"/>
              <w:ind w:right="280"/>
              <w:jc w:val="right"/>
              <w:rPr>
                <w:rFonts w:eastAsia="標楷體"/>
                <w:sz w:val="28"/>
                <w:szCs w:val="28"/>
              </w:rPr>
            </w:pPr>
            <w:r w:rsidRPr="00D55DC6">
              <w:rPr>
                <w:rFonts w:eastAsia="標楷體"/>
                <w:sz w:val="28"/>
                <w:szCs w:val="28"/>
              </w:rPr>
              <w:t>128</w:t>
            </w:r>
          </w:p>
        </w:tc>
      </w:tr>
      <w:tr w:rsidR="001D0350" w:rsidRPr="00D55DC6" w:rsidTr="00AA420D">
        <w:trPr>
          <w:trHeight w:val="675"/>
        </w:trPr>
        <w:tc>
          <w:tcPr>
            <w:tcW w:w="272" w:type="pct"/>
            <w:tcBorders>
              <w:top w:val="single" w:sz="4" w:space="0" w:color="auto"/>
              <w:left w:val="single" w:sz="4" w:space="0" w:color="auto"/>
              <w:bottom w:val="single" w:sz="4" w:space="0" w:color="auto"/>
              <w:right w:val="single" w:sz="4" w:space="0" w:color="auto"/>
            </w:tcBorders>
          </w:tcPr>
          <w:p w:rsidR="00AA420D" w:rsidRPr="00D55DC6" w:rsidRDefault="00AA420D" w:rsidP="000725AB">
            <w:pPr>
              <w:widowControl/>
              <w:spacing w:line="460" w:lineRule="exact"/>
              <w:jc w:val="center"/>
              <w:rPr>
                <w:rFonts w:eastAsia="標楷體"/>
                <w:kern w:val="0"/>
                <w:sz w:val="28"/>
                <w:szCs w:val="28"/>
              </w:rPr>
            </w:pPr>
            <w:r w:rsidRPr="00D55DC6">
              <w:rPr>
                <w:rFonts w:eastAsia="標楷體"/>
                <w:kern w:val="0"/>
                <w:sz w:val="28"/>
                <w:szCs w:val="28"/>
              </w:rPr>
              <w:t>4</w:t>
            </w:r>
          </w:p>
        </w:tc>
        <w:tc>
          <w:tcPr>
            <w:tcW w:w="1373" w:type="pct"/>
            <w:tcBorders>
              <w:top w:val="single" w:sz="4" w:space="0" w:color="auto"/>
              <w:left w:val="single" w:sz="4" w:space="0" w:color="auto"/>
              <w:bottom w:val="single" w:sz="4" w:space="0" w:color="auto"/>
              <w:right w:val="single" w:sz="4" w:space="0" w:color="auto"/>
            </w:tcBorders>
          </w:tcPr>
          <w:p w:rsidR="00AA420D" w:rsidRPr="00D55DC6" w:rsidRDefault="00AA420D" w:rsidP="000725AB">
            <w:pPr>
              <w:widowControl/>
              <w:spacing w:line="460" w:lineRule="exact"/>
              <w:jc w:val="both"/>
              <w:rPr>
                <w:rFonts w:eastAsia="標楷體"/>
                <w:kern w:val="0"/>
                <w:sz w:val="28"/>
                <w:szCs w:val="28"/>
              </w:rPr>
            </w:pPr>
            <w:r w:rsidRPr="00D55DC6">
              <w:rPr>
                <w:rFonts w:eastAsia="標楷體"/>
                <w:kern w:val="0"/>
                <w:sz w:val="28"/>
                <w:szCs w:val="28"/>
              </w:rPr>
              <w:t>性別友善設施完成數</w:t>
            </w:r>
            <w:r w:rsidRPr="00D55DC6">
              <w:rPr>
                <w:rFonts w:eastAsia="標楷體"/>
                <w:kern w:val="0"/>
                <w:sz w:val="28"/>
                <w:szCs w:val="28"/>
              </w:rPr>
              <w:t>(</w:t>
            </w:r>
            <w:r w:rsidRPr="00D55DC6">
              <w:rPr>
                <w:rFonts w:eastAsia="標楷體"/>
                <w:kern w:val="0"/>
                <w:sz w:val="28"/>
                <w:szCs w:val="28"/>
              </w:rPr>
              <w:t>處</w:t>
            </w:r>
            <w:r w:rsidRPr="00D55DC6">
              <w:rPr>
                <w:rFonts w:eastAsia="標楷體"/>
                <w:kern w:val="0"/>
                <w:sz w:val="28"/>
                <w:szCs w:val="28"/>
              </w:rPr>
              <w:t>)</w:t>
            </w:r>
          </w:p>
        </w:tc>
        <w:tc>
          <w:tcPr>
            <w:tcW w:w="558"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rsidP="000725AB">
            <w:pPr>
              <w:spacing w:line="460" w:lineRule="exact"/>
              <w:jc w:val="center"/>
              <w:rPr>
                <w:rFonts w:eastAsia="標楷體"/>
                <w:sz w:val="28"/>
                <w:szCs w:val="28"/>
              </w:rPr>
            </w:pPr>
            <w:r w:rsidRPr="00D55DC6">
              <w:rPr>
                <w:rFonts w:eastAsia="標楷體"/>
                <w:sz w:val="28"/>
                <w:szCs w:val="28"/>
              </w:rPr>
              <w:t>1</w:t>
            </w:r>
          </w:p>
        </w:tc>
        <w:tc>
          <w:tcPr>
            <w:tcW w:w="561"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rsidP="000725AB">
            <w:pPr>
              <w:spacing w:line="460" w:lineRule="exact"/>
              <w:jc w:val="center"/>
              <w:rPr>
                <w:rFonts w:eastAsia="標楷體"/>
                <w:sz w:val="28"/>
                <w:szCs w:val="28"/>
              </w:rPr>
            </w:pPr>
            <w:r w:rsidRPr="00D55DC6">
              <w:rPr>
                <w:rFonts w:eastAsia="標楷體"/>
                <w:sz w:val="28"/>
                <w:szCs w:val="28"/>
              </w:rPr>
              <w:t>4</w:t>
            </w:r>
          </w:p>
        </w:tc>
        <w:tc>
          <w:tcPr>
            <w:tcW w:w="558"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rsidP="000725AB">
            <w:pPr>
              <w:widowControl/>
              <w:spacing w:line="460" w:lineRule="exact"/>
              <w:jc w:val="center"/>
              <w:rPr>
                <w:rFonts w:eastAsia="標楷體"/>
                <w:kern w:val="0"/>
                <w:sz w:val="28"/>
                <w:szCs w:val="28"/>
              </w:rPr>
            </w:pPr>
            <w:r w:rsidRPr="00D55DC6">
              <w:rPr>
                <w:rFonts w:eastAsia="標楷體"/>
                <w:kern w:val="0"/>
                <w:sz w:val="28"/>
                <w:szCs w:val="28"/>
              </w:rPr>
              <w:t>1</w:t>
            </w:r>
          </w:p>
        </w:tc>
        <w:tc>
          <w:tcPr>
            <w:tcW w:w="558"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rsidP="000725AB">
            <w:pPr>
              <w:widowControl/>
              <w:spacing w:line="460" w:lineRule="exact"/>
              <w:jc w:val="center"/>
              <w:rPr>
                <w:rFonts w:eastAsia="標楷體"/>
                <w:kern w:val="0"/>
                <w:sz w:val="28"/>
                <w:szCs w:val="28"/>
              </w:rPr>
            </w:pPr>
            <w:r w:rsidRPr="00D55DC6">
              <w:rPr>
                <w:rFonts w:eastAsia="標楷體"/>
                <w:kern w:val="0"/>
                <w:sz w:val="28"/>
                <w:szCs w:val="28"/>
              </w:rPr>
              <w:t>1</w:t>
            </w:r>
          </w:p>
        </w:tc>
        <w:tc>
          <w:tcPr>
            <w:tcW w:w="558"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rsidP="000725AB">
            <w:pPr>
              <w:widowControl/>
              <w:spacing w:line="460" w:lineRule="exact"/>
              <w:jc w:val="center"/>
              <w:rPr>
                <w:rFonts w:eastAsia="標楷體"/>
                <w:kern w:val="0"/>
                <w:sz w:val="28"/>
                <w:szCs w:val="28"/>
              </w:rPr>
            </w:pPr>
            <w:r w:rsidRPr="00D55DC6">
              <w:rPr>
                <w:rFonts w:eastAsia="標楷體"/>
                <w:kern w:val="0"/>
                <w:sz w:val="28"/>
                <w:szCs w:val="28"/>
              </w:rPr>
              <w:t>1</w:t>
            </w:r>
          </w:p>
        </w:tc>
        <w:tc>
          <w:tcPr>
            <w:tcW w:w="561"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rsidP="000725AB">
            <w:pPr>
              <w:spacing w:line="460" w:lineRule="exact"/>
              <w:ind w:right="280"/>
              <w:jc w:val="right"/>
              <w:rPr>
                <w:rFonts w:eastAsia="標楷體"/>
                <w:sz w:val="28"/>
                <w:szCs w:val="28"/>
              </w:rPr>
            </w:pPr>
            <w:r w:rsidRPr="00D55DC6">
              <w:rPr>
                <w:rFonts w:eastAsia="標楷體"/>
                <w:sz w:val="28"/>
                <w:szCs w:val="28"/>
              </w:rPr>
              <w:t>1</w:t>
            </w:r>
          </w:p>
        </w:tc>
      </w:tr>
      <w:tr w:rsidR="001D0350" w:rsidRPr="00D55DC6" w:rsidTr="00AA420D">
        <w:trPr>
          <w:trHeight w:val="675"/>
        </w:trPr>
        <w:tc>
          <w:tcPr>
            <w:tcW w:w="272" w:type="pct"/>
            <w:tcBorders>
              <w:top w:val="single" w:sz="4" w:space="0" w:color="auto"/>
              <w:left w:val="single" w:sz="4" w:space="0" w:color="auto"/>
              <w:bottom w:val="single" w:sz="4" w:space="0" w:color="auto"/>
              <w:right w:val="single" w:sz="4" w:space="0" w:color="auto"/>
            </w:tcBorders>
          </w:tcPr>
          <w:p w:rsidR="00AA420D" w:rsidRPr="00D55DC6" w:rsidRDefault="00AA420D" w:rsidP="000725AB">
            <w:pPr>
              <w:spacing w:line="460" w:lineRule="exact"/>
              <w:jc w:val="center"/>
              <w:rPr>
                <w:rFonts w:eastAsia="標楷體"/>
                <w:kern w:val="0"/>
                <w:sz w:val="28"/>
                <w:szCs w:val="28"/>
              </w:rPr>
            </w:pPr>
            <w:r w:rsidRPr="00D55DC6">
              <w:rPr>
                <w:rFonts w:eastAsia="標楷體"/>
                <w:kern w:val="0"/>
                <w:sz w:val="28"/>
                <w:szCs w:val="28"/>
              </w:rPr>
              <w:t>5</w:t>
            </w:r>
          </w:p>
        </w:tc>
        <w:tc>
          <w:tcPr>
            <w:tcW w:w="1373" w:type="pct"/>
            <w:tcBorders>
              <w:top w:val="single" w:sz="4" w:space="0" w:color="auto"/>
              <w:left w:val="single" w:sz="4" w:space="0" w:color="auto"/>
              <w:bottom w:val="single" w:sz="4" w:space="0" w:color="auto"/>
              <w:right w:val="single" w:sz="4" w:space="0" w:color="auto"/>
            </w:tcBorders>
          </w:tcPr>
          <w:p w:rsidR="00AA420D" w:rsidRPr="00D55DC6" w:rsidRDefault="002F5D4E" w:rsidP="000725AB">
            <w:pPr>
              <w:spacing w:line="460" w:lineRule="exact"/>
              <w:jc w:val="both"/>
              <w:rPr>
                <w:rFonts w:eastAsia="標楷體"/>
                <w:kern w:val="0"/>
                <w:sz w:val="28"/>
                <w:szCs w:val="28"/>
              </w:rPr>
            </w:pPr>
            <w:r w:rsidRPr="00D55DC6">
              <w:rPr>
                <w:rFonts w:eastAsia="標楷體"/>
                <w:kern w:val="0"/>
                <w:sz w:val="28"/>
                <w:szCs w:val="28"/>
              </w:rPr>
              <w:t>轄區經管設施公共意外責任險確</w:t>
            </w:r>
            <w:r w:rsidR="005C51C2" w:rsidRPr="00D55DC6">
              <w:rPr>
                <w:rFonts w:eastAsia="標楷體" w:hint="eastAsia"/>
                <w:kern w:val="0"/>
                <w:sz w:val="28"/>
                <w:szCs w:val="28"/>
              </w:rPr>
              <w:t>定</w:t>
            </w:r>
            <w:r w:rsidRPr="00D55DC6">
              <w:rPr>
                <w:rFonts w:eastAsia="標楷體"/>
                <w:kern w:val="0"/>
                <w:sz w:val="28"/>
                <w:szCs w:val="28"/>
              </w:rPr>
              <w:t>理賠件數上限</w:t>
            </w:r>
            <w:r w:rsidR="00AA420D" w:rsidRPr="00D55DC6">
              <w:rPr>
                <w:rFonts w:eastAsia="標楷體"/>
                <w:kern w:val="0"/>
                <w:sz w:val="28"/>
                <w:szCs w:val="28"/>
              </w:rPr>
              <w:t>（件）</w:t>
            </w:r>
          </w:p>
        </w:tc>
        <w:tc>
          <w:tcPr>
            <w:tcW w:w="558" w:type="pct"/>
            <w:tcBorders>
              <w:top w:val="single" w:sz="4" w:space="0" w:color="auto"/>
              <w:left w:val="single" w:sz="4" w:space="0" w:color="auto"/>
              <w:bottom w:val="single" w:sz="4" w:space="0" w:color="auto"/>
              <w:right w:val="single" w:sz="4" w:space="0" w:color="auto"/>
            </w:tcBorders>
            <w:vAlign w:val="center"/>
          </w:tcPr>
          <w:p w:rsidR="00AA420D" w:rsidRPr="00D55DC6" w:rsidRDefault="002F5D4E" w:rsidP="000725AB">
            <w:pPr>
              <w:spacing w:line="460" w:lineRule="exact"/>
              <w:jc w:val="center"/>
              <w:rPr>
                <w:rFonts w:eastAsia="標楷體"/>
                <w:sz w:val="28"/>
                <w:szCs w:val="28"/>
              </w:rPr>
            </w:pPr>
            <w:r w:rsidRPr="00D55DC6">
              <w:rPr>
                <w:rFonts w:eastAsia="標楷體" w:hint="eastAsia"/>
                <w:sz w:val="28"/>
                <w:szCs w:val="28"/>
              </w:rPr>
              <w:t>-</w:t>
            </w:r>
          </w:p>
        </w:tc>
        <w:tc>
          <w:tcPr>
            <w:tcW w:w="561" w:type="pct"/>
            <w:tcBorders>
              <w:top w:val="single" w:sz="4" w:space="0" w:color="auto"/>
              <w:left w:val="single" w:sz="4" w:space="0" w:color="auto"/>
              <w:bottom w:val="single" w:sz="4" w:space="0" w:color="auto"/>
              <w:right w:val="single" w:sz="4" w:space="0" w:color="auto"/>
            </w:tcBorders>
            <w:vAlign w:val="center"/>
          </w:tcPr>
          <w:p w:rsidR="00AA420D" w:rsidRPr="00D55DC6" w:rsidRDefault="002F5D4E" w:rsidP="000725AB">
            <w:pPr>
              <w:spacing w:line="460" w:lineRule="exact"/>
              <w:jc w:val="center"/>
              <w:rPr>
                <w:rFonts w:eastAsia="標楷體"/>
                <w:sz w:val="28"/>
                <w:szCs w:val="28"/>
              </w:rPr>
            </w:pPr>
            <w:r w:rsidRPr="00D55DC6">
              <w:rPr>
                <w:rFonts w:eastAsia="標楷體" w:hint="eastAsia"/>
                <w:sz w:val="28"/>
                <w:szCs w:val="28"/>
              </w:rPr>
              <w:t>-</w:t>
            </w:r>
          </w:p>
        </w:tc>
        <w:tc>
          <w:tcPr>
            <w:tcW w:w="558"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rsidP="000725AB">
            <w:pPr>
              <w:spacing w:line="460" w:lineRule="exact"/>
              <w:jc w:val="center"/>
              <w:rPr>
                <w:rFonts w:eastAsia="標楷體"/>
                <w:kern w:val="0"/>
                <w:sz w:val="28"/>
                <w:szCs w:val="28"/>
              </w:rPr>
            </w:pPr>
            <w:r w:rsidRPr="00D55DC6">
              <w:rPr>
                <w:rFonts w:eastAsia="標楷體"/>
                <w:kern w:val="0"/>
                <w:sz w:val="28"/>
                <w:szCs w:val="28"/>
              </w:rPr>
              <w:t>2</w:t>
            </w:r>
          </w:p>
        </w:tc>
        <w:tc>
          <w:tcPr>
            <w:tcW w:w="558"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rsidP="000725AB">
            <w:pPr>
              <w:spacing w:line="460" w:lineRule="exact"/>
              <w:jc w:val="center"/>
              <w:rPr>
                <w:rFonts w:eastAsia="標楷體"/>
                <w:kern w:val="0"/>
                <w:sz w:val="28"/>
                <w:szCs w:val="28"/>
              </w:rPr>
            </w:pPr>
            <w:r w:rsidRPr="00D55DC6">
              <w:rPr>
                <w:rFonts w:eastAsia="標楷體"/>
                <w:kern w:val="0"/>
                <w:sz w:val="28"/>
                <w:szCs w:val="28"/>
              </w:rPr>
              <w:t>2</w:t>
            </w:r>
          </w:p>
        </w:tc>
        <w:tc>
          <w:tcPr>
            <w:tcW w:w="558"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rsidP="000725AB">
            <w:pPr>
              <w:spacing w:line="460" w:lineRule="exact"/>
              <w:jc w:val="center"/>
              <w:rPr>
                <w:rFonts w:eastAsia="標楷體"/>
                <w:kern w:val="0"/>
                <w:sz w:val="28"/>
                <w:szCs w:val="28"/>
              </w:rPr>
            </w:pPr>
            <w:r w:rsidRPr="00D55DC6">
              <w:rPr>
                <w:rFonts w:eastAsia="標楷體"/>
                <w:kern w:val="0"/>
                <w:sz w:val="28"/>
                <w:szCs w:val="28"/>
              </w:rPr>
              <w:t>2</w:t>
            </w:r>
          </w:p>
        </w:tc>
        <w:tc>
          <w:tcPr>
            <w:tcW w:w="561"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rsidP="000725AB">
            <w:pPr>
              <w:spacing w:line="460" w:lineRule="exact"/>
              <w:ind w:right="280"/>
              <w:jc w:val="right"/>
              <w:rPr>
                <w:rFonts w:eastAsia="標楷體"/>
                <w:sz w:val="28"/>
                <w:szCs w:val="28"/>
              </w:rPr>
            </w:pPr>
            <w:r w:rsidRPr="00D55DC6">
              <w:rPr>
                <w:rFonts w:eastAsia="標楷體"/>
                <w:sz w:val="28"/>
                <w:szCs w:val="28"/>
              </w:rPr>
              <w:t>2</w:t>
            </w:r>
          </w:p>
        </w:tc>
      </w:tr>
    </w:tbl>
    <w:p w:rsidR="00FE4B9B" w:rsidRPr="00D55DC6" w:rsidRDefault="00FE4B9B" w:rsidP="00FE4B9B">
      <w:pPr>
        <w:snapToGrid w:val="0"/>
        <w:spacing w:line="460" w:lineRule="exact"/>
        <w:rPr>
          <w:rFonts w:eastAsia="標楷體"/>
          <w:szCs w:val="28"/>
        </w:rPr>
      </w:pPr>
      <w:r w:rsidRPr="00D55DC6">
        <w:rPr>
          <w:rFonts w:eastAsia="標楷體"/>
          <w:szCs w:val="28"/>
        </w:rPr>
        <w:t>備註</w:t>
      </w:r>
      <w:r w:rsidRPr="00D55DC6">
        <w:rPr>
          <w:rFonts w:eastAsia="標楷體"/>
          <w:szCs w:val="28"/>
        </w:rPr>
        <w:t>1</w:t>
      </w:r>
      <w:r w:rsidRPr="00D55DC6">
        <w:rPr>
          <w:rFonts w:eastAsia="標楷體"/>
          <w:szCs w:val="28"/>
        </w:rPr>
        <w:t>、第</w:t>
      </w:r>
      <w:r w:rsidRPr="00D55DC6">
        <w:rPr>
          <w:rFonts w:eastAsia="標楷體"/>
          <w:szCs w:val="28"/>
        </w:rPr>
        <w:t>2</w:t>
      </w:r>
      <w:r w:rsidRPr="00D55DC6">
        <w:rPr>
          <w:rFonts w:eastAsia="標楷體"/>
          <w:szCs w:val="28"/>
        </w:rPr>
        <w:t>、</w:t>
      </w:r>
      <w:r w:rsidRPr="00D55DC6">
        <w:rPr>
          <w:rFonts w:eastAsia="標楷體"/>
          <w:szCs w:val="28"/>
        </w:rPr>
        <w:t>3</w:t>
      </w:r>
      <w:r w:rsidRPr="00D55DC6">
        <w:rPr>
          <w:rFonts w:eastAsia="標楷體"/>
          <w:szCs w:val="28"/>
        </w:rPr>
        <w:t>項依據交通部觀光局「國家風景區遊客調查報告」資料推估。</w:t>
      </w:r>
    </w:p>
    <w:p w:rsidR="00FE4B9B" w:rsidRPr="00D55DC6" w:rsidRDefault="00FE4B9B" w:rsidP="00FE4B9B">
      <w:pPr>
        <w:snapToGrid w:val="0"/>
        <w:spacing w:line="460" w:lineRule="exact"/>
        <w:rPr>
          <w:rFonts w:eastAsia="標楷體"/>
          <w:szCs w:val="28"/>
        </w:rPr>
      </w:pPr>
      <w:r w:rsidRPr="00D55DC6">
        <w:rPr>
          <w:rFonts w:eastAsia="標楷體"/>
          <w:szCs w:val="28"/>
        </w:rPr>
        <w:t xml:space="preserve">   </w:t>
      </w:r>
      <w:r w:rsidR="00AA420D" w:rsidRPr="00D55DC6">
        <w:rPr>
          <w:rFonts w:eastAsia="標楷體"/>
          <w:szCs w:val="28"/>
        </w:rPr>
        <w:t xml:space="preserve"> </w:t>
      </w:r>
      <w:r w:rsidRPr="00D55DC6">
        <w:rPr>
          <w:rFonts w:eastAsia="標楷體"/>
          <w:szCs w:val="28"/>
        </w:rPr>
        <w:t xml:space="preserve"> 2</w:t>
      </w:r>
      <w:r w:rsidRPr="00D55DC6">
        <w:rPr>
          <w:rFonts w:eastAsia="標楷體"/>
          <w:szCs w:val="28"/>
        </w:rPr>
        <w:t>、觀光產值</w:t>
      </w:r>
      <w:r w:rsidRPr="00D55DC6">
        <w:rPr>
          <w:rFonts w:eastAsia="標楷體"/>
          <w:szCs w:val="28"/>
        </w:rPr>
        <w:t>=</w:t>
      </w:r>
      <w:r w:rsidRPr="00D55DC6">
        <w:rPr>
          <w:rFonts w:eastAsia="標楷體"/>
          <w:szCs w:val="28"/>
        </w:rPr>
        <w:t>遊客數</w:t>
      </w:r>
      <w:r w:rsidRPr="00D55DC6">
        <w:rPr>
          <w:rFonts w:eastAsia="標楷體"/>
          <w:szCs w:val="28"/>
        </w:rPr>
        <w:t>*1927</w:t>
      </w:r>
      <w:r w:rsidRPr="00D55DC6">
        <w:rPr>
          <w:rFonts w:eastAsia="標楷體"/>
          <w:szCs w:val="28"/>
        </w:rPr>
        <w:t>元</w:t>
      </w:r>
      <w:r w:rsidRPr="00D55DC6">
        <w:rPr>
          <w:rFonts w:eastAsia="標楷體"/>
          <w:szCs w:val="28"/>
        </w:rPr>
        <w:t>/</w:t>
      </w:r>
      <w:r w:rsidRPr="00D55DC6">
        <w:rPr>
          <w:rFonts w:eastAsia="標楷體"/>
          <w:szCs w:val="28"/>
        </w:rPr>
        <w:t>日</w:t>
      </w:r>
      <w:r w:rsidRPr="00D55DC6">
        <w:rPr>
          <w:rFonts w:eastAsia="標楷體"/>
          <w:szCs w:val="28"/>
        </w:rPr>
        <w:t>*1.66</w:t>
      </w:r>
      <w:r w:rsidRPr="00D55DC6">
        <w:rPr>
          <w:rFonts w:eastAsia="標楷體"/>
          <w:szCs w:val="28"/>
        </w:rPr>
        <w:t>平均停留天數預估</w:t>
      </w:r>
    </w:p>
    <w:p w:rsidR="00FE4B9B" w:rsidRPr="00D55DC6" w:rsidRDefault="00FE4B9B" w:rsidP="00FE4B9B">
      <w:pPr>
        <w:snapToGrid w:val="0"/>
        <w:spacing w:line="460" w:lineRule="exact"/>
        <w:ind w:leftChars="296" w:left="1802" w:hangingChars="390" w:hanging="1092"/>
        <w:jc w:val="both"/>
        <w:rPr>
          <w:rFonts w:eastAsia="標楷體"/>
          <w:sz w:val="28"/>
          <w:szCs w:val="28"/>
        </w:rPr>
      </w:pPr>
      <w:r w:rsidRPr="00D55DC6">
        <w:rPr>
          <w:rFonts w:eastAsia="標楷體"/>
          <w:sz w:val="28"/>
          <w:szCs w:val="28"/>
        </w:rPr>
        <w:t xml:space="preserve">  </w:t>
      </w:r>
    </w:p>
    <w:p w:rsidR="002B0433" w:rsidRPr="00D55DC6" w:rsidRDefault="002B0433" w:rsidP="00FE4B9B">
      <w:pPr>
        <w:snapToGrid w:val="0"/>
        <w:spacing w:line="460" w:lineRule="exact"/>
        <w:ind w:leftChars="296" w:left="1802" w:hangingChars="390" w:hanging="1092"/>
        <w:jc w:val="both"/>
        <w:rPr>
          <w:rFonts w:eastAsia="標楷體"/>
          <w:sz w:val="28"/>
          <w:szCs w:val="28"/>
        </w:rPr>
      </w:pPr>
    </w:p>
    <w:p w:rsidR="002B0433" w:rsidRPr="00D55DC6" w:rsidRDefault="002B0433" w:rsidP="00FE4B9B">
      <w:pPr>
        <w:snapToGrid w:val="0"/>
        <w:spacing w:line="460" w:lineRule="exact"/>
        <w:ind w:leftChars="296" w:left="1802" w:hangingChars="390" w:hanging="1092"/>
        <w:jc w:val="both"/>
        <w:rPr>
          <w:rFonts w:eastAsia="標楷體"/>
          <w:sz w:val="28"/>
          <w:szCs w:val="28"/>
        </w:rPr>
      </w:pPr>
    </w:p>
    <w:p w:rsidR="00AA420D" w:rsidRPr="00D55DC6" w:rsidRDefault="00AA420D" w:rsidP="00FE4B9B">
      <w:pPr>
        <w:snapToGrid w:val="0"/>
        <w:spacing w:line="460" w:lineRule="exact"/>
        <w:ind w:leftChars="296" w:left="1802" w:hangingChars="390" w:hanging="1092"/>
        <w:jc w:val="both"/>
        <w:rPr>
          <w:rFonts w:eastAsia="標楷體"/>
          <w:sz w:val="28"/>
          <w:szCs w:val="28"/>
        </w:rPr>
      </w:pPr>
    </w:p>
    <w:p w:rsidR="00FE4B9B" w:rsidRPr="00D55DC6" w:rsidRDefault="00FE4B9B" w:rsidP="009D33BA">
      <w:pPr>
        <w:numPr>
          <w:ilvl w:val="0"/>
          <w:numId w:val="1"/>
        </w:numPr>
        <w:snapToGrid w:val="0"/>
        <w:spacing w:beforeLines="50" w:before="180" w:afterLines="50" w:after="180" w:line="460" w:lineRule="exact"/>
        <w:ind w:left="709" w:hanging="709"/>
        <w:jc w:val="both"/>
        <w:rPr>
          <w:rFonts w:eastAsia="標楷體"/>
          <w:b/>
          <w:bCs/>
          <w:sz w:val="28"/>
          <w:szCs w:val="28"/>
        </w:rPr>
      </w:pPr>
      <w:r w:rsidRPr="00D55DC6">
        <w:rPr>
          <w:rFonts w:eastAsia="標楷體"/>
          <w:b/>
          <w:bCs/>
          <w:sz w:val="28"/>
          <w:szCs w:val="28"/>
        </w:rPr>
        <w:lastRenderedPageBreak/>
        <w:t>現行相關政策及方案之檢討</w:t>
      </w:r>
    </w:p>
    <w:p w:rsidR="00FE4B9B" w:rsidRPr="00D55DC6" w:rsidRDefault="00FE4B9B" w:rsidP="004865C1">
      <w:pPr>
        <w:numPr>
          <w:ilvl w:val="0"/>
          <w:numId w:val="196"/>
        </w:numPr>
        <w:snapToGrid w:val="0"/>
        <w:spacing w:line="460" w:lineRule="exact"/>
        <w:jc w:val="both"/>
        <w:rPr>
          <w:rFonts w:eastAsia="標楷體"/>
          <w:sz w:val="28"/>
          <w:szCs w:val="28"/>
        </w:rPr>
      </w:pPr>
      <w:r w:rsidRPr="00D55DC6">
        <w:rPr>
          <w:rFonts w:eastAsia="標楷體"/>
          <w:b/>
          <w:bCs/>
          <w:sz w:val="28"/>
          <w:szCs w:val="28"/>
        </w:rPr>
        <w:t>重要觀光景點建設中程計畫</w:t>
      </w:r>
      <w:r w:rsidRPr="00D55DC6">
        <w:rPr>
          <w:rFonts w:eastAsia="標楷體"/>
          <w:b/>
          <w:bCs/>
          <w:sz w:val="28"/>
          <w:szCs w:val="28"/>
        </w:rPr>
        <w:t>(101-104</w:t>
      </w:r>
      <w:r w:rsidRPr="00D55DC6">
        <w:rPr>
          <w:rFonts w:eastAsia="標楷體"/>
          <w:b/>
          <w:bCs/>
          <w:sz w:val="28"/>
          <w:szCs w:val="28"/>
        </w:rPr>
        <w:t>年</w:t>
      </w:r>
      <w:r w:rsidRPr="00D55DC6">
        <w:rPr>
          <w:rFonts w:eastAsia="標楷體"/>
          <w:b/>
          <w:bCs/>
          <w:sz w:val="28"/>
          <w:szCs w:val="28"/>
        </w:rPr>
        <w:t>)</w:t>
      </w:r>
      <w:r w:rsidRPr="00D55DC6">
        <w:rPr>
          <w:rFonts w:eastAsia="標楷體"/>
          <w:sz w:val="28"/>
          <w:szCs w:val="28"/>
        </w:rPr>
        <w:t>(</w:t>
      </w:r>
      <w:r w:rsidRPr="00D55DC6">
        <w:rPr>
          <w:rFonts w:eastAsia="標楷體"/>
          <w:sz w:val="28"/>
          <w:szCs w:val="28"/>
        </w:rPr>
        <w:t>截至</w:t>
      </w:r>
      <w:r w:rsidRPr="00D55DC6">
        <w:rPr>
          <w:rFonts w:eastAsia="標楷體"/>
          <w:sz w:val="28"/>
          <w:szCs w:val="28"/>
        </w:rPr>
        <w:t>103</w:t>
      </w:r>
      <w:r w:rsidRPr="00D55DC6">
        <w:rPr>
          <w:rFonts w:eastAsia="標楷體"/>
          <w:sz w:val="28"/>
          <w:szCs w:val="28"/>
        </w:rPr>
        <w:t>年</w:t>
      </w:r>
      <w:r w:rsidRPr="00D55DC6">
        <w:rPr>
          <w:rFonts w:eastAsia="標楷體"/>
          <w:sz w:val="28"/>
          <w:szCs w:val="28"/>
        </w:rPr>
        <w:t>1</w:t>
      </w:r>
      <w:r w:rsidR="00AA420D" w:rsidRPr="00D55DC6">
        <w:rPr>
          <w:rFonts w:eastAsia="標楷體"/>
          <w:sz w:val="28"/>
          <w:szCs w:val="28"/>
        </w:rPr>
        <w:t>2</w:t>
      </w:r>
      <w:r w:rsidRPr="00D55DC6">
        <w:rPr>
          <w:rFonts w:eastAsia="標楷體"/>
          <w:sz w:val="28"/>
          <w:szCs w:val="28"/>
        </w:rPr>
        <w:t>月底成果</w:t>
      </w:r>
      <w:r w:rsidRPr="00D55DC6">
        <w:rPr>
          <w:rFonts w:eastAsia="標楷體"/>
          <w:sz w:val="28"/>
          <w:szCs w:val="28"/>
        </w:rPr>
        <w:t>)</w:t>
      </w:r>
    </w:p>
    <w:p w:rsidR="00FE4B9B" w:rsidRPr="00D55DC6" w:rsidRDefault="00FE4B9B" w:rsidP="004865C1">
      <w:pPr>
        <w:numPr>
          <w:ilvl w:val="0"/>
          <w:numId w:val="197"/>
        </w:numPr>
        <w:snapToGrid w:val="0"/>
        <w:spacing w:line="460" w:lineRule="exact"/>
        <w:jc w:val="both"/>
        <w:rPr>
          <w:rFonts w:eastAsia="標楷體"/>
          <w:b/>
          <w:bCs/>
          <w:sz w:val="28"/>
          <w:szCs w:val="28"/>
        </w:rPr>
      </w:pPr>
      <w:r w:rsidRPr="00D55DC6">
        <w:rPr>
          <w:rFonts w:eastAsia="標楷體"/>
          <w:b/>
          <w:bCs/>
          <w:sz w:val="28"/>
          <w:szCs w:val="28"/>
        </w:rPr>
        <w:t>預算執行情形</w:t>
      </w:r>
    </w:p>
    <w:p w:rsidR="00FE4B9B" w:rsidRPr="00D55DC6" w:rsidRDefault="00FE4B9B" w:rsidP="009D33BA">
      <w:pPr>
        <w:widowControl/>
        <w:tabs>
          <w:tab w:val="right" w:leader="dot" w:pos="9356"/>
        </w:tabs>
        <w:spacing w:beforeLines="50" w:before="180" w:line="460" w:lineRule="exact"/>
        <w:jc w:val="center"/>
        <w:rPr>
          <w:rFonts w:eastAsia="標楷體"/>
          <w:noProof/>
          <w:kern w:val="0"/>
          <w:sz w:val="28"/>
          <w:szCs w:val="28"/>
        </w:rPr>
      </w:pPr>
      <w:r w:rsidRPr="00D55DC6">
        <w:rPr>
          <w:rFonts w:eastAsia="標楷體"/>
          <w:b/>
          <w:bCs/>
          <w:noProof/>
          <w:kern w:val="0"/>
          <w:sz w:val="26"/>
          <w:szCs w:val="26"/>
        </w:rPr>
        <w:t>表</w:t>
      </w:r>
      <w:r w:rsidRPr="00D55DC6">
        <w:rPr>
          <w:rFonts w:eastAsia="標楷體"/>
          <w:b/>
          <w:bCs/>
          <w:noProof/>
          <w:kern w:val="0"/>
          <w:sz w:val="26"/>
          <w:szCs w:val="26"/>
        </w:rPr>
        <w:t xml:space="preserve">1 </w:t>
      </w:r>
      <w:r w:rsidRPr="00D55DC6">
        <w:rPr>
          <w:rFonts w:eastAsia="標楷體"/>
          <w:b/>
          <w:bCs/>
          <w:noProof/>
          <w:kern w:val="0"/>
          <w:sz w:val="26"/>
          <w:szCs w:val="26"/>
        </w:rPr>
        <w:t>「重要觀光景點建設中程計畫（</w:t>
      </w:r>
      <w:r w:rsidRPr="00D55DC6">
        <w:rPr>
          <w:rFonts w:eastAsia="標楷體"/>
          <w:b/>
          <w:bCs/>
          <w:noProof/>
          <w:kern w:val="0"/>
          <w:sz w:val="26"/>
          <w:szCs w:val="26"/>
        </w:rPr>
        <w:t>101-104</w:t>
      </w:r>
      <w:r w:rsidRPr="00D55DC6">
        <w:rPr>
          <w:rFonts w:eastAsia="標楷體"/>
          <w:b/>
          <w:bCs/>
          <w:noProof/>
          <w:kern w:val="0"/>
          <w:sz w:val="26"/>
          <w:szCs w:val="26"/>
        </w:rPr>
        <w:t>年）」預算執行情形表</w:t>
      </w:r>
      <w:r w:rsidRPr="00D55DC6">
        <w:rPr>
          <w:rFonts w:eastAsia="標楷體"/>
          <w:b/>
          <w:bCs/>
          <w:noProof/>
          <w:kern w:val="0"/>
          <w:sz w:val="26"/>
          <w:szCs w:val="26"/>
        </w:rPr>
        <w:t>(</w:t>
      </w:r>
      <w:r w:rsidRPr="00D55DC6">
        <w:rPr>
          <w:rFonts w:eastAsia="標楷體"/>
          <w:b/>
          <w:bCs/>
          <w:noProof/>
          <w:kern w:val="0"/>
          <w:sz w:val="26"/>
          <w:szCs w:val="26"/>
        </w:rPr>
        <w:t>單位：億元</w:t>
      </w:r>
      <w:r w:rsidRPr="00D55DC6">
        <w:rPr>
          <w:rFonts w:eastAsia="標楷體"/>
          <w:b/>
          <w:bCs/>
          <w:noProof/>
          <w:kern w:val="0"/>
          <w:sz w:val="26"/>
          <w:szCs w:val="26"/>
        </w:rPr>
        <w:t>)</w:t>
      </w:r>
    </w:p>
    <w:tbl>
      <w:tblPr>
        <w:tblW w:w="47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0"/>
        <w:gridCol w:w="1700"/>
        <w:gridCol w:w="1700"/>
        <w:gridCol w:w="1101"/>
      </w:tblGrid>
      <w:tr w:rsidR="001D0350" w:rsidRPr="00D55DC6" w:rsidTr="00986223">
        <w:trPr>
          <w:tblHeader/>
        </w:trPr>
        <w:tc>
          <w:tcPr>
            <w:tcW w:w="2477" w:type="pct"/>
            <w:tcBorders>
              <w:top w:val="single" w:sz="12" w:space="0" w:color="auto"/>
              <w:left w:val="single" w:sz="4" w:space="0" w:color="auto"/>
              <w:bottom w:val="single" w:sz="12" w:space="0" w:color="auto"/>
              <w:right w:val="single" w:sz="4" w:space="0" w:color="auto"/>
            </w:tcBorders>
            <w:shd w:val="clear" w:color="auto" w:fill="D9D9D9"/>
            <w:vAlign w:val="center"/>
          </w:tcPr>
          <w:p w:rsidR="00FE4B9B" w:rsidRPr="00D55DC6" w:rsidRDefault="00FE4B9B" w:rsidP="00FE4B9B">
            <w:pPr>
              <w:snapToGrid w:val="0"/>
              <w:spacing w:line="460" w:lineRule="exact"/>
              <w:jc w:val="center"/>
              <w:rPr>
                <w:rFonts w:eastAsia="標楷體"/>
                <w:b/>
                <w:bCs/>
              </w:rPr>
            </w:pPr>
            <w:r w:rsidRPr="00D55DC6">
              <w:rPr>
                <w:rFonts w:eastAsia="標楷體"/>
                <w:b/>
                <w:bCs/>
              </w:rPr>
              <w:t>計畫名稱</w:t>
            </w:r>
          </w:p>
        </w:tc>
        <w:tc>
          <w:tcPr>
            <w:tcW w:w="953" w:type="pct"/>
            <w:tcBorders>
              <w:top w:val="single" w:sz="12" w:space="0" w:color="auto"/>
              <w:left w:val="single" w:sz="4" w:space="0" w:color="auto"/>
              <w:bottom w:val="single" w:sz="12" w:space="0" w:color="auto"/>
              <w:right w:val="single" w:sz="4" w:space="0" w:color="auto"/>
            </w:tcBorders>
            <w:shd w:val="clear" w:color="auto" w:fill="D9D9D9"/>
          </w:tcPr>
          <w:p w:rsidR="00FE4B9B" w:rsidRPr="00D55DC6" w:rsidRDefault="00FE4B9B" w:rsidP="00FE4B9B">
            <w:pPr>
              <w:snapToGrid w:val="0"/>
              <w:spacing w:line="460" w:lineRule="exact"/>
              <w:jc w:val="center"/>
              <w:rPr>
                <w:rFonts w:eastAsia="標楷體"/>
                <w:b/>
                <w:bCs/>
              </w:rPr>
            </w:pPr>
            <w:r w:rsidRPr="00D55DC6">
              <w:rPr>
                <w:rFonts w:eastAsia="標楷體"/>
                <w:b/>
                <w:bCs/>
              </w:rPr>
              <w:t>總累計編列數</w:t>
            </w:r>
            <w:r w:rsidRPr="00D55DC6">
              <w:rPr>
                <w:rFonts w:eastAsia="標楷體"/>
                <w:b/>
                <w:bCs/>
              </w:rPr>
              <w:t>(A)</w:t>
            </w:r>
          </w:p>
        </w:tc>
        <w:tc>
          <w:tcPr>
            <w:tcW w:w="953" w:type="pct"/>
            <w:tcBorders>
              <w:top w:val="single" w:sz="12" w:space="0" w:color="auto"/>
              <w:left w:val="single" w:sz="4" w:space="0" w:color="auto"/>
              <w:bottom w:val="single" w:sz="12" w:space="0" w:color="auto"/>
              <w:right w:val="single" w:sz="4" w:space="0" w:color="auto"/>
            </w:tcBorders>
            <w:shd w:val="clear" w:color="auto" w:fill="D9D9D9"/>
          </w:tcPr>
          <w:p w:rsidR="00FE4B9B" w:rsidRPr="00D55DC6" w:rsidRDefault="00FE4B9B" w:rsidP="00FE4B9B">
            <w:pPr>
              <w:snapToGrid w:val="0"/>
              <w:spacing w:line="460" w:lineRule="exact"/>
              <w:jc w:val="center"/>
              <w:rPr>
                <w:rFonts w:eastAsia="標楷體"/>
                <w:b/>
                <w:bCs/>
              </w:rPr>
            </w:pPr>
            <w:r w:rsidRPr="00D55DC6">
              <w:rPr>
                <w:rFonts w:eastAsia="標楷體"/>
                <w:b/>
                <w:bCs/>
              </w:rPr>
              <w:t>總累計實支數</w:t>
            </w:r>
            <w:r w:rsidRPr="00D55DC6">
              <w:rPr>
                <w:rFonts w:eastAsia="標楷體"/>
                <w:b/>
                <w:bCs/>
              </w:rPr>
              <w:t>(B)</w:t>
            </w:r>
          </w:p>
        </w:tc>
        <w:tc>
          <w:tcPr>
            <w:tcW w:w="617" w:type="pct"/>
            <w:tcBorders>
              <w:top w:val="single" w:sz="12" w:space="0" w:color="auto"/>
              <w:left w:val="single" w:sz="4" w:space="0" w:color="auto"/>
              <w:bottom w:val="single" w:sz="12" w:space="0" w:color="auto"/>
              <w:right w:val="single" w:sz="12" w:space="0" w:color="auto"/>
            </w:tcBorders>
            <w:shd w:val="clear" w:color="auto" w:fill="D9D9D9"/>
          </w:tcPr>
          <w:p w:rsidR="00FE4B9B" w:rsidRPr="00D55DC6" w:rsidRDefault="00FE4B9B" w:rsidP="00FE4B9B">
            <w:pPr>
              <w:snapToGrid w:val="0"/>
              <w:spacing w:line="460" w:lineRule="exact"/>
              <w:jc w:val="center"/>
              <w:rPr>
                <w:rFonts w:eastAsia="標楷體"/>
                <w:b/>
                <w:bCs/>
              </w:rPr>
            </w:pPr>
            <w:r w:rsidRPr="00D55DC6">
              <w:rPr>
                <w:rFonts w:eastAsia="標楷體"/>
                <w:b/>
                <w:bCs/>
              </w:rPr>
              <w:t>支用比</w:t>
            </w:r>
          </w:p>
          <w:p w:rsidR="00FE4B9B" w:rsidRPr="00D55DC6" w:rsidRDefault="00FE4B9B" w:rsidP="00FE4B9B">
            <w:pPr>
              <w:snapToGrid w:val="0"/>
              <w:spacing w:line="460" w:lineRule="exact"/>
              <w:jc w:val="center"/>
              <w:rPr>
                <w:rFonts w:eastAsia="標楷體"/>
                <w:b/>
                <w:bCs/>
              </w:rPr>
            </w:pPr>
            <w:r w:rsidRPr="00D55DC6">
              <w:rPr>
                <w:rFonts w:eastAsia="標楷體"/>
                <w:b/>
                <w:bCs/>
              </w:rPr>
              <w:t>(B/A%)</w:t>
            </w:r>
          </w:p>
        </w:tc>
      </w:tr>
      <w:tr w:rsidR="001D0350" w:rsidRPr="00D55DC6" w:rsidTr="00986223">
        <w:tc>
          <w:tcPr>
            <w:tcW w:w="2477"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rsidP="00FE4B9B">
            <w:pPr>
              <w:widowControl/>
              <w:spacing w:line="460" w:lineRule="exact"/>
              <w:rPr>
                <w:rFonts w:eastAsia="標楷體"/>
                <w:kern w:val="0"/>
              </w:rPr>
            </w:pPr>
            <w:r w:rsidRPr="00D55DC6">
              <w:rPr>
                <w:rFonts w:eastAsia="標楷體"/>
                <w:kern w:val="0"/>
              </w:rPr>
              <w:t>花東縱谷國家風景區建設計畫</w:t>
            </w:r>
          </w:p>
        </w:tc>
        <w:tc>
          <w:tcPr>
            <w:tcW w:w="953"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pPr>
              <w:jc w:val="center"/>
            </w:pPr>
            <w:r w:rsidRPr="00D55DC6">
              <w:t xml:space="preserve">3.70524 </w:t>
            </w:r>
          </w:p>
        </w:tc>
        <w:tc>
          <w:tcPr>
            <w:tcW w:w="953" w:type="pct"/>
            <w:tcBorders>
              <w:top w:val="single" w:sz="4" w:space="0" w:color="auto"/>
              <w:left w:val="single" w:sz="4" w:space="0" w:color="auto"/>
              <w:bottom w:val="single" w:sz="4" w:space="0" w:color="auto"/>
              <w:right w:val="single" w:sz="4" w:space="0" w:color="auto"/>
            </w:tcBorders>
            <w:vAlign w:val="center"/>
          </w:tcPr>
          <w:p w:rsidR="00AA420D" w:rsidRPr="00D55DC6" w:rsidRDefault="00AA420D">
            <w:pPr>
              <w:jc w:val="center"/>
            </w:pPr>
            <w:r w:rsidRPr="00D55DC6">
              <w:t xml:space="preserve">3.69450 </w:t>
            </w:r>
          </w:p>
        </w:tc>
        <w:tc>
          <w:tcPr>
            <w:tcW w:w="617" w:type="pct"/>
            <w:tcBorders>
              <w:top w:val="single" w:sz="4" w:space="0" w:color="auto"/>
              <w:left w:val="single" w:sz="4" w:space="0" w:color="auto"/>
              <w:bottom w:val="single" w:sz="4" w:space="0" w:color="auto"/>
              <w:right w:val="single" w:sz="12" w:space="0" w:color="auto"/>
            </w:tcBorders>
            <w:vAlign w:val="center"/>
          </w:tcPr>
          <w:p w:rsidR="00AA420D" w:rsidRPr="00D55DC6" w:rsidRDefault="00AA420D">
            <w:pPr>
              <w:jc w:val="center"/>
            </w:pPr>
            <w:r w:rsidRPr="00D55DC6">
              <w:t>99.71%</w:t>
            </w:r>
          </w:p>
        </w:tc>
      </w:tr>
    </w:tbl>
    <w:p w:rsidR="00FE4B9B" w:rsidRPr="00D55DC6" w:rsidRDefault="00FE4B9B" w:rsidP="00FE4B9B">
      <w:pPr>
        <w:snapToGrid w:val="0"/>
        <w:spacing w:line="0" w:lineRule="atLeast"/>
        <w:ind w:left="1313" w:hangingChars="547" w:hanging="1313"/>
        <w:jc w:val="both"/>
        <w:rPr>
          <w:rFonts w:eastAsia="標楷體"/>
        </w:rPr>
      </w:pPr>
      <w:r w:rsidRPr="00D55DC6">
        <w:rPr>
          <w:rFonts w:eastAsia="標楷體"/>
        </w:rPr>
        <w:t>註</w:t>
      </w:r>
      <w:r w:rsidRPr="00D55DC6">
        <w:rPr>
          <w:rFonts w:eastAsia="標楷體"/>
        </w:rPr>
        <w:t xml:space="preserve"> 1.</w:t>
      </w:r>
      <w:r w:rsidRPr="00D55DC6">
        <w:rPr>
          <w:rFonts w:eastAsia="標楷體"/>
        </w:rPr>
        <w:t>「總累計編列數</w:t>
      </w:r>
      <w:r w:rsidRPr="00D55DC6">
        <w:rPr>
          <w:rFonts w:eastAsia="標楷體"/>
        </w:rPr>
        <w:t>(A)</w:t>
      </w:r>
      <w:r w:rsidRPr="00D55DC6">
        <w:rPr>
          <w:rFonts w:eastAsia="標楷體"/>
        </w:rPr>
        <w:t>」為</w:t>
      </w:r>
      <w:r w:rsidRPr="00D55DC6">
        <w:rPr>
          <w:rFonts w:eastAsia="標楷體"/>
        </w:rPr>
        <w:t>101</w:t>
      </w:r>
      <w:r w:rsidRPr="00D55DC6">
        <w:rPr>
          <w:rFonts w:eastAsia="標楷體"/>
        </w:rPr>
        <w:t>年</w:t>
      </w:r>
      <w:r w:rsidRPr="00D55DC6">
        <w:rPr>
          <w:rFonts w:eastAsia="標楷體"/>
        </w:rPr>
        <w:t>1</w:t>
      </w:r>
      <w:r w:rsidRPr="00D55DC6">
        <w:rPr>
          <w:rFonts w:eastAsia="標楷體"/>
        </w:rPr>
        <w:t>月至</w:t>
      </w:r>
      <w:r w:rsidRPr="00D55DC6">
        <w:rPr>
          <w:rFonts w:eastAsia="標楷體"/>
        </w:rPr>
        <w:t>103</w:t>
      </w:r>
      <w:r w:rsidRPr="00D55DC6">
        <w:rPr>
          <w:rFonts w:eastAsia="標楷體"/>
        </w:rPr>
        <w:t>年</w:t>
      </w:r>
      <w:r w:rsidRPr="00D55DC6">
        <w:rPr>
          <w:rFonts w:eastAsia="標楷體"/>
        </w:rPr>
        <w:t>1</w:t>
      </w:r>
      <w:r w:rsidR="00AA420D" w:rsidRPr="00D55DC6">
        <w:rPr>
          <w:rFonts w:eastAsia="標楷體"/>
        </w:rPr>
        <w:t>2</w:t>
      </w:r>
      <w:r w:rsidRPr="00D55DC6">
        <w:rPr>
          <w:rFonts w:eastAsia="標楷體"/>
        </w:rPr>
        <w:t>月累計實際可支用數。</w:t>
      </w:r>
    </w:p>
    <w:p w:rsidR="00FE4B9B" w:rsidRPr="00D55DC6" w:rsidRDefault="00FE4B9B" w:rsidP="00FE4B9B">
      <w:pPr>
        <w:tabs>
          <w:tab w:val="left" w:pos="284"/>
          <w:tab w:val="left" w:pos="993"/>
        </w:tabs>
        <w:snapToGrid w:val="0"/>
        <w:spacing w:line="0" w:lineRule="atLeast"/>
        <w:ind w:left="1313" w:hangingChars="547" w:hanging="1313"/>
        <w:jc w:val="both"/>
        <w:rPr>
          <w:rFonts w:eastAsia="標楷體"/>
        </w:rPr>
      </w:pPr>
      <w:r w:rsidRPr="00D55DC6">
        <w:rPr>
          <w:rFonts w:eastAsia="標楷體"/>
        </w:rPr>
        <w:t xml:space="preserve">   2.</w:t>
      </w:r>
      <w:r w:rsidRPr="00D55DC6">
        <w:rPr>
          <w:rFonts w:eastAsia="標楷體"/>
        </w:rPr>
        <w:t>「總累計實支數</w:t>
      </w:r>
      <w:r w:rsidRPr="00D55DC6">
        <w:rPr>
          <w:rFonts w:eastAsia="標楷體"/>
        </w:rPr>
        <w:t>(B)</w:t>
      </w:r>
      <w:r w:rsidRPr="00D55DC6">
        <w:rPr>
          <w:rFonts w:eastAsia="標楷體"/>
        </w:rPr>
        <w:t>」為</w:t>
      </w:r>
      <w:r w:rsidRPr="00D55DC6">
        <w:rPr>
          <w:rFonts w:eastAsia="標楷體"/>
        </w:rPr>
        <w:t>101</w:t>
      </w:r>
      <w:r w:rsidRPr="00D55DC6">
        <w:rPr>
          <w:rFonts w:eastAsia="標楷體"/>
        </w:rPr>
        <w:t>年</w:t>
      </w:r>
      <w:r w:rsidRPr="00D55DC6">
        <w:rPr>
          <w:rFonts w:eastAsia="標楷體"/>
        </w:rPr>
        <w:t>1</w:t>
      </w:r>
      <w:r w:rsidRPr="00D55DC6">
        <w:rPr>
          <w:rFonts w:eastAsia="標楷體"/>
        </w:rPr>
        <w:t>月至</w:t>
      </w:r>
      <w:r w:rsidRPr="00D55DC6">
        <w:rPr>
          <w:rFonts w:eastAsia="標楷體"/>
        </w:rPr>
        <w:t>103</w:t>
      </w:r>
      <w:r w:rsidRPr="00D55DC6">
        <w:rPr>
          <w:rFonts w:eastAsia="標楷體"/>
        </w:rPr>
        <w:t>年</w:t>
      </w:r>
      <w:r w:rsidRPr="00D55DC6">
        <w:rPr>
          <w:rFonts w:eastAsia="標楷體"/>
        </w:rPr>
        <w:t>1</w:t>
      </w:r>
      <w:r w:rsidR="00AA420D" w:rsidRPr="00D55DC6">
        <w:rPr>
          <w:rFonts w:eastAsia="標楷體"/>
        </w:rPr>
        <w:t>2</w:t>
      </w:r>
      <w:r w:rsidRPr="00D55DC6">
        <w:rPr>
          <w:rFonts w:eastAsia="標楷體"/>
        </w:rPr>
        <w:t>月累計實支數。</w:t>
      </w:r>
    </w:p>
    <w:p w:rsidR="00FE4B9B" w:rsidRPr="00D55DC6" w:rsidRDefault="00FE4B9B" w:rsidP="00FE4B9B">
      <w:pPr>
        <w:tabs>
          <w:tab w:val="left" w:pos="284"/>
          <w:tab w:val="left" w:pos="993"/>
        </w:tabs>
        <w:snapToGrid w:val="0"/>
        <w:spacing w:line="0" w:lineRule="atLeast"/>
        <w:ind w:left="1313" w:hangingChars="547" w:hanging="1313"/>
        <w:jc w:val="both"/>
        <w:rPr>
          <w:rFonts w:eastAsia="標楷體"/>
        </w:rPr>
      </w:pPr>
    </w:p>
    <w:p w:rsidR="00FE4B9B" w:rsidRPr="00D55DC6" w:rsidRDefault="00FE4B9B" w:rsidP="00FE4B9B">
      <w:pPr>
        <w:tabs>
          <w:tab w:val="left" w:pos="284"/>
          <w:tab w:val="left" w:pos="993"/>
        </w:tabs>
        <w:snapToGrid w:val="0"/>
        <w:spacing w:line="0" w:lineRule="atLeast"/>
        <w:ind w:left="1313" w:hangingChars="547" w:hanging="1313"/>
        <w:jc w:val="both"/>
        <w:rPr>
          <w:rFonts w:eastAsia="標楷體"/>
        </w:rPr>
      </w:pPr>
    </w:p>
    <w:p w:rsidR="00FE4B9B" w:rsidRPr="00D55DC6" w:rsidRDefault="00FE4B9B" w:rsidP="004865C1">
      <w:pPr>
        <w:numPr>
          <w:ilvl w:val="0"/>
          <w:numId w:val="197"/>
        </w:numPr>
        <w:snapToGrid w:val="0"/>
        <w:spacing w:line="460" w:lineRule="exact"/>
        <w:jc w:val="both"/>
        <w:rPr>
          <w:rFonts w:eastAsia="標楷體"/>
          <w:b/>
          <w:bCs/>
          <w:sz w:val="28"/>
          <w:szCs w:val="28"/>
        </w:rPr>
      </w:pPr>
      <w:r w:rsidRPr="00D55DC6">
        <w:rPr>
          <w:rFonts w:eastAsia="標楷體"/>
          <w:b/>
          <w:bCs/>
          <w:sz w:val="28"/>
          <w:szCs w:val="28"/>
        </w:rPr>
        <w:t>重要執行成果</w:t>
      </w:r>
      <w:r w:rsidRPr="00D55DC6">
        <w:rPr>
          <w:rFonts w:eastAsia="標楷體"/>
          <w:b/>
          <w:bCs/>
          <w:sz w:val="28"/>
          <w:szCs w:val="28"/>
        </w:rPr>
        <w:t xml:space="preserve">  </w:t>
      </w:r>
    </w:p>
    <w:p w:rsidR="00FE4B9B" w:rsidRPr="00D55DC6" w:rsidRDefault="00FE4B9B" w:rsidP="00FE4B9B">
      <w:pPr>
        <w:snapToGrid w:val="0"/>
        <w:spacing w:line="460" w:lineRule="exact"/>
        <w:ind w:left="785"/>
        <w:jc w:val="both"/>
        <w:rPr>
          <w:rFonts w:eastAsia="標楷體"/>
          <w:b/>
          <w:bCs/>
          <w:sz w:val="28"/>
          <w:szCs w:val="28"/>
        </w:rPr>
      </w:pPr>
      <w:r w:rsidRPr="00D55DC6">
        <w:rPr>
          <w:rFonts w:eastAsia="標楷體"/>
          <w:b/>
          <w:bCs/>
          <w:sz w:val="28"/>
          <w:szCs w:val="28"/>
        </w:rPr>
        <w:t>2-1</w:t>
      </w:r>
      <w:r w:rsidRPr="00D55DC6">
        <w:rPr>
          <w:rFonts w:eastAsia="標楷體"/>
          <w:b/>
          <w:bCs/>
          <w:sz w:val="28"/>
          <w:szCs w:val="28"/>
        </w:rPr>
        <w:t>國際觀光重要景點建設</w:t>
      </w:r>
    </w:p>
    <w:p w:rsidR="00FE4B9B" w:rsidRPr="00D55DC6" w:rsidRDefault="00FE4B9B" w:rsidP="00FE4B9B">
      <w:pPr>
        <w:snapToGrid w:val="0"/>
        <w:spacing w:line="460" w:lineRule="exact"/>
        <w:ind w:leftChars="477" w:left="1842" w:hangingChars="249" w:hanging="697"/>
        <w:jc w:val="both"/>
        <w:rPr>
          <w:rFonts w:eastAsia="標楷體"/>
          <w:sz w:val="28"/>
          <w:szCs w:val="28"/>
        </w:rPr>
      </w:pPr>
      <w:r w:rsidRPr="00D55DC6">
        <w:rPr>
          <w:rFonts w:eastAsia="標楷體"/>
          <w:sz w:val="28"/>
          <w:szCs w:val="28"/>
        </w:rPr>
        <w:t>2-1-1</w:t>
      </w:r>
      <w:r w:rsidRPr="00D55DC6">
        <w:rPr>
          <w:rFonts w:eastAsia="標楷體"/>
          <w:sz w:val="28"/>
          <w:szCs w:val="28"/>
        </w:rPr>
        <w:t>鯉魚潭地區</w:t>
      </w:r>
      <w:r w:rsidRPr="00D55DC6">
        <w:rPr>
          <w:rFonts w:eastAsia="標楷體"/>
          <w:sz w:val="28"/>
          <w:szCs w:val="28"/>
        </w:rPr>
        <w:t>:</w:t>
      </w:r>
      <w:r w:rsidRPr="00D55DC6">
        <w:rPr>
          <w:rFonts w:eastAsia="標楷體"/>
          <w:sz w:val="28"/>
          <w:szCs w:val="28"/>
        </w:rPr>
        <w:t>鯉魚潭至慕谷慕魚地區自行車道設施改善、鯉魚潭遊客中心暨周邊公共服務設施、鯉魚潭潭北無障礙設施改善。</w:t>
      </w:r>
    </w:p>
    <w:p w:rsidR="00FE4B9B" w:rsidRPr="00D55DC6" w:rsidRDefault="00FE4B9B" w:rsidP="00FE4B9B">
      <w:pPr>
        <w:snapToGrid w:val="0"/>
        <w:spacing w:line="460" w:lineRule="exact"/>
        <w:ind w:leftChars="477" w:left="1842" w:hangingChars="249" w:hanging="697"/>
        <w:jc w:val="both"/>
        <w:rPr>
          <w:rFonts w:eastAsia="標楷體"/>
          <w:sz w:val="28"/>
          <w:szCs w:val="28"/>
        </w:rPr>
      </w:pPr>
      <w:r w:rsidRPr="00D55DC6">
        <w:rPr>
          <w:rFonts w:eastAsia="標楷體"/>
          <w:sz w:val="28"/>
          <w:szCs w:val="28"/>
        </w:rPr>
        <w:t>2-1-2</w:t>
      </w:r>
      <w:r w:rsidRPr="00D55DC6">
        <w:rPr>
          <w:rFonts w:eastAsia="標楷體"/>
          <w:sz w:val="28"/>
          <w:szCs w:val="28"/>
        </w:rPr>
        <w:t>自行車路網</w:t>
      </w:r>
      <w:r w:rsidRPr="00D55DC6">
        <w:rPr>
          <w:rFonts w:eastAsia="標楷體"/>
          <w:sz w:val="28"/>
          <w:szCs w:val="28"/>
        </w:rPr>
        <w:t>:</w:t>
      </w:r>
      <w:r w:rsidRPr="00D55DC6">
        <w:rPr>
          <w:rFonts w:eastAsia="標楷體"/>
          <w:sz w:val="28"/>
          <w:szCs w:val="28"/>
        </w:rPr>
        <w:t>池上大坡池自行車道環境整治、東里舊車站鐵馬驛站整修暨周邊設施改善、臺東自行車道公共服務設施等。</w:t>
      </w:r>
    </w:p>
    <w:p w:rsidR="00FE4B9B" w:rsidRPr="00D55DC6" w:rsidRDefault="00FE4B9B" w:rsidP="00FE4B9B">
      <w:pPr>
        <w:snapToGrid w:val="0"/>
        <w:spacing w:line="460" w:lineRule="exact"/>
        <w:ind w:leftChars="477" w:left="1842" w:hangingChars="249" w:hanging="697"/>
        <w:jc w:val="both"/>
        <w:rPr>
          <w:rFonts w:eastAsia="標楷體"/>
          <w:sz w:val="28"/>
          <w:szCs w:val="28"/>
        </w:rPr>
      </w:pPr>
      <w:r w:rsidRPr="00D55DC6">
        <w:rPr>
          <w:rFonts w:eastAsia="標楷體"/>
          <w:sz w:val="28"/>
          <w:szCs w:val="28"/>
        </w:rPr>
        <w:t>2-1-3</w:t>
      </w:r>
      <w:r w:rsidRPr="00D55DC6">
        <w:rPr>
          <w:rFonts w:eastAsia="標楷體"/>
          <w:sz w:val="28"/>
          <w:szCs w:val="28"/>
        </w:rPr>
        <w:t>鹿野高台地區</w:t>
      </w:r>
      <w:r w:rsidRPr="00D55DC6">
        <w:rPr>
          <w:rFonts w:eastAsia="標楷體"/>
          <w:sz w:val="28"/>
          <w:szCs w:val="28"/>
        </w:rPr>
        <w:t>:</w:t>
      </w:r>
      <w:r w:rsidRPr="00D55DC6">
        <w:t xml:space="preserve"> </w:t>
      </w:r>
      <w:r w:rsidRPr="00D55DC6">
        <w:rPr>
          <w:rFonts w:eastAsia="標楷體"/>
          <w:sz w:val="28"/>
          <w:szCs w:val="28"/>
        </w:rPr>
        <w:t>鹿野高臺人車分道暨周邊景觀、鹿野龍田自行車道鐵馬驛站等。</w:t>
      </w:r>
    </w:p>
    <w:p w:rsidR="00FE4B9B" w:rsidRPr="00D55DC6" w:rsidRDefault="00FE4B9B" w:rsidP="00FE4B9B">
      <w:pPr>
        <w:snapToGrid w:val="0"/>
        <w:spacing w:line="460" w:lineRule="exact"/>
        <w:ind w:leftChars="477" w:left="1842" w:hangingChars="249" w:hanging="697"/>
        <w:jc w:val="both"/>
        <w:rPr>
          <w:rFonts w:eastAsia="標楷體"/>
          <w:sz w:val="28"/>
          <w:szCs w:val="28"/>
        </w:rPr>
      </w:pPr>
      <w:r w:rsidRPr="00D55DC6">
        <w:rPr>
          <w:rFonts w:eastAsia="標楷體"/>
          <w:sz w:val="28"/>
          <w:szCs w:val="28"/>
        </w:rPr>
        <w:t>2-1-4</w:t>
      </w:r>
      <w:r w:rsidRPr="00D55DC6">
        <w:rPr>
          <w:rFonts w:eastAsia="標楷體"/>
          <w:sz w:val="28"/>
          <w:szCs w:val="28"/>
        </w:rPr>
        <w:t>羅山及六十石山地區</w:t>
      </w:r>
      <w:r w:rsidRPr="00D55DC6">
        <w:rPr>
          <w:rFonts w:eastAsia="標楷體"/>
          <w:sz w:val="28"/>
          <w:szCs w:val="28"/>
        </w:rPr>
        <w:t>:</w:t>
      </w:r>
      <w:r w:rsidRPr="00D55DC6">
        <w:t xml:space="preserve"> </w:t>
      </w:r>
      <w:r w:rsidRPr="00D55DC6">
        <w:rPr>
          <w:rFonts w:eastAsia="標楷體"/>
          <w:sz w:val="28"/>
          <w:szCs w:val="28"/>
        </w:rPr>
        <w:t>羅山及六十石山周邊公共服設施改善工程等。</w:t>
      </w:r>
    </w:p>
    <w:p w:rsidR="00FE4B9B" w:rsidRPr="00D55DC6" w:rsidRDefault="00FE4B9B" w:rsidP="00FE4B9B">
      <w:pPr>
        <w:snapToGrid w:val="0"/>
        <w:spacing w:line="460" w:lineRule="exact"/>
        <w:ind w:left="480"/>
        <w:jc w:val="both"/>
        <w:rPr>
          <w:rFonts w:eastAsia="標楷體"/>
          <w:b/>
          <w:bCs/>
          <w:sz w:val="28"/>
          <w:szCs w:val="28"/>
        </w:rPr>
      </w:pPr>
      <w:r w:rsidRPr="00D55DC6">
        <w:rPr>
          <w:rFonts w:eastAsia="標楷體"/>
          <w:b/>
          <w:bCs/>
          <w:sz w:val="28"/>
          <w:szCs w:val="28"/>
        </w:rPr>
        <w:t xml:space="preserve">  2-2</w:t>
      </w:r>
      <w:r w:rsidRPr="00D55DC6">
        <w:rPr>
          <w:rFonts w:eastAsia="標楷體"/>
          <w:b/>
          <w:bCs/>
          <w:sz w:val="28"/>
          <w:szCs w:val="28"/>
        </w:rPr>
        <w:t>國內觀光重要景點建設</w:t>
      </w:r>
    </w:p>
    <w:p w:rsidR="00FE4B9B" w:rsidRPr="00D55DC6" w:rsidRDefault="00FE4B9B" w:rsidP="00FE4B9B">
      <w:pPr>
        <w:snapToGrid w:val="0"/>
        <w:spacing w:line="460" w:lineRule="exact"/>
        <w:ind w:leftChars="472" w:left="1841" w:hangingChars="253" w:hanging="708"/>
        <w:jc w:val="both"/>
        <w:rPr>
          <w:rFonts w:eastAsia="標楷體"/>
          <w:sz w:val="28"/>
          <w:szCs w:val="28"/>
        </w:rPr>
      </w:pPr>
      <w:r w:rsidRPr="00D55DC6">
        <w:rPr>
          <w:rFonts w:eastAsia="標楷體"/>
          <w:sz w:val="28"/>
          <w:szCs w:val="28"/>
        </w:rPr>
        <w:t>2-2-1</w:t>
      </w:r>
      <w:r w:rsidRPr="00D55DC6">
        <w:rPr>
          <w:rFonts w:eastAsia="標楷體"/>
          <w:sz w:val="28"/>
          <w:szCs w:val="28"/>
        </w:rPr>
        <w:t>花東優質景觀廊道</w:t>
      </w:r>
      <w:r w:rsidRPr="00D55DC6">
        <w:rPr>
          <w:rFonts w:eastAsia="標楷體"/>
          <w:sz w:val="28"/>
          <w:szCs w:val="28"/>
        </w:rPr>
        <w:br/>
        <w:t>101</w:t>
      </w:r>
      <w:r w:rsidRPr="00D55DC6">
        <w:rPr>
          <w:rFonts w:eastAsia="標楷體"/>
          <w:sz w:val="28"/>
          <w:szCs w:val="28"/>
        </w:rPr>
        <w:t>年完成池上、卑南、利吉、鶴岡遊客中心整修暨周邊改善、臺</w:t>
      </w:r>
      <w:r w:rsidRPr="00D55DC6">
        <w:rPr>
          <w:rFonts w:eastAsia="標楷體"/>
          <w:sz w:val="28"/>
          <w:szCs w:val="28"/>
        </w:rPr>
        <w:t>9</w:t>
      </w:r>
      <w:r w:rsidRPr="00D55DC6">
        <w:rPr>
          <w:rFonts w:eastAsia="標楷體"/>
          <w:sz w:val="28"/>
          <w:szCs w:val="28"/>
        </w:rPr>
        <w:t>線沿線槽化島綠美化、鳯凰山莊改善等；</w:t>
      </w:r>
      <w:r w:rsidRPr="00D55DC6">
        <w:rPr>
          <w:rFonts w:eastAsia="標楷體"/>
          <w:sz w:val="28"/>
          <w:szCs w:val="28"/>
        </w:rPr>
        <w:t>102</w:t>
      </w:r>
      <w:r w:rsidRPr="00D55DC6">
        <w:rPr>
          <w:rFonts w:eastAsia="標楷體"/>
          <w:sz w:val="28"/>
          <w:szCs w:val="28"/>
        </w:rPr>
        <w:t>年完成北回歸線暨周邊設施工程、池上遊客中心暨鐵馬驛站等。</w:t>
      </w:r>
      <w:r w:rsidRPr="00D55DC6">
        <w:rPr>
          <w:rFonts w:eastAsia="標楷體"/>
          <w:sz w:val="28"/>
          <w:szCs w:val="28"/>
        </w:rPr>
        <w:t>103</w:t>
      </w:r>
      <w:r w:rsidRPr="00D55DC6">
        <w:rPr>
          <w:rFonts w:eastAsia="標楷體"/>
          <w:sz w:val="28"/>
          <w:szCs w:val="28"/>
        </w:rPr>
        <w:t>年將完成玉富自行車道改善、台東地區自行車道公共服務設施暨周邊環改善、戶外創作公共藝術品採購、穆斯林旅遊設施改善等。</w:t>
      </w:r>
    </w:p>
    <w:p w:rsidR="00FE4B9B" w:rsidRPr="00D55DC6" w:rsidRDefault="00FE4B9B" w:rsidP="00FE4B9B">
      <w:pPr>
        <w:snapToGrid w:val="0"/>
        <w:spacing w:line="460" w:lineRule="exact"/>
        <w:ind w:left="480"/>
        <w:jc w:val="both"/>
        <w:rPr>
          <w:rFonts w:eastAsia="標楷體"/>
          <w:b/>
          <w:bCs/>
          <w:sz w:val="28"/>
          <w:szCs w:val="28"/>
        </w:rPr>
      </w:pPr>
      <w:r w:rsidRPr="00D55DC6">
        <w:rPr>
          <w:rFonts w:eastAsia="標楷體"/>
          <w:b/>
          <w:bCs/>
          <w:sz w:val="28"/>
          <w:szCs w:val="28"/>
        </w:rPr>
        <w:lastRenderedPageBreak/>
        <w:t xml:space="preserve">  2-3</w:t>
      </w:r>
      <w:r w:rsidRPr="00D55DC6">
        <w:rPr>
          <w:rFonts w:eastAsia="標楷體"/>
          <w:b/>
          <w:bCs/>
          <w:sz w:val="28"/>
          <w:szCs w:val="28"/>
        </w:rPr>
        <w:t>地方觀光重要景點建設</w:t>
      </w:r>
    </w:p>
    <w:p w:rsidR="00FE4B9B" w:rsidRPr="00D55DC6" w:rsidRDefault="00FE4B9B" w:rsidP="00FE4B9B">
      <w:pPr>
        <w:snapToGrid w:val="0"/>
        <w:spacing w:line="460" w:lineRule="exact"/>
        <w:ind w:leftChars="477" w:left="1842" w:hangingChars="249" w:hanging="697"/>
        <w:jc w:val="both"/>
        <w:rPr>
          <w:rFonts w:eastAsia="標楷體"/>
          <w:sz w:val="28"/>
          <w:szCs w:val="28"/>
        </w:rPr>
      </w:pPr>
      <w:r w:rsidRPr="00D55DC6">
        <w:rPr>
          <w:rFonts w:eastAsia="標楷體"/>
          <w:sz w:val="28"/>
          <w:szCs w:val="28"/>
        </w:rPr>
        <w:t>2-3-1</w:t>
      </w:r>
      <w:r w:rsidRPr="00D55DC6">
        <w:rPr>
          <w:rFonts w:eastAsia="標楷體"/>
          <w:sz w:val="28"/>
          <w:szCs w:val="28"/>
        </w:rPr>
        <w:t>原住民地區環境整治及部落觀光設施改善</w:t>
      </w:r>
      <w:r w:rsidRPr="00D55DC6">
        <w:rPr>
          <w:rFonts w:eastAsia="標楷體"/>
          <w:sz w:val="28"/>
          <w:szCs w:val="28"/>
        </w:rPr>
        <w:br/>
        <w:t>101</w:t>
      </w:r>
      <w:r w:rsidRPr="00D55DC6">
        <w:rPr>
          <w:rFonts w:eastAsia="標楷體"/>
          <w:sz w:val="28"/>
          <w:szCs w:val="28"/>
        </w:rPr>
        <w:t>年完成崙天部落跳舞場環境改善。</w:t>
      </w:r>
      <w:r w:rsidRPr="00D55DC6">
        <w:rPr>
          <w:rFonts w:eastAsia="標楷體"/>
          <w:sz w:val="28"/>
          <w:szCs w:val="28"/>
        </w:rPr>
        <w:t>102</w:t>
      </w:r>
      <w:r w:rsidRPr="00D55DC6">
        <w:rPr>
          <w:rFonts w:eastAsia="標楷體"/>
          <w:sz w:val="28"/>
          <w:szCs w:val="28"/>
        </w:rPr>
        <w:t>年玉里鎮樂合與福音部落及長良部落跳舞場周邊環境、萬榮碧赫潭周邊環境改善工程、延平鄉桃源與永康部落周邊環境改善案與台東地區自行公共服務設施工程</w:t>
      </w:r>
      <w:r w:rsidRPr="00D55DC6">
        <w:rPr>
          <w:rFonts w:eastAsia="標楷體"/>
          <w:sz w:val="28"/>
          <w:szCs w:val="28"/>
        </w:rPr>
        <w:t>103</w:t>
      </w:r>
      <w:r w:rsidRPr="00D55DC6">
        <w:rPr>
          <w:rFonts w:eastAsia="標楷體"/>
          <w:sz w:val="28"/>
          <w:szCs w:val="28"/>
        </w:rPr>
        <w:t>年將完成轄內長良、利稻、池南、明利等原住民族部落設施改改善工程等。</w:t>
      </w:r>
    </w:p>
    <w:p w:rsidR="00FE4B9B" w:rsidRPr="00D55DC6" w:rsidRDefault="00FE4B9B" w:rsidP="00FE4B9B">
      <w:pPr>
        <w:snapToGrid w:val="0"/>
        <w:spacing w:line="460" w:lineRule="exact"/>
        <w:ind w:left="480"/>
        <w:jc w:val="both"/>
        <w:rPr>
          <w:rFonts w:eastAsia="標楷體"/>
          <w:sz w:val="28"/>
          <w:szCs w:val="28"/>
        </w:rPr>
      </w:pPr>
      <w:r w:rsidRPr="00D55DC6">
        <w:rPr>
          <w:rFonts w:eastAsia="標楷體"/>
          <w:b/>
          <w:bCs/>
          <w:sz w:val="28"/>
          <w:szCs w:val="28"/>
        </w:rPr>
        <w:t xml:space="preserve">  2-4</w:t>
      </w:r>
      <w:r w:rsidRPr="00D55DC6">
        <w:rPr>
          <w:rFonts w:eastAsia="標楷體"/>
          <w:b/>
          <w:bCs/>
          <w:sz w:val="28"/>
          <w:szCs w:val="28"/>
        </w:rPr>
        <w:t>經營管理及行銷推廣</w:t>
      </w:r>
    </w:p>
    <w:p w:rsidR="00FE4B9B" w:rsidRPr="00D55DC6" w:rsidRDefault="00FE4B9B" w:rsidP="009D33BA">
      <w:pPr>
        <w:tabs>
          <w:tab w:val="num" w:pos="720"/>
        </w:tabs>
        <w:spacing w:beforeLines="20" w:before="72" w:line="460" w:lineRule="exact"/>
        <w:ind w:leftChars="472" w:left="1841" w:hangingChars="253" w:hanging="708"/>
        <w:jc w:val="both"/>
        <w:rPr>
          <w:rFonts w:eastAsia="標楷體"/>
          <w:sz w:val="28"/>
          <w:szCs w:val="28"/>
        </w:rPr>
      </w:pPr>
      <w:r w:rsidRPr="00D55DC6">
        <w:rPr>
          <w:rFonts w:eastAsia="標楷體"/>
          <w:sz w:val="28"/>
          <w:szCs w:val="28"/>
        </w:rPr>
        <w:t>2-4-1</w:t>
      </w:r>
      <w:r w:rsidRPr="00D55DC6">
        <w:rPr>
          <w:rFonts w:eastAsia="標楷體"/>
          <w:sz w:val="28"/>
          <w:szCs w:val="28"/>
        </w:rPr>
        <w:t>辦理「主題旅遊指標建置」規劃案、「</w:t>
      </w:r>
      <w:r w:rsidRPr="00D55DC6">
        <w:rPr>
          <w:rFonts w:eastAsia="標楷體"/>
          <w:sz w:val="28"/>
          <w:szCs w:val="28"/>
        </w:rPr>
        <w:t>102</w:t>
      </w:r>
      <w:r w:rsidRPr="00D55DC6">
        <w:rPr>
          <w:rFonts w:eastAsia="標楷體"/>
          <w:sz w:val="28"/>
          <w:szCs w:val="28"/>
        </w:rPr>
        <w:t>年度鶴岡遊客中心視覺形象系統改善案」。</w:t>
      </w:r>
    </w:p>
    <w:p w:rsidR="00FE4B9B" w:rsidRPr="00D55DC6" w:rsidRDefault="00FE4B9B" w:rsidP="00FE4B9B">
      <w:pPr>
        <w:tabs>
          <w:tab w:val="num" w:pos="2065"/>
          <w:tab w:val="num" w:pos="3425"/>
        </w:tabs>
        <w:spacing w:line="460" w:lineRule="exact"/>
        <w:ind w:leftChars="472" w:left="1841" w:hangingChars="253" w:hanging="708"/>
        <w:jc w:val="both"/>
        <w:rPr>
          <w:rFonts w:eastAsia="標楷體"/>
          <w:sz w:val="28"/>
          <w:szCs w:val="28"/>
        </w:rPr>
      </w:pPr>
      <w:r w:rsidRPr="00D55DC6">
        <w:rPr>
          <w:rFonts w:eastAsia="標楷體"/>
          <w:sz w:val="28"/>
          <w:szCs w:val="28"/>
        </w:rPr>
        <w:t>2-4-2</w:t>
      </w:r>
      <w:r w:rsidRPr="00D55DC6">
        <w:rPr>
          <w:rFonts w:eastAsia="標楷體"/>
          <w:sz w:val="28"/>
          <w:szCs w:val="28"/>
        </w:rPr>
        <w:t>辦理鯉魚潭環境教育設施場所申請認證作業、無障礙旅遊路線案及持續辦理環境維護及設施維持，並營造友善及安全旅遊環境（穆斯林友善環境），尊重多元文化，提升遊憩品質。</w:t>
      </w:r>
    </w:p>
    <w:p w:rsidR="00FE4B9B" w:rsidRPr="00D55DC6" w:rsidRDefault="00FE4B9B" w:rsidP="00FE4B9B">
      <w:pPr>
        <w:tabs>
          <w:tab w:val="num" w:pos="2065"/>
          <w:tab w:val="num" w:pos="3425"/>
        </w:tabs>
        <w:spacing w:line="460" w:lineRule="exact"/>
        <w:ind w:leftChars="472" w:left="1841" w:hangingChars="253" w:hanging="708"/>
        <w:jc w:val="both"/>
        <w:rPr>
          <w:rFonts w:eastAsia="標楷體"/>
          <w:sz w:val="28"/>
          <w:szCs w:val="28"/>
        </w:rPr>
      </w:pPr>
      <w:r w:rsidRPr="00D55DC6">
        <w:rPr>
          <w:rFonts w:eastAsia="標楷體"/>
          <w:sz w:val="28"/>
          <w:szCs w:val="28"/>
        </w:rPr>
        <w:t>2-4-3</w:t>
      </w:r>
      <w:r w:rsidRPr="00D55DC6">
        <w:rPr>
          <w:rFonts w:eastAsia="標楷體"/>
          <w:sz w:val="28"/>
          <w:szCs w:val="28"/>
        </w:rPr>
        <w:t>辦理「特色珍珠亮點整合行銷」、「賞螢賞蝶生態教育活動」、「瑞穗夏至</w:t>
      </w:r>
      <w:r w:rsidRPr="00D55DC6">
        <w:rPr>
          <w:rFonts w:eastAsia="標楷體"/>
          <w:sz w:val="28"/>
          <w:szCs w:val="28"/>
        </w:rPr>
        <w:t>235-</w:t>
      </w:r>
      <w:r w:rsidRPr="00D55DC6">
        <w:rPr>
          <w:rFonts w:eastAsia="標楷體"/>
          <w:sz w:val="28"/>
          <w:szCs w:val="28"/>
        </w:rPr>
        <w:t>仲夏原鄉　舞動縱谷」、「優人神鼓</w:t>
      </w:r>
      <w:r w:rsidRPr="00D55DC6">
        <w:rPr>
          <w:rFonts w:eastAsia="標楷體"/>
          <w:sz w:val="28"/>
          <w:szCs w:val="28"/>
        </w:rPr>
        <w:t>-</w:t>
      </w:r>
      <w:r w:rsidRPr="00D55DC6">
        <w:rPr>
          <w:rFonts w:eastAsia="標楷體"/>
          <w:sz w:val="28"/>
          <w:szCs w:val="28"/>
        </w:rPr>
        <w:t>鼓動谷心</w:t>
      </w:r>
      <w:r w:rsidRPr="00D55DC6">
        <w:rPr>
          <w:rFonts w:eastAsia="標楷體"/>
          <w:sz w:val="28"/>
          <w:szCs w:val="28"/>
        </w:rPr>
        <w:t xml:space="preserve"> </w:t>
      </w:r>
      <w:r w:rsidRPr="00D55DC6">
        <w:rPr>
          <w:rFonts w:eastAsia="標楷體"/>
          <w:sz w:val="28"/>
          <w:szCs w:val="28"/>
        </w:rPr>
        <w:t>心樂縱谷行銷」、「花東地區特色珍珠亮點行銷活動」與「臺灣自行車節</w:t>
      </w:r>
      <w:r w:rsidRPr="00D55DC6">
        <w:rPr>
          <w:rFonts w:eastAsia="標楷體"/>
          <w:sz w:val="28"/>
          <w:szCs w:val="28"/>
        </w:rPr>
        <w:t>-</w:t>
      </w:r>
      <w:r w:rsidRPr="00D55DC6">
        <w:rPr>
          <w:rFonts w:eastAsia="標楷體"/>
          <w:sz w:val="28"/>
          <w:szCs w:val="28"/>
        </w:rPr>
        <w:t>輪轉花東單車嘉年華活動」系列、『</w:t>
      </w:r>
      <w:r w:rsidRPr="00D55DC6">
        <w:rPr>
          <w:rFonts w:eastAsia="標楷體"/>
          <w:sz w:val="28"/>
          <w:szCs w:val="28"/>
        </w:rPr>
        <w:t>2014</w:t>
      </w:r>
      <w:r w:rsidRPr="00D55DC6">
        <w:rPr>
          <w:rFonts w:eastAsia="標楷體"/>
          <w:sz w:val="28"/>
          <w:szCs w:val="28"/>
        </w:rPr>
        <w:t>樂活行無礙</w:t>
      </w:r>
      <w:r w:rsidRPr="00D55DC6">
        <w:rPr>
          <w:rFonts w:eastAsia="標楷體"/>
          <w:sz w:val="28"/>
          <w:szCs w:val="28"/>
        </w:rPr>
        <w:t>-</w:t>
      </w:r>
      <w:r w:rsidRPr="00D55DC6">
        <w:rPr>
          <w:rFonts w:eastAsia="標楷體"/>
          <w:sz w:val="28"/>
          <w:szCs w:val="28"/>
        </w:rPr>
        <w:t>悠遊鯉魚潭活動』、</w:t>
      </w:r>
      <w:r w:rsidRPr="00D55DC6">
        <w:rPr>
          <w:rFonts w:eastAsia="標楷體"/>
          <w:sz w:val="28"/>
          <w:szCs w:val="28"/>
        </w:rPr>
        <w:t>103</w:t>
      </w:r>
      <w:r w:rsidRPr="00D55DC6">
        <w:rPr>
          <w:rFonts w:eastAsia="標楷體"/>
          <w:sz w:val="28"/>
          <w:szCs w:val="28"/>
        </w:rPr>
        <w:t>年「歌曲行銷</w:t>
      </w:r>
      <w:r w:rsidRPr="00D55DC6">
        <w:rPr>
          <w:rFonts w:eastAsia="標楷體"/>
          <w:sz w:val="28"/>
          <w:szCs w:val="28"/>
        </w:rPr>
        <w:t>—</w:t>
      </w:r>
      <w:r w:rsidRPr="00D55DC6">
        <w:rPr>
          <w:rFonts w:eastAsia="標楷體"/>
          <w:sz w:val="28"/>
          <w:szCs w:val="28"/>
        </w:rPr>
        <w:t>花東縱谷之歌」、「花東縱谷小天使代言團培訓」、「花東縱谷最美麗攝影作品比賽」等活動。</w:t>
      </w:r>
    </w:p>
    <w:p w:rsidR="00FE4B9B" w:rsidRPr="00D55DC6" w:rsidRDefault="00FE4B9B" w:rsidP="00FE4B9B">
      <w:pPr>
        <w:tabs>
          <w:tab w:val="num" w:pos="2065"/>
          <w:tab w:val="num" w:pos="3425"/>
        </w:tabs>
        <w:spacing w:line="460" w:lineRule="exact"/>
        <w:ind w:leftChars="472" w:left="1841" w:hangingChars="253" w:hanging="708"/>
        <w:jc w:val="both"/>
        <w:rPr>
          <w:rFonts w:eastAsia="標楷體"/>
          <w:sz w:val="28"/>
          <w:szCs w:val="28"/>
        </w:rPr>
      </w:pPr>
      <w:r w:rsidRPr="00D55DC6">
        <w:rPr>
          <w:rFonts w:eastAsia="標楷體"/>
          <w:sz w:val="28"/>
          <w:szCs w:val="28"/>
        </w:rPr>
        <w:t>2-4-4</w:t>
      </w:r>
      <w:r w:rsidRPr="00D55DC6">
        <w:rPr>
          <w:rFonts w:eastAsia="標楷體"/>
          <w:sz w:val="28"/>
          <w:szCs w:val="28"/>
        </w:rPr>
        <w:t>以品牌及視覺行銷概念，提升文宣品質以及加強網路行銷，增加遊客到訪及深度旅行吸引力。</w:t>
      </w:r>
    </w:p>
    <w:p w:rsidR="00FE4B9B" w:rsidRPr="00D55DC6" w:rsidRDefault="00FE4B9B" w:rsidP="00FE4B9B">
      <w:pPr>
        <w:tabs>
          <w:tab w:val="num" w:pos="2065"/>
          <w:tab w:val="num" w:pos="3425"/>
        </w:tabs>
        <w:spacing w:line="460" w:lineRule="exact"/>
        <w:ind w:leftChars="473" w:left="1843" w:hangingChars="253" w:hanging="708"/>
        <w:jc w:val="both"/>
        <w:rPr>
          <w:rFonts w:eastAsia="標楷體"/>
          <w:sz w:val="28"/>
          <w:szCs w:val="28"/>
        </w:rPr>
      </w:pPr>
      <w:r w:rsidRPr="00D55DC6">
        <w:rPr>
          <w:rFonts w:eastAsia="標楷體"/>
          <w:sz w:val="28"/>
          <w:szCs w:val="28"/>
        </w:rPr>
        <w:t>2-4-5</w:t>
      </w:r>
      <w:r w:rsidRPr="00D55DC6">
        <w:rPr>
          <w:rFonts w:eastAsia="標楷體"/>
          <w:sz w:val="28"/>
          <w:szCs w:val="28"/>
        </w:rPr>
        <w:t>辦理志工培訓，培養解說人員提供導覽服務；協助溫泉、咖啡、米食、茶葉及旅宿等產業行銷。</w:t>
      </w:r>
    </w:p>
    <w:p w:rsidR="00FE4B9B" w:rsidRPr="00D55DC6" w:rsidRDefault="00FE4B9B" w:rsidP="00FE4B9B">
      <w:pPr>
        <w:spacing w:line="460" w:lineRule="exact"/>
        <w:ind w:leftChars="473" w:left="1843" w:hangingChars="253" w:hanging="708"/>
        <w:jc w:val="both"/>
        <w:rPr>
          <w:rFonts w:eastAsia="標楷體"/>
          <w:sz w:val="28"/>
          <w:szCs w:val="28"/>
        </w:rPr>
      </w:pPr>
      <w:r w:rsidRPr="00D55DC6">
        <w:rPr>
          <w:rFonts w:eastAsia="標楷體"/>
          <w:sz w:val="28"/>
          <w:szCs w:val="28"/>
        </w:rPr>
        <w:t>2-4-6</w:t>
      </w:r>
      <w:r w:rsidRPr="00D55DC6">
        <w:rPr>
          <w:rFonts w:eastAsia="標楷體"/>
          <w:sz w:val="28"/>
          <w:szCs w:val="28"/>
        </w:rPr>
        <w:t>於鯉魚潭風景區協助辦理「洄瀾國際鐵人三項精英賽」、「鯉魚潭太平洋燈會暨紅面鴨系列活動」及台東縱谷地區共同辦理「臺灣國際熱氣球嘉年華」活動。</w:t>
      </w:r>
    </w:p>
    <w:p w:rsidR="00FE4B9B" w:rsidRPr="00D55DC6" w:rsidRDefault="00FE4B9B" w:rsidP="00FE4B9B">
      <w:pPr>
        <w:spacing w:line="460" w:lineRule="exact"/>
        <w:ind w:leftChars="473" w:left="1843" w:hangingChars="253" w:hanging="708"/>
        <w:jc w:val="both"/>
        <w:rPr>
          <w:rFonts w:eastAsia="標楷體"/>
          <w:sz w:val="28"/>
          <w:szCs w:val="28"/>
        </w:rPr>
      </w:pPr>
      <w:r w:rsidRPr="00D55DC6">
        <w:rPr>
          <w:rFonts w:eastAsia="標楷體"/>
          <w:sz w:val="28"/>
          <w:szCs w:val="28"/>
        </w:rPr>
        <w:t>2-4-7</w:t>
      </w:r>
      <w:r w:rsidRPr="00D55DC6">
        <w:rPr>
          <w:rFonts w:eastAsia="標楷體"/>
          <w:sz w:val="28"/>
          <w:szCs w:val="28"/>
        </w:rPr>
        <w:t>產業輔導</w:t>
      </w:r>
      <w:r w:rsidRPr="00D55DC6">
        <w:rPr>
          <w:rFonts w:eastAsia="標楷體"/>
          <w:sz w:val="28"/>
          <w:szCs w:val="28"/>
        </w:rPr>
        <w:t>:102-104</w:t>
      </w:r>
      <w:r w:rsidRPr="00D55DC6">
        <w:rPr>
          <w:rFonts w:eastAsia="標楷體"/>
          <w:sz w:val="28"/>
          <w:szCs w:val="28"/>
        </w:rPr>
        <w:t>年辦理『募集縱谷好咖與部落亮點</w:t>
      </w:r>
      <w:r w:rsidRPr="00D55DC6">
        <w:rPr>
          <w:rFonts w:eastAsia="標楷體"/>
          <w:sz w:val="28"/>
          <w:szCs w:val="28"/>
        </w:rPr>
        <w:t>-</w:t>
      </w:r>
      <w:r w:rsidRPr="00D55DC6">
        <w:rPr>
          <w:rFonts w:eastAsia="標楷體"/>
          <w:sz w:val="28"/>
          <w:szCs w:val="28"/>
        </w:rPr>
        <w:t>啟動</w:t>
      </w:r>
      <w:r w:rsidRPr="00D55DC6">
        <w:rPr>
          <w:rFonts w:eastAsia="標楷體"/>
          <w:sz w:val="28"/>
          <w:szCs w:val="28"/>
        </w:rPr>
        <w:t>38</w:t>
      </w:r>
      <w:r w:rsidRPr="00D55DC6">
        <w:rPr>
          <w:rFonts w:eastAsia="標楷體"/>
          <w:sz w:val="28"/>
          <w:szCs w:val="28"/>
        </w:rPr>
        <w:t>綠色旅遊』</w:t>
      </w:r>
    </w:p>
    <w:p w:rsidR="00FE4B9B" w:rsidRPr="00D55DC6" w:rsidRDefault="00FE4B9B" w:rsidP="00FE4B9B">
      <w:pPr>
        <w:spacing w:line="460" w:lineRule="exact"/>
        <w:ind w:leftChars="473" w:left="1843" w:hangingChars="253" w:hanging="708"/>
        <w:jc w:val="both"/>
        <w:rPr>
          <w:rFonts w:eastAsia="標楷體"/>
          <w:sz w:val="28"/>
          <w:szCs w:val="28"/>
        </w:rPr>
      </w:pPr>
      <w:r w:rsidRPr="00D55DC6">
        <w:rPr>
          <w:rFonts w:eastAsia="標楷體"/>
          <w:sz w:val="28"/>
          <w:szCs w:val="28"/>
        </w:rPr>
        <w:t>2-4-8</w:t>
      </w:r>
      <w:r w:rsidRPr="00D55DC6">
        <w:rPr>
          <w:rFonts w:eastAsia="標楷體"/>
          <w:sz w:val="28"/>
          <w:szCs w:val="28"/>
        </w:rPr>
        <w:t>促進民間參與觀光建設</w:t>
      </w:r>
      <w:r w:rsidRPr="00D55DC6">
        <w:rPr>
          <w:rFonts w:eastAsia="標楷體"/>
          <w:sz w:val="28"/>
          <w:szCs w:val="28"/>
        </w:rPr>
        <w:br/>
      </w:r>
      <w:r w:rsidRPr="00D55DC6">
        <w:rPr>
          <w:rFonts w:eastAsia="標楷體"/>
          <w:sz w:val="28"/>
          <w:szCs w:val="28"/>
        </w:rPr>
        <w:lastRenderedPageBreak/>
        <w:t>97-100</w:t>
      </w:r>
      <w:r w:rsidRPr="00D55DC6">
        <w:rPr>
          <w:rFonts w:eastAsia="標楷體"/>
          <w:sz w:val="28"/>
          <w:szCs w:val="28"/>
        </w:rPr>
        <w:t>年度已簽約促參案件民間投資金額達</w:t>
      </w:r>
      <w:r w:rsidRPr="00D55DC6">
        <w:rPr>
          <w:rFonts w:eastAsia="標楷體"/>
          <w:sz w:val="28"/>
          <w:szCs w:val="28"/>
        </w:rPr>
        <w:t>0.44591</w:t>
      </w:r>
      <w:r w:rsidRPr="00D55DC6">
        <w:rPr>
          <w:rFonts w:eastAsia="標楷體"/>
          <w:sz w:val="28"/>
          <w:szCs w:val="28"/>
        </w:rPr>
        <w:t>億元，包含「民間參與鯉魚潭露營區整建暨營運案」（</w:t>
      </w:r>
      <w:r w:rsidRPr="00D55DC6">
        <w:rPr>
          <w:rFonts w:eastAsia="標楷體"/>
          <w:sz w:val="28"/>
          <w:szCs w:val="28"/>
        </w:rPr>
        <w:t>0.375</w:t>
      </w:r>
      <w:r w:rsidRPr="00D55DC6">
        <w:rPr>
          <w:rFonts w:eastAsia="標楷體"/>
          <w:sz w:val="28"/>
          <w:szCs w:val="28"/>
        </w:rPr>
        <w:t>億元）、「鳳凰山莊委託民間參與營運案」（</w:t>
      </w:r>
      <w:r w:rsidRPr="00D55DC6">
        <w:rPr>
          <w:rFonts w:eastAsia="標楷體"/>
          <w:sz w:val="28"/>
          <w:szCs w:val="28"/>
        </w:rPr>
        <w:t>0.025</w:t>
      </w:r>
      <w:r w:rsidRPr="00D55DC6">
        <w:rPr>
          <w:rFonts w:eastAsia="標楷體"/>
          <w:sz w:val="28"/>
          <w:szCs w:val="28"/>
        </w:rPr>
        <w:t>億元）及「民間參與崙天遊憩區營運案」（</w:t>
      </w:r>
      <w:r w:rsidRPr="00D55DC6">
        <w:rPr>
          <w:rFonts w:eastAsia="標楷體"/>
          <w:sz w:val="28"/>
          <w:szCs w:val="28"/>
        </w:rPr>
        <w:t>0.04591</w:t>
      </w:r>
      <w:r w:rsidRPr="00D55DC6">
        <w:rPr>
          <w:rFonts w:eastAsia="標楷體"/>
          <w:sz w:val="28"/>
          <w:szCs w:val="28"/>
        </w:rPr>
        <w:t>億元）等共</w:t>
      </w:r>
      <w:r w:rsidRPr="00D55DC6">
        <w:rPr>
          <w:rFonts w:eastAsia="標楷體"/>
          <w:sz w:val="28"/>
          <w:szCs w:val="28"/>
        </w:rPr>
        <w:t>3</w:t>
      </w:r>
      <w:r w:rsidRPr="00D55DC6">
        <w:rPr>
          <w:rFonts w:eastAsia="標楷體"/>
          <w:sz w:val="28"/>
          <w:szCs w:val="28"/>
        </w:rPr>
        <w:t>件及</w:t>
      </w:r>
      <w:r w:rsidRPr="00D55DC6">
        <w:rPr>
          <w:rFonts w:eastAsia="標楷體"/>
          <w:sz w:val="28"/>
          <w:szCs w:val="28"/>
        </w:rPr>
        <w:t>95</w:t>
      </w:r>
      <w:r w:rsidRPr="00D55DC6">
        <w:rPr>
          <w:rFonts w:eastAsia="標楷體"/>
          <w:sz w:val="28"/>
          <w:szCs w:val="28"/>
        </w:rPr>
        <w:t>年簽定「民間參與林榮休憩區整建暨營運案」</w:t>
      </w:r>
      <w:r w:rsidRPr="00D55DC6">
        <w:rPr>
          <w:rFonts w:eastAsia="標楷體"/>
          <w:sz w:val="28"/>
          <w:szCs w:val="28"/>
        </w:rPr>
        <w:t>(0.1</w:t>
      </w:r>
      <w:r w:rsidRPr="00D55DC6">
        <w:rPr>
          <w:rFonts w:eastAsia="標楷體"/>
          <w:sz w:val="28"/>
          <w:szCs w:val="28"/>
        </w:rPr>
        <w:t>億元</w:t>
      </w:r>
      <w:r w:rsidRPr="00D55DC6">
        <w:rPr>
          <w:rFonts w:eastAsia="標楷體"/>
          <w:sz w:val="28"/>
          <w:szCs w:val="28"/>
        </w:rPr>
        <w:t>)1</w:t>
      </w:r>
      <w:r w:rsidRPr="00D55DC6">
        <w:rPr>
          <w:rFonts w:eastAsia="標楷體"/>
          <w:sz w:val="28"/>
          <w:szCs w:val="28"/>
        </w:rPr>
        <w:t>件。</w:t>
      </w:r>
    </w:p>
    <w:p w:rsidR="00AE58E7" w:rsidRPr="00D55DC6" w:rsidRDefault="00AE58E7" w:rsidP="00FE4B9B">
      <w:pPr>
        <w:spacing w:line="460" w:lineRule="exact"/>
        <w:ind w:leftChars="473" w:left="1843" w:hangingChars="253" w:hanging="708"/>
        <w:jc w:val="both"/>
        <w:rPr>
          <w:rFonts w:eastAsia="標楷體"/>
          <w:sz w:val="28"/>
          <w:szCs w:val="28"/>
        </w:rPr>
      </w:pPr>
    </w:p>
    <w:p w:rsidR="00AE58E7" w:rsidRPr="00D55DC6" w:rsidRDefault="00AE58E7" w:rsidP="00FE4B9B">
      <w:pPr>
        <w:spacing w:line="460" w:lineRule="exact"/>
        <w:ind w:leftChars="473" w:left="1843" w:hangingChars="253" w:hanging="708"/>
        <w:jc w:val="both"/>
        <w:rPr>
          <w:rFonts w:eastAsia="標楷體"/>
          <w:sz w:val="28"/>
          <w:szCs w:val="28"/>
        </w:rPr>
      </w:pPr>
    </w:p>
    <w:p w:rsidR="00AE58E7" w:rsidRPr="00D55DC6" w:rsidRDefault="00AE58E7" w:rsidP="00FE4B9B">
      <w:pPr>
        <w:spacing w:line="460" w:lineRule="exact"/>
        <w:ind w:leftChars="473" w:left="1843" w:hangingChars="253" w:hanging="708"/>
        <w:jc w:val="both"/>
        <w:rPr>
          <w:rFonts w:eastAsia="標楷體"/>
          <w:sz w:val="28"/>
          <w:szCs w:val="28"/>
        </w:rPr>
      </w:pPr>
    </w:p>
    <w:p w:rsidR="00FE4B9B" w:rsidRPr="00D55DC6" w:rsidRDefault="00FE4B9B" w:rsidP="009D33BA">
      <w:pPr>
        <w:numPr>
          <w:ilvl w:val="0"/>
          <w:numId w:val="1"/>
        </w:numPr>
        <w:snapToGrid w:val="0"/>
        <w:spacing w:beforeLines="50" w:before="180" w:afterLines="50" w:after="180" w:line="460" w:lineRule="exact"/>
        <w:ind w:left="709" w:hanging="709"/>
        <w:jc w:val="both"/>
        <w:rPr>
          <w:rFonts w:eastAsia="標楷體"/>
          <w:b/>
          <w:bCs/>
          <w:sz w:val="28"/>
          <w:szCs w:val="28"/>
        </w:rPr>
      </w:pPr>
      <w:r w:rsidRPr="00D55DC6">
        <w:rPr>
          <w:rFonts w:eastAsia="標楷體"/>
          <w:b/>
          <w:bCs/>
          <w:sz w:val="28"/>
          <w:szCs w:val="28"/>
        </w:rPr>
        <w:t>執行策略及方法</w:t>
      </w:r>
    </w:p>
    <w:p w:rsidR="00FE4B9B" w:rsidRPr="00D55DC6" w:rsidRDefault="00FE4B9B" w:rsidP="004865C1">
      <w:pPr>
        <w:numPr>
          <w:ilvl w:val="0"/>
          <w:numId w:val="198"/>
        </w:numPr>
        <w:snapToGrid w:val="0"/>
        <w:spacing w:beforeLines="50" w:before="180" w:afterLines="50" w:after="180" w:line="460" w:lineRule="exact"/>
        <w:jc w:val="both"/>
        <w:rPr>
          <w:rFonts w:eastAsia="標楷體"/>
          <w:b/>
          <w:bCs/>
          <w:sz w:val="28"/>
          <w:szCs w:val="28"/>
        </w:rPr>
      </w:pPr>
      <w:r w:rsidRPr="00D55DC6">
        <w:rPr>
          <w:rFonts w:eastAsia="標楷體"/>
          <w:b/>
          <w:bCs/>
          <w:sz w:val="28"/>
          <w:szCs w:val="28"/>
        </w:rPr>
        <w:t>執行策略</w:t>
      </w:r>
    </w:p>
    <w:p w:rsidR="00FE4B9B" w:rsidRPr="00D55DC6" w:rsidRDefault="00FE4B9B" w:rsidP="00FE4B9B">
      <w:pPr>
        <w:widowControl/>
        <w:tabs>
          <w:tab w:val="left" w:pos="1134"/>
          <w:tab w:val="right" w:leader="dot" w:pos="9356"/>
        </w:tabs>
        <w:spacing w:line="460" w:lineRule="exact"/>
        <w:ind w:leftChars="295" w:left="991" w:hangingChars="101" w:hanging="283"/>
        <w:jc w:val="both"/>
        <w:rPr>
          <w:rFonts w:eastAsia="標楷體"/>
          <w:noProof/>
          <w:kern w:val="0"/>
          <w:sz w:val="28"/>
          <w:szCs w:val="28"/>
        </w:rPr>
      </w:pPr>
      <w:r w:rsidRPr="00D55DC6">
        <w:rPr>
          <w:rFonts w:eastAsia="標楷體"/>
          <w:noProof/>
          <w:kern w:val="0"/>
          <w:sz w:val="28"/>
          <w:szCs w:val="28"/>
        </w:rPr>
        <w:t>1.</w:t>
      </w:r>
      <w:r w:rsidRPr="00D55DC6">
        <w:rPr>
          <w:rFonts w:eastAsia="標楷體"/>
          <w:noProof/>
          <w:kern w:val="0"/>
          <w:sz w:val="28"/>
          <w:szCs w:val="28"/>
        </w:rPr>
        <w:t>強化大型觀光亮點建設：</w:t>
      </w:r>
      <w:r w:rsidRPr="00D55DC6">
        <w:rPr>
          <w:rFonts w:eastAsia="標楷體"/>
          <w:noProof/>
          <w:kern w:val="0"/>
          <w:sz w:val="28"/>
          <w:szCs w:val="28"/>
        </w:rPr>
        <w:br/>
      </w:r>
      <w:r w:rsidRPr="00D55DC6">
        <w:rPr>
          <w:rFonts w:eastAsia="標楷體"/>
          <w:noProof/>
          <w:kern w:val="0"/>
          <w:sz w:val="28"/>
          <w:szCs w:val="28"/>
        </w:rPr>
        <w:t>落實執行交通部列管花東縱谷「觀光飛行產業亮點計畫」及「鯉躍水舞天觀光亮點計畫」，期於鹿野龍田地區深化、在地化及永續發展花東縱谷地區觀光飛行產業，串聯周邊遊憩資源，促進區域經濟發展，並於鯉魚潭風景區建設全臺最優質的無障礙遊憩空間及開發水域多元遊憩活動，打造適合銀髮族、輪椅族群輕鬆旅遊的休閒樂園。</w:t>
      </w:r>
    </w:p>
    <w:p w:rsidR="00FE4B9B" w:rsidRPr="00D55DC6" w:rsidRDefault="00FE4B9B" w:rsidP="00FE4B9B">
      <w:pPr>
        <w:widowControl/>
        <w:tabs>
          <w:tab w:val="left" w:pos="993"/>
          <w:tab w:val="right" w:leader="dot" w:pos="9356"/>
        </w:tabs>
        <w:spacing w:line="460" w:lineRule="exact"/>
        <w:ind w:leftChars="295" w:left="991" w:hangingChars="101" w:hanging="283"/>
        <w:jc w:val="both"/>
        <w:rPr>
          <w:rFonts w:eastAsia="標楷體"/>
          <w:noProof/>
          <w:kern w:val="0"/>
          <w:sz w:val="26"/>
          <w:szCs w:val="26"/>
        </w:rPr>
      </w:pPr>
      <w:r w:rsidRPr="00D55DC6">
        <w:rPr>
          <w:rFonts w:eastAsia="標楷體"/>
          <w:noProof/>
          <w:kern w:val="0"/>
          <w:sz w:val="28"/>
          <w:szCs w:val="28"/>
        </w:rPr>
        <w:t>2.</w:t>
      </w:r>
      <w:r w:rsidRPr="00D55DC6">
        <w:rPr>
          <w:rFonts w:eastAsia="標楷體"/>
          <w:noProof/>
          <w:kern w:val="0"/>
          <w:sz w:val="28"/>
          <w:szCs w:val="28"/>
        </w:rPr>
        <w:t>提升財務自償：</w:t>
      </w:r>
      <w:r w:rsidRPr="00D55DC6">
        <w:rPr>
          <w:rFonts w:eastAsia="標楷體"/>
          <w:noProof/>
          <w:kern w:val="0"/>
          <w:sz w:val="28"/>
          <w:szCs w:val="28"/>
        </w:rPr>
        <w:br/>
      </w:r>
      <w:r w:rsidRPr="00D55DC6">
        <w:rPr>
          <w:rFonts w:eastAsia="標楷體"/>
          <w:noProof/>
          <w:kern w:val="0"/>
          <w:sz w:val="28"/>
          <w:szCs w:val="28"/>
        </w:rPr>
        <w:t>透過跨域加值機制，將外部效益內部化，並引進民間參與公共建設，減少政府部門財務負擔，同時落實轄內使用者付費原則，俾提升財務自償率。</w:t>
      </w:r>
    </w:p>
    <w:p w:rsidR="00FE4B9B" w:rsidRPr="00D55DC6" w:rsidRDefault="00FE4B9B" w:rsidP="00FE4B9B">
      <w:pPr>
        <w:widowControl/>
        <w:tabs>
          <w:tab w:val="left" w:pos="1134"/>
          <w:tab w:val="right" w:leader="dot" w:pos="9356"/>
        </w:tabs>
        <w:spacing w:line="460" w:lineRule="exact"/>
        <w:ind w:left="709"/>
        <w:jc w:val="both"/>
        <w:rPr>
          <w:rFonts w:eastAsia="標楷體"/>
          <w:noProof/>
          <w:kern w:val="0"/>
          <w:sz w:val="28"/>
          <w:szCs w:val="28"/>
        </w:rPr>
      </w:pPr>
      <w:r w:rsidRPr="00D55DC6">
        <w:rPr>
          <w:rFonts w:eastAsia="標楷體"/>
          <w:noProof/>
          <w:kern w:val="0"/>
          <w:sz w:val="28"/>
          <w:szCs w:val="28"/>
        </w:rPr>
        <w:t>3.</w:t>
      </w:r>
      <w:r w:rsidRPr="00D55DC6">
        <w:rPr>
          <w:rFonts w:eastAsia="標楷體"/>
          <w:noProof/>
          <w:kern w:val="0"/>
          <w:sz w:val="28"/>
          <w:szCs w:val="28"/>
        </w:rPr>
        <w:t>發展「以鐵路運輸為主、公路運輸為輔」之運輸機制：</w:t>
      </w:r>
    </w:p>
    <w:p w:rsidR="00FE4B9B" w:rsidRPr="00D55DC6" w:rsidRDefault="00FE4B9B" w:rsidP="00FE4B9B">
      <w:pPr>
        <w:widowControl/>
        <w:tabs>
          <w:tab w:val="right" w:leader="dot" w:pos="9356"/>
        </w:tabs>
        <w:spacing w:line="460" w:lineRule="exact"/>
        <w:ind w:leftChars="409" w:left="982" w:firstLineChars="3" w:firstLine="8"/>
        <w:jc w:val="both"/>
        <w:rPr>
          <w:rFonts w:eastAsia="標楷體"/>
          <w:noProof/>
          <w:kern w:val="0"/>
          <w:sz w:val="28"/>
          <w:szCs w:val="28"/>
        </w:rPr>
      </w:pPr>
      <w:r w:rsidRPr="00D55DC6">
        <w:rPr>
          <w:rFonts w:eastAsia="標楷體"/>
          <w:noProof/>
          <w:kern w:val="0"/>
          <w:sz w:val="28"/>
          <w:szCs w:val="28"/>
        </w:rPr>
        <w:t>因應交通之便利性並維持花東縱谷「慢遊」之特性，因此執行策略上提出在城際間聯外運輸系統方面以「以鐵路運輸為主、公路運輸為輔，並加強複合式運輸接駁服務」之構想，以各個火車站為節點，建構「火車站行李寄放運送系統」及「公共自行車租賃系統」以串聯周邊的「珍珠亮點」及「微亮點」，達到遊客能「快速到達花東、慢遊花東縱谷」為目標。</w:t>
      </w:r>
    </w:p>
    <w:p w:rsidR="00FE4B9B" w:rsidRPr="00D55DC6" w:rsidRDefault="00FE4B9B" w:rsidP="009D33BA">
      <w:pPr>
        <w:widowControl/>
        <w:tabs>
          <w:tab w:val="left" w:pos="284"/>
          <w:tab w:val="left" w:pos="851"/>
        </w:tabs>
        <w:spacing w:beforeLines="50" w:before="180" w:line="460" w:lineRule="exact"/>
        <w:ind w:leftChars="236" w:left="566"/>
        <w:jc w:val="both"/>
        <w:rPr>
          <w:rFonts w:eastAsia="標楷體"/>
          <w:bCs/>
          <w:sz w:val="28"/>
          <w:szCs w:val="28"/>
        </w:rPr>
      </w:pPr>
      <w:r w:rsidRPr="00D55DC6">
        <w:rPr>
          <w:sz w:val="28"/>
          <w:szCs w:val="28"/>
        </w:rPr>
        <w:lastRenderedPageBreak/>
        <w:t xml:space="preserve"> </w:t>
      </w:r>
      <w:r w:rsidRPr="00D55DC6">
        <w:rPr>
          <w:rFonts w:eastAsia="標楷體"/>
          <w:sz w:val="28"/>
          <w:szCs w:val="28"/>
        </w:rPr>
        <w:t>4.</w:t>
      </w:r>
      <w:r w:rsidRPr="00D55DC6">
        <w:rPr>
          <w:rFonts w:eastAsia="標楷體"/>
          <w:bCs/>
          <w:sz w:val="28"/>
          <w:szCs w:val="28"/>
        </w:rPr>
        <w:t>發展淡季旅遊，永續經營觀光遊憩</w:t>
      </w:r>
    </w:p>
    <w:p w:rsidR="00FE4B9B" w:rsidRPr="00D55DC6" w:rsidRDefault="00FE4B9B" w:rsidP="00FE4B9B">
      <w:pPr>
        <w:widowControl/>
        <w:tabs>
          <w:tab w:val="right" w:leader="dot" w:pos="9356"/>
        </w:tabs>
        <w:spacing w:line="460" w:lineRule="exact"/>
        <w:ind w:leftChars="409" w:left="982" w:firstLineChars="204" w:firstLine="571"/>
        <w:jc w:val="both"/>
        <w:rPr>
          <w:rFonts w:eastAsia="標楷體"/>
          <w:noProof/>
          <w:kern w:val="0"/>
          <w:sz w:val="28"/>
          <w:szCs w:val="28"/>
        </w:rPr>
      </w:pPr>
      <w:r w:rsidRPr="00D55DC6">
        <w:rPr>
          <w:rFonts w:eastAsia="標楷體"/>
          <w:noProof/>
          <w:kern w:val="0"/>
          <w:sz w:val="28"/>
          <w:szCs w:val="28"/>
        </w:rPr>
        <w:t>自開放陸客來台觀光後，花東地區熱門景點在周末假日持續湧現爆量的人潮，不僅使得區域發展失衡，更實質對環境承載與遊客休憩持續加壓，衝擊遊憩品質。為兼顧觀光永續經營與生態保育理念，本計畫藉核心景點串連周邊景點以定位各遊憩系統之發展特色，加強遊憩服務設施整建並規劃多種進出遊憩據點之主題遊程，除促使遊客願意在淡季來訪，在旺季則可實施遊客承載量之分流或管制措施，帶動整體觀光發展。另透過時間上的調節，獎勵或鼓勵型態對公司、團體、學校等單位建議改變前往花東縱谷的時間，管理處本身則可以提出關於秋季與冬季的集客型活動。並強化深度旅遊，尤其對於西部及北部學校的校外教學，提出淡季深度旅遊的行程建議，體驗獨特且多元的在地生活，一方面可以分散人潮，也可以從小培養對於花東環境教育的扎根工作。</w:t>
      </w:r>
    </w:p>
    <w:p w:rsidR="00AA420D" w:rsidRPr="00D55DC6" w:rsidRDefault="00AA420D" w:rsidP="00E11B21">
      <w:pPr>
        <w:pStyle w:val="aff2"/>
        <w:spacing w:after="180"/>
        <w:ind w:leftChars="295" w:left="1131" w:hangingChars="151" w:hanging="423"/>
        <w:rPr>
          <w:rStyle w:val="st1"/>
          <w:rFonts w:ascii="Times New Roman"/>
          <w:sz w:val="28"/>
          <w:szCs w:val="28"/>
        </w:rPr>
      </w:pPr>
      <w:r w:rsidRPr="00D55DC6">
        <w:rPr>
          <w:rFonts w:ascii="Times New Roman"/>
          <w:sz w:val="28"/>
          <w:szCs w:val="28"/>
        </w:rPr>
        <w:t xml:space="preserve">5. </w:t>
      </w:r>
      <w:r w:rsidRPr="00D55DC6">
        <w:rPr>
          <w:rFonts w:ascii="Times New Roman"/>
          <w:sz w:val="28"/>
          <w:szCs w:val="28"/>
        </w:rPr>
        <w:t>推行藍色經濟發展及花東產業六級化發展方案</w:t>
      </w:r>
      <w:r w:rsidRPr="00D55DC6">
        <w:rPr>
          <w:rFonts w:ascii="Times New Roman"/>
          <w:sz w:val="28"/>
          <w:szCs w:val="28"/>
        </w:rPr>
        <w:br/>
        <w:t xml:space="preserve">    </w:t>
      </w:r>
      <w:r w:rsidRPr="00D55DC6">
        <w:rPr>
          <w:rFonts w:ascii="Times New Roman"/>
          <w:sz w:val="28"/>
          <w:szCs w:val="28"/>
        </w:rPr>
        <w:t>配合推行藍色經濟發展，規劃搭乘藍色公路等運具安排半日或一日之遊程，並積極行銷。並因應花東產業六級化發展方案，就推廣旅遊達人服務以及建立旅遊資訊網與</w:t>
      </w:r>
      <w:r w:rsidRPr="00D55DC6">
        <w:rPr>
          <w:rFonts w:ascii="Times New Roman"/>
          <w:sz w:val="28"/>
          <w:szCs w:val="28"/>
        </w:rPr>
        <w:t>APP</w:t>
      </w:r>
      <w:r w:rsidRPr="00D55DC6">
        <w:rPr>
          <w:rFonts w:ascii="Times New Roman"/>
          <w:sz w:val="28"/>
          <w:szCs w:val="28"/>
        </w:rPr>
        <w:t>應用軟體，並以實體及虛擬網路加強串連地方產業發展亮點，除增加遊客對花東縱綠色旅遊的認識外，亦行銷花東縱谷的在地產業</w:t>
      </w:r>
      <w:r w:rsidRPr="00D55DC6">
        <w:rPr>
          <w:rStyle w:val="st1"/>
          <w:rFonts w:ascii="Times New Roman"/>
          <w:sz w:val="28"/>
          <w:szCs w:val="28"/>
        </w:rPr>
        <w:t>。</w:t>
      </w:r>
    </w:p>
    <w:p w:rsidR="00AA420D" w:rsidRPr="00D55DC6" w:rsidRDefault="00AA420D" w:rsidP="00E11B21">
      <w:pPr>
        <w:pStyle w:val="af2"/>
        <w:spacing w:line="460" w:lineRule="exact"/>
        <w:ind w:firstLineChars="81" w:firstLine="227"/>
        <w:rPr>
          <w:rStyle w:val="st1"/>
          <w:rFonts w:eastAsia="標楷體"/>
          <w:sz w:val="28"/>
          <w:szCs w:val="28"/>
        </w:rPr>
      </w:pPr>
      <w:r w:rsidRPr="00D55DC6">
        <w:rPr>
          <w:rStyle w:val="st1"/>
          <w:rFonts w:eastAsia="標楷體"/>
          <w:sz w:val="28"/>
          <w:szCs w:val="28"/>
        </w:rPr>
        <w:t>6.</w:t>
      </w:r>
      <w:r w:rsidRPr="00D55DC6">
        <w:rPr>
          <w:rStyle w:val="st1"/>
          <w:rFonts w:eastAsia="標楷體"/>
          <w:sz w:val="28"/>
          <w:szCs w:val="28"/>
        </w:rPr>
        <w:t>導入智慧觀光概念，達成觀光升級目標</w:t>
      </w:r>
    </w:p>
    <w:p w:rsidR="00AA420D" w:rsidRPr="00D55DC6" w:rsidRDefault="00AA420D" w:rsidP="00AA420D">
      <w:pPr>
        <w:spacing w:line="460" w:lineRule="exact"/>
        <w:ind w:leftChars="400" w:left="960" w:firstLineChars="250" w:firstLine="700"/>
        <w:jc w:val="both"/>
        <w:rPr>
          <w:rFonts w:eastAsia="標楷體"/>
          <w:sz w:val="28"/>
          <w:szCs w:val="28"/>
        </w:rPr>
      </w:pPr>
      <w:r w:rsidRPr="00D55DC6">
        <w:rPr>
          <w:rFonts w:eastAsia="標楷體"/>
          <w:sz w:val="28"/>
          <w:szCs w:val="28"/>
        </w:rPr>
        <w:t>積極導入新一代花東縱谷國家風景區地理資訊系統，可以即時掌握觀光資源及其變動，做為觀光資源規畫之有力工具。另規劃以現代科技，整合網路、臉書、官方網站、</w:t>
      </w:r>
      <w:r w:rsidRPr="00D55DC6">
        <w:rPr>
          <w:rFonts w:eastAsia="標楷體"/>
          <w:sz w:val="28"/>
          <w:szCs w:val="28"/>
        </w:rPr>
        <w:t>LINE</w:t>
      </w:r>
      <w:r w:rsidRPr="00D55DC6">
        <w:rPr>
          <w:rFonts w:eastAsia="標楷體"/>
          <w:sz w:val="28"/>
          <w:szCs w:val="28"/>
        </w:rPr>
        <w:t>等工具，即時且有效的回應觀光客需求，期以利用現代化之科技，達成智慧觀光之目的。</w:t>
      </w:r>
    </w:p>
    <w:p w:rsidR="00AA420D" w:rsidRPr="00D55DC6" w:rsidRDefault="00AA420D" w:rsidP="00FE4B9B">
      <w:pPr>
        <w:widowControl/>
        <w:tabs>
          <w:tab w:val="right" w:leader="dot" w:pos="9356"/>
        </w:tabs>
        <w:spacing w:line="460" w:lineRule="exact"/>
        <w:ind w:leftChars="409" w:left="982" w:firstLineChars="204" w:firstLine="571"/>
        <w:jc w:val="both"/>
        <w:rPr>
          <w:rFonts w:eastAsia="標楷體"/>
          <w:noProof/>
          <w:kern w:val="0"/>
          <w:sz w:val="28"/>
          <w:szCs w:val="28"/>
        </w:rPr>
      </w:pPr>
    </w:p>
    <w:p w:rsidR="00AA420D" w:rsidRPr="00D55DC6" w:rsidRDefault="00AA420D" w:rsidP="00AA420D">
      <w:pPr>
        <w:widowControl/>
        <w:tabs>
          <w:tab w:val="right" w:leader="dot" w:pos="9356"/>
        </w:tabs>
        <w:spacing w:line="460" w:lineRule="exact"/>
        <w:jc w:val="both"/>
        <w:rPr>
          <w:rFonts w:eastAsia="標楷體"/>
          <w:noProof/>
          <w:kern w:val="0"/>
          <w:sz w:val="28"/>
          <w:szCs w:val="28"/>
        </w:rPr>
      </w:pPr>
    </w:p>
    <w:p w:rsidR="00AA420D" w:rsidRPr="00D55DC6" w:rsidRDefault="00AA420D" w:rsidP="00FE4B9B">
      <w:pPr>
        <w:widowControl/>
        <w:tabs>
          <w:tab w:val="right" w:leader="dot" w:pos="9356"/>
        </w:tabs>
        <w:spacing w:line="460" w:lineRule="exact"/>
        <w:ind w:leftChars="409" w:left="982" w:firstLineChars="204" w:firstLine="571"/>
        <w:jc w:val="both"/>
        <w:rPr>
          <w:rFonts w:eastAsia="標楷體"/>
          <w:noProof/>
          <w:kern w:val="0"/>
          <w:sz w:val="28"/>
          <w:szCs w:val="28"/>
        </w:rPr>
      </w:pPr>
    </w:p>
    <w:p w:rsidR="00AE58E7" w:rsidRPr="00D55DC6" w:rsidRDefault="00AE58E7" w:rsidP="00FE4B9B">
      <w:pPr>
        <w:widowControl/>
        <w:tabs>
          <w:tab w:val="right" w:leader="dot" w:pos="9356"/>
        </w:tabs>
        <w:spacing w:line="460" w:lineRule="exact"/>
        <w:ind w:leftChars="409" w:left="982" w:firstLineChars="204" w:firstLine="571"/>
        <w:jc w:val="both"/>
        <w:rPr>
          <w:rFonts w:eastAsia="標楷體"/>
          <w:noProof/>
          <w:kern w:val="0"/>
          <w:sz w:val="28"/>
          <w:szCs w:val="28"/>
        </w:rPr>
      </w:pPr>
    </w:p>
    <w:p w:rsidR="00AE58E7" w:rsidRPr="00D55DC6" w:rsidRDefault="00AE58E7" w:rsidP="00FE4B9B">
      <w:pPr>
        <w:widowControl/>
        <w:tabs>
          <w:tab w:val="right" w:leader="dot" w:pos="9356"/>
        </w:tabs>
        <w:spacing w:line="460" w:lineRule="exact"/>
        <w:ind w:leftChars="409" w:left="982" w:firstLineChars="204" w:firstLine="571"/>
        <w:jc w:val="both"/>
        <w:rPr>
          <w:rFonts w:eastAsia="標楷體"/>
          <w:noProof/>
          <w:kern w:val="0"/>
          <w:sz w:val="28"/>
          <w:szCs w:val="28"/>
        </w:rPr>
      </w:pPr>
    </w:p>
    <w:p w:rsidR="00AE58E7" w:rsidRPr="00D55DC6" w:rsidRDefault="00AE58E7" w:rsidP="00FE4B9B">
      <w:pPr>
        <w:widowControl/>
        <w:tabs>
          <w:tab w:val="right" w:leader="dot" w:pos="9356"/>
        </w:tabs>
        <w:spacing w:line="460" w:lineRule="exact"/>
        <w:ind w:leftChars="409" w:left="982" w:firstLineChars="204" w:firstLine="571"/>
        <w:jc w:val="both"/>
        <w:rPr>
          <w:rFonts w:eastAsia="標楷體"/>
          <w:noProof/>
          <w:kern w:val="0"/>
          <w:sz w:val="28"/>
          <w:szCs w:val="28"/>
        </w:rPr>
      </w:pPr>
    </w:p>
    <w:p w:rsidR="00FE4B9B" w:rsidRPr="00D55DC6" w:rsidRDefault="00FE4B9B" w:rsidP="004865C1">
      <w:pPr>
        <w:numPr>
          <w:ilvl w:val="0"/>
          <w:numId w:val="198"/>
        </w:numPr>
        <w:snapToGrid w:val="0"/>
        <w:spacing w:beforeLines="50" w:before="180" w:afterLines="50" w:after="180" w:line="460" w:lineRule="exact"/>
        <w:jc w:val="both"/>
        <w:rPr>
          <w:rFonts w:eastAsia="標楷體"/>
          <w:b/>
          <w:bCs/>
          <w:sz w:val="28"/>
          <w:szCs w:val="28"/>
        </w:rPr>
      </w:pPr>
      <w:r w:rsidRPr="00D55DC6">
        <w:rPr>
          <w:rFonts w:eastAsia="標楷體"/>
          <w:b/>
          <w:bCs/>
          <w:sz w:val="28"/>
          <w:szCs w:val="28"/>
        </w:rPr>
        <w:lastRenderedPageBreak/>
        <w:t>主要工作項目</w:t>
      </w:r>
    </w:p>
    <w:p w:rsidR="00FE4B9B" w:rsidRPr="00D55DC6" w:rsidRDefault="00FE4B9B" w:rsidP="00FE4B9B">
      <w:pPr>
        <w:snapToGrid w:val="0"/>
        <w:spacing w:line="460" w:lineRule="exact"/>
        <w:ind w:left="840"/>
        <w:jc w:val="both"/>
        <w:rPr>
          <w:rFonts w:eastAsia="標楷體"/>
          <w:b/>
          <w:bCs/>
          <w:sz w:val="28"/>
          <w:szCs w:val="28"/>
        </w:rPr>
      </w:pPr>
      <w:r w:rsidRPr="00D55DC6">
        <w:rPr>
          <w:rFonts w:eastAsia="標楷體"/>
          <w:b/>
          <w:bCs/>
          <w:sz w:val="28"/>
          <w:szCs w:val="28"/>
        </w:rPr>
        <w:t>為落實交通部列管「大型觀光亮點建設計畫」，本管理處執行有「花東縱谷鯉躍水舞天觀光亮點計畫」辦理全區無障礙遊憩空間及夜間照明改善等，另「花東縱谷觀光飛行產業亮點計畫」辦理空域活動度假村規劃建設等。</w:t>
      </w:r>
    </w:p>
    <w:p w:rsidR="00FE4B9B" w:rsidRPr="00D55DC6" w:rsidRDefault="00FE4B9B" w:rsidP="004865C1">
      <w:pPr>
        <w:numPr>
          <w:ilvl w:val="1"/>
          <w:numId w:val="198"/>
        </w:numPr>
        <w:snapToGrid w:val="0"/>
        <w:spacing w:line="460" w:lineRule="exact"/>
        <w:jc w:val="both"/>
        <w:rPr>
          <w:rFonts w:eastAsia="標楷體"/>
          <w:b/>
          <w:bCs/>
          <w:sz w:val="28"/>
          <w:szCs w:val="28"/>
        </w:rPr>
      </w:pPr>
      <w:r w:rsidRPr="00D55DC6">
        <w:rPr>
          <w:rFonts w:eastAsia="標楷體"/>
          <w:b/>
          <w:bCs/>
          <w:sz w:val="28"/>
          <w:szCs w:val="28"/>
        </w:rPr>
        <w:t>國際觀光景點建設</w:t>
      </w:r>
    </w:p>
    <w:p w:rsidR="00FE4B9B" w:rsidRPr="00D55DC6" w:rsidRDefault="00FE4B9B" w:rsidP="00FE4B9B">
      <w:pPr>
        <w:widowControl/>
        <w:tabs>
          <w:tab w:val="right" w:leader="dot" w:pos="9356"/>
        </w:tabs>
        <w:spacing w:line="460" w:lineRule="exact"/>
        <w:ind w:leftChars="414" w:left="1560" w:hangingChars="202" w:hanging="566"/>
        <w:jc w:val="both"/>
        <w:rPr>
          <w:rFonts w:eastAsia="標楷體"/>
          <w:noProof/>
          <w:kern w:val="0"/>
          <w:sz w:val="28"/>
          <w:szCs w:val="28"/>
        </w:rPr>
      </w:pPr>
      <w:r w:rsidRPr="00D55DC6">
        <w:rPr>
          <w:rFonts w:eastAsia="標楷體"/>
          <w:noProof/>
          <w:kern w:val="0"/>
          <w:sz w:val="28"/>
          <w:szCs w:val="28"/>
        </w:rPr>
        <w:t>1-1.</w:t>
      </w:r>
      <w:r w:rsidRPr="00D55DC6">
        <w:rPr>
          <w:rFonts w:eastAsia="標楷體"/>
          <w:b/>
          <w:noProof/>
          <w:kern w:val="0"/>
          <w:sz w:val="28"/>
          <w:szCs w:val="28"/>
        </w:rPr>
        <w:t>鯉魚潭風景區</w:t>
      </w:r>
      <w:r w:rsidRPr="00D55DC6">
        <w:rPr>
          <w:rFonts w:eastAsia="標楷體"/>
          <w:noProof/>
          <w:kern w:val="0"/>
          <w:sz w:val="28"/>
          <w:szCs w:val="28"/>
        </w:rPr>
        <w:t>：全區無障礙設施及周邊環境改善、環潭步道、停車場等公共服務設施改善、碼頭及水域設施改善、環潭公共服務設施改善、鯉魚潭公共設施新建及周邊附屬設施整建、碼頭綠能設施規劃。。</w:t>
      </w:r>
    </w:p>
    <w:p w:rsidR="00FE4B9B" w:rsidRPr="00D55DC6" w:rsidRDefault="00FE4B9B" w:rsidP="00FE4B9B">
      <w:pPr>
        <w:widowControl/>
        <w:tabs>
          <w:tab w:val="right" w:leader="dot" w:pos="9356"/>
        </w:tabs>
        <w:spacing w:line="460" w:lineRule="exact"/>
        <w:ind w:leftChars="410" w:left="1561" w:hangingChars="206" w:hanging="577"/>
        <w:jc w:val="both"/>
        <w:rPr>
          <w:rFonts w:eastAsia="標楷體"/>
          <w:noProof/>
          <w:kern w:val="0"/>
          <w:sz w:val="28"/>
          <w:szCs w:val="28"/>
        </w:rPr>
      </w:pPr>
      <w:r w:rsidRPr="00D55DC6">
        <w:rPr>
          <w:rFonts w:eastAsia="標楷體"/>
          <w:noProof/>
          <w:kern w:val="0"/>
          <w:sz w:val="28"/>
          <w:szCs w:val="28"/>
        </w:rPr>
        <w:t>1-2.</w:t>
      </w:r>
      <w:r w:rsidRPr="00D55DC6">
        <w:rPr>
          <w:rFonts w:eastAsia="標楷體"/>
          <w:b/>
          <w:noProof/>
          <w:kern w:val="0"/>
          <w:sz w:val="28"/>
          <w:szCs w:val="28"/>
        </w:rPr>
        <w:t>鹿野龍田地區</w:t>
      </w:r>
      <w:r w:rsidRPr="00D55DC6">
        <w:rPr>
          <w:rFonts w:eastAsia="標楷體"/>
          <w:noProof/>
          <w:kern w:val="0"/>
          <w:sz w:val="28"/>
          <w:szCs w:val="28"/>
        </w:rPr>
        <w:t>：鹿野高台周邊及龍田自行車道公共服務設施改善、景觀暨公共服務設施改善、鹿野遊客中心改善工程及空域設施改善工程、飛行觀光設施暨周邊據點改善。</w:t>
      </w:r>
    </w:p>
    <w:p w:rsidR="00FE4B9B" w:rsidRPr="00D55DC6" w:rsidRDefault="00FE4B9B" w:rsidP="004865C1">
      <w:pPr>
        <w:numPr>
          <w:ilvl w:val="1"/>
          <w:numId w:val="198"/>
        </w:numPr>
        <w:snapToGrid w:val="0"/>
        <w:spacing w:line="460" w:lineRule="exact"/>
        <w:jc w:val="both"/>
        <w:rPr>
          <w:rFonts w:eastAsia="標楷體"/>
          <w:b/>
          <w:bCs/>
          <w:sz w:val="28"/>
          <w:szCs w:val="28"/>
        </w:rPr>
      </w:pPr>
      <w:r w:rsidRPr="00D55DC6">
        <w:rPr>
          <w:rFonts w:eastAsia="標楷體"/>
          <w:b/>
          <w:bCs/>
          <w:sz w:val="28"/>
          <w:szCs w:val="28"/>
        </w:rPr>
        <w:t>國內觀光景點建設</w:t>
      </w:r>
    </w:p>
    <w:p w:rsidR="00FE4B9B" w:rsidRPr="00D55DC6" w:rsidRDefault="00FE4B9B" w:rsidP="00FE4B9B">
      <w:pPr>
        <w:widowControl/>
        <w:tabs>
          <w:tab w:val="right" w:leader="dot" w:pos="9356"/>
        </w:tabs>
        <w:spacing w:line="460" w:lineRule="exact"/>
        <w:ind w:leftChars="412" w:left="989" w:firstLine="1"/>
        <w:jc w:val="both"/>
        <w:rPr>
          <w:rFonts w:eastAsia="標楷體"/>
          <w:noProof/>
          <w:kern w:val="0"/>
          <w:sz w:val="28"/>
          <w:szCs w:val="28"/>
        </w:rPr>
      </w:pPr>
      <w:r w:rsidRPr="00D55DC6">
        <w:rPr>
          <w:rFonts w:eastAsia="標楷體"/>
          <w:noProof/>
          <w:kern w:val="0"/>
          <w:sz w:val="28"/>
          <w:szCs w:val="28"/>
        </w:rPr>
        <w:t>為維護花東縱谷旅遊軸線</w:t>
      </w:r>
      <w:r w:rsidRPr="00D55DC6">
        <w:rPr>
          <w:rFonts w:eastAsia="標楷體"/>
          <w:noProof/>
          <w:kern w:val="0"/>
          <w:sz w:val="28"/>
          <w:szCs w:val="28"/>
        </w:rPr>
        <w:t>(</w:t>
      </w:r>
      <w:r w:rsidRPr="00D55DC6">
        <w:rPr>
          <w:rFonts w:eastAsia="標楷體"/>
          <w:noProof/>
          <w:kern w:val="0"/>
          <w:sz w:val="28"/>
          <w:szCs w:val="28"/>
        </w:rPr>
        <w:t>台九線、縣</w:t>
      </w:r>
      <w:r w:rsidRPr="00D55DC6">
        <w:rPr>
          <w:rFonts w:eastAsia="標楷體"/>
          <w:noProof/>
          <w:kern w:val="0"/>
          <w:sz w:val="28"/>
          <w:szCs w:val="28"/>
        </w:rPr>
        <w:t>193</w:t>
      </w:r>
      <w:r w:rsidRPr="00D55DC6">
        <w:rPr>
          <w:rFonts w:eastAsia="標楷體"/>
          <w:noProof/>
          <w:kern w:val="0"/>
          <w:sz w:val="28"/>
          <w:szCs w:val="28"/>
        </w:rPr>
        <w:t>、縣</w:t>
      </w:r>
      <w:r w:rsidRPr="00D55DC6">
        <w:rPr>
          <w:rFonts w:eastAsia="標楷體"/>
          <w:noProof/>
          <w:kern w:val="0"/>
          <w:sz w:val="28"/>
          <w:szCs w:val="28"/>
        </w:rPr>
        <w:t>197)</w:t>
      </w:r>
      <w:r w:rsidRPr="00D55DC6">
        <w:rPr>
          <w:rFonts w:eastAsia="標楷體"/>
          <w:noProof/>
          <w:kern w:val="0"/>
          <w:sz w:val="28"/>
          <w:szCs w:val="28"/>
        </w:rPr>
        <w:t>周邊視覺景觀，並打造原住民族地區及花東縱谷重要遊憩據點之旅遊安全及提升觀光服務品質。</w:t>
      </w:r>
    </w:p>
    <w:p w:rsidR="00FE4B9B" w:rsidRPr="00D55DC6" w:rsidRDefault="00FE4B9B" w:rsidP="00FE4B9B">
      <w:pPr>
        <w:widowControl/>
        <w:tabs>
          <w:tab w:val="right" w:leader="dot" w:pos="9356"/>
        </w:tabs>
        <w:spacing w:line="460" w:lineRule="exact"/>
        <w:ind w:leftChars="414" w:left="1560" w:hangingChars="202" w:hanging="566"/>
        <w:jc w:val="both"/>
        <w:rPr>
          <w:rFonts w:eastAsia="標楷體"/>
          <w:noProof/>
          <w:kern w:val="0"/>
          <w:sz w:val="28"/>
          <w:szCs w:val="28"/>
        </w:rPr>
      </w:pPr>
      <w:r w:rsidRPr="00D55DC6">
        <w:rPr>
          <w:rFonts w:eastAsia="標楷體"/>
          <w:noProof/>
          <w:kern w:val="0"/>
          <w:sz w:val="28"/>
          <w:szCs w:val="28"/>
        </w:rPr>
        <w:t xml:space="preserve">2-1. </w:t>
      </w:r>
      <w:r w:rsidRPr="00D55DC6">
        <w:rPr>
          <w:rFonts w:eastAsia="標楷體"/>
          <w:noProof/>
          <w:kern w:val="0"/>
          <w:sz w:val="28"/>
          <w:szCs w:val="28"/>
        </w:rPr>
        <w:t>形塑花東景觀廊道及綠美化</w:t>
      </w:r>
      <w:r w:rsidRPr="00D55DC6">
        <w:rPr>
          <w:rFonts w:eastAsia="標楷體"/>
          <w:noProof/>
          <w:kern w:val="0"/>
          <w:sz w:val="28"/>
          <w:szCs w:val="28"/>
        </w:rPr>
        <w:t>:</w:t>
      </w:r>
      <w:r w:rsidRPr="00D55DC6">
        <w:rPr>
          <w:rFonts w:eastAsia="標楷體"/>
          <w:noProof/>
          <w:kern w:val="0"/>
          <w:sz w:val="28"/>
          <w:szCs w:val="28"/>
        </w:rPr>
        <w:t>改善台</w:t>
      </w:r>
      <w:r w:rsidRPr="00D55DC6">
        <w:rPr>
          <w:rFonts w:eastAsia="標楷體"/>
          <w:noProof/>
          <w:kern w:val="0"/>
          <w:sz w:val="28"/>
          <w:szCs w:val="28"/>
        </w:rPr>
        <w:t>9</w:t>
      </w:r>
      <w:r w:rsidRPr="00D55DC6">
        <w:rPr>
          <w:rFonts w:eastAsia="標楷體"/>
          <w:noProof/>
          <w:kern w:val="0"/>
          <w:sz w:val="28"/>
          <w:szCs w:val="28"/>
        </w:rPr>
        <w:t>線、</w:t>
      </w:r>
      <w:r w:rsidRPr="00D55DC6">
        <w:rPr>
          <w:rFonts w:eastAsia="標楷體"/>
          <w:noProof/>
          <w:kern w:val="0"/>
          <w:sz w:val="28"/>
          <w:szCs w:val="28"/>
        </w:rPr>
        <w:t>193</w:t>
      </w:r>
      <w:r w:rsidRPr="00D55DC6">
        <w:rPr>
          <w:rFonts w:eastAsia="標楷體"/>
          <w:noProof/>
          <w:kern w:val="0"/>
          <w:sz w:val="28"/>
          <w:szCs w:val="28"/>
        </w:rPr>
        <w:t>縣道、</w:t>
      </w:r>
      <w:r w:rsidRPr="00D55DC6">
        <w:rPr>
          <w:rFonts w:eastAsia="標楷體"/>
          <w:noProof/>
          <w:kern w:val="0"/>
          <w:sz w:val="28"/>
          <w:szCs w:val="28"/>
        </w:rPr>
        <w:t>197</w:t>
      </w:r>
      <w:r w:rsidRPr="00D55DC6">
        <w:rPr>
          <w:rFonts w:eastAsia="標楷體"/>
          <w:noProof/>
          <w:kern w:val="0"/>
          <w:sz w:val="28"/>
          <w:szCs w:val="28"/>
        </w:rPr>
        <w:t>縣道周邊路廊及入口意象建置。</w:t>
      </w:r>
    </w:p>
    <w:p w:rsidR="00FE4B9B" w:rsidRPr="00D55DC6" w:rsidRDefault="00FE4B9B" w:rsidP="00FE4B9B">
      <w:pPr>
        <w:widowControl/>
        <w:tabs>
          <w:tab w:val="right" w:leader="dot" w:pos="9356"/>
        </w:tabs>
        <w:spacing w:line="460" w:lineRule="exact"/>
        <w:ind w:leftChars="414" w:left="1560" w:hangingChars="202" w:hanging="566"/>
        <w:jc w:val="both"/>
        <w:rPr>
          <w:rFonts w:eastAsia="標楷體"/>
          <w:noProof/>
          <w:kern w:val="0"/>
          <w:sz w:val="28"/>
          <w:szCs w:val="28"/>
        </w:rPr>
      </w:pPr>
      <w:r w:rsidRPr="00D55DC6">
        <w:rPr>
          <w:rFonts w:eastAsia="標楷體"/>
          <w:noProof/>
          <w:kern w:val="0"/>
          <w:sz w:val="28"/>
          <w:szCs w:val="28"/>
        </w:rPr>
        <w:t>2-2.</w:t>
      </w:r>
      <w:r w:rsidRPr="00D55DC6">
        <w:rPr>
          <w:rFonts w:eastAsia="標楷體"/>
          <w:noProof/>
          <w:kern w:val="0"/>
          <w:sz w:val="28"/>
          <w:szCs w:val="28"/>
        </w:rPr>
        <w:t>原住民族地區觀光發展場域規劃建置</w:t>
      </w:r>
      <w:r w:rsidRPr="00D55DC6">
        <w:rPr>
          <w:rFonts w:eastAsia="標楷體"/>
          <w:noProof/>
          <w:kern w:val="0"/>
          <w:sz w:val="28"/>
          <w:szCs w:val="28"/>
        </w:rPr>
        <w:t>:</w:t>
      </w:r>
      <w:r w:rsidRPr="00D55DC6">
        <w:rPr>
          <w:rFonts w:eastAsia="標楷體"/>
          <w:noProof/>
          <w:kern w:val="0"/>
          <w:sz w:val="28"/>
          <w:szCs w:val="28"/>
        </w:rPr>
        <w:t>原住民族地區環境整治及部落觀光服務設施改善</w:t>
      </w:r>
      <w:r w:rsidRPr="00D55DC6">
        <w:rPr>
          <w:rFonts w:eastAsia="標楷體"/>
          <w:noProof/>
          <w:kern w:val="0"/>
          <w:sz w:val="28"/>
          <w:szCs w:val="28"/>
        </w:rPr>
        <w:t>(</w:t>
      </w:r>
      <w:r w:rsidRPr="00D55DC6">
        <w:rPr>
          <w:rFonts w:eastAsia="標楷體"/>
          <w:noProof/>
          <w:kern w:val="0"/>
          <w:sz w:val="28"/>
          <w:szCs w:val="28"/>
        </w:rPr>
        <w:t>重點部落周邊環境及公共服務設施改善工程</w:t>
      </w:r>
      <w:r w:rsidRPr="00D55DC6">
        <w:rPr>
          <w:rFonts w:eastAsia="標楷體"/>
          <w:noProof/>
          <w:kern w:val="0"/>
          <w:sz w:val="28"/>
          <w:szCs w:val="28"/>
        </w:rPr>
        <w:t xml:space="preserve">) </w:t>
      </w:r>
      <w:r w:rsidRPr="00D55DC6">
        <w:rPr>
          <w:rFonts w:eastAsia="標楷體"/>
          <w:noProof/>
          <w:kern w:val="0"/>
          <w:sz w:val="28"/>
          <w:szCs w:val="28"/>
        </w:rPr>
        <w:t>。</w:t>
      </w:r>
    </w:p>
    <w:p w:rsidR="00FE4B9B" w:rsidRPr="00D55DC6" w:rsidRDefault="00FE4B9B" w:rsidP="00FE4B9B">
      <w:pPr>
        <w:widowControl/>
        <w:tabs>
          <w:tab w:val="right" w:leader="dot" w:pos="9356"/>
        </w:tabs>
        <w:spacing w:line="460" w:lineRule="exact"/>
        <w:ind w:leftChars="414" w:left="1560" w:hangingChars="202" w:hanging="566"/>
        <w:jc w:val="both"/>
        <w:rPr>
          <w:rFonts w:eastAsia="標楷體"/>
          <w:noProof/>
          <w:kern w:val="0"/>
          <w:sz w:val="28"/>
          <w:szCs w:val="28"/>
        </w:rPr>
      </w:pPr>
      <w:r w:rsidRPr="00D55DC6">
        <w:rPr>
          <w:rFonts w:eastAsia="標楷體"/>
          <w:noProof/>
          <w:kern w:val="0"/>
          <w:sz w:val="28"/>
          <w:szCs w:val="28"/>
        </w:rPr>
        <w:t>2-3.</w:t>
      </w:r>
      <w:r w:rsidRPr="00D55DC6">
        <w:rPr>
          <w:rFonts w:eastAsia="標楷體"/>
          <w:noProof/>
          <w:kern w:val="0"/>
          <w:sz w:val="28"/>
          <w:szCs w:val="28"/>
        </w:rPr>
        <w:t>建構友善自行車旅遊環境</w:t>
      </w:r>
      <w:r w:rsidRPr="00D55DC6">
        <w:rPr>
          <w:rFonts w:eastAsia="標楷體"/>
          <w:noProof/>
          <w:kern w:val="0"/>
          <w:sz w:val="28"/>
          <w:szCs w:val="28"/>
        </w:rPr>
        <w:t>:</w:t>
      </w:r>
      <w:r w:rsidRPr="00D55DC6">
        <w:rPr>
          <w:rFonts w:eastAsia="標楷體"/>
          <w:noProof/>
          <w:kern w:val="0"/>
          <w:sz w:val="28"/>
          <w:szCs w:val="28"/>
        </w:rPr>
        <w:t>車站周邊自行車道串聯、自行車道與省道周邊鐵馬驛站、自行車道、休憩設施改善、景觀綠美化及全區導覽解說系統改善。</w:t>
      </w:r>
    </w:p>
    <w:p w:rsidR="00FE4B9B" w:rsidRPr="00D55DC6" w:rsidRDefault="00FE4B9B" w:rsidP="00FE4B9B">
      <w:pPr>
        <w:widowControl/>
        <w:tabs>
          <w:tab w:val="left" w:pos="1965"/>
        </w:tabs>
        <w:spacing w:line="460" w:lineRule="exact"/>
        <w:ind w:leftChars="414" w:left="1560" w:hangingChars="202" w:hanging="566"/>
        <w:jc w:val="both"/>
        <w:rPr>
          <w:rFonts w:eastAsia="標楷體"/>
          <w:noProof/>
          <w:kern w:val="0"/>
          <w:sz w:val="28"/>
          <w:szCs w:val="28"/>
        </w:rPr>
      </w:pPr>
      <w:r w:rsidRPr="00D55DC6">
        <w:rPr>
          <w:rFonts w:eastAsia="標楷體"/>
          <w:noProof/>
          <w:kern w:val="0"/>
          <w:sz w:val="28"/>
          <w:szCs w:val="28"/>
        </w:rPr>
        <w:t>2-4</w:t>
      </w:r>
      <w:r w:rsidRPr="00D55DC6">
        <w:rPr>
          <w:rFonts w:eastAsia="標楷體"/>
          <w:noProof/>
          <w:kern w:val="0"/>
          <w:sz w:val="28"/>
          <w:szCs w:val="28"/>
        </w:rPr>
        <w:tab/>
      </w:r>
      <w:r w:rsidRPr="00D55DC6">
        <w:rPr>
          <w:rFonts w:eastAsia="標楷體"/>
          <w:noProof/>
          <w:kern w:val="0"/>
          <w:sz w:val="28"/>
          <w:szCs w:val="28"/>
        </w:rPr>
        <w:t>轄內遊憩據點公共設施及周邊環境改善：羅山及六十石山地區</w:t>
      </w:r>
      <w:r w:rsidRPr="00D55DC6">
        <w:rPr>
          <w:rFonts w:eastAsia="標楷體"/>
          <w:noProof/>
          <w:kern w:val="0"/>
          <w:sz w:val="28"/>
          <w:szCs w:val="28"/>
        </w:rPr>
        <w:t>(</w:t>
      </w:r>
      <w:r w:rsidRPr="00D55DC6">
        <w:rPr>
          <w:rFonts w:eastAsia="標楷體"/>
          <w:noProof/>
          <w:kern w:val="0"/>
          <w:sz w:val="28"/>
          <w:szCs w:val="28"/>
        </w:rPr>
        <w:t>六十石山暨周邊景觀改善工程、羅山遊客中心改善工程、羅山地區自行車路網建置工程及富里鄉周邊公共服務設施改善</w:t>
      </w:r>
      <w:r w:rsidRPr="00D55DC6">
        <w:rPr>
          <w:rFonts w:eastAsia="標楷體"/>
          <w:noProof/>
          <w:kern w:val="0"/>
          <w:sz w:val="28"/>
          <w:szCs w:val="28"/>
        </w:rPr>
        <w:t>)</w:t>
      </w:r>
      <w:r w:rsidRPr="00D55DC6">
        <w:rPr>
          <w:rFonts w:eastAsia="標楷體"/>
          <w:noProof/>
          <w:kern w:val="0"/>
          <w:sz w:val="28"/>
          <w:szCs w:val="28"/>
        </w:rPr>
        <w:t>、鳳林遊憩區公共服務設施及環境改善、瑞穗安通溫泉區公共服務</w:t>
      </w:r>
      <w:r w:rsidRPr="00D55DC6">
        <w:rPr>
          <w:rFonts w:eastAsia="標楷體"/>
          <w:noProof/>
          <w:kern w:val="0"/>
          <w:sz w:val="28"/>
          <w:szCs w:val="28"/>
        </w:rPr>
        <w:lastRenderedPageBreak/>
        <w:t>設施及環境改善、卑南遊客中心整建工程暨周邊公共服務設施改善。</w:t>
      </w:r>
    </w:p>
    <w:p w:rsidR="00FE4B9B" w:rsidRPr="00D55DC6" w:rsidRDefault="00FE4B9B" w:rsidP="004865C1">
      <w:pPr>
        <w:numPr>
          <w:ilvl w:val="1"/>
          <w:numId w:val="198"/>
        </w:numPr>
        <w:snapToGrid w:val="0"/>
        <w:spacing w:line="460" w:lineRule="exact"/>
        <w:jc w:val="both"/>
        <w:rPr>
          <w:rFonts w:eastAsia="標楷體"/>
          <w:b/>
          <w:bCs/>
          <w:sz w:val="28"/>
          <w:szCs w:val="28"/>
        </w:rPr>
      </w:pPr>
      <w:r w:rsidRPr="00D55DC6">
        <w:rPr>
          <w:rFonts w:eastAsia="標楷體"/>
          <w:b/>
          <w:bCs/>
          <w:sz w:val="28"/>
          <w:szCs w:val="28"/>
        </w:rPr>
        <w:t>國家風景區經營管理</w:t>
      </w:r>
    </w:p>
    <w:p w:rsidR="00FE4B9B" w:rsidRPr="00D55DC6" w:rsidRDefault="00FE4B9B" w:rsidP="009D33BA">
      <w:pPr>
        <w:snapToGrid w:val="0"/>
        <w:spacing w:beforeLines="50" w:before="180" w:line="460" w:lineRule="exact"/>
        <w:ind w:left="839"/>
        <w:jc w:val="both"/>
        <w:rPr>
          <w:rFonts w:eastAsia="標楷體"/>
          <w:b/>
          <w:bCs/>
          <w:sz w:val="28"/>
          <w:szCs w:val="28"/>
        </w:rPr>
      </w:pPr>
      <w:r w:rsidRPr="00D55DC6">
        <w:rPr>
          <w:rFonts w:eastAsia="標楷體"/>
          <w:b/>
          <w:bCs/>
          <w:sz w:val="28"/>
          <w:szCs w:val="28"/>
        </w:rPr>
        <w:t>3-1.</w:t>
      </w:r>
      <w:r w:rsidRPr="00D55DC6">
        <w:rPr>
          <w:rFonts w:eastAsia="標楷體"/>
          <w:b/>
          <w:bCs/>
          <w:sz w:val="28"/>
          <w:szCs w:val="28"/>
        </w:rPr>
        <w:t>用地取得</w:t>
      </w:r>
    </w:p>
    <w:p w:rsidR="00FE4B9B" w:rsidRPr="00D55DC6" w:rsidRDefault="00FE4B9B" w:rsidP="00FE4B9B">
      <w:pPr>
        <w:widowControl/>
        <w:tabs>
          <w:tab w:val="right" w:leader="dot" w:pos="9356"/>
        </w:tabs>
        <w:spacing w:line="460" w:lineRule="exact"/>
        <w:ind w:leftChars="409" w:left="982" w:firstLineChars="204" w:firstLine="571"/>
        <w:jc w:val="both"/>
        <w:rPr>
          <w:rFonts w:eastAsia="標楷體"/>
          <w:noProof/>
          <w:kern w:val="0"/>
          <w:sz w:val="26"/>
          <w:szCs w:val="26"/>
        </w:rPr>
      </w:pPr>
      <w:r w:rsidRPr="00D55DC6">
        <w:rPr>
          <w:rFonts w:eastAsia="標楷體"/>
          <w:noProof/>
          <w:kern w:val="0"/>
          <w:sz w:val="28"/>
          <w:szCs w:val="28"/>
        </w:rPr>
        <w:t>現行花東縱谷地區轄內含風景特定區</w:t>
      </w:r>
      <w:r w:rsidRPr="00D55DC6">
        <w:rPr>
          <w:rFonts w:eastAsia="標楷體"/>
          <w:noProof/>
          <w:kern w:val="0"/>
          <w:sz w:val="28"/>
          <w:szCs w:val="28"/>
        </w:rPr>
        <w:t>2</w:t>
      </w:r>
      <w:r w:rsidRPr="00D55DC6">
        <w:rPr>
          <w:rFonts w:eastAsia="標楷體"/>
          <w:noProof/>
          <w:kern w:val="0"/>
          <w:sz w:val="28"/>
          <w:szCs w:val="28"/>
        </w:rPr>
        <w:t>處</w:t>
      </w:r>
      <w:r w:rsidRPr="00D55DC6">
        <w:rPr>
          <w:rFonts w:eastAsia="標楷體"/>
          <w:noProof/>
          <w:kern w:val="0"/>
          <w:sz w:val="28"/>
          <w:szCs w:val="28"/>
        </w:rPr>
        <w:t>(</w:t>
      </w:r>
      <w:r w:rsidRPr="00D55DC6">
        <w:rPr>
          <w:rFonts w:eastAsia="標楷體"/>
          <w:noProof/>
          <w:kern w:val="0"/>
          <w:sz w:val="28"/>
          <w:szCs w:val="28"/>
        </w:rPr>
        <w:t>鯉魚潭風景特定區、臺東紅葉溫泉風景特定區</w:t>
      </w:r>
      <w:r w:rsidRPr="00D55DC6">
        <w:rPr>
          <w:rFonts w:eastAsia="標楷體"/>
          <w:noProof/>
          <w:kern w:val="0"/>
          <w:sz w:val="28"/>
          <w:szCs w:val="28"/>
        </w:rPr>
        <w:t>)</w:t>
      </w:r>
      <w:r w:rsidRPr="00D55DC6">
        <w:rPr>
          <w:rFonts w:eastAsia="標楷體"/>
          <w:noProof/>
          <w:kern w:val="0"/>
          <w:sz w:val="28"/>
          <w:szCs w:val="28"/>
        </w:rPr>
        <w:t>，依都市計畫法之相關規定進行分區管制。而所劃分為非都市土地部分則劃分為五大分區</w:t>
      </w:r>
      <w:r w:rsidRPr="00D55DC6">
        <w:rPr>
          <w:rFonts w:eastAsia="標楷體"/>
          <w:noProof/>
          <w:kern w:val="0"/>
          <w:sz w:val="28"/>
          <w:szCs w:val="28"/>
        </w:rPr>
        <w:t>(</w:t>
      </w:r>
      <w:r w:rsidRPr="00D55DC6">
        <w:rPr>
          <w:rFonts w:eastAsia="標楷體"/>
          <w:noProof/>
          <w:kern w:val="0"/>
          <w:sz w:val="28"/>
          <w:szCs w:val="28"/>
        </w:rPr>
        <w:t>特別保護區、自然景觀區、觀光遊憩區、一般使用區、服務設施區</w:t>
      </w:r>
      <w:r w:rsidRPr="00D55DC6">
        <w:rPr>
          <w:rFonts w:eastAsia="標楷體"/>
          <w:noProof/>
          <w:kern w:val="0"/>
          <w:sz w:val="28"/>
          <w:szCs w:val="28"/>
        </w:rPr>
        <w:t>)</w:t>
      </w:r>
      <w:r w:rsidRPr="00D55DC6">
        <w:rPr>
          <w:rFonts w:eastAsia="標楷體"/>
          <w:noProof/>
          <w:kern w:val="0"/>
          <w:sz w:val="28"/>
          <w:szCs w:val="28"/>
        </w:rPr>
        <w:t>進行分區土地開發使用管控。未來在用</w:t>
      </w:r>
      <w:r w:rsidRPr="00D55DC6">
        <w:rPr>
          <w:rFonts w:eastAsia="標楷體"/>
          <w:noProof/>
          <w:kern w:val="0"/>
          <w:sz w:val="26"/>
          <w:szCs w:val="26"/>
        </w:rPr>
        <w:t>地</w:t>
      </w:r>
      <w:r w:rsidRPr="00D55DC6">
        <w:rPr>
          <w:rFonts w:eastAsia="標楷體"/>
          <w:noProof/>
          <w:kern w:val="0"/>
          <w:sz w:val="28"/>
          <w:szCs w:val="28"/>
        </w:rPr>
        <w:t>取得上的方向如下。</w:t>
      </w:r>
    </w:p>
    <w:p w:rsidR="00FE4B9B" w:rsidRPr="00D55DC6" w:rsidRDefault="00FE4B9B" w:rsidP="00FE4B9B">
      <w:pPr>
        <w:widowControl/>
        <w:tabs>
          <w:tab w:val="left" w:pos="851"/>
        </w:tabs>
        <w:spacing w:line="460" w:lineRule="exact"/>
        <w:ind w:leftChars="413" w:left="1839" w:hangingChars="303" w:hanging="848"/>
        <w:jc w:val="both"/>
        <w:rPr>
          <w:rFonts w:eastAsia="標楷體"/>
          <w:sz w:val="28"/>
          <w:szCs w:val="28"/>
        </w:rPr>
      </w:pPr>
      <w:r w:rsidRPr="00D55DC6">
        <w:rPr>
          <w:rFonts w:eastAsia="標楷體"/>
          <w:sz w:val="28"/>
          <w:szCs w:val="28"/>
        </w:rPr>
        <w:t>3-1-1.</w:t>
      </w:r>
      <w:r w:rsidRPr="00D55DC6">
        <w:rPr>
          <w:rFonts w:eastAsia="標楷體"/>
          <w:sz w:val="28"/>
          <w:szCs w:val="28"/>
        </w:rPr>
        <w:t>配合建構優質旅遊軸線景觀路廊或各項公共設施建設辦理相關用地價購及徵收。</w:t>
      </w:r>
      <w:r w:rsidRPr="00D55DC6">
        <w:rPr>
          <w:rFonts w:eastAsia="標楷體"/>
          <w:sz w:val="28"/>
          <w:szCs w:val="28"/>
        </w:rPr>
        <w:t xml:space="preserve"> </w:t>
      </w:r>
    </w:p>
    <w:p w:rsidR="00FE4B9B" w:rsidRPr="00D55DC6" w:rsidRDefault="00FE4B9B" w:rsidP="00FE4B9B">
      <w:pPr>
        <w:widowControl/>
        <w:tabs>
          <w:tab w:val="left" w:pos="851"/>
        </w:tabs>
        <w:spacing w:line="460" w:lineRule="exact"/>
        <w:ind w:leftChars="413" w:left="1839" w:hangingChars="303" w:hanging="848"/>
        <w:jc w:val="both"/>
        <w:rPr>
          <w:rFonts w:eastAsia="標楷體"/>
          <w:sz w:val="28"/>
          <w:szCs w:val="28"/>
        </w:rPr>
      </w:pPr>
      <w:r w:rsidRPr="00D55DC6">
        <w:rPr>
          <w:rFonts w:eastAsia="標楷體"/>
          <w:sz w:val="28"/>
          <w:szCs w:val="28"/>
        </w:rPr>
        <w:t>3-1-2.</w:t>
      </w:r>
      <w:r w:rsidRPr="00D55DC6">
        <w:rPr>
          <w:rFonts w:eastAsia="標楷體"/>
          <w:sz w:val="28"/>
          <w:szCs w:val="28"/>
        </w:rPr>
        <w:t>配合鐵路改善中車站相關工程建設辦理車站周圍區域發展觀光之土地取得。</w:t>
      </w:r>
    </w:p>
    <w:p w:rsidR="00FE4B9B" w:rsidRPr="00D55DC6" w:rsidRDefault="00FE4B9B" w:rsidP="00FE4B9B">
      <w:pPr>
        <w:widowControl/>
        <w:tabs>
          <w:tab w:val="left" w:pos="851"/>
        </w:tabs>
        <w:spacing w:line="460" w:lineRule="exact"/>
        <w:ind w:leftChars="413" w:left="1839" w:hangingChars="303" w:hanging="848"/>
        <w:jc w:val="both"/>
        <w:rPr>
          <w:rFonts w:eastAsia="標楷體"/>
          <w:sz w:val="28"/>
          <w:szCs w:val="28"/>
        </w:rPr>
      </w:pPr>
      <w:r w:rsidRPr="00D55DC6">
        <w:rPr>
          <w:rFonts w:eastAsia="標楷體"/>
          <w:sz w:val="28"/>
          <w:szCs w:val="28"/>
        </w:rPr>
        <w:t>3-1-3.</w:t>
      </w:r>
      <w:r w:rsidRPr="00D55DC6">
        <w:rPr>
          <w:rFonts w:eastAsia="標楷體"/>
          <w:sz w:val="28"/>
          <w:szCs w:val="28"/>
        </w:rPr>
        <w:t>配合相關工程建設辦理鯉魚潭地區土地取得。</w:t>
      </w:r>
    </w:p>
    <w:p w:rsidR="00FE4B9B" w:rsidRPr="00D55DC6" w:rsidRDefault="00FE4B9B" w:rsidP="009D33BA">
      <w:pPr>
        <w:snapToGrid w:val="0"/>
        <w:spacing w:beforeLines="50" w:before="180" w:line="460" w:lineRule="exact"/>
        <w:ind w:left="839"/>
        <w:jc w:val="both"/>
        <w:rPr>
          <w:rFonts w:eastAsia="標楷體"/>
          <w:b/>
          <w:bCs/>
          <w:sz w:val="28"/>
          <w:szCs w:val="28"/>
        </w:rPr>
      </w:pPr>
      <w:r w:rsidRPr="00D55DC6">
        <w:rPr>
          <w:rFonts w:eastAsia="標楷體"/>
          <w:b/>
          <w:bCs/>
          <w:sz w:val="28"/>
          <w:szCs w:val="28"/>
        </w:rPr>
        <w:t>3-2.</w:t>
      </w:r>
      <w:r w:rsidRPr="00D55DC6">
        <w:rPr>
          <w:rFonts w:eastAsia="標楷體"/>
          <w:b/>
          <w:bCs/>
          <w:sz w:val="28"/>
          <w:szCs w:val="28"/>
        </w:rPr>
        <w:t>先期規劃設計</w:t>
      </w:r>
    </w:p>
    <w:p w:rsidR="00FE4B9B" w:rsidRPr="00D55DC6" w:rsidRDefault="00FE4B9B" w:rsidP="00FE4B9B">
      <w:pPr>
        <w:widowControl/>
        <w:tabs>
          <w:tab w:val="left" w:pos="851"/>
        </w:tabs>
        <w:spacing w:line="460" w:lineRule="exact"/>
        <w:ind w:leftChars="413" w:left="1839" w:hangingChars="303" w:hanging="848"/>
        <w:jc w:val="both"/>
        <w:rPr>
          <w:rFonts w:eastAsia="標楷體"/>
          <w:sz w:val="28"/>
          <w:szCs w:val="28"/>
        </w:rPr>
      </w:pPr>
      <w:r w:rsidRPr="00D55DC6">
        <w:rPr>
          <w:rFonts w:eastAsia="標楷體"/>
          <w:sz w:val="28"/>
          <w:szCs w:val="28"/>
        </w:rPr>
        <w:t>3-2-1.</w:t>
      </w:r>
      <w:r w:rsidRPr="00D55DC6">
        <w:rPr>
          <w:rFonts w:eastAsia="標楷體"/>
          <w:sz w:val="28"/>
          <w:szCs w:val="28"/>
        </w:rPr>
        <w:t>配合建構優質景觀路廊或配合各項公共設施建設辦理相關配套規劃。</w:t>
      </w:r>
    </w:p>
    <w:p w:rsidR="00FE4B9B" w:rsidRPr="00D55DC6" w:rsidRDefault="00FE4B9B" w:rsidP="00FE4B9B">
      <w:pPr>
        <w:widowControl/>
        <w:tabs>
          <w:tab w:val="left" w:pos="851"/>
        </w:tabs>
        <w:spacing w:line="460" w:lineRule="exact"/>
        <w:ind w:leftChars="413" w:left="1839" w:hangingChars="303" w:hanging="848"/>
        <w:jc w:val="both"/>
        <w:rPr>
          <w:rFonts w:eastAsia="標楷體"/>
          <w:sz w:val="28"/>
          <w:szCs w:val="28"/>
        </w:rPr>
      </w:pPr>
      <w:r w:rsidRPr="00D55DC6">
        <w:rPr>
          <w:rFonts w:eastAsia="標楷體"/>
          <w:sz w:val="28"/>
          <w:szCs w:val="28"/>
        </w:rPr>
        <w:t>3-2-2.</w:t>
      </w:r>
      <w:r w:rsidRPr="00D55DC6">
        <w:rPr>
          <w:rFonts w:eastAsia="標楷體"/>
          <w:sz w:val="28"/>
          <w:szCs w:val="28"/>
        </w:rPr>
        <w:t>辦理觀光資源調查、環境監測及遊憩景點先期規劃設計</w:t>
      </w:r>
    </w:p>
    <w:p w:rsidR="00FE4B9B" w:rsidRPr="00D55DC6" w:rsidRDefault="00FE4B9B" w:rsidP="00FE4B9B">
      <w:pPr>
        <w:widowControl/>
        <w:tabs>
          <w:tab w:val="left" w:pos="851"/>
        </w:tabs>
        <w:spacing w:line="460" w:lineRule="exact"/>
        <w:ind w:leftChars="413" w:left="1839" w:hangingChars="303" w:hanging="848"/>
        <w:jc w:val="both"/>
        <w:rPr>
          <w:rFonts w:eastAsia="標楷體"/>
          <w:sz w:val="28"/>
          <w:szCs w:val="28"/>
        </w:rPr>
      </w:pPr>
      <w:r w:rsidRPr="00D55DC6">
        <w:rPr>
          <w:rFonts w:eastAsia="標楷體"/>
          <w:sz w:val="28"/>
          <w:szCs w:val="28"/>
        </w:rPr>
        <w:t>3-2-3.</w:t>
      </w:r>
      <w:r w:rsidRPr="00D55DC6">
        <w:rPr>
          <w:rFonts w:eastAsia="標楷體"/>
          <w:sz w:val="28"/>
          <w:szCs w:val="28"/>
        </w:rPr>
        <w:t>與土地所有權單位合作跨域加值共同依據促參法委外開發。</w:t>
      </w:r>
    </w:p>
    <w:p w:rsidR="00FE4B9B" w:rsidRPr="00D55DC6" w:rsidRDefault="00FE4B9B" w:rsidP="009D33BA">
      <w:pPr>
        <w:snapToGrid w:val="0"/>
        <w:spacing w:beforeLines="50" w:before="180" w:line="460" w:lineRule="exact"/>
        <w:ind w:left="839"/>
        <w:jc w:val="both"/>
        <w:rPr>
          <w:rFonts w:eastAsia="標楷體"/>
          <w:b/>
          <w:bCs/>
          <w:sz w:val="28"/>
          <w:szCs w:val="28"/>
        </w:rPr>
      </w:pPr>
      <w:r w:rsidRPr="00D55DC6">
        <w:rPr>
          <w:rFonts w:eastAsia="標楷體"/>
          <w:b/>
          <w:bCs/>
          <w:sz w:val="28"/>
          <w:szCs w:val="28"/>
        </w:rPr>
        <w:t>3-3.</w:t>
      </w:r>
      <w:r w:rsidRPr="00D55DC6">
        <w:rPr>
          <w:rFonts w:eastAsia="標楷體"/>
          <w:b/>
          <w:bCs/>
          <w:sz w:val="28"/>
          <w:szCs w:val="28"/>
        </w:rPr>
        <w:t>環境維護及設施維持</w:t>
      </w:r>
    </w:p>
    <w:p w:rsidR="00FE4B9B" w:rsidRPr="00D55DC6" w:rsidRDefault="00FE4B9B" w:rsidP="00FE4B9B">
      <w:pPr>
        <w:widowControl/>
        <w:tabs>
          <w:tab w:val="left" w:pos="851"/>
        </w:tabs>
        <w:spacing w:line="460" w:lineRule="exact"/>
        <w:ind w:leftChars="413" w:left="1839" w:hangingChars="303" w:hanging="848"/>
        <w:jc w:val="both"/>
        <w:rPr>
          <w:rFonts w:eastAsia="標楷體"/>
          <w:sz w:val="28"/>
          <w:szCs w:val="28"/>
        </w:rPr>
      </w:pPr>
      <w:r w:rsidRPr="00D55DC6">
        <w:rPr>
          <w:rFonts w:eastAsia="標楷體"/>
          <w:sz w:val="28"/>
          <w:szCs w:val="28"/>
        </w:rPr>
        <w:t>3-3-1.</w:t>
      </w:r>
      <w:r w:rsidRPr="00D55DC6">
        <w:rPr>
          <w:rFonts w:eastAsia="標楷體"/>
          <w:sz w:val="28"/>
          <w:szCs w:val="28"/>
        </w:rPr>
        <w:t>每年度辦理國家風景區內鯉魚潭</w:t>
      </w:r>
      <w:r w:rsidRPr="00D55DC6">
        <w:rPr>
          <w:rFonts w:eastAsia="標楷體"/>
          <w:sz w:val="28"/>
          <w:szCs w:val="28"/>
        </w:rPr>
        <w:t>-</w:t>
      </w:r>
      <w:r w:rsidRPr="00D55DC6">
        <w:rPr>
          <w:rFonts w:eastAsia="標楷體"/>
          <w:sz w:val="28"/>
          <w:szCs w:val="28"/>
        </w:rPr>
        <w:t>光復、瑞穗</w:t>
      </w:r>
      <w:r w:rsidRPr="00D55DC6">
        <w:rPr>
          <w:rFonts w:eastAsia="標楷體"/>
          <w:sz w:val="28"/>
          <w:szCs w:val="28"/>
        </w:rPr>
        <w:t>-</w:t>
      </w:r>
      <w:r w:rsidRPr="00D55DC6">
        <w:rPr>
          <w:rFonts w:eastAsia="標楷體"/>
          <w:sz w:val="28"/>
          <w:szCs w:val="28"/>
        </w:rPr>
        <w:t>玉里以及鹿野</w:t>
      </w:r>
      <w:r w:rsidRPr="00D55DC6">
        <w:rPr>
          <w:rFonts w:eastAsia="標楷體"/>
          <w:sz w:val="28"/>
          <w:szCs w:val="28"/>
        </w:rPr>
        <w:t>-</w:t>
      </w:r>
      <w:r w:rsidRPr="00D55DC6">
        <w:rPr>
          <w:rFonts w:eastAsia="標楷體"/>
          <w:sz w:val="28"/>
          <w:szCs w:val="28"/>
        </w:rPr>
        <w:t>池上等三大系統環境維護及設施維持。</w:t>
      </w:r>
    </w:p>
    <w:p w:rsidR="00FE4B9B" w:rsidRPr="00D55DC6" w:rsidRDefault="00FE4B9B" w:rsidP="00FE4B9B">
      <w:pPr>
        <w:widowControl/>
        <w:tabs>
          <w:tab w:val="left" w:pos="851"/>
        </w:tabs>
        <w:spacing w:line="460" w:lineRule="exact"/>
        <w:ind w:leftChars="413" w:left="1839" w:hangingChars="303" w:hanging="848"/>
        <w:jc w:val="both"/>
        <w:rPr>
          <w:rFonts w:eastAsia="標楷體"/>
          <w:sz w:val="28"/>
          <w:szCs w:val="28"/>
        </w:rPr>
      </w:pPr>
      <w:r w:rsidRPr="00D55DC6">
        <w:rPr>
          <w:rFonts w:eastAsia="標楷體"/>
          <w:sz w:val="28"/>
          <w:szCs w:val="28"/>
        </w:rPr>
        <w:t>3-3-2.</w:t>
      </w:r>
      <w:r w:rsidRPr="00D55DC6">
        <w:rPr>
          <w:rFonts w:eastAsia="標楷體"/>
          <w:sz w:val="28"/>
          <w:szCs w:val="28"/>
        </w:rPr>
        <w:t>優質景觀路廊環境維護及設施維持。</w:t>
      </w:r>
    </w:p>
    <w:p w:rsidR="00FE4B9B" w:rsidRPr="00D55DC6" w:rsidRDefault="00FE4B9B" w:rsidP="009D33BA">
      <w:pPr>
        <w:snapToGrid w:val="0"/>
        <w:spacing w:beforeLines="50" w:before="180" w:line="460" w:lineRule="exact"/>
        <w:ind w:left="839"/>
        <w:jc w:val="both"/>
        <w:rPr>
          <w:rFonts w:eastAsia="標楷體"/>
          <w:b/>
          <w:bCs/>
          <w:sz w:val="28"/>
          <w:szCs w:val="28"/>
        </w:rPr>
      </w:pPr>
      <w:r w:rsidRPr="00D55DC6">
        <w:rPr>
          <w:rFonts w:eastAsia="標楷體"/>
          <w:b/>
          <w:bCs/>
          <w:sz w:val="28"/>
          <w:szCs w:val="28"/>
        </w:rPr>
        <w:t>3-4.</w:t>
      </w:r>
      <w:r w:rsidRPr="00D55DC6">
        <w:rPr>
          <w:rFonts w:eastAsia="標楷體"/>
          <w:b/>
          <w:bCs/>
          <w:sz w:val="28"/>
          <w:szCs w:val="28"/>
        </w:rPr>
        <w:t>全區災害復舊及一般零星工程</w:t>
      </w:r>
    </w:p>
    <w:p w:rsidR="00FE4B9B" w:rsidRPr="00D55DC6" w:rsidRDefault="00FE4B9B" w:rsidP="009D33BA">
      <w:pPr>
        <w:widowControl/>
        <w:tabs>
          <w:tab w:val="left" w:pos="851"/>
        </w:tabs>
        <w:spacing w:beforeLines="50" w:before="180" w:line="460" w:lineRule="exact"/>
        <w:ind w:left="1440"/>
        <w:jc w:val="both"/>
        <w:rPr>
          <w:rFonts w:eastAsia="標楷體"/>
          <w:sz w:val="28"/>
          <w:szCs w:val="28"/>
        </w:rPr>
      </w:pPr>
      <w:r w:rsidRPr="00D55DC6">
        <w:rPr>
          <w:rFonts w:eastAsia="標楷體"/>
          <w:sz w:val="28"/>
          <w:szCs w:val="28"/>
        </w:rPr>
        <w:t>辦理全區服務設施災害修復及一般零星工程。</w:t>
      </w:r>
    </w:p>
    <w:p w:rsidR="00FE4B9B" w:rsidRPr="00D55DC6" w:rsidRDefault="00FE4B9B" w:rsidP="004865C1">
      <w:pPr>
        <w:numPr>
          <w:ilvl w:val="1"/>
          <w:numId w:val="198"/>
        </w:numPr>
        <w:snapToGrid w:val="0"/>
        <w:spacing w:line="460" w:lineRule="exact"/>
        <w:jc w:val="both"/>
        <w:rPr>
          <w:rFonts w:eastAsia="標楷體"/>
          <w:b/>
          <w:bCs/>
          <w:sz w:val="28"/>
          <w:szCs w:val="28"/>
        </w:rPr>
      </w:pPr>
      <w:r w:rsidRPr="00D55DC6">
        <w:rPr>
          <w:rFonts w:eastAsia="標楷體"/>
          <w:b/>
          <w:bCs/>
          <w:sz w:val="28"/>
          <w:szCs w:val="28"/>
        </w:rPr>
        <w:t>經營管理及行銷推廣</w:t>
      </w:r>
    </w:p>
    <w:p w:rsidR="00FE4B9B" w:rsidRPr="00D55DC6" w:rsidRDefault="00FE4B9B" w:rsidP="009D33BA">
      <w:pPr>
        <w:snapToGrid w:val="0"/>
        <w:spacing w:beforeLines="50" w:before="180" w:line="460" w:lineRule="exact"/>
        <w:ind w:left="839"/>
        <w:jc w:val="both"/>
        <w:rPr>
          <w:rFonts w:eastAsia="標楷體"/>
          <w:b/>
          <w:bCs/>
          <w:sz w:val="28"/>
          <w:szCs w:val="28"/>
        </w:rPr>
      </w:pPr>
      <w:r w:rsidRPr="00D55DC6">
        <w:rPr>
          <w:rFonts w:eastAsia="標楷體"/>
          <w:b/>
          <w:bCs/>
          <w:sz w:val="28"/>
          <w:szCs w:val="28"/>
        </w:rPr>
        <w:t>4-1.</w:t>
      </w:r>
      <w:r w:rsidRPr="00D55DC6">
        <w:rPr>
          <w:rFonts w:eastAsia="標楷體"/>
          <w:b/>
          <w:bCs/>
          <w:sz w:val="28"/>
          <w:szCs w:val="28"/>
        </w:rPr>
        <w:t>經營管理：</w:t>
      </w:r>
    </w:p>
    <w:p w:rsidR="00FE4B9B" w:rsidRPr="00D55DC6" w:rsidRDefault="00FE4B9B" w:rsidP="00FE4B9B">
      <w:pPr>
        <w:widowControl/>
        <w:tabs>
          <w:tab w:val="left" w:pos="851"/>
        </w:tabs>
        <w:spacing w:line="460" w:lineRule="exact"/>
        <w:ind w:leftChars="412" w:left="1697" w:hangingChars="253" w:hanging="708"/>
        <w:jc w:val="both"/>
        <w:rPr>
          <w:rFonts w:eastAsia="標楷體"/>
          <w:sz w:val="28"/>
          <w:szCs w:val="28"/>
        </w:rPr>
      </w:pPr>
      <w:r w:rsidRPr="00D55DC6">
        <w:rPr>
          <w:rFonts w:eastAsia="標楷體"/>
          <w:sz w:val="28"/>
          <w:szCs w:val="28"/>
        </w:rPr>
        <w:lastRenderedPageBreak/>
        <w:t>4-1-1.</w:t>
      </w:r>
      <w:r w:rsidRPr="00D55DC6">
        <w:rPr>
          <w:rFonts w:eastAsia="標楷體"/>
          <w:sz w:val="28"/>
          <w:szCs w:val="28"/>
        </w:rPr>
        <w:t>持續辦理提昇遊客安全、遊憩據點及周邊公共服務設施清潔管理與維護。</w:t>
      </w:r>
      <w:r w:rsidRPr="00D55DC6">
        <w:rPr>
          <w:rFonts w:eastAsia="標楷體"/>
          <w:sz w:val="28"/>
          <w:szCs w:val="28"/>
        </w:rPr>
        <w:t xml:space="preserve"> </w:t>
      </w:r>
      <w:r w:rsidRPr="00D55DC6">
        <w:rPr>
          <w:rFonts w:eastAsia="標楷體"/>
          <w:sz w:val="28"/>
          <w:szCs w:val="28"/>
        </w:rPr>
        <w:t>透過「清淨家園活動」宣導維護風景區整潔的觀念。</w:t>
      </w:r>
    </w:p>
    <w:p w:rsidR="00FE4B9B" w:rsidRPr="00D55DC6" w:rsidRDefault="00FE4B9B" w:rsidP="00FE4B9B">
      <w:pPr>
        <w:widowControl/>
        <w:tabs>
          <w:tab w:val="left" w:pos="851"/>
        </w:tabs>
        <w:spacing w:line="460" w:lineRule="exact"/>
        <w:ind w:leftChars="412" w:left="1697" w:hangingChars="253" w:hanging="708"/>
        <w:jc w:val="both"/>
        <w:rPr>
          <w:rFonts w:eastAsia="標楷體"/>
          <w:sz w:val="28"/>
          <w:szCs w:val="28"/>
        </w:rPr>
      </w:pPr>
      <w:r w:rsidRPr="00D55DC6">
        <w:rPr>
          <w:rFonts w:eastAsia="標楷體"/>
          <w:sz w:val="28"/>
          <w:szCs w:val="28"/>
        </w:rPr>
        <w:t>4-1-2.</w:t>
      </w:r>
      <w:r w:rsidRPr="00D55DC6">
        <w:rPr>
          <w:rFonts w:eastAsia="標楷體"/>
          <w:sz w:val="28"/>
          <w:szCs w:val="28"/>
        </w:rPr>
        <w:t>針對旅遊線上違規廣告物等影響交通安全或破壞視覺景觀之設施，加強勸導違規人改善或自行拆除，並強化閒置空地美化宣導工作。</w:t>
      </w:r>
    </w:p>
    <w:p w:rsidR="00FE4B9B" w:rsidRPr="00D55DC6" w:rsidRDefault="00FE4B9B" w:rsidP="00FE4B9B">
      <w:pPr>
        <w:widowControl/>
        <w:tabs>
          <w:tab w:val="left" w:pos="851"/>
        </w:tabs>
        <w:spacing w:line="460" w:lineRule="exact"/>
        <w:ind w:leftChars="412" w:left="1697" w:hangingChars="253" w:hanging="708"/>
        <w:jc w:val="both"/>
        <w:rPr>
          <w:rFonts w:eastAsia="標楷體"/>
          <w:sz w:val="28"/>
          <w:szCs w:val="28"/>
        </w:rPr>
      </w:pPr>
      <w:r w:rsidRPr="00D55DC6">
        <w:rPr>
          <w:rFonts w:eastAsia="標楷體"/>
          <w:sz w:val="28"/>
          <w:szCs w:val="28"/>
        </w:rPr>
        <w:t>4-1-3.</w:t>
      </w:r>
      <w:r w:rsidRPr="00D55DC6">
        <w:rPr>
          <w:rFonts w:eastAsia="標楷體"/>
          <w:sz w:val="28"/>
          <w:szCs w:val="28"/>
        </w:rPr>
        <w:t>辦理既有設施活化再利用與觀光據點委託經營及賣店出租等經營管理工作。</w:t>
      </w:r>
      <w:r w:rsidRPr="00D55DC6">
        <w:rPr>
          <w:rFonts w:eastAsia="標楷體"/>
          <w:sz w:val="28"/>
          <w:szCs w:val="28"/>
        </w:rPr>
        <w:t xml:space="preserve"> </w:t>
      </w:r>
    </w:p>
    <w:p w:rsidR="00FE4B9B" w:rsidRPr="00D55DC6" w:rsidRDefault="00FE4B9B" w:rsidP="00FE4B9B">
      <w:pPr>
        <w:widowControl/>
        <w:tabs>
          <w:tab w:val="left" w:pos="851"/>
        </w:tabs>
        <w:spacing w:line="460" w:lineRule="exact"/>
        <w:ind w:leftChars="412" w:left="1697" w:hangingChars="253" w:hanging="708"/>
        <w:jc w:val="both"/>
        <w:rPr>
          <w:rFonts w:eastAsia="標楷體"/>
          <w:sz w:val="28"/>
          <w:szCs w:val="28"/>
        </w:rPr>
      </w:pPr>
      <w:r w:rsidRPr="00D55DC6">
        <w:rPr>
          <w:rFonts w:eastAsia="標楷體"/>
          <w:sz w:val="28"/>
          <w:szCs w:val="28"/>
        </w:rPr>
        <w:t>4-1-4.</w:t>
      </w:r>
      <w:r w:rsidRPr="00D55DC6">
        <w:rPr>
          <w:rFonts w:eastAsia="標楷體"/>
          <w:sz w:val="28"/>
          <w:szCs w:val="28"/>
        </w:rPr>
        <w:t>加強遊客安全、巡查維護、遊憩據點及周邊公共設施植栽綠美化、資源保護，並研擬景點收費機制等。</w:t>
      </w:r>
    </w:p>
    <w:p w:rsidR="00FE4B9B" w:rsidRPr="00D55DC6" w:rsidRDefault="00FE4B9B" w:rsidP="009D33BA">
      <w:pPr>
        <w:snapToGrid w:val="0"/>
        <w:spacing w:beforeLines="50" w:before="180" w:line="460" w:lineRule="exact"/>
        <w:ind w:left="839"/>
        <w:jc w:val="both"/>
        <w:rPr>
          <w:rFonts w:eastAsia="標楷體"/>
          <w:b/>
          <w:bCs/>
          <w:sz w:val="28"/>
          <w:szCs w:val="28"/>
        </w:rPr>
      </w:pPr>
      <w:r w:rsidRPr="00D55DC6">
        <w:rPr>
          <w:rFonts w:eastAsia="標楷體"/>
          <w:b/>
          <w:bCs/>
          <w:sz w:val="28"/>
          <w:szCs w:val="28"/>
        </w:rPr>
        <w:t>4-2.</w:t>
      </w:r>
      <w:r w:rsidRPr="00D55DC6">
        <w:rPr>
          <w:rFonts w:eastAsia="標楷體"/>
          <w:b/>
          <w:bCs/>
          <w:sz w:val="28"/>
          <w:szCs w:val="28"/>
        </w:rPr>
        <w:t>行銷推廣：</w:t>
      </w:r>
    </w:p>
    <w:p w:rsidR="00FE4B9B" w:rsidRPr="00D55DC6" w:rsidRDefault="00FE4B9B" w:rsidP="00FE4B9B">
      <w:pPr>
        <w:widowControl/>
        <w:tabs>
          <w:tab w:val="left" w:pos="851"/>
        </w:tabs>
        <w:spacing w:line="460" w:lineRule="exact"/>
        <w:ind w:leftChars="412" w:left="1697" w:hangingChars="253" w:hanging="708"/>
        <w:jc w:val="both"/>
        <w:rPr>
          <w:rFonts w:eastAsia="標楷體"/>
          <w:sz w:val="28"/>
          <w:szCs w:val="28"/>
        </w:rPr>
      </w:pPr>
      <w:r w:rsidRPr="00D55DC6">
        <w:rPr>
          <w:rFonts w:eastAsia="標楷體"/>
          <w:sz w:val="28"/>
          <w:szCs w:val="28"/>
        </w:rPr>
        <w:t>4-2-1.</w:t>
      </w:r>
      <w:r w:rsidRPr="00D55DC6">
        <w:rPr>
          <w:rFonts w:eastAsia="標楷體"/>
          <w:sz w:val="28"/>
          <w:szCs w:val="28"/>
        </w:rPr>
        <w:t>強化遊客服務中心功能、加強網路媒體行銷、歌曲行銷、視覺行銷、（志工、解說）人員培訓等，持續辦理觀光亮點活動推展及行銷獎勵補助業務。</w:t>
      </w:r>
    </w:p>
    <w:p w:rsidR="00FE4B9B" w:rsidRPr="00D55DC6" w:rsidRDefault="00FE4B9B" w:rsidP="00FE4B9B">
      <w:pPr>
        <w:widowControl/>
        <w:tabs>
          <w:tab w:val="left" w:pos="851"/>
        </w:tabs>
        <w:spacing w:line="460" w:lineRule="exact"/>
        <w:ind w:leftChars="412" w:left="1697" w:hangingChars="253" w:hanging="708"/>
        <w:jc w:val="both"/>
        <w:rPr>
          <w:rFonts w:eastAsia="標楷體"/>
          <w:sz w:val="28"/>
          <w:szCs w:val="28"/>
        </w:rPr>
      </w:pPr>
      <w:r w:rsidRPr="00D55DC6">
        <w:rPr>
          <w:rFonts w:eastAsia="標楷體"/>
          <w:sz w:val="28"/>
          <w:szCs w:val="28"/>
        </w:rPr>
        <w:t>4-2-2.</w:t>
      </w:r>
      <w:r w:rsidRPr="00D55DC6">
        <w:rPr>
          <w:rFonts w:eastAsia="標楷體"/>
          <w:sz w:val="28"/>
          <w:szCs w:val="28"/>
        </w:rPr>
        <w:t>配合沿線火車站強化遊客服務中心功能，完善國際性旅遊資訊網及</w:t>
      </w:r>
      <w:r w:rsidRPr="00D55DC6">
        <w:rPr>
          <w:rFonts w:eastAsia="標楷體"/>
          <w:sz w:val="28"/>
          <w:szCs w:val="28"/>
        </w:rPr>
        <w:t>APP</w:t>
      </w:r>
      <w:r w:rsidRPr="00D55DC6">
        <w:rPr>
          <w:rFonts w:eastAsia="標楷體"/>
          <w:sz w:val="28"/>
          <w:szCs w:val="28"/>
        </w:rPr>
        <w:t>智慧手機等多元化旅遊導覽系統，提供便捷資訊並塑造親切完善的旅遊環境。</w:t>
      </w:r>
    </w:p>
    <w:p w:rsidR="00FE4B9B" w:rsidRPr="00D55DC6" w:rsidRDefault="00FE4B9B" w:rsidP="00FE4B9B">
      <w:pPr>
        <w:widowControl/>
        <w:tabs>
          <w:tab w:val="left" w:pos="851"/>
        </w:tabs>
        <w:spacing w:line="460" w:lineRule="exact"/>
        <w:ind w:leftChars="412" w:left="1697" w:hangingChars="253" w:hanging="708"/>
        <w:jc w:val="both"/>
        <w:rPr>
          <w:rFonts w:eastAsia="標楷體"/>
          <w:sz w:val="28"/>
          <w:szCs w:val="28"/>
        </w:rPr>
      </w:pPr>
      <w:r w:rsidRPr="00D55DC6">
        <w:rPr>
          <w:rFonts w:eastAsia="標楷體"/>
          <w:sz w:val="28"/>
          <w:szCs w:val="28"/>
        </w:rPr>
        <w:t>4-2-3.</w:t>
      </w:r>
      <w:r w:rsidRPr="00D55DC6">
        <w:rPr>
          <w:rFonts w:eastAsia="標楷體"/>
          <w:sz w:val="28"/>
          <w:szCs w:val="28"/>
        </w:rPr>
        <w:t>積極推展「搭火車到花東縱谷旅遊」的</w:t>
      </w:r>
      <w:r w:rsidRPr="00D55DC6">
        <w:rPr>
          <w:rFonts w:eastAsia="標楷體"/>
          <w:sz w:val="28"/>
          <w:szCs w:val="28"/>
        </w:rPr>
        <w:t>new-style</w:t>
      </w:r>
      <w:r w:rsidRPr="00D55DC6">
        <w:rPr>
          <w:rFonts w:eastAsia="標楷體"/>
          <w:sz w:val="28"/>
          <w:szCs w:val="28"/>
        </w:rPr>
        <w:t>。</w:t>
      </w:r>
    </w:p>
    <w:p w:rsidR="00FE4B9B" w:rsidRPr="00D55DC6" w:rsidRDefault="00FE4B9B" w:rsidP="00FE4B9B">
      <w:pPr>
        <w:widowControl/>
        <w:tabs>
          <w:tab w:val="left" w:pos="851"/>
        </w:tabs>
        <w:spacing w:line="460" w:lineRule="exact"/>
        <w:ind w:leftChars="412" w:left="1697" w:hangingChars="253" w:hanging="708"/>
        <w:jc w:val="both"/>
        <w:rPr>
          <w:rFonts w:eastAsia="標楷體"/>
          <w:sz w:val="28"/>
          <w:szCs w:val="28"/>
        </w:rPr>
      </w:pPr>
      <w:r w:rsidRPr="00D55DC6">
        <w:rPr>
          <w:rFonts w:eastAsia="標楷體"/>
          <w:sz w:val="28"/>
          <w:szCs w:val="28"/>
        </w:rPr>
        <w:t>4-2-4.</w:t>
      </w:r>
      <w:r w:rsidRPr="00D55DC6">
        <w:rPr>
          <w:rFonts w:eastAsia="標楷體"/>
          <w:sz w:val="28"/>
          <w:szCs w:val="28"/>
        </w:rPr>
        <w:t>配合綠色運輸透過整體行銷推廣，並以景點結合故事的行銷方式製作漫遊深度旅遊體驗等方式，提供國內外觀光遊客參考。</w:t>
      </w:r>
    </w:p>
    <w:p w:rsidR="00FE4B9B" w:rsidRPr="00D55DC6" w:rsidRDefault="00FE4B9B" w:rsidP="00FE4B9B">
      <w:pPr>
        <w:widowControl/>
        <w:tabs>
          <w:tab w:val="left" w:pos="851"/>
        </w:tabs>
        <w:spacing w:line="460" w:lineRule="exact"/>
        <w:ind w:leftChars="412" w:left="1697" w:hangingChars="253" w:hanging="708"/>
        <w:jc w:val="both"/>
        <w:rPr>
          <w:rFonts w:eastAsia="標楷體"/>
          <w:sz w:val="28"/>
          <w:szCs w:val="28"/>
        </w:rPr>
      </w:pPr>
      <w:r w:rsidRPr="00D55DC6">
        <w:rPr>
          <w:rFonts w:eastAsia="標楷體"/>
          <w:sz w:val="28"/>
          <w:szCs w:val="28"/>
        </w:rPr>
        <w:t>4-2-5.</w:t>
      </w:r>
      <w:r w:rsidRPr="00D55DC6">
        <w:rPr>
          <w:rFonts w:eastAsia="標楷體"/>
          <w:sz w:val="28"/>
          <w:szCs w:val="28"/>
        </w:rPr>
        <w:t>加強舉辦國際性節慶活動以及地方部落文化之旅；宣傳地方文化特色，推廣深度旅遊。</w:t>
      </w:r>
      <w:r w:rsidRPr="00D55DC6">
        <w:rPr>
          <w:rFonts w:eastAsia="標楷體"/>
          <w:sz w:val="28"/>
          <w:szCs w:val="28"/>
        </w:rPr>
        <w:t xml:space="preserve"> </w:t>
      </w:r>
    </w:p>
    <w:p w:rsidR="00FE4B9B" w:rsidRPr="00D55DC6" w:rsidRDefault="00FE4B9B" w:rsidP="00FE4B9B">
      <w:pPr>
        <w:widowControl/>
        <w:tabs>
          <w:tab w:val="left" w:pos="851"/>
        </w:tabs>
        <w:spacing w:line="460" w:lineRule="exact"/>
        <w:ind w:leftChars="412" w:left="1697" w:hangingChars="253" w:hanging="708"/>
        <w:jc w:val="both"/>
        <w:rPr>
          <w:rFonts w:eastAsia="標楷體"/>
          <w:sz w:val="28"/>
          <w:szCs w:val="28"/>
        </w:rPr>
      </w:pPr>
      <w:r w:rsidRPr="00D55DC6">
        <w:rPr>
          <w:rFonts w:eastAsia="標楷體"/>
          <w:sz w:val="28"/>
          <w:szCs w:val="28"/>
        </w:rPr>
        <w:t>4-2-6.</w:t>
      </w:r>
      <w:r w:rsidRPr="00D55DC6">
        <w:rPr>
          <w:rFonts w:eastAsia="標楷體"/>
          <w:sz w:val="28"/>
          <w:szCs w:val="28"/>
        </w:rPr>
        <w:t>發展旅遊無縫公共運輸，包括觀光巴士、觀光公共自行車與需求反應式運輸服務</w:t>
      </w:r>
      <w:r w:rsidRPr="00D55DC6">
        <w:rPr>
          <w:rFonts w:eastAsia="標楷體"/>
          <w:sz w:val="28"/>
          <w:szCs w:val="28"/>
        </w:rPr>
        <w:t>(DRTS)</w:t>
      </w:r>
      <w:r w:rsidRPr="00D55DC6">
        <w:rPr>
          <w:rFonts w:eastAsia="標楷體"/>
          <w:sz w:val="28"/>
          <w:szCs w:val="28"/>
        </w:rPr>
        <w:t>系統，協助業者辦理行銷推廣，充實服務人員地方風土民俗導覽解說技巧及外語能力。</w:t>
      </w:r>
    </w:p>
    <w:p w:rsidR="00FE4B9B" w:rsidRPr="00D55DC6" w:rsidRDefault="00FE4B9B" w:rsidP="004865C1">
      <w:pPr>
        <w:numPr>
          <w:ilvl w:val="1"/>
          <w:numId w:val="198"/>
        </w:numPr>
        <w:snapToGrid w:val="0"/>
        <w:spacing w:line="460" w:lineRule="exact"/>
        <w:jc w:val="both"/>
        <w:rPr>
          <w:rFonts w:eastAsia="標楷體"/>
          <w:b/>
          <w:bCs/>
          <w:sz w:val="28"/>
          <w:szCs w:val="28"/>
        </w:rPr>
      </w:pPr>
      <w:r w:rsidRPr="00D55DC6">
        <w:rPr>
          <w:rFonts w:eastAsia="標楷體"/>
          <w:b/>
          <w:bCs/>
          <w:sz w:val="28"/>
          <w:szCs w:val="28"/>
        </w:rPr>
        <w:t>提升觀光建設自償性</w:t>
      </w:r>
      <w:r w:rsidRPr="00D55DC6">
        <w:rPr>
          <w:rFonts w:eastAsia="標楷體"/>
          <w:b/>
          <w:bCs/>
          <w:sz w:val="28"/>
          <w:szCs w:val="28"/>
        </w:rPr>
        <w:t xml:space="preserve"> (</w:t>
      </w:r>
      <w:r w:rsidRPr="00D55DC6">
        <w:rPr>
          <w:rFonts w:eastAsia="標楷體"/>
          <w:b/>
          <w:bCs/>
          <w:sz w:val="28"/>
          <w:szCs w:val="28"/>
        </w:rPr>
        <w:t>包含獎勵民間投資、使用者付費、跨域合作</w:t>
      </w:r>
      <w:r w:rsidRPr="00D55DC6">
        <w:rPr>
          <w:rFonts w:eastAsia="標楷體"/>
          <w:b/>
          <w:bCs/>
          <w:sz w:val="28"/>
          <w:szCs w:val="28"/>
        </w:rPr>
        <w:t>)</w:t>
      </w:r>
    </w:p>
    <w:p w:rsidR="00FE4B9B" w:rsidRPr="00D55DC6" w:rsidRDefault="00FE4B9B" w:rsidP="00FE4B9B">
      <w:pPr>
        <w:snapToGrid w:val="0"/>
        <w:spacing w:line="460" w:lineRule="exact"/>
        <w:ind w:left="840"/>
        <w:jc w:val="both"/>
        <w:rPr>
          <w:rFonts w:eastAsia="標楷體"/>
          <w:b/>
          <w:bCs/>
          <w:sz w:val="28"/>
          <w:szCs w:val="28"/>
        </w:rPr>
      </w:pPr>
      <w:r w:rsidRPr="00D55DC6">
        <w:rPr>
          <w:rFonts w:eastAsia="標楷體"/>
          <w:b/>
          <w:bCs/>
          <w:sz w:val="28"/>
          <w:szCs w:val="28"/>
        </w:rPr>
        <w:t>5-1.</w:t>
      </w:r>
      <w:r w:rsidRPr="00D55DC6">
        <w:rPr>
          <w:rFonts w:eastAsia="標楷體"/>
          <w:b/>
          <w:bCs/>
          <w:sz w:val="28"/>
          <w:szCs w:val="28"/>
        </w:rPr>
        <w:t>設施出租：</w:t>
      </w:r>
    </w:p>
    <w:p w:rsidR="00FE4B9B" w:rsidRPr="00D55DC6" w:rsidRDefault="00FE4B9B" w:rsidP="00FE4B9B">
      <w:pPr>
        <w:widowControl/>
        <w:tabs>
          <w:tab w:val="right" w:leader="dot" w:pos="9356"/>
        </w:tabs>
        <w:spacing w:line="460" w:lineRule="exact"/>
        <w:ind w:leftChars="531" w:left="1274"/>
        <w:jc w:val="both"/>
        <w:rPr>
          <w:rFonts w:eastAsia="標楷體"/>
          <w:noProof/>
          <w:kern w:val="0"/>
          <w:sz w:val="28"/>
          <w:szCs w:val="28"/>
        </w:rPr>
      </w:pPr>
      <w:r w:rsidRPr="00D55DC6">
        <w:rPr>
          <w:rFonts w:eastAsia="標楷體"/>
          <w:noProof/>
          <w:kern w:val="0"/>
          <w:sz w:val="28"/>
          <w:szCs w:val="28"/>
        </w:rPr>
        <w:t>短期內持續辦理鯉魚潭遊客中心，鹿野高台滑草場、羅山遊客中心及池上休憩區出租。</w:t>
      </w:r>
    </w:p>
    <w:p w:rsidR="00FE4B9B" w:rsidRPr="00D55DC6" w:rsidRDefault="00FE4B9B" w:rsidP="00FE4B9B">
      <w:pPr>
        <w:snapToGrid w:val="0"/>
        <w:spacing w:line="460" w:lineRule="exact"/>
        <w:ind w:left="840"/>
        <w:jc w:val="both"/>
        <w:rPr>
          <w:rFonts w:eastAsia="標楷體"/>
          <w:b/>
          <w:bCs/>
          <w:sz w:val="28"/>
          <w:szCs w:val="28"/>
        </w:rPr>
      </w:pPr>
      <w:r w:rsidRPr="00D55DC6">
        <w:rPr>
          <w:rFonts w:eastAsia="標楷體"/>
          <w:b/>
          <w:bCs/>
          <w:sz w:val="28"/>
          <w:szCs w:val="28"/>
        </w:rPr>
        <w:lastRenderedPageBreak/>
        <w:t>5-2.</w:t>
      </w:r>
      <w:r w:rsidRPr="00D55DC6">
        <w:rPr>
          <w:rFonts w:eastAsia="標楷體"/>
          <w:b/>
          <w:bCs/>
          <w:sz w:val="28"/>
          <w:szCs w:val="28"/>
        </w:rPr>
        <w:t>促參：</w:t>
      </w:r>
    </w:p>
    <w:p w:rsidR="00FE4B9B" w:rsidRPr="00D55DC6" w:rsidRDefault="00FE4B9B" w:rsidP="00FE4B9B">
      <w:pPr>
        <w:widowControl/>
        <w:tabs>
          <w:tab w:val="right" w:leader="dot" w:pos="9356"/>
        </w:tabs>
        <w:spacing w:line="460" w:lineRule="exact"/>
        <w:ind w:leftChars="531" w:left="1274"/>
        <w:jc w:val="both"/>
        <w:rPr>
          <w:rFonts w:eastAsia="標楷體"/>
          <w:noProof/>
          <w:kern w:val="0"/>
          <w:sz w:val="28"/>
          <w:szCs w:val="28"/>
        </w:rPr>
      </w:pPr>
      <w:r w:rsidRPr="00D55DC6">
        <w:rPr>
          <w:rFonts w:eastAsia="標楷體"/>
          <w:noProof/>
          <w:kern w:val="0"/>
          <w:sz w:val="28"/>
          <w:szCs w:val="28"/>
        </w:rPr>
        <w:t>持續推動委外鳳凰山莊、崙天遊憩區、林榮休憩區及鯉魚潭露營區等促參案。</w:t>
      </w:r>
    </w:p>
    <w:p w:rsidR="00FE4B9B" w:rsidRPr="00D55DC6" w:rsidRDefault="00FE4B9B" w:rsidP="00FE4B9B">
      <w:pPr>
        <w:widowControl/>
        <w:tabs>
          <w:tab w:val="right" w:leader="dot" w:pos="9356"/>
        </w:tabs>
        <w:spacing w:line="460" w:lineRule="exact"/>
        <w:ind w:leftChars="531" w:left="1274"/>
        <w:jc w:val="both"/>
        <w:rPr>
          <w:rFonts w:eastAsia="標楷體"/>
          <w:noProof/>
          <w:kern w:val="0"/>
          <w:sz w:val="28"/>
          <w:szCs w:val="28"/>
        </w:rPr>
      </w:pPr>
      <w:r w:rsidRPr="00D55DC6">
        <w:rPr>
          <w:rFonts w:eastAsia="標楷體"/>
          <w:noProof/>
          <w:kern w:val="0"/>
          <w:sz w:val="28"/>
          <w:szCs w:val="28"/>
        </w:rPr>
        <w:t>新增亮點鯉魚潭潭北複合式商圈、鹿野龍田空域活動度假村、飛行啟蒙基地</w:t>
      </w:r>
      <w:r w:rsidRPr="00D55DC6">
        <w:rPr>
          <w:rFonts w:eastAsia="標楷體"/>
          <w:noProof/>
          <w:kern w:val="0"/>
          <w:sz w:val="28"/>
          <w:szCs w:val="28"/>
        </w:rPr>
        <w:t>(</w:t>
      </w:r>
      <w:r w:rsidRPr="00D55DC6">
        <w:rPr>
          <w:rFonts w:eastAsia="標楷體"/>
          <w:noProof/>
          <w:kern w:val="0"/>
          <w:sz w:val="28"/>
          <w:szCs w:val="28"/>
        </w:rPr>
        <w:t>鹿野高台及龍田基地</w:t>
      </w:r>
      <w:r w:rsidRPr="00D55DC6">
        <w:rPr>
          <w:rFonts w:eastAsia="標楷體"/>
          <w:noProof/>
          <w:kern w:val="0"/>
          <w:sz w:val="28"/>
          <w:szCs w:val="28"/>
        </w:rPr>
        <w:t>)</w:t>
      </w:r>
      <w:r w:rsidRPr="00D55DC6">
        <w:rPr>
          <w:rFonts w:eastAsia="標楷體"/>
          <w:noProof/>
          <w:kern w:val="0"/>
          <w:sz w:val="28"/>
          <w:szCs w:val="28"/>
        </w:rPr>
        <w:t>等促參案。</w:t>
      </w:r>
    </w:p>
    <w:p w:rsidR="00FE4B9B" w:rsidRPr="00D55DC6" w:rsidRDefault="00FE4B9B" w:rsidP="00FE4B9B">
      <w:pPr>
        <w:snapToGrid w:val="0"/>
        <w:spacing w:before="360" w:line="460" w:lineRule="exact"/>
        <w:ind w:left="840"/>
        <w:jc w:val="both"/>
        <w:rPr>
          <w:rFonts w:eastAsia="標楷體"/>
          <w:sz w:val="28"/>
          <w:szCs w:val="28"/>
        </w:rPr>
      </w:pPr>
      <w:r w:rsidRPr="00D55DC6">
        <w:rPr>
          <w:rFonts w:eastAsia="標楷體"/>
          <w:b/>
          <w:bCs/>
          <w:sz w:val="28"/>
          <w:szCs w:val="28"/>
        </w:rPr>
        <w:t>5-3.</w:t>
      </w:r>
      <w:r w:rsidRPr="00D55DC6">
        <w:rPr>
          <w:sz w:val="28"/>
          <w:szCs w:val="28"/>
        </w:rPr>
        <w:t xml:space="preserve"> </w:t>
      </w:r>
      <w:r w:rsidRPr="00D55DC6">
        <w:rPr>
          <w:rFonts w:eastAsia="標楷體"/>
          <w:b/>
          <w:bCs/>
          <w:sz w:val="28"/>
          <w:szCs w:val="28"/>
        </w:rPr>
        <w:t>使用者付費</w:t>
      </w:r>
      <w:r w:rsidRPr="00D55DC6">
        <w:rPr>
          <w:rFonts w:eastAsia="標楷體"/>
          <w:sz w:val="28"/>
          <w:szCs w:val="28"/>
        </w:rPr>
        <w:t>：</w:t>
      </w:r>
    </w:p>
    <w:p w:rsidR="00FE4B9B" w:rsidRPr="00D55DC6" w:rsidRDefault="00FE4B9B" w:rsidP="00FE4B9B">
      <w:pPr>
        <w:widowControl/>
        <w:tabs>
          <w:tab w:val="right" w:leader="dot" w:pos="9356"/>
        </w:tabs>
        <w:spacing w:line="460" w:lineRule="exact"/>
        <w:ind w:leftChars="531" w:left="1274"/>
        <w:jc w:val="both"/>
        <w:rPr>
          <w:rFonts w:eastAsia="標楷體"/>
          <w:noProof/>
          <w:kern w:val="0"/>
          <w:sz w:val="28"/>
          <w:szCs w:val="28"/>
        </w:rPr>
      </w:pPr>
      <w:r w:rsidRPr="00D55DC6">
        <w:rPr>
          <w:rFonts w:eastAsia="標楷體"/>
          <w:noProof/>
          <w:kern w:val="0"/>
          <w:sz w:val="28"/>
          <w:szCs w:val="28"/>
        </w:rPr>
        <w:t xml:space="preserve"> </w:t>
      </w:r>
      <w:r w:rsidRPr="00D55DC6">
        <w:rPr>
          <w:rFonts w:eastAsia="標楷體"/>
          <w:noProof/>
          <w:kern w:val="0"/>
          <w:sz w:val="28"/>
          <w:szCs w:val="28"/>
        </w:rPr>
        <w:t>規劃鯉魚潭停車場、鯉魚潭碼頭等收取清潔維護費或管理費。</w:t>
      </w:r>
    </w:p>
    <w:p w:rsidR="00FE4B9B" w:rsidRPr="00D55DC6" w:rsidRDefault="00FE4B9B" w:rsidP="00FE4B9B">
      <w:pPr>
        <w:snapToGrid w:val="0"/>
        <w:spacing w:line="460" w:lineRule="exact"/>
        <w:ind w:left="840"/>
        <w:jc w:val="both"/>
        <w:rPr>
          <w:rFonts w:eastAsia="標楷體"/>
          <w:b/>
          <w:bCs/>
          <w:sz w:val="28"/>
          <w:szCs w:val="28"/>
        </w:rPr>
      </w:pPr>
      <w:r w:rsidRPr="00D55DC6">
        <w:rPr>
          <w:rFonts w:eastAsia="標楷體"/>
          <w:b/>
          <w:bCs/>
          <w:sz w:val="28"/>
          <w:szCs w:val="28"/>
        </w:rPr>
        <w:t>5-4.</w:t>
      </w:r>
      <w:r w:rsidRPr="00D55DC6">
        <w:rPr>
          <w:rFonts w:eastAsia="標楷體"/>
          <w:b/>
          <w:bCs/>
          <w:sz w:val="28"/>
          <w:szCs w:val="28"/>
        </w:rPr>
        <w:t>跨域合作：</w:t>
      </w:r>
    </w:p>
    <w:p w:rsidR="00FE4B9B" w:rsidRPr="00D55DC6" w:rsidRDefault="00FE4B9B" w:rsidP="00FE4B9B">
      <w:pPr>
        <w:widowControl/>
        <w:tabs>
          <w:tab w:val="right" w:leader="dot" w:pos="9356"/>
        </w:tabs>
        <w:spacing w:line="460" w:lineRule="exact"/>
        <w:ind w:leftChars="531" w:left="1274"/>
        <w:jc w:val="both"/>
        <w:rPr>
          <w:rFonts w:eastAsia="標楷體"/>
          <w:noProof/>
          <w:kern w:val="0"/>
          <w:sz w:val="28"/>
          <w:szCs w:val="28"/>
        </w:rPr>
      </w:pPr>
      <w:r w:rsidRPr="00D55DC6">
        <w:rPr>
          <w:rFonts w:eastAsia="標楷體"/>
          <w:noProof/>
          <w:kern w:val="0"/>
          <w:sz w:val="28"/>
          <w:szCs w:val="28"/>
        </w:rPr>
        <w:t>針對鯉魚潭觀光亮點與鹿野飛行產業觀光亮點推動與地方政府的跨域合作模式。</w:t>
      </w:r>
    </w:p>
    <w:p w:rsidR="00FE4B9B" w:rsidRPr="00D55DC6" w:rsidRDefault="00FE4B9B" w:rsidP="00FE4B9B">
      <w:pPr>
        <w:widowControl/>
        <w:tabs>
          <w:tab w:val="right" w:leader="dot" w:pos="9356"/>
        </w:tabs>
        <w:spacing w:line="460" w:lineRule="exact"/>
        <w:ind w:leftChars="531" w:left="1274"/>
        <w:jc w:val="both"/>
        <w:rPr>
          <w:rFonts w:eastAsia="標楷體"/>
          <w:noProof/>
          <w:kern w:val="0"/>
          <w:sz w:val="28"/>
          <w:szCs w:val="28"/>
        </w:rPr>
      </w:pPr>
    </w:p>
    <w:p w:rsidR="00FE4B9B" w:rsidRPr="00D55DC6" w:rsidRDefault="00FE4B9B" w:rsidP="004865C1">
      <w:pPr>
        <w:numPr>
          <w:ilvl w:val="0"/>
          <w:numId w:val="198"/>
        </w:numPr>
        <w:snapToGrid w:val="0"/>
        <w:spacing w:line="460" w:lineRule="exact"/>
        <w:jc w:val="both"/>
        <w:rPr>
          <w:rFonts w:eastAsia="標楷體"/>
          <w:b/>
          <w:bCs/>
          <w:sz w:val="28"/>
          <w:szCs w:val="28"/>
        </w:rPr>
      </w:pPr>
      <w:r w:rsidRPr="00D55DC6">
        <w:rPr>
          <w:rFonts w:eastAsia="標楷體"/>
          <w:b/>
          <w:bCs/>
          <w:sz w:val="28"/>
          <w:szCs w:val="28"/>
        </w:rPr>
        <w:t xml:space="preserve">分年預期成果　</w:t>
      </w:r>
      <w:r w:rsidRPr="00D55DC6">
        <w:rPr>
          <w:rFonts w:eastAsia="標楷體"/>
          <w:sz w:val="28"/>
          <w:szCs w:val="28"/>
        </w:rPr>
        <w:t xml:space="preserve">　</w:t>
      </w:r>
    </w:p>
    <w:p w:rsidR="00FE4B9B" w:rsidRPr="00D55DC6" w:rsidRDefault="00FE4B9B" w:rsidP="00FE4B9B">
      <w:pPr>
        <w:widowControl/>
        <w:tabs>
          <w:tab w:val="right" w:leader="dot" w:pos="9356"/>
        </w:tabs>
        <w:spacing w:line="460" w:lineRule="exact"/>
        <w:ind w:leftChars="410" w:left="1895" w:hangingChars="350" w:hanging="911"/>
        <w:jc w:val="both"/>
        <w:rPr>
          <w:rFonts w:eastAsia="標楷體"/>
          <w:noProof/>
          <w:kern w:val="0"/>
          <w:sz w:val="26"/>
          <w:szCs w:val="26"/>
        </w:rPr>
      </w:pPr>
      <w:r w:rsidRPr="00D55DC6">
        <w:rPr>
          <w:rFonts w:eastAsia="標楷體"/>
          <w:b/>
          <w:bCs/>
          <w:noProof/>
          <w:kern w:val="0"/>
          <w:sz w:val="26"/>
          <w:szCs w:val="26"/>
        </w:rPr>
        <w:t>105</w:t>
      </w:r>
      <w:r w:rsidRPr="00D55DC6">
        <w:rPr>
          <w:rFonts w:eastAsia="標楷體"/>
          <w:b/>
          <w:bCs/>
          <w:noProof/>
          <w:kern w:val="0"/>
          <w:sz w:val="26"/>
          <w:szCs w:val="26"/>
        </w:rPr>
        <w:t>年：</w:t>
      </w:r>
      <w:r w:rsidRPr="00D55DC6">
        <w:rPr>
          <w:rFonts w:eastAsia="標楷體"/>
          <w:b/>
          <w:noProof/>
          <w:kern w:val="0"/>
          <w:sz w:val="26"/>
          <w:szCs w:val="26"/>
        </w:rPr>
        <w:t>國際觀光重要景點</w:t>
      </w:r>
      <w:r w:rsidRPr="00D55DC6">
        <w:rPr>
          <w:rFonts w:eastAsia="標楷體"/>
          <w:noProof/>
          <w:kern w:val="0"/>
          <w:sz w:val="26"/>
          <w:szCs w:val="26"/>
        </w:rPr>
        <w:t>-</w:t>
      </w:r>
    </w:p>
    <w:p w:rsidR="00FE4B9B" w:rsidRPr="00D55DC6" w:rsidRDefault="00FE4B9B" w:rsidP="00FE4B9B">
      <w:pPr>
        <w:widowControl/>
        <w:tabs>
          <w:tab w:val="right" w:leader="dot" w:pos="9356"/>
        </w:tabs>
        <w:spacing w:line="460" w:lineRule="exact"/>
        <w:ind w:leftChars="826" w:left="2265" w:hangingChars="101" w:hanging="283"/>
        <w:jc w:val="both"/>
        <w:rPr>
          <w:rFonts w:eastAsia="標楷體"/>
          <w:noProof/>
          <w:kern w:val="0"/>
          <w:sz w:val="28"/>
          <w:szCs w:val="28"/>
        </w:rPr>
      </w:pPr>
      <w:r w:rsidRPr="00D55DC6">
        <w:rPr>
          <w:rFonts w:eastAsia="標楷體"/>
          <w:noProof/>
          <w:kern w:val="0"/>
          <w:sz w:val="28"/>
          <w:szCs w:val="28"/>
        </w:rPr>
        <w:t>1.</w:t>
      </w:r>
      <w:r w:rsidRPr="00D55DC6">
        <w:rPr>
          <w:rFonts w:eastAsia="標楷體"/>
          <w:noProof/>
          <w:kern w:val="0"/>
          <w:sz w:val="28"/>
          <w:szCs w:val="28"/>
        </w:rPr>
        <w:t>鯉魚潭風景區：環潭步道、無障礙設施、停車場等公共服務設施改善。</w:t>
      </w:r>
    </w:p>
    <w:p w:rsidR="00FE4B9B" w:rsidRPr="00D55DC6" w:rsidRDefault="00FE4B9B" w:rsidP="00FE4B9B">
      <w:pPr>
        <w:widowControl/>
        <w:tabs>
          <w:tab w:val="right" w:leader="dot" w:pos="9356"/>
        </w:tabs>
        <w:spacing w:line="460" w:lineRule="exact"/>
        <w:ind w:leftChars="826" w:left="2265" w:hangingChars="101" w:hanging="283"/>
        <w:jc w:val="both"/>
        <w:rPr>
          <w:rFonts w:eastAsia="標楷體"/>
          <w:noProof/>
          <w:kern w:val="0"/>
          <w:sz w:val="28"/>
          <w:szCs w:val="28"/>
        </w:rPr>
      </w:pPr>
      <w:r w:rsidRPr="00D55DC6">
        <w:rPr>
          <w:rFonts w:eastAsia="標楷體"/>
          <w:noProof/>
          <w:kern w:val="0"/>
          <w:sz w:val="28"/>
          <w:szCs w:val="28"/>
        </w:rPr>
        <w:t>2.</w:t>
      </w:r>
      <w:r w:rsidRPr="00D55DC6">
        <w:rPr>
          <w:rFonts w:eastAsia="標楷體"/>
          <w:noProof/>
          <w:kern w:val="0"/>
          <w:sz w:val="28"/>
          <w:szCs w:val="28"/>
        </w:rPr>
        <w:t>鹿野龍田地區：卑南遊客中心整建工程、鹿野高臺周邊及龍田自行車道公共服務設施改善。</w:t>
      </w:r>
    </w:p>
    <w:p w:rsidR="00FE4B9B" w:rsidRPr="00D55DC6" w:rsidRDefault="00FE4B9B" w:rsidP="00FE4B9B">
      <w:pPr>
        <w:widowControl/>
        <w:tabs>
          <w:tab w:val="right" w:leader="dot" w:pos="9356"/>
        </w:tabs>
        <w:spacing w:line="460" w:lineRule="exact"/>
        <w:ind w:leftChars="826" w:left="2245" w:hangingChars="101" w:hanging="263"/>
        <w:jc w:val="both"/>
        <w:rPr>
          <w:rFonts w:eastAsia="標楷體"/>
          <w:noProof/>
          <w:kern w:val="0"/>
          <w:sz w:val="26"/>
          <w:szCs w:val="26"/>
        </w:rPr>
      </w:pPr>
      <w:r w:rsidRPr="00D55DC6">
        <w:rPr>
          <w:rFonts w:eastAsia="標楷體"/>
          <w:b/>
          <w:noProof/>
          <w:kern w:val="0"/>
          <w:sz w:val="26"/>
          <w:szCs w:val="26"/>
        </w:rPr>
        <w:t>國內觀光重要景點</w:t>
      </w:r>
      <w:r w:rsidRPr="00D55DC6">
        <w:rPr>
          <w:rFonts w:eastAsia="標楷體"/>
          <w:noProof/>
          <w:kern w:val="0"/>
          <w:sz w:val="26"/>
          <w:szCs w:val="26"/>
        </w:rPr>
        <w:t>-</w:t>
      </w:r>
    </w:p>
    <w:p w:rsidR="00FE4B9B" w:rsidRPr="00D55DC6" w:rsidRDefault="00FE4B9B" w:rsidP="00FE4B9B">
      <w:pPr>
        <w:widowControl/>
        <w:tabs>
          <w:tab w:val="right" w:leader="dot" w:pos="9356"/>
        </w:tabs>
        <w:spacing w:line="460" w:lineRule="exact"/>
        <w:ind w:leftChars="826" w:left="2265" w:hangingChars="101" w:hanging="283"/>
        <w:jc w:val="both"/>
        <w:rPr>
          <w:rFonts w:eastAsia="標楷體"/>
          <w:noProof/>
          <w:kern w:val="0"/>
          <w:sz w:val="28"/>
          <w:szCs w:val="28"/>
        </w:rPr>
      </w:pPr>
      <w:r w:rsidRPr="00D55DC6">
        <w:rPr>
          <w:rFonts w:eastAsia="標楷體"/>
          <w:noProof/>
          <w:kern w:val="0"/>
          <w:sz w:val="28"/>
          <w:szCs w:val="28"/>
        </w:rPr>
        <w:t>1.</w:t>
      </w:r>
      <w:r w:rsidRPr="00D55DC6">
        <w:rPr>
          <w:rFonts w:eastAsia="標楷體"/>
          <w:noProof/>
          <w:kern w:val="0"/>
          <w:sz w:val="28"/>
          <w:szCs w:val="28"/>
        </w:rPr>
        <w:t>花東景觀廊道及綠美化：台</w:t>
      </w:r>
      <w:r w:rsidRPr="00D55DC6">
        <w:rPr>
          <w:rFonts w:eastAsia="標楷體"/>
          <w:noProof/>
          <w:kern w:val="0"/>
          <w:sz w:val="28"/>
          <w:szCs w:val="28"/>
        </w:rPr>
        <w:t>9</w:t>
      </w:r>
      <w:r w:rsidRPr="00D55DC6">
        <w:rPr>
          <w:rFonts w:eastAsia="標楷體"/>
          <w:noProof/>
          <w:kern w:val="0"/>
          <w:sz w:val="28"/>
          <w:szCs w:val="28"/>
        </w:rPr>
        <w:t>線等景觀路廊綠美化及公共服務設施改善。</w:t>
      </w:r>
    </w:p>
    <w:p w:rsidR="00FE4B9B" w:rsidRPr="00D55DC6" w:rsidRDefault="00FE4B9B" w:rsidP="00FE4B9B">
      <w:pPr>
        <w:widowControl/>
        <w:tabs>
          <w:tab w:val="right" w:leader="dot" w:pos="9356"/>
        </w:tabs>
        <w:spacing w:line="460" w:lineRule="exact"/>
        <w:ind w:leftChars="826" w:left="2265" w:hangingChars="101" w:hanging="283"/>
        <w:jc w:val="both"/>
        <w:rPr>
          <w:rFonts w:eastAsia="標楷體"/>
          <w:noProof/>
          <w:kern w:val="0"/>
          <w:sz w:val="28"/>
          <w:szCs w:val="28"/>
        </w:rPr>
      </w:pPr>
      <w:r w:rsidRPr="00D55DC6">
        <w:rPr>
          <w:rFonts w:eastAsia="標楷體"/>
          <w:noProof/>
          <w:kern w:val="0"/>
          <w:sz w:val="28"/>
          <w:szCs w:val="28"/>
        </w:rPr>
        <w:t>2.</w:t>
      </w:r>
      <w:r w:rsidRPr="00D55DC6">
        <w:rPr>
          <w:rFonts w:eastAsia="標楷體"/>
          <w:noProof/>
          <w:kern w:val="0"/>
          <w:sz w:val="28"/>
          <w:szCs w:val="28"/>
        </w:rPr>
        <w:t>原住民族地區觀光發展場域規劃建置：原住民地區部落觀光公共服務設施改善。</w:t>
      </w:r>
    </w:p>
    <w:p w:rsidR="00FE4B9B" w:rsidRPr="00D55DC6" w:rsidRDefault="00FE4B9B" w:rsidP="00FE4B9B">
      <w:pPr>
        <w:widowControl/>
        <w:tabs>
          <w:tab w:val="right" w:leader="dot" w:pos="9356"/>
        </w:tabs>
        <w:spacing w:line="460" w:lineRule="exact"/>
        <w:ind w:leftChars="826" w:left="2265" w:hangingChars="101" w:hanging="283"/>
        <w:jc w:val="both"/>
        <w:rPr>
          <w:rFonts w:eastAsia="標楷體"/>
          <w:noProof/>
          <w:kern w:val="0"/>
          <w:sz w:val="28"/>
          <w:szCs w:val="28"/>
        </w:rPr>
      </w:pPr>
      <w:r w:rsidRPr="00D55DC6">
        <w:rPr>
          <w:rFonts w:eastAsia="標楷體"/>
          <w:noProof/>
          <w:kern w:val="0"/>
          <w:sz w:val="28"/>
          <w:szCs w:val="28"/>
        </w:rPr>
        <w:t>3.</w:t>
      </w:r>
      <w:r w:rsidRPr="00D55DC6">
        <w:rPr>
          <w:rFonts w:eastAsia="標楷體"/>
          <w:noProof/>
          <w:kern w:val="0"/>
          <w:sz w:val="28"/>
          <w:szCs w:val="28"/>
        </w:rPr>
        <w:t>友善自行車旅遊環境：瑞穗、池上等自行車道及鐵馬驛站公共服務設施改善。</w:t>
      </w:r>
    </w:p>
    <w:p w:rsidR="00FE4B9B" w:rsidRPr="00D55DC6" w:rsidRDefault="00FE4B9B" w:rsidP="00FE4B9B">
      <w:pPr>
        <w:widowControl/>
        <w:tabs>
          <w:tab w:val="right" w:leader="dot" w:pos="9356"/>
        </w:tabs>
        <w:spacing w:line="460" w:lineRule="exact"/>
        <w:ind w:leftChars="826" w:left="2265" w:hangingChars="101" w:hanging="283"/>
        <w:jc w:val="both"/>
        <w:rPr>
          <w:rFonts w:eastAsia="標楷體"/>
          <w:noProof/>
          <w:kern w:val="0"/>
          <w:sz w:val="28"/>
          <w:szCs w:val="28"/>
        </w:rPr>
      </w:pPr>
      <w:r w:rsidRPr="00D55DC6">
        <w:rPr>
          <w:rFonts w:eastAsia="標楷體"/>
          <w:noProof/>
          <w:kern w:val="0"/>
          <w:sz w:val="28"/>
          <w:szCs w:val="28"/>
        </w:rPr>
        <w:t>4.</w:t>
      </w:r>
      <w:r w:rsidRPr="00D55DC6">
        <w:rPr>
          <w:rFonts w:eastAsia="標楷體"/>
          <w:noProof/>
          <w:kern w:val="0"/>
          <w:sz w:val="28"/>
          <w:szCs w:val="28"/>
        </w:rPr>
        <w:t>遊憩據點公共服務設施及環境改善：羅山遊客中心周邊公共服務設施改善、卑南遊客中心整建工程。</w:t>
      </w:r>
    </w:p>
    <w:p w:rsidR="00FE4B9B" w:rsidRPr="00D55DC6" w:rsidRDefault="00FE4B9B" w:rsidP="00FE4B9B">
      <w:pPr>
        <w:widowControl/>
        <w:tabs>
          <w:tab w:val="right" w:leader="dot" w:pos="9356"/>
        </w:tabs>
        <w:spacing w:line="460" w:lineRule="exact"/>
        <w:ind w:leftChars="410" w:left="1895" w:hangingChars="350" w:hanging="911"/>
        <w:jc w:val="both"/>
        <w:rPr>
          <w:rFonts w:eastAsia="標楷體"/>
          <w:noProof/>
          <w:kern w:val="0"/>
          <w:sz w:val="26"/>
          <w:szCs w:val="26"/>
        </w:rPr>
      </w:pPr>
      <w:r w:rsidRPr="00D55DC6">
        <w:rPr>
          <w:rFonts w:eastAsia="標楷體"/>
          <w:b/>
          <w:bCs/>
          <w:noProof/>
          <w:kern w:val="0"/>
          <w:sz w:val="26"/>
          <w:szCs w:val="26"/>
        </w:rPr>
        <w:t>106</w:t>
      </w:r>
      <w:r w:rsidRPr="00D55DC6">
        <w:rPr>
          <w:rFonts w:eastAsia="標楷體"/>
          <w:b/>
          <w:bCs/>
          <w:noProof/>
          <w:kern w:val="0"/>
          <w:sz w:val="26"/>
          <w:szCs w:val="26"/>
        </w:rPr>
        <w:t>年：</w:t>
      </w:r>
      <w:r w:rsidRPr="00D55DC6">
        <w:rPr>
          <w:rFonts w:eastAsia="標楷體"/>
          <w:b/>
          <w:noProof/>
          <w:kern w:val="0"/>
          <w:sz w:val="26"/>
          <w:szCs w:val="26"/>
        </w:rPr>
        <w:t>國際觀光重要景點</w:t>
      </w:r>
      <w:r w:rsidRPr="00D55DC6">
        <w:rPr>
          <w:rFonts w:eastAsia="標楷體"/>
          <w:noProof/>
          <w:kern w:val="0"/>
          <w:sz w:val="26"/>
          <w:szCs w:val="26"/>
        </w:rPr>
        <w:t>-</w:t>
      </w:r>
    </w:p>
    <w:p w:rsidR="00FE4B9B" w:rsidRPr="00D55DC6" w:rsidRDefault="00FE4B9B" w:rsidP="00FE4B9B">
      <w:pPr>
        <w:widowControl/>
        <w:tabs>
          <w:tab w:val="right" w:leader="dot" w:pos="9356"/>
        </w:tabs>
        <w:spacing w:line="460" w:lineRule="exact"/>
        <w:ind w:leftChars="826" w:left="2265" w:hangingChars="101" w:hanging="283"/>
        <w:jc w:val="both"/>
        <w:rPr>
          <w:rFonts w:eastAsia="標楷體"/>
          <w:noProof/>
          <w:kern w:val="0"/>
          <w:sz w:val="28"/>
          <w:szCs w:val="28"/>
        </w:rPr>
      </w:pPr>
      <w:r w:rsidRPr="00D55DC6">
        <w:rPr>
          <w:rFonts w:eastAsia="標楷體"/>
          <w:noProof/>
          <w:kern w:val="0"/>
          <w:sz w:val="28"/>
          <w:szCs w:val="28"/>
        </w:rPr>
        <w:t>1.</w:t>
      </w:r>
      <w:r w:rsidRPr="00D55DC6">
        <w:rPr>
          <w:rFonts w:eastAsia="標楷體"/>
          <w:noProof/>
          <w:kern w:val="0"/>
          <w:sz w:val="28"/>
          <w:szCs w:val="28"/>
        </w:rPr>
        <w:t>鯉魚潭風景區：鯉魚潭公共設施新建工程、環潭步道、碼頭及水域設施施改善。</w:t>
      </w:r>
    </w:p>
    <w:p w:rsidR="00FE4B9B" w:rsidRPr="00D55DC6" w:rsidRDefault="00FE4B9B" w:rsidP="00FE4B9B">
      <w:pPr>
        <w:widowControl/>
        <w:tabs>
          <w:tab w:val="right" w:leader="dot" w:pos="9356"/>
        </w:tabs>
        <w:spacing w:line="460" w:lineRule="exact"/>
        <w:ind w:leftChars="826" w:left="2265" w:hangingChars="101" w:hanging="283"/>
        <w:jc w:val="both"/>
        <w:rPr>
          <w:rFonts w:eastAsia="標楷體"/>
          <w:noProof/>
          <w:kern w:val="0"/>
          <w:sz w:val="26"/>
          <w:szCs w:val="26"/>
        </w:rPr>
      </w:pPr>
      <w:r w:rsidRPr="00D55DC6">
        <w:rPr>
          <w:rFonts w:eastAsia="標楷體"/>
          <w:noProof/>
          <w:kern w:val="0"/>
          <w:sz w:val="28"/>
          <w:szCs w:val="28"/>
        </w:rPr>
        <w:lastRenderedPageBreak/>
        <w:t>2.</w:t>
      </w:r>
      <w:r w:rsidRPr="00D55DC6">
        <w:rPr>
          <w:rFonts w:eastAsia="標楷體"/>
          <w:noProof/>
          <w:kern w:val="0"/>
          <w:sz w:val="28"/>
          <w:szCs w:val="28"/>
        </w:rPr>
        <w:t>鹿野龍田地區：龍田地區自行車道改善工程及空域設施改善工程。</w:t>
      </w:r>
      <w:r w:rsidRPr="00D55DC6">
        <w:rPr>
          <w:rFonts w:eastAsia="標楷體"/>
          <w:noProof/>
          <w:kern w:val="0"/>
          <w:sz w:val="28"/>
          <w:szCs w:val="28"/>
        </w:rPr>
        <w:br/>
      </w:r>
      <w:r w:rsidRPr="00D55DC6">
        <w:rPr>
          <w:rFonts w:eastAsia="標楷體"/>
          <w:b/>
          <w:noProof/>
          <w:kern w:val="0"/>
          <w:sz w:val="26"/>
          <w:szCs w:val="26"/>
        </w:rPr>
        <w:t>國內觀光重要景點</w:t>
      </w:r>
      <w:r w:rsidRPr="00D55DC6">
        <w:rPr>
          <w:rFonts w:eastAsia="標楷體"/>
          <w:noProof/>
          <w:kern w:val="0"/>
          <w:sz w:val="26"/>
          <w:szCs w:val="26"/>
        </w:rPr>
        <w:t>-</w:t>
      </w:r>
    </w:p>
    <w:p w:rsidR="00FE4B9B" w:rsidRPr="00D55DC6" w:rsidRDefault="00FE4B9B" w:rsidP="00FE4B9B">
      <w:pPr>
        <w:widowControl/>
        <w:tabs>
          <w:tab w:val="right" w:leader="dot" w:pos="9356"/>
        </w:tabs>
        <w:spacing w:line="460" w:lineRule="exact"/>
        <w:ind w:leftChars="826" w:left="2265" w:hangingChars="101" w:hanging="283"/>
        <w:jc w:val="both"/>
        <w:rPr>
          <w:rFonts w:eastAsia="標楷體"/>
          <w:noProof/>
          <w:kern w:val="0"/>
          <w:sz w:val="28"/>
          <w:szCs w:val="28"/>
        </w:rPr>
      </w:pPr>
      <w:r w:rsidRPr="00D55DC6">
        <w:rPr>
          <w:rFonts w:eastAsia="標楷體"/>
          <w:noProof/>
          <w:kern w:val="0"/>
          <w:sz w:val="28"/>
          <w:szCs w:val="28"/>
        </w:rPr>
        <w:t>1.</w:t>
      </w:r>
      <w:r w:rsidRPr="00D55DC6">
        <w:rPr>
          <w:rFonts w:eastAsia="標楷體"/>
          <w:noProof/>
          <w:kern w:val="0"/>
          <w:sz w:val="28"/>
          <w:szCs w:val="28"/>
        </w:rPr>
        <w:t>花東景觀廊道及綠美化：</w:t>
      </w:r>
      <w:r w:rsidRPr="00D55DC6">
        <w:rPr>
          <w:rFonts w:eastAsia="標楷體"/>
          <w:noProof/>
          <w:kern w:val="0"/>
          <w:sz w:val="28"/>
          <w:szCs w:val="28"/>
        </w:rPr>
        <w:t>193</w:t>
      </w:r>
      <w:r w:rsidRPr="00D55DC6">
        <w:rPr>
          <w:rFonts w:eastAsia="標楷體"/>
          <w:noProof/>
          <w:kern w:val="0"/>
          <w:sz w:val="28"/>
          <w:szCs w:val="28"/>
        </w:rPr>
        <w:t>、</w:t>
      </w:r>
      <w:r w:rsidRPr="00D55DC6">
        <w:rPr>
          <w:rFonts w:eastAsia="標楷體"/>
          <w:noProof/>
          <w:kern w:val="0"/>
          <w:sz w:val="28"/>
          <w:szCs w:val="28"/>
        </w:rPr>
        <w:t>197</w:t>
      </w:r>
      <w:r w:rsidRPr="00D55DC6">
        <w:rPr>
          <w:rFonts w:eastAsia="標楷體"/>
          <w:noProof/>
          <w:kern w:val="0"/>
          <w:sz w:val="28"/>
          <w:szCs w:val="28"/>
        </w:rPr>
        <w:t>縣道景觀路廊綠美化及公共服務設施改善。</w:t>
      </w:r>
    </w:p>
    <w:p w:rsidR="00FE4B9B" w:rsidRPr="00D55DC6" w:rsidRDefault="00FE4B9B" w:rsidP="00FE4B9B">
      <w:pPr>
        <w:widowControl/>
        <w:tabs>
          <w:tab w:val="right" w:leader="dot" w:pos="9356"/>
        </w:tabs>
        <w:spacing w:line="460" w:lineRule="exact"/>
        <w:ind w:leftChars="826" w:left="2265" w:hangingChars="101" w:hanging="283"/>
        <w:jc w:val="both"/>
        <w:rPr>
          <w:rFonts w:eastAsia="標楷體"/>
          <w:noProof/>
          <w:kern w:val="0"/>
          <w:sz w:val="28"/>
          <w:szCs w:val="28"/>
        </w:rPr>
      </w:pPr>
      <w:r w:rsidRPr="00D55DC6">
        <w:rPr>
          <w:rFonts w:eastAsia="標楷體"/>
          <w:noProof/>
          <w:kern w:val="0"/>
          <w:sz w:val="28"/>
          <w:szCs w:val="28"/>
        </w:rPr>
        <w:t>2.</w:t>
      </w:r>
      <w:r w:rsidRPr="00D55DC6">
        <w:rPr>
          <w:rFonts w:eastAsia="標楷體"/>
          <w:noProof/>
          <w:kern w:val="0"/>
          <w:sz w:val="28"/>
          <w:szCs w:val="28"/>
        </w:rPr>
        <w:t>原住民族地區觀光發展場域規劃建置：原住民地部落觀光公共服務設施改善。</w:t>
      </w:r>
    </w:p>
    <w:p w:rsidR="00FE4B9B" w:rsidRPr="00D55DC6" w:rsidRDefault="00FE4B9B" w:rsidP="00FE4B9B">
      <w:pPr>
        <w:widowControl/>
        <w:tabs>
          <w:tab w:val="right" w:leader="dot" w:pos="9356"/>
        </w:tabs>
        <w:spacing w:line="460" w:lineRule="exact"/>
        <w:ind w:leftChars="826" w:left="2265" w:hangingChars="101" w:hanging="283"/>
        <w:jc w:val="both"/>
        <w:rPr>
          <w:rFonts w:eastAsia="標楷體"/>
          <w:noProof/>
          <w:kern w:val="0"/>
          <w:sz w:val="28"/>
          <w:szCs w:val="28"/>
        </w:rPr>
      </w:pPr>
      <w:r w:rsidRPr="00D55DC6">
        <w:rPr>
          <w:rFonts w:eastAsia="標楷體"/>
          <w:noProof/>
          <w:kern w:val="0"/>
          <w:sz w:val="28"/>
          <w:szCs w:val="28"/>
        </w:rPr>
        <w:t>3.</w:t>
      </w:r>
      <w:r w:rsidRPr="00D55DC6">
        <w:rPr>
          <w:rFonts w:eastAsia="標楷體"/>
          <w:noProof/>
          <w:kern w:val="0"/>
          <w:sz w:val="28"/>
          <w:szCs w:val="28"/>
        </w:rPr>
        <w:t>友善自行車旅遊環境：關山、羅山等自行車道及鐵馬驛站公共服務設施改善。</w:t>
      </w:r>
    </w:p>
    <w:p w:rsidR="00FE4B9B" w:rsidRPr="00D55DC6" w:rsidRDefault="00FE4B9B" w:rsidP="00FE4B9B">
      <w:pPr>
        <w:widowControl/>
        <w:tabs>
          <w:tab w:val="right" w:leader="dot" w:pos="9356"/>
        </w:tabs>
        <w:spacing w:line="460" w:lineRule="exact"/>
        <w:ind w:leftChars="826" w:left="2265" w:hangingChars="101" w:hanging="283"/>
        <w:jc w:val="both"/>
        <w:rPr>
          <w:rFonts w:eastAsia="標楷體"/>
          <w:noProof/>
          <w:kern w:val="0"/>
          <w:sz w:val="28"/>
          <w:szCs w:val="28"/>
        </w:rPr>
      </w:pPr>
      <w:r w:rsidRPr="00D55DC6">
        <w:rPr>
          <w:rFonts w:eastAsia="標楷體"/>
          <w:noProof/>
          <w:kern w:val="0"/>
          <w:sz w:val="28"/>
          <w:szCs w:val="28"/>
        </w:rPr>
        <w:t>4.</w:t>
      </w:r>
      <w:r w:rsidRPr="00D55DC6">
        <w:rPr>
          <w:rFonts w:eastAsia="標楷體"/>
          <w:noProof/>
          <w:kern w:val="0"/>
          <w:sz w:val="28"/>
          <w:szCs w:val="28"/>
        </w:rPr>
        <w:t>遊憩據點公共服務設施及環境改善：六十石周邊環境及公共服務設施改善、鳳林遊憩區公共服務設施改善、卑南遊客中心周邊公共服務設施改善。</w:t>
      </w:r>
    </w:p>
    <w:p w:rsidR="00FE4B9B" w:rsidRPr="00D55DC6" w:rsidRDefault="00FE4B9B" w:rsidP="00FE4B9B">
      <w:pPr>
        <w:widowControl/>
        <w:tabs>
          <w:tab w:val="right" w:leader="dot" w:pos="9356"/>
        </w:tabs>
        <w:spacing w:line="460" w:lineRule="exact"/>
        <w:ind w:leftChars="410" w:left="1895" w:hangingChars="350" w:hanging="911"/>
        <w:jc w:val="both"/>
        <w:rPr>
          <w:rFonts w:eastAsia="標楷體"/>
          <w:noProof/>
          <w:kern w:val="0"/>
          <w:sz w:val="26"/>
          <w:szCs w:val="26"/>
        </w:rPr>
      </w:pPr>
      <w:r w:rsidRPr="00D55DC6">
        <w:rPr>
          <w:rFonts w:eastAsia="標楷體"/>
          <w:b/>
          <w:bCs/>
          <w:noProof/>
          <w:kern w:val="0"/>
          <w:sz w:val="26"/>
          <w:szCs w:val="26"/>
        </w:rPr>
        <w:t>107</w:t>
      </w:r>
      <w:r w:rsidRPr="00D55DC6">
        <w:rPr>
          <w:rFonts w:eastAsia="標楷體"/>
          <w:b/>
          <w:bCs/>
          <w:noProof/>
          <w:kern w:val="0"/>
          <w:sz w:val="26"/>
          <w:szCs w:val="26"/>
        </w:rPr>
        <w:t>年：</w:t>
      </w:r>
      <w:r w:rsidRPr="00D55DC6">
        <w:rPr>
          <w:rFonts w:eastAsia="標楷體"/>
          <w:b/>
          <w:noProof/>
          <w:kern w:val="0"/>
          <w:sz w:val="26"/>
          <w:szCs w:val="26"/>
        </w:rPr>
        <w:t>國際觀光重要景點</w:t>
      </w:r>
      <w:r w:rsidRPr="00D55DC6">
        <w:rPr>
          <w:rFonts w:eastAsia="標楷體"/>
          <w:noProof/>
          <w:kern w:val="0"/>
          <w:sz w:val="26"/>
          <w:szCs w:val="26"/>
        </w:rPr>
        <w:t>-</w:t>
      </w:r>
    </w:p>
    <w:p w:rsidR="00FE4B9B" w:rsidRPr="00D55DC6" w:rsidRDefault="00FE4B9B" w:rsidP="00FE4B9B">
      <w:pPr>
        <w:widowControl/>
        <w:tabs>
          <w:tab w:val="right" w:leader="dot" w:pos="9356"/>
        </w:tabs>
        <w:spacing w:line="460" w:lineRule="exact"/>
        <w:ind w:leftChars="826" w:left="2265" w:hangingChars="101" w:hanging="283"/>
        <w:jc w:val="both"/>
        <w:rPr>
          <w:rFonts w:eastAsia="標楷體"/>
          <w:noProof/>
          <w:kern w:val="0"/>
          <w:sz w:val="28"/>
          <w:szCs w:val="28"/>
        </w:rPr>
      </w:pPr>
      <w:r w:rsidRPr="00D55DC6">
        <w:rPr>
          <w:rFonts w:eastAsia="標楷體"/>
          <w:noProof/>
          <w:kern w:val="0"/>
          <w:sz w:val="28"/>
          <w:szCs w:val="28"/>
        </w:rPr>
        <w:t>1.</w:t>
      </w:r>
      <w:r w:rsidRPr="00D55DC6">
        <w:rPr>
          <w:rFonts w:eastAsia="標楷體"/>
          <w:noProof/>
          <w:kern w:val="0"/>
          <w:sz w:val="28"/>
          <w:szCs w:val="28"/>
        </w:rPr>
        <w:t>鯉魚潭風景區：遊客中心周邊附屬設施整建、環潭自行車道、碼頭及水域設施等改善。</w:t>
      </w:r>
    </w:p>
    <w:p w:rsidR="00FE4B9B" w:rsidRPr="00D55DC6" w:rsidRDefault="00FE4B9B" w:rsidP="00FE4B9B">
      <w:pPr>
        <w:widowControl/>
        <w:tabs>
          <w:tab w:val="right" w:leader="dot" w:pos="9356"/>
        </w:tabs>
        <w:spacing w:line="460" w:lineRule="exact"/>
        <w:ind w:leftChars="826" w:left="1982"/>
        <w:jc w:val="both"/>
        <w:rPr>
          <w:rFonts w:eastAsia="標楷體"/>
          <w:noProof/>
          <w:kern w:val="0"/>
          <w:sz w:val="28"/>
          <w:szCs w:val="28"/>
        </w:rPr>
      </w:pPr>
      <w:r w:rsidRPr="00D55DC6">
        <w:rPr>
          <w:rFonts w:eastAsia="標楷體"/>
          <w:noProof/>
          <w:kern w:val="0"/>
          <w:sz w:val="28"/>
          <w:szCs w:val="28"/>
        </w:rPr>
        <w:t>2.</w:t>
      </w:r>
      <w:r w:rsidRPr="00D55DC6">
        <w:rPr>
          <w:rFonts w:eastAsia="標楷體"/>
          <w:noProof/>
          <w:kern w:val="0"/>
          <w:sz w:val="28"/>
          <w:szCs w:val="28"/>
        </w:rPr>
        <w:t>鹿野龍田地區：鹿野高台及龍田地區公共服務設施改善。</w:t>
      </w:r>
      <w:r w:rsidRPr="00D55DC6">
        <w:rPr>
          <w:rFonts w:eastAsia="標楷體"/>
          <w:b/>
          <w:noProof/>
          <w:kern w:val="0"/>
          <w:sz w:val="26"/>
          <w:szCs w:val="26"/>
        </w:rPr>
        <w:t>國內觀光重要景點</w:t>
      </w:r>
      <w:r w:rsidRPr="00D55DC6">
        <w:rPr>
          <w:rFonts w:eastAsia="標楷體"/>
          <w:noProof/>
          <w:kern w:val="0"/>
          <w:sz w:val="26"/>
          <w:szCs w:val="26"/>
        </w:rPr>
        <w:t>-</w:t>
      </w:r>
      <w:r w:rsidRPr="00D55DC6">
        <w:rPr>
          <w:rFonts w:eastAsia="標楷體"/>
          <w:noProof/>
          <w:kern w:val="0"/>
          <w:sz w:val="26"/>
          <w:szCs w:val="26"/>
        </w:rPr>
        <w:br/>
      </w:r>
      <w:r w:rsidRPr="00D55DC6">
        <w:rPr>
          <w:rFonts w:eastAsia="標楷體"/>
          <w:noProof/>
          <w:kern w:val="0"/>
          <w:sz w:val="28"/>
          <w:szCs w:val="28"/>
        </w:rPr>
        <w:t>1.</w:t>
      </w:r>
      <w:r w:rsidRPr="00D55DC6">
        <w:rPr>
          <w:rFonts w:eastAsia="標楷體"/>
          <w:noProof/>
          <w:kern w:val="0"/>
          <w:sz w:val="28"/>
          <w:szCs w:val="28"/>
        </w:rPr>
        <w:t>花東景觀廊道及綠美化：花東景觀廊道及綠美化改善。</w:t>
      </w:r>
    </w:p>
    <w:p w:rsidR="00FE4B9B" w:rsidRPr="00D55DC6" w:rsidRDefault="00FE4B9B" w:rsidP="00FE4B9B">
      <w:pPr>
        <w:widowControl/>
        <w:tabs>
          <w:tab w:val="right" w:leader="dot" w:pos="9356"/>
        </w:tabs>
        <w:spacing w:line="460" w:lineRule="exact"/>
        <w:ind w:leftChars="826" w:left="2265" w:hangingChars="101" w:hanging="283"/>
        <w:jc w:val="both"/>
        <w:rPr>
          <w:rFonts w:eastAsia="標楷體"/>
          <w:noProof/>
          <w:kern w:val="0"/>
          <w:sz w:val="28"/>
          <w:szCs w:val="28"/>
        </w:rPr>
      </w:pPr>
      <w:r w:rsidRPr="00D55DC6">
        <w:rPr>
          <w:rFonts w:eastAsia="標楷體"/>
          <w:noProof/>
          <w:kern w:val="0"/>
          <w:sz w:val="28"/>
          <w:szCs w:val="28"/>
        </w:rPr>
        <w:t>2.</w:t>
      </w:r>
      <w:r w:rsidRPr="00D55DC6">
        <w:rPr>
          <w:rFonts w:eastAsia="標楷體"/>
          <w:noProof/>
          <w:kern w:val="0"/>
          <w:sz w:val="28"/>
          <w:szCs w:val="28"/>
        </w:rPr>
        <w:t>原住民族地區觀光發展場域規劃建置：原住民地區環境整治及部落觀光服務設施改善。</w:t>
      </w:r>
    </w:p>
    <w:p w:rsidR="00FE4B9B" w:rsidRPr="00D55DC6" w:rsidRDefault="00FE4B9B" w:rsidP="00FE4B9B">
      <w:pPr>
        <w:widowControl/>
        <w:tabs>
          <w:tab w:val="right" w:leader="dot" w:pos="9356"/>
        </w:tabs>
        <w:spacing w:line="460" w:lineRule="exact"/>
        <w:ind w:leftChars="826" w:left="2265" w:hangingChars="101" w:hanging="283"/>
        <w:jc w:val="both"/>
        <w:rPr>
          <w:rFonts w:eastAsia="標楷體"/>
          <w:noProof/>
          <w:kern w:val="0"/>
          <w:sz w:val="28"/>
          <w:szCs w:val="28"/>
        </w:rPr>
      </w:pPr>
      <w:r w:rsidRPr="00D55DC6">
        <w:rPr>
          <w:rFonts w:eastAsia="標楷體"/>
          <w:noProof/>
          <w:kern w:val="0"/>
          <w:sz w:val="28"/>
          <w:szCs w:val="28"/>
        </w:rPr>
        <w:t>3.</w:t>
      </w:r>
      <w:r w:rsidRPr="00D55DC6">
        <w:rPr>
          <w:rFonts w:eastAsia="標楷體"/>
          <w:noProof/>
          <w:kern w:val="0"/>
          <w:sz w:val="28"/>
          <w:szCs w:val="28"/>
        </w:rPr>
        <w:t>友善自行車旅遊環境：玉富自行車及鐵馬驛站公共服務設施改善。</w:t>
      </w:r>
    </w:p>
    <w:p w:rsidR="00FE4B9B" w:rsidRPr="00D55DC6" w:rsidRDefault="00FE4B9B" w:rsidP="00FE4B9B">
      <w:pPr>
        <w:widowControl/>
        <w:tabs>
          <w:tab w:val="right" w:leader="dot" w:pos="9356"/>
        </w:tabs>
        <w:spacing w:line="460" w:lineRule="exact"/>
        <w:ind w:leftChars="826" w:left="2265" w:hangingChars="101" w:hanging="283"/>
        <w:jc w:val="both"/>
        <w:rPr>
          <w:rFonts w:eastAsia="標楷體"/>
          <w:noProof/>
          <w:kern w:val="0"/>
          <w:sz w:val="28"/>
          <w:szCs w:val="28"/>
        </w:rPr>
      </w:pPr>
      <w:r w:rsidRPr="00D55DC6">
        <w:rPr>
          <w:rFonts w:eastAsia="標楷體"/>
          <w:noProof/>
          <w:kern w:val="0"/>
          <w:sz w:val="28"/>
          <w:szCs w:val="28"/>
        </w:rPr>
        <w:t>4.</w:t>
      </w:r>
      <w:r w:rsidRPr="00D55DC6">
        <w:rPr>
          <w:rFonts w:eastAsia="標楷體"/>
          <w:noProof/>
          <w:kern w:val="0"/>
          <w:sz w:val="28"/>
          <w:szCs w:val="28"/>
        </w:rPr>
        <w:t>遊憩據點公共服務設施及環境改善：瑞穗溫泉區公共服務設施及環境改善、鳳林遊憩區公共服務設施改善。</w:t>
      </w:r>
    </w:p>
    <w:p w:rsidR="00FE4B9B" w:rsidRPr="00D55DC6" w:rsidRDefault="00FE4B9B" w:rsidP="00FE4B9B">
      <w:pPr>
        <w:widowControl/>
        <w:tabs>
          <w:tab w:val="right" w:leader="dot" w:pos="9356"/>
        </w:tabs>
        <w:spacing w:line="460" w:lineRule="exact"/>
        <w:ind w:leftChars="410" w:left="1895" w:hangingChars="350" w:hanging="911"/>
        <w:jc w:val="both"/>
        <w:rPr>
          <w:rFonts w:eastAsia="標楷體"/>
          <w:noProof/>
          <w:kern w:val="0"/>
          <w:sz w:val="26"/>
          <w:szCs w:val="26"/>
        </w:rPr>
      </w:pPr>
      <w:r w:rsidRPr="00D55DC6">
        <w:rPr>
          <w:rFonts w:eastAsia="標楷體"/>
          <w:b/>
          <w:bCs/>
          <w:noProof/>
          <w:kern w:val="0"/>
          <w:sz w:val="26"/>
          <w:szCs w:val="26"/>
        </w:rPr>
        <w:t>108</w:t>
      </w:r>
      <w:r w:rsidRPr="00D55DC6">
        <w:rPr>
          <w:rFonts w:eastAsia="標楷體"/>
          <w:b/>
          <w:bCs/>
          <w:noProof/>
          <w:kern w:val="0"/>
          <w:sz w:val="26"/>
          <w:szCs w:val="26"/>
        </w:rPr>
        <w:t>年：</w:t>
      </w:r>
      <w:r w:rsidRPr="00D55DC6">
        <w:rPr>
          <w:rFonts w:eastAsia="標楷體"/>
          <w:b/>
          <w:noProof/>
          <w:kern w:val="0"/>
          <w:sz w:val="26"/>
          <w:szCs w:val="26"/>
        </w:rPr>
        <w:t>國際觀光重要景點</w:t>
      </w:r>
      <w:r w:rsidRPr="00D55DC6">
        <w:rPr>
          <w:rFonts w:eastAsia="標楷體"/>
          <w:noProof/>
          <w:kern w:val="0"/>
          <w:sz w:val="26"/>
          <w:szCs w:val="26"/>
        </w:rPr>
        <w:t>-</w:t>
      </w:r>
    </w:p>
    <w:p w:rsidR="00FE4B9B" w:rsidRPr="00D55DC6" w:rsidRDefault="00FE4B9B" w:rsidP="00FE4B9B">
      <w:pPr>
        <w:widowControl/>
        <w:tabs>
          <w:tab w:val="right" w:leader="dot" w:pos="9356"/>
        </w:tabs>
        <w:spacing w:line="460" w:lineRule="exact"/>
        <w:ind w:leftChars="826" w:left="2265" w:hangingChars="101" w:hanging="283"/>
        <w:jc w:val="both"/>
        <w:rPr>
          <w:rFonts w:eastAsia="標楷體"/>
          <w:noProof/>
          <w:kern w:val="0"/>
          <w:sz w:val="28"/>
          <w:szCs w:val="28"/>
        </w:rPr>
      </w:pPr>
      <w:r w:rsidRPr="00D55DC6">
        <w:rPr>
          <w:rFonts w:eastAsia="標楷體"/>
          <w:noProof/>
          <w:kern w:val="0"/>
          <w:sz w:val="28"/>
          <w:szCs w:val="28"/>
        </w:rPr>
        <w:t>1.</w:t>
      </w:r>
      <w:r w:rsidRPr="00D55DC6">
        <w:rPr>
          <w:rFonts w:eastAsia="標楷體"/>
          <w:noProof/>
          <w:kern w:val="0"/>
          <w:sz w:val="28"/>
          <w:szCs w:val="28"/>
        </w:rPr>
        <w:t>鯉魚潭風景區：鯉魚潭遊客中心周邊附屬設施整建、環潭公共服務設施改善。</w:t>
      </w:r>
    </w:p>
    <w:p w:rsidR="00FE4B9B" w:rsidRPr="00D55DC6" w:rsidRDefault="00FE4B9B" w:rsidP="00FE4B9B">
      <w:pPr>
        <w:widowControl/>
        <w:tabs>
          <w:tab w:val="right" w:leader="dot" w:pos="9356"/>
        </w:tabs>
        <w:spacing w:line="460" w:lineRule="exact"/>
        <w:ind w:leftChars="826" w:left="2265" w:hangingChars="101" w:hanging="283"/>
        <w:jc w:val="both"/>
        <w:rPr>
          <w:rFonts w:eastAsia="標楷體"/>
          <w:noProof/>
          <w:kern w:val="0"/>
          <w:sz w:val="28"/>
          <w:szCs w:val="28"/>
        </w:rPr>
      </w:pPr>
      <w:r w:rsidRPr="00D55DC6">
        <w:rPr>
          <w:rFonts w:eastAsia="標楷體"/>
          <w:noProof/>
          <w:kern w:val="0"/>
          <w:sz w:val="28"/>
          <w:szCs w:val="28"/>
        </w:rPr>
        <w:t>2.</w:t>
      </w:r>
      <w:r w:rsidRPr="00D55DC6">
        <w:rPr>
          <w:rFonts w:eastAsia="標楷體"/>
          <w:noProof/>
          <w:kern w:val="0"/>
          <w:sz w:val="28"/>
          <w:szCs w:val="28"/>
        </w:rPr>
        <w:t>鹿野龍田地區：鹿野高台景觀暨公共服務設施改善。</w:t>
      </w:r>
    </w:p>
    <w:p w:rsidR="00FE4B9B" w:rsidRPr="00D55DC6" w:rsidRDefault="00FE4B9B" w:rsidP="00FE4B9B">
      <w:pPr>
        <w:widowControl/>
        <w:tabs>
          <w:tab w:val="right" w:leader="dot" w:pos="9356"/>
        </w:tabs>
        <w:spacing w:line="460" w:lineRule="exact"/>
        <w:ind w:leftChars="826" w:left="2245" w:hangingChars="101" w:hanging="263"/>
        <w:jc w:val="both"/>
        <w:rPr>
          <w:rFonts w:eastAsia="標楷體"/>
          <w:noProof/>
          <w:kern w:val="0"/>
          <w:sz w:val="26"/>
          <w:szCs w:val="26"/>
        </w:rPr>
      </w:pPr>
      <w:r w:rsidRPr="00D55DC6">
        <w:rPr>
          <w:rFonts w:eastAsia="標楷體"/>
          <w:b/>
          <w:noProof/>
          <w:kern w:val="0"/>
          <w:sz w:val="26"/>
          <w:szCs w:val="26"/>
        </w:rPr>
        <w:t>國內觀光重要景點</w:t>
      </w:r>
      <w:r w:rsidRPr="00D55DC6">
        <w:rPr>
          <w:rFonts w:eastAsia="標楷體"/>
          <w:noProof/>
          <w:kern w:val="0"/>
          <w:sz w:val="26"/>
          <w:szCs w:val="26"/>
        </w:rPr>
        <w:t>-</w:t>
      </w:r>
    </w:p>
    <w:p w:rsidR="00FE4B9B" w:rsidRPr="00D55DC6" w:rsidRDefault="00FE4B9B" w:rsidP="00FE4B9B">
      <w:pPr>
        <w:widowControl/>
        <w:tabs>
          <w:tab w:val="right" w:leader="dot" w:pos="9356"/>
        </w:tabs>
        <w:spacing w:line="460" w:lineRule="exact"/>
        <w:ind w:leftChars="826" w:left="2265" w:hangingChars="101" w:hanging="283"/>
        <w:jc w:val="both"/>
        <w:rPr>
          <w:rFonts w:eastAsia="標楷體"/>
          <w:noProof/>
          <w:kern w:val="0"/>
          <w:sz w:val="28"/>
          <w:szCs w:val="28"/>
        </w:rPr>
      </w:pPr>
      <w:r w:rsidRPr="00D55DC6">
        <w:rPr>
          <w:rFonts w:eastAsia="標楷體"/>
          <w:noProof/>
          <w:kern w:val="0"/>
          <w:sz w:val="28"/>
          <w:szCs w:val="28"/>
        </w:rPr>
        <w:t>1.</w:t>
      </w:r>
      <w:r w:rsidRPr="00D55DC6">
        <w:rPr>
          <w:rFonts w:eastAsia="標楷體"/>
          <w:noProof/>
          <w:kern w:val="0"/>
          <w:sz w:val="28"/>
          <w:szCs w:val="28"/>
        </w:rPr>
        <w:t>花東景觀廊道及綠美化</w:t>
      </w:r>
    </w:p>
    <w:p w:rsidR="00FE4B9B" w:rsidRPr="00D55DC6" w:rsidRDefault="00FE4B9B" w:rsidP="00FE4B9B">
      <w:pPr>
        <w:widowControl/>
        <w:tabs>
          <w:tab w:val="right" w:leader="dot" w:pos="9356"/>
        </w:tabs>
        <w:spacing w:line="460" w:lineRule="exact"/>
        <w:ind w:leftChars="826" w:left="2265" w:hangingChars="101" w:hanging="283"/>
        <w:jc w:val="both"/>
        <w:rPr>
          <w:rFonts w:eastAsia="標楷體"/>
          <w:noProof/>
          <w:kern w:val="0"/>
          <w:sz w:val="28"/>
          <w:szCs w:val="28"/>
        </w:rPr>
      </w:pPr>
      <w:r w:rsidRPr="00D55DC6">
        <w:rPr>
          <w:rFonts w:eastAsia="標楷體"/>
          <w:noProof/>
          <w:kern w:val="0"/>
          <w:sz w:val="28"/>
          <w:szCs w:val="28"/>
        </w:rPr>
        <w:lastRenderedPageBreak/>
        <w:t>2.</w:t>
      </w:r>
      <w:r w:rsidRPr="00D55DC6">
        <w:rPr>
          <w:rFonts w:eastAsia="標楷體"/>
          <w:noProof/>
          <w:kern w:val="0"/>
          <w:sz w:val="28"/>
          <w:szCs w:val="28"/>
        </w:rPr>
        <w:t>原住民族地區觀光發展場域規劃建置：原住民地區環境整治。</w:t>
      </w:r>
    </w:p>
    <w:p w:rsidR="00FE4B9B" w:rsidRPr="00D55DC6" w:rsidRDefault="00FE4B9B" w:rsidP="00FE4B9B">
      <w:pPr>
        <w:widowControl/>
        <w:tabs>
          <w:tab w:val="right" w:leader="dot" w:pos="9356"/>
        </w:tabs>
        <w:spacing w:line="460" w:lineRule="exact"/>
        <w:ind w:leftChars="826" w:left="2265" w:hangingChars="101" w:hanging="283"/>
        <w:jc w:val="both"/>
        <w:rPr>
          <w:rFonts w:eastAsia="標楷體"/>
          <w:noProof/>
          <w:kern w:val="0"/>
          <w:sz w:val="28"/>
          <w:szCs w:val="28"/>
        </w:rPr>
      </w:pPr>
      <w:r w:rsidRPr="00D55DC6">
        <w:rPr>
          <w:rFonts w:eastAsia="標楷體"/>
          <w:noProof/>
          <w:kern w:val="0"/>
          <w:sz w:val="28"/>
          <w:szCs w:val="28"/>
        </w:rPr>
        <w:t>3.</w:t>
      </w:r>
      <w:r w:rsidRPr="00D55DC6">
        <w:rPr>
          <w:rFonts w:eastAsia="標楷體"/>
          <w:noProof/>
          <w:kern w:val="0"/>
          <w:sz w:val="28"/>
          <w:szCs w:val="28"/>
        </w:rPr>
        <w:t>友善自行車旅遊環境：光復自行車道及鐵馬驛站公共服務設施改善。</w:t>
      </w:r>
    </w:p>
    <w:p w:rsidR="00FE4B9B" w:rsidRPr="00D55DC6" w:rsidRDefault="00FE4B9B" w:rsidP="00FE4B9B">
      <w:pPr>
        <w:widowControl/>
        <w:tabs>
          <w:tab w:val="right" w:leader="dot" w:pos="9356"/>
        </w:tabs>
        <w:spacing w:line="460" w:lineRule="exact"/>
        <w:ind w:leftChars="826" w:left="2265" w:hangingChars="101" w:hanging="283"/>
        <w:jc w:val="both"/>
        <w:rPr>
          <w:rFonts w:eastAsia="標楷體"/>
          <w:noProof/>
          <w:kern w:val="0"/>
          <w:sz w:val="28"/>
          <w:szCs w:val="28"/>
        </w:rPr>
      </w:pPr>
      <w:r w:rsidRPr="00D55DC6">
        <w:rPr>
          <w:rFonts w:eastAsia="標楷體"/>
          <w:noProof/>
          <w:kern w:val="0"/>
          <w:sz w:val="28"/>
          <w:szCs w:val="28"/>
        </w:rPr>
        <w:t>4.</w:t>
      </w:r>
      <w:r w:rsidRPr="00D55DC6">
        <w:rPr>
          <w:rFonts w:eastAsia="標楷體"/>
          <w:noProof/>
          <w:kern w:val="0"/>
          <w:sz w:val="28"/>
          <w:szCs w:val="28"/>
        </w:rPr>
        <w:t>遊憩據點公共服務設施及環境改善：羅山及六十石山地區公共服務設施改善、安通溫泉區公共服務設施及環境改善。</w:t>
      </w:r>
      <w:r w:rsidRPr="00D55DC6">
        <w:rPr>
          <w:rFonts w:eastAsia="標楷體"/>
          <w:noProof/>
          <w:kern w:val="0"/>
          <w:sz w:val="28"/>
          <w:szCs w:val="28"/>
        </w:rPr>
        <w:t xml:space="preserve"> </w:t>
      </w:r>
    </w:p>
    <w:p w:rsidR="00FE4B9B" w:rsidRPr="00D55DC6" w:rsidRDefault="00FE4B9B" w:rsidP="00FE4B9B">
      <w:pPr>
        <w:widowControl/>
        <w:tabs>
          <w:tab w:val="right" w:leader="dot" w:pos="9356"/>
        </w:tabs>
        <w:spacing w:line="460" w:lineRule="exact"/>
        <w:ind w:leftChars="410" w:left="1894" w:hangingChars="350" w:hanging="910"/>
        <w:jc w:val="both"/>
        <w:rPr>
          <w:rFonts w:eastAsia="標楷體"/>
          <w:noProof/>
          <w:kern w:val="0"/>
          <w:sz w:val="26"/>
          <w:szCs w:val="26"/>
        </w:rPr>
      </w:pPr>
    </w:p>
    <w:p w:rsidR="00FE4B9B" w:rsidRPr="00D55DC6" w:rsidRDefault="00FE4B9B" w:rsidP="00FE4B9B">
      <w:pPr>
        <w:widowControl/>
        <w:tabs>
          <w:tab w:val="right" w:leader="dot" w:pos="9356"/>
        </w:tabs>
        <w:spacing w:line="460" w:lineRule="exact"/>
        <w:ind w:leftChars="410" w:left="1894" w:hangingChars="350" w:hanging="910"/>
        <w:jc w:val="both"/>
        <w:rPr>
          <w:rFonts w:eastAsia="標楷體"/>
          <w:noProof/>
          <w:kern w:val="0"/>
          <w:sz w:val="26"/>
          <w:szCs w:val="26"/>
        </w:rPr>
      </w:pPr>
    </w:p>
    <w:p w:rsidR="00FE4B9B" w:rsidRPr="00D55DC6" w:rsidRDefault="00FE4B9B" w:rsidP="00FE4B9B">
      <w:pPr>
        <w:numPr>
          <w:ilvl w:val="0"/>
          <w:numId w:val="1"/>
        </w:numPr>
        <w:snapToGrid w:val="0"/>
        <w:spacing w:line="460" w:lineRule="exact"/>
        <w:ind w:left="709" w:hanging="709"/>
        <w:jc w:val="both"/>
        <w:rPr>
          <w:rFonts w:eastAsia="標楷體"/>
          <w:b/>
          <w:bCs/>
          <w:sz w:val="28"/>
          <w:szCs w:val="28"/>
        </w:rPr>
      </w:pPr>
      <w:r w:rsidRPr="00D55DC6">
        <w:rPr>
          <w:rFonts w:eastAsia="標楷體"/>
          <w:b/>
          <w:bCs/>
          <w:sz w:val="28"/>
          <w:szCs w:val="28"/>
        </w:rPr>
        <w:t>期程與資源需求</w:t>
      </w:r>
    </w:p>
    <w:p w:rsidR="00FE4B9B" w:rsidRPr="00D55DC6" w:rsidRDefault="00FE4B9B" w:rsidP="004865C1">
      <w:pPr>
        <w:numPr>
          <w:ilvl w:val="0"/>
          <w:numId w:val="199"/>
        </w:numPr>
        <w:snapToGrid w:val="0"/>
        <w:spacing w:line="460" w:lineRule="exact"/>
        <w:jc w:val="both"/>
        <w:rPr>
          <w:rFonts w:eastAsia="標楷體"/>
          <w:b/>
          <w:bCs/>
          <w:sz w:val="28"/>
          <w:szCs w:val="28"/>
        </w:rPr>
      </w:pPr>
      <w:r w:rsidRPr="00D55DC6">
        <w:rPr>
          <w:rFonts w:eastAsia="標楷體"/>
          <w:b/>
          <w:bCs/>
          <w:sz w:val="28"/>
          <w:szCs w:val="28"/>
        </w:rPr>
        <w:t>計畫期程</w:t>
      </w:r>
    </w:p>
    <w:p w:rsidR="00FE4B9B" w:rsidRPr="00D55DC6" w:rsidRDefault="00FE4B9B" w:rsidP="00FE4B9B">
      <w:pPr>
        <w:widowControl/>
        <w:tabs>
          <w:tab w:val="right" w:leader="dot" w:pos="9356"/>
        </w:tabs>
        <w:spacing w:line="460" w:lineRule="exact"/>
        <w:ind w:leftChars="355" w:left="982" w:hangingChars="50" w:hanging="130"/>
        <w:jc w:val="both"/>
        <w:rPr>
          <w:rFonts w:eastAsia="標楷體"/>
          <w:noProof/>
          <w:kern w:val="0"/>
          <w:sz w:val="26"/>
          <w:szCs w:val="26"/>
        </w:rPr>
      </w:pPr>
      <w:r w:rsidRPr="00D55DC6">
        <w:rPr>
          <w:rFonts w:eastAsia="標楷體"/>
          <w:noProof/>
          <w:kern w:val="0"/>
          <w:sz w:val="26"/>
          <w:szCs w:val="26"/>
        </w:rPr>
        <w:t>自</w:t>
      </w:r>
      <w:r w:rsidRPr="00D55DC6">
        <w:rPr>
          <w:rFonts w:eastAsia="標楷體"/>
          <w:noProof/>
          <w:kern w:val="0"/>
          <w:sz w:val="26"/>
          <w:szCs w:val="26"/>
        </w:rPr>
        <w:t>105</w:t>
      </w:r>
      <w:r w:rsidRPr="00D55DC6">
        <w:rPr>
          <w:rFonts w:eastAsia="標楷體"/>
          <w:noProof/>
          <w:kern w:val="0"/>
          <w:sz w:val="26"/>
          <w:szCs w:val="26"/>
        </w:rPr>
        <w:t>年至</w:t>
      </w:r>
      <w:r w:rsidRPr="00D55DC6">
        <w:rPr>
          <w:rFonts w:eastAsia="標楷體"/>
          <w:noProof/>
          <w:kern w:val="0"/>
          <w:sz w:val="26"/>
          <w:szCs w:val="26"/>
        </w:rPr>
        <w:t>108</w:t>
      </w:r>
      <w:r w:rsidRPr="00D55DC6">
        <w:rPr>
          <w:rFonts w:eastAsia="標楷體"/>
          <w:noProof/>
          <w:kern w:val="0"/>
          <w:sz w:val="26"/>
          <w:szCs w:val="26"/>
        </w:rPr>
        <w:t>年。</w:t>
      </w:r>
    </w:p>
    <w:p w:rsidR="00FE4B9B" w:rsidRPr="00D55DC6" w:rsidRDefault="00FE4B9B" w:rsidP="004865C1">
      <w:pPr>
        <w:numPr>
          <w:ilvl w:val="0"/>
          <w:numId w:val="199"/>
        </w:numPr>
        <w:snapToGrid w:val="0"/>
        <w:spacing w:line="460" w:lineRule="exact"/>
        <w:jc w:val="both"/>
        <w:rPr>
          <w:rFonts w:eastAsia="標楷體"/>
          <w:b/>
          <w:bCs/>
          <w:sz w:val="28"/>
          <w:szCs w:val="28"/>
        </w:rPr>
      </w:pPr>
      <w:r w:rsidRPr="00D55DC6">
        <w:rPr>
          <w:rFonts w:eastAsia="標楷體"/>
          <w:b/>
          <w:bCs/>
          <w:sz w:val="28"/>
          <w:szCs w:val="28"/>
        </w:rPr>
        <w:t>經費需求</w:t>
      </w:r>
      <w:r w:rsidRPr="00D55DC6">
        <w:rPr>
          <w:rFonts w:eastAsia="標楷體"/>
          <w:b/>
          <w:bCs/>
          <w:sz w:val="28"/>
          <w:szCs w:val="28"/>
        </w:rPr>
        <w:t>(</w:t>
      </w:r>
      <w:r w:rsidRPr="00D55DC6">
        <w:rPr>
          <w:rFonts w:eastAsia="標楷體"/>
          <w:b/>
          <w:bCs/>
          <w:sz w:val="28"/>
          <w:szCs w:val="28"/>
        </w:rPr>
        <w:t>含分年經費</w:t>
      </w:r>
      <w:r w:rsidRPr="00D55DC6">
        <w:rPr>
          <w:rFonts w:eastAsia="標楷體"/>
          <w:b/>
          <w:bCs/>
          <w:sz w:val="28"/>
          <w:szCs w:val="28"/>
        </w:rPr>
        <w:t>)</w:t>
      </w:r>
      <w:r w:rsidRPr="00D55DC6">
        <w:rPr>
          <w:rFonts w:eastAsia="標楷體"/>
          <w:b/>
          <w:bCs/>
          <w:sz w:val="28"/>
          <w:szCs w:val="28"/>
        </w:rPr>
        <w:t>及與中程歲出概算額度配合情形</w:t>
      </w:r>
    </w:p>
    <w:p w:rsidR="00FE4B9B" w:rsidRPr="00D55DC6" w:rsidRDefault="00486FAE" w:rsidP="00486FAE">
      <w:pPr>
        <w:pStyle w:val="af2"/>
        <w:spacing w:line="460" w:lineRule="exact"/>
        <w:ind w:leftChars="0" w:left="864"/>
        <w:jc w:val="both"/>
        <w:rPr>
          <w:rFonts w:eastAsia="標楷體"/>
          <w:noProof/>
          <w:kern w:val="0"/>
          <w:sz w:val="26"/>
          <w:szCs w:val="26"/>
        </w:rPr>
      </w:pPr>
      <w:r w:rsidRPr="00D55DC6">
        <w:rPr>
          <w:rFonts w:eastAsia="標楷體"/>
          <w:sz w:val="28"/>
          <w:szCs w:val="28"/>
        </w:rPr>
        <w:t>本計畫</w:t>
      </w:r>
      <w:r w:rsidR="00D03EE9" w:rsidRPr="00D55DC6">
        <w:rPr>
          <w:rFonts w:eastAsia="標楷體"/>
          <w:sz w:val="28"/>
          <w:szCs w:val="28"/>
        </w:rPr>
        <w:t>總經費為</w:t>
      </w:r>
      <w:r w:rsidR="00D03EE9" w:rsidRPr="00D55DC6">
        <w:rPr>
          <w:rFonts w:eastAsia="標楷體"/>
          <w:sz w:val="28"/>
          <w:szCs w:val="28"/>
        </w:rPr>
        <w:t>12</w:t>
      </w:r>
      <w:r w:rsidR="00D03EE9" w:rsidRPr="00D55DC6">
        <w:rPr>
          <w:rFonts w:eastAsia="標楷體"/>
          <w:sz w:val="28"/>
          <w:szCs w:val="28"/>
        </w:rPr>
        <w:t>億元，</w:t>
      </w:r>
      <w:r w:rsidRPr="00D55DC6">
        <w:rPr>
          <w:rFonts w:eastAsia="標楷體"/>
          <w:sz w:val="28"/>
          <w:szCs w:val="28"/>
        </w:rPr>
        <w:t>經費需求（含分年經費）係與中程歲出概算額度相符，分年投資重點及經費需求如下：</w:t>
      </w:r>
      <w:r w:rsidRPr="00D55DC6">
        <w:rPr>
          <w:rFonts w:eastAsia="標楷體"/>
          <w:sz w:val="28"/>
          <w:szCs w:val="28"/>
        </w:rPr>
        <w:t xml:space="preserve"> </w:t>
      </w:r>
    </w:p>
    <w:p w:rsidR="00FE4B9B" w:rsidRPr="00D55DC6" w:rsidRDefault="00FE4B9B" w:rsidP="00FE4B9B">
      <w:pPr>
        <w:widowControl/>
        <w:tabs>
          <w:tab w:val="right" w:leader="dot" w:pos="9356"/>
        </w:tabs>
        <w:spacing w:line="460" w:lineRule="exact"/>
        <w:ind w:leftChars="409" w:left="982" w:firstLineChars="204" w:firstLine="530"/>
        <w:jc w:val="both"/>
        <w:rPr>
          <w:rFonts w:eastAsia="標楷體"/>
          <w:noProof/>
          <w:kern w:val="0"/>
          <w:sz w:val="26"/>
          <w:szCs w:val="26"/>
        </w:rPr>
      </w:pPr>
      <w:r w:rsidRPr="00D55DC6">
        <w:rPr>
          <w:rFonts w:eastAsia="標楷體"/>
          <w:noProof/>
          <w:kern w:val="0"/>
          <w:sz w:val="26"/>
          <w:szCs w:val="26"/>
        </w:rPr>
        <w:t xml:space="preserve">                                           </w:t>
      </w:r>
      <w:r w:rsidR="00486FAE" w:rsidRPr="00D55DC6">
        <w:rPr>
          <w:rFonts w:eastAsia="標楷體"/>
          <w:noProof/>
          <w:kern w:val="0"/>
          <w:sz w:val="26"/>
          <w:szCs w:val="26"/>
        </w:rPr>
        <w:t>（</w:t>
      </w:r>
      <w:r w:rsidRPr="00D55DC6">
        <w:rPr>
          <w:rFonts w:eastAsia="標楷體"/>
          <w:noProof/>
          <w:kern w:val="0"/>
          <w:sz w:val="26"/>
          <w:szCs w:val="26"/>
        </w:rPr>
        <w:t>單位</w:t>
      </w:r>
      <w:r w:rsidRPr="00D55DC6">
        <w:rPr>
          <w:rFonts w:eastAsia="標楷體"/>
          <w:noProof/>
          <w:kern w:val="0"/>
          <w:sz w:val="26"/>
          <w:szCs w:val="26"/>
        </w:rPr>
        <w:t>:</w:t>
      </w:r>
      <w:r w:rsidRPr="00D55DC6">
        <w:rPr>
          <w:rFonts w:eastAsia="標楷體"/>
          <w:noProof/>
          <w:kern w:val="0"/>
          <w:sz w:val="26"/>
          <w:szCs w:val="26"/>
        </w:rPr>
        <w:t>億元</w:t>
      </w:r>
      <w:r w:rsidR="00486FAE" w:rsidRPr="00D55DC6">
        <w:rPr>
          <w:rFonts w:eastAsia="標楷體"/>
          <w:noProof/>
          <w:kern w:val="0"/>
          <w:sz w:val="26"/>
          <w:szCs w:val="26"/>
        </w:rPr>
        <w:t>）</w:t>
      </w:r>
    </w:p>
    <w:tbl>
      <w:tblPr>
        <w:tblW w:w="10134" w:type="dxa"/>
        <w:tblCellMar>
          <w:left w:w="28" w:type="dxa"/>
          <w:right w:w="28" w:type="dxa"/>
        </w:tblCellMar>
        <w:tblLook w:val="00A0" w:firstRow="1" w:lastRow="0" w:firstColumn="1" w:lastColumn="0" w:noHBand="0" w:noVBand="0"/>
      </w:tblPr>
      <w:tblGrid>
        <w:gridCol w:w="395"/>
        <w:gridCol w:w="878"/>
        <w:gridCol w:w="1082"/>
        <w:gridCol w:w="2718"/>
        <w:gridCol w:w="776"/>
        <w:gridCol w:w="703"/>
        <w:gridCol w:w="702"/>
        <w:gridCol w:w="703"/>
        <w:gridCol w:w="658"/>
        <w:gridCol w:w="1519"/>
      </w:tblGrid>
      <w:tr w:rsidR="001D0350" w:rsidRPr="00D55DC6" w:rsidTr="00C0747A">
        <w:trPr>
          <w:trHeight w:val="345"/>
          <w:tblHeader/>
        </w:trPr>
        <w:tc>
          <w:tcPr>
            <w:tcW w:w="395"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FE4B9B" w:rsidRPr="00D55DC6" w:rsidRDefault="00FE4B9B" w:rsidP="00FE4B9B">
            <w:pPr>
              <w:widowControl/>
              <w:spacing w:line="0" w:lineRule="atLeast"/>
              <w:jc w:val="center"/>
              <w:rPr>
                <w:rFonts w:eastAsia="標楷體"/>
                <w:kern w:val="0"/>
              </w:rPr>
            </w:pPr>
            <w:r w:rsidRPr="00D55DC6">
              <w:rPr>
                <w:rFonts w:eastAsia="標楷體"/>
                <w:kern w:val="0"/>
              </w:rPr>
              <w:t>科目別</w:t>
            </w:r>
          </w:p>
        </w:tc>
        <w:tc>
          <w:tcPr>
            <w:tcW w:w="878" w:type="dxa"/>
            <w:tcBorders>
              <w:top w:val="single" w:sz="8" w:space="0" w:color="auto"/>
              <w:left w:val="nil"/>
              <w:bottom w:val="single" w:sz="8" w:space="0" w:color="auto"/>
              <w:right w:val="single" w:sz="8" w:space="0" w:color="auto"/>
            </w:tcBorders>
            <w:shd w:val="clear" w:color="000000" w:fill="FFFF99"/>
            <w:vAlign w:val="center"/>
          </w:tcPr>
          <w:p w:rsidR="00FE4B9B" w:rsidRPr="00D55DC6" w:rsidRDefault="00FE4B9B" w:rsidP="00FE4B9B">
            <w:pPr>
              <w:widowControl/>
              <w:spacing w:line="0" w:lineRule="atLeast"/>
              <w:jc w:val="center"/>
              <w:rPr>
                <w:rFonts w:eastAsia="標楷體"/>
                <w:kern w:val="0"/>
              </w:rPr>
            </w:pPr>
            <w:r w:rsidRPr="00D55DC6">
              <w:rPr>
                <w:rFonts w:eastAsia="標楷體"/>
                <w:kern w:val="0"/>
              </w:rPr>
              <w:t>1</w:t>
            </w:r>
            <w:r w:rsidRPr="00D55DC6">
              <w:rPr>
                <w:rFonts w:eastAsia="標楷體"/>
                <w:kern w:val="0"/>
              </w:rPr>
              <w:t>級</w:t>
            </w:r>
          </w:p>
        </w:tc>
        <w:tc>
          <w:tcPr>
            <w:tcW w:w="1082" w:type="dxa"/>
            <w:tcBorders>
              <w:top w:val="single" w:sz="8" w:space="0" w:color="auto"/>
              <w:left w:val="nil"/>
              <w:bottom w:val="single" w:sz="8" w:space="0" w:color="auto"/>
              <w:right w:val="single" w:sz="8" w:space="0" w:color="auto"/>
            </w:tcBorders>
            <w:shd w:val="clear" w:color="000000" w:fill="FFFF99"/>
            <w:vAlign w:val="center"/>
          </w:tcPr>
          <w:p w:rsidR="00FE4B9B" w:rsidRPr="00D55DC6" w:rsidRDefault="00FE4B9B" w:rsidP="00FE4B9B">
            <w:pPr>
              <w:widowControl/>
              <w:spacing w:line="0" w:lineRule="atLeast"/>
              <w:jc w:val="center"/>
              <w:rPr>
                <w:rFonts w:eastAsia="標楷體"/>
                <w:kern w:val="0"/>
              </w:rPr>
            </w:pPr>
            <w:r w:rsidRPr="00D55DC6">
              <w:rPr>
                <w:rFonts w:eastAsia="標楷體"/>
                <w:kern w:val="0"/>
              </w:rPr>
              <w:t>2</w:t>
            </w:r>
            <w:r w:rsidRPr="00D55DC6">
              <w:rPr>
                <w:rFonts w:eastAsia="標楷體"/>
                <w:kern w:val="0"/>
              </w:rPr>
              <w:t>級</w:t>
            </w:r>
          </w:p>
        </w:tc>
        <w:tc>
          <w:tcPr>
            <w:tcW w:w="2718"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FE4B9B" w:rsidRPr="00D55DC6" w:rsidRDefault="00FE4B9B" w:rsidP="00FE4B9B">
            <w:pPr>
              <w:widowControl/>
              <w:spacing w:line="0" w:lineRule="atLeast"/>
              <w:jc w:val="center"/>
              <w:rPr>
                <w:rFonts w:eastAsia="標楷體"/>
                <w:kern w:val="0"/>
              </w:rPr>
            </w:pPr>
            <w:r w:rsidRPr="00D55DC6">
              <w:rPr>
                <w:rFonts w:eastAsia="標楷體"/>
                <w:kern w:val="0"/>
              </w:rPr>
              <w:t>投資重點</w:t>
            </w:r>
          </w:p>
        </w:tc>
        <w:tc>
          <w:tcPr>
            <w:tcW w:w="776"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FE4B9B" w:rsidRPr="00D55DC6" w:rsidRDefault="00FE4B9B" w:rsidP="00FE4B9B">
            <w:pPr>
              <w:widowControl/>
              <w:spacing w:line="0" w:lineRule="atLeast"/>
              <w:jc w:val="center"/>
              <w:rPr>
                <w:rFonts w:eastAsia="標楷體"/>
                <w:kern w:val="0"/>
              </w:rPr>
            </w:pPr>
            <w:r w:rsidRPr="00D55DC6">
              <w:rPr>
                <w:rFonts w:eastAsia="標楷體"/>
                <w:kern w:val="0"/>
              </w:rPr>
              <w:t>105</w:t>
            </w:r>
            <w:r w:rsidRPr="00D55DC6">
              <w:rPr>
                <w:rFonts w:eastAsia="標楷體"/>
                <w:kern w:val="0"/>
              </w:rPr>
              <w:t>年</w:t>
            </w:r>
          </w:p>
        </w:tc>
        <w:tc>
          <w:tcPr>
            <w:tcW w:w="703"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FE4B9B" w:rsidRPr="00D55DC6" w:rsidRDefault="00FE4B9B" w:rsidP="00FE4B9B">
            <w:pPr>
              <w:widowControl/>
              <w:spacing w:line="0" w:lineRule="atLeast"/>
              <w:jc w:val="center"/>
              <w:rPr>
                <w:rFonts w:eastAsia="標楷體"/>
                <w:kern w:val="0"/>
              </w:rPr>
            </w:pPr>
            <w:r w:rsidRPr="00D55DC6">
              <w:rPr>
                <w:rFonts w:eastAsia="標楷體"/>
                <w:kern w:val="0"/>
              </w:rPr>
              <w:t>106</w:t>
            </w:r>
            <w:r w:rsidRPr="00D55DC6">
              <w:rPr>
                <w:rFonts w:eastAsia="標楷體"/>
                <w:kern w:val="0"/>
              </w:rPr>
              <w:t>年</w:t>
            </w:r>
          </w:p>
        </w:tc>
        <w:tc>
          <w:tcPr>
            <w:tcW w:w="702"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FE4B9B" w:rsidRPr="00D55DC6" w:rsidRDefault="00FE4B9B" w:rsidP="00FE4B9B">
            <w:pPr>
              <w:widowControl/>
              <w:spacing w:line="0" w:lineRule="atLeast"/>
              <w:jc w:val="center"/>
              <w:rPr>
                <w:rFonts w:eastAsia="標楷體"/>
                <w:kern w:val="0"/>
              </w:rPr>
            </w:pPr>
            <w:r w:rsidRPr="00D55DC6">
              <w:rPr>
                <w:rFonts w:eastAsia="標楷體"/>
                <w:kern w:val="0"/>
              </w:rPr>
              <w:t>107</w:t>
            </w:r>
            <w:r w:rsidRPr="00D55DC6">
              <w:rPr>
                <w:rFonts w:eastAsia="標楷體"/>
                <w:kern w:val="0"/>
              </w:rPr>
              <w:t>年</w:t>
            </w:r>
          </w:p>
        </w:tc>
        <w:tc>
          <w:tcPr>
            <w:tcW w:w="703"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FE4B9B" w:rsidRPr="00D55DC6" w:rsidRDefault="00FE4B9B" w:rsidP="00FE4B9B">
            <w:pPr>
              <w:widowControl/>
              <w:spacing w:line="0" w:lineRule="atLeast"/>
              <w:jc w:val="center"/>
              <w:rPr>
                <w:rFonts w:eastAsia="標楷體"/>
                <w:kern w:val="0"/>
              </w:rPr>
            </w:pPr>
            <w:r w:rsidRPr="00D55DC6">
              <w:rPr>
                <w:rFonts w:eastAsia="標楷體"/>
                <w:kern w:val="0"/>
              </w:rPr>
              <w:t>108</w:t>
            </w:r>
            <w:r w:rsidRPr="00D55DC6">
              <w:rPr>
                <w:rFonts w:eastAsia="標楷體"/>
                <w:kern w:val="0"/>
              </w:rPr>
              <w:t>年</w:t>
            </w:r>
          </w:p>
        </w:tc>
        <w:tc>
          <w:tcPr>
            <w:tcW w:w="658"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FE4B9B" w:rsidRPr="00D55DC6" w:rsidRDefault="00FE4B9B" w:rsidP="00FE4B9B">
            <w:pPr>
              <w:widowControl/>
              <w:spacing w:line="0" w:lineRule="atLeast"/>
              <w:jc w:val="center"/>
              <w:rPr>
                <w:rFonts w:eastAsia="標楷體"/>
                <w:kern w:val="0"/>
              </w:rPr>
            </w:pPr>
            <w:r w:rsidRPr="00D55DC6">
              <w:rPr>
                <w:rFonts w:eastAsia="標楷體"/>
                <w:kern w:val="0"/>
              </w:rPr>
              <w:t>合計</w:t>
            </w:r>
          </w:p>
        </w:tc>
        <w:tc>
          <w:tcPr>
            <w:tcW w:w="1519"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FE4B9B" w:rsidRPr="00D55DC6" w:rsidRDefault="00FE4B9B" w:rsidP="00FE4B9B">
            <w:pPr>
              <w:widowControl/>
              <w:spacing w:line="0" w:lineRule="atLeast"/>
              <w:jc w:val="center"/>
              <w:rPr>
                <w:rFonts w:eastAsia="標楷體"/>
                <w:kern w:val="0"/>
              </w:rPr>
            </w:pPr>
            <w:r w:rsidRPr="00D55DC6">
              <w:rPr>
                <w:rFonts w:eastAsia="標楷體"/>
                <w:kern w:val="0"/>
              </w:rPr>
              <w:t>工作內容</w:t>
            </w:r>
          </w:p>
        </w:tc>
      </w:tr>
      <w:tr w:rsidR="001D0350" w:rsidRPr="00D55DC6" w:rsidTr="00C0747A">
        <w:trPr>
          <w:trHeight w:val="227"/>
          <w:tblHeader/>
        </w:trPr>
        <w:tc>
          <w:tcPr>
            <w:tcW w:w="395" w:type="dxa"/>
            <w:vMerge/>
            <w:tcBorders>
              <w:top w:val="single" w:sz="8" w:space="0" w:color="auto"/>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878" w:type="dxa"/>
            <w:tcBorders>
              <w:top w:val="nil"/>
              <w:left w:val="nil"/>
              <w:bottom w:val="single" w:sz="8" w:space="0" w:color="auto"/>
              <w:right w:val="single" w:sz="8" w:space="0" w:color="auto"/>
            </w:tcBorders>
            <w:shd w:val="clear" w:color="000000" w:fill="FFFF99"/>
            <w:vAlign w:val="center"/>
          </w:tcPr>
          <w:p w:rsidR="00FE4B9B" w:rsidRPr="00D55DC6" w:rsidRDefault="00FE4B9B" w:rsidP="00FE4B9B">
            <w:pPr>
              <w:widowControl/>
              <w:spacing w:line="0" w:lineRule="atLeast"/>
              <w:jc w:val="center"/>
              <w:rPr>
                <w:rFonts w:eastAsia="標楷體"/>
                <w:kern w:val="0"/>
              </w:rPr>
            </w:pPr>
            <w:r w:rsidRPr="00D55DC6">
              <w:rPr>
                <w:rFonts w:eastAsia="標楷體"/>
                <w:kern w:val="0"/>
              </w:rPr>
              <w:t>用途別</w:t>
            </w:r>
          </w:p>
        </w:tc>
        <w:tc>
          <w:tcPr>
            <w:tcW w:w="1082" w:type="dxa"/>
            <w:tcBorders>
              <w:top w:val="nil"/>
              <w:left w:val="nil"/>
              <w:bottom w:val="single" w:sz="8" w:space="0" w:color="auto"/>
              <w:right w:val="single" w:sz="8" w:space="0" w:color="auto"/>
            </w:tcBorders>
            <w:shd w:val="clear" w:color="000000" w:fill="FFFF99"/>
            <w:vAlign w:val="center"/>
          </w:tcPr>
          <w:p w:rsidR="00FE4B9B" w:rsidRPr="00D55DC6" w:rsidRDefault="00FE4B9B" w:rsidP="00FE4B9B">
            <w:pPr>
              <w:widowControl/>
              <w:spacing w:line="0" w:lineRule="atLeast"/>
              <w:jc w:val="center"/>
              <w:rPr>
                <w:rFonts w:eastAsia="標楷體"/>
                <w:kern w:val="0"/>
              </w:rPr>
            </w:pPr>
            <w:r w:rsidRPr="00D55DC6">
              <w:rPr>
                <w:rFonts w:eastAsia="標楷體"/>
                <w:kern w:val="0"/>
              </w:rPr>
              <w:t>用途別</w:t>
            </w:r>
          </w:p>
        </w:tc>
        <w:tc>
          <w:tcPr>
            <w:tcW w:w="2718" w:type="dxa"/>
            <w:vMerge/>
            <w:tcBorders>
              <w:top w:val="single" w:sz="8" w:space="0" w:color="auto"/>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776" w:type="dxa"/>
            <w:vMerge/>
            <w:tcBorders>
              <w:top w:val="single" w:sz="8" w:space="0" w:color="auto"/>
              <w:left w:val="single" w:sz="8" w:space="0" w:color="auto"/>
              <w:bottom w:val="single" w:sz="8" w:space="0" w:color="000000"/>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703" w:type="dxa"/>
            <w:vMerge/>
            <w:tcBorders>
              <w:top w:val="single" w:sz="8" w:space="0" w:color="auto"/>
              <w:left w:val="single" w:sz="8" w:space="0" w:color="auto"/>
              <w:bottom w:val="single" w:sz="8" w:space="0" w:color="000000"/>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702" w:type="dxa"/>
            <w:vMerge/>
            <w:tcBorders>
              <w:top w:val="single" w:sz="8" w:space="0" w:color="auto"/>
              <w:left w:val="single" w:sz="8" w:space="0" w:color="auto"/>
              <w:bottom w:val="single" w:sz="8" w:space="0" w:color="000000"/>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703" w:type="dxa"/>
            <w:vMerge/>
            <w:tcBorders>
              <w:top w:val="single" w:sz="8" w:space="0" w:color="auto"/>
              <w:left w:val="single" w:sz="8" w:space="0" w:color="auto"/>
              <w:bottom w:val="single" w:sz="8" w:space="0" w:color="000000"/>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658" w:type="dxa"/>
            <w:vMerge/>
            <w:tcBorders>
              <w:top w:val="single" w:sz="8" w:space="0" w:color="auto"/>
              <w:left w:val="single" w:sz="8" w:space="0" w:color="auto"/>
              <w:bottom w:val="single" w:sz="8" w:space="0" w:color="000000"/>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1519" w:type="dxa"/>
            <w:vMerge/>
            <w:tcBorders>
              <w:top w:val="single" w:sz="8" w:space="0" w:color="auto"/>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r>
      <w:tr w:rsidR="001D0350" w:rsidRPr="00D55DC6" w:rsidTr="00986223">
        <w:trPr>
          <w:trHeight w:val="619"/>
        </w:trPr>
        <w:tc>
          <w:tcPr>
            <w:tcW w:w="395" w:type="dxa"/>
            <w:vMerge w:val="restart"/>
            <w:tcBorders>
              <w:top w:val="nil"/>
              <w:left w:val="single" w:sz="8" w:space="0" w:color="auto"/>
              <w:bottom w:val="single" w:sz="8" w:space="0" w:color="auto"/>
              <w:right w:val="single" w:sz="8" w:space="0" w:color="auto"/>
            </w:tcBorders>
            <w:shd w:val="clear" w:color="000000" w:fill="CCFFFF"/>
          </w:tcPr>
          <w:p w:rsidR="00FE4B9B" w:rsidRPr="00D55DC6" w:rsidRDefault="00FE4B9B" w:rsidP="00FE4B9B">
            <w:pPr>
              <w:widowControl/>
              <w:spacing w:line="0" w:lineRule="atLeast"/>
              <w:jc w:val="center"/>
              <w:rPr>
                <w:rFonts w:eastAsia="標楷體"/>
                <w:kern w:val="0"/>
              </w:rPr>
            </w:pPr>
            <w:r w:rsidRPr="00D55DC6">
              <w:rPr>
                <w:rFonts w:eastAsia="標楷體"/>
                <w:kern w:val="0"/>
              </w:rPr>
              <w:t>經常門</w:t>
            </w:r>
          </w:p>
        </w:tc>
        <w:tc>
          <w:tcPr>
            <w:tcW w:w="878" w:type="dxa"/>
            <w:vMerge w:val="restart"/>
            <w:tcBorders>
              <w:top w:val="nil"/>
              <w:left w:val="single" w:sz="8" w:space="0" w:color="auto"/>
              <w:bottom w:val="single" w:sz="8" w:space="0" w:color="auto"/>
              <w:right w:val="single" w:sz="8" w:space="0" w:color="auto"/>
            </w:tcBorders>
            <w:shd w:val="clear" w:color="000000" w:fill="CCFFFF"/>
          </w:tcPr>
          <w:p w:rsidR="00FE4B9B" w:rsidRPr="00D55DC6" w:rsidRDefault="00FE4B9B" w:rsidP="00FE4B9B">
            <w:pPr>
              <w:widowControl/>
              <w:spacing w:line="0" w:lineRule="atLeast"/>
              <w:jc w:val="center"/>
              <w:rPr>
                <w:rFonts w:eastAsia="標楷體"/>
                <w:kern w:val="0"/>
              </w:rPr>
            </w:pPr>
            <w:r w:rsidRPr="00D55DC6">
              <w:rPr>
                <w:rFonts w:eastAsia="標楷體"/>
                <w:kern w:val="0"/>
              </w:rPr>
              <w:t>0200</w:t>
            </w:r>
            <w:r w:rsidRPr="00D55DC6">
              <w:rPr>
                <w:rFonts w:eastAsia="標楷體"/>
                <w:kern w:val="0"/>
              </w:rPr>
              <w:t>業務費</w:t>
            </w:r>
          </w:p>
        </w:tc>
        <w:tc>
          <w:tcPr>
            <w:tcW w:w="1082" w:type="dxa"/>
            <w:vMerge w:val="restart"/>
            <w:tcBorders>
              <w:top w:val="nil"/>
              <w:left w:val="single" w:sz="8" w:space="0" w:color="auto"/>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kern w:val="0"/>
              </w:rPr>
            </w:pPr>
            <w:r w:rsidRPr="00D55DC6">
              <w:rPr>
                <w:rFonts w:eastAsia="標楷體"/>
                <w:kern w:val="0"/>
              </w:rPr>
              <w:t>0284</w:t>
            </w:r>
            <w:r w:rsidRPr="00D55DC6">
              <w:rPr>
                <w:rFonts w:eastAsia="標楷體"/>
                <w:kern w:val="0"/>
              </w:rPr>
              <w:t>設施及機械設備養護費</w:t>
            </w:r>
          </w:p>
        </w:tc>
        <w:tc>
          <w:tcPr>
            <w:tcW w:w="2718"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ind w:left="332" w:hangingChars="138" w:hanging="332"/>
              <w:rPr>
                <w:rFonts w:eastAsia="標楷體"/>
                <w:b/>
                <w:bCs/>
                <w:kern w:val="0"/>
              </w:rPr>
            </w:pPr>
            <w:r w:rsidRPr="00D55DC6">
              <w:rPr>
                <w:rFonts w:eastAsia="標楷體"/>
                <w:b/>
                <w:bCs/>
                <w:kern w:val="0"/>
              </w:rPr>
              <w:t>1.</w:t>
            </w:r>
            <w:r w:rsidRPr="00D55DC6">
              <w:rPr>
                <w:rFonts w:eastAsia="標楷體"/>
                <w:b/>
                <w:bCs/>
                <w:kern w:val="0"/>
              </w:rPr>
              <w:t>綠美化養護及設施零星修護</w:t>
            </w:r>
          </w:p>
        </w:tc>
        <w:tc>
          <w:tcPr>
            <w:tcW w:w="776"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 xml:space="preserve">0.30 </w:t>
            </w:r>
          </w:p>
        </w:tc>
        <w:tc>
          <w:tcPr>
            <w:tcW w:w="703"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 xml:space="preserve"> 0.30 </w:t>
            </w:r>
          </w:p>
        </w:tc>
        <w:tc>
          <w:tcPr>
            <w:tcW w:w="702"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 xml:space="preserve"> 0.30 </w:t>
            </w:r>
          </w:p>
        </w:tc>
        <w:tc>
          <w:tcPr>
            <w:tcW w:w="703"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 xml:space="preserve"> 0.30 </w:t>
            </w:r>
          </w:p>
        </w:tc>
        <w:tc>
          <w:tcPr>
            <w:tcW w:w="658"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 xml:space="preserve"> 1.20</w:t>
            </w:r>
          </w:p>
        </w:tc>
        <w:tc>
          <w:tcPr>
            <w:tcW w:w="1519" w:type="dxa"/>
            <w:vMerge w:val="restart"/>
            <w:tcBorders>
              <w:top w:val="nil"/>
              <w:left w:val="single" w:sz="8" w:space="0" w:color="auto"/>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kern w:val="0"/>
              </w:rPr>
            </w:pPr>
            <w:r w:rsidRPr="00D55DC6">
              <w:rPr>
                <w:rFonts w:eastAsia="標楷體"/>
                <w:kern w:val="0"/>
              </w:rPr>
              <w:t>植栽養護、零星修繕、各據點建物公共安全及消防檢測</w:t>
            </w:r>
          </w:p>
        </w:tc>
      </w:tr>
      <w:tr w:rsidR="001D0350" w:rsidRPr="00D55DC6" w:rsidTr="00986223">
        <w:trPr>
          <w:trHeight w:val="596"/>
        </w:trPr>
        <w:tc>
          <w:tcPr>
            <w:tcW w:w="395"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878"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1082"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2718"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jc w:val="center"/>
              <w:rPr>
                <w:rFonts w:eastAsia="標楷體"/>
                <w:b/>
                <w:bCs/>
                <w:kern w:val="0"/>
              </w:rPr>
            </w:pPr>
            <w:r w:rsidRPr="00D55DC6">
              <w:rPr>
                <w:rFonts w:eastAsia="標楷體"/>
                <w:b/>
                <w:bCs/>
                <w:kern w:val="0"/>
              </w:rPr>
              <w:t>經常門合計</w:t>
            </w:r>
          </w:p>
        </w:tc>
        <w:tc>
          <w:tcPr>
            <w:tcW w:w="776"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 xml:space="preserve">0.30 </w:t>
            </w:r>
          </w:p>
        </w:tc>
        <w:tc>
          <w:tcPr>
            <w:tcW w:w="703"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 xml:space="preserve">0.30 </w:t>
            </w:r>
          </w:p>
        </w:tc>
        <w:tc>
          <w:tcPr>
            <w:tcW w:w="702"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 xml:space="preserve">0.30 </w:t>
            </w:r>
          </w:p>
        </w:tc>
        <w:tc>
          <w:tcPr>
            <w:tcW w:w="703"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 xml:space="preserve">0.30 </w:t>
            </w:r>
          </w:p>
        </w:tc>
        <w:tc>
          <w:tcPr>
            <w:tcW w:w="658"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 xml:space="preserve"> 1.20 </w:t>
            </w:r>
          </w:p>
        </w:tc>
        <w:tc>
          <w:tcPr>
            <w:tcW w:w="1519"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r>
      <w:tr w:rsidR="001D0350" w:rsidRPr="00D55DC6" w:rsidTr="00986223">
        <w:trPr>
          <w:trHeight w:val="1305"/>
        </w:trPr>
        <w:tc>
          <w:tcPr>
            <w:tcW w:w="395" w:type="dxa"/>
            <w:vMerge w:val="restart"/>
            <w:tcBorders>
              <w:top w:val="nil"/>
              <w:left w:val="single" w:sz="8" w:space="0" w:color="auto"/>
              <w:bottom w:val="nil"/>
              <w:right w:val="single" w:sz="8" w:space="0" w:color="auto"/>
            </w:tcBorders>
            <w:shd w:val="clear" w:color="000000" w:fill="CCFFCC"/>
          </w:tcPr>
          <w:p w:rsidR="00FE4B9B" w:rsidRPr="00D55DC6" w:rsidRDefault="00FE4B9B" w:rsidP="00FE4B9B">
            <w:pPr>
              <w:widowControl/>
              <w:spacing w:line="0" w:lineRule="atLeast"/>
              <w:jc w:val="center"/>
              <w:rPr>
                <w:rFonts w:eastAsia="標楷體"/>
                <w:kern w:val="0"/>
              </w:rPr>
            </w:pPr>
            <w:r w:rsidRPr="00D55DC6">
              <w:rPr>
                <w:rFonts w:eastAsia="標楷體"/>
                <w:kern w:val="0"/>
              </w:rPr>
              <w:t>資本門</w:t>
            </w:r>
          </w:p>
        </w:tc>
        <w:tc>
          <w:tcPr>
            <w:tcW w:w="878" w:type="dxa"/>
            <w:vMerge w:val="restart"/>
            <w:tcBorders>
              <w:top w:val="nil"/>
              <w:left w:val="single" w:sz="8" w:space="0" w:color="auto"/>
              <w:bottom w:val="single" w:sz="8" w:space="0" w:color="auto"/>
              <w:right w:val="single" w:sz="8" w:space="0" w:color="auto"/>
            </w:tcBorders>
            <w:shd w:val="clear" w:color="000000" w:fill="CCFFCC"/>
          </w:tcPr>
          <w:p w:rsidR="00FE4B9B" w:rsidRPr="00D55DC6" w:rsidRDefault="00FE4B9B" w:rsidP="00FE4B9B">
            <w:pPr>
              <w:widowControl/>
              <w:spacing w:line="0" w:lineRule="atLeast"/>
              <w:jc w:val="center"/>
              <w:rPr>
                <w:rFonts w:eastAsia="標楷體"/>
                <w:kern w:val="0"/>
              </w:rPr>
            </w:pPr>
            <w:r w:rsidRPr="00D55DC6">
              <w:rPr>
                <w:rFonts w:eastAsia="標楷體"/>
                <w:kern w:val="0"/>
              </w:rPr>
              <w:t>0300</w:t>
            </w:r>
            <w:r w:rsidRPr="00D55DC6">
              <w:rPr>
                <w:rFonts w:eastAsia="標楷體"/>
                <w:kern w:val="0"/>
              </w:rPr>
              <w:t>設備及投資</w:t>
            </w:r>
          </w:p>
        </w:tc>
        <w:tc>
          <w:tcPr>
            <w:tcW w:w="1082"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kern w:val="0"/>
              </w:rPr>
            </w:pPr>
            <w:r w:rsidRPr="00D55DC6">
              <w:rPr>
                <w:rFonts w:eastAsia="標楷體"/>
                <w:kern w:val="0"/>
              </w:rPr>
              <w:t>0301</w:t>
            </w:r>
            <w:r w:rsidRPr="00D55DC6">
              <w:rPr>
                <w:rFonts w:eastAsia="標楷體"/>
                <w:kern w:val="0"/>
              </w:rPr>
              <w:t>土地費</w:t>
            </w:r>
          </w:p>
        </w:tc>
        <w:tc>
          <w:tcPr>
            <w:tcW w:w="2718"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b/>
                <w:bCs/>
                <w:kern w:val="0"/>
              </w:rPr>
            </w:pPr>
            <w:r w:rsidRPr="00D55DC6">
              <w:rPr>
                <w:rFonts w:eastAsia="標楷體"/>
                <w:b/>
                <w:bCs/>
                <w:kern w:val="0"/>
              </w:rPr>
              <w:t>1.</w:t>
            </w:r>
            <w:r w:rsidRPr="00D55DC6">
              <w:rPr>
                <w:rFonts w:eastAsia="標楷體"/>
                <w:b/>
                <w:bCs/>
                <w:kern w:val="0"/>
              </w:rPr>
              <w:t>土地取得</w:t>
            </w:r>
          </w:p>
        </w:tc>
        <w:tc>
          <w:tcPr>
            <w:tcW w:w="776"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b/>
                <w:bCs/>
                <w:kern w:val="0"/>
              </w:rPr>
            </w:pPr>
            <w:r w:rsidRPr="00D55DC6">
              <w:rPr>
                <w:rFonts w:eastAsia="標楷體"/>
                <w:b/>
                <w:bCs/>
                <w:kern w:val="0"/>
              </w:rPr>
              <w:t>0.30</w:t>
            </w:r>
          </w:p>
        </w:tc>
        <w:tc>
          <w:tcPr>
            <w:tcW w:w="703"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b/>
                <w:bCs/>
                <w:kern w:val="0"/>
              </w:rPr>
            </w:pPr>
            <w:r w:rsidRPr="00D55DC6">
              <w:rPr>
                <w:rFonts w:eastAsia="標楷體"/>
                <w:b/>
                <w:bCs/>
                <w:kern w:val="0"/>
              </w:rPr>
              <w:t>0.30</w:t>
            </w:r>
          </w:p>
        </w:tc>
        <w:tc>
          <w:tcPr>
            <w:tcW w:w="702"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b/>
                <w:bCs/>
                <w:kern w:val="0"/>
              </w:rPr>
            </w:pPr>
            <w:r w:rsidRPr="00D55DC6">
              <w:rPr>
                <w:rFonts w:eastAsia="標楷體"/>
                <w:b/>
                <w:bCs/>
                <w:kern w:val="0"/>
              </w:rPr>
              <w:t>0.30</w:t>
            </w:r>
          </w:p>
        </w:tc>
        <w:tc>
          <w:tcPr>
            <w:tcW w:w="703"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b/>
                <w:bCs/>
                <w:kern w:val="0"/>
              </w:rPr>
            </w:pPr>
            <w:r w:rsidRPr="00D55DC6">
              <w:rPr>
                <w:rFonts w:eastAsia="標楷體"/>
                <w:b/>
                <w:bCs/>
                <w:kern w:val="0"/>
              </w:rPr>
              <w:t>0.30</w:t>
            </w:r>
          </w:p>
        </w:tc>
        <w:tc>
          <w:tcPr>
            <w:tcW w:w="658"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 xml:space="preserve">1.20  </w:t>
            </w:r>
          </w:p>
        </w:tc>
        <w:tc>
          <w:tcPr>
            <w:tcW w:w="1519"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辦理鯉魚潭土地徵收價購及轄區訂樁測量、撥用補償</w:t>
            </w:r>
          </w:p>
        </w:tc>
      </w:tr>
      <w:tr w:rsidR="001D0350" w:rsidRPr="00D55DC6" w:rsidTr="00986223">
        <w:trPr>
          <w:trHeight w:val="375"/>
        </w:trPr>
        <w:tc>
          <w:tcPr>
            <w:tcW w:w="395" w:type="dxa"/>
            <w:vMerge/>
            <w:tcBorders>
              <w:top w:val="nil"/>
              <w:left w:val="single" w:sz="8" w:space="0" w:color="auto"/>
              <w:bottom w:val="nil"/>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878"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1082" w:type="dxa"/>
            <w:vMerge w:val="restart"/>
            <w:tcBorders>
              <w:top w:val="nil"/>
              <w:left w:val="single" w:sz="8" w:space="0" w:color="auto"/>
              <w:bottom w:val="single" w:sz="8" w:space="0" w:color="000000"/>
              <w:right w:val="single" w:sz="8" w:space="0" w:color="auto"/>
            </w:tcBorders>
            <w:shd w:val="clear" w:color="000000" w:fill="CCFFCC"/>
          </w:tcPr>
          <w:p w:rsidR="00FE4B9B" w:rsidRPr="00D55DC6" w:rsidRDefault="00FE4B9B" w:rsidP="00FE4B9B">
            <w:pPr>
              <w:widowControl/>
              <w:spacing w:line="0" w:lineRule="atLeast"/>
              <w:rPr>
                <w:rFonts w:eastAsia="標楷體"/>
                <w:kern w:val="0"/>
              </w:rPr>
            </w:pPr>
            <w:r w:rsidRPr="00D55DC6">
              <w:rPr>
                <w:rFonts w:eastAsia="標楷體"/>
                <w:kern w:val="0"/>
              </w:rPr>
              <w:t>0302</w:t>
            </w:r>
            <w:r w:rsidRPr="00D55DC6">
              <w:rPr>
                <w:rFonts w:eastAsia="標楷體"/>
                <w:kern w:val="0"/>
              </w:rPr>
              <w:t>房屋建築及設備費</w:t>
            </w:r>
          </w:p>
        </w:tc>
        <w:tc>
          <w:tcPr>
            <w:tcW w:w="2718"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b/>
                <w:bCs/>
                <w:kern w:val="0"/>
              </w:rPr>
            </w:pPr>
            <w:r w:rsidRPr="00D55DC6">
              <w:rPr>
                <w:rFonts w:eastAsia="標楷體"/>
                <w:b/>
                <w:bCs/>
                <w:kern w:val="0"/>
              </w:rPr>
              <w:t>2.</w:t>
            </w:r>
            <w:r w:rsidRPr="00D55DC6">
              <w:rPr>
                <w:rFonts w:eastAsia="標楷體"/>
                <w:b/>
                <w:bCs/>
                <w:kern w:val="0"/>
              </w:rPr>
              <w:t>房屋建築及設備</w:t>
            </w:r>
          </w:p>
        </w:tc>
        <w:tc>
          <w:tcPr>
            <w:tcW w:w="776"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b/>
                <w:bCs/>
                <w:kern w:val="0"/>
              </w:rPr>
            </w:pPr>
            <w:r w:rsidRPr="00D55DC6">
              <w:rPr>
                <w:rFonts w:eastAsia="標楷體"/>
                <w:b/>
                <w:bCs/>
                <w:kern w:val="0"/>
              </w:rPr>
              <w:t>0.30</w:t>
            </w:r>
          </w:p>
        </w:tc>
        <w:tc>
          <w:tcPr>
            <w:tcW w:w="703"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b/>
                <w:bCs/>
                <w:kern w:val="0"/>
              </w:rPr>
            </w:pPr>
            <w:r w:rsidRPr="00D55DC6">
              <w:rPr>
                <w:rFonts w:eastAsia="標楷體"/>
                <w:b/>
                <w:bCs/>
                <w:kern w:val="0"/>
              </w:rPr>
              <w:t>0.30</w:t>
            </w:r>
          </w:p>
        </w:tc>
        <w:tc>
          <w:tcPr>
            <w:tcW w:w="702"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b/>
                <w:bCs/>
                <w:kern w:val="0"/>
              </w:rPr>
            </w:pPr>
            <w:r w:rsidRPr="00D55DC6">
              <w:rPr>
                <w:rFonts w:eastAsia="標楷體"/>
                <w:b/>
                <w:bCs/>
                <w:kern w:val="0"/>
              </w:rPr>
              <w:t>0.30</w:t>
            </w:r>
          </w:p>
        </w:tc>
        <w:tc>
          <w:tcPr>
            <w:tcW w:w="703"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b/>
                <w:bCs/>
                <w:kern w:val="0"/>
              </w:rPr>
            </w:pPr>
            <w:r w:rsidRPr="00D55DC6">
              <w:rPr>
                <w:rFonts w:eastAsia="標楷體"/>
                <w:b/>
                <w:bCs/>
                <w:kern w:val="0"/>
              </w:rPr>
              <w:t>0.30</w:t>
            </w:r>
          </w:p>
        </w:tc>
        <w:tc>
          <w:tcPr>
            <w:tcW w:w="658"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1.20</w:t>
            </w:r>
          </w:p>
        </w:tc>
        <w:tc>
          <w:tcPr>
            <w:tcW w:w="1519" w:type="dxa"/>
            <w:vMerge w:val="restart"/>
            <w:tcBorders>
              <w:top w:val="nil"/>
              <w:left w:val="single" w:sz="8" w:space="0" w:color="auto"/>
              <w:right w:val="single" w:sz="8" w:space="0" w:color="auto"/>
            </w:tcBorders>
          </w:tcPr>
          <w:p w:rsidR="00FE4B9B" w:rsidRPr="00D55DC6" w:rsidRDefault="00FE4B9B" w:rsidP="00FE4B9B">
            <w:pPr>
              <w:widowControl/>
              <w:spacing w:line="0" w:lineRule="atLeast"/>
              <w:jc w:val="both"/>
              <w:rPr>
                <w:rFonts w:eastAsia="標楷體"/>
                <w:kern w:val="0"/>
              </w:rPr>
            </w:pPr>
            <w:r w:rsidRPr="00D55DC6">
              <w:rPr>
                <w:rFonts w:eastAsia="標楷體"/>
                <w:kern w:val="0"/>
              </w:rPr>
              <w:t>辦理管理站暨遊客中心等整建</w:t>
            </w:r>
          </w:p>
        </w:tc>
      </w:tr>
      <w:tr w:rsidR="001D0350" w:rsidRPr="00D55DC6" w:rsidTr="00986223">
        <w:trPr>
          <w:trHeight w:val="375"/>
        </w:trPr>
        <w:tc>
          <w:tcPr>
            <w:tcW w:w="395" w:type="dxa"/>
            <w:vMerge/>
            <w:tcBorders>
              <w:top w:val="nil"/>
              <w:left w:val="single" w:sz="8" w:space="0" w:color="auto"/>
              <w:bottom w:val="nil"/>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878"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1082" w:type="dxa"/>
            <w:vMerge/>
            <w:tcBorders>
              <w:top w:val="nil"/>
              <w:left w:val="single" w:sz="8" w:space="0" w:color="auto"/>
              <w:bottom w:val="single" w:sz="8" w:space="0" w:color="000000"/>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2718"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jc w:val="both"/>
              <w:rPr>
                <w:rFonts w:eastAsia="標楷體"/>
                <w:kern w:val="0"/>
              </w:rPr>
            </w:pPr>
            <w:r w:rsidRPr="00D55DC6">
              <w:rPr>
                <w:rFonts w:eastAsia="標楷體"/>
                <w:kern w:val="0"/>
              </w:rPr>
              <w:t>(1)</w:t>
            </w:r>
            <w:r w:rsidRPr="00D55DC6">
              <w:rPr>
                <w:rFonts w:eastAsia="標楷體"/>
                <w:kern w:val="0"/>
              </w:rPr>
              <w:t>國際觀光重要景點</w:t>
            </w:r>
          </w:p>
        </w:tc>
        <w:tc>
          <w:tcPr>
            <w:tcW w:w="776"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kern w:val="0"/>
              </w:rPr>
            </w:pPr>
            <w:r w:rsidRPr="00D55DC6">
              <w:rPr>
                <w:rFonts w:eastAsia="標楷體"/>
                <w:kern w:val="0"/>
              </w:rPr>
              <w:t>0.20</w:t>
            </w:r>
          </w:p>
        </w:tc>
        <w:tc>
          <w:tcPr>
            <w:tcW w:w="703"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kern w:val="0"/>
              </w:rPr>
            </w:pPr>
            <w:r w:rsidRPr="00D55DC6">
              <w:rPr>
                <w:rFonts w:eastAsia="標楷體"/>
                <w:kern w:val="0"/>
              </w:rPr>
              <w:t>0.20</w:t>
            </w:r>
          </w:p>
        </w:tc>
        <w:tc>
          <w:tcPr>
            <w:tcW w:w="702"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kern w:val="0"/>
              </w:rPr>
            </w:pPr>
            <w:r w:rsidRPr="00D55DC6">
              <w:rPr>
                <w:rFonts w:eastAsia="標楷體"/>
                <w:kern w:val="0"/>
              </w:rPr>
              <w:t>0.20</w:t>
            </w:r>
          </w:p>
        </w:tc>
        <w:tc>
          <w:tcPr>
            <w:tcW w:w="703"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kern w:val="0"/>
              </w:rPr>
            </w:pPr>
            <w:r w:rsidRPr="00D55DC6">
              <w:rPr>
                <w:rFonts w:eastAsia="標楷體"/>
                <w:kern w:val="0"/>
              </w:rPr>
              <w:t>0.20</w:t>
            </w:r>
          </w:p>
        </w:tc>
        <w:tc>
          <w:tcPr>
            <w:tcW w:w="658"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0.80</w:t>
            </w:r>
          </w:p>
        </w:tc>
        <w:tc>
          <w:tcPr>
            <w:tcW w:w="1519" w:type="dxa"/>
            <w:vMerge/>
            <w:tcBorders>
              <w:left w:val="single" w:sz="8" w:space="0" w:color="auto"/>
              <w:right w:val="single" w:sz="8" w:space="0" w:color="auto"/>
            </w:tcBorders>
          </w:tcPr>
          <w:p w:rsidR="00FE4B9B" w:rsidRPr="00D55DC6" w:rsidRDefault="00FE4B9B" w:rsidP="00FE4B9B">
            <w:pPr>
              <w:widowControl/>
              <w:spacing w:line="0" w:lineRule="atLeast"/>
              <w:jc w:val="both"/>
              <w:rPr>
                <w:rFonts w:eastAsia="標楷體"/>
                <w:kern w:val="0"/>
              </w:rPr>
            </w:pPr>
          </w:p>
        </w:tc>
      </w:tr>
      <w:tr w:rsidR="001D0350" w:rsidRPr="00D55DC6" w:rsidTr="00986223">
        <w:trPr>
          <w:trHeight w:val="375"/>
        </w:trPr>
        <w:tc>
          <w:tcPr>
            <w:tcW w:w="395" w:type="dxa"/>
            <w:vMerge/>
            <w:tcBorders>
              <w:top w:val="nil"/>
              <w:left w:val="single" w:sz="8" w:space="0" w:color="auto"/>
              <w:bottom w:val="nil"/>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878"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1082" w:type="dxa"/>
            <w:vMerge/>
            <w:tcBorders>
              <w:top w:val="nil"/>
              <w:left w:val="single" w:sz="8" w:space="0" w:color="auto"/>
              <w:bottom w:val="single" w:sz="8" w:space="0" w:color="000000"/>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2718"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鯉魚潭、鹿野管理站暨遊客中心</w:t>
            </w:r>
          </w:p>
        </w:tc>
        <w:tc>
          <w:tcPr>
            <w:tcW w:w="776" w:type="dxa"/>
            <w:tcBorders>
              <w:top w:val="nil"/>
              <w:left w:val="nil"/>
              <w:bottom w:val="nil"/>
              <w:right w:val="nil"/>
            </w:tcBorders>
            <w:noWrap/>
            <w:vAlign w:val="center"/>
          </w:tcPr>
          <w:p w:rsidR="00FE4B9B" w:rsidRPr="00D55DC6" w:rsidRDefault="00FE4B9B" w:rsidP="00FE4B9B">
            <w:pPr>
              <w:widowControl/>
              <w:spacing w:line="0" w:lineRule="atLeast"/>
              <w:ind w:right="240"/>
              <w:rPr>
                <w:rFonts w:eastAsia="標楷體"/>
                <w:kern w:val="0"/>
              </w:rPr>
            </w:pPr>
            <w:r w:rsidRPr="00D55DC6">
              <w:rPr>
                <w:rFonts w:eastAsia="標楷體"/>
                <w:kern w:val="0"/>
              </w:rPr>
              <w:t>0.20</w:t>
            </w:r>
          </w:p>
        </w:tc>
        <w:tc>
          <w:tcPr>
            <w:tcW w:w="703" w:type="dxa"/>
            <w:tcBorders>
              <w:top w:val="nil"/>
              <w:left w:val="single" w:sz="8" w:space="0" w:color="auto"/>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0.20</w:t>
            </w:r>
          </w:p>
        </w:tc>
        <w:tc>
          <w:tcPr>
            <w:tcW w:w="702"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0.20</w:t>
            </w:r>
          </w:p>
        </w:tc>
        <w:tc>
          <w:tcPr>
            <w:tcW w:w="703"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0.20</w:t>
            </w:r>
          </w:p>
        </w:tc>
        <w:tc>
          <w:tcPr>
            <w:tcW w:w="658"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0.80</w:t>
            </w:r>
          </w:p>
        </w:tc>
        <w:tc>
          <w:tcPr>
            <w:tcW w:w="1519" w:type="dxa"/>
            <w:vMerge/>
            <w:tcBorders>
              <w:left w:val="single" w:sz="8" w:space="0" w:color="auto"/>
              <w:bottom w:val="single" w:sz="8" w:space="0" w:color="000000"/>
              <w:right w:val="single" w:sz="8" w:space="0" w:color="auto"/>
            </w:tcBorders>
          </w:tcPr>
          <w:p w:rsidR="00FE4B9B" w:rsidRPr="00D55DC6" w:rsidRDefault="00FE4B9B" w:rsidP="00FE4B9B">
            <w:pPr>
              <w:widowControl/>
              <w:spacing w:line="0" w:lineRule="atLeast"/>
              <w:jc w:val="both"/>
              <w:rPr>
                <w:rFonts w:eastAsia="標楷體"/>
                <w:kern w:val="0"/>
              </w:rPr>
            </w:pPr>
          </w:p>
        </w:tc>
      </w:tr>
      <w:tr w:rsidR="001D0350" w:rsidRPr="00D55DC6" w:rsidTr="00986223">
        <w:trPr>
          <w:trHeight w:val="345"/>
        </w:trPr>
        <w:tc>
          <w:tcPr>
            <w:tcW w:w="395" w:type="dxa"/>
            <w:vMerge/>
            <w:tcBorders>
              <w:top w:val="nil"/>
              <w:left w:val="single" w:sz="8" w:space="0" w:color="auto"/>
              <w:bottom w:val="nil"/>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878"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1082" w:type="dxa"/>
            <w:vMerge/>
            <w:tcBorders>
              <w:top w:val="nil"/>
              <w:left w:val="single" w:sz="8" w:space="0" w:color="auto"/>
              <w:bottom w:val="single" w:sz="8" w:space="0" w:color="000000"/>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2718" w:type="dxa"/>
            <w:tcBorders>
              <w:top w:val="nil"/>
              <w:left w:val="nil"/>
              <w:bottom w:val="single" w:sz="8" w:space="0" w:color="auto"/>
              <w:right w:val="single" w:sz="8" w:space="0" w:color="auto"/>
            </w:tcBorders>
            <w:shd w:val="clear" w:color="000000" w:fill="CCFFCC"/>
            <w:vAlign w:val="center"/>
          </w:tcPr>
          <w:p w:rsidR="00FE4B9B" w:rsidRPr="00D55DC6" w:rsidRDefault="00FE4B9B" w:rsidP="00FE4B9B">
            <w:pPr>
              <w:widowControl/>
              <w:spacing w:line="0" w:lineRule="atLeast"/>
              <w:rPr>
                <w:rFonts w:eastAsia="標楷體"/>
                <w:kern w:val="0"/>
              </w:rPr>
            </w:pPr>
            <w:r w:rsidRPr="00D55DC6">
              <w:rPr>
                <w:rFonts w:eastAsia="標楷體"/>
                <w:kern w:val="0"/>
              </w:rPr>
              <w:t>(2)</w:t>
            </w:r>
            <w:r w:rsidRPr="00D55DC6">
              <w:rPr>
                <w:rFonts w:eastAsia="標楷體"/>
                <w:kern w:val="0"/>
              </w:rPr>
              <w:t>國內觀光重要景點</w:t>
            </w:r>
          </w:p>
        </w:tc>
        <w:tc>
          <w:tcPr>
            <w:tcW w:w="776" w:type="dxa"/>
            <w:tcBorders>
              <w:top w:val="single" w:sz="8" w:space="0" w:color="auto"/>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kern w:val="0"/>
              </w:rPr>
            </w:pPr>
            <w:r w:rsidRPr="00D55DC6">
              <w:rPr>
                <w:rFonts w:eastAsia="標楷體"/>
                <w:kern w:val="0"/>
              </w:rPr>
              <w:t>0.10</w:t>
            </w:r>
          </w:p>
        </w:tc>
        <w:tc>
          <w:tcPr>
            <w:tcW w:w="703"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kern w:val="0"/>
              </w:rPr>
            </w:pPr>
            <w:r w:rsidRPr="00D55DC6">
              <w:rPr>
                <w:rFonts w:eastAsia="標楷體"/>
                <w:kern w:val="0"/>
              </w:rPr>
              <w:t>0.10</w:t>
            </w:r>
          </w:p>
        </w:tc>
        <w:tc>
          <w:tcPr>
            <w:tcW w:w="702"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kern w:val="0"/>
              </w:rPr>
            </w:pPr>
            <w:r w:rsidRPr="00D55DC6">
              <w:rPr>
                <w:rFonts w:eastAsia="標楷體"/>
                <w:kern w:val="0"/>
              </w:rPr>
              <w:t>0.10</w:t>
            </w:r>
          </w:p>
        </w:tc>
        <w:tc>
          <w:tcPr>
            <w:tcW w:w="703"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kern w:val="0"/>
              </w:rPr>
            </w:pPr>
            <w:r w:rsidRPr="00D55DC6">
              <w:rPr>
                <w:rFonts w:eastAsia="標楷體"/>
                <w:kern w:val="0"/>
              </w:rPr>
              <w:t>0.10</w:t>
            </w:r>
          </w:p>
        </w:tc>
        <w:tc>
          <w:tcPr>
            <w:tcW w:w="658"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0.40</w:t>
            </w:r>
          </w:p>
        </w:tc>
        <w:tc>
          <w:tcPr>
            <w:tcW w:w="1519" w:type="dxa"/>
            <w:vMerge w:val="restart"/>
            <w:tcBorders>
              <w:top w:val="nil"/>
              <w:left w:val="single" w:sz="8" w:space="0" w:color="auto"/>
              <w:right w:val="single" w:sz="8" w:space="0" w:color="auto"/>
            </w:tcBorders>
          </w:tcPr>
          <w:p w:rsidR="00FE4B9B" w:rsidRPr="00D55DC6" w:rsidRDefault="00FE4B9B" w:rsidP="00FE4B9B">
            <w:pPr>
              <w:widowControl/>
              <w:spacing w:line="0" w:lineRule="atLeast"/>
              <w:jc w:val="both"/>
              <w:rPr>
                <w:rFonts w:eastAsia="標楷體"/>
                <w:kern w:val="0"/>
              </w:rPr>
            </w:pPr>
            <w:r w:rsidRPr="00D55DC6">
              <w:rPr>
                <w:rFonts w:eastAsia="標楷體"/>
                <w:kern w:val="0"/>
              </w:rPr>
              <w:t>辦理旅遊資詢服務站及鐵馬驛站等整建</w:t>
            </w:r>
          </w:p>
        </w:tc>
      </w:tr>
      <w:tr w:rsidR="001D0350" w:rsidRPr="00D55DC6" w:rsidTr="00986223">
        <w:trPr>
          <w:trHeight w:val="133"/>
        </w:trPr>
        <w:tc>
          <w:tcPr>
            <w:tcW w:w="395" w:type="dxa"/>
            <w:vMerge/>
            <w:tcBorders>
              <w:top w:val="nil"/>
              <w:left w:val="single" w:sz="8" w:space="0" w:color="auto"/>
              <w:bottom w:val="nil"/>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878"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1082" w:type="dxa"/>
            <w:vMerge/>
            <w:tcBorders>
              <w:top w:val="nil"/>
              <w:left w:val="single" w:sz="8" w:space="0" w:color="auto"/>
              <w:bottom w:val="single" w:sz="8" w:space="0" w:color="000000"/>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2718"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卑南遊客中心、羅山管理站暨遊客中心、池上休憩區等</w:t>
            </w:r>
          </w:p>
        </w:tc>
        <w:tc>
          <w:tcPr>
            <w:tcW w:w="776"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0.10</w:t>
            </w:r>
          </w:p>
        </w:tc>
        <w:tc>
          <w:tcPr>
            <w:tcW w:w="703"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0.10</w:t>
            </w:r>
          </w:p>
        </w:tc>
        <w:tc>
          <w:tcPr>
            <w:tcW w:w="702"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0.10</w:t>
            </w:r>
          </w:p>
        </w:tc>
        <w:tc>
          <w:tcPr>
            <w:tcW w:w="703"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0.10</w:t>
            </w:r>
          </w:p>
        </w:tc>
        <w:tc>
          <w:tcPr>
            <w:tcW w:w="658"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0.40</w:t>
            </w:r>
          </w:p>
        </w:tc>
        <w:tc>
          <w:tcPr>
            <w:tcW w:w="1519" w:type="dxa"/>
            <w:vMerge/>
            <w:tcBorders>
              <w:left w:val="single" w:sz="8" w:space="0" w:color="auto"/>
              <w:bottom w:val="single" w:sz="8" w:space="0" w:color="000000"/>
              <w:right w:val="single" w:sz="8" w:space="0" w:color="auto"/>
            </w:tcBorders>
          </w:tcPr>
          <w:p w:rsidR="00FE4B9B" w:rsidRPr="00D55DC6" w:rsidRDefault="00FE4B9B" w:rsidP="00FE4B9B">
            <w:pPr>
              <w:widowControl/>
              <w:spacing w:line="0" w:lineRule="atLeast"/>
              <w:jc w:val="both"/>
              <w:rPr>
                <w:rFonts w:eastAsia="標楷體"/>
                <w:kern w:val="0"/>
              </w:rPr>
            </w:pPr>
          </w:p>
        </w:tc>
      </w:tr>
      <w:tr w:rsidR="001D0350" w:rsidRPr="00D55DC6" w:rsidTr="00986223">
        <w:trPr>
          <w:trHeight w:val="345"/>
        </w:trPr>
        <w:tc>
          <w:tcPr>
            <w:tcW w:w="395" w:type="dxa"/>
            <w:vMerge/>
            <w:tcBorders>
              <w:top w:val="nil"/>
              <w:left w:val="single" w:sz="8" w:space="0" w:color="auto"/>
              <w:bottom w:val="nil"/>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878"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1082" w:type="dxa"/>
            <w:vMerge w:val="restart"/>
            <w:tcBorders>
              <w:top w:val="nil"/>
              <w:left w:val="single" w:sz="8" w:space="0" w:color="auto"/>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kern w:val="0"/>
              </w:rPr>
            </w:pPr>
            <w:r w:rsidRPr="00D55DC6">
              <w:rPr>
                <w:rFonts w:eastAsia="標楷體"/>
                <w:kern w:val="0"/>
              </w:rPr>
              <w:t>0303</w:t>
            </w:r>
            <w:r w:rsidRPr="00D55DC6">
              <w:rPr>
                <w:rFonts w:eastAsia="標楷體"/>
                <w:kern w:val="0"/>
              </w:rPr>
              <w:t>公共建設及設施費</w:t>
            </w:r>
          </w:p>
        </w:tc>
        <w:tc>
          <w:tcPr>
            <w:tcW w:w="2718" w:type="dxa"/>
            <w:tcBorders>
              <w:top w:val="nil"/>
              <w:left w:val="nil"/>
              <w:bottom w:val="single" w:sz="8" w:space="0" w:color="auto"/>
              <w:right w:val="single" w:sz="8" w:space="0" w:color="auto"/>
            </w:tcBorders>
            <w:shd w:val="clear" w:color="000000" w:fill="CCFFCC"/>
            <w:vAlign w:val="center"/>
          </w:tcPr>
          <w:p w:rsidR="00FE4B9B" w:rsidRPr="00D55DC6" w:rsidRDefault="00FE4B9B" w:rsidP="00FE4B9B">
            <w:pPr>
              <w:widowControl/>
              <w:spacing w:line="0" w:lineRule="atLeast"/>
              <w:rPr>
                <w:rFonts w:eastAsia="標楷體"/>
                <w:b/>
                <w:bCs/>
                <w:kern w:val="0"/>
              </w:rPr>
            </w:pPr>
            <w:r w:rsidRPr="00D55DC6">
              <w:rPr>
                <w:rFonts w:eastAsia="標楷體"/>
                <w:b/>
                <w:bCs/>
                <w:kern w:val="0"/>
              </w:rPr>
              <w:t>3.</w:t>
            </w:r>
            <w:r w:rsidRPr="00D55DC6">
              <w:rPr>
                <w:rFonts w:eastAsia="標楷體"/>
                <w:b/>
                <w:bCs/>
                <w:kern w:val="0"/>
              </w:rPr>
              <w:t>公共建設及設施</w:t>
            </w:r>
          </w:p>
        </w:tc>
        <w:tc>
          <w:tcPr>
            <w:tcW w:w="776" w:type="dxa"/>
            <w:tcBorders>
              <w:top w:val="nil"/>
              <w:left w:val="nil"/>
              <w:bottom w:val="single" w:sz="8" w:space="0" w:color="auto"/>
              <w:right w:val="single" w:sz="8" w:space="0" w:color="auto"/>
            </w:tcBorders>
            <w:shd w:val="clear" w:color="000000" w:fill="CCFFCC"/>
            <w:vAlign w:val="center"/>
          </w:tcPr>
          <w:p w:rsidR="00FE4B9B" w:rsidRPr="00D55DC6" w:rsidRDefault="00FE4B9B" w:rsidP="00FE4B9B">
            <w:pPr>
              <w:widowControl/>
              <w:spacing w:line="0" w:lineRule="atLeast"/>
              <w:rPr>
                <w:rFonts w:eastAsia="標楷體"/>
                <w:b/>
                <w:bCs/>
                <w:kern w:val="0"/>
              </w:rPr>
            </w:pPr>
            <w:r w:rsidRPr="00D55DC6">
              <w:rPr>
                <w:rFonts w:eastAsia="標楷體"/>
                <w:b/>
                <w:bCs/>
                <w:kern w:val="0"/>
              </w:rPr>
              <w:t>2.10</w:t>
            </w:r>
          </w:p>
        </w:tc>
        <w:tc>
          <w:tcPr>
            <w:tcW w:w="703" w:type="dxa"/>
            <w:tcBorders>
              <w:top w:val="nil"/>
              <w:left w:val="nil"/>
              <w:bottom w:val="single" w:sz="8" w:space="0" w:color="auto"/>
              <w:right w:val="single" w:sz="8" w:space="0" w:color="auto"/>
            </w:tcBorders>
            <w:shd w:val="clear" w:color="000000" w:fill="CCFFCC"/>
            <w:vAlign w:val="center"/>
          </w:tcPr>
          <w:p w:rsidR="00FE4B9B" w:rsidRPr="00D55DC6" w:rsidRDefault="00FE4B9B" w:rsidP="00FE4B9B">
            <w:pPr>
              <w:widowControl/>
              <w:spacing w:line="0" w:lineRule="atLeast"/>
              <w:rPr>
                <w:rFonts w:eastAsia="標楷體"/>
                <w:b/>
                <w:bCs/>
                <w:kern w:val="0"/>
              </w:rPr>
            </w:pPr>
            <w:r w:rsidRPr="00D55DC6">
              <w:rPr>
                <w:rFonts w:eastAsia="標楷體"/>
                <w:b/>
                <w:bCs/>
                <w:kern w:val="0"/>
              </w:rPr>
              <w:t>2.10</w:t>
            </w:r>
          </w:p>
        </w:tc>
        <w:tc>
          <w:tcPr>
            <w:tcW w:w="702" w:type="dxa"/>
            <w:tcBorders>
              <w:top w:val="nil"/>
              <w:left w:val="nil"/>
              <w:bottom w:val="single" w:sz="8" w:space="0" w:color="auto"/>
              <w:right w:val="single" w:sz="8" w:space="0" w:color="auto"/>
            </w:tcBorders>
            <w:shd w:val="clear" w:color="000000" w:fill="CCFFCC"/>
            <w:vAlign w:val="center"/>
          </w:tcPr>
          <w:p w:rsidR="00FE4B9B" w:rsidRPr="00D55DC6" w:rsidRDefault="00FE4B9B" w:rsidP="00FE4B9B">
            <w:pPr>
              <w:widowControl/>
              <w:spacing w:line="0" w:lineRule="atLeast"/>
              <w:rPr>
                <w:rFonts w:eastAsia="標楷體"/>
                <w:b/>
                <w:bCs/>
                <w:kern w:val="0"/>
              </w:rPr>
            </w:pPr>
            <w:r w:rsidRPr="00D55DC6">
              <w:rPr>
                <w:rFonts w:eastAsia="標楷體"/>
                <w:b/>
                <w:bCs/>
                <w:kern w:val="0"/>
              </w:rPr>
              <w:t>2.10</w:t>
            </w:r>
          </w:p>
        </w:tc>
        <w:tc>
          <w:tcPr>
            <w:tcW w:w="703" w:type="dxa"/>
            <w:tcBorders>
              <w:top w:val="nil"/>
              <w:left w:val="nil"/>
              <w:bottom w:val="single" w:sz="8" w:space="0" w:color="auto"/>
              <w:right w:val="single" w:sz="8" w:space="0" w:color="auto"/>
            </w:tcBorders>
            <w:shd w:val="clear" w:color="000000" w:fill="CCFFCC"/>
            <w:vAlign w:val="center"/>
          </w:tcPr>
          <w:p w:rsidR="00FE4B9B" w:rsidRPr="00D55DC6" w:rsidRDefault="00FE4B9B" w:rsidP="00FE4B9B">
            <w:pPr>
              <w:widowControl/>
              <w:spacing w:line="0" w:lineRule="atLeast"/>
              <w:rPr>
                <w:rFonts w:eastAsia="標楷體"/>
                <w:b/>
                <w:bCs/>
                <w:kern w:val="0"/>
              </w:rPr>
            </w:pPr>
            <w:r w:rsidRPr="00D55DC6">
              <w:rPr>
                <w:rFonts w:eastAsia="標楷體"/>
                <w:b/>
                <w:bCs/>
                <w:kern w:val="0"/>
              </w:rPr>
              <w:t>2.10</w:t>
            </w:r>
          </w:p>
        </w:tc>
        <w:tc>
          <w:tcPr>
            <w:tcW w:w="658"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8.40</w:t>
            </w:r>
          </w:p>
        </w:tc>
        <w:tc>
          <w:tcPr>
            <w:tcW w:w="1519" w:type="dxa"/>
            <w:tcBorders>
              <w:top w:val="nil"/>
              <w:left w:val="nil"/>
              <w:bottom w:val="single" w:sz="8" w:space="0" w:color="auto"/>
              <w:right w:val="single" w:sz="8" w:space="0" w:color="auto"/>
            </w:tcBorders>
          </w:tcPr>
          <w:p w:rsidR="00FE4B9B" w:rsidRPr="00D55DC6" w:rsidRDefault="00FE4B9B" w:rsidP="00FE4B9B">
            <w:pPr>
              <w:widowControl/>
              <w:spacing w:line="0" w:lineRule="atLeast"/>
              <w:jc w:val="both"/>
              <w:rPr>
                <w:rFonts w:eastAsia="標楷體"/>
                <w:kern w:val="0"/>
              </w:rPr>
            </w:pPr>
            <w:r w:rsidRPr="00D55DC6">
              <w:rPr>
                <w:rFonts w:eastAsia="標楷體"/>
                <w:kern w:val="0"/>
              </w:rPr>
              <w:t xml:space="preserve">　</w:t>
            </w:r>
          </w:p>
        </w:tc>
      </w:tr>
      <w:tr w:rsidR="001D0350" w:rsidRPr="00D55DC6" w:rsidTr="00986223">
        <w:trPr>
          <w:trHeight w:val="360"/>
        </w:trPr>
        <w:tc>
          <w:tcPr>
            <w:tcW w:w="395" w:type="dxa"/>
            <w:vMerge/>
            <w:tcBorders>
              <w:top w:val="nil"/>
              <w:left w:val="single" w:sz="8" w:space="0" w:color="auto"/>
              <w:bottom w:val="nil"/>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878"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1082"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2718"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jc w:val="both"/>
              <w:rPr>
                <w:rFonts w:eastAsia="標楷體"/>
                <w:kern w:val="0"/>
              </w:rPr>
            </w:pPr>
            <w:r w:rsidRPr="00D55DC6">
              <w:rPr>
                <w:rFonts w:eastAsia="標楷體"/>
                <w:kern w:val="0"/>
              </w:rPr>
              <w:t>(1)</w:t>
            </w:r>
            <w:r w:rsidRPr="00D55DC6">
              <w:rPr>
                <w:rFonts w:eastAsia="標楷體"/>
                <w:kern w:val="0"/>
              </w:rPr>
              <w:t>先期規劃設計</w:t>
            </w:r>
          </w:p>
        </w:tc>
        <w:tc>
          <w:tcPr>
            <w:tcW w:w="776"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b/>
                <w:bCs/>
                <w:kern w:val="0"/>
              </w:rPr>
            </w:pPr>
            <w:r w:rsidRPr="00D55DC6">
              <w:rPr>
                <w:rFonts w:eastAsia="標楷體"/>
                <w:b/>
                <w:bCs/>
                <w:kern w:val="0"/>
              </w:rPr>
              <w:t>0.10</w:t>
            </w:r>
          </w:p>
        </w:tc>
        <w:tc>
          <w:tcPr>
            <w:tcW w:w="703"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b/>
                <w:bCs/>
                <w:kern w:val="0"/>
              </w:rPr>
            </w:pPr>
            <w:r w:rsidRPr="00D55DC6">
              <w:rPr>
                <w:rFonts w:eastAsia="標楷體"/>
                <w:b/>
                <w:bCs/>
                <w:kern w:val="0"/>
              </w:rPr>
              <w:t>0.10</w:t>
            </w:r>
          </w:p>
        </w:tc>
        <w:tc>
          <w:tcPr>
            <w:tcW w:w="702"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b/>
                <w:bCs/>
                <w:kern w:val="0"/>
              </w:rPr>
            </w:pPr>
            <w:r w:rsidRPr="00D55DC6">
              <w:rPr>
                <w:rFonts w:eastAsia="標楷體"/>
                <w:b/>
                <w:bCs/>
                <w:kern w:val="0"/>
              </w:rPr>
              <w:t>0.10</w:t>
            </w:r>
          </w:p>
        </w:tc>
        <w:tc>
          <w:tcPr>
            <w:tcW w:w="703"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b/>
                <w:bCs/>
                <w:kern w:val="0"/>
              </w:rPr>
            </w:pPr>
            <w:r w:rsidRPr="00D55DC6">
              <w:rPr>
                <w:rFonts w:eastAsia="標楷體"/>
                <w:b/>
                <w:bCs/>
                <w:kern w:val="0"/>
              </w:rPr>
              <w:t>0.10</w:t>
            </w:r>
          </w:p>
        </w:tc>
        <w:tc>
          <w:tcPr>
            <w:tcW w:w="658"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0.40</w:t>
            </w:r>
          </w:p>
        </w:tc>
        <w:tc>
          <w:tcPr>
            <w:tcW w:w="1519"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各重大開發建設、促參等先期規劃設計</w:t>
            </w:r>
          </w:p>
        </w:tc>
      </w:tr>
      <w:tr w:rsidR="001D0350" w:rsidRPr="00D55DC6" w:rsidTr="00986223">
        <w:trPr>
          <w:trHeight w:val="390"/>
        </w:trPr>
        <w:tc>
          <w:tcPr>
            <w:tcW w:w="395" w:type="dxa"/>
            <w:vMerge/>
            <w:tcBorders>
              <w:top w:val="nil"/>
              <w:left w:val="single" w:sz="8" w:space="0" w:color="auto"/>
              <w:bottom w:val="nil"/>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878"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1082"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2718"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jc w:val="both"/>
              <w:rPr>
                <w:rFonts w:eastAsia="標楷體"/>
                <w:kern w:val="0"/>
              </w:rPr>
            </w:pPr>
            <w:r w:rsidRPr="00D55DC6">
              <w:rPr>
                <w:rFonts w:eastAsia="標楷體"/>
                <w:kern w:val="0"/>
              </w:rPr>
              <w:t>(2)</w:t>
            </w:r>
            <w:r w:rsidRPr="00D55DC6">
              <w:rPr>
                <w:rFonts w:eastAsia="標楷體"/>
                <w:kern w:val="0"/>
              </w:rPr>
              <w:t>國際觀光重要景點</w:t>
            </w:r>
          </w:p>
        </w:tc>
        <w:tc>
          <w:tcPr>
            <w:tcW w:w="776"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b/>
                <w:bCs/>
                <w:kern w:val="0"/>
              </w:rPr>
            </w:pPr>
            <w:r w:rsidRPr="00D55DC6">
              <w:rPr>
                <w:rFonts w:eastAsia="標楷體"/>
                <w:b/>
                <w:bCs/>
                <w:kern w:val="0"/>
              </w:rPr>
              <w:t>1.20</w:t>
            </w:r>
          </w:p>
        </w:tc>
        <w:tc>
          <w:tcPr>
            <w:tcW w:w="703"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b/>
                <w:bCs/>
                <w:kern w:val="0"/>
              </w:rPr>
            </w:pPr>
            <w:r w:rsidRPr="00D55DC6">
              <w:rPr>
                <w:rFonts w:eastAsia="標楷體"/>
                <w:b/>
                <w:bCs/>
                <w:kern w:val="0"/>
              </w:rPr>
              <w:t>1.20</w:t>
            </w:r>
          </w:p>
        </w:tc>
        <w:tc>
          <w:tcPr>
            <w:tcW w:w="702"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b/>
                <w:bCs/>
                <w:kern w:val="0"/>
              </w:rPr>
            </w:pPr>
            <w:r w:rsidRPr="00D55DC6">
              <w:rPr>
                <w:rFonts w:eastAsia="標楷體"/>
                <w:b/>
                <w:bCs/>
                <w:kern w:val="0"/>
              </w:rPr>
              <w:t>1.20</w:t>
            </w:r>
          </w:p>
        </w:tc>
        <w:tc>
          <w:tcPr>
            <w:tcW w:w="703"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b/>
                <w:bCs/>
                <w:kern w:val="0"/>
              </w:rPr>
            </w:pPr>
            <w:r w:rsidRPr="00D55DC6">
              <w:rPr>
                <w:rFonts w:eastAsia="標楷體"/>
                <w:b/>
                <w:bCs/>
                <w:kern w:val="0"/>
              </w:rPr>
              <w:t>1.20</w:t>
            </w:r>
          </w:p>
        </w:tc>
        <w:tc>
          <w:tcPr>
            <w:tcW w:w="658"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4.80</w:t>
            </w:r>
          </w:p>
        </w:tc>
        <w:tc>
          <w:tcPr>
            <w:tcW w:w="1519" w:type="dxa"/>
            <w:vMerge w:val="restart"/>
            <w:tcBorders>
              <w:top w:val="nil"/>
              <w:left w:val="single" w:sz="8" w:space="0" w:color="auto"/>
              <w:right w:val="single" w:sz="8" w:space="0" w:color="auto"/>
            </w:tcBorders>
          </w:tcPr>
          <w:p w:rsidR="00FE4B9B" w:rsidRPr="00D55DC6" w:rsidRDefault="00FE4B9B" w:rsidP="00FE4B9B">
            <w:pPr>
              <w:widowControl/>
              <w:spacing w:line="0" w:lineRule="atLeast"/>
              <w:jc w:val="both"/>
              <w:rPr>
                <w:rFonts w:eastAsia="標楷體"/>
                <w:kern w:val="0"/>
              </w:rPr>
            </w:pPr>
            <w:r w:rsidRPr="00D55DC6">
              <w:rPr>
                <w:rFonts w:eastAsia="標楷體"/>
                <w:kern w:val="0"/>
              </w:rPr>
              <w:t>改善遊憩服務設施</w:t>
            </w:r>
          </w:p>
        </w:tc>
      </w:tr>
      <w:tr w:rsidR="001D0350" w:rsidRPr="00D55DC6" w:rsidTr="00986223">
        <w:trPr>
          <w:trHeight w:val="142"/>
        </w:trPr>
        <w:tc>
          <w:tcPr>
            <w:tcW w:w="395" w:type="dxa"/>
            <w:vMerge/>
            <w:tcBorders>
              <w:top w:val="nil"/>
              <w:left w:val="single" w:sz="8" w:space="0" w:color="auto"/>
              <w:bottom w:val="nil"/>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878"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1082"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2718"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鯉魚潭風景區</w:t>
            </w:r>
          </w:p>
        </w:tc>
        <w:tc>
          <w:tcPr>
            <w:tcW w:w="776"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0.70</w:t>
            </w:r>
          </w:p>
        </w:tc>
        <w:tc>
          <w:tcPr>
            <w:tcW w:w="703"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0.70</w:t>
            </w:r>
          </w:p>
        </w:tc>
        <w:tc>
          <w:tcPr>
            <w:tcW w:w="702"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0.70</w:t>
            </w:r>
          </w:p>
        </w:tc>
        <w:tc>
          <w:tcPr>
            <w:tcW w:w="703"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0.70</w:t>
            </w:r>
          </w:p>
        </w:tc>
        <w:tc>
          <w:tcPr>
            <w:tcW w:w="658"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2.80</w:t>
            </w:r>
          </w:p>
        </w:tc>
        <w:tc>
          <w:tcPr>
            <w:tcW w:w="1519" w:type="dxa"/>
            <w:vMerge/>
            <w:tcBorders>
              <w:left w:val="single" w:sz="8" w:space="0" w:color="auto"/>
              <w:right w:val="single" w:sz="8" w:space="0" w:color="auto"/>
            </w:tcBorders>
          </w:tcPr>
          <w:p w:rsidR="00FE4B9B" w:rsidRPr="00D55DC6" w:rsidRDefault="00FE4B9B" w:rsidP="00FE4B9B">
            <w:pPr>
              <w:widowControl/>
              <w:spacing w:line="0" w:lineRule="atLeast"/>
              <w:jc w:val="both"/>
              <w:rPr>
                <w:rFonts w:eastAsia="標楷體"/>
                <w:kern w:val="0"/>
              </w:rPr>
            </w:pPr>
          </w:p>
        </w:tc>
      </w:tr>
      <w:tr w:rsidR="001D0350" w:rsidRPr="00D55DC6" w:rsidTr="00986223">
        <w:trPr>
          <w:trHeight w:val="190"/>
        </w:trPr>
        <w:tc>
          <w:tcPr>
            <w:tcW w:w="395" w:type="dxa"/>
            <w:vMerge/>
            <w:tcBorders>
              <w:top w:val="nil"/>
              <w:left w:val="single" w:sz="8" w:space="0" w:color="auto"/>
              <w:bottom w:val="nil"/>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878"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1082"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2718"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鹿野龍田地區</w:t>
            </w:r>
          </w:p>
        </w:tc>
        <w:tc>
          <w:tcPr>
            <w:tcW w:w="776"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0.50</w:t>
            </w:r>
          </w:p>
        </w:tc>
        <w:tc>
          <w:tcPr>
            <w:tcW w:w="703"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0.50</w:t>
            </w:r>
          </w:p>
        </w:tc>
        <w:tc>
          <w:tcPr>
            <w:tcW w:w="702"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0.50</w:t>
            </w:r>
          </w:p>
        </w:tc>
        <w:tc>
          <w:tcPr>
            <w:tcW w:w="703"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0.50</w:t>
            </w:r>
          </w:p>
        </w:tc>
        <w:tc>
          <w:tcPr>
            <w:tcW w:w="658"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2.00</w:t>
            </w:r>
          </w:p>
        </w:tc>
        <w:tc>
          <w:tcPr>
            <w:tcW w:w="1519" w:type="dxa"/>
            <w:vMerge/>
            <w:tcBorders>
              <w:left w:val="single" w:sz="8" w:space="0" w:color="auto"/>
              <w:bottom w:val="nil"/>
              <w:right w:val="single" w:sz="8" w:space="0" w:color="auto"/>
            </w:tcBorders>
          </w:tcPr>
          <w:p w:rsidR="00FE4B9B" w:rsidRPr="00D55DC6" w:rsidRDefault="00FE4B9B" w:rsidP="00FE4B9B">
            <w:pPr>
              <w:widowControl/>
              <w:spacing w:line="0" w:lineRule="atLeast"/>
              <w:jc w:val="both"/>
              <w:rPr>
                <w:rFonts w:eastAsia="標楷體"/>
                <w:kern w:val="0"/>
              </w:rPr>
            </w:pPr>
          </w:p>
        </w:tc>
      </w:tr>
      <w:tr w:rsidR="001D0350" w:rsidRPr="00D55DC6" w:rsidTr="00986223">
        <w:trPr>
          <w:trHeight w:val="345"/>
        </w:trPr>
        <w:tc>
          <w:tcPr>
            <w:tcW w:w="395" w:type="dxa"/>
            <w:vMerge/>
            <w:tcBorders>
              <w:top w:val="nil"/>
              <w:left w:val="single" w:sz="8" w:space="0" w:color="auto"/>
              <w:bottom w:val="nil"/>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878"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1082"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2718"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jc w:val="both"/>
              <w:rPr>
                <w:rFonts w:eastAsia="標楷體"/>
                <w:kern w:val="0"/>
              </w:rPr>
            </w:pPr>
            <w:r w:rsidRPr="00D55DC6">
              <w:rPr>
                <w:rFonts w:eastAsia="標楷體"/>
                <w:kern w:val="0"/>
              </w:rPr>
              <w:t>(3)</w:t>
            </w:r>
            <w:r w:rsidRPr="00D55DC6">
              <w:rPr>
                <w:rFonts w:eastAsia="標楷體"/>
                <w:kern w:val="0"/>
              </w:rPr>
              <w:t>國內觀光重要景點</w:t>
            </w:r>
          </w:p>
        </w:tc>
        <w:tc>
          <w:tcPr>
            <w:tcW w:w="776" w:type="dxa"/>
            <w:tcBorders>
              <w:top w:val="nil"/>
              <w:left w:val="nil"/>
              <w:bottom w:val="single" w:sz="8" w:space="0" w:color="auto"/>
              <w:right w:val="single" w:sz="8" w:space="0" w:color="auto"/>
            </w:tcBorders>
            <w:shd w:val="clear" w:color="000000" w:fill="CCFFCC"/>
            <w:vAlign w:val="center"/>
          </w:tcPr>
          <w:p w:rsidR="00FE4B9B" w:rsidRPr="00D55DC6" w:rsidRDefault="00FE4B9B" w:rsidP="00FE4B9B">
            <w:pPr>
              <w:widowControl/>
              <w:spacing w:line="0" w:lineRule="atLeast"/>
              <w:rPr>
                <w:rFonts w:eastAsia="標楷體"/>
                <w:b/>
                <w:bCs/>
                <w:kern w:val="0"/>
              </w:rPr>
            </w:pPr>
            <w:r w:rsidRPr="00D55DC6">
              <w:rPr>
                <w:rFonts w:eastAsia="標楷體"/>
                <w:b/>
                <w:bCs/>
                <w:kern w:val="0"/>
              </w:rPr>
              <w:t>0.60</w:t>
            </w:r>
          </w:p>
        </w:tc>
        <w:tc>
          <w:tcPr>
            <w:tcW w:w="703" w:type="dxa"/>
            <w:tcBorders>
              <w:top w:val="nil"/>
              <w:left w:val="nil"/>
              <w:bottom w:val="single" w:sz="8" w:space="0" w:color="auto"/>
              <w:right w:val="single" w:sz="8" w:space="0" w:color="auto"/>
            </w:tcBorders>
            <w:shd w:val="clear" w:color="000000" w:fill="CCFFCC"/>
            <w:vAlign w:val="center"/>
          </w:tcPr>
          <w:p w:rsidR="00FE4B9B" w:rsidRPr="00D55DC6" w:rsidRDefault="00FE4B9B" w:rsidP="00FE4B9B">
            <w:pPr>
              <w:widowControl/>
              <w:spacing w:line="0" w:lineRule="atLeast"/>
              <w:rPr>
                <w:rFonts w:eastAsia="標楷體"/>
                <w:b/>
                <w:bCs/>
                <w:kern w:val="0"/>
              </w:rPr>
            </w:pPr>
            <w:r w:rsidRPr="00D55DC6">
              <w:rPr>
                <w:rFonts w:eastAsia="標楷體"/>
                <w:b/>
                <w:bCs/>
                <w:kern w:val="0"/>
              </w:rPr>
              <w:t>0.60</w:t>
            </w:r>
          </w:p>
        </w:tc>
        <w:tc>
          <w:tcPr>
            <w:tcW w:w="702" w:type="dxa"/>
            <w:tcBorders>
              <w:top w:val="nil"/>
              <w:left w:val="nil"/>
              <w:bottom w:val="single" w:sz="8" w:space="0" w:color="auto"/>
              <w:right w:val="single" w:sz="8" w:space="0" w:color="auto"/>
            </w:tcBorders>
            <w:shd w:val="clear" w:color="000000" w:fill="CCFFCC"/>
            <w:vAlign w:val="center"/>
          </w:tcPr>
          <w:p w:rsidR="00FE4B9B" w:rsidRPr="00D55DC6" w:rsidRDefault="00FE4B9B" w:rsidP="00FE4B9B">
            <w:pPr>
              <w:widowControl/>
              <w:spacing w:line="0" w:lineRule="atLeast"/>
              <w:rPr>
                <w:rFonts w:eastAsia="標楷體"/>
                <w:b/>
                <w:bCs/>
                <w:kern w:val="0"/>
              </w:rPr>
            </w:pPr>
            <w:r w:rsidRPr="00D55DC6">
              <w:rPr>
                <w:rFonts w:eastAsia="標楷體"/>
                <w:b/>
                <w:bCs/>
                <w:kern w:val="0"/>
              </w:rPr>
              <w:t>0.60</w:t>
            </w:r>
          </w:p>
        </w:tc>
        <w:tc>
          <w:tcPr>
            <w:tcW w:w="703" w:type="dxa"/>
            <w:tcBorders>
              <w:top w:val="nil"/>
              <w:left w:val="nil"/>
              <w:bottom w:val="single" w:sz="8" w:space="0" w:color="auto"/>
              <w:right w:val="single" w:sz="8" w:space="0" w:color="auto"/>
            </w:tcBorders>
            <w:shd w:val="clear" w:color="000000" w:fill="CCFFCC"/>
            <w:vAlign w:val="center"/>
          </w:tcPr>
          <w:p w:rsidR="00FE4B9B" w:rsidRPr="00D55DC6" w:rsidRDefault="00FE4B9B" w:rsidP="00FE4B9B">
            <w:pPr>
              <w:widowControl/>
              <w:spacing w:line="0" w:lineRule="atLeast"/>
              <w:rPr>
                <w:rFonts w:eastAsia="標楷體"/>
                <w:b/>
                <w:bCs/>
                <w:kern w:val="0"/>
              </w:rPr>
            </w:pPr>
            <w:r w:rsidRPr="00D55DC6">
              <w:rPr>
                <w:rFonts w:eastAsia="標楷體"/>
                <w:b/>
                <w:bCs/>
                <w:kern w:val="0"/>
              </w:rPr>
              <w:t>0.60</w:t>
            </w:r>
          </w:p>
        </w:tc>
        <w:tc>
          <w:tcPr>
            <w:tcW w:w="658"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2.40</w:t>
            </w:r>
          </w:p>
        </w:tc>
        <w:tc>
          <w:tcPr>
            <w:tcW w:w="1519" w:type="dxa"/>
            <w:vMerge w:val="restart"/>
            <w:tcBorders>
              <w:top w:val="single" w:sz="8" w:space="0" w:color="auto"/>
              <w:left w:val="single" w:sz="8" w:space="0" w:color="auto"/>
              <w:right w:val="single" w:sz="8" w:space="0" w:color="auto"/>
            </w:tcBorders>
          </w:tcPr>
          <w:p w:rsidR="00FE4B9B" w:rsidRPr="00D55DC6" w:rsidRDefault="00FE4B9B" w:rsidP="00FE4B9B">
            <w:pPr>
              <w:widowControl/>
              <w:spacing w:line="0" w:lineRule="atLeast"/>
              <w:jc w:val="both"/>
              <w:rPr>
                <w:rFonts w:eastAsia="標楷體"/>
                <w:kern w:val="0"/>
              </w:rPr>
            </w:pPr>
            <w:r w:rsidRPr="00D55DC6">
              <w:rPr>
                <w:rFonts w:eastAsia="標楷體"/>
                <w:kern w:val="0"/>
              </w:rPr>
              <w:t>建構優質景觀路廊、改善轄內服務設施及原住民部落環境改善及整治</w:t>
            </w:r>
          </w:p>
        </w:tc>
      </w:tr>
      <w:tr w:rsidR="001D0350" w:rsidRPr="00D55DC6" w:rsidTr="00986223">
        <w:trPr>
          <w:trHeight w:val="292"/>
        </w:trPr>
        <w:tc>
          <w:tcPr>
            <w:tcW w:w="395" w:type="dxa"/>
            <w:vMerge/>
            <w:tcBorders>
              <w:top w:val="nil"/>
              <w:left w:val="single" w:sz="8" w:space="0" w:color="auto"/>
              <w:bottom w:val="nil"/>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878"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1082"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2718" w:type="dxa"/>
            <w:tcBorders>
              <w:top w:val="nil"/>
              <w:left w:val="nil"/>
              <w:bottom w:val="single" w:sz="8" w:space="0" w:color="auto"/>
              <w:right w:val="single" w:sz="8" w:space="0" w:color="auto"/>
            </w:tcBorders>
          </w:tcPr>
          <w:p w:rsidR="00FE4B9B" w:rsidRPr="00D55DC6" w:rsidRDefault="00FE4B9B" w:rsidP="00FE4B9B">
            <w:pPr>
              <w:spacing w:line="0" w:lineRule="atLeast"/>
            </w:pPr>
            <w:r w:rsidRPr="00D55DC6">
              <w:rPr>
                <w:rFonts w:eastAsia="標楷體"/>
              </w:rPr>
              <w:t>原住民族地區觀光發展場域規劃建置</w:t>
            </w:r>
          </w:p>
        </w:tc>
        <w:tc>
          <w:tcPr>
            <w:tcW w:w="776"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0.15</w:t>
            </w:r>
          </w:p>
        </w:tc>
        <w:tc>
          <w:tcPr>
            <w:tcW w:w="703"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0.15</w:t>
            </w:r>
          </w:p>
        </w:tc>
        <w:tc>
          <w:tcPr>
            <w:tcW w:w="702"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0.15</w:t>
            </w:r>
          </w:p>
        </w:tc>
        <w:tc>
          <w:tcPr>
            <w:tcW w:w="703" w:type="dxa"/>
            <w:tcBorders>
              <w:top w:val="nil"/>
              <w:left w:val="nil"/>
              <w:bottom w:val="single" w:sz="8" w:space="0" w:color="auto"/>
              <w:right w:val="single" w:sz="8" w:space="0" w:color="auto"/>
            </w:tcBorders>
          </w:tcPr>
          <w:p w:rsidR="00FE4B9B" w:rsidRPr="00D55DC6" w:rsidRDefault="00FE4B9B" w:rsidP="00FE4B9B">
            <w:pPr>
              <w:spacing w:line="0" w:lineRule="atLeast"/>
              <w:rPr>
                <w:rFonts w:eastAsia="標楷體"/>
              </w:rPr>
            </w:pPr>
            <w:r w:rsidRPr="00D55DC6">
              <w:rPr>
                <w:rFonts w:eastAsia="標楷體"/>
              </w:rPr>
              <w:t>0.15</w:t>
            </w:r>
          </w:p>
        </w:tc>
        <w:tc>
          <w:tcPr>
            <w:tcW w:w="658"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0.60</w:t>
            </w:r>
          </w:p>
        </w:tc>
        <w:tc>
          <w:tcPr>
            <w:tcW w:w="1519" w:type="dxa"/>
            <w:vMerge/>
            <w:tcBorders>
              <w:left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r>
      <w:tr w:rsidR="001D0350" w:rsidRPr="00D55DC6" w:rsidTr="00986223">
        <w:trPr>
          <w:trHeight w:val="292"/>
        </w:trPr>
        <w:tc>
          <w:tcPr>
            <w:tcW w:w="395" w:type="dxa"/>
            <w:vMerge/>
            <w:tcBorders>
              <w:top w:val="nil"/>
              <w:left w:val="single" w:sz="8" w:space="0" w:color="auto"/>
              <w:bottom w:val="nil"/>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878"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1082"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2718" w:type="dxa"/>
            <w:tcBorders>
              <w:top w:val="nil"/>
              <w:left w:val="nil"/>
              <w:bottom w:val="single" w:sz="8" w:space="0" w:color="auto"/>
              <w:right w:val="single" w:sz="8" w:space="0" w:color="auto"/>
            </w:tcBorders>
          </w:tcPr>
          <w:p w:rsidR="00FE4B9B" w:rsidRPr="00D55DC6" w:rsidRDefault="00FE4B9B" w:rsidP="00FE4B9B">
            <w:pPr>
              <w:spacing w:line="0" w:lineRule="atLeast"/>
              <w:rPr>
                <w:rFonts w:eastAsia="標楷體"/>
                <w:kern w:val="0"/>
              </w:rPr>
            </w:pPr>
            <w:r w:rsidRPr="00D55DC6">
              <w:rPr>
                <w:rFonts w:eastAsia="標楷體"/>
              </w:rPr>
              <w:t>花東景觀廊道及綠美化</w:t>
            </w:r>
          </w:p>
        </w:tc>
        <w:tc>
          <w:tcPr>
            <w:tcW w:w="776"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0.10</w:t>
            </w:r>
          </w:p>
        </w:tc>
        <w:tc>
          <w:tcPr>
            <w:tcW w:w="703"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0.10</w:t>
            </w:r>
          </w:p>
        </w:tc>
        <w:tc>
          <w:tcPr>
            <w:tcW w:w="702"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0.10</w:t>
            </w:r>
          </w:p>
        </w:tc>
        <w:tc>
          <w:tcPr>
            <w:tcW w:w="703" w:type="dxa"/>
            <w:tcBorders>
              <w:top w:val="nil"/>
              <w:left w:val="nil"/>
              <w:bottom w:val="single" w:sz="8" w:space="0" w:color="auto"/>
              <w:right w:val="single" w:sz="8" w:space="0" w:color="auto"/>
            </w:tcBorders>
          </w:tcPr>
          <w:p w:rsidR="00FE4B9B" w:rsidRPr="00D55DC6" w:rsidRDefault="00FE4B9B" w:rsidP="00FE4B9B">
            <w:pPr>
              <w:spacing w:line="0" w:lineRule="atLeast"/>
              <w:rPr>
                <w:rFonts w:eastAsia="標楷體"/>
              </w:rPr>
            </w:pPr>
            <w:r w:rsidRPr="00D55DC6">
              <w:rPr>
                <w:rFonts w:eastAsia="標楷體"/>
              </w:rPr>
              <w:t>0.10</w:t>
            </w:r>
          </w:p>
        </w:tc>
        <w:tc>
          <w:tcPr>
            <w:tcW w:w="658"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0.40</w:t>
            </w:r>
          </w:p>
        </w:tc>
        <w:tc>
          <w:tcPr>
            <w:tcW w:w="1519" w:type="dxa"/>
            <w:vMerge/>
            <w:tcBorders>
              <w:left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r>
      <w:tr w:rsidR="001D0350" w:rsidRPr="00D55DC6" w:rsidTr="00986223">
        <w:trPr>
          <w:trHeight w:val="292"/>
        </w:trPr>
        <w:tc>
          <w:tcPr>
            <w:tcW w:w="395" w:type="dxa"/>
            <w:vMerge/>
            <w:tcBorders>
              <w:top w:val="nil"/>
              <w:left w:val="single" w:sz="8" w:space="0" w:color="auto"/>
              <w:bottom w:val="nil"/>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878"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1082"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2718" w:type="dxa"/>
            <w:tcBorders>
              <w:top w:val="nil"/>
              <w:left w:val="nil"/>
              <w:bottom w:val="single" w:sz="8" w:space="0" w:color="auto"/>
              <w:right w:val="single" w:sz="8" w:space="0" w:color="auto"/>
            </w:tcBorders>
          </w:tcPr>
          <w:p w:rsidR="00FE4B9B" w:rsidRPr="00D55DC6" w:rsidRDefault="00FE4B9B" w:rsidP="00FE4B9B">
            <w:pPr>
              <w:spacing w:line="0" w:lineRule="atLeast"/>
              <w:rPr>
                <w:rFonts w:eastAsia="標楷體"/>
                <w:kern w:val="0"/>
              </w:rPr>
            </w:pPr>
            <w:r w:rsidRPr="00D55DC6">
              <w:rPr>
                <w:rFonts w:eastAsia="標楷體"/>
              </w:rPr>
              <w:t>友善自行車旅遊環境</w:t>
            </w:r>
          </w:p>
        </w:tc>
        <w:tc>
          <w:tcPr>
            <w:tcW w:w="776"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0.10</w:t>
            </w:r>
          </w:p>
        </w:tc>
        <w:tc>
          <w:tcPr>
            <w:tcW w:w="703"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0.10</w:t>
            </w:r>
          </w:p>
        </w:tc>
        <w:tc>
          <w:tcPr>
            <w:tcW w:w="702"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0.10</w:t>
            </w:r>
          </w:p>
        </w:tc>
        <w:tc>
          <w:tcPr>
            <w:tcW w:w="703" w:type="dxa"/>
            <w:tcBorders>
              <w:top w:val="nil"/>
              <w:left w:val="nil"/>
              <w:bottom w:val="single" w:sz="8" w:space="0" w:color="auto"/>
              <w:right w:val="single" w:sz="8" w:space="0" w:color="auto"/>
            </w:tcBorders>
          </w:tcPr>
          <w:p w:rsidR="00FE4B9B" w:rsidRPr="00D55DC6" w:rsidRDefault="00FE4B9B" w:rsidP="00FE4B9B">
            <w:pPr>
              <w:spacing w:line="0" w:lineRule="atLeast"/>
              <w:rPr>
                <w:rFonts w:eastAsia="標楷體"/>
              </w:rPr>
            </w:pPr>
            <w:r w:rsidRPr="00D55DC6">
              <w:rPr>
                <w:rFonts w:eastAsia="標楷體"/>
              </w:rPr>
              <w:t>0.10</w:t>
            </w:r>
          </w:p>
        </w:tc>
        <w:tc>
          <w:tcPr>
            <w:tcW w:w="658"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0.40</w:t>
            </w:r>
          </w:p>
        </w:tc>
        <w:tc>
          <w:tcPr>
            <w:tcW w:w="1519" w:type="dxa"/>
            <w:vMerge/>
            <w:tcBorders>
              <w:left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r>
      <w:tr w:rsidR="001D0350" w:rsidRPr="00D55DC6" w:rsidTr="00986223">
        <w:trPr>
          <w:trHeight w:val="183"/>
        </w:trPr>
        <w:tc>
          <w:tcPr>
            <w:tcW w:w="395" w:type="dxa"/>
            <w:vMerge/>
            <w:tcBorders>
              <w:top w:val="nil"/>
              <w:left w:val="single" w:sz="8" w:space="0" w:color="auto"/>
              <w:bottom w:val="nil"/>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878"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1082"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2718" w:type="dxa"/>
            <w:tcBorders>
              <w:top w:val="nil"/>
              <w:left w:val="nil"/>
              <w:bottom w:val="single" w:sz="8" w:space="0" w:color="auto"/>
              <w:right w:val="single" w:sz="8" w:space="0" w:color="auto"/>
            </w:tcBorders>
          </w:tcPr>
          <w:p w:rsidR="00FE4B9B" w:rsidRPr="00D55DC6" w:rsidRDefault="00FE4B9B" w:rsidP="00FE4B9B">
            <w:pPr>
              <w:spacing w:line="0" w:lineRule="atLeast"/>
            </w:pPr>
            <w:r w:rsidRPr="00D55DC6">
              <w:rPr>
                <w:rFonts w:eastAsia="標楷體"/>
              </w:rPr>
              <w:t>遊憩據點公共服務設施及環境改善</w:t>
            </w:r>
          </w:p>
        </w:tc>
        <w:tc>
          <w:tcPr>
            <w:tcW w:w="776"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0.25</w:t>
            </w:r>
          </w:p>
        </w:tc>
        <w:tc>
          <w:tcPr>
            <w:tcW w:w="703"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0.25</w:t>
            </w:r>
          </w:p>
        </w:tc>
        <w:tc>
          <w:tcPr>
            <w:tcW w:w="702"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0.25</w:t>
            </w:r>
          </w:p>
        </w:tc>
        <w:tc>
          <w:tcPr>
            <w:tcW w:w="703"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0.25</w:t>
            </w:r>
          </w:p>
        </w:tc>
        <w:tc>
          <w:tcPr>
            <w:tcW w:w="658"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1.00</w:t>
            </w:r>
          </w:p>
        </w:tc>
        <w:tc>
          <w:tcPr>
            <w:tcW w:w="1519" w:type="dxa"/>
            <w:vMerge/>
            <w:tcBorders>
              <w:left w:val="single" w:sz="8" w:space="0" w:color="auto"/>
              <w:bottom w:val="nil"/>
              <w:right w:val="single" w:sz="8" w:space="0" w:color="auto"/>
            </w:tcBorders>
            <w:vAlign w:val="center"/>
          </w:tcPr>
          <w:p w:rsidR="00FE4B9B" w:rsidRPr="00D55DC6" w:rsidRDefault="00FE4B9B" w:rsidP="00FE4B9B">
            <w:pPr>
              <w:widowControl/>
              <w:spacing w:line="0" w:lineRule="atLeast"/>
              <w:rPr>
                <w:rFonts w:eastAsia="標楷體"/>
                <w:kern w:val="0"/>
              </w:rPr>
            </w:pPr>
          </w:p>
        </w:tc>
      </w:tr>
      <w:tr w:rsidR="001D0350" w:rsidRPr="00D55DC6" w:rsidTr="00986223">
        <w:trPr>
          <w:trHeight w:val="345"/>
        </w:trPr>
        <w:tc>
          <w:tcPr>
            <w:tcW w:w="395" w:type="dxa"/>
            <w:vMerge/>
            <w:tcBorders>
              <w:top w:val="nil"/>
              <w:left w:val="single" w:sz="8" w:space="0" w:color="auto"/>
              <w:bottom w:val="nil"/>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878"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1082"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2718" w:type="dxa"/>
            <w:tcBorders>
              <w:top w:val="single" w:sz="8" w:space="0" w:color="auto"/>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jc w:val="both"/>
              <w:rPr>
                <w:rFonts w:eastAsia="標楷體"/>
                <w:kern w:val="0"/>
              </w:rPr>
            </w:pPr>
            <w:r w:rsidRPr="00D55DC6">
              <w:rPr>
                <w:rFonts w:eastAsia="標楷體"/>
                <w:kern w:val="0"/>
              </w:rPr>
              <w:t>(4)</w:t>
            </w:r>
            <w:r w:rsidRPr="00D55DC6">
              <w:rPr>
                <w:rFonts w:eastAsia="標楷體"/>
                <w:kern w:val="0"/>
              </w:rPr>
              <w:t>環境及設施整修</w:t>
            </w:r>
          </w:p>
        </w:tc>
        <w:tc>
          <w:tcPr>
            <w:tcW w:w="776"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b/>
                <w:bCs/>
                <w:kern w:val="0"/>
              </w:rPr>
            </w:pPr>
            <w:r w:rsidRPr="00D55DC6">
              <w:rPr>
                <w:rFonts w:eastAsia="標楷體"/>
                <w:b/>
                <w:bCs/>
                <w:kern w:val="0"/>
              </w:rPr>
              <w:t>0.20</w:t>
            </w:r>
          </w:p>
        </w:tc>
        <w:tc>
          <w:tcPr>
            <w:tcW w:w="703"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b/>
                <w:bCs/>
                <w:kern w:val="0"/>
              </w:rPr>
            </w:pPr>
            <w:r w:rsidRPr="00D55DC6">
              <w:rPr>
                <w:rFonts w:eastAsia="標楷體"/>
                <w:b/>
                <w:bCs/>
                <w:kern w:val="0"/>
              </w:rPr>
              <w:t>0.20</w:t>
            </w:r>
          </w:p>
        </w:tc>
        <w:tc>
          <w:tcPr>
            <w:tcW w:w="702"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b/>
                <w:bCs/>
                <w:kern w:val="0"/>
              </w:rPr>
            </w:pPr>
            <w:r w:rsidRPr="00D55DC6">
              <w:rPr>
                <w:rFonts w:eastAsia="標楷體"/>
                <w:b/>
                <w:bCs/>
                <w:kern w:val="0"/>
              </w:rPr>
              <w:t>0.20</w:t>
            </w:r>
          </w:p>
        </w:tc>
        <w:tc>
          <w:tcPr>
            <w:tcW w:w="703" w:type="dxa"/>
            <w:tcBorders>
              <w:top w:val="nil"/>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rPr>
                <w:rFonts w:eastAsia="標楷體"/>
                <w:b/>
                <w:bCs/>
                <w:kern w:val="0"/>
              </w:rPr>
            </w:pPr>
            <w:r w:rsidRPr="00D55DC6">
              <w:rPr>
                <w:rFonts w:eastAsia="標楷體"/>
                <w:b/>
                <w:bCs/>
                <w:kern w:val="0"/>
              </w:rPr>
              <w:t>0.20</w:t>
            </w:r>
          </w:p>
        </w:tc>
        <w:tc>
          <w:tcPr>
            <w:tcW w:w="658"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0.80</w:t>
            </w:r>
          </w:p>
        </w:tc>
        <w:tc>
          <w:tcPr>
            <w:tcW w:w="1519" w:type="dxa"/>
            <w:vMerge w:val="restart"/>
            <w:tcBorders>
              <w:top w:val="single" w:sz="8" w:space="0" w:color="auto"/>
              <w:left w:val="single" w:sz="8" w:space="0" w:color="auto"/>
              <w:bottom w:val="single" w:sz="8" w:space="0" w:color="000000"/>
              <w:right w:val="single" w:sz="8" w:space="0" w:color="auto"/>
            </w:tcBorders>
          </w:tcPr>
          <w:p w:rsidR="00FE4B9B" w:rsidRPr="00D55DC6" w:rsidRDefault="00FE4B9B" w:rsidP="00FE4B9B">
            <w:pPr>
              <w:widowControl/>
              <w:spacing w:line="0" w:lineRule="atLeast"/>
              <w:rPr>
                <w:rFonts w:eastAsia="標楷體"/>
                <w:kern w:val="0"/>
              </w:rPr>
            </w:pPr>
          </w:p>
        </w:tc>
      </w:tr>
      <w:tr w:rsidR="001D0350" w:rsidRPr="00D55DC6" w:rsidTr="00986223">
        <w:trPr>
          <w:trHeight w:val="345"/>
        </w:trPr>
        <w:tc>
          <w:tcPr>
            <w:tcW w:w="395" w:type="dxa"/>
            <w:vMerge/>
            <w:tcBorders>
              <w:top w:val="nil"/>
              <w:left w:val="single" w:sz="8" w:space="0" w:color="auto"/>
              <w:bottom w:val="nil"/>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878"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1082"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2718" w:type="dxa"/>
            <w:tcBorders>
              <w:top w:val="nil"/>
              <w:left w:val="nil"/>
              <w:bottom w:val="single" w:sz="8" w:space="0" w:color="auto"/>
              <w:right w:val="single" w:sz="8" w:space="0" w:color="auto"/>
            </w:tcBorders>
          </w:tcPr>
          <w:p w:rsidR="00FE4B9B" w:rsidRPr="00D55DC6" w:rsidRDefault="00FE4B9B" w:rsidP="00FE4B9B">
            <w:pPr>
              <w:widowControl/>
              <w:spacing w:line="0" w:lineRule="atLeast"/>
              <w:jc w:val="both"/>
              <w:rPr>
                <w:rFonts w:eastAsia="標楷體"/>
                <w:kern w:val="0"/>
              </w:rPr>
            </w:pPr>
            <w:r w:rsidRPr="00D55DC6">
              <w:rPr>
                <w:rFonts w:eastAsia="標楷體"/>
                <w:kern w:val="0"/>
              </w:rPr>
              <w:t>環境維護及設施維持</w:t>
            </w:r>
          </w:p>
        </w:tc>
        <w:tc>
          <w:tcPr>
            <w:tcW w:w="776" w:type="dxa"/>
            <w:tcBorders>
              <w:top w:val="nil"/>
              <w:left w:val="nil"/>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r w:rsidRPr="00D55DC6">
              <w:rPr>
                <w:rFonts w:eastAsia="標楷體"/>
                <w:kern w:val="0"/>
              </w:rPr>
              <w:t>0.10</w:t>
            </w:r>
          </w:p>
        </w:tc>
        <w:tc>
          <w:tcPr>
            <w:tcW w:w="703"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0.10</w:t>
            </w:r>
          </w:p>
        </w:tc>
        <w:tc>
          <w:tcPr>
            <w:tcW w:w="702"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0.10</w:t>
            </w:r>
          </w:p>
        </w:tc>
        <w:tc>
          <w:tcPr>
            <w:tcW w:w="703" w:type="dxa"/>
            <w:tcBorders>
              <w:top w:val="nil"/>
              <w:left w:val="nil"/>
              <w:bottom w:val="single" w:sz="8"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0.10</w:t>
            </w:r>
          </w:p>
        </w:tc>
        <w:tc>
          <w:tcPr>
            <w:tcW w:w="658" w:type="dxa"/>
            <w:tcBorders>
              <w:top w:val="nil"/>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0.40</w:t>
            </w:r>
          </w:p>
        </w:tc>
        <w:tc>
          <w:tcPr>
            <w:tcW w:w="1519" w:type="dxa"/>
            <w:vMerge/>
            <w:tcBorders>
              <w:top w:val="single" w:sz="8" w:space="0" w:color="auto"/>
              <w:left w:val="single" w:sz="8" w:space="0" w:color="auto"/>
              <w:bottom w:val="single" w:sz="8" w:space="0" w:color="000000"/>
              <w:right w:val="single" w:sz="8" w:space="0" w:color="auto"/>
            </w:tcBorders>
            <w:vAlign w:val="center"/>
          </w:tcPr>
          <w:p w:rsidR="00FE4B9B" w:rsidRPr="00D55DC6" w:rsidRDefault="00FE4B9B" w:rsidP="00FE4B9B">
            <w:pPr>
              <w:widowControl/>
              <w:spacing w:line="0" w:lineRule="atLeast"/>
              <w:rPr>
                <w:rFonts w:eastAsia="標楷體"/>
                <w:kern w:val="0"/>
              </w:rPr>
            </w:pPr>
          </w:p>
        </w:tc>
      </w:tr>
      <w:tr w:rsidR="001D0350" w:rsidRPr="00D55DC6" w:rsidTr="00FE4B9B">
        <w:trPr>
          <w:trHeight w:val="213"/>
        </w:trPr>
        <w:tc>
          <w:tcPr>
            <w:tcW w:w="395" w:type="dxa"/>
            <w:vMerge/>
            <w:tcBorders>
              <w:top w:val="nil"/>
              <w:left w:val="single" w:sz="8" w:space="0" w:color="auto"/>
              <w:bottom w:val="nil"/>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878"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1082" w:type="dxa"/>
            <w:vMerge/>
            <w:tcBorders>
              <w:top w:val="nil"/>
              <w:left w:val="single" w:sz="8" w:space="0" w:color="auto"/>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2718" w:type="dxa"/>
            <w:tcBorders>
              <w:top w:val="nil"/>
              <w:left w:val="nil"/>
              <w:bottom w:val="single" w:sz="8" w:space="0" w:color="auto"/>
              <w:right w:val="single" w:sz="8" w:space="0" w:color="auto"/>
            </w:tcBorders>
          </w:tcPr>
          <w:p w:rsidR="00FE4B9B" w:rsidRPr="00D55DC6" w:rsidRDefault="00FE4B9B" w:rsidP="00FE4B9B">
            <w:pPr>
              <w:widowControl/>
              <w:spacing w:line="0" w:lineRule="atLeast"/>
              <w:jc w:val="both"/>
              <w:rPr>
                <w:rFonts w:eastAsia="標楷體"/>
                <w:kern w:val="0"/>
              </w:rPr>
            </w:pPr>
            <w:r w:rsidRPr="00D55DC6">
              <w:rPr>
                <w:rFonts w:eastAsia="標楷體"/>
                <w:kern w:val="0"/>
              </w:rPr>
              <w:t>全區災害復舊及一般零星工程</w:t>
            </w:r>
          </w:p>
        </w:tc>
        <w:tc>
          <w:tcPr>
            <w:tcW w:w="776" w:type="dxa"/>
            <w:tcBorders>
              <w:top w:val="nil"/>
              <w:left w:val="nil"/>
              <w:bottom w:val="single" w:sz="4"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0.10</w:t>
            </w:r>
          </w:p>
        </w:tc>
        <w:tc>
          <w:tcPr>
            <w:tcW w:w="703" w:type="dxa"/>
            <w:tcBorders>
              <w:top w:val="nil"/>
              <w:left w:val="nil"/>
              <w:bottom w:val="single" w:sz="4"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0.10</w:t>
            </w:r>
          </w:p>
        </w:tc>
        <w:tc>
          <w:tcPr>
            <w:tcW w:w="702" w:type="dxa"/>
            <w:tcBorders>
              <w:top w:val="nil"/>
              <w:left w:val="nil"/>
              <w:bottom w:val="single" w:sz="4"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0.10</w:t>
            </w:r>
          </w:p>
        </w:tc>
        <w:tc>
          <w:tcPr>
            <w:tcW w:w="703" w:type="dxa"/>
            <w:tcBorders>
              <w:top w:val="nil"/>
              <w:left w:val="nil"/>
              <w:bottom w:val="single" w:sz="4" w:space="0" w:color="auto"/>
              <w:right w:val="single" w:sz="8" w:space="0" w:color="auto"/>
            </w:tcBorders>
          </w:tcPr>
          <w:p w:rsidR="00FE4B9B" w:rsidRPr="00D55DC6" w:rsidRDefault="00FE4B9B" w:rsidP="00FE4B9B">
            <w:pPr>
              <w:widowControl/>
              <w:spacing w:line="0" w:lineRule="atLeast"/>
              <w:rPr>
                <w:rFonts w:eastAsia="標楷體"/>
                <w:kern w:val="0"/>
              </w:rPr>
            </w:pPr>
            <w:r w:rsidRPr="00D55DC6">
              <w:rPr>
                <w:rFonts w:eastAsia="標楷體"/>
                <w:kern w:val="0"/>
              </w:rPr>
              <w:t>0.10</w:t>
            </w:r>
          </w:p>
        </w:tc>
        <w:tc>
          <w:tcPr>
            <w:tcW w:w="658" w:type="dxa"/>
            <w:tcBorders>
              <w:top w:val="nil"/>
              <w:left w:val="nil"/>
              <w:bottom w:val="single" w:sz="4"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0.40</w:t>
            </w:r>
          </w:p>
        </w:tc>
        <w:tc>
          <w:tcPr>
            <w:tcW w:w="1519" w:type="dxa"/>
            <w:vMerge/>
            <w:tcBorders>
              <w:top w:val="single" w:sz="8" w:space="0" w:color="auto"/>
              <w:left w:val="single" w:sz="8" w:space="0" w:color="auto"/>
              <w:bottom w:val="single" w:sz="4" w:space="0" w:color="auto"/>
              <w:right w:val="single" w:sz="8" w:space="0" w:color="auto"/>
            </w:tcBorders>
            <w:vAlign w:val="center"/>
          </w:tcPr>
          <w:p w:rsidR="00FE4B9B" w:rsidRPr="00D55DC6" w:rsidRDefault="00FE4B9B" w:rsidP="00FE4B9B">
            <w:pPr>
              <w:widowControl/>
              <w:spacing w:line="0" w:lineRule="atLeast"/>
              <w:rPr>
                <w:rFonts w:eastAsia="標楷體"/>
                <w:kern w:val="0"/>
              </w:rPr>
            </w:pPr>
          </w:p>
        </w:tc>
      </w:tr>
      <w:tr w:rsidR="001D0350" w:rsidRPr="00D55DC6" w:rsidTr="00FE4B9B">
        <w:trPr>
          <w:trHeight w:val="312"/>
        </w:trPr>
        <w:tc>
          <w:tcPr>
            <w:tcW w:w="395" w:type="dxa"/>
            <w:vMerge/>
            <w:tcBorders>
              <w:top w:val="nil"/>
              <w:left w:val="single" w:sz="8" w:space="0" w:color="auto"/>
              <w:bottom w:val="nil"/>
              <w:right w:val="single" w:sz="8" w:space="0" w:color="auto"/>
            </w:tcBorders>
            <w:vAlign w:val="center"/>
          </w:tcPr>
          <w:p w:rsidR="00FE4B9B" w:rsidRPr="00D55DC6" w:rsidRDefault="00FE4B9B" w:rsidP="00FE4B9B">
            <w:pPr>
              <w:widowControl/>
              <w:spacing w:line="0" w:lineRule="atLeast"/>
              <w:rPr>
                <w:rFonts w:eastAsia="標楷體"/>
                <w:kern w:val="0"/>
              </w:rPr>
            </w:pPr>
          </w:p>
        </w:tc>
        <w:tc>
          <w:tcPr>
            <w:tcW w:w="878" w:type="dxa"/>
            <w:tcBorders>
              <w:top w:val="nil"/>
              <w:left w:val="nil"/>
              <w:right w:val="single" w:sz="8" w:space="0" w:color="auto"/>
            </w:tcBorders>
            <w:shd w:val="clear" w:color="000000" w:fill="CCFFCC"/>
          </w:tcPr>
          <w:p w:rsidR="00FE4B9B" w:rsidRPr="00D55DC6" w:rsidRDefault="00FE4B9B" w:rsidP="00FE4B9B">
            <w:pPr>
              <w:spacing w:line="0" w:lineRule="atLeast"/>
              <w:jc w:val="center"/>
              <w:rPr>
                <w:rFonts w:eastAsia="標楷體"/>
                <w:kern w:val="0"/>
              </w:rPr>
            </w:pPr>
          </w:p>
        </w:tc>
        <w:tc>
          <w:tcPr>
            <w:tcW w:w="1082" w:type="dxa"/>
            <w:tcBorders>
              <w:top w:val="nil"/>
              <w:left w:val="nil"/>
              <w:right w:val="single" w:sz="8" w:space="0" w:color="auto"/>
            </w:tcBorders>
            <w:shd w:val="clear" w:color="000000" w:fill="CCFFCC"/>
          </w:tcPr>
          <w:p w:rsidR="00FE4B9B" w:rsidRPr="00D55DC6" w:rsidRDefault="00FE4B9B" w:rsidP="00FE4B9B">
            <w:pPr>
              <w:spacing w:line="0" w:lineRule="atLeast"/>
              <w:jc w:val="center"/>
              <w:rPr>
                <w:rFonts w:eastAsia="標楷體"/>
                <w:kern w:val="0"/>
              </w:rPr>
            </w:pPr>
          </w:p>
        </w:tc>
        <w:tc>
          <w:tcPr>
            <w:tcW w:w="2718" w:type="dxa"/>
            <w:tcBorders>
              <w:top w:val="nil"/>
              <w:left w:val="nil"/>
              <w:right w:val="single" w:sz="4" w:space="0" w:color="auto"/>
            </w:tcBorders>
            <w:shd w:val="clear" w:color="000000" w:fill="CCFFCC"/>
          </w:tcPr>
          <w:p w:rsidR="00FE4B9B" w:rsidRPr="00D55DC6" w:rsidRDefault="00FE4B9B" w:rsidP="00FE4B9B">
            <w:pPr>
              <w:spacing w:line="0" w:lineRule="atLeast"/>
              <w:jc w:val="center"/>
              <w:rPr>
                <w:rFonts w:eastAsia="標楷體"/>
                <w:b/>
                <w:bCs/>
                <w:kern w:val="0"/>
              </w:rPr>
            </w:pPr>
            <w:r w:rsidRPr="00D55DC6">
              <w:rPr>
                <w:rFonts w:eastAsia="標楷體"/>
                <w:b/>
                <w:bCs/>
                <w:kern w:val="0"/>
              </w:rPr>
              <w:t>資本門合計</w:t>
            </w:r>
          </w:p>
        </w:tc>
        <w:tc>
          <w:tcPr>
            <w:tcW w:w="776" w:type="dxa"/>
            <w:tcBorders>
              <w:top w:val="single" w:sz="4" w:space="0" w:color="auto"/>
              <w:left w:val="single" w:sz="4" w:space="0" w:color="auto"/>
              <w:bottom w:val="single" w:sz="4" w:space="0" w:color="auto"/>
              <w:right w:val="single" w:sz="4" w:space="0" w:color="auto"/>
            </w:tcBorders>
            <w:shd w:val="clear" w:color="000000" w:fill="CCFFCC"/>
          </w:tcPr>
          <w:p w:rsidR="00FE4B9B" w:rsidRPr="00D55DC6" w:rsidRDefault="00FE4B9B" w:rsidP="00FE4B9B">
            <w:pPr>
              <w:spacing w:line="0" w:lineRule="atLeast"/>
              <w:jc w:val="center"/>
              <w:rPr>
                <w:rFonts w:eastAsia="標楷體"/>
                <w:b/>
                <w:bCs/>
                <w:kern w:val="0"/>
              </w:rPr>
            </w:pPr>
            <w:r w:rsidRPr="00D55DC6">
              <w:rPr>
                <w:rFonts w:eastAsia="標楷體"/>
                <w:b/>
                <w:bCs/>
                <w:kern w:val="0"/>
              </w:rPr>
              <w:t>2.70</w:t>
            </w:r>
          </w:p>
        </w:tc>
        <w:tc>
          <w:tcPr>
            <w:tcW w:w="703" w:type="dxa"/>
            <w:tcBorders>
              <w:top w:val="single" w:sz="4" w:space="0" w:color="auto"/>
              <w:left w:val="single" w:sz="4" w:space="0" w:color="auto"/>
              <w:bottom w:val="single" w:sz="4" w:space="0" w:color="auto"/>
              <w:right w:val="single" w:sz="4" w:space="0" w:color="auto"/>
            </w:tcBorders>
            <w:shd w:val="clear" w:color="000000" w:fill="CCFFCC"/>
          </w:tcPr>
          <w:p w:rsidR="00FE4B9B" w:rsidRPr="00D55DC6" w:rsidRDefault="00FE4B9B" w:rsidP="00FE4B9B">
            <w:pPr>
              <w:spacing w:line="0" w:lineRule="atLeast"/>
              <w:jc w:val="center"/>
              <w:rPr>
                <w:rFonts w:eastAsia="標楷體"/>
                <w:b/>
                <w:bCs/>
                <w:kern w:val="0"/>
              </w:rPr>
            </w:pPr>
            <w:r w:rsidRPr="00D55DC6">
              <w:rPr>
                <w:rFonts w:eastAsia="標楷體"/>
                <w:b/>
                <w:bCs/>
                <w:kern w:val="0"/>
              </w:rPr>
              <w:t>2.70</w:t>
            </w:r>
          </w:p>
        </w:tc>
        <w:tc>
          <w:tcPr>
            <w:tcW w:w="702" w:type="dxa"/>
            <w:tcBorders>
              <w:top w:val="single" w:sz="4" w:space="0" w:color="auto"/>
              <w:left w:val="single" w:sz="4" w:space="0" w:color="auto"/>
              <w:bottom w:val="single" w:sz="4" w:space="0" w:color="auto"/>
              <w:right w:val="single" w:sz="4" w:space="0" w:color="auto"/>
            </w:tcBorders>
            <w:shd w:val="clear" w:color="000000" w:fill="CCFFCC"/>
          </w:tcPr>
          <w:p w:rsidR="00FE4B9B" w:rsidRPr="00D55DC6" w:rsidRDefault="00FE4B9B" w:rsidP="00FE4B9B">
            <w:pPr>
              <w:spacing w:line="0" w:lineRule="atLeast"/>
              <w:jc w:val="center"/>
              <w:rPr>
                <w:rFonts w:eastAsia="標楷體"/>
                <w:b/>
                <w:bCs/>
                <w:kern w:val="0"/>
              </w:rPr>
            </w:pPr>
            <w:r w:rsidRPr="00D55DC6">
              <w:rPr>
                <w:rFonts w:eastAsia="標楷體"/>
                <w:b/>
                <w:bCs/>
                <w:kern w:val="0"/>
              </w:rPr>
              <w:t>2.70</w:t>
            </w:r>
          </w:p>
        </w:tc>
        <w:tc>
          <w:tcPr>
            <w:tcW w:w="703" w:type="dxa"/>
            <w:tcBorders>
              <w:top w:val="single" w:sz="4" w:space="0" w:color="auto"/>
              <w:left w:val="single" w:sz="4" w:space="0" w:color="auto"/>
              <w:bottom w:val="single" w:sz="4" w:space="0" w:color="auto"/>
              <w:right w:val="single" w:sz="4" w:space="0" w:color="auto"/>
            </w:tcBorders>
            <w:shd w:val="clear" w:color="000000" w:fill="CCFFCC"/>
          </w:tcPr>
          <w:p w:rsidR="00FE4B9B" w:rsidRPr="00D55DC6" w:rsidRDefault="00FE4B9B" w:rsidP="00FE4B9B">
            <w:pPr>
              <w:spacing w:line="0" w:lineRule="atLeast"/>
              <w:jc w:val="center"/>
              <w:rPr>
                <w:rFonts w:eastAsia="標楷體"/>
                <w:b/>
                <w:bCs/>
                <w:kern w:val="0"/>
              </w:rPr>
            </w:pPr>
            <w:r w:rsidRPr="00D55DC6">
              <w:rPr>
                <w:rFonts w:eastAsia="標楷體"/>
                <w:b/>
                <w:bCs/>
                <w:kern w:val="0"/>
              </w:rPr>
              <w:t>2.70</w:t>
            </w:r>
          </w:p>
        </w:tc>
        <w:tc>
          <w:tcPr>
            <w:tcW w:w="658" w:type="dxa"/>
            <w:tcBorders>
              <w:top w:val="single" w:sz="4" w:space="0" w:color="auto"/>
              <w:left w:val="single" w:sz="4" w:space="0" w:color="auto"/>
              <w:bottom w:val="single" w:sz="4" w:space="0" w:color="auto"/>
              <w:right w:val="single" w:sz="4" w:space="0" w:color="auto"/>
            </w:tcBorders>
            <w:shd w:val="clear" w:color="000000" w:fill="CCFFFF"/>
          </w:tcPr>
          <w:p w:rsidR="00FE4B9B" w:rsidRPr="00D55DC6" w:rsidRDefault="00FE4B9B" w:rsidP="00FE4B9B">
            <w:pPr>
              <w:spacing w:line="0" w:lineRule="atLeast"/>
              <w:jc w:val="center"/>
              <w:rPr>
                <w:rFonts w:eastAsia="標楷體"/>
                <w:b/>
                <w:bCs/>
                <w:kern w:val="0"/>
              </w:rPr>
            </w:pPr>
            <w:r w:rsidRPr="00D55DC6">
              <w:rPr>
                <w:rFonts w:eastAsia="標楷體"/>
                <w:b/>
                <w:bCs/>
                <w:kern w:val="0"/>
              </w:rPr>
              <w:t>10.80</w:t>
            </w:r>
          </w:p>
        </w:tc>
        <w:tc>
          <w:tcPr>
            <w:tcW w:w="1519" w:type="dxa"/>
            <w:tcBorders>
              <w:top w:val="single" w:sz="4" w:space="0" w:color="auto"/>
              <w:left w:val="single" w:sz="4" w:space="0" w:color="auto"/>
              <w:bottom w:val="single" w:sz="4" w:space="0" w:color="auto"/>
              <w:right w:val="single" w:sz="4" w:space="0" w:color="auto"/>
            </w:tcBorders>
          </w:tcPr>
          <w:p w:rsidR="00FE4B9B" w:rsidRPr="00D55DC6" w:rsidRDefault="00FE4B9B" w:rsidP="00FE4B9B">
            <w:pPr>
              <w:spacing w:line="0" w:lineRule="atLeast"/>
              <w:jc w:val="center"/>
              <w:rPr>
                <w:rFonts w:eastAsia="標楷體"/>
                <w:kern w:val="0"/>
              </w:rPr>
            </w:pPr>
          </w:p>
        </w:tc>
      </w:tr>
      <w:tr w:rsidR="001D0350" w:rsidRPr="00D55DC6" w:rsidTr="00FE4B9B">
        <w:trPr>
          <w:trHeight w:val="345"/>
        </w:trPr>
        <w:tc>
          <w:tcPr>
            <w:tcW w:w="5073" w:type="dxa"/>
            <w:gridSpan w:val="4"/>
            <w:tcBorders>
              <w:top w:val="single" w:sz="8" w:space="0" w:color="auto"/>
              <w:left w:val="single" w:sz="8" w:space="0" w:color="auto"/>
              <w:bottom w:val="single" w:sz="8" w:space="0" w:color="auto"/>
              <w:right w:val="single" w:sz="8" w:space="0" w:color="auto"/>
            </w:tcBorders>
            <w:shd w:val="clear" w:color="000000" w:fill="CCFFCC"/>
          </w:tcPr>
          <w:p w:rsidR="00FE4B9B" w:rsidRPr="00D55DC6" w:rsidRDefault="00FE4B9B" w:rsidP="00FE4B9B">
            <w:pPr>
              <w:widowControl/>
              <w:spacing w:line="0" w:lineRule="atLeast"/>
              <w:jc w:val="center"/>
              <w:rPr>
                <w:rFonts w:eastAsia="標楷體"/>
                <w:b/>
                <w:bCs/>
                <w:kern w:val="0"/>
              </w:rPr>
            </w:pPr>
            <w:r w:rsidRPr="00D55DC6">
              <w:rPr>
                <w:rFonts w:eastAsia="標楷體"/>
                <w:b/>
                <w:bCs/>
                <w:kern w:val="0"/>
              </w:rPr>
              <w:t xml:space="preserve">經資門合計　　</w:t>
            </w:r>
          </w:p>
        </w:tc>
        <w:tc>
          <w:tcPr>
            <w:tcW w:w="776" w:type="dxa"/>
            <w:tcBorders>
              <w:top w:val="single" w:sz="4" w:space="0" w:color="auto"/>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jc w:val="center"/>
              <w:rPr>
                <w:rFonts w:eastAsia="標楷體"/>
                <w:b/>
                <w:bCs/>
                <w:kern w:val="0"/>
              </w:rPr>
            </w:pPr>
            <w:r w:rsidRPr="00D55DC6">
              <w:rPr>
                <w:rFonts w:eastAsia="標楷體"/>
                <w:b/>
                <w:bCs/>
                <w:kern w:val="0"/>
              </w:rPr>
              <w:t>3.00</w:t>
            </w:r>
          </w:p>
        </w:tc>
        <w:tc>
          <w:tcPr>
            <w:tcW w:w="703" w:type="dxa"/>
            <w:tcBorders>
              <w:top w:val="single" w:sz="4" w:space="0" w:color="auto"/>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jc w:val="center"/>
              <w:rPr>
                <w:rFonts w:eastAsia="標楷體"/>
                <w:b/>
                <w:bCs/>
                <w:kern w:val="0"/>
              </w:rPr>
            </w:pPr>
            <w:r w:rsidRPr="00D55DC6">
              <w:rPr>
                <w:rFonts w:eastAsia="標楷體"/>
                <w:b/>
                <w:bCs/>
                <w:kern w:val="0"/>
              </w:rPr>
              <w:t>3.00</w:t>
            </w:r>
          </w:p>
        </w:tc>
        <w:tc>
          <w:tcPr>
            <w:tcW w:w="702" w:type="dxa"/>
            <w:tcBorders>
              <w:top w:val="single" w:sz="4" w:space="0" w:color="auto"/>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jc w:val="center"/>
              <w:rPr>
                <w:rFonts w:eastAsia="標楷體"/>
                <w:b/>
                <w:bCs/>
                <w:kern w:val="0"/>
              </w:rPr>
            </w:pPr>
            <w:r w:rsidRPr="00D55DC6">
              <w:rPr>
                <w:rFonts w:eastAsia="標楷體"/>
                <w:b/>
                <w:bCs/>
                <w:kern w:val="0"/>
              </w:rPr>
              <w:t>3.00</w:t>
            </w:r>
          </w:p>
        </w:tc>
        <w:tc>
          <w:tcPr>
            <w:tcW w:w="703" w:type="dxa"/>
            <w:tcBorders>
              <w:top w:val="single" w:sz="4" w:space="0" w:color="auto"/>
              <w:left w:val="nil"/>
              <w:bottom w:val="single" w:sz="8" w:space="0" w:color="auto"/>
              <w:right w:val="single" w:sz="8" w:space="0" w:color="auto"/>
            </w:tcBorders>
            <w:shd w:val="clear" w:color="000000" w:fill="CCFFCC"/>
          </w:tcPr>
          <w:p w:rsidR="00FE4B9B" w:rsidRPr="00D55DC6" w:rsidRDefault="00FE4B9B" w:rsidP="00FE4B9B">
            <w:pPr>
              <w:widowControl/>
              <w:spacing w:line="0" w:lineRule="atLeast"/>
              <w:jc w:val="center"/>
              <w:rPr>
                <w:rFonts w:eastAsia="標楷體"/>
                <w:b/>
                <w:bCs/>
                <w:kern w:val="0"/>
              </w:rPr>
            </w:pPr>
            <w:r w:rsidRPr="00D55DC6">
              <w:rPr>
                <w:rFonts w:eastAsia="標楷體"/>
                <w:b/>
                <w:bCs/>
                <w:kern w:val="0"/>
              </w:rPr>
              <w:t>3.00</w:t>
            </w:r>
          </w:p>
        </w:tc>
        <w:tc>
          <w:tcPr>
            <w:tcW w:w="658" w:type="dxa"/>
            <w:tcBorders>
              <w:top w:val="single" w:sz="4" w:space="0" w:color="auto"/>
              <w:left w:val="nil"/>
              <w:bottom w:val="single" w:sz="8" w:space="0" w:color="auto"/>
              <w:right w:val="single" w:sz="8" w:space="0" w:color="auto"/>
            </w:tcBorders>
            <w:shd w:val="clear" w:color="000000" w:fill="CCFFFF"/>
          </w:tcPr>
          <w:p w:rsidR="00FE4B9B" w:rsidRPr="00D55DC6" w:rsidRDefault="00FE4B9B" w:rsidP="00FE4B9B">
            <w:pPr>
              <w:widowControl/>
              <w:spacing w:line="0" w:lineRule="atLeast"/>
              <w:rPr>
                <w:rFonts w:eastAsia="標楷體"/>
                <w:b/>
                <w:bCs/>
                <w:kern w:val="0"/>
              </w:rPr>
            </w:pPr>
            <w:r w:rsidRPr="00D55DC6">
              <w:rPr>
                <w:rFonts w:eastAsia="標楷體"/>
                <w:b/>
                <w:bCs/>
                <w:kern w:val="0"/>
              </w:rPr>
              <w:t>12.00</w:t>
            </w:r>
          </w:p>
        </w:tc>
        <w:tc>
          <w:tcPr>
            <w:tcW w:w="1519" w:type="dxa"/>
            <w:tcBorders>
              <w:top w:val="single" w:sz="4" w:space="0" w:color="auto"/>
              <w:left w:val="nil"/>
              <w:bottom w:val="single" w:sz="8" w:space="0" w:color="auto"/>
              <w:right w:val="single" w:sz="8" w:space="0" w:color="auto"/>
            </w:tcBorders>
            <w:vAlign w:val="center"/>
          </w:tcPr>
          <w:p w:rsidR="00FE4B9B" w:rsidRPr="00D55DC6" w:rsidRDefault="00FE4B9B" w:rsidP="00FE4B9B">
            <w:pPr>
              <w:widowControl/>
              <w:spacing w:line="0" w:lineRule="atLeast"/>
              <w:rPr>
                <w:rFonts w:eastAsia="標楷體"/>
                <w:kern w:val="0"/>
              </w:rPr>
            </w:pPr>
            <w:r w:rsidRPr="00D55DC6">
              <w:rPr>
                <w:rFonts w:eastAsia="標楷體"/>
                <w:kern w:val="0"/>
              </w:rPr>
              <w:t xml:space="preserve">　</w:t>
            </w:r>
          </w:p>
        </w:tc>
      </w:tr>
    </w:tbl>
    <w:p w:rsidR="00C0747A" w:rsidRPr="00D55DC6" w:rsidRDefault="00C0747A" w:rsidP="00C0747A">
      <w:pPr>
        <w:snapToGrid w:val="0"/>
        <w:spacing w:line="460" w:lineRule="exact"/>
        <w:ind w:left="709"/>
        <w:jc w:val="both"/>
        <w:rPr>
          <w:rFonts w:eastAsia="標楷體"/>
          <w:b/>
          <w:bCs/>
          <w:sz w:val="28"/>
          <w:szCs w:val="28"/>
        </w:rPr>
      </w:pPr>
    </w:p>
    <w:p w:rsidR="00AE58E7" w:rsidRPr="00D55DC6" w:rsidRDefault="00AE58E7" w:rsidP="00C0747A">
      <w:pPr>
        <w:snapToGrid w:val="0"/>
        <w:spacing w:line="460" w:lineRule="exact"/>
        <w:ind w:left="709"/>
        <w:jc w:val="both"/>
        <w:rPr>
          <w:rFonts w:eastAsia="標楷體"/>
          <w:b/>
          <w:bCs/>
          <w:sz w:val="28"/>
          <w:szCs w:val="28"/>
        </w:rPr>
      </w:pPr>
    </w:p>
    <w:p w:rsidR="00FE4B9B" w:rsidRPr="00D55DC6" w:rsidRDefault="00FE4B9B" w:rsidP="00FE4B9B">
      <w:pPr>
        <w:numPr>
          <w:ilvl w:val="0"/>
          <w:numId w:val="1"/>
        </w:numPr>
        <w:snapToGrid w:val="0"/>
        <w:spacing w:line="460" w:lineRule="exact"/>
        <w:ind w:left="709" w:hanging="709"/>
        <w:jc w:val="both"/>
        <w:rPr>
          <w:rFonts w:eastAsia="標楷體"/>
          <w:b/>
          <w:bCs/>
          <w:sz w:val="28"/>
          <w:szCs w:val="28"/>
        </w:rPr>
      </w:pPr>
      <w:r w:rsidRPr="00D55DC6">
        <w:rPr>
          <w:rFonts w:eastAsia="標楷體"/>
          <w:b/>
          <w:bCs/>
          <w:sz w:val="28"/>
          <w:szCs w:val="28"/>
        </w:rPr>
        <w:t>預期效果及影響</w:t>
      </w:r>
    </w:p>
    <w:p w:rsidR="00FE4B9B" w:rsidRPr="00D55DC6" w:rsidRDefault="00FE4B9B" w:rsidP="004865C1">
      <w:pPr>
        <w:numPr>
          <w:ilvl w:val="0"/>
          <w:numId w:val="200"/>
        </w:numPr>
        <w:snapToGrid w:val="0"/>
        <w:spacing w:line="460" w:lineRule="exact"/>
        <w:jc w:val="both"/>
        <w:rPr>
          <w:rFonts w:eastAsia="標楷體"/>
          <w:sz w:val="28"/>
          <w:szCs w:val="28"/>
        </w:rPr>
      </w:pPr>
      <w:r w:rsidRPr="00D55DC6">
        <w:rPr>
          <w:rFonts w:eastAsia="標楷體"/>
          <w:sz w:val="28"/>
          <w:szCs w:val="28"/>
        </w:rPr>
        <w:t>善用跨域加值概念、引進民間投資興建公共服務設施及使用者付費機制，將財務自償率提升至</w:t>
      </w:r>
      <w:r w:rsidRPr="00D55DC6">
        <w:rPr>
          <w:rFonts w:eastAsia="標楷體"/>
          <w:sz w:val="28"/>
          <w:szCs w:val="28"/>
        </w:rPr>
        <w:t>25%</w:t>
      </w:r>
      <w:r w:rsidRPr="00D55DC6">
        <w:rPr>
          <w:rFonts w:eastAsia="標楷體"/>
          <w:sz w:val="28"/>
          <w:szCs w:val="28"/>
        </w:rPr>
        <w:t>。</w:t>
      </w:r>
    </w:p>
    <w:p w:rsidR="00E11B21" w:rsidRPr="00D55DC6" w:rsidRDefault="00E11B21" w:rsidP="004865C1">
      <w:pPr>
        <w:pStyle w:val="52"/>
        <w:numPr>
          <w:ilvl w:val="0"/>
          <w:numId w:val="200"/>
        </w:numPr>
        <w:snapToGrid w:val="0"/>
        <w:spacing w:line="460" w:lineRule="exact"/>
        <w:ind w:leftChars="0"/>
        <w:jc w:val="both"/>
        <w:rPr>
          <w:rFonts w:eastAsia="標楷體"/>
          <w:sz w:val="28"/>
          <w:szCs w:val="28"/>
        </w:rPr>
      </w:pPr>
      <w:r w:rsidRPr="00D55DC6">
        <w:rPr>
          <w:rFonts w:eastAsia="標楷體"/>
          <w:sz w:val="28"/>
          <w:szCs w:val="28"/>
        </w:rPr>
        <w:t>遊客人數由</w:t>
      </w:r>
      <w:r w:rsidRPr="00D55DC6">
        <w:rPr>
          <w:rFonts w:eastAsia="標楷體"/>
          <w:sz w:val="28"/>
          <w:szCs w:val="28"/>
        </w:rPr>
        <w:t>105</w:t>
      </w:r>
      <w:r w:rsidRPr="00D55DC6">
        <w:rPr>
          <w:rFonts w:eastAsia="標楷體"/>
          <w:sz w:val="28"/>
          <w:szCs w:val="28"/>
        </w:rPr>
        <w:t>年</w:t>
      </w:r>
      <w:r w:rsidRPr="00D55DC6">
        <w:rPr>
          <w:rFonts w:eastAsia="標楷體"/>
          <w:sz w:val="28"/>
          <w:szCs w:val="28"/>
        </w:rPr>
        <w:t>360</w:t>
      </w:r>
      <w:r w:rsidRPr="00D55DC6">
        <w:rPr>
          <w:rFonts w:eastAsia="標楷體"/>
          <w:sz w:val="28"/>
          <w:szCs w:val="28"/>
        </w:rPr>
        <w:t>萬人次提升至</w:t>
      </w:r>
      <w:r w:rsidRPr="00D55DC6">
        <w:rPr>
          <w:rFonts w:eastAsia="標楷體"/>
          <w:sz w:val="28"/>
          <w:szCs w:val="28"/>
        </w:rPr>
        <w:t>108</w:t>
      </w:r>
      <w:r w:rsidRPr="00D55DC6">
        <w:rPr>
          <w:rFonts w:eastAsia="標楷體"/>
          <w:sz w:val="28"/>
          <w:szCs w:val="28"/>
        </w:rPr>
        <w:t>年</w:t>
      </w:r>
      <w:r w:rsidRPr="00D55DC6">
        <w:rPr>
          <w:rFonts w:eastAsia="標楷體"/>
          <w:sz w:val="28"/>
          <w:szCs w:val="28"/>
        </w:rPr>
        <w:t>400</w:t>
      </w:r>
      <w:r w:rsidRPr="00D55DC6">
        <w:rPr>
          <w:rFonts w:eastAsia="標楷體"/>
          <w:sz w:val="28"/>
          <w:szCs w:val="28"/>
        </w:rPr>
        <w:t>萬人次，成長</w:t>
      </w:r>
      <w:r w:rsidRPr="00D55DC6">
        <w:rPr>
          <w:rFonts w:eastAsia="標楷體"/>
          <w:sz w:val="28"/>
          <w:szCs w:val="28"/>
        </w:rPr>
        <w:t>11%</w:t>
      </w:r>
      <w:r w:rsidRPr="00D55DC6">
        <w:rPr>
          <w:rFonts w:eastAsia="標楷體"/>
          <w:sz w:val="28"/>
          <w:szCs w:val="28"/>
        </w:rPr>
        <w:t>。</w:t>
      </w:r>
    </w:p>
    <w:p w:rsidR="00E11B21" w:rsidRPr="00D55DC6" w:rsidRDefault="00E11B21" w:rsidP="004865C1">
      <w:pPr>
        <w:pStyle w:val="52"/>
        <w:numPr>
          <w:ilvl w:val="0"/>
          <w:numId w:val="200"/>
        </w:numPr>
        <w:snapToGrid w:val="0"/>
        <w:spacing w:line="460" w:lineRule="exact"/>
        <w:ind w:leftChars="0"/>
        <w:jc w:val="both"/>
        <w:rPr>
          <w:rFonts w:eastAsia="標楷體"/>
          <w:sz w:val="28"/>
          <w:szCs w:val="28"/>
        </w:rPr>
      </w:pPr>
      <w:r w:rsidRPr="00D55DC6">
        <w:rPr>
          <w:rFonts w:eastAsia="標楷體"/>
          <w:sz w:val="28"/>
          <w:szCs w:val="28"/>
        </w:rPr>
        <w:t>增進國內外觀光客到訪，創造</w:t>
      </w:r>
      <w:r w:rsidRPr="00D55DC6">
        <w:rPr>
          <w:rFonts w:eastAsia="標楷體"/>
          <w:sz w:val="28"/>
          <w:szCs w:val="28"/>
        </w:rPr>
        <w:t>4</w:t>
      </w:r>
      <w:r w:rsidRPr="00D55DC6">
        <w:rPr>
          <w:rFonts w:eastAsia="標楷體"/>
          <w:sz w:val="28"/>
          <w:szCs w:val="28"/>
        </w:rPr>
        <w:t>年達</w:t>
      </w:r>
      <w:r w:rsidRPr="00D55DC6">
        <w:rPr>
          <w:rFonts w:eastAsia="標楷體"/>
          <w:sz w:val="28"/>
          <w:szCs w:val="28"/>
        </w:rPr>
        <w:t>483</w:t>
      </w:r>
      <w:r w:rsidRPr="00D55DC6">
        <w:rPr>
          <w:rFonts w:eastAsia="標楷體"/>
          <w:sz w:val="28"/>
          <w:szCs w:val="28"/>
        </w:rPr>
        <w:t>億元之觀光產值。</w:t>
      </w:r>
    </w:p>
    <w:p w:rsidR="00FE4B9B" w:rsidRPr="00D55DC6" w:rsidRDefault="00FE4B9B" w:rsidP="004865C1">
      <w:pPr>
        <w:numPr>
          <w:ilvl w:val="0"/>
          <w:numId w:val="200"/>
        </w:numPr>
        <w:snapToGrid w:val="0"/>
        <w:spacing w:line="460" w:lineRule="exact"/>
        <w:jc w:val="both"/>
        <w:rPr>
          <w:rFonts w:eastAsia="標楷體"/>
          <w:sz w:val="28"/>
          <w:szCs w:val="28"/>
        </w:rPr>
      </w:pPr>
      <w:r w:rsidRPr="00D55DC6">
        <w:rPr>
          <w:rFonts w:eastAsia="標楷體"/>
          <w:sz w:val="28"/>
          <w:szCs w:val="28"/>
        </w:rPr>
        <w:t>形塑花東縱谷北端鯉魚潭風景區與南端鹿野龍田地區大型觀光亮點，躍升國際旅遊服務水準。</w:t>
      </w:r>
    </w:p>
    <w:p w:rsidR="00FE4B9B" w:rsidRPr="00D55DC6" w:rsidRDefault="00FE4B9B" w:rsidP="00FE4B9B">
      <w:pPr>
        <w:snapToGrid w:val="0"/>
        <w:spacing w:line="460" w:lineRule="exact"/>
        <w:ind w:left="480"/>
        <w:jc w:val="both"/>
        <w:rPr>
          <w:rFonts w:eastAsia="標楷體"/>
          <w:sz w:val="28"/>
          <w:szCs w:val="28"/>
        </w:rPr>
      </w:pPr>
    </w:p>
    <w:p w:rsidR="00AE58E7" w:rsidRPr="00D55DC6" w:rsidRDefault="00AE58E7" w:rsidP="00FE4B9B">
      <w:pPr>
        <w:snapToGrid w:val="0"/>
        <w:spacing w:line="460" w:lineRule="exact"/>
        <w:ind w:left="480"/>
        <w:jc w:val="both"/>
        <w:rPr>
          <w:rFonts w:eastAsia="標楷體"/>
          <w:sz w:val="28"/>
          <w:szCs w:val="28"/>
        </w:rPr>
      </w:pPr>
    </w:p>
    <w:p w:rsidR="00AE58E7" w:rsidRPr="00D55DC6" w:rsidRDefault="00AE58E7" w:rsidP="00FE4B9B">
      <w:pPr>
        <w:snapToGrid w:val="0"/>
        <w:spacing w:line="460" w:lineRule="exact"/>
        <w:ind w:left="480"/>
        <w:jc w:val="both"/>
        <w:rPr>
          <w:rFonts w:eastAsia="標楷體"/>
          <w:sz w:val="28"/>
          <w:szCs w:val="28"/>
        </w:rPr>
      </w:pPr>
    </w:p>
    <w:p w:rsidR="00AE58E7" w:rsidRPr="00D55DC6" w:rsidRDefault="00AE58E7" w:rsidP="00FE4B9B">
      <w:pPr>
        <w:snapToGrid w:val="0"/>
        <w:spacing w:line="460" w:lineRule="exact"/>
        <w:ind w:left="480"/>
        <w:jc w:val="both"/>
        <w:rPr>
          <w:rFonts w:eastAsia="標楷體"/>
          <w:sz w:val="28"/>
          <w:szCs w:val="28"/>
        </w:rPr>
      </w:pPr>
    </w:p>
    <w:p w:rsidR="00FE4B9B" w:rsidRPr="00D55DC6" w:rsidRDefault="00FE4B9B" w:rsidP="00FE4B9B">
      <w:pPr>
        <w:numPr>
          <w:ilvl w:val="0"/>
          <w:numId w:val="1"/>
        </w:numPr>
        <w:snapToGrid w:val="0"/>
        <w:spacing w:line="460" w:lineRule="exact"/>
        <w:ind w:left="709" w:hanging="709"/>
        <w:jc w:val="both"/>
        <w:rPr>
          <w:rFonts w:eastAsia="標楷體"/>
          <w:b/>
          <w:bCs/>
          <w:sz w:val="28"/>
          <w:szCs w:val="28"/>
        </w:rPr>
      </w:pPr>
      <w:r w:rsidRPr="00D55DC6">
        <w:rPr>
          <w:rFonts w:eastAsia="標楷體"/>
          <w:b/>
          <w:bCs/>
          <w:sz w:val="28"/>
          <w:szCs w:val="28"/>
        </w:rPr>
        <w:lastRenderedPageBreak/>
        <w:t>財務計畫</w:t>
      </w:r>
    </w:p>
    <w:p w:rsidR="00FE4B9B" w:rsidRPr="00D55DC6" w:rsidRDefault="00FE4B9B" w:rsidP="004865C1">
      <w:pPr>
        <w:numPr>
          <w:ilvl w:val="0"/>
          <w:numId w:val="201"/>
        </w:numPr>
        <w:snapToGrid w:val="0"/>
        <w:spacing w:line="460" w:lineRule="exact"/>
        <w:jc w:val="both"/>
        <w:rPr>
          <w:rFonts w:eastAsia="標楷體"/>
          <w:b/>
          <w:bCs/>
          <w:sz w:val="28"/>
          <w:szCs w:val="28"/>
        </w:rPr>
      </w:pPr>
      <w:r w:rsidRPr="00D55DC6">
        <w:rPr>
          <w:rFonts w:eastAsia="標楷體"/>
          <w:b/>
          <w:bCs/>
          <w:sz w:val="28"/>
          <w:szCs w:val="28"/>
        </w:rPr>
        <w:t>財務計畫核定情形</w:t>
      </w:r>
    </w:p>
    <w:p w:rsidR="00FE4B9B" w:rsidRPr="00D55DC6" w:rsidRDefault="00FE4B9B" w:rsidP="00FE4B9B">
      <w:pPr>
        <w:widowControl/>
        <w:tabs>
          <w:tab w:val="right" w:leader="dot" w:pos="9356"/>
        </w:tabs>
        <w:spacing w:line="460" w:lineRule="exact"/>
        <w:ind w:leftChars="409" w:left="982" w:firstLineChars="204" w:firstLine="571"/>
        <w:jc w:val="both"/>
        <w:rPr>
          <w:rFonts w:eastAsia="標楷體"/>
          <w:sz w:val="28"/>
          <w:szCs w:val="28"/>
        </w:rPr>
      </w:pPr>
      <w:r w:rsidRPr="00D55DC6">
        <w:rPr>
          <w:rFonts w:eastAsia="標楷體"/>
          <w:sz w:val="28"/>
          <w:szCs w:val="28"/>
        </w:rPr>
        <w:t>依據管理處</w:t>
      </w:r>
      <w:r w:rsidRPr="00D55DC6">
        <w:rPr>
          <w:rFonts w:eastAsia="標楷體"/>
          <w:sz w:val="28"/>
          <w:szCs w:val="28"/>
        </w:rPr>
        <w:t>103</w:t>
      </w:r>
      <w:r w:rsidRPr="00D55DC6">
        <w:rPr>
          <w:rFonts w:eastAsia="標楷體"/>
          <w:sz w:val="28"/>
          <w:szCs w:val="28"/>
        </w:rPr>
        <w:t>年委託辦理「花東縱谷國家風景區觀光整體發展計畫」，未來</w:t>
      </w:r>
      <w:r w:rsidRPr="00D55DC6">
        <w:rPr>
          <w:rFonts w:eastAsia="標楷體"/>
          <w:sz w:val="28"/>
          <w:szCs w:val="28"/>
        </w:rPr>
        <w:t>20</w:t>
      </w:r>
      <w:r w:rsidRPr="00D55DC6">
        <w:rPr>
          <w:rFonts w:eastAsia="標楷體"/>
          <w:sz w:val="28"/>
          <w:szCs w:val="28"/>
        </w:rPr>
        <w:t>年期間</w:t>
      </w:r>
      <w:r w:rsidRPr="00D55DC6">
        <w:rPr>
          <w:rFonts w:eastAsia="標楷體"/>
          <w:sz w:val="28"/>
          <w:szCs w:val="28"/>
        </w:rPr>
        <w:t>(103</w:t>
      </w:r>
      <w:r w:rsidRPr="00D55DC6">
        <w:rPr>
          <w:rFonts w:eastAsia="標楷體"/>
          <w:sz w:val="28"/>
          <w:szCs w:val="28"/>
        </w:rPr>
        <w:t>至</w:t>
      </w:r>
      <w:r w:rsidRPr="00D55DC6">
        <w:rPr>
          <w:rFonts w:eastAsia="標楷體"/>
          <w:sz w:val="28"/>
          <w:szCs w:val="28"/>
        </w:rPr>
        <w:t>122</w:t>
      </w:r>
      <w:r w:rsidRPr="00D55DC6">
        <w:rPr>
          <w:rFonts w:eastAsia="標楷體"/>
          <w:sz w:val="28"/>
          <w:szCs w:val="28"/>
        </w:rPr>
        <w:t>年</w:t>
      </w:r>
      <w:r w:rsidRPr="00D55DC6">
        <w:rPr>
          <w:rFonts w:eastAsia="標楷體"/>
          <w:sz w:val="28"/>
          <w:szCs w:val="28"/>
        </w:rPr>
        <w:t>)</w:t>
      </w:r>
      <w:r w:rsidRPr="00D55DC6">
        <w:rPr>
          <w:rFonts w:eastAsia="標楷體"/>
          <w:sz w:val="28"/>
          <w:szCs w:val="28"/>
        </w:rPr>
        <w:t>計畫投入現值為</w:t>
      </w:r>
      <w:r w:rsidR="0097094B" w:rsidRPr="00D55DC6">
        <w:rPr>
          <w:rFonts w:eastAsia="標楷體"/>
          <w:sz w:val="28"/>
          <w:szCs w:val="28"/>
        </w:rPr>
        <w:t>24.6</w:t>
      </w:r>
      <w:r w:rsidR="00D63362" w:rsidRPr="00D55DC6">
        <w:rPr>
          <w:rFonts w:eastAsia="標楷體" w:hint="eastAsia"/>
          <w:sz w:val="28"/>
          <w:szCs w:val="28"/>
        </w:rPr>
        <w:t>9</w:t>
      </w:r>
      <w:r w:rsidRPr="00D55DC6">
        <w:rPr>
          <w:rFonts w:eastAsia="標楷體"/>
          <w:sz w:val="28"/>
          <w:szCs w:val="28"/>
        </w:rPr>
        <w:t>億元，收益現值為</w:t>
      </w:r>
      <w:r w:rsidRPr="00D55DC6">
        <w:rPr>
          <w:rFonts w:eastAsia="標楷體"/>
          <w:sz w:val="28"/>
          <w:szCs w:val="28"/>
        </w:rPr>
        <w:t>2.8</w:t>
      </w:r>
      <w:r w:rsidR="00D63362" w:rsidRPr="00D55DC6">
        <w:rPr>
          <w:rFonts w:eastAsia="標楷體" w:hint="eastAsia"/>
          <w:sz w:val="28"/>
          <w:szCs w:val="28"/>
        </w:rPr>
        <w:t>4</w:t>
      </w:r>
      <w:r w:rsidRPr="00D55DC6">
        <w:rPr>
          <w:rFonts w:eastAsia="標楷體"/>
          <w:sz w:val="28"/>
          <w:szCs w:val="28"/>
        </w:rPr>
        <w:t>億元，整體計畫財務自償率達</w:t>
      </w:r>
      <w:r w:rsidRPr="00D55DC6">
        <w:rPr>
          <w:rFonts w:eastAsia="標楷體"/>
          <w:sz w:val="28"/>
          <w:szCs w:val="28"/>
        </w:rPr>
        <w:t>11.</w:t>
      </w:r>
      <w:r w:rsidR="00D63362" w:rsidRPr="00D55DC6">
        <w:rPr>
          <w:rFonts w:eastAsia="標楷體" w:hint="eastAsia"/>
          <w:sz w:val="28"/>
          <w:szCs w:val="28"/>
        </w:rPr>
        <w:t>50</w:t>
      </w:r>
      <w:r w:rsidRPr="00D55DC6">
        <w:rPr>
          <w:rFonts w:eastAsia="標楷體"/>
          <w:sz w:val="28"/>
          <w:szCs w:val="28"/>
        </w:rPr>
        <w:t>%</w:t>
      </w:r>
      <w:r w:rsidRPr="00D55DC6">
        <w:rPr>
          <w:rFonts w:eastAsia="標楷體"/>
          <w:sz w:val="28"/>
          <w:szCs w:val="28"/>
        </w:rPr>
        <w:t>。</w:t>
      </w:r>
    </w:p>
    <w:p w:rsidR="00FE4B9B" w:rsidRPr="00D55DC6" w:rsidRDefault="00FE4B9B" w:rsidP="00FE4B9B">
      <w:pPr>
        <w:widowControl/>
        <w:tabs>
          <w:tab w:val="right" w:leader="dot" w:pos="9356"/>
        </w:tabs>
        <w:spacing w:line="460" w:lineRule="exact"/>
        <w:ind w:leftChars="409" w:left="982" w:firstLineChars="204" w:firstLine="571"/>
        <w:jc w:val="both"/>
        <w:rPr>
          <w:rFonts w:eastAsia="標楷體"/>
          <w:sz w:val="28"/>
          <w:szCs w:val="28"/>
        </w:rPr>
      </w:pPr>
    </w:p>
    <w:p w:rsidR="00FE4B9B" w:rsidRPr="00D55DC6" w:rsidRDefault="00FE4B9B" w:rsidP="004865C1">
      <w:pPr>
        <w:numPr>
          <w:ilvl w:val="0"/>
          <w:numId w:val="201"/>
        </w:numPr>
        <w:snapToGrid w:val="0"/>
        <w:spacing w:line="460" w:lineRule="exact"/>
        <w:jc w:val="both"/>
        <w:rPr>
          <w:rFonts w:eastAsia="標楷體"/>
          <w:b/>
          <w:bCs/>
          <w:sz w:val="28"/>
          <w:szCs w:val="28"/>
        </w:rPr>
      </w:pPr>
      <w:r w:rsidRPr="00D55DC6">
        <w:rPr>
          <w:rFonts w:eastAsia="標楷體"/>
          <w:b/>
          <w:bCs/>
          <w:sz w:val="28"/>
          <w:szCs w:val="28"/>
        </w:rPr>
        <w:t>預估財務收入情形</w:t>
      </w:r>
    </w:p>
    <w:p w:rsidR="00FE4B9B" w:rsidRPr="00D55DC6" w:rsidRDefault="00FE4B9B" w:rsidP="00FE4B9B">
      <w:pPr>
        <w:widowControl/>
        <w:tabs>
          <w:tab w:val="right" w:leader="dot" w:pos="9356"/>
        </w:tabs>
        <w:spacing w:line="460" w:lineRule="exact"/>
        <w:ind w:leftChars="409" w:left="982" w:firstLineChars="204" w:firstLine="571"/>
        <w:jc w:val="both"/>
        <w:rPr>
          <w:rFonts w:eastAsia="標楷體"/>
          <w:sz w:val="28"/>
          <w:szCs w:val="28"/>
        </w:rPr>
      </w:pPr>
      <w:r w:rsidRPr="00D55DC6">
        <w:rPr>
          <w:rFonts w:eastAsia="標楷體"/>
          <w:sz w:val="28"/>
          <w:szCs w:val="28"/>
        </w:rPr>
        <w:t>透過推動設施出租、重大促參案件、使用者付費、跨域合作等方向，積極提升計畫自償率。</w:t>
      </w:r>
    </w:p>
    <w:p w:rsidR="00FE4B9B" w:rsidRPr="00D55DC6" w:rsidRDefault="00FE4B9B" w:rsidP="00FE4B9B">
      <w:pPr>
        <w:widowControl/>
        <w:tabs>
          <w:tab w:val="right" w:leader="dot" w:pos="9356"/>
        </w:tabs>
        <w:spacing w:line="460" w:lineRule="exact"/>
        <w:ind w:leftChars="409" w:left="982" w:firstLineChars="204" w:firstLine="571"/>
        <w:jc w:val="both"/>
        <w:rPr>
          <w:rFonts w:eastAsia="標楷體"/>
          <w:sz w:val="28"/>
          <w:szCs w:val="28"/>
        </w:rPr>
      </w:pPr>
      <w:r w:rsidRPr="00D55DC6">
        <w:rPr>
          <w:rFonts w:eastAsia="標楷體"/>
          <w:sz w:val="28"/>
          <w:szCs w:val="28"/>
        </w:rPr>
        <w:t>惟國家風景區管轄範圍面積廣達</w:t>
      </w:r>
      <w:r w:rsidRPr="00D55DC6">
        <w:rPr>
          <w:rFonts w:eastAsia="標楷體"/>
          <w:sz w:val="28"/>
          <w:szCs w:val="28"/>
        </w:rPr>
        <w:t>138,368</w:t>
      </w:r>
      <w:r w:rsidRPr="00D55DC6">
        <w:rPr>
          <w:rFonts w:eastAsia="標楷體"/>
          <w:sz w:val="28"/>
          <w:szCs w:val="28"/>
        </w:rPr>
        <w:t>公頃，為中華民國面積最大之國家風景區，旅遊市場未臻成熟，相關旅遊觀光服務設施也尚未完備，鑑於未來轄內旅遊市場有逐漸成長的趨勢，透過強化及改善相關公共服務設施與形塑優質旅遊環境，以吸引國內外遊客前來花東縱谷旅遊，以期未來逐年增加觀光收益回饋所投入之公共建設成本，增加財務自償率。</w:t>
      </w:r>
    </w:p>
    <w:p w:rsidR="00FE4B9B" w:rsidRPr="00D55DC6" w:rsidRDefault="00FE4B9B" w:rsidP="00FE4B9B">
      <w:pPr>
        <w:widowControl/>
        <w:tabs>
          <w:tab w:val="right" w:leader="dot" w:pos="9356"/>
        </w:tabs>
        <w:spacing w:line="460" w:lineRule="exact"/>
        <w:ind w:leftChars="409" w:left="982" w:firstLineChars="204" w:firstLine="571"/>
        <w:jc w:val="both"/>
        <w:rPr>
          <w:rFonts w:eastAsia="標楷體"/>
          <w:sz w:val="28"/>
          <w:szCs w:val="28"/>
        </w:rPr>
      </w:pPr>
      <w:r w:rsidRPr="00D55DC6">
        <w:rPr>
          <w:rFonts w:eastAsia="標楷體"/>
          <w:sz w:val="28"/>
          <w:szCs w:val="28"/>
        </w:rPr>
        <w:t>現階段僅能以透過土地相關法令及相關單位之協助，努力達成自償率目標。</w:t>
      </w:r>
      <w:r w:rsidRPr="00D55DC6">
        <w:rPr>
          <w:rFonts w:eastAsia="標楷體"/>
          <w:sz w:val="28"/>
          <w:szCs w:val="28"/>
        </w:rPr>
        <w:t>105-108</w:t>
      </w:r>
      <w:r w:rsidRPr="00D55DC6">
        <w:rPr>
          <w:rFonts w:eastAsia="標楷體"/>
          <w:sz w:val="28"/>
          <w:szCs w:val="28"/>
        </w:rPr>
        <w:t>年階段將持續以擴大推動設施出租、促參案件為主，並尋求跨機關合作機會，新增碼頭清潔服務費、停車場清潔費等使用者付費機制，惟考量長期計畫可能存在「法規條件無法配套整合」、「</w:t>
      </w:r>
      <w:r w:rsidRPr="00D55DC6">
        <w:rPr>
          <w:rFonts w:eastAsia="標楷體"/>
          <w:sz w:val="28"/>
          <w:szCs w:val="28"/>
        </w:rPr>
        <w:t>BOT</w:t>
      </w:r>
      <w:r w:rsidRPr="00D55DC6">
        <w:rPr>
          <w:rFonts w:eastAsia="標楷體"/>
          <w:sz w:val="28"/>
          <w:szCs w:val="28"/>
        </w:rPr>
        <w:t>計畫因環評等不確定因素延宕」、「預估收益或預期市場反應過於樂觀」等眾多不確定風險特性，爰依實際推動現況並滾動檢討預估</w:t>
      </w:r>
      <w:r w:rsidRPr="00D55DC6">
        <w:rPr>
          <w:rFonts w:eastAsia="標楷體"/>
          <w:sz w:val="28"/>
          <w:szCs w:val="28"/>
        </w:rPr>
        <w:t>105-108</w:t>
      </w:r>
      <w:r w:rsidRPr="00D55DC6">
        <w:rPr>
          <w:rFonts w:eastAsia="標楷體"/>
          <w:sz w:val="28"/>
          <w:szCs w:val="28"/>
        </w:rPr>
        <w:t>年財務分年收入詳如下列預估財務收入分年規劃表。</w:t>
      </w:r>
    </w:p>
    <w:p w:rsidR="00FE4B9B" w:rsidRPr="00D55DC6" w:rsidRDefault="00FE4B9B" w:rsidP="00FE4B9B">
      <w:pPr>
        <w:widowControl/>
        <w:tabs>
          <w:tab w:val="right" w:leader="dot" w:pos="9356"/>
        </w:tabs>
        <w:spacing w:line="460" w:lineRule="exact"/>
        <w:ind w:leftChars="409" w:left="982" w:firstLineChars="204" w:firstLine="571"/>
        <w:jc w:val="both"/>
        <w:rPr>
          <w:rFonts w:eastAsia="標楷體"/>
          <w:sz w:val="28"/>
          <w:szCs w:val="28"/>
        </w:rPr>
      </w:pPr>
    </w:p>
    <w:p w:rsidR="00AE58E7" w:rsidRPr="00D55DC6" w:rsidRDefault="00AE58E7" w:rsidP="00FE4B9B">
      <w:pPr>
        <w:widowControl/>
        <w:tabs>
          <w:tab w:val="right" w:leader="dot" w:pos="9356"/>
        </w:tabs>
        <w:spacing w:line="460" w:lineRule="exact"/>
        <w:ind w:leftChars="409" w:left="982" w:firstLineChars="204" w:firstLine="571"/>
        <w:jc w:val="both"/>
        <w:rPr>
          <w:rFonts w:eastAsia="標楷體"/>
          <w:sz w:val="28"/>
          <w:szCs w:val="28"/>
        </w:rPr>
      </w:pPr>
    </w:p>
    <w:p w:rsidR="00AE58E7" w:rsidRPr="00D55DC6" w:rsidRDefault="00AE58E7" w:rsidP="00FE4B9B">
      <w:pPr>
        <w:widowControl/>
        <w:tabs>
          <w:tab w:val="right" w:leader="dot" w:pos="9356"/>
        </w:tabs>
        <w:spacing w:line="460" w:lineRule="exact"/>
        <w:ind w:leftChars="409" w:left="982" w:firstLineChars="204" w:firstLine="571"/>
        <w:jc w:val="both"/>
        <w:rPr>
          <w:rFonts w:eastAsia="標楷體"/>
          <w:sz w:val="28"/>
          <w:szCs w:val="28"/>
        </w:rPr>
      </w:pPr>
    </w:p>
    <w:p w:rsidR="00AE58E7" w:rsidRPr="00D55DC6" w:rsidRDefault="00AE58E7" w:rsidP="00FE4B9B">
      <w:pPr>
        <w:widowControl/>
        <w:tabs>
          <w:tab w:val="right" w:leader="dot" w:pos="9356"/>
        </w:tabs>
        <w:spacing w:line="460" w:lineRule="exact"/>
        <w:ind w:leftChars="409" w:left="982" w:firstLineChars="204" w:firstLine="571"/>
        <w:jc w:val="both"/>
        <w:rPr>
          <w:rFonts w:eastAsia="標楷體"/>
          <w:sz w:val="28"/>
          <w:szCs w:val="28"/>
        </w:rPr>
      </w:pPr>
    </w:p>
    <w:p w:rsidR="00AE58E7" w:rsidRPr="00D55DC6" w:rsidRDefault="00AE58E7" w:rsidP="00FE4B9B">
      <w:pPr>
        <w:widowControl/>
        <w:tabs>
          <w:tab w:val="right" w:leader="dot" w:pos="9356"/>
        </w:tabs>
        <w:spacing w:line="460" w:lineRule="exact"/>
        <w:ind w:leftChars="409" w:left="982" w:firstLineChars="204" w:firstLine="571"/>
        <w:jc w:val="both"/>
        <w:rPr>
          <w:rFonts w:eastAsia="標楷體"/>
          <w:sz w:val="28"/>
          <w:szCs w:val="28"/>
        </w:rPr>
      </w:pPr>
    </w:p>
    <w:p w:rsidR="00AE58E7" w:rsidRPr="00D55DC6" w:rsidRDefault="00AE58E7" w:rsidP="00FE4B9B">
      <w:pPr>
        <w:widowControl/>
        <w:tabs>
          <w:tab w:val="right" w:leader="dot" w:pos="9356"/>
        </w:tabs>
        <w:spacing w:line="460" w:lineRule="exact"/>
        <w:ind w:leftChars="409" w:left="982" w:firstLineChars="204" w:firstLine="571"/>
        <w:jc w:val="both"/>
        <w:rPr>
          <w:rFonts w:eastAsia="標楷體"/>
          <w:sz w:val="28"/>
          <w:szCs w:val="28"/>
        </w:rPr>
      </w:pPr>
    </w:p>
    <w:p w:rsidR="00E11B21" w:rsidRPr="00D55DC6" w:rsidRDefault="00E11B21" w:rsidP="00FE4B9B">
      <w:pPr>
        <w:widowControl/>
        <w:tabs>
          <w:tab w:val="right" w:leader="dot" w:pos="9356"/>
        </w:tabs>
        <w:spacing w:line="460" w:lineRule="exact"/>
        <w:ind w:leftChars="409" w:left="982" w:firstLineChars="204" w:firstLine="571"/>
        <w:jc w:val="both"/>
        <w:rPr>
          <w:rFonts w:eastAsia="標楷體"/>
          <w:sz w:val="28"/>
          <w:szCs w:val="28"/>
        </w:rPr>
      </w:pPr>
    </w:p>
    <w:p w:rsidR="00EA13B2" w:rsidRPr="00D55DC6" w:rsidRDefault="00EA13B2" w:rsidP="00EA13B2">
      <w:pPr>
        <w:snapToGrid w:val="0"/>
        <w:spacing w:line="460" w:lineRule="exact"/>
        <w:ind w:left="709"/>
        <w:jc w:val="both"/>
        <w:rPr>
          <w:rFonts w:eastAsia="標楷體"/>
          <w:sz w:val="28"/>
          <w:szCs w:val="28"/>
        </w:rPr>
      </w:pPr>
      <w:r w:rsidRPr="00D55DC6">
        <w:rPr>
          <w:rFonts w:eastAsia="標楷體" w:cs="標楷體" w:hint="eastAsia"/>
          <w:sz w:val="28"/>
          <w:szCs w:val="28"/>
        </w:rPr>
        <w:lastRenderedPageBreak/>
        <w:t>表</w:t>
      </w:r>
      <w:r w:rsidRPr="00D55DC6">
        <w:rPr>
          <w:rFonts w:eastAsia="標楷體"/>
          <w:sz w:val="28"/>
          <w:szCs w:val="28"/>
        </w:rPr>
        <w:t xml:space="preserve">6 </w:t>
      </w:r>
      <w:r w:rsidRPr="00D55DC6">
        <w:rPr>
          <w:rFonts w:eastAsia="標楷體" w:cs="標楷體" w:hint="eastAsia"/>
          <w:sz w:val="28"/>
          <w:szCs w:val="28"/>
        </w:rPr>
        <w:t>預估財務收入分年規劃表</w:t>
      </w:r>
      <w:r w:rsidRPr="00D55DC6">
        <w:rPr>
          <w:rFonts w:eastAsia="標楷體"/>
          <w:sz w:val="28"/>
          <w:szCs w:val="28"/>
        </w:rPr>
        <w:t xml:space="preserve">                       </w:t>
      </w:r>
      <w:r w:rsidRPr="00D55DC6">
        <w:rPr>
          <w:rFonts w:eastAsia="標楷體" w:cs="標楷體" w:hint="eastAsia"/>
          <w:sz w:val="28"/>
          <w:szCs w:val="28"/>
        </w:rPr>
        <w:t>（單位：千元）</w:t>
      </w:r>
    </w:p>
    <w:tbl>
      <w:tblPr>
        <w:tblW w:w="10362" w:type="dxa"/>
        <w:jc w:val="center"/>
        <w:tblInd w:w="-270" w:type="dxa"/>
        <w:tblLayout w:type="fixed"/>
        <w:tblCellMar>
          <w:left w:w="28" w:type="dxa"/>
          <w:right w:w="28" w:type="dxa"/>
        </w:tblCellMar>
        <w:tblLook w:val="00A0" w:firstRow="1" w:lastRow="0" w:firstColumn="1" w:lastColumn="0" w:noHBand="0" w:noVBand="0"/>
      </w:tblPr>
      <w:tblGrid>
        <w:gridCol w:w="3464"/>
        <w:gridCol w:w="689"/>
        <w:gridCol w:w="690"/>
        <w:gridCol w:w="690"/>
        <w:gridCol w:w="690"/>
        <w:gridCol w:w="690"/>
        <w:gridCol w:w="689"/>
        <w:gridCol w:w="690"/>
        <w:gridCol w:w="690"/>
        <w:gridCol w:w="690"/>
        <w:gridCol w:w="690"/>
      </w:tblGrid>
      <w:tr w:rsidR="001D0350" w:rsidRPr="00D55DC6" w:rsidTr="00A56CBE">
        <w:trPr>
          <w:trHeight w:val="585"/>
          <w:jc w:val="center"/>
        </w:trPr>
        <w:tc>
          <w:tcPr>
            <w:tcW w:w="3464" w:type="dxa"/>
            <w:tcBorders>
              <w:top w:val="single" w:sz="4" w:space="0" w:color="auto"/>
              <w:left w:val="single" w:sz="4" w:space="0" w:color="auto"/>
              <w:bottom w:val="double" w:sz="6" w:space="0" w:color="auto"/>
              <w:right w:val="single" w:sz="4" w:space="0" w:color="auto"/>
            </w:tcBorders>
            <w:shd w:val="clear" w:color="000000" w:fill="FFCC00"/>
            <w:vAlign w:val="center"/>
          </w:tcPr>
          <w:p w:rsidR="00EA13B2" w:rsidRPr="00D55DC6" w:rsidRDefault="00EA13B2" w:rsidP="00A56CBE">
            <w:pPr>
              <w:widowControl/>
              <w:spacing w:line="460" w:lineRule="exact"/>
              <w:rPr>
                <w:rFonts w:ascii="標楷體" w:eastAsia="標楷體" w:hAnsi="標楷體"/>
                <w:kern w:val="0"/>
                <w:sz w:val="20"/>
                <w:szCs w:val="20"/>
              </w:rPr>
            </w:pPr>
            <w:r w:rsidRPr="00D55DC6">
              <w:rPr>
                <w:rFonts w:ascii="標楷體" w:eastAsia="標楷體" w:hAnsi="標楷體" w:cs="標楷體" w:hint="eastAsia"/>
                <w:kern w:val="0"/>
                <w:sz w:val="20"/>
                <w:szCs w:val="20"/>
              </w:rPr>
              <w:t xml:space="preserve">　　　　　　　　　　</w:t>
            </w:r>
            <w:r w:rsidRPr="00D55DC6">
              <w:rPr>
                <w:rFonts w:ascii="標楷體" w:eastAsia="標楷體" w:hAnsi="標楷體" w:cs="標楷體" w:hint="eastAsia"/>
                <w:kern w:val="0"/>
                <w:sz w:val="22"/>
                <w:szCs w:val="22"/>
              </w:rPr>
              <w:t>年度</w:t>
            </w:r>
            <w:r w:rsidRPr="00D55DC6">
              <w:rPr>
                <w:rFonts w:ascii="標楷體" w:eastAsia="標楷體" w:hAnsi="標楷體"/>
                <w:kern w:val="0"/>
                <w:sz w:val="22"/>
                <w:szCs w:val="22"/>
              </w:rPr>
              <w:br/>
            </w:r>
            <w:r w:rsidRPr="00D55DC6">
              <w:rPr>
                <w:rFonts w:ascii="標楷體" w:eastAsia="標楷體" w:hAnsi="標楷體" w:cs="標楷體" w:hint="eastAsia"/>
                <w:kern w:val="0"/>
                <w:sz w:val="22"/>
                <w:szCs w:val="22"/>
              </w:rPr>
              <w:t>收益項目</w:t>
            </w:r>
          </w:p>
        </w:tc>
        <w:tc>
          <w:tcPr>
            <w:tcW w:w="689" w:type="dxa"/>
            <w:tcBorders>
              <w:top w:val="single" w:sz="4" w:space="0" w:color="auto"/>
              <w:left w:val="nil"/>
              <w:bottom w:val="double" w:sz="6" w:space="0" w:color="auto"/>
              <w:right w:val="single" w:sz="4" w:space="0" w:color="auto"/>
            </w:tcBorders>
            <w:shd w:val="clear" w:color="000000" w:fill="FFCC00"/>
            <w:noWrap/>
            <w:vAlign w:val="center"/>
          </w:tcPr>
          <w:p w:rsidR="00EA13B2" w:rsidRPr="00D55DC6" w:rsidRDefault="00EA13B2" w:rsidP="00A56CBE">
            <w:pPr>
              <w:spacing w:line="460" w:lineRule="exact"/>
              <w:jc w:val="center"/>
            </w:pPr>
            <w:r w:rsidRPr="00D55DC6">
              <w:t>103</w:t>
            </w:r>
          </w:p>
        </w:tc>
        <w:tc>
          <w:tcPr>
            <w:tcW w:w="690" w:type="dxa"/>
            <w:tcBorders>
              <w:top w:val="single" w:sz="4" w:space="0" w:color="auto"/>
              <w:left w:val="nil"/>
              <w:bottom w:val="double" w:sz="6" w:space="0" w:color="auto"/>
              <w:right w:val="single" w:sz="4" w:space="0" w:color="auto"/>
            </w:tcBorders>
            <w:shd w:val="clear" w:color="000000" w:fill="FFCC00"/>
            <w:noWrap/>
            <w:vAlign w:val="center"/>
          </w:tcPr>
          <w:p w:rsidR="00EA13B2" w:rsidRPr="00D55DC6" w:rsidRDefault="00EA13B2" w:rsidP="00A56CBE">
            <w:pPr>
              <w:spacing w:line="460" w:lineRule="exact"/>
              <w:jc w:val="center"/>
            </w:pPr>
            <w:r w:rsidRPr="00D55DC6">
              <w:t>104</w:t>
            </w:r>
          </w:p>
        </w:tc>
        <w:tc>
          <w:tcPr>
            <w:tcW w:w="690" w:type="dxa"/>
            <w:tcBorders>
              <w:top w:val="single" w:sz="4" w:space="0" w:color="auto"/>
              <w:left w:val="nil"/>
              <w:bottom w:val="double" w:sz="6" w:space="0" w:color="auto"/>
              <w:right w:val="single" w:sz="4" w:space="0" w:color="auto"/>
            </w:tcBorders>
            <w:shd w:val="clear" w:color="000000" w:fill="FFCC00"/>
            <w:noWrap/>
            <w:vAlign w:val="center"/>
          </w:tcPr>
          <w:p w:rsidR="00EA13B2" w:rsidRPr="00D55DC6" w:rsidRDefault="00EA13B2" w:rsidP="00A56CBE">
            <w:pPr>
              <w:spacing w:line="460" w:lineRule="exact"/>
              <w:jc w:val="center"/>
            </w:pPr>
            <w:r w:rsidRPr="00D55DC6">
              <w:t>105</w:t>
            </w:r>
          </w:p>
        </w:tc>
        <w:tc>
          <w:tcPr>
            <w:tcW w:w="690" w:type="dxa"/>
            <w:tcBorders>
              <w:top w:val="single" w:sz="4" w:space="0" w:color="auto"/>
              <w:left w:val="nil"/>
              <w:bottom w:val="double" w:sz="6" w:space="0" w:color="auto"/>
              <w:right w:val="single" w:sz="4" w:space="0" w:color="auto"/>
            </w:tcBorders>
            <w:shd w:val="clear" w:color="000000" w:fill="FFCC00"/>
            <w:noWrap/>
            <w:vAlign w:val="center"/>
          </w:tcPr>
          <w:p w:rsidR="00EA13B2" w:rsidRPr="00D55DC6" w:rsidRDefault="00EA13B2" w:rsidP="00A56CBE">
            <w:pPr>
              <w:spacing w:line="460" w:lineRule="exact"/>
              <w:jc w:val="center"/>
            </w:pPr>
            <w:r w:rsidRPr="00D55DC6">
              <w:t>106</w:t>
            </w:r>
          </w:p>
        </w:tc>
        <w:tc>
          <w:tcPr>
            <w:tcW w:w="690" w:type="dxa"/>
            <w:tcBorders>
              <w:top w:val="single" w:sz="4" w:space="0" w:color="auto"/>
              <w:left w:val="nil"/>
              <w:bottom w:val="double" w:sz="6" w:space="0" w:color="auto"/>
              <w:right w:val="single" w:sz="4" w:space="0" w:color="auto"/>
            </w:tcBorders>
            <w:shd w:val="clear" w:color="000000" w:fill="FFCC00"/>
            <w:noWrap/>
            <w:vAlign w:val="center"/>
          </w:tcPr>
          <w:p w:rsidR="00EA13B2" w:rsidRPr="00D55DC6" w:rsidRDefault="00EA13B2" w:rsidP="00A56CBE">
            <w:pPr>
              <w:spacing w:line="460" w:lineRule="exact"/>
              <w:jc w:val="center"/>
            </w:pPr>
            <w:r w:rsidRPr="00D55DC6">
              <w:t>107</w:t>
            </w:r>
          </w:p>
        </w:tc>
        <w:tc>
          <w:tcPr>
            <w:tcW w:w="689" w:type="dxa"/>
            <w:tcBorders>
              <w:top w:val="single" w:sz="4" w:space="0" w:color="auto"/>
              <w:left w:val="nil"/>
              <w:bottom w:val="double" w:sz="6" w:space="0" w:color="auto"/>
              <w:right w:val="single" w:sz="4" w:space="0" w:color="auto"/>
            </w:tcBorders>
            <w:shd w:val="clear" w:color="000000" w:fill="FFCC00"/>
            <w:noWrap/>
            <w:vAlign w:val="center"/>
          </w:tcPr>
          <w:p w:rsidR="00EA13B2" w:rsidRPr="00D55DC6" w:rsidRDefault="00EA13B2" w:rsidP="00A56CBE">
            <w:pPr>
              <w:spacing w:line="460" w:lineRule="exact"/>
              <w:jc w:val="center"/>
            </w:pPr>
            <w:r w:rsidRPr="00D55DC6">
              <w:t>108</w:t>
            </w:r>
          </w:p>
        </w:tc>
        <w:tc>
          <w:tcPr>
            <w:tcW w:w="690" w:type="dxa"/>
            <w:tcBorders>
              <w:top w:val="single" w:sz="4" w:space="0" w:color="auto"/>
              <w:left w:val="nil"/>
              <w:bottom w:val="double" w:sz="6" w:space="0" w:color="auto"/>
              <w:right w:val="single" w:sz="4" w:space="0" w:color="auto"/>
            </w:tcBorders>
            <w:shd w:val="clear" w:color="000000" w:fill="FFCC00"/>
            <w:noWrap/>
            <w:vAlign w:val="center"/>
          </w:tcPr>
          <w:p w:rsidR="00EA13B2" w:rsidRPr="00D55DC6" w:rsidRDefault="00EA13B2" w:rsidP="00A56CBE">
            <w:pPr>
              <w:spacing w:line="460" w:lineRule="exact"/>
              <w:jc w:val="center"/>
            </w:pPr>
            <w:r w:rsidRPr="00D55DC6">
              <w:t>109</w:t>
            </w:r>
          </w:p>
        </w:tc>
        <w:tc>
          <w:tcPr>
            <w:tcW w:w="690" w:type="dxa"/>
            <w:tcBorders>
              <w:top w:val="single" w:sz="4" w:space="0" w:color="auto"/>
              <w:left w:val="nil"/>
              <w:bottom w:val="double" w:sz="6" w:space="0" w:color="auto"/>
              <w:right w:val="single" w:sz="4" w:space="0" w:color="auto"/>
            </w:tcBorders>
            <w:shd w:val="clear" w:color="000000" w:fill="FFCC00"/>
            <w:noWrap/>
            <w:vAlign w:val="center"/>
          </w:tcPr>
          <w:p w:rsidR="00EA13B2" w:rsidRPr="00D55DC6" w:rsidRDefault="00EA13B2" w:rsidP="00A56CBE">
            <w:pPr>
              <w:spacing w:line="460" w:lineRule="exact"/>
              <w:jc w:val="center"/>
            </w:pPr>
            <w:r w:rsidRPr="00D55DC6">
              <w:t>110</w:t>
            </w:r>
          </w:p>
        </w:tc>
        <w:tc>
          <w:tcPr>
            <w:tcW w:w="690" w:type="dxa"/>
            <w:tcBorders>
              <w:top w:val="single" w:sz="4" w:space="0" w:color="auto"/>
              <w:left w:val="nil"/>
              <w:bottom w:val="double" w:sz="6" w:space="0" w:color="auto"/>
              <w:right w:val="single" w:sz="4" w:space="0" w:color="auto"/>
            </w:tcBorders>
            <w:shd w:val="clear" w:color="000000" w:fill="FFCC00"/>
            <w:noWrap/>
            <w:vAlign w:val="center"/>
          </w:tcPr>
          <w:p w:rsidR="00EA13B2" w:rsidRPr="00D55DC6" w:rsidRDefault="00EA13B2" w:rsidP="00A56CBE">
            <w:pPr>
              <w:spacing w:line="460" w:lineRule="exact"/>
              <w:jc w:val="center"/>
            </w:pPr>
            <w:r w:rsidRPr="00D55DC6">
              <w:t>111</w:t>
            </w:r>
          </w:p>
        </w:tc>
        <w:tc>
          <w:tcPr>
            <w:tcW w:w="690" w:type="dxa"/>
            <w:tcBorders>
              <w:top w:val="single" w:sz="4" w:space="0" w:color="auto"/>
              <w:left w:val="nil"/>
              <w:bottom w:val="double" w:sz="6" w:space="0" w:color="auto"/>
              <w:right w:val="single" w:sz="4" w:space="0" w:color="auto"/>
            </w:tcBorders>
            <w:shd w:val="clear" w:color="000000" w:fill="FFCC00"/>
            <w:noWrap/>
            <w:vAlign w:val="center"/>
          </w:tcPr>
          <w:p w:rsidR="00EA13B2" w:rsidRPr="00D55DC6" w:rsidRDefault="00EA13B2" w:rsidP="00A56CBE">
            <w:pPr>
              <w:spacing w:line="460" w:lineRule="exact"/>
              <w:jc w:val="center"/>
            </w:pPr>
            <w:r w:rsidRPr="00D55DC6">
              <w:t>112</w:t>
            </w:r>
          </w:p>
        </w:tc>
      </w:tr>
      <w:tr w:rsidR="001D0350" w:rsidRPr="00D55DC6" w:rsidTr="00A56CBE">
        <w:trPr>
          <w:trHeight w:val="345"/>
          <w:jc w:val="center"/>
        </w:trPr>
        <w:tc>
          <w:tcPr>
            <w:tcW w:w="3464" w:type="dxa"/>
            <w:tcBorders>
              <w:top w:val="nil"/>
              <w:left w:val="single" w:sz="4" w:space="0" w:color="auto"/>
              <w:bottom w:val="single" w:sz="4" w:space="0" w:color="auto"/>
              <w:right w:val="single" w:sz="4" w:space="0" w:color="auto"/>
            </w:tcBorders>
            <w:shd w:val="clear" w:color="000000" w:fill="D9D9D9"/>
            <w:noWrap/>
          </w:tcPr>
          <w:p w:rsidR="00EA13B2" w:rsidRPr="00D55DC6" w:rsidRDefault="00EA13B2" w:rsidP="00A56CBE">
            <w:pPr>
              <w:spacing w:line="460" w:lineRule="exact"/>
              <w:rPr>
                <w:rFonts w:ascii="標楷體" w:eastAsia="標楷體" w:hAnsi="標楷體"/>
                <w:sz w:val="20"/>
                <w:szCs w:val="20"/>
              </w:rPr>
            </w:pPr>
            <w:r w:rsidRPr="00D55DC6">
              <w:rPr>
                <w:rFonts w:ascii="標楷體" w:eastAsia="標楷體" w:hAnsi="標楷體" w:hint="eastAsia"/>
                <w:sz w:val="20"/>
                <w:szCs w:val="20"/>
              </w:rPr>
              <w:t>一、既有出租據點收益</w:t>
            </w:r>
          </w:p>
        </w:tc>
        <w:tc>
          <w:tcPr>
            <w:tcW w:w="689"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2645</w:t>
            </w: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2645</w:t>
            </w: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2645</w:t>
            </w: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2645</w:t>
            </w: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2645</w:t>
            </w:r>
          </w:p>
        </w:tc>
        <w:tc>
          <w:tcPr>
            <w:tcW w:w="689"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2645</w:t>
            </w: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2645</w:t>
            </w: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2645</w:t>
            </w: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2645</w:t>
            </w: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2645</w:t>
            </w:r>
          </w:p>
        </w:tc>
      </w:tr>
      <w:tr w:rsidR="001D0350" w:rsidRPr="00D55DC6" w:rsidTr="00A56CBE">
        <w:trPr>
          <w:trHeight w:val="330"/>
          <w:jc w:val="center"/>
        </w:trPr>
        <w:tc>
          <w:tcPr>
            <w:tcW w:w="3464" w:type="dxa"/>
            <w:tcBorders>
              <w:top w:val="nil"/>
              <w:left w:val="single" w:sz="4" w:space="0" w:color="auto"/>
              <w:bottom w:val="single" w:sz="4" w:space="0" w:color="auto"/>
              <w:right w:val="single" w:sz="4" w:space="0" w:color="auto"/>
            </w:tcBorders>
            <w:shd w:val="clear" w:color="000000" w:fill="D9D9D9"/>
            <w:noWrap/>
          </w:tcPr>
          <w:p w:rsidR="00EA13B2" w:rsidRPr="00D55DC6" w:rsidRDefault="00EA13B2" w:rsidP="00A56CBE">
            <w:pPr>
              <w:spacing w:line="460" w:lineRule="exact"/>
              <w:rPr>
                <w:rFonts w:ascii="標楷體" w:eastAsia="標楷體" w:hAnsi="標楷體"/>
                <w:sz w:val="20"/>
                <w:szCs w:val="20"/>
              </w:rPr>
            </w:pPr>
            <w:r w:rsidRPr="00D55DC6">
              <w:rPr>
                <w:rFonts w:ascii="標楷體" w:eastAsia="標楷體" w:hAnsi="標楷體" w:hint="eastAsia"/>
                <w:sz w:val="20"/>
                <w:szCs w:val="20"/>
              </w:rPr>
              <w:t>二、規劃新增收益計畫</w:t>
            </w:r>
          </w:p>
        </w:tc>
        <w:tc>
          <w:tcPr>
            <w:tcW w:w="689"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6000</w:t>
            </w:r>
          </w:p>
        </w:tc>
        <w:tc>
          <w:tcPr>
            <w:tcW w:w="689"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16695</w:t>
            </w: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24645</w:t>
            </w: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24645</w:t>
            </w: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20565</w:t>
            </w: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23445</w:t>
            </w:r>
          </w:p>
        </w:tc>
      </w:tr>
      <w:tr w:rsidR="001D0350" w:rsidRPr="00D55DC6" w:rsidTr="00A56CBE">
        <w:trPr>
          <w:trHeight w:val="330"/>
          <w:jc w:val="center"/>
        </w:trPr>
        <w:tc>
          <w:tcPr>
            <w:tcW w:w="3464" w:type="dxa"/>
            <w:tcBorders>
              <w:top w:val="nil"/>
              <w:left w:val="single" w:sz="4" w:space="0" w:color="auto"/>
              <w:bottom w:val="single" w:sz="4" w:space="0" w:color="auto"/>
              <w:right w:val="single" w:sz="4" w:space="0" w:color="auto"/>
            </w:tcBorders>
            <w:shd w:val="clear" w:color="000000" w:fill="D9D9D9"/>
            <w:noWrap/>
          </w:tcPr>
          <w:p w:rsidR="00EA13B2" w:rsidRPr="00D55DC6" w:rsidRDefault="00EA13B2" w:rsidP="00A56CBE">
            <w:pPr>
              <w:spacing w:line="460" w:lineRule="exact"/>
              <w:rPr>
                <w:rFonts w:ascii="標楷體" w:eastAsia="標楷體" w:hAnsi="標楷體"/>
                <w:sz w:val="20"/>
                <w:szCs w:val="20"/>
              </w:rPr>
            </w:pPr>
            <w:r w:rsidRPr="00D55DC6">
              <w:rPr>
                <w:rFonts w:ascii="標楷體" w:eastAsia="標楷體" w:hAnsi="標楷體" w:hint="eastAsia"/>
                <w:sz w:val="20"/>
                <w:szCs w:val="20"/>
              </w:rPr>
              <w:t>鯉魚潭潭北複合式商圈(亮點計畫)</w:t>
            </w:r>
          </w:p>
        </w:tc>
        <w:tc>
          <w:tcPr>
            <w:tcW w:w="689"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89"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6000</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5350</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5350</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5350</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5350</w:t>
            </w:r>
          </w:p>
        </w:tc>
      </w:tr>
      <w:tr w:rsidR="001D0350" w:rsidRPr="00D55DC6" w:rsidTr="00A56CBE">
        <w:trPr>
          <w:trHeight w:val="330"/>
          <w:jc w:val="center"/>
        </w:trPr>
        <w:tc>
          <w:tcPr>
            <w:tcW w:w="3464" w:type="dxa"/>
            <w:tcBorders>
              <w:top w:val="nil"/>
              <w:left w:val="single" w:sz="4" w:space="0" w:color="auto"/>
              <w:bottom w:val="single" w:sz="4" w:space="0" w:color="auto"/>
              <w:right w:val="single" w:sz="4" w:space="0" w:color="auto"/>
            </w:tcBorders>
            <w:shd w:val="clear" w:color="000000" w:fill="D9D9D9"/>
            <w:noWrap/>
          </w:tcPr>
          <w:p w:rsidR="00EA13B2" w:rsidRPr="00D55DC6" w:rsidRDefault="00EA13B2" w:rsidP="00A56CBE">
            <w:pPr>
              <w:spacing w:line="460" w:lineRule="exact"/>
              <w:rPr>
                <w:rFonts w:ascii="標楷體" w:eastAsia="標楷體" w:hAnsi="標楷體"/>
                <w:sz w:val="20"/>
                <w:szCs w:val="20"/>
              </w:rPr>
            </w:pPr>
            <w:r w:rsidRPr="00D55DC6">
              <w:rPr>
                <w:rFonts w:ascii="標楷體" w:eastAsia="標楷體" w:hAnsi="標楷體" w:hint="eastAsia"/>
                <w:sz w:val="20"/>
                <w:szCs w:val="20"/>
              </w:rPr>
              <w:t>鹿野龍田空域活動度假村(亮點計畫)</w:t>
            </w:r>
          </w:p>
        </w:tc>
        <w:tc>
          <w:tcPr>
            <w:tcW w:w="689"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6000</w:t>
            </w:r>
          </w:p>
        </w:tc>
        <w:tc>
          <w:tcPr>
            <w:tcW w:w="689"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96</w:t>
            </w: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3096</w:t>
            </w: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3096</w:t>
            </w: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3096</w:t>
            </w:r>
          </w:p>
        </w:tc>
        <w:tc>
          <w:tcPr>
            <w:tcW w:w="690"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3096</w:t>
            </w:r>
          </w:p>
        </w:tc>
      </w:tr>
      <w:tr w:rsidR="001D0350" w:rsidRPr="00D55DC6" w:rsidTr="00A56CBE">
        <w:trPr>
          <w:trHeight w:val="330"/>
          <w:jc w:val="center"/>
        </w:trPr>
        <w:tc>
          <w:tcPr>
            <w:tcW w:w="3464" w:type="dxa"/>
            <w:tcBorders>
              <w:top w:val="nil"/>
              <w:left w:val="single" w:sz="4" w:space="0" w:color="auto"/>
              <w:bottom w:val="single" w:sz="4" w:space="0" w:color="auto"/>
              <w:right w:val="single" w:sz="4" w:space="0" w:color="auto"/>
            </w:tcBorders>
            <w:shd w:val="clear" w:color="000000" w:fill="D9D9D9"/>
            <w:noWrap/>
          </w:tcPr>
          <w:p w:rsidR="00EA13B2" w:rsidRPr="00D55DC6" w:rsidRDefault="00EA13B2" w:rsidP="00A56CBE">
            <w:pPr>
              <w:spacing w:line="460" w:lineRule="exact"/>
              <w:rPr>
                <w:rFonts w:ascii="標楷體" w:eastAsia="標楷體" w:hAnsi="標楷體"/>
                <w:sz w:val="20"/>
                <w:szCs w:val="20"/>
              </w:rPr>
            </w:pPr>
            <w:r w:rsidRPr="00D55DC6">
              <w:rPr>
                <w:rFonts w:ascii="標楷體" w:eastAsia="標楷體" w:hAnsi="標楷體" w:hint="eastAsia"/>
                <w:sz w:val="20"/>
                <w:szCs w:val="20"/>
              </w:rPr>
              <w:t>飛行啟蒙基地土地租金(亮點計畫)</w:t>
            </w:r>
          </w:p>
        </w:tc>
        <w:tc>
          <w:tcPr>
            <w:tcW w:w="689"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89"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504</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504</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504</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504</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504</w:t>
            </w:r>
          </w:p>
        </w:tc>
      </w:tr>
      <w:tr w:rsidR="001D0350" w:rsidRPr="00D55DC6" w:rsidTr="00A56CBE">
        <w:trPr>
          <w:trHeight w:val="330"/>
          <w:jc w:val="center"/>
        </w:trPr>
        <w:tc>
          <w:tcPr>
            <w:tcW w:w="3464" w:type="dxa"/>
            <w:tcBorders>
              <w:top w:val="nil"/>
              <w:left w:val="single" w:sz="4" w:space="0" w:color="auto"/>
              <w:bottom w:val="single" w:sz="4" w:space="0" w:color="auto"/>
              <w:right w:val="single" w:sz="4" w:space="0" w:color="auto"/>
            </w:tcBorders>
            <w:shd w:val="clear" w:color="000000" w:fill="D9D9D9"/>
            <w:noWrap/>
          </w:tcPr>
          <w:p w:rsidR="00EA13B2" w:rsidRPr="00D55DC6" w:rsidRDefault="00EA13B2" w:rsidP="00A56CBE">
            <w:pPr>
              <w:spacing w:line="460" w:lineRule="exact"/>
              <w:rPr>
                <w:rFonts w:ascii="標楷體" w:eastAsia="標楷體" w:hAnsi="標楷體"/>
                <w:sz w:val="20"/>
                <w:szCs w:val="20"/>
              </w:rPr>
            </w:pPr>
            <w:r w:rsidRPr="00D55DC6">
              <w:rPr>
                <w:rFonts w:ascii="標楷體" w:eastAsia="標楷體" w:hAnsi="標楷體" w:hint="eastAsia"/>
                <w:sz w:val="20"/>
                <w:szCs w:val="20"/>
              </w:rPr>
              <w:t>鯉魚潭碼頭管理暨清潔費</w:t>
            </w:r>
          </w:p>
        </w:tc>
        <w:tc>
          <w:tcPr>
            <w:tcW w:w="689"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89"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5000</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5000</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5000</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5000</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5000</w:t>
            </w:r>
          </w:p>
        </w:tc>
      </w:tr>
      <w:tr w:rsidR="001D0350" w:rsidRPr="00D55DC6" w:rsidTr="00A56CBE">
        <w:trPr>
          <w:trHeight w:val="330"/>
          <w:jc w:val="center"/>
        </w:trPr>
        <w:tc>
          <w:tcPr>
            <w:tcW w:w="3464" w:type="dxa"/>
            <w:tcBorders>
              <w:top w:val="nil"/>
              <w:left w:val="single" w:sz="4" w:space="0" w:color="auto"/>
              <w:bottom w:val="single" w:sz="4" w:space="0" w:color="auto"/>
              <w:right w:val="single" w:sz="4" w:space="0" w:color="auto"/>
            </w:tcBorders>
            <w:shd w:val="clear" w:color="000000" w:fill="D9D9D9"/>
            <w:noWrap/>
          </w:tcPr>
          <w:p w:rsidR="00EA13B2" w:rsidRPr="00D55DC6" w:rsidRDefault="00EA13B2" w:rsidP="00A56CBE">
            <w:pPr>
              <w:spacing w:line="460" w:lineRule="exact"/>
              <w:rPr>
                <w:rFonts w:ascii="標楷體" w:eastAsia="標楷體" w:hAnsi="標楷體"/>
                <w:sz w:val="20"/>
                <w:szCs w:val="20"/>
              </w:rPr>
            </w:pPr>
            <w:r w:rsidRPr="00D55DC6">
              <w:rPr>
                <w:rFonts w:ascii="標楷體" w:eastAsia="標楷體" w:hAnsi="標楷體" w:hint="eastAsia"/>
                <w:sz w:val="20"/>
                <w:szCs w:val="20"/>
              </w:rPr>
              <w:t>鯉魚潭停車場清潔費</w:t>
            </w:r>
          </w:p>
        </w:tc>
        <w:tc>
          <w:tcPr>
            <w:tcW w:w="689"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89"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5095</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5095</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5095</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5095</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5095</w:t>
            </w:r>
          </w:p>
        </w:tc>
      </w:tr>
      <w:tr w:rsidR="001D0350" w:rsidRPr="00D55DC6" w:rsidTr="00A56CBE">
        <w:trPr>
          <w:trHeight w:val="330"/>
          <w:jc w:val="center"/>
        </w:trPr>
        <w:tc>
          <w:tcPr>
            <w:tcW w:w="3464" w:type="dxa"/>
            <w:tcBorders>
              <w:top w:val="nil"/>
              <w:left w:val="single" w:sz="4" w:space="0" w:color="auto"/>
              <w:bottom w:val="single" w:sz="4" w:space="0" w:color="auto"/>
              <w:right w:val="single" w:sz="4" w:space="0" w:color="auto"/>
            </w:tcBorders>
            <w:shd w:val="clear" w:color="000000" w:fill="D9D9D9"/>
            <w:noWrap/>
          </w:tcPr>
          <w:p w:rsidR="00EA13B2" w:rsidRPr="00D55DC6" w:rsidRDefault="00EA13B2" w:rsidP="00A56CBE">
            <w:pPr>
              <w:spacing w:line="460" w:lineRule="exact"/>
              <w:rPr>
                <w:rFonts w:ascii="標楷體" w:eastAsia="標楷體" w:hAnsi="標楷體"/>
                <w:sz w:val="20"/>
                <w:szCs w:val="20"/>
              </w:rPr>
            </w:pPr>
            <w:r w:rsidRPr="00D55DC6">
              <w:rPr>
                <w:rFonts w:ascii="標楷體" w:eastAsia="標楷體" w:hAnsi="標楷體" w:hint="eastAsia"/>
                <w:sz w:val="20"/>
                <w:szCs w:val="20"/>
              </w:rPr>
              <w:t>鳳林遊憩區促參權利金及土地租金</w:t>
            </w:r>
          </w:p>
        </w:tc>
        <w:tc>
          <w:tcPr>
            <w:tcW w:w="689"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89"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5600</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5600</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1520</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4400</w:t>
            </w:r>
          </w:p>
        </w:tc>
      </w:tr>
      <w:tr w:rsidR="001D0350" w:rsidRPr="00D55DC6" w:rsidTr="00A56CBE">
        <w:trPr>
          <w:trHeight w:val="330"/>
          <w:jc w:val="center"/>
        </w:trPr>
        <w:tc>
          <w:tcPr>
            <w:tcW w:w="3464" w:type="dxa"/>
            <w:tcBorders>
              <w:top w:val="nil"/>
              <w:left w:val="single" w:sz="4" w:space="0" w:color="auto"/>
              <w:bottom w:val="single" w:sz="4" w:space="0" w:color="auto"/>
              <w:right w:val="single" w:sz="4" w:space="0" w:color="auto"/>
            </w:tcBorders>
            <w:shd w:val="clear" w:color="000000" w:fill="D9D9D9"/>
            <w:noWrap/>
          </w:tcPr>
          <w:p w:rsidR="00EA13B2" w:rsidRPr="00D55DC6" w:rsidRDefault="00EA13B2" w:rsidP="00A56CBE">
            <w:pPr>
              <w:spacing w:line="460" w:lineRule="exact"/>
              <w:rPr>
                <w:rFonts w:ascii="標楷體" w:eastAsia="標楷體" w:hAnsi="標楷體"/>
                <w:sz w:val="20"/>
                <w:szCs w:val="20"/>
              </w:rPr>
            </w:pPr>
            <w:r w:rsidRPr="00D55DC6">
              <w:rPr>
                <w:rFonts w:ascii="標楷體" w:eastAsia="標楷體" w:hAnsi="標楷體" w:hint="eastAsia"/>
                <w:sz w:val="20"/>
                <w:szCs w:val="20"/>
              </w:rPr>
              <w:t xml:space="preserve">    合          計</w:t>
            </w:r>
          </w:p>
        </w:tc>
        <w:tc>
          <w:tcPr>
            <w:tcW w:w="689"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 xml:space="preserve">2645 </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 xml:space="preserve">2645 </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 xml:space="preserve">2645 </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 xml:space="preserve">2645 </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 xml:space="preserve">8645 </w:t>
            </w:r>
          </w:p>
        </w:tc>
        <w:tc>
          <w:tcPr>
            <w:tcW w:w="689"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 xml:space="preserve">19340 </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 xml:space="preserve">27290 </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 xml:space="preserve">27290 </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 xml:space="preserve">23210 </w:t>
            </w:r>
          </w:p>
        </w:tc>
        <w:tc>
          <w:tcPr>
            <w:tcW w:w="690"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 xml:space="preserve">26090 </w:t>
            </w:r>
          </w:p>
        </w:tc>
      </w:tr>
    </w:tbl>
    <w:p w:rsidR="00EA13B2" w:rsidRPr="00D55DC6" w:rsidRDefault="00EA13B2" w:rsidP="00EA13B2">
      <w:pPr>
        <w:spacing w:beforeLines="50" w:before="180" w:line="460" w:lineRule="exact"/>
        <w:ind w:rightChars="-435" w:right="-1044"/>
      </w:pPr>
      <w:r w:rsidRPr="00D55DC6">
        <w:rPr>
          <w:rFonts w:ascii="標楷體" w:eastAsia="標楷體" w:hAnsi="標楷體" w:cs="標楷體"/>
        </w:rPr>
        <w:t xml:space="preserve"> (</w:t>
      </w:r>
      <w:r w:rsidRPr="00D55DC6">
        <w:rPr>
          <w:rFonts w:ascii="標楷體" w:eastAsia="標楷體" w:hAnsi="標楷體" w:cs="標楷體" w:hint="eastAsia"/>
        </w:rPr>
        <w:t>續</w:t>
      </w:r>
      <w:r w:rsidRPr="00D55DC6">
        <w:rPr>
          <w:rFonts w:ascii="標楷體" w:eastAsia="標楷體" w:hAnsi="標楷體" w:cs="標楷體"/>
        </w:rPr>
        <w:t>)</w:t>
      </w:r>
      <w:r w:rsidRPr="00D55DC6">
        <w:t xml:space="preserve"> </w:t>
      </w:r>
    </w:p>
    <w:tbl>
      <w:tblPr>
        <w:tblW w:w="11095" w:type="dxa"/>
        <w:jc w:val="center"/>
        <w:tblInd w:w="-209" w:type="dxa"/>
        <w:tblLayout w:type="fixed"/>
        <w:tblCellMar>
          <w:left w:w="28" w:type="dxa"/>
          <w:right w:w="28" w:type="dxa"/>
        </w:tblCellMar>
        <w:tblLook w:val="00A0" w:firstRow="1" w:lastRow="0" w:firstColumn="1" w:lastColumn="0" w:noHBand="0" w:noVBand="0"/>
      </w:tblPr>
      <w:tblGrid>
        <w:gridCol w:w="3261"/>
        <w:gridCol w:w="702"/>
        <w:gridCol w:w="703"/>
        <w:gridCol w:w="703"/>
        <w:gridCol w:w="702"/>
        <w:gridCol w:w="703"/>
        <w:gridCol w:w="703"/>
        <w:gridCol w:w="703"/>
        <w:gridCol w:w="702"/>
        <w:gridCol w:w="703"/>
        <w:gridCol w:w="703"/>
        <w:gridCol w:w="807"/>
      </w:tblGrid>
      <w:tr w:rsidR="001D0350" w:rsidRPr="00D55DC6" w:rsidTr="00A56CBE">
        <w:trPr>
          <w:trHeight w:val="585"/>
          <w:tblHeader/>
          <w:jc w:val="center"/>
        </w:trPr>
        <w:tc>
          <w:tcPr>
            <w:tcW w:w="3261" w:type="dxa"/>
            <w:tcBorders>
              <w:top w:val="single" w:sz="4" w:space="0" w:color="auto"/>
              <w:left w:val="single" w:sz="4" w:space="0" w:color="auto"/>
              <w:bottom w:val="double" w:sz="6" w:space="0" w:color="auto"/>
              <w:right w:val="single" w:sz="4" w:space="0" w:color="auto"/>
            </w:tcBorders>
            <w:shd w:val="clear" w:color="000000" w:fill="FFCC00"/>
            <w:vAlign w:val="center"/>
          </w:tcPr>
          <w:p w:rsidR="00EA13B2" w:rsidRPr="00D55DC6" w:rsidRDefault="00EA13B2" w:rsidP="00A56CBE">
            <w:pPr>
              <w:widowControl/>
              <w:spacing w:line="460" w:lineRule="exact"/>
              <w:rPr>
                <w:rFonts w:ascii="標楷體" w:eastAsia="標楷體" w:hAnsi="標楷體"/>
                <w:kern w:val="0"/>
                <w:sz w:val="20"/>
                <w:szCs w:val="20"/>
              </w:rPr>
            </w:pPr>
            <w:r w:rsidRPr="00D55DC6">
              <w:rPr>
                <w:rFonts w:ascii="標楷體" w:eastAsia="標楷體" w:hAnsi="標楷體" w:cs="標楷體" w:hint="eastAsia"/>
                <w:kern w:val="0"/>
                <w:sz w:val="20"/>
                <w:szCs w:val="20"/>
              </w:rPr>
              <w:t xml:space="preserve">　　　　　　　　　　</w:t>
            </w:r>
            <w:r w:rsidRPr="00D55DC6">
              <w:rPr>
                <w:rFonts w:ascii="標楷體" w:eastAsia="標楷體" w:hAnsi="標楷體" w:cs="標楷體" w:hint="eastAsia"/>
                <w:kern w:val="0"/>
                <w:sz w:val="22"/>
                <w:szCs w:val="22"/>
              </w:rPr>
              <w:t>年度</w:t>
            </w:r>
            <w:r w:rsidRPr="00D55DC6">
              <w:rPr>
                <w:rFonts w:ascii="標楷體" w:eastAsia="標楷體" w:hAnsi="標楷體"/>
                <w:kern w:val="0"/>
                <w:sz w:val="22"/>
                <w:szCs w:val="22"/>
              </w:rPr>
              <w:br/>
            </w:r>
            <w:r w:rsidRPr="00D55DC6">
              <w:rPr>
                <w:rFonts w:ascii="標楷體" w:eastAsia="標楷體" w:hAnsi="標楷體" w:cs="標楷體" w:hint="eastAsia"/>
                <w:kern w:val="0"/>
                <w:sz w:val="22"/>
                <w:szCs w:val="22"/>
              </w:rPr>
              <w:t>收益項目</w:t>
            </w:r>
          </w:p>
        </w:tc>
        <w:tc>
          <w:tcPr>
            <w:tcW w:w="702" w:type="dxa"/>
            <w:tcBorders>
              <w:top w:val="single" w:sz="4" w:space="0" w:color="auto"/>
              <w:left w:val="nil"/>
              <w:bottom w:val="double" w:sz="6" w:space="0" w:color="auto"/>
              <w:right w:val="single" w:sz="4" w:space="0" w:color="auto"/>
            </w:tcBorders>
            <w:shd w:val="clear" w:color="000000" w:fill="FFCC00"/>
            <w:noWrap/>
            <w:vAlign w:val="center"/>
          </w:tcPr>
          <w:p w:rsidR="00EA13B2" w:rsidRPr="00D55DC6" w:rsidRDefault="00EA13B2" w:rsidP="00A56CBE">
            <w:pPr>
              <w:spacing w:line="460" w:lineRule="exact"/>
              <w:jc w:val="center"/>
              <w:rPr>
                <w:rFonts w:ascii="標楷體" w:eastAsia="標楷體" w:hAnsi="標楷體"/>
              </w:rPr>
            </w:pPr>
            <w:r w:rsidRPr="00D55DC6">
              <w:rPr>
                <w:rFonts w:ascii="標楷體" w:eastAsia="標楷體" w:hAnsi="標楷體" w:hint="eastAsia"/>
              </w:rPr>
              <w:t>113</w:t>
            </w:r>
          </w:p>
        </w:tc>
        <w:tc>
          <w:tcPr>
            <w:tcW w:w="703" w:type="dxa"/>
            <w:tcBorders>
              <w:top w:val="single" w:sz="4" w:space="0" w:color="auto"/>
              <w:left w:val="nil"/>
              <w:bottom w:val="double" w:sz="6" w:space="0" w:color="auto"/>
              <w:right w:val="single" w:sz="4" w:space="0" w:color="auto"/>
            </w:tcBorders>
            <w:shd w:val="clear" w:color="000000" w:fill="FFCC00"/>
            <w:noWrap/>
            <w:vAlign w:val="center"/>
          </w:tcPr>
          <w:p w:rsidR="00EA13B2" w:rsidRPr="00D55DC6" w:rsidRDefault="00EA13B2" w:rsidP="00A56CBE">
            <w:pPr>
              <w:spacing w:line="460" w:lineRule="exact"/>
              <w:jc w:val="center"/>
              <w:rPr>
                <w:rFonts w:ascii="標楷體" w:eastAsia="標楷體" w:hAnsi="標楷體"/>
              </w:rPr>
            </w:pPr>
            <w:r w:rsidRPr="00D55DC6">
              <w:rPr>
                <w:rFonts w:ascii="標楷體" w:eastAsia="標楷體" w:hAnsi="標楷體" w:hint="eastAsia"/>
              </w:rPr>
              <w:t>114</w:t>
            </w:r>
          </w:p>
        </w:tc>
        <w:tc>
          <w:tcPr>
            <w:tcW w:w="703" w:type="dxa"/>
            <w:tcBorders>
              <w:top w:val="single" w:sz="4" w:space="0" w:color="auto"/>
              <w:left w:val="nil"/>
              <w:bottom w:val="double" w:sz="6" w:space="0" w:color="auto"/>
              <w:right w:val="single" w:sz="4" w:space="0" w:color="auto"/>
            </w:tcBorders>
            <w:shd w:val="clear" w:color="000000" w:fill="FFCC00"/>
            <w:noWrap/>
            <w:vAlign w:val="center"/>
          </w:tcPr>
          <w:p w:rsidR="00EA13B2" w:rsidRPr="00D55DC6" w:rsidRDefault="00EA13B2" w:rsidP="00A56CBE">
            <w:pPr>
              <w:spacing w:line="460" w:lineRule="exact"/>
              <w:jc w:val="center"/>
              <w:rPr>
                <w:rFonts w:ascii="標楷體" w:eastAsia="標楷體" w:hAnsi="標楷體"/>
              </w:rPr>
            </w:pPr>
            <w:r w:rsidRPr="00D55DC6">
              <w:rPr>
                <w:rFonts w:ascii="標楷體" w:eastAsia="標楷體" w:hAnsi="標楷體" w:hint="eastAsia"/>
              </w:rPr>
              <w:t>115</w:t>
            </w:r>
          </w:p>
        </w:tc>
        <w:tc>
          <w:tcPr>
            <w:tcW w:w="702" w:type="dxa"/>
            <w:tcBorders>
              <w:top w:val="single" w:sz="4" w:space="0" w:color="auto"/>
              <w:left w:val="nil"/>
              <w:bottom w:val="double" w:sz="6" w:space="0" w:color="auto"/>
              <w:right w:val="single" w:sz="4" w:space="0" w:color="auto"/>
            </w:tcBorders>
            <w:shd w:val="clear" w:color="000000" w:fill="FFCC00"/>
            <w:noWrap/>
            <w:vAlign w:val="center"/>
          </w:tcPr>
          <w:p w:rsidR="00EA13B2" w:rsidRPr="00D55DC6" w:rsidRDefault="00EA13B2" w:rsidP="00A56CBE">
            <w:pPr>
              <w:spacing w:line="460" w:lineRule="exact"/>
              <w:jc w:val="center"/>
              <w:rPr>
                <w:rFonts w:ascii="標楷體" w:eastAsia="標楷體" w:hAnsi="標楷體"/>
              </w:rPr>
            </w:pPr>
            <w:r w:rsidRPr="00D55DC6">
              <w:rPr>
                <w:rFonts w:ascii="標楷體" w:eastAsia="標楷體" w:hAnsi="標楷體" w:hint="eastAsia"/>
              </w:rPr>
              <w:t>116</w:t>
            </w:r>
          </w:p>
        </w:tc>
        <w:tc>
          <w:tcPr>
            <w:tcW w:w="703" w:type="dxa"/>
            <w:tcBorders>
              <w:top w:val="single" w:sz="4" w:space="0" w:color="auto"/>
              <w:left w:val="nil"/>
              <w:bottom w:val="double" w:sz="6" w:space="0" w:color="auto"/>
              <w:right w:val="single" w:sz="4" w:space="0" w:color="auto"/>
            </w:tcBorders>
            <w:shd w:val="clear" w:color="000000" w:fill="FFCC00"/>
            <w:noWrap/>
            <w:vAlign w:val="center"/>
          </w:tcPr>
          <w:p w:rsidR="00EA13B2" w:rsidRPr="00D55DC6" w:rsidRDefault="00EA13B2" w:rsidP="00A56CBE">
            <w:pPr>
              <w:spacing w:line="460" w:lineRule="exact"/>
              <w:jc w:val="center"/>
              <w:rPr>
                <w:rFonts w:ascii="標楷體" w:eastAsia="標楷體" w:hAnsi="標楷體"/>
              </w:rPr>
            </w:pPr>
            <w:r w:rsidRPr="00D55DC6">
              <w:rPr>
                <w:rFonts w:ascii="標楷體" w:eastAsia="標楷體" w:hAnsi="標楷體" w:hint="eastAsia"/>
              </w:rPr>
              <w:t>117</w:t>
            </w:r>
          </w:p>
        </w:tc>
        <w:tc>
          <w:tcPr>
            <w:tcW w:w="703" w:type="dxa"/>
            <w:tcBorders>
              <w:top w:val="single" w:sz="4" w:space="0" w:color="auto"/>
              <w:left w:val="nil"/>
              <w:bottom w:val="double" w:sz="6" w:space="0" w:color="auto"/>
              <w:right w:val="single" w:sz="4" w:space="0" w:color="auto"/>
            </w:tcBorders>
            <w:shd w:val="clear" w:color="000000" w:fill="FFCC00"/>
            <w:noWrap/>
            <w:vAlign w:val="center"/>
          </w:tcPr>
          <w:p w:rsidR="00EA13B2" w:rsidRPr="00D55DC6" w:rsidRDefault="00EA13B2" w:rsidP="00A56CBE">
            <w:pPr>
              <w:spacing w:line="460" w:lineRule="exact"/>
              <w:jc w:val="center"/>
              <w:rPr>
                <w:rFonts w:ascii="標楷體" w:eastAsia="標楷體" w:hAnsi="標楷體"/>
              </w:rPr>
            </w:pPr>
            <w:r w:rsidRPr="00D55DC6">
              <w:rPr>
                <w:rFonts w:ascii="標楷體" w:eastAsia="標楷體" w:hAnsi="標楷體" w:hint="eastAsia"/>
              </w:rPr>
              <w:t>118</w:t>
            </w:r>
          </w:p>
        </w:tc>
        <w:tc>
          <w:tcPr>
            <w:tcW w:w="703" w:type="dxa"/>
            <w:tcBorders>
              <w:top w:val="single" w:sz="4" w:space="0" w:color="auto"/>
              <w:left w:val="nil"/>
              <w:bottom w:val="double" w:sz="6" w:space="0" w:color="auto"/>
              <w:right w:val="single" w:sz="4" w:space="0" w:color="auto"/>
            </w:tcBorders>
            <w:shd w:val="clear" w:color="000000" w:fill="FFCC00"/>
            <w:noWrap/>
            <w:vAlign w:val="center"/>
          </w:tcPr>
          <w:p w:rsidR="00EA13B2" w:rsidRPr="00D55DC6" w:rsidRDefault="00EA13B2" w:rsidP="00A56CBE">
            <w:pPr>
              <w:spacing w:line="460" w:lineRule="exact"/>
              <w:jc w:val="center"/>
              <w:rPr>
                <w:rFonts w:ascii="標楷體" w:eastAsia="標楷體" w:hAnsi="標楷體"/>
              </w:rPr>
            </w:pPr>
            <w:r w:rsidRPr="00D55DC6">
              <w:rPr>
                <w:rFonts w:ascii="標楷體" w:eastAsia="標楷體" w:hAnsi="標楷體" w:hint="eastAsia"/>
              </w:rPr>
              <w:t>119</w:t>
            </w:r>
          </w:p>
        </w:tc>
        <w:tc>
          <w:tcPr>
            <w:tcW w:w="702" w:type="dxa"/>
            <w:tcBorders>
              <w:top w:val="single" w:sz="4" w:space="0" w:color="auto"/>
              <w:left w:val="nil"/>
              <w:bottom w:val="double" w:sz="6" w:space="0" w:color="auto"/>
              <w:right w:val="single" w:sz="4" w:space="0" w:color="auto"/>
            </w:tcBorders>
            <w:shd w:val="clear" w:color="000000" w:fill="FFCC00"/>
            <w:noWrap/>
            <w:vAlign w:val="center"/>
          </w:tcPr>
          <w:p w:rsidR="00EA13B2" w:rsidRPr="00D55DC6" w:rsidRDefault="00EA13B2" w:rsidP="00A56CBE">
            <w:pPr>
              <w:spacing w:line="460" w:lineRule="exact"/>
              <w:jc w:val="center"/>
              <w:rPr>
                <w:rFonts w:ascii="標楷體" w:eastAsia="標楷體" w:hAnsi="標楷體"/>
              </w:rPr>
            </w:pPr>
            <w:r w:rsidRPr="00D55DC6">
              <w:rPr>
                <w:rFonts w:ascii="標楷體" w:eastAsia="標楷體" w:hAnsi="標楷體" w:hint="eastAsia"/>
              </w:rPr>
              <w:t>120</w:t>
            </w:r>
          </w:p>
        </w:tc>
        <w:tc>
          <w:tcPr>
            <w:tcW w:w="703" w:type="dxa"/>
            <w:tcBorders>
              <w:top w:val="single" w:sz="4" w:space="0" w:color="auto"/>
              <w:left w:val="nil"/>
              <w:bottom w:val="double" w:sz="6" w:space="0" w:color="auto"/>
              <w:right w:val="single" w:sz="4" w:space="0" w:color="auto"/>
            </w:tcBorders>
            <w:shd w:val="clear" w:color="000000" w:fill="FFCC00"/>
            <w:noWrap/>
            <w:vAlign w:val="center"/>
          </w:tcPr>
          <w:p w:rsidR="00EA13B2" w:rsidRPr="00D55DC6" w:rsidRDefault="00EA13B2" w:rsidP="00A56CBE">
            <w:pPr>
              <w:spacing w:line="460" w:lineRule="exact"/>
              <w:jc w:val="center"/>
              <w:rPr>
                <w:rFonts w:ascii="標楷體" w:eastAsia="標楷體" w:hAnsi="標楷體"/>
              </w:rPr>
            </w:pPr>
            <w:r w:rsidRPr="00D55DC6">
              <w:rPr>
                <w:rFonts w:ascii="標楷體" w:eastAsia="標楷體" w:hAnsi="標楷體" w:hint="eastAsia"/>
              </w:rPr>
              <w:t>121</w:t>
            </w:r>
          </w:p>
        </w:tc>
        <w:tc>
          <w:tcPr>
            <w:tcW w:w="703" w:type="dxa"/>
            <w:tcBorders>
              <w:top w:val="single" w:sz="4" w:space="0" w:color="auto"/>
              <w:left w:val="nil"/>
              <w:bottom w:val="double" w:sz="6" w:space="0" w:color="auto"/>
              <w:right w:val="single" w:sz="4" w:space="0" w:color="auto"/>
            </w:tcBorders>
            <w:shd w:val="clear" w:color="000000" w:fill="FFCC00"/>
            <w:noWrap/>
            <w:vAlign w:val="center"/>
          </w:tcPr>
          <w:p w:rsidR="00EA13B2" w:rsidRPr="00D55DC6" w:rsidRDefault="00EA13B2" w:rsidP="00A56CBE">
            <w:pPr>
              <w:spacing w:line="460" w:lineRule="exact"/>
              <w:jc w:val="center"/>
              <w:rPr>
                <w:rFonts w:ascii="標楷體" w:eastAsia="標楷體" w:hAnsi="標楷體"/>
              </w:rPr>
            </w:pPr>
            <w:r w:rsidRPr="00D55DC6">
              <w:rPr>
                <w:rFonts w:ascii="標楷體" w:eastAsia="標楷體" w:hAnsi="標楷體" w:hint="eastAsia"/>
              </w:rPr>
              <w:t>122</w:t>
            </w:r>
          </w:p>
        </w:tc>
        <w:tc>
          <w:tcPr>
            <w:tcW w:w="807" w:type="dxa"/>
            <w:tcBorders>
              <w:top w:val="single" w:sz="4" w:space="0" w:color="auto"/>
              <w:left w:val="nil"/>
              <w:bottom w:val="double" w:sz="6" w:space="0" w:color="auto"/>
              <w:right w:val="single" w:sz="4" w:space="0" w:color="auto"/>
            </w:tcBorders>
            <w:shd w:val="clear" w:color="000000" w:fill="FFCC00"/>
            <w:vAlign w:val="center"/>
          </w:tcPr>
          <w:p w:rsidR="00EA13B2" w:rsidRPr="00D55DC6" w:rsidRDefault="00EA13B2" w:rsidP="00A56CBE">
            <w:pPr>
              <w:spacing w:line="460" w:lineRule="exact"/>
              <w:jc w:val="center"/>
              <w:rPr>
                <w:rFonts w:ascii="標楷體" w:eastAsia="標楷體" w:hAnsi="標楷體"/>
                <w:b/>
              </w:rPr>
            </w:pPr>
            <w:r w:rsidRPr="00D55DC6">
              <w:rPr>
                <w:rFonts w:ascii="標楷體" w:eastAsia="標楷體" w:hAnsi="標楷體" w:hint="eastAsia"/>
                <w:b/>
              </w:rPr>
              <w:t>合計(千元)</w:t>
            </w:r>
          </w:p>
        </w:tc>
      </w:tr>
      <w:tr w:rsidR="001D0350" w:rsidRPr="00D55DC6" w:rsidTr="00A56CBE">
        <w:trPr>
          <w:trHeight w:val="345"/>
          <w:jc w:val="center"/>
        </w:trPr>
        <w:tc>
          <w:tcPr>
            <w:tcW w:w="3261" w:type="dxa"/>
            <w:tcBorders>
              <w:top w:val="nil"/>
              <w:left w:val="single" w:sz="4" w:space="0" w:color="auto"/>
              <w:bottom w:val="single" w:sz="4" w:space="0" w:color="auto"/>
              <w:right w:val="single" w:sz="4" w:space="0" w:color="auto"/>
            </w:tcBorders>
            <w:shd w:val="clear" w:color="000000" w:fill="D9D9D9"/>
            <w:noWrap/>
          </w:tcPr>
          <w:p w:rsidR="00EA13B2" w:rsidRPr="00D55DC6" w:rsidRDefault="00EA13B2" w:rsidP="00A56CBE">
            <w:pPr>
              <w:spacing w:line="460" w:lineRule="exact"/>
              <w:rPr>
                <w:rFonts w:ascii="標楷體" w:eastAsia="標楷體" w:hAnsi="標楷體"/>
                <w:sz w:val="20"/>
                <w:szCs w:val="20"/>
              </w:rPr>
            </w:pPr>
            <w:r w:rsidRPr="00D55DC6">
              <w:rPr>
                <w:rFonts w:ascii="標楷體" w:eastAsia="標楷體" w:hAnsi="標楷體" w:hint="eastAsia"/>
                <w:sz w:val="20"/>
                <w:szCs w:val="20"/>
              </w:rPr>
              <w:t>一、既有出租據點收益</w:t>
            </w:r>
          </w:p>
        </w:tc>
        <w:tc>
          <w:tcPr>
            <w:tcW w:w="702"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2645</w:t>
            </w:r>
          </w:p>
        </w:tc>
        <w:tc>
          <w:tcPr>
            <w:tcW w:w="703"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2645</w:t>
            </w:r>
          </w:p>
        </w:tc>
        <w:tc>
          <w:tcPr>
            <w:tcW w:w="703"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2645</w:t>
            </w:r>
          </w:p>
        </w:tc>
        <w:tc>
          <w:tcPr>
            <w:tcW w:w="702"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2645</w:t>
            </w:r>
          </w:p>
        </w:tc>
        <w:tc>
          <w:tcPr>
            <w:tcW w:w="703"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2645</w:t>
            </w:r>
          </w:p>
        </w:tc>
        <w:tc>
          <w:tcPr>
            <w:tcW w:w="703"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2645</w:t>
            </w:r>
          </w:p>
        </w:tc>
        <w:tc>
          <w:tcPr>
            <w:tcW w:w="703"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2645</w:t>
            </w:r>
          </w:p>
        </w:tc>
        <w:tc>
          <w:tcPr>
            <w:tcW w:w="702"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2645</w:t>
            </w:r>
          </w:p>
        </w:tc>
        <w:tc>
          <w:tcPr>
            <w:tcW w:w="703"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2645</w:t>
            </w:r>
          </w:p>
        </w:tc>
        <w:tc>
          <w:tcPr>
            <w:tcW w:w="703"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2645</w:t>
            </w:r>
          </w:p>
        </w:tc>
        <w:tc>
          <w:tcPr>
            <w:tcW w:w="807" w:type="dxa"/>
            <w:tcBorders>
              <w:top w:val="nil"/>
              <w:left w:val="nil"/>
              <w:bottom w:val="single" w:sz="4" w:space="0" w:color="auto"/>
              <w:right w:val="single" w:sz="4" w:space="0" w:color="auto"/>
            </w:tcBorders>
            <w:shd w:val="clear" w:color="000000" w:fill="DAEEF3"/>
          </w:tcPr>
          <w:p w:rsidR="00EA13B2" w:rsidRPr="00D55DC6" w:rsidRDefault="00EA13B2" w:rsidP="00A56CBE">
            <w:pPr>
              <w:spacing w:line="460" w:lineRule="exact"/>
              <w:jc w:val="right"/>
              <w:rPr>
                <w:rFonts w:ascii="標楷體" w:eastAsia="標楷體" w:hAnsi="標楷體"/>
                <w:b/>
              </w:rPr>
            </w:pPr>
            <w:r w:rsidRPr="00D55DC6">
              <w:rPr>
                <w:rFonts w:ascii="標楷體" w:eastAsia="標楷體" w:hAnsi="標楷體"/>
                <w:b/>
              </w:rPr>
              <w:t>52900</w:t>
            </w:r>
          </w:p>
        </w:tc>
      </w:tr>
      <w:tr w:rsidR="001D0350" w:rsidRPr="00D55DC6" w:rsidTr="00A56CBE">
        <w:trPr>
          <w:trHeight w:val="330"/>
          <w:jc w:val="center"/>
        </w:trPr>
        <w:tc>
          <w:tcPr>
            <w:tcW w:w="3261" w:type="dxa"/>
            <w:tcBorders>
              <w:top w:val="nil"/>
              <w:left w:val="single" w:sz="4" w:space="0" w:color="auto"/>
              <w:bottom w:val="single" w:sz="4" w:space="0" w:color="auto"/>
              <w:right w:val="single" w:sz="4" w:space="0" w:color="auto"/>
            </w:tcBorders>
            <w:shd w:val="clear" w:color="000000" w:fill="D9D9D9"/>
            <w:noWrap/>
          </w:tcPr>
          <w:p w:rsidR="00EA13B2" w:rsidRPr="00D55DC6" w:rsidRDefault="00EA13B2" w:rsidP="00A56CBE">
            <w:pPr>
              <w:spacing w:line="460" w:lineRule="exact"/>
              <w:rPr>
                <w:rFonts w:ascii="標楷體" w:eastAsia="標楷體" w:hAnsi="標楷體"/>
                <w:sz w:val="20"/>
                <w:szCs w:val="20"/>
              </w:rPr>
            </w:pPr>
            <w:r w:rsidRPr="00D55DC6">
              <w:rPr>
                <w:rFonts w:ascii="標楷體" w:eastAsia="標楷體" w:hAnsi="標楷體" w:hint="eastAsia"/>
                <w:sz w:val="20"/>
                <w:szCs w:val="20"/>
              </w:rPr>
              <w:t>二、規劃新增收益計畫</w:t>
            </w:r>
          </w:p>
        </w:tc>
        <w:tc>
          <w:tcPr>
            <w:tcW w:w="702"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23445</w:t>
            </w:r>
          </w:p>
        </w:tc>
        <w:tc>
          <w:tcPr>
            <w:tcW w:w="703"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23445</w:t>
            </w:r>
          </w:p>
        </w:tc>
        <w:tc>
          <w:tcPr>
            <w:tcW w:w="703"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23445</w:t>
            </w:r>
          </w:p>
        </w:tc>
        <w:tc>
          <w:tcPr>
            <w:tcW w:w="702"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23445</w:t>
            </w:r>
          </w:p>
        </w:tc>
        <w:tc>
          <w:tcPr>
            <w:tcW w:w="703"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23445</w:t>
            </w:r>
          </w:p>
        </w:tc>
        <w:tc>
          <w:tcPr>
            <w:tcW w:w="703"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23445</w:t>
            </w:r>
          </w:p>
        </w:tc>
        <w:tc>
          <w:tcPr>
            <w:tcW w:w="703"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23445</w:t>
            </w:r>
          </w:p>
        </w:tc>
        <w:tc>
          <w:tcPr>
            <w:tcW w:w="702"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23445</w:t>
            </w:r>
          </w:p>
        </w:tc>
        <w:tc>
          <w:tcPr>
            <w:tcW w:w="703"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23445</w:t>
            </w:r>
          </w:p>
        </w:tc>
        <w:tc>
          <w:tcPr>
            <w:tcW w:w="703"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23445</w:t>
            </w:r>
          </w:p>
        </w:tc>
        <w:tc>
          <w:tcPr>
            <w:tcW w:w="807" w:type="dxa"/>
            <w:tcBorders>
              <w:top w:val="nil"/>
              <w:left w:val="nil"/>
              <w:bottom w:val="single" w:sz="4" w:space="0" w:color="auto"/>
              <w:right w:val="single" w:sz="4" w:space="0" w:color="auto"/>
            </w:tcBorders>
            <w:shd w:val="clear" w:color="000000" w:fill="DAEEF3"/>
          </w:tcPr>
          <w:p w:rsidR="00EA13B2" w:rsidRPr="00D55DC6" w:rsidRDefault="00EA13B2" w:rsidP="00A56CBE">
            <w:pPr>
              <w:spacing w:line="460" w:lineRule="exact"/>
              <w:jc w:val="right"/>
              <w:rPr>
                <w:rFonts w:ascii="標楷體" w:eastAsia="標楷體" w:hAnsi="標楷體"/>
                <w:b/>
              </w:rPr>
            </w:pPr>
            <w:r w:rsidRPr="00D55DC6">
              <w:rPr>
                <w:rFonts w:ascii="標楷體" w:eastAsia="標楷體" w:hAnsi="標楷體"/>
                <w:b/>
              </w:rPr>
              <w:t>350445</w:t>
            </w:r>
          </w:p>
        </w:tc>
      </w:tr>
      <w:tr w:rsidR="001D0350" w:rsidRPr="00D55DC6" w:rsidTr="00A56CBE">
        <w:trPr>
          <w:trHeight w:val="330"/>
          <w:jc w:val="center"/>
        </w:trPr>
        <w:tc>
          <w:tcPr>
            <w:tcW w:w="3261" w:type="dxa"/>
            <w:tcBorders>
              <w:top w:val="nil"/>
              <w:left w:val="single" w:sz="4" w:space="0" w:color="auto"/>
              <w:bottom w:val="single" w:sz="4" w:space="0" w:color="auto"/>
              <w:right w:val="single" w:sz="4" w:space="0" w:color="auto"/>
            </w:tcBorders>
            <w:shd w:val="clear" w:color="000000" w:fill="D9D9D9"/>
            <w:noWrap/>
          </w:tcPr>
          <w:p w:rsidR="00EA13B2" w:rsidRPr="00D55DC6" w:rsidRDefault="00EA13B2" w:rsidP="00A56CBE">
            <w:pPr>
              <w:spacing w:line="460" w:lineRule="exact"/>
              <w:rPr>
                <w:rFonts w:ascii="標楷體" w:eastAsia="標楷體" w:hAnsi="標楷體"/>
                <w:sz w:val="20"/>
                <w:szCs w:val="20"/>
              </w:rPr>
            </w:pPr>
            <w:r w:rsidRPr="00D55DC6">
              <w:rPr>
                <w:rFonts w:ascii="標楷體" w:eastAsia="標楷體" w:hAnsi="標楷體" w:hint="eastAsia"/>
                <w:sz w:val="20"/>
                <w:szCs w:val="20"/>
              </w:rPr>
              <w:t>鯉魚潭潭北複合式商圈(亮點計畫)</w:t>
            </w:r>
          </w:p>
        </w:tc>
        <w:tc>
          <w:tcPr>
            <w:tcW w:w="702"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5350</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5350</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5350</w:t>
            </w:r>
          </w:p>
        </w:tc>
        <w:tc>
          <w:tcPr>
            <w:tcW w:w="702"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5350</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5350</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5350</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5350</w:t>
            </w:r>
          </w:p>
        </w:tc>
        <w:tc>
          <w:tcPr>
            <w:tcW w:w="702"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5350</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5350</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5350</w:t>
            </w:r>
          </w:p>
        </w:tc>
        <w:tc>
          <w:tcPr>
            <w:tcW w:w="807" w:type="dxa"/>
            <w:tcBorders>
              <w:top w:val="nil"/>
              <w:left w:val="nil"/>
              <w:bottom w:val="single" w:sz="4" w:space="0" w:color="auto"/>
              <w:right w:val="single" w:sz="4" w:space="0" w:color="auto"/>
            </w:tcBorders>
          </w:tcPr>
          <w:p w:rsidR="00EA13B2" w:rsidRPr="00D55DC6" w:rsidRDefault="00EA13B2" w:rsidP="00A56CBE">
            <w:pPr>
              <w:spacing w:line="460" w:lineRule="exact"/>
              <w:jc w:val="right"/>
              <w:rPr>
                <w:rFonts w:ascii="標楷體" w:eastAsia="標楷體" w:hAnsi="標楷體"/>
                <w:b/>
              </w:rPr>
            </w:pPr>
            <w:r w:rsidRPr="00D55DC6">
              <w:rPr>
                <w:rFonts w:ascii="標楷體" w:eastAsia="標楷體" w:hAnsi="標楷體"/>
                <w:b/>
              </w:rPr>
              <w:t>80900</w:t>
            </w:r>
          </w:p>
        </w:tc>
      </w:tr>
      <w:tr w:rsidR="001D0350" w:rsidRPr="00D55DC6" w:rsidTr="00A56CBE">
        <w:trPr>
          <w:trHeight w:val="330"/>
          <w:jc w:val="center"/>
        </w:trPr>
        <w:tc>
          <w:tcPr>
            <w:tcW w:w="3261" w:type="dxa"/>
            <w:tcBorders>
              <w:top w:val="nil"/>
              <w:left w:val="single" w:sz="4" w:space="0" w:color="auto"/>
              <w:bottom w:val="single" w:sz="4" w:space="0" w:color="auto"/>
              <w:right w:val="single" w:sz="4" w:space="0" w:color="auto"/>
            </w:tcBorders>
            <w:shd w:val="clear" w:color="000000" w:fill="D9D9D9"/>
            <w:noWrap/>
          </w:tcPr>
          <w:p w:rsidR="00EA13B2" w:rsidRPr="00D55DC6" w:rsidRDefault="00EA13B2" w:rsidP="00A56CBE">
            <w:pPr>
              <w:spacing w:line="460" w:lineRule="exact"/>
              <w:rPr>
                <w:rFonts w:ascii="標楷體" w:eastAsia="標楷體" w:hAnsi="標楷體"/>
                <w:sz w:val="20"/>
                <w:szCs w:val="20"/>
              </w:rPr>
            </w:pPr>
            <w:r w:rsidRPr="00D55DC6">
              <w:rPr>
                <w:rFonts w:ascii="標楷體" w:eastAsia="標楷體" w:hAnsi="標楷體" w:hint="eastAsia"/>
                <w:sz w:val="20"/>
                <w:szCs w:val="20"/>
              </w:rPr>
              <w:t>鹿野龍田空域活動度假村(亮點計畫)</w:t>
            </w:r>
          </w:p>
        </w:tc>
        <w:tc>
          <w:tcPr>
            <w:tcW w:w="702"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3096</w:t>
            </w:r>
          </w:p>
        </w:tc>
        <w:tc>
          <w:tcPr>
            <w:tcW w:w="703"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3096</w:t>
            </w:r>
          </w:p>
        </w:tc>
        <w:tc>
          <w:tcPr>
            <w:tcW w:w="703"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3096</w:t>
            </w:r>
          </w:p>
        </w:tc>
        <w:tc>
          <w:tcPr>
            <w:tcW w:w="702"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3096</w:t>
            </w:r>
          </w:p>
        </w:tc>
        <w:tc>
          <w:tcPr>
            <w:tcW w:w="703"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3096</w:t>
            </w:r>
          </w:p>
        </w:tc>
        <w:tc>
          <w:tcPr>
            <w:tcW w:w="703"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3096</w:t>
            </w:r>
          </w:p>
        </w:tc>
        <w:tc>
          <w:tcPr>
            <w:tcW w:w="703"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3096</w:t>
            </w:r>
          </w:p>
        </w:tc>
        <w:tc>
          <w:tcPr>
            <w:tcW w:w="702"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3096</w:t>
            </w:r>
          </w:p>
        </w:tc>
        <w:tc>
          <w:tcPr>
            <w:tcW w:w="703"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3096</w:t>
            </w:r>
          </w:p>
        </w:tc>
        <w:tc>
          <w:tcPr>
            <w:tcW w:w="703" w:type="dxa"/>
            <w:tcBorders>
              <w:top w:val="nil"/>
              <w:left w:val="nil"/>
              <w:bottom w:val="single" w:sz="4" w:space="0" w:color="auto"/>
              <w:right w:val="single" w:sz="4" w:space="0" w:color="auto"/>
            </w:tcBorders>
            <w:shd w:val="clear" w:color="000000" w:fill="DAEEF3"/>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3096</w:t>
            </w:r>
          </w:p>
        </w:tc>
        <w:tc>
          <w:tcPr>
            <w:tcW w:w="807" w:type="dxa"/>
            <w:tcBorders>
              <w:top w:val="nil"/>
              <w:left w:val="nil"/>
              <w:bottom w:val="single" w:sz="4" w:space="0" w:color="auto"/>
              <w:right w:val="single" w:sz="4" w:space="0" w:color="auto"/>
            </w:tcBorders>
            <w:shd w:val="clear" w:color="000000" w:fill="DAEEF3"/>
          </w:tcPr>
          <w:p w:rsidR="00EA13B2" w:rsidRPr="00D55DC6" w:rsidRDefault="00EA13B2" w:rsidP="00A56CBE">
            <w:pPr>
              <w:spacing w:line="460" w:lineRule="exact"/>
              <w:jc w:val="right"/>
              <w:rPr>
                <w:rFonts w:ascii="標楷體" w:eastAsia="標楷體" w:hAnsi="標楷體"/>
                <w:b/>
              </w:rPr>
            </w:pPr>
            <w:r w:rsidRPr="00D55DC6">
              <w:rPr>
                <w:rFonts w:ascii="標楷體" w:eastAsia="標楷體" w:hAnsi="標楷體"/>
                <w:b/>
              </w:rPr>
              <w:t>49440</w:t>
            </w:r>
          </w:p>
        </w:tc>
      </w:tr>
      <w:tr w:rsidR="001D0350" w:rsidRPr="00D55DC6" w:rsidTr="00A56CBE">
        <w:trPr>
          <w:trHeight w:val="330"/>
          <w:jc w:val="center"/>
        </w:trPr>
        <w:tc>
          <w:tcPr>
            <w:tcW w:w="3261" w:type="dxa"/>
            <w:tcBorders>
              <w:top w:val="nil"/>
              <w:left w:val="single" w:sz="4" w:space="0" w:color="auto"/>
              <w:bottom w:val="single" w:sz="4" w:space="0" w:color="auto"/>
              <w:right w:val="single" w:sz="4" w:space="0" w:color="auto"/>
            </w:tcBorders>
            <w:shd w:val="clear" w:color="000000" w:fill="D9D9D9"/>
            <w:noWrap/>
          </w:tcPr>
          <w:p w:rsidR="00EA13B2" w:rsidRPr="00D55DC6" w:rsidRDefault="00EA13B2" w:rsidP="00A56CBE">
            <w:pPr>
              <w:spacing w:line="460" w:lineRule="exact"/>
              <w:rPr>
                <w:rFonts w:ascii="標楷體" w:eastAsia="標楷體" w:hAnsi="標楷體"/>
                <w:sz w:val="20"/>
                <w:szCs w:val="20"/>
              </w:rPr>
            </w:pPr>
            <w:r w:rsidRPr="00D55DC6">
              <w:rPr>
                <w:rFonts w:ascii="標楷體" w:eastAsia="標楷體" w:hAnsi="標楷體" w:hint="eastAsia"/>
                <w:sz w:val="20"/>
                <w:szCs w:val="20"/>
              </w:rPr>
              <w:t>飛行啟蒙基地土地租金(亮點計畫)</w:t>
            </w:r>
          </w:p>
        </w:tc>
        <w:tc>
          <w:tcPr>
            <w:tcW w:w="702"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504</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504</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504</w:t>
            </w:r>
          </w:p>
        </w:tc>
        <w:tc>
          <w:tcPr>
            <w:tcW w:w="702"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504</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504</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504</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504</w:t>
            </w:r>
          </w:p>
        </w:tc>
        <w:tc>
          <w:tcPr>
            <w:tcW w:w="702"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504</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504</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504</w:t>
            </w:r>
          </w:p>
        </w:tc>
        <w:tc>
          <w:tcPr>
            <w:tcW w:w="807" w:type="dxa"/>
            <w:tcBorders>
              <w:top w:val="nil"/>
              <w:left w:val="nil"/>
              <w:bottom w:val="single" w:sz="4" w:space="0" w:color="auto"/>
              <w:right w:val="single" w:sz="4" w:space="0" w:color="auto"/>
            </w:tcBorders>
          </w:tcPr>
          <w:p w:rsidR="00EA13B2" w:rsidRPr="00D55DC6" w:rsidRDefault="00EA13B2" w:rsidP="00A56CBE">
            <w:pPr>
              <w:spacing w:line="460" w:lineRule="exact"/>
              <w:jc w:val="right"/>
              <w:rPr>
                <w:rFonts w:ascii="標楷體" w:eastAsia="標楷體" w:hAnsi="標楷體"/>
                <w:b/>
              </w:rPr>
            </w:pPr>
            <w:r w:rsidRPr="00D55DC6">
              <w:rPr>
                <w:rFonts w:ascii="標楷體" w:eastAsia="標楷體" w:hAnsi="標楷體"/>
                <w:b/>
              </w:rPr>
              <w:t>7560</w:t>
            </w:r>
          </w:p>
        </w:tc>
      </w:tr>
      <w:tr w:rsidR="001D0350" w:rsidRPr="00D55DC6" w:rsidTr="00A56CBE">
        <w:trPr>
          <w:trHeight w:val="330"/>
          <w:jc w:val="center"/>
        </w:trPr>
        <w:tc>
          <w:tcPr>
            <w:tcW w:w="3261" w:type="dxa"/>
            <w:tcBorders>
              <w:top w:val="nil"/>
              <w:left w:val="single" w:sz="4" w:space="0" w:color="auto"/>
              <w:bottom w:val="single" w:sz="4" w:space="0" w:color="auto"/>
              <w:right w:val="single" w:sz="4" w:space="0" w:color="auto"/>
            </w:tcBorders>
            <w:shd w:val="clear" w:color="000000" w:fill="D9D9D9"/>
            <w:noWrap/>
          </w:tcPr>
          <w:p w:rsidR="00EA13B2" w:rsidRPr="00D55DC6" w:rsidRDefault="00EA13B2" w:rsidP="00A56CBE">
            <w:pPr>
              <w:spacing w:line="460" w:lineRule="exact"/>
              <w:rPr>
                <w:rFonts w:ascii="標楷體" w:eastAsia="標楷體" w:hAnsi="標楷體"/>
                <w:sz w:val="20"/>
                <w:szCs w:val="20"/>
              </w:rPr>
            </w:pPr>
            <w:r w:rsidRPr="00D55DC6">
              <w:rPr>
                <w:rFonts w:ascii="標楷體" w:eastAsia="標楷體" w:hAnsi="標楷體" w:hint="eastAsia"/>
                <w:sz w:val="20"/>
                <w:szCs w:val="20"/>
              </w:rPr>
              <w:t>鯉魚潭碼頭管理暨清潔費</w:t>
            </w:r>
          </w:p>
        </w:tc>
        <w:tc>
          <w:tcPr>
            <w:tcW w:w="702"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5000</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5000</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5000</w:t>
            </w:r>
          </w:p>
        </w:tc>
        <w:tc>
          <w:tcPr>
            <w:tcW w:w="702"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5000</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5000</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5000</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5000</w:t>
            </w:r>
          </w:p>
        </w:tc>
        <w:tc>
          <w:tcPr>
            <w:tcW w:w="702"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5000</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5000</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5000</w:t>
            </w:r>
          </w:p>
        </w:tc>
        <w:tc>
          <w:tcPr>
            <w:tcW w:w="807" w:type="dxa"/>
            <w:tcBorders>
              <w:top w:val="nil"/>
              <w:left w:val="nil"/>
              <w:bottom w:val="single" w:sz="4" w:space="0" w:color="auto"/>
              <w:right w:val="single" w:sz="4" w:space="0" w:color="auto"/>
            </w:tcBorders>
          </w:tcPr>
          <w:p w:rsidR="00EA13B2" w:rsidRPr="00D55DC6" w:rsidRDefault="00EA13B2" w:rsidP="00A56CBE">
            <w:pPr>
              <w:spacing w:line="460" w:lineRule="exact"/>
              <w:jc w:val="right"/>
              <w:rPr>
                <w:rFonts w:ascii="標楷體" w:eastAsia="標楷體" w:hAnsi="標楷體"/>
                <w:b/>
              </w:rPr>
            </w:pPr>
            <w:r w:rsidRPr="00D55DC6">
              <w:rPr>
                <w:rFonts w:ascii="標楷體" w:eastAsia="標楷體" w:hAnsi="標楷體"/>
                <w:b/>
              </w:rPr>
              <w:t>75000</w:t>
            </w:r>
          </w:p>
        </w:tc>
      </w:tr>
      <w:tr w:rsidR="001D0350" w:rsidRPr="00D55DC6" w:rsidTr="00A56CBE">
        <w:trPr>
          <w:trHeight w:val="330"/>
          <w:jc w:val="center"/>
        </w:trPr>
        <w:tc>
          <w:tcPr>
            <w:tcW w:w="3261" w:type="dxa"/>
            <w:tcBorders>
              <w:top w:val="nil"/>
              <w:left w:val="single" w:sz="4" w:space="0" w:color="auto"/>
              <w:bottom w:val="single" w:sz="4" w:space="0" w:color="auto"/>
              <w:right w:val="single" w:sz="4" w:space="0" w:color="auto"/>
            </w:tcBorders>
            <w:shd w:val="clear" w:color="000000" w:fill="D9D9D9"/>
            <w:noWrap/>
          </w:tcPr>
          <w:p w:rsidR="00EA13B2" w:rsidRPr="00D55DC6" w:rsidRDefault="00EA13B2" w:rsidP="00A56CBE">
            <w:pPr>
              <w:spacing w:line="460" w:lineRule="exact"/>
              <w:rPr>
                <w:rFonts w:ascii="標楷體" w:eastAsia="標楷體" w:hAnsi="標楷體"/>
                <w:sz w:val="20"/>
                <w:szCs w:val="20"/>
              </w:rPr>
            </w:pPr>
            <w:r w:rsidRPr="00D55DC6">
              <w:rPr>
                <w:rFonts w:ascii="標楷體" w:eastAsia="標楷體" w:hAnsi="標楷體" w:hint="eastAsia"/>
                <w:sz w:val="20"/>
                <w:szCs w:val="20"/>
              </w:rPr>
              <w:t>鯉魚潭停車場清潔費</w:t>
            </w:r>
          </w:p>
        </w:tc>
        <w:tc>
          <w:tcPr>
            <w:tcW w:w="702"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5095</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5095</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5095</w:t>
            </w:r>
          </w:p>
        </w:tc>
        <w:tc>
          <w:tcPr>
            <w:tcW w:w="702"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5095</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5095</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5095</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5095</w:t>
            </w:r>
          </w:p>
        </w:tc>
        <w:tc>
          <w:tcPr>
            <w:tcW w:w="702"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5095</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5095</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5095</w:t>
            </w:r>
          </w:p>
        </w:tc>
        <w:tc>
          <w:tcPr>
            <w:tcW w:w="807" w:type="dxa"/>
            <w:tcBorders>
              <w:top w:val="nil"/>
              <w:left w:val="nil"/>
              <w:bottom w:val="single" w:sz="4" w:space="0" w:color="auto"/>
              <w:right w:val="single" w:sz="4" w:space="0" w:color="auto"/>
            </w:tcBorders>
          </w:tcPr>
          <w:p w:rsidR="00EA13B2" w:rsidRPr="00D55DC6" w:rsidRDefault="00EA13B2" w:rsidP="00A56CBE">
            <w:pPr>
              <w:spacing w:line="460" w:lineRule="exact"/>
              <w:jc w:val="right"/>
              <w:rPr>
                <w:rFonts w:ascii="標楷體" w:eastAsia="標楷體" w:hAnsi="標楷體"/>
                <w:b/>
              </w:rPr>
            </w:pPr>
            <w:r w:rsidRPr="00D55DC6">
              <w:rPr>
                <w:rFonts w:ascii="標楷體" w:eastAsia="標楷體" w:hAnsi="標楷體"/>
                <w:b/>
              </w:rPr>
              <w:t>76425</w:t>
            </w:r>
          </w:p>
        </w:tc>
      </w:tr>
      <w:tr w:rsidR="001D0350" w:rsidRPr="00D55DC6" w:rsidTr="00A56CBE">
        <w:trPr>
          <w:trHeight w:val="330"/>
          <w:jc w:val="center"/>
        </w:trPr>
        <w:tc>
          <w:tcPr>
            <w:tcW w:w="3261" w:type="dxa"/>
            <w:tcBorders>
              <w:top w:val="nil"/>
              <w:left w:val="single" w:sz="4" w:space="0" w:color="auto"/>
              <w:bottom w:val="single" w:sz="4" w:space="0" w:color="auto"/>
              <w:right w:val="single" w:sz="4" w:space="0" w:color="auto"/>
            </w:tcBorders>
            <w:shd w:val="clear" w:color="000000" w:fill="D9D9D9"/>
            <w:noWrap/>
          </w:tcPr>
          <w:p w:rsidR="00EA13B2" w:rsidRPr="00D55DC6" w:rsidRDefault="00EA13B2" w:rsidP="00A56CBE">
            <w:pPr>
              <w:spacing w:line="460" w:lineRule="exact"/>
              <w:rPr>
                <w:rFonts w:ascii="標楷體" w:eastAsia="標楷體" w:hAnsi="標楷體"/>
                <w:sz w:val="20"/>
                <w:szCs w:val="20"/>
              </w:rPr>
            </w:pPr>
            <w:r w:rsidRPr="00D55DC6">
              <w:rPr>
                <w:rFonts w:ascii="標楷體" w:eastAsia="標楷體" w:hAnsi="標楷體" w:hint="eastAsia"/>
                <w:sz w:val="20"/>
                <w:szCs w:val="20"/>
              </w:rPr>
              <w:t>鳳林遊憩區促參權利金及土地租金</w:t>
            </w:r>
          </w:p>
        </w:tc>
        <w:tc>
          <w:tcPr>
            <w:tcW w:w="702"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4400</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4400</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4400</w:t>
            </w:r>
          </w:p>
        </w:tc>
        <w:tc>
          <w:tcPr>
            <w:tcW w:w="702"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4400</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4400</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4400</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4400</w:t>
            </w:r>
          </w:p>
        </w:tc>
        <w:tc>
          <w:tcPr>
            <w:tcW w:w="702"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4400</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4400</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jc w:val="right"/>
              <w:rPr>
                <w:rFonts w:ascii="標楷體" w:eastAsia="標楷體" w:hAnsi="標楷體"/>
              </w:rPr>
            </w:pPr>
            <w:r w:rsidRPr="00D55DC6">
              <w:rPr>
                <w:rFonts w:ascii="標楷體" w:eastAsia="標楷體" w:hAnsi="標楷體"/>
              </w:rPr>
              <w:t>4400</w:t>
            </w:r>
          </w:p>
        </w:tc>
        <w:tc>
          <w:tcPr>
            <w:tcW w:w="807" w:type="dxa"/>
            <w:tcBorders>
              <w:top w:val="nil"/>
              <w:left w:val="nil"/>
              <w:bottom w:val="single" w:sz="4" w:space="0" w:color="auto"/>
              <w:right w:val="single" w:sz="4" w:space="0" w:color="auto"/>
            </w:tcBorders>
          </w:tcPr>
          <w:p w:rsidR="00EA13B2" w:rsidRPr="00D55DC6" w:rsidRDefault="00EA13B2" w:rsidP="00A56CBE">
            <w:pPr>
              <w:spacing w:line="460" w:lineRule="exact"/>
              <w:jc w:val="right"/>
              <w:rPr>
                <w:rFonts w:ascii="標楷體" w:eastAsia="標楷體" w:hAnsi="標楷體"/>
                <w:b/>
              </w:rPr>
            </w:pPr>
            <w:r w:rsidRPr="00D55DC6">
              <w:rPr>
                <w:rFonts w:ascii="標楷體" w:eastAsia="標楷體" w:hAnsi="標楷體"/>
                <w:b/>
              </w:rPr>
              <w:t>61120</w:t>
            </w:r>
          </w:p>
        </w:tc>
      </w:tr>
      <w:tr w:rsidR="001D0350" w:rsidRPr="00D55DC6" w:rsidTr="00A56CBE">
        <w:trPr>
          <w:trHeight w:val="330"/>
          <w:jc w:val="center"/>
        </w:trPr>
        <w:tc>
          <w:tcPr>
            <w:tcW w:w="3261" w:type="dxa"/>
            <w:tcBorders>
              <w:top w:val="nil"/>
              <w:left w:val="single" w:sz="4" w:space="0" w:color="auto"/>
              <w:bottom w:val="single" w:sz="4" w:space="0" w:color="auto"/>
              <w:right w:val="single" w:sz="4" w:space="0" w:color="auto"/>
            </w:tcBorders>
            <w:shd w:val="clear" w:color="000000" w:fill="D9D9D9"/>
            <w:noWrap/>
          </w:tcPr>
          <w:p w:rsidR="00EA13B2" w:rsidRPr="00D55DC6" w:rsidRDefault="00EA13B2" w:rsidP="00A56CBE">
            <w:pPr>
              <w:spacing w:line="460" w:lineRule="exact"/>
              <w:rPr>
                <w:rFonts w:ascii="標楷體" w:eastAsia="標楷體" w:hAnsi="標楷體"/>
                <w:b/>
                <w:sz w:val="20"/>
                <w:szCs w:val="20"/>
              </w:rPr>
            </w:pPr>
            <w:r w:rsidRPr="00D55DC6">
              <w:rPr>
                <w:rFonts w:ascii="標楷體" w:eastAsia="標楷體" w:hAnsi="標楷體" w:hint="eastAsia"/>
                <w:b/>
                <w:sz w:val="20"/>
                <w:szCs w:val="20"/>
              </w:rPr>
              <w:t xml:space="preserve">    合          計</w:t>
            </w:r>
          </w:p>
        </w:tc>
        <w:tc>
          <w:tcPr>
            <w:tcW w:w="702" w:type="dxa"/>
            <w:tcBorders>
              <w:top w:val="nil"/>
              <w:left w:val="nil"/>
              <w:bottom w:val="single" w:sz="4" w:space="0" w:color="auto"/>
              <w:right w:val="single" w:sz="4" w:space="0" w:color="auto"/>
            </w:tcBorders>
            <w:noWrap/>
          </w:tcPr>
          <w:p w:rsidR="00EA13B2" w:rsidRPr="00D55DC6" w:rsidRDefault="00EA13B2" w:rsidP="00A56CBE">
            <w:pPr>
              <w:spacing w:line="460" w:lineRule="exact"/>
              <w:rPr>
                <w:rFonts w:ascii="標楷體" w:eastAsia="標楷體" w:hAnsi="標楷體"/>
                <w:b/>
              </w:rPr>
            </w:pPr>
            <w:r w:rsidRPr="00D55DC6">
              <w:rPr>
                <w:rFonts w:ascii="標楷體" w:eastAsia="標楷體" w:hAnsi="標楷體"/>
                <w:b/>
              </w:rPr>
              <w:t xml:space="preserve">26090 </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rPr>
                <w:rFonts w:ascii="標楷體" w:eastAsia="標楷體" w:hAnsi="標楷體"/>
                <w:b/>
              </w:rPr>
            </w:pPr>
            <w:r w:rsidRPr="00D55DC6">
              <w:rPr>
                <w:rFonts w:ascii="標楷體" w:eastAsia="標楷體" w:hAnsi="標楷體"/>
                <w:b/>
              </w:rPr>
              <w:t xml:space="preserve">26090 </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rPr>
                <w:rFonts w:ascii="標楷體" w:eastAsia="標楷體" w:hAnsi="標楷體"/>
                <w:b/>
              </w:rPr>
            </w:pPr>
            <w:r w:rsidRPr="00D55DC6">
              <w:rPr>
                <w:rFonts w:ascii="標楷體" w:eastAsia="標楷體" w:hAnsi="標楷體"/>
                <w:b/>
              </w:rPr>
              <w:t xml:space="preserve">26090 </w:t>
            </w:r>
          </w:p>
        </w:tc>
        <w:tc>
          <w:tcPr>
            <w:tcW w:w="702" w:type="dxa"/>
            <w:tcBorders>
              <w:top w:val="nil"/>
              <w:left w:val="nil"/>
              <w:bottom w:val="single" w:sz="4" w:space="0" w:color="auto"/>
              <w:right w:val="single" w:sz="4" w:space="0" w:color="auto"/>
            </w:tcBorders>
            <w:noWrap/>
          </w:tcPr>
          <w:p w:rsidR="00EA13B2" w:rsidRPr="00D55DC6" w:rsidRDefault="00EA13B2" w:rsidP="00A56CBE">
            <w:pPr>
              <w:spacing w:line="460" w:lineRule="exact"/>
              <w:rPr>
                <w:rFonts w:ascii="標楷體" w:eastAsia="標楷體" w:hAnsi="標楷體"/>
                <w:b/>
              </w:rPr>
            </w:pPr>
            <w:r w:rsidRPr="00D55DC6">
              <w:rPr>
                <w:rFonts w:ascii="標楷體" w:eastAsia="標楷體" w:hAnsi="標楷體"/>
                <w:b/>
              </w:rPr>
              <w:t xml:space="preserve">26090 </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rPr>
                <w:rFonts w:ascii="標楷體" w:eastAsia="標楷體" w:hAnsi="標楷體"/>
                <w:b/>
              </w:rPr>
            </w:pPr>
            <w:r w:rsidRPr="00D55DC6">
              <w:rPr>
                <w:rFonts w:ascii="標楷體" w:eastAsia="標楷體" w:hAnsi="標楷體"/>
                <w:b/>
              </w:rPr>
              <w:t xml:space="preserve">26090 </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rPr>
                <w:rFonts w:ascii="標楷體" w:eastAsia="標楷體" w:hAnsi="標楷體"/>
                <w:b/>
              </w:rPr>
            </w:pPr>
            <w:r w:rsidRPr="00D55DC6">
              <w:rPr>
                <w:rFonts w:ascii="標楷體" w:eastAsia="標楷體" w:hAnsi="標楷體"/>
                <w:b/>
              </w:rPr>
              <w:t xml:space="preserve">26090 </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rPr>
                <w:rFonts w:ascii="標楷體" w:eastAsia="標楷體" w:hAnsi="標楷體"/>
                <w:b/>
              </w:rPr>
            </w:pPr>
            <w:r w:rsidRPr="00D55DC6">
              <w:rPr>
                <w:rFonts w:ascii="標楷體" w:eastAsia="標楷體" w:hAnsi="標楷體"/>
                <w:b/>
              </w:rPr>
              <w:t xml:space="preserve">26090 </w:t>
            </w:r>
          </w:p>
        </w:tc>
        <w:tc>
          <w:tcPr>
            <w:tcW w:w="702" w:type="dxa"/>
            <w:tcBorders>
              <w:top w:val="nil"/>
              <w:left w:val="nil"/>
              <w:bottom w:val="single" w:sz="4" w:space="0" w:color="auto"/>
              <w:right w:val="single" w:sz="4" w:space="0" w:color="auto"/>
            </w:tcBorders>
            <w:noWrap/>
          </w:tcPr>
          <w:p w:rsidR="00EA13B2" w:rsidRPr="00D55DC6" w:rsidRDefault="00EA13B2" w:rsidP="00A56CBE">
            <w:pPr>
              <w:spacing w:line="460" w:lineRule="exact"/>
              <w:rPr>
                <w:rFonts w:ascii="標楷體" w:eastAsia="標楷體" w:hAnsi="標楷體"/>
                <w:b/>
              </w:rPr>
            </w:pPr>
            <w:r w:rsidRPr="00D55DC6">
              <w:rPr>
                <w:rFonts w:ascii="標楷體" w:eastAsia="標楷體" w:hAnsi="標楷體"/>
                <w:b/>
              </w:rPr>
              <w:t xml:space="preserve">26090 </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rPr>
                <w:rFonts w:ascii="標楷體" w:eastAsia="標楷體" w:hAnsi="標楷體"/>
                <w:b/>
              </w:rPr>
            </w:pPr>
            <w:r w:rsidRPr="00D55DC6">
              <w:rPr>
                <w:rFonts w:ascii="標楷體" w:eastAsia="標楷體" w:hAnsi="標楷體"/>
                <w:b/>
              </w:rPr>
              <w:t xml:space="preserve">26090 </w:t>
            </w:r>
          </w:p>
        </w:tc>
        <w:tc>
          <w:tcPr>
            <w:tcW w:w="703" w:type="dxa"/>
            <w:tcBorders>
              <w:top w:val="nil"/>
              <w:left w:val="nil"/>
              <w:bottom w:val="single" w:sz="4" w:space="0" w:color="auto"/>
              <w:right w:val="single" w:sz="4" w:space="0" w:color="auto"/>
            </w:tcBorders>
            <w:noWrap/>
          </w:tcPr>
          <w:p w:rsidR="00EA13B2" w:rsidRPr="00D55DC6" w:rsidRDefault="00EA13B2" w:rsidP="00A56CBE">
            <w:pPr>
              <w:spacing w:line="460" w:lineRule="exact"/>
              <w:rPr>
                <w:rFonts w:ascii="標楷體" w:eastAsia="標楷體" w:hAnsi="標楷體"/>
                <w:b/>
              </w:rPr>
            </w:pPr>
            <w:r w:rsidRPr="00D55DC6">
              <w:rPr>
                <w:rFonts w:ascii="標楷體" w:eastAsia="標楷體" w:hAnsi="標楷體"/>
                <w:b/>
              </w:rPr>
              <w:t xml:space="preserve">26090 </w:t>
            </w:r>
          </w:p>
        </w:tc>
        <w:tc>
          <w:tcPr>
            <w:tcW w:w="807" w:type="dxa"/>
            <w:tcBorders>
              <w:top w:val="nil"/>
              <w:left w:val="nil"/>
              <w:bottom w:val="single" w:sz="4" w:space="0" w:color="auto"/>
              <w:right w:val="single" w:sz="4" w:space="0" w:color="auto"/>
            </w:tcBorders>
          </w:tcPr>
          <w:p w:rsidR="00EA13B2" w:rsidRPr="00D55DC6" w:rsidRDefault="00EA13B2" w:rsidP="00A56CBE">
            <w:pPr>
              <w:spacing w:line="460" w:lineRule="exact"/>
              <w:rPr>
                <w:rFonts w:ascii="標楷體" w:eastAsia="標楷體" w:hAnsi="標楷體"/>
                <w:b/>
              </w:rPr>
            </w:pPr>
            <w:r w:rsidRPr="00D55DC6">
              <w:rPr>
                <w:rFonts w:ascii="標楷體" w:eastAsia="標楷體" w:hAnsi="標楷體"/>
                <w:b/>
              </w:rPr>
              <w:t xml:space="preserve">403345 </w:t>
            </w:r>
          </w:p>
        </w:tc>
      </w:tr>
    </w:tbl>
    <w:p w:rsidR="00EA13B2" w:rsidRPr="00D55DC6" w:rsidRDefault="00EA13B2" w:rsidP="00EA13B2">
      <w:pPr>
        <w:spacing w:line="460" w:lineRule="exact"/>
        <w:rPr>
          <w:rFonts w:ascii="標楷體" w:eastAsia="標楷體" w:hAnsi="標楷體"/>
        </w:rPr>
      </w:pPr>
    </w:p>
    <w:p w:rsidR="00EA13B2" w:rsidRPr="00D55DC6" w:rsidRDefault="00EA13B2" w:rsidP="00EA13B2">
      <w:pPr>
        <w:spacing w:line="460" w:lineRule="exact"/>
        <w:rPr>
          <w:rFonts w:ascii="標楷體" w:eastAsia="標楷體" w:hAnsi="標楷體"/>
        </w:rPr>
      </w:pPr>
    </w:p>
    <w:p w:rsidR="00EA13B2" w:rsidRPr="00D55DC6" w:rsidRDefault="00EA13B2" w:rsidP="00EA13B2">
      <w:pPr>
        <w:spacing w:line="460" w:lineRule="exact"/>
        <w:rPr>
          <w:rFonts w:ascii="標楷體" w:eastAsia="標楷體" w:hAnsi="標楷體"/>
        </w:rPr>
      </w:pPr>
    </w:p>
    <w:p w:rsidR="00EA13B2" w:rsidRPr="00D55DC6" w:rsidRDefault="00EA13B2" w:rsidP="00EA13B2">
      <w:pPr>
        <w:spacing w:line="460" w:lineRule="exact"/>
        <w:rPr>
          <w:rFonts w:ascii="標楷體" w:eastAsia="標楷體" w:hAnsi="標楷體"/>
        </w:rPr>
      </w:pPr>
    </w:p>
    <w:p w:rsidR="00EA13B2" w:rsidRPr="00D55DC6" w:rsidRDefault="00EA13B2" w:rsidP="00EA13B2">
      <w:pPr>
        <w:widowControl/>
        <w:tabs>
          <w:tab w:val="right" w:leader="dot" w:pos="9356"/>
        </w:tabs>
        <w:spacing w:beforeLines="50" w:before="180" w:line="460" w:lineRule="exact"/>
        <w:rPr>
          <w:rFonts w:ascii="標楷體" w:eastAsia="標楷體" w:hAnsi="標楷體"/>
          <w:noProof/>
          <w:kern w:val="0"/>
          <w:sz w:val="28"/>
          <w:szCs w:val="28"/>
        </w:rPr>
      </w:pPr>
      <w:r w:rsidRPr="00D55DC6">
        <w:rPr>
          <w:rFonts w:ascii="標楷體" w:eastAsia="標楷體" w:hAnsi="標楷體" w:cs="標楷體" w:hint="eastAsia"/>
          <w:b/>
          <w:bCs/>
          <w:noProof/>
          <w:kern w:val="0"/>
          <w:sz w:val="28"/>
          <w:szCs w:val="28"/>
        </w:rPr>
        <w:lastRenderedPageBreak/>
        <w:t>(三)自償率估算</w:t>
      </w:r>
    </w:p>
    <w:p w:rsidR="00EA13B2" w:rsidRPr="00D55DC6" w:rsidRDefault="00EA13B2" w:rsidP="00EA13B2">
      <w:pPr>
        <w:widowControl/>
        <w:tabs>
          <w:tab w:val="right" w:leader="dot" w:pos="9356"/>
        </w:tabs>
        <w:spacing w:line="460" w:lineRule="exact"/>
        <w:ind w:leftChars="59" w:left="142" w:firstLineChars="204" w:firstLine="571"/>
        <w:jc w:val="both"/>
        <w:rPr>
          <w:rFonts w:ascii="標楷體" w:eastAsia="標楷體" w:hAnsi="標楷體" w:cs="標楷體"/>
          <w:sz w:val="28"/>
          <w:szCs w:val="28"/>
        </w:rPr>
      </w:pPr>
      <w:r w:rsidRPr="00D55DC6">
        <w:rPr>
          <w:rFonts w:ascii="標楷體" w:eastAsia="標楷體" w:hAnsi="標楷體" w:cs="標楷體" w:hint="eastAsia"/>
          <w:sz w:val="28"/>
          <w:szCs w:val="28"/>
        </w:rPr>
        <w:t>本計畫預計未來</w:t>
      </w:r>
      <w:r w:rsidRPr="00D55DC6">
        <w:rPr>
          <w:rFonts w:ascii="標楷體" w:eastAsia="標楷體" w:hAnsi="標楷體" w:cs="標楷體"/>
          <w:sz w:val="28"/>
          <w:szCs w:val="28"/>
        </w:rPr>
        <w:t>20</w:t>
      </w:r>
      <w:r w:rsidRPr="00D55DC6">
        <w:rPr>
          <w:rFonts w:ascii="標楷體" w:eastAsia="標楷體" w:hAnsi="標楷體" w:cs="標楷體" w:hint="eastAsia"/>
          <w:sz w:val="28"/>
          <w:szCs w:val="28"/>
        </w:rPr>
        <w:t>年花東縱谷國家風景區建設經營分年之現金流量如表，以</w:t>
      </w:r>
      <w:r w:rsidRPr="00D55DC6">
        <w:rPr>
          <w:rFonts w:ascii="標楷體" w:eastAsia="標楷體" w:hAnsi="標楷體" w:cs="標楷體"/>
          <w:sz w:val="28"/>
          <w:szCs w:val="28"/>
        </w:rPr>
        <w:t>2.88%</w:t>
      </w:r>
      <w:r w:rsidRPr="00D55DC6">
        <w:rPr>
          <w:rFonts w:ascii="標楷體" w:eastAsia="標楷體" w:hAnsi="標楷體" w:cs="標楷體" w:hint="eastAsia"/>
          <w:sz w:val="28"/>
          <w:szCs w:val="28"/>
        </w:rPr>
        <w:t>折現率（參考中央銀行公告五大銀行基本利率）計算，未來</w:t>
      </w:r>
      <w:r w:rsidRPr="00D55DC6">
        <w:rPr>
          <w:rFonts w:ascii="標楷體" w:eastAsia="標楷體" w:hAnsi="標楷體" w:cs="標楷體"/>
          <w:sz w:val="28"/>
          <w:szCs w:val="28"/>
        </w:rPr>
        <w:t>20</w:t>
      </w:r>
      <w:r w:rsidRPr="00D55DC6">
        <w:rPr>
          <w:rFonts w:ascii="標楷體" w:eastAsia="標楷體" w:hAnsi="標楷體" w:cs="標楷體" w:hint="eastAsia"/>
          <w:sz w:val="28"/>
          <w:szCs w:val="28"/>
        </w:rPr>
        <w:t>年期間計畫投入現值約為24.69億元，而收益預估現值約為2.84億元，整體計畫自償率為11.50％。</w:t>
      </w:r>
    </w:p>
    <w:p w:rsidR="00EA13B2" w:rsidRPr="00D55DC6" w:rsidRDefault="00EA13B2" w:rsidP="00EA13B2">
      <w:pPr>
        <w:widowControl/>
        <w:tabs>
          <w:tab w:val="right" w:leader="dot" w:pos="9356"/>
        </w:tabs>
        <w:spacing w:line="460" w:lineRule="exact"/>
        <w:ind w:leftChars="59" w:left="142" w:firstLineChars="204" w:firstLine="571"/>
        <w:jc w:val="both"/>
        <w:rPr>
          <w:rFonts w:ascii="標楷體" w:eastAsia="標楷體" w:hAnsi="標楷體" w:cs="標楷體"/>
          <w:sz w:val="28"/>
          <w:szCs w:val="28"/>
        </w:rPr>
      </w:pPr>
    </w:p>
    <w:p w:rsidR="00E11B21" w:rsidRPr="00D55DC6" w:rsidRDefault="00E11B21" w:rsidP="00E11B21">
      <w:pPr>
        <w:pStyle w:val="aff2"/>
        <w:spacing w:after="180"/>
        <w:ind w:leftChars="0" w:left="0" w:firstLineChars="0" w:firstLine="0"/>
        <w:rPr>
          <w:rFonts w:ascii="Times New Roman"/>
          <w:kern w:val="2"/>
          <w:sz w:val="28"/>
          <w:szCs w:val="28"/>
        </w:rPr>
      </w:pPr>
    </w:p>
    <w:p w:rsidR="00E11B21" w:rsidRPr="00D55DC6" w:rsidRDefault="00E11B21" w:rsidP="00E11B21">
      <w:pPr>
        <w:pStyle w:val="afffb"/>
        <w:spacing w:before="180"/>
        <w:rPr>
          <w:rFonts w:ascii="Times New Roman" w:hAnsi="Times New Roman" w:cs="Times New Roman"/>
        </w:rPr>
      </w:pPr>
      <w:r w:rsidRPr="00D55DC6">
        <w:rPr>
          <w:rFonts w:ascii="Times New Roman" w:hAnsi="Times New Roman" w:cs="Times New Roman"/>
        </w:rPr>
        <w:t>表</w:t>
      </w:r>
      <w:r w:rsidRPr="00D55DC6">
        <w:rPr>
          <w:rFonts w:ascii="Times New Roman" w:hAnsi="Times New Roman" w:cs="Times New Roman"/>
        </w:rPr>
        <w:t xml:space="preserve">7 </w:t>
      </w:r>
      <w:r w:rsidRPr="00D55DC6">
        <w:rPr>
          <w:rFonts w:ascii="Times New Roman" w:hAnsi="Times New Roman" w:cs="Times New Roman"/>
        </w:rPr>
        <w:t>自償率分析表（單位：千元）</w:t>
      </w:r>
    </w:p>
    <w:tbl>
      <w:tblPr>
        <w:tblW w:w="10915" w:type="dxa"/>
        <w:tblInd w:w="-681" w:type="dxa"/>
        <w:tblLayout w:type="fixed"/>
        <w:tblCellMar>
          <w:left w:w="28" w:type="dxa"/>
          <w:right w:w="28" w:type="dxa"/>
        </w:tblCellMar>
        <w:tblLook w:val="00A0" w:firstRow="1" w:lastRow="0" w:firstColumn="1" w:lastColumn="0" w:noHBand="0" w:noVBand="0"/>
      </w:tblPr>
      <w:tblGrid>
        <w:gridCol w:w="849"/>
        <w:gridCol w:w="780"/>
        <w:gridCol w:w="923"/>
        <w:gridCol w:w="923"/>
        <w:gridCol w:w="924"/>
        <w:gridCol w:w="924"/>
        <w:gridCol w:w="923"/>
        <w:gridCol w:w="924"/>
        <w:gridCol w:w="923"/>
        <w:gridCol w:w="924"/>
        <w:gridCol w:w="902"/>
        <w:gridCol w:w="996"/>
      </w:tblGrid>
      <w:tr w:rsidR="001D0350" w:rsidRPr="00D55DC6" w:rsidTr="0097094B">
        <w:trPr>
          <w:gridAfter w:val="1"/>
          <w:wAfter w:w="996" w:type="dxa"/>
          <w:trHeight w:val="360"/>
        </w:trPr>
        <w:tc>
          <w:tcPr>
            <w:tcW w:w="849" w:type="dxa"/>
            <w:tcBorders>
              <w:top w:val="single" w:sz="4" w:space="0" w:color="auto"/>
              <w:left w:val="single" w:sz="4" w:space="0" w:color="auto"/>
              <w:bottom w:val="double" w:sz="6" w:space="0" w:color="auto"/>
              <w:right w:val="single" w:sz="4" w:space="0" w:color="auto"/>
            </w:tcBorders>
            <w:shd w:val="clear" w:color="000000" w:fill="FFCC00"/>
            <w:noWrap/>
            <w:vAlign w:val="center"/>
          </w:tcPr>
          <w:p w:rsidR="00E11B21" w:rsidRPr="00D55DC6" w:rsidRDefault="00E11B21" w:rsidP="000725AB">
            <w:pPr>
              <w:widowControl/>
              <w:rPr>
                <w:rFonts w:eastAsia="標楷體"/>
                <w:kern w:val="0"/>
                <w:sz w:val="22"/>
              </w:rPr>
            </w:pPr>
            <w:r w:rsidRPr="00D55DC6">
              <w:rPr>
                <w:rFonts w:eastAsia="標楷體"/>
                <w:kern w:val="0"/>
                <w:sz w:val="22"/>
                <w:szCs w:val="22"/>
              </w:rPr>
              <w:t xml:space="preserve">　</w:t>
            </w:r>
          </w:p>
        </w:tc>
        <w:tc>
          <w:tcPr>
            <w:tcW w:w="780" w:type="dxa"/>
            <w:tcBorders>
              <w:top w:val="single" w:sz="4" w:space="0" w:color="auto"/>
              <w:left w:val="nil"/>
              <w:bottom w:val="double" w:sz="6" w:space="0" w:color="auto"/>
              <w:right w:val="single" w:sz="4" w:space="0" w:color="auto"/>
            </w:tcBorders>
            <w:shd w:val="clear" w:color="000000" w:fill="FFCC00"/>
            <w:noWrap/>
          </w:tcPr>
          <w:p w:rsidR="00E11B21" w:rsidRPr="00D55DC6" w:rsidRDefault="00E11B21" w:rsidP="000725AB">
            <w:pPr>
              <w:jc w:val="center"/>
            </w:pPr>
            <w:r w:rsidRPr="00D55DC6">
              <w:t>103</w:t>
            </w:r>
          </w:p>
        </w:tc>
        <w:tc>
          <w:tcPr>
            <w:tcW w:w="923" w:type="dxa"/>
            <w:tcBorders>
              <w:top w:val="single" w:sz="4" w:space="0" w:color="auto"/>
              <w:left w:val="nil"/>
              <w:bottom w:val="double" w:sz="6" w:space="0" w:color="auto"/>
              <w:right w:val="single" w:sz="4" w:space="0" w:color="auto"/>
            </w:tcBorders>
            <w:shd w:val="clear" w:color="000000" w:fill="FFCC00"/>
            <w:noWrap/>
          </w:tcPr>
          <w:p w:rsidR="00E11B21" w:rsidRPr="00D55DC6" w:rsidRDefault="00E11B21" w:rsidP="000725AB">
            <w:pPr>
              <w:jc w:val="center"/>
            </w:pPr>
            <w:r w:rsidRPr="00D55DC6">
              <w:t>104</w:t>
            </w:r>
          </w:p>
        </w:tc>
        <w:tc>
          <w:tcPr>
            <w:tcW w:w="923" w:type="dxa"/>
            <w:tcBorders>
              <w:top w:val="single" w:sz="4" w:space="0" w:color="auto"/>
              <w:left w:val="nil"/>
              <w:bottom w:val="double" w:sz="6" w:space="0" w:color="auto"/>
              <w:right w:val="single" w:sz="4" w:space="0" w:color="auto"/>
            </w:tcBorders>
            <w:shd w:val="clear" w:color="000000" w:fill="FFCC00"/>
            <w:noWrap/>
          </w:tcPr>
          <w:p w:rsidR="00E11B21" w:rsidRPr="00D55DC6" w:rsidRDefault="00E11B21" w:rsidP="000725AB">
            <w:pPr>
              <w:jc w:val="center"/>
            </w:pPr>
            <w:r w:rsidRPr="00D55DC6">
              <w:t>105</w:t>
            </w:r>
          </w:p>
        </w:tc>
        <w:tc>
          <w:tcPr>
            <w:tcW w:w="924" w:type="dxa"/>
            <w:tcBorders>
              <w:top w:val="single" w:sz="4" w:space="0" w:color="auto"/>
              <w:left w:val="nil"/>
              <w:bottom w:val="double" w:sz="6" w:space="0" w:color="auto"/>
              <w:right w:val="single" w:sz="4" w:space="0" w:color="auto"/>
            </w:tcBorders>
            <w:shd w:val="clear" w:color="000000" w:fill="FFCC00"/>
            <w:noWrap/>
          </w:tcPr>
          <w:p w:rsidR="00E11B21" w:rsidRPr="00D55DC6" w:rsidRDefault="00E11B21" w:rsidP="000725AB">
            <w:pPr>
              <w:jc w:val="center"/>
            </w:pPr>
            <w:r w:rsidRPr="00D55DC6">
              <w:t>106</w:t>
            </w:r>
          </w:p>
        </w:tc>
        <w:tc>
          <w:tcPr>
            <w:tcW w:w="924" w:type="dxa"/>
            <w:tcBorders>
              <w:top w:val="single" w:sz="4" w:space="0" w:color="auto"/>
              <w:left w:val="nil"/>
              <w:bottom w:val="double" w:sz="6" w:space="0" w:color="auto"/>
              <w:right w:val="single" w:sz="4" w:space="0" w:color="auto"/>
            </w:tcBorders>
            <w:shd w:val="clear" w:color="000000" w:fill="FFCC00"/>
            <w:noWrap/>
          </w:tcPr>
          <w:p w:rsidR="00E11B21" w:rsidRPr="00D55DC6" w:rsidRDefault="00E11B21" w:rsidP="000725AB">
            <w:pPr>
              <w:jc w:val="center"/>
            </w:pPr>
            <w:r w:rsidRPr="00D55DC6">
              <w:t>107</w:t>
            </w:r>
          </w:p>
        </w:tc>
        <w:tc>
          <w:tcPr>
            <w:tcW w:w="923" w:type="dxa"/>
            <w:tcBorders>
              <w:top w:val="single" w:sz="4" w:space="0" w:color="auto"/>
              <w:left w:val="nil"/>
              <w:bottom w:val="double" w:sz="6" w:space="0" w:color="auto"/>
              <w:right w:val="single" w:sz="4" w:space="0" w:color="auto"/>
            </w:tcBorders>
            <w:shd w:val="clear" w:color="000000" w:fill="FFCC00"/>
            <w:noWrap/>
          </w:tcPr>
          <w:p w:rsidR="00E11B21" w:rsidRPr="00D55DC6" w:rsidRDefault="00E11B21" w:rsidP="000725AB">
            <w:pPr>
              <w:jc w:val="center"/>
            </w:pPr>
            <w:r w:rsidRPr="00D55DC6">
              <w:t>108</w:t>
            </w:r>
          </w:p>
        </w:tc>
        <w:tc>
          <w:tcPr>
            <w:tcW w:w="924" w:type="dxa"/>
            <w:tcBorders>
              <w:top w:val="single" w:sz="4" w:space="0" w:color="auto"/>
              <w:left w:val="nil"/>
              <w:bottom w:val="double" w:sz="6" w:space="0" w:color="auto"/>
              <w:right w:val="single" w:sz="4" w:space="0" w:color="auto"/>
            </w:tcBorders>
            <w:shd w:val="clear" w:color="000000" w:fill="FFCC00"/>
            <w:noWrap/>
          </w:tcPr>
          <w:p w:rsidR="00E11B21" w:rsidRPr="00D55DC6" w:rsidRDefault="00E11B21" w:rsidP="000725AB">
            <w:pPr>
              <w:jc w:val="center"/>
            </w:pPr>
            <w:r w:rsidRPr="00D55DC6">
              <w:t>109</w:t>
            </w:r>
          </w:p>
        </w:tc>
        <w:tc>
          <w:tcPr>
            <w:tcW w:w="923" w:type="dxa"/>
            <w:tcBorders>
              <w:top w:val="single" w:sz="4" w:space="0" w:color="auto"/>
              <w:left w:val="nil"/>
              <w:bottom w:val="double" w:sz="6" w:space="0" w:color="auto"/>
              <w:right w:val="single" w:sz="4" w:space="0" w:color="auto"/>
            </w:tcBorders>
            <w:shd w:val="clear" w:color="000000" w:fill="FFCC00"/>
            <w:noWrap/>
          </w:tcPr>
          <w:p w:rsidR="00E11B21" w:rsidRPr="00D55DC6" w:rsidRDefault="00E11B21" w:rsidP="000725AB">
            <w:pPr>
              <w:jc w:val="center"/>
            </w:pPr>
            <w:r w:rsidRPr="00D55DC6">
              <w:t>110</w:t>
            </w:r>
          </w:p>
        </w:tc>
        <w:tc>
          <w:tcPr>
            <w:tcW w:w="924" w:type="dxa"/>
            <w:tcBorders>
              <w:top w:val="single" w:sz="4" w:space="0" w:color="auto"/>
              <w:left w:val="nil"/>
              <w:bottom w:val="double" w:sz="6" w:space="0" w:color="auto"/>
              <w:right w:val="single" w:sz="4" w:space="0" w:color="auto"/>
            </w:tcBorders>
            <w:shd w:val="clear" w:color="000000" w:fill="FFCC00"/>
            <w:noWrap/>
          </w:tcPr>
          <w:p w:rsidR="00E11B21" w:rsidRPr="00D55DC6" w:rsidRDefault="00E11B21" w:rsidP="000725AB">
            <w:pPr>
              <w:jc w:val="center"/>
            </w:pPr>
            <w:r w:rsidRPr="00D55DC6">
              <w:t>111</w:t>
            </w:r>
          </w:p>
        </w:tc>
        <w:tc>
          <w:tcPr>
            <w:tcW w:w="902" w:type="dxa"/>
            <w:tcBorders>
              <w:top w:val="single" w:sz="4" w:space="0" w:color="auto"/>
              <w:left w:val="nil"/>
              <w:bottom w:val="double" w:sz="6" w:space="0" w:color="auto"/>
              <w:right w:val="single" w:sz="4" w:space="0" w:color="auto"/>
            </w:tcBorders>
            <w:shd w:val="clear" w:color="000000" w:fill="FFCC00"/>
            <w:noWrap/>
          </w:tcPr>
          <w:p w:rsidR="00E11B21" w:rsidRPr="00D55DC6" w:rsidRDefault="00E11B21" w:rsidP="000725AB">
            <w:pPr>
              <w:jc w:val="center"/>
            </w:pPr>
            <w:r w:rsidRPr="00D55DC6">
              <w:t>112</w:t>
            </w:r>
          </w:p>
        </w:tc>
      </w:tr>
      <w:tr w:rsidR="001D0350" w:rsidRPr="00D55DC6" w:rsidTr="0097094B">
        <w:trPr>
          <w:gridAfter w:val="1"/>
          <w:wAfter w:w="996" w:type="dxa"/>
          <w:trHeight w:val="360"/>
        </w:trPr>
        <w:tc>
          <w:tcPr>
            <w:tcW w:w="849" w:type="dxa"/>
            <w:tcBorders>
              <w:top w:val="single" w:sz="4" w:space="0" w:color="auto"/>
              <w:left w:val="single" w:sz="4" w:space="0" w:color="auto"/>
              <w:bottom w:val="single" w:sz="4" w:space="0" w:color="auto"/>
              <w:right w:val="single" w:sz="4" w:space="0" w:color="auto"/>
            </w:tcBorders>
            <w:shd w:val="clear" w:color="000000" w:fill="FDE9D9"/>
            <w:noWrap/>
            <w:vAlign w:val="center"/>
          </w:tcPr>
          <w:p w:rsidR="00E11B21" w:rsidRPr="00D55DC6" w:rsidRDefault="00E11B21" w:rsidP="00E11B21">
            <w:pPr>
              <w:widowControl/>
              <w:jc w:val="distribute"/>
              <w:rPr>
                <w:rFonts w:eastAsia="標楷體"/>
                <w:kern w:val="0"/>
                <w:sz w:val="22"/>
              </w:rPr>
            </w:pPr>
            <w:r w:rsidRPr="00D55DC6">
              <w:rPr>
                <w:rFonts w:eastAsia="標楷體"/>
                <w:kern w:val="0"/>
                <w:sz w:val="22"/>
                <w:szCs w:val="22"/>
              </w:rPr>
              <w:t>支出</w:t>
            </w:r>
          </w:p>
        </w:tc>
        <w:tc>
          <w:tcPr>
            <w:tcW w:w="780" w:type="dxa"/>
            <w:tcBorders>
              <w:top w:val="single" w:sz="4" w:space="0" w:color="auto"/>
              <w:left w:val="nil"/>
              <w:bottom w:val="single" w:sz="4" w:space="0" w:color="auto"/>
              <w:right w:val="single" w:sz="4" w:space="0" w:color="auto"/>
            </w:tcBorders>
            <w:shd w:val="clear" w:color="000000" w:fill="FDE9D9"/>
            <w:noWrap/>
          </w:tcPr>
          <w:p w:rsidR="00E11B21" w:rsidRPr="00D55DC6" w:rsidRDefault="00E11B21" w:rsidP="000725AB">
            <w:pPr>
              <w:jc w:val="center"/>
              <w:rPr>
                <w:sz w:val="22"/>
                <w:szCs w:val="22"/>
              </w:rPr>
            </w:pPr>
            <w:r w:rsidRPr="00D55DC6">
              <w:rPr>
                <w:sz w:val="22"/>
                <w:szCs w:val="22"/>
              </w:rPr>
              <w:t>150,600</w:t>
            </w:r>
          </w:p>
        </w:tc>
        <w:tc>
          <w:tcPr>
            <w:tcW w:w="923" w:type="dxa"/>
            <w:tcBorders>
              <w:top w:val="single" w:sz="4" w:space="0" w:color="auto"/>
              <w:left w:val="nil"/>
              <w:bottom w:val="single" w:sz="4" w:space="0" w:color="auto"/>
              <w:right w:val="single" w:sz="4" w:space="0" w:color="auto"/>
            </w:tcBorders>
            <w:shd w:val="clear" w:color="000000" w:fill="FDE9D9"/>
            <w:noWrap/>
          </w:tcPr>
          <w:p w:rsidR="00E11B21" w:rsidRPr="00D55DC6" w:rsidRDefault="00E11B21" w:rsidP="000725AB">
            <w:pPr>
              <w:jc w:val="center"/>
              <w:rPr>
                <w:sz w:val="22"/>
                <w:szCs w:val="22"/>
              </w:rPr>
            </w:pPr>
            <w:r w:rsidRPr="00D55DC6">
              <w:rPr>
                <w:sz w:val="22"/>
                <w:szCs w:val="22"/>
              </w:rPr>
              <w:t>120,000</w:t>
            </w:r>
          </w:p>
        </w:tc>
        <w:tc>
          <w:tcPr>
            <w:tcW w:w="923" w:type="dxa"/>
            <w:tcBorders>
              <w:top w:val="single" w:sz="4" w:space="0" w:color="auto"/>
              <w:left w:val="nil"/>
              <w:bottom w:val="single" w:sz="4" w:space="0" w:color="auto"/>
              <w:right w:val="single" w:sz="4" w:space="0" w:color="auto"/>
            </w:tcBorders>
            <w:shd w:val="clear" w:color="000000" w:fill="FDE9D9"/>
            <w:noWrap/>
          </w:tcPr>
          <w:p w:rsidR="00E11B21" w:rsidRPr="00D55DC6" w:rsidRDefault="00E11B21" w:rsidP="000725AB">
            <w:pPr>
              <w:jc w:val="center"/>
              <w:rPr>
                <w:sz w:val="22"/>
                <w:szCs w:val="22"/>
              </w:rPr>
            </w:pPr>
            <w:r w:rsidRPr="00D55DC6">
              <w:rPr>
                <w:sz w:val="22"/>
                <w:szCs w:val="22"/>
              </w:rPr>
              <w:t>300,000</w:t>
            </w:r>
          </w:p>
        </w:tc>
        <w:tc>
          <w:tcPr>
            <w:tcW w:w="924" w:type="dxa"/>
            <w:tcBorders>
              <w:top w:val="single" w:sz="4" w:space="0" w:color="auto"/>
              <w:left w:val="nil"/>
              <w:bottom w:val="single" w:sz="4" w:space="0" w:color="auto"/>
              <w:right w:val="single" w:sz="4" w:space="0" w:color="auto"/>
            </w:tcBorders>
            <w:shd w:val="clear" w:color="000000" w:fill="FDE9D9"/>
            <w:noWrap/>
          </w:tcPr>
          <w:p w:rsidR="00E11B21" w:rsidRPr="00D55DC6" w:rsidRDefault="00E11B21" w:rsidP="000725AB">
            <w:pPr>
              <w:jc w:val="center"/>
              <w:rPr>
                <w:sz w:val="22"/>
                <w:szCs w:val="22"/>
              </w:rPr>
            </w:pPr>
            <w:r w:rsidRPr="00D55DC6">
              <w:rPr>
                <w:sz w:val="22"/>
                <w:szCs w:val="22"/>
              </w:rPr>
              <w:t>300,000</w:t>
            </w:r>
          </w:p>
        </w:tc>
        <w:tc>
          <w:tcPr>
            <w:tcW w:w="924" w:type="dxa"/>
            <w:tcBorders>
              <w:top w:val="single" w:sz="4" w:space="0" w:color="auto"/>
              <w:left w:val="nil"/>
              <w:bottom w:val="single" w:sz="4" w:space="0" w:color="auto"/>
              <w:right w:val="single" w:sz="4" w:space="0" w:color="auto"/>
            </w:tcBorders>
            <w:shd w:val="clear" w:color="000000" w:fill="FDE9D9"/>
            <w:noWrap/>
          </w:tcPr>
          <w:p w:rsidR="00E11B21" w:rsidRPr="00D55DC6" w:rsidRDefault="00E11B21" w:rsidP="000725AB">
            <w:pPr>
              <w:jc w:val="center"/>
              <w:rPr>
                <w:sz w:val="22"/>
                <w:szCs w:val="22"/>
              </w:rPr>
            </w:pPr>
            <w:r w:rsidRPr="00D55DC6">
              <w:rPr>
                <w:sz w:val="22"/>
                <w:szCs w:val="22"/>
              </w:rPr>
              <w:t>300,000</w:t>
            </w:r>
          </w:p>
        </w:tc>
        <w:tc>
          <w:tcPr>
            <w:tcW w:w="923" w:type="dxa"/>
            <w:tcBorders>
              <w:top w:val="single" w:sz="4" w:space="0" w:color="auto"/>
              <w:left w:val="nil"/>
              <w:bottom w:val="single" w:sz="4" w:space="0" w:color="auto"/>
              <w:right w:val="single" w:sz="4" w:space="0" w:color="auto"/>
            </w:tcBorders>
            <w:shd w:val="clear" w:color="000000" w:fill="FDE9D9"/>
            <w:noWrap/>
          </w:tcPr>
          <w:p w:rsidR="00E11B21" w:rsidRPr="00D55DC6" w:rsidRDefault="00E11B21" w:rsidP="000725AB">
            <w:pPr>
              <w:jc w:val="center"/>
              <w:rPr>
                <w:sz w:val="22"/>
                <w:szCs w:val="22"/>
              </w:rPr>
            </w:pPr>
            <w:r w:rsidRPr="00D55DC6">
              <w:rPr>
                <w:sz w:val="22"/>
                <w:szCs w:val="22"/>
              </w:rPr>
              <w:t>300,000</w:t>
            </w:r>
          </w:p>
        </w:tc>
        <w:tc>
          <w:tcPr>
            <w:tcW w:w="924" w:type="dxa"/>
            <w:tcBorders>
              <w:top w:val="single" w:sz="4" w:space="0" w:color="auto"/>
              <w:left w:val="nil"/>
              <w:bottom w:val="single" w:sz="4" w:space="0" w:color="auto"/>
              <w:right w:val="single" w:sz="4" w:space="0" w:color="auto"/>
            </w:tcBorders>
            <w:shd w:val="clear" w:color="000000" w:fill="FDE9D9"/>
            <w:noWrap/>
          </w:tcPr>
          <w:p w:rsidR="00E11B21" w:rsidRPr="00D55DC6" w:rsidRDefault="00E11B21" w:rsidP="000725AB">
            <w:pPr>
              <w:jc w:val="center"/>
              <w:rPr>
                <w:sz w:val="22"/>
                <w:szCs w:val="22"/>
              </w:rPr>
            </w:pPr>
            <w:r w:rsidRPr="00D55DC6">
              <w:rPr>
                <w:sz w:val="22"/>
                <w:szCs w:val="22"/>
              </w:rPr>
              <w:t>120,000</w:t>
            </w:r>
          </w:p>
        </w:tc>
        <w:tc>
          <w:tcPr>
            <w:tcW w:w="923" w:type="dxa"/>
            <w:tcBorders>
              <w:top w:val="single" w:sz="4" w:space="0" w:color="auto"/>
              <w:left w:val="nil"/>
              <w:bottom w:val="single" w:sz="4" w:space="0" w:color="auto"/>
              <w:right w:val="single" w:sz="4" w:space="0" w:color="auto"/>
            </w:tcBorders>
            <w:shd w:val="clear" w:color="000000" w:fill="FDE9D9"/>
            <w:noWrap/>
          </w:tcPr>
          <w:p w:rsidR="00E11B21" w:rsidRPr="00D55DC6" w:rsidRDefault="00E11B21" w:rsidP="000725AB">
            <w:pPr>
              <w:jc w:val="center"/>
              <w:rPr>
                <w:sz w:val="22"/>
                <w:szCs w:val="22"/>
              </w:rPr>
            </w:pPr>
            <w:r w:rsidRPr="00D55DC6">
              <w:rPr>
                <w:sz w:val="22"/>
                <w:szCs w:val="22"/>
              </w:rPr>
              <w:t>120,000</w:t>
            </w:r>
          </w:p>
        </w:tc>
        <w:tc>
          <w:tcPr>
            <w:tcW w:w="924" w:type="dxa"/>
            <w:tcBorders>
              <w:top w:val="single" w:sz="4" w:space="0" w:color="auto"/>
              <w:left w:val="nil"/>
              <w:bottom w:val="single" w:sz="4" w:space="0" w:color="auto"/>
              <w:right w:val="single" w:sz="4" w:space="0" w:color="auto"/>
            </w:tcBorders>
            <w:shd w:val="clear" w:color="000000" w:fill="FDE9D9"/>
            <w:noWrap/>
          </w:tcPr>
          <w:p w:rsidR="00E11B21" w:rsidRPr="00D55DC6" w:rsidRDefault="00E11B21" w:rsidP="000725AB">
            <w:pPr>
              <w:jc w:val="center"/>
              <w:rPr>
                <w:sz w:val="22"/>
                <w:szCs w:val="22"/>
              </w:rPr>
            </w:pPr>
            <w:r w:rsidRPr="00D55DC6">
              <w:rPr>
                <w:sz w:val="22"/>
                <w:szCs w:val="22"/>
              </w:rPr>
              <w:t>120,000</w:t>
            </w:r>
          </w:p>
        </w:tc>
        <w:tc>
          <w:tcPr>
            <w:tcW w:w="902" w:type="dxa"/>
            <w:tcBorders>
              <w:top w:val="single" w:sz="4" w:space="0" w:color="auto"/>
              <w:left w:val="nil"/>
              <w:bottom w:val="single" w:sz="4" w:space="0" w:color="auto"/>
              <w:right w:val="single" w:sz="4" w:space="0" w:color="auto"/>
            </w:tcBorders>
            <w:shd w:val="clear" w:color="000000" w:fill="FDE9D9"/>
            <w:noWrap/>
          </w:tcPr>
          <w:p w:rsidR="00E11B21" w:rsidRPr="00D55DC6" w:rsidRDefault="00E11B21" w:rsidP="000725AB">
            <w:pPr>
              <w:jc w:val="center"/>
              <w:rPr>
                <w:sz w:val="22"/>
                <w:szCs w:val="22"/>
              </w:rPr>
            </w:pPr>
            <w:r w:rsidRPr="00D55DC6">
              <w:rPr>
                <w:sz w:val="22"/>
                <w:szCs w:val="22"/>
              </w:rPr>
              <w:t>120,000</w:t>
            </w:r>
          </w:p>
        </w:tc>
      </w:tr>
      <w:tr w:rsidR="001D0350" w:rsidRPr="00D55DC6" w:rsidTr="00EA13B2">
        <w:trPr>
          <w:gridAfter w:val="1"/>
          <w:wAfter w:w="996" w:type="dxa"/>
          <w:trHeight w:val="360"/>
        </w:trPr>
        <w:tc>
          <w:tcPr>
            <w:tcW w:w="849" w:type="dxa"/>
            <w:tcBorders>
              <w:top w:val="nil"/>
              <w:left w:val="single" w:sz="4" w:space="0" w:color="auto"/>
              <w:bottom w:val="single" w:sz="4" w:space="0" w:color="auto"/>
              <w:right w:val="single" w:sz="4" w:space="0" w:color="auto"/>
            </w:tcBorders>
            <w:shd w:val="clear" w:color="000000" w:fill="FFFFFF"/>
            <w:noWrap/>
            <w:vAlign w:val="center"/>
          </w:tcPr>
          <w:p w:rsidR="00EA13B2" w:rsidRPr="00D55DC6" w:rsidRDefault="00EA13B2" w:rsidP="00E11B21">
            <w:pPr>
              <w:widowControl/>
              <w:jc w:val="distribute"/>
              <w:rPr>
                <w:rFonts w:eastAsia="標楷體"/>
                <w:kern w:val="0"/>
                <w:sz w:val="22"/>
              </w:rPr>
            </w:pPr>
            <w:r w:rsidRPr="00D55DC6">
              <w:rPr>
                <w:rFonts w:eastAsia="標楷體"/>
                <w:kern w:val="0"/>
                <w:sz w:val="22"/>
                <w:szCs w:val="22"/>
              </w:rPr>
              <w:t>收入</w:t>
            </w:r>
          </w:p>
        </w:tc>
        <w:tc>
          <w:tcPr>
            <w:tcW w:w="780" w:type="dxa"/>
            <w:tcBorders>
              <w:top w:val="nil"/>
              <w:left w:val="nil"/>
              <w:bottom w:val="single" w:sz="4" w:space="0" w:color="auto"/>
              <w:right w:val="single" w:sz="4" w:space="0" w:color="auto"/>
            </w:tcBorders>
            <w:shd w:val="clear" w:color="000000" w:fill="FFFFFF"/>
            <w:noWrap/>
            <w:vAlign w:val="center"/>
          </w:tcPr>
          <w:p w:rsidR="00EA13B2" w:rsidRPr="00D55DC6" w:rsidRDefault="00EA13B2" w:rsidP="00EA13B2">
            <w:pPr>
              <w:jc w:val="center"/>
              <w:rPr>
                <w:sz w:val="22"/>
                <w:szCs w:val="22"/>
              </w:rPr>
            </w:pPr>
            <w:r w:rsidRPr="00D55DC6">
              <w:rPr>
                <w:sz w:val="22"/>
                <w:szCs w:val="22"/>
              </w:rPr>
              <w:t>2,645</w:t>
            </w:r>
          </w:p>
        </w:tc>
        <w:tc>
          <w:tcPr>
            <w:tcW w:w="923" w:type="dxa"/>
            <w:tcBorders>
              <w:top w:val="nil"/>
              <w:left w:val="nil"/>
              <w:bottom w:val="single" w:sz="4" w:space="0" w:color="auto"/>
              <w:right w:val="single" w:sz="4" w:space="0" w:color="auto"/>
            </w:tcBorders>
            <w:shd w:val="clear" w:color="000000" w:fill="FFFFFF"/>
            <w:noWrap/>
            <w:vAlign w:val="center"/>
          </w:tcPr>
          <w:p w:rsidR="00EA13B2" w:rsidRPr="00D55DC6" w:rsidRDefault="00EA13B2" w:rsidP="00EA13B2">
            <w:pPr>
              <w:jc w:val="center"/>
              <w:rPr>
                <w:sz w:val="22"/>
                <w:szCs w:val="22"/>
              </w:rPr>
            </w:pPr>
            <w:r w:rsidRPr="00D55DC6">
              <w:rPr>
                <w:sz w:val="22"/>
                <w:szCs w:val="22"/>
              </w:rPr>
              <w:t>2,645</w:t>
            </w:r>
          </w:p>
        </w:tc>
        <w:tc>
          <w:tcPr>
            <w:tcW w:w="923" w:type="dxa"/>
            <w:tcBorders>
              <w:top w:val="nil"/>
              <w:left w:val="nil"/>
              <w:bottom w:val="single" w:sz="4" w:space="0" w:color="auto"/>
              <w:right w:val="single" w:sz="4" w:space="0" w:color="auto"/>
            </w:tcBorders>
            <w:shd w:val="clear" w:color="000000" w:fill="FFFFFF"/>
            <w:noWrap/>
            <w:vAlign w:val="center"/>
          </w:tcPr>
          <w:p w:rsidR="00EA13B2" w:rsidRPr="00D55DC6" w:rsidRDefault="00EA13B2" w:rsidP="00EA13B2">
            <w:pPr>
              <w:jc w:val="center"/>
              <w:rPr>
                <w:sz w:val="22"/>
                <w:szCs w:val="22"/>
              </w:rPr>
            </w:pPr>
            <w:r w:rsidRPr="00D55DC6">
              <w:rPr>
                <w:sz w:val="22"/>
                <w:szCs w:val="22"/>
              </w:rPr>
              <w:t>2,645</w:t>
            </w:r>
          </w:p>
        </w:tc>
        <w:tc>
          <w:tcPr>
            <w:tcW w:w="924" w:type="dxa"/>
            <w:tcBorders>
              <w:top w:val="nil"/>
              <w:left w:val="nil"/>
              <w:bottom w:val="single" w:sz="4" w:space="0" w:color="auto"/>
              <w:right w:val="single" w:sz="4" w:space="0" w:color="auto"/>
            </w:tcBorders>
            <w:shd w:val="clear" w:color="000000" w:fill="FFFFFF"/>
            <w:noWrap/>
            <w:vAlign w:val="center"/>
          </w:tcPr>
          <w:p w:rsidR="00EA13B2" w:rsidRPr="00D55DC6" w:rsidRDefault="00EA13B2" w:rsidP="00EA13B2">
            <w:pPr>
              <w:jc w:val="center"/>
              <w:rPr>
                <w:sz w:val="22"/>
                <w:szCs w:val="22"/>
              </w:rPr>
            </w:pPr>
            <w:r w:rsidRPr="00D55DC6">
              <w:rPr>
                <w:sz w:val="22"/>
                <w:szCs w:val="22"/>
              </w:rPr>
              <w:t>2,645</w:t>
            </w:r>
          </w:p>
        </w:tc>
        <w:tc>
          <w:tcPr>
            <w:tcW w:w="924" w:type="dxa"/>
            <w:tcBorders>
              <w:top w:val="nil"/>
              <w:left w:val="nil"/>
              <w:bottom w:val="single" w:sz="4" w:space="0" w:color="auto"/>
              <w:right w:val="single" w:sz="4" w:space="0" w:color="auto"/>
            </w:tcBorders>
            <w:shd w:val="clear" w:color="000000" w:fill="FFFFFF"/>
            <w:noWrap/>
            <w:vAlign w:val="center"/>
          </w:tcPr>
          <w:p w:rsidR="00EA13B2" w:rsidRPr="00D55DC6" w:rsidRDefault="00EA13B2" w:rsidP="00EA13B2">
            <w:pPr>
              <w:jc w:val="center"/>
              <w:rPr>
                <w:sz w:val="22"/>
                <w:szCs w:val="22"/>
              </w:rPr>
            </w:pPr>
            <w:r w:rsidRPr="00D55DC6">
              <w:rPr>
                <w:sz w:val="22"/>
                <w:szCs w:val="22"/>
              </w:rPr>
              <w:t>8,645</w:t>
            </w:r>
          </w:p>
        </w:tc>
        <w:tc>
          <w:tcPr>
            <w:tcW w:w="923" w:type="dxa"/>
            <w:tcBorders>
              <w:top w:val="nil"/>
              <w:left w:val="nil"/>
              <w:bottom w:val="single" w:sz="4" w:space="0" w:color="auto"/>
              <w:right w:val="single" w:sz="4" w:space="0" w:color="auto"/>
            </w:tcBorders>
            <w:shd w:val="clear" w:color="000000" w:fill="FFFFFF"/>
            <w:noWrap/>
            <w:vAlign w:val="center"/>
          </w:tcPr>
          <w:p w:rsidR="00EA13B2" w:rsidRPr="00D55DC6" w:rsidRDefault="00EA13B2" w:rsidP="00EA13B2">
            <w:pPr>
              <w:jc w:val="center"/>
              <w:rPr>
                <w:sz w:val="22"/>
                <w:szCs w:val="22"/>
              </w:rPr>
            </w:pPr>
            <w:r w:rsidRPr="00D55DC6">
              <w:rPr>
                <w:sz w:val="22"/>
                <w:szCs w:val="22"/>
              </w:rPr>
              <w:t>19,340</w:t>
            </w:r>
          </w:p>
        </w:tc>
        <w:tc>
          <w:tcPr>
            <w:tcW w:w="924" w:type="dxa"/>
            <w:tcBorders>
              <w:top w:val="nil"/>
              <w:left w:val="nil"/>
              <w:bottom w:val="single" w:sz="4" w:space="0" w:color="auto"/>
              <w:right w:val="single" w:sz="4" w:space="0" w:color="auto"/>
            </w:tcBorders>
            <w:shd w:val="clear" w:color="000000" w:fill="FFFFFF"/>
            <w:noWrap/>
          </w:tcPr>
          <w:p w:rsidR="00EA13B2" w:rsidRPr="00D55DC6" w:rsidRDefault="00EA13B2" w:rsidP="00EA13B2">
            <w:pPr>
              <w:jc w:val="center"/>
              <w:rPr>
                <w:sz w:val="22"/>
                <w:szCs w:val="22"/>
              </w:rPr>
            </w:pPr>
            <w:r w:rsidRPr="00D55DC6">
              <w:rPr>
                <w:sz w:val="22"/>
                <w:szCs w:val="22"/>
              </w:rPr>
              <w:t>27,290</w:t>
            </w:r>
          </w:p>
        </w:tc>
        <w:tc>
          <w:tcPr>
            <w:tcW w:w="923" w:type="dxa"/>
            <w:tcBorders>
              <w:top w:val="nil"/>
              <w:left w:val="nil"/>
              <w:bottom w:val="single" w:sz="4" w:space="0" w:color="auto"/>
              <w:right w:val="single" w:sz="4" w:space="0" w:color="auto"/>
            </w:tcBorders>
            <w:shd w:val="clear" w:color="000000" w:fill="FFFFFF"/>
            <w:noWrap/>
          </w:tcPr>
          <w:p w:rsidR="00EA13B2" w:rsidRPr="00D55DC6" w:rsidRDefault="00EA13B2" w:rsidP="00EA13B2">
            <w:pPr>
              <w:jc w:val="center"/>
              <w:rPr>
                <w:sz w:val="22"/>
                <w:szCs w:val="22"/>
              </w:rPr>
            </w:pPr>
            <w:r w:rsidRPr="00D55DC6">
              <w:rPr>
                <w:sz w:val="22"/>
                <w:szCs w:val="22"/>
              </w:rPr>
              <w:t>27,290</w:t>
            </w:r>
          </w:p>
        </w:tc>
        <w:tc>
          <w:tcPr>
            <w:tcW w:w="924" w:type="dxa"/>
            <w:tcBorders>
              <w:top w:val="nil"/>
              <w:left w:val="nil"/>
              <w:bottom w:val="single" w:sz="4" w:space="0" w:color="auto"/>
              <w:right w:val="single" w:sz="4" w:space="0" w:color="auto"/>
            </w:tcBorders>
            <w:shd w:val="clear" w:color="000000" w:fill="FFFFFF"/>
            <w:noWrap/>
          </w:tcPr>
          <w:p w:rsidR="00EA13B2" w:rsidRPr="00D55DC6" w:rsidRDefault="00EA13B2" w:rsidP="00EA13B2">
            <w:pPr>
              <w:jc w:val="center"/>
              <w:rPr>
                <w:sz w:val="22"/>
                <w:szCs w:val="22"/>
              </w:rPr>
            </w:pPr>
            <w:r w:rsidRPr="00D55DC6">
              <w:rPr>
                <w:sz w:val="22"/>
                <w:szCs w:val="22"/>
              </w:rPr>
              <w:t>23,210</w:t>
            </w:r>
          </w:p>
        </w:tc>
        <w:tc>
          <w:tcPr>
            <w:tcW w:w="902" w:type="dxa"/>
            <w:tcBorders>
              <w:top w:val="nil"/>
              <w:left w:val="nil"/>
              <w:bottom w:val="single" w:sz="4" w:space="0" w:color="auto"/>
              <w:right w:val="single" w:sz="4" w:space="0" w:color="auto"/>
            </w:tcBorders>
            <w:shd w:val="clear" w:color="000000" w:fill="FFFFFF"/>
            <w:noWrap/>
          </w:tcPr>
          <w:p w:rsidR="00EA13B2" w:rsidRPr="00D55DC6" w:rsidRDefault="00EA13B2" w:rsidP="00EA13B2">
            <w:pPr>
              <w:jc w:val="center"/>
              <w:rPr>
                <w:sz w:val="22"/>
                <w:szCs w:val="22"/>
              </w:rPr>
            </w:pPr>
            <w:r w:rsidRPr="00D55DC6">
              <w:rPr>
                <w:sz w:val="22"/>
                <w:szCs w:val="22"/>
              </w:rPr>
              <w:t>26,090</w:t>
            </w:r>
          </w:p>
        </w:tc>
      </w:tr>
      <w:tr w:rsidR="001D0350" w:rsidRPr="00D55DC6" w:rsidTr="00EA13B2">
        <w:trPr>
          <w:gridAfter w:val="1"/>
          <w:wAfter w:w="996" w:type="dxa"/>
          <w:trHeight w:val="360"/>
        </w:trPr>
        <w:tc>
          <w:tcPr>
            <w:tcW w:w="849" w:type="dxa"/>
            <w:tcBorders>
              <w:top w:val="nil"/>
              <w:left w:val="single" w:sz="4" w:space="0" w:color="auto"/>
              <w:bottom w:val="single" w:sz="4" w:space="0" w:color="auto"/>
              <w:right w:val="single" w:sz="4" w:space="0" w:color="auto"/>
            </w:tcBorders>
            <w:shd w:val="clear" w:color="000000" w:fill="FFFFFF"/>
            <w:noWrap/>
            <w:vAlign w:val="center"/>
          </w:tcPr>
          <w:p w:rsidR="00EA13B2" w:rsidRPr="00D55DC6" w:rsidRDefault="00EA13B2" w:rsidP="00E11B21">
            <w:pPr>
              <w:widowControl/>
              <w:jc w:val="distribute"/>
              <w:rPr>
                <w:rFonts w:eastAsia="標楷體"/>
                <w:kern w:val="0"/>
                <w:sz w:val="22"/>
              </w:rPr>
            </w:pPr>
            <w:r w:rsidRPr="00D55DC6">
              <w:rPr>
                <w:rFonts w:eastAsia="標楷體"/>
                <w:kern w:val="0"/>
                <w:sz w:val="22"/>
                <w:szCs w:val="22"/>
              </w:rPr>
              <w:t>收支比</w:t>
            </w:r>
          </w:p>
        </w:tc>
        <w:tc>
          <w:tcPr>
            <w:tcW w:w="780" w:type="dxa"/>
            <w:tcBorders>
              <w:top w:val="nil"/>
              <w:left w:val="nil"/>
              <w:bottom w:val="single" w:sz="4" w:space="0" w:color="auto"/>
              <w:right w:val="single" w:sz="4" w:space="0" w:color="auto"/>
            </w:tcBorders>
            <w:shd w:val="clear" w:color="000000" w:fill="FFFFFF"/>
            <w:noWrap/>
            <w:vAlign w:val="center"/>
          </w:tcPr>
          <w:p w:rsidR="00EA13B2" w:rsidRPr="00D55DC6" w:rsidRDefault="00EA13B2" w:rsidP="00EA13B2">
            <w:pPr>
              <w:jc w:val="center"/>
              <w:rPr>
                <w:sz w:val="22"/>
                <w:szCs w:val="22"/>
              </w:rPr>
            </w:pPr>
            <w:r w:rsidRPr="00D55DC6">
              <w:rPr>
                <w:sz w:val="22"/>
                <w:szCs w:val="22"/>
              </w:rPr>
              <w:t>1.76%</w:t>
            </w:r>
          </w:p>
        </w:tc>
        <w:tc>
          <w:tcPr>
            <w:tcW w:w="923" w:type="dxa"/>
            <w:tcBorders>
              <w:top w:val="nil"/>
              <w:left w:val="nil"/>
              <w:bottom w:val="single" w:sz="4" w:space="0" w:color="auto"/>
              <w:right w:val="single" w:sz="4" w:space="0" w:color="auto"/>
            </w:tcBorders>
            <w:shd w:val="clear" w:color="000000" w:fill="FFFFFF"/>
            <w:noWrap/>
            <w:vAlign w:val="center"/>
          </w:tcPr>
          <w:p w:rsidR="00EA13B2" w:rsidRPr="00D55DC6" w:rsidRDefault="00EA13B2" w:rsidP="00EA13B2">
            <w:pPr>
              <w:jc w:val="center"/>
              <w:rPr>
                <w:sz w:val="22"/>
                <w:szCs w:val="22"/>
              </w:rPr>
            </w:pPr>
            <w:r w:rsidRPr="00D55DC6">
              <w:rPr>
                <w:sz w:val="22"/>
                <w:szCs w:val="22"/>
              </w:rPr>
              <w:t>2.20%</w:t>
            </w:r>
          </w:p>
        </w:tc>
        <w:tc>
          <w:tcPr>
            <w:tcW w:w="923" w:type="dxa"/>
            <w:tcBorders>
              <w:top w:val="nil"/>
              <w:left w:val="nil"/>
              <w:bottom w:val="single" w:sz="4" w:space="0" w:color="auto"/>
              <w:right w:val="single" w:sz="4" w:space="0" w:color="auto"/>
            </w:tcBorders>
            <w:shd w:val="clear" w:color="000000" w:fill="FFFFFF"/>
            <w:noWrap/>
            <w:vAlign w:val="center"/>
          </w:tcPr>
          <w:p w:rsidR="00EA13B2" w:rsidRPr="00D55DC6" w:rsidRDefault="00EA13B2" w:rsidP="00EA13B2">
            <w:pPr>
              <w:jc w:val="center"/>
              <w:rPr>
                <w:sz w:val="22"/>
                <w:szCs w:val="22"/>
              </w:rPr>
            </w:pPr>
            <w:r w:rsidRPr="00D55DC6">
              <w:rPr>
                <w:sz w:val="22"/>
                <w:szCs w:val="22"/>
              </w:rPr>
              <w:t>0.88%</w:t>
            </w:r>
          </w:p>
        </w:tc>
        <w:tc>
          <w:tcPr>
            <w:tcW w:w="924" w:type="dxa"/>
            <w:tcBorders>
              <w:top w:val="nil"/>
              <w:left w:val="nil"/>
              <w:bottom w:val="single" w:sz="4" w:space="0" w:color="auto"/>
              <w:right w:val="single" w:sz="4" w:space="0" w:color="auto"/>
            </w:tcBorders>
            <w:shd w:val="clear" w:color="000000" w:fill="FFFFFF"/>
            <w:noWrap/>
            <w:vAlign w:val="center"/>
          </w:tcPr>
          <w:p w:rsidR="00EA13B2" w:rsidRPr="00D55DC6" w:rsidRDefault="00EA13B2" w:rsidP="00EA13B2">
            <w:pPr>
              <w:jc w:val="center"/>
              <w:rPr>
                <w:sz w:val="22"/>
                <w:szCs w:val="22"/>
              </w:rPr>
            </w:pPr>
            <w:r w:rsidRPr="00D55DC6">
              <w:rPr>
                <w:sz w:val="22"/>
                <w:szCs w:val="22"/>
              </w:rPr>
              <w:t>0.88%</w:t>
            </w:r>
          </w:p>
        </w:tc>
        <w:tc>
          <w:tcPr>
            <w:tcW w:w="924" w:type="dxa"/>
            <w:tcBorders>
              <w:top w:val="nil"/>
              <w:left w:val="nil"/>
              <w:bottom w:val="single" w:sz="4" w:space="0" w:color="auto"/>
              <w:right w:val="single" w:sz="4" w:space="0" w:color="auto"/>
            </w:tcBorders>
            <w:shd w:val="clear" w:color="000000" w:fill="FFFFFF"/>
            <w:noWrap/>
            <w:vAlign w:val="center"/>
          </w:tcPr>
          <w:p w:rsidR="00EA13B2" w:rsidRPr="00D55DC6" w:rsidRDefault="00EA13B2" w:rsidP="00EA13B2">
            <w:pPr>
              <w:jc w:val="center"/>
              <w:rPr>
                <w:sz w:val="22"/>
                <w:szCs w:val="22"/>
              </w:rPr>
            </w:pPr>
            <w:r w:rsidRPr="00D55DC6">
              <w:rPr>
                <w:sz w:val="22"/>
                <w:szCs w:val="22"/>
              </w:rPr>
              <w:t>2.88%</w:t>
            </w:r>
          </w:p>
        </w:tc>
        <w:tc>
          <w:tcPr>
            <w:tcW w:w="923" w:type="dxa"/>
            <w:tcBorders>
              <w:top w:val="nil"/>
              <w:left w:val="nil"/>
              <w:bottom w:val="single" w:sz="4" w:space="0" w:color="auto"/>
              <w:right w:val="single" w:sz="4" w:space="0" w:color="auto"/>
            </w:tcBorders>
            <w:shd w:val="clear" w:color="000000" w:fill="FFFFFF"/>
            <w:noWrap/>
            <w:vAlign w:val="center"/>
          </w:tcPr>
          <w:p w:rsidR="00EA13B2" w:rsidRPr="00D55DC6" w:rsidRDefault="00EA13B2" w:rsidP="00EA13B2">
            <w:pPr>
              <w:jc w:val="center"/>
              <w:rPr>
                <w:sz w:val="22"/>
                <w:szCs w:val="22"/>
              </w:rPr>
            </w:pPr>
            <w:r w:rsidRPr="00D55DC6">
              <w:rPr>
                <w:sz w:val="22"/>
                <w:szCs w:val="22"/>
              </w:rPr>
              <w:t>6.45%</w:t>
            </w:r>
          </w:p>
        </w:tc>
        <w:tc>
          <w:tcPr>
            <w:tcW w:w="924" w:type="dxa"/>
            <w:tcBorders>
              <w:top w:val="nil"/>
              <w:left w:val="nil"/>
              <w:bottom w:val="single" w:sz="4" w:space="0" w:color="auto"/>
              <w:right w:val="single" w:sz="4" w:space="0" w:color="auto"/>
            </w:tcBorders>
            <w:shd w:val="clear" w:color="000000" w:fill="FFFFFF"/>
            <w:noWrap/>
          </w:tcPr>
          <w:p w:rsidR="00EA13B2" w:rsidRPr="00D55DC6" w:rsidRDefault="00EA13B2" w:rsidP="00EA13B2">
            <w:pPr>
              <w:jc w:val="center"/>
              <w:rPr>
                <w:sz w:val="22"/>
                <w:szCs w:val="22"/>
              </w:rPr>
            </w:pPr>
            <w:r w:rsidRPr="00D55DC6">
              <w:rPr>
                <w:sz w:val="22"/>
                <w:szCs w:val="22"/>
              </w:rPr>
              <w:t>22.74%</w:t>
            </w:r>
          </w:p>
        </w:tc>
        <w:tc>
          <w:tcPr>
            <w:tcW w:w="923" w:type="dxa"/>
            <w:tcBorders>
              <w:top w:val="nil"/>
              <w:left w:val="nil"/>
              <w:bottom w:val="single" w:sz="4" w:space="0" w:color="auto"/>
              <w:right w:val="single" w:sz="4" w:space="0" w:color="auto"/>
            </w:tcBorders>
            <w:shd w:val="clear" w:color="000000" w:fill="FFFFFF"/>
            <w:noWrap/>
          </w:tcPr>
          <w:p w:rsidR="00EA13B2" w:rsidRPr="00D55DC6" w:rsidRDefault="00EA13B2" w:rsidP="00EA13B2">
            <w:pPr>
              <w:jc w:val="center"/>
              <w:rPr>
                <w:sz w:val="22"/>
                <w:szCs w:val="22"/>
              </w:rPr>
            </w:pPr>
            <w:r w:rsidRPr="00D55DC6">
              <w:rPr>
                <w:sz w:val="22"/>
                <w:szCs w:val="22"/>
              </w:rPr>
              <w:t>22.74%</w:t>
            </w:r>
          </w:p>
        </w:tc>
        <w:tc>
          <w:tcPr>
            <w:tcW w:w="924" w:type="dxa"/>
            <w:tcBorders>
              <w:top w:val="nil"/>
              <w:left w:val="nil"/>
              <w:bottom w:val="single" w:sz="4" w:space="0" w:color="auto"/>
              <w:right w:val="single" w:sz="4" w:space="0" w:color="auto"/>
            </w:tcBorders>
            <w:shd w:val="clear" w:color="000000" w:fill="FFFFFF"/>
            <w:noWrap/>
          </w:tcPr>
          <w:p w:rsidR="00EA13B2" w:rsidRPr="00D55DC6" w:rsidRDefault="00EA13B2" w:rsidP="00EA13B2">
            <w:pPr>
              <w:jc w:val="center"/>
              <w:rPr>
                <w:sz w:val="22"/>
                <w:szCs w:val="22"/>
              </w:rPr>
            </w:pPr>
            <w:r w:rsidRPr="00D55DC6">
              <w:rPr>
                <w:sz w:val="22"/>
                <w:szCs w:val="22"/>
              </w:rPr>
              <w:t>19.34%</w:t>
            </w:r>
          </w:p>
        </w:tc>
        <w:tc>
          <w:tcPr>
            <w:tcW w:w="902" w:type="dxa"/>
            <w:tcBorders>
              <w:top w:val="nil"/>
              <w:left w:val="nil"/>
              <w:bottom w:val="single" w:sz="4" w:space="0" w:color="auto"/>
              <w:right w:val="single" w:sz="4" w:space="0" w:color="auto"/>
            </w:tcBorders>
            <w:shd w:val="clear" w:color="000000" w:fill="FFFFFF"/>
            <w:noWrap/>
          </w:tcPr>
          <w:p w:rsidR="00EA13B2" w:rsidRPr="00D55DC6" w:rsidRDefault="00EA13B2" w:rsidP="00EA13B2">
            <w:pPr>
              <w:jc w:val="center"/>
              <w:rPr>
                <w:sz w:val="22"/>
                <w:szCs w:val="22"/>
              </w:rPr>
            </w:pPr>
            <w:r w:rsidRPr="00D55DC6">
              <w:rPr>
                <w:sz w:val="22"/>
                <w:szCs w:val="22"/>
              </w:rPr>
              <w:t>21.74%</w:t>
            </w:r>
          </w:p>
        </w:tc>
      </w:tr>
      <w:tr w:rsidR="001D0350" w:rsidRPr="00D55DC6" w:rsidTr="0097094B">
        <w:trPr>
          <w:trHeight w:val="360"/>
        </w:trPr>
        <w:tc>
          <w:tcPr>
            <w:tcW w:w="849" w:type="dxa"/>
            <w:tcBorders>
              <w:top w:val="single" w:sz="4" w:space="0" w:color="auto"/>
              <w:left w:val="single" w:sz="4" w:space="0" w:color="auto"/>
              <w:bottom w:val="double" w:sz="4" w:space="0" w:color="auto"/>
              <w:right w:val="single" w:sz="4" w:space="0" w:color="auto"/>
            </w:tcBorders>
            <w:shd w:val="clear" w:color="auto" w:fill="FFC000"/>
            <w:noWrap/>
            <w:vAlign w:val="center"/>
          </w:tcPr>
          <w:p w:rsidR="00E11B21" w:rsidRPr="00D55DC6" w:rsidRDefault="00E11B21" w:rsidP="00E11B21">
            <w:pPr>
              <w:widowControl/>
              <w:jc w:val="distribute"/>
              <w:rPr>
                <w:rFonts w:eastAsia="標楷體"/>
                <w:kern w:val="0"/>
                <w:sz w:val="22"/>
              </w:rPr>
            </w:pPr>
          </w:p>
        </w:tc>
        <w:tc>
          <w:tcPr>
            <w:tcW w:w="780" w:type="dxa"/>
            <w:tcBorders>
              <w:top w:val="single" w:sz="4" w:space="0" w:color="auto"/>
              <w:left w:val="nil"/>
              <w:bottom w:val="double" w:sz="4" w:space="0" w:color="auto"/>
              <w:right w:val="single" w:sz="4" w:space="0" w:color="auto"/>
            </w:tcBorders>
            <w:shd w:val="clear" w:color="auto" w:fill="FFC000"/>
            <w:noWrap/>
          </w:tcPr>
          <w:p w:rsidR="00E11B21" w:rsidRPr="00D55DC6" w:rsidRDefault="00E11B21" w:rsidP="000725AB">
            <w:pPr>
              <w:jc w:val="center"/>
            </w:pPr>
            <w:r w:rsidRPr="00D55DC6">
              <w:t>113</w:t>
            </w:r>
          </w:p>
        </w:tc>
        <w:tc>
          <w:tcPr>
            <w:tcW w:w="923" w:type="dxa"/>
            <w:tcBorders>
              <w:top w:val="single" w:sz="4" w:space="0" w:color="auto"/>
              <w:left w:val="nil"/>
              <w:bottom w:val="double" w:sz="4" w:space="0" w:color="auto"/>
              <w:right w:val="single" w:sz="4" w:space="0" w:color="auto"/>
            </w:tcBorders>
            <w:shd w:val="clear" w:color="auto" w:fill="FFC000"/>
            <w:noWrap/>
          </w:tcPr>
          <w:p w:rsidR="00E11B21" w:rsidRPr="00D55DC6" w:rsidRDefault="00E11B21" w:rsidP="000725AB">
            <w:pPr>
              <w:jc w:val="center"/>
            </w:pPr>
            <w:r w:rsidRPr="00D55DC6">
              <w:t>114</w:t>
            </w:r>
          </w:p>
        </w:tc>
        <w:tc>
          <w:tcPr>
            <w:tcW w:w="923" w:type="dxa"/>
            <w:tcBorders>
              <w:top w:val="single" w:sz="4" w:space="0" w:color="auto"/>
              <w:left w:val="nil"/>
              <w:bottom w:val="double" w:sz="4" w:space="0" w:color="auto"/>
              <w:right w:val="single" w:sz="4" w:space="0" w:color="auto"/>
            </w:tcBorders>
            <w:shd w:val="clear" w:color="auto" w:fill="FFC000"/>
            <w:noWrap/>
          </w:tcPr>
          <w:p w:rsidR="00E11B21" w:rsidRPr="00D55DC6" w:rsidRDefault="00E11B21" w:rsidP="000725AB">
            <w:pPr>
              <w:jc w:val="center"/>
            </w:pPr>
            <w:r w:rsidRPr="00D55DC6">
              <w:t>115</w:t>
            </w:r>
          </w:p>
        </w:tc>
        <w:tc>
          <w:tcPr>
            <w:tcW w:w="924" w:type="dxa"/>
            <w:tcBorders>
              <w:top w:val="single" w:sz="4" w:space="0" w:color="auto"/>
              <w:left w:val="nil"/>
              <w:bottom w:val="double" w:sz="4" w:space="0" w:color="auto"/>
              <w:right w:val="single" w:sz="4" w:space="0" w:color="auto"/>
            </w:tcBorders>
            <w:shd w:val="clear" w:color="auto" w:fill="FFC000"/>
            <w:noWrap/>
          </w:tcPr>
          <w:p w:rsidR="00E11B21" w:rsidRPr="00D55DC6" w:rsidRDefault="00E11B21" w:rsidP="000725AB">
            <w:pPr>
              <w:jc w:val="center"/>
            </w:pPr>
            <w:r w:rsidRPr="00D55DC6">
              <w:t>116</w:t>
            </w:r>
          </w:p>
        </w:tc>
        <w:tc>
          <w:tcPr>
            <w:tcW w:w="924" w:type="dxa"/>
            <w:tcBorders>
              <w:top w:val="single" w:sz="4" w:space="0" w:color="auto"/>
              <w:left w:val="nil"/>
              <w:bottom w:val="double" w:sz="4" w:space="0" w:color="auto"/>
              <w:right w:val="single" w:sz="4" w:space="0" w:color="auto"/>
            </w:tcBorders>
            <w:shd w:val="clear" w:color="auto" w:fill="FFC000"/>
            <w:noWrap/>
          </w:tcPr>
          <w:p w:rsidR="00E11B21" w:rsidRPr="00D55DC6" w:rsidRDefault="00E11B21" w:rsidP="000725AB">
            <w:pPr>
              <w:jc w:val="center"/>
            </w:pPr>
            <w:r w:rsidRPr="00D55DC6">
              <w:t>117</w:t>
            </w:r>
          </w:p>
        </w:tc>
        <w:tc>
          <w:tcPr>
            <w:tcW w:w="923" w:type="dxa"/>
            <w:tcBorders>
              <w:top w:val="single" w:sz="4" w:space="0" w:color="auto"/>
              <w:left w:val="nil"/>
              <w:bottom w:val="double" w:sz="4" w:space="0" w:color="auto"/>
              <w:right w:val="single" w:sz="4" w:space="0" w:color="auto"/>
            </w:tcBorders>
            <w:shd w:val="clear" w:color="auto" w:fill="FFC000"/>
            <w:noWrap/>
          </w:tcPr>
          <w:p w:rsidR="00E11B21" w:rsidRPr="00D55DC6" w:rsidRDefault="00E11B21" w:rsidP="000725AB">
            <w:pPr>
              <w:jc w:val="center"/>
            </w:pPr>
            <w:r w:rsidRPr="00D55DC6">
              <w:t>118</w:t>
            </w:r>
          </w:p>
        </w:tc>
        <w:tc>
          <w:tcPr>
            <w:tcW w:w="924" w:type="dxa"/>
            <w:tcBorders>
              <w:top w:val="single" w:sz="4" w:space="0" w:color="auto"/>
              <w:left w:val="nil"/>
              <w:bottom w:val="double" w:sz="4" w:space="0" w:color="auto"/>
              <w:right w:val="single" w:sz="4" w:space="0" w:color="auto"/>
            </w:tcBorders>
            <w:shd w:val="clear" w:color="auto" w:fill="FFC000"/>
            <w:noWrap/>
          </w:tcPr>
          <w:p w:rsidR="00E11B21" w:rsidRPr="00D55DC6" w:rsidRDefault="00E11B21" w:rsidP="000725AB">
            <w:pPr>
              <w:jc w:val="center"/>
            </w:pPr>
            <w:r w:rsidRPr="00D55DC6">
              <w:t>119</w:t>
            </w:r>
          </w:p>
        </w:tc>
        <w:tc>
          <w:tcPr>
            <w:tcW w:w="923" w:type="dxa"/>
            <w:tcBorders>
              <w:top w:val="single" w:sz="4" w:space="0" w:color="auto"/>
              <w:left w:val="nil"/>
              <w:bottom w:val="double" w:sz="4" w:space="0" w:color="auto"/>
              <w:right w:val="single" w:sz="4" w:space="0" w:color="auto"/>
            </w:tcBorders>
            <w:shd w:val="clear" w:color="auto" w:fill="FFC000"/>
            <w:noWrap/>
          </w:tcPr>
          <w:p w:rsidR="00E11B21" w:rsidRPr="00D55DC6" w:rsidRDefault="00E11B21" w:rsidP="000725AB">
            <w:pPr>
              <w:jc w:val="center"/>
            </w:pPr>
            <w:r w:rsidRPr="00D55DC6">
              <w:t>120</w:t>
            </w:r>
          </w:p>
        </w:tc>
        <w:tc>
          <w:tcPr>
            <w:tcW w:w="924" w:type="dxa"/>
            <w:tcBorders>
              <w:top w:val="single" w:sz="4" w:space="0" w:color="auto"/>
              <w:left w:val="nil"/>
              <w:bottom w:val="double" w:sz="4" w:space="0" w:color="auto"/>
              <w:right w:val="single" w:sz="4" w:space="0" w:color="auto"/>
            </w:tcBorders>
            <w:shd w:val="clear" w:color="auto" w:fill="FFC000"/>
            <w:noWrap/>
          </w:tcPr>
          <w:p w:rsidR="00E11B21" w:rsidRPr="00D55DC6" w:rsidRDefault="00E11B21" w:rsidP="000725AB">
            <w:pPr>
              <w:jc w:val="center"/>
            </w:pPr>
            <w:r w:rsidRPr="00D55DC6">
              <w:t>121</w:t>
            </w:r>
          </w:p>
        </w:tc>
        <w:tc>
          <w:tcPr>
            <w:tcW w:w="902" w:type="dxa"/>
            <w:tcBorders>
              <w:top w:val="single" w:sz="4" w:space="0" w:color="auto"/>
              <w:left w:val="nil"/>
              <w:bottom w:val="double" w:sz="4" w:space="0" w:color="auto"/>
              <w:right w:val="single" w:sz="4" w:space="0" w:color="auto"/>
            </w:tcBorders>
            <w:shd w:val="clear" w:color="auto" w:fill="FFC000"/>
            <w:noWrap/>
          </w:tcPr>
          <w:p w:rsidR="00E11B21" w:rsidRPr="00D55DC6" w:rsidRDefault="00E11B21" w:rsidP="000725AB">
            <w:pPr>
              <w:jc w:val="center"/>
            </w:pPr>
            <w:r w:rsidRPr="00D55DC6">
              <w:t>122</w:t>
            </w:r>
          </w:p>
        </w:tc>
        <w:tc>
          <w:tcPr>
            <w:tcW w:w="996" w:type="dxa"/>
            <w:tcBorders>
              <w:top w:val="single" w:sz="4" w:space="0" w:color="auto"/>
              <w:left w:val="nil"/>
              <w:bottom w:val="double" w:sz="4" w:space="0" w:color="auto"/>
              <w:right w:val="single" w:sz="4" w:space="0" w:color="auto"/>
            </w:tcBorders>
            <w:shd w:val="clear" w:color="auto" w:fill="FFC000"/>
          </w:tcPr>
          <w:p w:rsidR="00E11B21" w:rsidRPr="00D55DC6" w:rsidRDefault="00E11B21" w:rsidP="000725AB">
            <w:pPr>
              <w:jc w:val="center"/>
            </w:pPr>
            <w:r w:rsidRPr="00D55DC6">
              <w:t>合計</w:t>
            </w:r>
          </w:p>
        </w:tc>
      </w:tr>
      <w:tr w:rsidR="001D0350" w:rsidRPr="00D55DC6" w:rsidTr="0097094B">
        <w:trPr>
          <w:trHeight w:val="360"/>
        </w:trPr>
        <w:tc>
          <w:tcPr>
            <w:tcW w:w="849" w:type="dxa"/>
            <w:tcBorders>
              <w:top w:val="double" w:sz="4" w:space="0" w:color="auto"/>
              <w:left w:val="single" w:sz="4" w:space="0" w:color="auto"/>
              <w:bottom w:val="single" w:sz="4" w:space="0" w:color="auto"/>
              <w:right w:val="single" w:sz="4" w:space="0" w:color="auto"/>
            </w:tcBorders>
            <w:shd w:val="clear" w:color="000000" w:fill="FFFFFF"/>
            <w:noWrap/>
            <w:vAlign w:val="center"/>
          </w:tcPr>
          <w:p w:rsidR="00E11B21" w:rsidRPr="00D55DC6" w:rsidRDefault="00E11B21" w:rsidP="00E11B21">
            <w:pPr>
              <w:widowControl/>
              <w:jc w:val="distribute"/>
              <w:rPr>
                <w:rFonts w:eastAsia="標楷體"/>
                <w:kern w:val="0"/>
                <w:sz w:val="22"/>
              </w:rPr>
            </w:pPr>
            <w:r w:rsidRPr="00D55DC6">
              <w:rPr>
                <w:rFonts w:eastAsia="標楷體"/>
                <w:kern w:val="0"/>
                <w:sz w:val="22"/>
                <w:szCs w:val="22"/>
              </w:rPr>
              <w:t>支出</w:t>
            </w:r>
          </w:p>
        </w:tc>
        <w:tc>
          <w:tcPr>
            <w:tcW w:w="780" w:type="dxa"/>
            <w:tcBorders>
              <w:top w:val="double" w:sz="4" w:space="0" w:color="auto"/>
              <w:left w:val="nil"/>
              <w:bottom w:val="single" w:sz="4" w:space="0" w:color="auto"/>
              <w:right w:val="single" w:sz="4" w:space="0" w:color="auto"/>
            </w:tcBorders>
            <w:shd w:val="clear" w:color="000000" w:fill="FFFFFF"/>
            <w:noWrap/>
          </w:tcPr>
          <w:p w:rsidR="00E11B21" w:rsidRPr="00D55DC6" w:rsidRDefault="00E11B21" w:rsidP="000725AB">
            <w:pPr>
              <w:jc w:val="center"/>
              <w:rPr>
                <w:sz w:val="22"/>
                <w:szCs w:val="22"/>
              </w:rPr>
            </w:pPr>
            <w:r w:rsidRPr="00D55DC6">
              <w:rPr>
                <w:sz w:val="22"/>
                <w:szCs w:val="22"/>
              </w:rPr>
              <w:t>120,000</w:t>
            </w:r>
          </w:p>
        </w:tc>
        <w:tc>
          <w:tcPr>
            <w:tcW w:w="923" w:type="dxa"/>
            <w:tcBorders>
              <w:top w:val="double" w:sz="4" w:space="0" w:color="auto"/>
              <w:left w:val="nil"/>
              <w:bottom w:val="single" w:sz="4" w:space="0" w:color="auto"/>
              <w:right w:val="single" w:sz="4" w:space="0" w:color="auto"/>
            </w:tcBorders>
            <w:shd w:val="clear" w:color="000000" w:fill="FFFFFF"/>
            <w:noWrap/>
          </w:tcPr>
          <w:p w:rsidR="00E11B21" w:rsidRPr="00D55DC6" w:rsidRDefault="00E11B21" w:rsidP="000725AB">
            <w:pPr>
              <w:jc w:val="center"/>
              <w:rPr>
                <w:sz w:val="22"/>
                <w:szCs w:val="22"/>
              </w:rPr>
            </w:pPr>
            <w:r w:rsidRPr="00D55DC6">
              <w:rPr>
                <w:sz w:val="22"/>
                <w:szCs w:val="22"/>
              </w:rPr>
              <w:t>120,000</w:t>
            </w:r>
          </w:p>
        </w:tc>
        <w:tc>
          <w:tcPr>
            <w:tcW w:w="923" w:type="dxa"/>
            <w:tcBorders>
              <w:top w:val="double" w:sz="4" w:space="0" w:color="auto"/>
              <w:left w:val="nil"/>
              <w:bottom w:val="single" w:sz="4" w:space="0" w:color="auto"/>
              <w:right w:val="single" w:sz="4" w:space="0" w:color="auto"/>
            </w:tcBorders>
            <w:shd w:val="clear" w:color="000000" w:fill="FFFFFF"/>
            <w:noWrap/>
          </w:tcPr>
          <w:p w:rsidR="00E11B21" w:rsidRPr="00D55DC6" w:rsidRDefault="00E11B21" w:rsidP="000725AB">
            <w:pPr>
              <w:jc w:val="center"/>
              <w:rPr>
                <w:sz w:val="22"/>
                <w:szCs w:val="22"/>
              </w:rPr>
            </w:pPr>
            <w:r w:rsidRPr="00D55DC6">
              <w:rPr>
                <w:sz w:val="22"/>
                <w:szCs w:val="22"/>
              </w:rPr>
              <w:t>120,000</w:t>
            </w:r>
          </w:p>
        </w:tc>
        <w:tc>
          <w:tcPr>
            <w:tcW w:w="924" w:type="dxa"/>
            <w:tcBorders>
              <w:top w:val="double" w:sz="4" w:space="0" w:color="auto"/>
              <w:left w:val="nil"/>
              <w:bottom w:val="single" w:sz="4" w:space="0" w:color="auto"/>
              <w:right w:val="single" w:sz="4" w:space="0" w:color="auto"/>
            </w:tcBorders>
            <w:shd w:val="clear" w:color="000000" w:fill="FFFFFF"/>
            <w:noWrap/>
          </w:tcPr>
          <w:p w:rsidR="00E11B21" w:rsidRPr="00D55DC6" w:rsidRDefault="00E11B21" w:rsidP="000725AB">
            <w:pPr>
              <w:jc w:val="center"/>
              <w:rPr>
                <w:sz w:val="22"/>
                <w:szCs w:val="22"/>
              </w:rPr>
            </w:pPr>
            <w:r w:rsidRPr="00D55DC6">
              <w:rPr>
                <w:sz w:val="22"/>
                <w:szCs w:val="22"/>
              </w:rPr>
              <w:t>120,000</w:t>
            </w:r>
          </w:p>
        </w:tc>
        <w:tc>
          <w:tcPr>
            <w:tcW w:w="924" w:type="dxa"/>
            <w:tcBorders>
              <w:top w:val="double" w:sz="4" w:space="0" w:color="auto"/>
              <w:left w:val="nil"/>
              <w:bottom w:val="single" w:sz="4" w:space="0" w:color="auto"/>
              <w:right w:val="single" w:sz="4" w:space="0" w:color="auto"/>
            </w:tcBorders>
            <w:shd w:val="clear" w:color="000000" w:fill="FFFFFF"/>
            <w:noWrap/>
          </w:tcPr>
          <w:p w:rsidR="00E11B21" w:rsidRPr="00D55DC6" w:rsidRDefault="00E11B21" w:rsidP="000725AB">
            <w:pPr>
              <w:jc w:val="center"/>
              <w:rPr>
                <w:sz w:val="22"/>
                <w:szCs w:val="22"/>
              </w:rPr>
            </w:pPr>
            <w:r w:rsidRPr="00D55DC6">
              <w:rPr>
                <w:sz w:val="22"/>
                <w:szCs w:val="22"/>
              </w:rPr>
              <w:t>120,000</w:t>
            </w:r>
          </w:p>
        </w:tc>
        <w:tc>
          <w:tcPr>
            <w:tcW w:w="923" w:type="dxa"/>
            <w:tcBorders>
              <w:top w:val="double" w:sz="4" w:space="0" w:color="auto"/>
              <w:left w:val="nil"/>
              <w:bottom w:val="single" w:sz="4" w:space="0" w:color="auto"/>
              <w:right w:val="single" w:sz="4" w:space="0" w:color="auto"/>
            </w:tcBorders>
            <w:shd w:val="clear" w:color="000000" w:fill="FFFFFF"/>
            <w:noWrap/>
          </w:tcPr>
          <w:p w:rsidR="00E11B21" w:rsidRPr="00D55DC6" w:rsidRDefault="00E11B21" w:rsidP="000725AB">
            <w:pPr>
              <w:jc w:val="center"/>
              <w:rPr>
                <w:sz w:val="22"/>
                <w:szCs w:val="22"/>
              </w:rPr>
            </w:pPr>
            <w:r w:rsidRPr="00D55DC6">
              <w:rPr>
                <w:sz w:val="22"/>
                <w:szCs w:val="22"/>
              </w:rPr>
              <w:t>120,000</w:t>
            </w:r>
          </w:p>
        </w:tc>
        <w:tc>
          <w:tcPr>
            <w:tcW w:w="924" w:type="dxa"/>
            <w:tcBorders>
              <w:top w:val="double" w:sz="4" w:space="0" w:color="auto"/>
              <w:left w:val="nil"/>
              <w:bottom w:val="single" w:sz="4" w:space="0" w:color="auto"/>
              <w:right w:val="single" w:sz="4" w:space="0" w:color="auto"/>
            </w:tcBorders>
            <w:shd w:val="clear" w:color="000000" w:fill="FFFFFF"/>
            <w:noWrap/>
          </w:tcPr>
          <w:p w:rsidR="00E11B21" w:rsidRPr="00D55DC6" w:rsidRDefault="00E11B21" w:rsidP="000725AB">
            <w:pPr>
              <w:jc w:val="center"/>
              <w:rPr>
                <w:sz w:val="22"/>
                <w:szCs w:val="22"/>
              </w:rPr>
            </w:pPr>
            <w:r w:rsidRPr="00D55DC6">
              <w:rPr>
                <w:sz w:val="22"/>
                <w:szCs w:val="22"/>
              </w:rPr>
              <w:t>120,000</w:t>
            </w:r>
          </w:p>
        </w:tc>
        <w:tc>
          <w:tcPr>
            <w:tcW w:w="923" w:type="dxa"/>
            <w:tcBorders>
              <w:top w:val="double" w:sz="4" w:space="0" w:color="auto"/>
              <w:left w:val="nil"/>
              <w:bottom w:val="single" w:sz="4" w:space="0" w:color="auto"/>
              <w:right w:val="single" w:sz="4" w:space="0" w:color="auto"/>
            </w:tcBorders>
            <w:shd w:val="clear" w:color="000000" w:fill="FFFFFF"/>
            <w:noWrap/>
          </w:tcPr>
          <w:p w:rsidR="00E11B21" w:rsidRPr="00D55DC6" w:rsidRDefault="00E11B21" w:rsidP="000725AB">
            <w:pPr>
              <w:jc w:val="center"/>
              <w:rPr>
                <w:sz w:val="22"/>
                <w:szCs w:val="22"/>
              </w:rPr>
            </w:pPr>
            <w:r w:rsidRPr="00D55DC6">
              <w:rPr>
                <w:sz w:val="22"/>
                <w:szCs w:val="22"/>
              </w:rPr>
              <w:t>120,000</w:t>
            </w:r>
          </w:p>
        </w:tc>
        <w:tc>
          <w:tcPr>
            <w:tcW w:w="924" w:type="dxa"/>
            <w:tcBorders>
              <w:top w:val="double" w:sz="4" w:space="0" w:color="auto"/>
              <w:left w:val="nil"/>
              <w:bottom w:val="single" w:sz="4" w:space="0" w:color="auto"/>
              <w:right w:val="single" w:sz="4" w:space="0" w:color="auto"/>
            </w:tcBorders>
            <w:shd w:val="clear" w:color="000000" w:fill="FFFFFF"/>
            <w:noWrap/>
          </w:tcPr>
          <w:p w:rsidR="00E11B21" w:rsidRPr="00D55DC6" w:rsidRDefault="00E11B21" w:rsidP="000725AB">
            <w:pPr>
              <w:jc w:val="center"/>
              <w:rPr>
                <w:sz w:val="22"/>
                <w:szCs w:val="22"/>
              </w:rPr>
            </w:pPr>
            <w:r w:rsidRPr="00D55DC6">
              <w:rPr>
                <w:sz w:val="22"/>
                <w:szCs w:val="22"/>
              </w:rPr>
              <w:t>120,000</w:t>
            </w:r>
          </w:p>
        </w:tc>
        <w:tc>
          <w:tcPr>
            <w:tcW w:w="902" w:type="dxa"/>
            <w:tcBorders>
              <w:top w:val="double" w:sz="4" w:space="0" w:color="auto"/>
              <w:left w:val="nil"/>
              <w:bottom w:val="single" w:sz="4" w:space="0" w:color="auto"/>
              <w:right w:val="single" w:sz="4" w:space="0" w:color="auto"/>
            </w:tcBorders>
            <w:shd w:val="clear" w:color="000000" w:fill="FFFFFF"/>
            <w:noWrap/>
          </w:tcPr>
          <w:p w:rsidR="00E11B21" w:rsidRPr="00D55DC6" w:rsidRDefault="00E11B21" w:rsidP="000725AB">
            <w:pPr>
              <w:jc w:val="center"/>
              <w:rPr>
                <w:sz w:val="22"/>
                <w:szCs w:val="22"/>
              </w:rPr>
            </w:pPr>
            <w:r w:rsidRPr="00D55DC6">
              <w:rPr>
                <w:sz w:val="22"/>
                <w:szCs w:val="22"/>
              </w:rPr>
              <w:t>120,000</w:t>
            </w:r>
          </w:p>
        </w:tc>
        <w:tc>
          <w:tcPr>
            <w:tcW w:w="996" w:type="dxa"/>
            <w:tcBorders>
              <w:top w:val="double" w:sz="4" w:space="0" w:color="auto"/>
              <w:left w:val="nil"/>
              <w:bottom w:val="single" w:sz="4" w:space="0" w:color="auto"/>
              <w:right w:val="single" w:sz="4" w:space="0" w:color="auto"/>
            </w:tcBorders>
            <w:shd w:val="clear" w:color="000000" w:fill="FFFFFF"/>
          </w:tcPr>
          <w:p w:rsidR="00E11B21" w:rsidRPr="00D55DC6" w:rsidRDefault="00E11B21" w:rsidP="000725AB">
            <w:pPr>
              <w:jc w:val="center"/>
              <w:rPr>
                <w:sz w:val="22"/>
                <w:szCs w:val="22"/>
              </w:rPr>
            </w:pPr>
            <w:r w:rsidRPr="00D55DC6">
              <w:rPr>
                <w:sz w:val="22"/>
                <w:szCs w:val="22"/>
              </w:rPr>
              <w:t>3,150,600</w:t>
            </w:r>
          </w:p>
        </w:tc>
      </w:tr>
      <w:tr w:rsidR="001D0350" w:rsidRPr="00D55DC6" w:rsidTr="0097094B">
        <w:trPr>
          <w:trHeight w:val="360"/>
        </w:trPr>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A13B2" w:rsidRPr="00D55DC6" w:rsidRDefault="00EA13B2" w:rsidP="00E11B21">
            <w:pPr>
              <w:widowControl/>
              <w:jc w:val="distribute"/>
              <w:rPr>
                <w:rFonts w:eastAsia="標楷體"/>
                <w:kern w:val="0"/>
                <w:sz w:val="22"/>
              </w:rPr>
            </w:pPr>
            <w:r w:rsidRPr="00D55DC6">
              <w:rPr>
                <w:rFonts w:eastAsia="標楷體"/>
                <w:kern w:val="0"/>
                <w:sz w:val="22"/>
                <w:szCs w:val="22"/>
              </w:rPr>
              <w:t>收入</w:t>
            </w:r>
          </w:p>
        </w:tc>
        <w:tc>
          <w:tcPr>
            <w:tcW w:w="780" w:type="dxa"/>
            <w:tcBorders>
              <w:top w:val="single" w:sz="4" w:space="0" w:color="auto"/>
              <w:left w:val="nil"/>
              <w:bottom w:val="single" w:sz="4" w:space="0" w:color="auto"/>
              <w:right w:val="single" w:sz="4" w:space="0" w:color="auto"/>
            </w:tcBorders>
            <w:shd w:val="clear" w:color="000000" w:fill="FFFFFF"/>
            <w:noWrap/>
          </w:tcPr>
          <w:p w:rsidR="00EA13B2" w:rsidRPr="00D55DC6" w:rsidRDefault="00EA13B2" w:rsidP="000725AB">
            <w:pPr>
              <w:jc w:val="center"/>
              <w:rPr>
                <w:sz w:val="22"/>
                <w:szCs w:val="22"/>
              </w:rPr>
            </w:pPr>
            <w:r w:rsidRPr="00D55DC6">
              <w:rPr>
                <w:sz w:val="22"/>
                <w:szCs w:val="22"/>
              </w:rPr>
              <w:t>26,090</w:t>
            </w:r>
          </w:p>
        </w:tc>
        <w:tc>
          <w:tcPr>
            <w:tcW w:w="923" w:type="dxa"/>
            <w:tcBorders>
              <w:top w:val="single" w:sz="4" w:space="0" w:color="auto"/>
              <w:left w:val="nil"/>
              <w:bottom w:val="single" w:sz="4" w:space="0" w:color="auto"/>
              <w:right w:val="single" w:sz="4" w:space="0" w:color="auto"/>
            </w:tcBorders>
            <w:shd w:val="clear" w:color="000000" w:fill="FFFFFF"/>
            <w:noWrap/>
          </w:tcPr>
          <w:p w:rsidR="00EA13B2" w:rsidRPr="00D55DC6" w:rsidRDefault="00EA13B2" w:rsidP="000725AB">
            <w:pPr>
              <w:jc w:val="center"/>
              <w:rPr>
                <w:sz w:val="22"/>
                <w:szCs w:val="22"/>
              </w:rPr>
            </w:pPr>
            <w:r w:rsidRPr="00D55DC6">
              <w:rPr>
                <w:sz w:val="22"/>
                <w:szCs w:val="22"/>
              </w:rPr>
              <w:t>26,090</w:t>
            </w:r>
          </w:p>
        </w:tc>
        <w:tc>
          <w:tcPr>
            <w:tcW w:w="923" w:type="dxa"/>
            <w:tcBorders>
              <w:top w:val="single" w:sz="4" w:space="0" w:color="auto"/>
              <w:left w:val="nil"/>
              <w:bottom w:val="single" w:sz="4" w:space="0" w:color="auto"/>
              <w:right w:val="single" w:sz="4" w:space="0" w:color="auto"/>
            </w:tcBorders>
            <w:shd w:val="clear" w:color="000000" w:fill="FFFFFF"/>
            <w:noWrap/>
          </w:tcPr>
          <w:p w:rsidR="00EA13B2" w:rsidRPr="00D55DC6" w:rsidRDefault="00EA13B2" w:rsidP="000725AB">
            <w:pPr>
              <w:jc w:val="center"/>
              <w:rPr>
                <w:sz w:val="22"/>
                <w:szCs w:val="22"/>
              </w:rPr>
            </w:pPr>
            <w:r w:rsidRPr="00D55DC6">
              <w:rPr>
                <w:sz w:val="22"/>
                <w:szCs w:val="22"/>
              </w:rPr>
              <w:t>26,090</w:t>
            </w:r>
          </w:p>
        </w:tc>
        <w:tc>
          <w:tcPr>
            <w:tcW w:w="924" w:type="dxa"/>
            <w:tcBorders>
              <w:top w:val="single" w:sz="4" w:space="0" w:color="auto"/>
              <w:left w:val="nil"/>
              <w:bottom w:val="single" w:sz="4" w:space="0" w:color="auto"/>
              <w:right w:val="single" w:sz="4" w:space="0" w:color="auto"/>
            </w:tcBorders>
            <w:shd w:val="clear" w:color="000000" w:fill="FFFFFF"/>
            <w:noWrap/>
          </w:tcPr>
          <w:p w:rsidR="00EA13B2" w:rsidRPr="00D55DC6" w:rsidRDefault="00EA13B2" w:rsidP="000725AB">
            <w:pPr>
              <w:jc w:val="center"/>
              <w:rPr>
                <w:sz w:val="22"/>
                <w:szCs w:val="22"/>
              </w:rPr>
            </w:pPr>
            <w:r w:rsidRPr="00D55DC6">
              <w:rPr>
                <w:sz w:val="22"/>
                <w:szCs w:val="22"/>
              </w:rPr>
              <w:t>26,090</w:t>
            </w:r>
          </w:p>
        </w:tc>
        <w:tc>
          <w:tcPr>
            <w:tcW w:w="924" w:type="dxa"/>
            <w:tcBorders>
              <w:top w:val="single" w:sz="4" w:space="0" w:color="auto"/>
              <w:left w:val="nil"/>
              <w:bottom w:val="single" w:sz="4" w:space="0" w:color="auto"/>
              <w:right w:val="single" w:sz="4" w:space="0" w:color="auto"/>
            </w:tcBorders>
            <w:shd w:val="clear" w:color="000000" w:fill="FFFFFF"/>
            <w:noWrap/>
          </w:tcPr>
          <w:p w:rsidR="00EA13B2" w:rsidRPr="00D55DC6" w:rsidRDefault="00EA13B2" w:rsidP="000725AB">
            <w:pPr>
              <w:jc w:val="center"/>
              <w:rPr>
                <w:sz w:val="22"/>
                <w:szCs w:val="22"/>
              </w:rPr>
            </w:pPr>
            <w:r w:rsidRPr="00D55DC6">
              <w:rPr>
                <w:sz w:val="22"/>
                <w:szCs w:val="22"/>
              </w:rPr>
              <w:t>26,090</w:t>
            </w:r>
          </w:p>
        </w:tc>
        <w:tc>
          <w:tcPr>
            <w:tcW w:w="923" w:type="dxa"/>
            <w:tcBorders>
              <w:top w:val="single" w:sz="4" w:space="0" w:color="auto"/>
              <w:left w:val="nil"/>
              <w:bottom w:val="single" w:sz="4" w:space="0" w:color="auto"/>
              <w:right w:val="single" w:sz="4" w:space="0" w:color="auto"/>
            </w:tcBorders>
            <w:shd w:val="clear" w:color="000000" w:fill="FFFFFF"/>
            <w:noWrap/>
          </w:tcPr>
          <w:p w:rsidR="00EA13B2" w:rsidRPr="00D55DC6" w:rsidRDefault="00EA13B2" w:rsidP="000725AB">
            <w:pPr>
              <w:jc w:val="center"/>
              <w:rPr>
                <w:sz w:val="22"/>
                <w:szCs w:val="22"/>
              </w:rPr>
            </w:pPr>
            <w:r w:rsidRPr="00D55DC6">
              <w:rPr>
                <w:sz w:val="22"/>
                <w:szCs w:val="22"/>
              </w:rPr>
              <w:t>26,090</w:t>
            </w:r>
          </w:p>
        </w:tc>
        <w:tc>
          <w:tcPr>
            <w:tcW w:w="924" w:type="dxa"/>
            <w:tcBorders>
              <w:top w:val="single" w:sz="4" w:space="0" w:color="auto"/>
              <w:left w:val="nil"/>
              <w:bottom w:val="single" w:sz="4" w:space="0" w:color="auto"/>
              <w:right w:val="single" w:sz="4" w:space="0" w:color="auto"/>
            </w:tcBorders>
            <w:shd w:val="clear" w:color="000000" w:fill="FFFFFF"/>
            <w:noWrap/>
          </w:tcPr>
          <w:p w:rsidR="00EA13B2" w:rsidRPr="00D55DC6" w:rsidRDefault="00EA13B2" w:rsidP="000725AB">
            <w:pPr>
              <w:jc w:val="center"/>
              <w:rPr>
                <w:sz w:val="22"/>
                <w:szCs w:val="22"/>
              </w:rPr>
            </w:pPr>
            <w:r w:rsidRPr="00D55DC6">
              <w:rPr>
                <w:sz w:val="22"/>
                <w:szCs w:val="22"/>
              </w:rPr>
              <w:t>26,090</w:t>
            </w:r>
          </w:p>
        </w:tc>
        <w:tc>
          <w:tcPr>
            <w:tcW w:w="923" w:type="dxa"/>
            <w:tcBorders>
              <w:top w:val="single" w:sz="4" w:space="0" w:color="auto"/>
              <w:left w:val="nil"/>
              <w:bottom w:val="single" w:sz="4" w:space="0" w:color="auto"/>
              <w:right w:val="single" w:sz="4" w:space="0" w:color="auto"/>
            </w:tcBorders>
            <w:shd w:val="clear" w:color="000000" w:fill="FFFFFF"/>
            <w:noWrap/>
          </w:tcPr>
          <w:p w:rsidR="00EA13B2" w:rsidRPr="00D55DC6" w:rsidRDefault="00EA13B2" w:rsidP="000725AB">
            <w:pPr>
              <w:jc w:val="center"/>
              <w:rPr>
                <w:sz w:val="22"/>
                <w:szCs w:val="22"/>
              </w:rPr>
            </w:pPr>
            <w:r w:rsidRPr="00D55DC6">
              <w:rPr>
                <w:sz w:val="22"/>
                <w:szCs w:val="22"/>
              </w:rPr>
              <w:t>26,090</w:t>
            </w:r>
          </w:p>
        </w:tc>
        <w:tc>
          <w:tcPr>
            <w:tcW w:w="924" w:type="dxa"/>
            <w:tcBorders>
              <w:top w:val="single" w:sz="4" w:space="0" w:color="auto"/>
              <w:left w:val="nil"/>
              <w:bottom w:val="single" w:sz="4" w:space="0" w:color="auto"/>
              <w:right w:val="single" w:sz="4" w:space="0" w:color="auto"/>
            </w:tcBorders>
            <w:shd w:val="clear" w:color="000000" w:fill="FFFFFF"/>
            <w:noWrap/>
          </w:tcPr>
          <w:p w:rsidR="00EA13B2" w:rsidRPr="00D55DC6" w:rsidRDefault="00EA13B2" w:rsidP="000725AB">
            <w:pPr>
              <w:jc w:val="center"/>
              <w:rPr>
                <w:sz w:val="22"/>
                <w:szCs w:val="22"/>
              </w:rPr>
            </w:pPr>
            <w:r w:rsidRPr="00D55DC6">
              <w:rPr>
                <w:sz w:val="22"/>
                <w:szCs w:val="22"/>
              </w:rPr>
              <w:t>26,090</w:t>
            </w:r>
          </w:p>
        </w:tc>
        <w:tc>
          <w:tcPr>
            <w:tcW w:w="902" w:type="dxa"/>
            <w:tcBorders>
              <w:top w:val="single" w:sz="4" w:space="0" w:color="auto"/>
              <w:left w:val="nil"/>
              <w:bottom w:val="single" w:sz="4" w:space="0" w:color="auto"/>
              <w:right w:val="single" w:sz="4" w:space="0" w:color="auto"/>
            </w:tcBorders>
            <w:shd w:val="clear" w:color="000000" w:fill="FFFFFF"/>
            <w:noWrap/>
          </w:tcPr>
          <w:p w:rsidR="00EA13B2" w:rsidRPr="00D55DC6" w:rsidRDefault="00EA13B2" w:rsidP="000725AB">
            <w:pPr>
              <w:jc w:val="center"/>
              <w:rPr>
                <w:sz w:val="22"/>
                <w:szCs w:val="22"/>
              </w:rPr>
            </w:pPr>
            <w:r w:rsidRPr="00D55DC6">
              <w:rPr>
                <w:sz w:val="22"/>
                <w:szCs w:val="22"/>
              </w:rPr>
              <w:t>26,090</w:t>
            </w:r>
          </w:p>
        </w:tc>
        <w:tc>
          <w:tcPr>
            <w:tcW w:w="996" w:type="dxa"/>
            <w:tcBorders>
              <w:top w:val="single" w:sz="4" w:space="0" w:color="auto"/>
              <w:left w:val="nil"/>
              <w:bottom w:val="single" w:sz="4" w:space="0" w:color="auto"/>
              <w:right w:val="single" w:sz="4" w:space="0" w:color="auto"/>
            </w:tcBorders>
            <w:shd w:val="clear" w:color="000000" w:fill="FFFFFF"/>
          </w:tcPr>
          <w:p w:rsidR="00EA13B2" w:rsidRPr="00D55DC6" w:rsidRDefault="00EA13B2" w:rsidP="00EA13B2">
            <w:pPr>
              <w:jc w:val="center"/>
              <w:rPr>
                <w:sz w:val="22"/>
                <w:szCs w:val="22"/>
              </w:rPr>
            </w:pPr>
            <w:r w:rsidRPr="00D55DC6">
              <w:rPr>
                <w:sz w:val="22"/>
                <w:szCs w:val="22"/>
              </w:rPr>
              <w:t>403,345</w:t>
            </w:r>
          </w:p>
        </w:tc>
      </w:tr>
      <w:tr w:rsidR="001D0350" w:rsidRPr="00D55DC6" w:rsidTr="0097094B">
        <w:trPr>
          <w:trHeight w:val="360"/>
        </w:trPr>
        <w:tc>
          <w:tcPr>
            <w:tcW w:w="84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A13B2" w:rsidRPr="00D55DC6" w:rsidRDefault="00EA13B2" w:rsidP="00E11B21">
            <w:pPr>
              <w:widowControl/>
              <w:jc w:val="distribute"/>
              <w:rPr>
                <w:rFonts w:eastAsia="標楷體"/>
                <w:kern w:val="0"/>
                <w:sz w:val="22"/>
              </w:rPr>
            </w:pPr>
            <w:r w:rsidRPr="00D55DC6">
              <w:rPr>
                <w:rFonts w:eastAsia="標楷體"/>
                <w:kern w:val="0"/>
                <w:sz w:val="22"/>
                <w:szCs w:val="22"/>
              </w:rPr>
              <w:t>收支比</w:t>
            </w:r>
          </w:p>
        </w:tc>
        <w:tc>
          <w:tcPr>
            <w:tcW w:w="780" w:type="dxa"/>
            <w:tcBorders>
              <w:top w:val="single" w:sz="4" w:space="0" w:color="auto"/>
              <w:left w:val="nil"/>
              <w:bottom w:val="single" w:sz="4" w:space="0" w:color="auto"/>
              <w:right w:val="single" w:sz="4" w:space="0" w:color="auto"/>
            </w:tcBorders>
            <w:shd w:val="clear" w:color="000000" w:fill="FFFFFF"/>
            <w:noWrap/>
          </w:tcPr>
          <w:p w:rsidR="00EA13B2" w:rsidRPr="00D55DC6" w:rsidRDefault="00EA13B2" w:rsidP="000725AB">
            <w:pPr>
              <w:jc w:val="center"/>
              <w:rPr>
                <w:sz w:val="22"/>
                <w:szCs w:val="22"/>
              </w:rPr>
            </w:pPr>
            <w:r w:rsidRPr="00D55DC6">
              <w:rPr>
                <w:sz w:val="22"/>
                <w:szCs w:val="22"/>
              </w:rPr>
              <w:t>21.74%</w:t>
            </w:r>
          </w:p>
        </w:tc>
        <w:tc>
          <w:tcPr>
            <w:tcW w:w="923" w:type="dxa"/>
            <w:tcBorders>
              <w:top w:val="single" w:sz="4" w:space="0" w:color="auto"/>
              <w:left w:val="nil"/>
              <w:bottom w:val="single" w:sz="4" w:space="0" w:color="auto"/>
              <w:right w:val="single" w:sz="4" w:space="0" w:color="auto"/>
            </w:tcBorders>
            <w:shd w:val="clear" w:color="000000" w:fill="FFFFFF"/>
            <w:noWrap/>
          </w:tcPr>
          <w:p w:rsidR="00EA13B2" w:rsidRPr="00D55DC6" w:rsidRDefault="00EA13B2" w:rsidP="000725AB">
            <w:pPr>
              <w:jc w:val="center"/>
              <w:rPr>
                <w:sz w:val="22"/>
                <w:szCs w:val="22"/>
              </w:rPr>
            </w:pPr>
            <w:r w:rsidRPr="00D55DC6">
              <w:rPr>
                <w:sz w:val="22"/>
                <w:szCs w:val="22"/>
              </w:rPr>
              <w:t>21.74%</w:t>
            </w:r>
          </w:p>
        </w:tc>
        <w:tc>
          <w:tcPr>
            <w:tcW w:w="923" w:type="dxa"/>
            <w:tcBorders>
              <w:top w:val="single" w:sz="4" w:space="0" w:color="auto"/>
              <w:left w:val="nil"/>
              <w:bottom w:val="single" w:sz="4" w:space="0" w:color="auto"/>
              <w:right w:val="single" w:sz="4" w:space="0" w:color="auto"/>
            </w:tcBorders>
            <w:shd w:val="clear" w:color="000000" w:fill="FFFFFF"/>
            <w:noWrap/>
          </w:tcPr>
          <w:p w:rsidR="00EA13B2" w:rsidRPr="00D55DC6" w:rsidRDefault="00EA13B2" w:rsidP="000725AB">
            <w:pPr>
              <w:jc w:val="center"/>
              <w:rPr>
                <w:sz w:val="22"/>
                <w:szCs w:val="22"/>
              </w:rPr>
            </w:pPr>
            <w:r w:rsidRPr="00D55DC6">
              <w:rPr>
                <w:sz w:val="22"/>
                <w:szCs w:val="22"/>
              </w:rPr>
              <w:t>21.74%</w:t>
            </w:r>
          </w:p>
        </w:tc>
        <w:tc>
          <w:tcPr>
            <w:tcW w:w="924" w:type="dxa"/>
            <w:tcBorders>
              <w:top w:val="single" w:sz="4" w:space="0" w:color="auto"/>
              <w:left w:val="nil"/>
              <w:bottom w:val="single" w:sz="4" w:space="0" w:color="auto"/>
              <w:right w:val="single" w:sz="4" w:space="0" w:color="auto"/>
            </w:tcBorders>
            <w:shd w:val="clear" w:color="000000" w:fill="FFFFFF"/>
            <w:noWrap/>
          </w:tcPr>
          <w:p w:rsidR="00EA13B2" w:rsidRPr="00D55DC6" w:rsidRDefault="00EA13B2" w:rsidP="000725AB">
            <w:pPr>
              <w:jc w:val="center"/>
              <w:rPr>
                <w:sz w:val="22"/>
                <w:szCs w:val="22"/>
              </w:rPr>
            </w:pPr>
            <w:r w:rsidRPr="00D55DC6">
              <w:rPr>
                <w:sz w:val="22"/>
                <w:szCs w:val="22"/>
              </w:rPr>
              <w:t>21.74%</w:t>
            </w:r>
          </w:p>
        </w:tc>
        <w:tc>
          <w:tcPr>
            <w:tcW w:w="924" w:type="dxa"/>
            <w:tcBorders>
              <w:top w:val="single" w:sz="4" w:space="0" w:color="auto"/>
              <w:left w:val="nil"/>
              <w:bottom w:val="single" w:sz="4" w:space="0" w:color="auto"/>
              <w:right w:val="single" w:sz="4" w:space="0" w:color="auto"/>
            </w:tcBorders>
            <w:shd w:val="clear" w:color="000000" w:fill="FFFFFF"/>
            <w:noWrap/>
          </w:tcPr>
          <w:p w:rsidR="00EA13B2" w:rsidRPr="00D55DC6" w:rsidRDefault="00EA13B2" w:rsidP="000725AB">
            <w:pPr>
              <w:jc w:val="center"/>
              <w:rPr>
                <w:sz w:val="22"/>
                <w:szCs w:val="22"/>
              </w:rPr>
            </w:pPr>
            <w:r w:rsidRPr="00D55DC6">
              <w:rPr>
                <w:sz w:val="22"/>
                <w:szCs w:val="22"/>
              </w:rPr>
              <w:t>21.74%</w:t>
            </w:r>
          </w:p>
        </w:tc>
        <w:tc>
          <w:tcPr>
            <w:tcW w:w="923" w:type="dxa"/>
            <w:tcBorders>
              <w:top w:val="single" w:sz="4" w:space="0" w:color="auto"/>
              <w:left w:val="nil"/>
              <w:bottom w:val="single" w:sz="4" w:space="0" w:color="auto"/>
              <w:right w:val="single" w:sz="4" w:space="0" w:color="auto"/>
            </w:tcBorders>
            <w:shd w:val="clear" w:color="000000" w:fill="FFFFFF"/>
            <w:noWrap/>
          </w:tcPr>
          <w:p w:rsidR="00EA13B2" w:rsidRPr="00D55DC6" w:rsidRDefault="00EA13B2" w:rsidP="000725AB">
            <w:pPr>
              <w:jc w:val="center"/>
              <w:rPr>
                <w:sz w:val="22"/>
                <w:szCs w:val="22"/>
              </w:rPr>
            </w:pPr>
            <w:r w:rsidRPr="00D55DC6">
              <w:rPr>
                <w:sz w:val="22"/>
                <w:szCs w:val="22"/>
              </w:rPr>
              <w:t>21.74%</w:t>
            </w:r>
          </w:p>
        </w:tc>
        <w:tc>
          <w:tcPr>
            <w:tcW w:w="924" w:type="dxa"/>
            <w:tcBorders>
              <w:top w:val="single" w:sz="4" w:space="0" w:color="auto"/>
              <w:left w:val="nil"/>
              <w:bottom w:val="single" w:sz="4" w:space="0" w:color="auto"/>
              <w:right w:val="single" w:sz="4" w:space="0" w:color="auto"/>
            </w:tcBorders>
            <w:shd w:val="clear" w:color="000000" w:fill="FFFFFF"/>
            <w:noWrap/>
          </w:tcPr>
          <w:p w:rsidR="00EA13B2" w:rsidRPr="00D55DC6" w:rsidRDefault="00EA13B2" w:rsidP="000725AB">
            <w:pPr>
              <w:jc w:val="center"/>
              <w:rPr>
                <w:sz w:val="22"/>
                <w:szCs w:val="22"/>
              </w:rPr>
            </w:pPr>
            <w:r w:rsidRPr="00D55DC6">
              <w:rPr>
                <w:sz w:val="22"/>
                <w:szCs w:val="22"/>
              </w:rPr>
              <w:t>21.74%</w:t>
            </w:r>
          </w:p>
        </w:tc>
        <w:tc>
          <w:tcPr>
            <w:tcW w:w="923" w:type="dxa"/>
            <w:tcBorders>
              <w:top w:val="single" w:sz="4" w:space="0" w:color="auto"/>
              <w:left w:val="nil"/>
              <w:bottom w:val="single" w:sz="4" w:space="0" w:color="auto"/>
              <w:right w:val="single" w:sz="4" w:space="0" w:color="auto"/>
            </w:tcBorders>
            <w:shd w:val="clear" w:color="000000" w:fill="FFFFFF"/>
            <w:noWrap/>
          </w:tcPr>
          <w:p w:rsidR="00EA13B2" w:rsidRPr="00D55DC6" w:rsidRDefault="00EA13B2" w:rsidP="000725AB">
            <w:pPr>
              <w:jc w:val="center"/>
              <w:rPr>
                <w:sz w:val="22"/>
                <w:szCs w:val="22"/>
              </w:rPr>
            </w:pPr>
            <w:r w:rsidRPr="00D55DC6">
              <w:rPr>
                <w:sz w:val="22"/>
                <w:szCs w:val="22"/>
              </w:rPr>
              <w:t>21.74%</w:t>
            </w:r>
          </w:p>
        </w:tc>
        <w:tc>
          <w:tcPr>
            <w:tcW w:w="924" w:type="dxa"/>
            <w:tcBorders>
              <w:top w:val="single" w:sz="4" w:space="0" w:color="auto"/>
              <w:left w:val="nil"/>
              <w:bottom w:val="single" w:sz="4" w:space="0" w:color="auto"/>
              <w:right w:val="single" w:sz="4" w:space="0" w:color="auto"/>
            </w:tcBorders>
            <w:shd w:val="clear" w:color="000000" w:fill="FFFFFF"/>
            <w:noWrap/>
          </w:tcPr>
          <w:p w:rsidR="00EA13B2" w:rsidRPr="00D55DC6" w:rsidRDefault="00EA13B2" w:rsidP="000725AB">
            <w:pPr>
              <w:jc w:val="center"/>
              <w:rPr>
                <w:sz w:val="22"/>
                <w:szCs w:val="22"/>
              </w:rPr>
            </w:pPr>
            <w:r w:rsidRPr="00D55DC6">
              <w:rPr>
                <w:sz w:val="22"/>
                <w:szCs w:val="22"/>
              </w:rPr>
              <w:t>21.74%</w:t>
            </w:r>
          </w:p>
        </w:tc>
        <w:tc>
          <w:tcPr>
            <w:tcW w:w="902" w:type="dxa"/>
            <w:tcBorders>
              <w:top w:val="single" w:sz="4" w:space="0" w:color="auto"/>
              <w:left w:val="nil"/>
              <w:bottom w:val="single" w:sz="4" w:space="0" w:color="auto"/>
              <w:right w:val="single" w:sz="4" w:space="0" w:color="auto"/>
            </w:tcBorders>
            <w:shd w:val="clear" w:color="000000" w:fill="FFFFFF"/>
            <w:noWrap/>
          </w:tcPr>
          <w:p w:rsidR="00EA13B2" w:rsidRPr="00D55DC6" w:rsidRDefault="00EA13B2" w:rsidP="000725AB">
            <w:pPr>
              <w:jc w:val="center"/>
              <w:rPr>
                <w:sz w:val="22"/>
                <w:szCs w:val="22"/>
              </w:rPr>
            </w:pPr>
            <w:r w:rsidRPr="00D55DC6">
              <w:rPr>
                <w:sz w:val="22"/>
                <w:szCs w:val="22"/>
              </w:rPr>
              <w:t>21.74%</w:t>
            </w:r>
          </w:p>
        </w:tc>
        <w:tc>
          <w:tcPr>
            <w:tcW w:w="996" w:type="dxa"/>
            <w:tcBorders>
              <w:top w:val="single" w:sz="4" w:space="0" w:color="auto"/>
              <w:left w:val="nil"/>
              <w:bottom w:val="single" w:sz="4" w:space="0" w:color="auto"/>
              <w:right w:val="single" w:sz="4" w:space="0" w:color="auto"/>
            </w:tcBorders>
            <w:shd w:val="clear" w:color="000000" w:fill="FFFFFF"/>
          </w:tcPr>
          <w:p w:rsidR="00EA13B2" w:rsidRPr="00D55DC6" w:rsidRDefault="00EA13B2" w:rsidP="00EA13B2">
            <w:pPr>
              <w:jc w:val="center"/>
              <w:rPr>
                <w:sz w:val="22"/>
                <w:szCs w:val="22"/>
              </w:rPr>
            </w:pPr>
            <w:r w:rsidRPr="00D55DC6">
              <w:rPr>
                <w:sz w:val="22"/>
                <w:szCs w:val="22"/>
              </w:rPr>
              <w:t>12.80%</w:t>
            </w:r>
          </w:p>
        </w:tc>
      </w:tr>
      <w:tr w:rsidR="001D0350" w:rsidRPr="00D55DC6" w:rsidTr="00A56CBE">
        <w:trPr>
          <w:trHeight w:val="330"/>
        </w:trPr>
        <w:tc>
          <w:tcPr>
            <w:tcW w:w="2552" w:type="dxa"/>
            <w:gridSpan w:val="3"/>
            <w:tcBorders>
              <w:top w:val="nil"/>
              <w:left w:val="single" w:sz="4" w:space="0" w:color="auto"/>
              <w:bottom w:val="single" w:sz="4" w:space="0" w:color="auto"/>
              <w:right w:val="single" w:sz="4" w:space="0" w:color="auto"/>
            </w:tcBorders>
            <w:shd w:val="clear" w:color="000000" w:fill="FFFFCC"/>
            <w:noWrap/>
            <w:vAlign w:val="center"/>
          </w:tcPr>
          <w:p w:rsidR="00EA13B2" w:rsidRPr="00D55DC6" w:rsidRDefault="00EA13B2" w:rsidP="0097094B">
            <w:pPr>
              <w:widowControl/>
              <w:ind w:rightChars="47" w:right="113"/>
              <w:jc w:val="right"/>
              <w:rPr>
                <w:rFonts w:eastAsia="標楷體"/>
                <w:b/>
                <w:bCs/>
                <w:kern w:val="0"/>
              </w:rPr>
            </w:pPr>
            <w:r w:rsidRPr="00D55DC6">
              <w:rPr>
                <w:rFonts w:eastAsia="標楷體"/>
                <w:b/>
                <w:bCs/>
                <w:kern w:val="0"/>
              </w:rPr>
              <w:t>投資現值</w:t>
            </w:r>
          </w:p>
        </w:tc>
        <w:tc>
          <w:tcPr>
            <w:tcW w:w="8363" w:type="dxa"/>
            <w:gridSpan w:val="9"/>
            <w:tcBorders>
              <w:top w:val="single" w:sz="4" w:space="0" w:color="auto"/>
              <w:bottom w:val="single" w:sz="4" w:space="0" w:color="auto"/>
              <w:right w:val="single" w:sz="4" w:space="0" w:color="auto"/>
            </w:tcBorders>
            <w:shd w:val="clear" w:color="auto" w:fill="FFFF00"/>
          </w:tcPr>
          <w:p w:rsidR="00EA13B2" w:rsidRPr="00D55DC6" w:rsidRDefault="00EA13B2" w:rsidP="00EA13B2">
            <w:pPr>
              <w:spacing w:line="460" w:lineRule="exact"/>
            </w:pPr>
            <w:r w:rsidRPr="00D55DC6">
              <w:t>2,4</w:t>
            </w:r>
            <w:r w:rsidRPr="00D55DC6">
              <w:rPr>
                <w:rFonts w:hint="eastAsia"/>
              </w:rPr>
              <w:t>68</w:t>
            </w:r>
            <w:r w:rsidRPr="00D55DC6">
              <w:t>,</w:t>
            </w:r>
            <w:r w:rsidRPr="00D55DC6">
              <w:rPr>
                <w:rFonts w:hint="eastAsia"/>
              </w:rPr>
              <w:t>970</w:t>
            </w:r>
          </w:p>
        </w:tc>
      </w:tr>
      <w:tr w:rsidR="001D0350" w:rsidRPr="00D55DC6" w:rsidTr="00A56CBE">
        <w:trPr>
          <w:trHeight w:val="330"/>
        </w:trPr>
        <w:tc>
          <w:tcPr>
            <w:tcW w:w="2552" w:type="dxa"/>
            <w:gridSpan w:val="3"/>
            <w:tcBorders>
              <w:top w:val="nil"/>
              <w:left w:val="single" w:sz="4" w:space="0" w:color="auto"/>
              <w:bottom w:val="single" w:sz="4" w:space="0" w:color="auto"/>
              <w:right w:val="single" w:sz="4" w:space="0" w:color="auto"/>
            </w:tcBorders>
            <w:shd w:val="clear" w:color="000000" w:fill="FFFFCC"/>
            <w:noWrap/>
            <w:vAlign w:val="center"/>
          </w:tcPr>
          <w:p w:rsidR="00EA13B2" w:rsidRPr="00D55DC6" w:rsidRDefault="00EA13B2" w:rsidP="000725AB">
            <w:pPr>
              <w:widowControl/>
              <w:ind w:rightChars="47" w:right="113"/>
              <w:jc w:val="right"/>
              <w:rPr>
                <w:rFonts w:eastAsia="標楷體"/>
                <w:b/>
                <w:bCs/>
                <w:kern w:val="0"/>
              </w:rPr>
            </w:pPr>
            <w:r w:rsidRPr="00D55DC6">
              <w:rPr>
                <w:rFonts w:eastAsia="標楷體"/>
                <w:b/>
                <w:bCs/>
                <w:kern w:val="0"/>
              </w:rPr>
              <w:t>收益現值</w:t>
            </w:r>
          </w:p>
        </w:tc>
        <w:tc>
          <w:tcPr>
            <w:tcW w:w="8363" w:type="dxa"/>
            <w:gridSpan w:val="9"/>
            <w:tcBorders>
              <w:top w:val="single" w:sz="4" w:space="0" w:color="auto"/>
              <w:bottom w:val="single" w:sz="4" w:space="0" w:color="auto"/>
              <w:right w:val="single" w:sz="4" w:space="0" w:color="auto"/>
            </w:tcBorders>
            <w:shd w:val="clear" w:color="auto" w:fill="FFFF00"/>
          </w:tcPr>
          <w:p w:rsidR="00EA13B2" w:rsidRPr="00D55DC6" w:rsidRDefault="00EA13B2" w:rsidP="00EA13B2">
            <w:pPr>
              <w:spacing w:line="460" w:lineRule="exact"/>
            </w:pPr>
            <w:r w:rsidRPr="00D55DC6">
              <w:t>28</w:t>
            </w:r>
            <w:r w:rsidRPr="00D55DC6">
              <w:rPr>
                <w:rFonts w:hint="eastAsia"/>
              </w:rPr>
              <w:t>3</w:t>
            </w:r>
            <w:r w:rsidRPr="00D55DC6">
              <w:t>,</w:t>
            </w:r>
            <w:r w:rsidRPr="00D55DC6">
              <w:rPr>
                <w:rFonts w:hint="eastAsia"/>
              </w:rPr>
              <w:t>977</w:t>
            </w:r>
          </w:p>
        </w:tc>
      </w:tr>
      <w:tr w:rsidR="001D0350" w:rsidRPr="00D55DC6" w:rsidTr="00A56CBE">
        <w:trPr>
          <w:trHeight w:val="330"/>
        </w:trPr>
        <w:tc>
          <w:tcPr>
            <w:tcW w:w="2552" w:type="dxa"/>
            <w:gridSpan w:val="3"/>
            <w:tcBorders>
              <w:top w:val="nil"/>
              <w:left w:val="single" w:sz="4" w:space="0" w:color="auto"/>
              <w:bottom w:val="single" w:sz="4" w:space="0" w:color="auto"/>
              <w:right w:val="single" w:sz="4" w:space="0" w:color="auto"/>
            </w:tcBorders>
            <w:shd w:val="clear" w:color="000000" w:fill="FDE9D9"/>
            <w:noWrap/>
            <w:vAlign w:val="center"/>
          </w:tcPr>
          <w:p w:rsidR="00EA13B2" w:rsidRPr="00D55DC6" w:rsidRDefault="00EA13B2" w:rsidP="000725AB">
            <w:pPr>
              <w:widowControl/>
              <w:ind w:rightChars="47" w:right="113"/>
              <w:jc w:val="right"/>
              <w:rPr>
                <w:rFonts w:eastAsia="標楷體"/>
                <w:b/>
                <w:bCs/>
                <w:kern w:val="0"/>
              </w:rPr>
            </w:pPr>
            <w:r w:rsidRPr="00D55DC6">
              <w:rPr>
                <w:rFonts w:eastAsia="標楷體"/>
                <w:b/>
                <w:bCs/>
                <w:kern w:val="0"/>
              </w:rPr>
              <w:t>計畫自償率</w:t>
            </w:r>
          </w:p>
        </w:tc>
        <w:tc>
          <w:tcPr>
            <w:tcW w:w="8363" w:type="dxa"/>
            <w:gridSpan w:val="9"/>
            <w:tcBorders>
              <w:top w:val="single" w:sz="4" w:space="0" w:color="auto"/>
              <w:bottom w:val="single" w:sz="4" w:space="0" w:color="auto"/>
              <w:right w:val="single" w:sz="4" w:space="0" w:color="auto"/>
            </w:tcBorders>
            <w:shd w:val="clear" w:color="auto" w:fill="F2DBDB"/>
          </w:tcPr>
          <w:p w:rsidR="00EA13B2" w:rsidRPr="00D55DC6" w:rsidRDefault="00EA13B2" w:rsidP="00EA13B2">
            <w:pPr>
              <w:spacing w:line="460" w:lineRule="exact"/>
            </w:pPr>
            <w:r w:rsidRPr="00D55DC6">
              <w:t>11.</w:t>
            </w:r>
            <w:r w:rsidRPr="00D55DC6">
              <w:rPr>
                <w:rFonts w:hint="eastAsia"/>
              </w:rPr>
              <w:t>50</w:t>
            </w:r>
            <w:r w:rsidRPr="00D55DC6">
              <w:t>%</w:t>
            </w:r>
          </w:p>
        </w:tc>
      </w:tr>
    </w:tbl>
    <w:p w:rsidR="00E11B21" w:rsidRPr="00D55DC6" w:rsidRDefault="00E11B21" w:rsidP="00FE4B9B">
      <w:pPr>
        <w:widowControl/>
        <w:tabs>
          <w:tab w:val="right" w:leader="dot" w:pos="9356"/>
        </w:tabs>
        <w:spacing w:line="460" w:lineRule="exact"/>
        <w:ind w:leftChars="409" w:left="982" w:firstLineChars="204" w:firstLine="571"/>
        <w:jc w:val="both"/>
        <w:rPr>
          <w:rFonts w:eastAsia="標楷體"/>
          <w:sz w:val="28"/>
          <w:szCs w:val="28"/>
        </w:rPr>
      </w:pPr>
    </w:p>
    <w:p w:rsidR="005237A8" w:rsidRPr="00D55DC6" w:rsidRDefault="005237A8" w:rsidP="00FE4B9B">
      <w:pPr>
        <w:widowControl/>
        <w:tabs>
          <w:tab w:val="right" w:leader="dot" w:pos="9356"/>
        </w:tabs>
        <w:spacing w:line="460" w:lineRule="exact"/>
        <w:ind w:leftChars="409" w:left="982" w:firstLineChars="204" w:firstLine="571"/>
        <w:jc w:val="both"/>
        <w:rPr>
          <w:rFonts w:eastAsia="標楷體"/>
          <w:sz w:val="28"/>
          <w:szCs w:val="28"/>
        </w:rPr>
      </w:pPr>
    </w:p>
    <w:p w:rsidR="00AE58E7" w:rsidRPr="00D55DC6" w:rsidRDefault="00AE58E7" w:rsidP="00FE4B9B">
      <w:pPr>
        <w:widowControl/>
        <w:tabs>
          <w:tab w:val="right" w:leader="dot" w:pos="9356"/>
        </w:tabs>
        <w:spacing w:line="460" w:lineRule="exact"/>
        <w:ind w:leftChars="409" w:left="982" w:firstLineChars="204" w:firstLine="571"/>
        <w:jc w:val="both"/>
        <w:rPr>
          <w:rFonts w:eastAsia="標楷體"/>
          <w:sz w:val="28"/>
          <w:szCs w:val="28"/>
        </w:rPr>
      </w:pPr>
    </w:p>
    <w:p w:rsidR="00AE58E7" w:rsidRPr="00D55DC6" w:rsidRDefault="00AE58E7" w:rsidP="00FE4B9B">
      <w:pPr>
        <w:widowControl/>
        <w:tabs>
          <w:tab w:val="right" w:leader="dot" w:pos="9356"/>
        </w:tabs>
        <w:spacing w:line="460" w:lineRule="exact"/>
        <w:ind w:leftChars="409" w:left="982" w:firstLineChars="204" w:firstLine="571"/>
        <w:jc w:val="both"/>
        <w:rPr>
          <w:rFonts w:eastAsia="標楷體"/>
          <w:sz w:val="28"/>
          <w:szCs w:val="28"/>
        </w:rPr>
      </w:pPr>
    </w:p>
    <w:p w:rsidR="00EA13B2" w:rsidRPr="00D55DC6" w:rsidRDefault="00EA13B2" w:rsidP="00FE4B9B">
      <w:pPr>
        <w:widowControl/>
        <w:tabs>
          <w:tab w:val="right" w:leader="dot" w:pos="9356"/>
        </w:tabs>
        <w:spacing w:line="460" w:lineRule="exact"/>
        <w:ind w:leftChars="409" w:left="982" w:firstLineChars="204" w:firstLine="571"/>
        <w:jc w:val="both"/>
        <w:rPr>
          <w:rFonts w:eastAsia="標楷體"/>
          <w:sz w:val="28"/>
          <w:szCs w:val="28"/>
        </w:rPr>
      </w:pPr>
    </w:p>
    <w:p w:rsidR="00EA13B2" w:rsidRPr="00D55DC6" w:rsidRDefault="00EA13B2" w:rsidP="00FE4B9B">
      <w:pPr>
        <w:widowControl/>
        <w:tabs>
          <w:tab w:val="right" w:leader="dot" w:pos="9356"/>
        </w:tabs>
        <w:spacing w:line="460" w:lineRule="exact"/>
        <w:ind w:leftChars="409" w:left="982" w:firstLineChars="204" w:firstLine="571"/>
        <w:jc w:val="both"/>
        <w:rPr>
          <w:rFonts w:eastAsia="標楷體"/>
          <w:sz w:val="28"/>
          <w:szCs w:val="28"/>
        </w:rPr>
      </w:pPr>
    </w:p>
    <w:p w:rsidR="00AE58E7" w:rsidRPr="00D55DC6" w:rsidRDefault="00AE58E7" w:rsidP="00FE4B9B">
      <w:pPr>
        <w:widowControl/>
        <w:tabs>
          <w:tab w:val="right" w:leader="dot" w:pos="9356"/>
        </w:tabs>
        <w:spacing w:line="460" w:lineRule="exact"/>
        <w:ind w:leftChars="409" w:left="982" w:firstLineChars="204" w:firstLine="571"/>
        <w:jc w:val="both"/>
        <w:rPr>
          <w:rFonts w:eastAsia="標楷體"/>
          <w:sz w:val="28"/>
          <w:szCs w:val="28"/>
        </w:rPr>
      </w:pPr>
    </w:p>
    <w:p w:rsidR="00AE58E7" w:rsidRPr="00D55DC6" w:rsidRDefault="00AE58E7" w:rsidP="00FE4B9B">
      <w:pPr>
        <w:widowControl/>
        <w:tabs>
          <w:tab w:val="right" w:leader="dot" w:pos="9356"/>
        </w:tabs>
        <w:spacing w:line="460" w:lineRule="exact"/>
        <w:ind w:leftChars="409" w:left="982" w:firstLineChars="204" w:firstLine="571"/>
        <w:jc w:val="both"/>
        <w:rPr>
          <w:rFonts w:eastAsia="標楷體"/>
          <w:sz w:val="28"/>
          <w:szCs w:val="28"/>
        </w:rPr>
      </w:pPr>
    </w:p>
    <w:p w:rsidR="00AE58E7" w:rsidRPr="00D55DC6" w:rsidRDefault="00AE58E7" w:rsidP="00FE4B9B">
      <w:pPr>
        <w:widowControl/>
        <w:tabs>
          <w:tab w:val="right" w:leader="dot" w:pos="9356"/>
        </w:tabs>
        <w:spacing w:line="460" w:lineRule="exact"/>
        <w:ind w:leftChars="409" w:left="982" w:firstLineChars="204" w:firstLine="571"/>
        <w:jc w:val="both"/>
        <w:rPr>
          <w:rFonts w:eastAsia="標楷體"/>
          <w:sz w:val="28"/>
          <w:szCs w:val="28"/>
        </w:rPr>
      </w:pPr>
    </w:p>
    <w:p w:rsidR="00AE58E7" w:rsidRPr="00D55DC6" w:rsidRDefault="00AE58E7" w:rsidP="00FE4B9B">
      <w:pPr>
        <w:widowControl/>
        <w:tabs>
          <w:tab w:val="right" w:leader="dot" w:pos="9356"/>
        </w:tabs>
        <w:spacing w:line="460" w:lineRule="exact"/>
        <w:ind w:leftChars="409" w:left="982" w:firstLineChars="204" w:firstLine="571"/>
        <w:jc w:val="both"/>
        <w:rPr>
          <w:rFonts w:eastAsia="標楷體"/>
          <w:sz w:val="28"/>
          <w:szCs w:val="28"/>
        </w:rPr>
      </w:pPr>
    </w:p>
    <w:p w:rsidR="00AE58E7" w:rsidRPr="00D55DC6" w:rsidRDefault="00AE58E7" w:rsidP="00FE4B9B">
      <w:pPr>
        <w:widowControl/>
        <w:tabs>
          <w:tab w:val="right" w:leader="dot" w:pos="9356"/>
        </w:tabs>
        <w:spacing w:line="460" w:lineRule="exact"/>
        <w:ind w:leftChars="409" w:left="982" w:firstLineChars="204" w:firstLine="571"/>
        <w:jc w:val="both"/>
        <w:rPr>
          <w:rFonts w:eastAsia="標楷體"/>
          <w:sz w:val="28"/>
          <w:szCs w:val="28"/>
        </w:rPr>
      </w:pPr>
    </w:p>
    <w:p w:rsidR="00AE58E7" w:rsidRPr="00D55DC6" w:rsidRDefault="00AE58E7" w:rsidP="00FE4B9B">
      <w:pPr>
        <w:widowControl/>
        <w:tabs>
          <w:tab w:val="right" w:leader="dot" w:pos="9356"/>
        </w:tabs>
        <w:spacing w:line="460" w:lineRule="exact"/>
        <w:ind w:leftChars="409" w:left="982" w:firstLineChars="204" w:firstLine="571"/>
        <w:jc w:val="both"/>
        <w:rPr>
          <w:rFonts w:eastAsia="標楷體"/>
          <w:sz w:val="28"/>
          <w:szCs w:val="28"/>
        </w:rPr>
      </w:pPr>
    </w:p>
    <w:p w:rsidR="00FE4B9B" w:rsidRPr="00D55DC6" w:rsidRDefault="00FE4B9B" w:rsidP="00FE4B9B">
      <w:pPr>
        <w:numPr>
          <w:ilvl w:val="0"/>
          <w:numId w:val="1"/>
        </w:numPr>
        <w:snapToGrid w:val="0"/>
        <w:spacing w:line="460" w:lineRule="exact"/>
        <w:ind w:left="709" w:hanging="709"/>
        <w:jc w:val="both"/>
        <w:rPr>
          <w:rFonts w:eastAsia="標楷體"/>
          <w:b/>
          <w:bCs/>
          <w:sz w:val="28"/>
          <w:szCs w:val="28"/>
        </w:rPr>
      </w:pPr>
      <w:r w:rsidRPr="00D55DC6">
        <w:rPr>
          <w:rFonts w:eastAsia="標楷體"/>
          <w:b/>
          <w:bCs/>
          <w:sz w:val="28"/>
          <w:szCs w:val="28"/>
        </w:rPr>
        <w:lastRenderedPageBreak/>
        <w:t>附則</w:t>
      </w:r>
    </w:p>
    <w:p w:rsidR="00FE4B9B" w:rsidRPr="00D55DC6" w:rsidRDefault="00FE4B9B" w:rsidP="004865C1">
      <w:pPr>
        <w:numPr>
          <w:ilvl w:val="0"/>
          <w:numId w:val="202"/>
        </w:numPr>
        <w:snapToGrid w:val="0"/>
        <w:spacing w:line="460" w:lineRule="exact"/>
        <w:jc w:val="both"/>
        <w:rPr>
          <w:rFonts w:eastAsia="標楷體"/>
          <w:b/>
          <w:bCs/>
          <w:sz w:val="28"/>
          <w:szCs w:val="28"/>
        </w:rPr>
      </w:pPr>
      <w:r w:rsidRPr="00D55DC6">
        <w:rPr>
          <w:rFonts w:eastAsia="標楷體"/>
          <w:b/>
          <w:bCs/>
          <w:sz w:val="28"/>
          <w:szCs w:val="28"/>
        </w:rPr>
        <w:t>風險評估</w:t>
      </w:r>
    </w:p>
    <w:p w:rsidR="00FE4B9B" w:rsidRPr="00D55DC6" w:rsidRDefault="00FE4B9B" w:rsidP="00FE4B9B">
      <w:pPr>
        <w:widowControl/>
        <w:tabs>
          <w:tab w:val="right" w:leader="dot" w:pos="9356"/>
        </w:tabs>
        <w:spacing w:line="460" w:lineRule="exact"/>
        <w:ind w:leftChars="409" w:left="982" w:firstLineChars="204" w:firstLine="571"/>
        <w:jc w:val="both"/>
        <w:rPr>
          <w:rFonts w:eastAsia="標楷體"/>
          <w:sz w:val="28"/>
          <w:szCs w:val="28"/>
        </w:rPr>
      </w:pPr>
      <w:r w:rsidRPr="00D55DC6">
        <w:rPr>
          <w:rFonts w:eastAsia="標楷體"/>
          <w:sz w:val="28"/>
          <w:szCs w:val="28"/>
        </w:rPr>
        <w:t>本計畫係透過公共運輸建設帶動本區域之發展，未來中央政府投入公共運輸的期程將直接影響本計畫之推動。</w:t>
      </w:r>
    </w:p>
    <w:p w:rsidR="00FE4B9B" w:rsidRPr="00D55DC6" w:rsidRDefault="00FE4B9B" w:rsidP="004865C1">
      <w:pPr>
        <w:numPr>
          <w:ilvl w:val="0"/>
          <w:numId w:val="202"/>
        </w:numPr>
        <w:snapToGrid w:val="0"/>
        <w:spacing w:line="460" w:lineRule="exact"/>
        <w:jc w:val="both"/>
        <w:rPr>
          <w:rFonts w:eastAsia="標楷體"/>
          <w:b/>
          <w:bCs/>
          <w:sz w:val="28"/>
          <w:szCs w:val="28"/>
        </w:rPr>
      </w:pPr>
      <w:r w:rsidRPr="00D55DC6">
        <w:rPr>
          <w:rFonts w:eastAsia="標楷體"/>
          <w:b/>
          <w:bCs/>
          <w:sz w:val="28"/>
          <w:szCs w:val="28"/>
        </w:rPr>
        <w:t>相關機關配合事項</w:t>
      </w:r>
    </w:p>
    <w:p w:rsidR="00FE4B9B" w:rsidRPr="00D55DC6" w:rsidRDefault="00FE4B9B" w:rsidP="00FE4B9B">
      <w:pPr>
        <w:widowControl/>
        <w:tabs>
          <w:tab w:val="right" w:leader="dot" w:pos="9356"/>
        </w:tabs>
        <w:spacing w:line="460" w:lineRule="exact"/>
        <w:ind w:leftChars="409" w:left="982" w:firstLineChars="204" w:firstLine="571"/>
        <w:jc w:val="both"/>
        <w:rPr>
          <w:rFonts w:eastAsia="標楷體"/>
          <w:sz w:val="28"/>
          <w:szCs w:val="28"/>
        </w:rPr>
      </w:pPr>
      <w:r w:rsidRPr="00D55DC6">
        <w:rPr>
          <w:rFonts w:eastAsia="標楷體"/>
          <w:sz w:val="28"/>
          <w:szCs w:val="28"/>
        </w:rPr>
        <w:t>執行計畫之主辦機關除花東縱谷國家風景區管理處外，尚包含相關單位，將持續經由協商機制，針對景點建設、設施改善、環境整建、經營管理等業務，妥善溝通協調，確認分工，共同改善景點環境。花東縱谷國家風景區管理處將視需求，個別協調相關單位者為：</w:t>
      </w:r>
    </w:p>
    <w:p w:rsidR="00FE4B9B" w:rsidRPr="00D55DC6" w:rsidRDefault="00FE4B9B" w:rsidP="004865C1">
      <w:pPr>
        <w:widowControl/>
        <w:numPr>
          <w:ilvl w:val="0"/>
          <w:numId w:val="190"/>
        </w:numPr>
        <w:tabs>
          <w:tab w:val="left" w:pos="851"/>
        </w:tabs>
        <w:spacing w:line="460" w:lineRule="exact"/>
        <w:ind w:left="1276" w:hanging="283"/>
        <w:jc w:val="both"/>
        <w:rPr>
          <w:rFonts w:eastAsia="標楷體"/>
          <w:sz w:val="28"/>
          <w:szCs w:val="28"/>
        </w:rPr>
      </w:pPr>
      <w:r w:rsidRPr="00D55DC6">
        <w:rPr>
          <w:rFonts w:eastAsia="標楷體"/>
          <w:sz w:val="28"/>
          <w:szCs w:val="28"/>
        </w:rPr>
        <w:t>交通部公路總局：維護景點聯外交通設施安全便利及景觀美化。</w:t>
      </w:r>
    </w:p>
    <w:p w:rsidR="00FE4B9B" w:rsidRPr="00D55DC6" w:rsidRDefault="00FE4B9B" w:rsidP="004865C1">
      <w:pPr>
        <w:widowControl/>
        <w:numPr>
          <w:ilvl w:val="0"/>
          <w:numId w:val="190"/>
        </w:numPr>
        <w:tabs>
          <w:tab w:val="left" w:pos="851"/>
        </w:tabs>
        <w:spacing w:line="460" w:lineRule="exact"/>
        <w:ind w:left="1276" w:hanging="283"/>
        <w:jc w:val="both"/>
        <w:rPr>
          <w:rFonts w:eastAsia="標楷體"/>
          <w:sz w:val="28"/>
          <w:szCs w:val="28"/>
        </w:rPr>
      </w:pPr>
      <w:r w:rsidRPr="00D55DC6">
        <w:rPr>
          <w:rFonts w:eastAsia="標楷體"/>
          <w:sz w:val="28"/>
          <w:szCs w:val="28"/>
        </w:rPr>
        <w:t>交通部臺灣鐵路管理局：改善車站遊客服務設施與鐵路沿線景觀。</w:t>
      </w:r>
    </w:p>
    <w:p w:rsidR="00FE4B9B" w:rsidRPr="00D55DC6" w:rsidRDefault="00FE4B9B" w:rsidP="004865C1">
      <w:pPr>
        <w:widowControl/>
        <w:numPr>
          <w:ilvl w:val="0"/>
          <w:numId w:val="190"/>
        </w:numPr>
        <w:tabs>
          <w:tab w:val="left" w:pos="851"/>
        </w:tabs>
        <w:spacing w:line="460" w:lineRule="exact"/>
        <w:ind w:left="1276" w:hanging="283"/>
        <w:jc w:val="both"/>
        <w:rPr>
          <w:rFonts w:eastAsia="標楷體"/>
          <w:sz w:val="28"/>
          <w:szCs w:val="28"/>
        </w:rPr>
      </w:pPr>
      <w:r w:rsidRPr="00D55DC6">
        <w:rPr>
          <w:rFonts w:eastAsia="標楷體"/>
          <w:sz w:val="28"/>
          <w:szCs w:val="28"/>
        </w:rPr>
        <w:t>交通部鐵路改建工程局：辦理花東鐵路電氣化、雙軌化。</w:t>
      </w:r>
    </w:p>
    <w:p w:rsidR="00FE4B9B" w:rsidRPr="00D55DC6" w:rsidRDefault="00FE4B9B" w:rsidP="004865C1">
      <w:pPr>
        <w:widowControl/>
        <w:numPr>
          <w:ilvl w:val="0"/>
          <w:numId w:val="190"/>
        </w:numPr>
        <w:tabs>
          <w:tab w:val="left" w:pos="851"/>
        </w:tabs>
        <w:spacing w:line="460" w:lineRule="exact"/>
        <w:ind w:left="1276" w:hanging="283"/>
        <w:jc w:val="both"/>
        <w:rPr>
          <w:rFonts w:eastAsia="標楷體"/>
          <w:sz w:val="28"/>
          <w:szCs w:val="28"/>
        </w:rPr>
      </w:pPr>
      <w:r w:rsidRPr="00D55DC6">
        <w:rPr>
          <w:rFonts w:eastAsia="標楷體"/>
          <w:sz w:val="28"/>
          <w:szCs w:val="28"/>
        </w:rPr>
        <w:t>農委會林務局花蓮林區管理處：持續推動森林遊樂區建設。</w:t>
      </w:r>
    </w:p>
    <w:p w:rsidR="00FE4B9B" w:rsidRPr="00D55DC6" w:rsidRDefault="00FE4B9B" w:rsidP="004865C1">
      <w:pPr>
        <w:widowControl/>
        <w:numPr>
          <w:ilvl w:val="0"/>
          <w:numId w:val="190"/>
        </w:numPr>
        <w:tabs>
          <w:tab w:val="left" w:pos="851"/>
        </w:tabs>
        <w:spacing w:line="460" w:lineRule="exact"/>
        <w:ind w:left="1276" w:hanging="283"/>
        <w:jc w:val="both"/>
        <w:rPr>
          <w:rFonts w:eastAsia="標楷體"/>
          <w:sz w:val="28"/>
          <w:szCs w:val="28"/>
        </w:rPr>
      </w:pPr>
      <w:r w:rsidRPr="00D55DC6">
        <w:rPr>
          <w:rFonts w:eastAsia="標楷體"/>
          <w:sz w:val="28"/>
          <w:szCs w:val="28"/>
        </w:rPr>
        <w:t>台東林區管理處：持續推動森林遊樂區建設。</w:t>
      </w:r>
    </w:p>
    <w:p w:rsidR="00FE4B9B" w:rsidRPr="00D55DC6" w:rsidRDefault="00FE4B9B" w:rsidP="004865C1">
      <w:pPr>
        <w:widowControl/>
        <w:numPr>
          <w:ilvl w:val="0"/>
          <w:numId w:val="190"/>
        </w:numPr>
        <w:tabs>
          <w:tab w:val="left" w:pos="851"/>
        </w:tabs>
        <w:spacing w:line="460" w:lineRule="exact"/>
        <w:ind w:left="1276" w:hanging="283"/>
        <w:jc w:val="both"/>
        <w:rPr>
          <w:rFonts w:eastAsia="標楷體"/>
          <w:sz w:val="28"/>
          <w:szCs w:val="28"/>
        </w:rPr>
      </w:pPr>
      <w:r w:rsidRPr="00D55DC6">
        <w:rPr>
          <w:rFonts w:eastAsia="標楷體"/>
          <w:sz w:val="28"/>
          <w:szCs w:val="28"/>
        </w:rPr>
        <w:t>內政部營建署：各區建設用地之都計變更相關事宜。並協助研議花蓮縣與台東縣區域計畫等相關事宜。</w:t>
      </w:r>
    </w:p>
    <w:p w:rsidR="00FE4B9B" w:rsidRPr="00D55DC6" w:rsidRDefault="00FE4B9B" w:rsidP="004865C1">
      <w:pPr>
        <w:widowControl/>
        <w:numPr>
          <w:ilvl w:val="0"/>
          <w:numId w:val="190"/>
        </w:numPr>
        <w:tabs>
          <w:tab w:val="left" w:pos="851"/>
        </w:tabs>
        <w:spacing w:line="460" w:lineRule="exact"/>
        <w:ind w:left="1276" w:hanging="283"/>
        <w:jc w:val="both"/>
        <w:rPr>
          <w:rFonts w:eastAsia="標楷體"/>
          <w:sz w:val="28"/>
          <w:szCs w:val="28"/>
        </w:rPr>
      </w:pPr>
      <w:r w:rsidRPr="00D55DC6">
        <w:rPr>
          <w:rFonts w:eastAsia="標楷體"/>
          <w:sz w:val="28"/>
          <w:szCs w:val="28"/>
        </w:rPr>
        <w:t>花蓮及台東縣政府：協助土地使用管制及建築管理許可、國土復育、水利防洪、休閒農漁業、生態保護、交通設施。另於爭取「花東基金」經費時，應提出永續觀光發展整體規劃及維護管理之作為，並就累計投資金額較多之風景區或觀光地區，提出效益分析及營管計畫，以作為</w:t>
      </w:r>
      <w:r w:rsidR="009B2D95" w:rsidRPr="00D55DC6">
        <w:rPr>
          <w:rFonts w:eastAsia="標楷體"/>
          <w:sz w:val="28"/>
          <w:szCs w:val="28"/>
        </w:rPr>
        <w:t>管理處</w:t>
      </w:r>
      <w:r w:rsidRPr="00D55DC6">
        <w:rPr>
          <w:rFonts w:eastAsia="標楷體"/>
          <w:sz w:val="28"/>
          <w:szCs w:val="28"/>
        </w:rPr>
        <w:t>跨域加值合作之參據。</w:t>
      </w:r>
    </w:p>
    <w:p w:rsidR="00FE4B9B" w:rsidRPr="00D55DC6" w:rsidRDefault="00FE4B9B" w:rsidP="004865C1">
      <w:pPr>
        <w:widowControl/>
        <w:numPr>
          <w:ilvl w:val="0"/>
          <w:numId w:val="190"/>
        </w:numPr>
        <w:tabs>
          <w:tab w:val="left" w:pos="851"/>
        </w:tabs>
        <w:spacing w:line="460" w:lineRule="exact"/>
        <w:ind w:left="1276" w:hanging="283"/>
        <w:jc w:val="both"/>
        <w:rPr>
          <w:rFonts w:eastAsia="標楷體"/>
          <w:sz w:val="28"/>
          <w:szCs w:val="28"/>
        </w:rPr>
      </w:pPr>
      <w:r w:rsidRPr="00D55DC6">
        <w:rPr>
          <w:rFonts w:eastAsia="標楷體"/>
          <w:sz w:val="28"/>
          <w:szCs w:val="28"/>
        </w:rPr>
        <w:t>原住民</w:t>
      </w:r>
      <w:r w:rsidR="00B309E2" w:rsidRPr="00D55DC6">
        <w:rPr>
          <w:rFonts w:eastAsia="標楷體" w:hint="eastAsia"/>
          <w:sz w:val="28"/>
          <w:szCs w:val="28"/>
        </w:rPr>
        <w:t>族</w:t>
      </w:r>
      <w:r w:rsidRPr="00D55DC6">
        <w:rPr>
          <w:rFonts w:eastAsia="標楷體"/>
          <w:sz w:val="28"/>
          <w:szCs w:val="28"/>
        </w:rPr>
        <w:t>委員會：協助原住民地區共管協調等事宜。</w:t>
      </w:r>
    </w:p>
    <w:p w:rsidR="00080F5B" w:rsidRPr="00D55DC6" w:rsidRDefault="00080F5B">
      <w:pPr>
        <w:widowControl/>
        <w:rPr>
          <w:rFonts w:eastAsia="標楷體"/>
          <w:sz w:val="28"/>
          <w:szCs w:val="28"/>
        </w:rPr>
      </w:pPr>
      <w:r w:rsidRPr="00D55DC6">
        <w:rPr>
          <w:rFonts w:eastAsia="標楷體"/>
          <w:sz w:val="28"/>
          <w:szCs w:val="28"/>
        </w:rPr>
        <w:br w:type="page"/>
      </w:r>
    </w:p>
    <w:p w:rsidR="00986223" w:rsidRPr="00D55DC6" w:rsidRDefault="00986223" w:rsidP="00986223">
      <w:pPr>
        <w:snapToGrid w:val="0"/>
        <w:spacing w:line="460" w:lineRule="exact"/>
        <w:rPr>
          <w:rFonts w:eastAsia="標楷體"/>
          <w:b/>
          <w:sz w:val="28"/>
          <w:szCs w:val="28"/>
        </w:rPr>
      </w:pPr>
      <w:r w:rsidRPr="00D55DC6">
        <w:rPr>
          <w:rFonts w:eastAsia="標楷體"/>
          <w:b/>
          <w:sz w:val="28"/>
          <w:szCs w:val="28"/>
        </w:rPr>
        <w:lastRenderedPageBreak/>
        <w:t>拾貳、澎湖國家風景區建設計畫</w:t>
      </w:r>
    </w:p>
    <w:p w:rsidR="00986223" w:rsidRPr="00D55DC6" w:rsidRDefault="00986223" w:rsidP="00986223">
      <w:pPr>
        <w:snapToGrid w:val="0"/>
        <w:spacing w:line="460" w:lineRule="exact"/>
        <w:ind w:left="1386" w:hanging="1102"/>
        <w:jc w:val="center"/>
        <w:rPr>
          <w:rFonts w:eastAsia="標楷體"/>
          <w:sz w:val="28"/>
          <w:szCs w:val="28"/>
        </w:rPr>
      </w:pPr>
    </w:p>
    <w:p w:rsidR="00986223" w:rsidRPr="00D55DC6" w:rsidRDefault="00986223" w:rsidP="004865C1">
      <w:pPr>
        <w:pStyle w:val="a"/>
        <w:numPr>
          <w:ilvl w:val="0"/>
          <w:numId w:val="203"/>
        </w:numPr>
        <w:tabs>
          <w:tab w:val="left" w:pos="4820"/>
        </w:tabs>
        <w:ind w:left="709"/>
        <w:rPr>
          <w:b/>
        </w:rPr>
      </w:pPr>
      <w:bookmarkStart w:id="179" w:name="_Toc407181737"/>
      <w:r w:rsidRPr="00D55DC6">
        <w:rPr>
          <w:b/>
        </w:rPr>
        <w:t>計畫緣起</w:t>
      </w:r>
      <w:bookmarkEnd w:id="179"/>
    </w:p>
    <w:p w:rsidR="00986223" w:rsidRPr="00D55DC6" w:rsidRDefault="00986223" w:rsidP="004865C1">
      <w:pPr>
        <w:numPr>
          <w:ilvl w:val="0"/>
          <w:numId w:val="204"/>
        </w:numPr>
        <w:snapToGrid w:val="0"/>
        <w:spacing w:line="460" w:lineRule="exact"/>
        <w:jc w:val="both"/>
        <w:rPr>
          <w:rFonts w:eastAsia="標楷體"/>
          <w:b/>
          <w:sz w:val="28"/>
          <w:szCs w:val="28"/>
        </w:rPr>
      </w:pPr>
      <w:r w:rsidRPr="00D55DC6">
        <w:rPr>
          <w:rFonts w:eastAsia="標楷體"/>
          <w:b/>
          <w:sz w:val="28"/>
          <w:szCs w:val="28"/>
        </w:rPr>
        <w:t>依據</w:t>
      </w:r>
    </w:p>
    <w:p w:rsidR="00986223" w:rsidRPr="00D55DC6" w:rsidRDefault="00986223" w:rsidP="00986223">
      <w:pPr>
        <w:adjustRightInd w:val="0"/>
        <w:snapToGrid w:val="0"/>
        <w:spacing w:line="460" w:lineRule="exact"/>
        <w:ind w:leftChars="236" w:left="849" w:hangingChars="101" w:hanging="283"/>
        <w:jc w:val="both"/>
        <w:rPr>
          <w:rFonts w:eastAsia="標楷體"/>
          <w:snapToGrid w:val="0"/>
          <w:kern w:val="0"/>
          <w:sz w:val="28"/>
          <w:szCs w:val="28"/>
        </w:rPr>
      </w:pPr>
      <w:r w:rsidRPr="00D55DC6">
        <w:rPr>
          <w:rFonts w:eastAsia="標楷體"/>
          <w:snapToGrid w:val="0"/>
          <w:kern w:val="0"/>
          <w:sz w:val="28"/>
          <w:szCs w:val="28"/>
        </w:rPr>
        <w:t xml:space="preserve">  </w:t>
      </w:r>
      <w:r w:rsidRPr="00D55DC6">
        <w:rPr>
          <w:rFonts w:eastAsia="標楷體"/>
          <w:snapToGrid w:val="0"/>
          <w:kern w:val="0"/>
          <w:sz w:val="28"/>
          <w:szCs w:val="28"/>
        </w:rPr>
        <w:t>為有效發揮政府重大公共建設計畫觀光次類別經費之投資效益，強化具體投資成果，延續「重要觀光景點建設中程計畫（</w:t>
      </w:r>
      <w:r w:rsidRPr="00D55DC6">
        <w:rPr>
          <w:rFonts w:eastAsia="標楷體"/>
          <w:snapToGrid w:val="0"/>
          <w:kern w:val="0"/>
          <w:sz w:val="28"/>
          <w:szCs w:val="28"/>
        </w:rPr>
        <w:t>101</w:t>
      </w:r>
      <w:r w:rsidRPr="00D55DC6">
        <w:rPr>
          <w:rFonts w:eastAsia="標楷體"/>
          <w:snapToGrid w:val="0"/>
          <w:kern w:val="0"/>
          <w:sz w:val="28"/>
          <w:szCs w:val="28"/>
        </w:rPr>
        <w:t>至</w:t>
      </w:r>
      <w:r w:rsidRPr="00D55DC6">
        <w:rPr>
          <w:rFonts w:eastAsia="標楷體"/>
          <w:snapToGrid w:val="0"/>
          <w:kern w:val="0"/>
          <w:sz w:val="28"/>
          <w:szCs w:val="28"/>
        </w:rPr>
        <w:t>104</w:t>
      </w:r>
      <w:r w:rsidRPr="00D55DC6">
        <w:rPr>
          <w:rFonts w:eastAsia="標楷體"/>
          <w:snapToGrid w:val="0"/>
          <w:kern w:val="0"/>
          <w:sz w:val="28"/>
          <w:szCs w:val="28"/>
        </w:rPr>
        <w:t>年）」（行政院</w:t>
      </w:r>
      <w:r w:rsidRPr="00D55DC6">
        <w:rPr>
          <w:rFonts w:eastAsia="標楷體"/>
          <w:snapToGrid w:val="0"/>
          <w:kern w:val="0"/>
          <w:sz w:val="28"/>
          <w:szCs w:val="28"/>
        </w:rPr>
        <w:t>100</w:t>
      </w:r>
      <w:r w:rsidRPr="00D55DC6">
        <w:rPr>
          <w:rFonts w:eastAsia="標楷體"/>
          <w:snapToGrid w:val="0"/>
          <w:kern w:val="0"/>
          <w:sz w:val="28"/>
          <w:szCs w:val="28"/>
        </w:rPr>
        <w:t>年</w:t>
      </w:r>
      <w:r w:rsidRPr="00D55DC6">
        <w:rPr>
          <w:rFonts w:eastAsia="標楷體"/>
          <w:snapToGrid w:val="0"/>
          <w:kern w:val="0"/>
          <w:sz w:val="28"/>
          <w:szCs w:val="28"/>
        </w:rPr>
        <w:t>8</w:t>
      </w:r>
      <w:r w:rsidRPr="00D55DC6">
        <w:rPr>
          <w:rFonts w:eastAsia="標楷體"/>
          <w:snapToGrid w:val="0"/>
          <w:kern w:val="0"/>
          <w:sz w:val="28"/>
          <w:szCs w:val="28"/>
        </w:rPr>
        <w:t>月</w:t>
      </w:r>
      <w:r w:rsidRPr="00D55DC6">
        <w:rPr>
          <w:rFonts w:eastAsia="標楷體"/>
          <w:snapToGrid w:val="0"/>
          <w:kern w:val="0"/>
          <w:sz w:val="28"/>
          <w:szCs w:val="28"/>
        </w:rPr>
        <w:t>22</w:t>
      </w:r>
      <w:r w:rsidRPr="00D55DC6">
        <w:rPr>
          <w:rFonts w:eastAsia="標楷體"/>
          <w:snapToGrid w:val="0"/>
          <w:kern w:val="0"/>
          <w:sz w:val="28"/>
          <w:szCs w:val="28"/>
        </w:rPr>
        <w:t>日院臺交字第</w:t>
      </w:r>
      <w:r w:rsidRPr="00D55DC6">
        <w:rPr>
          <w:rFonts w:eastAsia="標楷體"/>
          <w:snapToGrid w:val="0"/>
          <w:kern w:val="0"/>
          <w:sz w:val="28"/>
          <w:szCs w:val="28"/>
        </w:rPr>
        <w:t>1000044174</w:t>
      </w:r>
      <w:r w:rsidRPr="00D55DC6">
        <w:rPr>
          <w:rFonts w:eastAsia="標楷體"/>
          <w:snapToGrid w:val="0"/>
          <w:kern w:val="0"/>
          <w:sz w:val="28"/>
          <w:szCs w:val="28"/>
        </w:rPr>
        <w:t>號函核定）建設成果，並調整以</w:t>
      </w:r>
      <w:r w:rsidRPr="00D55DC6">
        <w:rPr>
          <w:rFonts w:eastAsia="標楷體"/>
          <w:snapToGrid w:val="0"/>
          <w:kern w:val="0"/>
          <w:sz w:val="28"/>
          <w:szCs w:val="28"/>
        </w:rPr>
        <w:t>1.</w:t>
      </w:r>
      <w:r w:rsidRPr="00D55DC6">
        <w:rPr>
          <w:rFonts w:eastAsia="標楷體"/>
          <w:snapToGrid w:val="0"/>
          <w:kern w:val="0"/>
          <w:sz w:val="28"/>
          <w:szCs w:val="28"/>
        </w:rPr>
        <w:t>國際觀光重要景點建設、</w:t>
      </w:r>
      <w:r w:rsidRPr="00D55DC6">
        <w:rPr>
          <w:rFonts w:eastAsia="標楷體"/>
          <w:snapToGrid w:val="0"/>
          <w:kern w:val="0"/>
          <w:sz w:val="28"/>
          <w:szCs w:val="28"/>
        </w:rPr>
        <w:t>2.</w:t>
      </w:r>
      <w:r w:rsidRPr="00D55DC6">
        <w:rPr>
          <w:rFonts w:eastAsia="標楷體"/>
          <w:snapToGrid w:val="0"/>
          <w:kern w:val="0"/>
          <w:sz w:val="28"/>
          <w:szCs w:val="28"/>
        </w:rPr>
        <w:t>國內觀光重要景點建設、</w:t>
      </w:r>
      <w:r w:rsidRPr="00D55DC6">
        <w:rPr>
          <w:rFonts w:eastAsia="標楷體"/>
          <w:snapToGrid w:val="0"/>
          <w:kern w:val="0"/>
          <w:sz w:val="28"/>
          <w:szCs w:val="28"/>
        </w:rPr>
        <w:t>3.</w:t>
      </w:r>
      <w:r w:rsidRPr="00D55DC6">
        <w:rPr>
          <w:rFonts w:eastAsia="標楷體"/>
          <w:snapToGrid w:val="0"/>
          <w:kern w:val="0"/>
          <w:sz w:val="28"/>
          <w:szCs w:val="28"/>
        </w:rPr>
        <w:t>國家風景區經營管理維護等投資重點與優先順序，研擬「重要觀光景點建設中程計畫</w:t>
      </w:r>
      <w:r w:rsidRPr="00D55DC6">
        <w:rPr>
          <w:rFonts w:eastAsia="標楷體"/>
          <w:snapToGrid w:val="0"/>
          <w:kern w:val="0"/>
          <w:sz w:val="28"/>
          <w:szCs w:val="28"/>
        </w:rPr>
        <w:t>(105-108</w:t>
      </w:r>
      <w:r w:rsidRPr="00D55DC6">
        <w:rPr>
          <w:rFonts w:eastAsia="標楷體"/>
          <w:snapToGrid w:val="0"/>
          <w:kern w:val="0"/>
          <w:sz w:val="28"/>
          <w:szCs w:val="28"/>
        </w:rPr>
        <w:t>年</w:t>
      </w:r>
      <w:r w:rsidRPr="00D55DC6">
        <w:rPr>
          <w:rFonts w:eastAsia="標楷體"/>
          <w:snapToGrid w:val="0"/>
          <w:kern w:val="0"/>
          <w:sz w:val="28"/>
          <w:szCs w:val="28"/>
        </w:rPr>
        <w:t>)</w:t>
      </w:r>
      <w:r w:rsidRPr="00D55DC6">
        <w:rPr>
          <w:rFonts w:eastAsia="標楷體"/>
          <w:snapToGrid w:val="0"/>
          <w:kern w:val="0"/>
          <w:sz w:val="28"/>
          <w:szCs w:val="28"/>
        </w:rPr>
        <w:t>」。</w:t>
      </w:r>
    </w:p>
    <w:p w:rsidR="00986223" w:rsidRPr="00D55DC6" w:rsidRDefault="00986223" w:rsidP="004865C1">
      <w:pPr>
        <w:numPr>
          <w:ilvl w:val="0"/>
          <w:numId w:val="204"/>
        </w:numPr>
        <w:snapToGrid w:val="0"/>
        <w:spacing w:line="460" w:lineRule="exact"/>
        <w:jc w:val="both"/>
        <w:rPr>
          <w:rFonts w:eastAsia="標楷體"/>
          <w:b/>
          <w:sz w:val="28"/>
          <w:szCs w:val="28"/>
        </w:rPr>
      </w:pPr>
      <w:r w:rsidRPr="00D55DC6">
        <w:rPr>
          <w:rFonts w:eastAsia="標楷體"/>
          <w:b/>
          <w:sz w:val="28"/>
          <w:szCs w:val="28"/>
        </w:rPr>
        <w:t>未來環境預測</w:t>
      </w:r>
    </w:p>
    <w:p w:rsidR="00986223" w:rsidRPr="00D55DC6" w:rsidRDefault="00986223" w:rsidP="00FB3FB3">
      <w:pPr>
        <w:snapToGrid w:val="0"/>
        <w:spacing w:line="460" w:lineRule="exact"/>
        <w:ind w:leftChars="354" w:left="850" w:firstLine="1"/>
        <w:rPr>
          <w:rFonts w:eastAsia="標楷體"/>
          <w:szCs w:val="28"/>
        </w:rPr>
      </w:pPr>
      <w:r w:rsidRPr="00D55DC6">
        <w:rPr>
          <w:rFonts w:eastAsia="標楷體"/>
          <w:sz w:val="28"/>
          <w:szCs w:val="28"/>
        </w:rPr>
        <w:t>依據交通部觀光局澎湖國家風景區調查統計，</w:t>
      </w:r>
      <w:r w:rsidRPr="00D55DC6">
        <w:rPr>
          <w:rFonts w:eastAsia="標楷體"/>
          <w:sz w:val="28"/>
          <w:szCs w:val="28"/>
        </w:rPr>
        <w:t>102</w:t>
      </w:r>
      <w:r w:rsidRPr="00D55DC6">
        <w:rPr>
          <w:rFonts w:eastAsia="標楷體"/>
          <w:sz w:val="28"/>
          <w:szCs w:val="28"/>
        </w:rPr>
        <w:t>年遊客量為</w:t>
      </w:r>
      <w:r w:rsidRPr="00D55DC6">
        <w:rPr>
          <w:rFonts w:eastAsia="標楷體"/>
          <w:sz w:val="28"/>
          <w:szCs w:val="28"/>
        </w:rPr>
        <w:t>72.4</w:t>
      </w:r>
      <w:r w:rsidRPr="00D55DC6">
        <w:rPr>
          <w:rFonts w:eastAsia="標楷體"/>
          <w:sz w:val="28"/>
          <w:szCs w:val="28"/>
        </w:rPr>
        <w:t>萬人次，並調查至</w:t>
      </w:r>
      <w:r w:rsidRPr="00D55DC6">
        <w:rPr>
          <w:rFonts w:eastAsia="標楷體"/>
          <w:sz w:val="28"/>
          <w:szCs w:val="28"/>
        </w:rPr>
        <w:t>103</w:t>
      </w:r>
      <w:r w:rsidRPr="00D55DC6">
        <w:rPr>
          <w:rFonts w:eastAsia="標楷體"/>
          <w:sz w:val="28"/>
          <w:szCs w:val="28"/>
        </w:rPr>
        <w:t>年至</w:t>
      </w:r>
      <w:r w:rsidRPr="00D55DC6">
        <w:rPr>
          <w:rFonts w:eastAsia="標楷體"/>
          <w:sz w:val="28"/>
          <w:szCs w:val="28"/>
        </w:rPr>
        <w:t>9</w:t>
      </w:r>
      <w:r w:rsidRPr="00D55DC6">
        <w:rPr>
          <w:rFonts w:eastAsia="標楷體"/>
          <w:sz w:val="28"/>
          <w:szCs w:val="28"/>
        </w:rPr>
        <w:t>月則達</w:t>
      </w:r>
      <w:r w:rsidRPr="00D55DC6">
        <w:rPr>
          <w:rFonts w:eastAsia="標楷體"/>
          <w:sz w:val="28"/>
          <w:szCs w:val="28"/>
        </w:rPr>
        <w:t>66.8</w:t>
      </w:r>
      <w:r w:rsidRPr="00D55DC6">
        <w:rPr>
          <w:rFonts w:eastAsia="標楷體"/>
          <w:sz w:val="28"/>
          <w:szCs w:val="28"/>
        </w:rPr>
        <w:t>萬人次，因受復興航空</w:t>
      </w:r>
      <w:r w:rsidRPr="00D55DC6">
        <w:rPr>
          <w:rFonts w:eastAsia="標楷體"/>
          <w:sz w:val="28"/>
          <w:szCs w:val="28"/>
        </w:rPr>
        <w:t>723</w:t>
      </w:r>
      <w:r w:rsidRPr="00D55DC6">
        <w:rPr>
          <w:rFonts w:eastAsia="標楷體"/>
          <w:sz w:val="28"/>
          <w:szCs w:val="28"/>
        </w:rPr>
        <w:t>空難事故及高雄</w:t>
      </w:r>
      <w:r w:rsidRPr="00D55DC6">
        <w:rPr>
          <w:rFonts w:eastAsia="標楷體"/>
          <w:sz w:val="28"/>
          <w:szCs w:val="28"/>
        </w:rPr>
        <w:t>81</w:t>
      </w:r>
      <w:r w:rsidRPr="00D55DC6">
        <w:rPr>
          <w:rFonts w:eastAsia="標楷體"/>
          <w:sz w:val="28"/>
          <w:szCs w:val="28"/>
        </w:rPr>
        <w:t>氣爆事件之影響，推估</w:t>
      </w:r>
      <w:r w:rsidRPr="00D55DC6">
        <w:rPr>
          <w:rFonts w:eastAsia="標楷體"/>
          <w:sz w:val="28"/>
          <w:szCs w:val="28"/>
        </w:rPr>
        <w:t>103</w:t>
      </w:r>
      <w:r w:rsidRPr="00D55DC6">
        <w:rPr>
          <w:rFonts w:eastAsia="標楷體"/>
          <w:sz w:val="28"/>
          <w:szCs w:val="28"/>
        </w:rPr>
        <w:t>年度總遊客量約為</w:t>
      </w:r>
      <w:r w:rsidRPr="00D55DC6">
        <w:rPr>
          <w:rFonts w:eastAsia="標楷體"/>
          <w:sz w:val="28"/>
          <w:szCs w:val="28"/>
        </w:rPr>
        <w:t>72</w:t>
      </w:r>
      <w:r w:rsidRPr="00D55DC6">
        <w:rPr>
          <w:rFonts w:eastAsia="標楷體"/>
          <w:sz w:val="28"/>
          <w:szCs w:val="28"/>
        </w:rPr>
        <w:t>萬人次，綜整近</w:t>
      </w:r>
      <w:r w:rsidRPr="00D55DC6">
        <w:rPr>
          <w:rFonts w:eastAsia="標楷體"/>
          <w:sz w:val="28"/>
          <w:szCs w:val="28"/>
        </w:rPr>
        <w:t>5</w:t>
      </w:r>
      <w:r w:rsidRPr="00D55DC6">
        <w:rPr>
          <w:rFonts w:eastAsia="標楷體"/>
          <w:sz w:val="28"/>
          <w:szCs w:val="28"/>
        </w:rPr>
        <w:t>年（</w:t>
      </w:r>
      <w:r w:rsidRPr="00D55DC6">
        <w:rPr>
          <w:rFonts w:eastAsia="標楷體"/>
          <w:sz w:val="28"/>
          <w:szCs w:val="28"/>
        </w:rPr>
        <w:t>99</w:t>
      </w:r>
      <w:r w:rsidRPr="00D55DC6">
        <w:rPr>
          <w:rFonts w:eastAsia="標楷體"/>
          <w:sz w:val="28"/>
          <w:szCs w:val="28"/>
        </w:rPr>
        <w:t>至</w:t>
      </w:r>
      <w:r w:rsidRPr="00D55DC6">
        <w:rPr>
          <w:rFonts w:eastAsia="標楷體"/>
          <w:sz w:val="28"/>
          <w:szCs w:val="28"/>
        </w:rPr>
        <w:t>103</w:t>
      </w:r>
      <w:r w:rsidRPr="00D55DC6">
        <w:rPr>
          <w:rFonts w:eastAsia="標楷體"/>
          <w:sz w:val="28"/>
          <w:szCs w:val="28"/>
        </w:rPr>
        <w:t>年）每年平均成長率約</w:t>
      </w:r>
      <w:r w:rsidRPr="00D55DC6">
        <w:rPr>
          <w:rFonts w:eastAsia="標楷體"/>
          <w:sz w:val="28"/>
          <w:szCs w:val="28"/>
        </w:rPr>
        <w:t>4</w:t>
      </w:r>
      <w:r w:rsidRPr="00D55DC6">
        <w:rPr>
          <w:rFonts w:eastAsia="標楷體"/>
          <w:sz w:val="28"/>
          <w:szCs w:val="28"/>
        </w:rPr>
        <w:t>％，</w:t>
      </w:r>
      <w:r w:rsidR="00FB3FB3" w:rsidRPr="00D55DC6">
        <w:rPr>
          <w:rFonts w:eastAsia="標楷體"/>
          <w:sz w:val="28"/>
          <w:szCs w:val="28"/>
        </w:rPr>
        <w:t>預估為來成長率仍持平，預估至</w:t>
      </w:r>
      <w:r w:rsidR="00FB3FB3" w:rsidRPr="00D55DC6">
        <w:rPr>
          <w:rFonts w:eastAsia="標楷體"/>
          <w:sz w:val="28"/>
          <w:szCs w:val="28"/>
        </w:rPr>
        <w:t>108</w:t>
      </w:r>
      <w:r w:rsidR="00FB3FB3" w:rsidRPr="00D55DC6">
        <w:rPr>
          <w:rFonts w:eastAsia="標楷體"/>
          <w:sz w:val="28"/>
          <w:szCs w:val="28"/>
        </w:rPr>
        <w:t>年達</w:t>
      </w:r>
      <w:r w:rsidR="00FB3FB3" w:rsidRPr="00D55DC6">
        <w:rPr>
          <w:rFonts w:eastAsia="標楷體"/>
          <w:sz w:val="28"/>
          <w:szCs w:val="28"/>
        </w:rPr>
        <w:t>85.3</w:t>
      </w:r>
      <w:r w:rsidR="00FB3FB3" w:rsidRPr="00D55DC6">
        <w:rPr>
          <w:rFonts w:eastAsia="標楷體"/>
          <w:sz w:val="28"/>
          <w:szCs w:val="28"/>
        </w:rPr>
        <w:t>萬人次。</w:t>
      </w:r>
    </w:p>
    <w:p w:rsidR="00986223" w:rsidRPr="00D55DC6" w:rsidRDefault="00986223" w:rsidP="00986223">
      <w:pPr>
        <w:snapToGrid w:val="0"/>
        <w:spacing w:line="0" w:lineRule="atLeast"/>
        <w:ind w:leftChars="295" w:left="1313" w:hangingChars="252" w:hanging="605"/>
        <w:jc w:val="both"/>
        <w:rPr>
          <w:rFonts w:eastAsia="標楷體"/>
          <w:b/>
          <w:szCs w:val="28"/>
        </w:rPr>
      </w:pPr>
    </w:p>
    <w:p w:rsidR="00986223" w:rsidRPr="00D55DC6" w:rsidRDefault="00986223" w:rsidP="004865C1">
      <w:pPr>
        <w:numPr>
          <w:ilvl w:val="0"/>
          <w:numId w:val="204"/>
        </w:numPr>
        <w:adjustRightInd w:val="0"/>
        <w:snapToGrid w:val="0"/>
        <w:spacing w:line="460" w:lineRule="exact"/>
        <w:jc w:val="both"/>
        <w:rPr>
          <w:rFonts w:eastAsia="標楷體"/>
          <w:b/>
          <w:snapToGrid w:val="0"/>
          <w:kern w:val="0"/>
          <w:sz w:val="28"/>
          <w:szCs w:val="28"/>
        </w:rPr>
      </w:pPr>
      <w:r w:rsidRPr="00D55DC6">
        <w:rPr>
          <w:rFonts w:eastAsia="標楷體"/>
          <w:b/>
          <w:snapToGrid w:val="0"/>
          <w:kern w:val="0"/>
          <w:sz w:val="28"/>
          <w:szCs w:val="28"/>
        </w:rPr>
        <w:t>問題評析</w:t>
      </w:r>
    </w:p>
    <w:p w:rsidR="00986223" w:rsidRPr="00D55DC6" w:rsidRDefault="00986223" w:rsidP="00986223">
      <w:pPr>
        <w:adjustRightInd w:val="0"/>
        <w:snapToGrid w:val="0"/>
        <w:spacing w:line="460" w:lineRule="exact"/>
        <w:ind w:leftChars="236" w:left="849" w:hangingChars="101" w:hanging="283"/>
        <w:jc w:val="both"/>
        <w:rPr>
          <w:rFonts w:eastAsia="標楷體"/>
          <w:b/>
          <w:snapToGrid w:val="0"/>
          <w:kern w:val="0"/>
          <w:sz w:val="28"/>
          <w:szCs w:val="28"/>
        </w:rPr>
      </w:pPr>
      <w:r w:rsidRPr="00D55DC6">
        <w:rPr>
          <w:rFonts w:eastAsia="標楷體"/>
          <w:b/>
          <w:snapToGrid w:val="0"/>
          <w:kern w:val="0"/>
          <w:sz w:val="28"/>
          <w:szCs w:val="28"/>
        </w:rPr>
        <w:t>1.</w:t>
      </w:r>
      <w:r w:rsidRPr="00D55DC6">
        <w:rPr>
          <w:rFonts w:eastAsia="標楷體"/>
          <w:b/>
          <w:snapToGrid w:val="0"/>
          <w:kern w:val="0"/>
          <w:sz w:val="28"/>
          <w:szCs w:val="28"/>
        </w:rPr>
        <w:t>遊憩需求大，服務設施仍有不足</w:t>
      </w:r>
    </w:p>
    <w:p w:rsidR="00986223" w:rsidRPr="00D55DC6" w:rsidRDefault="00986223" w:rsidP="00986223">
      <w:pPr>
        <w:adjustRightInd w:val="0"/>
        <w:snapToGrid w:val="0"/>
        <w:spacing w:line="460" w:lineRule="exact"/>
        <w:ind w:leftChars="355" w:left="1278" w:hangingChars="152" w:hanging="426"/>
        <w:jc w:val="both"/>
        <w:rPr>
          <w:rFonts w:eastAsia="標楷體"/>
          <w:snapToGrid w:val="0"/>
          <w:kern w:val="0"/>
          <w:sz w:val="28"/>
          <w:szCs w:val="28"/>
        </w:rPr>
      </w:pPr>
      <w:r w:rsidRPr="00D55DC6">
        <w:rPr>
          <w:rFonts w:eastAsia="標楷體"/>
          <w:snapToGrid w:val="0"/>
          <w:kern w:val="0"/>
          <w:sz w:val="28"/>
          <w:szCs w:val="28"/>
        </w:rPr>
        <w:t>(1)</w:t>
      </w:r>
      <w:r w:rsidRPr="00D55DC6">
        <w:rPr>
          <w:rFonts w:eastAsia="標楷體"/>
          <w:snapToGrid w:val="0"/>
          <w:kern w:val="0"/>
          <w:sz w:val="28"/>
          <w:szCs w:val="28"/>
        </w:rPr>
        <w:t>參訪澎湖國家風景區遊客人次近</w:t>
      </w:r>
      <w:r w:rsidRPr="00D55DC6">
        <w:rPr>
          <w:rFonts w:eastAsia="標楷體"/>
          <w:snapToGrid w:val="0"/>
          <w:kern w:val="0"/>
          <w:sz w:val="28"/>
          <w:szCs w:val="28"/>
        </w:rPr>
        <w:t>10</w:t>
      </w:r>
      <w:r w:rsidRPr="00D55DC6">
        <w:rPr>
          <w:rFonts w:eastAsia="標楷體"/>
          <w:snapToGrid w:val="0"/>
          <w:kern w:val="0"/>
          <w:sz w:val="28"/>
          <w:szCs w:val="28"/>
        </w:rPr>
        <w:t>年遊客人次從</w:t>
      </w:r>
      <w:r w:rsidRPr="00D55DC6">
        <w:rPr>
          <w:rFonts w:eastAsia="標楷體"/>
          <w:snapToGrid w:val="0"/>
          <w:kern w:val="0"/>
          <w:sz w:val="28"/>
          <w:szCs w:val="28"/>
        </w:rPr>
        <w:t>93</w:t>
      </w:r>
      <w:r w:rsidRPr="00D55DC6">
        <w:rPr>
          <w:rFonts w:eastAsia="標楷體"/>
          <w:snapToGrid w:val="0"/>
          <w:kern w:val="0"/>
          <w:sz w:val="28"/>
          <w:szCs w:val="28"/>
        </w:rPr>
        <w:t>年</w:t>
      </w:r>
      <w:r w:rsidRPr="00D55DC6">
        <w:rPr>
          <w:rFonts w:eastAsia="標楷體"/>
          <w:snapToGrid w:val="0"/>
          <w:kern w:val="0"/>
          <w:sz w:val="28"/>
          <w:szCs w:val="28"/>
        </w:rPr>
        <w:t>51.7</w:t>
      </w:r>
      <w:r w:rsidRPr="00D55DC6">
        <w:rPr>
          <w:rFonts w:eastAsia="標楷體"/>
          <w:snapToGrid w:val="0"/>
          <w:kern w:val="0"/>
          <w:sz w:val="28"/>
          <w:szCs w:val="28"/>
        </w:rPr>
        <w:t>萬人次成長至</w:t>
      </w:r>
      <w:r w:rsidRPr="00D55DC6">
        <w:rPr>
          <w:rFonts w:eastAsia="標楷體"/>
          <w:snapToGrid w:val="0"/>
          <w:kern w:val="0"/>
          <w:sz w:val="28"/>
          <w:szCs w:val="28"/>
        </w:rPr>
        <w:t>102</w:t>
      </w:r>
      <w:r w:rsidRPr="00D55DC6">
        <w:rPr>
          <w:rFonts w:eastAsia="標楷體"/>
          <w:snapToGrid w:val="0"/>
          <w:kern w:val="0"/>
          <w:sz w:val="28"/>
          <w:szCs w:val="28"/>
        </w:rPr>
        <w:t>年</w:t>
      </w:r>
      <w:r w:rsidRPr="00D55DC6">
        <w:rPr>
          <w:rFonts w:eastAsia="標楷體"/>
          <w:snapToGrid w:val="0"/>
          <w:kern w:val="0"/>
          <w:sz w:val="28"/>
          <w:szCs w:val="28"/>
        </w:rPr>
        <w:t>72.4</w:t>
      </w:r>
      <w:r w:rsidRPr="00D55DC6">
        <w:rPr>
          <w:rFonts w:eastAsia="標楷體"/>
          <w:snapToGrid w:val="0"/>
          <w:kern w:val="0"/>
          <w:sz w:val="28"/>
          <w:szCs w:val="28"/>
        </w:rPr>
        <w:t>萬人次，增加超過</w:t>
      </w:r>
      <w:r w:rsidRPr="00D55DC6">
        <w:rPr>
          <w:rFonts w:eastAsia="標楷體"/>
          <w:snapToGrid w:val="0"/>
          <w:kern w:val="0"/>
          <w:sz w:val="28"/>
          <w:szCs w:val="28"/>
        </w:rPr>
        <w:t>20</w:t>
      </w:r>
      <w:r w:rsidRPr="00D55DC6">
        <w:rPr>
          <w:rFonts w:eastAsia="標楷體"/>
          <w:snapToGrid w:val="0"/>
          <w:kern w:val="0"/>
          <w:sz w:val="28"/>
          <w:szCs w:val="28"/>
        </w:rPr>
        <w:t>萬人次，遊憩服務設施不足現象已然發生。</w:t>
      </w:r>
    </w:p>
    <w:p w:rsidR="00986223" w:rsidRPr="00D55DC6" w:rsidRDefault="00986223" w:rsidP="00986223">
      <w:pPr>
        <w:adjustRightInd w:val="0"/>
        <w:snapToGrid w:val="0"/>
        <w:spacing w:line="460" w:lineRule="exact"/>
        <w:ind w:leftChars="355" w:left="1278" w:hangingChars="152" w:hanging="426"/>
        <w:jc w:val="both"/>
        <w:rPr>
          <w:rFonts w:eastAsia="標楷體"/>
          <w:snapToGrid w:val="0"/>
          <w:kern w:val="0"/>
          <w:sz w:val="28"/>
          <w:szCs w:val="28"/>
        </w:rPr>
      </w:pPr>
      <w:r w:rsidRPr="00D55DC6">
        <w:rPr>
          <w:rFonts w:eastAsia="標楷體"/>
          <w:snapToGrid w:val="0"/>
          <w:kern w:val="0"/>
          <w:sz w:val="28"/>
          <w:szCs w:val="28"/>
        </w:rPr>
        <w:t>(2)</w:t>
      </w:r>
      <w:r w:rsidRPr="00D55DC6">
        <w:rPr>
          <w:rFonts w:eastAsia="標楷體"/>
          <w:snapToGrid w:val="0"/>
          <w:kern w:val="0"/>
          <w:sz w:val="28"/>
          <w:szCs w:val="28"/>
        </w:rPr>
        <w:t>由於澎湖季節氣候影響，旅遊旺季集中於</w:t>
      </w:r>
      <w:r w:rsidRPr="00D55DC6">
        <w:rPr>
          <w:rFonts w:eastAsia="標楷體"/>
          <w:snapToGrid w:val="0"/>
          <w:kern w:val="0"/>
          <w:sz w:val="28"/>
          <w:szCs w:val="28"/>
        </w:rPr>
        <w:t>4</w:t>
      </w:r>
      <w:r w:rsidRPr="00D55DC6">
        <w:rPr>
          <w:rFonts w:eastAsia="標楷體"/>
          <w:snapToGrid w:val="0"/>
          <w:kern w:val="0"/>
          <w:sz w:val="28"/>
          <w:szCs w:val="28"/>
        </w:rPr>
        <w:t>至</w:t>
      </w:r>
      <w:r w:rsidRPr="00D55DC6">
        <w:rPr>
          <w:rFonts w:eastAsia="標楷體"/>
          <w:snapToGrid w:val="0"/>
          <w:kern w:val="0"/>
          <w:sz w:val="28"/>
          <w:szCs w:val="28"/>
        </w:rPr>
        <w:t>9</w:t>
      </w:r>
      <w:r w:rsidRPr="00D55DC6">
        <w:rPr>
          <w:rFonts w:eastAsia="標楷體"/>
          <w:snapToGrid w:val="0"/>
          <w:kern w:val="0"/>
          <w:sz w:val="28"/>
          <w:szCs w:val="28"/>
        </w:rPr>
        <w:t>月，估算</w:t>
      </w:r>
      <w:r w:rsidRPr="00D55DC6">
        <w:rPr>
          <w:rFonts w:eastAsia="標楷體"/>
          <w:snapToGrid w:val="0"/>
          <w:kern w:val="0"/>
          <w:sz w:val="28"/>
          <w:szCs w:val="28"/>
        </w:rPr>
        <w:t>103</w:t>
      </w:r>
      <w:r w:rsidRPr="00D55DC6">
        <w:rPr>
          <w:rFonts w:eastAsia="標楷體"/>
          <w:snapToGrid w:val="0"/>
          <w:kern w:val="0"/>
          <w:sz w:val="28"/>
          <w:szCs w:val="28"/>
        </w:rPr>
        <w:t>年旺季每日最大住宿需求量短缺</w:t>
      </w:r>
      <w:r w:rsidRPr="00D55DC6">
        <w:rPr>
          <w:rFonts w:eastAsia="標楷體"/>
          <w:snapToGrid w:val="0"/>
          <w:kern w:val="0"/>
          <w:sz w:val="28"/>
          <w:szCs w:val="28"/>
        </w:rPr>
        <w:t>106</w:t>
      </w:r>
      <w:r w:rsidRPr="00D55DC6">
        <w:rPr>
          <w:rFonts w:eastAsia="標楷體"/>
          <w:snapToGrid w:val="0"/>
          <w:kern w:val="0"/>
          <w:sz w:val="28"/>
          <w:szCs w:val="28"/>
        </w:rPr>
        <w:t>間（房），預估於</w:t>
      </w:r>
      <w:r w:rsidRPr="00D55DC6">
        <w:rPr>
          <w:rFonts w:eastAsia="標楷體"/>
          <w:snapToGrid w:val="0"/>
          <w:kern w:val="0"/>
          <w:sz w:val="28"/>
          <w:szCs w:val="28"/>
        </w:rPr>
        <w:t>114</w:t>
      </w:r>
      <w:r w:rsidRPr="00D55DC6">
        <w:rPr>
          <w:rFonts w:eastAsia="標楷體"/>
          <w:snapToGrid w:val="0"/>
          <w:kern w:val="0"/>
          <w:sz w:val="28"/>
          <w:szCs w:val="28"/>
        </w:rPr>
        <w:t>年將短缺</w:t>
      </w:r>
      <w:r w:rsidRPr="00D55DC6">
        <w:rPr>
          <w:rFonts w:eastAsia="標楷體"/>
          <w:snapToGrid w:val="0"/>
          <w:kern w:val="0"/>
          <w:sz w:val="28"/>
          <w:szCs w:val="28"/>
        </w:rPr>
        <w:t>2,310</w:t>
      </w:r>
      <w:r w:rsidRPr="00D55DC6">
        <w:rPr>
          <w:rFonts w:eastAsia="標楷體"/>
          <w:snapToGrid w:val="0"/>
          <w:kern w:val="0"/>
          <w:sz w:val="28"/>
          <w:szCs w:val="28"/>
        </w:rPr>
        <w:t>間（房），相對於遊憩服務設施承載量也將趨於緊繃。</w:t>
      </w:r>
    </w:p>
    <w:p w:rsidR="00986223" w:rsidRPr="00D55DC6" w:rsidRDefault="00986223" w:rsidP="00986223">
      <w:pPr>
        <w:adjustRightInd w:val="0"/>
        <w:snapToGrid w:val="0"/>
        <w:spacing w:line="460" w:lineRule="exact"/>
        <w:ind w:leftChars="355" w:left="1278" w:hangingChars="152" w:hanging="426"/>
        <w:jc w:val="both"/>
        <w:rPr>
          <w:rFonts w:eastAsia="標楷體"/>
          <w:snapToGrid w:val="0"/>
          <w:kern w:val="0"/>
          <w:sz w:val="28"/>
          <w:szCs w:val="28"/>
        </w:rPr>
      </w:pPr>
      <w:r w:rsidRPr="00D55DC6">
        <w:rPr>
          <w:rFonts w:eastAsia="標楷體"/>
          <w:snapToGrid w:val="0"/>
          <w:kern w:val="0"/>
          <w:sz w:val="28"/>
          <w:szCs w:val="28"/>
        </w:rPr>
        <w:t>(3)</w:t>
      </w:r>
      <w:r w:rsidRPr="00D55DC6">
        <w:rPr>
          <w:rFonts w:eastAsia="標楷體"/>
          <w:snapToGrid w:val="0"/>
          <w:kern w:val="0"/>
          <w:sz w:val="28"/>
          <w:szCs w:val="28"/>
        </w:rPr>
        <w:t>南海系統之七美次系統因「世界最美麗海灣」持續發酵，搭配「雙心石滬」馳名中外，到七美旅遊之遊客有增加趨勢，目前</w:t>
      </w:r>
      <w:r w:rsidR="00B37E2C" w:rsidRPr="00D55DC6">
        <w:rPr>
          <w:rFonts w:eastAsia="標楷體" w:hint="eastAsia"/>
          <w:snapToGrid w:val="0"/>
          <w:kern w:val="0"/>
          <w:sz w:val="28"/>
          <w:szCs w:val="28"/>
        </w:rPr>
        <w:t>七</w:t>
      </w:r>
      <w:r w:rsidRPr="00D55DC6">
        <w:rPr>
          <w:rFonts w:eastAsia="標楷體"/>
          <w:snapToGrid w:val="0"/>
          <w:kern w:val="0"/>
          <w:sz w:val="28"/>
          <w:szCs w:val="28"/>
        </w:rPr>
        <w:t>美遊客中心係向七美鄉公所租用場域設置，因建築物年久失修，每年均需由管理處編列維護費處理，另因空間不足，無法提供遊客優質服務。</w:t>
      </w:r>
    </w:p>
    <w:p w:rsidR="00986223" w:rsidRPr="00D55DC6" w:rsidRDefault="00986223" w:rsidP="00986223">
      <w:pPr>
        <w:adjustRightInd w:val="0"/>
        <w:snapToGrid w:val="0"/>
        <w:spacing w:line="460" w:lineRule="exact"/>
        <w:ind w:leftChars="236" w:left="849" w:hangingChars="101" w:hanging="283"/>
        <w:jc w:val="both"/>
        <w:rPr>
          <w:rFonts w:eastAsia="標楷體"/>
          <w:b/>
          <w:snapToGrid w:val="0"/>
          <w:kern w:val="0"/>
          <w:sz w:val="28"/>
          <w:szCs w:val="28"/>
        </w:rPr>
      </w:pPr>
      <w:r w:rsidRPr="00D55DC6">
        <w:rPr>
          <w:rFonts w:eastAsia="標楷體"/>
          <w:b/>
          <w:snapToGrid w:val="0"/>
          <w:kern w:val="0"/>
          <w:sz w:val="28"/>
          <w:szCs w:val="28"/>
        </w:rPr>
        <w:lastRenderedPageBreak/>
        <w:t>2.</w:t>
      </w:r>
      <w:r w:rsidRPr="00D55DC6">
        <w:rPr>
          <w:rFonts w:eastAsia="標楷體"/>
          <w:b/>
          <w:snapToGrid w:val="0"/>
          <w:kern w:val="0"/>
          <w:sz w:val="28"/>
          <w:szCs w:val="28"/>
        </w:rPr>
        <w:t>重要景點承載量過度集中</w:t>
      </w:r>
    </w:p>
    <w:p w:rsidR="00986223" w:rsidRPr="00D55DC6" w:rsidRDefault="00986223" w:rsidP="00986223">
      <w:pPr>
        <w:adjustRightInd w:val="0"/>
        <w:snapToGrid w:val="0"/>
        <w:spacing w:line="460" w:lineRule="exact"/>
        <w:ind w:leftChars="354" w:left="850" w:firstLine="1"/>
        <w:jc w:val="both"/>
        <w:rPr>
          <w:rFonts w:eastAsia="標楷體"/>
          <w:snapToGrid w:val="0"/>
          <w:kern w:val="0"/>
          <w:sz w:val="28"/>
          <w:szCs w:val="28"/>
        </w:rPr>
      </w:pPr>
      <w:r w:rsidRPr="00D55DC6">
        <w:rPr>
          <w:rFonts w:eastAsia="標楷體"/>
          <w:snapToGrid w:val="0"/>
          <w:kern w:val="0"/>
          <w:sz w:val="28"/>
          <w:szCs w:val="28"/>
        </w:rPr>
        <w:t>管理處於觀光發展計畫已針對具代表性國際景點調查並推估期環境承載量，以吉貝水上活動區為例，水上活動區最適遊客瞬間承載量為</w:t>
      </w:r>
      <w:r w:rsidRPr="00D55DC6">
        <w:rPr>
          <w:rFonts w:eastAsia="標楷體"/>
          <w:snapToGrid w:val="0"/>
          <w:kern w:val="0"/>
          <w:sz w:val="28"/>
          <w:szCs w:val="28"/>
        </w:rPr>
        <w:t>434</w:t>
      </w:r>
      <w:r w:rsidRPr="00D55DC6">
        <w:rPr>
          <w:rFonts w:eastAsia="標楷體"/>
          <w:snapToGrid w:val="0"/>
          <w:kern w:val="0"/>
          <w:sz w:val="28"/>
          <w:szCs w:val="28"/>
        </w:rPr>
        <w:t>人，調查當時（</w:t>
      </w:r>
      <w:r w:rsidRPr="00D55DC6">
        <w:rPr>
          <w:rFonts w:eastAsia="標楷體"/>
          <w:snapToGrid w:val="0"/>
          <w:kern w:val="0"/>
          <w:sz w:val="28"/>
          <w:szCs w:val="28"/>
        </w:rPr>
        <w:t>103</w:t>
      </w:r>
      <w:r w:rsidRPr="00D55DC6">
        <w:rPr>
          <w:rFonts w:eastAsia="標楷體"/>
          <w:snapToGrid w:val="0"/>
          <w:kern w:val="0"/>
          <w:sz w:val="28"/>
          <w:szCs w:val="28"/>
        </w:rPr>
        <w:t>年</w:t>
      </w:r>
      <w:r w:rsidRPr="00D55DC6">
        <w:rPr>
          <w:rFonts w:eastAsia="標楷體"/>
          <w:snapToGrid w:val="0"/>
          <w:kern w:val="0"/>
          <w:sz w:val="28"/>
          <w:szCs w:val="28"/>
        </w:rPr>
        <w:t>6</w:t>
      </w:r>
      <w:r w:rsidRPr="00D55DC6">
        <w:rPr>
          <w:rFonts w:eastAsia="標楷體"/>
          <w:snapToGrid w:val="0"/>
          <w:kern w:val="0"/>
          <w:sz w:val="28"/>
          <w:szCs w:val="28"/>
        </w:rPr>
        <w:t>月</w:t>
      </w:r>
      <w:r w:rsidRPr="00D55DC6">
        <w:rPr>
          <w:rFonts w:eastAsia="標楷體"/>
          <w:snapToGrid w:val="0"/>
          <w:kern w:val="0"/>
          <w:sz w:val="28"/>
          <w:szCs w:val="28"/>
        </w:rPr>
        <w:t>30</w:t>
      </w:r>
      <w:r w:rsidRPr="00D55DC6">
        <w:rPr>
          <w:rFonts w:eastAsia="標楷體"/>
          <w:snapToGrid w:val="0"/>
          <w:kern w:val="0"/>
          <w:sz w:val="28"/>
          <w:szCs w:val="28"/>
        </w:rPr>
        <w:t>日）平均人數約為</w:t>
      </w:r>
      <w:r w:rsidRPr="00D55DC6">
        <w:rPr>
          <w:rFonts w:eastAsia="標楷體"/>
          <w:snapToGrid w:val="0"/>
          <w:kern w:val="0"/>
          <w:sz w:val="28"/>
          <w:szCs w:val="28"/>
        </w:rPr>
        <w:t>553</w:t>
      </w:r>
      <w:r w:rsidRPr="00D55DC6">
        <w:rPr>
          <w:rFonts w:eastAsia="標楷體"/>
          <w:snapToGrid w:val="0"/>
          <w:kern w:val="0"/>
          <w:sz w:val="28"/>
          <w:szCs w:val="28"/>
        </w:rPr>
        <w:t>人，與最適遊客瞬間承載量相較下，有傾向於擁擠之程度。</w:t>
      </w:r>
    </w:p>
    <w:p w:rsidR="00986223" w:rsidRPr="00D55DC6" w:rsidRDefault="00986223" w:rsidP="00986223">
      <w:pPr>
        <w:adjustRightInd w:val="0"/>
        <w:snapToGrid w:val="0"/>
        <w:spacing w:line="460" w:lineRule="exact"/>
        <w:ind w:leftChars="236" w:left="849" w:hangingChars="101" w:hanging="283"/>
        <w:jc w:val="both"/>
        <w:rPr>
          <w:rFonts w:eastAsia="標楷體"/>
          <w:b/>
          <w:snapToGrid w:val="0"/>
          <w:kern w:val="0"/>
          <w:sz w:val="28"/>
          <w:szCs w:val="28"/>
        </w:rPr>
      </w:pPr>
      <w:r w:rsidRPr="00D55DC6">
        <w:rPr>
          <w:rFonts w:eastAsia="標楷體"/>
          <w:b/>
          <w:snapToGrid w:val="0"/>
          <w:kern w:val="0"/>
          <w:sz w:val="28"/>
          <w:szCs w:val="28"/>
        </w:rPr>
        <w:t>3.</w:t>
      </w:r>
      <w:r w:rsidRPr="00D55DC6">
        <w:rPr>
          <w:rFonts w:eastAsia="標楷體"/>
          <w:b/>
          <w:snapToGrid w:val="0"/>
          <w:kern w:val="0"/>
          <w:sz w:val="28"/>
          <w:szCs w:val="28"/>
        </w:rPr>
        <w:t>離島經營管理負擔成本較大</w:t>
      </w:r>
    </w:p>
    <w:p w:rsidR="00986223" w:rsidRPr="00D55DC6" w:rsidRDefault="00986223" w:rsidP="00986223">
      <w:pPr>
        <w:adjustRightInd w:val="0"/>
        <w:snapToGrid w:val="0"/>
        <w:spacing w:line="460" w:lineRule="exact"/>
        <w:ind w:leftChars="354" w:left="1276" w:hangingChars="152" w:hanging="426"/>
        <w:jc w:val="both"/>
        <w:rPr>
          <w:rFonts w:eastAsia="標楷體"/>
          <w:snapToGrid w:val="0"/>
          <w:kern w:val="0"/>
          <w:sz w:val="28"/>
          <w:szCs w:val="28"/>
        </w:rPr>
      </w:pPr>
      <w:r w:rsidRPr="00D55DC6">
        <w:rPr>
          <w:rFonts w:eastAsia="標楷體"/>
          <w:snapToGrid w:val="0"/>
          <w:kern w:val="0"/>
          <w:sz w:val="28"/>
          <w:szCs w:val="28"/>
        </w:rPr>
        <w:t>(1)</w:t>
      </w:r>
      <w:r w:rsidRPr="00D55DC6">
        <w:rPr>
          <w:rFonts w:eastAsia="標楷體"/>
          <w:snapToGrid w:val="0"/>
          <w:kern w:val="0"/>
          <w:sz w:val="28"/>
          <w:szCs w:val="28"/>
        </w:rPr>
        <w:t>管理處經營管理範圍包含陸域與海域，其中陸域面積約</w:t>
      </w:r>
      <w:r w:rsidRPr="00D55DC6">
        <w:rPr>
          <w:rFonts w:eastAsia="標楷體"/>
          <w:snapToGrid w:val="0"/>
          <w:kern w:val="0"/>
          <w:sz w:val="28"/>
          <w:szCs w:val="28"/>
        </w:rPr>
        <w:t>10,873</w:t>
      </w:r>
      <w:r w:rsidRPr="00D55DC6">
        <w:rPr>
          <w:rFonts w:eastAsia="標楷體"/>
          <w:snapToGrid w:val="0"/>
          <w:kern w:val="0"/>
          <w:sz w:val="28"/>
          <w:szCs w:val="28"/>
        </w:rPr>
        <w:t>公頃、海域則以</w:t>
      </w:r>
      <w:r w:rsidRPr="00D55DC6">
        <w:rPr>
          <w:rFonts w:eastAsia="標楷體"/>
          <w:snapToGrid w:val="0"/>
          <w:kern w:val="0"/>
          <w:sz w:val="28"/>
          <w:szCs w:val="28"/>
        </w:rPr>
        <w:t>20</w:t>
      </w:r>
      <w:r w:rsidRPr="00D55DC6">
        <w:rPr>
          <w:rFonts w:eastAsia="標楷體"/>
          <w:snapToGrid w:val="0"/>
          <w:kern w:val="0"/>
          <w:sz w:val="28"/>
          <w:szCs w:val="28"/>
        </w:rPr>
        <w:t>公尺等深線為劃設依據，共約</w:t>
      </w:r>
      <w:r w:rsidRPr="00D55DC6">
        <w:rPr>
          <w:rFonts w:eastAsia="標楷體"/>
          <w:snapToGrid w:val="0"/>
          <w:kern w:val="0"/>
          <w:sz w:val="28"/>
          <w:szCs w:val="28"/>
        </w:rPr>
        <w:t>74,730</w:t>
      </w:r>
      <w:r w:rsidRPr="00D55DC6">
        <w:rPr>
          <w:rFonts w:eastAsia="標楷體"/>
          <w:snapToGrid w:val="0"/>
          <w:kern w:val="0"/>
          <w:sz w:val="28"/>
          <w:szCs w:val="28"/>
        </w:rPr>
        <w:t>公頃，合計約</w:t>
      </w:r>
      <w:r w:rsidRPr="00D55DC6">
        <w:rPr>
          <w:rFonts w:eastAsia="標楷體"/>
          <w:snapToGrid w:val="0"/>
          <w:kern w:val="0"/>
          <w:sz w:val="28"/>
          <w:szCs w:val="28"/>
        </w:rPr>
        <w:t>85,603</w:t>
      </w:r>
      <w:r w:rsidRPr="00D55DC6">
        <w:rPr>
          <w:rFonts w:eastAsia="標楷體"/>
          <w:snapToGrid w:val="0"/>
          <w:kern w:val="0"/>
          <w:sz w:val="28"/>
          <w:szCs w:val="28"/>
        </w:rPr>
        <w:t>公頃，偌大之海域範圍造成經營管理成本遞增；</w:t>
      </w:r>
    </w:p>
    <w:p w:rsidR="00986223" w:rsidRPr="00D55DC6" w:rsidRDefault="00986223" w:rsidP="00986223">
      <w:pPr>
        <w:adjustRightInd w:val="0"/>
        <w:snapToGrid w:val="0"/>
        <w:spacing w:line="460" w:lineRule="exact"/>
        <w:ind w:leftChars="354" w:left="1276" w:hangingChars="152" w:hanging="426"/>
        <w:jc w:val="both"/>
        <w:rPr>
          <w:rFonts w:eastAsia="標楷體"/>
          <w:snapToGrid w:val="0"/>
          <w:kern w:val="0"/>
          <w:sz w:val="28"/>
          <w:szCs w:val="28"/>
        </w:rPr>
      </w:pPr>
      <w:r w:rsidRPr="00D55DC6">
        <w:rPr>
          <w:rFonts w:eastAsia="標楷體"/>
          <w:snapToGrid w:val="0"/>
          <w:kern w:val="0"/>
          <w:sz w:val="28"/>
          <w:szCs w:val="28"/>
        </w:rPr>
        <w:t>(2)</w:t>
      </w:r>
      <w:r w:rsidRPr="00D55DC6">
        <w:rPr>
          <w:rFonts w:eastAsia="標楷體"/>
          <w:snapToGrid w:val="0"/>
          <w:kern w:val="0"/>
          <w:sz w:val="28"/>
          <w:szCs w:val="28"/>
        </w:rPr>
        <w:t>澎湖屬離島地區，總計有</w:t>
      </w:r>
      <w:r w:rsidRPr="00D55DC6">
        <w:rPr>
          <w:rFonts w:eastAsia="標楷體"/>
          <w:snapToGrid w:val="0"/>
          <w:kern w:val="0"/>
          <w:sz w:val="28"/>
          <w:szCs w:val="28"/>
        </w:rPr>
        <w:t>90</w:t>
      </w:r>
      <w:r w:rsidRPr="00D55DC6">
        <w:rPr>
          <w:rFonts w:eastAsia="標楷體"/>
          <w:snapToGrid w:val="0"/>
          <w:kern w:val="0"/>
          <w:sz w:val="28"/>
          <w:szCs w:val="28"/>
        </w:rPr>
        <w:t>座島嶼，因其多島嶼特性，管理範圍廣大，且島嶼分散致管理無法有效集中，使得經常性之支出估算上應考量其特性需求酌予增加。</w:t>
      </w:r>
    </w:p>
    <w:p w:rsidR="00986223" w:rsidRPr="00D55DC6" w:rsidRDefault="00986223" w:rsidP="00986223">
      <w:pPr>
        <w:adjustRightInd w:val="0"/>
        <w:snapToGrid w:val="0"/>
        <w:spacing w:line="460" w:lineRule="exact"/>
        <w:ind w:leftChars="236" w:left="849" w:hangingChars="101" w:hanging="283"/>
        <w:jc w:val="both"/>
        <w:rPr>
          <w:rFonts w:eastAsia="標楷體"/>
          <w:b/>
          <w:snapToGrid w:val="0"/>
          <w:kern w:val="0"/>
          <w:sz w:val="28"/>
          <w:szCs w:val="28"/>
        </w:rPr>
      </w:pPr>
      <w:r w:rsidRPr="00D55DC6">
        <w:rPr>
          <w:rFonts w:eastAsia="標楷體"/>
          <w:b/>
          <w:snapToGrid w:val="0"/>
          <w:kern w:val="0"/>
          <w:sz w:val="28"/>
          <w:szCs w:val="28"/>
        </w:rPr>
        <w:t>4.</w:t>
      </w:r>
      <w:r w:rsidRPr="00D55DC6">
        <w:rPr>
          <w:rFonts w:eastAsia="標楷體"/>
          <w:b/>
          <w:snapToGrid w:val="0"/>
          <w:kern w:val="0"/>
          <w:sz w:val="28"/>
          <w:szCs w:val="28"/>
        </w:rPr>
        <w:tab/>
        <w:t>103</w:t>
      </w:r>
      <w:r w:rsidRPr="00D55DC6">
        <w:rPr>
          <w:rFonts w:eastAsia="標楷體"/>
          <w:b/>
          <w:snapToGrid w:val="0"/>
          <w:kern w:val="0"/>
          <w:sz w:val="28"/>
          <w:szCs w:val="28"/>
        </w:rPr>
        <w:t>年發生之事故影響澎湖觀光人次</w:t>
      </w:r>
    </w:p>
    <w:p w:rsidR="00986223" w:rsidRPr="00D55DC6" w:rsidRDefault="00986223" w:rsidP="00986223">
      <w:pPr>
        <w:adjustRightInd w:val="0"/>
        <w:snapToGrid w:val="0"/>
        <w:spacing w:line="460" w:lineRule="exact"/>
        <w:ind w:leftChars="354" w:left="850"/>
        <w:jc w:val="both"/>
        <w:rPr>
          <w:rFonts w:eastAsia="標楷體"/>
          <w:snapToGrid w:val="0"/>
          <w:kern w:val="0"/>
          <w:sz w:val="28"/>
          <w:szCs w:val="28"/>
        </w:rPr>
      </w:pPr>
      <w:r w:rsidRPr="00D55DC6">
        <w:rPr>
          <w:rFonts w:eastAsia="標楷體"/>
          <w:snapToGrid w:val="0"/>
          <w:kern w:val="0"/>
          <w:sz w:val="28"/>
          <w:szCs w:val="28"/>
        </w:rPr>
        <w:t>103</w:t>
      </w:r>
      <w:r w:rsidRPr="00D55DC6">
        <w:rPr>
          <w:rFonts w:eastAsia="標楷體"/>
          <w:snapToGrid w:val="0"/>
          <w:kern w:val="0"/>
          <w:sz w:val="28"/>
          <w:szCs w:val="28"/>
        </w:rPr>
        <w:t>年受到復興航空</w:t>
      </w:r>
      <w:r w:rsidRPr="00D55DC6">
        <w:rPr>
          <w:rFonts w:eastAsia="標楷體"/>
          <w:snapToGrid w:val="0"/>
          <w:kern w:val="0"/>
          <w:sz w:val="28"/>
          <w:szCs w:val="28"/>
        </w:rPr>
        <w:t>723</w:t>
      </w:r>
      <w:r w:rsidRPr="00D55DC6">
        <w:rPr>
          <w:rFonts w:eastAsia="標楷體"/>
          <w:snapToGrid w:val="0"/>
          <w:kern w:val="0"/>
          <w:sz w:val="28"/>
          <w:szCs w:val="28"/>
        </w:rPr>
        <w:t>空難事故及高雄</w:t>
      </w:r>
      <w:r w:rsidRPr="00D55DC6">
        <w:rPr>
          <w:rFonts w:eastAsia="標楷體"/>
          <w:snapToGrid w:val="0"/>
          <w:kern w:val="0"/>
          <w:sz w:val="28"/>
          <w:szCs w:val="28"/>
        </w:rPr>
        <w:t>81</w:t>
      </w:r>
      <w:r w:rsidRPr="00D55DC6">
        <w:rPr>
          <w:rFonts w:eastAsia="標楷體"/>
          <w:snapToGrid w:val="0"/>
          <w:kern w:val="0"/>
          <w:sz w:val="28"/>
          <w:szCs w:val="28"/>
        </w:rPr>
        <w:t>氣爆事件之影響，</w:t>
      </w:r>
      <w:r w:rsidRPr="00D55DC6">
        <w:rPr>
          <w:rFonts w:eastAsia="標楷體"/>
          <w:snapToGrid w:val="0"/>
          <w:kern w:val="0"/>
          <w:sz w:val="28"/>
          <w:szCs w:val="28"/>
        </w:rPr>
        <w:t>8</w:t>
      </w:r>
      <w:r w:rsidRPr="00D55DC6">
        <w:rPr>
          <w:rFonts w:eastAsia="標楷體"/>
          <w:snapToGrid w:val="0"/>
          <w:kern w:val="0"/>
          <w:sz w:val="28"/>
          <w:szCs w:val="28"/>
        </w:rPr>
        <w:t>月及</w:t>
      </w:r>
      <w:r w:rsidRPr="00D55DC6">
        <w:rPr>
          <w:rFonts w:eastAsia="標楷體"/>
          <w:snapToGrid w:val="0"/>
          <w:kern w:val="0"/>
          <w:sz w:val="28"/>
          <w:szCs w:val="28"/>
        </w:rPr>
        <w:t>9</w:t>
      </w:r>
      <w:r w:rsidRPr="00D55DC6">
        <w:rPr>
          <w:rFonts w:eastAsia="標楷體"/>
          <w:snapToGrid w:val="0"/>
          <w:kern w:val="0"/>
          <w:sz w:val="28"/>
          <w:szCs w:val="28"/>
        </w:rPr>
        <w:t>月之遊客量萎縮，較</w:t>
      </w:r>
      <w:r w:rsidRPr="00D55DC6">
        <w:rPr>
          <w:rFonts w:eastAsia="標楷體"/>
          <w:snapToGrid w:val="0"/>
          <w:kern w:val="0"/>
          <w:sz w:val="28"/>
          <w:szCs w:val="28"/>
        </w:rPr>
        <w:t>102</w:t>
      </w:r>
      <w:r w:rsidRPr="00D55DC6">
        <w:rPr>
          <w:rFonts w:eastAsia="標楷體"/>
          <w:snapToGrid w:val="0"/>
          <w:kern w:val="0"/>
          <w:sz w:val="28"/>
          <w:szCs w:val="28"/>
        </w:rPr>
        <w:t>減少</w:t>
      </w:r>
      <w:r w:rsidRPr="00D55DC6">
        <w:rPr>
          <w:rFonts w:eastAsia="標楷體"/>
          <w:snapToGrid w:val="0"/>
          <w:kern w:val="0"/>
          <w:sz w:val="28"/>
          <w:szCs w:val="28"/>
        </w:rPr>
        <w:t>8.68%</w:t>
      </w:r>
      <w:r w:rsidRPr="00D55DC6">
        <w:rPr>
          <w:rFonts w:eastAsia="標楷體"/>
          <w:snapToGrid w:val="0"/>
          <w:kern w:val="0"/>
          <w:sz w:val="28"/>
          <w:szCs w:val="28"/>
        </w:rPr>
        <w:t>，因此預期</w:t>
      </w:r>
      <w:r w:rsidRPr="00D55DC6">
        <w:rPr>
          <w:rFonts w:eastAsia="標楷體"/>
          <w:snapToGrid w:val="0"/>
          <w:kern w:val="0"/>
          <w:sz w:val="28"/>
          <w:szCs w:val="28"/>
        </w:rPr>
        <w:t>103</w:t>
      </w:r>
      <w:r w:rsidRPr="00D55DC6">
        <w:rPr>
          <w:rFonts w:eastAsia="標楷體"/>
          <w:snapToGrid w:val="0"/>
          <w:kern w:val="0"/>
          <w:sz w:val="28"/>
          <w:szCs w:val="28"/>
        </w:rPr>
        <w:t>年度總遊客量將因此而受影響。</w:t>
      </w:r>
    </w:p>
    <w:p w:rsidR="00986223" w:rsidRPr="00D55DC6" w:rsidRDefault="00986223" w:rsidP="00986223">
      <w:pPr>
        <w:adjustRightInd w:val="0"/>
        <w:snapToGrid w:val="0"/>
        <w:spacing w:line="460" w:lineRule="exact"/>
        <w:ind w:leftChars="236" w:left="849" w:hangingChars="101" w:hanging="283"/>
        <w:jc w:val="both"/>
        <w:rPr>
          <w:rFonts w:eastAsia="標楷體"/>
          <w:b/>
          <w:snapToGrid w:val="0"/>
          <w:kern w:val="0"/>
          <w:sz w:val="28"/>
          <w:szCs w:val="28"/>
        </w:rPr>
      </w:pPr>
      <w:r w:rsidRPr="00D55DC6">
        <w:rPr>
          <w:rFonts w:eastAsia="標楷體"/>
          <w:b/>
          <w:snapToGrid w:val="0"/>
          <w:kern w:val="0"/>
          <w:sz w:val="28"/>
          <w:szCs w:val="28"/>
        </w:rPr>
        <w:t>5.</w:t>
      </w:r>
      <w:r w:rsidRPr="00D55DC6">
        <w:rPr>
          <w:rFonts w:eastAsia="標楷體"/>
          <w:b/>
          <w:snapToGrid w:val="0"/>
          <w:kern w:val="0"/>
          <w:sz w:val="28"/>
          <w:szCs w:val="28"/>
        </w:rPr>
        <w:t>打造澎湖成為國際觀光</w:t>
      </w:r>
      <w:r w:rsidR="00EA38C5" w:rsidRPr="00D55DC6">
        <w:rPr>
          <w:rFonts w:eastAsia="標楷體"/>
          <w:b/>
          <w:snapToGrid w:val="0"/>
          <w:kern w:val="0"/>
          <w:sz w:val="28"/>
          <w:szCs w:val="28"/>
        </w:rPr>
        <w:t>度假</w:t>
      </w:r>
      <w:r w:rsidRPr="00D55DC6">
        <w:rPr>
          <w:rFonts w:eastAsia="標楷體"/>
          <w:b/>
          <w:snapToGrid w:val="0"/>
          <w:kern w:val="0"/>
          <w:sz w:val="28"/>
          <w:szCs w:val="28"/>
        </w:rPr>
        <w:t>島嶼</w:t>
      </w:r>
    </w:p>
    <w:p w:rsidR="00986223" w:rsidRPr="00D55DC6" w:rsidRDefault="00986223" w:rsidP="00986223">
      <w:pPr>
        <w:adjustRightInd w:val="0"/>
        <w:snapToGrid w:val="0"/>
        <w:spacing w:line="460" w:lineRule="exact"/>
        <w:ind w:leftChars="353" w:left="847" w:firstLine="2"/>
        <w:jc w:val="both"/>
        <w:rPr>
          <w:rFonts w:eastAsia="標楷體"/>
          <w:snapToGrid w:val="0"/>
          <w:kern w:val="0"/>
          <w:sz w:val="28"/>
          <w:szCs w:val="28"/>
        </w:rPr>
      </w:pPr>
      <w:r w:rsidRPr="00D55DC6">
        <w:rPr>
          <w:rFonts w:eastAsia="標楷體"/>
          <w:snapToGrid w:val="0"/>
          <w:kern w:val="0"/>
          <w:sz w:val="28"/>
          <w:szCs w:val="28"/>
        </w:rPr>
        <w:t>管理處將持續推動觀光服務設施建設，以及將量的提供轉向質的優化，藉以紓緩持續增長之觀光遊憩服務設施需求；並研擬規劃整合遊程方式來進行遊客量分流，避免同時段承載量負荷過大，以及導入主題遊程帶動產業發展</w:t>
      </w:r>
      <w:r w:rsidRPr="00D55DC6">
        <w:rPr>
          <w:rFonts w:eastAsia="標楷體"/>
          <w:bCs/>
          <w:snapToGrid w:val="0"/>
          <w:kern w:val="0"/>
          <w:sz w:val="28"/>
          <w:szCs w:val="28"/>
        </w:rPr>
        <w:t>，</w:t>
      </w:r>
      <w:r w:rsidRPr="00D55DC6">
        <w:rPr>
          <w:rFonts w:eastAsia="標楷體"/>
          <w:snapToGrid w:val="0"/>
          <w:kern w:val="0"/>
          <w:sz w:val="28"/>
          <w:szCs w:val="28"/>
        </w:rPr>
        <w:t>提昇淡季遊客訪澎意願，打造澎湖具有清新亮麗的整體景觀風貌、友善便利的旅遊環境、國際化優質的旅遊服務品質、碧海藍天、自然悠閒之國際觀光</w:t>
      </w:r>
      <w:r w:rsidR="00EA38C5" w:rsidRPr="00D55DC6">
        <w:rPr>
          <w:rFonts w:eastAsia="標楷體"/>
          <w:snapToGrid w:val="0"/>
          <w:kern w:val="0"/>
          <w:sz w:val="28"/>
          <w:szCs w:val="28"/>
        </w:rPr>
        <w:t>度假</w:t>
      </w:r>
      <w:r w:rsidRPr="00D55DC6">
        <w:rPr>
          <w:rFonts w:eastAsia="標楷體"/>
          <w:snapToGrid w:val="0"/>
          <w:kern w:val="0"/>
          <w:sz w:val="28"/>
          <w:szCs w:val="28"/>
        </w:rPr>
        <w:t>島嶼。</w:t>
      </w:r>
    </w:p>
    <w:p w:rsidR="00AE58E7" w:rsidRPr="00D55DC6" w:rsidRDefault="00AE58E7" w:rsidP="00986223">
      <w:pPr>
        <w:adjustRightInd w:val="0"/>
        <w:snapToGrid w:val="0"/>
        <w:spacing w:line="460" w:lineRule="exact"/>
        <w:ind w:leftChars="353" w:left="847" w:firstLine="2"/>
        <w:jc w:val="both"/>
        <w:rPr>
          <w:rFonts w:eastAsia="標楷體"/>
          <w:sz w:val="28"/>
          <w:szCs w:val="28"/>
        </w:rPr>
      </w:pPr>
    </w:p>
    <w:p w:rsidR="00986223" w:rsidRPr="00D55DC6" w:rsidRDefault="00986223" w:rsidP="004865C1">
      <w:pPr>
        <w:numPr>
          <w:ilvl w:val="0"/>
          <w:numId w:val="204"/>
        </w:numPr>
        <w:snapToGrid w:val="0"/>
        <w:spacing w:line="460" w:lineRule="exact"/>
        <w:jc w:val="both"/>
        <w:rPr>
          <w:rFonts w:eastAsia="標楷體"/>
          <w:b/>
          <w:sz w:val="28"/>
          <w:szCs w:val="28"/>
        </w:rPr>
      </w:pPr>
      <w:r w:rsidRPr="00D55DC6">
        <w:rPr>
          <w:rFonts w:eastAsia="標楷體"/>
          <w:b/>
          <w:sz w:val="28"/>
          <w:szCs w:val="28"/>
        </w:rPr>
        <w:t>社會參與及政策溝通情形</w:t>
      </w:r>
    </w:p>
    <w:p w:rsidR="00986223" w:rsidRPr="00D55DC6" w:rsidRDefault="00986223" w:rsidP="00986223">
      <w:pPr>
        <w:snapToGrid w:val="0"/>
        <w:spacing w:line="460" w:lineRule="exact"/>
        <w:ind w:leftChars="236" w:left="849" w:hangingChars="101" w:hanging="283"/>
        <w:jc w:val="both"/>
        <w:rPr>
          <w:rFonts w:eastAsia="標楷體"/>
          <w:b/>
          <w:sz w:val="28"/>
          <w:szCs w:val="28"/>
        </w:rPr>
      </w:pPr>
      <w:r w:rsidRPr="00D55DC6">
        <w:rPr>
          <w:rFonts w:eastAsia="標楷體"/>
          <w:b/>
          <w:sz w:val="28"/>
          <w:szCs w:val="28"/>
        </w:rPr>
        <w:t>1.</w:t>
      </w:r>
      <w:r w:rsidRPr="00D55DC6">
        <w:rPr>
          <w:rFonts w:eastAsia="標楷體"/>
          <w:b/>
          <w:sz w:val="28"/>
          <w:szCs w:val="28"/>
        </w:rPr>
        <w:t>澎湖離島旅遊線工作圈及產業聯盟</w:t>
      </w:r>
    </w:p>
    <w:p w:rsidR="00986223" w:rsidRPr="00D55DC6" w:rsidRDefault="00986223" w:rsidP="00986223">
      <w:pPr>
        <w:snapToGrid w:val="0"/>
        <w:spacing w:line="460" w:lineRule="exact"/>
        <w:ind w:leftChars="354" w:left="850"/>
        <w:jc w:val="both"/>
        <w:rPr>
          <w:rFonts w:eastAsia="標楷體"/>
          <w:sz w:val="28"/>
          <w:szCs w:val="28"/>
        </w:rPr>
      </w:pPr>
      <w:r w:rsidRPr="00D55DC6">
        <w:rPr>
          <w:rFonts w:eastAsia="標楷體"/>
          <w:sz w:val="28"/>
          <w:szCs w:val="28"/>
        </w:rPr>
        <w:t>管理處自</w:t>
      </w:r>
      <w:r w:rsidRPr="00D55DC6">
        <w:rPr>
          <w:rFonts w:eastAsia="標楷體"/>
          <w:sz w:val="28"/>
          <w:szCs w:val="28"/>
        </w:rPr>
        <w:t>100</w:t>
      </w:r>
      <w:r w:rsidRPr="00D55DC6">
        <w:rPr>
          <w:rFonts w:eastAsia="標楷體"/>
          <w:sz w:val="28"/>
          <w:szCs w:val="28"/>
        </w:rPr>
        <w:t>年起，邀請澎湖縣政府相關機關、鄉鎮市公所、澎湖觀光產業相關公</w:t>
      </w:r>
      <w:r w:rsidRPr="00D55DC6">
        <w:rPr>
          <w:rFonts w:eastAsia="標楷體"/>
          <w:sz w:val="28"/>
          <w:szCs w:val="28"/>
        </w:rPr>
        <w:t>(</w:t>
      </w:r>
      <w:r w:rsidRPr="00D55DC6">
        <w:rPr>
          <w:rFonts w:eastAsia="標楷體"/>
          <w:sz w:val="28"/>
          <w:szCs w:val="28"/>
        </w:rPr>
        <w:t>工</w:t>
      </w:r>
      <w:r w:rsidRPr="00D55DC6">
        <w:rPr>
          <w:rFonts w:eastAsia="標楷體"/>
          <w:sz w:val="28"/>
          <w:szCs w:val="28"/>
        </w:rPr>
        <w:t>)</w:t>
      </w:r>
      <w:r w:rsidRPr="00D55DC6">
        <w:rPr>
          <w:rFonts w:eastAsia="標楷體"/>
          <w:sz w:val="28"/>
          <w:szCs w:val="28"/>
        </w:rPr>
        <w:t>會、運輸業者，以及國立澎湖科技大學等產官學代表，定期於旅遊淡季</w:t>
      </w:r>
      <w:r w:rsidRPr="00D55DC6">
        <w:rPr>
          <w:rFonts w:eastAsia="標楷體"/>
          <w:sz w:val="28"/>
          <w:szCs w:val="28"/>
        </w:rPr>
        <w:t>(1-3</w:t>
      </w:r>
      <w:r w:rsidRPr="00D55DC6">
        <w:rPr>
          <w:rFonts w:eastAsia="標楷體"/>
          <w:sz w:val="28"/>
          <w:szCs w:val="28"/>
        </w:rPr>
        <w:t>月及</w:t>
      </w:r>
      <w:r w:rsidRPr="00D55DC6">
        <w:rPr>
          <w:rFonts w:eastAsia="標楷體"/>
          <w:sz w:val="28"/>
          <w:szCs w:val="28"/>
        </w:rPr>
        <w:t>10-12</w:t>
      </w:r>
      <w:r w:rsidRPr="00D55DC6">
        <w:rPr>
          <w:rFonts w:eastAsia="標楷體"/>
          <w:sz w:val="28"/>
          <w:szCs w:val="28"/>
        </w:rPr>
        <w:t>月</w:t>
      </w:r>
      <w:r w:rsidRPr="00D55DC6">
        <w:rPr>
          <w:rFonts w:eastAsia="標楷體"/>
          <w:sz w:val="28"/>
          <w:szCs w:val="28"/>
        </w:rPr>
        <w:t>)</w:t>
      </w:r>
      <w:r w:rsidRPr="00D55DC6">
        <w:rPr>
          <w:rFonts w:eastAsia="標楷體"/>
          <w:sz w:val="28"/>
          <w:szCs w:val="28"/>
        </w:rPr>
        <w:t>研商「推動澎湖旅遊行銷」、「年度觀光活動整合」、「提升服務品質具體策略」等議題，管理處並彙整</w:t>
      </w:r>
      <w:r w:rsidRPr="00D55DC6">
        <w:rPr>
          <w:rFonts w:eastAsia="標楷體"/>
          <w:sz w:val="28"/>
          <w:szCs w:val="28"/>
        </w:rPr>
        <w:lastRenderedPageBreak/>
        <w:t>各方意見，作為次年</w:t>
      </w:r>
      <w:r w:rsidRPr="00D55DC6">
        <w:rPr>
          <w:rFonts w:eastAsia="標楷體"/>
          <w:sz w:val="28"/>
          <w:szCs w:val="28"/>
        </w:rPr>
        <w:t>(</w:t>
      </w:r>
      <w:r w:rsidRPr="00D55DC6">
        <w:rPr>
          <w:rFonts w:eastAsia="標楷體"/>
          <w:sz w:val="28"/>
          <w:szCs w:val="28"/>
        </w:rPr>
        <w:t>或當年</w:t>
      </w:r>
      <w:r w:rsidRPr="00D55DC6">
        <w:rPr>
          <w:rFonts w:eastAsia="標楷體"/>
          <w:sz w:val="28"/>
          <w:szCs w:val="28"/>
        </w:rPr>
        <w:t>)</w:t>
      </w:r>
      <w:r w:rsidRPr="00D55DC6">
        <w:rPr>
          <w:rFonts w:eastAsia="標楷體"/>
          <w:sz w:val="28"/>
          <w:szCs w:val="28"/>
        </w:rPr>
        <w:t>推動澎湖冬季旅遊的目標與努力方針。</w:t>
      </w:r>
    </w:p>
    <w:p w:rsidR="00986223" w:rsidRPr="00D55DC6" w:rsidRDefault="00986223" w:rsidP="00986223">
      <w:pPr>
        <w:snapToGrid w:val="0"/>
        <w:spacing w:line="460" w:lineRule="exact"/>
        <w:ind w:firstLineChars="202" w:firstLine="566"/>
        <w:jc w:val="both"/>
        <w:rPr>
          <w:rFonts w:eastAsia="標楷體"/>
          <w:b/>
          <w:sz w:val="28"/>
          <w:szCs w:val="28"/>
        </w:rPr>
      </w:pPr>
      <w:r w:rsidRPr="00D55DC6">
        <w:rPr>
          <w:rFonts w:eastAsia="標楷體"/>
          <w:b/>
          <w:sz w:val="28"/>
          <w:szCs w:val="28"/>
        </w:rPr>
        <w:t>2.</w:t>
      </w:r>
      <w:r w:rsidRPr="00D55DC6">
        <w:rPr>
          <w:rFonts w:eastAsia="標楷體"/>
          <w:b/>
          <w:snapToGrid w:val="0"/>
          <w:kern w:val="0"/>
          <w:sz w:val="28"/>
          <w:szCs w:val="28"/>
        </w:rPr>
        <w:t>交通部駐澎所屬機關觀光協商平台</w:t>
      </w:r>
    </w:p>
    <w:p w:rsidR="00986223" w:rsidRPr="00D55DC6" w:rsidRDefault="00986223" w:rsidP="00986223">
      <w:pPr>
        <w:snapToGrid w:val="0"/>
        <w:spacing w:line="460" w:lineRule="exact"/>
        <w:ind w:leftChars="354" w:left="850"/>
        <w:jc w:val="both"/>
        <w:rPr>
          <w:rFonts w:eastAsia="標楷體"/>
          <w:snapToGrid w:val="0"/>
          <w:kern w:val="0"/>
          <w:sz w:val="28"/>
          <w:szCs w:val="28"/>
        </w:rPr>
      </w:pPr>
      <w:r w:rsidRPr="00D55DC6">
        <w:rPr>
          <w:rFonts w:eastAsia="標楷體"/>
          <w:sz w:val="28"/>
          <w:szCs w:val="28"/>
        </w:rPr>
        <w:t>管理處於</w:t>
      </w:r>
      <w:r w:rsidRPr="00D55DC6">
        <w:rPr>
          <w:rFonts w:eastAsia="標楷體"/>
          <w:sz w:val="28"/>
          <w:szCs w:val="28"/>
        </w:rPr>
        <w:t>103</w:t>
      </w:r>
      <w:r w:rsidRPr="00D55DC6">
        <w:rPr>
          <w:rFonts w:eastAsia="標楷體"/>
          <w:sz w:val="28"/>
          <w:szCs w:val="28"/>
        </w:rPr>
        <w:t>年</w:t>
      </w:r>
      <w:r w:rsidRPr="00D55DC6">
        <w:rPr>
          <w:rFonts w:eastAsia="標楷體"/>
          <w:sz w:val="28"/>
          <w:szCs w:val="28"/>
        </w:rPr>
        <w:t>8</w:t>
      </w:r>
      <w:r w:rsidRPr="00D55DC6">
        <w:rPr>
          <w:rFonts w:eastAsia="標楷體"/>
          <w:sz w:val="28"/>
          <w:szCs w:val="28"/>
        </w:rPr>
        <w:t>月</w:t>
      </w:r>
      <w:r w:rsidRPr="00D55DC6">
        <w:rPr>
          <w:rFonts w:eastAsia="標楷體"/>
          <w:sz w:val="28"/>
          <w:szCs w:val="28"/>
        </w:rPr>
        <w:t>26</w:t>
      </w:r>
      <w:r w:rsidRPr="00D55DC6">
        <w:rPr>
          <w:rFonts w:eastAsia="標楷體"/>
          <w:sz w:val="28"/>
          <w:szCs w:val="28"/>
        </w:rPr>
        <w:t>日召開第一次「</w:t>
      </w:r>
      <w:r w:rsidRPr="00D55DC6">
        <w:rPr>
          <w:rFonts w:eastAsia="標楷體"/>
          <w:snapToGrid w:val="0"/>
          <w:kern w:val="0"/>
          <w:sz w:val="28"/>
          <w:szCs w:val="28"/>
        </w:rPr>
        <w:t>交通部駐澎所屬機關觀光協商平台」會議，研商包括海空運輸航班、汽機車租賃、導引設施、郵輪觀光、燈塔觀光等部屬機關權管之觀光課題，作為部屬駐澎機關橫向溝通管道，爾後並將定期輪流召開，藉以強化並暢通橫向溝通管道。</w:t>
      </w:r>
    </w:p>
    <w:p w:rsidR="00986223" w:rsidRPr="00D55DC6" w:rsidRDefault="00986223" w:rsidP="00986223">
      <w:pPr>
        <w:snapToGrid w:val="0"/>
        <w:spacing w:line="460" w:lineRule="exact"/>
        <w:ind w:leftChars="354" w:left="850"/>
        <w:jc w:val="both"/>
        <w:rPr>
          <w:rFonts w:eastAsia="標楷體"/>
          <w:sz w:val="28"/>
          <w:szCs w:val="28"/>
        </w:rPr>
      </w:pPr>
    </w:p>
    <w:p w:rsidR="00FB3FB3" w:rsidRPr="00D55DC6" w:rsidRDefault="00FB3FB3" w:rsidP="00986223">
      <w:pPr>
        <w:snapToGrid w:val="0"/>
        <w:spacing w:line="460" w:lineRule="exact"/>
        <w:ind w:leftChars="354" w:left="850"/>
        <w:jc w:val="both"/>
        <w:rPr>
          <w:rFonts w:eastAsia="標楷體"/>
          <w:sz w:val="28"/>
          <w:szCs w:val="28"/>
        </w:rPr>
      </w:pPr>
    </w:p>
    <w:p w:rsidR="00986223" w:rsidRPr="00D55DC6" w:rsidRDefault="00986223" w:rsidP="00986223">
      <w:pPr>
        <w:numPr>
          <w:ilvl w:val="0"/>
          <w:numId w:val="1"/>
        </w:numPr>
        <w:snapToGrid w:val="0"/>
        <w:spacing w:line="460" w:lineRule="exact"/>
        <w:ind w:left="709" w:hanging="709"/>
        <w:jc w:val="both"/>
        <w:rPr>
          <w:rFonts w:eastAsia="標楷體"/>
          <w:b/>
          <w:sz w:val="28"/>
          <w:szCs w:val="28"/>
        </w:rPr>
      </w:pPr>
      <w:r w:rsidRPr="00D55DC6">
        <w:rPr>
          <w:rFonts w:eastAsia="標楷體"/>
          <w:b/>
          <w:sz w:val="28"/>
          <w:szCs w:val="28"/>
        </w:rPr>
        <w:t>計畫目標</w:t>
      </w:r>
    </w:p>
    <w:p w:rsidR="00986223" w:rsidRPr="00D55DC6" w:rsidRDefault="00986223" w:rsidP="004865C1">
      <w:pPr>
        <w:numPr>
          <w:ilvl w:val="0"/>
          <w:numId w:val="205"/>
        </w:numPr>
        <w:snapToGrid w:val="0"/>
        <w:spacing w:line="460" w:lineRule="exact"/>
        <w:jc w:val="both"/>
        <w:rPr>
          <w:rFonts w:eastAsia="標楷體"/>
          <w:b/>
          <w:sz w:val="28"/>
          <w:szCs w:val="28"/>
        </w:rPr>
      </w:pPr>
      <w:r w:rsidRPr="00D55DC6">
        <w:rPr>
          <w:rFonts w:eastAsia="標楷體"/>
          <w:b/>
          <w:sz w:val="28"/>
          <w:szCs w:val="28"/>
        </w:rPr>
        <w:t>目標說明</w:t>
      </w:r>
    </w:p>
    <w:p w:rsidR="00986223" w:rsidRPr="00D55DC6" w:rsidRDefault="00986223" w:rsidP="00986223">
      <w:pPr>
        <w:snapToGrid w:val="0"/>
        <w:spacing w:line="460" w:lineRule="exact"/>
        <w:ind w:leftChars="236" w:left="849" w:hangingChars="101" w:hanging="283"/>
        <w:jc w:val="both"/>
        <w:rPr>
          <w:rFonts w:eastAsia="標楷體"/>
          <w:snapToGrid w:val="0"/>
          <w:kern w:val="0"/>
          <w:sz w:val="28"/>
          <w:szCs w:val="28"/>
        </w:rPr>
      </w:pPr>
      <w:r w:rsidRPr="00D55DC6">
        <w:rPr>
          <w:rFonts w:eastAsia="標楷體"/>
          <w:snapToGrid w:val="0"/>
          <w:kern w:val="0"/>
          <w:sz w:val="28"/>
          <w:szCs w:val="28"/>
        </w:rPr>
        <w:t>1.</w:t>
      </w:r>
      <w:r w:rsidRPr="00D55DC6">
        <w:rPr>
          <w:rFonts w:eastAsia="標楷體"/>
          <w:snapToGrid w:val="0"/>
          <w:kern w:val="0"/>
          <w:sz w:val="28"/>
          <w:szCs w:val="28"/>
        </w:rPr>
        <w:t>運用傳統歷史文化與軍事史蹟、島嶼地景及海陸生態資源，發展澎湖為「世界最美麗海灣」之國際觀光</w:t>
      </w:r>
      <w:r w:rsidR="00EA38C5" w:rsidRPr="00D55DC6">
        <w:rPr>
          <w:rFonts w:eastAsia="標楷體"/>
          <w:snapToGrid w:val="0"/>
          <w:kern w:val="0"/>
          <w:sz w:val="28"/>
          <w:szCs w:val="28"/>
        </w:rPr>
        <w:t>度假</w:t>
      </w:r>
      <w:r w:rsidRPr="00D55DC6">
        <w:rPr>
          <w:rFonts w:eastAsia="標楷體"/>
          <w:snapToGrid w:val="0"/>
          <w:kern w:val="0"/>
          <w:sz w:val="28"/>
          <w:szCs w:val="28"/>
        </w:rPr>
        <w:t>島嶼。</w:t>
      </w:r>
    </w:p>
    <w:p w:rsidR="00986223" w:rsidRPr="00D55DC6" w:rsidRDefault="00986223" w:rsidP="00986223">
      <w:pPr>
        <w:snapToGrid w:val="0"/>
        <w:spacing w:line="460" w:lineRule="exact"/>
        <w:ind w:leftChars="236" w:left="849" w:hangingChars="101" w:hanging="283"/>
        <w:jc w:val="both"/>
        <w:rPr>
          <w:rFonts w:eastAsia="標楷體"/>
          <w:snapToGrid w:val="0"/>
          <w:kern w:val="0"/>
          <w:sz w:val="28"/>
          <w:szCs w:val="28"/>
        </w:rPr>
      </w:pPr>
      <w:r w:rsidRPr="00D55DC6">
        <w:rPr>
          <w:rFonts w:eastAsia="標楷體"/>
          <w:snapToGrid w:val="0"/>
          <w:kern w:val="0"/>
          <w:sz w:val="28"/>
          <w:szCs w:val="28"/>
        </w:rPr>
        <w:t>2.</w:t>
      </w:r>
      <w:r w:rsidRPr="00D55DC6">
        <w:rPr>
          <w:rFonts w:eastAsia="標楷體"/>
          <w:snapToGrid w:val="0"/>
          <w:kern w:val="0"/>
          <w:sz w:val="28"/>
          <w:szCs w:val="28"/>
        </w:rPr>
        <w:t>依據</w:t>
      </w:r>
      <w:r w:rsidRPr="00D55DC6">
        <w:rPr>
          <w:rFonts w:eastAsia="標楷體"/>
          <w:snapToGrid w:val="0"/>
          <w:kern w:val="0"/>
          <w:sz w:val="28"/>
          <w:szCs w:val="28"/>
        </w:rPr>
        <w:t>99</w:t>
      </w:r>
      <w:r w:rsidRPr="00D55DC6">
        <w:rPr>
          <w:rFonts w:eastAsia="標楷體"/>
          <w:snapToGrid w:val="0"/>
          <w:kern w:val="0"/>
          <w:sz w:val="28"/>
          <w:szCs w:val="28"/>
        </w:rPr>
        <w:t>至</w:t>
      </w:r>
      <w:r w:rsidRPr="00D55DC6">
        <w:rPr>
          <w:rFonts w:eastAsia="標楷體"/>
          <w:snapToGrid w:val="0"/>
          <w:kern w:val="0"/>
          <w:sz w:val="28"/>
          <w:szCs w:val="28"/>
        </w:rPr>
        <w:t>102</w:t>
      </w:r>
      <w:r w:rsidRPr="00D55DC6">
        <w:rPr>
          <w:rFonts w:eastAsia="標楷體"/>
          <w:snapToGrid w:val="0"/>
          <w:kern w:val="0"/>
          <w:sz w:val="28"/>
          <w:szCs w:val="28"/>
        </w:rPr>
        <w:t>年澎湖國家風景區遊客量調查，遊客於</w:t>
      </w:r>
      <w:r w:rsidRPr="00D55DC6">
        <w:rPr>
          <w:rFonts w:eastAsia="標楷體"/>
          <w:snapToGrid w:val="0"/>
          <w:kern w:val="0"/>
          <w:sz w:val="28"/>
          <w:szCs w:val="28"/>
        </w:rPr>
        <w:t>99</w:t>
      </w:r>
      <w:r w:rsidRPr="00D55DC6">
        <w:rPr>
          <w:rFonts w:eastAsia="標楷體"/>
          <w:snapToGrid w:val="0"/>
          <w:kern w:val="0"/>
          <w:sz w:val="28"/>
          <w:szCs w:val="28"/>
        </w:rPr>
        <w:t>至</w:t>
      </w:r>
      <w:r w:rsidRPr="00D55DC6">
        <w:rPr>
          <w:rFonts w:eastAsia="標楷體"/>
          <w:snapToGrid w:val="0"/>
          <w:kern w:val="0"/>
          <w:sz w:val="28"/>
          <w:szCs w:val="28"/>
        </w:rPr>
        <w:t>102</w:t>
      </w:r>
      <w:r w:rsidRPr="00D55DC6">
        <w:rPr>
          <w:rFonts w:eastAsia="標楷體"/>
          <w:snapToGrid w:val="0"/>
          <w:kern w:val="0"/>
          <w:sz w:val="28"/>
          <w:szCs w:val="28"/>
        </w:rPr>
        <w:t>年皆為正成長，由於</w:t>
      </w:r>
      <w:r w:rsidRPr="00D55DC6">
        <w:rPr>
          <w:rFonts w:eastAsia="標楷體"/>
          <w:snapToGrid w:val="0"/>
          <w:kern w:val="0"/>
          <w:sz w:val="28"/>
          <w:szCs w:val="28"/>
        </w:rPr>
        <w:t>103</w:t>
      </w:r>
      <w:r w:rsidRPr="00D55DC6">
        <w:rPr>
          <w:rFonts w:eastAsia="標楷體"/>
          <w:snapToGrid w:val="0"/>
          <w:kern w:val="0"/>
          <w:sz w:val="28"/>
          <w:szCs w:val="28"/>
        </w:rPr>
        <w:t>年受到復興航空</w:t>
      </w:r>
      <w:r w:rsidRPr="00D55DC6">
        <w:rPr>
          <w:rFonts w:eastAsia="標楷體"/>
          <w:snapToGrid w:val="0"/>
          <w:kern w:val="0"/>
          <w:sz w:val="28"/>
          <w:szCs w:val="28"/>
        </w:rPr>
        <w:t>723</w:t>
      </w:r>
      <w:r w:rsidRPr="00D55DC6">
        <w:rPr>
          <w:rFonts w:eastAsia="標楷體"/>
          <w:snapToGrid w:val="0"/>
          <w:kern w:val="0"/>
          <w:sz w:val="28"/>
          <w:szCs w:val="28"/>
        </w:rPr>
        <w:t>空難事故及高雄</w:t>
      </w:r>
      <w:r w:rsidRPr="00D55DC6">
        <w:rPr>
          <w:rFonts w:eastAsia="標楷體"/>
          <w:snapToGrid w:val="0"/>
          <w:kern w:val="0"/>
          <w:sz w:val="28"/>
          <w:szCs w:val="28"/>
        </w:rPr>
        <w:t>81</w:t>
      </w:r>
      <w:r w:rsidRPr="00D55DC6">
        <w:rPr>
          <w:rFonts w:eastAsia="標楷體"/>
          <w:snapToGrid w:val="0"/>
          <w:kern w:val="0"/>
          <w:sz w:val="28"/>
          <w:szCs w:val="28"/>
        </w:rPr>
        <w:t>氣爆事件之影響，</w:t>
      </w:r>
      <w:r w:rsidRPr="00D55DC6">
        <w:rPr>
          <w:rFonts w:eastAsia="標楷體"/>
          <w:snapToGrid w:val="0"/>
          <w:kern w:val="0"/>
          <w:sz w:val="28"/>
          <w:szCs w:val="28"/>
        </w:rPr>
        <w:t>8</w:t>
      </w:r>
      <w:r w:rsidRPr="00D55DC6">
        <w:rPr>
          <w:rFonts w:eastAsia="標楷體"/>
          <w:snapToGrid w:val="0"/>
          <w:kern w:val="0"/>
          <w:sz w:val="28"/>
          <w:szCs w:val="28"/>
        </w:rPr>
        <w:t>月及</w:t>
      </w:r>
      <w:r w:rsidRPr="00D55DC6">
        <w:rPr>
          <w:rFonts w:eastAsia="標楷體"/>
          <w:snapToGrid w:val="0"/>
          <w:kern w:val="0"/>
          <w:sz w:val="28"/>
          <w:szCs w:val="28"/>
        </w:rPr>
        <w:t>9</w:t>
      </w:r>
      <w:r w:rsidRPr="00D55DC6">
        <w:rPr>
          <w:rFonts w:eastAsia="標楷體"/>
          <w:snapToGrid w:val="0"/>
          <w:kern w:val="0"/>
          <w:sz w:val="28"/>
          <w:szCs w:val="28"/>
        </w:rPr>
        <w:t>月之遊客量萎縮，較</w:t>
      </w:r>
      <w:r w:rsidRPr="00D55DC6">
        <w:rPr>
          <w:rFonts w:eastAsia="標楷體"/>
          <w:snapToGrid w:val="0"/>
          <w:kern w:val="0"/>
          <w:sz w:val="28"/>
          <w:szCs w:val="28"/>
        </w:rPr>
        <w:t>102</w:t>
      </w:r>
      <w:r w:rsidRPr="00D55DC6">
        <w:rPr>
          <w:rFonts w:eastAsia="標楷體"/>
          <w:snapToGrid w:val="0"/>
          <w:kern w:val="0"/>
          <w:sz w:val="28"/>
          <w:szCs w:val="28"/>
        </w:rPr>
        <w:t>減少</w:t>
      </w:r>
      <w:r w:rsidRPr="00D55DC6">
        <w:rPr>
          <w:rFonts w:eastAsia="標楷體"/>
          <w:snapToGrid w:val="0"/>
          <w:kern w:val="0"/>
          <w:sz w:val="28"/>
          <w:szCs w:val="28"/>
        </w:rPr>
        <w:t>8.68%</w:t>
      </w:r>
      <w:r w:rsidRPr="00D55DC6">
        <w:rPr>
          <w:rFonts w:eastAsia="標楷體"/>
          <w:snapToGrid w:val="0"/>
          <w:kern w:val="0"/>
          <w:sz w:val="28"/>
          <w:szCs w:val="28"/>
        </w:rPr>
        <w:t>，因此預期</w:t>
      </w:r>
      <w:r w:rsidRPr="00D55DC6">
        <w:rPr>
          <w:rFonts w:eastAsia="標楷體"/>
          <w:snapToGrid w:val="0"/>
          <w:kern w:val="0"/>
          <w:sz w:val="28"/>
          <w:szCs w:val="28"/>
        </w:rPr>
        <w:t>103</w:t>
      </w:r>
      <w:r w:rsidRPr="00D55DC6">
        <w:rPr>
          <w:rFonts w:eastAsia="標楷體"/>
          <w:snapToGrid w:val="0"/>
          <w:kern w:val="0"/>
          <w:sz w:val="28"/>
          <w:szCs w:val="28"/>
        </w:rPr>
        <w:t>年度總遊客量將因此而減少，且針對遊客訪澎意願可能需要長時間恢復信心，故本期遊客人次預期目標值訂定，由</w:t>
      </w:r>
      <w:r w:rsidRPr="00D55DC6">
        <w:rPr>
          <w:rFonts w:eastAsia="標楷體"/>
          <w:snapToGrid w:val="0"/>
          <w:kern w:val="0"/>
          <w:sz w:val="28"/>
          <w:szCs w:val="28"/>
        </w:rPr>
        <w:t>105</w:t>
      </w:r>
      <w:r w:rsidRPr="00D55DC6">
        <w:rPr>
          <w:rFonts w:eastAsia="標楷體"/>
          <w:snapToGrid w:val="0"/>
          <w:kern w:val="0"/>
          <w:sz w:val="28"/>
          <w:szCs w:val="28"/>
        </w:rPr>
        <w:t>年</w:t>
      </w:r>
      <w:r w:rsidRPr="00D55DC6">
        <w:rPr>
          <w:rFonts w:eastAsia="標楷體"/>
          <w:snapToGrid w:val="0"/>
          <w:kern w:val="0"/>
          <w:sz w:val="28"/>
          <w:szCs w:val="28"/>
        </w:rPr>
        <w:t>77.4</w:t>
      </w:r>
      <w:r w:rsidRPr="00D55DC6">
        <w:rPr>
          <w:rFonts w:eastAsia="標楷體"/>
          <w:snapToGrid w:val="0"/>
          <w:kern w:val="0"/>
          <w:sz w:val="28"/>
          <w:szCs w:val="28"/>
        </w:rPr>
        <w:t>萬人次提升至</w:t>
      </w:r>
      <w:r w:rsidRPr="00D55DC6">
        <w:rPr>
          <w:rFonts w:eastAsia="標楷體"/>
          <w:snapToGrid w:val="0"/>
          <w:kern w:val="0"/>
          <w:sz w:val="28"/>
          <w:szCs w:val="28"/>
        </w:rPr>
        <w:t>108</w:t>
      </w:r>
      <w:r w:rsidRPr="00D55DC6">
        <w:rPr>
          <w:rFonts w:eastAsia="標楷體"/>
          <w:snapToGrid w:val="0"/>
          <w:kern w:val="0"/>
          <w:sz w:val="28"/>
          <w:szCs w:val="28"/>
        </w:rPr>
        <w:t>年</w:t>
      </w:r>
      <w:r w:rsidRPr="00D55DC6">
        <w:rPr>
          <w:rFonts w:eastAsia="標楷體"/>
          <w:snapToGrid w:val="0"/>
          <w:kern w:val="0"/>
          <w:sz w:val="28"/>
          <w:szCs w:val="28"/>
        </w:rPr>
        <w:t>85.3</w:t>
      </w:r>
      <w:r w:rsidRPr="00D55DC6">
        <w:rPr>
          <w:rFonts w:eastAsia="標楷體"/>
          <w:snapToGrid w:val="0"/>
          <w:kern w:val="0"/>
          <w:sz w:val="28"/>
          <w:szCs w:val="28"/>
        </w:rPr>
        <w:t>萬人次。</w:t>
      </w:r>
    </w:p>
    <w:p w:rsidR="00986223" w:rsidRPr="00D55DC6" w:rsidRDefault="00986223" w:rsidP="00986223">
      <w:pPr>
        <w:snapToGrid w:val="0"/>
        <w:spacing w:line="460" w:lineRule="exact"/>
        <w:ind w:leftChars="236" w:left="849" w:hangingChars="101" w:hanging="283"/>
        <w:jc w:val="both"/>
        <w:rPr>
          <w:rFonts w:eastAsia="標楷體"/>
          <w:snapToGrid w:val="0"/>
          <w:kern w:val="0"/>
          <w:sz w:val="28"/>
          <w:szCs w:val="28"/>
        </w:rPr>
      </w:pPr>
      <w:r w:rsidRPr="00D55DC6">
        <w:rPr>
          <w:rFonts w:eastAsia="標楷體"/>
          <w:snapToGrid w:val="0"/>
          <w:kern w:val="0"/>
          <w:sz w:val="28"/>
          <w:szCs w:val="28"/>
        </w:rPr>
        <w:t>3.</w:t>
      </w:r>
      <w:r w:rsidRPr="00D55DC6">
        <w:rPr>
          <w:rFonts w:eastAsia="標楷體"/>
          <w:snapToGrid w:val="0"/>
          <w:kern w:val="0"/>
          <w:sz w:val="28"/>
          <w:szCs w:val="28"/>
        </w:rPr>
        <w:t>推動經管場域環保運動，配合設置節能設施</w:t>
      </w:r>
      <w:r w:rsidRPr="00D55DC6">
        <w:rPr>
          <w:rFonts w:eastAsia="標楷體"/>
          <w:snapToGrid w:val="0"/>
          <w:kern w:val="0"/>
          <w:sz w:val="28"/>
          <w:szCs w:val="28"/>
        </w:rPr>
        <w:t>(</w:t>
      </w:r>
      <w:r w:rsidRPr="00D55DC6">
        <w:rPr>
          <w:rFonts w:eastAsia="標楷體"/>
          <w:snapToGrid w:val="0"/>
          <w:kern w:val="0"/>
          <w:sz w:val="28"/>
          <w:szCs w:val="28"/>
        </w:rPr>
        <w:t>例如</w:t>
      </w:r>
      <w:r w:rsidRPr="00D55DC6">
        <w:rPr>
          <w:rFonts w:eastAsia="標楷體"/>
          <w:snapToGrid w:val="0"/>
          <w:kern w:val="0"/>
          <w:sz w:val="28"/>
          <w:szCs w:val="28"/>
        </w:rPr>
        <w:t>LED</w:t>
      </w:r>
      <w:r w:rsidRPr="00D55DC6">
        <w:rPr>
          <w:rFonts w:eastAsia="標楷體"/>
          <w:snapToGrid w:val="0"/>
          <w:kern w:val="0"/>
          <w:sz w:val="28"/>
          <w:szCs w:val="28"/>
        </w:rPr>
        <w:t>燈具、節電裝置、灑水降溫設備</w:t>
      </w:r>
      <w:r w:rsidRPr="00D55DC6">
        <w:rPr>
          <w:rFonts w:eastAsia="標楷體"/>
          <w:snapToGrid w:val="0"/>
          <w:kern w:val="0"/>
          <w:sz w:val="28"/>
          <w:szCs w:val="28"/>
        </w:rPr>
        <w:t>…</w:t>
      </w:r>
      <w:r w:rsidRPr="00D55DC6">
        <w:rPr>
          <w:rFonts w:eastAsia="標楷體"/>
          <w:snapToGrid w:val="0"/>
          <w:kern w:val="0"/>
          <w:sz w:val="28"/>
          <w:szCs w:val="28"/>
        </w:rPr>
        <w:t>等</w:t>
      </w:r>
      <w:r w:rsidRPr="00D55DC6">
        <w:rPr>
          <w:rFonts w:eastAsia="標楷體"/>
          <w:snapToGrid w:val="0"/>
          <w:kern w:val="0"/>
          <w:sz w:val="28"/>
          <w:szCs w:val="28"/>
        </w:rPr>
        <w:t>)</w:t>
      </w:r>
      <w:r w:rsidRPr="00D55DC6">
        <w:rPr>
          <w:rFonts w:eastAsia="標楷體"/>
          <w:snapToGrid w:val="0"/>
          <w:kern w:val="0"/>
          <w:sz w:val="28"/>
          <w:szCs w:val="28"/>
        </w:rPr>
        <w:t>及節能宣導，減少用電需求，達到節約能源、永續經營，以及澎湖成為低碳島之政策目標。</w:t>
      </w:r>
    </w:p>
    <w:p w:rsidR="00986223" w:rsidRPr="00D55DC6" w:rsidRDefault="00986223" w:rsidP="004865C1">
      <w:pPr>
        <w:numPr>
          <w:ilvl w:val="0"/>
          <w:numId w:val="205"/>
        </w:numPr>
        <w:snapToGrid w:val="0"/>
        <w:spacing w:line="460" w:lineRule="exact"/>
        <w:jc w:val="both"/>
        <w:rPr>
          <w:rFonts w:eastAsia="標楷體"/>
          <w:b/>
          <w:sz w:val="28"/>
          <w:szCs w:val="28"/>
        </w:rPr>
      </w:pPr>
      <w:r w:rsidRPr="00D55DC6">
        <w:rPr>
          <w:rFonts w:eastAsia="標楷體"/>
          <w:b/>
          <w:sz w:val="28"/>
          <w:szCs w:val="28"/>
        </w:rPr>
        <w:t>達成目標之限制</w:t>
      </w:r>
    </w:p>
    <w:p w:rsidR="00986223" w:rsidRPr="00D55DC6" w:rsidRDefault="00986223" w:rsidP="00986223">
      <w:pPr>
        <w:snapToGrid w:val="0"/>
        <w:spacing w:line="460" w:lineRule="exact"/>
        <w:ind w:leftChars="236" w:left="846" w:hangingChars="100" w:hanging="280"/>
        <w:jc w:val="both"/>
        <w:rPr>
          <w:rFonts w:eastAsia="標楷體"/>
          <w:sz w:val="28"/>
          <w:szCs w:val="28"/>
        </w:rPr>
      </w:pPr>
      <w:r w:rsidRPr="00D55DC6">
        <w:rPr>
          <w:rFonts w:eastAsia="標楷體"/>
          <w:sz w:val="28"/>
          <w:szCs w:val="28"/>
        </w:rPr>
        <w:t>1.</w:t>
      </w:r>
      <w:r w:rsidRPr="00D55DC6">
        <w:rPr>
          <w:rFonts w:eastAsia="標楷體"/>
          <w:sz w:val="28"/>
          <w:szCs w:val="28"/>
        </w:rPr>
        <w:t>澎湖國家風景區遊客人次，易受自然地理環境及特殊事件等因素影響，致觀光發展受限，因此對於達成目標期望值有一定之困難度，需持續配合觀光整體行銷以促進遊客訪澎意願，達成景點投資加值效果。</w:t>
      </w:r>
    </w:p>
    <w:p w:rsidR="00986223" w:rsidRPr="00D55DC6" w:rsidRDefault="00986223" w:rsidP="00986223">
      <w:pPr>
        <w:snapToGrid w:val="0"/>
        <w:spacing w:line="460" w:lineRule="exact"/>
        <w:ind w:leftChars="236" w:left="846" w:hangingChars="100" w:hanging="280"/>
        <w:jc w:val="both"/>
        <w:rPr>
          <w:rFonts w:eastAsia="標楷體"/>
          <w:sz w:val="28"/>
          <w:szCs w:val="28"/>
        </w:rPr>
      </w:pPr>
      <w:r w:rsidRPr="00D55DC6">
        <w:rPr>
          <w:rFonts w:eastAsia="標楷體"/>
          <w:sz w:val="28"/>
          <w:szCs w:val="28"/>
        </w:rPr>
        <w:t>2.</w:t>
      </w:r>
      <w:r w:rsidRPr="00D55DC6">
        <w:rPr>
          <w:rFonts w:eastAsia="標楷體"/>
          <w:sz w:val="28"/>
          <w:szCs w:val="28"/>
        </w:rPr>
        <w:t>因澎湖國家風景特定區管轄範圍廣大，另外澎湖旅遊旺季氣候高溫悶熱，受到極端氣候影響，以及旺季遊客眾多，用電需求量大，需透過與觀光業者合作加強節能宣導，達成用電減量目標。</w:t>
      </w:r>
    </w:p>
    <w:p w:rsidR="00986223" w:rsidRPr="00D55DC6" w:rsidRDefault="00986223" w:rsidP="00986223">
      <w:pPr>
        <w:snapToGrid w:val="0"/>
        <w:spacing w:line="460" w:lineRule="exact"/>
        <w:ind w:leftChars="236" w:left="846" w:hangingChars="100" w:hanging="280"/>
        <w:jc w:val="both"/>
        <w:rPr>
          <w:rFonts w:eastAsia="標楷體"/>
          <w:sz w:val="28"/>
          <w:szCs w:val="28"/>
        </w:rPr>
      </w:pPr>
    </w:p>
    <w:p w:rsidR="00986223" w:rsidRPr="00D55DC6" w:rsidRDefault="00986223" w:rsidP="004865C1">
      <w:pPr>
        <w:numPr>
          <w:ilvl w:val="0"/>
          <w:numId w:val="205"/>
        </w:numPr>
        <w:snapToGrid w:val="0"/>
        <w:spacing w:line="460" w:lineRule="exact"/>
        <w:jc w:val="both"/>
        <w:rPr>
          <w:rFonts w:eastAsia="標楷體"/>
          <w:b/>
          <w:sz w:val="28"/>
          <w:szCs w:val="28"/>
        </w:rPr>
      </w:pPr>
      <w:r w:rsidRPr="00D55DC6">
        <w:rPr>
          <w:rFonts w:eastAsia="標楷體"/>
          <w:b/>
          <w:sz w:val="28"/>
          <w:szCs w:val="28"/>
        </w:rPr>
        <w:lastRenderedPageBreak/>
        <w:t>績效指標、衡量標準及目標值</w:t>
      </w:r>
    </w:p>
    <w:tbl>
      <w:tblPr>
        <w:tblW w:w="921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3402"/>
        <w:gridCol w:w="850"/>
        <w:gridCol w:w="992"/>
        <w:gridCol w:w="886"/>
        <w:gridCol w:w="886"/>
        <w:gridCol w:w="886"/>
        <w:gridCol w:w="886"/>
      </w:tblGrid>
      <w:tr w:rsidR="001D0350" w:rsidRPr="00D55DC6" w:rsidTr="00986223">
        <w:trPr>
          <w:trHeight w:val="345"/>
          <w:tblHeader/>
        </w:trPr>
        <w:tc>
          <w:tcPr>
            <w:tcW w:w="426" w:type="dxa"/>
            <w:vMerge w:val="restart"/>
          </w:tcPr>
          <w:p w:rsidR="00986223" w:rsidRPr="00D55DC6" w:rsidRDefault="00986223" w:rsidP="00986223">
            <w:pPr>
              <w:widowControl/>
              <w:snapToGrid w:val="0"/>
              <w:jc w:val="center"/>
              <w:rPr>
                <w:rFonts w:eastAsia="標楷體"/>
                <w:kern w:val="0"/>
                <w:sz w:val="28"/>
                <w:szCs w:val="28"/>
              </w:rPr>
            </w:pPr>
            <w:r w:rsidRPr="00D55DC6">
              <w:rPr>
                <w:rFonts w:eastAsia="標楷體"/>
                <w:kern w:val="0"/>
                <w:sz w:val="28"/>
                <w:szCs w:val="28"/>
              </w:rPr>
              <w:t>項目</w:t>
            </w:r>
          </w:p>
        </w:tc>
        <w:tc>
          <w:tcPr>
            <w:tcW w:w="3402" w:type="dxa"/>
            <w:vMerge w:val="restart"/>
            <w:vAlign w:val="center"/>
          </w:tcPr>
          <w:p w:rsidR="00986223" w:rsidRPr="00D55DC6" w:rsidRDefault="00986223" w:rsidP="00986223">
            <w:pPr>
              <w:widowControl/>
              <w:snapToGrid w:val="0"/>
              <w:jc w:val="center"/>
              <w:rPr>
                <w:rFonts w:eastAsia="標楷體"/>
                <w:kern w:val="0"/>
                <w:sz w:val="28"/>
                <w:szCs w:val="28"/>
              </w:rPr>
            </w:pPr>
            <w:r w:rsidRPr="00D55DC6">
              <w:rPr>
                <w:rFonts w:eastAsia="標楷體"/>
                <w:kern w:val="0"/>
                <w:sz w:val="28"/>
                <w:szCs w:val="28"/>
              </w:rPr>
              <w:t>衡量指標</w:t>
            </w:r>
          </w:p>
        </w:tc>
        <w:tc>
          <w:tcPr>
            <w:tcW w:w="1842" w:type="dxa"/>
            <w:gridSpan w:val="2"/>
          </w:tcPr>
          <w:p w:rsidR="00986223" w:rsidRPr="00D55DC6" w:rsidRDefault="00986223" w:rsidP="00986223">
            <w:pPr>
              <w:widowControl/>
              <w:snapToGrid w:val="0"/>
              <w:jc w:val="center"/>
              <w:rPr>
                <w:rFonts w:eastAsia="標楷體"/>
                <w:kern w:val="0"/>
                <w:sz w:val="28"/>
                <w:szCs w:val="28"/>
              </w:rPr>
            </w:pPr>
            <w:r w:rsidRPr="00D55DC6">
              <w:rPr>
                <w:rFonts w:eastAsia="標楷體"/>
                <w:kern w:val="0"/>
                <w:sz w:val="28"/>
                <w:szCs w:val="28"/>
              </w:rPr>
              <w:t>衡量基準</w:t>
            </w:r>
          </w:p>
        </w:tc>
        <w:tc>
          <w:tcPr>
            <w:tcW w:w="3544" w:type="dxa"/>
            <w:gridSpan w:val="4"/>
          </w:tcPr>
          <w:p w:rsidR="00986223" w:rsidRPr="00D55DC6" w:rsidRDefault="00986223" w:rsidP="00986223">
            <w:pPr>
              <w:widowControl/>
              <w:snapToGrid w:val="0"/>
              <w:jc w:val="center"/>
              <w:rPr>
                <w:rFonts w:eastAsia="標楷體"/>
                <w:kern w:val="0"/>
                <w:sz w:val="28"/>
                <w:szCs w:val="28"/>
              </w:rPr>
            </w:pPr>
            <w:r w:rsidRPr="00D55DC6">
              <w:rPr>
                <w:rFonts w:eastAsia="標楷體"/>
                <w:kern w:val="0"/>
                <w:sz w:val="28"/>
                <w:szCs w:val="28"/>
              </w:rPr>
              <w:t>預期目標值</w:t>
            </w:r>
          </w:p>
        </w:tc>
      </w:tr>
      <w:tr w:rsidR="001D0350" w:rsidRPr="00D55DC6" w:rsidTr="00986223">
        <w:trPr>
          <w:trHeight w:val="345"/>
          <w:tblHeader/>
        </w:trPr>
        <w:tc>
          <w:tcPr>
            <w:tcW w:w="426" w:type="dxa"/>
            <w:vMerge/>
          </w:tcPr>
          <w:p w:rsidR="00986223" w:rsidRPr="00D55DC6" w:rsidRDefault="00986223" w:rsidP="00986223">
            <w:pPr>
              <w:widowControl/>
              <w:snapToGrid w:val="0"/>
              <w:jc w:val="center"/>
              <w:rPr>
                <w:rFonts w:eastAsia="標楷體"/>
                <w:kern w:val="0"/>
                <w:sz w:val="28"/>
                <w:szCs w:val="28"/>
              </w:rPr>
            </w:pPr>
          </w:p>
        </w:tc>
        <w:tc>
          <w:tcPr>
            <w:tcW w:w="3402" w:type="dxa"/>
            <w:vMerge/>
            <w:vAlign w:val="center"/>
          </w:tcPr>
          <w:p w:rsidR="00986223" w:rsidRPr="00D55DC6" w:rsidRDefault="00986223" w:rsidP="00986223">
            <w:pPr>
              <w:widowControl/>
              <w:snapToGrid w:val="0"/>
              <w:rPr>
                <w:rFonts w:eastAsia="標楷體"/>
                <w:kern w:val="0"/>
                <w:sz w:val="28"/>
                <w:szCs w:val="28"/>
              </w:rPr>
            </w:pPr>
          </w:p>
        </w:tc>
        <w:tc>
          <w:tcPr>
            <w:tcW w:w="850" w:type="dxa"/>
          </w:tcPr>
          <w:p w:rsidR="00986223" w:rsidRPr="00D55DC6" w:rsidRDefault="00986223" w:rsidP="00986223">
            <w:pPr>
              <w:widowControl/>
              <w:snapToGrid w:val="0"/>
              <w:jc w:val="center"/>
              <w:rPr>
                <w:rFonts w:eastAsia="標楷體"/>
                <w:kern w:val="0"/>
                <w:sz w:val="28"/>
                <w:szCs w:val="28"/>
              </w:rPr>
            </w:pPr>
            <w:r w:rsidRPr="00D55DC6">
              <w:rPr>
                <w:rFonts w:eastAsia="標楷體"/>
                <w:kern w:val="0"/>
                <w:sz w:val="28"/>
                <w:szCs w:val="28"/>
              </w:rPr>
              <w:t>103</w:t>
            </w:r>
            <w:r w:rsidRPr="00D55DC6">
              <w:rPr>
                <w:rFonts w:eastAsia="標楷體"/>
                <w:kern w:val="0"/>
                <w:sz w:val="28"/>
                <w:szCs w:val="28"/>
              </w:rPr>
              <w:t>年</w:t>
            </w:r>
          </w:p>
        </w:tc>
        <w:tc>
          <w:tcPr>
            <w:tcW w:w="992" w:type="dxa"/>
          </w:tcPr>
          <w:p w:rsidR="00986223" w:rsidRPr="00D55DC6" w:rsidRDefault="00986223" w:rsidP="00986223">
            <w:pPr>
              <w:widowControl/>
              <w:snapToGrid w:val="0"/>
              <w:jc w:val="center"/>
              <w:rPr>
                <w:rFonts w:eastAsia="標楷體"/>
                <w:kern w:val="0"/>
                <w:sz w:val="28"/>
                <w:szCs w:val="28"/>
              </w:rPr>
            </w:pPr>
            <w:r w:rsidRPr="00D55DC6">
              <w:rPr>
                <w:rFonts w:eastAsia="標楷體"/>
                <w:kern w:val="0"/>
                <w:sz w:val="28"/>
                <w:szCs w:val="28"/>
              </w:rPr>
              <w:t>104</w:t>
            </w:r>
            <w:r w:rsidRPr="00D55DC6">
              <w:rPr>
                <w:rFonts w:eastAsia="標楷體"/>
                <w:kern w:val="0"/>
                <w:sz w:val="28"/>
                <w:szCs w:val="28"/>
              </w:rPr>
              <w:t>年</w:t>
            </w:r>
          </w:p>
        </w:tc>
        <w:tc>
          <w:tcPr>
            <w:tcW w:w="886" w:type="dxa"/>
          </w:tcPr>
          <w:p w:rsidR="00986223" w:rsidRPr="00D55DC6" w:rsidRDefault="00986223" w:rsidP="00986223">
            <w:pPr>
              <w:widowControl/>
              <w:snapToGrid w:val="0"/>
              <w:jc w:val="center"/>
              <w:rPr>
                <w:rFonts w:eastAsia="標楷體"/>
                <w:kern w:val="0"/>
                <w:sz w:val="28"/>
                <w:szCs w:val="28"/>
              </w:rPr>
            </w:pPr>
            <w:r w:rsidRPr="00D55DC6">
              <w:rPr>
                <w:rFonts w:eastAsia="標楷體"/>
                <w:kern w:val="0"/>
                <w:sz w:val="28"/>
                <w:szCs w:val="28"/>
              </w:rPr>
              <w:t>105</w:t>
            </w:r>
            <w:r w:rsidRPr="00D55DC6">
              <w:rPr>
                <w:rFonts w:eastAsia="標楷體"/>
                <w:kern w:val="0"/>
                <w:sz w:val="28"/>
                <w:szCs w:val="28"/>
              </w:rPr>
              <w:t>年</w:t>
            </w:r>
          </w:p>
        </w:tc>
        <w:tc>
          <w:tcPr>
            <w:tcW w:w="886" w:type="dxa"/>
          </w:tcPr>
          <w:p w:rsidR="00986223" w:rsidRPr="00D55DC6" w:rsidRDefault="00986223" w:rsidP="00986223">
            <w:pPr>
              <w:widowControl/>
              <w:snapToGrid w:val="0"/>
              <w:jc w:val="center"/>
              <w:rPr>
                <w:rFonts w:eastAsia="標楷體"/>
                <w:kern w:val="0"/>
                <w:sz w:val="28"/>
                <w:szCs w:val="28"/>
              </w:rPr>
            </w:pPr>
            <w:r w:rsidRPr="00D55DC6">
              <w:rPr>
                <w:rFonts w:eastAsia="標楷體"/>
                <w:kern w:val="0"/>
                <w:sz w:val="28"/>
                <w:szCs w:val="28"/>
              </w:rPr>
              <w:t>106</w:t>
            </w:r>
            <w:r w:rsidRPr="00D55DC6">
              <w:rPr>
                <w:rFonts w:eastAsia="標楷體"/>
                <w:kern w:val="0"/>
                <w:sz w:val="28"/>
                <w:szCs w:val="28"/>
              </w:rPr>
              <w:t>年</w:t>
            </w:r>
          </w:p>
        </w:tc>
        <w:tc>
          <w:tcPr>
            <w:tcW w:w="886" w:type="dxa"/>
          </w:tcPr>
          <w:p w:rsidR="00986223" w:rsidRPr="00D55DC6" w:rsidRDefault="00986223" w:rsidP="00986223">
            <w:pPr>
              <w:widowControl/>
              <w:snapToGrid w:val="0"/>
              <w:jc w:val="center"/>
              <w:rPr>
                <w:rFonts w:eastAsia="標楷體"/>
                <w:kern w:val="0"/>
                <w:sz w:val="28"/>
                <w:szCs w:val="28"/>
              </w:rPr>
            </w:pPr>
            <w:r w:rsidRPr="00D55DC6">
              <w:rPr>
                <w:rFonts w:eastAsia="標楷體"/>
                <w:kern w:val="0"/>
                <w:sz w:val="28"/>
                <w:szCs w:val="28"/>
              </w:rPr>
              <w:t>107</w:t>
            </w:r>
            <w:r w:rsidRPr="00D55DC6">
              <w:rPr>
                <w:rFonts w:eastAsia="標楷體"/>
                <w:kern w:val="0"/>
                <w:sz w:val="28"/>
                <w:szCs w:val="28"/>
              </w:rPr>
              <w:t>年</w:t>
            </w:r>
          </w:p>
        </w:tc>
        <w:tc>
          <w:tcPr>
            <w:tcW w:w="886" w:type="dxa"/>
          </w:tcPr>
          <w:p w:rsidR="00986223" w:rsidRPr="00D55DC6" w:rsidRDefault="00986223" w:rsidP="00986223">
            <w:pPr>
              <w:widowControl/>
              <w:snapToGrid w:val="0"/>
              <w:jc w:val="center"/>
              <w:rPr>
                <w:rFonts w:eastAsia="標楷體"/>
                <w:kern w:val="0"/>
                <w:sz w:val="28"/>
                <w:szCs w:val="28"/>
              </w:rPr>
            </w:pPr>
            <w:r w:rsidRPr="00D55DC6">
              <w:rPr>
                <w:rFonts w:eastAsia="標楷體"/>
                <w:kern w:val="0"/>
                <w:sz w:val="28"/>
                <w:szCs w:val="28"/>
              </w:rPr>
              <w:t>108</w:t>
            </w:r>
            <w:r w:rsidRPr="00D55DC6">
              <w:rPr>
                <w:rFonts w:eastAsia="標楷體"/>
                <w:kern w:val="0"/>
                <w:sz w:val="28"/>
                <w:szCs w:val="28"/>
              </w:rPr>
              <w:t>年</w:t>
            </w:r>
          </w:p>
        </w:tc>
      </w:tr>
      <w:tr w:rsidR="001D0350" w:rsidRPr="00D55DC6" w:rsidTr="00986223">
        <w:trPr>
          <w:trHeight w:val="60"/>
        </w:trPr>
        <w:tc>
          <w:tcPr>
            <w:tcW w:w="426" w:type="dxa"/>
            <w:vAlign w:val="center"/>
          </w:tcPr>
          <w:p w:rsidR="00986223" w:rsidRPr="00D55DC6" w:rsidRDefault="00986223" w:rsidP="00986223">
            <w:pPr>
              <w:widowControl/>
              <w:snapToGrid w:val="0"/>
              <w:jc w:val="center"/>
              <w:rPr>
                <w:rFonts w:eastAsia="標楷體"/>
                <w:kern w:val="0"/>
                <w:sz w:val="28"/>
                <w:szCs w:val="28"/>
              </w:rPr>
            </w:pPr>
            <w:r w:rsidRPr="00D55DC6">
              <w:rPr>
                <w:rFonts w:eastAsia="標楷體"/>
                <w:kern w:val="0"/>
                <w:sz w:val="28"/>
                <w:szCs w:val="28"/>
              </w:rPr>
              <w:t>1</w:t>
            </w:r>
          </w:p>
        </w:tc>
        <w:tc>
          <w:tcPr>
            <w:tcW w:w="3402" w:type="dxa"/>
          </w:tcPr>
          <w:p w:rsidR="00986223" w:rsidRPr="00D55DC6" w:rsidRDefault="00986223" w:rsidP="00986223">
            <w:pPr>
              <w:widowControl/>
              <w:snapToGrid w:val="0"/>
              <w:jc w:val="both"/>
              <w:rPr>
                <w:rFonts w:eastAsia="標楷體"/>
                <w:snapToGrid w:val="0"/>
                <w:spacing w:val="-14"/>
                <w:kern w:val="0"/>
                <w:sz w:val="28"/>
                <w:szCs w:val="28"/>
              </w:rPr>
            </w:pPr>
            <w:r w:rsidRPr="00D55DC6">
              <w:rPr>
                <w:rFonts w:eastAsia="標楷體"/>
                <w:snapToGrid w:val="0"/>
                <w:spacing w:val="-14"/>
                <w:kern w:val="0"/>
                <w:sz w:val="28"/>
                <w:szCs w:val="28"/>
              </w:rPr>
              <w:t>重要觀光景點建設完成數</w:t>
            </w:r>
            <w:r w:rsidRPr="00D55DC6">
              <w:rPr>
                <w:rFonts w:eastAsia="標楷體"/>
                <w:snapToGrid w:val="0"/>
                <w:spacing w:val="-14"/>
                <w:kern w:val="0"/>
                <w:sz w:val="28"/>
                <w:szCs w:val="28"/>
              </w:rPr>
              <w:t>(</w:t>
            </w:r>
            <w:r w:rsidRPr="00D55DC6">
              <w:rPr>
                <w:rFonts w:eastAsia="標楷體"/>
                <w:snapToGrid w:val="0"/>
                <w:spacing w:val="-14"/>
                <w:kern w:val="0"/>
                <w:sz w:val="28"/>
                <w:szCs w:val="28"/>
              </w:rPr>
              <w:t>處</w:t>
            </w:r>
            <w:r w:rsidRPr="00D55DC6">
              <w:rPr>
                <w:rFonts w:eastAsia="標楷體"/>
                <w:snapToGrid w:val="0"/>
                <w:spacing w:val="-14"/>
                <w:kern w:val="0"/>
                <w:sz w:val="28"/>
                <w:szCs w:val="28"/>
              </w:rPr>
              <w:t>)</w:t>
            </w:r>
          </w:p>
        </w:tc>
        <w:tc>
          <w:tcPr>
            <w:tcW w:w="850" w:type="dxa"/>
            <w:vAlign w:val="center"/>
          </w:tcPr>
          <w:p w:rsidR="00986223" w:rsidRPr="00D55DC6" w:rsidRDefault="00986223" w:rsidP="00986223">
            <w:pPr>
              <w:widowControl/>
              <w:snapToGrid w:val="0"/>
              <w:jc w:val="center"/>
              <w:rPr>
                <w:rFonts w:eastAsia="標楷體"/>
                <w:kern w:val="0"/>
                <w:sz w:val="28"/>
                <w:szCs w:val="28"/>
              </w:rPr>
            </w:pPr>
            <w:r w:rsidRPr="00D55DC6">
              <w:rPr>
                <w:rFonts w:eastAsia="標楷體"/>
                <w:kern w:val="0"/>
                <w:sz w:val="28"/>
                <w:szCs w:val="28"/>
              </w:rPr>
              <w:t>5</w:t>
            </w:r>
          </w:p>
        </w:tc>
        <w:tc>
          <w:tcPr>
            <w:tcW w:w="992" w:type="dxa"/>
            <w:vAlign w:val="center"/>
          </w:tcPr>
          <w:p w:rsidR="00986223" w:rsidRPr="00D55DC6" w:rsidRDefault="00986223" w:rsidP="00986223">
            <w:pPr>
              <w:widowControl/>
              <w:snapToGrid w:val="0"/>
              <w:jc w:val="center"/>
              <w:rPr>
                <w:rFonts w:eastAsia="標楷體"/>
                <w:kern w:val="0"/>
                <w:sz w:val="28"/>
                <w:szCs w:val="28"/>
              </w:rPr>
            </w:pPr>
            <w:r w:rsidRPr="00D55DC6">
              <w:rPr>
                <w:rFonts w:eastAsia="標楷體"/>
                <w:kern w:val="0"/>
                <w:sz w:val="28"/>
                <w:szCs w:val="28"/>
              </w:rPr>
              <w:t>8</w:t>
            </w:r>
          </w:p>
        </w:tc>
        <w:tc>
          <w:tcPr>
            <w:tcW w:w="886" w:type="dxa"/>
            <w:vAlign w:val="center"/>
          </w:tcPr>
          <w:p w:rsidR="00986223" w:rsidRPr="00D55DC6" w:rsidRDefault="00986223" w:rsidP="00986223">
            <w:pPr>
              <w:widowControl/>
              <w:snapToGrid w:val="0"/>
              <w:jc w:val="center"/>
              <w:rPr>
                <w:rFonts w:eastAsia="標楷體"/>
                <w:kern w:val="0"/>
                <w:sz w:val="28"/>
                <w:szCs w:val="28"/>
              </w:rPr>
            </w:pPr>
            <w:r w:rsidRPr="00D55DC6">
              <w:rPr>
                <w:rFonts w:eastAsia="標楷體"/>
                <w:kern w:val="0"/>
                <w:sz w:val="28"/>
                <w:szCs w:val="28"/>
              </w:rPr>
              <w:t>8</w:t>
            </w:r>
          </w:p>
        </w:tc>
        <w:tc>
          <w:tcPr>
            <w:tcW w:w="886" w:type="dxa"/>
            <w:vAlign w:val="center"/>
          </w:tcPr>
          <w:p w:rsidR="00986223" w:rsidRPr="00D55DC6" w:rsidRDefault="00986223" w:rsidP="00986223">
            <w:pPr>
              <w:widowControl/>
              <w:snapToGrid w:val="0"/>
              <w:jc w:val="center"/>
              <w:rPr>
                <w:rFonts w:eastAsia="標楷體"/>
                <w:kern w:val="0"/>
                <w:sz w:val="28"/>
                <w:szCs w:val="28"/>
              </w:rPr>
            </w:pPr>
            <w:r w:rsidRPr="00D55DC6">
              <w:rPr>
                <w:rFonts w:eastAsia="標楷體"/>
                <w:kern w:val="0"/>
                <w:sz w:val="28"/>
                <w:szCs w:val="28"/>
              </w:rPr>
              <w:t>6</w:t>
            </w:r>
          </w:p>
        </w:tc>
        <w:tc>
          <w:tcPr>
            <w:tcW w:w="886" w:type="dxa"/>
            <w:vAlign w:val="center"/>
          </w:tcPr>
          <w:p w:rsidR="00986223" w:rsidRPr="00D55DC6" w:rsidRDefault="00986223" w:rsidP="00986223">
            <w:pPr>
              <w:widowControl/>
              <w:snapToGrid w:val="0"/>
              <w:jc w:val="center"/>
              <w:rPr>
                <w:rFonts w:eastAsia="標楷體"/>
                <w:kern w:val="0"/>
                <w:sz w:val="28"/>
                <w:szCs w:val="28"/>
              </w:rPr>
            </w:pPr>
            <w:r w:rsidRPr="00D55DC6">
              <w:rPr>
                <w:rFonts w:eastAsia="標楷體"/>
                <w:kern w:val="0"/>
                <w:sz w:val="28"/>
                <w:szCs w:val="28"/>
              </w:rPr>
              <w:t>4</w:t>
            </w:r>
          </w:p>
        </w:tc>
        <w:tc>
          <w:tcPr>
            <w:tcW w:w="886" w:type="dxa"/>
            <w:vAlign w:val="center"/>
          </w:tcPr>
          <w:p w:rsidR="00986223" w:rsidRPr="00D55DC6" w:rsidRDefault="00986223" w:rsidP="00986223">
            <w:pPr>
              <w:widowControl/>
              <w:snapToGrid w:val="0"/>
              <w:jc w:val="center"/>
              <w:rPr>
                <w:rFonts w:eastAsia="標楷體"/>
                <w:kern w:val="0"/>
                <w:sz w:val="28"/>
                <w:szCs w:val="28"/>
              </w:rPr>
            </w:pPr>
            <w:r w:rsidRPr="00D55DC6">
              <w:rPr>
                <w:rFonts w:eastAsia="標楷體"/>
                <w:kern w:val="0"/>
                <w:sz w:val="28"/>
                <w:szCs w:val="28"/>
              </w:rPr>
              <w:t>7</w:t>
            </w:r>
          </w:p>
        </w:tc>
      </w:tr>
      <w:tr w:rsidR="001D0350" w:rsidRPr="00D55DC6" w:rsidTr="00986223">
        <w:trPr>
          <w:trHeight w:val="675"/>
        </w:trPr>
        <w:tc>
          <w:tcPr>
            <w:tcW w:w="426" w:type="dxa"/>
            <w:vAlign w:val="center"/>
          </w:tcPr>
          <w:p w:rsidR="00986223" w:rsidRPr="00D55DC6" w:rsidRDefault="00986223" w:rsidP="00986223">
            <w:pPr>
              <w:widowControl/>
              <w:snapToGrid w:val="0"/>
              <w:jc w:val="center"/>
              <w:rPr>
                <w:rFonts w:eastAsia="標楷體"/>
                <w:kern w:val="0"/>
                <w:sz w:val="28"/>
                <w:szCs w:val="28"/>
              </w:rPr>
            </w:pPr>
            <w:r w:rsidRPr="00D55DC6">
              <w:rPr>
                <w:rFonts w:eastAsia="標楷體"/>
                <w:kern w:val="0"/>
                <w:sz w:val="28"/>
                <w:szCs w:val="28"/>
              </w:rPr>
              <w:t>2</w:t>
            </w:r>
          </w:p>
        </w:tc>
        <w:tc>
          <w:tcPr>
            <w:tcW w:w="3402" w:type="dxa"/>
          </w:tcPr>
          <w:p w:rsidR="00986223" w:rsidRPr="00D55DC6" w:rsidRDefault="00986223" w:rsidP="00986223">
            <w:pPr>
              <w:widowControl/>
              <w:snapToGrid w:val="0"/>
              <w:jc w:val="both"/>
              <w:rPr>
                <w:rFonts w:eastAsia="標楷體"/>
                <w:snapToGrid w:val="0"/>
                <w:spacing w:val="-14"/>
                <w:kern w:val="0"/>
                <w:sz w:val="28"/>
                <w:szCs w:val="28"/>
              </w:rPr>
            </w:pPr>
            <w:r w:rsidRPr="00D55DC6">
              <w:rPr>
                <w:rFonts w:eastAsia="標楷體"/>
                <w:snapToGrid w:val="0"/>
                <w:spacing w:val="-14"/>
                <w:kern w:val="0"/>
                <w:sz w:val="28"/>
                <w:szCs w:val="28"/>
              </w:rPr>
              <w:t>參訪國家風景區遊客人次</w:t>
            </w:r>
            <w:r w:rsidRPr="00D55DC6">
              <w:rPr>
                <w:rFonts w:eastAsia="標楷體"/>
                <w:snapToGrid w:val="0"/>
                <w:spacing w:val="-14"/>
                <w:kern w:val="0"/>
                <w:sz w:val="28"/>
                <w:szCs w:val="28"/>
              </w:rPr>
              <w:t>(</w:t>
            </w:r>
            <w:r w:rsidRPr="00D55DC6">
              <w:rPr>
                <w:rFonts w:eastAsia="標楷體"/>
                <w:snapToGrid w:val="0"/>
                <w:spacing w:val="-14"/>
                <w:kern w:val="0"/>
                <w:sz w:val="28"/>
                <w:szCs w:val="28"/>
              </w:rPr>
              <w:t>萬人次</w:t>
            </w:r>
            <w:r w:rsidRPr="00D55DC6">
              <w:rPr>
                <w:rFonts w:eastAsia="標楷體"/>
                <w:snapToGrid w:val="0"/>
                <w:spacing w:val="-14"/>
                <w:kern w:val="0"/>
                <w:sz w:val="28"/>
                <w:szCs w:val="28"/>
              </w:rPr>
              <w:t>)</w:t>
            </w:r>
          </w:p>
        </w:tc>
        <w:tc>
          <w:tcPr>
            <w:tcW w:w="850" w:type="dxa"/>
            <w:vAlign w:val="center"/>
          </w:tcPr>
          <w:p w:rsidR="00986223" w:rsidRPr="00D55DC6" w:rsidRDefault="00986223" w:rsidP="00986223">
            <w:pPr>
              <w:widowControl/>
              <w:adjustRightInd w:val="0"/>
              <w:snapToGrid w:val="0"/>
              <w:jc w:val="center"/>
              <w:rPr>
                <w:rFonts w:eastAsia="標楷體"/>
                <w:kern w:val="0"/>
                <w:sz w:val="28"/>
                <w:szCs w:val="28"/>
              </w:rPr>
            </w:pPr>
            <w:r w:rsidRPr="00D55DC6">
              <w:rPr>
                <w:rFonts w:eastAsia="標楷體"/>
                <w:kern w:val="0"/>
                <w:sz w:val="28"/>
                <w:szCs w:val="28"/>
              </w:rPr>
              <w:t>72.0</w:t>
            </w:r>
          </w:p>
        </w:tc>
        <w:tc>
          <w:tcPr>
            <w:tcW w:w="992" w:type="dxa"/>
            <w:vAlign w:val="center"/>
          </w:tcPr>
          <w:p w:rsidR="00986223" w:rsidRPr="00D55DC6" w:rsidRDefault="00986223" w:rsidP="00986223">
            <w:pPr>
              <w:widowControl/>
              <w:adjustRightInd w:val="0"/>
              <w:snapToGrid w:val="0"/>
              <w:jc w:val="center"/>
              <w:rPr>
                <w:rFonts w:eastAsia="標楷體"/>
                <w:kern w:val="0"/>
                <w:sz w:val="28"/>
                <w:szCs w:val="28"/>
              </w:rPr>
            </w:pPr>
            <w:r w:rsidRPr="00D55DC6">
              <w:rPr>
                <w:rFonts w:eastAsia="標楷體"/>
                <w:kern w:val="0"/>
                <w:sz w:val="28"/>
                <w:szCs w:val="28"/>
              </w:rPr>
              <w:t>74.9</w:t>
            </w:r>
          </w:p>
        </w:tc>
        <w:tc>
          <w:tcPr>
            <w:tcW w:w="886" w:type="dxa"/>
            <w:vAlign w:val="center"/>
          </w:tcPr>
          <w:p w:rsidR="00986223" w:rsidRPr="00D55DC6" w:rsidRDefault="00986223" w:rsidP="00986223">
            <w:pPr>
              <w:widowControl/>
              <w:adjustRightInd w:val="0"/>
              <w:snapToGrid w:val="0"/>
              <w:jc w:val="center"/>
              <w:rPr>
                <w:rFonts w:eastAsia="標楷體"/>
                <w:kern w:val="0"/>
                <w:sz w:val="28"/>
                <w:szCs w:val="28"/>
              </w:rPr>
            </w:pPr>
            <w:r w:rsidRPr="00D55DC6">
              <w:rPr>
                <w:rFonts w:eastAsia="標楷體"/>
                <w:kern w:val="0"/>
                <w:sz w:val="28"/>
                <w:szCs w:val="28"/>
              </w:rPr>
              <w:t>77.4</w:t>
            </w:r>
          </w:p>
        </w:tc>
        <w:tc>
          <w:tcPr>
            <w:tcW w:w="886" w:type="dxa"/>
            <w:vAlign w:val="center"/>
          </w:tcPr>
          <w:p w:rsidR="00986223" w:rsidRPr="00D55DC6" w:rsidRDefault="00986223" w:rsidP="00986223">
            <w:pPr>
              <w:widowControl/>
              <w:adjustRightInd w:val="0"/>
              <w:snapToGrid w:val="0"/>
              <w:jc w:val="center"/>
              <w:rPr>
                <w:rFonts w:eastAsia="標楷體"/>
                <w:kern w:val="0"/>
                <w:sz w:val="28"/>
                <w:szCs w:val="28"/>
              </w:rPr>
            </w:pPr>
            <w:r w:rsidRPr="00D55DC6">
              <w:rPr>
                <w:rFonts w:eastAsia="標楷體"/>
                <w:kern w:val="0"/>
                <w:sz w:val="28"/>
                <w:szCs w:val="28"/>
              </w:rPr>
              <w:t>79.9</w:t>
            </w:r>
          </w:p>
        </w:tc>
        <w:tc>
          <w:tcPr>
            <w:tcW w:w="886" w:type="dxa"/>
            <w:vAlign w:val="center"/>
          </w:tcPr>
          <w:p w:rsidR="00986223" w:rsidRPr="00D55DC6" w:rsidRDefault="00986223" w:rsidP="00986223">
            <w:pPr>
              <w:widowControl/>
              <w:adjustRightInd w:val="0"/>
              <w:snapToGrid w:val="0"/>
              <w:jc w:val="center"/>
              <w:rPr>
                <w:rFonts w:eastAsia="標楷體"/>
                <w:kern w:val="0"/>
                <w:sz w:val="28"/>
                <w:szCs w:val="28"/>
              </w:rPr>
            </w:pPr>
            <w:r w:rsidRPr="00D55DC6">
              <w:rPr>
                <w:rFonts w:eastAsia="標楷體"/>
                <w:kern w:val="0"/>
                <w:sz w:val="28"/>
                <w:szCs w:val="28"/>
              </w:rPr>
              <w:t>82.6</w:t>
            </w:r>
          </w:p>
        </w:tc>
        <w:tc>
          <w:tcPr>
            <w:tcW w:w="886" w:type="dxa"/>
            <w:vAlign w:val="center"/>
          </w:tcPr>
          <w:p w:rsidR="00986223" w:rsidRPr="00D55DC6" w:rsidRDefault="00986223" w:rsidP="00986223">
            <w:pPr>
              <w:widowControl/>
              <w:adjustRightInd w:val="0"/>
              <w:snapToGrid w:val="0"/>
              <w:jc w:val="center"/>
              <w:rPr>
                <w:rFonts w:eastAsia="標楷體"/>
                <w:kern w:val="0"/>
                <w:sz w:val="28"/>
                <w:szCs w:val="28"/>
              </w:rPr>
            </w:pPr>
            <w:r w:rsidRPr="00D55DC6">
              <w:rPr>
                <w:rFonts w:eastAsia="標楷體"/>
                <w:kern w:val="0"/>
                <w:sz w:val="28"/>
                <w:szCs w:val="28"/>
              </w:rPr>
              <w:t>85.3</w:t>
            </w:r>
          </w:p>
        </w:tc>
      </w:tr>
      <w:tr w:rsidR="001D0350" w:rsidRPr="00D55DC6" w:rsidTr="00986223">
        <w:trPr>
          <w:trHeight w:val="675"/>
        </w:trPr>
        <w:tc>
          <w:tcPr>
            <w:tcW w:w="426" w:type="dxa"/>
            <w:vAlign w:val="center"/>
          </w:tcPr>
          <w:p w:rsidR="00DD6816" w:rsidRPr="00D55DC6" w:rsidRDefault="00DD6816" w:rsidP="000725AB">
            <w:pPr>
              <w:widowControl/>
              <w:snapToGrid w:val="0"/>
              <w:jc w:val="center"/>
              <w:rPr>
                <w:rFonts w:eastAsia="標楷體"/>
                <w:kern w:val="0"/>
                <w:sz w:val="28"/>
                <w:szCs w:val="28"/>
              </w:rPr>
            </w:pPr>
            <w:r w:rsidRPr="00D55DC6">
              <w:rPr>
                <w:rFonts w:eastAsia="標楷體"/>
                <w:kern w:val="0"/>
                <w:sz w:val="28"/>
                <w:szCs w:val="28"/>
              </w:rPr>
              <w:t>3</w:t>
            </w:r>
          </w:p>
        </w:tc>
        <w:tc>
          <w:tcPr>
            <w:tcW w:w="3402" w:type="dxa"/>
            <w:vAlign w:val="center"/>
          </w:tcPr>
          <w:p w:rsidR="00DD6816" w:rsidRPr="00D55DC6" w:rsidRDefault="00DD6816" w:rsidP="000725AB">
            <w:pPr>
              <w:widowControl/>
              <w:snapToGrid w:val="0"/>
              <w:jc w:val="both"/>
              <w:rPr>
                <w:rFonts w:eastAsia="標楷體"/>
                <w:snapToGrid w:val="0"/>
                <w:spacing w:val="-14"/>
                <w:kern w:val="0"/>
                <w:sz w:val="28"/>
                <w:szCs w:val="28"/>
              </w:rPr>
            </w:pPr>
            <w:r w:rsidRPr="00D55DC6">
              <w:rPr>
                <w:rFonts w:eastAsia="標楷體"/>
                <w:snapToGrid w:val="0"/>
                <w:spacing w:val="-14"/>
                <w:kern w:val="0"/>
                <w:sz w:val="28"/>
                <w:szCs w:val="28"/>
              </w:rPr>
              <w:t>觀光產值</w:t>
            </w:r>
            <w:r w:rsidRPr="00D55DC6">
              <w:rPr>
                <w:rFonts w:eastAsia="標楷體"/>
                <w:snapToGrid w:val="0"/>
                <w:spacing w:val="-14"/>
                <w:kern w:val="0"/>
                <w:sz w:val="28"/>
                <w:szCs w:val="28"/>
              </w:rPr>
              <w:t>(</w:t>
            </w:r>
            <w:r w:rsidRPr="00D55DC6">
              <w:rPr>
                <w:rFonts w:eastAsia="標楷體"/>
                <w:snapToGrid w:val="0"/>
                <w:spacing w:val="-14"/>
                <w:kern w:val="0"/>
                <w:sz w:val="28"/>
                <w:szCs w:val="28"/>
              </w:rPr>
              <w:t>億元</w:t>
            </w:r>
            <w:r w:rsidRPr="00D55DC6">
              <w:rPr>
                <w:rFonts w:eastAsia="標楷體"/>
                <w:snapToGrid w:val="0"/>
                <w:spacing w:val="-14"/>
                <w:kern w:val="0"/>
                <w:sz w:val="28"/>
                <w:szCs w:val="28"/>
              </w:rPr>
              <w:t>)</w:t>
            </w:r>
          </w:p>
        </w:tc>
        <w:tc>
          <w:tcPr>
            <w:tcW w:w="850" w:type="dxa"/>
            <w:vAlign w:val="center"/>
          </w:tcPr>
          <w:p w:rsidR="00DD6816" w:rsidRPr="00D55DC6" w:rsidRDefault="00DD6816" w:rsidP="000725AB">
            <w:pPr>
              <w:widowControl/>
              <w:snapToGrid w:val="0"/>
              <w:jc w:val="center"/>
              <w:rPr>
                <w:rFonts w:eastAsia="標楷體"/>
                <w:kern w:val="0"/>
                <w:sz w:val="28"/>
                <w:szCs w:val="28"/>
              </w:rPr>
            </w:pPr>
            <w:r w:rsidRPr="00D55DC6">
              <w:rPr>
                <w:rFonts w:eastAsia="標楷體"/>
                <w:kern w:val="0"/>
                <w:sz w:val="28"/>
                <w:szCs w:val="28"/>
              </w:rPr>
              <w:t>55.27</w:t>
            </w:r>
          </w:p>
        </w:tc>
        <w:tc>
          <w:tcPr>
            <w:tcW w:w="992" w:type="dxa"/>
            <w:vAlign w:val="center"/>
          </w:tcPr>
          <w:p w:rsidR="00DD6816" w:rsidRPr="00D55DC6" w:rsidRDefault="00DD6816" w:rsidP="000725AB">
            <w:pPr>
              <w:widowControl/>
              <w:snapToGrid w:val="0"/>
              <w:jc w:val="center"/>
              <w:rPr>
                <w:rFonts w:eastAsia="標楷體"/>
                <w:kern w:val="0"/>
                <w:sz w:val="28"/>
                <w:szCs w:val="28"/>
              </w:rPr>
            </w:pPr>
            <w:r w:rsidRPr="00D55DC6">
              <w:rPr>
                <w:rFonts w:eastAsia="標楷體"/>
                <w:kern w:val="0"/>
                <w:sz w:val="28"/>
                <w:szCs w:val="28"/>
              </w:rPr>
              <w:t>55.29</w:t>
            </w:r>
          </w:p>
        </w:tc>
        <w:tc>
          <w:tcPr>
            <w:tcW w:w="886" w:type="dxa"/>
            <w:vAlign w:val="center"/>
          </w:tcPr>
          <w:p w:rsidR="00DD6816" w:rsidRPr="00D55DC6" w:rsidRDefault="00DD6816" w:rsidP="000725AB">
            <w:pPr>
              <w:widowControl/>
              <w:snapToGrid w:val="0"/>
              <w:jc w:val="center"/>
              <w:rPr>
                <w:rFonts w:eastAsia="標楷體"/>
                <w:kern w:val="0"/>
                <w:sz w:val="28"/>
                <w:szCs w:val="28"/>
              </w:rPr>
            </w:pPr>
            <w:r w:rsidRPr="00D55DC6">
              <w:rPr>
                <w:rFonts w:eastAsia="標楷體"/>
                <w:kern w:val="0"/>
                <w:sz w:val="28"/>
                <w:szCs w:val="28"/>
              </w:rPr>
              <w:t>62.7</w:t>
            </w:r>
          </w:p>
        </w:tc>
        <w:tc>
          <w:tcPr>
            <w:tcW w:w="886" w:type="dxa"/>
            <w:vAlign w:val="center"/>
          </w:tcPr>
          <w:p w:rsidR="00DD6816" w:rsidRPr="00D55DC6" w:rsidRDefault="00DD6816" w:rsidP="000725AB">
            <w:pPr>
              <w:widowControl/>
              <w:snapToGrid w:val="0"/>
              <w:jc w:val="center"/>
              <w:rPr>
                <w:rFonts w:eastAsia="標楷體"/>
                <w:kern w:val="0"/>
                <w:sz w:val="28"/>
                <w:szCs w:val="28"/>
              </w:rPr>
            </w:pPr>
            <w:r w:rsidRPr="00D55DC6">
              <w:rPr>
                <w:rFonts w:eastAsia="標楷體"/>
                <w:kern w:val="0"/>
                <w:sz w:val="28"/>
                <w:szCs w:val="28"/>
              </w:rPr>
              <w:t>64.7</w:t>
            </w:r>
          </w:p>
        </w:tc>
        <w:tc>
          <w:tcPr>
            <w:tcW w:w="886" w:type="dxa"/>
            <w:vAlign w:val="center"/>
          </w:tcPr>
          <w:p w:rsidR="00DD6816" w:rsidRPr="00D55DC6" w:rsidRDefault="00DD6816" w:rsidP="000725AB">
            <w:pPr>
              <w:widowControl/>
              <w:snapToGrid w:val="0"/>
              <w:jc w:val="center"/>
              <w:rPr>
                <w:rFonts w:eastAsia="標楷體"/>
                <w:kern w:val="0"/>
                <w:sz w:val="28"/>
                <w:szCs w:val="28"/>
              </w:rPr>
            </w:pPr>
            <w:r w:rsidRPr="00D55DC6">
              <w:rPr>
                <w:rFonts w:eastAsia="標楷體"/>
                <w:kern w:val="0"/>
                <w:sz w:val="28"/>
                <w:szCs w:val="28"/>
              </w:rPr>
              <w:t>66.9</w:t>
            </w:r>
          </w:p>
        </w:tc>
        <w:tc>
          <w:tcPr>
            <w:tcW w:w="886" w:type="dxa"/>
            <w:vAlign w:val="center"/>
          </w:tcPr>
          <w:p w:rsidR="00DD6816" w:rsidRPr="00D55DC6" w:rsidRDefault="00DD6816" w:rsidP="000725AB">
            <w:pPr>
              <w:snapToGrid w:val="0"/>
              <w:jc w:val="center"/>
              <w:rPr>
                <w:rFonts w:eastAsia="標楷體"/>
                <w:kern w:val="0"/>
                <w:sz w:val="28"/>
                <w:szCs w:val="28"/>
              </w:rPr>
            </w:pPr>
            <w:r w:rsidRPr="00D55DC6">
              <w:rPr>
                <w:rFonts w:eastAsia="標楷體"/>
                <w:kern w:val="0"/>
                <w:sz w:val="28"/>
                <w:szCs w:val="28"/>
              </w:rPr>
              <w:t>69.1</w:t>
            </w:r>
          </w:p>
        </w:tc>
      </w:tr>
      <w:tr w:rsidR="001D0350" w:rsidRPr="00D55DC6" w:rsidTr="00986223">
        <w:trPr>
          <w:trHeight w:val="675"/>
        </w:trPr>
        <w:tc>
          <w:tcPr>
            <w:tcW w:w="426" w:type="dxa"/>
            <w:vAlign w:val="center"/>
          </w:tcPr>
          <w:p w:rsidR="00DD6816" w:rsidRPr="00D55DC6" w:rsidRDefault="00DD6816" w:rsidP="000725AB">
            <w:pPr>
              <w:widowControl/>
              <w:snapToGrid w:val="0"/>
              <w:jc w:val="center"/>
              <w:rPr>
                <w:rFonts w:eastAsia="標楷體"/>
                <w:kern w:val="0"/>
                <w:sz w:val="28"/>
                <w:szCs w:val="28"/>
              </w:rPr>
            </w:pPr>
            <w:r w:rsidRPr="00D55DC6">
              <w:rPr>
                <w:rFonts w:eastAsia="標楷體"/>
                <w:kern w:val="0"/>
                <w:sz w:val="28"/>
                <w:szCs w:val="28"/>
              </w:rPr>
              <w:t>4</w:t>
            </w:r>
          </w:p>
        </w:tc>
        <w:tc>
          <w:tcPr>
            <w:tcW w:w="3402" w:type="dxa"/>
            <w:vAlign w:val="center"/>
          </w:tcPr>
          <w:p w:rsidR="00DD6816" w:rsidRPr="00D55DC6" w:rsidRDefault="00DD6816" w:rsidP="000725AB">
            <w:pPr>
              <w:widowControl/>
              <w:snapToGrid w:val="0"/>
              <w:jc w:val="both"/>
              <w:rPr>
                <w:rFonts w:eastAsia="標楷體"/>
                <w:snapToGrid w:val="0"/>
                <w:spacing w:val="-14"/>
                <w:kern w:val="0"/>
                <w:sz w:val="28"/>
                <w:szCs w:val="28"/>
              </w:rPr>
            </w:pPr>
            <w:r w:rsidRPr="00D55DC6">
              <w:rPr>
                <w:rFonts w:eastAsia="標楷體"/>
                <w:snapToGrid w:val="0"/>
                <w:spacing w:val="-14"/>
                <w:kern w:val="0"/>
                <w:sz w:val="28"/>
                <w:szCs w:val="28"/>
              </w:rPr>
              <w:t>性別友善設施完成數</w:t>
            </w:r>
            <w:r w:rsidRPr="00D55DC6">
              <w:rPr>
                <w:rFonts w:eastAsia="標楷體"/>
                <w:snapToGrid w:val="0"/>
                <w:spacing w:val="-14"/>
                <w:kern w:val="0"/>
                <w:sz w:val="28"/>
                <w:szCs w:val="28"/>
              </w:rPr>
              <w:t>(</w:t>
            </w:r>
            <w:r w:rsidRPr="00D55DC6">
              <w:rPr>
                <w:rFonts w:eastAsia="標楷體"/>
                <w:snapToGrid w:val="0"/>
                <w:spacing w:val="-14"/>
                <w:kern w:val="0"/>
                <w:sz w:val="28"/>
                <w:szCs w:val="28"/>
              </w:rPr>
              <w:t>處</w:t>
            </w:r>
            <w:r w:rsidRPr="00D55DC6">
              <w:rPr>
                <w:rFonts w:eastAsia="標楷體"/>
                <w:snapToGrid w:val="0"/>
                <w:spacing w:val="-14"/>
                <w:kern w:val="0"/>
                <w:sz w:val="28"/>
                <w:szCs w:val="28"/>
              </w:rPr>
              <w:t>)</w:t>
            </w:r>
          </w:p>
        </w:tc>
        <w:tc>
          <w:tcPr>
            <w:tcW w:w="850" w:type="dxa"/>
            <w:vAlign w:val="center"/>
          </w:tcPr>
          <w:p w:rsidR="00DD6816" w:rsidRPr="00D55DC6" w:rsidRDefault="00DD6816" w:rsidP="000725AB">
            <w:pPr>
              <w:widowControl/>
              <w:snapToGrid w:val="0"/>
              <w:jc w:val="center"/>
              <w:rPr>
                <w:rFonts w:eastAsia="標楷體"/>
                <w:kern w:val="0"/>
                <w:sz w:val="28"/>
                <w:szCs w:val="28"/>
              </w:rPr>
            </w:pPr>
            <w:r w:rsidRPr="00D55DC6">
              <w:rPr>
                <w:rFonts w:eastAsia="標楷體"/>
                <w:kern w:val="0"/>
                <w:sz w:val="28"/>
                <w:szCs w:val="28"/>
              </w:rPr>
              <w:t>5</w:t>
            </w:r>
          </w:p>
        </w:tc>
        <w:tc>
          <w:tcPr>
            <w:tcW w:w="992" w:type="dxa"/>
            <w:vAlign w:val="center"/>
          </w:tcPr>
          <w:p w:rsidR="00DD6816" w:rsidRPr="00D55DC6" w:rsidRDefault="00DD6816" w:rsidP="000725AB">
            <w:pPr>
              <w:widowControl/>
              <w:snapToGrid w:val="0"/>
              <w:jc w:val="center"/>
              <w:rPr>
                <w:rFonts w:eastAsia="標楷體"/>
                <w:kern w:val="0"/>
                <w:sz w:val="28"/>
                <w:szCs w:val="28"/>
              </w:rPr>
            </w:pPr>
            <w:r w:rsidRPr="00D55DC6">
              <w:rPr>
                <w:rFonts w:eastAsia="標楷體"/>
                <w:kern w:val="0"/>
                <w:sz w:val="28"/>
                <w:szCs w:val="28"/>
              </w:rPr>
              <w:t>5</w:t>
            </w:r>
          </w:p>
        </w:tc>
        <w:tc>
          <w:tcPr>
            <w:tcW w:w="886" w:type="dxa"/>
            <w:vAlign w:val="center"/>
          </w:tcPr>
          <w:p w:rsidR="00DD6816" w:rsidRPr="00D55DC6" w:rsidRDefault="00DD6816" w:rsidP="000725AB">
            <w:pPr>
              <w:widowControl/>
              <w:snapToGrid w:val="0"/>
              <w:jc w:val="center"/>
              <w:rPr>
                <w:rFonts w:eastAsia="標楷體"/>
                <w:kern w:val="0"/>
                <w:sz w:val="28"/>
                <w:szCs w:val="28"/>
              </w:rPr>
            </w:pPr>
            <w:r w:rsidRPr="00D55DC6">
              <w:rPr>
                <w:rFonts w:eastAsia="標楷體"/>
                <w:kern w:val="0"/>
                <w:sz w:val="28"/>
                <w:szCs w:val="28"/>
              </w:rPr>
              <w:t>2</w:t>
            </w:r>
          </w:p>
        </w:tc>
        <w:tc>
          <w:tcPr>
            <w:tcW w:w="886" w:type="dxa"/>
            <w:vAlign w:val="center"/>
          </w:tcPr>
          <w:p w:rsidR="00DD6816" w:rsidRPr="00D55DC6" w:rsidRDefault="00DD6816" w:rsidP="000725AB">
            <w:pPr>
              <w:widowControl/>
              <w:snapToGrid w:val="0"/>
              <w:jc w:val="center"/>
              <w:rPr>
                <w:rFonts w:eastAsia="標楷體"/>
                <w:kern w:val="0"/>
                <w:sz w:val="28"/>
                <w:szCs w:val="28"/>
              </w:rPr>
            </w:pPr>
            <w:r w:rsidRPr="00D55DC6">
              <w:rPr>
                <w:rFonts w:eastAsia="標楷體"/>
                <w:kern w:val="0"/>
                <w:sz w:val="28"/>
                <w:szCs w:val="28"/>
              </w:rPr>
              <w:t>1</w:t>
            </w:r>
          </w:p>
        </w:tc>
        <w:tc>
          <w:tcPr>
            <w:tcW w:w="886" w:type="dxa"/>
            <w:vAlign w:val="center"/>
          </w:tcPr>
          <w:p w:rsidR="00DD6816" w:rsidRPr="00D55DC6" w:rsidRDefault="00DD6816" w:rsidP="000725AB">
            <w:pPr>
              <w:widowControl/>
              <w:snapToGrid w:val="0"/>
              <w:jc w:val="center"/>
              <w:rPr>
                <w:rFonts w:eastAsia="標楷體"/>
                <w:kern w:val="0"/>
                <w:sz w:val="28"/>
                <w:szCs w:val="28"/>
              </w:rPr>
            </w:pPr>
            <w:r w:rsidRPr="00D55DC6">
              <w:rPr>
                <w:rFonts w:eastAsia="標楷體"/>
                <w:kern w:val="0"/>
                <w:sz w:val="28"/>
                <w:szCs w:val="28"/>
              </w:rPr>
              <w:t>2</w:t>
            </w:r>
          </w:p>
        </w:tc>
        <w:tc>
          <w:tcPr>
            <w:tcW w:w="886" w:type="dxa"/>
            <w:vAlign w:val="center"/>
          </w:tcPr>
          <w:p w:rsidR="00DD6816" w:rsidRPr="00D55DC6" w:rsidRDefault="00DD6816" w:rsidP="000725AB">
            <w:pPr>
              <w:snapToGrid w:val="0"/>
              <w:jc w:val="center"/>
              <w:rPr>
                <w:rFonts w:eastAsia="標楷體"/>
                <w:kern w:val="0"/>
                <w:sz w:val="28"/>
                <w:szCs w:val="28"/>
              </w:rPr>
            </w:pPr>
            <w:r w:rsidRPr="00D55DC6">
              <w:rPr>
                <w:rFonts w:eastAsia="標楷體"/>
                <w:kern w:val="0"/>
                <w:sz w:val="28"/>
                <w:szCs w:val="28"/>
              </w:rPr>
              <w:t>1</w:t>
            </w:r>
          </w:p>
        </w:tc>
      </w:tr>
      <w:tr w:rsidR="00DD6816" w:rsidRPr="00D55DC6" w:rsidTr="00986223">
        <w:trPr>
          <w:trHeight w:val="675"/>
        </w:trPr>
        <w:tc>
          <w:tcPr>
            <w:tcW w:w="426" w:type="dxa"/>
            <w:vAlign w:val="center"/>
          </w:tcPr>
          <w:p w:rsidR="00DD6816" w:rsidRPr="00D55DC6" w:rsidRDefault="00DD6816" w:rsidP="000725AB">
            <w:pPr>
              <w:widowControl/>
              <w:snapToGrid w:val="0"/>
              <w:jc w:val="center"/>
              <w:rPr>
                <w:rFonts w:eastAsia="標楷體"/>
                <w:kern w:val="0"/>
                <w:sz w:val="28"/>
                <w:szCs w:val="28"/>
              </w:rPr>
            </w:pPr>
            <w:r w:rsidRPr="00D55DC6">
              <w:rPr>
                <w:rFonts w:eastAsia="標楷體"/>
                <w:kern w:val="0"/>
                <w:sz w:val="28"/>
                <w:szCs w:val="28"/>
              </w:rPr>
              <w:t>5</w:t>
            </w:r>
          </w:p>
        </w:tc>
        <w:tc>
          <w:tcPr>
            <w:tcW w:w="3402" w:type="dxa"/>
            <w:vAlign w:val="center"/>
          </w:tcPr>
          <w:p w:rsidR="00DD6816" w:rsidRPr="00D55DC6" w:rsidRDefault="002F5D4E" w:rsidP="000725AB">
            <w:pPr>
              <w:widowControl/>
              <w:snapToGrid w:val="0"/>
              <w:jc w:val="both"/>
              <w:rPr>
                <w:rFonts w:eastAsia="標楷體"/>
                <w:snapToGrid w:val="0"/>
                <w:spacing w:val="-14"/>
                <w:kern w:val="0"/>
                <w:sz w:val="28"/>
                <w:szCs w:val="28"/>
              </w:rPr>
            </w:pPr>
            <w:r w:rsidRPr="00D55DC6">
              <w:rPr>
                <w:rFonts w:eastAsia="標楷體"/>
                <w:sz w:val="28"/>
                <w:szCs w:val="28"/>
              </w:rPr>
              <w:t>轄區經管設施公共意外責任險確</w:t>
            </w:r>
            <w:r w:rsidR="005C51C2" w:rsidRPr="00D55DC6">
              <w:rPr>
                <w:rFonts w:eastAsia="標楷體" w:hint="eastAsia"/>
                <w:sz w:val="28"/>
                <w:szCs w:val="28"/>
              </w:rPr>
              <w:t>定</w:t>
            </w:r>
            <w:r w:rsidRPr="00D55DC6">
              <w:rPr>
                <w:rFonts w:eastAsia="標楷體"/>
                <w:sz w:val="28"/>
                <w:szCs w:val="28"/>
              </w:rPr>
              <w:t>理賠件數上限</w:t>
            </w:r>
            <w:r w:rsidR="00DD6816" w:rsidRPr="00D55DC6">
              <w:rPr>
                <w:rFonts w:eastAsia="標楷體"/>
                <w:sz w:val="28"/>
                <w:szCs w:val="28"/>
              </w:rPr>
              <w:t>（件）</w:t>
            </w:r>
          </w:p>
        </w:tc>
        <w:tc>
          <w:tcPr>
            <w:tcW w:w="850" w:type="dxa"/>
            <w:vAlign w:val="center"/>
          </w:tcPr>
          <w:p w:rsidR="00DD6816" w:rsidRPr="00D55DC6" w:rsidRDefault="002F5D4E" w:rsidP="000725AB">
            <w:pPr>
              <w:widowControl/>
              <w:snapToGrid w:val="0"/>
              <w:jc w:val="center"/>
              <w:rPr>
                <w:rFonts w:eastAsia="標楷體"/>
                <w:kern w:val="0"/>
                <w:sz w:val="28"/>
                <w:szCs w:val="28"/>
              </w:rPr>
            </w:pPr>
            <w:r w:rsidRPr="00D55DC6">
              <w:rPr>
                <w:rFonts w:eastAsia="標楷體" w:hint="eastAsia"/>
                <w:kern w:val="0"/>
                <w:sz w:val="28"/>
                <w:szCs w:val="28"/>
              </w:rPr>
              <w:t>-</w:t>
            </w:r>
          </w:p>
        </w:tc>
        <w:tc>
          <w:tcPr>
            <w:tcW w:w="992" w:type="dxa"/>
            <w:vAlign w:val="center"/>
          </w:tcPr>
          <w:p w:rsidR="00DD6816" w:rsidRPr="00D55DC6" w:rsidRDefault="002F5D4E" w:rsidP="000725AB">
            <w:pPr>
              <w:widowControl/>
              <w:snapToGrid w:val="0"/>
              <w:jc w:val="center"/>
              <w:rPr>
                <w:rFonts w:eastAsia="標楷體"/>
                <w:kern w:val="0"/>
                <w:sz w:val="28"/>
                <w:szCs w:val="28"/>
              </w:rPr>
            </w:pPr>
            <w:r w:rsidRPr="00D55DC6">
              <w:rPr>
                <w:rFonts w:eastAsia="標楷體" w:hint="eastAsia"/>
                <w:kern w:val="0"/>
                <w:sz w:val="28"/>
                <w:szCs w:val="28"/>
              </w:rPr>
              <w:t>-</w:t>
            </w:r>
          </w:p>
        </w:tc>
        <w:tc>
          <w:tcPr>
            <w:tcW w:w="886" w:type="dxa"/>
            <w:vAlign w:val="center"/>
          </w:tcPr>
          <w:p w:rsidR="00DD6816" w:rsidRPr="00D55DC6" w:rsidRDefault="00DD6816" w:rsidP="000725AB">
            <w:pPr>
              <w:widowControl/>
              <w:snapToGrid w:val="0"/>
              <w:jc w:val="center"/>
              <w:rPr>
                <w:rFonts w:eastAsia="標楷體"/>
                <w:kern w:val="0"/>
                <w:sz w:val="28"/>
                <w:szCs w:val="28"/>
              </w:rPr>
            </w:pPr>
            <w:r w:rsidRPr="00D55DC6">
              <w:rPr>
                <w:rFonts w:eastAsia="標楷體"/>
                <w:kern w:val="0"/>
                <w:sz w:val="28"/>
                <w:szCs w:val="28"/>
              </w:rPr>
              <w:t>2</w:t>
            </w:r>
          </w:p>
        </w:tc>
        <w:tc>
          <w:tcPr>
            <w:tcW w:w="886" w:type="dxa"/>
            <w:vAlign w:val="center"/>
          </w:tcPr>
          <w:p w:rsidR="00DD6816" w:rsidRPr="00D55DC6" w:rsidRDefault="00DD6816" w:rsidP="000725AB">
            <w:pPr>
              <w:widowControl/>
              <w:snapToGrid w:val="0"/>
              <w:jc w:val="center"/>
              <w:rPr>
                <w:rFonts w:eastAsia="標楷體"/>
                <w:kern w:val="0"/>
                <w:sz w:val="28"/>
                <w:szCs w:val="28"/>
              </w:rPr>
            </w:pPr>
            <w:r w:rsidRPr="00D55DC6">
              <w:rPr>
                <w:rFonts w:eastAsia="標楷體"/>
                <w:kern w:val="0"/>
                <w:sz w:val="28"/>
                <w:szCs w:val="28"/>
              </w:rPr>
              <w:t>2</w:t>
            </w:r>
          </w:p>
        </w:tc>
        <w:tc>
          <w:tcPr>
            <w:tcW w:w="886" w:type="dxa"/>
            <w:vAlign w:val="center"/>
          </w:tcPr>
          <w:p w:rsidR="00DD6816" w:rsidRPr="00D55DC6" w:rsidRDefault="00DD6816" w:rsidP="000725AB">
            <w:pPr>
              <w:widowControl/>
              <w:snapToGrid w:val="0"/>
              <w:jc w:val="center"/>
              <w:rPr>
                <w:rFonts w:eastAsia="標楷體"/>
                <w:kern w:val="0"/>
                <w:sz w:val="28"/>
                <w:szCs w:val="28"/>
              </w:rPr>
            </w:pPr>
            <w:r w:rsidRPr="00D55DC6">
              <w:rPr>
                <w:rFonts w:eastAsia="標楷體"/>
                <w:kern w:val="0"/>
                <w:sz w:val="28"/>
                <w:szCs w:val="28"/>
              </w:rPr>
              <w:t>2</w:t>
            </w:r>
          </w:p>
        </w:tc>
        <w:tc>
          <w:tcPr>
            <w:tcW w:w="886" w:type="dxa"/>
            <w:vAlign w:val="center"/>
          </w:tcPr>
          <w:p w:rsidR="00DD6816" w:rsidRPr="00D55DC6" w:rsidRDefault="00DD6816" w:rsidP="000725AB">
            <w:pPr>
              <w:snapToGrid w:val="0"/>
              <w:jc w:val="center"/>
              <w:rPr>
                <w:rFonts w:eastAsia="標楷體"/>
                <w:kern w:val="0"/>
                <w:sz w:val="28"/>
                <w:szCs w:val="28"/>
              </w:rPr>
            </w:pPr>
            <w:r w:rsidRPr="00D55DC6">
              <w:rPr>
                <w:rFonts w:eastAsia="標楷體"/>
                <w:kern w:val="0"/>
                <w:sz w:val="28"/>
                <w:szCs w:val="28"/>
              </w:rPr>
              <w:t>2</w:t>
            </w:r>
          </w:p>
        </w:tc>
      </w:tr>
    </w:tbl>
    <w:p w:rsidR="00986223" w:rsidRPr="00D55DC6" w:rsidRDefault="00986223" w:rsidP="00986223">
      <w:pPr>
        <w:snapToGrid w:val="0"/>
        <w:ind w:leftChars="296" w:left="1803" w:hangingChars="390" w:hanging="1093"/>
        <w:jc w:val="both"/>
        <w:rPr>
          <w:rFonts w:eastAsia="標楷體"/>
          <w:b/>
          <w:sz w:val="28"/>
          <w:szCs w:val="28"/>
        </w:rPr>
      </w:pPr>
    </w:p>
    <w:p w:rsidR="00986223" w:rsidRPr="00D55DC6" w:rsidRDefault="00986223" w:rsidP="00986223">
      <w:pPr>
        <w:snapToGrid w:val="0"/>
        <w:ind w:leftChars="296" w:left="1803" w:hangingChars="390" w:hanging="1093"/>
        <w:jc w:val="both"/>
        <w:rPr>
          <w:rFonts w:eastAsia="標楷體"/>
          <w:b/>
          <w:sz w:val="28"/>
          <w:szCs w:val="28"/>
        </w:rPr>
      </w:pPr>
    </w:p>
    <w:p w:rsidR="00986223" w:rsidRPr="00D55DC6" w:rsidRDefault="00986223" w:rsidP="00986223">
      <w:pPr>
        <w:numPr>
          <w:ilvl w:val="0"/>
          <w:numId w:val="1"/>
        </w:numPr>
        <w:snapToGrid w:val="0"/>
        <w:spacing w:line="460" w:lineRule="exact"/>
        <w:ind w:left="709" w:hanging="709"/>
        <w:jc w:val="both"/>
        <w:rPr>
          <w:rFonts w:eastAsia="標楷體"/>
          <w:b/>
          <w:sz w:val="28"/>
          <w:szCs w:val="28"/>
        </w:rPr>
      </w:pPr>
      <w:r w:rsidRPr="00D55DC6">
        <w:rPr>
          <w:rFonts w:eastAsia="標楷體"/>
          <w:b/>
          <w:sz w:val="28"/>
          <w:szCs w:val="28"/>
        </w:rPr>
        <w:t>現行相關政策及方案之檢討</w:t>
      </w:r>
    </w:p>
    <w:p w:rsidR="00986223" w:rsidRPr="00D55DC6" w:rsidRDefault="00986223" w:rsidP="004865C1">
      <w:pPr>
        <w:numPr>
          <w:ilvl w:val="0"/>
          <w:numId w:val="206"/>
        </w:numPr>
        <w:snapToGrid w:val="0"/>
        <w:spacing w:line="460" w:lineRule="exact"/>
        <w:jc w:val="both"/>
        <w:rPr>
          <w:rFonts w:eastAsia="標楷體"/>
          <w:sz w:val="28"/>
          <w:szCs w:val="28"/>
        </w:rPr>
      </w:pPr>
      <w:r w:rsidRPr="00D55DC6">
        <w:rPr>
          <w:rFonts w:eastAsia="標楷體"/>
          <w:b/>
          <w:sz w:val="28"/>
          <w:szCs w:val="28"/>
        </w:rPr>
        <w:t>重要觀光景點建設中程計畫</w:t>
      </w:r>
      <w:r w:rsidRPr="00D55DC6">
        <w:rPr>
          <w:rFonts w:eastAsia="標楷體"/>
          <w:b/>
          <w:sz w:val="28"/>
          <w:szCs w:val="28"/>
        </w:rPr>
        <w:t>(101-104</w:t>
      </w:r>
      <w:r w:rsidRPr="00D55DC6">
        <w:rPr>
          <w:rFonts w:eastAsia="標楷體"/>
          <w:b/>
          <w:sz w:val="28"/>
          <w:szCs w:val="28"/>
        </w:rPr>
        <w:t>年</w:t>
      </w:r>
      <w:r w:rsidRPr="00D55DC6">
        <w:rPr>
          <w:rFonts w:eastAsia="標楷體"/>
          <w:b/>
          <w:sz w:val="28"/>
          <w:szCs w:val="28"/>
        </w:rPr>
        <w:t>)</w:t>
      </w:r>
      <w:r w:rsidRPr="00D55DC6">
        <w:t xml:space="preserve"> </w:t>
      </w:r>
      <w:r w:rsidRPr="00D55DC6">
        <w:rPr>
          <w:rFonts w:eastAsia="標楷體"/>
          <w:b/>
          <w:sz w:val="28"/>
          <w:szCs w:val="28"/>
        </w:rPr>
        <w:t>(</w:t>
      </w:r>
      <w:r w:rsidRPr="00D55DC6">
        <w:rPr>
          <w:rFonts w:eastAsia="標楷體"/>
          <w:b/>
          <w:sz w:val="28"/>
          <w:szCs w:val="28"/>
        </w:rPr>
        <w:t>截至</w:t>
      </w:r>
      <w:r w:rsidRPr="00D55DC6">
        <w:rPr>
          <w:rFonts w:eastAsia="標楷體"/>
          <w:b/>
          <w:sz w:val="28"/>
          <w:szCs w:val="28"/>
        </w:rPr>
        <w:t>103</w:t>
      </w:r>
      <w:r w:rsidRPr="00D55DC6">
        <w:rPr>
          <w:rFonts w:eastAsia="標楷體"/>
          <w:b/>
          <w:sz w:val="28"/>
          <w:szCs w:val="28"/>
        </w:rPr>
        <w:t>年</w:t>
      </w:r>
      <w:r w:rsidRPr="00D55DC6">
        <w:rPr>
          <w:rFonts w:eastAsia="標楷體"/>
          <w:b/>
          <w:sz w:val="28"/>
          <w:szCs w:val="28"/>
        </w:rPr>
        <w:t>1</w:t>
      </w:r>
      <w:r w:rsidR="00DD6816" w:rsidRPr="00D55DC6">
        <w:rPr>
          <w:rFonts w:eastAsia="標楷體"/>
          <w:b/>
          <w:sz w:val="28"/>
          <w:szCs w:val="28"/>
        </w:rPr>
        <w:t>2</w:t>
      </w:r>
      <w:r w:rsidRPr="00D55DC6">
        <w:rPr>
          <w:rFonts w:eastAsia="標楷體"/>
          <w:b/>
          <w:sz w:val="28"/>
          <w:szCs w:val="28"/>
        </w:rPr>
        <w:t>月底成果</w:t>
      </w:r>
      <w:r w:rsidRPr="00D55DC6">
        <w:rPr>
          <w:rFonts w:eastAsia="標楷體"/>
          <w:b/>
          <w:sz w:val="28"/>
          <w:szCs w:val="28"/>
        </w:rPr>
        <w:t>)</w:t>
      </w:r>
    </w:p>
    <w:p w:rsidR="00986223" w:rsidRPr="00D55DC6" w:rsidRDefault="00986223" w:rsidP="004865C1">
      <w:pPr>
        <w:numPr>
          <w:ilvl w:val="0"/>
          <w:numId w:val="207"/>
        </w:numPr>
        <w:snapToGrid w:val="0"/>
        <w:spacing w:line="460" w:lineRule="exact"/>
        <w:jc w:val="both"/>
        <w:rPr>
          <w:rFonts w:eastAsia="標楷體"/>
          <w:b/>
          <w:sz w:val="28"/>
          <w:szCs w:val="28"/>
        </w:rPr>
      </w:pPr>
      <w:r w:rsidRPr="00D55DC6">
        <w:rPr>
          <w:rFonts w:eastAsia="標楷體"/>
          <w:b/>
          <w:sz w:val="28"/>
          <w:szCs w:val="28"/>
        </w:rPr>
        <w:t xml:space="preserve">預算執行情形　　　　　　　　　　　　　　　　　　　</w:t>
      </w:r>
      <w:r w:rsidRPr="00D55DC6">
        <w:rPr>
          <w:rFonts w:eastAsia="標楷體"/>
        </w:rPr>
        <w:t>單位：億元</w:t>
      </w:r>
    </w:p>
    <w:tbl>
      <w:tblPr>
        <w:tblStyle w:val="35"/>
        <w:tblW w:w="9356" w:type="dxa"/>
        <w:tblInd w:w="108" w:type="dxa"/>
        <w:tblLook w:val="04A0" w:firstRow="1" w:lastRow="0" w:firstColumn="1" w:lastColumn="0" w:noHBand="0" w:noVBand="1"/>
      </w:tblPr>
      <w:tblGrid>
        <w:gridCol w:w="3939"/>
        <w:gridCol w:w="1701"/>
        <w:gridCol w:w="1701"/>
        <w:gridCol w:w="2015"/>
      </w:tblGrid>
      <w:tr w:rsidR="001D0350" w:rsidRPr="00D55DC6" w:rsidTr="002B0433">
        <w:tc>
          <w:tcPr>
            <w:tcW w:w="3939" w:type="dxa"/>
            <w:vAlign w:val="center"/>
          </w:tcPr>
          <w:p w:rsidR="00986223" w:rsidRPr="00D55DC6" w:rsidRDefault="00986223" w:rsidP="00986223">
            <w:pPr>
              <w:snapToGrid w:val="0"/>
              <w:jc w:val="center"/>
              <w:rPr>
                <w:rFonts w:eastAsia="標楷體"/>
                <w:szCs w:val="28"/>
              </w:rPr>
            </w:pPr>
            <w:r w:rsidRPr="00D55DC6">
              <w:rPr>
                <w:rFonts w:eastAsia="標楷體"/>
                <w:szCs w:val="28"/>
              </w:rPr>
              <w:t>計畫名稱</w:t>
            </w:r>
          </w:p>
        </w:tc>
        <w:tc>
          <w:tcPr>
            <w:tcW w:w="1701" w:type="dxa"/>
          </w:tcPr>
          <w:p w:rsidR="00986223" w:rsidRPr="00D55DC6" w:rsidRDefault="00986223" w:rsidP="00986223">
            <w:pPr>
              <w:snapToGrid w:val="0"/>
              <w:jc w:val="center"/>
              <w:rPr>
                <w:rFonts w:eastAsia="標楷體"/>
                <w:szCs w:val="28"/>
              </w:rPr>
            </w:pPr>
            <w:r w:rsidRPr="00D55DC6">
              <w:rPr>
                <w:rFonts w:eastAsia="標楷體"/>
                <w:szCs w:val="28"/>
              </w:rPr>
              <w:t>總累計編列數</w:t>
            </w:r>
            <w:r w:rsidRPr="00D55DC6">
              <w:rPr>
                <w:rFonts w:eastAsia="標楷體"/>
                <w:szCs w:val="28"/>
              </w:rPr>
              <w:t>(A)</w:t>
            </w:r>
          </w:p>
        </w:tc>
        <w:tc>
          <w:tcPr>
            <w:tcW w:w="1701" w:type="dxa"/>
          </w:tcPr>
          <w:p w:rsidR="00986223" w:rsidRPr="00D55DC6" w:rsidRDefault="00986223" w:rsidP="00986223">
            <w:pPr>
              <w:snapToGrid w:val="0"/>
              <w:jc w:val="center"/>
              <w:rPr>
                <w:rFonts w:eastAsia="標楷體"/>
                <w:szCs w:val="28"/>
              </w:rPr>
            </w:pPr>
            <w:r w:rsidRPr="00D55DC6">
              <w:rPr>
                <w:rFonts w:eastAsia="標楷體"/>
                <w:szCs w:val="28"/>
              </w:rPr>
              <w:t>總累計實支數</w:t>
            </w:r>
            <w:r w:rsidRPr="00D55DC6">
              <w:rPr>
                <w:rFonts w:eastAsia="標楷體"/>
                <w:szCs w:val="28"/>
              </w:rPr>
              <w:t>(B)</w:t>
            </w:r>
          </w:p>
        </w:tc>
        <w:tc>
          <w:tcPr>
            <w:tcW w:w="2015" w:type="dxa"/>
          </w:tcPr>
          <w:p w:rsidR="00986223" w:rsidRPr="00D55DC6" w:rsidRDefault="00986223" w:rsidP="00986223">
            <w:pPr>
              <w:snapToGrid w:val="0"/>
              <w:jc w:val="center"/>
              <w:rPr>
                <w:rFonts w:eastAsia="標楷體"/>
                <w:szCs w:val="28"/>
              </w:rPr>
            </w:pPr>
            <w:r w:rsidRPr="00D55DC6">
              <w:rPr>
                <w:rFonts w:eastAsia="標楷體"/>
                <w:szCs w:val="28"/>
              </w:rPr>
              <w:t>支用比</w:t>
            </w:r>
          </w:p>
          <w:p w:rsidR="00986223" w:rsidRPr="00D55DC6" w:rsidRDefault="00986223" w:rsidP="00986223">
            <w:pPr>
              <w:snapToGrid w:val="0"/>
              <w:jc w:val="center"/>
              <w:rPr>
                <w:rFonts w:eastAsia="標楷體"/>
                <w:szCs w:val="28"/>
              </w:rPr>
            </w:pPr>
            <w:r w:rsidRPr="00D55DC6">
              <w:rPr>
                <w:rFonts w:eastAsia="標楷體"/>
                <w:szCs w:val="28"/>
              </w:rPr>
              <w:t>(B/A%)</w:t>
            </w:r>
          </w:p>
        </w:tc>
      </w:tr>
      <w:tr w:rsidR="001D0350" w:rsidRPr="00D55DC6" w:rsidTr="002B0433">
        <w:tc>
          <w:tcPr>
            <w:tcW w:w="3939" w:type="dxa"/>
            <w:vAlign w:val="center"/>
          </w:tcPr>
          <w:p w:rsidR="00DD6816" w:rsidRPr="00D55DC6" w:rsidRDefault="00DD6816" w:rsidP="00986223">
            <w:pPr>
              <w:widowControl/>
              <w:snapToGrid w:val="0"/>
              <w:rPr>
                <w:rFonts w:eastAsia="標楷體"/>
                <w:kern w:val="0"/>
                <w:lang w:bidi="sa-IN"/>
              </w:rPr>
            </w:pPr>
            <w:r w:rsidRPr="00D55DC6">
              <w:rPr>
                <w:rFonts w:eastAsia="標楷體"/>
                <w:kern w:val="0"/>
                <w:lang w:bidi="sa-IN"/>
              </w:rPr>
              <w:t>澎湖國家風景區建設計畫</w:t>
            </w:r>
          </w:p>
        </w:tc>
        <w:tc>
          <w:tcPr>
            <w:tcW w:w="1701" w:type="dxa"/>
          </w:tcPr>
          <w:p w:rsidR="00DD6816" w:rsidRPr="00D55DC6" w:rsidRDefault="00DD6816">
            <w:pPr>
              <w:jc w:val="center"/>
            </w:pPr>
            <w:r w:rsidRPr="00D55DC6">
              <w:t xml:space="preserve">4.04768 </w:t>
            </w:r>
          </w:p>
        </w:tc>
        <w:tc>
          <w:tcPr>
            <w:tcW w:w="1701" w:type="dxa"/>
          </w:tcPr>
          <w:p w:rsidR="00DD6816" w:rsidRPr="00D55DC6" w:rsidRDefault="00DD6816">
            <w:pPr>
              <w:jc w:val="center"/>
            </w:pPr>
            <w:r w:rsidRPr="00D55DC6">
              <w:t xml:space="preserve">4.04767 </w:t>
            </w:r>
          </w:p>
        </w:tc>
        <w:tc>
          <w:tcPr>
            <w:tcW w:w="2015" w:type="dxa"/>
          </w:tcPr>
          <w:p w:rsidR="00DD6816" w:rsidRPr="00D55DC6" w:rsidRDefault="00DD6816">
            <w:pPr>
              <w:jc w:val="center"/>
            </w:pPr>
            <w:r w:rsidRPr="00D55DC6">
              <w:t>100.00%</w:t>
            </w:r>
          </w:p>
        </w:tc>
      </w:tr>
    </w:tbl>
    <w:p w:rsidR="00986223" w:rsidRPr="00D55DC6" w:rsidRDefault="00986223" w:rsidP="00986223">
      <w:pPr>
        <w:snapToGrid w:val="0"/>
        <w:ind w:leftChars="295" w:left="708"/>
        <w:jc w:val="both"/>
        <w:rPr>
          <w:rFonts w:eastAsia="標楷體"/>
          <w:szCs w:val="28"/>
        </w:rPr>
      </w:pPr>
      <w:r w:rsidRPr="00D55DC6">
        <w:rPr>
          <w:rFonts w:eastAsia="標楷體"/>
          <w:szCs w:val="28"/>
        </w:rPr>
        <w:t>註</w:t>
      </w:r>
      <w:r w:rsidRPr="00D55DC6">
        <w:rPr>
          <w:rFonts w:eastAsia="標楷體"/>
          <w:szCs w:val="28"/>
        </w:rPr>
        <w:t xml:space="preserve"> 1.</w:t>
      </w:r>
      <w:r w:rsidRPr="00D55DC6">
        <w:rPr>
          <w:rFonts w:eastAsia="標楷體"/>
          <w:szCs w:val="28"/>
        </w:rPr>
        <w:t>「總累計編列數</w:t>
      </w:r>
      <w:r w:rsidRPr="00D55DC6">
        <w:rPr>
          <w:rFonts w:eastAsia="標楷體"/>
          <w:szCs w:val="28"/>
        </w:rPr>
        <w:t>(A)</w:t>
      </w:r>
      <w:r w:rsidRPr="00D55DC6">
        <w:rPr>
          <w:rFonts w:eastAsia="標楷體"/>
          <w:szCs w:val="28"/>
        </w:rPr>
        <w:t>」為</w:t>
      </w:r>
      <w:r w:rsidRPr="00D55DC6">
        <w:rPr>
          <w:rFonts w:eastAsia="標楷體"/>
          <w:szCs w:val="28"/>
        </w:rPr>
        <w:t>101</w:t>
      </w:r>
      <w:r w:rsidRPr="00D55DC6">
        <w:rPr>
          <w:rFonts w:eastAsia="標楷體"/>
          <w:szCs w:val="28"/>
        </w:rPr>
        <w:t>年</w:t>
      </w:r>
      <w:r w:rsidRPr="00D55DC6">
        <w:rPr>
          <w:rFonts w:eastAsia="標楷體"/>
          <w:szCs w:val="28"/>
        </w:rPr>
        <w:t>1</w:t>
      </w:r>
      <w:r w:rsidRPr="00D55DC6">
        <w:rPr>
          <w:rFonts w:eastAsia="標楷體"/>
          <w:szCs w:val="28"/>
        </w:rPr>
        <w:t>月至</w:t>
      </w:r>
      <w:r w:rsidRPr="00D55DC6">
        <w:rPr>
          <w:rFonts w:eastAsia="標楷體"/>
          <w:szCs w:val="28"/>
        </w:rPr>
        <w:t>103</w:t>
      </w:r>
      <w:r w:rsidRPr="00D55DC6">
        <w:rPr>
          <w:rFonts w:eastAsia="標楷體"/>
          <w:szCs w:val="28"/>
        </w:rPr>
        <w:t>年</w:t>
      </w:r>
      <w:r w:rsidRPr="00D55DC6">
        <w:rPr>
          <w:rFonts w:eastAsia="標楷體"/>
          <w:szCs w:val="28"/>
        </w:rPr>
        <w:t>1</w:t>
      </w:r>
      <w:r w:rsidR="00DD6816" w:rsidRPr="00D55DC6">
        <w:rPr>
          <w:rFonts w:eastAsia="標楷體"/>
          <w:szCs w:val="28"/>
        </w:rPr>
        <w:t>2</w:t>
      </w:r>
      <w:r w:rsidRPr="00D55DC6">
        <w:rPr>
          <w:rFonts w:eastAsia="標楷體"/>
          <w:szCs w:val="28"/>
        </w:rPr>
        <w:t>月累計實際可支用數。</w:t>
      </w:r>
    </w:p>
    <w:p w:rsidR="00986223" w:rsidRPr="00D55DC6" w:rsidRDefault="00986223" w:rsidP="00986223">
      <w:pPr>
        <w:snapToGrid w:val="0"/>
        <w:jc w:val="both"/>
        <w:rPr>
          <w:rFonts w:eastAsia="標楷體"/>
          <w:b/>
          <w:sz w:val="28"/>
          <w:szCs w:val="28"/>
        </w:rPr>
      </w:pPr>
      <w:r w:rsidRPr="00D55DC6">
        <w:rPr>
          <w:rFonts w:eastAsia="標楷體"/>
          <w:szCs w:val="28"/>
        </w:rPr>
        <w:t xml:space="preserve">         2.</w:t>
      </w:r>
      <w:r w:rsidRPr="00D55DC6">
        <w:rPr>
          <w:rFonts w:eastAsia="標楷體"/>
          <w:szCs w:val="28"/>
        </w:rPr>
        <w:t>「總累計實支數</w:t>
      </w:r>
      <w:r w:rsidRPr="00D55DC6">
        <w:rPr>
          <w:rFonts w:eastAsia="標楷體"/>
          <w:szCs w:val="28"/>
        </w:rPr>
        <w:t>(B)</w:t>
      </w:r>
      <w:r w:rsidRPr="00D55DC6">
        <w:rPr>
          <w:rFonts w:eastAsia="標楷體"/>
          <w:szCs w:val="28"/>
        </w:rPr>
        <w:t>」為</w:t>
      </w:r>
      <w:r w:rsidRPr="00D55DC6">
        <w:rPr>
          <w:rFonts w:eastAsia="標楷體"/>
          <w:szCs w:val="28"/>
        </w:rPr>
        <w:t>101</w:t>
      </w:r>
      <w:r w:rsidRPr="00D55DC6">
        <w:rPr>
          <w:rFonts w:eastAsia="標楷體"/>
          <w:szCs w:val="28"/>
        </w:rPr>
        <w:t>年</w:t>
      </w:r>
      <w:r w:rsidRPr="00D55DC6">
        <w:rPr>
          <w:rFonts w:eastAsia="標楷體"/>
          <w:szCs w:val="28"/>
        </w:rPr>
        <w:t>1</w:t>
      </w:r>
      <w:r w:rsidRPr="00D55DC6">
        <w:rPr>
          <w:rFonts w:eastAsia="標楷體"/>
          <w:szCs w:val="28"/>
        </w:rPr>
        <w:t>月至</w:t>
      </w:r>
      <w:r w:rsidRPr="00D55DC6">
        <w:rPr>
          <w:rFonts w:eastAsia="標楷體"/>
          <w:szCs w:val="28"/>
        </w:rPr>
        <w:t>103</w:t>
      </w:r>
      <w:r w:rsidRPr="00D55DC6">
        <w:rPr>
          <w:rFonts w:eastAsia="標楷體"/>
          <w:szCs w:val="28"/>
        </w:rPr>
        <w:t>年</w:t>
      </w:r>
      <w:r w:rsidR="00DD6816" w:rsidRPr="00D55DC6">
        <w:rPr>
          <w:rFonts w:eastAsia="標楷體"/>
          <w:szCs w:val="28"/>
        </w:rPr>
        <w:t>12</w:t>
      </w:r>
      <w:r w:rsidRPr="00D55DC6">
        <w:rPr>
          <w:rFonts w:eastAsia="標楷體"/>
          <w:szCs w:val="28"/>
        </w:rPr>
        <w:t>月累計實支數。</w:t>
      </w:r>
      <w:r w:rsidRPr="00D55DC6">
        <w:rPr>
          <w:rFonts w:eastAsia="標楷體"/>
          <w:b/>
          <w:sz w:val="28"/>
          <w:szCs w:val="28"/>
        </w:rPr>
        <w:br w:type="page"/>
      </w:r>
    </w:p>
    <w:p w:rsidR="00986223" w:rsidRPr="00D55DC6" w:rsidRDefault="00986223" w:rsidP="004865C1">
      <w:pPr>
        <w:numPr>
          <w:ilvl w:val="0"/>
          <w:numId w:val="207"/>
        </w:numPr>
        <w:snapToGrid w:val="0"/>
        <w:spacing w:line="440" w:lineRule="exact"/>
        <w:jc w:val="both"/>
        <w:rPr>
          <w:rFonts w:eastAsia="標楷體"/>
          <w:b/>
          <w:sz w:val="28"/>
          <w:szCs w:val="28"/>
        </w:rPr>
      </w:pPr>
      <w:r w:rsidRPr="00D55DC6">
        <w:rPr>
          <w:rFonts w:eastAsia="標楷體"/>
          <w:b/>
          <w:sz w:val="28"/>
          <w:szCs w:val="28"/>
        </w:rPr>
        <w:lastRenderedPageBreak/>
        <w:t>重要執行成果</w:t>
      </w:r>
    </w:p>
    <w:p w:rsidR="00986223" w:rsidRPr="00D55DC6" w:rsidRDefault="00986223" w:rsidP="00986223">
      <w:pPr>
        <w:snapToGrid w:val="0"/>
        <w:spacing w:line="440" w:lineRule="exact"/>
        <w:ind w:left="425" w:firstLineChars="101" w:firstLine="283"/>
        <w:jc w:val="both"/>
        <w:rPr>
          <w:rFonts w:eastAsia="標楷體"/>
          <w:b/>
          <w:sz w:val="28"/>
          <w:szCs w:val="28"/>
        </w:rPr>
      </w:pPr>
      <w:r w:rsidRPr="00D55DC6">
        <w:rPr>
          <w:rFonts w:eastAsia="標楷體"/>
          <w:b/>
          <w:sz w:val="28"/>
          <w:szCs w:val="28"/>
        </w:rPr>
        <w:t>2-1.</w:t>
      </w:r>
      <w:r w:rsidRPr="00D55DC6">
        <w:rPr>
          <w:rFonts w:eastAsia="標楷體"/>
          <w:b/>
          <w:sz w:val="28"/>
          <w:szCs w:val="28"/>
        </w:rPr>
        <w:t>國際觀光重要景點建設</w:t>
      </w:r>
    </w:p>
    <w:p w:rsidR="00986223" w:rsidRPr="00D55DC6" w:rsidRDefault="00986223" w:rsidP="00986223">
      <w:pPr>
        <w:tabs>
          <w:tab w:val="num" w:pos="720"/>
        </w:tabs>
        <w:snapToGrid w:val="0"/>
        <w:spacing w:line="440" w:lineRule="exact"/>
        <w:ind w:leftChars="473" w:left="1983" w:hangingChars="303" w:hanging="848"/>
        <w:jc w:val="both"/>
        <w:rPr>
          <w:rFonts w:eastAsia="標楷體"/>
          <w:snapToGrid w:val="0"/>
          <w:kern w:val="0"/>
          <w:sz w:val="28"/>
          <w:szCs w:val="28"/>
        </w:rPr>
      </w:pPr>
      <w:r w:rsidRPr="00D55DC6">
        <w:rPr>
          <w:rFonts w:eastAsia="標楷體"/>
          <w:snapToGrid w:val="0"/>
          <w:kern w:val="0"/>
          <w:sz w:val="28"/>
          <w:szCs w:val="28"/>
        </w:rPr>
        <w:t>2-1-1.</w:t>
      </w:r>
      <w:r w:rsidRPr="00D55DC6">
        <w:rPr>
          <w:rFonts w:eastAsia="標楷體"/>
          <w:bCs/>
          <w:sz w:val="28"/>
          <w:szCs w:val="28"/>
        </w:rPr>
        <w:t>隘門遊憩區：</w:t>
      </w:r>
      <w:r w:rsidRPr="00D55DC6">
        <w:rPr>
          <w:rFonts w:eastAsia="標楷體"/>
          <w:snapToGrid w:val="0"/>
          <w:kern w:val="0"/>
          <w:sz w:val="28"/>
          <w:szCs w:val="28"/>
        </w:rPr>
        <w:t>隘門、林投沙灘意象及服務設施工程。</w:t>
      </w:r>
    </w:p>
    <w:p w:rsidR="00986223" w:rsidRPr="00D55DC6" w:rsidRDefault="00986223" w:rsidP="00986223">
      <w:pPr>
        <w:tabs>
          <w:tab w:val="num" w:pos="720"/>
        </w:tabs>
        <w:snapToGrid w:val="0"/>
        <w:spacing w:line="440" w:lineRule="exact"/>
        <w:ind w:leftChars="473" w:left="1983" w:hangingChars="303" w:hanging="848"/>
        <w:jc w:val="both"/>
        <w:rPr>
          <w:rFonts w:eastAsia="標楷體"/>
          <w:sz w:val="28"/>
          <w:szCs w:val="28"/>
        </w:rPr>
      </w:pPr>
      <w:r w:rsidRPr="00D55DC6">
        <w:rPr>
          <w:rFonts w:eastAsia="標楷體"/>
          <w:snapToGrid w:val="0"/>
          <w:kern w:val="0"/>
          <w:sz w:val="28"/>
          <w:szCs w:val="28"/>
        </w:rPr>
        <w:t>2-1-2.</w:t>
      </w:r>
      <w:r w:rsidRPr="00D55DC6">
        <w:rPr>
          <w:rFonts w:eastAsia="標楷體"/>
          <w:bCs/>
          <w:kern w:val="0"/>
          <w:sz w:val="28"/>
          <w:szCs w:val="28"/>
        </w:rPr>
        <w:t>中屯風力園區</w:t>
      </w:r>
      <w:r w:rsidRPr="00D55DC6">
        <w:rPr>
          <w:rFonts w:eastAsia="標楷體"/>
          <w:sz w:val="28"/>
          <w:szCs w:val="28"/>
        </w:rPr>
        <w:t>：</w:t>
      </w:r>
      <w:r w:rsidRPr="00D55DC6">
        <w:rPr>
          <w:rFonts w:eastAsia="標楷體"/>
          <w:bCs/>
          <w:kern w:val="0"/>
          <w:sz w:val="28"/>
          <w:szCs w:val="28"/>
        </w:rPr>
        <w:t>中屯風力園區</w:t>
      </w:r>
      <w:r w:rsidRPr="00D55DC6">
        <w:rPr>
          <w:rFonts w:eastAsia="標楷體"/>
          <w:sz w:val="28"/>
          <w:szCs w:val="28"/>
        </w:rPr>
        <w:t>環境改善工程。</w:t>
      </w:r>
    </w:p>
    <w:p w:rsidR="00986223" w:rsidRPr="00D55DC6" w:rsidRDefault="00986223" w:rsidP="00986223">
      <w:pPr>
        <w:tabs>
          <w:tab w:val="num" w:pos="720"/>
        </w:tabs>
        <w:snapToGrid w:val="0"/>
        <w:spacing w:line="440" w:lineRule="exact"/>
        <w:ind w:leftChars="473" w:left="1983" w:hangingChars="303" w:hanging="848"/>
        <w:jc w:val="both"/>
        <w:rPr>
          <w:rFonts w:eastAsia="標楷體"/>
          <w:snapToGrid w:val="0"/>
          <w:kern w:val="0"/>
          <w:sz w:val="28"/>
          <w:szCs w:val="28"/>
        </w:rPr>
      </w:pPr>
      <w:r w:rsidRPr="00D55DC6">
        <w:rPr>
          <w:rFonts w:eastAsia="標楷體"/>
          <w:snapToGrid w:val="0"/>
          <w:kern w:val="0"/>
          <w:sz w:val="28"/>
          <w:szCs w:val="28"/>
        </w:rPr>
        <w:t>2-1-3.</w:t>
      </w:r>
      <w:r w:rsidRPr="00D55DC6">
        <w:rPr>
          <w:rFonts w:eastAsia="標楷體"/>
          <w:bCs/>
          <w:sz w:val="28"/>
          <w:szCs w:val="28"/>
        </w:rPr>
        <w:t>古堡遊憩區及漁翁島燈塔遊憩區</w:t>
      </w:r>
      <w:r w:rsidRPr="00D55DC6">
        <w:rPr>
          <w:rFonts w:eastAsia="標楷體"/>
          <w:sz w:val="28"/>
          <w:szCs w:val="28"/>
        </w:rPr>
        <w:t>：</w:t>
      </w:r>
      <w:r w:rsidRPr="00D55DC6">
        <w:rPr>
          <w:rFonts w:eastAsia="標楷體"/>
          <w:snapToGrid w:val="0"/>
          <w:kern w:val="0"/>
          <w:sz w:val="28"/>
          <w:szCs w:val="28"/>
        </w:rPr>
        <w:t>古堡遊憩區設施整建工程、西嶼西台遊憩設施整建工程、東昌及東台營區服務設施修繕工程。</w:t>
      </w:r>
    </w:p>
    <w:p w:rsidR="00986223" w:rsidRPr="00D55DC6" w:rsidRDefault="00986223" w:rsidP="00986223">
      <w:pPr>
        <w:tabs>
          <w:tab w:val="num" w:pos="720"/>
        </w:tabs>
        <w:snapToGrid w:val="0"/>
        <w:spacing w:line="440" w:lineRule="exact"/>
        <w:ind w:leftChars="473" w:left="1983" w:hangingChars="303" w:hanging="848"/>
        <w:jc w:val="both"/>
        <w:rPr>
          <w:rFonts w:eastAsia="標楷體"/>
          <w:snapToGrid w:val="0"/>
          <w:kern w:val="0"/>
          <w:sz w:val="28"/>
          <w:szCs w:val="28"/>
        </w:rPr>
      </w:pPr>
      <w:r w:rsidRPr="00D55DC6">
        <w:rPr>
          <w:rFonts w:eastAsia="標楷體"/>
          <w:snapToGrid w:val="0"/>
          <w:kern w:val="0"/>
          <w:sz w:val="28"/>
          <w:szCs w:val="28"/>
        </w:rPr>
        <w:t>2-1-4.</w:t>
      </w:r>
      <w:r w:rsidRPr="00D55DC6">
        <w:rPr>
          <w:rFonts w:eastAsia="標楷體"/>
          <w:bCs/>
          <w:sz w:val="28"/>
          <w:szCs w:val="28"/>
        </w:rPr>
        <w:t>吉貝遊憩區</w:t>
      </w:r>
      <w:r w:rsidRPr="00D55DC6">
        <w:rPr>
          <w:rFonts w:eastAsia="標楷體"/>
          <w:sz w:val="28"/>
          <w:szCs w:val="28"/>
        </w:rPr>
        <w:t>：</w:t>
      </w:r>
      <w:r w:rsidRPr="00D55DC6">
        <w:rPr>
          <w:rFonts w:eastAsia="標楷體"/>
          <w:snapToGrid w:val="0"/>
          <w:kern w:val="0"/>
          <w:sz w:val="28"/>
          <w:szCs w:val="28"/>
        </w:rPr>
        <w:t>吉貝遊憩區服務設施整建工程、吉貝及赤崁浮動碼頭周邊設施改善工程、吉貝浮動碼頭新建工程。</w:t>
      </w:r>
    </w:p>
    <w:p w:rsidR="00986223" w:rsidRPr="00D55DC6" w:rsidRDefault="00986223" w:rsidP="00986223">
      <w:pPr>
        <w:tabs>
          <w:tab w:val="num" w:pos="720"/>
        </w:tabs>
        <w:snapToGrid w:val="0"/>
        <w:spacing w:line="440" w:lineRule="exact"/>
        <w:ind w:leftChars="473" w:left="1983" w:hangingChars="303" w:hanging="848"/>
        <w:jc w:val="both"/>
        <w:rPr>
          <w:rFonts w:eastAsia="標楷體"/>
          <w:snapToGrid w:val="0"/>
          <w:kern w:val="0"/>
          <w:sz w:val="28"/>
          <w:szCs w:val="28"/>
        </w:rPr>
      </w:pPr>
      <w:r w:rsidRPr="00D55DC6">
        <w:rPr>
          <w:rFonts w:eastAsia="標楷體"/>
          <w:snapToGrid w:val="0"/>
          <w:kern w:val="0"/>
          <w:sz w:val="28"/>
          <w:szCs w:val="28"/>
        </w:rPr>
        <w:t>2-1-5.</w:t>
      </w:r>
      <w:r w:rsidRPr="00D55DC6">
        <w:rPr>
          <w:rFonts w:eastAsia="標楷體"/>
          <w:bCs/>
          <w:kern w:val="0"/>
          <w:sz w:val="28"/>
          <w:szCs w:val="28"/>
        </w:rPr>
        <w:t>桶盤嶼地質公園及虎井嶼遊憩區</w:t>
      </w:r>
      <w:r w:rsidRPr="00D55DC6">
        <w:rPr>
          <w:rFonts w:eastAsia="標楷體"/>
          <w:sz w:val="28"/>
          <w:szCs w:val="28"/>
        </w:rPr>
        <w:t>：</w:t>
      </w:r>
      <w:r w:rsidRPr="00D55DC6">
        <w:rPr>
          <w:rFonts w:eastAsia="標楷體"/>
          <w:snapToGrid w:val="0"/>
          <w:kern w:val="0"/>
          <w:sz w:val="28"/>
          <w:szCs w:val="28"/>
        </w:rPr>
        <w:t>菜園及桶盤遊憩區環境整理工程、新設虎井北迴歸線地標工程、虎井服務設施修繕工程。</w:t>
      </w:r>
    </w:p>
    <w:p w:rsidR="00986223" w:rsidRPr="00D55DC6" w:rsidRDefault="00986223" w:rsidP="00986223">
      <w:pPr>
        <w:tabs>
          <w:tab w:val="num" w:pos="720"/>
        </w:tabs>
        <w:snapToGrid w:val="0"/>
        <w:spacing w:line="440" w:lineRule="exact"/>
        <w:ind w:leftChars="473" w:left="1983" w:hangingChars="303" w:hanging="848"/>
        <w:jc w:val="both"/>
        <w:rPr>
          <w:rFonts w:eastAsia="標楷體"/>
          <w:snapToGrid w:val="0"/>
          <w:kern w:val="0"/>
          <w:sz w:val="28"/>
          <w:szCs w:val="28"/>
        </w:rPr>
      </w:pPr>
      <w:r w:rsidRPr="00D55DC6">
        <w:rPr>
          <w:rFonts w:eastAsia="標楷體"/>
          <w:snapToGrid w:val="0"/>
          <w:kern w:val="0"/>
          <w:sz w:val="28"/>
          <w:szCs w:val="28"/>
        </w:rPr>
        <w:t>2-1-6.</w:t>
      </w:r>
      <w:r w:rsidRPr="00D55DC6">
        <w:rPr>
          <w:rFonts w:eastAsia="標楷體"/>
          <w:snapToGrid w:val="0"/>
          <w:kern w:val="0"/>
          <w:sz w:val="28"/>
          <w:szCs w:val="28"/>
        </w:rPr>
        <w:t>西嶼遊憩區：大菓葉景點設施整建工程、二崁公園用地景觀改善工程。</w:t>
      </w:r>
    </w:p>
    <w:p w:rsidR="00986223" w:rsidRPr="00D55DC6" w:rsidRDefault="00986223" w:rsidP="00986223">
      <w:pPr>
        <w:snapToGrid w:val="0"/>
        <w:spacing w:line="440" w:lineRule="exact"/>
        <w:ind w:firstLineChars="152" w:firstLine="426"/>
        <w:jc w:val="both"/>
        <w:rPr>
          <w:rFonts w:eastAsia="標楷體"/>
          <w:b/>
          <w:sz w:val="28"/>
          <w:szCs w:val="28"/>
        </w:rPr>
      </w:pPr>
      <w:r w:rsidRPr="00D55DC6">
        <w:rPr>
          <w:rFonts w:eastAsia="標楷體"/>
          <w:b/>
          <w:sz w:val="28"/>
          <w:szCs w:val="28"/>
        </w:rPr>
        <w:t>2-2.</w:t>
      </w:r>
      <w:r w:rsidRPr="00D55DC6">
        <w:rPr>
          <w:rFonts w:eastAsia="標楷體"/>
          <w:b/>
          <w:sz w:val="28"/>
          <w:szCs w:val="28"/>
        </w:rPr>
        <w:t>國內觀光重要景點建設</w:t>
      </w:r>
    </w:p>
    <w:p w:rsidR="00986223" w:rsidRPr="00D55DC6" w:rsidRDefault="00986223" w:rsidP="00986223">
      <w:pPr>
        <w:tabs>
          <w:tab w:val="num" w:pos="720"/>
        </w:tabs>
        <w:snapToGrid w:val="0"/>
        <w:spacing w:line="440" w:lineRule="exact"/>
        <w:ind w:leftChars="473" w:left="1983" w:hangingChars="303" w:hanging="848"/>
        <w:jc w:val="both"/>
        <w:rPr>
          <w:rFonts w:eastAsia="標楷體"/>
          <w:snapToGrid w:val="0"/>
          <w:kern w:val="0"/>
          <w:sz w:val="28"/>
          <w:szCs w:val="28"/>
        </w:rPr>
      </w:pPr>
      <w:r w:rsidRPr="00D55DC6">
        <w:rPr>
          <w:rFonts w:eastAsia="標楷體"/>
          <w:snapToGrid w:val="0"/>
          <w:kern w:val="0"/>
          <w:sz w:val="28"/>
          <w:szCs w:val="28"/>
        </w:rPr>
        <w:t>2-2-1.</w:t>
      </w:r>
      <w:r w:rsidRPr="00D55DC6">
        <w:rPr>
          <w:rFonts w:eastAsia="標楷體"/>
          <w:bCs/>
          <w:kern w:val="0"/>
          <w:sz w:val="28"/>
          <w:szCs w:val="28"/>
        </w:rPr>
        <w:t>馬公觀光都市及菜園遊憩區</w:t>
      </w:r>
      <w:r w:rsidRPr="00D55DC6">
        <w:rPr>
          <w:rFonts w:eastAsia="標楷體"/>
          <w:sz w:val="28"/>
          <w:szCs w:val="28"/>
        </w:rPr>
        <w:t>：</w:t>
      </w:r>
      <w:r w:rsidRPr="00D55DC6">
        <w:rPr>
          <w:rFonts w:eastAsia="標楷體"/>
          <w:snapToGrid w:val="0"/>
          <w:kern w:val="0"/>
          <w:sz w:val="28"/>
          <w:szCs w:val="28"/>
        </w:rPr>
        <w:t>澎湖遊客中心設施改善工程、澎湖遊客中心內裝改善工程、管理處行政園區前廣場設施改善、菜園及桶盤遊憩區環境整理工程。</w:t>
      </w:r>
    </w:p>
    <w:p w:rsidR="00986223" w:rsidRPr="00D55DC6" w:rsidRDefault="00986223" w:rsidP="00986223">
      <w:pPr>
        <w:tabs>
          <w:tab w:val="num" w:pos="720"/>
        </w:tabs>
        <w:snapToGrid w:val="0"/>
        <w:spacing w:line="440" w:lineRule="exact"/>
        <w:ind w:leftChars="473" w:left="1983" w:hangingChars="303" w:hanging="848"/>
        <w:jc w:val="both"/>
        <w:rPr>
          <w:rFonts w:eastAsia="標楷體"/>
          <w:snapToGrid w:val="0"/>
          <w:kern w:val="0"/>
          <w:sz w:val="28"/>
          <w:szCs w:val="28"/>
        </w:rPr>
      </w:pPr>
      <w:r w:rsidRPr="00D55DC6">
        <w:rPr>
          <w:rFonts w:eastAsia="標楷體"/>
          <w:snapToGrid w:val="0"/>
          <w:kern w:val="0"/>
          <w:sz w:val="28"/>
          <w:szCs w:val="28"/>
        </w:rPr>
        <w:t>2-2-2.</w:t>
      </w:r>
      <w:r w:rsidRPr="00D55DC6">
        <w:rPr>
          <w:rFonts w:eastAsia="標楷體"/>
          <w:bCs/>
          <w:kern w:val="0"/>
          <w:sz w:val="28"/>
          <w:szCs w:val="28"/>
        </w:rPr>
        <w:t>白沙遊憩區</w:t>
      </w:r>
      <w:r w:rsidRPr="00D55DC6">
        <w:rPr>
          <w:rFonts w:eastAsia="標楷體"/>
          <w:bCs/>
          <w:kern w:val="0"/>
          <w:sz w:val="28"/>
          <w:szCs w:val="28"/>
        </w:rPr>
        <w:t>(</w:t>
      </w:r>
      <w:r w:rsidRPr="00D55DC6">
        <w:rPr>
          <w:rFonts w:eastAsia="標楷體"/>
          <w:bCs/>
          <w:kern w:val="0"/>
          <w:sz w:val="28"/>
          <w:szCs w:val="28"/>
        </w:rPr>
        <w:t>含鳥嶼、員貝嶼</w:t>
      </w:r>
      <w:r w:rsidRPr="00D55DC6">
        <w:rPr>
          <w:rFonts w:eastAsia="標楷體"/>
          <w:bCs/>
          <w:kern w:val="0"/>
          <w:sz w:val="28"/>
          <w:szCs w:val="28"/>
        </w:rPr>
        <w:t>)</w:t>
      </w:r>
      <w:r w:rsidRPr="00D55DC6">
        <w:rPr>
          <w:rFonts w:eastAsia="標楷體"/>
          <w:sz w:val="28"/>
          <w:szCs w:val="28"/>
        </w:rPr>
        <w:t>：</w:t>
      </w:r>
      <w:r w:rsidRPr="00D55DC6">
        <w:rPr>
          <w:rFonts w:eastAsia="標楷體"/>
          <w:snapToGrid w:val="0"/>
          <w:kern w:val="0"/>
          <w:sz w:val="28"/>
          <w:szCs w:val="28"/>
        </w:rPr>
        <w:t>鳥嶼金山殿廟前廣場整建工程、通梁跨海大橋橋頭公園綠美化。</w:t>
      </w:r>
    </w:p>
    <w:p w:rsidR="00986223" w:rsidRPr="00D55DC6" w:rsidRDefault="00986223" w:rsidP="00986223">
      <w:pPr>
        <w:tabs>
          <w:tab w:val="num" w:pos="720"/>
        </w:tabs>
        <w:snapToGrid w:val="0"/>
        <w:spacing w:line="440" w:lineRule="exact"/>
        <w:ind w:leftChars="473" w:left="1983" w:hangingChars="303" w:hanging="848"/>
        <w:jc w:val="both"/>
        <w:rPr>
          <w:rFonts w:eastAsia="標楷體"/>
          <w:bCs/>
          <w:sz w:val="28"/>
          <w:szCs w:val="28"/>
        </w:rPr>
      </w:pPr>
      <w:r w:rsidRPr="00D55DC6">
        <w:rPr>
          <w:rFonts w:eastAsia="標楷體"/>
          <w:snapToGrid w:val="0"/>
          <w:kern w:val="0"/>
          <w:sz w:val="28"/>
          <w:szCs w:val="28"/>
        </w:rPr>
        <w:t>2-2-3.</w:t>
      </w:r>
      <w:r w:rsidRPr="00D55DC6">
        <w:rPr>
          <w:rFonts w:eastAsia="標楷體"/>
          <w:bCs/>
          <w:kern w:val="0"/>
          <w:sz w:val="28"/>
          <w:szCs w:val="28"/>
        </w:rPr>
        <w:t>望安中社及天臺山遊憩區</w:t>
      </w:r>
      <w:r w:rsidRPr="00D55DC6">
        <w:rPr>
          <w:rFonts w:eastAsia="標楷體"/>
          <w:sz w:val="28"/>
          <w:szCs w:val="28"/>
        </w:rPr>
        <w:t>：</w:t>
      </w:r>
      <w:r w:rsidRPr="00D55DC6">
        <w:rPr>
          <w:rFonts w:eastAsia="標楷體"/>
          <w:snapToGrid w:val="0"/>
          <w:kern w:val="0"/>
          <w:sz w:val="28"/>
          <w:szCs w:val="28"/>
        </w:rPr>
        <w:t>望安中社停車場及公廁整建工程、望安天臺山遊憩區設施整建、</w:t>
      </w:r>
      <w:r w:rsidRPr="00D55DC6">
        <w:rPr>
          <w:rFonts w:eastAsia="標楷體"/>
          <w:bCs/>
          <w:sz w:val="28"/>
          <w:szCs w:val="28"/>
        </w:rPr>
        <w:t>望安鴛鴦窟服務設施整建工程、望安網垵口既有公廁整建工程、望安綠蠵龜觀光保育中心內裝整修工程。</w:t>
      </w:r>
    </w:p>
    <w:p w:rsidR="00986223" w:rsidRPr="00D55DC6" w:rsidRDefault="00986223" w:rsidP="00986223">
      <w:pPr>
        <w:tabs>
          <w:tab w:val="num" w:pos="720"/>
        </w:tabs>
        <w:snapToGrid w:val="0"/>
        <w:spacing w:line="440" w:lineRule="exact"/>
        <w:ind w:leftChars="473" w:left="1983" w:hangingChars="303" w:hanging="848"/>
        <w:jc w:val="both"/>
        <w:rPr>
          <w:rFonts w:eastAsia="標楷體"/>
          <w:snapToGrid w:val="0"/>
          <w:kern w:val="0"/>
          <w:sz w:val="28"/>
          <w:szCs w:val="28"/>
        </w:rPr>
      </w:pPr>
      <w:r w:rsidRPr="00D55DC6">
        <w:rPr>
          <w:rFonts w:eastAsia="標楷體"/>
          <w:snapToGrid w:val="0"/>
          <w:kern w:val="0"/>
          <w:sz w:val="28"/>
          <w:szCs w:val="28"/>
        </w:rPr>
        <w:t>2-2-4.</w:t>
      </w:r>
      <w:r w:rsidRPr="00D55DC6">
        <w:rPr>
          <w:rFonts w:eastAsia="標楷體"/>
          <w:bCs/>
          <w:spacing w:val="-4"/>
          <w:kern w:val="0"/>
          <w:sz w:val="28"/>
          <w:szCs w:val="28"/>
        </w:rPr>
        <w:t>七美南滬港區及愛情園區</w:t>
      </w:r>
      <w:r w:rsidRPr="00D55DC6">
        <w:rPr>
          <w:rFonts w:eastAsia="標楷體"/>
          <w:sz w:val="28"/>
          <w:szCs w:val="28"/>
        </w:rPr>
        <w:t>：</w:t>
      </w:r>
      <w:r w:rsidRPr="00D55DC6">
        <w:rPr>
          <w:rFonts w:eastAsia="標楷體"/>
          <w:snapToGrid w:val="0"/>
          <w:kern w:val="0"/>
          <w:sz w:val="28"/>
          <w:szCs w:val="28"/>
        </w:rPr>
        <w:t>七美雙心石滬動線設施整建工程、七美人塚據點設施整建、大獅龍埕風景區整建工程。</w:t>
      </w:r>
    </w:p>
    <w:p w:rsidR="00986223" w:rsidRPr="00D55DC6" w:rsidRDefault="00986223" w:rsidP="00986223">
      <w:pPr>
        <w:snapToGrid w:val="0"/>
        <w:spacing w:line="440" w:lineRule="exact"/>
        <w:ind w:firstLineChars="253" w:firstLine="709"/>
        <w:jc w:val="both"/>
        <w:rPr>
          <w:rFonts w:eastAsia="標楷體"/>
          <w:b/>
          <w:sz w:val="28"/>
          <w:szCs w:val="28"/>
        </w:rPr>
      </w:pPr>
      <w:r w:rsidRPr="00D55DC6">
        <w:rPr>
          <w:rFonts w:eastAsia="標楷體"/>
          <w:b/>
          <w:sz w:val="28"/>
          <w:szCs w:val="28"/>
        </w:rPr>
        <w:t>2-3.</w:t>
      </w:r>
      <w:r w:rsidRPr="00D55DC6">
        <w:rPr>
          <w:rFonts w:eastAsia="標楷體"/>
          <w:b/>
          <w:sz w:val="28"/>
          <w:szCs w:val="28"/>
        </w:rPr>
        <w:t>地方觀光重要景點建設</w:t>
      </w:r>
    </w:p>
    <w:p w:rsidR="00986223" w:rsidRPr="00D55DC6" w:rsidRDefault="00986223" w:rsidP="00986223">
      <w:pPr>
        <w:snapToGrid w:val="0"/>
        <w:spacing w:line="440" w:lineRule="exact"/>
        <w:ind w:leftChars="589" w:left="1416" w:hanging="2"/>
        <w:jc w:val="both"/>
        <w:rPr>
          <w:rFonts w:eastAsia="標楷體"/>
          <w:bCs/>
          <w:sz w:val="28"/>
          <w:szCs w:val="28"/>
        </w:rPr>
      </w:pPr>
      <w:r w:rsidRPr="00D55DC6">
        <w:rPr>
          <w:rFonts w:eastAsia="標楷體"/>
          <w:bCs/>
          <w:sz w:val="28"/>
          <w:szCs w:val="28"/>
        </w:rPr>
        <w:t>無。</w:t>
      </w:r>
    </w:p>
    <w:p w:rsidR="00986223" w:rsidRPr="00D55DC6" w:rsidRDefault="00986223" w:rsidP="00986223">
      <w:pPr>
        <w:snapToGrid w:val="0"/>
        <w:spacing w:line="440" w:lineRule="exact"/>
        <w:ind w:leftChars="199" w:left="478" w:firstLineChars="82" w:firstLine="230"/>
        <w:jc w:val="both"/>
        <w:rPr>
          <w:rFonts w:eastAsia="標楷體"/>
          <w:b/>
          <w:sz w:val="28"/>
          <w:szCs w:val="28"/>
        </w:rPr>
      </w:pPr>
      <w:r w:rsidRPr="00D55DC6">
        <w:rPr>
          <w:rFonts w:eastAsia="標楷體"/>
          <w:b/>
          <w:sz w:val="28"/>
          <w:szCs w:val="28"/>
        </w:rPr>
        <w:t>2-4.</w:t>
      </w:r>
      <w:r w:rsidRPr="00D55DC6">
        <w:rPr>
          <w:rFonts w:eastAsia="標楷體"/>
          <w:b/>
          <w:sz w:val="28"/>
          <w:szCs w:val="28"/>
        </w:rPr>
        <w:t>國家風景區經營管理建設</w:t>
      </w:r>
    </w:p>
    <w:p w:rsidR="00986223" w:rsidRPr="00D55DC6" w:rsidRDefault="00986223" w:rsidP="00986223">
      <w:pPr>
        <w:snapToGrid w:val="0"/>
        <w:spacing w:line="440" w:lineRule="exact"/>
        <w:ind w:leftChars="472" w:left="1984" w:hangingChars="304" w:hanging="851"/>
        <w:jc w:val="both"/>
        <w:rPr>
          <w:rFonts w:eastAsia="標楷體"/>
          <w:snapToGrid w:val="0"/>
          <w:kern w:val="0"/>
          <w:sz w:val="28"/>
          <w:szCs w:val="28"/>
        </w:rPr>
      </w:pPr>
      <w:r w:rsidRPr="00D55DC6">
        <w:rPr>
          <w:rFonts w:eastAsia="標楷體"/>
          <w:snapToGrid w:val="0"/>
          <w:kern w:val="0"/>
          <w:sz w:val="28"/>
          <w:szCs w:val="28"/>
        </w:rPr>
        <w:t>2-4-1.</w:t>
      </w:r>
      <w:r w:rsidRPr="00D55DC6">
        <w:rPr>
          <w:rFonts w:eastAsia="標楷體"/>
          <w:snapToGrid w:val="0"/>
          <w:kern w:val="0"/>
          <w:sz w:val="28"/>
          <w:szCs w:val="28"/>
        </w:rPr>
        <w:t>景點周邊環境整頓：除改善遊憩區</w:t>
      </w:r>
      <w:r w:rsidR="00397CE7" w:rsidRPr="00D55DC6">
        <w:rPr>
          <w:rFonts w:eastAsia="標楷體"/>
          <w:snapToGrid w:val="0"/>
          <w:kern w:val="0"/>
          <w:sz w:val="28"/>
          <w:szCs w:val="28"/>
        </w:rPr>
        <w:t>周邊</w:t>
      </w:r>
      <w:r w:rsidRPr="00D55DC6">
        <w:rPr>
          <w:rFonts w:eastAsia="標楷體"/>
          <w:snapToGrid w:val="0"/>
          <w:kern w:val="0"/>
          <w:sz w:val="28"/>
          <w:szCs w:val="28"/>
        </w:rPr>
        <w:t>墳墓濫葬景觀外，動員村落社區、軍方、學校、社會役等人力，舉辦環境清新潔</w:t>
      </w:r>
      <w:r w:rsidRPr="00D55DC6">
        <w:rPr>
          <w:rFonts w:eastAsia="標楷體"/>
          <w:snapToGrid w:val="0"/>
          <w:kern w:val="0"/>
          <w:sz w:val="28"/>
          <w:szCs w:val="28"/>
        </w:rPr>
        <w:lastRenderedPageBreak/>
        <w:t>淨活動，灌輸民眾學子環保意識。</w:t>
      </w:r>
    </w:p>
    <w:p w:rsidR="00986223" w:rsidRPr="00D55DC6" w:rsidRDefault="00986223" w:rsidP="00986223">
      <w:pPr>
        <w:snapToGrid w:val="0"/>
        <w:spacing w:line="440" w:lineRule="exact"/>
        <w:ind w:leftChars="472" w:left="1984" w:hangingChars="304" w:hanging="851"/>
        <w:jc w:val="both"/>
        <w:rPr>
          <w:rFonts w:eastAsia="標楷體"/>
          <w:b/>
          <w:sz w:val="28"/>
          <w:szCs w:val="28"/>
        </w:rPr>
      </w:pPr>
      <w:r w:rsidRPr="00D55DC6">
        <w:rPr>
          <w:rFonts w:eastAsia="標楷體"/>
          <w:snapToGrid w:val="0"/>
          <w:kern w:val="0"/>
          <w:sz w:val="28"/>
          <w:szCs w:val="28"/>
        </w:rPr>
        <w:t>2-4-2.</w:t>
      </w:r>
      <w:r w:rsidRPr="00D55DC6">
        <w:rPr>
          <w:rFonts w:eastAsia="標楷體"/>
          <w:snapToGrid w:val="0"/>
          <w:kern w:val="0"/>
          <w:sz w:val="28"/>
          <w:szCs w:val="28"/>
        </w:rPr>
        <w:t>優質公廁提昇計畫：針對經管公廁，以優質公廁標準進行檢討，改善軟硬體，專人清潔管理（</w:t>
      </w:r>
      <w:r w:rsidRPr="00D55DC6">
        <w:rPr>
          <w:rFonts w:eastAsia="標楷體"/>
          <w:snapToGrid w:val="0"/>
          <w:kern w:val="0"/>
          <w:sz w:val="28"/>
          <w:szCs w:val="28"/>
        </w:rPr>
        <w:t>SOP</w:t>
      </w:r>
      <w:r w:rsidRPr="00D55DC6">
        <w:rPr>
          <w:rFonts w:eastAsia="標楷體"/>
          <w:snapToGrid w:val="0"/>
          <w:kern w:val="0"/>
          <w:sz w:val="28"/>
          <w:szCs w:val="28"/>
        </w:rPr>
        <w:t>），每日督導巡檢。</w:t>
      </w:r>
    </w:p>
    <w:p w:rsidR="00986223" w:rsidRPr="00D55DC6" w:rsidRDefault="00986223" w:rsidP="00986223">
      <w:pPr>
        <w:adjustRightInd w:val="0"/>
        <w:snapToGrid w:val="0"/>
        <w:spacing w:line="440" w:lineRule="exact"/>
        <w:ind w:firstLineChars="253" w:firstLine="709"/>
        <w:jc w:val="both"/>
        <w:rPr>
          <w:rFonts w:eastAsia="標楷體"/>
          <w:b/>
          <w:sz w:val="28"/>
          <w:szCs w:val="28"/>
        </w:rPr>
      </w:pPr>
      <w:r w:rsidRPr="00D55DC6">
        <w:rPr>
          <w:rFonts w:eastAsia="標楷體"/>
          <w:b/>
          <w:sz w:val="28"/>
          <w:szCs w:val="28"/>
        </w:rPr>
        <w:t>2-5.</w:t>
      </w:r>
      <w:r w:rsidRPr="00D55DC6">
        <w:rPr>
          <w:rFonts w:eastAsia="標楷體"/>
          <w:b/>
          <w:sz w:val="28"/>
          <w:szCs w:val="28"/>
        </w:rPr>
        <w:t>經營管理及行銷推廣</w:t>
      </w:r>
    </w:p>
    <w:p w:rsidR="00986223" w:rsidRPr="00D55DC6" w:rsidRDefault="00986223" w:rsidP="00986223">
      <w:pPr>
        <w:snapToGrid w:val="0"/>
        <w:spacing w:line="440" w:lineRule="exact"/>
        <w:ind w:firstLineChars="405" w:firstLine="1135"/>
        <w:jc w:val="both"/>
        <w:rPr>
          <w:rFonts w:eastAsia="標楷體"/>
          <w:b/>
          <w:sz w:val="28"/>
          <w:szCs w:val="28"/>
        </w:rPr>
      </w:pPr>
      <w:r w:rsidRPr="00D55DC6">
        <w:rPr>
          <w:rFonts w:eastAsia="標楷體"/>
          <w:b/>
          <w:sz w:val="28"/>
          <w:szCs w:val="28"/>
        </w:rPr>
        <w:t>2-5-1.</w:t>
      </w:r>
      <w:r w:rsidRPr="00D55DC6">
        <w:rPr>
          <w:rFonts w:eastAsia="標楷體"/>
          <w:b/>
          <w:sz w:val="28"/>
          <w:szCs w:val="28"/>
        </w:rPr>
        <w:t>經營管理</w:t>
      </w:r>
    </w:p>
    <w:p w:rsidR="00986223" w:rsidRPr="00D55DC6" w:rsidRDefault="00986223" w:rsidP="00986223">
      <w:pPr>
        <w:tabs>
          <w:tab w:val="num" w:pos="720"/>
        </w:tabs>
        <w:snapToGrid w:val="0"/>
        <w:spacing w:line="440" w:lineRule="exact"/>
        <w:ind w:leftChars="590" w:left="2267" w:hangingChars="304" w:hanging="851"/>
        <w:jc w:val="both"/>
        <w:rPr>
          <w:rFonts w:eastAsia="標楷體"/>
          <w:snapToGrid w:val="0"/>
          <w:kern w:val="0"/>
          <w:sz w:val="28"/>
          <w:szCs w:val="28"/>
        </w:rPr>
      </w:pPr>
      <w:r w:rsidRPr="00D55DC6">
        <w:rPr>
          <w:rFonts w:eastAsia="標楷體"/>
          <w:snapToGrid w:val="0"/>
          <w:kern w:val="0"/>
          <w:sz w:val="28"/>
          <w:szCs w:val="28"/>
        </w:rPr>
        <w:t>2-5-1-1.</w:t>
      </w:r>
      <w:r w:rsidRPr="00D55DC6">
        <w:rPr>
          <w:rFonts w:eastAsia="標楷體"/>
          <w:snapToGrid w:val="0"/>
          <w:kern w:val="0"/>
          <w:sz w:val="28"/>
          <w:szCs w:val="28"/>
        </w:rPr>
        <w:t>運用地理資訊系統（</w:t>
      </w:r>
      <w:r w:rsidRPr="00D55DC6">
        <w:rPr>
          <w:rFonts w:eastAsia="標楷體"/>
          <w:snapToGrid w:val="0"/>
          <w:kern w:val="0"/>
          <w:sz w:val="28"/>
          <w:szCs w:val="28"/>
        </w:rPr>
        <w:t>GIS</w:t>
      </w:r>
      <w:r w:rsidRPr="00D55DC6">
        <w:rPr>
          <w:rFonts w:eastAsia="標楷體"/>
          <w:snapToGrid w:val="0"/>
          <w:kern w:val="0"/>
          <w:sz w:val="28"/>
          <w:szCs w:val="28"/>
        </w:rPr>
        <w:t>）建置各項遊憩設施資料庫：</w:t>
      </w:r>
    </w:p>
    <w:p w:rsidR="00986223" w:rsidRPr="00D55DC6" w:rsidRDefault="00986223" w:rsidP="00986223">
      <w:pPr>
        <w:tabs>
          <w:tab w:val="num" w:pos="720"/>
        </w:tabs>
        <w:snapToGrid w:val="0"/>
        <w:spacing w:line="440" w:lineRule="exact"/>
        <w:ind w:leftChars="944" w:left="2266" w:firstLine="1"/>
        <w:jc w:val="both"/>
        <w:rPr>
          <w:rFonts w:eastAsia="標楷體"/>
          <w:snapToGrid w:val="0"/>
          <w:kern w:val="0"/>
          <w:sz w:val="28"/>
          <w:szCs w:val="28"/>
        </w:rPr>
      </w:pPr>
      <w:r w:rsidRPr="00D55DC6">
        <w:rPr>
          <w:rFonts w:eastAsia="標楷體"/>
          <w:snapToGrid w:val="0"/>
          <w:kern w:val="0"/>
          <w:sz w:val="28"/>
          <w:szCs w:val="28"/>
        </w:rPr>
        <w:t>包括遮蔭設施、公廁、導覽解說、警告、救生圈等設施維護資料，以利設施管理維護及巡查。</w:t>
      </w:r>
    </w:p>
    <w:p w:rsidR="00986223" w:rsidRPr="00D55DC6" w:rsidRDefault="00986223" w:rsidP="00986223">
      <w:pPr>
        <w:tabs>
          <w:tab w:val="num" w:pos="720"/>
        </w:tabs>
        <w:snapToGrid w:val="0"/>
        <w:spacing w:line="440" w:lineRule="exact"/>
        <w:ind w:leftChars="589" w:left="2552" w:hanging="1138"/>
        <w:jc w:val="both"/>
        <w:rPr>
          <w:rFonts w:eastAsia="標楷體"/>
          <w:snapToGrid w:val="0"/>
          <w:kern w:val="0"/>
          <w:sz w:val="28"/>
          <w:szCs w:val="28"/>
        </w:rPr>
      </w:pPr>
      <w:r w:rsidRPr="00D55DC6">
        <w:rPr>
          <w:rFonts w:eastAsia="標楷體"/>
          <w:snapToGrid w:val="0"/>
          <w:kern w:val="0"/>
          <w:sz w:val="28"/>
          <w:szCs w:val="28"/>
        </w:rPr>
        <w:t>2-5-1-2.</w:t>
      </w:r>
      <w:r w:rsidRPr="00D55DC6">
        <w:rPr>
          <w:rFonts w:eastAsia="標楷體"/>
          <w:snapToGrid w:val="0"/>
          <w:kern w:val="0"/>
          <w:sz w:val="28"/>
          <w:szCs w:val="28"/>
        </w:rPr>
        <w:t>加強水域活動管理：公告水域活動項目及分區管制、督導巡查，建構水域活動安全環境。</w:t>
      </w:r>
    </w:p>
    <w:p w:rsidR="00986223" w:rsidRPr="00D55DC6" w:rsidRDefault="00986223" w:rsidP="00986223">
      <w:pPr>
        <w:tabs>
          <w:tab w:val="num" w:pos="720"/>
        </w:tabs>
        <w:snapToGrid w:val="0"/>
        <w:spacing w:line="440" w:lineRule="exact"/>
        <w:ind w:firstLineChars="405" w:firstLine="1135"/>
        <w:jc w:val="both"/>
        <w:rPr>
          <w:rFonts w:eastAsia="標楷體"/>
          <w:snapToGrid w:val="0"/>
          <w:kern w:val="0"/>
          <w:sz w:val="28"/>
          <w:szCs w:val="28"/>
        </w:rPr>
      </w:pPr>
      <w:r w:rsidRPr="00D55DC6">
        <w:rPr>
          <w:rFonts w:eastAsia="標楷體"/>
          <w:b/>
          <w:sz w:val="28"/>
          <w:szCs w:val="28"/>
        </w:rPr>
        <w:t>2-5-2.</w:t>
      </w:r>
      <w:r w:rsidRPr="00D55DC6">
        <w:rPr>
          <w:rFonts w:eastAsia="標楷體"/>
          <w:b/>
          <w:sz w:val="28"/>
          <w:szCs w:val="28"/>
        </w:rPr>
        <w:t>行銷推廣</w:t>
      </w:r>
    </w:p>
    <w:p w:rsidR="00986223" w:rsidRPr="00D55DC6" w:rsidRDefault="00986223" w:rsidP="00986223">
      <w:pPr>
        <w:tabs>
          <w:tab w:val="num" w:pos="720"/>
        </w:tabs>
        <w:snapToGrid w:val="0"/>
        <w:spacing w:line="440" w:lineRule="exact"/>
        <w:ind w:leftChars="590" w:left="2552" w:hanging="1136"/>
        <w:jc w:val="both"/>
        <w:rPr>
          <w:rFonts w:eastAsia="標楷體"/>
          <w:snapToGrid w:val="0"/>
          <w:kern w:val="0"/>
          <w:sz w:val="28"/>
          <w:szCs w:val="28"/>
        </w:rPr>
      </w:pPr>
      <w:r w:rsidRPr="00D55DC6">
        <w:rPr>
          <w:rFonts w:eastAsia="標楷體"/>
          <w:snapToGrid w:val="0"/>
          <w:kern w:val="0"/>
          <w:sz w:val="28"/>
          <w:szCs w:val="28"/>
        </w:rPr>
        <w:t>2-5-2-1.</w:t>
      </w:r>
      <w:r w:rsidRPr="00D55DC6">
        <w:rPr>
          <w:rFonts w:eastAsia="標楷體"/>
          <w:snapToGrid w:val="0"/>
          <w:kern w:val="0"/>
          <w:sz w:val="28"/>
          <w:szCs w:val="28"/>
        </w:rPr>
        <w:t>籌劃推廣四季慢遊澎湖，延長旅遊旺季，維持冬季旅遊市場一定熱度，並拓展澎湖旅遊市場之營運時間；發展觀光節慶活動行事曆，統整強化行銷推廣之市場效果。</w:t>
      </w:r>
    </w:p>
    <w:p w:rsidR="00986223" w:rsidRPr="00D55DC6" w:rsidRDefault="00986223" w:rsidP="00986223">
      <w:pPr>
        <w:tabs>
          <w:tab w:val="num" w:pos="720"/>
        </w:tabs>
        <w:snapToGrid w:val="0"/>
        <w:spacing w:line="440" w:lineRule="exact"/>
        <w:ind w:leftChars="590" w:left="2550" w:hanging="1134"/>
        <w:jc w:val="both"/>
        <w:rPr>
          <w:rFonts w:eastAsia="標楷體"/>
          <w:snapToGrid w:val="0"/>
          <w:kern w:val="0"/>
          <w:sz w:val="28"/>
          <w:szCs w:val="28"/>
        </w:rPr>
      </w:pPr>
      <w:r w:rsidRPr="00D55DC6">
        <w:rPr>
          <w:rFonts w:eastAsia="標楷體"/>
          <w:snapToGrid w:val="0"/>
          <w:kern w:val="0"/>
          <w:sz w:val="28"/>
          <w:szCs w:val="28"/>
        </w:rPr>
        <w:t>2-5-2-2.</w:t>
      </w:r>
      <w:r w:rsidRPr="00D55DC6">
        <w:rPr>
          <w:rFonts w:eastAsia="標楷體"/>
          <w:snapToGrid w:val="0"/>
          <w:kern w:val="0"/>
          <w:sz w:val="28"/>
          <w:szCs w:val="28"/>
        </w:rPr>
        <w:t>提昇旅遊諮詢服務水平：為建構全方位、多語文之友善旅遊環境，以現有遊客中心為基礎，於遊客中心提供英、日語解説、諮詢服務，另建立電話、傳真索取旅遊資訊免付費措施，並可由網路下載。</w:t>
      </w:r>
    </w:p>
    <w:p w:rsidR="00986223" w:rsidRPr="00D55DC6" w:rsidRDefault="00986223" w:rsidP="00986223">
      <w:pPr>
        <w:tabs>
          <w:tab w:val="num" w:pos="720"/>
        </w:tabs>
        <w:snapToGrid w:val="0"/>
        <w:spacing w:line="440" w:lineRule="exact"/>
        <w:jc w:val="both"/>
        <w:rPr>
          <w:rFonts w:eastAsia="標楷體"/>
          <w:b/>
          <w:sz w:val="28"/>
          <w:szCs w:val="28"/>
        </w:rPr>
      </w:pPr>
    </w:p>
    <w:p w:rsidR="00986223" w:rsidRPr="00D55DC6" w:rsidRDefault="00986223" w:rsidP="00986223">
      <w:pPr>
        <w:tabs>
          <w:tab w:val="num" w:pos="720"/>
        </w:tabs>
        <w:snapToGrid w:val="0"/>
        <w:spacing w:line="440" w:lineRule="exact"/>
        <w:jc w:val="both"/>
        <w:rPr>
          <w:rFonts w:eastAsia="標楷體"/>
          <w:b/>
          <w:sz w:val="28"/>
          <w:szCs w:val="28"/>
        </w:rPr>
      </w:pPr>
    </w:p>
    <w:p w:rsidR="00986223" w:rsidRPr="00D55DC6" w:rsidRDefault="00986223" w:rsidP="00986223">
      <w:pPr>
        <w:tabs>
          <w:tab w:val="num" w:pos="720"/>
        </w:tabs>
        <w:snapToGrid w:val="0"/>
        <w:spacing w:line="440" w:lineRule="exact"/>
        <w:jc w:val="both"/>
        <w:rPr>
          <w:rFonts w:eastAsia="標楷體"/>
          <w:b/>
          <w:sz w:val="28"/>
          <w:szCs w:val="28"/>
        </w:rPr>
      </w:pPr>
    </w:p>
    <w:p w:rsidR="00986223" w:rsidRPr="00D55DC6" w:rsidRDefault="00986223" w:rsidP="00986223">
      <w:pPr>
        <w:numPr>
          <w:ilvl w:val="0"/>
          <w:numId w:val="1"/>
        </w:numPr>
        <w:snapToGrid w:val="0"/>
        <w:spacing w:line="440" w:lineRule="exact"/>
        <w:ind w:left="709" w:hanging="709"/>
        <w:jc w:val="both"/>
        <w:rPr>
          <w:rFonts w:eastAsia="標楷體"/>
          <w:b/>
          <w:sz w:val="28"/>
          <w:szCs w:val="28"/>
        </w:rPr>
      </w:pPr>
      <w:r w:rsidRPr="00D55DC6">
        <w:rPr>
          <w:rFonts w:eastAsia="標楷體"/>
          <w:b/>
          <w:sz w:val="28"/>
          <w:szCs w:val="28"/>
        </w:rPr>
        <w:t>執行策略及方法</w:t>
      </w:r>
    </w:p>
    <w:p w:rsidR="00986223" w:rsidRPr="00D55DC6" w:rsidRDefault="00986223" w:rsidP="004865C1">
      <w:pPr>
        <w:numPr>
          <w:ilvl w:val="0"/>
          <w:numId w:val="208"/>
        </w:numPr>
        <w:snapToGrid w:val="0"/>
        <w:spacing w:line="440" w:lineRule="exact"/>
        <w:jc w:val="both"/>
        <w:rPr>
          <w:rFonts w:eastAsia="標楷體"/>
          <w:b/>
          <w:sz w:val="28"/>
          <w:szCs w:val="28"/>
        </w:rPr>
      </w:pPr>
      <w:r w:rsidRPr="00D55DC6">
        <w:rPr>
          <w:rFonts w:eastAsia="標楷體"/>
          <w:b/>
          <w:sz w:val="28"/>
          <w:szCs w:val="28"/>
        </w:rPr>
        <w:t>執行策略</w:t>
      </w:r>
    </w:p>
    <w:p w:rsidR="00986223" w:rsidRPr="00D55DC6" w:rsidRDefault="00986223" w:rsidP="00986223">
      <w:pPr>
        <w:snapToGrid w:val="0"/>
        <w:jc w:val="center"/>
        <w:rPr>
          <w:rFonts w:eastAsia="標楷體"/>
          <w:noProof/>
          <w:kern w:val="0"/>
        </w:rPr>
      </w:pPr>
      <w:r w:rsidRPr="00D55DC6">
        <w:rPr>
          <w:rFonts w:eastAsia="標楷體"/>
          <w:noProof/>
          <w:kern w:val="0"/>
        </w:rPr>
        <w:drawing>
          <wp:inline distT="0" distB="0" distL="0" distR="0" wp14:anchorId="208F72B6" wp14:editId="3A3083D0">
            <wp:extent cx="5421999" cy="2345635"/>
            <wp:effectExtent l="0" t="0" r="762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51513" cy="2358403"/>
                    </a:xfrm>
                    <a:prstGeom prst="rect">
                      <a:avLst/>
                    </a:prstGeom>
                    <a:noFill/>
                  </pic:spPr>
                </pic:pic>
              </a:graphicData>
            </a:graphic>
          </wp:inline>
        </w:drawing>
      </w:r>
    </w:p>
    <w:p w:rsidR="00986223" w:rsidRPr="00D55DC6" w:rsidRDefault="00986223" w:rsidP="00986223">
      <w:pPr>
        <w:snapToGrid w:val="0"/>
        <w:spacing w:line="460" w:lineRule="exact"/>
        <w:ind w:left="862"/>
        <w:rPr>
          <w:rFonts w:eastAsia="標楷體"/>
          <w:sz w:val="28"/>
          <w:szCs w:val="28"/>
        </w:rPr>
      </w:pPr>
      <w:r w:rsidRPr="00D55DC6">
        <w:rPr>
          <w:rFonts w:eastAsia="標楷體"/>
          <w:sz w:val="28"/>
          <w:szCs w:val="28"/>
        </w:rPr>
        <w:lastRenderedPageBreak/>
        <w:t>為打造澎湖具有清新亮麗的整體景觀風貌、友善便利的旅遊環境、國際化優質的旅遊服務品質、碧海藍天、自然悠閒之國際觀光</w:t>
      </w:r>
      <w:r w:rsidR="00EA38C5" w:rsidRPr="00D55DC6">
        <w:rPr>
          <w:rFonts w:eastAsia="標楷體"/>
          <w:sz w:val="28"/>
          <w:szCs w:val="28"/>
        </w:rPr>
        <w:t>度假</w:t>
      </w:r>
      <w:r w:rsidRPr="00D55DC6">
        <w:rPr>
          <w:rFonts w:eastAsia="標楷體"/>
          <w:sz w:val="28"/>
          <w:szCs w:val="28"/>
        </w:rPr>
        <w:t>島嶼，本計畫執行策略如下：</w:t>
      </w:r>
    </w:p>
    <w:p w:rsidR="00986223" w:rsidRPr="00D55DC6" w:rsidRDefault="00986223" w:rsidP="004865C1">
      <w:pPr>
        <w:numPr>
          <w:ilvl w:val="1"/>
          <w:numId w:val="208"/>
        </w:numPr>
        <w:adjustRightInd w:val="0"/>
        <w:snapToGrid w:val="0"/>
        <w:spacing w:line="460" w:lineRule="exact"/>
        <w:ind w:left="839" w:hanging="357"/>
        <w:jc w:val="both"/>
        <w:rPr>
          <w:rFonts w:eastAsia="標楷體"/>
          <w:sz w:val="28"/>
          <w:szCs w:val="28"/>
        </w:rPr>
      </w:pPr>
      <w:r w:rsidRPr="00D55DC6">
        <w:rPr>
          <w:rFonts w:eastAsia="標楷體"/>
          <w:sz w:val="28"/>
          <w:szCs w:val="28"/>
        </w:rPr>
        <w:t>加速公共設施建設並整建全區各遊憩據點，以據點式細部規劃及系統性整體分析之規劃設計，逐步提昇連結三大觀光遊憩系統及各次系統之服務品質與規模，解決服務遊憩設施不足。</w:t>
      </w:r>
    </w:p>
    <w:p w:rsidR="00986223" w:rsidRPr="00D55DC6" w:rsidRDefault="00986223" w:rsidP="004865C1">
      <w:pPr>
        <w:numPr>
          <w:ilvl w:val="1"/>
          <w:numId w:val="208"/>
        </w:numPr>
        <w:adjustRightInd w:val="0"/>
        <w:snapToGrid w:val="0"/>
        <w:spacing w:line="460" w:lineRule="exact"/>
        <w:ind w:left="839" w:hanging="357"/>
        <w:jc w:val="both"/>
        <w:rPr>
          <w:rFonts w:eastAsia="標楷體"/>
          <w:sz w:val="28"/>
          <w:szCs w:val="28"/>
        </w:rPr>
      </w:pPr>
      <w:r w:rsidRPr="00D55DC6">
        <w:rPr>
          <w:rFonts w:eastAsia="標楷體"/>
          <w:sz w:val="28"/>
          <w:szCs w:val="28"/>
        </w:rPr>
        <w:t>配合旅遊市場需求，規劃發展環境教育場域、活化碼頭設施並推展海洋觀光，減緩</w:t>
      </w:r>
      <w:r w:rsidRPr="00D55DC6">
        <w:rPr>
          <w:rFonts w:eastAsia="標楷體"/>
          <w:sz w:val="28"/>
          <w:szCs w:val="28"/>
        </w:rPr>
        <w:t>103</w:t>
      </w:r>
      <w:r w:rsidRPr="00D55DC6">
        <w:rPr>
          <w:rFonts w:eastAsia="標楷體"/>
          <w:sz w:val="28"/>
          <w:szCs w:val="28"/>
        </w:rPr>
        <w:t>年復興空難造成民眾到澎湖旅遊之疑慮，再創觀光榮景。</w:t>
      </w:r>
    </w:p>
    <w:p w:rsidR="00986223" w:rsidRPr="00D55DC6" w:rsidRDefault="00986223" w:rsidP="004865C1">
      <w:pPr>
        <w:widowControl/>
        <w:numPr>
          <w:ilvl w:val="1"/>
          <w:numId w:val="208"/>
        </w:numPr>
        <w:adjustRightInd w:val="0"/>
        <w:snapToGrid w:val="0"/>
        <w:spacing w:line="460" w:lineRule="exact"/>
        <w:ind w:left="839" w:hanging="357"/>
        <w:jc w:val="both"/>
        <w:rPr>
          <w:rFonts w:eastAsia="標楷體"/>
          <w:sz w:val="28"/>
          <w:szCs w:val="28"/>
        </w:rPr>
      </w:pPr>
      <w:r w:rsidRPr="00D55DC6">
        <w:rPr>
          <w:rFonts w:eastAsia="標楷體"/>
          <w:sz w:val="28"/>
          <w:szCs w:val="28"/>
        </w:rPr>
        <w:t>以「套裝式」理念，規劃全方位之遊程活動，擴大市場效益，透過多元遊程規劃，達到旅客分流目的，降低</w:t>
      </w:r>
      <w:r w:rsidRPr="00D55DC6">
        <w:rPr>
          <w:rFonts w:eastAsia="標楷體"/>
          <w:snapToGrid w:val="0"/>
          <w:kern w:val="0"/>
          <w:sz w:val="28"/>
          <w:szCs w:val="28"/>
        </w:rPr>
        <w:t>重要景點承載量過度集中之衝擊。</w:t>
      </w:r>
      <w:r w:rsidRPr="00D55DC6">
        <w:rPr>
          <w:rFonts w:eastAsia="標楷體"/>
          <w:sz w:val="28"/>
          <w:szCs w:val="28"/>
        </w:rPr>
        <w:t>運用民間產業動力，鼓勵民間參與投資開發，推動觀光事業。</w:t>
      </w:r>
    </w:p>
    <w:p w:rsidR="00DD6816" w:rsidRPr="00D55DC6" w:rsidRDefault="00DD6816" w:rsidP="004865C1">
      <w:pPr>
        <w:widowControl/>
        <w:numPr>
          <w:ilvl w:val="1"/>
          <w:numId w:val="208"/>
        </w:numPr>
        <w:adjustRightInd w:val="0"/>
        <w:snapToGrid w:val="0"/>
        <w:spacing w:line="460" w:lineRule="exact"/>
        <w:ind w:left="839" w:hanging="357"/>
        <w:jc w:val="both"/>
        <w:rPr>
          <w:rFonts w:eastAsia="標楷體"/>
          <w:sz w:val="28"/>
          <w:szCs w:val="28"/>
        </w:rPr>
      </w:pPr>
      <w:r w:rsidRPr="00D55DC6">
        <w:rPr>
          <w:rFonts w:eastAsia="標楷體"/>
          <w:sz w:val="28"/>
          <w:szCs w:val="28"/>
        </w:rPr>
        <w:t>為推動智慧觀光，以「完備旅遊季節無縫隙」為主軸策略，形塑旅遊無縫隙體驗以落實「創造友善安全的旅遊環境」為目標，透過本處現有網站</w:t>
      </w:r>
      <w:r w:rsidRPr="00D55DC6">
        <w:rPr>
          <w:rFonts w:eastAsia="標楷體"/>
          <w:sz w:val="28"/>
          <w:szCs w:val="28"/>
        </w:rPr>
        <w:t>(</w:t>
      </w:r>
      <w:r w:rsidRPr="00D55DC6">
        <w:rPr>
          <w:rFonts w:eastAsia="標楷體"/>
          <w:sz w:val="28"/>
          <w:szCs w:val="28"/>
        </w:rPr>
        <w:t>官網、社群</w:t>
      </w:r>
      <w:r w:rsidRPr="00D55DC6">
        <w:rPr>
          <w:rFonts w:eastAsia="標楷體"/>
          <w:sz w:val="28"/>
          <w:szCs w:val="28"/>
        </w:rPr>
        <w:t>)</w:t>
      </w:r>
      <w:r w:rsidRPr="00D55DC6">
        <w:rPr>
          <w:rFonts w:eastAsia="標楷體"/>
          <w:sz w:val="28"/>
          <w:szCs w:val="28"/>
        </w:rPr>
        <w:t>提供即時旅遊資訊，並可與澎湖縣政府、船運公司合作，規劃推出「澎湖好玩卡」，整合熱門景點旅遊資訊、優費優惠及觀光交通套票，形塑成為串連食、住、遊、購等產業優惠措施，讓遊客能輕鬆享受旅行之便利及優惠。</w:t>
      </w:r>
    </w:p>
    <w:p w:rsidR="00FB3FB3" w:rsidRPr="00D55DC6" w:rsidRDefault="00FB3FB3" w:rsidP="00FB3FB3">
      <w:pPr>
        <w:widowControl/>
        <w:adjustRightInd w:val="0"/>
        <w:snapToGrid w:val="0"/>
        <w:spacing w:line="460" w:lineRule="exact"/>
        <w:ind w:left="839"/>
        <w:jc w:val="both"/>
        <w:rPr>
          <w:rFonts w:eastAsia="標楷體"/>
          <w:sz w:val="28"/>
          <w:szCs w:val="28"/>
        </w:rPr>
      </w:pPr>
    </w:p>
    <w:p w:rsidR="00DD6816" w:rsidRPr="00D55DC6" w:rsidRDefault="00DD6816" w:rsidP="00FB3FB3">
      <w:pPr>
        <w:widowControl/>
        <w:adjustRightInd w:val="0"/>
        <w:snapToGrid w:val="0"/>
        <w:spacing w:line="460" w:lineRule="exact"/>
        <w:ind w:left="839"/>
        <w:jc w:val="both"/>
        <w:rPr>
          <w:rFonts w:eastAsia="標楷體"/>
          <w:sz w:val="28"/>
          <w:szCs w:val="28"/>
        </w:rPr>
      </w:pPr>
    </w:p>
    <w:p w:rsidR="00986223" w:rsidRPr="00D55DC6" w:rsidRDefault="00986223" w:rsidP="004865C1">
      <w:pPr>
        <w:numPr>
          <w:ilvl w:val="0"/>
          <w:numId w:val="208"/>
        </w:numPr>
        <w:snapToGrid w:val="0"/>
        <w:spacing w:line="460" w:lineRule="exact"/>
        <w:jc w:val="both"/>
        <w:rPr>
          <w:rFonts w:eastAsia="標楷體"/>
          <w:b/>
          <w:sz w:val="28"/>
          <w:szCs w:val="28"/>
        </w:rPr>
      </w:pPr>
      <w:r w:rsidRPr="00D55DC6">
        <w:rPr>
          <w:rFonts w:eastAsia="標楷體"/>
          <w:b/>
          <w:sz w:val="28"/>
          <w:szCs w:val="28"/>
        </w:rPr>
        <w:t>主要工作項目</w:t>
      </w:r>
    </w:p>
    <w:p w:rsidR="00986223" w:rsidRPr="00D55DC6" w:rsidRDefault="00986223" w:rsidP="00986223">
      <w:pPr>
        <w:snapToGrid w:val="0"/>
        <w:spacing w:line="460" w:lineRule="exact"/>
        <w:ind w:left="862"/>
        <w:rPr>
          <w:rFonts w:eastAsia="標楷體"/>
          <w:b/>
          <w:sz w:val="28"/>
          <w:szCs w:val="28"/>
        </w:rPr>
      </w:pPr>
      <w:r w:rsidRPr="00D55DC6">
        <w:rPr>
          <w:rFonts w:eastAsia="標楷體"/>
          <w:sz w:val="28"/>
          <w:szCs w:val="28"/>
        </w:rPr>
        <w:t>本計畫依各遊憩區發展潛力，劃分為國際觀光景點建設、國內觀光景點建設、國家風景區經營管理、經營管理及行銷推廣等</w:t>
      </w:r>
      <w:r w:rsidRPr="00D55DC6">
        <w:rPr>
          <w:rFonts w:eastAsia="標楷體"/>
          <w:sz w:val="28"/>
          <w:szCs w:val="28"/>
        </w:rPr>
        <w:t>4</w:t>
      </w:r>
      <w:r w:rsidRPr="00D55DC6">
        <w:rPr>
          <w:rFonts w:eastAsia="標楷體"/>
          <w:sz w:val="28"/>
          <w:szCs w:val="28"/>
        </w:rPr>
        <w:t>項進行開發建設。</w:t>
      </w:r>
    </w:p>
    <w:p w:rsidR="00986223" w:rsidRPr="00D55DC6" w:rsidRDefault="00986223" w:rsidP="004865C1">
      <w:pPr>
        <w:numPr>
          <w:ilvl w:val="1"/>
          <w:numId w:val="208"/>
        </w:numPr>
        <w:snapToGrid w:val="0"/>
        <w:spacing w:line="460" w:lineRule="exact"/>
        <w:jc w:val="both"/>
        <w:rPr>
          <w:rFonts w:eastAsia="標楷體"/>
          <w:b/>
          <w:sz w:val="28"/>
          <w:szCs w:val="28"/>
        </w:rPr>
      </w:pPr>
      <w:r w:rsidRPr="00D55DC6">
        <w:rPr>
          <w:rFonts w:eastAsia="標楷體"/>
          <w:b/>
          <w:sz w:val="28"/>
          <w:szCs w:val="28"/>
        </w:rPr>
        <w:t>國際觀光景點建設</w:t>
      </w:r>
    </w:p>
    <w:p w:rsidR="00986223" w:rsidRPr="00D55DC6" w:rsidRDefault="00986223" w:rsidP="00986223">
      <w:pPr>
        <w:snapToGrid w:val="0"/>
        <w:spacing w:line="460" w:lineRule="exact"/>
        <w:ind w:leftChars="350" w:left="1417" w:hangingChars="206" w:hanging="577"/>
        <w:jc w:val="both"/>
        <w:rPr>
          <w:rFonts w:eastAsia="標楷體"/>
          <w:snapToGrid w:val="0"/>
          <w:kern w:val="0"/>
          <w:sz w:val="28"/>
          <w:szCs w:val="28"/>
        </w:rPr>
      </w:pPr>
      <w:r w:rsidRPr="00D55DC6">
        <w:rPr>
          <w:rFonts w:eastAsia="標楷體"/>
          <w:sz w:val="28"/>
          <w:szCs w:val="28"/>
        </w:rPr>
        <w:t>1-1.</w:t>
      </w:r>
      <w:r w:rsidRPr="00D55DC6">
        <w:rPr>
          <w:rFonts w:eastAsia="標楷體"/>
          <w:sz w:val="28"/>
          <w:szCs w:val="28"/>
        </w:rPr>
        <w:tab/>
      </w:r>
      <w:r w:rsidRPr="00D55DC6">
        <w:rPr>
          <w:rFonts w:eastAsia="標楷體"/>
          <w:sz w:val="28"/>
          <w:szCs w:val="28"/>
        </w:rPr>
        <w:t>馬公本島系統：馬公觀光都市</w:t>
      </w:r>
      <w:r w:rsidRPr="00D55DC6">
        <w:rPr>
          <w:rFonts w:eastAsia="標楷體"/>
          <w:sz w:val="28"/>
          <w:szCs w:val="28"/>
        </w:rPr>
        <w:t>(</w:t>
      </w:r>
      <w:r w:rsidRPr="00D55DC6">
        <w:rPr>
          <w:rFonts w:eastAsia="標楷體"/>
          <w:sz w:val="28"/>
          <w:szCs w:val="28"/>
        </w:rPr>
        <w:t>澎湖遊客中心設施改善工程、澎湖遊客中心內裝改善工程</w:t>
      </w:r>
      <w:r w:rsidRPr="00D55DC6">
        <w:rPr>
          <w:rFonts w:eastAsia="標楷體"/>
          <w:sz w:val="28"/>
          <w:szCs w:val="28"/>
        </w:rPr>
        <w:t>)</w:t>
      </w:r>
      <w:r w:rsidRPr="00D55DC6">
        <w:rPr>
          <w:rFonts w:eastAsia="標楷體"/>
          <w:sz w:val="28"/>
          <w:szCs w:val="28"/>
        </w:rPr>
        <w:t>、湖西次系統</w:t>
      </w:r>
      <w:r w:rsidRPr="00D55DC6">
        <w:rPr>
          <w:rFonts w:eastAsia="標楷體"/>
          <w:sz w:val="28"/>
          <w:szCs w:val="28"/>
        </w:rPr>
        <w:t>(</w:t>
      </w:r>
      <w:r w:rsidRPr="00D55DC6">
        <w:rPr>
          <w:rFonts w:eastAsia="標楷體"/>
          <w:sz w:val="28"/>
          <w:szCs w:val="28"/>
        </w:rPr>
        <w:t>隘門遊憩區沙灘聯外道路興建工程</w:t>
      </w:r>
      <w:r w:rsidRPr="00D55DC6">
        <w:rPr>
          <w:rFonts w:eastAsia="標楷體"/>
          <w:sz w:val="28"/>
          <w:szCs w:val="28"/>
        </w:rPr>
        <w:t>)</w:t>
      </w:r>
      <w:r w:rsidRPr="00D55DC6">
        <w:rPr>
          <w:rFonts w:eastAsia="標楷體"/>
          <w:sz w:val="28"/>
          <w:szCs w:val="28"/>
        </w:rPr>
        <w:t>、白沙次系統</w:t>
      </w:r>
      <w:r w:rsidRPr="00D55DC6">
        <w:rPr>
          <w:rFonts w:eastAsia="標楷體"/>
          <w:sz w:val="28"/>
          <w:szCs w:val="28"/>
        </w:rPr>
        <w:t>(</w:t>
      </w:r>
      <w:r w:rsidRPr="00D55DC6">
        <w:rPr>
          <w:rFonts w:eastAsia="標楷體"/>
          <w:sz w:val="28"/>
          <w:szCs w:val="28"/>
        </w:rPr>
        <w:t>通梁古榕遊憩設施及停車場改善工程、中屯風力園區服務設施改善工程</w:t>
      </w:r>
      <w:r w:rsidRPr="00D55DC6">
        <w:rPr>
          <w:rFonts w:eastAsia="標楷體"/>
          <w:sz w:val="28"/>
          <w:szCs w:val="28"/>
        </w:rPr>
        <w:t>)</w:t>
      </w:r>
      <w:r w:rsidRPr="00D55DC6">
        <w:rPr>
          <w:rFonts w:eastAsia="標楷體"/>
          <w:sz w:val="28"/>
          <w:szCs w:val="28"/>
        </w:rPr>
        <w:t>。</w:t>
      </w:r>
    </w:p>
    <w:p w:rsidR="00986223" w:rsidRPr="00D55DC6" w:rsidRDefault="00986223" w:rsidP="00986223">
      <w:pPr>
        <w:tabs>
          <w:tab w:val="num" w:pos="720"/>
        </w:tabs>
        <w:snapToGrid w:val="0"/>
        <w:spacing w:line="460" w:lineRule="exact"/>
        <w:ind w:leftChars="472" w:left="1416" w:hangingChars="101" w:hanging="283"/>
        <w:jc w:val="both"/>
        <w:rPr>
          <w:rFonts w:eastAsia="標楷體"/>
          <w:sz w:val="28"/>
          <w:szCs w:val="28"/>
        </w:rPr>
      </w:pPr>
      <w:r w:rsidRPr="00D55DC6">
        <w:rPr>
          <w:rFonts w:eastAsia="標楷體"/>
          <w:sz w:val="28"/>
          <w:szCs w:val="28"/>
        </w:rPr>
        <w:t>D.</w:t>
      </w:r>
      <w:r w:rsidRPr="00D55DC6">
        <w:rPr>
          <w:rFonts w:eastAsia="標楷體"/>
          <w:sz w:val="28"/>
          <w:szCs w:val="28"/>
        </w:rPr>
        <w:t>西嶼次系統：二崁古厝行人徒步區改善工程。</w:t>
      </w:r>
    </w:p>
    <w:p w:rsidR="00986223" w:rsidRPr="00D55DC6" w:rsidRDefault="00986223" w:rsidP="00986223">
      <w:pPr>
        <w:snapToGrid w:val="0"/>
        <w:spacing w:line="460" w:lineRule="exact"/>
        <w:ind w:leftChars="350" w:left="1417" w:hangingChars="206" w:hanging="577"/>
        <w:jc w:val="both"/>
        <w:rPr>
          <w:rFonts w:eastAsia="標楷體"/>
          <w:sz w:val="28"/>
          <w:szCs w:val="28"/>
        </w:rPr>
      </w:pPr>
      <w:r w:rsidRPr="00D55DC6">
        <w:rPr>
          <w:rFonts w:eastAsia="標楷體"/>
          <w:sz w:val="28"/>
          <w:szCs w:val="28"/>
        </w:rPr>
        <w:lastRenderedPageBreak/>
        <w:t>1-2.</w:t>
      </w:r>
      <w:r w:rsidRPr="00D55DC6">
        <w:rPr>
          <w:rFonts w:eastAsia="標楷體"/>
          <w:sz w:val="28"/>
          <w:szCs w:val="28"/>
        </w:rPr>
        <w:tab/>
      </w:r>
      <w:r w:rsidRPr="00D55DC6">
        <w:rPr>
          <w:rFonts w:eastAsia="標楷體"/>
          <w:sz w:val="28"/>
          <w:szCs w:val="28"/>
        </w:rPr>
        <w:t>北海系統：北海次系統</w:t>
      </w:r>
      <w:r w:rsidRPr="00D55DC6">
        <w:rPr>
          <w:rFonts w:eastAsia="標楷體"/>
          <w:sz w:val="28"/>
          <w:szCs w:val="28"/>
        </w:rPr>
        <w:t>(</w:t>
      </w:r>
      <w:r w:rsidRPr="00D55DC6">
        <w:rPr>
          <w:rFonts w:eastAsia="標楷體"/>
          <w:sz w:val="28"/>
          <w:szCs w:val="28"/>
        </w:rPr>
        <w:t>吉貝沙尾服務設施改善工程、吉貝遊憩區服務設施整建工程</w:t>
      </w:r>
      <w:r w:rsidRPr="00D55DC6">
        <w:rPr>
          <w:rFonts w:eastAsia="標楷體"/>
          <w:sz w:val="28"/>
          <w:szCs w:val="28"/>
        </w:rPr>
        <w:t>)</w:t>
      </w:r>
      <w:r w:rsidRPr="00D55DC6">
        <w:rPr>
          <w:rFonts w:eastAsia="標楷體"/>
          <w:sz w:val="28"/>
          <w:szCs w:val="28"/>
        </w:rPr>
        <w:t>。</w:t>
      </w:r>
    </w:p>
    <w:p w:rsidR="00986223" w:rsidRPr="00D55DC6" w:rsidRDefault="00986223" w:rsidP="00986223">
      <w:pPr>
        <w:snapToGrid w:val="0"/>
        <w:spacing w:line="460" w:lineRule="exact"/>
        <w:ind w:leftChars="350" w:left="1417" w:hangingChars="206" w:hanging="577"/>
        <w:jc w:val="both"/>
        <w:rPr>
          <w:rFonts w:eastAsia="標楷體"/>
          <w:sz w:val="28"/>
          <w:szCs w:val="28"/>
        </w:rPr>
      </w:pPr>
      <w:r w:rsidRPr="00D55DC6">
        <w:rPr>
          <w:rFonts w:eastAsia="標楷體"/>
          <w:sz w:val="28"/>
          <w:szCs w:val="28"/>
        </w:rPr>
        <w:t>1-3.</w:t>
      </w:r>
      <w:r w:rsidRPr="00D55DC6">
        <w:rPr>
          <w:rFonts w:eastAsia="標楷體"/>
          <w:sz w:val="28"/>
          <w:szCs w:val="28"/>
        </w:rPr>
        <w:tab/>
      </w:r>
      <w:r w:rsidRPr="00D55DC6">
        <w:rPr>
          <w:rFonts w:eastAsia="標楷體"/>
          <w:sz w:val="28"/>
          <w:szCs w:val="28"/>
        </w:rPr>
        <w:t>南海系統：虎井桶盤次系統</w:t>
      </w:r>
      <w:r w:rsidRPr="00D55DC6">
        <w:rPr>
          <w:rFonts w:eastAsia="標楷體"/>
          <w:sz w:val="28"/>
          <w:szCs w:val="28"/>
        </w:rPr>
        <w:t>(</w:t>
      </w:r>
      <w:r w:rsidRPr="00D55DC6">
        <w:rPr>
          <w:rFonts w:eastAsia="標楷體"/>
          <w:sz w:val="28"/>
          <w:szCs w:val="28"/>
        </w:rPr>
        <w:t>虎井遊憩區環境及設施改善工程、桶盤嶼地質公園環境及設施改善工程、桶盤嶼地質公園浮動碼頭及公廁改善工程</w:t>
      </w:r>
      <w:r w:rsidRPr="00D55DC6">
        <w:rPr>
          <w:rFonts w:eastAsia="標楷體"/>
          <w:sz w:val="28"/>
          <w:szCs w:val="28"/>
        </w:rPr>
        <w:t>)</w:t>
      </w:r>
      <w:r w:rsidRPr="00D55DC6">
        <w:rPr>
          <w:rFonts w:eastAsia="標楷體"/>
          <w:sz w:val="28"/>
          <w:szCs w:val="28"/>
        </w:rPr>
        <w:t>、望安次系統</w:t>
      </w:r>
      <w:r w:rsidRPr="00D55DC6">
        <w:rPr>
          <w:rFonts w:eastAsia="標楷體"/>
          <w:sz w:val="28"/>
          <w:szCs w:val="28"/>
        </w:rPr>
        <w:t>(</w:t>
      </w:r>
      <w:r w:rsidRPr="00D55DC6">
        <w:rPr>
          <w:rFonts w:eastAsia="標楷體"/>
          <w:sz w:val="28"/>
          <w:szCs w:val="28"/>
        </w:rPr>
        <w:t>望安綠蠵龜保育中心景觀改善工程</w:t>
      </w:r>
      <w:r w:rsidRPr="00D55DC6">
        <w:rPr>
          <w:rFonts w:eastAsia="標楷體"/>
          <w:sz w:val="28"/>
          <w:szCs w:val="28"/>
        </w:rPr>
        <w:t>)</w:t>
      </w:r>
      <w:r w:rsidRPr="00D55DC6">
        <w:rPr>
          <w:rFonts w:eastAsia="標楷體"/>
          <w:sz w:val="28"/>
          <w:szCs w:val="28"/>
        </w:rPr>
        <w:t>。</w:t>
      </w:r>
    </w:p>
    <w:p w:rsidR="00986223" w:rsidRPr="00D55DC6" w:rsidRDefault="00986223" w:rsidP="004865C1">
      <w:pPr>
        <w:numPr>
          <w:ilvl w:val="1"/>
          <w:numId w:val="208"/>
        </w:numPr>
        <w:snapToGrid w:val="0"/>
        <w:spacing w:line="460" w:lineRule="exact"/>
        <w:jc w:val="both"/>
        <w:rPr>
          <w:rFonts w:eastAsia="標楷體"/>
          <w:b/>
          <w:sz w:val="28"/>
          <w:szCs w:val="28"/>
        </w:rPr>
      </w:pPr>
      <w:r w:rsidRPr="00D55DC6">
        <w:rPr>
          <w:rFonts w:eastAsia="標楷體"/>
          <w:b/>
          <w:sz w:val="28"/>
          <w:szCs w:val="28"/>
        </w:rPr>
        <w:t>國內觀光景點建設</w:t>
      </w:r>
    </w:p>
    <w:p w:rsidR="00986223" w:rsidRPr="00D55DC6" w:rsidRDefault="00986223" w:rsidP="00986223">
      <w:pPr>
        <w:snapToGrid w:val="0"/>
        <w:spacing w:line="460" w:lineRule="exact"/>
        <w:ind w:leftChars="350" w:left="1417" w:hangingChars="206" w:hanging="577"/>
        <w:jc w:val="both"/>
        <w:rPr>
          <w:rFonts w:eastAsia="標楷體"/>
          <w:sz w:val="28"/>
          <w:szCs w:val="28"/>
        </w:rPr>
      </w:pPr>
      <w:r w:rsidRPr="00D55DC6">
        <w:rPr>
          <w:rFonts w:eastAsia="標楷體"/>
          <w:sz w:val="28"/>
          <w:szCs w:val="28"/>
        </w:rPr>
        <w:t xml:space="preserve">2-1. </w:t>
      </w:r>
      <w:r w:rsidRPr="00D55DC6">
        <w:rPr>
          <w:rFonts w:eastAsia="標楷體"/>
          <w:sz w:val="28"/>
          <w:szCs w:val="28"/>
        </w:rPr>
        <w:t>馬公本島系統：馬公觀光都市</w:t>
      </w:r>
      <w:r w:rsidRPr="00D55DC6">
        <w:rPr>
          <w:rFonts w:eastAsia="標楷體"/>
          <w:sz w:val="28"/>
          <w:szCs w:val="28"/>
        </w:rPr>
        <w:t>(</w:t>
      </w:r>
      <w:r w:rsidRPr="00D55DC6">
        <w:rPr>
          <w:rFonts w:eastAsia="標楷體"/>
          <w:sz w:val="28"/>
          <w:szCs w:val="28"/>
        </w:rPr>
        <w:t>菜園休閒漁業區環境及設施改善</w:t>
      </w:r>
      <w:r w:rsidRPr="00D55DC6">
        <w:rPr>
          <w:rFonts w:eastAsia="標楷體"/>
          <w:snapToGrid w:val="0"/>
          <w:kern w:val="0"/>
          <w:sz w:val="28"/>
          <w:szCs w:val="28"/>
        </w:rPr>
        <w:t>工程</w:t>
      </w:r>
      <w:r w:rsidRPr="00D55DC6">
        <w:rPr>
          <w:rFonts w:eastAsia="標楷體"/>
          <w:snapToGrid w:val="0"/>
          <w:kern w:val="0"/>
          <w:sz w:val="28"/>
          <w:szCs w:val="28"/>
        </w:rPr>
        <w:t>)</w:t>
      </w:r>
      <w:r w:rsidRPr="00D55DC6">
        <w:rPr>
          <w:rFonts w:eastAsia="標楷體"/>
          <w:snapToGrid w:val="0"/>
          <w:kern w:val="0"/>
          <w:sz w:val="28"/>
          <w:szCs w:val="28"/>
        </w:rPr>
        <w:t>、</w:t>
      </w:r>
      <w:r w:rsidRPr="00D55DC6">
        <w:rPr>
          <w:rFonts w:eastAsia="標楷體"/>
          <w:sz w:val="28"/>
          <w:szCs w:val="28"/>
        </w:rPr>
        <w:t>澎南次系統</w:t>
      </w:r>
      <w:r w:rsidRPr="00D55DC6">
        <w:rPr>
          <w:rFonts w:eastAsia="標楷體"/>
          <w:sz w:val="28"/>
          <w:szCs w:val="28"/>
        </w:rPr>
        <w:t>(</w:t>
      </w:r>
      <w:r w:rsidRPr="00D55DC6">
        <w:rPr>
          <w:rFonts w:eastAsia="標楷體"/>
          <w:sz w:val="28"/>
          <w:szCs w:val="28"/>
        </w:rPr>
        <w:t>蛇頭山遊憩區環境改善工程</w:t>
      </w:r>
      <w:r w:rsidRPr="00D55DC6">
        <w:rPr>
          <w:rFonts w:eastAsia="標楷體"/>
          <w:sz w:val="28"/>
          <w:szCs w:val="28"/>
        </w:rPr>
        <w:t>)</w:t>
      </w:r>
      <w:r w:rsidRPr="00D55DC6">
        <w:rPr>
          <w:rFonts w:eastAsia="標楷體"/>
          <w:sz w:val="28"/>
          <w:szCs w:val="28"/>
        </w:rPr>
        <w:t>、湖西次系統</w:t>
      </w:r>
      <w:r w:rsidRPr="00D55DC6">
        <w:rPr>
          <w:rFonts w:eastAsia="標楷體"/>
          <w:sz w:val="28"/>
          <w:szCs w:val="28"/>
        </w:rPr>
        <w:t>(</w:t>
      </w:r>
      <w:r w:rsidRPr="00D55DC6">
        <w:rPr>
          <w:rFonts w:eastAsia="標楷體"/>
          <w:sz w:val="28"/>
          <w:szCs w:val="28"/>
        </w:rPr>
        <w:t>奎壁山地質公園環境及設施改善工程</w:t>
      </w:r>
      <w:r w:rsidRPr="00D55DC6">
        <w:rPr>
          <w:rFonts w:eastAsia="標楷體"/>
          <w:sz w:val="28"/>
          <w:szCs w:val="28"/>
        </w:rPr>
        <w:t>)</w:t>
      </w:r>
      <w:r w:rsidRPr="00D55DC6">
        <w:rPr>
          <w:rFonts w:eastAsia="標楷體"/>
          <w:sz w:val="28"/>
          <w:szCs w:val="28"/>
        </w:rPr>
        <w:t>、白沙次系統</w:t>
      </w:r>
      <w:r w:rsidRPr="00D55DC6">
        <w:rPr>
          <w:rFonts w:eastAsia="標楷體"/>
          <w:sz w:val="28"/>
          <w:szCs w:val="28"/>
        </w:rPr>
        <w:t>(</w:t>
      </w:r>
      <w:r w:rsidRPr="00D55DC6">
        <w:rPr>
          <w:rFonts w:eastAsia="標楷體"/>
          <w:sz w:val="28"/>
          <w:szCs w:val="28"/>
        </w:rPr>
        <w:t>岐頭遊客中心</w:t>
      </w:r>
      <w:r w:rsidR="00397CE7" w:rsidRPr="00D55DC6">
        <w:rPr>
          <w:rFonts w:eastAsia="標楷體"/>
          <w:sz w:val="28"/>
          <w:szCs w:val="28"/>
        </w:rPr>
        <w:t>周邊</w:t>
      </w:r>
      <w:r w:rsidRPr="00D55DC6">
        <w:rPr>
          <w:rFonts w:eastAsia="標楷體"/>
          <w:sz w:val="28"/>
          <w:szCs w:val="28"/>
        </w:rPr>
        <w:t>停車場設施改善工程</w:t>
      </w:r>
      <w:r w:rsidRPr="00D55DC6">
        <w:rPr>
          <w:rFonts w:eastAsia="標楷體"/>
          <w:sz w:val="28"/>
          <w:szCs w:val="28"/>
        </w:rPr>
        <w:t>)</w:t>
      </w:r>
      <w:r w:rsidRPr="00D55DC6">
        <w:rPr>
          <w:rFonts w:eastAsia="標楷體"/>
          <w:sz w:val="28"/>
          <w:szCs w:val="28"/>
        </w:rPr>
        <w:t>、西嶼次系統</w:t>
      </w:r>
      <w:r w:rsidRPr="00D55DC6">
        <w:rPr>
          <w:rFonts w:eastAsia="標楷體"/>
          <w:sz w:val="28"/>
          <w:szCs w:val="28"/>
        </w:rPr>
        <w:t>(</w:t>
      </w:r>
      <w:r w:rsidRPr="00D55DC6">
        <w:rPr>
          <w:rFonts w:eastAsia="標楷體"/>
          <w:sz w:val="28"/>
          <w:szCs w:val="28"/>
        </w:rPr>
        <w:t>小池水庫</w:t>
      </w:r>
      <w:r w:rsidR="00397CE7" w:rsidRPr="00D55DC6">
        <w:rPr>
          <w:rFonts w:eastAsia="標楷體"/>
          <w:sz w:val="28"/>
          <w:szCs w:val="28"/>
        </w:rPr>
        <w:t>周邊</w:t>
      </w:r>
      <w:r w:rsidRPr="00D55DC6">
        <w:rPr>
          <w:rFonts w:eastAsia="標楷體"/>
          <w:sz w:val="28"/>
          <w:szCs w:val="28"/>
        </w:rPr>
        <w:t>景觀改善工程、清涼彈藥庫聯外步道</w:t>
      </w:r>
      <w:r w:rsidRPr="00D55DC6">
        <w:rPr>
          <w:rFonts w:eastAsia="標楷體"/>
          <w:snapToGrid w:val="0"/>
          <w:kern w:val="0"/>
          <w:sz w:val="28"/>
          <w:szCs w:val="28"/>
        </w:rPr>
        <w:t>工程</w:t>
      </w:r>
      <w:r w:rsidRPr="00D55DC6">
        <w:rPr>
          <w:rFonts w:eastAsia="標楷體"/>
          <w:sz w:val="28"/>
          <w:szCs w:val="28"/>
        </w:rPr>
        <w:t>、王屋營區環境及設施改善</w:t>
      </w:r>
      <w:r w:rsidRPr="00D55DC6">
        <w:rPr>
          <w:rFonts w:eastAsia="標楷體"/>
          <w:snapToGrid w:val="0"/>
          <w:kern w:val="0"/>
          <w:sz w:val="28"/>
          <w:szCs w:val="28"/>
        </w:rPr>
        <w:t>工程</w:t>
      </w:r>
      <w:r w:rsidRPr="00D55DC6">
        <w:rPr>
          <w:rFonts w:eastAsia="標楷體"/>
          <w:sz w:val="28"/>
          <w:szCs w:val="28"/>
        </w:rPr>
        <w:t>、內垵沙灘遊憩及服務設施改善</w:t>
      </w:r>
      <w:r w:rsidRPr="00D55DC6">
        <w:rPr>
          <w:rFonts w:eastAsia="標楷體"/>
          <w:snapToGrid w:val="0"/>
          <w:kern w:val="0"/>
          <w:sz w:val="28"/>
          <w:szCs w:val="28"/>
        </w:rPr>
        <w:t>工程</w:t>
      </w:r>
      <w:r w:rsidRPr="00D55DC6">
        <w:rPr>
          <w:rFonts w:eastAsia="標楷體"/>
          <w:snapToGrid w:val="0"/>
          <w:kern w:val="0"/>
          <w:sz w:val="28"/>
          <w:szCs w:val="28"/>
        </w:rPr>
        <w:t>)</w:t>
      </w:r>
      <w:r w:rsidRPr="00D55DC6">
        <w:rPr>
          <w:rFonts w:eastAsia="標楷體"/>
          <w:sz w:val="28"/>
          <w:szCs w:val="28"/>
        </w:rPr>
        <w:t>。</w:t>
      </w:r>
    </w:p>
    <w:p w:rsidR="00986223" w:rsidRPr="00D55DC6" w:rsidRDefault="00986223" w:rsidP="00986223">
      <w:pPr>
        <w:snapToGrid w:val="0"/>
        <w:spacing w:line="460" w:lineRule="exact"/>
        <w:ind w:leftChars="350" w:left="1417" w:hangingChars="206" w:hanging="577"/>
        <w:jc w:val="both"/>
        <w:rPr>
          <w:rFonts w:eastAsia="標楷體"/>
          <w:sz w:val="28"/>
          <w:szCs w:val="28"/>
        </w:rPr>
      </w:pPr>
      <w:r w:rsidRPr="00D55DC6">
        <w:rPr>
          <w:rFonts w:eastAsia="標楷體"/>
          <w:sz w:val="28"/>
          <w:szCs w:val="28"/>
        </w:rPr>
        <w:t xml:space="preserve">2-2. </w:t>
      </w:r>
      <w:r w:rsidRPr="00D55DC6">
        <w:rPr>
          <w:rFonts w:eastAsia="標楷體"/>
          <w:sz w:val="28"/>
          <w:szCs w:val="28"/>
        </w:rPr>
        <w:t>北海系統：北海次系統</w:t>
      </w:r>
      <w:r w:rsidRPr="00D55DC6">
        <w:rPr>
          <w:rFonts w:eastAsia="標楷體"/>
          <w:sz w:val="28"/>
          <w:szCs w:val="28"/>
        </w:rPr>
        <w:t>(</w:t>
      </w:r>
      <w:r w:rsidRPr="00D55DC6">
        <w:rPr>
          <w:rFonts w:eastAsia="標楷體"/>
          <w:sz w:val="28"/>
          <w:szCs w:val="28"/>
        </w:rPr>
        <w:t>北海遊客中心</w:t>
      </w:r>
      <w:r w:rsidR="00397CE7" w:rsidRPr="00D55DC6">
        <w:rPr>
          <w:rFonts w:eastAsia="標楷體"/>
          <w:sz w:val="28"/>
          <w:szCs w:val="28"/>
        </w:rPr>
        <w:t>周邊</w:t>
      </w:r>
      <w:r w:rsidRPr="00D55DC6">
        <w:rPr>
          <w:rFonts w:eastAsia="標楷體"/>
          <w:sz w:val="28"/>
          <w:szCs w:val="28"/>
        </w:rPr>
        <w:t>設施景觀改善工程</w:t>
      </w:r>
      <w:r w:rsidRPr="00D55DC6">
        <w:rPr>
          <w:rFonts w:eastAsia="標楷體"/>
          <w:sz w:val="28"/>
          <w:szCs w:val="28"/>
        </w:rPr>
        <w:t>)</w:t>
      </w:r>
      <w:r w:rsidRPr="00D55DC6">
        <w:rPr>
          <w:rFonts w:eastAsia="標楷體"/>
          <w:sz w:val="28"/>
          <w:szCs w:val="28"/>
        </w:rPr>
        <w:t>。</w:t>
      </w:r>
    </w:p>
    <w:p w:rsidR="00986223" w:rsidRPr="00D55DC6" w:rsidRDefault="00986223" w:rsidP="00986223">
      <w:pPr>
        <w:snapToGrid w:val="0"/>
        <w:spacing w:line="460" w:lineRule="exact"/>
        <w:ind w:leftChars="350" w:left="1417" w:hangingChars="206" w:hanging="577"/>
        <w:jc w:val="both"/>
        <w:rPr>
          <w:rFonts w:eastAsia="標楷體"/>
          <w:sz w:val="28"/>
          <w:szCs w:val="28"/>
        </w:rPr>
      </w:pPr>
      <w:r w:rsidRPr="00D55DC6">
        <w:rPr>
          <w:rFonts w:eastAsia="標楷體"/>
          <w:sz w:val="28"/>
          <w:szCs w:val="28"/>
        </w:rPr>
        <w:t xml:space="preserve">2-3. </w:t>
      </w:r>
      <w:r w:rsidRPr="00D55DC6">
        <w:rPr>
          <w:rFonts w:eastAsia="標楷體"/>
          <w:sz w:val="28"/>
          <w:szCs w:val="28"/>
        </w:rPr>
        <w:t>南海系統：望安次系統</w:t>
      </w:r>
      <w:r w:rsidRPr="00D55DC6">
        <w:rPr>
          <w:rFonts w:eastAsia="標楷體"/>
          <w:sz w:val="28"/>
          <w:szCs w:val="28"/>
        </w:rPr>
        <w:t>(</w:t>
      </w:r>
      <w:r w:rsidR="00DD6816" w:rsidRPr="00D55DC6">
        <w:rPr>
          <w:rFonts w:eastAsia="標楷體"/>
          <w:sz w:val="28"/>
          <w:szCs w:val="28"/>
        </w:rPr>
        <w:t>望安鴛鴦窟環境及設施改善</w:t>
      </w:r>
      <w:r w:rsidRPr="00D55DC6">
        <w:rPr>
          <w:rFonts w:eastAsia="標楷體"/>
          <w:sz w:val="28"/>
          <w:szCs w:val="28"/>
        </w:rPr>
        <w:t>)</w:t>
      </w:r>
      <w:r w:rsidRPr="00D55DC6">
        <w:rPr>
          <w:rFonts w:eastAsia="標楷體"/>
          <w:sz w:val="28"/>
          <w:szCs w:val="28"/>
        </w:rPr>
        <w:t>、七美次系統</w:t>
      </w:r>
      <w:r w:rsidRPr="00D55DC6">
        <w:rPr>
          <w:rFonts w:eastAsia="標楷體"/>
          <w:sz w:val="28"/>
          <w:szCs w:val="28"/>
        </w:rPr>
        <w:t>(</w:t>
      </w:r>
      <w:r w:rsidRPr="00D55DC6">
        <w:rPr>
          <w:rFonts w:eastAsia="標楷體"/>
          <w:sz w:val="28"/>
          <w:szCs w:val="28"/>
        </w:rPr>
        <w:t>七美遊客中心新建工程、七美燈塔遊憩服務設施改善工程、七美西濱海岸</w:t>
      </w:r>
      <w:r w:rsidR="00397CE7" w:rsidRPr="00D55DC6">
        <w:rPr>
          <w:rFonts w:eastAsia="標楷體"/>
          <w:sz w:val="28"/>
          <w:szCs w:val="28"/>
        </w:rPr>
        <w:t>周邊</w:t>
      </w:r>
      <w:r w:rsidRPr="00D55DC6">
        <w:rPr>
          <w:rFonts w:eastAsia="標楷體"/>
          <w:sz w:val="28"/>
          <w:szCs w:val="28"/>
        </w:rPr>
        <w:t>設施環境改善工程</w:t>
      </w:r>
      <w:r w:rsidRPr="00D55DC6">
        <w:rPr>
          <w:rFonts w:eastAsia="標楷體"/>
          <w:sz w:val="28"/>
          <w:szCs w:val="28"/>
        </w:rPr>
        <w:t>)</w:t>
      </w:r>
      <w:r w:rsidRPr="00D55DC6">
        <w:rPr>
          <w:rFonts w:eastAsia="標楷體"/>
          <w:sz w:val="28"/>
          <w:szCs w:val="28"/>
        </w:rPr>
        <w:t>。</w:t>
      </w:r>
    </w:p>
    <w:p w:rsidR="00986223" w:rsidRPr="00D55DC6" w:rsidRDefault="00986223" w:rsidP="004865C1">
      <w:pPr>
        <w:numPr>
          <w:ilvl w:val="1"/>
          <w:numId w:val="208"/>
        </w:numPr>
        <w:snapToGrid w:val="0"/>
        <w:spacing w:line="460" w:lineRule="exact"/>
        <w:jc w:val="both"/>
        <w:rPr>
          <w:rFonts w:eastAsia="標楷體"/>
          <w:b/>
          <w:sz w:val="28"/>
          <w:szCs w:val="28"/>
        </w:rPr>
      </w:pPr>
      <w:r w:rsidRPr="00D55DC6">
        <w:rPr>
          <w:rFonts w:eastAsia="標楷體"/>
          <w:b/>
          <w:sz w:val="28"/>
          <w:szCs w:val="28"/>
        </w:rPr>
        <w:t>國家風景區經營管理</w:t>
      </w:r>
    </w:p>
    <w:p w:rsidR="00986223" w:rsidRPr="00D55DC6" w:rsidRDefault="00986223" w:rsidP="00986223">
      <w:pPr>
        <w:snapToGrid w:val="0"/>
        <w:spacing w:line="460" w:lineRule="exact"/>
        <w:ind w:leftChars="350" w:left="1417" w:hangingChars="206" w:hanging="577"/>
        <w:jc w:val="both"/>
        <w:rPr>
          <w:rFonts w:eastAsia="標楷體"/>
          <w:sz w:val="28"/>
          <w:szCs w:val="28"/>
        </w:rPr>
      </w:pPr>
      <w:r w:rsidRPr="00D55DC6">
        <w:rPr>
          <w:rFonts w:eastAsia="標楷體"/>
          <w:sz w:val="28"/>
          <w:szCs w:val="28"/>
        </w:rPr>
        <w:t>3-1.</w:t>
      </w:r>
      <w:r w:rsidRPr="00D55DC6">
        <w:rPr>
          <w:rFonts w:eastAsia="標楷體"/>
          <w:sz w:val="28"/>
          <w:szCs w:val="28"/>
        </w:rPr>
        <w:tab/>
      </w:r>
      <w:r w:rsidRPr="00D55DC6">
        <w:rPr>
          <w:rFonts w:eastAsia="標楷體"/>
          <w:sz w:val="28"/>
          <w:szCs w:val="28"/>
        </w:rPr>
        <w:t>用地取得：依建設需要辦理土地撥用、協議價購或徵收，以及地上物清理等。</w:t>
      </w:r>
    </w:p>
    <w:p w:rsidR="00986223" w:rsidRPr="00D55DC6" w:rsidRDefault="00986223" w:rsidP="00986223">
      <w:pPr>
        <w:snapToGrid w:val="0"/>
        <w:spacing w:line="460" w:lineRule="exact"/>
        <w:ind w:leftChars="350" w:left="1417" w:hangingChars="206" w:hanging="577"/>
        <w:jc w:val="both"/>
        <w:rPr>
          <w:rFonts w:eastAsia="標楷體"/>
          <w:sz w:val="28"/>
          <w:szCs w:val="28"/>
        </w:rPr>
      </w:pPr>
      <w:r w:rsidRPr="00D55DC6">
        <w:rPr>
          <w:rFonts w:eastAsia="標楷體"/>
          <w:sz w:val="28"/>
          <w:szCs w:val="28"/>
        </w:rPr>
        <w:t>3-2.</w:t>
      </w:r>
      <w:r w:rsidRPr="00D55DC6">
        <w:rPr>
          <w:rFonts w:eastAsia="標楷體"/>
          <w:sz w:val="28"/>
          <w:szCs w:val="28"/>
        </w:rPr>
        <w:tab/>
      </w:r>
      <w:r w:rsidRPr="00D55DC6">
        <w:rPr>
          <w:rFonts w:eastAsia="標楷體"/>
          <w:sz w:val="28"/>
          <w:szCs w:val="28"/>
        </w:rPr>
        <w:t>先期規劃設計：辦理遊憩據點各項先期規劃、資源調查、開發經營管理策略研究及工程建設設計。</w:t>
      </w:r>
    </w:p>
    <w:p w:rsidR="00986223" w:rsidRPr="00D55DC6" w:rsidRDefault="00986223" w:rsidP="00986223">
      <w:pPr>
        <w:snapToGrid w:val="0"/>
        <w:spacing w:line="460" w:lineRule="exact"/>
        <w:ind w:leftChars="350" w:left="1417" w:hangingChars="206" w:hanging="577"/>
        <w:jc w:val="both"/>
        <w:rPr>
          <w:rFonts w:eastAsia="標楷體"/>
          <w:sz w:val="28"/>
          <w:szCs w:val="28"/>
        </w:rPr>
      </w:pPr>
      <w:r w:rsidRPr="00D55DC6">
        <w:rPr>
          <w:rFonts w:eastAsia="標楷體"/>
          <w:sz w:val="28"/>
          <w:szCs w:val="28"/>
        </w:rPr>
        <w:t>3-3.</w:t>
      </w:r>
      <w:r w:rsidRPr="00D55DC6">
        <w:rPr>
          <w:rFonts w:eastAsia="標楷體"/>
          <w:sz w:val="28"/>
          <w:szCs w:val="28"/>
        </w:rPr>
        <w:tab/>
      </w:r>
      <w:r w:rsidRPr="00D55DC6">
        <w:rPr>
          <w:rFonts w:eastAsia="標楷體"/>
          <w:sz w:val="28"/>
          <w:szCs w:val="28"/>
        </w:rPr>
        <w:tab/>
      </w:r>
      <w:r w:rsidRPr="00D55DC6">
        <w:rPr>
          <w:rFonts w:eastAsia="標楷體"/>
          <w:sz w:val="28"/>
          <w:szCs w:val="28"/>
        </w:rPr>
        <w:t>環境維護及設施維持：各遊憩據點清潔維護採勞務外包方式辦理，建築物與設施定期巡查及保養，以提升遊客安全。</w:t>
      </w:r>
    </w:p>
    <w:p w:rsidR="00986223" w:rsidRPr="00D55DC6" w:rsidRDefault="00986223" w:rsidP="00986223">
      <w:pPr>
        <w:snapToGrid w:val="0"/>
        <w:spacing w:line="460" w:lineRule="exact"/>
        <w:ind w:leftChars="350" w:left="1417" w:hangingChars="206" w:hanging="577"/>
        <w:jc w:val="both"/>
        <w:rPr>
          <w:rFonts w:eastAsia="標楷體"/>
          <w:sz w:val="28"/>
          <w:szCs w:val="28"/>
        </w:rPr>
      </w:pPr>
      <w:r w:rsidRPr="00D55DC6">
        <w:rPr>
          <w:rFonts w:eastAsia="標楷體"/>
          <w:sz w:val="28"/>
          <w:szCs w:val="28"/>
        </w:rPr>
        <w:t>3-4.</w:t>
      </w:r>
      <w:r w:rsidRPr="00D55DC6">
        <w:rPr>
          <w:rFonts w:eastAsia="標楷體"/>
          <w:sz w:val="28"/>
          <w:szCs w:val="28"/>
        </w:rPr>
        <w:tab/>
      </w:r>
      <w:r w:rsidRPr="00D55DC6">
        <w:rPr>
          <w:rFonts w:eastAsia="標楷體"/>
          <w:sz w:val="28"/>
          <w:szCs w:val="28"/>
        </w:rPr>
        <w:t>全區災害復舊及一般零星工程：辦理全區災害緊急修繕及公共設施整修。</w:t>
      </w:r>
    </w:p>
    <w:p w:rsidR="00986223" w:rsidRPr="00D55DC6" w:rsidRDefault="00986223" w:rsidP="004865C1">
      <w:pPr>
        <w:numPr>
          <w:ilvl w:val="1"/>
          <w:numId w:val="208"/>
        </w:numPr>
        <w:snapToGrid w:val="0"/>
        <w:spacing w:line="460" w:lineRule="exact"/>
        <w:jc w:val="both"/>
        <w:rPr>
          <w:rFonts w:eastAsia="標楷體"/>
          <w:b/>
          <w:sz w:val="28"/>
          <w:szCs w:val="28"/>
        </w:rPr>
      </w:pPr>
      <w:r w:rsidRPr="00D55DC6">
        <w:rPr>
          <w:rFonts w:eastAsia="標楷體"/>
          <w:b/>
          <w:sz w:val="28"/>
          <w:szCs w:val="28"/>
        </w:rPr>
        <w:t>經營管理及行銷推廣</w:t>
      </w:r>
    </w:p>
    <w:p w:rsidR="00986223" w:rsidRPr="00D55DC6" w:rsidRDefault="00986223" w:rsidP="00986223">
      <w:pPr>
        <w:snapToGrid w:val="0"/>
        <w:spacing w:line="460" w:lineRule="exact"/>
        <w:ind w:leftChars="350" w:left="1417" w:hangingChars="206" w:hanging="577"/>
        <w:jc w:val="both"/>
        <w:rPr>
          <w:rFonts w:eastAsia="標楷體"/>
          <w:snapToGrid w:val="0"/>
          <w:kern w:val="0"/>
          <w:sz w:val="28"/>
          <w:szCs w:val="28"/>
        </w:rPr>
      </w:pPr>
      <w:r w:rsidRPr="00D55DC6">
        <w:rPr>
          <w:rFonts w:eastAsia="標楷體"/>
          <w:snapToGrid w:val="0"/>
          <w:kern w:val="0"/>
          <w:sz w:val="28"/>
          <w:szCs w:val="28"/>
        </w:rPr>
        <w:t xml:space="preserve">4-1. </w:t>
      </w:r>
      <w:r w:rsidRPr="00D55DC6">
        <w:rPr>
          <w:rFonts w:eastAsia="標楷體"/>
          <w:snapToGrid w:val="0"/>
          <w:kern w:val="0"/>
          <w:sz w:val="28"/>
          <w:szCs w:val="28"/>
        </w:rPr>
        <w:t>經營管理：提升遊客安全</w:t>
      </w:r>
      <w:r w:rsidRPr="00D55DC6">
        <w:rPr>
          <w:rFonts w:eastAsia="標楷體"/>
          <w:snapToGrid w:val="0"/>
          <w:kern w:val="0"/>
          <w:sz w:val="28"/>
          <w:szCs w:val="28"/>
        </w:rPr>
        <w:t>(</w:t>
      </w:r>
      <w:r w:rsidRPr="00D55DC6">
        <w:rPr>
          <w:rFonts w:eastAsia="標楷體"/>
          <w:snapToGrid w:val="0"/>
          <w:kern w:val="0"/>
          <w:sz w:val="28"/>
          <w:szCs w:val="28"/>
        </w:rPr>
        <w:t>安全管理措施、水域遊憩活動管理、緊急救難系統、遊客安全宣導</w:t>
      </w:r>
      <w:r w:rsidRPr="00D55DC6">
        <w:rPr>
          <w:rFonts w:eastAsia="標楷體"/>
          <w:snapToGrid w:val="0"/>
          <w:kern w:val="0"/>
          <w:sz w:val="28"/>
          <w:szCs w:val="28"/>
        </w:rPr>
        <w:t>)</w:t>
      </w:r>
      <w:r w:rsidRPr="00D55DC6">
        <w:rPr>
          <w:rFonts w:eastAsia="標楷體"/>
          <w:snapToGrid w:val="0"/>
          <w:kern w:val="0"/>
          <w:sz w:val="28"/>
          <w:szCs w:val="28"/>
        </w:rPr>
        <w:t>、維護管理</w:t>
      </w:r>
      <w:r w:rsidRPr="00D55DC6">
        <w:rPr>
          <w:rFonts w:eastAsia="標楷體"/>
          <w:snapToGrid w:val="0"/>
          <w:kern w:val="0"/>
          <w:sz w:val="28"/>
          <w:szCs w:val="28"/>
        </w:rPr>
        <w:t>(</w:t>
      </w:r>
      <w:r w:rsidRPr="00D55DC6">
        <w:rPr>
          <w:rFonts w:eastAsia="標楷體"/>
          <w:snapToGrid w:val="0"/>
          <w:kern w:val="0"/>
          <w:sz w:val="28"/>
          <w:szCs w:val="28"/>
        </w:rPr>
        <w:t>規劃建置遊憩服務設施基本資料及設施維護</w:t>
      </w:r>
      <w:r w:rsidRPr="00D55DC6">
        <w:rPr>
          <w:rFonts w:eastAsia="標楷體"/>
          <w:snapToGrid w:val="0"/>
          <w:kern w:val="0"/>
          <w:sz w:val="28"/>
          <w:szCs w:val="28"/>
        </w:rPr>
        <w:t>)</w:t>
      </w:r>
      <w:r w:rsidRPr="00D55DC6">
        <w:rPr>
          <w:rFonts w:eastAsia="標楷體"/>
          <w:snapToGrid w:val="0"/>
          <w:kern w:val="0"/>
          <w:sz w:val="28"/>
          <w:szCs w:val="28"/>
        </w:rPr>
        <w:t>、整潔綠美化</w:t>
      </w:r>
      <w:r w:rsidRPr="00D55DC6">
        <w:rPr>
          <w:rFonts w:eastAsia="標楷體"/>
          <w:snapToGrid w:val="0"/>
          <w:kern w:val="0"/>
          <w:sz w:val="28"/>
          <w:szCs w:val="28"/>
        </w:rPr>
        <w:t>(</w:t>
      </w:r>
      <w:r w:rsidRPr="00D55DC6">
        <w:rPr>
          <w:rFonts w:eastAsia="標楷體"/>
          <w:snapToGrid w:val="0"/>
          <w:kern w:val="0"/>
          <w:sz w:val="28"/>
          <w:szCs w:val="28"/>
        </w:rPr>
        <w:t>環境清潔、植栽景觀及維</w:t>
      </w:r>
      <w:r w:rsidRPr="00D55DC6">
        <w:rPr>
          <w:rFonts w:eastAsia="標楷體"/>
          <w:snapToGrid w:val="0"/>
          <w:kern w:val="0"/>
          <w:sz w:val="28"/>
          <w:szCs w:val="28"/>
        </w:rPr>
        <w:lastRenderedPageBreak/>
        <w:t>護、公廁清潔及建築景觀維護</w:t>
      </w:r>
      <w:r w:rsidRPr="00D55DC6">
        <w:rPr>
          <w:rFonts w:eastAsia="標楷體"/>
          <w:snapToGrid w:val="0"/>
          <w:kern w:val="0"/>
          <w:sz w:val="28"/>
          <w:szCs w:val="28"/>
        </w:rPr>
        <w:t>)</w:t>
      </w:r>
      <w:r w:rsidRPr="00D55DC6">
        <w:rPr>
          <w:rFonts w:eastAsia="標楷體"/>
          <w:snapToGrid w:val="0"/>
          <w:kern w:val="0"/>
          <w:sz w:val="28"/>
          <w:szCs w:val="28"/>
        </w:rPr>
        <w:t>、社會資源</w:t>
      </w:r>
      <w:r w:rsidRPr="00D55DC6">
        <w:rPr>
          <w:rFonts w:eastAsia="標楷體"/>
          <w:snapToGrid w:val="0"/>
          <w:kern w:val="0"/>
          <w:sz w:val="28"/>
          <w:szCs w:val="28"/>
        </w:rPr>
        <w:t>(</w:t>
      </w:r>
      <w:r w:rsidRPr="00D55DC6">
        <w:rPr>
          <w:rFonts w:eastAsia="標楷體"/>
          <w:snapToGrid w:val="0"/>
          <w:kern w:val="0"/>
          <w:sz w:val="28"/>
          <w:szCs w:val="28"/>
        </w:rPr>
        <w:t>志工運用、民間企業團體合作及運用社區資源、設施出租委託經管</w:t>
      </w:r>
      <w:r w:rsidRPr="00D55DC6">
        <w:rPr>
          <w:rFonts w:eastAsia="標楷體"/>
          <w:snapToGrid w:val="0"/>
          <w:kern w:val="0"/>
          <w:sz w:val="28"/>
          <w:szCs w:val="28"/>
        </w:rPr>
        <w:t>)</w:t>
      </w:r>
      <w:r w:rsidRPr="00D55DC6">
        <w:rPr>
          <w:rFonts w:eastAsia="標楷體"/>
          <w:snapToGrid w:val="0"/>
          <w:kern w:val="0"/>
          <w:sz w:val="28"/>
          <w:szCs w:val="28"/>
        </w:rPr>
        <w:t>、服務品質</w:t>
      </w:r>
      <w:r w:rsidRPr="00D55DC6">
        <w:rPr>
          <w:rFonts w:eastAsia="標楷體"/>
          <w:snapToGrid w:val="0"/>
          <w:kern w:val="0"/>
          <w:sz w:val="28"/>
          <w:szCs w:val="28"/>
        </w:rPr>
        <w:t>(</w:t>
      </w:r>
      <w:r w:rsidRPr="00D55DC6">
        <w:rPr>
          <w:rFonts w:eastAsia="標楷體"/>
          <w:snapToGrid w:val="0"/>
          <w:kern w:val="0"/>
          <w:sz w:val="28"/>
          <w:szCs w:val="28"/>
        </w:rPr>
        <w:t>國際服務形象提升、解說服務、為民服務、違規取締及辦理國家風景區督導考核及設施環境自主檢查</w:t>
      </w:r>
      <w:r w:rsidRPr="00D55DC6">
        <w:rPr>
          <w:rFonts w:eastAsia="標楷體"/>
          <w:snapToGrid w:val="0"/>
          <w:kern w:val="0"/>
          <w:sz w:val="28"/>
          <w:szCs w:val="28"/>
        </w:rPr>
        <w:t>)</w:t>
      </w:r>
      <w:r w:rsidRPr="00D55DC6">
        <w:rPr>
          <w:rFonts w:eastAsia="標楷體"/>
          <w:snapToGrid w:val="0"/>
          <w:kern w:val="0"/>
          <w:sz w:val="28"/>
          <w:szCs w:val="28"/>
        </w:rPr>
        <w:t>。</w:t>
      </w:r>
    </w:p>
    <w:p w:rsidR="00986223" w:rsidRPr="00D55DC6" w:rsidRDefault="00986223" w:rsidP="00986223">
      <w:pPr>
        <w:snapToGrid w:val="0"/>
        <w:spacing w:line="460" w:lineRule="exact"/>
        <w:ind w:leftChars="350" w:left="1417" w:hangingChars="206" w:hanging="577"/>
        <w:jc w:val="both"/>
        <w:rPr>
          <w:rFonts w:eastAsia="標楷體"/>
          <w:snapToGrid w:val="0"/>
          <w:kern w:val="0"/>
          <w:sz w:val="28"/>
          <w:szCs w:val="28"/>
        </w:rPr>
      </w:pPr>
      <w:r w:rsidRPr="00D55DC6">
        <w:rPr>
          <w:rFonts w:eastAsia="標楷體"/>
          <w:snapToGrid w:val="0"/>
          <w:kern w:val="0"/>
          <w:sz w:val="28"/>
          <w:szCs w:val="28"/>
        </w:rPr>
        <w:t xml:space="preserve">4-1. </w:t>
      </w:r>
      <w:r w:rsidRPr="00D55DC6">
        <w:rPr>
          <w:rFonts w:eastAsia="標楷體"/>
          <w:snapToGrid w:val="0"/>
          <w:kern w:val="0"/>
          <w:sz w:val="28"/>
          <w:szCs w:val="28"/>
        </w:rPr>
        <w:t>行銷推廣：世界最美麗海灣觀光行銷活動、低碳旅遊及樂齡及無礙遊程行銷活動、國際型沙灘運動觀光活動、觀光旺季加強澎湖秋冬旅遊促銷活動、國際行銷及大陸旅遊推介</w:t>
      </w:r>
      <w:r w:rsidRPr="00D55DC6">
        <w:rPr>
          <w:rFonts w:eastAsia="標楷體"/>
          <w:snapToGrid w:val="0"/>
          <w:kern w:val="0"/>
          <w:sz w:val="28"/>
          <w:szCs w:val="28"/>
        </w:rPr>
        <w:t>(</w:t>
      </w:r>
      <w:r w:rsidRPr="00D55DC6">
        <w:rPr>
          <w:rFonts w:eastAsia="標楷體"/>
          <w:snapToGrid w:val="0"/>
          <w:kern w:val="0"/>
          <w:sz w:val="28"/>
          <w:szCs w:val="28"/>
        </w:rPr>
        <w:t>拓展大陸、香港、新加坡、馬來西亞等鄰近國家華人市場</w:t>
      </w:r>
      <w:r w:rsidRPr="00D55DC6">
        <w:rPr>
          <w:rFonts w:eastAsia="標楷體"/>
          <w:snapToGrid w:val="0"/>
          <w:kern w:val="0"/>
          <w:sz w:val="28"/>
          <w:szCs w:val="28"/>
        </w:rPr>
        <w:t>)</w:t>
      </w:r>
      <w:r w:rsidRPr="00D55DC6">
        <w:rPr>
          <w:rFonts w:eastAsia="標楷體"/>
          <w:snapToGrid w:val="0"/>
          <w:kern w:val="0"/>
          <w:sz w:val="28"/>
          <w:szCs w:val="28"/>
        </w:rPr>
        <w:t>、</w:t>
      </w:r>
      <w:r w:rsidRPr="00D55DC6">
        <w:rPr>
          <w:rFonts w:eastAsia="標楷體"/>
          <w:sz w:val="28"/>
          <w:szCs w:val="28"/>
        </w:rPr>
        <w:t>旅遊服務系統</w:t>
      </w:r>
      <w:r w:rsidRPr="00D55DC6">
        <w:rPr>
          <w:rFonts w:eastAsia="標楷體"/>
          <w:sz w:val="28"/>
          <w:szCs w:val="28"/>
        </w:rPr>
        <w:t>(</w:t>
      </w:r>
      <w:r w:rsidRPr="00D55DC6">
        <w:rPr>
          <w:rFonts w:eastAsia="標楷體"/>
          <w:sz w:val="28"/>
          <w:szCs w:val="28"/>
        </w:rPr>
        <w:t>確立澎湖觀光發展定位、拓展澎湖觀光客源市場、推動澎湖觀光亮點、辦理冬季旅遊行銷推廣活動</w:t>
      </w:r>
      <w:r w:rsidRPr="00D55DC6">
        <w:rPr>
          <w:rFonts w:eastAsia="標楷體"/>
          <w:sz w:val="28"/>
          <w:szCs w:val="28"/>
        </w:rPr>
        <w:t>)</w:t>
      </w:r>
      <w:r w:rsidRPr="00D55DC6">
        <w:rPr>
          <w:rFonts w:eastAsia="標楷體"/>
          <w:sz w:val="28"/>
          <w:szCs w:val="28"/>
        </w:rPr>
        <w:t>。</w:t>
      </w:r>
    </w:p>
    <w:p w:rsidR="00986223" w:rsidRPr="00D55DC6" w:rsidRDefault="00986223" w:rsidP="004865C1">
      <w:pPr>
        <w:numPr>
          <w:ilvl w:val="1"/>
          <w:numId w:val="208"/>
        </w:numPr>
        <w:snapToGrid w:val="0"/>
        <w:spacing w:line="460" w:lineRule="exact"/>
        <w:jc w:val="both"/>
        <w:rPr>
          <w:rFonts w:eastAsia="標楷體"/>
          <w:b/>
          <w:sz w:val="28"/>
          <w:szCs w:val="28"/>
        </w:rPr>
      </w:pPr>
      <w:r w:rsidRPr="00D55DC6">
        <w:rPr>
          <w:rFonts w:eastAsia="標楷體"/>
          <w:b/>
          <w:sz w:val="28"/>
          <w:szCs w:val="28"/>
        </w:rPr>
        <w:t>提升觀光建設自償性</w:t>
      </w:r>
    </w:p>
    <w:p w:rsidR="00986223" w:rsidRPr="00D55DC6" w:rsidRDefault="00986223" w:rsidP="00986223">
      <w:pPr>
        <w:snapToGrid w:val="0"/>
        <w:spacing w:line="460" w:lineRule="exact"/>
        <w:ind w:leftChars="349" w:left="2834" w:hangingChars="713" w:hanging="1996"/>
        <w:jc w:val="both"/>
        <w:rPr>
          <w:rFonts w:eastAsia="標楷體"/>
          <w:sz w:val="28"/>
          <w:szCs w:val="28"/>
        </w:rPr>
      </w:pPr>
      <w:r w:rsidRPr="00D55DC6">
        <w:rPr>
          <w:rFonts w:eastAsia="標楷體"/>
          <w:sz w:val="28"/>
          <w:szCs w:val="28"/>
        </w:rPr>
        <w:t>5-1.</w:t>
      </w:r>
      <w:r w:rsidRPr="00D55DC6">
        <w:rPr>
          <w:rFonts w:eastAsia="標楷體"/>
          <w:sz w:val="28"/>
          <w:szCs w:val="28"/>
        </w:rPr>
        <w:t>設施出租：</w:t>
      </w:r>
    </w:p>
    <w:p w:rsidR="00986223" w:rsidRPr="00D55DC6" w:rsidRDefault="00986223" w:rsidP="00986223">
      <w:pPr>
        <w:snapToGrid w:val="0"/>
        <w:spacing w:line="460" w:lineRule="exact"/>
        <w:ind w:leftChars="589" w:left="1416" w:hanging="2"/>
        <w:jc w:val="both"/>
        <w:rPr>
          <w:rFonts w:eastAsia="標楷體"/>
          <w:sz w:val="28"/>
          <w:szCs w:val="28"/>
        </w:rPr>
      </w:pPr>
      <w:r w:rsidRPr="00D55DC6">
        <w:rPr>
          <w:rFonts w:eastAsia="標楷體"/>
          <w:sz w:val="28"/>
          <w:szCs w:val="28"/>
        </w:rPr>
        <w:t>估算目前規劃已委外出租設施約</w:t>
      </w:r>
      <w:r w:rsidRPr="00D55DC6">
        <w:rPr>
          <w:rFonts w:eastAsia="標楷體"/>
          <w:sz w:val="28"/>
          <w:szCs w:val="28"/>
        </w:rPr>
        <w:t>25</w:t>
      </w:r>
      <w:r w:rsidRPr="00D55DC6">
        <w:rPr>
          <w:rFonts w:eastAsia="標楷體"/>
          <w:sz w:val="28"/>
          <w:szCs w:val="28"/>
        </w:rPr>
        <w:t>件，預計可收取年租金約為</w:t>
      </w:r>
      <w:r w:rsidRPr="00D55DC6">
        <w:rPr>
          <w:rFonts w:eastAsia="標楷體"/>
          <w:sz w:val="28"/>
          <w:szCs w:val="28"/>
        </w:rPr>
        <w:t>553.4</w:t>
      </w:r>
      <w:r w:rsidRPr="00D55DC6">
        <w:rPr>
          <w:rFonts w:eastAsia="標楷體"/>
          <w:sz w:val="28"/>
          <w:szCs w:val="28"/>
        </w:rPr>
        <w:t>萬元。</w:t>
      </w:r>
    </w:p>
    <w:p w:rsidR="00986223" w:rsidRPr="00D55DC6" w:rsidRDefault="00986223" w:rsidP="00986223">
      <w:pPr>
        <w:snapToGrid w:val="0"/>
        <w:spacing w:line="460" w:lineRule="exact"/>
        <w:ind w:leftChars="350" w:left="2268" w:hangingChars="510" w:hanging="1428"/>
        <w:jc w:val="both"/>
        <w:rPr>
          <w:rFonts w:eastAsia="標楷體"/>
          <w:sz w:val="28"/>
          <w:szCs w:val="28"/>
        </w:rPr>
      </w:pPr>
      <w:r w:rsidRPr="00D55DC6">
        <w:rPr>
          <w:rFonts w:eastAsia="標楷體"/>
          <w:sz w:val="28"/>
          <w:szCs w:val="28"/>
        </w:rPr>
        <w:t>5-2.</w:t>
      </w:r>
      <w:r w:rsidRPr="00D55DC6">
        <w:rPr>
          <w:rFonts w:eastAsia="標楷體"/>
          <w:sz w:val="28"/>
          <w:szCs w:val="28"/>
        </w:rPr>
        <w:t>促參：</w:t>
      </w:r>
    </w:p>
    <w:p w:rsidR="00986223" w:rsidRPr="00D55DC6" w:rsidRDefault="00986223" w:rsidP="00986223">
      <w:pPr>
        <w:snapToGrid w:val="0"/>
        <w:spacing w:line="460" w:lineRule="exact"/>
        <w:ind w:leftChars="589" w:left="1416" w:hanging="2"/>
        <w:jc w:val="both"/>
        <w:rPr>
          <w:rFonts w:eastAsia="標楷體"/>
          <w:sz w:val="28"/>
          <w:szCs w:val="28"/>
        </w:rPr>
      </w:pPr>
      <w:r w:rsidRPr="00D55DC6">
        <w:rPr>
          <w:rFonts w:eastAsia="標楷體"/>
          <w:sz w:val="28"/>
          <w:szCs w:val="28"/>
        </w:rPr>
        <w:t>目前已辦理完成之促參案件</w:t>
      </w:r>
      <w:r w:rsidRPr="00D55DC6">
        <w:rPr>
          <w:rFonts w:eastAsia="標楷體"/>
          <w:sz w:val="28"/>
          <w:szCs w:val="28"/>
        </w:rPr>
        <w:t>OT</w:t>
      </w:r>
      <w:r w:rsidRPr="00D55DC6">
        <w:rPr>
          <w:rFonts w:eastAsia="標楷體"/>
          <w:sz w:val="28"/>
          <w:szCs w:val="28"/>
        </w:rPr>
        <w:t>案</w:t>
      </w:r>
      <w:r w:rsidRPr="00D55DC6">
        <w:rPr>
          <w:rFonts w:eastAsia="標楷體"/>
          <w:sz w:val="28"/>
          <w:szCs w:val="28"/>
        </w:rPr>
        <w:t>6</w:t>
      </w:r>
      <w:r w:rsidRPr="00D55DC6">
        <w:rPr>
          <w:rFonts w:eastAsia="標楷體"/>
          <w:sz w:val="28"/>
          <w:szCs w:val="28"/>
        </w:rPr>
        <w:t>件，權利金約為</w:t>
      </w:r>
      <w:r w:rsidRPr="00D55DC6">
        <w:rPr>
          <w:rFonts w:eastAsia="標楷體"/>
          <w:sz w:val="28"/>
          <w:szCs w:val="28"/>
        </w:rPr>
        <w:t>118.3</w:t>
      </w:r>
      <w:r w:rsidRPr="00D55DC6">
        <w:rPr>
          <w:rFonts w:eastAsia="標楷體"/>
          <w:sz w:val="28"/>
          <w:szCs w:val="28"/>
        </w:rPr>
        <w:t>萬元。</w:t>
      </w:r>
      <w:r w:rsidRPr="00D55DC6">
        <w:rPr>
          <w:rFonts w:eastAsia="標楷體"/>
          <w:sz w:val="28"/>
          <w:szCs w:val="28"/>
        </w:rPr>
        <w:t>ROT</w:t>
      </w:r>
      <w:r w:rsidRPr="00D55DC6">
        <w:rPr>
          <w:rFonts w:eastAsia="標楷體"/>
          <w:sz w:val="28"/>
          <w:szCs w:val="28"/>
        </w:rPr>
        <w:t>案</w:t>
      </w:r>
      <w:r w:rsidRPr="00D55DC6">
        <w:rPr>
          <w:rFonts w:eastAsia="標楷體"/>
          <w:sz w:val="28"/>
          <w:szCs w:val="28"/>
        </w:rPr>
        <w:t>1</w:t>
      </w:r>
      <w:r w:rsidRPr="00D55DC6">
        <w:rPr>
          <w:rFonts w:eastAsia="標楷體"/>
          <w:sz w:val="28"/>
          <w:szCs w:val="28"/>
        </w:rPr>
        <w:t>件，權利金約為</w:t>
      </w:r>
      <w:r w:rsidRPr="00D55DC6">
        <w:rPr>
          <w:rFonts w:eastAsia="標楷體"/>
          <w:sz w:val="28"/>
          <w:szCs w:val="28"/>
        </w:rPr>
        <w:t>110</w:t>
      </w:r>
      <w:r w:rsidRPr="00D55DC6">
        <w:rPr>
          <w:rFonts w:eastAsia="標楷體"/>
          <w:sz w:val="28"/>
          <w:szCs w:val="28"/>
        </w:rPr>
        <w:t>萬元。持續推動漁翁島休閒度假區</w:t>
      </w:r>
      <w:r w:rsidRPr="00D55DC6">
        <w:rPr>
          <w:rFonts w:eastAsia="標楷體"/>
          <w:sz w:val="28"/>
          <w:szCs w:val="28"/>
        </w:rPr>
        <w:t>ROT</w:t>
      </w:r>
      <w:r w:rsidRPr="00D55DC6">
        <w:rPr>
          <w:rFonts w:eastAsia="標楷體"/>
          <w:sz w:val="28"/>
          <w:szCs w:val="28"/>
        </w:rPr>
        <w:t>＋</w:t>
      </w:r>
      <w:r w:rsidRPr="00D55DC6">
        <w:rPr>
          <w:rFonts w:eastAsia="標楷體"/>
          <w:sz w:val="28"/>
          <w:szCs w:val="28"/>
        </w:rPr>
        <w:t>BOT</w:t>
      </w:r>
      <w:r w:rsidRPr="00D55DC6">
        <w:rPr>
          <w:rFonts w:eastAsia="標楷體"/>
          <w:sz w:val="28"/>
          <w:szCs w:val="28"/>
        </w:rPr>
        <w:t>案、隘門濱海</w:t>
      </w:r>
      <w:r w:rsidR="00EA38C5" w:rsidRPr="00D55DC6">
        <w:rPr>
          <w:rFonts w:eastAsia="標楷體"/>
          <w:sz w:val="28"/>
          <w:szCs w:val="28"/>
        </w:rPr>
        <w:t>度假</w:t>
      </w:r>
      <w:r w:rsidRPr="00D55DC6">
        <w:rPr>
          <w:rFonts w:eastAsia="標楷體"/>
          <w:sz w:val="28"/>
          <w:szCs w:val="28"/>
        </w:rPr>
        <w:t>區</w:t>
      </w:r>
      <w:r w:rsidRPr="00D55DC6">
        <w:rPr>
          <w:rFonts w:eastAsia="標楷體"/>
          <w:sz w:val="28"/>
          <w:szCs w:val="28"/>
        </w:rPr>
        <w:t>ROT</w:t>
      </w:r>
      <w:r w:rsidRPr="00D55DC6">
        <w:rPr>
          <w:rFonts w:eastAsia="標楷體"/>
          <w:sz w:val="28"/>
          <w:szCs w:val="28"/>
        </w:rPr>
        <w:t>＋</w:t>
      </w:r>
      <w:r w:rsidRPr="00D55DC6">
        <w:rPr>
          <w:rFonts w:eastAsia="標楷體"/>
          <w:sz w:val="28"/>
          <w:szCs w:val="28"/>
        </w:rPr>
        <w:t>BOT</w:t>
      </w:r>
      <w:r w:rsidRPr="00D55DC6">
        <w:rPr>
          <w:rFonts w:eastAsia="標楷體"/>
          <w:sz w:val="28"/>
          <w:szCs w:val="28"/>
        </w:rPr>
        <w:t>案、東衛石雕園區</w:t>
      </w:r>
      <w:r w:rsidRPr="00D55DC6">
        <w:rPr>
          <w:rFonts w:eastAsia="標楷體"/>
          <w:sz w:val="28"/>
          <w:szCs w:val="28"/>
        </w:rPr>
        <w:t>ROT</w:t>
      </w:r>
      <w:r w:rsidRPr="00D55DC6">
        <w:rPr>
          <w:rFonts w:eastAsia="標楷體"/>
          <w:sz w:val="28"/>
          <w:szCs w:val="28"/>
        </w:rPr>
        <w:t>＋</w:t>
      </w:r>
      <w:r w:rsidRPr="00D55DC6">
        <w:rPr>
          <w:rFonts w:eastAsia="標楷體"/>
          <w:sz w:val="28"/>
          <w:szCs w:val="28"/>
        </w:rPr>
        <w:t>BOT</w:t>
      </w:r>
      <w:r w:rsidRPr="00D55DC6">
        <w:rPr>
          <w:rFonts w:eastAsia="標楷體"/>
          <w:sz w:val="28"/>
          <w:szCs w:val="28"/>
        </w:rPr>
        <w:t>案、吉貝休閒度假旅館暨休憩園區</w:t>
      </w:r>
      <w:r w:rsidRPr="00D55DC6">
        <w:rPr>
          <w:rFonts w:eastAsia="標楷體"/>
          <w:sz w:val="28"/>
          <w:szCs w:val="28"/>
        </w:rPr>
        <w:t>BOT</w:t>
      </w:r>
      <w:r w:rsidRPr="00D55DC6">
        <w:rPr>
          <w:rFonts w:eastAsia="標楷體"/>
          <w:sz w:val="28"/>
          <w:szCs w:val="28"/>
        </w:rPr>
        <w:t>案及北寮遊客中心</w:t>
      </w:r>
      <w:r w:rsidRPr="00D55DC6">
        <w:rPr>
          <w:rFonts w:eastAsia="標楷體"/>
          <w:sz w:val="28"/>
          <w:szCs w:val="28"/>
        </w:rPr>
        <w:t>OT</w:t>
      </w:r>
      <w:r w:rsidRPr="00D55DC6">
        <w:rPr>
          <w:rFonts w:eastAsia="標楷體"/>
          <w:sz w:val="28"/>
          <w:szCs w:val="28"/>
        </w:rPr>
        <w:t>案等。</w:t>
      </w:r>
    </w:p>
    <w:p w:rsidR="00986223" w:rsidRPr="00D55DC6" w:rsidRDefault="00986223" w:rsidP="00986223">
      <w:pPr>
        <w:adjustRightInd w:val="0"/>
        <w:snapToGrid w:val="0"/>
        <w:spacing w:line="460" w:lineRule="exact"/>
        <w:ind w:leftChars="353" w:left="2972" w:hangingChars="759" w:hanging="2125"/>
        <w:jc w:val="both"/>
        <w:rPr>
          <w:rFonts w:eastAsia="標楷體"/>
          <w:sz w:val="28"/>
          <w:szCs w:val="28"/>
        </w:rPr>
      </w:pPr>
      <w:r w:rsidRPr="00D55DC6">
        <w:rPr>
          <w:rFonts w:eastAsia="標楷體"/>
          <w:sz w:val="28"/>
          <w:szCs w:val="28"/>
        </w:rPr>
        <w:t>5-3.</w:t>
      </w:r>
      <w:r w:rsidRPr="00D55DC6">
        <w:rPr>
          <w:rFonts w:eastAsia="標楷體"/>
          <w:sz w:val="28"/>
          <w:szCs w:val="28"/>
        </w:rPr>
        <w:t>使用者付費：</w:t>
      </w:r>
    </w:p>
    <w:p w:rsidR="00986223" w:rsidRPr="00D55DC6" w:rsidRDefault="00986223" w:rsidP="00986223">
      <w:pPr>
        <w:snapToGrid w:val="0"/>
        <w:spacing w:line="460" w:lineRule="exact"/>
        <w:ind w:leftChars="589" w:left="1416" w:hanging="2"/>
        <w:jc w:val="both"/>
        <w:rPr>
          <w:rFonts w:eastAsia="標楷體"/>
          <w:sz w:val="28"/>
          <w:szCs w:val="28"/>
        </w:rPr>
      </w:pPr>
      <w:r w:rsidRPr="00D55DC6">
        <w:rPr>
          <w:rFonts w:eastAsia="標楷體"/>
          <w:sz w:val="28"/>
          <w:szCs w:val="28"/>
        </w:rPr>
        <w:t>停車場委外經營</w:t>
      </w:r>
      <w:r w:rsidRPr="00D55DC6">
        <w:rPr>
          <w:rFonts w:eastAsia="標楷體"/>
          <w:sz w:val="28"/>
          <w:szCs w:val="28"/>
        </w:rPr>
        <w:t>(</w:t>
      </w:r>
      <w:r w:rsidRPr="00D55DC6">
        <w:rPr>
          <w:rFonts w:eastAsia="標楷體"/>
          <w:sz w:val="28"/>
          <w:szCs w:val="28"/>
        </w:rPr>
        <w:t>景點及遊客中心附屬之停車空間可訂定停車場收費機制，透過委外營運之方式執行停車收費</w:t>
      </w:r>
      <w:r w:rsidRPr="00D55DC6">
        <w:rPr>
          <w:rFonts w:eastAsia="標楷體"/>
          <w:sz w:val="28"/>
          <w:szCs w:val="28"/>
        </w:rPr>
        <w:t>)</w:t>
      </w:r>
      <w:r w:rsidRPr="00D55DC6">
        <w:rPr>
          <w:rFonts w:eastAsia="標楷體"/>
          <w:sz w:val="28"/>
          <w:szCs w:val="28"/>
        </w:rPr>
        <w:t>、廣告及吉祥物周邊產品收益</w:t>
      </w:r>
      <w:r w:rsidRPr="00D55DC6">
        <w:rPr>
          <w:rFonts w:eastAsia="標楷體"/>
          <w:sz w:val="28"/>
          <w:szCs w:val="28"/>
        </w:rPr>
        <w:t>(</w:t>
      </w:r>
      <w:r w:rsidRPr="00D55DC6">
        <w:rPr>
          <w:rFonts w:eastAsia="標楷體"/>
          <w:sz w:val="28"/>
          <w:szCs w:val="28"/>
        </w:rPr>
        <w:t>於各經管場域（如服務中心入口處、燈桿）設置宣傳旗面、</w:t>
      </w:r>
      <w:r w:rsidRPr="00D55DC6">
        <w:rPr>
          <w:rFonts w:eastAsia="標楷體"/>
          <w:sz w:val="28"/>
          <w:szCs w:val="28"/>
        </w:rPr>
        <w:t>LED</w:t>
      </w:r>
      <w:r w:rsidRPr="00D55DC6">
        <w:rPr>
          <w:rFonts w:eastAsia="標楷體"/>
          <w:sz w:val="28"/>
          <w:szCs w:val="28"/>
        </w:rPr>
        <w:t>字幕機等出租作為廣告宣傳</w:t>
      </w:r>
      <w:r w:rsidRPr="00D55DC6">
        <w:rPr>
          <w:rFonts w:eastAsia="標楷體"/>
          <w:sz w:val="28"/>
          <w:szCs w:val="28"/>
        </w:rPr>
        <w:t>)</w:t>
      </w:r>
      <w:r w:rsidRPr="00D55DC6">
        <w:rPr>
          <w:rFonts w:eastAsia="標楷體"/>
          <w:sz w:val="28"/>
          <w:szCs w:val="28"/>
        </w:rPr>
        <w:t>、開發在地吉祥物周邊商品（出版品、紀念品及特色辦手裡等）銷售或收取權利金。</w:t>
      </w:r>
    </w:p>
    <w:p w:rsidR="00986223" w:rsidRPr="00D55DC6" w:rsidRDefault="00986223" w:rsidP="00986223">
      <w:pPr>
        <w:snapToGrid w:val="0"/>
        <w:spacing w:line="460" w:lineRule="exact"/>
        <w:ind w:leftChars="349" w:left="2692" w:hangingChars="662" w:hanging="1854"/>
        <w:jc w:val="both"/>
        <w:rPr>
          <w:rFonts w:eastAsia="標楷體"/>
          <w:sz w:val="28"/>
          <w:szCs w:val="28"/>
        </w:rPr>
      </w:pPr>
      <w:r w:rsidRPr="00D55DC6">
        <w:rPr>
          <w:rFonts w:eastAsia="標楷體"/>
          <w:sz w:val="28"/>
          <w:szCs w:val="28"/>
        </w:rPr>
        <w:t>5-4.</w:t>
      </w:r>
      <w:r w:rsidRPr="00D55DC6">
        <w:rPr>
          <w:rFonts w:eastAsia="標楷體"/>
          <w:sz w:val="28"/>
          <w:szCs w:val="28"/>
        </w:rPr>
        <w:t>跨域合作：</w:t>
      </w:r>
    </w:p>
    <w:p w:rsidR="00986223" w:rsidRPr="00D55DC6" w:rsidRDefault="00986223" w:rsidP="00986223">
      <w:pPr>
        <w:snapToGrid w:val="0"/>
        <w:spacing w:line="460" w:lineRule="exact"/>
        <w:ind w:leftChars="589" w:left="1416" w:hanging="2"/>
        <w:jc w:val="both"/>
        <w:rPr>
          <w:rFonts w:eastAsia="標楷體"/>
          <w:sz w:val="28"/>
          <w:szCs w:val="28"/>
        </w:rPr>
      </w:pPr>
      <w:r w:rsidRPr="00D55DC6">
        <w:rPr>
          <w:rFonts w:eastAsia="標楷體"/>
          <w:sz w:val="28"/>
          <w:szCs w:val="28"/>
        </w:rPr>
        <w:t>未來於推動國際郵輪觀光遊程，將持續與臺灣港務股份有限公司、澎湖縣政府等單位合作，結合澎湖觀光業者規劃郵輪上岸後接續之主題觀光遊程，擴大澎湖整體觀光發展效益。</w:t>
      </w:r>
    </w:p>
    <w:p w:rsidR="00986223" w:rsidRPr="00D55DC6" w:rsidRDefault="00986223" w:rsidP="004865C1">
      <w:pPr>
        <w:numPr>
          <w:ilvl w:val="0"/>
          <w:numId w:val="208"/>
        </w:numPr>
        <w:snapToGrid w:val="0"/>
        <w:spacing w:line="460" w:lineRule="exact"/>
        <w:jc w:val="both"/>
        <w:rPr>
          <w:rFonts w:eastAsia="標楷體"/>
          <w:b/>
          <w:sz w:val="28"/>
          <w:szCs w:val="28"/>
        </w:rPr>
      </w:pPr>
      <w:r w:rsidRPr="00D55DC6">
        <w:rPr>
          <w:rFonts w:eastAsia="標楷體"/>
          <w:b/>
          <w:sz w:val="28"/>
          <w:szCs w:val="28"/>
        </w:rPr>
        <w:lastRenderedPageBreak/>
        <w:t>分年預期成果</w:t>
      </w:r>
    </w:p>
    <w:p w:rsidR="00986223" w:rsidRPr="00D55DC6" w:rsidRDefault="00986223" w:rsidP="004865C1">
      <w:pPr>
        <w:numPr>
          <w:ilvl w:val="0"/>
          <w:numId w:val="209"/>
        </w:numPr>
        <w:snapToGrid w:val="0"/>
        <w:spacing w:line="460" w:lineRule="exact"/>
        <w:jc w:val="both"/>
        <w:rPr>
          <w:rFonts w:eastAsia="標楷體"/>
          <w:b/>
          <w:sz w:val="28"/>
          <w:szCs w:val="28"/>
        </w:rPr>
      </w:pPr>
      <w:r w:rsidRPr="00D55DC6">
        <w:rPr>
          <w:rFonts w:eastAsia="標楷體"/>
          <w:b/>
          <w:sz w:val="28"/>
          <w:szCs w:val="28"/>
        </w:rPr>
        <w:t>105</w:t>
      </w:r>
      <w:r w:rsidRPr="00D55DC6">
        <w:rPr>
          <w:rFonts w:eastAsia="標楷體"/>
          <w:b/>
          <w:sz w:val="28"/>
          <w:szCs w:val="28"/>
        </w:rPr>
        <w:t>年</w:t>
      </w:r>
    </w:p>
    <w:p w:rsidR="00986223" w:rsidRPr="00D55DC6" w:rsidRDefault="00986223" w:rsidP="00986223">
      <w:pPr>
        <w:snapToGrid w:val="0"/>
        <w:spacing w:line="460" w:lineRule="exact"/>
        <w:ind w:left="840"/>
        <w:jc w:val="both"/>
        <w:rPr>
          <w:rFonts w:eastAsia="標楷體"/>
          <w:b/>
          <w:sz w:val="28"/>
          <w:szCs w:val="28"/>
        </w:rPr>
      </w:pPr>
      <w:r w:rsidRPr="00D55DC6">
        <w:rPr>
          <w:rFonts w:eastAsia="標楷體"/>
          <w:b/>
          <w:sz w:val="28"/>
          <w:szCs w:val="28"/>
        </w:rPr>
        <w:t>1-1.</w:t>
      </w:r>
      <w:r w:rsidRPr="00D55DC6">
        <w:rPr>
          <w:rFonts w:eastAsia="標楷體"/>
          <w:b/>
          <w:sz w:val="28"/>
          <w:szCs w:val="28"/>
        </w:rPr>
        <w:t>國際觀光重要景點：</w:t>
      </w:r>
    </w:p>
    <w:p w:rsidR="00986223" w:rsidRPr="00D55DC6" w:rsidRDefault="00986223" w:rsidP="00986223">
      <w:pPr>
        <w:snapToGrid w:val="0"/>
        <w:spacing w:line="460" w:lineRule="exact"/>
        <w:ind w:left="1276" w:hanging="2"/>
        <w:jc w:val="both"/>
        <w:rPr>
          <w:rFonts w:eastAsia="標楷體"/>
          <w:snapToGrid w:val="0"/>
          <w:kern w:val="0"/>
          <w:sz w:val="28"/>
          <w:szCs w:val="28"/>
        </w:rPr>
      </w:pPr>
      <w:r w:rsidRPr="00D55DC6">
        <w:rPr>
          <w:rFonts w:eastAsia="標楷體"/>
          <w:sz w:val="28"/>
          <w:szCs w:val="28"/>
        </w:rPr>
        <w:t>馬公本島系統</w:t>
      </w:r>
      <w:r w:rsidRPr="00D55DC6">
        <w:rPr>
          <w:rFonts w:eastAsia="標楷體"/>
          <w:sz w:val="28"/>
          <w:szCs w:val="28"/>
        </w:rPr>
        <w:t>(</w:t>
      </w:r>
      <w:r w:rsidRPr="00D55DC6">
        <w:rPr>
          <w:rFonts w:eastAsia="標楷體"/>
          <w:snapToGrid w:val="0"/>
          <w:kern w:val="0"/>
          <w:sz w:val="28"/>
          <w:szCs w:val="28"/>
        </w:rPr>
        <w:t>馬公觀光都市：澎湖遊客中心設施改善工程</w:t>
      </w:r>
      <w:r w:rsidRPr="00D55DC6">
        <w:rPr>
          <w:rFonts w:eastAsia="標楷體"/>
          <w:snapToGrid w:val="0"/>
          <w:kern w:val="0"/>
          <w:sz w:val="28"/>
          <w:szCs w:val="28"/>
        </w:rPr>
        <w:t>)</w:t>
      </w:r>
      <w:r w:rsidRPr="00D55DC6">
        <w:rPr>
          <w:rFonts w:eastAsia="標楷體"/>
          <w:snapToGrid w:val="0"/>
          <w:kern w:val="0"/>
          <w:sz w:val="28"/>
          <w:szCs w:val="28"/>
        </w:rPr>
        <w:t>、西嶼次系統</w:t>
      </w:r>
      <w:r w:rsidRPr="00D55DC6">
        <w:rPr>
          <w:rFonts w:eastAsia="標楷體"/>
          <w:snapToGrid w:val="0"/>
          <w:kern w:val="0"/>
          <w:sz w:val="28"/>
          <w:szCs w:val="28"/>
        </w:rPr>
        <w:t>(</w:t>
      </w:r>
      <w:r w:rsidRPr="00D55DC6">
        <w:rPr>
          <w:rFonts w:eastAsia="標楷體"/>
          <w:snapToGrid w:val="0"/>
          <w:kern w:val="0"/>
          <w:sz w:val="28"/>
          <w:szCs w:val="28"/>
        </w:rPr>
        <w:t>二崁古厝行人徒步區改善工程</w:t>
      </w:r>
      <w:r w:rsidRPr="00D55DC6">
        <w:rPr>
          <w:rFonts w:eastAsia="標楷體"/>
          <w:snapToGrid w:val="0"/>
          <w:kern w:val="0"/>
          <w:sz w:val="28"/>
          <w:szCs w:val="28"/>
        </w:rPr>
        <w:t>)</w:t>
      </w:r>
      <w:r w:rsidRPr="00D55DC6">
        <w:rPr>
          <w:rFonts w:eastAsia="標楷體"/>
          <w:snapToGrid w:val="0"/>
          <w:kern w:val="0"/>
          <w:sz w:val="28"/>
          <w:szCs w:val="28"/>
        </w:rPr>
        <w:t>、</w:t>
      </w:r>
      <w:r w:rsidRPr="00D55DC6">
        <w:rPr>
          <w:rFonts w:eastAsia="標楷體"/>
          <w:sz w:val="28"/>
          <w:szCs w:val="28"/>
        </w:rPr>
        <w:t>北海系統</w:t>
      </w:r>
      <w:r w:rsidRPr="00D55DC6">
        <w:rPr>
          <w:rFonts w:eastAsia="標楷體"/>
          <w:sz w:val="28"/>
          <w:szCs w:val="28"/>
        </w:rPr>
        <w:t>(</w:t>
      </w:r>
      <w:r w:rsidRPr="00D55DC6">
        <w:rPr>
          <w:rFonts w:eastAsia="標楷體"/>
          <w:sz w:val="28"/>
          <w:szCs w:val="28"/>
        </w:rPr>
        <w:t>北海次系統：吉貝沙尾服務設施改善工程第</w:t>
      </w:r>
      <w:r w:rsidRPr="00D55DC6">
        <w:rPr>
          <w:rFonts w:eastAsia="標楷體"/>
          <w:sz w:val="28"/>
          <w:szCs w:val="28"/>
        </w:rPr>
        <w:t>1</w:t>
      </w:r>
      <w:r w:rsidRPr="00D55DC6">
        <w:rPr>
          <w:rFonts w:eastAsia="標楷體"/>
          <w:sz w:val="28"/>
          <w:szCs w:val="28"/>
        </w:rPr>
        <w:t>期</w:t>
      </w:r>
      <w:r w:rsidRPr="00D55DC6">
        <w:rPr>
          <w:rFonts w:eastAsia="標楷體"/>
          <w:sz w:val="28"/>
          <w:szCs w:val="28"/>
        </w:rPr>
        <w:t>)</w:t>
      </w:r>
      <w:r w:rsidRPr="00D55DC6">
        <w:rPr>
          <w:rFonts w:eastAsia="標楷體"/>
          <w:sz w:val="28"/>
          <w:szCs w:val="28"/>
        </w:rPr>
        <w:t>、南海系統</w:t>
      </w:r>
      <w:r w:rsidRPr="00D55DC6">
        <w:rPr>
          <w:rFonts w:eastAsia="標楷體"/>
          <w:sz w:val="28"/>
          <w:szCs w:val="28"/>
        </w:rPr>
        <w:t>(</w:t>
      </w:r>
      <w:r w:rsidRPr="00D55DC6">
        <w:rPr>
          <w:rFonts w:eastAsia="標楷體"/>
          <w:snapToGrid w:val="0"/>
          <w:kern w:val="0"/>
          <w:sz w:val="28"/>
          <w:szCs w:val="28"/>
        </w:rPr>
        <w:t>虎井桶盤次系統：虎井遊憩區環境及設施改善工程、望安次系統：望安綠蠵龜保育中心景觀改善工程</w:t>
      </w:r>
      <w:r w:rsidRPr="00D55DC6">
        <w:rPr>
          <w:rFonts w:eastAsia="標楷體"/>
          <w:snapToGrid w:val="0"/>
          <w:kern w:val="0"/>
          <w:sz w:val="28"/>
          <w:szCs w:val="28"/>
        </w:rPr>
        <w:t>)</w:t>
      </w:r>
      <w:r w:rsidRPr="00D55DC6">
        <w:rPr>
          <w:rFonts w:eastAsia="標楷體"/>
          <w:snapToGrid w:val="0"/>
          <w:kern w:val="0"/>
          <w:sz w:val="28"/>
          <w:szCs w:val="28"/>
        </w:rPr>
        <w:t>。</w:t>
      </w:r>
    </w:p>
    <w:p w:rsidR="00986223" w:rsidRPr="00D55DC6" w:rsidRDefault="00986223" w:rsidP="00986223">
      <w:pPr>
        <w:snapToGrid w:val="0"/>
        <w:spacing w:line="460" w:lineRule="exact"/>
        <w:ind w:left="840"/>
        <w:jc w:val="both"/>
        <w:rPr>
          <w:rFonts w:eastAsia="標楷體"/>
          <w:b/>
          <w:sz w:val="28"/>
          <w:szCs w:val="28"/>
        </w:rPr>
      </w:pPr>
      <w:r w:rsidRPr="00D55DC6">
        <w:rPr>
          <w:rFonts w:eastAsia="標楷體"/>
          <w:b/>
          <w:sz w:val="28"/>
          <w:szCs w:val="28"/>
        </w:rPr>
        <w:t>1-2.</w:t>
      </w:r>
      <w:r w:rsidRPr="00D55DC6">
        <w:rPr>
          <w:rFonts w:eastAsia="標楷體"/>
          <w:b/>
          <w:sz w:val="28"/>
          <w:szCs w:val="28"/>
        </w:rPr>
        <w:t>國內觀光重要景點：</w:t>
      </w:r>
    </w:p>
    <w:p w:rsidR="00986223" w:rsidRPr="00D55DC6" w:rsidRDefault="00986223" w:rsidP="00986223">
      <w:pPr>
        <w:snapToGrid w:val="0"/>
        <w:spacing w:line="460" w:lineRule="exact"/>
        <w:ind w:left="1276" w:hanging="2"/>
        <w:jc w:val="both"/>
        <w:rPr>
          <w:rFonts w:eastAsia="標楷體"/>
          <w:sz w:val="28"/>
          <w:szCs w:val="28"/>
        </w:rPr>
      </w:pPr>
      <w:r w:rsidRPr="00D55DC6">
        <w:rPr>
          <w:rFonts w:eastAsia="標楷體"/>
          <w:sz w:val="28"/>
          <w:szCs w:val="28"/>
        </w:rPr>
        <w:t>馬公本島系統</w:t>
      </w:r>
      <w:r w:rsidRPr="00D55DC6">
        <w:rPr>
          <w:rFonts w:eastAsia="標楷體"/>
          <w:sz w:val="28"/>
          <w:szCs w:val="28"/>
        </w:rPr>
        <w:t>(</w:t>
      </w:r>
      <w:r w:rsidRPr="00D55DC6">
        <w:rPr>
          <w:rFonts w:eastAsia="標楷體"/>
          <w:snapToGrid w:val="0"/>
          <w:kern w:val="0"/>
          <w:sz w:val="28"/>
          <w:szCs w:val="28"/>
        </w:rPr>
        <w:t>湖西次系統：奎壁山地質公園環境及設施改善工程、白沙次系統：岐頭遊客中心</w:t>
      </w:r>
      <w:r w:rsidR="00397CE7" w:rsidRPr="00D55DC6">
        <w:rPr>
          <w:rFonts w:eastAsia="標楷體"/>
          <w:snapToGrid w:val="0"/>
          <w:kern w:val="0"/>
          <w:sz w:val="28"/>
          <w:szCs w:val="28"/>
        </w:rPr>
        <w:t>周邊</w:t>
      </w:r>
      <w:r w:rsidRPr="00D55DC6">
        <w:rPr>
          <w:rFonts w:eastAsia="標楷體"/>
          <w:snapToGrid w:val="0"/>
          <w:kern w:val="0"/>
          <w:sz w:val="28"/>
          <w:szCs w:val="28"/>
        </w:rPr>
        <w:t>停車場設施改善工程、西嶼次系統：小池水庫</w:t>
      </w:r>
      <w:r w:rsidR="00397CE7" w:rsidRPr="00D55DC6">
        <w:rPr>
          <w:rFonts w:eastAsia="標楷體"/>
          <w:snapToGrid w:val="0"/>
          <w:kern w:val="0"/>
          <w:sz w:val="28"/>
          <w:szCs w:val="28"/>
        </w:rPr>
        <w:t>周邊</w:t>
      </w:r>
      <w:r w:rsidRPr="00D55DC6">
        <w:rPr>
          <w:rFonts w:eastAsia="標楷體"/>
          <w:snapToGrid w:val="0"/>
          <w:kern w:val="0"/>
          <w:sz w:val="28"/>
          <w:szCs w:val="28"/>
        </w:rPr>
        <w:t>景觀改善工程</w:t>
      </w:r>
      <w:r w:rsidRPr="00D55DC6">
        <w:rPr>
          <w:rFonts w:eastAsia="標楷體"/>
          <w:snapToGrid w:val="0"/>
          <w:kern w:val="0"/>
          <w:sz w:val="28"/>
          <w:szCs w:val="28"/>
        </w:rPr>
        <w:t>)</w:t>
      </w:r>
      <w:r w:rsidRPr="00D55DC6">
        <w:rPr>
          <w:rFonts w:eastAsia="標楷體"/>
          <w:snapToGrid w:val="0"/>
          <w:kern w:val="0"/>
          <w:sz w:val="28"/>
          <w:szCs w:val="28"/>
        </w:rPr>
        <w:t>、</w:t>
      </w:r>
      <w:r w:rsidRPr="00D55DC6">
        <w:rPr>
          <w:rFonts w:eastAsia="標楷體"/>
          <w:sz w:val="28"/>
          <w:szCs w:val="28"/>
        </w:rPr>
        <w:t>南海系統</w:t>
      </w:r>
      <w:r w:rsidRPr="00D55DC6">
        <w:rPr>
          <w:rFonts w:eastAsia="標楷體"/>
          <w:sz w:val="28"/>
          <w:szCs w:val="28"/>
        </w:rPr>
        <w:t>(</w:t>
      </w:r>
      <w:r w:rsidRPr="00D55DC6">
        <w:rPr>
          <w:rFonts w:eastAsia="標楷體"/>
          <w:snapToGrid w:val="0"/>
          <w:kern w:val="0"/>
          <w:sz w:val="28"/>
          <w:szCs w:val="28"/>
        </w:rPr>
        <w:t>望安次系統：望安鴛鴦窟環境及設施改善</w:t>
      </w:r>
      <w:r w:rsidRPr="00D55DC6">
        <w:rPr>
          <w:rFonts w:eastAsia="標楷體"/>
          <w:snapToGrid w:val="0"/>
          <w:kern w:val="0"/>
          <w:sz w:val="28"/>
          <w:szCs w:val="28"/>
        </w:rPr>
        <w:t>)</w:t>
      </w:r>
      <w:r w:rsidRPr="00D55DC6">
        <w:rPr>
          <w:rFonts w:eastAsia="標楷體"/>
          <w:snapToGrid w:val="0"/>
          <w:kern w:val="0"/>
          <w:sz w:val="28"/>
          <w:szCs w:val="28"/>
        </w:rPr>
        <w:t>。</w:t>
      </w:r>
    </w:p>
    <w:p w:rsidR="00986223" w:rsidRPr="00D55DC6" w:rsidRDefault="00986223" w:rsidP="004865C1">
      <w:pPr>
        <w:numPr>
          <w:ilvl w:val="0"/>
          <w:numId w:val="209"/>
        </w:numPr>
        <w:snapToGrid w:val="0"/>
        <w:spacing w:line="460" w:lineRule="exact"/>
        <w:jc w:val="both"/>
        <w:rPr>
          <w:rFonts w:eastAsia="標楷體"/>
          <w:b/>
          <w:sz w:val="28"/>
          <w:szCs w:val="28"/>
        </w:rPr>
      </w:pPr>
      <w:r w:rsidRPr="00D55DC6">
        <w:rPr>
          <w:rFonts w:eastAsia="標楷體"/>
          <w:b/>
          <w:sz w:val="28"/>
          <w:szCs w:val="28"/>
        </w:rPr>
        <w:t>106</w:t>
      </w:r>
      <w:r w:rsidRPr="00D55DC6">
        <w:rPr>
          <w:rFonts w:eastAsia="標楷體"/>
          <w:b/>
          <w:sz w:val="28"/>
          <w:szCs w:val="28"/>
        </w:rPr>
        <w:t>年</w:t>
      </w:r>
    </w:p>
    <w:p w:rsidR="00986223" w:rsidRPr="00D55DC6" w:rsidRDefault="00986223" w:rsidP="00986223">
      <w:pPr>
        <w:snapToGrid w:val="0"/>
        <w:spacing w:line="460" w:lineRule="exact"/>
        <w:ind w:left="840"/>
        <w:jc w:val="both"/>
        <w:rPr>
          <w:rFonts w:eastAsia="標楷體"/>
          <w:b/>
          <w:sz w:val="28"/>
          <w:szCs w:val="28"/>
        </w:rPr>
      </w:pPr>
      <w:r w:rsidRPr="00D55DC6">
        <w:rPr>
          <w:rFonts w:eastAsia="標楷體"/>
          <w:b/>
          <w:sz w:val="28"/>
          <w:szCs w:val="28"/>
        </w:rPr>
        <w:t>2-1.</w:t>
      </w:r>
      <w:r w:rsidRPr="00D55DC6">
        <w:rPr>
          <w:rFonts w:eastAsia="標楷體"/>
          <w:b/>
          <w:sz w:val="28"/>
          <w:szCs w:val="28"/>
        </w:rPr>
        <w:t>國際觀光重要景點：</w:t>
      </w:r>
    </w:p>
    <w:p w:rsidR="00986223" w:rsidRPr="00D55DC6" w:rsidRDefault="00986223" w:rsidP="00986223">
      <w:pPr>
        <w:snapToGrid w:val="0"/>
        <w:spacing w:line="460" w:lineRule="exact"/>
        <w:ind w:leftChars="530" w:left="1274" w:hanging="2"/>
        <w:jc w:val="both"/>
        <w:rPr>
          <w:rFonts w:eastAsia="標楷體"/>
          <w:snapToGrid w:val="0"/>
          <w:kern w:val="0"/>
          <w:sz w:val="28"/>
          <w:szCs w:val="28"/>
        </w:rPr>
      </w:pPr>
      <w:r w:rsidRPr="00D55DC6">
        <w:rPr>
          <w:rFonts w:eastAsia="標楷體"/>
          <w:sz w:val="28"/>
          <w:szCs w:val="28"/>
        </w:rPr>
        <w:t>馬公本島系統</w:t>
      </w:r>
      <w:r w:rsidRPr="00D55DC6">
        <w:rPr>
          <w:rFonts w:eastAsia="標楷體"/>
          <w:sz w:val="28"/>
          <w:szCs w:val="28"/>
        </w:rPr>
        <w:t>(</w:t>
      </w:r>
      <w:r w:rsidRPr="00D55DC6">
        <w:rPr>
          <w:rFonts w:eastAsia="標楷體"/>
          <w:sz w:val="28"/>
          <w:szCs w:val="28"/>
        </w:rPr>
        <w:t>白沙次系統：中屯風力園區服務設施改善工程</w:t>
      </w:r>
      <w:r w:rsidRPr="00D55DC6">
        <w:rPr>
          <w:rFonts w:eastAsia="標楷體"/>
          <w:sz w:val="28"/>
          <w:szCs w:val="28"/>
        </w:rPr>
        <w:t>)</w:t>
      </w:r>
      <w:r w:rsidRPr="00D55DC6">
        <w:rPr>
          <w:rFonts w:eastAsia="標楷體"/>
          <w:sz w:val="28"/>
          <w:szCs w:val="28"/>
        </w:rPr>
        <w:t>、北海系統</w:t>
      </w:r>
      <w:r w:rsidRPr="00D55DC6">
        <w:rPr>
          <w:rFonts w:eastAsia="標楷體"/>
          <w:sz w:val="28"/>
          <w:szCs w:val="28"/>
        </w:rPr>
        <w:t>(</w:t>
      </w:r>
      <w:r w:rsidRPr="00D55DC6">
        <w:rPr>
          <w:rFonts w:eastAsia="標楷體"/>
          <w:sz w:val="28"/>
          <w:szCs w:val="28"/>
        </w:rPr>
        <w:t>北海次系統：吉貝沙尾服務設施改善工程第</w:t>
      </w:r>
      <w:r w:rsidRPr="00D55DC6">
        <w:rPr>
          <w:rFonts w:eastAsia="標楷體"/>
          <w:sz w:val="28"/>
          <w:szCs w:val="28"/>
        </w:rPr>
        <w:t>2</w:t>
      </w:r>
      <w:r w:rsidRPr="00D55DC6">
        <w:rPr>
          <w:rFonts w:eastAsia="標楷體"/>
          <w:sz w:val="28"/>
          <w:szCs w:val="28"/>
        </w:rPr>
        <w:t>期</w:t>
      </w:r>
      <w:r w:rsidRPr="00D55DC6">
        <w:rPr>
          <w:rFonts w:eastAsia="標楷體"/>
          <w:sz w:val="28"/>
          <w:szCs w:val="28"/>
        </w:rPr>
        <w:t>)</w:t>
      </w:r>
      <w:r w:rsidRPr="00D55DC6">
        <w:rPr>
          <w:rFonts w:eastAsia="標楷體"/>
          <w:sz w:val="28"/>
          <w:szCs w:val="28"/>
        </w:rPr>
        <w:t>、南海系統</w:t>
      </w:r>
      <w:r w:rsidRPr="00D55DC6">
        <w:rPr>
          <w:rFonts w:eastAsia="標楷體"/>
          <w:sz w:val="28"/>
          <w:szCs w:val="28"/>
        </w:rPr>
        <w:t>(</w:t>
      </w:r>
      <w:r w:rsidRPr="00D55DC6">
        <w:rPr>
          <w:rFonts w:eastAsia="標楷體"/>
          <w:snapToGrid w:val="0"/>
          <w:kern w:val="0"/>
          <w:sz w:val="28"/>
          <w:szCs w:val="28"/>
        </w:rPr>
        <w:t>虎井桶盤次系統：桶盤嶼地質公園環境及設施改善工程</w:t>
      </w:r>
      <w:r w:rsidRPr="00D55DC6">
        <w:rPr>
          <w:rFonts w:eastAsia="標楷體"/>
          <w:snapToGrid w:val="0"/>
          <w:kern w:val="0"/>
          <w:sz w:val="28"/>
          <w:szCs w:val="28"/>
        </w:rPr>
        <w:t>)</w:t>
      </w:r>
      <w:r w:rsidRPr="00D55DC6">
        <w:rPr>
          <w:rFonts w:eastAsia="標楷體"/>
          <w:snapToGrid w:val="0"/>
          <w:kern w:val="0"/>
          <w:sz w:val="28"/>
          <w:szCs w:val="28"/>
        </w:rPr>
        <w:t>。</w:t>
      </w:r>
    </w:p>
    <w:p w:rsidR="00986223" w:rsidRPr="00D55DC6" w:rsidRDefault="00986223" w:rsidP="00986223">
      <w:pPr>
        <w:snapToGrid w:val="0"/>
        <w:spacing w:line="460" w:lineRule="exact"/>
        <w:ind w:left="840"/>
        <w:jc w:val="both"/>
        <w:rPr>
          <w:rFonts w:eastAsia="標楷體"/>
          <w:b/>
          <w:sz w:val="28"/>
          <w:szCs w:val="28"/>
        </w:rPr>
      </w:pPr>
      <w:r w:rsidRPr="00D55DC6">
        <w:rPr>
          <w:rFonts w:eastAsia="標楷體"/>
          <w:b/>
          <w:sz w:val="28"/>
          <w:szCs w:val="28"/>
        </w:rPr>
        <w:t>2-2.</w:t>
      </w:r>
      <w:r w:rsidRPr="00D55DC6">
        <w:rPr>
          <w:rFonts w:eastAsia="標楷體"/>
          <w:b/>
          <w:sz w:val="28"/>
          <w:szCs w:val="28"/>
        </w:rPr>
        <w:t>國內觀光重要景點：</w:t>
      </w:r>
    </w:p>
    <w:p w:rsidR="00986223" w:rsidRPr="00D55DC6" w:rsidRDefault="00986223" w:rsidP="00986223">
      <w:pPr>
        <w:snapToGrid w:val="0"/>
        <w:spacing w:line="460" w:lineRule="exact"/>
        <w:ind w:leftChars="530" w:left="1273" w:hanging="1"/>
        <w:jc w:val="both"/>
        <w:rPr>
          <w:rFonts w:eastAsia="標楷體"/>
          <w:sz w:val="28"/>
          <w:szCs w:val="28"/>
        </w:rPr>
      </w:pPr>
      <w:r w:rsidRPr="00D55DC6">
        <w:rPr>
          <w:rFonts w:eastAsia="標楷體"/>
          <w:sz w:val="28"/>
          <w:szCs w:val="28"/>
        </w:rPr>
        <w:t>馬公本島系統</w:t>
      </w:r>
      <w:r w:rsidRPr="00D55DC6">
        <w:rPr>
          <w:rFonts w:eastAsia="標楷體"/>
          <w:sz w:val="28"/>
          <w:szCs w:val="28"/>
        </w:rPr>
        <w:t>(</w:t>
      </w:r>
      <w:r w:rsidRPr="00D55DC6">
        <w:rPr>
          <w:rFonts w:eastAsia="標楷體"/>
          <w:snapToGrid w:val="0"/>
          <w:kern w:val="0"/>
          <w:sz w:val="28"/>
          <w:szCs w:val="28"/>
        </w:rPr>
        <w:t>西嶼次系統：</w:t>
      </w:r>
      <w:r w:rsidRPr="00D55DC6">
        <w:rPr>
          <w:rFonts w:eastAsia="標楷體"/>
          <w:sz w:val="28"/>
          <w:szCs w:val="28"/>
        </w:rPr>
        <w:t>清涼彈藥庫聯外步道工程</w:t>
      </w:r>
      <w:r w:rsidRPr="00D55DC6">
        <w:rPr>
          <w:rFonts w:eastAsia="標楷體"/>
          <w:sz w:val="28"/>
          <w:szCs w:val="28"/>
        </w:rPr>
        <w:t>)</w:t>
      </w:r>
      <w:r w:rsidRPr="00D55DC6">
        <w:rPr>
          <w:rFonts w:eastAsia="標楷體"/>
          <w:sz w:val="28"/>
          <w:szCs w:val="28"/>
        </w:rPr>
        <w:t>、南海系統</w:t>
      </w:r>
      <w:r w:rsidRPr="00D55DC6">
        <w:rPr>
          <w:rFonts w:eastAsia="標楷體"/>
          <w:sz w:val="28"/>
          <w:szCs w:val="28"/>
        </w:rPr>
        <w:t>(</w:t>
      </w:r>
      <w:r w:rsidRPr="00D55DC6">
        <w:rPr>
          <w:rFonts w:eastAsia="標楷體"/>
          <w:sz w:val="28"/>
          <w:szCs w:val="28"/>
        </w:rPr>
        <w:t>七美次系統：七美遊客中心新建工程、七美燈塔遊憩服務設施改善工程</w:t>
      </w:r>
      <w:r w:rsidRPr="00D55DC6">
        <w:rPr>
          <w:rFonts w:eastAsia="標楷體"/>
          <w:sz w:val="28"/>
          <w:szCs w:val="28"/>
        </w:rPr>
        <w:t>)</w:t>
      </w:r>
      <w:r w:rsidRPr="00D55DC6">
        <w:rPr>
          <w:rFonts w:eastAsia="標楷體"/>
          <w:sz w:val="28"/>
          <w:szCs w:val="28"/>
        </w:rPr>
        <w:t>。</w:t>
      </w:r>
    </w:p>
    <w:p w:rsidR="00986223" w:rsidRPr="00D55DC6" w:rsidRDefault="00986223" w:rsidP="004865C1">
      <w:pPr>
        <w:numPr>
          <w:ilvl w:val="0"/>
          <w:numId w:val="209"/>
        </w:numPr>
        <w:snapToGrid w:val="0"/>
        <w:spacing w:line="460" w:lineRule="exact"/>
        <w:jc w:val="both"/>
        <w:rPr>
          <w:rFonts w:eastAsia="標楷體"/>
          <w:b/>
          <w:sz w:val="28"/>
          <w:szCs w:val="28"/>
        </w:rPr>
      </w:pPr>
      <w:r w:rsidRPr="00D55DC6">
        <w:rPr>
          <w:rFonts w:eastAsia="標楷體"/>
          <w:b/>
          <w:sz w:val="28"/>
          <w:szCs w:val="28"/>
        </w:rPr>
        <w:t>107</w:t>
      </w:r>
      <w:r w:rsidRPr="00D55DC6">
        <w:rPr>
          <w:rFonts w:eastAsia="標楷體"/>
          <w:b/>
          <w:sz w:val="28"/>
          <w:szCs w:val="28"/>
        </w:rPr>
        <w:t>年</w:t>
      </w:r>
    </w:p>
    <w:p w:rsidR="00986223" w:rsidRPr="00D55DC6" w:rsidRDefault="00986223" w:rsidP="00986223">
      <w:pPr>
        <w:snapToGrid w:val="0"/>
        <w:spacing w:line="460" w:lineRule="exact"/>
        <w:ind w:left="840"/>
        <w:jc w:val="both"/>
        <w:rPr>
          <w:rFonts w:eastAsia="標楷體"/>
          <w:b/>
          <w:sz w:val="28"/>
          <w:szCs w:val="28"/>
        </w:rPr>
      </w:pPr>
      <w:r w:rsidRPr="00D55DC6">
        <w:rPr>
          <w:rFonts w:eastAsia="標楷體"/>
          <w:b/>
          <w:sz w:val="28"/>
          <w:szCs w:val="28"/>
        </w:rPr>
        <w:t>3-1.</w:t>
      </w:r>
      <w:r w:rsidRPr="00D55DC6">
        <w:rPr>
          <w:rFonts w:eastAsia="標楷體"/>
          <w:b/>
          <w:sz w:val="28"/>
          <w:szCs w:val="28"/>
        </w:rPr>
        <w:t>國際觀光重要景點：</w:t>
      </w:r>
    </w:p>
    <w:p w:rsidR="00986223" w:rsidRPr="00D55DC6" w:rsidRDefault="00986223" w:rsidP="00986223">
      <w:pPr>
        <w:snapToGrid w:val="0"/>
        <w:spacing w:line="460" w:lineRule="exact"/>
        <w:ind w:left="1276" w:hanging="2"/>
        <w:jc w:val="both"/>
        <w:rPr>
          <w:rFonts w:eastAsia="標楷體"/>
          <w:sz w:val="28"/>
          <w:szCs w:val="28"/>
        </w:rPr>
      </w:pPr>
      <w:r w:rsidRPr="00D55DC6">
        <w:rPr>
          <w:rFonts w:eastAsia="標楷體"/>
          <w:sz w:val="28"/>
          <w:szCs w:val="28"/>
        </w:rPr>
        <w:t>馬公本島系統</w:t>
      </w:r>
      <w:r w:rsidRPr="00D55DC6">
        <w:rPr>
          <w:rFonts w:eastAsia="標楷體"/>
          <w:sz w:val="28"/>
          <w:szCs w:val="28"/>
        </w:rPr>
        <w:t>(</w:t>
      </w:r>
      <w:r w:rsidRPr="00D55DC6">
        <w:rPr>
          <w:rFonts w:eastAsia="標楷體"/>
          <w:sz w:val="28"/>
          <w:szCs w:val="28"/>
        </w:rPr>
        <w:t>白沙次系統：通梁古榕遊憩設施及停車場改善工程</w:t>
      </w:r>
      <w:r w:rsidRPr="00D55DC6">
        <w:rPr>
          <w:rFonts w:eastAsia="標楷體"/>
          <w:sz w:val="28"/>
          <w:szCs w:val="28"/>
        </w:rPr>
        <w:t>)</w:t>
      </w:r>
      <w:r w:rsidRPr="00D55DC6">
        <w:rPr>
          <w:rFonts w:eastAsia="標楷體"/>
          <w:sz w:val="28"/>
          <w:szCs w:val="28"/>
        </w:rPr>
        <w:t>、北海系統</w:t>
      </w:r>
      <w:r w:rsidRPr="00D55DC6">
        <w:rPr>
          <w:rFonts w:eastAsia="標楷體"/>
          <w:sz w:val="28"/>
          <w:szCs w:val="28"/>
        </w:rPr>
        <w:t>(</w:t>
      </w:r>
      <w:r w:rsidRPr="00D55DC6">
        <w:rPr>
          <w:rFonts w:eastAsia="標楷體"/>
          <w:sz w:val="28"/>
          <w:szCs w:val="28"/>
        </w:rPr>
        <w:t>北海次系統：吉貝遊憩區服務設施整建工程</w:t>
      </w:r>
      <w:r w:rsidRPr="00D55DC6">
        <w:rPr>
          <w:rFonts w:eastAsia="標楷體"/>
          <w:sz w:val="28"/>
          <w:szCs w:val="28"/>
        </w:rPr>
        <w:t>)</w:t>
      </w:r>
      <w:r w:rsidRPr="00D55DC6">
        <w:rPr>
          <w:rFonts w:eastAsia="標楷體"/>
          <w:sz w:val="28"/>
          <w:szCs w:val="28"/>
        </w:rPr>
        <w:t>、南海系統</w:t>
      </w:r>
      <w:r w:rsidRPr="00D55DC6">
        <w:rPr>
          <w:rFonts w:eastAsia="標楷體"/>
          <w:sz w:val="28"/>
          <w:szCs w:val="28"/>
        </w:rPr>
        <w:t>(</w:t>
      </w:r>
      <w:r w:rsidRPr="00D55DC6">
        <w:rPr>
          <w:rFonts w:eastAsia="標楷體"/>
          <w:sz w:val="28"/>
          <w:szCs w:val="28"/>
        </w:rPr>
        <w:t>虎井桶盤次系統：桶盤嶼地質公園浮動碼頭及公廁改善工程</w:t>
      </w:r>
      <w:r w:rsidRPr="00D55DC6">
        <w:rPr>
          <w:rFonts w:eastAsia="標楷體"/>
          <w:sz w:val="28"/>
          <w:szCs w:val="28"/>
        </w:rPr>
        <w:t>)</w:t>
      </w:r>
      <w:r w:rsidRPr="00D55DC6">
        <w:rPr>
          <w:rFonts w:eastAsia="標楷體"/>
          <w:sz w:val="28"/>
          <w:szCs w:val="28"/>
        </w:rPr>
        <w:t>。</w:t>
      </w:r>
    </w:p>
    <w:p w:rsidR="00986223" w:rsidRPr="00D55DC6" w:rsidRDefault="00986223" w:rsidP="00986223">
      <w:pPr>
        <w:snapToGrid w:val="0"/>
        <w:spacing w:line="460" w:lineRule="exact"/>
        <w:ind w:left="840"/>
        <w:jc w:val="both"/>
        <w:rPr>
          <w:rFonts w:eastAsia="標楷體"/>
          <w:b/>
          <w:sz w:val="28"/>
          <w:szCs w:val="28"/>
        </w:rPr>
      </w:pPr>
      <w:r w:rsidRPr="00D55DC6">
        <w:rPr>
          <w:rFonts w:eastAsia="標楷體"/>
          <w:b/>
          <w:sz w:val="28"/>
          <w:szCs w:val="28"/>
        </w:rPr>
        <w:t>3-2.</w:t>
      </w:r>
      <w:r w:rsidRPr="00D55DC6">
        <w:rPr>
          <w:rFonts w:eastAsia="標楷體"/>
          <w:b/>
          <w:sz w:val="28"/>
          <w:szCs w:val="28"/>
        </w:rPr>
        <w:t>國內觀光重要景點：</w:t>
      </w:r>
    </w:p>
    <w:p w:rsidR="00986223" w:rsidRPr="00D55DC6" w:rsidRDefault="00986223" w:rsidP="00986223">
      <w:pPr>
        <w:snapToGrid w:val="0"/>
        <w:spacing w:line="460" w:lineRule="exact"/>
        <w:ind w:leftChars="530" w:left="1274" w:hanging="2"/>
        <w:jc w:val="both"/>
        <w:rPr>
          <w:rFonts w:eastAsia="標楷體"/>
          <w:sz w:val="28"/>
          <w:szCs w:val="28"/>
        </w:rPr>
      </w:pPr>
      <w:r w:rsidRPr="00D55DC6">
        <w:rPr>
          <w:rFonts w:eastAsia="標楷體"/>
          <w:sz w:val="28"/>
          <w:szCs w:val="28"/>
        </w:rPr>
        <w:t>馬公本島系統</w:t>
      </w:r>
      <w:r w:rsidRPr="00D55DC6">
        <w:rPr>
          <w:rFonts w:eastAsia="標楷體"/>
          <w:sz w:val="28"/>
          <w:szCs w:val="28"/>
        </w:rPr>
        <w:t>(</w:t>
      </w:r>
      <w:r w:rsidRPr="00D55DC6">
        <w:rPr>
          <w:rFonts w:eastAsia="標楷體"/>
          <w:snapToGrid w:val="0"/>
          <w:kern w:val="0"/>
          <w:sz w:val="28"/>
          <w:szCs w:val="28"/>
        </w:rPr>
        <w:t>馬公觀光都市：菜園休閒漁業區環境及設施改善第</w:t>
      </w:r>
      <w:r w:rsidRPr="00D55DC6">
        <w:rPr>
          <w:rFonts w:eastAsia="標楷體"/>
          <w:snapToGrid w:val="0"/>
          <w:kern w:val="0"/>
          <w:sz w:val="28"/>
          <w:szCs w:val="28"/>
        </w:rPr>
        <w:t>1</w:t>
      </w:r>
      <w:r w:rsidRPr="00D55DC6">
        <w:rPr>
          <w:rFonts w:eastAsia="標楷體"/>
          <w:snapToGrid w:val="0"/>
          <w:kern w:val="0"/>
          <w:sz w:val="28"/>
          <w:szCs w:val="28"/>
        </w:rPr>
        <w:t>期工程、西嶼次系統：</w:t>
      </w:r>
      <w:r w:rsidRPr="00D55DC6">
        <w:rPr>
          <w:rFonts w:eastAsia="標楷體"/>
          <w:sz w:val="28"/>
          <w:szCs w:val="28"/>
        </w:rPr>
        <w:t>內垵沙灘遊憩及服務設施改善工程</w:t>
      </w:r>
      <w:r w:rsidRPr="00D55DC6">
        <w:rPr>
          <w:rFonts w:eastAsia="標楷體"/>
          <w:sz w:val="28"/>
          <w:szCs w:val="28"/>
        </w:rPr>
        <w:t>)</w:t>
      </w:r>
      <w:r w:rsidRPr="00D55DC6">
        <w:rPr>
          <w:rFonts w:eastAsia="標楷體"/>
          <w:sz w:val="28"/>
          <w:szCs w:val="28"/>
        </w:rPr>
        <w:t>、南</w:t>
      </w:r>
      <w:r w:rsidRPr="00D55DC6">
        <w:rPr>
          <w:rFonts w:eastAsia="標楷體"/>
          <w:sz w:val="28"/>
          <w:szCs w:val="28"/>
        </w:rPr>
        <w:lastRenderedPageBreak/>
        <w:t>海系統</w:t>
      </w:r>
      <w:r w:rsidRPr="00D55DC6">
        <w:rPr>
          <w:rFonts w:eastAsia="標楷體"/>
          <w:sz w:val="28"/>
          <w:szCs w:val="28"/>
        </w:rPr>
        <w:t>(</w:t>
      </w:r>
      <w:r w:rsidRPr="00D55DC6">
        <w:rPr>
          <w:rFonts w:eastAsia="標楷體"/>
          <w:sz w:val="28"/>
          <w:szCs w:val="28"/>
        </w:rPr>
        <w:t>望安次系統：望安中社停車場及公廁整建工程</w:t>
      </w:r>
      <w:r w:rsidRPr="00D55DC6">
        <w:rPr>
          <w:rFonts w:eastAsia="標楷體"/>
          <w:sz w:val="28"/>
          <w:szCs w:val="28"/>
        </w:rPr>
        <w:t>)</w:t>
      </w:r>
      <w:r w:rsidRPr="00D55DC6">
        <w:rPr>
          <w:rFonts w:eastAsia="標楷體"/>
          <w:sz w:val="28"/>
          <w:szCs w:val="28"/>
        </w:rPr>
        <w:t>。</w:t>
      </w:r>
    </w:p>
    <w:p w:rsidR="00986223" w:rsidRPr="00D55DC6" w:rsidRDefault="00986223" w:rsidP="004865C1">
      <w:pPr>
        <w:numPr>
          <w:ilvl w:val="0"/>
          <w:numId w:val="209"/>
        </w:numPr>
        <w:snapToGrid w:val="0"/>
        <w:spacing w:line="460" w:lineRule="exact"/>
        <w:jc w:val="both"/>
        <w:rPr>
          <w:rFonts w:eastAsia="標楷體"/>
          <w:b/>
          <w:sz w:val="28"/>
          <w:szCs w:val="28"/>
        </w:rPr>
      </w:pPr>
      <w:r w:rsidRPr="00D55DC6">
        <w:rPr>
          <w:rFonts w:eastAsia="標楷體"/>
          <w:b/>
          <w:sz w:val="28"/>
          <w:szCs w:val="28"/>
        </w:rPr>
        <w:t>108</w:t>
      </w:r>
      <w:r w:rsidRPr="00D55DC6">
        <w:rPr>
          <w:rFonts w:eastAsia="標楷體"/>
          <w:b/>
          <w:sz w:val="28"/>
          <w:szCs w:val="28"/>
        </w:rPr>
        <w:t>年</w:t>
      </w:r>
    </w:p>
    <w:p w:rsidR="00986223" w:rsidRPr="00D55DC6" w:rsidRDefault="00986223" w:rsidP="00986223">
      <w:pPr>
        <w:snapToGrid w:val="0"/>
        <w:spacing w:line="460" w:lineRule="exact"/>
        <w:ind w:left="840"/>
        <w:jc w:val="both"/>
        <w:rPr>
          <w:rFonts w:eastAsia="標楷體"/>
          <w:b/>
          <w:sz w:val="28"/>
          <w:szCs w:val="28"/>
        </w:rPr>
      </w:pPr>
      <w:r w:rsidRPr="00D55DC6">
        <w:rPr>
          <w:rFonts w:eastAsia="標楷體"/>
          <w:b/>
          <w:sz w:val="28"/>
          <w:szCs w:val="28"/>
        </w:rPr>
        <w:t>4-1.</w:t>
      </w:r>
      <w:r w:rsidRPr="00D55DC6">
        <w:rPr>
          <w:rFonts w:eastAsia="標楷體"/>
          <w:b/>
          <w:sz w:val="28"/>
          <w:szCs w:val="28"/>
        </w:rPr>
        <w:t>國際觀光重要景點：</w:t>
      </w:r>
    </w:p>
    <w:p w:rsidR="00986223" w:rsidRPr="00D55DC6" w:rsidRDefault="00986223" w:rsidP="00986223">
      <w:pPr>
        <w:tabs>
          <w:tab w:val="left" w:pos="1276"/>
        </w:tabs>
        <w:snapToGrid w:val="0"/>
        <w:spacing w:line="460" w:lineRule="exact"/>
        <w:ind w:leftChars="530" w:left="1273" w:hanging="1"/>
        <w:jc w:val="both"/>
        <w:rPr>
          <w:rFonts w:eastAsia="標楷體"/>
          <w:sz w:val="28"/>
          <w:szCs w:val="28"/>
        </w:rPr>
      </w:pPr>
      <w:r w:rsidRPr="00D55DC6">
        <w:rPr>
          <w:rFonts w:eastAsia="標楷體"/>
          <w:b/>
          <w:sz w:val="28"/>
          <w:szCs w:val="28"/>
        </w:rPr>
        <w:t>馬公本島系統</w:t>
      </w:r>
      <w:r w:rsidRPr="00D55DC6">
        <w:rPr>
          <w:rFonts w:eastAsia="標楷體"/>
          <w:b/>
          <w:sz w:val="28"/>
          <w:szCs w:val="28"/>
        </w:rPr>
        <w:t>(</w:t>
      </w:r>
      <w:r w:rsidRPr="00D55DC6">
        <w:rPr>
          <w:rFonts w:eastAsia="標楷體"/>
          <w:snapToGrid w:val="0"/>
          <w:kern w:val="0"/>
          <w:sz w:val="28"/>
          <w:szCs w:val="28"/>
        </w:rPr>
        <w:t>馬公觀光都市：澎湖遊客中心內裝改善工程、</w:t>
      </w:r>
      <w:r w:rsidRPr="00D55DC6">
        <w:rPr>
          <w:rFonts w:eastAsia="標楷體"/>
          <w:sz w:val="28"/>
          <w:szCs w:val="28"/>
        </w:rPr>
        <w:t>湖西次系統：隘門遊憩區沙灘聯外道路興建工程</w:t>
      </w:r>
      <w:r w:rsidRPr="00D55DC6">
        <w:rPr>
          <w:rFonts w:eastAsia="標楷體"/>
          <w:sz w:val="28"/>
          <w:szCs w:val="28"/>
        </w:rPr>
        <w:t>)</w:t>
      </w:r>
      <w:r w:rsidRPr="00D55DC6">
        <w:rPr>
          <w:rFonts w:eastAsia="標楷體"/>
          <w:sz w:val="28"/>
          <w:szCs w:val="28"/>
        </w:rPr>
        <w:t>。</w:t>
      </w:r>
    </w:p>
    <w:p w:rsidR="00986223" w:rsidRPr="00D55DC6" w:rsidRDefault="00986223" w:rsidP="00986223">
      <w:pPr>
        <w:snapToGrid w:val="0"/>
        <w:spacing w:line="460" w:lineRule="exact"/>
        <w:ind w:left="840"/>
        <w:jc w:val="both"/>
        <w:rPr>
          <w:rFonts w:eastAsia="標楷體"/>
          <w:b/>
          <w:sz w:val="28"/>
          <w:szCs w:val="28"/>
        </w:rPr>
      </w:pPr>
      <w:r w:rsidRPr="00D55DC6">
        <w:rPr>
          <w:rFonts w:eastAsia="標楷體"/>
          <w:b/>
          <w:sz w:val="28"/>
          <w:szCs w:val="28"/>
        </w:rPr>
        <w:t>4-2.</w:t>
      </w:r>
      <w:r w:rsidRPr="00D55DC6">
        <w:rPr>
          <w:rFonts w:eastAsia="標楷體"/>
          <w:b/>
          <w:sz w:val="28"/>
          <w:szCs w:val="28"/>
        </w:rPr>
        <w:t>國內觀光重要景點</w:t>
      </w:r>
    </w:p>
    <w:p w:rsidR="00986223" w:rsidRPr="00D55DC6" w:rsidRDefault="00986223" w:rsidP="00986223">
      <w:pPr>
        <w:snapToGrid w:val="0"/>
        <w:spacing w:line="460" w:lineRule="exact"/>
        <w:ind w:leftChars="530" w:left="1274" w:hanging="2"/>
        <w:jc w:val="both"/>
        <w:rPr>
          <w:rFonts w:eastAsia="標楷體"/>
          <w:snapToGrid w:val="0"/>
          <w:kern w:val="0"/>
          <w:sz w:val="28"/>
          <w:szCs w:val="28"/>
        </w:rPr>
      </w:pPr>
      <w:r w:rsidRPr="00D55DC6">
        <w:rPr>
          <w:rFonts w:eastAsia="標楷體"/>
          <w:sz w:val="28"/>
          <w:szCs w:val="28"/>
        </w:rPr>
        <w:t>馬公本島系統</w:t>
      </w:r>
      <w:r w:rsidRPr="00D55DC6">
        <w:rPr>
          <w:rFonts w:eastAsia="標楷體"/>
          <w:sz w:val="28"/>
          <w:szCs w:val="28"/>
        </w:rPr>
        <w:t>(</w:t>
      </w:r>
      <w:r w:rsidRPr="00D55DC6">
        <w:rPr>
          <w:rFonts w:eastAsia="標楷體"/>
          <w:snapToGrid w:val="0"/>
          <w:kern w:val="0"/>
          <w:sz w:val="28"/>
          <w:szCs w:val="28"/>
        </w:rPr>
        <w:t>馬公觀光都市：菜園休閒漁業區環境及設施改善第</w:t>
      </w:r>
      <w:r w:rsidRPr="00D55DC6">
        <w:rPr>
          <w:rFonts w:eastAsia="標楷體"/>
          <w:snapToGrid w:val="0"/>
          <w:kern w:val="0"/>
          <w:sz w:val="28"/>
          <w:szCs w:val="28"/>
        </w:rPr>
        <w:t>2</w:t>
      </w:r>
      <w:r w:rsidRPr="00D55DC6">
        <w:rPr>
          <w:rFonts w:eastAsia="標楷體"/>
          <w:snapToGrid w:val="0"/>
          <w:kern w:val="0"/>
          <w:sz w:val="28"/>
          <w:szCs w:val="28"/>
        </w:rPr>
        <w:t>期工程、澎南次系統：蛇頭山遊憩區設施改善工程</w:t>
      </w:r>
      <w:r w:rsidRPr="00D55DC6">
        <w:rPr>
          <w:rFonts w:eastAsia="標楷體"/>
          <w:snapToGrid w:val="0"/>
          <w:kern w:val="0"/>
          <w:sz w:val="28"/>
          <w:szCs w:val="28"/>
        </w:rPr>
        <w:t>)</w:t>
      </w:r>
      <w:r w:rsidRPr="00D55DC6">
        <w:rPr>
          <w:rFonts w:eastAsia="標楷體"/>
          <w:snapToGrid w:val="0"/>
          <w:kern w:val="0"/>
          <w:sz w:val="28"/>
          <w:szCs w:val="28"/>
        </w:rPr>
        <w:t>、西嶼次系統</w:t>
      </w:r>
      <w:r w:rsidRPr="00D55DC6">
        <w:rPr>
          <w:rFonts w:eastAsia="標楷體"/>
          <w:snapToGrid w:val="0"/>
          <w:kern w:val="0"/>
          <w:sz w:val="28"/>
          <w:szCs w:val="28"/>
        </w:rPr>
        <w:t>(</w:t>
      </w:r>
      <w:r w:rsidRPr="00D55DC6">
        <w:rPr>
          <w:rFonts w:eastAsia="標楷體"/>
          <w:snapToGrid w:val="0"/>
          <w:kern w:val="0"/>
          <w:sz w:val="28"/>
          <w:szCs w:val="28"/>
        </w:rPr>
        <w:t>王屋營區環境及設施改善工程</w:t>
      </w:r>
      <w:r w:rsidRPr="00D55DC6">
        <w:rPr>
          <w:rFonts w:eastAsia="標楷體"/>
          <w:snapToGrid w:val="0"/>
          <w:kern w:val="0"/>
          <w:sz w:val="28"/>
          <w:szCs w:val="28"/>
        </w:rPr>
        <w:t>)</w:t>
      </w:r>
      <w:r w:rsidRPr="00D55DC6">
        <w:rPr>
          <w:rFonts w:eastAsia="標楷體"/>
          <w:snapToGrid w:val="0"/>
          <w:kern w:val="0"/>
          <w:sz w:val="28"/>
          <w:szCs w:val="28"/>
        </w:rPr>
        <w:t>、</w:t>
      </w:r>
      <w:r w:rsidRPr="00D55DC6">
        <w:rPr>
          <w:rFonts w:eastAsia="標楷體"/>
          <w:sz w:val="28"/>
          <w:szCs w:val="28"/>
        </w:rPr>
        <w:t>北海系統</w:t>
      </w:r>
      <w:r w:rsidRPr="00D55DC6">
        <w:rPr>
          <w:rFonts w:eastAsia="標楷體"/>
          <w:sz w:val="28"/>
          <w:szCs w:val="28"/>
        </w:rPr>
        <w:t>(</w:t>
      </w:r>
      <w:r w:rsidRPr="00D55DC6">
        <w:rPr>
          <w:rFonts w:eastAsia="標楷體"/>
          <w:snapToGrid w:val="0"/>
          <w:kern w:val="0"/>
          <w:sz w:val="28"/>
          <w:szCs w:val="28"/>
        </w:rPr>
        <w:t>北海次系統：北海遊客中心</w:t>
      </w:r>
      <w:r w:rsidR="00397CE7" w:rsidRPr="00D55DC6">
        <w:rPr>
          <w:rFonts w:eastAsia="標楷體"/>
          <w:snapToGrid w:val="0"/>
          <w:kern w:val="0"/>
          <w:sz w:val="28"/>
          <w:szCs w:val="28"/>
        </w:rPr>
        <w:t>周邊</w:t>
      </w:r>
      <w:r w:rsidRPr="00D55DC6">
        <w:rPr>
          <w:rFonts w:eastAsia="標楷體"/>
          <w:snapToGrid w:val="0"/>
          <w:kern w:val="0"/>
          <w:sz w:val="28"/>
          <w:szCs w:val="28"/>
        </w:rPr>
        <w:t>設施景觀改善工程</w:t>
      </w:r>
      <w:r w:rsidRPr="00D55DC6">
        <w:rPr>
          <w:rFonts w:eastAsia="標楷體"/>
          <w:snapToGrid w:val="0"/>
          <w:kern w:val="0"/>
          <w:sz w:val="28"/>
          <w:szCs w:val="28"/>
        </w:rPr>
        <w:t>)</w:t>
      </w:r>
      <w:r w:rsidRPr="00D55DC6">
        <w:rPr>
          <w:rFonts w:eastAsia="標楷體"/>
          <w:snapToGrid w:val="0"/>
          <w:kern w:val="0"/>
          <w:sz w:val="28"/>
          <w:szCs w:val="28"/>
        </w:rPr>
        <w:t>、</w:t>
      </w:r>
      <w:r w:rsidRPr="00D55DC6">
        <w:rPr>
          <w:rFonts w:eastAsia="標楷體"/>
          <w:sz w:val="28"/>
          <w:szCs w:val="28"/>
        </w:rPr>
        <w:t>南海系統</w:t>
      </w:r>
      <w:r w:rsidRPr="00D55DC6">
        <w:rPr>
          <w:rFonts w:eastAsia="標楷體"/>
          <w:sz w:val="28"/>
          <w:szCs w:val="28"/>
        </w:rPr>
        <w:t>(</w:t>
      </w:r>
      <w:r w:rsidRPr="00D55DC6">
        <w:rPr>
          <w:rFonts w:eastAsia="標楷體"/>
          <w:snapToGrid w:val="0"/>
          <w:kern w:val="0"/>
          <w:sz w:val="28"/>
          <w:szCs w:val="28"/>
        </w:rPr>
        <w:t>七美次系統：七美西濱海岸</w:t>
      </w:r>
      <w:r w:rsidR="00397CE7" w:rsidRPr="00D55DC6">
        <w:rPr>
          <w:rFonts w:eastAsia="標楷體"/>
          <w:snapToGrid w:val="0"/>
          <w:kern w:val="0"/>
          <w:sz w:val="28"/>
          <w:szCs w:val="28"/>
        </w:rPr>
        <w:t>周邊</w:t>
      </w:r>
      <w:r w:rsidRPr="00D55DC6">
        <w:rPr>
          <w:rFonts w:eastAsia="標楷體"/>
          <w:snapToGrid w:val="0"/>
          <w:kern w:val="0"/>
          <w:sz w:val="28"/>
          <w:szCs w:val="28"/>
        </w:rPr>
        <w:t>設施環境改善工程</w:t>
      </w:r>
      <w:r w:rsidRPr="00D55DC6">
        <w:rPr>
          <w:rFonts w:eastAsia="標楷體"/>
          <w:snapToGrid w:val="0"/>
          <w:kern w:val="0"/>
          <w:sz w:val="28"/>
          <w:szCs w:val="28"/>
        </w:rPr>
        <w:t>)</w:t>
      </w:r>
      <w:r w:rsidRPr="00D55DC6">
        <w:rPr>
          <w:rFonts w:eastAsia="標楷體"/>
          <w:snapToGrid w:val="0"/>
          <w:kern w:val="0"/>
          <w:sz w:val="28"/>
          <w:szCs w:val="28"/>
        </w:rPr>
        <w:t>。</w:t>
      </w:r>
    </w:p>
    <w:p w:rsidR="00AE58E7" w:rsidRPr="00D55DC6" w:rsidRDefault="00AE58E7" w:rsidP="00986223">
      <w:pPr>
        <w:snapToGrid w:val="0"/>
        <w:spacing w:line="460" w:lineRule="exact"/>
        <w:ind w:leftChars="530" w:left="1274" w:hanging="2"/>
        <w:jc w:val="both"/>
        <w:rPr>
          <w:rFonts w:eastAsia="標楷體"/>
          <w:b/>
          <w:sz w:val="28"/>
          <w:szCs w:val="28"/>
        </w:rPr>
      </w:pPr>
    </w:p>
    <w:p w:rsidR="00AE58E7" w:rsidRPr="00D55DC6" w:rsidRDefault="00AE58E7" w:rsidP="00986223">
      <w:pPr>
        <w:snapToGrid w:val="0"/>
        <w:spacing w:line="460" w:lineRule="exact"/>
        <w:ind w:leftChars="530" w:left="1274" w:hanging="2"/>
        <w:jc w:val="both"/>
        <w:rPr>
          <w:rFonts w:eastAsia="標楷體"/>
          <w:b/>
          <w:sz w:val="28"/>
          <w:szCs w:val="28"/>
        </w:rPr>
      </w:pPr>
    </w:p>
    <w:p w:rsidR="00986223" w:rsidRPr="00D55DC6" w:rsidRDefault="00986223" w:rsidP="00986223">
      <w:pPr>
        <w:numPr>
          <w:ilvl w:val="0"/>
          <w:numId w:val="1"/>
        </w:numPr>
        <w:snapToGrid w:val="0"/>
        <w:spacing w:line="460" w:lineRule="exact"/>
        <w:ind w:left="709" w:hanging="709"/>
        <w:jc w:val="both"/>
        <w:rPr>
          <w:rFonts w:eastAsia="標楷體"/>
          <w:b/>
          <w:sz w:val="28"/>
          <w:szCs w:val="28"/>
        </w:rPr>
      </w:pPr>
      <w:r w:rsidRPr="00D55DC6">
        <w:rPr>
          <w:rFonts w:eastAsia="標楷體"/>
          <w:b/>
          <w:sz w:val="28"/>
          <w:szCs w:val="28"/>
        </w:rPr>
        <w:t>期程與資源需求</w:t>
      </w:r>
    </w:p>
    <w:p w:rsidR="00986223" w:rsidRPr="00D55DC6" w:rsidRDefault="00986223" w:rsidP="004865C1">
      <w:pPr>
        <w:numPr>
          <w:ilvl w:val="0"/>
          <w:numId w:val="210"/>
        </w:numPr>
        <w:snapToGrid w:val="0"/>
        <w:spacing w:line="460" w:lineRule="exact"/>
        <w:jc w:val="both"/>
        <w:rPr>
          <w:rFonts w:eastAsia="標楷體"/>
          <w:b/>
          <w:sz w:val="28"/>
          <w:szCs w:val="28"/>
        </w:rPr>
      </w:pPr>
      <w:r w:rsidRPr="00D55DC6">
        <w:rPr>
          <w:rFonts w:eastAsia="標楷體"/>
          <w:b/>
          <w:sz w:val="28"/>
          <w:szCs w:val="28"/>
        </w:rPr>
        <w:t>計畫期程</w:t>
      </w:r>
    </w:p>
    <w:p w:rsidR="00986223" w:rsidRPr="00D55DC6" w:rsidRDefault="00986223" w:rsidP="00986223">
      <w:pPr>
        <w:snapToGrid w:val="0"/>
        <w:spacing w:line="460" w:lineRule="exact"/>
        <w:ind w:leftChars="354" w:left="850"/>
        <w:jc w:val="both"/>
        <w:rPr>
          <w:rFonts w:eastAsia="標楷體"/>
          <w:sz w:val="28"/>
          <w:szCs w:val="28"/>
        </w:rPr>
      </w:pPr>
      <w:r w:rsidRPr="00D55DC6">
        <w:rPr>
          <w:rFonts w:eastAsia="標楷體"/>
          <w:sz w:val="28"/>
          <w:szCs w:val="28"/>
        </w:rPr>
        <w:t>自</w:t>
      </w:r>
      <w:r w:rsidRPr="00D55DC6">
        <w:rPr>
          <w:rFonts w:eastAsia="標楷體"/>
          <w:sz w:val="28"/>
          <w:szCs w:val="28"/>
        </w:rPr>
        <w:t>105</w:t>
      </w:r>
      <w:r w:rsidRPr="00D55DC6">
        <w:rPr>
          <w:rFonts w:eastAsia="標楷體"/>
          <w:sz w:val="28"/>
          <w:szCs w:val="28"/>
        </w:rPr>
        <w:t>年至</w:t>
      </w:r>
      <w:r w:rsidRPr="00D55DC6">
        <w:rPr>
          <w:rFonts w:eastAsia="標楷體"/>
          <w:sz w:val="28"/>
          <w:szCs w:val="28"/>
        </w:rPr>
        <w:t>108</w:t>
      </w:r>
      <w:r w:rsidRPr="00D55DC6">
        <w:rPr>
          <w:rFonts w:eastAsia="標楷體"/>
          <w:sz w:val="28"/>
          <w:szCs w:val="28"/>
        </w:rPr>
        <w:t>年。</w:t>
      </w:r>
    </w:p>
    <w:p w:rsidR="00986223" w:rsidRPr="00D55DC6" w:rsidRDefault="00986223" w:rsidP="004865C1">
      <w:pPr>
        <w:numPr>
          <w:ilvl w:val="0"/>
          <w:numId w:val="210"/>
        </w:numPr>
        <w:snapToGrid w:val="0"/>
        <w:spacing w:line="460" w:lineRule="exact"/>
        <w:jc w:val="both"/>
        <w:rPr>
          <w:rFonts w:eastAsia="標楷體"/>
          <w:b/>
          <w:sz w:val="28"/>
          <w:szCs w:val="28"/>
        </w:rPr>
      </w:pPr>
      <w:r w:rsidRPr="00D55DC6">
        <w:rPr>
          <w:rFonts w:eastAsia="標楷體"/>
          <w:b/>
          <w:sz w:val="28"/>
          <w:szCs w:val="28"/>
        </w:rPr>
        <w:t>經費需求</w:t>
      </w:r>
      <w:r w:rsidRPr="00D55DC6">
        <w:rPr>
          <w:rFonts w:eastAsia="標楷體"/>
          <w:b/>
          <w:sz w:val="28"/>
          <w:szCs w:val="28"/>
        </w:rPr>
        <w:t>(</w:t>
      </w:r>
      <w:r w:rsidRPr="00D55DC6">
        <w:rPr>
          <w:rFonts w:eastAsia="標楷體"/>
          <w:b/>
          <w:sz w:val="28"/>
          <w:szCs w:val="28"/>
        </w:rPr>
        <w:t>含分年經費</w:t>
      </w:r>
      <w:r w:rsidRPr="00D55DC6">
        <w:rPr>
          <w:rFonts w:eastAsia="標楷體"/>
          <w:b/>
          <w:sz w:val="28"/>
          <w:szCs w:val="28"/>
        </w:rPr>
        <w:t>)</w:t>
      </w:r>
      <w:r w:rsidRPr="00D55DC6">
        <w:rPr>
          <w:rFonts w:eastAsia="標楷體"/>
          <w:b/>
          <w:sz w:val="28"/>
          <w:szCs w:val="28"/>
        </w:rPr>
        <w:t>及與中程歲出概算額度配合情形</w:t>
      </w:r>
    </w:p>
    <w:p w:rsidR="00986223" w:rsidRPr="00D55DC6" w:rsidRDefault="00486FAE" w:rsidP="00486FAE">
      <w:pPr>
        <w:pStyle w:val="af2"/>
        <w:spacing w:line="460" w:lineRule="exact"/>
        <w:ind w:leftChars="0" w:left="864"/>
        <w:jc w:val="both"/>
        <w:rPr>
          <w:rFonts w:eastAsia="標楷體"/>
          <w:sz w:val="28"/>
          <w:szCs w:val="28"/>
        </w:rPr>
      </w:pPr>
      <w:r w:rsidRPr="00D55DC6">
        <w:rPr>
          <w:rFonts w:eastAsia="標楷體"/>
          <w:sz w:val="28"/>
          <w:szCs w:val="28"/>
        </w:rPr>
        <w:t>本計畫</w:t>
      </w:r>
      <w:r w:rsidR="00D03EE9" w:rsidRPr="00D55DC6">
        <w:rPr>
          <w:rFonts w:eastAsia="標楷體"/>
          <w:sz w:val="28"/>
          <w:szCs w:val="28"/>
        </w:rPr>
        <w:t>總經費為</w:t>
      </w:r>
      <w:r w:rsidR="00D03EE9" w:rsidRPr="00D55DC6">
        <w:rPr>
          <w:rFonts w:eastAsia="標楷體"/>
          <w:sz w:val="28"/>
          <w:szCs w:val="28"/>
        </w:rPr>
        <w:t>8</w:t>
      </w:r>
      <w:r w:rsidR="00D03EE9" w:rsidRPr="00D55DC6">
        <w:rPr>
          <w:rFonts w:eastAsia="標楷體"/>
          <w:sz w:val="28"/>
          <w:szCs w:val="28"/>
        </w:rPr>
        <w:t>億元，</w:t>
      </w:r>
      <w:r w:rsidRPr="00D55DC6">
        <w:rPr>
          <w:rFonts w:eastAsia="標楷體"/>
          <w:sz w:val="28"/>
          <w:szCs w:val="28"/>
        </w:rPr>
        <w:t>經費需求（含分年經費）係與中程歲出概算額度相符，分年投資重點及經費需求如下：</w:t>
      </w:r>
      <w:r w:rsidRPr="00D55DC6">
        <w:rPr>
          <w:rFonts w:eastAsia="標楷體"/>
          <w:sz w:val="28"/>
          <w:szCs w:val="28"/>
        </w:rPr>
        <w:t xml:space="preserve"> </w:t>
      </w:r>
    </w:p>
    <w:p w:rsidR="00986223" w:rsidRPr="00D55DC6" w:rsidRDefault="00486FAE" w:rsidP="00986223">
      <w:pPr>
        <w:snapToGrid w:val="0"/>
        <w:ind w:leftChars="354" w:left="850"/>
        <w:jc w:val="right"/>
        <w:rPr>
          <w:rFonts w:eastAsia="標楷體"/>
          <w:sz w:val="28"/>
          <w:szCs w:val="28"/>
        </w:rPr>
      </w:pPr>
      <w:r w:rsidRPr="00D55DC6">
        <w:rPr>
          <w:rFonts w:eastAsia="標楷體"/>
          <w:sz w:val="28"/>
          <w:szCs w:val="28"/>
        </w:rPr>
        <w:t>（</w:t>
      </w:r>
      <w:r w:rsidR="00986223" w:rsidRPr="00D55DC6">
        <w:rPr>
          <w:rFonts w:eastAsia="標楷體"/>
          <w:sz w:val="28"/>
          <w:szCs w:val="28"/>
        </w:rPr>
        <w:t>單位：億元</w:t>
      </w:r>
      <w:r w:rsidRPr="00D55DC6">
        <w:rPr>
          <w:rFonts w:eastAsia="標楷體"/>
          <w:sz w:val="28"/>
          <w:szCs w:val="28"/>
        </w:rPr>
        <w:t>）</w:t>
      </w:r>
    </w:p>
    <w:tbl>
      <w:tblPr>
        <w:tblW w:w="9802" w:type="dxa"/>
        <w:tblInd w:w="-398" w:type="dxa"/>
        <w:tblCellMar>
          <w:left w:w="28" w:type="dxa"/>
          <w:right w:w="28" w:type="dxa"/>
        </w:tblCellMar>
        <w:tblLook w:val="00A0" w:firstRow="1" w:lastRow="0" w:firstColumn="1" w:lastColumn="0" w:noHBand="0" w:noVBand="0"/>
      </w:tblPr>
      <w:tblGrid>
        <w:gridCol w:w="399"/>
        <w:gridCol w:w="889"/>
        <w:gridCol w:w="1098"/>
        <w:gridCol w:w="2151"/>
        <w:gridCol w:w="716"/>
        <w:gridCol w:w="716"/>
        <w:gridCol w:w="716"/>
        <w:gridCol w:w="716"/>
        <w:gridCol w:w="783"/>
        <w:gridCol w:w="1618"/>
      </w:tblGrid>
      <w:tr w:rsidR="001D0350" w:rsidRPr="00D55DC6" w:rsidTr="00986223">
        <w:trPr>
          <w:trHeight w:val="345"/>
          <w:tblHeader/>
        </w:trPr>
        <w:tc>
          <w:tcPr>
            <w:tcW w:w="399"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986223" w:rsidRPr="00D55DC6" w:rsidRDefault="00986223" w:rsidP="00986223">
            <w:pPr>
              <w:widowControl/>
              <w:snapToGrid w:val="0"/>
              <w:jc w:val="center"/>
              <w:rPr>
                <w:rFonts w:eastAsia="標楷體"/>
                <w:kern w:val="0"/>
              </w:rPr>
            </w:pPr>
            <w:r w:rsidRPr="00D55DC6">
              <w:rPr>
                <w:rFonts w:eastAsia="標楷體"/>
                <w:kern w:val="0"/>
              </w:rPr>
              <w:t>科目別</w:t>
            </w:r>
          </w:p>
        </w:tc>
        <w:tc>
          <w:tcPr>
            <w:tcW w:w="889" w:type="dxa"/>
            <w:tcBorders>
              <w:top w:val="single" w:sz="8" w:space="0" w:color="auto"/>
              <w:left w:val="nil"/>
              <w:bottom w:val="single" w:sz="8" w:space="0" w:color="auto"/>
              <w:right w:val="single" w:sz="8" w:space="0" w:color="auto"/>
            </w:tcBorders>
            <w:shd w:val="clear" w:color="000000" w:fill="FFFF99"/>
            <w:vAlign w:val="center"/>
          </w:tcPr>
          <w:p w:rsidR="00986223" w:rsidRPr="00D55DC6" w:rsidRDefault="00986223" w:rsidP="00986223">
            <w:pPr>
              <w:widowControl/>
              <w:snapToGrid w:val="0"/>
              <w:jc w:val="center"/>
              <w:rPr>
                <w:rFonts w:eastAsia="標楷體"/>
                <w:kern w:val="0"/>
              </w:rPr>
            </w:pPr>
            <w:r w:rsidRPr="00D55DC6">
              <w:rPr>
                <w:rFonts w:eastAsia="標楷體"/>
                <w:kern w:val="0"/>
                <w:szCs w:val="22"/>
              </w:rPr>
              <w:t>1</w:t>
            </w:r>
            <w:r w:rsidRPr="00D55DC6">
              <w:rPr>
                <w:rFonts w:eastAsia="標楷體"/>
                <w:kern w:val="0"/>
                <w:szCs w:val="22"/>
              </w:rPr>
              <w:t>級</w:t>
            </w:r>
          </w:p>
        </w:tc>
        <w:tc>
          <w:tcPr>
            <w:tcW w:w="1098" w:type="dxa"/>
            <w:tcBorders>
              <w:top w:val="single" w:sz="8" w:space="0" w:color="auto"/>
              <w:left w:val="nil"/>
              <w:bottom w:val="single" w:sz="8" w:space="0" w:color="auto"/>
              <w:right w:val="single" w:sz="8" w:space="0" w:color="auto"/>
            </w:tcBorders>
            <w:shd w:val="clear" w:color="000000" w:fill="FFFF99"/>
            <w:vAlign w:val="center"/>
          </w:tcPr>
          <w:p w:rsidR="00986223" w:rsidRPr="00D55DC6" w:rsidRDefault="00986223" w:rsidP="00986223">
            <w:pPr>
              <w:widowControl/>
              <w:snapToGrid w:val="0"/>
              <w:jc w:val="center"/>
              <w:rPr>
                <w:rFonts w:eastAsia="標楷體"/>
                <w:kern w:val="0"/>
              </w:rPr>
            </w:pPr>
            <w:r w:rsidRPr="00D55DC6">
              <w:rPr>
                <w:rFonts w:eastAsia="標楷體"/>
                <w:kern w:val="0"/>
                <w:szCs w:val="22"/>
              </w:rPr>
              <w:t>2</w:t>
            </w:r>
            <w:r w:rsidRPr="00D55DC6">
              <w:rPr>
                <w:rFonts w:eastAsia="標楷體"/>
                <w:kern w:val="0"/>
                <w:szCs w:val="22"/>
              </w:rPr>
              <w:t>級</w:t>
            </w:r>
          </w:p>
        </w:tc>
        <w:tc>
          <w:tcPr>
            <w:tcW w:w="2151"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986223" w:rsidRPr="00D55DC6" w:rsidRDefault="00986223" w:rsidP="00986223">
            <w:pPr>
              <w:widowControl/>
              <w:snapToGrid w:val="0"/>
              <w:jc w:val="center"/>
              <w:rPr>
                <w:rFonts w:eastAsia="標楷體"/>
                <w:kern w:val="0"/>
              </w:rPr>
            </w:pPr>
            <w:r w:rsidRPr="00D55DC6">
              <w:rPr>
                <w:rFonts w:eastAsia="標楷體"/>
                <w:kern w:val="0"/>
                <w:szCs w:val="22"/>
              </w:rPr>
              <w:t>投資重點</w:t>
            </w:r>
          </w:p>
        </w:tc>
        <w:tc>
          <w:tcPr>
            <w:tcW w:w="716"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986223" w:rsidRPr="00D55DC6" w:rsidRDefault="00986223" w:rsidP="00986223">
            <w:pPr>
              <w:widowControl/>
              <w:snapToGrid w:val="0"/>
              <w:jc w:val="center"/>
              <w:rPr>
                <w:rFonts w:eastAsia="標楷體"/>
                <w:kern w:val="0"/>
              </w:rPr>
            </w:pPr>
            <w:r w:rsidRPr="00D55DC6">
              <w:rPr>
                <w:rFonts w:eastAsia="標楷體"/>
                <w:kern w:val="0"/>
                <w:szCs w:val="22"/>
              </w:rPr>
              <w:t>105</w:t>
            </w:r>
            <w:r w:rsidRPr="00D55DC6">
              <w:rPr>
                <w:rFonts w:eastAsia="標楷體"/>
                <w:kern w:val="0"/>
                <w:szCs w:val="22"/>
              </w:rPr>
              <w:t>年</w:t>
            </w:r>
          </w:p>
        </w:tc>
        <w:tc>
          <w:tcPr>
            <w:tcW w:w="716"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986223" w:rsidRPr="00D55DC6" w:rsidRDefault="00986223" w:rsidP="00986223">
            <w:pPr>
              <w:widowControl/>
              <w:snapToGrid w:val="0"/>
              <w:jc w:val="center"/>
              <w:rPr>
                <w:rFonts w:eastAsia="標楷體"/>
                <w:kern w:val="0"/>
              </w:rPr>
            </w:pPr>
            <w:r w:rsidRPr="00D55DC6">
              <w:rPr>
                <w:rFonts w:eastAsia="標楷體"/>
                <w:kern w:val="0"/>
                <w:szCs w:val="22"/>
              </w:rPr>
              <w:t>106</w:t>
            </w:r>
            <w:r w:rsidRPr="00D55DC6">
              <w:rPr>
                <w:rFonts w:eastAsia="標楷體"/>
                <w:kern w:val="0"/>
                <w:szCs w:val="22"/>
              </w:rPr>
              <w:t>年</w:t>
            </w:r>
          </w:p>
        </w:tc>
        <w:tc>
          <w:tcPr>
            <w:tcW w:w="716"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986223" w:rsidRPr="00D55DC6" w:rsidRDefault="00986223" w:rsidP="00986223">
            <w:pPr>
              <w:widowControl/>
              <w:snapToGrid w:val="0"/>
              <w:jc w:val="center"/>
              <w:rPr>
                <w:rFonts w:eastAsia="標楷體"/>
                <w:kern w:val="0"/>
              </w:rPr>
            </w:pPr>
            <w:r w:rsidRPr="00D55DC6">
              <w:rPr>
                <w:rFonts w:eastAsia="標楷體"/>
                <w:kern w:val="0"/>
                <w:szCs w:val="22"/>
              </w:rPr>
              <w:t>107</w:t>
            </w:r>
            <w:r w:rsidRPr="00D55DC6">
              <w:rPr>
                <w:rFonts w:eastAsia="標楷體"/>
                <w:kern w:val="0"/>
                <w:szCs w:val="22"/>
              </w:rPr>
              <w:t>年</w:t>
            </w:r>
          </w:p>
        </w:tc>
        <w:tc>
          <w:tcPr>
            <w:tcW w:w="716"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986223" w:rsidRPr="00D55DC6" w:rsidRDefault="00986223" w:rsidP="00986223">
            <w:pPr>
              <w:widowControl/>
              <w:snapToGrid w:val="0"/>
              <w:jc w:val="center"/>
              <w:rPr>
                <w:rFonts w:eastAsia="標楷體"/>
                <w:kern w:val="0"/>
              </w:rPr>
            </w:pPr>
            <w:r w:rsidRPr="00D55DC6">
              <w:rPr>
                <w:rFonts w:eastAsia="標楷體"/>
                <w:kern w:val="0"/>
                <w:szCs w:val="22"/>
              </w:rPr>
              <w:t>108</w:t>
            </w:r>
            <w:r w:rsidRPr="00D55DC6">
              <w:rPr>
                <w:rFonts w:eastAsia="標楷體"/>
                <w:kern w:val="0"/>
                <w:szCs w:val="22"/>
              </w:rPr>
              <w:t>年</w:t>
            </w:r>
          </w:p>
        </w:tc>
        <w:tc>
          <w:tcPr>
            <w:tcW w:w="783"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986223" w:rsidRPr="00D55DC6" w:rsidRDefault="00986223" w:rsidP="00986223">
            <w:pPr>
              <w:widowControl/>
              <w:snapToGrid w:val="0"/>
              <w:jc w:val="center"/>
              <w:rPr>
                <w:rFonts w:eastAsia="標楷體"/>
                <w:kern w:val="0"/>
                <w:szCs w:val="22"/>
              </w:rPr>
            </w:pPr>
            <w:r w:rsidRPr="00D55DC6">
              <w:rPr>
                <w:rFonts w:eastAsia="標楷體"/>
                <w:kern w:val="0"/>
                <w:szCs w:val="22"/>
              </w:rPr>
              <w:t>合計</w:t>
            </w:r>
          </w:p>
        </w:tc>
        <w:tc>
          <w:tcPr>
            <w:tcW w:w="1618"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986223" w:rsidRPr="00D55DC6" w:rsidRDefault="00986223" w:rsidP="00986223">
            <w:pPr>
              <w:widowControl/>
              <w:snapToGrid w:val="0"/>
              <w:jc w:val="center"/>
              <w:rPr>
                <w:rFonts w:eastAsia="標楷體"/>
                <w:kern w:val="0"/>
              </w:rPr>
            </w:pPr>
            <w:r w:rsidRPr="00D55DC6">
              <w:rPr>
                <w:rFonts w:eastAsia="標楷體"/>
                <w:kern w:val="0"/>
                <w:szCs w:val="22"/>
              </w:rPr>
              <w:t>工作內容</w:t>
            </w:r>
          </w:p>
        </w:tc>
      </w:tr>
      <w:tr w:rsidR="001D0350" w:rsidRPr="00D55DC6" w:rsidTr="00986223">
        <w:trPr>
          <w:trHeight w:val="50"/>
          <w:tblHeader/>
        </w:trPr>
        <w:tc>
          <w:tcPr>
            <w:tcW w:w="399" w:type="dxa"/>
            <w:vMerge/>
            <w:tcBorders>
              <w:top w:val="single" w:sz="8" w:space="0" w:color="auto"/>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889" w:type="dxa"/>
            <w:tcBorders>
              <w:top w:val="nil"/>
              <w:left w:val="nil"/>
              <w:bottom w:val="single" w:sz="8" w:space="0" w:color="auto"/>
              <w:right w:val="single" w:sz="8" w:space="0" w:color="auto"/>
            </w:tcBorders>
            <w:shd w:val="clear" w:color="000000" w:fill="FFFF99"/>
            <w:vAlign w:val="center"/>
          </w:tcPr>
          <w:p w:rsidR="00986223" w:rsidRPr="00D55DC6" w:rsidRDefault="00986223" w:rsidP="00986223">
            <w:pPr>
              <w:widowControl/>
              <w:snapToGrid w:val="0"/>
              <w:jc w:val="center"/>
              <w:rPr>
                <w:rFonts w:eastAsia="標楷體"/>
                <w:kern w:val="0"/>
              </w:rPr>
            </w:pPr>
            <w:r w:rsidRPr="00D55DC6">
              <w:rPr>
                <w:rFonts w:eastAsia="標楷體"/>
                <w:kern w:val="0"/>
                <w:szCs w:val="22"/>
              </w:rPr>
              <w:t>用途別</w:t>
            </w:r>
          </w:p>
        </w:tc>
        <w:tc>
          <w:tcPr>
            <w:tcW w:w="1098" w:type="dxa"/>
            <w:tcBorders>
              <w:top w:val="nil"/>
              <w:left w:val="nil"/>
              <w:bottom w:val="single" w:sz="8" w:space="0" w:color="auto"/>
              <w:right w:val="single" w:sz="8" w:space="0" w:color="auto"/>
            </w:tcBorders>
            <w:shd w:val="clear" w:color="000000" w:fill="FFFF99"/>
            <w:vAlign w:val="center"/>
          </w:tcPr>
          <w:p w:rsidR="00986223" w:rsidRPr="00D55DC6" w:rsidRDefault="00986223" w:rsidP="00986223">
            <w:pPr>
              <w:widowControl/>
              <w:snapToGrid w:val="0"/>
              <w:jc w:val="center"/>
              <w:rPr>
                <w:rFonts w:eastAsia="標楷體"/>
                <w:kern w:val="0"/>
              </w:rPr>
            </w:pPr>
            <w:r w:rsidRPr="00D55DC6">
              <w:rPr>
                <w:rFonts w:eastAsia="標楷體"/>
                <w:kern w:val="0"/>
                <w:szCs w:val="22"/>
              </w:rPr>
              <w:t>用途別</w:t>
            </w:r>
          </w:p>
        </w:tc>
        <w:tc>
          <w:tcPr>
            <w:tcW w:w="2151" w:type="dxa"/>
            <w:vMerge/>
            <w:tcBorders>
              <w:top w:val="single" w:sz="8" w:space="0" w:color="auto"/>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716" w:type="dxa"/>
            <w:vMerge/>
            <w:tcBorders>
              <w:top w:val="single" w:sz="8" w:space="0" w:color="auto"/>
              <w:left w:val="single" w:sz="8" w:space="0" w:color="auto"/>
              <w:bottom w:val="single" w:sz="8" w:space="0" w:color="000000"/>
              <w:right w:val="single" w:sz="8" w:space="0" w:color="auto"/>
            </w:tcBorders>
            <w:vAlign w:val="center"/>
          </w:tcPr>
          <w:p w:rsidR="00986223" w:rsidRPr="00D55DC6" w:rsidRDefault="00986223" w:rsidP="00986223">
            <w:pPr>
              <w:widowControl/>
              <w:snapToGrid w:val="0"/>
              <w:rPr>
                <w:rFonts w:eastAsia="標楷體"/>
                <w:kern w:val="0"/>
              </w:rPr>
            </w:pPr>
          </w:p>
        </w:tc>
        <w:tc>
          <w:tcPr>
            <w:tcW w:w="716" w:type="dxa"/>
            <w:vMerge/>
            <w:tcBorders>
              <w:top w:val="single" w:sz="8" w:space="0" w:color="auto"/>
              <w:left w:val="single" w:sz="8" w:space="0" w:color="auto"/>
              <w:bottom w:val="single" w:sz="8" w:space="0" w:color="000000"/>
              <w:right w:val="single" w:sz="8" w:space="0" w:color="auto"/>
            </w:tcBorders>
            <w:vAlign w:val="center"/>
          </w:tcPr>
          <w:p w:rsidR="00986223" w:rsidRPr="00D55DC6" w:rsidRDefault="00986223" w:rsidP="00986223">
            <w:pPr>
              <w:widowControl/>
              <w:snapToGrid w:val="0"/>
              <w:rPr>
                <w:rFonts w:eastAsia="標楷體"/>
                <w:kern w:val="0"/>
              </w:rPr>
            </w:pPr>
          </w:p>
        </w:tc>
        <w:tc>
          <w:tcPr>
            <w:tcW w:w="716" w:type="dxa"/>
            <w:vMerge/>
            <w:tcBorders>
              <w:top w:val="single" w:sz="8" w:space="0" w:color="auto"/>
              <w:left w:val="single" w:sz="8" w:space="0" w:color="auto"/>
              <w:bottom w:val="single" w:sz="8" w:space="0" w:color="000000"/>
              <w:right w:val="single" w:sz="8" w:space="0" w:color="auto"/>
            </w:tcBorders>
            <w:vAlign w:val="center"/>
          </w:tcPr>
          <w:p w:rsidR="00986223" w:rsidRPr="00D55DC6" w:rsidRDefault="00986223" w:rsidP="00986223">
            <w:pPr>
              <w:widowControl/>
              <w:snapToGrid w:val="0"/>
              <w:rPr>
                <w:rFonts w:eastAsia="標楷體"/>
                <w:kern w:val="0"/>
              </w:rPr>
            </w:pPr>
          </w:p>
        </w:tc>
        <w:tc>
          <w:tcPr>
            <w:tcW w:w="716" w:type="dxa"/>
            <w:vMerge/>
            <w:tcBorders>
              <w:top w:val="single" w:sz="8" w:space="0" w:color="auto"/>
              <w:left w:val="single" w:sz="8" w:space="0" w:color="auto"/>
              <w:bottom w:val="single" w:sz="8" w:space="0" w:color="000000"/>
              <w:right w:val="single" w:sz="8" w:space="0" w:color="auto"/>
            </w:tcBorders>
            <w:vAlign w:val="center"/>
          </w:tcPr>
          <w:p w:rsidR="00986223" w:rsidRPr="00D55DC6" w:rsidRDefault="00986223" w:rsidP="00986223">
            <w:pPr>
              <w:widowControl/>
              <w:snapToGrid w:val="0"/>
              <w:rPr>
                <w:rFonts w:eastAsia="標楷體"/>
                <w:kern w:val="0"/>
              </w:rPr>
            </w:pPr>
          </w:p>
        </w:tc>
        <w:tc>
          <w:tcPr>
            <w:tcW w:w="783" w:type="dxa"/>
            <w:vMerge/>
            <w:tcBorders>
              <w:top w:val="single" w:sz="8" w:space="0" w:color="auto"/>
              <w:left w:val="single" w:sz="8" w:space="0" w:color="auto"/>
              <w:bottom w:val="single" w:sz="8" w:space="0" w:color="000000"/>
              <w:right w:val="single" w:sz="8" w:space="0" w:color="auto"/>
            </w:tcBorders>
            <w:vAlign w:val="center"/>
          </w:tcPr>
          <w:p w:rsidR="00986223" w:rsidRPr="00D55DC6" w:rsidRDefault="00986223" w:rsidP="00986223">
            <w:pPr>
              <w:widowControl/>
              <w:snapToGrid w:val="0"/>
              <w:rPr>
                <w:rFonts w:eastAsia="標楷體"/>
                <w:kern w:val="0"/>
              </w:rPr>
            </w:pPr>
          </w:p>
        </w:tc>
        <w:tc>
          <w:tcPr>
            <w:tcW w:w="1618" w:type="dxa"/>
            <w:vMerge/>
            <w:tcBorders>
              <w:top w:val="single" w:sz="8" w:space="0" w:color="auto"/>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r>
      <w:tr w:rsidR="001D0350" w:rsidRPr="00D55DC6" w:rsidTr="00986223">
        <w:trPr>
          <w:trHeight w:val="619"/>
        </w:trPr>
        <w:tc>
          <w:tcPr>
            <w:tcW w:w="399" w:type="dxa"/>
            <w:vMerge w:val="restart"/>
            <w:tcBorders>
              <w:top w:val="nil"/>
              <w:left w:val="single" w:sz="8" w:space="0" w:color="auto"/>
              <w:bottom w:val="single" w:sz="8" w:space="0" w:color="auto"/>
              <w:right w:val="single" w:sz="8" w:space="0" w:color="auto"/>
            </w:tcBorders>
            <w:shd w:val="clear" w:color="000000" w:fill="CCFFFF"/>
          </w:tcPr>
          <w:p w:rsidR="00986223" w:rsidRPr="00D55DC6" w:rsidRDefault="00986223" w:rsidP="00986223">
            <w:pPr>
              <w:widowControl/>
              <w:snapToGrid w:val="0"/>
              <w:jc w:val="center"/>
              <w:rPr>
                <w:rFonts w:eastAsia="標楷體"/>
                <w:kern w:val="0"/>
              </w:rPr>
            </w:pPr>
            <w:r w:rsidRPr="00D55DC6">
              <w:rPr>
                <w:rFonts w:eastAsia="標楷體"/>
                <w:kern w:val="0"/>
                <w:szCs w:val="22"/>
              </w:rPr>
              <w:t>經常門</w:t>
            </w:r>
          </w:p>
        </w:tc>
        <w:tc>
          <w:tcPr>
            <w:tcW w:w="889" w:type="dxa"/>
            <w:vMerge w:val="restart"/>
            <w:tcBorders>
              <w:top w:val="nil"/>
              <w:left w:val="single" w:sz="8" w:space="0" w:color="auto"/>
              <w:bottom w:val="single" w:sz="8" w:space="0" w:color="auto"/>
              <w:right w:val="single" w:sz="8" w:space="0" w:color="auto"/>
            </w:tcBorders>
            <w:shd w:val="clear" w:color="000000" w:fill="CCFFFF"/>
          </w:tcPr>
          <w:p w:rsidR="00986223" w:rsidRPr="00D55DC6" w:rsidRDefault="00986223" w:rsidP="00986223">
            <w:pPr>
              <w:widowControl/>
              <w:snapToGrid w:val="0"/>
              <w:jc w:val="center"/>
              <w:rPr>
                <w:rFonts w:eastAsia="標楷體"/>
                <w:kern w:val="0"/>
                <w:szCs w:val="22"/>
              </w:rPr>
            </w:pPr>
            <w:r w:rsidRPr="00D55DC6">
              <w:rPr>
                <w:rFonts w:eastAsia="標楷體"/>
                <w:kern w:val="0"/>
                <w:szCs w:val="22"/>
              </w:rPr>
              <w:t>0200</w:t>
            </w:r>
          </w:p>
          <w:p w:rsidR="00986223" w:rsidRPr="00D55DC6" w:rsidRDefault="00986223" w:rsidP="00986223">
            <w:pPr>
              <w:widowControl/>
              <w:snapToGrid w:val="0"/>
              <w:jc w:val="center"/>
              <w:rPr>
                <w:rFonts w:eastAsia="標楷體"/>
                <w:kern w:val="0"/>
              </w:rPr>
            </w:pPr>
            <w:r w:rsidRPr="00D55DC6">
              <w:rPr>
                <w:rFonts w:eastAsia="標楷體"/>
                <w:kern w:val="0"/>
                <w:szCs w:val="22"/>
              </w:rPr>
              <w:t>業務費</w:t>
            </w:r>
          </w:p>
        </w:tc>
        <w:tc>
          <w:tcPr>
            <w:tcW w:w="1098" w:type="dxa"/>
            <w:vMerge w:val="restart"/>
            <w:tcBorders>
              <w:top w:val="nil"/>
              <w:left w:val="single" w:sz="8" w:space="0" w:color="auto"/>
              <w:bottom w:val="single" w:sz="8" w:space="0" w:color="auto"/>
              <w:right w:val="single" w:sz="8" w:space="0" w:color="auto"/>
            </w:tcBorders>
            <w:shd w:val="clear" w:color="000000" w:fill="CCFFFF"/>
          </w:tcPr>
          <w:p w:rsidR="00986223" w:rsidRPr="00D55DC6" w:rsidRDefault="00986223" w:rsidP="00986223">
            <w:pPr>
              <w:widowControl/>
              <w:snapToGrid w:val="0"/>
              <w:rPr>
                <w:rFonts w:eastAsia="標楷體"/>
                <w:kern w:val="0"/>
              </w:rPr>
            </w:pPr>
            <w:r w:rsidRPr="00D55DC6">
              <w:rPr>
                <w:rFonts w:eastAsia="標楷體"/>
                <w:kern w:val="0"/>
                <w:szCs w:val="22"/>
              </w:rPr>
              <w:t>0284</w:t>
            </w:r>
            <w:r w:rsidRPr="00D55DC6">
              <w:rPr>
                <w:rFonts w:eastAsia="標楷體"/>
                <w:kern w:val="0"/>
                <w:szCs w:val="22"/>
              </w:rPr>
              <w:t>設施及機械設備養護費</w:t>
            </w:r>
          </w:p>
        </w:tc>
        <w:tc>
          <w:tcPr>
            <w:tcW w:w="2151" w:type="dxa"/>
            <w:tcBorders>
              <w:top w:val="nil"/>
              <w:left w:val="nil"/>
              <w:bottom w:val="single" w:sz="8" w:space="0" w:color="auto"/>
              <w:right w:val="single" w:sz="8" w:space="0" w:color="auto"/>
            </w:tcBorders>
            <w:shd w:val="clear" w:color="000000" w:fill="CCFFFF"/>
          </w:tcPr>
          <w:p w:rsidR="00986223" w:rsidRPr="00D55DC6" w:rsidRDefault="00986223" w:rsidP="00986223">
            <w:pPr>
              <w:widowControl/>
              <w:snapToGrid w:val="0"/>
              <w:ind w:left="332" w:hangingChars="138" w:hanging="332"/>
              <w:rPr>
                <w:rFonts w:eastAsia="標楷體"/>
                <w:b/>
                <w:bCs/>
                <w:kern w:val="0"/>
              </w:rPr>
            </w:pPr>
            <w:r w:rsidRPr="00D55DC6">
              <w:rPr>
                <w:rFonts w:eastAsia="標楷體"/>
                <w:b/>
                <w:bCs/>
                <w:kern w:val="0"/>
                <w:szCs w:val="22"/>
              </w:rPr>
              <w:t>1.</w:t>
            </w:r>
            <w:r w:rsidRPr="00D55DC6">
              <w:rPr>
                <w:rFonts w:eastAsia="標楷體"/>
                <w:b/>
                <w:bCs/>
                <w:kern w:val="0"/>
                <w:szCs w:val="22"/>
              </w:rPr>
              <w:t>綠美化養護及設施零星修護</w:t>
            </w:r>
          </w:p>
        </w:tc>
        <w:tc>
          <w:tcPr>
            <w:tcW w:w="716" w:type="dxa"/>
            <w:tcBorders>
              <w:top w:val="nil"/>
              <w:left w:val="nil"/>
              <w:bottom w:val="single" w:sz="8" w:space="0" w:color="auto"/>
              <w:right w:val="single" w:sz="8" w:space="0" w:color="auto"/>
            </w:tcBorders>
            <w:shd w:val="clear" w:color="000000" w:fill="CCFFFF"/>
            <w:vAlign w:val="center"/>
          </w:tcPr>
          <w:p w:rsidR="00986223" w:rsidRPr="00D55DC6" w:rsidRDefault="00986223" w:rsidP="00986223">
            <w:pPr>
              <w:widowControl/>
              <w:snapToGrid w:val="0"/>
              <w:jc w:val="right"/>
              <w:rPr>
                <w:rFonts w:eastAsia="標楷體"/>
                <w:bCs/>
                <w:kern w:val="0"/>
                <w:szCs w:val="22"/>
              </w:rPr>
            </w:pPr>
            <w:r w:rsidRPr="00D55DC6">
              <w:rPr>
                <w:rFonts w:eastAsia="標楷體"/>
                <w:bCs/>
                <w:kern w:val="0"/>
                <w:szCs w:val="22"/>
              </w:rPr>
              <w:t xml:space="preserve">0.100 </w:t>
            </w:r>
          </w:p>
        </w:tc>
        <w:tc>
          <w:tcPr>
            <w:tcW w:w="716" w:type="dxa"/>
            <w:tcBorders>
              <w:top w:val="nil"/>
              <w:left w:val="nil"/>
              <w:bottom w:val="single" w:sz="8" w:space="0" w:color="auto"/>
              <w:right w:val="single" w:sz="8" w:space="0" w:color="auto"/>
            </w:tcBorders>
            <w:shd w:val="clear" w:color="000000" w:fill="CCFFFF"/>
            <w:vAlign w:val="center"/>
          </w:tcPr>
          <w:p w:rsidR="00986223" w:rsidRPr="00D55DC6" w:rsidRDefault="00986223" w:rsidP="00986223">
            <w:pPr>
              <w:widowControl/>
              <w:snapToGrid w:val="0"/>
              <w:jc w:val="right"/>
              <w:rPr>
                <w:rFonts w:eastAsia="標楷體"/>
                <w:bCs/>
                <w:kern w:val="0"/>
                <w:szCs w:val="22"/>
              </w:rPr>
            </w:pPr>
            <w:r w:rsidRPr="00D55DC6">
              <w:rPr>
                <w:rFonts w:eastAsia="標楷體"/>
                <w:bCs/>
                <w:kern w:val="0"/>
                <w:szCs w:val="22"/>
              </w:rPr>
              <w:t>0.100</w:t>
            </w:r>
          </w:p>
        </w:tc>
        <w:tc>
          <w:tcPr>
            <w:tcW w:w="716" w:type="dxa"/>
            <w:tcBorders>
              <w:top w:val="nil"/>
              <w:left w:val="nil"/>
              <w:bottom w:val="single" w:sz="8" w:space="0" w:color="auto"/>
              <w:right w:val="single" w:sz="8" w:space="0" w:color="auto"/>
            </w:tcBorders>
            <w:shd w:val="clear" w:color="000000" w:fill="CCFFFF"/>
            <w:vAlign w:val="center"/>
          </w:tcPr>
          <w:p w:rsidR="00986223" w:rsidRPr="00D55DC6" w:rsidRDefault="00986223" w:rsidP="00986223">
            <w:pPr>
              <w:widowControl/>
              <w:snapToGrid w:val="0"/>
              <w:jc w:val="right"/>
              <w:rPr>
                <w:rFonts w:eastAsia="標楷體"/>
                <w:bCs/>
                <w:kern w:val="0"/>
                <w:szCs w:val="22"/>
              </w:rPr>
            </w:pPr>
            <w:r w:rsidRPr="00D55DC6">
              <w:rPr>
                <w:rFonts w:eastAsia="標楷體"/>
                <w:bCs/>
                <w:kern w:val="0"/>
                <w:szCs w:val="22"/>
              </w:rPr>
              <w:t>0.100</w:t>
            </w:r>
          </w:p>
        </w:tc>
        <w:tc>
          <w:tcPr>
            <w:tcW w:w="716" w:type="dxa"/>
            <w:tcBorders>
              <w:top w:val="nil"/>
              <w:left w:val="nil"/>
              <w:bottom w:val="single" w:sz="8" w:space="0" w:color="auto"/>
              <w:right w:val="single" w:sz="8" w:space="0" w:color="auto"/>
            </w:tcBorders>
            <w:shd w:val="clear" w:color="000000" w:fill="CCFFFF"/>
            <w:vAlign w:val="center"/>
          </w:tcPr>
          <w:p w:rsidR="00986223" w:rsidRPr="00D55DC6" w:rsidRDefault="00986223" w:rsidP="00986223">
            <w:pPr>
              <w:widowControl/>
              <w:snapToGrid w:val="0"/>
              <w:jc w:val="right"/>
              <w:rPr>
                <w:rFonts w:eastAsia="標楷體"/>
                <w:bCs/>
                <w:kern w:val="0"/>
                <w:szCs w:val="22"/>
              </w:rPr>
            </w:pPr>
            <w:r w:rsidRPr="00D55DC6">
              <w:rPr>
                <w:rFonts w:eastAsia="標楷體"/>
                <w:bCs/>
                <w:kern w:val="0"/>
                <w:szCs w:val="22"/>
              </w:rPr>
              <w:t>0.100</w:t>
            </w:r>
          </w:p>
        </w:tc>
        <w:tc>
          <w:tcPr>
            <w:tcW w:w="783" w:type="dxa"/>
            <w:tcBorders>
              <w:top w:val="nil"/>
              <w:left w:val="nil"/>
              <w:bottom w:val="single" w:sz="8" w:space="0" w:color="auto"/>
              <w:right w:val="single" w:sz="8" w:space="0" w:color="auto"/>
            </w:tcBorders>
            <w:shd w:val="clear" w:color="000000" w:fill="CCFFFF"/>
            <w:vAlign w:val="center"/>
          </w:tcPr>
          <w:p w:rsidR="00986223" w:rsidRPr="00D55DC6" w:rsidRDefault="00986223" w:rsidP="00986223">
            <w:pPr>
              <w:widowControl/>
              <w:snapToGrid w:val="0"/>
              <w:jc w:val="right"/>
              <w:rPr>
                <w:rFonts w:eastAsia="標楷體"/>
                <w:bCs/>
                <w:kern w:val="0"/>
                <w:szCs w:val="22"/>
              </w:rPr>
            </w:pPr>
            <w:r w:rsidRPr="00D55DC6">
              <w:rPr>
                <w:rFonts w:eastAsia="標楷體"/>
                <w:bCs/>
                <w:kern w:val="0"/>
                <w:szCs w:val="22"/>
              </w:rPr>
              <w:t xml:space="preserve">0.400 </w:t>
            </w:r>
          </w:p>
        </w:tc>
        <w:tc>
          <w:tcPr>
            <w:tcW w:w="1618" w:type="dxa"/>
            <w:vMerge w:val="restart"/>
            <w:tcBorders>
              <w:top w:val="nil"/>
              <w:left w:val="single" w:sz="8" w:space="0" w:color="auto"/>
              <w:bottom w:val="single" w:sz="8" w:space="0" w:color="auto"/>
              <w:right w:val="single" w:sz="8" w:space="0" w:color="auto"/>
            </w:tcBorders>
            <w:shd w:val="clear" w:color="000000" w:fill="CCFFFF"/>
          </w:tcPr>
          <w:p w:rsidR="00986223" w:rsidRPr="00D55DC6" w:rsidRDefault="00986223" w:rsidP="00986223">
            <w:pPr>
              <w:widowControl/>
              <w:snapToGrid w:val="0"/>
              <w:rPr>
                <w:rFonts w:eastAsia="標楷體"/>
                <w:snapToGrid w:val="0"/>
                <w:spacing w:val="-20"/>
                <w:kern w:val="0"/>
              </w:rPr>
            </w:pPr>
            <w:r w:rsidRPr="00D55DC6">
              <w:rPr>
                <w:rFonts w:eastAsia="標楷體"/>
                <w:snapToGrid w:val="0"/>
                <w:spacing w:val="-20"/>
                <w:kern w:val="0"/>
                <w:szCs w:val="22"/>
              </w:rPr>
              <w:t>植栽養護、零星修繕、各據點建物公共安全及消防檢測。</w:t>
            </w:r>
          </w:p>
        </w:tc>
      </w:tr>
      <w:tr w:rsidR="001D0350" w:rsidRPr="00D55DC6" w:rsidTr="00986223">
        <w:trPr>
          <w:trHeight w:val="50"/>
        </w:trPr>
        <w:tc>
          <w:tcPr>
            <w:tcW w:w="399"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889"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1098"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2151" w:type="dxa"/>
            <w:tcBorders>
              <w:top w:val="nil"/>
              <w:left w:val="nil"/>
              <w:bottom w:val="single" w:sz="8" w:space="0" w:color="auto"/>
              <w:right w:val="single" w:sz="8" w:space="0" w:color="auto"/>
            </w:tcBorders>
            <w:shd w:val="clear" w:color="000000" w:fill="CCFFFF"/>
          </w:tcPr>
          <w:p w:rsidR="00986223" w:rsidRPr="00D55DC6" w:rsidRDefault="00986223" w:rsidP="00986223">
            <w:pPr>
              <w:widowControl/>
              <w:snapToGrid w:val="0"/>
              <w:jc w:val="center"/>
              <w:rPr>
                <w:rFonts w:eastAsia="標楷體"/>
                <w:b/>
                <w:bCs/>
                <w:kern w:val="0"/>
              </w:rPr>
            </w:pPr>
            <w:r w:rsidRPr="00D55DC6">
              <w:rPr>
                <w:rFonts w:eastAsia="標楷體"/>
                <w:b/>
                <w:bCs/>
                <w:kern w:val="0"/>
                <w:szCs w:val="22"/>
              </w:rPr>
              <w:t>經常門合計</w:t>
            </w:r>
          </w:p>
        </w:tc>
        <w:tc>
          <w:tcPr>
            <w:tcW w:w="716" w:type="dxa"/>
            <w:tcBorders>
              <w:top w:val="nil"/>
              <w:left w:val="nil"/>
              <w:bottom w:val="single" w:sz="8" w:space="0" w:color="auto"/>
              <w:right w:val="single" w:sz="8" w:space="0" w:color="auto"/>
            </w:tcBorders>
            <w:shd w:val="clear" w:color="000000" w:fill="CCFFFF"/>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0.100 </w:t>
            </w:r>
          </w:p>
        </w:tc>
        <w:tc>
          <w:tcPr>
            <w:tcW w:w="716" w:type="dxa"/>
            <w:tcBorders>
              <w:top w:val="nil"/>
              <w:left w:val="nil"/>
              <w:bottom w:val="single" w:sz="8" w:space="0" w:color="auto"/>
              <w:right w:val="single" w:sz="8" w:space="0" w:color="auto"/>
            </w:tcBorders>
            <w:shd w:val="clear" w:color="000000" w:fill="CCFFFF"/>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0.100</w:t>
            </w:r>
          </w:p>
        </w:tc>
        <w:tc>
          <w:tcPr>
            <w:tcW w:w="716" w:type="dxa"/>
            <w:tcBorders>
              <w:top w:val="nil"/>
              <w:left w:val="nil"/>
              <w:bottom w:val="single" w:sz="8" w:space="0" w:color="auto"/>
              <w:right w:val="single" w:sz="8" w:space="0" w:color="auto"/>
            </w:tcBorders>
            <w:shd w:val="clear" w:color="000000" w:fill="CCFFFF"/>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0.100</w:t>
            </w:r>
          </w:p>
        </w:tc>
        <w:tc>
          <w:tcPr>
            <w:tcW w:w="716" w:type="dxa"/>
            <w:tcBorders>
              <w:top w:val="nil"/>
              <w:left w:val="nil"/>
              <w:bottom w:val="single" w:sz="8" w:space="0" w:color="auto"/>
              <w:right w:val="single" w:sz="8" w:space="0" w:color="auto"/>
            </w:tcBorders>
            <w:shd w:val="clear" w:color="000000" w:fill="CCFFFF"/>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0.100</w:t>
            </w:r>
          </w:p>
        </w:tc>
        <w:tc>
          <w:tcPr>
            <w:tcW w:w="783" w:type="dxa"/>
            <w:tcBorders>
              <w:top w:val="nil"/>
              <w:left w:val="nil"/>
              <w:bottom w:val="single" w:sz="8" w:space="0" w:color="auto"/>
              <w:right w:val="single" w:sz="8" w:space="0" w:color="auto"/>
            </w:tcBorders>
            <w:shd w:val="clear" w:color="000000" w:fill="CCFFFF"/>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0.400 </w:t>
            </w:r>
          </w:p>
        </w:tc>
        <w:tc>
          <w:tcPr>
            <w:tcW w:w="1618"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snapToGrid w:val="0"/>
                <w:spacing w:val="-20"/>
                <w:kern w:val="0"/>
              </w:rPr>
            </w:pPr>
          </w:p>
        </w:tc>
      </w:tr>
      <w:tr w:rsidR="001D0350" w:rsidRPr="00D55DC6" w:rsidTr="00986223">
        <w:trPr>
          <w:trHeight w:val="50"/>
        </w:trPr>
        <w:tc>
          <w:tcPr>
            <w:tcW w:w="399" w:type="dxa"/>
            <w:vMerge w:val="restart"/>
            <w:tcBorders>
              <w:top w:val="nil"/>
              <w:left w:val="single" w:sz="8" w:space="0" w:color="auto"/>
              <w:bottom w:val="nil"/>
              <w:right w:val="single" w:sz="8" w:space="0" w:color="auto"/>
            </w:tcBorders>
            <w:shd w:val="clear" w:color="000000" w:fill="CCFFCC"/>
          </w:tcPr>
          <w:p w:rsidR="00986223" w:rsidRPr="00D55DC6" w:rsidRDefault="00986223" w:rsidP="00986223">
            <w:pPr>
              <w:widowControl/>
              <w:snapToGrid w:val="0"/>
              <w:jc w:val="center"/>
              <w:rPr>
                <w:rFonts w:eastAsia="標楷體"/>
                <w:kern w:val="0"/>
              </w:rPr>
            </w:pPr>
            <w:r w:rsidRPr="00D55DC6">
              <w:rPr>
                <w:rFonts w:eastAsia="標楷體"/>
                <w:kern w:val="0"/>
                <w:szCs w:val="22"/>
              </w:rPr>
              <w:t>資本門</w:t>
            </w:r>
          </w:p>
        </w:tc>
        <w:tc>
          <w:tcPr>
            <w:tcW w:w="889" w:type="dxa"/>
            <w:vMerge w:val="restart"/>
            <w:tcBorders>
              <w:top w:val="nil"/>
              <w:left w:val="single" w:sz="8" w:space="0" w:color="auto"/>
              <w:bottom w:val="single" w:sz="8" w:space="0" w:color="auto"/>
              <w:right w:val="single" w:sz="8" w:space="0" w:color="auto"/>
            </w:tcBorders>
            <w:shd w:val="clear" w:color="000000" w:fill="CCFFCC"/>
          </w:tcPr>
          <w:p w:rsidR="00986223" w:rsidRPr="00D55DC6" w:rsidRDefault="00986223" w:rsidP="00986223">
            <w:pPr>
              <w:widowControl/>
              <w:snapToGrid w:val="0"/>
              <w:jc w:val="center"/>
              <w:rPr>
                <w:rFonts w:eastAsia="標楷體"/>
                <w:kern w:val="0"/>
                <w:szCs w:val="22"/>
              </w:rPr>
            </w:pPr>
            <w:r w:rsidRPr="00D55DC6">
              <w:rPr>
                <w:rFonts w:eastAsia="標楷體"/>
                <w:kern w:val="0"/>
                <w:szCs w:val="22"/>
              </w:rPr>
              <w:t>0300</w:t>
            </w:r>
          </w:p>
          <w:p w:rsidR="00986223" w:rsidRPr="00D55DC6" w:rsidRDefault="00986223" w:rsidP="00986223">
            <w:pPr>
              <w:widowControl/>
              <w:snapToGrid w:val="0"/>
              <w:jc w:val="center"/>
              <w:rPr>
                <w:rFonts w:eastAsia="標楷體"/>
                <w:kern w:val="0"/>
              </w:rPr>
            </w:pPr>
            <w:r w:rsidRPr="00D55DC6">
              <w:rPr>
                <w:rFonts w:eastAsia="標楷體"/>
                <w:kern w:val="0"/>
                <w:szCs w:val="22"/>
              </w:rPr>
              <w:t>設備及投資</w:t>
            </w:r>
          </w:p>
        </w:tc>
        <w:tc>
          <w:tcPr>
            <w:tcW w:w="1098" w:type="dxa"/>
            <w:tcBorders>
              <w:top w:val="nil"/>
              <w:left w:val="nil"/>
              <w:bottom w:val="single" w:sz="8" w:space="0" w:color="auto"/>
              <w:right w:val="single" w:sz="8" w:space="0" w:color="auto"/>
            </w:tcBorders>
            <w:shd w:val="clear" w:color="000000" w:fill="CCFFCC"/>
          </w:tcPr>
          <w:p w:rsidR="00986223" w:rsidRPr="00D55DC6" w:rsidRDefault="00986223" w:rsidP="00986223">
            <w:pPr>
              <w:widowControl/>
              <w:snapToGrid w:val="0"/>
              <w:rPr>
                <w:rFonts w:eastAsia="標楷體"/>
                <w:kern w:val="0"/>
              </w:rPr>
            </w:pPr>
            <w:r w:rsidRPr="00D55DC6">
              <w:rPr>
                <w:rFonts w:eastAsia="標楷體"/>
                <w:kern w:val="0"/>
                <w:szCs w:val="22"/>
              </w:rPr>
              <w:t>0301</w:t>
            </w:r>
            <w:r w:rsidRPr="00D55DC6">
              <w:rPr>
                <w:rFonts w:eastAsia="標楷體"/>
                <w:kern w:val="0"/>
                <w:szCs w:val="22"/>
              </w:rPr>
              <w:t>土地費</w:t>
            </w:r>
          </w:p>
        </w:tc>
        <w:tc>
          <w:tcPr>
            <w:tcW w:w="2151" w:type="dxa"/>
            <w:tcBorders>
              <w:top w:val="nil"/>
              <w:left w:val="nil"/>
              <w:bottom w:val="single" w:sz="8" w:space="0" w:color="auto"/>
              <w:right w:val="single" w:sz="8" w:space="0" w:color="auto"/>
            </w:tcBorders>
            <w:shd w:val="clear" w:color="000000" w:fill="CCFFCC"/>
            <w:vAlign w:val="center"/>
          </w:tcPr>
          <w:p w:rsidR="00986223" w:rsidRPr="00D55DC6" w:rsidRDefault="00986223" w:rsidP="00986223">
            <w:pPr>
              <w:widowControl/>
              <w:snapToGrid w:val="0"/>
              <w:jc w:val="both"/>
              <w:rPr>
                <w:rFonts w:eastAsia="標楷體"/>
                <w:b/>
                <w:bCs/>
                <w:kern w:val="0"/>
              </w:rPr>
            </w:pPr>
            <w:r w:rsidRPr="00D55DC6">
              <w:rPr>
                <w:rFonts w:eastAsia="標楷體"/>
                <w:b/>
                <w:bCs/>
                <w:kern w:val="0"/>
                <w:szCs w:val="22"/>
              </w:rPr>
              <w:t>1.</w:t>
            </w:r>
            <w:r w:rsidRPr="00D55DC6">
              <w:rPr>
                <w:rFonts w:eastAsia="標楷體"/>
                <w:b/>
                <w:bCs/>
                <w:kern w:val="0"/>
                <w:szCs w:val="22"/>
              </w:rPr>
              <w:t>土地取得</w:t>
            </w:r>
          </w:p>
        </w:tc>
        <w:tc>
          <w:tcPr>
            <w:tcW w:w="716" w:type="dxa"/>
            <w:tcBorders>
              <w:top w:val="nil"/>
              <w:left w:val="nil"/>
              <w:bottom w:val="single" w:sz="8" w:space="0" w:color="auto"/>
              <w:right w:val="single" w:sz="8" w:space="0" w:color="auto"/>
            </w:tcBorders>
            <w:shd w:val="clear" w:color="auto" w:fill="CCFFCC"/>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0.100 </w:t>
            </w:r>
          </w:p>
        </w:tc>
        <w:tc>
          <w:tcPr>
            <w:tcW w:w="716" w:type="dxa"/>
            <w:tcBorders>
              <w:top w:val="nil"/>
              <w:left w:val="nil"/>
              <w:bottom w:val="single" w:sz="8" w:space="0" w:color="auto"/>
              <w:right w:val="single" w:sz="8" w:space="0" w:color="auto"/>
            </w:tcBorders>
            <w:shd w:val="clear" w:color="auto" w:fill="CCFFCC"/>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0.100 </w:t>
            </w:r>
          </w:p>
        </w:tc>
        <w:tc>
          <w:tcPr>
            <w:tcW w:w="716" w:type="dxa"/>
            <w:tcBorders>
              <w:top w:val="nil"/>
              <w:left w:val="nil"/>
              <w:bottom w:val="single" w:sz="8" w:space="0" w:color="auto"/>
              <w:right w:val="single" w:sz="8" w:space="0" w:color="auto"/>
            </w:tcBorders>
            <w:shd w:val="clear" w:color="auto" w:fill="CCFFCC"/>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0.200 </w:t>
            </w:r>
          </w:p>
        </w:tc>
        <w:tc>
          <w:tcPr>
            <w:tcW w:w="716" w:type="dxa"/>
            <w:tcBorders>
              <w:top w:val="nil"/>
              <w:left w:val="nil"/>
              <w:bottom w:val="single" w:sz="8" w:space="0" w:color="auto"/>
              <w:right w:val="single" w:sz="8" w:space="0" w:color="auto"/>
            </w:tcBorders>
            <w:shd w:val="clear" w:color="auto" w:fill="CCFFCC"/>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0.100 </w:t>
            </w:r>
          </w:p>
        </w:tc>
        <w:tc>
          <w:tcPr>
            <w:tcW w:w="783" w:type="dxa"/>
            <w:tcBorders>
              <w:top w:val="nil"/>
              <w:left w:val="nil"/>
              <w:bottom w:val="single" w:sz="8" w:space="0" w:color="auto"/>
              <w:right w:val="single" w:sz="8" w:space="0" w:color="auto"/>
            </w:tcBorders>
            <w:shd w:val="clear" w:color="000000" w:fill="CCFFFF"/>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 0.500 </w:t>
            </w:r>
          </w:p>
        </w:tc>
        <w:tc>
          <w:tcPr>
            <w:tcW w:w="1618" w:type="dxa"/>
            <w:tcBorders>
              <w:top w:val="nil"/>
              <w:left w:val="nil"/>
              <w:bottom w:val="single" w:sz="8" w:space="0" w:color="auto"/>
              <w:right w:val="single" w:sz="8" w:space="0" w:color="auto"/>
            </w:tcBorders>
          </w:tcPr>
          <w:p w:rsidR="00986223" w:rsidRPr="00D55DC6" w:rsidRDefault="00986223" w:rsidP="00986223">
            <w:pPr>
              <w:widowControl/>
              <w:snapToGrid w:val="0"/>
              <w:rPr>
                <w:rFonts w:eastAsia="標楷體"/>
                <w:snapToGrid w:val="0"/>
                <w:spacing w:val="-20"/>
                <w:kern w:val="0"/>
              </w:rPr>
            </w:pPr>
            <w:r w:rsidRPr="00D55DC6">
              <w:rPr>
                <w:rFonts w:eastAsia="標楷體"/>
                <w:snapToGrid w:val="0"/>
                <w:spacing w:val="-20"/>
                <w:kern w:val="0"/>
                <w:szCs w:val="22"/>
              </w:rPr>
              <w:t>辦理轄區訂樁測量、徵收價購、撥用補償及相關作業。</w:t>
            </w:r>
          </w:p>
        </w:tc>
      </w:tr>
      <w:tr w:rsidR="001D0350" w:rsidRPr="00D55DC6" w:rsidTr="00986223">
        <w:trPr>
          <w:trHeight w:val="50"/>
        </w:trPr>
        <w:tc>
          <w:tcPr>
            <w:tcW w:w="399" w:type="dxa"/>
            <w:vMerge/>
            <w:tcBorders>
              <w:top w:val="nil"/>
              <w:left w:val="single" w:sz="8" w:space="0" w:color="auto"/>
              <w:bottom w:val="nil"/>
              <w:right w:val="single" w:sz="8" w:space="0" w:color="auto"/>
            </w:tcBorders>
            <w:vAlign w:val="center"/>
          </w:tcPr>
          <w:p w:rsidR="00986223" w:rsidRPr="00D55DC6" w:rsidRDefault="00986223" w:rsidP="00986223">
            <w:pPr>
              <w:widowControl/>
              <w:snapToGrid w:val="0"/>
              <w:rPr>
                <w:rFonts w:eastAsia="標楷體"/>
                <w:kern w:val="0"/>
              </w:rPr>
            </w:pPr>
          </w:p>
        </w:tc>
        <w:tc>
          <w:tcPr>
            <w:tcW w:w="889"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1098" w:type="dxa"/>
            <w:tcBorders>
              <w:top w:val="nil"/>
              <w:left w:val="single" w:sz="8" w:space="0" w:color="auto"/>
              <w:bottom w:val="single" w:sz="8" w:space="0" w:color="000000"/>
              <w:right w:val="single" w:sz="8" w:space="0" w:color="auto"/>
            </w:tcBorders>
            <w:shd w:val="clear" w:color="000000" w:fill="CCFFCC"/>
          </w:tcPr>
          <w:p w:rsidR="00986223" w:rsidRPr="00D55DC6" w:rsidRDefault="00986223" w:rsidP="00986223">
            <w:pPr>
              <w:widowControl/>
              <w:snapToGrid w:val="0"/>
              <w:rPr>
                <w:rFonts w:eastAsia="標楷體"/>
                <w:kern w:val="0"/>
              </w:rPr>
            </w:pPr>
            <w:r w:rsidRPr="00D55DC6">
              <w:rPr>
                <w:rFonts w:eastAsia="標楷體"/>
                <w:kern w:val="0"/>
                <w:szCs w:val="22"/>
              </w:rPr>
              <w:t>0302</w:t>
            </w:r>
            <w:r w:rsidRPr="00D55DC6">
              <w:rPr>
                <w:rFonts w:eastAsia="標楷體"/>
                <w:kern w:val="0"/>
                <w:szCs w:val="22"/>
              </w:rPr>
              <w:t>房屋建築及設備費</w:t>
            </w:r>
          </w:p>
        </w:tc>
        <w:tc>
          <w:tcPr>
            <w:tcW w:w="2151" w:type="dxa"/>
            <w:tcBorders>
              <w:top w:val="nil"/>
              <w:left w:val="nil"/>
              <w:bottom w:val="single" w:sz="8" w:space="0" w:color="auto"/>
              <w:right w:val="single" w:sz="8" w:space="0" w:color="auto"/>
            </w:tcBorders>
            <w:shd w:val="clear" w:color="000000" w:fill="CCFFCC"/>
          </w:tcPr>
          <w:p w:rsidR="00986223" w:rsidRPr="00D55DC6" w:rsidRDefault="00986223" w:rsidP="00986223">
            <w:pPr>
              <w:widowControl/>
              <w:snapToGrid w:val="0"/>
              <w:rPr>
                <w:rFonts w:eastAsia="標楷體"/>
                <w:b/>
                <w:bCs/>
                <w:kern w:val="0"/>
              </w:rPr>
            </w:pPr>
            <w:r w:rsidRPr="00D55DC6">
              <w:rPr>
                <w:rFonts w:eastAsia="標楷體"/>
                <w:b/>
                <w:bCs/>
                <w:kern w:val="0"/>
                <w:szCs w:val="22"/>
              </w:rPr>
              <w:t>2.</w:t>
            </w:r>
            <w:r w:rsidRPr="00D55DC6">
              <w:rPr>
                <w:rFonts w:eastAsia="標楷體"/>
                <w:b/>
                <w:bCs/>
                <w:kern w:val="0"/>
                <w:szCs w:val="22"/>
              </w:rPr>
              <w:t>房屋建築及設備</w:t>
            </w:r>
          </w:p>
        </w:tc>
        <w:tc>
          <w:tcPr>
            <w:tcW w:w="716" w:type="dxa"/>
            <w:tcBorders>
              <w:top w:val="nil"/>
              <w:left w:val="nil"/>
              <w:bottom w:val="single" w:sz="8" w:space="0" w:color="auto"/>
              <w:right w:val="single" w:sz="8" w:space="0" w:color="auto"/>
            </w:tcBorders>
            <w:shd w:val="clear" w:color="000000" w:fill="CCFFCC"/>
            <w:vAlign w:val="center"/>
          </w:tcPr>
          <w:p w:rsidR="00986223" w:rsidRPr="00D55DC6" w:rsidRDefault="00986223" w:rsidP="00986223">
            <w:pPr>
              <w:widowControl/>
              <w:snapToGrid w:val="0"/>
              <w:jc w:val="right"/>
              <w:rPr>
                <w:rFonts w:eastAsia="標楷體"/>
                <w:b/>
                <w:kern w:val="0"/>
              </w:rPr>
            </w:pPr>
            <w:r w:rsidRPr="00D55DC6">
              <w:rPr>
                <w:rFonts w:eastAsia="標楷體"/>
                <w:b/>
                <w:kern w:val="0"/>
              </w:rPr>
              <w:t>0.000</w:t>
            </w:r>
          </w:p>
        </w:tc>
        <w:tc>
          <w:tcPr>
            <w:tcW w:w="716" w:type="dxa"/>
            <w:tcBorders>
              <w:top w:val="nil"/>
              <w:left w:val="nil"/>
              <w:bottom w:val="single" w:sz="8" w:space="0" w:color="auto"/>
              <w:right w:val="single" w:sz="8" w:space="0" w:color="auto"/>
            </w:tcBorders>
            <w:shd w:val="clear" w:color="000000" w:fill="CCFFCC"/>
            <w:vAlign w:val="center"/>
          </w:tcPr>
          <w:p w:rsidR="00986223" w:rsidRPr="00D55DC6" w:rsidRDefault="00986223" w:rsidP="00986223">
            <w:pPr>
              <w:widowControl/>
              <w:snapToGrid w:val="0"/>
              <w:jc w:val="right"/>
              <w:rPr>
                <w:rFonts w:eastAsia="標楷體"/>
                <w:b/>
                <w:kern w:val="0"/>
              </w:rPr>
            </w:pPr>
            <w:r w:rsidRPr="00D55DC6">
              <w:rPr>
                <w:rFonts w:eastAsia="標楷體"/>
                <w:b/>
                <w:kern w:val="0"/>
              </w:rPr>
              <w:t>0.000</w:t>
            </w:r>
          </w:p>
        </w:tc>
        <w:tc>
          <w:tcPr>
            <w:tcW w:w="716" w:type="dxa"/>
            <w:tcBorders>
              <w:top w:val="nil"/>
              <w:left w:val="nil"/>
              <w:bottom w:val="single" w:sz="8" w:space="0" w:color="auto"/>
              <w:right w:val="single" w:sz="8" w:space="0" w:color="auto"/>
            </w:tcBorders>
            <w:shd w:val="clear" w:color="000000" w:fill="CCFFCC"/>
            <w:vAlign w:val="center"/>
          </w:tcPr>
          <w:p w:rsidR="00986223" w:rsidRPr="00D55DC6" w:rsidRDefault="00986223" w:rsidP="00986223">
            <w:pPr>
              <w:widowControl/>
              <w:snapToGrid w:val="0"/>
              <w:jc w:val="right"/>
              <w:rPr>
                <w:rFonts w:eastAsia="標楷體"/>
                <w:b/>
                <w:kern w:val="0"/>
              </w:rPr>
            </w:pPr>
            <w:r w:rsidRPr="00D55DC6">
              <w:rPr>
                <w:rFonts w:eastAsia="標楷體"/>
                <w:b/>
                <w:kern w:val="0"/>
              </w:rPr>
              <w:t>0.000</w:t>
            </w:r>
          </w:p>
        </w:tc>
        <w:tc>
          <w:tcPr>
            <w:tcW w:w="716" w:type="dxa"/>
            <w:tcBorders>
              <w:top w:val="nil"/>
              <w:left w:val="nil"/>
              <w:bottom w:val="single" w:sz="8" w:space="0" w:color="auto"/>
              <w:right w:val="single" w:sz="8" w:space="0" w:color="auto"/>
            </w:tcBorders>
            <w:shd w:val="clear" w:color="000000" w:fill="CCFFCC"/>
            <w:vAlign w:val="center"/>
          </w:tcPr>
          <w:p w:rsidR="00986223" w:rsidRPr="00D55DC6" w:rsidRDefault="00986223" w:rsidP="00986223">
            <w:pPr>
              <w:widowControl/>
              <w:snapToGrid w:val="0"/>
              <w:jc w:val="right"/>
              <w:rPr>
                <w:rFonts w:eastAsia="標楷體"/>
                <w:b/>
                <w:kern w:val="0"/>
              </w:rPr>
            </w:pPr>
            <w:r w:rsidRPr="00D55DC6">
              <w:rPr>
                <w:rFonts w:eastAsia="標楷體"/>
                <w:b/>
                <w:kern w:val="0"/>
              </w:rPr>
              <w:t>0.000</w:t>
            </w:r>
          </w:p>
        </w:tc>
        <w:tc>
          <w:tcPr>
            <w:tcW w:w="783" w:type="dxa"/>
            <w:tcBorders>
              <w:top w:val="nil"/>
              <w:left w:val="nil"/>
              <w:bottom w:val="single" w:sz="8" w:space="0" w:color="auto"/>
              <w:right w:val="single" w:sz="8" w:space="0" w:color="auto"/>
            </w:tcBorders>
            <w:shd w:val="clear" w:color="000000" w:fill="CCFFFF"/>
            <w:vAlign w:val="center"/>
          </w:tcPr>
          <w:p w:rsidR="00986223" w:rsidRPr="00D55DC6" w:rsidRDefault="00986223" w:rsidP="00986223">
            <w:pPr>
              <w:widowControl/>
              <w:snapToGrid w:val="0"/>
              <w:jc w:val="right"/>
              <w:rPr>
                <w:rFonts w:eastAsia="標楷體"/>
                <w:b/>
                <w:kern w:val="0"/>
              </w:rPr>
            </w:pPr>
            <w:r w:rsidRPr="00D55DC6">
              <w:rPr>
                <w:rFonts w:eastAsia="標楷體"/>
                <w:b/>
                <w:kern w:val="0"/>
              </w:rPr>
              <w:t>0.000</w:t>
            </w:r>
          </w:p>
        </w:tc>
        <w:tc>
          <w:tcPr>
            <w:tcW w:w="1618" w:type="dxa"/>
            <w:tcBorders>
              <w:top w:val="nil"/>
              <w:left w:val="single" w:sz="8" w:space="0" w:color="auto"/>
              <w:right w:val="single" w:sz="8" w:space="0" w:color="auto"/>
            </w:tcBorders>
          </w:tcPr>
          <w:p w:rsidR="00986223" w:rsidRPr="00D55DC6" w:rsidRDefault="00986223" w:rsidP="00986223">
            <w:pPr>
              <w:snapToGrid w:val="0"/>
              <w:jc w:val="both"/>
              <w:rPr>
                <w:rFonts w:eastAsia="標楷體"/>
                <w:snapToGrid w:val="0"/>
                <w:spacing w:val="-20"/>
                <w:kern w:val="0"/>
              </w:rPr>
            </w:pPr>
          </w:p>
        </w:tc>
      </w:tr>
      <w:tr w:rsidR="001D0350" w:rsidRPr="00D55DC6" w:rsidTr="00986223">
        <w:trPr>
          <w:trHeight w:val="50"/>
        </w:trPr>
        <w:tc>
          <w:tcPr>
            <w:tcW w:w="399" w:type="dxa"/>
            <w:vMerge/>
            <w:tcBorders>
              <w:top w:val="nil"/>
              <w:left w:val="single" w:sz="8" w:space="0" w:color="auto"/>
              <w:bottom w:val="nil"/>
              <w:right w:val="single" w:sz="8" w:space="0" w:color="auto"/>
            </w:tcBorders>
            <w:vAlign w:val="center"/>
          </w:tcPr>
          <w:p w:rsidR="00986223" w:rsidRPr="00D55DC6" w:rsidRDefault="00986223" w:rsidP="00986223">
            <w:pPr>
              <w:widowControl/>
              <w:snapToGrid w:val="0"/>
              <w:rPr>
                <w:rFonts w:eastAsia="標楷體"/>
                <w:kern w:val="0"/>
              </w:rPr>
            </w:pPr>
          </w:p>
        </w:tc>
        <w:tc>
          <w:tcPr>
            <w:tcW w:w="889"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1098" w:type="dxa"/>
            <w:vMerge w:val="restart"/>
            <w:tcBorders>
              <w:top w:val="nil"/>
              <w:left w:val="single" w:sz="8" w:space="0" w:color="auto"/>
              <w:bottom w:val="single" w:sz="8" w:space="0" w:color="auto"/>
              <w:right w:val="single" w:sz="8" w:space="0" w:color="auto"/>
            </w:tcBorders>
            <w:shd w:val="clear" w:color="000000" w:fill="CCFFCC"/>
          </w:tcPr>
          <w:p w:rsidR="00986223" w:rsidRPr="00D55DC6" w:rsidRDefault="00986223" w:rsidP="00986223">
            <w:pPr>
              <w:widowControl/>
              <w:snapToGrid w:val="0"/>
              <w:rPr>
                <w:rFonts w:eastAsia="標楷體"/>
                <w:kern w:val="0"/>
              </w:rPr>
            </w:pPr>
            <w:r w:rsidRPr="00D55DC6">
              <w:rPr>
                <w:rFonts w:eastAsia="標楷體"/>
                <w:kern w:val="0"/>
                <w:szCs w:val="22"/>
              </w:rPr>
              <w:t>0303</w:t>
            </w:r>
            <w:r w:rsidRPr="00D55DC6">
              <w:rPr>
                <w:rFonts w:eastAsia="標楷體"/>
                <w:kern w:val="0"/>
                <w:szCs w:val="22"/>
              </w:rPr>
              <w:t>公共</w:t>
            </w:r>
            <w:r w:rsidRPr="00D55DC6">
              <w:rPr>
                <w:rFonts w:eastAsia="標楷體"/>
                <w:kern w:val="0"/>
                <w:szCs w:val="22"/>
              </w:rPr>
              <w:lastRenderedPageBreak/>
              <w:t>建設及設施費</w:t>
            </w:r>
          </w:p>
        </w:tc>
        <w:tc>
          <w:tcPr>
            <w:tcW w:w="2151" w:type="dxa"/>
            <w:tcBorders>
              <w:top w:val="nil"/>
              <w:left w:val="nil"/>
              <w:bottom w:val="single" w:sz="8" w:space="0" w:color="auto"/>
              <w:right w:val="single" w:sz="8" w:space="0" w:color="auto"/>
            </w:tcBorders>
            <w:shd w:val="clear" w:color="000000" w:fill="CCFFCC"/>
            <w:vAlign w:val="center"/>
          </w:tcPr>
          <w:p w:rsidR="00986223" w:rsidRPr="00D55DC6" w:rsidRDefault="00986223" w:rsidP="00986223">
            <w:pPr>
              <w:widowControl/>
              <w:snapToGrid w:val="0"/>
              <w:rPr>
                <w:rFonts w:eastAsia="標楷體"/>
                <w:b/>
                <w:bCs/>
                <w:kern w:val="0"/>
              </w:rPr>
            </w:pPr>
            <w:r w:rsidRPr="00D55DC6">
              <w:rPr>
                <w:rFonts w:eastAsia="標楷體"/>
                <w:b/>
                <w:bCs/>
                <w:kern w:val="0"/>
                <w:szCs w:val="22"/>
              </w:rPr>
              <w:lastRenderedPageBreak/>
              <w:t>3.</w:t>
            </w:r>
            <w:r w:rsidRPr="00D55DC6">
              <w:rPr>
                <w:rFonts w:eastAsia="標楷體"/>
                <w:b/>
                <w:bCs/>
                <w:kern w:val="0"/>
                <w:szCs w:val="22"/>
              </w:rPr>
              <w:t>公共建設及設施</w:t>
            </w:r>
          </w:p>
        </w:tc>
        <w:tc>
          <w:tcPr>
            <w:tcW w:w="716" w:type="dxa"/>
            <w:tcBorders>
              <w:top w:val="nil"/>
              <w:left w:val="nil"/>
              <w:bottom w:val="single" w:sz="8" w:space="0" w:color="auto"/>
              <w:right w:val="single" w:sz="8" w:space="0" w:color="auto"/>
            </w:tcBorders>
            <w:shd w:val="clear" w:color="000000" w:fill="CCFFCC"/>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1.780 </w:t>
            </w:r>
          </w:p>
        </w:tc>
        <w:tc>
          <w:tcPr>
            <w:tcW w:w="716" w:type="dxa"/>
            <w:tcBorders>
              <w:top w:val="nil"/>
              <w:left w:val="nil"/>
              <w:bottom w:val="single" w:sz="8" w:space="0" w:color="auto"/>
              <w:right w:val="single" w:sz="8" w:space="0" w:color="auto"/>
            </w:tcBorders>
            <w:shd w:val="clear" w:color="000000" w:fill="CCFFCC"/>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1.800 </w:t>
            </w:r>
          </w:p>
        </w:tc>
        <w:tc>
          <w:tcPr>
            <w:tcW w:w="716" w:type="dxa"/>
            <w:tcBorders>
              <w:top w:val="nil"/>
              <w:left w:val="nil"/>
              <w:bottom w:val="single" w:sz="8" w:space="0" w:color="auto"/>
              <w:right w:val="single" w:sz="8" w:space="0" w:color="auto"/>
            </w:tcBorders>
            <w:shd w:val="clear" w:color="000000" w:fill="CCFFCC"/>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1.700 </w:t>
            </w:r>
          </w:p>
        </w:tc>
        <w:tc>
          <w:tcPr>
            <w:tcW w:w="716" w:type="dxa"/>
            <w:tcBorders>
              <w:top w:val="nil"/>
              <w:left w:val="nil"/>
              <w:bottom w:val="single" w:sz="8" w:space="0" w:color="auto"/>
              <w:right w:val="single" w:sz="8" w:space="0" w:color="auto"/>
            </w:tcBorders>
            <w:shd w:val="clear" w:color="000000" w:fill="CCFFCC"/>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1.820 </w:t>
            </w:r>
          </w:p>
        </w:tc>
        <w:tc>
          <w:tcPr>
            <w:tcW w:w="783" w:type="dxa"/>
            <w:tcBorders>
              <w:top w:val="nil"/>
              <w:left w:val="nil"/>
              <w:bottom w:val="single" w:sz="8" w:space="0" w:color="auto"/>
              <w:right w:val="single" w:sz="8" w:space="0" w:color="auto"/>
            </w:tcBorders>
            <w:shd w:val="clear" w:color="000000" w:fill="CCFFFF"/>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7.100 </w:t>
            </w:r>
          </w:p>
        </w:tc>
        <w:tc>
          <w:tcPr>
            <w:tcW w:w="1618" w:type="dxa"/>
            <w:tcBorders>
              <w:top w:val="single" w:sz="4" w:space="0" w:color="auto"/>
              <w:left w:val="nil"/>
              <w:bottom w:val="single" w:sz="8" w:space="0" w:color="auto"/>
              <w:right w:val="single" w:sz="8" w:space="0" w:color="auto"/>
            </w:tcBorders>
          </w:tcPr>
          <w:p w:rsidR="00986223" w:rsidRPr="00D55DC6" w:rsidRDefault="00986223" w:rsidP="00986223">
            <w:pPr>
              <w:widowControl/>
              <w:snapToGrid w:val="0"/>
              <w:jc w:val="both"/>
              <w:rPr>
                <w:rFonts w:eastAsia="標楷體"/>
                <w:snapToGrid w:val="0"/>
                <w:spacing w:val="-20"/>
                <w:kern w:val="0"/>
              </w:rPr>
            </w:pPr>
            <w:r w:rsidRPr="00D55DC6">
              <w:rPr>
                <w:rFonts w:eastAsia="標楷體"/>
                <w:snapToGrid w:val="0"/>
                <w:spacing w:val="-20"/>
                <w:kern w:val="0"/>
                <w:szCs w:val="22"/>
              </w:rPr>
              <w:t xml:space="preserve">　</w:t>
            </w:r>
          </w:p>
        </w:tc>
      </w:tr>
      <w:tr w:rsidR="001D0350" w:rsidRPr="00D55DC6" w:rsidTr="00986223">
        <w:trPr>
          <w:trHeight w:val="360"/>
        </w:trPr>
        <w:tc>
          <w:tcPr>
            <w:tcW w:w="399" w:type="dxa"/>
            <w:vMerge/>
            <w:tcBorders>
              <w:top w:val="nil"/>
              <w:left w:val="single" w:sz="8" w:space="0" w:color="auto"/>
              <w:bottom w:val="nil"/>
              <w:right w:val="single" w:sz="8" w:space="0" w:color="auto"/>
            </w:tcBorders>
            <w:vAlign w:val="center"/>
          </w:tcPr>
          <w:p w:rsidR="00986223" w:rsidRPr="00D55DC6" w:rsidRDefault="00986223" w:rsidP="00986223">
            <w:pPr>
              <w:widowControl/>
              <w:snapToGrid w:val="0"/>
              <w:rPr>
                <w:rFonts w:eastAsia="標楷體"/>
                <w:kern w:val="0"/>
              </w:rPr>
            </w:pPr>
          </w:p>
        </w:tc>
        <w:tc>
          <w:tcPr>
            <w:tcW w:w="889"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1098"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2151" w:type="dxa"/>
            <w:tcBorders>
              <w:top w:val="nil"/>
              <w:left w:val="nil"/>
              <w:bottom w:val="single" w:sz="8" w:space="0" w:color="auto"/>
              <w:right w:val="single" w:sz="8" w:space="0" w:color="auto"/>
            </w:tcBorders>
            <w:shd w:val="clear" w:color="000000" w:fill="CCFFCC"/>
          </w:tcPr>
          <w:p w:rsidR="00986223" w:rsidRPr="00D55DC6" w:rsidRDefault="00986223" w:rsidP="00986223">
            <w:pPr>
              <w:widowControl/>
              <w:snapToGrid w:val="0"/>
              <w:jc w:val="both"/>
              <w:rPr>
                <w:rFonts w:eastAsia="標楷體"/>
                <w:kern w:val="0"/>
              </w:rPr>
            </w:pPr>
            <w:r w:rsidRPr="00D55DC6">
              <w:rPr>
                <w:rFonts w:eastAsia="標楷體"/>
                <w:kern w:val="0"/>
                <w:szCs w:val="22"/>
              </w:rPr>
              <w:t>(1)</w:t>
            </w:r>
            <w:r w:rsidRPr="00D55DC6">
              <w:rPr>
                <w:rFonts w:eastAsia="標楷體"/>
                <w:kern w:val="0"/>
                <w:szCs w:val="22"/>
              </w:rPr>
              <w:t>先期規劃設計</w:t>
            </w:r>
          </w:p>
        </w:tc>
        <w:tc>
          <w:tcPr>
            <w:tcW w:w="716" w:type="dxa"/>
            <w:tcBorders>
              <w:top w:val="nil"/>
              <w:left w:val="nil"/>
              <w:bottom w:val="single" w:sz="8" w:space="0" w:color="auto"/>
              <w:right w:val="single" w:sz="8" w:space="0" w:color="auto"/>
            </w:tcBorders>
            <w:shd w:val="clear" w:color="000000" w:fill="CCFFCC"/>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0.200 </w:t>
            </w:r>
          </w:p>
        </w:tc>
        <w:tc>
          <w:tcPr>
            <w:tcW w:w="716" w:type="dxa"/>
            <w:tcBorders>
              <w:top w:val="nil"/>
              <w:left w:val="nil"/>
              <w:bottom w:val="single" w:sz="8" w:space="0" w:color="auto"/>
              <w:right w:val="single" w:sz="8" w:space="0" w:color="auto"/>
            </w:tcBorders>
            <w:shd w:val="clear" w:color="000000" w:fill="CCFFCC"/>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0.200 </w:t>
            </w:r>
          </w:p>
        </w:tc>
        <w:tc>
          <w:tcPr>
            <w:tcW w:w="716" w:type="dxa"/>
            <w:tcBorders>
              <w:top w:val="nil"/>
              <w:left w:val="nil"/>
              <w:bottom w:val="single" w:sz="8" w:space="0" w:color="auto"/>
              <w:right w:val="single" w:sz="8" w:space="0" w:color="auto"/>
            </w:tcBorders>
            <w:shd w:val="clear" w:color="000000" w:fill="CCFFCC"/>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0.200 </w:t>
            </w:r>
          </w:p>
        </w:tc>
        <w:tc>
          <w:tcPr>
            <w:tcW w:w="716" w:type="dxa"/>
            <w:tcBorders>
              <w:top w:val="nil"/>
              <w:left w:val="nil"/>
              <w:bottom w:val="single" w:sz="8" w:space="0" w:color="auto"/>
              <w:right w:val="single" w:sz="8" w:space="0" w:color="auto"/>
            </w:tcBorders>
            <w:shd w:val="clear" w:color="000000" w:fill="CCFFCC"/>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0.200 </w:t>
            </w:r>
          </w:p>
        </w:tc>
        <w:tc>
          <w:tcPr>
            <w:tcW w:w="783" w:type="dxa"/>
            <w:tcBorders>
              <w:top w:val="nil"/>
              <w:left w:val="nil"/>
              <w:bottom w:val="single" w:sz="8" w:space="0" w:color="auto"/>
              <w:right w:val="single" w:sz="8" w:space="0" w:color="auto"/>
            </w:tcBorders>
            <w:shd w:val="clear" w:color="000000" w:fill="CCFFFF"/>
            <w:vAlign w:val="center"/>
          </w:tcPr>
          <w:p w:rsidR="00986223" w:rsidRPr="00D55DC6" w:rsidRDefault="00986223" w:rsidP="00986223">
            <w:pPr>
              <w:widowControl/>
              <w:snapToGrid w:val="0"/>
              <w:jc w:val="right"/>
              <w:rPr>
                <w:rFonts w:eastAsia="標楷體"/>
                <w:b/>
                <w:bCs/>
                <w:kern w:val="0"/>
              </w:rPr>
            </w:pPr>
            <w:r w:rsidRPr="00D55DC6">
              <w:rPr>
                <w:rFonts w:eastAsia="標楷體"/>
                <w:b/>
                <w:bCs/>
                <w:kern w:val="0"/>
                <w:szCs w:val="22"/>
              </w:rPr>
              <w:t xml:space="preserve">  0.800 </w:t>
            </w:r>
          </w:p>
        </w:tc>
        <w:tc>
          <w:tcPr>
            <w:tcW w:w="1618" w:type="dxa"/>
            <w:tcBorders>
              <w:top w:val="nil"/>
              <w:left w:val="nil"/>
              <w:bottom w:val="single" w:sz="8" w:space="0" w:color="auto"/>
              <w:right w:val="single" w:sz="8" w:space="0" w:color="auto"/>
            </w:tcBorders>
          </w:tcPr>
          <w:p w:rsidR="00986223" w:rsidRPr="00D55DC6" w:rsidRDefault="00986223" w:rsidP="00986223">
            <w:pPr>
              <w:widowControl/>
              <w:snapToGrid w:val="0"/>
              <w:jc w:val="both"/>
              <w:rPr>
                <w:rFonts w:eastAsia="標楷體"/>
                <w:snapToGrid w:val="0"/>
                <w:spacing w:val="-20"/>
                <w:kern w:val="0"/>
              </w:rPr>
            </w:pPr>
            <w:r w:rsidRPr="00D55DC6">
              <w:rPr>
                <w:rFonts w:eastAsia="標楷體"/>
                <w:snapToGrid w:val="0"/>
                <w:spacing w:val="-20"/>
                <w:kern w:val="0"/>
                <w:szCs w:val="22"/>
              </w:rPr>
              <w:t>全區各項觀光資源調查研究及工程先期規劃設計</w:t>
            </w:r>
          </w:p>
        </w:tc>
      </w:tr>
      <w:tr w:rsidR="001D0350" w:rsidRPr="00D55DC6" w:rsidTr="00986223">
        <w:trPr>
          <w:trHeight w:val="50"/>
        </w:trPr>
        <w:tc>
          <w:tcPr>
            <w:tcW w:w="399" w:type="dxa"/>
            <w:vMerge/>
            <w:tcBorders>
              <w:top w:val="nil"/>
              <w:left w:val="single" w:sz="8" w:space="0" w:color="auto"/>
              <w:bottom w:val="nil"/>
              <w:right w:val="single" w:sz="8" w:space="0" w:color="auto"/>
            </w:tcBorders>
            <w:vAlign w:val="center"/>
          </w:tcPr>
          <w:p w:rsidR="00986223" w:rsidRPr="00D55DC6" w:rsidRDefault="00986223" w:rsidP="00986223">
            <w:pPr>
              <w:widowControl/>
              <w:snapToGrid w:val="0"/>
              <w:rPr>
                <w:rFonts w:eastAsia="標楷體"/>
                <w:kern w:val="0"/>
              </w:rPr>
            </w:pPr>
          </w:p>
        </w:tc>
        <w:tc>
          <w:tcPr>
            <w:tcW w:w="889"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1098"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2151" w:type="dxa"/>
            <w:tcBorders>
              <w:top w:val="nil"/>
              <w:left w:val="nil"/>
              <w:bottom w:val="single" w:sz="8" w:space="0" w:color="auto"/>
              <w:right w:val="single" w:sz="8" w:space="0" w:color="auto"/>
            </w:tcBorders>
            <w:shd w:val="clear" w:color="000000" w:fill="CCFFCC"/>
          </w:tcPr>
          <w:p w:rsidR="00986223" w:rsidRPr="00D55DC6" w:rsidRDefault="00986223" w:rsidP="00986223">
            <w:pPr>
              <w:widowControl/>
              <w:snapToGrid w:val="0"/>
              <w:jc w:val="both"/>
              <w:rPr>
                <w:rFonts w:eastAsia="標楷體"/>
                <w:kern w:val="0"/>
                <w:szCs w:val="22"/>
              </w:rPr>
            </w:pPr>
            <w:r w:rsidRPr="00D55DC6">
              <w:rPr>
                <w:rFonts w:eastAsia="標楷體"/>
                <w:kern w:val="0"/>
                <w:szCs w:val="22"/>
              </w:rPr>
              <w:t>(2)</w:t>
            </w:r>
            <w:r w:rsidRPr="00D55DC6">
              <w:rPr>
                <w:rFonts w:eastAsia="標楷體"/>
                <w:kern w:val="0"/>
                <w:szCs w:val="22"/>
              </w:rPr>
              <w:t>國際觀光重要景點</w:t>
            </w:r>
          </w:p>
        </w:tc>
        <w:tc>
          <w:tcPr>
            <w:tcW w:w="716" w:type="dxa"/>
            <w:tcBorders>
              <w:top w:val="nil"/>
              <w:left w:val="nil"/>
              <w:bottom w:val="single" w:sz="8" w:space="0" w:color="auto"/>
              <w:right w:val="single" w:sz="8" w:space="0" w:color="auto"/>
            </w:tcBorders>
            <w:shd w:val="clear" w:color="000000" w:fill="CCFFCC"/>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0.830 </w:t>
            </w:r>
          </w:p>
        </w:tc>
        <w:tc>
          <w:tcPr>
            <w:tcW w:w="716" w:type="dxa"/>
            <w:tcBorders>
              <w:top w:val="nil"/>
              <w:left w:val="nil"/>
              <w:bottom w:val="single" w:sz="8" w:space="0" w:color="auto"/>
              <w:right w:val="single" w:sz="8" w:space="0" w:color="auto"/>
            </w:tcBorders>
            <w:shd w:val="clear" w:color="auto" w:fill="CCFFCC"/>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0.700 </w:t>
            </w:r>
          </w:p>
        </w:tc>
        <w:tc>
          <w:tcPr>
            <w:tcW w:w="716" w:type="dxa"/>
            <w:tcBorders>
              <w:top w:val="nil"/>
              <w:left w:val="nil"/>
              <w:bottom w:val="single" w:sz="8" w:space="0" w:color="auto"/>
              <w:right w:val="single" w:sz="8" w:space="0" w:color="auto"/>
            </w:tcBorders>
            <w:shd w:val="clear" w:color="000000" w:fill="CCFFCC"/>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0.700 </w:t>
            </w:r>
          </w:p>
        </w:tc>
        <w:tc>
          <w:tcPr>
            <w:tcW w:w="716" w:type="dxa"/>
            <w:tcBorders>
              <w:top w:val="nil"/>
              <w:left w:val="nil"/>
              <w:bottom w:val="single" w:sz="8" w:space="0" w:color="auto"/>
              <w:right w:val="single" w:sz="8" w:space="0" w:color="auto"/>
            </w:tcBorders>
            <w:shd w:val="clear" w:color="000000" w:fill="CCFFCC"/>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0.600 </w:t>
            </w:r>
          </w:p>
        </w:tc>
        <w:tc>
          <w:tcPr>
            <w:tcW w:w="783" w:type="dxa"/>
            <w:tcBorders>
              <w:top w:val="nil"/>
              <w:left w:val="nil"/>
              <w:bottom w:val="single" w:sz="8" w:space="0" w:color="auto"/>
              <w:right w:val="single" w:sz="8" w:space="0" w:color="auto"/>
            </w:tcBorders>
            <w:shd w:val="clear" w:color="000000" w:fill="CCFFFF"/>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 2.830 </w:t>
            </w:r>
          </w:p>
        </w:tc>
        <w:tc>
          <w:tcPr>
            <w:tcW w:w="1618" w:type="dxa"/>
            <w:tcBorders>
              <w:top w:val="nil"/>
              <w:left w:val="single" w:sz="8" w:space="0" w:color="auto"/>
              <w:bottom w:val="single" w:sz="4" w:space="0" w:color="auto"/>
              <w:right w:val="single" w:sz="8" w:space="0" w:color="auto"/>
            </w:tcBorders>
            <w:vAlign w:val="center"/>
          </w:tcPr>
          <w:p w:rsidR="00986223" w:rsidRPr="00D55DC6" w:rsidRDefault="00986223" w:rsidP="00986223">
            <w:pPr>
              <w:widowControl/>
              <w:snapToGrid w:val="0"/>
              <w:spacing w:line="280" w:lineRule="exact"/>
              <w:rPr>
                <w:rFonts w:eastAsia="標楷體"/>
                <w:snapToGrid w:val="0"/>
                <w:spacing w:val="-20"/>
                <w:kern w:val="0"/>
              </w:rPr>
            </w:pPr>
          </w:p>
        </w:tc>
      </w:tr>
      <w:tr w:rsidR="001D0350" w:rsidRPr="00D55DC6" w:rsidTr="00986223">
        <w:trPr>
          <w:trHeight w:val="50"/>
        </w:trPr>
        <w:tc>
          <w:tcPr>
            <w:tcW w:w="399" w:type="dxa"/>
            <w:vMerge/>
            <w:tcBorders>
              <w:top w:val="nil"/>
              <w:left w:val="single" w:sz="8" w:space="0" w:color="auto"/>
              <w:bottom w:val="nil"/>
              <w:right w:val="single" w:sz="8" w:space="0" w:color="auto"/>
            </w:tcBorders>
            <w:vAlign w:val="center"/>
          </w:tcPr>
          <w:p w:rsidR="00986223" w:rsidRPr="00D55DC6" w:rsidRDefault="00986223" w:rsidP="00986223">
            <w:pPr>
              <w:widowControl/>
              <w:snapToGrid w:val="0"/>
              <w:rPr>
                <w:rFonts w:eastAsia="標楷體"/>
                <w:kern w:val="0"/>
              </w:rPr>
            </w:pPr>
          </w:p>
        </w:tc>
        <w:tc>
          <w:tcPr>
            <w:tcW w:w="889"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1098"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2151"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both"/>
              <w:rPr>
                <w:rFonts w:eastAsia="標楷體"/>
                <w:kern w:val="0"/>
                <w:szCs w:val="22"/>
              </w:rPr>
            </w:pPr>
            <w:r w:rsidRPr="00D55DC6">
              <w:rPr>
                <w:rFonts w:eastAsia="標楷體"/>
                <w:kern w:val="0"/>
                <w:szCs w:val="22"/>
              </w:rPr>
              <w:t>A.</w:t>
            </w:r>
            <w:r w:rsidRPr="00D55DC6">
              <w:rPr>
                <w:rFonts w:eastAsia="標楷體"/>
                <w:kern w:val="0"/>
                <w:szCs w:val="22"/>
              </w:rPr>
              <w:t>馬公本島系統</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 xml:space="preserve">0.180 </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 xml:space="preserve">0.250 </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 xml:space="preserve">0.250 </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 xml:space="preserve">0.600 </w:t>
            </w:r>
          </w:p>
        </w:tc>
        <w:tc>
          <w:tcPr>
            <w:tcW w:w="783" w:type="dxa"/>
            <w:tcBorders>
              <w:top w:val="single" w:sz="4" w:space="0" w:color="auto"/>
              <w:left w:val="nil"/>
              <w:bottom w:val="single" w:sz="8" w:space="0" w:color="auto"/>
              <w:right w:val="single" w:sz="8" w:space="0" w:color="auto"/>
            </w:tcBorders>
            <w:shd w:val="clear" w:color="000000" w:fill="CCFFFF"/>
            <w:vAlign w:val="center"/>
          </w:tcPr>
          <w:p w:rsidR="00986223" w:rsidRPr="00D55DC6" w:rsidRDefault="00986223" w:rsidP="00986223">
            <w:pPr>
              <w:widowControl/>
              <w:snapToGrid w:val="0"/>
              <w:jc w:val="right"/>
              <w:rPr>
                <w:rFonts w:eastAsia="標楷體"/>
                <w:kern w:val="0"/>
              </w:rPr>
            </w:pPr>
            <w:r w:rsidRPr="00D55DC6">
              <w:rPr>
                <w:rFonts w:eastAsia="標楷體"/>
                <w:kern w:val="0"/>
              </w:rPr>
              <w:t xml:space="preserve"> 1.280 </w:t>
            </w:r>
          </w:p>
        </w:tc>
        <w:tc>
          <w:tcPr>
            <w:tcW w:w="1618" w:type="dxa"/>
            <w:tcBorders>
              <w:top w:val="single" w:sz="4" w:space="0" w:color="auto"/>
              <w:left w:val="single" w:sz="8" w:space="0" w:color="auto"/>
              <w:bottom w:val="single" w:sz="4" w:space="0" w:color="auto"/>
              <w:right w:val="single" w:sz="8" w:space="0" w:color="auto"/>
            </w:tcBorders>
          </w:tcPr>
          <w:p w:rsidR="00986223" w:rsidRPr="00D55DC6" w:rsidRDefault="00986223" w:rsidP="00986223">
            <w:pPr>
              <w:adjustRightInd w:val="0"/>
              <w:snapToGrid w:val="0"/>
              <w:spacing w:line="280" w:lineRule="exact"/>
              <w:jc w:val="both"/>
              <w:rPr>
                <w:rFonts w:eastAsia="標楷體"/>
                <w:snapToGrid w:val="0"/>
                <w:spacing w:val="-20"/>
                <w:kern w:val="0"/>
              </w:rPr>
            </w:pPr>
            <w:r w:rsidRPr="00D55DC6">
              <w:rPr>
                <w:rFonts w:eastAsia="標楷體"/>
                <w:snapToGrid w:val="0"/>
                <w:spacing w:val="-20"/>
                <w:kern w:val="0"/>
              </w:rPr>
              <w:t>1.</w:t>
            </w:r>
            <w:r w:rsidRPr="00D55DC6">
              <w:rPr>
                <w:rFonts w:eastAsia="標楷體"/>
                <w:snapToGrid w:val="0"/>
                <w:spacing w:val="-20"/>
                <w:kern w:val="0"/>
              </w:rPr>
              <w:t>馬公本島系統</w:t>
            </w:r>
            <w:r w:rsidRPr="00D55DC6">
              <w:rPr>
                <w:rFonts w:eastAsia="標楷體"/>
                <w:snapToGrid w:val="0"/>
                <w:spacing w:val="-20"/>
                <w:kern w:val="0"/>
              </w:rPr>
              <w:t>(</w:t>
            </w:r>
            <w:r w:rsidRPr="00D55DC6">
              <w:rPr>
                <w:rFonts w:eastAsia="標楷體"/>
                <w:snapToGrid w:val="0"/>
                <w:spacing w:val="-20"/>
                <w:kern w:val="0"/>
              </w:rPr>
              <w:t>馬公觀光都市：澎湖遊客中心設施改善工程、澎湖遊客中心內裝改善工程、湖西次系統：隘門遊憩區沙灘聯外道路興建工程、白沙次系統：中屯風力園區服務設施改善工程、通梁古榕遊憩設施及停車場改善工程</w:t>
            </w:r>
            <w:r w:rsidRPr="00D55DC6">
              <w:rPr>
                <w:rFonts w:eastAsia="標楷體"/>
                <w:snapToGrid w:val="0"/>
                <w:spacing w:val="-20"/>
                <w:kern w:val="0"/>
              </w:rPr>
              <w:t>)</w:t>
            </w:r>
          </w:p>
          <w:p w:rsidR="00986223" w:rsidRPr="00D55DC6" w:rsidRDefault="00986223" w:rsidP="00986223">
            <w:pPr>
              <w:widowControl/>
              <w:snapToGrid w:val="0"/>
              <w:spacing w:line="280" w:lineRule="exact"/>
              <w:jc w:val="both"/>
              <w:rPr>
                <w:rFonts w:eastAsia="標楷體"/>
                <w:snapToGrid w:val="0"/>
                <w:spacing w:val="-20"/>
                <w:kern w:val="0"/>
              </w:rPr>
            </w:pPr>
            <w:r w:rsidRPr="00D55DC6">
              <w:rPr>
                <w:rFonts w:eastAsia="標楷體"/>
                <w:snapToGrid w:val="0"/>
                <w:spacing w:val="-20"/>
                <w:kern w:val="0"/>
              </w:rPr>
              <w:t>2.</w:t>
            </w:r>
            <w:r w:rsidRPr="00D55DC6">
              <w:rPr>
                <w:rFonts w:eastAsia="標楷體"/>
                <w:snapToGrid w:val="0"/>
                <w:spacing w:val="-20"/>
                <w:kern w:val="0"/>
              </w:rPr>
              <w:t>西嶼次系統</w:t>
            </w:r>
            <w:r w:rsidRPr="00D55DC6">
              <w:rPr>
                <w:rFonts w:eastAsia="標楷體"/>
                <w:snapToGrid w:val="0"/>
                <w:spacing w:val="-20"/>
                <w:kern w:val="0"/>
              </w:rPr>
              <w:t>(</w:t>
            </w:r>
            <w:r w:rsidRPr="00D55DC6">
              <w:rPr>
                <w:rFonts w:eastAsia="標楷體"/>
                <w:snapToGrid w:val="0"/>
                <w:spacing w:val="-20"/>
                <w:kern w:val="0"/>
              </w:rPr>
              <w:t>二崁古厝行人徒步區改善工程</w:t>
            </w:r>
            <w:r w:rsidRPr="00D55DC6">
              <w:rPr>
                <w:rFonts w:eastAsia="標楷體"/>
                <w:snapToGrid w:val="0"/>
                <w:spacing w:val="-20"/>
                <w:kern w:val="0"/>
              </w:rPr>
              <w:t>)</w:t>
            </w:r>
          </w:p>
        </w:tc>
      </w:tr>
      <w:tr w:rsidR="001D0350" w:rsidRPr="00D55DC6" w:rsidTr="00986223">
        <w:trPr>
          <w:trHeight w:val="50"/>
        </w:trPr>
        <w:tc>
          <w:tcPr>
            <w:tcW w:w="399" w:type="dxa"/>
            <w:vMerge/>
            <w:tcBorders>
              <w:top w:val="nil"/>
              <w:left w:val="single" w:sz="8" w:space="0" w:color="auto"/>
              <w:bottom w:val="nil"/>
              <w:right w:val="single" w:sz="8" w:space="0" w:color="auto"/>
            </w:tcBorders>
            <w:vAlign w:val="center"/>
          </w:tcPr>
          <w:p w:rsidR="00986223" w:rsidRPr="00D55DC6" w:rsidRDefault="00986223" w:rsidP="00986223">
            <w:pPr>
              <w:widowControl/>
              <w:snapToGrid w:val="0"/>
              <w:rPr>
                <w:rFonts w:eastAsia="標楷體"/>
                <w:kern w:val="0"/>
              </w:rPr>
            </w:pPr>
          </w:p>
        </w:tc>
        <w:tc>
          <w:tcPr>
            <w:tcW w:w="889"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1098"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2151"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both"/>
              <w:rPr>
                <w:rFonts w:eastAsia="標楷體"/>
                <w:kern w:val="0"/>
                <w:szCs w:val="22"/>
              </w:rPr>
            </w:pPr>
            <w:r w:rsidRPr="00D55DC6">
              <w:rPr>
                <w:rFonts w:eastAsia="標楷體"/>
                <w:kern w:val="0"/>
                <w:szCs w:val="22"/>
              </w:rPr>
              <w:t>B.</w:t>
            </w:r>
            <w:r w:rsidRPr="00D55DC6">
              <w:rPr>
                <w:rFonts w:eastAsia="標楷體"/>
                <w:kern w:val="0"/>
                <w:szCs w:val="22"/>
              </w:rPr>
              <w:t>北海系統</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0.300</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0.250</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0.150</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0.000</w:t>
            </w:r>
          </w:p>
        </w:tc>
        <w:tc>
          <w:tcPr>
            <w:tcW w:w="783" w:type="dxa"/>
            <w:tcBorders>
              <w:top w:val="single" w:sz="4" w:space="0" w:color="auto"/>
              <w:left w:val="nil"/>
              <w:bottom w:val="single" w:sz="8" w:space="0" w:color="auto"/>
              <w:right w:val="single" w:sz="8" w:space="0" w:color="auto"/>
            </w:tcBorders>
            <w:shd w:val="clear" w:color="000000" w:fill="CCFFFF"/>
            <w:vAlign w:val="center"/>
          </w:tcPr>
          <w:p w:rsidR="00986223" w:rsidRPr="00D55DC6" w:rsidRDefault="00986223" w:rsidP="00986223">
            <w:pPr>
              <w:widowControl/>
              <w:snapToGrid w:val="0"/>
              <w:jc w:val="right"/>
              <w:rPr>
                <w:rFonts w:eastAsia="標楷體"/>
                <w:kern w:val="0"/>
              </w:rPr>
            </w:pPr>
            <w:r w:rsidRPr="00D55DC6">
              <w:rPr>
                <w:rFonts w:eastAsia="標楷體"/>
                <w:kern w:val="0"/>
              </w:rPr>
              <w:t xml:space="preserve"> 0.700 </w:t>
            </w:r>
          </w:p>
        </w:tc>
        <w:tc>
          <w:tcPr>
            <w:tcW w:w="1618" w:type="dxa"/>
            <w:tcBorders>
              <w:top w:val="single" w:sz="4" w:space="0" w:color="auto"/>
              <w:left w:val="single" w:sz="8" w:space="0" w:color="auto"/>
              <w:bottom w:val="single" w:sz="4" w:space="0" w:color="auto"/>
              <w:right w:val="single" w:sz="8" w:space="0" w:color="auto"/>
            </w:tcBorders>
          </w:tcPr>
          <w:p w:rsidR="00986223" w:rsidRPr="00D55DC6" w:rsidRDefault="00986223" w:rsidP="00986223">
            <w:pPr>
              <w:widowControl/>
              <w:snapToGrid w:val="0"/>
              <w:spacing w:line="280" w:lineRule="exact"/>
              <w:jc w:val="both"/>
              <w:rPr>
                <w:rFonts w:eastAsia="標楷體"/>
                <w:snapToGrid w:val="0"/>
                <w:spacing w:val="-20"/>
                <w:kern w:val="0"/>
              </w:rPr>
            </w:pPr>
            <w:r w:rsidRPr="00D55DC6">
              <w:rPr>
                <w:rFonts w:eastAsia="標楷體"/>
                <w:snapToGrid w:val="0"/>
                <w:spacing w:val="-20"/>
                <w:kern w:val="0"/>
              </w:rPr>
              <w:t>北海次系統：吉貝沙尾服務設施改善工程第</w:t>
            </w:r>
            <w:r w:rsidRPr="00D55DC6">
              <w:rPr>
                <w:rFonts w:eastAsia="標楷體"/>
                <w:snapToGrid w:val="0"/>
                <w:spacing w:val="-20"/>
                <w:kern w:val="0"/>
              </w:rPr>
              <w:t>1</w:t>
            </w:r>
            <w:r w:rsidRPr="00D55DC6">
              <w:rPr>
                <w:rFonts w:eastAsia="標楷體"/>
                <w:snapToGrid w:val="0"/>
                <w:spacing w:val="-20"/>
                <w:kern w:val="0"/>
              </w:rPr>
              <w:t>期及第</w:t>
            </w:r>
            <w:r w:rsidRPr="00D55DC6">
              <w:rPr>
                <w:rFonts w:eastAsia="標楷體"/>
                <w:snapToGrid w:val="0"/>
                <w:spacing w:val="-20"/>
                <w:kern w:val="0"/>
              </w:rPr>
              <w:t>2</w:t>
            </w:r>
            <w:r w:rsidRPr="00D55DC6">
              <w:rPr>
                <w:rFonts w:eastAsia="標楷體"/>
                <w:snapToGrid w:val="0"/>
                <w:spacing w:val="-20"/>
                <w:kern w:val="0"/>
              </w:rPr>
              <w:t>期、吉貝遊憩區服務設施整建工程</w:t>
            </w:r>
          </w:p>
          <w:p w:rsidR="00986223" w:rsidRPr="00D55DC6" w:rsidRDefault="00986223" w:rsidP="00986223">
            <w:pPr>
              <w:widowControl/>
              <w:snapToGrid w:val="0"/>
              <w:spacing w:line="280" w:lineRule="exact"/>
              <w:jc w:val="both"/>
              <w:rPr>
                <w:rFonts w:eastAsia="標楷體"/>
                <w:snapToGrid w:val="0"/>
                <w:spacing w:val="-20"/>
                <w:kern w:val="0"/>
              </w:rPr>
            </w:pPr>
          </w:p>
          <w:p w:rsidR="00986223" w:rsidRPr="00D55DC6" w:rsidRDefault="00986223" w:rsidP="00986223">
            <w:pPr>
              <w:widowControl/>
              <w:snapToGrid w:val="0"/>
              <w:spacing w:line="280" w:lineRule="exact"/>
              <w:jc w:val="both"/>
              <w:rPr>
                <w:rFonts w:eastAsia="標楷體"/>
                <w:snapToGrid w:val="0"/>
                <w:spacing w:val="-20"/>
                <w:kern w:val="0"/>
              </w:rPr>
            </w:pPr>
          </w:p>
        </w:tc>
      </w:tr>
      <w:tr w:rsidR="001D0350" w:rsidRPr="00D55DC6" w:rsidTr="00986223">
        <w:trPr>
          <w:trHeight w:val="50"/>
        </w:trPr>
        <w:tc>
          <w:tcPr>
            <w:tcW w:w="399" w:type="dxa"/>
            <w:vMerge/>
            <w:tcBorders>
              <w:top w:val="nil"/>
              <w:left w:val="single" w:sz="8" w:space="0" w:color="auto"/>
              <w:bottom w:val="nil"/>
              <w:right w:val="single" w:sz="8" w:space="0" w:color="auto"/>
            </w:tcBorders>
            <w:vAlign w:val="center"/>
          </w:tcPr>
          <w:p w:rsidR="00986223" w:rsidRPr="00D55DC6" w:rsidRDefault="00986223" w:rsidP="00986223">
            <w:pPr>
              <w:widowControl/>
              <w:snapToGrid w:val="0"/>
              <w:rPr>
                <w:rFonts w:eastAsia="標楷體"/>
                <w:kern w:val="0"/>
              </w:rPr>
            </w:pPr>
          </w:p>
        </w:tc>
        <w:tc>
          <w:tcPr>
            <w:tcW w:w="889"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1098"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2151"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both"/>
              <w:rPr>
                <w:rFonts w:eastAsia="標楷體"/>
                <w:kern w:val="0"/>
                <w:szCs w:val="22"/>
              </w:rPr>
            </w:pPr>
            <w:r w:rsidRPr="00D55DC6">
              <w:rPr>
                <w:rFonts w:eastAsia="標楷體"/>
                <w:kern w:val="0"/>
                <w:szCs w:val="22"/>
              </w:rPr>
              <w:t>C.</w:t>
            </w:r>
            <w:r w:rsidRPr="00D55DC6">
              <w:rPr>
                <w:rFonts w:eastAsia="標楷體"/>
                <w:kern w:val="0"/>
                <w:szCs w:val="22"/>
              </w:rPr>
              <w:t>南海系統</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 xml:space="preserve"> 0.350 </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 xml:space="preserve"> 0.200 </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 xml:space="preserve"> 0.300 </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 xml:space="preserve">0.000 </w:t>
            </w:r>
          </w:p>
        </w:tc>
        <w:tc>
          <w:tcPr>
            <w:tcW w:w="783" w:type="dxa"/>
            <w:tcBorders>
              <w:top w:val="single" w:sz="4" w:space="0" w:color="auto"/>
              <w:left w:val="nil"/>
              <w:bottom w:val="single" w:sz="8" w:space="0" w:color="auto"/>
              <w:right w:val="single" w:sz="8" w:space="0" w:color="auto"/>
            </w:tcBorders>
            <w:shd w:val="clear" w:color="000000" w:fill="CCFFFF"/>
            <w:vAlign w:val="center"/>
          </w:tcPr>
          <w:p w:rsidR="00986223" w:rsidRPr="00D55DC6" w:rsidRDefault="00986223" w:rsidP="00986223">
            <w:pPr>
              <w:widowControl/>
              <w:snapToGrid w:val="0"/>
              <w:jc w:val="right"/>
              <w:rPr>
                <w:rFonts w:eastAsia="標楷體"/>
                <w:kern w:val="0"/>
              </w:rPr>
            </w:pPr>
            <w:r w:rsidRPr="00D55DC6">
              <w:rPr>
                <w:rFonts w:eastAsia="標楷體"/>
                <w:kern w:val="0"/>
              </w:rPr>
              <w:t xml:space="preserve"> 0.850 </w:t>
            </w:r>
          </w:p>
        </w:tc>
        <w:tc>
          <w:tcPr>
            <w:tcW w:w="1618" w:type="dxa"/>
            <w:tcBorders>
              <w:top w:val="single" w:sz="4" w:space="0" w:color="auto"/>
              <w:left w:val="single" w:sz="8" w:space="0" w:color="auto"/>
              <w:bottom w:val="nil"/>
              <w:right w:val="single" w:sz="8" w:space="0" w:color="auto"/>
            </w:tcBorders>
          </w:tcPr>
          <w:p w:rsidR="00986223" w:rsidRPr="00D55DC6" w:rsidRDefault="00986223" w:rsidP="00986223">
            <w:pPr>
              <w:adjustRightInd w:val="0"/>
              <w:snapToGrid w:val="0"/>
              <w:spacing w:line="280" w:lineRule="exact"/>
              <w:jc w:val="both"/>
              <w:rPr>
                <w:rFonts w:eastAsia="標楷體"/>
                <w:snapToGrid w:val="0"/>
                <w:spacing w:val="-20"/>
                <w:kern w:val="0"/>
              </w:rPr>
            </w:pPr>
            <w:r w:rsidRPr="00D55DC6">
              <w:rPr>
                <w:rFonts w:eastAsia="標楷體"/>
                <w:snapToGrid w:val="0"/>
                <w:spacing w:val="-20"/>
                <w:kern w:val="0"/>
              </w:rPr>
              <w:t>1.</w:t>
            </w:r>
            <w:r w:rsidRPr="00D55DC6">
              <w:rPr>
                <w:rFonts w:eastAsia="標楷體"/>
                <w:snapToGrid w:val="0"/>
                <w:spacing w:val="-20"/>
                <w:kern w:val="0"/>
              </w:rPr>
              <w:t>虎井桶盤次系統：虎井遊憩區環境及設施改善工程、桶盤嶼地質公園環境及設施改善工程、桶盤嶼地質公園浮動碼頭及公廁改善工程</w:t>
            </w:r>
          </w:p>
          <w:p w:rsidR="00986223" w:rsidRPr="00D55DC6" w:rsidRDefault="00986223" w:rsidP="00986223">
            <w:pPr>
              <w:widowControl/>
              <w:snapToGrid w:val="0"/>
              <w:spacing w:line="280" w:lineRule="exact"/>
              <w:jc w:val="both"/>
              <w:rPr>
                <w:rFonts w:eastAsia="標楷體"/>
                <w:snapToGrid w:val="0"/>
                <w:spacing w:val="-20"/>
                <w:kern w:val="0"/>
              </w:rPr>
            </w:pPr>
            <w:r w:rsidRPr="00D55DC6">
              <w:rPr>
                <w:rFonts w:eastAsia="標楷體"/>
                <w:snapToGrid w:val="0"/>
                <w:spacing w:val="-20"/>
                <w:kern w:val="0"/>
              </w:rPr>
              <w:t>2.</w:t>
            </w:r>
            <w:r w:rsidRPr="00D55DC6">
              <w:rPr>
                <w:rFonts w:eastAsia="標楷體"/>
                <w:snapToGrid w:val="0"/>
                <w:spacing w:val="-20"/>
                <w:kern w:val="0"/>
              </w:rPr>
              <w:t>望安次系統：望安綠蠵龜保育中心景觀改善工程</w:t>
            </w:r>
          </w:p>
        </w:tc>
      </w:tr>
      <w:tr w:rsidR="001D0350" w:rsidRPr="00D55DC6" w:rsidTr="00986223">
        <w:trPr>
          <w:trHeight w:val="255"/>
        </w:trPr>
        <w:tc>
          <w:tcPr>
            <w:tcW w:w="399" w:type="dxa"/>
            <w:vMerge/>
            <w:tcBorders>
              <w:top w:val="nil"/>
              <w:left w:val="single" w:sz="8" w:space="0" w:color="auto"/>
              <w:bottom w:val="nil"/>
              <w:right w:val="single" w:sz="8" w:space="0" w:color="auto"/>
            </w:tcBorders>
            <w:vAlign w:val="center"/>
          </w:tcPr>
          <w:p w:rsidR="00986223" w:rsidRPr="00D55DC6" w:rsidRDefault="00986223" w:rsidP="00986223">
            <w:pPr>
              <w:widowControl/>
              <w:snapToGrid w:val="0"/>
              <w:rPr>
                <w:rFonts w:eastAsia="標楷體"/>
                <w:kern w:val="0"/>
              </w:rPr>
            </w:pPr>
          </w:p>
        </w:tc>
        <w:tc>
          <w:tcPr>
            <w:tcW w:w="889"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1098"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2151" w:type="dxa"/>
            <w:tcBorders>
              <w:top w:val="nil"/>
              <w:left w:val="nil"/>
              <w:bottom w:val="single" w:sz="8" w:space="0" w:color="auto"/>
              <w:right w:val="single" w:sz="8" w:space="0" w:color="auto"/>
            </w:tcBorders>
            <w:shd w:val="clear" w:color="000000" w:fill="CCFFCC"/>
            <w:vAlign w:val="center"/>
          </w:tcPr>
          <w:p w:rsidR="00986223" w:rsidRPr="00D55DC6" w:rsidRDefault="00986223" w:rsidP="00986223">
            <w:pPr>
              <w:widowControl/>
              <w:snapToGrid w:val="0"/>
              <w:jc w:val="both"/>
              <w:rPr>
                <w:rFonts w:eastAsia="標楷體"/>
                <w:kern w:val="0"/>
                <w:sz w:val="22"/>
                <w:szCs w:val="22"/>
              </w:rPr>
            </w:pPr>
            <w:r w:rsidRPr="00D55DC6">
              <w:rPr>
                <w:rFonts w:eastAsia="標楷體"/>
                <w:sz w:val="22"/>
                <w:szCs w:val="22"/>
              </w:rPr>
              <w:t>（</w:t>
            </w:r>
            <w:r w:rsidRPr="00D55DC6">
              <w:rPr>
                <w:rFonts w:eastAsia="標楷體"/>
                <w:sz w:val="22"/>
                <w:szCs w:val="22"/>
              </w:rPr>
              <w:t>3</w:t>
            </w:r>
            <w:r w:rsidRPr="00D55DC6">
              <w:rPr>
                <w:rFonts w:eastAsia="標楷體"/>
                <w:sz w:val="22"/>
                <w:szCs w:val="22"/>
              </w:rPr>
              <w:t>）國內觀光重要景點</w:t>
            </w:r>
          </w:p>
        </w:tc>
        <w:tc>
          <w:tcPr>
            <w:tcW w:w="716" w:type="dxa"/>
            <w:tcBorders>
              <w:top w:val="nil"/>
              <w:left w:val="nil"/>
              <w:bottom w:val="single" w:sz="8" w:space="0" w:color="auto"/>
              <w:right w:val="single" w:sz="8" w:space="0" w:color="auto"/>
            </w:tcBorders>
            <w:shd w:val="clear" w:color="000000" w:fill="CCFFCC"/>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0.550 </w:t>
            </w:r>
          </w:p>
        </w:tc>
        <w:tc>
          <w:tcPr>
            <w:tcW w:w="716" w:type="dxa"/>
            <w:tcBorders>
              <w:top w:val="nil"/>
              <w:left w:val="nil"/>
              <w:bottom w:val="single" w:sz="8" w:space="0" w:color="auto"/>
              <w:right w:val="single" w:sz="8" w:space="0" w:color="auto"/>
            </w:tcBorders>
            <w:shd w:val="clear" w:color="000000" w:fill="CCFFCC"/>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0.700 </w:t>
            </w:r>
          </w:p>
        </w:tc>
        <w:tc>
          <w:tcPr>
            <w:tcW w:w="716" w:type="dxa"/>
            <w:tcBorders>
              <w:top w:val="nil"/>
              <w:left w:val="nil"/>
              <w:bottom w:val="single" w:sz="8" w:space="0" w:color="auto"/>
              <w:right w:val="single" w:sz="8" w:space="0" w:color="auto"/>
            </w:tcBorders>
            <w:shd w:val="clear" w:color="000000" w:fill="CCFFCC"/>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0.600 </w:t>
            </w:r>
          </w:p>
        </w:tc>
        <w:tc>
          <w:tcPr>
            <w:tcW w:w="716" w:type="dxa"/>
            <w:tcBorders>
              <w:top w:val="nil"/>
              <w:left w:val="nil"/>
              <w:bottom w:val="single" w:sz="8" w:space="0" w:color="auto"/>
              <w:right w:val="single" w:sz="8" w:space="0" w:color="auto"/>
            </w:tcBorders>
            <w:shd w:val="clear" w:color="000000" w:fill="CCFFCC"/>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0.820 </w:t>
            </w:r>
          </w:p>
        </w:tc>
        <w:tc>
          <w:tcPr>
            <w:tcW w:w="783" w:type="dxa"/>
            <w:tcBorders>
              <w:top w:val="nil"/>
              <w:left w:val="nil"/>
              <w:bottom w:val="single" w:sz="8" w:space="0" w:color="auto"/>
              <w:right w:val="single" w:sz="8" w:space="0" w:color="auto"/>
            </w:tcBorders>
            <w:shd w:val="clear" w:color="000000" w:fill="CCFFFF"/>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2.670 </w:t>
            </w:r>
          </w:p>
        </w:tc>
        <w:tc>
          <w:tcPr>
            <w:tcW w:w="1618" w:type="dxa"/>
            <w:tcBorders>
              <w:top w:val="single" w:sz="8" w:space="0" w:color="auto"/>
              <w:left w:val="single" w:sz="8" w:space="0" w:color="auto"/>
              <w:bottom w:val="single" w:sz="4" w:space="0" w:color="auto"/>
              <w:right w:val="single" w:sz="8" w:space="0" w:color="auto"/>
            </w:tcBorders>
          </w:tcPr>
          <w:p w:rsidR="00986223" w:rsidRPr="00D55DC6" w:rsidRDefault="00986223" w:rsidP="00986223">
            <w:pPr>
              <w:widowControl/>
              <w:snapToGrid w:val="0"/>
              <w:spacing w:line="280" w:lineRule="exact"/>
              <w:rPr>
                <w:rFonts w:eastAsia="標楷體"/>
                <w:snapToGrid w:val="0"/>
                <w:spacing w:val="-20"/>
                <w:kern w:val="0"/>
              </w:rPr>
            </w:pPr>
          </w:p>
        </w:tc>
      </w:tr>
      <w:tr w:rsidR="001D0350" w:rsidRPr="00D55DC6" w:rsidTr="00986223">
        <w:trPr>
          <w:trHeight w:val="292"/>
        </w:trPr>
        <w:tc>
          <w:tcPr>
            <w:tcW w:w="399" w:type="dxa"/>
            <w:vMerge/>
            <w:tcBorders>
              <w:top w:val="nil"/>
              <w:left w:val="single" w:sz="8" w:space="0" w:color="auto"/>
              <w:bottom w:val="nil"/>
              <w:right w:val="single" w:sz="8" w:space="0" w:color="auto"/>
            </w:tcBorders>
            <w:vAlign w:val="center"/>
          </w:tcPr>
          <w:p w:rsidR="00986223" w:rsidRPr="00D55DC6" w:rsidRDefault="00986223" w:rsidP="00986223">
            <w:pPr>
              <w:widowControl/>
              <w:snapToGrid w:val="0"/>
              <w:rPr>
                <w:rFonts w:eastAsia="標楷體"/>
                <w:kern w:val="0"/>
              </w:rPr>
            </w:pPr>
          </w:p>
        </w:tc>
        <w:tc>
          <w:tcPr>
            <w:tcW w:w="889"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1098"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2151" w:type="dxa"/>
            <w:tcBorders>
              <w:top w:val="nil"/>
              <w:left w:val="nil"/>
              <w:bottom w:val="single" w:sz="8" w:space="0" w:color="auto"/>
              <w:right w:val="single" w:sz="8" w:space="0" w:color="auto"/>
            </w:tcBorders>
            <w:vAlign w:val="center"/>
          </w:tcPr>
          <w:p w:rsidR="00986223" w:rsidRPr="00D55DC6" w:rsidRDefault="00986223" w:rsidP="00986223">
            <w:pPr>
              <w:snapToGrid w:val="0"/>
              <w:jc w:val="both"/>
              <w:rPr>
                <w:rFonts w:eastAsia="標楷體"/>
                <w:sz w:val="22"/>
                <w:szCs w:val="22"/>
              </w:rPr>
            </w:pPr>
            <w:r w:rsidRPr="00D55DC6">
              <w:rPr>
                <w:rFonts w:eastAsia="標楷體"/>
                <w:sz w:val="22"/>
                <w:szCs w:val="22"/>
              </w:rPr>
              <w:t>A.</w:t>
            </w:r>
            <w:r w:rsidRPr="00D55DC6">
              <w:rPr>
                <w:rFonts w:eastAsia="標楷體"/>
                <w:sz w:val="22"/>
                <w:szCs w:val="22"/>
              </w:rPr>
              <w:t>馬公本島系統</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 xml:space="preserve">0.350 </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 xml:space="preserve">0.100 </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 xml:space="preserve">0.450 </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 xml:space="preserve">0.610 </w:t>
            </w:r>
          </w:p>
        </w:tc>
        <w:tc>
          <w:tcPr>
            <w:tcW w:w="783" w:type="dxa"/>
            <w:tcBorders>
              <w:top w:val="single" w:sz="4" w:space="0" w:color="auto"/>
              <w:left w:val="nil"/>
              <w:bottom w:val="single" w:sz="8" w:space="0" w:color="auto"/>
              <w:right w:val="single" w:sz="8" w:space="0" w:color="auto"/>
            </w:tcBorders>
            <w:shd w:val="clear" w:color="000000" w:fill="CCFFFF"/>
            <w:vAlign w:val="center"/>
          </w:tcPr>
          <w:p w:rsidR="00986223" w:rsidRPr="00D55DC6" w:rsidRDefault="00986223" w:rsidP="00986223">
            <w:pPr>
              <w:widowControl/>
              <w:snapToGrid w:val="0"/>
              <w:jc w:val="right"/>
              <w:rPr>
                <w:rFonts w:eastAsia="標楷體"/>
                <w:kern w:val="0"/>
              </w:rPr>
            </w:pPr>
            <w:r w:rsidRPr="00D55DC6">
              <w:rPr>
                <w:rFonts w:eastAsia="標楷體"/>
                <w:kern w:val="0"/>
              </w:rPr>
              <w:t xml:space="preserve">1.510 </w:t>
            </w:r>
          </w:p>
        </w:tc>
        <w:tc>
          <w:tcPr>
            <w:tcW w:w="1618" w:type="dxa"/>
            <w:tcBorders>
              <w:top w:val="single" w:sz="4" w:space="0" w:color="auto"/>
              <w:left w:val="single" w:sz="8" w:space="0" w:color="auto"/>
              <w:bottom w:val="single" w:sz="4" w:space="0" w:color="auto"/>
              <w:right w:val="single" w:sz="8" w:space="0" w:color="auto"/>
            </w:tcBorders>
            <w:vAlign w:val="center"/>
          </w:tcPr>
          <w:p w:rsidR="00986223" w:rsidRPr="00D55DC6" w:rsidRDefault="00986223" w:rsidP="00986223">
            <w:pPr>
              <w:adjustRightInd w:val="0"/>
              <w:snapToGrid w:val="0"/>
              <w:spacing w:line="280" w:lineRule="exact"/>
              <w:jc w:val="both"/>
              <w:rPr>
                <w:rFonts w:eastAsia="標楷體"/>
                <w:snapToGrid w:val="0"/>
                <w:spacing w:val="-20"/>
                <w:kern w:val="0"/>
              </w:rPr>
            </w:pPr>
            <w:r w:rsidRPr="00D55DC6">
              <w:rPr>
                <w:rFonts w:eastAsia="標楷體"/>
                <w:snapToGrid w:val="0"/>
                <w:spacing w:val="-20"/>
                <w:kern w:val="0"/>
              </w:rPr>
              <w:t>1.</w:t>
            </w:r>
            <w:r w:rsidRPr="00D55DC6">
              <w:rPr>
                <w:rFonts w:eastAsia="標楷體"/>
                <w:snapToGrid w:val="0"/>
                <w:spacing w:val="-20"/>
                <w:kern w:val="0"/>
              </w:rPr>
              <w:t>馬公觀光都市：菜園休閒漁業區</w:t>
            </w:r>
            <w:r w:rsidRPr="00D55DC6">
              <w:rPr>
                <w:rFonts w:eastAsia="標楷體"/>
                <w:snapToGrid w:val="0"/>
                <w:spacing w:val="-20"/>
                <w:kern w:val="0"/>
              </w:rPr>
              <w:lastRenderedPageBreak/>
              <w:t>環境及設施改善第</w:t>
            </w:r>
            <w:r w:rsidRPr="00D55DC6">
              <w:rPr>
                <w:rFonts w:eastAsia="標楷體"/>
                <w:snapToGrid w:val="0"/>
                <w:spacing w:val="-20"/>
                <w:kern w:val="0"/>
              </w:rPr>
              <w:t>1</w:t>
            </w:r>
            <w:r w:rsidRPr="00D55DC6">
              <w:rPr>
                <w:rFonts w:eastAsia="標楷體"/>
                <w:snapToGrid w:val="0"/>
                <w:spacing w:val="-20"/>
                <w:kern w:val="0"/>
              </w:rPr>
              <w:t>、</w:t>
            </w:r>
            <w:r w:rsidRPr="00D55DC6">
              <w:rPr>
                <w:rFonts w:eastAsia="標楷體"/>
                <w:snapToGrid w:val="0"/>
                <w:spacing w:val="-20"/>
                <w:kern w:val="0"/>
              </w:rPr>
              <w:t>2</w:t>
            </w:r>
            <w:r w:rsidRPr="00D55DC6">
              <w:rPr>
                <w:rFonts w:eastAsia="標楷體"/>
                <w:snapToGrid w:val="0"/>
                <w:spacing w:val="-20"/>
                <w:kern w:val="0"/>
              </w:rPr>
              <w:t>期工程</w:t>
            </w:r>
          </w:p>
          <w:p w:rsidR="00986223" w:rsidRPr="00D55DC6" w:rsidRDefault="00986223" w:rsidP="00986223">
            <w:pPr>
              <w:adjustRightInd w:val="0"/>
              <w:snapToGrid w:val="0"/>
              <w:spacing w:line="280" w:lineRule="exact"/>
              <w:jc w:val="both"/>
              <w:rPr>
                <w:rFonts w:eastAsia="標楷體"/>
                <w:snapToGrid w:val="0"/>
                <w:spacing w:val="-20"/>
                <w:kern w:val="0"/>
              </w:rPr>
            </w:pPr>
            <w:r w:rsidRPr="00D55DC6">
              <w:rPr>
                <w:rFonts w:eastAsia="標楷體"/>
                <w:snapToGrid w:val="0"/>
                <w:spacing w:val="-20"/>
                <w:kern w:val="0"/>
              </w:rPr>
              <w:t>2.</w:t>
            </w:r>
            <w:r w:rsidRPr="00D55DC6">
              <w:rPr>
                <w:rFonts w:eastAsia="標楷體"/>
                <w:snapToGrid w:val="0"/>
                <w:spacing w:val="-20"/>
                <w:kern w:val="0"/>
              </w:rPr>
              <w:t>澎南次系統：蛇頭山遊憩區設施改善工程</w:t>
            </w:r>
          </w:p>
          <w:p w:rsidR="00986223" w:rsidRPr="00D55DC6" w:rsidRDefault="00986223" w:rsidP="00986223">
            <w:pPr>
              <w:adjustRightInd w:val="0"/>
              <w:snapToGrid w:val="0"/>
              <w:spacing w:line="280" w:lineRule="exact"/>
              <w:jc w:val="both"/>
              <w:rPr>
                <w:rFonts w:eastAsia="標楷體"/>
                <w:snapToGrid w:val="0"/>
                <w:spacing w:val="-20"/>
                <w:kern w:val="0"/>
              </w:rPr>
            </w:pPr>
            <w:r w:rsidRPr="00D55DC6">
              <w:rPr>
                <w:rFonts w:eastAsia="標楷體"/>
                <w:snapToGrid w:val="0"/>
                <w:spacing w:val="-20"/>
                <w:kern w:val="0"/>
              </w:rPr>
              <w:t>3.</w:t>
            </w:r>
            <w:r w:rsidRPr="00D55DC6">
              <w:rPr>
                <w:rFonts w:eastAsia="標楷體"/>
                <w:snapToGrid w:val="0"/>
                <w:spacing w:val="-20"/>
                <w:kern w:val="0"/>
              </w:rPr>
              <w:t>湖西次系統：奎壁山地質公園環境及設施改善工程</w:t>
            </w:r>
          </w:p>
          <w:p w:rsidR="00986223" w:rsidRPr="00D55DC6" w:rsidRDefault="00986223" w:rsidP="00986223">
            <w:pPr>
              <w:adjustRightInd w:val="0"/>
              <w:snapToGrid w:val="0"/>
              <w:spacing w:line="280" w:lineRule="exact"/>
              <w:jc w:val="both"/>
              <w:rPr>
                <w:rFonts w:eastAsia="標楷體"/>
                <w:snapToGrid w:val="0"/>
                <w:spacing w:val="-20"/>
                <w:kern w:val="0"/>
              </w:rPr>
            </w:pPr>
            <w:r w:rsidRPr="00D55DC6">
              <w:rPr>
                <w:rFonts w:eastAsia="標楷體"/>
                <w:snapToGrid w:val="0"/>
                <w:spacing w:val="-20"/>
                <w:kern w:val="0"/>
              </w:rPr>
              <w:t>4.</w:t>
            </w:r>
            <w:r w:rsidRPr="00D55DC6">
              <w:rPr>
                <w:rFonts w:eastAsia="標楷體"/>
                <w:snapToGrid w:val="0"/>
                <w:spacing w:val="-20"/>
                <w:kern w:val="0"/>
              </w:rPr>
              <w:t>白沙次系統：岐頭遊客中心</w:t>
            </w:r>
            <w:r w:rsidR="00397CE7" w:rsidRPr="00D55DC6">
              <w:rPr>
                <w:rFonts w:eastAsia="標楷體"/>
                <w:snapToGrid w:val="0"/>
                <w:spacing w:val="-20"/>
                <w:kern w:val="0"/>
              </w:rPr>
              <w:t>周邊</w:t>
            </w:r>
            <w:r w:rsidRPr="00D55DC6">
              <w:rPr>
                <w:rFonts w:eastAsia="標楷體"/>
                <w:snapToGrid w:val="0"/>
                <w:spacing w:val="-20"/>
                <w:kern w:val="0"/>
              </w:rPr>
              <w:t>停車場設施改善工程</w:t>
            </w:r>
          </w:p>
          <w:p w:rsidR="00986223" w:rsidRPr="00D55DC6" w:rsidRDefault="00986223" w:rsidP="00986223">
            <w:pPr>
              <w:widowControl/>
              <w:snapToGrid w:val="0"/>
              <w:spacing w:line="280" w:lineRule="exact"/>
              <w:rPr>
                <w:rFonts w:eastAsia="標楷體"/>
                <w:snapToGrid w:val="0"/>
                <w:spacing w:val="-20"/>
                <w:kern w:val="0"/>
              </w:rPr>
            </w:pPr>
            <w:r w:rsidRPr="00D55DC6">
              <w:rPr>
                <w:rFonts w:eastAsia="標楷體"/>
                <w:snapToGrid w:val="0"/>
                <w:spacing w:val="-20"/>
                <w:kern w:val="0"/>
              </w:rPr>
              <w:t>5.</w:t>
            </w:r>
            <w:r w:rsidRPr="00D55DC6">
              <w:rPr>
                <w:rFonts w:eastAsia="標楷體"/>
                <w:snapToGrid w:val="0"/>
                <w:spacing w:val="-20"/>
                <w:kern w:val="0"/>
              </w:rPr>
              <w:t>西嶼次系統：小池水庫</w:t>
            </w:r>
            <w:r w:rsidR="00397CE7" w:rsidRPr="00D55DC6">
              <w:rPr>
                <w:rFonts w:eastAsia="標楷體"/>
                <w:snapToGrid w:val="0"/>
                <w:spacing w:val="-20"/>
                <w:kern w:val="0"/>
              </w:rPr>
              <w:t>周邊</w:t>
            </w:r>
            <w:r w:rsidRPr="00D55DC6">
              <w:rPr>
                <w:rFonts w:eastAsia="標楷體"/>
                <w:snapToGrid w:val="0"/>
                <w:spacing w:val="-20"/>
                <w:kern w:val="0"/>
              </w:rPr>
              <w:t>景觀改善工程、清涼彈藥庫聯外步道工程、內垵沙灘遊憩及服務設施改善工程、王屋營區環境及設施改善工程</w:t>
            </w:r>
          </w:p>
        </w:tc>
      </w:tr>
      <w:tr w:rsidR="001D0350" w:rsidRPr="00D55DC6" w:rsidTr="00986223">
        <w:trPr>
          <w:trHeight w:val="183"/>
        </w:trPr>
        <w:tc>
          <w:tcPr>
            <w:tcW w:w="399" w:type="dxa"/>
            <w:vMerge/>
            <w:tcBorders>
              <w:top w:val="nil"/>
              <w:left w:val="single" w:sz="8" w:space="0" w:color="auto"/>
              <w:bottom w:val="nil"/>
              <w:right w:val="single" w:sz="8" w:space="0" w:color="auto"/>
            </w:tcBorders>
            <w:vAlign w:val="center"/>
          </w:tcPr>
          <w:p w:rsidR="00986223" w:rsidRPr="00D55DC6" w:rsidRDefault="00986223" w:rsidP="00986223">
            <w:pPr>
              <w:widowControl/>
              <w:snapToGrid w:val="0"/>
              <w:rPr>
                <w:rFonts w:eastAsia="標楷體"/>
                <w:kern w:val="0"/>
              </w:rPr>
            </w:pPr>
          </w:p>
        </w:tc>
        <w:tc>
          <w:tcPr>
            <w:tcW w:w="889"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1098"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2151" w:type="dxa"/>
            <w:tcBorders>
              <w:top w:val="nil"/>
              <w:left w:val="nil"/>
              <w:bottom w:val="single" w:sz="8" w:space="0" w:color="auto"/>
              <w:right w:val="single" w:sz="8" w:space="0" w:color="auto"/>
            </w:tcBorders>
            <w:vAlign w:val="center"/>
          </w:tcPr>
          <w:p w:rsidR="00986223" w:rsidRPr="00D55DC6" w:rsidRDefault="00986223" w:rsidP="00986223">
            <w:pPr>
              <w:snapToGrid w:val="0"/>
              <w:rPr>
                <w:rFonts w:eastAsia="標楷體"/>
                <w:sz w:val="22"/>
                <w:szCs w:val="22"/>
              </w:rPr>
            </w:pPr>
            <w:r w:rsidRPr="00D55DC6">
              <w:rPr>
                <w:rFonts w:eastAsia="標楷體"/>
                <w:sz w:val="22"/>
                <w:szCs w:val="22"/>
              </w:rPr>
              <w:t>B.</w:t>
            </w:r>
            <w:r w:rsidRPr="00D55DC6">
              <w:rPr>
                <w:rFonts w:eastAsia="標楷體"/>
                <w:sz w:val="22"/>
                <w:szCs w:val="22"/>
              </w:rPr>
              <w:t>北海系統</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0.000</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0.000</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0.000</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0.130</w:t>
            </w:r>
          </w:p>
        </w:tc>
        <w:tc>
          <w:tcPr>
            <w:tcW w:w="783" w:type="dxa"/>
            <w:tcBorders>
              <w:top w:val="single" w:sz="4" w:space="0" w:color="auto"/>
              <w:left w:val="nil"/>
              <w:bottom w:val="single" w:sz="8" w:space="0" w:color="auto"/>
              <w:right w:val="single" w:sz="8" w:space="0" w:color="auto"/>
            </w:tcBorders>
            <w:shd w:val="clear" w:color="000000" w:fill="CCFFFF"/>
            <w:vAlign w:val="center"/>
          </w:tcPr>
          <w:p w:rsidR="00986223" w:rsidRPr="00D55DC6" w:rsidRDefault="00986223" w:rsidP="00986223">
            <w:pPr>
              <w:widowControl/>
              <w:snapToGrid w:val="0"/>
              <w:jc w:val="right"/>
              <w:rPr>
                <w:rFonts w:eastAsia="標楷體"/>
                <w:kern w:val="0"/>
              </w:rPr>
            </w:pPr>
            <w:r w:rsidRPr="00D55DC6">
              <w:rPr>
                <w:rFonts w:eastAsia="標楷體"/>
                <w:kern w:val="0"/>
              </w:rPr>
              <w:t xml:space="preserve"> 0.130 </w:t>
            </w:r>
          </w:p>
        </w:tc>
        <w:tc>
          <w:tcPr>
            <w:tcW w:w="1618" w:type="dxa"/>
            <w:tcBorders>
              <w:top w:val="single" w:sz="4" w:space="0" w:color="auto"/>
              <w:left w:val="single" w:sz="8" w:space="0" w:color="auto"/>
              <w:bottom w:val="single" w:sz="4" w:space="0" w:color="auto"/>
              <w:right w:val="single" w:sz="8" w:space="0" w:color="auto"/>
            </w:tcBorders>
            <w:vAlign w:val="center"/>
          </w:tcPr>
          <w:p w:rsidR="00986223" w:rsidRPr="00D55DC6" w:rsidRDefault="00986223" w:rsidP="00986223">
            <w:pPr>
              <w:widowControl/>
              <w:snapToGrid w:val="0"/>
              <w:spacing w:line="280" w:lineRule="exact"/>
              <w:rPr>
                <w:rFonts w:eastAsia="標楷體"/>
                <w:snapToGrid w:val="0"/>
                <w:spacing w:val="-20"/>
                <w:kern w:val="0"/>
              </w:rPr>
            </w:pPr>
            <w:r w:rsidRPr="00D55DC6">
              <w:rPr>
                <w:rFonts w:eastAsia="標楷體"/>
                <w:snapToGrid w:val="0"/>
                <w:spacing w:val="-20"/>
                <w:kern w:val="0"/>
              </w:rPr>
              <w:t>北海次系統：北海遊客中心</w:t>
            </w:r>
            <w:r w:rsidR="00397CE7" w:rsidRPr="00D55DC6">
              <w:rPr>
                <w:rFonts w:eastAsia="標楷體"/>
                <w:snapToGrid w:val="0"/>
                <w:spacing w:val="-20"/>
                <w:kern w:val="0"/>
              </w:rPr>
              <w:t>周邊</w:t>
            </w:r>
            <w:r w:rsidRPr="00D55DC6">
              <w:rPr>
                <w:rFonts w:eastAsia="標楷體"/>
                <w:snapToGrid w:val="0"/>
                <w:spacing w:val="-20"/>
                <w:kern w:val="0"/>
              </w:rPr>
              <w:t>設施景觀改善工程</w:t>
            </w:r>
          </w:p>
        </w:tc>
      </w:tr>
      <w:tr w:rsidR="001D0350" w:rsidRPr="00D55DC6" w:rsidTr="00986223">
        <w:trPr>
          <w:trHeight w:val="183"/>
        </w:trPr>
        <w:tc>
          <w:tcPr>
            <w:tcW w:w="399" w:type="dxa"/>
            <w:vMerge/>
            <w:tcBorders>
              <w:top w:val="nil"/>
              <w:left w:val="single" w:sz="8" w:space="0" w:color="auto"/>
              <w:bottom w:val="nil"/>
              <w:right w:val="single" w:sz="8" w:space="0" w:color="auto"/>
            </w:tcBorders>
            <w:vAlign w:val="center"/>
          </w:tcPr>
          <w:p w:rsidR="00986223" w:rsidRPr="00D55DC6" w:rsidRDefault="00986223" w:rsidP="00986223">
            <w:pPr>
              <w:widowControl/>
              <w:snapToGrid w:val="0"/>
              <w:rPr>
                <w:rFonts w:eastAsia="標楷體"/>
                <w:kern w:val="0"/>
              </w:rPr>
            </w:pPr>
          </w:p>
        </w:tc>
        <w:tc>
          <w:tcPr>
            <w:tcW w:w="889"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1098"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2151" w:type="dxa"/>
            <w:tcBorders>
              <w:top w:val="nil"/>
              <w:left w:val="nil"/>
              <w:bottom w:val="single" w:sz="8" w:space="0" w:color="auto"/>
              <w:right w:val="single" w:sz="8" w:space="0" w:color="auto"/>
            </w:tcBorders>
            <w:vAlign w:val="center"/>
          </w:tcPr>
          <w:p w:rsidR="00986223" w:rsidRPr="00D55DC6" w:rsidRDefault="00986223" w:rsidP="00986223">
            <w:pPr>
              <w:snapToGrid w:val="0"/>
              <w:jc w:val="both"/>
              <w:rPr>
                <w:rFonts w:eastAsia="標楷體"/>
                <w:sz w:val="22"/>
                <w:szCs w:val="22"/>
              </w:rPr>
            </w:pPr>
            <w:r w:rsidRPr="00D55DC6">
              <w:rPr>
                <w:rFonts w:eastAsia="標楷體"/>
                <w:sz w:val="22"/>
                <w:szCs w:val="22"/>
              </w:rPr>
              <w:t>C.</w:t>
            </w:r>
            <w:r w:rsidRPr="00D55DC6">
              <w:rPr>
                <w:rFonts w:eastAsia="標楷體"/>
                <w:sz w:val="22"/>
                <w:szCs w:val="22"/>
              </w:rPr>
              <w:t>南海系統</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 xml:space="preserve">0.200 </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 xml:space="preserve">0.600 </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 xml:space="preserve">0.150 </w:t>
            </w:r>
          </w:p>
        </w:tc>
        <w:tc>
          <w:tcPr>
            <w:tcW w:w="716" w:type="dxa"/>
            <w:tcBorders>
              <w:top w:val="nil"/>
              <w:left w:val="nil"/>
              <w:bottom w:val="single" w:sz="8" w:space="0" w:color="auto"/>
              <w:right w:val="single" w:sz="8" w:space="0" w:color="auto"/>
            </w:tcBorders>
            <w:vAlign w:val="center"/>
          </w:tcPr>
          <w:p w:rsidR="00986223" w:rsidRPr="00D55DC6" w:rsidRDefault="00986223" w:rsidP="00986223">
            <w:pPr>
              <w:widowControl/>
              <w:snapToGrid w:val="0"/>
              <w:jc w:val="right"/>
              <w:rPr>
                <w:rFonts w:eastAsia="標楷體"/>
                <w:kern w:val="0"/>
              </w:rPr>
            </w:pPr>
            <w:r w:rsidRPr="00D55DC6">
              <w:rPr>
                <w:rFonts w:eastAsia="標楷體"/>
                <w:kern w:val="0"/>
              </w:rPr>
              <w:t xml:space="preserve">0.080 </w:t>
            </w:r>
          </w:p>
        </w:tc>
        <w:tc>
          <w:tcPr>
            <w:tcW w:w="783" w:type="dxa"/>
            <w:tcBorders>
              <w:top w:val="single" w:sz="4" w:space="0" w:color="auto"/>
              <w:left w:val="nil"/>
              <w:bottom w:val="single" w:sz="8" w:space="0" w:color="auto"/>
              <w:right w:val="single" w:sz="8" w:space="0" w:color="auto"/>
            </w:tcBorders>
            <w:shd w:val="clear" w:color="000000" w:fill="CCFFFF"/>
            <w:vAlign w:val="center"/>
          </w:tcPr>
          <w:p w:rsidR="00986223" w:rsidRPr="00D55DC6" w:rsidRDefault="00986223" w:rsidP="00986223">
            <w:pPr>
              <w:widowControl/>
              <w:snapToGrid w:val="0"/>
              <w:jc w:val="right"/>
              <w:rPr>
                <w:rFonts w:eastAsia="標楷體"/>
                <w:kern w:val="0"/>
              </w:rPr>
            </w:pPr>
            <w:r w:rsidRPr="00D55DC6">
              <w:rPr>
                <w:rFonts w:eastAsia="標楷體"/>
                <w:kern w:val="0"/>
              </w:rPr>
              <w:t xml:space="preserve">1.030 </w:t>
            </w:r>
          </w:p>
        </w:tc>
        <w:tc>
          <w:tcPr>
            <w:tcW w:w="1618" w:type="dxa"/>
            <w:tcBorders>
              <w:top w:val="single" w:sz="4" w:space="0" w:color="auto"/>
              <w:left w:val="single" w:sz="8" w:space="0" w:color="auto"/>
              <w:bottom w:val="nil"/>
              <w:right w:val="single" w:sz="8" w:space="0" w:color="auto"/>
            </w:tcBorders>
            <w:vAlign w:val="center"/>
          </w:tcPr>
          <w:p w:rsidR="00986223" w:rsidRPr="00D55DC6" w:rsidRDefault="00986223" w:rsidP="00986223">
            <w:pPr>
              <w:adjustRightInd w:val="0"/>
              <w:snapToGrid w:val="0"/>
              <w:spacing w:line="280" w:lineRule="exact"/>
              <w:jc w:val="both"/>
              <w:rPr>
                <w:rFonts w:eastAsia="標楷體"/>
                <w:snapToGrid w:val="0"/>
                <w:spacing w:val="-20"/>
                <w:kern w:val="0"/>
              </w:rPr>
            </w:pPr>
            <w:r w:rsidRPr="00D55DC6">
              <w:rPr>
                <w:rFonts w:eastAsia="標楷體"/>
                <w:snapToGrid w:val="0"/>
                <w:spacing w:val="-20"/>
                <w:kern w:val="0"/>
              </w:rPr>
              <w:t>1.</w:t>
            </w:r>
            <w:r w:rsidRPr="00D55DC6">
              <w:rPr>
                <w:rFonts w:eastAsia="標楷體"/>
                <w:snapToGrid w:val="0"/>
                <w:spacing w:val="-20"/>
                <w:kern w:val="0"/>
              </w:rPr>
              <w:t>望安次系統：望安鴛鴦窟環境及設施改善、望安中社停車場及公廁整建工程</w:t>
            </w:r>
          </w:p>
          <w:p w:rsidR="00986223" w:rsidRPr="00D55DC6" w:rsidRDefault="00986223" w:rsidP="00986223">
            <w:pPr>
              <w:widowControl/>
              <w:snapToGrid w:val="0"/>
              <w:spacing w:line="280" w:lineRule="exact"/>
              <w:rPr>
                <w:rFonts w:eastAsia="標楷體"/>
                <w:snapToGrid w:val="0"/>
                <w:spacing w:val="-20"/>
                <w:kern w:val="0"/>
              </w:rPr>
            </w:pPr>
            <w:r w:rsidRPr="00D55DC6">
              <w:rPr>
                <w:rFonts w:eastAsia="標楷體"/>
                <w:snapToGrid w:val="0"/>
                <w:spacing w:val="-20"/>
                <w:kern w:val="0"/>
              </w:rPr>
              <w:t>2.</w:t>
            </w:r>
            <w:r w:rsidRPr="00D55DC6">
              <w:rPr>
                <w:rFonts w:eastAsia="標楷體"/>
                <w:snapToGrid w:val="0"/>
                <w:spacing w:val="-20"/>
                <w:kern w:val="0"/>
              </w:rPr>
              <w:t>七美次系統：七美遊客中心新建工程、七美燈塔遊憩服務設施改善工程、七美西濱海岸</w:t>
            </w:r>
            <w:r w:rsidR="00397CE7" w:rsidRPr="00D55DC6">
              <w:rPr>
                <w:rFonts w:eastAsia="標楷體"/>
                <w:snapToGrid w:val="0"/>
                <w:spacing w:val="-20"/>
                <w:kern w:val="0"/>
              </w:rPr>
              <w:t>周邊</w:t>
            </w:r>
            <w:r w:rsidRPr="00D55DC6">
              <w:rPr>
                <w:rFonts w:eastAsia="標楷體"/>
                <w:snapToGrid w:val="0"/>
                <w:spacing w:val="-20"/>
                <w:kern w:val="0"/>
              </w:rPr>
              <w:t>設施環境改善工程</w:t>
            </w:r>
          </w:p>
        </w:tc>
      </w:tr>
      <w:tr w:rsidR="001D0350" w:rsidRPr="00D55DC6" w:rsidTr="00986223">
        <w:trPr>
          <w:trHeight w:val="345"/>
        </w:trPr>
        <w:tc>
          <w:tcPr>
            <w:tcW w:w="399" w:type="dxa"/>
            <w:vMerge/>
            <w:tcBorders>
              <w:top w:val="nil"/>
              <w:left w:val="single" w:sz="8" w:space="0" w:color="auto"/>
              <w:bottom w:val="nil"/>
              <w:right w:val="single" w:sz="8" w:space="0" w:color="auto"/>
            </w:tcBorders>
            <w:vAlign w:val="center"/>
          </w:tcPr>
          <w:p w:rsidR="00986223" w:rsidRPr="00D55DC6" w:rsidRDefault="00986223" w:rsidP="00986223">
            <w:pPr>
              <w:widowControl/>
              <w:snapToGrid w:val="0"/>
              <w:rPr>
                <w:rFonts w:eastAsia="標楷體"/>
                <w:kern w:val="0"/>
              </w:rPr>
            </w:pPr>
          </w:p>
        </w:tc>
        <w:tc>
          <w:tcPr>
            <w:tcW w:w="889"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1098"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2151" w:type="dxa"/>
            <w:tcBorders>
              <w:top w:val="single" w:sz="8" w:space="0" w:color="auto"/>
              <w:left w:val="nil"/>
              <w:bottom w:val="single" w:sz="8" w:space="0" w:color="auto"/>
              <w:right w:val="single" w:sz="8" w:space="0" w:color="auto"/>
            </w:tcBorders>
            <w:shd w:val="clear" w:color="000000" w:fill="CCFFCC"/>
            <w:vAlign w:val="center"/>
          </w:tcPr>
          <w:p w:rsidR="00986223" w:rsidRPr="00D55DC6" w:rsidRDefault="00986223" w:rsidP="00986223">
            <w:pPr>
              <w:snapToGrid w:val="0"/>
              <w:jc w:val="both"/>
              <w:rPr>
                <w:rFonts w:eastAsia="標楷體"/>
              </w:rPr>
            </w:pPr>
            <w:r w:rsidRPr="00D55DC6">
              <w:rPr>
                <w:rFonts w:eastAsia="標楷體"/>
              </w:rPr>
              <w:t>（</w:t>
            </w:r>
            <w:r w:rsidRPr="00D55DC6">
              <w:rPr>
                <w:rFonts w:eastAsia="標楷體"/>
              </w:rPr>
              <w:t>4</w:t>
            </w:r>
            <w:r w:rsidRPr="00D55DC6">
              <w:rPr>
                <w:rFonts w:eastAsia="標楷體"/>
              </w:rPr>
              <w:t>）地方觀光景點</w:t>
            </w:r>
          </w:p>
        </w:tc>
        <w:tc>
          <w:tcPr>
            <w:tcW w:w="716" w:type="dxa"/>
            <w:tcBorders>
              <w:top w:val="nil"/>
              <w:left w:val="nil"/>
              <w:bottom w:val="single" w:sz="8" w:space="0" w:color="auto"/>
              <w:right w:val="single" w:sz="8" w:space="0" w:color="auto"/>
            </w:tcBorders>
            <w:shd w:val="clear" w:color="000000" w:fill="CCFFCC"/>
          </w:tcPr>
          <w:p w:rsidR="00986223" w:rsidRPr="00D55DC6" w:rsidRDefault="00986223" w:rsidP="00986223">
            <w:pPr>
              <w:snapToGrid w:val="0"/>
              <w:jc w:val="right"/>
              <w:rPr>
                <w:rFonts w:eastAsia="標楷體"/>
              </w:rPr>
            </w:pPr>
            <w:r w:rsidRPr="00D55DC6">
              <w:rPr>
                <w:rFonts w:eastAsia="標楷體"/>
                <w:b/>
                <w:bCs/>
                <w:kern w:val="0"/>
                <w:szCs w:val="22"/>
              </w:rPr>
              <w:t>0.000</w:t>
            </w:r>
          </w:p>
        </w:tc>
        <w:tc>
          <w:tcPr>
            <w:tcW w:w="716" w:type="dxa"/>
            <w:tcBorders>
              <w:top w:val="nil"/>
              <w:left w:val="nil"/>
              <w:bottom w:val="single" w:sz="8" w:space="0" w:color="auto"/>
              <w:right w:val="single" w:sz="8" w:space="0" w:color="auto"/>
            </w:tcBorders>
            <w:shd w:val="clear" w:color="000000" w:fill="CCFFCC"/>
          </w:tcPr>
          <w:p w:rsidR="00986223" w:rsidRPr="00D55DC6" w:rsidRDefault="00986223" w:rsidP="00986223">
            <w:pPr>
              <w:snapToGrid w:val="0"/>
              <w:jc w:val="right"/>
              <w:rPr>
                <w:rFonts w:eastAsia="標楷體"/>
              </w:rPr>
            </w:pPr>
            <w:r w:rsidRPr="00D55DC6">
              <w:rPr>
                <w:rFonts w:eastAsia="標楷體"/>
                <w:b/>
                <w:bCs/>
                <w:kern w:val="0"/>
                <w:szCs w:val="22"/>
              </w:rPr>
              <w:t>0.000</w:t>
            </w:r>
          </w:p>
        </w:tc>
        <w:tc>
          <w:tcPr>
            <w:tcW w:w="716" w:type="dxa"/>
            <w:tcBorders>
              <w:top w:val="nil"/>
              <w:left w:val="nil"/>
              <w:bottom w:val="single" w:sz="8" w:space="0" w:color="auto"/>
              <w:right w:val="single" w:sz="8" w:space="0" w:color="auto"/>
            </w:tcBorders>
            <w:shd w:val="clear" w:color="000000" w:fill="CCFFCC"/>
          </w:tcPr>
          <w:p w:rsidR="00986223" w:rsidRPr="00D55DC6" w:rsidRDefault="00986223" w:rsidP="00986223">
            <w:pPr>
              <w:snapToGrid w:val="0"/>
              <w:jc w:val="right"/>
              <w:rPr>
                <w:rFonts w:eastAsia="標楷體"/>
              </w:rPr>
            </w:pPr>
            <w:r w:rsidRPr="00D55DC6">
              <w:rPr>
                <w:rFonts w:eastAsia="標楷體"/>
                <w:b/>
                <w:bCs/>
                <w:kern w:val="0"/>
                <w:szCs w:val="22"/>
              </w:rPr>
              <w:t>0.000</w:t>
            </w:r>
          </w:p>
        </w:tc>
        <w:tc>
          <w:tcPr>
            <w:tcW w:w="716" w:type="dxa"/>
            <w:tcBorders>
              <w:top w:val="nil"/>
              <w:left w:val="nil"/>
              <w:bottom w:val="single" w:sz="8" w:space="0" w:color="auto"/>
              <w:right w:val="single" w:sz="8" w:space="0" w:color="auto"/>
            </w:tcBorders>
            <w:shd w:val="clear" w:color="000000" w:fill="CCFFCC"/>
          </w:tcPr>
          <w:p w:rsidR="00986223" w:rsidRPr="00D55DC6" w:rsidRDefault="00986223" w:rsidP="00986223">
            <w:pPr>
              <w:snapToGrid w:val="0"/>
              <w:jc w:val="right"/>
              <w:rPr>
                <w:rFonts w:eastAsia="標楷體"/>
              </w:rPr>
            </w:pPr>
            <w:r w:rsidRPr="00D55DC6">
              <w:rPr>
                <w:rFonts w:eastAsia="標楷體"/>
                <w:b/>
                <w:bCs/>
                <w:kern w:val="0"/>
                <w:szCs w:val="22"/>
              </w:rPr>
              <w:t>0.000</w:t>
            </w:r>
          </w:p>
        </w:tc>
        <w:tc>
          <w:tcPr>
            <w:tcW w:w="783" w:type="dxa"/>
            <w:tcBorders>
              <w:top w:val="nil"/>
              <w:left w:val="nil"/>
              <w:bottom w:val="single" w:sz="8" w:space="0" w:color="auto"/>
              <w:right w:val="single" w:sz="8" w:space="0" w:color="auto"/>
            </w:tcBorders>
            <w:shd w:val="clear" w:color="000000" w:fill="CCFFFF"/>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0.000 </w:t>
            </w:r>
          </w:p>
        </w:tc>
        <w:tc>
          <w:tcPr>
            <w:tcW w:w="1618" w:type="dxa"/>
            <w:vMerge w:val="restart"/>
            <w:tcBorders>
              <w:top w:val="single" w:sz="8" w:space="0" w:color="auto"/>
              <w:left w:val="single" w:sz="8" w:space="0" w:color="auto"/>
              <w:bottom w:val="single" w:sz="8" w:space="0" w:color="000000"/>
              <w:right w:val="single" w:sz="8" w:space="0" w:color="auto"/>
            </w:tcBorders>
          </w:tcPr>
          <w:p w:rsidR="00986223" w:rsidRPr="00D55DC6" w:rsidRDefault="00986223" w:rsidP="00986223">
            <w:pPr>
              <w:widowControl/>
              <w:snapToGrid w:val="0"/>
              <w:rPr>
                <w:rFonts w:eastAsia="標楷體"/>
                <w:kern w:val="0"/>
              </w:rPr>
            </w:pPr>
          </w:p>
        </w:tc>
      </w:tr>
      <w:tr w:rsidR="001D0350" w:rsidRPr="00D55DC6" w:rsidTr="00986223">
        <w:trPr>
          <w:trHeight w:val="353"/>
        </w:trPr>
        <w:tc>
          <w:tcPr>
            <w:tcW w:w="399" w:type="dxa"/>
            <w:vMerge/>
            <w:tcBorders>
              <w:top w:val="nil"/>
              <w:left w:val="single" w:sz="8" w:space="0" w:color="auto"/>
              <w:bottom w:val="nil"/>
              <w:right w:val="single" w:sz="8" w:space="0" w:color="auto"/>
            </w:tcBorders>
            <w:vAlign w:val="center"/>
          </w:tcPr>
          <w:p w:rsidR="00986223" w:rsidRPr="00D55DC6" w:rsidRDefault="00986223" w:rsidP="00986223">
            <w:pPr>
              <w:widowControl/>
              <w:snapToGrid w:val="0"/>
              <w:rPr>
                <w:rFonts w:eastAsia="標楷體"/>
                <w:kern w:val="0"/>
              </w:rPr>
            </w:pPr>
          </w:p>
        </w:tc>
        <w:tc>
          <w:tcPr>
            <w:tcW w:w="889"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1098" w:type="dxa"/>
            <w:vMerge/>
            <w:tcBorders>
              <w:top w:val="nil"/>
              <w:left w:val="single" w:sz="8" w:space="0" w:color="auto"/>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p>
        </w:tc>
        <w:tc>
          <w:tcPr>
            <w:tcW w:w="2151" w:type="dxa"/>
            <w:tcBorders>
              <w:top w:val="nil"/>
              <w:left w:val="nil"/>
              <w:bottom w:val="single" w:sz="8" w:space="0" w:color="auto"/>
              <w:right w:val="single" w:sz="8" w:space="0" w:color="auto"/>
            </w:tcBorders>
            <w:shd w:val="clear" w:color="auto" w:fill="CCFFCC"/>
            <w:vAlign w:val="center"/>
          </w:tcPr>
          <w:p w:rsidR="00986223" w:rsidRPr="00D55DC6" w:rsidRDefault="00986223" w:rsidP="00986223">
            <w:pPr>
              <w:snapToGrid w:val="0"/>
              <w:jc w:val="both"/>
              <w:rPr>
                <w:rFonts w:eastAsia="標楷體"/>
              </w:rPr>
            </w:pPr>
            <w:r w:rsidRPr="00D55DC6">
              <w:rPr>
                <w:rFonts w:eastAsia="標楷體"/>
              </w:rPr>
              <w:t>（</w:t>
            </w:r>
            <w:r w:rsidRPr="00D55DC6">
              <w:rPr>
                <w:rFonts w:eastAsia="標楷體"/>
              </w:rPr>
              <w:t>5</w:t>
            </w:r>
            <w:r w:rsidRPr="00D55DC6">
              <w:rPr>
                <w:rFonts w:eastAsia="標楷體"/>
              </w:rPr>
              <w:t>）環境及設施整修</w:t>
            </w:r>
          </w:p>
        </w:tc>
        <w:tc>
          <w:tcPr>
            <w:tcW w:w="716" w:type="dxa"/>
            <w:tcBorders>
              <w:top w:val="nil"/>
              <w:left w:val="nil"/>
              <w:bottom w:val="single" w:sz="8" w:space="0" w:color="auto"/>
              <w:right w:val="single" w:sz="8" w:space="0" w:color="auto"/>
            </w:tcBorders>
            <w:shd w:val="clear" w:color="auto" w:fill="CCFFCC"/>
          </w:tcPr>
          <w:p w:rsidR="00986223" w:rsidRPr="00D55DC6" w:rsidRDefault="00986223" w:rsidP="00986223">
            <w:pPr>
              <w:snapToGrid w:val="0"/>
              <w:jc w:val="right"/>
              <w:rPr>
                <w:rFonts w:eastAsia="標楷體"/>
                <w:b/>
              </w:rPr>
            </w:pPr>
            <w:r w:rsidRPr="00D55DC6">
              <w:rPr>
                <w:rFonts w:eastAsia="標楷體"/>
                <w:b/>
                <w:bCs/>
                <w:kern w:val="0"/>
                <w:szCs w:val="22"/>
              </w:rPr>
              <w:t>0.200</w:t>
            </w:r>
          </w:p>
        </w:tc>
        <w:tc>
          <w:tcPr>
            <w:tcW w:w="716" w:type="dxa"/>
            <w:tcBorders>
              <w:top w:val="nil"/>
              <w:left w:val="nil"/>
              <w:bottom w:val="single" w:sz="8" w:space="0" w:color="auto"/>
              <w:right w:val="single" w:sz="8" w:space="0" w:color="auto"/>
            </w:tcBorders>
            <w:shd w:val="clear" w:color="auto" w:fill="CCFFCC"/>
          </w:tcPr>
          <w:p w:rsidR="00986223" w:rsidRPr="00D55DC6" w:rsidRDefault="00986223" w:rsidP="00986223">
            <w:pPr>
              <w:snapToGrid w:val="0"/>
              <w:jc w:val="right"/>
              <w:rPr>
                <w:rFonts w:eastAsia="標楷體"/>
                <w:b/>
              </w:rPr>
            </w:pPr>
            <w:r w:rsidRPr="00D55DC6">
              <w:rPr>
                <w:rFonts w:eastAsia="標楷體"/>
                <w:b/>
                <w:bCs/>
                <w:kern w:val="0"/>
                <w:szCs w:val="22"/>
              </w:rPr>
              <w:t>0.200</w:t>
            </w:r>
          </w:p>
        </w:tc>
        <w:tc>
          <w:tcPr>
            <w:tcW w:w="716" w:type="dxa"/>
            <w:tcBorders>
              <w:top w:val="nil"/>
              <w:left w:val="nil"/>
              <w:bottom w:val="single" w:sz="8" w:space="0" w:color="auto"/>
              <w:right w:val="single" w:sz="8" w:space="0" w:color="auto"/>
            </w:tcBorders>
            <w:shd w:val="clear" w:color="auto" w:fill="CCFFCC"/>
          </w:tcPr>
          <w:p w:rsidR="00986223" w:rsidRPr="00D55DC6" w:rsidRDefault="00986223" w:rsidP="00986223">
            <w:pPr>
              <w:snapToGrid w:val="0"/>
              <w:jc w:val="right"/>
              <w:rPr>
                <w:rFonts w:eastAsia="標楷體"/>
                <w:b/>
              </w:rPr>
            </w:pPr>
            <w:r w:rsidRPr="00D55DC6">
              <w:rPr>
                <w:rFonts w:eastAsia="標楷體"/>
                <w:b/>
                <w:bCs/>
                <w:kern w:val="0"/>
                <w:szCs w:val="22"/>
              </w:rPr>
              <w:t>0.200</w:t>
            </w:r>
          </w:p>
        </w:tc>
        <w:tc>
          <w:tcPr>
            <w:tcW w:w="716" w:type="dxa"/>
            <w:tcBorders>
              <w:top w:val="nil"/>
              <w:left w:val="nil"/>
              <w:bottom w:val="single" w:sz="8" w:space="0" w:color="auto"/>
              <w:right w:val="single" w:sz="8" w:space="0" w:color="auto"/>
            </w:tcBorders>
            <w:shd w:val="clear" w:color="auto" w:fill="CCFFCC"/>
          </w:tcPr>
          <w:p w:rsidR="00986223" w:rsidRPr="00D55DC6" w:rsidRDefault="00986223" w:rsidP="00986223">
            <w:pPr>
              <w:snapToGrid w:val="0"/>
              <w:jc w:val="right"/>
              <w:rPr>
                <w:rFonts w:eastAsia="標楷體"/>
                <w:b/>
              </w:rPr>
            </w:pPr>
            <w:r w:rsidRPr="00D55DC6">
              <w:rPr>
                <w:rFonts w:eastAsia="標楷體"/>
                <w:b/>
                <w:bCs/>
                <w:kern w:val="0"/>
                <w:szCs w:val="22"/>
              </w:rPr>
              <w:t>0.200</w:t>
            </w:r>
          </w:p>
        </w:tc>
        <w:tc>
          <w:tcPr>
            <w:tcW w:w="783" w:type="dxa"/>
            <w:tcBorders>
              <w:top w:val="nil"/>
              <w:left w:val="nil"/>
              <w:bottom w:val="single" w:sz="8" w:space="0" w:color="auto"/>
              <w:right w:val="single" w:sz="8" w:space="0" w:color="auto"/>
            </w:tcBorders>
            <w:shd w:val="clear" w:color="000000" w:fill="CCFFFF"/>
            <w:vAlign w:val="center"/>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0.800 </w:t>
            </w:r>
          </w:p>
        </w:tc>
        <w:tc>
          <w:tcPr>
            <w:tcW w:w="1618" w:type="dxa"/>
            <w:vMerge/>
            <w:tcBorders>
              <w:top w:val="single" w:sz="8" w:space="0" w:color="auto"/>
              <w:left w:val="single" w:sz="8" w:space="0" w:color="auto"/>
              <w:bottom w:val="single" w:sz="8" w:space="0" w:color="000000"/>
              <w:right w:val="single" w:sz="8" w:space="0" w:color="auto"/>
            </w:tcBorders>
            <w:vAlign w:val="center"/>
          </w:tcPr>
          <w:p w:rsidR="00986223" w:rsidRPr="00D55DC6" w:rsidRDefault="00986223" w:rsidP="00986223">
            <w:pPr>
              <w:widowControl/>
              <w:snapToGrid w:val="0"/>
              <w:rPr>
                <w:rFonts w:eastAsia="標楷體"/>
                <w:kern w:val="0"/>
              </w:rPr>
            </w:pPr>
          </w:p>
        </w:tc>
      </w:tr>
      <w:tr w:rsidR="001D0350" w:rsidRPr="00D55DC6" w:rsidTr="00986223">
        <w:trPr>
          <w:trHeight w:val="50"/>
        </w:trPr>
        <w:tc>
          <w:tcPr>
            <w:tcW w:w="399" w:type="dxa"/>
            <w:tcBorders>
              <w:top w:val="nil"/>
              <w:left w:val="single" w:sz="8" w:space="0" w:color="auto"/>
              <w:bottom w:val="single" w:sz="8" w:space="0" w:color="auto"/>
              <w:right w:val="single" w:sz="8" w:space="0" w:color="auto"/>
            </w:tcBorders>
            <w:shd w:val="clear" w:color="000000" w:fill="CCFFCC"/>
          </w:tcPr>
          <w:p w:rsidR="00986223" w:rsidRPr="00D55DC6" w:rsidRDefault="00986223" w:rsidP="00986223">
            <w:pPr>
              <w:widowControl/>
              <w:snapToGrid w:val="0"/>
              <w:jc w:val="center"/>
              <w:rPr>
                <w:rFonts w:eastAsia="標楷體"/>
                <w:kern w:val="0"/>
              </w:rPr>
            </w:pPr>
            <w:r w:rsidRPr="00D55DC6">
              <w:rPr>
                <w:rFonts w:eastAsia="標楷體"/>
                <w:kern w:val="0"/>
                <w:szCs w:val="22"/>
              </w:rPr>
              <w:t xml:space="preserve">　</w:t>
            </w:r>
          </w:p>
        </w:tc>
        <w:tc>
          <w:tcPr>
            <w:tcW w:w="889" w:type="dxa"/>
            <w:tcBorders>
              <w:top w:val="nil"/>
              <w:left w:val="nil"/>
              <w:bottom w:val="single" w:sz="8" w:space="0" w:color="auto"/>
              <w:right w:val="single" w:sz="8" w:space="0" w:color="auto"/>
            </w:tcBorders>
            <w:shd w:val="clear" w:color="000000" w:fill="CCFFCC"/>
          </w:tcPr>
          <w:p w:rsidR="00986223" w:rsidRPr="00D55DC6" w:rsidRDefault="00986223" w:rsidP="00986223">
            <w:pPr>
              <w:widowControl/>
              <w:snapToGrid w:val="0"/>
              <w:jc w:val="center"/>
              <w:rPr>
                <w:rFonts w:eastAsia="標楷體"/>
                <w:kern w:val="0"/>
              </w:rPr>
            </w:pPr>
            <w:r w:rsidRPr="00D55DC6">
              <w:rPr>
                <w:rFonts w:eastAsia="標楷體"/>
                <w:kern w:val="0"/>
                <w:szCs w:val="22"/>
              </w:rPr>
              <w:t xml:space="preserve">　</w:t>
            </w:r>
          </w:p>
        </w:tc>
        <w:tc>
          <w:tcPr>
            <w:tcW w:w="1098" w:type="dxa"/>
            <w:tcBorders>
              <w:top w:val="nil"/>
              <w:left w:val="nil"/>
              <w:bottom w:val="single" w:sz="8" w:space="0" w:color="auto"/>
              <w:right w:val="single" w:sz="8" w:space="0" w:color="auto"/>
            </w:tcBorders>
            <w:shd w:val="clear" w:color="000000" w:fill="CCFFCC"/>
          </w:tcPr>
          <w:p w:rsidR="00986223" w:rsidRPr="00D55DC6" w:rsidRDefault="00986223" w:rsidP="00986223">
            <w:pPr>
              <w:widowControl/>
              <w:snapToGrid w:val="0"/>
              <w:jc w:val="center"/>
              <w:rPr>
                <w:rFonts w:eastAsia="標楷體"/>
                <w:kern w:val="0"/>
              </w:rPr>
            </w:pPr>
            <w:r w:rsidRPr="00D55DC6">
              <w:rPr>
                <w:rFonts w:eastAsia="標楷體"/>
                <w:kern w:val="0"/>
                <w:szCs w:val="22"/>
              </w:rPr>
              <w:t xml:space="preserve">　</w:t>
            </w:r>
          </w:p>
        </w:tc>
        <w:tc>
          <w:tcPr>
            <w:tcW w:w="2151" w:type="dxa"/>
            <w:tcBorders>
              <w:top w:val="nil"/>
              <w:left w:val="nil"/>
              <w:bottom w:val="single" w:sz="8" w:space="0" w:color="auto"/>
              <w:right w:val="single" w:sz="8" w:space="0" w:color="auto"/>
            </w:tcBorders>
            <w:shd w:val="clear" w:color="000000" w:fill="CCFFCC"/>
          </w:tcPr>
          <w:p w:rsidR="00986223" w:rsidRPr="00D55DC6" w:rsidRDefault="00986223" w:rsidP="00986223">
            <w:pPr>
              <w:widowControl/>
              <w:snapToGrid w:val="0"/>
              <w:jc w:val="center"/>
              <w:rPr>
                <w:rFonts w:eastAsia="標楷體"/>
                <w:b/>
                <w:bCs/>
                <w:kern w:val="0"/>
              </w:rPr>
            </w:pPr>
            <w:r w:rsidRPr="00D55DC6">
              <w:rPr>
                <w:rFonts w:eastAsia="標楷體"/>
                <w:b/>
                <w:bCs/>
                <w:kern w:val="0"/>
                <w:szCs w:val="22"/>
              </w:rPr>
              <w:t>資本門合計</w:t>
            </w:r>
          </w:p>
        </w:tc>
        <w:tc>
          <w:tcPr>
            <w:tcW w:w="716" w:type="dxa"/>
            <w:tcBorders>
              <w:top w:val="nil"/>
              <w:left w:val="nil"/>
              <w:bottom w:val="single" w:sz="8" w:space="0" w:color="auto"/>
              <w:right w:val="single" w:sz="8" w:space="0" w:color="auto"/>
            </w:tcBorders>
            <w:shd w:val="clear" w:color="000000" w:fill="CCFFCC"/>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1.880 </w:t>
            </w:r>
          </w:p>
        </w:tc>
        <w:tc>
          <w:tcPr>
            <w:tcW w:w="716" w:type="dxa"/>
            <w:tcBorders>
              <w:top w:val="nil"/>
              <w:left w:val="nil"/>
              <w:bottom w:val="single" w:sz="8" w:space="0" w:color="auto"/>
              <w:right w:val="single" w:sz="8" w:space="0" w:color="auto"/>
            </w:tcBorders>
            <w:shd w:val="clear" w:color="000000" w:fill="CCFFCC"/>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1.900 </w:t>
            </w:r>
          </w:p>
        </w:tc>
        <w:tc>
          <w:tcPr>
            <w:tcW w:w="716" w:type="dxa"/>
            <w:tcBorders>
              <w:top w:val="nil"/>
              <w:left w:val="nil"/>
              <w:bottom w:val="single" w:sz="8" w:space="0" w:color="auto"/>
              <w:right w:val="single" w:sz="8" w:space="0" w:color="auto"/>
            </w:tcBorders>
            <w:shd w:val="clear" w:color="000000" w:fill="CCFFCC"/>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1.900 </w:t>
            </w:r>
          </w:p>
        </w:tc>
        <w:tc>
          <w:tcPr>
            <w:tcW w:w="716" w:type="dxa"/>
            <w:tcBorders>
              <w:top w:val="nil"/>
              <w:left w:val="nil"/>
              <w:bottom w:val="single" w:sz="8" w:space="0" w:color="auto"/>
              <w:right w:val="single" w:sz="8" w:space="0" w:color="auto"/>
            </w:tcBorders>
            <w:shd w:val="clear" w:color="000000" w:fill="CCFFCC"/>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1.920 </w:t>
            </w:r>
          </w:p>
        </w:tc>
        <w:tc>
          <w:tcPr>
            <w:tcW w:w="783" w:type="dxa"/>
            <w:tcBorders>
              <w:top w:val="nil"/>
              <w:left w:val="nil"/>
              <w:bottom w:val="single" w:sz="8" w:space="0" w:color="auto"/>
              <w:right w:val="single" w:sz="8" w:space="0" w:color="auto"/>
            </w:tcBorders>
            <w:shd w:val="clear" w:color="000000" w:fill="CCFFFF"/>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7.600 </w:t>
            </w:r>
          </w:p>
        </w:tc>
        <w:tc>
          <w:tcPr>
            <w:tcW w:w="1618" w:type="dxa"/>
            <w:tcBorders>
              <w:top w:val="nil"/>
              <w:left w:val="nil"/>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r w:rsidRPr="00D55DC6">
              <w:rPr>
                <w:rFonts w:eastAsia="標楷體"/>
                <w:kern w:val="0"/>
                <w:szCs w:val="22"/>
              </w:rPr>
              <w:t xml:space="preserve">　</w:t>
            </w:r>
          </w:p>
        </w:tc>
      </w:tr>
      <w:tr w:rsidR="001D0350" w:rsidRPr="00D55DC6" w:rsidTr="00986223">
        <w:trPr>
          <w:trHeight w:val="50"/>
        </w:trPr>
        <w:tc>
          <w:tcPr>
            <w:tcW w:w="4537" w:type="dxa"/>
            <w:gridSpan w:val="4"/>
            <w:tcBorders>
              <w:top w:val="single" w:sz="8" w:space="0" w:color="auto"/>
              <w:left w:val="single" w:sz="8" w:space="0" w:color="auto"/>
              <w:bottom w:val="single" w:sz="8" w:space="0" w:color="auto"/>
              <w:right w:val="single" w:sz="8" w:space="0" w:color="auto"/>
            </w:tcBorders>
            <w:shd w:val="clear" w:color="000000" w:fill="CCFFCC"/>
          </w:tcPr>
          <w:p w:rsidR="00986223" w:rsidRPr="00D55DC6" w:rsidRDefault="00986223" w:rsidP="00986223">
            <w:pPr>
              <w:widowControl/>
              <w:snapToGrid w:val="0"/>
              <w:jc w:val="center"/>
              <w:rPr>
                <w:rFonts w:eastAsia="標楷體"/>
                <w:b/>
                <w:bCs/>
                <w:kern w:val="0"/>
              </w:rPr>
            </w:pPr>
            <w:r w:rsidRPr="00D55DC6">
              <w:rPr>
                <w:rFonts w:eastAsia="標楷體"/>
                <w:b/>
                <w:bCs/>
                <w:kern w:val="0"/>
                <w:szCs w:val="22"/>
              </w:rPr>
              <w:t xml:space="preserve">經資門合計　　</w:t>
            </w:r>
          </w:p>
        </w:tc>
        <w:tc>
          <w:tcPr>
            <w:tcW w:w="716" w:type="dxa"/>
            <w:tcBorders>
              <w:top w:val="nil"/>
              <w:left w:val="nil"/>
              <w:bottom w:val="single" w:sz="8" w:space="0" w:color="auto"/>
              <w:right w:val="single" w:sz="8" w:space="0" w:color="auto"/>
            </w:tcBorders>
            <w:shd w:val="clear" w:color="000000" w:fill="CCFFCC"/>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1.980 </w:t>
            </w:r>
          </w:p>
        </w:tc>
        <w:tc>
          <w:tcPr>
            <w:tcW w:w="716" w:type="dxa"/>
            <w:tcBorders>
              <w:top w:val="nil"/>
              <w:left w:val="nil"/>
              <w:bottom w:val="single" w:sz="8" w:space="0" w:color="auto"/>
              <w:right w:val="single" w:sz="8" w:space="0" w:color="auto"/>
            </w:tcBorders>
            <w:shd w:val="clear" w:color="000000" w:fill="CCFFCC"/>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2.000 </w:t>
            </w:r>
          </w:p>
        </w:tc>
        <w:tc>
          <w:tcPr>
            <w:tcW w:w="716" w:type="dxa"/>
            <w:tcBorders>
              <w:top w:val="nil"/>
              <w:left w:val="nil"/>
              <w:bottom w:val="single" w:sz="8" w:space="0" w:color="auto"/>
              <w:right w:val="single" w:sz="8" w:space="0" w:color="auto"/>
            </w:tcBorders>
            <w:shd w:val="clear" w:color="000000" w:fill="CCFFCC"/>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2.000 </w:t>
            </w:r>
          </w:p>
        </w:tc>
        <w:tc>
          <w:tcPr>
            <w:tcW w:w="716" w:type="dxa"/>
            <w:tcBorders>
              <w:top w:val="nil"/>
              <w:left w:val="nil"/>
              <w:bottom w:val="single" w:sz="8" w:space="0" w:color="auto"/>
              <w:right w:val="single" w:sz="8" w:space="0" w:color="auto"/>
            </w:tcBorders>
            <w:shd w:val="clear" w:color="000000" w:fill="CCFFCC"/>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2.020 </w:t>
            </w:r>
          </w:p>
        </w:tc>
        <w:tc>
          <w:tcPr>
            <w:tcW w:w="783" w:type="dxa"/>
            <w:tcBorders>
              <w:top w:val="nil"/>
              <w:left w:val="nil"/>
              <w:bottom w:val="single" w:sz="8" w:space="0" w:color="auto"/>
              <w:right w:val="single" w:sz="8" w:space="0" w:color="auto"/>
            </w:tcBorders>
            <w:shd w:val="clear" w:color="000000" w:fill="CCFFFF"/>
          </w:tcPr>
          <w:p w:rsidR="00986223" w:rsidRPr="00D55DC6" w:rsidRDefault="00986223" w:rsidP="00986223">
            <w:pPr>
              <w:widowControl/>
              <w:snapToGrid w:val="0"/>
              <w:jc w:val="right"/>
              <w:rPr>
                <w:rFonts w:eastAsia="標楷體"/>
                <w:b/>
                <w:bCs/>
                <w:kern w:val="0"/>
                <w:szCs w:val="22"/>
              </w:rPr>
            </w:pPr>
            <w:r w:rsidRPr="00D55DC6">
              <w:rPr>
                <w:rFonts w:eastAsia="標楷體"/>
                <w:b/>
                <w:bCs/>
                <w:kern w:val="0"/>
                <w:szCs w:val="22"/>
              </w:rPr>
              <w:t xml:space="preserve">8.000 </w:t>
            </w:r>
          </w:p>
        </w:tc>
        <w:tc>
          <w:tcPr>
            <w:tcW w:w="1618" w:type="dxa"/>
            <w:tcBorders>
              <w:top w:val="nil"/>
              <w:left w:val="nil"/>
              <w:bottom w:val="single" w:sz="8" w:space="0" w:color="auto"/>
              <w:right w:val="single" w:sz="8" w:space="0" w:color="auto"/>
            </w:tcBorders>
            <w:vAlign w:val="center"/>
          </w:tcPr>
          <w:p w:rsidR="00986223" w:rsidRPr="00D55DC6" w:rsidRDefault="00986223" w:rsidP="00986223">
            <w:pPr>
              <w:widowControl/>
              <w:snapToGrid w:val="0"/>
              <w:rPr>
                <w:rFonts w:eastAsia="標楷體"/>
                <w:kern w:val="0"/>
              </w:rPr>
            </w:pPr>
            <w:r w:rsidRPr="00D55DC6">
              <w:rPr>
                <w:rFonts w:eastAsia="標楷體"/>
                <w:kern w:val="0"/>
                <w:szCs w:val="22"/>
              </w:rPr>
              <w:t xml:space="preserve">　</w:t>
            </w:r>
          </w:p>
        </w:tc>
      </w:tr>
    </w:tbl>
    <w:p w:rsidR="00986223" w:rsidRPr="00D55DC6" w:rsidRDefault="00986223" w:rsidP="00986223">
      <w:pPr>
        <w:snapToGrid w:val="0"/>
        <w:spacing w:line="460" w:lineRule="exact"/>
        <w:jc w:val="both"/>
        <w:rPr>
          <w:rFonts w:eastAsia="標楷體"/>
          <w:sz w:val="28"/>
          <w:szCs w:val="28"/>
        </w:rPr>
      </w:pPr>
    </w:p>
    <w:p w:rsidR="00986223" w:rsidRPr="00D55DC6" w:rsidRDefault="00986223" w:rsidP="00986223">
      <w:pPr>
        <w:numPr>
          <w:ilvl w:val="0"/>
          <w:numId w:val="1"/>
        </w:numPr>
        <w:snapToGrid w:val="0"/>
        <w:spacing w:line="460" w:lineRule="exact"/>
        <w:ind w:left="709" w:hanging="709"/>
        <w:jc w:val="both"/>
        <w:rPr>
          <w:rFonts w:eastAsia="標楷體"/>
          <w:b/>
          <w:sz w:val="28"/>
          <w:szCs w:val="28"/>
        </w:rPr>
      </w:pPr>
      <w:r w:rsidRPr="00D55DC6">
        <w:rPr>
          <w:rFonts w:eastAsia="標楷體"/>
          <w:b/>
          <w:sz w:val="28"/>
          <w:szCs w:val="28"/>
        </w:rPr>
        <w:lastRenderedPageBreak/>
        <w:t>預期效果及影響</w:t>
      </w:r>
    </w:p>
    <w:p w:rsidR="00986223" w:rsidRPr="00D55DC6" w:rsidRDefault="00986223" w:rsidP="00986223">
      <w:pPr>
        <w:snapToGrid w:val="0"/>
        <w:spacing w:line="460" w:lineRule="exact"/>
        <w:ind w:left="849" w:hangingChars="303" w:hanging="849"/>
        <w:jc w:val="both"/>
        <w:rPr>
          <w:rFonts w:eastAsia="標楷體"/>
          <w:b/>
          <w:sz w:val="28"/>
          <w:szCs w:val="28"/>
        </w:rPr>
      </w:pPr>
      <w:r w:rsidRPr="00D55DC6">
        <w:rPr>
          <w:rFonts w:eastAsia="標楷體"/>
          <w:b/>
          <w:sz w:val="28"/>
          <w:szCs w:val="28"/>
        </w:rPr>
        <w:t>（一）有效結合「美食、沙灘、運動、低碳」觀光元素，形塑樂活、悠遊的旅遊氛圍，建設澎湖成為令觀光客充滿驚喜與感動的「國際觀光</w:t>
      </w:r>
      <w:r w:rsidR="00EA38C5" w:rsidRPr="00D55DC6">
        <w:rPr>
          <w:rFonts w:eastAsia="標楷體"/>
          <w:b/>
          <w:sz w:val="28"/>
          <w:szCs w:val="28"/>
        </w:rPr>
        <w:t>度假</w:t>
      </w:r>
      <w:r w:rsidRPr="00D55DC6">
        <w:rPr>
          <w:rFonts w:eastAsia="標楷體"/>
          <w:b/>
          <w:sz w:val="28"/>
          <w:szCs w:val="28"/>
        </w:rPr>
        <w:t>島嶼」。</w:t>
      </w:r>
    </w:p>
    <w:p w:rsidR="00986223" w:rsidRPr="00D55DC6" w:rsidRDefault="00986223" w:rsidP="00986223">
      <w:pPr>
        <w:snapToGrid w:val="0"/>
        <w:spacing w:line="460" w:lineRule="exact"/>
        <w:ind w:left="849" w:hangingChars="303" w:hanging="849"/>
        <w:jc w:val="both"/>
        <w:rPr>
          <w:rFonts w:eastAsia="標楷體"/>
          <w:b/>
          <w:sz w:val="28"/>
          <w:szCs w:val="28"/>
        </w:rPr>
      </w:pPr>
      <w:r w:rsidRPr="00D55DC6">
        <w:rPr>
          <w:rFonts w:eastAsia="標楷體"/>
          <w:b/>
          <w:sz w:val="28"/>
          <w:szCs w:val="28"/>
        </w:rPr>
        <w:t>（二）依據交通部觀光局「國家風景區遊客調查報告」，達成以下目標：</w:t>
      </w:r>
    </w:p>
    <w:p w:rsidR="00986223" w:rsidRPr="00D55DC6" w:rsidRDefault="00986223" w:rsidP="00986223">
      <w:pPr>
        <w:snapToGrid w:val="0"/>
        <w:spacing w:line="460" w:lineRule="exact"/>
        <w:ind w:leftChars="177" w:left="851" w:hangingChars="152" w:hanging="426"/>
        <w:jc w:val="both"/>
        <w:rPr>
          <w:rFonts w:eastAsia="標楷體"/>
          <w:sz w:val="28"/>
          <w:szCs w:val="28"/>
        </w:rPr>
      </w:pPr>
      <w:r w:rsidRPr="00D55DC6">
        <w:rPr>
          <w:rFonts w:eastAsia="標楷體"/>
          <w:sz w:val="28"/>
          <w:szCs w:val="28"/>
        </w:rPr>
        <w:t xml:space="preserve">1. </w:t>
      </w:r>
      <w:r w:rsidRPr="00D55DC6">
        <w:rPr>
          <w:rFonts w:eastAsia="標楷體"/>
          <w:sz w:val="28"/>
          <w:szCs w:val="28"/>
        </w:rPr>
        <w:t>擴大參訪客源，在穩定國民旅遊基礎下，將國際觀光客比率提昇至</w:t>
      </w:r>
      <w:r w:rsidRPr="00D55DC6">
        <w:rPr>
          <w:rFonts w:eastAsia="標楷體"/>
          <w:sz w:val="28"/>
          <w:szCs w:val="28"/>
        </w:rPr>
        <w:t>5%</w:t>
      </w:r>
      <w:r w:rsidRPr="00D55DC6">
        <w:rPr>
          <w:rFonts w:eastAsia="標楷體"/>
          <w:sz w:val="28"/>
          <w:szCs w:val="28"/>
        </w:rPr>
        <w:t>。</w:t>
      </w:r>
    </w:p>
    <w:p w:rsidR="00986223" w:rsidRPr="00D55DC6" w:rsidRDefault="00986223" w:rsidP="00986223">
      <w:pPr>
        <w:snapToGrid w:val="0"/>
        <w:spacing w:line="460" w:lineRule="exact"/>
        <w:ind w:leftChars="177" w:left="425"/>
        <w:jc w:val="both"/>
        <w:rPr>
          <w:rFonts w:eastAsia="標楷體"/>
          <w:sz w:val="28"/>
          <w:szCs w:val="28"/>
        </w:rPr>
      </w:pPr>
      <w:r w:rsidRPr="00D55DC6">
        <w:rPr>
          <w:rFonts w:eastAsia="標楷體"/>
          <w:sz w:val="28"/>
          <w:szCs w:val="28"/>
        </w:rPr>
        <w:t xml:space="preserve">2. </w:t>
      </w:r>
      <w:r w:rsidRPr="00D55DC6">
        <w:rPr>
          <w:rFonts w:eastAsia="標楷體"/>
          <w:sz w:val="28"/>
          <w:szCs w:val="28"/>
        </w:rPr>
        <w:t>提昇旅遊品質，將遊客平均停留天數延長至</w:t>
      </w:r>
      <w:r w:rsidRPr="00D55DC6">
        <w:rPr>
          <w:rFonts w:eastAsia="標楷體"/>
          <w:sz w:val="28"/>
          <w:szCs w:val="28"/>
        </w:rPr>
        <w:t>3.5</w:t>
      </w:r>
      <w:r w:rsidRPr="00D55DC6">
        <w:rPr>
          <w:rFonts w:eastAsia="標楷體"/>
          <w:sz w:val="28"/>
          <w:szCs w:val="28"/>
        </w:rPr>
        <w:t>天。</w:t>
      </w:r>
    </w:p>
    <w:p w:rsidR="00986223" w:rsidRPr="00D55DC6" w:rsidRDefault="00986223" w:rsidP="00986223">
      <w:pPr>
        <w:snapToGrid w:val="0"/>
        <w:spacing w:line="460" w:lineRule="exact"/>
        <w:ind w:leftChars="177" w:left="425"/>
        <w:jc w:val="both"/>
        <w:rPr>
          <w:rFonts w:eastAsia="標楷體"/>
          <w:sz w:val="28"/>
          <w:szCs w:val="28"/>
        </w:rPr>
      </w:pPr>
      <w:r w:rsidRPr="00D55DC6">
        <w:rPr>
          <w:rFonts w:eastAsia="標楷體"/>
          <w:sz w:val="28"/>
          <w:szCs w:val="28"/>
        </w:rPr>
        <w:t xml:space="preserve">3. </w:t>
      </w:r>
      <w:r w:rsidRPr="00D55DC6">
        <w:rPr>
          <w:rFonts w:eastAsia="標楷體"/>
          <w:sz w:val="28"/>
          <w:szCs w:val="28"/>
        </w:rPr>
        <w:t>縮短淡旺季差距，傳統旅遊淡季遊客人次成長</w:t>
      </w:r>
      <w:r w:rsidRPr="00D55DC6">
        <w:rPr>
          <w:rFonts w:eastAsia="標楷體"/>
          <w:sz w:val="28"/>
          <w:szCs w:val="28"/>
        </w:rPr>
        <w:t>10%</w:t>
      </w:r>
      <w:r w:rsidRPr="00D55DC6">
        <w:rPr>
          <w:rFonts w:eastAsia="標楷體"/>
          <w:sz w:val="28"/>
          <w:szCs w:val="28"/>
        </w:rPr>
        <w:t>。</w:t>
      </w:r>
    </w:p>
    <w:p w:rsidR="00167B72" w:rsidRPr="00D55DC6" w:rsidRDefault="00167B72" w:rsidP="00167B72">
      <w:pPr>
        <w:snapToGrid w:val="0"/>
        <w:spacing w:line="460" w:lineRule="exact"/>
        <w:ind w:leftChars="177" w:left="425"/>
        <w:jc w:val="both"/>
        <w:rPr>
          <w:rFonts w:eastAsia="標楷體"/>
          <w:sz w:val="28"/>
          <w:szCs w:val="28"/>
        </w:rPr>
      </w:pPr>
      <w:r w:rsidRPr="00D55DC6">
        <w:rPr>
          <w:rFonts w:eastAsia="標楷體"/>
          <w:sz w:val="28"/>
          <w:szCs w:val="28"/>
        </w:rPr>
        <w:t xml:space="preserve">4. </w:t>
      </w:r>
      <w:r w:rsidRPr="00D55DC6">
        <w:rPr>
          <w:rFonts w:eastAsia="標楷體"/>
          <w:sz w:val="28"/>
          <w:szCs w:val="28"/>
        </w:rPr>
        <w:t>預估</w:t>
      </w:r>
      <w:r w:rsidRPr="00D55DC6">
        <w:rPr>
          <w:rFonts w:eastAsia="標楷體"/>
          <w:sz w:val="28"/>
          <w:szCs w:val="28"/>
        </w:rPr>
        <w:t>105</w:t>
      </w:r>
      <w:r w:rsidRPr="00D55DC6">
        <w:rPr>
          <w:rFonts w:eastAsia="標楷體"/>
          <w:sz w:val="28"/>
          <w:szCs w:val="28"/>
        </w:rPr>
        <w:t>至</w:t>
      </w:r>
      <w:r w:rsidRPr="00D55DC6">
        <w:rPr>
          <w:rFonts w:eastAsia="標楷體"/>
          <w:sz w:val="28"/>
          <w:szCs w:val="28"/>
        </w:rPr>
        <w:t>108</w:t>
      </w:r>
      <w:r w:rsidRPr="00D55DC6">
        <w:rPr>
          <w:rFonts w:eastAsia="標楷體"/>
          <w:sz w:val="28"/>
          <w:szCs w:val="28"/>
        </w:rPr>
        <w:t>年將帶動觀光產值</w:t>
      </w:r>
      <w:r w:rsidRPr="00D55DC6">
        <w:rPr>
          <w:rFonts w:eastAsia="標楷體"/>
          <w:sz w:val="28"/>
          <w:szCs w:val="28"/>
        </w:rPr>
        <w:t>4</w:t>
      </w:r>
      <w:r w:rsidRPr="00D55DC6">
        <w:rPr>
          <w:rFonts w:eastAsia="標楷體"/>
          <w:sz w:val="28"/>
          <w:szCs w:val="28"/>
        </w:rPr>
        <w:t>年合計達</w:t>
      </w:r>
      <w:r w:rsidRPr="00D55DC6">
        <w:rPr>
          <w:rFonts w:eastAsia="標楷體"/>
          <w:sz w:val="28"/>
          <w:szCs w:val="28"/>
        </w:rPr>
        <w:t>322</w:t>
      </w:r>
      <w:r w:rsidRPr="00D55DC6">
        <w:rPr>
          <w:rFonts w:eastAsia="標楷體"/>
          <w:sz w:val="28"/>
          <w:szCs w:val="28"/>
        </w:rPr>
        <w:t>億元。</w:t>
      </w:r>
    </w:p>
    <w:p w:rsidR="00167B72" w:rsidRPr="00D55DC6" w:rsidRDefault="00167B72" w:rsidP="00167B72">
      <w:pPr>
        <w:snapToGrid w:val="0"/>
        <w:spacing w:line="460" w:lineRule="exact"/>
        <w:ind w:leftChars="354" w:left="850"/>
        <w:jc w:val="both"/>
        <w:rPr>
          <w:rFonts w:eastAsia="標楷體"/>
          <w:sz w:val="28"/>
          <w:szCs w:val="28"/>
        </w:rPr>
      </w:pPr>
      <w:r w:rsidRPr="00D55DC6">
        <w:rPr>
          <w:rFonts w:eastAsia="標楷體"/>
          <w:sz w:val="28"/>
          <w:szCs w:val="28"/>
        </w:rPr>
        <w:t>依據交通部觀光局「</w:t>
      </w:r>
      <w:r w:rsidRPr="00D55DC6">
        <w:rPr>
          <w:rFonts w:eastAsia="標楷體"/>
          <w:sz w:val="28"/>
          <w:szCs w:val="28"/>
        </w:rPr>
        <w:t>102</w:t>
      </w:r>
      <w:r w:rsidRPr="00D55DC6">
        <w:rPr>
          <w:rFonts w:eastAsia="標楷體"/>
          <w:sz w:val="28"/>
          <w:szCs w:val="28"/>
        </w:rPr>
        <w:t>年度國家風景區遊客調查報告」，以國內觀光客</w:t>
      </w:r>
      <w:r w:rsidRPr="00D55DC6">
        <w:rPr>
          <w:rFonts w:eastAsia="標楷體"/>
          <w:sz w:val="28"/>
          <w:szCs w:val="28"/>
        </w:rPr>
        <w:t>80%</w:t>
      </w:r>
      <w:r w:rsidRPr="00D55DC6">
        <w:rPr>
          <w:rFonts w:eastAsia="標楷體"/>
          <w:sz w:val="28"/>
          <w:szCs w:val="28"/>
        </w:rPr>
        <w:t>、國外觀光客</w:t>
      </w:r>
      <w:r w:rsidRPr="00D55DC6">
        <w:rPr>
          <w:rFonts w:eastAsia="標楷體"/>
          <w:sz w:val="28"/>
          <w:szCs w:val="28"/>
        </w:rPr>
        <w:t>20%</w:t>
      </w:r>
      <w:r w:rsidRPr="00D55DC6">
        <w:rPr>
          <w:rFonts w:eastAsia="標楷體"/>
          <w:sz w:val="28"/>
          <w:szCs w:val="28"/>
        </w:rPr>
        <w:t>之比例，推算每人每日平均消費為</w:t>
      </w:r>
      <w:r w:rsidRPr="00D55DC6">
        <w:rPr>
          <w:rFonts w:eastAsia="標楷體"/>
          <w:sz w:val="28"/>
          <w:szCs w:val="28"/>
        </w:rPr>
        <w:t>NT$2,830</w:t>
      </w:r>
      <w:r w:rsidRPr="00D55DC6">
        <w:rPr>
          <w:rFonts w:eastAsia="標楷體"/>
          <w:sz w:val="28"/>
          <w:szCs w:val="28"/>
        </w:rPr>
        <w:t>元，平均停留天數為</w:t>
      </w:r>
      <w:r w:rsidRPr="00D55DC6">
        <w:rPr>
          <w:rFonts w:eastAsia="標楷體"/>
          <w:sz w:val="28"/>
          <w:szCs w:val="28"/>
        </w:rPr>
        <w:t>3.29</w:t>
      </w:r>
      <w:r w:rsidRPr="00D55DC6">
        <w:rPr>
          <w:rFonts w:eastAsia="標楷體"/>
          <w:sz w:val="28"/>
          <w:szCs w:val="28"/>
        </w:rPr>
        <w:t>天。</w:t>
      </w:r>
    </w:p>
    <w:p w:rsidR="00167B72" w:rsidRPr="00D55DC6" w:rsidRDefault="00167B72" w:rsidP="00167B72">
      <w:pPr>
        <w:snapToGrid w:val="0"/>
        <w:spacing w:line="460" w:lineRule="exact"/>
        <w:ind w:leftChars="354" w:left="850"/>
        <w:jc w:val="both"/>
        <w:rPr>
          <w:rFonts w:eastAsia="標楷體"/>
          <w:b/>
          <w:sz w:val="28"/>
          <w:szCs w:val="28"/>
        </w:rPr>
      </w:pPr>
      <w:r w:rsidRPr="00D55DC6">
        <w:rPr>
          <w:rFonts w:eastAsia="標楷體"/>
          <w:sz w:val="28"/>
          <w:szCs w:val="28"/>
        </w:rPr>
        <w:t>觀光產值以</w:t>
      </w:r>
      <w:r w:rsidRPr="00D55DC6">
        <w:rPr>
          <w:rFonts w:eastAsia="標楷體"/>
          <w:sz w:val="28"/>
          <w:szCs w:val="28"/>
        </w:rPr>
        <w:t>105</w:t>
      </w:r>
      <w:r w:rsidRPr="00D55DC6">
        <w:rPr>
          <w:rFonts w:eastAsia="標楷體"/>
          <w:sz w:val="28"/>
          <w:szCs w:val="28"/>
        </w:rPr>
        <w:t>至</w:t>
      </w:r>
      <w:r w:rsidRPr="00D55DC6">
        <w:rPr>
          <w:rFonts w:eastAsia="標楷體"/>
          <w:sz w:val="28"/>
          <w:szCs w:val="28"/>
        </w:rPr>
        <w:t>108</w:t>
      </w:r>
      <w:r w:rsidRPr="00D55DC6">
        <w:rPr>
          <w:rFonts w:eastAsia="標楷體"/>
          <w:sz w:val="28"/>
          <w:szCs w:val="28"/>
        </w:rPr>
        <w:t>年度預估之遊客總人次</w:t>
      </w:r>
      <w:r w:rsidRPr="00D55DC6">
        <w:rPr>
          <w:rFonts w:eastAsia="標楷體"/>
          <w:sz w:val="28"/>
          <w:szCs w:val="28"/>
        </w:rPr>
        <w:t>325.2</w:t>
      </w:r>
      <w:r w:rsidRPr="00D55DC6">
        <w:rPr>
          <w:rFonts w:eastAsia="標楷體"/>
          <w:sz w:val="28"/>
          <w:szCs w:val="28"/>
        </w:rPr>
        <w:t>萬人</w:t>
      </w:r>
      <w:r w:rsidRPr="00D55DC6">
        <w:rPr>
          <w:rFonts w:eastAsia="標楷體"/>
          <w:sz w:val="28"/>
          <w:szCs w:val="28"/>
        </w:rPr>
        <w:t xml:space="preserve"> × </w:t>
      </w:r>
      <w:r w:rsidRPr="00D55DC6">
        <w:rPr>
          <w:rFonts w:eastAsia="標楷體"/>
          <w:sz w:val="28"/>
          <w:szCs w:val="28"/>
        </w:rPr>
        <w:t>每人每日平均消費</w:t>
      </w:r>
      <w:r w:rsidRPr="00D55DC6">
        <w:rPr>
          <w:rFonts w:eastAsia="標楷體"/>
          <w:sz w:val="28"/>
          <w:szCs w:val="28"/>
        </w:rPr>
        <w:t xml:space="preserve">NT$2,830 × </w:t>
      </w:r>
      <w:r w:rsidRPr="00D55DC6">
        <w:rPr>
          <w:rFonts w:eastAsia="標楷體"/>
          <w:sz w:val="28"/>
          <w:szCs w:val="28"/>
        </w:rPr>
        <w:t>停留天數</w:t>
      </w:r>
      <w:r w:rsidRPr="00D55DC6">
        <w:rPr>
          <w:rFonts w:eastAsia="標楷體"/>
          <w:sz w:val="28"/>
          <w:szCs w:val="28"/>
        </w:rPr>
        <w:t>3.5</w:t>
      </w:r>
      <w:r w:rsidRPr="00D55DC6">
        <w:rPr>
          <w:rFonts w:eastAsia="標楷體"/>
          <w:sz w:val="28"/>
          <w:szCs w:val="28"/>
        </w:rPr>
        <w:t>天估算，觀光產值總計約</w:t>
      </w:r>
      <w:r w:rsidRPr="00D55DC6">
        <w:rPr>
          <w:rFonts w:eastAsia="標楷體"/>
          <w:sz w:val="28"/>
          <w:szCs w:val="28"/>
        </w:rPr>
        <w:t>322</w:t>
      </w:r>
      <w:r w:rsidRPr="00D55DC6">
        <w:rPr>
          <w:rFonts w:eastAsia="標楷體"/>
          <w:sz w:val="28"/>
          <w:szCs w:val="28"/>
        </w:rPr>
        <w:t>億元。</w:t>
      </w:r>
    </w:p>
    <w:p w:rsidR="00986223" w:rsidRPr="00D55DC6" w:rsidRDefault="00986223" w:rsidP="00986223">
      <w:pPr>
        <w:snapToGrid w:val="0"/>
        <w:spacing w:line="460" w:lineRule="exact"/>
        <w:ind w:leftChars="354" w:left="850"/>
        <w:jc w:val="both"/>
        <w:rPr>
          <w:rFonts w:eastAsia="標楷體"/>
          <w:sz w:val="28"/>
          <w:szCs w:val="28"/>
        </w:rPr>
      </w:pPr>
    </w:p>
    <w:p w:rsidR="00986223" w:rsidRPr="00D55DC6" w:rsidRDefault="00986223" w:rsidP="00986223">
      <w:pPr>
        <w:snapToGrid w:val="0"/>
        <w:spacing w:line="460" w:lineRule="exact"/>
        <w:ind w:leftChars="354" w:left="850"/>
        <w:jc w:val="both"/>
        <w:rPr>
          <w:rFonts w:eastAsia="標楷體"/>
          <w:sz w:val="28"/>
          <w:szCs w:val="28"/>
        </w:rPr>
      </w:pPr>
    </w:p>
    <w:p w:rsidR="00986223" w:rsidRPr="00D55DC6" w:rsidRDefault="00986223" w:rsidP="00986223">
      <w:pPr>
        <w:numPr>
          <w:ilvl w:val="0"/>
          <w:numId w:val="1"/>
        </w:numPr>
        <w:snapToGrid w:val="0"/>
        <w:spacing w:line="460" w:lineRule="exact"/>
        <w:ind w:left="709" w:hanging="709"/>
        <w:jc w:val="both"/>
        <w:rPr>
          <w:rFonts w:eastAsia="標楷體"/>
          <w:b/>
          <w:sz w:val="28"/>
          <w:szCs w:val="28"/>
        </w:rPr>
      </w:pPr>
      <w:r w:rsidRPr="00D55DC6">
        <w:rPr>
          <w:rFonts w:eastAsia="標楷體"/>
          <w:b/>
          <w:sz w:val="28"/>
          <w:szCs w:val="28"/>
        </w:rPr>
        <w:t>財務計畫</w:t>
      </w:r>
    </w:p>
    <w:p w:rsidR="00986223" w:rsidRPr="00D55DC6" w:rsidRDefault="00986223" w:rsidP="004865C1">
      <w:pPr>
        <w:numPr>
          <w:ilvl w:val="0"/>
          <w:numId w:val="211"/>
        </w:numPr>
        <w:snapToGrid w:val="0"/>
        <w:spacing w:line="460" w:lineRule="exact"/>
        <w:ind w:left="1134" w:hanging="850"/>
        <w:jc w:val="both"/>
        <w:rPr>
          <w:rFonts w:eastAsia="標楷體"/>
          <w:b/>
          <w:sz w:val="28"/>
          <w:szCs w:val="28"/>
        </w:rPr>
      </w:pPr>
      <w:r w:rsidRPr="00D55DC6">
        <w:rPr>
          <w:rFonts w:eastAsia="標楷體"/>
          <w:b/>
          <w:sz w:val="28"/>
          <w:szCs w:val="28"/>
        </w:rPr>
        <w:t>財務計畫核定情形</w:t>
      </w:r>
    </w:p>
    <w:p w:rsidR="00986223" w:rsidRPr="00D55DC6" w:rsidRDefault="00986223" w:rsidP="00986223">
      <w:pPr>
        <w:snapToGrid w:val="0"/>
        <w:spacing w:line="460" w:lineRule="exact"/>
        <w:ind w:left="1134"/>
        <w:jc w:val="both"/>
        <w:rPr>
          <w:rFonts w:eastAsia="標楷體"/>
          <w:sz w:val="28"/>
          <w:szCs w:val="28"/>
        </w:rPr>
      </w:pPr>
      <w:r w:rsidRPr="00D55DC6">
        <w:rPr>
          <w:rFonts w:eastAsia="標楷體"/>
          <w:sz w:val="28"/>
          <w:szCs w:val="28"/>
        </w:rPr>
        <w:t>依據管理處</w:t>
      </w:r>
      <w:r w:rsidRPr="00D55DC6">
        <w:rPr>
          <w:rFonts w:eastAsia="標楷體"/>
          <w:sz w:val="28"/>
          <w:szCs w:val="28"/>
        </w:rPr>
        <w:t>103</w:t>
      </w:r>
      <w:r w:rsidRPr="00D55DC6">
        <w:rPr>
          <w:rFonts w:eastAsia="標楷體"/>
          <w:sz w:val="28"/>
          <w:szCs w:val="28"/>
        </w:rPr>
        <w:t>年委託辦理之「澎湖觀光整體發展計畫檢討之報核作業規劃計畫」，本計畫預估未來</w:t>
      </w:r>
      <w:r w:rsidRPr="00D55DC6">
        <w:rPr>
          <w:rFonts w:eastAsia="標楷體"/>
          <w:sz w:val="28"/>
          <w:szCs w:val="28"/>
        </w:rPr>
        <w:t>20</w:t>
      </w:r>
      <w:r w:rsidRPr="00D55DC6">
        <w:rPr>
          <w:rFonts w:eastAsia="標楷體"/>
          <w:sz w:val="28"/>
          <w:szCs w:val="28"/>
        </w:rPr>
        <w:t>年期間（</w:t>
      </w:r>
      <w:r w:rsidRPr="00D55DC6">
        <w:rPr>
          <w:rFonts w:eastAsia="標楷體"/>
          <w:sz w:val="28"/>
          <w:szCs w:val="28"/>
        </w:rPr>
        <w:t>103</w:t>
      </w:r>
      <w:r w:rsidRPr="00D55DC6">
        <w:rPr>
          <w:rFonts w:eastAsia="標楷體"/>
          <w:sz w:val="28"/>
          <w:szCs w:val="28"/>
        </w:rPr>
        <w:t>至</w:t>
      </w:r>
      <w:r w:rsidRPr="00D55DC6">
        <w:rPr>
          <w:rFonts w:eastAsia="標楷體"/>
          <w:sz w:val="28"/>
          <w:szCs w:val="28"/>
        </w:rPr>
        <w:t>122</w:t>
      </w:r>
      <w:r w:rsidRPr="00D55DC6">
        <w:rPr>
          <w:rFonts w:eastAsia="標楷體"/>
          <w:sz w:val="28"/>
          <w:szCs w:val="28"/>
        </w:rPr>
        <w:t>年）計畫投入現值為</w:t>
      </w:r>
      <w:r w:rsidRPr="00D55DC6">
        <w:rPr>
          <w:rFonts w:eastAsia="標楷體"/>
          <w:sz w:val="28"/>
          <w:szCs w:val="28"/>
        </w:rPr>
        <w:t>24</w:t>
      </w:r>
      <w:r w:rsidRPr="00D55DC6">
        <w:rPr>
          <w:rFonts w:eastAsia="標楷體"/>
          <w:sz w:val="28"/>
          <w:szCs w:val="28"/>
        </w:rPr>
        <w:t>億</w:t>
      </w:r>
      <w:r w:rsidRPr="00D55DC6">
        <w:rPr>
          <w:rFonts w:eastAsia="標楷體"/>
          <w:sz w:val="28"/>
          <w:szCs w:val="28"/>
        </w:rPr>
        <w:t>8,191</w:t>
      </w:r>
      <w:r w:rsidRPr="00D55DC6">
        <w:rPr>
          <w:rFonts w:eastAsia="標楷體"/>
          <w:sz w:val="28"/>
          <w:szCs w:val="28"/>
        </w:rPr>
        <w:t>萬元，而收益預估現值為</w:t>
      </w:r>
      <w:r w:rsidRPr="00D55DC6">
        <w:rPr>
          <w:rFonts w:eastAsia="標楷體"/>
          <w:sz w:val="28"/>
          <w:szCs w:val="28"/>
        </w:rPr>
        <w:t>3</w:t>
      </w:r>
      <w:r w:rsidRPr="00D55DC6">
        <w:rPr>
          <w:rFonts w:eastAsia="標楷體"/>
          <w:sz w:val="28"/>
          <w:szCs w:val="28"/>
        </w:rPr>
        <w:t>億</w:t>
      </w:r>
      <w:r w:rsidRPr="00D55DC6">
        <w:rPr>
          <w:rFonts w:eastAsia="標楷體"/>
          <w:sz w:val="28"/>
          <w:szCs w:val="28"/>
        </w:rPr>
        <w:t>7,489</w:t>
      </w:r>
      <w:r w:rsidRPr="00D55DC6">
        <w:rPr>
          <w:rFonts w:eastAsia="標楷體"/>
          <w:sz w:val="28"/>
          <w:szCs w:val="28"/>
        </w:rPr>
        <w:t>萬元，整體計畫自償率為</w:t>
      </w:r>
      <w:r w:rsidRPr="00D55DC6">
        <w:rPr>
          <w:rFonts w:eastAsia="標楷體"/>
          <w:sz w:val="28"/>
          <w:szCs w:val="28"/>
        </w:rPr>
        <w:t>15.10%</w:t>
      </w:r>
      <w:r w:rsidRPr="00D55DC6">
        <w:rPr>
          <w:rFonts w:eastAsia="標楷體"/>
          <w:sz w:val="28"/>
          <w:szCs w:val="28"/>
        </w:rPr>
        <w:t>。</w:t>
      </w:r>
    </w:p>
    <w:p w:rsidR="00986223" w:rsidRPr="00D55DC6" w:rsidRDefault="00986223" w:rsidP="00986223">
      <w:pPr>
        <w:snapToGrid w:val="0"/>
        <w:spacing w:line="460" w:lineRule="exact"/>
        <w:ind w:left="1134"/>
        <w:jc w:val="both"/>
        <w:rPr>
          <w:rFonts w:eastAsia="標楷體"/>
          <w:sz w:val="28"/>
          <w:szCs w:val="28"/>
        </w:rPr>
      </w:pPr>
    </w:p>
    <w:p w:rsidR="00986223" w:rsidRPr="00D55DC6" w:rsidRDefault="00986223" w:rsidP="004865C1">
      <w:pPr>
        <w:numPr>
          <w:ilvl w:val="0"/>
          <w:numId w:val="211"/>
        </w:numPr>
        <w:snapToGrid w:val="0"/>
        <w:spacing w:line="460" w:lineRule="exact"/>
        <w:ind w:left="1148"/>
        <w:jc w:val="both"/>
        <w:rPr>
          <w:rFonts w:eastAsia="標楷體"/>
          <w:b/>
          <w:sz w:val="28"/>
          <w:szCs w:val="28"/>
        </w:rPr>
      </w:pPr>
      <w:r w:rsidRPr="00D55DC6">
        <w:rPr>
          <w:rFonts w:eastAsia="標楷體"/>
          <w:b/>
          <w:sz w:val="28"/>
          <w:szCs w:val="28"/>
        </w:rPr>
        <w:t>預估財務收入情形</w:t>
      </w:r>
    </w:p>
    <w:p w:rsidR="00986223" w:rsidRPr="00D55DC6" w:rsidRDefault="00986223" w:rsidP="00986223">
      <w:pPr>
        <w:snapToGrid w:val="0"/>
        <w:spacing w:line="460" w:lineRule="exact"/>
        <w:ind w:left="1134"/>
        <w:jc w:val="both"/>
        <w:rPr>
          <w:rFonts w:eastAsia="標楷體"/>
          <w:sz w:val="28"/>
          <w:szCs w:val="28"/>
        </w:rPr>
      </w:pPr>
      <w:r w:rsidRPr="00D55DC6">
        <w:rPr>
          <w:rFonts w:eastAsia="標楷體"/>
          <w:sz w:val="28"/>
          <w:szCs w:val="28"/>
        </w:rPr>
        <w:t>透過推動設施出租及使用者付費、重大促參案件及規劃新增收益等方向，積極提升計畫自償率。詳如預估財務收入分年規劃表。</w:t>
      </w:r>
    </w:p>
    <w:p w:rsidR="00986223" w:rsidRPr="00D55DC6" w:rsidRDefault="00986223" w:rsidP="00986223">
      <w:pPr>
        <w:snapToGrid w:val="0"/>
        <w:spacing w:line="460" w:lineRule="exact"/>
        <w:ind w:left="1134"/>
        <w:jc w:val="both"/>
        <w:rPr>
          <w:rFonts w:eastAsia="標楷體"/>
          <w:sz w:val="28"/>
          <w:szCs w:val="28"/>
        </w:rPr>
      </w:pPr>
    </w:p>
    <w:p w:rsidR="00FB3FB3" w:rsidRPr="00D55DC6" w:rsidRDefault="00FB3FB3" w:rsidP="00986223">
      <w:pPr>
        <w:snapToGrid w:val="0"/>
        <w:spacing w:line="460" w:lineRule="exact"/>
        <w:ind w:left="1134"/>
        <w:jc w:val="both"/>
        <w:rPr>
          <w:rFonts w:eastAsia="標楷體"/>
          <w:sz w:val="28"/>
          <w:szCs w:val="28"/>
        </w:rPr>
      </w:pPr>
    </w:p>
    <w:p w:rsidR="00986223" w:rsidRPr="00D55DC6" w:rsidRDefault="00986223" w:rsidP="00986223">
      <w:pPr>
        <w:keepNext/>
        <w:ind w:rightChars="-316" w:right="-758"/>
        <w:rPr>
          <w:rFonts w:eastAsia="標楷體"/>
          <w:sz w:val="20"/>
          <w:szCs w:val="20"/>
        </w:rPr>
      </w:pPr>
      <w:r w:rsidRPr="00D55DC6">
        <w:rPr>
          <w:rFonts w:eastAsia="標楷體"/>
        </w:rPr>
        <w:lastRenderedPageBreak/>
        <w:t>表</w:t>
      </w:r>
      <w:r w:rsidRPr="00D55DC6">
        <w:rPr>
          <w:rFonts w:eastAsia="標楷體"/>
        </w:rPr>
        <w:t xml:space="preserve">1  </w:t>
      </w:r>
      <w:r w:rsidRPr="00D55DC6">
        <w:rPr>
          <w:rFonts w:eastAsia="標楷體"/>
        </w:rPr>
        <w:t>澎湖國家風景區預估財務收入分年規劃表</w:t>
      </w:r>
      <w:r w:rsidRPr="00D55DC6">
        <w:rPr>
          <w:rFonts w:eastAsia="標楷體"/>
        </w:rPr>
        <w:t xml:space="preserve">                      </w:t>
      </w:r>
      <w:r w:rsidRPr="00D55DC6">
        <w:rPr>
          <w:rFonts w:eastAsia="標楷體"/>
        </w:rPr>
        <w:t xml:space="preserve">　　　</w:t>
      </w:r>
      <w:r w:rsidRPr="00D55DC6">
        <w:rPr>
          <w:rFonts w:eastAsia="標楷體"/>
        </w:rPr>
        <w:t xml:space="preserve"> </w:t>
      </w:r>
      <w:r w:rsidRPr="00D55DC6">
        <w:rPr>
          <w:rFonts w:eastAsia="標楷體"/>
          <w:sz w:val="20"/>
          <w:szCs w:val="20"/>
        </w:rPr>
        <w:t>（單位：千元）</w:t>
      </w:r>
    </w:p>
    <w:tbl>
      <w:tblPr>
        <w:tblW w:w="9957" w:type="dxa"/>
        <w:tblInd w:w="-539" w:type="dxa"/>
        <w:tblLayout w:type="fixed"/>
        <w:tblCellMar>
          <w:left w:w="28" w:type="dxa"/>
          <w:right w:w="28" w:type="dxa"/>
        </w:tblCellMar>
        <w:tblLook w:val="04A0" w:firstRow="1" w:lastRow="0" w:firstColumn="1" w:lastColumn="0" w:noHBand="0" w:noVBand="1"/>
      </w:tblPr>
      <w:tblGrid>
        <w:gridCol w:w="2694"/>
        <w:gridCol w:w="726"/>
        <w:gridCol w:w="726"/>
        <w:gridCol w:w="726"/>
        <w:gridCol w:w="727"/>
        <w:gridCol w:w="726"/>
        <w:gridCol w:w="726"/>
        <w:gridCol w:w="727"/>
        <w:gridCol w:w="726"/>
        <w:gridCol w:w="726"/>
        <w:gridCol w:w="727"/>
      </w:tblGrid>
      <w:tr w:rsidR="001D0350" w:rsidRPr="00D55DC6" w:rsidTr="00167B72">
        <w:trPr>
          <w:trHeight w:val="60"/>
        </w:trPr>
        <w:tc>
          <w:tcPr>
            <w:tcW w:w="2694" w:type="dxa"/>
            <w:tcBorders>
              <w:top w:val="single" w:sz="4" w:space="0" w:color="auto"/>
              <w:left w:val="single" w:sz="4" w:space="0" w:color="auto"/>
              <w:bottom w:val="double" w:sz="6" w:space="0" w:color="auto"/>
              <w:right w:val="single" w:sz="4" w:space="0" w:color="auto"/>
            </w:tcBorders>
            <w:shd w:val="clear" w:color="000000" w:fill="FFCC00"/>
            <w:vAlign w:val="center"/>
          </w:tcPr>
          <w:p w:rsidR="00986223" w:rsidRPr="00D55DC6" w:rsidRDefault="00986223" w:rsidP="00986223">
            <w:pPr>
              <w:widowControl/>
              <w:snapToGrid w:val="0"/>
              <w:spacing w:line="360" w:lineRule="exact"/>
              <w:rPr>
                <w:rFonts w:eastAsia="標楷體"/>
                <w:kern w:val="0"/>
                <w:sz w:val="20"/>
                <w:szCs w:val="20"/>
              </w:rPr>
            </w:pPr>
            <w:r w:rsidRPr="00D55DC6">
              <w:rPr>
                <w:rFonts w:eastAsia="標楷體"/>
                <w:kern w:val="0"/>
                <w:sz w:val="20"/>
                <w:szCs w:val="20"/>
              </w:rPr>
              <w:t xml:space="preserve">　　　　　　　　　　</w:t>
            </w:r>
            <w:r w:rsidRPr="00D55DC6">
              <w:rPr>
                <w:rFonts w:eastAsia="標楷體"/>
                <w:kern w:val="0"/>
                <w:sz w:val="22"/>
                <w:szCs w:val="20"/>
              </w:rPr>
              <w:t>年度</w:t>
            </w:r>
            <w:r w:rsidRPr="00D55DC6">
              <w:rPr>
                <w:rFonts w:eastAsia="標楷體"/>
                <w:kern w:val="0"/>
                <w:sz w:val="22"/>
                <w:szCs w:val="20"/>
              </w:rPr>
              <w:br/>
            </w:r>
            <w:r w:rsidRPr="00D55DC6">
              <w:rPr>
                <w:rFonts w:eastAsia="標楷體"/>
                <w:kern w:val="0"/>
                <w:sz w:val="22"/>
                <w:szCs w:val="20"/>
              </w:rPr>
              <w:t>收益項目</w:t>
            </w:r>
          </w:p>
        </w:tc>
        <w:tc>
          <w:tcPr>
            <w:tcW w:w="726"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widowControl/>
              <w:snapToGrid w:val="0"/>
              <w:spacing w:line="360" w:lineRule="exact"/>
              <w:jc w:val="center"/>
              <w:rPr>
                <w:rFonts w:eastAsia="標楷體"/>
                <w:kern w:val="0"/>
                <w:sz w:val="20"/>
                <w:szCs w:val="20"/>
              </w:rPr>
            </w:pPr>
            <w:r w:rsidRPr="00D55DC6">
              <w:rPr>
                <w:rFonts w:eastAsia="標楷體"/>
                <w:kern w:val="0"/>
                <w:sz w:val="20"/>
                <w:szCs w:val="20"/>
              </w:rPr>
              <w:t>103</w:t>
            </w:r>
          </w:p>
        </w:tc>
        <w:tc>
          <w:tcPr>
            <w:tcW w:w="726"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widowControl/>
              <w:snapToGrid w:val="0"/>
              <w:spacing w:line="360" w:lineRule="exact"/>
              <w:jc w:val="center"/>
              <w:rPr>
                <w:rFonts w:eastAsia="標楷體"/>
                <w:kern w:val="0"/>
                <w:sz w:val="20"/>
                <w:szCs w:val="20"/>
              </w:rPr>
            </w:pPr>
            <w:r w:rsidRPr="00D55DC6">
              <w:rPr>
                <w:rFonts w:eastAsia="標楷體"/>
                <w:kern w:val="0"/>
                <w:sz w:val="20"/>
                <w:szCs w:val="20"/>
              </w:rPr>
              <w:t>104</w:t>
            </w:r>
          </w:p>
        </w:tc>
        <w:tc>
          <w:tcPr>
            <w:tcW w:w="726"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widowControl/>
              <w:snapToGrid w:val="0"/>
              <w:spacing w:line="360" w:lineRule="exact"/>
              <w:jc w:val="center"/>
              <w:rPr>
                <w:rFonts w:eastAsia="標楷體"/>
                <w:kern w:val="0"/>
                <w:sz w:val="20"/>
                <w:szCs w:val="20"/>
              </w:rPr>
            </w:pPr>
            <w:r w:rsidRPr="00D55DC6">
              <w:rPr>
                <w:rFonts w:eastAsia="標楷體"/>
                <w:kern w:val="0"/>
                <w:sz w:val="20"/>
                <w:szCs w:val="20"/>
              </w:rPr>
              <w:t>105</w:t>
            </w:r>
          </w:p>
        </w:tc>
        <w:tc>
          <w:tcPr>
            <w:tcW w:w="727"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widowControl/>
              <w:snapToGrid w:val="0"/>
              <w:spacing w:line="360" w:lineRule="exact"/>
              <w:jc w:val="center"/>
              <w:rPr>
                <w:rFonts w:eastAsia="標楷體"/>
                <w:kern w:val="0"/>
                <w:sz w:val="20"/>
                <w:szCs w:val="20"/>
              </w:rPr>
            </w:pPr>
            <w:r w:rsidRPr="00D55DC6">
              <w:rPr>
                <w:rFonts w:eastAsia="標楷體"/>
                <w:kern w:val="0"/>
                <w:sz w:val="20"/>
                <w:szCs w:val="20"/>
              </w:rPr>
              <w:t>106</w:t>
            </w:r>
          </w:p>
        </w:tc>
        <w:tc>
          <w:tcPr>
            <w:tcW w:w="726"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widowControl/>
              <w:snapToGrid w:val="0"/>
              <w:spacing w:line="360" w:lineRule="exact"/>
              <w:jc w:val="center"/>
              <w:rPr>
                <w:rFonts w:eastAsia="標楷體"/>
                <w:kern w:val="0"/>
                <w:sz w:val="20"/>
                <w:szCs w:val="20"/>
              </w:rPr>
            </w:pPr>
            <w:r w:rsidRPr="00D55DC6">
              <w:rPr>
                <w:rFonts w:eastAsia="標楷體"/>
                <w:kern w:val="0"/>
                <w:sz w:val="20"/>
                <w:szCs w:val="20"/>
              </w:rPr>
              <w:t>107</w:t>
            </w:r>
          </w:p>
        </w:tc>
        <w:tc>
          <w:tcPr>
            <w:tcW w:w="726"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widowControl/>
              <w:snapToGrid w:val="0"/>
              <w:spacing w:line="360" w:lineRule="exact"/>
              <w:jc w:val="center"/>
              <w:rPr>
                <w:rFonts w:eastAsia="標楷體"/>
                <w:kern w:val="0"/>
                <w:sz w:val="20"/>
                <w:szCs w:val="20"/>
              </w:rPr>
            </w:pPr>
            <w:r w:rsidRPr="00D55DC6">
              <w:rPr>
                <w:rFonts w:eastAsia="標楷體"/>
                <w:kern w:val="0"/>
                <w:sz w:val="20"/>
                <w:szCs w:val="20"/>
              </w:rPr>
              <w:t>108</w:t>
            </w:r>
          </w:p>
        </w:tc>
        <w:tc>
          <w:tcPr>
            <w:tcW w:w="727"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widowControl/>
              <w:snapToGrid w:val="0"/>
              <w:spacing w:line="360" w:lineRule="exact"/>
              <w:jc w:val="center"/>
              <w:rPr>
                <w:rFonts w:eastAsia="標楷體"/>
                <w:kern w:val="0"/>
                <w:sz w:val="20"/>
                <w:szCs w:val="20"/>
              </w:rPr>
            </w:pPr>
            <w:r w:rsidRPr="00D55DC6">
              <w:rPr>
                <w:rFonts w:eastAsia="標楷體"/>
                <w:kern w:val="0"/>
                <w:sz w:val="20"/>
                <w:szCs w:val="20"/>
              </w:rPr>
              <w:t>109</w:t>
            </w:r>
          </w:p>
        </w:tc>
        <w:tc>
          <w:tcPr>
            <w:tcW w:w="726"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widowControl/>
              <w:snapToGrid w:val="0"/>
              <w:spacing w:line="360" w:lineRule="exact"/>
              <w:jc w:val="center"/>
              <w:rPr>
                <w:rFonts w:eastAsia="標楷體"/>
                <w:kern w:val="0"/>
                <w:sz w:val="20"/>
                <w:szCs w:val="20"/>
              </w:rPr>
            </w:pPr>
            <w:r w:rsidRPr="00D55DC6">
              <w:rPr>
                <w:rFonts w:eastAsia="標楷體"/>
                <w:kern w:val="0"/>
                <w:sz w:val="20"/>
                <w:szCs w:val="20"/>
              </w:rPr>
              <w:t>110</w:t>
            </w:r>
          </w:p>
        </w:tc>
        <w:tc>
          <w:tcPr>
            <w:tcW w:w="726"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widowControl/>
              <w:snapToGrid w:val="0"/>
              <w:spacing w:line="360" w:lineRule="exact"/>
              <w:jc w:val="center"/>
              <w:rPr>
                <w:rFonts w:eastAsia="標楷體"/>
                <w:kern w:val="0"/>
                <w:sz w:val="20"/>
                <w:szCs w:val="20"/>
              </w:rPr>
            </w:pPr>
            <w:r w:rsidRPr="00D55DC6">
              <w:rPr>
                <w:rFonts w:eastAsia="標楷體"/>
                <w:kern w:val="0"/>
                <w:sz w:val="20"/>
                <w:szCs w:val="20"/>
              </w:rPr>
              <w:t>111</w:t>
            </w:r>
          </w:p>
        </w:tc>
        <w:tc>
          <w:tcPr>
            <w:tcW w:w="727"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widowControl/>
              <w:snapToGrid w:val="0"/>
              <w:spacing w:line="360" w:lineRule="exact"/>
              <w:jc w:val="center"/>
              <w:rPr>
                <w:rFonts w:eastAsia="標楷體"/>
                <w:kern w:val="0"/>
                <w:sz w:val="20"/>
                <w:szCs w:val="20"/>
              </w:rPr>
            </w:pPr>
            <w:r w:rsidRPr="00D55DC6">
              <w:rPr>
                <w:rFonts w:eastAsia="標楷體"/>
                <w:kern w:val="0"/>
                <w:sz w:val="20"/>
                <w:szCs w:val="20"/>
              </w:rPr>
              <w:t>112</w:t>
            </w:r>
          </w:p>
        </w:tc>
      </w:tr>
      <w:tr w:rsidR="001D0350" w:rsidRPr="00D55DC6" w:rsidTr="00167B72">
        <w:trPr>
          <w:trHeight w:val="25"/>
        </w:trPr>
        <w:tc>
          <w:tcPr>
            <w:tcW w:w="2694" w:type="dxa"/>
            <w:tcBorders>
              <w:top w:val="nil"/>
              <w:left w:val="single" w:sz="4" w:space="0" w:color="auto"/>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widowControl/>
              <w:snapToGrid w:val="0"/>
              <w:spacing w:line="360" w:lineRule="exact"/>
              <w:rPr>
                <w:rFonts w:eastAsia="標楷體"/>
                <w:kern w:val="0"/>
                <w:sz w:val="20"/>
                <w:szCs w:val="20"/>
              </w:rPr>
            </w:pPr>
            <w:r w:rsidRPr="00D55DC6">
              <w:rPr>
                <w:rFonts w:eastAsia="標楷體"/>
                <w:kern w:val="0"/>
                <w:sz w:val="20"/>
                <w:szCs w:val="20"/>
              </w:rPr>
              <w:t>一、既有出租據點收益</w:t>
            </w:r>
          </w:p>
        </w:tc>
        <w:tc>
          <w:tcPr>
            <w:tcW w:w="726"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5,530 </w:t>
            </w:r>
          </w:p>
        </w:tc>
        <w:tc>
          <w:tcPr>
            <w:tcW w:w="726"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5,530 </w:t>
            </w:r>
          </w:p>
        </w:tc>
        <w:tc>
          <w:tcPr>
            <w:tcW w:w="726"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5,530 </w:t>
            </w:r>
          </w:p>
        </w:tc>
        <w:tc>
          <w:tcPr>
            <w:tcW w:w="727"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5,569 </w:t>
            </w:r>
          </w:p>
        </w:tc>
        <w:tc>
          <w:tcPr>
            <w:tcW w:w="726"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5,608 </w:t>
            </w:r>
          </w:p>
        </w:tc>
        <w:tc>
          <w:tcPr>
            <w:tcW w:w="726"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5,647 </w:t>
            </w:r>
          </w:p>
        </w:tc>
        <w:tc>
          <w:tcPr>
            <w:tcW w:w="727"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5,686 </w:t>
            </w:r>
          </w:p>
        </w:tc>
        <w:tc>
          <w:tcPr>
            <w:tcW w:w="726"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5,726 </w:t>
            </w:r>
          </w:p>
        </w:tc>
        <w:tc>
          <w:tcPr>
            <w:tcW w:w="726"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5,766 </w:t>
            </w:r>
          </w:p>
        </w:tc>
        <w:tc>
          <w:tcPr>
            <w:tcW w:w="727"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5,807 </w:t>
            </w:r>
          </w:p>
        </w:tc>
      </w:tr>
      <w:tr w:rsidR="001D0350" w:rsidRPr="00D55DC6" w:rsidTr="00167B72">
        <w:trPr>
          <w:trHeight w:val="60"/>
        </w:trPr>
        <w:tc>
          <w:tcPr>
            <w:tcW w:w="2694" w:type="dxa"/>
            <w:tcBorders>
              <w:top w:val="nil"/>
              <w:left w:val="single" w:sz="4" w:space="0" w:color="auto"/>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widowControl/>
              <w:snapToGrid w:val="0"/>
              <w:spacing w:line="360" w:lineRule="exact"/>
              <w:rPr>
                <w:rFonts w:eastAsia="標楷體"/>
                <w:kern w:val="0"/>
                <w:sz w:val="20"/>
                <w:szCs w:val="20"/>
              </w:rPr>
            </w:pPr>
            <w:r w:rsidRPr="00D55DC6">
              <w:rPr>
                <w:rFonts w:eastAsia="標楷體"/>
                <w:kern w:val="0"/>
                <w:sz w:val="20"/>
                <w:szCs w:val="20"/>
              </w:rPr>
              <w:t>二、依促參法相關收益</w:t>
            </w:r>
          </w:p>
        </w:tc>
        <w:tc>
          <w:tcPr>
            <w:tcW w:w="726"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2,283 </w:t>
            </w:r>
          </w:p>
        </w:tc>
        <w:tc>
          <w:tcPr>
            <w:tcW w:w="726"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2,283 </w:t>
            </w:r>
          </w:p>
        </w:tc>
        <w:tc>
          <w:tcPr>
            <w:tcW w:w="726"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2,283 </w:t>
            </w:r>
          </w:p>
        </w:tc>
        <w:tc>
          <w:tcPr>
            <w:tcW w:w="727"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2,439 </w:t>
            </w:r>
          </w:p>
        </w:tc>
        <w:tc>
          <w:tcPr>
            <w:tcW w:w="726"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10,167 </w:t>
            </w:r>
          </w:p>
        </w:tc>
        <w:tc>
          <w:tcPr>
            <w:tcW w:w="726"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9,781 </w:t>
            </w:r>
          </w:p>
        </w:tc>
        <w:tc>
          <w:tcPr>
            <w:tcW w:w="727"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10,003 </w:t>
            </w:r>
          </w:p>
        </w:tc>
        <w:tc>
          <w:tcPr>
            <w:tcW w:w="726"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8,492 </w:t>
            </w:r>
          </w:p>
        </w:tc>
        <w:tc>
          <w:tcPr>
            <w:tcW w:w="726"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13,911 </w:t>
            </w:r>
          </w:p>
        </w:tc>
        <w:tc>
          <w:tcPr>
            <w:tcW w:w="727"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14,341 </w:t>
            </w:r>
          </w:p>
        </w:tc>
      </w:tr>
      <w:tr w:rsidR="001D0350" w:rsidRPr="00D55DC6" w:rsidTr="00167B72">
        <w:trPr>
          <w:trHeight w:val="60"/>
        </w:trPr>
        <w:tc>
          <w:tcPr>
            <w:tcW w:w="2694" w:type="dxa"/>
            <w:tcBorders>
              <w:top w:val="nil"/>
              <w:left w:val="single" w:sz="4" w:space="0" w:color="auto"/>
              <w:bottom w:val="single" w:sz="4" w:space="0" w:color="auto"/>
              <w:right w:val="single" w:sz="4" w:space="0" w:color="auto"/>
            </w:tcBorders>
            <w:shd w:val="clear" w:color="000000" w:fill="D9D9D9"/>
            <w:noWrap/>
            <w:vAlign w:val="center"/>
          </w:tcPr>
          <w:p w:rsidR="00986223" w:rsidRPr="00D55DC6" w:rsidRDefault="00986223" w:rsidP="00986223">
            <w:pPr>
              <w:widowControl/>
              <w:snapToGrid w:val="0"/>
              <w:spacing w:line="360" w:lineRule="exact"/>
              <w:ind w:leftChars="92" w:left="221"/>
              <w:rPr>
                <w:rFonts w:eastAsia="標楷體"/>
                <w:kern w:val="0"/>
                <w:sz w:val="20"/>
                <w:szCs w:val="20"/>
              </w:rPr>
            </w:pPr>
            <w:r w:rsidRPr="00D55DC6">
              <w:rPr>
                <w:rFonts w:eastAsia="標楷體"/>
                <w:kern w:val="0"/>
                <w:sz w:val="20"/>
                <w:szCs w:val="20"/>
              </w:rPr>
              <w:t>1.</w:t>
            </w:r>
            <w:r w:rsidRPr="00D55DC6">
              <w:rPr>
                <w:rFonts w:eastAsia="標楷體"/>
                <w:kern w:val="0"/>
                <w:sz w:val="20"/>
                <w:szCs w:val="20"/>
              </w:rPr>
              <w:t>租金及權利金收益</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2,283 </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2,283 </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2,283 </w:t>
            </w:r>
          </w:p>
        </w:tc>
        <w:tc>
          <w:tcPr>
            <w:tcW w:w="727"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2,439 </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3,077 </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2,691 </w:t>
            </w:r>
          </w:p>
        </w:tc>
        <w:tc>
          <w:tcPr>
            <w:tcW w:w="727"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2,488 </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2,704 </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3,143 </w:t>
            </w:r>
          </w:p>
        </w:tc>
        <w:tc>
          <w:tcPr>
            <w:tcW w:w="727"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2,757 </w:t>
            </w:r>
          </w:p>
        </w:tc>
      </w:tr>
      <w:tr w:rsidR="001D0350" w:rsidRPr="00D55DC6" w:rsidTr="00167B72">
        <w:trPr>
          <w:trHeight w:val="60"/>
        </w:trPr>
        <w:tc>
          <w:tcPr>
            <w:tcW w:w="2694" w:type="dxa"/>
            <w:tcBorders>
              <w:top w:val="nil"/>
              <w:left w:val="single" w:sz="4" w:space="0" w:color="auto"/>
              <w:bottom w:val="single" w:sz="4" w:space="0" w:color="auto"/>
              <w:right w:val="single" w:sz="4" w:space="0" w:color="auto"/>
            </w:tcBorders>
            <w:shd w:val="clear" w:color="000000" w:fill="D9D9D9"/>
            <w:noWrap/>
            <w:vAlign w:val="center"/>
          </w:tcPr>
          <w:p w:rsidR="00986223" w:rsidRPr="00D55DC6" w:rsidRDefault="00986223" w:rsidP="00986223">
            <w:pPr>
              <w:widowControl/>
              <w:snapToGrid w:val="0"/>
              <w:spacing w:line="360" w:lineRule="exact"/>
              <w:ind w:leftChars="92" w:left="221"/>
              <w:rPr>
                <w:rFonts w:eastAsia="標楷體"/>
                <w:kern w:val="0"/>
                <w:sz w:val="20"/>
                <w:szCs w:val="20"/>
              </w:rPr>
            </w:pPr>
            <w:r w:rsidRPr="00D55DC6">
              <w:rPr>
                <w:rFonts w:eastAsia="標楷體"/>
                <w:kern w:val="0"/>
                <w:sz w:val="20"/>
                <w:szCs w:val="20"/>
              </w:rPr>
              <w:t>2.</w:t>
            </w:r>
            <w:r w:rsidRPr="00D55DC6">
              <w:rPr>
                <w:rFonts w:eastAsia="標楷體"/>
                <w:kern w:val="0"/>
                <w:sz w:val="20"/>
                <w:szCs w:val="20"/>
              </w:rPr>
              <w:t>東衛石雕園區</w:t>
            </w:r>
            <w:r w:rsidRPr="00D55DC6">
              <w:rPr>
                <w:rFonts w:eastAsia="標楷體"/>
                <w:kern w:val="0"/>
                <w:sz w:val="20"/>
                <w:szCs w:val="20"/>
              </w:rPr>
              <w:t>BOT+ROT</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   </w:t>
            </w:r>
          </w:p>
        </w:tc>
        <w:tc>
          <w:tcPr>
            <w:tcW w:w="727"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   </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1,390 </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1,390 </w:t>
            </w:r>
          </w:p>
        </w:tc>
        <w:tc>
          <w:tcPr>
            <w:tcW w:w="727"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1,390 </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2,892 </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2,917 </w:t>
            </w:r>
          </w:p>
        </w:tc>
        <w:tc>
          <w:tcPr>
            <w:tcW w:w="727"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2,942 </w:t>
            </w:r>
          </w:p>
        </w:tc>
      </w:tr>
      <w:tr w:rsidR="001D0350" w:rsidRPr="00D55DC6" w:rsidTr="00167B72">
        <w:trPr>
          <w:trHeight w:val="60"/>
        </w:trPr>
        <w:tc>
          <w:tcPr>
            <w:tcW w:w="2694" w:type="dxa"/>
            <w:tcBorders>
              <w:top w:val="nil"/>
              <w:left w:val="single" w:sz="4" w:space="0" w:color="auto"/>
              <w:bottom w:val="single" w:sz="4" w:space="0" w:color="auto"/>
              <w:right w:val="single" w:sz="4" w:space="0" w:color="auto"/>
            </w:tcBorders>
            <w:shd w:val="clear" w:color="000000" w:fill="D9D9D9"/>
          </w:tcPr>
          <w:p w:rsidR="00986223" w:rsidRPr="00D55DC6" w:rsidRDefault="00986223" w:rsidP="00986223">
            <w:pPr>
              <w:widowControl/>
              <w:snapToGrid w:val="0"/>
              <w:spacing w:line="360" w:lineRule="exact"/>
              <w:ind w:leftChars="92" w:left="221"/>
              <w:rPr>
                <w:rFonts w:eastAsia="標楷體"/>
                <w:kern w:val="0"/>
                <w:sz w:val="20"/>
                <w:szCs w:val="20"/>
              </w:rPr>
            </w:pPr>
            <w:r w:rsidRPr="00D55DC6">
              <w:rPr>
                <w:rFonts w:eastAsia="標楷體"/>
                <w:kern w:val="0"/>
                <w:sz w:val="20"/>
                <w:szCs w:val="20"/>
              </w:rPr>
              <w:t>3.</w:t>
            </w:r>
            <w:r w:rsidRPr="00D55DC6">
              <w:rPr>
                <w:rFonts w:eastAsia="標楷體"/>
                <w:kern w:val="0"/>
                <w:sz w:val="20"/>
                <w:szCs w:val="20"/>
              </w:rPr>
              <w:t>隘門濱海度假</w:t>
            </w:r>
            <w:r w:rsidRPr="00D55DC6">
              <w:rPr>
                <w:rFonts w:eastAsia="標楷體"/>
                <w:kern w:val="0"/>
                <w:sz w:val="20"/>
                <w:szCs w:val="20"/>
              </w:rPr>
              <w:t>BOT+ROT</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   </w:t>
            </w:r>
          </w:p>
        </w:tc>
        <w:tc>
          <w:tcPr>
            <w:tcW w:w="727"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   </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4,230 </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4,230 </w:t>
            </w:r>
          </w:p>
        </w:tc>
        <w:tc>
          <w:tcPr>
            <w:tcW w:w="727"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4,230 </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999 </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1,073 </w:t>
            </w:r>
          </w:p>
        </w:tc>
        <w:tc>
          <w:tcPr>
            <w:tcW w:w="727"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1,146 </w:t>
            </w:r>
          </w:p>
        </w:tc>
      </w:tr>
      <w:tr w:rsidR="001D0350" w:rsidRPr="00D55DC6" w:rsidTr="00167B72">
        <w:trPr>
          <w:trHeight w:val="60"/>
        </w:trPr>
        <w:tc>
          <w:tcPr>
            <w:tcW w:w="2694" w:type="dxa"/>
            <w:tcBorders>
              <w:top w:val="nil"/>
              <w:left w:val="single" w:sz="4" w:space="0" w:color="auto"/>
              <w:bottom w:val="single" w:sz="4" w:space="0" w:color="auto"/>
              <w:right w:val="single" w:sz="4" w:space="0" w:color="auto"/>
            </w:tcBorders>
            <w:shd w:val="clear" w:color="000000" w:fill="D9D9D9"/>
          </w:tcPr>
          <w:p w:rsidR="00986223" w:rsidRPr="00D55DC6" w:rsidRDefault="00986223" w:rsidP="00986223">
            <w:pPr>
              <w:widowControl/>
              <w:snapToGrid w:val="0"/>
              <w:spacing w:line="360" w:lineRule="exact"/>
              <w:ind w:leftChars="92" w:left="397" w:hangingChars="88" w:hanging="176"/>
              <w:rPr>
                <w:rFonts w:eastAsia="標楷體"/>
                <w:kern w:val="0"/>
                <w:sz w:val="20"/>
                <w:szCs w:val="20"/>
              </w:rPr>
            </w:pPr>
            <w:r w:rsidRPr="00D55DC6">
              <w:rPr>
                <w:rFonts w:eastAsia="標楷體"/>
                <w:kern w:val="0"/>
                <w:sz w:val="20"/>
                <w:szCs w:val="20"/>
              </w:rPr>
              <w:t>4.</w:t>
            </w:r>
            <w:r w:rsidRPr="00D55DC6">
              <w:rPr>
                <w:rFonts w:eastAsia="標楷體"/>
                <w:kern w:val="0"/>
                <w:sz w:val="20"/>
                <w:szCs w:val="20"/>
              </w:rPr>
              <w:t>吉貝休閒度假旅館暨休憩園區</w:t>
            </w:r>
            <w:r w:rsidRPr="00D55DC6">
              <w:rPr>
                <w:rFonts w:eastAsia="標楷體"/>
                <w:kern w:val="0"/>
                <w:sz w:val="20"/>
                <w:szCs w:val="20"/>
              </w:rPr>
              <w:t>BOT+ROT</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   </w:t>
            </w:r>
          </w:p>
        </w:tc>
        <w:tc>
          <w:tcPr>
            <w:tcW w:w="727"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   </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1,470 </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1,470 </w:t>
            </w:r>
          </w:p>
        </w:tc>
        <w:tc>
          <w:tcPr>
            <w:tcW w:w="727"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1,470 </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1,470 </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6,350 </w:t>
            </w:r>
          </w:p>
        </w:tc>
        <w:tc>
          <w:tcPr>
            <w:tcW w:w="727"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6,368 </w:t>
            </w:r>
          </w:p>
        </w:tc>
      </w:tr>
      <w:tr w:rsidR="001D0350" w:rsidRPr="00D55DC6" w:rsidTr="00167B72">
        <w:trPr>
          <w:trHeight w:val="60"/>
        </w:trPr>
        <w:tc>
          <w:tcPr>
            <w:tcW w:w="2694" w:type="dxa"/>
            <w:tcBorders>
              <w:top w:val="nil"/>
              <w:left w:val="single" w:sz="4" w:space="0" w:color="auto"/>
              <w:bottom w:val="single" w:sz="4" w:space="0" w:color="auto"/>
              <w:right w:val="single" w:sz="4" w:space="0" w:color="auto"/>
            </w:tcBorders>
            <w:shd w:val="clear" w:color="000000" w:fill="D9D9D9"/>
          </w:tcPr>
          <w:p w:rsidR="00986223" w:rsidRPr="00D55DC6" w:rsidRDefault="00986223" w:rsidP="00986223">
            <w:pPr>
              <w:widowControl/>
              <w:snapToGrid w:val="0"/>
              <w:spacing w:line="360" w:lineRule="exact"/>
              <w:ind w:leftChars="92" w:left="397" w:hangingChars="88" w:hanging="176"/>
              <w:rPr>
                <w:rFonts w:eastAsia="標楷體"/>
                <w:kern w:val="0"/>
                <w:sz w:val="20"/>
                <w:szCs w:val="20"/>
              </w:rPr>
            </w:pPr>
            <w:r w:rsidRPr="00D55DC6">
              <w:rPr>
                <w:rFonts w:eastAsia="標楷體"/>
                <w:kern w:val="0"/>
                <w:sz w:val="20"/>
                <w:szCs w:val="20"/>
              </w:rPr>
              <w:t>5.</w:t>
            </w:r>
            <w:r w:rsidRPr="00D55DC6">
              <w:rPr>
                <w:rFonts w:eastAsia="標楷體"/>
                <w:kern w:val="0"/>
                <w:sz w:val="20"/>
                <w:szCs w:val="20"/>
              </w:rPr>
              <w:t>漁翁島休閒度假</w:t>
            </w:r>
            <w:r w:rsidRPr="00D55DC6">
              <w:rPr>
                <w:rFonts w:eastAsia="標楷體"/>
                <w:kern w:val="0"/>
                <w:sz w:val="20"/>
                <w:szCs w:val="20"/>
              </w:rPr>
              <w:t>BOT+ROT</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   </w:t>
            </w:r>
          </w:p>
        </w:tc>
        <w:tc>
          <w:tcPr>
            <w:tcW w:w="727"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   </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   </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   </w:t>
            </w:r>
          </w:p>
        </w:tc>
        <w:tc>
          <w:tcPr>
            <w:tcW w:w="727"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425 </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427 </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429 </w:t>
            </w:r>
          </w:p>
        </w:tc>
        <w:tc>
          <w:tcPr>
            <w:tcW w:w="727"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1,128 </w:t>
            </w:r>
          </w:p>
        </w:tc>
      </w:tr>
      <w:tr w:rsidR="001D0350" w:rsidRPr="00D55DC6" w:rsidTr="00167B72">
        <w:trPr>
          <w:trHeight w:val="60"/>
        </w:trPr>
        <w:tc>
          <w:tcPr>
            <w:tcW w:w="2694" w:type="dxa"/>
            <w:tcBorders>
              <w:top w:val="nil"/>
              <w:left w:val="single" w:sz="4" w:space="0" w:color="auto"/>
              <w:bottom w:val="single" w:sz="4" w:space="0" w:color="auto"/>
              <w:right w:val="single" w:sz="4" w:space="0" w:color="auto"/>
            </w:tcBorders>
            <w:shd w:val="clear" w:color="auto" w:fill="DAEEF3" w:themeFill="accent5" w:themeFillTint="33"/>
          </w:tcPr>
          <w:p w:rsidR="00986223" w:rsidRPr="00D55DC6" w:rsidRDefault="00986223" w:rsidP="00986223">
            <w:pPr>
              <w:widowControl/>
              <w:snapToGrid w:val="0"/>
              <w:spacing w:line="360" w:lineRule="exact"/>
              <w:rPr>
                <w:rFonts w:eastAsia="標楷體"/>
                <w:kern w:val="0"/>
                <w:sz w:val="20"/>
                <w:szCs w:val="20"/>
              </w:rPr>
            </w:pPr>
            <w:r w:rsidRPr="00D55DC6">
              <w:rPr>
                <w:rFonts w:eastAsia="標楷體"/>
                <w:kern w:val="0"/>
                <w:sz w:val="20"/>
                <w:szCs w:val="20"/>
              </w:rPr>
              <w:t>三、規劃新增收益計畫</w:t>
            </w:r>
          </w:p>
        </w:tc>
        <w:tc>
          <w:tcPr>
            <w:tcW w:w="726"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60" w:lineRule="exact"/>
              <w:jc w:val="right"/>
              <w:rPr>
                <w:rFonts w:eastAsia="標楷體"/>
                <w:kern w:val="0"/>
                <w:sz w:val="20"/>
                <w:szCs w:val="20"/>
              </w:rPr>
            </w:pPr>
          </w:p>
        </w:tc>
        <w:tc>
          <w:tcPr>
            <w:tcW w:w="726"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60" w:lineRule="exact"/>
              <w:jc w:val="right"/>
              <w:rPr>
                <w:rFonts w:eastAsia="標楷體"/>
                <w:kern w:val="0"/>
                <w:sz w:val="20"/>
                <w:szCs w:val="20"/>
              </w:rPr>
            </w:pPr>
          </w:p>
        </w:tc>
        <w:tc>
          <w:tcPr>
            <w:tcW w:w="726"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   </w:t>
            </w:r>
          </w:p>
        </w:tc>
        <w:tc>
          <w:tcPr>
            <w:tcW w:w="727"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   </w:t>
            </w:r>
          </w:p>
        </w:tc>
        <w:tc>
          <w:tcPr>
            <w:tcW w:w="726"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   </w:t>
            </w:r>
          </w:p>
        </w:tc>
        <w:tc>
          <w:tcPr>
            <w:tcW w:w="726"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   </w:t>
            </w:r>
          </w:p>
        </w:tc>
        <w:tc>
          <w:tcPr>
            <w:tcW w:w="727"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2,000 </w:t>
            </w:r>
          </w:p>
        </w:tc>
        <w:tc>
          <w:tcPr>
            <w:tcW w:w="726"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2,014 </w:t>
            </w:r>
          </w:p>
        </w:tc>
        <w:tc>
          <w:tcPr>
            <w:tcW w:w="726"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2,028 </w:t>
            </w:r>
          </w:p>
        </w:tc>
        <w:tc>
          <w:tcPr>
            <w:tcW w:w="727"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2,042 </w:t>
            </w:r>
          </w:p>
        </w:tc>
      </w:tr>
      <w:tr w:rsidR="001D0350" w:rsidRPr="00D55DC6" w:rsidTr="00167B72">
        <w:trPr>
          <w:trHeight w:val="60"/>
        </w:trPr>
        <w:tc>
          <w:tcPr>
            <w:tcW w:w="2694" w:type="dxa"/>
            <w:tcBorders>
              <w:top w:val="nil"/>
              <w:left w:val="single" w:sz="4" w:space="0" w:color="auto"/>
              <w:bottom w:val="single" w:sz="4" w:space="0" w:color="auto"/>
              <w:right w:val="single" w:sz="4" w:space="0" w:color="auto"/>
            </w:tcBorders>
            <w:shd w:val="clear" w:color="000000" w:fill="D9D9D9"/>
            <w:vAlign w:val="center"/>
          </w:tcPr>
          <w:p w:rsidR="00986223" w:rsidRPr="00D55DC6" w:rsidRDefault="00986223" w:rsidP="00986223">
            <w:pPr>
              <w:widowControl/>
              <w:snapToGrid w:val="0"/>
              <w:spacing w:line="360" w:lineRule="exact"/>
              <w:ind w:leftChars="92" w:left="221"/>
              <w:rPr>
                <w:rFonts w:eastAsia="標楷體"/>
                <w:kern w:val="0"/>
                <w:sz w:val="20"/>
                <w:szCs w:val="20"/>
              </w:rPr>
            </w:pPr>
            <w:r w:rsidRPr="00D55DC6">
              <w:rPr>
                <w:rFonts w:eastAsia="標楷體"/>
                <w:kern w:val="0"/>
                <w:sz w:val="20"/>
                <w:szCs w:val="20"/>
              </w:rPr>
              <w:t>1.</w:t>
            </w:r>
            <w:r w:rsidRPr="00D55DC6">
              <w:rPr>
                <w:rFonts w:eastAsia="標楷體"/>
                <w:kern w:val="0"/>
                <w:sz w:val="20"/>
                <w:szCs w:val="20"/>
              </w:rPr>
              <w:t>停車場委外經營收益</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p>
        </w:tc>
        <w:tc>
          <w:tcPr>
            <w:tcW w:w="727"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p>
        </w:tc>
        <w:tc>
          <w:tcPr>
            <w:tcW w:w="727"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1,500 </w:t>
            </w:r>
          </w:p>
        </w:tc>
        <w:tc>
          <w:tcPr>
            <w:tcW w:w="726"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1,511 </w:t>
            </w:r>
          </w:p>
        </w:tc>
        <w:tc>
          <w:tcPr>
            <w:tcW w:w="726"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1,521 </w:t>
            </w:r>
          </w:p>
        </w:tc>
        <w:tc>
          <w:tcPr>
            <w:tcW w:w="727"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1,532 </w:t>
            </w:r>
          </w:p>
        </w:tc>
      </w:tr>
      <w:tr w:rsidR="001D0350" w:rsidRPr="00D55DC6" w:rsidTr="00167B72">
        <w:trPr>
          <w:trHeight w:val="60"/>
        </w:trPr>
        <w:tc>
          <w:tcPr>
            <w:tcW w:w="2694" w:type="dxa"/>
            <w:tcBorders>
              <w:top w:val="nil"/>
              <w:left w:val="single" w:sz="4" w:space="0" w:color="auto"/>
              <w:bottom w:val="single" w:sz="4" w:space="0" w:color="auto"/>
              <w:right w:val="single" w:sz="4" w:space="0" w:color="auto"/>
            </w:tcBorders>
            <w:shd w:val="clear" w:color="000000" w:fill="D9D9D9"/>
            <w:vAlign w:val="center"/>
          </w:tcPr>
          <w:p w:rsidR="00986223" w:rsidRPr="00D55DC6" w:rsidRDefault="00986223" w:rsidP="00986223">
            <w:pPr>
              <w:widowControl/>
              <w:snapToGrid w:val="0"/>
              <w:spacing w:line="360" w:lineRule="exact"/>
              <w:ind w:leftChars="92" w:left="221"/>
              <w:rPr>
                <w:rFonts w:eastAsia="標楷體"/>
                <w:kern w:val="0"/>
                <w:sz w:val="20"/>
                <w:szCs w:val="20"/>
              </w:rPr>
            </w:pPr>
            <w:r w:rsidRPr="00D55DC6">
              <w:rPr>
                <w:rFonts w:eastAsia="標楷體"/>
                <w:kern w:val="0"/>
                <w:sz w:val="20"/>
                <w:szCs w:val="20"/>
              </w:rPr>
              <w:t>2.</w:t>
            </w:r>
            <w:r w:rsidRPr="00D55DC6">
              <w:rPr>
                <w:rFonts w:eastAsia="標楷體"/>
                <w:kern w:val="0"/>
                <w:sz w:val="20"/>
                <w:szCs w:val="20"/>
              </w:rPr>
              <w:t>廣告及紀念品周邊收益</w:t>
            </w: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p>
        </w:tc>
        <w:tc>
          <w:tcPr>
            <w:tcW w:w="727"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p>
        </w:tc>
        <w:tc>
          <w:tcPr>
            <w:tcW w:w="72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60" w:lineRule="exact"/>
              <w:jc w:val="right"/>
              <w:rPr>
                <w:rFonts w:eastAsia="標楷體"/>
                <w:kern w:val="0"/>
                <w:sz w:val="20"/>
                <w:szCs w:val="20"/>
              </w:rPr>
            </w:pPr>
          </w:p>
        </w:tc>
        <w:tc>
          <w:tcPr>
            <w:tcW w:w="727"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500 </w:t>
            </w:r>
          </w:p>
        </w:tc>
        <w:tc>
          <w:tcPr>
            <w:tcW w:w="726"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504 </w:t>
            </w:r>
          </w:p>
        </w:tc>
        <w:tc>
          <w:tcPr>
            <w:tcW w:w="726"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507 </w:t>
            </w:r>
          </w:p>
        </w:tc>
        <w:tc>
          <w:tcPr>
            <w:tcW w:w="727"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60" w:lineRule="exact"/>
              <w:jc w:val="right"/>
              <w:rPr>
                <w:rFonts w:eastAsia="標楷體"/>
                <w:kern w:val="0"/>
                <w:sz w:val="20"/>
                <w:szCs w:val="20"/>
              </w:rPr>
            </w:pPr>
            <w:r w:rsidRPr="00D55DC6">
              <w:rPr>
                <w:rFonts w:eastAsia="標楷體"/>
                <w:kern w:val="0"/>
                <w:sz w:val="20"/>
                <w:szCs w:val="20"/>
              </w:rPr>
              <w:t xml:space="preserve"> 511 </w:t>
            </w:r>
          </w:p>
        </w:tc>
      </w:tr>
      <w:tr w:rsidR="001D0350" w:rsidRPr="00D55DC6" w:rsidTr="00167B72">
        <w:trPr>
          <w:trHeight w:val="60"/>
        </w:trPr>
        <w:tc>
          <w:tcPr>
            <w:tcW w:w="2694" w:type="dxa"/>
            <w:tcBorders>
              <w:top w:val="nil"/>
              <w:left w:val="single" w:sz="4" w:space="0" w:color="auto"/>
              <w:bottom w:val="double" w:sz="6" w:space="0" w:color="auto"/>
              <w:right w:val="single" w:sz="4" w:space="0" w:color="auto"/>
            </w:tcBorders>
            <w:shd w:val="clear" w:color="auto" w:fill="FBD4B4" w:themeFill="accent6" w:themeFillTint="66"/>
            <w:noWrap/>
            <w:vAlign w:val="center"/>
          </w:tcPr>
          <w:p w:rsidR="00986223" w:rsidRPr="00D55DC6" w:rsidRDefault="00986223" w:rsidP="00986223">
            <w:pPr>
              <w:widowControl/>
              <w:snapToGrid w:val="0"/>
              <w:spacing w:line="360" w:lineRule="exac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合</w:t>
            </w:r>
            <w:r w:rsidRPr="00D55DC6">
              <w:rPr>
                <w:rFonts w:eastAsia="標楷體"/>
                <w:kern w:val="0"/>
                <w:sz w:val="20"/>
                <w:szCs w:val="20"/>
              </w:rPr>
              <w:t xml:space="preserve">          </w:t>
            </w:r>
            <w:r w:rsidRPr="00D55DC6">
              <w:rPr>
                <w:rFonts w:eastAsia="標楷體"/>
                <w:kern w:val="0"/>
                <w:sz w:val="20"/>
                <w:szCs w:val="20"/>
              </w:rPr>
              <w:t>計</w:t>
            </w:r>
          </w:p>
        </w:tc>
        <w:tc>
          <w:tcPr>
            <w:tcW w:w="726" w:type="dxa"/>
            <w:tcBorders>
              <w:top w:val="nil"/>
              <w:left w:val="nil"/>
              <w:bottom w:val="double" w:sz="6" w:space="0" w:color="auto"/>
              <w:right w:val="single" w:sz="4" w:space="0" w:color="auto"/>
            </w:tcBorders>
            <w:shd w:val="clear" w:color="auto" w:fill="FBD4B4" w:themeFill="accent6" w:themeFillTint="66"/>
            <w:noWrap/>
          </w:tcPr>
          <w:p w:rsidR="00986223" w:rsidRPr="00D55DC6" w:rsidRDefault="00986223" w:rsidP="00986223">
            <w:pPr>
              <w:widowControl/>
              <w:snapToGrid w:val="0"/>
              <w:spacing w:line="360" w:lineRule="exact"/>
              <w:jc w:val="right"/>
              <w:rPr>
                <w:rFonts w:eastAsia="標楷體"/>
                <w:kern w:val="0"/>
                <w:sz w:val="20"/>
                <w:szCs w:val="20"/>
              </w:rPr>
            </w:pPr>
            <w:r w:rsidRPr="00D55DC6">
              <w:rPr>
                <w:rFonts w:eastAsia="標楷體"/>
                <w:kern w:val="0"/>
                <w:sz w:val="20"/>
                <w:szCs w:val="20"/>
              </w:rPr>
              <w:t xml:space="preserve"> 7,813 </w:t>
            </w:r>
          </w:p>
        </w:tc>
        <w:tc>
          <w:tcPr>
            <w:tcW w:w="726" w:type="dxa"/>
            <w:tcBorders>
              <w:top w:val="nil"/>
              <w:left w:val="nil"/>
              <w:bottom w:val="double" w:sz="6" w:space="0" w:color="auto"/>
              <w:right w:val="single" w:sz="4" w:space="0" w:color="auto"/>
            </w:tcBorders>
            <w:shd w:val="clear" w:color="auto" w:fill="FBD4B4" w:themeFill="accent6" w:themeFillTint="66"/>
            <w:noWrap/>
          </w:tcPr>
          <w:p w:rsidR="00986223" w:rsidRPr="00D55DC6" w:rsidRDefault="00986223" w:rsidP="00986223">
            <w:pPr>
              <w:widowControl/>
              <w:snapToGrid w:val="0"/>
              <w:spacing w:line="360" w:lineRule="exact"/>
              <w:jc w:val="right"/>
              <w:rPr>
                <w:rFonts w:eastAsia="標楷體"/>
                <w:kern w:val="0"/>
                <w:sz w:val="20"/>
                <w:szCs w:val="20"/>
              </w:rPr>
            </w:pPr>
            <w:r w:rsidRPr="00D55DC6">
              <w:rPr>
                <w:rFonts w:eastAsia="標楷體"/>
                <w:kern w:val="0"/>
                <w:sz w:val="20"/>
                <w:szCs w:val="20"/>
              </w:rPr>
              <w:t xml:space="preserve"> 7,813 </w:t>
            </w:r>
          </w:p>
        </w:tc>
        <w:tc>
          <w:tcPr>
            <w:tcW w:w="726" w:type="dxa"/>
            <w:tcBorders>
              <w:top w:val="nil"/>
              <w:left w:val="nil"/>
              <w:bottom w:val="double" w:sz="6" w:space="0" w:color="auto"/>
              <w:right w:val="single" w:sz="4" w:space="0" w:color="auto"/>
            </w:tcBorders>
            <w:shd w:val="clear" w:color="auto" w:fill="FBD4B4" w:themeFill="accent6" w:themeFillTint="66"/>
            <w:noWrap/>
          </w:tcPr>
          <w:p w:rsidR="00986223" w:rsidRPr="00D55DC6" w:rsidRDefault="00986223" w:rsidP="00986223">
            <w:pPr>
              <w:widowControl/>
              <w:snapToGrid w:val="0"/>
              <w:spacing w:line="360" w:lineRule="exact"/>
              <w:jc w:val="right"/>
              <w:rPr>
                <w:rFonts w:eastAsia="標楷體"/>
                <w:kern w:val="0"/>
                <w:sz w:val="20"/>
                <w:szCs w:val="20"/>
              </w:rPr>
            </w:pPr>
            <w:r w:rsidRPr="00D55DC6">
              <w:rPr>
                <w:rFonts w:eastAsia="標楷體"/>
                <w:kern w:val="0"/>
                <w:sz w:val="20"/>
                <w:szCs w:val="20"/>
              </w:rPr>
              <w:t xml:space="preserve"> 7,813 </w:t>
            </w:r>
          </w:p>
        </w:tc>
        <w:tc>
          <w:tcPr>
            <w:tcW w:w="727" w:type="dxa"/>
            <w:tcBorders>
              <w:top w:val="nil"/>
              <w:left w:val="nil"/>
              <w:bottom w:val="double" w:sz="6" w:space="0" w:color="auto"/>
              <w:right w:val="single" w:sz="4" w:space="0" w:color="auto"/>
            </w:tcBorders>
            <w:shd w:val="clear" w:color="auto" w:fill="FBD4B4" w:themeFill="accent6" w:themeFillTint="66"/>
            <w:noWrap/>
          </w:tcPr>
          <w:p w:rsidR="00986223" w:rsidRPr="00D55DC6" w:rsidRDefault="00986223" w:rsidP="00986223">
            <w:pPr>
              <w:widowControl/>
              <w:snapToGrid w:val="0"/>
              <w:spacing w:line="360" w:lineRule="exact"/>
              <w:jc w:val="right"/>
              <w:rPr>
                <w:rFonts w:eastAsia="標楷體"/>
                <w:kern w:val="0"/>
                <w:sz w:val="20"/>
                <w:szCs w:val="20"/>
              </w:rPr>
            </w:pPr>
            <w:r w:rsidRPr="00D55DC6">
              <w:rPr>
                <w:rFonts w:eastAsia="標楷體"/>
                <w:kern w:val="0"/>
                <w:sz w:val="20"/>
                <w:szCs w:val="20"/>
              </w:rPr>
              <w:t xml:space="preserve"> 7,868 </w:t>
            </w:r>
          </w:p>
        </w:tc>
        <w:tc>
          <w:tcPr>
            <w:tcW w:w="726" w:type="dxa"/>
            <w:tcBorders>
              <w:top w:val="nil"/>
              <w:left w:val="nil"/>
              <w:bottom w:val="double" w:sz="6" w:space="0" w:color="auto"/>
              <w:right w:val="single" w:sz="4" w:space="0" w:color="auto"/>
            </w:tcBorders>
            <w:shd w:val="clear" w:color="auto" w:fill="FBD4B4" w:themeFill="accent6" w:themeFillTint="66"/>
            <w:noWrap/>
          </w:tcPr>
          <w:p w:rsidR="00986223" w:rsidRPr="00D55DC6" w:rsidRDefault="00986223" w:rsidP="00986223">
            <w:pPr>
              <w:widowControl/>
              <w:snapToGrid w:val="0"/>
              <w:spacing w:line="360" w:lineRule="exact"/>
              <w:jc w:val="right"/>
              <w:rPr>
                <w:rFonts w:eastAsia="標楷體"/>
                <w:kern w:val="0"/>
                <w:sz w:val="20"/>
                <w:szCs w:val="20"/>
              </w:rPr>
            </w:pPr>
            <w:r w:rsidRPr="00D55DC6">
              <w:rPr>
                <w:rFonts w:eastAsia="標楷體"/>
                <w:kern w:val="0"/>
                <w:sz w:val="20"/>
                <w:szCs w:val="20"/>
              </w:rPr>
              <w:t xml:space="preserve">14,245 </w:t>
            </w:r>
          </w:p>
        </w:tc>
        <w:tc>
          <w:tcPr>
            <w:tcW w:w="726" w:type="dxa"/>
            <w:tcBorders>
              <w:top w:val="nil"/>
              <w:left w:val="nil"/>
              <w:bottom w:val="double" w:sz="6" w:space="0" w:color="auto"/>
              <w:right w:val="single" w:sz="4" w:space="0" w:color="auto"/>
            </w:tcBorders>
            <w:shd w:val="clear" w:color="auto" w:fill="FBD4B4" w:themeFill="accent6" w:themeFillTint="66"/>
            <w:noWrap/>
          </w:tcPr>
          <w:p w:rsidR="00986223" w:rsidRPr="00D55DC6" w:rsidRDefault="00986223" w:rsidP="00986223">
            <w:pPr>
              <w:widowControl/>
              <w:snapToGrid w:val="0"/>
              <w:spacing w:line="360" w:lineRule="exact"/>
              <w:jc w:val="right"/>
              <w:rPr>
                <w:rFonts w:eastAsia="標楷體"/>
                <w:kern w:val="0"/>
                <w:sz w:val="20"/>
                <w:szCs w:val="20"/>
              </w:rPr>
            </w:pPr>
            <w:r w:rsidRPr="00D55DC6">
              <w:rPr>
                <w:rFonts w:eastAsia="標楷體"/>
                <w:kern w:val="0"/>
                <w:sz w:val="20"/>
                <w:szCs w:val="20"/>
              </w:rPr>
              <w:t xml:space="preserve">15,713 </w:t>
            </w:r>
          </w:p>
        </w:tc>
        <w:tc>
          <w:tcPr>
            <w:tcW w:w="727" w:type="dxa"/>
            <w:tcBorders>
              <w:top w:val="nil"/>
              <w:left w:val="nil"/>
              <w:bottom w:val="double" w:sz="6" w:space="0" w:color="auto"/>
              <w:right w:val="single" w:sz="4" w:space="0" w:color="auto"/>
            </w:tcBorders>
            <w:shd w:val="clear" w:color="auto" w:fill="FBD4B4" w:themeFill="accent6" w:themeFillTint="66"/>
            <w:noWrap/>
          </w:tcPr>
          <w:p w:rsidR="00986223" w:rsidRPr="00D55DC6" w:rsidRDefault="00986223" w:rsidP="00986223">
            <w:pPr>
              <w:widowControl/>
              <w:snapToGrid w:val="0"/>
              <w:spacing w:line="360" w:lineRule="exact"/>
              <w:jc w:val="right"/>
              <w:rPr>
                <w:rFonts w:eastAsia="標楷體"/>
                <w:kern w:val="0"/>
                <w:sz w:val="20"/>
                <w:szCs w:val="20"/>
              </w:rPr>
            </w:pPr>
            <w:r w:rsidRPr="00D55DC6">
              <w:rPr>
                <w:rFonts w:eastAsia="標楷體"/>
                <w:kern w:val="0"/>
                <w:sz w:val="20"/>
                <w:szCs w:val="20"/>
              </w:rPr>
              <w:t xml:space="preserve">15,551 </w:t>
            </w:r>
          </w:p>
        </w:tc>
        <w:tc>
          <w:tcPr>
            <w:tcW w:w="726" w:type="dxa"/>
            <w:tcBorders>
              <w:top w:val="nil"/>
              <w:left w:val="nil"/>
              <w:bottom w:val="double" w:sz="6" w:space="0" w:color="auto"/>
              <w:right w:val="single" w:sz="4" w:space="0" w:color="auto"/>
            </w:tcBorders>
            <w:shd w:val="clear" w:color="auto" w:fill="FBD4B4" w:themeFill="accent6" w:themeFillTint="66"/>
            <w:noWrap/>
          </w:tcPr>
          <w:p w:rsidR="00986223" w:rsidRPr="00D55DC6" w:rsidRDefault="00986223" w:rsidP="00986223">
            <w:pPr>
              <w:widowControl/>
              <w:snapToGrid w:val="0"/>
              <w:spacing w:line="360" w:lineRule="exact"/>
              <w:jc w:val="right"/>
              <w:rPr>
                <w:rFonts w:eastAsia="標楷體"/>
                <w:kern w:val="0"/>
                <w:sz w:val="20"/>
                <w:szCs w:val="20"/>
              </w:rPr>
            </w:pPr>
            <w:r w:rsidRPr="00D55DC6">
              <w:rPr>
                <w:rFonts w:eastAsia="標楷體"/>
                <w:kern w:val="0"/>
                <w:sz w:val="20"/>
                <w:szCs w:val="20"/>
              </w:rPr>
              <w:t xml:space="preserve">12,578 </w:t>
            </w:r>
          </w:p>
        </w:tc>
        <w:tc>
          <w:tcPr>
            <w:tcW w:w="726" w:type="dxa"/>
            <w:tcBorders>
              <w:top w:val="nil"/>
              <w:left w:val="nil"/>
              <w:bottom w:val="double" w:sz="6" w:space="0" w:color="auto"/>
              <w:right w:val="single" w:sz="4" w:space="0" w:color="auto"/>
            </w:tcBorders>
            <w:shd w:val="clear" w:color="auto" w:fill="FBD4B4" w:themeFill="accent6" w:themeFillTint="66"/>
            <w:noWrap/>
          </w:tcPr>
          <w:p w:rsidR="00986223" w:rsidRPr="00D55DC6" w:rsidRDefault="00986223" w:rsidP="00986223">
            <w:pPr>
              <w:widowControl/>
              <w:snapToGrid w:val="0"/>
              <w:spacing w:line="360" w:lineRule="exact"/>
              <w:jc w:val="right"/>
              <w:rPr>
                <w:rFonts w:eastAsia="標楷體"/>
                <w:kern w:val="0"/>
                <w:sz w:val="20"/>
                <w:szCs w:val="20"/>
              </w:rPr>
            </w:pPr>
            <w:r w:rsidRPr="00D55DC6">
              <w:rPr>
                <w:rFonts w:eastAsia="標楷體"/>
                <w:kern w:val="0"/>
                <w:sz w:val="20"/>
                <w:szCs w:val="20"/>
              </w:rPr>
              <w:t xml:space="preserve">20,212 </w:t>
            </w:r>
          </w:p>
        </w:tc>
        <w:tc>
          <w:tcPr>
            <w:tcW w:w="727" w:type="dxa"/>
            <w:tcBorders>
              <w:top w:val="nil"/>
              <w:left w:val="nil"/>
              <w:bottom w:val="double" w:sz="6" w:space="0" w:color="auto"/>
              <w:right w:val="single" w:sz="4" w:space="0" w:color="auto"/>
            </w:tcBorders>
            <w:shd w:val="clear" w:color="auto" w:fill="FBD4B4" w:themeFill="accent6" w:themeFillTint="66"/>
            <w:noWrap/>
          </w:tcPr>
          <w:p w:rsidR="00986223" w:rsidRPr="00D55DC6" w:rsidRDefault="00986223" w:rsidP="00986223">
            <w:pPr>
              <w:widowControl/>
              <w:snapToGrid w:val="0"/>
              <w:spacing w:line="360" w:lineRule="exact"/>
              <w:jc w:val="right"/>
              <w:rPr>
                <w:rFonts w:eastAsia="標楷體"/>
                <w:kern w:val="0"/>
                <w:sz w:val="20"/>
                <w:szCs w:val="20"/>
              </w:rPr>
            </w:pPr>
            <w:r w:rsidRPr="00D55DC6">
              <w:rPr>
                <w:rFonts w:eastAsia="標楷體"/>
                <w:kern w:val="0"/>
                <w:sz w:val="20"/>
                <w:szCs w:val="20"/>
              </w:rPr>
              <w:t xml:space="preserve">20,070 </w:t>
            </w:r>
          </w:p>
        </w:tc>
      </w:tr>
    </w:tbl>
    <w:p w:rsidR="00FB3FB3" w:rsidRPr="00D55DC6" w:rsidRDefault="00FB3FB3" w:rsidP="00986223">
      <w:pPr>
        <w:widowControl/>
        <w:rPr>
          <w:rFonts w:eastAsia="標楷體"/>
        </w:rPr>
      </w:pPr>
    </w:p>
    <w:p w:rsidR="00FB3FB3" w:rsidRPr="00D55DC6" w:rsidRDefault="00FB3FB3" w:rsidP="00986223">
      <w:pPr>
        <w:widowControl/>
        <w:rPr>
          <w:rFonts w:eastAsia="標楷體"/>
        </w:rPr>
      </w:pPr>
      <w:r w:rsidRPr="00D55DC6">
        <w:rPr>
          <w:rFonts w:eastAsia="標楷體"/>
        </w:rPr>
        <w:t>(</w:t>
      </w:r>
      <w:r w:rsidRPr="00D55DC6">
        <w:rPr>
          <w:rFonts w:eastAsia="標楷體"/>
        </w:rPr>
        <w:t>續</w:t>
      </w:r>
      <w:r w:rsidRPr="00D55DC6">
        <w:rPr>
          <w:rFonts w:eastAsia="標楷體"/>
        </w:rPr>
        <w:t>)</w:t>
      </w:r>
    </w:p>
    <w:tbl>
      <w:tblPr>
        <w:tblW w:w="10382" w:type="dxa"/>
        <w:tblInd w:w="-539" w:type="dxa"/>
        <w:tblLayout w:type="fixed"/>
        <w:tblCellMar>
          <w:left w:w="28" w:type="dxa"/>
          <w:right w:w="28" w:type="dxa"/>
        </w:tblCellMar>
        <w:tblLook w:val="04A0" w:firstRow="1" w:lastRow="0" w:firstColumn="1" w:lastColumn="0" w:noHBand="0" w:noVBand="1"/>
      </w:tblPr>
      <w:tblGrid>
        <w:gridCol w:w="2444"/>
        <w:gridCol w:w="709"/>
        <w:gridCol w:w="709"/>
        <w:gridCol w:w="708"/>
        <w:gridCol w:w="709"/>
        <w:gridCol w:w="709"/>
        <w:gridCol w:w="709"/>
        <w:gridCol w:w="708"/>
        <w:gridCol w:w="709"/>
        <w:gridCol w:w="709"/>
        <w:gridCol w:w="676"/>
        <w:gridCol w:w="883"/>
      </w:tblGrid>
      <w:tr w:rsidR="001D0350" w:rsidRPr="00D55DC6" w:rsidTr="00167B72">
        <w:trPr>
          <w:trHeight w:val="585"/>
          <w:tblHeader/>
        </w:trPr>
        <w:tc>
          <w:tcPr>
            <w:tcW w:w="2444" w:type="dxa"/>
            <w:tcBorders>
              <w:top w:val="single" w:sz="4" w:space="0" w:color="auto"/>
              <w:left w:val="single" w:sz="4" w:space="0" w:color="auto"/>
              <w:bottom w:val="double" w:sz="6" w:space="0" w:color="auto"/>
              <w:right w:val="single" w:sz="4" w:space="0" w:color="auto"/>
            </w:tcBorders>
            <w:shd w:val="clear" w:color="000000" w:fill="FFCC00"/>
            <w:vAlign w:val="center"/>
          </w:tcPr>
          <w:p w:rsidR="00986223" w:rsidRPr="00D55DC6" w:rsidRDefault="00986223" w:rsidP="00986223">
            <w:pPr>
              <w:widowControl/>
              <w:snapToGrid w:val="0"/>
              <w:spacing w:line="320" w:lineRule="exact"/>
              <w:rPr>
                <w:rFonts w:eastAsia="標楷體"/>
                <w:kern w:val="0"/>
                <w:sz w:val="20"/>
                <w:szCs w:val="20"/>
              </w:rPr>
            </w:pPr>
            <w:r w:rsidRPr="00D55DC6">
              <w:rPr>
                <w:rFonts w:eastAsia="標楷體"/>
                <w:kern w:val="0"/>
                <w:sz w:val="20"/>
                <w:szCs w:val="20"/>
              </w:rPr>
              <w:t xml:space="preserve">　　　　　　　　</w:t>
            </w:r>
            <w:r w:rsidRPr="00D55DC6">
              <w:rPr>
                <w:rFonts w:eastAsia="標楷體"/>
                <w:kern w:val="0"/>
                <w:sz w:val="22"/>
                <w:szCs w:val="20"/>
              </w:rPr>
              <w:t>年度</w:t>
            </w:r>
            <w:r w:rsidRPr="00D55DC6">
              <w:rPr>
                <w:rFonts w:eastAsia="標楷體"/>
                <w:kern w:val="0"/>
                <w:sz w:val="22"/>
                <w:szCs w:val="20"/>
              </w:rPr>
              <w:br/>
            </w:r>
            <w:r w:rsidRPr="00D55DC6">
              <w:rPr>
                <w:rFonts w:eastAsia="標楷體"/>
                <w:kern w:val="0"/>
                <w:sz w:val="22"/>
                <w:szCs w:val="20"/>
              </w:rPr>
              <w:t>收益項目</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widowControl/>
              <w:snapToGrid w:val="0"/>
              <w:spacing w:line="320" w:lineRule="exact"/>
              <w:jc w:val="center"/>
              <w:rPr>
                <w:rFonts w:eastAsia="標楷體"/>
                <w:kern w:val="0"/>
                <w:sz w:val="20"/>
                <w:szCs w:val="20"/>
              </w:rPr>
            </w:pPr>
            <w:r w:rsidRPr="00D55DC6">
              <w:rPr>
                <w:rFonts w:eastAsia="標楷體"/>
                <w:kern w:val="0"/>
                <w:sz w:val="20"/>
                <w:szCs w:val="20"/>
              </w:rPr>
              <w:t>113</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snapToGrid w:val="0"/>
              <w:spacing w:line="320" w:lineRule="exact"/>
              <w:jc w:val="center"/>
              <w:rPr>
                <w:rFonts w:eastAsia="標楷體"/>
                <w:kern w:val="0"/>
                <w:sz w:val="20"/>
                <w:szCs w:val="20"/>
              </w:rPr>
            </w:pPr>
            <w:r w:rsidRPr="00D55DC6">
              <w:rPr>
                <w:rFonts w:eastAsia="標楷體"/>
                <w:kern w:val="0"/>
                <w:sz w:val="20"/>
                <w:szCs w:val="20"/>
              </w:rPr>
              <w:t>114</w:t>
            </w:r>
          </w:p>
        </w:tc>
        <w:tc>
          <w:tcPr>
            <w:tcW w:w="708"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snapToGrid w:val="0"/>
              <w:spacing w:line="320" w:lineRule="exact"/>
              <w:jc w:val="center"/>
              <w:rPr>
                <w:rFonts w:eastAsia="標楷體"/>
                <w:kern w:val="0"/>
                <w:sz w:val="20"/>
                <w:szCs w:val="20"/>
              </w:rPr>
            </w:pPr>
            <w:r w:rsidRPr="00D55DC6">
              <w:rPr>
                <w:rFonts w:eastAsia="標楷體"/>
                <w:kern w:val="0"/>
                <w:sz w:val="20"/>
                <w:szCs w:val="20"/>
              </w:rPr>
              <w:t>115</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snapToGrid w:val="0"/>
              <w:spacing w:line="320" w:lineRule="exact"/>
              <w:jc w:val="center"/>
              <w:rPr>
                <w:rFonts w:eastAsia="標楷體"/>
                <w:kern w:val="0"/>
                <w:sz w:val="20"/>
                <w:szCs w:val="20"/>
              </w:rPr>
            </w:pPr>
            <w:r w:rsidRPr="00D55DC6">
              <w:rPr>
                <w:rFonts w:eastAsia="標楷體"/>
                <w:kern w:val="0"/>
                <w:sz w:val="20"/>
                <w:szCs w:val="20"/>
              </w:rPr>
              <w:t>116</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snapToGrid w:val="0"/>
              <w:spacing w:line="320" w:lineRule="exact"/>
              <w:jc w:val="center"/>
              <w:rPr>
                <w:rFonts w:eastAsia="標楷體"/>
                <w:kern w:val="0"/>
                <w:sz w:val="20"/>
                <w:szCs w:val="20"/>
              </w:rPr>
            </w:pPr>
            <w:r w:rsidRPr="00D55DC6">
              <w:rPr>
                <w:rFonts w:eastAsia="標楷體"/>
                <w:kern w:val="0"/>
                <w:sz w:val="20"/>
                <w:szCs w:val="20"/>
              </w:rPr>
              <w:t>117</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snapToGrid w:val="0"/>
              <w:spacing w:line="320" w:lineRule="exact"/>
              <w:jc w:val="center"/>
              <w:rPr>
                <w:rFonts w:eastAsia="標楷體"/>
                <w:kern w:val="0"/>
                <w:sz w:val="20"/>
                <w:szCs w:val="20"/>
              </w:rPr>
            </w:pPr>
            <w:r w:rsidRPr="00D55DC6">
              <w:rPr>
                <w:rFonts w:eastAsia="標楷體"/>
                <w:kern w:val="0"/>
                <w:sz w:val="20"/>
                <w:szCs w:val="20"/>
              </w:rPr>
              <w:t>118</w:t>
            </w:r>
          </w:p>
        </w:tc>
        <w:tc>
          <w:tcPr>
            <w:tcW w:w="708"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snapToGrid w:val="0"/>
              <w:spacing w:line="320" w:lineRule="exact"/>
              <w:jc w:val="center"/>
              <w:rPr>
                <w:rFonts w:eastAsia="標楷體"/>
                <w:kern w:val="0"/>
                <w:sz w:val="20"/>
                <w:szCs w:val="20"/>
              </w:rPr>
            </w:pPr>
            <w:r w:rsidRPr="00D55DC6">
              <w:rPr>
                <w:rFonts w:eastAsia="標楷體"/>
                <w:kern w:val="0"/>
                <w:sz w:val="20"/>
                <w:szCs w:val="20"/>
              </w:rPr>
              <w:t>119</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snapToGrid w:val="0"/>
              <w:spacing w:line="320" w:lineRule="exact"/>
              <w:jc w:val="center"/>
              <w:rPr>
                <w:rFonts w:eastAsia="標楷體"/>
                <w:kern w:val="0"/>
                <w:sz w:val="20"/>
                <w:szCs w:val="20"/>
              </w:rPr>
            </w:pPr>
            <w:r w:rsidRPr="00D55DC6">
              <w:rPr>
                <w:rFonts w:eastAsia="標楷體"/>
                <w:kern w:val="0"/>
                <w:sz w:val="20"/>
                <w:szCs w:val="20"/>
              </w:rPr>
              <w:t>120</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snapToGrid w:val="0"/>
              <w:spacing w:line="320" w:lineRule="exact"/>
              <w:jc w:val="center"/>
              <w:rPr>
                <w:rFonts w:eastAsia="標楷體"/>
                <w:kern w:val="0"/>
                <w:sz w:val="20"/>
                <w:szCs w:val="20"/>
              </w:rPr>
            </w:pPr>
            <w:r w:rsidRPr="00D55DC6">
              <w:rPr>
                <w:rFonts w:eastAsia="標楷體"/>
                <w:kern w:val="0"/>
                <w:sz w:val="20"/>
                <w:szCs w:val="20"/>
              </w:rPr>
              <w:t>121</w:t>
            </w:r>
          </w:p>
        </w:tc>
        <w:tc>
          <w:tcPr>
            <w:tcW w:w="676"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snapToGrid w:val="0"/>
              <w:spacing w:line="320" w:lineRule="exact"/>
              <w:jc w:val="center"/>
              <w:rPr>
                <w:rFonts w:eastAsia="標楷體"/>
                <w:kern w:val="0"/>
                <w:sz w:val="20"/>
                <w:szCs w:val="20"/>
              </w:rPr>
            </w:pPr>
            <w:r w:rsidRPr="00D55DC6">
              <w:rPr>
                <w:rFonts w:eastAsia="標楷體"/>
                <w:kern w:val="0"/>
                <w:sz w:val="20"/>
                <w:szCs w:val="20"/>
              </w:rPr>
              <w:t>122</w:t>
            </w:r>
          </w:p>
        </w:tc>
        <w:tc>
          <w:tcPr>
            <w:tcW w:w="883"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widowControl/>
              <w:snapToGrid w:val="0"/>
              <w:spacing w:line="320" w:lineRule="exact"/>
              <w:jc w:val="center"/>
              <w:rPr>
                <w:rFonts w:eastAsia="標楷體"/>
                <w:kern w:val="0"/>
                <w:sz w:val="20"/>
                <w:szCs w:val="20"/>
              </w:rPr>
            </w:pPr>
            <w:r w:rsidRPr="00D55DC6">
              <w:rPr>
                <w:rFonts w:eastAsia="標楷體"/>
                <w:kern w:val="0"/>
                <w:sz w:val="20"/>
                <w:szCs w:val="20"/>
              </w:rPr>
              <w:t>合計</w:t>
            </w:r>
          </w:p>
        </w:tc>
      </w:tr>
      <w:tr w:rsidR="001D0350" w:rsidRPr="00D55DC6" w:rsidTr="00167B72">
        <w:trPr>
          <w:trHeight w:val="25"/>
        </w:trPr>
        <w:tc>
          <w:tcPr>
            <w:tcW w:w="2444" w:type="dxa"/>
            <w:tcBorders>
              <w:top w:val="nil"/>
              <w:left w:val="single" w:sz="4" w:space="0" w:color="auto"/>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widowControl/>
              <w:snapToGrid w:val="0"/>
              <w:spacing w:line="320" w:lineRule="exact"/>
              <w:rPr>
                <w:rFonts w:eastAsia="標楷體"/>
                <w:snapToGrid w:val="0"/>
                <w:spacing w:val="-6"/>
                <w:kern w:val="0"/>
                <w:sz w:val="20"/>
                <w:szCs w:val="20"/>
              </w:rPr>
            </w:pPr>
            <w:r w:rsidRPr="00D55DC6">
              <w:rPr>
                <w:rFonts w:eastAsia="標楷體"/>
                <w:snapToGrid w:val="0"/>
                <w:spacing w:val="-6"/>
                <w:kern w:val="0"/>
                <w:sz w:val="20"/>
                <w:szCs w:val="20"/>
              </w:rPr>
              <w:t>一、既有出租據點收益</w:t>
            </w:r>
          </w:p>
        </w:tc>
        <w:tc>
          <w:tcPr>
            <w:tcW w:w="709" w:type="dxa"/>
            <w:tcBorders>
              <w:top w:val="nil"/>
              <w:left w:val="nil"/>
              <w:bottom w:val="single" w:sz="4" w:space="0" w:color="auto"/>
              <w:right w:val="single" w:sz="4" w:space="0" w:color="auto"/>
            </w:tcBorders>
            <w:shd w:val="clear" w:color="000000" w:fill="DAEEF3"/>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5,847 </w:t>
            </w:r>
          </w:p>
        </w:tc>
        <w:tc>
          <w:tcPr>
            <w:tcW w:w="709" w:type="dxa"/>
            <w:tcBorders>
              <w:top w:val="nil"/>
              <w:left w:val="nil"/>
              <w:bottom w:val="single" w:sz="4" w:space="0" w:color="auto"/>
              <w:right w:val="single" w:sz="4" w:space="0" w:color="auto"/>
            </w:tcBorders>
            <w:shd w:val="clear" w:color="000000" w:fill="DAEEF3"/>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5,888 </w:t>
            </w:r>
          </w:p>
        </w:tc>
        <w:tc>
          <w:tcPr>
            <w:tcW w:w="708" w:type="dxa"/>
            <w:tcBorders>
              <w:top w:val="nil"/>
              <w:left w:val="nil"/>
              <w:bottom w:val="single" w:sz="4" w:space="0" w:color="auto"/>
              <w:right w:val="single" w:sz="4" w:space="0" w:color="auto"/>
            </w:tcBorders>
            <w:shd w:val="clear" w:color="000000" w:fill="DAEEF3"/>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5,930 </w:t>
            </w:r>
          </w:p>
        </w:tc>
        <w:tc>
          <w:tcPr>
            <w:tcW w:w="709" w:type="dxa"/>
            <w:tcBorders>
              <w:top w:val="nil"/>
              <w:left w:val="nil"/>
              <w:bottom w:val="single" w:sz="4" w:space="0" w:color="auto"/>
              <w:right w:val="single" w:sz="4" w:space="0" w:color="auto"/>
            </w:tcBorders>
            <w:shd w:val="clear" w:color="000000" w:fill="DAEEF3"/>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5,971 </w:t>
            </w:r>
          </w:p>
        </w:tc>
        <w:tc>
          <w:tcPr>
            <w:tcW w:w="709" w:type="dxa"/>
            <w:tcBorders>
              <w:top w:val="nil"/>
              <w:left w:val="nil"/>
              <w:bottom w:val="single" w:sz="4" w:space="0" w:color="auto"/>
              <w:right w:val="single" w:sz="4" w:space="0" w:color="auto"/>
            </w:tcBorders>
            <w:shd w:val="clear" w:color="000000" w:fill="DAEEF3"/>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6,013 </w:t>
            </w:r>
          </w:p>
        </w:tc>
        <w:tc>
          <w:tcPr>
            <w:tcW w:w="709" w:type="dxa"/>
            <w:tcBorders>
              <w:top w:val="nil"/>
              <w:left w:val="nil"/>
              <w:bottom w:val="single" w:sz="4" w:space="0" w:color="auto"/>
              <w:right w:val="single" w:sz="4" w:space="0" w:color="auto"/>
            </w:tcBorders>
            <w:shd w:val="clear" w:color="000000" w:fill="DAEEF3"/>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6,055 </w:t>
            </w:r>
          </w:p>
        </w:tc>
        <w:tc>
          <w:tcPr>
            <w:tcW w:w="708" w:type="dxa"/>
            <w:tcBorders>
              <w:top w:val="nil"/>
              <w:left w:val="nil"/>
              <w:bottom w:val="single" w:sz="4" w:space="0" w:color="auto"/>
              <w:right w:val="single" w:sz="4" w:space="0" w:color="auto"/>
            </w:tcBorders>
            <w:shd w:val="clear" w:color="000000" w:fill="DAEEF3"/>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6,097 </w:t>
            </w:r>
          </w:p>
        </w:tc>
        <w:tc>
          <w:tcPr>
            <w:tcW w:w="709" w:type="dxa"/>
            <w:tcBorders>
              <w:top w:val="nil"/>
              <w:left w:val="nil"/>
              <w:bottom w:val="single" w:sz="4" w:space="0" w:color="auto"/>
              <w:right w:val="single" w:sz="4" w:space="0" w:color="auto"/>
            </w:tcBorders>
            <w:shd w:val="clear" w:color="000000" w:fill="DAEEF3"/>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6,140 </w:t>
            </w:r>
          </w:p>
        </w:tc>
        <w:tc>
          <w:tcPr>
            <w:tcW w:w="709" w:type="dxa"/>
            <w:tcBorders>
              <w:top w:val="nil"/>
              <w:left w:val="nil"/>
              <w:bottom w:val="single" w:sz="4" w:space="0" w:color="auto"/>
              <w:right w:val="single" w:sz="4" w:space="0" w:color="auto"/>
            </w:tcBorders>
            <w:shd w:val="clear" w:color="000000" w:fill="DAEEF3"/>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6,183 </w:t>
            </w:r>
          </w:p>
        </w:tc>
        <w:tc>
          <w:tcPr>
            <w:tcW w:w="676" w:type="dxa"/>
            <w:tcBorders>
              <w:top w:val="nil"/>
              <w:left w:val="nil"/>
              <w:bottom w:val="single" w:sz="4" w:space="0" w:color="auto"/>
              <w:right w:val="single" w:sz="4" w:space="0" w:color="auto"/>
            </w:tcBorders>
            <w:shd w:val="clear" w:color="000000" w:fill="DAEEF3"/>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6,226 </w:t>
            </w:r>
          </w:p>
        </w:tc>
        <w:tc>
          <w:tcPr>
            <w:tcW w:w="883" w:type="dxa"/>
            <w:tcBorders>
              <w:top w:val="nil"/>
              <w:left w:val="nil"/>
              <w:bottom w:val="single" w:sz="4" w:space="0" w:color="auto"/>
              <w:right w:val="single" w:sz="4" w:space="0" w:color="auto"/>
            </w:tcBorders>
            <w:shd w:val="clear" w:color="000000" w:fill="DAEEF3"/>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116,750 </w:t>
            </w:r>
          </w:p>
        </w:tc>
      </w:tr>
      <w:tr w:rsidR="001D0350" w:rsidRPr="00D55DC6" w:rsidTr="00167B72">
        <w:trPr>
          <w:trHeight w:val="60"/>
        </w:trPr>
        <w:tc>
          <w:tcPr>
            <w:tcW w:w="2444" w:type="dxa"/>
            <w:tcBorders>
              <w:top w:val="nil"/>
              <w:left w:val="single" w:sz="4" w:space="0" w:color="auto"/>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widowControl/>
              <w:snapToGrid w:val="0"/>
              <w:spacing w:line="320" w:lineRule="exact"/>
              <w:rPr>
                <w:rFonts w:eastAsia="標楷體"/>
                <w:snapToGrid w:val="0"/>
                <w:spacing w:val="-6"/>
                <w:kern w:val="0"/>
                <w:sz w:val="20"/>
                <w:szCs w:val="20"/>
              </w:rPr>
            </w:pPr>
            <w:r w:rsidRPr="00D55DC6">
              <w:rPr>
                <w:rFonts w:eastAsia="標楷體"/>
                <w:snapToGrid w:val="0"/>
                <w:spacing w:val="-6"/>
                <w:kern w:val="0"/>
                <w:sz w:val="20"/>
                <w:szCs w:val="20"/>
              </w:rPr>
              <w:t>二、依促參法相關收益</w:t>
            </w:r>
          </w:p>
        </w:tc>
        <w:tc>
          <w:tcPr>
            <w:tcW w:w="709"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14,226 </w:t>
            </w:r>
          </w:p>
        </w:tc>
        <w:tc>
          <w:tcPr>
            <w:tcW w:w="709"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15,532 </w:t>
            </w:r>
          </w:p>
        </w:tc>
        <w:tc>
          <w:tcPr>
            <w:tcW w:w="708"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36,000 </w:t>
            </w:r>
          </w:p>
        </w:tc>
        <w:tc>
          <w:tcPr>
            <w:tcW w:w="709"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36,727 </w:t>
            </w:r>
          </w:p>
        </w:tc>
        <w:tc>
          <w:tcPr>
            <w:tcW w:w="709"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36,812 </w:t>
            </w:r>
          </w:p>
        </w:tc>
        <w:tc>
          <w:tcPr>
            <w:tcW w:w="709"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36,505 </w:t>
            </w:r>
          </w:p>
        </w:tc>
        <w:tc>
          <w:tcPr>
            <w:tcW w:w="708"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36,520 </w:t>
            </w:r>
          </w:p>
        </w:tc>
        <w:tc>
          <w:tcPr>
            <w:tcW w:w="709"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36,637 </w:t>
            </w:r>
          </w:p>
        </w:tc>
        <w:tc>
          <w:tcPr>
            <w:tcW w:w="709"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37,186 </w:t>
            </w:r>
          </w:p>
        </w:tc>
        <w:tc>
          <w:tcPr>
            <w:tcW w:w="676"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36,835 </w:t>
            </w:r>
          </w:p>
        </w:tc>
        <w:tc>
          <w:tcPr>
            <w:tcW w:w="883" w:type="dxa"/>
            <w:tcBorders>
              <w:top w:val="nil"/>
              <w:left w:val="nil"/>
              <w:bottom w:val="single" w:sz="4" w:space="0" w:color="auto"/>
              <w:right w:val="single" w:sz="4" w:space="0" w:color="auto"/>
            </w:tcBorders>
            <w:shd w:val="clear" w:color="000000" w:fill="DAEEF3"/>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398,963 </w:t>
            </w:r>
          </w:p>
        </w:tc>
      </w:tr>
      <w:tr w:rsidR="001D0350" w:rsidRPr="00D55DC6" w:rsidTr="00167B72">
        <w:trPr>
          <w:trHeight w:val="60"/>
        </w:trPr>
        <w:tc>
          <w:tcPr>
            <w:tcW w:w="2444" w:type="dxa"/>
            <w:tcBorders>
              <w:top w:val="nil"/>
              <w:left w:val="single" w:sz="4" w:space="0" w:color="auto"/>
              <w:bottom w:val="single" w:sz="4" w:space="0" w:color="auto"/>
              <w:right w:val="single" w:sz="4" w:space="0" w:color="auto"/>
            </w:tcBorders>
            <w:shd w:val="clear" w:color="000000" w:fill="D9D9D9"/>
            <w:noWrap/>
            <w:vAlign w:val="center"/>
          </w:tcPr>
          <w:p w:rsidR="00986223" w:rsidRPr="00D55DC6" w:rsidRDefault="00986223" w:rsidP="004E0820">
            <w:pPr>
              <w:widowControl/>
              <w:snapToGrid w:val="0"/>
              <w:spacing w:line="320" w:lineRule="exact"/>
              <w:ind w:leftChars="92" w:left="430" w:hangingChars="111" w:hanging="209"/>
              <w:rPr>
                <w:rFonts w:eastAsia="標楷體"/>
                <w:snapToGrid w:val="0"/>
                <w:spacing w:val="-6"/>
                <w:kern w:val="0"/>
                <w:sz w:val="20"/>
                <w:szCs w:val="20"/>
              </w:rPr>
            </w:pPr>
            <w:r w:rsidRPr="00D55DC6">
              <w:rPr>
                <w:rFonts w:eastAsia="標楷體"/>
                <w:snapToGrid w:val="0"/>
                <w:spacing w:val="-6"/>
                <w:kern w:val="0"/>
                <w:sz w:val="20"/>
                <w:szCs w:val="20"/>
              </w:rPr>
              <w:t>1.</w:t>
            </w:r>
            <w:r w:rsidRPr="00D55DC6">
              <w:rPr>
                <w:rFonts w:eastAsia="標楷體"/>
                <w:snapToGrid w:val="0"/>
                <w:spacing w:val="-6"/>
                <w:kern w:val="0"/>
                <w:sz w:val="20"/>
                <w:szCs w:val="20"/>
              </w:rPr>
              <w:t>已得標租金及權利金收益</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2,554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3,671 </w:t>
            </w:r>
          </w:p>
        </w:tc>
        <w:tc>
          <w:tcPr>
            <w:tcW w:w="708"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2,588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3,427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2,842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2,640 </w:t>
            </w:r>
          </w:p>
        </w:tc>
        <w:tc>
          <w:tcPr>
            <w:tcW w:w="708"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2,657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2,675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3,315 </w:t>
            </w:r>
          </w:p>
        </w:tc>
        <w:tc>
          <w:tcPr>
            <w:tcW w:w="67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3,130 </w:t>
            </w:r>
          </w:p>
        </w:tc>
        <w:tc>
          <w:tcPr>
            <w:tcW w:w="883"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55,647 </w:t>
            </w:r>
          </w:p>
        </w:tc>
      </w:tr>
      <w:tr w:rsidR="001D0350" w:rsidRPr="00D55DC6" w:rsidTr="00167B72">
        <w:trPr>
          <w:trHeight w:val="60"/>
        </w:trPr>
        <w:tc>
          <w:tcPr>
            <w:tcW w:w="2444" w:type="dxa"/>
            <w:tcBorders>
              <w:top w:val="nil"/>
              <w:left w:val="single" w:sz="4" w:space="0" w:color="auto"/>
              <w:bottom w:val="single" w:sz="4" w:space="0" w:color="auto"/>
              <w:right w:val="single" w:sz="4" w:space="0" w:color="auto"/>
            </w:tcBorders>
            <w:shd w:val="clear" w:color="000000" w:fill="D9D9D9"/>
            <w:noWrap/>
            <w:vAlign w:val="center"/>
          </w:tcPr>
          <w:p w:rsidR="00986223" w:rsidRPr="00D55DC6" w:rsidRDefault="00986223" w:rsidP="004E0820">
            <w:pPr>
              <w:widowControl/>
              <w:snapToGrid w:val="0"/>
              <w:spacing w:line="320" w:lineRule="exact"/>
              <w:ind w:leftChars="92" w:left="430" w:hangingChars="111" w:hanging="209"/>
              <w:rPr>
                <w:rFonts w:eastAsia="標楷體"/>
                <w:snapToGrid w:val="0"/>
                <w:spacing w:val="-6"/>
                <w:kern w:val="0"/>
                <w:sz w:val="20"/>
                <w:szCs w:val="20"/>
              </w:rPr>
            </w:pPr>
            <w:r w:rsidRPr="00D55DC6">
              <w:rPr>
                <w:rFonts w:eastAsia="標楷體"/>
                <w:snapToGrid w:val="0"/>
                <w:spacing w:val="-6"/>
                <w:kern w:val="0"/>
                <w:sz w:val="20"/>
                <w:szCs w:val="20"/>
              </w:rPr>
              <w:t>2.</w:t>
            </w:r>
            <w:r w:rsidRPr="00D55DC6">
              <w:rPr>
                <w:rFonts w:eastAsia="標楷體"/>
                <w:snapToGrid w:val="0"/>
                <w:spacing w:val="-6"/>
                <w:kern w:val="0"/>
                <w:sz w:val="20"/>
                <w:szCs w:val="20"/>
              </w:rPr>
              <w:t>東衛石雕園區</w:t>
            </w:r>
            <w:r w:rsidRPr="00D55DC6">
              <w:rPr>
                <w:rFonts w:eastAsia="標楷體"/>
                <w:snapToGrid w:val="0"/>
                <w:spacing w:val="-6"/>
                <w:kern w:val="0"/>
                <w:sz w:val="20"/>
                <w:szCs w:val="20"/>
              </w:rPr>
              <w:t>BOT+ROT</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2,950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2,958 </w:t>
            </w:r>
          </w:p>
        </w:tc>
        <w:tc>
          <w:tcPr>
            <w:tcW w:w="708"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3,199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3,208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3,216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3,225 </w:t>
            </w:r>
          </w:p>
        </w:tc>
        <w:tc>
          <w:tcPr>
            <w:tcW w:w="708"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3,234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3,439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3,448 </w:t>
            </w:r>
          </w:p>
        </w:tc>
        <w:tc>
          <w:tcPr>
            <w:tcW w:w="67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3,458 </w:t>
            </w:r>
          </w:p>
        </w:tc>
        <w:tc>
          <w:tcPr>
            <w:tcW w:w="883"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45,255 </w:t>
            </w:r>
          </w:p>
        </w:tc>
      </w:tr>
      <w:tr w:rsidR="001D0350" w:rsidRPr="00D55DC6" w:rsidTr="00167B72">
        <w:trPr>
          <w:trHeight w:val="60"/>
        </w:trPr>
        <w:tc>
          <w:tcPr>
            <w:tcW w:w="2444" w:type="dxa"/>
            <w:tcBorders>
              <w:top w:val="nil"/>
              <w:left w:val="single" w:sz="4" w:space="0" w:color="auto"/>
              <w:bottom w:val="single" w:sz="4" w:space="0" w:color="auto"/>
              <w:right w:val="single" w:sz="4" w:space="0" w:color="auto"/>
            </w:tcBorders>
            <w:shd w:val="clear" w:color="000000" w:fill="D9D9D9"/>
          </w:tcPr>
          <w:p w:rsidR="00986223" w:rsidRPr="00D55DC6" w:rsidRDefault="00986223" w:rsidP="004E0820">
            <w:pPr>
              <w:widowControl/>
              <w:snapToGrid w:val="0"/>
              <w:spacing w:line="320" w:lineRule="exact"/>
              <w:ind w:leftChars="92" w:left="430" w:hangingChars="111" w:hanging="209"/>
              <w:rPr>
                <w:rFonts w:eastAsia="標楷體"/>
                <w:snapToGrid w:val="0"/>
                <w:spacing w:val="-6"/>
                <w:kern w:val="0"/>
                <w:sz w:val="20"/>
                <w:szCs w:val="20"/>
              </w:rPr>
            </w:pPr>
            <w:r w:rsidRPr="00D55DC6">
              <w:rPr>
                <w:rFonts w:eastAsia="標楷體"/>
                <w:snapToGrid w:val="0"/>
                <w:spacing w:val="-6"/>
                <w:kern w:val="0"/>
                <w:sz w:val="20"/>
                <w:szCs w:val="20"/>
              </w:rPr>
              <w:t>3.</w:t>
            </w:r>
            <w:r w:rsidRPr="00D55DC6">
              <w:rPr>
                <w:rFonts w:eastAsia="標楷體"/>
                <w:snapToGrid w:val="0"/>
                <w:spacing w:val="-6"/>
                <w:kern w:val="0"/>
                <w:sz w:val="20"/>
                <w:szCs w:val="20"/>
              </w:rPr>
              <w:t>隘門濱海度假</w:t>
            </w:r>
            <w:r w:rsidRPr="00D55DC6">
              <w:rPr>
                <w:rFonts w:eastAsia="標楷體"/>
                <w:snapToGrid w:val="0"/>
                <w:spacing w:val="-6"/>
                <w:kern w:val="0"/>
                <w:sz w:val="20"/>
                <w:szCs w:val="20"/>
              </w:rPr>
              <w:t>BOT+ROT</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1,146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1,232 </w:t>
            </w:r>
          </w:p>
        </w:tc>
        <w:tc>
          <w:tcPr>
            <w:tcW w:w="708"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22,441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22,220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21,999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21,778 </w:t>
            </w:r>
          </w:p>
        </w:tc>
        <w:tc>
          <w:tcPr>
            <w:tcW w:w="708"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21,652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21,431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21,210 </w:t>
            </w:r>
          </w:p>
        </w:tc>
        <w:tc>
          <w:tcPr>
            <w:tcW w:w="67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20,989 </w:t>
            </w:r>
          </w:p>
        </w:tc>
        <w:tc>
          <w:tcPr>
            <w:tcW w:w="883"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192,005 </w:t>
            </w:r>
          </w:p>
        </w:tc>
      </w:tr>
      <w:tr w:rsidR="001D0350" w:rsidRPr="00D55DC6" w:rsidTr="00167B72">
        <w:trPr>
          <w:trHeight w:val="330"/>
        </w:trPr>
        <w:tc>
          <w:tcPr>
            <w:tcW w:w="2444" w:type="dxa"/>
            <w:tcBorders>
              <w:top w:val="nil"/>
              <w:left w:val="single" w:sz="4" w:space="0" w:color="auto"/>
              <w:bottom w:val="single" w:sz="4" w:space="0" w:color="auto"/>
              <w:right w:val="single" w:sz="4" w:space="0" w:color="auto"/>
            </w:tcBorders>
            <w:shd w:val="clear" w:color="000000" w:fill="D9D9D9"/>
          </w:tcPr>
          <w:p w:rsidR="00986223" w:rsidRPr="00D55DC6" w:rsidRDefault="00986223" w:rsidP="004E0820">
            <w:pPr>
              <w:widowControl/>
              <w:snapToGrid w:val="0"/>
              <w:spacing w:line="320" w:lineRule="exact"/>
              <w:ind w:leftChars="92" w:left="430" w:hangingChars="111" w:hanging="209"/>
              <w:rPr>
                <w:rFonts w:eastAsia="標楷體"/>
                <w:snapToGrid w:val="0"/>
                <w:spacing w:val="-6"/>
                <w:kern w:val="0"/>
                <w:sz w:val="20"/>
                <w:szCs w:val="20"/>
              </w:rPr>
            </w:pPr>
            <w:r w:rsidRPr="00D55DC6">
              <w:rPr>
                <w:rFonts w:eastAsia="標楷體"/>
                <w:snapToGrid w:val="0"/>
                <w:spacing w:val="-6"/>
                <w:kern w:val="0"/>
                <w:sz w:val="20"/>
                <w:szCs w:val="20"/>
              </w:rPr>
              <w:t>4.</w:t>
            </w:r>
            <w:r w:rsidRPr="00D55DC6">
              <w:rPr>
                <w:rFonts w:eastAsia="標楷體"/>
                <w:snapToGrid w:val="0"/>
                <w:spacing w:val="-6"/>
                <w:kern w:val="0"/>
                <w:sz w:val="20"/>
                <w:szCs w:val="20"/>
              </w:rPr>
              <w:t>吉貝休閒度假旅館暨休憩園區</w:t>
            </w:r>
            <w:r w:rsidRPr="00D55DC6">
              <w:rPr>
                <w:rFonts w:eastAsia="標楷體"/>
                <w:snapToGrid w:val="0"/>
                <w:spacing w:val="-6"/>
                <w:kern w:val="0"/>
                <w:sz w:val="20"/>
                <w:szCs w:val="20"/>
              </w:rPr>
              <w:t>BOT+ROT</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6,360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6,364 </w:t>
            </w:r>
          </w:p>
        </w:tc>
        <w:tc>
          <w:tcPr>
            <w:tcW w:w="708"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6,370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6,374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6,380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6,384 </w:t>
            </w:r>
          </w:p>
        </w:tc>
        <w:tc>
          <w:tcPr>
            <w:tcW w:w="708"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6,390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6,394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6,400 </w:t>
            </w:r>
          </w:p>
        </w:tc>
        <w:tc>
          <w:tcPr>
            <w:tcW w:w="67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6,404 </w:t>
            </w:r>
          </w:p>
        </w:tc>
        <w:tc>
          <w:tcPr>
            <w:tcW w:w="883"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82,417 </w:t>
            </w:r>
          </w:p>
        </w:tc>
      </w:tr>
      <w:tr w:rsidR="001D0350" w:rsidRPr="00D55DC6" w:rsidTr="00167B72">
        <w:trPr>
          <w:trHeight w:val="330"/>
        </w:trPr>
        <w:tc>
          <w:tcPr>
            <w:tcW w:w="2444" w:type="dxa"/>
            <w:tcBorders>
              <w:top w:val="nil"/>
              <w:left w:val="single" w:sz="4" w:space="0" w:color="auto"/>
              <w:bottom w:val="single" w:sz="4" w:space="0" w:color="auto"/>
              <w:right w:val="single" w:sz="4" w:space="0" w:color="auto"/>
            </w:tcBorders>
            <w:shd w:val="clear" w:color="000000" w:fill="D9D9D9"/>
          </w:tcPr>
          <w:p w:rsidR="00986223" w:rsidRPr="00D55DC6" w:rsidRDefault="00986223" w:rsidP="004E0820">
            <w:pPr>
              <w:widowControl/>
              <w:snapToGrid w:val="0"/>
              <w:spacing w:line="320" w:lineRule="exact"/>
              <w:ind w:leftChars="92" w:left="430" w:hangingChars="111" w:hanging="209"/>
              <w:rPr>
                <w:rFonts w:eastAsia="標楷體"/>
                <w:snapToGrid w:val="0"/>
                <w:spacing w:val="-6"/>
                <w:kern w:val="0"/>
                <w:sz w:val="20"/>
                <w:szCs w:val="20"/>
              </w:rPr>
            </w:pPr>
            <w:r w:rsidRPr="00D55DC6">
              <w:rPr>
                <w:rFonts w:eastAsia="標楷體"/>
                <w:snapToGrid w:val="0"/>
                <w:spacing w:val="-6"/>
                <w:kern w:val="0"/>
                <w:sz w:val="20"/>
                <w:szCs w:val="20"/>
              </w:rPr>
              <w:t>5.</w:t>
            </w:r>
            <w:r w:rsidRPr="00D55DC6">
              <w:rPr>
                <w:rFonts w:eastAsia="標楷體"/>
                <w:snapToGrid w:val="0"/>
                <w:spacing w:val="-6"/>
                <w:kern w:val="0"/>
                <w:sz w:val="20"/>
                <w:szCs w:val="20"/>
              </w:rPr>
              <w:t>漁翁島休閒度假</w:t>
            </w:r>
            <w:r w:rsidRPr="00D55DC6">
              <w:rPr>
                <w:rFonts w:eastAsia="標楷體"/>
                <w:snapToGrid w:val="0"/>
                <w:spacing w:val="-6"/>
                <w:kern w:val="0"/>
                <w:sz w:val="20"/>
                <w:szCs w:val="20"/>
              </w:rPr>
              <w:t>BOT+ROT</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1,216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1,307 </w:t>
            </w:r>
          </w:p>
        </w:tc>
        <w:tc>
          <w:tcPr>
            <w:tcW w:w="708"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1,402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1,499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2,375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2,479 </w:t>
            </w:r>
          </w:p>
        </w:tc>
        <w:tc>
          <w:tcPr>
            <w:tcW w:w="708"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2,587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2,698 </w:t>
            </w:r>
          </w:p>
        </w:tc>
        <w:tc>
          <w:tcPr>
            <w:tcW w:w="709"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2,813 </w:t>
            </w:r>
          </w:p>
        </w:tc>
        <w:tc>
          <w:tcPr>
            <w:tcW w:w="676"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2,854 </w:t>
            </w:r>
          </w:p>
        </w:tc>
        <w:tc>
          <w:tcPr>
            <w:tcW w:w="883" w:type="dxa"/>
            <w:tcBorders>
              <w:top w:val="nil"/>
              <w:left w:val="nil"/>
              <w:bottom w:val="single" w:sz="4" w:space="0" w:color="auto"/>
              <w:right w:val="single" w:sz="4" w:space="0" w:color="auto"/>
            </w:tcBorders>
            <w:shd w:val="clear" w:color="auto" w:fill="auto"/>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23,640 </w:t>
            </w:r>
          </w:p>
        </w:tc>
      </w:tr>
      <w:tr w:rsidR="001D0350" w:rsidRPr="00D55DC6" w:rsidTr="00167B72">
        <w:trPr>
          <w:trHeight w:val="60"/>
        </w:trPr>
        <w:tc>
          <w:tcPr>
            <w:tcW w:w="2444" w:type="dxa"/>
            <w:tcBorders>
              <w:top w:val="nil"/>
              <w:left w:val="single" w:sz="4" w:space="0" w:color="auto"/>
              <w:bottom w:val="single" w:sz="4" w:space="0" w:color="auto"/>
              <w:right w:val="single" w:sz="4" w:space="0" w:color="auto"/>
            </w:tcBorders>
            <w:shd w:val="clear" w:color="auto" w:fill="DAEEF3" w:themeFill="accent5" w:themeFillTint="33"/>
          </w:tcPr>
          <w:p w:rsidR="00986223" w:rsidRPr="00D55DC6" w:rsidRDefault="00986223" w:rsidP="00986223">
            <w:pPr>
              <w:widowControl/>
              <w:snapToGrid w:val="0"/>
              <w:spacing w:line="320" w:lineRule="exact"/>
              <w:rPr>
                <w:rFonts w:eastAsia="標楷體"/>
                <w:snapToGrid w:val="0"/>
                <w:spacing w:val="-6"/>
                <w:kern w:val="0"/>
                <w:sz w:val="20"/>
                <w:szCs w:val="20"/>
              </w:rPr>
            </w:pPr>
            <w:r w:rsidRPr="00D55DC6">
              <w:rPr>
                <w:rFonts w:eastAsia="標楷體"/>
                <w:snapToGrid w:val="0"/>
                <w:spacing w:val="-6"/>
                <w:kern w:val="0"/>
                <w:sz w:val="20"/>
                <w:szCs w:val="20"/>
              </w:rPr>
              <w:t>三、規劃新增收益計畫</w:t>
            </w:r>
          </w:p>
        </w:tc>
        <w:tc>
          <w:tcPr>
            <w:tcW w:w="709"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2,057 </w:t>
            </w:r>
          </w:p>
        </w:tc>
        <w:tc>
          <w:tcPr>
            <w:tcW w:w="709"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2,071 </w:t>
            </w:r>
          </w:p>
        </w:tc>
        <w:tc>
          <w:tcPr>
            <w:tcW w:w="708"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2,085 </w:t>
            </w:r>
          </w:p>
        </w:tc>
        <w:tc>
          <w:tcPr>
            <w:tcW w:w="709"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2,100 </w:t>
            </w:r>
          </w:p>
        </w:tc>
        <w:tc>
          <w:tcPr>
            <w:tcW w:w="709"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2,115 </w:t>
            </w:r>
          </w:p>
        </w:tc>
        <w:tc>
          <w:tcPr>
            <w:tcW w:w="709"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2,130 </w:t>
            </w:r>
          </w:p>
        </w:tc>
        <w:tc>
          <w:tcPr>
            <w:tcW w:w="708"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2,144 </w:t>
            </w:r>
          </w:p>
        </w:tc>
        <w:tc>
          <w:tcPr>
            <w:tcW w:w="709"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2,160 </w:t>
            </w:r>
          </w:p>
        </w:tc>
        <w:tc>
          <w:tcPr>
            <w:tcW w:w="709"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2,175 </w:t>
            </w:r>
          </w:p>
        </w:tc>
        <w:tc>
          <w:tcPr>
            <w:tcW w:w="676"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2,190 </w:t>
            </w:r>
          </w:p>
        </w:tc>
        <w:tc>
          <w:tcPr>
            <w:tcW w:w="883" w:type="dxa"/>
            <w:tcBorders>
              <w:top w:val="nil"/>
              <w:left w:val="nil"/>
              <w:bottom w:val="single" w:sz="4" w:space="0" w:color="auto"/>
              <w:right w:val="single" w:sz="4" w:space="0" w:color="auto"/>
            </w:tcBorders>
            <w:shd w:val="clear" w:color="auto" w:fill="DAEEF3" w:themeFill="accent5" w:themeFillTint="33"/>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29,310 </w:t>
            </w:r>
          </w:p>
        </w:tc>
      </w:tr>
      <w:tr w:rsidR="001D0350" w:rsidRPr="00D55DC6" w:rsidTr="00167B72">
        <w:trPr>
          <w:trHeight w:val="60"/>
        </w:trPr>
        <w:tc>
          <w:tcPr>
            <w:tcW w:w="2444" w:type="dxa"/>
            <w:tcBorders>
              <w:top w:val="nil"/>
              <w:left w:val="single" w:sz="4" w:space="0" w:color="auto"/>
              <w:bottom w:val="single" w:sz="4" w:space="0" w:color="auto"/>
              <w:right w:val="single" w:sz="4" w:space="0" w:color="auto"/>
            </w:tcBorders>
            <w:shd w:val="clear" w:color="000000" w:fill="D9D9D9"/>
            <w:vAlign w:val="center"/>
          </w:tcPr>
          <w:p w:rsidR="00986223" w:rsidRPr="00D55DC6" w:rsidRDefault="00986223" w:rsidP="00986223">
            <w:pPr>
              <w:widowControl/>
              <w:snapToGrid w:val="0"/>
              <w:spacing w:line="320" w:lineRule="exact"/>
              <w:ind w:leftChars="92" w:left="221"/>
              <w:rPr>
                <w:rFonts w:eastAsia="標楷體"/>
                <w:snapToGrid w:val="0"/>
                <w:spacing w:val="-6"/>
                <w:kern w:val="0"/>
                <w:sz w:val="20"/>
                <w:szCs w:val="20"/>
              </w:rPr>
            </w:pPr>
            <w:r w:rsidRPr="00D55DC6">
              <w:rPr>
                <w:rFonts w:eastAsia="標楷體"/>
                <w:snapToGrid w:val="0"/>
                <w:spacing w:val="-6"/>
                <w:kern w:val="0"/>
                <w:sz w:val="20"/>
                <w:szCs w:val="20"/>
              </w:rPr>
              <w:t>1.</w:t>
            </w:r>
            <w:r w:rsidRPr="00D55DC6">
              <w:rPr>
                <w:rFonts w:eastAsia="標楷體"/>
                <w:snapToGrid w:val="0"/>
                <w:spacing w:val="-6"/>
                <w:kern w:val="0"/>
                <w:sz w:val="20"/>
                <w:szCs w:val="20"/>
              </w:rPr>
              <w:t>停車場委外經營收益</w:t>
            </w:r>
          </w:p>
        </w:tc>
        <w:tc>
          <w:tcPr>
            <w:tcW w:w="709"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1,542 </w:t>
            </w:r>
          </w:p>
        </w:tc>
        <w:tc>
          <w:tcPr>
            <w:tcW w:w="709"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1,553 </w:t>
            </w:r>
          </w:p>
        </w:tc>
        <w:tc>
          <w:tcPr>
            <w:tcW w:w="708"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1,564 </w:t>
            </w:r>
          </w:p>
        </w:tc>
        <w:tc>
          <w:tcPr>
            <w:tcW w:w="709"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1,575 </w:t>
            </w:r>
          </w:p>
        </w:tc>
        <w:tc>
          <w:tcPr>
            <w:tcW w:w="709"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1,586 </w:t>
            </w:r>
          </w:p>
        </w:tc>
        <w:tc>
          <w:tcPr>
            <w:tcW w:w="709"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1,597 </w:t>
            </w:r>
          </w:p>
        </w:tc>
        <w:tc>
          <w:tcPr>
            <w:tcW w:w="708"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1,608 </w:t>
            </w:r>
          </w:p>
        </w:tc>
        <w:tc>
          <w:tcPr>
            <w:tcW w:w="709"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1,620 </w:t>
            </w:r>
          </w:p>
        </w:tc>
        <w:tc>
          <w:tcPr>
            <w:tcW w:w="709"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1,631 </w:t>
            </w:r>
          </w:p>
        </w:tc>
        <w:tc>
          <w:tcPr>
            <w:tcW w:w="676"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1,642 </w:t>
            </w:r>
          </w:p>
        </w:tc>
        <w:tc>
          <w:tcPr>
            <w:tcW w:w="883"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21,983 </w:t>
            </w:r>
          </w:p>
        </w:tc>
      </w:tr>
      <w:tr w:rsidR="001D0350" w:rsidRPr="00D55DC6" w:rsidTr="00167B72">
        <w:trPr>
          <w:trHeight w:val="60"/>
        </w:trPr>
        <w:tc>
          <w:tcPr>
            <w:tcW w:w="2444" w:type="dxa"/>
            <w:tcBorders>
              <w:top w:val="nil"/>
              <w:left w:val="single" w:sz="4" w:space="0" w:color="auto"/>
              <w:bottom w:val="single" w:sz="4" w:space="0" w:color="auto"/>
              <w:right w:val="single" w:sz="4" w:space="0" w:color="auto"/>
            </w:tcBorders>
            <w:shd w:val="clear" w:color="000000" w:fill="D9D9D9"/>
            <w:vAlign w:val="center"/>
          </w:tcPr>
          <w:p w:rsidR="00986223" w:rsidRPr="00D55DC6" w:rsidRDefault="00986223" w:rsidP="004E0820">
            <w:pPr>
              <w:widowControl/>
              <w:snapToGrid w:val="0"/>
              <w:spacing w:line="320" w:lineRule="exact"/>
              <w:ind w:leftChars="92" w:left="430" w:hangingChars="111" w:hanging="209"/>
              <w:rPr>
                <w:rFonts w:eastAsia="標楷體"/>
                <w:snapToGrid w:val="0"/>
                <w:spacing w:val="-6"/>
                <w:kern w:val="0"/>
                <w:sz w:val="20"/>
                <w:szCs w:val="20"/>
              </w:rPr>
            </w:pPr>
            <w:r w:rsidRPr="00D55DC6">
              <w:rPr>
                <w:rFonts w:eastAsia="標楷體"/>
                <w:snapToGrid w:val="0"/>
                <w:spacing w:val="-6"/>
                <w:kern w:val="0"/>
                <w:sz w:val="20"/>
                <w:szCs w:val="20"/>
              </w:rPr>
              <w:t>2.</w:t>
            </w:r>
            <w:r w:rsidRPr="00D55DC6">
              <w:rPr>
                <w:rFonts w:eastAsia="標楷體"/>
                <w:snapToGrid w:val="0"/>
                <w:spacing w:val="-6"/>
                <w:kern w:val="0"/>
                <w:sz w:val="20"/>
                <w:szCs w:val="20"/>
              </w:rPr>
              <w:t>廣告及紀念品周邊收益</w:t>
            </w:r>
          </w:p>
        </w:tc>
        <w:tc>
          <w:tcPr>
            <w:tcW w:w="709"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514 </w:t>
            </w:r>
          </w:p>
        </w:tc>
        <w:tc>
          <w:tcPr>
            <w:tcW w:w="709"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518 </w:t>
            </w:r>
          </w:p>
        </w:tc>
        <w:tc>
          <w:tcPr>
            <w:tcW w:w="708"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521 </w:t>
            </w:r>
          </w:p>
        </w:tc>
        <w:tc>
          <w:tcPr>
            <w:tcW w:w="709"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525 </w:t>
            </w:r>
          </w:p>
        </w:tc>
        <w:tc>
          <w:tcPr>
            <w:tcW w:w="709"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529 </w:t>
            </w:r>
          </w:p>
        </w:tc>
        <w:tc>
          <w:tcPr>
            <w:tcW w:w="709"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532 </w:t>
            </w:r>
          </w:p>
        </w:tc>
        <w:tc>
          <w:tcPr>
            <w:tcW w:w="708"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536 </w:t>
            </w:r>
          </w:p>
        </w:tc>
        <w:tc>
          <w:tcPr>
            <w:tcW w:w="709"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540 </w:t>
            </w:r>
          </w:p>
        </w:tc>
        <w:tc>
          <w:tcPr>
            <w:tcW w:w="709"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544 </w:t>
            </w:r>
          </w:p>
        </w:tc>
        <w:tc>
          <w:tcPr>
            <w:tcW w:w="676"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547 </w:t>
            </w:r>
          </w:p>
        </w:tc>
        <w:tc>
          <w:tcPr>
            <w:tcW w:w="883" w:type="dxa"/>
            <w:tcBorders>
              <w:top w:val="nil"/>
              <w:left w:val="nil"/>
              <w:bottom w:val="single" w:sz="4" w:space="0" w:color="auto"/>
              <w:right w:val="single" w:sz="4" w:space="0" w:color="auto"/>
            </w:tcBorders>
            <w:shd w:val="clear" w:color="auto" w:fill="auto"/>
            <w:noWrap/>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7,327 </w:t>
            </w:r>
          </w:p>
        </w:tc>
      </w:tr>
      <w:tr w:rsidR="001D0350" w:rsidRPr="00D55DC6" w:rsidTr="00167B72">
        <w:trPr>
          <w:trHeight w:val="60"/>
        </w:trPr>
        <w:tc>
          <w:tcPr>
            <w:tcW w:w="2444" w:type="dxa"/>
            <w:tcBorders>
              <w:top w:val="nil"/>
              <w:left w:val="single" w:sz="4" w:space="0" w:color="auto"/>
              <w:bottom w:val="double" w:sz="6" w:space="0" w:color="auto"/>
              <w:right w:val="single" w:sz="4" w:space="0" w:color="auto"/>
            </w:tcBorders>
            <w:shd w:val="clear" w:color="auto" w:fill="FBD4B4" w:themeFill="accent6" w:themeFillTint="66"/>
            <w:noWrap/>
            <w:vAlign w:val="center"/>
          </w:tcPr>
          <w:p w:rsidR="00986223" w:rsidRPr="00D55DC6" w:rsidRDefault="00986223" w:rsidP="00986223">
            <w:pPr>
              <w:widowControl/>
              <w:snapToGrid w:val="0"/>
              <w:spacing w:line="320" w:lineRule="exact"/>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合</w:t>
            </w:r>
            <w:r w:rsidRPr="00D55DC6">
              <w:rPr>
                <w:rFonts w:eastAsia="標楷體"/>
                <w:kern w:val="0"/>
                <w:sz w:val="20"/>
                <w:szCs w:val="20"/>
              </w:rPr>
              <w:t xml:space="preserve">          </w:t>
            </w:r>
            <w:r w:rsidRPr="00D55DC6">
              <w:rPr>
                <w:rFonts w:eastAsia="標楷體"/>
                <w:kern w:val="0"/>
                <w:sz w:val="20"/>
                <w:szCs w:val="20"/>
              </w:rPr>
              <w:t>計</w:t>
            </w:r>
          </w:p>
        </w:tc>
        <w:tc>
          <w:tcPr>
            <w:tcW w:w="709" w:type="dxa"/>
            <w:tcBorders>
              <w:top w:val="nil"/>
              <w:left w:val="nil"/>
              <w:bottom w:val="double" w:sz="6" w:space="0" w:color="auto"/>
              <w:right w:val="single" w:sz="4" w:space="0" w:color="auto"/>
            </w:tcBorders>
            <w:shd w:val="clear" w:color="auto" w:fill="FBD4B4" w:themeFill="accent6" w:themeFillTint="66"/>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22,130 </w:t>
            </w:r>
          </w:p>
        </w:tc>
        <w:tc>
          <w:tcPr>
            <w:tcW w:w="709" w:type="dxa"/>
            <w:tcBorders>
              <w:top w:val="nil"/>
              <w:left w:val="nil"/>
              <w:bottom w:val="double" w:sz="6" w:space="0" w:color="auto"/>
              <w:right w:val="single" w:sz="4" w:space="0" w:color="auto"/>
            </w:tcBorders>
            <w:shd w:val="clear" w:color="auto" w:fill="FBD4B4" w:themeFill="accent6" w:themeFillTint="66"/>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23,491 </w:t>
            </w:r>
          </w:p>
        </w:tc>
        <w:tc>
          <w:tcPr>
            <w:tcW w:w="708" w:type="dxa"/>
            <w:tcBorders>
              <w:top w:val="nil"/>
              <w:left w:val="nil"/>
              <w:bottom w:val="double" w:sz="6" w:space="0" w:color="auto"/>
              <w:right w:val="single" w:sz="4" w:space="0" w:color="auto"/>
            </w:tcBorders>
            <w:shd w:val="clear" w:color="auto" w:fill="FBD4B4" w:themeFill="accent6" w:themeFillTint="66"/>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44,015 </w:t>
            </w:r>
          </w:p>
        </w:tc>
        <w:tc>
          <w:tcPr>
            <w:tcW w:w="709" w:type="dxa"/>
            <w:tcBorders>
              <w:top w:val="nil"/>
              <w:left w:val="nil"/>
              <w:bottom w:val="double" w:sz="6" w:space="0" w:color="auto"/>
              <w:right w:val="single" w:sz="4" w:space="0" w:color="auto"/>
            </w:tcBorders>
            <w:shd w:val="clear" w:color="auto" w:fill="FBD4B4" w:themeFill="accent6" w:themeFillTint="66"/>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44,798 </w:t>
            </w:r>
          </w:p>
        </w:tc>
        <w:tc>
          <w:tcPr>
            <w:tcW w:w="709" w:type="dxa"/>
            <w:tcBorders>
              <w:top w:val="nil"/>
              <w:left w:val="nil"/>
              <w:bottom w:val="double" w:sz="6" w:space="0" w:color="auto"/>
              <w:right w:val="single" w:sz="4" w:space="0" w:color="auto"/>
            </w:tcBorders>
            <w:shd w:val="clear" w:color="auto" w:fill="FBD4B4" w:themeFill="accent6" w:themeFillTint="66"/>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 4,940 </w:t>
            </w:r>
          </w:p>
        </w:tc>
        <w:tc>
          <w:tcPr>
            <w:tcW w:w="709" w:type="dxa"/>
            <w:tcBorders>
              <w:top w:val="nil"/>
              <w:left w:val="nil"/>
              <w:bottom w:val="double" w:sz="6" w:space="0" w:color="auto"/>
              <w:right w:val="single" w:sz="4" w:space="0" w:color="auto"/>
            </w:tcBorders>
            <w:shd w:val="clear" w:color="auto" w:fill="FBD4B4" w:themeFill="accent6" w:themeFillTint="66"/>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44,690 </w:t>
            </w:r>
          </w:p>
        </w:tc>
        <w:tc>
          <w:tcPr>
            <w:tcW w:w="708" w:type="dxa"/>
            <w:tcBorders>
              <w:top w:val="nil"/>
              <w:left w:val="nil"/>
              <w:bottom w:val="double" w:sz="6" w:space="0" w:color="auto"/>
              <w:right w:val="single" w:sz="4" w:space="0" w:color="auto"/>
            </w:tcBorders>
            <w:shd w:val="clear" w:color="auto" w:fill="FBD4B4" w:themeFill="accent6" w:themeFillTint="66"/>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44,761 </w:t>
            </w:r>
          </w:p>
        </w:tc>
        <w:tc>
          <w:tcPr>
            <w:tcW w:w="709" w:type="dxa"/>
            <w:tcBorders>
              <w:top w:val="nil"/>
              <w:left w:val="nil"/>
              <w:bottom w:val="double" w:sz="6" w:space="0" w:color="auto"/>
              <w:right w:val="single" w:sz="4" w:space="0" w:color="auto"/>
            </w:tcBorders>
            <w:shd w:val="clear" w:color="auto" w:fill="FBD4B4" w:themeFill="accent6" w:themeFillTint="66"/>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44,936 </w:t>
            </w:r>
          </w:p>
        </w:tc>
        <w:tc>
          <w:tcPr>
            <w:tcW w:w="709" w:type="dxa"/>
            <w:tcBorders>
              <w:top w:val="nil"/>
              <w:left w:val="nil"/>
              <w:bottom w:val="double" w:sz="6" w:space="0" w:color="auto"/>
              <w:right w:val="single" w:sz="4" w:space="0" w:color="auto"/>
            </w:tcBorders>
            <w:shd w:val="clear" w:color="auto" w:fill="FBD4B4" w:themeFill="accent6" w:themeFillTint="66"/>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45,544 </w:t>
            </w:r>
          </w:p>
        </w:tc>
        <w:tc>
          <w:tcPr>
            <w:tcW w:w="676" w:type="dxa"/>
            <w:tcBorders>
              <w:top w:val="nil"/>
              <w:left w:val="nil"/>
              <w:bottom w:val="double" w:sz="6" w:space="0" w:color="auto"/>
              <w:right w:val="single" w:sz="4" w:space="0" w:color="auto"/>
            </w:tcBorders>
            <w:shd w:val="clear" w:color="auto" w:fill="FBD4B4" w:themeFill="accent6" w:themeFillTint="66"/>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45,251 </w:t>
            </w:r>
          </w:p>
        </w:tc>
        <w:tc>
          <w:tcPr>
            <w:tcW w:w="883" w:type="dxa"/>
            <w:tcBorders>
              <w:top w:val="nil"/>
              <w:left w:val="nil"/>
              <w:bottom w:val="double" w:sz="6" w:space="0" w:color="auto"/>
              <w:right w:val="single" w:sz="4" w:space="0" w:color="auto"/>
            </w:tcBorders>
            <w:shd w:val="clear" w:color="auto" w:fill="FBD4B4" w:themeFill="accent6" w:themeFillTint="66"/>
            <w:noWrap/>
            <w:vAlign w:val="center"/>
          </w:tcPr>
          <w:p w:rsidR="00986223" w:rsidRPr="00D55DC6" w:rsidRDefault="00986223" w:rsidP="00986223">
            <w:pPr>
              <w:snapToGrid w:val="0"/>
              <w:spacing w:line="320" w:lineRule="exact"/>
              <w:jc w:val="right"/>
              <w:rPr>
                <w:rFonts w:eastAsia="標楷體"/>
                <w:kern w:val="0"/>
                <w:sz w:val="20"/>
                <w:szCs w:val="20"/>
              </w:rPr>
            </w:pPr>
            <w:r w:rsidRPr="00D55DC6">
              <w:rPr>
                <w:rFonts w:eastAsia="標楷體"/>
                <w:kern w:val="0"/>
                <w:sz w:val="20"/>
                <w:szCs w:val="20"/>
              </w:rPr>
              <w:t xml:space="preserve">545,023 </w:t>
            </w:r>
          </w:p>
        </w:tc>
      </w:tr>
    </w:tbl>
    <w:p w:rsidR="00986223" w:rsidRPr="00D55DC6" w:rsidRDefault="00986223" w:rsidP="00986223">
      <w:pPr>
        <w:snapToGrid w:val="0"/>
        <w:spacing w:line="320" w:lineRule="exact"/>
        <w:rPr>
          <w:rFonts w:eastAsia="標楷體"/>
        </w:rPr>
      </w:pPr>
    </w:p>
    <w:p w:rsidR="00AE58E7" w:rsidRPr="00D55DC6" w:rsidRDefault="00AE58E7" w:rsidP="00986223">
      <w:pPr>
        <w:snapToGrid w:val="0"/>
        <w:spacing w:line="320" w:lineRule="exact"/>
        <w:rPr>
          <w:rFonts w:eastAsia="標楷體"/>
        </w:rPr>
      </w:pPr>
    </w:p>
    <w:p w:rsidR="00AE58E7" w:rsidRPr="00D55DC6" w:rsidRDefault="00AE58E7" w:rsidP="00986223">
      <w:pPr>
        <w:snapToGrid w:val="0"/>
        <w:spacing w:line="320" w:lineRule="exact"/>
        <w:rPr>
          <w:rFonts w:eastAsia="標楷體"/>
        </w:rPr>
      </w:pPr>
    </w:p>
    <w:p w:rsidR="00AE58E7" w:rsidRPr="00D55DC6" w:rsidRDefault="00AE58E7" w:rsidP="00986223">
      <w:pPr>
        <w:snapToGrid w:val="0"/>
        <w:spacing w:line="320" w:lineRule="exact"/>
        <w:rPr>
          <w:rFonts w:eastAsia="標楷體"/>
        </w:rPr>
      </w:pPr>
    </w:p>
    <w:p w:rsidR="00AE58E7" w:rsidRPr="00D55DC6" w:rsidRDefault="00AE58E7" w:rsidP="00986223">
      <w:pPr>
        <w:snapToGrid w:val="0"/>
        <w:spacing w:line="320" w:lineRule="exact"/>
        <w:rPr>
          <w:rFonts w:eastAsia="標楷體"/>
        </w:rPr>
      </w:pPr>
    </w:p>
    <w:p w:rsidR="00AE58E7" w:rsidRPr="00D55DC6" w:rsidRDefault="00AE58E7" w:rsidP="00986223">
      <w:pPr>
        <w:snapToGrid w:val="0"/>
        <w:spacing w:line="320" w:lineRule="exact"/>
        <w:rPr>
          <w:rFonts w:eastAsia="標楷體"/>
        </w:rPr>
      </w:pPr>
    </w:p>
    <w:p w:rsidR="00986223" w:rsidRPr="00D55DC6" w:rsidRDefault="00986223" w:rsidP="004865C1">
      <w:pPr>
        <w:numPr>
          <w:ilvl w:val="0"/>
          <w:numId w:val="211"/>
        </w:numPr>
        <w:snapToGrid w:val="0"/>
        <w:spacing w:line="460" w:lineRule="exact"/>
        <w:ind w:left="1148"/>
        <w:jc w:val="both"/>
        <w:rPr>
          <w:rFonts w:eastAsia="標楷體"/>
          <w:b/>
          <w:sz w:val="28"/>
          <w:szCs w:val="28"/>
        </w:rPr>
      </w:pPr>
      <w:r w:rsidRPr="00D55DC6">
        <w:rPr>
          <w:rFonts w:eastAsia="標楷體"/>
          <w:b/>
          <w:sz w:val="28"/>
          <w:szCs w:val="28"/>
        </w:rPr>
        <w:lastRenderedPageBreak/>
        <w:t>自償率估算</w:t>
      </w:r>
    </w:p>
    <w:p w:rsidR="00986223" w:rsidRPr="00D55DC6" w:rsidRDefault="00986223" w:rsidP="00986223">
      <w:pPr>
        <w:adjustRightInd w:val="0"/>
        <w:snapToGrid w:val="0"/>
        <w:spacing w:line="460" w:lineRule="exact"/>
        <w:ind w:leftChars="472" w:left="1133"/>
        <w:jc w:val="both"/>
        <w:rPr>
          <w:rFonts w:eastAsia="標楷體"/>
          <w:sz w:val="28"/>
          <w:szCs w:val="28"/>
        </w:rPr>
      </w:pPr>
      <w:r w:rsidRPr="00D55DC6">
        <w:rPr>
          <w:rFonts w:eastAsia="標楷體"/>
          <w:sz w:val="28"/>
          <w:szCs w:val="28"/>
        </w:rPr>
        <w:t>本計畫預計未來</w:t>
      </w:r>
      <w:r w:rsidRPr="00D55DC6">
        <w:rPr>
          <w:rFonts w:eastAsia="標楷體"/>
          <w:sz w:val="28"/>
          <w:szCs w:val="28"/>
        </w:rPr>
        <w:t>20</w:t>
      </w:r>
      <w:r w:rsidRPr="00D55DC6">
        <w:rPr>
          <w:rFonts w:eastAsia="標楷體"/>
          <w:sz w:val="28"/>
          <w:szCs w:val="28"/>
        </w:rPr>
        <w:t>年澎湖國家風景區建設經營分年之現金流量如表，以</w:t>
      </w:r>
      <w:r w:rsidRPr="00D55DC6">
        <w:rPr>
          <w:rFonts w:eastAsia="標楷體"/>
          <w:sz w:val="28"/>
          <w:szCs w:val="28"/>
        </w:rPr>
        <w:t>2.88%</w:t>
      </w:r>
      <w:r w:rsidRPr="00D55DC6">
        <w:rPr>
          <w:rFonts w:eastAsia="標楷體"/>
          <w:sz w:val="28"/>
          <w:szCs w:val="28"/>
        </w:rPr>
        <w:t>折現率（參考中央銀行公告五大銀行基本利率）計算，未來</w:t>
      </w:r>
      <w:r w:rsidRPr="00D55DC6">
        <w:rPr>
          <w:rFonts w:eastAsia="標楷體"/>
          <w:sz w:val="28"/>
          <w:szCs w:val="28"/>
        </w:rPr>
        <w:t>20</w:t>
      </w:r>
      <w:r w:rsidRPr="00D55DC6">
        <w:rPr>
          <w:rFonts w:eastAsia="標楷體"/>
          <w:sz w:val="28"/>
          <w:szCs w:val="28"/>
        </w:rPr>
        <w:t>年期間計畫投入現值為</w:t>
      </w:r>
      <w:r w:rsidRPr="00D55DC6">
        <w:rPr>
          <w:rFonts w:eastAsia="標楷體"/>
          <w:sz w:val="28"/>
          <w:szCs w:val="28"/>
        </w:rPr>
        <w:t>24</w:t>
      </w:r>
      <w:r w:rsidRPr="00D55DC6">
        <w:rPr>
          <w:rFonts w:eastAsia="標楷體"/>
          <w:sz w:val="28"/>
          <w:szCs w:val="28"/>
        </w:rPr>
        <w:t>億</w:t>
      </w:r>
      <w:r w:rsidRPr="00D55DC6">
        <w:rPr>
          <w:rFonts w:eastAsia="標楷體"/>
          <w:sz w:val="28"/>
          <w:szCs w:val="28"/>
        </w:rPr>
        <w:t>8,191</w:t>
      </w:r>
      <w:r w:rsidRPr="00D55DC6">
        <w:rPr>
          <w:rFonts w:eastAsia="標楷體"/>
          <w:sz w:val="28"/>
          <w:szCs w:val="28"/>
        </w:rPr>
        <w:t>萬元，而收益預估現值為</w:t>
      </w:r>
      <w:r w:rsidRPr="00D55DC6">
        <w:rPr>
          <w:rFonts w:eastAsia="標楷體"/>
          <w:sz w:val="28"/>
          <w:szCs w:val="28"/>
        </w:rPr>
        <w:t>3</w:t>
      </w:r>
      <w:r w:rsidRPr="00D55DC6">
        <w:rPr>
          <w:rFonts w:eastAsia="標楷體"/>
          <w:sz w:val="28"/>
          <w:szCs w:val="28"/>
        </w:rPr>
        <w:t>億</w:t>
      </w:r>
      <w:r w:rsidRPr="00D55DC6">
        <w:rPr>
          <w:rFonts w:eastAsia="標楷體"/>
          <w:sz w:val="28"/>
          <w:szCs w:val="28"/>
        </w:rPr>
        <w:t>7,489</w:t>
      </w:r>
      <w:r w:rsidRPr="00D55DC6">
        <w:rPr>
          <w:rFonts w:eastAsia="標楷體"/>
          <w:sz w:val="28"/>
          <w:szCs w:val="28"/>
        </w:rPr>
        <w:t>萬元，整體計畫自償率為</w:t>
      </w:r>
      <w:r w:rsidRPr="00D55DC6">
        <w:rPr>
          <w:rFonts w:eastAsia="標楷體"/>
          <w:sz w:val="28"/>
          <w:szCs w:val="28"/>
        </w:rPr>
        <w:t>15.10%</w:t>
      </w:r>
      <w:r w:rsidRPr="00D55DC6">
        <w:rPr>
          <w:rFonts w:eastAsia="標楷體"/>
          <w:sz w:val="28"/>
          <w:szCs w:val="28"/>
        </w:rPr>
        <w:t>。</w:t>
      </w:r>
    </w:p>
    <w:p w:rsidR="00986223" w:rsidRPr="00D55DC6" w:rsidRDefault="00986223" w:rsidP="009D33BA">
      <w:pPr>
        <w:keepNext/>
        <w:spacing w:beforeLines="50" w:before="180" w:afterLines="50" w:after="180"/>
        <w:ind w:rightChars="-316" w:right="-758"/>
        <w:rPr>
          <w:rFonts w:eastAsia="標楷體"/>
        </w:rPr>
      </w:pPr>
      <w:r w:rsidRPr="00D55DC6">
        <w:rPr>
          <w:rFonts w:eastAsia="標楷體"/>
        </w:rPr>
        <w:t>表</w:t>
      </w:r>
      <w:r w:rsidRPr="00D55DC6">
        <w:rPr>
          <w:rFonts w:eastAsia="標楷體"/>
        </w:rPr>
        <w:t>2</w:t>
      </w:r>
      <w:r w:rsidRPr="00D55DC6">
        <w:rPr>
          <w:rFonts w:eastAsia="標楷體"/>
        </w:rPr>
        <w:t xml:space="preserve">　澎湖國家風景區自償率分析表</w:t>
      </w:r>
      <w:r w:rsidRPr="00D55DC6">
        <w:rPr>
          <w:rFonts w:eastAsia="標楷體"/>
        </w:rPr>
        <w:t xml:space="preserve">                                     </w:t>
      </w:r>
      <w:r w:rsidRPr="00D55DC6">
        <w:rPr>
          <w:rFonts w:eastAsia="標楷體"/>
        </w:rPr>
        <w:t>（單位：千元）</w:t>
      </w:r>
    </w:p>
    <w:tbl>
      <w:tblPr>
        <w:tblW w:w="10544" w:type="dxa"/>
        <w:tblInd w:w="-398" w:type="dxa"/>
        <w:tblCellMar>
          <w:left w:w="28" w:type="dxa"/>
          <w:right w:w="28" w:type="dxa"/>
        </w:tblCellMar>
        <w:tblLook w:val="04A0" w:firstRow="1" w:lastRow="0" w:firstColumn="1" w:lastColumn="0" w:noHBand="0" w:noVBand="1"/>
      </w:tblPr>
      <w:tblGrid>
        <w:gridCol w:w="993"/>
        <w:gridCol w:w="850"/>
        <w:gridCol w:w="850"/>
        <w:gridCol w:w="851"/>
        <w:gridCol w:w="850"/>
        <w:gridCol w:w="851"/>
        <w:gridCol w:w="850"/>
        <w:gridCol w:w="851"/>
        <w:gridCol w:w="851"/>
        <w:gridCol w:w="850"/>
        <w:gridCol w:w="851"/>
        <w:gridCol w:w="1046"/>
      </w:tblGrid>
      <w:tr w:rsidR="001D0350" w:rsidRPr="00D55DC6" w:rsidTr="00C0747A">
        <w:trPr>
          <w:gridAfter w:val="1"/>
          <w:wAfter w:w="1046" w:type="dxa"/>
          <w:trHeight w:val="345"/>
        </w:trPr>
        <w:tc>
          <w:tcPr>
            <w:tcW w:w="993" w:type="dxa"/>
            <w:tcBorders>
              <w:top w:val="single" w:sz="4" w:space="0" w:color="auto"/>
              <w:left w:val="single" w:sz="4" w:space="0" w:color="auto"/>
              <w:bottom w:val="double" w:sz="6" w:space="0" w:color="auto"/>
              <w:right w:val="single" w:sz="4" w:space="0" w:color="auto"/>
            </w:tcBorders>
            <w:shd w:val="clear" w:color="000000" w:fill="FFCC00"/>
            <w:noWrap/>
            <w:vAlign w:val="center"/>
          </w:tcPr>
          <w:p w:rsidR="00986223" w:rsidRPr="00D55DC6" w:rsidRDefault="00986223" w:rsidP="00986223">
            <w:pPr>
              <w:widowControl/>
              <w:rPr>
                <w:rFonts w:eastAsia="標楷體"/>
                <w:kern w:val="0"/>
                <w:sz w:val="22"/>
                <w:szCs w:val="20"/>
              </w:rPr>
            </w:pPr>
            <w:r w:rsidRPr="00D55DC6">
              <w:rPr>
                <w:rFonts w:eastAsia="標楷體"/>
                <w:kern w:val="0"/>
                <w:sz w:val="22"/>
                <w:szCs w:val="20"/>
              </w:rPr>
              <w:t xml:space="preserve">　年度</w:t>
            </w:r>
          </w:p>
        </w:tc>
        <w:tc>
          <w:tcPr>
            <w:tcW w:w="850"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widowControl/>
              <w:jc w:val="center"/>
              <w:rPr>
                <w:rFonts w:eastAsia="標楷體"/>
                <w:kern w:val="0"/>
                <w:sz w:val="20"/>
                <w:szCs w:val="20"/>
              </w:rPr>
            </w:pPr>
            <w:r w:rsidRPr="00D55DC6">
              <w:rPr>
                <w:rFonts w:eastAsia="標楷體"/>
                <w:kern w:val="0"/>
                <w:sz w:val="20"/>
                <w:szCs w:val="20"/>
              </w:rPr>
              <w:t>103</w:t>
            </w:r>
          </w:p>
        </w:tc>
        <w:tc>
          <w:tcPr>
            <w:tcW w:w="850"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widowControl/>
              <w:jc w:val="center"/>
              <w:rPr>
                <w:rFonts w:eastAsia="標楷體"/>
                <w:kern w:val="0"/>
                <w:sz w:val="20"/>
                <w:szCs w:val="20"/>
              </w:rPr>
            </w:pPr>
            <w:r w:rsidRPr="00D55DC6">
              <w:rPr>
                <w:rFonts w:eastAsia="標楷體"/>
                <w:kern w:val="0"/>
                <w:sz w:val="20"/>
                <w:szCs w:val="20"/>
              </w:rPr>
              <w:t>104</w:t>
            </w:r>
          </w:p>
        </w:tc>
        <w:tc>
          <w:tcPr>
            <w:tcW w:w="851"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widowControl/>
              <w:jc w:val="center"/>
              <w:rPr>
                <w:rFonts w:eastAsia="標楷體"/>
                <w:kern w:val="0"/>
                <w:sz w:val="20"/>
                <w:szCs w:val="20"/>
              </w:rPr>
            </w:pPr>
            <w:r w:rsidRPr="00D55DC6">
              <w:rPr>
                <w:rFonts w:eastAsia="標楷體"/>
                <w:kern w:val="0"/>
                <w:sz w:val="20"/>
                <w:szCs w:val="20"/>
              </w:rPr>
              <w:t>105</w:t>
            </w:r>
          </w:p>
        </w:tc>
        <w:tc>
          <w:tcPr>
            <w:tcW w:w="850"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widowControl/>
              <w:jc w:val="center"/>
              <w:rPr>
                <w:rFonts w:eastAsia="標楷體"/>
                <w:kern w:val="0"/>
                <w:sz w:val="20"/>
                <w:szCs w:val="20"/>
              </w:rPr>
            </w:pPr>
            <w:r w:rsidRPr="00D55DC6">
              <w:rPr>
                <w:rFonts w:eastAsia="標楷體"/>
                <w:kern w:val="0"/>
                <w:sz w:val="20"/>
                <w:szCs w:val="20"/>
              </w:rPr>
              <w:t>106</w:t>
            </w:r>
          </w:p>
        </w:tc>
        <w:tc>
          <w:tcPr>
            <w:tcW w:w="851"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widowControl/>
              <w:jc w:val="center"/>
              <w:rPr>
                <w:rFonts w:eastAsia="標楷體"/>
                <w:kern w:val="0"/>
                <w:sz w:val="20"/>
                <w:szCs w:val="20"/>
              </w:rPr>
            </w:pPr>
            <w:r w:rsidRPr="00D55DC6">
              <w:rPr>
                <w:rFonts w:eastAsia="標楷體"/>
                <w:kern w:val="0"/>
                <w:sz w:val="20"/>
                <w:szCs w:val="20"/>
              </w:rPr>
              <w:t>107</w:t>
            </w:r>
          </w:p>
        </w:tc>
        <w:tc>
          <w:tcPr>
            <w:tcW w:w="850"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widowControl/>
              <w:jc w:val="center"/>
              <w:rPr>
                <w:rFonts w:eastAsia="標楷體"/>
                <w:kern w:val="0"/>
                <w:sz w:val="20"/>
                <w:szCs w:val="20"/>
              </w:rPr>
            </w:pPr>
            <w:r w:rsidRPr="00D55DC6">
              <w:rPr>
                <w:rFonts w:eastAsia="標楷體"/>
                <w:kern w:val="0"/>
                <w:sz w:val="20"/>
                <w:szCs w:val="20"/>
              </w:rPr>
              <w:t>108</w:t>
            </w:r>
          </w:p>
        </w:tc>
        <w:tc>
          <w:tcPr>
            <w:tcW w:w="851"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widowControl/>
              <w:jc w:val="center"/>
              <w:rPr>
                <w:rFonts w:eastAsia="標楷體"/>
                <w:kern w:val="0"/>
                <w:sz w:val="20"/>
                <w:szCs w:val="20"/>
              </w:rPr>
            </w:pPr>
            <w:r w:rsidRPr="00D55DC6">
              <w:rPr>
                <w:rFonts w:eastAsia="標楷體"/>
                <w:kern w:val="0"/>
                <w:sz w:val="20"/>
                <w:szCs w:val="20"/>
              </w:rPr>
              <w:t>109</w:t>
            </w:r>
          </w:p>
        </w:tc>
        <w:tc>
          <w:tcPr>
            <w:tcW w:w="851"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widowControl/>
              <w:jc w:val="center"/>
              <w:rPr>
                <w:rFonts w:eastAsia="標楷體"/>
                <w:kern w:val="0"/>
                <w:sz w:val="20"/>
                <w:szCs w:val="20"/>
              </w:rPr>
            </w:pPr>
            <w:r w:rsidRPr="00D55DC6">
              <w:rPr>
                <w:rFonts w:eastAsia="標楷體"/>
                <w:kern w:val="0"/>
                <w:sz w:val="20"/>
                <w:szCs w:val="20"/>
              </w:rPr>
              <w:t>110</w:t>
            </w:r>
          </w:p>
        </w:tc>
        <w:tc>
          <w:tcPr>
            <w:tcW w:w="850"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widowControl/>
              <w:jc w:val="center"/>
              <w:rPr>
                <w:rFonts w:eastAsia="標楷體"/>
                <w:kern w:val="0"/>
                <w:sz w:val="20"/>
                <w:szCs w:val="20"/>
              </w:rPr>
            </w:pPr>
            <w:r w:rsidRPr="00D55DC6">
              <w:rPr>
                <w:rFonts w:eastAsia="標楷體"/>
                <w:kern w:val="0"/>
                <w:sz w:val="20"/>
                <w:szCs w:val="20"/>
              </w:rPr>
              <w:t>111</w:t>
            </w:r>
          </w:p>
        </w:tc>
        <w:tc>
          <w:tcPr>
            <w:tcW w:w="851"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widowControl/>
              <w:jc w:val="center"/>
              <w:rPr>
                <w:rFonts w:eastAsia="標楷體"/>
                <w:kern w:val="0"/>
                <w:sz w:val="20"/>
                <w:szCs w:val="20"/>
              </w:rPr>
            </w:pPr>
            <w:r w:rsidRPr="00D55DC6">
              <w:rPr>
                <w:rFonts w:eastAsia="標楷體"/>
                <w:kern w:val="0"/>
                <w:sz w:val="20"/>
                <w:szCs w:val="20"/>
              </w:rPr>
              <w:t>112</w:t>
            </w:r>
          </w:p>
        </w:tc>
      </w:tr>
      <w:tr w:rsidR="001D0350" w:rsidRPr="00D55DC6" w:rsidTr="00C0747A">
        <w:trPr>
          <w:gridAfter w:val="1"/>
          <w:wAfter w:w="1046" w:type="dxa"/>
          <w:trHeight w:val="345"/>
        </w:trPr>
        <w:tc>
          <w:tcPr>
            <w:tcW w:w="993" w:type="dxa"/>
            <w:tcBorders>
              <w:top w:val="single" w:sz="4" w:space="0" w:color="auto"/>
              <w:left w:val="single" w:sz="4" w:space="0" w:color="auto"/>
              <w:bottom w:val="single" w:sz="4" w:space="0" w:color="auto"/>
              <w:right w:val="single" w:sz="4" w:space="0" w:color="auto"/>
            </w:tcBorders>
            <w:shd w:val="clear" w:color="000000" w:fill="FDE9D9"/>
            <w:noWrap/>
            <w:vAlign w:val="center"/>
          </w:tcPr>
          <w:p w:rsidR="00986223" w:rsidRPr="00D55DC6" w:rsidRDefault="00986223" w:rsidP="00986223">
            <w:pPr>
              <w:widowControl/>
              <w:jc w:val="center"/>
              <w:rPr>
                <w:rFonts w:eastAsia="標楷體"/>
                <w:kern w:val="0"/>
                <w:sz w:val="22"/>
                <w:szCs w:val="20"/>
              </w:rPr>
            </w:pPr>
            <w:r w:rsidRPr="00D55DC6">
              <w:rPr>
                <w:rFonts w:eastAsia="標楷體"/>
                <w:kern w:val="0"/>
                <w:sz w:val="22"/>
                <w:szCs w:val="20"/>
              </w:rPr>
              <w:t>支出</w:t>
            </w:r>
          </w:p>
        </w:tc>
        <w:tc>
          <w:tcPr>
            <w:tcW w:w="850" w:type="dxa"/>
            <w:tcBorders>
              <w:top w:val="single" w:sz="4" w:space="0" w:color="auto"/>
              <w:left w:val="nil"/>
              <w:bottom w:val="single" w:sz="4" w:space="0" w:color="auto"/>
              <w:right w:val="single" w:sz="4" w:space="0" w:color="auto"/>
            </w:tcBorders>
            <w:shd w:val="clear" w:color="000000" w:fill="FDE9D9"/>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139,591 </w:t>
            </w:r>
          </w:p>
        </w:tc>
        <w:tc>
          <w:tcPr>
            <w:tcW w:w="850" w:type="dxa"/>
            <w:tcBorders>
              <w:top w:val="single" w:sz="4" w:space="0" w:color="auto"/>
              <w:left w:val="nil"/>
              <w:bottom w:val="single" w:sz="4" w:space="0" w:color="auto"/>
              <w:right w:val="single" w:sz="4" w:space="0" w:color="auto"/>
            </w:tcBorders>
            <w:shd w:val="clear" w:color="000000" w:fill="FDE9D9"/>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150,000 </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198,000 </w:t>
            </w:r>
          </w:p>
        </w:tc>
        <w:tc>
          <w:tcPr>
            <w:tcW w:w="850" w:type="dxa"/>
            <w:tcBorders>
              <w:top w:val="single" w:sz="4" w:space="0" w:color="auto"/>
              <w:left w:val="nil"/>
              <w:bottom w:val="single" w:sz="4" w:space="0" w:color="auto"/>
              <w:right w:val="single" w:sz="4" w:space="0" w:color="auto"/>
            </w:tcBorders>
            <w:shd w:val="clear" w:color="000000" w:fill="FDE9D9"/>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200,000 </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200,000 </w:t>
            </w:r>
          </w:p>
        </w:tc>
        <w:tc>
          <w:tcPr>
            <w:tcW w:w="850" w:type="dxa"/>
            <w:tcBorders>
              <w:top w:val="single" w:sz="4" w:space="0" w:color="auto"/>
              <w:left w:val="nil"/>
              <w:bottom w:val="single" w:sz="4" w:space="0" w:color="auto"/>
              <w:right w:val="single" w:sz="4" w:space="0" w:color="auto"/>
            </w:tcBorders>
            <w:shd w:val="clear" w:color="000000" w:fill="FDE9D9"/>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202,000 </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160,000 </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160,000 </w:t>
            </w:r>
          </w:p>
        </w:tc>
        <w:tc>
          <w:tcPr>
            <w:tcW w:w="850" w:type="dxa"/>
            <w:tcBorders>
              <w:top w:val="single" w:sz="4" w:space="0" w:color="auto"/>
              <w:left w:val="nil"/>
              <w:bottom w:val="single" w:sz="4" w:space="0" w:color="auto"/>
              <w:right w:val="single" w:sz="4" w:space="0" w:color="auto"/>
            </w:tcBorders>
            <w:shd w:val="clear" w:color="000000" w:fill="FDE9D9"/>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160,000 </w:t>
            </w:r>
          </w:p>
        </w:tc>
        <w:tc>
          <w:tcPr>
            <w:tcW w:w="851" w:type="dxa"/>
            <w:tcBorders>
              <w:top w:val="single" w:sz="4" w:space="0" w:color="auto"/>
              <w:left w:val="nil"/>
              <w:bottom w:val="single" w:sz="4" w:space="0" w:color="auto"/>
              <w:right w:val="single" w:sz="4" w:space="0" w:color="auto"/>
            </w:tcBorders>
            <w:shd w:val="clear" w:color="000000" w:fill="FDE9D9"/>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160,000 </w:t>
            </w:r>
          </w:p>
        </w:tc>
      </w:tr>
      <w:tr w:rsidR="001D0350" w:rsidRPr="00D55DC6" w:rsidTr="00C0747A">
        <w:trPr>
          <w:gridAfter w:val="1"/>
          <w:wAfter w:w="1046" w:type="dxa"/>
          <w:trHeight w:val="330"/>
        </w:trPr>
        <w:tc>
          <w:tcPr>
            <w:tcW w:w="993" w:type="dxa"/>
            <w:tcBorders>
              <w:top w:val="nil"/>
              <w:left w:val="single" w:sz="4" w:space="0" w:color="auto"/>
              <w:bottom w:val="single" w:sz="4" w:space="0" w:color="auto"/>
              <w:right w:val="single" w:sz="4" w:space="0" w:color="auto"/>
            </w:tcBorders>
            <w:shd w:val="clear" w:color="000000" w:fill="FFFFFF"/>
            <w:noWrap/>
            <w:vAlign w:val="center"/>
          </w:tcPr>
          <w:p w:rsidR="00986223" w:rsidRPr="00D55DC6" w:rsidRDefault="00986223" w:rsidP="00986223">
            <w:pPr>
              <w:widowControl/>
              <w:jc w:val="center"/>
              <w:rPr>
                <w:rFonts w:eastAsia="標楷體"/>
                <w:kern w:val="0"/>
                <w:sz w:val="22"/>
                <w:szCs w:val="20"/>
              </w:rPr>
            </w:pPr>
            <w:r w:rsidRPr="00D55DC6">
              <w:rPr>
                <w:rFonts w:eastAsia="標楷體"/>
                <w:kern w:val="0"/>
                <w:sz w:val="22"/>
                <w:szCs w:val="20"/>
              </w:rPr>
              <w:t>收入</w:t>
            </w:r>
          </w:p>
        </w:tc>
        <w:tc>
          <w:tcPr>
            <w:tcW w:w="850" w:type="dxa"/>
            <w:tcBorders>
              <w:top w:val="nil"/>
              <w:left w:val="nil"/>
              <w:bottom w:val="single" w:sz="4" w:space="0" w:color="auto"/>
              <w:right w:val="single" w:sz="4" w:space="0" w:color="auto"/>
            </w:tcBorders>
            <w:shd w:val="clear" w:color="000000" w:fill="FFFFFF"/>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7,813 </w:t>
            </w:r>
          </w:p>
        </w:tc>
        <w:tc>
          <w:tcPr>
            <w:tcW w:w="850" w:type="dxa"/>
            <w:tcBorders>
              <w:top w:val="nil"/>
              <w:left w:val="nil"/>
              <w:bottom w:val="single" w:sz="4" w:space="0" w:color="auto"/>
              <w:right w:val="single" w:sz="4" w:space="0" w:color="auto"/>
            </w:tcBorders>
            <w:shd w:val="clear" w:color="000000" w:fill="FFFFFF"/>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7,813 </w:t>
            </w:r>
          </w:p>
        </w:tc>
        <w:tc>
          <w:tcPr>
            <w:tcW w:w="851" w:type="dxa"/>
            <w:tcBorders>
              <w:top w:val="nil"/>
              <w:left w:val="nil"/>
              <w:bottom w:val="single" w:sz="4" w:space="0" w:color="auto"/>
              <w:right w:val="single" w:sz="4" w:space="0" w:color="auto"/>
            </w:tcBorders>
            <w:shd w:val="clear" w:color="000000" w:fill="FFFFFF"/>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7,813 </w:t>
            </w:r>
          </w:p>
        </w:tc>
        <w:tc>
          <w:tcPr>
            <w:tcW w:w="850" w:type="dxa"/>
            <w:tcBorders>
              <w:top w:val="nil"/>
              <w:left w:val="nil"/>
              <w:bottom w:val="single" w:sz="4" w:space="0" w:color="auto"/>
              <w:right w:val="single" w:sz="4" w:space="0" w:color="auto"/>
            </w:tcBorders>
            <w:shd w:val="clear" w:color="000000" w:fill="FFFFFF"/>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8,008 </w:t>
            </w:r>
          </w:p>
        </w:tc>
        <w:tc>
          <w:tcPr>
            <w:tcW w:w="851" w:type="dxa"/>
            <w:tcBorders>
              <w:top w:val="nil"/>
              <w:left w:val="nil"/>
              <w:bottom w:val="single" w:sz="4" w:space="0" w:color="auto"/>
              <w:right w:val="single" w:sz="4" w:space="0" w:color="auto"/>
            </w:tcBorders>
            <w:shd w:val="clear" w:color="000000" w:fill="FFFFFF"/>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15,775 </w:t>
            </w:r>
          </w:p>
        </w:tc>
        <w:tc>
          <w:tcPr>
            <w:tcW w:w="850" w:type="dxa"/>
            <w:tcBorders>
              <w:top w:val="nil"/>
              <w:left w:val="nil"/>
              <w:bottom w:val="single" w:sz="4" w:space="0" w:color="auto"/>
              <w:right w:val="single" w:sz="4" w:space="0" w:color="auto"/>
            </w:tcBorders>
            <w:shd w:val="clear" w:color="000000" w:fill="FFFFFF"/>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15,428 </w:t>
            </w:r>
          </w:p>
        </w:tc>
        <w:tc>
          <w:tcPr>
            <w:tcW w:w="851" w:type="dxa"/>
            <w:tcBorders>
              <w:top w:val="nil"/>
              <w:left w:val="nil"/>
              <w:bottom w:val="single" w:sz="4" w:space="0" w:color="auto"/>
              <w:right w:val="single" w:sz="4" w:space="0" w:color="auto"/>
            </w:tcBorders>
            <w:shd w:val="clear" w:color="000000" w:fill="FFFFFF"/>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17,689 </w:t>
            </w:r>
          </w:p>
        </w:tc>
        <w:tc>
          <w:tcPr>
            <w:tcW w:w="851" w:type="dxa"/>
            <w:tcBorders>
              <w:top w:val="nil"/>
              <w:left w:val="nil"/>
              <w:bottom w:val="single" w:sz="4" w:space="0" w:color="auto"/>
              <w:right w:val="single" w:sz="4" w:space="0" w:color="auto"/>
            </w:tcBorders>
            <w:shd w:val="clear" w:color="000000" w:fill="FFFFFF"/>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16,232 </w:t>
            </w:r>
          </w:p>
        </w:tc>
        <w:tc>
          <w:tcPr>
            <w:tcW w:w="850" w:type="dxa"/>
            <w:tcBorders>
              <w:top w:val="nil"/>
              <w:left w:val="nil"/>
              <w:bottom w:val="single" w:sz="4" w:space="0" w:color="auto"/>
              <w:right w:val="single" w:sz="4" w:space="0" w:color="auto"/>
            </w:tcBorders>
            <w:shd w:val="clear" w:color="000000" w:fill="FFFFFF"/>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21,705 </w:t>
            </w:r>
          </w:p>
        </w:tc>
        <w:tc>
          <w:tcPr>
            <w:tcW w:w="851" w:type="dxa"/>
            <w:tcBorders>
              <w:top w:val="nil"/>
              <w:left w:val="nil"/>
              <w:bottom w:val="single" w:sz="4" w:space="0" w:color="auto"/>
              <w:right w:val="single" w:sz="4" w:space="0" w:color="auto"/>
            </w:tcBorders>
            <w:shd w:val="clear" w:color="000000" w:fill="FFFFFF"/>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22,190 </w:t>
            </w:r>
          </w:p>
        </w:tc>
      </w:tr>
      <w:tr w:rsidR="001D0350" w:rsidRPr="00D55DC6" w:rsidTr="00C0747A">
        <w:trPr>
          <w:gridAfter w:val="1"/>
          <w:wAfter w:w="1046" w:type="dxa"/>
          <w:trHeight w:val="330"/>
        </w:trPr>
        <w:tc>
          <w:tcPr>
            <w:tcW w:w="993" w:type="dxa"/>
            <w:tcBorders>
              <w:top w:val="nil"/>
              <w:left w:val="single" w:sz="4" w:space="0" w:color="auto"/>
              <w:bottom w:val="single" w:sz="4" w:space="0" w:color="auto"/>
              <w:right w:val="single" w:sz="4" w:space="0" w:color="auto"/>
            </w:tcBorders>
            <w:shd w:val="clear" w:color="000000" w:fill="FFFFFF"/>
            <w:noWrap/>
            <w:vAlign w:val="center"/>
          </w:tcPr>
          <w:p w:rsidR="00986223" w:rsidRPr="00D55DC6" w:rsidRDefault="00986223" w:rsidP="00986223">
            <w:pPr>
              <w:widowControl/>
              <w:jc w:val="center"/>
              <w:rPr>
                <w:rFonts w:eastAsia="標楷體"/>
                <w:kern w:val="0"/>
                <w:sz w:val="22"/>
                <w:szCs w:val="20"/>
              </w:rPr>
            </w:pPr>
            <w:r w:rsidRPr="00D55DC6">
              <w:rPr>
                <w:rFonts w:eastAsia="標楷體"/>
                <w:kern w:val="0"/>
                <w:sz w:val="22"/>
                <w:szCs w:val="20"/>
              </w:rPr>
              <w:t>收支比</w:t>
            </w:r>
          </w:p>
        </w:tc>
        <w:tc>
          <w:tcPr>
            <w:tcW w:w="850" w:type="dxa"/>
            <w:tcBorders>
              <w:top w:val="nil"/>
              <w:left w:val="nil"/>
              <w:bottom w:val="single" w:sz="4" w:space="0" w:color="auto"/>
              <w:right w:val="single" w:sz="4" w:space="0" w:color="auto"/>
            </w:tcBorders>
            <w:shd w:val="clear" w:color="000000" w:fill="FFFFFF"/>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5.6%</w:t>
            </w:r>
          </w:p>
        </w:tc>
        <w:tc>
          <w:tcPr>
            <w:tcW w:w="850" w:type="dxa"/>
            <w:tcBorders>
              <w:top w:val="nil"/>
              <w:left w:val="nil"/>
              <w:bottom w:val="single" w:sz="4" w:space="0" w:color="auto"/>
              <w:right w:val="single" w:sz="4" w:space="0" w:color="auto"/>
            </w:tcBorders>
            <w:shd w:val="clear" w:color="000000" w:fill="FFFFFF"/>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5.2%</w:t>
            </w:r>
          </w:p>
        </w:tc>
        <w:tc>
          <w:tcPr>
            <w:tcW w:w="851" w:type="dxa"/>
            <w:tcBorders>
              <w:top w:val="nil"/>
              <w:left w:val="nil"/>
              <w:bottom w:val="single" w:sz="4" w:space="0" w:color="auto"/>
              <w:right w:val="single" w:sz="4" w:space="0" w:color="auto"/>
            </w:tcBorders>
            <w:shd w:val="clear" w:color="000000" w:fill="FFFFFF"/>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3.9%</w:t>
            </w:r>
          </w:p>
        </w:tc>
        <w:tc>
          <w:tcPr>
            <w:tcW w:w="850" w:type="dxa"/>
            <w:tcBorders>
              <w:top w:val="nil"/>
              <w:left w:val="nil"/>
              <w:bottom w:val="single" w:sz="4" w:space="0" w:color="auto"/>
              <w:right w:val="single" w:sz="4" w:space="0" w:color="auto"/>
            </w:tcBorders>
            <w:shd w:val="clear" w:color="000000" w:fill="FFFFFF"/>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4.0%</w:t>
            </w:r>
          </w:p>
        </w:tc>
        <w:tc>
          <w:tcPr>
            <w:tcW w:w="851" w:type="dxa"/>
            <w:tcBorders>
              <w:top w:val="nil"/>
              <w:left w:val="nil"/>
              <w:bottom w:val="single" w:sz="4" w:space="0" w:color="auto"/>
              <w:right w:val="single" w:sz="4" w:space="0" w:color="auto"/>
            </w:tcBorders>
            <w:shd w:val="clear" w:color="000000" w:fill="FFFFFF"/>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7.9%</w:t>
            </w:r>
          </w:p>
        </w:tc>
        <w:tc>
          <w:tcPr>
            <w:tcW w:w="850" w:type="dxa"/>
            <w:tcBorders>
              <w:top w:val="nil"/>
              <w:left w:val="nil"/>
              <w:bottom w:val="single" w:sz="4" w:space="0" w:color="auto"/>
              <w:right w:val="single" w:sz="4" w:space="0" w:color="auto"/>
            </w:tcBorders>
            <w:shd w:val="clear" w:color="000000" w:fill="FFFFFF"/>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7.6%</w:t>
            </w:r>
          </w:p>
        </w:tc>
        <w:tc>
          <w:tcPr>
            <w:tcW w:w="851" w:type="dxa"/>
            <w:tcBorders>
              <w:top w:val="nil"/>
              <w:left w:val="nil"/>
              <w:bottom w:val="single" w:sz="4" w:space="0" w:color="auto"/>
              <w:right w:val="single" w:sz="4" w:space="0" w:color="auto"/>
            </w:tcBorders>
            <w:shd w:val="clear" w:color="000000" w:fill="FFFFFF"/>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11.1%</w:t>
            </w:r>
          </w:p>
        </w:tc>
        <w:tc>
          <w:tcPr>
            <w:tcW w:w="851" w:type="dxa"/>
            <w:tcBorders>
              <w:top w:val="nil"/>
              <w:left w:val="nil"/>
              <w:bottom w:val="single" w:sz="4" w:space="0" w:color="auto"/>
              <w:right w:val="single" w:sz="4" w:space="0" w:color="auto"/>
            </w:tcBorders>
            <w:shd w:val="clear" w:color="000000" w:fill="FFFFFF"/>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10.1%</w:t>
            </w:r>
          </w:p>
        </w:tc>
        <w:tc>
          <w:tcPr>
            <w:tcW w:w="850" w:type="dxa"/>
            <w:tcBorders>
              <w:top w:val="nil"/>
              <w:left w:val="nil"/>
              <w:bottom w:val="single" w:sz="4" w:space="0" w:color="auto"/>
              <w:right w:val="single" w:sz="4" w:space="0" w:color="auto"/>
            </w:tcBorders>
            <w:shd w:val="clear" w:color="000000" w:fill="FFFFFF"/>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13.6%</w:t>
            </w:r>
          </w:p>
        </w:tc>
        <w:tc>
          <w:tcPr>
            <w:tcW w:w="851" w:type="dxa"/>
            <w:tcBorders>
              <w:top w:val="nil"/>
              <w:left w:val="nil"/>
              <w:bottom w:val="single" w:sz="4" w:space="0" w:color="auto"/>
              <w:right w:val="single" w:sz="4" w:space="0" w:color="auto"/>
            </w:tcBorders>
            <w:shd w:val="clear" w:color="000000" w:fill="FFFFFF"/>
            <w:noWrap/>
            <w:vAlign w:val="center"/>
          </w:tcPr>
          <w:p w:rsidR="00986223" w:rsidRPr="00D55DC6" w:rsidRDefault="00986223" w:rsidP="00986223">
            <w:pPr>
              <w:jc w:val="right"/>
              <w:rPr>
                <w:rFonts w:eastAsia="標楷體"/>
                <w:kern w:val="0"/>
                <w:sz w:val="22"/>
                <w:szCs w:val="20"/>
              </w:rPr>
            </w:pPr>
            <w:r w:rsidRPr="00D55DC6">
              <w:rPr>
                <w:rFonts w:eastAsia="標楷體"/>
                <w:kern w:val="0"/>
                <w:sz w:val="22"/>
                <w:szCs w:val="20"/>
              </w:rPr>
              <w:t>13.9%</w:t>
            </w:r>
          </w:p>
        </w:tc>
      </w:tr>
      <w:tr w:rsidR="001D0350" w:rsidRPr="00D55DC6" w:rsidTr="00C0747A">
        <w:trPr>
          <w:trHeight w:val="345"/>
        </w:trPr>
        <w:tc>
          <w:tcPr>
            <w:tcW w:w="993" w:type="dxa"/>
            <w:tcBorders>
              <w:top w:val="nil"/>
              <w:left w:val="single" w:sz="4" w:space="0" w:color="auto"/>
              <w:bottom w:val="double" w:sz="6" w:space="0" w:color="auto"/>
              <w:right w:val="single" w:sz="4" w:space="0" w:color="auto"/>
            </w:tcBorders>
            <w:shd w:val="clear" w:color="000000" w:fill="FFCC00"/>
            <w:noWrap/>
            <w:vAlign w:val="center"/>
          </w:tcPr>
          <w:p w:rsidR="00986223" w:rsidRPr="00D55DC6" w:rsidRDefault="00986223" w:rsidP="00986223">
            <w:pPr>
              <w:widowControl/>
              <w:jc w:val="center"/>
              <w:rPr>
                <w:rFonts w:eastAsia="標楷體"/>
                <w:kern w:val="0"/>
                <w:sz w:val="22"/>
                <w:szCs w:val="20"/>
              </w:rPr>
            </w:pPr>
            <w:r w:rsidRPr="00D55DC6">
              <w:rPr>
                <w:rFonts w:eastAsia="標楷體"/>
                <w:kern w:val="0"/>
                <w:sz w:val="22"/>
                <w:szCs w:val="20"/>
              </w:rPr>
              <w:t>年度</w:t>
            </w:r>
          </w:p>
        </w:tc>
        <w:tc>
          <w:tcPr>
            <w:tcW w:w="850" w:type="dxa"/>
            <w:tcBorders>
              <w:top w:val="nil"/>
              <w:left w:val="nil"/>
              <w:bottom w:val="double" w:sz="6" w:space="0" w:color="auto"/>
              <w:right w:val="single" w:sz="4" w:space="0" w:color="auto"/>
            </w:tcBorders>
            <w:shd w:val="clear" w:color="000000" w:fill="FFCC00"/>
            <w:noWrap/>
            <w:vAlign w:val="center"/>
          </w:tcPr>
          <w:p w:rsidR="00986223" w:rsidRPr="00D55DC6" w:rsidRDefault="00986223" w:rsidP="00986223">
            <w:pPr>
              <w:widowControl/>
              <w:jc w:val="center"/>
              <w:rPr>
                <w:rFonts w:eastAsia="標楷體"/>
                <w:kern w:val="0"/>
                <w:sz w:val="20"/>
                <w:szCs w:val="20"/>
              </w:rPr>
            </w:pPr>
            <w:r w:rsidRPr="00D55DC6">
              <w:rPr>
                <w:rFonts w:eastAsia="標楷體"/>
                <w:kern w:val="0"/>
                <w:sz w:val="20"/>
                <w:szCs w:val="20"/>
              </w:rPr>
              <w:t>113</w:t>
            </w:r>
          </w:p>
        </w:tc>
        <w:tc>
          <w:tcPr>
            <w:tcW w:w="850" w:type="dxa"/>
            <w:tcBorders>
              <w:top w:val="nil"/>
              <w:left w:val="nil"/>
              <w:bottom w:val="double" w:sz="6" w:space="0" w:color="auto"/>
              <w:right w:val="single" w:sz="4" w:space="0" w:color="auto"/>
            </w:tcBorders>
            <w:shd w:val="clear" w:color="000000" w:fill="FFCC00"/>
            <w:noWrap/>
            <w:vAlign w:val="center"/>
          </w:tcPr>
          <w:p w:rsidR="00986223" w:rsidRPr="00D55DC6" w:rsidRDefault="00986223" w:rsidP="00986223">
            <w:pPr>
              <w:jc w:val="center"/>
              <w:rPr>
                <w:rFonts w:eastAsia="標楷體"/>
                <w:kern w:val="0"/>
                <w:sz w:val="20"/>
                <w:szCs w:val="20"/>
              </w:rPr>
            </w:pPr>
            <w:r w:rsidRPr="00D55DC6">
              <w:rPr>
                <w:rFonts w:eastAsia="標楷體"/>
                <w:kern w:val="0"/>
                <w:sz w:val="20"/>
                <w:szCs w:val="20"/>
              </w:rPr>
              <w:t>114</w:t>
            </w:r>
          </w:p>
        </w:tc>
        <w:tc>
          <w:tcPr>
            <w:tcW w:w="851" w:type="dxa"/>
            <w:tcBorders>
              <w:top w:val="nil"/>
              <w:left w:val="nil"/>
              <w:bottom w:val="double" w:sz="6" w:space="0" w:color="auto"/>
              <w:right w:val="single" w:sz="4" w:space="0" w:color="auto"/>
            </w:tcBorders>
            <w:shd w:val="clear" w:color="000000" w:fill="FFCC00"/>
            <w:noWrap/>
            <w:vAlign w:val="center"/>
          </w:tcPr>
          <w:p w:rsidR="00986223" w:rsidRPr="00D55DC6" w:rsidRDefault="00986223" w:rsidP="00986223">
            <w:pPr>
              <w:jc w:val="center"/>
              <w:rPr>
                <w:rFonts w:eastAsia="標楷體"/>
                <w:kern w:val="0"/>
                <w:sz w:val="20"/>
                <w:szCs w:val="20"/>
              </w:rPr>
            </w:pPr>
            <w:r w:rsidRPr="00D55DC6">
              <w:rPr>
                <w:rFonts w:eastAsia="標楷體"/>
                <w:kern w:val="0"/>
                <w:sz w:val="20"/>
                <w:szCs w:val="20"/>
              </w:rPr>
              <w:t>115</w:t>
            </w:r>
          </w:p>
        </w:tc>
        <w:tc>
          <w:tcPr>
            <w:tcW w:w="850" w:type="dxa"/>
            <w:tcBorders>
              <w:top w:val="nil"/>
              <w:left w:val="nil"/>
              <w:bottom w:val="double" w:sz="6" w:space="0" w:color="auto"/>
              <w:right w:val="single" w:sz="4" w:space="0" w:color="auto"/>
            </w:tcBorders>
            <w:shd w:val="clear" w:color="000000" w:fill="FFCC00"/>
            <w:noWrap/>
            <w:vAlign w:val="center"/>
          </w:tcPr>
          <w:p w:rsidR="00986223" w:rsidRPr="00D55DC6" w:rsidRDefault="00986223" w:rsidP="00986223">
            <w:pPr>
              <w:jc w:val="center"/>
              <w:rPr>
                <w:rFonts w:eastAsia="標楷體"/>
                <w:kern w:val="0"/>
                <w:sz w:val="20"/>
                <w:szCs w:val="20"/>
              </w:rPr>
            </w:pPr>
            <w:r w:rsidRPr="00D55DC6">
              <w:rPr>
                <w:rFonts w:eastAsia="標楷體"/>
                <w:kern w:val="0"/>
                <w:sz w:val="20"/>
                <w:szCs w:val="20"/>
              </w:rPr>
              <w:t>116</w:t>
            </w:r>
          </w:p>
        </w:tc>
        <w:tc>
          <w:tcPr>
            <w:tcW w:w="851" w:type="dxa"/>
            <w:tcBorders>
              <w:top w:val="nil"/>
              <w:left w:val="nil"/>
              <w:bottom w:val="double" w:sz="6" w:space="0" w:color="auto"/>
              <w:right w:val="single" w:sz="4" w:space="0" w:color="auto"/>
            </w:tcBorders>
            <w:shd w:val="clear" w:color="000000" w:fill="FFCC00"/>
            <w:noWrap/>
            <w:vAlign w:val="center"/>
          </w:tcPr>
          <w:p w:rsidR="00986223" w:rsidRPr="00D55DC6" w:rsidRDefault="00986223" w:rsidP="00986223">
            <w:pPr>
              <w:jc w:val="center"/>
              <w:rPr>
                <w:rFonts w:eastAsia="標楷體"/>
                <w:kern w:val="0"/>
                <w:sz w:val="20"/>
                <w:szCs w:val="20"/>
              </w:rPr>
            </w:pPr>
            <w:r w:rsidRPr="00D55DC6">
              <w:rPr>
                <w:rFonts w:eastAsia="標楷體"/>
                <w:kern w:val="0"/>
                <w:sz w:val="20"/>
                <w:szCs w:val="20"/>
              </w:rPr>
              <w:t>117</w:t>
            </w:r>
          </w:p>
        </w:tc>
        <w:tc>
          <w:tcPr>
            <w:tcW w:w="850" w:type="dxa"/>
            <w:tcBorders>
              <w:top w:val="nil"/>
              <w:left w:val="nil"/>
              <w:bottom w:val="double" w:sz="6" w:space="0" w:color="auto"/>
              <w:right w:val="single" w:sz="4" w:space="0" w:color="auto"/>
            </w:tcBorders>
            <w:shd w:val="clear" w:color="000000" w:fill="FFCC00"/>
            <w:noWrap/>
            <w:vAlign w:val="center"/>
          </w:tcPr>
          <w:p w:rsidR="00986223" w:rsidRPr="00D55DC6" w:rsidRDefault="00986223" w:rsidP="00986223">
            <w:pPr>
              <w:jc w:val="center"/>
              <w:rPr>
                <w:rFonts w:eastAsia="標楷體"/>
                <w:kern w:val="0"/>
                <w:sz w:val="20"/>
                <w:szCs w:val="20"/>
              </w:rPr>
            </w:pPr>
            <w:r w:rsidRPr="00D55DC6">
              <w:rPr>
                <w:rFonts w:eastAsia="標楷體"/>
                <w:kern w:val="0"/>
                <w:sz w:val="20"/>
                <w:szCs w:val="20"/>
              </w:rPr>
              <w:t>118</w:t>
            </w:r>
          </w:p>
        </w:tc>
        <w:tc>
          <w:tcPr>
            <w:tcW w:w="851" w:type="dxa"/>
            <w:tcBorders>
              <w:top w:val="nil"/>
              <w:left w:val="nil"/>
              <w:bottom w:val="double" w:sz="6" w:space="0" w:color="auto"/>
              <w:right w:val="single" w:sz="4" w:space="0" w:color="auto"/>
            </w:tcBorders>
            <w:shd w:val="clear" w:color="000000" w:fill="FFCC00"/>
            <w:noWrap/>
            <w:vAlign w:val="center"/>
          </w:tcPr>
          <w:p w:rsidR="00986223" w:rsidRPr="00D55DC6" w:rsidRDefault="00986223" w:rsidP="00986223">
            <w:pPr>
              <w:jc w:val="center"/>
              <w:rPr>
                <w:rFonts w:eastAsia="標楷體"/>
                <w:kern w:val="0"/>
                <w:sz w:val="20"/>
                <w:szCs w:val="20"/>
              </w:rPr>
            </w:pPr>
            <w:r w:rsidRPr="00D55DC6">
              <w:rPr>
                <w:rFonts w:eastAsia="標楷體"/>
                <w:kern w:val="0"/>
                <w:sz w:val="20"/>
                <w:szCs w:val="20"/>
              </w:rPr>
              <w:t>119</w:t>
            </w:r>
          </w:p>
        </w:tc>
        <w:tc>
          <w:tcPr>
            <w:tcW w:w="851" w:type="dxa"/>
            <w:tcBorders>
              <w:top w:val="nil"/>
              <w:left w:val="nil"/>
              <w:bottom w:val="double" w:sz="6" w:space="0" w:color="auto"/>
              <w:right w:val="single" w:sz="4" w:space="0" w:color="auto"/>
            </w:tcBorders>
            <w:shd w:val="clear" w:color="000000" w:fill="FFCC00"/>
            <w:noWrap/>
            <w:vAlign w:val="center"/>
          </w:tcPr>
          <w:p w:rsidR="00986223" w:rsidRPr="00D55DC6" w:rsidRDefault="00986223" w:rsidP="00986223">
            <w:pPr>
              <w:jc w:val="center"/>
              <w:rPr>
                <w:rFonts w:eastAsia="標楷體"/>
                <w:kern w:val="0"/>
                <w:sz w:val="20"/>
                <w:szCs w:val="20"/>
              </w:rPr>
            </w:pPr>
            <w:r w:rsidRPr="00D55DC6">
              <w:rPr>
                <w:rFonts w:eastAsia="標楷體"/>
                <w:kern w:val="0"/>
                <w:sz w:val="20"/>
                <w:szCs w:val="20"/>
              </w:rPr>
              <w:t>120</w:t>
            </w:r>
          </w:p>
        </w:tc>
        <w:tc>
          <w:tcPr>
            <w:tcW w:w="850" w:type="dxa"/>
            <w:tcBorders>
              <w:top w:val="nil"/>
              <w:left w:val="nil"/>
              <w:bottom w:val="double" w:sz="6" w:space="0" w:color="auto"/>
              <w:right w:val="single" w:sz="4" w:space="0" w:color="auto"/>
            </w:tcBorders>
            <w:shd w:val="clear" w:color="000000" w:fill="FFCC00"/>
            <w:noWrap/>
            <w:vAlign w:val="center"/>
          </w:tcPr>
          <w:p w:rsidR="00986223" w:rsidRPr="00D55DC6" w:rsidRDefault="00986223" w:rsidP="00986223">
            <w:pPr>
              <w:jc w:val="center"/>
              <w:rPr>
                <w:rFonts w:eastAsia="標楷體"/>
                <w:kern w:val="0"/>
                <w:sz w:val="20"/>
                <w:szCs w:val="20"/>
              </w:rPr>
            </w:pPr>
            <w:r w:rsidRPr="00D55DC6">
              <w:rPr>
                <w:rFonts w:eastAsia="標楷體"/>
                <w:kern w:val="0"/>
                <w:sz w:val="20"/>
                <w:szCs w:val="20"/>
              </w:rPr>
              <w:t>121</w:t>
            </w:r>
          </w:p>
        </w:tc>
        <w:tc>
          <w:tcPr>
            <w:tcW w:w="851" w:type="dxa"/>
            <w:tcBorders>
              <w:top w:val="nil"/>
              <w:left w:val="nil"/>
              <w:bottom w:val="double" w:sz="6" w:space="0" w:color="auto"/>
              <w:right w:val="single" w:sz="4" w:space="0" w:color="auto"/>
            </w:tcBorders>
            <w:shd w:val="clear" w:color="000000" w:fill="FFCC00"/>
            <w:noWrap/>
            <w:vAlign w:val="center"/>
          </w:tcPr>
          <w:p w:rsidR="00986223" w:rsidRPr="00D55DC6" w:rsidRDefault="00986223" w:rsidP="00986223">
            <w:pPr>
              <w:jc w:val="center"/>
              <w:rPr>
                <w:rFonts w:eastAsia="標楷體"/>
                <w:kern w:val="0"/>
                <w:sz w:val="20"/>
                <w:szCs w:val="20"/>
              </w:rPr>
            </w:pPr>
            <w:r w:rsidRPr="00D55DC6">
              <w:rPr>
                <w:rFonts w:eastAsia="標楷體"/>
                <w:kern w:val="0"/>
                <w:sz w:val="20"/>
                <w:szCs w:val="20"/>
              </w:rPr>
              <w:t>122</w:t>
            </w:r>
          </w:p>
        </w:tc>
        <w:tc>
          <w:tcPr>
            <w:tcW w:w="1046" w:type="dxa"/>
            <w:tcBorders>
              <w:top w:val="single" w:sz="4" w:space="0" w:color="auto"/>
              <w:left w:val="nil"/>
              <w:bottom w:val="double" w:sz="6" w:space="0" w:color="auto"/>
              <w:right w:val="single" w:sz="4" w:space="0" w:color="auto"/>
            </w:tcBorders>
            <w:shd w:val="clear" w:color="000000" w:fill="FFCC00"/>
            <w:noWrap/>
            <w:vAlign w:val="center"/>
          </w:tcPr>
          <w:p w:rsidR="00986223" w:rsidRPr="00D55DC6" w:rsidRDefault="00986223" w:rsidP="00986223">
            <w:pPr>
              <w:widowControl/>
              <w:jc w:val="center"/>
              <w:rPr>
                <w:rFonts w:eastAsia="標楷體"/>
                <w:kern w:val="0"/>
                <w:sz w:val="20"/>
                <w:szCs w:val="20"/>
              </w:rPr>
            </w:pPr>
            <w:r w:rsidRPr="00D55DC6">
              <w:rPr>
                <w:rFonts w:eastAsia="標楷體"/>
                <w:kern w:val="0"/>
                <w:sz w:val="20"/>
                <w:szCs w:val="20"/>
              </w:rPr>
              <w:t>合計</w:t>
            </w:r>
          </w:p>
        </w:tc>
      </w:tr>
      <w:tr w:rsidR="001D0350" w:rsidRPr="00D55DC6" w:rsidTr="00C0747A">
        <w:trPr>
          <w:trHeight w:val="345"/>
        </w:trPr>
        <w:tc>
          <w:tcPr>
            <w:tcW w:w="993" w:type="dxa"/>
            <w:tcBorders>
              <w:top w:val="single" w:sz="4" w:space="0" w:color="auto"/>
              <w:left w:val="single" w:sz="4" w:space="0" w:color="auto"/>
              <w:bottom w:val="single" w:sz="4" w:space="0" w:color="auto"/>
              <w:right w:val="single" w:sz="4" w:space="0" w:color="auto"/>
            </w:tcBorders>
            <w:shd w:val="clear" w:color="000000" w:fill="FDE9D9"/>
            <w:noWrap/>
            <w:vAlign w:val="center"/>
          </w:tcPr>
          <w:p w:rsidR="00986223" w:rsidRPr="00D55DC6" w:rsidRDefault="00986223" w:rsidP="00986223">
            <w:pPr>
              <w:widowControl/>
              <w:jc w:val="center"/>
              <w:rPr>
                <w:rFonts w:eastAsia="標楷體"/>
                <w:kern w:val="0"/>
                <w:sz w:val="22"/>
                <w:szCs w:val="20"/>
              </w:rPr>
            </w:pPr>
            <w:r w:rsidRPr="00D55DC6">
              <w:rPr>
                <w:rFonts w:eastAsia="標楷體"/>
                <w:kern w:val="0"/>
                <w:sz w:val="22"/>
                <w:szCs w:val="20"/>
              </w:rPr>
              <w:t>支出</w:t>
            </w:r>
          </w:p>
        </w:tc>
        <w:tc>
          <w:tcPr>
            <w:tcW w:w="850" w:type="dxa"/>
            <w:tcBorders>
              <w:top w:val="single" w:sz="4" w:space="0" w:color="auto"/>
              <w:left w:val="nil"/>
              <w:bottom w:val="single" w:sz="4" w:space="0" w:color="auto"/>
              <w:right w:val="single" w:sz="4" w:space="0" w:color="auto"/>
            </w:tcBorders>
            <w:shd w:val="clear" w:color="000000" w:fill="FDE9D9"/>
            <w:noWrap/>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160,000 </w:t>
            </w:r>
          </w:p>
        </w:tc>
        <w:tc>
          <w:tcPr>
            <w:tcW w:w="850" w:type="dxa"/>
            <w:tcBorders>
              <w:top w:val="single" w:sz="4" w:space="0" w:color="auto"/>
              <w:left w:val="nil"/>
              <w:bottom w:val="single" w:sz="4" w:space="0" w:color="auto"/>
              <w:right w:val="single" w:sz="4" w:space="0" w:color="auto"/>
            </w:tcBorders>
            <w:shd w:val="clear" w:color="000000" w:fill="FDE9D9"/>
            <w:noWrap/>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160,000 </w:t>
            </w:r>
          </w:p>
        </w:tc>
        <w:tc>
          <w:tcPr>
            <w:tcW w:w="851" w:type="dxa"/>
            <w:tcBorders>
              <w:top w:val="single" w:sz="4" w:space="0" w:color="auto"/>
              <w:left w:val="nil"/>
              <w:bottom w:val="single" w:sz="4" w:space="0" w:color="auto"/>
              <w:right w:val="single" w:sz="4" w:space="0" w:color="auto"/>
            </w:tcBorders>
            <w:shd w:val="clear" w:color="000000" w:fill="FDE9D9"/>
            <w:noWrap/>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160,000 </w:t>
            </w:r>
          </w:p>
        </w:tc>
        <w:tc>
          <w:tcPr>
            <w:tcW w:w="850" w:type="dxa"/>
            <w:tcBorders>
              <w:top w:val="single" w:sz="4" w:space="0" w:color="auto"/>
              <w:left w:val="nil"/>
              <w:bottom w:val="single" w:sz="4" w:space="0" w:color="auto"/>
              <w:right w:val="single" w:sz="4" w:space="0" w:color="auto"/>
            </w:tcBorders>
            <w:shd w:val="clear" w:color="000000" w:fill="FDE9D9"/>
            <w:noWrap/>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160,000 </w:t>
            </w:r>
          </w:p>
        </w:tc>
        <w:tc>
          <w:tcPr>
            <w:tcW w:w="851" w:type="dxa"/>
            <w:tcBorders>
              <w:top w:val="single" w:sz="4" w:space="0" w:color="auto"/>
              <w:left w:val="nil"/>
              <w:bottom w:val="single" w:sz="4" w:space="0" w:color="auto"/>
              <w:right w:val="single" w:sz="4" w:space="0" w:color="auto"/>
            </w:tcBorders>
            <w:shd w:val="clear" w:color="000000" w:fill="FDE9D9"/>
            <w:noWrap/>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150,000 </w:t>
            </w:r>
          </w:p>
        </w:tc>
        <w:tc>
          <w:tcPr>
            <w:tcW w:w="850" w:type="dxa"/>
            <w:tcBorders>
              <w:top w:val="single" w:sz="4" w:space="0" w:color="auto"/>
              <w:left w:val="nil"/>
              <w:bottom w:val="single" w:sz="4" w:space="0" w:color="auto"/>
              <w:right w:val="single" w:sz="4" w:space="0" w:color="auto"/>
            </w:tcBorders>
            <w:shd w:val="clear" w:color="000000" w:fill="FDE9D9"/>
            <w:noWrap/>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150,000 </w:t>
            </w:r>
          </w:p>
        </w:tc>
        <w:tc>
          <w:tcPr>
            <w:tcW w:w="851" w:type="dxa"/>
            <w:tcBorders>
              <w:top w:val="single" w:sz="4" w:space="0" w:color="auto"/>
              <w:left w:val="nil"/>
              <w:bottom w:val="single" w:sz="4" w:space="0" w:color="auto"/>
              <w:right w:val="single" w:sz="4" w:space="0" w:color="auto"/>
            </w:tcBorders>
            <w:shd w:val="clear" w:color="000000" w:fill="FDE9D9"/>
            <w:noWrap/>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150,000 </w:t>
            </w:r>
          </w:p>
        </w:tc>
        <w:tc>
          <w:tcPr>
            <w:tcW w:w="851" w:type="dxa"/>
            <w:tcBorders>
              <w:top w:val="single" w:sz="4" w:space="0" w:color="auto"/>
              <w:left w:val="nil"/>
              <w:bottom w:val="single" w:sz="4" w:space="0" w:color="auto"/>
              <w:right w:val="single" w:sz="4" w:space="0" w:color="auto"/>
            </w:tcBorders>
            <w:shd w:val="clear" w:color="000000" w:fill="FDE9D9"/>
            <w:noWrap/>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150,000 </w:t>
            </w:r>
          </w:p>
        </w:tc>
        <w:tc>
          <w:tcPr>
            <w:tcW w:w="850" w:type="dxa"/>
            <w:tcBorders>
              <w:top w:val="single" w:sz="4" w:space="0" w:color="auto"/>
              <w:left w:val="nil"/>
              <w:bottom w:val="single" w:sz="4" w:space="0" w:color="auto"/>
              <w:right w:val="single" w:sz="4" w:space="0" w:color="auto"/>
            </w:tcBorders>
            <w:shd w:val="clear" w:color="000000" w:fill="FDE9D9"/>
            <w:noWrap/>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150,000 </w:t>
            </w:r>
          </w:p>
        </w:tc>
        <w:tc>
          <w:tcPr>
            <w:tcW w:w="851" w:type="dxa"/>
            <w:tcBorders>
              <w:top w:val="single" w:sz="4" w:space="0" w:color="auto"/>
              <w:left w:val="nil"/>
              <w:bottom w:val="single" w:sz="4" w:space="0" w:color="auto"/>
              <w:right w:val="single" w:sz="4" w:space="0" w:color="auto"/>
            </w:tcBorders>
            <w:shd w:val="clear" w:color="000000" w:fill="FDE9D9"/>
            <w:noWrap/>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150,000 </w:t>
            </w:r>
          </w:p>
        </w:tc>
        <w:tc>
          <w:tcPr>
            <w:tcW w:w="1046" w:type="dxa"/>
            <w:tcBorders>
              <w:top w:val="single" w:sz="4" w:space="0" w:color="auto"/>
              <w:left w:val="nil"/>
              <w:bottom w:val="single" w:sz="4" w:space="0" w:color="auto"/>
              <w:right w:val="single" w:sz="4" w:space="0" w:color="auto"/>
            </w:tcBorders>
            <w:shd w:val="clear" w:color="000000" w:fill="FDE9D9"/>
            <w:noWrap/>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3,269,591 </w:t>
            </w:r>
          </w:p>
        </w:tc>
      </w:tr>
      <w:tr w:rsidR="001D0350" w:rsidRPr="00D55DC6" w:rsidTr="00C0747A">
        <w:trPr>
          <w:trHeight w:val="330"/>
        </w:trPr>
        <w:tc>
          <w:tcPr>
            <w:tcW w:w="993" w:type="dxa"/>
            <w:tcBorders>
              <w:top w:val="nil"/>
              <w:left w:val="single" w:sz="4" w:space="0" w:color="auto"/>
              <w:bottom w:val="single" w:sz="4" w:space="0" w:color="auto"/>
              <w:right w:val="single" w:sz="4" w:space="0" w:color="auto"/>
            </w:tcBorders>
            <w:shd w:val="clear" w:color="000000" w:fill="FFFFFF"/>
            <w:noWrap/>
            <w:vAlign w:val="center"/>
          </w:tcPr>
          <w:p w:rsidR="00986223" w:rsidRPr="00D55DC6" w:rsidRDefault="00986223" w:rsidP="00986223">
            <w:pPr>
              <w:widowControl/>
              <w:jc w:val="center"/>
              <w:rPr>
                <w:rFonts w:eastAsia="標楷體"/>
                <w:kern w:val="0"/>
                <w:sz w:val="22"/>
                <w:szCs w:val="20"/>
              </w:rPr>
            </w:pPr>
            <w:r w:rsidRPr="00D55DC6">
              <w:rPr>
                <w:rFonts w:eastAsia="標楷體"/>
                <w:kern w:val="0"/>
                <w:sz w:val="22"/>
                <w:szCs w:val="20"/>
              </w:rPr>
              <w:t>收入</w:t>
            </w:r>
          </w:p>
        </w:tc>
        <w:tc>
          <w:tcPr>
            <w:tcW w:w="850" w:type="dxa"/>
            <w:tcBorders>
              <w:top w:val="nil"/>
              <w:left w:val="nil"/>
              <w:bottom w:val="single" w:sz="4" w:space="0" w:color="auto"/>
              <w:right w:val="single" w:sz="4" w:space="0" w:color="auto"/>
            </w:tcBorders>
            <w:shd w:val="clear" w:color="000000" w:fill="FFFFFF"/>
            <w:noWrap/>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 22,130 </w:t>
            </w:r>
          </w:p>
        </w:tc>
        <w:tc>
          <w:tcPr>
            <w:tcW w:w="850" w:type="dxa"/>
            <w:tcBorders>
              <w:top w:val="nil"/>
              <w:left w:val="nil"/>
              <w:bottom w:val="single" w:sz="4" w:space="0" w:color="auto"/>
              <w:right w:val="single" w:sz="4" w:space="0" w:color="auto"/>
            </w:tcBorders>
            <w:shd w:val="clear" w:color="000000" w:fill="FFFFFF"/>
            <w:noWrap/>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 23,491 </w:t>
            </w:r>
          </w:p>
        </w:tc>
        <w:tc>
          <w:tcPr>
            <w:tcW w:w="851" w:type="dxa"/>
            <w:tcBorders>
              <w:top w:val="nil"/>
              <w:left w:val="nil"/>
              <w:bottom w:val="single" w:sz="4" w:space="0" w:color="auto"/>
              <w:right w:val="single" w:sz="4" w:space="0" w:color="auto"/>
            </w:tcBorders>
            <w:shd w:val="clear" w:color="000000" w:fill="FFFFFF"/>
            <w:noWrap/>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 44,015 </w:t>
            </w:r>
          </w:p>
        </w:tc>
        <w:tc>
          <w:tcPr>
            <w:tcW w:w="850" w:type="dxa"/>
            <w:tcBorders>
              <w:top w:val="nil"/>
              <w:left w:val="nil"/>
              <w:bottom w:val="single" w:sz="4" w:space="0" w:color="auto"/>
              <w:right w:val="single" w:sz="4" w:space="0" w:color="auto"/>
            </w:tcBorders>
            <w:shd w:val="clear" w:color="000000" w:fill="FFFFFF"/>
            <w:noWrap/>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 44,798 </w:t>
            </w:r>
          </w:p>
        </w:tc>
        <w:tc>
          <w:tcPr>
            <w:tcW w:w="851" w:type="dxa"/>
            <w:tcBorders>
              <w:top w:val="nil"/>
              <w:left w:val="nil"/>
              <w:bottom w:val="single" w:sz="4" w:space="0" w:color="auto"/>
              <w:right w:val="single" w:sz="4" w:space="0" w:color="auto"/>
            </w:tcBorders>
            <w:shd w:val="clear" w:color="000000" w:fill="FFFFFF"/>
            <w:noWrap/>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 44,940 </w:t>
            </w:r>
          </w:p>
        </w:tc>
        <w:tc>
          <w:tcPr>
            <w:tcW w:w="850" w:type="dxa"/>
            <w:tcBorders>
              <w:top w:val="nil"/>
              <w:left w:val="nil"/>
              <w:bottom w:val="single" w:sz="4" w:space="0" w:color="auto"/>
              <w:right w:val="single" w:sz="4" w:space="0" w:color="auto"/>
            </w:tcBorders>
            <w:shd w:val="clear" w:color="000000" w:fill="FFFFFF"/>
            <w:noWrap/>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 44,690 </w:t>
            </w:r>
          </w:p>
        </w:tc>
        <w:tc>
          <w:tcPr>
            <w:tcW w:w="851" w:type="dxa"/>
            <w:tcBorders>
              <w:top w:val="nil"/>
              <w:left w:val="nil"/>
              <w:bottom w:val="single" w:sz="4" w:space="0" w:color="auto"/>
              <w:right w:val="single" w:sz="4" w:space="0" w:color="auto"/>
            </w:tcBorders>
            <w:shd w:val="clear" w:color="000000" w:fill="FFFFFF"/>
            <w:noWrap/>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 44,761 </w:t>
            </w:r>
          </w:p>
        </w:tc>
        <w:tc>
          <w:tcPr>
            <w:tcW w:w="851" w:type="dxa"/>
            <w:tcBorders>
              <w:top w:val="nil"/>
              <w:left w:val="nil"/>
              <w:bottom w:val="single" w:sz="4" w:space="0" w:color="auto"/>
              <w:right w:val="single" w:sz="4" w:space="0" w:color="auto"/>
            </w:tcBorders>
            <w:shd w:val="clear" w:color="000000" w:fill="FFFFFF"/>
            <w:noWrap/>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 44,936 </w:t>
            </w:r>
          </w:p>
        </w:tc>
        <w:tc>
          <w:tcPr>
            <w:tcW w:w="850" w:type="dxa"/>
            <w:tcBorders>
              <w:top w:val="nil"/>
              <w:left w:val="nil"/>
              <w:bottom w:val="single" w:sz="4" w:space="0" w:color="auto"/>
              <w:right w:val="single" w:sz="4" w:space="0" w:color="auto"/>
            </w:tcBorders>
            <w:shd w:val="clear" w:color="000000" w:fill="FFFFFF"/>
            <w:noWrap/>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 45,544 </w:t>
            </w:r>
          </w:p>
        </w:tc>
        <w:tc>
          <w:tcPr>
            <w:tcW w:w="851" w:type="dxa"/>
            <w:tcBorders>
              <w:top w:val="nil"/>
              <w:left w:val="nil"/>
              <w:bottom w:val="single" w:sz="4" w:space="0" w:color="auto"/>
              <w:right w:val="single" w:sz="4" w:space="0" w:color="auto"/>
            </w:tcBorders>
            <w:shd w:val="clear" w:color="000000" w:fill="FFFFFF"/>
            <w:noWrap/>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 45,251 </w:t>
            </w:r>
          </w:p>
        </w:tc>
        <w:tc>
          <w:tcPr>
            <w:tcW w:w="1046" w:type="dxa"/>
            <w:tcBorders>
              <w:top w:val="nil"/>
              <w:left w:val="nil"/>
              <w:bottom w:val="single" w:sz="4" w:space="0" w:color="auto"/>
              <w:right w:val="single" w:sz="4" w:space="0" w:color="auto"/>
            </w:tcBorders>
            <w:shd w:val="clear" w:color="000000" w:fill="FFFFFF"/>
            <w:noWrap/>
          </w:tcPr>
          <w:p w:rsidR="00986223" w:rsidRPr="00D55DC6" w:rsidRDefault="00986223" w:rsidP="00986223">
            <w:pPr>
              <w:jc w:val="right"/>
              <w:rPr>
                <w:rFonts w:eastAsia="標楷體"/>
                <w:kern w:val="0"/>
                <w:sz w:val="22"/>
                <w:szCs w:val="20"/>
              </w:rPr>
            </w:pPr>
            <w:r w:rsidRPr="00D55DC6">
              <w:rPr>
                <w:rFonts w:eastAsia="標楷體"/>
                <w:kern w:val="0"/>
                <w:sz w:val="22"/>
                <w:szCs w:val="20"/>
              </w:rPr>
              <w:t xml:space="preserve"> 545,023 </w:t>
            </w:r>
          </w:p>
        </w:tc>
      </w:tr>
      <w:tr w:rsidR="001D0350" w:rsidRPr="00D55DC6" w:rsidTr="00C0747A">
        <w:trPr>
          <w:trHeight w:val="330"/>
        </w:trPr>
        <w:tc>
          <w:tcPr>
            <w:tcW w:w="993" w:type="dxa"/>
            <w:tcBorders>
              <w:top w:val="nil"/>
              <w:left w:val="single" w:sz="4" w:space="0" w:color="auto"/>
              <w:bottom w:val="single" w:sz="4" w:space="0" w:color="auto"/>
              <w:right w:val="single" w:sz="4" w:space="0" w:color="auto"/>
            </w:tcBorders>
            <w:shd w:val="clear" w:color="000000" w:fill="FFFFFF"/>
            <w:noWrap/>
            <w:vAlign w:val="center"/>
          </w:tcPr>
          <w:p w:rsidR="00986223" w:rsidRPr="00D55DC6" w:rsidRDefault="00986223" w:rsidP="00986223">
            <w:pPr>
              <w:widowControl/>
              <w:jc w:val="center"/>
              <w:rPr>
                <w:rFonts w:eastAsia="標楷體"/>
                <w:kern w:val="0"/>
                <w:sz w:val="22"/>
                <w:szCs w:val="20"/>
              </w:rPr>
            </w:pPr>
            <w:r w:rsidRPr="00D55DC6">
              <w:rPr>
                <w:rFonts w:eastAsia="標楷體"/>
                <w:kern w:val="0"/>
                <w:sz w:val="22"/>
                <w:szCs w:val="20"/>
              </w:rPr>
              <w:t>收支比</w:t>
            </w:r>
          </w:p>
        </w:tc>
        <w:tc>
          <w:tcPr>
            <w:tcW w:w="850" w:type="dxa"/>
            <w:tcBorders>
              <w:top w:val="nil"/>
              <w:left w:val="nil"/>
              <w:bottom w:val="single" w:sz="4" w:space="0" w:color="auto"/>
              <w:right w:val="single" w:sz="4" w:space="0" w:color="auto"/>
            </w:tcBorders>
            <w:shd w:val="clear" w:color="000000" w:fill="FFFFFF"/>
            <w:noWrap/>
          </w:tcPr>
          <w:p w:rsidR="00986223" w:rsidRPr="00D55DC6" w:rsidRDefault="00986223" w:rsidP="00986223">
            <w:pPr>
              <w:jc w:val="right"/>
              <w:rPr>
                <w:rFonts w:eastAsia="標楷體"/>
                <w:kern w:val="0"/>
                <w:sz w:val="22"/>
                <w:szCs w:val="20"/>
              </w:rPr>
            </w:pPr>
            <w:r w:rsidRPr="00D55DC6">
              <w:rPr>
                <w:rFonts w:eastAsia="標楷體"/>
                <w:kern w:val="0"/>
                <w:sz w:val="22"/>
                <w:szCs w:val="20"/>
              </w:rPr>
              <w:t>13.8%</w:t>
            </w:r>
          </w:p>
        </w:tc>
        <w:tc>
          <w:tcPr>
            <w:tcW w:w="850" w:type="dxa"/>
            <w:tcBorders>
              <w:top w:val="nil"/>
              <w:left w:val="nil"/>
              <w:bottom w:val="single" w:sz="4" w:space="0" w:color="auto"/>
              <w:right w:val="single" w:sz="4" w:space="0" w:color="auto"/>
            </w:tcBorders>
            <w:shd w:val="clear" w:color="000000" w:fill="FFFFFF"/>
            <w:noWrap/>
          </w:tcPr>
          <w:p w:rsidR="00986223" w:rsidRPr="00D55DC6" w:rsidRDefault="00986223" w:rsidP="00986223">
            <w:pPr>
              <w:jc w:val="right"/>
              <w:rPr>
                <w:rFonts w:eastAsia="標楷體"/>
                <w:kern w:val="0"/>
                <w:sz w:val="22"/>
                <w:szCs w:val="20"/>
              </w:rPr>
            </w:pPr>
            <w:r w:rsidRPr="00D55DC6">
              <w:rPr>
                <w:rFonts w:eastAsia="標楷體"/>
                <w:kern w:val="0"/>
                <w:sz w:val="22"/>
                <w:szCs w:val="20"/>
              </w:rPr>
              <w:t>14.7%</w:t>
            </w:r>
          </w:p>
        </w:tc>
        <w:tc>
          <w:tcPr>
            <w:tcW w:w="851" w:type="dxa"/>
            <w:tcBorders>
              <w:top w:val="nil"/>
              <w:left w:val="nil"/>
              <w:bottom w:val="single" w:sz="4" w:space="0" w:color="auto"/>
              <w:right w:val="single" w:sz="4" w:space="0" w:color="auto"/>
            </w:tcBorders>
            <w:shd w:val="clear" w:color="000000" w:fill="FFFFFF"/>
            <w:noWrap/>
          </w:tcPr>
          <w:p w:rsidR="00986223" w:rsidRPr="00D55DC6" w:rsidRDefault="00986223" w:rsidP="00986223">
            <w:pPr>
              <w:jc w:val="right"/>
              <w:rPr>
                <w:rFonts w:eastAsia="標楷體"/>
                <w:kern w:val="0"/>
                <w:sz w:val="22"/>
                <w:szCs w:val="20"/>
              </w:rPr>
            </w:pPr>
            <w:r w:rsidRPr="00D55DC6">
              <w:rPr>
                <w:rFonts w:eastAsia="標楷體"/>
                <w:kern w:val="0"/>
                <w:sz w:val="22"/>
                <w:szCs w:val="20"/>
              </w:rPr>
              <w:t>27.5%</w:t>
            </w:r>
          </w:p>
        </w:tc>
        <w:tc>
          <w:tcPr>
            <w:tcW w:w="850" w:type="dxa"/>
            <w:tcBorders>
              <w:top w:val="nil"/>
              <w:left w:val="nil"/>
              <w:bottom w:val="single" w:sz="4" w:space="0" w:color="auto"/>
              <w:right w:val="single" w:sz="4" w:space="0" w:color="auto"/>
            </w:tcBorders>
            <w:shd w:val="clear" w:color="000000" w:fill="FFFFFF"/>
            <w:noWrap/>
          </w:tcPr>
          <w:p w:rsidR="00986223" w:rsidRPr="00D55DC6" w:rsidRDefault="00986223" w:rsidP="00986223">
            <w:pPr>
              <w:jc w:val="right"/>
              <w:rPr>
                <w:rFonts w:eastAsia="標楷體"/>
                <w:kern w:val="0"/>
                <w:sz w:val="22"/>
                <w:szCs w:val="20"/>
              </w:rPr>
            </w:pPr>
            <w:r w:rsidRPr="00D55DC6">
              <w:rPr>
                <w:rFonts w:eastAsia="標楷體"/>
                <w:kern w:val="0"/>
                <w:sz w:val="22"/>
                <w:szCs w:val="20"/>
              </w:rPr>
              <w:t>28.0%</w:t>
            </w:r>
          </w:p>
        </w:tc>
        <w:tc>
          <w:tcPr>
            <w:tcW w:w="851" w:type="dxa"/>
            <w:tcBorders>
              <w:top w:val="nil"/>
              <w:left w:val="nil"/>
              <w:bottom w:val="single" w:sz="4" w:space="0" w:color="auto"/>
              <w:right w:val="single" w:sz="4" w:space="0" w:color="auto"/>
            </w:tcBorders>
            <w:shd w:val="clear" w:color="000000" w:fill="FFFFFF"/>
            <w:noWrap/>
          </w:tcPr>
          <w:p w:rsidR="00986223" w:rsidRPr="00D55DC6" w:rsidRDefault="00986223" w:rsidP="00986223">
            <w:pPr>
              <w:jc w:val="right"/>
              <w:rPr>
                <w:rFonts w:eastAsia="標楷體"/>
                <w:kern w:val="0"/>
                <w:sz w:val="22"/>
                <w:szCs w:val="20"/>
              </w:rPr>
            </w:pPr>
            <w:r w:rsidRPr="00D55DC6">
              <w:rPr>
                <w:rFonts w:eastAsia="標楷體"/>
                <w:kern w:val="0"/>
                <w:sz w:val="22"/>
                <w:szCs w:val="20"/>
              </w:rPr>
              <w:t>30.0%</w:t>
            </w:r>
          </w:p>
        </w:tc>
        <w:tc>
          <w:tcPr>
            <w:tcW w:w="850" w:type="dxa"/>
            <w:tcBorders>
              <w:top w:val="nil"/>
              <w:left w:val="nil"/>
              <w:bottom w:val="single" w:sz="4" w:space="0" w:color="auto"/>
              <w:right w:val="single" w:sz="4" w:space="0" w:color="auto"/>
            </w:tcBorders>
            <w:shd w:val="clear" w:color="000000" w:fill="FFFFFF"/>
            <w:noWrap/>
          </w:tcPr>
          <w:p w:rsidR="00986223" w:rsidRPr="00D55DC6" w:rsidRDefault="00986223" w:rsidP="00986223">
            <w:pPr>
              <w:jc w:val="right"/>
              <w:rPr>
                <w:rFonts w:eastAsia="標楷體"/>
                <w:kern w:val="0"/>
                <w:sz w:val="22"/>
                <w:szCs w:val="20"/>
              </w:rPr>
            </w:pPr>
            <w:r w:rsidRPr="00D55DC6">
              <w:rPr>
                <w:rFonts w:eastAsia="標楷體"/>
                <w:kern w:val="0"/>
                <w:sz w:val="22"/>
                <w:szCs w:val="20"/>
              </w:rPr>
              <w:t>29.8%</w:t>
            </w:r>
          </w:p>
        </w:tc>
        <w:tc>
          <w:tcPr>
            <w:tcW w:w="851" w:type="dxa"/>
            <w:tcBorders>
              <w:top w:val="nil"/>
              <w:left w:val="nil"/>
              <w:bottom w:val="single" w:sz="4" w:space="0" w:color="auto"/>
              <w:right w:val="single" w:sz="4" w:space="0" w:color="auto"/>
            </w:tcBorders>
            <w:shd w:val="clear" w:color="000000" w:fill="FFFFFF"/>
            <w:noWrap/>
          </w:tcPr>
          <w:p w:rsidR="00986223" w:rsidRPr="00D55DC6" w:rsidRDefault="00986223" w:rsidP="00986223">
            <w:pPr>
              <w:jc w:val="right"/>
              <w:rPr>
                <w:rFonts w:eastAsia="標楷體"/>
                <w:kern w:val="0"/>
                <w:sz w:val="22"/>
                <w:szCs w:val="20"/>
              </w:rPr>
            </w:pPr>
            <w:r w:rsidRPr="00D55DC6">
              <w:rPr>
                <w:rFonts w:eastAsia="標楷體"/>
                <w:kern w:val="0"/>
                <w:sz w:val="22"/>
                <w:szCs w:val="20"/>
              </w:rPr>
              <w:t>29.8%</w:t>
            </w:r>
          </w:p>
        </w:tc>
        <w:tc>
          <w:tcPr>
            <w:tcW w:w="851" w:type="dxa"/>
            <w:tcBorders>
              <w:top w:val="nil"/>
              <w:left w:val="nil"/>
              <w:bottom w:val="single" w:sz="4" w:space="0" w:color="auto"/>
              <w:right w:val="single" w:sz="4" w:space="0" w:color="auto"/>
            </w:tcBorders>
            <w:shd w:val="clear" w:color="000000" w:fill="FFFFFF"/>
            <w:noWrap/>
          </w:tcPr>
          <w:p w:rsidR="00986223" w:rsidRPr="00D55DC6" w:rsidRDefault="00986223" w:rsidP="00986223">
            <w:pPr>
              <w:jc w:val="right"/>
              <w:rPr>
                <w:rFonts w:eastAsia="標楷體"/>
                <w:kern w:val="0"/>
                <w:sz w:val="22"/>
                <w:szCs w:val="20"/>
              </w:rPr>
            </w:pPr>
            <w:r w:rsidRPr="00D55DC6">
              <w:rPr>
                <w:rFonts w:eastAsia="標楷體"/>
                <w:kern w:val="0"/>
                <w:sz w:val="22"/>
                <w:szCs w:val="20"/>
              </w:rPr>
              <w:t>30.0%</w:t>
            </w:r>
          </w:p>
        </w:tc>
        <w:tc>
          <w:tcPr>
            <w:tcW w:w="850" w:type="dxa"/>
            <w:tcBorders>
              <w:top w:val="nil"/>
              <w:left w:val="nil"/>
              <w:bottom w:val="single" w:sz="4" w:space="0" w:color="auto"/>
              <w:right w:val="single" w:sz="4" w:space="0" w:color="auto"/>
            </w:tcBorders>
            <w:shd w:val="clear" w:color="000000" w:fill="FFFFFF"/>
            <w:noWrap/>
          </w:tcPr>
          <w:p w:rsidR="00986223" w:rsidRPr="00D55DC6" w:rsidRDefault="00986223" w:rsidP="00986223">
            <w:pPr>
              <w:jc w:val="right"/>
              <w:rPr>
                <w:rFonts w:eastAsia="標楷體"/>
                <w:kern w:val="0"/>
                <w:sz w:val="22"/>
                <w:szCs w:val="20"/>
              </w:rPr>
            </w:pPr>
            <w:r w:rsidRPr="00D55DC6">
              <w:rPr>
                <w:rFonts w:eastAsia="標楷體"/>
                <w:kern w:val="0"/>
                <w:sz w:val="22"/>
                <w:szCs w:val="20"/>
              </w:rPr>
              <w:t>30.4%</w:t>
            </w:r>
          </w:p>
        </w:tc>
        <w:tc>
          <w:tcPr>
            <w:tcW w:w="851" w:type="dxa"/>
            <w:tcBorders>
              <w:top w:val="nil"/>
              <w:left w:val="nil"/>
              <w:bottom w:val="single" w:sz="4" w:space="0" w:color="auto"/>
              <w:right w:val="single" w:sz="4" w:space="0" w:color="auto"/>
            </w:tcBorders>
            <w:shd w:val="clear" w:color="000000" w:fill="FFFFFF"/>
            <w:noWrap/>
          </w:tcPr>
          <w:p w:rsidR="00986223" w:rsidRPr="00D55DC6" w:rsidRDefault="00986223" w:rsidP="00986223">
            <w:pPr>
              <w:jc w:val="right"/>
              <w:rPr>
                <w:rFonts w:eastAsia="標楷體"/>
                <w:kern w:val="0"/>
                <w:sz w:val="22"/>
                <w:szCs w:val="20"/>
              </w:rPr>
            </w:pPr>
            <w:r w:rsidRPr="00D55DC6">
              <w:rPr>
                <w:rFonts w:eastAsia="標楷體"/>
                <w:kern w:val="0"/>
                <w:sz w:val="22"/>
                <w:szCs w:val="20"/>
              </w:rPr>
              <w:t>30.2%</w:t>
            </w:r>
          </w:p>
        </w:tc>
        <w:tc>
          <w:tcPr>
            <w:tcW w:w="1046" w:type="dxa"/>
            <w:tcBorders>
              <w:top w:val="nil"/>
              <w:left w:val="nil"/>
              <w:bottom w:val="single" w:sz="4" w:space="0" w:color="auto"/>
              <w:right w:val="single" w:sz="4" w:space="0" w:color="auto"/>
            </w:tcBorders>
            <w:shd w:val="clear" w:color="000000" w:fill="FFFFFF"/>
            <w:noWrap/>
          </w:tcPr>
          <w:p w:rsidR="00986223" w:rsidRPr="00D55DC6" w:rsidRDefault="00986223" w:rsidP="00986223">
            <w:pPr>
              <w:jc w:val="right"/>
              <w:rPr>
                <w:rFonts w:eastAsia="標楷體"/>
                <w:kern w:val="0"/>
                <w:sz w:val="22"/>
                <w:szCs w:val="20"/>
              </w:rPr>
            </w:pPr>
            <w:r w:rsidRPr="00D55DC6">
              <w:rPr>
                <w:rFonts w:eastAsia="標楷體"/>
                <w:kern w:val="0"/>
                <w:sz w:val="22"/>
                <w:szCs w:val="20"/>
              </w:rPr>
              <w:t>16.</w:t>
            </w:r>
            <w:r w:rsidR="007B27B3" w:rsidRPr="00D55DC6">
              <w:rPr>
                <w:rFonts w:eastAsia="標楷體"/>
                <w:kern w:val="0"/>
                <w:sz w:val="22"/>
                <w:szCs w:val="20"/>
              </w:rPr>
              <w:t>6</w:t>
            </w:r>
            <w:r w:rsidRPr="00D55DC6">
              <w:rPr>
                <w:rFonts w:eastAsia="標楷體"/>
                <w:kern w:val="0"/>
                <w:sz w:val="22"/>
                <w:szCs w:val="20"/>
              </w:rPr>
              <w:t>7%</w:t>
            </w:r>
          </w:p>
        </w:tc>
      </w:tr>
      <w:tr w:rsidR="001D0350" w:rsidRPr="00D55DC6" w:rsidTr="00C0747A">
        <w:trPr>
          <w:gridAfter w:val="9"/>
          <w:wAfter w:w="7851" w:type="dxa"/>
          <w:trHeight w:val="330"/>
        </w:trPr>
        <w:tc>
          <w:tcPr>
            <w:tcW w:w="993" w:type="dxa"/>
            <w:tcBorders>
              <w:top w:val="nil"/>
              <w:left w:val="single" w:sz="4" w:space="0" w:color="auto"/>
              <w:bottom w:val="single" w:sz="4" w:space="0" w:color="auto"/>
              <w:right w:val="single" w:sz="4" w:space="0" w:color="auto"/>
            </w:tcBorders>
            <w:shd w:val="clear" w:color="000000" w:fill="FFFFCC"/>
            <w:noWrap/>
            <w:vAlign w:val="center"/>
          </w:tcPr>
          <w:p w:rsidR="00986223" w:rsidRPr="00D55DC6" w:rsidRDefault="00986223" w:rsidP="00986223">
            <w:pPr>
              <w:widowControl/>
              <w:rPr>
                <w:rFonts w:eastAsia="標楷體"/>
                <w:b/>
                <w:bCs/>
                <w:kern w:val="0"/>
                <w:sz w:val="22"/>
                <w:szCs w:val="20"/>
              </w:rPr>
            </w:pPr>
            <w:r w:rsidRPr="00D55DC6">
              <w:rPr>
                <w:rFonts w:eastAsia="標楷體"/>
                <w:b/>
                <w:bCs/>
                <w:kern w:val="0"/>
                <w:sz w:val="22"/>
                <w:szCs w:val="20"/>
              </w:rPr>
              <w:t>投資現值</w:t>
            </w:r>
          </w:p>
        </w:tc>
        <w:tc>
          <w:tcPr>
            <w:tcW w:w="1700" w:type="dxa"/>
            <w:gridSpan w:val="2"/>
            <w:tcBorders>
              <w:top w:val="nil"/>
              <w:left w:val="nil"/>
              <w:bottom w:val="single" w:sz="4" w:space="0" w:color="auto"/>
              <w:right w:val="single" w:sz="4" w:space="0" w:color="auto"/>
            </w:tcBorders>
            <w:shd w:val="clear" w:color="000000" w:fill="FFFFCC"/>
            <w:noWrap/>
            <w:vAlign w:val="center"/>
          </w:tcPr>
          <w:p w:rsidR="00986223" w:rsidRPr="00D55DC6" w:rsidRDefault="00986223" w:rsidP="00986223">
            <w:pPr>
              <w:widowControl/>
              <w:ind w:rightChars="47" w:right="113"/>
              <w:jc w:val="right"/>
              <w:rPr>
                <w:rFonts w:eastAsia="標楷體"/>
                <w:b/>
                <w:bCs/>
                <w:kern w:val="0"/>
                <w:sz w:val="20"/>
                <w:szCs w:val="20"/>
              </w:rPr>
            </w:pPr>
            <w:r w:rsidRPr="00D55DC6">
              <w:rPr>
                <w:rFonts w:eastAsia="標楷體"/>
                <w:b/>
                <w:bCs/>
                <w:kern w:val="0"/>
                <w:sz w:val="20"/>
                <w:szCs w:val="20"/>
              </w:rPr>
              <w:t>2,481,917</w:t>
            </w:r>
          </w:p>
        </w:tc>
      </w:tr>
      <w:tr w:rsidR="001D0350" w:rsidRPr="00D55DC6" w:rsidTr="00C0747A">
        <w:trPr>
          <w:gridAfter w:val="9"/>
          <w:wAfter w:w="7851" w:type="dxa"/>
          <w:trHeight w:val="330"/>
        </w:trPr>
        <w:tc>
          <w:tcPr>
            <w:tcW w:w="993" w:type="dxa"/>
            <w:tcBorders>
              <w:top w:val="nil"/>
              <w:left w:val="single" w:sz="4" w:space="0" w:color="auto"/>
              <w:bottom w:val="single" w:sz="4" w:space="0" w:color="auto"/>
              <w:right w:val="single" w:sz="4" w:space="0" w:color="auto"/>
            </w:tcBorders>
            <w:shd w:val="clear" w:color="000000" w:fill="FFFFCC"/>
            <w:noWrap/>
            <w:vAlign w:val="center"/>
          </w:tcPr>
          <w:p w:rsidR="00986223" w:rsidRPr="00D55DC6" w:rsidRDefault="00986223" w:rsidP="00986223">
            <w:pPr>
              <w:widowControl/>
              <w:rPr>
                <w:rFonts w:eastAsia="標楷體"/>
                <w:b/>
                <w:bCs/>
                <w:kern w:val="0"/>
                <w:sz w:val="22"/>
                <w:szCs w:val="20"/>
              </w:rPr>
            </w:pPr>
            <w:r w:rsidRPr="00D55DC6">
              <w:rPr>
                <w:rFonts w:eastAsia="標楷體"/>
                <w:b/>
                <w:bCs/>
                <w:kern w:val="0"/>
                <w:sz w:val="22"/>
                <w:szCs w:val="20"/>
              </w:rPr>
              <w:t>收益現值</w:t>
            </w:r>
          </w:p>
        </w:tc>
        <w:tc>
          <w:tcPr>
            <w:tcW w:w="1700" w:type="dxa"/>
            <w:gridSpan w:val="2"/>
            <w:tcBorders>
              <w:top w:val="nil"/>
              <w:left w:val="nil"/>
              <w:bottom w:val="single" w:sz="4" w:space="0" w:color="auto"/>
              <w:right w:val="single" w:sz="4" w:space="0" w:color="auto"/>
            </w:tcBorders>
            <w:shd w:val="clear" w:color="000000" w:fill="FFFFCC"/>
            <w:noWrap/>
            <w:vAlign w:val="center"/>
          </w:tcPr>
          <w:p w:rsidR="00986223" w:rsidRPr="00D55DC6" w:rsidRDefault="00986223" w:rsidP="00986223">
            <w:pPr>
              <w:widowControl/>
              <w:ind w:rightChars="47" w:right="113"/>
              <w:jc w:val="right"/>
              <w:rPr>
                <w:rFonts w:eastAsia="標楷體"/>
                <w:b/>
                <w:bCs/>
                <w:kern w:val="0"/>
                <w:sz w:val="20"/>
                <w:szCs w:val="20"/>
              </w:rPr>
            </w:pPr>
            <w:r w:rsidRPr="00D55DC6">
              <w:rPr>
                <w:rFonts w:eastAsia="標楷體"/>
                <w:b/>
                <w:bCs/>
                <w:kern w:val="0"/>
                <w:sz w:val="20"/>
                <w:szCs w:val="20"/>
              </w:rPr>
              <w:t>374,890</w:t>
            </w:r>
          </w:p>
        </w:tc>
      </w:tr>
      <w:tr w:rsidR="001D0350" w:rsidRPr="00D55DC6" w:rsidTr="00C0747A">
        <w:trPr>
          <w:gridAfter w:val="9"/>
          <w:wAfter w:w="7851" w:type="dxa"/>
          <w:trHeight w:val="330"/>
        </w:trPr>
        <w:tc>
          <w:tcPr>
            <w:tcW w:w="993" w:type="dxa"/>
            <w:tcBorders>
              <w:top w:val="nil"/>
              <w:left w:val="single" w:sz="4" w:space="0" w:color="auto"/>
              <w:bottom w:val="single" w:sz="4" w:space="0" w:color="auto"/>
              <w:right w:val="single" w:sz="4" w:space="0" w:color="auto"/>
            </w:tcBorders>
            <w:shd w:val="clear" w:color="000000" w:fill="FDE9D9"/>
            <w:noWrap/>
            <w:vAlign w:val="center"/>
          </w:tcPr>
          <w:p w:rsidR="00986223" w:rsidRPr="00D55DC6" w:rsidRDefault="00986223" w:rsidP="00986223">
            <w:pPr>
              <w:widowControl/>
              <w:rPr>
                <w:rFonts w:eastAsia="標楷體"/>
                <w:kern w:val="0"/>
                <w:sz w:val="22"/>
                <w:szCs w:val="20"/>
              </w:rPr>
            </w:pPr>
            <w:r w:rsidRPr="00D55DC6">
              <w:rPr>
                <w:rFonts w:eastAsia="標楷體"/>
                <w:kern w:val="0"/>
                <w:sz w:val="18"/>
                <w:szCs w:val="20"/>
              </w:rPr>
              <w:t>計畫自償率</w:t>
            </w:r>
          </w:p>
        </w:tc>
        <w:tc>
          <w:tcPr>
            <w:tcW w:w="1700" w:type="dxa"/>
            <w:gridSpan w:val="2"/>
            <w:tcBorders>
              <w:top w:val="nil"/>
              <w:left w:val="nil"/>
              <w:bottom w:val="single" w:sz="4" w:space="0" w:color="auto"/>
              <w:right w:val="single" w:sz="4" w:space="0" w:color="auto"/>
            </w:tcBorders>
            <w:shd w:val="clear" w:color="000000" w:fill="FDE9D9"/>
            <w:noWrap/>
            <w:vAlign w:val="center"/>
          </w:tcPr>
          <w:p w:rsidR="00986223" w:rsidRPr="00D55DC6" w:rsidRDefault="00986223" w:rsidP="00986223">
            <w:pPr>
              <w:widowControl/>
              <w:ind w:rightChars="47" w:right="113"/>
              <w:jc w:val="right"/>
              <w:rPr>
                <w:rFonts w:eastAsia="標楷體"/>
                <w:b/>
                <w:bCs/>
                <w:kern w:val="0"/>
                <w:sz w:val="22"/>
                <w:szCs w:val="20"/>
              </w:rPr>
            </w:pPr>
            <w:r w:rsidRPr="00D55DC6">
              <w:rPr>
                <w:rFonts w:eastAsia="標楷體"/>
                <w:b/>
                <w:bCs/>
                <w:kern w:val="0"/>
                <w:sz w:val="22"/>
                <w:szCs w:val="20"/>
              </w:rPr>
              <w:t>15.10%</w:t>
            </w:r>
          </w:p>
        </w:tc>
      </w:tr>
    </w:tbl>
    <w:p w:rsidR="00FB3FB3" w:rsidRPr="00D55DC6" w:rsidRDefault="00FB3FB3" w:rsidP="00FB3FB3">
      <w:pPr>
        <w:snapToGrid w:val="0"/>
        <w:spacing w:line="460" w:lineRule="exact"/>
        <w:ind w:left="710"/>
        <w:jc w:val="both"/>
        <w:rPr>
          <w:rFonts w:eastAsia="標楷體"/>
          <w:b/>
          <w:sz w:val="28"/>
          <w:szCs w:val="28"/>
        </w:rPr>
      </w:pPr>
    </w:p>
    <w:p w:rsidR="00AE58E7" w:rsidRPr="00D55DC6" w:rsidRDefault="00AE58E7" w:rsidP="00FB3FB3">
      <w:pPr>
        <w:snapToGrid w:val="0"/>
        <w:spacing w:line="460" w:lineRule="exact"/>
        <w:ind w:left="710"/>
        <w:jc w:val="both"/>
        <w:rPr>
          <w:rFonts w:eastAsia="標楷體"/>
          <w:b/>
          <w:sz w:val="28"/>
          <w:szCs w:val="28"/>
        </w:rPr>
      </w:pPr>
    </w:p>
    <w:p w:rsidR="00AE58E7" w:rsidRPr="00D55DC6" w:rsidRDefault="00AE58E7" w:rsidP="00FB3FB3">
      <w:pPr>
        <w:snapToGrid w:val="0"/>
        <w:spacing w:line="460" w:lineRule="exact"/>
        <w:ind w:left="710"/>
        <w:jc w:val="both"/>
        <w:rPr>
          <w:rFonts w:eastAsia="標楷體"/>
          <w:b/>
          <w:sz w:val="28"/>
          <w:szCs w:val="28"/>
        </w:rPr>
      </w:pPr>
    </w:p>
    <w:p w:rsidR="00AE58E7" w:rsidRPr="00D55DC6" w:rsidRDefault="00AE58E7" w:rsidP="00FB3FB3">
      <w:pPr>
        <w:snapToGrid w:val="0"/>
        <w:spacing w:line="460" w:lineRule="exact"/>
        <w:ind w:left="710"/>
        <w:jc w:val="both"/>
        <w:rPr>
          <w:rFonts w:eastAsia="標楷體"/>
          <w:b/>
          <w:sz w:val="28"/>
          <w:szCs w:val="28"/>
        </w:rPr>
      </w:pPr>
    </w:p>
    <w:p w:rsidR="00AE58E7" w:rsidRPr="00D55DC6" w:rsidRDefault="00AE58E7" w:rsidP="00FB3FB3">
      <w:pPr>
        <w:snapToGrid w:val="0"/>
        <w:spacing w:line="460" w:lineRule="exact"/>
        <w:ind w:left="710"/>
        <w:jc w:val="both"/>
        <w:rPr>
          <w:rFonts w:eastAsia="標楷體"/>
          <w:b/>
          <w:sz w:val="28"/>
          <w:szCs w:val="28"/>
        </w:rPr>
      </w:pPr>
    </w:p>
    <w:p w:rsidR="00AE58E7" w:rsidRPr="00D55DC6" w:rsidRDefault="00AE58E7" w:rsidP="00FB3FB3">
      <w:pPr>
        <w:snapToGrid w:val="0"/>
        <w:spacing w:line="460" w:lineRule="exact"/>
        <w:ind w:left="710"/>
        <w:jc w:val="both"/>
        <w:rPr>
          <w:rFonts w:eastAsia="標楷體"/>
          <w:b/>
          <w:sz w:val="28"/>
          <w:szCs w:val="28"/>
        </w:rPr>
      </w:pPr>
    </w:p>
    <w:p w:rsidR="00AE58E7" w:rsidRPr="00D55DC6" w:rsidRDefault="00AE58E7" w:rsidP="00FB3FB3">
      <w:pPr>
        <w:snapToGrid w:val="0"/>
        <w:spacing w:line="460" w:lineRule="exact"/>
        <w:ind w:left="710"/>
        <w:jc w:val="both"/>
        <w:rPr>
          <w:rFonts w:eastAsia="標楷體"/>
          <w:b/>
          <w:sz w:val="28"/>
          <w:szCs w:val="28"/>
        </w:rPr>
      </w:pPr>
    </w:p>
    <w:p w:rsidR="00AE58E7" w:rsidRPr="00D55DC6" w:rsidRDefault="00AE58E7" w:rsidP="00FB3FB3">
      <w:pPr>
        <w:snapToGrid w:val="0"/>
        <w:spacing w:line="460" w:lineRule="exact"/>
        <w:ind w:left="710"/>
        <w:jc w:val="both"/>
        <w:rPr>
          <w:rFonts w:eastAsia="標楷體"/>
          <w:b/>
          <w:sz w:val="28"/>
          <w:szCs w:val="28"/>
        </w:rPr>
      </w:pPr>
    </w:p>
    <w:p w:rsidR="00AE58E7" w:rsidRPr="00D55DC6" w:rsidRDefault="00AE58E7" w:rsidP="00FB3FB3">
      <w:pPr>
        <w:snapToGrid w:val="0"/>
        <w:spacing w:line="460" w:lineRule="exact"/>
        <w:ind w:left="710"/>
        <w:jc w:val="both"/>
        <w:rPr>
          <w:rFonts w:eastAsia="標楷體"/>
          <w:b/>
          <w:sz w:val="28"/>
          <w:szCs w:val="28"/>
        </w:rPr>
      </w:pPr>
    </w:p>
    <w:p w:rsidR="00AE58E7" w:rsidRPr="00D55DC6" w:rsidRDefault="00AE58E7" w:rsidP="00FB3FB3">
      <w:pPr>
        <w:snapToGrid w:val="0"/>
        <w:spacing w:line="460" w:lineRule="exact"/>
        <w:ind w:left="710"/>
        <w:jc w:val="both"/>
        <w:rPr>
          <w:rFonts w:eastAsia="標楷體"/>
          <w:b/>
          <w:sz w:val="28"/>
          <w:szCs w:val="28"/>
        </w:rPr>
      </w:pPr>
    </w:p>
    <w:p w:rsidR="00AE58E7" w:rsidRPr="00D55DC6" w:rsidRDefault="00AE58E7" w:rsidP="00FB3FB3">
      <w:pPr>
        <w:snapToGrid w:val="0"/>
        <w:spacing w:line="460" w:lineRule="exact"/>
        <w:ind w:left="710"/>
        <w:jc w:val="both"/>
        <w:rPr>
          <w:rFonts w:eastAsia="標楷體"/>
          <w:b/>
          <w:sz w:val="28"/>
          <w:szCs w:val="28"/>
        </w:rPr>
      </w:pPr>
    </w:p>
    <w:p w:rsidR="00AE58E7" w:rsidRPr="00D55DC6" w:rsidRDefault="00AE58E7" w:rsidP="00FB3FB3">
      <w:pPr>
        <w:snapToGrid w:val="0"/>
        <w:spacing w:line="460" w:lineRule="exact"/>
        <w:ind w:left="710"/>
        <w:jc w:val="both"/>
        <w:rPr>
          <w:rFonts w:eastAsia="標楷體"/>
          <w:b/>
          <w:sz w:val="28"/>
          <w:szCs w:val="28"/>
        </w:rPr>
      </w:pPr>
    </w:p>
    <w:p w:rsidR="00AE58E7" w:rsidRPr="00D55DC6" w:rsidRDefault="00AE58E7" w:rsidP="00FB3FB3">
      <w:pPr>
        <w:snapToGrid w:val="0"/>
        <w:spacing w:line="460" w:lineRule="exact"/>
        <w:ind w:left="710"/>
        <w:jc w:val="both"/>
        <w:rPr>
          <w:rFonts w:eastAsia="標楷體"/>
          <w:b/>
          <w:sz w:val="28"/>
          <w:szCs w:val="28"/>
        </w:rPr>
      </w:pPr>
    </w:p>
    <w:p w:rsidR="00AE58E7" w:rsidRPr="00D55DC6" w:rsidRDefault="00AE58E7" w:rsidP="00FB3FB3">
      <w:pPr>
        <w:snapToGrid w:val="0"/>
        <w:spacing w:line="460" w:lineRule="exact"/>
        <w:ind w:left="710"/>
        <w:jc w:val="both"/>
        <w:rPr>
          <w:rFonts w:eastAsia="標楷體"/>
          <w:b/>
          <w:sz w:val="28"/>
          <w:szCs w:val="28"/>
        </w:rPr>
      </w:pPr>
    </w:p>
    <w:p w:rsidR="00986223" w:rsidRPr="00D55DC6" w:rsidRDefault="00986223" w:rsidP="0075108D">
      <w:pPr>
        <w:numPr>
          <w:ilvl w:val="0"/>
          <w:numId w:val="1"/>
        </w:numPr>
        <w:snapToGrid w:val="0"/>
        <w:spacing w:line="460" w:lineRule="exact"/>
        <w:ind w:leftChars="-4" w:left="710"/>
        <w:jc w:val="both"/>
        <w:rPr>
          <w:rFonts w:eastAsia="標楷體"/>
          <w:b/>
          <w:sz w:val="28"/>
          <w:szCs w:val="28"/>
        </w:rPr>
      </w:pPr>
      <w:r w:rsidRPr="00D55DC6">
        <w:rPr>
          <w:rFonts w:eastAsia="標楷體"/>
          <w:b/>
          <w:sz w:val="28"/>
          <w:szCs w:val="28"/>
        </w:rPr>
        <w:lastRenderedPageBreak/>
        <w:t>附則</w:t>
      </w:r>
    </w:p>
    <w:p w:rsidR="00986223" w:rsidRPr="00D55DC6" w:rsidRDefault="00986223" w:rsidP="004865C1">
      <w:pPr>
        <w:numPr>
          <w:ilvl w:val="0"/>
          <w:numId w:val="212"/>
        </w:numPr>
        <w:snapToGrid w:val="0"/>
        <w:spacing w:line="460" w:lineRule="exact"/>
        <w:jc w:val="both"/>
        <w:rPr>
          <w:rFonts w:eastAsia="標楷體"/>
          <w:b/>
          <w:sz w:val="28"/>
          <w:szCs w:val="28"/>
        </w:rPr>
      </w:pPr>
      <w:r w:rsidRPr="00D55DC6">
        <w:rPr>
          <w:rFonts w:eastAsia="標楷體"/>
          <w:b/>
          <w:sz w:val="28"/>
          <w:szCs w:val="28"/>
        </w:rPr>
        <w:t>風險評估</w:t>
      </w:r>
    </w:p>
    <w:p w:rsidR="00986223" w:rsidRPr="00D55DC6" w:rsidRDefault="00986223" w:rsidP="00986223">
      <w:pPr>
        <w:snapToGrid w:val="0"/>
        <w:spacing w:line="460" w:lineRule="exact"/>
        <w:ind w:leftChars="177" w:left="425"/>
        <w:jc w:val="both"/>
        <w:rPr>
          <w:rFonts w:eastAsia="標楷體"/>
          <w:b/>
          <w:sz w:val="28"/>
          <w:szCs w:val="28"/>
        </w:rPr>
      </w:pPr>
      <w:r w:rsidRPr="00D55DC6">
        <w:rPr>
          <w:rFonts w:eastAsia="標楷體"/>
          <w:b/>
          <w:sz w:val="28"/>
          <w:szCs w:val="28"/>
        </w:rPr>
        <w:t xml:space="preserve">1. </w:t>
      </w:r>
      <w:r w:rsidRPr="00D55DC6">
        <w:rPr>
          <w:rFonts w:eastAsia="標楷體"/>
          <w:b/>
          <w:sz w:val="28"/>
          <w:szCs w:val="28"/>
        </w:rPr>
        <w:t>異常天候造成之災害</w:t>
      </w:r>
    </w:p>
    <w:p w:rsidR="00986223" w:rsidRPr="00D55DC6" w:rsidRDefault="00986223" w:rsidP="00986223">
      <w:pPr>
        <w:snapToGrid w:val="0"/>
        <w:spacing w:line="460" w:lineRule="exact"/>
        <w:ind w:leftChars="354" w:left="850"/>
        <w:jc w:val="both"/>
        <w:rPr>
          <w:rFonts w:eastAsia="標楷體"/>
          <w:sz w:val="28"/>
          <w:szCs w:val="28"/>
        </w:rPr>
      </w:pPr>
      <w:r w:rsidRPr="00D55DC6">
        <w:rPr>
          <w:rFonts w:eastAsia="標楷體"/>
          <w:sz w:val="28"/>
          <w:szCs w:val="28"/>
        </w:rPr>
        <w:t>異常天候如颱風可能造成災害之風險，另外地震也會對建物造成坍塌之風險，此將影響維護成本。</w:t>
      </w:r>
    </w:p>
    <w:p w:rsidR="00986223" w:rsidRPr="00D55DC6" w:rsidRDefault="00986223" w:rsidP="00986223">
      <w:pPr>
        <w:snapToGrid w:val="0"/>
        <w:spacing w:line="460" w:lineRule="exact"/>
        <w:ind w:leftChars="177" w:left="425"/>
        <w:jc w:val="both"/>
        <w:rPr>
          <w:rFonts w:eastAsia="標楷體"/>
          <w:b/>
          <w:sz w:val="28"/>
          <w:szCs w:val="28"/>
        </w:rPr>
      </w:pPr>
      <w:r w:rsidRPr="00D55DC6">
        <w:rPr>
          <w:rFonts w:eastAsia="標楷體"/>
          <w:b/>
          <w:sz w:val="28"/>
          <w:szCs w:val="28"/>
        </w:rPr>
        <w:t xml:space="preserve">2. </w:t>
      </w:r>
      <w:r w:rsidRPr="00D55DC6">
        <w:rPr>
          <w:rFonts w:eastAsia="標楷體"/>
          <w:b/>
          <w:sz w:val="28"/>
          <w:szCs w:val="28"/>
        </w:rPr>
        <w:t>興建成本因通貨膨脹超估預算</w:t>
      </w:r>
    </w:p>
    <w:p w:rsidR="00986223" w:rsidRPr="00D55DC6" w:rsidRDefault="00986223" w:rsidP="00986223">
      <w:pPr>
        <w:snapToGrid w:val="0"/>
        <w:spacing w:line="460" w:lineRule="exact"/>
        <w:ind w:leftChars="354" w:left="850"/>
        <w:jc w:val="both"/>
        <w:rPr>
          <w:rFonts w:eastAsia="標楷體"/>
          <w:sz w:val="28"/>
          <w:szCs w:val="28"/>
        </w:rPr>
      </w:pPr>
      <w:r w:rsidRPr="00D55DC6">
        <w:rPr>
          <w:rFonts w:eastAsia="標楷體"/>
          <w:sz w:val="28"/>
          <w:szCs w:val="28"/>
        </w:rPr>
        <w:t>興建成本為財務計畫主要項目之一，若成本超出原先估算，將增加財務負擔，影響籌資計畫，甚至因財務困難導致計畫中斷之風險，因此本計畫在興建成本估算部分已參考營建成本通貨膨脹率，並依據分年可能之增幅調整，估算適當之興建成本。</w:t>
      </w:r>
    </w:p>
    <w:p w:rsidR="00986223" w:rsidRPr="00D55DC6" w:rsidRDefault="00986223" w:rsidP="004865C1">
      <w:pPr>
        <w:numPr>
          <w:ilvl w:val="0"/>
          <w:numId w:val="212"/>
        </w:numPr>
        <w:snapToGrid w:val="0"/>
        <w:spacing w:line="460" w:lineRule="exact"/>
        <w:jc w:val="both"/>
        <w:rPr>
          <w:rFonts w:eastAsia="標楷體"/>
          <w:b/>
          <w:sz w:val="28"/>
          <w:szCs w:val="28"/>
        </w:rPr>
      </w:pPr>
      <w:r w:rsidRPr="00D55DC6">
        <w:rPr>
          <w:rFonts w:eastAsia="標楷體"/>
          <w:b/>
          <w:sz w:val="28"/>
          <w:szCs w:val="28"/>
        </w:rPr>
        <w:t>相關機關配合事項</w:t>
      </w:r>
    </w:p>
    <w:p w:rsidR="00986223" w:rsidRPr="00D55DC6" w:rsidRDefault="00986223" w:rsidP="00986223">
      <w:pPr>
        <w:snapToGrid w:val="0"/>
        <w:spacing w:line="460" w:lineRule="exact"/>
        <w:ind w:leftChars="177" w:left="851" w:hangingChars="152" w:hanging="426"/>
        <w:jc w:val="both"/>
        <w:rPr>
          <w:rFonts w:eastAsia="標楷體"/>
          <w:sz w:val="28"/>
          <w:szCs w:val="28"/>
        </w:rPr>
      </w:pPr>
      <w:r w:rsidRPr="00D55DC6">
        <w:rPr>
          <w:rFonts w:eastAsia="標楷體"/>
          <w:sz w:val="28"/>
          <w:szCs w:val="28"/>
        </w:rPr>
        <w:t xml:space="preserve">1. </w:t>
      </w:r>
      <w:r w:rsidRPr="00D55DC6">
        <w:rPr>
          <w:rFonts w:eastAsia="標楷體"/>
          <w:sz w:val="28"/>
          <w:szCs w:val="28"/>
        </w:rPr>
        <w:t>澎湖縣政府：協助縣有土地同意撥用、土地使用管制及建築管理許可、國土復育、水利防洪、休閒漁業、生態保護、交通設施及相關證照之申請等。</w:t>
      </w:r>
    </w:p>
    <w:p w:rsidR="00986223" w:rsidRPr="00D55DC6" w:rsidRDefault="00986223" w:rsidP="00986223">
      <w:pPr>
        <w:snapToGrid w:val="0"/>
        <w:spacing w:line="460" w:lineRule="exact"/>
        <w:ind w:leftChars="177" w:left="851" w:hangingChars="152" w:hanging="426"/>
        <w:jc w:val="both"/>
        <w:rPr>
          <w:rFonts w:eastAsia="標楷體"/>
          <w:sz w:val="28"/>
          <w:szCs w:val="28"/>
        </w:rPr>
      </w:pPr>
      <w:r w:rsidRPr="00D55DC6">
        <w:rPr>
          <w:rFonts w:eastAsia="標楷體"/>
          <w:sz w:val="28"/>
          <w:szCs w:val="28"/>
        </w:rPr>
        <w:t xml:space="preserve">2. </w:t>
      </w:r>
      <w:r w:rsidRPr="00D55DC6">
        <w:rPr>
          <w:rFonts w:eastAsia="標楷體"/>
          <w:sz w:val="28"/>
          <w:szCs w:val="28"/>
        </w:rPr>
        <w:t>財政部國有財產署：協助公有土地同意撥用等。</w:t>
      </w:r>
    </w:p>
    <w:p w:rsidR="00986223" w:rsidRPr="00D55DC6" w:rsidRDefault="00986223" w:rsidP="00986223">
      <w:pPr>
        <w:snapToGrid w:val="0"/>
        <w:spacing w:line="460" w:lineRule="exact"/>
        <w:ind w:leftChars="177" w:left="851" w:hangingChars="152" w:hanging="426"/>
        <w:jc w:val="both"/>
        <w:rPr>
          <w:rFonts w:eastAsia="標楷體"/>
          <w:sz w:val="28"/>
          <w:szCs w:val="28"/>
        </w:rPr>
      </w:pPr>
      <w:r w:rsidRPr="00D55DC6">
        <w:rPr>
          <w:rFonts w:eastAsia="標楷體"/>
          <w:sz w:val="28"/>
          <w:szCs w:val="28"/>
        </w:rPr>
        <w:t xml:space="preserve">3. </w:t>
      </w:r>
      <w:r w:rsidRPr="00D55DC6">
        <w:rPr>
          <w:rFonts w:eastAsia="標楷體"/>
          <w:sz w:val="28"/>
          <w:szCs w:val="28"/>
        </w:rPr>
        <w:t>行政院農委會林務局：協助部份保安林解編等。</w:t>
      </w:r>
    </w:p>
    <w:p w:rsidR="00986223" w:rsidRPr="00D55DC6" w:rsidRDefault="00986223" w:rsidP="00986223">
      <w:pPr>
        <w:snapToGrid w:val="0"/>
        <w:spacing w:line="460" w:lineRule="exact"/>
        <w:ind w:leftChars="177" w:left="851" w:hangingChars="152" w:hanging="426"/>
        <w:jc w:val="both"/>
        <w:rPr>
          <w:rFonts w:eastAsia="標楷體"/>
          <w:sz w:val="28"/>
          <w:szCs w:val="28"/>
        </w:rPr>
      </w:pPr>
      <w:r w:rsidRPr="00D55DC6">
        <w:rPr>
          <w:rFonts w:eastAsia="標楷體"/>
          <w:sz w:val="28"/>
          <w:szCs w:val="28"/>
        </w:rPr>
        <w:t xml:space="preserve">4. </w:t>
      </w:r>
      <w:r w:rsidRPr="00D55DC6">
        <w:rPr>
          <w:rFonts w:eastAsia="標楷體"/>
          <w:sz w:val="28"/>
          <w:szCs w:val="28"/>
        </w:rPr>
        <w:t>臺灣港務股份有限公司：協助推動國際郵輪觀光遊程等。</w:t>
      </w:r>
    </w:p>
    <w:p w:rsidR="00986223" w:rsidRPr="00D55DC6" w:rsidRDefault="00986223" w:rsidP="00986223">
      <w:pPr>
        <w:snapToGrid w:val="0"/>
        <w:spacing w:line="460" w:lineRule="exact"/>
        <w:ind w:leftChars="177" w:left="851" w:hangingChars="152" w:hanging="426"/>
        <w:jc w:val="both"/>
        <w:rPr>
          <w:rFonts w:eastAsia="標楷體"/>
          <w:sz w:val="28"/>
          <w:szCs w:val="28"/>
        </w:rPr>
      </w:pPr>
      <w:r w:rsidRPr="00D55DC6">
        <w:rPr>
          <w:rFonts w:eastAsia="標楷體"/>
          <w:sz w:val="28"/>
          <w:szCs w:val="28"/>
        </w:rPr>
        <w:t xml:space="preserve">5. </w:t>
      </w:r>
      <w:r w:rsidRPr="00D55DC6">
        <w:rPr>
          <w:rFonts w:eastAsia="標楷體"/>
          <w:sz w:val="28"/>
          <w:szCs w:val="28"/>
        </w:rPr>
        <w:t>交通部航港局：協助海運航班調配。</w:t>
      </w:r>
    </w:p>
    <w:p w:rsidR="00986223" w:rsidRPr="00D55DC6" w:rsidRDefault="00986223" w:rsidP="00986223">
      <w:pPr>
        <w:snapToGrid w:val="0"/>
        <w:spacing w:line="460" w:lineRule="exact"/>
        <w:ind w:leftChars="177" w:left="851" w:hangingChars="152" w:hanging="426"/>
        <w:jc w:val="both"/>
        <w:rPr>
          <w:rFonts w:eastAsia="標楷體"/>
          <w:sz w:val="28"/>
          <w:szCs w:val="28"/>
        </w:rPr>
      </w:pPr>
      <w:r w:rsidRPr="00D55DC6">
        <w:rPr>
          <w:rFonts w:eastAsia="標楷體"/>
          <w:sz w:val="28"/>
          <w:szCs w:val="28"/>
        </w:rPr>
        <w:t xml:space="preserve">6. </w:t>
      </w:r>
      <w:r w:rsidRPr="00D55DC6">
        <w:rPr>
          <w:rFonts w:eastAsia="標楷體"/>
          <w:sz w:val="28"/>
          <w:szCs w:val="28"/>
        </w:rPr>
        <w:t>交通部民航局馬公航空站：協助空運航班調配等。</w:t>
      </w:r>
    </w:p>
    <w:p w:rsidR="00C40B73" w:rsidRPr="00D55DC6" w:rsidRDefault="00C40B73">
      <w:pPr>
        <w:widowControl/>
        <w:rPr>
          <w:rFonts w:eastAsia="標楷體"/>
          <w:sz w:val="28"/>
          <w:szCs w:val="28"/>
        </w:rPr>
      </w:pPr>
      <w:r w:rsidRPr="00D55DC6">
        <w:rPr>
          <w:rFonts w:eastAsia="標楷體"/>
          <w:sz w:val="28"/>
          <w:szCs w:val="28"/>
        </w:rPr>
        <w:br w:type="page"/>
      </w:r>
    </w:p>
    <w:p w:rsidR="00C40B73" w:rsidRPr="00D55DC6" w:rsidRDefault="00C40B73" w:rsidP="00C40B73">
      <w:pPr>
        <w:snapToGrid w:val="0"/>
        <w:spacing w:line="460" w:lineRule="exact"/>
        <w:rPr>
          <w:rFonts w:eastAsia="標楷體"/>
          <w:b/>
          <w:sz w:val="28"/>
          <w:szCs w:val="28"/>
        </w:rPr>
      </w:pPr>
      <w:r w:rsidRPr="00D55DC6">
        <w:rPr>
          <w:rFonts w:eastAsia="標楷體"/>
          <w:b/>
          <w:sz w:val="28"/>
          <w:szCs w:val="28"/>
        </w:rPr>
        <w:lastRenderedPageBreak/>
        <w:t>拾參、馬祖國家風景區建設計畫</w:t>
      </w:r>
    </w:p>
    <w:p w:rsidR="00C40B73" w:rsidRPr="00D55DC6" w:rsidRDefault="00C40B73" w:rsidP="00C40B73">
      <w:pPr>
        <w:snapToGrid w:val="0"/>
        <w:spacing w:line="460" w:lineRule="exact"/>
        <w:rPr>
          <w:rFonts w:eastAsia="標楷體"/>
          <w:b/>
          <w:sz w:val="28"/>
          <w:szCs w:val="28"/>
        </w:rPr>
      </w:pPr>
    </w:p>
    <w:p w:rsidR="00C40B73" w:rsidRPr="00D55DC6" w:rsidRDefault="00C40B73" w:rsidP="004865C1">
      <w:pPr>
        <w:pStyle w:val="a"/>
        <w:numPr>
          <w:ilvl w:val="0"/>
          <w:numId w:val="213"/>
        </w:numPr>
        <w:ind w:left="709" w:hanging="709"/>
        <w:rPr>
          <w:b/>
        </w:rPr>
      </w:pPr>
      <w:bookmarkStart w:id="180" w:name="_Toc407181738"/>
      <w:r w:rsidRPr="00D55DC6">
        <w:rPr>
          <w:b/>
        </w:rPr>
        <w:t>計畫緣起</w:t>
      </w:r>
      <w:bookmarkEnd w:id="180"/>
    </w:p>
    <w:p w:rsidR="00C40B73" w:rsidRPr="00D55DC6" w:rsidRDefault="00C40B73" w:rsidP="004865C1">
      <w:pPr>
        <w:pStyle w:val="af2"/>
        <w:numPr>
          <w:ilvl w:val="0"/>
          <w:numId w:val="214"/>
        </w:numPr>
        <w:snapToGrid w:val="0"/>
        <w:spacing w:line="460" w:lineRule="exact"/>
        <w:ind w:leftChars="0"/>
        <w:jc w:val="both"/>
        <w:rPr>
          <w:rFonts w:eastAsia="標楷體"/>
          <w:b/>
          <w:sz w:val="28"/>
          <w:szCs w:val="28"/>
        </w:rPr>
      </w:pPr>
      <w:r w:rsidRPr="00D55DC6">
        <w:rPr>
          <w:rFonts w:eastAsia="標楷體"/>
          <w:b/>
          <w:sz w:val="28"/>
          <w:szCs w:val="28"/>
        </w:rPr>
        <w:t>依據</w:t>
      </w:r>
    </w:p>
    <w:p w:rsidR="00C40B73" w:rsidRPr="00D55DC6" w:rsidRDefault="00C40B73" w:rsidP="00C40B73">
      <w:pPr>
        <w:snapToGrid w:val="0"/>
        <w:spacing w:line="460" w:lineRule="exact"/>
        <w:ind w:leftChars="295" w:left="991" w:hangingChars="101" w:hanging="283"/>
        <w:jc w:val="both"/>
        <w:rPr>
          <w:rFonts w:eastAsia="標楷體"/>
          <w:sz w:val="28"/>
          <w:szCs w:val="28"/>
        </w:rPr>
      </w:pPr>
      <w:r w:rsidRPr="00D55DC6">
        <w:rPr>
          <w:rFonts w:eastAsia="標楷體"/>
          <w:sz w:val="28"/>
          <w:szCs w:val="28"/>
        </w:rPr>
        <w:t xml:space="preserve">  </w:t>
      </w:r>
      <w:r w:rsidRPr="00D55DC6">
        <w:rPr>
          <w:rFonts w:eastAsia="標楷體"/>
          <w:sz w:val="28"/>
          <w:szCs w:val="28"/>
        </w:rPr>
        <w:t>為延續「重要觀光景點建設中程計畫（</w:t>
      </w:r>
      <w:r w:rsidRPr="00D55DC6">
        <w:rPr>
          <w:rFonts w:eastAsia="標楷體"/>
          <w:sz w:val="28"/>
          <w:szCs w:val="28"/>
        </w:rPr>
        <w:t>101</w:t>
      </w:r>
      <w:r w:rsidRPr="00D55DC6">
        <w:rPr>
          <w:rFonts w:eastAsia="標楷體"/>
          <w:sz w:val="28"/>
          <w:szCs w:val="28"/>
        </w:rPr>
        <w:t>至</w:t>
      </w:r>
      <w:r w:rsidRPr="00D55DC6">
        <w:rPr>
          <w:rFonts w:eastAsia="標楷體"/>
          <w:sz w:val="28"/>
          <w:szCs w:val="28"/>
        </w:rPr>
        <w:t>104</w:t>
      </w:r>
      <w:r w:rsidRPr="00D55DC6">
        <w:rPr>
          <w:rFonts w:eastAsia="標楷體"/>
          <w:sz w:val="28"/>
          <w:szCs w:val="28"/>
        </w:rPr>
        <w:t>年）」（行政院</w:t>
      </w:r>
      <w:r w:rsidRPr="00D55DC6">
        <w:rPr>
          <w:rFonts w:eastAsia="標楷體"/>
          <w:sz w:val="28"/>
          <w:szCs w:val="28"/>
        </w:rPr>
        <w:t>100</w:t>
      </w:r>
      <w:r w:rsidRPr="00D55DC6">
        <w:rPr>
          <w:rFonts w:eastAsia="標楷體"/>
          <w:sz w:val="28"/>
          <w:szCs w:val="28"/>
        </w:rPr>
        <w:t>年</w:t>
      </w:r>
      <w:r w:rsidRPr="00D55DC6">
        <w:rPr>
          <w:rFonts w:eastAsia="標楷體"/>
          <w:sz w:val="28"/>
          <w:szCs w:val="28"/>
        </w:rPr>
        <w:t>8</w:t>
      </w:r>
      <w:r w:rsidRPr="00D55DC6">
        <w:rPr>
          <w:rFonts w:eastAsia="標楷體"/>
          <w:sz w:val="28"/>
          <w:szCs w:val="28"/>
        </w:rPr>
        <w:t>月</w:t>
      </w:r>
      <w:r w:rsidRPr="00D55DC6">
        <w:rPr>
          <w:rFonts w:eastAsia="標楷體"/>
          <w:sz w:val="28"/>
          <w:szCs w:val="28"/>
        </w:rPr>
        <w:t>22</w:t>
      </w:r>
      <w:r w:rsidRPr="00D55DC6">
        <w:rPr>
          <w:rFonts w:eastAsia="標楷體"/>
          <w:sz w:val="28"/>
          <w:szCs w:val="28"/>
        </w:rPr>
        <w:t>日院臺交字第</w:t>
      </w:r>
      <w:r w:rsidRPr="00D55DC6">
        <w:rPr>
          <w:rFonts w:eastAsia="標楷體"/>
          <w:sz w:val="28"/>
          <w:szCs w:val="28"/>
        </w:rPr>
        <w:t>1000044174</w:t>
      </w:r>
      <w:r w:rsidRPr="00D55DC6">
        <w:rPr>
          <w:rFonts w:eastAsia="標楷體"/>
          <w:sz w:val="28"/>
          <w:szCs w:val="28"/>
        </w:rPr>
        <w:t>號函核定）建設成果，以「馬祖國家風景區觀光整體發展計畫暨大北海遊憩區規劃設計案」為建設藍圖，打造以</w:t>
      </w:r>
      <w:r w:rsidRPr="00D55DC6">
        <w:rPr>
          <w:rFonts w:eastAsia="標楷體"/>
          <w:b/>
          <w:sz w:val="28"/>
          <w:szCs w:val="28"/>
        </w:rPr>
        <w:t>「國際島嶼、幸福馬祖」</w:t>
      </w:r>
      <w:r w:rsidRPr="00D55DC6">
        <w:rPr>
          <w:rFonts w:eastAsia="標楷體"/>
          <w:sz w:val="28"/>
          <w:szCs w:val="28"/>
        </w:rPr>
        <w:t>為願景之國家風景區，研擬「重要觀光景點建設中程計畫</w:t>
      </w:r>
      <w:r w:rsidRPr="00D55DC6">
        <w:rPr>
          <w:rFonts w:eastAsia="標楷體"/>
          <w:sz w:val="28"/>
          <w:szCs w:val="28"/>
        </w:rPr>
        <w:t xml:space="preserve">(105-108 </w:t>
      </w:r>
      <w:r w:rsidRPr="00D55DC6">
        <w:rPr>
          <w:rFonts w:eastAsia="標楷體"/>
          <w:sz w:val="28"/>
          <w:szCs w:val="28"/>
        </w:rPr>
        <w:t>年</w:t>
      </w:r>
      <w:r w:rsidRPr="00D55DC6">
        <w:rPr>
          <w:rFonts w:eastAsia="標楷體"/>
          <w:sz w:val="28"/>
          <w:szCs w:val="28"/>
        </w:rPr>
        <w:t>)</w:t>
      </w:r>
      <w:r w:rsidRPr="00D55DC6">
        <w:rPr>
          <w:rFonts w:eastAsia="標楷體"/>
          <w:sz w:val="28"/>
          <w:szCs w:val="28"/>
        </w:rPr>
        <w:t>」子計畫「馬祖國家風景區建設計畫」。</w:t>
      </w:r>
    </w:p>
    <w:p w:rsidR="002B0433" w:rsidRPr="00D55DC6" w:rsidRDefault="002B0433" w:rsidP="00C40B73">
      <w:pPr>
        <w:snapToGrid w:val="0"/>
        <w:spacing w:line="460" w:lineRule="exact"/>
        <w:ind w:leftChars="295" w:left="991" w:hangingChars="101" w:hanging="283"/>
        <w:jc w:val="both"/>
        <w:rPr>
          <w:rFonts w:eastAsia="標楷體"/>
          <w:sz w:val="28"/>
          <w:szCs w:val="28"/>
        </w:rPr>
      </w:pPr>
    </w:p>
    <w:p w:rsidR="00C40B73" w:rsidRPr="00D55DC6" w:rsidRDefault="00C40B73" w:rsidP="004865C1">
      <w:pPr>
        <w:pStyle w:val="af2"/>
        <w:numPr>
          <w:ilvl w:val="0"/>
          <w:numId w:val="214"/>
        </w:numPr>
        <w:snapToGrid w:val="0"/>
        <w:spacing w:line="460" w:lineRule="exact"/>
        <w:ind w:leftChars="0" w:left="993"/>
        <w:jc w:val="both"/>
        <w:rPr>
          <w:rFonts w:eastAsia="標楷體"/>
          <w:b/>
          <w:sz w:val="28"/>
          <w:szCs w:val="28"/>
        </w:rPr>
      </w:pPr>
      <w:r w:rsidRPr="00D55DC6">
        <w:rPr>
          <w:rFonts w:eastAsia="標楷體"/>
          <w:b/>
          <w:sz w:val="28"/>
          <w:szCs w:val="28"/>
        </w:rPr>
        <w:t>未來環境預測</w:t>
      </w:r>
    </w:p>
    <w:p w:rsidR="00C40B73" w:rsidRPr="00D55DC6" w:rsidRDefault="00C40B73" w:rsidP="00C40B73">
      <w:pPr>
        <w:pStyle w:val="af2"/>
        <w:snapToGrid w:val="0"/>
        <w:spacing w:line="460" w:lineRule="exact"/>
        <w:ind w:leftChars="295" w:left="991" w:hangingChars="101" w:hanging="283"/>
        <w:jc w:val="both"/>
        <w:rPr>
          <w:rFonts w:eastAsia="標楷體"/>
          <w:sz w:val="28"/>
          <w:szCs w:val="28"/>
        </w:rPr>
      </w:pPr>
      <w:r w:rsidRPr="00D55DC6">
        <w:rPr>
          <w:rFonts w:eastAsia="標楷體"/>
          <w:sz w:val="28"/>
          <w:szCs w:val="28"/>
        </w:rPr>
        <w:t xml:space="preserve">1. </w:t>
      </w:r>
      <w:r w:rsidRPr="00D55DC6">
        <w:rPr>
          <w:rFonts w:eastAsia="標楷體"/>
          <w:sz w:val="28"/>
          <w:szCs w:val="28"/>
        </w:rPr>
        <w:t>馬祖地區受限於先天環境的限制，觀光發展有其承載量的考量，在嚴苛的資源限制及永續發展的前提下，應鎖定「精緻旅遊市場」並發揮馬祖各列島之特色，進而推廣深度旅遊、套裝主題旅遊以及高品質旅遊。</w:t>
      </w:r>
    </w:p>
    <w:p w:rsidR="00C40B73" w:rsidRPr="00D55DC6" w:rsidRDefault="00C40B73" w:rsidP="00C40B73">
      <w:pPr>
        <w:pStyle w:val="af2"/>
        <w:snapToGrid w:val="0"/>
        <w:spacing w:line="460" w:lineRule="exact"/>
        <w:ind w:leftChars="295" w:left="991" w:hangingChars="101" w:hanging="283"/>
        <w:jc w:val="both"/>
        <w:rPr>
          <w:rFonts w:eastAsia="標楷體"/>
          <w:sz w:val="28"/>
          <w:szCs w:val="28"/>
        </w:rPr>
      </w:pPr>
      <w:r w:rsidRPr="00D55DC6">
        <w:rPr>
          <w:rFonts w:eastAsia="標楷體"/>
          <w:sz w:val="28"/>
          <w:szCs w:val="28"/>
        </w:rPr>
        <w:t xml:space="preserve">2. </w:t>
      </w:r>
      <w:r w:rsidRPr="00D55DC6">
        <w:rPr>
          <w:rFonts w:eastAsia="標楷體"/>
          <w:sz w:val="28"/>
          <w:szCs w:val="28"/>
        </w:rPr>
        <w:t>根據觀光局遊客統計資料顯示，本區全年遊客量自民國</w:t>
      </w:r>
      <w:r w:rsidRPr="00D55DC6">
        <w:rPr>
          <w:rFonts w:eastAsia="標楷體"/>
          <w:sz w:val="28"/>
          <w:szCs w:val="28"/>
        </w:rPr>
        <w:t>90</w:t>
      </w:r>
      <w:r w:rsidRPr="00D55DC6">
        <w:rPr>
          <w:rFonts w:eastAsia="標楷體"/>
          <w:sz w:val="28"/>
          <w:szCs w:val="28"/>
        </w:rPr>
        <w:t>年之</w:t>
      </w:r>
      <w:r w:rsidRPr="00D55DC6">
        <w:rPr>
          <w:rFonts w:eastAsia="標楷體"/>
          <w:sz w:val="28"/>
          <w:szCs w:val="28"/>
        </w:rPr>
        <w:t>48,398</w:t>
      </w:r>
      <w:r w:rsidRPr="00D55DC6">
        <w:rPr>
          <w:rFonts w:eastAsia="標楷體"/>
          <w:sz w:val="28"/>
          <w:szCs w:val="28"/>
        </w:rPr>
        <w:t>人增長至</w:t>
      </w:r>
      <w:r w:rsidRPr="00D55DC6">
        <w:rPr>
          <w:rFonts w:eastAsia="標楷體"/>
          <w:sz w:val="28"/>
          <w:szCs w:val="28"/>
        </w:rPr>
        <w:t>102</w:t>
      </w:r>
      <w:r w:rsidRPr="00D55DC6">
        <w:rPr>
          <w:rFonts w:eastAsia="標楷體"/>
          <w:sz w:val="28"/>
          <w:szCs w:val="28"/>
        </w:rPr>
        <w:t>年之</w:t>
      </w:r>
      <w:r w:rsidRPr="00D55DC6">
        <w:rPr>
          <w:rFonts w:eastAsia="標楷體"/>
          <w:sz w:val="28"/>
          <w:szCs w:val="28"/>
        </w:rPr>
        <w:t>106,635</w:t>
      </w:r>
      <w:r w:rsidRPr="00D55DC6">
        <w:rPr>
          <w:rFonts w:eastAsia="標楷體"/>
          <w:sz w:val="28"/>
          <w:szCs w:val="28"/>
        </w:rPr>
        <w:t>人。依據歷年人數推估，於民國</w:t>
      </w:r>
      <w:r w:rsidRPr="00D55DC6">
        <w:rPr>
          <w:rFonts w:eastAsia="標楷體"/>
          <w:sz w:val="28"/>
          <w:szCs w:val="28"/>
        </w:rPr>
        <w:t>110</w:t>
      </w:r>
      <w:r w:rsidRPr="00D55DC6">
        <w:rPr>
          <w:rFonts w:eastAsia="標楷體"/>
          <w:sz w:val="28"/>
          <w:szCs w:val="28"/>
        </w:rPr>
        <w:t>年時，遊客量樂觀值為</w:t>
      </w:r>
      <w:r w:rsidRPr="00D55DC6">
        <w:rPr>
          <w:rFonts w:eastAsia="標楷體"/>
          <w:sz w:val="28"/>
          <w:szCs w:val="28"/>
        </w:rPr>
        <w:t>168,950</w:t>
      </w:r>
      <w:r w:rsidRPr="00D55DC6">
        <w:rPr>
          <w:rFonts w:eastAsia="標楷體"/>
          <w:sz w:val="28"/>
          <w:szCs w:val="28"/>
        </w:rPr>
        <w:t>人，保守值為</w:t>
      </w:r>
      <w:r w:rsidRPr="00D55DC6">
        <w:rPr>
          <w:rFonts w:eastAsia="標楷體"/>
          <w:sz w:val="28"/>
          <w:szCs w:val="28"/>
        </w:rPr>
        <w:t>118,100</w:t>
      </w:r>
      <w:r w:rsidRPr="00D55DC6">
        <w:rPr>
          <w:rFonts w:eastAsia="標楷體"/>
          <w:sz w:val="28"/>
          <w:szCs w:val="28"/>
        </w:rPr>
        <w:t>人，依相關模式續估</w:t>
      </w:r>
      <w:r w:rsidRPr="00D55DC6">
        <w:rPr>
          <w:rFonts w:eastAsia="標楷體"/>
          <w:sz w:val="28"/>
          <w:szCs w:val="28"/>
        </w:rPr>
        <w:t>115</w:t>
      </w:r>
      <w:r w:rsidRPr="00D55DC6">
        <w:rPr>
          <w:rFonts w:eastAsia="標楷體"/>
          <w:sz w:val="28"/>
          <w:szCs w:val="28"/>
        </w:rPr>
        <w:t>年遊客量樂觀值約為</w:t>
      </w:r>
      <w:r w:rsidRPr="00D55DC6">
        <w:rPr>
          <w:rFonts w:eastAsia="標楷體"/>
          <w:sz w:val="28"/>
          <w:szCs w:val="28"/>
        </w:rPr>
        <w:t>216,000</w:t>
      </w:r>
      <w:r w:rsidRPr="00D55DC6">
        <w:rPr>
          <w:rFonts w:eastAsia="標楷體"/>
          <w:sz w:val="28"/>
          <w:szCs w:val="28"/>
        </w:rPr>
        <w:t>人，保守值為</w:t>
      </w:r>
      <w:r w:rsidRPr="00D55DC6">
        <w:rPr>
          <w:rFonts w:eastAsia="標楷體"/>
          <w:sz w:val="28"/>
          <w:szCs w:val="28"/>
        </w:rPr>
        <w:t>138,000</w:t>
      </w:r>
      <w:r w:rsidRPr="00D55DC6">
        <w:rPr>
          <w:rFonts w:eastAsia="標楷體"/>
          <w:sz w:val="28"/>
          <w:szCs w:val="28"/>
        </w:rPr>
        <w:t>人</w:t>
      </w:r>
      <w:r w:rsidRPr="00D55DC6">
        <w:rPr>
          <w:rFonts w:eastAsia="標楷體"/>
          <w:sz w:val="28"/>
          <w:szCs w:val="28"/>
        </w:rPr>
        <w:t>(</w:t>
      </w:r>
      <w:r w:rsidRPr="00D55DC6">
        <w:rPr>
          <w:rFonts w:eastAsia="標楷體"/>
          <w:sz w:val="28"/>
          <w:szCs w:val="28"/>
        </w:rPr>
        <w:t>樂觀值係在馬祖對外交通改善、突破現有運量瓶頸之前提下推估</w:t>
      </w:r>
      <w:r w:rsidRPr="00D55DC6">
        <w:rPr>
          <w:rFonts w:eastAsia="標楷體"/>
          <w:sz w:val="28"/>
          <w:szCs w:val="28"/>
        </w:rPr>
        <w:t>)</w:t>
      </w:r>
      <w:r w:rsidRPr="00D55DC6">
        <w:rPr>
          <w:rFonts w:eastAsia="標楷體"/>
          <w:sz w:val="28"/>
          <w:szCs w:val="28"/>
        </w:rPr>
        <w:t>。</w:t>
      </w:r>
    </w:p>
    <w:p w:rsidR="00C40B73" w:rsidRPr="00D55DC6" w:rsidRDefault="00C40B73" w:rsidP="00C40B73">
      <w:pPr>
        <w:pStyle w:val="af2"/>
        <w:snapToGrid w:val="0"/>
        <w:spacing w:line="460" w:lineRule="exact"/>
        <w:ind w:leftChars="295" w:left="991" w:hangingChars="101" w:hanging="283"/>
        <w:jc w:val="both"/>
        <w:rPr>
          <w:rFonts w:eastAsia="標楷體"/>
          <w:sz w:val="28"/>
          <w:szCs w:val="28"/>
        </w:rPr>
      </w:pPr>
      <w:r w:rsidRPr="00D55DC6">
        <w:rPr>
          <w:rFonts w:eastAsia="標楷體"/>
          <w:sz w:val="28"/>
          <w:szCs w:val="28"/>
        </w:rPr>
        <w:t xml:space="preserve">3. </w:t>
      </w:r>
      <w:r w:rsidRPr="00D55DC6">
        <w:rPr>
          <w:rFonts w:eastAsia="標楷體"/>
          <w:sz w:val="28"/>
          <w:szCs w:val="28"/>
        </w:rPr>
        <w:t>另依據市場供需、各島旅遊遊程組合及住宿比率，推估至</w:t>
      </w:r>
      <w:r w:rsidRPr="00D55DC6">
        <w:rPr>
          <w:rFonts w:eastAsia="標楷體"/>
          <w:sz w:val="28"/>
          <w:szCs w:val="28"/>
        </w:rPr>
        <w:t>110</w:t>
      </w:r>
      <w:r w:rsidRPr="00D55DC6">
        <w:rPr>
          <w:rFonts w:eastAsia="標楷體"/>
          <w:sz w:val="28"/>
          <w:szCs w:val="28"/>
        </w:rPr>
        <w:t>年，全區住宿設施需求為</w:t>
      </w:r>
      <w:r w:rsidRPr="00D55DC6">
        <w:rPr>
          <w:rFonts w:eastAsia="標楷體"/>
          <w:sz w:val="28"/>
          <w:szCs w:val="28"/>
        </w:rPr>
        <w:t>3,590</w:t>
      </w:r>
      <w:r w:rsidRPr="00D55DC6">
        <w:rPr>
          <w:rFonts w:eastAsia="標楷體"/>
          <w:sz w:val="28"/>
          <w:szCs w:val="28"/>
        </w:rPr>
        <w:t>人，需求房間數為</w:t>
      </w:r>
      <w:r w:rsidRPr="00D55DC6">
        <w:rPr>
          <w:rFonts w:eastAsia="標楷體"/>
          <w:sz w:val="28"/>
          <w:szCs w:val="28"/>
        </w:rPr>
        <w:t>1,561</w:t>
      </w:r>
      <w:r w:rsidRPr="00D55DC6">
        <w:rPr>
          <w:rFonts w:eastAsia="標楷體"/>
          <w:sz w:val="28"/>
          <w:szCs w:val="28"/>
        </w:rPr>
        <w:t>間，住宿設施樓地板面積需求為</w:t>
      </w:r>
      <w:r w:rsidRPr="00D55DC6">
        <w:rPr>
          <w:rFonts w:eastAsia="標楷體"/>
          <w:sz w:val="28"/>
          <w:szCs w:val="28"/>
        </w:rPr>
        <w:t>43,704</w:t>
      </w:r>
      <w:r w:rsidRPr="00D55DC6">
        <w:rPr>
          <w:rFonts w:eastAsia="標楷體"/>
          <w:sz w:val="28"/>
          <w:szCs w:val="28"/>
        </w:rPr>
        <w:t>平方公尺，對照目前地區住宿設施供給量</w:t>
      </w:r>
      <w:r w:rsidRPr="00D55DC6">
        <w:rPr>
          <w:rFonts w:eastAsia="標楷體"/>
          <w:sz w:val="28"/>
          <w:szCs w:val="28"/>
        </w:rPr>
        <w:t>(</w:t>
      </w:r>
      <w:r w:rsidRPr="00D55DC6">
        <w:rPr>
          <w:rFonts w:eastAsia="標楷體"/>
          <w:sz w:val="28"/>
          <w:szCs w:val="28"/>
        </w:rPr>
        <w:t>按</w:t>
      </w:r>
      <w:r w:rsidRPr="00D55DC6">
        <w:rPr>
          <w:rFonts w:eastAsia="標楷體"/>
          <w:sz w:val="28"/>
          <w:szCs w:val="28"/>
        </w:rPr>
        <w:t>103</w:t>
      </w:r>
      <w:r w:rsidRPr="00D55DC6">
        <w:rPr>
          <w:rFonts w:eastAsia="標楷體"/>
          <w:sz w:val="28"/>
          <w:szCs w:val="28"/>
        </w:rPr>
        <w:t>年全區供給量約</w:t>
      </w:r>
      <w:r w:rsidRPr="00D55DC6">
        <w:rPr>
          <w:rFonts w:eastAsia="標楷體"/>
          <w:sz w:val="28"/>
          <w:szCs w:val="28"/>
        </w:rPr>
        <w:t>700</w:t>
      </w:r>
      <w:r w:rsidRPr="00D55DC6">
        <w:rPr>
          <w:rFonts w:eastAsia="標楷體"/>
          <w:sz w:val="28"/>
          <w:szCs w:val="28"/>
        </w:rPr>
        <w:t>間房間</w:t>
      </w:r>
      <w:r w:rsidRPr="00D55DC6">
        <w:rPr>
          <w:rFonts w:eastAsia="標楷體"/>
          <w:sz w:val="28"/>
          <w:szCs w:val="28"/>
        </w:rPr>
        <w:t>)</w:t>
      </w:r>
      <w:r w:rsidRPr="00D55DC6">
        <w:rPr>
          <w:rFonts w:eastAsia="標楷體"/>
          <w:sz w:val="28"/>
          <w:szCs w:val="28"/>
        </w:rPr>
        <w:t>，已呈現需求遠超過供給之情況，故增加旅遊住宿設施有其必要與急迫性。建議除一方面逐步透過新設旅館或改善既有營區、甚至無人聚落</w:t>
      </w:r>
      <w:r w:rsidRPr="00D55DC6">
        <w:rPr>
          <w:rFonts w:eastAsia="標楷體"/>
          <w:sz w:val="28"/>
          <w:szCs w:val="28"/>
        </w:rPr>
        <w:t>(</w:t>
      </w:r>
      <w:r w:rsidRPr="00D55DC6">
        <w:rPr>
          <w:rFonts w:eastAsia="標楷體"/>
          <w:sz w:val="28"/>
          <w:szCs w:val="28"/>
        </w:rPr>
        <w:t>如東莒大埔</w:t>
      </w:r>
      <w:r w:rsidRPr="00D55DC6">
        <w:rPr>
          <w:rFonts w:eastAsia="標楷體"/>
          <w:sz w:val="28"/>
          <w:szCs w:val="28"/>
        </w:rPr>
        <w:t>)</w:t>
      </w:r>
      <w:r w:rsidRPr="00D55DC6">
        <w:rPr>
          <w:rFonts w:eastAsia="標楷體"/>
          <w:sz w:val="28"/>
          <w:szCs w:val="28"/>
        </w:rPr>
        <w:t>等，形成具主題、特色、中小規模之度假旅館外，另一方面亦可改善提升各島之現有旅館、民宿之住宿品質與服務水準，並可積極輔導經管理處補助的</w:t>
      </w:r>
      <w:r w:rsidRPr="00D55DC6">
        <w:rPr>
          <w:rFonts w:eastAsia="標楷體"/>
          <w:sz w:val="28"/>
          <w:szCs w:val="28"/>
        </w:rPr>
        <w:lastRenderedPageBreak/>
        <w:t>傳統建築修繕申請戶，能成功轉型為具閩東建築風味的民宿或餐廳，以滿足本區之旅宿需求。</w:t>
      </w:r>
    </w:p>
    <w:p w:rsidR="002B0433" w:rsidRPr="00D55DC6" w:rsidRDefault="002B0433" w:rsidP="00C40B73">
      <w:pPr>
        <w:pStyle w:val="af2"/>
        <w:snapToGrid w:val="0"/>
        <w:spacing w:line="460" w:lineRule="exact"/>
        <w:ind w:leftChars="295" w:left="991" w:hangingChars="101" w:hanging="283"/>
        <w:jc w:val="both"/>
        <w:rPr>
          <w:rFonts w:eastAsia="標楷體"/>
          <w:sz w:val="28"/>
          <w:szCs w:val="28"/>
        </w:rPr>
      </w:pPr>
    </w:p>
    <w:p w:rsidR="00C40B73" w:rsidRPr="00D55DC6" w:rsidRDefault="00C40B73" w:rsidP="004865C1">
      <w:pPr>
        <w:pStyle w:val="af2"/>
        <w:numPr>
          <w:ilvl w:val="0"/>
          <w:numId w:val="214"/>
        </w:numPr>
        <w:snapToGrid w:val="0"/>
        <w:spacing w:line="460" w:lineRule="exact"/>
        <w:ind w:leftChars="0" w:left="993"/>
        <w:jc w:val="both"/>
        <w:rPr>
          <w:rFonts w:eastAsia="標楷體"/>
          <w:b/>
          <w:sz w:val="28"/>
          <w:szCs w:val="28"/>
        </w:rPr>
      </w:pPr>
      <w:r w:rsidRPr="00D55DC6">
        <w:rPr>
          <w:rFonts w:eastAsia="標楷體"/>
          <w:b/>
          <w:sz w:val="28"/>
          <w:szCs w:val="28"/>
        </w:rPr>
        <w:t>問題評析</w:t>
      </w:r>
    </w:p>
    <w:p w:rsidR="00C40B73" w:rsidRPr="00D55DC6" w:rsidRDefault="00C40B73" w:rsidP="00C40B73">
      <w:pPr>
        <w:pStyle w:val="af2"/>
        <w:snapToGrid w:val="0"/>
        <w:spacing w:line="460" w:lineRule="exact"/>
        <w:ind w:leftChars="295" w:left="991" w:hangingChars="101" w:hanging="283"/>
        <w:jc w:val="both"/>
        <w:rPr>
          <w:rFonts w:eastAsia="標楷體"/>
          <w:b/>
          <w:sz w:val="28"/>
          <w:szCs w:val="28"/>
        </w:rPr>
      </w:pPr>
      <w:r w:rsidRPr="00D55DC6">
        <w:rPr>
          <w:rFonts w:eastAsia="標楷體"/>
          <w:b/>
          <w:sz w:val="28"/>
          <w:szCs w:val="28"/>
        </w:rPr>
        <w:t xml:space="preserve">1. </w:t>
      </w:r>
      <w:r w:rsidRPr="00D55DC6">
        <w:rPr>
          <w:rFonts w:eastAsia="標楷體"/>
          <w:b/>
          <w:sz w:val="28"/>
          <w:szCs w:val="28"/>
        </w:rPr>
        <w:t>需求量：</w:t>
      </w:r>
      <w:r w:rsidRPr="00D55DC6">
        <w:rPr>
          <w:rFonts w:eastAsia="標楷體"/>
          <w:sz w:val="28"/>
          <w:szCs w:val="28"/>
        </w:rPr>
        <w:t>承上述，本區遊客人數及住宿需求近年來均持續增加，現有遊憩服務設施亟待擴充服務空間與功能，另目前旅宿設施與服務品質亦無法滿足市場需求，可考量藉逐步活化軍方釋出之解戰營區滿足上述需求。</w:t>
      </w:r>
    </w:p>
    <w:p w:rsidR="00C40B73" w:rsidRPr="00D55DC6" w:rsidRDefault="00C40B73" w:rsidP="00C40B73">
      <w:pPr>
        <w:pStyle w:val="af2"/>
        <w:snapToGrid w:val="0"/>
        <w:spacing w:line="460" w:lineRule="exact"/>
        <w:ind w:leftChars="295" w:left="991" w:hangingChars="101" w:hanging="283"/>
        <w:jc w:val="both"/>
        <w:rPr>
          <w:rFonts w:eastAsia="標楷體"/>
          <w:b/>
          <w:sz w:val="28"/>
          <w:szCs w:val="28"/>
        </w:rPr>
      </w:pPr>
      <w:r w:rsidRPr="00D55DC6">
        <w:rPr>
          <w:rFonts w:eastAsia="標楷體"/>
          <w:b/>
          <w:sz w:val="28"/>
          <w:szCs w:val="28"/>
        </w:rPr>
        <w:t xml:space="preserve">2. </w:t>
      </w:r>
      <w:r w:rsidRPr="00D55DC6">
        <w:rPr>
          <w:rFonts w:eastAsia="標楷體"/>
          <w:b/>
          <w:sz w:val="28"/>
          <w:szCs w:val="28"/>
        </w:rPr>
        <w:t>承載量：</w:t>
      </w:r>
      <w:r w:rsidRPr="00D55DC6">
        <w:rPr>
          <w:rFonts w:eastAsia="標楷體"/>
          <w:sz w:val="28"/>
          <w:szCs w:val="28"/>
        </w:rPr>
        <w:t>依據管理處</w:t>
      </w:r>
      <w:r w:rsidRPr="00D55DC6">
        <w:rPr>
          <w:rFonts w:eastAsia="標楷體"/>
          <w:sz w:val="28"/>
          <w:szCs w:val="28"/>
        </w:rPr>
        <w:t>101</w:t>
      </w:r>
      <w:r w:rsidRPr="00D55DC6">
        <w:rPr>
          <w:rFonts w:eastAsia="標楷體"/>
          <w:sz w:val="28"/>
          <w:szCs w:val="28"/>
        </w:rPr>
        <w:t>年</w:t>
      </w:r>
      <w:r w:rsidRPr="00D55DC6">
        <w:rPr>
          <w:rFonts w:eastAsia="標楷體"/>
          <w:sz w:val="28"/>
          <w:szCs w:val="28"/>
        </w:rPr>
        <w:t>10</w:t>
      </w:r>
      <w:r w:rsidRPr="00D55DC6">
        <w:rPr>
          <w:rFonts w:eastAsia="標楷體"/>
          <w:sz w:val="28"/>
          <w:szCs w:val="28"/>
        </w:rPr>
        <w:t>月委託國立台灣大學完成之「馬祖國家風景區生態旅遊策略規劃建置案</w:t>
      </w:r>
      <w:r w:rsidRPr="00D55DC6">
        <w:rPr>
          <w:rFonts w:eastAsia="標楷體"/>
          <w:sz w:val="28"/>
          <w:szCs w:val="28"/>
        </w:rPr>
        <w:t>-</w:t>
      </w:r>
      <w:r w:rsidRPr="00D55DC6">
        <w:rPr>
          <w:rFonts w:eastAsia="標楷體"/>
          <w:sz w:val="28"/>
          <w:szCs w:val="28"/>
        </w:rPr>
        <w:t>地質及植物部分」成果報告書，本區合理之遊憩承載量為</w:t>
      </w:r>
      <w:r w:rsidRPr="00D55DC6">
        <w:rPr>
          <w:rFonts w:eastAsia="標楷體"/>
          <w:sz w:val="28"/>
          <w:szCs w:val="28"/>
        </w:rPr>
        <w:t>14</w:t>
      </w:r>
      <w:r w:rsidRPr="00D55DC6">
        <w:rPr>
          <w:rFonts w:eastAsia="標楷體"/>
          <w:sz w:val="28"/>
          <w:szCs w:val="28"/>
        </w:rPr>
        <w:t>萬人，故本區除應有效平衡淡旺季遊客人數外，更應積極開發高端遊客族群，提升觀光效益。</w:t>
      </w:r>
    </w:p>
    <w:p w:rsidR="00C40B73" w:rsidRPr="00D55DC6" w:rsidRDefault="00C40B73" w:rsidP="00C40B73">
      <w:pPr>
        <w:pStyle w:val="af2"/>
        <w:snapToGrid w:val="0"/>
        <w:spacing w:line="460" w:lineRule="exact"/>
        <w:ind w:leftChars="295" w:left="991" w:hangingChars="101" w:hanging="283"/>
        <w:jc w:val="both"/>
        <w:rPr>
          <w:rFonts w:eastAsia="標楷體"/>
          <w:b/>
          <w:sz w:val="28"/>
          <w:szCs w:val="28"/>
        </w:rPr>
      </w:pPr>
      <w:r w:rsidRPr="00D55DC6">
        <w:rPr>
          <w:rFonts w:eastAsia="標楷體"/>
          <w:b/>
          <w:sz w:val="28"/>
          <w:szCs w:val="28"/>
        </w:rPr>
        <w:t xml:space="preserve">3. </w:t>
      </w:r>
      <w:r w:rsidRPr="00D55DC6">
        <w:rPr>
          <w:rFonts w:eastAsia="標楷體"/>
          <w:b/>
          <w:sz w:val="28"/>
          <w:szCs w:val="28"/>
        </w:rPr>
        <w:t>經營管理：</w:t>
      </w:r>
      <w:r w:rsidRPr="00D55DC6">
        <w:rPr>
          <w:rFonts w:eastAsia="標楷體"/>
          <w:sz w:val="28"/>
          <w:szCs w:val="28"/>
        </w:rPr>
        <w:t>隨本區觀光建設逐漸施作完成，除將具自償性部分委外經營外，其餘則由管理處編擬經費與人力進行維管，相關監督輔導與管理維護之工作量均逐漸加重，故應檢討如何有效利用管理處人力與資源辦理本區之經營管理業務</w:t>
      </w:r>
      <w:r w:rsidRPr="00D55DC6">
        <w:rPr>
          <w:rFonts w:eastAsia="標楷體"/>
          <w:b/>
          <w:sz w:val="28"/>
          <w:szCs w:val="28"/>
        </w:rPr>
        <w:t>。</w:t>
      </w:r>
    </w:p>
    <w:p w:rsidR="00C40B73" w:rsidRPr="00D55DC6" w:rsidRDefault="00C40B73" w:rsidP="00C40B73">
      <w:pPr>
        <w:pStyle w:val="af2"/>
        <w:snapToGrid w:val="0"/>
        <w:spacing w:line="460" w:lineRule="exact"/>
        <w:ind w:leftChars="295" w:left="991" w:hangingChars="101" w:hanging="283"/>
        <w:jc w:val="both"/>
        <w:rPr>
          <w:rFonts w:eastAsia="標楷體"/>
          <w:b/>
          <w:sz w:val="28"/>
          <w:szCs w:val="28"/>
        </w:rPr>
      </w:pPr>
      <w:r w:rsidRPr="00D55DC6">
        <w:rPr>
          <w:rFonts w:eastAsia="標楷體"/>
          <w:b/>
          <w:sz w:val="28"/>
          <w:szCs w:val="28"/>
        </w:rPr>
        <w:t xml:space="preserve">4. </w:t>
      </w:r>
      <w:r w:rsidRPr="00D55DC6">
        <w:rPr>
          <w:rFonts w:eastAsia="標楷體"/>
          <w:b/>
          <w:sz w:val="28"/>
          <w:szCs w:val="28"/>
        </w:rPr>
        <w:t>產業發展：</w:t>
      </w:r>
      <w:r w:rsidRPr="00D55DC6">
        <w:rPr>
          <w:rFonts w:eastAsia="標楷體"/>
          <w:sz w:val="28"/>
          <w:szCs w:val="28"/>
        </w:rPr>
        <w:t>本區長期缺乏農漁產品加工業、小型製造業、手工藝品等觀光支援產業，相較其他離島地區，本區觀光旅遊深度及周邊配套資源更為受限；且在旅遊明顯區分淡旺季之情形下，直接影響投資意願。故本區應積極開發較不受上述因素影響之高端生態遊程，扶植相關產業，開拓自由行背包客或國際旅客等客源。</w:t>
      </w:r>
    </w:p>
    <w:p w:rsidR="00C40B73" w:rsidRPr="00D55DC6" w:rsidRDefault="00C40B73" w:rsidP="00C40B73">
      <w:pPr>
        <w:pStyle w:val="af2"/>
        <w:snapToGrid w:val="0"/>
        <w:spacing w:line="460" w:lineRule="exact"/>
        <w:ind w:leftChars="295" w:left="991" w:hangingChars="101" w:hanging="283"/>
        <w:jc w:val="both"/>
        <w:rPr>
          <w:rFonts w:eastAsia="標楷體"/>
          <w:b/>
          <w:sz w:val="28"/>
          <w:szCs w:val="28"/>
        </w:rPr>
      </w:pPr>
      <w:r w:rsidRPr="00D55DC6">
        <w:rPr>
          <w:rFonts w:eastAsia="標楷體"/>
          <w:b/>
          <w:sz w:val="28"/>
          <w:szCs w:val="28"/>
        </w:rPr>
        <w:t xml:space="preserve">5. </w:t>
      </w:r>
      <w:r w:rsidRPr="00D55DC6">
        <w:rPr>
          <w:rFonts w:eastAsia="標楷體"/>
          <w:b/>
          <w:sz w:val="28"/>
          <w:szCs w:val="28"/>
        </w:rPr>
        <w:t>財務自償：</w:t>
      </w:r>
      <w:r w:rsidRPr="00D55DC6">
        <w:rPr>
          <w:rFonts w:eastAsia="標楷體"/>
          <w:sz w:val="28"/>
          <w:szCs w:val="28"/>
        </w:rPr>
        <w:t>政府盱衡財務狀況，指示具財務收益之建設應積極提升計畫自償率。本風景區亦應強化創意及特色旅遊，以吸引國外旅客，研擬財務計畫，藉委外經營等方式開闢多元財源。</w:t>
      </w:r>
    </w:p>
    <w:p w:rsidR="00C40B73" w:rsidRPr="00D55DC6" w:rsidRDefault="00C40B73" w:rsidP="00C40B73">
      <w:pPr>
        <w:pStyle w:val="af2"/>
        <w:snapToGrid w:val="0"/>
        <w:spacing w:line="460" w:lineRule="exact"/>
        <w:ind w:leftChars="295" w:left="991" w:hangingChars="101" w:hanging="283"/>
        <w:jc w:val="both"/>
        <w:rPr>
          <w:rFonts w:eastAsia="標楷體"/>
          <w:sz w:val="28"/>
          <w:szCs w:val="28"/>
        </w:rPr>
      </w:pPr>
      <w:r w:rsidRPr="00D55DC6">
        <w:rPr>
          <w:rFonts w:eastAsia="標楷體"/>
          <w:b/>
          <w:sz w:val="28"/>
          <w:szCs w:val="28"/>
        </w:rPr>
        <w:t xml:space="preserve">6. </w:t>
      </w:r>
      <w:r w:rsidRPr="00D55DC6">
        <w:rPr>
          <w:rFonts w:eastAsia="標楷體"/>
          <w:b/>
          <w:sz w:val="28"/>
          <w:szCs w:val="28"/>
        </w:rPr>
        <w:t>聚落活化：</w:t>
      </w:r>
      <w:r w:rsidRPr="00D55DC6">
        <w:rPr>
          <w:rFonts w:eastAsia="標楷體"/>
          <w:sz w:val="28"/>
          <w:szCs w:val="28"/>
        </w:rPr>
        <w:t>馬祖地區之風俗民情乃至建築特色，與閩東文化屬同一血源，惟經濟發展下，原傳統閩東聚落風貌面臨保存之危機，管理處將持續推動「馬祖地區特色建築風貌改善補助案」，塑造馬祖地區傳統閩東建築聚落意象，營造社區聚落意識，發展富閩東文化特色之主題旅遊。</w:t>
      </w:r>
    </w:p>
    <w:p w:rsidR="002B0433" w:rsidRPr="00D55DC6" w:rsidRDefault="002B0433" w:rsidP="00C40B73">
      <w:pPr>
        <w:pStyle w:val="af2"/>
        <w:snapToGrid w:val="0"/>
        <w:spacing w:line="460" w:lineRule="exact"/>
        <w:ind w:leftChars="295" w:left="991" w:hangingChars="101" w:hanging="283"/>
        <w:jc w:val="both"/>
        <w:rPr>
          <w:rFonts w:eastAsia="標楷體"/>
          <w:b/>
          <w:sz w:val="28"/>
          <w:szCs w:val="28"/>
        </w:rPr>
      </w:pPr>
    </w:p>
    <w:p w:rsidR="00C40B73" w:rsidRPr="00D55DC6" w:rsidRDefault="00C40B73" w:rsidP="004865C1">
      <w:pPr>
        <w:pStyle w:val="af2"/>
        <w:numPr>
          <w:ilvl w:val="0"/>
          <w:numId w:val="214"/>
        </w:numPr>
        <w:snapToGrid w:val="0"/>
        <w:spacing w:line="460" w:lineRule="exact"/>
        <w:ind w:leftChars="0" w:left="993"/>
        <w:jc w:val="both"/>
        <w:rPr>
          <w:rFonts w:eastAsia="標楷體"/>
          <w:b/>
          <w:sz w:val="28"/>
          <w:szCs w:val="28"/>
        </w:rPr>
      </w:pPr>
      <w:r w:rsidRPr="00D55DC6">
        <w:rPr>
          <w:rFonts w:eastAsia="標楷體"/>
          <w:b/>
          <w:sz w:val="28"/>
          <w:szCs w:val="28"/>
        </w:rPr>
        <w:lastRenderedPageBreak/>
        <w:t>社會參與及政策溝通情形</w:t>
      </w:r>
    </w:p>
    <w:p w:rsidR="00C40B73" w:rsidRPr="00D55DC6" w:rsidRDefault="00C40B73" w:rsidP="00C40B73">
      <w:pPr>
        <w:snapToGrid w:val="0"/>
        <w:spacing w:line="460" w:lineRule="exact"/>
        <w:ind w:leftChars="295" w:left="991" w:hangingChars="101" w:hanging="283"/>
        <w:jc w:val="both"/>
        <w:rPr>
          <w:rFonts w:eastAsia="標楷體"/>
          <w:sz w:val="28"/>
          <w:szCs w:val="28"/>
        </w:rPr>
      </w:pPr>
      <w:r w:rsidRPr="00D55DC6">
        <w:rPr>
          <w:rFonts w:eastAsia="標楷體"/>
          <w:b/>
          <w:sz w:val="28"/>
          <w:szCs w:val="28"/>
        </w:rPr>
        <w:t xml:space="preserve">1. </w:t>
      </w:r>
      <w:r w:rsidRPr="00D55DC6">
        <w:rPr>
          <w:rFonts w:eastAsia="標楷體"/>
          <w:b/>
          <w:sz w:val="28"/>
          <w:szCs w:val="28"/>
        </w:rPr>
        <w:t>凝聚地方共識</w:t>
      </w:r>
      <w:r w:rsidRPr="00D55DC6">
        <w:rPr>
          <w:rFonts w:eastAsia="標楷體"/>
          <w:sz w:val="28"/>
          <w:szCs w:val="28"/>
        </w:rPr>
        <w:t>：管理處在辦理建設工程、執行活動之前，為廣納民意及降低衝突，視實際情形邀請地區民眾及民意代表召開地方說明會，除參與溝通工程內容外，並凝聚社區發展觀光共識，如於</w:t>
      </w:r>
      <w:r w:rsidRPr="00D55DC6">
        <w:rPr>
          <w:rFonts w:eastAsia="標楷體"/>
          <w:sz w:val="28"/>
          <w:szCs w:val="28"/>
        </w:rPr>
        <w:t>102</w:t>
      </w:r>
      <w:r w:rsidRPr="00D55DC6">
        <w:rPr>
          <w:rFonts w:eastAsia="標楷體"/>
          <w:sz w:val="28"/>
          <w:szCs w:val="28"/>
        </w:rPr>
        <w:t>年於辦理各鄉工程說明會，於</w:t>
      </w:r>
      <w:r w:rsidRPr="00D55DC6">
        <w:rPr>
          <w:rFonts w:eastAsia="標楷體"/>
          <w:sz w:val="28"/>
          <w:szCs w:val="28"/>
        </w:rPr>
        <w:t>103</w:t>
      </w:r>
      <w:r w:rsidRPr="00D55DC6">
        <w:rPr>
          <w:rFonts w:eastAsia="標楷體"/>
          <w:sz w:val="28"/>
          <w:szCs w:val="28"/>
        </w:rPr>
        <w:t>年針對偏遠之莒光鄉及東引鄉辦理「觀光建設座談會」。</w:t>
      </w:r>
    </w:p>
    <w:p w:rsidR="00C40B73" w:rsidRPr="00D55DC6" w:rsidRDefault="00C40B73" w:rsidP="00C40B73">
      <w:pPr>
        <w:snapToGrid w:val="0"/>
        <w:spacing w:line="460" w:lineRule="exact"/>
        <w:ind w:leftChars="295" w:left="991" w:hangingChars="101" w:hanging="283"/>
        <w:jc w:val="both"/>
        <w:rPr>
          <w:rFonts w:eastAsia="標楷體"/>
          <w:sz w:val="28"/>
          <w:szCs w:val="28"/>
        </w:rPr>
      </w:pPr>
      <w:r w:rsidRPr="00D55DC6">
        <w:rPr>
          <w:rFonts w:eastAsia="標楷體"/>
          <w:b/>
          <w:sz w:val="28"/>
          <w:szCs w:val="28"/>
        </w:rPr>
        <w:t xml:space="preserve">2. </w:t>
      </w:r>
      <w:r w:rsidRPr="00D55DC6">
        <w:rPr>
          <w:rFonts w:eastAsia="標楷體"/>
          <w:b/>
          <w:sz w:val="28"/>
          <w:szCs w:val="28"/>
        </w:rPr>
        <w:t>府處聯繫會議促進政策溝通：</w:t>
      </w:r>
      <w:r w:rsidRPr="00D55DC6">
        <w:rPr>
          <w:rFonts w:eastAsia="標楷體"/>
          <w:sz w:val="28"/>
          <w:szCs w:val="28"/>
        </w:rPr>
        <w:t>約</w:t>
      </w:r>
      <w:r w:rsidRPr="00D55DC6">
        <w:rPr>
          <w:rFonts w:eastAsia="標楷體"/>
          <w:sz w:val="28"/>
          <w:szCs w:val="28"/>
        </w:rPr>
        <w:t>1</w:t>
      </w:r>
      <w:r w:rsidRPr="00D55DC6">
        <w:rPr>
          <w:rFonts w:eastAsia="標楷體"/>
          <w:sz w:val="28"/>
          <w:szCs w:val="28"/>
        </w:rPr>
        <w:t>年</w:t>
      </w:r>
      <w:r w:rsidRPr="00D55DC6">
        <w:rPr>
          <w:rFonts w:eastAsia="標楷體"/>
          <w:sz w:val="28"/>
          <w:szCs w:val="28"/>
        </w:rPr>
        <w:t>2</w:t>
      </w:r>
      <w:r w:rsidRPr="00D55DC6">
        <w:rPr>
          <w:rFonts w:eastAsia="標楷體"/>
          <w:sz w:val="28"/>
          <w:szCs w:val="28"/>
        </w:rPr>
        <w:t>次與連江縣政府定期辦理「府處業務協調聯繫會議」或「觀光整體發展計畫推動研商會議」，另與縣府及軍方不定期就相關議題辦理協商、座談及現勘。</w:t>
      </w:r>
    </w:p>
    <w:p w:rsidR="00C40B73" w:rsidRPr="00D55DC6" w:rsidRDefault="00C40B73" w:rsidP="00C40B73">
      <w:pPr>
        <w:snapToGrid w:val="0"/>
        <w:spacing w:line="460" w:lineRule="exact"/>
        <w:ind w:leftChars="295" w:left="991" w:hangingChars="101" w:hanging="283"/>
        <w:jc w:val="both"/>
        <w:rPr>
          <w:rFonts w:eastAsia="標楷體"/>
          <w:sz w:val="28"/>
          <w:szCs w:val="28"/>
        </w:rPr>
      </w:pPr>
      <w:r w:rsidRPr="00D55DC6">
        <w:rPr>
          <w:rFonts w:eastAsia="標楷體"/>
          <w:b/>
          <w:sz w:val="28"/>
          <w:szCs w:val="28"/>
        </w:rPr>
        <w:t xml:space="preserve">3. </w:t>
      </w:r>
      <w:r w:rsidRPr="00D55DC6">
        <w:rPr>
          <w:rFonts w:eastAsia="標楷體"/>
          <w:b/>
          <w:sz w:val="28"/>
          <w:szCs w:val="28"/>
        </w:rPr>
        <w:t>運用媒體行銷推廣</w:t>
      </w:r>
      <w:r w:rsidRPr="00D55DC6">
        <w:rPr>
          <w:rFonts w:eastAsia="標楷體"/>
          <w:sz w:val="28"/>
          <w:szCs w:val="28"/>
        </w:rPr>
        <w:t>：管理處每年均邀請媒體參與春夏季媒體團，有效行銷馬祖旅遊，另於管理處網站、地方主要網路平台及地方新聞，主動傳達經營管理理念、各項活動資訊並針對民眾疑義部分立即加以說明。</w:t>
      </w:r>
    </w:p>
    <w:p w:rsidR="00C40B73" w:rsidRPr="00D55DC6" w:rsidRDefault="00C40B73" w:rsidP="00C40B73">
      <w:pPr>
        <w:snapToGrid w:val="0"/>
        <w:spacing w:line="460" w:lineRule="exact"/>
        <w:ind w:leftChars="295" w:left="991" w:hangingChars="101" w:hanging="283"/>
        <w:jc w:val="both"/>
        <w:rPr>
          <w:rFonts w:eastAsia="標楷體"/>
          <w:sz w:val="28"/>
          <w:szCs w:val="28"/>
        </w:rPr>
      </w:pPr>
      <w:r w:rsidRPr="00D55DC6">
        <w:rPr>
          <w:rFonts w:eastAsia="標楷體"/>
          <w:b/>
          <w:sz w:val="28"/>
          <w:szCs w:val="28"/>
        </w:rPr>
        <w:t xml:space="preserve">4. </w:t>
      </w:r>
      <w:r w:rsidRPr="00D55DC6">
        <w:rPr>
          <w:rFonts w:eastAsia="標楷體"/>
          <w:b/>
          <w:sz w:val="28"/>
          <w:szCs w:val="28"/>
        </w:rPr>
        <w:t>促參及出租作為引進民間參與</w:t>
      </w:r>
      <w:r w:rsidRPr="00D55DC6">
        <w:rPr>
          <w:rFonts w:eastAsia="標楷體"/>
          <w:sz w:val="28"/>
          <w:szCs w:val="28"/>
        </w:rPr>
        <w:t>：管理處目前已有</w:t>
      </w:r>
      <w:r w:rsidRPr="00D55DC6">
        <w:rPr>
          <w:rFonts w:eastAsia="標楷體"/>
          <w:sz w:val="28"/>
          <w:szCs w:val="28"/>
        </w:rPr>
        <w:t>3</w:t>
      </w:r>
      <w:r w:rsidRPr="00D55DC6">
        <w:rPr>
          <w:rFonts w:eastAsia="標楷體"/>
          <w:sz w:val="28"/>
          <w:szCs w:val="28"/>
        </w:rPr>
        <w:t>處設備及設施出租案；另針對有潛力之土地刻正辦理招商預備作業及促參前置作業，以引進民間資源、經營團隊與創意為目標，並依招商客源於台灣及馬祖等地區辦理招商說明會</w:t>
      </w:r>
      <w:r w:rsidRPr="00D55DC6">
        <w:rPr>
          <w:rFonts w:eastAsia="標楷體"/>
          <w:sz w:val="28"/>
          <w:szCs w:val="28"/>
        </w:rPr>
        <w:t>(</w:t>
      </w:r>
      <w:r w:rsidRPr="00D55DC6">
        <w:rPr>
          <w:rFonts w:eastAsia="標楷體"/>
          <w:sz w:val="28"/>
          <w:szCs w:val="28"/>
        </w:rPr>
        <w:t>如</w:t>
      </w:r>
      <w:r w:rsidRPr="00D55DC6">
        <w:rPr>
          <w:rFonts w:eastAsia="標楷體"/>
          <w:sz w:val="28"/>
          <w:szCs w:val="28"/>
        </w:rPr>
        <w:t>103</w:t>
      </w:r>
      <w:r w:rsidRPr="00D55DC6">
        <w:rPr>
          <w:rFonts w:eastAsia="標楷體"/>
          <w:sz w:val="28"/>
          <w:szCs w:val="28"/>
        </w:rPr>
        <w:t>年已於台灣辦理</w:t>
      </w:r>
      <w:r w:rsidRPr="00D55DC6">
        <w:rPr>
          <w:rFonts w:eastAsia="標楷體"/>
          <w:sz w:val="28"/>
          <w:szCs w:val="28"/>
        </w:rPr>
        <w:t>1</w:t>
      </w:r>
      <w:r w:rsidRPr="00D55DC6">
        <w:rPr>
          <w:rFonts w:eastAsia="標楷體"/>
          <w:sz w:val="28"/>
          <w:szCs w:val="28"/>
        </w:rPr>
        <w:t>場、馬祖辦理</w:t>
      </w:r>
      <w:r w:rsidRPr="00D55DC6">
        <w:rPr>
          <w:rFonts w:eastAsia="標楷體"/>
          <w:sz w:val="28"/>
          <w:szCs w:val="28"/>
        </w:rPr>
        <w:t>2</w:t>
      </w:r>
      <w:r w:rsidRPr="00D55DC6">
        <w:rPr>
          <w:rFonts w:eastAsia="標楷體"/>
          <w:sz w:val="28"/>
          <w:szCs w:val="28"/>
        </w:rPr>
        <w:t>場</w:t>
      </w:r>
      <w:r w:rsidRPr="00D55DC6">
        <w:rPr>
          <w:rFonts w:eastAsia="標楷體"/>
          <w:sz w:val="28"/>
          <w:szCs w:val="28"/>
        </w:rPr>
        <w:t>)</w:t>
      </w:r>
      <w:r w:rsidRPr="00D55DC6">
        <w:rPr>
          <w:rFonts w:eastAsia="標楷體"/>
          <w:sz w:val="28"/>
          <w:szCs w:val="28"/>
        </w:rPr>
        <w:t>。</w:t>
      </w:r>
    </w:p>
    <w:p w:rsidR="002B0433" w:rsidRPr="00D55DC6" w:rsidRDefault="002B0433" w:rsidP="00C40B73">
      <w:pPr>
        <w:snapToGrid w:val="0"/>
        <w:spacing w:line="460" w:lineRule="exact"/>
        <w:ind w:leftChars="295" w:left="991" w:hangingChars="101" w:hanging="283"/>
        <w:jc w:val="both"/>
        <w:rPr>
          <w:rFonts w:eastAsia="標楷體"/>
          <w:sz w:val="28"/>
          <w:szCs w:val="28"/>
        </w:rPr>
      </w:pPr>
    </w:p>
    <w:p w:rsidR="00C40B73" w:rsidRPr="00D55DC6" w:rsidRDefault="00C40B73" w:rsidP="00C40B73">
      <w:pPr>
        <w:pStyle w:val="a"/>
        <w:ind w:left="709" w:hanging="709"/>
        <w:rPr>
          <w:b/>
        </w:rPr>
      </w:pPr>
      <w:bookmarkStart w:id="181" w:name="_Toc407181739"/>
      <w:r w:rsidRPr="00D55DC6">
        <w:rPr>
          <w:b/>
        </w:rPr>
        <w:t>計畫目標</w:t>
      </w:r>
      <w:bookmarkEnd w:id="181"/>
    </w:p>
    <w:p w:rsidR="00C40B73" w:rsidRPr="00D55DC6" w:rsidRDefault="00C40B73" w:rsidP="004865C1">
      <w:pPr>
        <w:pStyle w:val="af2"/>
        <w:numPr>
          <w:ilvl w:val="0"/>
          <w:numId w:val="215"/>
        </w:numPr>
        <w:snapToGrid w:val="0"/>
        <w:spacing w:line="460" w:lineRule="exact"/>
        <w:ind w:leftChars="0"/>
        <w:jc w:val="both"/>
        <w:rPr>
          <w:rFonts w:eastAsia="標楷體"/>
          <w:b/>
          <w:sz w:val="28"/>
          <w:szCs w:val="28"/>
        </w:rPr>
      </w:pPr>
      <w:r w:rsidRPr="00D55DC6">
        <w:rPr>
          <w:rFonts w:eastAsia="標楷體"/>
          <w:b/>
          <w:sz w:val="28"/>
          <w:szCs w:val="28"/>
        </w:rPr>
        <w:t>目標說明</w:t>
      </w:r>
    </w:p>
    <w:p w:rsidR="00C40B73" w:rsidRPr="00D55DC6" w:rsidRDefault="00C40B73" w:rsidP="00C40B73">
      <w:pPr>
        <w:pStyle w:val="af2"/>
        <w:snapToGrid w:val="0"/>
        <w:spacing w:line="460" w:lineRule="exact"/>
        <w:ind w:leftChars="295" w:left="991" w:hangingChars="101" w:hanging="283"/>
        <w:jc w:val="both"/>
        <w:rPr>
          <w:rFonts w:eastAsia="標楷體"/>
          <w:sz w:val="28"/>
          <w:szCs w:val="28"/>
        </w:rPr>
      </w:pPr>
      <w:r w:rsidRPr="00D55DC6">
        <w:rPr>
          <w:rFonts w:eastAsia="標楷體"/>
          <w:b/>
          <w:sz w:val="28"/>
          <w:szCs w:val="28"/>
        </w:rPr>
        <w:t xml:space="preserve">1. </w:t>
      </w:r>
      <w:r w:rsidRPr="00D55DC6">
        <w:rPr>
          <w:rFonts w:eastAsia="標楷體"/>
          <w:b/>
          <w:sz w:val="28"/>
          <w:szCs w:val="28"/>
        </w:rPr>
        <w:t>發展願景</w:t>
      </w:r>
      <w:r w:rsidRPr="00D55DC6">
        <w:rPr>
          <w:rFonts w:eastAsia="標楷體"/>
          <w:sz w:val="28"/>
          <w:szCs w:val="28"/>
        </w:rPr>
        <w:t>：以「</w:t>
      </w:r>
      <w:r w:rsidRPr="00D55DC6">
        <w:rPr>
          <w:rFonts w:eastAsia="標楷體"/>
          <w:b/>
          <w:sz w:val="28"/>
          <w:szCs w:val="28"/>
        </w:rPr>
        <w:t>國際島嶼、幸福馬祖</w:t>
      </w:r>
      <w:r w:rsidRPr="00D55DC6">
        <w:rPr>
          <w:rFonts w:eastAsia="標楷體"/>
          <w:sz w:val="28"/>
          <w:szCs w:val="28"/>
        </w:rPr>
        <w:t>」為發展願景，並延續既有政策，發展特色及生態旅遊，打造具「生態景觀、軍事體驗、慢活</w:t>
      </w:r>
      <w:r w:rsidR="00EA38C5" w:rsidRPr="00D55DC6">
        <w:rPr>
          <w:rFonts w:eastAsia="標楷體"/>
          <w:sz w:val="28"/>
          <w:szCs w:val="28"/>
        </w:rPr>
        <w:t>度假</w:t>
      </w:r>
      <w:r w:rsidRPr="00D55DC6">
        <w:rPr>
          <w:rFonts w:eastAsia="標楷體"/>
          <w:sz w:val="28"/>
          <w:szCs w:val="28"/>
        </w:rPr>
        <w:t>、宗教禪修」觀光吸引力之離島觀光重鎮。</w:t>
      </w:r>
    </w:p>
    <w:p w:rsidR="00C40B73" w:rsidRPr="00D55DC6" w:rsidRDefault="00C40B73" w:rsidP="00C40B73">
      <w:pPr>
        <w:pStyle w:val="af2"/>
        <w:snapToGrid w:val="0"/>
        <w:spacing w:line="460" w:lineRule="exact"/>
        <w:ind w:leftChars="295" w:left="991" w:hangingChars="101" w:hanging="283"/>
        <w:jc w:val="both"/>
        <w:rPr>
          <w:rFonts w:eastAsia="標楷體"/>
          <w:sz w:val="28"/>
          <w:szCs w:val="28"/>
        </w:rPr>
      </w:pPr>
      <w:r w:rsidRPr="00D55DC6">
        <w:rPr>
          <w:rFonts w:eastAsia="標楷體"/>
          <w:b/>
          <w:sz w:val="28"/>
          <w:szCs w:val="28"/>
        </w:rPr>
        <w:t xml:space="preserve">2. </w:t>
      </w:r>
      <w:r w:rsidRPr="00D55DC6">
        <w:rPr>
          <w:rFonts w:eastAsia="標楷體"/>
          <w:b/>
          <w:sz w:val="28"/>
          <w:szCs w:val="28"/>
        </w:rPr>
        <w:t>發展國際觀光</w:t>
      </w:r>
      <w:r w:rsidRPr="00D55DC6">
        <w:rPr>
          <w:rFonts w:eastAsia="標楷體"/>
          <w:sz w:val="28"/>
          <w:szCs w:val="28"/>
        </w:rPr>
        <w:t>：串聯重要觀光景點成為帶狀遊憩系統，發展多樣化之海、陸、空遊憩活動與體驗設施；打造精緻、細緻化之高品質觀光</w:t>
      </w:r>
      <w:r w:rsidR="00EA38C5" w:rsidRPr="00D55DC6">
        <w:rPr>
          <w:rFonts w:eastAsia="標楷體"/>
          <w:sz w:val="28"/>
          <w:szCs w:val="28"/>
        </w:rPr>
        <w:t>度假</w:t>
      </w:r>
      <w:r w:rsidRPr="00D55DC6">
        <w:rPr>
          <w:rFonts w:eastAsia="標楷體"/>
          <w:sz w:val="28"/>
          <w:szCs w:val="28"/>
        </w:rPr>
        <w:t>勝地，配合目標客層建構具國際魅力之套裝遊程。</w:t>
      </w:r>
    </w:p>
    <w:p w:rsidR="00C40B73" w:rsidRPr="00D55DC6" w:rsidRDefault="00C40B73" w:rsidP="00C40B73">
      <w:pPr>
        <w:pStyle w:val="af2"/>
        <w:snapToGrid w:val="0"/>
        <w:spacing w:line="460" w:lineRule="exact"/>
        <w:ind w:leftChars="295" w:left="991" w:hangingChars="101" w:hanging="283"/>
        <w:jc w:val="both"/>
        <w:rPr>
          <w:rFonts w:eastAsia="標楷體"/>
          <w:b/>
          <w:sz w:val="28"/>
          <w:szCs w:val="28"/>
        </w:rPr>
      </w:pPr>
      <w:r w:rsidRPr="00D55DC6">
        <w:rPr>
          <w:rFonts w:eastAsia="標楷體"/>
          <w:b/>
          <w:sz w:val="28"/>
          <w:szCs w:val="28"/>
        </w:rPr>
        <w:t xml:space="preserve">3. </w:t>
      </w:r>
      <w:r w:rsidRPr="00D55DC6">
        <w:rPr>
          <w:rFonts w:eastAsia="標楷體"/>
          <w:b/>
          <w:sz w:val="28"/>
          <w:szCs w:val="28"/>
        </w:rPr>
        <w:t>推廣生態旅遊：</w:t>
      </w:r>
      <w:r w:rsidRPr="00D55DC6">
        <w:rPr>
          <w:rFonts w:eastAsia="標楷體"/>
          <w:sz w:val="28"/>
          <w:szCs w:val="28"/>
        </w:rPr>
        <w:t>配合本風景區獨特之鳥類、魚類、地質、濱海生物及其他各式動植物等生態資源，推動生態旅遊、落實環境教育、培養具環境意識之世界公民，以達永續觀光之目標。</w:t>
      </w:r>
    </w:p>
    <w:p w:rsidR="00C40B73" w:rsidRPr="00D55DC6" w:rsidRDefault="00C40B73" w:rsidP="00C40B73">
      <w:pPr>
        <w:pStyle w:val="af2"/>
        <w:snapToGrid w:val="0"/>
        <w:spacing w:line="460" w:lineRule="exact"/>
        <w:ind w:leftChars="295" w:left="991" w:hangingChars="101" w:hanging="283"/>
        <w:jc w:val="both"/>
        <w:rPr>
          <w:rFonts w:eastAsia="標楷體"/>
          <w:sz w:val="28"/>
          <w:szCs w:val="28"/>
        </w:rPr>
      </w:pPr>
      <w:r w:rsidRPr="00D55DC6">
        <w:rPr>
          <w:rFonts w:eastAsia="標楷體"/>
          <w:b/>
          <w:sz w:val="28"/>
          <w:szCs w:val="28"/>
        </w:rPr>
        <w:lastRenderedPageBreak/>
        <w:t xml:space="preserve">4. </w:t>
      </w:r>
      <w:r w:rsidRPr="00D55DC6">
        <w:rPr>
          <w:rFonts w:eastAsia="標楷體"/>
          <w:b/>
          <w:sz w:val="28"/>
          <w:szCs w:val="28"/>
        </w:rPr>
        <w:t>設施活化再利用</w:t>
      </w:r>
      <w:r w:rsidRPr="00D55DC6">
        <w:rPr>
          <w:rFonts w:eastAsia="標楷體"/>
          <w:sz w:val="28"/>
          <w:szCs w:val="28"/>
        </w:rPr>
        <w:t>：配合軍力結構調整撥用閒置營區，掌握環境資源，創造促參誘因，營造不同型態之生態型度假村、高品質旅館、購物選逛及餐飲等商業空間等，以達永續經營目標。</w:t>
      </w:r>
    </w:p>
    <w:p w:rsidR="00C40B73" w:rsidRPr="00D55DC6" w:rsidRDefault="00C40B73" w:rsidP="00C40B73">
      <w:pPr>
        <w:pStyle w:val="af2"/>
        <w:snapToGrid w:val="0"/>
        <w:spacing w:line="460" w:lineRule="exact"/>
        <w:ind w:leftChars="295" w:left="991" w:hangingChars="101" w:hanging="283"/>
        <w:jc w:val="both"/>
        <w:rPr>
          <w:rFonts w:eastAsia="標楷體"/>
          <w:sz w:val="28"/>
          <w:szCs w:val="28"/>
        </w:rPr>
      </w:pPr>
      <w:r w:rsidRPr="00D55DC6">
        <w:rPr>
          <w:rFonts w:eastAsia="標楷體"/>
          <w:b/>
          <w:sz w:val="28"/>
          <w:szCs w:val="28"/>
        </w:rPr>
        <w:t xml:space="preserve">5. </w:t>
      </w:r>
      <w:r w:rsidRPr="00D55DC6">
        <w:rPr>
          <w:rFonts w:eastAsia="標楷體"/>
          <w:b/>
          <w:sz w:val="28"/>
          <w:szCs w:val="28"/>
        </w:rPr>
        <w:t>優質經營管理</w:t>
      </w:r>
      <w:r w:rsidRPr="00D55DC6">
        <w:rPr>
          <w:rFonts w:eastAsia="標楷體"/>
          <w:sz w:val="28"/>
          <w:szCs w:val="28"/>
        </w:rPr>
        <w:t>：以愛心、用心、結合專業全面提升體觀光服務品質，漸進提升遊客人次與服務滿意度。</w:t>
      </w:r>
    </w:p>
    <w:p w:rsidR="00C40B73" w:rsidRPr="00D55DC6" w:rsidRDefault="00C40B73" w:rsidP="00C40B73">
      <w:pPr>
        <w:pStyle w:val="af2"/>
        <w:snapToGrid w:val="0"/>
        <w:spacing w:line="460" w:lineRule="exact"/>
        <w:ind w:leftChars="295" w:left="991" w:hangingChars="101" w:hanging="283"/>
        <w:jc w:val="both"/>
        <w:rPr>
          <w:rFonts w:eastAsia="標楷體"/>
          <w:sz w:val="28"/>
          <w:szCs w:val="28"/>
        </w:rPr>
      </w:pPr>
      <w:r w:rsidRPr="00D55DC6">
        <w:rPr>
          <w:rFonts w:eastAsia="標楷體"/>
          <w:b/>
          <w:sz w:val="28"/>
          <w:szCs w:val="28"/>
        </w:rPr>
        <w:t xml:space="preserve">6. </w:t>
      </w:r>
      <w:r w:rsidRPr="00D55DC6">
        <w:rPr>
          <w:rFonts w:eastAsia="標楷體"/>
          <w:b/>
          <w:sz w:val="28"/>
          <w:szCs w:val="28"/>
        </w:rPr>
        <w:t>遊客停留天數增加</w:t>
      </w:r>
      <w:r w:rsidRPr="00D55DC6">
        <w:rPr>
          <w:rFonts w:eastAsia="標楷體"/>
          <w:sz w:val="28"/>
          <w:szCs w:val="28"/>
        </w:rPr>
        <w:t>：遊客停留天數由</w:t>
      </w:r>
      <w:r w:rsidRPr="00D55DC6">
        <w:rPr>
          <w:rFonts w:eastAsia="標楷體"/>
          <w:sz w:val="28"/>
          <w:szCs w:val="28"/>
        </w:rPr>
        <w:t>102</w:t>
      </w:r>
      <w:r w:rsidRPr="00D55DC6">
        <w:rPr>
          <w:rFonts w:eastAsia="標楷體"/>
          <w:sz w:val="28"/>
          <w:szCs w:val="28"/>
        </w:rPr>
        <w:t>年</w:t>
      </w:r>
      <w:r w:rsidRPr="00D55DC6">
        <w:rPr>
          <w:rFonts w:eastAsia="標楷體"/>
          <w:sz w:val="28"/>
          <w:szCs w:val="28"/>
        </w:rPr>
        <w:t>3.33</w:t>
      </w:r>
      <w:r w:rsidRPr="00D55DC6">
        <w:rPr>
          <w:rFonts w:eastAsia="標楷體"/>
          <w:sz w:val="28"/>
          <w:szCs w:val="28"/>
        </w:rPr>
        <w:t>天提升至</w:t>
      </w:r>
      <w:r w:rsidRPr="00D55DC6">
        <w:rPr>
          <w:rFonts w:eastAsia="標楷體"/>
          <w:sz w:val="28"/>
          <w:szCs w:val="28"/>
        </w:rPr>
        <w:t>108</w:t>
      </w:r>
      <w:r w:rsidRPr="00D55DC6">
        <w:rPr>
          <w:rFonts w:eastAsia="標楷體"/>
          <w:sz w:val="28"/>
          <w:szCs w:val="28"/>
        </w:rPr>
        <w:t>年</w:t>
      </w:r>
      <w:r w:rsidRPr="00D55DC6">
        <w:rPr>
          <w:rFonts w:eastAsia="標楷體"/>
          <w:sz w:val="28"/>
          <w:szCs w:val="28"/>
        </w:rPr>
        <w:t>3.45</w:t>
      </w:r>
      <w:r w:rsidRPr="00D55DC6">
        <w:rPr>
          <w:rFonts w:eastAsia="標楷體"/>
          <w:sz w:val="28"/>
          <w:szCs w:val="28"/>
        </w:rPr>
        <w:t>天為目標。</w:t>
      </w:r>
    </w:p>
    <w:p w:rsidR="00C40B73" w:rsidRPr="00D55DC6" w:rsidRDefault="00C40B73" w:rsidP="00C40B73">
      <w:pPr>
        <w:pStyle w:val="af2"/>
        <w:snapToGrid w:val="0"/>
        <w:spacing w:line="460" w:lineRule="exact"/>
        <w:ind w:leftChars="295" w:left="991" w:hangingChars="101" w:hanging="283"/>
        <w:jc w:val="both"/>
        <w:rPr>
          <w:rFonts w:eastAsia="標楷體"/>
          <w:kern w:val="0"/>
          <w:sz w:val="28"/>
          <w:szCs w:val="28"/>
        </w:rPr>
      </w:pPr>
      <w:r w:rsidRPr="00D55DC6">
        <w:rPr>
          <w:rFonts w:eastAsia="標楷體"/>
          <w:b/>
          <w:sz w:val="28"/>
          <w:szCs w:val="28"/>
        </w:rPr>
        <w:t xml:space="preserve">7. </w:t>
      </w:r>
      <w:r w:rsidRPr="00D55DC6">
        <w:rPr>
          <w:rFonts w:eastAsia="標楷體"/>
          <w:b/>
          <w:sz w:val="28"/>
          <w:szCs w:val="28"/>
        </w:rPr>
        <w:t>遊客人數成長</w:t>
      </w:r>
      <w:r w:rsidRPr="00D55DC6">
        <w:rPr>
          <w:rFonts w:eastAsia="標楷體"/>
          <w:sz w:val="28"/>
          <w:szCs w:val="28"/>
        </w:rPr>
        <w:t>：遊客人數由</w:t>
      </w:r>
      <w:r w:rsidRPr="00D55DC6">
        <w:rPr>
          <w:rFonts w:eastAsia="標楷體"/>
          <w:sz w:val="28"/>
          <w:szCs w:val="28"/>
        </w:rPr>
        <w:t>102</w:t>
      </w:r>
      <w:r w:rsidRPr="00D55DC6">
        <w:rPr>
          <w:rFonts w:eastAsia="標楷體"/>
          <w:sz w:val="28"/>
          <w:szCs w:val="28"/>
        </w:rPr>
        <w:t>年</w:t>
      </w:r>
      <w:r w:rsidRPr="00D55DC6">
        <w:rPr>
          <w:rFonts w:eastAsia="標楷體"/>
          <w:sz w:val="28"/>
          <w:szCs w:val="28"/>
        </w:rPr>
        <w:t>10.67</w:t>
      </w:r>
      <w:r w:rsidRPr="00D55DC6">
        <w:rPr>
          <w:rFonts w:eastAsia="標楷體"/>
          <w:sz w:val="28"/>
          <w:szCs w:val="28"/>
        </w:rPr>
        <w:t>萬人次提升至</w:t>
      </w:r>
      <w:r w:rsidRPr="00D55DC6">
        <w:rPr>
          <w:rFonts w:eastAsia="標楷體"/>
          <w:sz w:val="28"/>
          <w:szCs w:val="28"/>
        </w:rPr>
        <w:t>108</w:t>
      </w:r>
      <w:r w:rsidRPr="00D55DC6">
        <w:rPr>
          <w:rFonts w:eastAsia="標楷體"/>
          <w:sz w:val="28"/>
          <w:szCs w:val="28"/>
        </w:rPr>
        <w:t>年</w:t>
      </w:r>
      <w:r w:rsidRPr="00D55DC6">
        <w:rPr>
          <w:rFonts w:eastAsia="標楷體"/>
          <w:sz w:val="28"/>
          <w:szCs w:val="28"/>
        </w:rPr>
        <w:t>11.3</w:t>
      </w:r>
      <w:r w:rsidRPr="00D55DC6">
        <w:rPr>
          <w:rFonts w:eastAsia="標楷體"/>
          <w:sz w:val="28"/>
          <w:szCs w:val="28"/>
        </w:rPr>
        <w:t>萬人次</w:t>
      </w:r>
      <w:r w:rsidRPr="00D55DC6">
        <w:rPr>
          <w:rFonts w:eastAsia="標楷體"/>
          <w:kern w:val="0"/>
          <w:sz w:val="28"/>
          <w:szCs w:val="28"/>
        </w:rPr>
        <w:t>。</w:t>
      </w:r>
    </w:p>
    <w:p w:rsidR="002B0433" w:rsidRPr="00D55DC6" w:rsidRDefault="002B0433" w:rsidP="00C40B73">
      <w:pPr>
        <w:pStyle w:val="af2"/>
        <w:snapToGrid w:val="0"/>
        <w:spacing w:line="460" w:lineRule="exact"/>
        <w:ind w:leftChars="295" w:left="991" w:hangingChars="101" w:hanging="283"/>
        <w:jc w:val="both"/>
        <w:rPr>
          <w:rFonts w:eastAsia="標楷體"/>
          <w:sz w:val="28"/>
          <w:szCs w:val="28"/>
        </w:rPr>
      </w:pPr>
    </w:p>
    <w:p w:rsidR="00C40B73" w:rsidRPr="00D55DC6" w:rsidRDefault="00C40B73" w:rsidP="004865C1">
      <w:pPr>
        <w:pStyle w:val="af2"/>
        <w:numPr>
          <w:ilvl w:val="0"/>
          <w:numId w:val="215"/>
        </w:numPr>
        <w:snapToGrid w:val="0"/>
        <w:spacing w:line="460" w:lineRule="exact"/>
        <w:ind w:leftChars="0" w:left="993"/>
        <w:jc w:val="both"/>
        <w:rPr>
          <w:rFonts w:eastAsia="標楷體"/>
          <w:b/>
          <w:sz w:val="28"/>
          <w:szCs w:val="28"/>
        </w:rPr>
      </w:pPr>
      <w:r w:rsidRPr="00D55DC6">
        <w:rPr>
          <w:rFonts w:eastAsia="標楷體"/>
          <w:b/>
          <w:sz w:val="28"/>
          <w:szCs w:val="28"/>
        </w:rPr>
        <w:t>達成目標之限制</w:t>
      </w:r>
    </w:p>
    <w:p w:rsidR="00C40B73" w:rsidRPr="00D55DC6" w:rsidRDefault="00C40B73" w:rsidP="00C40B73">
      <w:pPr>
        <w:pStyle w:val="af2"/>
        <w:snapToGrid w:val="0"/>
        <w:spacing w:line="460" w:lineRule="exact"/>
        <w:ind w:leftChars="295" w:left="991" w:hangingChars="101" w:hanging="283"/>
        <w:jc w:val="both"/>
        <w:rPr>
          <w:rFonts w:eastAsia="標楷體"/>
          <w:b/>
          <w:sz w:val="28"/>
          <w:szCs w:val="28"/>
        </w:rPr>
      </w:pPr>
      <w:r w:rsidRPr="00D55DC6">
        <w:rPr>
          <w:rFonts w:eastAsia="標楷體"/>
          <w:b/>
          <w:sz w:val="28"/>
          <w:szCs w:val="28"/>
        </w:rPr>
        <w:t xml:space="preserve">1. </w:t>
      </w:r>
      <w:r w:rsidRPr="00D55DC6">
        <w:rPr>
          <w:rFonts w:eastAsia="標楷體"/>
          <w:b/>
          <w:sz w:val="28"/>
          <w:szCs w:val="28"/>
        </w:rPr>
        <w:t>空間限制：</w:t>
      </w:r>
      <w:r w:rsidRPr="00D55DC6">
        <w:rPr>
          <w:rFonts w:eastAsia="標楷體"/>
          <w:sz w:val="28"/>
          <w:szCs w:val="28"/>
        </w:rPr>
        <w:t>本風景區陸域面積僅</w:t>
      </w:r>
      <w:r w:rsidRPr="00D55DC6">
        <w:rPr>
          <w:rFonts w:eastAsia="標楷體"/>
          <w:sz w:val="28"/>
          <w:szCs w:val="28"/>
        </w:rPr>
        <w:t>29.6</w:t>
      </w:r>
      <w:r w:rsidRPr="00D55DC6">
        <w:rPr>
          <w:rFonts w:eastAsia="標楷體"/>
          <w:sz w:val="28"/>
          <w:szCs w:val="28"/>
        </w:rPr>
        <w:t>平方公里，且島嶼分散，居民約</w:t>
      </w:r>
      <w:r w:rsidRPr="00D55DC6">
        <w:rPr>
          <w:rFonts w:eastAsia="標楷體"/>
          <w:sz w:val="28"/>
          <w:szCs w:val="28"/>
        </w:rPr>
        <w:t>1</w:t>
      </w:r>
      <w:r w:rsidRPr="00D55DC6">
        <w:rPr>
          <w:rFonts w:eastAsia="標楷體"/>
          <w:sz w:val="28"/>
          <w:szCs w:val="28"/>
        </w:rPr>
        <w:t>萬</w:t>
      </w:r>
      <w:r w:rsidRPr="00D55DC6">
        <w:rPr>
          <w:rFonts w:eastAsia="標楷體"/>
          <w:sz w:val="28"/>
          <w:szCs w:val="28"/>
        </w:rPr>
        <w:t>2</w:t>
      </w:r>
      <w:r w:rsidRPr="00D55DC6">
        <w:rPr>
          <w:rFonts w:eastAsia="標楷體"/>
          <w:sz w:val="28"/>
          <w:szCs w:val="28"/>
        </w:rPr>
        <w:t>千人，全區仍有</w:t>
      </w:r>
      <w:r w:rsidRPr="00D55DC6">
        <w:rPr>
          <w:rFonts w:eastAsia="標楷體"/>
          <w:sz w:val="28"/>
          <w:szCs w:val="28"/>
        </w:rPr>
        <w:t>42%</w:t>
      </w:r>
      <w:r w:rsidRPr="00D55DC6">
        <w:rPr>
          <w:rFonts w:eastAsia="標楷體"/>
          <w:sz w:val="28"/>
          <w:szCs w:val="28"/>
        </w:rPr>
        <w:t>之未登錄土地，上述因素產生市場規模小、土地使用限制多、可用平地有限等客觀限制。另陡峻地形對發展無障礙旅遊則形成不友善之環境。又本區位處大陸閩江河口外海，海水透明度低，不適合發展水下活動，且大量海漂垃圾增加海灘維護難度。</w:t>
      </w:r>
    </w:p>
    <w:p w:rsidR="00C40B73" w:rsidRPr="00D55DC6" w:rsidRDefault="00C40B73" w:rsidP="00C40B73">
      <w:pPr>
        <w:pStyle w:val="af2"/>
        <w:snapToGrid w:val="0"/>
        <w:spacing w:line="460" w:lineRule="exact"/>
        <w:ind w:leftChars="295" w:left="991" w:hangingChars="101" w:hanging="283"/>
        <w:jc w:val="both"/>
        <w:rPr>
          <w:rFonts w:eastAsia="標楷體"/>
          <w:b/>
          <w:sz w:val="28"/>
          <w:szCs w:val="28"/>
        </w:rPr>
      </w:pPr>
      <w:r w:rsidRPr="00D55DC6">
        <w:rPr>
          <w:rFonts w:eastAsia="標楷體"/>
          <w:b/>
          <w:sz w:val="28"/>
          <w:szCs w:val="28"/>
        </w:rPr>
        <w:t xml:space="preserve">2. </w:t>
      </w:r>
      <w:r w:rsidRPr="00D55DC6">
        <w:rPr>
          <w:rFonts w:eastAsia="標楷體"/>
          <w:b/>
          <w:sz w:val="28"/>
          <w:szCs w:val="28"/>
        </w:rPr>
        <w:t>氣候限制：</w:t>
      </w:r>
      <w:r w:rsidRPr="00D55DC6">
        <w:rPr>
          <w:rFonts w:eastAsia="標楷體"/>
          <w:sz w:val="28"/>
          <w:szCs w:val="28"/>
        </w:rPr>
        <w:t>本區春季屢因濃霧影響航班正常起降、冬季又因東北季風強烈致使海象不佳，影響旅客輸送、運補物資及工程供料。另相較台灣本島，本區位處較高緯度，冬季冷冽因素造成明顯的旅遊淡季。</w:t>
      </w:r>
    </w:p>
    <w:p w:rsidR="00C40B73" w:rsidRPr="00D55DC6" w:rsidRDefault="00C40B73" w:rsidP="00C40B73">
      <w:pPr>
        <w:pStyle w:val="af2"/>
        <w:snapToGrid w:val="0"/>
        <w:spacing w:line="460" w:lineRule="exact"/>
        <w:ind w:leftChars="295" w:left="991" w:hangingChars="101" w:hanging="283"/>
        <w:jc w:val="both"/>
        <w:rPr>
          <w:rFonts w:eastAsia="標楷體"/>
          <w:sz w:val="28"/>
          <w:szCs w:val="28"/>
        </w:rPr>
      </w:pPr>
      <w:r w:rsidRPr="00D55DC6">
        <w:rPr>
          <w:rFonts w:eastAsia="標楷體"/>
          <w:b/>
          <w:sz w:val="28"/>
          <w:szCs w:val="28"/>
        </w:rPr>
        <w:t xml:space="preserve">3. </w:t>
      </w:r>
      <w:r w:rsidRPr="00D55DC6">
        <w:rPr>
          <w:rFonts w:eastAsia="標楷體"/>
          <w:b/>
          <w:sz w:val="28"/>
          <w:szCs w:val="28"/>
        </w:rPr>
        <w:t>交通限制：</w:t>
      </w:r>
      <w:r w:rsidRPr="00D55DC6">
        <w:rPr>
          <w:rFonts w:eastAsia="標楷體"/>
          <w:sz w:val="28"/>
          <w:szCs w:val="28"/>
        </w:rPr>
        <w:t>除上述因素影響海空運輸外，因馬尾</w:t>
      </w:r>
      <w:r w:rsidRPr="00D55DC6">
        <w:rPr>
          <w:rFonts w:eastAsia="標楷體"/>
          <w:sz w:val="28"/>
          <w:szCs w:val="28"/>
        </w:rPr>
        <w:t>-</w:t>
      </w:r>
      <w:r w:rsidRPr="00D55DC6">
        <w:rPr>
          <w:rFonts w:eastAsia="標楷體"/>
          <w:sz w:val="28"/>
          <w:szCs w:val="28"/>
        </w:rPr>
        <w:t>南竿間航程長達</w:t>
      </w:r>
      <w:r w:rsidRPr="00D55DC6">
        <w:rPr>
          <w:rFonts w:eastAsia="標楷體"/>
          <w:sz w:val="28"/>
          <w:szCs w:val="28"/>
        </w:rPr>
        <w:t>90</w:t>
      </w:r>
      <w:r w:rsidRPr="00D55DC6">
        <w:rPr>
          <w:rFonts w:eastAsia="標楷體"/>
          <w:sz w:val="28"/>
          <w:szCs w:val="28"/>
        </w:rPr>
        <w:t>分鐘，且易受天候影響，夏季又因台馬間班機一位難求，造成小三通快速萎縮。另近年來島內機動車數量明顯成長，雖仍於原道路計畫之運量限制中，壅塞情形尚不明顯，然因地形限制，未來拓寬空間嚴重受限，亦造成後續發展之限制。</w:t>
      </w:r>
    </w:p>
    <w:p w:rsidR="002B0433" w:rsidRPr="00D55DC6" w:rsidRDefault="002B0433" w:rsidP="00C40B73">
      <w:pPr>
        <w:pStyle w:val="af2"/>
        <w:snapToGrid w:val="0"/>
        <w:spacing w:line="460" w:lineRule="exact"/>
        <w:ind w:leftChars="295" w:left="991" w:hangingChars="101" w:hanging="283"/>
        <w:jc w:val="both"/>
        <w:rPr>
          <w:rFonts w:eastAsia="標楷體"/>
          <w:b/>
          <w:sz w:val="28"/>
          <w:szCs w:val="28"/>
        </w:rPr>
      </w:pPr>
    </w:p>
    <w:p w:rsidR="002B0433" w:rsidRPr="00D55DC6" w:rsidRDefault="002B0433" w:rsidP="00C40B73">
      <w:pPr>
        <w:pStyle w:val="af2"/>
        <w:snapToGrid w:val="0"/>
        <w:spacing w:line="460" w:lineRule="exact"/>
        <w:ind w:leftChars="295" w:left="991" w:hangingChars="101" w:hanging="283"/>
        <w:jc w:val="both"/>
        <w:rPr>
          <w:rFonts w:eastAsia="標楷體"/>
          <w:b/>
          <w:sz w:val="28"/>
          <w:szCs w:val="28"/>
        </w:rPr>
      </w:pPr>
    </w:p>
    <w:p w:rsidR="00AE58E7" w:rsidRPr="00D55DC6" w:rsidRDefault="00AE58E7" w:rsidP="00C40B73">
      <w:pPr>
        <w:pStyle w:val="af2"/>
        <w:snapToGrid w:val="0"/>
        <w:spacing w:line="460" w:lineRule="exact"/>
        <w:ind w:leftChars="295" w:left="991" w:hangingChars="101" w:hanging="283"/>
        <w:jc w:val="both"/>
        <w:rPr>
          <w:rFonts w:eastAsia="標楷體"/>
          <w:b/>
          <w:sz w:val="28"/>
          <w:szCs w:val="28"/>
        </w:rPr>
      </w:pPr>
    </w:p>
    <w:p w:rsidR="002B0433" w:rsidRPr="00D55DC6" w:rsidRDefault="002B0433" w:rsidP="00C40B73">
      <w:pPr>
        <w:pStyle w:val="af2"/>
        <w:snapToGrid w:val="0"/>
        <w:spacing w:line="460" w:lineRule="exact"/>
        <w:ind w:leftChars="295" w:left="991" w:hangingChars="101" w:hanging="283"/>
        <w:jc w:val="both"/>
        <w:rPr>
          <w:rFonts w:eastAsia="標楷體"/>
          <w:b/>
          <w:sz w:val="28"/>
          <w:szCs w:val="28"/>
        </w:rPr>
      </w:pPr>
    </w:p>
    <w:p w:rsidR="00C40B73" w:rsidRPr="00D55DC6" w:rsidRDefault="00C40B73" w:rsidP="004865C1">
      <w:pPr>
        <w:pStyle w:val="af2"/>
        <w:numPr>
          <w:ilvl w:val="0"/>
          <w:numId w:val="215"/>
        </w:numPr>
        <w:snapToGrid w:val="0"/>
        <w:spacing w:line="460" w:lineRule="exact"/>
        <w:ind w:leftChars="0" w:left="993"/>
        <w:jc w:val="both"/>
        <w:rPr>
          <w:rFonts w:eastAsia="標楷體"/>
          <w:b/>
          <w:sz w:val="28"/>
          <w:szCs w:val="28"/>
        </w:rPr>
      </w:pPr>
      <w:r w:rsidRPr="00D55DC6">
        <w:rPr>
          <w:rFonts w:eastAsia="標楷體"/>
          <w:b/>
          <w:sz w:val="28"/>
          <w:szCs w:val="28"/>
        </w:rPr>
        <w:lastRenderedPageBreak/>
        <w:t>績效指標、衡量標準及目標值</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5"/>
        <w:gridCol w:w="2410"/>
        <w:gridCol w:w="1007"/>
        <w:gridCol w:w="977"/>
        <w:gridCol w:w="851"/>
        <w:gridCol w:w="850"/>
        <w:gridCol w:w="992"/>
        <w:gridCol w:w="851"/>
      </w:tblGrid>
      <w:tr w:rsidR="001D0350" w:rsidRPr="00D55DC6" w:rsidTr="00C676DD">
        <w:trPr>
          <w:trHeight w:val="345"/>
          <w:tblHeader/>
        </w:trPr>
        <w:tc>
          <w:tcPr>
            <w:tcW w:w="425" w:type="dxa"/>
            <w:vMerge w:val="restart"/>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項目</w:t>
            </w:r>
          </w:p>
        </w:tc>
        <w:tc>
          <w:tcPr>
            <w:tcW w:w="2410" w:type="dxa"/>
            <w:vMerge w:val="restart"/>
            <w:vAlign w:val="center"/>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衡量指標</w:t>
            </w:r>
          </w:p>
        </w:tc>
        <w:tc>
          <w:tcPr>
            <w:tcW w:w="1984" w:type="dxa"/>
            <w:gridSpan w:val="2"/>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衡量基準</w:t>
            </w:r>
          </w:p>
        </w:tc>
        <w:tc>
          <w:tcPr>
            <w:tcW w:w="3544" w:type="dxa"/>
            <w:gridSpan w:val="4"/>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預期目標值</w:t>
            </w:r>
          </w:p>
        </w:tc>
      </w:tr>
      <w:tr w:rsidR="001D0350" w:rsidRPr="00D55DC6" w:rsidTr="00C676DD">
        <w:trPr>
          <w:trHeight w:val="436"/>
          <w:tblHeader/>
        </w:trPr>
        <w:tc>
          <w:tcPr>
            <w:tcW w:w="425" w:type="dxa"/>
            <w:vMerge/>
          </w:tcPr>
          <w:p w:rsidR="00C40B73" w:rsidRPr="00D55DC6" w:rsidRDefault="00C40B73" w:rsidP="00C676DD">
            <w:pPr>
              <w:widowControl/>
              <w:spacing w:line="400" w:lineRule="exact"/>
              <w:jc w:val="center"/>
              <w:rPr>
                <w:rFonts w:eastAsia="標楷體"/>
                <w:kern w:val="0"/>
                <w:sz w:val="28"/>
                <w:szCs w:val="28"/>
              </w:rPr>
            </w:pPr>
          </w:p>
        </w:tc>
        <w:tc>
          <w:tcPr>
            <w:tcW w:w="2410" w:type="dxa"/>
            <w:vMerge/>
            <w:vAlign w:val="center"/>
          </w:tcPr>
          <w:p w:rsidR="00C40B73" w:rsidRPr="00D55DC6" w:rsidRDefault="00C40B73" w:rsidP="00C676DD">
            <w:pPr>
              <w:widowControl/>
              <w:spacing w:line="400" w:lineRule="exact"/>
              <w:rPr>
                <w:rFonts w:eastAsia="標楷體"/>
                <w:kern w:val="0"/>
                <w:sz w:val="28"/>
                <w:szCs w:val="28"/>
              </w:rPr>
            </w:pPr>
          </w:p>
        </w:tc>
        <w:tc>
          <w:tcPr>
            <w:tcW w:w="1007" w:type="dxa"/>
          </w:tcPr>
          <w:p w:rsidR="00C40B73" w:rsidRPr="00D55DC6" w:rsidRDefault="00C40B73" w:rsidP="00F85718">
            <w:pPr>
              <w:widowControl/>
              <w:spacing w:line="0" w:lineRule="atLeast"/>
              <w:jc w:val="center"/>
              <w:rPr>
                <w:rFonts w:eastAsia="標楷體"/>
                <w:kern w:val="0"/>
                <w:sz w:val="22"/>
                <w:szCs w:val="22"/>
              </w:rPr>
            </w:pPr>
            <w:r w:rsidRPr="00D55DC6">
              <w:rPr>
                <w:rFonts w:eastAsia="標楷體"/>
                <w:kern w:val="0"/>
                <w:sz w:val="28"/>
                <w:szCs w:val="28"/>
              </w:rPr>
              <w:t>102</w:t>
            </w:r>
            <w:r w:rsidRPr="00D55DC6">
              <w:rPr>
                <w:rFonts w:eastAsia="標楷體"/>
                <w:kern w:val="0"/>
                <w:sz w:val="28"/>
                <w:szCs w:val="28"/>
              </w:rPr>
              <w:t>年</w:t>
            </w:r>
          </w:p>
        </w:tc>
        <w:tc>
          <w:tcPr>
            <w:tcW w:w="977" w:type="dxa"/>
          </w:tcPr>
          <w:p w:rsidR="00C40B73" w:rsidRPr="00D55DC6" w:rsidRDefault="00C40B73" w:rsidP="00F85718">
            <w:pPr>
              <w:widowControl/>
              <w:spacing w:line="0" w:lineRule="atLeast"/>
              <w:jc w:val="center"/>
              <w:rPr>
                <w:rFonts w:eastAsia="標楷體"/>
                <w:kern w:val="0"/>
                <w:sz w:val="22"/>
                <w:szCs w:val="22"/>
              </w:rPr>
            </w:pPr>
            <w:r w:rsidRPr="00D55DC6">
              <w:rPr>
                <w:rFonts w:eastAsia="標楷體"/>
                <w:kern w:val="0"/>
                <w:sz w:val="28"/>
                <w:szCs w:val="28"/>
              </w:rPr>
              <w:t>103</w:t>
            </w:r>
            <w:r w:rsidRPr="00D55DC6">
              <w:rPr>
                <w:rFonts w:eastAsia="標楷體"/>
                <w:kern w:val="0"/>
                <w:sz w:val="28"/>
                <w:szCs w:val="28"/>
              </w:rPr>
              <w:t>年</w:t>
            </w:r>
          </w:p>
        </w:tc>
        <w:tc>
          <w:tcPr>
            <w:tcW w:w="851" w:type="dxa"/>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105</w:t>
            </w:r>
            <w:r w:rsidRPr="00D55DC6">
              <w:rPr>
                <w:rFonts w:eastAsia="標楷體"/>
                <w:kern w:val="0"/>
                <w:sz w:val="28"/>
                <w:szCs w:val="28"/>
              </w:rPr>
              <w:t>年</w:t>
            </w:r>
          </w:p>
        </w:tc>
        <w:tc>
          <w:tcPr>
            <w:tcW w:w="850" w:type="dxa"/>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106</w:t>
            </w:r>
            <w:r w:rsidRPr="00D55DC6">
              <w:rPr>
                <w:rFonts w:eastAsia="標楷體"/>
                <w:kern w:val="0"/>
                <w:sz w:val="28"/>
                <w:szCs w:val="28"/>
              </w:rPr>
              <w:t>年</w:t>
            </w:r>
          </w:p>
        </w:tc>
        <w:tc>
          <w:tcPr>
            <w:tcW w:w="992" w:type="dxa"/>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107</w:t>
            </w:r>
            <w:r w:rsidRPr="00D55DC6">
              <w:rPr>
                <w:rFonts w:eastAsia="標楷體"/>
                <w:kern w:val="0"/>
                <w:sz w:val="28"/>
                <w:szCs w:val="28"/>
              </w:rPr>
              <w:t>年</w:t>
            </w:r>
          </w:p>
        </w:tc>
        <w:tc>
          <w:tcPr>
            <w:tcW w:w="851" w:type="dxa"/>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108</w:t>
            </w:r>
            <w:r w:rsidRPr="00D55DC6">
              <w:rPr>
                <w:rFonts w:eastAsia="標楷體"/>
                <w:kern w:val="0"/>
                <w:sz w:val="28"/>
                <w:szCs w:val="28"/>
              </w:rPr>
              <w:t>年</w:t>
            </w:r>
          </w:p>
        </w:tc>
      </w:tr>
      <w:tr w:rsidR="001D0350" w:rsidRPr="00D55DC6" w:rsidTr="00C676DD">
        <w:trPr>
          <w:trHeight w:val="675"/>
        </w:trPr>
        <w:tc>
          <w:tcPr>
            <w:tcW w:w="425" w:type="dxa"/>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1</w:t>
            </w:r>
          </w:p>
        </w:tc>
        <w:tc>
          <w:tcPr>
            <w:tcW w:w="2410" w:type="dxa"/>
          </w:tcPr>
          <w:p w:rsidR="00C40B73" w:rsidRPr="00D55DC6" w:rsidRDefault="00C40B73" w:rsidP="00C676DD">
            <w:pPr>
              <w:widowControl/>
              <w:spacing w:line="400" w:lineRule="exact"/>
              <w:jc w:val="both"/>
              <w:rPr>
                <w:rFonts w:eastAsia="標楷體"/>
                <w:kern w:val="0"/>
                <w:sz w:val="28"/>
                <w:szCs w:val="28"/>
              </w:rPr>
            </w:pPr>
            <w:r w:rsidRPr="00D55DC6">
              <w:rPr>
                <w:rFonts w:eastAsia="標楷體"/>
                <w:kern w:val="0"/>
                <w:sz w:val="28"/>
                <w:szCs w:val="28"/>
              </w:rPr>
              <w:t>重要觀光景點建設完成數</w:t>
            </w:r>
            <w:r w:rsidRPr="00D55DC6">
              <w:rPr>
                <w:rFonts w:eastAsia="標楷體"/>
                <w:kern w:val="0"/>
                <w:sz w:val="28"/>
                <w:szCs w:val="28"/>
              </w:rPr>
              <w:t>(</w:t>
            </w:r>
            <w:r w:rsidRPr="00D55DC6">
              <w:rPr>
                <w:rFonts w:eastAsia="標楷體"/>
                <w:kern w:val="0"/>
                <w:sz w:val="28"/>
                <w:szCs w:val="28"/>
              </w:rPr>
              <w:t>處</w:t>
            </w:r>
            <w:r w:rsidRPr="00D55DC6">
              <w:rPr>
                <w:rFonts w:eastAsia="標楷體"/>
                <w:kern w:val="0"/>
                <w:sz w:val="28"/>
                <w:szCs w:val="28"/>
              </w:rPr>
              <w:t>)</w:t>
            </w:r>
          </w:p>
        </w:tc>
        <w:tc>
          <w:tcPr>
            <w:tcW w:w="1007" w:type="dxa"/>
            <w:vAlign w:val="center"/>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5</w:t>
            </w:r>
          </w:p>
        </w:tc>
        <w:tc>
          <w:tcPr>
            <w:tcW w:w="977" w:type="dxa"/>
            <w:vAlign w:val="center"/>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5</w:t>
            </w:r>
          </w:p>
        </w:tc>
        <w:tc>
          <w:tcPr>
            <w:tcW w:w="851" w:type="dxa"/>
            <w:vAlign w:val="center"/>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5</w:t>
            </w:r>
          </w:p>
        </w:tc>
        <w:tc>
          <w:tcPr>
            <w:tcW w:w="850" w:type="dxa"/>
            <w:vAlign w:val="center"/>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5</w:t>
            </w:r>
          </w:p>
        </w:tc>
        <w:tc>
          <w:tcPr>
            <w:tcW w:w="992" w:type="dxa"/>
            <w:vAlign w:val="center"/>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5</w:t>
            </w:r>
          </w:p>
        </w:tc>
        <w:tc>
          <w:tcPr>
            <w:tcW w:w="851" w:type="dxa"/>
            <w:vAlign w:val="center"/>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5</w:t>
            </w:r>
          </w:p>
        </w:tc>
      </w:tr>
      <w:tr w:rsidR="001D0350" w:rsidRPr="00D55DC6" w:rsidTr="00875AC9">
        <w:trPr>
          <w:trHeight w:val="675"/>
        </w:trPr>
        <w:tc>
          <w:tcPr>
            <w:tcW w:w="425" w:type="dxa"/>
            <w:vAlign w:val="center"/>
          </w:tcPr>
          <w:p w:rsidR="00C40B73" w:rsidRPr="00D55DC6" w:rsidRDefault="00C40B73" w:rsidP="00875AC9">
            <w:pPr>
              <w:widowControl/>
              <w:spacing w:line="400" w:lineRule="exact"/>
              <w:jc w:val="center"/>
              <w:rPr>
                <w:rFonts w:eastAsia="標楷體"/>
                <w:kern w:val="0"/>
                <w:sz w:val="28"/>
                <w:szCs w:val="28"/>
              </w:rPr>
            </w:pPr>
            <w:r w:rsidRPr="00D55DC6">
              <w:rPr>
                <w:rFonts w:eastAsia="標楷體"/>
                <w:kern w:val="0"/>
                <w:sz w:val="28"/>
                <w:szCs w:val="28"/>
              </w:rPr>
              <w:t>2</w:t>
            </w:r>
          </w:p>
        </w:tc>
        <w:tc>
          <w:tcPr>
            <w:tcW w:w="2410" w:type="dxa"/>
            <w:vAlign w:val="center"/>
          </w:tcPr>
          <w:p w:rsidR="00C40B73" w:rsidRPr="00D55DC6" w:rsidRDefault="00C40B73" w:rsidP="00875AC9">
            <w:pPr>
              <w:widowControl/>
              <w:spacing w:line="400" w:lineRule="exact"/>
              <w:jc w:val="both"/>
              <w:rPr>
                <w:rFonts w:eastAsia="標楷體"/>
                <w:kern w:val="0"/>
                <w:sz w:val="28"/>
                <w:szCs w:val="28"/>
              </w:rPr>
            </w:pPr>
            <w:r w:rsidRPr="00D55DC6">
              <w:rPr>
                <w:rFonts w:eastAsia="標楷體"/>
                <w:kern w:val="0"/>
                <w:sz w:val="28"/>
                <w:szCs w:val="28"/>
              </w:rPr>
              <w:t>參訪國家風景區遊客人數</w:t>
            </w:r>
            <w:r w:rsidRPr="00D55DC6">
              <w:rPr>
                <w:rFonts w:eastAsia="標楷體"/>
                <w:kern w:val="0"/>
                <w:sz w:val="28"/>
                <w:szCs w:val="28"/>
              </w:rPr>
              <w:t>(</w:t>
            </w:r>
            <w:r w:rsidRPr="00D55DC6">
              <w:rPr>
                <w:rFonts w:eastAsia="標楷體"/>
                <w:kern w:val="0"/>
                <w:sz w:val="28"/>
                <w:szCs w:val="28"/>
              </w:rPr>
              <w:t>萬人</w:t>
            </w:r>
            <w:r w:rsidRPr="00D55DC6">
              <w:rPr>
                <w:rFonts w:eastAsia="標楷體"/>
                <w:kern w:val="0"/>
                <w:sz w:val="28"/>
                <w:szCs w:val="28"/>
              </w:rPr>
              <w:t xml:space="preserve">) </w:t>
            </w:r>
          </w:p>
        </w:tc>
        <w:tc>
          <w:tcPr>
            <w:tcW w:w="1007" w:type="dxa"/>
            <w:vAlign w:val="center"/>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10.67</w:t>
            </w:r>
          </w:p>
        </w:tc>
        <w:tc>
          <w:tcPr>
            <w:tcW w:w="977" w:type="dxa"/>
            <w:vAlign w:val="center"/>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10.8</w:t>
            </w:r>
          </w:p>
        </w:tc>
        <w:tc>
          <w:tcPr>
            <w:tcW w:w="851" w:type="dxa"/>
            <w:vAlign w:val="center"/>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11</w:t>
            </w:r>
          </w:p>
        </w:tc>
        <w:tc>
          <w:tcPr>
            <w:tcW w:w="850" w:type="dxa"/>
            <w:vAlign w:val="center"/>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11.1</w:t>
            </w:r>
          </w:p>
        </w:tc>
        <w:tc>
          <w:tcPr>
            <w:tcW w:w="992" w:type="dxa"/>
            <w:vAlign w:val="center"/>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11.2</w:t>
            </w:r>
          </w:p>
        </w:tc>
        <w:tc>
          <w:tcPr>
            <w:tcW w:w="851" w:type="dxa"/>
            <w:vAlign w:val="center"/>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11.3</w:t>
            </w:r>
          </w:p>
        </w:tc>
      </w:tr>
      <w:tr w:rsidR="001D0350" w:rsidRPr="00D55DC6" w:rsidTr="00875AC9">
        <w:trPr>
          <w:trHeight w:val="675"/>
        </w:trPr>
        <w:tc>
          <w:tcPr>
            <w:tcW w:w="425" w:type="dxa"/>
            <w:vAlign w:val="center"/>
          </w:tcPr>
          <w:p w:rsidR="00C40B73" w:rsidRPr="00D55DC6" w:rsidRDefault="00C40B73" w:rsidP="00875AC9">
            <w:pPr>
              <w:widowControl/>
              <w:spacing w:line="400" w:lineRule="exact"/>
              <w:jc w:val="center"/>
              <w:rPr>
                <w:rFonts w:eastAsia="標楷體"/>
                <w:kern w:val="0"/>
                <w:sz w:val="28"/>
                <w:szCs w:val="28"/>
              </w:rPr>
            </w:pPr>
            <w:r w:rsidRPr="00D55DC6">
              <w:rPr>
                <w:rFonts w:eastAsia="標楷體"/>
                <w:kern w:val="0"/>
                <w:sz w:val="28"/>
                <w:szCs w:val="28"/>
              </w:rPr>
              <w:t>3</w:t>
            </w:r>
          </w:p>
        </w:tc>
        <w:tc>
          <w:tcPr>
            <w:tcW w:w="2410" w:type="dxa"/>
            <w:vAlign w:val="center"/>
          </w:tcPr>
          <w:p w:rsidR="00C40B73" w:rsidRPr="00D55DC6" w:rsidRDefault="00C40B73" w:rsidP="00875AC9">
            <w:pPr>
              <w:widowControl/>
              <w:spacing w:line="400" w:lineRule="exact"/>
              <w:jc w:val="both"/>
              <w:rPr>
                <w:rFonts w:eastAsia="標楷體"/>
                <w:kern w:val="0"/>
                <w:sz w:val="28"/>
                <w:szCs w:val="28"/>
              </w:rPr>
            </w:pPr>
            <w:r w:rsidRPr="00D55DC6">
              <w:rPr>
                <w:rFonts w:eastAsia="標楷體"/>
                <w:kern w:val="0"/>
                <w:sz w:val="28"/>
                <w:szCs w:val="28"/>
              </w:rPr>
              <w:t>觀光產值</w:t>
            </w:r>
            <w:r w:rsidRPr="00D55DC6">
              <w:rPr>
                <w:rFonts w:eastAsia="標楷體"/>
                <w:kern w:val="0"/>
                <w:sz w:val="28"/>
                <w:szCs w:val="28"/>
              </w:rPr>
              <w:t>(</w:t>
            </w:r>
            <w:r w:rsidRPr="00D55DC6">
              <w:rPr>
                <w:rFonts w:eastAsia="標楷體"/>
                <w:kern w:val="0"/>
                <w:sz w:val="28"/>
                <w:szCs w:val="28"/>
              </w:rPr>
              <w:t>億元</w:t>
            </w:r>
            <w:r w:rsidRPr="00D55DC6">
              <w:rPr>
                <w:rFonts w:eastAsia="標楷體"/>
                <w:kern w:val="0"/>
                <w:sz w:val="28"/>
                <w:szCs w:val="28"/>
              </w:rPr>
              <w:t>)</w:t>
            </w:r>
          </w:p>
        </w:tc>
        <w:tc>
          <w:tcPr>
            <w:tcW w:w="1007" w:type="dxa"/>
            <w:vAlign w:val="center"/>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10.25</w:t>
            </w:r>
          </w:p>
        </w:tc>
        <w:tc>
          <w:tcPr>
            <w:tcW w:w="977" w:type="dxa"/>
            <w:vAlign w:val="center"/>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10.56</w:t>
            </w:r>
          </w:p>
        </w:tc>
        <w:tc>
          <w:tcPr>
            <w:tcW w:w="851" w:type="dxa"/>
            <w:vAlign w:val="center"/>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11.19</w:t>
            </w:r>
          </w:p>
        </w:tc>
        <w:tc>
          <w:tcPr>
            <w:tcW w:w="850" w:type="dxa"/>
            <w:vAlign w:val="center"/>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11.51</w:t>
            </w:r>
          </w:p>
        </w:tc>
        <w:tc>
          <w:tcPr>
            <w:tcW w:w="992" w:type="dxa"/>
            <w:vAlign w:val="center"/>
          </w:tcPr>
          <w:p w:rsidR="00C40B73" w:rsidRPr="00D55DC6" w:rsidRDefault="00C40B73" w:rsidP="00C676DD">
            <w:pPr>
              <w:widowControl/>
              <w:spacing w:line="400" w:lineRule="exact"/>
              <w:jc w:val="center"/>
              <w:rPr>
                <w:rFonts w:eastAsia="標楷體"/>
                <w:kern w:val="0"/>
                <w:sz w:val="28"/>
                <w:szCs w:val="28"/>
              </w:rPr>
            </w:pPr>
            <w:r w:rsidRPr="00D55DC6">
              <w:rPr>
                <w:rFonts w:eastAsia="標楷體"/>
                <w:kern w:val="0"/>
                <w:sz w:val="28"/>
                <w:szCs w:val="28"/>
              </w:rPr>
              <w:t>11.83</w:t>
            </w:r>
          </w:p>
        </w:tc>
        <w:tc>
          <w:tcPr>
            <w:tcW w:w="851" w:type="dxa"/>
            <w:vAlign w:val="center"/>
          </w:tcPr>
          <w:p w:rsidR="00C40B73" w:rsidRPr="00D55DC6" w:rsidRDefault="00C40B73" w:rsidP="00C676DD">
            <w:pPr>
              <w:spacing w:line="400" w:lineRule="exact"/>
              <w:jc w:val="center"/>
              <w:rPr>
                <w:rFonts w:eastAsia="標楷體"/>
                <w:sz w:val="28"/>
                <w:szCs w:val="28"/>
              </w:rPr>
            </w:pPr>
            <w:r w:rsidRPr="00D55DC6">
              <w:rPr>
                <w:rFonts w:eastAsia="標楷體"/>
                <w:sz w:val="28"/>
                <w:szCs w:val="28"/>
              </w:rPr>
              <w:t>12.16</w:t>
            </w:r>
          </w:p>
        </w:tc>
      </w:tr>
      <w:tr w:rsidR="001D0350" w:rsidRPr="00D55DC6" w:rsidTr="00875AC9">
        <w:trPr>
          <w:trHeight w:val="675"/>
        </w:trPr>
        <w:tc>
          <w:tcPr>
            <w:tcW w:w="425" w:type="dxa"/>
            <w:vAlign w:val="center"/>
          </w:tcPr>
          <w:p w:rsidR="002B0433" w:rsidRPr="00D55DC6" w:rsidRDefault="002B0433" w:rsidP="00875AC9">
            <w:pPr>
              <w:widowControl/>
              <w:spacing w:line="400" w:lineRule="exact"/>
              <w:jc w:val="center"/>
              <w:rPr>
                <w:rFonts w:eastAsia="標楷體"/>
                <w:kern w:val="0"/>
                <w:sz w:val="28"/>
                <w:szCs w:val="28"/>
              </w:rPr>
            </w:pPr>
            <w:r w:rsidRPr="00D55DC6">
              <w:rPr>
                <w:rFonts w:eastAsia="標楷體"/>
                <w:kern w:val="0"/>
                <w:sz w:val="28"/>
                <w:szCs w:val="28"/>
              </w:rPr>
              <w:t>4</w:t>
            </w:r>
          </w:p>
        </w:tc>
        <w:tc>
          <w:tcPr>
            <w:tcW w:w="2410" w:type="dxa"/>
            <w:vAlign w:val="center"/>
          </w:tcPr>
          <w:p w:rsidR="002B0433" w:rsidRPr="00D55DC6" w:rsidRDefault="002B0433" w:rsidP="00875AC9">
            <w:pPr>
              <w:widowControl/>
              <w:spacing w:line="400" w:lineRule="exact"/>
              <w:jc w:val="both"/>
              <w:rPr>
                <w:rFonts w:eastAsia="標楷體"/>
                <w:kern w:val="0"/>
                <w:sz w:val="28"/>
                <w:szCs w:val="28"/>
              </w:rPr>
            </w:pPr>
            <w:r w:rsidRPr="00D55DC6">
              <w:rPr>
                <w:rFonts w:eastAsia="標楷體"/>
                <w:kern w:val="0"/>
                <w:sz w:val="28"/>
                <w:szCs w:val="28"/>
              </w:rPr>
              <w:t>性別友善設施完成數</w:t>
            </w:r>
            <w:r w:rsidRPr="00D55DC6">
              <w:rPr>
                <w:rFonts w:eastAsia="標楷體"/>
                <w:kern w:val="0"/>
                <w:sz w:val="28"/>
                <w:szCs w:val="28"/>
              </w:rPr>
              <w:t>(</w:t>
            </w:r>
            <w:r w:rsidRPr="00D55DC6">
              <w:rPr>
                <w:rFonts w:eastAsia="標楷體"/>
                <w:kern w:val="0"/>
                <w:sz w:val="28"/>
                <w:szCs w:val="28"/>
              </w:rPr>
              <w:t>處</w:t>
            </w:r>
            <w:r w:rsidRPr="00D55DC6">
              <w:rPr>
                <w:rFonts w:eastAsia="標楷體"/>
                <w:kern w:val="0"/>
                <w:sz w:val="28"/>
                <w:szCs w:val="28"/>
              </w:rPr>
              <w:t>)</w:t>
            </w:r>
          </w:p>
        </w:tc>
        <w:tc>
          <w:tcPr>
            <w:tcW w:w="1007" w:type="dxa"/>
            <w:vAlign w:val="center"/>
          </w:tcPr>
          <w:p w:rsidR="002B0433" w:rsidRPr="00D55DC6" w:rsidRDefault="00E852D0" w:rsidP="00C676DD">
            <w:pPr>
              <w:widowControl/>
              <w:spacing w:line="400" w:lineRule="exact"/>
              <w:jc w:val="center"/>
              <w:rPr>
                <w:rFonts w:eastAsia="標楷體"/>
                <w:kern w:val="0"/>
                <w:sz w:val="28"/>
                <w:szCs w:val="28"/>
              </w:rPr>
            </w:pPr>
            <w:r w:rsidRPr="00D55DC6">
              <w:rPr>
                <w:rFonts w:eastAsia="標楷體"/>
                <w:kern w:val="0"/>
                <w:sz w:val="28"/>
                <w:szCs w:val="28"/>
              </w:rPr>
              <w:t>1</w:t>
            </w:r>
          </w:p>
        </w:tc>
        <w:tc>
          <w:tcPr>
            <w:tcW w:w="977" w:type="dxa"/>
            <w:vAlign w:val="center"/>
          </w:tcPr>
          <w:p w:rsidR="002B0433" w:rsidRPr="00D55DC6" w:rsidRDefault="00E852D0" w:rsidP="00C676DD">
            <w:pPr>
              <w:widowControl/>
              <w:spacing w:line="400" w:lineRule="exact"/>
              <w:jc w:val="center"/>
              <w:rPr>
                <w:rFonts w:eastAsia="標楷體"/>
                <w:kern w:val="0"/>
                <w:sz w:val="28"/>
                <w:szCs w:val="28"/>
              </w:rPr>
            </w:pPr>
            <w:r w:rsidRPr="00D55DC6">
              <w:rPr>
                <w:rFonts w:eastAsia="標楷體"/>
                <w:kern w:val="0"/>
                <w:sz w:val="28"/>
                <w:szCs w:val="28"/>
              </w:rPr>
              <w:t>1</w:t>
            </w:r>
          </w:p>
        </w:tc>
        <w:tc>
          <w:tcPr>
            <w:tcW w:w="851" w:type="dxa"/>
            <w:vAlign w:val="center"/>
          </w:tcPr>
          <w:p w:rsidR="002B0433" w:rsidRPr="00D55DC6" w:rsidRDefault="00E852D0" w:rsidP="00C676DD">
            <w:pPr>
              <w:widowControl/>
              <w:spacing w:line="400" w:lineRule="exact"/>
              <w:jc w:val="center"/>
              <w:rPr>
                <w:rFonts w:eastAsia="標楷體"/>
                <w:kern w:val="0"/>
                <w:sz w:val="28"/>
                <w:szCs w:val="28"/>
              </w:rPr>
            </w:pPr>
            <w:r w:rsidRPr="00D55DC6">
              <w:rPr>
                <w:rFonts w:eastAsia="標楷體"/>
                <w:kern w:val="0"/>
                <w:sz w:val="28"/>
                <w:szCs w:val="28"/>
              </w:rPr>
              <w:t>1</w:t>
            </w:r>
          </w:p>
        </w:tc>
        <w:tc>
          <w:tcPr>
            <w:tcW w:w="850" w:type="dxa"/>
            <w:vAlign w:val="center"/>
          </w:tcPr>
          <w:p w:rsidR="002B0433" w:rsidRPr="00D55DC6" w:rsidRDefault="00E852D0" w:rsidP="00C676DD">
            <w:pPr>
              <w:widowControl/>
              <w:spacing w:line="400" w:lineRule="exact"/>
              <w:jc w:val="center"/>
              <w:rPr>
                <w:rFonts w:eastAsia="標楷體"/>
                <w:kern w:val="0"/>
                <w:sz w:val="28"/>
                <w:szCs w:val="28"/>
              </w:rPr>
            </w:pPr>
            <w:r w:rsidRPr="00D55DC6">
              <w:rPr>
                <w:rFonts w:eastAsia="標楷體"/>
                <w:kern w:val="0"/>
                <w:sz w:val="28"/>
                <w:szCs w:val="28"/>
              </w:rPr>
              <w:t>1</w:t>
            </w:r>
          </w:p>
        </w:tc>
        <w:tc>
          <w:tcPr>
            <w:tcW w:w="992" w:type="dxa"/>
            <w:vAlign w:val="center"/>
          </w:tcPr>
          <w:p w:rsidR="002B0433" w:rsidRPr="00D55DC6" w:rsidRDefault="00E852D0" w:rsidP="00C676DD">
            <w:pPr>
              <w:widowControl/>
              <w:spacing w:line="400" w:lineRule="exact"/>
              <w:jc w:val="center"/>
              <w:rPr>
                <w:rFonts w:eastAsia="標楷體"/>
                <w:kern w:val="0"/>
                <w:sz w:val="28"/>
                <w:szCs w:val="28"/>
              </w:rPr>
            </w:pPr>
            <w:r w:rsidRPr="00D55DC6">
              <w:rPr>
                <w:rFonts w:eastAsia="標楷體"/>
                <w:kern w:val="0"/>
                <w:sz w:val="28"/>
                <w:szCs w:val="28"/>
              </w:rPr>
              <w:t>1</w:t>
            </w:r>
          </w:p>
        </w:tc>
        <w:tc>
          <w:tcPr>
            <w:tcW w:w="851" w:type="dxa"/>
            <w:vAlign w:val="center"/>
          </w:tcPr>
          <w:p w:rsidR="002B0433" w:rsidRPr="00D55DC6" w:rsidRDefault="00E852D0" w:rsidP="00C676DD">
            <w:pPr>
              <w:spacing w:line="400" w:lineRule="exact"/>
              <w:jc w:val="center"/>
              <w:rPr>
                <w:rFonts w:eastAsia="標楷體"/>
                <w:sz w:val="28"/>
                <w:szCs w:val="28"/>
              </w:rPr>
            </w:pPr>
            <w:r w:rsidRPr="00D55DC6">
              <w:rPr>
                <w:rFonts w:eastAsia="標楷體"/>
                <w:sz w:val="28"/>
                <w:szCs w:val="28"/>
              </w:rPr>
              <w:t>1</w:t>
            </w:r>
          </w:p>
        </w:tc>
      </w:tr>
      <w:tr w:rsidR="002F5D4E" w:rsidRPr="00D55DC6" w:rsidTr="00875AC9">
        <w:trPr>
          <w:trHeight w:val="675"/>
        </w:trPr>
        <w:tc>
          <w:tcPr>
            <w:tcW w:w="425" w:type="dxa"/>
            <w:vAlign w:val="center"/>
          </w:tcPr>
          <w:p w:rsidR="002F5D4E" w:rsidRPr="00D55DC6" w:rsidRDefault="002F5D4E" w:rsidP="00875AC9">
            <w:pPr>
              <w:widowControl/>
              <w:spacing w:line="400" w:lineRule="exact"/>
              <w:jc w:val="center"/>
              <w:rPr>
                <w:rFonts w:eastAsia="標楷體"/>
                <w:kern w:val="0"/>
                <w:sz w:val="28"/>
                <w:szCs w:val="28"/>
              </w:rPr>
            </w:pPr>
            <w:r w:rsidRPr="00D55DC6">
              <w:rPr>
                <w:rFonts w:eastAsia="標楷體"/>
                <w:kern w:val="0"/>
                <w:sz w:val="28"/>
                <w:szCs w:val="28"/>
              </w:rPr>
              <w:t>5</w:t>
            </w:r>
          </w:p>
        </w:tc>
        <w:tc>
          <w:tcPr>
            <w:tcW w:w="2410" w:type="dxa"/>
            <w:vAlign w:val="center"/>
          </w:tcPr>
          <w:p w:rsidR="002F5D4E" w:rsidRPr="00D55DC6" w:rsidRDefault="002F5D4E" w:rsidP="00875AC9">
            <w:pPr>
              <w:widowControl/>
              <w:spacing w:line="400" w:lineRule="exact"/>
              <w:jc w:val="both"/>
              <w:rPr>
                <w:rFonts w:eastAsia="標楷體"/>
                <w:kern w:val="0"/>
                <w:sz w:val="28"/>
                <w:szCs w:val="28"/>
              </w:rPr>
            </w:pPr>
            <w:r w:rsidRPr="00D55DC6">
              <w:rPr>
                <w:rFonts w:eastAsia="標楷體"/>
                <w:kern w:val="0"/>
                <w:sz w:val="28"/>
                <w:szCs w:val="28"/>
              </w:rPr>
              <w:t>轄區經管設施公共意外責任險確</w:t>
            </w:r>
            <w:r w:rsidR="005C51C2" w:rsidRPr="00D55DC6">
              <w:rPr>
                <w:rFonts w:eastAsia="標楷體" w:hint="eastAsia"/>
                <w:kern w:val="0"/>
                <w:sz w:val="28"/>
                <w:szCs w:val="28"/>
              </w:rPr>
              <w:t>定</w:t>
            </w:r>
            <w:r w:rsidRPr="00D55DC6">
              <w:rPr>
                <w:rFonts w:eastAsia="標楷體"/>
                <w:kern w:val="0"/>
                <w:sz w:val="28"/>
                <w:szCs w:val="28"/>
              </w:rPr>
              <w:t>理賠件數上限（件）</w:t>
            </w:r>
          </w:p>
        </w:tc>
        <w:tc>
          <w:tcPr>
            <w:tcW w:w="1007" w:type="dxa"/>
            <w:vAlign w:val="center"/>
          </w:tcPr>
          <w:p w:rsidR="002F5D4E" w:rsidRPr="00D55DC6" w:rsidRDefault="002F5D4E">
            <w:pPr>
              <w:jc w:val="center"/>
            </w:pPr>
            <w:r w:rsidRPr="00D55DC6">
              <w:rPr>
                <w:rFonts w:hint="eastAsia"/>
              </w:rPr>
              <w:t>-</w:t>
            </w:r>
          </w:p>
        </w:tc>
        <w:tc>
          <w:tcPr>
            <w:tcW w:w="977" w:type="dxa"/>
            <w:vAlign w:val="center"/>
          </w:tcPr>
          <w:p w:rsidR="002F5D4E" w:rsidRPr="00D55DC6" w:rsidRDefault="002F5D4E">
            <w:pPr>
              <w:jc w:val="center"/>
            </w:pPr>
            <w:r w:rsidRPr="00D55DC6">
              <w:rPr>
                <w:rFonts w:hint="eastAsia"/>
              </w:rPr>
              <w:t>-</w:t>
            </w:r>
          </w:p>
        </w:tc>
        <w:tc>
          <w:tcPr>
            <w:tcW w:w="851" w:type="dxa"/>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2</w:t>
            </w:r>
          </w:p>
        </w:tc>
        <w:tc>
          <w:tcPr>
            <w:tcW w:w="850" w:type="dxa"/>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2</w:t>
            </w:r>
          </w:p>
        </w:tc>
        <w:tc>
          <w:tcPr>
            <w:tcW w:w="992" w:type="dxa"/>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2</w:t>
            </w:r>
          </w:p>
        </w:tc>
        <w:tc>
          <w:tcPr>
            <w:tcW w:w="851" w:type="dxa"/>
            <w:vAlign w:val="center"/>
          </w:tcPr>
          <w:p w:rsidR="002F5D4E" w:rsidRPr="00D55DC6" w:rsidRDefault="002F5D4E">
            <w:pPr>
              <w:jc w:val="center"/>
              <w:rPr>
                <w:rFonts w:ascii="新細明體" w:hAnsi="新細明體" w:cs="新細明體"/>
                <w:sz w:val="28"/>
                <w:szCs w:val="28"/>
              </w:rPr>
            </w:pPr>
            <w:r w:rsidRPr="00D55DC6">
              <w:rPr>
                <w:rFonts w:hint="eastAsia"/>
                <w:sz w:val="28"/>
                <w:szCs w:val="28"/>
              </w:rPr>
              <w:t>2</w:t>
            </w:r>
          </w:p>
        </w:tc>
      </w:tr>
    </w:tbl>
    <w:p w:rsidR="002B0433" w:rsidRPr="00D55DC6" w:rsidRDefault="002B0433" w:rsidP="002B0433">
      <w:pPr>
        <w:pStyle w:val="a"/>
        <w:numPr>
          <w:ilvl w:val="0"/>
          <w:numId w:val="0"/>
        </w:numPr>
        <w:ind w:left="709"/>
        <w:rPr>
          <w:b/>
        </w:rPr>
      </w:pPr>
      <w:bookmarkStart w:id="182" w:name="_Toc407181740"/>
    </w:p>
    <w:p w:rsidR="002B0433" w:rsidRPr="00D55DC6" w:rsidRDefault="002B0433" w:rsidP="002B0433">
      <w:pPr>
        <w:pStyle w:val="a"/>
        <w:numPr>
          <w:ilvl w:val="0"/>
          <w:numId w:val="0"/>
        </w:numPr>
        <w:ind w:left="709"/>
        <w:rPr>
          <w:b/>
        </w:rPr>
      </w:pPr>
    </w:p>
    <w:p w:rsidR="00C40B73" w:rsidRPr="00D55DC6" w:rsidRDefault="00C40B73" w:rsidP="00C40B73">
      <w:pPr>
        <w:pStyle w:val="a"/>
        <w:ind w:left="709" w:hanging="709"/>
        <w:rPr>
          <w:b/>
        </w:rPr>
      </w:pPr>
      <w:r w:rsidRPr="00D55DC6">
        <w:rPr>
          <w:b/>
        </w:rPr>
        <w:t>現行相關政策及方案之檢討</w:t>
      </w:r>
      <w:bookmarkEnd w:id="182"/>
    </w:p>
    <w:p w:rsidR="00C40B73" w:rsidRPr="00D55DC6" w:rsidRDefault="00C40B73" w:rsidP="004865C1">
      <w:pPr>
        <w:pStyle w:val="af2"/>
        <w:numPr>
          <w:ilvl w:val="0"/>
          <w:numId w:val="216"/>
        </w:numPr>
        <w:snapToGrid w:val="0"/>
        <w:spacing w:line="460" w:lineRule="exact"/>
        <w:ind w:leftChars="0"/>
        <w:jc w:val="both"/>
        <w:rPr>
          <w:rFonts w:eastAsia="標楷體"/>
          <w:sz w:val="28"/>
          <w:szCs w:val="28"/>
        </w:rPr>
      </w:pPr>
      <w:r w:rsidRPr="00D55DC6">
        <w:rPr>
          <w:rFonts w:eastAsia="標楷體"/>
          <w:b/>
          <w:sz w:val="28"/>
          <w:szCs w:val="28"/>
        </w:rPr>
        <w:t>重要觀光景點建設中程計畫</w:t>
      </w:r>
      <w:r w:rsidRPr="00D55DC6">
        <w:rPr>
          <w:rFonts w:eastAsia="標楷體"/>
          <w:b/>
          <w:sz w:val="28"/>
          <w:szCs w:val="28"/>
        </w:rPr>
        <w:t>(101-104</w:t>
      </w:r>
      <w:r w:rsidRPr="00D55DC6">
        <w:rPr>
          <w:rFonts w:eastAsia="標楷體"/>
          <w:b/>
          <w:sz w:val="28"/>
          <w:szCs w:val="28"/>
        </w:rPr>
        <w:t>年</w:t>
      </w:r>
      <w:r w:rsidRPr="00D55DC6">
        <w:rPr>
          <w:rFonts w:eastAsia="標楷體"/>
          <w:b/>
          <w:sz w:val="28"/>
          <w:szCs w:val="28"/>
        </w:rPr>
        <w:t>)</w:t>
      </w:r>
      <w:r w:rsidRPr="00D55DC6">
        <w:rPr>
          <w:rFonts w:eastAsia="標楷體"/>
          <w:sz w:val="28"/>
          <w:szCs w:val="28"/>
        </w:rPr>
        <w:t>(</w:t>
      </w:r>
      <w:r w:rsidRPr="00D55DC6">
        <w:rPr>
          <w:rFonts w:eastAsia="標楷體"/>
          <w:sz w:val="28"/>
          <w:szCs w:val="28"/>
        </w:rPr>
        <w:t>截至</w:t>
      </w:r>
      <w:r w:rsidRPr="00D55DC6">
        <w:rPr>
          <w:rFonts w:eastAsia="標楷體"/>
          <w:sz w:val="28"/>
          <w:szCs w:val="28"/>
        </w:rPr>
        <w:t>103</w:t>
      </w:r>
      <w:r w:rsidRPr="00D55DC6">
        <w:rPr>
          <w:rFonts w:eastAsia="標楷體"/>
          <w:sz w:val="28"/>
          <w:szCs w:val="28"/>
        </w:rPr>
        <w:t>年</w:t>
      </w:r>
      <w:r w:rsidRPr="00D55DC6">
        <w:rPr>
          <w:rFonts w:eastAsia="標楷體"/>
          <w:sz w:val="28"/>
          <w:szCs w:val="28"/>
        </w:rPr>
        <w:t>1</w:t>
      </w:r>
      <w:r w:rsidR="00AB4406" w:rsidRPr="00D55DC6">
        <w:rPr>
          <w:rFonts w:eastAsia="標楷體"/>
          <w:sz w:val="28"/>
          <w:szCs w:val="28"/>
        </w:rPr>
        <w:t>2</w:t>
      </w:r>
      <w:r w:rsidRPr="00D55DC6">
        <w:rPr>
          <w:rFonts w:eastAsia="標楷體"/>
          <w:sz w:val="28"/>
          <w:szCs w:val="28"/>
        </w:rPr>
        <w:t>月底成果</w:t>
      </w:r>
      <w:r w:rsidRPr="00D55DC6">
        <w:rPr>
          <w:rFonts w:eastAsia="標楷體"/>
          <w:sz w:val="28"/>
          <w:szCs w:val="28"/>
        </w:rPr>
        <w:t>)</w:t>
      </w:r>
    </w:p>
    <w:p w:rsidR="00C40B73" w:rsidRPr="00D55DC6" w:rsidRDefault="00C40B73" w:rsidP="00C40B73">
      <w:pPr>
        <w:pStyle w:val="af2"/>
        <w:snapToGrid w:val="0"/>
        <w:spacing w:line="460" w:lineRule="exact"/>
        <w:ind w:leftChars="295" w:left="991" w:hangingChars="101" w:hanging="283"/>
        <w:jc w:val="both"/>
        <w:rPr>
          <w:rFonts w:eastAsia="標楷體"/>
          <w:b/>
          <w:sz w:val="28"/>
          <w:szCs w:val="28"/>
        </w:rPr>
      </w:pPr>
      <w:r w:rsidRPr="00D55DC6">
        <w:rPr>
          <w:rFonts w:eastAsia="標楷體"/>
          <w:b/>
          <w:sz w:val="28"/>
          <w:szCs w:val="28"/>
        </w:rPr>
        <w:t xml:space="preserve">1. </w:t>
      </w:r>
      <w:r w:rsidRPr="00D55DC6">
        <w:rPr>
          <w:rFonts w:eastAsia="標楷體"/>
          <w:b/>
          <w:sz w:val="28"/>
          <w:szCs w:val="28"/>
        </w:rPr>
        <w:t>預算執行情形</w:t>
      </w:r>
      <w:r w:rsidR="002B0433" w:rsidRPr="00D55DC6">
        <w:rPr>
          <w:rFonts w:eastAsia="標楷體"/>
          <w:b/>
          <w:sz w:val="28"/>
          <w:szCs w:val="28"/>
        </w:rPr>
        <w:t xml:space="preserve">    (</w:t>
      </w:r>
      <w:r w:rsidR="002B0433" w:rsidRPr="00D55DC6">
        <w:rPr>
          <w:rFonts w:eastAsia="標楷體"/>
          <w:b/>
          <w:sz w:val="28"/>
          <w:szCs w:val="28"/>
        </w:rPr>
        <w:t>單位</w:t>
      </w:r>
      <w:r w:rsidR="002B0433" w:rsidRPr="00D55DC6">
        <w:rPr>
          <w:rFonts w:eastAsia="標楷體"/>
          <w:b/>
          <w:sz w:val="28"/>
          <w:szCs w:val="28"/>
        </w:rPr>
        <w:t>:</w:t>
      </w:r>
      <w:r w:rsidR="002B0433" w:rsidRPr="00D55DC6">
        <w:rPr>
          <w:rFonts w:eastAsia="標楷體"/>
          <w:b/>
          <w:sz w:val="28"/>
          <w:szCs w:val="28"/>
        </w:rPr>
        <w:t>億元</w:t>
      </w:r>
      <w:r w:rsidR="002B0433" w:rsidRPr="00D55DC6">
        <w:rPr>
          <w:rFonts w:eastAsia="標楷體"/>
          <w:b/>
          <w:sz w:val="28"/>
          <w:szCs w:val="28"/>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3"/>
        <w:gridCol w:w="1701"/>
        <w:gridCol w:w="1701"/>
        <w:gridCol w:w="1448"/>
      </w:tblGrid>
      <w:tr w:rsidR="001D0350" w:rsidRPr="00D55DC6" w:rsidTr="002B0433">
        <w:tc>
          <w:tcPr>
            <w:tcW w:w="3513" w:type="dxa"/>
            <w:shd w:val="clear" w:color="auto" w:fill="auto"/>
            <w:vAlign w:val="center"/>
          </w:tcPr>
          <w:p w:rsidR="00C40B73" w:rsidRPr="00D55DC6" w:rsidRDefault="00C40B73" w:rsidP="00C676DD">
            <w:pPr>
              <w:snapToGrid w:val="0"/>
              <w:jc w:val="center"/>
              <w:rPr>
                <w:rFonts w:eastAsia="標楷體"/>
                <w:szCs w:val="28"/>
              </w:rPr>
            </w:pPr>
            <w:r w:rsidRPr="00D55DC6">
              <w:rPr>
                <w:rFonts w:eastAsia="標楷體"/>
                <w:szCs w:val="28"/>
              </w:rPr>
              <w:t>計畫名稱</w:t>
            </w:r>
          </w:p>
        </w:tc>
        <w:tc>
          <w:tcPr>
            <w:tcW w:w="1701" w:type="dxa"/>
            <w:shd w:val="clear" w:color="auto" w:fill="auto"/>
          </w:tcPr>
          <w:p w:rsidR="00C40B73" w:rsidRPr="00D55DC6" w:rsidRDefault="00C40B73" w:rsidP="00C676DD">
            <w:pPr>
              <w:snapToGrid w:val="0"/>
              <w:jc w:val="center"/>
              <w:rPr>
                <w:rFonts w:eastAsia="標楷體"/>
                <w:szCs w:val="28"/>
              </w:rPr>
            </w:pPr>
            <w:r w:rsidRPr="00D55DC6">
              <w:rPr>
                <w:rFonts w:eastAsia="標楷體"/>
                <w:szCs w:val="28"/>
              </w:rPr>
              <w:t>總累計編列數</w:t>
            </w:r>
            <w:r w:rsidRPr="00D55DC6">
              <w:rPr>
                <w:rFonts w:eastAsia="標楷體"/>
                <w:szCs w:val="28"/>
              </w:rPr>
              <w:t>(A)</w:t>
            </w:r>
          </w:p>
        </w:tc>
        <w:tc>
          <w:tcPr>
            <w:tcW w:w="1701" w:type="dxa"/>
            <w:shd w:val="clear" w:color="auto" w:fill="auto"/>
          </w:tcPr>
          <w:p w:rsidR="00C40B73" w:rsidRPr="00D55DC6" w:rsidRDefault="00C40B73" w:rsidP="00C676DD">
            <w:pPr>
              <w:snapToGrid w:val="0"/>
              <w:jc w:val="center"/>
              <w:rPr>
                <w:rFonts w:eastAsia="標楷體"/>
                <w:szCs w:val="28"/>
              </w:rPr>
            </w:pPr>
            <w:r w:rsidRPr="00D55DC6">
              <w:rPr>
                <w:rFonts w:eastAsia="標楷體"/>
                <w:szCs w:val="28"/>
              </w:rPr>
              <w:t>總累計實支數</w:t>
            </w:r>
            <w:r w:rsidRPr="00D55DC6">
              <w:rPr>
                <w:rFonts w:eastAsia="標楷體"/>
                <w:szCs w:val="28"/>
              </w:rPr>
              <w:t>(B)</w:t>
            </w:r>
          </w:p>
        </w:tc>
        <w:tc>
          <w:tcPr>
            <w:tcW w:w="1448" w:type="dxa"/>
            <w:shd w:val="clear" w:color="auto" w:fill="auto"/>
          </w:tcPr>
          <w:p w:rsidR="00C40B73" w:rsidRPr="00D55DC6" w:rsidRDefault="00C40B73" w:rsidP="00C676DD">
            <w:pPr>
              <w:snapToGrid w:val="0"/>
              <w:jc w:val="center"/>
              <w:rPr>
                <w:rFonts w:eastAsia="標楷體"/>
                <w:szCs w:val="28"/>
              </w:rPr>
            </w:pPr>
            <w:r w:rsidRPr="00D55DC6">
              <w:rPr>
                <w:rFonts w:eastAsia="標楷體"/>
                <w:szCs w:val="28"/>
              </w:rPr>
              <w:t>支用比</w:t>
            </w:r>
          </w:p>
          <w:p w:rsidR="00C40B73" w:rsidRPr="00D55DC6" w:rsidRDefault="00C40B73" w:rsidP="00C676DD">
            <w:pPr>
              <w:snapToGrid w:val="0"/>
              <w:jc w:val="center"/>
              <w:rPr>
                <w:rFonts w:eastAsia="標楷體"/>
                <w:szCs w:val="28"/>
              </w:rPr>
            </w:pPr>
            <w:r w:rsidRPr="00D55DC6">
              <w:rPr>
                <w:rFonts w:eastAsia="標楷體"/>
                <w:szCs w:val="28"/>
              </w:rPr>
              <w:t>(B/A%)</w:t>
            </w:r>
          </w:p>
        </w:tc>
      </w:tr>
      <w:tr w:rsidR="001D0350" w:rsidRPr="00D55DC6" w:rsidTr="002B0433">
        <w:tc>
          <w:tcPr>
            <w:tcW w:w="3513" w:type="dxa"/>
            <w:shd w:val="clear" w:color="auto" w:fill="auto"/>
            <w:vAlign w:val="center"/>
          </w:tcPr>
          <w:p w:rsidR="00AB4406" w:rsidRPr="00D55DC6" w:rsidRDefault="00AB4406" w:rsidP="00C676DD">
            <w:pPr>
              <w:widowControl/>
              <w:rPr>
                <w:rFonts w:eastAsia="標楷體"/>
                <w:kern w:val="0"/>
                <w:lang w:bidi="sa-IN"/>
              </w:rPr>
            </w:pPr>
            <w:r w:rsidRPr="00D55DC6">
              <w:rPr>
                <w:rFonts w:eastAsia="標楷體"/>
                <w:kern w:val="0"/>
                <w:lang w:bidi="sa-IN"/>
              </w:rPr>
              <w:t>馬祖國家風景區建設計畫</w:t>
            </w:r>
          </w:p>
        </w:tc>
        <w:tc>
          <w:tcPr>
            <w:tcW w:w="1701" w:type="dxa"/>
            <w:shd w:val="clear" w:color="auto" w:fill="auto"/>
          </w:tcPr>
          <w:p w:rsidR="00AB4406" w:rsidRPr="00D55DC6" w:rsidRDefault="00AB4406">
            <w:pPr>
              <w:jc w:val="center"/>
            </w:pPr>
            <w:r w:rsidRPr="00D55DC6">
              <w:t xml:space="preserve">4.23480 </w:t>
            </w:r>
          </w:p>
        </w:tc>
        <w:tc>
          <w:tcPr>
            <w:tcW w:w="1701" w:type="dxa"/>
            <w:shd w:val="clear" w:color="auto" w:fill="auto"/>
          </w:tcPr>
          <w:p w:rsidR="00AB4406" w:rsidRPr="00D55DC6" w:rsidRDefault="00AB4406">
            <w:pPr>
              <w:jc w:val="center"/>
            </w:pPr>
            <w:r w:rsidRPr="00D55DC6">
              <w:t xml:space="preserve">4.23052 </w:t>
            </w:r>
          </w:p>
        </w:tc>
        <w:tc>
          <w:tcPr>
            <w:tcW w:w="1448" w:type="dxa"/>
            <w:shd w:val="clear" w:color="auto" w:fill="auto"/>
          </w:tcPr>
          <w:p w:rsidR="00AB4406" w:rsidRPr="00D55DC6" w:rsidRDefault="00AB4406">
            <w:pPr>
              <w:jc w:val="center"/>
            </w:pPr>
            <w:r w:rsidRPr="00D55DC6">
              <w:t>99.89%</w:t>
            </w:r>
          </w:p>
        </w:tc>
      </w:tr>
    </w:tbl>
    <w:p w:rsidR="00C40B73" w:rsidRPr="00D55DC6" w:rsidRDefault="00C40B73" w:rsidP="00C40B73">
      <w:pPr>
        <w:snapToGrid w:val="0"/>
        <w:ind w:leftChars="295" w:left="1315" w:hangingChars="253" w:hanging="607"/>
        <w:jc w:val="both"/>
        <w:rPr>
          <w:rFonts w:eastAsia="標楷體"/>
          <w:szCs w:val="28"/>
        </w:rPr>
      </w:pPr>
      <w:r w:rsidRPr="00D55DC6">
        <w:rPr>
          <w:rFonts w:eastAsia="標楷體"/>
          <w:szCs w:val="28"/>
        </w:rPr>
        <w:t>註</w:t>
      </w:r>
      <w:r w:rsidRPr="00D55DC6">
        <w:rPr>
          <w:rFonts w:eastAsia="標楷體"/>
          <w:szCs w:val="28"/>
        </w:rPr>
        <w:t xml:space="preserve"> 1.</w:t>
      </w:r>
      <w:r w:rsidRPr="00D55DC6">
        <w:rPr>
          <w:rFonts w:eastAsia="標楷體"/>
          <w:szCs w:val="28"/>
        </w:rPr>
        <w:t>「總累計編列數</w:t>
      </w:r>
      <w:r w:rsidRPr="00D55DC6">
        <w:rPr>
          <w:rFonts w:eastAsia="標楷體"/>
          <w:szCs w:val="28"/>
        </w:rPr>
        <w:t>(A)</w:t>
      </w:r>
      <w:r w:rsidRPr="00D55DC6">
        <w:rPr>
          <w:rFonts w:eastAsia="標楷體"/>
          <w:szCs w:val="28"/>
        </w:rPr>
        <w:t>」為</w:t>
      </w:r>
      <w:r w:rsidRPr="00D55DC6">
        <w:rPr>
          <w:rFonts w:eastAsia="標楷體"/>
          <w:szCs w:val="28"/>
        </w:rPr>
        <w:t>101</w:t>
      </w:r>
      <w:r w:rsidRPr="00D55DC6">
        <w:rPr>
          <w:rFonts w:eastAsia="標楷體"/>
          <w:szCs w:val="28"/>
        </w:rPr>
        <w:t>年</w:t>
      </w:r>
      <w:r w:rsidRPr="00D55DC6">
        <w:rPr>
          <w:rFonts w:eastAsia="標楷體"/>
          <w:szCs w:val="28"/>
        </w:rPr>
        <w:t>1</w:t>
      </w:r>
      <w:r w:rsidRPr="00D55DC6">
        <w:rPr>
          <w:rFonts w:eastAsia="標楷體"/>
          <w:szCs w:val="28"/>
        </w:rPr>
        <w:t>月至</w:t>
      </w:r>
      <w:r w:rsidRPr="00D55DC6">
        <w:rPr>
          <w:rFonts w:eastAsia="標楷體"/>
          <w:szCs w:val="28"/>
        </w:rPr>
        <w:t>103</w:t>
      </w:r>
      <w:r w:rsidRPr="00D55DC6">
        <w:rPr>
          <w:rFonts w:eastAsia="標楷體"/>
          <w:szCs w:val="28"/>
        </w:rPr>
        <w:t>年</w:t>
      </w:r>
      <w:r w:rsidRPr="00D55DC6">
        <w:rPr>
          <w:rFonts w:eastAsia="標楷體"/>
          <w:szCs w:val="28"/>
        </w:rPr>
        <w:t>1</w:t>
      </w:r>
      <w:r w:rsidR="00AB4406" w:rsidRPr="00D55DC6">
        <w:rPr>
          <w:rFonts w:eastAsia="標楷體"/>
          <w:szCs w:val="28"/>
        </w:rPr>
        <w:t>2</w:t>
      </w:r>
      <w:r w:rsidRPr="00D55DC6">
        <w:rPr>
          <w:rFonts w:eastAsia="標楷體"/>
          <w:szCs w:val="28"/>
        </w:rPr>
        <w:t>月累計實際可支用數。</w:t>
      </w:r>
    </w:p>
    <w:p w:rsidR="00C40B73" w:rsidRPr="00D55DC6" w:rsidRDefault="00C40B73" w:rsidP="00C40B73">
      <w:pPr>
        <w:snapToGrid w:val="0"/>
        <w:jc w:val="both"/>
        <w:rPr>
          <w:rFonts w:eastAsia="標楷體"/>
          <w:szCs w:val="28"/>
        </w:rPr>
      </w:pPr>
      <w:r w:rsidRPr="00D55DC6">
        <w:rPr>
          <w:rFonts w:eastAsia="標楷體"/>
          <w:szCs w:val="28"/>
        </w:rPr>
        <w:t xml:space="preserve">         2.</w:t>
      </w:r>
      <w:r w:rsidRPr="00D55DC6">
        <w:rPr>
          <w:rFonts w:eastAsia="標楷體"/>
          <w:szCs w:val="28"/>
        </w:rPr>
        <w:t>「總累計實支數</w:t>
      </w:r>
      <w:r w:rsidRPr="00D55DC6">
        <w:rPr>
          <w:rFonts w:eastAsia="標楷體"/>
          <w:szCs w:val="28"/>
        </w:rPr>
        <w:t>(B)</w:t>
      </w:r>
      <w:r w:rsidRPr="00D55DC6">
        <w:rPr>
          <w:rFonts w:eastAsia="標楷體"/>
          <w:szCs w:val="28"/>
        </w:rPr>
        <w:t>」為</w:t>
      </w:r>
      <w:r w:rsidRPr="00D55DC6">
        <w:rPr>
          <w:rFonts w:eastAsia="標楷體"/>
          <w:szCs w:val="28"/>
        </w:rPr>
        <w:t>101</w:t>
      </w:r>
      <w:r w:rsidRPr="00D55DC6">
        <w:rPr>
          <w:rFonts w:eastAsia="標楷體"/>
          <w:szCs w:val="28"/>
        </w:rPr>
        <w:t>年</w:t>
      </w:r>
      <w:r w:rsidRPr="00D55DC6">
        <w:rPr>
          <w:rFonts w:eastAsia="標楷體"/>
          <w:szCs w:val="28"/>
        </w:rPr>
        <w:t>1</w:t>
      </w:r>
      <w:r w:rsidRPr="00D55DC6">
        <w:rPr>
          <w:rFonts w:eastAsia="標楷體"/>
          <w:szCs w:val="28"/>
        </w:rPr>
        <w:t>月至</w:t>
      </w:r>
      <w:r w:rsidRPr="00D55DC6">
        <w:rPr>
          <w:rFonts w:eastAsia="標楷體"/>
          <w:szCs w:val="28"/>
        </w:rPr>
        <w:t>103</w:t>
      </w:r>
      <w:r w:rsidRPr="00D55DC6">
        <w:rPr>
          <w:rFonts w:eastAsia="標楷體"/>
          <w:szCs w:val="28"/>
        </w:rPr>
        <w:t>年</w:t>
      </w:r>
      <w:r w:rsidRPr="00D55DC6">
        <w:rPr>
          <w:rFonts w:eastAsia="標楷體"/>
          <w:szCs w:val="28"/>
        </w:rPr>
        <w:t>1</w:t>
      </w:r>
      <w:r w:rsidR="00AB4406" w:rsidRPr="00D55DC6">
        <w:rPr>
          <w:rFonts w:eastAsia="標楷體"/>
          <w:szCs w:val="28"/>
        </w:rPr>
        <w:t>2</w:t>
      </w:r>
      <w:r w:rsidRPr="00D55DC6">
        <w:rPr>
          <w:rFonts w:eastAsia="標楷體"/>
          <w:szCs w:val="28"/>
        </w:rPr>
        <w:t>月累計實支數。</w:t>
      </w:r>
    </w:p>
    <w:p w:rsidR="00C40B73" w:rsidRPr="00D55DC6" w:rsidRDefault="00C40B73" w:rsidP="00C40B73">
      <w:pPr>
        <w:snapToGrid w:val="0"/>
        <w:jc w:val="both"/>
        <w:rPr>
          <w:rFonts w:eastAsia="標楷體"/>
          <w:szCs w:val="28"/>
        </w:rPr>
      </w:pPr>
    </w:p>
    <w:p w:rsidR="00C40B73" w:rsidRPr="00D55DC6" w:rsidRDefault="00C40B73" w:rsidP="00C40B73">
      <w:pPr>
        <w:pStyle w:val="af2"/>
        <w:snapToGrid w:val="0"/>
        <w:spacing w:line="460" w:lineRule="exact"/>
        <w:ind w:leftChars="295" w:left="991" w:hangingChars="101" w:hanging="283"/>
        <w:jc w:val="both"/>
        <w:rPr>
          <w:rFonts w:eastAsia="標楷體"/>
          <w:b/>
          <w:sz w:val="28"/>
          <w:szCs w:val="28"/>
        </w:rPr>
      </w:pPr>
      <w:r w:rsidRPr="00D55DC6">
        <w:rPr>
          <w:rFonts w:eastAsia="標楷體"/>
          <w:b/>
          <w:sz w:val="28"/>
          <w:szCs w:val="28"/>
        </w:rPr>
        <w:t xml:space="preserve">2. </w:t>
      </w:r>
      <w:r w:rsidRPr="00D55DC6">
        <w:rPr>
          <w:rFonts w:eastAsia="標楷體"/>
          <w:b/>
          <w:sz w:val="28"/>
          <w:szCs w:val="28"/>
        </w:rPr>
        <w:t>重要執行成果</w:t>
      </w:r>
    </w:p>
    <w:p w:rsidR="00C40B73" w:rsidRPr="00D55DC6" w:rsidRDefault="00C40B73" w:rsidP="00C40B73">
      <w:pPr>
        <w:pStyle w:val="af2"/>
        <w:snapToGrid w:val="0"/>
        <w:spacing w:line="460" w:lineRule="exact"/>
        <w:ind w:leftChars="413" w:left="1414" w:hangingChars="151" w:hanging="423"/>
        <w:jc w:val="both"/>
        <w:rPr>
          <w:rFonts w:eastAsia="標楷體"/>
          <w:b/>
          <w:sz w:val="28"/>
          <w:szCs w:val="28"/>
        </w:rPr>
      </w:pPr>
      <w:r w:rsidRPr="00D55DC6">
        <w:rPr>
          <w:rFonts w:eastAsia="標楷體"/>
          <w:b/>
          <w:sz w:val="28"/>
          <w:szCs w:val="28"/>
        </w:rPr>
        <w:t>2-1.</w:t>
      </w:r>
      <w:r w:rsidRPr="00D55DC6">
        <w:rPr>
          <w:rFonts w:eastAsia="標楷體"/>
          <w:b/>
          <w:sz w:val="28"/>
          <w:szCs w:val="28"/>
        </w:rPr>
        <w:t>國際觀光重要景點建設</w:t>
      </w:r>
    </w:p>
    <w:p w:rsidR="00C40B73" w:rsidRPr="00D55DC6" w:rsidRDefault="00C40B73" w:rsidP="00C40B73">
      <w:pPr>
        <w:pStyle w:val="af2"/>
        <w:snapToGrid w:val="0"/>
        <w:spacing w:line="460" w:lineRule="exact"/>
        <w:ind w:leftChars="592" w:left="2127" w:hangingChars="252" w:hanging="706"/>
        <w:jc w:val="both"/>
        <w:rPr>
          <w:rFonts w:eastAsia="標楷體"/>
          <w:sz w:val="28"/>
          <w:szCs w:val="28"/>
        </w:rPr>
      </w:pPr>
      <w:r w:rsidRPr="00D55DC6">
        <w:rPr>
          <w:rFonts w:eastAsia="標楷體"/>
          <w:sz w:val="28"/>
          <w:szCs w:val="28"/>
        </w:rPr>
        <w:t>2-1-1.</w:t>
      </w:r>
      <w:r w:rsidRPr="00D55DC6">
        <w:rPr>
          <w:rFonts w:eastAsia="標楷體"/>
          <w:sz w:val="28"/>
          <w:szCs w:val="28"/>
        </w:rPr>
        <w:t>北竿遊憩系統</w:t>
      </w:r>
      <w:r w:rsidRPr="00D55DC6">
        <w:rPr>
          <w:rFonts w:eastAsia="標楷體"/>
          <w:sz w:val="28"/>
          <w:szCs w:val="28"/>
        </w:rPr>
        <w:t>:</w:t>
      </w:r>
      <w:r w:rsidRPr="00D55DC6">
        <w:t xml:space="preserve"> </w:t>
      </w:r>
      <w:r w:rsidRPr="00D55DC6">
        <w:rPr>
          <w:rFonts w:eastAsia="標楷體"/>
          <w:sz w:val="28"/>
          <w:szCs w:val="28"/>
        </w:rPr>
        <w:t>101</w:t>
      </w:r>
      <w:r w:rsidRPr="00D55DC6">
        <w:rPr>
          <w:rFonts w:eastAsia="標楷體"/>
          <w:sz w:val="28"/>
          <w:szCs w:val="28"/>
        </w:rPr>
        <w:t>年完成</w:t>
      </w:r>
      <w:r w:rsidRPr="00D55DC6">
        <w:rPr>
          <w:rFonts w:eastAsia="標楷體"/>
          <w:sz w:val="28"/>
          <w:szCs w:val="28"/>
        </w:rPr>
        <w:t>08</w:t>
      </w:r>
      <w:r w:rsidRPr="00D55DC6">
        <w:rPr>
          <w:rFonts w:eastAsia="標楷體"/>
          <w:sz w:val="28"/>
          <w:szCs w:val="28"/>
        </w:rPr>
        <w:t>、</w:t>
      </w:r>
      <w:r w:rsidRPr="00D55DC6">
        <w:rPr>
          <w:rFonts w:eastAsia="標楷體"/>
          <w:sz w:val="28"/>
          <w:szCs w:val="28"/>
        </w:rPr>
        <w:t>12</w:t>
      </w:r>
      <w:r w:rsidRPr="00D55DC6">
        <w:rPr>
          <w:rFonts w:eastAsia="標楷體"/>
          <w:sz w:val="28"/>
          <w:szCs w:val="28"/>
        </w:rPr>
        <w:t>據點營舍整修再利用及大坵遊憩區景觀整建工程，</w:t>
      </w:r>
      <w:r w:rsidRPr="00D55DC6">
        <w:rPr>
          <w:rFonts w:eastAsia="標楷體"/>
          <w:sz w:val="28"/>
          <w:szCs w:val="28"/>
        </w:rPr>
        <w:t>102</w:t>
      </w:r>
      <w:r w:rsidRPr="00D55DC6">
        <w:rPr>
          <w:rFonts w:eastAsia="標楷體"/>
          <w:sz w:val="28"/>
          <w:szCs w:val="28"/>
        </w:rPr>
        <w:t>年完成戰爭和平紀念公園主題館販賣區暨周邊景觀整建工程，</w:t>
      </w:r>
      <w:r w:rsidRPr="00D55DC6">
        <w:rPr>
          <w:rFonts w:eastAsia="標楷體"/>
          <w:sz w:val="28"/>
          <w:szCs w:val="28"/>
        </w:rPr>
        <w:t>103</w:t>
      </w:r>
      <w:r w:rsidRPr="00D55DC6">
        <w:rPr>
          <w:rFonts w:eastAsia="標楷體"/>
          <w:sz w:val="28"/>
          <w:szCs w:val="28"/>
        </w:rPr>
        <w:t>年開工進行遊客中心增建工程</w:t>
      </w:r>
      <w:r w:rsidRPr="00D55DC6">
        <w:rPr>
          <w:rFonts w:eastAsia="標楷體"/>
          <w:sz w:val="28"/>
          <w:szCs w:val="28"/>
        </w:rPr>
        <w:t>(</w:t>
      </w:r>
      <w:r w:rsidRPr="00D55DC6">
        <w:rPr>
          <w:rFonts w:eastAsia="標楷體"/>
          <w:sz w:val="28"/>
          <w:szCs w:val="28"/>
        </w:rPr>
        <w:t>預計</w:t>
      </w:r>
      <w:r w:rsidRPr="00D55DC6">
        <w:rPr>
          <w:rFonts w:eastAsia="標楷體"/>
          <w:sz w:val="28"/>
          <w:szCs w:val="28"/>
        </w:rPr>
        <w:t>104</w:t>
      </w:r>
      <w:r w:rsidRPr="00D55DC6">
        <w:rPr>
          <w:rFonts w:eastAsia="標楷體"/>
          <w:sz w:val="28"/>
          <w:szCs w:val="28"/>
        </w:rPr>
        <w:t>年完工</w:t>
      </w:r>
      <w:r w:rsidRPr="00D55DC6">
        <w:rPr>
          <w:rFonts w:eastAsia="標楷體"/>
          <w:sz w:val="28"/>
          <w:szCs w:val="28"/>
        </w:rPr>
        <w:t>)</w:t>
      </w:r>
      <w:r w:rsidRPr="00D55DC6">
        <w:rPr>
          <w:rFonts w:eastAsia="標楷體"/>
          <w:sz w:val="28"/>
          <w:szCs w:val="28"/>
        </w:rPr>
        <w:t>。</w:t>
      </w:r>
    </w:p>
    <w:p w:rsidR="00C40B73" w:rsidRPr="00D55DC6" w:rsidRDefault="00C40B73" w:rsidP="00C40B73">
      <w:pPr>
        <w:pStyle w:val="af2"/>
        <w:snapToGrid w:val="0"/>
        <w:spacing w:line="460" w:lineRule="exact"/>
        <w:ind w:leftChars="589" w:left="2122" w:hangingChars="253" w:hanging="708"/>
        <w:jc w:val="both"/>
        <w:rPr>
          <w:rFonts w:eastAsia="標楷體"/>
          <w:sz w:val="28"/>
          <w:szCs w:val="28"/>
        </w:rPr>
      </w:pPr>
      <w:r w:rsidRPr="00D55DC6">
        <w:rPr>
          <w:rFonts w:eastAsia="標楷體"/>
          <w:sz w:val="28"/>
          <w:szCs w:val="28"/>
        </w:rPr>
        <w:t>2-1-2.</w:t>
      </w:r>
      <w:r w:rsidRPr="00D55DC6">
        <w:rPr>
          <w:rFonts w:eastAsia="標楷體"/>
          <w:sz w:val="28"/>
          <w:szCs w:val="28"/>
        </w:rPr>
        <w:t>媽祖宗教文化園區</w:t>
      </w:r>
      <w:r w:rsidRPr="00D55DC6">
        <w:rPr>
          <w:rFonts w:eastAsia="標楷體"/>
          <w:sz w:val="28"/>
          <w:szCs w:val="28"/>
        </w:rPr>
        <w:t>:101~103</w:t>
      </w:r>
      <w:r w:rsidRPr="00D55DC6">
        <w:rPr>
          <w:rFonts w:eastAsia="標楷體"/>
          <w:sz w:val="28"/>
          <w:szCs w:val="28"/>
        </w:rPr>
        <w:t>年完成宗教文化園區眺望台新建暨周邊景觀整建工程。</w:t>
      </w:r>
    </w:p>
    <w:p w:rsidR="00C40B73" w:rsidRPr="00D55DC6" w:rsidRDefault="00C40B73" w:rsidP="00C40B73">
      <w:pPr>
        <w:pStyle w:val="af2"/>
        <w:snapToGrid w:val="0"/>
        <w:spacing w:line="460" w:lineRule="exact"/>
        <w:ind w:leftChars="413" w:left="1414" w:hangingChars="151" w:hanging="423"/>
        <w:jc w:val="both"/>
        <w:rPr>
          <w:rFonts w:eastAsia="標楷體"/>
          <w:b/>
          <w:sz w:val="28"/>
          <w:szCs w:val="28"/>
        </w:rPr>
      </w:pPr>
      <w:r w:rsidRPr="00D55DC6">
        <w:rPr>
          <w:rFonts w:eastAsia="標楷體"/>
          <w:b/>
          <w:sz w:val="28"/>
          <w:szCs w:val="28"/>
        </w:rPr>
        <w:lastRenderedPageBreak/>
        <w:t>2-2.</w:t>
      </w:r>
      <w:r w:rsidRPr="00D55DC6">
        <w:rPr>
          <w:rFonts w:eastAsia="標楷體"/>
          <w:b/>
          <w:sz w:val="28"/>
          <w:szCs w:val="28"/>
        </w:rPr>
        <w:t>國內觀光重要景點建設</w:t>
      </w:r>
    </w:p>
    <w:p w:rsidR="00C40B73" w:rsidRPr="00D55DC6" w:rsidRDefault="00C40B73" w:rsidP="00C40B73">
      <w:pPr>
        <w:pStyle w:val="af2"/>
        <w:snapToGrid w:val="0"/>
        <w:spacing w:line="460" w:lineRule="exact"/>
        <w:ind w:leftChars="589" w:left="2122" w:hangingChars="253" w:hanging="708"/>
        <w:jc w:val="both"/>
        <w:rPr>
          <w:rFonts w:eastAsia="標楷體"/>
          <w:sz w:val="28"/>
          <w:szCs w:val="28"/>
        </w:rPr>
      </w:pPr>
      <w:r w:rsidRPr="00D55DC6">
        <w:rPr>
          <w:rFonts w:eastAsia="標楷體"/>
          <w:sz w:val="28"/>
          <w:szCs w:val="28"/>
        </w:rPr>
        <w:t>2-2-1.</w:t>
      </w:r>
      <w:r w:rsidRPr="00D55DC6">
        <w:rPr>
          <w:rFonts w:eastAsia="標楷體"/>
          <w:sz w:val="28"/>
          <w:szCs w:val="28"/>
        </w:rPr>
        <w:t>南竿遊憩系統</w:t>
      </w:r>
      <w:r w:rsidRPr="00D55DC6">
        <w:rPr>
          <w:rFonts w:eastAsia="標楷體"/>
          <w:sz w:val="28"/>
          <w:szCs w:val="28"/>
        </w:rPr>
        <w:t>(</w:t>
      </w:r>
      <w:r w:rsidRPr="00D55DC6">
        <w:rPr>
          <w:rFonts w:eastAsia="標楷體"/>
          <w:sz w:val="28"/>
          <w:szCs w:val="28"/>
        </w:rPr>
        <w:t>大北海遊憩區</w:t>
      </w:r>
      <w:r w:rsidRPr="00D55DC6">
        <w:rPr>
          <w:rFonts w:eastAsia="標楷體"/>
          <w:sz w:val="28"/>
          <w:szCs w:val="28"/>
        </w:rPr>
        <w:t>):</w:t>
      </w:r>
      <w:r w:rsidRPr="00D55DC6">
        <w:t xml:space="preserve"> </w:t>
      </w:r>
      <w:r w:rsidRPr="00D55DC6">
        <w:rPr>
          <w:rFonts w:eastAsia="標楷體"/>
          <w:sz w:val="28"/>
          <w:szCs w:val="28"/>
        </w:rPr>
        <w:t>101~102</w:t>
      </w:r>
      <w:r w:rsidRPr="00D55DC6">
        <w:rPr>
          <w:rFonts w:eastAsia="標楷體"/>
          <w:sz w:val="28"/>
          <w:szCs w:val="28"/>
        </w:rPr>
        <w:t>年完成北海遊憩區景觀整建、人行空間整建、植栽綠美化暨澆灌系統等工程。</w:t>
      </w:r>
      <w:r w:rsidRPr="00D55DC6">
        <w:rPr>
          <w:rFonts w:eastAsia="標楷體"/>
          <w:sz w:val="28"/>
          <w:szCs w:val="28"/>
        </w:rPr>
        <w:t>102~103</w:t>
      </w:r>
      <w:r w:rsidRPr="00D55DC6">
        <w:rPr>
          <w:rFonts w:eastAsia="標楷體"/>
          <w:sz w:val="28"/>
          <w:szCs w:val="28"/>
        </w:rPr>
        <w:t>年完成北海坑道設施、大北海遊憩區遊憩據點結構補強暨周邊景觀整建工程。</w:t>
      </w:r>
    </w:p>
    <w:p w:rsidR="00C40B73" w:rsidRPr="00D55DC6" w:rsidRDefault="00C40B73" w:rsidP="00C40B73">
      <w:pPr>
        <w:pStyle w:val="af2"/>
        <w:snapToGrid w:val="0"/>
        <w:spacing w:line="460" w:lineRule="exact"/>
        <w:ind w:leftChars="589" w:left="2122" w:hangingChars="253" w:hanging="708"/>
        <w:jc w:val="both"/>
        <w:rPr>
          <w:rFonts w:eastAsia="標楷體"/>
          <w:sz w:val="28"/>
          <w:szCs w:val="28"/>
        </w:rPr>
      </w:pPr>
      <w:r w:rsidRPr="00D55DC6">
        <w:rPr>
          <w:rFonts w:eastAsia="標楷體"/>
          <w:sz w:val="28"/>
          <w:szCs w:val="28"/>
        </w:rPr>
        <w:t>2-2-2.</w:t>
      </w:r>
      <w:r w:rsidRPr="00D55DC6">
        <w:rPr>
          <w:rFonts w:eastAsia="標楷體"/>
          <w:sz w:val="28"/>
          <w:szCs w:val="28"/>
        </w:rPr>
        <w:t>南竿遊客中心內部裝修整建工程</w:t>
      </w:r>
      <w:r w:rsidRPr="00D55DC6">
        <w:rPr>
          <w:rFonts w:eastAsia="標楷體"/>
          <w:sz w:val="28"/>
          <w:szCs w:val="28"/>
        </w:rPr>
        <w:t>: 101</w:t>
      </w:r>
      <w:r w:rsidRPr="00D55DC6">
        <w:rPr>
          <w:rFonts w:eastAsia="標楷體"/>
          <w:sz w:val="28"/>
          <w:szCs w:val="28"/>
        </w:rPr>
        <w:t>年完成南竿遊客中心內部整修、簡報室及展覽空間配置。</w:t>
      </w:r>
    </w:p>
    <w:p w:rsidR="00C40B73" w:rsidRPr="00D55DC6" w:rsidRDefault="00C40B73" w:rsidP="00C40B73">
      <w:pPr>
        <w:pStyle w:val="af2"/>
        <w:snapToGrid w:val="0"/>
        <w:spacing w:line="460" w:lineRule="exact"/>
        <w:ind w:leftChars="413" w:left="1414" w:hangingChars="151" w:hanging="423"/>
        <w:jc w:val="both"/>
        <w:rPr>
          <w:rFonts w:eastAsia="標楷體"/>
          <w:b/>
          <w:sz w:val="28"/>
          <w:szCs w:val="28"/>
        </w:rPr>
      </w:pPr>
      <w:r w:rsidRPr="00D55DC6">
        <w:rPr>
          <w:rFonts w:eastAsia="標楷體"/>
          <w:b/>
          <w:sz w:val="28"/>
          <w:szCs w:val="28"/>
        </w:rPr>
        <w:t>2-3.</w:t>
      </w:r>
      <w:r w:rsidRPr="00D55DC6">
        <w:rPr>
          <w:rFonts w:eastAsia="標楷體"/>
          <w:b/>
          <w:sz w:val="28"/>
          <w:szCs w:val="28"/>
        </w:rPr>
        <w:t>地方觀光重要景點建設</w:t>
      </w:r>
    </w:p>
    <w:p w:rsidR="00C40B73" w:rsidRPr="00D55DC6" w:rsidRDefault="00C40B73" w:rsidP="00C40B73">
      <w:pPr>
        <w:pStyle w:val="af2"/>
        <w:snapToGrid w:val="0"/>
        <w:spacing w:line="460" w:lineRule="exact"/>
        <w:ind w:leftChars="589" w:left="2122" w:hangingChars="253" w:hanging="708"/>
        <w:jc w:val="both"/>
        <w:rPr>
          <w:rFonts w:eastAsia="標楷體"/>
          <w:sz w:val="28"/>
          <w:szCs w:val="28"/>
        </w:rPr>
      </w:pPr>
      <w:r w:rsidRPr="00D55DC6">
        <w:rPr>
          <w:rFonts w:eastAsia="標楷體"/>
          <w:sz w:val="28"/>
          <w:szCs w:val="28"/>
        </w:rPr>
        <w:t>2-3-1.</w:t>
      </w:r>
      <w:r w:rsidRPr="00D55DC6">
        <w:rPr>
          <w:rFonts w:eastAsia="標楷體"/>
          <w:sz w:val="28"/>
          <w:szCs w:val="28"/>
        </w:rPr>
        <w:t>莒光遊憩系統</w:t>
      </w:r>
      <w:r w:rsidRPr="00D55DC6">
        <w:rPr>
          <w:rFonts w:eastAsia="標楷體"/>
          <w:sz w:val="28"/>
          <w:szCs w:val="28"/>
        </w:rPr>
        <w:t>:101~102</w:t>
      </w:r>
      <w:r w:rsidRPr="00D55DC6">
        <w:rPr>
          <w:rFonts w:eastAsia="標楷體"/>
          <w:sz w:val="28"/>
          <w:szCs w:val="28"/>
        </w:rPr>
        <w:t>年完成遊客中心內部裝修、防水暨周邊景觀整建工程，</w:t>
      </w:r>
      <w:r w:rsidRPr="00D55DC6">
        <w:rPr>
          <w:rFonts w:eastAsia="標楷體"/>
          <w:sz w:val="28"/>
          <w:szCs w:val="28"/>
        </w:rPr>
        <w:t>103</w:t>
      </w:r>
      <w:r w:rsidRPr="00D55DC6">
        <w:rPr>
          <w:rFonts w:eastAsia="標楷體"/>
          <w:sz w:val="28"/>
          <w:szCs w:val="28"/>
        </w:rPr>
        <w:t>年完成西莒菜埔澳暨東莒各景點</w:t>
      </w:r>
      <w:r w:rsidRPr="00D55DC6">
        <w:rPr>
          <w:rFonts w:eastAsia="標楷體"/>
          <w:sz w:val="28"/>
          <w:szCs w:val="28"/>
        </w:rPr>
        <w:t>(</w:t>
      </w:r>
      <w:r w:rsidRPr="00D55DC6">
        <w:rPr>
          <w:rFonts w:eastAsia="標楷體"/>
          <w:sz w:val="28"/>
          <w:szCs w:val="28"/>
        </w:rPr>
        <w:t>含燈塔周邊</w:t>
      </w:r>
      <w:r w:rsidRPr="00D55DC6">
        <w:rPr>
          <w:rFonts w:eastAsia="標楷體"/>
          <w:sz w:val="28"/>
          <w:szCs w:val="28"/>
        </w:rPr>
        <w:t>)</w:t>
      </w:r>
      <w:r w:rsidRPr="00D55DC6">
        <w:rPr>
          <w:rFonts w:eastAsia="標楷體"/>
          <w:sz w:val="28"/>
          <w:szCs w:val="28"/>
        </w:rPr>
        <w:t>整建工程。</w:t>
      </w:r>
    </w:p>
    <w:p w:rsidR="00C40B73" w:rsidRPr="00D55DC6" w:rsidRDefault="00C40B73" w:rsidP="00C40B73">
      <w:pPr>
        <w:pStyle w:val="af2"/>
        <w:snapToGrid w:val="0"/>
        <w:spacing w:line="460" w:lineRule="exact"/>
        <w:ind w:leftChars="589" w:left="2122" w:hangingChars="253" w:hanging="708"/>
        <w:jc w:val="both"/>
        <w:rPr>
          <w:rFonts w:eastAsia="標楷體"/>
          <w:sz w:val="28"/>
          <w:szCs w:val="28"/>
        </w:rPr>
      </w:pPr>
      <w:r w:rsidRPr="00D55DC6">
        <w:rPr>
          <w:rFonts w:eastAsia="標楷體"/>
          <w:sz w:val="28"/>
          <w:szCs w:val="28"/>
        </w:rPr>
        <w:t>2-3-2.</w:t>
      </w:r>
      <w:r w:rsidRPr="00D55DC6">
        <w:rPr>
          <w:rFonts w:eastAsia="標楷體"/>
          <w:sz w:val="28"/>
          <w:szCs w:val="28"/>
        </w:rPr>
        <w:t>東引遊憩系統</w:t>
      </w:r>
      <w:r w:rsidRPr="00D55DC6">
        <w:rPr>
          <w:rFonts w:eastAsia="標楷體"/>
          <w:sz w:val="28"/>
          <w:szCs w:val="28"/>
        </w:rPr>
        <w:t>:101</w:t>
      </w:r>
      <w:r w:rsidRPr="00D55DC6">
        <w:rPr>
          <w:rFonts w:eastAsia="標楷體"/>
          <w:sz w:val="28"/>
          <w:szCs w:val="28"/>
        </w:rPr>
        <w:t>年完成東引遊客中心至南橋景點步道周邊景觀改善及東海雄風遊憩據點景觀整建工程，</w:t>
      </w:r>
      <w:r w:rsidRPr="00D55DC6">
        <w:rPr>
          <w:rFonts w:eastAsia="標楷體"/>
          <w:sz w:val="28"/>
          <w:szCs w:val="28"/>
        </w:rPr>
        <w:t>102</w:t>
      </w:r>
      <w:r w:rsidRPr="00D55DC6">
        <w:rPr>
          <w:rFonts w:eastAsia="標楷體"/>
          <w:sz w:val="28"/>
          <w:szCs w:val="28"/>
        </w:rPr>
        <w:t>年完成安東坑道設施暨周邊景點整建工程，</w:t>
      </w:r>
      <w:r w:rsidRPr="00D55DC6">
        <w:rPr>
          <w:rFonts w:eastAsia="標楷體"/>
          <w:sz w:val="28"/>
          <w:szCs w:val="28"/>
        </w:rPr>
        <w:t>103</w:t>
      </w:r>
      <w:r w:rsidRPr="00D55DC6">
        <w:rPr>
          <w:rFonts w:eastAsia="標楷體"/>
          <w:sz w:val="28"/>
          <w:szCs w:val="28"/>
        </w:rPr>
        <w:t>年完成東引地區景點及遊客中心整建工程。</w:t>
      </w:r>
    </w:p>
    <w:p w:rsidR="00C40B73" w:rsidRPr="00D55DC6" w:rsidRDefault="00C40B73" w:rsidP="00C40B73">
      <w:pPr>
        <w:pStyle w:val="af2"/>
        <w:snapToGrid w:val="0"/>
        <w:spacing w:line="460" w:lineRule="exact"/>
        <w:ind w:leftChars="413" w:left="1414" w:hangingChars="151" w:hanging="423"/>
        <w:jc w:val="both"/>
        <w:rPr>
          <w:rFonts w:eastAsia="標楷體"/>
          <w:b/>
          <w:sz w:val="28"/>
          <w:szCs w:val="28"/>
        </w:rPr>
      </w:pPr>
      <w:r w:rsidRPr="00D55DC6">
        <w:rPr>
          <w:rFonts w:eastAsia="標楷體"/>
          <w:b/>
          <w:sz w:val="28"/>
          <w:szCs w:val="28"/>
        </w:rPr>
        <w:t>2-4.</w:t>
      </w:r>
      <w:r w:rsidRPr="00D55DC6">
        <w:rPr>
          <w:rFonts w:eastAsia="標楷體"/>
          <w:b/>
          <w:sz w:val="28"/>
          <w:szCs w:val="28"/>
        </w:rPr>
        <w:t>國家風景區經營管理建設</w:t>
      </w:r>
    </w:p>
    <w:p w:rsidR="00C40B73" w:rsidRPr="00D55DC6" w:rsidRDefault="00C40B73" w:rsidP="00C40B73">
      <w:pPr>
        <w:pStyle w:val="af2"/>
        <w:snapToGrid w:val="0"/>
        <w:spacing w:line="460" w:lineRule="exact"/>
        <w:ind w:leftChars="589" w:left="2122" w:hangingChars="253" w:hanging="708"/>
        <w:jc w:val="both"/>
        <w:rPr>
          <w:rFonts w:eastAsia="標楷體"/>
          <w:sz w:val="28"/>
          <w:szCs w:val="28"/>
        </w:rPr>
      </w:pPr>
      <w:r w:rsidRPr="00D55DC6">
        <w:rPr>
          <w:rFonts w:eastAsia="標楷體"/>
          <w:sz w:val="28"/>
          <w:szCs w:val="28"/>
        </w:rPr>
        <w:t>2-4-1.</w:t>
      </w:r>
      <w:r w:rsidRPr="00D55DC6">
        <w:rPr>
          <w:rFonts w:eastAsia="標楷體"/>
          <w:sz w:val="28"/>
          <w:szCs w:val="28"/>
        </w:rPr>
        <w:t>用地取得</w:t>
      </w:r>
      <w:r w:rsidRPr="00D55DC6">
        <w:rPr>
          <w:rFonts w:eastAsia="標楷體"/>
          <w:sz w:val="28"/>
          <w:szCs w:val="28"/>
        </w:rPr>
        <w:t>-</w:t>
      </w:r>
      <w:r w:rsidRPr="00D55DC6">
        <w:rPr>
          <w:rFonts w:eastAsia="標楷體"/>
          <w:sz w:val="28"/>
          <w:szCs w:val="28"/>
        </w:rPr>
        <w:t>軍事據點活化再利用：</w:t>
      </w:r>
      <w:r w:rsidRPr="00D55DC6">
        <w:rPr>
          <w:rFonts w:eastAsia="標楷體"/>
          <w:sz w:val="28"/>
          <w:szCs w:val="28"/>
        </w:rPr>
        <w:t>101</w:t>
      </w:r>
      <w:r w:rsidRPr="00D55DC6">
        <w:rPr>
          <w:rFonts w:eastAsia="標楷體"/>
          <w:sz w:val="28"/>
          <w:szCs w:val="28"/>
        </w:rPr>
        <w:t>年完成南竿四維營區、下津沙據點、津沙尖據點土地撥用，</w:t>
      </w:r>
      <w:r w:rsidRPr="00D55DC6">
        <w:rPr>
          <w:rFonts w:eastAsia="標楷體"/>
          <w:sz w:val="28"/>
          <w:szCs w:val="28"/>
        </w:rPr>
        <w:t>102</w:t>
      </w:r>
      <w:r w:rsidRPr="00D55DC6">
        <w:rPr>
          <w:rFonts w:eastAsia="標楷體"/>
          <w:sz w:val="28"/>
          <w:szCs w:val="28"/>
        </w:rPr>
        <w:t>年完成南竿仁愛東營區土地撥用，</w:t>
      </w:r>
      <w:r w:rsidRPr="00D55DC6">
        <w:rPr>
          <w:rFonts w:eastAsia="標楷體"/>
          <w:sz w:val="28"/>
          <w:szCs w:val="28"/>
        </w:rPr>
        <w:t>103</w:t>
      </w:r>
      <w:r w:rsidRPr="00D55DC6">
        <w:rPr>
          <w:rFonts w:eastAsia="標楷體"/>
          <w:sz w:val="28"/>
          <w:szCs w:val="28"/>
        </w:rPr>
        <w:t>年完成坂里據點、東莒大砲連、青帆北營區、莒光分駐所土地撥用。</w:t>
      </w:r>
    </w:p>
    <w:p w:rsidR="00C40B73" w:rsidRPr="00D55DC6" w:rsidRDefault="00C40B73" w:rsidP="00C40B73">
      <w:pPr>
        <w:pStyle w:val="af2"/>
        <w:snapToGrid w:val="0"/>
        <w:spacing w:line="460" w:lineRule="exact"/>
        <w:ind w:leftChars="589" w:left="2122" w:hangingChars="253" w:hanging="708"/>
        <w:jc w:val="both"/>
        <w:rPr>
          <w:rFonts w:eastAsia="標楷體"/>
          <w:sz w:val="28"/>
          <w:szCs w:val="28"/>
        </w:rPr>
      </w:pPr>
      <w:r w:rsidRPr="00D55DC6">
        <w:rPr>
          <w:rFonts w:eastAsia="標楷體"/>
          <w:sz w:val="28"/>
          <w:szCs w:val="28"/>
        </w:rPr>
        <w:t>2-4-2.</w:t>
      </w:r>
      <w:r w:rsidRPr="00D55DC6">
        <w:rPr>
          <w:rFonts w:eastAsia="標楷體"/>
          <w:sz w:val="28"/>
          <w:szCs w:val="28"/>
        </w:rPr>
        <w:t>用地取得</w:t>
      </w:r>
      <w:r w:rsidRPr="00D55DC6">
        <w:rPr>
          <w:rFonts w:eastAsia="標楷體"/>
          <w:sz w:val="28"/>
          <w:szCs w:val="28"/>
        </w:rPr>
        <w:t>-</w:t>
      </w:r>
      <w:r w:rsidRPr="00D55DC6">
        <w:rPr>
          <w:rFonts w:eastAsia="標楷體"/>
          <w:sz w:val="28"/>
          <w:szCs w:val="28"/>
        </w:rPr>
        <w:t>土地徵收：於</w:t>
      </w:r>
      <w:r w:rsidRPr="00D55DC6">
        <w:rPr>
          <w:rFonts w:eastAsia="標楷體"/>
          <w:sz w:val="28"/>
          <w:szCs w:val="28"/>
        </w:rPr>
        <w:t>103</w:t>
      </w:r>
      <w:r w:rsidRPr="00D55DC6">
        <w:rPr>
          <w:rFonts w:eastAsia="標楷體"/>
          <w:sz w:val="28"/>
          <w:szCs w:val="28"/>
        </w:rPr>
        <w:t>年通過處本部暨南竿遊客中心所在之都市計畫機</w:t>
      </w:r>
      <w:r w:rsidRPr="00D55DC6">
        <w:rPr>
          <w:rFonts w:eastAsia="標楷體"/>
          <w:sz w:val="28"/>
          <w:szCs w:val="28"/>
        </w:rPr>
        <w:t>39</w:t>
      </w:r>
      <w:r w:rsidRPr="00D55DC6">
        <w:rPr>
          <w:rFonts w:eastAsia="標楷體"/>
          <w:sz w:val="28"/>
          <w:szCs w:val="28"/>
        </w:rPr>
        <w:t>分區用地取得徵收計畫。</w:t>
      </w:r>
    </w:p>
    <w:p w:rsidR="00C40B73" w:rsidRPr="00D55DC6" w:rsidRDefault="00C40B73" w:rsidP="00C40B73">
      <w:pPr>
        <w:pStyle w:val="af2"/>
        <w:snapToGrid w:val="0"/>
        <w:spacing w:line="460" w:lineRule="exact"/>
        <w:ind w:leftChars="589" w:left="2122" w:hangingChars="253" w:hanging="708"/>
        <w:jc w:val="both"/>
        <w:rPr>
          <w:rFonts w:eastAsia="標楷體"/>
          <w:sz w:val="28"/>
          <w:szCs w:val="28"/>
        </w:rPr>
      </w:pPr>
      <w:r w:rsidRPr="00D55DC6">
        <w:rPr>
          <w:rFonts w:eastAsia="標楷體"/>
          <w:sz w:val="28"/>
          <w:szCs w:val="28"/>
        </w:rPr>
        <w:t>2-4-3.</w:t>
      </w:r>
      <w:r w:rsidRPr="00D55DC6">
        <w:rPr>
          <w:rFonts w:eastAsia="標楷體"/>
          <w:sz w:val="28"/>
          <w:szCs w:val="28"/>
        </w:rPr>
        <w:t>觀光資源調查與規劃</w:t>
      </w:r>
      <w:r w:rsidRPr="00D55DC6">
        <w:rPr>
          <w:rFonts w:eastAsia="標楷體"/>
          <w:sz w:val="28"/>
          <w:szCs w:val="28"/>
        </w:rPr>
        <w:t>:</w:t>
      </w:r>
      <w:r w:rsidRPr="00D55DC6">
        <w:rPr>
          <w:rFonts w:eastAsia="標楷體"/>
          <w:sz w:val="28"/>
          <w:szCs w:val="28"/>
        </w:rPr>
        <w:t>於</w:t>
      </w:r>
      <w:r w:rsidRPr="00D55DC6">
        <w:rPr>
          <w:rFonts w:eastAsia="標楷體"/>
          <w:sz w:val="28"/>
          <w:szCs w:val="28"/>
        </w:rPr>
        <w:t>101</w:t>
      </w:r>
      <w:r w:rsidRPr="00D55DC6">
        <w:rPr>
          <w:rFonts w:eastAsia="標楷體"/>
          <w:sz w:val="28"/>
          <w:szCs w:val="28"/>
        </w:rPr>
        <w:t>年完成馬祖國家風景區生態旅遊策略規劃，並於</w:t>
      </w:r>
      <w:r w:rsidRPr="00D55DC6">
        <w:rPr>
          <w:rFonts w:eastAsia="標楷體"/>
          <w:sz w:val="28"/>
          <w:szCs w:val="28"/>
        </w:rPr>
        <w:t>102~103</w:t>
      </w:r>
      <w:r w:rsidRPr="00D55DC6">
        <w:rPr>
          <w:rFonts w:eastAsia="標楷體"/>
          <w:sz w:val="28"/>
          <w:szCs w:val="28"/>
        </w:rPr>
        <w:t>年積極推動馬祖地質公園相關計畫。</w:t>
      </w:r>
    </w:p>
    <w:p w:rsidR="00C40B73" w:rsidRPr="00D55DC6" w:rsidRDefault="00C40B73" w:rsidP="00C40B73">
      <w:pPr>
        <w:pStyle w:val="af2"/>
        <w:snapToGrid w:val="0"/>
        <w:spacing w:line="460" w:lineRule="exact"/>
        <w:ind w:leftChars="589" w:left="2122" w:hangingChars="253" w:hanging="708"/>
        <w:jc w:val="both"/>
        <w:rPr>
          <w:rFonts w:eastAsia="標楷體"/>
          <w:sz w:val="28"/>
          <w:szCs w:val="28"/>
        </w:rPr>
      </w:pPr>
      <w:r w:rsidRPr="00D55DC6">
        <w:rPr>
          <w:rFonts w:eastAsia="標楷體"/>
          <w:sz w:val="28"/>
          <w:szCs w:val="28"/>
        </w:rPr>
        <w:t>2-4-4.</w:t>
      </w:r>
      <w:r w:rsidRPr="00D55DC6">
        <w:rPr>
          <w:rFonts w:eastAsia="標楷體"/>
          <w:sz w:val="28"/>
          <w:szCs w:val="28"/>
        </w:rPr>
        <w:t>馬祖地區特色建築補助計畫</w:t>
      </w:r>
      <w:r w:rsidRPr="00D55DC6">
        <w:rPr>
          <w:rFonts w:eastAsia="標楷體"/>
          <w:sz w:val="28"/>
          <w:szCs w:val="28"/>
        </w:rPr>
        <w:t>:101~103</w:t>
      </w:r>
      <w:r w:rsidRPr="00D55DC6">
        <w:rPr>
          <w:rFonts w:eastAsia="標楷體"/>
          <w:sz w:val="28"/>
          <w:szCs w:val="28"/>
        </w:rPr>
        <w:t>年完成</w:t>
      </w:r>
      <w:r w:rsidRPr="00D55DC6">
        <w:rPr>
          <w:rFonts w:eastAsia="標楷體"/>
          <w:sz w:val="28"/>
          <w:szCs w:val="28"/>
        </w:rPr>
        <w:t>33</w:t>
      </w:r>
      <w:r w:rsidRPr="00D55DC6">
        <w:rPr>
          <w:rFonts w:eastAsia="標楷體"/>
          <w:sz w:val="28"/>
          <w:szCs w:val="28"/>
        </w:rPr>
        <w:t>件馬祖地區特色建築補助案。</w:t>
      </w:r>
    </w:p>
    <w:p w:rsidR="00C40B73" w:rsidRPr="00D55DC6" w:rsidRDefault="00C40B73" w:rsidP="00C40B73">
      <w:pPr>
        <w:pStyle w:val="af2"/>
        <w:snapToGrid w:val="0"/>
        <w:spacing w:line="460" w:lineRule="exact"/>
        <w:ind w:leftChars="413" w:left="1414" w:hangingChars="151" w:hanging="423"/>
        <w:jc w:val="both"/>
        <w:rPr>
          <w:rFonts w:eastAsia="標楷體"/>
          <w:b/>
          <w:sz w:val="28"/>
          <w:szCs w:val="28"/>
        </w:rPr>
      </w:pPr>
      <w:r w:rsidRPr="00D55DC6">
        <w:rPr>
          <w:rFonts w:eastAsia="標楷體"/>
          <w:b/>
          <w:sz w:val="28"/>
          <w:szCs w:val="28"/>
        </w:rPr>
        <w:t>2-5.</w:t>
      </w:r>
      <w:r w:rsidRPr="00D55DC6">
        <w:rPr>
          <w:rFonts w:eastAsia="標楷體"/>
          <w:b/>
          <w:sz w:val="28"/>
          <w:szCs w:val="28"/>
        </w:rPr>
        <w:t>經營管理及行銷推廣</w:t>
      </w:r>
    </w:p>
    <w:p w:rsidR="00C40B73" w:rsidRPr="00D55DC6" w:rsidRDefault="00C40B73" w:rsidP="00C40B73">
      <w:pPr>
        <w:pStyle w:val="af2"/>
        <w:snapToGrid w:val="0"/>
        <w:spacing w:line="460" w:lineRule="exact"/>
        <w:ind w:leftChars="589" w:left="2122" w:hangingChars="253" w:hanging="708"/>
        <w:jc w:val="both"/>
        <w:rPr>
          <w:rFonts w:eastAsia="標楷體"/>
          <w:sz w:val="28"/>
          <w:szCs w:val="28"/>
        </w:rPr>
      </w:pPr>
      <w:r w:rsidRPr="00D55DC6">
        <w:rPr>
          <w:rFonts w:eastAsia="標楷體"/>
          <w:sz w:val="28"/>
          <w:szCs w:val="28"/>
        </w:rPr>
        <w:t>2-5-1.</w:t>
      </w:r>
      <w:r w:rsidRPr="00D55DC6">
        <w:rPr>
          <w:rFonts w:eastAsia="標楷體"/>
          <w:sz w:val="28"/>
          <w:szCs w:val="28"/>
        </w:rPr>
        <w:t>經營管理：</w:t>
      </w:r>
    </w:p>
    <w:p w:rsidR="00C40B73" w:rsidRPr="00D55DC6" w:rsidRDefault="00C40B73" w:rsidP="00C40B73">
      <w:pPr>
        <w:pStyle w:val="af2"/>
        <w:snapToGrid w:val="0"/>
        <w:spacing w:line="460" w:lineRule="exact"/>
        <w:ind w:leftChars="767" w:left="2832" w:hangingChars="354" w:hanging="991"/>
        <w:jc w:val="both"/>
        <w:rPr>
          <w:rFonts w:eastAsia="標楷體"/>
          <w:sz w:val="28"/>
          <w:szCs w:val="28"/>
        </w:rPr>
      </w:pPr>
      <w:r w:rsidRPr="00D55DC6">
        <w:rPr>
          <w:rFonts w:eastAsia="標楷體"/>
          <w:sz w:val="28"/>
          <w:szCs w:val="28"/>
        </w:rPr>
        <w:t>2-5-1-1.</w:t>
      </w:r>
      <w:r w:rsidRPr="00D55DC6">
        <w:rPr>
          <w:rFonts w:eastAsia="標楷體"/>
          <w:sz w:val="28"/>
          <w:szCs w:val="28"/>
        </w:rPr>
        <w:t>辦理委外出租及促參案件</w:t>
      </w:r>
      <w:r w:rsidRPr="00D55DC6">
        <w:rPr>
          <w:rFonts w:eastAsia="標楷體"/>
          <w:sz w:val="28"/>
          <w:szCs w:val="28"/>
        </w:rPr>
        <w:t>:</w:t>
      </w:r>
      <w:r w:rsidRPr="00D55DC6">
        <w:rPr>
          <w:rFonts w:eastAsia="標楷體"/>
          <w:sz w:val="28"/>
          <w:szCs w:val="28"/>
        </w:rPr>
        <w:t>賡續辦理「南竿北海坑道獨</w:t>
      </w:r>
      <w:r w:rsidRPr="00D55DC6">
        <w:rPr>
          <w:rFonts w:eastAsia="標楷體"/>
          <w:sz w:val="28"/>
          <w:szCs w:val="28"/>
        </w:rPr>
        <w:lastRenderedPageBreak/>
        <w:t>木舟營運設備出租」，</w:t>
      </w:r>
      <w:r w:rsidRPr="00D55DC6">
        <w:rPr>
          <w:rFonts w:eastAsia="標楷體"/>
          <w:sz w:val="28"/>
          <w:szCs w:val="28"/>
        </w:rPr>
        <w:t>102</w:t>
      </w:r>
      <w:r w:rsidRPr="00D55DC6">
        <w:rPr>
          <w:rFonts w:eastAsia="標楷體"/>
          <w:sz w:val="28"/>
          <w:szCs w:val="28"/>
        </w:rPr>
        <w:t>年完成南竿遊客中心及北竿坂里大宅委外出租，</w:t>
      </w:r>
      <w:r w:rsidRPr="00D55DC6">
        <w:rPr>
          <w:rFonts w:eastAsia="標楷體"/>
          <w:sz w:val="28"/>
          <w:szCs w:val="28"/>
        </w:rPr>
        <w:t>103</w:t>
      </w:r>
      <w:r w:rsidRPr="00D55DC6">
        <w:rPr>
          <w:rFonts w:eastAsia="標楷體"/>
          <w:sz w:val="28"/>
          <w:szCs w:val="28"/>
        </w:rPr>
        <w:t>年奉交通部核定授權辦理南竿四維生態</w:t>
      </w:r>
      <w:r w:rsidR="00EA38C5" w:rsidRPr="00D55DC6">
        <w:rPr>
          <w:rFonts w:eastAsia="標楷體"/>
          <w:sz w:val="28"/>
          <w:szCs w:val="28"/>
        </w:rPr>
        <w:t>度假</w:t>
      </w:r>
      <w:r w:rsidRPr="00D55DC6">
        <w:rPr>
          <w:rFonts w:eastAsia="標楷體"/>
          <w:sz w:val="28"/>
          <w:szCs w:val="28"/>
        </w:rPr>
        <w:t>園區奉促參案件。</w:t>
      </w:r>
    </w:p>
    <w:p w:rsidR="00C40B73" w:rsidRPr="00D55DC6" w:rsidRDefault="00C40B73" w:rsidP="00C40B73">
      <w:pPr>
        <w:pStyle w:val="af2"/>
        <w:snapToGrid w:val="0"/>
        <w:spacing w:line="460" w:lineRule="exact"/>
        <w:ind w:leftChars="767" w:left="2832" w:hangingChars="354" w:hanging="991"/>
        <w:jc w:val="both"/>
        <w:rPr>
          <w:rFonts w:eastAsia="標楷體"/>
          <w:sz w:val="28"/>
          <w:szCs w:val="28"/>
        </w:rPr>
      </w:pPr>
      <w:r w:rsidRPr="00D55DC6">
        <w:rPr>
          <w:rFonts w:eastAsia="標楷體"/>
          <w:sz w:val="28"/>
          <w:szCs w:val="28"/>
        </w:rPr>
        <w:t>2-5-1-2.</w:t>
      </w:r>
      <w:r w:rsidRPr="00D55DC6">
        <w:rPr>
          <w:rFonts w:eastAsia="標楷體"/>
          <w:sz w:val="28"/>
          <w:szCs w:val="28"/>
        </w:rPr>
        <w:t xml:space="preserve">另定期辦理志工招募及訓練，強化遊客服務中心服務品質。　</w:t>
      </w:r>
    </w:p>
    <w:p w:rsidR="00C40B73" w:rsidRPr="00D55DC6" w:rsidRDefault="00C40B73" w:rsidP="00C40B73">
      <w:pPr>
        <w:pStyle w:val="af2"/>
        <w:snapToGrid w:val="0"/>
        <w:spacing w:line="460" w:lineRule="exact"/>
        <w:ind w:leftChars="767" w:left="2832" w:hangingChars="354" w:hanging="991"/>
        <w:jc w:val="both"/>
        <w:rPr>
          <w:rFonts w:eastAsia="標楷體"/>
          <w:sz w:val="28"/>
          <w:szCs w:val="28"/>
        </w:rPr>
      </w:pPr>
      <w:r w:rsidRPr="00D55DC6">
        <w:rPr>
          <w:rFonts w:eastAsia="標楷體"/>
          <w:sz w:val="28"/>
          <w:szCs w:val="28"/>
        </w:rPr>
        <w:t>2-5-1-3.</w:t>
      </w:r>
      <w:r w:rsidRPr="00D55DC6">
        <w:rPr>
          <w:rFonts w:eastAsia="標楷體"/>
          <w:sz w:val="28"/>
          <w:szCs w:val="28"/>
        </w:rPr>
        <w:t>全區景點納入公共意外責任險，惡劣天候景點預警封閉，全面強化遊客安全保障。</w:t>
      </w:r>
    </w:p>
    <w:p w:rsidR="00C40B73" w:rsidRPr="00D55DC6" w:rsidRDefault="00C40B73" w:rsidP="00C40B73">
      <w:pPr>
        <w:pStyle w:val="af2"/>
        <w:snapToGrid w:val="0"/>
        <w:spacing w:line="460" w:lineRule="exact"/>
        <w:ind w:leftChars="767" w:left="2832" w:hangingChars="354" w:hanging="991"/>
        <w:jc w:val="both"/>
        <w:rPr>
          <w:rFonts w:eastAsia="標楷體"/>
          <w:sz w:val="28"/>
          <w:szCs w:val="28"/>
        </w:rPr>
      </w:pPr>
      <w:r w:rsidRPr="00D55DC6">
        <w:rPr>
          <w:rFonts w:eastAsia="標楷體"/>
          <w:sz w:val="28"/>
          <w:szCs w:val="28"/>
        </w:rPr>
        <w:t>2-5-1-4.</w:t>
      </w:r>
      <w:r w:rsidRPr="00D55DC6">
        <w:rPr>
          <w:rFonts w:eastAsia="標楷體"/>
          <w:sz w:val="28"/>
          <w:szCs w:val="28"/>
        </w:rPr>
        <w:t>遊憩據點清潔、綠美化工作委外，建立巡察機制，提升遊憩品質。</w:t>
      </w:r>
    </w:p>
    <w:p w:rsidR="00C40B73" w:rsidRPr="00D55DC6" w:rsidRDefault="00C40B73" w:rsidP="00C40B73">
      <w:pPr>
        <w:pStyle w:val="af2"/>
        <w:snapToGrid w:val="0"/>
        <w:spacing w:line="460" w:lineRule="exact"/>
        <w:ind w:leftChars="589" w:left="2122" w:hangingChars="253" w:hanging="708"/>
        <w:jc w:val="both"/>
        <w:rPr>
          <w:rFonts w:eastAsia="標楷體"/>
          <w:sz w:val="28"/>
          <w:szCs w:val="28"/>
        </w:rPr>
      </w:pPr>
      <w:r w:rsidRPr="00D55DC6">
        <w:rPr>
          <w:rFonts w:eastAsia="標楷體"/>
          <w:sz w:val="28"/>
          <w:szCs w:val="28"/>
        </w:rPr>
        <w:t>2-5-2.</w:t>
      </w:r>
      <w:r w:rsidRPr="00D55DC6">
        <w:rPr>
          <w:rFonts w:eastAsia="標楷體"/>
          <w:sz w:val="28"/>
          <w:szCs w:val="28"/>
        </w:rPr>
        <w:t>行銷推廣：</w:t>
      </w:r>
    </w:p>
    <w:p w:rsidR="00C40B73" w:rsidRPr="00D55DC6" w:rsidRDefault="00C40B73" w:rsidP="00C40B73">
      <w:pPr>
        <w:pStyle w:val="af2"/>
        <w:snapToGrid w:val="0"/>
        <w:spacing w:line="460" w:lineRule="exact"/>
        <w:ind w:leftChars="767" w:left="2832" w:hangingChars="354" w:hanging="991"/>
        <w:jc w:val="both"/>
        <w:rPr>
          <w:rFonts w:eastAsia="標楷體"/>
          <w:sz w:val="28"/>
          <w:szCs w:val="28"/>
        </w:rPr>
      </w:pPr>
      <w:r w:rsidRPr="00D55DC6">
        <w:rPr>
          <w:rFonts w:eastAsia="標楷體"/>
          <w:sz w:val="28"/>
          <w:szCs w:val="28"/>
        </w:rPr>
        <w:t>2-5-2-1.</w:t>
      </w:r>
      <w:r w:rsidRPr="00D55DC6">
        <w:rPr>
          <w:rFonts w:eastAsia="標楷體"/>
          <w:sz w:val="28"/>
          <w:szCs w:val="28"/>
        </w:rPr>
        <w:t>淡季行銷</w:t>
      </w:r>
      <w:r w:rsidRPr="00D55DC6">
        <w:rPr>
          <w:rFonts w:eastAsia="標楷體"/>
          <w:sz w:val="28"/>
          <w:szCs w:val="28"/>
        </w:rPr>
        <w:t>: 101</w:t>
      </w:r>
      <w:r w:rsidRPr="00D55DC6">
        <w:rPr>
          <w:rFonts w:eastAsia="標楷體"/>
          <w:sz w:val="28"/>
          <w:szCs w:val="28"/>
        </w:rPr>
        <w:t>年辦理「聞戰下馬慢遊馬祖觀光旅遊行銷活動」（補助人數</w:t>
      </w:r>
      <w:r w:rsidRPr="00D55DC6">
        <w:rPr>
          <w:rFonts w:eastAsia="標楷體"/>
          <w:sz w:val="28"/>
          <w:szCs w:val="28"/>
        </w:rPr>
        <w:t>8,305</w:t>
      </w:r>
      <w:r w:rsidRPr="00D55DC6">
        <w:rPr>
          <w:rFonts w:eastAsia="標楷體"/>
          <w:sz w:val="28"/>
          <w:szCs w:val="28"/>
        </w:rPr>
        <w:t>人），</w:t>
      </w:r>
      <w:r w:rsidRPr="00D55DC6">
        <w:rPr>
          <w:rFonts w:eastAsia="標楷體"/>
          <w:sz w:val="28"/>
          <w:szCs w:val="28"/>
        </w:rPr>
        <w:t>102</w:t>
      </w:r>
      <w:r w:rsidRPr="00D55DC6">
        <w:rPr>
          <w:rFonts w:eastAsia="標楷體"/>
          <w:sz w:val="28"/>
          <w:szCs w:val="28"/>
        </w:rPr>
        <w:t>年推出「卡蹓馬悠媽祖在馬祖生態旅遊行銷獎助要點」</w:t>
      </w:r>
      <w:r w:rsidRPr="00D55DC6">
        <w:rPr>
          <w:rFonts w:eastAsia="標楷體"/>
          <w:sz w:val="28"/>
          <w:szCs w:val="28"/>
        </w:rPr>
        <w:t>(</w:t>
      </w:r>
      <w:r w:rsidRPr="00D55DC6">
        <w:rPr>
          <w:rFonts w:eastAsia="標楷體"/>
          <w:sz w:val="28"/>
          <w:szCs w:val="28"/>
        </w:rPr>
        <w:t>補助大陸地區遊客</w:t>
      </w:r>
      <w:r w:rsidRPr="00D55DC6">
        <w:rPr>
          <w:rFonts w:eastAsia="標楷體"/>
          <w:sz w:val="28"/>
          <w:szCs w:val="28"/>
        </w:rPr>
        <w:t>11,232</w:t>
      </w:r>
      <w:r w:rsidRPr="00D55DC6">
        <w:rPr>
          <w:rFonts w:eastAsia="標楷體"/>
          <w:sz w:val="28"/>
          <w:szCs w:val="28"/>
        </w:rPr>
        <w:t>人、國際遊客</w:t>
      </w:r>
      <w:r w:rsidRPr="00D55DC6">
        <w:rPr>
          <w:rFonts w:eastAsia="標楷體"/>
          <w:sz w:val="28"/>
          <w:szCs w:val="28"/>
        </w:rPr>
        <w:t>78</w:t>
      </w:r>
      <w:r w:rsidRPr="00D55DC6">
        <w:rPr>
          <w:rFonts w:eastAsia="標楷體"/>
          <w:sz w:val="28"/>
          <w:szCs w:val="28"/>
        </w:rPr>
        <w:t>人、總補助人數</w:t>
      </w:r>
      <w:r w:rsidRPr="00D55DC6">
        <w:rPr>
          <w:rFonts w:eastAsia="標楷體"/>
          <w:sz w:val="28"/>
          <w:szCs w:val="28"/>
        </w:rPr>
        <w:t>25,142</w:t>
      </w:r>
      <w:r w:rsidRPr="00D55DC6">
        <w:rPr>
          <w:rFonts w:eastAsia="標楷體"/>
          <w:sz w:val="28"/>
          <w:szCs w:val="28"/>
        </w:rPr>
        <w:t>人</w:t>
      </w:r>
      <w:r w:rsidRPr="00D55DC6">
        <w:rPr>
          <w:rFonts w:eastAsia="標楷體"/>
          <w:sz w:val="28"/>
          <w:szCs w:val="28"/>
        </w:rPr>
        <w:t>)</w:t>
      </w:r>
      <w:r w:rsidRPr="00D55DC6">
        <w:rPr>
          <w:rFonts w:eastAsia="標楷體"/>
          <w:sz w:val="28"/>
          <w:szCs w:val="28"/>
        </w:rPr>
        <w:t>，成功縮短馬祖觀光淡季。</w:t>
      </w:r>
    </w:p>
    <w:p w:rsidR="00C40B73" w:rsidRPr="00D55DC6" w:rsidRDefault="00C40B73" w:rsidP="00C40B73">
      <w:pPr>
        <w:pStyle w:val="af2"/>
        <w:snapToGrid w:val="0"/>
        <w:spacing w:line="460" w:lineRule="exact"/>
        <w:ind w:leftChars="767" w:left="2832" w:hangingChars="354" w:hanging="991"/>
        <w:jc w:val="both"/>
        <w:rPr>
          <w:rFonts w:eastAsia="標楷體"/>
          <w:sz w:val="28"/>
          <w:szCs w:val="28"/>
        </w:rPr>
      </w:pPr>
      <w:r w:rsidRPr="00D55DC6">
        <w:rPr>
          <w:rFonts w:eastAsia="標楷體"/>
          <w:sz w:val="28"/>
          <w:szCs w:val="28"/>
        </w:rPr>
        <w:t>2-5-2-2.</w:t>
      </w:r>
      <w:r w:rsidRPr="00D55DC6">
        <w:rPr>
          <w:rFonts w:eastAsia="標楷體"/>
          <w:sz w:val="28"/>
          <w:szCs w:val="28"/>
        </w:rPr>
        <w:t>辦理生態賞鷗行程</w:t>
      </w:r>
      <w:r w:rsidRPr="00D55DC6">
        <w:rPr>
          <w:rFonts w:eastAsia="標楷體"/>
          <w:sz w:val="28"/>
          <w:szCs w:val="28"/>
        </w:rPr>
        <w:t>:101</w:t>
      </w:r>
      <w:r w:rsidRPr="00D55DC6">
        <w:rPr>
          <w:rFonts w:eastAsia="標楷體"/>
          <w:sz w:val="28"/>
          <w:szCs w:val="28"/>
        </w:rPr>
        <w:t>年參與遊客共</w:t>
      </w:r>
      <w:r w:rsidRPr="00D55DC6">
        <w:rPr>
          <w:rFonts w:eastAsia="標楷體"/>
          <w:sz w:val="28"/>
          <w:szCs w:val="28"/>
        </w:rPr>
        <w:t>716</w:t>
      </w:r>
      <w:r w:rsidRPr="00D55DC6">
        <w:rPr>
          <w:rFonts w:eastAsia="標楷體"/>
          <w:sz w:val="28"/>
          <w:szCs w:val="28"/>
        </w:rPr>
        <w:t>人次，</w:t>
      </w:r>
      <w:r w:rsidRPr="00D55DC6">
        <w:rPr>
          <w:rFonts w:eastAsia="標楷體"/>
          <w:sz w:val="28"/>
          <w:szCs w:val="28"/>
        </w:rPr>
        <w:t>102</w:t>
      </w:r>
      <w:r w:rsidRPr="00D55DC6">
        <w:rPr>
          <w:rFonts w:eastAsia="標楷體"/>
          <w:sz w:val="28"/>
          <w:szCs w:val="28"/>
        </w:rPr>
        <w:t>年</w:t>
      </w:r>
      <w:r w:rsidRPr="00D55DC6">
        <w:rPr>
          <w:rFonts w:eastAsia="標楷體"/>
          <w:sz w:val="28"/>
          <w:szCs w:val="28"/>
        </w:rPr>
        <w:t>975</w:t>
      </w:r>
      <w:r w:rsidRPr="00D55DC6">
        <w:rPr>
          <w:rFonts w:eastAsia="標楷體"/>
          <w:sz w:val="28"/>
          <w:szCs w:val="28"/>
        </w:rPr>
        <w:t>人次，</w:t>
      </w:r>
      <w:r w:rsidRPr="00D55DC6">
        <w:rPr>
          <w:rFonts w:eastAsia="標楷體"/>
          <w:sz w:val="28"/>
          <w:szCs w:val="28"/>
        </w:rPr>
        <w:t>103</w:t>
      </w:r>
      <w:r w:rsidRPr="00D55DC6">
        <w:rPr>
          <w:rFonts w:eastAsia="標楷體"/>
          <w:sz w:val="28"/>
          <w:szCs w:val="28"/>
        </w:rPr>
        <w:t>年</w:t>
      </w:r>
      <w:r w:rsidRPr="00D55DC6">
        <w:rPr>
          <w:rFonts w:eastAsia="標楷體"/>
          <w:sz w:val="28"/>
          <w:szCs w:val="28"/>
        </w:rPr>
        <w:t>1,121</w:t>
      </w:r>
      <w:r w:rsidRPr="00D55DC6">
        <w:rPr>
          <w:rFonts w:eastAsia="標楷體"/>
          <w:sz w:val="28"/>
          <w:szCs w:val="28"/>
        </w:rPr>
        <w:t>人次，參加人數與滿意度均逐年增加。</w:t>
      </w:r>
    </w:p>
    <w:p w:rsidR="00C40B73" w:rsidRPr="00D55DC6" w:rsidRDefault="00C40B73" w:rsidP="00C40B73">
      <w:pPr>
        <w:pStyle w:val="af2"/>
        <w:snapToGrid w:val="0"/>
        <w:spacing w:line="460" w:lineRule="exact"/>
        <w:ind w:leftChars="767" w:left="2832" w:hangingChars="354" w:hanging="991"/>
        <w:jc w:val="both"/>
        <w:rPr>
          <w:rFonts w:eastAsia="標楷體"/>
          <w:sz w:val="28"/>
          <w:szCs w:val="28"/>
        </w:rPr>
      </w:pPr>
      <w:r w:rsidRPr="00D55DC6">
        <w:rPr>
          <w:rFonts w:eastAsia="標楷體"/>
          <w:sz w:val="28"/>
          <w:szCs w:val="28"/>
        </w:rPr>
        <w:t>2-5-2-3.</w:t>
      </w:r>
      <w:r w:rsidRPr="00D55DC6">
        <w:rPr>
          <w:rFonts w:eastAsia="標楷體"/>
          <w:sz w:val="28"/>
          <w:szCs w:val="28"/>
        </w:rPr>
        <w:t>辦理南竿北海音樂季、協辦「海上看東引生態賞鷗」等活動。</w:t>
      </w:r>
    </w:p>
    <w:p w:rsidR="00C40B73" w:rsidRPr="00D55DC6" w:rsidRDefault="00C40B73" w:rsidP="00C40B73">
      <w:pPr>
        <w:pStyle w:val="af2"/>
        <w:snapToGrid w:val="0"/>
        <w:spacing w:line="460" w:lineRule="exact"/>
        <w:ind w:leftChars="767" w:left="2832" w:hangingChars="354" w:hanging="991"/>
        <w:jc w:val="both"/>
        <w:rPr>
          <w:rFonts w:eastAsia="標楷體"/>
          <w:sz w:val="28"/>
          <w:szCs w:val="28"/>
        </w:rPr>
      </w:pPr>
    </w:p>
    <w:p w:rsidR="00C40B73" w:rsidRPr="00D55DC6" w:rsidRDefault="00C40B73" w:rsidP="00C40B73">
      <w:pPr>
        <w:pStyle w:val="a"/>
        <w:ind w:left="709" w:hanging="709"/>
        <w:rPr>
          <w:b/>
        </w:rPr>
      </w:pPr>
      <w:bookmarkStart w:id="183" w:name="_Toc407181741"/>
      <w:r w:rsidRPr="00D55DC6">
        <w:rPr>
          <w:b/>
        </w:rPr>
        <w:t>執行策略及方法</w:t>
      </w:r>
      <w:bookmarkEnd w:id="183"/>
    </w:p>
    <w:p w:rsidR="00C40B73" w:rsidRPr="00D55DC6" w:rsidRDefault="00C40B73" w:rsidP="004865C1">
      <w:pPr>
        <w:pStyle w:val="af2"/>
        <w:numPr>
          <w:ilvl w:val="0"/>
          <w:numId w:val="217"/>
        </w:numPr>
        <w:snapToGrid w:val="0"/>
        <w:spacing w:line="460" w:lineRule="exact"/>
        <w:ind w:leftChars="0"/>
        <w:jc w:val="both"/>
        <w:rPr>
          <w:rFonts w:eastAsia="標楷體"/>
          <w:b/>
          <w:sz w:val="28"/>
          <w:szCs w:val="28"/>
        </w:rPr>
      </w:pPr>
      <w:r w:rsidRPr="00D55DC6">
        <w:rPr>
          <w:rFonts w:eastAsia="標楷體"/>
          <w:b/>
          <w:sz w:val="28"/>
          <w:szCs w:val="28"/>
        </w:rPr>
        <w:t>執行策略</w:t>
      </w:r>
    </w:p>
    <w:p w:rsidR="00C40B73" w:rsidRPr="00D55DC6" w:rsidRDefault="00C40B73" w:rsidP="004865C1">
      <w:pPr>
        <w:pStyle w:val="af2"/>
        <w:numPr>
          <w:ilvl w:val="1"/>
          <w:numId w:val="217"/>
        </w:numPr>
        <w:snapToGrid w:val="0"/>
        <w:spacing w:line="460" w:lineRule="exact"/>
        <w:ind w:leftChars="295" w:left="991" w:hangingChars="101" w:hanging="283"/>
        <w:jc w:val="both"/>
        <w:rPr>
          <w:rFonts w:eastAsia="標楷體"/>
          <w:sz w:val="28"/>
          <w:szCs w:val="28"/>
        </w:rPr>
      </w:pPr>
      <w:r w:rsidRPr="00D55DC6">
        <w:rPr>
          <w:rFonts w:eastAsia="標楷體"/>
          <w:sz w:val="28"/>
          <w:szCs w:val="28"/>
        </w:rPr>
        <w:t>建設理念</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r w:rsidRPr="00D55DC6">
        <w:rPr>
          <w:rFonts w:eastAsia="標楷體"/>
          <w:b/>
          <w:sz w:val="28"/>
          <w:szCs w:val="28"/>
        </w:rPr>
        <w:t>1-1.</w:t>
      </w:r>
      <w:r w:rsidRPr="00D55DC6">
        <w:rPr>
          <w:rFonts w:eastAsia="標楷體"/>
          <w:b/>
          <w:sz w:val="28"/>
          <w:szCs w:val="28"/>
        </w:rPr>
        <w:t>「國際島嶼」</w:t>
      </w:r>
      <w:r w:rsidRPr="00D55DC6">
        <w:rPr>
          <w:rFonts w:eastAsia="標楷體"/>
          <w:sz w:val="28"/>
          <w:szCs w:val="28"/>
        </w:rPr>
        <w:t>—</w:t>
      </w:r>
      <w:r w:rsidRPr="00D55DC6">
        <w:rPr>
          <w:rFonts w:eastAsia="標楷體"/>
          <w:sz w:val="28"/>
          <w:szCs w:val="28"/>
        </w:rPr>
        <w:t>吸引國際高端遊客，創造高產值之觀光產業鏈。</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r w:rsidRPr="00D55DC6">
        <w:rPr>
          <w:rFonts w:eastAsia="標楷體"/>
          <w:b/>
          <w:sz w:val="28"/>
          <w:szCs w:val="28"/>
        </w:rPr>
        <w:t>1-2.</w:t>
      </w:r>
      <w:r w:rsidRPr="00D55DC6">
        <w:rPr>
          <w:rFonts w:eastAsia="標楷體"/>
          <w:b/>
          <w:sz w:val="28"/>
          <w:szCs w:val="28"/>
        </w:rPr>
        <w:t>「幸福馬祖」</w:t>
      </w:r>
      <w:r w:rsidRPr="00D55DC6">
        <w:rPr>
          <w:rFonts w:eastAsia="標楷體"/>
          <w:sz w:val="28"/>
          <w:szCs w:val="28"/>
        </w:rPr>
        <w:t>—</w:t>
      </w:r>
      <w:r w:rsidRPr="00D55DC6">
        <w:rPr>
          <w:rFonts w:eastAsia="標楷體"/>
          <w:sz w:val="28"/>
          <w:szCs w:val="28"/>
        </w:rPr>
        <w:t>審慎維護島嶼脆弱之環境體質，在承載量容許下提高產值以達成永續經營觀光產業。</w:t>
      </w:r>
    </w:p>
    <w:p w:rsidR="00C40B73" w:rsidRPr="00D55DC6" w:rsidRDefault="00C40B73" w:rsidP="004865C1">
      <w:pPr>
        <w:pStyle w:val="af2"/>
        <w:numPr>
          <w:ilvl w:val="1"/>
          <w:numId w:val="217"/>
        </w:numPr>
        <w:snapToGrid w:val="0"/>
        <w:spacing w:line="460" w:lineRule="exact"/>
        <w:ind w:leftChars="295" w:left="991" w:hangingChars="101" w:hanging="283"/>
        <w:jc w:val="both"/>
        <w:rPr>
          <w:rFonts w:eastAsia="標楷體"/>
          <w:sz w:val="28"/>
          <w:szCs w:val="28"/>
        </w:rPr>
      </w:pPr>
      <w:r w:rsidRPr="00D55DC6">
        <w:rPr>
          <w:rFonts w:eastAsia="標楷體"/>
          <w:sz w:val="28"/>
          <w:szCs w:val="28"/>
        </w:rPr>
        <w:t>執行策略</w:t>
      </w:r>
    </w:p>
    <w:p w:rsidR="00C40B73" w:rsidRPr="00D55DC6" w:rsidRDefault="00C40B73" w:rsidP="00C40B73">
      <w:pPr>
        <w:pStyle w:val="af2"/>
        <w:snapToGrid w:val="0"/>
        <w:spacing w:line="460" w:lineRule="exact"/>
        <w:ind w:leftChars="414" w:left="1417" w:hangingChars="151" w:hanging="423"/>
        <w:jc w:val="both"/>
        <w:rPr>
          <w:rFonts w:eastAsia="標楷體"/>
          <w:sz w:val="28"/>
          <w:szCs w:val="28"/>
        </w:rPr>
      </w:pPr>
      <w:r w:rsidRPr="00D55DC6">
        <w:rPr>
          <w:rFonts w:eastAsia="標楷體"/>
          <w:b/>
          <w:sz w:val="28"/>
          <w:szCs w:val="28"/>
        </w:rPr>
        <w:t>2-1.</w:t>
      </w:r>
      <w:r w:rsidRPr="00D55DC6">
        <w:rPr>
          <w:rFonts w:eastAsia="標楷體"/>
          <w:b/>
          <w:sz w:val="28"/>
          <w:szCs w:val="28"/>
        </w:rPr>
        <w:t>「需求量：跨域合作活化公有土地，提升旅服機能」</w:t>
      </w:r>
      <w:r w:rsidRPr="00D55DC6">
        <w:rPr>
          <w:rFonts w:eastAsia="標楷體"/>
          <w:sz w:val="28"/>
          <w:szCs w:val="28"/>
        </w:rPr>
        <w:t>：結合軍方、地方政府資源，積極撥用並活化閒置之公有土地以滿足旅服需要，</w:t>
      </w:r>
      <w:r w:rsidRPr="00D55DC6">
        <w:rPr>
          <w:rFonts w:eastAsia="標楷體"/>
          <w:sz w:val="28"/>
          <w:szCs w:val="28"/>
        </w:rPr>
        <w:lastRenderedPageBreak/>
        <w:t>並以促參方式引進優質經營團隊提升旅宿品質，帶進旗艦效應。</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r w:rsidRPr="00D55DC6">
        <w:rPr>
          <w:rFonts w:eastAsia="標楷體"/>
          <w:b/>
          <w:sz w:val="28"/>
          <w:szCs w:val="28"/>
        </w:rPr>
        <w:t>2-2.</w:t>
      </w:r>
      <w:r w:rsidRPr="00D55DC6">
        <w:rPr>
          <w:rFonts w:eastAsia="標楷體"/>
          <w:b/>
          <w:sz w:val="28"/>
          <w:szCs w:val="28"/>
        </w:rPr>
        <w:t>「承載量：發展生態旅遊，落實環境教育」</w:t>
      </w:r>
      <w:r w:rsidRPr="00D55DC6">
        <w:rPr>
          <w:rFonts w:eastAsia="標楷體"/>
          <w:sz w:val="28"/>
          <w:szCs w:val="28"/>
        </w:rPr>
        <w:t>：因遊憩承載量之限制，藉策略性推廣馬祖不同季節之生態特色，平衡淡旺季發展，吸引高端生態旅遊遊客，實施環境教育</w:t>
      </w:r>
      <w:r w:rsidRPr="00D55DC6">
        <w:rPr>
          <w:rFonts w:eastAsia="標楷體"/>
          <w:sz w:val="28"/>
          <w:szCs w:val="28"/>
        </w:rPr>
        <w:t>(</w:t>
      </w:r>
      <w:r w:rsidRPr="00D55DC6">
        <w:rPr>
          <w:rFonts w:eastAsia="標楷體"/>
          <w:sz w:val="28"/>
          <w:szCs w:val="28"/>
        </w:rPr>
        <w:t>包含場域認證、師資解說員培訓、編擬教材、經營管理及相關推廣活動等</w:t>
      </w:r>
      <w:r w:rsidRPr="00D55DC6">
        <w:rPr>
          <w:rFonts w:eastAsia="標楷體"/>
          <w:sz w:val="28"/>
          <w:szCs w:val="28"/>
        </w:rPr>
        <w:t>)</w:t>
      </w:r>
      <w:r w:rsidRPr="00D55DC6">
        <w:rPr>
          <w:rFonts w:eastAsia="標楷體"/>
          <w:sz w:val="28"/>
          <w:szCs w:val="28"/>
        </w:rPr>
        <w:t>。</w:t>
      </w:r>
    </w:p>
    <w:p w:rsidR="00AB4406" w:rsidRPr="00D55DC6" w:rsidRDefault="00C40B73" w:rsidP="00AB4406">
      <w:pPr>
        <w:pStyle w:val="af2"/>
        <w:snapToGrid w:val="0"/>
        <w:spacing w:line="460" w:lineRule="exact"/>
        <w:ind w:leftChars="413" w:left="1414" w:hangingChars="151" w:hanging="423"/>
        <w:jc w:val="both"/>
        <w:rPr>
          <w:rFonts w:eastAsia="標楷體"/>
          <w:b/>
          <w:sz w:val="28"/>
          <w:szCs w:val="28"/>
        </w:rPr>
      </w:pPr>
      <w:r w:rsidRPr="00D55DC6">
        <w:rPr>
          <w:rFonts w:eastAsia="標楷體"/>
          <w:b/>
          <w:sz w:val="28"/>
          <w:szCs w:val="28"/>
        </w:rPr>
        <w:t>2-3.</w:t>
      </w:r>
      <w:r w:rsidRPr="00D55DC6">
        <w:rPr>
          <w:rFonts w:eastAsia="標楷體"/>
          <w:b/>
          <w:sz w:val="28"/>
          <w:szCs w:val="28"/>
        </w:rPr>
        <w:t>「</w:t>
      </w:r>
      <w:r w:rsidR="00AB4406" w:rsidRPr="00D55DC6">
        <w:rPr>
          <w:rFonts w:eastAsia="標楷體"/>
          <w:b/>
          <w:sz w:val="28"/>
          <w:szCs w:val="28"/>
        </w:rPr>
        <w:t>經營管理：推動觀光業務智慧化經營管理」</w:t>
      </w:r>
      <w:r w:rsidR="00AB4406" w:rsidRPr="00D55DC6">
        <w:rPr>
          <w:rFonts w:eastAsia="標楷體"/>
          <w:sz w:val="28"/>
          <w:szCs w:val="28"/>
        </w:rPr>
        <w:t>：以現代軟硬體資訊科技，提供遊客迅速便捷之旅遊資訊服務，並即時掌握觀光資源變動，以有效解讀、分析及解決問題。</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r w:rsidRPr="00D55DC6">
        <w:rPr>
          <w:rFonts w:eastAsia="標楷體"/>
          <w:b/>
          <w:sz w:val="28"/>
          <w:szCs w:val="28"/>
        </w:rPr>
        <w:t>2-4.</w:t>
      </w:r>
      <w:r w:rsidRPr="00D55DC6">
        <w:rPr>
          <w:rFonts w:eastAsia="標楷體"/>
          <w:b/>
          <w:sz w:val="28"/>
          <w:szCs w:val="28"/>
        </w:rPr>
        <w:t>「聚落活化：辦理馬祖地區特色建築風貌改善補助案」</w:t>
      </w:r>
      <w:r w:rsidRPr="00D55DC6">
        <w:rPr>
          <w:rFonts w:eastAsia="標楷體"/>
          <w:sz w:val="28"/>
          <w:szCs w:val="28"/>
        </w:rPr>
        <w:t>：以獎勵補助方式鼓勵當地居民保存閩東傳統建築風貌，並輔導民眾投入旅遊相關產業。</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p>
    <w:p w:rsidR="00C40B73" w:rsidRPr="00D55DC6" w:rsidRDefault="00C40B73" w:rsidP="004865C1">
      <w:pPr>
        <w:pStyle w:val="af2"/>
        <w:numPr>
          <w:ilvl w:val="0"/>
          <w:numId w:val="217"/>
        </w:numPr>
        <w:snapToGrid w:val="0"/>
        <w:spacing w:line="460" w:lineRule="exact"/>
        <w:ind w:leftChars="0" w:left="993"/>
        <w:jc w:val="both"/>
        <w:rPr>
          <w:rFonts w:eastAsia="標楷體"/>
          <w:b/>
          <w:sz w:val="28"/>
          <w:szCs w:val="28"/>
        </w:rPr>
      </w:pPr>
      <w:r w:rsidRPr="00D55DC6">
        <w:rPr>
          <w:rFonts w:eastAsia="標楷體"/>
          <w:b/>
          <w:sz w:val="28"/>
          <w:szCs w:val="28"/>
        </w:rPr>
        <w:t>主要工作項目</w:t>
      </w:r>
    </w:p>
    <w:p w:rsidR="00C40B73" w:rsidRPr="00D55DC6" w:rsidRDefault="00C40B73" w:rsidP="00C40B73">
      <w:pPr>
        <w:pStyle w:val="af2"/>
        <w:snapToGrid w:val="0"/>
        <w:spacing w:line="460" w:lineRule="exact"/>
        <w:ind w:leftChars="295" w:left="708"/>
        <w:jc w:val="both"/>
        <w:rPr>
          <w:rFonts w:eastAsia="標楷體"/>
          <w:b/>
          <w:sz w:val="28"/>
          <w:szCs w:val="28"/>
        </w:rPr>
      </w:pPr>
      <w:r w:rsidRPr="00D55DC6">
        <w:rPr>
          <w:rFonts w:eastAsia="標楷體"/>
          <w:b/>
          <w:sz w:val="28"/>
          <w:szCs w:val="28"/>
        </w:rPr>
        <w:t xml:space="preserve">1. </w:t>
      </w:r>
      <w:r w:rsidRPr="00D55DC6">
        <w:rPr>
          <w:rFonts w:eastAsia="標楷體"/>
          <w:b/>
          <w:sz w:val="28"/>
          <w:szCs w:val="28"/>
        </w:rPr>
        <w:t>國際觀光景點建設</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r w:rsidRPr="00D55DC6">
        <w:rPr>
          <w:rFonts w:eastAsia="標楷體"/>
          <w:sz w:val="28"/>
          <w:szCs w:val="28"/>
        </w:rPr>
        <w:t>1-1.</w:t>
      </w:r>
      <w:r w:rsidRPr="00D55DC6">
        <w:rPr>
          <w:rFonts w:eastAsia="標楷體"/>
          <w:sz w:val="28"/>
          <w:szCs w:val="28"/>
        </w:rPr>
        <w:t>南竿遊憩系統：</w:t>
      </w:r>
    </w:p>
    <w:p w:rsidR="00C40B73" w:rsidRPr="00D55DC6" w:rsidRDefault="00C40B73" w:rsidP="00C40B73">
      <w:pPr>
        <w:pStyle w:val="af2"/>
        <w:snapToGrid w:val="0"/>
        <w:spacing w:line="460" w:lineRule="exact"/>
        <w:ind w:leftChars="589" w:left="2122" w:hangingChars="253" w:hanging="708"/>
        <w:jc w:val="both"/>
        <w:rPr>
          <w:rFonts w:eastAsia="標楷體"/>
          <w:sz w:val="28"/>
          <w:szCs w:val="28"/>
        </w:rPr>
      </w:pPr>
      <w:r w:rsidRPr="00D55DC6">
        <w:rPr>
          <w:rFonts w:eastAsia="標楷體"/>
          <w:sz w:val="28"/>
          <w:szCs w:val="28"/>
        </w:rPr>
        <w:t>1-1-1.</w:t>
      </w:r>
      <w:r w:rsidRPr="00D55DC6">
        <w:rPr>
          <w:rFonts w:eastAsia="標楷體"/>
          <w:sz w:val="28"/>
          <w:szCs w:val="28"/>
        </w:rPr>
        <w:t>建置南竿系統為具國際觀光潛力之重要景點，以「大北海遊憩區」為主軸，將仁愛東營區、津沙營區、下儲水營區、津沙尖據點、下津沙據點、天后宮據點、馬港營區及四維營區等串聯各景點，依整體計畫整建及建設配套設施，如開發串聯景點之生態步道及自行車道，並引進民間經營模式，活化昔日軍事據點，如軍事體驗特色民宿及生存遊憩體驗。</w:t>
      </w:r>
    </w:p>
    <w:p w:rsidR="00C40B73" w:rsidRPr="00D55DC6" w:rsidRDefault="00C40B73" w:rsidP="00C40B73">
      <w:pPr>
        <w:pStyle w:val="af2"/>
        <w:snapToGrid w:val="0"/>
        <w:spacing w:line="460" w:lineRule="exact"/>
        <w:ind w:leftChars="589" w:left="2122" w:hangingChars="253" w:hanging="708"/>
        <w:jc w:val="both"/>
        <w:rPr>
          <w:rFonts w:eastAsia="標楷體"/>
          <w:sz w:val="28"/>
          <w:szCs w:val="28"/>
        </w:rPr>
      </w:pPr>
      <w:r w:rsidRPr="00D55DC6">
        <w:rPr>
          <w:rFonts w:eastAsia="標楷體"/>
          <w:sz w:val="28"/>
          <w:szCs w:val="28"/>
        </w:rPr>
        <w:t>1-1-2.</w:t>
      </w:r>
      <w:r w:rsidRPr="00D55DC6">
        <w:rPr>
          <w:rFonts w:eastAsia="標楷體"/>
          <w:sz w:val="28"/>
          <w:szCs w:val="28"/>
        </w:rPr>
        <w:t>擴充媽祖宗教文化園區服務設施，增加促參誘因，串聯周邊宗教主題景點，建構宗教主題文化園區之獨特風格並促進地區觀光發展。</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r w:rsidRPr="00D55DC6">
        <w:rPr>
          <w:rFonts w:eastAsia="標楷體"/>
          <w:sz w:val="28"/>
          <w:szCs w:val="28"/>
        </w:rPr>
        <w:t>1-2.</w:t>
      </w:r>
      <w:r w:rsidRPr="00D55DC6">
        <w:rPr>
          <w:rFonts w:eastAsia="標楷體"/>
          <w:sz w:val="28"/>
          <w:szCs w:val="28"/>
        </w:rPr>
        <w:t>北竿遊憩系統：</w:t>
      </w:r>
    </w:p>
    <w:p w:rsidR="00C40B73" w:rsidRPr="00D55DC6" w:rsidRDefault="00C40B73" w:rsidP="00C40B73">
      <w:pPr>
        <w:pStyle w:val="af2"/>
        <w:snapToGrid w:val="0"/>
        <w:spacing w:line="460" w:lineRule="exact"/>
        <w:ind w:leftChars="589" w:left="2122" w:hangingChars="253" w:hanging="708"/>
        <w:jc w:val="both"/>
        <w:rPr>
          <w:rFonts w:eastAsia="標楷體"/>
          <w:sz w:val="28"/>
          <w:szCs w:val="28"/>
        </w:rPr>
      </w:pPr>
      <w:r w:rsidRPr="00D55DC6">
        <w:rPr>
          <w:rFonts w:eastAsia="標楷體"/>
          <w:sz w:val="28"/>
          <w:szCs w:val="28"/>
        </w:rPr>
        <w:t>1-2-1.</w:t>
      </w:r>
      <w:r w:rsidRPr="00D55DC6">
        <w:rPr>
          <w:rFonts w:eastAsia="標楷體"/>
          <w:sz w:val="28"/>
          <w:szCs w:val="28"/>
        </w:rPr>
        <w:t>發展「軍事遊憩體驗區」，大澳山「戰爭和平紀念公園」串聯大坵島及高登島。</w:t>
      </w:r>
    </w:p>
    <w:p w:rsidR="00C40B73" w:rsidRPr="00D55DC6" w:rsidRDefault="00C40B73" w:rsidP="00C40B73">
      <w:pPr>
        <w:pStyle w:val="af2"/>
        <w:snapToGrid w:val="0"/>
        <w:spacing w:line="460" w:lineRule="exact"/>
        <w:ind w:leftChars="589" w:left="2122" w:hangingChars="253" w:hanging="708"/>
        <w:jc w:val="both"/>
        <w:rPr>
          <w:rFonts w:eastAsia="標楷體"/>
          <w:sz w:val="28"/>
          <w:szCs w:val="28"/>
        </w:rPr>
      </w:pPr>
      <w:r w:rsidRPr="00D55DC6">
        <w:rPr>
          <w:rFonts w:eastAsia="標楷體"/>
          <w:sz w:val="28"/>
          <w:szCs w:val="28"/>
        </w:rPr>
        <w:t>1-2-2.</w:t>
      </w:r>
      <w:r w:rsidRPr="00D55DC6">
        <w:rPr>
          <w:rFonts w:eastAsia="標楷體"/>
          <w:sz w:val="28"/>
          <w:szCs w:val="28"/>
        </w:rPr>
        <w:t>發展「水域遊憩活動」，生態體驗遊程據點，開發塘岐后澳休閒廊道、午沙坂里海岸休閒遊憩區、橋仔環海廊道等景</w:t>
      </w:r>
      <w:r w:rsidRPr="00D55DC6">
        <w:rPr>
          <w:rFonts w:eastAsia="標楷體"/>
          <w:sz w:val="28"/>
          <w:szCs w:val="28"/>
        </w:rPr>
        <w:lastRenderedPageBreak/>
        <w:t>觀改善。</w:t>
      </w:r>
    </w:p>
    <w:p w:rsidR="00C40B73" w:rsidRPr="00D55DC6" w:rsidRDefault="00C40B73" w:rsidP="00C40B73">
      <w:pPr>
        <w:pStyle w:val="af2"/>
        <w:snapToGrid w:val="0"/>
        <w:spacing w:line="460" w:lineRule="exact"/>
        <w:ind w:leftChars="589" w:left="2122" w:hangingChars="253" w:hanging="708"/>
        <w:jc w:val="both"/>
        <w:rPr>
          <w:rFonts w:eastAsia="標楷體"/>
          <w:sz w:val="28"/>
          <w:szCs w:val="28"/>
        </w:rPr>
      </w:pPr>
      <w:r w:rsidRPr="00D55DC6">
        <w:rPr>
          <w:rFonts w:eastAsia="標楷體"/>
          <w:sz w:val="28"/>
          <w:szCs w:val="28"/>
        </w:rPr>
        <w:t>1-2-3.</w:t>
      </w:r>
      <w:r w:rsidRPr="00D55DC6">
        <w:rPr>
          <w:rFonts w:eastAsia="標楷體"/>
          <w:sz w:val="28"/>
          <w:szCs w:val="28"/>
        </w:rPr>
        <w:t>芹壁聚落深度體驗旅遊環境營造，創造觀光亮點以提升整體旅遊品質。</w:t>
      </w:r>
    </w:p>
    <w:p w:rsidR="00C40B73" w:rsidRPr="00D55DC6" w:rsidRDefault="00C40B73" w:rsidP="00C40B73">
      <w:pPr>
        <w:pStyle w:val="af2"/>
        <w:snapToGrid w:val="0"/>
        <w:spacing w:line="460" w:lineRule="exact"/>
        <w:ind w:leftChars="295" w:left="708"/>
        <w:jc w:val="both"/>
        <w:rPr>
          <w:rFonts w:eastAsia="標楷體"/>
          <w:b/>
          <w:sz w:val="28"/>
          <w:szCs w:val="28"/>
        </w:rPr>
      </w:pPr>
      <w:r w:rsidRPr="00D55DC6">
        <w:rPr>
          <w:rFonts w:eastAsia="標楷體"/>
          <w:b/>
          <w:sz w:val="28"/>
          <w:szCs w:val="28"/>
        </w:rPr>
        <w:t xml:space="preserve">2. </w:t>
      </w:r>
      <w:r w:rsidRPr="00D55DC6">
        <w:rPr>
          <w:rFonts w:eastAsia="標楷體"/>
          <w:b/>
          <w:sz w:val="28"/>
          <w:szCs w:val="28"/>
        </w:rPr>
        <w:t>國內觀光景點建設</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r w:rsidRPr="00D55DC6">
        <w:rPr>
          <w:rFonts w:eastAsia="標楷體"/>
          <w:sz w:val="28"/>
          <w:szCs w:val="28"/>
        </w:rPr>
        <w:t>2-1.</w:t>
      </w:r>
      <w:r w:rsidRPr="00D55DC6">
        <w:rPr>
          <w:rFonts w:eastAsia="標楷體"/>
          <w:sz w:val="28"/>
          <w:szCs w:val="28"/>
        </w:rPr>
        <w:t>東引遊憩系統：</w:t>
      </w:r>
    </w:p>
    <w:p w:rsidR="00C40B73" w:rsidRPr="00D55DC6" w:rsidRDefault="00C40B73" w:rsidP="00C40B73">
      <w:pPr>
        <w:pStyle w:val="af2"/>
        <w:snapToGrid w:val="0"/>
        <w:spacing w:line="460" w:lineRule="exact"/>
        <w:ind w:leftChars="589" w:left="2122" w:hangingChars="253" w:hanging="708"/>
        <w:jc w:val="both"/>
        <w:rPr>
          <w:rFonts w:eastAsia="標楷體"/>
          <w:sz w:val="28"/>
          <w:szCs w:val="28"/>
        </w:rPr>
      </w:pPr>
      <w:r w:rsidRPr="00D55DC6">
        <w:rPr>
          <w:rFonts w:eastAsia="標楷體"/>
          <w:sz w:val="28"/>
          <w:szCs w:val="28"/>
        </w:rPr>
        <w:t>2-1-1.</w:t>
      </w:r>
      <w:r w:rsidRPr="00D55DC6">
        <w:rPr>
          <w:rFonts w:eastAsia="標楷體"/>
          <w:sz w:val="28"/>
          <w:szCs w:val="28"/>
        </w:rPr>
        <w:t>發展「環島地景公園」與「海釣」為主軸，結合海陸環島動線串聯「東引燈塔」、「特殊地質景觀」、「安東坑道賞鷗」以強化觀光特色。</w:t>
      </w:r>
    </w:p>
    <w:p w:rsidR="00C40B73" w:rsidRPr="00D55DC6" w:rsidRDefault="00C40B73" w:rsidP="00C40B73">
      <w:pPr>
        <w:pStyle w:val="af2"/>
        <w:snapToGrid w:val="0"/>
        <w:spacing w:line="460" w:lineRule="exact"/>
        <w:ind w:leftChars="589" w:left="2122" w:hangingChars="253" w:hanging="708"/>
        <w:jc w:val="both"/>
        <w:rPr>
          <w:rFonts w:eastAsia="標楷體"/>
          <w:sz w:val="28"/>
          <w:szCs w:val="28"/>
        </w:rPr>
      </w:pPr>
      <w:r w:rsidRPr="00D55DC6">
        <w:rPr>
          <w:rFonts w:eastAsia="標楷體"/>
          <w:sz w:val="28"/>
          <w:szCs w:val="28"/>
        </w:rPr>
        <w:t>2-1-2.</w:t>
      </w:r>
      <w:r w:rsidRPr="00D55DC6">
        <w:rPr>
          <w:rFonts w:eastAsia="標楷體"/>
          <w:sz w:val="28"/>
          <w:szCs w:val="28"/>
        </w:rPr>
        <w:t>以東引遊客中心串聯北海坑道、國之北疆等景點，協助地方政府改善街景及廣場景觀。</w:t>
      </w:r>
    </w:p>
    <w:p w:rsidR="00C40B73" w:rsidRPr="00D55DC6" w:rsidRDefault="00C40B73" w:rsidP="00C40B73">
      <w:pPr>
        <w:pStyle w:val="af2"/>
        <w:snapToGrid w:val="0"/>
        <w:spacing w:line="460" w:lineRule="exact"/>
        <w:ind w:leftChars="589" w:left="2122" w:hangingChars="253" w:hanging="708"/>
        <w:jc w:val="both"/>
        <w:rPr>
          <w:rFonts w:eastAsia="標楷體"/>
          <w:sz w:val="28"/>
          <w:szCs w:val="28"/>
        </w:rPr>
      </w:pPr>
      <w:r w:rsidRPr="00D55DC6">
        <w:rPr>
          <w:rFonts w:eastAsia="標楷體"/>
          <w:sz w:val="28"/>
          <w:szCs w:val="28"/>
        </w:rPr>
        <w:t>2-1-3.</w:t>
      </w:r>
      <w:r w:rsidRPr="00D55DC6">
        <w:rPr>
          <w:rFonts w:eastAsia="標楷體"/>
          <w:sz w:val="28"/>
          <w:szCs w:val="28"/>
        </w:rPr>
        <w:t>實質工程包含遊客中心及周邊設施改善、燕秀澳周邊景點串聯改善、后澳周邊景點設施改善等工程。</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r w:rsidRPr="00D55DC6">
        <w:rPr>
          <w:rFonts w:eastAsia="標楷體"/>
          <w:sz w:val="28"/>
          <w:szCs w:val="28"/>
        </w:rPr>
        <w:t>2-2.</w:t>
      </w:r>
      <w:r w:rsidRPr="00D55DC6">
        <w:rPr>
          <w:rFonts w:eastAsia="標楷體"/>
          <w:sz w:val="28"/>
          <w:szCs w:val="28"/>
        </w:rPr>
        <w:t>莒光遊憩系統：</w:t>
      </w:r>
    </w:p>
    <w:p w:rsidR="00C40B73" w:rsidRPr="00D55DC6" w:rsidRDefault="00C40B73" w:rsidP="00C40B73">
      <w:pPr>
        <w:pStyle w:val="af2"/>
        <w:snapToGrid w:val="0"/>
        <w:spacing w:line="460" w:lineRule="exact"/>
        <w:ind w:leftChars="589" w:left="2122" w:hangingChars="253" w:hanging="708"/>
        <w:jc w:val="both"/>
        <w:rPr>
          <w:rFonts w:eastAsia="標楷體"/>
          <w:sz w:val="28"/>
          <w:szCs w:val="28"/>
        </w:rPr>
      </w:pPr>
      <w:r w:rsidRPr="00D55DC6">
        <w:rPr>
          <w:rFonts w:eastAsia="標楷體"/>
          <w:sz w:val="28"/>
          <w:szCs w:val="28"/>
        </w:rPr>
        <w:t>2-2-1.</w:t>
      </w:r>
      <w:r w:rsidRPr="00D55DC6">
        <w:rPr>
          <w:rFonts w:eastAsia="標楷體"/>
          <w:sz w:val="28"/>
          <w:szCs w:val="28"/>
        </w:rPr>
        <w:t>東莒發展「古蹟巡禮」與「海濱生態體驗」，以東莒遊客中心為基地串聯福正聚落、福正沙灘、東莒燈塔、大埔聚落，發展生態之旅。</w:t>
      </w:r>
    </w:p>
    <w:p w:rsidR="00C40B73" w:rsidRPr="00D55DC6" w:rsidRDefault="00C40B73" w:rsidP="00C40B73">
      <w:pPr>
        <w:pStyle w:val="af2"/>
        <w:snapToGrid w:val="0"/>
        <w:spacing w:line="460" w:lineRule="exact"/>
        <w:ind w:leftChars="589" w:left="2122" w:hangingChars="253" w:hanging="708"/>
        <w:jc w:val="both"/>
        <w:rPr>
          <w:rFonts w:eastAsia="標楷體"/>
          <w:sz w:val="28"/>
          <w:szCs w:val="28"/>
        </w:rPr>
      </w:pPr>
      <w:r w:rsidRPr="00D55DC6">
        <w:rPr>
          <w:rFonts w:eastAsia="標楷體"/>
          <w:sz w:val="28"/>
          <w:szCs w:val="28"/>
        </w:rPr>
        <w:t>2-2-2.</w:t>
      </w:r>
      <w:r w:rsidRPr="00D55DC6">
        <w:rPr>
          <w:rFonts w:eastAsia="標楷體"/>
          <w:sz w:val="28"/>
          <w:szCs w:val="28"/>
        </w:rPr>
        <w:t>西莒發展生態巡禮慢活體驗區，以山海一家基地連結菜埔澳地質主題景點、坤坵沙灘，結合坤坵步道，塑造為軍事體驗及慢活之文化生態體驗之旅。</w:t>
      </w:r>
    </w:p>
    <w:p w:rsidR="00C40B73" w:rsidRPr="00D55DC6" w:rsidRDefault="00C40B73" w:rsidP="00C40B73">
      <w:pPr>
        <w:pStyle w:val="af2"/>
        <w:snapToGrid w:val="0"/>
        <w:spacing w:line="460" w:lineRule="exact"/>
        <w:ind w:leftChars="589" w:left="2122" w:hangingChars="253" w:hanging="708"/>
        <w:jc w:val="both"/>
        <w:rPr>
          <w:rFonts w:eastAsia="標楷體"/>
          <w:sz w:val="28"/>
          <w:szCs w:val="28"/>
        </w:rPr>
      </w:pPr>
      <w:r w:rsidRPr="00D55DC6">
        <w:rPr>
          <w:rFonts w:eastAsia="標楷體"/>
          <w:sz w:val="28"/>
          <w:szCs w:val="28"/>
        </w:rPr>
        <w:t>2-2-3.</w:t>
      </w:r>
      <w:r w:rsidRPr="00D55DC6">
        <w:rPr>
          <w:rFonts w:eastAsia="標楷體"/>
          <w:sz w:val="28"/>
          <w:szCs w:val="28"/>
        </w:rPr>
        <w:t>實質工程包含山海一家周邊景點設施整建、東莒大砲連軍事意象營造、配合整體發展計畫辦理東莒地區軍方移撥據點整建。</w:t>
      </w:r>
    </w:p>
    <w:p w:rsidR="00C40B73" w:rsidRPr="00D55DC6" w:rsidRDefault="00C40B73" w:rsidP="00C40B73">
      <w:pPr>
        <w:pStyle w:val="af2"/>
        <w:snapToGrid w:val="0"/>
        <w:spacing w:line="460" w:lineRule="exact"/>
        <w:ind w:leftChars="295" w:left="708"/>
        <w:jc w:val="both"/>
        <w:rPr>
          <w:rFonts w:eastAsia="標楷體"/>
          <w:b/>
          <w:sz w:val="28"/>
          <w:szCs w:val="28"/>
        </w:rPr>
      </w:pPr>
      <w:r w:rsidRPr="00D55DC6">
        <w:rPr>
          <w:rFonts w:eastAsia="標楷體"/>
          <w:b/>
          <w:sz w:val="28"/>
          <w:szCs w:val="28"/>
        </w:rPr>
        <w:t xml:space="preserve">3. </w:t>
      </w:r>
      <w:r w:rsidRPr="00D55DC6">
        <w:rPr>
          <w:rFonts w:eastAsia="標楷體"/>
          <w:b/>
          <w:sz w:val="28"/>
          <w:szCs w:val="28"/>
        </w:rPr>
        <w:t>國家風景區經營管理</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r w:rsidRPr="00D55DC6">
        <w:rPr>
          <w:rFonts w:eastAsia="標楷體"/>
          <w:sz w:val="28"/>
          <w:szCs w:val="28"/>
        </w:rPr>
        <w:t>3-1.</w:t>
      </w:r>
      <w:r w:rsidRPr="00D55DC6">
        <w:rPr>
          <w:rFonts w:eastAsia="標楷體"/>
          <w:sz w:val="28"/>
          <w:szCs w:val="28"/>
        </w:rPr>
        <w:t>用地取得：辦理都市計畫變更、鑑界訂樁、測量、徵收、價購、撥用、補償以及地上物清理等土地作業。</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r w:rsidRPr="00D55DC6">
        <w:rPr>
          <w:rFonts w:eastAsia="標楷體"/>
          <w:sz w:val="28"/>
          <w:szCs w:val="28"/>
        </w:rPr>
        <w:t>3-2.</w:t>
      </w:r>
      <w:r w:rsidRPr="00D55DC6">
        <w:rPr>
          <w:rFonts w:eastAsia="標楷體"/>
          <w:sz w:val="28"/>
          <w:szCs w:val="28"/>
        </w:rPr>
        <w:t>先期規劃設計：辦理遊憩據點規劃設計、資源調查監測、委託民間辦理評估作業、興辦事業計畫、工程建設設計等。</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r w:rsidRPr="00D55DC6">
        <w:rPr>
          <w:rFonts w:eastAsia="標楷體"/>
          <w:sz w:val="28"/>
          <w:szCs w:val="28"/>
        </w:rPr>
        <w:t>3-3.</w:t>
      </w:r>
      <w:r w:rsidRPr="00D55DC6">
        <w:rPr>
          <w:rFonts w:eastAsia="標楷體"/>
          <w:sz w:val="28"/>
          <w:szCs w:val="28"/>
        </w:rPr>
        <w:t>環境維護及設施維持：各遊憩據點清潔維護、建築物與設施定期巡查及保養。</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r w:rsidRPr="00D55DC6">
        <w:rPr>
          <w:rFonts w:eastAsia="標楷體"/>
          <w:sz w:val="28"/>
          <w:szCs w:val="28"/>
        </w:rPr>
        <w:t>3-4.</w:t>
      </w:r>
      <w:r w:rsidRPr="00D55DC6">
        <w:rPr>
          <w:rFonts w:eastAsia="標楷體"/>
          <w:sz w:val="28"/>
          <w:szCs w:val="28"/>
        </w:rPr>
        <w:t>全區災害復舊及一般零星工程：辦理全區災害緊急修繕及公共設</w:t>
      </w:r>
      <w:r w:rsidRPr="00D55DC6">
        <w:rPr>
          <w:rFonts w:eastAsia="標楷體"/>
          <w:sz w:val="28"/>
          <w:szCs w:val="28"/>
        </w:rPr>
        <w:lastRenderedPageBreak/>
        <w:t>施整修。</w:t>
      </w:r>
    </w:p>
    <w:p w:rsidR="00C40B73" w:rsidRPr="00D55DC6" w:rsidRDefault="00C40B73" w:rsidP="00C40B73">
      <w:pPr>
        <w:pStyle w:val="af2"/>
        <w:snapToGrid w:val="0"/>
        <w:spacing w:line="460" w:lineRule="exact"/>
        <w:ind w:leftChars="295" w:left="708"/>
        <w:jc w:val="both"/>
        <w:rPr>
          <w:rFonts w:eastAsia="標楷體"/>
          <w:b/>
          <w:sz w:val="28"/>
          <w:szCs w:val="28"/>
        </w:rPr>
      </w:pPr>
      <w:r w:rsidRPr="00D55DC6">
        <w:rPr>
          <w:rFonts w:eastAsia="標楷體"/>
          <w:b/>
          <w:sz w:val="28"/>
          <w:szCs w:val="28"/>
        </w:rPr>
        <w:t xml:space="preserve">4. </w:t>
      </w:r>
      <w:r w:rsidRPr="00D55DC6">
        <w:rPr>
          <w:rFonts w:eastAsia="標楷體"/>
          <w:b/>
          <w:sz w:val="28"/>
          <w:szCs w:val="28"/>
        </w:rPr>
        <w:t>經營管理及行銷推廣</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r w:rsidRPr="00D55DC6">
        <w:rPr>
          <w:rFonts w:eastAsia="標楷體"/>
          <w:sz w:val="28"/>
          <w:szCs w:val="28"/>
        </w:rPr>
        <w:t>4-1.</w:t>
      </w:r>
      <w:r w:rsidRPr="00D55DC6">
        <w:rPr>
          <w:rFonts w:eastAsia="標楷體"/>
          <w:sz w:val="28"/>
          <w:szCs w:val="28"/>
        </w:rPr>
        <w:t>經營管理：提升遊客安全、建立災害預防機制、加強水域活動管理、強化緊急救難系統、定期景點巡查與設施維護、建構整潔優質之公共服務設施、持續辦理景區環境與植栽景觀之維護、構建優質志工團隊。</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r w:rsidRPr="00D55DC6">
        <w:rPr>
          <w:rFonts w:eastAsia="標楷體"/>
          <w:sz w:val="28"/>
          <w:szCs w:val="28"/>
        </w:rPr>
        <w:t>4-2.</w:t>
      </w:r>
      <w:r w:rsidRPr="00D55DC6">
        <w:rPr>
          <w:rFonts w:eastAsia="標楷體"/>
          <w:sz w:val="28"/>
          <w:szCs w:val="28"/>
        </w:rPr>
        <w:t>行銷推廣：藉媒體宣導經營理念並行銷優質旅遊、建立社區溝通管道凝聚發展觀光共識、提供多元便捷網站服務、專業旅遊諮詢服務及多語解說導覽服務、推展生態旅遊</w:t>
      </w:r>
      <w:r w:rsidRPr="00D55DC6">
        <w:rPr>
          <w:rFonts w:eastAsia="標楷體"/>
          <w:sz w:val="28"/>
          <w:szCs w:val="28"/>
        </w:rPr>
        <w:t>(</w:t>
      </w:r>
      <w:r w:rsidRPr="00D55DC6">
        <w:rPr>
          <w:rFonts w:eastAsia="標楷體"/>
          <w:sz w:val="28"/>
          <w:szCs w:val="28"/>
        </w:rPr>
        <w:t>如賞鷗與地質等面向</w:t>
      </w:r>
      <w:r w:rsidRPr="00D55DC6">
        <w:rPr>
          <w:rFonts w:eastAsia="標楷體"/>
          <w:sz w:val="28"/>
          <w:szCs w:val="28"/>
        </w:rPr>
        <w:t>)</w:t>
      </w:r>
      <w:r w:rsidRPr="00D55DC6">
        <w:rPr>
          <w:rFonts w:eastAsia="標楷體"/>
          <w:sz w:val="28"/>
          <w:szCs w:val="28"/>
        </w:rPr>
        <w:t>、籌辦季節性大型活動、行銷淡季觀光旅遊、建構無障礙友善環境。</w:t>
      </w:r>
    </w:p>
    <w:p w:rsidR="00C40B73" w:rsidRPr="00D55DC6" w:rsidRDefault="00C40B73" w:rsidP="00C40B73">
      <w:pPr>
        <w:pStyle w:val="af2"/>
        <w:snapToGrid w:val="0"/>
        <w:spacing w:line="460" w:lineRule="exact"/>
        <w:ind w:leftChars="295" w:left="708"/>
        <w:jc w:val="both"/>
        <w:rPr>
          <w:rFonts w:eastAsia="標楷體"/>
          <w:b/>
          <w:sz w:val="28"/>
          <w:szCs w:val="28"/>
        </w:rPr>
      </w:pPr>
      <w:r w:rsidRPr="00D55DC6">
        <w:rPr>
          <w:rFonts w:eastAsia="標楷體"/>
          <w:b/>
          <w:sz w:val="28"/>
          <w:szCs w:val="28"/>
        </w:rPr>
        <w:t xml:space="preserve">5. </w:t>
      </w:r>
      <w:r w:rsidRPr="00D55DC6">
        <w:rPr>
          <w:rFonts w:eastAsia="標楷體"/>
          <w:b/>
          <w:sz w:val="28"/>
          <w:szCs w:val="28"/>
        </w:rPr>
        <w:t>提升觀光建設自償性</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r w:rsidRPr="00D55DC6">
        <w:rPr>
          <w:rFonts w:eastAsia="標楷體"/>
          <w:sz w:val="28"/>
          <w:szCs w:val="28"/>
        </w:rPr>
        <w:t>5-1.</w:t>
      </w:r>
      <w:r w:rsidRPr="00D55DC6">
        <w:rPr>
          <w:rFonts w:eastAsia="標楷體"/>
          <w:sz w:val="28"/>
          <w:szCs w:val="28"/>
        </w:rPr>
        <w:t>設施出租：南竿、北竿、東引遊客中心附設販賣區、大澳山戰爭和平紀念公園主題館附設販賣區、北竿坂里大宅等。</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r w:rsidRPr="00D55DC6">
        <w:rPr>
          <w:rFonts w:eastAsia="標楷體"/>
          <w:sz w:val="28"/>
          <w:szCs w:val="28"/>
        </w:rPr>
        <w:t>5-2.</w:t>
      </w:r>
      <w:r w:rsidRPr="00D55DC6">
        <w:rPr>
          <w:rFonts w:eastAsia="標楷體"/>
          <w:sz w:val="28"/>
          <w:szCs w:val="28"/>
        </w:rPr>
        <w:t>促參：推動南竿四維生態</w:t>
      </w:r>
      <w:r w:rsidR="00EA38C5" w:rsidRPr="00D55DC6">
        <w:rPr>
          <w:rFonts w:eastAsia="標楷體"/>
          <w:sz w:val="28"/>
          <w:szCs w:val="28"/>
        </w:rPr>
        <w:t>度假</w:t>
      </w:r>
      <w:r w:rsidRPr="00D55DC6">
        <w:rPr>
          <w:rFonts w:eastAsia="標楷體"/>
          <w:sz w:val="28"/>
          <w:szCs w:val="28"/>
        </w:rPr>
        <w:t>園區</w:t>
      </w:r>
      <w:r w:rsidRPr="00D55DC6">
        <w:rPr>
          <w:rFonts w:eastAsia="標楷體"/>
          <w:sz w:val="28"/>
          <w:szCs w:val="28"/>
        </w:rPr>
        <w:t>BOT</w:t>
      </w:r>
      <w:r w:rsidRPr="00D55DC6">
        <w:rPr>
          <w:rFonts w:eastAsia="標楷體"/>
          <w:sz w:val="28"/>
          <w:szCs w:val="28"/>
        </w:rPr>
        <w:t>案、莒光山海一家民宿</w:t>
      </w:r>
      <w:r w:rsidRPr="00D55DC6">
        <w:rPr>
          <w:rFonts w:eastAsia="標楷體"/>
          <w:sz w:val="28"/>
          <w:szCs w:val="28"/>
        </w:rPr>
        <w:t>OT</w:t>
      </w:r>
      <w:r w:rsidRPr="00D55DC6">
        <w:rPr>
          <w:rFonts w:eastAsia="標楷體"/>
          <w:sz w:val="28"/>
          <w:szCs w:val="28"/>
        </w:rPr>
        <w:t>案、南竿</w:t>
      </w:r>
      <w:r w:rsidRPr="00D55DC6">
        <w:rPr>
          <w:rFonts w:eastAsia="標楷體"/>
          <w:sz w:val="28"/>
          <w:szCs w:val="28"/>
        </w:rPr>
        <w:t>55</w:t>
      </w:r>
      <w:r w:rsidRPr="00D55DC6">
        <w:rPr>
          <w:rFonts w:eastAsia="標楷體"/>
          <w:sz w:val="28"/>
          <w:szCs w:val="28"/>
        </w:rPr>
        <w:t>、</w:t>
      </w:r>
      <w:r w:rsidRPr="00D55DC6">
        <w:rPr>
          <w:rFonts w:eastAsia="標楷體"/>
          <w:sz w:val="28"/>
          <w:szCs w:val="28"/>
        </w:rPr>
        <w:t>57</w:t>
      </w:r>
      <w:r w:rsidRPr="00D55DC6">
        <w:rPr>
          <w:rFonts w:eastAsia="標楷體"/>
          <w:sz w:val="28"/>
          <w:szCs w:val="28"/>
        </w:rPr>
        <w:t>、</w:t>
      </w:r>
      <w:r w:rsidRPr="00D55DC6">
        <w:rPr>
          <w:rFonts w:eastAsia="標楷體"/>
          <w:sz w:val="28"/>
          <w:szCs w:val="28"/>
        </w:rPr>
        <w:t>77</w:t>
      </w:r>
      <w:r w:rsidRPr="00D55DC6">
        <w:rPr>
          <w:rFonts w:eastAsia="標楷體"/>
          <w:sz w:val="28"/>
          <w:szCs w:val="28"/>
        </w:rPr>
        <w:t>據點及北竿</w:t>
      </w:r>
      <w:r w:rsidRPr="00D55DC6">
        <w:rPr>
          <w:rFonts w:eastAsia="標楷體"/>
          <w:sz w:val="28"/>
          <w:szCs w:val="28"/>
        </w:rPr>
        <w:t>08</w:t>
      </w:r>
      <w:r w:rsidRPr="00D55DC6">
        <w:rPr>
          <w:rFonts w:eastAsia="標楷體"/>
          <w:sz w:val="28"/>
          <w:szCs w:val="28"/>
        </w:rPr>
        <w:t>據點</w:t>
      </w:r>
      <w:r w:rsidRPr="00D55DC6">
        <w:rPr>
          <w:rFonts w:eastAsia="標楷體"/>
          <w:sz w:val="28"/>
          <w:szCs w:val="28"/>
        </w:rPr>
        <w:t>OT</w:t>
      </w:r>
      <w:r w:rsidRPr="00D55DC6">
        <w:rPr>
          <w:rFonts w:eastAsia="標楷體"/>
          <w:sz w:val="28"/>
          <w:szCs w:val="28"/>
        </w:rPr>
        <w:t>案等。</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r w:rsidRPr="00D55DC6">
        <w:rPr>
          <w:rFonts w:eastAsia="標楷體"/>
          <w:sz w:val="28"/>
          <w:szCs w:val="28"/>
        </w:rPr>
        <w:t>5-3.</w:t>
      </w:r>
      <w:r w:rsidRPr="00D55DC6">
        <w:rPr>
          <w:rFonts w:eastAsia="標楷體"/>
          <w:sz w:val="28"/>
          <w:szCs w:val="28"/>
        </w:rPr>
        <w:t>使用者付費：北海坑道水上遊憩設備出租</w:t>
      </w:r>
      <w:r w:rsidRPr="00D55DC6">
        <w:rPr>
          <w:rFonts w:eastAsia="標楷體"/>
          <w:sz w:val="28"/>
          <w:szCs w:val="28"/>
        </w:rPr>
        <w:t xml:space="preserve"> (</w:t>
      </w:r>
      <w:r w:rsidRPr="00D55DC6">
        <w:rPr>
          <w:rFonts w:eastAsia="標楷體"/>
          <w:sz w:val="28"/>
          <w:szCs w:val="28"/>
        </w:rPr>
        <w:t>委外經營、間接收取</w:t>
      </w:r>
      <w:r w:rsidRPr="00D55DC6">
        <w:rPr>
          <w:rFonts w:eastAsia="標楷體"/>
          <w:sz w:val="28"/>
          <w:szCs w:val="28"/>
        </w:rPr>
        <w:t>)</w:t>
      </w:r>
      <w:r w:rsidRPr="00D55DC6">
        <w:rPr>
          <w:rFonts w:eastAsia="標楷體"/>
          <w:sz w:val="28"/>
          <w:szCs w:val="28"/>
        </w:rPr>
        <w:t>。</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r w:rsidRPr="00D55DC6">
        <w:rPr>
          <w:rFonts w:eastAsia="標楷體"/>
          <w:sz w:val="28"/>
          <w:szCs w:val="28"/>
        </w:rPr>
        <w:t>5-4.</w:t>
      </w:r>
      <w:r w:rsidRPr="00D55DC6">
        <w:rPr>
          <w:rFonts w:eastAsia="標楷體"/>
          <w:sz w:val="28"/>
          <w:szCs w:val="28"/>
        </w:rPr>
        <w:t>跨域合作：與地方政府合作申辦環境教育中心並創造相關收益</w:t>
      </w:r>
      <w:r w:rsidRPr="00D55DC6">
        <w:rPr>
          <w:rFonts w:eastAsia="標楷體"/>
          <w:sz w:val="28"/>
          <w:szCs w:val="28"/>
        </w:rPr>
        <w:t>(</w:t>
      </w:r>
      <w:r w:rsidRPr="00D55DC6">
        <w:rPr>
          <w:rFonts w:eastAsia="標楷體"/>
          <w:sz w:val="28"/>
          <w:szCs w:val="28"/>
        </w:rPr>
        <w:t>規劃中</w:t>
      </w:r>
      <w:r w:rsidRPr="00D55DC6">
        <w:rPr>
          <w:rFonts w:eastAsia="標楷體"/>
          <w:sz w:val="28"/>
          <w:szCs w:val="28"/>
        </w:rPr>
        <w:t>)</w:t>
      </w:r>
      <w:r w:rsidRPr="00D55DC6">
        <w:rPr>
          <w:rFonts w:eastAsia="標楷體"/>
          <w:sz w:val="28"/>
          <w:szCs w:val="28"/>
        </w:rPr>
        <w:t>。</w:t>
      </w:r>
    </w:p>
    <w:p w:rsidR="00AE58E7" w:rsidRPr="00D55DC6" w:rsidRDefault="00AE58E7" w:rsidP="00C40B73">
      <w:pPr>
        <w:pStyle w:val="af2"/>
        <w:snapToGrid w:val="0"/>
        <w:spacing w:line="460" w:lineRule="exact"/>
        <w:ind w:leftChars="413" w:left="1414" w:hangingChars="151" w:hanging="423"/>
        <w:jc w:val="both"/>
        <w:rPr>
          <w:rFonts w:eastAsia="標楷體"/>
          <w:sz w:val="28"/>
          <w:szCs w:val="28"/>
        </w:rPr>
      </w:pPr>
    </w:p>
    <w:p w:rsidR="00AE58E7" w:rsidRPr="00D55DC6" w:rsidRDefault="00AE58E7" w:rsidP="00C40B73">
      <w:pPr>
        <w:pStyle w:val="af2"/>
        <w:snapToGrid w:val="0"/>
        <w:spacing w:line="460" w:lineRule="exact"/>
        <w:ind w:leftChars="413" w:left="1414" w:hangingChars="151" w:hanging="423"/>
        <w:jc w:val="both"/>
        <w:rPr>
          <w:rFonts w:eastAsia="標楷體"/>
          <w:sz w:val="28"/>
          <w:szCs w:val="28"/>
        </w:rPr>
      </w:pPr>
    </w:p>
    <w:p w:rsidR="00AE58E7" w:rsidRPr="00D55DC6" w:rsidRDefault="00AE58E7" w:rsidP="00C40B73">
      <w:pPr>
        <w:pStyle w:val="af2"/>
        <w:snapToGrid w:val="0"/>
        <w:spacing w:line="460" w:lineRule="exact"/>
        <w:ind w:leftChars="413" w:left="1414" w:hangingChars="151" w:hanging="423"/>
        <w:jc w:val="both"/>
        <w:rPr>
          <w:rFonts w:eastAsia="標楷體"/>
          <w:sz w:val="28"/>
          <w:szCs w:val="28"/>
        </w:rPr>
      </w:pPr>
    </w:p>
    <w:p w:rsidR="00C40B73" w:rsidRPr="00D55DC6" w:rsidRDefault="00C40B73" w:rsidP="004865C1">
      <w:pPr>
        <w:pStyle w:val="af2"/>
        <w:numPr>
          <w:ilvl w:val="0"/>
          <w:numId w:val="217"/>
        </w:numPr>
        <w:snapToGrid w:val="0"/>
        <w:spacing w:line="460" w:lineRule="exact"/>
        <w:ind w:leftChars="0" w:left="993"/>
        <w:jc w:val="both"/>
        <w:rPr>
          <w:rFonts w:eastAsia="標楷體"/>
          <w:b/>
          <w:sz w:val="28"/>
          <w:szCs w:val="28"/>
        </w:rPr>
      </w:pPr>
      <w:r w:rsidRPr="00D55DC6">
        <w:rPr>
          <w:rFonts w:eastAsia="標楷體"/>
          <w:b/>
          <w:sz w:val="28"/>
          <w:szCs w:val="28"/>
        </w:rPr>
        <w:t>分年預期成果</w:t>
      </w:r>
    </w:p>
    <w:p w:rsidR="00C40B73" w:rsidRPr="00D55DC6" w:rsidRDefault="00C40B73" w:rsidP="00C40B73">
      <w:pPr>
        <w:pStyle w:val="af2"/>
        <w:snapToGrid w:val="0"/>
        <w:spacing w:line="460" w:lineRule="exact"/>
        <w:ind w:leftChars="295" w:left="708"/>
        <w:jc w:val="both"/>
        <w:rPr>
          <w:rFonts w:eastAsia="標楷體"/>
          <w:b/>
          <w:sz w:val="28"/>
          <w:szCs w:val="28"/>
        </w:rPr>
      </w:pPr>
      <w:r w:rsidRPr="00D55DC6">
        <w:rPr>
          <w:rFonts w:eastAsia="標楷體"/>
          <w:b/>
          <w:sz w:val="28"/>
          <w:szCs w:val="28"/>
        </w:rPr>
        <w:t>1. 105</w:t>
      </w:r>
      <w:r w:rsidRPr="00D55DC6">
        <w:rPr>
          <w:rFonts w:eastAsia="標楷體"/>
          <w:b/>
          <w:sz w:val="28"/>
          <w:szCs w:val="28"/>
        </w:rPr>
        <w:t>年完成：</w:t>
      </w:r>
    </w:p>
    <w:p w:rsidR="00AB4406" w:rsidRPr="00D55DC6" w:rsidRDefault="00C40B73" w:rsidP="00AB4406">
      <w:pPr>
        <w:pStyle w:val="af2"/>
        <w:snapToGrid w:val="0"/>
        <w:spacing w:line="460" w:lineRule="exact"/>
        <w:ind w:leftChars="413" w:left="1414" w:hangingChars="151" w:hanging="423"/>
        <w:jc w:val="both"/>
        <w:rPr>
          <w:rFonts w:eastAsia="標楷體"/>
          <w:sz w:val="28"/>
          <w:szCs w:val="28"/>
        </w:rPr>
      </w:pPr>
      <w:r w:rsidRPr="00D55DC6">
        <w:rPr>
          <w:rFonts w:eastAsia="標楷體"/>
          <w:b/>
          <w:sz w:val="28"/>
          <w:szCs w:val="28"/>
        </w:rPr>
        <w:t>1-1.</w:t>
      </w:r>
      <w:r w:rsidR="00AB4406" w:rsidRPr="00D55DC6">
        <w:rPr>
          <w:rFonts w:eastAsia="標楷體"/>
          <w:b/>
          <w:sz w:val="28"/>
          <w:szCs w:val="28"/>
        </w:rPr>
        <w:t xml:space="preserve"> </w:t>
      </w:r>
      <w:r w:rsidR="00AB4406" w:rsidRPr="00D55DC6">
        <w:rPr>
          <w:rFonts w:eastAsia="標楷體"/>
          <w:b/>
          <w:sz w:val="28"/>
          <w:szCs w:val="28"/>
        </w:rPr>
        <w:t>國際觀光景點建設</w:t>
      </w:r>
      <w:r w:rsidR="00AB4406" w:rsidRPr="00D55DC6">
        <w:rPr>
          <w:rFonts w:eastAsia="標楷體"/>
          <w:b/>
          <w:sz w:val="28"/>
          <w:szCs w:val="28"/>
        </w:rPr>
        <w:t>-</w:t>
      </w:r>
      <w:r w:rsidR="00AB4406" w:rsidRPr="00D55DC6">
        <w:rPr>
          <w:rFonts w:eastAsia="標楷體"/>
          <w:sz w:val="28"/>
          <w:szCs w:val="28"/>
        </w:rPr>
        <w:t>南竿系統：</w:t>
      </w:r>
      <w:r w:rsidR="00AB4406" w:rsidRPr="00D55DC6">
        <w:rPr>
          <w:rFonts w:eastAsia="標楷體"/>
          <w:sz w:val="28"/>
          <w:szCs w:val="28"/>
        </w:rPr>
        <w:t>105</w:t>
      </w:r>
      <w:r w:rsidR="00AB4406" w:rsidRPr="00D55DC6">
        <w:rPr>
          <w:rFonts w:eastAsia="標楷體"/>
          <w:sz w:val="28"/>
          <w:szCs w:val="28"/>
        </w:rPr>
        <w:t>年大北海遊憩區各遊憩據點暨周邊景觀整建工程（宗教文化園區服務空間、</w:t>
      </w:r>
      <w:r w:rsidR="00AB4406" w:rsidRPr="00D55DC6">
        <w:rPr>
          <w:rFonts w:eastAsia="標楷體"/>
          <w:sz w:val="28"/>
          <w:szCs w:val="28"/>
        </w:rPr>
        <w:t>46</w:t>
      </w:r>
      <w:r w:rsidR="00AB4406" w:rsidRPr="00D55DC6">
        <w:rPr>
          <w:rFonts w:eastAsia="標楷體"/>
          <w:sz w:val="28"/>
          <w:szCs w:val="28"/>
        </w:rPr>
        <w:t>據點、鐵板營區部分土地暨周邊景觀設施改善</w:t>
      </w:r>
      <w:r w:rsidR="00AB4406" w:rsidRPr="00D55DC6">
        <w:rPr>
          <w:rFonts w:eastAsia="標楷體"/>
          <w:sz w:val="28"/>
          <w:szCs w:val="28"/>
        </w:rPr>
        <w:t>)</w:t>
      </w:r>
      <w:r w:rsidR="00AB4406" w:rsidRPr="00D55DC6">
        <w:rPr>
          <w:rFonts w:eastAsia="標楷體"/>
          <w:sz w:val="28"/>
          <w:szCs w:val="28"/>
        </w:rPr>
        <w:t>，北竿系統：</w:t>
      </w:r>
      <w:r w:rsidR="00AB4406" w:rsidRPr="00D55DC6">
        <w:rPr>
          <w:rFonts w:eastAsia="標楷體"/>
          <w:sz w:val="28"/>
          <w:szCs w:val="28"/>
        </w:rPr>
        <w:t>105</w:t>
      </w:r>
      <w:r w:rsidR="00AB4406" w:rsidRPr="00D55DC6">
        <w:rPr>
          <w:rFonts w:eastAsia="標楷體"/>
          <w:sz w:val="28"/>
          <w:szCs w:val="28"/>
        </w:rPr>
        <w:t>年戰爭和平紀念公園主題館暨周邊景觀整建工程（含坂里遊憩區暨周邊景觀設施改善</w:t>
      </w:r>
      <w:r w:rsidR="00AB4406" w:rsidRPr="00D55DC6">
        <w:rPr>
          <w:rFonts w:eastAsia="標楷體"/>
          <w:sz w:val="28"/>
          <w:szCs w:val="28"/>
        </w:rPr>
        <w:t>)</w:t>
      </w:r>
      <w:r w:rsidR="00AB4406" w:rsidRPr="00D55DC6">
        <w:rPr>
          <w:rFonts w:eastAsia="標楷體"/>
          <w:sz w:val="28"/>
          <w:szCs w:val="28"/>
        </w:rPr>
        <w:t>。</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r w:rsidRPr="00D55DC6">
        <w:rPr>
          <w:rFonts w:eastAsia="標楷體"/>
          <w:b/>
          <w:sz w:val="28"/>
          <w:szCs w:val="28"/>
        </w:rPr>
        <w:lastRenderedPageBreak/>
        <w:t>1-2.</w:t>
      </w:r>
      <w:r w:rsidRPr="00D55DC6">
        <w:rPr>
          <w:rFonts w:eastAsia="標楷體"/>
          <w:b/>
          <w:sz w:val="28"/>
          <w:szCs w:val="28"/>
        </w:rPr>
        <w:t>國內觀光景點建設</w:t>
      </w:r>
      <w:r w:rsidRPr="00D55DC6">
        <w:rPr>
          <w:rFonts w:eastAsia="標楷體"/>
          <w:sz w:val="28"/>
          <w:szCs w:val="28"/>
        </w:rPr>
        <w:t>-</w:t>
      </w:r>
      <w:r w:rsidRPr="00D55DC6">
        <w:rPr>
          <w:rFonts w:eastAsia="標楷體"/>
          <w:sz w:val="28"/>
          <w:szCs w:val="28"/>
        </w:rPr>
        <w:t>東引系統：</w:t>
      </w:r>
      <w:r w:rsidRPr="00D55DC6">
        <w:rPr>
          <w:rFonts w:eastAsia="標楷體"/>
          <w:sz w:val="28"/>
          <w:szCs w:val="28"/>
        </w:rPr>
        <w:t>105</w:t>
      </w:r>
      <w:r w:rsidRPr="00D55DC6">
        <w:rPr>
          <w:rFonts w:eastAsia="標楷體"/>
          <w:sz w:val="28"/>
          <w:szCs w:val="28"/>
        </w:rPr>
        <w:t>年東引地區景點整建工程（遊客中心及周邊設施改善</w:t>
      </w:r>
      <w:r w:rsidRPr="00D55DC6">
        <w:rPr>
          <w:rFonts w:eastAsia="標楷體"/>
          <w:sz w:val="28"/>
          <w:szCs w:val="28"/>
        </w:rPr>
        <w:t>)</w:t>
      </w:r>
      <w:r w:rsidRPr="00D55DC6">
        <w:rPr>
          <w:rFonts w:eastAsia="標楷體"/>
          <w:sz w:val="28"/>
          <w:szCs w:val="28"/>
        </w:rPr>
        <w:t>，莒光系統：</w:t>
      </w:r>
      <w:r w:rsidRPr="00D55DC6">
        <w:rPr>
          <w:rFonts w:eastAsia="標楷體"/>
          <w:sz w:val="28"/>
          <w:szCs w:val="28"/>
        </w:rPr>
        <w:t>105</w:t>
      </w:r>
      <w:r w:rsidRPr="00D55DC6">
        <w:rPr>
          <w:rFonts w:eastAsia="標楷體"/>
          <w:sz w:val="28"/>
          <w:szCs w:val="28"/>
        </w:rPr>
        <w:t>年莒光地區景點整建工程</w:t>
      </w:r>
      <w:r w:rsidRPr="00D55DC6">
        <w:rPr>
          <w:rFonts w:eastAsia="標楷體"/>
          <w:sz w:val="28"/>
          <w:szCs w:val="28"/>
        </w:rPr>
        <w:t>(</w:t>
      </w:r>
      <w:r w:rsidRPr="00D55DC6">
        <w:rPr>
          <w:rFonts w:eastAsia="標楷體"/>
          <w:sz w:val="28"/>
          <w:szCs w:val="28"/>
        </w:rPr>
        <w:t>山海一家周邊景點設施整建、東莒大砲連軍事意象營造</w:t>
      </w:r>
      <w:r w:rsidRPr="00D55DC6">
        <w:rPr>
          <w:rFonts w:eastAsia="標楷體"/>
          <w:sz w:val="28"/>
          <w:szCs w:val="28"/>
        </w:rPr>
        <w:t>)</w:t>
      </w:r>
      <w:r w:rsidRPr="00D55DC6">
        <w:rPr>
          <w:rFonts w:eastAsia="標楷體"/>
          <w:sz w:val="28"/>
          <w:szCs w:val="28"/>
        </w:rPr>
        <w:t>。</w:t>
      </w:r>
    </w:p>
    <w:p w:rsidR="00C40B73" w:rsidRPr="00D55DC6" w:rsidRDefault="00C40B73" w:rsidP="00C40B73">
      <w:pPr>
        <w:pStyle w:val="af2"/>
        <w:snapToGrid w:val="0"/>
        <w:spacing w:line="460" w:lineRule="exact"/>
        <w:ind w:leftChars="295" w:left="708"/>
        <w:jc w:val="both"/>
        <w:rPr>
          <w:rFonts w:eastAsia="標楷體"/>
          <w:b/>
          <w:sz w:val="28"/>
          <w:szCs w:val="28"/>
        </w:rPr>
      </w:pPr>
      <w:r w:rsidRPr="00D55DC6">
        <w:rPr>
          <w:rFonts w:eastAsia="標楷體"/>
          <w:b/>
          <w:sz w:val="28"/>
          <w:szCs w:val="28"/>
        </w:rPr>
        <w:t>2. 106</w:t>
      </w:r>
      <w:r w:rsidRPr="00D55DC6">
        <w:rPr>
          <w:rFonts w:eastAsia="標楷體"/>
          <w:b/>
          <w:sz w:val="28"/>
          <w:szCs w:val="28"/>
        </w:rPr>
        <w:t>年完成：</w:t>
      </w:r>
    </w:p>
    <w:p w:rsidR="00C40B73" w:rsidRPr="00D55DC6" w:rsidRDefault="00C40B73" w:rsidP="00C40B73">
      <w:pPr>
        <w:pStyle w:val="af2"/>
        <w:snapToGrid w:val="0"/>
        <w:spacing w:line="460" w:lineRule="exact"/>
        <w:ind w:leftChars="413" w:left="1414" w:hangingChars="151" w:hanging="423"/>
        <w:jc w:val="both"/>
        <w:rPr>
          <w:rFonts w:eastAsia="標楷體"/>
          <w:b/>
          <w:sz w:val="28"/>
          <w:szCs w:val="28"/>
        </w:rPr>
      </w:pPr>
      <w:r w:rsidRPr="00D55DC6">
        <w:rPr>
          <w:rFonts w:eastAsia="標楷體"/>
          <w:b/>
          <w:sz w:val="28"/>
          <w:szCs w:val="28"/>
        </w:rPr>
        <w:t>2-1.</w:t>
      </w:r>
      <w:r w:rsidRPr="00D55DC6">
        <w:rPr>
          <w:rFonts w:eastAsia="標楷體"/>
          <w:b/>
          <w:sz w:val="28"/>
          <w:szCs w:val="28"/>
        </w:rPr>
        <w:t>國際觀光景點建設</w:t>
      </w:r>
      <w:r w:rsidRPr="00D55DC6">
        <w:rPr>
          <w:rFonts w:eastAsia="標楷體"/>
          <w:b/>
          <w:sz w:val="28"/>
          <w:szCs w:val="28"/>
        </w:rPr>
        <w:t>-</w:t>
      </w:r>
      <w:r w:rsidRPr="00D55DC6">
        <w:rPr>
          <w:rFonts w:eastAsia="標楷體"/>
          <w:sz w:val="28"/>
          <w:szCs w:val="28"/>
        </w:rPr>
        <w:t>南竿系統：</w:t>
      </w:r>
      <w:r w:rsidRPr="00D55DC6">
        <w:rPr>
          <w:rFonts w:eastAsia="標楷體"/>
          <w:sz w:val="28"/>
          <w:szCs w:val="28"/>
        </w:rPr>
        <w:t>106</w:t>
      </w:r>
      <w:r w:rsidRPr="00D55DC6">
        <w:rPr>
          <w:rFonts w:eastAsia="標楷體"/>
          <w:sz w:val="28"/>
          <w:szCs w:val="28"/>
        </w:rPr>
        <w:t>年大北海遊憩區各遊憩據點暨周邊景觀整建工程（聯保廠舊營舍區域暨周邊景觀設施改善</w:t>
      </w:r>
      <w:r w:rsidRPr="00D55DC6">
        <w:rPr>
          <w:rFonts w:eastAsia="標楷體"/>
          <w:sz w:val="28"/>
          <w:szCs w:val="28"/>
        </w:rPr>
        <w:t>)</w:t>
      </w:r>
      <w:r w:rsidRPr="00D55DC6">
        <w:rPr>
          <w:rFonts w:eastAsia="標楷體"/>
          <w:sz w:val="28"/>
          <w:szCs w:val="28"/>
        </w:rPr>
        <w:t>、北竿系統：</w:t>
      </w:r>
      <w:r w:rsidRPr="00D55DC6">
        <w:rPr>
          <w:rFonts w:eastAsia="標楷體"/>
          <w:sz w:val="28"/>
          <w:szCs w:val="28"/>
        </w:rPr>
        <w:t>106</w:t>
      </w:r>
      <w:r w:rsidRPr="00D55DC6">
        <w:rPr>
          <w:rFonts w:eastAsia="標楷體"/>
          <w:sz w:val="28"/>
          <w:szCs w:val="28"/>
        </w:rPr>
        <w:t>年戰爭和平紀念公園主題館暨周邊景觀整建工程（坂里據點暨周邊景觀設施改善</w:t>
      </w:r>
      <w:r w:rsidRPr="00D55DC6">
        <w:rPr>
          <w:rFonts w:eastAsia="標楷體"/>
          <w:sz w:val="28"/>
          <w:szCs w:val="28"/>
        </w:rPr>
        <w:t>)</w:t>
      </w:r>
      <w:r w:rsidRPr="00D55DC6">
        <w:rPr>
          <w:rFonts w:eastAsia="標楷體"/>
          <w:sz w:val="28"/>
          <w:szCs w:val="28"/>
        </w:rPr>
        <w:t>。</w:t>
      </w:r>
    </w:p>
    <w:p w:rsidR="00C40B73" w:rsidRPr="00D55DC6" w:rsidRDefault="00C40B73" w:rsidP="00C40B73">
      <w:pPr>
        <w:pStyle w:val="af2"/>
        <w:snapToGrid w:val="0"/>
        <w:spacing w:line="460" w:lineRule="exact"/>
        <w:ind w:leftChars="413" w:left="1414" w:hangingChars="151" w:hanging="423"/>
        <w:jc w:val="both"/>
        <w:rPr>
          <w:rFonts w:eastAsia="標楷體"/>
          <w:b/>
          <w:sz w:val="28"/>
          <w:szCs w:val="28"/>
        </w:rPr>
      </w:pPr>
      <w:r w:rsidRPr="00D55DC6">
        <w:rPr>
          <w:rFonts w:eastAsia="標楷體"/>
          <w:b/>
          <w:sz w:val="28"/>
          <w:szCs w:val="28"/>
        </w:rPr>
        <w:t>2-2.</w:t>
      </w:r>
      <w:r w:rsidRPr="00D55DC6">
        <w:rPr>
          <w:rFonts w:eastAsia="標楷體"/>
          <w:b/>
          <w:sz w:val="28"/>
          <w:szCs w:val="28"/>
        </w:rPr>
        <w:t>國內觀光景點建設</w:t>
      </w:r>
      <w:r w:rsidRPr="00D55DC6">
        <w:rPr>
          <w:rFonts w:eastAsia="標楷體"/>
          <w:b/>
          <w:sz w:val="28"/>
          <w:szCs w:val="28"/>
        </w:rPr>
        <w:t>-</w:t>
      </w:r>
      <w:r w:rsidRPr="00D55DC6">
        <w:rPr>
          <w:rFonts w:eastAsia="標楷體"/>
          <w:sz w:val="28"/>
          <w:szCs w:val="28"/>
        </w:rPr>
        <w:t>東引系統：</w:t>
      </w:r>
      <w:r w:rsidRPr="00D55DC6">
        <w:rPr>
          <w:rFonts w:eastAsia="標楷體"/>
          <w:sz w:val="28"/>
          <w:szCs w:val="28"/>
        </w:rPr>
        <w:t>106</w:t>
      </w:r>
      <w:r w:rsidRPr="00D55DC6">
        <w:rPr>
          <w:rFonts w:eastAsia="標楷體"/>
          <w:sz w:val="28"/>
          <w:szCs w:val="28"/>
        </w:rPr>
        <w:t>年東引地區景點整建工程（后澳周邊景點設施改善</w:t>
      </w:r>
      <w:r w:rsidRPr="00D55DC6">
        <w:rPr>
          <w:rFonts w:eastAsia="標楷體"/>
          <w:sz w:val="28"/>
          <w:szCs w:val="28"/>
        </w:rPr>
        <w:t>)</w:t>
      </w:r>
      <w:r w:rsidRPr="00D55DC6">
        <w:rPr>
          <w:rFonts w:eastAsia="標楷體"/>
          <w:sz w:val="28"/>
          <w:szCs w:val="28"/>
        </w:rPr>
        <w:t>、莒光系統：</w:t>
      </w:r>
      <w:r w:rsidRPr="00D55DC6">
        <w:rPr>
          <w:rFonts w:eastAsia="標楷體"/>
          <w:sz w:val="28"/>
          <w:szCs w:val="28"/>
        </w:rPr>
        <w:t>106</w:t>
      </w:r>
      <w:r w:rsidRPr="00D55DC6">
        <w:rPr>
          <w:rFonts w:eastAsia="標楷體"/>
          <w:sz w:val="28"/>
          <w:szCs w:val="28"/>
        </w:rPr>
        <w:t>年莒光地區景點整建工程（山海一家周邊景點設施整建、東莒大砲連軍事意象營造</w:t>
      </w:r>
      <w:r w:rsidRPr="00D55DC6">
        <w:rPr>
          <w:rFonts w:eastAsia="標楷體"/>
          <w:sz w:val="28"/>
          <w:szCs w:val="28"/>
        </w:rPr>
        <w:t>)</w:t>
      </w:r>
      <w:r w:rsidRPr="00D55DC6">
        <w:rPr>
          <w:rFonts w:eastAsia="標楷體"/>
          <w:sz w:val="28"/>
          <w:szCs w:val="28"/>
        </w:rPr>
        <w:t>。</w:t>
      </w:r>
    </w:p>
    <w:p w:rsidR="00C40B73" w:rsidRPr="00D55DC6" w:rsidRDefault="00C40B73" w:rsidP="00C40B73">
      <w:pPr>
        <w:pStyle w:val="af2"/>
        <w:snapToGrid w:val="0"/>
        <w:spacing w:line="460" w:lineRule="exact"/>
        <w:ind w:leftChars="295" w:left="708"/>
        <w:jc w:val="both"/>
        <w:rPr>
          <w:rFonts w:eastAsia="標楷體"/>
          <w:b/>
          <w:sz w:val="28"/>
          <w:szCs w:val="28"/>
        </w:rPr>
      </w:pPr>
      <w:r w:rsidRPr="00D55DC6">
        <w:rPr>
          <w:rFonts w:eastAsia="標楷體"/>
          <w:b/>
          <w:sz w:val="28"/>
          <w:szCs w:val="28"/>
        </w:rPr>
        <w:t>3. 107</w:t>
      </w:r>
      <w:r w:rsidRPr="00D55DC6">
        <w:rPr>
          <w:rFonts w:eastAsia="標楷體"/>
          <w:b/>
          <w:sz w:val="28"/>
          <w:szCs w:val="28"/>
        </w:rPr>
        <w:t>年完成：</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r w:rsidRPr="00D55DC6">
        <w:rPr>
          <w:rFonts w:eastAsia="標楷體"/>
          <w:b/>
          <w:sz w:val="28"/>
          <w:szCs w:val="28"/>
        </w:rPr>
        <w:t>3-1.</w:t>
      </w:r>
      <w:r w:rsidRPr="00D55DC6">
        <w:rPr>
          <w:rFonts w:eastAsia="標楷體"/>
          <w:b/>
          <w:sz w:val="28"/>
          <w:szCs w:val="28"/>
        </w:rPr>
        <w:t>國際觀光景點建設</w:t>
      </w:r>
      <w:r w:rsidRPr="00D55DC6">
        <w:rPr>
          <w:rFonts w:eastAsia="標楷體"/>
          <w:sz w:val="28"/>
          <w:szCs w:val="28"/>
        </w:rPr>
        <w:t>-</w:t>
      </w:r>
      <w:r w:rsidRPr="00D55DC6">
        <w:rPr>
          <w:rFonts w:eastAsia="標楷體"/>
          <w:sz w:val="28"/>
          <w:szCs w:val="28"/>
        </w:rPr>
        <w:t>南竿系統：</w:t>
      </w:r>
      <w:r w:rsidRPr="00D55DC6">
        <w:rPr>
          <w:rFonts w:eastAsia="標楷體"/>
          <w:sz w:val="28"/>
          <w:szCs w:val="28"/>
        </w:rPr>
        <w:t>107</w:t>
      </w:r>
      <w:r w:rsidRPr="00D55DC6">
        <w:rPr>
          <w:rFonts w:eastAsia="標楷體"/>
          <w:sz w:val="28"/>
          <w:szCs w:val="28"/>
        </w:rPr>
        <w:t>年大北海遊憩區各遊憩據點暨周邊景觀整建工程（四維生態</w:t>
      </w:r>
      <w:r w:rsidR="00EA38C5" w:rsidRPr="00D55DC6">
        <w:rPr>
          <w:rFonts w:eastAsia="標楷體"/>
          <w:sz w:val="28"/>
          <w:szCs w:val="28"/>
        </w:rPr>
        <w:t>度假</w:t>
      </w:r>
      <w:r w:rsidRPr="00D55DC6">
        <w:rPr>
          <w:rFonts w:eastAsia="標楷體"/>
          <w:sz w:val="28"/>
          <w:szCs w:val="28"/>
        </w:rPr>
        <w:t>園區周邊景點設施改善、大北海遊憩區促參作業相關配合工程</w:t>
      </w:r>
      <w:r w:rsidRPr="00D55DC6">
        <w:rPr>
          <w:rFonts w:eastAsia="標楷體"/>
          <w:sz w:val="28"/>
          <w:szCs w:val="28"/>
        </w:rPr>
        <w:t>)</w:t>
      </w:r>
      <w:r w:rsidRPr="00D55DC6">
        <w:rPr>
          <w:rFonts w:eastAsia="標楷體"/>
          <w:sz w:val="28"/>
          <w:szCs w:val="28"/>
        </w:rPr>
        <w:t>、北竿系統：</w:t>
      </w:r>
      <w:r w:rsidRPr="00D55DC6">
        <w:rPr>
          <w:rFonts w:eastAsia="標楷體"/>
          <w:sz w:val="28"/>
          <w:szCs w:val="28"/>
        </w:rPr>
        <w:t>107</w:t>
      </w:r>
      <w:r w:rsidRPr="00D55DC6">
        <w:rPr>
          <w:rFonts w:eastAsia="標楷體"/>
          <w:sz w:val="28"/>
          <w:szCs w:val="28"/>
        </w:rPr>
        <w:t>年戰爭和平紀念公園主題館暨周邊景觀整建工程（北海坑道暨周邊景觀設施改善、大澳山景觀維護</w:t>
      </w:r>
      <w:r w:rsidRPr="00D55DC6">
        <w:rPr>
          <w:rFonts w:eastAsia="標楷體"/>
          <w:sz w:val="28"/>
          <w:szCs w:val="28"/>
        </w:rPr>
        <w:t>)</w:t>
      </w:r>
      <w:r w:rsidRPr="00D55DC6">
        <w:rPr>
          <w:rFonts w:eastAsia="標楷體"/>
          <w:sz w:val="28"/>
          <w:szCs w:val="28"/>
        </w:rPr>
        <w:t>。</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r w:rsidRPr="00D55DC6">
        <w:rPr>
          <w:rFonts w:eastAsia="標楷體"/>
          <w:b/>
          <w:sz w:val="28"/>
          <w:szCs w:val="28"/>
        </w:rPr>
        <w:t>3-2.</w:t>
      </w:r>
      <w:r w:rsidRPr="00D55DC6">
        <w:rPr>
          <w:rFonts w:eastAsia="標楷體"/>
          <w:b/>
          <w:sz w:val="28"/>
          <w:szCs w:val="28"/>
        </w:rPr>
        <w:t>國內觀光景點建設</w:t>
      </w:r>
      <w:r w:rsidRPr="00D55DC6">
        <w:rPr>
          <w:rFonts w:eastAsia="標楷體"/>
          <w:sz w:val="28"/>
          <w:szCs w:val="28"/>
        </w:rPr>
        <w:t>-</w:t>
      </w:r>
      <w:r w:rsidRPr="00D55DC6">
        <w:rPr>
          <w:rFonts w:eastAsia="標楷體"/>
          <w:sz w:val="28"/>
          <w:szCs w:val="28"/>
        </w:rPr>
        <w:t>東引系統：</w:t>
      </w:r>
      <w:r w:rsidRPr="00D55DC6">
        <w:rPr>
          <w:rFonts w:eastAsia="標楷體"/>
          <w:sz w:val="28"/>
          <w:szCs w:val="28"/>
        </w:rPr>
        <w:t>107</w:t>
      </w:r>
      <w:r w:rsidRPr="00D55DC6">
        <w:rPr>
          <w:rFonts w:eastAsia="標楷體"/>
          <w:sz w:val="28"/>
          <w:szCs w:val="28"/>
        </w:rPr>
        <w:t>年東引地區景點整建工程（燕秀澳周邊景點串聯改善</w:t>
      </w:r>
      <w:r w:rsidRPr="00D55DC6">
        <w:rPr>
          <w:rFonts w:eastAsia="標楷體"/>
          <w:sz w:val="28"/>
          <w:szCs w:val="28"/>
        </w:rPr>
        <w:t>)</w:t>
      </w:r>
      <w:r w:rsidRPr="00D55DC6">
        <w:rPr>
          <w:rFonts w:eastAsia="標楷體"/>
          <w:sz w:val="28"/>
          <w:szCs w:val="28"/>
        </w:rPr>
        <w:t>、莒光系統：</w:t>
      </w:r>
      <w:r w:rsidRPr="00D55DC6">
        <w:rPr>
          <w:rFonts w:eastAsia="標楷體"/>
          <w:sz w:val="28"/>
          <w:szCs w:val="28"/>
        </w:rPr>
        <w:t>107</w:t>
      </w:r>
      <w:r w:rsidRPr="00D55DC6">
        <w:rPr>
          <w:rFonts w:eastAsia="標楷體"/>
          <w:sz w:val="28"/>
          <w:szCs w:val="28"/>
        </w:rPr>
        <w:t>年莒光地區景點整建工程（配合整體發展計畫辦理東莒地區軍方移撥據點整建</w:t>
      </w:r>
      <w:r w:rsidRPr="00D55DC6">
        <w:rPr>
          <w:rFonts w:eastAsia="標楷體"/>
          <w:sz w:val="28"/>
          <w:szCs w:val="28"/>
        </w:rPr>
        <w:t>)</w:t>
      </w:r>
      <w:r w:rsidRPr="00D55DC6">
        <w:rPr>
          <w:rFonts w:eastAsia="標楷體"/>
          <w:sz w:val="28"/>
          <w:szCs w:val="28"/>
        </w:rPr>
        <w:t>。</w:t>
      </w:r>
    </w:p>
    <w:p w:rsidR="00C40B73" w:rsidRPr="00D55DC6" w:rsidRDefault="00C40B73" w:rsidP="00C40B73">
      <w:pPr>
        <w:pStyle w:val="af2"/>
        <w:snapToGrid w:val="0"/>
        <w:spacing w:line="460" w:lineRule="exact"/>
        <w:ind w:leftChars="295" w:left="708"/>
        <w:jc w:val="both"/>
        <w:rPr>
          <w:rFonts w:eastAsia="標楷體"/>
          <w:b/>
          <w:sz w:val="28"/>
          <w:szCs w:val="28"/>
        </w:rPr>
      </w:pPr>
      <w:r w:rsidRPr="00D55DC6">
        <w:rPr>
          <w:rFonts w:eastAsia="標楷體"/>
          <w:b/>
          <w:sz w:val="28"/>
          <w:szCs w:val="28"/>
        </w:rPr>
        <w:t>4. 108</w:t>
      </w:r>
      <w:r w:rsidRPr="00D55DC6">
        <w:rPr>
          <w:rFonts w:eastAsia="標楷體"/>
          <w:b/>
          <w:sz w:val="28"/>
          <w:szCs w:val="28"/>
        </w:rPr>
        <w:t>年完成：</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r w:rsidRPr="00D55DC6">
        <w:rPr>
          <w:rFonts w:eastAsia="標楷體"/>
          <w:b/>
          <w:sz w:val="28"/>
          <w:szCs w:val="28"/>
        </w:rPr>
        <w:t>4-1.</w:t>
      </w:r>
      <w:r w:rsidRPr="00D55DC6">
        <w:rPr>
          <w:rFonts w:eastAsia="標楷體"/>
          <w:b/>
          <w:sz w:val="28"/>
          <w:szCs w:val="28"/>
        </w:rPr>
        <w:t>國際觀光景點建設</w:t>
      </w:r>
      <w:r w:rsidRPr="00D55DC6">
        <w:rPr>
          <w:rFonts w:eastAsia="標楷體"/>
          <w:b/>
          <w:sz w:val="28"/>
          <w:szCs w:val="28"/>
        </w:rPr>
        <w:t>-</w:t>
      </w:r>
      <w:r w:rsidRPr="00D55DC6">
        <w:rPr>
          <w:rFonts w:eastAsia="標楷體"/>
          <w:sz w:val="28"/>
          <w:szCs w:val="28"/>
        </w:rPr>
        <w:t>南竿系統：</w:t>
      </w:r>
      <w:r w:rsidRPr="00D55DC6">
        <w:rPr>
          <w:rFonts w:eastAsia="標楷體"/>
          <w:sz w:val="28"/>
          <w:szCs w:val="28"/>
        </w:rPr>
        <w:t>108</w:t>
      </w:r>
      <w:r w:rsidRPr="00D55DC6">
        <w:rPr>
          <w:rFonts w:eastAsia="標楷體"/>
          <w:sz w:val="28"/>
          <w:szCs w:val="28"/>
        </w:rPr>
        <w:t>年大北海遊憩區各遊憩據點暨周邊景觀整建工程（四維生態</w:t>
      </w:r>
      <w:r w:rsidR="00EA38C5" w:rsidRPr="00D55DC6">
        <w:rPr>
          <w:rFonts w:eastAsia="標楷體"/>
          <w:sz w:val="28"/>
          <w:szCs w:val="28"/>
        </w:rPr>
        <w:t>度假</w:t>
      </w:r>
      <w:r w:rsidRPr="00D55DC6">
        <w:rPr>
          <w:rFonts w:eastAsia="標楷體"/>
          <w:sz w:val="28"/>
          <w:szCs w:val="28"/>
        </w:rPr>
        <w:t>園區周邊景點設施改善、大北海遊憩區促參作業相關配合工程</w:t>
      </w:r>
      <w:r w:rsidRPr="00D55DC6">
        <w:rPr>
          <w:rFonts w:eastAsia="標楷體"/>
          <w:sz w:val="28"/>
          <w:szCs w:val="28"/>
        </w:rPr>
        <w:t>)</w:t>
      </w:r>
      <w:r w:rsidRPr="00D55DC6">
        <w:rPr>
          <w:rFonts w:eastAsia="標楷體"/>
          <w:sz w:val="28"/>
          <w:szCs w:val="28"/>
        </w:rPr>
        <w:t>、北竿系統：</w:t>
      </w:r>
      <w:r w:rsidRPr="00D55DC6">
        <w:rPr>
          <w:rFonts w:eastAsia="標楷體"/>
          <w:sz w:val="28"/>
          <w:szCs w:val="28"/>
        </w:rPr>
        <w:t>108</w:t>
      </w:r>
      <w:r w:rsidRPr="00D55DC6">
        <w:rPr>
          <w:rFonts w:eastAsia="標楷體"/>
          <w:sz w:val="28"/>
          <w:szCs w:val="28"/>
        </w:rPr>
        <w:t>年戰爭和平紀念公園主題館暨周邊景觀整建工程（北海坑道暨周邊景觀設施改善、大沃山景觀維護</w:t>
      </w:r>
      <w:r w:rsidRPr="00D55DC6">
        <w:rPr>
          <w:rFonts w:eastAsia="標楷體"/>
          <w:sz w:val="28"/>
          <w:szCs w:val="28"/>
        </w:rPr>
        <w:t>)</w:t>
      </w:r>
      <w:r w:rsidRPr="00D55DC6">
        <w:rPr>
          <w:rFonts w:eastAsia="標楷體"/>
          <w:sz w:val="28"/>
          <w:szCs w:val="28"/>
        </w:rPr>
        <w:t>。</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r w:rsidRPr="00D55DC6">
        <w:rPr>
          <w:rFonts w:eastAsia="標楷體"/>
          <w:b/>
          <w:sz w:val="28"/>
          <w:szCs w:val="28"/>
        </w:rPr>
        <w:t>4-2.</w:t>
      </w:r>
      <w:r w:rsidRPr="00D55DC6">
        <w:rPr>
          <w:rFonts w:eastAsia="標楷體"/>
          <w:b/>
          <w:sz w:val="28"/>
          <w:szCs w:val="28"/>
        </w:rPr>
        <w:t>國內觀光景點建設</w:t>
      </w:r>
      <w:r w:rsidRPr="00D55DC6">
        <w:rPr>
          <w:rFonts w:eastAsia="標楷體"/>
          <w:b/>
          <w:sz w:val="28"/>
          <w:szCs w:val="28"/>
        </w:rPr>
        <w:t>-</w:t>
      </w:r>
      <w:r w:rsidRPr="00D55DC6">
        <w:rPr>
          <w:rFonts w:eastAsia="標楷體"/>
          <w:sz w:val="28"/>
          <w:szCs w:val="28"/>
        </w:rPr>
        <w:t>東引系統：</w:t>
      </w:r>
      <w:r w:rsidRPr="00D55DC6">
        <w:rPr>
          <w:rFonts w:eastAsia="標楷體"/>
          <w:sz w:val="28"/>
          <w:szCs w:val="28"/>
        </w:rPr>
        <w:t>108</w:t>
      </w:r>
      <w:r w:rsidRPr="00D55DC6">
        <w:rPr>
          <w:rFonts w:eastAsia="標楷體"/>
          <w:sz w:val="28"/>
          <w:szCs w:val="28"/>
        </w:rPr>
        <w:t>年東引地區景點整建工程（燕秀澳周邊景點串聯改善</w:t>
      </w:r>
      <w:r w:rsidRPr="00D55DC6">
        <w:rPr>
          <w:rFonts w:eastAsia="標楷體"/>
          <w:sz w:val="28"/>
          <w:szCs w:val="28"/>
        </w:rPr>
        <w:t>)</w:t>
      </w:r>
      <w:r w:rsidRPr="00D55DC6">
        <w:rPr>
          <w:rFonts w:eastAsia="標楷體"/>
          <w:sz w:val="28"/>
          <w:szCs w:val="28"/>
        </w:rPr>
        <w:t>、莒光系統：</w:t>
      </w:r>
      <w:r w:rsidRPr="00D55DC6">
        <w:rPr>
          <w:rFonts w:eastAsia="標楷體"/>
          <w:sz w:val="28"/>
          <w:szCs w:val="28"/>
        </w:rPr>
        <w:t>108</w:t>
      </w:r>
      <w:r w:rsidRPr="00D55DC6">
        <w:rPr>
          <w:rFonts w:eastAsia="標楷體"/>
          <w:sz w:val="28"/>
          <w:szCs w:val="28"/>
        </w:rPr>
        <w:t>年莒光地區景點整建工程（配合整體發展計畫辦理東莒地區軍方移撥據點整建</w:t>
      </w:r>
      <w:r w:rsidRPr="00D55DC6">
        <w:rPr>
          <w:rFonts w:eastAsia="標楷體"/>
          <w:sz w:val="28"/>
          <w:szCs w:val="28"/>
        </w:rPr>
        <w:t>)</w:t>
      </w:r>
      <w:r w:rsidRPr="00D55DC6">
        <w:rPr>
          <w:rFonts w:eastAsia="標楷體"/>
          <w:sz w:val="28"/>
          <w:szCs w:val="28"/>
        </w:rPr>
        <w:t>。</w:t>
      </w:r>
    </w:p>
    <w:p w:rsidR="00C40B73" w:rsidRPr="00D55DC6" w:rsidRDefault="00C40B73" w:rsidP="00C40B73">
      <w:pPr>
        <w:pStyle w:val="af2"/>
        <w:snapToGrid w:val="0"/>
        <w:spacing w:line="460" w:lineRule="exact"/>
        <w:ind w:leftChars="413" w:left="1414" w:hangingChars="151" w:hanging="423"/>
        <w:jc w:val="both"/>
        <w:rPr>
          <w:rFonts w:eastAsia="標楷體"/>
          <w:sz w:val="28"/>
          <w:szCs w:val="28"/>
        </w:rPr>
      </w:pPr>
    </w:p>
    <w:p w:rsidR="00C40B73" w:rsidRPr="00D55DC6" w:rsidRDefault="00C40B73" w:rsidP="00C40B73">
      <w:pPr>
        <w:pStyle w:val="a"/>
        <w:ind w:left="709" w:hanging="709"/>
        <w:rPr>
          <w:b/>
        </w:rPr>
      </w:pPr>
      <w:bookmarkStart w:id="184" w:name="_Toc407181742"/>
      <w:r w:rsidRPr="00D55DC6">
        <w:rPr>
          <w:b/>
        </w:rPr>
        <w:lastRenderedPageBreak/>
        <w:t>期程與資源需求</w:t>
      </w:r>
      <w:bookmarkEnd w:id="184"/>
    </w:p>
    <w:p w:rsidR="00C40B73" w:rsidRPr="00D55DC6" w:rsidRDefault="00C40B73" w:rsidP="004865C1">
      <w:pPr>
        <w:pStyle w:val="af2"/>
        <w:numPr>
          <w:ilvl w:val="0"/>
          <w:numId w:val="218"/>
        </w:numPr>
        <w:snapToGrid w:val="0"/>
        <w:spacing w:line="460" w:lineRule="exact"/>
        <w:ind w:leftChars="0" w:left="993"/>
        <w:jc w:val="both"/>
        <w:rPr>
          <w:rFonts w:eastAsia="標楷體"/>
          <w:b/>
          <w:sz w:val="28"/>
          <w:szCs w:val="28"/>
        </w:rPr>
      </w:pPr>
      <w:r w:rsidRPr="00D55DC6">
        <w:rPr>
          <w:rFonts w:eastAsia="標楷體"/>
          <w:b/>
          <w:sz w:val="28"/>
          <w:szCs w:val="28"/>
        </w:rPr>
        <w:t>計畫期程</w:t>
      </w:r>
    </w:p>
    <w:p w:rsidR="00C40B73" w:rsidRPr="00D55DC6" w:rsidRDefault="00C40B73" w:rsidP="00C40B73">
      <w:pPr>
        <w:pStyle w:val="af2"/>
        <w:snapToGrid w:val="0"/>
        <w:spacing w:line="460" w:lineRule="exact"/>
        <w:ind w:leftChars="0" w:left="993"/>
        <w:jc w:val="both"/>
        <w:rPr>
          <w:rFonts w:eastAsia="標楷體"/>
          <w:sz w:val="28"/>
          <w:szCs w:val="28"/>
        </w:rPr>
      </w:pPr>
      <w:r w:rsidRPr="00D55DC6">
        <w:rPr>
          <w:rFonts w:eastAsia="標楷體"/>
          <w:sz w:val="28"/>
          <w:szCs w:val="28"/>
        </w:rPr>
        <w:t>自</w:t>
      </w:r>
      <w:r w:rsidRPr="00D55DC6">
        <w:rPr>
          <w:rFonts w:eastAsia="標楷體"/>
          <w:sz w:val="28"/>
          <w:szCs w:val="28"/>
        </w:rPr>
        <w:t>105</w:t>
      </w:r>
      <w:r w:rsidRPr="00D55DC6">
        <w:rPr>
          <w:rFonts w:eastAsia="標楷體"/>
          <w:sz w:val="28"/>
          <w:szCs w:val="28"/>
        </w:rPr>
        <w:t>年至</w:t>
      </w:r>
      <w:r w:rsidRPr="00D55DC6">
        <w:rPr>
          <w:rFonts w:eastAsia="標楷體"/>
          <w:sz w:val="28"/>
          <w:szCs w:val="28"/>
        </w:rPr>
        <w:t>108</w:t>
      </w:r>
      <w:r w:rsidRPr="00D55DC6">
        <w:rPr>
          <w:rFonts w:eastAsia="標楷體"/>
          <w:sz w:val="28"/>
          <w:szCs w:val="28"/>
        </w:rPr>
        <w:t>年。</w:t>
      </w:r>
    </w:p>
    <w:p w:rsidR="00C40B73" w:rsidRPr="00D55DC6" w:rsidRDefault="00C40B73" w:rsidP="004865C1">
      <w:pPr>
        <w:pStyle w:val="af2"/>
        <w:numPr>
          <w:ilvl w:val="0"/>
          <w:numId w:val="218"/>
        </w:numPr>
        <w:snapToGrid w:val="0"/>
        <w:spacing w:line="460" w:lineRule="exact"/>
        <w:ind w:leftChars="0" w:left="993"/>
        <w:jc w:val="both"/>
        <w:rPr>
          <w:rFonts w:eastAsia="標楷體"/>
          <w:b/>
          <w:sz w:val="28"/>
          <w:szCs w:val="28"/>
        </w:rPr>
      </w:pPr>
      <w:r w:rsidRPr="00D55DC6">
        <w:rPr>
          <w:rFonts w:eastAsia="標楷體"/>
          <w:b/>
          <w:sz w:val="28"/>
          <w:szCs w:val="28"/>
        </w:rPr>
        <w:t>經費需求</w:t>
      </w:r>
      <w:r w:rsidRPr="00D55DC6">
        <w:rPr>
          <w:rFonts w:eastAsia="標楷體"/>
          <w:b/>
          <w:sz w:val="28"/>
          <w:szCs w:val="28"/>
        </w:rPr>
        <w:t>(</w:t>
      </w:r>
      <w:r w:rsidRPr="00D55DC6">
        <w:rPr>
          <w:rFonts w:eastAsia="標楷體"/>
          <w:b/>
          <w:sz w:val="28"/>
          <w:szCs w:val="28"/>
        </w:rPr>
        <w:t>含分年經費</w:t>
      </w:r>
      <w:r w:rsidRPr="00D55DC6">
        <w:rPr>
          <w:rFonts w:eastAsia="標楷體"/>
          <w:b/>
          <w:sz w:val="28"/>
          <w:szCs w:val="28"/>
        </w:rPr>
        <w:t>)</w:t>
      </w:r>
      <w:r w:rsidRPr="00D55DC6">
        <w:rPr>
          <w:rFonts w:eastAsia="標楷體"/>
          <w:b/>
          <w:sz w:val="28"/>
          <w:szCs w:val="28"/>
        </w:rPr>
        <w:t>及與中程歲出概算額度配合情形</w:t>
      </w:r>
    </w:p>
    <w:p w:rsidR="00C40B73" w:rsidRPr="00D55DC6" w:rsidRDefault="00486FAE" w:rsidP="00486FAE">
      <w:pPr>
        <w:pStyle w:val="af2"/>
        <w:spacing w:line="460" w:lineRule="exact"/>
        <w:ind w:leftChars="0" w:left="993"/>
        <w:jc w:val="both"/>
        <w:rPr>
          <w:rFonts w:eastAsia="標楷體"/>
          <w:sz w:val="28"/>
          <w:szCs w:val="28"/>
        </w:rPr>
      </w:pPr>
      <w:r w:rsidRPr="00D55DC6">
        <w:rPr>
          <w:rFonts w:eastAsia="標楷體"/>
          <w:sz w:val="28"/>
          <w:szCs w:val="28"/>
        </w:rPr>
        <w:t>本計畫</w:t>
      </w:r>
      <w:r w:rsidR="00D03EE9" w:rsidRPr="00D55DC6">
        <w:rPr>
          <w:rFonts w:eastAsia="標楷體"/>
          <w:sz w:val="28"/>
          <w:szCs w:val="28"/>
        </w:rPr>
        <w:t>總經費為</w:t>
      </w:r>
      <w:r w:rsidR="00D03EE9" w:rsidRPr="00D55DC6">
        <w:rPr>
          <w:rFonts w:eastAsia="標楷體"/>
          <w:sz w:val="28"/>
          <w:szCs w:val="28"/>
        </w:rPr>
        <w:t>7.68</w:t>
      </w:r>
      <w:r w:rsidR="00D03EE9" w:rsidRPr="00D55DC6">
        <w:rPr>
          <w:rFonts w:eastAsia="標楷體"/>
          <w:sz w:val="28"/>
          <w:szCs w:val="28"/>
        </w:rPr>
        <w:t>億元，</w:t>
      </w:r>
      <w:r w:rsidRPr="00D55DC6">
        <w:rPr>
          <w:rFonts w:eastAsia="標楷體"/>
          <w:sz w:val="28"/>
          <w:szCs w:val="28"/>
        </w:rPr>
        <w:t>經費需求（含分年經費）係與中程歲出概算額度相符，分年投資重點及經費需求如下：</w:t>
      </w:r>
      <w:r w:rsidRPr="00D55DC6">
        <w:rPr>
          <w:rFonts w:eastAsia="標楷體"/>
          <w:sz w:val="28"/>
          <w:szCs w:val="28"/>
        </w:rPr>
        <w:t xml:space="preserve"> </w:t>
      </w:r>
    </w:p>
    <w:p w:rsidR="00C40B73" w:rsidRPr="00D55DC6" w:rsidRDefault="00C40B73" w:rsidP="00C40B73">
      <w:pPr>
        <w:snapToGrid w:val="0"/>
        <w:spacing w:line="460" w:lineRule="exact"/>
        <w:ind w:leftChars="354" w:left="850"/>
        <w:jc w:val="right"/>
        <w:rPr>
          <w:rFonts w:eastAsia="標楷體"/>
          <w:sz w:val="28"/>
          <w:szCs w:val="28"/>
        </w:rPr>
      </w:pPr>
      <w:r w:rsidRPr="00D55DC6">
        <w:rPr>
          <w:rFonts w:eastAsia="標楷體"/>
          <w:sz w:val="28"/>
          <w:szCs w:val="28"/>
        </w:rPr>
        <w:t>(</w:t>
      </w:r>
      <w:r w:rsidRPr="00D55DC6">
        <w:rPr>
          <w:rFonts w:eastAsia="標楷體"/>
          <w:sz w:val="28"/>
          <w:szCs w:val="28"/>
        </w:rPr>
        <w:t>單位：億元</w:t>
      </w:r>
      <w:r w:rsidRPr="00D55DC6">
        <w:rPr>
          <w:rFonts w:eastAsia="標楷體"/>
          <w:sz w:val="28"/>
          <w:szCs w:val="28"/>
        </w:rPr>
        <w:t>)</w:t>
      </w:r>
    </w:p>
    <w:tbl>
      <w:tblPr>
        <w:tblW w:w="9982" w:type="dxa"/>
        <w:tblInd w:w="-398" w:type="dxa"/>
        <w:tblCellMar>
          <w:left w:w="28" w:type="dxa"/>
          <w:right w:w="28" w:type="dxa"/>
        </w:tblCellMar>
        <w:tblLook w:val="00A0" w:firstRow="1" w:lastRow="0" w:firstColumn="1" w:lastColumn="0" w:noHBand="0" w:noVBand="0"/>
      </w:tblPr>
      <w:tblGrid>
        <w:gridCol w:w="400"/>
        <w:gridCol w:w="891"/>
        <w:gridCol w:w="1102"/>
        <w:gridCol w:w="2344"/>
        <w:gridCol w:w="709"/>
        <w:gridCol w:w="709"/>
        <w:gridCol w:w="709"/>
        <w:gridCol w:w="708"/>
        <w:gridCol w:w="851"/>
        <w:gridCol w:w="1559"/>
      </w:tblGrid>
      <w:tr w:rsidR="001D0350" w:rsidRPr="00D55DC6" w:rsidTr="00C676DD">
        <w:trPr>
          <w:trHeight w:val="345"/>
          <w:tblHeader/>
        </w:trPr>
        <w:tc>
          <w:tcPr>
            <w:tcW w:w="400"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C40B73" w:rsidRPr="00D55DC6" w:rsidRDefault="00C40B73" w:rsidP="00C676DD">
            <w:pPr>
              <w:widowControl/>
              <w:spacing w:line="200" w:lineRule="exact"/>
              <w:jc w:val="center"/>
              <w:rPr>
                <w:rFonts w:eastAsia="標楷體"/>
                <w:kern w:val="0"/>
              </w:rPr>
            </w:pPr>
            <w:r w:rsidRPr="00D55DC6">
              <w:rPr>
                <w:rFonts w:eastAsia="標楷體"/>
                <w:kern w:val="0"/>
              </w:rPr>
              <w:t>科目別</w:t>
            </w:r>
          </w:p>
        </w:tc>
        <w:tc>
          <w:tcPr>
            <w:tcW w:w="891" w:type="dxa"/>
            <w:tcBorders>
              <w:top w:val="single" w:sz="8" w:space="0" w:color="auto"/>
              <w:left w:val="nil"/>
              <w:bottom w:val="single" w:sz="8" w:space="0" w:color="auto"/>
              <w:right w:val="single" w:sz="8" w:space="0" w:color="auto"/>
            </w:tcBorders>
            <w:shd w:val="clear" w:color="000000" w:fill="FFFF99"/>
            <w:vAlign w:val="center"/>
          </w:tcPr>
          <w:p w:rsidR="00C40B73" w:rsidRPr="00D55DC6" w:rsidRDefault="00C40B73" w:rsidP="00C676DD">
            <w:pPr>
              <w:widowControl/>
              <w:jc w:val="center"/>
              <w:rPr>
                <w:rFonts w:eastAsia="標楷體"/>
                <w:kern w:val="0"/>
              </w:rPr>
            </w:pPr>
            <w:r w:rsidRPr="00D55DC6">
              <w:rPr>
                <w:rFonts w:eastAsia="標楷體"/>
                <w:kern w:val="0"/>
                <w:szCs w:val="22"/>
              </w:rPr>
              <w:t>1</w:t>
            </w:r>
            <w:r w:rsidRPr="00D55DC6">
              <w:rPr>
                <w:rFonts w:eastAsia="標楷體"/>
                <w:kern w:val="0"/>
                <w:szCs w:val="22"/>
              </w:rPr>
              <w:t>級</w:t>
            </w:r>
          </w:p>
        </w:tc>
        <w:tc>
          <w:tcPr>
            <w:tcW w:w="1102" w:type="dxa"/>
            <w:tcBorders>
              <w:top w:val="single" w:sz="8" w:space="0" w:color="auto"/>
              <w:left w:val="nil"/>
              <w:bottom w:val="single" w:sz="8" w:space="0" w:color="auto"/>
              <w:right w:val="single" w:sz="8" w:space="0" w:color="auto"/>
            </w:tcBorders>
            <w:shd w:val="clear" w:color="000000" w:fill="FFFF99"/>
            <w:vAlign w:val="center"/>
          </w:tcPr>
          <w:p w:rsidR="00C40B73" w:rsidRPr="00D55DC6" w:rsidRDefault="00C40B73" w:rsidP="00C676DD">
            <w:pPr>
              <w:widowControl/>
              <w:jc w:val="center"/>
              <w:rPr>
                <w:rFonts w:eastAsia="標楷體"/>
                <w:kern w:val="0"/>
              </w:rPr>
            </w:pPr>
            <w:r w:rsidRPr="00D55DC6">
              <w:rPr>
                <w:rFonts w:eastAsia="標楷體"/>
                <w:kern w:val="0"/>
                <w:szCs w:val="22"/>
              </w:rPr>
              <w:t>2</w:t>
            </w:r>
            <w:r w:rsidRPr="00D55DC6">
              <w:rPr>
                <w:rFonts w:eastAsia="標楷體"/>
                <w:kern w:val="0"/>
                <w:szCs w:val="22"/>
              </w:rPr>
              <w:t>級</w:t>
            </w:r>
          </w:p>
        </w:tc>
        <w:tc>
          <w:tcPr>
            <w:tcW w:w="2344"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C40B73" w:rsidRPr="00D55DC6" w:rsidRDefault="00C40B73" w:rsidP="00C676DD">
            <w:pPr>
              <w:widowControl/>
              <w:jc w:val="center"/>
              <w:rPr>
                <w:rFonts w:eastAsia="標楷體"/>
                <w:kern w:val="0"/>
              </w:rPr>
            </w:pPr>
            <w:r w:rsidRPr="00D55DC6">
              <w:rPr>
                <w:rFonts w:eastAsia="標楷體"/>
                <w:kern w:val="0"/>
                <w:szCs w:val="22"/>
              </w:rPr>
              <w:t>投資重點</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C40B73" w:rsidRPr="00D55DC6" w:rsidRDefault="00C40B73" w:rsidP="00C676DD">
            <w:pPr>
              <w:widowControl/>
              <w:jc w:val="center"/>
              <w:rPr>
                <w:rFonts w:eastAsia="標楷體"/>
                <w:kern w:val="0"/>
              </w:rPr>
            </w:pPr>
            <w:r w:rsidRPr="00D55DC6">
              <w:rPr>
                <w:rFonts w:eastAsia="標楷體"/>
                <w:kern w:val="0"/>
                <w:szCs w:val="22"/>
              </w:rPr>
              <w:t>105</w:t>
            </w:r>
            <w:r w:rsidRPr="00D55DC6">
              <w:rPr>
                <w:rFonts w:eastAsia="標楷體"/>
                <w:kern w:val="0"/>
                <w:szCs w:val="22"/>
              </w:rPr>
              <w:t>年</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C40B73" w:rsidRPr="00D55DC6" w:rsidRDefault="00C40B73" w:rsidP="00C676DD">
            <w:pPr>
              <w:widowControl/>
              <w:jc w:val="center"/>
              <w:rPr>
                <w:rFonts w:eastAsia="標楷體"/>
                <w:kern w:val="0"/>
              </w:rPr>
            </w:pPr>
            <w:r w:rsidRPr="00D55DC6">
              <w:rPr>
                <w:rFonts w:eastAsia="標楷體"/>
                <w:kern w:val="0"/>
                <w:szCs w:val="22"/>
              </w:rPr>
              <w:t>106</w:t>
            </w:r>
            <w:r w:rsidRPr="00D55DC6">
              <w:rPr>
                <w:rFonts w:eastAsia="標楷體"/>
                <w:kern w:val="0"/>
                <w:szCs w:val="22"/>
              </w:rPr>
              <w:t>年</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C40B73" w:rsidRPr="00D55DC6" w:rsidRDefault="00C40B73" w:rsidP="00C676DD">
            <w:pPr>
              <w:widowControl/>
              <w:jc w:val="center"/>
              <w:rPr>
                <w:rFonts w:eastAsia="標楷體"/>
                <w:kern w:val="0"/>
              </w:rPr>
            </w:pPr>
            <w:r w:rsidRPr="00D55DC6">
              <w:rPr>
                <w:rFonts w:eastAsia="標楷體"/>
                <w:kern w:val="0"/>
                <w:szCs w:val="22"/>
              </w:rPr>
              <w:t>107</w:t>
            </w:r>
            <w:r w:rsidRPr="00D55DC6">
              <w:rPr>
                <w:rFonts w:eastAsia="標楷體"/>
                <w:kern w:val="0"/>
                <w:szCs w:val="22"/>
              </w:rPr>
              <w:t>年</w:t>
            </w:r>
          </w:p>
        </w:tc>
        <w:tc>
          <w:tcPr>
            <w:tcW w:w="708"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C40B73" w:rsidRPr="00D55DC6" w:rsidRDefault="00C40B73" w:rsidP="00C676DD">
            <w:pPr>
              <w:widowControl/>
              <w:jc w:val="center"/>
              <w:rPr>
                <w:rFonts w:eastAsia="標楷體"/>
                <w:kern w:val="0"/>
              </w:rPr>
            </w:pPr>
            <w:r w:rsidRPr="00D55DC6">
              <w:rPr>
                <w:rFonts w:eastAsia="標楷體"/>
                <w:kern w:val="0"/>
                <w:szCs w:val="22"/>
              </w:rPr>
              <w:t>108</w:t>
            </w:r>
            <w:r w:rsidRPr="00D55DC6">
              <w:rPr>
                <w:rFonts w:eastAsia="標楷體"/>
                <w:kern w:val="0"/>
                <w:szCs w:val="22"/>
              </w:rPr>
              <w:t>年</w:t>
            </w:r>
          </w:p>
        </w:tc>
        <w:tc>
          <w:tcPr>
            <w:tcW w:w="851"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tcPr>
          <w:p w:rsidR="00C40B73" w:rsidRPr="00D55DC6" w:rsidRDefault="00C40B73" w:rsidP="00C676DD">
            <w:pPr>
              <w:widowControl/>
              <w:jc w:val="center"/>
              <w:rPr>
                <w:rFonts w:eastAsia="標楷體"/>
                <w:kern w:val="0"/>
                <w:szCs w:val="22"/>
              </w:rPr>
            </w:pPr>
            <w:r w:rsidRPr="00D55DC6">
              <w:rPr>
                <w:rFonts w:eastAsia="標楷體"/>
                <w:kern w:val="0"/>
                <w:szCs w:val="22"/>
              </w:rPr>
              <w:t>合計</w:t>
            </w:r>
          </w:p>
        </w:tc>
        <w:tc>
          <w:tcPr>
            <w:tcW w:w="1559" w:type="dxa"/>
            <w:vMerge w:val="restart"/>
            <w:tcBorders>
              <w:top w:val="single" w:sz="8" w:space="0" w:color="auto"/>
              <w:left w:val="single" w:sz="8" w:space="0" w:color="auto"/>
              <w:bottom w:val="single" w:sz="8" w:space="0" w:color="auto"/>
              <w:right w:val="single" w:sz="8" w:space="0" w:color="auto"/>
            </w:tcBorders>
            <w:shd w:val="clear" w:color="000000" w:fill="FFFF99"/>
            <w:vAlign w:val="center"/>
          </w:tcPr>
          <w:p w:rsidR="00C40B73" w:rsidRPr="00D55DC6" w:rsidRDefault="00C40B73" w:rsidP="00C676DD">
            <w:pPr>
              <w:widowControl/>
              <w:jc w:val="center"/>
              <w:rPr>
                <w:rFonts w:eastAsia="標楷體"/>
                <w:kern w:val="0"/>
              </w:rPr>
            </w:pPr>
            <w:r w:rsidRPr="00D55DC6">
              <w:rPr>
                <w:rFonts w:eastAsia="標楷體"/>
                <w:kern w:val="0"/>
                <w:szCs w:val="22"/>
              </w:rPr>
              <w:t>工作內容</w:t>
            </w:r>
          </w:p>
        </w:tc>
      </w:tr>
      <w:tr w:rsidR="001D0350" w:rsidRPr="00D55DC6" w:rsidTr="00C676DD">
        <w:trPr>
          <w:trHeight w:val="227"/>
          <w:tblHeader/>
        </w:trPr>
        <w:tc>
          <w:tcPr>
            <w:tcW w:w="400" w:type="dxa"/>
            <w:vMerge/>
            <w:tcBorders>
              <w:top w:val="single" w:sz="8" w:space="0" w:color="auto"/>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891" w:type="dxa"/>
            <w:tcBorders>
              <w:top w:val="nil"/>
              <w:left w:val="nil"/>
              <w:bottom w:val="single" w:sz="8" w:space="0" w:color="auto"/>
              <w:right w:val="single" w:sz="8" w:space="0" w:color="auto"/>
            </w:tcBorders>
            <w:shd w:val="clear" w:color="000000" w:fill="FFFF99"/>
            <w:vAlign w:val="center"/>
          </w:tcPr>
          <w:p w:rsidR="00C40B73" w:rsidRPr="00D55DC6" w:rsidRDefault="00C40B73" w:rsidP="00C676DD">
            <w:pPr>
              <w:widowControl/>
              <w:jc w:val="center"/>
              <w:rPr>
                <w:rFonts w:eastAsia="標楷體"/>
                <w:kern w:val="0"/>
              </w:rPr>
            </w:pPr>
            <w:r w:rsidRPr="00D55DC6">
              <w:rPr>
                <w:rFonts w:eastAsia="標楷體"/>
                <w:kern w:val="0"/>
                <w:szCs w:val="22"/>
              </w:rPr>
              <w:t>用途別</w:t>
            </w:r>
          </w:p>
        </w:tc>
        <w:tc>
          <w:tcPr>
            <w:tcW w:w="1102" w:type="dxa"/>
            <w:tcBorders>
              <w:top w:val="nil"/>
              <w:left w:val="nil"/>
              <w:bottom w:val="single" w:sz="8" w:space="0" w:color="auto"/>
              <w:right w:val="single" w:sz="8" w:space="0" w:color="auto"/>
            </w:tcBorders>
            <w:shd w:val="clear" w:color="000000" w:fill="FFFF99"/>
            <w:vAlign w:val="center"/>
          </w:tcPr>
          <w:p w:rsidR="00C40B73" w:rsidRPr="00D55DC6" w:rsidRDefault="00C40B73" w:rsidP="00C676DD">
            <w:pPr>
              <w:widowControl/>
              <w:jc w:val="center"/>
              <w:rPr>
                <w:rFonts w:eastAsia="標楷體"/>
                <w:kern w:val="0"/>
              </w:rPr>
            </w:pPr>
            <w:r w:rsidRPr="00D55DC6">
              <w:rPr>
                <w:rFonts w:eastAsia="標楷體"/>
                <w:kern w:val="0"/>
                <w:szCs w:val="22"/>
              </w:rPr>
              <w:t>用途別</w:t>
            </w:r>
          </w:p>
        </w:tc>
        <w:tc>
          <w:tcPr>
            <w:tcW w:w="2344" w:type="dxa"/>
            <w:vMerge/>
            <w:tcBorders>
              <w:top w:val="single" w:sz="8" w:space="0" w:color="auto"/>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C40B73" w:rsidRPr="00D55DC6" w:rsidRDefault="00C40B73" w:rsidP="00C676DD">
            <w:pPr>
              <w:widowControl/>
              <w:rPr>
                <w:rFonts w:eastAsia="標楷體"/>
                <w:kern w:val="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C40B73" w:rsidRPr="00D55DC6" w:rsidRDefault="00C40B73" w:rsidP="00C676DD">
            <w:pPr>
              <w:widowControl/>
              <w:rPr>
                <w:rFonts w:eastAsia="標楷體"/>
                <w:kern w:val="0"/>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C40B73" w:rsidRPr="00D55DC6" w:rsidRDefault="00C40B73" w:rsidP="00C676DD">
            <w:pPr>
              <w:widowControl/>
              <w:rPr>
                <w:rFonts w:eastAsia="標楷體"/>
                <w:kern w:val="0"/>
              </w:rPr>
            </w:pPr>
          </w:p>
        </w:tc>
        <w:tc>
          <w:tcPr>
            <w:tcW w:w="708" w:type="dxa"/>
            <w:vMerge/>
            <w:tcBorders>
              <w:top w:val="single" w:sz="8" w:space="0" w:color="auto"/>
              <w:left w:val="single" w:sz="8" w:space="0" w:color="auto"/>
              <w:bottom w:val="single" w:sz="8" w:space="0" w:color="000000"/>
              <w:right w:val="single" w:sz="8" w:space="0" w:color="auto"/>
            </w:tcBorders>
            <w:vAlign w:val="center"/>
          </w:tcPr>
          <w:p w:rsidR="00C40B73" w:rsidRPr="00D55DC6" w:rsidRDefault="00C40B73" w:rsidP="00C676DD">
            <w:pPr>
              <w:widowControl/>
              <w:rPr>
                <w:rFonts w:eastAsia="標楷體"/>
                <w:kern w:val="0"/>
              </w:rPr>
            </w:pPr>
          </w:p>
        </w:tc>
        <w:tc>
          <w:tcPr>
            <w:tcW w:w="851" w:type="dxa"/>
            <w:vMerge/>
            <w:tcBorders>
              <w:top w:val="single" w:sz="8" w:space="0" w:color="auto"/>
              <w:left w:val="single" w:sz="8" w:space="0" w:color="auto"/>
              <w:bottom w:val="single" w:sz="8" w:space="0" w:color="000000"/>
              <w:right w:val="single" w:sz="8" w:space="0" w:color="auto"/>
            </w:tcBorders>
            <w:vAlign w:val="center"/>
          </w:tcPr>
          <w:p w:rsidR="00C40B73" w:rsidRPr="00D55DC6" w:rsidRDefault="00C40B73" w:rsidP="00C676DD">
            <w:pPr>
              <w:widowControl/>
              <w:rPr>
                <w:rFonts w:eastAsia="標楷體"/>
                <w:kern w:val="0"/>
              </w:rPr>
            </w:pPr>
          </w:p>
        </w:tc>
        <w:tc>
          <w:tcPr>
            <w:tcW w:w="1559" w:type="dxa"/>
            <w:vMerge/>
            <w:tcBorders>
              <w:top w:val="single" w:sz="8" w:space="0" w:color="auto"/>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r>
      <w:tr w:rsidR="001D0350" w:rsidRPr="00D55DC6" w:rsidTr="00C676DD">
        <w:trPr>
          <w:trHeight w:val="619"/>
        </w:trPr>
        <w:tc>
          <w:tcPr>
            <w:tcW w:w="400" w:type="dxa"/>
            <w:vMerge w:val="restart"/>
            <w:tcBorders>
              <w:top w:val="nil"/>
              <w:left w:val="single" w:sz="8" w:space="0" w:color="auto"/>
              <w:bottom w:val="single" w:sz="8" w:space="0" w:color="auto"/>
              <w:right w:val="single" w:sz="8" w:space="0" w:color="auto"/>
            </w:tcBorders>
            <w:shd w:val="clear" w:color="000000" w:fill="CCFFFF"/>
          </w:tcPr>
          <w:p w:rsidR="00C40B73" w:rsidRPr="00D55DC6" w:rsidRDefault="00C40B73" w:rsidP="00C676DD">
            <w:pPr>
              <w:widowControl/>
              <w:jc w:val="center"/>
              <w:rPr>
                <w:rFonts w:eastAsia="標楷體"/>
                <w:kern w:val="0"/>
              </w:rPr>
            </w:pPr>
            <w:r w:rsidRPr="00D55DC6">
              <w:rPr>
                <w:rFonts w:eastAsia="標楷體"/>
                <w:kern w:val="0"/>
                <w:szCs w:val="22"/>
              </w:rPr>
              <w:t>經常門</w:t>
            </w:r>
          </w:p>
        </w:tc>
        <w:tc>
          <w:tcPr>
            <w:tcW w:w="891" w:type="dxa"/>
            <w:vMerge w:val="restart"/>
            <w:tcBorders>
              <w:top w:val="nil"/>
              <w:left w:val="single" w:sz="8" w:space="0" w:color="auto"/>
              <w:bottom w:val="single" w:sz="8" w:space="0" w:color="auto"/>
              <w:right w:val="single" w:sz="8" w:space="0" w:color="auto"/>
            </w:tcBorders>
            <w:shd w:val="clear" w:color="000000" w:fill="CCFFFF"/>
          </w:tcPr>
          <w:p w:rsidR="00C40B73" w:rsidRPr="00D55DC6" w:rsidRDefault="00C40B73" w:rsidP="00C676DD">
            <w:pPr>
              <w:widowControl/>
              <w:jc w:val="center"/>
              <w:rPr>
                <w:rFonts w:eastAsia="標楷體"/>
                <w:kern w:val="0"/>
              </w:rPr>
            </w:pPr>
            <w:r w:rsidRPr="00D55DC6">
              <w:rPr>
                <w:rFonts w:eastAsia="標楷體"/>
                <w:kern w:val="0"/>
                <w:szCs w:val="22"/>
              </w:rPr>
              <w:t>0200</w:t>
            </w:r>
            <w:r w:rsidRPr="00D55DC6">
              <w:rPr>
                <w:rFonts w:eastAsia="標楷體"/>
                <w:kern w:val="0"/>
                <w:szCs w:val="22"/>
              </w:rPr>
              <w:t>業務費</w:t>
            </w:r>
          </w:p>
        </w:tc>
        <w:tc>
          <w:tcPr>
            <w:tcW w:w="1102" w:type="dxa"/>
            <w:vMerge w:val="restart"/>
            <w:tcBorders>
              <w:top w:val="nil"/>
              <w:left w:val="single" w:sz="8" w:space="0" w:color="auto"/>
              <w:bottom w:val="single" w:sz="8" w:space="0" w:color="auto"/>
              <w:right w:val="single" w:sz="8" w:space="0" w:color="auto"/>
            </w:tcBorders>
            <w:shd w:val="clear" w:color="000000" w:fill="CCFFFF"/>
          </w:tcPr>
          <w:p w:rsidR="00C40B73" w:rsidRPr="00D55DC6" w:rsidRDefault="00C40B73" w:rsidP="00C676DD">
            <w:pPr>
              <w:widowControl/>
              <w:rPr>
                <w:rFonts w:eastAsia="標楷體"/>
                <w:kern w:val="0"/>
              </w:rPr>
            </w:pPr>
            <w:r w:rsidRPr="00D55DC6">
              <w:rPr>
                <w:rFonts w:eastAsia="標楷體"/>
                <w:kern w:val="0"/>
                <w:szCs w:val="22"/>
              </w:rPr>
              <w:t>0284</w:t>
            </w:r>
            <w:r w:rsidRPr="00D55DC6">
              <w:rPr>
                <w:rFonts w:eastAsia="標楷體"/>
                <w:kern w:val="0"/>
                <w:szCs w:val="22"/>
              </w:rPr>
              <w:t>設施及機械設備養護費</w:t>
            </w:r>
          </w:p>
        </w:tc>
        <w:tc>
          <w:tcPr>
            <w:tcW w:w="2344"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ind w:left="332" w:hangingChars="138" w:hanging="332"/>
              <w:rPr>
                <w:rFonts w:eastAsia="標楷體"/>
                <w:b/>
                <w:bCs/>
                <w:kern w:val="0"/>
              </w:rPr>
            </w:pPr>
            <w:r w:rsidRPr="00D55DC6">
              <w:rPr>
                <w:rFonts w:eastAsia="標楷體"/>
                <w:b/>
                <w:bCs/>
                <w:kern w:val="0"/>
                <w:szCs w:val="22"/>
              </w:rPr>
              <w:t>1.</w:t>
            </w:r>
            <w:r w:rsidRPr="00D55DC6">
              <w:rPr>
                <w:rFonts w:eastAsia="標楷體"/>
                <w:b/>
                <w:bCs/>
                <w:kern w:val="0"/>
                <w:szCs w:val="22"/>
              </w:rPr>
              <w:t>綠美化養護及設施零星修護</w:t>
            </w:r>
          </w:p>
        </w:tc>
        <w:tc>
          <w:tcPr>
            <w:tcW w:w="709"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0.07 </w:t>
            </w:r>
          </w:p>
        </w:tc>
        <w:tc>
          <w:tcPr>
            <w:tcW w:w="709"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0.07 </w:t>
            </w:r>
          </w:p>
        </w:tc>
        <w:tc>
          <w:tcPr>
            <w:tcW w:w="709"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 0.07 </w:t>
            </w:r>
          </w:p>
        </w:tc>
        <w:tc>
          <w:tcPr>
            <w:tcW w:w="708"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 0.07 </w:t>
            </w:r>
          </w:p>
        </w:tc>
        <w:tc>
          <w:tcPr>
            <w:tcW w:w="851"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  0.28 </w:t>
            </w:r>
          </w:p>
        </w:tc>
        <w:tc>
          <w:tcPr>
            <w:tcW w:w="1559" w:type="dxa"/>
            <w:vMerge w:val="restart"/>
            <w:tcBorders>
              <w:top w:val="nil"/>
              <w:left w:val="single" w:sz="8" w:space="0" w:color="auto"/>
              <w:bottom w:val="single" w:sz="8" w:space="0" w:color="auto"/>
              <w:right w:val="single" w:sz="8" w:space="0" w:color="auto"/>
            </w:tcBorders>
            <w:shd w:val="clear" w:color="000000" w:fill="CCFFFF"/>
          </w:tcPr>
          <w:p w:rsidR="00C40B73" w:rsidRPr="00D55DC6" w:rsidRDefault="00C40B73" w:rsidP="00C676DD">
            <w:pPr>
              <w:widowControl/>
              <w:rPr>
                <w:rFonts w:eastAsia="標楷體"/>
                <w:kern w:val="0"/>
              </w:rPr>
            </w:pPr>
            <w:r w:rsidRPr="00D55DC6">
              <w:rPr>
                <w:rFonts w:eastAsia="標楷體"/>
                <w:kern w:val="0"/>
                <w:szCs w:val="22"/>
              </w:rPr>
              <w:t>植栽養護、零星修繕、各據點建物公共安全及消防檢測</w:t>
            </w:r>
          </w:p>
        </w:tc>
      </w:tr>
      <w:tr w:rsidR="001D0350" w:rsidRPr="00D55DC6" w:rsidTr="00C676DD">
        <w:trPr>
          <w:trHeight w:val="405"/>
        </w:trPr>
        <w:tc>
          <w:tcPr>
            <w:tcW w:w="400"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2344"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center"/>
              <w:rPr>
                <w:rFonts w:eastAsia="標楷體"/>
                <w:b/>
                <w:bCs/>
                <w:kern w:val="0"/>
              </w:rPr>
            </w:pPr>
            <w:r w:rsidRPr="00D55DC6">
              <w:rPr>
                <w:rFonts w:eastAsia="標楷體"/>
                <w:b/>
                <w:bCs/>
                <w:kern w:val="0"/>
                <w:szCs w:val="22"/>
              </w:rPr>
              <w:t>經常門合計</w:t>
            </w:r>
          </w:p>
        </w:tc>
        <w:tc>
          <w:tcPr>
            <w:tcW w:w="709"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kern w:val="0"/>
              </w:rPr>
            </w:pPr>
            <w:r w:rsidRPr="00D55DC6">
              <w:rPr>
                <w:rFonts w:eastAsia="標楷體"/>
                <w:kern w:val="0"/>
                <w:szCs w:val="22"/>
              </w:rPr>
              <w:t xml:space="preserve">0.07 </w:t>
            </w:r>
          </w:p>
        </w:tc>
        <w:tc>
          <w:tcPr>
            <w:tcW w:w="709"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kern w:val="0"/>
              </w:rPr>
            </w:pPr>
            <w:r w:rsidRPr="00D55DC6">
              <w:rPr>
                <w:rFonts w:eastAsia="標楷體"/>
                <w:kern w:val="0"/>
                <w:szCs w:val="22"/>
              </w:rPr>
              <w:t xml:space="preserve">0.07 </w:t>
            </w:r>
          </w:p>
        </w:tc>
        <w:tc>
          <w:tcPr>
            <w:tcW w:w="709"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kern w:val="0"/>
              </w:rPr>
            </w:pPr>
            <w:r w:rsidRPr="00D55DC6">
              <w:rPr>
                <w:rFonts w:eastAsia="標楷體"/>
                <w:kern w:val="0"/>
                <w:szCs w:val="22"/>
              </w:rPr>
              <w:t xml:space="preserve">0.07 </w:t>
            </w:r>
          </w:p>
        </w:tc>
        <w:tc>
          <w:tcPr>
            <w:tcW w:w="708"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kern w:val="0"/>
              </w:rPr>
            </w:pPr>
            <w:r w:rsidRPr="00D55DC6">
              <w:rPr>
                <w:rFonts w:eastAsia="標楷體"/>
                <w:kern w:val="0"/>
                <w:szCs w:val="22"/>
              </w:rPr>
              <w:t xml:space="preserve">0.07 </w:t>
            </w:r>
          </w:p>
        </w:tc>
        <w:tc>
          <w:tcPr>
            <w:tcW w:w="851"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kern w:val="0"/>
              </w:rPr>
            </w:pPr>
            <w:r w:rsidRPr="00D55DC6">
              <w:rPr>
                <w:rFonts w:eastAsia="標楷體"/>
                <w:kern w:val="0"/>
                <w:szCs w:val="22"/>
              </w:rPr>
              <w:t xml:space="preserve">   0.28 </w:t>
            </w:r>
          </w:p>
        </w:tc>
        <w:tc>
          <w:tcPr>
            <w:tcW w:w="1559"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r>
      <w:tr w:rsidR="001D0350" w:rsidRPr="00D55DC6" w:rsidTr="00C676DD">
        <w:trPr>
          <w:trHeight w:val="1305"/>
        </w:trPr>
        <w:tc>
          <w:tcPr>
            <w:tcW w:w="400" w:type="dxa"/>
            <w:vMerge w:val="restart"/>
            <w:tcBorders>
              <w:top w:val="nil"/>
              <w:left w:val="single" w:sz="8" w:space="0" w:color="auto"/>
              <w:bottom w:val="nil"/>
              <w:right w:val="single" w:sz="8" w:space="0" w:color="auto"/>
            </w:tcBorders>
            <w:shd w:val="clear" w:color="000000" w:fill="CCFFCC"/>
          </w:tcPr>
          <w:p w:rsidR="00C40B73" w:rsidRPr="00D55DC6" w:rsidRDefault="00C40B73" w:rsidP="00C676DD">
            <w:pPr>
              <w:widowControl/>
              <w:jc w:val="center"/>
              <w:rPr>
                <w:rFonts w:eastAsia="標楷體"/>
                <w:kern w:val="0"/>
              </w:rPr>
            </w:pPr>
            <w:r w:rsidRPr="00D55DC6">
              <w:rPr>
                <w:rFonts w:eastAsia="標楷體"/>
                <w:kern w:val="0"/>
                <w:szCs w:val="22"/>
              </w:rPr>
              <w:t>資本門</w:t>
            </w:r>
          </w:p>
        </w:tc>
        <w:tc>
          <w:tcPr>
            <w:tcW w:w="891" w:type="dxa"/>
            <w:vMerge w:val="restart"/>
            <w:tcBorders>
              <w:top w:val="nil"/>
              <w:left w:val="single" w:sz="8" w:space="0" w:color="auto"/>
              <w:bottom w:val="single" w:sz="8" w:space="0" w:color="auto"/>
              <w:right w:val="single" w:sz="8" w:space="0" w:color="auto"/>
            </w:tcBorders>
            <w:shd w:val="clear" w:color="000000" w:fill="CCFFCC"/>
          </w:tcPr>
          <w:p w:rsidR="00C40B73" w:rsidRPr="00D55DC6" w:rsidRDefault="00C40B73" w:rsidP="00C676DD">
            <w:pPr>
              <w:widowControl/>
              <w:jc w:val="center"/>
              <w:rPr>
                <w:rFonts w:eastAsia="標楷體"/>
                <w:kern w:val="0"/>
              </w:rPr>
            </w:pPr>
            <w:r w:rsidRPr="00D55DC6">
              <w:rPr>
                <w:rFonts w:eastAsia="標楷體"/>
                <w:kern w:val="0"/>
                <w:szCs w:val="22"/>
              </w:rPr>
              <w:t>0300</w:t>
            </w:r>
            <w:r w:rsidRPr="00D55DC6">
              <w:rPr>
                <w:rFonts w:eastAsia="標楷體"/>
                <w:kern w:val="0"/>
                <w:szCs w:val="22"/>
              </w:rPr>
              <w:t>設備及投資</w:t>
            </w:r>
          </w:p>
        </w:tc>
        <w:tc>
          <w:tcPr>
            <w:tcW w:w="1102"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rPr>
                <w:rFonts w:eastAsia="標楷體"/>
                <w:kern w:val="0"/>
              </w:rPr>
            </w:pPr>
            <w:r w:rsidRPr="00D55DC6">
              <w:rPr>
                <w:rFonts w:eastAsia="標楷體"/>
                <w:kern w:val="0"/>
                <w:szCs w:val="22"/>
              </w:rPr>
              <w:t>0301</w:t>
            </w:r>
            <w:r w:rsidRPr="00D55DC6">
              <w:rPr>
                <w:rFonts w:eastAsia="標楷體"/>
                <w:kern w:val="0"/>
                <w:szCs w:val="22"/>
              </w:rPr>
              <w:t>土地費</w:t>
            </w:r>
          </w:p>
        </w:tc>
        <w:tc>
          <w:tcPr>
            <w:tcW w:w="2344"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rPr>
                <w:rFonts w:eastAsia="標楷體"/>
                <w:b/>
                <w:bCs/>
                <w:kern w:val="0"/>
              </w:rPr>
            </w:pPr>
            <w:r w:rsidRPr="00D55DC6">
              <w:rPr>
                <w:rFonts w:eastAsia="標楷體"/>
                <w:b/>
                <w:bCs/>
                <w:kern w:val="0"/>
                <w:szCs w:val="22"/>
              </w:rPr>
              <w:t>1.</w:t>
            </w:r>
            <w:r w:rsidRPr="00D55DC6">
              <w:rPr>
                <w:rFonts w:eastAsia="標楷體"/>
                <w:b/>
                <w:bCs/>
                <w:kern w:val="0"/>
                <w:szCs w:val="22"/>
              </w:rPr>
              <w:t>土地取得</w:t>
            </w:r>
          </w:p>
        </w:tc>
        <w:tc>
          <w:tcPr>
            <w:tcW w:w="709"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0.02 </w:t>
            </w:r>
          </w:p>
        </w:tc>
        <w:tc>
          <w:tcPr>
            <w:tcW w:w="709"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 0.02 </w:t>
            </w:r>
          </w:p>
        </w:tc>
        <w:tc>
          <w:tcPr>
            <w:tcW w:w="709"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 0.02 </w:t>
            </w:r>
          </w:p>
        </w:tc>
        <w:tc>
          <w:tcPr>
            <w:tcW w:w="708"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 0.02 </w:t>
            </w:r>
          </w:p>
        </w:tc>
        <w:tc>
          <w:tcPr>
            <w:tcW w:w="851"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 0.08 </w:t>
            </w:r>
          </w:p>
        </w:tc>
        <w:tc>
          <w:tcPr>
            <w:tcW w:w="1559" w:type="dxa"/>
            <w:tcBorders>
              <w:top w:val="nil"/>
              <w:left w:val="nil"/>
              <w:bottom w:val="single" w:sz="8" w:space="0" w:color="auto"/>
              <w:right w:val="single" w:sz="8" w:space="0" w:color="auto"/>
            </w:tcBorders>
          </w:tcPr>
          <w:p w:rsidR="00C40B73" w:rsidRPr="00D55DC6" w:rsidRDefault="00C40B73" w:rsidP="00C676DD">
            <w:pPr>
              <w:widowControl/>
              <w:rPr>
                <w:rFonts w:eastAsia="標楷體"/>
                <w:kern w:val="0"/>
              </w:rPr>
            </w:pPr>
            <w:r w:rsidRPr="00D55DC6">
              <w:rPr>
                <w:rFonts w:eastAsia="標楷體"/>
                <w:kern w:val="0"/>
                <w:szCs w:val="22"/>
              </w:rPr>
              <w:t>辦理轄區訂樁測量、徵收價購、撥用補償及相關作業</w:t>
            </w:r>
          </w:p>
        </w:tc>
      </w:tr>
      <w:tr w:rsidR="001D0350" w:rsidRPr="00D55DC6" w:rsidTr="00C676DD">
        <w:trPr>
          <w:trHeight w:val="375"/>
        </w:trPr>
        <w:tc>
          <w:tcPr>
            <w:tcW w:w="400" w:type="dxa"/>
            <w:vMerge/>
            <w:tcBorders>
              <w:top w:val="nil"/>
              <w:left w:val="single" w:sz="8" w:space="0" w:color="auto"/>
              <w:bottom w:val="nil"/>
              <w:right w:val="single" w:sz="8" w:space="0" w:color="auto"/>
            </w:tcBorders>
            <w:vAlign w:val="center"/>
          </w:tcPr>
          <w:p w:rsidR="00C40B73" w:rsidRPr="00D55DC6" w:rsidRDefault="00C40B73" w:rsidP="00C676DD">
            <w:pPr>
              <w:widowControl/>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1102" w:type="dxa"/>
            <w:tcBorders>
              <w:top w:val="nil"/>
              <w:left w:val="single" w:sz="8" w:space="0" w:color="auto"/>
              <w:bottom w:val="single" w:sz="8" w:space="0" w:color="000000"/>
              <w:right w:val="single" w:sz="8" w:space="0" w:color="auto"/>
            </w:tcBorders>
            <w:shd w:val="clear" w:color="000000" w:fill="CCFFCC"/>
          </w:tcPr>
          <w:p w:rsidR="00C40B73" w:rsidRPr="00D55DC6" w:rsidRDefault="00C40B73" w:rsidP="00C676DD">
            <w:pPr>
              <w:widowControl/>
              <w:rPr>
                <w:rFonts w:eastAsia="標楷體"/>
                <w:kern w:val="0"/>
              </w:rPr>
            </w:pPr>
            <w:r w:rsidRPr="00D55DC6">
              <w:rPr>
                <w:rFonts w:eastAsia="標楷體"/>
                <w:kern w:val="0"/>
                <w:szCs w:val="22"/>
              </w:rPr>
              <w:t>0302</w:t>
            </w:r>
            <w:r w:rsidRPr="00D55DC6">
              <w:rPr>
                <w:rFonts w:eastAsia="標楷體"/>
                <w:kern w:val="0"/>
                <w:szCs w:val="22"/>
              </w:rPr>
              <w:t>房屋建築及設備費</w:t>
            </w:r>
          </w:p>
        </w:tc>
        <w:tc>
          <w:tcPr>
            <w:tcW w:w="2344"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rPr>
                <w:rFonts w:eastAsia="標楷體"/>
                <w:b/>
                <w:bCs/>
                <w:kern w:val="0"/>
              </w:rPr>
            </w:pPr>
            <w:r w:rsidRPr="00D55DC6">
              <w:rPr>
                <w:rFonts w:eastAsia="標楷體"/>
                <w:b/>
                <w:bCs/>
                <w:kern w:val="0"/>
                <w:szCs w:val="22"/>
              </w:rPr>
              <w:t>2.</w:t>
            </w:r>
            <w:r w:rsidRPr="00D55DC6">
              <w:rPr>
                <w:rFonts w:eastAsia="標楷體"/>
                <w:b/>
                <w:bCs/>
                <w:kern w:val="0"/>
                <w:szCs w:val="22"/>
              </w:rPr>
              <w:t>房屋建築及設備</w:t>
            </w:r>
          </w:p>
        </w:tc>
        <w:tc>
          <w:tcPr>
            <w:tcW w:w="709"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0 </w:t>
            </w:r>
          </w:p>
        </w:tc>
        <w:tc>
          <w:tcPr>
            <w:tcW w:w="709"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0 </w:t>
            </w:r>
          </w:p>
        </w:tc>
        <w:tc>
          <w:tcPr>
            <w:tcW w:w="709"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0 </w:t>
            </w:r>
          </w:p>
        </w:tc>
        <w:tc>
          <w:tcPr>
            <w:tcW w:w="708"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0 </w:t>
            </w:r>
          </w:p>
        </w:tc>
        <w:tc>
          <w:tcPr>
            <w:tcW w:w="851"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  0 </w:t>
            </w:r>
          </w:p>
        </w:tc>
        <w:tc>
          <w:tcPr>
            <w:tcW w:w="1559" w:type="dxa"/>
            <w:tcBorders>
              <w:top w:val="nil"/>
              <w:left w:val="single" w:sz="8" w:space="0" w:color="auto"/>
              <w:right w:val="single" w:sz="8" w:space="0" w:color="auto"/>
            </w:tcBorders>
          </w:tcPr>
          <w:p w:rsidR="00C40B73" w:rsidRPr="00D55DC6" w:rsidRDefault="00C40B73" w:rsidP="00C676DD">
            <w:pPr>
              <w:widowControl/>
              <w:jc w:val="both"/>
              <w:rPr>
                <w:rFonts w:eastAsia="標楷體"/>
                <w:kern w:val="0"/>
              </w:rPr>
            </w:pPr>
            <w:r w:rsidRPr="00D55DC6">
              <w:rPr>
                <w:rFonts w:eastAsia="標楷體"/>
                <w:kern w:val="0"/>
                <w:szCs w:val="22"/>
              </w:rPr>
              <w:t xml:space="preserve"> </w:t>
            </w:r>
          </w:p>
        </w:tc>
      </w:tr>
      <w:tr w:rsidR="001D0350" w:rsidRPr="00D55DC6" w:rsidTr="00C676DD">
        <w:trPr>
          <w:trHeight w:val="345"/>
        </w:trPr>
        <w:tc>
          <w:tcPr>
            <w:tcW w:w="400" w:type="dxa"/>
            <w:vMerge/>
            <w:tcBorders>
              <w:top w:val="nil"/>
              <w:left w:val="single" w:sz="8" w:space="0" w:color="auto"/>
              <w:bottom w:val="nil"/>
              <w:right w:val="single" w:sz="8" w:space="0" w:color="auto"/>
            </w:tcBorders>
            <w:vAlign w:val="center"/>
          </w:tcPr>
          <w:p w:rsidR="00C40B73" w:rsidRPr="00D55DC6" w:rsidRDefault="00C40B73" w:rsidP="00C676DD">
            <w:pPr>
              <w:widowControl/>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1102" w:type="dxa"/>
            <w:vMerge w:val="restart"/>
            <w:tcBorders>
              <w:top w:val="nil"/>
              <w:left w:val="single" w:sz="8" w:space="0" w:color="auto"/>
              <w:bottom w:val="single" w:sz="8" w:space="0" w:color="auto"/>
              <w:right w:val="single" w:sz="8" w:space="0" w:color="auto"/>
            </w:tcBorders>
            <w:shd w:val="clear" w:color="000000" w:fill="CCFFCC"/>
          </w:tcPr>
          <w:p w:rsidR="00C40B73" w:rsidRPr="00D55DC6" w:rsidRDefault="00C40B73" w:rsidP="00C676DD">
            <w:pPr>
              <w:widowControl/>
              <w:rPr>
                <w:rFonts w:eastAsia="標楷體"/>
                <w:kern w:val="0"/>
              </w:rPr>
            </w:pPr>
            <w:r w:rsidRPr="00D55DC6">
              <w:rPr>
                <w:rFonts w:eastAsia="標楷體"/>
                <w:kern w:val="0"/>
                <w:szCs w:val="22"/>
              </w:rPr>
              <w:t>0303</w:t>
            </w:r>
            <w:r w:rsidRPr="00D55DC6">
              <w:rPr>
                <w:rFonts w:eastAsia="標楷體"/>
                <w:kern w:val="0"/>
                <w:szCs w:val="22"/>
              </w:rPr>
              <w:t>公共建設及設施費</w:t>
            </w:r>
          </w:p>
        </w:tc>
        <w:tc>
          <w:tcPr>
            <w:tcW w:w="2344" w:type="dxa"/>
            <w:tcBorders>
              <w:top w:val="nil"/>
              <w:left w:val="nil"/>
              <w:bottom w:val="single" w:sz="8" w:space="0" w:color="auto"/>
              <w:right w:val="single" w:sz="8" w:space="0" w:color="auto"/>
            </w:tcBorders>
            <w:shd w:val="clear" w:color="000000" w:fill="CCFFCC"/>
            <w:vAlign w:val="center"/>
          </w:tcPr>
          <w:p w:rsidR="00C40B73" w:rsidRPr="00D55DC6" w:rsidRDefault="00C40B73" w:rsidP="00C676DD">
            <w:pPr>
              <w:widowControl/>
              <w:rPr>
                <w:rFonts w:eastAsia="標楷體"/>
                <w:b/>
                <w:bCs/>
                <w:kern w:val="0"/>
              </w:rPr>
            </w:pPr>
            <w:r w:rsidRPr="00D55DC6">
              <w:rPr>
                <w:rFonts w:eastAsia="標楷體"/>
                <w:b/>
                <w:bCs/>
                <w:kern w:val="0"/>
                <w:szCs w:val="22"/>
              </w:rPr>
              <w:t>3.</w:t>
            </w:r>
            <w:r w:rsidRPr="00D55DC6">
              <w:rPr>
                <w:rFonts w:eastAsia="標楷體"/>
                <w:b/>
                <w:bCs/>
                <w:kern w:val="0"/>
                <w:szCs w:val="22"/>
              </w:rPr>
              <w:t>公共建設及設施</w:t>
            </w:r>
          </w:p>
        </w:tc>
        <w:tc>
          <w:tcPr>
            <w:tcW w:w="709" w:type="dxa"/>
            <w:tcBorders>
              <w:top w:val="nil"/>
              <w:left w:val="nil"/>
              <w:bottom w:val="single" w:sz="8" w:space="0" w:color="auto"/>
              <w:right w:val="single" w:sz="8" w:space="0" w:color="auto"/>
            </w:tcBorders>
            <w:shd w:val="clear" w:color="000000" w:fill="CCFFCC"/>
            <w:vAlign w:val="center"/>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2.18 </w:t>
            </w:r>
          </w:p>
        </w:tc>
        <w:tc>
          <w:tcPr>
            <w:tcW w:w="709" w:type="dxa"/>
            <w:tcBorders>
              <w:top w:val="nil"/>
              <w:left w:val="nil"/>
              <w:bottom w:val="single" w:sz="8" w:space="0" w:color="auto"/>
              <w:right w:val="single" w:sz="8" w:space="0" w:color="auto"/>
            </w:tcBorders>
            <w:shd w:val="clear" w:color="000000" w:fill="CCFFCC"/>
            <w:vAlign w:val="center"/>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1.68 </w:t>
            </w:r>
          </w:p>
        </w:tc>
        <w:tc>
          <w:tcPr>
            <w:tcW w:w="709" w:type="dxa"/>
            <w:tcBorders>
              <w:top w:val="nil"/>
              <w:left w:val="nil"/>
              <w:bottom w:val="single" w:sz="8" w:space="0" w:color="auto"/>
              <w:right w:val="single" w:sz="8" w:space="0" w:color="auto"/>
            </w:tcBorders>
            <w:shd w:val="clear" w:color="000000" w:fill="CCFFCC"/>
            <w:vAlign w:val="center"/>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1.78 </w:t>
            </w:r>
          </w:p>
        </w:tc>
        <w:tc>
          <w:tcPr>
            <w:tcW w:w="708" w:type="dxa"/>
            <w:tcBorders>
              <w:top w:val="nil"/>
              <w:left w:val="nil"/>
              <w:bottom w:val="single" w:sz="8" w:space="0" w:color="auto"/>
              <w:right w:val="single" w:sz="8" w:space="0" w:color="auto"/>
            </w:tcBorders>
            <w:shd w:val="clear" w:color="000000" w:fill="CCFFCC"/>
            <w:vAlign w:val="center"/>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1.48 </w:t>
            </w:r>
          </w:p>
        </w:tc>
        <w:tc>
          <w:tcPr>
            <w:tcW w:w="851"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 7.12 </w:t>
            </w:r>
          </w:p>
        </w:tc>
        <w:tc>
          <w:tcPr>
            <w:tcW w:w="1559" w:type="dxa"/>
            <w:tcBorders>
              <w:top w:val="single" w:sz="8" w:space="0" w:color="auto"/>
              <w:left w:val="nil"/>
              <w:bottom w:val="single" w:sz="8" w:space="0" w:color="auto"/>
              <w:right w:val="single" w:sz="8" w:space="0" w:color="auto"/>
            </w:tcBorders>
          </w:tcPr>
          <w:p w:rsidR="00C40B73" w:rsidRPr="00D55DC6" w:rsidRDefault="00C40B73" w:rsidP="00C676DD">
            <w:pPr>
              <w:widowControl/>
              <w:jc w:val="both"/>
              <w:rPr>
                <w:rFonts w:eastAsia="標楷體"/>
                <w:kern w:val="0"/>
              </w:rPr>
            </w:pPr>
            <w:r w:rsidRPr="00D55DC6">
              <w:rPr>
                <w:rFonts w:eastAsia="標楷體"/>
                <w:kern w:val="0"/>
                <w:szCs w:val="22"/>
              </w:rPr>
              <w:t xml:space="preserve">　</w:t>
            </w:r>
          </w:p>
        </w:tc>
      </w:tr>
      <w:tr w:rsidR="001D0350" w:rsidRPr="00D55DC6" w:rsidTr="00C676DD">
        <w:trPr>
          <w:trHeight w:val="360"/>
        </w:trPr>
        <w:tc>
          <w:tcPr>
            <w:tcW w:w="400" w:type="dxa"/>
            <w:vMerge/>
            <w:tcBorders>
              <w:top w:val="nil"/>
              <w:left w:val="single" w:sz="8" w:space="0" w:color="auto"/>
              <w:bottom w:val="nil"/>
              <w:right w:val="single" w:sz="8" w:space="0" w:color="auto"/>
            </w:tcBorders>
            <w:vAlign w:val="center"/>
          </w:tcPr>
          <w:p w:rsidR="00C40B73" w:rsidRPr="00D55DC6" w:rsidRDefault="00C40B73" w:rsidP="00C676DD">
            <w:pPr>
              <w:widowControl/>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2344"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both"/>
              <w:rPr>
                <w:rFonts w:eastAsia="標楷體"/>
                <w:kern w:val="0"/>
              </w:rPr>
            </w:pPr>
            <w:r w:rsidRPr="00D55DC6">
              <w:rPr>
                <w:rFonts w:eastAsia="標楷體"/>
                <w:kern w:val="0"/>
                <w:szCs w:val="22"/>
              </w:rPr>
              <w:t>(1)</w:t>
            </w:r>
            <w:r w:rsidRPr="00D55DC6">
              <w:rPr>
                <w:rFonts w:eastAsia="標楷體"/>
                <w:kern w:val="0"/>
                <w:szCs w:val="22"/>
              </w:rPr>
              <w:t>先期規劃設計</w:t>
            </w:r>
          </w:p>
        </w:tc>
        <w:tc>
          <w:tcPr>
            <w:tcW w:w="709"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kern w:val="0"/>
              </w:rPr>
            </w:pPr>
            <w:r w:rsidRPr="00D55DC6">
              <w:rPr>
                <w:rFonts w:eastAsia="標楷體"/>
                <w:b/>
                <w:kern w:val="0"/>
                <w:szCs w:val="22"/>
              </w:rPr>
              <w:t xml:space="preserve">0.05 </w:t>
            </w:r>
          </w:p>
        </w:tc>
        <w:tc>
          <w:tcPr>
            <w:tcW w:w="709"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kern w:val="0"/>
              </w:rPr>
            </w:pPr>
            <w:r w:rsidRPr="00D55DC6">
              <w:rPr>
                <w:rFonts w:eastAsia="標楷體"/>
                <w:b/>
                <w:kern w:val="0"/>
                <w:szCs w:val="22"/>
              </w:rPr>
              <w:t xml:space="preserve"> 0.05 </w:t>
            </w:r>
          </w:p>
        </w:tc>
        <w:tc>
          <w:tcPr>
            <w:tcW w:w="709"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kern w:val="0"/>
              </w:rPr>
            </w:pPr>
            <w:r w:rsidRPr="00D55DC6">
              <w:rPr>
                <w:rFonts w:eastAsia="標楷體"/>
                <w:b/>
                <w:kern w:val="0"/>
                <w:szCs w:val="22"/>
              </w:rPr>
              <w:t xml:space="preserve"> 0.05 </w:t>
            </w:r>
          </w:p>
        </w:tc>
        <w:tc>
          <w:tcPr>
            <w:tcW w:w="708"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kern w:val="0"/>
              </w:rPr>
            </w:pPr>
            <w:r w:rsidRPr="00D55DC6">
              <w:rPr>
                <w:rFonts w:eastAsia="標楷體"/>
                <w:b/>
                <w:kern w:val="0"/>
                <w:szCs w:val="22"/>
              </w:rPr>
              <w:t xml:space="preserve"> 0.05 </w:t>
            </w:r>
          </w:p>
        </w:tc>
        <w:tc>
          <w:tcPr>
            <w:tcW w:w="851"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  0.2 </w:t>
            </w:r>
          </w:p>
        </w:tc>
        <w:tc>
          <w:tcPr>
            <w:tcW w:w="1559" w:type="dxa"/>
            <w:tcBorders>
              <w:top w:val="nil"/>
              <w:left w:val="nil"/>
              <w:bottom w:val="single" w:sz="8" w:space="0" w:color="auto"/>
              <w:right w:val="single" w:sz="8" w:space="0" w:color="auto"/>
            </w:tcBorders>
          </w:tcPr>
          <w:p w:rsidR="00C40B73" w:rsidRPr="00D55DC6" w:rsidRDefault="00C40B73" w:rsidP="00C676DD">
            <w:pPr>
              <w:widowControl/>
              <w:spacing w:line="0" w:lineRule="atLeast"/>
              <w:jc w:val="both"/>
              <w:rPr>
                <w:rFonts w:eastAsia="標楷體"/>
                <w:kern w:val="0"/>
                <w:szCs w:val="22"/>
              </w:rPr>
            </w:pPr>
            <w:r w:rsidRPr="00D55DC6">
              <w:rPr>
                <w:rFonts w:eastAsia="標楷體"/>
                <w:kern w:val="0"/>
                <w:szCs w:val="22"/>
              </w:rPr>
              <w:t>辦理規劃設計</w:t>
            </w:r>
          </w:p>
          <w:p w:rsidR="00C40B73" w:rsidRPr="00D55DC6" w:rsidRDefault="00C40B73" w:rsidP="00620C38">
            <w:pPr>
              <w:widowControl/>
              <w:spacing w:line="0" w:lineRule="atLeast"/>
              <w:jc w:val="both"/>
              <w:rPr>
                <w:rFonts w:eastAsia="標楷體"/>
                <w:kern w:val="0"/>
              </w:rPr>
            </w:pPr>
            <w:r w:rsidRPr="00D55DC6">
              <w:rPr>
                <w:rFonts w:eastAsia="標楷體"/>
                <w:kern w:val="0"/>
                <w:szCs w:val="22"/>
              </w:rPr>
              <w:t>、調查監測、評估作業、工程建設設計等</w:t>
            </w:r>
          </w:p>
        </w:tc>
      </w:tr>
      <w:tr w:rsidR="001D0350" w:rsidRPr="00D55DC6" w:rsidTr="00C676DD">
        <w:trPr>
          <w:trHeight w:val="390"/>
        </w:trPr>
        <w:tc>
          <w:tcPr>
            <w:tcW w:w="400" w:type="dxa"/>
            <w:vMerge/>
            <w:tcBorders>
              <w:top w:val="nil"/>
              <w:left w:val="single" w:sz="8" w:space="0" w:color="auto"/>
              <w:bottom w:val="nil"/>
              <w:right w:val="single" w:sz="8" w:space="0" w:color="auto"/>
            </w:tcBorders>
            <w:vAlign w:val="center"/>
          </w:tcPr>
          <w:p w:rsidR="00C40B73" w:rsidRPr="00D55DC6" w:rsidRDefault="00C40B73" w:rsidP="00C676DD">
            <w:pPr>
              <w:widowControl/>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2344"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both"/>
              <w:rPr>
                <w:rFonts w:eastAsia="標楷體"/>
                <w:kern w:val="0"/>
              </w:rPr>
            </w:pPr>
            <w:r w:rsidRPr="00D55DC6">
              <w:rPr>
                <w:rFonts w:eastAsia="標楷體"/>
                <w:kern w:val="0"/>
                <w:szCs w:val="22"/>
              </w:rPr>
              <w:t>(2)</w:t>
            </w:r>
            <w:r w:rsidRPr="00D55DC6">
              <w:rPr>
                <w:rFonts w:eastAsia="標楷體"/>
                <w:kern w:val="0"/>
                <w:szCs w:val="22"/>
              </w:rPr>
              <w:t>國際觀光重要景點</w:t>
            </w:r>
          </w:p>
        </w:tc>
        <w:tc>
          <w:tcPr>
            <w:tcW w:w="709"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kern w:val="0"/>
              </w:rPr>
            </w:pPr>
            <w:r w:rsidRPr="00D55DC6">
              <w:rPr>
                <w:rFonts w:eastAsia="標楷體"/>
                <w:b/>
                <w:kern w:val="0"/>
                <w:szCs w:val="22"/>
              </w:rPr>
              <w:t xml:space="preserve">1.15 </w:t>
            </w:r>
          </w:p>
        </w:tc>
        <w:tc>
          <w:tcPr>
            <w:tcW w:w="709"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kern w:val="0"/>
              </w:rPr>
            </w:pPr>
            <w:r w:rsidRPr="00D55DC6">
              <w:rPr>
                <w:rFonts w:eastAsia="標楷體"/>
                <w:b/>
                <w:kern w:val="0"/>
                <w:szCs w:val="22"/>
              </w:rPr>
              <w:t>0.91</w:t>
            </w:r>
          </w:p>
        </w:tc>
        <w:tc>
          <w:tcPr>
            <w:tcW w:w="709"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kern w:val="0"/>
              </w:rPr>
            </w:pPr>
            <w:r w:rsidRPr="00D55DC6">
              <w:rPr>
                <w:rFonts w:eastAsia="標楷體"/>
                <w:b/>
                <w:kern w:val="0"/>
                <w:szCs w:val="22"/>
              </w:rPr>
              <w:t>0.97</w:t>
            </w:r>
          </w:p>
        </w:tc>
        <w:tc>
          <w:tcPr>
            <w:tcW w:w="708"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kern w:val="0"/>
              </w:rPr>
            </w:pPr>
            <w:r w:rsidRPr="00D55DC6">
              <w:rPr>
                <w:rFonts w:eastAsia="標楷體"/>
                <w:b/>
                <w:kern w:val="0"/>
                <w:szCs w:val="22"/>
              </w:rPr>
              <w:t>0.79</w:t>
            </w:r>
          </w:p>
        </w:tc>
        <w:tc>
          <w:tcPr>
            <w:tcW w:w="851"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b/>
                <w:bCs/>
                <w:kern w:val="0"/>
              </w:rPr>
            </w:pPr>
            <w:r w:rsidRPr="00D55DC6">
              <w:rPr>
                <w:rFonts w:eastAsia="標楷體"/>
                <w:b/>
                <w:bCs/>
                <w:kern w:val="0"/>
              </w:rPr>
              <w:t>3.82</w:t>
            </w:r>
          </w:p>
        </w:tc>
        <w:tc>
          <w:tcPr>
            <w:tcW w:w="1559" w:type="dxa"/>
            <w:vMerge w:val="restart"/>
            <w:tcBorders>
              <w:top w:val="nil"/>
              <w:left w:val="single" w:sz="8" w:space="0" w:color="auto"/>
              <w:right w:val="single" w:sz="8" w:space="0" w:color="auto"/>
            </w:tcBorders>
          </w:tcPr>
          <w:p w:rsidR="00C40B73" w:rsidRPr="00D55DC6" w:rsidRDefault="00C40B73" w:rsidP="00C676DD">
            <w:pPr>
              <w:widowControl/>
              <w:jc w:val="both"/>
              <w:rPr>
                <w:rFonts w:eastAsia="標楷體"/>
                <w:kern w:val="0"/>
              </w:rPr>
            </w:pPr>
            <w:r w:rsidRPr="00D55DC6">
              <w:rPr>
                <w:rFonts w:eastAsia="標楷體"/>
                <w:kern w:val="0"/>
              </w:rPr>
              <w:t>辦理南竿及北竿遊憩系統相關工程</w:t>
            </w:r>
          </w:p>
        </w:tc>
      </w:tr>
      <w:tr w:rsidR="001D0350" w:rsidRPr="00D55DC6" w:rsidTr="00C676DD">
        <w:trPr>
          <w:trHeight w:val="142"/>
        </w:trPr>
        <w:tc>
          <w:tcPr>
            <w:tcW w:w="400" w:type="dxa"/>
            <w:vMerge/>
            <w:tcBorders>
              <w:top w:val="nil"/>
              <w:left w:val="single" w:sz="8" w:space="0" w:color="auto"/>
              <w:bottom w:val="nil"/>
              <w:right w:val="single" w:sz="8" w:space="0" w:color="auto"/>
            </w:tcBorders>
            <w:vAlign w:val="center"/>
          </w:tcPr>
          <w:p w:rsidR="00C40B73" w:rsidRPr="00D55DC6" w:rsidRDefault="00C40B73" w:rsidP="00C676DD">
            <w:pPr>
              <w:widowControl/>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2344" w:type="dxa"/>
            <w:tcBorders>
              <w:top w:val="nil"/>
              <w:left w:val="nil"/>
              <w:bottom w:val="single" w:sz="8" w:space="0" w:color="auto"/>
              <w:right w:val="single" w:sz="8" w:space="0" w:color="auto"/>
            </w:tcBorders>
          </w:tcPr>
          <w:p w:rsidR="00C40B73" w:rsidRPr="00D55DC6" w:rsidRDefault="00C40B73" w:rsidP="00C676DD">
            <w:r w:rsidRPr="00D55DC6">
              <w:rPr>
                <w:rFonts w:eastAsia="標楷體"/>
                <w:kern w:val="0"/>
              </w:rPr>
              <w:t>南竿遊憩系統</w:t>
            </w:r>
          </w:p>
        </w:tc>
        <w:tc>
          <w:tcPr>
            <w:tcW w:w="709" w:type="dxa"/>
            <w:tcBorders>
              <w:top w:val="nil"/>
              <w:left w:val="nil"/>
              <w:bottom w:val="single" w:sz="8" w:space="0" w:color="auto"/>
              <w:right w:val="single" w:sz="8" w:space="0" w:color="auto"/>
            </w:tcBorders>
          </w:tcPr>
          <w:p w:rsidR="00C40B73" w:rsidRPr="00D55DC6" w:rsidRDefault="00C40B73" w:rsidP="00C676DD">
            <w:pPr>
              <w:widowControl/>
              <w:jc w:val="right"/>
              <w:rPr>
                <w:rFonts w:eastAsia="標楷體"/>
                <w:kern w:val="0"/>
              </w:rPr>
            </w:pPr>
            <w:r w:rsidRPr="00D55DC6">
              <w:rPr>
                <w:rFonts w:eastAsia="標楷體"/>
                <w:kern w:val="0"/>
                <w:szCs w:val="22"/>
              </w:rPr>
              <w:t xml:space="preserve">0.5 </w:t>
            </w:r>
          </w:p>
        </w:tc>
        <w:tc>
          <w:tcPr>
            <w:tcW w:w="709" w:type="dxa"/>
            <w:tcBorders>
              <w:top w:val="nil"/>
              <w:left w:val="nil"/>
              <w:bottom w:val="single" w:sz="8" w:space="0" w:color="auto"/>
              <w:right w:val="single" w:sz="8" w:space="0" w:color="auto"/>
            </w:tcBorders>
          </w:tcPr>
          <w:p w:rsidR="00C40B73" w:rsidRPr="00D55DC6" w:rsidRDefault="00C40B73" w:rsidP="00C676DD">
            <w:pPr>
              <w:widowControl/>
              <w:jc w:val="right"/>
              <w:rPr>
                <w:rFonts w:eastAsia="標楷體"/>
                <w:kern w:val="0"/>
              </w:rPr>
            </w:pPr>
            <w:r w:rsidRPr="00D55DC6">
              <w:rPr>
                <w:rFonts w:eastAsia="標楷體"/>
                <w:kern w:val="0"/>
                <w:szCs w:val="22"/>
              </w:rPr>
              <w:t xml:space="preserve">0.56 </w:t>
            </w:r>
          </w:p>
        </w:tc>
        <w:tc>
          <w:tcPr>
            <w:tcW w:w="709" w:type="dxa"/>
            <w:tcBorders>
              <w:top w:val="nil"/>
              <w:left w:val="nil"/>
              <w:bottom w:val="single" w:sz="8" w:space="0" w:color="auto"/>
              <w:right w:val="single" w:sz="8" w:space="0" w:color="auto"/>
            </w:tcBorders>
          </w:tcPr>
          <w:p w:rsidR="00C40B73" w:rsidRPr="00D55DC6" w:rsidRDefault="00C40B73" w:rsidP="00C676DD">
            <w:pPr>
              <w:widowControl/>
              <w:jc w:val="right"/>
              <w:rPr>
                <w:rFonts w:eastAsia="標楷體"/>
                <w:kern w:val="0"/>
              </w:rPr>
            </w:pPr>
            <w:r w:rsidRPr="00D55DC6">
              <w:rPr>
                <w:rFonts w:eastAsia="標楷體"/>
                <w:kern w:val="0"/>
                <w:szCs w:val="22"/>
              </w:rPr>
              <w:t xml:space="preserve">0.62 </w:t>
            </w:r>
          </w:p>
        </w:tc>
        <w:tc>
          <w:tcPr>
            <w:tcW w:w="708" w:type="dxa"/>
            <w:tcBorders>
              <w:top w:val="nil"/>
              <w:left w:val="nil"/>
              <w:bottom w:val="single" w:sz="8" w:space="0" w:color="auto"/>
              <w:right w:val="single" w:sz="8" w:space="0" w:color="auto"/>
            </w:tcBorders>
          </w:tcPr>
          <w:p w:rsidR="00C40B73" w:rsidRPr="00D55DC6" w:rsidRDefault="00C40B73" w:rsidP="00C676DD">
            <w:pPr>
              <w:widowControl/>
              <w:jc w:val="right"/>
              <w:rPr>
                <w:rFonts w:eastAsia="標楷體"/>
                <w:kern w:val="0"/>
              </w:rPr>
            </w:pPr>
            <w:r w:rsidRPr="00D55DC6">
              <w:rPr>
                <w:rFonts w:eastAsia="標楷體"/>
                <w:kern w:val="0"/>
                <w:szCs w:val="22"/>
              </w:rPr>
              <w:t xml:space="preserve">0.49 </w:t>
            </w:r>
          </w:p>
        </w:tc>
        <w:tc>
          <w:tcPr>
            <w:tcW w:w="851"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2.17 </w:t>
            </w:r>
          </w:p>
        </w:tc>
        <w:tc>
          <w:tcPr>
            <w:tcW w:w="1559" w:type="dxa"/>
            <w:vMerge/>
            <w:tcBorders>
              <w:left w:val="single" w:sz="8" w:space="0" w:color="auto"/>
              <w:right w:val="single" w:sz="8" w:space="0" w:color="auto"/>
            </w:tcBorders>
          </w:tcPr>
          <w:p w:rsidR="00C40B73" w:rsidRPr="00D55DC6" w:rsidRDefault="00C40B73" w:rsidP="00C676DD">
            <w:pPr>
              <w:widowControl/>
              <w:jc w:val="both"/>
              <w:rPr>
                <w:rFonts w:eastAsia="標楷體"/>
                <w:kern w:val="0"/>
              </w:rPr>
            </w:pPr>
          </w:p>
        </w:tc>
      </w:tr>
      <w:tr w:rsidR="001D0350" w:rsidRPr="00D55DC6" w:rsidTr="00C676DD">
        <w:trPr>
          <w:trHeight w:val="190"/>
        </w:trPr>
        <w:tc>
          <w:tcPr>
            <w:tcW w:w="400" w:type="dxa"/>
            <w:vMerge/>
            <w:tcBorders>
              <w:top w:val="nil"/>
              <w:left w:val="single" w:sz="8" w:space="0" w:color="auto"/>
              <w:bottom w:val="nil"/>
              <w:right w:val="single" w:sz="8" w:space="0" w:color="auto"/>
            </w:tcBorders>
            <w:vAlign w:val="center"/>
          </w:tcPr>
          <w:p w:rsidR="00C40B73" w:rsidRPr="00D55DC6" w:rsidRDefault="00C40B73" w:rsidP="00C676DD">
            <w:pPr>
              <w:widowControl/>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2344" w:type="dxa"/>
            <w:tcBorders>
              <w:top w:val="nil"/>
              <w:left w:val="nil"/>
              <w:bottom w:val="single" w:sz="8" w:space="0" w:color="auto"/>
              <w:right w:val="single" w:sz="8" w:space="0" w:color="auto"/>
            </w:tcBorders>
          </w:tcPr>
          <w:p w:rsidR="00C40B73" w:rsidRPr="00D55DC6" w:rsidRDefault="00C40B73" w:rsidP="00C676DD">
            <w:pPr>
              <w:widowControl/>
              <w:rPr>
                <w:rFonts w:eastAsia="標楷體"/>
                <w:kern w:val="0"/>
              </w:rPr>
            </w:pPr>
            <w:r w:rsidRPr="00D55DC6">
              <w:rPr>
                <w:rFonts w:eastAsia="標楷體"/>
                <w:kern w:val="0"/>
              </w:rPr>
              <w:t>北竿遊憩系統</w:t>
            </w:r>
          </w:p>
        </w:tc>
        <w:tc>
          <w:tcPr>
            <w:tcW w:w="709" w:type="dxa"/>
            <w:tcBorders>
              <w:top w:val="nil"/>
              <w:left w:val="nil"/>
              <w:bottom w:val="single" w:sz="8" w:space="0" w:color="auto"/>
              <w:right w:val="single" w:sz="8" w:space="0" w:color="auto"/>
            </w:tcBorders>
          </w:tcPr>
          <w:p w:rsidR="00C40B73" w:rsidRPr="00D55DC6" w:rsidRDefault="00C40B73" w:rsidP="00C676DD">
            <w:pPr>
              <w:widowControl/>
              <w:jc w:val="right"/>
              <w:rPr>
                <w:rFonts w:eastAsia="標楷體"/>
                <w:kern w:val="0"/>
                <w:szCs w:val="22"/>
              </w:rPr>
            </w:pPr>
            <w:r w:rsidRPr="00D55DC6">
              <w:rPr>
                <w:rFonts w:eastAsia="標楷體"/>
                <w:kern w:val="0"/>
                <w:szCs w:val="22"/>
              </w:rPr>
              <w:t xml:space="preserve">0.65 </w:t>
            </w:r>
          </w:p>
        </w:tc>
        <w:tc>
          <w:tcPr>
            <w:tcW w:w="709" w:type="dxa"/>
            <w:tcBorders>
              <w:top w:val="nil"/>
              <w:left w:val="nil"/>
              <w:bottom w:val="single" w:sz="8" w:space="0" w:color="auto"/>
              <w:right w:val="single" w:sz="8" w:space="0" w:color="auto"/>
            </w:tcBorders>
          </w:tcPr>
          <w:p w:rsidR="00C40B73" w:rsidRPr="00D55DC6" w:rsidRDefault="00C40B73" w:rsidP="00C676DD">
            <w:pPr>
              <w:widowControl/>
              <w:jc w:val="right"/>
              <w:rPr>
                <w:rFonts w:eastAsia="標楷體"/>
                <w:kern w:val="0"/>
                <w:szCs w:val="22"/>
              </w:rPr>
            </w:pPr>
            <w:r w:rsidRPr="00D55DC6">
              <w:rPr>
                <w:rFonts w:eastAsia="標楷體"/>
                <w:kern w:val="0"/>
                <w:szCs w:val="22"/>
              </w:rPr>
              <w:t xml:space="preserve">0.35 </w:t>
            </w:r>
          </w:p>
        </w:tc>
        <w:tc>
          <w:tcPr>
            <w:tcW w:w="709" w:type="dxa"/>
            <w:tcBorders>
              <w:top w:val="nil"/>
              <w:left w:val="nil"/>
              <w:bottom w:val="single" w:sz="8" w:space="0" w:color="auto"/>
              <w:right w:val="single" w:sz="8" w:space="0" w:color="auto"/>
            </w:tcBorders>
          </w:tcPr>
          <w:p w:rsidR="00C40B73" w:rsidRPr="00D55DC6" w:rsidRDefault="00C40B73" w:rsidP="00C676DD">
            <w:pPr>
              <w:widowControl/>
              <w:jc w:val="right"/>
              <w:rPr>
                <w:rFonts w:eastAsia="標楷體"/>
                <w:kern w:val="0"/>
                <w:szCs w:val="22"/>
              </w:rPr>
            </w:pPr>
            <w:r w:rsidRPr="00D55DC6">
              <w:rPr>
                <w:rFonts w:eastAsia="標楷體"/>
                <w:kern w:val="0"/>
                <w:szCs w:val="22"/>
              </w:rPr>
              <w:t xml:space="preserve">0.35 </w:t>
            </w:r>
          </w:p>
        </w:tc>
        <w:tc>
          <w:tcPr>
            <w:tcW w:w="708" w:type="dxa"/>
            <w:tcBorders>
              <w:top w:val="nil"/>
              <w:left w:val="nil"/>
              <w:bottom w:val="single" w:sz="8" w:space="0" w:color="auto"/>
              <w:right w:val="single" w:sz="8" w:space="0" w:color="auto"/>
            </w:tcBorders>
          </w:tcPr>
          <w:p w:rsidR="00C40B73" w:rsidRPr="00D55DC6" w:rsidRDefault="00C40B73" w:rsidP="00C676DD">
            <w:pPr>
              <w:widowControl/>
              <w:jc w:val="right"/>
              <w:rPr>
                <w:rFonts w:eastAsia="標楷體"/>
                <w:kern w:val="0"/>
                <w:szCs w:val="22"/>
              </w:rPr>
            </w:pPr>
            <w:r w:rsidRPr="00D55DC6">
              <w:rPr>
                <w:rFonts w:eastAsia="標楷體"/>
                <w:kern w:val="0"/>
                <w:szCs w:val="22"/>
              </w:rPr>
              <w:t xml:space="preserve">0.3 </w:t>
            </w:r>
          </w:p>
        </w:tc>
        <w:tc>
          <w:tcPr>
            <w:tcW w:w="851"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b/>
                <w:bCs/>
                <w:kern w:val="0"/>
                <w:szCs w:val="22"/>
              </w:rPr>
            </w:pPr>
            <w:r w:rsidRPr="00D55DC6">
              <w:rPr>
                <w:rFonts w:eastAsia="標楷體"/>
                <w:b/>
                <w:bCs/>
                <w:kern w:val="0"/>
                <w:szCs w:val="22"/>
              </w:rPr>
              <w:t>1.65</w:t>
            </w:r>
          </w:p>
        </w:tc>
        <w:tc>
          <w:tcPr>
            <w:tcW w:w="1559" w:type="dxa"/>
            <w:vMerge/>
            <w:tcBorders>
              <w:left w:val="single" w:sz="8" w:space="0" w:color="auto"/>
              <w:bottom w:val="nil"/>
              <w:right w:val="single" w:sz="8" w:space="0" w:color="auto"/>
            </w:tcBorders>
          </w:tcPr>
          <w:p w:rsidR="00C40B73" w:rsidRPr="00D55DC6" w:rsidRDefault="00C40B73" w:rsidP="00C676DD">
            <w:pPr>
              <w:widowControl/>
              <w:jc w:val="both"/>
              <w:rPr>
                <w:rFonts w:eastAsia="標楷體"/>
                <w:kern w:val="0"/>
              </w:rPr>
            </w:pPr>
          </w:p>
        </w:tc>
      </w:tr>
      <w:tr w:rsidR="001D0350" w:rsidRPr="00D55DC6" w:rsidTr="00C676DD">
        <w:trPr>
          <w:trHeight w:val="345"/>
        </w:trPr>
        <w:tc>
          <w:tcPr>
            <w:tcW w:w="400" w:type="dxa"/>
            <w:vMerge/>
            <w:tcBorders>
              <w:top w:val="nil"/>
              <w:left w:val="single" w:sz="8" w:space="0" w:color="auto"/>
              <w:bottom w:val="nil"/>
              <w:right w:val="single" w:sz="8" w:space="0" w:color="auto"/>
            </w:tcBorders>
            <w:vAlign w:val="center"/>
          </w:tcPr>
          <w:p w:rsidR="00C40B73" w:rsidRPr="00D55DC6" w:rsidRDefault="00C40B73" w:rsidP="00C676DD">
            <w:pPr>
              <w:widowControl/>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2344"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both"/>
              <w:rPr>
                <w:rFonts w:eastAsia="標楷體"/>
                <w:kern w:val="0"/>
              </w:rPr>
            </w:pPr>
            <w:r w:rsidRPr="00D55DC6">
              <w:rPr>
                <w:rFonts w:eastAsia="標楷體"/>
                <w:kern w:val="0"/>
                <w:szCs w:val="22"/>
              </w:rPr>
              <w:t>(3)</w:t>
            </w:r>
            <w:r w:rsidRPr="00D55DC6">
              <w:rPr>
                <w:rFonts w:eastAsia="標楷體"/>
                <w:kern w:val="0"/>
                <w:szCs w:val="22"/>
              </w:rPr>
              <w:t>國內觀光重要景點</w:t>
            </w:r>
          </w:p>
        </w:tc>
        <w:tc>
          <w:tcPr>
            <w:tcW w:w="709" w:type="dxa"/>
            <w:tcBorders>
              <w:top w:val="nil"/>
              <w:left w:val="nil"/>
              <w:bottom w:val="single" w:sz="8" w:space="0" w:color="auto"/>
              <w:right w:val="single" w:sz="8" w:space="0" w:color="auto"/>
            </w:tcBorders>
            <w:shd w:val="clear" w:color="000000" w:fill="CCFFCC"/>
            <w:vAlign w:val="center"/>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0.86 </w:t>
            </w:r>
          </w:p>
        </w:tc>
        <w:tc>
          <w:tcPr>
            <w:tcW w:w="709" w:type="dxa"/>
            <w:tcBorders>
              <w:top w:val="nil"/>
              <w:left w:val="nil"/>
              <w:bottom w:val="single" w:sz="8" w:space="0" w:color="auto"/>
              <w:right w:val="single" w:sz="8" w:space="0" w:color="auto"/>
            </w:tcBorders>
            <w:shd w:val="clear" w:color="000000" w:fill="CCFFCC"/>
            <w:vAlign w:val="center"/>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0.6 </w:t>
            </w:r>
          </w:p>
        </w:tc>
        <w:tc>
          <w:tcPr>
            <w:tcW w:w="709" w:type="dxa"/>
            <w:tcBorders>
              <w:top w:val="nil"/>
              <w:left w:val="nil"/>
              <w:bottom w:val="single" w:sz="8" w:space="0" w:color="auto"/>
              <w:right w:val="single" w:sz="8" w:space="0" w:color="auto"/>
            </w:tcBorders>
            <w:shd w:val="clear" w:color="000000" w:fill="CCFFCC"/>
            <w:vAlign w:val="center"/>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0.64 </w:t>
            </w:r>
          </w:p>
        </w:tc>
        <w:tc>
          <w:tcPr>
            <w:tcW w:w="708" w:type="dxa"/>
            <w:tcBorders>
              <w:top w:val="nil"/>
              <w:left w:val="nil"/>
              <w:bottom w:val="single" w:sz="8" w:space="0" w:color="auto"/>
              <w:right w:val="single" w:sz="8" w:space="0" w:color="auto"/>
            </w:tcBorders>
            <w:shd w:val="clear" w:color="000000" w:fill="CCFFCC"/>
            <w:vAlign w:val="center"/>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0.52 </w:t>
            </w:r>
          </w:p>
        </w:tc>
        <w:tc>
          <w:tcPr>
            <w:tcW w:w="851"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2.62 </w:t>
            </w:r>
          </w:p>
        </w:tc>
        <w:tc>
          <w:tcPr>
            <w:tcW w:w="1559" w:type="dxa"/>
            <w:vMerge w:val="restart"/>
            <w:tcBorders>
              <w:top w:val="single" w:sz="8" w:space="0" w:color="auto"/>
              <w:left w:val="single" w:sz="8" w:space="0" w:color="auto"/>
              <w:right w:val="single" w:sz="8" w:space="0" w:color="auto"/>
            </w:tcBorders>
          </w:tcPr>
          <w:p w:rsidR="00C40B73" w:rsidRPr="00D55DC6" w:rsidRDefault="00C40B73" w:rsidP="00C676DD">
            <w:pPr>
              <w:widowControl/>
              <w:jc w:val="both"/>
              <w:rPr>
                <w:rFonts w:eastAsia="標楷體"/>
                <w:kern w:val="0"/>
              </w:rPr>
            </w:pPr>
            <w:r w:rsidRPr="00D55DC6">
              <w:rPr>
                <w:rFonts w:eastAsia="標楷體"/>
                <w:kern w:val="0"/>
                <w:szCs w:val="22"/>
              </w:rPr>
              <w:t>辦理東引及莒光遊憩系統相關工程</w:t>
            </w:r>
          </w:p>
        </w:tc>
      </w:tr>
      <w:tr w:rsidR="001D0350" w:rsidRPr="00D55DC6" w:rsidTr="00C676DD">
        <w:trPr>
          <w:trHeight w:val="293"/>
        </w:trPr>
        <w:tc>
          <w:tcPr>
            <w:tcW w:w="400" w:type="dxa"/>
            <w:vMerge/>
            <w:tcBorders>
              <w:top w:val="nil"/>
              <w:left w:val="single" w:sz="8" w:space="0" w:color="auto"/>
              <w:bottom w:val="nil"/>
              <w:right w:val="single" w:sz="8" w:space="0" w:color="auto"/>
            </w:tcBorders>
            <w:vAlign w:val="center"/>
          </w:tcPr>
          <w:p w:rsidR="00C40B73" w:rsidRPr="00D55DC6" w:rsidRDefault="00C40B73" w:rsidP="00C676DD">
            <w:pPr>
              <w:widowControl/>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2344" w:type="dxa"/>
            <w:tcBorders>
              <w:top w:val="nil"/>
              <w:left w:val="nil"/>
              <w:bottom w:val="single" w:sz="8" w:space="0" w:color="auto"/>
              <w:right w:val="single" w:sz="8" w:space="0" w:color="auto"/>
            </w:tcBorders>
          </w:tcPr>
          <w:p w:rsidR="00C40B73" w:rsidRPr="00D55DC6" w:rsidRDefault="00C40B73" w:rsidP="00C676DD">
            <w:pPr>
              <w:rPr>
                <w:rFonts w:eastAsia="標楷體"/>
                <w:kern w:val="0"/>
              </w:rPr>
            </w:pPr>
            <w:r w:rsidRPr="00D55DC6">
              <w:rPr>
                <w:rFonts w:eastAsia="標楷體"/>
                <w:kern w:val="0"/>
              </w:rPr>
              <w:t>東引遊憩系統</w:t>
            </w:r>
          </w:p>
        </w:tc>
        <w:tc>
          <w:tcPr>
            <w:tcW w:w="709" w:type="dxa"/>
            <w:tcBorders>
              <w:top w:val="nil"/>
              <w:left w:val="nil"/>
              <w:bottom w:val="single" w:sz="8" w:space="0" w:color="auto"/>
              <w:right w:val="single" w:sz="8" w:space="0" w:color="auto"/>
            </w:tcBorders>
          </w:tcPr>
          <w:p w:rsidR="00C40B73" w:rsidRPr="00D55DC6" w:rsidRDefault="00C40B73" w:rsidP="00C676DD">
            <w:pPr>
              <w:widowControl/>
              <w:jc w:val="right"/>
              <w:rPr>
                <w:rFonts w:eastAsia="標楷體"/>
                <w:kern w:val="0"/>
                <w:szCs w:val="22"/>
              </w:rPr>
            </w:pPr>
            <w:r w:rsidRPr="00D55DC6">
              <w:rPr>
                <w:rFonts w:eastAsia="標楷體"/>
                <w:kern w:val="0"/>
                <w:szCs w:val="22"/>
              </w:rPr>
              <w:t xml:space="preserve">0.36 </w:t>
            </w:r>
          </w:p>
        </w:tc>
        <w:tc>
          <w:tcPr>
            <w:tcW w:w="709" w:type="dxa"/>
            <w:tcBorders>
              <w:top w:val="nil"/>
              <w:left w:val="nil"/>
              <w:bottom w:val="single" w:sz="8" w:space="0" w:color="auto"/>
              <w:right w:val="single" w:sz="8" w:space="0" w:color="auto"/>
            </w:tcBorders>
          </w:tcPr>
          <w:p w:rsidR="00C40B73" w:rsidRPr="00D55DC6" w:rsidRDefault="00C40B73" w:rsidP="00C676DD">
            <w:pPr>
              <w:widowControl/>
              <w:jc w:val="right"/>
              <w:rPr>
                <w:rFonts w:eastAsia="標楷體"/>
                <w:kern w:val="0"/>
                <w:szCs w:val="22"/>
              </w:rPr>
            </w:pPr>
            <w:r w:rsidRPr="00D55DC6">
              <w:rPr>
                <w:rFonts w:eastAsia="標楷體"/>
                <w:kern w:val="0"/>
                <w:szCs w:val="22"/>
              </w:rPr>
              <w:t xml:space="preserve">0.3 </w:t>
            </w:r>
          </w:p>
        </w:tc>
        <w:tc>
          <w:tcPr>
            <w:tcW w:w="709" w:type="dxa"/>
            <w:tcBorders>
              <w:top w:val="nil"/>
              <w:left w:val="nil"/>
              <w:bottom w:val="single" w:sz="8" w:space="0" w:color="auto"/>
              <w:right w:val="single" w:sz="8" w:space="0" w:color="auto"/>
            </w:tcBorders>
          </w:tcPr>
          <w:p w:rsidR="00C40B73" w:rsidRPr="00D55DC6" w:rsidRDefault="00C40B73" w:rsidP="00C676DD">
            <w:pPr>
              <w:widowControl/>
              <w:jc w:val="right"/>
              <w:rPr>
                <w:rFonts w:eastAsia="標楷體"/>
                <w:kern w:val="0"/>
                <w:szCs w:val="22"/>
              </w:rPr>
            </w:pPr>
            <w:r w:rsidRPr="00D55DC6">
              <w:rPr>
                <w:rFonts w:eastAsia="標楷體"/>
                <w:kern w:val="0"/>
                <w:szCs w:val="22"/>
              </w:rPr>
              <w:t xml:space="preserve">0.32 </w:t>
            </w:r>
          </w:p>
        </w:tc>
        <w:tc>
          <w:tcPr>
            <w:tcW w:w="708" w:type="dxa"/>
            <w:tcBorders>
              <w:top w:val="nil"/>
              <w:left w:val="nil"/>
              <w:bottom w:val="single" w:sz="8" w:space="0" w:color="auto"/>
              <w:right w:val="single" w:sz="8" w:space="0" w:color="auto"/>
            </w:tcBorders>
          </w:tcPr>
          <w:p w:rsidR="00C40B73" w:rsidRPr="00D55DC6" w:rsidRDefault="00C40B73" w:rsidP="00C676DD">
            <w:pPr>
              <w:widowControl/>
              <w:jc w:val="right"/>
              <w:rPr>
                <w:rFonts w:eastAsia="標楷體"/>
                <w:kern w:val="0"/>
                <w:szCs w:val="22"/>
              </w:rPr>
            </w:pPr>
            <w:r w:rsidRPr="00D55DC6">
              <w:rPr>
                <w:rFonts w:eastAsia="標楷體"/>
                <w:kern w:val="0"/>
                <w:szCs w:val="22"/>
              </w:rPr>
              <w:t xml:space="preserve">0.26 </w:t>
            </w:r>
          </w:p>
        </w:tc>
        <w:tc>
          <w:tcPr>
            <w:tcW w:w="851"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b/>
                <w:bCs/>
                <w:kern w:val="0"/>
                <w:szCs w:val="22"/>
              </w:rPr>
            </w:pPr>
            <w:r w:rsidRPr="00D55DC6">
              <w:rPr>
                <w:rFonts w:eastAsia="標楷體"/>
                <w:b/>
                <w:bCs/>
                <w:kern w:val="0"/>
                <w:szCs w:val="22"/>
              </w:rPr>
              <w:t xml:space="preserve">1.24 </w:t>
            </w:r>
          </w:p>
        </w:tc>
        <w:tc>
          <w:tcPr>
            <w:tcW w:w="1559" w:type="dxa"/>
            <w:vMerge/>
            <w:tcBorders>
              <w:left w:val="single" w:sz="8" w:space="0" w:color="auto"/>
              <w:right w:val="single" w:sz="8" w:space="0" w:color="auto"/>
            </w:tcBorders>
            <w:vAlign w:val="center"/>
          </w:tcPr>
          <w:p w:rsidR="00C40B73" w:rsidRPr="00D55DC6" w:rsidRDefault="00C40B73" w:rsidP="00C676DD">
            <w:pPr>
              <w:widowControl/>
              <w:rPr>
                <w:rFonts w:eastAsia="標楷體"/>
                <w:kern w:val="0"/>
              </w:rPr>
            </w:pPr>
          </w:p>
        </w:tc>
      </w:tr>
      <w:tr w:rsidR="001D0350" w:rsidRPr="00D55DC6" w:rsidTr="00C676DD">
        <w:trPr>
          <w:trHeight w:val="292"/>
        </w:trPr>
        <w:tc>
          <w:tcPr>
            <w:tcW w:w="400" w:type="dxa"/>
            <w:vMerge/>
            <w:tcBorders>
              <w:top w:val="nil"/>
              <w:left w:val="single" w:sz="8" w:space="0" w:color="auto"/>
              <w:bottom w:val="nil"/>
              <w:right w:val="single" w:sz="8" w:space="0" w:color="auto"/>
            </w:tcBorders>
            <w:vAlign w:val="center"/>
          </w:tcPr>
          <w:p w:rsidR="00C40B73" w:rsidRPr="00D55DC6" w:rsidRDefault="00C40B73" w:rsidP="00C676DD">
            <w:pPr>
              <w:widowControl/>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2344" w:type="dxa"/>
            <w:tcBorders>
              <w:top w:val="nil"/>
              <w:left w:val="nil"/>
              <w:bottom w:val="single" w:sz="8" w:space="0" w:color="auto"/>
              <w:right w:val="single" w:sz="8" w:space="0" w:color="auto"/>
            </w:tcBorders>
          </w:tcPr>
          <w:p w:rsidR="00C40B73" w:rsidRPr="00D55DC6" w:rsidRDefault="00C40B73" w:rsidP="00C676DD">
            <w:pPr>
              <w:rPr>
                <w:rFonts w:eastAsia="標楷體"/>
                <w:kern w:val="0"/>
              </w:rPr>
            </w:pPr>
            <w:r w:rsidRPr="00D55DC6">
              <w:rPr>
                <w:rFonts w:eastAsia="標楷體"/>
                <w:kern w:val="0"/>
                <w:szCs w:val="22"/>
              </w:rPr>
              <w:t>莒光遊憩系統</w:t>
            </w:r>
          </w:p>
        </w:tc>
        <w:tc>
          <w:tcPr>
            <w:tcW w:w="709" w:type="dxa"/>
            <w:tcBorders>
              <w:top w:val="nil"/>
              <w:left w:val="nil"/>
              <w:bottom w:val="single" w:sz="8" w:space="0" w:color="auto"/>
              <w:right w:val="single" w:sz="8" w:space="0" w:color="auto"/>
            </w:tcBorders>
          </w:tcPr>
          <w:p w:rsidR="00C40B73" w:rsidRPr="00D55DC6" w:rsidRDefault="00C40B73" w:rsidP="00C676DD">
            <w:pPr>
              <w:widowControl/>
              <w:jc w:val="right"/>
              <w:rPr>
                <w:rFonts w:eastAsia="標楷體"/>
                <w:kern w:val="0"/>
                <w:szCs w:val="22"/>
              </w:rPr>
            </w:pPr>
            <w:r w:rsidRPr="00D55DC6">
              <w:rPr>
                <w:rFonts w:eastAsia="標楷體"/>
                <w:kern w:val="0"/>
                <w:szCs w:val="22"/>
              </w:rPr>
              <w:t xml:space="preserve">0.5 </w:t>
            </w:r>
          </w:p>
        </w:tc>
        <w:tc>
          <w:tcPr>
            <w:tcW w:w="709" w:type="dxa"/>
            <w:tcBorders>
              <w:top w:val="nil"/>
              <w:left w:val="nil"/>
              <w:bottom w:val="single" w:sz="8" w:space="0" w:color="auto"/>
              <w:right w:val="single" w:sz="8" w:space="0" w:color="auto"/>
            </w:tcBorders>
          </w:tcPr>
          <w:p w:rsidR="00C40B73" w:rsidRPr="00D55DC6" w:rsidRDefault="00C40B73" w:rsidP="00C676DD">
            <w:pPr>
              <w:widowControl/>
              <w:jc w:val="right"/>
              <w:rPr>
                <w:rFonts w:eastAsia="標楷體"/>
                <w:kern w:val="0"/>
                <w:szCs w:val="22"/>
              </w:rPr>
            </w:pPr>
            <w:r w:rsidRPr="00D55DC6">
              <w:rPr>
                <w:rFonts w:eastAsia="標楷體"/>
                <w:kern w:val="0"/>
                <w:szCs w:val="22"/>
              </w:rPr>
              <w:t xml:space="preserve">0.3 </w:t>
            </w:r>
          </w:p>
        </w:tc>
        <w:tc>
          <w:tcPr>
            <w:tcW w:w="709" w:type="dxa"/>
            <w:tcBorders>
              <w:top w:val="nil"/>
              <w:left w:val="nil"/>
              <w:bottom w:val="single" w:sz="8" w:space="0" w:color="auto"/>
              <w:right w:val="single" w:sz="8" w:space="0" w:color="auto"/>
            </w:tcBorders>
          </w:tcPr>
          <w:p w:rsidR="00C40B73" w:rsidRPr="00D55DC6" w:rsidRDefault="00C40B73" w:rsidP="00C676DD">
            <w:pPr>
              <w:widowControl/>
              <w:jc w:val="right"/>
              <w:rPr>
                <w:rFonts w:eastAsia="標楷體"/>
                <w:kern w:val="0"/>
                <w:szCs w:val="22"/>
              </w:rPr>
            </w:pPr>
            <w:r w:rsidRPr="00D55DC6">
              <w:rPr>
                <w:rFonts w:eastAsia="標楷體"/>
                <w:kern w:val="0"/>
                <w:szCs w:val="22"/>
              </w:rPr>
              <w:t xml:space="preserve">0.32 </w:t>
            </w:r>
          </w:p>
        </w:tc>
        <w:tc>
          <w:tcPr>
            <w:tcW w:w="708" w:type="dxa"/>
            <w:tcBorders>
              <w:top w:val="nil"/>
              <w:left w:val="nil"/>
              <w:bottom w:val="single" w:sz="8" w:space="0" w:color="auto"/>
              <w:right w:val="single" w:sz="8" w:space="0" w:color="auto"/>
            </w:tcBorders>
          </w:tcPr>
          <w:p w:rsidR="00C40B73" w:rsidRPr="00D55DC6" w:rsidRDefault="00C40B73" w:rsidP="00C676DD">
            <w:pPr>
              <w:widowControl/>
              <w:jc w:val="right"/>
              <w:rPr>
                <w:rFonts w:eastAsia="標楷體"/>
                <w:kern w:val="0"/>
                <w:szCs w:val="22"/>
              </w:rPr>
            </w:pPr>
            <w:r w:rsidRPr="00D55DC6">
              <w:rPr>
                <w:rFonts w:eastAsia="標楷體"/>
                <w:kern w:val="0"/>
                <w:szCs w:val="22"/>
              </w:rPr>
              <w:t xml:space="preserve">0.26 </w:t>
            </w:r>
          </w:p>
        </w:tc>
        <w:tc>
          <w:tcPr>
            <w:tcW w:w="851"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b/>
                <w:bCs/>
                <w:kern w:val="0"/>
                <w:szCs w:val="22"/>
              </w:rPr>
            </w:pPr>
            <w:r w:rsidRPr="00D55DC6">
              <w:rPr>
                <w:rFonts w:eastAsia="標楷體"/>
                <w:b/>
                <w:bCs/>
                <w:kern w:val="0"/>
                <w:szCs w:val="22"/>
              </w:rPr>
              <w:t xml:space="preserve">1.38 </w:t>
            </w:r>
          </w:p>
        </w:tc>
        <w:tc>
          <w:tcPr>
            <w:tcW w:w="1559" w:type="dxa"/>
            <w:vMerge/>
            <w:tcBorders>
              <w:left w:val="single" w:sz="8" w:space="0" w:color="auto"/>
              <w:bottom w:val="nil"/>
              <w:right w:val="single" w:sz="8" w:space="0" w:color="auto"/>
            </w:tcBorders>
            <w:vAlign w:val="center"/>
          </w:tcPr>
          <w:p w:rsidR="00C40B73" w:rsidRPr="00D55DC6" w:rsidRDefault="00C40B73" w:rsidP="00C676DD">
            <w:pPr>
              <w:widowControl/>
              <w:rPr>
                <w:rFonts w:eastAsia="標楷體"/>
                <w:kern w:val="0"/>
              </w:rPr>
            </w:pPr>
          </w:p>
        </w:tc>
      </w:tr>
      <w:tr w:rsidR="001D0350" w:rsidRPr="00D55DC6" w:rsidTr="00C676DD">
        <w:trPr>
          <w:trHeight w:val="304"/>
        </w:trPr>
        <w:tc>
          <w:tcPr>
            <w:tcW w:w="400" w:type="dxa"/>
            <w:vMerge/>
            <w:tcBorders>
              <w:top w:val="nil"/>
              <w:left w:val="single" w:sz="8" w:space="0" w:color="auto"/>
              <w:bottom w:val="nil"/>
              <w:right w:val="single" w:sz="8" w:space="0" w:color="auto"/>
            </w:tcBorders>
            <w:vAlign w:val="center"/>
          </w:tcPr>
          <w:p w:rsidR="00C40B73" w:rsidRPr="00D55DC6" w:rsidRDefault="00C40B73" w:rsidP="00C676DD">
            <w:pPr>
              <w:widowControl/>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2344" w:type="dxa"/>
            <w:tcBorders>
              <w:top w:val="single" w:sz="8" w:space="0" w:color="auto"/>
              <w:left w:val="nil"/>
              <w:bottom w:val="single" w:sz="8" w:space="0" w:color="auto"/>
              <w:right w:val="single" w:sz="8" w:space="0" w:color="auto"/>
            </w:tcBorders>
            <w:shd w:val="clear" w:color="000000" w:fill="CCFFCC"/>
          </w:tcPr>
          <w:p w:rsidR="00C40B73" w:rsidRPr="00D55DC6" w:rsidRDefault="00C40B73" w:rsidP="00C676DD">
            <w:pPr>
              <w:widowControl/>
              <w:jc w:val="both"/>
              <w:rPr>
                <w:rFonts w:eastAsia="標楷體"/>
                <w:kern w:val="0"/>
              </w:rPr>
            </w:pPr>
            <w:r w:rsidRPr="00D55DC6">
              <w:rPr>
                <w:rFonts w:eastAsia="標楷體"/>
                <w:kern w:val="0"/>
                <w:szCs w:val="22"/>
              </w:rPr>
              <w:t>(4)</w:t>
            </w:r>
            <w:r w:rsidRPr="00D55DC6">
              <w:rPr>
                <w:rFonts w:eastAsia="標楷體"/>
                <w:kern w:val="0"/>
                <w:szCs w:val="22"/>
              </w:rPr>
              <w:t>環境及設施整修</w:t>
            </w:r>
          </w:p>
        </w:tc>
        <w:tc>
          <w:tcPr>
            <w:tcW w:w="709"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kern w:val="0"/>
              </w:rPr>
            </w:pPr>
            <w:r w:rsidRPr="00D55DC6">
              <w:rPr>
                <w:rFonts w:eastAsia="標楷體"/>
                <w:b/>
                <w:kern w:val="0"/>
                <w:szCs w:val="22"/>
              </w:rPr>
              <w:t xml:space="preserve">0.12 </w:t>
            </w:r>
          </w:p>
        </w:tc>
        <w:tc>
          <w:tcPr>
            <w:tcW w:w="709"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kern w:val="0"/>
              </w:rPr>
            </w:pPr>
            <w:r w:rsidRPr="00D55DC6">
              <w:rPr>
                <w:rFonts w:eastAsia="標楷體"/>
                <w:b/>
                <w:kern w:val="0"/>
                <w:szCs w:val="22"/>
              </w:rPr>
              <w:t xml:space="preserve">0.12 </w:t>
            </w:r>
          </w:p>
        </w:tc>
        <w:tc>
          <w:tcPr>
            <w:tcW w:w="709"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kern w:val="0"/>
              </w:rPr>
            </w:pPr>
            <w:r w:rsidRPr="00D55DC6">
              <w:rPr>
                <w:rFonts w:eastAsia="標楷體"/>
                <w:b/>
                <w:kern w:val="0"/>
                <w:szCs w:val="22"/>
              </w:rPr>
              <w:t xml:space="preserve">0.12 </w:t>
            </w:r>
          </w:p>
        </w:tc>
        <w:tc>
          <w:tcPr>
            <w:tcW w:w="708"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kern w:val="0"/>
              </w:rPr>
            </w:pPr>
            <w:r w:rsidRPr="00D55DC6">
              <w:rPr>
                <w:rFonts w:eastAsia="標楷體"/>
                <w:b/>
                <w:kern w:val="0"/>
                <w:szCs w:val="22"/>
              </w:rPr>
              <w:t xml:space="preserve">0.12 </w:t>
            </w:r>
          </w:p>
        </w:tc>
        <w:tc>
          <w:tcPr>
            <w:tcW w:w="851"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0.48 </w:t>
            </w:r>
          </w:p>
        </w:tc>
        <w:tc>
          <w:tcPr>
            <w:tcW w:w="1559" w:type="dxa"/>
            <w:vMerge w:val="restart"/>
            <w:tcBorders>
              <w:top w:val="single" w:sz="8" w:space="0" w:color="auto"/>
              <w:left w:val="single" w:sz="8" w:space="0" w:color="auto"/>
              <w:bottom w:val="single" w:sz="8" w:space="0" w:color="000000"/>
              <w:right w:val="single" w:sz="8" w:space="0" w:color="auto"/>
            </w:tcBorders>
          </w:tcPr>
          <w:p w:rsidR="00C40B73" w:rsidRPr="00D55DC6" w:rsidRDefault="00C40B73" w:rsidP="00C676DD">
            <w:pPr>
              <w:widowControl/>
              <w:rPr>
                <w:rFonts w:eastAsia="標楷體"/>
                <w:kern w:val="0"/>
              </w:rPr>
            </w:pPr>
            <w:r w:rsidRPr="00D55DC6">
              <w:rPr>
                <w:rFonts w:eastAsia="標楷體"/>
                <w:kern w:val="0"/>
              </w:rPr>
              <w:t>辦理環境維護及設施維持、全區災害復舊工程、旅遊服務系統建置</w:t>
            </w:r>
          </w:p>
        </w:tc>
      </w:tr>
      <w:tr w:rsidR="001D0350" w:rsidRPr="00D55DC6" w:rsidTr="00C676DD">
        <w:trPr>
          <w:trHeight w:val="255"/>
        </w:trPr>
        <w:tc>
          <w:tcPr>
            <w:tcW w:w="400" w:type="dxa"/>
            <w:vMerge/>
            <w:tcBorders>
              <w:top w:val="nil"/>
              <w:left w:val="single" w:sz="8" w:space="0" w:color="auto"/>
              <w:bottom w:val="nil"/>
              <w:right w:val="single" w:sz="8" w:space="0" w:color="auto"/>
            </w:tcBorders>
            <w:vAlign w:val="center"/>
          </w:tcPr>
          <w:p w:rsidR="00C40B73" w:rsidRPr="00D55DC6" w:rsidRDefault="00C40B73" w:rsidP="00C676DD">
            <w:pPr>
              <w:widowControl/>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2344" w:type="dxa"/>
            <w:tcBorders>
              <w:top w:val="nil"/>
              <w:left w:val="nil"/>
              <w:bottom w:val="single" w:sz="8" w:space="0" w:color="auto"/>
              <w:right w:val="single" w:sz="8" w:space="0" w:color="auto"/>
            </w:tcBorders>
          </w:tcPr>
          <w:p w:rsidR="00C40B73" w:rsidRPr="00D55DC6" w:rsidRDefault="00C40B73" w:rsidP="00C676DD">
            <w:pPr>
              <w:widowControl/>
              <w:jc w:val="both"/>
              <w:rPr>
                <w:rFonts w:eastAsia="標楷體"/>
                <w:kern w:val="0"/>
              </w:rPr>
            </w:pPr>
            <w:r w:rsidRPr="00D55DC6">
              <w:rPr>
                <w:rFonts w:eastAsia="標楷體"/>
                <w:kern w:val="0"/>
                <w:szCs w:val="22"/>
              </w:rPr>
              <w:t>旅遊服務系統</w:t>
            </w:r>
          </w:p>
        </w:tc>
        <w:tc>
          <w:tcPr>
            <w:tcW w:w="709" w:type="dxa"/>
            <w:tcBorders>
              <w:top w:val="nil"/>
              <w:left w:val="nil"/>
              <w:bottom w:val="single" w:sz="8" w:space="0" w:color="auto"/>
              <w:right w:val="single" w:sz="8" w:space="0" w:color="auto"/>
            </w:tcBorders>
            <w:vAlign w:val="center"/>
          </w:tcPr>
          <w:p w:rsidR="00C40B73" w:rsidRPr="00D55DC6" w:rsidRDefault="00C40B73" w:rsidP="00C676DD">
            <w:pPr>
              <w:widowControl/>
              <w:jc w:val="right"/>
              <w:rPr>
                <w:rFonts w:eastAsia="標楷體"/>
                <w:kern w:val="0"/>
              </w:rPr>
            </w:pPr>
            <w:r w:rsidRPr="00D55DC6">
              <w:rPr>
                <w:rFonts w:eastAsia="標楷體"/>
                <w:kern w:val="0"/>
                <w:szCs w:val="22"/>
              </w:rPr>
              <w:t>0.04</w:t>
            </w:r>
          </w:p>
        </w:tc>
        <w:tc>
          <w:tcPr>
            <w:tcW w:w="709" w:type="dxa"/>
            <w:tcBorders>
              <w:top w:val="nil"/>
              <w:left w:val="nil"/>
              <w:bottom w:val="single" w:sz="8" w:space="0" w:color="auto"/>
              <w:right w:val="single" w:sz="8" w:space="0" w:color="auto"/>
            </w:tcBorders>
            <w:vAlign w:val="center"/>
          </w:tcPr>
          <w:p w:rsidR="00C40B73" w:rsidRPr="00D55DC6" w:rsidRDefault="00C40B73" w:rsidP="00C676DD">
            <w:pPr>
              <w:widowControl/>
              <w:jc w:val="right"/>
              <w:rPr>
                <w:rFonts w:eastAsia="標楷體"/>
                <w:kern w:val="0"/>
              </w:rPr>
            </w:pPr>
            <w:r w:rsidRPr="00D55DC6">
              <w:rPr>
                <w:rFonts w:eastAsia="標楷體"/>
                <w:kern w:val="0"/>
                <w:szCs w:val="22"/>
              </w:rPr>
              <w:t>0.04</w:t>
            </w:r>
          </w:p>
        </w:tc>
        <w:tc>
          <w:tcPr>
            <w:tcW w:w="709" w:type="dxa"/>
            <w:tcBorders>
              <w:top w:val="nil"/>
              <w:left w:val="nil"/>
              <w:bottom w:val="single" w:sz="8" w:space="0" w:color="auto"/>
              <w:right w:val="single" w:sz="8" w:space="0" w:color="auto"/>
            </w:tcBorders>
            <w:vAlign w:val="center"/>
          </w:tcPr>
          <w:p w:rsidR="00C40B73" w:rsidRPr="00D55DC6" w:rsidRDefault="00C40B73" w:rsidP="00C676DD">
            <w:pPr>
              <w:widowControl/>
              <w:jc w:val="right"/>
              <w:rPr>
                <w:rFonts w:eastAsia="標楷體"/>
                <w:kern w:val="0"/>
              </w:rPr>
            </w:pPr>
            <w:r w:rsidRPr="00D55DC6">
              <w:rPr>
                <w:rFonts w:eastAsia="標楷體"/>
                <w:kern w:val="0"/>
                <w:szCs w:val="22"/>
              </w:rPr>
              <w:t>0.04</w:t>
            </w:r>
          </w:p>
        </w:tc>
        <w:tc>
          <w:tcPr>
            <w:tcW w:w="708" w:type="dxa"/>
            <w:tcBorders>
              <w:top w:val="nil"/>
              <w:left w:val="nil"/>
              <w:bottom w:val="single" w:sz="8" w:space="0" w:color="auto"/>
              <w:right w:val="single" w:sz="8" w:space="0" w:color="auto"/>
            </w:tcBorders>
            <w:vAlign w:val="center"/>
          </w:tcPr>
          <w:p w:rsidR="00C40B73" w:rsidRPr="00D55DC6" w:rsidRDefault="00C40B73" w:rsidP="00C676DD">
            <w:pPr>
              <w:widowControl/>
              <w:jc w:val="right"/>
              <w:rPr>
                <w:rFonts w:eastAsia="標楷體"/>
                <w:kern w:val="0"/>
              </w:rPr>
            </w:pPr>
            <w:r w:rsidRPr="00D55DC6">
              <w:rPr>
                <w:rFonts w:eastAsia="標楷體"/>
                <w:kern w:val="0"/>
                <w:szCs w:val="22"/>
              </w:rPr>
              <w:t>0.04</w:t>
            </w:r>
          </w:p>
        </w:tc>
        <w:tc>
          <w:tcPr>
            <w:tcW w:w="851"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  0.16 </w:t>
            </w:r>
          </w:p>
        </w:tc>
        <w:tc>
          <w:tcPr>
            <w:tcW w:w="1559" w:type="dxa"/>
            <w:vMerge/>
            <w:tcBorders>
              <w:top w:val="single" w:sz="8" w:space="0" w:color="auto"/>
              <w:left w:val="single" w:sz="8" w:space="0" w:color="auto"/>
              <w:bottom w:val="single" w:sz="8" w:space="0" w:color="000000"/>
              <w:right w:val="single" w:sz="8" w:space="0" w:color="auto"/>
            </w:tcBorders>
            <w:vAlign w:val="center"/>
          </w:tcPr>
          <w:p w:rsidR="00C40B73" w:rsidRPr="00D55DC6" w:rsidRDefault="00C40B73" w:rsidP="00C676DD">
            <w:pPr>
              <w:widowControl/>
              <w:rPr>
                <w:rFonts w:eastAsia="標楷體"/>
                <w:kern w:val="0"/>
              </w:rPr>
            </w:pPr>
          </w:p>
        </w:tc>
      </w:tr>
      <w:tr w:rsidR="001D0350" w:rsidRPr="00D55DC6" w:rsidTr="00C676DD">
        <w:trPr>
          <w:trHeight w:val="209"/>
        </w:trPr>
        <w:tc>
          <w:tcPr>
            <w:tcW w:w="400" w:type="dxa"/>
            <w:vMerge/>
            <w:tcBorders>
              <w:top w:val="nil"/>
              <w:left w:val="single" w:sz="8" w:space="0" w:color="auto"/>
              <w:bottom w:val="nil"/>
              <w:right w:val="single" w:sz="8" w:space="0" w:color="auto"/>
            </w:tcBorders>
            <w:vAlign w:val="center"/>
          </w:tcPr>
          <w:p w:rsidR="00C40B73" w:rsidRPr="00D55DC6" w:rsidRDefault="00C40B73" w:rsidP="00C676DD">
            <w:pPr>
              <w:widowControl/>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2344" w:type="dxa"/>
            <w:tcBorders>
              <w:top w:val="nil"/>
              <w:left w:val="nil"/>
              <w:bottom w:val="single" w:sz="8" w:space="0" w:color="auto"/>
              <w:right w:val="single" w:sz="8" w:space="0" w:color="auto"/>
            </w:tcBorders>
          </w:tcPr>
          <w:p w:rsidR="00C40B73" w:rsidRPr="00D55DC6" w:rsidRDefault="00C40B73" w:rsidP="00C676DD">
            <w:pPr>
              <w:widowControl/>
              <w:jc w:val="both"/>
              <w:rPr>
                <w:rFonts w:eastAsia="標楷體"/>
                <w:kern w:val="0"/>
              </w:rPr>
            </w:pPr>
            <w:r w:rsidRPr="00D55DC6">
              <w:rPr>
                <w:rFonts w:eastAsia="標楷體"/>
                <w:kern w:val="0"/>
                <w:szCs w:val="22"/>
              </w:rPr>
              <w:t>環境維護及設施維持</w:t>
            </w:r>
          </w:p>
        </w:tc>
        <w:tc>
          <w:tcPr>
            <w:tcW w:w="709" w:type="dxa"/>
            <w:tcBorders>
              <w:top w:val="nil"/>
              <w:left w:val="nil"/>
              <w:bottom w:val="single" w:sz="8" w:space="0" w:color="auto"/>
              <w:right w:val="single" w:sz="8" w:space="0" w:color="auto"/>
            </w:tcBorders>
            <w:vAlign w:val="center"/>
          </w:tcPr>
          <w:p w:rsidR="00C40B73" w:rsidRPr="00D55DC6" w:rsidRDefault="00C40B73" w:rsidP="00C676DD">
            <w:pPr>
              <w:widowControl/>
              <w:jc w:val="right"/>
              <w:rPr>
                <w:rFonts w:eastAsia="標楷體"/>
                <w:kern w:val="0"/>
              </w:rPr>
            </w:pPr>
            <w:r w:rsidRPr="00D55DC6">
              <w:rPr>
                <w:rFonts w:eastAsia="標楷體"/>
                <w:kern w:val="0"/>
                <w:szCs w:val="22"/>
              </w:rPr>
              <w:t>0.04</w:t>
            </w:r>
          </w:p>
        </w:tc>
        <w:tc>
          <w:tcPr>
            <w:tcW w:w="709" w:type="dxa"/>
            <w:tcBorders>
              <w:top w:val="nil"/>
              <w:left w:val="nil"/>
              <w:bottom w:val="single" w:sz="8" w:space="0" w:color="auto"/>
              <w:right w:val="single" w:sz="8" w:space="0" w:color="auto"/>
            </w:tcBorders>
            <w:vAlign w:val="center"/>
          </w:tcPr>
          <w:p w:rsidR="00C40B73" w:rsidRPr="00D55DC6" w:rsidRDefault="00C40B73" w:rsidP="00C676DD">
            <w:pPr>
              <w:widowControl/>
              <w:jc w:val="right"/>
              <w:rPr>
                <w:rFonts w:eastAsia="標楷體"/>
                <w:kern w:val="0"/>
              </w:rPr>
            </w:pPr>
            <w:r w:rsidRPr="00D55DC6">
              <w:rPr>
                <w:rFonts w:eastAsia="標楷體"/>
                <w:kern w:val="0"/>
                <w:szCs w:val="22"/>
              </w:rPr>
              <w:t>0.04</w:t>
            </w:r>
          </w:p>
        </w:tc>
        <w:tc>
          <w:tcPr>
            <w:tcW w:w="709" w:type="dxa"/>
            <w:tcBorders>
              <w:top w:val="nil"/>
              <w:left w:val="nil"/>
              <w:bottom w:val="single" w:sz="8" w:space="0" w:color="auto"/>
              <w:right w:val="single" w:sz="8" w:space="0" w:color="auto"/>
            </w:tcBorders>
            <w:vAlign w:val="center"/>
          </w:tcPr>
          <w:p w:rsidR="00C40B73" w:rsidRPr="00D55DC6" w:rsidRDefault="00C40B73" w:rsidP="00C676DD">
            <w:pPr>
              <w:widowControl/>
              <w:jc w:val="right"/>
              <w:rPr>
                <w:rFonts w:eastAsia="標楷體"/>
                <w:kern w:val="0"/>
              </w:rPr>
            </w:pPr>
            <w:r w:rsidRPr="00D55DC6">
              <w:rPr>
                <w:rFonts w:eastAsia="標楷體"/>
                <w:kern w:val="0"/>
                <w:szCs w:val="22"/>
              </w:rPr>
              <w:t>0.04</w:t>
            </w:r>
          </w:p>
        </w:tc>
        <w:tc>
          <w:tcPr>
            <w:tcW w:w="708" w:type="dxa"/>
            <w:tcBorders>
              <w:top w:val="nil"/>
              <w:left w:val="nil"/>
              <w:bottom w:val="single" w:sz="8" w:space="0" w:color="auto"/>
              <w:right w:val="single" w:sz="8" w:space="0" w:color="auto"/>
            </w:tcBorders>
            <w:vAlign w:val="center"/>
          </w:tcPr>
          <w:p w:rsidR="00C40B73" w:rsidRPr="00D55DC6" w:rsidRDefault="00C40B73" w:rsidP="00C676DD">
            <w:pPr>
              <w:widowControl/>
              <w:jc w:val="right"/>
              <w:rPr>
                <w:rFonts w:eastAsia="標楷體"/>
                <w:kern w:val="0"/>
              </w:rPr>
            </w:pPr>
            <w:r w:rsidRPr="00D55DC6">
              <w:rPr>
                <w:rFonts w:eastAsia="標楷體"/>
                <w:kern w:val="0"/>
                <w:szCs w:val="22"/>
              </w:rPr>
              <w:t>0.04</w:t>
            </w:r>
          </w:p>
        </w:tc>
        <w:tc>
          <w:tcPr>
            <w:tcW w:w="851"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  0.16 </w:t>
            </w:r>
          </w:p>
        </w:tc>
        <w:tc>
          <w:tcPr>
            <w:tcW w:w="1559" w:type="dxa"/>
            <w:vMerge/>
            <w:tcBorders>
              <w:top w:val="single" w:sz="8" w:space="0" w:color="auto"/>
              <w:left w:val="single" w:sz="8" w:space="0" w:color="auto"/>
              <w:bottom w:val="single" w:sz="8" w:space="0" w:color="000000"/>
              <w:right w:val="single" w:sz="8" w:space="0" w:color="auto"/>
            </w:tcBorders>
            <w:vAlign w:val="center"/>
          </w:tcPr>
          <w:p w:rsidR="00C40B73" w:rsidRPr="00D55DC6" w:rsidRDefault="00C40B73" w:rsidP="00C676DD">
            <w:pPr>
              <w:widowControl/>
              <w:rPr>
                <w:rFonts w:eastAsia="標楷體"/>
                <w:kern w:val="0"/>
              </w:rPr>
            </w:pPr>
          </w:p>
        </w:tc>
      </w:tr>
      <w:tr w:rsidR="001D0350" w:rsidRPr="00D55DC6" w:rsidTr="00C676DD">
        <w:trPr>
          <w:trHeight w:val="306"/>
        </w:trPr>
        <w:tc>
          <w:tcPr>
            <w:tcW w:w="400" w:type="dxa"/>
            <w:vMerge/>
            <w:tcBorders>
              <w:top w:val="nil"/>
              <w:left w:val="single" w:sz="8" w:space="0" w:color="auto"/>
              <w:bottom w:val="nil"/>
              <w:right w:val="single" w:sz="8" w:space="0" w:color="auto"/>
            </w:tcBorders>
            <w:vAlign w:val="center"/>
          </w:tcPr>
          <w:p w:rsidR="00C40B73" w:rsidRPr="00D55DC6" w:rsidRDefault="00C40B73" w:rsidP="00C676DD">
            <w:pPr>
              <w:widowControl/>
              <w:rPr>
                <w:rFonts w:eastAsia="標楷體"/>
                <w:kern w:val="0"/>
              </w:rPr>
            </w:pPr>
          </w:p>
        </w:tc>
        <w:tc>
          <w:tcPr>
            <w:tcW w:w="891"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1102" w:type="dxa"/>
            <w:vMerge/>
            <w:tcBorders>
              <w:top w:val="nil"/>
              <w:left w:val="single" w:sz="8" w:space="0" w:color="auto"/>
              <w:bottom w:val="single" w:sz="8" w:space="0" w:color="auto"/>
              <w:right w:val="single" w:sz="8" w:space="0" w:color="auto"/>
            </w:tcBorders>
            <w:vAlign w:val="center"/>
          </w:tcPr>
          <w:p w:rsidR="00C40B73" w:rsidRPr="00D55DC6" w:rsidRDefault="00C40B73" w:rsidP="00C676DD">
            <w:pPr>
              <w:widowControl/>
              <w:rPr>
                <w:rFonts w:eastAsia="標楷體"/>
                <w:kern w:val="0"/>
              </w:rPr>
            </w:pPr>
          </w:p>
        </w:tc>
        <w:tc>
          <w:tcPr>
            <w:tcW w:w="2344" w:type="dxa"/>
            <w:tcBorders>
              <w:top w:val="nil"/>
              <w:left w:val="nil"/>
              <w:bottom w:val="single" w:sz="8" w:space="0" w:color="auto"/>
              <w:right w:val="single" w:sz="8" w:space="0" w:color="auto"/>
            </w:tcBorders>
          </w:tcPr>
          <w:p w:rsidR="00C40B73" w:rsidRPr="00D55DC6" w:rsidRDefault="00C40B73" w:rsidP="00C676DD">
            <w:pPr>
              <w:widowControl/>
              <w:jc w:val="both"/>
              <w:rPr>
                <w:rFonts w:eastAsia="標楷體"/>
                <w:kern w:val="0"/>
              </w:rPr>
            </w:pPr>
            <w:r w:rsidRPr="00D55DC6">
              <w:rPr>
                <w:rFonts w:eastAsia="標楷體"/>
                <w:kern w:val="0"/>
                <w:szCs w:val="22"/>
              </w:rPr>
              <w:t>全區災害復舊及一般零星工程</w:t>
            </w:r>
          </w:p>
        </w:tc>
        <w:tc>
          <w:tcPr>
            <w:tcW w:w="709" w:type="dxa"/>
            <w:tcBorders>
              <w:top w:val="nil"/>
              <w:left w:val="nil"/>
              <w:bottom w:val="single" w:sz="8" w:space="0" w:color="auto"/>
              <w:right w:val="single" w:sz="8" w:space="0" w:color="auto"/>
            </w:tcBorders>
          </w:tcPr>
          <w:p w:rsidR="00C40B73" w:rsidRPr="00D55DC6" w:rsidRDefault="00C40B73" w:rsidP="00C676DD">
            <w:pPr>
              <w:widowControl/>
              <w:jc w:val="right"/>
              <w:rPr>
                <w:rFonts w:eastAsia="標楷體"/>
                <w:kern w:val="0"/>
              </w:rPr>
            </w:pPr>
            <w:r w:rsidRPr="00D55DC6">
              <w:rPr>
                <w:rFonts w:eastAsia="標楷體"/>
                <w:kern w:val="0"/>
                <w:szCs w:val="22"/>
              </w:rPr>
              <w:t xml:space="preserve"> 0.04 </w:t>
            </w:r>
          </w:p>
        </w:tc>
        <w:tc>
          <w:tcPr>
            <w:tcW w:w="709" w:type="dxa"/>
            <w:tcBorders>
              <w:top w:val="nil"/>
              <w:left w:val="nil"/>
              <w:bottom w:val="single" w:sz="8" w:space="0" w:color="auto"/>
              <w:right w:val="single" w:sz="8" w:space="0" w:color="auto"/>
            </w:tcBorders>
          </w:tcPr>
          <w:p w:rsidR="00C40B73" w:rsidRPr="00D55DC6" w:rsidRDefault="00C40B73" w:rsidP="00C676DD">
            <w:pPr>
              <w:widowControl/>
              <w:jc w:val="right"/>
              <w:rPr>
                <w:rFonts w:eastAsia="標楷體"/>
                <w:kern w:val="0"/>
              </w:rPr>
            </w:pPr>
            <w:r w:rsidRPr="00D55DC6">
              <w:rPr>
                <w:rFonts w:eastAsia="標楷體"/>
                <w:kern w:val="0"/>
                <w:szCs w:val="22"/>
              </w:rPr>
              <w:t xml:space="preserve"> 0.04 </w:t>
            </w:r>
          </w:p>
        </w:tc>
        <w:tc>
          <w:tcPr>
            <w:tcW w:w="709" w:type="dxa"/>
            <w:tcBorders>
              <w:top w:val="nil"/>
              <w:left w:val="nil"/>
              <w:bottom w:val="single" w:sz="8" w:space="0" w:color="auto"/>
              <w:right w:val="single" w:sz="8" w:space="0" w:color="auto"/>
            </w:tcBorders>
          </w:tcPr>
          <w:p w:rsidR="00C40B73" w:rsidRPr="00D55DC6" w:rsidRDefault="00C40B73" w:rsidP="00C676DD">
            <w:pPr>
              <w:widowControl/>
              <w:jc w:val="right"/>
              <w:rPr>
                <w:rFonts w:eastAsia="標楷體"/>
                <w:kern w:val="0"/>
              </w:rPr>
            </w:pPr>
            <w:r w:rsidRPr="00D55DC6">
              <w:rPr>
                <w:rFonts w:eastAsia="標楷體"/>
                <w:kern w:val="0"/>
                <w:szCs w:val="22"/>
              </w:rPr>
              <w:t xml:space="preserve"> 0.04 </w:t>
            </w:r>
          </w:p>
        </w:tc>
        <w:tc>
          <w:tcPr>
            <w:tcW w:w="708" w:type="dxa"/>
            <w:tcBorders>
              <w:top w:val="nil"/>
              <w:left w:val="nil"/>
              <w:bottom w:val="single" w:sz="8" w:space="0" w:color="auto"/>
              <w:right w:val="single" w:sz="8" w:space="0" w:color="auto"/>
            </w:tcBorders>
          </w:tcPr>
          <w:p w:rsidR="00C40B73" w:rsidRPr="00D55DC6" w:rsidRDefault="00C40B73" w:rsidP="00C676DD">
            <w:pPr>
              <w:widowControl/>
              <w:jc w:val="right"/>
              <w:rPr>
                <w:rFonts w:eastAsia="標楷體"/>
                <w:kern w:val="0"/>
              </w:rPr>
            </w:pPr>
            <w:r w:rsidRPr="00D55DC6">
              <w:rPr>
                <w:rFonts w:eastAsia="標楷體"/>
                <w:kern w:val="0"/>
                <w:szCs w:val="22"/>
              </w:rPr>
              <w:t xml:space="preserve"> 0.04 </w:t>
            </w:r>
          </w:p>
        </w:tc>
        <w:tc>
          <w:tcPr>
            <w:tcW w:w="851"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  0.16 </w:t>
            </w:r>
          </w:p>
        </w:tc>
        <w:tc>
          <w:tcPr>
            <w:tcW w:w="1559" w:type="dxa"/>
            <w:vMerge/>
            <w:tcBorders>
              <w:top w:val="single" w:sz="8" w:space="0" w:color="auto"/>
              <w:left w:val="single" w:sz="8" w:space="0" w:color="auto"/>
              <w:bottom w:val="single" w:sz="8" w:space="0" w:color="000000"/>
              <w:right w:val="single" w:sz="8" w:space="0" w:color="auto"/>
            </w:tcBorders>
            <w:vAlign w:val="center"/>
          </w:tcPr>
          <w:p w:rsidR="00C40B73" w:rsidRPr="00D55DC6" w:rsidRDefault="00C40B73" w:rsidP="00C676DD">
            <w:pPr>
              <w:widowControl/>
              <w:rPr>
                <w:rFonts w:eastAsia="標楷體"/>
                <w:kern w:val="0"/>
              </w:rPr>
            </w:pPr>
          </w:p>
        </w:tc>
      </w:tr>
      <w:tr w:rsidR="001D0350" w:rsidRPr="00D55DC6" w:rsidTr="00C676DD">
        <w:trPr>
          <w:trHeight w:val="714"/>
        </w:trPr>
        <w:tc>
          <w:tcPr>
            <w:tcW w:w="400" w:type="dxa"/>
            <w:vMerge/>
            <w:tcBorders>
              <w:top w:val="nil"/>
              <w:left w:val="single" w:sz="8" w:space="0" w:color="auto"/>
              <w:bottom w:val="nil"/>
              <w:right w:val="single" w:sz="8" w:space="0" w:color="auto"/>
            </w:tcBorders>
            <w:vAlign w:val="center"/>
          </w:tcPr>
          <w:p w:rsidR="00C40B73" w:rsidRPr="00D55DC6" w:rsidRDefault="00C40B73" w:rsidP="00C676DD">
            <w:pPr>
              <w:widowControl/>
              <w:rPr>
                <w:rFonts w:eastAsia="標楷體"/>
                <w:kern w:val="0"/>
              </w:rPr>
            </w:pPr>
          </w:p>
        </w:tc>
        <w:tc>
          <w:tcPr>
            <w:tcW w:w="891" w:type="dxa"/>
            <w:tcBorders>
              <w:top w:val="nil"/>
              <w:left w:val="nil"/>
              <w:bottom w:val="nil"/>
              <w:right w:val="single" w:sz="8" w:space="0" w:color="auto"/>
            </w:tcBorders>
            <w:shd w:val="clear" w:color="000000" w:fill="CCFFCC"/>
          </w:tcPr>
          <w:p w:rsidR="00C40B73" w:rsidRPr="00D55DC6" w:rsidRDefault="00C40B73" w:rsidP="00C676DD">
            <w:pPr>
              <w:widowControl/>
              <w:jc w:val="center"/>
              <w:rPr>
                <w:rFonts w:eastAsia="標楷體"/>
                <w:kern w:val="0"/>
              </w:rPr>
            </w:pPr>
            <w:r w:rsidRPr="00D55DC6">
              <w:rPr>
                <w:rFonts w:eastAsia="標楷體"/>
                <w:kern w:val="0"/>
                <w:szCs w:val="22"/>
              </w:rPr>
              <w:t>0400</w:t>
            </w:r>
            <w:r w:rsidRPr="00D55DC6">
              <w:rPr>
                <w:rFonts w:eastAsia="標楷體"/>
                <w:kern w:val="0"/>
                <w:szCs w:val="22"/>
              </w:rPr>
              <w:t>獎補助費</w:t>
            </w:r>
          </w:p>
        </w:tc>
        <w:tc>
          <w:tcPr>
            <w:tcW w:w="1102" w:type="dxa"/>
            <w:tcBorders>
              <w:top w:val="nil"/>
              <w:left w:val="nil"/>
              <w:bottom w:val="nil"/>
              <w:right w:val="single" w:sz="8" w:space="0" w:color="auto"/>
            </w:tcBorders>
            <w:shd w:val="clear" w:color="000000" w:fill="CCFFCC"/>
          </w:tcPr>
          <w:p w:rsidR="00C40B73" w:rsidRPr="00D55DC6" w:rsidRDefault="00C40B73" w:rsidP="00C676DD">
            <w:pPr>
              <w:widowControl/>
              <w:rPr>
                <w:rFonts w:eastAsia="標楷體"/>
                <w:kern w:val="0"/>
              </w:rPr>
            </w:pPr>
            <w:r w:rsidRPr="00D55DC6">
              <w:rPr>
                <w:rFonts w:eastAsia="標楷體"/>
                <w:kern w:val="0"/>
                <w:szCs w:val="22"/>
              </w:rPr>
              <w:t>0476</w:t>
            </w:r>
            <w:r w:rsidRPr="00D55DC6">
              <w:rPr>
                <w:rFonts w:eastAsia="標楷體"/>
                <w:kern w:val="0"/>
                <w:szCs w:val="22"/>
              </w:rPr>
              <w:t>其他補助及捐助</w:t>
            </w:r>
          </w:p>
        </w:tc>
        <w:tc>
          <w:tcPr>
            <w:tcW w:w="2344" w:type="dxa"/>
            <w:tcBorders>
              <w:top w:val="nil"/>
              <w:left w:val="nil"/>
              <w:bottom w:val="single" w:sz="8" w:space="0" w:color="auto"/>
              <w:right w:val="single" w:sz="8" w:space="0" w:color="auto"/>
            </w:tcBorders>
            <w:shd w:val="clear" w:color="000000" w:fill="CCFFCC"/>
            <w:vAlign w:val="center"/>
          </w:tcPr>
          <w:p w:rsidR="00C40B73" w:rsidRPr="00D55DC6" w:rsidRDefault="00C40B73" w:rsidP="00C676DD">
            <w:pPr>
              <w:widowControl/>
              <w:rPr>
                <w:rFonts w:eastAsia="標楷體"/>
                <w:b/>
                <w:bCs/>
                <w:kern w:val="0"/>
              </w:rPr>
            </w:pPr>
            <w:r w:rsidRPr="00D55DC6">
              <w:rPr>
                <w:rFonts w:eastAsia="標楷體"/>
                <w:b/>
                <w:bCs/>
                <w:kern w:val="0"/>
                <w:szCs w:val="22"/>
              </w:rPr>
              <w:t>4.</w:t>
            </w:r>
            <w:r w:rsidRPr="00D55DC6">
              <w:rPr>
                <w:rFonts w:eastAsia="標楷體"/>
                <w:b/>
                <w:bCs/>
                <w:kern w:val="0"/>
                <w:szCs w:val="22"/>
              </w:rPr>
              <w:t>馬祖地區特色建築風貌改善補助</w:t>
            </w:r>
          </w:p>
        </w:tc>
        <w:tc>
          <w:tcPr>
            <w:tcW w:w="709" w:type="dxa"/>
            <w:tcBorders>
              <w:top w:val="nil"/>
              <w:left w:val="nil"/>
              <w:bottom w:val="single" w:sz="8" w:space="0" w:color="auto"/>
              <w:right w:val="single" w:sz="8" w:space="0" w:color="auto"/>
            </w:tcBorders>
            <w:shd w:val="clear" w:color="000000" w:fill="CCFFCC"/>
            <w:vAlign w:val="center"/>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0.05 </w:t>
            </w:r>
          </w:p>
        </w:tc>
        <w:tc>
          <w:tcPr>
            <w:tcW w:w="709" w:type="dxa"/>
            <w:tcBorders>
              <w:top w:val="nil"/>
              <w:left w:val="nil"/>
              <w:bottom w:val="single" w:sz="8" w:space="0" w:color="auto"/>
              <w:right w:val="single" w:sz="8" w:space="0" w:color="auto"/>
            </w:tcBorders>
            <w:shd w:val="clear" w:color="000000" w:fill="CCFFCC"/>
            <w:vAlign w:val="center"/>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0.05 </w:t>
            </w:r>
          </w:p>
        </w:tc>
        <w:tc>
          <w:tcPr>
            <w:tcW w:w="709" w:type="dxa"/>
            <w:tcBorders>
              <w:top w:val="nil"/>
              <w:left w:val="nil"/>
              <w:bottom w:val="single" w:sz="8" w:space="0" w:color="auto"/>
              <w:right w:val="single" w:sz="8" w:space="0" w:color="auto"/>
            </w:tcBorders>
            <w:shd w:val="clear" w:color="000000" w:fill="CCFFCC"/>
            <w:vAlign w:val="center"/>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0.05 </w:t>
            </w:r>
          </w:p>
        </w:tc>
        <w:tc>
          <w:tcPr>
            <w:tcW w:w="708" w:type="dxa"/>
            <w:tcBorders>
              <w:top w:val="nil"/>
              <w:left w:val="nil"/>
              <w:bottom w:val="single" w:sz="8" w:space="0" w:color="auto"/>
              <w:right w:val="single" w:sz="8" w:space="0" w:color="auto"/>
            </w:tcBorders>
            <w:shd w:val="clear" w:color="000000" w:fill="CCFFCC"/>
            <w:vAlign w:val="center"/>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0.05 </w:t>
            </w:r>
          </w:p>
        </w:tc>
        <w:tc>
          <w:tcPr>
            <w:tcW w:w="851" w:type="dxa"/>
            <w:tcBorders>
              <w:top w:val="nil"/>
              <w:left w:val="nil"/>
              <w:bottom w:val="single" w:sz="8" w:space="0" w:color="auto"/>
              <w:right w:val="single" w:sz="8" w:space="0" w:color="auto"/>
            </w:tcBorders>
            <w:shd w:val="clear" w:color="000000" w:fill="CCFFFF"/>
            <w:vAlign w:val="center"/>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  0.20</w:t>
            </w:r>
          </w:p>
        </w:tc>
        <w:tc>
          <w:tcPr>
            <w:tcW w:w="1559" w:type="dxa"/>
            <w:tcBorders>
              <w:top w:val="nil"/>
              <w:left w:val="nil"/>
              <w:bottom w:val="single" w:sz="8" w:space="0" w:color="auto"/>
              <w:right w:val="single" w:sz="8" w:space="0" w:color="auto"/>
            </w:tcBorders>
            <w:vAlign w:val="center"/>
          </w:tcPr>
          <w:p w:rsidR="00C40B73" w:rsidRPr="00D55DC6" w:rsidRDefault="00C40B73" w:rsidP="00C676DD">
            <w:pPr>
              <w:widowControl/>
              <w:rPr>
                <w:rFonts w:eastAsia="標楷體"/>
                <w:kern w:val="0"/>
              </w:rPr>
            </w:pPr>
            <w:r w:rsidRPr="00D55DC6">
              <w:rPr>
                <w:rFonts w:eastAsia="標楷體"/>
                <w:kern w:val="0"/>
              </w:rPr>
              <w:t>補助修繕傳統特色建築及建築</w:t>
            </w:r>
          </w:p>
        </w:tc>
      </w:tr>
      <w:tr w:rsidR="001D0350" w:rsidRPr="00D55DC6" w:rsidTr="00C676DD">
        <w:trPr>
          <w:trHeight w:val="345"/>
        </w:trPr>
        <w:tc>
          <w:tcPr>
            <w:tcW w:w="400" w:type="dxa"/>
            <w:tcBorders>
              <w:top w:val="nil"/>
              <w:left w:val="single" w:sz="8" w:space="0" w:color="auto"/>
              <w:bottom w:val="single" w:sz="8" w:space="0" w:color="auto"/>
              <w:right w:val="single" w:sz="8" w:space="0" w:color="auto"/>
            </w:tcBorders>
            <w:shd w:val="clear" w:color="000000" w:fill="CCFFCC"/>
          </w:tcPr>
          <w:p w:rsidR="00C40B73" w:rsidRPr="00D55DC6" w:rsidRDefault="00C40B73" w:rsidP="00C676DD">
            <w:pPr>
              <w:widowControl/>
              <w:jc w:val="center"/>
              <w:rPr>
                <w:rFonts w:eastAsia="標楷體"/>
                <w:kern w:val="0"/>
              </w:rPr>
            </w:pPr>
            <w:r w:rsidRPr="00D55DC6">
              <w:rPr>
                <w:rFonts w:eastAsia="標楷體"/>
                <w:kern w:val="0"/>
                <w:szCs w:val="22"/>
              </w:rPr>
              <w:t xml:space="preserve">　</w:t>
            </w:r>
          </w:p>
        </w:tc>
        <w:tc>
          <w:tcPr>
            <w:tcW w:w="891"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center"/>
              <w:rPr>
                <w:rFonts w:eastAsia="標楷體"/>
                <w:kern w:val="0"/>
              </w:rPr>
            </w:pPr>
            <w:r w:rsidRPr="00D55DC6">
              <w:rPr>
                <w:rFonts w:eastAsia="標楷體"/>
                <w:kern w:val="0"/>
                <w:szCs w:val="22"/>
              </w:rPr>
              <w:t xml:space="preserve">　</w:t>
            </w:r>
          </w:p>
        </w:tc>
        <w:tc>
          <w:tcPr>
            <w:tcW w:w="1102"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center"/>
              <w:rPr>
                <w:rFonts w:eastAsia="標楷體"/>
                <w:kern w:val="0"/>
              </w:rPr>
            </w:pPr>
            <w:r w:rsidRPr="00D55DC6">
              <w:rPr>
                <w:rFonts w:eastAsia="標楷體"/>
                <w:kern w:val="0"/>
                <w:szCs w:val="22"/>
              </w:rPr>
              <w:t xml:space="preserve">　</w:t>
            </w:r>
          </w:p>
        </w:tc>
        <w:tc>
          <w:tcPr>
            <w:tcW w:w="2344"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center"/>
              <w:rPr>
                <w:rFonts w:eastAsia="標楷體"/>
                <w:b/>
                <w:bCs/>
                <w:kern w:val="0"/>
              </w:rPr>
            </w:pPr>
            <w:r w:rsidRPr="00D55DC6">
              <w:rPr>
                <w:rFonts w:eastAsia="標楷體"/>
                <w:b/>
                <w:bCs/>
                <w:kern w:val="0"/>
                <w:szCs w:val="22"/>
              </w:rPr>
              <w:t>資本門合計</w:t>
            </w:r>
          </w:p>
        </w:tc>
        <w:tc>
          <w:tcPr>
            <w:tcW w:w="709"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2.25 </w:t>
            </w:r>
          </w:p>
        </w:tc>
        <w:tc>
          <w:tcPr>
            <w:tcW w:w="709"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1.75 </w:t>
            </w:r>
          </w:p>
        </w:tc>
        <w:tc>
          <w:tcPr>
            <w:tcW w:w="709"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1.85 </w:t>
            </w:r>
          </w:p>
        </w:tc>
        <w:tc>
          <w:tcPr>
            <w:tcW w:w="708"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1.55 </w:t>
            </w:r>
          </w:p>
        </w:tc>
        <w:tc>
          <w:tcPr>
            <w:tcW w:w="851"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 7.40 </w:t>
            </w:r>
          </w:p>
        </w:tc>
        <w:tc>
          <w:tcPr>
            <w:tcW w:w="1559" w:type="dxa"/>
            <w:tcBorders>
              <w:top w:val="nil"/>
              <w:left w:val="nil"/>
              <w:bottom w:val="single" w:sz="8" w:space="0" w:color="auto"/>
              <w:right w:val="single" w:sz="8" w:space="0" w:color="auto"/>
            </w:tcBorders>
            <w:vAlign w:val="center"/>
          </w:tcPr>
          <w:p w:rsidR="00C40B73" w:rsidRPr="00D55DC6" w:rsidRDefault="00C40B73" w:rsidP="00C676DD">
            <w:pPr>
              <w:widowControl/>
              <w:rPr>
                <w:rFonts w:eastAsia="標楷體"/>
                <w:kern w:val="0"/>
              </w:rPr>
            </w:pPr>
            <w:r w:rsidRPr="00D55DC6">
              <w:rPr>
                <w:rFonts w:eastAsia="標楷體"/>
                <w:kern w:val="0"/>
                <w:szCs w:val="22"/>
              </w:rPr>
              <w:t xml:space="preserve">　</w:t>
            </w:r>
          </w:p>
        </w:tc>
      </w:tr>
      <w:tr w:rsidR="001D0350" w:rsidRPr="00D55DC6" w:rsidTr="00C676DD">
        <w:trPr>
          <w:trHeight w:val="345"/>
        </w:trPr>
        <w:tc>
          <w:tcPr>
            <w:tcW w:w="4737" w:type="dxa"/>
            <w:gridSpan w:val="4"/>
            <w:tcBorders>
              <w:top w:val="single" w:sz="8" w:space="0" w:color="auto"/>
              <w:left w:val="single" w:sz="8" w:space="0" w:color="auto"/>
              <w:bottom w:val="single" w:sz="8" w:space="0" w:color="auto"/>
              <w:right w:val="single" w:sz="8" w:space="0" w:color="auto"/>
            </w:tcBorders>
            <w:shd w:val="clear" w:color="000000" w:fill="CCFFCC"/>
          </w:tcPr>
          <w:p w:rsidR="00C40B73" w:rsidRPr="00D55DC6" w:rsidRDefault="00C40B73" w:rsidP="00C676DD">
            <w:pPr>
              <w:widowControl/>
              <w:jc w:val="center"/>
              <w:rPr>
                <w:rFonts w:eastAsia="標楷體"/>
                <w:b/>
                <w:bCs/>
                <w:kern w:val="0"/>
              </w:rPr>
            </w:pPr>
            <w:r w:rsidRPr="00D55DC6">
              <w:rPr>
                <w:rFonts w:eastAsia="標楷體"/>
                <w:b/>
                <w:bCs/>
                <w:kern w:val="0"/>
                <w:szCs w:val="22"/>
              </w:rPr>
              <w:t xml:space="preserve">經資門合計　　</w:t>
            </w:r>
          </w:p>
        </w:tc>
        <w:tc>
          <w:tcPr>
            <w:tcW w:w="709"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2.32 </w:t>
            </w:r>
          </w:p>
        </w:tc>
        <w:tc>
          <w:tcPr>
            <w:tcW w:w="709"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1.82 </w:t>
            </w:r>
          </w:p>
        </w:tc>
        <w:tc>
          <w:tcPr>
            <w:tcW w:w="709"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1.92 </w:t>
            </w:r>
          </w:p>
        </w:tc>
        <w:tc>
          <w:tcPr>
            <w:tcW w:w="708" w:type="dxa"/>
            <w:tcBorders>
              <w:top w:val="nil"/>
              <w:left w:val="nil"/>
              <w:bottom w:val="single" w:sz="8" w:space="0" w:color="auto"/>
              <w:right w:val="single" w:sz="8" w:space="0" w:color="auto"/>
            </w:tcBorders>
            <w:shd w:val="clear" w:color="000000" w:fill="CCFFCC"/>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1.62 </w:t>
            </w:r>
          </w:p>
        </w:tc>
        <w:tc>
          <w:tcPr>
            <w:tcW w:w="851" w:type="dxa"/>
            <w:tcBorders>
              <w:top w:val="nil"/>
              <w:left w:val="nil"/>
              <w:bottom w:val="single" w:sz="8" w:space="0" w:color="auto"/>
              <w:right w:val="single" w:sz="8" w:space="0" w:color="auto"/>
            </w:tcBorders>
            <w:shd w:val="clear" w:color="000000" w:fill="CCFFFF"/>
          </w:tcPr>
          <w:p w:rsidR="00C40B73" w:rsidRPr="00D55DC6" w:rsidRDefault="00C40B73" w:rsidP="00C676DD">
            <w:pPr>
              <w:widowControl/>
              <w:jc w:val="right"/>
              <w:rPr>
                <w:rFonts w:eastAsia="標楷體"/>
                <w:b/>
                <w:bCs/>
                <w:kern w:val="0"/>
              </w:rPr>
            </w:pPr>
            <w:r w:rsidRPr="00D55DC6">
              <w:rPr>
                <w:rFonts w:eastAsia="標楷體"/>
                <w:b/>
                <w:bCs/>
                <w:kern w:val="0"/>
                <w:szCs w:val="22"/>
              </w:rPr>
              <w:t xml:space="preserve"> 7.68</w:t>
            </w:r>
          </w:p>
        </w:tc>
        <w:tc>
          <w:tcPr>
            <w:tcW w:w="1559" w:type="dxa"/>
            <w:tcBorders>
              <w:top w:val="nil"/>
              <w:left w:val="nil"/>
              <w:bottom w:val="single" w:sz="8" w:space="0" w:color="auto"/>
              <w:right w:val="single" w:sz="8" w:space="0" w:color="auto"/>
            </w:tcBorders>
            <w:vAlign w:val="center"/>
          </w:tcPr>
          <w:p w:rsidR="00C40B73" w:rsidRPr="00D55DC6" w:rsidRDefault="00C40B73" w:rsidP="00C676DD">
            <w:pPr>
              <w:widowControl/>
              <w:rPr>
                <w:rFonts w:eastAsia="標楷體"/>
                <w:kern w:val="0"/>
              </w:rPr>
            </w:pPr>
            <w:r w:rsidRPr="00D55DC6">
              <w:rPr>
                <w:rFonts w:eastAsia="標楷體"/>
                <w:kern w:val="0"/>
                <w:szCs w:val="22"/>
              </w:rPr>
              <w:t xml:space="preserve">　</w:t>
            </w:r>
          </w:p>
        </w:tc>
      </w:tr>
    </w:tbl>
    <w:p w:rsidR="00C40B73" w:rsidRPr="00D55DC6" w:rsidRDefault="00C40B73" w:rsidP="00C40B73">
      <w:pPr>
        <w:pStyle w:val="a"/>
        <w:numPr>
          <w:ilvl w:val="0"/>
          <w:numId w:val="0"/>
        </w:numPr>
        <w:ind w:left="709"/>
        <w:rPr>
          <w:b/>
        </w:rPr>
      </w:pPr>
    </w:p>
    <w:p w:rsidR="008058C7" w:rsidRPr="00D55DC6" w:rsidRDefault="008058C7" w:rsidP="00C40B73">
      <w:pPr>
        <w:pStyle w:val="a"/>
        <w:numPr>
          <w:ilvl w:val="0"/>
          <w:numId w:val="0"/>
        </w:numPr>
        <w:ind w:left="709"/>
        <w:rPr>
          <w:b/>
        </w:rPr>
      </w:pPr>
    </w:p>
    <w:p w:rsidR="00C40B73" w:rsidRPr="00D55DC6" w:rsidRDefault="00C40B73" w:rsidP="00C40B73">
      <w:pPr>
        <w:pStyle w:val="a"/>
        <w:ind w:left="709" w:hanging="709"/>
        <w:rPr>
          <w:b/>
        </w:rPr>
      </w:pPr>
      <w:bookmarkStart w:id="185" w:name="_Toc407181743"/>
      <w:r w:rsidRPr="00D55DC6">
        <w:rPr>
          <w:b/>
        </w:rPr>
        <w:t>預期效果及影響</w:t>
      </w:r>
      <w:bookmarkEnd w:id="185"/>
    </w:p>
    <w:p w:rsidR="00C40B73" w:rsidRPr="00D55DC6" w:rsidRDefault="00C40B73" w:rsidP="004865C1">
      <w:pPr>
        <w:pStyle w:val="af2"/>
        <w:numPr>
          <w:ilvl w:val="0"/>
          <w:numId w:val="219"/>
        </w:numPr>
        <w:snapToGrid w:val="0"/>
        <w:spacing w:line="460" w:lineRule="exact"/>
        <w:ind w:leftChars="0"/>
        <w:jc w:val="both"/>
        <w:rPr>
          <w:rFonts w:eastAsia="標楷體"/>
          <w:b/>
          <w:sz w:val="28"/>
          <w:szCs w:val="28"/>
        </w:rPr>
      </w:pPr>
      <w:r w:rsidRPr="00D55DC6">
        <w:rPr>
          <w:rFonts w:eastAsia="標楷體"/>
          <w:b/>
          <w:sz w:val="28"/>
          <w:szCs w:val="28"/>
        </w:rPr>
        <w:t>塑造具親和力的風景區形象</w:t>
      </w:r>
    </w:p>
    <w:p w:rsidR="00C40B73" w:rsidRPr="00D55DC6" w:rsidRDefault="00C40B73" w:rsidP="00C40B73">
      <w:pPr>
        <w:pStyle w:val="af2"/>
        <w:snapToGrid w:val="0"/>
        <w:spacing w:line="460" w:lineRule="exact"/>
        <w:ind w:leftChars="0" w:left="864"/>
        <w:jc w:val="both"/>
        <w:rPr>
          <w:rFonts w:eastAsia="標楷體"/>
          <w:sz w:val="28"/>
          <w:szCs w:val="28"/>
        </w:rPr>
      </w:pPr>
      <w:r w:rsidRPr="00D55DC6">
        <w:rPr>
          <w:rFonts w:eastAsia="標楷體"/>
          <w:sz w:val="28"/>
          <w:szCs w:val="28"/>
        </w:rPr>
        <w:t>國家風景區係以提供遊憩服務為主要目的，為典型的服務型政府機關，未來更秉持顧客導向理念建構無縫旅遊系統及「愛心」、「關心」、「用心」及「貼心」之旅遊環境，讓遊客滿意，帶回口碑。</w:t>
      </w:r>
    </w:p>
    <w:p w:rsidR="00C40B73" w:rsidRPr="00D55DC6" w:rsidRDefault="00C40B73" w:rsidP="00C40B73">
      <w:pPr>
        <w:pStyle w:val="af2"/>
        <w:snapToGrid w:val="0"/>
        <w:spacing w:line="460" w:lineRule="exact"/>
        <w:ind w:leftChars="295" w:left="991" w:hangingChars="101" w:hanging="283"/>
        <w:jc w:val="both"/>
        <w:rPr>
          <w:rFonts w:eastAsia="標楷體"/>
          <w:sz w:val="28"/>
          <w:szCs w:val="28"/>
        </w:rPr>
      </w:pPr>
      <w:r w:rsidRPr="00D55DC6">
        <w:rPr>
          <w:rFonts w:eastAsia="標楷體"/>
          <w:b/>
          <w:sz w:val="28"/>
          <w:szCs w:val="28"/>
        </w:rPr>
        <w:t xml:space="preserve">1. </w:t>
      </w:r>
      <w:r w:rsidRPr="00D55DC6">
        <w:rPr>
          <w:rFonts w:eastAsia="標楷體"/>
          <w:b/>
          <w:sz w:val="28"/>
          <w:szCs w:val="28"/>
        </w:rPr>
        <w:t>完備旅遊服務系統：</w:t>
      </w:r>
      <w:r w:rsidRPr="00D55DC6">
        <w:rPr>
          <w:rFonts w:eastAsia="標楷體"/>
          <w:sz w:val="28"/>
          <w:szCs w:val="28"/>
        </w:rPr>
        <w:t>整合主管機關及業者，串聯景點、交通、住宿等旅遊服務資訊，提升服務品質。</w:t>
      </w:r>
    </w:p>
    <w:p w:rsidR="00C40B73" w:rsidRPr="00D55DC6" w:rsidRDefault="00C40B73" w:rsidP="00C40B73">
      <w:pPr>
        <w:pStyle w:val="af2"/>
        <w:snapToGrid w:val="0"/>
        <w:spacing w:line="460" w:lineRule="exact"/>
        <w:ind w:leftChars="295" w:left="991" w:hangingChars="101" w:hanging="283"/>
        <w:jc w:val="both"/>
        <w:rPr>
          <w:rFonts w:eastAsia="標楷體"/>
          <w:sz w:val="28"/>
          <w:szCs w:val="28"/>
        </w:rPr>
      </w:pPr>
      <w:r w:rsidRPr="00D55DC6">
        <w:rPr>
          <w:rFonts w:eastAsia="標楷體"/>
          <w:b/>
          <w:sz w:val="28"/>
          <w:szCs w:val="28"/>
        </w:rPr>
        <w:t xml:space="preserve">2. </w:t>
      </w:r>
      <w:r w:rsidRPr="00D55DC6">
        <w:rPr>
          <w:rFonts w:eastAsia="標楷體"/>
          <w:b/>
          <w:sz w:val="28"/>
          <w:szCs w:val="28"/>
        </w:rPr>
        <w:t>服務品質再提升：</w:t>
      </w:r>
      <w:r w:rsidRPr="00D55DC6">
        <w:rPr>
          <w:rFonts w:eastAsia="標楷體"/>
          <w:sz w:val="28"/>
          <w:szCs w:val="28"/>
        </w:rPr>
        <w:t>引進優秀解說志工，提升馬祖地區整體服務品質。</w:t>
      </w:r>
    </w:p>
    <w:p w:rsidR="00C40B73" w:rsidRPr="00D55DC6" w:rsidRDefault="00C40B73" w:rsidP="00C40B73">
      <w:pPr>
        <w:pStyle w:val="af2"/>
        <w:snapToGrid w:val="0"/>
        <w:spacing w:line="460" w:lineRule="exact"/>
        <w:ind w:leftChars="295" w:left="991" w:hangingChars="101" w:hanging="283"/>
        <w:jc w:val="both"/>
        <w:rPr>
          <w:rFonts w:eastAsia="標楷體"/>
          <w:sz w:val="28"/>
          <w:szCs w:val="28"/>
        </w:rPr>
      </w:pPr>
      <w:r w:rsidRPr="00D55DC6">
        <w:rPr>
          <w:rFonts w:eastAsia="標楷體"/>
          <w:b/>
          <w:sz w:val="28"/>
          <w:szCs w:val="28"/>
        </w:rPr>
        <w:t xml:space="preserve">3. </w:t>
      </w:r>
      <w:r w:rsidRPr="00D55DC6">
        <w:rPr>
          <w:rFonts w:eastAsia="標楷體"/>
          <w:b/>
          <w:sz w:val="28"/>
          <w:szCs w:val="28"/>
        </w:rPr>
        <w:t>豐富旅遊內涵：</w:t>
      </w:r>
      <w:r w:rsidRPr="00D55DC6">
        <w:rPr>
          <w:rFonts w:eastAsia="標楷體"/>
          <w:sz w:val="28"/>
          <w:szCs w:val="28"/>
        </w:rPr>
        <w:t>結合地方特色及資源，以「慢活」、</w:t>
      </w:r>
      <w:r w:rsidRPr="00D55DC6">
        <w:rPr>
          <w:rFonts w:eastAsia="標楷體"/>
          <w:sz w:val="28"/>
          <w:szCs w:val="28"/>
        </w:rPr>
        <w:t xml:space="preserve"> </w:t>
      </w:r>
      <w:r w:rsidRPr="00D55DC6">
        <w:rPr>
          <w:rFonts w:eastAsia="標楷體"/>
          <w:sz w:val="28"/>
          <w:szCs w:val="28"/>
        </w:rPr>
        <w:t>「生態」為觀光發展主軸。如：禪修、賞鳥、背包客自由行等不同主題旅遊型態。</w:t>
      </w:r>
    </w:p>
    <w:p w:rsidR="00C40B73" w:rsidRPr="00D55DC6" w:rsidRDefault="00C40B73" w:rsidP="004865C1">
      <w:pPr>
        <w:pStyle w:val="af2"/>
        <w:numPr>
          <w:ilvl w:val="0"/>
          <w:numId w:val="219"/>
        </w:numPr>
        <w:snapToGrid w:val="0"/>
        <w:spacing w:line="460" w:lineRule="exact"/>
        <w:ind w:leftChars="0" w:left="993"/>
        <w:jc w:val="both"/>
        <w:rPr>
          <w:rFonts w:eastAsia="標楷體"/>
          <w:b/>
          <w:sz w:val="28"/>
          <w:szCs w:val="28"/>
        </w:rPr>
      </w:pPr>
      <w:r w:rsidRPr="00D55DC6">
        <w:rPr>
          <w:rFonts w:eastAsia="標楷體"/>
          <w:b/>
          <w:sz w:val="28"/>
          <w:szCs w:val="28"/>
        </w:rPr>
        <w:t>重塑馬祖戰地風貌</w:t>
      </w:r>
    </w:p>
    <w:p w:rsidR="00C40B73" w:rsidRPr="00D55DC6" w:rsidRDefault="00C40B73" w:rsidP="00C40B73">
      <w:pPr>
        <w:pStyle w:val="af2"/>
        <w:snapToGrid w:val="0"/>
        <w:spacing w:line="460" w:lineRule="exact"/>
        <w:ind w:leftChars="0" w:left="864"/>
        <w:jc w:val="both"/>
        <w:rPr>
          <w:rFonts w:eastAsia="標楷體"/>
          <w:sz w:val="28"/>
          <w:szCs w:val="28"/>
        </w:rPr>
      </w:pPr>
      <w:r w:rsidRPr="00D55DC6">
        <w:rPr>
          <w:rFonts w:eastAsia="標楷體"/>
          <w:sz w:val="28"/>
          <w:szCs w:val="28"/>
        </w:rPr>
        <w:t>持續活化閒置軍事設施，透過整體規劃及總量管控，引進民間資源與創意，以促參方式創造遊客獨特之戰地旅遊經驗，進而珍惜得之不易的和平年代。</w:t>
      </w:r>
    </w:p>
    <w:p w:rsidR="00C40B73" w:rsidRPr="00D55DC6" w:rsidRDefault="00C40B73" w:rsidP="004865C1">
      <w:pPr>
        <w:pStyle w:val="af2"/>
        <w:numPr>
          <w:ilvl w:val="0"/>
          <w:numId w:val="219"/>
        </w:numPr>
        <w:snapToGrid w:val="0"/>
        <w:spacing w:line="460" w:lineRule="exact"/>
        <w:ind w:leftChars="0" w:left="993"/>
        <w:jc w:val="both"/>
        <w:rPr>
          <w:rFonts w:eastAsia="標楷體"/>
          <w:b/>
          <w:sz w:val="28"/>
          <w:szCs w:val="28"/>
        </w:rPr>
      </w:pPr>
      <w:r w:rsidRPr="00D55DC6">
        <w:rPr>
          <w:rFonts w:eastAsia="標楷體"/>
          <w:b/>
          <w:sz w:val="28"/>
          <w:szCs w:val="28"/>
        </w:rPr>
        <w:t>推動特色建築補助案以傳承閩東文化</w:t>
      </w:r>
    </w:p>
    <w:p w:rsidR="00C40B73" w:rsidRPr="00D55DC6" w:rsidRDefault="00C40B73" w:rsidP="00C40B73">
      <w:pPr>
        <w:pStyle w:val="af2"/>
        <w:snapToGrid w:val="0"/>
        <w:spacing w:line="460" w:lineRule="exact"/>
        <w:ind w:leftChars="0" w:left="864"/>
        <w:jc w:val="both"/>
        <w:rPr>
          <w:rFonts w:eastAsia="標楷體"/>
          <w:sz w:val="28"/>
          <w:szCs w:val="28"/>
        </w:rPr>
      </w:pPr>
      <w:r w:rsidRPr="00D55DC6">
        <w:rPr>
          <w:rFonts w:eastAsia="標楷體"/>
          <w:sz w:val="28"/>
          <w:szCs w:val="28"/>
        </w:rPr>
        <w:t>為使馬祖獨特之自然景觀與文化風貌得以保存，藉持續推動「馬祖地區特色建築風貌改善補助案」，期能塑造馬祖地區傳統閩東建築聚落意象，發展傳統文化特色旅遊。</w:t>
      </w:r>
    </w:p>
    <w:p w:rsidR="00C40B73" w:rsidRPr="00D55DC6" w:rsidRDefault="00C40B73" w:rsidP="004865C1">
      <w:pPr>
        <w:pStyle w:val="af2"/>
        <w:numPr>
          <w:ilvl w:val="0"/>
          <w:numId w:val="219"/>
        </w:numPr>
        <w:snapToGrid w:val="0"/>
        <w:spacing w:line="460" w:lineRule="exact"/>
        <w:ind w:leftChars="0" w:left="993"/>
        <w:jc w:val="both"/>
        <w:rPr>
          <w:rFonts w:eastAsia="標楷體"/>
          <w:b/>
          <w:sz w:val="28"/>
          <w:szCs w:val="28"/>
        </w:rPr>
      </w:pPr>
      <w:r w:rsidRPr="00D55DC6">
        <w:rPr>
          <w:rFonts w:eastAsia="標楷體"/>
          <w:b/>
          <w:sz w:val="28"/>
          <w:szCs w:val="28"/>
        </w:rPr>
        <w:t>推動生態旅遊促進觀光永續發展</w:t>
      </w:r>
    </w:p>
    <w:p w:rsidR="00C40B73" w:rsidRPr="00D55DC6" w:rsidRDefault="00C40B73" w:rsidP="00C40B73">
      <w:pPr>
        <w:pStyle w:val="af2"/>
        <w:snapToGrid w:val="0"/>
        <w:spacing w:line="460" w:lineRule="exact"/>
        <w:ind w:leftChars="0" w:left="864"/>
        <w:jc w:val="both"/>
        <w:rPr>
          <w:rFonts w:eastAsia="標楷體"/>
          <w:sz w:val="28"/>
          <w:szCs w:val="28"/>
        </w:rPr>
      </w:pPr>
      <w:r w:rsidRPr="00D55DC6">
        <w:rPr>
          <w:rFonts w:eastAsia="標楷體"/>
          <w:sz w:val="28"/>
          <w:szCs w:val="28"/>
        </w:rPr>
        <w:t>本區另有豐富之鳥類、生物、地質等生態資源，藉生態旅遊路線及解說系統之建置、場域設施認證並耕耘本區環境教育，使地區居民及遊客生發環境公民意識，共同保護生態資源並帶進高端旅遊。</w:t>
      </w:r>
    </w:p>
    <w:p w:rsidR="00C40B73" w:rsidRPr="00D55DC6" w:rsidRDefault="00C40B73" w:rsidP="004865C1">
      <w:pPr>
        <w:pStyle w:val="af2"/>
        <w:numPr>
          <w:ilvl w:val="0"/>
          <w:numId w:val="219"/>
        </w:numPr>
        <w:snapToGrid w:val="0"/>
        <w:spacing w:line="460" w:lineRule="exact"/>
        <w:ind w:leftChars="0" w:left="993"/>
        <w:jc w:val="both"/>
        <w:rPr>
          <w:rFonts w:eastAsia="標楷體"/>
          <w:b/>
          <w:sz w:val="28"/>
          <w:szCs w:val="28"/>
        </w:rPr>
      </w:pPr>
      <w:r w:rsidRPr="00D55DC6">
        <w:rPr>
          <w:rFonts w:eastAsia="標楷體"/>
          <w:b/>
          <w:sz w:val="28"/>
          <w:szCs w:val="28"/>
        </w:rPr>
        <w:lastRenderedPageBreak/>
        <w:t>建構媽祖宗教文化園區形塑媽祖精神</w:t>
      </w:r>
    </w:p>
    <w:p w:rsidR="00C40B73" w:rsidRPr="00D55DC6" w:rsidRDefault="00C40B73" w:rsidP="00C40B73">
      <w:pPr>
        <w:pStyle w:val="af2"/>
        <w:snapToGrid w:val="0"/>
        <w:spacing w:line="460" w:lineRule="exact"/>
        <w:ind w:leftChars="0" w:left="864"/>
        <w:jc w:val="both"/>
        <w:rPr>
          <w:rFonts w:eastAsia="標楷體"/>
          <w:sz w:val="28"/>
          <w:szCs w:val="28"/>
        </w:rPr>
      </w:pPr>
      <w:r w:rsidRPr="00D55DC6">
        <w:rPr>
          <w:rFonts w:eastAsia="標楷體"/>
          <w:sz w:val="28"/>
          <w:szCs w:val="28"/>
        </w:rPr>
        <w:t>本園區已於</w:t>
      </w:r>
      <w:r w:rsidRPr="00D55DC6">
        <w:rPr>
          <w:rFonts w:eastAsia="標楷體"/>
          <w:sz w:val="28"/>
          <w:szCs w:val="28"/>
        </w:rPr>
        <w:t>102</w:t>
      </w:r>
      <w:r w:rsidRPr="00D55DC6">
        <w:rPr>
          <w:rFonts w:eastAsia="標楷體"/>
          <w:sz w:val="28"/>
          <w:szCs w:val="28"/>
        </w:rPr>
        <w:t>年完成眺望台之工程，管理處計畫針對現有服務設施、停車空間等不足部分，於</w:t>
      </w:r>
      <w:r w:rsidRPr="00D55DC6">
        <w:rPr>
          <w:rFonts w:eastAsia="標楷體"/>
          <w:sz w:val="28"/>
          <w:szCs w:val="28"/>
        </w:rPr>
        <w:t>105~108</w:t>
      </w:r>
      <w:r w:rsidRPr="00D55DC6">
        <w:rPr>
          <w:rFonts w:eastAsia="標楷體"/>
          <w:sz w:val="28"/>
          <w:szCs w:val="28"/>
        </w:rPr>
        <w:t>年辦理相關工程，並朝跨域加值方式增加促參誘因。完成後將整備全區動線，串聯天后宮、媽祖巨神像、參拜步道、馬港商圈等區域，建構「媽祖宗教文化園區」宣揚媽祖精神，期能吸引更多媽祖信眾來馬祖景仰，形塑「媽祖在馬祖」之獨特風格並維繫觀光發展。</w:t>
      </w:r>
    </w:p>
    <w:p w:rsidR="00C40B73" w:rsidRPr="00D55DC6" w:rsidRDefault="00C40B73" w:rsidP="004865C1">
      <w:pPr>
        <w:pStyle w:val="af2"/>
        <w:numPr>
          <w:ilvl w:val="0"/>
          <w:numId w:val="219"/>
        </w:numPr>
        <w:snapToGrid w:val="0"/>
        <w:spacing w:line="460" w:lineRule="exact"/>
        <w:ind w:leftChars="0" w:left="993"/>
        <w:jc w:val="both"/>
        <w:rPr>
          <w:rFonts w:eastAsia="標楷體"/>
          <w:b/>
          <w:sz w:val="28"/>
          <w:szCs w:val="28"/>
        </w:rPr>
      </w:pPr>
      <w:r w:rsidRPr="00D55DC6">
        <w:rPr>
          <w:rFonts w:eastAsia="標楷體"/>
          <w:b/>
          <w:sz w:val="28"/>
          <w:szCs w:val="28"/>
        </w:rPr>
        <w:t>增進國民旅遊人次並吸引國際觀光客到訪</w:t>
      </w:r>
    </w:p>
    <w:p w:rsidR="00C40B73" w:rsidRPr="00D55DC6" w:rsidRDefault="00C40B73" w:rsidP="00C40B73">
      <w:pPr>
        <w:pStyle w:val="af2"/>
        <w:snapToGrid w:val="0"/>
        <w:spacing w:line="460" w:lineRule="exact"/>
        <w:ind w:leftChars="0" w:left="864"/>
        <w:jc w:val="both"/>
        <w:rPr>
          <w:rFonts w:eastAsia="標楷體"/>
          <w:sz w:val="28"/>
          <w:szCs w:val="28"/>
        </w:rPr>
      </w:pPr>
      <w:r w:rsidRPr="00D55DC6">
        <w:rPr>
          <w:rFonts w:eastAsia="標楷體"/>
          <w:sz w:val="28"/>
          <w:szCs w:val="28"/>
        </w:rPr>
        <w:t>本計畫帶動觀光產值</w:t>
      </w:r>
      <w:r w:rsidRPr="00D55DC6">
        <w:rPr>
          <w:rFonts w:eastAsia="標楷體"/>
          <w:sz w:val="28"/>
          <w:szCs w:val="28"/>
        </w:rPr>
        <w:t>4</w:t>
      </w:r>
      <w:r w:rsidRPr="00D55DC6">
        <w:rPr>
          <w:rFonts w:eastAsia="標楷體"/>
          <w:sz w:val="28"/>
          <w:szCs w:val="28"/>
        </w:rPr>
        <w:t>年合計達</w:t>
      </w:r>
      <w:r w:rsidRPr="00D55DC6">
        <w:rPr>
          <w:rFonts w:eastAsia="標楷體"/>
          <w:sz w:val="28"/>
          <w:szCs w:val="28"/>
        </w:rPr>
        <w:t>46.69</w:t>
      </w:r>
      <w:r w:rsidRPr="00D55DC6">
        <w:rPr>
          <w:rFonts w:eastAsia="標楷體"/>
          <w:sz w:val="28"/>
          <w:szCs w:val="28"/>
        </w:rPr>
        <w:t>億元，以各年度之遊客人數</w:t>
      </w:r>
      <w:r w:rsidRPr="00D55DC6">
        <w:rPr>
          <w:rFonts w:eastAsia="標楷體"/>
          <w:sz w:val="28"/>
          <w:szCs w:val="28"/>
        </w:rPr>
        <w:t xml:space="preserve"> ×</w:t>
      </w:r>
      <w:r w:rsidRPr="00D55DC6">
        <w:rPr>
          <w:rFonts w:eastAsia="標楷體"/>
          <w:sz w:val="28"/>
          <w:szCs w:val="28"/>
        </w:rPr>
        <w:t>每人每日平均消費</w:t>
      </w:r>
      <w:r w:rsidRPr="00D55DC6">
        <w:rPr>
          <w:rFonts w:eastAsia="標楷體"/>
          <w:sz w:val="28"/>
          <w:szCs w:val="28"/>
        </w:rPr>
        <w:t xml:space="preserve">× </w:t>
      </w:r>
      <w:r w:rsidRPr="00D55DC6">
        <w:rPr>
          <w:rFonts w:eastAsia="標楷體"/>
          <w:sz w:val="28"/>
          <w:szCs w:val="28"/>
        </w:rPr>
        <w:t>停留天數估算</w:t>
      </w:r>
      <w:r w:rsidRPr="00D55DC6">
        <w:rPr>
          <w:rFonts w:eastAsia="標楷體"/>
          <w:sz w:val="28"/>
          <w:szCs w:val="28"/>
        </w:rPr>
        <w:t>(</w:t>
      </w:r>
      <w:r w:rsidRPr="00D55DC6">
        <w:rPr>
          <w:rFonts w:eastAsia="標楷體"/>
          <w:sz w:val="28"/>
          <w:szCs w:val="28"/>
        </w:rPr>
        <w:t>每人每日平均消費以</w:t>
      </w:r>
      <w:r w:rsidRPr="00D55DC6">
        <w:rPr>
          <w:rFonts w:eastAsia="標楷體"/>
          <w:sz w:val="28"/>
          <w:szCs w:val="28"/>
        </w:rPr>
        <w:t>102</w:t>
      </w:r>
      <w:r w:rsidRPr="00D55DC6">
        <w:rPr>
          <w:rFonts w:eastAsia="標楷體"/>
          <w:sz w:val="28"/>
          <w:szCs w:val="28"/>
        </w:rPr>
        <w:t>年</w:t>
      </w:r>
      <w:r w:rsidRPr="00D55DC6">
        <w:rPr>
          <w:rFonts w:eastAsia="標楷體"/>
          <w:sz w:val="28"/>
          <w:szCs w:val="28"/>
        </w:rPr>
        <w:t>NT$2,886</w:t>
      </w:r>
      <w:r w:rsidRPr="00D55DC6">
        <w:rPr>
          <w:rFonts w:eastAsia="標楷體"/>
          <w:sz w:val="28"/>
          <w:szCs w:val="28"/>
        </w:rPr>
        <w:t>為基準值，逐步增加至</w:t>
      </w:r>
      <w:r w:rsidRPr="00D55DC6">
        <w:rPr>
          <w:rFonts w:eastAsia="標楷體"/>
          <w:sz w:val="28"/>
          <w:szCs w:val="28"/>
        </w:rPr>
        <w:t>108</w:t>
      </w:r>
      <w:r w:rsidRPr="00D55DC6">
        <w:rPr>
          <w:rFonts w:eastAsia="標楷體"/>
          <w:sz w:val="28"/>
          <w:szCs w:val="28"/>
        </w:rPr>
        <w:t>年</w:t>
      </w:r>
      <w:r w:rsidRPr="00D55DC6">
        <w:rPr>
          <w:rFonts w:eastAsia="標楷體"/>
          <w:sz w:val="28"/>
          <w:szCs w:val="28"/>
        </w:rPr>
        <w:t>NT$3,120</w:t>
      </w:r>
      <w:r w:rsidRPr="00D55DC6">
        <w:rPr>
          <w:rFonts w:eastAsia="標楷體"/>
          <w:sz w:val="28"/>
          <w:szCs w:val="28"/>
        </w:rPr>
        <w:t>；停留天數以</w:t>
      </w:r>
      <w:r w:rsidRPr="00D55DC6">
        <w:rPr>
          <w:rFonts w:eastAsia="標楷體"/>
          <w:sz w:val="28"/>
          <w:szCs w:val="28"/>
        </w:rPr>
        <w:t>102</w:t>
      </w:r>
      <w:r w:rsidRPr="00D55DC6">
        <w:rPr>
          <w:rFonts w:eastAsia="標楷體"/>
          <w:sz w:val="28"/>
          <w:szCs w:val="28"/>
        </w:rPr>
        <w:t>年</w:t>
      </w:r>
      <w:r w:rsidRPr="00D55DC6">
        <w:rPr>
          <w:rFonts w:eastAsia="標楷體"/>
          <w:sz w:val="28"/>
          <w:szCs w:val="28"/>
        </w:rPr>
        <w:t>3.33</w:t>
      </w:r>
      <w:r w:rsidRPr="00D55DC6">
        <w:rPr>
          <w:rFonts w:eastAsia="標楷體"/>
          <w:sz w:val="28"/>
          <w:szCs w:val="28"/>
        </w:rPr>
        <w:t>天為基準，逐步增加至</w:t>
      </w:r>
      <w:r w:rsidRPr="00D55DC6">
        <w:rPr>
          <w:rFonts w:eastAsia="標楷體"/>
          <w:sz w:val="28"/>
          <w:szCs w:val="28"/>
        </w:rPr>
        <w:t>108</w:t>
      </w:r>
      <w:r w:rsidRPr="00D55DC6">
        <w:rPr>
          <w:rFonts w:eastAsia="標楷體"/>
          <w:sz w:val="28"/>
          <w:szCs w:val="28"/>
        </w:rPr>
        <w:t>年之</w:t>
      </w:r>
      <w:r w:rsidRPr="00D55DC6">
        <w:rPr>
          <w:rFonts w:eastAsia="標楷體"/>
          <w:sz w:val="28"/>
          <w:szCs w:val="28"/>
        </w:rPr>
        <w:t>3.45</w:t>
      </w:r>
      <w:r w:rsidRPr="00D55DC6">
        <w:rPr>
          <w:rFonts w:eastAsia="標楷體"/>
          <w:sz w:val="28"/>
          <w:szCs w:val="28"/>
        </w:rPr>
        <w:t>天</w:t>
      </w:r>
      <w:r w:rsidRPr="00D55DC6">
        <w:rPr>
          <w:rFonts w:eastAsia="標楷體"/>
          <w:sz w:val="28"/>
          <w:szCs w:val="28"/>
        </w:rPr>
        <w:t>)</w:t>
      </w:r>
      <w:r w:rsidRPr="00D55DC6">
        <w:rPr>
          <w:rFonts w:eastAsia="標楷體"/>
          <w:sz w:val="28"/>
          <w:szCs w:val="28"/>
        </w:rPr>
        <w:t>。</w:t>
      </w:r>
    </w:p>
    <w:p w:rsidR="00C40B73" w:rsidRPr="00D55DC6" w:rsidRDefault="00C40B73" w:rsidP="00C40B73">
      <w:pPr>
        <w:pStyle w:val="af2"/>
        <w:snapToGrid w:val="0"/>
        <w:spacing w:line="460" w:lineRule="exact"/>
        <w:ind w:leftChars="0" w:left="864"/>
        <w:jc w:val="both"/>
        <w:rPr>
          <w:rFonts w:eastAsia="標楷體"/>
          <w:b/>
          <w:sz w:val="28"/>
          <w:szCs w:val="28"/>
        </w:rPr>
      </w:pPr>
    </w:p>
    <w:p w:rsidR="00C40B73" w:rsidRPr="00D55DC6" w:rsidRDefault="00C40B73" w:rsidP="00C40B73">
      <w:pPr>
        <w:snapToGrid w:val="0"/>
        <w:spacing w:line="240" w:lineRule="atLeast"/>
        <w:ind w:left="720"/>
        <w:jc w:val="both"/>
        <w:rPr>
          <w:rFonts w:eastAsia="標楷體"/>
          <w:sz w:val="28"/>
          <w:szCs w:val="28"/>
        </w:rPr>
      </w:pPr>
      <w:r w:rsidRPr="00D55DC6">
        <w:rPr>
          <w:rFonts w:eastAsia="標楷體"/>
          <w:b/>
          <w:bCs/>
          <w:kern w:val="0"/>
        </w:rPr>
        <w:t xml:space="preserve">                       </w:t>
      </w:r>
      <w:r w:rsidRPr="00D55DC6">
        <w:rPr>
          <w:rFonts w:eastAsia="標楷體"/>
          <w:b/>
          <w:bCs/>
          <w:kern w:val="0"/>
        </w:rPr>
        <w:t>觀光建設經濟效益推估表</w:t>
      </w:r>
    </w:p>
    <w:tbl>
      <w:tblPr>
        <w:tblW w:w="8280" w:type="dxa"/>
        <w:tblInd w:w="388" w:type="dxa"/>
        <w:tblLayout w:type="fixed"/>
        <w:tblCellMar>
          <w:left w:w="28" w:type="dxa"/>
          <w:right w:w="28" w:type="dxa"/>
        </w:tblCellMar>
        <w:tblLook w:val="0000" w:firstRow="0" w:lastRow="0" w:firstColumn="0" w:lastColumn="0" w:noHBand="0" w:noVBand="0"/>
      </w:tblPr>
      <w:tblGrid>
        <w:gridCol w:w="2160"/>
        <w:gridCol w:w="1224"/>
        <w:gridCol w:w="1224"/>
        <w:gridCol w:w="1224"/>
        <w:gridCol w:w="1224"/>
        <w:gridCol w:w="1224"/>
      </w:tblGrid>
      <w:tr w:rsidR="001D0350" w:rsidRPr="00D55DC6" w:rsidTr="00C676DD">
        <w:trPr>
          <w:trHeight w:val="330"/>
          <w:tblHeader/>
        </w:trPr>
        <w:tc>
          <w:tcPr>
            <w:tcW w:w="2160" w:type="dxa"/>
            <w:tcBorders>
              <w:top w:val="single" w:sz="4" w:space="0" w:color="auto"/>
              <w:left w:val="nil"/>
              <w:bottom w:val="single" w:sz="4" w:space="0" w:color="auto"/>
              <w:right w:val="single" w:sz="4" w:space="0" w:color="auto"/>
            </w:tcBorders>
          </w:tcPr>
          <w:p w:rsidR="00C40B73" w:rsidRPr="00D55DC6" w:rsidRDefault="00C40B73" w:rsidP="00C676DD">
            <w:pPr>
              <w:widowControl/>
              <w:ind w:left="331" w:hangingChars="138" w:hanging="331"/>
              <w:rPr>
                <w:rFonts w:eastAsia="標楷體"/>
                <w:kern w:val="0"/>
              </w:rPr>
            </w:pPr>
          </w:p>
        </w:tc>
        <w:tc>
          <w:tcPr>
            <w:tcW w:w="1224" w:type="dxa"/>
            <w:tcBorders>
              <w:top w:val="single" w:sz="4" w:space="0" w:color="auto"/>
              <w:left w:val="single" w:sz="4" w:space="0" w:color="auto"/>
              <w:bottom w:val="single" w:sz="4" w:space="0" w:color="auto"/>
              <w:right w:val="nil"/>
            </w:tcBorders>
            <w:noWrap/>
            <w:vAlign w:val="center"/>
          </w:tcPr>
          <w:p w:rsidR="00C40B73" w:rsidRPr="00D55DC6" w:rsidRDefault="00C40B73" w:rsidP="00C676DD">
            <w:pPr>
              <w:widowControl/>
              <w:jc w:val="center"/>
              <w:rPr>
                <w:rFonts w:eastAsia="標楷體"/>
                <w:b/>
                <w:bCs/>
                <w:kern w:val="0"/>
              </w:rPr>
            </w:pPr>
            <w:r w:rsidRPr="00D55DC6">
              <w:rPr>
                <w:rFonts w:eastAsia="標楷體"/>
                <w:b/>
                <w:bCs/>
                <w:kern w:val="0"/>
              </w:rPr>
              <w:t>105</w:t>
            </w:r>
            <w:r w:rsidRPr="00D55DC6">
              <w:rPr>
                <w:rFonts w:eastAsia="標楷體"/>
                <w:b/>
                <w:bCs/>
                <w:kern w:val="0"/>
              </w:rPr>
              <w:t>年</w:t>
            </w:r>
          </w:p>
        </w:tc>
        <w:tc>
          <w:tcPr>
            <w:tcW w:w="1224" w:type="dxa"/>
            <w:tcBorders>
              <w:top w:val="single" w:sz="4" w:space="0" w:color="auto"/>
              <w:left w:val="nil"/>
              <w:bottom w:val="single" w:sz="4" w:space="0" w:color="auto"/>
              <w:right w:val="nil"/>
            </w:tcBorders>
            <w:noWrap/>
            <w:vAlign w:val="center"/>
          </w:tcPr>
          <w:p w:rsidR="00C40B73" w:rsidRPr="00D55DC6" w:rsidRDefault="00C40B73" w:rsidP="00C676DD">
            <w:pPr>
              <w:widowControl/>
              <w:jc w:val="center"/>
              <w:rPr>
                <w:rFonts w:eastAsia="標楷體"/>
                <w:b/>
                <w:bCs/>
                <w:kern w:val="0"/>
              </w:rPr>
            </w:pPr>
            <w:r w:rsidRPr="00D55DC6">
              <w:rPr>
                <w:rFonts w:eastAsia="標楷體"/>
                <w:b/>
                <w:bCs/>
                <w:kern w:val="0"/>
              </w:rPr>
              <w:t>106</w:t>
            </w:r>
            <w:r w:rsidRPr="00D55DC6">
              <w:rPr>
                <w:rFonts w:eastAsia="標楷體"/>
                <w:b/>
                <w:bCs/>
                <w:kern w:val="0"/>
              </w:rPr>
              <w:t>年</w:t>
            </w:r>
          </w:p>
        </w:tc>
        <w:tc>
          <w:tcPr>
            <w:tcW w:w="1224" w:type="dxa"/>
            <w:tcBorders>
              <w:top w:val="single" w:sz="4" w:space="0" w:color="auto"/>
              <w:left w:val="nil"/>
              <w:bottom w:val="single" w:sz="4" w:space="0" w:color="auto"/>
              <w:right w:val="nil"/>
            </w:tcBorders>
            <w:noWrap/>
            <w:vAlign w:val="center"/>
          </w:tcPr>
          <w:p w:rsidR="00C40B73" w:rsidRPr="00D55DC6" w:rsidRDefault="00C40B73" w:rsidP="00C676DD">
            <w:pPr>
              <w:widowControl/>
              <w:jc w:val="center"/>
              <w:rPr>
                <w:rFonts w:eastAsia="標楷體"/>
                <w:b/>
                <w:bCs/>
                <w:kern w:val="0"/>
              </w:rPr>
            </w:pPr>
            <w:r w:rsidRPr="00D55DC6">
              <w:rPr>
                <w:rFonts w:eastAsia="標楷體"/>
                <w:b/>
                <w:bCs/>
                <w:kern w:val="0"/>
              </w:rPr>
              <w:t>107</w:t>
            </w:r>
            <w:r w:rsidRPr="00D55DC6">
              <w:rPr>
                <w:rFonts w:eastAsia="標楷體"/>
                <w:b/>
                <w:bCs/>
                <w:kern w:val="0"/>
              </w:rPr>
              <w:t>年</w:t>
            </w:r>
          </w:p>
        </w:tc>
        <w:tc>
          <w:tcPr>
            <w:tcW w:w="1224" w:type="dxa"/>
            <w:tcBorders>
              <w:top w:val="single" w:sz="4" w:space="0" w:color="auto"/>
              <w:left w:val="nil"/>
              <w:bottom w:val="single" w:sz="4" w:space="0" w:color="auto"/>
              <w:right w:val="single" w:sz="4" w:space="0" w:color="auto"/>
            </w:tcBorders>
            <w:noWrap/>
            <w:vAlign w:val="center"/>
          </w:tcPr>
          <w:p w:rsidR="00C40B73" w:rsidRPr="00D55DC6" w:rsidRDefault="00C40B73" w:rsidP="00C676DD">
            <w:pPr>
              <w:widowControl/>
              <w:jc w:val="center"/>
              <w:rPr>
                <w:rFonts w:eastAsia="標楷體"/>
                <w:b/>
                <w:bCs/>
                <w:kern w:val="0"/>
              </w:rPr>
            </w:pPr>
            <w:r w:rsidRPr="00D55DC6">
              <w:rPr>
                <w:rFonts w:eastAsia="標楷體"/>
                <w:b/>
                <w:bCs/>
                <w:kern w:val="0"/>
              </w:rPr>
              <w:t>108</w:t>
            </w:r>
            <w:r w:rsidRPr="00D55DC6">
              <w:rPr>
                <w:rFonts w:eastAsia="標楷體"/>
                <w:b/>
                <w:bCs/>
                <w:kern w:val="0"/>
              </w:rPr>
              <w:t>年</w:t>
            </w:r>
          </w:p>
        </w:tc>
        <w:tc>
          <w:tcPr>
            <w:tcW w:w="1224" w:type="dxa"/>
            <w:tcBorders>
              <w:top w:val="single" w:sz="4" w:space="0" w:color="auto"/>
              <w:left w:val="single" w:sz="4" w:space="0" w:color="auto"/>
              <w:bottom w:val="single" w:sz="4" w:space="0" w:color="auto"/>
            </w:tcBorders>
            <w:noWrap/>
            <w:vAlign w:val="center"/>
          </w:tcPr>
          <w:p w:rsidR="00C40B73" w:rsidRPr="00D55DC6" w:rsidRDefault="00C40B73" w:rsidP="00C676DD">
            <w:pPr>
              <w:widowControl/>
              <w:jc w:val="center"/>
              <w:rPr>
                <w:rFonts w:eastAsia="標楷體"/>
                <w:b/>
                <w:bCs/>
                <w:kern w:val="0"/>
              </w:rPr>
            </w:pPr>
            <w:r w:rsidRPr="00D55DC6">
              <w:rPr>
                <w:rFonts w:eastAsia="標楷體"/>
                <w:b/>
                <w:bCs/>
                <w:kern w:val="0"/>
              </w:rPr>
              <w:t>合計</w:t>
            </w:r>
          </w:p>
        </w:tc>
      </w:tr>
      <w:tr w:rsidR="001D0350" w:rsidRPr="00D55DC6" w:rsidTr="00C676DD">
        <w:trPr>
          <w:trHeight w:val="330"/>
        </w:trPr>
        <w:tc>
          <w:tcPr>
            <w:tcW w:w="2160" w:type="dxa"/>
            <w:tcBorders>
              <w:top w:val="single" w:sz="4" w:space="0" w:color="auto"/>
              <w:left w:val="nil"/>
              <w:bottom w:val="single" w:sz="4" w:space="0" w:color="auto"/>
              <w:right w:val="single" w:sz="4" w:space="0" w:color="auto"/>
            </w:tcBorders>
          </w:tcPr>
          <w:p w:rsidR="00C40B73" w:rsidRPr="00D55DC6" w:rsidRDefault="00C40B73" w:rsidP="00C676DD">
            <w:pPr>
              <w:widowControl/>
              <w:spacing w:line="240" w:lineRule="atLeast"/>
              <w:ind w:leftChars="50" w:left="329" w:hangingChars="87" w:hanging="209"/>
              <w:rPr>
                <w:rFonts w:eastAsia="標楷體"/>
                <w:kern w:val="0"/>
              </w:rPr>
            </w:pPr>
            <w:r w:rsidRPr="00D55DC6">
              <w:rPr>
                <w:rFonts w:eastAsia="標楷體"/>
                <w:kern w:val="0"/>
              </w:rPr>
              <w:t>經濟效益（億元）</w:t>
            </w:r>
          </w:p>
        </w:tc>
        <w:tc>
          <w:tcPr>
            <w:tcW w:w="1224" w:type="dxa"/>
            <w:tcBorders>
              <w:top w:val="single" w:sz="4" w:space="0" w:color="auto"/>
              <w:left w:val="single" w:sz="4" w:space="0" w:color="auto"/>
              <w:bottom w:val="single" w:sz="4" w:space="0" w:color="auto"/>
              <w:right w:val="nil"/>
            </w:tcBorders>
            <w:noWrap/>
            <w:vAlign w:val="center"/>
          </w:tcPr>
          <w:p w:rsidR="00C40B73" w:rsidRPr="00D55DC6" w:rsidRDefault="00C40B73" w:rsidP="00C676DD">
            <w:pPr>
              <w:jc w:val="right"/>
              <w:rPr>
                <w:rFonts w:eastAsia="標楷體"/>
                <w:sz w:val="22"/>
              </w:rPr>
            </w:pPr>
            <w:r w:rsidRPr="00D55DC6">
              <w:rPr>
                <w:rFonts w:eastAsia="標楷體"/>
                <w:sz w:val="22"/>
                <w:szCs w:val="22"/>
              </w:rPr>
              <w:t>11.19</w:t>
            </w:r>
          </w:p>
        </w:tc>
        <w:tc>
          <w:tcPr>
            <w:tcW w:w="1224" w:type="dxa"/>
            <w:tcBorders>
              <w:top w:val="single" w:sz="4" w:space="0" w:color="auto"/>
              <w:left w:val="nil"/>
              <w:bottom w:val="single" w:sz="4" w:space="0" w:color="auto"/>
              <w:right w:val="nil"/>
            </w:tcBorders>
            <w:noWrap/>
            <w:vAlign w:val="center"/>
          </w:tcPr>
          <w:p w:rsidR="00C40B73" w:rsidRPr="00D55DC6" w:rsidRDefault="00C40B73" w:rsidP="00C676DD">
            <w:pPr>
              <w:jc w:val="right"/>
              <w:rPr>
                <w:rFonts w:eastAsia="標楷體"/>
                <w:sz w:val="22"/>
              </w:rPr>
            </w:pPr>
            <w:r w:rsidRPr="00D55DC6">
              <w:rPr>
                <w:rFonts w:eastAsia="標楷體"/>
                <w:sz w:val="22"/>
                <w:szCs w:val="22"/>
              </w:rPr>
              <w:t>11.51</w:t>
            </w:r>
          </w:p>
        </w:tc>
        <w:tc>
          <w:tcPr>
            <w:tcW w:w="1224" w:type="dxa"/>
            <w:tcBorders>
              <w:top w:val="single" w:sz="4" w:space="0" w:color="auto"/>
              <w:left w:val="nil"/>
              <w:bottom w:val="single" w:sz="4" w:space="0" w:color="auto"/>
              <w:right w:val="nil"/>
            </w:tcBorders>
            <w:noWrap/>
            <w:vAlign w:val="center"/>
          </w:tcPr>
          <w:p w:rsidR="00C40B73" w:rsidRPr="00D55DC6" w:rsidRDefault="00C40B73" w:rsidP="00C676DD">
            <w:pPr>
              <w:jc w:val="right"/>
              <w:rPr>
                <w:rFonts w:eastAsia="標楷體"/>
                <w:sz w:val="22"/>
              </w:rPr>
            </w:pPr>
            <w:r w:rsidRPr="00D55DC6">
              <w:rPr>
                <w:rFonts w:eastAsia="標楷體"/>
                <w:sz w:val="22"/>
                <w:szCs w:val="22"/>
              </w:rPr>
              <w:t>11.83</w:t>
            </w:r>
          </w:p>
        </w:tc>
        <w:tc>
          <w:tcPr>
            <w:tcW w:w="1224" w:type="dxa"/>
            <w:tcBorders>
              <w:top w:val="single" w:sz="4" w:space="0" w:color="auto"/>
              <w:left w:val="nil"/>
              <w:bottom w:val="single" w:sz="4" w:space="0" w:color="auto"/>
              <w:right w:val="single" w:sz="4" w:space="0" w:color="auto"/>
            </w:tcBorders>
            <w:noWrap/>
            <w:vAlign w:val="center"/>
          </w:tcPr>
          <w:p w:rsidR="00C40B73" w:rsidRPr="00D55DC6" w:rsidRDefault="00C40B73" w:rsidP="00C676DD">
            <w:pPr>
              <w:jc w:val="right"/>
              <w:rPr>
                <w:rFonts w:eastAsia="標楷體"/>
                <w:sz w:val="22"/>
              </w:rPr>
            </w:pPr>
            <w:r w:rsidRPr="00D55DC6">
              <w:rPr>
                <w:rFonts w:eastAsia="標楷體"/>
                <w:sz w:val="22"/>
                <w:szCs w:val="22"/>
              </w:rPr>
              <w:t>12.16</w:t>
            </w:r>
          </w:p>
        </w:tc>
        <w:tc>
          <w:tcPr>
            <w:tcW w:w="1224" w:type="dxa"/>
            <w:tcBorders>
              <w:top w:val="single" w:sz="4" w:space="0" w:color="auto"/>
              <w:left w:val="single" w:sz="4" w:space="0" w:color="auto"/>
              <w:bottom w:val="single" w:sz="4" w:space="0" w:color="auto"/>
            </w:tcBorders>
            <w:noWrap/>
            <w:vAlign w:val="center"/>
          </w:tcPr>
          <w:p w:rsidR="00C40B73" w:rsidRPr="00D55DC6" w:rsidRDefault="00C40B73" w:rsidP="00C676DD">
            <w:pPr>
              <w:jc w:val="right"/>
              <w:rPr>
                <w:sz w:val="22"/>
              </w:rPr>
            </w:pPr>
            <w:r w:rsidRPr="00D55DC6">
              <w:rPr>
                <w:sz w:val="22"/>
                <w:szCs w:val="22"/>
              </w:rPr>
              <w:t>46.69</w:t>
            </w:r>
          </w:p>
        </w:tc>
      </w:tr>
      <w:tr w:rsidR="001D0350" w:rsidRPr="00D55DC6" w:rsidTr="00C676DD">
        <w:trPr>
          <w:trHeight w:val="330"/>
        </w:trPr>
        <w:tc>
          <w:tcPr>
            <w:tcW w:w="2160" w:type="dxa"/>
            <w:tcBorders>
              <w:top w:val="single" w:sz="4" w:space="0" w:color="auto"/>
              <w:left w:val="nil"/>
              <w:bottom w:val="single" w:sz="4" w:space="0" w:color="auto"/>
              <w:right w:val="single" w:sz="4" w:space="0" w:color="auto"/>
            </w:tcBorders>
          </w:tcPr>
          <w:p w:rsidR="00C40B73" w:rsidRPr="00D55DC6" w:rsidRDefault="00C40B73" w:rsidP="00C676DD">
            <w:pPr>
              <w:widowControl/>
              <w:spacing w:line="240" w:lineRule="atLeast"/>
              <w:ind w:leftChars="50" w:left="329" w:hangingChars="87" w:hanging="209"/>
              <w:rPr>
                <w:rFonts w:eastAsia="標楷體"/>
                <w:kern w:val="0"/>
              </w:rPr>
            </w:pPr>
            <w:r w:rsidRPr="00D55DC6">
              <w:rPr>
                <w:rFonts w:eastAsia="標楷體"/>
                <w:kern w:val="0"/>
              </w:rPr>
              <w:t>預算支出（億元）</w:t>
            </w:r>
          </w:p>
        </w:tc>
        <w:tc>
          <w:tcPr>
            <w:tcW w:w="1224" w:type="dxa"/>
            <w:tcBorders>
              <w:top w:val="single" w:sz="4" w:space="0" w:color="auto"/>
              <w:left w:val="single" w:sz="4" w:space="0" w:color="auto"/>
              <w:bottom w:val="single" w:sz="4" w:space="0" w:color="auto"/>
              <w:right w:val="nil"/>
            </w:tcBorders>
            <w:noWrap/>
            <w:vAlign w:val="center"/>
          </w:tcPr>
          <w:p w:rsidR="00C40B73" w:rsidRPr="00D55DC6" w:rsidRDefault="00C40B73" w:rsidP="00C676DD">
            <w:pPr>
              <w:jc w:val="right"/>
              <w:rPr>
                <w:rFonts w:eastAsia="標楷體"/>
                <w:sz w:val="22"/>
              </w:rPr>
            </w:pPr>
            <w:r w:rsidRPr="00D55DC6">
              <w:rPr>
                <w:rFonts w:eastAsia="標楷體"/>
                <w:sz w:val="22"/>
                <w:szCs w:val="22"/>
              </w:rPr>
              <w:t>2.32</w:t>
            </w:r>
          </w:p>
        </w:tc>
        <w:tc>
          <w:tcPr>
            <w:tcW w:w="1224" w:type="dxa"/>
            <w:tcBorders>
              <w:top w:val="single" w:sz="4" w:space="0" w:color="auto"/>
              <w:left w:val="nil"/>
              <w:bottom w:val="single" w:sz="4" w:space="0" w:color="auto"/>
              <w:right w:val="nil"/>
            </w:tcBorders>
            <w:noWrap/>
            <w:vAlign w:val="center"/>
          </w:tcPr>
          <w:p w:rsidR="00C40B73" w:rsidRPr="00D55DC6" w:rsidRDefault="00C40B73" w:rsidP="00C676DD">
            <w:pPr>
              <w:jc w:val="right"/>
              <w:rPr>
                <w:rFonts w:eastAsia="標楷體"/>
                <w:sz w:val="22"/>
                <w:szCs w:val="22"/>
              </w:rPr>
            </w:pPr>
            <w:r w:rsidRPr="00D55DC6">
              <w:rPr>
                <w:rFonts w:eastAsia="標楷體"/>
                <w:sz w:val="22"/>
                <w:szCs w:val="22"/>
              </w:rPr>
              <w:t>1.82</w:t>
            </w:r>
          </w:p>
        </w:tc>
        <w:tc>
          <w:tcPr>
            <w:tcW w:w="1224" w:type="dxa"/>
            <w:tcBorders>
              <w:top w:val="single" w:sz="4" w:space="0" w:color="auto"/>
              <w:left w:val="nil"/>
              <w:bottom w:val="single" w:sz="4" w:space="0" w:color="auto"/>
              <w:right w:val="nil"/>
            </w:tcBorders>
            <w:noWrap/>
            <w:vAlign w:val="center"/>
          </w:tcPr>
          <w:p w:rsidR="00C40B73" w:rsidRPr="00D55DC6" w:rsidRDefault="00C40B73" w:rsidP="00C676DD">
            <w:pPr>
              <w:jc w:val="right"/>
              <w:rPr>
                <w:rFonts w:eastAsia="標楷體"/>
                <w:sz w:val="22"/>
              </w:rPr>
            </w:pPr>
            <w:r w:rsidRPr="00D55DC6">
              <w:rPr>
                <w:rFonts w:eastAsia="標楷體"/>
                <w:sz w:val="22"/>
                <w:szCs w:val="22"/>
              </w:rPr>
              <w:t>1.92</w:t>
            </w:r>
          </w:p>
        </w:tc>
        <w:tc>
          <w:tcPr>
            <w:tcW w:w="1224" w:type="dxa"/>
            <w:tcBorders>
              <w:top w:val="single" w:sz="4" w:space="0" w:color="auto"/>
              <w:left w:val="nil"/>
              <w:bottom w:val="single" w:sz="4" w:space="0" w:color="auto"/>
              <w:right w:val="single" w:sz="4" w:space="0" w:color="auto"/>
            </w:tcBorders>
            <w:noWrap/>
            <w:vAlign w:val="center"/>
          </w:tcPr>
          <w:p w:rsidR="00C40B73" w:rsidRPr="00D55DC6" w:rsidRDefault="00C40B73" w:rsidP="00C676DD">
            <w:pPr>
              <w:jc w:val="right"/>
              <w:rPr>
                <w:rFonts w:eastAsia="標楷體"/>
                <w:sz w:val="22"/>
              </w:rPr>
            </w:pPr>
            <w:r w:rsidRPr="00D55DC6">
              <w:rPr>
                <w:rFonts w:eastAsia="標楷體"/>
                <w:sz w:val="22"/>
                <w:szCs w:val="22"/>
              </w:rPr>
              <w:t>1.62</w:t>
            </w:r>
          </w:p>
        </w:tc>
        <w:tc>
          <w:tcPr>
            <w:tcW w:w="1224" w:type="dxa"/>
            <w:tcBorders>
              <w:top w:val="single" w:sz="4" w:space="0" w:color="auto"/>
              <w:left w:val="single" w:sz="4" w:space="0" w:color="auto"/>
              <w:bottom w:val="single" w:sz="4" w:space="0" w:color="auto"/>
            </w:tcBorders>
            <w:noWrap/>
            <w:vAlign w:val="center"/>
          </w:tcPr>
          <w:p w:rsidR="00C40B73" w:rsidRPr="00D55DC6" w:rsidRDefault="00C40B73" w:rsidP="00C676DD">
            <w:pPr>
              <w:jc w:val="right"/>
              <w:rPr>
                <w:sz w:val="22"/>
              </w:rPr>
            </w:pPr>
            <w:r w:rsidRPr="00D55DC6">
              <w:rPr>
                <w:sz w:val="22"/>
                <w:szCs w:val="22"/>
              </w:rPr>
              <w:t>7.68</w:t>
            </w:r>
          </w:p>
        </w:tc>
      </w:tr>
      <w:tr w:rsidR="00C40B73" w:rsidRPr="00D55DC6" w:rsidTr="00C676DD">
        <w:trPr>
          <w:trHeight w:val="330"/>
        </w:trPr>
        <w:tc>
          <w:tcPr>
            <w:tcW w:w="2160" w:type="dxa"/>
            <w:tcBorders>
              <w:top w:val="single" w:sz="4" w:space="0" w:color="auto"/>
              <w:left w:val="nil"/>
              <w:bottom w:val="single" w:sz="4" w:space="0" w:color="auto"/>
              <w:right w:val="single" w:sz="4" w:space="0" w:color="auto"/>
            </w:tcBorders>
          </w:tcPr>
          <w:p w:rsidR="00C40B73" w:rsidRPr="00D55DC6" w:rsidRDefault="00C40B73" w:rsidP="00C676DD">
            <w:pPr>
              <w:widowControl/>
              <w:ind w:left="331" w:hangingChars="138" w:hanging="331"/>
              <w:jc w:val="center"/>
              <w:rPr>
                <w:rFonts w:eastAsia="標楷體"/>
                <w:kern w:val="0"/>
              </w:rPr>
            </w:pPr>
            <w:r w:rsidRPr="00D55DC6">
              <w:rPr>
                <w:rFonts w:eastAsia="標楷體"/>
                <w:kern w:val="0"/>
              </w:rPr>
              <w:t>產值預算比</w:t>
            </w:r>
          </w:p>
        </w:tc>
        <w:tc>
          <w:tcPr>
            <w:tcW w:w="1224" w:type="dxa"/>
            <w:tcBorders>
              <w:top w:val="single" w:sz="4" w:space="0" w:color="auto"/>
              <w:left w:val="single" w:sz="4" w:space="0" w:color="auto"/>
              <w:bottom w:val="single" w:sz="4" w:space="0" w:color="auto"/>
              <w:right w:val="nil"/>
            </w:tcBorders>
            <w:noWrap/>
            <w:vAlign w:val="center"/>
          </w:tcPr>
          <w:p w:rsidR="00C40B73" w:rsidRPr="00D55DC6" w:rsidRDefault="00C40B73" w:rsidP="00C676DD">
            <w:pPr>
              <w:jc w:val="right"/>
              <w:rPr>
                <w:sz w:val="22"/>
              </w:rPr>
            </w:pPr>
            <w:r w:rsidRPr="00D55DC6">
              <w:rPr>
                <w:sz w:val="22"/>
                <w:szCs w:val="22"/>
              </w:rPr>
              <w:t>4.82</w:t>
            </w:r>
          </w:p>
        </w:tc>
        <w:tc>
          <w:tcPr>
            <w:tcW w:w="1224" w:type="dxa"/>
            <w:tcBorders>
              <w:top w:val="single" w:sz="4" w:space="0" w:color="auto"/>
              <w:left w:val="nil"/>
              <w:bottom w:val="single" w:sz="4" w:space="0" w:color="auto"/>
              <w:right w:val="nil"/>
            </w:tcBorders>
            <w:noWrap/>
            <w:vAlign w:val="center"/>
          </w:tcPr>
          <w:p w:rsidR="00C40B73" w:rsidRPr="00D55DC6" w:rsidRDefault="00C40B73" w:rsidP="00C676DD">
            <w:pPr>
              <w:jc w:val="right"/>
              <w:rPr>
                <w:sz w:val="22"/>
              </w:rPr>
            </w:pPr>
            <w:r w:rsidRPr="00D55DC6">
              <w:rPr>
                <w:sz w:val="22"/>
                <w:szCs w:val="22"/>
              </w:rPr>
              <w:t>6.32</w:t>
            </w:r>
          </w:p>
        </w:tc>
        <w:tc>
          <w:tcPr>
            <w:tcW w:w="1224" w:type="dxa"/>
            <w:tcBorders>
              <w:top w:val="single" w:sz="4" w:space="0" w:color="auto"/>
              <w:left w:val="nil"/>
              <w:bottom w:val="single" w:sz="4" w:space="0" w:color="auto"/>
              <w:right w:val="nil"/>
            </w:tcBorders>
            <w:noWrap/>
            <w:vAlign w:val="center"/>
          </w:tcPr>
          <w:p w:rsidR="00C40B73" w:rsidRPr="00D55DC6" w:rsidRDefault="00C40B73" w:rsidP="00C676DD">
            <w:pPr>
              <w:jc w:val="right"/>
              <w:rPr>
                <w:sz w:val="22"/>
              </w:rPr>
            </w:pPr>
            <w:r w:rsidRPr="00D55DC6">
              <w:rPr>
                <w:sz w:val="22"/>
                <w:szCs w:val="22"/>
              </w:rPr>
              <w:t>6.16</w:t>
            </w:r>
          </w:p>
        </w:tc>
        <w:tc>
          <w:tcPr>
            <w:tcW w:w="1224" w:type="dxa"/>
            <w:tcBorders>
              <w:top w:val="single" w:sz="4" w:space="0" w:color="auto"/>
              <w:left w:val="nil"/>
              <w:bottom w:val="single" w:sz="4" w:space="0" w:color="auto"/>
              <w:right w:val="single" w:sz="4" w:space="0" w:color="auto"/>
            </w:tcBorders>
            <w:noWrap/>
            <w:vAlign w:val="center"/>
          </w:tcPr>
          <w:p w:rsidR="00C40B73" w:rsidRPr="00D55DC6" w:rsidRDefault="00C40B73" w:rsidP="00C676DD">
            <w:pPr>
              <w:jc w:val="right"/>
              <w:rPr>
                <w:sz w:val="22"/>
              </w:rPr>
            </w:pPr>
            <w:r w:rsidRPr="00D55DC6">
              <w:rPr>
                <w:sz w:val="22"/>
                <w:szCs w:val="22"/>
              </w:rPr>
              <w:t>7.51</w:t>
            </w:r>
          </w:p>
        </w:tc>
        <w:tc>
          <w:tcPr>
            <w:tcW w:w="1224" w:type="dxa"/>
            <w:tcBorders>
              <w:top w:val="single" w:sz="4" w:space="0" w:color="auto"/>
              <w:left w:val="single" w:sz="4" w:space="0" w:color="auto"/>
              <w:bottom w:val="single" w:sz="4" w:space="0" w:color="auto"/>
            </w:tcBorders>
            <w:noWrap/>
            <w:vAlign w:val="center"/>
          </w:tcPr>
          <w:p w:rsidR="00C40B73" w:rsidRPr="00D55DC6" w:rsidRDefault="00C40B73" w:rsidP="00C676DD">
            <w:pPr>
              <w:jc w:val="right"/>
              <w:rPr>
                <w:rFonts w:eastAsia="標楷體"/>
                <w:sz w:val="22"/>
              </w:rPr>
            </w:pPr>
            <w:r w:rsidRPr="00D55DC6">
              <w:rPr>
                <w:rFonts w:eastAsia="標楷體"/>
                <w:sz w:val="22"/>
                <w:szCs w:val="22"/>
              </w:rPr>
              <w:t>6.08</w:t>
            </w:r>
          </w:p>
        </w:tc>
      </w:tr>
    </w:tbl>
    <w:p w:rsidR="00C40B73" w:rsidRPr="00D55DC6" w:rsidRDefault="00C40B73" w:rsidP="00C40B73">
      <w:pPr>
        <w:snapToGrid w:val="0"/>
        <w:spacing w:line="460" w:lineRule="exact"/>
        <w:jc w:val="both"/>
        <w:rPr>
          <w:rFonts w:eastAsia="標楷體"/>
          <w:b/>
          <w:sz w:val="28"/>
          <w:szCs w:val="28"/>
        </w:rPr>
      </w:pPr>
    </w:p>
    <w:p w:rsidR="00C40B73" w:rsidRPr="00D55DC6" w:rsidRDefault="00C40B73" w:rsidP="00C40B73">
      <w:pPr>
        <w:pStyle w:val="a"/>
        <w:ind w:left="709" w:hanging="709"/>
        <w:rPr>
          <w:b/>
        </w:rPr>
      </w:pPr>
      <w:bookmarkStart w:id="186" w:name="_Toc407181744"/>
      <w:r w:rsidRPr="00D55DC6">
        <w:rPr>
          <w:b/>
        </w:rPr>
        <w:t>財務計畫</w:t>
      </w:r>
      <w:bookmarkEnd w:id="186"/>
    </w:p>
    <w:p w:rsidR="00C40B73" w:rsidRPr="00D55DC6" w:rsidRDefault="00C40B73" w:rsidP="004865C1">
      <w:pPr>
        <w:pStyle w:val="af2"/>
        <w:numPr>
          <w:ilvl w:val="0"/>
          <w:numId w:val="220"/>
        </w:numPr>
        <w:snapToGrid w:val="0"/>
        <w:spacing w:line="460" w:lineRule="exact"/>
        <w:ind w:leftChars="0"/>
        <w:jc w:val="both"/>
        <w:rPr>
          <w:rFonts w:eastAsia="標楷體"/>
          <w:b/>
          <w:sz w:val="28"/>
          <w:szCs w:val="28"/>
        </w:rPr>
      </w:pPr>
      <w:r w:rsidRPr="00D55DC6">
        <w:rPr>
          <w:rFonts w:eastAsia="標楷體"/>
          <w:b/>
          <w:sz w:val="28"/>
          <w:szCs w:val="28"/>
        </w:rPr>
        <w:t>財務計畫核定情形</w:t>
      </w:r>
    </w:p>
    <w:p w:rsidR="00C40B73" w:rsidRPr="00D55DC6" w:rsidRDefault="00C40B73" w:rsidP="00C40B73">
      <w:pPr>
        <w:pStyle w:val="a"/>
        <w:numPr>
          <w:ilvl w:val="0"/>
          <w:numId w:val="0"/>
        </w:numPr>
        <w:ind w:left="851"/>
      </w:pPr>
      <w:bookmarkStart w:id="187" w:name="_Toc407181745"/>
      <w:r w:rsidRPr="00D55DC6">
        <w:t>依據管理處於</w:t>
      </w:r>
      <w:r w:rsidRPr="00D55DC6">
        <w:t>100</w:t>
      </w:r>
      <w:r w:rsidRPr="00D55DC6">
        <w:t>年</w:t>
      </w:r>
      <w:r w:rsidRPr="00D55DC6">
        <w:t>12</w:t>
      </w:r>
      <w:r w:rsidRPr="00D55DC6">
        <w:t>月規劃之「馬祖國家風景區整體發展暨大北海遊憩區規劃設計服務案」及</w:t>
      </w:r>
      <w:r w:rsidRPr="00D55DC6">
        <w:t>103</w:t>
      </w:r>
      <w:r w:rsidRPr="00D55DC6">
        <w:t>年完成之財務計畫，未來</w:t>
      </w:r>
      <w:r w:rsidRPr="00D55DC6">
        <w:t>20</w:t>
      </w:r>
      <w:r w:rsidRPr="00D55DC6">
        <w:t>年期間</w:t>
      </w:r>
      <w:r w:rsidRPr="00D55DC6">
        <w:t>(103</w:t>
      </w:r>
      <w:r w:rsidRPr="00D55DC6">
        <w:t>至</w:t>
      </w:r>
      <w:r w:rsidRPr="00D55DC6">
        <w:t>122</w:t>
      </w:r>
      <w:r w:rsidRPr="00D55DC6">
        <w:t>年</w:t>
      </w:r>
      <w:r w:rsidRPr="00D55DC6">
        <w:t>)</w:t>
      </w:r>
      <w:r w:rsidRPr="00D55DC6">
        <w:t>計畫投入現值為</w:t>
      </w:r>
      <w:r w:rsidR="00EA2558" w:rsidRPr="00D55DC6">
        <w:rPr>
          <w:b/>
        </w:rPr>
        <w:t>21.518</w:t>
      </w:r>
      <w:r w:rsidRPr="00D55DC6">
        <w:t>億元，收益現值為</w:t>
      </w:r>
      <w:r w:rsidRPr="00D55DC6">
        <w:rPr>
          <w:b/>
        </w:rPr>
        <w:t>1.3</w:t>
      </w:r>
      <w:r w:rsidR="00EA2558" w:rsidRPr="00D55DC6">
        <w:rPr>
          <w:b/>
        </w:rPr>
        <w:t>05</w:t>
      </w:r>
      <w:r w:rsidRPr="00D55DC6">
        <w:t>億元，整體計畫財務自償率達</w:t>
      </w:r>
      <w:r w:rsidRPr="00D55DC6">
        <w:rPr>
          <w:b/>
        </w:rPr>
        <w:t>6.06%</w:t>
      </w:r>
      <w:r w:rsidRPr="00D55DC6">
        <w:t>。</w:t>
      </w:r>
      <w:bookmarkEnd w:id="187"/>
    </w:p>
    <w:p w:rsidR="00C40B73" w:rsidRPr="00D55DC6" w:rsidRDefault="00C40B73" w:rsidP="00C40B73">
      <w:pPr>
        <w:pStyle w:val="a"/>
        <w:numPr>
          <w:ilvl w:val="0"/>
          <w:numId w:val="0"/>
        </w:numPr>
        <w:ind w:left="709"/>
      </w:pPr>
    </w:p>
    <w:p w:rsidR="00C40B73" w:rsidRPr="00D55DC6" w:rsidRDefault="00C40B73" w:rsidP="004865C1">
      <w:pPr>
        <w:pStyle w:val="af2"/>
        <w:numPr>
          <w:ilvl w:val="0"/>
          <w:numId w:val="220"/>
        </w:numPr>
        <w:snapToGrid w:val="0"/>
        <w:spacing w:line="460" w:lineRule="exact"/>
        <w:ind w:leftChars="0" w:left="993"/>
        <w:jc w:val="both"/>
        <w:rPr>
          <w:rFonts w:eastAsia="標楷體"/>
          <w:b/>
          <w:sz w:val="28"/>
          <w:szCs w:val="28"/>
        </w:rPr>
      </w:pPr>
      <w:r w:rsidRPr="00D55DC6">
        <w:rPr>
          <w:rFonts w:eastAsia="標楷體"/>
          <w:b/>
          <w:sz w:val="28"/>
          <w:szCs w:val="28"/>
        </w:rPr>
        <w:t>預估財務收入情形</w:t>
      </w:r>
    </w:p>
    <w:p w:rsidR="00AB4406" w:rsidRPr="00D55DC6" w:rsidRDefault="00AB4406" w:rsidP="00AB4406">
      <w:pPr>
        <w:pStyle w:val="a"/>
        <w:numPr>
          <w:ilvl w:val="0"/>
          <w:numId w:val="0"/>
        </w:numPr>
        <w:ind w:left="851"/>
      </w:pPr>
      <w:r w:rsidRPr="00D55DC6">
        <w:t>本風景區囿於交通瓶頸及離島承載量因素，遊客成長量有其限制，直接影響市場規模及促參收益性。目前管理機關積極朝增加遊客停留天數，推出高品質之旅宿體驗為規劃方向。藉由策略性活化所屬公用不動產與設施，引進民間投資經營之互惠雙贏方式，逐步提升財務收益，</w:t>
      </w:r>
      <w:r w:rsidRPr="00D55DC6">
        <w:lastRenderedPageBreak/>
        <w:t>詳如下列預估財務收入分年規劃表。</w:t>
      </w:r>
    </w:p>
    <w:p w:rsidR="002B0433" w:rsidRPr="00D55DC6" w:rsidRDefault="002B0433" w:rsidP="00C40B73">
      <w:pPr>
        <w:pStyle w:val="a"/>
        <w:numPr>
          <w:ilvl w:val="0"/>
          <w:numId w:val="0"/>
        </w:numPr>
        <w:ind w:left="851"/>
      </w:pPr>
    </w:p>
    <w:p w:rsidR="00C40B73" w:rsidRPr="00D55DC6" w:rsidRDefault="00C40B73" w:rsidP="00C40B73">
      <w:pPr>
        <w:keepNext/>
        <w:ind w:rightChars="-316" w:right="-758"/>
        <w:rPr>
          <w:rFonts w:eastAsia="標楷體"/>
          <w:sz w:val="20"/>
          <w:szCs w:val="20"/>
        </w:rPr>
      </w:pPr>
      <w:r w:rsidRPr="00D55DC6">
        <w:rPr>
          <w:rFonts w:eastAsia="標楷體"/>
        </w:rPr>
        <w:t>表</w:t>
      </w:r>
      <w:r w:rsidRPr="00D55DC6">
        <w:rPr>
          <w:rFonts w:eastAsia="標楷體"/>
        </w:rPr>
        <w:t xml:space="preserve">  </w:t>
      </w:r>
      <w:r w:rsidRPr="00D55DC6">
        <w:rPr>
          <w:rFonts w:eastAsia="標楷體"/>
        </w:rPr>
        <w:t>預估財務收入分年規劃表</w:t>
      </w:r>
      <w:r w:rsidRPr="00D55DC6">
        <w:rPr>
          <w:rFonts w:eastAsia="標楷體"/>
        </w:rPr>
        <w:t xml:space="preserve">                       </w:t>
      </w:r>
      <w:r w:rsidRPr="00D55DC6">
        <w:rPr>
          <w:rFonts w:eastAsia="標楷體"/>
        </w:rPr>
        <w:t xml:space="preserve">　　　　　　　　</w:t>
      </w:r>
      <w:r w:rsidRPr="00D55DC6">
        <w:rPr>
          <w:rFonts w:eastAsia="標楷體"/>
        </w:rPr>
        <w:t xml:space="preserve"> </w:t>
      </w:r>
      <w:r w:rsidRPr="00D55DC6">
        <w:rPr>
          <w:rFonts w:eastAsia="標楷體"/>
          <w:sz w:val="20"/>
          <w:szCs w:val="20"/>
        </w:rPr>
        <w:t>（單位：千元）</w:t>
      </w:r>
    </w:p>
    <w:tbl>
      <w:tblPr>
        <w:tblW w:w="9924" w:type="dxa"/>
        <w:tblInd w:w="-256" w:type="dxa"/>
        <w:tblLayout w:type="fixed"/>
        <w:tblCellMar>
          <w:left w:w="28" w:type="dxa"/>
          <w:right w:w="28" w:type="dxa"/>
        </w:tblCellMar>
        <w:tblLook w:val="04A0" w:firstRow="1" w:lastRow="0" w:firstColumn="1" w:lastColumn="0" w:noHBand="0" w:noVBand="1"/>
      </w:tblPr>
      <w:tblGrid>
        <w:gridCol w:w="2552"/>
        <w:gridCol w:w="737"/>
        <w:gridCol w:w="737"/>
        <w:gridCol w:w="737"/>
        <w:gridCol w:w="737"/>
        <w:gridCol w:w="738"/>
        <w:gridCol w:w="737"/>
        <w:gridCol w:w="737"/>
        <w:gridCol w:w="737"/>
        <w:gridCol w:w="737"/>
        <w:gridCol w:w="738"/>
      </w:tblGrid>
      <w:tr w:rsidR="001D0350" w:rsidRPr="00D55DC6" w:rsidTr="00C676DD">
        <w:trPr>
          <w:trHeight w:val="585"/>
        </w:trPr>
        <w:tc>
          <w:tcPr>
            <w:tcW w:w="2552" w:type="dxa"/>
            <w:tcBorders>
              <w:top w:val="single" w:sz="4" w:space="0" w:color="auto"/>
              <w:left w:val="single" w:sz="4" w:space="0" w:color="auto"/>
              <w:bottom w:val="double" w:sz="6" w:space="0" w:color="auto"/>
              <w:right w:val="single" w:sz="4" w:space="0" w:color="auto"/>
            </w:tcBorders>
            <w:shd w:val="clear" w:color="000000" w:fill="FFCC00"/>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2"/>
                <w:szCs w:val="20"/>
              </w:rPr>
              <w:t>年度</w:t>
            </w:r>
            <w:r w:rsidRPr="00D55DC6">
              <w:rPr>
                <w:rFonts w:eastAsia="標楷體"/>
                <w:kern w:val="0"/>
                <w:sz w:val="22"/>
                <w:szCs w:val="20"/>
              </w:rPr>
              <w:br/>
            </w:r>
            <w:r w:rsidRPr="00D55DC6">
              <w:rPr>
                <w:rFonts w:eastAsia="標楷體"/>
                <w:kern w:val="0"/>
                <w:sz w:val="22"/>
                <w:szCs w:val="20"/>
              </w:rPr>
              <w:t>收益項目</w:t>
            </w:r>
          </w:p>
        </w:tc>
        <w:tc>
          <w:tcPr>
            <w:tcW w:w="737" w:type="dxa"/>
            <w:tcBorders>
              <w:top w:val="single" w:sz="4" w:space="0" w:color="auto"/>
              <w:left w:val="nil"/>
              <w:bottom w:val="double" w:sz="6" w:space="0" w:color="auto"/>
              <w:right w:val="single" w:sz="4" w:space="0" w:color="auto"/>
            </w:tcBorders>
            <w:shd w:val="clear" w:color="000000" w:fill="FFCC00"/>
            <w:noWrap/>
            <w:vAlign w:val="center"/>
          </w:tcPr>
          <w:p w:rsidR="00C40B73" w:rsidRPr="00D55DC6" w:rsidRDefault="00C40B73" w:rsidP="00C676DD">
            <w:pPr>
              <w:widowControl/>
              <w:jc w:val="center"/>
              <w:rPr>
                <w:rFonts w:eastAsia="標楷體"/>
                <w:kern w:val="0"/>
                <w:sz w:val="20"/>
                <w:szCs w:val="20"/>
              </w:rPr>
            </w:pPr>
            <w:r w:rsidRPr="00D55DC6">
              <w:rPr>
                <w:rFonts w:eastAsia="標楷體"/>
                <w:kern w:val="0"/>
                <w:sz w:val="20"/>
                <w:szCs w:val="20"/>
              </w:rPr>
              <w:t>103</w:t>
            </w:r>
          </w:p>
        </w:tc>
        <w:tc>
          <w:tcPr>
            <w:tcW w:w="737" w:type="dxa"/>
            <w:tcBorders>
              <w:top w:val="single" w:sz="4" w:space="0" w:color="auto"/>
              <w:left w:val="nil"/>
              <w:bottom w:val="double" w:sz="6" w:space="0" w:color="auto"/>
              <w:right w:val="single" w:sz="4" w:space="0" w:color="auto"/>
            </w:tcBorders>
            <w:shd w:val="clear" w:color="000000" w:fill="FFCC00"/>
            <w:noWrap/>
            <w:vAlign w:val="center"/>
          </w:tcPr>
          <w:p w:rsidR="00C40B73" w:rsidRPr="00D55DC6" w:rsidRDefault="00C40B73" w:rsidP="00C676DD">
            <w:pPr>
              <w:widowControl/>
              <w:jc w:val="center"/>
              <w:rPr>
                <w:rFonts w:eastAsia="標楷體"/>
                <w:kern w:val="0"/>
                <w:sz w:val="20"/>
                <w:szCs w:val="20"/>
              </w:rPr>
            </w:pPr>
            <w:r w:rsidRPr="00D55DC6">
              <w:rPr>
                <w:rFonts w:eastAsia="標楷體"/>
                <w:kern w:val="0"/>
                <w:sz w:val="20"/>
                <w:szCs w:val="20"/>
              </w:rPr>
              <w:t>104</w:t>
            </w:r>
          </w:p>
        </w:tc>
        <w:tc>
          <w:tcPr>
            <w:tcW w:w="737" w:type="dxa"/>
            <w:tcBorders>
              <w:top w:val="single" w:sz="4" w:space="0" w:color="auto"/>
              <w:left w:val="nil"/>
              <w:bottom w:val="double" w:sz="6" w:space="0" w:color="auto"/>
              <w:right w:val="single" w:sz="4" w:space="0" w:color="auto"/>
            </w:tcBorders>
            <w:shd w:val="clear" w:color="000000" w:fill="FFCC00"/>
            <w:noWrap/>
            <w:vAlign w:val="center"/>
          </w:tcPr>
          <w:p w:rsidR="00C40B73" w:rsidRPr="00D55DC6" w:rsidRDefault="00C40B73" w:rsidP="00C676DD">
            <w:pPr>
              <w:widowControl/>
              <w:jc w:val="center"/>
              <w:rPr>
                <w:rFonts w:eastAsia="標楷體"/>
                <w:kern w:val="0"/>
                <w:sz w:val="20"/>
                <w:szCs w:val="20"/>
              </w:rPr>
            </w:pPr>
            <w:r w:rsidRPr="00D55DC6">
              <w:rPr>
                <w:rFonts w:eastAsia="標楷體"/>
                <w:kern w:val="0"/>
                <w:sz w:val="20"/>
                <w:szCs w:val="20"/>
              </w:rPr>
              <w:t>105</w:t>
            </w:r>
          </w:p>
        </w:tc>
        <w:tc>
          <w:tcPr>
            <w:tcW w:w="737" w:type="dxa"/>
            <w:tcBorders>
              <w:top w:val="single" w:sz="4" w:space="0" w:color="auto"/>
              <w:left w:val="nil"/>
              <w:bottom w:val="double" w:sz="6" w:space="0" w:color="auto"/>
              <w:right w:val="single" w:sz="4" w:space="0" w:color="auto"/>
            </w:tcBorders>
            <w:shd w:val="clear" w:color="000000" w:fill="FFCC00"/>
            <w:noWrap/>
            <w:vAlign w:val="center"/>
          </w:tcPr>
          <w:p w:rsidR="00C40B73" w:rsidRPr="00D55DC6" w:rsidRDefault="00C40B73" w:rsidP="00C676DD">
            <w:pPr>
              <w:widowControl/>
              <w:jc w:val="center"/>
              <w:rPr>
                <w:rFonts w:eastAsia="標楷體"/>
                <w:kern w:val="0"/>
                <w:sz w:val="20"/>
                <w:szCs w:val="20"/>
              </w:rPr>
            </w:pPr>
            <w:r w:rsidRPr="00D55DC6">
              <w:rPr>
                <w:rFonts w:eastAsia="標楷體"/>
                <w:kern w:val="0"/>
                <w:sz w:val="20"/>
                <w:szCs w:val="20"/>
              </w:rPr>
              <w:t>106</w:t>
            </w:r>
          </w:p>
        </w:tc>
        <w:tc>
          <w:tcPr>
            <w:tcW w:w="738" w:type="dxa"/>
            <w:tcBorders>
              <w:top w:val="single" w:sz="4" w:space="0" w:color="auto"/>
              <w:left w:val="nil"/>
              <w:bottom w:val="double" w:sz="6" w:space="0" w:color="auto"/>
              <w:right w:val="single" w:sz="4" w:space="0" w:color="auto"/>
            </w:tcBorders>
            <w:shd w:val="clear" w:color="000000" w:fill="FFCC00"/>
            <w:noWrap/>
            <w:vAlign w:val="center"/>
          </w:tcPr>
          <w:p w:rsidR="00C40B73" w:rsidRPr="00D55DC6" w:rsidRDefault="00C40B73" w:rsidP="00C676DD">
            <w:pPr>
              <w:widowControl/>
              <w:jc w:val="center"/>
              <w:rPr>
                <w:rFonts w:eastAsia="標楷體"/>
                <w:kern w:val="0"/>
                <w:sz w:val="20"/>
                <w:szCs w:val="20"/>
              </w:rPr>
            </w:pPr>
            <w:r w:rsidRPr="00D55DC6">
              <w:rPr>
                <w:rFonts w:eastAsia="標楷體"/>
                <w:kern w:val="0"/>
                <w:sz w:val="20"/>
                <w:szCs w:val="20"/>
              </w:rPr>
              <w:t>107</w:t>
            </w:r>
          </w:p>
        </w:tc>
        <w:tc>
          <w:tcPr>
            <w:tcW w:w="737" w:type="dxa"/>
            <w:tcBorders>
              <w:top w:val="single" w:sz="4" w:space="0" w:color="auto"/>
              <w:left w:val="nil"/>
              <w:bottom w:val="double" w:sz="6" w:space="0" w:color="auto"/>
              <w:right w:val="single" w:sz="4" w:space="0" w:color="auto"/>
            </w:tcBorders>
            <w:shd w:val="clear" w:color="000000" w:fill="FFCC00"/>
            <w:noWrap/>
            <w:vAlign w:val="center"/>
          </w:tcPr>
          <w:p w:rsidR="00C40B73" w:rsidRPr="00D55DC6" w:rsidRDefault="00C40B73" w:rsidP="00C676DD">
            <w:pPr>
              <w:widowControl/>
              <w:jc w:val="center"/>
              <w:rPr>
                <w:rFonts w:eastAsia="標楷體"/>
                <w:kern w:val="0"/>
                <w:sz w:val="20"/>
                <w:szCs w:val="20"/>
              </w:rPr>
            </w:pPr>
            <w:r w:rsidRPr="00D55DC6">
              <w:rPr>
                <w:rFonts w:eastAsia="標楷體"/>
                <w:kern w:val="0"/>
                <w:sz w:val="20"/>
                <w:szCs w:val="20"/>
              </w:rPr>
              <w:t>108</w:t>
            </w:r>
          </w:p>
        </w:tc>
        <w:tc>
          <w:tcPr>
            <w:tcW w:w="737" w:type="dxa"/>
            <w:tcBorders>
              <w:top w:val="single" w:sz="4" w:space="0" w:color="auto"/>
              <w:left w:val="nil"/>
              <w:bottom w:val="double" w:sz="6" w:space="0" w:color="auto"/>
              <w:right w:val="single" w:sz="4" w:space="0" w:color="auto"/>
            </w:tcBorders>
            <w:shd w:val="clear" w:color="000000" w:fill="FFCC00"/>
            <w:noWrap/>
            <w:vAlign w:val="center"/>
          </w:tcPr>
          <w:p w:rsidR="00C40B73" w:rsidRPr="00D55DC6" w:rsidRDefault="00C40B73" w:rsidP="00C676DD">
            <w:pPr>
              <w:widowControl/>
              <w:jc w:val="center"/>
              <w:rPr>
                <w:rFonts w:eastAsia="標楷體"/>
                <w:kern w:val="0"/>
                <w:sz w:val="20"/>
                <w:szCs w:val="20"/>
              </w:rPr>
            </w:pPr>
            <w:r w:rsidRPr="00D55DC6">
              <w:rPr>
                <w:rFonts w:eastAsia="標楷體"/>
                <w:kern w:val="0"/>
                <w:sz w:val="20"/>
                <w:szCs w:val="20"/>
              </w:rPr>
              <w:t>109</w:t>
            </w:r>
          </w:p>
        </w:tc>
        <w:tc>
          <w:tcPr>
            <w:tcW w:w="737" w:type="dxa"/>
            <w:tcBorders>
              <w:top w:val="single" w:sz="4" w:space="0" w:color="auto"/>
              <w:left w:val="nil"/>
              <w:bottom w:val="double" w:sz="6" w:space="0" w:color="auto"/>
              <w:right w:val="single" w:sz="4" w:space="0" w:color="auto"/>
            </w:tcBorders>
            <w:shd w:val="clear" w:color="000000" w:fill="FFCC00"/>
            <w:noWrap/>
            <w:vAlign w:val="center"/>
          </w:tcPr>
          <w:p w:rsidR="00C40B73" w:rsidRPr="00D55DC6" w:rsidRDefault="00C40B73" w:rsidP="00C676DD">
            <w:pPr>
              <w:widowControl/>
              <w:jc w:val="center"/>
              <w:rPr>
                <w:rFonts w:eastAsia="標楷體"/>
                <w:kern w:val="0"/>
                <w:sz w:val="20"/>
                <w:szCs w:val="20"/>
              </w:rPr>
            </w:pPr>
            <w:r w:rsidRPr="00D55DC6">
              <w:rPr>
                <w:rFonts w:eastAsia="標楷體"/>
                <w:kern w:val="0"/>
                <w:sz w:val="20"/>
                <w:szCs w:val="20"/>
              </w:rPr>
              <w:t>110</w:t>
            </w:r>
          </w:p>
        </w:tc>
        <w:tc>
          <w:tcPr>
            <w:tcW w:w="737" w:type="dxa"/>
            <w:tcBorders>
              <w:top w:val="single" w:sz="4" w:space="0" w:color="auto"/>
              <w:left w:val="nil"/>
              <w:bottom w:val="double" w:sz="6" w:space="0" w:color="auto"/>
              <w:right w:val="single" w:sz="4" w:space="0" w:color="auto"/>
            </w:tcBorders>
            <w:shd w:val="clear" w:color="000000" w:fill="FFCC00"/>
            <w:noWrap/>
            <w:vAlign w:val="center"/>
          </w:tcPr>
          <w:p w:rsidR="00C40B73" w:rsidRPr="00D55DC6" w:rsidRDefault="00C40B73" w:rsidP="00C676DD">
            <w:pPr>
              <w:widowControl/>
              <w:jc w:val="center"/>
              <w:rPr>
                <w:rFonts w:eastAsia="標楷體"/>
                <w:kern w:val="0"/>
                <w:sz w:val="20"/>
                <w:szCs w:val="20"/>
              </w:rPr>
            </w:pPr>
            <w:r w:rsidRPr="00D55DC6">
              <w:rPr>
                <w:rFonts w:eastAsia="標楷體"/>
                <w:kern w:val="0"/>
                <w:sz w:val="20"/>
                <w:szCs w:val="20"/>
              </w:rPr>
              <w:t>111</w:t>
            </w:r>
          </w:p>
        </w:tc>
        <w:tc>
          <w:tcPr>
            <w:tcW w:w="738" w:type="dxa"/>
            <w:tcBorders>
              <w:top w:val="single" w:sz="4" w:space="0" w:color="auto"/>
              <w:left w:val="nil"/>
              <w:bottom w:val="double" w:sz="6" w:space="0" w:color="auto"/>
              <w:right w:val="single" w:sz="4" w:space="0" w:color="auto"/>
            </w:tcBorders>
            <w:shd w:val="clear" w:color="000000" w:fill="FFCC00"/>
            <w:noWrap/>
            <w:vAlign w:val="center"/>
          </w:tcPr>
          <w:p w:rsidR="00C40B73" w:rsidRPr="00D55DC6" w:rsidRDefault="00C40B73" w:rsidP="00C676DD">
            <w:pPr>
              <w:widowControl/>
              <w:jc w:val="center"/>
              <w:rPr>
                <w:rFonts w:eastAsia="標楷體"/>
                <w:kern w:val="0"/>
                <w:sz w:val="20"/>
                <w:szCs w:val="20"/>
              </w:rPr>
            </w:pPr>
            <w:r w:rsidRPr="00D55DC6">
              <w:rPr>
                <w:rFonts w:eastAsia="標楷體"/>
                <w:kern w:val="0"/>
                <w:sz w:val="20"/>
                <w:szCs w:val="20"/>
              </w:rPr>
              <w:t>112</w:t>
            </w:r>
          </w:p>
        </w:tc>
      </w:tr>
      <w:tr w:rsidR="001D0350" w:rsidRPr="00D55DC6" w:rsidTr="00C676DD">
        <w:trPr>
          <w:trHeight w:val="345"/>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一、既有出租據點收益</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674</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695</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706</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730</w:t>
            </w:r>
          </w:p>
        </w:tc>
        <w:tc>
          <w:tcPr>
            <w:tcW w:w="738"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741</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766</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778</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805</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818</w:t>
            </w:r>
          </w:p>
        </w:tc>
        <w:tc>
          <w:tcPr>
            <w:tcW w:w="738"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846</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北海坑道獨木舟</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214</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214</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225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225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236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236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248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248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261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261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南竿遊客中心販賣區</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346</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362</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362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380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380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399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399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419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419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440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坂里大宅</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114</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119</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119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125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125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131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131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138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138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145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二、規劃中新設據點收益</w:t>
            </w:r>
            <w:r w:rsidRPr="00D55DC6">
              <w:rPr>
                <w:rFonts w:eastAsia="標楷體"/>
                <w:kern w:val="0"/>
                <w:sz w:val="20"/>
                <w:szCs w:val="20"/>
              </w:rPr>
              <w:t xml:space="preserve"> </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327</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10576</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2926</w:t>
            </w:r>
          </w:p>
        </w:tc>
        <w:tc>
          <w:tcPr>
            <w:tcW w:w="738"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1976</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3446</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3633</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3774</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3892</w:t>
            </w:r>
          </w:p>
        </w:tc>
        <w:tc>
          <w:tcPr>
            <w:tcW w:w="738"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3953</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四維觀光度假園區</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10,096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96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96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1,491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1,591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1,695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1,803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1,827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tcPr>
          <w:p w:rsidR="00C40B73" w:rsidRPr="00D55DC6" w:rsidRDefault="00C40B73" w:rsidP="00C676DD">
            <w:pPr>
              <w:widowControl/>
              <w:rPr>
                <w:rFonts w:eastAsia="標楷體"/>
                <w:kern w:val="0"/>
                <w:sz w:val="20"/>
                <w:szCs w:val="20"/>
              </w:rPr>
            </w:pPr>
            <w:r w:rsidRPr="00D55DC6">
              <w:rPr>
                <w:rFonts w:eastAsia="標楷體"/>
                <w:kern w:val="0"/>
                <w:sz w:val="20"/>
                <w:szCs w:val="20"/>
              </w:rPr>
              <w:t>55</w:t>
            </w:r>
            <w:r w:rsidRPr="00D55DC6">
              <w:rPr>
                <w:rFonts w:eastAsia="標楷體"/>
                <w:kern w:val="0"/>
                <w:sz w:val="20"/>
                <w:szCs w:val="20"/>
              </w:rPr>
              <w:t>據點委外經營</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127</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130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132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133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133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135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136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136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tcPr>
          <w:p w:rsidR="00C40B73" w:rsidRPr="00D55DC6" w:rsidRDefault="00C40B73" w:rsidP="00C676DD">
            <w:pPr>
              <w:widowControl/>
              <w:rPr>
                <w:rFonts w:eastAsia="標楷體"/>
                <w:kern w:val="0"/>
                <w:sz w:val="20"/>
                <w:szCs w:val="20"/>
              </w:rPr>
            </w:pPr>
            <w:r w:rsidRPr="00D55DC6">
              <w:rPr>
                <w:rFonts w:eastAsia="標楷體"/>
                <w:kern w:val="0"/>
                <w:sz w:val="20"/>
                <w:szCs w:val="20"/>
              </w:rPr>
              <w:t>77</w:t>
            </w:r>
            <w:r w:rsidRPr="00D55DC6">
              <w:rPr>
                <w:rFonts w:eastAsia="標楷體"/>
                <w:kern w:val="0"/>
                <w:sz w:val="20"/>
                <w:szCs w:val="20"/>
              </w:rPr>
              <w:t>據點委外經營</w:t>
            </w:r>
          </w:p>
        </w:tc>
        <w:tc>
          <w:tcPr>
            <w:tcW w:w="737" w:type="dxa"/>
            <w:tcBorders>
              <w:top w:val="nil"/>
              <w:left w:val="nil"/>
              <w:bottom w:val="single" w:sz="4" w:space="0" w:color="auto"/>
              <w:right w:val="single" w:sz="4" w:space="0" w:color="auto"/>
            </w:tcBorders>
            <w:shd w:val="clear" w:color="auto" w:fill="auto"/>
            <w:noWrap/>
            <w:vAlign w:val="center"/>
          </w:tcPr>
          <w:p w:rsidR="00C40B73" w:rsidRPr="00D55DC6" w:rsidRDefault="00C40B73" w:rsidP="00C676DD">
            <w:pPr>
              <w:widowControl/>
              <w:jc w:val="right"/>
              <w:rPr>
                <w:rFonts w:eastAsia="標楷體"/>
                <w:kern w:val="0"/>
                <w:sz w:val="20"/>
                <w:szCs w:val="20"/>
              </w:rPr>
            </w:pPr>
            <w:r w:rsidRPr="00D55DC6">
              <w:rPr>
                <w:rFonts w:eastAsia="標楷體"/>
                <w:kern w:val="0"/>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rFonts w:eastAsia="標楷體"/>
                <w:sz w:val="20"/>
                <w:szCs w:val="20"/>
              </w:rPr>
            </w:pPr>
            <w:r w:rsidRPr="00D55DC6">
              <w:rPr>
                <w:rFonts w:eastAsia="標楷體"/>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rFonts w:eastAsia="標楷體"/>
                <w:sz w:val="20"/>
                <w:szCs w:val="20"/>
              </w:rPr>
            </w:pPr>
            <w:r w:rsidRPr="00D55DC6">
              <w:rPr>
                <w:rFonts w:eastAsia="標楷體"/>
                <w:sz w:val="20"/>
                <w:szCs w:val="20"/>
              </w:rPr>
              <w:t xml:space="preserve">100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rFonts w:eastAsia="標楷體"/>
                <w:sz w:val="20"/>
                <w:szCs w:val="20"/>
              </w:rPr>
            </w:pPr>
            <w:r w:rsidRPr="00D55DC6">
              <w:rPr>
                <w:rFonts w:eastAsia="標楷體"/>
                <w:sz w:val="20"/>
                <w:szCs w:val="20"/>
              </w:rPr>
              <w:t xml:space="preserve">100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rFonts w:eastAsia="標楷體"/>
                <w:sz w:val="20"/>
                <w:szCs w:val="20"/>
              </w:rPr>
            </w:pPr>
            <w:r w:rsidRPr="00D55DC6">
              <w:rPr>
                <w:rFonts w:eastAsia="標楷體"/>
                <w:sz w:val="20"/>
                <w:szCs w:val="20"/>
              </w:rPr>
              <w:t xml:space="preserve">105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rFonts w:eastAsia="標楷體"/>
                <w:sz w:val="20"/>
                <w:szCs w:val="20"/>
              </w:rPr>
            </w:pPr>
            <w:r w:rsidRPr="00D55DC6">
              <w:rPr>
                <w:rFonts w:eastAsia="標楷體"/>
                <w:sz w:val="20"/>
                <w:szCs w:val="20"/>
              </w:rPr>
              <w:t xml:space="preserve">105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rFonts w:eastAsia="標楷體"/>
                <w:sz w:val="20"/>
                <w:szCs w:val="20"/>
              </w:rPr>
            </w:pPr>
            <w:r w:rsidRPr="00D55DC6">
              <w:rPr>
                <w:rFonts w:eastAsia="標楷體"/>
                <w:sz w:val="20"/>
                <w:szCs w:val="20"/>
              </w:rPr>
              <w:t xml:space="preserve">110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rFonts w:eastAsia="標楷體"/>
                <w:sz w:val="20"/>
                <w:szCs w:val="20"/>
              </w:rPr>
            </w:pPr>
            <w:r w:rsidRPr="00D55DC6">
              <w:rPr>
                <w:rFonts w:eastAsia="標楷體"/>
                <w:sz w:val="20"/>
                <w:szCs w:val="20"/>
              </w:rPr>
              <w:t xml:space="preserve">110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rFonts w:eastAsia="標楷體"/>
                <w:sz w:val="20"/>
                <w:szCs w:val="20"/>
              </w:rPr>
            </w:pPr>
            <w:r w:rsidRPr="00D55DC6">
              <w:rPr>
                <w:rFonts w:eastAsia="標楷體"/>
                <w:sz w:val="20"/>
                <w:szCs w:val="20"/>
              </w:rPr>
              <w:t xml:space="preserve">116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rFonts w:eastAsia="標楷體"/>
                <w:sz w:val="20"/>
                <w:szCs w:val="20"/>
              </w:rPr>
            </w:pPr>
            <w:r w:rsidRPr="00D55DC6">
              <w:rPr>
                <w:rFonts w:eastAsia="標楷體"/>
                <w:sz w:val="20"/>
                <w:szCs w:val="20"/>
              </w:rPr>
              <w:t xml:space="preserve">116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tcPr>
          <w:p w:rsidR="00C40B73" w:rsidRPr="00D55DC6" w:rsidRDefault="00C40B73" w:rsidP="00C676DD">
            <w:pPr>
              <w:widowControl/>
              <w:rPr>
                <w:rFonts w:eastAsia="標楷體"/>
                <w:kern w:val="0"/>
                <w:sz w:val="20"/>
                <w:szCs w:val="20"/>
              </w:rPr>
            </w:pPr>
            <w:r w:rsidRPr="00D55DC6">
              <w:rPr>
                <w:rFonts w:eastAsia="標楷體"/>
                <w:kern w:val="0"/>
                <w:sz w:val="20"/>
                <w:szCs w:val="20"/>
              </w:rPr>
              <w:t>57</w:t>
            </w:r>
            <w:r w:rsidRPr="00D55DC6">
              <w:rPr>
                <w:rFonts w:eastAsia="標楷體"/>
                <w:kern w:val="0"/>
                <w:sz w:val="20"/>
                <w:szCs w:val="20"/>
              </w:rPr>
              <w:t>據點委外經營</w:t>
            </w:r>
          </w:p>
        </w:tc>
        <w:tc>
          <w:tcPr>
            <w:tcW w:w="737" w:type="dxa"/>
            <w:tcBorders>
              <w:top w:val="nil"/>
              <w:left w:val="nil"/>
              <w:bottom w:val="single" w:sz="4" w:space="0" w:color="auto"/>
              <w:right w:val="single" w:sz="4" w:space="0" w:color="auto"/>
            </w:tcBorders>
            <w:shd w:val="clear" w:color="auto" w:fill="auto"/>
            <w:noWrap/>
            <w:vAlign w:val="center"/>
          </w:tcPr>
          <w:p w:rsidR="00C40B73" w:rsidRPr="00D55DC6" w:rsidRDefault="00C40B73" w:rsidP="00C676DD">
            <w:pPr>
              <w:widowControl/>
              <w:jc w:val="right"/>
              <w:rPr>
                <w:rFonts w:eastAsia="標楷體"/>
                <w:kern w:val="0"/>
                <w:sz w:val="20"/>
                <w:szCs w:val="20"/>
              </w:rPr>
            </w:pPr>
            <w:r w:rsidRPr="00D55DC6">
              <w:rPr>
                <w:rFonts w:eastAsia="標楷體"/>
                <w:kern w:val="0"/>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rFonts w:eastAsia="標楷體"/>
                <w:sz w:val="20"/>
                <w:szCs w:val="20"/>
              </w:rPr>
            </w:pPr>
            <w:r w:rsidRPr="00D55DC6">
              <w:rPr>
                <w:rFonts w:eastAsia="標楷體"/>
                <w:sz w:val="20"/>
                <w:szCs w:val="20"/>
              </w:rPr>
              <w:t xml:space="preserve"> 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rFonts w:eastAsia="標楷體"/>
                <w:sz w:val="20"/>
                <w:szCs w:val="20"/>
              </w:rPr>
            </w:pPr>
            <w:r w:rsidRPr="00D55DC6">
              <w:rPr>
                <w:rFonts w:eastAsia="標楷體"/>
                <w:sz w:val="20"/>
                <w:szCs w:val="20"/>
              </w:rPr>
              <w:t xml:space="preserve"> 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rFonts w:eastAsia="標楷體"/>
                <w:sz w:val="20"/>
                <w:szCs w:val="20"/>
              </w:rPr>
            </w:pPr>
            <w:r w:rsidRPr="00D55DC6">
              <w:rPr>
                <w:rFonts w:eastAsia="標楷體"/>
                <w:sz w:val="20"/>
                <w:szCs w:val="20"/>
              </w:rPr>
              <w:t xml:space="preserve">100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rFonts w:eastAsia="標楷體"/>
                <w:sz w:val="20"/>
                <w:szCs w:val="20"/>
              </w:rPr>
            </w:pPr>
            <w:r w:rsidRPr="00D55DC6">
              <w:rPr>
                <w:rFonts w:eastAsia="標楷體"/>
                <w:sz w:val="20"/>
                <w:szCs w:val="20"/>
              </w:rPr>
              <w:t xml:space="preserve">100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rFonts w:eastAsia="標楷體"/>
                <w:sz w:val="20"/>
                <w:szCs w:val="20"/>
              </w:rPr>
            </w:pPr>
            <w:r w:rsidRPr="00D55DC6">
              <w:rPr>
                <w:rFonts w:eastAsia="標楷體"/>
                <w:sz w:val="20"/>
                <w:szCs w:val="20"/>
              </w:rPr>
              <w:t xml:space="preserve">105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rFonts w:eastAsia="標楷體"/>
                <w:sz w:val="20"/>
                <w:szCs w:val="20"/>
              </w:rPr>
            </w:pPr>
            <w:r w:rsidRPr="00D55DC6">
              <w:rPr>
                <w:rFonts w:eastAsia="標楷體"/>
                <w:sz w:val="20"/>
                <w:szCs w:val="20"/>
              </w:rPr>
              <w:t xml:space="preserve">105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rFonts w:eastAsia="標楷體"/>
                <w:sz w:val="20"/>
                <w:szCs w:val="20"/>
              </w:rPr>
            </w:pPr>
            <w:r w:rsidRPr="00D55DC6">
              <w:rPr>
                <w:rFonts w:eastAsia="標楷體"/>
                <w:sz w:val="20"/>
                <w:szCs w:val="20"/>
              </w:rPr>
              <w:t xml:space="preserve">110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rFonts w:eastAsia="標楷體"/>
                <w:sz w:val="20"/>
                <w:szCs w:val="20"/>
              </w:rPr>
            </w:pPr>
            <w:r w:rsidRPr="00D55DC6">
              <w:rPr>
                <w:rFonts w:eastAsia="標楷體"/>
                <w:sz w:val="20"/>
                <w:szCs w:val="20"/>
              </w:rPr>
              <w:t xml:space="preserve">110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rFonts w:eastAsia="標楷體"/>
                <w:sz w:val="20"/>
                <w:szCs w:val="20"/>
              </w:rPr>
            </w:pPr>
            <w:r w:rsidRPr="00D55DC6">
              <w:rPr>
                <w:rFonts w:eastAsia="標楷體"/>
                <w:sz w:val="20"/>
                <w:szCs w:val="20"/>
              </w:rPr>
              <w:t xml:space="preserve">116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tcPr>
          <w:p w:rsidR="00C40B73" w:rsidRPr="00D55DC6" w:rsidRDefault="00C40B73" w:rsidP="00C676DD">
            <w:pPr>
              <w:widowControl/>
              <w:rPr>
                <w:rFonts w:eastAsia="標楷體"/>
                <w:kern w:val="0"/>
                <w:sz w:val="20"/>
                <w:szCs w:val="20"/>
              </w:rPr>
            </w:pPr>
            <w:r w:rsidRPr="00D55DC6">
              <w:rPr>
                <w:rFonts w:eastAsia="標楷體"/>
                <w:kern w:val="0"/>
                <w:sz w:val="20"/>
                <w:szCs w:val="20"/>
              </w:rPr>
              <w:t>戰和主題館販賣區</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50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50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53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53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55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55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58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58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tcPr>
          <w:p w:rsidR="00C40B73" w:rsidRPr="00D55DC6" w:rsidRDefault="00C40B73" w:rsidP="00C676DD">
            <w:pPr>
              <w:widowControl/>
              <w:rPr>
                <w:rFonts w:eastAsia="標楷體"/>
                <w:kern w:val="0"/>
                <w:sz w:val="20"/>
                <w:szCs w:val="20"/>
              </w:rPr>
            </w:pPr>
            <w:r w:rsidRPr="00D55DC6">
              <w:rPr>
                <w:rFonts w:eastAsia="標楷體"/>
                <w:kern w:val="0"/>
                <w:sz w:val="20"/>
                <w:szCs w:val="20"/>
              </w:rPr>
              <w:t>北竿遊客中心販賣區</w:t>
            </w:r>
          </w:p>
        </w:tc>
        <w:tc>
          <w:tcPr>
            <w:tcW w:w="737" w:type="dxa"/>
            <w:tcBorders>
              <w:top w:val="nil"/>
              <w:left w:val="nil"/>
              <w:bottom w:val="single" w:sz="4" w:space="0" w:color="auto"/>
              <w:right w:val="single" w:sz="4" w:space="0" w:color="auto"/>
            </w:tcBorders>
            <w:shd w:val="clear" w:color="auto" w:fill="auto"/>
            <w:noWrap/>
            <w:vAlign w:val="center"/>
          </w:tcPr>
          <w:p w:rsidR="00C40B73" w:rsidRPr="00D55DC6" w:rsidRDefault="00C40B73" w:rsidP="00C676DD">
            <w:pPr>
              <w:widowControl/>
              <w:jc w:val="right"/>
              <w:rPr>
                <w:rFonts w:eastAsia="標楷體"/>
                <w:kern w:val="0"/>
                <w:sz w:val="20"/>
                <w:szCs w:val="20"/>
              </w:rPr>
            </w:pPr>
            <w:r w:rsidRPr="00D55DC6">
              <w:rPr>
                <w:rFonts w:eastAsia="標楷體"/>
                <w:kern w:val="0"/>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360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360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378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378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397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397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417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tcPr>
          <w:p w:rsidR="00C40B73" w:rsidRPr="00D55DC6" w:rsidRDefault="00C40B73" w:rsidP="00C676DD">
            <w:pPr>
              <w:widowControl/>
              <w:rPr>
                <w:rFonts w:eastAsia="標楷體"/>
                <w:kern w:val="0"/>
                <w:sz w:val="20"/>
                <w:szCs w:val="20"/>
              </w:rPr>
            </w:pPr>
            <w:r w:rsidRPr="00D55DC6">
              <w:rPr>
                <w:rFonts w:eastAsia="標楷體"/>
                <w:kern w:val="0"/>
                <w:sz w:val="20"/>
                <w:szCs w:val="20"/>
              </w:rPr>
              <w:t>東引遊客中心販賣區</w:t>
            </w:r>
          </w:p>
        </w:tc>
        <w:tc>
          <w:tcPr>
            <w:tcW w:w="737" w:type="dxa"/>
            <w:tcBorders>
              <w:top w:val="nil"/>
              <w:left w:val="nil"/>
              <w:bottom w:val="single" w:sz="4" w:space="0" w:color="auto"/>
              <w:right w:val="single" w:sz="4" w:space="0" w:color="auto"/>
            </w:tcBorders>
            <w:shd w:val="clear" w:color="auto" w:fill="auto"/>
            <w:noWrap/>
            <w:vAlign w:val="center"/>
          </w:tcPr>
          <w:p w:rsidR="00C40B73" w:rsidRPr="00D55DC6" w:rsidRDefault="00C40B73" w:rsidP="00C676DD">
            <w:pPr>
              <w:widowControl/>
              <w:jc w:val="right"/>
              <w:rPr>
                <w:rFonts w:eastAsia="標楷體"/>
                <w:kern w:val="0"/>
                <w:sz w:val="20"/>
                <w:szCs w:val="20"/>
              </w:rPr>
            </w:pPr>
            <w:r w:rsidRPr="00D55DC6">
              <w:rPr>
                <w:rFonts w:eastAsia="標楷體"/>
                <w:kern w:val="0"/>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200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200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210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210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221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221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232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232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243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tcPr>
          <w:p w:rsidR="00C40B73" w:rsidRPr="00D55DC6" w:rsidRDefault="00C40B73" w:rsidP="00C676DD">
            <w:pPr>
              <w:widowControl/>
              <w:rPr>
                <w:rFonts w:eastAsia="標楷體"/>
                <w:kern w:val="0"/>
                <w:sz w:val="20"/>
                <w:szCs w:val="20"/>
              </w:rPr>
            </w:pPr>
            <w:r w:rsidRPr="00D55DC6">
              <w:rPr>
                <w:rFonts w:eastAsia="標楷體"/>
                <w:kern w:val="0"/>
                <w:sz w:val="20"/>
                <w:szCs w:val="20"/>
              </w:rPr>
              <w:t>莒光山海一家民宿委外經營</w:t>
            </w:r>
          </w:p>
        </w:tc>
        <w:tc>
          <w:tcPr>
            <w:tcW w:w="737" w:type="dxa"/>
            <w:tcBorders>
              <w:top w:val="nil"/>
              <w:left w:val="nil"/>
              <w:bottom w:val="single" w:sz="4" w:space="0" w:color="auto"/>
              <w:right w:val="single" w:sz="4" w:space="0" w:color="auto"/>
            </w:tcBorders>
            <w:shd w:val="clear" w:color="auto" w:fill="auto"/>
            <w:noWrap/>
            <w:vAlign w:val="center"/>
          </w:tcPr>
          <w:p w:rsidR="00C40B73" w:rsidRPr="00D55DC6" w:rsidRDefault="00C40B73" w:rsidP="00C676DD">
            <w:pPr>
              <w:widowControl/>
              <w:jc w:val="right"/>
              <w:rPr>
                <w:rFonts w:eastAsia="標楷體"/>
                <w:kern w:val="0"/>
                <w:sz w:val="20"/>
                <w:szCs w:val="20"/>
              </w:rPr>
            </w:pPr>
            <w:r w:rsidRPr="00D55DC6">
              <w:rPr>
                <w:rFonts w:eastAsia="標楷體"/>
                <w:kern w:val="0"/>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1,880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920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960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1,040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1,040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1,040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1,040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三、未來規劃新設據點收益</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0</w:t>
            </w:r>
          </w:p>
        </w:tc>
        <w:tc>
          <w:tcPr>
            <w:tcW w:w="738"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10206</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211</w:t>
            </w:r>
          </w:p>
        </w:tc>
        <w:tc>
          <w:tcPr>
            <w:tcW w:w="73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326</w:t>
            </w:r>
          </w:p>
        </w:tc>
        <w:tc>
          <w:tcPr>
            <w:tcW w:w="738"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1846</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北海遊憩區觀光旅館</w:t>
            </w:r>
          </w:p>
        </w:tc>
        <w:tc>
          <w:tcPr>
            <w:tcW w:w="737" w:type="dxa"/>
            <w:tcBorders>
              <w:top w:val="nil"/>
              <w:left w:val="nil"/>
              <w:bottom w:val="single" w:sz="4" w:space="0" w:color="auto"/>
              <w:right w:val="single" w:sz="4" w:space="0" w:color="auto"/>
            </w:tcBorders>
            <w:shd w:val="clear" w:color="auto" w:fill="auto"/>
            <w:noWrap/>
            <w:vAlign w:val="center"/>
          </w:tcPr>
          <w:p w:rsidR="00C40B73" w:rsidRPr="00D55DC6" w:rsidRDefault="00C40B73" w:rsidP="00C676DD">
            <w:pPr>
              <w:widowControl/>
              <w:jc w:val="right"/>
              <w:rPr>
                <w:rFonts w:eastAsia="標楷體"/>
                <w:kern w:val="0"/>
                <w:sz w:val="20"/>
                <w:szCs w:val="20"/>
              </w:rPr>
            </w:pPr>
            <w:r w:rsidRPr="00D55DC6">
              <w:rPr>
                <w:rFonts w:eastAsia="標楷體"/>
                <w:kern w:val="0"/>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w:t>
            </w:r>
            <w:r w:rsidRPr="00D55DC6">
              <w:rPr>
                <w:rFonts w:eastAsia="標楷體"/>
                <w:kern w:val="0"/>
                <w:sz w:val="20"/>
                <w:szCs w:val="20"/>
              </w:rPr>
              <w:t>南竿</w:t>
            </w:r>
            <w:r w:rsidRPr="00D55DC6">
              <w:rPr>
                <w:rFonts w:eastAsia="標楷體"/>
                <w:kern w:val="0"/>
                <w:sz w:val="20"/>
                <w:szCs w:val="20"/>
              </w:rPr>
              <w:t>)</w:t>
            </w:r>
            <w:r w:rsidRPr="00D55DC6">
              <w:rPr>
                <w:rFonts w:eastAsia="標楷體"/>
                <w:kern w:val="0"/>
                <w:sz w:val="20"/>
                <w:szCs w:val="20"/>
              </w:rPr>
              <w:t>商店或賣場委外</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w:t>
            </w:r>
            <w:r w:rsidRPr="00D55DC6">
              <w:rPr>
                <w:rFonts w:eastAsia="標楷體"/>
                <w:kern w:val="0"/>
                <w:sz w:val="20"/>
                <w:szCs w:val="20"/>
              </w:rPr>
              <w:t>南竿</w:t>
            </w:r>
            <w:r w:rsidRPr="00D55DC6">
              <w:rPr>
                <w:rFonts w:eastAsia="標楷體"/>
                <w:kern w:val="0"/>
                <w:sz w:val="20"/>
                <w:szCs w:val="20"/>
              </w:rPr>
              <w:t>)</w:t>
            </w:r>
            <w:r w:rsidRPr="00D55DC6">
              <w:rPr>
                <w:rFonts w:eastAsia="標楷體"/>
                <w:kern w:val="0"/>
                <w:sz w:val="20"/>
                <w:szCs w:val="20"/>
              </w:rPr>
              <w:t>民宿或其他委外</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115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北竿觀光旅館</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10,096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96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96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1,491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w:t>
            </w:r>
            <w:r w:rsidRPr="00D55DC6">
              <w:rPr>
                <w:rFonts w:eastAsia="標楷體"/>
                <w:kern w:val="0"/>
                <w:sz w:val="20"/>
                <w:szCs w:val="20"/>
              </w:rPr>
              <w:t>北竿</w:t>
            </w:r>
            <w:r w:rsidRPr="00D55DC6">
              <w:rPr>
                <w:rFonts w:eastAsia="標楷體"/>
                <w:kern w:val="0"/>
                <w:sz w:val="20"/>
                <w:szCs w:val="20"/>
              </w:rPr>
              <w:t>)</w:t>
            </w:r>
            <w:r w:rsidRPr="00D55DC6">
              <w:rPr>
                <w:rFonts w:eastAsia="標楷體"/>
                <w:kern w:val="0"/>
                <w:sz w:val="20"/>
                <w:szCs w:val="20"/>
              </w:rPr>
              <w:t>商店或賣場委外</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w:t>
            </w:r>
            <w:r w:rsidRPr="00D55DC6">
              <w:rPr>
                <w:rFonts w:eastAsia="標楷體"/>
                <w:kern w:val="0"/>
                <w:sz w:val="20"/>
                <w:szCs w:val="20"/>
              </w:rPr>
              <w:t>北竿</w:t>
            </w:r>
            <w:r w:rsidRPr="00D55DC6">
              <w:rPr>
                <w:rFonts w:eastAsia="標楷體"/>
                <w:kern w:val="0"/>
                <w:sz w:val="20"/>
                <w:szCs w:val="20"/>
              </w:rPr>
              <w:t>)</w:t>
            </w:r>
            <w:r w:rsidRPr="00D55DC6">
              <w:rPr>
                <w:rFonts w:eastAsia="標楷體"/>
                <w:kern w:val="0"/>
                <w:sz w:val="20"/>
                <w:szCs w:val="20"/>
              </w:rPr>
              <w:t>民宿及其他委外</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莒光觀光旅館</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w:t>
            </w:r>
            <w:r w:rsidRPr="00D55DC6">
              <w:rPr>
                <w:rFonts w:eastAsia="標楷體"/>
                <w:kern w:val="0"/>
                <w:sz w:val="20"/>
                <w:szCs w:val="20"/>
              </w:rPr>
              <w:t>莒光</w:t>
            </w:r>
            <w:r w:rsidRPr="00D55DC6">
              <w:rPr>
                <w:rFonts w:eastAsia="標楷體"/>
                <w:kern w:val="0"/>
                <w:sz w:val="20"/>
                <w:szCs w:val="20"/>
              </w:rPr>
              <w:t>)</w:t>
            </w:r>
            <w:r w:rsidRPr="00D55DC6">
              <w:rPr>
                <w:rFonts w:eastAsia="標楷體"/>
                <w:kern w:val="0"/>
                <w:sz w:val="20"/>
                <w:szCs w:val="20"/>
              </w:rPr>
              <w:t>商店或賣場委外</w:t>
            </w:r>
          </w:p>
        </w:tc>
        <w:tc>
          <w:tcPr>
            <w:tcW w:w="737" w:type="dxa"/>
            <w:tcBorders>
              <w:top w:val="nil"/>
              <w:left w:val="nil"/>
              <w:bottom w:val="single" w:sz="4" w:space="0" w:color="auto"/>
              <w:right w:val="single" w:sz="4" w:space="0" w:color="auto"/>
            </w:tcBorders>
            <w:shd w:val="clear" w:color="auto" w:fill="auto"/>
            <w:noWrap/>
            <w:vAlign w:val="center"/>
          </w:tcPr>
          <w:p w:rsidR="00C40B73" w:rsidRPr="00D55DC6" w:rsidRDefault="00C40B73" w:rsidP="00C676DD">
            <w:pPr>
              <w:widowControl/>
              <w:jc w:val="right"/>
              <w:rPr>
                <w:rFonts w:eastAsia="標楷體"/>
                <w:kern w:val="0"/>
                <w:sz w:val="20"/>
                <w:szCs w:val="20"/>
              </w:rPr>
            </w:pPr>
            <w:r w:rsidRPr="00D55DC6">
              <w:rPr>
                <w:rFonts w:eastAsia="標楷體"/>
                <w:kern w:val="0"/>
                <w:sz w:val="20"/>
                <w:szCs w:val="20"/>
              </w:rPr>
              <w:t>0</w:t>
            </w:r>
          </w:p>
        </w:tc>
        <w:tc>
          <w:tcPr>
            <w:tcW w:w="737" w:type="dxa"/>
            <w:tcBorders>
              <w:top w:val="nil"/>
              <w:left w:val="nil"/>
              <w:bottom w:val="single" w:sz="4" w:space="0" w:color="auto"/>
              <w:right w:val="single" w:sz="4" w:space="0" w:color="auto"/>
            </w:tcBorders>
            <w:shd w:val="clear" w:color="auto" w:fill="auto"/>
            <w:noWrap/>
            <w:vAlign w:val="center"/>
          </w:tcPr>
          <w:p w:rsidR="00C40B73" w:rsidRPr="00D55DC6" w:rsidRDefault="00C40B73" w:rsidP="00C676DD">
            <w:pPr>
              <w:jc w:val="right"/>
              <w:rPr>
                <w:rFonts w:eastAsia="標楷體"/>
                <w:sz w:val="20"/>
                <w:szCs w:val="20"/>
              </w:rPr>
            </w:pPr>
            <w:r w:rsidRPr="00D55DC6">
              <w:rPr>
                <w:rFonts w:eastAsia="標楷體"/>
                <w:sz w:val="20"/>
                <w:szCs w:val="20"/>
              </w:rPr>
              <w:t>0</w:t>
            </w:r>
          </w:p>
        </w:tc>
        <w:tc>
          <w:tcPr>
            <w:tcW w:w="737" w:type="dxa"/>
            <w:tcBorders>
              <w:top w:val="nil"/>
              <w:left w:val="nil"/>
              <w:bottom w:val="single" w:sz="4" w:space="0" w:color="auto"/>
              <w:right w:val="single" w:sz="4" w:space="0" w:color="auto"/>
            </w:tcBorders>
            <w:shd w:val="clear" w:color="auto" w:fill="auto"/>
            <w:noWrap/>
            <w:vAlign w:val="center"/>
          </w:tcPr>
          <w:p w:rsidR="00C40B73" w:rsidRPr="00D55DC6" w:rsidRDefault="00C40B73" w:rsidP="00C676DD">
            <w:pPr>
              <w:jc w:val="right"/>
              <w:rPr>
                <w:rFonts w:eastAsia="標楷體"/>
                <w:sz w:val="20"/>
                <w:szCs w:val="20"/>
              </w:rPr>
            </w:pPr>
            <w:r w:rsidRPr="00D55DC6">
              <w:rPr>
                <w:rFonts w:eastAsia="標楷體"/>
                <w:sz w:val="20"/>
                <w:szCs w:val="20"/>
              </w:rPr>
              <w:t xml:space="preserve">0 </w:t>
            </w:r>
          </w:p>
        </w:tc>
        <w:tc>
          <w:tcPr>
            <w:tcW w:w="737" w:type="dxa"/>
            <w:tcBorders>
              <w:top w:val="nil"/>
              <w:left w:val="nil"/>
              <w:bottom w:val="single" w:sz="4" w:space="0" w:color="auto"/>
              <w:right w:val="single" w:sz="4" w:space="0" w:color="auto"/>
            </w:tcBorders>
            <w:shd w:val="clear" w:color="auto" w:fill="auto"/>
            <w:noWrap/>
            <w:vAlign w:val="center"/>
          </w:tcPr>
          <w:p w:rsidR="00C40B73" w:rsidRPr="00D55DC6" w:rsidRDefault="00C40B73" w:rsidP="00C676DD">
            <w:pPr>
              <w:jc w:val="right"/>
              <w:rPr>
                <w:rFonts w:eastAsia="標楷體"/>
                <w:sz w:val="20"/>
                <w:szCs w:val="20"/>
              </w:rPr>
            </w:pPr>
            <w:r w:rsidRPr="00D55DC6">
              <w:rPr>
                <w:rFonts w:eastAsia="標楷體"/>
                <w:sz w:val="20"/>
                <w:szCs w:val="20"/>
              </w:rPr>
              <w:t>0</w:t>
            </w:r>
          </w:p>
        </w:tc>
        <w:tc>
          <w:tcPr>
            <w:tcW w:w="738" w:type="dxa"/>
            <w:tcBorders>
              <w:top w:val="nil"/>
              <w:left w:val="nil"/>
              <w:bottom w:val="single" w:sz="4" w:space="0" w:color="auto"/>
              <w:right w:val="single" w:sz="4" w:space="0" w:color="auto"/>
            </w:tcBorders>
            <w:shd w:val="clear" w:color="auto" w:fill="auto"/>
            <w:noWrap/>
            <w:vAlign w:val="center"/>
          </w:tcPr>
          <w:p w:rsidR="00C40B73" w:rsidRPr="00D55DC6" w:rsidRDefault="00C40B73" w:rsidP="00C676DD">
            <w:pPr>
              <w:jc w:val="right"/>
              <w:rPr>
                <w:rFonts w:eastAsia="標楷體"/>
                <w:sz w:val="20"/>
                <w:szCs w:val="20"/>
              </w:rPr>
            </w:pPr>
            <w:r w:rsidRPr="00D55DC6">
              <w:rPr>
                <w:rFonts w:eastAsia="標楷體"/>
                <w:sz w:val="20"/>
                <w:szCs w:val="20"/>
              </w:rPr>
              <w:t xml:space="preserve">0 </w:t>
            </w:r>
          </w:p>
        </w:tc>
        <w:tc>
          <w:tcPr>
            <w:tcW w:w="737" w:type="dxa"/>
            <w:tcBorders>
              <w:top w:val="nil"/>
              <w:left w:val="nil"/>
              <w:bottom w:val="single" w:sz="4" w:space="0" w:color="auto"/>
              <w:right w:val="single" w:sz="4" w:space="0" w:color="auto"/>
            </w:tcBorders>
            <w:shd w:val="clear" w:color="auto" w:fill="auto"/>
            <w:noWrap/>
            <w:vAlign w:val="center"/>
          </w:tcPr>
          <w:p w:rsidR="00C40B73" w:rsidRPr="00D55DC6" w:rsidRDefault="00C40B73" w:rsidP="00C676DD">
            <w:pPr>
              <w:jc w:val="right"/>
              <w:rPr>
                <w:rFonts w:eastAsia="標楷體"/>
                <w:sz w:val="20"/>
                <w:szCs w:val="20"/>
              </w:rPr>
            </w:pPr>
            <w:r w:rsidRPr="00D55DC6">
              <w:rPr>
                <w:rFonts w:eastAsia="標楷體"/>
                <w:sz w:val="20"/>
                <w:szCs w:val="20"/>
              </w:rPr>
              <w:t>0</w:t>
            </w:r>
          </w:p>
        </w:tc>
        <w:tc>
          <w:tcPr>
            <w:tcW w:w="737" w:type="dxa"/>
            <w:tcBorders>
              <w:top w:val="nil"/>
              <w:left w:val="nil"/>
              <w:bottom w:val="single" w:sz="4" w:space="0" w:color="auto"/>
              <w:right w:val="single" w:sz="4" w:space="0" w:color="auto"/>
            </w:tcBorders>
            <w:shd w:val="clear" w:color="auto" w:fill="auto"/>
            <w:noWrap/>
            <w:vAlign w:val="center"/>
          </w:tcPr>
          <w:p w:rsidR="00C40B73" w:rsidRPr="00D55DC6" w:rsidRDefault="00C40B73" w:rsidP="00C676DD">
            <w:pPr>
              <w:jc w:val="right"/>
              <w:rPr>
                <w:rFonts w:eastAsia="標楷體"/>
                <w:sz w:val="20"/>
                <w:szCs w:val="20"/>
              </w:rPr>
            </w:pPr>
            <w:r w:rsidRPr="00D55DC6">
              <w:rPr>
                <w:rFonts w:eastAsia="標楷體"/>
                <w:sz w:val="20"/>
                <w:szCs w:val="20"/>
              </w:rPr>
              <w:t xml:space="preserve">110 </w:t>
            </w:r>
          </w:p>
        </w:tc>
        <w:tc>
          <w:tcPr>
            <w:tcW w:w="737" w:type="dxa"/>
            <w:tcBorders>
              <w:top w:val="nil"/>
              <w:left w:val="nil"/>
              <w:bottom w:val="single" w:sz="4" w:space="0" w:color="auto"/>
              <w:right w:val="single" w:sz="4" w:space="0" w:color="auto"/>
            </w:tcBorders>
            <w:shd w:val="clear" w:color="auto" w:fill="auto"/>
            <w:noWrap/>
            <w:vAlign w:val="center"/>
          </w:tcPr>
          <w:p w:rsidR="00C40B73" w:rsidRPr="00D55DC6" w:rsidRDefault="00C40B73" w:rsidP="00C676DD">
            <w:pPr>
              <w:jc w:val="right"/>
              <w:rPr>
                <w:rFonts w:eastAsia="標楷體"/>
                <w:sz w:val="20"/>
                <w:szCs w:val="20"/>
              </w:rPr>
            </w:pPr>
            <w:r w:rsidRPr="00D55DC6">
              <w:rPr>
                <w:rFonts w:eastAsia="標楷體"/>
                <w:sz w:val="20"/>
                <w:szCs w:val="20"/>
              </w:rPr>
              <w:t xml:space="preserve">115 </w:t>
            </w:r>
          </w:p>
        </w:tc>
        <w:tc>
          <w:tcPr>
            <w:tcW w:w="737" w:type="dxa"/>
            <w:tcBorders>
              <w:top w:val="nil"/>
              <w:left w:val="nil"/>
              <w:bottom w:val="single" w:sz="4" w:space="0" w:color="auto"/>
              <w:right w:val="single" w:sz="4" w:space="0" w:color="auto"/>
            </w:tcBorders>
            <w:shd w:val="clear" w:color="auto" w:fill="auto"/>
            <w:noWrap/>
            <w:vAlign w:val="center"/>
          </w:tcPr>
          <w:p w:rsidR="00C40B73" w:rsidRPr="00D55DC6" w:rsidRDefault="00C40B73" w:rsidP="00C676DD">
            <w:pPr>
              <w:jc w:val="right"/>
              <w:rPr>
                <w:rFonts w:eastAsia="標楷體"/>
                <w:sz w:val="20"/>
                <w:szCs w:val="20"/>
              </w:rPr>
            </w:pPr>
            <w:r w:rsidRPr="00D55DC6">
              <w:rPr>
                <w:rFonts w:eastAsia="標楷體"/>
                <w:sz w:val="20"/>
                <w:szCs w:val="20"/>
              </w:rPr>
              <w:t xml:space="preserve">115 </w:t>
            </w:r>
          </w:p>
        </w:tc>
        <w:tc>
          <w:tcPr>
            <w:tcW w:w="738" w:type="dxa"/>
            <w:tcBorders>
              <w:top w:val="nil"/>
              <w:left w:val="nil"/>
              <w:bottom w:val="single" w:sz="4" w:space="0" w:color="auto"/>
              <w:right w:val="single" w:sz="4" w:space="0" w:color="auto"/>
            </w:tcBorders>
            <w:shd w:val="clear" w:color="auto" w:fill="auto"/>
            <w:noWrap/>
            <w:vAlign w:val="center"/>
          </w:tcPr>
          <w:p w:rsidR="00C40B73" w:rsidRPr="00D55DC6" w:rsidRDefault="00C40B73" w:rsidP="00C676DD">
            <w:pPr>
              <w:jc w:val="right"/>
              <w:rPr>
                <w:rFonts w:eastAsia="標楷體"/>
                <w:sz w:val="20"/>
                <w:szCs w:val="20"/>
              </w:rPr>
            </w:pPr>
            <w:r w:rsidRPr="00D55DC6">
              <w:rPr>
                <w:rFonts w:eastAsia="標楷體"/>
                <w:sz w:val="20"/>
                <w:szCs w:val="20"/>
              </w:rPr>
              <w:t xml:space="preserve">120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w:t>
            </w:r>
            <w:r w:rsidRPr="00D55DC6">
              <w:rPr>
                <w:rFonts w:eastAsia="標楷體"/>
                <w:kern w:val="0"/>
                <w:sz w:val="20"/>
                <w:szCs w:val="20"/>
              </w:rPr>
              <w:t>莒光</w:t>
            </w:r>
            <w:r w:rsidRPr="00D55DC6">
              <w:rPr>
                <w:rFonts w:eastAsia="標楷體"/>
                <w:kern w:val="0"/>
                <w:sz w:val="20"/>
                <w:szCs w:val="20"/>
              </w:rPr>
              <w:t>)</w:t>
            </w:r>
            <w:r w:rsidRPr="00D55DC6">
              <w:rPr>
                <w:rFonts w:eastAsia="標楷體"/>
                <w:kern w:val="0"/>
                <w:sz w:val="20"/>
                <w:szCs w:val="20"/>
              </w:rPr>
              <w:t>民宿及其他委外</w:t>
            </w:r>
          </w:p>
        </w:tc>
        <w:tc>
          <w:tcPr>
            <w:tcW w:w="737" w:type="dxa"/>
            <w:tcBorders>
              <w:top w:val="nil"/>
              <w:left w:val="nil"/>
              <w:bottom w:val="single" w:sz="4" w:space="0" w:color="auto"/>
              <w:right w:val="single" w:sz="4" w:space="0" w:color="auto"/>
            </w:tcBorders>
            <w:shd w:val="clear" w:color="auto" w:fill="auto"/>
            <w:noWrap/>
            <w:vAlign w:val="center"/>
          </w:tcPr>
          <w:p w:rsidR="00C40B73" w:rsidRPr="00D55DC6" w:rsidRDefault="00C40B73" w:rsidP="00C676DD">
            <w:pPr>
              <w:widowControl/>
              <w:jc w:val="right"/>
              <w:rPr>
                <w:rFonts w:eastAsia="標楷體"/>
                <w:kern w:val="0"/>
                <w:sz w:val="20"/>
                <w:szCs w:val="20"/>
              </w:rPr>
            </w:pPr>
            <w:r w:rsidRPr="00D55DC6">
              <w:rPr>
                <w:rFonts w:eastAsia="標楷體"/>
                <w:kern w:val="0"/>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東引觀光旅館</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w:t>
            </w:r>
            <w:r w:rsidRPr="00D55DC6">
              <w:rPr>
                <w:rFonts w:eastAsia="標楷體"/>
                <w:kern w:val="0"/>
                <w:sz w:val="20"/>
                <w:szCs w:val="20"/>
              </w:rPr>
              <w:t>東引</w:t>
            </w:r>
            <w:r w:rsidRPr="00D55DC6">
              <w:rPr>
                <w:rFonts w:eastAsia="標楷體"/>
                <w:kern w:val="0"/>
                <w:sz w:val="20"/>
                <w:szCs w:val="20"/>
              </w:rPr>
              <w:t>)</w:t>
            </w:r>
            <w:r w:rsidRPr="00D55DC6">
              <w:rPr>
                <w:rFonts w:eastAsia="標楷體"/>
                <w:kern w:val="0"/>
                <w:sz w:val="20"/>
                <w:szCs w:val="20"/>
              </w:rPr>
              <w:t>商店或賣場委外</w:t>
            </w:r>
          </w:p>
        </w:tc>
        <w:tc>
          <w:tcPr>
            <w:tcW w:w="737" w:type="dxa"/>
            <w:tcBorders>
              <w:top w:val="nil"/>
              <w:left w:val="nil"/>
              <w:bottom w:val="single" w:sz="4" w:space="0" w:color="auto"/>
              <w:right w:val="single" w:sz="4" w:space="0" w:color="auto"/>
            </w:tcBorders>
            <w:shd w:val="clear" w:color="auto" w:fill="auto"/>
            <w:noWrap/>
            <w:vAlign w:val="center"/>
          </w:tcPr>
          <w:p w:rsidR="00C40B73" w:rsidRPr="00D55DC6" w:rsidRDefault="00C40B73" w:rsidP="00C676DD">
            <w:pPr>
              <w:widowControl/>
              <w:jc w:val="right"/>
              <w:rPr>
                <w:rFonts w:eastAsia="標楷體"/>
                <w:kern w:val="0"/>
                <w:sz w:val="20"/>
                <w:szCs w:val="20"/>
              </w:rPr>
            </w:pPr>
            <w:r w:rsidRPr="00D55DC6">
              <w:rPr>
                <w:rFonts w:eastAsia="標楷體"/>
                <w:kern w:val="0"/>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115 </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120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w:t>
            </w:r>
            <w:r w:rsidRPr="00D55DC6">
              <w:rPr>
                <w:rFonts w:eastAsia="標楷體"/>
                <w:kern w:val="0"/>
                <w:sz w:val="20"/>
                <w:szCs w:val="20"/>
              </w:rPr>
              <w:t>東引</w:t>
            </w:r>
            <w:r w:rsidRPr="00D55DC6">
              <w:rPr>
                <w:rFonts w:eastAsia="標楷體"/>
                <w:kern w:val="0"/>
                <w:sz w:val="20"/>
                <w:szCs w:val="20"/>
              </w:rPr>
              <w:t>)</w:t>
            </w:r>
            <w:r w:rsidRPr="00D55DC6">
              <w:rPr>
                <w:rFonts w:eastAsia="標楷體"/>
                <w:kern w:val="0"/>
                <w:sz w:val="20"/>
                <w:szCs w:val="20"/>
              </w:rPr>
              <w:t>民宿及其他委外</w:t>
            </w:r>
          </w:p>
        </w:tc>
        <w:tc>
          <w:tcPr>
            <w:tcW w:w="737" w:type="dxa"/>
            <w:tcBorders>
              <w:top w:val="nil"/>
              <w:left w:val="nil"/>
              <w:bottom w:val="single" w:sz="4" w:space="0" w:color="auto"/>
              <w:right w:val="single" w:sz="4" w:space="0" w:color="auto"/>
            </w:tcBorders>
            <w:shd w:val="clear" w:color="auto" w:fill="auto"/>
            <w:noWrap/>
            <w:vAlign w:val="center"/>
          </w:tcPr>
          <w:p w:rsidR="00C40B73" w:rsidRPr="00D55DC6" w:rsidRDefault="00C40B73" w:rsidP="00C676DD">
            <w:pPr>
              <w:widowControl/>
              <w:jc w:val="right"/>
              <w:rPr>
                <w:rFonts w:eastAsia="標楷體"/>
                <w:kern w:val="0"/>
                <w:sz w:val="20"/>
                <w:szCs w:val="20"/>
              </w:rPr>
            </w:pPr>
            <w:r w:rsidRPr="00D55DC6">
              <w:rPr>
                <w:rFonts w:eastAsia="標楷體"/>
                <w:kern w:val="0"/>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73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c>
          <w:tcPr>
            <w:tcW w:w="737" w:type="dxa"/>
            <w:tcBorders>
              <w:top w:val="nil"/>
              <w:left w:val="nil"/>
              <w:bottom w:val="single" w:sz="4" w:space="0" w:color="auto"/>
              <w:right w:val="single" w:sz="4" w:space="0" w:color="auto"/>
            </w:tcBorders>
            <w:shd w:val="clear" w:color="auto" w:fill="auto"/>
            <w:noWrap/>
            <w:vAlign w:val="center"/>
          </w:tcPr>
          <w:p w:rsidR="00C40B73" w:rsidRPr="00D55DC6" w:rsidRDefault="00C40B73" w:rsidP="00C676DD">
            <w:pPr>
              <w:widowControl/>
              <w:jc w:val="right"/>
              <w:rPr>
                <w:rFonts w:eastAsia="標楷體"/>
                <w:kern w:val="0"/>
                <w:sz w:val="20"/>
                <w:szCs w:val="20"/>
              </w:rPr>
            </w:pPr>
            <w:r w:rsidRPr="00D55DC6">
              <w:rPr>
                <w:rFonts w:eastAsia="標楷體"/>
                <w:kern w:val="0"/>
                <w:sz w:val="20"/>
                <w:szCs w:val="20"/>
              </w:rPr>
              <w:t>0</w:t>
            </w:r>
          </w:p>
        </w:tc>
        <w:tc>
          <w:tcPr>
            <w:tcW w:w="73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0</w:t>
            </w:r>
          </w:p>
        </w:tc>
      </w:tr>
      <w:tr w:rsidR="001D0350" w:rsidRPr="00D55DC6" w:rsidTr="00C676DD">
        <w:trPr>
          <w:trHeight w:val="345"/>
        </w:trPr>
        <w:tc>
          <w:tcPr>
            <w:tcW w:w="2552" w:type="dxa"/>
            <w:tcBorders>
              <w:top w:val="nil"/>
              <w:left w:val="single" w:sz="4" w:space="0" w:color="auto"/>
              <w:bottom w:val="double" w:sz="6"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合</w:t>
            </w:r>
            <w:r w:rsidRPr="00D55DC6">
              <w:rPr>
                <w:rFonts w:eastAsia="標楷體"/>
                <w:kern w:val="0"/>
                <w:sz w:val="20"/>
                <w:szCs w:val="20"/>
              </w:rPr>
              <w:t xml:space="preserve">          </w:t>
            </w:r>
            <w:r w:rsidRPr="00D55DC6">
              <w:rPr>
                <w:rFonts w:eastAsia="標楷體"/>
                <w:kern w:val="0"/>
                <w:sz w:val="20"/>
                <w:szCs w:val="20"/>
              </w:rPr>
              <w:t>計</w:t>
            </w:r>
          </w:p>
        </w:tc>
        <w:tc>
          <w:tcPr>
            <w:tcW w:w="737" w:type="dxa"/>
            <w:tcBorders>
              <w:top w:val="nil"/>
              <w:left w:val="nil"/>
              <w:bottom w:val="double" w:sz="6" w:space="0" w:color="auto"/>
              <w:right w:val="single" w:sz="4" w:space="0" w:color="auto"/>
            </w:tcBorders>
            <w:shd w:val="clear" w:color="000000" w:fill="E4DFEC"/>
            <w:noWrap/>
          </w:tcPr>
          <w:p w:rsidR="00C40B73" w:rsidRPr="00D55DC6" w:rsidRDefault="00C40B73" w:rsidP="00C676DD">
            <w:pPr>
              <w:jc w:val="right"/>
              <w:rPr>
                <w:sz w:val="20"/>
                <w:szCs w:val="20"/>
              </w:rPr>
            </w:pPr>
            <w:r w:rsidRPr="00D55DC6">
              <w:rPr>
                <w:sz w:val="20"/>
                <w:szCs w:val="20"/>
              </w:rPr>
              <w:t xml:space="preserve">674 </w:t>
            </w:r>
          </w:p>
        </w:tc>
        <w:tc>
          <w:tcPr>
            <w:tcW w:w="737" w:type="dxa"/>
            <w:tcBorders>
              <w:top w:val="nil"/>
              <w:left w:val="nil"/>
              <w:bottom w:val="double" w:sz="6" w:space="0" w:color="auto"/>
              <w:right w:val="single" w:sz="4" w:space="0" w:color="auto"/>
            </w:tcBorders>
            <w:shd w:val="clear" w:color="000000" w:fill="E4DFEC"/>
            <w:noWrap/>
          </w:tcPr>
          <w:p w:rsidR="00C40B73" w:rsidRPr="00D55DC6" w:rsidRDefault="00C40B73" w:rsidP="00C676DD">
            <w:pPr>
              <w:jc w:val="right"/>
              <w:rPr>
                <w:sz w:val="20"/>
                <w:szCs w:val="20"/>
              </w:rPr>
            </w:pPr>
            <w:r w:rsidRPr="00D55DC6">
              <w:rPr>
                <w:sz w:val="20"/>
                <w:szCs w:val="20"/>
              </w:rPr>
              <w:t xml:space="preserve">1,022 </w:t>
            </w:r>
          </w:p>
        </w:tc>
        <w:tc>
          <w:tcPr>
            <w:tcW w:w="737" w:type="dxa"/>
            <w:tcBorders>
              <w:top w:val="nil"/>
              <w:left w:val="nil"/>
              <w:bottom w:val="double" w:sz="6" w:space="0" w:color="auto"/>
              <w:right w:val="single" w:sz="4" w:space="0" w:color="auto"/>
            </w:tcBorders>
            <w:shd w:val="clear" w:color="000000" w:fill="E4DFEC"/>
            <w:noWrap/>
          </w:tcPr>
          <w:p w:rsidR="00C40B73" w:rsidRPr="00D55DC6" w:rsidRDefault="00C40B73" w:rsidP="00C676DD">
            <w:pPr>
              <w:jc w:val="right"/>
              <w:rPr>
                <w:sz w:val="20"/>
                <w:szCs w:val="20"/>
              </w:rPr>
            </w:pPr>
            <w:r w:rsidRPr="00D55DC6">
              <w:rPr>
                <w:sz w:val="20"/>
                <w:szCs w:val="20"/>
              </w:rPr>
              <w:t xml:space="preserve">11,282 </w:t>
            </w:r>
          </w:p>
        </w:tc>
        <w:tc>
          <w:tcPr>
            <w:tcW w:w="737" w:type="dxa"/>
            <w:tcBorders>
              <w:top w:val="nil"/>
              <w:left w:val="nil"/>
              <w:bottom w:val="double" w:sz="6" w:space="0" w:color="auto"/>
              <w:right w:val="single" w:sz="4" w:space="0" w:color="auto"/>
            </w:tcBorders>
            <w:shd w:val="clear" w:color="000000" w:fill="E4DFEC"/>
            <w:noWrap/>
          </w:tcPr>
          <w:p w:rsidR="00C40B73" w:rsidRPr="00D55DC6" w:rsidRDefault="00C40B73" w:rsidP="00C676DD">
            <w:pPr>
              <w:jc w:val="right"/>
              <w:rPr>
                <w:sz w:val="20"/>
                <w:szCs w:val="20"/>
              </w:rPr>
            </w:pPr>
            <w:r w:rsidRPr="00D55DC6">
              <w:rPr>
                <w:sz w:val="20"/>
                <w:szCs w:val="20"/>
              </w:rPr>
              <w:t xml:space="preserve">3,656 </w:t>
            </w:r>
          </w:p>
        </w:tc>
        <w:tc>
          <w:tcPr>
            <w:tcW w:w="738" w:type="dxa"/>
            <w:tcBorders>
              <w:top w:val="nil"/>
              <w:left w:val="nil"/>
              <w:bottom w:val="double" w:sz="6" w:space="0" w:color="auto"/>
              <w:right w:val="single" w:sz="4" w:space="0" w:color="auto"/>
            </w:tcBorders>
            <w:shd w:val="clear" w:color="000000" w:fill="E4DFEC"/>
            <w:noWrap/>
          </w:tcPr>
          <w:p w:rsidR="00C40B73" w:rsidRPr="00D55DC6" w:rsidRDefault="00C40B73" w:rsidP="00C676DD">
            <w:pPr>
              <w:jc w:val="right"/>
              <w:rPr>
                <w:sz w:val="20"/>
                <w:szCs w:val="20"/>
              </w:rPr>
            </w:pPr>
            <w:r w:rsidRPr="00D55DC6">
              <w:rPr>
                <w:sz w:val="20"/>
                <w:szCs w:val="20"/>
              </w:rPr>
              <w:t xml:space="preserve">2,717 </w:t>
            </w:r>
          </w:p>
        </w:tc>
        <w:tc>
          <w:tcPr>
            <w:tcW w:w="737" w:type="dxa"/>
            <w:tcBorders>
              <w:top w:val="nil"/>
              <w:left w:val="nil"/>
              <w:bottom w:val="double" w:sz="6" w:space="0" w:color="auto"/>
              <w:right w:val="single" w:sz="4" w:space="0" w:color="auto"/>
            </w:tcBorders>
            <w:shd w:val="clear" w:color="000000" w:fill="E4DFEC"/>
            <w:noWrap/>
          </w:tcPr>
          <w:p w:rsidR="00C40B73" w:rsidRPr="00D55DC6" w:rsidRDefault="00C40B73" w:rsidP="00C676DD">
            <w:pPr>
              <w:jc w:val="right"/>
              <w:rPr>
                <w:sz w:val="20"/>
                <w:szCs w:val="20"/>
              </w:rPr>
            </w:pPr>
            <w:r w:rsidRPr="00D55DC6">
              <w:rPr>
                <w:sz w:val="20"/>
                <w:szCs w:val="20"/>
              </w:rPr>
              <w:t xml:space="preserve">4,212 </w:t>
            </w:r>
          </w:p>
        </w:tc>
        <w:tc>
          <w:tcPr>
            <w:tcW w:w="737" w:type="dxa"/>
            <w:tcBorders>
              <w:top w:val="nil"/>
              <w:left w:val="nil"/>
              <w:bottom w:val="double" w:sz="6" w:space="0" w:color="auto"/>
              <w:right w:val="single" w:sz="4" w:space="0" w:color="auto"/>
            </w:tcBorders>
            <w:shd w:val="clear" w:color="000000" w:fill="E4DFEC"/>
            <w:noWrap/>
          </w:tcPr>
          <w:p w:rsidR="00C40B73" w:rsidRPr="00D55DC6" w:rsidRDefault="00C40B73" w:rsidP="00C676DD">
            <w:pPr>
              <w:jc w:val="right"/>
              <w:rPr>
                <w:sz w:val="20"/>
                <w:szCs w:val="20"/>
              </w:rPr>
            </w:pPr>
            <w:r w:rsidRPr="00D55DC6">
              <w:rPr>
                <w:sz w:val="20"/>
                <w:szCs w:val="20"/>
              </w:rPr>
              <w:t xml:space="preserve">14,617 </w:t>
            </w:r>
          </w:p>
        </w:tc>
        <w:tc>
          <w:tcPr>
            <w:tcW w:w="737" w:type="dxa"/>
            <w:tcBorders>
              <w:top w:val="nil"/>
              <w:left w:val="nil"/>
              <w:bottom w:val="double" w:sz="6" w:space="0" w:color="auto"/>
              <w:right w:val="single" w:sz="4" w:space="0" w:color="auto"/>
            </w:tcBorders>
            <w:shd w:val="clear" w:color="000000" w:fill="E4DFEC"/>
            <w:noWrap/>
          </w:tcPr>
          <w:p w:rsidR="00C40B73" w:rsidRPr="00D55DC6" w:rsidRDefault="00C40B73" w:rsidP="00C676DD">
            <w:pPr>
              <w:jc w:val="right"/>
              <w:rPr>
                <w:sz w:val="20"/>
                <w:szCs w:val="20"/>
              </w:rPr>
            </w:pPr>
            <w:r w:rsidRPr="00D55DC6">
              <w:rPr>
                <w:sz w:val="20"/>
                <w:szCs w:val="20"/>
              </w:rPr>
              <w:t xml:space="preserve">4,790 </w:t>
            </w:r>
          </w:p>
        </w:tc>
        <w:tc>
          <w:tcPr>
            <w:tcW w:w="737" w:type="dxa"/>
            <w:tcBorders>
              <w:top w:val="nil"/>
              <w:left w:val="nil"/>
              <w:bottom w:val="double" w:sz="6" w:space="0" w:color="auto"/>
              <w:right w:val="single" w:sz="4" w:space="0" w:color="auto"/>
            </w:tcBorders>
            <w:shd w:val="clear" w:color="000000" w:fill="E4DFEC"/>
            <w:noWrap/>
          </w:tcPr>
          <w:p w:rsidR="00C40B73" w:rsidRPr="00D55DC6" w:rsidRDefault="00C40B73" w:rsidP="00C676DD">
            <w:pPr>
              <w:jc w:val="right"/>
              <w:rPr>
                <w:sz w:val="20"/>
                <w:szCs w:val="20"/>
              </w:rPr>
            </w:pPr>
            <w:r w:rsidRPr="00D55DC6">
              <w:rPr>
                <w:sz w:val="20"/>
                <w:szCs w:val="20"/>
              </w:rPr>
              <w:t xml:space="preserve">5,036 </w:t>
            </w:r>
          </w:p>
        </w:tc>
        <w:tc>
          <w:tcPr>
            <w:tcW w:w="738" w:type="dxa"/>
            <w:tcBorders>
              <w:top w:val="nil"/>
              <w:left w:val="nil"/>
              <w:bottom w:val="double" w:sz="6" w:space="0" w:color="auto"/>
              <w:right w:val="single" w:sz="4" w:space="0" w:color="auto"/>
            </w:tcBorders>
            <w:shd w:val="clear" w:color="000000" w:fill="E4DFEC"/>
            <w:noWrap/>
          </w:tcPr>
          <w:p w:rsidR="00C40B73" w:rsidRPr="00D55DC6" w:rsidRDefault="00C40B73" w:rsidP="00C676DD">
            <w:pPr>
              <w:jc w:val="right"/>
              <w:rPr>
                <w:sz w:val="20"/>
                <w:szCs w:val="20"/>
              </w:rPr>
            </w:pPr>
            <w:r w:rsidRPr="00D55DC6">
              <w:rPr>
                <w:sz w:val="20"/>
                <w:szCs w:val="20"/>
              </w:rPr>
              <w:t xml:space="preserve">6,645 </w:t>
            </w:r>
          </w:p>
        </w:tc>
      </w:tr>
    </w:tbl>
    <w:p w:rsidR="002B0433" w:rsidRPr="00D55DC6" w:rsidRDefault="002B0433" w:rsidP="009D33BA">
      <w:pPr>
        <w:spacing w:beforeLines="50" w:before="180"/>
        <w:ind w:rightChars="-435" w:right="-1044"/>
        <w:rPr>
          <w:rFonts w:eastAsia="標楷體"/>
        </w:rPr>
      </w:pPr>
    </w:p>
    <w:p w:rsidR="002B0433" w:rsidRPr="00D55DC6" w:rsidRDefault="002B0433" w:rsidP="009D33BA">
      <w:pPr>
        <w:spacing w:beforeLines="50" w:before="180"/>
        <w:ind w:rightChars="-435" w:right="-1044"/>
        <w:rPr>
          <w:rFonts w:eastAsia="標楷體"/>
        </w:rPr>
      </w:pPr>
    </w:p>
    <w:p w:rsidR="002B0433" w:rsidRPr="00D55DC6" w:rsidRDefault="002B0433" w:rsidP="009D33BA">
      <w:pPr>
        <w:spacing w:beforeLines="50" w:before="180"/>
        <w:ind w:rightChars="-435" w:right="-1044"/>
        <w:rPr>
          <w:rFonts w:eastAsia="標楷體"/>
        </w:rPr>
      </w:pPr>
    </w:p>
    <w:p w:rsidR="002B0433" w:rsidRPr="00D55DC6" w:rsidRDefault="002B0433" w:rsidP="009D33BA">
      <w:pPr>
        <w:spacing w:beforeLines="50" w:before="180"/>
        <w:ind w:rightChars="-435" w:right="-1044"/>
        <w:rPr>
          <w:rFonts w:eastAsia="標楷體"/>
        </w:rPr>
      </w:pPr>
    </w:p>
    <w:p w:rsidR="002B0433" w:rsidRPr="00D55DC6" w:rsidRDefault="002B0433" w:rsidP="009D33BA">
      <w:pPr>
        <w:spacing w:beforeLines="50" w:before="180"/>
        <w:ind w:rightChars="-435" w:right="-1044"/>
        <w:rPr>
          <w:rFonts w:eastAsia="標楷體"/>
        </w:rPr>
      </w:pPr>
    </w:p>
    <w:p w:rsidR="00C40B73" w:rsidRPr="00D55DC6" w:rsidRDefault="00C40B73" w:rsidP="009D33BA">
      <w:pPr>
        <w:spacing w:beforeLines="50" w:before="180"/>
        <w:ind w:rightChars="-435" w:right="-1044"/>
      </w:pPr>
      <w:r w:rsidRPr="00D55DC6">
        <w:rPr>
          <w:rFonts w:eastAsia="標楷體"/>
        </w:rPr>
        <w:t xml:space="preserve"> (</w:t>
      </w:r>
      <w:r w:rsidRPr="00D55DC6">
        <w:rPr>
          <w:rFonts w:eastAsia="標楷體"/>
        </w:rPr>
        <w:t>續</w:t>
      </w:r>
      <w:r w:rsidRPr="00D55DC6">
        <w:rPr>
          <w:rFonts w:eastAsia="標楷體"/>
        </w:rPr>
        <w:t>)</w:t>
      </w:r>
      <w:r w:rsidRPr="00D55DC6">
        <w:t xml:space="preserve"> </w:t>
      </w:r>
    </w:p>
    <w:tbl>
      <w:tblPr>
        <w:tblW w:w="9923" w:type="dxa"/>
        <w:tblInd w:w="-256" w:type="dxa"/>
        <w:tblLayout w:type="fixed"/>
        <w:tblCellMar>
          <w:left w:w="28" w:type="dxa"/>
          <w:right w:w="28" w:type="dxa"/>
        </w:tblCellMar>
        <w:tblLook w:val="04A0" w:firstRow="1" w:lastRow="0" w:firstColumn="1" w:lastColumn="0" w:noHBand="0" w:noVBand="1"/>
      </w:tblPr>
      <w:tblGrid>
        <w:gridCol w:w="2552"/>
        <w:gridCol w:w="709"/>
        <w:gridCol w:w="657"/>
        <w:gridCol w:w="657"/>
        <w:gridCol w:w="657"/>
        <w:gridCol w:w="657"/>
        <w:gridCol w:w="658"/>
        <w:gridCol w:w="657"/>
        <w:gridCol w:w="657"/>
        <w:gridCol w:w="657"/>
        <w:gridCol w:w="657"/>
        <w:gridCol w:w="748"/>
      </w:tblGrid>
      <w:tr w:rsidR="001D0350" w:rsidRPr="00D55DC6" w:rsidTr="00C676DD">
        <w:trPr>
          <w:trHeight w:val="585"/>
          <w:tblHeader/>
        </w:trPr>
        <w:tc>
          <w:tcPr>
            <w:tcW w:w="2552" w:type="dxa"/>
            <w:tcBorders>
              <w:top w:val="single" w:sz="4" w:space="0" w:color="auto"/>
              <w:left w:val="single" w:sz="4" w:space="0" w:color="auto"/>
              <w:bottom w:val="double" w:sz="6" w:space="0" w:color="auto"/>
              <w:right w:val="single" w:sz="4" w:space="0" w:color="auto"/>
            </w:tcBorders>
            <w:shd w:val="clear" w:color="000000" w:fill="FFCC00"/>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2"/>
                <w:szCs w:val="20"/>
              </w:rPr>
              <w:t xml:space="preserve">　　年度</w:t>
            </w:r>
            <w:r w:rsidRPr="00D55DC6">
              <w:rPr>
                <w:rFonts w:eastAsia="標楷體"/>
                <w:kern w:val="0"/>
                <w:sz w:val="22"/>
                <w:szCs w:val="20"/>
              </w:rPr>
              <w:br/>
            </w:r>
            <w:r w:rsidRPr="00D55DC6">
              <w:rPr>
                <w:rFonts w:eastAsia="標楷體"/>
                <w:kern w:val="0"/>
                <w:sz w:val="22"/>
                <w:szCs w:val="20"/>
              </w:rPr>
              <w:t>收益項目</w:t>
            </w:r>
          </w:p>
        </w:tc>
        <w:tc>
          <w:tcPr>
            <w:tcW w:w="709" w:type="dxa"/>
            <w:tcBorders>
              <w:top w:val="single" w:sz="4" w:space="0" w:color="auto"/>
              <w:left w:val="nil"/>
              <w:bottom w:val="double" w:sz="6" w:space="0" w:color="auto"/>
              <w:right w:val="single" w:sz="4" w:space="0" w:color="auto"/>
            </w:tcBorders>
            <w:shd w:val="clear" w:color="000000" w:fill="FFCC00"/>
            <w:noWrap/>
            <w:vAlign w:val="center"/>
          </w:tcPr>
          <w:p w:rsidR="00C40B73" w:rsidRPr="00D55DC6" w:rsidRDefault="00C40B73" w:rsidP="00C676DD">
            <w:pPr>
              <w:widowControl/>
              <w:jc w:val="center"/>
              <w:rPr>
                <w:rFonts w:eastAsia="標楷體"/>
                <w:kern w:val="0"/>
                <w:sz w:val="20"/>
                <w:szCs w:val="20"/>
              </w:rPr>
            </w:pPr>
            <w:r w:rsidRPr="00D55DC6">
              <w:rPr>
                <w:rFonts w:eastAsia="標楷體"/>
                <w:kern w:val="0"/>
                <w:sz w:val="20"/>
                <w:szCs w:val="20"/>
              </w:rPr>
              <w:t>113</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C40B73" w:rsidRPr="00D55DC6" w:rsidRDefault="00C40B73" w:rsidP="00C676DD">
            <w:pPr>
              <w:widowControl/>
              <w:jc w:val="center"/>
              <w:rPr>
                <w:rFonts w:eastAsia="標楷體"/>
                <w:kern w:val="0"/>
                <w:sz w:val="20"/>
                <w:szCs w:val="20"/>
              </w:rPr>
            </w:pPr>
            <w:r w:rsidRPr="00D55DC6">
              <w:rPr>
                <w:rFonts w:eastAsia="標楷體"/>
                <w:kern w:val="0"/>
                <w:sz w:val="20"/>
                <w:szCs w:val="20"/>
              </w:rPr>
              <w:t>114</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C40B73" w:rsidRPr="00D55DC6" w:rsidRDefault="00C40B73" w:rsidP="00C676DD">
            <w:pPr>
              <w:widowControl/>
              <w:jc w:val="center"/>
              <w:rPr>
                <w:rFonts w:eastAsia="標楷體"/>
                <w:kern w:val="0"/>
                <w:sz w:val="20"/>
                <w:szCs w:val="20"/>
              </w:rPr>
            </w:pPr>
            <w:r w:rsidRPr="00D55DC6">
              <w:rPr>
                <w:rFonts w:eastAsia="標楷體"/>
                <w:kern w:val="0"/>
                <w:sz w:val="20"/>
                <w:szCs w:val="20"/>
              </w:rPr>
              <w:t>115</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C40B73" w:rsidRPr="00D55DC6" w:rsidRDefault="00C40B73" w:rsidP="00C676DD">
            <w:pPr>
              <w:widowControl/>
              <w:jc w:val="center"/>
              <w:rPr>
                <w:rFonts w:eastAsia="標楷體"/>
                <w:kern w:val="0"/>
                <w:sz w:val="20"/>
                <w:szCs w:val="20"/>
              </w:rPr>
            </w:pPr>
            <w:r w:rsidRPr="00D55DC6">
              <w:rPr>
                <w:rFonts w:eastAsia="標楷體"/>
                <w:kern w:val="0"/>
                <w:sz w:val="20"/>
                <w:szCs w:val="20"/>
              </w:rPr>
              <w:t>116</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C40B73" w:rsidRPr="00D55DC6" w:rsidRDefault="00C40B73" w:rsidP="00C676DD">
            <w:pPr>
              <w:widowControl/>
              <w:jc w:val="center"/>
              <w:rPr>
                <w:rFonts w:eastAsia="標楷體"/>
                <w:kern w:val="0"/>
                <w:sz w:val="20"/>
                <w:szCs w:val="20"/>
              </w:rPr>
            </w:pPr>
            <w:r w:rsidRPr="00D55DC6">
              <w:rPr>
                <w:rFonts w:eastAsia="標楷體"/>
                <w:kern w:val="0"/>
                <w:sz w:val="20"/>
                <w:szCs w:val="20"/>
              </w:rPr>
              <w:t>117</w:t>
            </w:r>
          </w:p>
        </w:tc>
        <w:tc>
          <w:tcPr>
            <w:tcW w:w="658" w:type="dxa"/>
            <w:tcBorders>
              <w:top w:val="single" w:sz="4" w:space="0" w:color="auto"/>
              <w:left w:val="nil"/>
              <w:bottom w:val="double" w:sz="6" w:space="0" w:color="auto"/>
              <w:right w:val="single" w:sz="4" w:space="0" w:color="auto"/>
            </w:tcBorders>
            <w:shd w:val="clear" w:color="000000" w:fill="FFCC00"/>
            <w:noWrap/>
            <w:vAlign w:val="center"/>
          </w:tcPr>
          <w:p w:rsidR="00C40B73" w:rsidRPr="00D55DC6" w:rsidRDefault="00C40B73" w:rsidP="00C676DD">
            <w:pPr>
              <w:widowControl/>
              <w:jc w:val="center"/>
              <w:rPr>
                <w:rFonts w:eastAsia="標楷體"/>
                <w:kern w:val="0"/>
                <w:sz w:val="20"/>
                <w:szCs w:val="20"/>
              </w:rPr>
            </w:pPr>
            <w:r w:rsidRPr="00D55DC6">
              <w:rPr>
                <w:rFonts w:eastAsia="標楷體"/>
                <w:kern w:val="0"/>
                <w:sz w:val="20"/>
                <w:szCs w:val="20"/>
              </w:rPr>
              <w:t>118</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C40B73" w:rsidRPr="00D55DC6" w:rsidRDefault="00C40B73" w:rsidP="00C676DD">
            <w:pPr>
              <w:widowControl/>
              <w:jc w:val="center"/>
              <w:rPr>
                <w:rFonts w:eastAsia="標楷體"/>
                <w:kern w:val="0"/>
                <w:sz w:val="20"/>
                <w:szCs w:val="20"/>
              </w:rPr>
            </w:pPr>
            <w:r w:rsidRPr="00D55DC6">
              <w:rPr>
                <w:rFonts w:eastAsia="標楷體"/>
                <w:kern w:val="0"/>
                <w:sz w:val="20"/>
                <w:szCs w:val="20"/>
              </w:rPr>
              <w:t>119</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C40B73" w:rsidRPr="00D55DC6" w:rsidRDefault="00C40B73" w:rsidP="00C676DD">
            <w:pPr>
              <w:widowControl/>
              <w:jc w:val="center"/>
              <w:rPr>
                <w:rFonts w:eastAsia="標楷體"/>
                <w:kern w:val="0"/>
                <w:sz w:val="20"/>
                <w:szCs w:val="20"/>
              </w:rPr>
            </w:pPr>
            <w:r w:rsidRPr="00D55DC6">
              <w:rPr>
                <w:rFonts w:eastAsia="標楷體"/>
                <w:kern w:val="0"/>
                <w:sz w:val="20"/>
                <w:szCs w:val="20"/>
              </w:rPr>
              <w:t>120</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C40B73" w:rsidRPr="00D55DC6" w:rsidRDefault="00C40B73" w:rsidP="00C676DD">
            <w:pPr>
              <w:widowControl/>
              <w:jc w:val="center"/>
              <w:rPr>
                <w:rFonts w:eastAsia="標楷體"/>
                <w:kern w:val="0"/>
                <w:sz w:val="20"/>
                <w:szCs w:val="20"/>
              </w:rPr>
            </w:pPr>
            <w:r w:rsidRPr="00D55DC6">
              <w:rPr>
                <w:rFonts w:eastAsia="標楷體"/>
                <w:kern w:val="0"/>
                <w:sz w:val="20"/>
                <w:szCs w:val="20"/>
              </w:rPr>
              <w:t>121</w:t>
            </w:r>
          </w:p>
        </w:tc>
        <w:tc>
          <w:tcPr>
            <w:tcW w:w="657" w:type="dxa"/>
            <w:tcBorders>
              <w:top w:val="single" w:sz="4" w:space="0" w:color="auto"/>
              <w:left w:val="nil"/>
              <w:bottom w:val="double" w:sz="6" w:space="0" w:color="auto"/>
              <w:right w:val="single" w:sz="4" w:space="0" w:color="auto"/>
            </w:tcBorders>
            <w:shd w:val="clear" w:color="000000" w:fill="FFCC00"/>
            <w:noWrap/>
            <w:vAlign w:val="center"/>
          </w:tcPr>
          <w:p w:rsidR="00C40B73" w:rsidRPr="00D55DC6" w:rsidRDefault="00C40B73" w:rsidP="00C676DD">
            <w:pPr>
              <w:widowControl/>
              <w:jc w:val="center"/>
              <w:rPr>
                <w:rFonts w:eastAsia="標楷體"/>
                <w:kern w:val="0"/>
                <w:sz w:val="20"/>
                <w:szCs w:val="20"/>
              </w:rPr>
            </w:pPr>
            <w:r w:rsidRPr="00D55DC6">
              <w:rPr>
                <w:rFonts w:eastAsia="標楷體"/>
                <w:kern w:val="0"/>
                <w:sz w:val="20"/>
                <w:szCs w:val="20"/>
              </w:rPr>
              <w:t>122</w:t>
            </w:r>
          </w:p>
        </w:tc>
        <w:tc>
          <w:tcPr>
            <w:tcW w:w="748" w:type="dxa"/>
            <w:tcBorders>
              <w:top w:val="single" w:sz="4" w:space="0" w:color="auto"/>
              <w:left w:val="nil"/>
              <w:bottom w:val="double" w:sz="6" w:space="0" w:color="auto"/>
              <w:right w:val="single" w:sz="4" w:space="0" w:color="auto"/>
            </w:tcBorders>
            <w:shd w:val="clear" w:color="000000" w:fill="FFCC00"/>
            <w:noWrap/>
            <w:vAlign w:val="center"/>
          </w:tcPr>
          <w:p w:rsidR="00C40B73" w:rsidRPr="00D55DC6" w:rsidRDefault="00C40B73" w:rsidP="00C676DD">
            <w:pPr>
              <w:widowControl/>
              <w:jc w:val="center"/>
              <w:rPr>
                <w:rFonts w:eastAsia="標楷體"/>
                <w:kern w:val="0"/>
                <w:sz w:val="20"/>
                <w:szCs w:val="20"/>
              </w:rPr>
            </w:pPr>
            <w:r w:rsidRPr="00D55DC6">
              <w:rPr>
                <w:rFonts w:eastAsia="標楷體"/>
                <w:kern w:val="0"/>
                <w:sz w:val="20"/>
                <w:szCs w:val="20"/>
              </w:rPr>
              <w:t>合計</w:t>
            </w:r>
          </w:p>
        </w:tc>
      </w:tr>
      <w:tr w:rsidR="001D0350" w:rsidRPr="00D55DC6" w:rsidTr="00C676DD">
        <w:trPr>
          <w:trHeight w:val="345"/>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一、既有出租據點收益</w:t>
            </w:r>
          </w:p>
        </w:tc>
        <w:tc>
          <w:tcPr>
            <w:tcW w:w="709"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859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888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901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932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947 </w:t>
            </w:r>
          </w:p>
        </w:tc>
        <w:tc>
          <w:tcPr>
            <w:tcW w:w="658"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980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995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1,028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1,044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1,080 </w:t>
            </w:r>
          </w:p>
        </w:tc>
        <w:tc>
          <w:tcPr>
            <w:tcW w:w="748"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17,213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北海坑道獨木舟</w:t>
            </w:r>
          </w:p>
        </w:tc>
        <w:tc>
          <w:tcPr>
            <w:tcW w:w="709"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274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274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287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287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302 </w:t>
            </w:r>
          </w:p>
        </w:tc>
        <w:tc>
          <w:tcPr>
            <w:tcW w:w="65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302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317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317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333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333 </w:t>
            </w:r>
          </w:p>
        </w:tc>
        <w:tc>
          <w:tcPr>
            <w:tcW w:w="74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5,394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南竿遊客中心販賣區</w:t>
            </w:r>
          </w:p>
        </w:tc>
        <w:tc>
          <w:tcPr>
            <w:tcW w:w="709"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440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462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462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485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485 </w:t>
            </w:r>
          </w:p>
        </w:tc>
        <w:tc>
          <w:tcPr>
            <w:tcW w:w="65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510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510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535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535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562 </w:t>
            </w:r>
          </w:p>
        </w:tc>
        <w:tc>
          <w:tcPr>
            <w:tcW w:w="74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8,892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坂里大宅</w:t>
            </w:r>
          </w:p>
        </w:tc>
        <w:tc>
          <w:tcPr>
            <w:tcW w:w="709"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152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152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160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160 </w:t>
            </w:r>
          </w:p>
        </w:tc>
        <w:tc>
          <w:tcPr>
            <w:tcW w:w="65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168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168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176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176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185 </w:t>
            </w:r>
          </w:p>
        </w:tc>
        <w:tc>
          <w:tcPr>
            <w:tcW w:w="74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2,927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二、規劃中新設據點收益</w:t>
            </w:r>
            <w:r w:rsidRPr="00D55DC6">
              <w:rPr>
                <w:rFonts w:eastAsia="標楷體"/>
                <w:kern w:val="0"/>
                <w:sz w:val="20"/>
                <w:szCs w:val="20"/>
              </w:rPr>
              <w:t xml:space="preserve"> </w:t>
            </w:r>
          </w:p>
        </w:tc>
        <w:tc>
          <w:tcPr>
            <w:tcW w:w="709"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3,990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4,054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4,088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4,156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4,197 </w:t>
            </w:r>
          </w:p>
        </w:tc>
        <w:tc>
          <w:tcPr>
            <w:tcW w:w="658"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4,325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4,363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4,500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4,597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4,742 </w:t>
            </w:r>
          </w:p>
        </w:tc>
        <w:tc>
          <w:tcPr>
            <w:tcW w:w="748"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77,515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四維觀光度假園區</w:t>
            </w:r>
          </w:p>
        </w:tc>
        <w:tc>
          <w:tcPr>
            <w:tcW w:w="709"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1,852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1,877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1,902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1,923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1,955 </w:t>
            </w:r>
          </w:p>
        </w:tc>
        <w:tc>
          <w:tcPr>
            <w:tcW w:w="65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1,982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2,010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2,038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2,067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2,096 </w:t>
            </w:r>
          </w:p>
        </w:tc>
        <w:tc>
          <w:tcPr>
            <w:tcW w:w="74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38,397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tcPr>
          <w:p w:rsidR="00C40B73" w:rsidRPr="00D55DC6" w:rsidRDefault="00C40B73" w:rsidP="00C676DD">
            <w:pPr>
              <w:widowControl/>
              <w:rPr>
                <w:rFonts w:eastAsia="標楷體"/>
                <w:kern w:val="0"/>
                <w:sz w:val="20"/>
                <w:szCs w:val="20"/>
              </w:rPr>
            </w:pPr>
            <w:r w:rsidRPr="00D55DC6">
              <w:rPr>
                <w:rFonts w:eastAsia="標楷體"/>
                <w:kern w:val="0"/>
                <w:sz w:val="20"/>
                <w:szCs w:val="20"/>
              </w:rPr>
              <w:t>55</w:t>
            </w:r>
            <w:r w:rsidRPr="00D55DC6">
              <w:rPr>
                <w:rFonts w:eastAsia="標楷體"/>
                <w:kern w:val="0"/>
                <w:sz w:val="20"/>
                <w:szCs w:val="20"/>
              </w:rPr>
              <w:t>據點委外經營</w:t>
            </w:r>
          </w:p>
        </w:tc>
        <w:tc>
          <w:tcPr>
            <w:tcW w:w="709"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139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139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139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146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146 </w:t>
            </w:r>
          </w:p>
        </w:tc>
        <w:tc>
          <w:tcPr>
            <w:tcW w:w="65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153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153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161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161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169 </w:t>
            </w:r>
          </w:p>
        </w:tc>
        <w:tc>
          <w:tcPr>
            <w:tcW w:w="74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2,698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tcPr>
          <w:p w:rsidR="00C40B73" w:rsidRPr="00D55DC6" w:rsidRDefault="00C40B73" w:rsidP="00C676DD">
            <w:pPr>
              <w:widowControl/>
              <w:rPr>
                <w:rFonts w:eastAsia="標楷體"/>
                <w:kern w:val="0"/>
                <w:sz w:val="20"/>
                <w:szCs w:val="20"/>
              </w:rPr>
            </w:pPr>
            <w:r w:rsidRPr="00D55DC6">
              <w:rPr>
                <w:rFonts w:eastAsia="標楷體"/>
                <w:kern w:val="0"/>
                <w:sz w:val="20"/>
                <w:szCs w:val="20"/>
              </w:rPr>
              <w:t>77</w:t>
            </w:r>
            <w:r w:rsidRPr="00D55DC6">
              <w:rPr>
                <w:rFonts w:eastAsia="標楷體"/>
                <w:kern w:val="0"/>
                <w:sz w:val="20"/>
                <w:szCs w:val="20"/>
              </w:rPr>
              <w:t>據點委外經營</w:t>
            </w:r>
          </w:p>
        </w:tc>
        <w:tc>
          <w:tcPr>
            <w:tcW w:w="709"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122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122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128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128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134 </w:t>
            </w:r>
          </w:p>
        </w:tc>
        <w:tc>
          <w:tcPr>
            <w:tcW w:w="65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134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141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141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148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148 </w:t>
            </w:r>
          </w:p>
        </w:tc>
        <w:tc>
          <w:tcPr>
            <w:tcW w:w="74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2,208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tcPr>
          <w:p w:rsidR="00C40B73" w:rsidRPr="00D55DC6" w:rsidRDefault="00C40B73" w:rsidP="00C676DD">
            <w:pPr>
              <w:widowControl/>
              <w:rPr>
                <w:rFonts w:eastAsia="標楷體"/>
                <w:kern w:val="0"/>
                <w:sz w:val="20"/>
                <w:szCs w:val="20"/>
              </w:rPr>
            </w:pPr>
            <w:r w:rsidRPr="00D55DC6">
              <w:rPr>
                <w:rFonts w:eastAsia="標楷體"/>
                <w:kern w:val="0"/>
                <w:sz w:val="20"/>
                <w:szCs w:val="20"/>
              </w:rPr>
              <w:t>57</w:t>
            </w:r>
            <w:r w:rsidRPr="00D55DC6">
              <w:rPr>
                <w:rFonts w:eastAsia="標楷體"/>
                <w:kern w:val="0"/>
                <w:sz w:val="20"/>
                <w:szCs w:val="20"/>
              </w:rPr>
              <w:t>據點委外經營</w:t>
            </w:r>
          </w:p>
        </w:tc>
        <w:tc>
          <w:tcPr>
            <w:tcW w:w="709"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116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122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122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128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128 </w:t>
            </w:r>
          </w:p>
        </w:tc>
        <w:tc>
          <w:tcPr>
            <w:tcW w:w="65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134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134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141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141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148 </w:t>
            </w:r>
          </w:p>
        </w:tc>
        <w:tc>
          <w:tcPr>
            <w:tcW w:w="74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2,060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tcPr>
          <w:p w:rsidR="00C40B73" w:rsidRPr="00D55DC6" w:rsidRDefault="00C40B73" w:rsidP="00C676DD">
            <w:pPr>
              <w:widowControl/>
              <w:rPr>
                <w:rFonts w:eastAsia="標楷體"/>
                <w:kern w:val="0"/>
                <w:sz w:val="20"/>
                <w:szCs w:val="20"/>
              </w:rPr>
            </w:pPr>
            <w:r w:rsidRPr="00D55DC6">
              <w:rPr>
                <w:rFonts w:eastAsia="標楷體"/>
                <w:kern w:val="0"/>
                <w:sz w:val="20"/>
                <w:szCs w:val="20"/>
              </w:rPr>
              <w:t>戰和主題館販賣區</w:t>
            </w:r>
          </w:p>
        </w:tc>
        <w:tc>
          <w:tcPr>
            <w:tcW w:w="709"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61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61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64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64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67 </w:t>
            </w:r>
          </w:p>
        </w:tc>
        <w:tc>
          <w:tcPr>
            <w:tcW w:w="65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67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70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70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74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74 </w:t>
            </w:r>
          </w:p>
        </w:tc>
        <w:tc>
          <w:tcPr>
            <w:tcW w:w="74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1,104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tcPr>
          <w:p w:rsidR="00C40B73" w:rsidRPr="00D55DC6" w:rsidRDefault="00C40B73" w:rsidP="00C676DD">
            <w:pPr>
              <w:widowControl/>
              <w:rPr>
                <w:rFonts w:eastAsia="標楷體"/>
                <w:kern w:val="0"/>
                <w:sz w:val="20"/>
                <w:szCs w:val="20"/>
              </w:rPr>
            </w:pPr>
            <w:r w:rsidRPr="00D55DC6">
              <w:rPr>
                <w:rFonts w:eastAsia="標楷體"/>
                <w:kern w:val="0"/>
                <w:sz w:val="20"/>
                <w:szCs w:val="20"/>
              </w:rPr>
              <w:t>北竿遊客中心販賣區</w:t>
            </w:r>
          </w:p>
        </w:tc>
        <w:tc>
          <w:tcPr>
            <w:tcW w:w="709"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417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438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438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459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459 </w:t>
            </w:r>
          </w:p>
        </w:tc>
        <w:tc>
          <w:tcPr>
            <w:tcW w:w="65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482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482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507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507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532 </w:t>
            </w:r>
          </w:p>
        </w:tc>
        <w:tc>
          <w:tcPr>
            <w:tcW w:w="74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7,408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tcPr>
          <w:p w:rsidR="00C40B73" w:rsidRPr="00D55DC6" w:rsidRDefault="00C40B73" w:rsidP="00C676DD">
            <w:pPr>
              <w:widowControl/>
              <w:rPr>
                <w:rFonts w:eastAsia="標楷體"/>
                <w:kern w:val="0"/>
                <w:sz w:val="20"/>
                <w:szCs w:val="20"/>
              </w:rPr>
            </w:pPr>
            <w:r w:rsidRPr="00D55DC6">
              <w:rPr>
                <w:rFonts w:eastAsia="標楷體"/>
                <w:kern w:val="0"/>
                <w:sz w:val="20"/>
                <w:szCs w:val="20"/>
              </w:rPr>
              <w:t>東引遊客中心販賣區</w:t>
            </w:r>
          </w:p>
        </w:tc>
        <w:tc>
          <w:tcPr>
            <w:tcW w:w="709"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243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255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255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268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268 </w:t>
            </w:r>
          </w:p>
        </w:tc>
        <w:tc>
          <w:tcPr>
            <w:tcW w:w="65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281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281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295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295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310 </w:t>
            </w:r>
          </w:p>
        </w:tc>
        <w:tc>
          <w:tcPr>
            <w:tcW w:w="74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4,720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tcPr>
          <w:p w:rsidR="00C40B73" w:rsidRPr="00D55DC6" w:rsidRDefault="00C40B73" w:rsidP="00C676DD">
            <w:pPr>
              <w:widowControl/>
              <w:rPr>
                <w:rFonts w:eastAsia="標楷體"/>
                <w:kern w:val="0"/>
                <w:sz w:val="20"/>
                <w:szCs w:val="20"/>
              </w:rPr>
            </w:pPr>
            <w:r w:rsidRPr="00D55DC6">
              <w:rPr>
                <w:rFonts w:eastAsia="標楷體"/>
                <w:kern w:val="0"/>
                <w:sz w:val="20"/>
                <w:szCs w:val="20"/>
              </w:rPr>
              <w:t>莒光山海一家民宿委外經營</w:t>
            </w:r>
          </w:p>
        </w:tc>
        <w:tc>
          <w:tcPr>
            <w:tcW w:w="709"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1,040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1,040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1,040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1,040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1,040 </w:t>
            </w:r>
          </w:p>
        </w:tc>
        <w:tc>
          <w:tcPr>
            <w:tcW w:w="65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1,092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1,092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1,147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1,204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1,265 </w:t>
            </w:r>
          </w:p>
        </w:tc>
        <w:tc>
          <w:tcPr>
            <w:tcW w:w="74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18,920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三、未來規劃新設據點收益</w:t>
            </w:r>
          </w:p>
        </w:tc>
        <w:tc>
          <w:tcPr>
            <w:tcW w:w="709"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12,167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2,286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2,399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4,213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17,358 </w:t>
            </w:r>
          </w:p>
        </w:tc>
        <w:tc>
          <w:tcPr>
            <w:tcW w:w="658"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4,767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4,925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6,893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17,240 </w:t>
            </w:r>
          </w:p>
        </w:tc>
        <w:tc>
          <w:tcPr>
            <w:tcW w:w="657"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7,341 </w:t>
            </w:r>
          </w:p>
        </w:tc>
        <w:tc>
          <w:tcPr>
            <w:tcW w:w="748" w:type="dxa"/>
            <w:tcBorders>
              <w:top w:val="nil"/>
              <w:left w:val="nil"/>
              <w:bottom w:val="single" w:sz="4" w:space="0" w:color="auto"/>
              <w:right w:val="single" w:sz="4" w:space="0" w:color="auto"/>
            </w:tcBorders>
            <w:shd w:val="clear" w:color="000000" w:fill="DAEEF3"/>
            <w:noWrap/>
          </w:tcPr>
          <w:p w:rsidR="00C40B73" w:rsidRPr="00D55DC6" w:rsidRDefault="00C40B73" w:rsidP="00C676DD">
            <w:pPr>
              <w:jc w:val="right"/>
              <w:rPr>
                <w:sz w:val="20"/>
                <w:szCs w:val="20"/>
              </w:rPr>
            </w:pPr>
            <w:r w:rsidRPr="00D55DC6">
              <w:rPr>
                <w:sz w:val="20"/>
                <w:szCs w:val="20"/>
              </w:rPr>
              <w:t xml:space="preserve">92,178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北海遊憩區觀光旅館</w:t>
            </w:r>
          </w:p>
        </w:tc>
        <w:tc>
          <w:tcPr>
            <w:tcW w:w="709"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13,000 </w:t>
            </w:r>
          </w:p>
        </w:tc>
        <w:tc>
          <w:tcPr>
            <w:tcW w:w="65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2,038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2,067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2,096 </w:t>
            </w:r>
          </w:p>
        </w:tc>
        <w:tc>
          <w:tcPr>
            <w:tcW w:w="74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19,461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w:t>
            </w:r>
            <w:r w:rsidRPr="00D55DC6">
              <w:rPr>
                <w:rFonts w:eastAsia="標楷體"/>
                <w:kern w:val="0"/>
                <w:sz w:val="20"/>
                <w:szCs w:val="20"/>
              </w:rPr>
              <w:t>南竿</w:t>
            </w:r>
            <w:r w:rsidRPr="00D55DC6">
              <w:rPr>
                <w:rFonts w:eastAsia="標楷體"/>
                <w:kern w:val="0"/>
                <w:sz w:val="20"/>
                <w:szCs w:val="20"/>
              </w:rPr>
              <w:t>)</w:t>
            </w:r>
            <w:r w:rsidRPr="00D55DC6">
              <w:rPr>
                <w:rFonts w:eastAsia="標楷體"/>
                <w:kern w:val="0"/>
                <w:sz w:val="20"/>
                <w:szCs w:val="20"/>
              </w:rPr>
              <w:t>商店或賣場委外</w:t>
            </w:r>
          </w:p>
        </w:tc>
        <w:tc>
          <w:tcPr>
            <w:tcW w:w="709"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250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260 </w:t>
            </w:r>
          </w:p>
        </w:tc>
        <w:tc>
          <w:tcPr>
            <w:tcW w:w="65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260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270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270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280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280 </w:t>
            </w:r>
          </w:p>
        </w:tc>
        <w:tc>
          <w:tcPr>
            <w:tcW w:w="74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1,870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w:t>
            </w:r>
            <w:r w:rsidRPr="00D55DC6">
              <w:rPr>
                <w:rFonts w:eastAsia="標楷體"/>
                <w:kern w:val="0"/>
                <w:sz w:val="20"/>
                <w:szCs w:val="20"/>
              </w:rPr>
              <w:t>南竿</w:t>
            </w:r>
            <w:r w:rsidRPr="00D55DC6">
              <w:rPr>
                <w:rFonts w:eastAsia="標楷體"/>
                <w:kern w:val="0"/>
                <w:sz w:val="20"/>
                <w:szCs w:val="20"/>
              </w:rPr>
              <w:t>)</w:t>
            </w:r>
            <w:r w:rsidRPr="00D55DC6">
              <w:rPr>
                <w:rFonts w:eastAsia="標楷體"/>
                <w:kern w:val="0"/>
                <w:sz w:val="20"/>
                <w:szCs w:val="20"/>
              </w:rPr>
              <w:t>民宿或其他委外</w:t>
            </w:r>
          </w:p>
        </w:tc>
        <w:tc>
          <w:tcPr>
            <w:tcW w:w="709"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130 </w:t>
            </w:r>
          </w:p>
        </w:tc>
        <w:tc>
          <w:tcPr>
            <w:tcW w:w="65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140 </w:t>
            </w:r>
          </w:p>
        </w:tc>
        <w:tc>
          <w:tcPr>
            <w:tcW w:w="74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1,415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北竿觀光旅館</w:t>
            </w:r>
          </w:p>
        </w:tc>
        <w:tc>
          <w:tcPr>
            <w:tcW w:w="709"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1,591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1,695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1,803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1,827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1,852 </w:t>
            </w:r>
          </w:p>
        </w:tc>
        <w:tc>
          <w:tcPr>
            <w:tcW w:w="65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1,877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1,902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1,923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1,955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1,982 </w:t>
            </w:r>
          </w:p>
        </w:tc>
        <w:tc>
          <w:tcPr>
            <w:tcW w:w="74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30,186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w:t>
            </w:r>
            <w:r w:rsidRPr="00D55DC6">
              <w:rPr>
                <w:rFonts w:eastAsia="標楷體"/>
                <w:kern w:val="0"/>
                <w:sz w:val="20"/>
                <w:szCs w:val="20"/>
              </w:rPr>
              <w:t>北竿</w:t>
            </w:r>
            <w:r w:rsidRPr="00D55DC6">
              <w:rPr>
                <w:rFonts w:eastAsia="標楷體"/>
                <w:kern w:val="0"/>
                <w:sz w:val="20"/>
                <w:szCs w:val="20"/>
              </w:rPr>
              <w:t>)</w:t>
            </w:r>
            <w:r w:rsidRPr="00D55DC6">
              <w:rPr>
                <w:rFonts w:eastAsia="標楷體"/>
                <w:kern w:val="0"/>
                <w:sz w:val="20"/>
                <w:szCs w:val="20"/>
              </w:rPr>
              <w:t>商店或賣場委外</w:t>
            </w:r>
          </w:p>
        </w:tc>
        <w:tc>
          <w:tcPr>
            <w:tcW w:w="709"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130 </w:t>
            </w:r>
          </w:p>
        </w:tc>
        <w:tc>
          <w:tcPr>
            <w:tcW w:w="65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145 </w:t>
            </w:r>
          </w:p>
        </w:tc>
        <w:tc>
          <w:tcPr>
            <w:tcW w:w="74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1,325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w:t>
            </w:r>
            <w:r w:rsidRPr="00D55DC6">
              <w:rPr>
                <w:rFonts w:eastAsia="標楷體"/>
                <w:kern w:val="0"/>
                <w:sz w:val="20"/>
                <w:szCs w:val="20"/>
              </w:rPr>
              <w:t>北竿</w:t>
            </w:r>
            <w:r w:rsidRPr="00D55DC6">
              <w:rPr>
                <w:rFonts w:eastAsia="標楷體"/>
                <w:kern w:val="0"/>
                <w:sz w:val="20"/>
                <w:szCs w:val="20"/>
              </w:rPr>
              <w:t>)</w:t>
            </w:r>
            <w:r w:rsidRPr="00D55DC6">
              <w:rPr>
                <w:rFonts w:eastAsia="標楷體"/>
                <w:kern w:val="0"/>
                <w:sz w:val="20"/>
                <w:szCs w:val="20"/>
              </w:rPr>
              <w:t>民宿及其他委外</w:t>
            </w:r>
          </w:p>
        </w:tc>
        <w:tc>
          <w:tcPr>
            <w:tcW w:w="709"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145 </w:t>
            </w:r>
          </w:p>
        </w:tc>
        <w:tc>
          <w:tcPr>
            <w:tcW w:w="74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705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莒光觀光旅館</w:t>
            </w:r>
          </w:p>
        </w:tc>
        <w:tc>
          <w:tcPr>
            <w:tcW w:w="709"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10,096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96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96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1,491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1,591 </w:t>
            </w:r>
          </w:p>
        </w:tc>
        <w:tc>
          <w:tcPr>
            <w:tcW w:w="65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1,695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1,803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1,827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1,852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1,877 </w:t>
            </w:r>
          </w:p>
        </w:tc>
        <w:tc>
          <w:tcPr>
            <w:tcW w:w="74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22,424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w:t>
            </w:r>
            <w:r w:rsidRPr="00D55DC6">
              <w:rPr>
                <w:rFonts w:eastAsia="標楷體"/>
                <w:kern w:val="0"/>
                <w:sz w:val="20"/>
                <w:szCs w:val="20"/>
              </w:rPr>
              <w:t>莒光</w:t>
            </w:r>
            <w:r w:rsidRPr="00D55DC6">
              <w:rPr>
                <w:rFonts w:eastAsia="標楷體"/>
                <w:kern w:val="0"/>
                <w:sz w:val="20"/>
                <w:szCs w:val="20"/>
              </w:rPr>
              <w:t>)</w:t>
            </w:r>
            <w:r w:rsidRPr="00D55DC6">
              <w:rPr>
                <w:rFonts w:eastAsia="標楷體"/>
                <w:kern w:val="0"/>
                <w:sz w:val="20"/>
                <w:szCs w:val="20"/>
              </w:rPr>
              <w:t>商店或賣場委外</w:t>
            </w:r>
          </w:p>
        </w:tc>
        <w:tc>
          <w:tcPr>
            <w:tcW w:w="709"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130 </w:t>
            </w:r>
          </w:p>
        </w:tc>
        <w:tc>
          <w:tcPr>
            <w:tcW w:w="65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145 </w:t>
            </w:r>
          </w:p>
        </w:tc>
        <w:tc>
          <w:tcPr>
            <w:tcW w:w="74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1,785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w:t>
            </w:r>
            <w:r w:rsidRPr="00D55DC6">
              <w:rPr>
                <w:rFonts w:eastAsia="標楷體"/>
                <w:kern w:val="0"/>
                <w:sz w:val="20"/>
                <w:szCs w:val="20"/>
              </w:rPr>
              <w:t>莒光</w:t>
            </w:r>
            <w:r w:rsidRPr="00D55DC6">
              <w:rPr>
                <w:rFonts w:eastAsia="標楷體"/>
                <w:kern w:val="0"/>
                <w:sz w:val="20"/>
                <w:szCs w:val="20"/>
              </w:rPr>
              <w:t>)</w:t>
            </w:r>
            <w:r w:rsidRPr="00D55DC6">
              <w:rPr>
                <w:rFonts w:eastAsia="標楷體"/>
                <w:kern w:val="0"/>
                <w:sz w:val="20"/>
                <w:szCs w:val="20"/>
              </w:rPr>
              <w:t>民宿及其他委外</w:t>
            </w:r>
          </w:p>
        </w:tc>
        <w:tc>
          <w:tcPr>
            <w:tcW w:w="709"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135 </w:t>
            </w:r>
          </w:p>
        </w:tc>
        <w:tc>
          <w:tcPr>
            <w:tcW w:w="65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145 </w:t>
            </w:r>
          </w:p>
        </w:tc>
        <w:tc>
          <w:tcPr>
            <w:tcW w:w="74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970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東引觀光旅館</w:t>
            </w:r>
          </w:p>
        </w:tc>
        <w:tc>
          <w:tcPr>
            <w:tcW w:w="709"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10,096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96 </w:t>
            </w:r>
          </w:p>
        </w:tc>
        <w:tc>
          <w:tcPr>
            <w:tcW w:w="74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10,192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w:t>
            </w:r>
            <w:r w:rsidRPr="00D55DC6">
              <w:rPr>
                <w:rFonts w:eastAsia="標楷體"/>
                <w:kern w:val="0"/>
                <w:sz w:val="20"/>
                <w:szCs w:val="20"/>
              </w:rPr>
              <w:t>東引</w:t>
            </w:r>
            <w:r w:rsidRPr="00D55DC6">
              <w:rPr>
                <w:rFonts w:eastAsia="標楷體"/>
                <w:kern w:val="0"/>
                <w:sz w:val="20"/>
                <w:szCs w:val="20"/>
              </w:rPr>
              <w:t>)</w:t>
            </w:r>
            <w:r w:rsidRPr="00D55DC6">
              <w:rPr>
                <w:rFonts w:eastAsia="標楷體"/>
                <w:kern w:val="0"/>
                <w:sz w:val="20"/>
                <w:szCs w:val="20"/>
              </w:rPr>
              <w:t>商店或賣場委外</w:t>
            </w:r>
          </w:p>
        </w:tc>
        <w:tc>
          <w:tcPr>
            <w:tcW w:w="709"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125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130 </w:t>
            </w:r>
          </w:p>
        </w:tc>
        <w:tc>
          <w:tcPr>
            <w:tcW w:w="65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135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145 </w:t>
            </w:r>
          </w:p>
        </w:tc>
        <w:tc>
          <w:tcPr>
            <w:tcW w:w="74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1,560 </w:t>
            </w:r>
          </w:p>
        </w:tc>
      </w:tr>
      <w:tr w:rsidR="001D0350" w:rsidRPr="00D55DC6" w:rsidTr="00C676DD">
        <w:trPr>
          <w:trHeight w:val="330"/>
        </w:trPr>
        <w:tc>
          <w:tcPr>
            <w:tcW w:w="2552" w:type="dxa"/>
            <w:tcBorders>
              <w:top w:val="nil"/>
              <w:left w:val="single" w:sz="4" w:space="0" w:color="auto"/>
              <w:bottom w:val="single" w:sz="4"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w:t>
            </w:r>
            <w:r w:rsidRPr="00D55DC6">
              <w:rPr>
                <w:rFonts w:eastAsia="標楷體"/>
                <w:kern w:val="0"/>
                <w:sz w:val="20"/>
                <w:szCs w:val="20"/>
              </w:rPr>
              <w:t>東引</w:t>
            </w:r>
            <w:r w:rsidRPr="00D55DC6">
              <w:rPr>
                <w:rFonts w:eastAsia="標楷體"/>
                <w:kern w:val="0"/>
                <w:sz w:val="20"/>
                <w:szCs w:val="20"/>
              </w:rPr>
              <w:t>)</w:t>
            </w:r>
            <w:r w:rsidRPr="00D55DC6">
              <w:rPr>
                <w:rFonts w:eastAsia="標楷體"/>
                <w:kern w:val="0"/>
                <w:sz w:val="20"/>
                <w:szCs w:val="20"/>
              </w:rPr>
              <w:t>民宿及其他委外</w:t>
            </w:r>
          </w:p>
        </w:tc>
        <w:tc>
          <w:tcPr>
            <w:tcW w:w="709"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140 </w:t>
            </w:r>
          </w:p>
        </w:tc>
        <w:tc>
          <w:tcPr>
            <w:tcW w:w="657"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145 </w:t>
            </w:r>
          </w:p>
        </w:tc>
        <w:tc>
          <w:tcPr>
            <w:tcW w:w="748" w:type="dxa"/>
            <w:tcBorders>
              <w:top w:val="nil"/>
              <w:left w:val="nil"/>
              <w:bottom w:val="single" w:sz="4" w:space="0" w:color="auto"/>
              <w:right w:val="single" w:sz="4" w:space="0" w:color="auto"/>
            </w:tcBorders>
            <w:shd w:val="clear" w:color="auto" w:fill="auto"/>
            <w:noWrap/>
          </w:tcPr>
          <w:p w:rsidR="00C40B73" w:rsidRPr="00D55DC6" w:rsidRDefault="00C40B73" w:rsidP="00C676DD">
            <w:pPr>
              <w:jc w:val="right"/>
              <w:rPr>
                <w:sz w:val="20"/>
                <w:szCs w:val="20"/>
              </w:rPr>
            </w:pPr>
            <w:r w:rsidRPr="00D55DC6">
              <w:rPr>
                <w:sz w:val="20"/>
                <w:szCs w:val="20"/>
              </w:rPr>
              <w:t xml:space="preserve">285 </w:t>
            </w:r>
          </w:p>
        </w:tc>
      </w:tr>
      <w:tr w:rsidR="001D0350" w:rsidRPr="00D55DC6" w:rsidTr="00C676DD">
        <w:trPr>
          <w:trHeight w:val="345"/>
        </w:trPr>
        <w:tc>
          <w:tcPr>
            <w:tcW w:w="2552" w:type="dxa"/>
            <w:tcBorders>
              <w:top w:val="nil"/>
              <w:left w:val="single" w:sz="4" w:space="0" w:color="auto"/>
              <w:bottom w:val="double" w:sz="6" w:space="0" w:color="auto"/>
              <w:right w:val="single" w:sz="4" w:space="0" w:color="auto"/>
            </w:tcBorders>
            <w:shd w:val="clear" w:color="000000" w:fill="D9D9D9"/>
            <w:noWrap/>
            <w:vAlign w:val="center"/>
          </w:tcPr>
          <w:p w:rsidR="00C40B73" w:rsidRPr="00D55DC6" w:rsidRDefault="00C40B73" w:rsidP="00C676DD">
            <w:pPr>
              <w:widowControl/>
              <w:rPr>
                <w:rFonts w:eastAsia="標楷體"/>
                <w:kern w:val="0"/>
                <w:sz w:val="20"/>
                <w:szCs w:val="20"/>
              </w:rPr>
            </w:pPr>
            <w:r w:rsidRPr="00D55DC6">
              <w:rPr>
                <w:rFonts w:eastAsia="標楷體"/>
                <w:kern w:val="0"/>
                <w:sz w:val="20"/>
                <w:szCs w:val="20"/>
              </w:rPr>
              <w:t xml:space="preserve">    </w:t>
            </w:r>
            <w:r w:rsidRPr="00D55DC6">
              <w:rPr>
                <w:rFonts w:eastAsia="標楷體"/>
                <w:kern w:val="0"/>
                <w:sz w:val="20"/>
                <w:szCs w:val="20"/>
              </w:rPr>
              <w:t>合</w:t>
            </w:r>
            <w:r w:rsidRPr="00D55DC6">
              <w:rPr>
                <w:rFonts w:eastAsia="標楷體"/>
                <w:kern w:val="0"/>
                <w:sz w:val="20"/>
                <w:szCs w:val="20"/>
              </w:rPr>
              <w:t xml:space="preserve">          </w:t>
            </w:r>
            <w:r w:rsidRPr="00D55DC6">
              <w:rPr>
                <w:rFonts w:eastAsia="標楷體"/>
                <w:kern w:val="0"/>
                <w:sz w:val="20"/>
                <w:szCs w:val="20"/>
              </w:rPr>
              <w:t>計</w:t>
            </w:r>
          </w:p>
        </w:tc>
        <w:tc>
          <w:tcPr>
            <w:tcW w:w="709" w:type="dxa"/>
            <w:tcBorders>
              <w:top w:val="nil"/>
              <w:left w:val="nil"/>
              <w:bottom w:val="double" w:sz="6" w:space="0" w:color="auto"/>
              <w:right w:val="single" w:sz="4" w:space="0" w:color="auto"/>
            </w:tcBorders>
            <w:shd w:val="clear" w:color="000000" w:fill="E4DFEC"/>
            <w:noWrap/>
          </w:tcPr>
          <w:p w:rsidR="00C40B73" w:rsidRPr="00D55DC6" w:rsidRDefault="00C40B73" w:rsidP="00C676DD">
            <w:pPr>
              <w:jc w:val="right"/>
              <w:rPr>
                <w:sz w:val="20"/>
                <w:szCs w:val="20"/>
              </w:rPr>
            </w:pPr>
            <w:r w:rsidRPr="00D55DC6">
              <w:rPr>
                <w:sz w:val="20"/>
                <w:szCs w:val="20"/>
              </w:rPr>
              <w:t xml:space="preserve">17,016 </w:t>
            </w:r>
          </w:p>
        </w:tc>
        <w:tc>
          <w:tcPr>
            <w:tcW w:w="657" w:type="dxa"/>
            <w:tcBorders>
              <w:top w:val="nil"/>
              <w:left w:val="nil"/>
              <w:bottom w:val="double" w:sz="6" w:space="0" w:color="auto"/>
              <w:right w:val="single" w:sz="4" w:space="0" w:color="auto"/>
            </w:tcBorders>
            <w:shd w:val="clear" w:color="000000" w:fill="E4DFEC"/>
            <w:noWrap/>
          </w:tcPr>
          <w:p w:rsidR="00C40B73" w:rsidRPr="00D55DC6" w:rsidRDefault="00C40B73" w:rsidP="00C676DD">
            <w:pPr>
              <w:jc w:val="right"/>
              <w:rPr>
                <w:sz w:val="20"/>
                <w:szCs w:val="20"/>
              </w:rPr>
            </w:pPr>
            <w:r w:rsidRPr="00D55DC6">
              <w:rPr>
                <w:sz w:val="20"/>
                <w:szCs w:val="20"/>
              </w:rPr>
              <w:t xml:space="preserve">7,228 </w:t>
            </w:r>
          </w:p>
        </w:tc>
        <w:tc>
          <w:tcPr>
            <w:tcW w:w="657" w:type="dxa"/>
            <w:tcBorders>
              <w:top w:val="nil"/>
              <w:left w:val="nil"/>
              <w:bottom w:val="double" w:sz="6" w:space="0" w:color="auto"/>
              <w:right w:val="single" w:sz="4" w:space="0" w:color="auto"/>
            </w:tcBorders>
            <w:shd w:val="clear" w:color="000000" w:fill="E4DFEC"/>
            <w:noWrap/>
          </w:tcPr>
          <w:p w:rsidR="00C40B73" w:rsidRPr="00D55DC6" w:rsidRDefault="00C40B73" w:rsidP="00C676DD">
            <w:pPr>
              <w:jc w:val="right"/>
              <w:rPr>
                <w:sz w:val="20"/>
                <w:szCs w:val="20"/>
              </w:rPr>
            </w:pPr>
            <w:r w:rsidRPr="00D55DC6">
              <w:rPr>
                <w:sz w:val="20"/>
                <w:szCs w:val="20"/>
              </w:rPr>
              <w:t xml:space="preserve">7,388 </w:t>
            </w:r>
          </w:p>
        </w:tc>
        <w:tc>
          <w:tcPr>
            <w:tcW w:w="657" w:type="dxa"/>
            <w:tcBorders>
              <w:top w:val="nil"/>
              <w:left w:val="nil"/>
              <w:bottom w:val="double" w:sz="6" w:space="0" w:color="auto"/>
              <w:right w:val="single" w:sz="4" w:space="0" w:color="auto"/>
            </w:tcBorders>
            <w:shd w:val="clear" w:color="000000" w:fill="E4DFEC"/>
            <w:noWrap/>
          </w:tcPr>
          <w:p w:rsidR="00C40B73" w:rsidRPr="00D55DC6" w:rsidRDefault="00C40B73" w:rsidP="00C676DD">
            <w:pPr>
              <w:jc w:val="right"/>
              <w:rPr>
                <w:sz w:val="20"/>
                <w:szCs w:val="20"/>
              </w:rPr>
            </w:pPr>
            <w:r w:rsidRPr="00D55DC6">
              <w:rPr>
                <w:sz w:val="20"/>
                <w:szCs w:val="20"/>
              </w:rPr>
              <w:t xml:space="preserve">9,301 </w:t>
            </w:r>
          </w:p>
        </w:tc>
        <w:tc>
          <w:tcPr>
            <w:tcW w:w="657" w:type="dxa"/>
            <w:tcBorders>
              <w:top w:val="nil"/>
              <w:left w:val="nil"/>
              <w:bottom w:val="double" w:sz="6" w:space="0" w:color="auto"/>
              <w:right w:val="single" w:sz="4" w:space="0" w:color="auto"/>
            </w:tcBorders>
            <w:shd w:val="clear" w:color="000000" w:fill="E4DFEC"/>
            <w:noWrap/>
          </w:tcPr>
          <w:p w:rsidR="00C40B73" w:rsidRPr="00D55DC6" w:rsidRDefault="00C40B73" w:rsidP="00C676DD">
            <w:pPr>
              <w:jc w:val="right"/>
              <w:rPr>
                <w:sz w:val="20"/>
                <w:szCs w:val="20"/>
              </w:rPr>
            </w:pPr>
            <w:r w:rsidRPr="00D55DC6">
              <w:rPr>
                <w:sz w:val="20"/>
                <w:szCs w:val="20"/>
              </w:rPr>
              <w:t xml:space="preserve">22,502 </w:t>
            </w:r>
          </w:p>
        </w:tc>
        <w:tc>
          <w:tcPr>
            <w:tcW w:w="658" w:type="dxa"/>
            <w:tcBorders>
              <w:top w:val="nil"/>
              <w:left w:val="nil"/>
              <w:bottom w:val="double" w:sz="6" w:space="0" w:color="auto"/>
              <w:right w:val="single" w:sz="4" w:space="0" w:color="auto"/>
            </w:tcBorders>
            <w:shd w:val="clear" w:color="000000" w:fill="E4DFEC"/>
            <w:noWrap/>
          </w:tcPr>
          <w:p w:rsidR="00C40B73" w:rsidRPr="00D55DC6" w:rsidRDefault="00C40B73" w:rsidP="00C676DD">
            <w:pPr>
              <w:jc w:val="right"/>
              <w:rPr>
                <w:sz w:val="20"/>
                <w:szCs w:val="20"/>
              </w:rPr>
            </w:pPr>
            <w:r w:rsidRPr="00D55DC6">
              <w:rPr>
                <w:sz w:val="20"/>
                <w:szCs w:val="20"/>
              </w:rPr>
              <w:t xml:space="preserve">10,072 </w:t>
            </w:r>
          </w:p>
        </w:tc>
        <w:tc>
          <w:tcPr>
            <w:tcW w:w="657" w:type="dxa"/>
            <w:tcBorders>
              <w:top w:val="nil"/>
              <w:left w:val="nil"/>
              <w:bottom w:val="double" w:sz="6" w:space="0" w:color="auto"/>
              <w:right w:val="single" w:sz="4" w:space="0" w:color="auto"/>
            </w:tcBorders>
            <w:shd w:val="clear" w:color="000000" w:fill="E4DFEC"/>
            <w:noWrap/>
          </w:tcPr>
          <w:p w:rsidR="00C40B73" w:rsidRPr="00D55DC6" w:rsidRDefault="00C40B73" w:rsidP="00C676DD">
            <w:pPr>
              <w:jc w:val="right"/>
              <w:rPr>
                <w:sz w:val="20"/>
                <w:szCs w:val="20"/>
              </w:rPr>
            </w:pPr>
            <w:r w:rsidRPr="00D55DC6">
              <w:rPr>
                <w:sz w:val="20"/>
                <w:szCs w:val="20"/>
              </w:rPr>
              <w:t xml:space="preserve">10,283 </w:t>
            </w:r>
          </w:p>
        </w:tc>
        <w:tc>
          <w:tcPr>
            <w:tcW w:w="657" w:type="dxa"/>
            <w:tcBorders>
              <w:top w:val="nil"/>
              <w:left w:val="nil"/>
              <w:bottom w:val="double" w:sz="6" w:space="0" w:color="auto"/>
              <w:right w:val="single" w:sz="4" w:space="0" w:color="auto"/>
            </w:tcBorders>
            <w:shd w:val="clear" w:color="000000" w:fill="E4DFEC"/>
            <w:noWrap/>
          </w:tcPr>
          <w:p w:rsidR="00C40B73" w:rsidRPr="00D55DC6" w:rsidRDefault="00C40B73" w:rsidP="00C676DD">
            <w:pPr>
              <w:jc w:val="right"/>
              <w:rPr>
                <w:sz w:val="20"/>
                <w:szCs w:val="20"/>
              </w:rPr>
            </w:pPr>
            <w:r w:rsidRPr="00D55DC6">
              <w:rPr>
                <w:sz w:val="20"/>
                <w:szCs w:val="20"/>
              </w:rPr>
              <w:t xml:space="preserve">12,421 </w:t>
            </w:r>
          </w:p>
        </w:tc>
        <w:tc>
          <w:tcPr>
            <w:tcW w:w="657" w:type="dxa"/>
            <w:tcBorders>
              <w:top w:val="nil"/>
              <w:left w:val="nil"/>
              <w:bottom w:val="double" w:sz="6" w:space="0" w:color="auto"/>
              <w:right w:val="single" w:sz="4" w:space="0" w:color="auto"/>
            </w:tcBorders>
            <w:shd w:val="clear" w:color="000000" w:fill="E4DFEC"/>
            <w:noWrap/>
          </w:tcPr>
          <w:p w:rsidR="00C40B73" w:rsidRPr="00D55DC6" w:rsidRDefault="00C40B73" w:rsidP="00C676DD">
            <w:pPr>
              <w:jc w:val="right"/>
              <w:rPr>
                <w:sz w:val="20"/>
                <w:szCs w:val="20"/>
              </w:rPr>
            </w:pPr>
            <w:r w:rsidRPr="00D55DC6">
              <w:rPr>
                <w:sz w:val="20"/>
                <w:szCs w:val="20"/>
              </w:rPr>
              <w:t xml:space="preserve">22,881 </w:t>
            </w:r>
          </w:p>
        </w:tc>
        <w:tc>
          <w:tcPr>
            <w:tcW w:w="657" w:type="dxa"/>
            <w:tcBorders>
              <w:top w:val="nil"/>
              <w:left w:val="nil"/>
              <w:bottom w:val="double" w:sz="6" w:space="0" w:color="auto"/>
              <w:right w:val="single" w:sz="4" w:space="0" w:color="auto"/>
            </w:tcBorders>
            <w:shd w:val="clear" w:color="000000" w:fill="E4DFEC"/>
            <w:noWrap/>
          </w:tcPr>
          <w:p w:rsidR="00C40B73" w:rsidRPr="00D55DC6" w:rsidRDefault="00C40B73" w:rsidP="00C676DD">
            <w:pPr>
              <w:jc w:val="right"/>
              <w:rPr>
                <w:sz w:val="20"/>
                <w:szCs w:val="20"/>
              </w:rPr>
            </w:pPr>
            <w:r w:rsidRPr="00D55DC6">
              <w:rPr>
                <w:sz w:val="20"/>
                <w:szCs w:val="20"/>
              </w:rPr>
              <w:t xml:space="preserve">13,163 </w:t>
            </w:r>
          </w:p>
        </w:tc>
        <w:tc>
          <w:tcPr>
            <w:tcW w:w="748" w:type="dxa"/>
            <w:tcBorders>
              <w:top w:val="nil"/>
              <w:left w:val="nil"/>
              <w:bottom w:val="double" w:sz="6" w:space="0" w:color="auto"/>
              <w:right w:val="single" w:sz="4" w:space="0" w:color="auto"/>
            </w:tcBorders>
            <w:shd w:val="clear" w:color="000000" w:fill="E4DFEC"/>
            <w:noWrap/>
          </w:tcPr>
          <w:p w:rsidR="00C40B73" w:rsidRPr="00D55DC6" w:rsidRDefault="00C40B73" w:rsidP="00C676DD">
            <w:pPr>
              <w:jc w:val="right"/>
              <w:rPr>
                <w:sz w:val="20"/>
                <w:szCs w:val="20"/>
              </w:rPr>
            </w:pPr>
            <w:r w:rsidRPr="00D55DC6">
              <w:rPr>
                <w:sz w:val="20"/>
                <w:szCs w:val="20"/>
              </w:rPr>
              <w:t xml:space="preserve">186,906 </w:t>
            </w:r>
          </w:p>
        </w:tc>
      </w:tr>
    </w:tbl>
    <w:p w:rsidR="00C40B73" w:rsidRPr="00D55DC6" w:rsidRDefault="00C40B73" w:rsidP="00C40B73">
      <w:pPr>
        <w:rPr>
          <w:rFonts w:eastAsia="標楷體"/>
        </w:rPr>
      </w:pPr>
    </w:p>
    <w:p w:rsidR="00C40B73" w:rsidRPr="00D55DC6" w:rsidRDefault="00C40B73" w:rsidP="00C40B73">
      <w:pPr>
        <w:rPr>
          <w:rFonts w:eastAsia="標楷體"/>
        </w:rPr>
      </w:pPr>
    </w:p>
    <w:p w:rsidR="00C40B73" w:rsidRPr="00D55DC6" w:rsidRDefault="00C40B73" w:rsidP="00C40B73">
      <w:pPr>
        <w:rPr>
          <w:rFonts w:eastAsia="標楷體"/>
        </w:rPr>
      </w:pPr>
    </w:p>
    <w:p w:rsidR="00C40B73" w:rsidRPr="00D55DC6" w:rsidRDefault="00C40B73" w:rsidP="00C40B73">
      <w:pPr>
        <w:rPr>
          <w:rFonts w:eastAsia="標楷體"/>
        </w:rPr>
      </w:pPr>
    </w:p>
    <w:p w:rsidR="00C40B73" w:rsidRPr="00D55DC6" w:rsidRDefault="00C40B73" w:rsidP="004865C1">
      <w:pPr>
        <w:pStyle w:val="af2"/>
        <w:numPr>
          <w:ilvl w:val="0"/>
          <w:numId w:val="220"/>
        </w:numPr>
        <w:snapToGrid w:val="0"/>
        <w:spacing w:line="460" w:lineRule="exact"/>
        <w:ind w:leftChars="0" w:left="993"/>
        <w:jc w:val="both"/>
        <w:rPr>
          <w:rFonts w:eastAsia="標楷體"/>
          <w:b/>
          <w:sz w:val="28"/>
          <w:szCs w:val="28"/>
        </w:rPr>
      </w:pPr>
      <w:r w:rsidRPr="00D55DC6">
        <w:rPr>
          <w:rFonts w:eastAsia="標楷體"/>
          <w:b/>
          <w:sz w:val="28"/>
          <w:szCs w:val="28"/>
        </w:rPr>
        <w:lastRenderedPageBreak/>
        <w:t>自償率估算</w:t>
      </w:r>
    </w:p>
    <w:p w:rsidR="004702AC" w:rsidRPr="00D55DC6" w:rsidRDefault="004702AC" w:rsidP="004702AC">
      <w:pPr>
        <w:pStyle w:val="a"/>
        <w:numPr>
          <w:ilvl w:val="0"/>
          <w:numId w:val="0"/>
        </w:numPr>
        <w:ind w:left="709"/>
      </w:pPr>
      <w:r w:rsidRPr="00D55DC6">
        <w:t>本計畫預計未來</w:t>
      </w:r>
      <w:r w:rsidRPr="00D55DC6">
        <w:t>20</w:t>
      </w:r>
      <w:r w:rsidRPr="00D55DC6">
        <w:t>年馬祖國家風景區建設經營分年之現金流量如表，以</w:t>
      </w:r>
      <w:r w:rsidRPr="00D55DC6">
        <w:t>2.88%</w:t>
      </w:r>
      <w:r w:rsidRPr="00D55DC6">
        <w:t>折現率（參考中央銀行公告五大銀行基本利率）計算，未來</w:t>
      </w:r>
      <w:r w:rsidRPr="00D55DC6">
        <w:t>20</w:t>
      </w:r>
      <w:r w:rsidRPr="00D55DC6">
        <w:t>年期間計畫投入現值為</w:t>
      </w:r>
      <w:r w:rsidRPr="00D55DC6">
        <w:t>21.518</w:t>
      </w:r>
      <w:r w:rsidRPr="00D55DC6">
        <w:t>億元，而收益預估現值為</w:t>
      </w:r>
      <w:r w:rsidRPr="00D55DC6">
        <w:t>1.305</w:t>
      </w:r>
      <w:r w:rsidRPr="00D55DC6">
        <w:t>億元，整體計畫自償率為</w:t>
      </w:r>
      <w:r w:rsidRPr="00D55DC6">
        <w:t>6.0</w:t>
      </w:r>
      <w:r w:rsidR="004A7CC1" w:rsidRPr="00D55DC6">
        <w:t>6</w:t>
      </w:r>
      <w:r w:rsidRPr="00D55DC6">
        <w:t>％。</w:t>
      </w:r>
    </w:p>
    <w:p w:rsidR="00C40B73" w:rsidRPr="00D55DC6" w:rsidRDefault="00C40B73" w:rsidP="00C40B73">
      <w:pPr>
        <w:pStyle w:val="a"/>
        <w:numPr>
          <w:ilvl w:val="0"/>
          <w:numId w:val="0"/>
        </w:numPr>
        <w:ind w:left="709"/>
      </w:pPr>
    </w:p>
    <w:p w:rsidR="00CD2DEE" w:rsidRPr="00D55DC6" w:rsidRDefault="00CD2DEE" w:rsidP="009D33BA">
      <w:pPr>
        <w:keepNext/>
        <w:spacing w:beforeLines="50" w:before="180" w:afterLines="50" w:after="180"/>
        <w:ind w:rightChars="-316" w:right="-758"/>
        <w:rPr>
          <w:rFonts w:eastAsia="標楷體"/>
        </w:rPr>
      </w:pPr>
      <w:r w:rsidRPr="00D55DC6">
        <w:rPr>
          <w:rFonts w:eastAsia="標楷體"/>
        </w:rPr>
        <w:t>表　自償率分析表</w:t>
      </w:r>
      <w:r w:rsidRPr="00D55DC6">
        <w:rPr>
          <w:rFonts w:eastAsia="標楷體"/>
        </w:rPr>
        <w:t xml:space="preserve">                                          </w:t>
      </w:r>
      <w:r w:rsidRPr="00D55DC6">
        <w:rPr>
          <w:rFonts w:eastAsia="標楷體"/>
        </w:rPr>
        <w:t>（單位：千元）</w:t>
      </w:r>
    </w:p>
    <w:tbl>
      <w:tblPr>
        <w:tblW w:w="10520" w:type="dxa"/>
        <w:tblInd w:w="-681" w:type="dxa"/>
        <w:tblCellMar>
          <w:left w:w="28" w:type="dxa"/>
          <w:right w:w="28" w:type="dxa"/>
        </w:tblCellMar>
        <w:tblLook w:val="04A0" w:firstRow="1" w:lastRow="0" w:firstColumn="1" w:lastColumn="0" w:noHBand="0" w:noVBand="1"/>
      </w:tblPr>
      <w:tblGrid>
        <w:gridCol w:w="993"/>
        <w:gridCol w:w="826"/>
        <w:gridCol w:w="850"/>
        <w:gridCol w:w="851"/>
        <w:gridCol w:w="850"/>
        <w:gridCol w:w="851"/>
        <w:gridCol w:w="850"/>
        <w:gridCol w:w="851"/>
        <w:gridCol w:w="851"/>
        <w:gridCol w:w="850"/>
        <w:gridCol w:w="851"/>
        <w:gridCol w:w="1046"/>
      </w:tblGrid>
      <w:tr w:rsidR="001D0350" w:rsidRPr="00D55DC6" w:rsidTr="00040EDC">
        <w:trPr>
          <w:gridAfter w:val="1"/>
          <w:wAfter w:w="1046" w:type="dxa"/>
          <w:trHeight w:val="345"/>
        </w:trPr>
        <w:tc>
          <w:tcPr>
            <w:tcW w:w="993" w:type="dxa"/>
            <w:tcBorders>
              <w:top w:val="single" w:sz="4" w:space="0" w:color="auto"/>
              <w:left w:val="single" w:sz="4" w:space="0" w:color="auto"/>
              <w:bottom w:val="double" w:sz="6" w:space="0" w:color="auto"/>
              <w:right w:val="single" w:sz="4" w:space="0" w:color="auto"/>
            </w:tcBorders>
            <w:shd w:val="clear" w:color="auto" w:fill="FFCC00"/>
            <w:noWrap/>
            <w:vAlign w:val="center"/>
            <w:hideMark/>
          </w:tcPr>
          <w:p w:rsidR="00CD2DEE" w:rsidRPr="00D55DC6" w:rsidRDefault="00CD2DEE" w:rsidP="00040EDC">
            <w:pPr>
              <w:widowControl/>
              <w:rPr>
                <w:rFonts w:eastAsia="標楷體"/>
                <w:kern w:val="0"/>
                <w:sz w:val="22"/>
                <w:szCs w:val="20"/>
              </w:rPr>
            </w:pPr>
            <w:r w:rsidRPr="00D55DC6">
              <w:rPr>
                <w:rFonts w:eastAsia="標楷體"/>
                <w:kern w:val="0"/>
                <w:sz w:val="22"/>
                <w:szCs w:val="20"/>
              </w:rPr>
              <w:t xml:space="preserve">　</w:t>
            </w:r>
          </w:p>
        </w:tc>
        <w:tc>
          <w:tcPr>
            <w:tcW w:w="826" w:type="dxa"/>
            <w:tcBorders>
              <w:top w:val="single" w:sz="4" w:space="0" w:color="auto"/>
              <w:left w:val="nil"/>
              <w:bottom w:val="double" w:sz="6" w:space="0" w:color="auto"/>
              <w:right w:val="single" w:sz="4" w:space="0" w:color="auto"/>
            </w:tcBorders>
            <w:shd w:val="clear" w:color="auto" w:fill="FFCC00"/>
            <w:noWrap/>
            <w:vAlign w:val="center"/>
            <w:hideMark/>
          </w:tcPr>
          <w:p w:rsidR="00CD2DEE" w:rsidRPr="00D55DC6" w:rsidRDefault="00CD2DEE" w:rsidP="00040EDC">
            <w:pPr>
              <w:widowControl/>
              <w:jc w:val="center"/>
              <w:rPr>
                <w:rFonts w:eastAsia="標楷體"/>
                <w:kern w:val="0"/>
                <w:sz w:val="22"/>
                <w:szCs w:val="20"/>
              </w:rPr>
            </w:pPr>
            <w:r w:rsidRPr="00D55DC6">
              <w:rPr>
                <w:rFonts w:eastAsia="標楷體"/>
                <w:kern w:val="0"/>
                <w:sz w:val="22"/>
                <w:szCs w:val="20"/>
              </w:rPr>
              <w:t>103</w:t>
            </w:r>
          </w:p>
        </w:tc>
        <w:tc>
          <w:tcPr>
            <w:tcW w:w="850" w:type="dxa"/>
            <w:tcBorders>
              <w:top w:val="single" w:sz="4" w:space="0" w:color="auto"/>
              <w:left w:val="nil"/>
              <w:bottom w:val="double" w:sz="6" w:space="0" w:color="auto"/>
              <w:right w:val="single" w:sz="4" w:space="0" w:color="auto"/>
            </w:tcBorders>
            <w:shd w:val="clear" w:color="auto" w:fill="FFCC00"/>
            <w:noWrap/>
            <w:vAlign w:val="center"/>
            <w:hideMark/>
          </w:tcPr>
          <w:p w:rsidR="00CD2DEE" w:rsidRPr="00D55DC6" w:rsidRDefault="00CD2DEE" w:rsidP="00040EDC">
            <w:pPr>
              <w:widowControl/>
              <w:jc w:val="center"/>
              <w:rPr>
                <w:rFonts w:eastAsia="標楷體"/>
                <w:kern w:val="0"/>
                <w:sz w:val="22"/>
                <w:szCs w:val="20"/>
              </w:rPr>
            </w:pPr>
            <w:r w:rsidRPr="00D55DC6">
              <w:rPr>
                <w:rFonts w:eastAsia="標楷體"/>
                <w:kern w:val="0"/>
                <w:sz w:val="22"/>
                <w:szCs w:val="20"/>
              </w:rPr>
              <w:t>104</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CD2DEE" w:rsidRPr="00D55DC6" w:rsidRDefault="00CD2DEE" w:rsidP="00040EDC">
            <w:pPr>
              <w:widowControl/>
              <w:jc w:val="center"/>
              <w:rPr>
                <w:rFonts w:eastAsia="標楷體"/>
                <w:kern w:val="0"/>
                <w:sz w:val="22"/>
                <w:szCs w:val="20"/>
              </w:rPr>
            </w:pPr>
            <w:r w:rsidRPr="00D55DC6">
              <w:rPr>
                <w:rFonts w:eastAsia="標楷體"/>
                <w:kern w:val="0"/>
                <w:sz w:val="22"/>
                <w:szCs w:val="20"/>
              </w:rPr>
              <w:t>105</w:t>
            </w:r>
          </w:p>
        </w:tc>
        <w:tc>
          <w:tcPr>
            <w:tcW w:w="850" w:type="dxa"/>
            <w:tcBorders>
              <w:top w:val="single" w:sz="4" w:space="0" w:color="auto"/>
              <w:left w:val="nil"/>
              <w:bottom w:val="double" w:sz="6" w:space="0" w:color="auto"/>
              <w:right w:val="single" w:sz="4" w:space="0" w:color="auto"/>
            </w:tcBorders>
            <w:shd w:val="clear" w:color="auto" w:fill="FFCC00"/>
            <w:noWrap/>
            <w:vAlign w:val="center"/>
            <w:hideMark/>
          </w:tcPr>
          <w:p w:rsidR="00CD2DEE" w:rsidRPr="00D55DC6" w:rsidRDefault="00CD2DEE" w:rsidP="00040EDC">
            <w:pPr>
              <w:widowControl/>
              <w:jc w:val="center"/>
              <w:rPr>
                <w:rFonts w:eastAsia="標楷體"/>
                <w:kern w:val="0"/>
                <w:sz w:val="22"/>
                <w:szCs w:val="20"/>
              </w:rPr>
            </w:pPr>
            <w:r w:rsidRPr="00D55DC6">
              <w:rPr>
                <w:rFonts w:eastAsia="標楷體"/>
                <w:kern w:val="0"/>
                <w:sz w:val="22"/>
                <w:szCs w:val="20"/>
              </w:rPr>
              <w:t>106</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CD2DEE" w:rsidRPr="00D55DC6" w:rsidRDefault="00CD2DEE" w:rsidP="00040EDC">
            <w:pPr>
              <w:widowControl/>
              <w:jc w:val="center"/>
              <w:rPr>
                <w:rFonts w:eastAsia="標楷體"/>
                <w:kern w:val="0"/>
                <w:sz w:val="22"/>
                <w:szCs w:val="20"/>
              </w:rPr>
            </w:pPr>
            <w:r w:rsidRPr="00D55DC6">
              <w:rPr>
                <w:rFonts w:eastAsia="標楷體"/>
                <w:kern w:val="0"/>
                <w:sz w:val="22"/>
                <w:szCs w:val="20"/>
              </w:rPr>
              <w:t>107</w:t>
            </w:r>
          </w:p>
        </w:tc>
        <w:tc>
          <w:tcPr>
            <w:tcW w:w="850" w:type="dxa"/>
            <w:tcBorders>
              <w:top w:val="single" w:sz="4" w:space="0" w:color="auto"/>
              <w:left w:val="nil"/>
              <w:bottom w:val="double" w:sz="6" w:space="0" w:color="auto"/>
              <w:right w:val="single" w:sz="4" w:space="0" w:color="auto"/>
            </w:tcBorders>
            <w:shd w:val="clear" w:color="auto" w:fill="FFCC00"/>
            <w:noWrap/>
            <w:vAlign w:val="center"/>
            <w:hideMark/>
          </w:tcPr>
          <w:p w:rsidR="00CD2DEE" w:rsidRPr="00D55DC6" w:rsidRDefault="00CD2DEE" w:rsidP="00040EDC">
            <w:pPr>
              <w:widowControl/>
              <w:jc w:val="center"/>
              <w:rPr>
                <w:rFonts w:eastAsia="標楷體"/>
                <w:kern w:val="0"/>
                <w:sz w:val="22"/>
                <w:szCs w:val="20"/>
              </w:rPr>
            </w:pPr>
            <w:r w:rsidRPr="00D55DC6">
              <w:rPr>
                <w:rFonts w:eastAsia="標楷體"/>
                <w:kern w:val="0"/>
                <w:sz w:val="22"/>
                <w:szCs w:val="20"/>
              </w:rPr>
              <w:t>108</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CD2DEE" w:rsidRPr="00D55DC6" w:rsidRDefault="00CD2DEE" w:rsidP="00040EDC">
            <w:pPr>
              <w:widowControl/>
              <w:jc w:val="center"/>
              <w:rPr>
                <w:rFonts w:eastAsia="標楷體"/>
                <w:kern w:val="0"/>
                <w:sz w:val="22"/>
                <w:szCs w:val="20"/>
              </w:rPr>
            </w:pPr>
            <w:r w:rsidRPr="00D55DC6">
              <w:rPr>
                <w:rFonts w:eastAsia="標楷體"/>
                <w:kern w:val="0"/>
                <w:sz w:val="22"/>
                <w:szCs w:val="20"/>
              </w:rPr>
              <w:t>109</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CD2DEE" w:rsidRPr="00D55DC6" w:rsidRDefault="00CD2DEE" w:rsidP="00040EDC">
            <w:pPr>
              <w:widowControl/>
              <w:jc w:val="center"/>
              <w:rPr>
                <w:rFonts w:eastAsia="標楷體"/>
                <w:kern w:val="0"/>
                <w:sz w:val="22"/>
                <w:szCs w:val="20"/>
              </w:rPr>
            </w:pPr>
            <w:r w:rsidRPr="00D55DC6">
              <w:rPr>
                <w:rFonts w:eastAsia="標楷體"/>
                <w:kern w:val="0"/>
                <w:sz w:val="22"/>
                <w:szCs w:val="20"/>
              </w:rPr>
              <w:t>110</w:t>
            </w:r>
          </w:p>
        </w:tc>
        <w:tc>
          <w:tcPr>
            <w:tcW w:w="850" w:type="dxa"/>
            <w:tcBorders>
              <w:top w:val="single" w:sz="4" w:space="0" w:color="auto"/>
              <w:left w:val="nil"/>
              <w:bottom w:val="double" w:sz="6" w:space="0" w:color="auto"/>
              <w:right w:val="single" w:sz="4" w:space="0" w:color="auto"/>
            </w:tcBorders>
            <w:shd w:val="clear" w:color="auto" w:fill="FFCC00"/>
            <w:noWrap/>
            <w:vAlign w:val="center"/>
            <w:hideMark/>
          </w:tcPr>
          <w:p w:rsidR="00CD2DEE" w:rsidRPr="00D55DC6" w:rsidRDefault="00CD2DEE" w:rsidP="00040EDC">
            <w:pPr>
              <w:widowControl/>
              <w:jc w:val="center"/>
              <w:rPr>
                <w:rFonts w:eastAsia="標楷體"/>
                <w:kern w:val="0"/>
                <w:sz w:val="22"/>
                <w:szCs w:val="20"/>
              </w:rPr>
            </w:pPr>
            <w:r w:rsidRPr="00D55DC6">
              <w:rPr>
                <w:rFonts w:eastAsia="標楷體"/>
                <w:kern w:val="0"/>
                <w:sz w:val="22"/>
                <w:szCs w:val="20"/>
              </w:rPr>
              <w:t>111</w:t>
            </w:r>
          </w:p>
        </w:tc>
        <w:tc>
          <w:tcPr>
            <w:tcW w:w="851" w:type="dxa"/>
            <w:tcBorders>
              <w:top w:val="single" w:sz="4" w:space="0" w:color="auto"/>
              <w:left w:val="nil"/>
              <w:bottom w:val="double" w:sz="6" w:space="0" w:color="auto"/>
              <w:right w:val="single" w:sz="4" w:space="0" w:color="auto"/>
            </w:tcBorders>
            <w:shd w:val="clear" w:color="auto" w:fill="FFCC00"/>
            <w:noWrap/>
            <w:vAlign w:val="center"/>
            <w:hideMark/>
          </w:tcPr>
          <w:p w:rsidR="00CD2DEE" w:rsidRPr="00D55DC6" w:rsidRDefault="00CD2DEE" w:rsidP="00040EDC">
            <w:pPr>
              <w:widowControl/>
              <w:jc w:val="center"/>
              <w:rPr>
                <w:rFonts w:eastAsia="標楷體"/>
                <w:kern w:val="0"/>
                <w:sz w:val="22"/>
                <w:szCs w:val="20"/>
              </w:rPr>
            </w:pPr>
            <w:r w:rsidRPr="00D55DC6">
              <w:rPr>
                <w:rFonts w:eastAsia="標楷體"/>
                <w:kern w:val="0"/>
                <w:sz w:val="22"/>
                <w:szCs w:val="20"/>
              </w:rPr>
              <w:t>112</w:t>
            </w:r>
          </w:p>
        </w:tc>
      </w:tr>
      <w:tr w:rsidR="001D0350" w:rsidRPr="00D55DC6" w:rsidTr="00040EDC">
        <w:trPr>
          <w:gridAfter w:val="1"/>
          <w:wAfter w:w="1046" w:type="dxa"/>
          <w:trHeight w:val="345"/>
        </w:trPr>
        <w:tc>
          <w:tcPr>
            <w:tcW w:w="993" w:type="dxa"/>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CD2DEE" w:rsidRPr="00D55DC6" w:rsidRDefault="00CD2DEE" w:rsidP="00040EDC">
            <w:pPr>
              <w:widowControl/>
              <w:rPr>
                <w:rFonts w:eastAsia="標楷體"/>
                <w:kern w:val="0"/>
                <w:sz w:val="22"/>
                <w:szCs w:val="20"/>
              </w:rPr>
            </w:pPr>
            <w:r w:rsidRPr="00D55DC6">
              <w:rPr>
                <w:rFonts w:eastAsia="標楷體"/>
                <w:kern w:val="0"/>
                <w:sz w:val="22"/>
                <w:szCs w:val="20"/>
              </w:rPr>
              <w:t>支出</w:t>
            </w:r>
          </w:p>
        </w:tc>
        <w:tc>
          <w:tcPr>
            <w:tcW w:w="826" w:type="dxa"/>
            <w:tcBorders>
              <w:top w:val="single" w:sz="4" w:space="0" w:color="auto"/>
              <w:left w:val="nil"/>
              <w:bottom w:val="single" w:sz="4" w:space="0" w:color="auto"/>
              <w:right w:val="single" w:sz="4" w:space="0" w:color="auto"/>
            </w:tcBorders>
            <w:shd w:val="clear" w:color="auto" w:fill="FDE9D9"/>
            <w:noWrap/>
            <w:vAlign w:val="center"/>
            <w:hideMark/>
          </w:tcPr>
          <w:p w:rsidR="00CD2DEE" w:rsidRPr="00D55DC6" w:rsidRDefault="00CD2DEE" w:rsidP="00040EDC">
            <w:pPr>
              <w:widowControl/>
              <w:jc w:val="both"/>
              <w:rPr>
                <w:rFonts w:eastAsia="標楷體"/>
                <w:kern w:val="0"/>
                <w:sz w:val="22"/>
                <w:szCs w:val="20"/>
              </w:rPr>
            </w:pPr>
            <w:r w:rsidRPr="00D55DC6">
              <w:rPr>
                <w:rFonts w:eastAsia="標楷體"/>
                <w:kern w:val="0"/>
                <w:sz w:val="22"/>
                <w:szCs w:val="20"/>
              </w:rPr>
              <w:t xml:space="preserve">181,600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CD2DEE" w:rsidRPr="00D55DC6" w:rsidRDefault="00CD2DEE" w:rsidP="00040EDC">
            <w:pPr>
              <w:widowControl/>
              <w:jc w:val="both"/>
              <w:rPr>
                <w:rFonts w:eastAsia="標楷體"/>
                <w:kern w:val="0"/>
                <w:sz w:val="22"/>
                <w:szCs w:val="20"/>
              </w:rPr>
            </w:pPr>
            <w:r w:rsidRPr="00D55DC6">
              <w:rPr>
                <w:rFonts w:eastAsia="標楷體"/>
                <w:kern w:val="0"/>
                <w:sz w:val="22"/>
                <w:szCs w:val="20"/>
              </w:rPr>
              <w:t xml:space="preserve">215,000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CD2DEE" w:rsidRPr="00D55DC6" w:rsidRDefault="00CD2DEE" w:rsidP="00040EDC">
            <w:pPr>
              <w:widowControl/>
              <w:jc w:val="both"/>
              <w:rPr>
                <w:rFonts w:eastAsia="標楷體"/>
                <w:kern w:val="0"/>
                <w:sz w:val="22"/>
                <w:szCs w:val="20"/>
              </w:rPr>
            </w:pPr>
            <w:r w:rsidRPr="00D55DC6">
              <w:rPr>
                <w:rFonts w:eastAsia="標楷體"/>
                <w:kern w:val="0"/>
                <w:sz w:val="22"/>
                <w:szCs w:val="20"/>
              </w:rPr>
              <w:t xml:space="preserve">232,000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CD2DEE" w:rsidRPr="00D55DC6" w:rsidRDefault="00CD2DEE" w:rsidP="00040EDC">
            <w:pPr>
              <w:widowControl/>
              <w:jc w:val="both"/>
              <w:rPr>
                <w:rFonts w:eastAsia="標楷體"/>
                <w:kern w:val="0"/>
                <w:sz w:val="22"/>
                <w:szCs w:val="20"/>
              </w:rPr>
            </w:pPr>
            <w:r w:rsidRPr="00D55DC6">
              <w:rPr>
                <w:rFonts w:eastAsia="標楷體"/>
                <w:kern w:val="0"/>
                <w:sz w:val="22"/>
                <w:szCs w:val="20"/>
              </w:rPr>
              <w:t xml:space="preserve">182,000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CD2DEE" w:rsidRPr="00D55DC6" w:rsidRDefault="00CD2DEE" w:rsidP="00040EDC">
            <w:pPr>
              <w:widowControl/>
              <w:jc w:val="both"/>
              <w:rPr>
                <w:rFonts w:eastAsia="標楷體"/>
                <w:kern w:val="0"/>
                <w:sz w:val="22"/>
                <w:szCs w:val="20"/>
              </w:rPr>
            </w:pPr>
            <w:r w:rsidRPr="00D55DC6">
              <w:rPr>
                <w:rFonts w:eastAsia="標楷體"/>
                <w:kern w:val="0"/>
                <w:sz w:val="22"/>
                <w:szCs w:val="20"/>
              </w:rPr>
              <w:t xml:space="preserve">192,000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CD2DEE" w:rsidRPr="00D55DC6" w:rsidRDefault="00CD2DEE" w:rsidP="00040EDC">
            <w:pPr>
              <w:widowControl/>
              <w:jc w:val="both"/>
              <w:rPr>
                <w:rFonts w:eastAsia="標楷體"/>
                <w:kern w:val="0"/>
                <w:sz w:val="22"/>
                <w:szCs w:val="20"/>
              </w:rPr>
            </w:pPr>
            <w:r w:rsidRPr="00D55DC6">
              <w:rPr>
                <w:rFonts w:eastAsia="標楷體"/>
                <w:kern w:val="0"/>
                <w:sz w:val="22"/>
                <w:szCs w:val="20"/>
              </w:rPr>
              <w:t xml:space="preserve">162,000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CD2DEE" w:rsidRPr="00D55DC6" w:rsidRDefault="00CD2DEE" w:rsidP="00040EDC">
            <w:pPr>
              <w:widowControl/>
              <w:jc w:val="both"/>
              <w:rPr>
                <w:rFonts w:eastAsia="標楷體"/>
                <w:kern w:val="0"/>
                <w:sz w:val="22"/>
                <w:szCs w:val="20"/>
              </w:rPr>
            </w:pPr>
            <w:r w:rsidRPr="00D55DC6">
              <w:rPr>
                <w:rFonts w:eastAsia="標楷體"/>
                <w:kern w:val="0"/>
                <w:sz w:val="22"/>
                <w:szCs w:val="20"/>
              </w:rPr>
              <w:t xml:space="preserve">150,000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CD2DEE" w:rsidRPr="00D55DC6" w:rsidRDefault="00CD2DEE" w:rsidP="00040EDC">
            <w:pPr>
              <w:widowControl/>
              <w:jc w:val="both"/>
              <w:rPr>
                <w:rFonts w:eastAsia="標楷體"/>
                <w:kern w:val="0"/>
                <w:sz w:val="22"/>
                <w:szCs w:val="20"/>
              </w:rPr>
            </w:pPr>
            <w:r w:rsidRPr="00D55DC6">
              <w:rPr>
                <w:rFonts w:eastAsia="標楷體"/>
                <w:kern w:val="0"/>
                <w:sz w:val="22"/>
                <w:szCs w:val="20"/>
              </w:rPr>
              <w:t xml:space="preserve">140,000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CD2DEE" w:rsidRPr="00D55DC6" w:rsidRDefault="00CD2DEE" w:rsidP="00040EDC">
            <w:pPr>
              <w:widowControl/>
              <w:jc w:val="both"/>
              <w:rPr>
                <w:rFonts w:eastAsia="標楷體"/>
                <w:kern w:val="0"/>
                <w:sz w:val="22"/>
                <w:szCs w:val="20"/>
              </w:rPr>
            </w:pPr>
            <w:r w:rsidRPr="00D55DC6">
              <w:rPr>
                <w:rFonts w:eastAsia="標楷體"/>
                <w:kern w:val="0"/>
                <w:sz w:val="22"/>
                <w:szCs w:val="20"/>
              </w:rPr>
              <w:t xml:space="preserve">130,000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CD2DEE" w:rsidRPr="00D55DC6" w:rsidRDefault="00CD2DEE" w:rsidP="00040EDC">
            <w:pPr>
              <w:widowControl/>
              <w:jc w:val="both"/>
              <w:rPr>
                <w:rFonts w:eastAsia="標楷體"/>
                <w:kern w:val="0"/>
                <w:sz w:val="22"/>
                <w:szCs w:val="20"/>
              </w:rPr>
            </w:pPr>
            <w:r w:rsidRPr="00D55DC6">
              <w:rPr>
                <w:rFonts w:eastAsia="標楷體"/>
                <w:kern w:val="0"/>
                <w:sz w:val="22"/>
                <w:szCs w:val="20"/>
              </w:rPr>
              <w:t xml:space="preserve">120,000 </w:t>
            </w:r>
          </w:p>
        </w:tc>
      </w:tr>
      <w:tr w:rsidR="001D0350" w:rsidRPr="00D55DC6" w:rsidTr="00040EDC">
        <w:trPr>
          <w:gridAfter w:val="1"/>
          <w:wAfter w:w="1046" w:type="dxa"/>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CD2DEE" w:rsidRPr="00D55DC6" w:rsidRDefault="00CD2DEE" w:rsidP="00040EDC">
            <w:pPr>
              <w:widowControl/>
              <w:rPr>
                <w:rFonts w:eastAsia="標楷體"/>
                <w:kern w:val="0"/>
                <w:sz w:val="22"/>
                <w:szCs w:val="20"/>
              </w:rPr>
            </w:pPr>
            <w:r w:rsidRPr="00D55DC6">
              <w:rPr>
                <w:rFonts w:eastAsia="標楷體"/>
                <w:kern w:val="0"/>
                <w:sz w:val="22"/>
                <w:szCs w:val="20"/>
              </w:rPr>
              <w:t>收入</w:t>
            </w:r>
          </w:p>
        </w:tc>
        <w:tc>
          <w:tcPr>
            <w:tcW w:w="826"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 674 </w:t>
            </w:r>
          </w:p>
        </w:tc>
        <w:tc>
          <w:tcPr>
            <w:tcW w:w="850"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 1,022 </w:t>
            </w:r>
          </w:p>
        </w:tc>
        <w:tc>
          <w:tcPr>
            <w:tcW w:w="851"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 11,282 </w:t>
            </w:r>
          </w:p>
        </w:tc>
        <w:tc>
          <w:tcPr>
            <w:tcW w:w="850"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 3,656 </w:t>
            </w:r>
          </w:p>
        </w:tc>
        <w:tc>
          <w:tcPr>
            <w:tcW w:w="851"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 2,718 </w:t>
            </w:r>
          </w:p>
        </w:tc>
        <w:tc>
          <w:tcPr>
            <w:tcW w:w="850"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 4,212 </w:t>
            </w:r>
          </w:p>
        </w:tc>
        <w:tc>
          <w:tcPr>
            <w:tcW w:w="851"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 14,617 </w:t>
            </w:r>
          </w:p>
        </w:tc>
        <w:tc>
          <w:tcPr>
            <w:tcW w:w="851"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 4,790 </w:t>
            </w:r>
          </w:p>
        </w:tc>
        <w:tc>
          <w:tcPr>
            <w:tcW w:w="850"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 5,036 </w:t>
            </w:r>
          </w:p>
        </w:tc>
        <w:tc>
          <w:tcPr>
            <w:tcW w:w="851"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 6,645 </w:t>
            </w:r>
          </w:p>
        </w:tc>
      </w:tr>
      <w:tr w:rsidR="001D0350" w:rsidRPr="00D55DC6" w:rsidTr="00040EDC">
        <w:trPr>
          <w:gridAfter w:val="1"/>
          <w:wAfter w:w="1046" w:type="dxa"/>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CD2DEE" w:rsidRPr="00D55DC6" w:rsidRDefault="00CD2DEE" w:rsidP="00040EDC">
            <w:pPr>
              <w:widowControl/>
              <w:rPr>
                <w:rFonts w:eastAsia="標楷體"/>
                <w:kern w:val="0"/>
                <w:sz w:val="22"/>
                <w:szCs w:val="20"/>
              </w:rPr>
            </w:pPr>
            <w:r w:rsidRPr="00D55DC6">
              <w:rPr>
                <w:rFonts w:eastAsia="標楷體"/>
                <w:kern w:val="0"/>
                <w:sz w:val="22"/>
                <w:szCs w:val="20"/>
              </w:rPr>
              <w:t>收支比</w:t>
            </w:r>
          </w:p>
        </w:tc>
        <w:tc>
          <w:tcPr>
            <w:tcW w:w="826"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0.37%</w:t>
            </w:r>
          </w:p>
        </w:tc>
        <w:tc>
          <w:tcPr>
            <w:tcW w:w="850"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0.48%</w:t>
            </w:r>
          </w:p>
        </w:tc>
        <w:tc>
          <w:tcPr>
            <w:tcW w:w="851"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4.86%</w:t>
            </w:r>
          </w:p>
        </w:tc>
        <w:tc>
          <w:tcPr>
            <w:tcW w:w="850"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2.01%</w:t>
            </w:r>
          </w:p>
        </w:tc>
        <w:tc>
          <w:tcPr>
            <w:tcW w:w="851"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1.42%</w:t>
            </w:r>
          </w:p>
        </w:tc>
        <w:tc>
          <w:tcPr>
            <w:tcW w:w="850"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2.60%</w:t>
            </w:r>
          </w:p>
        </w:tc>
        <w:tc>
          <w:tcPr>
            <w:tcW w:w="851"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9.74%</w:t>
            </w:r>
          </w:p>
        </w:tc>
        <w:tc>
          <w:tcPr>
            <w:tcW w:w="851"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3.42%</w:t>
            </w:r>
          </w:p>
        </w:tc>
        <w:tc>
          <w:tcPr>
            <w:tcW w:w="850"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3.87%</w:t>
            </w:r>
          </w:p>
        </w:tc>
        <w:tc>
          <w:tcPr>
            <w:tcW w:w="851"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5.54%</w:t>
            </w:r>
          </w:p>
        </w:tc>
      </w:tr>
      <w:tr w:rsidR="001D0350" w:rsidRPr="00D55DC6" w:rsidTr="00040EDC">
        <w:trPr>
          <w:trHeight w:val="345"/>
        </w:trPr>
        <w:tc>
          <w:tcPr>
            <w:tcW w:w="993" w:type="dxa"/>
            <w:tcBorders>
              <w:top w:val="nil"/>
              <w:left w:val="single" w:sz="4" w:space="0" w:color="auto"/>
              <w:bottom w:val="double" w:sz="6" w:space="0" w:color="auto"/>
              <w:right w:val="single" w:sz="4" w:space="0" w:color="auto"/>
            </w:tcBorders>
            <w:shd w:val="clear" w:color="auto" w:fill="FFCC00"/>
            <w:noWrap/>
            <w:vAlign w:val="center"/>
            <w:hideMark/>
          </w:tcPr>
          <w:p w:rsidR="00CD2DEE" w:rsidRPr="00D55DC6" w:rsidRDefault="00CD2DEE" w:rsidP="00040EDC">
            <w:pPr>
              <w:widowControl/>
              <w:rPr>
                <w:rFonts w:eastAsia="標楷體"/>
                <w:kern w:val="0"/>
                <w:sz w:val="22"/>
                <w:szCs w:val="20"/>
              </w:rPr>
            </w:pPr>
            <w:r w:rsidRPr="00D55DC6">
              <w:rPr>
                <w:rFonts w:eastAsia="標楷體"/>
                <w:kern w:val="0"/>
                <w:sz w:val="22"/>
                <w:szCs w:val="20"/>
              </w:rPr>
              <w:t xml:space="preserve">　</w:t>
            </w:r>
          </w:p>
        </w:tc>
        <w:tc>
          <w:tcPr>
            <w:tcW w:w="826" w:type="dxa"/>
            <w:tcBorders>
              <w:top w:val="nil"/>
              <w:left w:val="nil"/>
              <w:bottom w:val="double" w:sz="6" w:space="0" w:color="auto"/>
              <w:right w:val="single" w:sz="4" w:space="0" w:color="auto"/>
            </w:tcBorders>
            <w:shd w:val="clear" w:color="auto" w:fill="FFCC00"/>
            <w:noWrap/>
            <w:vAlign w:val="center"/>
            <w:hideMark/>
          </w:tcPr>
          <w:p w:rsidR="00CD2DEE" w:rsidRPr="00D55DC6" w:rsidRDefault="00CD2DEE" w:rsidP="00040EDC">
            <w:pPr>
              <w:widowControl/>
              <w:jc w:val="center"/>
              <w:rPr>
                <w:rFonts w:eastAsia="標楷體"/>
                <w:kern w:val="0"/>
                <w:sz w:val="22"/>
                <w:szCs w:val="20"/>
              </w:rPr>
            </w:pPr>
            <w:r w:rsidRPr="00D55DC6">
              <w:rPr>
                <w:rFonts w:eastAsia="標楷體"/>
                <w:kern w:val="0"/>
                <w:sz w:val="22"/>
                <w:szCs w:val="20"/>
              </w:rPr>
              <w:t>113</w:t>
            </w:r>
          </w:p>
        </w:tc>
        <w:tc>
          <w:tcPr>
            <w:tcW w:w="850" w:type="dxa"/>
            <w:tcBorders>
              <w:top w:val="nil"/>
              <w:left w:val="nil"/>
              <w:bottom w:val="double" w:sz="6" w:space="0" w:color="auto"/>
              <w:right w:val="single" w:sz="4" w:space="0" w:color="auto"/>
            </w:tcBorders>
            <w:shd w:val="clear" w:color="auto" w:fill="FFCC00"/>
            <w:noWrap/>
            <w:vAlign w:val="center"/>
            <w:hideMark/>
          </w:tcPr>
          <w:p w:rsidR="00CD2DEE" w:rsidRPr="00D55DC6" w:rsidRDefault="00CD2DEE" w:rsidP="00040EDC">
            <w:pPr>
              <w:widowControl/>
              <w:jc w:val="center"/>
              <w:rPr>
                <w:rFonts w:eastAsia="標楷體"/>
                <w:kern w:val="0"/>
                <w:sz w:val="22"/>
                <w:szCs w:val="20"/>
              </w:rPr>
            </w:pPr>
            <w:r w:rsidRPr="00D55DC6">
              <w:rPr>
                <w:rFonts w:eastAsia="標楷體"/>
                <w:kern w:val="0"/>
                <w:sz w:val="22"/>
                <w:szCs w:val="20"/>
              </w:rPr>
              <w:t>114</w:t>
            </w:r>
          </w:p>
        </w:tc>
        <w:tc>
          <w:tcPr>
            <w:tcW w:w="851" w:type="dxa"/>
            <w:tcBorders>
              <w:top w:val="nil"/>
              <w:left w:val="nil"/>
              <w:bottom w:val="double" w:sz="6" w:space="0" w:color="auto"/>
              <w:right w:val="single" w:sz="4" w:space="0" w:color="auto"/>
            </w:tcBorders>
            <w:shd w:val="clear" w:color="auto" w:fill="FFCC00"/>
            <w:noWrap/>
            <w:vAlign w:val="center"/>
            <w:hideMark/>
          </w:tcPr>
          <w:p w:rsidR="00CD2DEE" w:rsidRPr="00D55DC6" w:rsidRDefault="00CD2DEE" w:rsidP="00040EDC">
            <w:pPr>
              <w:widowControl/>
              <w:jc w:val="center"/>
              <w:rPr>
                <w:rFonts w:eastAsia="標楷體"/>
                <w:kern w:val="0"/>
                <w:sz w:val="22"/>
                <w:szCs w:val="20"/>
              </w:rPr>
            </w:pPr>
            <w:r w:rsidRPr="00D55DC6">
              <w:rPr>
                <w:rFonts w:eastAsia="標楷體"/>
                <w:kern w:val="0"/>
                <w:sz w:val="22"/>
                <w:szCs w:val="20"/>
              </w:rPr>
              <w:t>115</w:t>
            </w:r>
          </w:p>
        </w:tc>
        <w:tc>
          <w:tcPr>
            <w:tcW w:w="850" w:type="dxa"/>
            <w:tcBorders>
              <w:top w:val="nil"/>
              <w:left w:val="nil"/>
              <w:bottom w:val="double" w:sz="6" w:space="0" w:color="auto"/>
              <w:right w:val="single" w:sz="4" w:space="0" w:color="auto"/>
            </w:tcBorders>
            <w:shd w:val="clear" w:color="auto" w:fill="FFCC00"/>
            <w:noWrap/>
            <w:vAlign w:val="center"/>
            <w:hideMark/>
          </w:tcPr>
          <w:p w:rsidR="00CD2DEE" w:rsidRPr="00D55DC6" w:rsidRDefault="00CD2DEE" w:rsidP="00040EDC">
            <w:pPr>
              <w:widowControl/>
              <w:jc w:val="center"/>
              <w:rPr>
                <w:rFonts w:eastAsia="標楷體"/>
                <w:kern w:val="0"/>
                <w:sz w:val="22"/>
                <w:szCs w:val="20"/>
              </w:rPr>
            </w:pPr>
            <w:r w:rsidRPr="00D55DC6">
              <w:rPr>
                <w:rFonts w:eastAsia="標楷體"/>
                <w:kern w:val="0"/>
                <w:sz w:val="22"/>
                <w:szCs w:val="20"/>
              </w:rPr>
              <w:t>116</w:t>
            </w:r>
          </w:p>
        </w:tc>
        <w:tc>
          <w:tcPr>
            <w:tcW w:w="851" w:type="dxa"/>
            <w:tcBorders>
              <w:top w:val="nil"/>
              <w:left w:val="nil"/>
              <w:bottom w:val="double" w:sz="6" w:space="0" w:color="auto"/>
              <w:right w:val="single" w:sz="4" w:space="0" w:color="auto"/>
            </w:tcBorders>
            <w:shd w:val="clear" w:color="auto" w:fill="FFCC00"/>
            <w:noWrap/>
            <w:vAlign w:val="center"/>
            <w:hideMark/>
          </w:tcPr>
          <w:p w:rsidR="00CD2DEE" w:rsidRPr="00D55DC6" w:rsidRDefault="00CD2DEE" w:rsidP="00040EDC">
            <w:pPr>
              <w:widowControl/>
              <w:jc w:val="center"/>
              <w:rPr>
                <w:rFonts w:eastAsia="標楷體"/>
                <w:kern w:val="0"/>
                <w:sz w:val="22"/>
                <w:szCs w:val="20"/>
              </w:rPr>
            </w:pPr>
            <w:r w:rsidRPr="00D55DC6">
              <w:rPr>
                <w:rFonts w:eastAsia="標楷體"/>
                <w:kern w:val="0"/>
                <w:sz w:val="22"/>
                <w:szCs w:val="20"/>
              </w:rPr>
              <w:t>117</w:t>
            </w:r>
          </w:p>
        </w:tc>
        <w:tc>
          <w:tcPr>
            <w:tcW w:w="850" w:type="dxa"/>
            <w:tcBorders>
              <w:top w:val="nil"/>
              <w:left w:val="nil"/>
              <w:bottom w:val="double" w:sz="6" w:space="0" w:color="auto"/>
              <w:right w:val="single" w:sz="4" w:space="0" w:color="auto"/>
            </w:tcBorders>
            <w:shd w:val="clear" w:color="auto" w:fill="FFCC00"/>
            <w:noWrap/>
            <w:vAlign w:val="center"/>
            <w:hideMark/>
          </w:tcPr>
          <w:p w:rsidR="00CD2DEE" w:rsidRPr="00D55DC6" w:rsidRDefault="00CD2DEE" w:rsidP="00040EDC">
            <w:pPr>
              <w:widowControl/>
              <w:jc w:val="center"/>
              <w:rPr>
                <w:rFonts w:eastAsia="標楷體"/>
                <w:kern w:val="0"/>
                <w:sz w:val="22"/>
                <w:szCs w:val="20"/>
              </w:rPr>
            </w:pPr>
            <w:r w:rsidRPr="00D55DC6">
              <w:rPr>
                <w:rFonts w:eastAsia="標楷體"/>
                <w:kern w:val="0"/>
                <w:sz w:val="22"/>
                <w:szCs w:val="20"/>
              </w:rPr>
              <w:t>118</w:t>
            </w:r>
          </w:p>
        </w:tc>
        <w:tc>
          <w:tcPr>
            <w:tcW w:w="851" w:type="dxa"/>
            <w:tcBorders>
              <w:top w:val="nil"/>
              <w:left w:val="nil"/>
              <w:bottom w:val="double" w:sz="6" w:space="0" w:color="auto"/>
              <w:right w:val="single" w:sz="4" w:space="0" w:color="auto"/>
            </w:tcBorders>
            <w:shd w:val="clear" w:color="auto" w:fill="FFCC00"/>
            <w:noWrap/>
            <w:vAlign w:val="center"/>
            <w:hideMark/>
          </w:tcPr>
          <w:p w:rsidR="00CD2DEE" w:rsidRPr="00D55DC6" w:rsidRDefault="00CD2DEE" w:rsidP="00040EDC">
            <w:pPr>
              <w:widowControl/>
              <w:jc w:val="center"/>
              <w:rPr>
                <w:rFonts w:eastAsia="標楷體"/>
                <w:kern w:val="0"/>
                <w:sz w:val="22"/>
                <w:szCs w:val="20"/>
              </w:rPr>
            </w:pPr>
            <w:r w:rsidRPr="00D55DC6">
              <w:rPr>
                <w:rFonts w:eastAsia="標楷體"/>
                <w:kern w:val="0"/>
                <w:sz w:val="22"/>
                <w:szCs w:val="20"/>
              </w:rPr>
              <w:t>119</w:t>
            </w:r>
          </w:p>
        </w:tc>
        <w:tc>
          <w:tcPr>
            <w:tcW w:w="851" w:type="dxa"/>
            <w:tcBorders>
              <w:top w:val="nil"/>
              <w:left w:val="nil"/>
              <w:bottom w:val="double" w:sz="6" w:space="0" w:color="auto"/>
              <w:right w:val="single" w:sz="4" w:space="0" w:color="auto"/>
            </w:tcBorders>
            <w:shd w:val="clear" w:color="auto" w:fill="FFCC00"/>
            <w:noWrap/>
            <w:vAlign w:val="center"/>
            <w:hideMark/>
          </w:tcPr>
          <w:p w:rsidR="00CD2DEE" w:rsidRPr="00D55DC6" w:rsidRDefault="00CD2DEE" w:rsidP="00040EDC">
            <w:pPr>
              <w:widowControl/>
              <w:jc w:val="center"/>
              <w:rPr>
                <w:rFonts w:eastAsia="標楷體"/>
                <w:kern w:val="0"/>
                <w:sz w:val="22"/>
                <w:szCs w:val="20"/>
              </w:rPr>
            </w:pPr>
            <w:r w:rsidRPr="00D55DC6">
              <w:rPr>
                <w:rFonts w:eastAsia="標楷體"/>
                <w:kern w:val="0"/>
                <w:sz w:val="22"/>
                <w:szCs w:val="20"/>
              </w:rPr>
              <w:t>120</w:t>
            </w:r>
          </w:p>
        </w:tc>
        <w:tc>
          <w:tcPr>
            <w:tcW w:w="850" w:type="dxa"/>
            <w:tcBorders>
              <w:top w:val="nil"/>
              <w:left w:val="nil"/>
              <w:bottom w:val="double" w:sz="6" w:space="0" w:color="auto"/>
              <w:right w:val="single" w:sz="4" w:space="0" w:color="auto"/>
            </w:tcBorders>
            <w:shd w:val="clear" w:color="auto" w:fill="FFCC00"/>
            <w:noWrap/>
            <w:vAlign w:val="center"/>
            <w:hideMark/>
          </w:tcPr>
          <w:p w:rsidR="00CD2DEE" w:rsidRPr="00D55DC6" w:rsidRDefault="00CD2DEE" w:rsidP="00040EDC">
            <w:pPr>
              <w:widowControl/>
              <w:jc w:val="center"/>
              <w:rPr>
                <w:rFonts w:eastAsia="標楷體"/>
                <w:kern w:val="0"/>
                <w:sz w:val="22"/>
                <w:szCs w:val="20"/>
              </w:rPr>
            </w:pPr>
            <w:r w:rsidRPr="00D55DC6">
              <w:rPr>
                <w:rFonts w:eastAsia="標楷體"/>
                <w:kern w:val="0"/>
                <w:sz w:val="22"/>
                <w:szCs w:val="20"/>
              </w:rPr>
              <w:t>121</w:t>
            </w:r>
          </w:p>
        </w:tc>
        <w:tc>
          <w:tcPr>
            <w:tcW w:w="851" w:type="dxa"/>
            <w:tcBorders>
              <w:top w:val="nil"/>
              <w:left w:val="nil"/>
              <w:bottom w:val="double" w:sz="6" w:space="0" w:color="auto"/>
              <w:right w:val="single" w:sz="4" w:space="0" w:color="auto"/>
            </w:tcBorders>
            <w:shd w:val="clear" w:color="auto" w:fill="FFCC00"/>
            <w:noWrap/>
            <w:vAlign w:val="center"/>
            <w:hideMark/>
          </w:tcPr>
          <w:p w:rsidR="00CD2DEE" w:rsidRPr="00D55DC6" w:rsidRDefault="00CD2DEE" w:rsidP="00040EDC">
            <w:pPr>
              <w:widowControl/>
              <w:jc w:val="center"/>
              <w:rPr>
                <w:rFonts w:eastAsia="標楷體"/>
                <w:kern w:val="0"/>
                <w:sz w:val="22"/>
                <w:szCs w:val="20"/>
              </w:rPr>
            </w:pPr>
            <w:r w:rsidRPr="00D55DC6">
              <w:rPr>
                <w:rFonts w:eastAsia="標楷體"/>
                <w:kern w:val="0"/>
                <w:sz w:val="22"/>
                <w:szCs w:val="20"/>
              </w:rPr>
              <w:t>122</w:t>
            </w:r>
          </w:p>
        </w:tc>
        <w:tc>
          <w:tcPr>
            <w:tcW w:w="1046" w:type="dxa"/>
            <w:tcBorders>
              <w:top w:val="single" w:sz="4" w:space="0" w:color="auto"/>
              <w:left w:val="nil"/>
              <w:bottom w:val="double" w:sz="6" w:space="0" w:color="auto"/>
              <w:right w:val="single" w:sz="4" w:space="0" w:color="auto"/>
            </w:tcBorders>
            <w:shd w:val="clear" w:color="auto" w:fill="FFCC00"/>
            <w:noWrap/>
            <w:vAlign w:val="center"/>
            <w:hideMark/>
          </w:tcPr>
          <w:p w:rsidR="00CD2DEE" w:rsidRPr="00D55DC6" w:rsidRDefault="00CD2DEE" w:rsidP="00040EDC">
            <w:pPr>
              <w:widowControl/>
              <w:jc w:val="center"/>
              <w:rPr>
                <w:rFonts w:eastAsia="標楷體"/>
                <w:kern w:val="0"/>
                <w:sz w:val="22"/>
                <w:szCs w:val="20"/>
              </w:rPr>
            </w:pPr>
            <w:r w:rsidRPr="00D55DC6">
              <w:rPr>
                <w:rFonts w:eastAsia="標楷體"/>
                <w:kern w:val="0"/>
                <w:sz w:val="22"/>
                <w:szCs w:val="20"/>
              </w:rPr>
              <w:t>合計</w:t>
            </w:r>
          </w:p>
        </w:tc>
      </w:tr>
      <w:tr w:rsidR="001D0350" w:rsidRPr="00D55DC6" w:rsidTr="00040EDC">
        <w:trPr>
          <w:trHeight w:val="345"/>
        </w:trPr>
        <w:tc>
          <w:tcPr>
            <w:tcW w:w="993" w:type="dxa"/>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CD2DEE" w:rsidRPr="00D55DC6" w:rsidRDefault="00CD2DEE" w:rsidP="00040EDC">
            <w:pPr>
              <w:widowControl/>
              <w:rPr>
                <w:rFonts w:eastAsia="標楷體"/>
                <w:kern w:val="0"/>
                <w:sz w:val="22"/>
                <w:szCs w:val="20"/>
              </w:rPr>
            </w:pPr>
            <w:r w:rsidRPr="00D55DC6">
              <w:rPr>
                <w:rFonts w:eastAsia="標楷體"/>
                <w:kern w:val="0"/>
                <w:sz w:val="22"/>
                <w:szCs w:val="20"/>
              </w:rPr>
              <w:t>支出</w:t>
            </w:r>
          </w:p>
        </w:tc>
        <w:tc>
          <w:tcPr>
            <w:tcW w:w="826" w:type="dxa"/>
            <w:tcBorders>
              <w:top w:val="single" w:sz="4" w:space="0" w:color="auto"/>
              <w:left w:val="nil"/>
              <w:bottom w:val="single" w:sz="4" w:space="0" w:color="auto"/>
              <w:right w:val="single" w:sz="4" w:space="0" w:color="auto"/>
            </w:tcBorders>
            <w:shd w:val="clear" w:color="auto" w:fill="FDE9D9"/>
            <w:noWrap/>
            <w:vAlign w:val="center"/>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120,000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110,000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100,000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100,000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100,000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100,000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100,000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100,000 </w:t>
            </w:r>
          </w:p>
        </w:tc>
        <w:tc>
          <w:tcPr>
            <w:tcW w:w="850" w:type="dxa"/>
            <w:tcBorders>
              <w:top w:val="single" w:sz="4" w:space="0" w:color="auto"/>
              <w:left w:val="nil"/>
              <w:bottom w:val="single" w:sz="4" w:space="0" w:color="auto"/>
              <w:right w:val="single" w:sz="4" w:space="0" w:color="auto"/>
            </w:tcBorders>
            <w:shd w:val="clear" w:color="auto" w:fill="FDE9D9"/>
            <w:noWrap/>
            <w:vAlign w:val="center"/>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100,000 </w:t>
            </w:r>
          </w:p>
        </w:tc>
        <w:tc>
          <w:tcPr>
            <w:tcW w:w="851" w:type="dxa"/>
            <w:tcBorders>
              <w:top w:val="single" w:sz="4" w:space="0" w:color="auto"/>
              <w:left w:val="nil"/>
              <w:bottom w:val="single" w:sz="4" w:space="0" w:color="auto"/>
              <w:right w:val="single" w:sz="4" w:space="0" w:color="auto"/>
            </w:tcBorders>
            <w:shd w:val="clear" w:color="auto" w:fill="FDE9D9"/>
            <w:noWrap/>
            <w:vAlign w:val="center"/>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100,000 </w:t>
            </w:r>
          </w:p>
        </w:tc>
        <w:tc>
          <w:tcPr>
            <w:tcW w:w="1046" w:type="dxa"/>
            <w:tcBorders>
              <w:top w:val="single" w:sz="4" w:space="0" w:color="auto"/>
              <w:left w:val="nil"/>
              <w:bottom w:val="single" w:sz="4" w:space="0" w:color="auto"/>
              <w:right w:val="single" w:sz="4" w:space="0" w:color="auto"/>
            </w:tcBorders>
            <w:shd w:val="clear" w:color="auto" w:fill="FDE9D9"/>
            <w:noWrap/>
            <w:vAlign w:val="center"/>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2,734,600 </w:t>
            </w:r>
          </w:p>
        </w:tc>
      </w:tr>
      <w:tr w:rsidR="001D0350" w:rsidRPr="00D55DC6" w:rsidTr="00040EDC">
        <w:trPr>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CD2DEE" w:rsidRPr="00D55DC6" w:rsidRDefault="00CD2DEE" w:rsidP="00040EDC">
            <w:pPr>
              <w:widowControl/>
              <w:rPr>
                <w:rFonts w:eastAsia="標楷體"/>
                <w:kern w:val="0"/>
                <w:sz w:val="22"/>
                <w:szCs w:val="20"/>
              </w:rPr>
            </w:pPr>
            <w:r w:rsidRPr="00D55DC6">
              <w:rPr>
                <w:rFonts w:eastAsia="標楷體"/>
                <w:kern w:val="0"/>
                <w:sz w:val="22"/>
                <w:szCs w:val="20"/>
              </w:rPr>
              <w:t>收入</w:t>
            </w:r>
          </w:p>
        </w:tc>
        <w:tc>
          <w:tcPr>
            <w:tcW w:w="826"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 17,016 </w:t>
            </w:r>
          </w:p>
        </w:tc>
        <w:tc>
          <w:tcPr>
            <w:tcW w:w="850"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7,228 </w:t>
            </w:r>
          </w:p>
        </w:tc>
        <w:tc>
          <w:tcPr>
            <w:tcW w:w="851"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 7,388 </w:t>
            </w:r>
          </w:p>
        </w:tc>
        <w:tc>
          <w:tcPr>
            <w:tcW w:w="850"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 9,301 </w:t>
            </w:r>
          </w:p>
        </w:tc>
        <w:tc>
          <w:tcPr>
            <w:tcW w:w="851"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 22,505 </w:t>
            </w:r>
          </w:p>
        </w:tc>
        <w:tc>
          <w:tcPr>
            <w:tcW w:w="850"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 10,072 </w:t>
            </w:r>
          </w:p>
        </w:tc>
        <w:tc>
          <w:tcPr>
            <w:tcW w:w="851"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 10,283 </w:t>
            </w:r>
          </w:p>
        </w:tc>
        <w:tc>
          <w:tcPr>
            <w:tcW w:w="851"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 12,421 </w:t>
            </w:r>
          </w:p>
        </w:tc>
        <w:tc>
          <w:tcPr>
            <w:tcW w:w="850"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22,881 </w:t>
            </w:r>
          </w:p>
        </w:tc>
        <w:tc>
          <w:tcPr>
            <w:tcW w:w="851"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13,162 </w:t>
            </w:r>
          </w:p>
        </w:tc>
        <w:tc>
          <w:tcPr>
            <w:tcW w:w="1046"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 xml:space="preserve">186,906 </w:t>
            </w:r>
          </w:p>
        </w:tc>
      </w:tr>
      <w:tr w:rsidR="001D0350" w:rsidRPr="00D55DC6" w:rsidTr="00040EDC">
        <w:trPr>
          <w:trHeight w:val="330"/>
        </w:trPr>
        <w:tc>
          <w:tcPr>
            <w:tcW w:w="993" w:type="dxa"/>
            <w:tcBorders>
              <w:top w:val="nil"/>
              <w:left w:val="single" w:sz="4" w:space="0" w:color="auto"/>
              <w:bottom w:val="single" w:sz="4" w:space="0" w:color="auto"/>
              <w:right w:val="single" w:sz="4" w:space="0" w:color="auto"/>
            </w:tcBorders>
            <w:shd w:val="clear" w:color="auto" w:fill="FFFFFF"/>
            <w:noWrap/>
            <w:vAlign w:val="center"/>
            <w:hideMark/>
          </w:tcPr>
          <w:p w:rsidR="00CD2DEE" w:rsidRPr="00D55DC6" w:rsidRDefault="00CD2DEE" w:rsidP="00040EDC">
            <w:pPr>
              <w:widowControl/>
              <w:rPr>
                <w:rFonts w:eastAsia="標楷體"/>
                <w:kern w:val="0"/>
                <w:sz w:val="22"/>
                <w:szCs w:val="20"/>
              </w:rPr>
            </w:pPr>
            <w:r w:rsidRPr="00D55DC6">
              <w:rPr>
                <w:rFonts w:eastAsia="標楷體"/>
                <w:kern w:val="0"/>
                <w:sz w:val="22"/>
                <w:szCs w:val="20"/>
              </w:rPr>
              <w:t>收支比</w:t>
            </w:r>
          </w:p>
        </w:tc>
        <w:tc>
          <w:tcPr>
            <w:tcW w:w="826"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14.18%</w:t>
            </w:r>
          </w:p>
        </w:tc>
        <w:tc>
          <w:tcPr>
            <w:tcW w:w="850"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6.57%</w:t>
            </w:r>
          </w:p>
        </w:tc>
        <w:tc>
          <w:tcPr>
            <w:tcW w:w="851"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7.39%</w:t>
            </w:r>
          </w:p>
        </w:tc>
        <w:tc>
          <w:tcPr>
            <w:tcW w:w="850"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9.30%</w:t>
            </w:r>
          </w:p>
        </w:tc>
        <w:tc>
          <w:tcPr>
            <w:tcW w:w="851"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22.50%</w:t>
            </w:r>
          </w:p>
        </w:tc>
        <w:tc>
          <w:tcPr>
            <w:tcW w:w="850"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10.07%</w:t>
            </w:r>
          </w:p>
        </w:tc>
        <w:tc>
          <w:tcPr>
            <w:tcW w:w="851"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10.28%</w:t>
            </w:r>
          </w:p>
        </w:tc>
        <w:tc>
          <w:tcPr>
            <w:tcW w:w="851"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12.42%</w:t>
            </w:r>
          </w:p>
        </w:tc>
        <w:tc>
          <w:tcPr>
            <w:tcW w:w="850"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22.88%</w:t>
            </w:r>
          </w:p>
        </w:tc>
        <w:tc>
          <w:tcPr>
            <w:tcW w:w="851"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13.16%</w:t>
            </w:r>
          </w:p>
        </w:tc>
        <w:tc>
          <w:tcPr>
            <w:tcW w:w="1046" w:type="dxa"/>
            <w:tcBorders>
              <w:top w:val="nil"/>
              <w:left w:val="nil"/>
              <w:bottom w:val="single" w:sz="4" w:space="0" w:color="auto"/>
              <w:right w:val="single" w:sz="4" w:space="0" w:color="auto"/>
            </w:tcBorders>
            <w:shd w:val="clear" w:color="auto" w:fill="FFFFFF"/>
            <w:noWrap/>
            <w:hideMark/>
          </w:tcPr>
          <w:p w:rsidR="00CD2DEE" w:rsidRPr="00D55DC6" w:rsidRDefault="00CD2DEE" w:rsidP="00040EDC">
            <w:pPr>
              <w:widowControl/>
              <w:jc w:val="right"/>
              <w:rPr>
                <w:rFonts w:eastAsia="標楷體"/>
                <w:kern w:val="0"/>
                <w:sz w:val="22"/>
                <w:szCs w:val="20"/>
              </w:rPr>
            </w:pPr>
            <w:r w:rsidRPr="00D55DC6">
              <w:rPr>
                <w:rFonts w:eastAsia="標楷體"/>
                <w:kern w:val="0"/>
                <w:sz w:val="22"/>
                <w:szCs w:val="20"/>
              </w:rPr>
              <w:t>6.83%</w:t>
            </w:r>
          </w:p>
        </w:tc>
      </w:tr>
      <w:tr w:rsidR="001D0350" w:rsidRPr="00D55DC6" w:rsidTr="00040EDC">
        <w:trPr>
          <w:gridAfter w:val="9"/>
          <w:wAfter w:w="7851" w:type="dxa"/>
          <w:trHeight w:val="330"/>
        </w:trPr>
        <w:tc>
          <w:tcPr>
            <w:tcW w:w="993" w:type="dxa"/>
            <w:tcBorders>
              <w:top w:val="nil"/>
              <w:left w:val="single" w:sz="4" w:space="0" w:color="auto"/>
              <w:bottom w:val="single" w:sz="4" w:space="0" w:color="auto"/>
              <w:right w:val="single" w:sz="4" w:space="0" w:color="auto"/>
            </w:tcBorders>
            <w:shd w:val="clear" w:color="auto" w:fill="FFFFCC"/>
            <w:noWrap/>
            <w:vAlign w:val="center"/>
            <w:hideMark/>
          </w:tcPr>
          <w:p w:rsidR="00CD2DEE" w:rsidRPr="00D55DC6" w:rsidRDefault="00CD2DEE" w:rsidP="00040EDC">
            <w:pPr>
              <w:widowControl/>
              <w:rPr>
                <w:rFonts w:eastAsia="標楷體"/>
                <w:b/>
                <w:bCs/>
                <w:kern w:val="0"/>
                <w:sz w:val="22"/>
                <w:szCs w:val="20"/>
              </w:rPr>
            </w:pPr>
            <w:r w:rsidRPr="00D55DC6">
              <w:rPr>
                <w:rFonts w:eastAsia="標楷體"/>
                <w:b/>
                <w:bCs/>
                <w:kern w:val="0"/>
                <w:sz w:val="22"/>
                <w:szCs w:val="20"/>
              </w:rPr>
              <w:t>投資現值</w:t>
            </w:r>
          </w:p>
        </w:tc>
        <w:tc>
          <w:tcPr>
            <w:tcW w:w="1676" w:type="dxa"/>
            <w:gridSpan w:val="2"/>
            <w:tcBorders>
              <w:top w:val="nil"/>
              <w:left w:val="nil"/>
              <w:bottom w:val="single" w:sz="4" w:space="0" w:color="auto"/>
              <w:right w:val="single" w:sz="4" w:space="0" w:color="auto"/>
            </w:tcBorders>
            <w:shd w:val="clear" w:color="auto" w:fill="FFFFCC"/>
            <w:noWrap/>
            <w:vAlign w:val="center"/>
            <w:hideMark/>
          </w:tcPr>
          <w:p w:rsidR="00CD2DEE" w:rsidRPr="00D55DC6" w:rsidRDefault="00CD2DEE" w:rsidP="00040EDC">
            <w:pPr>
              <w:widowControl/>
              <w:ind w:rightChars="47" w:right="113"/>
              <w:jc w:val="right"/>
              <w:rPr>
                <w:rFonts w:eastAsia="標楷體"/>
                <w:b/>
                <w:bCs/>
                <w:kern w:val="0"/>
                <w:sz w:val="20"/>
                <w:szCs w:val="20"/>
              </w:rPr>
            </w:pPr>
            <w:r w:rsidRPr="00D55DC6">
              <w:rPr>
                <w:rFonts w:eastAsia="標楷體"/>
                <w:b/>
                <w:bCs/>
                <w:kern w:val="0"/>
                <w:sz w:val="20"/>
                <w:szCs w:val="20"/>
              </w:rPr>
              <w:t>2,151,785</w:t>
            </w:r>
          </w:p>
        </w:tc>
      </w:tr>
      <w:tr w:rsidR="001D0350" w:rsidRPr="00D55DC6" w:rsidTr="00040EDC">
        <w:trPr>
          <w:gridAfter w:val="9"/>
          <w:wAfter w:w="7851" w:type="dxa"/>
          <w:trHeight w:val="330"/>
        </w:trPr>
        <w:tc>
          <w:tcPr>
            <w:tcW w:w="993" w:type="dxa"/>
            <w:tcBorders>
              <w:top w:val="nil"/>
              <w:left w:val="single" w:sz="4" w:space="0" w:color="auto"/>
              <w:bottom w:val="single" w:sz="4" w:space="0" w:color="auto"/>
              <w:right w:val="single" w:sz="4" w:space="0" w:color="auto"/>
            </w:tcBorders>
            <w:shd w:val="clear" w:color="auto" w:fill="FFFFCC"/>
            <w:noWrap/>
            <w:vAlign w:val="center"/>
            <w:hideMark/>
          </w:tcPr>
          <w:p w:rsidR="00CD2DEE" w:rsidRPr="00D55DC6" w:rsidRDefault="00CD2DEE" w:rsidP="00040EDC">
            <w:pPr>
              <w:widowControl/>
              <w:rPr>
                <w:rFonts w:eastAsia="標楷體"/>
                <w:b/>
                <w:bCs/>
                <w:kern w:val="0"/>
                <w:sz w:val="22"/>
                <w:szCs w:val="20"/>
              </w:rPr>
            </w:pPr>
            <w:r w:rsidRPr="00D55DC6">
              <w:rPr>
                <w:rFonts w:eastAsia="標楷體"/>
                <w:b/>
                <w:bCs/>
                <w:kern w:val="0"/>
                <w:sz w:val="22"/>
                <w:szCs w:val="20"/>
              </w:rPr>
              <w:t>收益現值</w:t>
            </w:r>
          </w:p>
        </w:tc>
        <w:tc>
          <w:tcPr>
            <w:tcW w:w="1676" w:type="dxa"/>
            <w:gridSpan w:val="2"/>
            <w:tcBorders>
              <w:top w:val="nil"/>
              <w:left w:val="nil"/>
              <w:bottom w:val="single" w:sz="4" w:space="0" w:color="auto"/>
              <w:right w:val="single" w:sz="4" w:space="0" w:color="auto"/>
            </w:tcBorders>
            <w:shd w:val="clear" w:color="auto" w:fill="FFFFCC"/>
            <w:noWrap/>
            <w:vAlign w:val="center"/>
            <w:hideMark/>
          </w:tcPr>
          <w:p w:rsidR="00CD2DEE" w:rsidRPr="00D55DC6" w:rsidRDefault="00CD2DEE" w:rsidP="00040EDC">
            <w:pPr>
              <w:widowControl/>
              <w:ind w:rightChars="47" w:right="113"/>
              <w:jc w:val="right"/>
              <w:rPr>
                <w:rFonts w:eastAsia="標楷體"/>
                <w:b/>
                <w:bCs/>
                <w:kern w:val="0"/>
                <w:sz w:val="20"/>
                <w:szCs w:val="20"/>
              </w:rPr>
            </w:pPr>
            <w:r w:rsidRPr="00D55DC6">
              <w:rPr>
                <w:rFonts w:eastAsia="標楷體"/>
                <w:b/>
                <w:bCs/>
                <w:kern w:val="0"/>
                <w:sz w:val="20"/>
                <w:szCs w:val="20"/>
              </w:rPr>
              <w:t>130,497</w:t>
            </w:r>
          </w:p>
        </w:tc>
      </w:tr>
      <w:tr w:rsidR="001D0350" w:rsidRPr="00D55DC6" w:rsidTr="00040EDC">
        <w:trPr>
          <w:gridAfter w:val="9"/>
          <w:wAfter w:w="7851" w:type="dxa"/>
          <w:trHeight w:val="330"/>
        </w:trPr>
        <w:tc>
          <w:tcPr>
            <w:tcW w:w="993" w:type="dxa"/>
            <w:tcBorders>
              <w:top w:val="nil"/>
              <w:left w:val="single" w:sz="4" w:space="0" w:color="auto"/>
              <w:bottom w:val="single" w:sz="4" w:space="0" w:color="auto"/>
              <w:right w:val="single" w:sz="4" w:space="0" w:color="auto"/>
            </w:tcBorders>
            <w:shd w:val="clear" w:color="auto" w:fill="FDE9D9"/>
            <w:noWrap/>
            <w:vAlign w:val="center"/>
            <w:hideMark/>
          </w:tcPr>
          <w:p w:rsidR="00CD2DEE" w:rsidRPr="00D55DC6" w:rsidRDefault="00CD2DEE" w:rsidP="00040EDC">
            <w:pPr>
              <w:widowControl/>
              <w:rPr>
                <w:rFonts w:eastAsia="標楷體"/>
                <w:kern w:val="0"/>
                <w:sz w:val="22"/>
                <w:szCs w:val="20"/>
              </w:rPr>
            </w:pPr>
            <w:r w:rsidRPr="00D55DC6">
              <w:rPr>
                <w:rFonts w:eastAsia="標楷體"/>
                <w:kern w:val="0"/>
                <w:sz w:val="18"/>
                <w:szCs w:val="20"/>
              </w:rPr>
              <w:t>計畫自償率</w:t>
            </w:r>
          </w:p>
        </w:tc>
        <w:tc>
          <w:tcPr>
            <w:tcW w:w="1676" w:type="dxa"/>
            <w:gridSpan w:val="2"/>
            <w:tcBorders>
              <w:top w:val="nil"/>
              <w:left w:val="nil"/>
              <w:bottom w:val="single" w:sz="4" w:space="0" w:color="auto"/>
              <w:right w:val="single" w:sz="4" w:space="0" w:color="auto"/>
            </w:tcBorders>
            <w:shd w:val="clear" w:color="auto" w:fill="FDE9D9"/>
            <w:noWrap/>
            <w:vAlign w:val="center"/>
            <w:hideMark/>
          </w:tcPr>
          <w:p w:rsidR="00CD2DEE" w:rsidRPr="00D55DC6" w:rsidRDefault="00CD2DEE" w:rsidP="00040EDC">
            <w:pPr>
              <w:widowControl/>
              <w:ind w:rightChars="47" w:right="113"/>
              <w:jc w:val="right"/>
              <w:rPr>
                <w:rFonts w:eastAsia="標楷體"/>
                <w:b/>
                <w:bCs/>
                <w:kern w:val="0"/>
                <w:sz w:val="22"/>
                <w:szCs w:val="20"/>
              </w:rPr>
            </w:pPr>
            <w:r w:rsidRPr="00D55DC6">
              <w:rPr>
                <w:rFonts w:eastAsia="標楷體"/>
                <w:b/>
                <w:bCs/>
                <w:kern w:val="0"/>
                <w:sz w:val="22"/>
                <w:szCs w:val="20"/>
              </w:rPr>
              <w:t>6.06%</w:t>
            </w:r>
          </w:p>
        </w:tc>
      </w:tr>
    </w:tbl>
    <w:p w:rsidR="00CD2DEE" w:rsidRPr="00D55DC6" w:rsidRDefault="00CD2DEE" w:rsidP="009D33BA">
      <w:pPr>
        <w:keepNext/>
        <w:spacing w:beforeLines="50" w:before="180" w:afterLines="50" w:after="180"/>
        <w:ind w:rightChars="-316" w:right="-758"/>
        <w:rPr>
          <w:rFonts w:eastAsia="標楷體"/>
        </w:rPr>
      </w:pPr>
    </w:p>
    <w:p w:rsidR="00610EF3" w:rsidRPr="00D55DC6" w:rsidRDefault="00610EF3" w:rsidP="00610EF3">
      <w:pPr>
        <w:pStyle w:val="a"/>
        <w:numPr>
          <w:ilvl w:val="0"/>
          <w:numId w:val="0"/>
        </w:numPr>
        <w:ind w:left="851"/>
      </w:pPr>
      <w:bookmarkStart w:id="188" w:name="_Toc407181748"/>
      <w:r w:rsidRPr="00D55DC6">
        <w:t>馬祖國家風景區經管範圍陸域面積僅</w:t>
      </w:r>
      <w:r w:rsidRPr="00D55DC6">
        <w:t>29.6</w:t>
      </w:r>
      <w:r w:rsidRPr="00D55DC6">
        <w:t>平方公里，管理處管理土地甚少，且僅有經營管理權，又因離島建設條例第</w:t>
      </w:r>
      <w:r w:rsidRPr="00D55DC6">
        <w:t>9</w:t>
      </w:r>
      <w:r w:rsidRPr="00D55DC6">
        <w:t>條修正後限制國有土地移轉、撥用及活化經營，現況僅能以透過法令及相關單位之協助，努力達成自償率目標。</w:t>
      </w:r>
      <w:r w:rsidRPr="00D55DC6">
        <w:t>105-108</w:t>
      </w:r>
      <w:r w:rsidRPr="00D55DC6">
        <w:t>年階段將持續以擴大推動設施出租、促參案件為主，積極辦理表列各案之出租及促參作業，惟考量長期計畫可能存在「</w:t>
      </w:r>
      <w:r w:rsidRPr="00D55DC6">
        <w:t>BOT</w:t>
      </w:r>
      <w:r w:rsidRPr="00D55DC6">
        <w:t>計畫因私有地取得等不確定因素延宕」、「預估收益或預期市場反應過於樂觀」等眾多不確定風險特性，爰仍需持續依實際推動現況滾動檢討。</w:t>
      </w:r>
    </w:p>
    <w:bookmarkEnd w:id="188"/>
    <w:p w:rsidR="00C40B73" w:rsidRPr="00D55DC6" w:rsidRDefault="00C40B73" w:rsidP="00C40B73">
      <w:pPr>
        <w:pStyle w:val="a"/>
        <w:numPr>
          <w:ilvl w:val="0"/>
          <w:numId w:val="0"/>
        </w:numPr>
        <w:ind w:left="851"/>
      </w:pPr>
    </w:p>
    <w:p w:rsidR="00C40B73" w:rsidRPr="00D55DC6" w:rsidRDefault="00C40B73" w:rsidP="00C40B73">
      <w:pPr>
        <w:pStyle w:val="a"/>
        <w:numPr>
          <w:ilvl w:val="0"/>
          <w:numId w:val="0"/>
        </w:numPr>
        <w:ind w:left="851"/>
      </w:pPr>
    </w:p>
    <w:p w:rsidR="00C40B73" w:rsidRPr="00D55DC6" w:rsidRDefault="00C40B73" w:rsidP="00C40B73">
      <w:pPr>
        <w:pStyle w:val="a"/>
        <w:numPr>
          <w:ilvl w:val="0"/>
          <w:numId w:val="0"/>
        </w:numPr>
        <w:ind w:left="851"/>
      </w:pPr>
    </w:p>
    <w:p w:rsidR="00C40B73" w:rsidRPr="00D55DC6" w:rsidRDefault="00C40B73" w:rsidP="00C40B73">
      <w:pPr>
        <w:pStyle w:val="a"/>
        <w:numPr>
          <w:ilvl w:val="0"/>
          <w:numId w:val="0"/>
        </w:numPr>
        <w:ind w:left="851"/>
      </w:pPr>
    </w:p>
    <w:p w:rsidR="00C40B73" w:rsidRPr="00D55DC6" w:rsidRDefault="00C40B73" w:rsidP="00C40B73">
      <w:pPr>
        <w:pStyle w:val="a"/>
        <w:ind w:left="709" w:hanging="709"/>
        <w:rPr>
          <w:b/>
        </w:rPr>
      </w:pPr>
      <w:bookmarkStart w:id="189" w:name="_Toc407181749"/>
      <w:r w:rsidRPr="00D55DC6">
        <w:rPr>
          <w:b/>
        </w:rPr>
        <w:lastRenderedPageBreak/>
        <w:t>附則</w:t>
      </w:r>
      <w:bookmarkEnd w:id="189"/>
    </w:p>
    <w:p w:rsidR="00C40B73" w:rsidRPr="00D55DC6" w:rsidRDefault="00C40B73" w:rsidP="004865C1">
      <w:pPr>
        <w:pStyle w:val="af2"/>
        <w:numPr>
          <w:ilvl w:val="0"/>
          <w:numId w:val="221"/>
        </w:numPr>
        <w:snapToGrid w:val="0"/>
        <w:spacing w:line="460" w:lineRule="exact"/>
        <w:ind w:leftChars="0"/>
        <w:jc w:val="both"/>
        <w:rPr>
          <w:rFonts w:eastAsia="標楷體"/>
          <w:b/>
          <w:sz w:val="28"/>
          <w:szCs w:val="28"/>
        </w:rPr>
      </w:pPr>
      <w:r w:rsidRPr="00D55DC6">
        <w:rPr>
          <w:rFonts w:eastAsia="標楷體"/>
          <w:b/>
          <w:sz w:val="28"/>
          <w:szCs w:val="28"/>
        </w:rPr>
        <w:t>風險評估</w:t>
      </w:r>
    </w:p>
    <w:p w:rsidR="00C40B73" w:rsidRPr="00D55DC6" w:rsidRDefault="00C40B73" w:rsidP="00C40B73">
      <w:pPr>
        <w:snapToGrid w:val="0"/>
        <w:spacing w:line="460" w:lineRule="exact"/>
        <w:ind w:leftChars="295" w:left="991" w:hangingChars="101" w:hanging="283"/>
        <w:jc w:val="both"/>
        <w:rPr>
          <w:rFonts w:eastAsia="標楷體"/>
          <w:sz w:val="28"/>
          <w:szCs w:val="28"/>
        </w:rPr>
      </w:pPr>
      <w:r w:rsidRPr="00D55DC6">
        <w:rPr>
          <w:rFonts w:eastAsia="標楷體"/>
          <w:sz w:val="28"/>
          <w:szCs w:val="28"/>
        </w:rPr>
        <w:t xml:space="preserve">1. </w:t>
      </w:r>
      <w:r w:rsidRPr="00D55DC6">
        <w:rPr>
          <w:rFonts w:eastAsia="標楷體"/>
          <w:sz w:val="28"/>
          <w:szCs w:val="28"/>
        </w:rPr>
        <w:t>氣候及土地地理區位所造成之自然災害具風險性，爰各項建設將謹慎評估氣候及土地條件，並以能配合地方政府防災資訊與設施，降低災害影響。</w:t>
      </w:r>
    </w:p>
    <w:p w:rsidR="00C40B73" w:rsidRPr="00D55DC6" w:rsidRDefault="00C40B73" w:rsidP="00C40B73">
      <w:pPr>
        <w:snapToGrid w:val="0"/>
        <w:spacing w:line="460" w:lineRule="exact"/>
        <w:ind w:leftChars="295" w:left="991" w:hangingChars="101" w:hanging="283"/>
        <w:jc w:val="both"/>
        <w:rPr>
          <w:rFonts w:eastAsia="標楷體"/>
          <w:sz w:val="28"/>
          <w:szCs w:val="28"/>
        </w:rPr>
      </w:pPr>
      <w:r w:rsidRPr="00D55DC6">
        <w:rPr>
          <w:rFonts w:eastAsia="標楷體"/>
          <w:sz w:val="28"/>
          <w:szCs w:val="28"/>
        </w:rPr>
        <w:t xml:space="preserve">2. </w:t>
      </w:r>
      <w:r w:rsidRPr="00D55DC6">
        <w:rPr>
          <w:rFonts w:eastAsia="標楷體"/>
          <w:sz w:val="28"/>
          <w:szCs w:val="28"/>
        </w:rPr>
        <w:t>建設施工依規定辦理發包施作，並積極確保施工品質，追蹤施工進度，輔以數位科技紀錄方式積極辦理，確保如期如質完工。</w:t>
      </w:r>
    </w:p>
    <w:p w:rsidR="00C40B73" w:rsidRPr="00D55DC6" w:rsidRDefault="00C40B73" w:rsidP="00C40B73">
      <w:pPr>
        <w:snapToGrid w:val="0"/>
        <w:spacing w:line="460" w:lineRule="exact"/>
        <w:ind w:leftChars="295" w:left="991" w:hangingChars="101" w:hanging="283"/>
        <w:jc w:val="both"/>
        <w:rPr>
          <w:rFonts w:eastAsia="標楷體"/>
          <w:sz w:val="28"/>
          <w:szCs w:val="28"/>
        </w:rPr>
      </w:pPr>
      <w:r w:rsidRPr="00D55DC6">
        <w:rPr>
          <w:rFonts w:eastAsia="標楷體"/>
          <w:sz w:val="28"/>
          <w:szCs w:val="28"/>
        </w:rPr>
        <w:t xml:space="preserve">3. </w:t>
      </w:r>
      <w:r w:rsidRPr="00D55DC6">
        <w:rPr>
          <w:rFonts w:eastAsia="標楷體"/>
          <w:sz w:val="28"/>
          <w:szCs w:val="28"/>
        </w:rPr>
        <w:t>各項建設積極溝通爭取地方民眾認同，以能藉由地方政府、公所至里辦公室之聯繫，宣導本計畫推動，並以各種聯繫會議加強溝通，爭取地方認同。</w:t>
      </w:r>
    </w:p>
    <w:p w:rsidR="00C40B73" w:rsidRPr="00D55DC6" w:rsidRDefault="00C40B73" w:rsidP="004865C1">
      <w:pPr>
        <w:pStyle w:val="af2"/>
        <w:numPr>
          <w:ilvl w:val="0"/>
          <w:numId w:val="221"/>
        </w:numPr>
        <w:snapToGrid w:val="0"/>
        <w:spacing w:line="460" w:lineRule="exact"/>
        <w:ind w:leftChars="0" w:left="993"/>
        <w:jc w:val="both"/>
        <w:rPr>
          <w:rFonts w:eastAsia="標楷體"/>
          <w:b/>
          <w:sz w:val="28"/>
          <w:szCs w:val="28"/>
        </w:rPr>
      </w:pPr>
      <w:r w:rsidRPr="00D55DC6">
        <w:rPr>
          <w:rFonts w:eastAsia="標楷體"/>
          <w:b/>
          <w:sz w:val="28"/>
          <w:szCs w:val="28"/>
        </w:rPr>
        <w:t>相關機關配合事項</w:t>
      </w:r>
    </w:p>
    <w:p w:rsidR="00C40B73" w:rsidRPr="00D55DC6" w:rsidRDefault="00C40B73" w:rsidP="00C40B73">
      <w:pPr>
        <w:pStyle w:val="af2"/>
        <w:spacing w:line="460" w:lineRule="exact"/>
        <w:ind w:leftChars="295" w:left="991" w:hangingChars="101" w:hanging="283"/>
        <w:rPr>
          <w:rFonts w:eastAsia="標楷體"/>
          <w:sz w:val="28"/>
          <w:szCs w:val="28"/>
        </w:rPr>
      </w:pPr>
      <w:r w:rsidRPr="00D55DC6">
        <w:rPr>
          <w:rFonts w:eastAsia="標楷體"/>
          <w:sz w:val="28"/>
          <w:szCs w:val="28"/>
        </w:rPr>
        <w:t xml:space="preserve">1. </w:t>
      </w:r>
      <w:r w:rsidRPr="00D55DC6">
        <w:rPr>
          <w:rFonts w:eastAsia="標楷體"/>
          <w:sz w:val="28"/>
          <w:szCs w:val="28"/>
        </w:rPr>
        <w:t>縣市政府：縣市施政計畫整合連結、建設計畫推動之分工協調、地方民眾事務協調、土地變更、建設執照核發、建設據點推廣行銷、風景區內疏運維安等。</w:t>
      </w:r>
    </w:p>
    <w:p w:rsidR="00C40B73" w:rsidRPr="00D55DC6" w:rsidRDefault="00C40B73" w:rsidP="00C40B73">
      <w:pPr>
        <w:pStyle w:val="af2"/>
        <w:spacing w:line="460" w:lineRule="exact"/>
        <w:ind w:leftChars="295" w:left="991" w:hangingChars="101" w:hanging="283"/>
        <w:rPr>
          <w:rFonts w:eastAsia="標楷體"/>
          <w:sz w:val="28"/>
          <w:szCs w:val="28"/>
        </w:rPr>
      </w:pPr>
      <w:r w:rsidRPr="00D55DC6">
        <w:rPr>
          <w:rFonts w:eastAsia="標楷體"/>
          <w:sz w:val="28"/>
          <w:szCs w:val="28"/>
        </w:rPr>
        <w:t xml:space="preserve">2. </w:t>
      </w:r>
      <w:r w:rsidRPr="00D55DC6">
        <w:rPr>
          <w:rFonts w:eastAsia="標楷體"/>
          <w:sz w:val="28"/>
          <w:szCs w:val="28"/>
        </w:rPr>
        <w:t>國防部軍備局：辦理閒置營區撥用作業。</w:t>
      </w:r>
    </w:p>
    <w:p w:rsidR="00C40B73" w:rsidRPr="00D55DC6" w:rsidRDefault="00C40B73" w:rsidP="00C40B73">
      <w:pPr>
        <w:pStyle w:val="af2"/>
        <w:spacing w:line="460" w:lineRule="exact"/>
        <w:ind w:leftChars="295" w:left="991" w:hangingChars="101" w:hanging="283"/>
        <w:rPr>
          <w:rFonts w:eastAsia="標楷體"/>
          <w:sz w:val="28"/>
          <w:szCs w:val="28"/>
        </w:rPr>
      </w:pPr>
      <w:r w:rsidRPr="00D55DC6">
        <w:rPr>
          <w:rFonts w:eastAsia="標楷體"/>
          <w:sz w:val="28"/>
          <w:szCs w:val="28"/>
        </w:rPr>
        <w:t xml:space="preserve">3. </w:t>
      </w:r>
      <w:r w:rsidRPr="00D55DC6">
        <w:rPr>
          <w:rFonts w:eastAsia="標楷體"/>
          <w:sz w:val="28"/>
          <w:szCs w:val="28"/>
        </w:rPr>
        <w:t>財政部國有財產署：國有土地撥用、交換等作業。</w:t>
      </w:r>
    </w:p>
    <w:p w:rsidR="00C40B73" w:rsidRPr="00D55DC6" w:rsidRDefault="00C40B73" w:rsidP="00C40B73">
      <w:pPr>
        <w:pStyle w:val="af2"/>
        <w:spacing w:line="460" w:lineRule="exact"/>
        <w:ind w:leftChars="295" w:left="991" w:hangingChars="101" w:hanging="283"/>
        <w:rPr>
          <w:rFonts w:eastAsia="標楷體"/>
          <w:sz w:val="28"/>
          <w:szCs w:val="28"/>
        </w:rPr>
      </w:pPr>
      <w:r w:rsidRPr="00D55DC6">
        <w:rPr>
          <w:rFonts w:eastAsia="標楷體"/>
          <w:sz w:val="28"/>
          <w:szCs w:val="28"/>
        </w:rPr>
        <w:t xml:space="preserve">4. </w:t>
      </w:r>
      <w:r w:rsidRPr="00D55DC6">
        <w:rPr>
          <w:rFonts w:eastAsia="標楷體"/>
          <w:sz w:val="28"/>
          <w:szCs w:val="28"/>
        </w:rPr>
        <w:t>財政部促參司</w:t>
      </w:r>
      <w:r w:rsidRPr="00D55DC6">
        <w:rPr>
          <w:rFonts w:eastAsia="標楷體"/>
          <w:sz w:val="28"/>
          <w:szCs w:val="28"/>
        </w:rPr>
        <w:t xml:space="preserve">: </w:t>
      </w:r>
      <w:r w:rsidRPr="00D55DC6">
        <w:rPr>
          <w:rFonts w:eastAsia="標楷體"/>
          <w:sz w:val="28"/>
          <w:szCs w:val="28"/>
        </w:rPr>
        <w:t>參與其招商平台並接受促參司輔導。</w:t>
      </w:r>
    </w:p>
    <w:p w:rsidR="00C40B73" w:rsidRPr="00D55DC6" w:rsidRDefault="00C40B73" w:rsidP="00C40B73">
      <w:pPr>
        <w:pStyle w:val="af2"/>
        <w:spacing w:line="460" w:lineRule="exact"/>
        <w:ind w:leftChars="295" w:left="991" w:hangingChars="101" w:hanging="283"/>
        <w:rPr>
          <w:rFonts w:eastAsia="標楷體"/>
          <w:sz w:val="28"/>
          <w:szCs w:val="28"/>
        </w:rPr>
      </w:pPr>
      <w:r w:rsidRPr="00D55DC6">
        <w:rPr>
          <w:rFonts w:eastAsia="標楷體"/>
          <w:sz w:val="28"/>
          <w:szCs w:val="28"/>
        </w:rPr>
        <w:t xml:space="preserve">5. </w:t>
      </w:r>
      <w:r w:rsidRPr="00D55DC6">
        <w:rPr>
          <w:rFonts w:eastAsia="標楷體"/>
          <w:sz w:val="28"/>
          <w:szCs w:val="28"/>
        </w:rPr>
        <w:t>國發會：離島重大建設投資案件陳院審定。</w:t>
      </w:r>
    </w:p>
    <w:p w:rsidR="00C40B73" w:rsidRPr="00D55DC6" w:rsidRDefault="00C40B73" w:rsidP="00C40B73">
      <w:pPr>
        <w:pStyle w:val="af2"/>
        <w:spacing w:line="460" w:lineRule="exact"/>
        <w:ind w:leftChars="295" w:left="991" w:hangingChars="101" w:hanging="283"/>
        <w:rPr>
          <w:rFonts w:eastAsia="標楷體"/>
          <w:sz w:val="28"/>
          <w:szCs w:val="28"/>
        </w:rPr>
      </w:pPr>
      <w:r w:rsidRPr="00D55DC6">
        <w:rPr>
          <w:rFonts w:eastAsia="標楷體"/>
          <w:sz w:val="28"/>
          <w:szCs w:val="28"/>
        </w:rPr>
        <w:t xml:space="preserve">6. </w:t>
      </w:r>
      <w:r w:rsidRPr="00D55DC6">
        <w:rPr>
          <w:rFonts w:eastAsia="標楷體"/>
          <w:sz w:val="28"/>
          <w:szCs w:val="28"/>
        </w:rPr>
        <w:t>內政部營建署：本風景區都市計畫專案小組審查會議等。</w:t>
      </w:r>
    </w:p>
    <w:p w:rsidR="00C050DB" w:rsidRPr="00D55DC6" w:rsidRDefault="00C050DB" w:rsidP="00486FAE">
      <w:pPr>
        <w:widowControl/>
        <w:rPr>
          <w:rFonts w:eastAsia="標楷體"/>
          <w:sz w:val="28"/>
          <w:szCs w:val="28"/>
        </w:rPr>
      </w:pPr>
    </w:p>
    <w:sectPr w:rsidR="00C050DB" w:rsidRPr="00D55DC6" w:rsidSect="00050F6E">
      <w:pgSz w:w="11906" w:h="16838"/>
      <w:pgMar w:top="1440" w:right="1274" w:bottom="1440"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302" w:rsidRDefault="00E66302" w:rsidP="00EA2688">
      <w:r>
        <w:separator/>
      </w:r>
    </w:p>
  </w:endnote>
  <w:endnote w:type="continuationSeparator" w:id="0">
    <w:p w:rsidR="00E66302" w:rsidRDefault="00E66302" w:rsidP="00EA2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華康隸書體W7">
    <w:altName w:val="Arial Unicode MS"/>
    <w:panose1 w:val="03000709000000000000"/>
    <w:charset w:val="88"/>
    <w:family w:val="script"/>
    <w:pitch w:val="fixed"/>
    <w:sig w:usb0="80000001" w:usb1="28091800" w:usb2="00000016" w:usb3="00000000" w:csb0="001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中圓體">
    <w:altName w:val="Arial Unicode MS"/>
    <w:charset w:val="88"/>
    <w:family w:val="modern"/>
    <w:pitch w:val="fixed"/>
    <w:sig w:usb0="80000001" w:usb1="28091800" w:usb2="00000016" w:usb3="00000000" w:csb0="00100000" w:csb1="00000000"/>
  </w:font>
  <w:font w:name="華康細圓體">
    <w:altName w:val="Arial Unicode MS"/>
    <w:charset w:val="88"/>
    <w:family w:val="modern"/>
    <w:pitch w:val="fixed"/>
    <w:sig w:usb0="00000000"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華康粗圓體">
    <w:charset w:val="88"/>
    <w:family w:val="modern"/>
    <w:pitch w:val="fixed"/>
    <w:sig w:usb0="80000001" w:usb1="28091800" w:usb2="00000016" w:usb3="00000000" w:csb0="00100000" w:csb1="00000000"/>
  </w:font>
  <w:font w:name="Gautami">
    <w:panose1 w:val="020B0502040204020203"/>
    <w:charset w:val="00"/>
    <w:family w:val="swiss"/>
    <w:pitch w:val="variable"/>
    <w:sig w:usb0="002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D16" w:rsidRDefault="00FF5D16">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696613"/>
      <w:docPartObj>
        <w:docPartGallery w:val="Page Numbers (Bottom of Page)"/>
        <w:docPartUnique/>
      </w:docPartObj>
    </w:sdtPr>
    <w:sdtEndPr/>
    <w:sdtContent>
      <w:p w:rsidR="00FF5D16" w:rsidRDefault="00FF5D16">
        <w:pPr>
          <w:pStyle w:val="a9"/>
          <w:jc w:val="center"/>
        </w:pPr>
        <w:r>
          <w:fldChar w:fldCharType="begin"/>
        </w:r>
        <w:r>
          <w:instrText>PAGE   \* MERGEFORMAT</w:instrText>
        </w:r>
        <w:r>
          <w:fldChar w:fldCharType="separate"/>
        </w:r>
        <w:r w:rsidR="00191604" w:rsidRPr="00191604">
          <w:rPr>
            <w:noProof/>
            <w:lang w:val="zh-TW"/>
          </w:rPr>
          <w:t>1</w:t>
        </w:r>
        <w:r>
          <w:fldChar w:fldCharType="end"/>
        </w:r>
      </w:p>
    </w:sdtContent>
  </w:sdt>
  <w:p w:rsidR="00C57342" w:rsidRDefault="00C57342">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D16" w:rsidRDefault="00FF5D16">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342" w:rsidRDefault="00C57342" w:rsidP="00EA2688">
    <w:pPr>
      <w:pStyle w:val="a9"/>
      <w:jc w:val="center"/>
    </w:pPr>
    <w:r>
      <w:fldChar w:fldCharType="begin"/>
    </w:r>
    <w:r>
      <w:instrText>PAGE   \* MERGEFORMAT</w:instrText>
    </w:r>
    <w:r>
      <w:fldChar w:fldCharType="separate"/>
    </w:r>
    <w:r w:rsidR="00191604" w:rsidRPr="00191604">
      <w:rPr>
        <w:noProof/>
        <w:lang w:val="zh-TW"/>
      </w:rPr>
      <w:t>273</w:t>
    </w:r>
    <w:r>
      <w:rPr>
        <w:noProof/>
        <w:lang w:val="zh-TW"/>
      </w:rPr>
      <w:fldChar w:fldCharType="end"/>
    </w:r>
  </w:p>
  <w:p w:rsidR="00C57342" w:rsidRDefault="00C5734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302" w:rsidRDefault="00E66302" w:rsidP="00EA2688">
      <w:r>
        <w:separator/>
      </w:r>
    </w:p>
  </w:footnote>
  <w:footnote w:type="continuationSeparator" w:id="0">
    <w:p w:rsidR="00E66302" w:rsidRDefault="00E66302" w:rsidP="00EA2688">
      <w:r>
        <w:continuationSeparator/>
      </w:r>
    </w:p>
  </w:footnote>
  <w:footnote w:id="1">
    <w:p w:rsidR="00C57342" w:rsidRDefault="00C57342" w:rsidP="00742A58">
      <w:pPr>
        <w:pStyle w:val="af8"/>
        <w:ind w:left="200" w:hangingChars="100" w:hanging="200"/>
      </w:pPr>
      <w:r>
        <w:rPr>
          <w:rStyle w:val="afa"/>
        </w:rPr>
        <w:footnoteRef/>
      </w:r>
      <w:r>
        <w:t xml:space="preserve"> </w:t>
      </w:r>
      <w:r>
        <w:rPr>
          <w:rFonts w:hint="eastAsia"/>
        </w:rPr>
        <w:t>「參山國家風景區觀光整體發展計畫」委託規劃報告，參山國家風家景區管理處</w:t>
      </w:r>
      <w:r>
        <w:rPr>
          <w:rFonts w:hint="eastAsia"/>
        </w:rPr>
        <w:t>/</w:t>
      </w:r>
      <w:r>
        <w:rPr>
          <w:rFonts w:hint="eastAsia"/>
        </w:rPr>
        <w:t>中華民國戶外遊憩學會，</w:t>
      </w:r>
      <w:r>
        <w:rPr>
          <w:rFonts w:hint="eastAsia"/>
        </w:rPr>
        <w:t>103</w:t>
      </w:r>
      <w:r>
        <w:rPr>
          <w:rFonts w:hint="eastAsia"/>
        </w:rPr>
        <w:t>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D16" w:rsidRDefault="00FF5D1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D16" w:rsidRDefault="00FF5D16">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D16" w:rsidRDefault="00FF5D1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66A1"/>
    <w:multiLevelType w:val="hybridMultilevel"/>
    <w:tmpl w:val="B740C26A"/>
    <w:lvl w:ilvl="0" w:tplc="A048846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1096013"/>
    <w:multiLevelType w:val="hybridMultilevel"/>
    <w:tmpl w:val="FF365F26"/>
    <w:lvl w:ilvl="0" w:tplc="0409000F">
      <w:start w:val="1"/>
      <w:numFmt w:val="decimal"/>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4683D45"/>
    <w:multiLevelType w:val="hybridMultilevel"/>
    <w:tmpl w:val="B37C4846"/>
    <w:lvl w:ilvl="0" w:tplc="771CF992">
      <w:start w:val="1"/>
      <w:numFmt w:val="decimal"/>
      <w:lvlText w:val="%1."/>
      <w:lvlJc w:val="left"/>
      <w:pPr>
        <w:ind w:left="864" w:hanging="864"/>
      </w:pPr>
      <w:rPr>
        <w:rFonts w:cs="Times New Roman" w:hint="eastAsia"/>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3">
    <w:nsid w:val="047F3C19"/>
    <w:multiLevelType w:val="hybridMultilevel"/>
    <w:tmpl w:val="49A46F1C"/>
    <w:lvl w:ilvl="0" w:tplc="DC206B4A">
      <w:start w:val="1"/>
      <w:numFmt w:val="decimal"/>
      <w:lvlText w:val="(%1)"/>
      <w:lvlJc w:val="left"/>
      <w:pPr>
        <w:ind w:left="1754" w:hanging="480"/>
      </w:pPr>
      <w:rPr>
        <w:rFonts w:hint="eastAsia"/>
      </w:rPr>
    </w:lvl>
    <w:lvl w:ilvl="1" w:tplc="04090003" w:tentative="1">
      <w:start w:val="1"/>
      <w:numFmt w:val="bullet"/>
      <w:lvlText w:val=""/>
      <w:lvlJc w:val="left"/>
      <w:pPr>
        <w:ind w:left="2234" w:hanging="480"/>
      </w:pPr>
      <w:rPr>
        <w:rFonts w:ascii="Wingdings" w:hAnsi="Wingdings" w:hint="default"/>
      </w:rPr>
    </w:lvl>
    <w:lvl w:ilvl="2" w:tplc="04090005" w:tentative="1">
      <w:start w:val="1"/>
      <w:numFmt w:val="bullet"/>
      <w:lvlText w:val=""/>
      <w:lvlJc w:val="left"/>
      <w:pPr>
        <w:ind w:left="2714" w:hanging="480"/>
      </w:pPr>
      <w:rPr>
        <w:rFonts w:ascii="Wingdings" w:hAnsi="Wingdings" w:hint="default"/>
      </w:rPr>
    </w:lvl>
    <w:lvl w:ilvl="3" w:tplc="04090001" w:tentative="1">
      <w:start w:val="1"/>
      <w:numFmt w:val="bullet"/>
      <w:lvlText w:val=""/>
      <w:lvlJc w:val="left"/>
      <w:pPr>
        <w:ind w:left="3194" w:hanging="480"/>
      </w:pPr>
      <w:rPr>
        <w:rFonts w:ascii="Wingdings" w:hAnsi="Wingdings" w:hint="default"/>
      </w:rPr>
    </w:lvl>
    <w:lvl w:ilvl="4" w:tplc="04090003" w:tentative="1">
      <w:start w:val="1"/>
      <w:numFmt w:val="bullet"/>
      <w:lvlText w:val=""/>
      <w:lvlJc w:val="left"/>
      <w:pPr>
        <w:ind w:left="3674" w:hanging="480"/>
      </w:pPr>
      <w:rPr>
        <w:rFonts w:ascii="Wingdings" w:hAnsi="Wingdings" w:hint="default"/>
      </w:rPr>
    </w:lvl>
    <w:lvl w:ilvl="5" w:tplc="04090005" w:tentative="1">
      <w:start w:val="1"/>
      <w:numFmt w:val="bullet"/>
      <w:lvlText w:val=""/>
      <w:lvlJc w:val="left"/>
      <w:pPr>
        <w:ind w:left="4154" w:hanging="480"/>
      </w:pPr>
      <w:rPr>
        <w:rFonts w:ascii="Wingdings" w:hAnsi="Wingdings" w:hint="default"/>
      </w:rPr>
    </w:lvl>
    <w:lvl w:ilvl="6" w:tplc="04090001" w:tentative="1">
      <w:start w:val="1"/>
      <w:numFmt w:val="bullet"/>
      <w:lvlText w:val=""/>
      <w:lvlJc w:val="left"/>
      <w:pPr>
        <w:ind w:left="4634" w:hanging="480"/>
      </w:pPr>
      <w:rPr>
        <w:rFonts w:ascii="Wingdings" w:hAnsi="Wingdings" w:hint="default"/>
      </w:rPr>
    </w:lvl>
    <w:lvl w:ilvl="7" w:tplc="04090003" w:tentative="1">
      <w:start w:val="1"/>
      <w:numFmt w:val="bullet"/>
      <w:lvlText w:val=""/>
      <w:lvlJc w:val="left"/>
      <w:pPr>
        <w:ind w:left="5114" w:hanging="480"/>
      </w:pPr>
      <w:rPr>
        <w:rFonts w:ascii="Wingdings" w:hAnsi="Wingdings" w:hint="default"/>
      </w:rPr>
    </w:lvl>
    <w:lvl w:ilvl="8" w:tplc="04090005" w:tentative="1">
      <w:start w:val="1"/>
      <w:numFmt w:val="bullet"/>
      <w:lvlText w:val=""/>
      <w:lvlJc w:val="left"/>
      <w:pPr>
        <w:ind w:left="5594" w:hanging="480"/>
      </w:pPr>
      <w:rPr>
        <w:rFonts w:ascii="Wingdings" w:hAnsi="Wingdings" w:hint="default"/>
      </w:rPr>
    </w:lvl>
  </w:abstractNum>
  <w:abstractNum w:abstractNumId="4">
    <w:nsid w:val="04A6714C"/>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4F84EE4"/>
    <w:multiLevelType w:val="hybridMultilevel"/>
    <w:tmpl w:val="A1B2B926"/>
    <w:lvl w:ilvl="0" w:tplc="A6A80B54">
      <w:start w:val="1"/>
      <w:numFmt w:val="taiwaneseCountingThousand"/>
      <w:lvlText w:val="（%1）"/>
      <w:lvlJc w:val="left"/>
      <w:pPr>
        <w:ind w:left="864" w:hanging="864"/>
      </w:pPr>
      <w:rPr>
        <w:rFonts w:hint="default"/>
      </w:rPr>
    </w:lvl>
    <w:lvl w:ilvl="1" w:tplc="A0488466">
      <w:start w:val="1"/>
      <w:numFmt w:val="decimal"/>
      <w:lvlText w:val="%2."/>
      <w:lvlJc w:val="left"/>
      <w:pPr>
        <w:ind w:left="840" w:hanging="360"/>
      </w:pPr>
      <w:rPr>
        <w:rFonts w:hint="default"/>
      </w:rPr>
    </w:lvl>
    <w:lvl w:ilvl="2" w:tplc="657CAB88">
      <w:start w:val="1"/>
      <w:numFmt w:val="decimal"/>
      <w:lvlText w:val="（%3）"/>
      <w:lvlJc w:val="left"/>
      <w:pPr>
        <w:ind w:left="1695" w:hanging="73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5FB0CFE"/>
    <w:multiLevelType w:val="hybridMultilevel"/>
    <w:tmpl w:val="42F06D86"/>
    <w:lvl w:ilvl="0" w:tplc="24E4AAA6">
      <w:start w:val="1"/>
      <w:numFmt w:val="taiwaneseCountingThousand"/>
      <w:lvlText w:val="（%1）"/>
      <w:lvlJc w:val="left"/>
      <w:pPr>
        <w:ind w:left="864" w:hanging="864"/>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065A6987"/>
    <w:multiLevelType w:val="hybridMultilevel"/>
    <w:tmpl w:val="B740C26A"/>
    <w:lvl w:ilvl="0" w:tplc="A048846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94D0D88"/>
    <w:multiLevelType w:val="hybridMultilevel"/>
    <w:tmpl w:val="E2AC6372"/>
    <w:lvl w:ilvl="0" w:tplc="7172ACD4">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9">
    <w:nsid w:val="09510EBD"/>
    <w:multiLevelType w:val="hybridMultilevel"/>
    <w:tmpl w:val="9EA6F4D0"/>
    <w:lvl w:ilvl="0" w:tplc="5A24A722">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09D303D1"/>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09DC0033"/>
    <w:multiLevelType w:val="hybridMultilevel"/>
    <w:tmpl w:val="A94EC750"/>
    <w:lvl w:ilvl="0" w:tplc="A6A80B54">
      <w:start w:val="1"/>
      <w:numFmt w:val="taiwaneseCountingThousand"/>
      <w:lvlText w:val="（%1）"/>
      <w:lvlJc w:val="left"/>
      <w:pPr>
        <w:ind w:left="864" w:hanging="864"/>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0A8A0739"/>
    <w:multiLevelType w:val="hybridMultilevel"/>
    <w:tmpl w:val="A94EC750"/>
    <w:lvl w:ilvl="0" w:tplc="A6A80B54">
      <w:start w:val="1"/>
      <w:numFmt w:val="taiwaneseCountingThousand"/>
      <w:lvlText w:val="（%1）"/>
      <w:lvlJc w:val="left"/>
      <w:pPr>
        <w:ind w:left="864" w:hanging="864"/>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0AB97D6C"/>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0AFD36F6"/>
    <w:multiLevelType w:val="hybridMultilevel"/>
    <w:tmpl w:val="42F06D86"/>
    <w:lvl w:ilvl="0" w:tplc="24E4AAA6">
      <w:start w:val="1"/>
      <w:numFmt w:val="taiwaneseCountingThousand"/>
      <w:lvlText w:val="（%1）"/>
      <w:lvlJc w:val="left"/>
      <w:pPr>
        <w:ind w:left="864" w:hanging="864"/>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nsid w:val="0B37638C"/>
    <w:multiLevelType w:val="hybridMultilevel"/>
    <w:tmpl w:val="FF365F26"/>
    <w:lvl w:ilvl="0" w:tplc="0409000F">
      <w:start w:val="1"/>
      <w:numFmt w:val="decimal"/>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0C181ECF"/>
    <w:multiLevelType w:val="hybridMultilevel"/>
    <w:tmpl w:val="A920AF2E"/>
    <w:lvl w:ilvl="0" w:tplc="1D20D5C4">
      <w:start w:val="1"/>
      <w:numFmt w:val="decimal"/>
      <w:lvlText w:val="%1."/>
      <w:lvlJc w:val="left"/>
      <w:pPr>
        <w:ind w:left="864" w:hanging="864"/>
      </w:pPr>
      <w:rPr>
        <w:rFonts w:cs="Times New Roman" w:hint="eastAsia"/>
        <w:color w:val="auto"/>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7">
    <w:nsid w:val="0C251ABC"/>
    <w:multiLevelType w:val="hybridMultilevel"/>
    <w:tmpl w:val="A94EC750"/>
    <w:lvl w:ilvl="0" w:tplc="A6A80B54">
      <w:start w:val="1"/>
      <w:numFmt w:val="taiwaneseCountingThousand"/>
      <w:lvlText w:val="（%1）"/>
      <w:lvlJc w:val="left"/>
      <w:pPr>
        <w:ind w:left="864" w:hanging="864"/>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0C5077D1"/>
    <w:multiLevelType w:val="hybridMultilevel"/>
    <w:tmpl w:val="BE4CE216"/>
    <w:lvl w:ilvl="0" w:tplc="E580E4A2">
      <w:start w:val="1"/>
      <w:numFmt w:val="taiwaneseCountingThousand"/>
      <w:pStyle w:val="a"/>
      <w:lvlText w:val="%1、"/>
      <w:lvlJc w:val="left"/>
      <w:pPr>
        <w:ind w:left="1004" w:hanging="720"/>
      </w:pPr>
      <w:rPr>
        <w:rFonts w:hint="default"/>
        <w:color w:val="auto"/>
        <w:lang w:val="en-US"/>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9">
    <w:nsid w:val="0CBD5580"/>
    <w:multiLevelType w:val="hybridMultilevel"/>
    <w:tmpl w:val="4028A8AA"/>
    <w:lvl w:ilvl="0" w:tplc="FA9E1858">
      <w:start w:val="1"/>
      <w:numFmt w:val="decimal"/>
      <w:lvlText w:val="%1."/>
      <w:lvlJc w:val="left"/>
      <w:pPr>
        <w:ind w:left="785" w:hanging="360"/>
      </w:pPr>
      <w:rPr>
        <w:rFonts w:ascii="Times New Roman" w:hAnsi="Times New Roman"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0">
    <w:nsid w:val="0D0360ED"/>
    <w:multiLevelType w:val="hybridMultilevel"/>
    <w:tmpl w:val="775A2500"/>
    <w:lvl w:ilvl="0" w:tplc="04090003">
      <w:start w:val="1"/>
      <w:numFmt w:val="bullet"/>
      <w:lvlText w:val=""/>
      <w:lvlJc w:val="left"/>
      <w:pPr>
        <w:tabs>
          <w:tab w:val="num" w:pos="1133"/>
        </w:tabs>
        <w:ind w:left="1133" w:hanging="480"/>
      </w:pPr>
      <w:rPr>
        <w:rFonts w:ascii="Wingdings" w:hAnsi="Wingdings" w:hint="default"/>
      </w:rPr>
    </w:lvl>
    <w:lvl w:ilvl="1" w:tplc="04090003">
      <w:start w:val="1"/>
      <w:numFmt w:val="bullet"/>
      <w:lvlText w:val=""/>
      <w:lvlJc w:val="left"/>
      <w:pPr>
        <w:tabs>
          <w:tab w:val="num" w:pos="1613"/>
        </w:tabs>
        <w:ind w:left="1613" w:hanging="480"/>
      </w:pPr>
      <w:rPr>
        <w:rFonts w:ascii="Wingdings" w:hAnsi="Wingdings" w:hint="default"/>
      </w:rPr>
    </w:lvl>
    <w:lvl w:ilvl="2" w:tplc="04090005">
      <w:start w:val="1"/>
      <w:numFmt w:val="bullet"/>
      <w:lvlText w:val=""/>
      <w:lvlJc w:val="left"/>
      <w:pPr>
        <w:tabs>
          <w:tab w:val="num" w:pos="2093"/>
        </w:tabs>
        <w:ind w:left="2093" w:hanging="480"/>
      </w:pPr>
      <w:rPr>
        <w:rFonts w:ascii="Wingdings" w:hAnsi="Wingdings" w:hint="default"/>
      </w:rPr>
    </w:lvl>
    <w:lvl w:ilvl="3" w:tplc="04090001">
      <w:start w:val="1"/>
      <w:numFmt w:val="bullet"/>
      <w:lvlText w:val=""/>
      <w:lvlJc w:val="left"/>
      <w:pPr>
        <w:tabs>
          <w:tab w:val="num" w:pos="2573"/>
        </w:tabs>
        <w:ind w:left="2573" w:hanging="480"/>
      </w:pPr>
      <w:rPr>
        <w:rFonts w:ascii="Wingdings" w:hAnsi="Wingdings" w:hint="default"/>
      </w:rPr>
    </w:lvl>
    <w:lvl w:ilvl="4" w:tplc="04090003">
      <w:start w:val="1"/>
      <w:numFmt w:val="bullet"/>
      <w:lvlText w:val=""/>
      <w:lvlJc w:val="left"/>
      <w:pPr>
        <w:tabs>
          <w:tab w:val="num" w:pos="3053"/>
        </w:tabs>
        <w:ind w:left="3053" w:hanging="480"/>
      </w:pPr>
      <w:rPr>
        <w:rFonts w:ascii="Wingdings" w:hAnsi="Wingdings" w:hint="default"/>
      </w:rPr>
    </w:lvl>
    <w:lvl w:ilvl="5" w:tplc="04090005">
      <w:start w:val="1"/>
      <w:numFmt w:val="bullet"/>
      <w:lvlText w:val=""/>
      <w:lvlJc w:val="left"/>
      <w:pPr>
        <w:tabs>
          <w:tab w:val="num" w:pos="3533"/>
        </w:tabs>
        <w:ind w:left="3533" w:hanging="480"/>
      </w:pPr>
      <w:rPr>
        <w:rFonts w:ascii="Wingdings" w:hAnsi="Wingdings" w:hint="default"/>
      </w:rPr>
    </w:lvl>
    <w:lvl w:ilvl="6" w:tplc="04090001">
      <w:start w:val="1"/>
      <w:numFmt w:val="bullet"/>
      <w:lvlText w:val=""/>
      <w:lvlJc w:val="left"/>
      <w:pPr>
        <w:tabs>
          <w:tab w:val="num" w:pos="4013"/>
        </w:tabs>
        <w:ind w:left="4013" w:hanging="480"/>
      </w:pPr>
      <w:rPr>
        <w:rFonts w:ascii="Wingdings" w:hAnsi="Wingdings" w:hint="default"/>
      </w:rPr>
    </w:lvl>
    <w:lvl w:ilvl="7" w:tplc="04090003">
      <w:start w:val="1"/>
      <w:numFmt w:val="bullet"/>
      <w:lvlText w:val=""/>
      <w:lvlJc w:val="left"/>
      <w:pPr>
        <w:tabs>
          <w:tab w:val="num" w:pos="4493"/>
        </w:tabs>
        <w:ind w:left="4493" w:hanging="480"/>
      </w:pPr>
      <w:rPr>
        <w:rFonts w:ascii="Wingdings" w:hAnsi="Wingdings" w:hint="default"/>
      </w:rPr>
    </w:lvl>
    <w:lvl w:ilvl="8" w:tplc="04090005">
      <w:start w:val="1"/>
      <w:numFmt w:val="bullet"/>
      <w:lvlText w:val=""/>
      <w:lvlJc w:val="left"/>
      <w:pPr>
        <w:tabs>
          <w:tab w:val="num" w:pos="4973"/>
        </w:tabs>
        <w:ind w:left="4973" w:hanging="480"/>
      </w:pPr>
      <w:rPr>
        <w:rFonts w:ascii="Wingdings" w:hAnsi="Wingdings" w:hint="default"/>
      </w:rPr>
    </w:lvl>
  </w:abstractNum>
  <w:abstractNum w:abstractNumId="21">
    <w:nsid w:val="0D995410"/>
    <w:multiLevelType w:val="hybridMultilevel"/>
    <w:tmpl w:val="8C5AEE60"/>
    <w:lvl w:ilvl="0" w:tplc="7E783CF8">
      <w:start w:val="1"/>
      <w:numFmt w:val="decimal"/>
      <w:lvlText w:val="%1."/>
      <w:lvlJc w:val="left"/>
      <w:pPr>
        <w:ind w:left="785" w:hanging="360"/>
      </w:pPr>
      <w:rPr>
        <w:rFonts w:hint="default"/>
        <w:color w:val="auto"/>
        <w:sz w:val="28"/>
        <w:szCs w:val="28"/>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2">
    <w:nsid w:val="0E632466"/>
    <w:multiLevelType w:val="hybridMultilevel"/>
    <w:tmpl w:val="38AC7E78"/>
    <w:lvl w:ilvl="0" w:tplc="0409000F">
      <w:start w:val="1"/>
      <w:numFmt w:val="decimal"/>
      <w:lvlText w:val="%1."/>
      <w:lvlJc w:val="left"/>
      <w:pPr>
        <w:ind w:left="1344" w:hanging="480"/>
      </w:pPr>
    </w:lvl>
    <w:lvl w:ilvl="1" w:tplc="04090019" w:tentative="1">
      <w:start w:val="1"/>
      <w:numFmt w:val="ideographTraditional"/>
      <w:lvlText w:val="%2、"/>
      <w:lvlJc w:val="left"/>
      <w:pPr>
        <w:ind w:left="1824" w:hanging="480"/>
      </w:pPr>
    </w:lvl>
    <w:lvl w:ilvl="2" w:tplc="0409001B" w:tentative="1">
      <w:start w:val="1"/>
      <w:numFmt w:val="lowerRoman"/>
      <w:lvlText w:val="%3."/>
      <w:lvlJc w:val="right"/>
      <w:pPr>
        <w:ind w:left="2304" w:hanging="480"/>
      </w:pPr>
    </w:lvl>
    <w:lvl w:ilvl="3" w:tplc="0409000F" w:tentative="1">
      <w:start w:val="1"/>
      <w:numFmt w:val="decimal"/>
      <w:lvlText w:val="%4."/>
      <w:lvlJc w:val="left"/>
      <w:pPr>
        <w:ind w:left="2784" w:hanging="480"/>
      </w:pPr>
    </w:lvl>
    <w:lvl w:ilvl="4" w:tplc="04090019" w:tentative="1">
      <w:start w:val="1"/>
      <w:numFmt w:val="ideographTraditional"/>
      <w:lvlText w:val="%5、"/>
      <w:lvlJc w:val="left"/>
      <w:pPr>
        <w:ind w:left="3264" w:hanging="480"/>
      </w:pPr>
    </w:lvl>
    <w:lvl w:ilvl="5" w:tplc="0409001B" w:tentative="1">
      <w:start w:val="1"/>
      <w:numFmt w:val="lowerRoman"/>
      <w:lvlText w:val="%6."/>
      <w:lvlJc w:val="right"/>
      <w:pPr>
        <w:ind w:left="3744" w:hanging="480"/>
      </w:pPr>
    </w:lvl>
    <w:lvl w:ilvl="6" w:tplc="0409000F" w:tentative="1">
      <w:start w:val="1"/>
      <w:numFmt w:val="decimal"/>
      <w:lvlText w:val="%7."/>
      <w:lvlJc w:val="left"/>
      <w:pPr>
        <w:ind w:left="4224" w:hanging="480"/>
      </w:pPr>
    </w:lvl>
    <w:lvl w:ilvl="7" w:tplc="04090019" w:tentative="1">
      <w:start w:val="1"/>
      <w:numFmt w:val="ideographTraditional"/>
      <w:lvlText w:val="%8、"/>
      <w:lvlJc w:val="left"/>
      <w:pPr>
        <w:ind w:left="4704" w:hanging="480"/>
      </w:pPr>
    </w:lvl>
    <w:lvl w:ilvl="8" w:tplc="0409001B" w:tentative="1">
      <w:start w:val="1"/>
      <w:numFmt w:val="lowerRoman"/>
      <w:lvlText w:val="%9."/>
      <w:lvlJc w:val="right"/>
      <w:pPr>
        <w:ind w:left="5184" w:hanging="480"/>
      </w:pPr>
    </w:lvl>
  </w:abstractNum>
  <w:abstractNum w:abstractNumId="23">
    <w:nsid w:val="0F347BD4"/>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0F4870EA"/>
    <w:multiLevelType w:val="hybridMultilevel"/>
    <w:tmpl w:val="68003912"/>
    <w:lvl w:ilvl="0" w:tplc="1E5AA856">
      <w:start w:val="1"/>
      <w:numFmt w:val="decimal"/>
      <w:lvlText w:val="2-%1."/>
      <w:lvlJc w:val="left"/>
      <w:pPr>
        <w:tabs>
          <w:tab w:val="num" w:pos="840"/>
        </w:tabs>
        <w:ind w:left="840" w:hanging="480"/>
      </w:pPr>
      <w:rPr>
        <w:rFonts w:hint="eastAsia"/>
        <w:color w:val="auto"/>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25">
    <w:nsid w:val="0FA26264"/>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0FCD6100"/>
    <w:multiLevelType w:val="hybridMultilevel"/>
    <w:tmpl w:val="15AAA3CC"/>
    <w:lvl w:ilvl="0" w:tplc="A6A80B54">
      <w:start w:val="1"/>
      <w:numFmt w:val="taiwaneseCountingThousand"/>
      <w:lvlText w:val="（%1）"/>
      <w:lvlJc w:val="left"/>
      <w:pPr>
        <w:ind w:left="864" w:hanging="864"/>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
    <w:nsid w:val="10C21A8B"/>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10F955A4"/>
    <w:multiLevelType w:val="hybridMultilevel"/>
    <w:tmpl w:val="8C5AEE60"/>
    <w:lvl w:ilvl="0" w:tplc="7E783CF8">
      <w:start w:val="1"/>
      <w:numFmt w:val="decimal"/>
      <w:lvlText w:val="%1."/>
      <w:lvlJc w:val="left"/>
      <w:pPr>
        <w:ind w:left="785" w:hanging="360"/>
      </w:pPr>
      <w:rPr>
        <w:rFonts w:hint="default"/>
        <w:color w:val="auto"/>
        <w:sz w:val="28"/>
        <w:szCs w:val="28"/>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9">
    <w:nsid w:val="11163D0D"/>
    <w:multiLevelType w:val="hybridMultilevel"/>
    <w:tmpl w:val="15AAA3CC"/>
    <w:lvl w:ilvl="0" w:tplc="A6A80B54">
      <w:start w:val="1"/>
      <w:numFmt w:val="taiwaneseCountingThousand"/>
      <w:pStyle w:val="3"/>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113A2223"/>
    <w:multiLevelType w:val="hybridMultilevel"/>
    <w:tmpl w:val="A056AD1C"/>
    <w:lvl w:ilvl="0" w:tplc="1722C3AC">
      <w:start w:val="1"/>
      <w:numFmt w:val="decimal"/>
      <w:lvlText w:val="%1."/>
      <w:lvlJc w:val="left"/>
      <w:pPr>
        <w:ind w:left="1865" w:hanging="480"/>
      </w:pPr>
      <w:rPr>
        <w:rFonts w:cs="Times New Roman" w:hint="default"/>
        <w:color w:val="auto"/>
      </w:rPr>
    </w:lvl>
    <w:lvl w:ilvl="1" w:tplc="04090019">
      <w:start w:val="1"/>
      <w:numFmt w:val="ideographTraditional"/>
      <w:lvlText w:val="%2、"/>
      <w:lvlJc w:val="left"/>
      <w:pPr>
        <w:ind w:left="1385" w:hanging="480"/>
      </w:pPr>
      <w:rPr>
        <w:rFonts w:cs="Times New Roman"/>
      </w:rPr>
    </w:lvl>
    <w:lvl w:ilvl="2" w:tplc="0409001B">
      <w:start w:val="1"/>
      <w:numFmt w:val="lowerRoman"/>
      <w:lvlText w:val="%3."/>
      <w:lvlJc w:val="right"/>
      <w:pPr>
        <w:ind w:left="1865" w:hanging="480"/>
      </w:pPr>
      <w:rPr>
        <w:rFonts w:cs="Times New Roman"/>
      </w:rPr>
    </w:lvl>
    <w:lvl w:ilvl="3" w:tplc="0409000F">
      <w:start w:val="1"/>
      <w:numFmt w:val="decimal"/>
      <w:lvlText w:val="%4."/>
      <w:lvlJc w:val="left"/>
      <w:pPr>
        <w:ind w:left="2345" w:hanging="480"/>
      </w:pPr>
      <w:rPr>
        <w:rFonts w:cs="Times New Roman"/>
      </w:rPr>
    </w:lvl>
    <w:lvl w:ilvl="4" w:tplc="04090019">
      <w:start w:val="1"/>
      <w:numFmt w:val="ideographTraditional"/>
      <w:lvlText w:val="%5、"/>
      <w:lvlJc w:val="left"/>
      <w:pPr>
        <w:ind w:left="2825" w:hanging="480"/>
      </w:pPr>
      <w:rPr>
        <w:rFonts w:cs="Times New Roman"/>
      </w:rPr>
    </w:lvl>
    <w:lvl w:ilvl="5" w:tplc="0409001B">
      <w:start w:val="1"/>
      <w:numFmt w:val="lowerRoman"/>
      <w:lvlText w:val="%6."/>
      <w:lvlJc w:val="right"/>
      <w:pPr>
        <w:ind w:left="3305" w:hanging="480"/>
      </w:pPr>
      <w:rPr>
        <w:rFonts w:cs="Times New Roman"/>
      </w:rPr>
    </w:lvl>
    <w:lvl w:ilvl="6" w:tplc="0409000F">
      <w:start w:val="1"/>
      <w:numFmt w:val="decimal"/>
      <w:lvlText w:val="%7."/>
      <w:lvlJc w:val="left"/>
      <w:pPr>
        <w:ind w:left="3785" w:hanging="480"/>
      </w:pPr>
      <w:rPr>
        <w:rFonts w:cs="Times New Roman"/>
      </w:rPr>
    </w:lvl>
    <w:lvl w:ilvl="7" w:tplc="04090019">
      <w:start w:val="1"/>
      <w:numFmt w:val="ideographTraditional"/>
      <w:lvlText w:val="%8、"/>
      <w:lvlJc w:val="left"/>
      <w:pPr>
        <w:ind w:left="4265" w:hanging="480"/>
      </w:pPr>
      <w:rPr>
        <w:rFonts w:cs="Times New Roman"/>
      </w:rPr>
    </w:lvl>
    <w:lvl w:ilvl="8" w:tplc="0409001B">
      <w:start w:val="1"/>
      <w:numFmt w:val="lowerRoman"/>
      <w:lvlText w:val="%9."/>
      <w:lvlJc w:val="right"/>
      <w:pPr>
        <w:ind w:left="4745" w:hanging="480"/>
      </w:pPr>
      <w:rPr>
        <w:rFonts w:cs="Times New Roman"/>
      </w:rPr>
    </w:lvl>
  </w:abstractNum>
  <w:abstractNum w:abstractNumId="31">
    <w:nsid w:val="119F3108"/>
    <w:multiLevelType w:val="hybridMultilevel"/>
    <w:tmpl w:val="506A6A84"/>
    <w:lvl w:ilvl="0" w:tplc="8500B3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12C015A2"/>
    <w:multiLevelType w:val="hybridMultilevel"/>
    <w:tmpl w:val="49A46F1C"/>
    <w:lvl w:ilvl="0" w:tplc="DC206B4A">
      <w:start w:val="1"/>
      <w:numFmt w:val="decimal"/>
      <w:lvlText w:val="(%1)"/>
      <w:lvlJc w:val="left"/>
      <w:pPr>
        <w:ind w:left="1754" w:hanging="480"/>
      </w:pPr>
      <w:rPr>
        <w:rFonts w:hint="eastAsia"/>
      </w:rPr>
    </w:lvl>
    <w:lvl w:ilvl="1" w:tplc="04090003" w:tentative="1">
      <w:start w:val="1"/>
      <w:numFmt w:val="bullet"/>
      <w:lvlText w:val=""/>
      <w:lvlJc w:val="left"/>
      <w:pPr>
        <w:ind w:left="2234" w:hanging="480"/>
      </w:pPr>
      <w:rPr>
        <w:rFonts w:ascii="Wingdings" w:hAnsi="Wingdings" w:hint="default"/>
      </w:rPr>
    </w:lvl>
    <w:lvl w:ilvl="2" w:tplc="04090005" w:tentative="1">
      <w:start w:val="1"/>
      <w:numFmt w:val="bullet"/>
      <w:lvlText w:val=""/>
      <w:lvlJc w:val="left"/>
      <w:pPr>
        <w:ind w:left="2714" w:hanging="480"/>
      </w:pPr>
      <w:rPr>
        <w:rFonts w:ascii="Wingdings" w:hAnsi="Wingdings" w:hint="default"/>
      </w:rPr>
    </w:lvl>
    <w:lvl w:ilvl="3" w:tplc="04090001" w:tentative="1">
      <w:start w:val="1"/>
      <w:numFmt w:val="bullet"/>
      <w:lvlText w:val=""/>
      <w:lvlJc w:val="left"/>
      <w:pPr>
        <w:ind w:left="3194" w:hanging="480"/>
      </w:pPr>
      <w:rPr>
        <w:rFonts w:ascii="Wingdings" w:hAnsi="Wingdings" w:hint="default"/>
      </w:rPr>
    </w:lvl>
    <w:lvl w:ilvl="4" w:tplc="04090003" w:tentative="1">
      <w:start w:val="1"/>
      <w:numFmt w:val="bullet"/>
      <w:lvlText w:val=""/>
      <w:lvlJc w:val="left"/>
      <w:pPr>
        <w:ind w:left="3674" w:hanging="480"/>
      </w:pPr>
      <w:rPr>
        <w:rFonts w:ascii="Wingdings" w:hAnsi="Wingdings" w:hint="default"/>
      </w:rPr>
    </w:lvl>
    <w:lvl w:ilvl="5" w:tplc="04090005" w:tentative="1">
      <w:start w:val="1"/>
      <w:numFmt w:val="bullet"/>
      <w:lvlText w:val=""/>
      <w:lvlJc w:val="left"/>
      <w:pPr>
        <w:ind w:left="4154" w:hanging="480"/>
      </w:pPr>
      <w:rPr>
        <w:rFonts w:ascii="Wingdings" w:hAnsi="Wingdings" w:hint="default"/>
      </w:rPr>
    </w:lvl>
    <w:lvl w:ilvl="6" w:tplc="04090001" w:tentative="1">
      <w:start w:val="1"/>
      <w:numFmt w:val="bullet"/>
      <w:lvlText w:val=""/>
      <w:lvlJc w:val="left"/>
      <w:pPr>
        <w:ind w:left="4634" w:hanging="480"/>
      </w:pPr>
      <w:rPr>
        <w:rFonts w:ascii="Wingdings" w:hAnsi="Wingdings" w:hint="default"/>
      </w:rPr>
    </w:lvl>
    <w:lvl w:ilvl="7" w:tplc="04090003" w:tentative="1">
      <w:start w:val="1"/>
      <w:numFmt w:val="bullet"/>
      <w:lvlText w:val=""/>
      <w:lvlJc w:val="left"/>
      <w:pPr>
        <w:ind w:left="5114" w:hanging="480"/>
      </w:pPr>
      <w:rPr>
        <w:rFonts w:ascii="Wingdings" w:hAnsi="Wingdings" w:hint="default"/>
      </w:rPr>
    </w:lvl>
    <w:lvl w:ilvl="8" w:tplc="04090005" w:tentative="1">
      <w:start w:val="1"/>
      <w:numFmt w:val="bullet"/>
      <w:lvlText w:val=""/>
      <w:lvlJc w:val="left"/>
      <w:pPr>
        <w:ind w:left="5594" w:hanging="480"/>
      </w:pPr>
      <w:rPr>
        <w:rFonts w:ascii="Wingdings" w:hAnsi="Wingdings" w:hint="default"/>
      </w:rPr>
    </w:lvl>
  </w:abstractNum>
  <w:abstractNum w:abstractNumId="33">
    <w:nsid w:val="12F214B3"/>
    <w:multiLevelType w:val="hybridMultilevel"/>
    <w:tmpl w:val="4A8C5050"/>
    <w:lvl w:ilvl="0" w:tplc="0409000F">
      <w:start w:val="1"/>
      <w:numFmt w:val="decimal"/>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13C46BAF"/>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14E82DE0"/>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161553EA"/>
    <w:multiLevelType w:val="hybridMultilevel"/>
    <w:tmpl w:val="A1B2B926"/>
    <w:lvl w:ilvl="0" w:tplc="A6A80B54">
      <w:start w:val="1"/>
      <w:numFmt w:val="taiwaneseCountingThousand"/>
      <w:lvlText w:val="（%1）"/>
      <w:lvlJc w:val="left"/>
      <w:pPr>
        <w:ind w:left="864" w:hanging="864"/>
      </w:pPr>
      <w:rPr>
        <w:rFonts w:hint="default"/>
      </w:rPr>
    </w:lvl>
    <w:lvl w:ilvl="1" w:tplc="A0488466">
      <w:start w:val="1"/>
      <w:numFmt w:val="decimal"/>
      <w:lvlText w:val="%2."/>
      <w:lvlJc w:val="left"/>
      <w:pPr>
        <w:ind w:left="840" w:hanging="360"/>
      </w:pPr>
      <w:rPr>
        <w:rFonts w:hint="default"/>
      </w:rPr>
    </w:lvl>
    <w:lvl w:ilvl="2" w:tplc="657CAB88">
      <w:start w:val="1"/>
      <w:numFmt w:val="decimal"/>
      <w:lvlText w:val="（%3）"/>
      <w:lvlJc w:val="left"/>
      <w:pPr>
        <w:ind w:left="1695" w:hanging="73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164807F3"/>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16711A3C"/>
    <w:multiLevelType w:val="hybridMultilevel"/>
    <w:tmpl w:val="15AAA3CC"/>
    <w:lvl w:ilvl="0" w:tplc="A6A80B54">
      <w:start w:val="1"/>
      <w:numFmt w:val="taiwaneseCountingThousand"/>
      <w:lvlText w:val="（%1）"/>
      <w:lvlJc w:val="left"/>
      <w:pPr>
        <w:ind w:left="864" w:hanging="864"/>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9">
    <w:nsid w:val="16864042"/>
    <w:multiLevelType w:val="multilevel"/>
    <w:tmpl w:val="BBF095C4"/>
    <w:lvl w:ilvl="0">
      <w:start w:val="1"/>
      <w:numFmt w:val="decimal"/>
      <w:lvlText w:val="%1-"/>
      <w:lvlJc w:val="left"/>
      <w:pPr>
        <w:ind w:left="360" w:hanging="360"/>
      </w:pPr>
      <w:rPr>
        <w:rFonts w:hint="default"/>
      </w:rPr>
    </w:lvl>
    <w:lvl w:ilvl="1">
      <w:start w:val="1"/>
      <w:numFmt w:val="decimal"/>
      <w:lvlText w:val="%1-%2."/>
      <w:lvlJc w:val="left"/>
      <w:pPr>
        <w:ind w:left="1855" w:hanging="720"/>
      </w:pPr>
      <w:rPr>
        <w:rFonts w:hint="default"/>
        <w:b w:val="0"/>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880" w:hanging="2160"/>
      </w:pPr>
      <w:rPr>
        <w:rFonts w:hint="default"/>
      </w:rPr>
    </w:lvl>
  </w:abstractNum>
  <w:abstractNum w:abstractNumId="40">
    <w:nsid w:val="16D055F3"/>
    <w:multiLevelType w:val="hybridMultilevel"/>
    <w:tmpl w:val="4F58717E"/>
    <w:lvl w:ilvl="0" w:tplc="93E436CA">
      <w:start w:val="1"/>
      <w:numFmt w:val="decimal"/>
      <w:lvlText w:val="%1."/>
      <w:lvlJc w:val="left"/>
      <w:pPr>
        <w:ind w:left="782" w:hanging="360"/>
      </w:pPr>
      <w:rPr>
        <w:rFonts w:ascii="Times New Roman" w:hAnsi="Times New Roman" w:hint="default"/>
      </w:rPr>
    </w:lvl>
    <w:lvl w:ilvl="1" w:tplc="04090019" w:tentative="1">
      <w:start w:val="1"/>
      <w:numFmt w:val="ideographTraditional"/>
      <w:lvlText w:val="%2、"/>
      <w:lvlJc w:val="left"/>
      <w:pPr>
        <w:ind w:left="1382" w:hanging="480"/>
      </w:pPr>
    </w:lvl>
    <w:lvl w:ilvl="2" w:tplc="0409001B" w:tentative="1">
      <w:start w:val="1"/>
      <w:numFmt w:val="lowerRoman"/>
      <w:lvlText w:val="%3."/>
      <w:lvlJc w:val="right"/>
      <w:pPr>
        <w:ind w:left="1862" w:hanging="480"/>
      </w:p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abstractNum w:abstractNumId="41">
    <w:nsid w:val="182D2B03"/>
    <w:multiLevelType w:val="hybridMultilevel"/>
    <w:tmpl w:val="42F06D86"/>
    <w:lvl w:ilvl="0" w:tplc="24E4AAA6">
      <w:start w:val="1"/>
      <w:numFmt w:val="taiwaneseCountingThousand"/>
      <w:lvlText w:val="（%1）"/>
      <w:lvlJc w:val="left"/>
      <w:pPr>
        <w:ind w:left="864" w:hanging="864"/>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2">
    <w:nsid w:val="189411BB"/>
    <w:multiLevelType w:val="hybridMultilevel"/>
    <w:tmpl w:val="D7CAE984"/>
    <w:lvl w:ilvl="0" w:tplc="2BEEC5C8">
      <w:start w:val="1"/>
      <w:numFmt w:val="taiwaneseCountingThousand"/>
      <w:lvlText w:val="（%1）"/>
      <w:lvlJc w:val="left"/>
      <w:pPr>
        <w:ind w:left="864" w:hanging="864"/>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3">
    <w:nsid w:val="18B04B73"/>
    <w:multiLevelType w:val="hybridMultilevel"/>
    <w:tmpl w:val="8C5AEE60"/>
    <w:lvl w:ilvl="0" w:tplc="7E783CF8">
      <w:start w:val="1"/>
      <w:numFmt w:val="decimal"/>
      <w:lvlText w:val="%1."/>
      <w:lvlJc w:val="left"/>
      <w:pPr>
        <w:ind w:left="785" w:hanging="360"/>
      </w:pPr>
      <w:rPr>
        <w:rFonts w:hint="default"/>
        <w:color w:val="auto"/>
        <w:sz w:val="28"/>
        <w:szCs w:val="28"/>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4">
    <w:nsid w:val="19190310"/>
    <w:multiLevelType w:val="hybridMultilevel"/>
    <w:tmpl w:val="74A8E512"/>
    <w:lvl w:ilvl="0" w:tplc="35EC1D1E">
      <w:start w:val="1"/>
      <w:numFmt w:val="decimal"/>
      <w:lvlText w:val="%1."/>
      <w:lvlJc w:val="left"/>
      <w:pPr>
        <w:ind w:left="785" w:hanging="360"/>
      </w:pPr>
      <w:rPr>
        <w:rFonts w:eastAsia="標楷體" w:hint="default"/>
        <w:sz w:val="28"/>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5">
    <w:nsid w:val="19F577C2"/>
    <w:multiLevelType w:val="hybridMultilevel"/>
    <w:tmpl w:val="15AAA3CC"/>
    <w:lvl w:ilvl="0" w:tplc="A6A80B54">
      <w:start w:val="1"/>
      <w:numFmt w:val="taiwaneseCountingThousand"/>
      <w:lvlText w:val="（%1）"/>
      <w:lvlJc w:val="left"/>
      <w:pPr>
        <w:ind w:left="864" w:hanging="864"/>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nsid w:val="1A8E5DB5"/>
    <w:multiLevelType w:val="hybridMultilevel"/>
    <w:tmpl w:val="A94EC750"/>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1AA56576"/>
    <w:multiLevelType w:val="hybridMultilevel"/>
    <w:tmpl w:val="999C5DE0"/>
    <w:lvl w:ilvl="0" w:tplc="2CAC2ABE">
      <w:start w:val="1"/>
      <w:numFmt w:val="decimal"/>
      <w:lvlText w:val="%1."/>
      <w:lvlJc w:val="left"/>
      <w:pPr>
        <w:ind w:left="926" w:hanging="480"/>
      </w:pPr>
      <w:rPr>
        <w:rFonts w:hint="eastAsia"/>
      </w:rPr>
    </w:lvl>
    <w:lvl w:ilvl="1" w:tplc="04090019" w:tentative="1">
      <w:start w:val="1"/>
      <w:numFmt w:val="ideographTraditional"/>
      <w:lvlText w:val="%2、"/>
      <w:lvlJc w:val="left"/>
      <w:pPr>
        <w:ind w:left="1406" w:hanging="480"/>
      </w:pPr>
    </w:lvl>
    <w:lvl w:ilvl="2" w:tplc="0409001B" w:tentative="1">
      <w:start w:val="1"/>
      <w:numFmt w:val="lowerRoman"/>
      <w:lvlText w:val="%3."/>
      <w:lvlJc w:val="right"/>
      <w:pPr>
        <w:ind w:left="1886" w:hanging="480"/>
      </w:pPr>
    </w:lvl>
    <w:lvl w:ilvl="3" w:tplc="0409000F" w:tentative="1">
      <w:start w:val="1"/>
      <w:numFmt w:val="decimal"/>
      <w:lvlText w:val="%4."/>
      <w:lvlJc w:val="left"/>
      <w:pPr>
        <w:ind w:left="2366" w:hanging="480"/>
      </w:pPr>
    </w:lvl>
    <w:lvl w:ilvl="4" w:tplc="04090019" w:tentative="1">
      <w:start w:val="1"/>
      <w:numFmt w:val="ideographTraditional"/>
      <w:lvlText w:val="%5、"/>
      <w:lvlJc w:val="left"/>
      <w:pPr>
        <w:ind w:left="2846" w:hanging="480"/>
      </w:pPr>
    </w:lvl>
    <w:lvl w:ilvl="5" w:tplc="0409001B" w:tentative="1">
      <w:start w:val="1"/>
      <w:numFmt w:val="lowerRoman"/>
      <w:lvlText w:val="%6."/>
      <w:lvlJc w:val="right"/>
      <w:pPr>
        <w:ind w:left="3326" w:hanging="480"/>
      </w:pPr>
    </w:lvl>
    <w:lvl w:ilvl="6" w:tplc="0409000F" w:tentative="1">
      <w:start w:val="1"/>
      <w:numFmt w:val="decimal"/>
      <w:lvlText w:val="%7."/>
      <w:lvlJc w:val="left"/>
      <w:pPr>
        <w:ind w:left="3806" w:hanging="480"/>
      </w:pPr>
    </w:lvl>
    <w:lvl w:ilvl="7" w:tplc="04090019" w:tentative="1">
      <w:start w:val="1"/>
      <w:numFmt w:val="ideographTraditional"/>
      <w:lvlText w:val="%8、"/>
      <w:lvlJc w:val="left"/>
      <w:pPr>
        <w:ind w:left="4286" w:hanging="480"/>
      </w:pPr>
    </w:lvl>
    <w:lvl w:ilvl="8" w:tplc="0409001B" w:tentative="1">
      <w:start w:val="1"/>
      <w:numFmt w:val="lowerRoman"/>
      <w:lvlText w:val="%9."/>
      <w:lvlJc w:val="right"/>
      <w:pPr>
        <w:ind w:left="4766" w:hanging="480"/>
      </w:pPr>
    </w:lvl>
  </w:abstractNum>
  <w:abstractNum w:abstractNumId="48">
    <w:nsid w:val="1AFC6120"/>
    <w:multiLevelType w:val="hybridMultilevel"/>
    <w:tmpl w:val="B8C6F80C"/>
    <w:lvl w:ilvl="0" w:tplc="4D587B74">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9">
    <w:nsid w:val="1C5103C2"/>
    <w:multiLevelType w:val="hybridMultilevel"/>
    <w:tmpl w:val="D59A313C"/>
    <w:lvl w:ilvl="0" w:tplc="2E6E80F2">
      <w:start w:val="2"/>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1D377C04"/>
    <w:multiLevelType w:val="hybridMultilevel"/>
    <w:tmpl w:val="B740C26A"/>
    <w:lvl w:ilvl="0" w:tplc="A048846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1D4F276C"/>
    <w:multiLevelType w:val="hybridMultilevel"/>
    <w:tmpl w:val="4858C790"/>
    <w:lvl w:ilvl="0" w:tplc="7A86E770">
      <w:start w:val="1"/>
      <w:numFmt w:val="decimal"/>
      <w:lvlText w:val="%1."/>
      <w:lvlJc w:val="left"/>
      <w:pPr>
        <w:ind w:left="787" w:hanging="36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52">
    <w:nsid w:val="1E2F3972"/>
    <w:multiLevelType w:val="hybridMultilevel"/>
    <w:tmpl w:val="A1B2B926"/>
    <w:lvl w:ilvl="0" w:tplc="A6A80B54">
      <w:start w:val="1"/>
      <w:numFmt w:val="taiwaneseCountingThousand"/>
      <w:lvlText w:val="（%1）"/>
      <w:lvlJc w:val="left"/>
      <w:pPr>
        <w:ind w:left="864" w:hanging="864"/>
      </w:pPr>
      <w:rPr>
        <w:rFonts w:hint="default"/>
      </w:rPr>
    </w:lvl>
    <w:lvl w:ilvl="1" w:tplc="A0488466">
      <w:start w:val="1"/>
      <w:numFmt w:val="decimal"/>
      <w:lvlText w:val="%2."/>
      <w:lvlJc w:val="left"/>
      <w:pPr>
        <w:ind w:left="840" w:hanging="360"/>
      </w:pPr>
      <w:rPr>
        <w:rFonts w:hint="default"/>
      </w:rPr>
    </w:lvl>
    <w:lvl w:ilvl="2" w:tplc="657CAB88">
      <w:start w:val="1"/>
      <w:numFmt w:val="decimal"/>
      <w:lvlText w:val="（%3）"/>
      <w:lvlJc w:val="left"/>
      <w:pPr>
        <w:ind w:left="1695" w:hanging="73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1E4B4EAD"/>
    <w:multiLevelType w:val="hybridMultilevel"/>
    <w:tmpl w:val="4AE4A568"/>
    <w:lvl w:ilvl="0" w:tplc="3A764310">
      <w:start w:val="1"/>
      <w:numFmt w:val="taiwaneseCountingThousand"/>
      <w:lvlText w:val="（%1）"/>
      <w:lvlJc w:val="left"/>
      <w:pPr>
        <w:ind w:left="864" w:hanging="864"/>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1F1A7218"/>
    <w:multiLevelType w:val="hybridMultilevel"/>
    <w:tmpl w:val="FF365F26"/>
    <w:lvl w:ilvl="0" w:tplc="0409000F">
      <w:start w:val="1"/>
      <w:numFmt w:val="decimal"/>
      <w:lvlText w:val="%1."/>
      <w:lvlJc w:val="left"/>
      <w:pPr>
        <w:ind w:left="864" w:hanging="864"/>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5">
    <w:nsid w:val="1F344E58"/>
    <w:multiLevelType w:val="hybridMultilevel"/>
    <w:tmpl w:val="A17A690A"/>
    <w:lvl w:ilvl="0" w:tplc="404034CA">
      <w:start w:val="1"/>
      <w:numFmt w:val="decimal"/>
      <w:lvlText w:val="%1."/>
      <w:lvlJc w:val="left"/>
      <w:pPr>
        <w:ind w:left="787" w:hanging="360"/>
      </w:pPr>
      <w:rPr>
        <w:rFonts w:hint="default"/>
        <w:color w:val="auto"/>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56">
    <w:nsid w:val="1FC9208E"/>
    <w:multiLevelType w:val="hybridMultilevel"/>
    <w:tmpl w:val="39C6D96A"/>
    <w:lvl w:ilvl="0" w:tplc="820C6404">
      <w:start w:val="1"/>
      <w:numFmt w:val="decimal"/>
      <w:lvlText w:val="(%1)"/>
      <w:lvlJc w:val="left"/>
      <w:pPr>
        <w:ind w:left="1344" w:hanging="480"/>
      </w:pPr>
      <w:rPr>
        <w:color w:val="auto"/>
      </w:rPr>
    </w:lvl>
    <w:lvl w:ilvl="1" w:tplc="04090019">
      <w:start w:val="1"/>
      <w:numFmt w:val="ideographTraditional"/>
      <w:lvlText w:val="%2、"/>
      <w:lvlJc w:val="left"/>
      <w:pPr>
        <w:ind w:left="1824" w:hanging="480"/>
      </w:pPr>
    </w:lvl>
    <w:lvl w:ilvl="2" w:tplc="0409001B">
      <w:start w:val="1"/>
      <w:numFmt w:val="lowerRoman"/>
      <w:lvlText w:val="%3."/>
      <w:lvlJc w:val="right"/>
      <w:pPr>
        <w:ind w:left="2304" w:hanging="480"/>
      </w:pPr>
    </w:lvl>
    <w:lvl w:ilvl="3" w:tplc="0409000F">
      <w:start w:val="1"/>
      <w:numFmt w:val="decimal"/>
      <w:lvlText w:val="%4."/>
      <w:lvlJc w:val="left"/>
      <w:pPr>
        <w:ind w:left="2784" w:hanging="480"/>
      </w:pPr>
    </w:lvl>
    <w:lvl w:ilvl="4" w:tplc="04090019">
      <w:start w:val="1"/>
      <w:numFmt w:val="ideographTraditional"/>
      <w:lvlText w:val="%5、"/>
      <w:lvlJc w:val="left"/>
      <w:pPr>
        <w:ind w:left="3264" w:hanging="480"/>
      </w:pPr>
    </w:lvl>
    <w:lvl w:ilvl="5" w:tplc="0409001B">
      <w:start w:val="1"/>
      <w:numFmt w:val="lowerRoman"/>
      <w:lvlText w:val="%6."/>
      <w:lvlJc w:val="right"/>
      <w:pPr>
        <w:ind w:left="3744" w:hanging="480"/>
      </w:pPr>
    </w:lvl>
    <w:lvl w:ilvl="6" w:tplc="0409000F">
      <w:start w:val="1"/>
      <w:numFmt w:val="decimal"/>
      <w:lvlText w:val="%7."/>
      <w:lvlJc w:val="left"/>
      <w:pPr>
        <w:ind w:left="4224" w:hanging="480"/>
      </w:pPr>
    </w:lvl>
    <w:lvl w:ilvl="7" w:tplc="04090019">
      <w:start w:val="1"/>
      <w:numFmt w:val="ideographTraditional"/>
      <w:lvlText w:val="%8、"/>
      <w:lvlJc w:val="left"/>
      <w:pPr>
        <w:ind w:left="4704" w:hanging="480"/>
      </w:pPr>
    </w:lvl>
    <w:lvl w:ilvl="8" w:tplc="0409001B">
      <w:start w:val="1"/>
      <w:numFmt w:val="lowerRoman"/>
      <w:lvlText w:val="%9."/>
      <w:lvlJc w:val="right"/>
      <w:pPr>
        <w:ind w:left="5184" w:hanging="480"/>
      </w:pPr>
    </w:lvl>
  </w:abstractNum>
  <w:abstractNum w:abstractNumId="57">
    <w:nsid w:val="20AC2CF7"/>
    <w:multiLevelType w:val="hybridMultilevel"/>
    <w:tmpl w:val="8C5AEE60"/>
    <w:lvl w:ilvl="0" w:tplc="7E783CF8">
      <w:start w:val="1"/>
      <w:numFmt w:val="decimal"/>
      <w:lvlText w:val="%1."/>
      <w:lvlJc w:val="left"/>
      <w:pPr>
        <w:ind w:left="785" w:hanging="360"/>
      </w:pPr>
      <w:rPr>
        <w:rFonts w:hint="default"/>
        <w:color w:val="auto"/>
        <w:sz w:val="28"/>
        <w:szCs w:val="28"/>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58">
    <w:nsid w:val="20F10683"/>
    <w:multiLevelType w:val="hybridMultilevel"/>
    <w:tmpl w:val="A94EC750"/>
    <w:lvl w:ilvl="0" w:tplc="A6A80B54">
      <w:start w:val="1"/>
      <w:numFmt w:val="taiwaneseCountingThousand"/>
      <w:lvlText w:val="（%1）"/>
      <w:lvlJc w:val="left"/>
      <w:pPr>
        <w:ind w:left="864" w:hanging="864"/>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21E80405"/>
    <w:multiLevelType w:val="hybridMultilevel"/>
    <w:tmpl w:val="49A46F1C"/>
    <w:lvl w:ilvl="0" w:tplc="DC206B4A">
      <w:start w:val="1"/>
      <w:numFmt w:val="decimal"/>
      <w:lvlText w:val="(%1)"/>
      <w:lvlJc w:val="left"/>
      <w:pPr>
        <w:ind w:left="1754" w:hanging="480"/>
      </w:pPr>
      <w:rPr>
        <w:rFonts w:hint="eastAsia"/>
      </w:rPr>
    </w:lvl>
    <w:lvl w:ilvl="1" w:tplc="04090003" w:tentative="1">
      <w:start w:val="1"/>
      <w:numFmt w:val="bullet"/>
      <w:lvlText w:val=""/>
      <w:lvlJc w:val="left"/>
      <w:pPr>
        <w:ind w:left="2234" w:hanging="480"/>
      </w:pPr>
      <w:rPr>
        <w:rFonts w:ascii="Wingdings" w:hAnsi="Wingdings" w:hint="default"/>
      </w:rPr>
    </w:lvl>
    <w:lvl w:ilvl="2" w:tplc="04090005" w:tentative="1">
      <w:start w:val="1"/>
      <w:numFmt w:val="bullet"/>
      <w:lvlText w:val=""/>
      <w:lvlJc w:val="left"/>
      <w:pPr>
        <w:ind w:left="2714" w:hanging="480"/>
      </w:pPr>
      <w:rPr>
        <w:rFonts w:ascii="Wingdings" w:hAnsi="Wingdings" w:hint="default"/>
      </w:rPr>
    </w:lvl>
    <w:lvl w:ilvl="3" w:tplc="04090001" w:tentative="1">
      <w:start w:val="1"/>
      <w:numFmt w:val="bullet"/>
      <w:lvlText w:val=""/>
      <w:lvlJc w:val="left"/>
      <w:pPr>
        <w:ind w:left="3194" w:hanging="480"/>
      </w:pPr>
      <w:rPr>
        <w:rFonts w:ascii="Wingdings" w:hAnsi="Wingdings" w:hint="default"/>
      </w:rPr>
    </w:lvl>
    <w:lvl w:ilvl="4" w:tplc="04090003" w:tentative="1">
      <w:start w:val="1"/>
      <w:numFmt w:val="bullet"/>
      <w:lvlText w:val=""/>
      <w:lvlJc w:val="left"/>
      <w:pPr>
        <w:ind w:left="3674" w:hanging="480"/>
      </w:pPr>
      <w:rPr>
        <w:rFonts w:ascii="Wingdings" w:hAnsi="Wingdings" w:hint="default"/>
      </w:rPr>
    </w:lvl>
    <w:lvl w:ilvl="5" w:tplc="04090005" w:tentative="1">
      <w:start w:val="1"/>
      <w:numFmt w:val="bullet"/>
      <w:lvlText w:val=""/>
      <w:lvlJc w:val="left"/>
      <w:pPr>
        <w:ind w:left="4154" w:hanging="480"/>
      </w:pPr>
      <w:rPr>
        <w:rFonts w:ascii="Wingdings" w:hAnsi="Wingdings" w:hint="default"/>
      </w:rPr>
    </w:lvl>
    <w:lvl w:ilvl="6" w:tplc="04090001" w:tentative="1">
      <w:start w:val="1"/>
      <w:numFmt w:val="bullet"/>
      <w:lvlText w:val=""/>
      <w:lvlJc w:val="left"/>
      <w:pPr>
        <w:ind w:left="4634" w:hanging="480"/>
      </w:pPr>
      <w:rPr>
        <w:rFonts w:ascii="Wingdings" w:hAnsi="Wingdings" w:hint="default"/>
      </w:rPr>
    </w:lvl>
    <w:lvl w:ilvl="7" w:tplc="04090003" w:tentative="1">
      <w:start w:val="1"/>
      <w:numFmt w:val="bullet"/>
      <w:lvlText w:val=""/>
      <w:lvlJc w:val="left"/>
      <w:pPr>
        <w:ind w:left="5114" w:hanging="480"/>
      </w:pPr>
      <w:rPr>
        <w:rFonts w:ascii="Wingdings" w:hAnsi="Wingdings" w:hint="default"/>
      </w:rPr>
    </w:lvl>
    <w:lvl w:ilvl="8" w:tplc="04090005" w:tentative="1">
      <w:start w:val="1"/>
      <w:numFmt w:val="bullet"/>
      <w:lvlText w:val=""/>
      <w:lvlJc w:val="left"/>
      <w:pPr>
        <w:ind w:left="5594" w:hanging="480"/>
      </w:pPr>
      <w:rPr>
        <w:rFonts w:ascii="Wingdings" w:hAnsi="Wingdings" w:hint="default"/>
      </w:rPr>
    </w:lvl>
  </w:abstractNum>
  <w:abstractNum w:abstractNumId="60">
    <w:nsid w:val="22B22EB3"/>
    <w:multiLevelType w:val="multilevel"/>
    <w:tmpl w:val="BBF095C4"/>
    <w:lvl w:ilvl="0">
      <w:start w:val="1"/>
      <w:numFmt w:val="decimal"/>
      <w:lvlText w:val="%1-"/>
      <w:lvlJc w:val="left"/>
      <w:pPr>
        <w:ind w:left="360" w:hanging="360"/>
      </w:pPr>
      <w:rPr>
        <w:rFonts w:hint="default"/>
      </w:rPr>
    </w:lvl>
    <w:lvl w:ilvl="1">
      <w:start w:val="1"/>
      <w:numFmt w:val="decimal"/>
      <w:lvlText w:val="%1-%2."/>
      <w:lvlJc w:val="left"/>
      <w:pPr>
        <w:ind w:left="1855" w:hanging="720"/>
      </w:pPr>
      <w:rPr>
        <w:rFonts w:hint="default"/>
        <w:b w:val="0"/>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880" w:hanging="2160"/>
      </w:pPr>
      <w:rPr>
        <w:rFonts w:hint="default"/>
      </w:rPr>
    </w:lvl>
  </w:abstractNum>
  <w:abstractNum w:abstractNumId="61">
    <w:nsid w:val="237F7C64"/>
    <w:multiLevelType w:val="hybridMultilevel"/>
    <w:tmpl w:val="54BE6088"/>
    <w:lvl w:ilvl="0" w:tplc="99D88922">
      <w:start w:val="1"/>
      <w:numFmt w:val="decimal"/>
      <w:lvlText w:val="%1."/>
      <w:lvlJc w:val="left"/>
      <w:pPr>
        <w:ind w:left="1189" w:hanging="480"/>
      </w:pPr>
      <w:rPr>
        <w:rFonts w:hAnsi="標楷體" w:hint="default"/>
        <w:color w:val="auto"/>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62">
    <w:nsid w:val="238E3211"/>
    <w:multiLevelType w:val="hybridMultilevel"/>
    <w:tmpl w:val="B740C26A"/>
    <w:lvl w:ilvl="0" w:tplc="A048846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23AB11E9"/>
    <w:multiLevelType w:val="hybridMultilevel"/>
    <w:tmpl w:val="46966534"/>
    <w:lvl w:ilvl="0" w:tplc="FFF87336">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64">
    <w:nsid w:val="24840331"/>
    <w:multiLevelType w:val="hybridMultilevel"/>
    <w:tmpl w:val="A1B2B926"/>
    <w:lvl w:ilvl="0" w:tplc="A6A80B54">
      <w:start w:val="1"/>
      <w:numFmt w:val="taiwaneseCountingThousand"/>
      <w:lvlText w:val="（%1）"/>
      <w:lvlJc w:val="left"/>
      <w:pPr>
        <w:ind w:left="864" w:hanging="864"/>
      </w:pPr>
      <w:rPr>
        <w:rFonts w:hint="default"/>
      </w:rPr>
    </w:lvl>
    <w:lvl w:ilvl="1" w:tplc="A0488466">
      <w:start w:val="1"/>
      <w:numFmt w:val="decimal"/>
      <w:lvlText w:val="%2."/>
      <w:lvlJc w:val="left"/>
      <w:pPr>
        <w:ind w:left="840" w:hanging="360"/>
      </w:pPr>
      <w:rPr>
        <w:rFonts w:hint="default"/>
      </w:rPr>
    </w:lvl>
    <w:lvl w:ilvl="2" w:tplc="657CAB88">
      <w:start w:val="1"/>
      <w:numFmt w:val="decimal"/>
      <w:lvlText w:val="（%3）"/>
      <w:lvlJc w:val="left"/>
      <w:pPr>
        <w:ind w:left="1695" w:hanging="73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24BA1B80"/>
    <w:multiLevelType w:val="hybridMultilevel"/>
    <w:tmpl w:val="FCAAB170"/>
    <w:lvl w:ilvl="0" w:tplc="AF025162">
      <w:start w:val="1"/>
      <w:numFmt w:val="bullet"/>
      <w:pStyle w:val="BOOK1"/>
      <w:lvlText w:val=""/>
      <w:lvlJc w:val="left"/>
      <w:pPr>
        <w:ind w:left="1641" w:hanging="480"/>
      </w:pPr>
      <w:rPr>
        <w:rFonts w:ascii="Wingdings" w:hAnsi="Wingdings" w:hint="default"/>
      </w:rPr>
    </w:lvl>
    <w:lvl w:ilvl="1" w:tplc="04090003" w:tentative="1">
      <w:start w:val="1"/>
      <w:numFmt w:val="bullet"/>
      <w:lvlText w:val=""/>
      <w:lvlJc w:val="left"/>
      <w:pPr>
        <w:ind w:left="2121" w:hanging="480"/>
      </w:pPr>
      <w:rPr>
        <w:rFonts w:ascii="Wingdings" w:hAnsi="Wingdings" w:hint="default"/>
      </w:rPr>
    </w:lvl>
    <w:lvl w:ilvl="2" w:tplc="04090005" w:tentative="1">
      <w:start w:val="1"/>
      <w:numFmt w:val="bullet"/>
      <w:lvlText w:val=""/>
      <w:lvlJc w:val="left"/>
      <w:pPr>
        <w:ind w:left="2601" w:hanging="480"/>
      </w:pPr>
      <w:rPr>
        <w:rFonts w:ascii="Wingdings" w:hAnsi="Wingdings" w:hint="default"/>
      </w:rPr>
    </w:lvl>
    <w:lvl w:ilvl="3" w:tplc="04090001" w:tentative="1">
      <w:start w:val="1"/>
      <w:numFmt w:val="bullet"/>
      <w:lvlText w:val=""/>
      <w:lvlJc w:val="left"/>
      <w:pPr>
        <w:ind w:left="3081" w:hanging="480"/>
      </w:pPr>
      <w:rPr>
        <w:rFonts w:ascii="Wingdings" w:hAnsi="Wingdings" w:hint="default"/>
      </w:rPr>
    </w:lvl>
    <w:lvl w:ilvl="4" w:tplc="04090003" w:tentative="1">
      <w:start w:val="1"/>
      <w:numFmt w:val="bullet"/>
      <w:lvlText w:val=""/>
      <w:lvlJc w:val="left"/>
      <w:pPr>
        <w:ind w:left="3561" w:hanging="480"/>
      </w:pPr>
      <w:rPr>
        <w:rFonts w:ascii="Wingdings" w:hAnsi="Wingdings" w:hint="default"/>
      </w:rPr>
    </w:lvl>
    <w:lvl w:ilvl="5" w:tplc="04090005" w:tentative="1">
      <w:start w:val="1"/>
      <w:numFmt w:val="bullet"/>
      <w:lvlText w:val=""/>
      <w:lvlJc w:val="left"/>
      <w:pPr>
        <w:ind w:left="4041" w:hanging="480"/>
      </w:pPr>
      <w:rPr>
        <w:rFonts w:ascii="Wingdings" w:hAnsi="Wingdings" w:hint="default"/>
      </w:rPr>
    </w:lvl>
    <w:lvl w:ilvl="6" w:tplc="04090001" w:tentative="1">
      <w:start w:val="1"/>
      <w:numFmt w:val="bullet"/>
      <w:lvlText w:val=""/>
      <w:lvlJc w:val="left"/>
      <w:pPr>
        <w:ind w:left="4521" w:hanging="480"/>
      </w:pPr>
      <w:rPr>
        <w:rFonts w:ascii="Wingdings" w:hAnsi="Wingdings" w:hint="default"/>
      </w:rPr>
    </w:lvl>
    <w:lvl w:ilvl="7" w:tplc="04090003" w:tentative="1">
      <w:start w:val="1"/>
      <w:numFmt w:val="bullet"/>
      <w:lvlText w:val=""/>
      <w:lvlJc w:val="left"/>
      <w:pPr>
        <w:ind w:left="5001" w:hanging="480"/>
      </w:pPr>
      <w:rPr>
        <w:rFonts w:ascii="Wingdings" w:hAnsi="Wingdings" w:hint="default"/>
      </w:rPr>
    </w:lvl>
    <w:lvl w:ilvl="8" w:tplc="04090005" w:tentative="1">
      <w:start w:val="1"/>
      <w:numFmt w:val="bullet"/>
      <w:lvlText w:val=""/>
      <w:lvlJc w:val="left"/>
      <w:pPr>
        <w:ind w:left="5481" w:hanging="480"/>
      </w:pPr>
      <w:rPr>
        <w:rFonts w:ascii="Wingdings" w:hAnsi="Wingdings" w:hint="default"/>
      </w:rPr>
    </w:lvl>
  </w:abstractNum>
  <w:abstractNum w:abstractNumId="66">
    <w:nsid w:val="24ED4CE6"/>
    <w:multiLevelType w:val="hybridMultilevel"/>
    <w:tmpl w:val="15AAA3CC"/>
    <w:lvl w:ilvl="0" w:tplc="A6A80B54">
      <w:start w:val="1"/>
      <w:numFmt w:val="taiwaneseCountingThousand"/>
      <w:lvlText w:val="（%1）"/>
      <w:lvlJc w:val="left"/>
      <w:pPr>
        <w:ind w:left="864" w:hanging="864"/>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7">
    <w:nsid w:val="251B2FAF"/>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259909AB"/>
    <w:multiLevelType w:val="hybridMultilevel"/>
    <w:tmpl w:val="4AE4A568"/>
    <w:lvl w:ilvl="0" w:tplc="3A764310">
      <w:start w:val="1"/>
      <w:numFmt w:val="taiwaneseCountingThousand"/>
      <w:lvlText w:val="（%1）"/>
      <w:lvlJc w:val="left"/>
      <w:pPr>
        <w:ind w:left="864" w:hanging="864"/>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2605590A"/>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273A120E"/>
    <w:multiLevelType w:val="hybridMultilevel"/>
    <w:tmpl w:val="15AAA3CC"/>
    <w:lvl w:ilvl="0" w:tplc="A6A80B54">
      <w:start w:val="1"/>
      <w:numFmt w:val="taiwaneseCountingThousand"/>
      <w:lvlText w:val="（%1）"/>
      <w:lvlJc w:val="left"/>
      <w:pPr>
        <w:ind w:left="864" w:hanging="864"/>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1">
    <w:nsid w:val="278F5E55"/>
    <w:multiLevelType w:val="hybridMultilevel"/>
    <w:tmpl w:val="A1B2B926"/>
    <w:lvl w:ilvl="0" w:tplc="A6A80B54">
      <w:start w:val="1"/>
      <w:numFmt w:val="taiwaneseCountingThousand"/>
      <w:lvlText w:val="（%1）"/>
      <w:lvlJc w:val="left"/>
      <w:pPr>
        <w:ind w:left="864" w:hanging="864"/>
      </w:pPr>
      <w:rPr>
        <w:rFonts w:hint="default"/>
      </w:rPr>
    </w:lvl>
    <w:lvl w:ilvl="1" w:tplc="A0488466">
      <w:start w:val="1"/>
      <w:numFmt w:val="decimal"/>
      <w:lvlText w:val="%2."/>
      <w:lvlJc w:val="left"/>
      <w:pPr>
        <w:ind w:left="840" w:hanging="360"/>
      </w:pPr>
      <w:rPr>
        <w:rFonts w:hint="default"/>
      </w:rPr>
    </w:lvl>
    <w:lvl w:ilvl="2" w:tplc="657CAB88">
      <w:start w:val="1"/>
      <w:numFmt w:val="decimal"/>
      <w:lvlText w:val="（%3）"/>
      <w:lvlJc w:val="left"/>
      <w:pPr>
        <w:ind w:left="1695" w:hanging="73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28046DEB"/>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29B11578"/>
    <w:multiLevelType w:val="hybridMultilevel"/>
    <w:tmpl w:val="A1B2B926"/>
    <w:lvl w:ilvl="0" w:tplc="A6A80B54">
      <w:start w:val="1"/>
      <w:numFmt w:val="taiwaneseCountingThousand"/>
      <w:lvlText w:val="（%1）"/>
      <w:lvlJc w:val="left"/>
      <w:pPr>
        <w:ind w:left="864" w:hanging="864"/>
      </w:pPr>
      <w:rPr>
        <w:rFonts w:hint="default"/>
      </w:rPr>
    </w:lvl>
    <w:lvl w:ilvl="1" w:tplc="A0488466">
      <w:start w:val="1"/>
      <w:numFmt w:val="decimal"/>
      <w:lvlText w:val="%2."/>
      <w:lvlJc w:val="left"/>
      <w:pPr>
        <w:ind w:left="840" w:hanging="360"/>
      </w:pPr>
      <w:rPr>
        <w:rFonts w:hint="default"/>
      </w:rPr>
    </w:lvl>
    <w:lvl w:ilvl="2" w:tplc="657CAB88">
      <w:start w:val="1"/>
      <w:numFmt w:val="decimal"/>
      <w:lvlText w:val="（%3）"/>
      <w:lvlJc w:val="left"/>
      <w:pPr>
        <w:ind w:left="1695" w:hanging="73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2B186261"/>
    <w:multiLevelType w:val="hybridMultilevel"/>
    <w:tmpl w:val="23EEBE42"/>
    <w:lvl w:ilvl="0" w:tplc="9E02621C">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75">
    <w:nsid w:val="2BA23037"/>
    <w:multiLevelType w:val="hybridMultilevel"/>
    <w:tmpl w:val="67DE2A0A"/>
    <w:lvl w:ilvl="0" w:tplc="151A0534">
      <w:start w:val="1"/>
      <w:numFmt w:val="decimal"/>
      <w:lvlText w:val="%1."/>
      <w:lvlJc w:val="left"/>
      <w:pPr>
        <w:ind w:left="785" w:hanging="360"/>
      </w:pPr>
      <w:rPr>
        <w:rFonts w:hint="default"/>
        <w:color w:val="auto"/>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76">
    <w:nsid w:val="2C033133"/>
    <w:multiLevelType w:val="hybridMultilevel"/>
    <w:tmpl w:val="154ED1E0"/>
    <w:lvl w:ilvl="0" w:tplc="021419CC">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77">
    <w:nsid w:val="2EB347A5"/>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nsid w:val="2EF82393"/>
    <w:multiLevelType w:val="hybridMultilevel"/>
    <w:tmpl w:val="8C5AEE60"/>
    <w:lvl w:ilvl="0" w:tplc="7E783CF8">
      <w:start w:val="1"/>
      <w:numFmt w:val="decimal"/>
      <w:lvlText w:val="%1."/>
      <w:lvlJc w:val="left"/>
      <w:pPr>
        <w:ind w:left="785" w:hanging="360"/>
      </w:pPr>
      <w:rPr>
        <w:rFonts w:hint="default"/>
        <w:color w:val="auto"/>
        <w:sz w:val="28"/>
        <w:szCs w:val="28"/>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79">
    <w:nsid w:val="2F837A9B"/>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nsid w:val="2FC609EB"/>
    <w:multiLevelType w:val="hybridMultilevel"/>
    <w:tmpl w:val="4AE4A568"/>
    <w:lvl w:ilvl="0" w:tplc="3A764310">
      <w:start w:val="1"/>
      <w:numFmt w:val="taiwaneseCountingThousand"/>
      <w:lvlText w:val="（%1）"/>
      <w:lvlJc w:val="left"/>
      <w:pPr>
        <w:ind w:left="864" w:hanging="864"/>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30917406"/>
    <w:multiLevelType w:val="hybridMultilevel"/>
    <w:tmpl w:val="C5028C14"/>
    <w:lvl w:ilvl="0" w:tplc="F312B644">
      <w:start w:val="1"/>
      <w:numFmt w:val="decimal"/>
      <w:lvlText w:val="%1."/>
      <w:lvlJc w:val="left"/>
      <w:pPr>
        <w:ind w:left="799" w:hanging="360"/>
      </w:pPr>
      <w:rPr>
        <w:rFonts w:ascii="Times New Roman" w:hAnsi="Times New Roman" w:hint="default"/>
      </w:rPr>
    </w:lvl>
    <w:lvl w:ilvl="1" w:tplc="04090019" w:tentative="1">
      <w:start w:val="1"/>
      <w:numFmt w:val="ideographTraditional"/>
      <w:lvlText w:val="%2、"/>
      <w:lvlJc w:val="left"/>
      <w:pPr>
        <w:ind w:left="1399" w:hanging="480"/>
      </w:pPr>
    </w:lvl>
    <w:lvl w:ilvl="2" w:tplc="0409001B" w:tentative="1">
      <w:start w:val="1"/>
      <w:numFmt w:val="lowerRoman"/>
      <w:lvlText w:val="%3."/>
      <w:lvlJc w:val="right"/>
      <w:pPr>
        <w:ind w:left="1879" w:hanging="480"/>
      </w:pPr>
    </w:lvl>
    <w:lvl w:ilvl="3" w:tplc="0409000F" w:tentative="1">
      <w:start w:val="1"/>
      <w:numFmt w:val="decimal"/>
      <w:lvlText w:val="%4."/>
      <w:lvlJc w:val="left"/>
      <w:pPr>
        <w:ind w:left="2359" w:hanging="480"/>
      </w:pPr>
    </w:lvl>
    <w:lvl w:ilvl="4" w:tplc="04090019" w:tentative="1">
      <w:start w:val="1"/>
      <w:numFmt w:val="ideographTraditional"/>
      <w:lvlText w:val="%5、"/>
      <w:lvlJc w:val="left"/>
      <w:pPr>
        <w:ind w:left="2839" w:hanging="480"/>
      </w:pPr>
    </w:lvl>
    <w:lvl w:ilvl="5" w:tplc="0409001B" w:tentative="1">
      <w:start w:val="1"/>
      <w:numFmt w:val="lowerRoman"/>
      <w:lvlText w:val="%6."/>
      <w:lvlJc w:val="right"/>
      <w:pPr>
        <w:ind w:left="3319" w:hanging="480"/>
      </w:pPr>
    </w:lvl>
    <w:lvl w:ilvl="6" w:tplc="0409000F" w:tentative="1">
      <w:start w:val="1"/>
      <w:numFmt w:val="decimal"/>
      <w:lvlText w:val="%7."/>
      <w:lvlJc w:val="left"/>
      <w:pPr>
        <w:ind w:left="3799" w:hanging="480"/>
      </w:pPr>
    </w:lvl>
    <w:lvl w:ilvl="7" w:tplc="04090019" w:tentative="1">
      <w:start w:val="1"/>
      <w:numFmt w:val="ideographTraditional"/>
      <w:lvlText w:val="%8、"/>
      <w:lvlJc w:val="left"/>
      <w:pPr>
        <w:ind w:left="4279" w:hanging="480"/>
      </w:pPr>
    </w:lvl>
    <w:lvl w:ilvl="8" w:tplc="0409001B" w:tentative="1">
      <w:start w:val="1"/>
      <w:numFmt w:val="lowerRoman"/>
      <w:lvlText w:val="%9."/>
      <w:lvlJc w:val="right"/>
      <w:pPr>
        <w:ind w:left="4759" w:hanging="480"/>
      </w:pPr>
    </w:lvl>
  </w:abstractNum>
  <w:abstractNum w:abstractNumId="82">
    <w:nsid w:val="30A60620"/>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nsid w:val="32F650BF"/>
    <w:multiLevelType w:val="hybridMultilevel"/>
    <w:tmpl w:val="4AE4A568"/>
    <w:lvl w:ilvl="0" w:tplc="3A764310">
      <w:start w:val="1"/>
      <w:numFmt w:val="taiwaneseCountingThousand"/>
      <w:lvlText w:val="（%1）"/>
      <w:lvlJc w:val="left"/>
      <w:pPr>
        <w:ind w:left="864" w:hanging="864"/>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nsid w:val="335155C3"/>
    <w:multiLevelType w:val="hybridMultilevel"/>
    <w:tmpl w:val="B740C26A"/>
    <w:lvl w:ilvl="0" w:tplc="A048846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nsid w:val="33656C0D"/>
    <w:multiLevelType w:val="hybridMultilevel"/>
    <w:tmpl w:val="61A8E550"/>
    <w:lvl w:ilvl="0" w:tplc="D10E925C">
      <w:start w:val="1"/>
      <w:numFmt w:val="decimal"/>
      <w:lvlText w:val="%1."/>
      <w:lvlJc w:val="left"/>
      <w:pPr>
        <w:ind w:left="1207" w:hanging="360"/>
      </w:pPr>
      <w:rPr>
        <w:rFonts w:hint="default"/>
      </w:rPr>
    </w:lvl>
    <w:lvl w:ilvl="1" w:tplc="04090019" w:tentative="1">
      <w:start w:val="1"/>
      <w:numFmt w:val="ideographTraditional"/>
      <w:lvlText w:val="%2、"/>
      <w:lvlJc w:val="left"/>
      <w:pPr>
        <w:ind w:left="1807" w:hanging="480"/>
      </w:pPr>
    </w:lvl>
    <w:lvl w:ilvl="2" w:tplc="0409001B" w:tentative="1">
      <w:start w:val="1"/>
      <w:numFmt w:val="lowerRoman"/>
      <w:lvlText w:val="%3."/>
      <w:lvlJc w:val="right"/>
      <w:pPr>
        <w:ind w:left="2287" w:hanging="480"/>
      </w:pPr>
    </w:lvl>
    <w:lvl w:ilvl="3" w:tplc="0409000F" w:tentative="1">
      <w:start w:val="1"/>
      <w:numFmt w:val="decimal"/>
      <w:lvlText w:val="%4."/>
      <w:lvlJc w:val="left"/>
      <w:pPr>
        <w:ind w:left="2767" w:hanging="480"/>
      </w:pPr>
    </w:lvl>
    <w:lvl w:ilvl="4" w:tplc="04090019" w:tentative="1">
      <w:start w:val="1"/>
      <w:numFmt w:val="ideographTraditional"/>
      <w:lvlText w:val="%5、"/>
      <w:lvlJc w:val="left"/>
      <w:pPr>
        <w:ind w:left="3247" w:hanging="480"/>
      </w:pPr>
    </w:lvl>
    <w:lvl w:ilvl="5" w:tplc="0409001B" w:tentative="1">
      <w:start w:val="1"/>
      <w:numFmt w:val="lowerRoman"/>
      <w:lvlText w:val="%6."/>
      <w:lvlJc w:val="right"/>
      <w:pPr>
        <w:ind w:left="3727" w:hanging="480"/>
      </w:pPr>
    </w:lvl>
    <w:lvl w:ilvl="6" w:tplc="0409000F" w:tentative="1">
      <w:start w:val="1"/>
      <w:numFmt w:val="decimal"/>
      <w:lvlText w:val="%7."/>
      <w:lvlJc w:val="left"/>
      <w:pPr>
        <w:ind w:left="4207" w:hanging="480"/>
      </w:pPr>
    </w:lvl>
    <w:lvl w:ilvl="7" w:tplc="04090019" w:tentative="1">
      <w:start w:val="1"/>
      <w:numFmt w:val="ideographTraditional"/>
      <w:lvlText w:val="%8、"/>
      <w:lvlJc w:val="left"/>
      <w:pPr>
        <w:ind w:left="4687" w:hanging="480"/>
      </w:pPr>
    </w:lvl>
    <w:lvl w:ilvl="8" w:tplc="0409001B" w:tentative="1">
      <w:start w:val="1"/>
      <w:numFmt w:val="lowerRoman"/>
      <w:lvlText w:val="%9."/>
      <w:lvlJc w:val="right"/>
      <w:pPr>
        <w:ind w:left="5167" w:hanging="480"/>
      </w:pPr>
    </w:lvl>
  </w:abstractNum>
  <w:abstractNum w:abstractNumId="86">
    <w:nsid w:val="345A16B7"/>
    <w:multiLevelType w:val="hybridMultilevel"/>
    <w:tmpl w:val="42F06D86"/>
    <w:lvl w:ilvl="0" w:tplc="24E4AAA6">
      <w:start w:val="1"/>
      <w:numFmt w:val="taiwaneseCountingThousand"/>
      <w:lvlText w:val="（%1）"/>
      <w:lvlJc w:val="left"/>
      <w:pPr>
        <w:ind w:left="864" w:hanging="864"/>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7">
    <w:nsid w:val="35635E8F"/>
    <w:multiLevelType w:val="hybridMultilevel"/>
    <w:tmpl w:val="FF365F26"/>
    <w:lvl w:ilvl="0" w:tplc="0409000F">
      <w:start w:val="1"/>
      <w:numFmt w:val="decimal"/>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nsid w:val="357A4F41"/>
    <w:multiLevelType w:val="hybridMultilevel"/>
    <w:tmpl w:val="A94EC750"/>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nsid w:val="35DE482A"/>
    <w:multiLevelType w:val="hybridMultilevel"/>
    <w:tmpl w:val="15AAA3CC"/>
    <w:lvl w:ilvl="0" w:tplc="A6A80B54">
      <w:start w:val="1"/>
      <w:numFmt w:val="taiwaneseCountingThousand"/>
      <w:lvlText w:val="（%1）"/>
      <w:lvlJc w:val="left"/>
      <w:pPr>
        <w:ind w:left="864" w:hanging="864"/>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0">
    <w:nsid w:val="35EC61FB"/>
    <w:multiLevelType w:val="hybridMultilevel"/>
    <w:tmpl w:val="15AAA3CC"/>
    <w:lvl w:ilvl="0" w:tplc="A6A80B54">
      <w:start w:val="1"/>
      <w:numFmt w:val="taiwaneseCountingThousand"/>
      <w:lvlText w:val="（%1）"/>
      <w:lvlJc w:val="left"/>
      <w:pPr>
        <w:ind w:left="864" w:hanging="864"/>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1">
    <w:nsid w:val="36331400"/>
    <w:multiLevelType w:val="hybridMultilevel"/>
    <w:tmpl w:val="0A20ED70"/>
    <w:lvl w:ilvl="0" w:tplc="820C6404">
      <w:start w:val="1"/>
      <w:numFmt w:val="decimal"/>
      <w:lvlText w:val="(%1)"/>
      <w:lvlJc w:val="left"/>
      <w:pPr>
        <w:ind w:left="864" w:hanging="864"/>
      </w:pPr>
      <w:rPr>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2">
    <w:nsid w:val="365E04DE"/>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nsid w:val="36A17C98"/>
    <w:multiLevelType w:val="hybridMultilevel"/>
    <w:tmpl w:val="6CC680B4"/>
    <w:lvl w:ilvl="0" w:tplc="0409000F">
      <w:start w:val="1"/>
      <w:numFmt w:val="decimal"/>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nsid w:val="374E7647"/>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nsid w:val="384A2245"/>
    <w:multiLevelType w:val="hybridMultilevel"/>
    <w:tmpl w:val="A94EC750"/>
    <w:lvl w:ilvl="0" w:tplc="A6A80B54">
      <w:start w:val="1"/>
      <w:numFmt w:val="taiwaneseCountingThousand"/>
      <w:lvlText w:val="（%1）"/>
      <w:lvlJc w:val="left"/>
      <w:pPr>
        <w:ind w:left="864" w:hanging="864"/>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nsid w:val="387F2244"/>
    <w:multiLevelType w:val="hybridMultilevel"/>
    <w:tmpl w:val="5FAA5E40"/>
    <w:lvl w:ilvl="0" w:tplc="7D56BB2E">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97">
    <w:nsid w:val="39855C74"/>
    <w:multiLevelType w:val="hybridMultilevel"/>
    <w:tmpl w:val="8C5AEE60"/>
    <w:lvl w:ilvl="0" w:tplc="7E783CF8">
      <w:start w:val="1"/>
      <w:numFmt w:val="decimal"/>
      <w:lvlText w:val="%1."/>
      <w:lvlJc w:val="left"/>
      <w:pPr>
        <w:ind w:left="785" w:hanging="360"/>
      </w:pPr>
      <w:rPr>
        <w:rFonts w:hint="default"/>
        <w:color w:val="auto"/>
        <w:sz w:val="28"/>
        <w:szCs w:val="28"/>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98">
    <w:nsid w:val="39BB765C"/>
    <w:multiLevelType w:val="hybridMultilevel"/>
    <w:tmpl w:val="4BF0B00A"/>
    <w:lvl w:ilvl="0" w:tplc="C8C60A38">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99">
    <w:nsid w:val="3A021198"/>
    <w:multiLevelType w:val="hybridMultilevel"/>
    <w:tmpl w:val="8C5AEE60"/>
    <w:lvl w:ilvl="0" w:tplc="7E783CF8">
      <w:start w:val="1"/>
      <w:numFmt w:val="decimal"/>
      <w:lvlText w:val="%1."/>
      <w:lvlJc w:val="left"/>
      <w:pPr>
        <w:ind w:left="785" w:hanging="360"/>
      </w:pPr>
      <w:rPr>
        <w:rFonts w:hint="default"/>
        <w:color w:val="auto"/>
        <w:sz w:val="28"/>
        <w:szCs w:val="28"/>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00">
    <w:nsid w:val="3A592260"/>
    <w:multiLevelType w:val="hybridMultilevel"/>
    <w:tmpl w:val="BDC834FA"/>
    <w:lvl w:ilvl="0" w:tplc="7E783CF8">
      <w:start w:val="1"/>
      <w:numFmt w:val="decimal"/>
      <w:lvlText w:val="%1."/>
      <w:lvlJc w:val="left"/>
      <w:pPr>
        <w:ind w:left="785" w:hanging="360"/>
      </w:pPr>
      <w:rPr>
        <w:rFonts w:hint="default"/>
        <w:color w:val="auto"/>
        <w:sz w:val="28"/>
        <w:szCs w:val="28"/>
      </w:rPr>
    </w:lvl>
    <w:lvl w:ilvl="1" w:tplc="A8DC8C30">
      <w:start w:val="1"/>
      <w:numFmt w:val="decimal"/>
      <w:lvlText w:val="(%2)"/>
      <w:lvlJc w:val="left"/>
      <w:pPr>
        <w:ind w:left="1265" w:hanging="360"/>
      </w:pPr>
      <w:rPr>
        <w:rFonts w:hint="default"/>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01">
    <w:nsid w:val="3A894FD3"/>
    <w:multiLevelType w:val="hybridMultilevel"/>
    <w:tmpl w:val="FF365F26"/>
    <w:lvl w:ilvl="0" w:tplc="0409000F">
      <w:start w:val="1"/>
      <w:numFmt w:val="decimal"/>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nsid w:val="3C320367"/>
    <w:multiLevelType w:val="hybridMultilevel"/>
    <w:tmpl w:val="46966534"/>
    <w:lvl w:ilvl="0" w:tplc="FFF87336">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03">
    <w:nsid w:val="3CDF70CD"/>
    <w:multiLevelType w:val="hybridMultilevel"/>
    <w:tmpl w:val="F1DC483E"/>
    <w:lvl w:ilvl="0" w:tplc="FA02A8D8">
      <w:start w:val="1"/>
      <w:numFmt w:val="decimal"/>
      <w:lvlText w:val="%1."/>
      <w:lvlJc w:val="left"/>
      <w:pPr>
        <w:ind w:left="792" w:hanging="360"/>
      </w:pPr>
      <w:rPr>
        <w:rFonts w:hint="default"/>
      </w:rPr>
    </w:lvl>
    <w:lvl w:ilvl="1" w:tplc="04090019" w:tentative="1">
      <w:start w:val="1"/>
      <w:numFmt w:val="ideographTraditional"/>
      <w:lvlText w:val="%2、"/>
      <w:lvlJc w:val="left"/>
      <w:pPr>
        <w:ind w:left="1392" w:hanging="480"/>
      </w:pPr>
    </w:lvl>
    <w:lvl w:ilvl="2" w:tplc="0409001B" w:tentative="1">
      <w:start w:val="1"/>
      <w:numFmt w:val="lowerRoman"/>
      <w:lvlText w:val="%3."/>
      <w:lvlJc w:val="right"/>
      <w:pPr>
        <w:ind w:left="1872" w:hanging="480"/>
      </w:pPr>
    </w:lvl>
    <w:lvl w:ilvl="3" w:tplc="0409000F" w:tentative="1">
      <w:start w:val="1"/>
      <w:numFmt w:val="decimal"/>
      <w:lvlText w:val="%4."/>
      <w:lvlJc w:val="left"/>
      <w:pPr>
        <w:ind w:left="2352" w:hanging="480"/>
      </w:pPr>
    </w:lvl>
    <w:lvl w:ilvl="4" w:tplc="04090019" w:tentative="1">
      <w:start w:val="1"/>
      <w:numFmt w:val="ideographTraditional"/>
      <w:lvlText w:val="%5、"/>
      <w:lvlJc w:val="left"/>
      <w:pPr>
        <w:ind w:left="2832" w:hanging="480"/>
      </w:pPr>
    </w:lvl>
    <w:lvl w:ilvl="5" w:tplc="0409001B" w:tentative="1">
      <w:start w:val="1"/>
      <w:numFmt w:val="lowerRoman"/>
      <w:lvlText w:val="%6."/>
      <w:lvlJc w:val="right"/>
      <w:pPr>
        <w:ind w:left="3312" w:hanging="480"/>
      </w:pPr>
    </w:lvl>
    <w:lvl w:ilvl="6" w:tplc="0409000F" w:tentative="1">
      <w:start w:val="1"/>
      <w:numFmt w:val="decimal"/>
      <w:lvlText w:val="%7."/>
      <w:lvlJc w:val="left"/>
      <w:pPr>
        <w:ind w:left="3792" w:hanging="480"/>
      </w:pPr>
    </w:lvl>
    <w:lvl w:ilvl="7" w:tplc="04090019" w:tentative="1">
      <w:start w:val="1"/>
      <w:numFmt w:val="ideographTraditional"/>
      <w:lvlText w:val="%8、"/>
      <w:lvlJc w:val="left"/>
      <w:pPr>
        <w:ind w:left="4272" w:hanging="480"/>
      </w:pPr>
    </w:lvl>
    <w:lvl w:ilvl="8" w:tplc="0409001B" w:tentative="1">
      <w:start w:val="1"/>
      <w:numFmt w:val="lowerRoman"/>
      <w:lvlText w:val="%9."/>
      <w:lvlJc w:val="right"/>
      <w:pPr>
        <w:ind w:left="4752" w:hanging="480"/>
      </w:pPr>
    </w:lvl>
  </w:abstractNum>
  <w:abstractNum w:abstractNumId="104">
    <w:nsid w:val="3D7C7DDE"/>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nsid w:val="3E67245D"/>
    <w:multiLevelType w:val="hybridMultilevel"/>
    <w:tmpl w:val="15AAA3CC"/>
    <w:lvl w:ilvl="0" w:tplc="A6A80B54">
      <w:start w:val="1"/>
      <w:numFmt w:val="taiwaneseCountingThousand"/>
      <w:lvlText w:val="（%1）"/>
      <w:lvlJc w:val="left"/>
      <w:pPr>
        <w:ind w:left="864" w:hanging="864"/>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6">
    <w:nsid w:val="3EED39DA"/>
    <w:multiLevelType w:val="hybridMultilevel"/>
    <w:tmpl w:val="4BE88942"/>
    <w:lvl w:ilvl="0" w:tplc="0409000F">
      <w:start w:val="1"/>
      <w:numFmt w:val="decimal"/>
      <w:lvlText w:val="%1."/>
      <w:lvlJc w:val="left"/>
      <w:pPr>
        <w:ind w:left="1374" w:hanging="480"/>
      </w:pPr>
    </w:lvl>
    <w:lvl w:ilvl="1" w:tplc="04090019" w:tentative="1">
      <w:start w:val="1"/>
      <w:numFmt w:val="ideographTraditional"/>
      <w:lvlText w:val="%2、"/>
      <w:lvlJc w:val="left"/>
      <w:pPr>
        <w:ind w:left="1854" w:hanging="480"/>
      </w:pPr>
    </w:lvl>
    <w:lvl w:ilvl="2" w:tplc="A0488466">
      <w:start w:val="1"/>
      <w:numFmt w:val="decimal"/>
      <w:lvlText w:val="%3."/>
      <w:lvlJc w:val="left"/>
      <w:pPr>
        <w:ind w:left="2334" w:hanging="480"/>
      </w:pPr>
      <w:rPr>
        <w:rFonts w:hint="default"/>
      </w:rPr>
    </w:lvl>
    <w:lvl w:ilvl="3" w:tplc="0409000F" w:tentative="1">
      <w:start w:val="1"/>
      <w:numFmt w:val="decimal"/>
      <w:lvlText w:val="%4."/>
      <w:lvlJc w:val="left"/>
      <w:pPr>
        <w:ind w:left="2814" w:hanging="480"/>
      </w:pPr>
    </w:lvl>
    <w:lvl w:ilvl="4" w:tplc="04090019" w:tentative="1">
      <w:start w:val="1"/>
      <w:numFmt w:val="ideographTraditional"/>
      <w:lvlText w:val="%5、"/>
      <w:lvlJc w:val="left"/>
      <w:pPr>
        <w:ind w:left="3294" w:hanging="480"/>
      </w:pPr>
    </w:lvl>
    <w:lvl w:ilvl="5" w:tplc="0409001B" w:tentative="1">
      <w:start w:val="1"/>
      <w:numFmt w:val="lowerRoman"/>
      <w:lvlText w:val="%6."/>
      <w:lvlJc w:val="right"/>
      <w:pPr>
        <w:ind w:left="3774" w:hanging="480"/>
      </w:pPr>
    </w:lvl>
    <w:lvl w:ilvl="6" w:tplc="0409000F" w:tentative="1">
      <w:start w:val="1"/>
      <w:numFmt w:val="decimal"/>
      <w:lvlText w:val="%7."/>
      <w:lvlJc w:val="left"/>
      <w:pPr>
        <w:ind w:left="4254" w:hanging="480"/>
      </w:pPr>
    </w:lvl>
    <w:lvl w:ilvl="7" w:tplc="04090019" w:tentative="1">
      <w:start w:val="1"/>
      <w:numFmt w:val="ideographTraditional"/>
      <w:lvlText w:val="%8、"/>
      <w:lvlJc w:val="left"/>
      <w:pPr>
        <w:ind w:left="4734" w:hanging="480"/>
      </w:pPr>
    </w:lvl>
    <w:lvl w:ilvl="8" w:tplc="0409001B" w:tentative="1">
      <w:start w:val="1"/>
      <w:numFmt w:val="lowerRoman"/>
      <w:lvlText w:val="%9."/>
      <w:lvlJc w:val="right"/>
      <w:pPr>
        <w:ind w:left="5214" w:hanging="480"/>
      </w:pPr>
    </w:lvl>
  </w:abstractNum>
  <w:abstractNum w:abstractNumId="107">
    <w:nsid w:val="3F6A057A"/>
    <w:multiLevelType w:val="hybridMultilevel"/>
    <w:tmpl w:val="A1B2B926"/>
    <w:lvl w:ilvl="0" w:tplc="A6A80B54">
      <w:start w:val="1"/>
      <w:numFmt w:val="taiwaneseCountingThousand"/>
      <w:lvlText w:val="（%1）"/>
      <w:lvlJc w:val="left"/>
      <w:pPr>
        <w:ind w:left="864" w:hanging="864"/>
      </w:pPr>
      <w:rPr>
        <w:rFonts w:hint="default"/>
      </w:rPr>
    </w:lvl>
    <w:lvl w:ilvl="1" w:tplc="A0488466">
      <w:start w:val="1"/>
      <w:numFmt w:val="decimal"/>
      <w:lvlText w:val="%2."/>
      <w:lvlJc w:val="left"/>
      <w:pPr>
        <w:ind w:left="840" w:hanging="360"/>
      </w:pPr>
      <w:rPr>
        <w:rFonts w:hint="default"/>
      </w:rPr>
    </w:lvl>
    <w:lvl w:ilvl="2" w:tplc="657CAB88">
      <w:start w:val="1"/>
      <w:numFmt w:val="decimal"/>
      <w:lvlText w:val="（%3）"/>
      <w:lvlJc w:val="left"/>
      <w:pPr>
        <w:ind w:left="1695" w:hanging="73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nsid w:val="420631FB"/>
    <w:multiLevelType w:val="hybridMultilevel"/>
    <w:tmpl w:val="42F06D86"/>
    <w:lvl w:ilvl="0" w:tplc="24E4AAA6">
      <w:start w:val="1"/>
      <w:numFmt w:val="taiwaneseCountingThousand"/>
      <w:lvlText w:val="（%1）"/>
      <w:lvlJc w:val="left"/>
      <w:pPr>
        <w:ind w:left="864" w:hanging="864"/>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9">
    <w:nsid w:val="423123C4"/>
    <w:multiLevelType w:val="hybridMultilevel"/>
    <w:tmpl w:val="5E08DD58"/>
    <w:lvl w:ilvl="0" w:tplc="1722C3AC">
      <w:start w:val="1"/>
      <w:numFmt w:val="decimal"/>
      <w:lvlText w:val="%1."/>
      <w:lvlJc w:val="left"/>
      <w:pPr>
        <w:ind w:left="785" w:hanging="360"/>
      </w:pPr>
      <w:rPr>
        <w:rFonts w:hint="default"/>
        <w:color w:val="auto"/>
      </w:rPr>
    </w:lvl>
    <w:lvl w:ilvl="1" w:tplc="04090019">
      <w:start w:val="1"/>
      <w:numFmt w:val="ideographTraditional"/>
      <w:lvlText w:val="%2、"/>
      <w:lvlJc w:val="left"/>
      <w:pPr>
        <w:ind w:left="1385" w:hanging="480"/>
      </w:pPr>
    </w:lvl>
    <w:lvl w:ilvl="2" w:tplc="0409001B">
      <w:start w:val="1"/>
      <w:numFmt w:val="lowerRoman"/>
      <w:lvlText w:val="%3."/>
      <w:lvlJc w:val="right"/>
      <w:pPr>
        <w:ind w:left="1865" w:hanging="480"/>
      </w:pPr>
    </w:lvl>
    <w:lvl w:ilvl="3" w:tplc="0409000F">
      <w:start w:val="1"/>
      <w:numFmt w:val="decimal"/>
      <w:lvlText w:val="%4."/>
      <w:lvlJc w:val="left"/>
      <w:pPr>
        <w:ind w:left="2345" w:hanging="480"/>
      </w:pPr>
    </w:lvl>
    <w:lvl w:ilvl="4" w:tplc="04090019">
      <w:start w:val="1"/>
      <w:numFmt w:val="ideographTraditional"/>
      <w:lvlText w:val="%5、"/>
      <w:lvlJc w:val="left"/>
      <w:pPr>
        <w:ind w:left="2825" w:hanging="480"/>
      </w:pPr>
    </w:lvl>
    <w:lvl w:ilvl="5" w:tplc="0409001B">
      <w:start w:val="1"/>
      <w:numFmt w:val="lowerRoman"/>
      <w:lvlText w:val="%6."/>
      <w:lvlJc w:val="right"/>
      <w:pPr>
        <w:ind w:left="3305" w:hanging="480"/>
      </w:pPr>
    </w:lvl>
    <w:lvl w:ilvl="6" w:tplc="0409000F">
      <w:start w:val="1"/>
      <w:numFmt w:val="decimal"/>
      <w:lvlText w:val="%7."/>
      <w:lvlJc w:val="left"/>
      <w:pPr>
        <w:ind w:left="3785" w:hanging="480"/>
      </w:pPr>
    </w:lvl>
    <w:lvl w:ilvl="7" w:tplc="04090019">
      <w:start w:val="1"/>
      <w:numFmt w:val="ideographTraditional"/>
      <w:lvlText w:val="%8、"/>
      <w:lvlJc w:val="left"/>
      <w:pPr>
        <w:ind w:left="4265" w:hanging="480"/>
      </w:pPr>
    </w:lvl>
    <w:lvl w:ilvl="8" w:tplc="0409001B">
      <w:start w:val="1"/>
      <w:numFmt w:val="lowerRoman"/>
      <w:lvlText w:val="%9."/>
      <w:lvlJc w:val="right"/>
      <w:pPr>
        <w:ind w:left="4745" w:hanging="480"/>
      </w:pPr>
    </w:lvl>
  </w:abstractNum>
  <w:abstractNum w:abstractNumId="110">
    <w:nsid w:val="42C36FD9"/>
    <w:multiLevelType w:val="hybridMultilevel"/>
    <w:tmpl w:val="6C2EB79C"/>
    <w:lvl w:ilvl="0" w:tplc="A0488466">
      <w:start w:val="1"/>
      <w:numFmt w:val="decimal"/>
      <w:lvlText w:val="%1."/>
      <w:lvlJc w:val="left"/>
      <w:pPr>
        <w:ind w:left="864" w:hanging="864"/>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1">
    <w:nsid w:val="42E63295"/>
    <w:multiLevelType w:val="hybridMultilevel"/>
    <w:tmpl w:val="987C718A"/>
    <w:lvl w:ilvl="0" w:tplc="29D087C2">
      <w:start w:val="4"/>
      <w:numFmt w:val="taiwaneseCountingThousand"/>
      <w:lvlText w:val="（%1）"/>
      <w:lvlJc w:val="left"/>
      <w:pPr>
        <w:ind w:left="864" w:hanging="864"/>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nsid w:val="43636F60"/>
    <w:multiLevelType w:val="hybridMultilevel"/>
    <w:tmpl w:val="B740C26A"/>
    <w:lvl w:ilvl="0" w:tplc="A048846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nsid w:val="43C82324"/>
    <w:multiLevelType w:val="hybridMultilevel"/>
    <w:tmpl w:val="4AE4A568"/>
    <w:lvl w:ilvl="0" w:tplc="3A764310">
      <w:start w:val="1"/>
      <w:numFmt w:val="taiwaneseCountingThousand"/>
      <w:lvlText w:val="（%1）"/>
      <w:lvlJc w:val="left"/>
      <w:pPr>
        <w:ind w:left="864" w:hanging="864"/>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nsid w:val="443D1D3E"/>
    <w:multiLevelType w:val="hybridMultilevel"/>
    <w:tmpl w:val="577812C4"/>
    <w:lvl w:ilvl="0" w:tplc="0409000F">
      <w:start w:val="1"/>
      <w:numFmt w:val="decimal"/>
      <w:lvlText w:val="%1."/>
      <w:lvlJc w:val="left"/>
      <w:pPr>
        <w:ind w:left="1344" w:hanging="480"/>
      </w:pPr>
    </w:lvl>
    <w:lvl w:ilvl="1" w:tplc="04090019">
      <w:start w:val="1"/>
      <w:numFmt w:val="ideographTraditional"/>
      <w:lvlText w:val="%2、"/>
      <w:lvlJc w:val="left"/>
      <w:pPr>
        <w:ind w:left="1824" w:hanging="480"/>
      </w:pPr>
    </w:lvl>
    <w:lvl w:ilvl="2" w:tplc="0409001B">
      <w:start w:val="1"/>
      <w:numFmt w:val="lowerRoman"/>
      <w:lvlText w:val="%3."/>
      <w:lvlJc w:val="right"/>
      <w:pPr>
        <w:ind w:left="2304" w:hanging="480"/>
      </w:pPr>
    </w:lvl>
    <w:lvl w:ilvl="3" w:tplc="0409000F">
      <w:start w:val="1"/>
      <w:numFmt w:val="decimal"/>
      <w:lvlText w:val="%4."/>
      <w:lvlJc w:val="left"/>
      <w:pPr>
        <w:ind w:left="2784" w:hanging="480"/>
      </w:pPr>
    </w:lvl>
    <w:lvl w:ilvl="4" w:tplc="04090019">
      <w:start w:val="1"/>
      <w:numFmt w:val="ideographTraditional"/>
      <w:lvlText w:val="%5、"/>
      <w:lvlJc w:val="left"/>
      <w:pPr>
        <w:ind w:left="3264" w:hanging="480"/>
      </w:pPr>
    </w:lvl>
    <w:lvl w:ilvl="5" w:tplc="0409001B">
      <w:start w:val="1"/>
      <w:numFmt w:val="lowerRoman"/>
      <w:lvlText w:val="%6."/>
      <w:lvlJc w:val="right"/>
      <w:pPr>
        <w:ind w:left="3744" w:hanging="480"/>
      </w:pPr>
    </w:lvl>
    <w:lvl w:ilvl="6" w:tplc="0409000F">
      <w:start w:val="1"/>
      <w:numFmt w:val="decimal"/>
      <w:lvlText w:val="%7."/>
      <w:lvlJc w:val="left"/>
      <w:pPr>
        <w:ind w:left="4224" w:hanging="480"/>
      </w:pPr>
    </w:lvl>
    <w:lvl w:ilvl="7" w:tplc="04090019">
      <w:start w:val="1"/>
      <w:numFmt w:val="ideographTraditional"/>
      <w:lvlText w:val="%8、"/>
      <w:lvlJc w:val="left"/>
      <w:pPr>
        <w:ind w:left="4704" w:hanging="480"/>
      </w:pPr>
    </w:lvl>
    <w:lvl w:ilvl="8" w:tplc="0409001B">
      <w:start w:val="1"/>
      <w:numFmt w:val="lowerRoman"/>
      <w:lvlText w:val="%9."/>
      <w:lvlJc w:val="right"/>
      <w:pPr>
        <w:ind w:left="5184" w:hanging="480"/>
      </w:pPr>
    </w:lvl>
  </w:abstractNum>
  <w:abstractNum w:abstractNumId="115">
    <w:nsid w:val="44936E0E"/>
    <w:multiLevelType w:val="hybridMultilevel"/>
    <w:tmpl w:val="A1B2B926"/>
    <w:lvl w:ilvl="0" w:tplc="A6A80B54">
      <w:start w:val="1"/>
      <w:numFmt w:val="taiwaneseCountingThousand"/>
      <w:lvlText w:val="（%1）"/>
      <w:lvlJc w:val="left"/>
      <w:pPr>
        <w:ind w:left="864" w:hanging="864"/>
      </w:pPr>
      <w:rPr>
        <w:rFonts w:hint="default"/>
      </w:rPr>
    </w:lvl>
    <w:lvl w:ilvl="1" w:tplc="A0488466">
      <w:start w:val="1"/>
      <w:numFmt w:val="decimal"/>
      <w:lvlText w:val="%2."/>
      <w:lvlJc w:val="left"/>
      <w:pPr>
        <w:ind w:left="840" w:hanging="360"/>
      </w:pPr>
      <w:rPr>
        <w:rFonts w:hint="default"/>
      </w:rPr>
    </w:lvl>
    <w:lvl w:ilvl="2" w:tplc="657CAB88">
      <w:start w:val="1"/>
      <w:numFmt w:val="decimal"/>
      <w:lvlText w:val="（%3）"/>
      <w:lvlJc w:val="left"/>
      <w:pPr>
        <w:ind w:left="1695" w:hanging="73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nsid w:val="463D5BA8"/>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nsid w:val="46987FDB"/>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nsid w:val="47BD4E65"/>
    <w:multiLevelType w:val="hybridMultilevel"/>
    <w:tmpl w:val="A94EC750"/>
    <w:lvl w:ilvl="0" w:tplc="A6A80B54">
      <w:start w:val="1"/>
      <w:numFmt w:val="taiwaneseCountingThousand"/>
      <w:lvlText w:val="（%1）"/>
      <w:lvlJc w:val="left"/>
      <w:pPr>
        <w:ind w:left="864" w:hanging="864"/>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nsid w:val="47E0213A"/>
    <w:multiLevelType w:val="hybridMultilevel"/>
    <w:tmpl w:val="8C5AEE60"/>
    <w:lvl w:ilvl="0" w:tplc="7E783CF8">
      <w:start w:val="1"/>
      <w:numFmt w:val="decimal"/>
      <w:lvlText w:val="%1."/>
      <w:lvlJc w:val="left"/>
      <w:pPr>
        <w:ind w:left="785" w:hanging="360"/>
      </w:pPr>
      <w:rPr>
        <w:rFonts w:hint="default"/>
        <w:color w:val="auto"/>
        <w:sz w:val="28"/>
        <w:szCs w:val="28"/>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20">
    <w:nsid w:val="48F8096E"/>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nsid w:val="491E57D0"/>
    <w:multiLevelType w:val="hybridMultilevel"/>
    <w:tmpl w:val="A1B2B926"/>
    <w:lvl w:ilvl="0" w:tplc="A6A80B54">
      <w:start w:val="1"/>
      <w:numFmt w:val="taiwaneseCountingThousand"/>
      <w:lvlText w:val="（%1）"/>
      <w:lvlJc w:val="left"/>
      <w:pPr>
        <w:ind w:left="864" w:hanging="864"/>
      </w:pPr>
      <w:rPr>
        <w:rFonts w:hint="default"/>
      </w:rPr>
    </w:lvl>
    <w:lvl w:ilvl="1" w:tplc="A0488466">
      <w:start w:val="1"/>
      <w:numFmt w:val="decimal"/>
      <w:lvlText w:val="%2."/>
      <w:lvlJc w:val="left"/>
      <w:pPr>
        <w:ind w:left="840" w:hanging="360"/>
      </w:pPr>
      <w:rPr>
        <w:rFonts w:hint="default"/>
      </w:rPr>
    </w:lvl>
    <w:lvl w:ilvl="2" w:tplc="657CAB88">
      <w:start w:val="1"/>
      <w:numFmt w:val="decimal"/>
      <w:lvlText w:val="（%3）"/>
      <w:lvlJc w:val="left"/>
      <w:pPr>
        <w:ind w:left="1695" w:hanging="73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nsid w:val="4BF257DF"/>
    <w:multiLevelType w:val="hybridMultilevel"/>
    <w:tmpl w:val="A1B2B926"/>
    <w:lvl w:ilvl="0" w:tplc="A6A80B54">
      <w:start w:val="1"/>
      <w:numFmt w:val="taiwaneseCountingThousand"/>
      <w:lvlText w:val="（%1）"/>
      <w:lvlJc w:val="left"/>
      <w:pPr>
        <w:ind w:left="864" w:hanging="864"/>
      </w:pPr>
      <w:rPr>
        <w:rFonts w:hint="default"/>
      </w:rPr>
    </w:lvl>
    <w:lvl w:ilvl="1" w:tplc="A0488466">
      <w:start w:val="1"/>
      <w:numFmt w:val="decimal"/>
      <w:lvlText w:val="%2."/>
      <w:lvlJc w:val="left"/>
      <w:pPr>
        <w:ind w:left="840" w:hanging="360"/>
      </w:pPr>
      <w:rPr>
        <w:rFonts w:hint="default"/>
      </w:rPr>
    </w:lvl>
    <w:lvl w:ilvl="2" w:tplc="657CAB88">
      <w:start w:val="1"/>
      <w:numFmt w:val="decimal"/>
      <w:lvlText w:val="（%3）"/>
      <w:lvlJc w:val="left"/>
      <w:pPr>
        <w:ind w:left="1695" w:hanging="73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nsid w:val="4C3D0603"/>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nsid w:val="4EC06FBE"/>
    <w:multiLevelType w:val="hybridMultilevel"/>
    <w:tmpl w:val="15AAA3CC"/>
    <w:lvl w:ilvl="0" w:tplc="A6A80B54">
      <w:start w:val="1"/>
      <w:numFmt w:val="taiwaneseCountingThousand"/>
      <w:lvlText w:val="（%1）"/>
      <w:lvlJc w:val="left"/>
      <w:pPr>
        <w:ind w:left="864" w:hanging="864"/>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5">
    <w:nsid w:val="4EC10DA7"/>
    <w:multiLevelType w:val="hybridMultilevel"/>
    <w:tmpl w:val="C5B8D40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6">
    <w:nsid w:val="4EE4502D"/>
    <w:multiLevelType w:val="hybridMultilevel"/>
    <w:tmpl w:val="B740C26A"/>
    <w:lvl w:ilvl="0" w:tplc="A048846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nsid w:val="4EEE4DC2"/>
    <w:multiLevelType w:val="hybridMultilevel"/>
    <w:tmpl w:val="A94EC750"/>
    <w:lvl w:ilvl="0" w:tplc="A6A80B54">
      <w:start w:val="1"/>
      <w:numFmt w:val="taiwaneseCountingThousand"/>
      <w:lvlText w:val="（%1）"/>
      <w:lvlJc w:val="left"/>
      <w:pPr>
        <w:ind w:left="864" w:hanging="864"/>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nsid w:val="4F6A5769"/>
    <w:multiLevelType w:val="hybridMultilevel"/>
    <w:tmpl w:val="1966BE0A"/>
    <w:lvl w:ilvl="0" w:tplc="820C6404">
      <w:start w:val="1"/>
      <w:numFmt w:val="decimal"/>
      <w:lvlText w:val="(%1)"/>
      <w:lvlJc w:val="left"/>
      <w:pPr>
        <w:ind w:left="1344" w:hanging="480"/>
      </w:pPr>
      <w:rPr>
        <w:color w:val="auto"/>
      </w:rPr>
    </w:lvl>
    <w:lvl w:ilvl="1" w:tplc="04090019">
      <w:start w:val="1"/>
      <w:numFmt w:val="ideographTraditional"/>
      <w:lvlText w:val="%2、"/>
      <w:lvlJc w:val="left"/>
      <w:pPr>
        <w:ind w:left="1824" w:hanging="480"/>
      </w:pPr>
    </w:lvl>
    <w:lvl w:ilvl="2" w:tplc="0409001B">
      <w:start w:val="1"/>
      <w:numFmt w:val="lowerRoman"/>
      <w:lvlText w:val="%3."/>
      <w:lvlJc w:val="right"/>
      <w:pPr>
        <w:ind w:left="2304" w:hanging="480"/>
      </w:pPr>
    </w:lvl>
    <w:lvl w:ilvl="3" w:tplc="0409000F">
      <w:start w:val="1"/>
      <w:numFmt w:val="decimal"/>
      <w:lvlText w:val="%4."/>
      <w:lvlJc w:val="left"/>
      <w:pPr>
        <w:ind w:left="2784" w:hanging="480"/>
      </w:pPr>
    </w:lvl>
    <w:lvl w:ilvl="4" w:tplc="04090019">
      <w:start w:val="1"/>
      <w:numFmt w:val="ideographTraditional"/>
      <w:lvlText w:val="%5、"/>
      <w:lvlJc w:val="left"/>
      <w:pPr>
        <w:ind w:left="3264" w:hanging="480"/>
      </w:pPr>
    </w:lvl>
    <w:lvl w:ilvl="5" w:tplc="0409001B">
      <w:start w:val="1"/>
      <w:numFmt w:val="lowerRoman"/>
      <w:lvlText w:val="%6."/>
      <w:lvlJc w:val="right"/>
      <w:pPr>
        <w:ind w:left="3744" w:hanging="480"/>
      </w:pPr>
    </w:lvl>
    <w:lvl w:ilvl="6" w:tplc="0409000F">
      <w:start w:val="1"/>
      <w:numFmt w:val="decimal"/>
      <w:lvlText w:val="%7."/>
      <w:lvlJc w:val="left"/>
      <w:pPr>
        <w:ind w:left="4224" w:hanging="480"/>
      </w:pPr>
    </w:lvl>
    <w:lvl w:ilvl="7" w:tplc="04090019">
      <w:start w:val="1"/>
      <w:numFmt w:val="ideographTraditional"/>
      <w:lvlText w:val="%8、"/>
      <w:lvlJc w:val="left"/>
      <w:pPr>
        <w:ind w:left="4704" w:hanging="480"/>
      </w:pPr>
    </w:lvl>
    <w:lvl w:ilvl="8" w:tplc="0409001B">
      <w:start w:val="1"/>
      <w:numFmt w:val="lowerRoman"/>
      <w:lvlText w:val="%9."/>
      <w:lvlJc w:val="right"/>
      <w:pPr>
        <w:ind w:left="5184" w:hanging="480"/>
      </w:pPr>
    </w:lvl>
  </w:abstractNum>
  <w:abstractNum w:abstractNumId="129">
    <w:nsid w:val="502A1934"/>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nsid w:val="50E52D58"/>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nsid w:val="515A39BA"/>
    <w:multiLevelType w:val="multilevel"/>
    <w:tmpl w:val="04090023"/>
    <w:styleLink w:val="ArticleSection"/>
    <w:lvl w:ilvl="0">
      <w:start w:val="1"/>
      <w:numFmt w:val="ideographTraditional"/>
      <w:suff w:val="nothing"/>
      <w:lvlText w:val="%1、"/>
      <w:lvlJc w:val="left"/>
      <w:pPr>
        <w:tabs>
          <w:tab w:val="num" w:pos="425"/>
        </w:tabs>
        <w:ind w:left="425" w:hanging="425"/>
      </w:pPr>
      <w:rPr>
        <w:rFonts w:cs="Times New Roman"/>
      </w:rPr>
    </w:lvl>
    <w:lvl w:ilvl="1">
      <w:start w:val="1"/>
      <w:numFmt w:val="ideographZodiac"/>
      <w:suff w:val="nothing"/>
      <w:lvlText w:val="%2、"/>
      <w:lvlJc w:val="left"/>
      <w:pPr>
        <w:tabs>
          <w:tab w:val="num" w:pos="992"/>
        </w:tabs>
        <w:ind w:left="992" w:hanging="567"/>
      </w:pPr>
      <w:rPr>
        <w:rFonts w:cs="Times New Roman"/>
      </w:rPr>
    </w:lvl>
    <w:lvl w:ilvl="2">
      <w:start w:val="1"/>
      <w:numFmt w:val="ideographLegalTraditional"/>
      <w:suff w:val="nothing"/>
      <w:lvlText w:val="%3、"/>
      <w:lvlJc w:val="left"/>
      <w:pPr>
        <w:tabs>
          <w:tab w:val="num" w:pos="1418"/>
        </w:tabs>
        <w:ind w:left="1418" w:hanging="567"/>
      </w:pPr>
      <w:rPr>
        <w:rFonts w:cs="Times New Roman"/>
      </w:rPr>
    </w:lvl>
    <w:lvl w:ilvl="3">
      <w:start w:val="1"/>
      <w:numFmt w:val="taiwaneseCountingThousand"/>
      <w:suff w:val="nothing"/>
      <w:lvlText w:val="%4、"/>
      <w:lvlJc w:val="left"/>
      <w:pPr>
        <w:tabs>
          <w:tab w:val="num" w:pos="1984"/>
        </w:tabs>
        <w:ind w:left="1984" w:hanging="708"/>
      </w:pPr>
      <w:rPr>
        <w:rFonts w:cs="Times New Roman"/>
      </w:rPr>
    </w:lvl>
    <w:lvl w:ilvl="4">
      <w:start w:val="1"/>
      <w:numFmt w:val="decimal"/>
      <w:lvlText w:val="%5."/>
      <w:lvlJc w:val="left"/>
      <w:pPr>
        <w:tabs>
          <w:tab w:val="num" w:pos="2551"/>
        </w:tabs>
        <w:ind w:left="2551" w:hanging="850"/>
      </w:pPr>
      <w:rPr>
        <w:rFonts w:cs="Times New Roman"/>
      </w:rPr>
    </w:lvl>
    <w:lvl w:ilvl="5">
      <w:start w:val="1"/>
      <w:numFmt w:val="decimal"/>
      <w:lvlText w:val="%6)"/>
      <w:lvlJc w:val="left"/>
      <w:pPr>
        <w:tabs>
          <w:tab w:val="num" w:pos="3260"/>
        </w:tabs>
        <w:ind w:left="3260" w:hanging="1134"/>
      </w:pPr>
      <w:rPr>
        <w:rFonts w:cs="Times New Roman"/>
      </w:rPr>
    </w:lvl>
    <w:lvl w:ilvl="6">
      <w:start w:val="1"/>
      <w:numFmt w:val="decimal"/>
      <w:lvlText w:val="(%7)"/>
      <w:lvlJc w:val="left"/>
      <w:pPr>
        <w:tabs>
          <w:tab w:val="num" w:pos="3827"/>
        </w:tabs>
        <w:ind w:left="3827" w:hanging="1276"/>
      </w:pPr>
      <w:rPr>
        <w:rFonts w:cs="Times New Roman"/>
      </w:rPr>
    </w:lvl>
    <w:lvl w:ilvl="7">
      <w:start w:val="1"/>
      <w:numFmt w:val="lowerLetter"/>
      <w:lvlText w:val="%8."/>
      <w:lvlJc w:val="left"/>
      <w:pPr>
        <w:tabs>
          <w:tab w:val="num" w:pos="4394"/>
        </w:tabs>
        <w:ind w:left="4394" w:hanging="1418"/>
      </w:pPr>
      <w:rPr>
        <w:rFonts w:cs="Times New Roman"/>
      </w:rPr>
    </w:lvl>
    <w:lvl w:ilvl="8">
      <w:start w:val="1"/>
      <w:numFmt w:val="lowerLetter"/>
      <w:lvlText w:val="%9)"/>
      <w:lvlJc w:val="left"/>
      <w:pPr>
        <w:tabs>
          <w:tab w:val="num" w:pos="5102"/>
        </w:tabs>
        <w:ind w:left="5102" w:hanging="1700"/>
      </w:pPr>
      <w:rPr>
        <w:rFonts w:cs="Times New Roman"/>
      </w:rPr>
    </w:lvl>
  </w:abstractNum>
  <w:abstractNum w:abstractNumId="132">
    <w:nsid w:val="524F79B7"/>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nsid w:val="53110C3E"/>
    <w:multiLevelType w:val="hybridMultilevel"/>
    <w:tmpl w:val="18CE0278"/>
    <w:lvl w:ilvl="0" w:tplc="95B6F4CE">
      <w:start w:val="1"/>
      <w:numFmt w:val="decimal"/>
      <w:lvlText w:val="(%1)"/>
      <w:lvlJc w:val="left"/>
      <w:pPr>
        <w:ind w:left="1145" w:hanging="360"/>
      </w:pPr>
      <w:rPr>
        <w:rFonts w:hint="default"/>
        <w:color w:val="auto"/>
      </w:rPr>
    </w:lvl>
    <w:lvl w:ilvl="1" w:tplc="04090019" w:tentative="1">
      <w:start w:val="1"/>
      <w:numFmt w:val="ideographTraditional"/>
      <w:lvlText w:val="%2、"/>
      <w:lvlJc w:val="left"/>
      <w:pPr>
        <w:ind w:left="1745" w:hanging="480"/>
      </w:pPr>
    </w:lvl>
    <w:lvl w:ilvl="2" w:tplc="0409001B" w:tentative="1">
      <w:start w:val="1"/>
      <w:numFmt w:val="lowerRoman"/>
      <w:lvlText w:val="%3."/>
      <w:lvlJc w:val="right"/>
      <w:pPr>
        <w:ind w:left="2225" w:hanging="480"/>
      </w:pPr>
    </w:lvl>
    <w:lvl w:ilvl="3" w:tplc="0409000F" w:tentative="1">
      <w:start w:val="1"/>
      <w:numFmt w:val="decimal"/>
      <w:lvlText w:val="%4."/>
      <w:lvlJc w:val="left"/>
      <w:pPr>
        <w:ind w:left="2705" w:hanging="480"/>
      </w:pPr>
    </w:lvl>
    <w:lvl w:ilvl="4" w:tplc="04090019" w:tentative="1">
      <w:start w:val="1"/>
      <w:numFmt w:val="ideographTraditional"/>
      <w:lvlText w:val="%5、"/>
      <w:lvlJc w:val="left"/>
      <w:pPr>
        <w:ind w:left="3185" w:hanging="480"/>
      </w:pPr>
    </w:lvl>
    <w:lvl w:ilvl="5" w:tplc="0409001B" w:tentative="1">
      <w:start w:val="1"/>
      <w:numFmt w:val="lowerRoman"/>
      <w:lvlText w:val="%6."/>
      <w:lvlJc w:val="right"/>
      <w:pPr>
        <w:ind w:left="3665" w:hanging="480"/>
      </w:pPr>
    </w:lvl>
    <w:lvl w:ilvl="6" w:tplc="0409000F" w:tentative="1">
      <w:start w:val="1"/>
      <w:numFmt w:val="decimal"/>
      <w:lvlText w:val="%7."/>
      <w:lvlJc w:val="left"/>
      <w:pPr>
        <w:ind w:left="4145" w:hanging="480"/>
      </w:pPr>
    </w:lvl>
    <w:lvl w:ilvl="7" w:tplc="04090019" w:tentative="1">
      <w:start w:val="1"/>
      <w:numFmt w:val="ideographTraditional"/>
      <w:lvlText w:val="%8、"/>
      <w:lvlJc w:val="left"/>
      <w:pPr>
        <w:ind w:left="4625" w:hanging="480"/>
      </w:pPr>
    </w:lvl>
    <w:lvl w:ilvl="8" w:tplc="0409001B" w:tentative="1">
      <w:start w:val="1"/>
      <w:numFmt w:val="lowerRoman"/>
      <w:lvlText w:val="%9."/>
      <w:lvlJc w:val="right"/>
      <w:pPr>
        <w:ind w:left="5105" w:hanging="480"/>
      </w:pPr>
    </w:lvl>
  </w:abstractNum>
  <w:abstractNum w:abstractNumId="134">
    <w:nsid w:val="53C623F6"/>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5">
    <w:nsid w:val="547B2D2E"/>
    <w:multiLevelType w:val="hybridMultilevel"/>
    <w:tmpl w:val="9F5E565E"/>
    <w:lvl w:ilvl="0" w:tplc="2D3CC010">
      <w:start w:val="1"/>
      <w:numFmt w:val="decimal"/>
      <w:lvlText w:val="%1."/>
      <w:lvlJc w:val="left"/>
      <w:pPr>
        <w:ind w:left="921" w:hanging="360"/>
      </w:pPr>
      <w:rPr>
        <w:rFonts w:hint="default"/>
      </w:rPr>
    </w:lvl>
    <w:lvl w:ilvl="1" w:tplc="04090019" w:tentative="1">
      <w:start w:val="1"/>
      <w:numFmt w:val="ideographTraditional"/>
      <w:lvlText w:val="%2、"/>
      <w:lvlJc w:val="left"/>
      <w:pPr>
        <w:ind w:left="1521" w:hanging="480"/>
      </w:pPr>
    </w:lvl>
    <w:lvl w:ilvl="2" w:tplc="0409001B" w:tentative="1">
      <w:start w:val="1"/>
      <w:numFmt w:val="lowerRoman"/>
      <w:lvlText w:val="%3."/>
      <w:lvlJc w:val="right"/>
      <w:pPr>
        <w:ind w:left="2001" w:hanging="480"/>
      </w:pPr>
    </w:lvl>
    <w:lvl w:ilvl="3" w:tplc="0409000F" w:tentative="1">
      <w:start w:val="1"/>
      <w:numFmt w:val="decimal"/>
      <w:lvlText w:val="%4."/>
      <w:lvlJc w:val="left"/>
      <w:pPr>
        <w:ind w:left="2481" w:hanging="480"/>
      </w:pPr>
    </w:lvl>
    <w:lvl w:ilvl="4" w:tplc="04090019" w:tentative="1">
      <w:start w:val="1"/>
      <w:numFmt w:val="ideographTraditional"/>
      <w:lvlText w:val="%5、"/>
      <w:lvlJc w:val="left"/>
      <w:pPr>
        <w:ind w:left="2961" w:hanging="480"/>
      </w:pPr>
    </w:lvl>
    <w:lvl w:ilvl="5" w:tplc="0409001B" w:tentative="1">
      <w:start w:val="1"/>
      <w:numFmt w:val="lowerRoman"/>
      <w:lvlText w:val="%6."/>
      <w:lvlJc w:val="right"/>
      <w:pPr>
        <w:ind w:left="3441" w:hanging="480"/>
      </w:pPr>
    </w:lvl>
    <w:lvl w:ilvl="6" w:tplc="0409000F" w:tentative="1">
      <w:start w:val="1"/>
      <w:numFmt w:val="decimal"/>
      <w:lvlText w:val="%7."/>
      <w:lvlJc w:val="left"/>
      <w:pPr>
        <w:ind w:left="3921" w:hanging="480"/>
      </w:pPr>
    </w:lvl>
    <w:lvl w:ilvl="7" w:tplc="04090019" w:tentative="1">
      <w:start w:val="1"/>
      <w:numFmt w:val="ideographTraditional"/>
      <w:lvlText w:val="%8、"/>
      <w:lvlJc w:val="left"/>
      <w:pPr>
        <w:ind w:left="4401" w:hanging="480"/>
      </w:pPr>
    </w:lvl>
    <w:lvl w:ilvl="8" w:tplc="0409001B" w:tentative="1">
      <w:start w:val="1"/>
      <w:numFmt w:val="lowerRoman"/>
      <w:lvlText w:val="%9."/>
      <w:lvlJc w:val="right"/>
      <w:pPr>
        <w:ind w:left="4881" w:hanging="480"/>
      </w:pPr>
    </w:lvl>
  </w:abstractNum>
  <w:abstractNum w:abstractNumId="136">
    <w:nsid w:val="55490A24"/>
    <w:multiLevelType w:val="hybridMultilevel"/>
    <w:tmpl w:val="8C5AEE60"/>
    <w:lvl w:ilvl="0" w:tplc="7E783CF8">
      <w:start w:val="1"/>
      <w:numFmt w:val="decimal"/>
      <w:lvlText w:val="%1."/>
      <w:lvlJc w:val="left"/>
      <w:pPr>
        <w:ind w:left="785" w:hanging="360"/>
      </w:pPr>
      <w:rPr>
        <w:rFonts w:hint="default"/>
        <w:color w:val="auto"/>
        <w:sz w:val="28"/>
        <w:szCs w:val="28"/>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37">
    <w:nsid w:val="55561F0D"/>
    <w:multiLevelType w:val="hybridMultilevel"/>
    <w:tmpl w:val="2BA0264A"/>
    <w:lvl w:ilvl="0" w:tplc="3E1E6F4C">
      <w:start w:val="1"/>
      <w:numFmt w:val="decimal"/>
      <w:lvlText w:val="%1."/>
      <w:lvlJc w:val="left"/>
      <w:pPr>
        <w:ind w:left="792" w:hanging="360"/>
      </w:pPr>
      <w:rPr>
        <w:rFonts w:hint="default"/>
      </w:rPr>
    </w:lvl>
    <w:lvl w:ilvl="1" w:tplc="04090019" w:tentative="1">
      <w:start w:val="1"/>
      <w:numFmt w:val="ideographTraditional"/>
      <w:lvlText w:val="%2、"/>
      <w:lvlJc w:val="left"/>
      <w:pPr>
        <w:ind w:left="1392" w:hanging="480"/>
      </w:pPr>
    </w:lvl>
    <w:lvl w:ilvl="2" w:tplc="0409001B" w:tentative="1">
      <w:start w:val="1"/>
      <w:numFmt w:val="lowerRoman"/>
      <w:lvlText w:val="%3."/>
      <w:lvlJc w:val="right"/>
      <w:pPr>
        <w:ind w:left="1872" w:hanging="480"/>
      </w:pPr>
    </w:lvl>
    <w:lvl w:ilvl="3" w:tplc="0409000F" w:tentative="1">
      <w:start w:val="1"/>
      <w:numFmt w:val="decimal"/>
      <w:lvlText w:val="%4."/>
      <w:lvlJc w:val="left"/>
      <w:pPr>
        <w:ind w:left="2352" w:hanging="480"/>
      </w:pPr>
    </w:lvl>
    <w:lvl w:ilvl="4" w:tplc="04090019" w:tentative="1">
      <w:start w:val="1"/>
      <w:numFmt w:val="ideographTraditional"/>
      <w:lvlText w:val="%5、"/>
      <w:lvlJc w:val="left"/>
      <w:pPr>
        <w:ind w:left="2832" w:hanging="480"/>
      </w:pPr>
    </w:lvl>
    <w:lvl w:ilvl="5" w:tplc="0409001B" w:tentative="1">
      <w:start w:val="1"/>
      <w:numFmt w:val="lowerRoman"/>
      <w:lvlText w:val="%6."/>
      <w:lvlJc w:val="right"/>
      <w:pPr>
        <w:ind w:left="3312" w:hanging="480"/>
      </w:pPr>
    </w:lvl>
    <w:lvl w:ilvl="6" w:tplc="0409000F" w:tentative="1">
      <w:start w:val="1"/>
      <w:numFmt w:val="decimal"/>
      <w:lvlText w:val="%7."/>
      <w:lvlJc w:val="left"/>
      <w:pPr>
        <w:ind w:left="3792" w:hanging="480"/>
      </w:pPr>
    </w:lvl>
    <w:lvl w:ilvl="7" w:tplc="04090019" w:tentative="1">
      <w:start w:val="1"/>
      <w:numFmt w:val="ideographTraditional"/>
      <w:lvlText w:val="%8、"/>
      <w:lvlJc w:val="left"/>
      <w:pPr>
        <w:ind w:left="4272" w:hanging="480"/>
      </w:pPr>
    </w:lvl>
    <w:lvl w:ilvl="8" w:tplc="0409001B" w:tentative="1">
      <w:start w:val="1"/>
      <w:numFmt w:val="lowerRoman"/>
      <w:lvlText w:val="%9."/>
      <w:lvlJc w:val="right"/>
      <w:pPr>
        <w:ind w:left="4752" w:hanging="480"/>
      </w:pPr>
    </w:lvl>
  </w:abstractNum>
  <w:abstractNum w:abstractNumId="138">
    <w:nsid w:val="557F3D5D"/>
    <w:multiLevelType w:val="hybridMultilevel"/>
    <w:tmpl w:val="4AE4A568"/>
    <w:lvl w:ilvl="0" w:tplc="3A764310">
      <w:start w:val="1"/>
      <w:numFmt w:val="taiwaneseCountingThousand"/>
      <w:lvlText w:val="（%1）"/>
      <w:lvlJc w:val="left"/>
      <w:pPr>
        <w:ind w:left="864" w:hanging="864"/>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9">
    <w:nsid w:val="561A606B"/>
    <w:multiLevelType w:val="hybridMultilevel"/>
    <w:tmpl w:val="73EA6380"/>
    <w:lvl w:ilvl="0" w:tplc="A6A80B54">
      <w:start w:val="1"/>
      <w:numFmt w:val="taiwaneseCountingThousand"/>
      <w:lvlText w:val="（%1）"/>
      <w:lvlJc w:val="left"/>
      <w:pPr>
        <w:ind w:left="864" w:hanging="864"/>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0">
    <w:nsid w:val="56DC7EAF"/>
    <w:multiLevelType w:val="hybridMultilevel"/>
    <w:tmpl w:val="B740C26A"/>
    <w:lvl w:ilvl="0" w:tplc="A048846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1">
    <w:nsid w:val="56EB365C"/>
    <w:multiLevelType w:val="hybridMultilevel"/>
    <w:tmpl w:val="15AAA3CC"/>
    <w:lvl w:ilvl="0" w:tplc="A6A80B54">
      <w:start w:val="1"/>
      <w:numFmt w:val="taiwaneseCountingThousand"/>
      <w:lvlText w:val="（%1）"/>
      <w:lvlJc w:val="left"/>
      <w:pPr>
        <w:ind w:left="864" w:hanging="864"/>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2">
    <w:nsid w:val="578675EE"/>
    <w:multiLevelType w:val="hybridMultilevel"/>
    <w:tmpl w:val="93A22BD0"/>
    <w:lvl w:ilvl="0" w:tplc="D7A20712">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43">
    <w:nsid w:val="57AB7DD5"/>
    <w:multiLevelType w:val="hybridMultilevel"/>
    <w:tmpl w:val="6C849B8A"/>
    <w:lvl w:ilvl="0" w:tplc="A048846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4">
    <w:nsid w:val="57CB6010"/>
    <w:multiLevelType w:val="hybridMultilevel"/>
    <w:tmpl w:val="26DAC060"/>
    <w:lvl w:ilvl="0" w:tplc="04090001">
      <w:start w:val="1"/>
      <w:numFmt w:val="bullet"/>
      <w:lvlText w:val=""/>
      <w:lvlJc w:val="left"/>
      <w:pPr>
        <w:tabs>
          <w:tab w:val="num" w:pos="1660"/>
        </w:tabs>
        <w:ind w:left="1660" w:hanging="480"/>
      </w:pPr>
      <w:rPr>
        <w:rFonts w:ascii="Wingdings" w:hAnsi="Wingdings" w:hint="default"/>
      </w:rPr>
    </w:lvl>
    <w:lvl w:ilvl="1" w:tplc="04090003">
      <w:start w:val="1"/>
      <w:numFmt w:val="bullet"/>
      <w:lvlText w:val=""/>
      <w:lvlJc w:val="left"/>
      <w:pPr>
        <w:tabs>
          <w:tab w:val="num" w:pos="2140"/>
        </w:tabs>
        <w:ind w:left="2140" w:hanging="480"/>
      </w:pPr>
      <w:rPr>
        <w:rFonts w:ascii="Wingdings" w:hAnsi="Wingdings" w:hint="default"/>
      </w:rPr>
    </w:lvl>
    <w:lvl w:ilvl="2" w:tplc="04090005">
      <w:start w:val="1"/>
      <w:numFmt w:val="bullet"/>
      <w:lvlText w:val=""/>
      <w:lvlJc w:val="left"/>
      <w:pPr>
        <w:tabs>
          <w:tab w:val="num" w:pos="2620"/>
        </w:tabs>
        <w:ind w:left="2620" w:hanging="480"/>
      </w:pPr>
      <w:rPr>
        <w:rFonts w:ascii="Wingdings" w:hAnsi="Wingdings" w:hint="default"/>
      </w:rPr>
    </w:lvl>
    <w:lvl w:ilvl="3" w:tplc="04090001">
      <w:start w:val="1"/>
      <w:numFmt w:val="bullet"/>
      <w:lvlText w:val=""/>
      <w:lvlJc w:val="left"/>
      <w:pPr>
        <w:tabs>
          <w:tab w:val="num" w:pos="3100"/>
        </w:tabs>
        <w:ind w:left="3100" w:hanging="480"/>
      </w:pPr>
      <w:rPr>
        <w:rFonts w:ascii="Wingdings" w:hAnsi="Wingdings" w:hint="default"/>
      </w:rPr>
    </w:lvl>
    <w:lvl w:ilvl="4" w:tplc="04090003">
      <w:start w:val="1"/>
      <w:numFmt w:val="bullet"/>
      <w:lvlText w:val=""/>
      <w:lvlJc w:val="left"/>
      <w:pPr>
        <w:tabs>
          <w:tab w:val="num" w:pos="3580"/>
        </w:tabs>
        <w:ind w:left="3580" w:hanging="480"/>
      </w:pPr>
      <w:rPr>
        <w:rFonts w:ascii="Wingdings" w:hAnsi="Wingdings" w:hint="default"/>
      </w:rPr>
    </w:lvl>
    <w:lvl w:ilvl="5" w:tplc="04090005">
      <w:start w:val="1"/>
      <w:numFmt w:val="bullet"/>
      <w:lvlText w:val=""/>
      <w:lvlJc w:val="left"/>
      <w:pPr>
        <w:tabs>
          <w:tab w:val="num" w:pos="4060"/>
        </w:tabs>
        <w:ind w:left="4060" w:hanging="480"/>
      </w:pPr>
      <w:rPr>
        <w:rFonts w:ascii="Wingdings" w:hAnsi="Wingdings" w:hint="default"/>
      </w:rPr>
    </w:lvl>
    <w:lvl w:ilvl="6" w:tplc="04090001">
      <w:start w:val="1"/>
      <w:numFmt w:val="bullet"/>
      <w:lvlText w:val=""/>
      <w:lvlJc w:val="left"/>
      <w:pPr>
        <w:tabs>
          <w:tab w:val="num" w:pos="4540"/>
        </w:tabs>
        <w:ind w:left="4540" w:hanging="480"/>
      </w:pPr>
      <w:rPr>
        <w:rFonts w:ascii="Wingdings" w:hAnsi="Wingdings" w:hint="default"/>
      </w:rPr>
    </w:lvl>
    <w:lvl w:ilvl="7" w:tplc="04090003">
      <w:start w:val="1"/>
      <w:numFmt w:val="bullet"/>
      <w:lvlText w:val=""/>
      <w:lvlJc w:val="left"/>
      <w:pPr>
        <w:tabs>
          <w:tab w:val="num" w:pos="5020"/>
        </w:tabs>
        <w:ind w:left="5020" w:hanging="480"/>
      </w:pPr>
      <w:rPr>
        <w:rFonts w:ascii="Wingdings" w:hAnsi="Wingdings" w:hint="default"/>
      </w:rPr>
    </w:lvl>
    <w:lvl w:ilvl="8" w:tplc="04090005">
      <w:start w:val="1"/>
      <w:numFmt w:val="bullet"/>
      <w:lvlText w:val=""/>
      <w:lvlJc w:val="left"/>
      <w:pPr>
        <w:tabs>
          <w:tab w:val="num" w:pos="5500"/>
        </w:tabs>
        <w:ind w:left="5500" w:hanging="480"/>
      </w:pPr>
      <w:rPr>
        <w:rFonts w:ascii="Wingdings" w:hAnsi="Wingdings" w:hint="default"/>
      </w:rPr>
    </w:lvl>
  </w:abstractNum>
  <w:abstractNum w:abstractNumId="145">
    <w:nsid w:val="580F741E"/>
    <w:multiLevelType w:val="hybridMultilevel"/>
    <w:tmpl w:val="C0A6439C"/>
    <w:lvl w:ilvl="0" w:tplc="0409000F">
      <w:start w:val="1"/>
      <w:numFmt w:val="decimal"/>
      <w:lvlText w:val="%1."/>
      <w:lvlJc w:val="left"/>
      <w:pPr>
        <w:ind w:left="1344" w:hanging="480"/>
      </w:pPr>
    </w:lvl>
    <w:lvl w:ilvl="1" w:tplc="04090019" w:tentative="1">
      <w:start w:val="1"/>
      <w:numFmt w:val="ideographTraditional"/>
      <w:lvlText w:val="%2、"/>
      <w:lvlJc w:val="left"/>
      <w:pPr>
        <w:ind w:left="1824" w:hanging="480"/>
      </w:pPr>
    </w:lvl>
    <w:lvl w:ilvl="2" w:tplc="0409001B" w:tentative="1">
      <w:start w:val="1"/>
      <w:numFmt w:val="lowerRoman"/>
      <w:lvlText w:val="%3."/>
      <w:lvlJc w:val="right"/>
      <w:pPr>
        <w:ind w:left="2304" w:hanging="480"/>
      </w:pPr>
    </w:lvl>
    <w:lvl w:ilvl="3" w:tplc="0409000F" w:tentative="1">
      <w:start w:val="1"/>
      <w:numFmt w:val="decimal"/>
      <w:lvlText w:val="%4."/>
      <w:lvlJc w:val="left"/>
      <w:pPr>
        <w:ind w:left="2784" w:hanging="480"/>
      </w:pPr>
    </w:lvl>
    <w:lvl w:ilvl="4" w:tplc="04090019" w:tentative="1">
      <w:start w:val="1"/>
      <w:numFmt w:val="ideographTraditional"/>
      <w:lvlText w:val="%5、"/>
      <w:lvlJc w:val="left"/>
      <w:pPr>
        <w:ind w:left="3264" w:hanging="480"/>
      </w:pPr>
    </w:lvl>
    <w:lvl w:ilvl="5" w:tplc="0409001B" w:tentative="1">
      <w:start w:val="1"/>
      <w:numFmt w:val="lowerRoman"/>
      <w:lvlText w:val="%6."/>
      <w:lvlJc w:val="right"/>
      <w:pPr>
        <w:ind w:left="3744" w:hanging="480"/>
      </w:pPr>
    </w:lvl>
    <w:lvl w:ilvl="6" w:tplc="0409000F" w:tentative="1">
      <w:start w:val="1"/>
      <w:numFmt w:val="decimal"/>
      <w:lvlText w:val="%7."/>
      <w:lvlJc w:val="left"/>
      <w:pPr>
        <w:ind w:left="4224" w:hanging="480"/>
      </w:pPr>
    </w:lvl>
    <w:lvl w:ilvl="7" w:tplc="04090019" w:tentative="1">
      <w:start w:val="1"/>
      <w:numFmt w:val="ideographTraditional"/>
      <w:lvlText w:val="%8、"/>
      <w:lvlJc w:val="left"/>
      <w:pPr>
        <w:ind w:left="4704" w:hanging="480"/>
      </w:pPr>
    </w:lvl>
    <w:lvl w:ilvl="8" w:tplc="0409001B" w:tentative="1">
      <w:start w:val="1"/>
      <w:numFmt w:val="lowerRoman"/>
      <w:lvlText w:val="%9."/>
      <w:lvlJc w:val="right"/>
      <w:pPr>
        <w:ind w:left="5184" w:hanging="480"/>
      </w:pPr>
    </w:lvl>
  </w:abstractNum>
  <w:abstractNum w:abstractNumId="146">
    <w:nsid w:val="58E9238A"/>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7">
    <w:nsid w:val="59D86DE9"/>
    <w:multiLevelType w:val="hybridMultilevel"/>
    <w:tmpl w:val="FF365F26"/>
    <w:lvl w:ilvl="0" w:tplc="0409000F">
      <w:start w:val="1"/>
      <w:numFmt w:val="decimal"/>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nsid w:val="5BC54E50"/>
    <w:multiLevelType w:val="hybridMultilevel"/>
    <w:tmpl w:val="42F06D86"/>
    <w:lvl w:ilvl="0" w:tplc="24E4AAA6">
      <w:start w:val="1"/>
      <w:numFmt w:val="taiwaneseCountingThousand"/>
      <w:lvlText w:val="（%1）"/>
      <w:lvlJc w:val="left"/>
      <w:pPr>
        <w:ind w:left="864" w:hanging="864"/>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9">
    <w:nsid w:val="5C7F2DDF"/>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0">
    <w:nsid w:val="5D3C0C61"/>
    <w:multiLevelType w:val="hybridMultilevel"/>
    <w:tmpl w:val="2CFAE99E"/>
    <w:lvl w:ilvl="0" w:tplc="8DD25062">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51">
    <w:nsid w:val="5E0D7024"/>
    <w:multiLevelType w:val="hybridMultilevel"/>
    <w:tmpl w:val="15AAA3CC"/>
    <w:lvl w:ilvl="0" w:tplc="A6A80B54">
      <w:start w:val="1"/>
      <w:numFmt w:val="taiwaneseCountingThousand"/>
      <w:lvlText w:val="（%1）"/>
      <w:lvlJc w:val="left"/>
      <w:pPr>
        <w:ind w:left="864" w:hanging="864"/>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2">
    <w:nsid w:val="5E5E0D48"/>
    <w:multiLevelType w:val="hybridMultilevel"/>
    <w:tmpl w:val="4AE4A568"/>
    <w:lvl w:ilvl="0" w:tplc="3A764310">
      <w:start w:val="1"/>
      <w:numFmt w:val="taiwaneseCountingThousand"/>
      <w:lvlText w:val="（%1）"/>
      <w:lvlJc w:val="left"/>
      <w:pPr>
        <w:ind w:left="864" w:hanging="864"/>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3">
    <w:nsid w:val="5ECF6B33"/>
    <w:multiLevelType w:val="multilevel"/>
    <w:tmpl w:val="BBF095C4"/>
    <w:lvl w:ilvl="0">
      <w:start w:val="1"/>
      <w:numFmt w:val="decimal"/>
      <w:lvlText w:val="%1-"/>
      <w:lvlJc w:val="left"/>
      <w:pPr>
        <w:ind w:left="360" w:hanging="360"/>
      </w:pPr>
      <w:rPr>
        <w:rFonts w:hint="default"/>
      </w:rPr>
    </w:lvl>
    <w:lvl w:ilvl="1">
      <w:start w:val="1"/>
      <w:numFmt w:val="decimal"/>
      <w:lvlText w:val="%1-%2."/>
      <w:lvlJc w:val="left"/>
      <w:pPr>
        <w:ind w:left="1855" w:hanging="720"/>
      </w:pPr>
      <w:rPr>
        <w:rFonts w:hint="default"/>
        <w:b w:val="0"/>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880" w:hanging="2160"/>
      </w:pPr>
      <w:rPr>
        <w:rFonts w:hint="default"/>
      </w:rPr>
    </w:lvl>
  </w:abstractNum>
  <w:abstractNum w:abstractNumId="154">
    <w:nsid w:val="5F370BC7"/>
    <w:multiLevelType w:val="hybridMultilevel"/>
    <w:tmpl w:val="42F06D86"/>
    <w:lvl w:ilvl="0" w:tplc="24E4AAA6">
      <w:start w:val="1"/>
      <w:numFmt w:val="taiwaneseCountingThousand"/>
      <w:lvlText w:val="（%1）"/>
      <w:lvlJc w:val="left"/>
      <w:pPr>
        <w:ind w:left="864" w:hanging="864"/>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5">
    <w:nsid w:val="5F6902D5"/>
    <w:multiLevelType w:val="hybridMultilevel"/>
    <w:tmpl w:val="81C251F0"/>
    <w:lvl w:ilvl="0" w:tplc="680C1F58">
      <w:start w:val="1"/>
      <w:numFmt w:val="decimal"/>
      <w:lvlText w:val="1-%1."/>
      <w:lvlJc w:val="left"/>
      <w:pPr>
        <w:ind w:left="1642" w:hanging="480"/>
      </w:pPr>
      <w:rPr>
        <w:rFonts w:hint="eastAsia"/>
      </w:rPr>
    </w:lvl>
    <w:lvl w:ilvl="1" w:tplc="D0443F78">
      <w:start w:val="1"/>
      <w:numFmt w:val="decimal"/>
      <w:lvlText w:val="1-%2."/>
      <w:lvlJc w:val="left"/>
      <w:pPr>
        <w:ind w:left="960" w:hanging="480"/>
      </w:pPr>
      <w:rPr>
        <w:rFonts w:hint="eastAsia"/>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6">
    <w:nsid w:val="605575FE"/>
    <w:multiLevelType w:val="hybridMultilevel"/>
    <w:tmpl w:val="A1B2B926"/>
    <w:lvl w:ilvl="0" w:tplc="A6A80B54">
      <w:start w:val="1"/>
      <w:numFmt w:val="taiwaneseCountingThousand"/>
      <w:lvlText w:val="（%1）"/>
      <w:lvlJc w:val="left"/>
      <w:pPr>
        <w:ind w:left="864" w:hanging="864"/>
      </w:pPr>
      <w:rPr>
        <w:rFonts w:hint="default"/>
      </w:rPr>
    </w:lvl>
    <w:lvl w:ilvl="1" w:tplc="A0488466">
      <w:start w:val="1"/>
      <w:numFmt w:val="decimal"/>
      <w:lvlText w:val="%2."/>
      <w:lvlJc w:val="left"/>
      <w:pPr>
        <w:ind w:left="840" w:hanging="360"/>
      </w:pPr>
      <w:rPr>
        <w:rFonts w:hint="default"/>
      </w:rPr>
    </w:lvl>
    <w:lvl w:ilvl="2" w:tplc="657CAB88">
      <w:start w:val="1"/>
      <w:numFmt w:val="decimal"/>
      <w:lvlText w:val="（%3）"/>
      <w:lvlJc w:val="left"/>
      <w:pPr>
        <w:ind w:left="1695" w:hanging="73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7">
    <w:nsid w:val="61275741"/>
    <w:multiLevelType w:val="multilevel"/>
    <w:tmpl w:val="310E6F46"/>
    <w:lvl w:ilvl="0">
      <w:start w:val="1"/>
      <w:numFmt w:val="decimal"/>
      <w:lvlText w:val="%1-"/>
      <w:lvlJc w:val="left"/>
      <w:pPr>
        <w:ind w:left="450" w:hanging="450"/>
      </w:pPr>
      <w:rPr>
        <w:rFonts w:hint="default"/>
      </w:rPr>
    </w:lvl>
    <w:lvl w:ilvl="1">
      <w:start w:val="1"/>
      <w:numFmt w:val="decimal"/>
      <w:lvlText w:val="%1-%2."/>
      <w:lvlJc w:val="left"/>
      <w:pPr>
        <w:ind w:left="1502" w:hanging="720"/>
      </w:pPr>
      <w:rPr>
        <w:rFonts w:hint="default"/>
      </w:rPr>
    </w:lvl>
    <w:lvl w:ilvl="2">
      <w:start w:val="1"/>
      <w:numFmt w:val="decimal"/>
      <w:lvlText w:val="%1-%2.%3."/>
      <w:lvlJc w:val="left"/>
      <w:pPr>
        <w:ind w:left="2284" w:hanging="720"/>
      </w:pPr>
      <w:rPr>
        <w:rFonts w:hint="default"/>
      </w:rPr>
    </w:lvl>
    <w:lvl w:ilvl="3">
      <w:start w:val="1"/>
      <w:numFmt w:val="decimal"/>
      <w:lvlText w:val="%1-%2.%3.%4."/>
      <w:lvlJc w:val="left"/>
      <w:pPr>
        <w:ind w:left="3426" w:hanging="108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5350" w:hanging="1440"/>
      </w:pPr>
      <w:rPr>
        <w:rFonts w:hint="default"/>
      </w:rPr>
    </w:lvl>
    <w:lvl w:ilvl="6">
      <w:start w:val="1"/>
      <w:numFmt w:val="decimal"/>
      <w:lvlText w:val="%1-%2.%3.%4.%5.%6.%7."/>
      <w:lvlJc w:val="left"/>
      <w:pPr>
        <w:ind w:left="6492" w:hanging="1800"/>
      </w:pPr>
      <w:rPr>
        <w:rFonts w:hint="default"/>
      </w:rPr>
    </w:lvl>
    <w:lvl w:ilvl="7">
      <w:start w:val="1"/>
      <w:numFmt w:val="decimal"/>
      <w:lvlText w:val="%1-%2.%3.%4.%5.%6.%7.%8."/>
      <w:lvlJc w:val="left"/>
      <w:pPr>
        <w:ind w:left="7274" w:hanging="1800"/>
      </w:pPr>
      <w:rPr>
        <w:rFonts w:hint="default"/>
      </w:rPr>
    </w:lvl>
    <w:lvl w:ilvl="8">
      <w:start w:val="1"/>
      <w:numFmt w:val="decimal"/>
      <w:lvlText w:val="%1-%2.%3.%4.%5.%6.%7.%8.%9."/>
      <w:lvlJc w:val="left"/>
      <w:pPr>
        <w:ind w:left="8416" w:hanging="2160"/>
      </w:pPr>
      <w:rPr>
        <w:rFonts w:hint="default"/>
      </w:rPr>
    </w:lvl>
  </w:abstractNum>
  <w:abstractNum w:abstractNumId="158">
    <w:nsid w:val="61705721"/>
    <w:multiLevelType w:val="multilevel"/>
    <w:tmpl w:val="6660E254"/>
    <w:lvl w:ilvl="0">
      <w:start w:val="1"/>
      <w:numFmt w:val="bullet"/>
      <w:suff w:val="space"/>
      <w:lvlText w:val=""/>
      <w:lvlJc w:val="left"/>
      <w:pPr>
        <w:ind w:left="4534" w:hanging="454"/>
      </w:pPr>
      <w:rPr>
        <w:rFonts w:ascii="Webdings" w:hAnsi="Webdings" w:hint="default"/>
        <w:color w:val="auto"/>
      </w:rPr>
    </w:lvl>
    <w:lvl w:ilvl="1">
      <w:start w:val="1"/>
      <w:numFmt w:val="taiwaneseCountingThousand"/>
      <w:lvlText w:val="%2、"/>
      <w:lvlJc w:val="left"/>
      <w:pPr>
        <w:tabs>
          <w:tab w:val="num" w:pos="567"/>
        </w:tabs>
        <w:ind w:left="397" w:hanging="113"/>
      </w:pPr>
      <w:rPr>
        <w:rFonts w:cs="Times New Roman" w:hint="default"/>
        <w:color w:val="auto"/>
      </w:rPr>
    </w:lvl>
    <w:lvl w:ilvl="2">
      <w:start w:val="1"/>
      <w:numFmt w:val="taiwaneseCountingThousand"/>
      <w:lvlText w:val="（%3）"/>
      <w:lvlJc w:val="left"/>
      <w:pPr>
        <w:ind w:left="813" w:hanging="453"/>
      </w:pPr>
      <w:rPr>
        <w:rFonts w:hint="default"/>
        <w:color w:val="auto"/>
        <w:sz w:val="24"/>
      </w:rPr>
    </w:lvl>
    <w:lvl w:ilvl="3">
      <w:start w:val="1"/>
      <w:numFmt w:val="bullet"/>
      <w:pStyle w:val="4"/>
      <w:suff w:val="nothing"/>
      <w:lvlText w:val=""/>
      <w:lvlJc w:val="left"/>
      <w:pPr>
        <w:ind w:left="1414" w:hanging="454"/>
      </w:pPr>
      <w:rPr>
        <w:rFonts w:ascii="Wingdings" w:hAnsi="Wingdings" w:hint="default"/>
        <w:color w:val="auto"/>
        <w:sz w:val="24"/>
      </w:rPr>
    </w:lvl>
    <w:lvl w:ilvl="4">
      <w:start w:val="1"/>
      <w:numFmt w:val="bullet"/>
      <w:pStyle w:val="5"/>
      <w:suff w:val="nothing"/>
      <w:lvlText w:val=""/>
      <w:lvlJc w:val="left"/>
      <w:pPr>
        <w:ind w:left="1701" w:hanging="340"/>
      </w:pPr>
      <w:rPr>
        <w:rFonts w:ascii="Symbol" w:hAnsi="Symbol" w:hint="default"/>
        <w:color w:val="auto"/>
      </w:rPr>
    </w:lvl>
    <w:lvl w:ilvl="5">
      <w:start w:val="1"/>
      <w:numFmt w:val="bullet"/>
      <w:pStyle w:val="6"/>
      <w:suff w:val="nothing"/>
      <w:lvlText w:val=""/>
      <w:lvlJc w:val="left"/>
      <w:pPr>
        <w:ind w:left="2041" w:hanging="340"/>
      </w:pPr>
      <w:rPr>
        <w:rFonts w:ascii="Wingdings" w:hAnsi="Wingdings" w:hint="default"/>
        <w:color w:val="auto"/>
      </w:rPr>
    </w:lvl>
    <w:lvl w:ilvl="6">
      <w:start w:val="1"/>
      <w:numFmt w:val="none"/>
      <w:pStyle w:val="7"/>
      <w:suff w:val="nothing"/>
      <w:lvlText w:val=""/>
      <w:lvlJc w:val="left"/>
      <w:rPr>
        <w:rFonts w:cs="Times New Roman" w:hint="eastAsia"/>
      </w:rPr>
    </w:lvl>
    <w:lvl w:ilvl="7">
      <w:start w:val="1"/>
      <w:numFmt w:val="none"/>
      <w:pStyle w:val="8"/>
      <w:suff w:val="nothing"/>
      <w:lvlText w:val=""/>
      <w:lvlJc w:val="left"/>
      <w:rPr>
        <w:rFonts w:cs="Times New Roman" w:hint="eastAsia"/>
      </w:rPr>
    </w:lvl>
    <w:lvl w:ilvl="8">
      <w:start w:val="1"/>
      <w:numFmt w:val="none"/>
      <w:pStyle w:val="9"/>
      <w:suff w:val="nothing"/>
      <w:lvlText w:val=""/>
      <w:lvlJc w:val="left"/>
      <w:rPr>
        <w:rFonts w:cs="Times New Roman" w:hint="eastAsia"/>
      </w:rPr>
    </w:lvl>
  </w:abstractNum>
  <w:abstractNum w:abstractNumId="159">
    <w:nsid w:val="6188664E"/>
    <w:multiLevelType w:val="hybridMultilevel"/>
    <w:tmpl w:val="49A46F1C"/>
    <w:lvl w:ilvl="0" w:tplc="DC206B4A">
      <w:start w:val="1"/>
      <w:numFmt w:val="decimal"/>
      <w:lvlText w:val="(%1)"/>
      <w:lvlJc w:val="left"/>
      <w:pPr>
        <w:ind w:left="1754" w:hanging="480"/>
      </w:pPr>
      <w:rPr>
        <w:rFonts w:hint="eastAsia"/>
      </w:rPr>
    </w:lvl>
    <w:lvl w:ilvl="1" w:tplc="04090003" w:tentative="1">
      <w:start w:val="1"/>
      <w:numFmt w:val="bullet"/>
      <w:lvlText w:val=""/>
      <w:lvlJc w:val="left"/>
      <w:pPr>
        <w:ind w:left="2234" w:hanging="480"/>
      </w:pPr>
      <w:rPr>
        <w:rFonts w:ascii="Wingdings" w:hAnsi="Wingdings" w:hint="default"/>
      </w:rPr>
    </w:lvl>
    <w:lvl w:ilvl="2" w:tplc="04090005" w:tentative="1">
      <w:start w:val="1"/>
      <w:numFmt w:val="bullet"/>
      <w:lvlText w:val=""/>
      <w:lvlJc w:val="left"/>
      <w:pPr>
        <w:ind w:left="2714" w:hanging="480"/>
      </w:pPr>
      <w:rPr>
        <w:rFonts w:ascii="Wingdings" w:hAnsi="Wingdings" w:hint="default"/>
      </w:rPr>
    </w:lvl>
    <w:lvl w:ilvl="3" w:tplc="04090001" w:tentative="1">
      <w:start w:val="1"/>
      <w:numFmt w:val="bullet"/>
      <w:lvlText w:val=""/>
      <w:lvlJc w:val="left"/>
      <w:pPr>
        <w:ind w:left="3194" w:hanging="480"/>
      </w:pPr>
      <w:rPr>
        <w:rFonts w:ascii="Wingdings" w:hAnsi="Wingdings" w:hint="default"/>
      </w:rPr>
    </w:lvl>
    <w:lvl w:ilvl="4" w:tplc="04090003" w:tentative="1">
      <w:start w:val="1"/>
      <w:numFmt w:val="bullet"/>
      <w:lvlText w:val=""/>
      <w:lvlJc w:val="left"/>
      <w:pPr>
        <w:ind w:left="3674" w:hanging="480"/>
      </w:pPr>
      <w:rPr>
        <w:rFonts w:ascii="Wingdings" w:hAnsi="Wingdings" w:hint="default"/>
      </w:rPr>
    </w:lvl>
    <w:lvl w:ilvl="5" w:tplc="04090005" w:tentative="1">
      <w:start w:val="1"/>
      <w:numFmt w:val="bullet"/>
      <w:lvlText w:val=""/>
      <w:lvlJc w:val="left"/>
      <w:pPr>
        <w:ind w:left="4154" w:hanging="480"/>
      </w:pPr>
      <w:rPr>
        <w:rFonts w:ascii="Wingdings" w:hAnsi="Wingdings" w:hint="default"/>
      </w:rPr>
    </w:lvl>
    <w:lvl w:ilvl="6" w:tplc="04090001" w:tentative="1">
      <w:start w:val="1"/>
      <w:numFmt w:val="bullet"/>
      <w:lvlText w:val=""/>
      <w:lvlJc w:val="left"/>
      <w:pPr>
        <w:ind w:left="4634" w:hanging="480"/>
      </w:pPr>
      <w:rPr>
        <w:rFonts w:ascii="Wingdings" w:hAnsi="Wingdings" w:hint="default"/>
      </w:rPr>
    </w:lvl>
    <w:lvl w:ilvl="7" w:tplc="04090003" w:tentative="1">
      <w:start w:val="1"/>
      <w:numFmt w:val="bullet"/>
      <w:lvlText w:val=""/>
      <w:lvlJc w:val="left"/>
      <w:pPr>
        <w:ind w:left="5114" w:hanging="480"/>
      </w:pPr>
      <w:rPr>
        <w:rFonts w:ascii="Wingdings" w:hAnsi="Wingdings" w:hint="default"/>
      </w:rPr>
    </w:lvl>
    <w:lvl w:ilvl="8" w:tplc="04090005" w:tentative="1">
      <w:start w:val="1"/>
      <w:numFmt w:val="bullet"/>
      <w:lvlText w:val=""/>
      <w:lvlJc w:val="left"/>
      <w:pPr>
        <w:ind w:left="5594" w:hanging="480"/>
      </w:pPr>
      <w:rPr>
        <w:rFonts w:ascii="Wingdings" w:hAnsi="Wingdings" w:hint="default"/>
      </w:rPr>
    </w:lvl>
  </w:abstractNum>
  <w:abstractNum w:abstractNumId="160">
    <w:nsid w:val="620C2CF0"/>
    <w:multiLevelType w:val="hybridMultilevel"/>
    <w:tmpl w:val="49A46F1C"/>
    <w:lvl w:ilvl="0" w:tplc="DC206B4A">
      <w:start w:val="1"/>
      <w:numFmt w:val="decimal"/>
      <w:lvlText w:val="(%1)"/>
      <w:lvlJc w:val="left"/>
      <w:pPr>
        <w:ind w:left="1754" w:hanging="480"/>
      </w:pPr>
      <w:rPr>
        <w:rFonts w:hint="eastAsia"/>
      </w:rPr>
    </w:lvl>
    <w:lvl w:ilvl="1" w:tplc="04090003" w:tentative="1">
      <w:start w:val="1"/>
      <w:numFmt w:val="bullet"/>
      <w:lvlText w:val=""/>
      <w:lvlJc w:val="left"/>
      <w:pPr>
        <w:ind w:left="2234" w:hanging="480"/>
      </w:pPr>
      <w:rPr>
        <w:rFonts w:ascii="Wingdings" w:hAnsi="Wingdings" w:hint="default"/>
      </w:rPr>
    </w:lvl>
    <w:lvl w:ilvl="2" w:tplc="04090005" w:tentative="1">
      <w:start w:val="1"/>
      <w:numFmt w:val="bullet"/>
      <w:lvlText w:val=""/>
      <w:lvlJc w:val="left"/>
      <w:pPr>
        <w:ind w:left="2714" w:hanging="480"/>
      </w:pPr>
      <w:rPr>
        <w:rFonts w:ascii="Wingdings" w:hAnsi="Wingdings" w:hint="default"/>
      </w:rPr>
    </w:lvl>
    <w:lvl w:ilvl="3" w:tplc="04090001" w:tentative="1">
      <w:start w:val="1"/>
      <w:numFmt w:val="bullet"/>
      <w:lvlText w:val=""/>
      <w:lvlJc w:val="left"/>
      <w:pPr>
        <w:ind w:left="3194" w:hanging="480"/>
      </w:pPr>
      <w:rPr>
        <w:rFonts w:ascii="Wingdings" w:hAnsi="Wingdings" w:hint="default"/>
      </w:rPr>
    </w:lvl>
    <w:lvl w:ilvl="4" w:tplc="04090003" w:tentative="1">
      <w:start w:val="1"/>
      <w:numFmt w:val="bullet"/>
      <w:lvlText w:val=""/>
      <w:lvlJc w:val="left"/>
      <w:pPr>
        <w:ind w:left="3674" w:hanging="480"/>
      </w:pPr>
      <w:rPr>
        <w:rFonts w:ascii="Wingdings" w:hAnsi="Wingdings" w:hint="default"/>
      </w:rPr>
    </w:lvl>
    <w:lvl w:ilvl="5" w:tplc="04090005" w:tentative="1">
      <w:start w:val="1"/>
      <w:numFmt w:val="bullet"/>
      <w:lvlText w:val=""/>
      <w:lvlJc w:val="left"/>
      <w:pPr>
        <w:ind w:left="4154" w:hanging="480"/>
      </w:pPr>
      <w:rPr>
        <w:rFonts w:ascii="Wingdings" w:hAnsi="Wingdings" w:hint="default"/>
      </w:rPr>
    </w:lvl>
    <w:lvl w:ilvl="6" w:tplc="04090001" w:tentative="1">
      <w:start w:val="1"/>
      <w:numFmt w:val="bullet"/>
      <w:lvlText w:val=""/>
      <w:lvlJc w:val="left"/>
      <w:pPr>
        <w:ind w:left="4634" w:hanging="480"/>
      </w:pPr>
      <w:rPr>
        <w:rFonts w:ascii="Wingdings" w:hAnsi="Wingdings" w:hint="default"/>
      </w:rPr>
    </w:lvl>
    <w:lvl w:ilvl="7" w:tplc="04090003" w:tentative="1">
      <w:start w:val="1"/>
      <w:numFmt w:val="bullet"/>
      <w:lvlText w:val=""/>
      <w:lvlJc w:val="left"/>
      <w:pPr>
        <w:ind w:left="5114" w:hanging="480"/>
      </w:pPr>
      <w:rPr>
        <w:rFonts w:ascii="Wingdings" w:hAnsi="Wingdings" w:hint="default"/>
      </w:rPr>
    </w:lvl>
    <w:lvl w:ilvl="8" w:tplc="04090005" w:tentative="1">
      <w:start w:val="1"/>
      <w:numFmt w:val="bullet"/>
      <w:lvlText w:val=""/>
      <w:lvlJc w:val="left"/>
      <w:pPr>
        <w:ind w:left="5594" w:hanging="480"/>
      </w:pPr>
      <w:rPr>
        <w:rFonts w:ascii="Wingdings" w:hAnsi="Wingdings" w:hint="default"/>
      </w:rPr>
    </w:lvl>
  </w:abstractNum>
  <w:abstractNum w:abstractNumId="161">
    <w:nsid w:val="626467DE"/>
    <w:multiLevelType w:val="hybridMultilevel"/>
    <w:tmpl w:val="2D5441C2"/>
    <w:lvl w:ilvl="0" w:tplc="40B00E04">
      <w:start w:val="1"/>
      <w:numFmt w:val="decimal"/>
      <w:lvlText w:val="%1."/>
      <w:lvlJc w:val="left"/>
      <w:pPr>
        <w:ind w:left="1070" w:hanging="36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62">
    <w:nsid w:val="62BC0A92"/>
    <w:multiLevelType w:val="hybridMultilevel"/>
    <w:tmpl w:val="B740C26A"/>
    <w:lvl w:ilvl="0" w:tplc="A048846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3">
    <w:nsid w:val="638A7C29"/>
    <w:multiLevelType w:val="hybridMultilevel"/>
    <w:tmpl w:val="18CE0278"/>
    <w:lvl w:ilvl="0" w:tplc="95B6F4CE">
      <w:start w:val="1"/>
      <w:numFmt w:val="decimal"/>
      <w:lvlText w:val="(%1)"/>
      <w:lvlJc w:val="left"/>
      <w:pPr>
        <w:ind w:left="1145" w:hanging="360"/>
      </w:pPr>
      <w:rPr>
        <w:rFonts w:hint="default"/>
        <w:color w:val="auto"/>
      </w:rPr>
    </w:lvl>
    <w:lvl w:ilvl="1" w:tplc="04090019" w:tentative="1">
      <w:start w:val="1"/>
      <w:numFmt w:val="ideographTraditional"/>
      <w:lvlText w:val="%2、"/>
      <w:lvlJc w:val="left"/>
      <w:pPr>
        <w:ind w:left="1745" w:hanging="480"/>
      </w:pPr>
    </w:lvl>
    <w:lvl w:ilvl="2" w:tplc="0409001B" w:tentative="1">
      <w:start w:val="1"/>
      <w:numFmt w:val="lowerRoman"/>
      <w:lvlText w:val="%3."/>
      <w:lvlJc w:val="right"/>
      <w:pPr>
        <w:ind w:left="2225" w:hanging="480"/>
      </w:pPr>
    </w:lvl>
    <w:lvl w:ilvl="3" w:tplc="0409000F" w:tentative="1">
      <w:start w:val="1"/>
      <w:numFmt w:val="decimal"/>
      <w:lvlText w:val="%4."/>
      <w:lvlJc w:val="left"/>
      <w:pPr>
        <w:ind w:left="2705" w:hanging="480"/>
      </w:pPr>
    </w:lvl>
    <w:lvl w:ilvl="4" w:tplc="04090019" w:tentative="1">
      <w:start w:val="1"/>
      <w:numFmt w:val="ideographTraditional"/>
      <w:lvlText w:val="%5、"/>
      <w:lvlJc w:val="left"/>
      <w:pPr>
        <w:ind w:left="3185" w:hanging="480"/>
      </w:pPr>
    </w:lvl>
    <w:lvl w:ilvl="5" w:tplc="0409001B" w:tentative="1">
      <w:start w:val="1"/>
      <w:numFmt w:val="lowerRoman"/>
      <w:lvlText w:val="%6."/>
      <w:lvlJc w:val="right"/>
      <w:pPr>
        <w:ind w:left="3665" w:hanging="480"/>
      </w:pPr>
    </w:lvl>
    <w:lvl w:ilvl="6" w:tplc="0409000F" w:tentative="1">
      <w:start w:val="1"/>
      <w:numFmt w:val="decimal"/>
      <w:lvlText w:val="%7."/>
      <w:lvlJc w:val="left"/>
      <w:pPr>
        <w:ind w:left="4145" w:hanging="480"/>
      </w:pPr>
    </w:lvl>
    <w:lvl w:ilvl="7" w:tplc="04090019" w:tentative="1">
      <w:start w:val="1"/>
      <w:numFmt w:val="ideographTraditional"/>
      <w:lvlText w:val="%8、"/>
      <w:lvlJc w:val="left"/>
      <w:pPr>
        <w:ind w:left="4625" w:hanging="480"/>
      </w:pPr>
    </w:lvl>
    <w:lvl w:ilvl="8" w:tplc="0409001B" w:tentative="1">
      <w:start w:val="1"/>
      <w:numFmt w:val="lowerRoman"/>
      <w:lvlText w:val="%9."/>
      <w:lvlJc w:val="right"/>
      <w:pPr>
        <w:ind w:left="5105" w:hanging="480"/>
      </w:pPr>
    </w:lvl>
  </w:abstractNum>
  <w:abstractNum w:abstractNumId="164">
    <w:nsid w:val="646B1C32"/>
    <w:multiLevelType w:val="multilevel"/>
    <w:tmpl w:val="BBF095C4"/>
    <w:lvl w:ilvl="0">
      <w:start w:val="1"/>
      <w:numFmt w:val="decimal"/>
      <w:lvlText w:val="%1-"/>
      <w:lvlJc w:val="left"/>
      <w:pPr>
        <w:ind w:left="360" w:hanging="360"/>
      </w:pPr>
      <w:rPr>
        <w:rFonts w:hint="default"/>
      </w:rPr>
    </w:lvl>
    <w:lvl w:ilvl="1">
      <w:start w:val="1"/>
      <w:numFmt w:val="decimal"/>
      <w:lvlText w:val="%1-%2."/>
      <w:lvlJc w:val="left"/>
      <w:pPr>
        <w:ind w:left="1430" w:hanging="720"/>
      </w:pPr>
      <w:rPr>
        <w:rFonts w:hint="default"/>
        <w:b w:val="0"/>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880" w:hanging="2160"/>
      </w:pPr>
      <w:rPr>
        <w:rFonts w:hint="default"/>
      </w:rPr>
    </w:lvl>
  </w:abstractNum>
  <w:abstractNum w:abstractNumId="165">
    <w:nsid w:val="65652B0F"/>
    <w:multiLevelType w:val="hybridMultilevel"/>
    <w:tmpl w:val="4A8C5050"/>
    <w:lvl w:ilvl="0" w:tplc="0409000F">
      <w:start w:val="1"/>
      <w:numFmt w:val="decimal"/>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6">
    <w:nsid w:val="65652DCC"/>
    <w:multiLevelType w:val="hybridMultilevel"/>
    <w:tmpl w:val="A1B2B926"/>
    <w:lvl w:ilvl="0" w:tplc="A6A80B54">
      <w:start w:val="1"/>
      <w:numFmt w:val="taiwaneseCountingThousand"/>
      <w:lvlText w:val="（%1）"/>
      <w:lvlJc w:val="left"/>
      <w:pPr>
        <w:ind w:left="864" w:hanging="864"/>
      </w:pPr>
      <w:rPr>
        <w:rFonts w:hint="default"/>
      </w:rPr>
    </w:lvl>
    <w:lvl w:ilvl="1" w:tplc="A0488466">
      <w:start w:val="1"/>
      <w:numFmt w:val="decimal"/>
      <w:lvlText w:val="%2."/>
      <w:lvlJc w:val="left"/>
      <w:pPr>
        <w:ind w:left="840" w:hanging="360"/>
      </w:pPr>
      <w:rPr>
        <w:rFonts w:hint="default"/>
      </w:rPr>
    </w:lvl>
    <w:lvl w:ilvl="2" w:tplc="657CAB88">
      <w:start w:val="1"/>
      <w:numFmt w:val="decimal"/>
      <w:lvlText w:val="（%3）"/>
      <w:lvlJc w:val="left"/>
      <w:pPr>
        <w:ind w:left="1695" w:hanging="73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7">
    <w:nsid w:val="66B04A8C"/>
    <w:multiLevelType w:val="hybridMultilevel"/>
    <w:tmpl w:val="42F06D86"/>
    <w:lvl w:ilvl="0" w:tplc="24E4AAA6">
      <w:start w:val="1"/>
      <w:numFmt w:val="taiwaneseCountingThousand"/>
      <w:lvlText w:val="（%1）"/>
      <w:lvlJc w:val="left"/>
      <w:pPr>
        <w:ind w:left="864" w:hanging="864"/>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8">
    <w:nsid w:val="66C909A2"/>
    <w:multiLevelType w:val="hybridMultilevel"/>
    <w:tmpl w:val="8A520DB6"/>
    <w:lvl w:ilvl="0" w:tplc="4D587B74">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69">
    <w:nsid w:val="67363F06"/>
    <w:multiLevelType w:val="hybridMultilevel"/>
    <w:tmpl w:val="42F06D86"/>
    <w:lvl w:ilvl="0" w:tplc="24E4AAA6">
      <w:start w:val="1"/>
      <w:numFmt w:val="taiwaneseCountingThousand"/>
      <w:lvlText w:val="（%1）"/>
      <w:lvlJc w:val="left"/>
      <w:pPr>
        <w:ind w:left="864" w:hanging="864"/>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0">
    <w:nsid w:val="67D779E8"/>
    <w:multiLevelType w:val="hybridMultilevel"/>
    <w:tmpl w:val="A1B2B926"/>
    <w:lvl w:ilvl="0" w:tplc="A6A80B54">
      <w:start w:val="1"/>
      <w:numFmt w:val="taiwaneseCountingThousand"/>
      <w:lvlText w:val="（%1）"/>
      <w:lvlJc w:val="left"/>
      <w:pPr>
        <w:ind w:left="864" w:hanging="864"/>
      </w:pPr>
      <w:rPr>
        <w:rFonts w:hint="default"/>
      </w:rPr>
    </w:lvl>
    <w:lvl w:ilvl="1" w:tplc="A0488466">
      <w:start w:val="1"/>
      <w:numFmt w:val="decimal"/>
      <w:lvlText w:val="%2."/>
      <w:lvlJc w:val="left"/>
      <w:pPr>
        <w:ind w:left="840" w:hanging="360"/>
      </w:pPr>
      <w:rPr>
        <w:rFonts w:hint="default"/>
      </w:rPr>
    </w:lvl>
    <w:lvl w:ilvl="2" w:tplc="657CAB88">
      <w:start w:val="1"/>
      <w:numFmt w:val="decimal"/>
      <w:lvlText w:val="（%3）"/>
      <w:lvlJc w:val="left"/>
      <w:pPr>
        <w:ind w:left="1695" w:hanging="73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1">
    <w:nsid w:val="680F62C9"/>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2">
    <w:nsid w:val="683D3394"/>
    <w:multiLevelType w:val="hybridMultilevel"/>
    <w:tmpl w:val="2CFAE99E"/>
    <w:lvl w:ilvl="0" w:tplc="8DD25062">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73">
    <w:nsid w:val="68C2230E"/>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4">
    <w:nsid w:val="69C214BB"/>
    <w:multiLevelType w:val="hybridMultilevel"/>
    <w:tmpl w:val="A94EC750"/>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5">
    <w:nsid w:val="69D424FE"/>
    <w:multiLevelType w:val="hybridMultilevel"/>
    <w:tmpl w:val="4AE4A568"/>
    <w:lvl w:ilvl="0" w:tplc="3A764310">
      <w:start w:val="1"/>
      <w:numFmt w:val="taiwaneseCountingThousand"/>
      <w:lvlText w:val="（%1）"/>
      <w:lvlJc w:val="left"/>
      <w:pPr>
        <w:ind w:left="864" w:hanging="864"/>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6">
    <w:nsid w:val="6A8073BF"/>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7">
    <w:nsid w:val="6AC421ED"/>
    <w:multiLevelType w:val="hybridMultilevel"/>
    <w:tmpl w:val="651C77B2"/>
    <w:lvl w:ilvl="0" w:tplc="39560742">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8">
    <w:nsid w:val="6B666DAE"/>
    <w:multiLevelType w:val="hybridMultilevel"/>
    <w:tmpl w:val="42F06D86"/>
    <w:lvl w:ilvl="0" w:tplc="24E4AAA6">
      <w:start w:val="1"/>
      <w:numFmt w:val="taiwaneseCountingThousand"/>
      <w:lvlText w:val="（%1）"/>
      <w:lvlJc w:val="left"/>
      <w:pPr>
        <w:ind w:left="864" w:hanging="864"/>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9">
    <w:nsid w:val="6B822A61"/>
    <w:multiLevelType w:val="hybridMultilevel"/>
    <w:tmpl w:val="4AE4A568"/>
    <w:lvl w:ilvl="0" w:tplc="3A764310">
      <w:start w:val="1"/>
      <w:numFmt w:val="taiwaneseCountingThousand"/>
      <w:lvlText w:val="（%1）"/>
      <w:lvlJc w:val="left"/>
      <w:pPr>
        <w:ind w:left="864" w:hanging="864"/>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0">
    <w:nsid w:val="6BD22628"/>
    <w:multiLevelType w:val="hybridMultilevel"/>
    <w:tmpl w:val="15AAA3CC"/>
    <w:lvl w:ilvl="0" w:tplc="A6A80B54">
      <w:start w:val="1"/>
      <w:numFmt w:val="taiwaneseCountingThousand"/>
      <w:lvlText w:val="（%1）"/>
      <w:lvlJc w:val="left"/>
      <w:pPr>
        <w:ind w:left="864" w:hanging="864"/>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1">
    <w:nsid w:val="6C0D028A"/>
    <w:multiLevelType w:val="hybridMultilevel"/>
    <w:tmpl w:val="2CA4DF9E"/>
    <w:lvl w:ilvl="0" w:tplc="A6A80B54">
      <w:start w:val="1"/>
      <w:numFmt w:val="taiwaneseCountingThousand"/>
      <w:lvlText w:val="（%1）"/>
      <w:lvlJc w:val="left"/>
      <w:pPr>
        <w:ind w:left="864" w:hanging="864"/>
      </w:pPr>
      <w:rPr>
        <w:rFonts w:hint="default"/>
      </w:rPr>
    </w:lvl>
    <w:lvl w:ilvl="1" w:tplc="A0488466">
      <w:start w:val="1"/>
      <w:numFmt w:val="decimal"/>
      <w:lvlText w:val="%2."/>
      <w:lvlJc w:val="left"/>
      <w:pPr>
        <w:ind w:left="840" w:hanging="360"/>
      </w:pPr>
      <w:rPr>
        <w:rFonts w:hint="default"/>
      </w:rPr>
    </w:lvl>
    <w:lvl w:ilvl="2" w:tplc="0409000F">
      <w:start w:val="1"/>
      <w:numFmt w:val="decimal"/>
      <w:lvlText w:val="%3."/>
      <w:lvlJc w:val="left"/>
      <w:pPr>
        <w:ind w:left="1695" w:hanging="73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2">
    <w:nsid w:val="6CE30EA5"/>
    <w:multiLevelType w:val="hybridMultilevel"/>
    <w:tmpl w:val="2502FF14"/>
    <w:lvl w:ilvl="0" w:tplc="B48CE386">
      <w:start w:val="1"/>
      <w:numFmt w:val="decimal"/>
      <w:lvlText w:val="%1."/>
      <w:lvlJc w:val="left"/>
      <w:pPr>
        <w:ind w:left="1214" w:hanging="360"/>
      </w:pPr>
      <w:rPr>
        <w:rFonts w:hint="default"/>
        <w:color w:val="auto"/>
      </w:rPr>
    </w:lvl>
    <w:lvl w:ilvl="1" w:tplc="04090019" w:tentative="1">
      <w:start w:val="1"/>
      <w:numFmt w:val="ideographTraditional"/>
      <w:lvlText w:val="%2、"/>
      <w:lvlJc w:val="left"/>
      <w:pPr>
        <w:ind w:left="1814" w:hanging="480"/>
      </w:pPr>
    </w:lvl>
    <w:lvl w:ilvl="2" w:tplc="0409001B" w:tentative="1">
      <w:start w:val="1"/>
      <w:numFmt w:val="lowerRoman"/>
      <w:lvlText w:val="%3."/>
      <w:lvlJc w:val="right"/>
      <w:pPr>
        <w:ind w:left="2294" w:hanging="480"/>
      </w:pPr>
    </w:lvl>
    <w:lvl w:ilvl="3" w:tplc="0409000F" w:tentative="1">
      <w:start w:val="1"/>
      <w:numFmt w:val="decimal"/>
      <w:lvlText w:val="%4."/>
      <w:lvlJc w:val="left"/>
      <w:pPr>
        <w:ind w:left="2774" w:hanging="480"/>
      </w:pPr>
    </w:lvl>
    <w:lvl w:ilvl="4" w:tplc="04090019" w:tentative="1">
      <w:start w:val="1"/>
      <w:numFmt w:val="ideographTraditional"/>
      <w:lvlText w:val="%5、"/>
      <w:lvlJc w:val="left"/>
      <w:pPr>
        <w:ind w:left="3254" w:hanging="480"/>
      </w:pPr>
    </w:lvl>
    <w:lvl w:ilvl="5" w:tplc="0409001B" w:tentative="1">
      <w:start w:val="1"/>
      <w:numFmt w:val="lowerRoman"/>
      <w:lvlText w:val="%6."/>
      <w:lvlJc w:val="right"/>
      <w:pPr>
        <w:ind w:left="3734" w:hanging="480"/>
      </w:pPr>
    </w:lvl>
    <w:lvl w:ilvl="6" w:tplc="0409000F" w:tentative="1">
      <w:start w:val="1"/>
      <w:numFmt w:val="decimal"/>
      <w:lvlText w:val="%7."/>
      <w:lvlJc w:val="left"/>
      <w:pPr>
        <w:ind w:left="4214" w:hanging="480"/>
      </w:pPr>
    </w:lvl>
    <w:lvl w:ilvl="7" w:tplc="04090019" w:tentative="1">
      <w:start w:val="1"/>
      <w:numFmt w:val="ideographTraditional"/>
      <w:lvlText w:val="%8、"/>
      <w:lvlJc w:val="left"/>
      <w:pPr>
        <w:ind w:left="4694" w:hanging="480"/>
      </w:pPr>
    </w:lvl>
    <w:lvl w:ilvl="8" w:tplc="0409001B" w:tentative="1">
      <w:start w:val="1"/>
      <w:numFmt w:val="lowerRoman"/>
      <w:lvlText w:val="%9."/>
      <w:lvlJc w:val="right"/>
      <w:pPr>
        <w:ind w:left="5174" w:hanging="480"/>
      </w:pPr>
    </w:lvl>
  </w:abstractNum>
  <w:abstractNum w:abstractNumId="183">
    <w:nsid w:val="6D2B5FDD"/>
    <w:multiLevelType w:val="hybridMultilevel"/>
    <w:tmpl w:val="B770CA40"/>
    <w:lvl w:ilvl="0" w:tplc="A6A80B54">
      <w:start w:val="1"/>
      <w:numFmt w:val="taiwaneseCountingThousand"/>
      <w:lvlText w:val="（%1）"/>
      <w:lvlJc w:val="left"/>
      <w:pPr>
        <w:ind w:left="864" w:hanging="864"/>
      </w:pPr>
      <w:rPr>
        <w:rFonts w:hint="default"/>
      </w:rPr>
    </w:lvl>
    <w:lvl w:ilvl="1" w:tplc="A0488466">
      <w:start w:val="1"/>
      <w:numFmt w:val="decimal"/>
      <w:lvlText w:val="%2."/>
      <w:lvlJc w:val="left"/>
      <w:pPr>
        <w:ind w:left="840" w:hanging="360"/>
      </w:pPr>
      <w:rPr>
        <w:rFonts w:hint="default"/>
      </w:rPr>
    </w:lvl>
    <w:lvl w:ilvl="2" w:tplc="0409000F">
      <w:start w:val="1"/>
      <w:numFmt w:val="decimal"/>
      <w:lvlText w:val="%3."/>
      <w:lvlJc w:val="left"/>
      <w:pPr>
        <w:ind w:left="1695" w:hanging="73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4">
    <w:nsid w:val="6E046F15"/>
    <w:multiLevelType w:val="multilevel"/>
    <w:tmpl w:val="775C8D8C"/>
    <w:lvl w:ilvl="0">
      <w:start w:val="1"/>
      <w:numFmt w:val="decimal"/>
      <w:lvlText w:val="%1"/>
      <w:lvlJc w:val="left"/>
      <w:pPr>
        <w:ind w:left="425" w:hanging="425"/>
      </w:pPr>
      <w:rPr>
        <w:rFonts w:cs="Times New Roman" w:hint="eastAsia"/>
      </w:rPr>
    </w:lvl>
    <w:lvl w:ilvl="1">
      <w:start w:val="1"/>
      <w:numFmt w:val="decimal"/>
      <w:pStyle w:val="a0"/>
      <w:lvlText w:val="%1.%2"/>
      <w:lvlJc w:val="left"/>
      <w:pPr>
        <w:ind w:left="567" w:hanging="567"/>
      </w:pPr>
      <w:rPr>
        <w:rFonts w:cs="Times New Roman" w:hint="eastAsia"/>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185">
    <w:nsid w:val="6E6D1604"/>
    <w:multiLevelType w:val="hybridMultilevel"/>
    <w:tmpl w:val="8430BADA"/>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6">
    <w:nsid w:val="6ED52E45"/>
    <w:multiLevelType w:val="hybridMultilevel"/>
    <w:tmpl w:val="C7408D9C"/>
    <w:lvl w:ilvl="0" w:tplc="FF12EA80">
      <w:start w:val="1"/>
      <w:numFmt w:val="decimal"/>
      <w:lvlText w:val="%1."/>
      <w:lvlJc w:val="left"/>
      <w:pPr>
        <w:ind w:left="786" w:hanging="360"/>
      </w:pPr>
      <w:rPr>
        <w:rFonts w:ascii="Times New Roman" w:hAnsi="Times New Roman"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87">
    <w:nsid w:val="6F5731A7"/>
    <w:multiLevelType w:val="hybridMultilevel"/>
    <w:tmpl w:val="42F06D86"/>
    <w:lvl w:ilvl="0" w:tplc="24E4AAA6">
      <w:start w:val="1"/>
      <w:numFmt w:val="taiwaneseCountingThousand"/>
      <w:lvlText w:val="（%1）"/>
      <w:lvlJc w:val="left"/>
      <w:pPr>
        <w:ind w:left="864" w:hanging="864"/>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8">
    <w:nsid w:val="723B16BF"/>
    <w:multiLevelType w:val="hybridMultilevel"/>
    <w:tmpl w:val="A1B2B926"/>
    <w:lvl w:ilvl="0" w:tplc="A6A80B54">
      <w:start w:val="1"/>
      <w:numFmt w:val="taiwaneseCountingThousand"/>
      <w:lvlText w:val="（%1）"/>
      <w:lvlJc w:val="left"/>
      <w:pPr>
        <w:ind w:left="864" w:hanging="864"/>
      </w:pPr>
      <w:rPr>
        <w:rFonts w:hint="default"/>
      </w:rPr>
    </w:lvl>
    <w:lvl w:ilvl="1" w:tplc="A0488466">
      <w:start w:val="1"/>
      <w:numFmt w:val="decimal"/>
      <w:lvlText w:val="%2."/>
      <w:lvlJc w:val="left"/>
      <w:pPr>
        <w:ind w:left="840" w:hanging="360"/>
      </w:pPr>
      <w:rPr>
        <w:rFonts w:hint="default"/>
      </w:rPr>
    </w:lvl>
    <w:lvl w:ilvl="2" w:tplc="657CAB88">
      <w:start w:val="1"/>
      <w:numFmt w:val="decimal"/>
      <w:lvlText w:val="（%3）"/>
      <w:lvlJc w:val="left"/>
      <w:pPr>
        <w:ind w:left="1695" w:hanging="735"/>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9">
    <w:nsid w:val="72840561"/>
    <w:multiLevelType w:val="hybridMultilevel"/>
    <w:tmpl w:val="B0F8C248"/>
    <w:lvl w:ilvl="0" w:tplc="FA96DA26">
      <w:start w:val="9"/>
      <w:numFmt w:val="bullet"/>
      <w:lvlText w:val="＊"/>
      <w:lvlJc w:val="left"/>
      <w:pPr>
        <w:tabs>
          <w:tab w:val="num" w:pos="360"/>
        </w:tabs>
        <w:ind w:left="360" w:hanging="360"/>
      </w:pPr>
      <w:rPr>
        <w:rFonts w:ascii="新細明體" w:eastAsia="新細明體" w:hAnsi="新細明體" w:cs="Times New Roman" w:hint="eastAsia"/>
        <w:b/>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0">
    <w:nsid w:val="731B1391"/>
    <w:multiLevelType w:val="multilevel"/>
    <w:tmpl w:val="7136B9EC"/>
    <w:styleLink w:val="1"/>
    <w:lvl w:ilvl="0">
      <w:start w:val="1"/>
      <w:numFmt w:val="decimal"/>
      <w:lvlText w:val="（%1）"/>
      <w:lvlJc w:val="left"/>
      <w:pPr>
        <w:tabs>
          <w:tab w:val="num" w:pos="2065"/>
        </w:tabs>
        <w:ind w:left="2065" w:hanging="1365"/>
      </w:pPr>
      <w:rPr>
        <w:rFonts w:cs="Times New Roman" w:hint="default"/>
      </w:rPr>
    </w:lvl>
    <w:lvl w:ilvl="1">
      <w:start w:val="1"/>
      <w:numFmt w:val="bullet"/>
      <w:lvlText w:val=""/>
      <w:lvlJc w:val="left"/>
      <w:pPr>
        <w:tabs>
          <w:tab w:val="num" w:pos="1464"/>
        </w:tabs>
        <w:ind w:left="1464" w:hanging="284"/>
      </w:pPr>
      <w:rPr>
        <w:rFonts w:ascii="Wingdings" w:hAnsi="Wingdings" w:hint="default"/>
        <w:sz w:val="12"/>
      </w:rPr>
    </w:lvl>
    <w:lvl w:ilvl="2">
      <w:start w:val="1"/>
      <w:numFmt w:val="bullet"/>
      <w:lvlText w:val=""/>
      <w:lvlJc w:val="left"/>
      <w:pPr>
        <w:tabs>
          <w:tab w:val="num" w:pos="2140"/>
        </w:tabs>
        <w:ind w:left="2140" w:hanging="480"/>
      </w:pPr>
      <w:rPr>
        <w:rFonts w:ascii="Wingdings" w:hAnsi="Wingdings" w:hint="default"/>
      </w:rPr>
    </w:lvl>
    <w:lvl w:ilvl="3">
      <w:start w:val="1"/>
      <w:numFmt w:val="decimal"/>
      <w:lvlText w:val="%4."/>
      <w:lvlJc w:val="left"/>
      <w:pPr>
        <w:tabs>
          <w:tab w:val="num" w:pos="2500"/>
        </w:tabs>
        <w:ind w:left="2500" w:hanging="360"/>
      </w:pPr>
      <w:rPr>
        <w:rFonts w:cs="Times New Roman" w:hint="eastAsia"/>
      </w:rPr>
    </w:lvl>
    <w:lvl w:ilvl="4">
      <w:start w:val="1"/>
      <w:numFmt w:val="taiwaneseCountingThousand"/>
      <w:lvlText w:val="(%5)"/>
      <w:lvlJc w:val="left"/>
      <w:pPr>
        <w:tabs>
          <w:tab w:val="num" w:pos="3100"/>
        </w:tabs>
        <w:ind w:left="3100" w:hanging="480"/>
      </w:pPr>
      <w:rPr>
        <w:rFonts w:cs="Times New Roman" w:hint="default"/>
      </w:rPr>
    </w:lvl>
    <w:lvl w:ilvl="5">
      <w:start w:val="1"/>
      <w:numFmt w:val="lowerRoman"/>
      <w:lvlText w:val="%6."/>
      <w:lvlJc w:val="right"/>
      <w:pPr>
        <w:tabs>
          <w:tab w:val="num" w:pos="3580"/>
        </w:tabs>
        <w:ind w:left="3580" w:hanging="480"/>
      </w:pPr>
      <w:rPr>
        <w:rFonts w:cs="Times New Roman"/>
      </w:rPr>
    </w:lvl>
    <w:lvl w:ilvl="6">
      <w:start w:val="1"/>
      <w:numFmt w:val="decimal"/>
      <w:lvlText w:val="%7."/>
      <w:lvlJc w:val="left"/>
      <w:pPr>
        <w:tabs>
          <w:tab w:val="num" w:pos="4060"/>
        </w:tabs>
        <w:ind w:left="4060" w:hanging="480"/>
      </w:pPr>
      <w:rPr>
        <w:rFonts w:cs="Times New Roman"/>
      </w:rPr>
    </w:lvl>
    <w:lvl w:ilvl="7">
      <w:start w:val="1"/>
      <w:numFmt w:val="ideographTraditional"/>
      <w:lvlText w:val="%8、"/>
      <w:lvlJc w:val="left"/>
      <w:pPr>
        <w:tabs>
          <w:tab w:val="num" w:pos="4540"/>
        </w:tabs>
        <w:ind w:left="4540" w:hanging="480"/>
      </w:pPr>
      <w:rPr>
        <w:rFonts w:cs="Times New Roman"/>
      </w:rPr>
    </w:lvl>
    <w:lvl w:ilvl="8">
      <w:start w:val="1"/>
      <w:numFmt w:val="lowerRoman"/>
      <w:lvlText w:val="%9."/>
      <w:lvlJc w:val="right"/>
      <w:pPr>
        <w:tabs>
          <w:tab w:val="num" w:pos="5020"/>
        </w:tabs>
        <w:ind w:left="5020" w:hanging="480"/>
      </w:pPr>
      <w:rPr>
        <w:rFonts w:cs="Times New Roman"/>
      </w:rPr>
    </w:lvl>
  </w:abstractNum>
  <w:abstractNum w:abstractNumId="191">
    <w:nsid w:val="755A4E40"/>
    <w:multiLevelType w:val="hybridMultilevel"/>
    <w:tmpl w:val="42F06D86"/>
    <w:lvl w:ilvl="0" w:tplc="24E4AAA6">
      <w:start w:val="1"/>
      <w:numFmt w:val="taiwaneseCountingThousand"/>
      <w:lvlText w:val="（%1）"/>
      <w:lvlJc w:val="left"/>
      <w:pPr>
        <w:ind w:left="864" w:hanging="864"/>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2">
    <w:nsid w:val="763A4E18"/>
    <w:multiLevelType w:val="hybridMultilevel"/>
    <w:tmpl w:val="B37C4846"/>
    <w:lvl w:ilvl="0" w:tplc="771CF992">
      <w:start w:val="1"/>
      <w:numFmt w:val="decimal"/>
      <w:lvlText w:val="%1."/>
      <w:lvlJc w:val="left"/>
      <w:pPr>
        <w:ind w:left="864" w:hanging="864"/>
      </w:pPr>
      <w:rPr>
        <w:rFonts w:cs="Times New Roman" w:hint="eastAsia"/>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93">
    <w:nsid w:val="76B72027"/>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4">
    <w:nsid w:val="78496655"/>
    <w:multiLevelType w:val="hybridMultilevel"/>
    <w:tmpl w:val="999C5DE0"/>
    <w:lvl w:ilvl="0" w:tplc="2CAC2ABE">
      <w:start w:val="1"/>
      <w:numFmt w:val="decimal"/>
      <w:lvlText w:val="%1."/>
      <w:lvlJc w:val="left"/>
      <w:pPr>
        <w:ind w:left="926" w:hanging="480"/>
      </w:pPr>
      <w:rPr>
        <w:rFonts w:hint="eastAsia"/>
      </w:rPr>
    </w:lvl>
    <w:lvl w:ilvl="1" w:tplc="04090019" w:tentative="1">
      <w:start w:val="1"/>
      <w:numFmt w:val="ideographTraditional"/>
      <w:lvlText w:val="%2、"/>
      <w:lvlJc w:val="left"/>
      <w:pPr>
        <w:ind w:left="1406" w:hanging="480"/>
      </w:pPr>
    </w:lvl>
    <w:lvl w:ilvl="2" w:tplc="0409001B" w:tentative="1">
      <w:start w:val="1"/>
      <w:numFmt w:val="lowerRoman"/>
      <w:lvlText w:val="%3."/>
      <w:lvlJc w:val="right"/>
      <w:pPr>
        <w:ind w:left="1886" w:hanging="480"/>
      </w:pPr>
    </w:lvl>
    <w:lvl w:ilvl="3" w:tplc="0409000F" w:tentative="1">
      <w:start w:val="1"/>
      <w:numFmt w:val="decimal"/>
      <w:lvlText w:val="%4."/>
      <w:lvlJc w:val="left"/>
      <w:pPr>
        <w:ind w:left="2366" w:hanging="480"/>
      </w:pPr>
    </w:lvl>
    <w:lvl w:ilvl="4" w:tplc="04090019" w:tentative="1">
      <w:start w:val="1"/>
      <w:numFmt w:val="ideographTraditional"/>
      <w:lvlText w:val="%5、"/>
      <w:lvlJc w:val="left"/>
      <w:pPr>
        <w:ind w:left="2846" w:hanging="480"/>
      </w:pPr>
    </w:lvl>
    <w:lvl w:ilvl="5" w:tplc="0409001B" w:tentative="1">
      <w:start w:val="1"/>
      <w:numFmt w:val="lowerRoman"/>
      <w:lvlText w:val="%6."/>
      <w:lvlJc w:val="right"/>
      <w:pPr>
        <w:ind w:left="3326" w:hanging="480"/>
      </w:pPr>
    </w:lvl>
    <w:lvl w:ilvl="6" w:tplc="0409000F" w:tentative="1">
      <w:start w:val="1"/>
      <w:numFmt w:val="decimal"/>
      <w:lvlText w:val="%7."/>
      <w:lvlJc w:val="left"/>
      <w:pPr>
        <w:ind w:left="3806" w:hanging="480"/>
      </w:pPr>
    </w:lvl>
    <w:lvl w:ilvl="7" w:tplc="04090019" w:tentative="1">
      <w:start w:val="1"/>
      <w:numFmt w:val="ideographTraditional"/>
      <w:lvlText w:val="%8、"/>
      <w:lvlJc w:val="left"/>
      <w:pPr>
        <w:ind w:left="4286" w:hanging="480"/>
      </w:pPr>
    </w:lvl>
    <w:lvl w:ilvl="8" w:tplc="0409001B" w:tentative="1">
      <w:start w:val="1"/>
      <w:numFmt w:val="lowerRoman"/>
      <w:lvlText w:val="%9."/>
      <w:lvlJc w:val="right"/>
      <w:pPr>
        <w:ind w:left="4766" w:hanging="480"/>
      </w:pPr>
    </w:lvl>
  </w:abstractNum>
  <w:abstractNum w:abstractNumId="195">
    <w:nsid w:val="7A4F7534"/>
    <w:multiLevelType w:val="hybridMultilevel"/>
    <w:tmpl w:val="49A46F1C"/>
    <w:lvl w:ilvl="0" w:tplc="DC206B4A">
      <w:start w:val="1"/>
      <w:numFmt w:val="decimal"/>
      <w:lvlText w:val="(%1)"/>
      <w:lvlJc w:val="left"/>
      <w:pPr>
        <w:ind w:left="1754" w:hanging="480"/>
      </w:pPr>
      <w:rPr>
        <w:rFonts w:hint="eastAsia"/>
      </w:rPr>
    </w:lvl>
    <w:lvl w:ilvl="1" w:tplc="04090003" w:tentative="1">
      <w:start w:val="1"/>
      <w:numFmt w:val="bullet"/>
      <w:lvlText w:val=""/>
      <w:lvlJc w:val="left"/>
      <w:pPr>
        <w:ind w:left="2234" w:hanging="480"/>
      </w:pPr>
      <w:rPr>
        <w:rFonts w:ascii="Wingdings" w:hAnsi="Wingdings" w:hint="default"/>
      </w:rPr>
    </w:lvl>
    <w:lvl w:ilvl="2" w:tplc="04090005" w:tentative="1">
      <w:start w:val="1"/>
      <w:numFmt w:val="bullet"/>
      <w:lvlText w:val=""/>
      <w:lvlJc w:val="left"/>
      <w:pPr>
        <w:ind w:left="2714" w:hanging="480"/>
      </w:pPr>
      <w:rPr>
        <w:rFonts w:ascii="Wingdings" w:hAnsi="Wingdings" w:hint="default"/>
      </w:rPr>
    </w:lvl>
    <w:lvl w:ilvl="3" w:tplc="04090001" w:tentative="1">
      <w:start w:val="1"/>
      <w:numFmt w:val="bullet"/>
      <w:lvlText w:val=""/>
      <w:lvlJc w:val="left"/>
      <w:pPr>
        <w:ind w:left="3194" w:hanging="480"/>
      </w:pPr>
      <w:rPr>
        <w:rFonts w:ascii="Wingdings" w:hAnsi="Wingdings" w:hint="default"/>
      </w:rPr>
    </w:lvl>
    <w:lvl w:ilvl="4" w:tplc="04090003" w:tentative="1">
      <w:start w:val="1"/>
      <w:numFmt w:val="bullet"/>
      <w:lvlText w:val=""/>
      <w:lvlJc w:val="left"/>
      <w:pPr>
        <w:ind w:left="3674" w:hanging="480"/>
      </w:pPr>
      <w:rPr>
        <w:rFonts w:ascii="Wingdings" w:hAnsi="Wingdings" w:hint="default"/>
      </w:rPr>
    </w:lvl>
    <w:lvl w:ilvl="5" w:tplc="04090005" w:tentative="1">
      <w:start w:val="1"/>
      <w:numFmt w:val="bullet"/>
      <w:lvlText w:val=""/>
      <w:lvlJc w:val="left"/>
      <w:pPr>
        <w:ind w:left="4154" w:hanging="480"/>
      </w:pPr>
      <w:rPr>
        <w:rFonts w:ascii="Wingdings" w:hAnsi="Wingdings" w:hint="default"/>
      </w:rPr>
    </w:lvl>
    <w:lvl w:ilvl="6" w:tplc="04090001" w:tentative="1">
      <w:start w:val="1"/>
      <w:numFmt w:val="bullet"/>
      <w:lvlText w:val=""/>
      <w:lvlJc w:val="left"/>
      <w:pPr>
        <w:ind w:left="4634" w:hanging="480"/>
      </w:pPr>
      <w:rPr>
        <w:rFonts w:ascii="Wingdings" w:hAnsi="Wingdings" w:hint="default"/>
      </w:rPr>
    </w:lvl>
    <w:lvl w:ilvl="7" w:tplc="04090003" w:tentative="1">
      <w:start w:val="1"/>
      <w:numFmt w:val="bullet"/>
      <w:lvlText w:val=""/>
      <w:lvlJc w:val="left"/>
      <w:pPr>
        <w:ind w:left="5114" w:hanging="480"/>
      </w:pPr>
      <w:rPr>
        <w:rFonts w:ascii="Wingdings" w:hAnsi="Wingdings" w:hint="default"/>
      </w:rPr>
    </w:lvl>
    <w:lvl w:ilvl="8" w:tplc="04090005" w:tentative="1">
      <w:start w:val="1"/>
      <w:numFmt w:val="bullet"/>
      <w:lvlText w:val=""/>
      <w:lvlJc w:val="left"/>
      <w:pPr>
        <w:ind w:left="5594" w:hanging="480"/>
      </w:pPr>
      <w:rPr>
        <w:rFonts w:ascii="Wingdings" w:hAnsi="Wingdings" w:hint="default"/>
      </w:rPr>
    </w:lvl>
  </w:abstractNum>
  <w:abstractNum w:abstractNumId="196">
    <w:nsid w:val="7A53226B"/>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7">
    <w:nsid w:val="7A5D0ED6"/>
    <w:multiLevelType w:val="hybridMultilevel"/>
    <w:tmpl w:val="4AE4A568"/>
    <w:lvl w:ilvl="0" w:tplc="3A764310">
      <w:start w:val="1"/>
      <w:numFmt w:val="taiwaneseCountingThousand"/>
      <w:lvlText w:val="（%1）"/>
      <w:lvlJc w:val="left"/>
      <w:pPr>
        <w:ind w:left="864" w:hanging="864"/>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8">
    <w:nsid w:val="7B9F5BAC"/>
    <w:multiLevelType w:val="hybridMultilevel"/>
    <w:tmpl w:val="A94EC750"/>
    <w:lvl w:ilvl="0" w:tplc="A6A80B54">
      <w:start w:val="1"/>
      <w:numFmt w:val="taiwaneseCountingThousand"/>
      <w:lvlText w:val="（%1）"/>
      <w:lvlJc w:val="left"/>
      <w:pPr>
        <w:ind w:left="864" w:hanging="864"/>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9">
    <w:nsid w:val="7BA00B75"/>
    <w:multiLevelType w:val="hybridMultilevel"/>
    <w:tmpl w:val="8C5AEE60"/>
    <w:lvl w:ilvl="0" w:tplc="7E783CF8">
      <w:start w:val="1"/>
      <w:numFmt w:val="decimal"/>
      <w:lvlText w:val="%1."/>
      <w:lvlJc w:val="left"/>
      <w:pPr>
        <w:ind w:left="785" w:hanging="360"/>
      </w:pPr>
      <w:rPr>
        <w:rFonts w:hint="default"/>
        <w:color w:val="auto"/>
        <w:sz w:val="28"/>
        <w:szCs w:val="28"/>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00">
    <w:nsid w:val="7C261BEE"/>
    <w:multiLevelType w:val="multilevel"/>
    <w:tmpl w:val="788AC002"/>
    <w:lvl w:ilvl="0">
      <w:start w:val="1"/>
      <w:numFmt w:val="decimal"/>
      <w:lvlText w:val="%1-"/>
      <w:lvlJc w:val="left"/>
      <w:pPr>
        <w:ind w:left="444" w:hanging="444"/>
      </w:pPr>
      <w:rPr>
        <w:rFonts w:ascii="Times New Roman" w:hAnsi="Times New Roman" w:hint="default"/>
      </w:rPr>
    </w:lvl>
    <w:lvl w:ilvl="1">
      <w:start w:val="1"/>
      <w:numFmt w:val="decimal"/>
      <w:lvlText w:val="%1-%2."/>
      <w:lvlJc w:val="left"/>
      <w:pPr>
        <w:ind w:left="1560" w:hanging="720"/>
      </w:pPr>
      <w:rPr>
        <w:rFonts w:ascii="Times New Roman" w:hAnsi="Times New Roman" w:hint="default"/>
      </w:rPr>
    </w:lvl>
    <w:lvl w:ilvl="2">
      <w:start w:val="1"/>
      <w:numFmt w:val="decimal"/>
      <w:lvlText w:val="%1-%2.%3."/>
      <w:lvlJc w:val="left"/>
      <w:pPr>
        <w:ind w:left="2400" w:hanging="720"/>
      </w:pPr>
      <w:rPr>
        <w:rFonts w:ascii="Times New Roman" w:hAnsi="Times New Roman" w:hint="default"/>
      </w:rPr>
    </w:lvl>
    <w:lvl w:ilvl="3">
      <w:start w:val="1"/>
      <w:numFmt w:val="decimal"/>
      <w:lvlText w:val="%1-%2.%3.%4."/>
      <w:lvlJc w:val="left"/>
      <w:pPr>
        <w:ind w:left="3600" w:hanging="1080"/>
      </w:pPr>
      <w:rPr>
        <w:rFonts w:ascii="Times New Roman" w:hAnsi="Times New Roman" w:hint="default"/>
      </w:rPr>
    </w:lvl>
    <w:lvl w:ilvl="4">
      <w:start w:val="1"/>
      <w:numFmt w:val="decimal"/>
      <w:lvlText w:val="%1-%2.%3.%4.%5."/>
      <w:lvlJc w:val="left"/>
      <w:pPr>
        <w:ind w:left="4440" w:hanging="1080"/>
      </w:pPr>
      <w:rPr>
        <w:rFonts w:ascii="Times New Roman" w:hAnsi="Times New Roman" w:hint="default"/>
      </w:rPr>
    </w:lvl>
    <w:lvl w:ilvl="5">
      <w:start w:val="1"/>
      <w:numFmt w:val="decimal"/>
      <w:lvlText w:val="%1-%2.%3.%4.%5.%6."/>
      <w:lvlJc w:val="left"/>
      <w:pPr>
        <w:ind w:left="5640" w:hanging="1440"/>
      </w:pPr>
      <w:rPr>
        <w:rFonts w:ascii="Times New Roman" w:hAnsi="Times New Roman" w:hint="default"/>
      </w:rPr>
    </w:lvl>
    <w:lvl w:ilvl="6">
      <w:start w:val="1"/>
      <w:numFmt w:val="decimal"/>
      <w:lvlText w:val="%1-%2.%3.%4.%5.%6.%7."/>
      <w:lvlJc w:val="left"/>
      <w:pPr>
        <w:ind w:left="6840" w:hanging="1800"/>
      </w:pPr>
      <w:rPr>
        <w:rFonts w:ascii="Times New Roman" w:hAnsi="Times New Roman" w:hint="default"/>
      </w:rPr>
    </w:lvl>
    <w:lvl w:ilvl="7">
      <w:start w:val="1"/>
      <w:numFmt w:val="decimal"/>
      <w:lvlText w:val="%1-%2.%3.%4.%5.%6.%7.%8."/>
      <w:lvlJc w:val="left"/>
      <w:pPr>
        <w:ind w:left="7680" w:hanging="1800"/>
      </w:pPr>
      <w:rPr>
        <w:rFonts w:ascii="Times New Roman" w:hAnsi="Times New Roman" w:hint="default"/>
      </w:rPr>
    </w:lvl>
    <w:lvl w:ilvl="8">
      <w:start w:val="1"/>
      <w:numFmt w:val="decimal"/>
      <w:lvlText w:val="%1-%2.%3.%4.%5.%6.%7.%8.%9."/>
      <w:lvlJc w:val="left"/>
      <w:pPr>
        <w:ind w:left="8880" w:hanging="2160"/>
      </w:pPr>
      <w:rPr>
        <w:rFonts w:ascii="Times New Roman" w:hAnsi="Times New Roman" w:hint="default"/>
      </w:rPr>
    </w:lvl>
  </w:abstractNum>
  <w:abstractNum w:abstractNumId="201">
    <w:nsid w:val="7C523554"/>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2">
    <w:nsid w:val="7C57620C"/>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3">
    <w:nsid w:val="7D6B55BF"/>
    <w:multiLevelType w:val="hybridMultilevel"/>
    <w:tmpl w:val="8C5AEE60"/>
    <w:lvl w:ilvl="0" w:tplc="7E783CF8">
      <w:start w:val="1"/>
      <w:numFmt w:val="decimal"/>
      <w:lvlText w:val="%1."/>
      <w:lvlJc w:val="left"/>
      <w:pPr>
        <w:ind w:left="785" w:hanging="360"/>
      </w:pPr>
      <w:rPr>
        <w:rFonts w:hint="default"/>
        <w:color w:val="auto"/>
        <w:sz w:val="28"/>
        <w:szCs w:val="28"/>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04">
    <w:nsid w:val="7E295205"/>
    <w:multiLevelType w:val="hybridMultilevel"/>
    <w:tmpl w:val="4AE4A568"/>
    <w:lvl w:ilvl="0" w:tplc="3A764310">
      <w:start w:val="1"/>
      <w:numFmt w:val="taiwaneseCountingThousand"/>
      <w:lvlText w:val="（%1）"/>
      <w:lvlJc w:val="left"/>
      <w:pPr>
        <w:ind w:left="864" w:hanging="864"/>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5">
    <w:nsid w:val="7EFB2EA5"/>
    <w:multiLevelType w:val="hybridMultilevel"/>
    <w:tmpl w:val="32C4EB90"/>
    <w:lvl w:ilvl="0" w:tplc="C9147C1E">
      <w:start w:val="2"/>
      <w:numFmt w:val="decimal"/>
      <w:lvlText w:val="%1."/>
      <w:lvlJc w:val="left"/>
      <w:pPr>
        <w:ind w:left="926" w:hanging="480"/>
      </w:pPr>
      <w:rPr>
        <w:rFonts w:hint="default"/>
      </w:rPr>
    </w:lvl>
    <w:lvl w:ilvl="1" w:tplc="04090019" w:tentative="1">
      <w:start w:val="1"/>
      <w:numFmt w:val="ideographTraditional"/>
      <w:lvlText w:val="%2、"/>
      <w:lvlJc w:val="left"/>
      <w:pPr>
        <w:ind w:left="1406" w:hanging="480"/>
      </w:pPr>
    </w:lvl>
    <w:lvl w:ilvl="2" w:tplc="0409001B" w:tentative="1">
      <w:start w:val="1"/>
      <w:numFmt w:val="lowerRoman"/>
      <w:lvlText w:val="%3."/>
      <w:lvlJc w:val="right"/>
      <w:pPr>
        <w:ind w:left="1886" w:hanging="480"/>
      </w:pPr>
    </w:lvl>
    <w:lvl w:ilvl="3" w:tplc="0409000F" w:tentative="1">
      <w:start w:val="1"/>
      <w:numFmt w:val="decimal"/>
      <w:lvlText w:val="%4."/>
      <w:lvlJc w:val="left"/>
      <w:pPr>
        <w:ind w:left="2366" w:hanging="480"/>
      </w:pPr>
    </w:lvl>
    <w:lvl w:ilvl="4" w:tplc="04090019" w:tentative="1">
      <w:start w:val="1"/>
      <w:numFmt w:val="ideographTraditional"/>
      <w:lvlText w:val="%5、"/>
      <w:lvlJc w:val="left"/>
      <w:pPr>
        <w:ind w:left="2846" w:hanging="480"/>
      </w:pPr>
    </w:lvl>
    <w:lvl w:ilvl="5" w:tplc="0409001B" w:tentative="1">
      <w:start w:val="1"/>
      <w:numFmt w:val="lowerRoman"/>
      <w:lvlText w:val="%6."/>
      <w:lvlJc w:val="right"/>
      <w:pPr>
        <w:ind w:left="3326" w:hanging="480"/>
      </w:pPr>
    </w:lvl>
    <w:lvl w:ilvl="6" w:tplc="0409000F" w:tentative="1">
      <w:start w:val="1"/>
      <w:numFmt w:val="decimal"/>
      <w:lvlText w:val="%7."/>
      <w:lvlJc w:val="left"/>
      <w:pPr>
        <w:ind w:left="3806" w:hanging="480"/>
      </w:pPr>
    </w:lvl>
    <w:lvl w:ilvl="7" w:tplc="04090019" w:tentative="1">
      <w:start w:val="1"/>
      <w:numFmt w:val="ideographTraditional"/>
      <w:lvlText w:val="%8、"/>
      <w:lvlJc w:val="left"/>
      <w:pPr>
        <w:ind w:left="4286" w:hanging="480"/>
      </w:pPr>
    </w:lvl>
    <w:lvl w:ilvl="8" w:tplc="0409001B" w:tentative="1">
      <w:start w:val="1"/>
      <w:numFmt w:val="lowerRoman"/>
      <w:lvlText w:val="%9."/>
      <w:lvlJc w:val="right"/>
      <w:pPr>
        <w:ind w:left="4766" w:hanging="480"/>
      </w:pPr>
    </w:lvl>
  </w:abstractNum>
  <w:abstractNum w:abstractNumId="206">
    <w:nsid w:val="7F121BAE"/>
    <w:multiLevelType w:val="hybridMultilevel"/>
    <w:tmpl w:val="A94EC750"/>
    <w:lvl w:ilvl="0" w:tplc="A6A80B54">
      <w:start w:val="1"/>
      <w:numFmt w:val="taiwaneseCountingThousand"/>
      <w:lvlText w:val="（%1）"/>
      <w:lvlJc w:val="left"/>
      <w:pPr>
        <w:ind w:left="864" w:hanging="864"/>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7">
    <w:nsid w:val="7F151753"/>
    <w:multiLevelType w:val="hybridMultilevel"/>
    <w:tmpl w:val="15AAA3CC"/>
    <w:lvl w:ilvl="0" w:tplc="A6A80B54">
      <w:start w:val="1"/>
      <w:numFmt w:val="taiwaneseCountingThousand"/>
      <w:lvlText w:val="（%1）"/>
      <w:lvlJc w:val="left"/>
      <w:pPr>
        <w:ind w:left="864"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8">
    <w:nsid w:val="7F860069"/>
    <w:multiLevelType w:val="hybridMultilevel"/>
    <w:tmpl w:val="B740C26A"/>
    <w:lvl w:ilvl="0" w:tplc="A048846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8"/>
  </w:num>
  <w:num w:numId="2">
    <w:abstractNumId w:val="127"/>
  </w:num>
  <w:num w:numId="3">
    <w:abstractNumId w:val="29"/>
  </w:num>
  <w:num w:numId="4">
    <w:abstractNumId w:val="122"/>
  </w:num>
  <w:num w:numId="5">
    <w:abstractNumId w:val="4"/>
  </w:num>
  <w:num w:numId="6">
    <w:abstractNumId w:val="197"/>
  </w:num>
  <w:num w:numId="7">
    <w:abstractNumId w:val="136"/>
  </w:num>
  <w:num w:numId="8">
    <w:abstractNumId w:val="149"/>
  </w:num>
  <w:num w:numId="9">
    <w:abstractNumId w:val="1"/>
  </w:num>
  <w:num w:numId="10">
    <w:abstractNumId w:val="106"/>
  </w:num>
  <w:num w:numId="11">
    <w:abstractNumId w:val="147"/>
  </w:num>
  <w:num w:numId="12">
    <w:abstractNumId w:val="101"/>
  </w:num>
  <w:num w:numId="13">
    <w:abstractNumId w:val="15"/>
  </w:num>
  <w:num w:numId="14">
    <w:abstractNumId w:val="87"/>
  </w:num>
  <w:num w:numId="15">
    <w:abstractNumId w:val="100"/>
  </w:num>
  <w:num w:numId="16">
    <w:abstractNumId w:val="24"/>
  </w:num>
  <w:num w:numId="17">
    <w:abstractNumId w:val="155"/>
  </w:num>
  <w:num w:numId="18">
    <w:abstractNumId w:val="5"/>
  </w:num>
  <w:num w:numId="19">
    <w:abstractNumId w:val="166"/>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4"/>
  </w:num>
  <w:num w:numId="38">
    <w:abstractNumId w:val="140"/>
  </w:num>
  <w:num w:numId="39">
    <w:abstractNumId w:val="186"/>
  </w:num>
  <w:num w:numId="40">
    <w:abstractNumId w:val="168"/>
  </w:num>
  <w:num w:numId="41">
    <w:abstractNumId w:val="48"/>
  </w:num>
  <w:num w:numId="42">
    <w:abstractNumId w:val="44"/>
  </w:num>
  <w:num w:numId="43">
    <w:abstractNumId w:val="40"/>
  </w:num>
  <w:num w:numId="44">
    <w:abstractNumId w:val="157"/>
  </w:num>
  <w:num w:numId="45">
    <w:abstractNumId w:val="19"/>
  </w:num>
  <w:num w:numId="46">
    <w:abstractNumId w:val="18"/>
    <w:lvlOverride w:ilvl="0">
      <w:startOverride w:val="1"/>
    </w:lvlOverride>
  </w:num>
  <w:num w:numId="47">
    <w:abstractNumId w:val="174"/>
  </w:num>
  <w:num w:numId="48">
    <w:abstractNumId w:val="120"/>
  </w:num>
  <w:num w:numId="49">
    <w:abstractNumId w:val="83"/>
  </w:num>
  <w:num w:numId="50">
    <w:abstractNumId w:val="119"/>
  </w:num>
  <w:num w:numId="51">
    <w:abstractNumId w:val="52"/>
  </w:num>
  <w:num w:numId="52">
    <w:abstractNumId w:val="86"/>
  </w:num>
  <w:num w:numId="53">
    <w:abstractNumId w:val="41"/>
  </w:num>
  <w:num w:numId="54">
    <w:abstractNumId w:val="51"/>
  </w:num>
  <w:num w:numId="55">
    <w:abstractNumId w:val="98"/>
  </w:num>
  <w:num w:numId="56">
    <w:abstractNumId w:val="8"/>
  </w:num>
  <w:num w:numId="57">
    <w:abstractNumId w:val="150"/>
  </w:num>
  <w:num w:numId="58">
    <w:abstractNumId w:val="172"/>
  </w:num>
  <w:num w:numId="59">
    <w:abstractNumId w:val="153"/>
  </w:num>
  <w:num w:numId="60">
    <w:abstractNumId w:val="164"/>
  </w:num>
  <w:num w:numId="61">
    <w:abstractNumId w:val="60"/>
  </w:num>
  <w:num w:numId="62">
    <w:abstractNumId w:val="39"/>
  </w:num>
  <w:num w:numId="63">
    <w:abstractNumId w:val="18"/>
    <w:lvlOverride w:ilvl="0">
      <w:startOverride w:val="1"/>
    </w:lvlOverride>
  </w:num>
  <w:num w:numId="64">
    <w:abstractNumId w:val="46"/>
  </w:num>
  <w:num w:numId="65">
    <w:abstractNumId w:val="129"/>
  </w:num>
  <w:num w:numId="66">
    <w:abstractNumId w:val="53"/>
  </w:num>
  <w:num w:numId="67">
    <w:abstractNumId w:val="57"/>
  </w:num>
  <w:num w:numId="68">
    <w:abstractNumId w:val="73"/>
  </w:num>
  <w:num w:numId="69">
    <w:abstractNumId w:val="62"/>
  </w:num>
  <w:num w:numId="70">
    <w:abstractNumId w:val="141"/>
  </w:num>
  <w:num w:numId="71">
    <w:abstractNumId w:val="6"/>
  </w:num>
  <w:num w:numId="72">
    <w:abstractNumId w:val="37"/>
  </w:num>
  <w:num w:numId="73">
    <w:abstractNumId w:val="109"/>
  </w:num>
  <w:num w:numId="74">
    <w:abstractNumId w:val="18"/>
    <w:lvlOverride w:ilvl="0">
      <w:startOverride w:val="1"/>
    </w:lvlOverride>
  </w:num>
  <w:num w:numId="75">
    <w:abstractNumId w:val="88"/>
  </w:num>
  <w:num w:numId="76">
    <w:abstractNumId w:val="69"/>
  </w:num>
  <w:num w:numId="77">
    <w:abstractNumId w:val="175"/>
  </w:num>
  <w:num w:numId="78">
    <w:abstractNumId w:val="99"/>
  </w:num>
  <w:num w:numId="79">
    <w:abstractNumId w:val="156"/>
  </w:num>
  <w:num w:numId="80">
    <w:abstractNumId w:val="124"/>
  </w:num>
  <w:num w:numId="81">
    <w:abstractNumId w:val="14"/>
  </w:num>
  <w:num w:numId="82">
    <w:abstractNumId w:val="132"/>
  </w:num>
  <w:num w:numId="83">
    <w:abstractNumId w:val="158"/>
  </w:num>
  <w:num w:numId="84">
    <w:abstractNumId w:val="42"/>
  </w:num>
  <w:num w:numId="85">
    <w:abstractNumId w:val="111"/>
  </w:num>
  <w:num w:numId="86">
    <w:abstractNumId w:val="135"/>
  </w:num>
  <w:num w:numId="87">
    <w:abstractNumId w:val="139"/>
  </w:num>
  <w:num w:numId="88">
    <w:abstractNumId w:val="130"/>
  </w:num>
  <w:num w:numId="89">
    <w:abstractNumId w:val="89"/>
  </w:num>
  <w:num w:numId="90">
    <w:abstractNumId w:val="67"/>
  </w:num>
  <w:num w:numId="91">
    <w:abstractNumId w:val="142"/>
  </w:num>
  <w:num w:numId="92">
    <w:abstractNumId w:val="74"/>
  </w:num>
  <w:num w:numId="93">
    <w:abstractNumId w:val="55"/>
  </w:num>
  <w:num w:numId="94">
    <w:abstractNumId w:val="22"/>
  </w:num>
  <w:num w:numId="95">
    <w:abstractNumId w:val="145"/>
  </w:num>
  <w:num w:numId="96">
    <w:abstractNumId w:val="75"/>
  </w:num>
  <w:num w:numId="97">
    <w:abstractNumId w:val="177"/>
  </w:num>
  <w:num w:numId="98">
    <w:abstractNumId w:val="9"/>
  </w:num>
  <w:num w:numId="99">
    <w:abstractNumId w:val="18"/>
    <w:lvlOverride w:ilvl="0">
      <w:startOverride w:val="1"/>
    </w:lvlOverride>
  </w:num>
  <w:num w:numId="100">
    <w:abstractNumId w:val="206"/>
  </w:num>
  <w:num w:numId="101">
    <w:abstractNumId w:val="117"/>
  </w:num>
  <w:num w:numId="102">
    <w:abstractNumId w:val="28"/>
  </w:num>
  <w:num w:numId="103">
    <w:abstractNumId w:val="188"/>
  </w:num>
  <w:num w:numId="104">
    <w:abstractNumId w:val="208"/>
  </w:num>
  <w:num w:numId="105">
    <w:abstractNumId w:val="38"/>
  </w:num>
  <w:num w:numId="106">
    <w:abstractNumId w:val="148"/>
  </w:num>
  <w:num w:numId="107">
    <w:abstractNumId w:val="25"/>
  </w:num>
  <w:num w:numId="108">
    <w:abstractNumId w:val="82"/>
  </w:num>
  <w:num w:numId="109">
    <w:abstractNumId w:val="65"/>
  </w:num>
  <w:num w:numId="110">
    <w:abstractNumId w:val="103"/>
  </w:num>
  <w:num w:numId="111">
    <w:abstractNumId w:val="18"/>
    <w:lvlOverride w:ilvl="0">
      <w:startOverride w:val="1"/>
    </w:lvlOverride>
  </w:num>
  <w:num w:numId="112">
    <w:abstractNumId w:val="58"/>
  </w:num>
  <w:num w:numId="113">
    <w:abstractNumId w:val="34"/>
  </w:num>
  <w:num w:numId="114">
    <w:abstractNumId w:val="68"/>
  </w:num>
  <w:num w:numId="115">
    <w:abstractNumId w:val="43"/>
  </w:num>
  <w:num w:numId="116">
    <w:abstractNumId w:val="107"/>
  </w:num>
  <w:num w:numId="117">
    <w:abstractNumId w:val="162"/>
  </w:num>
  <w:num w:numId="118">
    <w:abstractNumId w:val="45"/>
  </w:num>
  <w:num w:numId="119">
    <w:abstractNumId w:val="191"/>
  </w:num>
  <w:num w:numId="120">
    <w:abstractNumId w:val="171"/>
  </w:num>
  <w:num w:numId="121">
    <w:abstractNumId w:val="77"/>
  </w:num>
  <w:num w:numId="122">
    <w:abstractNumId w:val="81"/>
  </w:num>
  <w:num w:numId="123">
    <w:abstractNumId w:val="85"/>
  </w:num>
  <w:num w:numId="124">
    <w:abstractNumId w:val="182"/>
  </w:num>
  <w:num w:numId="125">
    <w:abstractNumId w:val="18"/>
    <w:lvlOverride w:ilvl="0">
      <w:startOverride w:val="1"/>
    </w:lvlOverride>
  </w:num>
  <w:num w:numId="126">
    <w:abstractNumId w:val="12"/>
  </w:num>
  <w:num w:numId="127">
    <w:abstractNumId w:val="23"/>
  </w:num>
  <w:num w:numId="128">
    <w:abstractNumId w:val="80"/>
  </w:num>
  <w:num w:numId="129">
    <w:abstractNumId w:val="78"/>
  </w:num>
  <w:num w:numId="130">
    <w:abstractNumId w:val="71"/>
  </w:num>
  <w:num w:numId="131">
    <w:abstractNumId w:val="0"/>
  </w:num>
  <w:num w:numId="132">
    <w:abstractNumId w:val="66"/>
  </w:num>
  <w:num w:numId="133">
    <w:abstractNumId w:val="108"/>
  </w:num>
  <w:num w:numId="134">
    <w:abstractNumId w:val="79"/>
  </w:num>
  <w:num w:numId="135">
    <w:abstractNumId w:val="27"/>
  </w:num>
  <w:num w:numId="136">
    <w:abstractNumId w:val="183"/>
  </w:num>
  <w:num w:numId="137">
    <w:abstractNumId w:val="165"/>
  </w:num>
  <w:num w:numId="138">
    <w:abstractNumId w:val="33"/>
  </w:num>
  <w:num w:numId="139">
    <w:abstractNumId w:val="92"/>
  </w:num>
  <w:num w:numId="140">
    <w:abstractNumId w:val="185"/>
  </w:num>
  <w:num w:numId="141">
    <w:abstractNumId w:val="125"/>
  </w:num>
  <w:num w:numId="142">
    <w:abstractNumId w:val="123"/>
  </w:num>
  <w:num w:numId="143">
    <w:abstractNumId w:val="181"/>
  </w:num>
  <w:num w:numId="144">
    <w:abstractNumId w:val="93"/>
  </w:num>
  <w:num w:numId="145">
    <w:abstractNumId w:val="72"/>
  </w:num>
  <w:num w:numId="146">
    <w:abstractNumId w:val="144"/>
  </w:num>
  <w:num w:numId="147">
    <w:abstractNumId w:val="20"/>
  </w:num>
  <w:num w:numId="148">
    <w:abstractNumId w:val="18"/>
    <w:lvlOverride w:ilvl="0">
      <w:startOverride w:val="1"/>
    </w:lvlOverride>
  </w:num>
  <w:num w:numId="149">
    <w:abstractNumId w:val="17"/>
  </w:num>
  <w:num w:numId="150">
    <w:abstractNumId w:val="35"/>
  </w:num>
  <w:num w:numId="151">
    <w:abstractNumId w:val="179"/>
  </w:num>
  <w:num w:numId="152">
    <w:abstractNumId w:val="203"/>
  </w:num>
  <w:num w:numId="153">
    <w:abstractNumId w:val="143"/>
  </w:num>
  <w:num w:numId="154">
    <w:abstractNumId w:val="7"/>
  </w:num>
  <w:num w:numId="155">
    <w:abstractNumId w:val="180"/>
  </w:num>
  <w:num w:numId="156">
    <w:abstractNumId w:val="187"/>
  </w:num>
  <w:num w:numId="157">
    <w:abstractNumId w:val="176"/>
  </w:num>
  <w:num w:numId="158">
    <w:abstractNumId w:val="94"/>
  </w:num>
  <w:num w:numId="159">
    <w:abstractNumId w:val="161"/>
  </w:num>
  <w:num w:numId="160">
    <w:abstractNumId w:val="59"/>
  </w:num>
  <w:num w:numId="161">
    <w:abstractNumId w:val="194"/>
  </w:num>
  <w:num w:numId="162">
    <w:abstractNumId w:val="163"/>
  </w:num>
  <w:num w:numId="163">
    <w:abstractNumId w:val="49"/>
  </w:num>
  <w:num w:numId="164">
    <w:abstractNumId w:val="137"/>
  </w:num>
  <w:num w:numId="165">
    <w:abstractNumId w:val="2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61"/>
  </w:num>
  <w:num w:numId="167">
    <w:abstractNumId w:val="200"/>
  </w:num>
  <w:num w:numId="168">
    <w:abstractNumId w:val="47"/>
  </w:num>
  <w:num w:numId="169">
    <w:abstractNumId w:val="32"/>
  </w:num>
  <w:num w:numId="170">
    <w:abstractNumId w:val="195"/>
  </w:num>
  <w:num w:numId="171">
    <w:abstractNumId w:val="159"/>
  </w:num>
  <w:num w:numId="172">
    <w:abstractNumId w:val="3"/>
  </w:num>
  <w:num w:numId="173">
    <w:abstractNumId w:val="160"/>
  </w:num>
  <w:num w:numId="174">
    <w:abstractNumId w:val="133"/>
  </w:num>
  <w:num w:numId="175">
    <w:abstractNumId w:val="18"/>
    <w:lvlOverride w:ilvl="0">
      <w:startOverride w:val="1"/>
    </w:lvlOverride>
  </w:num>
  <w:num w:numId="176">
    <w:abstractNumId w:val="118"/>
  </w:num>
  <w:num w:numId="177">
    <w:abstractNumId w:val="146"/>
  </w:num>
  <w:num w:numId="178">
    <w:abstractNumId w:val="204"/>
  </w:num>
  <w:num w:numId="179">
    <w:abstractNumId w:val="97"/>
  </w:num>
  <w:num w:numId="180">
    <w:abstractNumId w:val="121"/>
  </w:num>
  <w:num w:numId="181">
    <w:abstractNumId w:val="112"/>
  </w:num>
  <w:num w:numId="182">
    <w:abstractNumId w:val="70"/>
  </w:num>
  <w:num w:numId="183">
    <w:abstractNumId w:val="154"/>
  </w:num>
  <w:num w:numId="184">
    <w:abstractNumId w:val="10"/>
  </w:num>
  <w:num w:numId="185">
    <w:abstractNumId w:val="134"/>
  </w:num>
  <w:num w:numId="186">
    <w:abstractNumId w:val="190"/>
  </w:num>
  <w:num w:numId="187">
    <w:abstractNumId w:val="131"/>
  </w:num>
  <w:num w:numId="188">
    <w:abstractNumId w:val="2"/>
  </w:num>
  <w:num w:numId="189">
    <w:abstractNumId w:val="184"/>
  </w:num>
  <w:num w:numId="190">
    <w:abstractNumId w:val="30"/>
  </w:num>
  <w:num w:numId="191">
    <w:abstractNumId w:val="192"/>
  </w:num>
  <w:num w:numId="192">
    <w:abstractNumId w:val="16"/>
  </w:num>
  <w:num w:numId="193">
    <w:abstractNumId w:val="18"/>
    <w:lvlOverride w:ilvl="0">
      <w:startOverride w:val="1"/>
    </w:lvlOverride>
  </w:num>
  <w:num w:numId="194">
    <w:abstractNumId w:val="95"/>
  </w:num>
  <w:num w:numId="195">
    <w:abstractNumId w:val="196"/>
  </w:num>
  <w:num w:numId="196">
    <w:abstractNumId w:val="113"/>
  </w:num>
  <w:num w:numId="197">
    <w:abstractNumId w:val="199"/>
  </w:num>
  <w:num w:numId="198">
    <w:abstractNumId w:val="170"/>
  </w:num>
  <w:num w:numId="199">
    <w:abstractNumId w:val="105"/>
  </w:num>
  <w:num w:numId="200">
    <w:abstractNumId w:val="178"/>
  </w:num>
  <w:num w:numId="201">
    <w:abstractNumId w:val="13"/>
  </w:num>
  <w:num w:numId="202">
    <w:abstractNumId w:val="201"/>
  </w:num>
  <w:num w:numId="203">
    <w:abstractNumId w:val="18"/>
    <w:lvlOverride w:ilvl="0">
      <w:startOverride w:val="1"/>
    </w:lvlOverride>
  </w:num>
  <w:num w:numId="204">
    <w:abstractNumId w:val="11"/>
  </w:num>
  <w:num w:numId="205">
    <w:abstractNumId w:val="104"/>
  </w:num>
  <w:num w:numId="206">
    <w:abstractNumId w:val="138"/>
  </w:num>
  <w:num w:numId="207">
    <w:abstractNumId w:val="21"/>
  </w:num>
  <w:num w:numId="208">
    <w:abstractNumId w:val="115"/>
  </w:num>
  <w:num w:numId="209">
    <w:abstractNumId w:val="50"/>
  </w:num>
  <w:num w:numId="210">
    <w:abstractNumId w:val="151"/>
  </w:num>
  <w:num w:numId="211">
    <w:abstractNumId w:val="116"/>
  </w:num>
  <w:num w:numId="212">
    <w:abstractNumId w:val="202"/>
  </w:num>
  <w:num w:numId="213">
    <w:abstractNumId w:val="18"/>
    <w:lvlOverride w:ilvl="0">
      <w:startOverride w:val="1"/>
    </w:lvlOverride>
  </w:num>
  <w:num w:numId="214">
    <w:abstractNumId w:val="198"/>
  </w:num>
  <w:num w:numId="215">
    <w:abstractNumId w:val="173"/>
  </w:num>
  <w:num w:numId="216">
    <w:abstractNumId w:val="152"/>
  </w:num>
  <w:num w:numId="217">
    <w:abstractNumId w:val="36"/>
  </w:num>
  <w:num w:numId="218">
    <w:abstractNumId w:val="90"/>
  </w:num>
  <w:num w:numId="219">
    <w:abstractNumId w:val="167"/>
  </w:num>
  <w:num w:numId="220">
    <w:abstractNumId w:val="193"/>
  </w:num>
  <w:num w:numId="221">
    <w:abstractNumId w:val="207"/>
  </w:num>
  <w:num w:numId="222">
    <w:abstractNumId w:val="189"/>
  </w:num>
  <w:num w:numId="223">
    <w:abstractNumId w:val="126"/>
  </w:num>
  <w:num w:numId="224">
    <w:abstractNumId w:val="84"/>
  </w:num>
  <w:num w:numId="225">
    <w:abstractNumId w:val="96"/>
  </w:num>
  <w:num w:numId="226">
    <w:abstractNumId w:val="76"/>
  </w:num>
  <w:num w:numId="227">
    <w:abstractNumId w:val="63"/>
  </w:num>
  <w:num w:numId="228">
    <w:abstractNumId w:val="102"/>
  </w:num>
  <w:num w:numId="229">
    <w:abstractNumId w:val="31"/>
  </w:num>
  <w:numIdMacAtCleanup w:val="2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C5B"/>
    <w:rsid w:val="00004CFC"/>
    <w:rsid w:val="00006CC0"/>
    <w:rsid w:val="000072F1"/>
    <w:rsid w:val="00013A68"/>
    <w:rsid w:val="00017513"/>
    <w:rsid w:val="0001752F"/>
    <w:rsid w:val="00020348"/>
    <w:rsid w:val="00021787"/>
    <w:rsid w:val="00022289"/>
    <w:rsid w:val="00022971"/>
    <w:rsid w:val="00022B27"/>
    <w:rsid w:val="000235D6"/>
    <w:rsid w:val="00024C01"/>
    <w:rsid w:val="000257AD"/>
    <w:rsid w:val="000306ED"/>
    <w:rsid w:val="00031A7D"/>
    <w:rsid w:val="00040EDC"/>
    <w:rsid w:val="000415C6"/>
    <w:rsid w:val="000431FE"/>
    <w:rsid w:val="00043DA2"/>
    <w:rsid w:val="000448FF"/>
    <w:rsid w:val="00044C1E"/>
    <w:rsid w:val="00050F6E"/>
    <w:rsid w:val="00052151"/>
    <w:rsid w:val="00053068"/>
    <w:rsid w:val="000540EC"/>
    <w:rsid w:val="000559A5"/>
    <w:rsid w:val="00056414"/>
    <w:rsid w:val="0005694D"/>
    <w:rsid w:val="000611A5"/>
    <w:rsid w:val="00061218"/>
    <w:rsid w:val="000614D4"/>
    <w:rsid w:val="00061EAB"/>
    <w:rsid w:val="000653E7"/>
    <w:rsid w:val="00065E83"/>
    <w:rsid w:val="00065F41"/>
    <w:rsid w:val="000664AF"/>
    <w:rsid w:val="000704C1"/>
    <w:rsid w:val="000715FB"/>
    <w:rsid w:val="00071D4A"/>
    <w:rsid w:val="000725AB"/>
    <w:rsid w:val="000730F5"/>
    <w:rsid w:val="00075110"/>
    <w:rsid w:val="00076B98"/>
    <w:rsid w:val="00076DA2"/>
    <w:rsid w:val="00076EC7"/>
    <w:rsid w:val="0007720F"/>
    <w:rsid w:val="00080702"/>
    <w:rsid w:val="00080D44"/>
    <w:rsid w:val="00080F5B"/>
    <w:rsid w:val="00081320"/>
    <w:rsid w:val="000820B5"/>
    <w:rsid w:val="000821AF"/>
    <w:rsid w:val="000823BC"/>
    <w:rsid w:val="00083F01"/>
    <w:rsid w:val="000841FD"/>
    <w:rsid w:val="00085350"/>
    <w:rsid w:val="000857EC"/>
    <w:rsid w:val="0008781F"/>
    <w:rsid w:val="000905E9"/>
    <w:rsid w:val="000920DA"/>
    <w:rsid w:val="00094FE1"/>
    <w:rsid w:val="000972A9"/>
    <w:rsid w:val="00097DB6"/>
    <w:rsid w:val="00097EA4"/>
    <w:rsid w:val="000A005A"/>
    <w:rsid w:val="000A10B6"/>
    <w:rsid w:val="000A1530"/>
    <w:rsid w:val="000A3F82"/>
    <w:rsid w:val="000A4367"/>
    <w:rsid w:val="000A5CD6"/>
    <w:rsid w:val="000A6F2E"/>
    <w:rsid w:val="000B002E"/>
    <w:rsid w:val="000B046E"/>
    <w:rsid w:val="000B26D4"/>
    <w:rsid w:val="000B456C"/>
    <w:rsid w:val="000B4A7F"/>
    <w:rsid w:val="000B5CCA"/>
    <w:rsid w:val="000B737A"/>
    <w:rsid w:val="000C1FE4"/>
    <w:rsid w:val="000C2A04"/>
    <w:rsid w:val="000C31B5"/>
    <w:rsid w:val="000C4AD0"/>
    <w:rsid w:val="000C4EDF"/>
    <w:rsid w:val="000C5765"/>
    <w:rsid w:val="000C67A9"/>
    <w:rsid w:val="000D22B3"/>
    <w:rsid w:val="000D2818"/>
    <w:rsid w:val="000D29AB"/>
    <w:rsid w:val="000D4AFC"/>
    <w:rsid w:val="000D4C0F"/>
    <w:rsid w:val="000E1816"/>
    <w:rsid w:val="000E182A"/>
    <w:rsid w:val="000E1FB9"/>
    <w:rsid w:val="000E303F"/>
    <w:rsid w:val="000E57A6"/>
    <w:rsid w:val="000E60FB"/>
    <w:rsid w:val="000E72EB"/>
    <w:rsid w:val="000F54A0"/>
    <w:rsid w:val="00101E0D"/>
    <w:rsid w:val="001024CD"/>
    <w:rsid w:val="001045D6"/>
    <w:rsid w:val="00104E43"/>
    <w:rsid w:val="00104EFE"/>
    <w:rsid w:val="00107D8F"/>
    <w:rsid w:val="00107DA1"/>
    <w:rsid w:val="001103E3"/>
    <w:rsid w:val="00110596"/>
    <w:rsid w:val="00110872"/>
    <w:rsid w:val="00114F06"/>
    <w:rsid w:val="00116A55"/>
    <w:rsid w:val="00121639"/>
    <w:rsid w:val="00121948"/>
    <w:rsid w:val="00121E6D"/>
    <w:rsid w:val="001220FE"/>
    <w:rsid w:val="00122F6F"/>
    <w:rsid w:val="00123613"/>
    <w:rsid w:val="0013219B"/>
    <w:rsid w:val="00133D5D"/>
    <w:rsid w:val="00133E4F"/>
    <w:rsid w:val="001370BE"/>
    <w:rsid w:val="00137CC7"/>
    <w:rsid w:val="001418EC"/>
    <w:rsid w:val="00142EB6"/>
    <w:rsid w:val="00143D43"/>
    <w:rsid w:val="00144178"/>
    <w:rsid w:val="001450EC"/>
    <w:rsid w:val="0014772B"/>
    <w:rsid w:val="001512CD"/>
    <w:rsid w:val="00151F05"/>
    <w:rsid w:val="00153DAF"/>
    <w:rsid w:val="001547E6"/>
    <w:rsid w:val="00155D5B"/>
    <w:rsid w:val="001564E7"/>
    <w:rsid w:val="00156D3C"/>
    <w:rsid w:val="001574DF"/>
    <w:rsid w:val="00162592"/>
    <w:rsid w:val="001629F1"/>
    <w:rsid w:val="00163235"/>
    <w:rsid w:val="00165C8F"/>
    <w:rsid w:val="00166A79"/>
    <w:rsid w:val="00167B72"/>
    <w:rsid w:val="0017084C"/>
    <w:rsid w:val="00170D42"/>
    <w:rsid w:val="001753AC"/>
    <w:rsid w:val="00176DFF"/>
    <w:rsid w:val="001774AD"/>
    <w:rsid w:val="00177C0B"/>
    <w:rsid w:val="00180E91"/>
    <w:rsid w:val="00183BE3"/>
    <w:rsid w:val="0018560D"/>
    <w:rsid w:val="00186231"/>
    <w:rsid w:val="00186579"/>
    <w:rsid w:val="00186C6A"/>
    <w:rsid w:val="0018714A"/>
    <w:rsid w:val="00191604"/>
    <w:rsid w:val="001928E9"/>
    <w:rsid w:val="00193409"/>
    <w:rsid w:val="0019504F"/>
    <w:rsid w:val="00195C14"/>
    <w:rsid w:val="00197588"/>
    <w:rsid w:val="001A0D19"/>
    <w:rsid w:val="001A199B"/>
    <w:rsid w:val="001A1ADA"/>
    <w:rsid w:val="001A2997"/>
    <w:rsid w:val="001A3296"/>
    <w:rsid w:val="001A32F5"/>
    <w:rsid w:val="001A4AA2"/>
    <w:rsid w:val="001A64B1"/>
    <w:rsid w:val="001A6A34"/>
    <w:rsid w:val="001B1FD4"/>
    <w:rsid w:val="001B2E86"/>
    <w:rsid w:val="001B383A"/>
    <w:rsid w:val="001B3AAC"/>
    <w:rsid w:val="001B61F3"/>
    <w:rsid w:val="001B69DC"/>
    <w:rsid w:val="001B6A46"/>
    <w:rsid w:val="001C00C2"/>
    <w:rsid w:val="001C1B22"/>
    <w:rsid w:val="001C5BBE"/>
    <w:rsid w:val="001C5D6F"/>
    <w:rsid w:val="001C74C3"/>
    <w:rsid w:val="001C7865"/>
    <w:rsid w:val="001C7CF0"/>
    <w:rsid w:val="001D0350"/>
    <w:rsid w:val="001D040C"/>
    <w:rsid w:val="001D2928"/>
    <w:rsid w:val="001D43F4"/>
    <w:rsid w:val="001D7E08"/>
    <w:rsid w:val="001E042B"/>
    <w:rsid w:val="001E079B"/>
    <w:rsid w:val="001E0BF2"/>
    <w:rsid w:val="001E3822"/>
    <w:rsid w:val="001E42F5"/>
    <w:rsid w:val="001E6A12"/>
    <w:rsid w:val="001F2EB1"/>
    <w:rsid w:val="001F4B38"/>
    <w:rsid w:val="00200C0B"/>
    <w:rsid w:val="00201186"/>
    <w:rsid w:val="00202057"/>
    <w:rsid w:val="002052E4"/>
    <w:rsid w:val="00205E3E"/>
    <w:rsid w:val="00206041"/>
    <w:rsid w:val="00206C21"/>
    <w:rsid w:val="002079C0"/>
    <w:rsid w:val="00207CD5"/>
    <w:rsid w:val="00207E04"/>
    <w:rsid w:val="0021090E"/>
    <w:rsid w:val="00211772"/>
    <w:rsid w:val="00213070"/>
    <w:rsid w:val="002132CB"/>
    <w:rsid w:val="00213373"/>
    <w:rsid w:val="002136AE"/>
    <w:rsid w:val="00213DAE"/>
    <w:rsid w:val="00215789"/>
    <w:rsid w:val="00216B26"/>
    <w:rsid w:val="002205D2"/>
    <w:rsid w:val="00220B5A"/>
    <w:rsid w:val="00222A36"/>
    <w:rsid w:val="002266FD"/>
    <w:rsid w:val="00227183"/>
    <w:rsid w:val="002321E0"/>
    <w:rsid w:val="00233AC6"/>
    <w:rsid w:val="00234A59"/>
    <w:rsid w:val="002363AC"/>
    <w:rsid w:val="0023651B"/>
    <w:rsid w:val="00241CB4"/>
    <w:rsid w:val="00242AE3"/>
    <w:rsid w:val="002439DC"/>
    <w:rsid w:val="00246514"/>
    <w:rsid w:val="0025111F"/>
    <w:rsid w:val="00252EAA"/>
    <w:rsid w:val="00253878"/>
    <w:rsid w:val="002564B7"/>
    <w:rsid w:val="002577C1"/>
    <w:rsid w:val="00261ADB"/>
    <w:rsid w:val="00263441"/>
    <w:rsid w:val="00263D2C"/>
    <w:rsid w:val="002671B7"/>
    <w:rsid w:val="0027085D"/>
    <w:rsid w:val="00270E33"/>
    <w:rsid w:val="00271CC3"/>
    <w:rsid w:val="0027353C"/>
    <w:rsid w:val="00273F2A"/>
    <w:rsid w:val="00274328"/>
    <w:rsid w:val="002745D7"/>
    <w:rsid w:val="00274C98"/>
    <w:rsid w:val="002757E1"/>
    <w:rsid w:val="00275CFA"/>
    <w:rsid w:val="00277696"/>
    <w:rsid w:val="002816AA"/>
    <w:rsid w:val="002819A8"/>
    <w:rsid w:val="0028263C"/>
    <w:rsid w:val="00286DA1"/>
    <w:rsid w:val="002876A1"/>
    <w:rsid w:val="00290A65"/>
    <w:rsid w:val="00290E18"/>
    <w:rsid w:val="002916DE"/>
    <w:rsid w:val="00291F98"/>
    <w:rsid w:val="00292881"/>
    <w:rsid w:val="00293FA1"/>
    <w:rsid w:val="0029434B"/>
    <w:rsid w:val="0029560E"/>
    <w:rsid w:val="002A0C32"/>
    <w:rsid w:val="002A139B"/>
    <w:rsid w:val="002A3326"/>
    <w:rsid w:val="002A3864"/>
    <w:rsid w:val="002A3B8B"/>
    <w:rsid w:val="002A4437"/>
    <w:rsid w:val="002A5895"/>
    <w:rsid w:val="002A73CB"/>
    <w:rsid w:val="002A7DC0"/>
    <w:rsid w:val="002B0433"/>
    <w:rsid w:val="002B06A6"/>
    <w:rsid w:val="002B151D"/>
    <w:rsid w:val="002B3D0C"/>
    <w:rsid w:val="002B55F2"/>
    <w:rsid w:val="002B676B"/>
    <w:rsid w:val="002C09D2"/>
    <w:rsid w:val="002C0CD1"/>
    <w:rsid w:val="002C13B4"/>
    <w:rsid w:val="002C14D1"/>
    <w:rsid w:val="002C1F50"/>
    <w:rsid w:val="002C2418"/>
    <w:rsid w:val="002C2ED4"/>
    <w:rsid w:val="002C35F1"/>
    <w:rsid w:val="002C3D00"/>
    <w:rsid w:val="002C3EB5"/>
    <w:rsid w:val="002C3F49"/>
    <w:rsid w:val="002C43B7"/>
    <w:rsid w:val="002C53C4"/>
    <w:rsid w:val="002D277E"/>
    <w:rsid w:val="002D489A"/>
    <w:rsid w:val="002D4CAF"/>
    <w:rsid w:val="002D4D4B"/>
    <w:rsid w:val="002D5E9F"/>
    <w:rsid w:val="002D6430"/>
    <w:rsid w:val="002E1472"/>
    <w:rsid w:val="002E1B72"/>
    <w:rsid w:val="002E2CCF"/>
    <w:rsid w:val="002E5870"/>
    <w:rsid w:val="002E58BB"/>
    <w:rsid w:val="002F05DE"/>
    <w:rsid w:val="002F3AA5"/>
    <w:rsid w:val="002F4B71"/>
    <w:rsid w:val="002F5D4E"/>
    <w:rsid w:val="002F6D46"/>
    <w:rsid w:val="002F6E6E"/>
    <w:rsid w:val="00300DD1"/>
    <w:rsid w:val="00301F63"/>
    <w:rsid w:val="003032A7"/>
    <w:rsid w:val="00304776"/>
    <w:rsid w:val="00305957"/>
    <w:rsid w:val="00306097"/>
    <w:rsid w:val="003112FF"/>
    <w:rsid w:val="00311D17"/>
    <w:rsid w:val="00312428"/>
    <w:rsid w:val="00312827"/>
    <w:rsid w:val="00314289"/>
    <w:rsid w:val="00315789"/>
    <w:rsid w:val="0032116F"/>
    <w:rsid w:val="00325209"/>
    <w:rsid w:val="00326245"/>
    <w:rsid w:val="00330525"/>
    <w:rsid w:val="00330F3C"/>
    <w:rsid w:val="00331A13"/>
    <w:rsid w:val="0033493F"/>
    <w:rsid w:val="003351E2"/>
    <w:rsid w:val="00335357"/>
    <w:rsid w:val="00335E82"/>
    <w:rsid w:val="00336B8B"/>
    <w:rsid w:val="00341591"/>
    <w:rsid w:val="003441FA"/>
    <w:rsid w:val="003454A6"/>
    <w:rsid w:val="0034568F"/>
    <w:rsid w:val="00346866"/>
    <w:rsid w:val="00347BF0"/>
    <w:rsid w:val="00347D72"/>
    <w:rsid w:val="00350417"/>
    <w:rsid w:val="00353603"/>
    <w:rsid w:val="00353B8E"/>
    <w:rsid w:val="003608BA"/>
    <w:rsid w:val="00363807"/>
    <w:rsid w:val="00365157"/>
    <w:rsid w:val="00365F39"/>
    <w:rsid w:val="003679CB"/>
    <w:rsid w:val="00371F3E"/>
    <w:rsid w:val="00372EA6"/>
    <w:rsid w:val="00374AF0"/>
    <w:rsid w:val="00380840"/>
    <w:rsid w:val="0038165F"/>
    <w:rsid w:val="003829ED"/>
    <w:rsid w:val="0038348F"/>
    <w:rsid w:val="00385F77"/>
    <w:rsid w:val="00386A76"/>
    <w:rsid w:val="00390D76"/>
    <w:rsid w:val="00392424"/>
    <w:rsid w:val="00393221"/>
    <w:rsid w:val="003962ED"/>
    <w:rsid w:val="003978D2"/>
    <w:rsid w:val="00397CE7"/>
    <w:rsid w:val="003A2791"/>
    <w:rsid w:val="003A42AA"/>
    <w:rsid w:val="003A552B"/>
    <w:rsid w:val="003A74B2"/>
    <w:rsid w:val="003A7A93"/>
    <w:rsid w:val="003B0107"/>
    <w:rsid w:val="003B29DA"/>
    <w:rsid w:val="003B34AF"/>
    <w:rsid w:val="003B45B8"/>
    <w:rsid w:val="003C00FF"/>
    <w:rsid w:val="003C2B6E"/>
    <w:rsid w:val="003C3AA3"/>
    <w:rsid w:val="003C3ABC"/>
    <w:rsid w:val="003C3F9D"/>
    <w:rsid w:val="003C51C7"/>
    <w:rsid w:val="003C51F1"/>
    <w:rsid w:val="003C5466"/>
    <w:rsid w:val="003D1AD8"/>
    <w:rsid w:val="003D1E4A"/>
    <w:rsid w:val="003D3747"/>
    <w:rsid w:val="003D395B"/>
    <w:rsid w:val="003D3F02"/>
    <w:rsid w:val="003D4876"/>
    <w:rsid w:val="003D65C7"/>
    <w:rsid w:val="003E0B7B"/>
    <w:rsid w:val="003E28C1"/>
    <w:rsid w:val="003E4A01"/>
    <w:rsid w:val="003E4EAA"/>
    <w:rsid w:val="003E7011"/>
    <w:rsid w:val="003E7BF0"/>
    <w:rsid w:val="003E7C23"/>
    <w:rsid w:val="003F10C1"/>
    <w:rsid w:val="003F394C"/>
    <w:rsid w:val="003F434F"/>
    <w:rsid w:val="003F4358"/>
    <w:rsid w:val="003F7790"/>
    <w:rsid w:val="003F7B40"/>
    <w:rsid w:val="003F7EC1"/>
    <w:rsid w:val="00400700"/>
    <w:rsid w:val="00411043"/>
    <w:rsid w:val="004148C3"/>
    <w:rsid w:val="004155EB"/>
    <w:rsid w:val="00415B10"/>
    <w:rsid w:val="0041735B"/>
    <w:rsid w:val="0042212F"/>
    <w:rsid w:val="004247F3"/>
    <w:rsid w:val="00424819"/>
    <w:rsid w:val="004270E3"/>
    <w:rsid w:val="0042736C"/>
    <w:rsid w:val="004278F4"/>
    <w:rsid w:val="00431870"/>
    <w:rsid w:val="00435440"/>
    <w:rsid w:val="00436710"/>
    <w:rsid w:val="0043757E"/>
    <w:rsid w:val="00442C7A"/>
    <w:rsid w:val="00443CF9"/>
    <w:rsid w:val="004449D6"/>
    <w:rsid w:val="0044513F"/>
    <w:rsid w:val="00446F55"/>
    <w:rsid w:val="004503C3"/>
    <w:rsid w:val="00450CD4"/>
    <w:rsid w:val="004513B6"/>
    <w:rsid w:val="00451765"/>
    <w:rsid w:val="00451F5A"/>
    <w:rsid w:val="004527E2"/>
    <w:rsid w:val="004609D5"/>
    <w:rsid w:val="004626B7"/>
    <w:rsid w:val="004702AC"/>
    <w:rsid w:val="00474C2C"/>
    <w:rsid w:val="0047570F"/>
    <w:rsid w:val="0047623C"/>
    <w:rsid w:val="0047677D"/>
    <w:rsid w:val="00476B00"/>
    <w:rsid w:val="00480830"/>
    <w:rsid w:val="004811BF"/>
    <w:rsid w:val="00481A29"/>
    <w:rsid w:val="004833DA"/>
    <w:rsid w:val="00483FAF"/>
    <w:rsid w:val="004865C1"/>
    <w:rsid w:val="004869A4"/>
    <w:rsid w:val="004869EC"/>
    <w:rsid w:val="00486FAE"/>
    <w:rsid w:val="004915CD"/>
    <w:rsid w:val="00491BBF"/>
    <w:rsid w:val="00491DA3"/>
    <w:rsid w:val="00492D98"/>
    <w:rsid w:val="00493711"/>
    <w:rsid w:val="0049573A"/>
    <w:rsid w:val="00497450"/>
    <w:rsid w:val="00497A78"/>
    <w:rsid w:val="004A034D"/>
    <w:rsid w:val="004A2630"/>
    <w:rsid w:val="004A337A"/>
    <w:rsid w:val="004A3FAE"/>
    <w:rsid w:val="004A4207"/>
    <w:rsid w:val="004A5DC8"/>
    <w:rsid w:val="004A5E9B"/>
    <w:rsid w:val="004A7CC1"/>
    <w:rsid w:val="004B094A"/>
    <w:rsid w:val="004B1A0C"/>
    <w:rsid w:val="004B1B15"/>
    <w:rsid w:val="004B2039"/>
    <w:rsid w:val="004B2E33"/>
    <w:rsid w:val="004B350F"/>
    <w:rsid w:val="004B639A"/>
    <w:rsid w:val="004B6B13"/>
    <w:rsid w:val="004B6E47"/>
    <w:rsid w:val="004B6E81"/>
    <w:rsid w:val="004B7885"/>
    <w:rsid w:val="004C0604"/>
    <w:rsid w:val="004C13F1"/>
    <w:rsid w:val="004C1889"/>
    <w:rsid w:val="004C24F3"/>
    <w:rsid w:val="004C2697"/>
    <w:rsid w:val="004C3256"/>
    <w:rsid w:val="004C3796"/>
    <w:rsid w:val="004C4EF0"/>
    <w:rsid w:val="004C6095"/>
    <w:rsid w:val="004C6FAE"/>
    <w:rsid w:val="004D1259"/>
    <w:rsid w:val="004D296C"/>
    <w:rsid w:val="004D47D9"/>
    <w:rsid w:val="004D649A"/>
    <w:rsid w:val="004D6BC3"/>
    <w:rsid w:val="004D7B00"/>
    <w:rsid w:val="004E025F"/>
    <w:rsid w:val="004E056F"/>
    <w:rsid w:val="004E0820"/>
    <w:rsid w:val="004E1222"/>
    <w:rsid w:val="004E3C5A"/>
    <w:rsid w:val="004E5DEB"/>
    <w:rsid w:val="004E795E"/>
    <w:rsid w:val="004E79B0"/>
    <w:rsid w:val="004E7ABC"/>
    <w:rsid w:val="004E7D4E"/>
    <w:rsid w:val="004F106E"/>
    <w:rsid w:val="004F11A6"/>
    <w:rsid w:val="004F1244"/>
    <w:rsid w:val="004F379F"/>
    <w:rsid w:val="004F3DC3"/>
    <w:rsid w:val="004F3F0B"/>
    <w:rsid w:val="004F64AF"/>
    <w:rsid w:val="004F71B5"/>
    <w:rsid w:val="00502E0C"/>
    <w:rsid w:val="00505317"/>
    <w:rsid w:val="005059FD"/>
    <w:rsid w:val="00507711"/>
    <w:rsid w:val="00507808"/>
    <w:rsid w:val="00510DE7"/>
    <w:rsid w:val="00511B4E"/>
    <w:rsid w:val="00513BE2"/>
    <w:rsid w:val="00514642"/>
    <w:rsid w:val="00514763"/>
    <w:rsid w:val="00514816"/>
    <w:rsid w:val="00517B29"/>
    <w:rsid w:val="00517DAD"/>
    <w:rsid w:val="00520D4B"/>
    <w:rsid w:val="00521822"/>
    <w:rsid w:val="00522B95"/>
    <w:rsid w:val="00522E6E"/>
    <w:rsid w:val="0052320B"/>
    <w:rsid w:val="005237A8"/>
    <w:rsid w:val="00523C62"/>
    <w:rsid w:val="00525A86"/>
    <w:rsid w:val="00526698"/>
    <w:rsid w:val="00531A02"/>
    <w:rsid w:val="005335B3"/>
    <w:rsid w:val="0053660F"/>
    <w:rsid w:val="00540A1A"/>
    <w:rsid w:val="00542830"/>
    <w:rsid w:val="0054288F"/>
    <w:rsid w:val="005433D8"/>
    <w:rsid w:val="00543B66"/>
    <w:rsid w:val="0054677A"/>
    <w:rsid w:val="00547E95"/>
    <w:rsid w:val="0055117F"/>
    <w:rsid w:val="00551630"/>
    <w:rsid w:val="005551B0"/>
    <w:rsid w:val="0055571F"/>
    <w:rsid w:val="00557BCD"/>
    <w:rsid w:val="00557EA2"/>
    <w:rsid w:val="00560CB3"/>
    <w:rsid w:val="00561806"/>
    <w:rsid w:val="00564B26"/>
    <w:rsid w:val="005702EE"/>
    <w:rsid w:val="00574543"/>
    <w:rsid w:val="00575D28"/>
    <w:rsid w:val="005766A4"/>
    <w:rsid w:val="005771B5"/>
    <w:rsid w:val="00577979"/>
    <w:rsid w:val="00582A40"/>
    <w:rsid w:val="005851D9"/>
    <w:rsid w:val="00585644"/>
    <w:rsid w:val="00586F8D"/>
    <w:rsid w:val="00587AE7"/>
    <w:rsid w:val="0059147B"/>
    <w:rsid w:val="0059501C"/>
    <w:rsid w:val="00595123"/>
    <w:rsid w:val="005951F4"/>
    <w:rsid w:val="005953F3"/>
    <w:rsid w:val="005967D4"/>
    <w:rsid w:val="00597FD9"/>
    <w:rsid w:val="005A1AD4"/>
    <w:rsid w:val="005A22F2"/>
    <w:rsid w:val="005A2DD1"/>
    <w:rsid w:val="005A4361"/>
    <w:rsid w:val="005A4735"/>
    <w:rsid w:val="005A5705"/>
    <w:rsid w:val="005A58A9"/>
    <w:rsid w:val="005A6FC9"/>
    <w:rsid w:val="005B012A"/>
    <w:rsid w:val="005B1612"/>
    <w:rsid w:val="005B39FB"/>
    <w:rsid w:val="005B5820"/>
    <w:rsid w:val="005B615B"/>
    <w:rsid w:val="005B7891"/>
    <w:rsid w:val="005C041B"/>
    <w:rsid w:val="005C044B"/>
    <w:rsid w:val="005C0C9F"/>
    <w:rsid w:val="005C1600"/>
    <w:rsid w:val="005C1B56"/>
    <w:rsid w:val="005C2121"/>
    <w:rsid w:val="005C51C2"/>
    <w:rsid w:val="005C7BB5"/>
    <w:rsid w:val="005D0F4B"/>
    <w:rsid w:val="005D14FA"/>
    <w:rsid w:val="005D27A9"/>
    <w:rsid w:val="005D3E8E"/>
    <w:rsid w:val="005D64B4"/>
    <w:rsid w:val="005D6A74"/>
    <w:rsid w:val="005D6EF0"/>
    <w:rsid w:val="005D72D6"/>
    <w:rsid w:val="005D7DF4"/>
    <w:rsid w:val="005E0657"/>
    <w:rsid w:val="005E0820"/>
    <w:rsid w:val="005E208A"/>
    <w:rsid w:val="005E2113"/>
    <w:rsid w:val="005E2E02"/>
    <w:rsid w:val="005E4F10"/>
    <w:rsid w:val="005E52C9"/>
    <w:rsid w:val="005E589A"/>
    <w:rsid w:val="005E661B"/>
    <w:rsid w:val="005F3CC0"/>
    <w:rsid w:val="005F5A6A"/>
    <w:rsid w:val="0060068D"/>
    <w:rsid w:val="006036BE"/>
    <w:rsid w:val="0060527F"/>
    <w:rsid w:val="0060597B"/>
    <w:rsid w:val="00607214"/>
    <w:rsid w:val="006073A6"/>
    <w:rsid w:val="00610EF3"/>
    <w:rsid w:val="00610F7F"/>
    <w:rsid w:val="00612A4B"/>
    <w:rsid w:val="00614388"/>
    <w:rsid w:val="00615655"/>
    <w:rsid w:val="00620C38"/>
    <w:rsid w:val="006210E4"/>
    <w:rsid w:val="00622BEE"/>
    <w:rsid w:val="006249EB"/>
    <w:rsid w:val="00624B5A"/>
    <w:rsid w:val="00625A8B"/>
    <w:rsid w:val="00626841"/>
    <w:rsid w:val="00627CA4"/>
    <w:rsid w:val="00632986"/>
    <w:rsid w:val="00633FC4"/>
    <w:rsid w:val="00635F1C"/>
    <w:rsid w:val="006375F3"/>
    <w:rsid w:val="006378D5"/>
    <w:rsid w:val="0064028E"/>
    <w:rsid w:val="00640A8B"/>
    <w:rsid w:val="00641048"/>
    <w:rsid w:val="00644577"/>
    <w:rsid w:val="00647770"/>
    <w:rsid w:val="00650140"/>
    <w:rsid w:val="00651E53"/>
    <w:rsid w:val="0065343F"/>
    <w:rsid w:val="006541A7"/>
    <w:rsid w:val="00655D32"/>
    <w:rsid w:val="00656C38"/>
    <w:rsid w:val="00661C14"/>
    <w:rsid w:val="00662EB2"/>
    <w:rsid w:val="00663883"/>
    <w:rsid w:val="006669E2"/>
    <w:rsid w:val="00667B22"/>
    <w:rsid w:val="00667BFB"/>
    <w:rsid w:val="00670CC6"/>
    <w:rsid w:val="0067346F"/>
    <w:rsid w:val="0067440A"/>
    <w:rsid w:val="00680B37"/>
    <w:rsid w:val="0068138F"/>
    <w:rsid w:val="00681512"/>
    <w:rsid w:val="00681CDE"/>
    <w:rsid w:val="00682D08"/>
    <w:rsid w:val="006830A6"/>
    <w:rsid w:val="0068387C"/>
    <w:rsid w:val="00683DD6"/>
    <w:rsid w:val="006840F9"/>
    <w:rsid w:val="0069074A"/>
    <w:rsid w:val="00690A03"/>
    <w:rsid w:val="006935C5"/>
    <w:rsid w:val="00693DE4"/>
    <w:rsid w:val="00694436"/>
    <w:rsid w:val="006965A9"/>
    <w:rsid w:val="00696CAD"/>
    <w:rsid w:val="00696CCC"/>
    <w:rsid w:val="00696E76"/>
    <w:rsid w:val="00697F59"/>
    <w:rsid w:val="006A1262"/>
    <w:rsid w:val="006A2732"/>
    <w:rsid w:val="006A41C1"/>
    <w:rsid w:val="006A49AB"/>
    <w:rsid w:val="006A6008"/>
    <w:rsid w:val="006A671F"/>
    <w:rsid w:val="006B0648"/>
    <w:rsid w:val="006B078B"/>
    <w:rsid w:val="006B156A"/>
    <w:rsid w:val="006B2992"/>
    <w:rsid w:val="006B324A"/>
    <w:rsid w:val="006B32D2"/>
    <w:rsid w:val="006B3E29"/>
    <w:rsid w:val="006B452A"/>
    <w:rsid w:val="006B63EF"/>
    <w:rsid w:val="006B6C3C"/>
    <w:rsid w:val="006C020A"/>
    <w:rsid w:val="006C0AB5"/>
    <w:rsid w:val="006C1A47"/>
    <w:rsid w:val="006C4408"/>
    <w:rsid w:val="006C6604"/>
    <w:rsid w:val="006D09ED"/>
    <w:rsid w:val="006D1A27"/>
    <w:rsid w:val="006D2AE2"/>
    <w:rsid w:val="006D5DE2"/>
    <w:rsid w:val="006D6446"/>
    <w:rsid w:val="006D7CB3"/>
    <w:rsid w:val="006E494E"/>
    <w:rsid w:val="006E6676"/>
    <w:rsid w:val="006E7BD0"/>
    <w:rsid w:val="006F137C"/>
    <w:rsid w:val="006F163A"/>
    <w:rsid w:val="006F1733"/>
    <w:rsid w:val="006F439B"/>
    <w:rsid w:val="006F7B20"/>
    <w:rsid w:val="007009C2"/>
    <w:rsid w:val="00701C0E"/>
    <w:rsid w:val="00702657"/>
    <w:rsid w:val="00705699"/>
    <w:rsid w:val="00705EA4"/>
    <w:rsid w:val="007106A6"/>
    <w:rsid w:val="0071071F"/>
    <w:rsid w:val="00711EB2"/>
    <w:rsid w:val="00712DBB"/>
    <w:rsid w:val="00713583"/>
    <w:rsid w:val="00714889"/>
    <w:rsid w:val="007200B9"/>
    <w:rsid w:val="00720E43"/>
    <w:rsid w:val="00721618"/>
    <w:rsid w:val="0072187E"/>
    <w:rsid w:val="00721DB4"/>
    <w:rsid w:val="00721EF6"/>
    <w:rsid w:val="0072234B"/>
    <w:rsid w:val="00722CA0"/>
    <w:rsid w:val="00722F75"/>
    <w:rsid w:val="00726B07"/>
    <w:rsid w:val="007309D3"/>
    <w:rsid w:val="007339B1"/>
    <w:rsid w:val="007353D2"/>
    <w:rsid w:val="00737010"/>
    <w:rsid w:val="00742A58"/>
    <w:rsid w:val="0075108D"/>
    <w:rsid w:val="0075211A"/>
    <w:rsid w:val="007531E1"/>
    <w:rsid w:val="00753973"/>
    <w:rsid w:val="00755CBB"/>
    <w:rsid w:val="007608BA"/>
    <w:rsid w:val="00761F1B"/>
    <w:rsid w:val="0076338E"/>
    <w:rsid w:val="00763655"/>
    <w:rsid w:val="00764030"/>
    <w:rsid w:val="007649C3"/>
    <w:rsid w:val="00771A72"/>
    <w:rsid w:val="00771AD4"/>
    <w:rsid w:val="00772349"/>
    <w:rsid w:val="00774756"/>
    <w:rsid w:val="00775A40"/>
    <w:rsid w:val="00776872"/>
    <w:rsid w:val="007768BE"/>
    <w:rsid w:val="007808B4"/>
    <w:rsid w:val="007822A7"/>
    <w:rsid w:val="00785BD1"/>
    <w:rsid w:val="0078626F"/>
    <w:rsid w:val="007876E9"/>
    <w:rsid w:val="00790888"/>
    <w:rsid w:val="00790A42"/>
    <w:rsid w:val="00791770"/>
    <w:rsid w:val="00792E66"/>
    <w:rsid w:val="00797043"/>
    <w:rsid w:val="007A0645"/>
    <w:rsid w:val="007A0E3A"/>
    <w:rsid w:val="007A0E82"/>
    <w:rsid w:val="007A2454"/>
    <w:rsid w:val="007A254D"/>
    <w:rsid w:val="007A35D0"/>
    <w:rsid w:val="007A3BA0"/>
    <w:rsid w:val="007A40DC"/>
    <w:rsid w:val="007A53D5"/>
    <w:rsid w:val="007A7BBE"/>
    <w:rsid w:val="007B1BD6"/>
    <w:rsid w:val="007B27B3"/>
    <w:rsid w:val="007B451F"/>
    <w:rsid w:val="007B6AF8"/>
    <w:rsid w:val="007C0388"/>
    <w:rsid w:val="007C13B5"/>
    <w:rsid w:val="007C2D37"/>
    <w:rsid w:val="007C2E5C"/>
    <w:rsid w:val="007C5E3E"/>
    <w:rsid w:val="007C76A7"/>
    <w:rsid w:val="007D0CAB"/>
    <w:rsid w:val="007D18E1"/>
    <w:rsid w:val="007D45B8"/>
    <w:rsid w:val="007D4D54"/>
    <w:rsid w:val="007D543E"/>
    <w:rsid w:val="007D5B7A"/>
    <w:rsid w:val="007D6F1A"/>
    <w:rsid w:val="007E2055"/>
    <w:rsid w:val="007E2233"/>
    <w:rsid w:val="007E3467"/>
    <w:rsid w:val="007E4743"/>
    <w:rsid w:val="007E4A1A"/>
    <w:rsid w:val="007E4C7A"/>
    <w:rsid w:val="007E4CFB"/>
    <w:rsid w:val="007F0B09"/>
    <w:rsid w:val="007F1FAF"/>
    <w:rsid w:val="007F34F5"/>
    <w:rsid w:val="007F369F"/>
    <w:rsid w:val="007F48C7"/>
    <w:rsid w:val="007F4B5F"/>
    <w:rsid w:val="007F52EC"/>
    <w:rsid w:val="007F585A"/>
    <w:rsid w:val="007F6ADC"/>
    <w:rsid w:val="00800794"/>
    <w:rsid w:val="00801F98"/>
    <w:rsid w:val="00802862"/>
    <w:rsid w:val="00805785"/>
    <w:rsid w:val="008058C7"/>
    <w:rsid w:val="00806CC8"/>
    <w:rsid w:val="00807385"/>
    <w:rsid w:val="008079AC"/>
    <w:rsid w:val="00812B37"/>
    <w:rsid w:val="008166BA"/>
    <w:rsid w:val="00817F6B"/>
    <w:rsid w:val="008202D1"/>
    <w:rsid w:val="00821185"/>
    <w:rsid w:val="00821756"/>
    <w:rsid w:val="00824A08"/>
    <w:rsid w:val="00825239"/>
    <w:rsid w:val="008258C3"/>
    <w:rsid w:val="00826A04"/>
    <w:rsid w:val="008275B6"/>
    <w:rsid w:val="00831EFE"/>
    <w:rsid w:val="008334D1"/>
    <w:rsid w:val="008339E2"/>
    <w:rsid w:val="00835AA1"/>
    <w:rsid w:val="00835F92"/>
    <w:rsid w:val="008403DB"/>
    <w:rsid w:val="008446C4"/>
    <w:rsid w:val="0084532A"/>
    <w:rsid w:val="00846430"/>
    <w:rsid w:val="008476DE"/>
    <w:rsid w:val="00852EBD"/>
    <w:rsid w:val="00853586"/>
    <w:rsid w:val="00853685"/>
    <w:rsid w:val="00854600"/>
    <w:rsid w:val="008577BE"/>
    <w:rsid w:val="0085796C"/>
    <w:rsid w:val="008607C9"/>
    <w:rsid w:val="008621CF"/>
    <w:rsid w:val="00862B2B"/>
    <w:rsid w:val="00863BC0"/>
    <w:rsid w:val="00865858"/>
    <w:rsid w:val="00865D68"/>
    <w:rsid w:val="008672BF"/>
    <w:rsid w:val="0087039A"/>
    <w:rsid w:val="00872319"/>
    <w:rsid w:val="00874833"/>
    <w:rsid w:val="008753DA"/>
    <w:rsid w:val="00875AC9"/>
    <w:rsid w:val="00875CE0"/>
    <w:rsid w:val="00876F6E"/>
    <w:rsid w:val="00880C3C"/>
    <w:rsid w:val="0088168B"/>
    <w:rsid w:val="00882640"/>
    <w:rsid w:val="00882F87"/>
    <w:rsid w:val="008840A3"/>
    <w:rsid w:val="00884889"/>
    <w:rsid w:val="008876AC"/>
    <w:rsid w:val="00887D93"/>
    <w:rsid w:val="008907A7"/>
    <w:rsid w:val="00891190"/>
    <w:rsid w:val="00891A7C"/>
    <w:rsid w:val="0089220B"/>
    <w:rsid w:val="008939F6"/>
    <w:rsid w:val="00894434"/>
    <w:rsid w:val="00896D2C"/>
    <w:rsid w:val="008A0AB5"/>
    <w:rsid w:val="008A3627"/>
    <w:rsid w:val="008A3789"/>
    <w:rsid w:val="008A3D8B"/>
    <w:rsid w:val="008A3EF2"/>
    <w:rsid w:val="008A51F5"/>
    <w:rsid w:val="008B1322"/>
    <w:rsid w:val="008B467A"/>
    <w:rsid w:val="008C12C1"/>
    <w:rsid w:val="008C2BBF"/>
    <w:rsid w:val="008C30A2"/>
    <w:rsid w:val="008C418E"/>
    <w:rsid w:val="008C4428"/>
    <w:rsid w:val="008C45BC"/>
    <w:rsid w:val="008C4FD5"/>
    <w:rsid w:val="008C56F9"/>
    <w:rsid w:val="008C57B7"/>
    <w:rsid w:val="008C7B4E"/>
    <w:rsid w:val="008D21A9"/>
    <w:rsid w:val="008D3959"/>
    <w:rsid w:val="008D5222"/>
    <w:rsid w:val="008D745B"/>
    <w:rsid w:val="008E2EE2"/>
    <w:rsid w:val="008E338C"/>
    <w:rsid w:val="008E67E6"/>
    <w:rsid w:val="008E71D5"/>
    <w:rsid w:val="008F2166"/>
    <w:rsid w:val="008F2CFF"/>
    <w:rsid w:val="008F53AB"/>
    <w:rsid w:val="008F6608"/>
    <w:rsid w:val="008F6E1B"/>
    <w:rsid w:val="008F7869"/>
    <w:rsid w:val="009009E1"/>
    <w:rsid w:val="00900BF1"/>
    <w:rsid w:val="0090269C"/>
    <w:rsid w:val="00902C30"/>
    <w:rsid w:val="009032F2"/>
    <w:rsid w:val="0090462C"/>
    <w:rsid w:val="00904E19"/>
    <w:rsid w:val="00905B70"/>
    <w:rsid w:val="00907027"/>
    <w:rsid w:val="00912D0E"/>
    <w:rsid w:val="009138C5"/>
    <w:rsid w:val="00916B62"/>
    <w:rsid w:val="00917302"/>
    <w:rsid w:val="00921DF4"/>
    <w:rsid w:val="00921EB1"/>
    <w:rsid w:val="00923A9F"/>
    <w:rsid w:val="0092722E"/>
    <w:rsid w:val="009331E0"/>
    <w:rsid w:val="00934471"/>
    <w:rsid w:val="009351E8"/>
    <w:rsid w:val="009404F0"/>
    <w:rsid w:val="00940608"/>
    <w:rsid w:val="009472D2"/>
    <w:rsid w:val="0095435D"/>
    <w:rsid w:val="009579ED"/>
    <w:rsid w:val="00961004"/>
    <w:rsid w:val="0096155E"/>
    <w:rsid w:val="009625EA"/>
    <w:rsid w:val="009628C8"/>
    <w:rsid w:val="009629A5"/>
    <w:rsid w:val="009632BA"/>
    <w:rsid w:val="00964571"/>
    <w:rsid w:val="00964643"/>
    <w:rsid w:val="00964BF1"/>
    <w:rsid w:val="00964C48"/>
    <w:rsid w:val="0096532A"/>
    <w:rsid w:val="00966792"/>
    <w:rsid w:val="00970624"/>
    <w:rsid w:val="009708DF"/>
    <w:rsid w:val="0097094B"/>
    <w:rsid w:val="00974CA8"/>
    <w:rsid w:val="009753F8"/>
    <w:rsid w:val="0097560C"/>
    <w:rsid w:val="00976B62"/>
    <w:rsid w:val="00977BCF"/>
    <w:rsid w:val="009802DB"/>
    <w:rsid w:val="00981B70"/>
    <w:rsid w:val="0098266D"/>
    <w:rsid w:val="00982D0D"/>
    <w:rsid w:val="009832F7"/>
    <w:rsid w:val="009846A2"/>
    <w:rsid w:val="009854BE"/>
    <w:rsid w:val="00986223"/>
    <w:rsid w:val="00986AA3"/>
    <w:rsid w:val="00987BD2"/>
    <w:rsid w:val="009919A6"/>
    <w:rsid w:val="0099296A"/>
    <w:rsid w:val="009949E4"/>
    <w:rsid w:val="00997616"/>
    <w:rsid w:val="009A111B"/>
    <w:rsid w:val="009A1374"/>
    <w:rsid w:val="009A66FD"/>
    <w:rsid w:val="009A67C3"/>
    <w:rsid w:val="009A71B0"/>
    <w:rsid w:val="009B0AD3"/>
    <w:rsid w:val="009B1743"/>
    <w:rsid w:val="009B2D95"/>
    <w:rsid w:val="009B3D38"/>
    <w:rsid w:val="009B5239"/>
    <w:rsid w:val="009B6D2A"/>
    <w:rsid w:val="009C430E"/>
    <w:rsid w:val="009C725A"/>
    <w:rsid w:val="009C73FA"/>
    <w:rsid w:val="009C7633"/>
    <w:rsid w:val="009D0E7E"/>
    <w:rsid w:val="009D2958"/>
    <w:rsid w:val="009D33BA"/>
    <w:rsid w:val="009D7F39"/>
    <w:rsid w:val="009E08AA"/>
    <w:rsid w:val="009E0C5B"/>
    <w:rsid w:val="009E0E36"/>
    <w:rsid w:val="009E5757"/>
    <w:rsid w:val="009E7104"/>
    <w:rsid w:val="009E753B"/>
    <w:rsid w:val="009F1A88"/>
    <w:rsid w:val="009F3570"/>
    <w:rsid w:val="009F4F40"/>
    <w:rsid w:val="009F5AFB"/>
    <w:rsid w:val="009F5BAE"/>
    <w:rsid w:val="009F657B"/>
    <w:rsid w:val="009F7C44"/>
    <w:rsid w:val="00A01051"/>
    <w:rsid w:val="00A019D2"/>
    <w:rsid w:val="00A02388"/>
    <w:rsid w:val="00A0469D"/>
    <w:rsid w:val="00A10027"/>
    <w:rsid w:val="00A11435"/>
    <w:rsid w:val="00A114B5"/>
    <w:rsid w:val="00A12A45"/>
    <w:rsid w:val="00A12E3B"/>
    <w:rsid w:val="00A13928"/>
    <w:rsid w:val="00A16919"/>
    <w:rsid w:val="00A177F5"/>
    <w:rsid w:val="00A20719"/>
    <w:rsid w:val="00A20ABA"/>
    <w:rsid w:val="00A21B2A"/>
    <w:rsid w:val="00A21F0D"/>
    <w:rsid w:val="00A2297A"/>
    <w:rsid w:val="00A22992"/>
    <w:rsid w:val="00A26449"/>
    <w:rsid w:val="00A26F15"/>
    <w:rsid w:val="00A3023B"/>
    <w:rsid w:val="00A330DA"/>
    <w:rsid w:val="00A3321E"/>
    <w:rsid w:val="00A33814"/>
    <w:rsid w:val="00A34426"/>
    <w:rsid w:val="00A42F5B"/>
    <w:rsid w:val="00A43131"/>
    <w:rsid w:val="00A4343D"/>
    <w:rsid w:val="00A45146"/>
    <w:rsid w:val="00A47AE2"/>
    <w:rsid w:val="00A509CD"/>
    <w:rsid w:val="00A52CEC"/>
    <w:rsid w:val="00A54CA5"/>
    <w:rsid w:val="00A55ACF"/>
    <w:rsid w:val="00A56CBE"/>
    <w:rsid w:val="00A57612"/>
    <w:rsid w:val="00A6035C"/>
    <w:rsid w:val="00A60902"/>
    <w:rsid w:val="00A635E4"/>
    <w:rsid w:val="00A6520C"/>
    <w:rsid w:val="00A67E8D"/>
    <w:rsid w:val="00A67F37"/>
    <w:rsid w:val="00A705E5"/>
    <w:rsid w:val="00A71611"/>
    <w:rsid w:val="00A739C9"/>
    <w:rsid w:val="00A73FCB"/>
    <w:rsid w:val="00A7726B"/>
    <w:rsid w:val="00A8094E"/>
    <w:rsid w:val="00A82A80"/>
    <w:rsid w:val="00A84079"/>
    <w:rsid w:val="00A84185"/>
    <w:rsid w:val="00A86776"/>
    <w:rsid w:val="00A87516"/>
    <w:rsid w:val="00A9101C"/>
    <w:rsid w:val="00A91F2F"/>
    <w:rsid w:val="00A96F53"/>
    <w:rsid w:val="00AA2114"/>
    <w:rsid w:val="00AA28A3"/>
    <w:rsid w:val="00AA32F9"/>
    <w:rsid w:val="00AA3ACD"/>
    <w:rsid w:val="00AA417F"/>
    <w:rsid w:val="00AA420D"/>
    <w:rsid w:val="00AA45A8"/>
    <w:rsid w:val="00AA467E"/>
    <w:rsid w:val="00AB0EFD"/>
    <w:rsid w:val="00AB3372"/>
    <w:rsid w:val="00AB3403"/>
    <w:rsid w:val="00AB4406"/>
    <w:rsid w:val="00AB446D"/>
    <w:rsid w:val="00AB519D"/>
    <w:rsid w:val="00AB7933"/>
    <w:rsid w:val="00AC0017"/>
    <w:rsid w:val="00AC0FC8"/>
    <w:rsid w:val="00AC1B4A"/>
    <w:rsid w:val="00AC1DF4"/>
    <w:rsid w:val="00AC3E78"/>
    <w:rsid w:val="00AC78C7"/>
    <w:rsid w:val="00AD07D0"/>
    <w:rsid w:val="00AD11D4"/>
    <w:rsid w:val="00AD414E"/>
    <w:rsid w:val="00AD5373"/>
    <w:rsid w:val="00AD6322"/>
    <w:rsid w:val="00AD6643"/>
    <w:rsid w:val="00AD6A5E"/>
    <w:rsid w:val="00AD6E51"/>
    <w:rsid w:val="00AE063C"/>
    <w:rsid w:val="00AE2228"/>
    <w:rsid w:val="00AE43D0"/>
    <w:rsid w:val="00AE4B99"/>
    <w:rsid w:val="00AE4BAF"/>
    <w:rsid w:val="00AE58E7"/>
    <w:rsid w:val="00AE6430"/>
    <w:rsid w:val="00AF0291"/>
    <w:rsid w:val="00AF19CA"/>
    <w:rsid w:val="00AF2678"/>
    <w:rsid w:val="00AF611C"/>
    <w:rsid w:val="00AF6FEE"/>
    <w:rsid w:val="00AF7524"/>
    <w:rsid w:val="00AF7DEA"/>
    <w:rsid w:val="00B02FE0"/>
    <w:rsid w:val="00B032A0"/>
    <w:rsid w:val="00B10337"/>
    <w:rsid w:val="00B1254B"/>
    <w:rsid w:val="00B13E60"/>
    <w:rsid w:val="00B1466F"/>
    <w:rsid w:val="00B153CD"/>
    <w:rsid w:val="00B17306"/>
    <w:rsid w:val="00B17EC0"/>
    <w:rsid w:val="00B20D3C"/>
    <w:rsid w:val="00B21535"/>
    <w:rsid w:val="00B21FDC"/>
    <w:rsid w:val="00B25C3C"/>
    <w:rsid w:val="00B27263"/>
    <w:rsid w:val="00B27977"/>
    <w:rsid w:val="00B309E2"/>
    <w:rsid w:val="00B3247D"/>
    <w:rsid w:val="00B3462D"/>
    <w:rsid w:val="00B36105"/>
    <w:rsid w:val="00B37E2C"/>
    <w:rsid w:val="00B412A7"/>
    <w:rsid w:val="00B4352C"/>
    <w:rsid w:val="00B43923"/>
    <w:rsid w:val="00B45614"/>
    <w:rsid w:val="00B4591C"/>
    <w:rsid w:val="00B517A5"/>
    <w:rsid w:val="00B51C4D"/>
    <w:rsid w:val="00B5463B"/>
    <w:rsid w:val="00B55260"/>
    <w:rsid w:val="00B55AC4"/>
    <w:rsid w:val="00B560F1"/>
    <w:rsid w:val="00B573CA"/>
    <w:rsid w:val="00B5769B"/>
    <w:rsid w:val="00B6052E"/>
    <w:rsid w:val="00B6196A"/>
    <w:rsid w:val="00B638D1"/>
    <w:rsid w:val="00B650AE"/>
    <w:rsid w:val="00B665FF"/>
    <w:rsid w:val="00B66FAC"/>
    <w:rsid w:val="00B72F30"/>
    <w:rsid w:val="00B731BC"/>
    <w:rsid w:val="00B7347D"/>
    <w:rsid w:val="00B7397B"/>
    <w:rsid w:val="00B81899"/>
    <w:rsid w:val="00B81DF5"/>
    <w:rsid w:val="00B82E05"/>
    <w:rsid w:val="00B852A2"/>
    <w:rsid w:val="00B920EE"/>
    <w:rsid w:val="00B94AFC"/>
    <w:rsid w:val="00B96093"/>
    <w:rsid w:val="00B96925"/>
    <w:rsid w:val="00B96E59"/>
    <w:rsid w:val="00B97B1D"/>
    <w:rsid w:val="00BA0C7C"/>
    <w:rsid w:val="00BA1212"/>
    <w:rsid w:val="00BA1B35"/>
    <w:rsid w:val="00BA1BB8"/>
    <w:rsid w:val="00BA1ECF"/>
    <w:rsid w:val="00BA3991"/>
    <w:rsid w:val="00BA3C94"/>
    <w:rsid w:val="00BA3CAB"/>
    <w:rsid w:val="00BA4D40"/>
    <w:rsid w:val="00BA5E59"/>
    <w:rsid w:val="00BA63D3"/>
    <w:rsid w:val="00BA6E16"/>
    <w:rsid w:val="00BA7550"/>
    <w:rsid w:val="00BB37EC"/>
    <w:rsid w:val="00BB5392"/>
    <w:rsid w:val="00BB540C"/>
    <w:rsid w:val="00BB5513"/>
    <w:rsid w:val="00BB7128"/>
    <w:rsid w:val="00BB7B91"/>
    <w:rsid w:val="00BB7C3A"/>
    <w:rsid w:val="00BC0E66"/>
    <w:rsid w:val="00BC1D9B"/>
    <w:rsid w:val="00BC21EE"/>
    <w:rsid w:val="00BC28F3"/>
    <w:rsid w:val="00BC314B"/>
    <w:rsid w:val="00BD07A6"/>
    <w:rsid w:val="00BD1445"/>
    <w:rsid w:val="00BD3024"/>
    <w:rsid w:val="00BD4167"/>
    <w:rsid w:val="00BD51B2"/>
    <w:rsid w:val="00BD64EB"/>
    <w:rsid w:val="00BD739A"/>
    <w:rsid w:val="00BD7766"/>
    <w:rsid w:val="00BE0634"/>
    <w:rsid w:val="00BE088B"/>
    <w:rsid w:val="00BE0D36"/>
    <w:rsid w:val="00BE0F9C"/>
    <w:rsid w:val="00BE1115"/>
    <w:rsid w:val="00BE22C5"/>
    <w:rsid w:val="00BE3E03"/>
    <w:rsid w:val="00BE53AF"/>
    <w:rsid w:val="00BE6699"/>
    <w:rsid w:val="00BE7BEF"/>
    <w:rsid w:val="00BF2BEF"/>
    <w:rsid w:val="00BF4FF1"/>
    <w:rsid w:val="00BF523F"/>
    <w:rsid w:val="00BF53C9"/>
    <w:rsid w:val="00BF587E"/>
    <w:rsid w:val="00C02AF5"/>
    <w:rsid w:val="00C03654"/>
    <w:rsid w:val="00C0480E"/>
    <w:rsid w:val="00C050DB"/>
    <w:rsid w:val="00C06228"/>
    <w:rsid w:val="00C067DF"/>
    <w:rsid w:val="00C06810"/>
    <w:rsid w:val="00C0747A"/>
    <w:rsid w:val="00C11393"/>
    <w:rsid w:val="00C11E4C"/>
    <w:rsid w:val="00C11E86"/>
    <w:rsid w:val="00C121E6"/>
    <w:rsid w:val="00C1344A"/>
    <w:rsid w:val="00C163E7"/>
    <w:rsid w:val="00C17011"/>
    <w:rsid w:val="00C20740"/>
    <w:rsid w:val="00C20D0A"/>
    <w:rsid w:val="00C21E76"/>
    <w:rsid w:val="00C23D75"/>
    <w:rsid w:val="00C24B69"/>
    <w:rsid w:val="00C252BB"/>
    <w:rsid w:val="00C25C2C"/>
    <w:rsid w:val="00C279BB"/>
    <w:rsid w:val="00C27D14"/>
    <w:rsid w:val="00C3085F"/>
    <w:rsid w:val="00C30ACE"/>
    <w:rsid w:val="00C317F2"/>
    <w:rsid w:val="00C336E5"/>
    <w:rsid w:val="00C33A93"/>
    <w:rsid w:val="00C3406A"/>
    <w:rsid w:val="00C40837"/>
    <w:rsid w:val="00C40B73"/>
    <w:rsid w:val="00C444EC"/>
    <w:rsid w:val="00C44769"/>
    <w:rsid w:val="00C4594F"/>
    <w:rsid w:val="00C51779"/>
    <w:rsid w:val="00C51C62"/>
    <w:rsid w:val="00C523BE"/>
    <w:rsid w:val="00C528F5"/>
    <w:rsid w:val="00C54F6B"/>
    <w:rsid w:val="00C55679"/>
    <w:rsid w:val="00C55AEE"/>
    <w:rsid w:val="00C57259"/>
    <w:rsid w:val="00C57342"/>
    <w:rsid w:val="00C57427"/>
    <w:rsid w:val="00C60CD2"/>
    <w:rsid w:val="00C65751"/>
    <w:rsid w:val="00C66CB1"/>
    <w:rsid w:val="00C66DA2"/>
    <w:rsid w:val="00C676DD"/>
    <w:rsid w:val="00C677AF"/>
    <w:rsid w:val="00C71E2E"/>
    <w:rsid w:val="00C8018E"/>
    <w:rsid w:val="00C81096"/>
    <w:rsid w:val="00C81B15"/>
    <w:rsid w:val="00C82C6E"/>
    <w:rsid w:val="00C83781"/>
    <w:rsid w:val="00C8452B"/>
    <w:rsid w:val="00C85474"/>
    <w:rsid w:val="00C85F7B"/>
    <w:rsid w:val="00C86FE6"/>
    <w:rsid w:val="00C90460"/>
    <w:rsid w:val="00C9210D"/>
    <w:rsid w:val="00C93379"/>
    <w:rsid w:val="00C94A2A"/>
    <w:rsid w:val="00C958B0"/>
    <w:rsid w:val="00C96D47"/>
    <w:rsid w:val="00CA20C3"/>
    <w:rsid w:val="00CA413C"/>
    <w:rsid w:val="00CA440C"/>
    <w:rsid w:val="00CA5C85"/>
    <w:rsid w:val="00CA6880"/>
    <w:rsid w:val="00CB199B"/>
    <w:rsid w:val="00CB1C4D"/>
    <w:rsid w:val="00CB25AC"/>
    <w:rsid w:val="00CB3F32"/>
    <w:rsid w:val="00CB4FEF"/>
    <w:rsid w:val="00CB5418"/>
    <w:rsid w:val="00CB7711"/>
    <w:rsid w:val="00CB79A5"/>
    <w:rsid w:val="00CC02BE"/>
    <w:rsid w:val="00CC06EC"/>
    <w:rsid w:val="00CC1B8F"/>
    <w:rsid w:val="00CC26E1"/>
    <w:rsid w:val="00CC2AB0"/>
    <w:rsid w:val="00CC572D"/>
    <w:rsid w:val="00CC6FF5"/>
    <w:rsid w:val="00CC7CE3"/>
    <w:rsid w:val="00CD13C2"/>
    <w:rsid w:val="00CD2DEE"/>
    <w:rsid w:val="00CD4F1B"/>
    <w:rsid w:val="00CD626F"/>
    <w:rsid w:val="00CE30C6"/>
    <w:rsid w:val="00CE3946"/>
    <w:rsid w:val="00CE39D7"/>
    <w:rsid w:val="00CE4A3C"/>
    <w:rsid w:val="00CE72E4"/>
    <w:rsid w:val="00CE7FC6"/>
    <w:rsid w:val="00CF01BC"/>
    <w:rsid w:val="00CF0A3A"/>
    <w:rsid w:val="00CF12FE"/>
    <w:rsid w:val="00CF252C"/>
    <w:rsid w:val="00CF2E6F"/>
    <w:rsid w:val="00CF4DA7"/>
    <w:rsid w:val="00CF4E91"/>
    <w:rsid w:val="00CF54A0"/>
    <w:rsid w:val="00CF6BCF"/>
    <w:rsid w:val="00D03C0B"/>
    <w:rsid w:val="00D03EE9"/>
    <w:rsid w:val="00D048A8"/>
    <w:rsid w:val="00D06F26"/>
    <w:rsid w:val="00D1068D"/>
    <w:rsid w:val="00D11765"/>
    <w:rsid w:val="00D158D2"/>
    <w:rsid w:val="00D173D5"/>
    <w:rsid w:val="00D17ACD"/>
    <w:rsid w:val="00D17CB8"/>
    <w:rsid w:val="00D20897"/>
    <w:rsid w:val="00D20CED"/>
    <w:rsid w:val="00D2711E"/>
    <w:rsid w:val="00D27EAA"/>
    <w:rsid w:val="00D31A5C"/>
    <w:rsid w:val="00D3304B"/>
    <w:rsid w:val="00D33AE0"/>
    <w:rsid w:val="00D34D43"/>
    <w:rsid w:val="00D368EE"/>
    <w:rsid w:val="00D371DF"/>
    <w:rsid w:val="00D40468"/>
    <w:rsid w:val="00D4047D"/>
    <w:rsid w:val="00D41A91"/>
    <w:rsid w:val="00D43066"/>
    <w:rsid w:val="00D4339C"/>
    <w:rsid w:val="00D43D35"/>
    <w:rsid w:val="00D44C1B"/>
    <w:rsid w:val="00D46C18"/>
    <w:rsid w:val="00D46F76"/>
    <w:rsid w:val="00D4718C"/>
    <w:rsid w:val="00D51DFE"/>
    <w:rsid w:val="00D53B8A"/>
    <w:rsid w:val="00D55DC6"/>
    <w:rsid w:val="00D564DE"/>
    <w:rsid w:val="00D5686B"/>
    <w:rsid w:val="00D56DC5"/>
    <w:rsid w:val="00D57A61"/>
    <w:rsid w:val="00D60275"/>
    <w:rsid w:val="00D60F88"/>
    <w:rsid w:val="00D61C6E"/>
    <w:rsid w:val="00D61ED3"/>
    <w:rsid w:val="00D63362"/>
    <w:rsid w:val="00D63637"/>
    <w:rsid w:val="00D63B00"/>
    <w:rsid w:val="00D66078"/>
    <w:rsid w:val="00D729F9"/>
    <w:rsid w:val="00D72FAC"/>
    <w:rsid w:val="00D758E7"/>
    <w:rsid w:val="00D75933"/>
    <w:rsid w:val="00D80A3D"/>
    <w:rsid w:val="00D811BB"/>
    <w:rsid w:val="00D82671"/>
    <w:rsid w:val="00D846BF"/>
    <w:rsid w:val="00D84EB0"/>
    <w:rsid w:val="00D85028"/>
    <w:rsid w:val="00D8524A"/>
    <w:rsid w:val="00D85F7E"/>
    <w:rsid w:val="00D866CC"/>
    <w:rsid w:val="00D867F7"/>
    <w:rsid w:val="00D90BB7"/>
    <w:rsid w:val="00D940F1"/>
    <w:rsid w:val="00D942FC"/>
    <w:rsid w:val="00D945E1"/>
    <w:rsid w:val="00D96194"/>
    <w:rsid w:val="00DA0441"/>
    <w:rsid w:val="00DA4450"/>
    <w:rsid w:val="00DA4838"/>
    <w:rsid w:val="00DA48D8"/>
    <w:rsid w:val="00DA5D99"/>
    <w:rsid w:val="00DB19AE"/>
    <w:rsid w:val="00DB2DC7"/>
    <w:rsid w:val="00DB3D25"/>
    <w:rsid w:val="00DB5D94"/>
    <w:rsid w:val="00DB5F60"/>
    <w:rsid w:val="00DB729E"/>
    <w:rsid w:val="00DC38E7"/>
    <w:rsid w:val="00DC3D61"/>
    <w:rsid w:val="00DC4877"/>
    <w:rsid w:val="00DD1E01"/>
    <w:rsid w:val="00DD260F"/>
    <w:rsid w:val="00DD2847"/>
    <w:rsid w:val="00DD2BC9"/>
    <w:rsid w:val="00DD41E8"/>
    <w:rsid w:val="00DD48AA"/>
    <w:rsid w:val="00DD4AAB"/>
    <w:rsid w:val="00DD51D0"/>
    <w:rsid w:val="00DD6816"/>
    <w:rsid w:val="00DE3E8D"/>
    <w:rsid w:val="00DE423C"/>
    <w:rsid w:val="00DE5B86"/>
    <w:rsid w:val="00DE6515"/>
    <w:rsid w:val="00DE7017"/>
    <w:rsid w:val="00DE7A21"/>
    <w:rsid w:val="00DF1B27"/>
    <w:rsid w:val="00DF2F67"/>
    <w:rsid w:val="00DF3286"/>
    <w:rsid w:val="00DF6D2C"/>
    <w:rsid w:val="00DF7C4A"/>
    <w:rsid w:val="00E00434"/>
    <w:rsid w:val="00E00E79"/>
    <w:rsid w:val="00E02671"/>
    <w:rsid w:val="00E04069"/>
    <w:rsid w:val="00E04FA6"/>
    <w:rsid w:val="00E05125"/>
    <w:rsid w:val="00E06278"/>
    <w:rsid w:val="00E0627F"/>
    <w:rsid w:val="00E1042E"/>
    <w:rsid w:val="00E11009"/>
    <w:rsid w:val="00E11B21"/>
    <w:rsid w:val="00E121C1"/>
    <w:rsid w:val="00E14D2C"/>
    <w:rsid w:val="00E14F7A"/>
    <w:rsid w:val="00E23518"/>
    <w:rsid w:val="00E244EF"/>
    <w:rsid w:val="00E27F1F"/>
    <w:rsid w:val="00E30BF3"/>
    <w:rsid w:val="00E31581"/>
    <w:rsid w:val="00E31ACE"/>
    <w:rsid w:val="00E336A1"/>
    <w:rsid w:val="00E34496"/>
    <w:rsid w:val="00E430D6"/>
    <w:rsid w:val="00E43BDF"/>
    <w:rsid w:val="00E452B9"/>
    <w:rsid w:val="00E459B3"/>
    <w:rsid w:val="00E45FCD"/>
    <w:rsid w:val="00E471B3"/>
    <w:rsid w:val="00E506DA"/>
    <w:rsid w:val="00E50BF2"/>
    <w:rsid w:val="00E52FB3"/>
    <w:rsid w:val="00E55CF0"/>
    <w:rsid w:val="00E567B6"/>
    <w:rsid w:val="00E5732D"/>
    <w:rsid w:val="00E57DD7"/>
    <w:rsid w:val="00E61FF7"/>
    <w:rsid w:val="00E62546"/>
    <w:rsid w:val="00E638C3"/>
    <w:rsid w:val="00E646B4"/>
    <w:rsid w:val="00E66302"/>
    <w:rsid w:val="00E667FF"/>
    <w:rsid w:val="00E6747C"/>
    <w:rsid w:val="00E70B26"/>
    <w:rsid w:val="00E74A79"/>
    <w:rsid w:val="00E74C06"/>
    <w:rsid w:val="00E764B5"/>
    <w:rsid w:val="00E77C8D"/>
    <w:rsid w:val="00E77E34"/>
    <w:rsid w:val="00E807B6"/>
    <w:rsid w:val="00E8374B"/>
    <w:rsid w:val="00E839A5"/>
    <w:rsid w:val="00E852D0"/>
    <w:rsid w:val="00E86E44"/>
    <w:rsid w:val="00E86F03"/>
    <w:rsid w:val="00E919D3"/>
    <w:rsid w:val="00E929C8"/>
    <w:rsid w:val="00E93E8C"/>
    <w:rsid w:val="00EA0C94"/>
    <w:rsid w:val="00EA13B2"/>
    <w:rsid w:val="00EA19A4"/>
    <w:rsid w:val="00EA22E5"/>
    <w:rsid w:val="00EA2558"/>
    <w:rsid w:val="00EA2688"/>
    <w:rsid w:val="00EA38C5"/>
    <w:rsid w:val="00EA6AEA"/>
    <w:rsid w:val="00EA7AE6"/>
    <w:rsid w:val="00EB03D3"/>
    <w:rsid w:val="00EB0721"/>
    <w:rsid w:val="00EB07A6"/>
    <w:rsid w:val="00EB1A7F"/>
    <w:rsid w:val="00EB2F67"/>
    <w:rsid w:val="00EB3929"/>
    <w:rsid w:val="00EB393C"/>
    <w:rsid w:val="00EB3A7B"/>
    <w:rsid w:val="00EB3AAA"/>
    <w:rsid w:val="00EB48E8"/>
    <w:rsid w:val="00EB499C"/>
    <w:rsid w:val="00EB60E0"/>
    <w:rsid w:val="00EB718F"/>
    <w:rsid w:val="00EC0495"/>
    <w:rsid w:val="00EC1065"/>
    <w:rsid w:val="00EC138E"/>
    <w:rsid w:val="00EC1FFC"/>
    <w:rsid w:val="00EC21D5"/>
    <w:rsid w:val="00EC31A1"/>
    <w:rsid w:val="00EC5C7A"/>
    <w:rsid w:val="00ED01AE"/>
    <w:rsid w:val="00ED041B"/>
    <w:rsid w:val="00ED3166"/>
    <w:rsid w:val="00EE0682"/>
    <w:rsid w:val="00EE0C87"/>
    <w:rsid w:val="00EE3002"/>
    <w:rsid w:val="00EE4292"/>
    <w:rsid w:val="00EE5117"/>
    <w:rsid w:val="00EE53B1"/>
    <w:rsid w:val="00EE5B9F"/>
    <w:rsid w:val="00EE6D8C"/>
    <w:rsid w:val="00EF3159"/>
    <w:rsid w:val="00EF3EA0"/>
    <w:rsid w:val="00EF4376"/>
    <w:rsid w:val="00EF4622"/>
    <w:rsid w:val="00EF47A5"/>
    <w:rsid w:val="00EF4F6D"/>
    <w:rsid w:val="00EF5293"/>
    <w:rsid w:val="00EF53F7"/>
    <w:rsid w:val="00EF7202"/>
    <w:rsid w:val="00F01A68"/>
    <w:rsid w:val="00F038CD"/>
    <w:rsid w:val="00F044E7"/>
    <w:rsid w:val="00F1164B"/>
    <w:rsid w:val="00F120CB"/>
    <w:rsid w:val="00F14092"/>
    <w:rsid w:val="00F14DB3"/>
    <w:rsid w:val="00F15D9E"/>
    <w:rsid w:val="00F162D9"/>
    <w:rsid w:val="00F165E2"/>
    <w:rsid w:val="00F22A02"/>
    <w:rsid w:val="00F236E8"/>
    <w:rsid w:val="00F241D6"/>
    <w:rsid w:val="00F27474"/>
    <w:rsid w:val="00F3302F"/>
    <w:rsid w:val="00F33CA0"/>
    <w:rsid w:val="00F350AA"/>
    <w:rsid w:val="00F37248"/>
    <w:rsid w:val="00F42129"/>
    <w:rsid w:val="00F4238E"/>
    <w:rsid w:val="00F44739"/>
    <w:rsid w:val="00F4575A"/>
    <w:rsid w:val="00F47623"/>
    <w:rsid w:val="00F51F70"/>
    <w:rsid w:val="00F53930"/>
    <w:rsid w:val="00F53D5E"/>
    <w:rsid w:val="00F5449E"/>
    <w:rsid w:val="00F5461E"/>
    <w:rsid w:val="00F556DC"/>
    <w:rsid w:val="00F55873"/>
    <w:rsid w:val="00F5723C"/>
    <w:rsid w:val="00F61890"/>
    <w:rsid w:val="00F64BBC"/>
    <w:rsid w:val="00F6691A"/>
    <w:rsid w:val="00F66ADA"/>
    <w:rsid w:val="00F66B31"/>
    <w:rsid w:val="00F6731E"/>
    <w:rsid w:val="00F67C73"/>
    <w:rsid w:val="00F71D18"/>
    <w:rsid w:val="00F7567A"/>
    <w:rsid w:val="00F76DBF"/>
    <w:rsid w:val="00F81D0E"/>
    <w:rsid w:val="00F82659"/>
    <w:rsid w:val="00F82AEC"/>
    <w:rsid w:val="00F8312E"/>
    <w:rsid w:val="00F83CC5"/>
    <w:rsid w:val="00F83D78"/>
    <w:rsid w:val="00F85718"/>
    <w:rsid w:val="00F8612D"/>
    <w:rsid w:val="00F87E26"/>
    <w:rsid w:val="00F90E1C"/>
    <w:rsid w:val="00F933F1"/>
    <w:rsid w:val="00F934A8"/>
    <w:rsid w:val="00F93C83"/>
    <w:rsid w:val="00F946EB"/>
    <w:rsid w:val="00F94916"/>
    <w:rsid w:val="00FA1F9B"/>
    <w:rsid w:val="00FA21BD"/>
    <w:rsid w:val="00FA3D83"/>
    <w:rsid w:val="00FA6005"/>
    <w:rsid w:val="00FA7193"/>
    <w:rsid w:val="00FA7953"/>
    <w:rsid w:val="00FA7F7B"/>
    <w:rsid w:val="00FB111B"/>
    <w:rsid w:val="00FB3BC8"/>
    <w:rsid w:val="00FB3FB3"/>
    <w:rsid w:val="00FB4041"/>
    <w:rsid w:val="00FB5191"/>
    <w:rsid w:val="00FB6C22"/>
    <w:rsid w:val="00FC0EB9"/>
    <w:rsid w:val="00FC4E0A"/>
    <w:rsid w:val="00FC74F9"/>
    <w:rsid w:val="00FC75B2"/>
    <w:rsid w:val="00FC7908"/>
    <w:rsid w:val="00FD0D62"/>
    <w:rsid w:val="00FD0E84"/>
    <w:rsid w:val="00FD1466"/>
    <w:rsid w:val="00FD2292"/>
    <w:rsid w:val="00FD282E"/>
    <w:rsid w:val="00FD31A0"/>
    <w:rsid w:val="00FD3A88"/>
    <w:rsid w:val="00FD44F4"/>
    <w:rsid w:val="00FE12CB"/>
    <w:rsid w:val="00FE1BEB"/>
    <w:rsid w:val="00FE32F1"/>
    <w:rsid w:val="00FE3E98"/>
    <w:rsid w:val="00FE455F"/>
    <w:rsid w:val="00FE4B9B"/>
    <w:rsid w:val="00FE5FB3"/>
    <w:rsid w:val="00FE714F"/>
    <w:rsid w:val="00FE728D"/>
    <w:rsid w:val="00FF0173"/>
    <w:rsid w:val="00FF0799"/>
    <w:rsid w:val="00FF07B1"/>
    <w:rsid w:val="00FF0825"/>
    <w:rsid w:val="00FF22CF"/>
    <w:rsid w:val="00FF2B6B"/>
    <w:rsid w:val="00FF42DE"/>
    <w:rsid w:val="00FF5148"/>
    <w:rsid w:val="00FF52E3"/>
    <w:rsid w:val="00FF560F"/>
    <w:rsid w:val="00FF5740"/>
    <w:rsid w:val="00FF5D16"/>
    <w:rsid w:val="00FF79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9" w:unhideWhenUsed="0" w:qFormat="1"/>
    <w:lsdException w:name="heading 2" w:locked="1" w:uiPriority="9" w:qFormat="1"/>
    <w:lsdException w:name="heading 3" w:locked="1" w:uiPriority="9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note text" w:uiPriority="99"/>
    <w:lsdException w:name="footer" w:uiPriority="99"/>
    <w:lsdException w:name="caption" w:locked="1" w:qFormat="1"/>
    <w:lsdException w:name="footnote reference" w:uiPriority="99"/>
    <w:lsdException w:name="page number" w:uiPriority="99"/>
    <w:lsdException w:name="List Bullet" w:uiPriority="99"/>
    <w:lsdException w:name="List Number" w:semiHidden="0" w:unhideWhenUsed="0"/>
    <w:lsdException w:name="List 4" w:semiHidden="0" w:unhideWhenUsed="0"/>
    <w:lsdException w:name="List 5" w:semiHidden="0" w:unhideWhenUsed="0"/>
    <w:lsdException w:name="List Bullet 3" w:uiPriority="99"/>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iPriority="99" w:unhideWhenUsed="0"/>
    <w:lsdException w:name="Body Text First Indent" w:semiHidden="0" w:unhideWhenUsed="0"/>
    <w:lsdException w:name="Body Text Indent 2" w:uiPriority="99"/>
    <w:lsdException w:name="Hyperlink" w:uiPriority="99"/>
    <w:lsdException w:name="Strong" w:locked="1" w:semiHidden="0" w:unhideWhenUsed="0" w:qFormat="1"/>
    <w:lsdException w:name="Emphasis" w:locked="1" w:semiHidden="0" w:unhideWhenUsed="0" w:qFormat="1"/>
    <w:lsdException w:name="Plain Text" w:uiPriority="99"/>
    <w:lsdException w:name="Normal (Web)" w:uiPriority="99"/>
    <w:lsdException w:name="No List"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F7DEA"/>
    <w:pPr>
      <w:widowControl w:val="0"/>
    </w:pPr>
    <w:rPr>
      <w:rFonts w:ascii="Times New Roman" w:hAnsi="Times New Roman"/>
      <w:kern w:val="2"/>
      <w:sz w:val="24"/>
      <w:szCs w:val="24"/>
    </w:rPr>
  </w:style>
  <w:style w:type="paragraph" w:styleId="10">
    <w:name w:val="heading 1"/>
    <w:aliases w:val="標題 一,一"/>
    <w:basedOn w:val="2"/>
    <w:link w:val="11"/>
    <w:uiPriority w:val="99"/>
    <w:qFormat/>
    <w:locked/>
    <w:rsid w:val="00C050DB"/>
    <w:pPr>
      <w:keepNext w:val="0"/>
      <w:autoSpaceDE w:val="0"/>
      <w:autoSpaceDN w:val="0"/>
      <w:adjustRightInd w:val="0"/>
      <w:spacing w:before="240" w:afterLines="50" w:line="400" w:lineRule="exact"/>
      <w:ind w:firstLineChars="200" w:firstLine="200"/>
      <w:jc w:val="both"/>
      <w:outlineLvl w:val="0"/>
    </w:pPr>
    <w:rPr>
      <w:rFonts w:ascii="華康隸書體W7" w:eastAsia="華康隸書體W7" w:hAnsi="Times New Roman"/>
      <w:kern w:val="0"/>
      <w:sz w:val="36"/>
      <w:szCs w:val="28"/>
    </w:rPr>
  </w:style>
  <w:style w:type="paragraph" w:styleId="2">
    <w:name w:val="heading 2"/>
    <w:basedOn w:val="a1"/>
    <w:next w:val="a1"/>
    <w:link w:val="20"/>
    <w:uiPriority w:val="9"/>
    <w:qFormat/>
    <w:locked/>
    <w:rsid w:val="00C050DB"/>
    <w:pPr>
      <w:keepNext/>
      <w:spacing w:line="720" w:lineRule="auto"/>
      <w:outlineLvl w:val="1"/>
    </w:pPr>
    <w:rPr>
      <w:rFonts w:ascii="Arial" w:hAnsi="Arial"/>
      <w:b/>
      <w:bCs/>
      <w:sz w:val="48"/>
      <w:szCs w:val="48"/>
    </w:rPr>
  </w:style>
  <w:style w:type="paragraph" w:styleId="30">
    <w:name w:val="heading 3"/>
    <w:basedOn w:val="a1"/>
    <w:next w:val="a2"/>
    <w:link w:val="31"/>
    <w:uiPriority w:val="99"/>
    <w:qFormat/>
    <w:locked/>
    <w:rsid w:val="00C050DB"/>
    <w:pPr>
      <w:spacing w:before="240" w:after="120" w:line="320" w:lineRule="exact"/>
      <w:outlineLvl w:val="2"/>
    </w:pPr>
    <w:rPr>
      <w:szCs w:val="20"/>
    </w:rPr>
  </w:style>
  <w:style w:type="paragraph" w:styleId="4">
    <w:name w:val="heading 4"/>
    <w:basedOn w:val="a1"/>
    <w:next w:val="a2"/>
    <w:link w:val="40"/>
    <w:uiPriority w:val="9"/>
    <w:qFormat/>
    <w:locked/>
    <w:rsid w:val="00C050DB"/>
    <w:pPr>
      <w:numPr>
        <w:ilvl w:val="3"/>
        <w:numId w:val="83"/>
      </w:numPr>
      <w:spacing w:before="120" w:after="40" w:line="320" w:lineRule="exact"/>
      <w:outlineLvl w:val="3"/>
    </w:pPr>
  </w:style>
  <w:style w:type="paragraph" w:styleId="5">
    <w:name w:val="heading 5"/>
    <w:aliases w:val="標題 5 字元 字元 字元,標題 5 字元1,標題 5 字元 字元1,標題 5 字元 字元 字元 字元,標題 5 字元 字元"/>
    <w:basedOn w:val="a1"/>
    <w:next w:val="a2"/>
    <w:link w:val="50"/>
    <w:uiPriority w:val="9"/>
    <w:qFormat/>
    <w:locked/>
    <w:rsid w:val="00C050DB"/>
    <w:pPr>
      <w:numPr>
        <w:ilvl w:val="4"/>
        <w:numId w:val="83"/>
      </w:numPr>
      <w:spacing w:beforeLines="20" w:afterLines="10" w:line="320" w:lineRule="exact"/>
      <w:outlineLvl w:val="4"/>
    </w:pPr>
    <w:rPr>
      <w:szCs w:val="20"/>
    </w:rPr>
  </w:style>
  <w:style w:type="paragraph" w:styleId="6">
    <w:name w:val="heading 6"/>
    <w:basedOn w:val="a1"/>
    <w:next w:val="a2"/>
    <w:link w:val="60"/>
    <w:uiPriority w:val="9"/>
    <w:qFormat/>
    <w:locked/>
    <w:rsid w:val="00C050DB"/>
    <w:pPr>
      <w:numPr>
        <w:ilvl w:val="5"/>
        <w:numId w:val="83"/>
      </w:numPr>
      <w:spacing w:beforeLines="10" w:line="280" w:lineRule="exact"/>
      <w:outlineLvl w:val="5"/>
    </w:pPr>
    <w:rPr>
      <w:sz w:val="20"/>
      <w:szCs w:val="20"/>
    </w:rPr>
  </w:style>
  <w:style w:type="paragraph" w:styleId="7">
    <w:name w:val="heading 7"/>
    <w:basedOn w:val="a1"/>
    <w:next w:val="a2"/>
    <w:link w:val="70"/>
    <w:uiPriority w:val="9"/>
    <w:qFormat/>
    <w:locked/>
    <w:rsid w:val="00C050DB"/>
    <w:pPr>
      <w:keepNext/>
      <w:numPr>
        <w:ilvl w:val="6"/>
        <w:numId w:val="83"/>
      </w:numPr>
      <w:spacing w:line="720" w:lineRule="auto"/>
      <w:outlineLvl w:val="6"/>
    </w:pPr>
    <w:rPr>
      <w:rFonts w:ascii="Arial" w:hAnsi="Arial"/>
      <w:b/>
      <w:sz w:val="36"/>
      <w:szCs w:val="20"/>
    </w:rPr>
  </w:style>
  <w:style w:type="paragraph" w:styleId="8">
    <w:name w:val="heading 8"/>
    <w:basedOn w:val="a1"/>
    <w:next w:val="a2"/>
    <w:link w:val="80"/>
    <w:uiPriority w:val="9"/>
    <w:qFormat/>
    <w:locked/>
    <w:rsid w:val="00C050DB"/>
    <w:pPr>
      <w:keepNext/>
      <w:numPr>
        <w:ilvl w:val="7"/>
        <w:numId w:val="83"/>
      </w:numPr>
      <w:spacing w:line="720" w:lineRule="auto"/>
      <w:outlineLvl w:val="7"/>
    </w:pPr>
    <w:rPr>
      <w:rFonts w:ascii="Arial" w:hAnsi="Arial"/>
      <w:sz w:val="36"/>
      <w:szCs w:val="20"/>
    </w:rPr>
  </w:style>
  <w:style w:type="paragraph" w:styleId="9">
    <w:name w:val="heading 9"/>
    <w:basedOn w:val="a1"/>
    <w:next w:val="a2"/>
    <w:link w:val="90"/>
    <w:uiPriority w:val="9"/>
    <w:qFormat/>
    <w:locked/>
    <w:rsid w:val="00C050DB"/>
    <w:pPr>
      <w:keepNext/>
      <w:numPr>
        <w:ilvl w:val="8"/>
        <w:numId w:val="83"/>
      </w:numPr>
      <w:spacing w:line="720" w:lineRule="auto"/>
      <w:outlineLvl w:val="8"/>
    </w:pPr>
    <w:rPr>
      <w:rFonts w:ascii="Arial" w:hAnsi="Arial"/>
      <w:sz w:val="36"/>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樣式1"/>
    <w:basedOn w:val="a1"/>
    <w:autoRedefine/>
    <w:rsid w:val="000664AF"/>
    <w:rPr>
      <w:rFonts w:eastAsia="標楷體" w:hAnsi="標楷體"/>
      <w:b/>
      <w:color w:val="000000"/>
      <w:sz w:val="32"/>
      <w:szCs w:val="32"/>
    </w:rPr>
  </w:style>
  <w:style w:type="paragraph" w:customStyle="1" w:styleId="21">
    <w:name w:val="樣式2"/>
    <w:basedOn w:val="a1"/>
    <w:uiPriority w:val="99"/>
    <w:rsid w:val="009E0C5B"/>
    <w:rPr>
      <w:rFonts w:ascii="標楷體" w:eastAsia="標楷體" w:hAnsi="標楷體"/>
      <w:b/>
      <w:sz w:val="32"/>
    </w:rPr>
  </w:style>
  <w:style w:type="table" w:styleId="a6">
    <w:name w:val="Table Grid"/>
    <w:basedOn w:val="a4"/>
    <w:rsid w:val="0094060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1"/>
    <w:link w:val="a8"/>
    <w:rsid w:val="00EA2688"/>
    <w:pPr>
      <w:tabs>
        <w:tab w:val="center" w:pos="4153"/>
        <w:tab w:val="right" w:pos="8306"/>
      </w:tabs>
      <w:snapToGrid w:val="0"/>
    </w:pPr>
    <w:rPr>
      <w:sz w:val="20"/>
      <w:szCs w:val="20"/>
    </w:rPr>
  </w:style>
  <w:style w:type="character" w:customStyle="1" w:styleId="a8">
    <w:name w:val="頁首 字元"/>
    <w:basedOn w:val="a3"/>
    <w:link w:val="a7"/>
    <w:locked/>
    <w:rsid w:val="00EA2688"/>
    <w:rPr>
      <w:rFonts w:ascii="Times New Roman" w:eastAsia="新細明體" w:hAnsi="Times New Roman" w:cs="Times New Roman"/>
      <w:sz w:val="20"/>
      <w:szCs w:val="20"/>
    </w:rPr>
  </w:style>
  <w:style w:type="paragraph" w:styleId="a9">
    <w:name w:val="footer"/>
    <w:basedOn w:val="a1"/>
    <w:link w:val="aa"/>
    <w:uiPriority w:val="99"/>
    <w:rsid w:val="00EA2688"/>
    <w:pPr>
      <w:tabs>
        <w:tab w:val="center" w:pos="4153"/>
        <w:tab w:val="right" w:pos="8306"/>
      </w:tabs>
      <w:snapToGrid w:val="0"/>
    </w:pPr>
    <w:rPr>
      <w:sz w:val="20"/>
      <w:szCs w:val="20"/>
    </w:rPr>
  </w:style>
  <w:style w:type="character" w:customStyle="1" w:styleId="aa">
    <w:name w:val="頁尾 字元"/>
    <w:basedOn w:val="a3"/>
    <w:link w:val="a9"/>
    <w:uiPriority w:val="99"/>
    <w:locked/>
    <w:rsid w:val="00EA2688"/>
    <w:rPr>
      <w:rFonts w:ascii="Times New Roman" w:eastAsia="新細明體" w:hAnsi="Times New Roman" w:cs="Times New Roman"/>
      <w:sz w:val="20"/>
      <w:szCs w:val="20"/>
    </w:rPr>
  </w:style>
  <w:style w:type="paragraph" w:styleId="ab">
    <w:name w:val="Balloon Text"/>
    <w:basedOn w:val="a1"/>
    <w:link w:val="ac"/>
    <w:semiHidden/>
    <w:rsid w:val="00EA2688"/>
    <w:rPr>
      <w:rFonts w:ascii="Cambria" w:hAnsi="Cambria"/>
      <w:sz w:val="18"/>
      <w:szCs w:val="18"/>
    </w:rPr>
  </w:style>
  <w:style w:type="character" w:customStyle="1" w:styleId="ac">
    <w:name w:val="註解方塊文字 字元"/>
    <w:basedOn w:val="a3"/>
    <w:link w:val="ab"/>
    <w:semiHidden/>
    <w:locked/>
    <w:rsid w:val="00EA2688"/>
    <w:rPr>
      <w:rFonts w:ascii="Cambria" w:eastAsia="新細明體" w:hAnsi="Cambria" w:cs="Times New Roman"/>
      <w:sz w:val="18"/>
      <w:szCs w:val="18"/>
    </w:rPr>
  </w:style>
  <w:style w:type="paragraph" w:styleId="ad">
    <w:name w:val="Body Text Indent"/>
    <w:basedOn w:val="a1"/>
    <w:link w:val="ae"/>
    <w:rsid w:val="00EA2688"/>
    <w:pPr>
      <w:spacing w:after="120"/>
      <w:ind w:leftChars="200" w:left="480"/>
    </w:pPr>
  </w:style>
  <w:style w:type="character" w:customStyle="1" w:styleId="ae">
    <w:name w:val="本文縮排 字元"/>
    <w:basedOn w:val="a3"/>
    <w:link w:val="ad"/>
    <w:locked/>
    <w:rsid w:val="00EA2688"/>
    <w:rPr>
      <w:rFonts w:ascii="Times New Roman" w:eastAsia="新細明體" w:hAnsi="Times New Roman" w:cs="Times New Roman"/>
      <w:sz w:val="24"/>
      <w:szCs w:val="24"/>
    </w:rPr>
  </w:style>
  <w:style w:type="paragraph" w:customStyle="1" w:styleId="13">
    <w:name w:val="清單段落1"/>
    <w:basedOn w:val="a1"/>
    <w:link w:val="ListParagraphChar"/>
    <w:rsid w:val="00C444EC"/>
    <w:pPr>
      <w:ind w:leftChars="200" w:left="480"/>
    </w:pPr>
    <w:rPr>
      <w:kern w:val="0"/>
      <w:sz w:val="20"/>
    </w:rPr>
  </w:style>
  <w:style w:type="character" w:styleId="af">
    <w:name w:val="Emphasis"/>
    <w:basedOn w:val="a3"/>
    <w:qFormat/>
    <w:rsid w:val="006A1262"/>
    <w:rPr>
      <w:rFonts w:cs="Times New Roman"/>
      <w:color w:val="CC0033"/>
    </w:rPr>
  </w:style>
  <w:style w:type="character" w:customStyle="1" w:styleId="ListParagraphChar">
    <w:name w:val="List Paragraph Char"/>
    <w:link w:val="13"/>
    <w:locked/>
    <w:rsid w:val="00917302"/>
    <w:rPr>
      <w:rFonts w:ascii="Times New Roman" w:eastAsia="新細明體" w:hAnsi="Times New Roman"/>
      <w:sz w:val="24"/>
    </w:rPr>
  </w:style>
  <w:style w:type="paragraph" w:customStyle="1" w:styleId="af0">
    <w:name w:val="內文二"/>
    <w:basedOn w:val="a1"/>
    <w:link w:val="af1"/>
    <w:rsid w:val="00050F6E"/>
    <w:pPr>
      <w:adjustRightInd w:val="0"/>
      <w:snapToGrid w:val="0"/>
      <w:spacing w:beforeLines="30" w:line="460" w:lineRule="atLeast"/>
      <w:ind w:leftChars="400" w:left="1040" w:firstLineChars="200" w:firstLine="520"/>
      <w:jc w:val="both"/>
    </w:pPr>
    <w:rPr>
      <w:rFonts w:eastAsia="標楷體"/>
      <w:sz w:val="28"/>
      <w:szCs w:val="20"/>
    </w:rPr>
  </w:style>
  <w:style w:type="paragraph" w:styleId="af2">
    <w:name w:val="List Paragraph"/>
    <w:basedOn w:val="a1"/>
    <w:link w:val="af3"/>
    <w:uiPriority w:val="34"/>
    <w:qFormat/>
    <w:rsid w:val="00F5461E"/>
    <w:pPr>
      <w:ind w:leftChars="200" w:left="480"/>
    </w:pPr>
  </w:style>
  <w:style w:type="paragraph" w:customStyle="1" w:styleId="a">
    <w:name w:val="大標題"/>
    <w:basedOn w:val="af2"/>
    <w:link w:val="af4"/>
    <w:qFormat/>
    <w:rsid w:val="00F5461E"/>
    <w:pPr>
      <w:numPr>
        <w:numId w:val="1"/>
      </w:numPr>
      <w:snapToGrid w:val="0"/>
      <w:spacing w:line="460" w:lineRule="exact"/>
      <w:ind w:leftChars="0" w:left="0"/>
      <w:jc w:val="both"/>
    </w:pPr>
    <w:rPr>
      <w:rFonts w:eastAsia="標楷體"/>
      <w:sz w:val="28"/>
      <w:szCs w:val="28"/>
    </w:rPr>
  </w:style>
  <w:style w:type="character" w:customStyle="1" w:styleId="af3">
    <w:name w:val="清單段落 字元"/>
    <w:basedOn w:val="a3"/>
    <w:link w:val="af2"/>
    <w:uiPriority w:val="34"/>
    <w:rsid w:val="00F5461E"/>
    <w:rPr>
      <w:rFonts w:ascii="Times New Roman" w:hAnsi="Times New Roman"/>
      <w:kern w:val="2"/>
      <w:sz w:val="24"/>
      <w:szCs w:val="24"/>
    </w:rPr>
  </w:style>
  <w:style w:type="character" w:customStyle="1" w:styleId="af4">
    <w:name w:val="大標題 字元"/>
    <w:basedOn w:val="af3"/>
    <w:link w:val="a"/>
    <w:rsid w:val="00F5461E"/>
    <w:rPr>
      <w:rFonts w:ascii="Times New Roman" w:eastAsia="標楷體" w:hAnsi="Times New Roman"/>
      <w:kern w:val="2"/>
      <w:sz w:val="28"/>
      <w:szCs w:val="28"/>
    </w:rPr>
  </w:style>
  <w:style w:type="character" w:styleId="af5">
    <w:name w:val="Subtle Emphasis"/>
    <w:basedOn w:val="a3"/>
    <w:uiPriority w:val="19"/>
    <w:qFormat/>
    <w:rsid w:val="00FC4E0A"/>
    <w:rPr>
      <w:i/>
      <w:iCs/>
      <w:color w:val="808080" w:themeColor="text1" w:themeTint="7F"/>
    </w:rPr>
  </w:style>
  <w:style w:type="character" w:styleId="af6">
    <w:name w:val="Placeholder Text"/>
    <w:basedOn w:val="a3"/>
    <w:uiPriority w:val="99"/>
    <w:semiHidden/>
    <w:rsid w:val="00F83CC5"/>
    <w:rPr>
      <w:color w:val="808080"/>
    </w:rPr>
  </w:style>
  <w:style w:type="paragraph" w:customStyle="1" w:styleId="Default">
    <w:name w:val="Default"/>
    <w:rsid w:val="00D31A5C"/>
    <w:pPr>
      <w:widowControl w:val="0"/>
      <w:autoSpaceDE w:val="0"/>
      <w:autoSpaceDN w:val="0"/>
      <w:adjustRightInd w:val="0"/>
    </w:pPr>
    <w:rPr>
      <w:rFonts w:ascii="Times New Roman" w:hAnsi="Times New Roman"/>
      <w:color w:val="000000"/>
      <w:sz w:val="24"/>
      <w:szCs w:val="24"/>
    </w:rPr>
  </w:style>
  <w:style w:type="paragraph" w:customStyle="1" w:styleId="af7">
    <w:name w:val=".."/>
    <w:basedOn w:val="a1"/>
    <w:next w:val="a1"/>
    <w:uiPriority w:val="99"/>
    <w:rsid w:val="005D6EF0"/>
    <w:pPr>
      <w:autoSpaceDE w:val="0"/>
      <w:autoSpaceDN w:val="0"/>
      <w:adjustRightInd w:val="0"/>
    </w:pPr>
    <w:rPr>
      <w:kern w:val="0"/>
    </w:rPr>
  </w:style>
  <w:style w:type="paragraph" w:styleId="af8">
    <w:name w:val="footnote text"/>
    <w:basedOn w:val="a1"/>
    <w:link w:val="af9"/>
    <w:uiPriority w:val="99"/>
    <w:semiHidden/>
    <w:unhideWhenUsed/>
    <w:rsid w:val="005D6EF0"/>
    <w:pPr>
      <w:snapToGrid w:val="0"/>
    </w:pPr>
    <w:rPr>
      <w:sz w:val="20"/>
      <w:szCs w:val="20"/>
    </w:rPr>
  </w:style>
  <w:style w:type="character" w:customStyle="1" w:styleId="af9">
    <w:name w:val="註腳文字 字元"/>
    <w:basedOn w:val="a3"/>
    <w:link w:val="af8"/>
    <w:uiPriority w:val="99"/>
    <w:semiHidden/>
    <w:rsid w:val="005D6EF0"/>
    <w:rPr>
      <w:rFonts w:ascii="Times New Roman" w:hAnsi="Times New Roman"/>
      <w:kern w:val="2"/>
    </w:rPr>
  </w:style>
  <w:style w:type="character" w:styleId="afa">
    <w:name w:val="footnote reference"/>
    <w:uiPriority w:val="99"/>
    <w:semiHidden/>
    <w:unhideWhenUsed/>
    <w:rsid w:val="005D6EF0"/>
    <w:rPr>
      <w:vertAlign w:val="superscript"/>
    </w:rPr>
  </w:style>
  <w:style w:type="character" w:customStyle="1" w:styleId="11">
    <w:name w:val="標題 1 字元"/>
    <w:aliases w:val="標題 一 字元,一 字元"/>
    <w:basedOn w:val="a3"/>
    <w:link w:val="10"/>
    <w:uiPriority w:val="9"/>
    <w:rsid w:val="00C050DB"/>
    <w:rPr>
      <w:rFonts w:ascii="華康隸書體W7" w:eastAsia="華康隸書體W7" w:hAnsi="Times New Roman"/>
      <w:b/>
      <w:bCs/>
      <w:sz w:val="36"/>
      <w:szCs w:val="28"/>
    </w:rPr>
  </w:style>
  <w:style w:type="character" w:customStyle="1" w:styleId="20">
    <w:name w:val="標題 2 字元"/>
    <w:basedOn w:val="a3"/>
    <w:link w:val="2"/>
    <w:uiPriority w:val="9"/>
    <w:rsid w:val="00C050DB"/>
    <w:rPr>
      <w:rFonts w:ascii="Arial" w:hAnsi="Arial"/>
      <w:b/>
      <w:bCs/>
      <w:kern w:val="2"/>
      <w:sz w:val="48"/>
      <w:szCs w:val="48"/>
    </w:rPr>
  </w:style>
  <w:style w:type="character" w:customStyle="1" w:styleId="31">
    <w:name w:val="標題 3 字元"/>
    <w:basedOn w:val="a3"/>
    <w:link w:val="30"/>
    <w:uiPriority w:val="99"/>
    <w:rsid w:val="00C050DB"/>
    <w:rPr>
      <w:rFonts w:ascii="Times New Roman" w:hAnsi="Times New Roman"/>
      <w:kern w:val="2"/>
      <w:sz w:val="24"/>
    </w:rPr>
  </w:style>
  <w:style w:type="character" w:customStyle="1" w:styleId="40">
    <w:name w:val="標題 4 字元"/>
    <w:basedOn w:val="a3"/>
    <w:link w:val="4"/>
    <w:uiPriority w:val="9"/>
    <w:rsid w:val="00C050DB"/>
    <w:rPr>
      <w:rFonts w:ascii="Times New Roman" w:hAnsi="Times New Roman"/>
      <w:kern w:val="2"/>
      <w:sz w:val="24"/>
      <w:szCs w:val="24"/>
    </w:rPr>
  </w:style>
  <w:style w:type="character" w:customStyle="1" w:styleId="50">
    <w:name w:val="標題 5 字元"/>
    <w:aliases w:val="標題 5 字元 字元 字元 字元1,標題 5 字元1 字元,標題 5 字元 字元1 字元,標題 5 字元 字元 字元 字元 字元,標題 5 字元 字元 字元1"/>
    <w:basedOn w:val="a3"/>
    <w:link w:val="5"/>
    <w:uiPriority w:val="9"/>
    <w:rsid w:val="00C050DB"/>
    <w:rPr>
      <w:rFonts w:ascii="Times New Roman" w:hAnsi="Times New Roman"/>
      <w:kern w:val="2"/>
      <w:sz w:val="24"/>
    </w:rPr>
  </w:style>
  <w:style w:type="character" w:customStyle="1" w:styleId="60">
    <w:name w:val="標題 6 字元"/>
    <w:basedOn w:val="a3"/>
    <w:link w:val="6"/>
    <w:uiPriority w:val="9"/>
    <w:rsid w:val="00C050DB"/>
    <w:rPr>
      <w:rFonts w:ascii="Times New Roman" w:hAnsi="Times New Roman"/>
      <w:kern w:val="2"/>
    </w:rPr>
  </w:style>
  <w:style w:type="character" w:customStyle="1" w:styleId="70">
    <w:name w:val="標題 7 字元"/>
    <w:basedOn w:val="a3"/>
    <w:link w:val="7"/>
    <w:uiPriority w:val="9"/>
    <w:rsid w:val="00C050DB"/>
    <w:rPr>
      <w:rFonts w:ascii="Arial" w:hAnsi="Arial"/>
      <w:b/>
      <w:kern w:val="2"/>
      <w:sz w:val="36"/>
    </w:rPr>
  </w:style>
  <w:style w:type="character" w:customStyle="1" w:styleId="80">
    <w:name w:val="標題 8 字元"/>
    <w:basedOn w:val="a3"/>
    <w:link w:val="8"/>
    <w:uiPriority w:val="9"/>
    <w:rsid w:val="00C050DB"/>
    <w:rPr>
      <w:rFonts w:ascii="Arial" w:hAnsi="Arial"/>
      <w:kern w:val="2"/>
      <w:sz w:val="36"/>
    </w:rPr>
  </w:style>
  <w:style w:type="character" w:customStyle="1" w:styleId="90">
    <w:name w:val="標題 9 字元"/>
    <w:basedOn w:val="a3"/>
    <w:link w:val="9"/>
    <w:uiPriority w:val="9"/>
    <w:rsid w:val="00C050DB"/>
    <w:rPr>
      <w:rFonts w:ascii="Arial" w:hAnsi="Arial"/>
      <w:kern w:val="2"/>
      <w:sz w:val="36"/>
    </w:rPr>
  </w:style>
  <w:style w:type="numbering" w:customStyle="1" w:styleId="14">
    <w:name w:val="無清單1"/>
    <w:next w:val="a5"/>
    <w:uiPriority w:val="99"/>
    <w:semiHidden/>
    <w:unhideWhenUsed/>
    <w:rsid w:val="00C050DB"/>
  </w:style>
  <w:style w:type="paragraph" w:customStyle="1" w:styleId="22">
    <w:name w:val="清單段落2"/>
    <w:basedOn w:val="a1"/>
    <w:link w:val="ListParagraphChar1"/>
    <w:uiPriority w:val="99"/>
    <w:qFormat/>
    <w:rsid w:val="00C050DB"/>
    <w:pPr>
      <w:ind w:leftChars="200" w:left="480"/>
    </w:pPr>
    <w:rPr>
      <w:kern w:val="0"/>
      <w:szCs w:val="20"/>
    </w:rPr>
  </w:style>
  <w:style w:type="character" w:customStyle="1" w:styleId="ListParagraphChar1">
    <w:name w:val="List Paragraph Char1"/>
    <w:link w:val="22"/>
    <w:locked/>
    <w:rsid w:val="00C050DB"/>
    <w:rPr>
      <w:rFonts w:ascii="Times New Roman" w:hAnsi="Times New Roman"/>
      <w:sz w:val="24"/>
    </w:rPr>
  </w:style>
  <w:style w:type="character" w:customStyle="1" w:styleId="af1">
    <w:name w:val="內文二 字元"/>
    <w:link w:val="af0"/>
    <w:locked/>
    <w:rsid w:val="00C050DB"/>
    <w:rPr>
      <w:rFonts w:ascii="Times New Roman" w:eastAsia="標楷體" w:hAnsi="Times New Roman"/>
      <w:kern w:val="2"/>
      <w:sz w:val="28"/>
    </w:rPr>
  </w:style>
  <w:style w:type="paragraph" w:customStyle="1" w:styleId="afb">
    <w:name w:val="內文三"/>
    <w:basedOn w:val="a1"/>
    <w:link w:val="afc"/>
    <w:rsid w:val="00C050DB"/>
    <w:pPr>
      <w:adjustRightInd w:val="0"/>
      <w:snapToGrid w:val="0"/>
      <w:spacing w:beforeLines="30" w:line="369" w:lineRule="atLeast"/>
      <w:ind w:left="1247"/>
      <w:jc w:val="both"/>
    </w:pPr>
    <w:rPr>
      <w:rFonts w:eastAsia="標楷體"/>
      <w:kern w:val="0"/>
      <w:sz w:val="20"/>
      <w:szCs w:val="20"/>
    </w:rPr>
  </w:style>
  <w:style w:type="character" w:customStyle="1" w:styleId="afc">
    <w:name w:val="內文三 字元"/>
    <w:link w:val="afb"/>
    <w:locked/>
    <w:rsid w:val="00C050DB"/>
    <w:rPr>
      <w:rFonts w:ascii="Times New Roman" w:eastAsia="標楷體" w:hAnsi="Times New Roman"/>
    </w:rPr>
  </w:style>
  <w:style w:type="paragraph" w:customStyle="1" w:styleId="afd">
    <w:name w:val="標題二"/>
    <w:basedOn w:val="a1"/>
    <w:rsid w:val="00C050DB"/>
    <w:pPr>
      <w:adjustRightInd w:val="0"/>
      <w:snapToGrid w:val="0"/>
      <w:spacing w:beforeLines="50" w:line="240" w:lineRule="atLeast"/>
      <w:ind w:left="879" w:hanging="482"/>
    </w:pPr>
    <w:rPr>
      <w:rFonts w:ascii="標楷體" w:eastAsia="標楷體"/>
      <w:b/>
      <w:sz w:val="28"/>
      <w:szCs w:val="20"/>
    </w:rPr>
  </w:style>
  <w:style w:type="paragraph" w:customStyle="1" w:styleId="15">
    <w:name w:val="(1)內文"/>
    <w:basedOn w:val="a1"/>
    <w:link w:val="16"/>
    <w:rsid w:val="00C050DB"/>
    <w:pPr>
      <w:autoSpaceDE w:val="0"/>
      <w:autoSpaceDN w:val="0"/>
      <w:adjustRightInd w:val="0"/>
      <w:spacing w:before="120" w:afterLines="50" w:line="400" w:lineRule="exact"/>
      <w:ind w:leftChars="300" w:left="300" w:firstLineChars="200" w:firstLine="200"/>
      <w:jc w:val="both"/>
    </w:pPr>
    <w:rPr>
      <w:rFonts w:ascii="華康中圓體" w:eastAsia="標楷體"/>
      <w:kern w:val="0"/>
      <w:sz w:val="20"/>
      <w:szCs w:val="20"/>
    </w:rPr>
  </w:style>
  <w:style w:type="character" w:customStyle="1" w:styleId="16">
    <w:name w:val="(1)內文 字元"/>
    <w:link w:val="15"/>
    <w:locked/>
    <w:rsid w:val="00C050DB"/>
    <w:rPr>
      <w:rFonts w:ascii="華康中圓體" w:eastAsia="標楷體" w:hAnsi="Times New Roman"/>
    </w:rPr>
  </w:style>
  <w:style w:type="paragraph" w:customStyle="1" w:styleId="afe">
    <w:name w:val="（一）內文"/>
    <w:basedOn w:val="a1"/>
    <w:uiPriority w:val="99"/>
    <w:rsid w:val="00C050DB"/>
    <w:pPr>
      <w:spacing w:before="60" w:line="240" w:lineRule="atLeast"/>
      <w:ind w:left="482" w:firstLineChars="200" w:firstLine="480"/>
      <w:jc w:val="both"/>
    </w:pPr>
    <w:rPr>
      <w:rFonts w:ascii="華康細圓體" w:eastAsia="華康細圓體" w:hAnsi="華康細圓體" w:cs="華康細圓體"/>
    </w:rPr>
  </w:style>
  <w:style w:type="paragraph" w:customStyle="1" w:styleId="aff">
    <w:name w:val="文字"/>
    <w:basedOn w:val="a1"/>
    <w:rsid w:val="00C050DB"/>
    <w:pPr>
      <w:spacing w:beforeLines="50" w:afterLines="50" w:line="440" w:lineRule="exact"/>
      <w:ind w:firstLineChars="225" w:firstLine="225"/>
    </w:pPr>
    <w:rPr>
      <w:rFonts w:ascii="標楷體" w:eastAsia="標楷體" w:hAnsi="標楷體"/>
      <w:sz w:val="28"/>
      <w:szCs w:val="28"/>
    </w:rPr>
  </w:style>
  <w:style w:type="paragraph" w:customStyle="1" w:styleId="17">
    <w:name w:val="字元 字元 字元 字元 字元 字元 字元 字元 字元 字元 字元 字元 字元 字元 字元1 字元 字元 字元 字元 字元 字元 字元 字元 字元 字元 字元 字元 字元 字元 字元 字元"/>
    <w:basedOn w:val="a1"/>
    <w:rsid w:val="00C050DB"/>
    <w:pPr>
      <w:widowControl/>
      <w:spacing w:after="160" w:line="240" w:lineRule="exact"/>
    </w:pPr>
    <w:rPr>
      <w:rFonts w:ascii="Tahoma" w:hAnsi="Tahoma"/>
      <w:kern w:val="0"/>
      <w:sz w:val="20"/>
      <w:szCs w:val="20"/>
      <w:lang w:eastAsia="en-US"/>
    </w:rPr>
  </w:style>
  <w:style w:type="paragraph" w:styleId="aff0">
    <w:name w:val="Body Text"/>
    <w:basedOn w:val="a1"/>
    <w:link w:val="aff1"/>
    <w:rsid w:val="00C050DB"/>
    <w:pPr>
      <w:spacing w:after="120"/>
    </w:pPr>
  </w:style>
  <w:style w:type="character" w:customStyle="1" w:styleId="aff1">
    <w:name w:val="本文 字元"/>
    <w:basedOn w:val="a3"/>
    <w:link w:val="aff0"/>
    <w:rsid w:val="00C050DB"/>
    <w:rPr>
      <w:rFonts w:ascii="Times New Roman" w:hAnsi="Times New Roman"/>
      <w:kern w:val="2"/>
      <w:sz w:val="24"/>
      <w:szCs w:val="24"/>
    </w:rPr>
  </w:style>
  <w:style w:type="paragraph" w:customStyle="1" w:styleId="18">
    <w:name w:val="字元 字元1 字元 字元 字元 字元 字元 字元 字元"/>
    <w:basedOn w:val="a1"/>
    <w:rsid w:val="00C050DB"/>
    <w:pPr>
      <w:widowControl/>
      <w:spacing w:after="160" w:line="240" w:lineRule="exact"/>
    </w:pPr>
    <w:rPr>
      <w:rFonts w:ascii="Tahoma" w:hAnsi="Tahoma" w:cs="Tahoma"/>
      <w:kern w:val="0"/>
      <w:sz w:val="20"/>
      <w:szCs w:val="20"/>
      <w:lang w:eastAsia="en-US"/>
    </w:rPr>
  </w:style>
  <w:style w:type="paragraph" w:customStyle="1" w:styleId="aff2">
    <w:name w:val="(一)內文"/>
    <w:basedOn w:val="a1"/>
    <w:link w:val="aff3"/>
    <w:qFormat/>
    <w:rsid w:val="00C050DB"/>
    <w:pPr>
      <w:autoSpaceDE w:val="0"/>
      <w:autoSpaceDN w:val="0"/>
      <w:adjustRightInd w:val="0"/>
      <w:spacing w:before="120" w:afterLines="50" w:line="400" w:lineRule="exact"/>
      <w:ind w:leftChars="150" w:left="150" w:firstLineChars="200" w:firstLine="200"/>
      <w:jc w:val="both"/>
    </w:pPr>
    <w:rPr>
      <w:rFonts w:ascii="華康中圓體" w:eastAsia="標楷體"/>
      <w:kern w:val="0"/>
      <w:sz w:val="20"/>
      <w:szCs w:val="20"/>
    </w:rPr>
  </w:style>
  <w:style w:type="character" w:customStyle="1" w:styleId="aff3">
    <w:name w:val="(一)內文 字元"/>
    <w:link w:val="aff2"/>
    <w:locked/>
    <w:rsid w:val="00C050DB"/>
    <w:rPr>
      <w:rFonts w:ascii="華康中圓體" w:eastAsia="標楷體" w:hAnsi="Times New Roman"/>
    </w:rPr>
  </w:style>
  <w:style w:type="paragraph" w:styleId="a2">
    <w:name w:val="Normal Indent"/>
    <w:basedOn w:val="a1"/>
    <w:uiPriority w:val="99"/>
    <w:rsid w:val="00C050DB"/>
    <w:pPr>
      <w:ind w:leftChars="200" w:left="480"/>
    </w:pPr>
  </w:style>
  <w:style w:type="numbering" w:customStyle="1" w:styleId="23">
    <w:name w:val="無清單2"/>
    <w:next w:val="a5"/>
    <w:uiPriority w:val="99"/>
    <w:semiHidden/>
    <w:unhideWhenUsed/>
    <w:rsid w:val="00F47623"/>
  </w:style>
  <w:style w:type="table" w:customStyle="1" w:styleId="19">
    <w:name w:val="表格格線1"/>
    <w:basedOn w:val="a4"/>
    <w:next w:val="a6"/>
    <w:rsid w:val="00F4762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annotation reference"/>
    <w:basedOn w:val="a3"/>
    <w:rsid w:val="00F47623"/>
    <w:rPr>
      <w:sz w:val="18"/>
      <w:szCs w:val="18"/>
    </w:rPr>
  </w:style>
  <w:style w:type="paragraph" w:styleId="aff5">
    <w:name w:val="annotation text"/>
    <w:basedOn w:val="a1"/>
    <w:link w:val="aff6"/>
    <w:rsid w:val="00F47623"/>
  </w:style>
  <w:style w:type="character" w:customStyle="1" w:styleId="aff6">
    <w:name w:val="註解文字 字元"/>
    <w:basedOn w:val="a3"/>
    <w:link w:val="aff5"/>
    <w:rsid w:val="00F47623"/>
    <w:rPr>
      <w:rFonts w:ascii="Times New Roman" w:hAnsi="Times New Roman"/>
      <w:kern w:val="2"/>
      <w:sz w:val="24"/>
      <w:szCs w:val="24"/>
    </w:rPr>
  </w:style>
  <w:style w:type="paragraph" w:styleId="aff7">
    <w:name w:val="annotation subject"/>
    <w:basedOn w:val="aff5"/>
    <w:next w:val="aff5"/>
    <w:link w:val="aff8"/>
    <w:rsid w:val="00F47623"/>
    <w:rPr>
      <w:b/>
      <w:bCs/>
    </w:rPr>
  </w:style>
  <w:style w:type="character" w:customStyle="1" w:styleId="aff8">
    <w:name w:val="註解主旨 字元"/>
    <w:basedOn w:val="aff6"/>
    <w:link w:val="aff7"/>
    <w:rsid w:val="00F47623"/>
    <w:rPr>
      <w:rFonts w:ascii="Times New Roman" w:hAnsi="Times New Roman"/>
      <w:b/>
      <w:bCs/>
      <w:kern w:val="2"/>
      <w:sz w:val="24"/>
      <w:szCs w:val="24"/>
    </w:rPr>
  </w:style>
  <w:style w:type="paragraph" w:customStyle="1" w:styleId="05-">
    <w:name w:val="05_一-內文"/>
    <w:basedOn w:val="a1"/>
    <w:link w:val="05-0"/>
    <w:autoRedefine/>
    <w:rsid w:val="00F47623"/>
    <w:pPr>
      <w:spacing w:beforeLines="25" w:afterLines="25"/>
      <w:ind w:leftChars="400" w:left="960" w:rightChars="2244" w:right="5386" w:firstLineChars="200" w:firstLine="480"/>
      <w:jc w:val="both"/>
    </w:pPr>
    <w:rPr>
      <w:rFonts w:ascii="標楷體" w:eastAsia="標楷體" w:hAnsi="標楷體"/>
    </w:rPr>
  </w:style>
  <w:style w:type="character" w:customStyle="1" w:styleId="05-0">
    <w:name w:val="05_一-內文 字元 字元"/>
    <w:link w:val="05-"/>
    <w:rsid w:val="00F47623"/>
    <w:rPr>
      <w:rFonts w:ascii="標楷體" w:eastAsia="標楷體" w:hAnsi="標楷體"/>
      <w:kern w:val="2"/>
      <w:sz w:val="24"/>
      <w:szCs w:val="24"/>
    </w:rPr>
  </w:style>
  <w:style w:type="paragraph" w:customStyle="1" w:styleId="aff9">
    <w:name w:val="一.內文"/>
    <w:rsid w:val="00F47623"/>
    <w:pPr>
      <w:snapToGrid w:val="0"/>
      <w:spacing w:beforeLines="25" w:afterLines="25" w:line="440" w:lineRule="atLeast"/>
      <w:ind w:leftChars="531" w:left="531"/>
    </w:pPr>
    <w:rPr>
      <w:rFonts w:ascii="Arial" w:eastAsia="標楷體" w:hAnsi="Arial"/>
      <w:color w:val="000000"/>
      <w:sz w:val="28"/>
      <w:szCs w:val="24"/>
    </w:rPr>
  </w:style>
  <w:style w:type="paragraph" w:styleId="affa">
    <w:name w:val="endnote text"/>
    <w:basedOn w:val="a1"/>
    <w:link w:val="affb"/>
    <w:rsid w:val="00F47623"/>
    <w:pPr>
      <w:snapToGrid w:val="0"/>
    </w:pPr>
  </w:style>
  <w:style w:type="character" w:customStyle="1" w:styleId="affb">
    <w:name w:val="章節附註文字 字元"/>
    <w:basedOn w:val="a3"/>
    <w:link w:val="affa"/>
    <w:rsid w:val="00F47623"/>
    <w:rPr>
      <w:rFonts w:ascii="Times New Roman" w:hAnsi="Times New Roman"/>
      <w:kern w:val="2"/>
      <w:sz w:val="24"/>
      <w:szCs w:val="24"/>
    </w:rPr>
  </w:style>
  <w:style w:type="character" w:styleId="affc">
    <w:name w:val="endnote reference"/>
    <w:basedOn w:val="a3"/>
    <w:rsid w:val="00F47623"/>
    <w:rPr>
      <w:vertAlign w:val="superscript"/>
    </w:rPr>
  </w:style>
  <w:style w:type="paragraph" w:styleId="Web">
    <w:name w:val="Normal (Web)"/>
    <w:basedOn w:val="a1"/>
    <w:uiPriority w:val="99"/>
    <w:unhideWhenUsed/>
    <w:rsid w:val="00F47623"/>
    <w:pPr>
      <w:widowControl/>
      <w:spacing w:before="100" w:beforeAutospacing="1" w:after="100" w:afterAutospacing="1"/>
    </w:pPr>
    <w:rPr>
      <w:rFonts w:ascii="新細明體" w:hAnsi="新細明體" w:cs="新細明體"/>
      <w:kern w:val="0"/>
    </w:rPr>
  </w:style>
  <w:style w:type="numbering" w:customStyle="1" w:styleId="32">
    <w:name w:val="無清單3"/>
    <w:next w:val="a5"/>
    <w:uiPriority w:val="99"/>
    <w:semiHidden/>
    <w:unhideWhenUsed/>
    <w:rsid w:val="00612A4B"/>
  </w:style>
  <w:style w:type="table" w:customStyle="1" w:styleId="24">
    <w:name w:val="表格格線2"/>
    <w:basedOn w:val="a4"/>
    <w:next w:val="a6"/>
    <w:rsid w:val="00612A4B"/>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FollowedHyperlink"/>
    <w:basedOn w:val="a3"/>
    <w:rsid w:val="00612A4B"/>
    <w:rPr>
      <w:color w:val="800080"/>
      <w:u w:val="single"/>
    </w:rPr>
  </w:style>
  <w:style w:type="paragraph" w:styleId="affe">
    <w:name w:val="Plain Text"/>
    <w:basedOn w:val="a1"/>
    <w:link w:val="afff"/>
    <w:uiPriority w:val="99"/>
    <w:unhideWhenUsed/>
    <w:rsid w:val="00612A4B"/>
    <w:rPr>
      <w:rFonts w:ascii="Calibri" w:hAnsi="Courier New" w:cs="Courier New"/>
    </w:rPr>
  </w:style>
  <w:style w:type="character" w:customStyle="1" w:styleId="afff">
    <w:name w:val="純文字 字元"/>
    <w:basedOn w:val="a3"/>
    <w:link w:val="affe"/>
    <w:uiPriority w:val="99"/>
    <w:rsid w:val="00612A4B"/>
    <w:rPr>
      <w:rFonts w:hAnsi="Courier New" w:cs="Courier New"/>
      <w:kern w:val="2"/>
      <w:sz w:val="24"/>
      <w:szCs w:val="24"/>
    </w:rPr>
  </w:style>
  <w:style w:type="paragraph" w:customStyle="1" w:styleId="1a">
    <w:name w:val="1.內文"/>
    <w:link w:val="1b"/>
    <w:qFormat/>
    <w:rsid w:val="00612A4B"/>
    <w:pPr>
      <w:widowControl w:val="0"/>
      <w:spacing w:beforeLines="10" w:afterLines="10" w:line="400" w:lineRule="exact"/>
      <w:ind w:leftChars="700" w:left="700"/>
      <w:jc w:val="both"/>
    </w:pPr>
    <w:rPr>
      <w:rFonts w:ascii="Arial" w:eastAsia="華康細圓體" w:hAnsi="Arial"/>
      <w:kern w:val="2"/>
      <w:sz w:val="24"/>
    </w:rPr>
  </w:style>
  <w:style w:type="paragraph" w:customStyle="1" w:styleId="1c">
    <w:name w:val="1.標題"/>
    <w:basedOn w:val="a1"/>
    <w:link w:val="1d"/>
    <w:uiPriority w:val="99"/>
    <w:qFormat/>
    <w:rsid w:val="00612A4B"/>
    <w:pPr>
      <w:spacing w:beforeLines="40" w:afterLines="10" w:line="400" w:lineRule="exact"/>
      <w:ind w:leftChars="600" w:left="600" w:hangingChars="95" w:hanging="147"/>
      <w:jc w:val="both"/>
    </w:pPr>
    <w:rPr>
      <w:rFonts w:ascii="Arial" w:eastAsia="華康中圓體" w:hAnsi="Arial"/>
      <w:szCs w:val="20"/>
    </w:rPr>
  </w:style>
  <w:style w:type="character" w:customStyle="1" w:styleId="1b">
    <w:name w:val="1.內文 字元"/>
    <w:basedOn w:val="a3"/>
    <w:link w:val="1a"/>
    <w:rsid w:val="00612A4B"/>
    <w:rPr>
      <w:rFonts w:ascii="Arial" w:eastAsia="華康細圓體" w:hAnsi="Arial"/>
      <w:kern w:val="2"/>
      <w:sz w:val="24"/>
    </w:rPr>
  </w:style>
  <w:style w:type="character" w:customStyle="1" w:styleId="1d">
    <w:name w:val="1.標題 字元"/>
    <w:basedOn w:val="a3"/>
    <w:link w:val="1c"/>
    <w:uiPriority w:val="99"/>
    <w:rsid w:val="00612A4B"/>
    <w:rPr>
      <w:rFonts w:ascii="Arial" w:eastAsia="華康中圓體" w:hAnsi="Arial"/>
      <w:kern w:val="2"/>
      <w:sz w:val="24"/>
    </w:rPr>
  </w:style>
  <w:style w:type="paragraph" w:customStyle="1" w:styleId="afff0">
    <w:name w:val="(一)標題"/>
    <w:basedOn w:val="a1"/>
    <w:link w:val="afff1"/>
    <w:rsid w:val="00612A4B"/>
    <w:pPr>
      <w:snapToGrid w:val="0"/>
      <w:spacing w:beforeLines="80" w:afterLines="20" w:line="400" w:lineRule="exact"/>
      <w:ind w:left="1191" w:hanging="567"/>
      <w:jc w:val="both"/>
    </w:pPr>
    <w:rPr>
      <w:rFonts w:ascii="Arial" w:eastAsia="華康粗圓體" w:hAnsi="Arial"/>
      <w:sz w:val="26"/>
      <w:szCs w:val="20"/>
    </w:rPr>
  </w:style>
  <w:style w:type="paragraph" w:customStyle="1" w:styleId="afff2">
    <w:name w:val="圖"/>
    <w:qFormat/>
    <w:rsid w:val="00612A4B"/>
    <w:pPr>
      <w:ind w:firstLine="28"/>
    </w:pPr>
    <w:rPr>
      <w:rFonts w:ascii="Arial" w:eastAsia="華康細圓體" w:hAnsi="Arial"/>
      <w:kern w:val="2"/>
    </w:rPr>
  </w:style>
  <w:style w:type="paragraph" w:customStyle="1" w:styleId="--">
    <w:name w:val="圖--標題"/>
    <w:basedOn w:val="a1"/>
    <w:rsid w:val="00612A4B"/>
    <w:pPr>
      <w:spacing w:afterLines="10"/>
      <w:jc w:val="right"/>
    </w:pPr>
    <w:rPr>
      <w:rFonts w:ascii="Arial" w:eastAsia="華康細圓體" w:hAnsi="Arial"/>
      <w:sz w:val="22"/>
      <w:szCs w:val="20"/>
    </w:rPr>
  </w:style>
  <w:style w:type="character" w:customStyle="1" w:styleId="afff1">
    <w:name w:val="(一)標題 字元"/>
    <w:link w:val="afff0"/>
    <w:rsid w:val="00612A4B"/>
    <w:rPr>
      <w:rFonts w:ascii="Arial" w:eastAsia="華康粗圓體" w:hAnsi="Arial"/>
      <w:kern w:val="2"/>
      <w:sz w:val="26"/>
    </w:rPr>
  </w:style>
  <w:style w:type="paragraph" w:customStyle="1" w:styleId="1-">
    <w:name w:val="1.文字敘述-非標題"/>
    <w:qFormat/>
    <w:rsid w:val="00612A4B"/>
    <w:pPr>
      <w:adjustRightInd w:val="0"/>
      <w:spacing w:beforeLines="20" w:afterLines="20" w:line="400" w:lineRule="exact"/>
      <w:ind w:left="1372" w:hanging="181"/>
    </w:pPr>
    <w:rPr>
      <w:rFonts w:ascii="Arial" w:eastAsia="華康細圓體" w:hAnsi="Arial"/>
      <w:kern w:val="2"/>
      <w:sz w:val="24"/>
    </w:rPr>
  </w:style>
  <w:style w:type="paragraph" w:customStyle="1" w:styleId="afff3">
    <w:name w:val="a標題"/>
    <w:basedOn w:val="a1"/>
    <w:link w:val="afff4"/>
    <w:uiPriority w:val="99"/>
    <w:rsid w:val="00612A4B"/>
    <w:pPr>
      <w:tabs>
        <w:tab w:val="num" w:pos="2232"/>
      </w:tabs>
      <w:snapToGrid w:val="0"/>
      <w:spacing w:line="500" w:lineRule="atLeast"/>
      <w:ind w:leftChars="414" w:left="1277" w:hangingChars="101" w:hanging="283"/>
    </w:pPr>
    <w:rPr>
      <w:rFonts w:ascii="標楷體" w:eastAsia="標楷體" w:hAnsi="標楷體"/>
      <w:sz w:val="28"/>
      <w:szCs w:val="28"/>
    </w:rPr>
  </w:style>
  <w:style w:type="character" w:customStyle="1" w:styleId="afff4">
    <w:name w:val="a標題 字元"/>
    <w:link w:val="afff3"/>
    <w:uiPriority w:val="99"/>
    <w:locked/>
    <w:rsid w:val="00612A4B"/>
    <w:rPr>
      <w:rFonts w:ascii="標楷體" w:eastAsia="標楷體" w:hAnsi="標楷體"/>
      <w:kern w:val="2"/>
      <w:sz w:val="28"/>
      <w:szCs w:val="28"/>
    </w:rPr>
  </w:style>
  <w:style w:type="paragraph" w:customStyle="1" w:styleId="1e">
    <w:name w:val="1標題"/>
    <w:basedOn w:val="a1"/>
    <w:uiPriority w:val="99"/>
    <w:rsid w:val="00612A4B"/>
    <w:pPr>
      <w:autoSpaceDE w:val="0"/>
      <w:autoSpaceDN w:val="0"/>
      <w:adjustRightInd w:val="0"/>
      <w:snapToGrid w:val="0"/>
      <w:spacing w:line="500" w:lineRule="atLeast"/>
      <w:ind w:leftChars="90" w:left="216"/>
      <w:jc w:val="both"/>
    </w:pPr>
    <w:rPr>
      <w:rFonts w:ascii="標楷體" w:eastAsia="標楷體" w:hAnsi="標楷體" w:cs="標楷體"/>
      <w:w w:val="96"/>
      <w:kern w:val="0"/>
      <w:sz w:val="28"/>
      <w:szCs w:val="28"/>
    </w:rPr>
  </w:style>
  <w:style w:type="paragraph" w:customStyle="1" w:styleId="BOOK1">
    <w:name w:val="【BOOK】1、"/>
    <w:basedOn w:val="a1"/>
    <w:link w:val="BOOK10"/>
    <w:autoRedefine/>
    <w:uiPriority w:val="99"/>
    <w:rsid w:val="00612A4B"/>
    <w:pPr>
      <w:numPr>
        <w:numId w:val="109"/>
      </w:numPr>
      <w:spacing w:beforeLines="50" w:after="120" w:line="360" w:lineRule="exact"/>
      <w:ind w:rightChars="100" w:right="240"/>
    </w:pPr>
    <w:rPr>
      <w:rFonts w:ascii="Arial" w:eastAsia="標楷體" w:hAnsi="Arial" w:cs="Arial"/>
      <w:b/>
      <w:bCs/>
      <w:noProof/>
      <w:color w:val="0000FF"/>
      <w:spacing w:val="5"/>
      <w:kern w:val="0"/>
      <w:sz w:val="28"/>
      <w:szCs w:val="28"/>
      <w:u w:val="single"/>
    </w:rPr>
  </w:style>
  <w:style w:type="character" w:customStyle="1" w:styleId="BOOK10">
    <w:name w:val="【BOOK】1、 字元"/>
    <w:link w:val="BOOK1"/>
    <w:uiPriority w:val="99"/>
    <w:locked/>
    <w:rsid w:val="00612A4B"/>
    <w:rPr>
      <w:rFonts w:ascii="Arial" w:eastAsia="標楷體" w:hAnsi="Arial" w:cs="Arial"/>
      <w:b/>
      <w:bCs/>
      <w:noProof/>
      <w:color w:val="0000FF"/>
      <w:spacing w:val="5"/>
      <w:sz w:val="28"/>
      <w:szCs w:val="28"/>
      <w:u w:val="single"/>
    </w:rPr>
  </w:style>
  <w:style w:type="paragraph" w:customStyle="1" w:styleId="afff5">
    <w:name w:val="壹文"/>
    <w:link w:val="afff6"/>
    <w:uiPriority w:val="99"/>
    <w:rsid w:val="00612A4B"/>
    <w:pPr>
      <w:snapToGrid w:val="0"/>
      <w:spacing w:beforeLines="30" w:line="480" w:lineRule="atLeast"/>
      <w:ind w:firstLineChars="200" w:firstLine="640"/>
      <w:jc w:val="both"/>
    </w:pPr>
    <w:rPr>
      <w:rFonts w:ascii="標楷體" w:eastAsia="標楷體" w:hAnsi="標楷體" w:cs="新細明體"/>
      <w:kern w:val="2"/>
      <w:sz w:val="32"/>
      <w:szCs w:val="32"/>
    </w:rPr>
  </w:style>
  <w:style w:type="character" w:customStyle="1" w:styleId="afff6">
    <w:name w:val="壹文 字元"/>
    <w:link w:val="afff5"/>
    <w:uiPriority w:val="99"/>
    <w:locked/>
    <w:rsid w:val="00612A4B"/>
    <w:rPr>
      <w:rFonts w:ascii="標楷體" w:eastAsia="標楷體" w:hAnsi="標楷體" w:cs="新細明體"/>
      <w:kern w:val="2"/>
      <w:sz w:val="32"/>
      <w:szCs w:val="32"/>
    </w:rPr>
  </w:style>
  <w:style w:type="paragraph" w:customStyle="1" w:styleId="BOOK">
    <w:name w:val="BOOK～(一)"/>
    <w:basedOn w:val="a1"/>
    <w:link w:val="BOOK0"/>
    <w:uiPriority w:val="99"/>
    <w:rsid w:val="00612A4B"/>
    <w:pPr>
      <w:tabs>
        <w:tab w:val="right" w:pos="9242"/>
      </w:tabs>
      <w:snapToGrid w:val="0"/>
      <w:spacing w:beforeLines="50" w:line="480" w:lineRule="exact"/>
      <w:jc w:val="both"/>
    </w:pPr>
    <w:rPr>
      <w:rFonts w:ascii="標楷體" w:eastAsia="標楷體" w:hAnsi="標楷體" w:cs="Arial"/>
      <w:b/>
      <w:kern w:val="0"/>
      <w:sz w:val="32"/>
      <w:szCs w:val="28"/>
    </w:rPr>
  </w:style>
  <w:style w:type="character" w:customStyle="1" w:styleId="BOOK0">
    <w:name w:val="BOOK～(一) 字元"/>
    <w:link w:val="BOOK"/>
    <w:uiPriority w:val="99"/>
    <w:locked/>
    <w:rsid w:val="00612A4B"/>
    <w:rPr>
      <w:rFonts w:ascii="標楷體" w:eastAsia="標楷體" w:hAnsi="標楷體" w:cs="Arial"/>
      <w:b/>
      <w:sz w:val="32"/>
      <w:szCs w:val="28"/>
    </w:rPr>
  </w:style>
  <w:style w:type="paragraph" w:styleId="25">
    <w:name w:val="Body Text 2"/>
    <w:basedOn w:val="a1"/>
    <w:link w:val="26"/>
    <w:rsid w:val="00612A4B"/>
    <w:pPr>
      <w:spacing w:after="120" w:line="480" w:lineRule="auto"/>
    </w:pPr>
  </w:style>
  <w:style w:type="character" w:customStyle="1" w:styleId="26">
    <w:name w:val="本文 2 字元"/>
    <w:basedOn w:val="a3"/>
    <w:link w:val="25"/>
    <w:rsid w:val="00612A4B"/>
    <w:rPr>
      <w:rFonts w:ascii="Times New Roman" w:hAnsi="Times New Roman"/>
      <w:kern w:val="2"/>
      <w:sz w:val="24"/>
      <w:szCs w:val="24"/>
    </w:rPr>
  </w:style>
  <w:style w:type="paragraph" w:customStyle="1" w:styleId="33">
    <w:name w:val="清單段落3"/>
    <w:basedOn w:val="a1"/>
    <w:link w:val="ListParagraphChar2"/>
    <w:uiPriority w:val="99"/>
    <w:qFormat/>
    <w:rsid w:val="00DF2F67"/>
    <w:pPr>
      <w:ind w:leftChars="200" w:left="480"/>
    </w:pPr>
  </w:style>
  <w:style w:type="character" w:customStyle="1" w:styleId="ListParagraphChar2">
    <w:name w:val="List Paragraph Char2"/>
    <w:link w:val="33"/>
    <w:uiPriority w:val="99"/>
    <w:locked/>
    <w:rsid w:val="00DF2F67"/>
    <w:rPr>
      <w:rFonts w:ascii="Times New Roman" w:hAnsi="Times New Roman"/>
      <w:kern w:val="2"/>
      <w:sz w:val="24"/>
      <w:szCs w:val="24"/>
    </w:rPr>
  </w:style>
  <w:style w:type="character" w:customStyle="1" w:styleId="wtitle1">
    <w:name w:val="w_title1"/>
    <w:uiPriority w:val="99"/>
    <w:rsid w:val="00DF2F67"/>
    <w:rPr>
      <w:b/>
      <w:color w:val="auto"/>
    </w:rPr>
  </w:style>
  <w:style w:type="paragraph" w:styleId="27">
    <w:name w:val="Body Text Indent 2"/>
    <w:basedOn w:val="a1"/>
    <w:link w:val="28"/>
    <w:uiPriority w:val="99"/>
    <w:rsid w:val="00DF2F67"/>
    <w:pPr>
      <w:spacing w:after="120" w:line="480" w:lineRule="auto"/>
      <w:ind w:leftChars="200" w:left="480"/>
    </w:pPr>
  </w:style>
  <w:style w:type="character" w:customStyle="1" w:styleId="28">
    <w:name w:val="本文縮排 2 字元"/>
    <w:basedOn w:val="a3"/>
    <w:link w:val="27"/>
    <w:uiPriority w:val="99"/>
    <w:rsid w:val="00DF2F67"/>
    <w:rPr>
      <w:rFonts w:ascii="Times New Roman" w:hAnsi="Times New Roman"/>
      <w:kern w:val="2"/>
      <w:sz w:val="24"/>
      <w:szCs w:val="24"/>
    </w:rPr>
  </w:style>
  <w:style w:type="paragraph" w:styleId="afff7">
    <w:name w:val="Date"/>
    <w:basedOn w:val="a1"/>
    <w:next w:val="a1"/>
    <w:link w:val="afff8"/>
    <w:uiPriority w:val="99"/>
    <w:rsid w:val="00DF2F67"/>
    <w:pPr>
      <w:jc w:val="right"/>
    </w:pPr>
  </w:style>
  <w:style w:type="character" w:customStyle="1" w:styleId="afff8">
    <w:name w:val="日期 字元"/>
    <w:basedOn w:val="a3"/>
    <w:link w:val="afff7"/>
    <w:uiPriority w:val="99"/>
    <w:rsid w:val="00DF2F67"/>
    <w:rPr>
      <w:rFonts w:ascii="Times New Roman" w:hAnsi="Times New Roman"/>
      <w:kern w:val="2"/>
      <w:sz w:val="24"/>
      <w:szCs w:val="24"/>
    </w:rPr>
  </w:style>
  <w:style w:type="paragraph" w:styleId="3">
    <w:name w:val="List Bullet 3"/>
    <w:basedOn w:val="a1"/>
    <w:uiPriority w:val="99"/>
    <w:rsid w:val="00DF2F67"/>
    <w:pPr>
      <w:numPr>
        <w:numId w:val="28"/>
      </w:numPr>
      <w:tabs>
        <w:tab w:val="num" w:pos="1321"/>
      </w:tabs>
      <w:ind w:leftChars="600" w:left="600" w:hangingChars="200" w:hanging="200"/>
    </w:pPr>
  </w:style>
  <w:style w:type="paragraph" w:styleId="afff9">
    <w:name w:val="List Bullet"/>
    <w:basedOn w:val="a1"/>
    <w:uiPriority w:val="99"/>
    <w:rsid w:val="00DF2F67"/>
    <w:pPr>
      <w:tabs>
        <w:tab w:val="num" w:pos="361"/>
      </w:tabs>
      <w:ind w:leftChars="200" w:left="200" w:hangingChars="200" w:hanging="200"/>
    </w:pPr>
  </w:style>
  <w:style w:type="character" w:styleId="afffa">
    <w:name w:val="page number"/>
    <w:uiPriority w:val="99"/>
    <w:rsid w:val="00DF2F67"/>
    <w:rPr>
      <w:rFonts w:cs="Times New Roman"/>
    </w:rPr>
  </w:style>
  <w:style w:type="paragraph" w:customStyle="1" w:styleId="34">
    <w:name w:val="清單段落3"/>
    <w:basedOn w:val="a1"/>
    <w:uiPriority w:val="99"/>
    <w:rsid w:val="00DF2F67"/>
    <w:pPr>
      <w:ind w:leftChars="200" w:left="480"/>
    </w:pPr>
  </w:style>
  <w:style w:type="paragraph" w:customStyle="1" w:styleId="41">
    <w:name w:val="清單段落4"/>
    <w:basedOn w:val="a1"/>
    <w:rsid w:val="00FE4B9B"/>
    <w:pPr>
      <w:ind w:leftChars="200" w:left="480"/>
    </w:pPr>
  </w:style>
  <w:style w:type="paragraph" w:customStyle="1" w:styleId="afffb">
    <w:name w:val="表名樣"/>
    <w:basedOn w:val="a1"/>
    <w:rsid w:val="00FE4B9B"/>
    <w:pPr>
      <w:widowControl/>
      <w:tabs>
        <w:tab w:val="right" w:leader="dot" w:pos="9356"/>
      </w:tabs>
      <w:spacing w:beforeLines="50" w:line="276" w:lineRule="auto"/>
      <w:jc w:val="center"/>
    </w:pPr>
    <w:rPr>
      <w:rFonts w:ascii="標楷體" w:eastAsia="標楷體" w:hAnsi="標楷體" w:cs="標楷體"/>
      <w:b/>
      <w:bCs/>
      <w:noProof/>
      <w:kern w:val="0"/>
      <w:sz w:val="26"/>
      <w:szCs w:val="26"/>
    </w:rPr>
  </w:style>
  <w:style w:type="paragraph" w:customStyle="1" w:styleId="afffc">
    <w:name w:val="節文樣"/>
    <w:basedOn w:val="a1"/>
    <w:link w:val="afffd"/>
    <w:rsid w:val="00FE4B9B"/>
    <w:pPr>
      <w:widowControl/>
      <w:tabs>
        <w:tab w:val="right" w:leader="dot" w:pos="9356"/>
      </w:tabs>
      <w:spacing w:beforeLines="50" w:afterLines="50" w:line="276" w:lineRule="auto"/>
      <w:ind w:firstLineChars="204" w:firstLine="530"/>
    </w:pPr>
    <w:rPr>
      <w:rFonts w:ascii="標楷體" w:eastAsia="標楷體" w:hAnsi="標楷體"/>
      <w:noProof/>
      <w:kern w:val="0"/>
      <w:sz w:val="26"/>
      <w:szCs w:val="26"/>
    </w:rPr>
  </w:style>
  <w:style w:type="character" w:customStyle="1" w:styleId="afffd">
    <w:name w:val="節文樣 字元"/>
    <w:link w:val="afffc"/>
    <w:locked/>
    <w:rsid w:val="00FE4B9B"/>
    <w:rPr>
      <w:rFonts w:ascii="標楷體" w:eastAsia="標楷體" w:hAnsi="標楷體"/>
      <w:noProof/>
      <w:sz w:val="26"/>
      <w:szCs w:val="26"/>
    </w:rPr>
  </w:style>
  <w:style w:type="paragraph" w:customStyle="1" w:styleId="afffe">
    <w:name w:val="圖名樣"/>
    <w:basedOn w:val="a1"/>
    <w:link w:val="affff"/>
    <w:rsid w:val="00FE4B9B"/>
    <w:pPr>
      <w:widowControl/>
      <w:tabs>
        <w:tab w:val="right" w:leader="dot" w:pos="9356"/>
      </w:tabs>
      <w:spacing w:afterLines="50" w:line="276" w:lineRule="auto"/>
      <w:jc w:val="center"/>
    </w:pPr>
    <w:rPr>
      <w:rFonts w:ascii="標楷體" w:eastAsia="標楷體" w:hAnsi="標楷體"/>
      <w:b/>
      <w:bCs/>
      <w:kern w:val="0"/>
      <w:sz w:val="26"/>
      <w:szCs w:val="26"/>
    </w:rPr>
  </w:style>
  <w:style w:type="character" w:customStyle="1" w:styleId="affff">
    <w:name w:val="圖名樣 字元"/>
    <w:link w:val="afffe"/>
    <w:locked/>
    <w:rsid w:val="00FE4B9B"/>
    <w:rPr>
      <w:rFonts w:ascii="標楷體" w:eastAsia="標楷體" w:hAnsi="標楷體"/>
      <w:b/>
      <w:bCs/>
      <w:sz w:val="26"/>
      <w:szCs w:val="26"/>
    </w:rPr>
  </w:style>
  <w:style w:type="paragraph" w:customStyle="1" w:styleId="affff0">
    <w:name w:val="小節文"/>
    <w:basedOn w:val="a1"/>
    <w:link w:val="affff1"/>
    <w:rsid w:val="00FE4B9B"/>
    <w:pPr>
      <w:widowControl/>
      <w:tabs>
        <w:tab w:val="right" w:leader="dot" w:pos="9356"/>
      </w:tabs>
      <w:spacing w:beforeLines="50" w:afterLines="50" w:line="276" w:lineRule="auto"/>
      <w:ind w:leftChars="326" w:left="782" w:firstLineChars="204" w:firstLine="530"/>
    </w:pPr>
    <w:rPr>
      <w:rFonts w:ascii="標楷體" w:eastAsia="標楷體" w:hAnsi="標楷體"/>
      <w:noProof/>
      <w:kern w:val="0"/>
      <w:sz w:val="26"/>
      <w:szCs w:val="26"/>
    </w:rPr>
  </w:style>
  <w:style w:type="character" w:customStyle="1" w:styleId="affff1">
    <w:name w:val="小節文 字元"/>
    <w:link w:val="affff0"/>
    <w:locked/>
    <w:rsid w:val="00FE4B9B"/>
    <w:rPr>
      <w:rFonts w:ascii="標楷體" w:eastAsia="標楷體" w:hAnsi="標楷體"/>
      <w:noProof/>
      <w:sz w:val="26"/>
      <w:szCs w:val="26"/>
    </w:rPr>
  </w:style>
  <w:style w:type="character" w:customStyle="1" w:styleId="apple-style-span">
    <w:name w:val="apple-style-span"/>
    <w:rsid w:val="00FE4B9B"/>
    <w:rPr>
      <w:rFonts w:cs="Times New Roman"/>
    </w:rPr>
  </w:style>
  <w:style w:type="paragraph" w:customStyle="1" w:styleId="a0">
    <w:name w:val="節樣"/>
    <w:basedOn w:val="a1"/>
    <w:link w:val="affff2"/>
    <w:rsid w:val="00FE4B9B"/>
    <w:pPr>
      <w:widowControl/>
      <w:numPr>
        <w:ilvl w:val="1"/>
        <w:numId w:val="189"/>
      </w:numPr>
      <w:tabs>
        <w:tab w:val="right" w:leader="dot" w:pos="9356"/>
      </w:tabs>
      <w:spacing w:line="276" w:lineRule="auto"/>
    </w:pPr>
    <w:rPr>
      <w:rFonts w:ascii="標楷體" w:eastAsia="標楷體" w:hAnsi="標楷體"/>
      <w:b/>
      <w:bCs/>
      <w:kern w:val="0"/>
      <w:sz w:val="30"/>
      <w:szCs w:val="30"/>
    </w:rPr>
  </w:style>
  <w:style w:type="character" w:customStyle="1" w:styleId="affff2">
    <w:name w:val="節樣 字元"/>
    <w:link w:val="a0"/>
    <w:locked/>
    <w:rsid w:val="00FE4B9B"/>
    <w:rPr>
      <w:rFonts w:ascii="標楷體" w:eastAsia="標楷體" w:hAnsi="標楷體"/>
      <w:b/>
      <w:bCs/>
      <w:sz w:val="30"/>
      <w:szCs w:val="30"/>
    </w:rPr>
  </w:style>
  <w:style w:type="paragraph" w:customStyle="1" w:styleId="affff3">
    <w:name w:val="一、內文"/>
    <w:basedOn w:val="a1"/>
    <w:link w:val="affff4"/>
    <w:rsid w:val="00FE4B9B"/>
    <w:pPr>
      <w:autoSpaceDE w:val="0"/>
      <w:autoSpaceDN w:val="0"/>
      <w:adjustRightInd w:val="0"/>
      <w:spacing w:before="120" w:afterLines="50" w:line="400" w:lineRule="exact"/>
      <w:ind w:leftChars="200" w:left="200" w:firstLineChars="200" w:firstLine="200"/>
      <w:jc w:val="both"/>
    </w:pPr>
    <w:rPr>
      <w:rFonts w:ascii="標楷體" w:eastAsia="標楷體"/>
      <w:kern w:val="0"/>
    </w:rPr>
  </w:style>
  <w:style w:type="character" w:customStyle="1" w:styleId="affff4">
    <w:name w:val="一、內文 字元"/>
    <w:link w:val="affff3"/>
    <w:locked/>
    <w:rsid w:val="00FE4B9B"/>
    <w:rPr>
      <w:rFonts w:ascii="標楷體" w:eastAsia="標楷體" w:hAnsi="Times New Roman"/>
      <w:sz w:val="24"/>
      <w:szCs w:val="24"/>
    </w:rPr>
  </w:style>
  <w:style w:type="paragraph" w:customStyle="1" w:styleId="91">
    <w:name w:val="91_圖名"/>
    <w:basedOn w:val="a1"/>
    <w:link w:val="910"/>
    <w:autoRedefine/>
    <w:rsid w:val="00FE4B9B"/>
    <w:pPr>
      <w:jc w:val="center"/>
    </w:pPr>
    <w:rPr>
      <w:rFonts w:ascii="標楷體" w:eastAsia="標楷體" w:hAnsi="標楷體"/>
    </w:rPr>
  </w:style>
  <w:style w:type="character" w:customStyle="1" w:styleId="910">
    <w:name w:val="91_圖名 字元"/>
    <w:link w:val="91"/>
    <w:locked/>
    <w:rsid w:val="00FE4B9B"/>
    <w:rPr>
      <w:rFonts w:ascii="標楷體" w:eastAsia="標楷體" w:hAnsi="標楷體"/>
      <w:kern w:val="2"/>
      <w:sz w:val="24"/>
      <w:szCs w:val="24"/>
    </w:rPr>
  </w:style>
  <w:style w:type="paragraph" w:customStyle="1" w:styleId="affff5">
    <w:name w:val="點"/>
    <w:basedOn w:val="Default"/>
    <w:next w:val="Default"/>
    <w:rsid w:val="00FE4B9B"/>
    <w:rPr>
      <w:rFonts w:ascii="標楷體" w:eastAsia="標楷體" w:hAnsi="Calibri" w:cs="標楷體"/>
      <w:color w:val="auto"/>
    </w:rPr>
  </w:style>
  <w:style w:type="paragraph" w:customStyle="1" w:styleId="affff6">
    <w:name w:val="大豐圖名"/>
    <w:basedOn w:val="a1"/>
    <w:rsid w:val="00FE4B9B"/>
    <w:pPr>
      <w:spacing w:line="500" w:lineRule="exact"/>
      <w:jc w:val="center"/>
    </w:pPr>
    <w:rPr>
      <w:rFonts w:ascii="標楷體" w:eastAsia="標楷體" w:hAnsi="標楷體" w:cs="標楷體"/>
      <w:sz w:val="26"/>
      <w:szCs w:val="26"/>
    </w:rPr>
  </w:style>
  <w:style w:type="paragraph" w:customStyle="1" w:styleId="affff7">
    <w:name w:val="大豐內文一"/>
    <w:basedOn w:val="a1"/>
    <w:rsid w:val="00FE4B9B"/>
    <w:pPr>
      <w:spacing w:line="500" w:lineRule="exact"/>
      <w:ind w:firstLineChars="200" w:firstLine="200"/>
    </w:pPr>
    <w:rPr>
      <w:rFonts w:eastAsia="標楷體"/>
      <w:sz w:val="26"/>
      <w:szCs w:val="26"/>
    </w:rPr>
  </w:style>
  <w:style w:type="numbering" w:customStyle="1" w:styleId="ArticleSection">
    <w:name w:val="Article / Section"/>
    <w:rsid w:val="00FE4B9B"/>
    <w:pPr>
      <w:numPr>
        <w:numId w:val="187"/>
      </w:numPr>
    </w:pPr>
  </w:style>
  <w:style w:type="numbering" w:customStyle="1" w:styleId="1">
    <w:name w:val="目前的清單1"/>
    <w:rsid w:val="00FE4B9B"/>
    <w:pPr>
      <w:numPr>
        <w:numId w:val="186"/>
      </w:numPr>
    </w:pPr>
  </w:style>
  <w:style w:type="numbering" w:customStyle="1" w:styleId="42">
    <w:name w:val="無清單4"/>
    <w:next w:val="a5"/>
    <w:uiPriority w:val="99"/>
    <w:semiHidden/>
    <w:unhideWhenUsed/>
    <w:rsid w:val="00986223"/>
  </w:style>
  <w:style w:type="table" w:customStyle="1" w:styleId="35">
    <w:name w:val="表格格線3"/>
    <w:basedOn w:val="a4"/>
    <w:next w:val="a6"/>
    <w:rsid w:val="0098622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4"/>
    <w:next w:val="a6"/>
    <w:rsid w:val="00A12A45"/>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Hyperlink"/>
    <w:uiPriority w:val="99"/>
    <w:rsid w:val="000664AF"/>
    <w:rPr>
      <w:color w:val="0000FF"/>
      <w:u w:val="single"/>
    </w:rPr>
  </w:style>
  <w:style w:type="paragraph" w:styleId="affff9">
    <w:name w:val="TOC Heading"/>
    <w:basedOn w:val="10"/>
    <w:next w:val="a1"/>
    <w:uiPriority w:val="39"/>
    <w:semiHidden/>
    <w:unhideWhenUsed/>
    <w:qFormat/>
    <w:rsid w:val="00A3023B"/>
    <w:pPr>
      <w:keepNext/>
      <w:keepLines/>
      <w:widowControl/>
      <w:autoSpaceDE/>
      <w:autoSpaceDN/>
      <w:adjustRightInd/>
      <w:spacing w:before="480" w:afterLines="0" w:line="276" w:lineRule="auto"/>
      <w:ind w:firstLineChars="0" w:firstLine="0"/>
      <w:jc w:val="left"/>
      <w:outlineLvl w:val="9"/>
    </w:pPr>
    <w:rPr>
      <w:rFonts w:asciiTheme="majorHAnsi" w:eastAsiaTheme="majorEastAsia" w:hAnsiTheme="majorHAnsi" w:cstheme="majorBidi"/>
      <w:color w:val="365F91" w:themeColor="accent1" w:themeShade="BF"/>
      <w:sz w:val="28"/>
    </w:rPr>
  </w:style>
  <w:style w:type="paragraph" w:styleId="36">
    <w:name w:val="toc 3"/>
    <w:basedOn w:val="a1"/>
    <w:next w:val="a1"/>
    <w:autoRedefine/>
    <w:uiPriority w:val="39"/>
    <w:unhideWhenUsed/>
    <w:locked/>
    <w:rsid w:val="00A3023B"/>
    <w:pPr>
      <w:ind w:leftChars="400" w:left="960"/>
    </w:pPr>
  </w:style>
  <w:style w:type="paragraph" w:styleId="1f">
    <w:name w:val="toc 1"/>
    <w:basedOn w:val="a1"/>
    <w:next w:val="a1"/>
    <w:autoRedefine/>
    <w:uiPriority w:val="39"/>
    <w:unhideWhenUsed/>
    <w:locked/>
    <w:rsid w:val="00A3023B"/>
  </w:style>
  <w:style w:type="paragraph" w:styleId="29">
    <w:name w:val="toc 2"/>
    <w:basedOn w:val="a1"/>
    <w:next w:val="a1"/>
    <w:autoRedefine/>
    <w:uiPriority w:val="39"/>
    <w:unhideWhenUsed/>
    <w:locked/>
    <w:rsid w:val="00A3023B"/>
    <w:pPr>
      <w:ind w:leftChars="200" w:left="480"/>
    </w:pPr>
    <w:rPr>
      <w:rFonts w:asciiTheme="minorHAnsi" w:eastAsiaTheme="minorEastAsia" w:hAnsiTheme="minorHAnsi" w:cstheme="minorBidi"/>
      <w:szCs w:val="22"/>
    </w:rPr>
  </w:style>
  <w:style w:type="paragraph" w:styleId="44">
    <w:name w:val="toc 4"/>
    <w:basedOn w:val="a1"/>
    <w:next w:val="a1"/>
    <w:autoRedefine/>
    <w:uiPriority w:val="39"/>
    <w:unhideWhenUsed/>
    <w:locked/>
    <w:rsid w:val="00A3023B"/>
    <w:pPr>
      <w:ind w:leftChars="600" w:left="1440"/>
    </w:pPr>
    <w:rPr>
      <w:rFonts w:asciiTheme="minorHAnsi" w:eastAsiaTheme="minorEastAsia" w:hAnsiTheme="minorHAnsi" w:cstheme="minorBidi"/>
      <w:szCs w:val="22"/>
    </w:rPr>
  </w:style>
  <w:style w:type="paragraph" w:styleId="51">
    <w:name w:val="toc 5"/>
    <w:basedOn w:val="a1"/>
    <w:next w:val="a1"/>
    <w:autoRedefine/>
    <w:uiPriority w:val="39"/>
    <w:unhideWhenUsed/>
    <w:locked/>
    <w:rsid w:val="00A3023B"/>
    <w:pPr>
      <w:ind w:leftChars="800" w:left="1920"/>
    </w:pPr>
    <w:rPr>
      <w:rFonts w:asciiTheme="minorHAnsi" w:eastAsiaTheme="minorEastAsia" w:hAnsiTheme="minorHAnsi" w:cstheme="minorBidi"/>
      <w:szCs w:val="22"/>
    </w:rPr>
  </w:style>
  <w:style w:type="paragraph" w:styleId="61">
    <w:name w:val="toc 6"/>
    <w:basedOn w:val="a1"/>
    <w:next w:val="a1"/>
    <w:autoRedefine/>
    <w:uiPriority w:val="39"/>
    <w:unhideWhenUsed/>
    <w:locked/>
    <w:rsid w:val="00A3023B"/>
    <w:pPr>
      <w:ind w:leftChars="1000" w:left="2400"/>
    </w:pPr>
    <w:rPr>
      <w:rFonts w:asciiTheme="minorHAnsi" w:eastAsiaTheme="minorEastAsia" w:hAnsiTheme="minorHAnsi" w:cstheme="minorBidi"/>
      <w:szCs w:val="22"/>
    </w:rPr>
  </w:style>
  <w:style w:type="paragraph" w:styleId="71">
    <w:name w:val="toc 7"/>
    <w:basedOn w:val="a1"/>
    <w:next w:val="a1"/>
    <w:autoRedefine/>
    <w:uiPriority w:val="39"/>
    <w:unhideWhenUsed/>
    <w:locked/>
    <w:rsid w:val="00A3023B"/>
    <w:pPr>
      <w:ind w:leftChars="1200" w:left="2880"/>
    </w:pPr>
    <w:rPr>
      <w:rFonts w:asciiTheme="minorHAnsi" w:eastAsiaTheme="minorEastAsia" w:hAnsiTheme="minorHAnsi" w:cstheme="minorBidi"/>
      <w:szCs w:val="22"/>
    </w:rPr>
  </w:style>
  <w:style w:type="paragraph" w:styleId="81">
    <w:name w:val="toc 8"/>
    <w:basedOn w:val="a1"/>
    <w:next w:val="a1"/>
    <w:autoRedefine/>
    <w:uiPriority w:val="39"/>
    <w:unhideWhenUsed/>
    <w:locked/>
    <w:rsid w:val="00A3023B"/>
    <w:pPr>
      <w:ind w:leftChars="1400" w:left="3360"/>
    </w:pPr>
    <w:rPr>
      <w:rFonts w:asciiTheme="minorHAnsi" w:eastAsiaTheme="minorEastAsia" w:hAnsiTheme="minorHAnsi" w:cstheme="minorBidi"/>
      <w:szCs w:val="22"/>
    </w:rPr>
  </w:style>
  <w:style w:type="paragraph" w:styleId="92">
    <w:name w:val="toc 9"/>
    <w:basedOn w:val="a1"/>
    <w:next w:val="a1"/>
    <w:autoRedefine/>
    <w:uiPriority w:val="39"/>
    <w:unhideWhenUsed/>
    <w:locked/>
    <w:rsid w:val="00A3023B"/>
    <w:pPr>
      <w:ind w:leftChars="1600" w:left="3840"/>
    </w:pPr>
    <w:rPr>
      <w:rFonts w:asciiTheme="minorHAnsi" w:eastAsiaTheme="minorEastAsia" w:hAnsiTheme="minorHAnsi" w:cstheme="minorBidi"/>
      <w:szCs w:val="22"/>
    </w:rPr>
  </w:style>
  <w:style w:type="character" w:customStyle="1" w:styleId="st1">
    <w:name w:val="st1"/>
    <w:rsid w:val="00AA420D"/>
  </w:style>
  <w:style w:type="paragraph" w:customStyle="1" w:styleId="52">
    <w:name w:val="清單段落5"/>
    <w:basedOn w:val="a1"/>
    <w:rsid w:val="00E11B21"/>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9" w:unhideWhenUsed="0" w:qFormat="1"/>
    <w:lsdException w:name="heading 2" w:locked="1" w:uiPriority="9" w:qFormat="1"/>
    <w:lsdException w:name="heading 3" w:locked="1" w:uiPriority="9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note text" w:uiPriority="99"/>
    <w:lsdException w:name="footer" w:uiPriority="99"/>
    <w:lsdException w:name="caption" w:locked="1" w:qFormat="1"/>
    <w:lsdException w:name="footnote reference" w:uiPriority="99"/>
    <w:lsdException w:name="page number" w:uiPriority="99"/>
    <w:lsdException w:name="List Bullet" w:uiPriority="99"/>
    <w:lsdException w:name="List Number" w:semiHidden="0" w:unhideWhenUsed="0"/>
    <w:lsdException w:name="List 4" w:semiHidden="0" w:unhideWhenUsed="0"/>
    <w:lsdException w:name="List 5" w:semiHidden="0" w:unhideWhenUsed="0"/>
    <w:lsdException w:name="List Bullet 3" w:uiPriority="99"/>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iPriority="99" w:unhideWhenUsed="0"/>
    <w:lsdException w:name="Body Text First Indent" w:semiHidden="0" w:unhideWhenUsed="0"/>
    <w:lsdException w:name="Body Text Indent 2" w:uiPriority="99"/>
    <w:lsdException w:name="Hyperlink" w:uiPriority="99"/>
    <w:lsdException w:name="Strong" w:locked="1" w:semiHidden="0" w:unhideWhenUsed="0" w:qFormat="1"/>
    <w:lsdException w:name="Emphasis" w:locked="1" w:semiHidden="0" w:unhideWhenUsed="0" w:qFormat="1"/>
    <w:lsdException w:name="Plain Text" w:uiPriority="99"/>
    <w:lsdException w:name="Normal (Web)" w:uiPriority="99"/>
    <w:lsdException w:name="No List"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F7DEA"/>
    <w:pPr>
      <w:widowControl w:val="0"/>
    </w:pPr>
    <w:rPr>
      <w:rFonts w:ascii="Times New Roman" w:hAnsi="Times New Roman"/>
      <w:kern w:val="2"/>
      <w:sz w:val="24"/>
      <w:szCs w:val="24"/>
    </w:rPr>
  </w:style>
  <w:style w:type="paragraph" w:styleId="10">
    <w:name w:val="heading 1"/>
    <w:aliases w:val="標題 一,一"/>
    <w:basedOn w:val="2"/>
    <w:link w:val="11"/>
    <w:uiPriority w:val="99"/>
    <w:qFormat/>
    <w:locked/>
    <w:rsid w:val="00C050DB"/>
    <w:pPr>
      <w:keepNext w:val="0"/>
      <w:autoSpaceDE w:val="0"/>
      <w:autoSpaceDN w:val="0"/>
      <w:adjustRightInd w:val="0"/>
      <w:spacing w:before="240" w:afterLines="50" w:line="400" w:lineRule="exact"/>
      <w:ind w:firstLineChars="200" w:firstLine="200"/>
      <w:jc w:val="both"/>
      <w:outlineLvl w:val="0"/>
    </w:pPr>
    <w:rPr>
      <w:rFonts w:ascii="華康隸書體W7" w:eastAsia="華康隸書體W7" w:hAnsi="Times New Roman"/>
      <w:kern w:val="0"/>
      <w:sz w:val="36"/>
      <w:szCs w:val="28"/>
    </w:rPr>
  </w:style>
  <w:style w:type="paragraph" w:styleId="2">
    <w:name w:val="heading 2"/>
    <w:basedOn w:val="a1"/>
    <w:next w:val="a1"/>
    <w:link w:val="20"/>
    <w:uiPriority w:val="9"/>
    <w:qFormat/>
    <w:locked/>
    <w:rsid w:val="00C050DB"/>
    <w:pPr>
      <w:keepNext/>
      <w:spacing w:line="720" w:lineRule="auto"/>
      <w:outlineLvl w:val="1"/>
    </w:pPr>
    <w:rPr>
      <w:rFonts w:ascii="Arial" w:hAnsi="Arial"/>
      <w:b/>
      <w:bCs/>
      <w:sz w:val="48"/>
      <w:szCs w:val="48"/>
    </w:rPr>
  </w:style>
  <w:style w:type="paragraph" w:styleId="30">
    <w:name w:val="heading 3"/>
    <w:basedOn w:val="a1"/>
    <w:next w:val="a2"/>
    <w:link w:val="31"/>
    <w:uiPriority w:val="99"/>
    <w:qFormat/>
    <w:locked/>
    <w:rsid w:val="00C050DB"/>
    <w:pPr>
      <w:spacing w:before="240" w:after="120" w:line="320" w:lineRule="exact"/>
      <w:outlineLvl w:val="2"/>
    </w:pPr>
    <w:rPr>
      <w:szCs w:val="20"/>
    </w:rPr>
  </w:style>
  <w:style w:type="paragraph" w:styleId="4">
    <w:name w:val="heading 4"/>
    <w:basedOn w:val="a1"/>
    <w:next w:val="a2"/>
    <w:link w:val="40"/>
    <w:uiPriority w:val="9"/>
    <w:qFormat/>
    <w:locked/>
    <w:rsid w:val="00C050DB"/>
    <w:pPr>
      <w:numPr>
        <w:ilvl w:val="3"/>
        <w:numId w:val="83"/>
      </w:numPr>
      <w:spacing w:before="120" w:after="40" w:line="320" w:lineRule="exact"/>
      <w:outlineLvl w:val="3"/>
    </w:pPr>
  </w:style>
  <w:style w:type="paragraph" w:styleId="5">
    <w:name w:val="heading 5"/>
    <w:aliases w:val="標題 5 字元 字元 字元,標題 5 字元1,標題 5 字元 字元1,標題 5 字元 字元 字元 字元,標題 5 字元 字元"/>
    <w:basedOn w:val="a1"/>
    <w:next w:val="a2"/>
    <w:link w:val="50"/>
    <w:uiPriority w:val="9"/>
    <w:qFormat/>
    <w:locked/>
    <w:rsid w:val="00C050DB"/>
    <w:pPr>
      <w:numPr>
        <w:ilvl w:val="4"/>
        <w:numId w:val="83"/>
      </w:numPr>
      <w:spacing w:beforeLines="20" w:afterLines="10" w:line="320" w:lineRule="exact"/>
      <w:outlineLvl w:val="4"/>
    </w:pPr>
    <w:rPr>
      <w:szCs w:val="20"/>
    </w:rPr>
  </w:style>
  <w:style w:type="paragraph" w:styleId="6">
    <w:name w:val="heading 6"/>
    <w:basedOn w:val="a1"/>
    <w:next w:val="a2"/>
    <w:link w:val="60"/>
    <w:uiPriority w:val="9"/>
    <w:qFormat/>
    <w:locked/>
    <w:rsid w:val="00C050DB"/>
    <w:pPr>
      <w:numPr>
        <w:ilvl w:val="5"/>
        <w:numId w:val="83"/>
      </w:numPr>
      <w:spacing w:beforeLines="10" w:line="280" w:lineRule="exact"/>
      <w:outlineLvl w:val="5"/>
    </w:pPr>
    <w:rPr>
      <w:sz w:val="20"/>
      <w:szCs w:val="20"/>
    </w:rPr>
  </w:style>
  <w:style w:type="paragraph" w:styleId="7">
    <w:name w:val="heading 7"/>
    <w:basedOn w:val="a1"/>
    <w:next w:val="a2"/>
    <w:link w:val="70"/>
    <w:uiPriority w:val="9"/>
    <w:qFormat/>
    <w:locked/>
    <w:rsid w:val="00C050DB"/>
    <w:pPr>
      <w:keepNext/>
      <w:numPr>
        <w:ilvl w:val="6"/>
        <w:numId w:val="83"/>
      </w:numPr>
      <w:spacing w:line="720" w:lineRule="auto"/>
      <w:outlineLvl w:val="6"/>
    </w:pPr>
    <w:rPr>
      <w:rFonts w:ascii="Arial" w:hAnsi="Arial"/>
      <w:b/>
      <w:sz w:val="36"/>
      <w:szCs w:val="20"/>
    </w:rPr>
  </w:style>
  <w:style w:type="paragraph" w:styleId="8">
    <w:name w:val="heading 8"/>
    <w:basedOn w:val="a1"/>
    <w:next w:val="a2"/>
    <w:link w:val="80"/>
    <w:uiPriority w:val="9"/>
    <w:qFormat/>
    <w:locked/>
    <w:rsid w:val="00C050DB"/>
    <w:pPr>
      <w:keepNext/>
      <w:numPr>
        <w:ilvl w:val="7"/>
        <w:numId w:val="83"/>
      </w:numPr>
      <w:spacing w:line="720" w:lineRule="auto"/>
      <w:outlineLvl w:val="7"/>
    </w:pPr>
    <w:rPr>
      <w:rFonts w:ascii="Arial" w:hAnsi="Arial"/>
      <w:sz w:val="36"/>
      <w:szCs w:val="20"/>
    </w:rPr>
  </w:style>
  <w:style w:type="paragraph" w:styleId="9">
    <w:name w:val="heading 9"/>
    <w:basedOn w:val="a1"/>
    <w:next w:val="a2"/>
    <w:link w:val="90"/>
    <w:uiPriority w:val="9"/>
    <w:qFormat/>
    <w:locked/>
    <w:rsid w:val="00C050DB"/>
    <w:pPr>
      <w:keepNext/>
      <w:numPr>
        <w:ilvl w:val="8"/>
        <w:numId w:val="83"/>
      </w:numPr>
      <w:spacing w:line="720" w:lineRule="auto"/>
      <w:outlineLvl w:val="8"/>
    </w:pPr>
    <w:rPr>
      <w:rFonts w:ascii="Arial" w:hAnsi="Arial"/>
      <w:sz w:val="36"/>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樣式1"/>
    <w:basedOn w:val="a1"/>
    <w:autoRedefine/>
    <w:rsid w:val="000664AF"/>
    <w:rPr>
      <w:rFonts w:eastAsia="標楷體" w:hAnsi="標楷體"/>
      <w:b/>
      <w:color w:val="000000"/>
      <w:sz w:val="32"/>
      <w:szCs w:val="32"/>
    </w:rPr>
  </w:style>
  <w:style w:type="paragraph" w:customStyle="1" w:styleId="21">
    <w:name w:val="樣式2"/>
    <w:basedOn w:val="a1"/>
    <w:uiPriority w:val="99"/>
    <w:rsid w:val="009E0C5B"/>
    <w:rPr>
      <w:rFonts w:ascii="標楷體" w:eastAsia="標楷體" w:hAnsi="標楷體"/>
      <w:b/>
      <w:sz w:val="32"/>
    </w:rPr>
  </w:style>
  <w:style w:type="table" w:styleId="a6">
    <w:name w:val="Table Grid"/>
    <w:basedOn w:val="a4"/>
    <w:rsid w:val="0094060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1"/>
    <w:link w:val="a8"/>
    <w:rsid w:val="00EA2688"/>
    <w:pPr>
      <w:tabs>
        <w:tab w:val="center" w:pos="4153"/>
        <w:tab w:val="right" w:pos="8306"/>
      </w:tabs>
      <w:snapToGrid w:val="0"/>
    </w:pPr>
    <w:rPr>
      <w:sz w:val="20"/>
      <w:szCs w:val="20"/>
    </w:rPr>
  </w:style>
  <w:style w:type="character" w:customStyle="1" w:styleId="a8">
    <w:name w:val="頁首 字元"/>
    <w:basedOn w:val="a3"/>
    <w:link w:val="a7"/>
    <w:locked/>
    <w:rsid w:val="00EA2688"/>
    <w:rPr>
      <w:rFonts w:ascii="Times New Roman" w:eastAsia="新細明體" w:hAnsi="Times New Roman" w:cs="Times New Roman"/>
      <w:sz w:val="20"/>
      <w:szCs w:val="20"/>
    </w:rPr>
  </w:style>
  <w:style w:type="paragraph" w:styleId="a9">
    <w:name w:val="footer"/>
    <w:basedOn w:val="a1"/>
    <w:link w:val="aa"/>
    <w:uiPriority w:val="99"/>
    <w:rsid w:val="00EA2688"/>
    <w:pPr>
      <w:tabs>
        <w:tab w:val="center" w:pos="4153"/>
        <w:tab w:val="right" w:pos="8306"/>
      </w:tabs>
      <w:snapToGrid w:val="0"/>
    </w:pPr>
    <w:rPr>
      <w:sz w:val="20"/>
      <w:szCs w:val="20"/>
    </w:rPr>
  </w:style>
  <w:style w:type="character" w:customStyle="1" w:styleId="aa">
    <w:name w:val="頁尾 字元"/>
    <w:basedOn w:val="a3"/>
    <w:link w:val="a9"/>
    <w:uiPriority w:val="99"/>
    <w:locked/>
    <w:rsid w:val="00EA2688"/>
    <w:rPr>
      <w:rFonts w:ascii="Times New Roman" w:eastAsia="新細明體" w:hAnsi="Times New Roman" w:cs="Times New Roman"/>
      <w:sz w:val="20"/>
      <w:szCs w:val="20"/>
    </w:rPr>
  </w:style>
  <w:style w:type="paragraph" w:styleId="ab">
    <w:name w:val="Balloon Text"/>
    <w:basedOn w:val="a1"/>
    <w:link w:val="ac"/>
    <w:semiHidden/>
    <w:rsid w:val="00EA2688"/>
    <w:rPr>
      <w:rFonts w:ascii="Cambria" w:hAnsi="Cambria"/>
      <w:sz w:val="18"/>
      <w:szCs w:val="18"/>
    </w:rPr>
  </w:style>
  <w:style w:type="character" w:customStyle="1" w:styleId="ac">
    <w:name w:val="註解方塊文字 字元"/>
    <w:basedOn w:val="a3"/>
    <w:link w:val="ab"/>
    <w:semiHidden/>
    <w:locked/>
    <w:rsid w:val="00EA2688"/>
    <w:rPr>
      <w:rFonts w:ascii="Cambria" w:eastAsia="新細明體" w:hAnsi="Cambria" w:cs="Times New Roman"/>
      <w:sz w:val="18"/>
      <w:szCs w:val="18"/>
    </w:rPr>
  </w:style>
  <w:style w:type="paragraph" w:styleId="ad">
    <w:name w:val="Body Text Indent"/>
    <w:basedOn w:val="a1"/>
    <w:link w:val="ae"/>
    <w:rsid w:val="00EA2688"/>
    <w:pPr>
      <w:spacing w:after="120"/>
      <w:ind w:leftChars="200" w:left="480"/>
    </w:pPr>
  </w:style>
  <w:style w:type="character" w:customStyle="1" w:styleId="ae">
    <w:name w:val="本文縮排 字元"/>
    <w:basedOn w:val="a3"/>
    <w:link w:val="ad"/>
    <w:locked/>
    <w:rsid w:val="00EA2688"/>
    <w:rPr>
      <w:rFonts w:ascii="Times New Roman" w:eastAsia="新細明體" w:hAnsi="Times New Roman" w:cs="Times New Roman"/>
      <w:sz w:val="24"/>
      <w:szCs w:val="24"/>
    </w:rPr>
  </w:style>
  <w:style w:type="paragraph" w:customStyle="1" w:styleId="13">
    <w:name w:val="清單段落1"/>
    <w:basedOn w:val="a1"/>
    <w:link w:val="ListParagraphChar"/>
    <w:rsid w:val="00C444EC"/>
    <w:pPr>
      <w:ind w:leftChars="200" w:left="480"/>
    </w:pPr>
    <w:rPr>
      <w:kern w:val="0"/>
      <w:sz w:val="20"/>
    </w:rPr>
  </w:style>
  <w:style w:type="character" w:styleId="af">
    <w:name w:val="Emphasis"/>
    <w:basedOn w:val="a3"/>
    <w:qFormat/>
    <w:rsid w:val="006A1262"/>
    <w:rPr>
      <w:rFonts w:cs="Times New Roman"/>
      <w:color w:val="CC0033"/>
    </w:rPr>
  </w:style>
  <w:style w:type="character" w:customStyle="1" w:styleId="ListParagraphChar">
    <w:name w:val="List Paragraph Char"/>
    <w:link w:val="13"/>
    <w:locked/>
    <w:rsid w:val="00917302"/>
    <w:rPr>
      <w:rFonts w:ascii="Times New Roman" w:eastAsia="新細明體" w:hAnsi="Times New Roman"/>
      <w:sz w:val="24"/>
    </w:rPr>
  </w:style>
  <w:style w:type="paragraph" w:customStyle="1" w:styleId="af0">
    <w:name w:val="內文二"/>
    <w:basedOn w:val="a1"/>
    <w:link w:val="af1"/>
    <w:rsid w:val="00050F6E"/>
    <w:pPr>
      <w:adjustRightInd w:val="0"/>
      <w:snapToGrid w:val="0"/>
      <w:spacing w:beforeLines="30" w:line="460" w:lineRule="atLeast"/>
      <w:ind w:leftChars="400" w:left="1040" w:firstLineChars="200" w:firstLine="520"/>
      <w:jc w:val="both"/>
    </w:pPr>
    <w:rPr>
      <w:rFonts w:eastAsia="標楷體"/>
      <w:sz w:val="28"/>
      <w:szCs w:val="20"/>
    </w:rPr>
  </w:style>
  <w:style w:type="paragraph" w:styleId="af2">
    <w:name w:val="List Paragraph"/>
    <w:basedOn w:val="a1"/>
    <w:link w:val="af3"/>
    <w:uiPriority w:val="34"/>
    <w:qFormat/>
    <w:rsid w:val="00F5461E"/>
    <w:pPr>
      <w:ind w:leftChars="200" w:left="480"/>
    </w:pPr>
  </w:style>
  <w:style w:type="paragraph" w:customStyle="1" w:styleId="a">
    <w:name w:val="大標題"/>
    <w:basedOn w:val="af2"/>
    <w:link w:val="af4"/>
    <w:qFormat/>
    <w:rsid w:val="00F5461E"/>
    <w:pPr>
      <w:numPr>
        <w:numId w:val="1"/>
      </w:numPr>
      <w:snapToGrid w:val="0"/>
      <w:spacing w:line="460" w:lineRule="exact"/>
      <w:ind w:leftChars="0" w:left="0"/>
      <w:jc w:val="both"/>
    </w:pPr>
    <w:rPr>
      <w:rFonts w:eastAsia="標楷體"/>
      <w:sz w:val="28"/>
      <w:szCs w:val="28"/>
    </w:rPr>
  </w:style>
  <w:style w:type="character" w:customStyle="1" w:styleId="af3">
    <w:name w:val="清單段落 字元"/>
    <w:basedOn w:val="a3"/>
    <w:link w:val="af2"/>
    <w:uiPriority w:val="34"/>
    <w:rsid w:val="00F5461E"/>
    <w:rPr>
      <w:rFonts w:ascii="Times New Roman" w:hAnsi="Times New Roman"/>
      <w:kern w:val="2"/>
      <w:sz w:val="24"/>
      <w:szCs w:val="24"/>
    </w:rPr>
  </w:style>
  <w:style w:type="character" w:customStyle="1" w:styleId="af4">
    <w:name w:val="大標題 字元"/>
    <w:basedOn w:val="af3"/>
    <w:link w:val="a"/>
    <w:rsid w:val="00F5461E"/>
    <w:rPr>
      <w:rFonts w:ascii="Times New Roman" w:eastAsia="標楷體" w:hAnsi="Times New Roman"/>
      <w:kern w:val="2"/>
      <w:sz w:val="28"/>
      <w:szCs w:val="28"/>
    </w:rPr>
  </w:style>
  <w:style w:type="character" w:styleId="af5">
    <w:name w:val="Subtle Emphasis"/>
    <w:basedOn w:val="a3"/>
    <w:uiPriority w:val="19"/>
    <w:qFormat/>
    <w:rsid w:val="00FC4E0A"/>
    <w:rPr>
      <w:i/>
      <w:iCs/>
      <w:color w:val="808080" w:themeColor="text1" w:themeTint="7F"/>
    </w:rPr>
  </w:style>
  <w:style w:type="character" w:styleId="af6">
    <w:name w:val="Placeholder Text"/>
    <w:basedOn w:val="a3"/>
    <w:uiPriority w:val="99"/>
    <w:semiHidden/>
    <w:rsid w:val="00F83CC5"/>
    <w:rPr>
      <w:color w:val="808080"/>
    </w:rPr>
  </w:style>
  <w:style w:type="paragraph" w:customStyle="1" w:styleId="Default">
    <w:name w:val="Default"/>
    <w:rsid w:val="00D31A5C"/>
    <w:pPr>
      <w:widowControl w:val="0"/>
      <w:autoSpaceDE w:val="0"/>
      <w:autoSpaceDN w:val="0"/>
      <w:adjustRightInd w:val="0"/>
    </w:pPr>
    <w:rPr>
      <w:rFonts w:ascii="Times New Roman" w:hAnsi="Times New Roman"/>
      <w:color w:val="000000"/>
      <w:sz w:val="24"/>
      <w:szCs w:val="24"/>
    </w:rPr>
  </w:style>
  <w:style w:type="paragraph" w:customStyle="1" w:styleId="af7">
    <w:name w:val=".."/>
    <w:basedOn w:val="a1"/>
    <w:next w:val="a1"/>
    <w:uiPriority w:val="99"/>
    <w:rsid w:val="005D6EF0"/>
    <w:pPr>
      <w:autoSpaceDE w:val="0"/>
      <w:autoSpaceDN w:val="0"/>
      <w:adjustRightInd w:val="0"/>
    </w:pPr>
    <w:rPr>
      <w:kern w:val="0"/>
    </w:rPr>
  </w:style>
  <w:style w:type="paragraph" w:styleId="af8">
    <w:name w:val="footnote text"/>
    <w:basedOn w:val="a1"/>
    <w:link w:val="af9"/>
    <w:uiPriority w:val="99"/>
    <w:semiHidden/>
    <w:unhideWhenUsed/>
    <w:rsid w:val="005D6EF0"/>
    <w:pPr>
      <w:snapToGrid w:val="0"/>
    </w:pPr>
    <w:rPr>
      <w:sz w:val="20"/>
      <w:szCs w:val="20"/>
    </w:rPr>
  </w:style>
  <w:style w:type="character" w:customStyle="1" w:styleId="af9">
    <w:name w:val="註腳文字 字元"/>
    <w:basedOn w:val="a3"/>
    <w:link w:val="af8"/>
    <w:uiPriority w:val="99"/>
    <w:semiHidden/>
    <w:rsid w:val="005D6EF0"/>
    <w:rPr>
      <w:rFonts w:ascii="Times New Roman" w:hAnsi="Times New Roman"/>
      <w:kern w:val="2"/>
    </w:rPr>
  </w:style>
  <w:style w:type="character" w:styleId="afa">
    <w:name w:val="footnote reference"/>
    <w:uiPriority w:val="99"/>
    <w:semiHidden/>
    <w:unhideWhenUsed/>
    <w:rsid w:val="005D6EF0"/>
    <w:rPr>
      <w:vertAlign w:val="superscript"/>
    </w:rPr>
  </w:style>
  <w:style w:type="character" w:customStyle="1" w:styleId="11">
    <w:name w:val="標題 1 字元"/>
    <w:aliases w:val="標題 一 字元,一 字元"/>
    <w:basedOn w:val="a3"/>
    <w:link w:val="10"/>
    <w:uiPriority w:val="9"/>
    <w:rsid w:val="00C050DB"/>
    <w:rPr>
      <w:rFonts w:ascii="華康隸書體W7" w:eastAsia="華康隸書體W7" w:hAnsi="Times New Roman"/>
      <w:b/>
      <w:bCs/>
      <w:sz w:val="36"/>
      <w:szCs w:val="28"/>
    </w:rPr>
  </w:style>
  <w:style w:type="character" w:customStyle="1" w:styleId="20">
    <w:name w:val="標題 2 字元"/>
    <w:basedOn w:val="a3"/>
    <w:link w:val="2"/>
    <w:uiPriority w:val="9"/>
    <w:rsid w:val="00C050DB"/>
    <w:rPr>
      <w:rFonts w:ascii="Arial" w:hAnsi="Arial"/>
      <w:b/>
      <w:bCs/>
      <w:kern w:val="2"/>
      <w:sz w:val="48"/>
      <w:szCs w:val="48"/>
    </w:rPr>
  </w:style>
  <w:style w:type="character" w:customStyle="1" w:styleId="31">
    <w:name w:val="標題 3 字元"/>
    <w:basedOn w:val="a3"/>
    <w:link w:val="30"/>
    <w:uiPriority w:val="99"/>
    <w:rsid w:val="00C050DB"/>
    <w:rPr>
      <w:rFonts w:ascii="Times New Roman" w:hAnsi="Times New Roman"/>
      <w:kern w:val="2"/>
      <w:sz w:val="24"/>
    </w:rPr>
  </w:style>
  <w:style w:type="character" w:customStyle="1" w:styleId="40">
    <w:name w:val="標題 4 字元"/>
    <w:basedOn w:val="a3"/>
    <w:link w:val="4"/>
    <w:uiPriority w:val="9"/>
    <w:rsid w:val="00C050DB"/>
    <w:rPr>
      <w:rFonts w:ascii="Times New Roman" w:hAnsi="Times New Roman"/>
      <w:kern w:val="2"/>
      <w:sz w:val="24"/>
      <w:szCs w:val="24"/>
    </w:rPr>
  </w:style>
  <w:style w:type="character" w:customStyle="1" w:styleId="50">
    <w:name w:val="標題 5 字元"/>
    <w:aliases w:val="標題 5 字元 字元 字元 字元1,標題 5 字元1 字元,標題 5 字元 字元1 字元,標題 5 字元 字元 字元 字元 字元,標題 5 字元 字元 字元1"/>
    <w:basedOn w:val="a3"/>
    <w:link w:val="5"/>
    <w:uiPriority w:val="9"/>
    <w:rsid w:val="00C050DB"/>
    <w:rPr>
      <w:rFonts w:ascii="Times New Roman" w:hAnsi="Times New Roman"/>
      <w:kern w:val="2"/>
      <w:sz w:val="24"/>
    </w:rPr>
  </w:style>
  <w:style w:type="character" w:customStyle="1" w:styleId="60">
    <w:name w:val="標題 6 字元"/>
    <w:basedOn w:val="a3"/>
    <w:link w:val="6"/>
    <w:uiPriority w:val="9"/>
    <w:rsid w:val="00C050DB"/>
    <w:rPr>
      <w:rFonts w:ascii="Times New Roman" w:hAnsi="Times New Roman"/>
      <w:kern w:val="2"/>
    </w:rPr>
  </w:style>
  <w:style w:type="character" w:customStyle="1" w:styleId="70">
    <w:name w:val="標題 7 字元"/>
    <w:basedOn w:val="a3"/>
    <w:link w:val="7"/>
    <w:uiPriority w:val="9"/>
    <w:rsid w:val="00C050DB"/>
    <w:rPr>
      <w:rFonts w:ascii="Arial" w:hAnsi="Arial"/>
      <w:b/>
      <w:kern w:val="2"/>
      <w:sz w:val="36"/>
    </w:rPr>
  </w:style>
  <w:style w:type="character" w:customStyle="1" w:styleId="80">
    <w:name w:val="標題 8 字元"/>
    <w:basedOn w:val="a3"/>
    <w:link w:val="8"/>
    <w:uiPriority w:val="9"/>
    <w:rsid w:val="00C050DB"/>
    <w:rPr>
      <w:rFonts w:ascii="Arial" w:hAnsi="Arial"/>
      <w:kern w:val="2"/>
      <w:sz w:val="36"/>
    </w:rPr>
  </w:style>
  <w:style w:type="character" w:customStyle="1" w:styleId="90">
    <w:name w:val="標題 9 字元"/>
    <w:basedOn w:val="a3"/>
    <w:link w:val="9"/>
    <w:uiPriority w:val="9"/>
    <w:rsid w:val="00C050DB"/>
    <w:rPr>
      <w:rFonts w:ascii="Arial" w:hAnsi="Arial"/>
      <w:kern w:val="2"/>
      <w:sz w:val="36"/>
    </w:rPr>
  </w:style>
  <w:style w:type="numbering" w:customStyle="1" w:styleId="14">
    <w:name w:val="無清單1"/>
    <w:next w:val="a5"/>
    <w:uiPriority w:val="99"/>
    <w:semiHidden/>
    <w:unhideWhenUsed/>
    <w:rsid w:val="00C050DB"/>
  </w:style>
  <w:style w:type="paragraph" w:customStyle="1" w:styleId="22">
    <w:name w:val="清單段落2"/>
    <w:basedOn w:val="a1"/>
    <w:link w:val="ListParagraphChar1"/>
    <w:uiPriority w:val="99"/>
    <w:qFormat/>
    <w:rsid w:val="00C050DB"/>
    <w:pPr>
      <w:ind w:leftChars="200" w:left="480"/>
    </w:pPr>
    <w:rPr>
      <w:kern w:val="0"/>
      <w:szCs w:val="20"/>
    </w:rPr>
  </w:style>
  <w:style w:type="character" w:customStyle="1" w:styleId="ListParagraphChar1">
    <w:name w:val="List Paragraph Char1"/>
    <w:link w:val="22"/>
    <w:locked/>
    <w:rsid w:val="00C050DB"/>
    <w:rPr>
      <w:rFonts w:ascii="Times New Roman" w:hAnsi="Times New Roman"/>
      <w:sz w:val="24"/>
    </w:rPr>
  </w:style>
  <w:style w:type="character" w:customStyle="1" w:styleId="af1">
    <w:name w:val="內文二 字元"/>
    <w:link w:val="af0"/>
    <w:locked/>
    <w:rsid w:val="00C050DB"/>
    <w:rPr>
      <w:rFonts w:ascii="Times New Roman" w:eastAsia="標楷體" w:hAnsi="Times New Roman"/>
      <w:kern w:val="2"/>
      <w:sz w:val="28"/>
    </w:rPr>
  </w:style>
  <w:style w:type="paragraph" w:customStyle="1" w:styleId="afb">
    <w:name w:val="內文三"/>
    <w:basedOn w:val="a1"/>
    <w:link w:val="afc"/>
    <w:rsid w:val="00C050DB"/>
    <w:pPr>
      <w:adjustRightInd w:val="0"/>
      <w:snapToGrid w:val="0"/>
      <w:spacing w:beforeLines="30" w:line="369" w:lineRule="atLeast"/>
      <w:ind w:left="1247"/>
      <w:jc w:val="both"/>
    </w:pPr>
    <w:rPr>
      <w:rFonts w:eastAsia="標楷體"/>
      <w:kern w:val="0"/>
      <w:sz w:val="20"/>
      <w:szCs w:val="20"/>
    </w:rPr>
  </w:style>
  <w:style w:type="character" w:customStyle="1" w:styleId="afc">
    <w:name w:val="內文三 字元"/>
    <w:link w:val="afb"/>
    <w:locked/>
    <w:rsid w:val="00C050DB"/>
    <w:rPr>
      <w:rFonts w:ascii="Times New Roman" w:eastAsia="標楷體" w:hAnsi="Times New Roman"/>
    </w:rPr>
  </w:style>
  <w:style w:type="paragraph" w:customStyle="1" w:styleId="afd">
    <w:name w:val="標題二"/>
    <w:basedOn w:val="a1"/>
    <w:rsid w:val="00C050DB"/>
    <w:pPr>
      <w:adjustRightInd w:val="0"/>
      <w:snapToGrid w:val="0"/>
      <w:spacing w:beforeLines="50" w:line="240" w:lineRule="atLeast"/>
      <w:ind w:left="879" w:hanging="482"/>
    </w:pPr>
    <w:rPr>
      <w:rFonts w:ascii="標楷體" w:eastAsia="標楷體"/>
      <w:b/>
      <w:sz w:val="28"/>
      <w:szCs w:val="20"/>
    </w:rPr>
  </w:style>
  <w:style w:type="paragraph" w:customStyle="1" w:styleId="15">
    <w:name w:val="(1)內文"/>
    <w:basedOn w:val="a1"/>
    <w:link w:val="16"/>
    <w:rsid w:val="00C050DB"/>
    <w:pPr>
      <w:autoSpaceDE w:val="0"/>
      <w:autoSpaceDN w:val="0"/>
      <w:adjustRightInd w:val="0"/>
      <w:spacing w:before="120" w:afterLines="50" w:line="400" w:lineRule="exact"/>
      <w:ind w:leftChars="300" w:left="300" w:firstLineChars="200" w:firstLine="200"/>
      <w:jc w:val="both"/>
    </w:pPr>
    <w:rPr>
      <w:rFonts w:ascii="華康中圓體" w:eastAsia="標楷體"/>
      <w:kern w:val="0"/>
      <w:sz w:val="20"/>
      <w:szCs w:val="20"/>
    </w:rPr>
  </w:style>
  <w:style w:type="character" w:customStyle="1" w:styleId="16">
    <w:name w:val="(1)內文 字元"/>
    <w:link w:val="15"/>
    <w:locked/>
    <w:rsid w:val="00C050DB"/>
    <w:rPr>
      <w:rFonts w:ascii="華康中圓體" w:eastAsia="標楷體" w:hAnsi="Times New Roman"/>
    </w:rPr>
  </w:style>
  <w:style w:type="paragraph" w:customStyle="1" w:styleId="afe">
    <w:name w:val="（一）內文"/>
    <w:basedOn w:val="a1"/>
    <w:uiPriority w:val="99"/>
    <w:rsid w:val="00C050DB"/>
    <w:pPr>
      <w:spacing w:before="60" w:line="240" w:lineRule="atLeast"/>
      <w:ind w:left="482" w:firstLineChars="200" w:firstLine="480"/>
      <w:jc w:val="both"/>
    </w:pPr>
    <w:rPr>
      <w:rFonts w:ascii="華康細圓體" w:eastAsia="華康細圓體" w:hAnsi="華康細圓體" w:cs="華康細圓體"/>
    </w:rPr>
  </w:style>
  <w:style w:type="paragraph" w:customStyle="1" w:styleId="aff">
    <w:name w:val="文字"/>
    <w:basedOn w:val="a1"/>
    <w:rsid w:val="00C050DB"/>
    <w:pPr>
      <w:spacing w:beforeLines="50" w:afterLines="50" w:line="440" w:lineRule="exact"/>
      <w:ind w:firstLineChars="225" w:firstLine="225"/>
    </w:pPr>
    <w:rPr>
      <w:rFonts w:ascii="標楷體" w:eastAsia="標楷體" w:hAnsi="標楷體"/>
      <w:sz w:val="28"/>
      <w:szCs w:val="28"/>
    </w:rPr>
  </w:style>
  <w:style w:type="paragraph" w:customStyle="1" w:styleId="17">
    <w:name w:val="字元 字元 字元 字元 字元 字元 字元 字元 字元 字元 字元 字元 字元 字元 字元1 字元 字元 字元 字元 字元 字元 字元 字元 字元 字元 字元 字元 字元 字元 字元 字元"/>
    <w:basedOn w:val="a1"/>
    <w:rsid w:val="00C050DB"/>
    <w:pPr>
      <w:widowControl/>
      <w:spacing w:after="160" w:line="240" w:lineRule="exact"/>
    </w:pPr>
    <w:rPr>
      <w:rFonts w:ascii="Tahoma" w:hAnsi="Tahoma"/>
      <w:kern w:val="0"/>
      <w:sz w:val="20"/>
      <w:szCs w:val="20"/>
      <w:lang w:eastAsia="en-US"/>
    </w:rPr>
  </w:style>
  <w:style w:type="paragraph" w:styleId="aff0">
    <w:name w:val="Body Text"/>
    <w:basedOn w:val="a1"/>
    <w:link w:val="aff1"/>
    <w:rsid w:val="00C050DB"/>
    <w:pPr>
      <w:spacing w:after="120"/>
    </w:pPr>
  </w:style>
  <w:style w:type="character" w:customStyle="1" w:styleId="aff1">
    <w:name w:val="本文 字元"/>
    <w:basedOn w:val="a3"/>
    <w:link w:val="aff0"/>
    <w:rsid w:val="00C050DB"/>
    <w:rPr>
      <w:rFonts w:ascii="Times New Roman" w:hAnsi="Times New Roman"/>
      <w:kern w:val="2"/>
      <w:sz w:val="24"/>
      <w:szCs w:val="24"/>
    </w:rPr>
  </w:style>
  <w:style w:type="paragraph" w:customStyle="1" w:styleId="18">
    <w:name w:val="字元 字元1 字元 字元 字元 字元 字元 字元 字元"/>
    <w:basedOn w:val="a1"/>
    <w:rsid w:val="00C050DB"/>
    <w:pPr>
      <w:widowControl/>
      <w:spacing w:after="160" w:line="240" w:lineRule="exact"/>
    </w:pPr>
    <w:rPr>
      <w:rFonts w:ascii="Tahoma" w:hAnsi="Tahoma" w:cs="Tahoma"/>
      <w:kern w:val="0"/>
      <w:sz w:val="20"/>
      <w:szCs w:val="20"/>
      <w:lang w:eastAsia="en-US"/>
    </w:rPr>
  </w:style>
  <w:style w:type="paragraph" w:customStyle="1" w:styleId="aff2">
    <w:name w:val="(一)內文"/>
    <w:basedOn w:val="a1"/>
    <w:link w:val="aff3"/>
    <w:qFormat/>
    <w:rsid w:val="00C050DB"/>
    <w:pPr>
      <w:autoSpaceDE w:val="0"/>
      <w:autoSpaceDN w:val="0"/>
      <w:adjustRightInd w:val="0"/>
      <w:spacing w:before="120" w:afterLines="50" w:line="400" w:lineRule="exact"/>
      <w:ind w:leftChars="150" w:left="150" w:firstLineChars="200" w:firstLine="200"/>
      <w:jc w:val="both"/>
    </w:pPr>
    <w:rPr>
      <w:rFonts w:ascii="華康中圓體" w:eastAsia="標楷體"/>
      <w:kern w:val="0"/>
      <w:sz w:val="20"/>
      <w:szCs w:val="20"/>
    </w:rPr>
  </w:style>
  <w:style w:type="character" w:customStyle="1" w:styleId="aff3">
    <w:name w:val="(一)內文 字元"/>
    <w:link w:val="aff2"/>
    <w:locked/>
    <w:rsid w:val="00C050DB"/>
    <w:rPr>
      <w:rFonts w:ascii="華康中圓體" w:eastAsia="標楷體" w:hAnsi="Times New Roman"/>
    </w:rPr>
  </w:style>
  <w:style w:type="paragraph" w:styleId="a2">
    <w:name w:val="Normal Indent"/>
    <w:basedOn w:val="a1"/>
    <w:uiPriority w:val="99"/>
    <w:rsid w:val="00C050DB"/>
    <w:pPr>
      <w:ind w:leftChars="200" w:left="480"/>
    </w:pPr>
  </w:style>
  <w:style w:type="numbering" w:customStyle="1" w:styleId="23">
    <w:name w:val="無清單2"/>
    <w:next w:val="a5"/>
    <w:uiPriority w:val="99"/>
    <w:semiHidden/>
    <w:unhideWhenUsed/>
    <w:rsid w:val="00F47623"/>
  </w:style>
  <w:style w:type="table" w:customStyle="1" w:styleId="19">
    <w:name w:val="表格格線1"/>
    <w:basedOn w:val="a4"/>
    <w:next w:val="a6"/>
    <w:rsid w:val="00F4762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annotation reference"/>
    <w:basedOn w:val="a3"/>
    <w:rsid w:val="00F47623"/>
    <w:rPr>
      <w:sz w:val="18"/>
      <w:szCs w:val="18"/>
    </w:rPr>
  </w:style>
  <w:style w:type="paragraph" w:styleId="aff5">
    <w:name w:val="annotation text"/>
    <w:basedOn w:val="a1"/>
    <w:link w:val="aff6"/>
    <w:rsid w:val="00F47623"/>
  </w:style>
  <w:style w:type="character" w:customStyle="1" w:styleId="aff6">
    <w:name w:val="註解文字 字元"/>
    <w:basedOn w:val="a3"/>
    <w:link w:val="aff5"/>
    <w:rsid w:val="00F47623"/>
    <w:rPr>
      <w:rFonts w:ascii="Times New Roman" w:hAnsi="Times New Roman"/>
      <w:kern w:val="2"/>
      <w:sz w:val="24"/>
      <w:szCs w:val="24"/>
    </w:rPr>
  </w:style>
  <w:style w:type="paragraph" w:styleId="aff7">
    <w:name w:val="annotation subject"/>
    <w:basedOn w:val="aff5"/>
    <w:next w:val="aff5"/>
    <w:link w:val="aff8"/>
    <w:rsid w:val="00F47623"/>
    <w:rPr>
      <w:b/>
      <w:bCs/>
    </w:rPr>
  </w:style>
  <w:style w:type="character" w:customStyle="1" w:styleId="aff8">
    <w:name w:val="註解主旨 字元"/>
    <w:basedOn w:val="aff6"/>
    <w:link w:val="aff7"/>
    <w:rsid w:val="00F47623"/>
    <w:rPr>
      <w:rFonts w:ascii="Times New Roman" w:hAnsi="Times New Roman"/>
      <w:b/>
      <w:bCs/>
      <w:kern w:val="2"/>
      <w:sz w:val="24"/>
      <w:szCs w:val="24"/>
    </w:rPr>
  </w:style>
  <w:style w:type="paragraph" w:customStyle="1" w:styleId="05-">
    <w:name w:val="05_一-內文"/>
    <w:basedOn w:val="a1"/>
    <w:link w:val="05-0"/>
    <w:autoRedefine/>
    <w:rsid w:val="00F47623"/>
    <w:pPr>
      <w:spacing w:beforeLines="25" w:afterLines="25"/>
      <w:ind w:leftChars="400" w:left="960" w:rightChars="2244" w:right="5386" w:firstLineChars="200" w:firstLine="480"/>
      <w:jc w:val="both"/>
    </w:pPr>
    <w:rPr>
      <w:rFonts w:ascii="標楷體" w:eastAsia="標楷體" w:hAnsi="標楷體"/>
    </w:rPr>
  </w:style>
  <w:style w:type="character" w:customStyle="1" w:styleId="05-0">
    <w:name w:val="05_一-內文 字元 字元"/>
    <w:link w:val="05-"/>
    <w:rsid w:val="00F47623"/>
    <w:rPr>
      <w:rFonts w:ascii="標楷體" w:eastAsia="標楷體" w:hAnsi="標楷體"/>
      <w:kern w:val="2"/>
      <w:sz w:val="24"/>
      <w:szCs w:val="24"/>
    </w:rPr>
  </w:style>
  <w:style w:type="paragraph" w:customStyle="1" w:styleId="aff9">
    <w:name w:val="一.內文"/>
    <w:rsid w:val="00F47623"/>
    <w:pPr>
      <w:snapToGrid w:val="0"/>
      <w:spacing w:beforeLines="25" w:afterLines="25" w:line="440" w:lineRule="atLeast"/>
      <w:ind w:leftChars="531" w:left="531"/>
    </w:pPr>
    <w:rPr>
      <w:rFonts w:ascii="Arial" w:eastAsia="標楷體" w:hAnsi="Arial"/>
      <w:color w:val="000000"/>
      <w:sz w:val="28"/>
      <w:szCs w:val="24"/>
    </w:rPr>
  </w:style>
  <w:style w:type="paragraph" w:styleId="affa">
    <w:name w:val="endnote text"/>
    <w:basedOn w:val="a1"/>
    <w:link w:val="affb"/>
    <w:rsid w:val="00F47623"/>
    <w:pPr>
      <w:snapToGrid w:val="0"/>
    </w:pPr>
  </w:style>
  <w:style w:type="character" w:customStyle="1" w:styleId="affb">
    <w:name w:val="章節附註文字 字元"/>
    <w:basedOn w:val="a3"/>
    <w:link w:val="affa"/>
    <w:rsid w:val="00F47623"/>
    <w:rPr>
      <w:rFonts w:ascii="Times New Roman" w:hAnsi="Times New Roman"/>
      <w:kern w:val="2"/>
      <w:sz w:val="24"/>
      <w:szCs w:val="24"/>
    </w:rPr>
  </w:style>
  <w:style w:type="character" w:styleId="affc">
    <w:name w:val="endnote reference"/>
    <w:basedOn w:val="a3"/>
    <w:rsid w:val="00F47623"/>
    <w:rPr>
      <w:vertAlign w:val="superscript"/>
    </w:rPr>
  </w:style>
  <w:style w:type="paragraph" w:styleId="Web">
    <w:name w:val="Normal (Web)"/>
    <w:basedOn w:val="a1"/>
    <w:uiPriority w:val="99"/>
    <w:unhideWhenUsed/>
    <w:rsid w:val="00F47623"/>
    <w:pPr>
      <w:widowControl/>
      <w:spacing w:before="100" w:beforeAutospacing="1" w:after="100" w:afterAutospacing="1"/>
    </w:pPr>
    <w:rPr>
      <w:rFonts w:ascii="新細明體" w:hAnsi="新細明體" w:cs="新細明體"/>
      <w:kern w:val="0"/>
    </w:rPr>
  </w:style>
  <w:style w:type="numbering" w:customStyle="1" w:styleId="32">
    <w:name w:val="無清單3"/>
    <w:next w:val="a5"/>
    <w:uiPriority w:val="99"/>
    <w:semiHidden/>
    <w:unhideWhenUsed/>
    <w:rsid w:val="00612A4B"/>
  </w:style>
  <w:style w:type="table" w:customStyle="1" w:styleId="24">
    <w:name w:val="表格格線2"/>
    <w:basedOn w:val="a4"/>
    <w:next w:val="a6"/>
    <w:rsid w:val="00612A4B"/>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FollowedHyperlink"/>
    <w:basedOn w:val="a3"/>
    <w:rsid w:val="00612A4B"/>
    <w:rPr>
      <w:color w:val="800080"/>
      <w:u w:val="single"/>
    </w:rPr>
  </w:style>
  <w:style w:type="paragraph" w:styleId="affe">
    <w:name w:val="Plain Text"/>
    <w:basedOn w:val="a1"/>
    <w:link w:val="afff"/>
    <w:uiPriority w:val="99"/>
    <w:unhideWhenUsed/>
    <w:rsid w:val="00612A4B"/>
    <w:rPr>
      <w:rFonts w:ascii="Calibri" w:hAnsi="Courier New" w:cs="Courier New"/>
    </w:rPr>
  </w:style>
  <w:style w:type="character" w:customStyle="1" w:styleId="afff">
    <w:name w:val="純文字 字元"/>
    <w:basedOn w:val="a3"/>
    <w:link w:val="affe"/>
    <w:uiPriority w:val="99"/>
    <w:rsid w:val="00612A4B"/>
    <w:rPr>
      <w:rFonts w:hAnsi="Courier New" w:cs="Courier New"/>
      <w:kern w:val="2"/>
      <w:sz w:val="24"/>
      <w:szCs w:val="24"/>
    </w:rPr>
  </w:style>
  <w:style w:type="paragraph" w:customStyle="1" w:styleId="1a">
    <w:name w:val="1.內文"/>
    <w:link w:val="1b"/>
    <w:qFormat/>
    <w:rsid w:val="00612A4B"/>
    <w:pPr>
      <w:widowControl w:val="0"/>
      <w:spacing w:beforeLines="10" w:afterLines="10" w:line="400" w:lineRule="exact"/>
      <w:ind w:leftChars="700" w:left="700"/>
      <w:jc w:val="both"/>
    </w:pPr>
    <w:rPr>
      <w:rFonts w:ascii="Arial" w:eastAsia="華康細圓體" w:hAnsi="Arial"/>
      <w:kern w:val="2"/>
      <w:sz w:val="24"/>
    </w:rPr>
  </w:style>
  <w:style w:type="paragraph" w:customStyle="1" w:styleId="1c">
    <w:name w:val="1.標題"/>
    <w:basedOn w:val="a1"/>
    <w:link w:val="1d"/>
    <w:uiPriority w:val="99"/>
    <w:qFormat/>
    <w:rsid w:val="00612A4B"/>
    <w:pPr>
      <w:spacing w:beforeLines="40" w:afterLines="10" w:line="400" w:lineRule="exact"/>
      <w:ind w:leftChars="600" w:left="600" w:hangingChars="95" w:hanging="147"/>
      <w:jc w:val="both"/>
    </w:pPr>
    <w:rPr>
      <w:rFonts w:ascii="Arial" w:eastAsia="華康中圓體" w:hAnsi="Arial"/>
      <w:szCs w:val="20"/>
    </w:rPr>
  </w:style>
  <w:style w:type="character" w:customStyle="1" w:styleId="1b">
    <w:name w:val="1.內文 字元"/>
    <w:basedOn w:val="a3"/>
    <w:link w:val="1a"/>
    <w:rsid w:val="00612A4B"/>
    <w:rPr>
      <w:rFonts w:ascii="Arial" w:eastAsia="華康細圓體" w:hAnsi="Arial"/>
      <w:kern w:val="2"/>
      <w:sz w:val="24"/>
    </w:rPr>
  </w:style>
  <w:style w:type="character" w:customStyle="1" w:styleId="1d">
    <w:name w:val="1.標題 字元"/>
    <w:basedOn w:val="a3"/>
    <w:link w:val="1c"/>
    <w:uiPriority w:val="99"/>
    <w:rsid w:val="00612A4B"/>
    <w:rPr>
      <w:rFonts w:ascii="Arial" w:eastAsia="華康中圓體" w:hAnsi="Arial"/>
      <w:kern w:val="2"/>
      <w:sz w:val="24"/>
    </w:rPr>
  </w:style>
  <w:style w:type="paragraph" w:customStyle="1" w:styleId="afff0">
    <w:name w:val="(一)標題"/>
    <w:basedOn w:val="a1"/>
    <w:link w:val="afff1"/>
    <w:rsid w:val="00612A4B"/>
    <w:pPr>
      <w:snapToGrid w:val="0"/>
      <w:spacing w:beforeLines="80" w:afterLines="20" w:line="400" w:lineRule="exact"/>
      <w:ind w:left="1191" w:hanging="567"/>
      <w:jc w:val="both"/>
    </w:pPr>
    <w:rPr>
      <w:rFonts w:ascii="Arial" w:eastAsia="華康粗圓體" w:hAnsi="Arial"/>
      <w:sz w:val="26"/>
      <w:szCs w:val="20"/>
    </w:rPr>
  </w:style>
  <w:style w:type="paragraph" w:customStyle="1" w:styleId="afff2">
    <w:name w:val="圖"/>
    <w:qFormat/>
    <w:rsid w:val="00612A4B"/>
    <w:pPr>
      <w:ind w:firstLine="28"/>
    </w:pPr>
    <w:rPr>
      <w:rFonts w:ascii="Arial" w:eastAsia="華康細圓體" w:hAnsi="Arial"/>
      <w:kern w:val="2"/>
    </w:rPr>
  </w:style>
  <w:style w:type="paragraph" w:customStyle="1" w:styleId="--">
    <w:name w:val="圖--標題"/>
    <w:basedOn w:val="a1"/>
    <w:rsid w:val="00612A4B"/>
    <w:pPr>
      <w:spacing w:afterLines="10"/>
      <w:jc w:val="right"/>
    </w:pPr>
    <w:rPr>
      <w:rFonts w:ascii="Arial" w:eastAsia="華康細圓體" w:hAnsi="Arial"/>
      <w:sz w:val="22"/>
      <w:szCs w:val="20"/>
    </w:rPr>
  </w:style>
  <w:style w:type="character" w:customStyle="1" w:styleId="afff1">
    <w:name w:val="(一)標題 字元"/>
    <w:link w:val="afff0"/>
    <w:rsid w:val="00612A4B"/>
    <w:rPr>
      <w:rFonts w:ascii="Arial" w:eastAsia="華康粗圓體" w:hAnsi="Arial"/>
      <w:kern w:val="2"/>
      <w:sz w:val="26"/>
    </w:rPr>
  </w:style>
  <w:style w:type="paragraph" w:customStyle="1" w:styleId="1-">
    <w:name w:val="1.文字敘述-非標題"/>
    <w:qFormat/>
    <w:rsid w:val="00612A4B"/>
    <w:pPr>
      <w:adjustRightInd w:val="0"/>
      <w:spacing w:beforeLines="20" w:afterLines="20" w:line="400" w:lineRule="exact"/>
      <w:ind w:left="1372" w:hanging="181"/>
    </w:pPr>
    <w:rPr>
      <w:rFonts w:ascii="Arial" w:eastAsia="華康細圓體" w:hAnsi="Arial"/>
      <w:kern w:val="2"/>
      <w:sz w:val="24"/>
    </w:rPr>
  </w:style>
  <w:style w:type="paragraph" w:customStyle="1" w:styleId="afff3">
    <w:name w:val="a標題"/>
    <w:basedOn w:val="a1"/>
    <w:link w:val="afff4"/>
    <w:uiPriority w:val="99"/>
    <w:rsid w:val="00612A4B"/>
    <w:pPr>
      <w:tabs>
        <w:tab w:val="num" w:pos="2232"/>
      </w:tabs>
      <w:snapToGrid w:val="0"/>
      <w:spacing w:line="500" w:lineRule="atLeast"/>
      <w:ind w:leftChars="414" w:left="1277" w:hangingChars="101" w:hanging="283"/>
    </w:pPr>
    <w:rPr>
      <w:rFonts w:ascii="標楷體" w:eastAsia="標楷體" w:hAnsi="標楷體"/>
      <w:sz w:val="28"/>
      <w:szCs w:val="28"/>
    </w:rPr>
  </w:style>
  <w:style w:type="character" w:customStyle="1" w:styleId="afff4">
    <w:name w:val="a標題 字元"/>
    <w:link w:val="afff3"/>
    <w:uiPriority w:val="99"/>
    <w:locked/>
    <w:rsid w:val="00612A4B"/>
    <w:rPr>
      <w:rFonts w:ascii="標楷體" w:eastAsia="標楷體" w:hAnsi="標楷體"/>
      <w:kern w:val="2"/>
      <w:sz w:val="28"/>
      <w:szCs w:val="28"/>
    </w:rPr>
  </w:style>
  <w:style w:type="paragraph" w:customStyle="1" w:styleId="1e">
    <w:name w:val="1標題"/>
    <w:basedOn w:val="a1"/>
    <w:uiPriority w:val="99"/>
    <w:rsid w:val="00612A4B"/>
    <w:pPr>
      <w:autoSpaceDE w:val="0"/>
      <w:autoSpaceDN w:val="0"/>
      <w:adjustRightInd w:val="0"/>
      <w:snapToGrid w:val="0"/>
      <w:spacing w:line="500" w:lineRule="atLeast"/>
      <w:ind w:leftChars="90" w:left="216"/>
      <w:jc w:val="both"/>
    </w:pPr>
    <w:rPr>
      <w:rFonts w:ascii="標楷體" w:eastAsia="標楷體" w:hAnsi="標楷體" w:cs="標楷體"/>
      <w:w w:val="96"/>
      <w:kern w:val="0"/>
      <w:sz w:val="28"/>
      <w:szCs w:val="28"/>
    </w:rPr>
  </w:style>
  <w:style w:type="paragraph" w:customStyle="1" w:styleId="BOOK1">
    <w:name w:val="【BOOK】1、"/>
    <w:basedOn w:val="a1"/>
    <w:link w:val="BOOK10"/>
    <w:autoRedefine/>
    <w:uiPriority w:val="99"/>
    <w:rsid w:val="00612A4B"/>
    <w:pPr>
      <w:numPr>
        <w:numId w:val="109"/>
      </w:numPr>
      <w:spacing w:beforeLines="50" w:after="120" w:line="360" w:lineRule="exact"/>
      <w:ind w:rightChars="100" w:right="240"/>
    </w:pPr>
    <w:rPr>
      <w:rFonts w:ascii="Arial" w:eastAsia="標楷體" w:hAnsi="Arial" w:cs="Arial"/>
      <w:b/>
      <w:bCs/>
      <w:noProof/>
      <w:color w:val="0000FF"/>
      <w:spacing w:val="5"/>
      <w:kern w:val="0"/>
      <w:sz w:val="28"/>
      <w:szCs w:val="28"/>
      <w:u w:val="single"/>
    </w:rPr>
  </w:style>
  <w:style w:type="character" w:customStyle="1" w:styleId="BOOK10">
    <w:name w:val="【BOOK】1、 字元"/>
    <w:link w:val="BOOK1"/>
    <w:uiPriority w:val="99"/>
    <w:locked/>
    <w:rsid w:val="00612A4B"/>
    <w:rPr>
      <w:rFonts w:ascii="Arial" w:eastAsia="標楷體" w:hAnsi="Arial" w:cs="Arial"/>
      <w:b/>
      <w:bCs/>
      <w:noProof/>
      <w:color w:val="0000FF"/>
      <w:spacing w:val="5"/>
      <w:sz w:val="28"/>
      <w:szCs w:val="28"/>
      <w:u w:val="single"/>
    </w:rPr>
  </w:style>
  <w:style w:type="paragraph" w:customStyle="1" w:styleId="afff5">
    <w:name w:val="壹文"/>
    <w:link w:val="afff6"/>
    <w:uiPriority w:val="99"/>
    <w:rsid w:val="00612A4B"/>
    <w:pPr>
      <w:snapToGrid w:val="0"/>
      <w:spacing w:beforeLines="30" w:line="480" w:lineRule="atLeast"/>
      <w:ind w:firstLineChars="200" w:firstLine="640"/>
      <w:jc w:val="both"/>
    </w:pPr>
    <w:rPr>
      <w:rFonts w:ascii="標楷體" w:eastAsia="標楷體" w:hAnsi="標楷體" w:cs="新細明體"/>
      <w:kern w:val="2"/>
      <w:sz w:val="32"/>
      <w:szCs w:val="32"/>
    </w:rPr>
  </w:style>
  <w:style w:type="character" w:customStyle="1" w:styleId="afff6">
    <w:name w:val="壹文 字元"/>
    <w:link w:val="afff5"/>
    <w:uiPriority w:val="99"/>
    <w:locked/>
    <w:rsid w:val="00612A4B"/>
    <w:rPr>
      <w:rFonts w:ascii="標楷體" w:eastAsia="標楷體" w:hAnsi="標楷體" w:cs="新細明體"/>
      <w:kern w:val="2"/>
      <w:sz w:val="32"/>
      <w:szCs w:val="32"/>
    </w:rPr>
  </w:style>
  <w:style w:type="paragraph" w:customStyle="1" w:styleId="BOOK">
    <w:name w:val="BOOK～(一)"/>
    <w:basedOn w:val="a1"/>
    <w:link w:val="BOOK0"/>
    <w:uiPriority w:val="99"/>
    <w:rsid w:val="00612A4B"/>
    <w:pPr>
      <w:tabs>
        <w:tab w:val="right" w:pos="9242"/>
      </w:tabs>
      <w:snapToGrid w:val="0"/>
      <w:spacing w:beforeLines="50" w:line="480" w:lineRule="exact"/>
      <w:jc w:val="both"/>
    </w:pPr>
    <w:rPr>
      <w:rFonts w:ascii="標楷體" w:eastAsia="標楷體" w:hAnsi="標楷體" w:cs="Arial"/>
      <w:b/>
      <w:kern w:val="0"/>
      <w:sz w:val="32"/>
      <w:szCs w:val="28"/>
    </w:rPr>
  </w:style>
  <w:style w:type="character" w:customStyle="1" w:styleId="BOOK0">
    <w:name w:val="BOOK～(一) 字元"/>
    <w:link w:val="BOOK"/>
    <w:uiPriority w:val="99"/>
    <w:locked/>
    <w:rsid w:val="00612A4B"/>
    <w:rPr>
      <w:rFonts w:ascii="標楷體" w:eastAsia="標楷體" w:hAnsi="標楷體" w:cs="Arial"/>
      <w:b/>
      <w:sz w:val="32"/>
      <w:szCs w:val="28"/>
    </w:rPr>
  </w:style>
  <w:style w:type="paragraph" w:styleId="25">
    <w:name w:val="Body Text 2"/>
    <w:basedOn w:val="a1"/>
    <w:link w:val="26"/>
    <w:rsid w:val="00612A4B"/>
    <w:pPr>
      <w:spacing w:after="120" w:line="480" w:lineRule="auto"/>
    </w:pPr>
  </w:style>
  <w:style w:type="character" w:customStyle="1" w:styleId="26">
    <w:name w:val="本文 2 字元"/>
    <w:basedOn w:val="a3"/>
    <w:link w:val="25"/>
    <w:rsid w:val="00612A4B"/>
    <w:rPr>
      <w:rFonts w:ascii="Times New Roman" w:hAnsi="Times New Roman"/>
      <w:kern w:val="2"/>
      <w:sz w:val="24"/>
      <w:szCs w:val="24"/>
    </w:rPr>
  </w:style>
  <w:style w:type="paragraph" w:customStyle="1" w:styleId="33">
    <w:name w:val="清單段落3"/>
    <w:basedOn w:val="a1"/>
    <w:link w:val="ListParagraphChar2"/>
    <w:uiPriority w:val="99"/>
    <w:qFormat/>
    <w:rsid w:val="00DF2F67"/>
    <w:pPr>
      <w:ind w:leftChars="200" w:left="480"/>
    </w:pPr>
  </w:style>
  <w:style w:type="character" w:customStyle="1" w:styleId="ListParagraphChar2">
    <w:name w:val="List Paragraph Char2"/>
    <w:link w:val="33"/>
    <w:uiPriority w:val="99"/>
    <w:locked/>
    <w:rsid w:val="00DF2F67"/>
    <w:rPr>
      <w:rFonts w:ascii="Times New Roman" w:hAnsi="Times New Roman"/>
      <w:kern w:val="2"/>
      <w:sz w:val="24"/>
      <w:szCs w:val="24"/>
    </w:rPr>
  </w:style>
  <w:style w:type="character" w:customStyle="1" w:styleId="wtitle1">
    <w:name w:val="w_title1"/>
    <w:uiPriority w:val="99"/>
    <w:rsid w:val="00DF2F67"/>
    <w:rPr>
      <w:b/>
      <w:color w:val="auto"/>
    </w:rPr>
  </w:style>
  <w:style w:type="paragraph" w:styleId="27">
    <w:name w:val="Body Text Indent 2"/>
    <w:basedOn w:val="a1"/>
    <w:link w:val="28"/>
    <w:uiPriority w:val="99"/>
    <w:rsid w:val="00DF2F67"/>
    <w:pPr>
      <w:spacing w:after="120" w:line="480" w:lineRule="auto"/>
      <w:ind w:leftChars="200" w:left="480"/>
    </w:pPr>
  </w:style>
  <w:style w:type="character" w:customStyle="1" w:styleId="28">
    <w:name w:val="本文縮排 2 字元"/>
    <w:basedOn w:val="a3"/>
    <w:link w:val="27"/>
    <w:uiPriority w:val="99"/>
    <w:rsid w:val="00DF2F67"/>
    <w:rPr>
      <w:rFonts w:ascii="Times New Roman" w:hAnsi="Times New Roman"/>
      <w:kern w:val="2"/>
      <w:sz w:val="24"/>
      <w:szCs w:val="24"/>
    </w:rPr>
  </w:style>
  <w:style w:type="paragraph" w:styleId="afff7">
    <w:name w:val="Date"/>
    <w:basedOn w:val="a1"/>
    <w:next w:val="a1"/>
    <w:link w:val="afff8"/>
    <w:uiPriority w:val="99"/>
    <w:rsid w:val="00DF2F67"/>
    <w:pPr>
      <w:jc w:val="right"/>
    </w:pPr>
  </w:style>
  <w:style w:type="character" w:customStyle="1" w:styleId="afff8">
    <w:name w:val="日期 字元"/>
    <w:basedOn w:val="a3"/>
    <w:link w:val="afff7"/>
    <w:uiPriority w:val="99"/>
    <w:rsid w:val="00DF2F67"/>
    <w:rPr>
      <w:rFonts w:ascii="Times New Roman" w:hAnsi="Times New Roman"/>
      <w:kern w:val="2"/>
      <w:sz w:val="24"/>
      <w:szCs w:val="24"/>
    </w:rPr>
  </w:style>
  <w:style w:type="paragraph" w:styleId="3">
    <w:name w:val="List Bullet 3"/>
    <w:basedOn w:val="a1"/>
    <w:uiPriority w:val="99"/>
    <w:rsid w:val="00DF2F67"/>
    <w:pPr>
      <w:numPr>
        <w:numId w:val="28"/>
      </w:numPr>
      <w:tabs>
        <w:tab w:val="num" w:pos="1321"/>
      </w:tabs>
      <w:ind w:leftChars="600" w:left="600" w:hangingChars="200" w:hanging="200"/>
    </w:pPr>
  </w:style>
  <w:style w:type="paragraph" w:styleId="afff9">
    <w:name w:val="List Bullet"/>
    <w:basedOn w:val="a1"/>
    <w:uiPriority w:val="99"/>
    <w:rsid w:val="00DF2F67"/>
    <w:pPr>
      <w:tabs>
        <w:tab w:val="num" w:pos="361"/>
      </w:tabs>
      <w:ind w:leftChars="200" w:left="200" w:hangingChars="200" w:hanging="200"/>
    </w:pPr>
  </w:style>
  <w:style w:type="character" w:styleId="afffa">
    <w:name w:val="page number"/>
    <w:uiPriority w:val="99"/>
    <w:rsid w:val="00DF2F67"/>
    <w:rPr>
      <w:rFonts w:cs="Times New Roman"/>
    </w:rPr>
  </w:style>
  <w:style w:type="paragraph" w:customStyle="1" w:styleId="34">
    <w:name w:val="清單段落3"/>
    <w:basedOn w:val="a1"/>
    <w:uiPriority w:val="99"/>
    <w:rsid w:val="00DF2F67"/>
    <w:pPr>
      <w:ind w:leftChars="200" w:left="480"/>
    </w:pPr>
  </w:style>
  <w:style w:type="paragraph" w:customStyle="1" w:styleId="41">
    <w:name w:val="清單段落4"/>
    <w:basedOn w:val="a1"/>
    <w:rsid w:val="00FE4B9B"/>
    <w:pPr>
      <w:ind w:leftChars="200" w:left="480"/>
    </w:pPr>
  </w:style>
  <w:style w:type="paragraph" w:customStyle="1" w:styleId="afffb">
    <w:name w:val="表名樣"/>
    <w:basedOn w:val="a1"/>
    <w:rsid w:val="00FE4B9B"/>
    <w:pPr>
      <w:widowControl/>
      <w:tabs>
        <w:tab w:val="right" w:leader="dot" w:pos="9356"/>
      </w:tabs>
      <w:spacing w:beforeLines="50" w:line="276" w:lineRule="auto"/>
      <w:jc w:val="center"/>
    </w:pPr>
    <w:rPr>
      <w:rFonts w:ascii="標楷體" w:eastAsia="標楷體" w:hAnsi="標楷體" w:cs="標楷體"/>
      <w:b/>
      <w:bCs/>
      <w:noProof/>
      <w:kern w:val="0"/>
      <w:sz w:val="26"/>
      <w:szCs w:val="26"/>
    </w:rPr>
  </w:style>
  <w:style w:type="paragraph" w:customStyle="1" w:styleId="afffc">
    <w:name w:val="節文樣"/>
    <w:basedOn w:val="a1"/>
    <w:link w:val="afffd"/>
    <w:rsid w:val="00FE4B9B"/>
    <w:pPr>
      <w:widowControl/>
      <w:tabs>
        <w:tab w:val="right" w:leader="dot" w:pos="9356"/>
      </w:tabs>
      <w:spacing w:beforeLines="50" w:afterLines="50" w:line="276" w:lineRule="auto"/>
      <w:ind w:firstLineChars="204" w:firstLine="530"/>
    </w:pPr>
    <w:rPr>
      <w:rFonts w:ascii="標楷體" w:eastAsia="標楷體" w:hAnsi="標楷體"/>
      <w:noProof/>
      <w:kern w:val="0"/>
      <w:sz w:val="26"/>
      <w:szCs w:val="26"/>
    </w:rPr>
  </w:style>
  <w:style w:type="character" w:customStyle="1" w:styleId="afffd">
    <w:name w:val="節文樣 字元"/>
    <w:link w:val="afffc"/>
    <w:locked/>
    <w:rsid w:val="00FE4B9B"/>
    <w:rPr>
      <w:rFonts w:ascii="標楷體" w:eastAsia="標楷體" w:hAnsi="標楷體"/>
      <w:noProof/>
      <w:sz w:val="26"/>
      <w:szCs w:val="26"/>
    </w:rPr>
  </w:style>
  <w:style w:type="paragraph" w:customStyle="1" w:styleId="afffe">
    <w:name w:val="圖名樣"/>
    <w:basedOn w:val="a1"/>
    <w:link w:val="affff"/>
    <w:rsid w:val="00FE4B9B"/>
    <w:pPr>
      <w:widowControl/>
      <w:tabs>
        <w:tab w:val="right" w:leader="dot" w:pos="9356"/>
      </w:tabs>
      <w:spacing w:afterLines="50" w:line="276" w:lineRule="auto"/>
      <w:jc w:val="center"/>
    </w:pPr>
    <w:rPr>
      <w:rFonts w:ascii="標楷體" w:eastAsia="標楷體" w:hAnsi="標楷體"/>
      <w:b/>
      <w:bCs/>
      <w:kern w:val="0"/>
      <w:sz w:val="26"/>
      <w:szCs w:val="26"/>
    </w:rPr>
  </w:style>
  <w:style w:type="character" w:customStyle="1" w:styleId="affff">
    <w:name w:val="圖名樣 字元"/>
    <w:link w:val="afffe"/>
    <w:locked/>
    <w:rsid w:val="00FE4B9B"/>
    <w:rPr>
      <w:rFonts w:ascii="標楷體" w:eastAsia="標楷體" w:hAnsi="標楷體"/>
      <w:b/>
      <w:bCs/>
      <w:sz w:val="26"/>
      <w:szCs w:val="26"/>
    </w:rPr>
  </w:style>
  <w:style w:type="paragraph" w:customStyle="1" w:styleId="affff0">
    <w:name w:val="小節文"/>
    <w:basedOn w:val="a1"/>
    <w:link w:val="affff1"/>
    <w:rsid w:val="00FE4B9B"/>
    <w:pPr>
      <w:widowControl/>
      <w:tabs>
        <w:tab w:val="right" w:leader="dot" w:pos="9356"/>
      </w:tabs>
      <w:spacing w:beforeLines="50" w:afterLines="50" w:line="276" w:lineRule="auto"/>
      <w:ind w:leftChars="326" w:left="782" w:firstLineChars="204" w:firstLine="530"/>
    </w:pPr>
    <w:rPr>
      <w:rFonts w:ascii="標楷體" w:eastAsia="標楷體" w:hAnsi="標楷體"/>
      <w:noProof/>
      <w:kern w:val="0"/>
      <w:sz w:val="26"/>
      <w:szCs w:val="26"/>
    </w:rPr>
  </w:style>
  <w:style w:type="character" w:customStyle="1" w:styleId="affff1">
    <w:name w:val="小節文 字元"/>
    <w:link w:val="affff0"/>
    <w:locked/>
    <w:rsid w:val="00FE4B9B"/>
    <w:rPr>
      <w:rFonts w:ascii="標楷體" w:eastAsia="標楷體" w:hAnsi="標楷體"/>
      <w:noProof/>
      <w:sz w:val="26"/>
      <w:szCs w:val="26"/>
    </w:rPr>
  </w:style>
  <w:style w:type="character" w:customStyle="1" w:styleId="apple-style-span">
    <w:name w:val="apple-style-span"/>
    <w:rsid w:val="00FE4B9B"/>
    <w:rPr>
      <w:rFonts w:cs="Times New Roman"/>
    </w:rPr>
  </w:style>
  <w:style w:type="paragraph" w:customStyle="1" w:styleId="a0">
    <w:name w:val="節樣"/>
    <w:basedOn w:val="a1"/>
    <w:link w:val="affff2"/>
    <w:rsid w:val="00FE4B9B"/>
    <w:pPr>
      <w:widowControl/>
      <w:numPr>
        <w:ilvl w:val="1"/>
        <w:numId w:val="189"/>
      </w:numPr>
      <w:tabs>
        <w:tab w:val="right" w:leader="dot" w:pos="9356"/>
      </w:tabs>
      <w:spacing w:line="276" w:lineRule="auto"/>
    </w:pPr>
    <w:rPr>
      <w:rFonts w:ascii="標楷體" w:eastAsia="標楷體" w:hAnsi="標楷體"/>
      <w:b/>
      <w:bCs/>
      <w:kern w:val="0"/>
      <w:sz w:val="30"/>
      <w:szCs w:val="30"/>
    </w:rPr>
  </w:style>
  <w:style w:type="character" w:customStyle="1" w:styleId="affff2">
    <w:name w:val="節樣 字元"/>
    <w:link w:val="a0"/>
    <w:locked/>
    <w:rsid w:val="00FE4B9B"/>
    <w:rPr>
      <w:rFonts w:ascii="標楷體" w:eastAsia="標楷體" w:hAnsi="標楷體"/>
      <w:b/>
      <w:bCs/>
      <w:sz w:val="30"/>
      <w:szCs w:val="30"/>
    </w:rPr>
  </w:style>
  <w:style w:type="paragraph" w:customStyle="1" w:styleId="affff3">
    <w:name w:val="一、內文"/>
    <w:basedOn w:val="a1"/>
    <w:link w:val="affff4"/>
    <w:rsid w:val="00FE4B9B"/>
    <w:pPr>
      <w:autoSpaceDE w:val="0"/>
      <w:autoSpaceDN w:val="0"/>
      <w:adjustRightInd w:val="0"/>
      <w:spacing w:before="120" w:afterLines="50" w:line="400" w:lineRule="exact"/>
      <w:ind w:leftChars="200" w:left="200" w:firstLineChars="200" w:firstLine="200"/>
      <w:jc w:val="both"/>
    </w:pPr>
    <w:rPr>
      <w:rFonts w:ascii="標楷體" w:eastAsia="標楷體"/>
      <w:kern w:val="0"/>
    </w:rPr>
  </w:style>
  <w:style w:type="character" w:customStyle="1" w:styleId="affff4">
    <w:name w:val="一、內文 字元"/>
    <w:link w:val="affff3"/>
    <w:locked/>
    <w:rsid w:val="00FE4B9B"/>
    <w:rPr>
      <w:rFonts w:ascii="標楷體" w:eastAsia="標楷體" w:hAnsi="Times New Roman"/>
      <w:sz w:val="24"/>
      <w:szCs w:val="24"/>
    </w:rPr>
  </w:style>
  <w:style w:type="paragraph" w:customStyle="1" w:styleId="91">
    <w:name w:val="91_圖名"/>
    <w:basedOn w:val="a1"/>
    <w:link w:val="910"/>
    <w:autoRedefine/>
    <w:rsid w:val="00FE4B9B"/>
    <w:pPr>
      <w:jc w:val="center"/>
    </w:pPr>
    <w:rPr>
      <w:rFonts w:ascii="標楷體" w:eastAsia="標楷體" w:hAnsi="標楷體"/>
    </w:rPr>
  </w:style>
  <w:style w:type="character" w:customStyle="1" w:styleId="910">
    <w:name w:val="91_圖名 字元"/>
    <w:link w:val="91"/>
    <w:locked/>
    <w:rsid w:val="00FE4B9B"/>
    <w:rPr>
      <w:rFonts w:ascii="標楷體" w:eastAsia="標楷體" w:hAnsi="標楷體"/>
      <w:kern w:val="2"/>
      <w:sz w:val="24"/>
      <w:szCs w:val="24"/>
    </w:rPr>
  </w:style>
  <w:style w:type="paragraph" w:customStyle="1" w:styleId="affff5">
    <w:name w:val="點"/>
    <w:basedOn w:val="Default"/>
    <w:next w:val="Default"/>
    <w:rsid w:val="00FE4B9B"/>
    <w:rPr>
      <w:rFonts w:ascii="標楷體" w:eastAsia="標楷體" w:hAnsi="Calibri" w:cs="標楷體"/>
      <w:color w:val="auto"/>
    </w:rPr>
  </w:style>
  <w:style w:type="paragraph" w:customStyle="1" w:styleId="affff6">
    <w:name w:val="大豐圖名"/>
    <w:basedOn w:val="a1"/>
    <w:rsid w:val="00FE4B9B"/>
    <w:pPr>
      <w:spacing w:line="500" w:lineRule="exact"/>
      <w:jc w:val="center"/>
    </w:pPr>
    <w:rPr>
      <w:rFonts w:ascii="標楷體" w:eastAsia="標楷體" w:hAnsi="標楷體" w:cs="標楷體"/>
      <w:sz w:val="26"/>
      <w:szCs w:val="26"/>
    </w:rPr>
  </w:style>
  <w:style w:type="paragraph" w:customStyle="1" w:styleId="affff7">
    <w:name w:val="大豐內文一"/>
    <w:basedOn w:val="a1"/>
    <w:rsid w:val="00FE4B9B"/>
    <w:pPr>
      <w:spacing w:line="500" w:lineRule="exact"/>
      <w:ind w:firstLineChars="200" w:firstLine="200"/>
    </w:pPr>
    <w:rPr>
      <w:rFonts w:eastAsia="標楷體"/>
      <w:sz w:val="26"/>
      <w:szCs w:val="26"/>
    </w:rPr>
  </w:style>
  <w:style w:type="numbering" w:customStyle="1" w:styleId="ArticleSection">
    <w:name w:val="Article / Section"/>
    <w:rsid w:val="00FE4B9B"/>
    <w:pPr>
      <w:numPr>
        <w:numId w:val="187"/>
      </w:numPr>
    </w:pPr>
  </w:style>
  <w:style w:type="numbering" w:customStyle="1" w:styleId="1">
    <w:name w:val="目前的清單1"/>
    <w:rsid w:val="00FE4B9B"/>
    <w:pPr>
      <w:numPr>
        <w:numId w:val="186"/>
      </w:numPr>
    </w:pPr>
  </w:style>
  <w:style w:type="numbering" w:customStyle="1" w:styleId="42">
    <w:name w:val="無清單4"/>
    <w:next w:val="a5"/>
    <w:uiPriority w:val="99"/>
    <w:semiHidden/>
    <w:unhideWhenUsed/>
    <w:rsid w:val="00986223"/>
  </w:style>
  <w:style w:type="table" w:customStyle="1" w:styleId="35">
    <w:name w:val="表格格線3"/>
    <w:basedOn w:val="a4"/>
    <w:next w:val="a6"/>
    <w:rsid w:val="0098622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4"/>
    <w:next w:val="a6"/>
    <w:rsid w:val="00A12A45"/>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Hyperlink"/>
    <w:uiPriority w:val="99"/>
    <w:rsid w:val="000664AF"/>
    <w:rPr>
      <w:color w:val="0000FF"/>
      <w:u w:val="single"/>
    </w:rPr>
  </w:style>
  <w:style w:type="paragraph" w:styleId="affff9">
    <w:name w:val="TOC Heading"/>
    <w:basedOn w:val="10"/>
    <w:next w:val="a1"/>
    <w:uiPriority w:val="39"/>
    <w:semiHidden/>
    <w:unhideWhenUsed/>
    <w:qFormat/>
    <w:rsid w:val="00A3023B"/>
    <w:pPr>
      <w:keepNext/>
      <w:keepLines/>
      <w:widowControl/>
      <w:autoSpaceDE/>
      <w:autoSpaceDN/>
      <w:adjustRightInd/>
      <w:spacing w:before="480" w:afterLines="0" w:line="276" w:lineRule="auto"/>
      <w:ind w:firstLineChars="0" w:firstLine="0"/>
      <w:jc w:val="left"/>
      <w:outlineLvl w:val="9"/>
    </w:pPr>
    <w:rPr>
      <w:rFonts w:asciiTheme="majorHAnsi" w:eastAsiaTheme="majorEastAsia" w:hAnsiTheme="majorHAnsi" w:cstheme="majorBidi"/>
      <w:color w:val="365F91" w:themeColor="accent1" w:themeShade="BF"/>
      <w:sz w:val="28"/>
    </w:rPr>
  </w:style>
  <w:style w:type="paragraph" w:styleId="36">
    <w:name w:val="toc 3"/>
    <w:basedOn w:val="a1"/>
    <w:next w:val="a1"/>
    <w:autoRedefine/>
    <w:uiPriority w:val="39"/>
    <w:unhideWhenUsed/>
    <w:locked/>
    <w:rsid w:val="00A3023B"/>
    <w:pPr>
      <w:ind w:leftChars="400" w:left="960"/>
    </w:pPr>
  </w:style>
  <w:style w:type="paragraph" w:styleId="1f">
    <w:name w:val="toc 1"/>
    <w:basedOn w:val="a1"/>
    <w:next w:val="a1"/>
    <w:autoRedefine/>
    <w:uiPriority w:val="39"/>
    <w:unhideWhenUsed/>
    <w:locked/>
    <w:rsid w:val="00A3023B"/>
  </w:style>
  <w:style w:type="paragraph" w:styleId="29">
    <w:name w:val="toc 2"/>
    <w:basedOn w:val="a1"/>
    <w:next w:val="a1"/>
    <w:autoRedefine/>
    <w:uiPriority w:val="39"/>
    <w:unhideWhenUsed/>
    <w:locked/>
    <w:rsid w:val="00A3023B"/>
    <w:pPr>
      <w:ind w:leftChars="200" w:left="480"/>
    </w:pPr>
    <w:rPr>
      <w:rFonts w:asciiTheme="minorHAnsi" w:eastAsiaTheme="minorEastAsia" w:hAnsiTheme="minorHAnsi" w:cstheme="minorBidi"/>
      <w:szCs w:val="22"/>
    </w:rPr>
  </w:style>
  <w:style w:type="paragraph" w:styleId="44">
    <w:name w:val="toc 4"/>
    <w:basedOn w:val="a1"/>
    <w:next w:val="a1"/>
    <w:autoRedefine/>
    <w:uiPriority w:val="39"/>
    <w:unhideWhenUsed/>
    <w:locked/>
    <w:rsid w:val="00A3023B"/>
    <w:pPr>
      <w:ind w:leftChars="600" w:left="1440"/>
    </w:pPr>
    <w:rPr>
      <w:rFonts w:asciiTheme="minorHAnsi" w:eastAsiaTheme="minorEastAsia" w:hAnsiTheme="minorHAnsi" w:cstheme="minorBidi"/>
      <w:szCs w:val="22"/>
    </w:rPr>
  </w:style>
  <w:style w:type="paragraph" w:styleId="51">
    <w:name w:val="toc 5"/>
    <w:basedOn w:val="a1"/>
    <w:next w:val="a1"/>
    <w:autoRedefine/>
    <w:uiPriority w:val="39"/>
    <w:unhideWhenUsed/>
    <w:locked/>
    <w:rsid w:val="00A3023B"/>
    <w:pPr>
      <w:ind w:leftChars="800" w:left="1920"/>
    </w:pPr>
    <w:rPr>
      <w:rFonts w:asciiTheme="minorHAnsi" w:eastAsiaTheme="minorEastAsia" w:hAnsiTheme="minorHAnsi" w:cstheme="minorBidi"/>
      <w:szCs w:val="22"/>
    </w:rPr>
  </w:style>
  <w:style w:type="paragraph" w:styleId="61">
    <w:name w:val="toc 6"/>
    <w:basedOn w:val="a1"/>
    <w:next w:val="a1"/>
    <w:autoRedefine/>
    <w:uiPriority w:val="39"/>
    <w:unhideWhenUsed/>
    <w:locked/>
    <w:rsid w:val="00A3023B"/>
    <w:pPr>
      <w:ind w:leftChars="1000" w:left="2400"/>
    </w:pPr>
    <w:rPr>
      <w:rFonts w:asciiTheme="minorHAnsi" w:eastAsiaTheme="minorEastAsia" w:hAnsiTheme="minorHAnsi" w:cstheme="minorBidi"/>
      <w:szCs w:val="22"/>
    </w:rPr>
  </w:style>
  <w:style w:type="paragraph" w:styleId="71">
    <w:name w:val="toc 7"/>
    <w:basedOn w:val="a1"/>
    <w:next w:val="a1"/>
    <w:autoRedefine/>
    <w:uiPriority w:val="39"/>
    <w:unhideWhenUsed/>
    <w:locked/>
    <w:rsid w:val="00A3023B"/>
    <w:pPr>
      <w:ind w:leftChars="1200" w:left="2880"/>
    </w:pPr>
    <w:rPr>
      <w:rFonts w:asciiTheme="minorHAnsi" w:eastAsiaTheme="minorEastAsia" w:hAnsiTheme="minorHAnsi" w:cstheme="minorBidi"/>
      <w:szCs w:val="22"/>
    </w:rPr>
  </w:style>
  <w:style w:type="paragraph" w:styleId="81">
    <w:name w:val="toc 8"/>
    <w:basedOn w:val="a1"/>
    <w:next w:val="a1"/>
    <w:autoRedefine/>
    <w:uiPriority w:val="39"/>
    <w:unhideWhenUsed/>
    <w:locked/>
    <w:rsid w:val="00A3023B"/>
    <w:pPr>
      <w:ind w:leftChars="1400" w:left="3360"/>
    </w:pPr>
    <w:rPr>
      <w:rFonts w:asciiTheme="minorHAnsi" w:eastAsiaTheme="minorEastAsia" w:hAnsiTheme="minorHAnsi" w:cstheme="minorBidi"/>
      <w:szCs w:val="22"/>
    </w:rPr>
  </w:style>
  <w:style w:type="paragraph" w:styleId="92">
    <w:name w:val="toc 9"/>
    <w:basedOn w:val="a1"/>
    <w:next w:val="a1"/>
    <w:autoRedefine/>
    <w:uiPriority w:val="39"/>
    <w:unhideWhenUsed/>
    <w:locked/>
    <w:rsid w:val="00A3023B"/>
    <w:pPr>
      <w:ind w:leftChars="1600" w:left="3840"/>
    </w:pPr>
    <w:rPr>
      <w:rFonts w:asciiTheme="minorHAnsi" w:eastAsiaTheme="minorEastAsia" w:hAnsiTheme="minorHAnsi" w:cstheme="minorBidi"/>
      <w:szCs w:val="22"/>
    </w:rPr>
  </w:style>
  <w:style w:type="character" w:customStyle="1" w:styleId="st1">
    <w:name w:val="st1"/>
    <w:rsid w:val="00AA420D"/>
  </w:style>
  <w:style w:type="paragraph" w:customStyle="1" w:styleId="52">
    <w:name w:val="清單段落5"/>
    <w:basedOn w:val="a1"/>
    <w:rsid w:val="00E11B2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516047">
      <w:bodyDiv w:val="1"/>
      <w:marLeft w:val="0"/>
      <w:marRight w:val="0"/>
      <w:marTop w:val="0"/>
      <w:marBottom w:val="0"/>
      <w:divBdr>
        <w:top w:val="none" w:sz="0" w:space="0" w:color="auto"/>
        <w:left w:val="none" w:sz="0" w:space="0" w:color="auto"/>
        <w:bottom w:val="none" w:sz="0" w:space="0" w:color="auto"/>
        <w:right w:val="none" w:sz="0" w:space="0" w:color="auto"/>
      </w:divBdr>
    </w:div>
    <w:div w:id="31535532">
      <w:bodyDiv w:val="1"/>
      <w:marLeft w:val="0"/>
      <w:marRight w:val="0"/>
      <w:marTop w:val="0"/>
      <w:marBottom w:val="0"/>
      <w:divBdr>
        <w:top w:val="none" w:sz="0" w:space="0" w:color="auto"/>
        <w:left w:val="none" w:sz="0" w:space="0" w:color="auto"/>
        <w:bottom w:val="none" w:sz="0" w:space="0" w:color="auto"/>
        <w:right w:val="none" w:sz="0" w:space="0" w:color="auto"/>
      </w:divBdr>
    </w:div>
    <w:div w:id="70928667">
      <w:bodyDiv w:val="1"/>
      <w:marLeft w:val="0"/>
      <w:marRight w:val="0"/>
      <w:marTop w:val="0"/>
      <w:marBottom w:val="0"/>
      <w:divBdr>
        <w:top w:val="none" w:sz="0" w:space="0" w:color="auto"/>
        <w:left w:val="none" w:sz="0" w:space="0" w:color="auto"/>
        <w:bottom w:val="none" w:sz="0" w:space="0" w:color="auto"/>
        <w:right w:val="none" w:sz="0" w:space="0" w:color="auto"/>
      </w:divBdr>
    </w:div>
    <w:div w:id="139689434">
      <w:bodyDiv w:val="1"/>
      <w:marLeft w:val="0"/>
      <w:marRight w:val="0"/>
      <w:marTop w:val="0"/>
      <w:marBottom w:val="0"/>
      <w:divBdr>
        <w:top w:val="none" w:sz="0" w:space="0" w:color="auto"/>
        <w:left w:val="none" w:sz="0" w:space="0" w:color="auto"/>
        <w:bottom w:val="none" w:sz="0" w:space="0" w:color="auto"/>
        <w:right w:val="none" w:sz="0" w:space="0" w:color="auto"/>
      </w:divBdr>
    </w:div>
    <w:div w:id="173032721">
      <w:bodyDiv w:val="1"/>
      <w:marLeft w:val="0"/>
      <w:marRight w:val="0"/>
      <w:marTop w:val="0"/>
      <w:marBottom w:val="0"/>
      <w:divBdr>
        <w:top w:val="none" w:sz="0" w:space="0" w:color="auto"/>
        <w:left w:val="none" w:sz="0" w:space="0" w:color="auto"/>
        <w:bottom w:val="none" w:sz="0" w:space="0" w:color="auto"/>
        <w:right w:val="none" w:sz="0" w:space="0" w:color="auto"/>
      </w:divBdr>
    </w:div>
    <w:div w:id="180825273">
      <w:bodyDiv w:val="1"/>
      <w:marLeft w:val="0"/>
      <w:marRight w:val="0"/>
      <w:marTop w:val="0"/>
      <w:marBottom w:val="0"/>
      <w:divBdr>
        <w:top w:val="none" w:sz="0" w:space="0" w:color="auto"/>
        <w:left w:val="none" w:sz="0" w:space="0" w:color="auto"/>
        <w:bottom w:val="none" w:sz="0" w:space="0" w:color="auto"/>
        <w:right w:val="none" w:sz="0" w:space="0" w:color="auto"/>
      </w:divBdr>
    </w:div>
    <w:div w:id="228614451">
      <w:bodyDiv w:val="1"/>
      <w:marLeft w:val="0"/>
      <w:marRight w:val="0"/>
      <w:marTop w:val="0"/>
      <w:marBottom w:val="0"/>
      <w:divBdr>
        <w:top w:val="none" w:sz="0" w:space="0" w:color="auto"/>
        <w:left w:val="none" w:sz="0" w:space="0" w:color="auto"/>
        <w:bottom w:val="none" w:sz="0" w:space="0" w:color="auto"/>
        <w:right w:val="none" w:sz="0" w:space="0" w:color="auto"/>
      </w:divBdr>
    </w:div>
    <w:div w:id="287198374">
      <w:bodyDiv w:val="1"/>
      <w:marLeft w:val="0"/>
      <w:marRight w:val="0"/>
      <w:marTop w:val="0"/>
      <w:marBottom w:val="0"/>
      <w:divBdr>
        <w:top w:val="none" w:sz="0" w:space="0" w:color="auto"/>
        <w:left w:val="none" w:sz="0" w:space="0" w:color="auto"/>
        <w:bottom w:val="none" w:sz="0" w:space="0" w:color="auto"/>
        <w:right w:val="none" w:sz="0" w:space="0" w:color="auto"/>
      </w:divBdr>
    </w:div>
    <w:div w:id="299844450">
      <w:bodyDiv w:val="1"/>
      <w:marLeft w:val="0"/>
      <w:marRight w:val="0"/>
      <w:marTop w:val="0"/>
      <w:marBottom w:val="0"/>
      <w:divBdr>
        <w:top w:val="none" w:sz="0" w:space="0" w:color="auto"/>
        <w:left w:val="none" w:sz="0" w:space="0" w:color="auto"/>
        <w:bottom w:val="none" w:sz="0" w:space="0" w:color="auto"/>
        <w:right w:val="none" w:sz="0" w:space="0" w:color="auto"/>
      </w:divBdr>
    </w:div>
    <w:div w:id="417755280">
      <w:bodyDiv w:val="1"/>
      <w:marLeft w:val="0"/>
      <w:marRight w:val="0"/>
      <w:marTop w:val="0"/>
      <w:marBottom w:val="0"/>
      <w:divBdr>
        <w:top w:val="none" w:sz="0" w:space="0" w:color="auto"/>
        <w:left w:val="none" w:sz="0" w:space="0" w:color="auto"/>
        <w:bottom w:val="none" w:sz="0" w:space="0" w:color="auto"/>
        <w:right w:val="none" w:sz="0" w:space="0" w:color="auto"/>
      </w:divBdr>
    </w:div>
    <w:div w:id="483737948">
      <w:bodyDiv w:val="1"/>
      <w:marLeft w:val="0"/>
      <w:marRight w:val="0"/>
      <w:marTop w:val="0"/>
      <w:marBottom w:val="0"/>
      <w:divBdr>
        <w:top w:val="none" w:sz="0" w:space="0" w:color="auto"/>
        <w:left w:val="none" w:sz="0" w:space="0" w:color="auto"/>
        <w:bottom w:val="none" w:sz="0" w:space="0" w:color="auto"/>
        <w:right w:val="none" w:sz="0" w:space="0" w:color="auto"/>
      </w:divBdr>
    </w:div>
    <w:div w:id="515460419">
      <w:bodyDiv w:val="1"/>
      <w:marLeft w:val="0"/>
      <w:marRight w:val="0"/>
      <w:marTop w:val="0"/>
      <w:marBottom w:val="0"/>
      <w:divBdr>
        <w:top w:val="none" w:sz="0" w:space="0" w:color="auto"/>
        <w:left w:val="none" w:sz="0" w:space="0" w:color="auto"/>
        <w:bottom w:val="none" w:sz="0" w:space="0" w:color="auto"/>
        <w:right w:val="none" w:sz="0" w:space="0" w:color="auto"/>
      </w:divBdr>
    </w:div>
    <w:div w:id="627860423">
      <w:bodyDiv w:val="1"/>
      <w:marLeft w:val="0"/>
      <w:marRight w:val="0"/>
      <w:marTop w:val="0"/>
      <w:marBottom w:val="0"/>
      <w:divBdr>
        <w:top w:val="none" w:sz="0" w:space="0" w:color="auto"/>
        <w:left w:val="none" w:sz="0" w:space="0" w:color="auto"/>
        <w:bottom w:val="none" w:sz="0" w:space="0" w:color="auto"/>
        <w:right w:val="none" w:sz="0" w:space="0" w:color="auto"/>
      </w:divBdr>
    </w:div>
    <w:div w:id="691954726">
      <w:bodyDiv w:val="1"/>
      <w:marLeft w:val="0"/>
      <w:marRight w:val="0"/>
      <w:marTop w:val="0"/>
      <w:marBottom w:val="0"/>
      <w:divBdr>
        <w:top w:val="none" w:sz="0" w:space="0" w:color="auto"/>
        <w:left w:val="none" w:sz="0" w:space="0" w:color="auto"/>
        <w:bottom w:val="none" w:sz="0" w:space="0" w:color="auto"/>
        <w:right w:val="none" w:sz="0" w:space="0" w:color="auto"/>
      </w:divBdr>
    </w:div>
    <w:div w:id="834686973">
      <w:bodyDiv w:val="1"/>
      <w:marLeft w:val="0"/>
      <w:marRight w:val="0"/>
      <w:marTop w:val="0"/>
      <w:marBottom w:val="0"/>
      <w:divBdr>
        <w:top w:val="none" w:sz="0" w:space="0" w:color="auto"/>
        <w:left w:val="none" w:sz="0" w:space="0" w:color="auto"/>
        <w:bottom w:val="none" w:sz="0" w:space="0" w:color="auto"/>
        <w:right w:val="none" w:sz="0" w:space="0" w:color="auto"/>
      </w:divBdr>
    </w:div>
    <w:div w:id="871384850">
      <w:bodyDiv w:val="1"/>
      <w:marLeft w:val="0"/>
      <w:marRight w:val="0"/>
      <w:marTop w:val="0"/>
      <w:marBottom w:val="0"/>
      <w:divBdr>
        <w:top w:val="none" w:sz="0" w:space="0" w:color="auto"/>
        <w:left w:val="none" w:sz="0" w:space="0" w:color="auto"/>
        <w:bottom w:val="none" w:sz="0" w:space="0" w:color="auto"/>
        <w:right w:val="none" w:sz="0" w:space="0" w:color="auto"/>
      </w:divBdr>
    </w:div>
    <w:div w:id="872809095">
      <w:bodyDiv w:val="1"/>
      <w:marLeft w:val="0"/>
      <w:marRight w:val="0"/>
      <w:marTop w:val="0"/>
      <w:marBottom w:val="0"/>
      <w:divBdr>
        <w:top w:val="none" w:sz="0" w:space="0" w:color="auto"/>
        <w:left w:val="none" w:sz="0" w:space="0" w:color="auto"/>
        <w:bottom w:val="none" w:sz="0" w:space="0" w:color="auto"/>
        <w:right w:val="none" w:sz="0" w:space="0" w:color="auto"/>
      </w:divBdr>
    </w:div>
    <w:div w:id="883491948">
      <w:bodyDiv w:val="1"/>
      <w:marLeft w:val="0"/>
      <w:marRight w:val="0"/>
      <w:marTop w:val="0"/>
      <w:marBottom w:val="0"/>
      <w:divBdr>
        <w:top w:val="none" w:sz="0" w:space="0" w:color="auto"/>
        <w:left w:val="none" w:sz="0" w:space="0" w:color="auto"/>
        <w:bottom w:val="none" w:sz="0" w:space="0" w:color="auto"/>
        <w:right w:val="none" w:sz="0" w:space="0" w:color="auto"/>
      </w:divBdr>
    </w:div>
    <w:div w:id="920144861">
      <w:bodyDiv w:val="1"/>
      <w:marLeft w:val="0"/>
      <w:marRight w:val="0"/>
      <w:marTop w:val="0"/>
      <w:marBottom w:val="0"/>
      <w:divBdr>
        <w:top w:val="none" w:sz="0" w:space="0" w:color="auto"/>
        <w:left w:val="none" w:sz="0" w:space="0" w:color="auto"/>
        <w:bottom w:val="none" w:sz="0" w:space="0" w:color="auto"/>
        <w:right w:val="none" w:sz="0" w:space="0" w:color="auto"/>
      </w:divBdr>
    </w:div>
    <w:div w:id="965896254">
      <w:bodyDiv w:val="1"/>
      <w:marLeft w:val="0"/>
      <w:marRight w:val="0"/>
      <w:marTop w:val="0"/>
      <w:marBottom w:val="0"/>
      <w:divBdr>
        <w:top w:val="none" w:sz="0" w:space="0" w:color="auto"/>
        <w:left w:val="none" w:sz="0" w:space="0" w:color="auto"/>
        <w:bottom w:val="none" w:sz="0" w:space="0" w:color="auto"/>
        <w:right w:val="none" w:sz="0" w:space="0" w:color="auto"/>
      </w:divBdr>
    </w:div>
    <w:div w:id="968559519">
      <w:bodyDiv w:val="1"/>
      <w:marLeft w:val="0"/>
      <w:marRight w:val="0"/>
      <w:marTop w:val="0"/>
      <w:marBottom w:val="0"/>
      <w:divBdr>
        <w:top w:val="none" w:sz="0" w:space="0" w:color="auto"/>
        <w:left w:val="none" w:sz="0" w:space="0" w:color="auto"/>
        <w:bottom w:val="none" w:sz="0" w:space="0" w:color="auto"/>
        <w:right w:val="none" w:sz="0" w:space="0" w:color="auto"/>
      </w:divBdr>
    </w:div>
    <w:div w:id="1023896559">
      <w:bodyDiv w:val="1"/>
      <w:marLeft w:val="0"/>
      <w:marRight w:val="0"/>
      <w:marTop w:val="0"/>
      <w:marBottom w:val="0"/>
      <w:divBdr>
        <w:top w:val="none" w:sz="0" w:space="0" w:color="auto"/>
        <w:left w:val="none" w:sz="0" w:space="0" w:color="auto"/>
        <w:bottom w:val="none" w:sz="0" w:space="0" w:color="auto"/>
        <w:right w:val="none" w:sz="0" w:space="0" w:color="auto"/>
      </w:divBdr>
      <w:divsChild>
        <w:div w:id="1542404362">
          <w:marLeft w:val="0"/>
          <w:marRight w:val="0"/>
          <w:marTop w:val="0"/>
          <w:marBottom w:val="0"/>
          <w:divBdr>
            <w:top w:val="none" w:sz="0" w:space="0" w:color="auto"/>
            <w:left w:val="none" w:sz="0" w:space="0" w:color="auto"/>
            <w:bottom w:val="none" w:sz="0" w:space="0" w:color="auto"/>
            <w:right w:val="none" w:sz="0" w:space="0" w:color="auto"/>
          </w:divBdr>
        </w:div>
      </w:divsChild>
    </w:div>
    <w:div w:id="1114060462">
      <w:bodyDiv w:val="1"/>
      <w:marLeft w:val="0"/>
      <w:marRight w:val="0"/>
      <w:marTop w:val="0"/>
      <w:marBottom w:val="0"/>
      <w:divBdr>
        <w:top w:val="none" w:sz="0" w:space="0" w:color="auto"/>
        <w:left w:val="none" w:sz="0" w:space="0" w:color="auto"/>
        <w:bottom w:val="none" w:sz="0" w:space="0" w:color="auto"/>
        <w:right w:val="none" w:sz="0" w:space="0" w:color="auto"/>
      </w:divBdr>
    </w:div>
    <w:div w:id="1145001736">
      <w:bodyDiv w:val="1"/>
      <w:marLeft w:val="0"/>
      <w:marRight w:val="0"/>
      <w:marTop w:val="0"/>
      <w:marBottom w:val="0"/>
      <w:divBdr>
        <w:top w:val="none" w:sz="0" w:space="0" w:color="auto"/>
        <w:left w:val="none" w:sz="0" w:space="0" w:color="auto"/>
        <w:bottom w:val="none" w:sz="0" w:space="0" w:color="auto"/>
        <w:right w:val="none" w:sz="0" w:space="0" w:color="auto"/>
      </w:divBdr>
    </w:div>
    <w:div w:id="1216312208">
      <w:bodyDiv w:val="1"/>
      <w:marLeft w:val="0"/>
      <w:marRight w:val="0"/>
      <w:marTop w:val="0"/>
      <w:marBottom w:val="0"/>
      <w:divBdr>
        <w:top w:val="none" w:sz="0" w:space="0" w:color="auto"/>
        <w:left w:val="none" w:sz="0" w:space="0" w:color="auto"/>
        <w:bottom w:val="none" w:sz="0" w:space="0" w:color="auto"/>
        <w:right w:val="none" w:sz="0" w:space="0" w:color="auto"/>
      </w:divBdr>
    </w:div>
    <w:div w:id="1251623653">
      <w:bodyDiv w:val="1"/>
      <w:marLeft w:val="0"/>
      <w:marRight w:val="0"/>
      <w:marTop w:val="0"/>
      <w:marBottom w:val="0"/>
      <w:divBdr>
        <w:top w:val="none" w:sz="0" w:space="0" w:color="auto"/>
        <w:left w:val="none" w:sz="0" w:space="0" w:color="auto"/>
        <w:bottom w:val="none" w:sz="0" w:space="0" w:color="auto"/>
        <w:right w:val="none" w:sz="0" w:space="0" w:color="auto"/>
      </w:divBdr>
    </w:div>
    <w:div w:id="1269311904">
      <w:bodyDiv w:val="1"/>
      <w:marLeft w:val="0"/>
      <w:marRight w:val="0"/>
      <w:marTop w:val="0"/>
      <w:marBottom w:val="0"/>
      <w:divBdr>
        <w:top w:val="none" w:sz="0" w:space="0" w:color="auto"/>
        <w:left w:val="none" w:sz="0" w:space="0" w:color="auto"/>
        <w:bottom w:val="none" w:sz="0" w:space="0" w:color="auto"/>
        <w:right w:val="none" w:sz="0" w:space="0" w:color="auto"/>
      </w:divBdr>
      <w:divsChild>
        <w:div w:id="1988513409">
          <w:marLeft w:val="0"/>
          <w:marRight w:val="0"/>
          <w:marTop w:val="0"/>
          <w:marBottom w:val="0"/>
          <w:divBdr>
            <w:top w:val="none" w:sz="0" w:space="0" w:color="auto"/>
            <w:left w:val="none" w:sz="0" w:space="0" w:color="auto"/>
            <w:bottom w:val="none" w:sz="0" w:space="0" w:color="auto"/>
            <w:right w:val="none" w:sz="0" w:space="0" w:color="auto"/>
          </w:divBdr>
        </w:div>
      </w:divsChild>
    </w:div>
    <w:div w:id="1319917623">
      <w:bodyDiv w:val="1"/>
      <w:marLeft w:val="0"/>
      <w:marRight w:val="0"/>
      <w:marTop w:val="0"/>
      <w:marBottom w:val="0"/>
      <w:divBdr>
        <w:top w:val="none" w:sz="0" w:space="0" w:color="auto"/>
        <w:left w:val="none" w:sz="0" w:space="0" w:color="auto"/>
        <w:bottom w:val="none" w:sz="0" w:space="0" w:color="auto"/>
        <w:right w:val="none" w:sz="0" w:space="0" w:color="auto"/>
      </w:divBdr>
    </w:div>
    <w:div w:id="1344818814">
      <w:bodyDiv w:val="1"/>
      <w:marLeft w:val="0"/>
      <w:marRight w:val="0"/>
      <w:marTop w:val="0"/>
      <w:marBottom w:val="0"/>
      <w:divBdr>
        <w:top w:val="none" w:sz="0" w:space="0" w:color="auto"/>
        <w:left w:val="none" w:sz="0" w:space="0" w:color="auto"/>
        <w:bottom w:val="none" w:sz="0" w:space="0" w:color="auto"/>
        <w:right w:val="none" w:sz="0" w:space="0" w:color="auto"/>
      </w:divBdr>
    </w:div>
    <w:div w:id="1359357091">
      <w:bodyDiv w:val="1"/>
      <w:marLeft w:val="0"/>
      <w:marRight w:val="0"/>
      <w:marTop w:val="0"/>
      <w:marBottom w:val="0"/>
      <w:divBdr>
        <w:top w:val="none" w:sz="0" w:space="0" w:color="auto"/>
        <w:left w:val="none" w:sz="0" w:space="0" w:color="auto"/>
        <w:bottom w:val="none" w:sz="0" w:space="0" w:color="auto"/>
        <w:right w:val="none" w:sz="0" w:space="0" w:color="auto"/>
      </w:divBdr>
    </w:div>
    <w:div w:id="1380058716">
      <w:bodyDiv w:val="1"/>
      <w:marLeft w:val="0"/>
      <w:marRight w:val="0"/>
      <w:marTop w:val="0"/>
      <w:marBottom w:val="0"/>
      <w:divBdr>
        <w:top w:val="none" w:sz="0" w:space="0" w:color="auto"/>
        <w:left w:val="none" w:sz="0" w:space="0" w:color="auto"/>
        <w:bottom w:val="none" w:sz="0" w:space="0" w:color="auto"/>
        <w:right w:val="none" w:sz="0" w:space="0" w:color="auto"/>
      </w:divBdr>
    </w:div>
    <w:div w:id="1395079264">
      <w:bodyDiv w:val="1"/>
      <w:marLeft w:val="0"/>
      <w:marRight w:val="0"/>
      <w:marTop w:val="0"/>
      <w:marBottom w:val="0"/>
      <w:divBdr>
        <w:top w:val="none" w:sz="0" w:space="0" w:color="auto"/>
        <w:left w:val="none" w:sz="0" w:space="0" w:color="auto"/>
        <w:bottom w:val="none" w:sz="0" w:space="0" w:color="auto"/>
        <w:right w:val="none" w:sz="0" w:space="0" w:color="auto"/>
      </w:divBdr>
    </w:div>
    <w:div w:id="1423523223">
      <w:bodyDiv w:val="1"/>
      <w:marLeft w:val="0"/>
      <w:marRight w:val="0"/>
      <w:marTop w:val="0"/>
      <w:marBottom w:val="0"/>
      <w:divBdr>
        <w:top w:val="none" w:sz="0" w:space="0" w:color="auto"/>
        <w:left w:val="none" w:sz="0" w:space="0" w:color="auto"/>
        <w:bottom w:val="none" w:sz="0" w:space="0" w:color="auto"/>
        <w:right w:val="none" w:sz="0" w:space="0" w:color="auto"/>
      </w:divBdr>
    </w:div>
    <w:div w:id="1468551967">
      <w:bodyDiv w:val="1"/>
      <w:marLeft w:val="0"/>
      <w:marRight w:val="0"/>
      <w:marTop w:val="0"/>
      <w:marBottom w:val="0"/>
      <w:divBdr>
        <w:top w:val="none" w:sz="0" w:space="0" w:color="auto"/>
        <w:left w:val="none" w:sz="0" w:space="0" w:color="auto"/>
        <w:bottom w:val="none" w:sz="0" w:space="0" w:color="auto"/>
        <w:right w:val="none" w:sz="0" w:space="0" w:color="auto"/>
      </w:divBdr>
    </w:div>
    <w:div w:id="1473208769">
      <w:bodyDiv w:val="1"/>
      <w:marLeft w:val="0"/>
      <w:marRight w:val="0"/>
      <w:marTop w:val="0"/>
      <w:marBottom w:val="0"/>
      <w:divBdr>
        <w:top w:val="none" w:sz="0" w:space="0" w:color="auto"/>
        <w:left w:val="none" w:sz="0" w:space="0" w:color="auto"/>
        <w:bottom w:val="none" w:sz="0" w:space="0" w:color="auto"/>
        <w:right w:val="none" w:sz="0" w:space="0" w:color="auto"/>
      </w:divBdr>
    </w:div>
    <w:div w:id="1508790389">
      <w:bodyDiv w:val="1"/>
      <w:marLeft w:val="0"/>
      <w:marRight w:val="0"/>
      <w:marTop w:val="0"/>
      <w:marBottom w:val="0"/>
      <w:divBdr>
        <w:top w:val="none" w:sz="0" w:space="0" w:color="auto"/>
        <w:left w:val="none" w:sz="0" w:space="0" w:color="auto"/>
        <w:bottom w:val="none" w:sz="0" w:space="0" w:color="auto"/>
        <w:right w:val="none" w:sz="0" w:space="0" w:color="auto"/>
      </w:divBdr>
      <w:divsChild>
        <w:div w:id="1200050261">
          <w:marLeft w:val="0"/>
          <w:marRight w:val="0"/>
          <w:marTop w:val="0"/>
          <w:marBottom w:val="0"/>
          <w:divBdr>
            <w:top w:val="none" w:sz="0" w:space="0" w:color="auto"/>
            <w:left w:val="none" w:sz="0" w:space="0" w:color="auto"/>
            <w:bottom w:val="none" w:sz="0" w:space="0" w:color="auto"/>
            <w:right w:val="none" w:sz="0" w:space="0" w:color="auto"/>
          </w:divBdr>
          <w:divsChild>
            <w:div w:id="142653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197034">
      <w:bodyDiv w:val="1"/>
      <w:marLeft w:val="0"/>
      <w:marRight w:val="0"/>
      <w:marTop w:val="0"/>
      <w:marBottom w:val="0"/>
      <w:divBdr>
        <w:top w:val="none" w:sz="0" w:space="0" w:color="auto"/>
        <w:left w:val="none" w:sz="0" w:space="0" w:color="auto"/>
        <w:bottom w:val="none" w:sz="0" w:space="0" w:color="auto"/>
        <w:right w:val="none" w:sz="0" w:space="0" w:color="auto"/>
      </w:divBdr>
    </w:div>
    <w:div w:id="1615936845">
      <w:bodyDiv w:val="1"/>
      <w:marLeft w:val="0"/>
      <w:marRight w:val="0"/>
      <w:marTop w:val="0"/>
      <w:marBottom w:val="0"/>
      <w:divBdr>
        <w:top w:val="none" w:sz="0" w:space="0" w:color="auto"/>
        <w:left w:val="none" w:sz="0" w:space="0" w:color="auto"/>
        <w:bottom w:val="none" w:sz="0" w:space="0" w:color="auto"/>
        <w:right w:val="none" w:sz="0" w:space="0" w:color="auto"/>
      </w:divBdr>
    </w:div>
    <w:div w:id="1629356931">
      <w:bodyDiv w:val="1"/>
      <w:marLeft w:val="0"/>
      <w:marRight w:val="0"/>
      <w:marTop w:val="0"/>
      <w:marBottom w:val="0"/>
      <w:divBdr>
        <w:top w:val="none" w:sz="0" w:space="0" w:color="auto"/>
        <w:left w:val="none" w:sz="0" w:space="0" w:color="auto"/>
        <w:bottom w:val="none" w:sz="0" w:space="0" w:color="auto"/>
        <w:right w:val="none" w:sz="0" w:space="0" w:color="auto"/>
      </w:divBdr>
    </w:div>
    <w:div w:id="1648243442">
      <w:bodyDiv w:val="1"/>
      <w:marLeft w:val="0"/>
      <w:marRight w:val="0"/>
      <w:marTop w:val="0"/>
      <w:marBottom w:val="0"/>
      <w:divBdr>
        <w:top w:val="none" w:sz="0" w:space="0" w:color="auto"/>
        <w:left w:val="none" w:sz="0" w:space="0" w:color="auto"/>
        <w:bottom w:val="none" w:sz="0" w:space="0" w:color="auto"/>
        <w:right w:val="none" w:sz="0" w:space="0" w:color="auto"/>
      </w:divBdr>
    </w:div>
    <w:div w:id="1679429318">
      <w:bodyDiv w:val="1"/>
      <w:marLeft w:val="0"/>
      <w:marRight w:val="0"/>
      <w:marTop w:val="0"/>
      <w:marBottom w:val="0"/>
      <w:divBdr>
        <w:top w:val="none" w:sz="0" w:space="0" w:color="auto"/>
        <w:left w:val="none" w:sz="0" w:space="0" w:color="auto"/>
        <w:bottom w:val="none" w:sz="0" w:space="0" w:color="auto"/>
        <w:right w:val="none" w:sz="0" w:space="0" w:color="auto"/>
      </w:divBdr>
    </w:div>
    <w:div w:id="1712921392">
      <w:bodyDiv w:val="1"/>
      <w:marLeft w:val="0"/>
      <w:marRight w:val="0"/>
      <w:marTop w:val="0"/>
      <w:marBottom w:val="0"/>
      <w:divBdr>
        <w:top w:val="none" w:sz="0" w:space="0" w:color="auto"/>
        <w:left w:val="none" w:sz="0" w:space="0" w:color="auto"/>
        <w:bottom w:val="none" w:sz="0" w:space="0" w:color="auto"/>
        <w:right w:val="none" w:sz="0" w:space="0" w:color="auto"/>
      </w:divBdr>
    </w:div>
    <w:div w:id="1749690221">
      <w:bodyDiv w:val="1"/>
      <w:marLeft w:val="0"/>
      <w:marRight w:val="0"/>
      <w:marTop w:val="0"/>
      <w:marBottom w:val="0"/>
      <w:divBdr>
        <w:top w:val="none" w:sz="0" w:space="0" w:color="auto"/>
        <w:left w:val="none" w:sz="0" w:space="0" w:color="auto"/>
        <w:bottom w:val="none" w:sz="0" w:space="0" w:color="auto"/>
        <w:right w:val="none" w:sz="0" w:space="0" w:color="auto"/>
      </w:divBdr>
    </w:div>
    <w:div w:id="1751153461">
      <w:bodyDiv w:val="1"/>
      <w:marLeft w:val="0"/>
      <w:marRight w:val="0"/>
      <w:marTop w:val="0"/>
      <w:marBottom w:val="0"/>
      <w:divBdr>
        <w:top w:val="none" w:sz="0" w:space="0" w:color="auto"/>
        <w:left w:val="none" w:sz="0" w:space="0" w:color="auto"/>
        <w:bottom w:val="none" w:sz="0" w:space="0" w:color="auto"/>
        <w:right w:val="none" w:sz="0" w:space="0" w:color="auto"/>
      </w:divBdr>
    </w:div>
    <w:div w:id="1845974502">
      <w:bodyDiv w:val="1"/>
      <w:marLeft w:val="0"/>
      <w:marRight w:val="0"/>
      <w:marTop w:val="0"/>
      <w:marBottom w:val="0"/>
      <w:divBdr>
        <w:top w:val="none" w:sz="0" w:space="0" w:color="auto"/>
        <w:left w:val="none" w:sz="0" w:space="0" w:color="auto"/>
        <w:bottom w:val="none" w:sz="0" w:space="0" w:color="auto"/>
        <w:right w:val="none" w:sz="0" w:space="0" w:color="auto"/>
      </w:divBdr>
    </w:div>
    <w:div w:id="1895239138">
      <w:bodyDiv w:val="1"/>
      <w:marLeft w:val="0"/>
      <w:marRight w:val="0"/>
      <w:marTop w:val="0"/>
      <w:marBottom w:val="0"/>
      <w:divBdr>
        <w:top w:val="none" w:sz="0" w:space="0" w:color="auto"/>
        <w:left w:val="none" w:sz="0" w:space="0" w:color="auto"/>
        <w:bottom w:val="none" w:sz="0" w:space="0" w:color="auto"/>
        <w:right w:val="none" w:sz="0" w:space="0" w:color="auto"/>
      </w:divBdr>
    </w:div>
    <w:div w:id="2024741295">
      <w:bodyDiv w:val="1"/>
      <w:marLeft w:val="0"/>
      <w:marRight w:val="0"/>
      <w:marTop w:val="0"/>
      <w:marBottom w:val="0"/>
      <w:divBdr>
        <w:top w:val="none" w:sz="0" w:space="0" w:color="auto"/>
        <w:left w:val="none" w:sz="0" w:space="0" w:color="auto"/>
        <w:bottom w:val="none" w:sz="0" w:space="0" w:color="auto"/>
        <w:right w:val="none" w:sz="0" w:space="0" w:color="auto"/>
      </w:divBdr>
    </w:div>
    <w:div w:id="214133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2.xml"/><Relationship Id="rId25" Type="http://schemas.openxmlformats.org/officeDocument/2006/relationships/hyperlink" Target="http://www.taiwanwomencenter.org.tw/"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www.gec.ey.gov.tw/" TargetMode="Externa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hyperlink" Target="mailto:joyce@tbroc.gov.tw"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8.jpeg"/><Relationship Id="rId27" Type="http://schemas.openxmlformats.org/officeDocument/2006/relationships/image" Target="media/image9.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C9E29-9B97-4C99-AB3A-A9EE1E97C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32135</Words>
  <Characters>183170</Characters>
  <Application>Microsoft Office Word</Application>
  <DocSecurity>0</DocSecurity>
  <Lines>1526</Lines>
  <Paragraphs>429</Paragraphs>
  <ScaleCrop>false</ScaleCrop>
  <Company>Necoast-nsa</Company>
  <LinksUpToDate>false</LinksUpToDate>
  <CharactersWithSpaces>214876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105-108中程計畫</dc:title>
  <dc:creator>歐陽忻憶</dc:creator>
  <cp:lastModifiedBy>erv</cp:lastModifiedBy>
  <cp:revision>3</cp:revision>
  <cp:lastPrinted>2015-06-05T01:55:00Z</cp:lastPrinted>
  <dcterms:created xsi:type="dcterms:W3CDTF">2015-06-05T08:39:00Z</dcterms:created>
  <dcterms:modified xsi:type="dcterms:W3CDTF">2015-06-05T08:39:00Z</dcterms:modified>
</cp:coreProperties>
</file>